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11.xml" ContentType="application/vnd.openxmlformats-officedocument.wordprocessingml.footer+xml"/>
  <Override PartName="/word/header41.xml" ContentType="application/vnd.openxmlformats-officedocument.wordprocessingml.header+xml"/>
  <Override PartName="/word/footer1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13.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14.xml" ContentType="application/vnd.openxmlformats-officedocument.wordprocessingml.footer+xml"/>
  <Override PartName="/word/header67.xml" ContentType="application/vnd.openxmlformats-officedocument.wordprocessingml.header+xml"/>
  <Override PartName="/word/footer15.xml" ContentType="application/vnd.openxmlformats-officedocument.wordprocessingml.footer+xml"/>
  <Override PartName="/word/header68.xml" ContentType="application/vnd.openxmlformats-officedocument.wordprocessingml.header+xml"/>
  <Override PartName="/word/footer16.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17.xml" ContentType="application/vnd.openxmlformats-officedocument.wordprocessingml.footer+xml"/>
  <Override PartName="/word/header71.xml" ContentType="application/vnd.openxmlformats-officedocument.wordprocessingml.header+xml"/>
  <Override PartName="/word/footer18.xml" ContentType="application/vnd.openxmlformats-officedocument.wordprocessingml.footer+xml"/>
  <Override PartName="/word/header72.xml" ContentType="application/vnd.openxmlformats-officedocument.wordprocessingml.header+xml"/>
  <Override PartName="/word/footer19.xml" ContentType="application/vnd.openxmlformats-officedocument.wordprocessingml.footer+xml"/>
  <Override PartName="/word/header73.xml" ContentType="application/vnd.openxmlformats-officedocument.wordprocessingml.header+xml"/>
  <Override PartName="/word/footer20.xml" ContentType="application/vnd.openxmlformats-officedocument.wordprocessingml.footer+xml"/>
  <Override PartName="/word/header74.xml" ContentType="application/vnd.openxmlformats-officedocument.wordprocessingml.header+xml"/>
  <Override PartName="/word/footer21.xml" ContentType="application/vnd.openxmlformats-officedocument.wordprocessingml.footer+xml"/>
  <Override PartName="/word/header75.xml" ContentType="application/vnd.openxmlformats-officedocument.wordprocessingml.header+xml"/>
  <Override PartName="/word/footer22.xml" ContentType="application/vnd.openxmlformats-officedocument.wordprocessingml.footer+xml"/>
  <Override PartName="/word/header76.xml" ContentType="application/vnd.openxmlformats-officedocument.wordprocessingml.header+xml"/>
  <Override PartName="/word/footer23.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24.xml" ContentType="application/vnd.openxmlformats-officedocument.wordprocessingml.footer+xml"/>
  <Override PartName="/word/header84.xml" ContentType="application/vnd.openxmlformats-officedocument.wordprocessingml.header+xml"/>
  <Override PartName="/word/footer25.xml" ContentType="application/vnd.openxmlformats-officedocument.wordprocessingml.footer+xml"/>
  <Override PartName="/word/header85.xml" ContentType="application/vnd.openxmlformats-officedocument.wordprocessingml.header+xml"/>
  <Override PartName="/word/footer26.xml" ContentType="application/vnd.openxmlformats-officedocument.wordprocessingml.footer+xml"/>
  <Override PartName="/word/header86.xml" ContentType="application/vnd.openxmlformats-officedocument.wordprocessingml.header+xml"/>
  <Override PartName="/word/footer27.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28.xml" ContentType="application/vnd.openxmlformats-officedocument.wordprocessingml.footer+xml"/>
  <Override PartName="/word/header96.xml" ContentType="application/vnd.openxmlformats-officedocument.wordprocessingml.header+xml"/>
  <Override PartName="/word/footer29.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68F03A" w14:textId="10A567C7" w:rsidR="005E100C" w:rsidRPr="009E064B" w:rsidRDefault="00E31DC0" w:rsidP="00BF608D">
      <w:pPr>
        <w:rPr>
          <w:rFonts w:asciiTheme="minorHAnsi" w:hAnsiTheme="minorHAnsi" w:cstheme="minorHAnsi"/>
          <w:sz w:val="20"/>
          <w:szCs w:val="20"/>
        </w:rPr>
      </w:pPr>
      <w:bookmarkStart w:id="0" w:name="_GoBack"/>
      <w:bookmarkEnd w:id="0"/>
      <w:r w:rsidRPr="009E064B">
        <w:rPr>
          <w:noProof/>
          <w:lang w:eastAsia="pl-PL"/>
        </w:rPr>
        <w:drawing>
          <wp:anchor distT="0" distB="0" distL="114300" distR="114300" simplePos="0" relativeHeight="251678208" behindDoc="0" locked="1" layoutInCell="1" allowOverlap="1" wp14:anchorId="4BE35C98" wp14:editId="2BA74963">
            <wp:simplePos x="0" y="0"/>
            <wp:positionH relativeFrom="page">
              <wp:posOffset>-4445</wp:posOffset>
            </wp:positionH>
            <wp:positionV relativeFrom="margin">
              <wp:posOffset>-1080135</wp:posOffset>
            </wp:positionV>
            <wp:extent cx="7560945" cy="10693400"/>
            <wp:effectExtent l="0" t="0" r="1905" b="0"/>
            <wp:wrapNone/>
            <wp:docPr id="6305" name="Obraz 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945" cy="1069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E5948" w14:textId="67986D92" w:rsidR="005E100C" w:rsidRPr="009E064B" w:rsidRDefault="005E100C" w:rsidP="005E100C">
      <w:pPr>
        <w:pStyle w:val="Nagwek11"/>
        <w:ind w:right="-2"/>
        <w:outlineLvl w:val="9"/>
        <w:rPr>
          <w:rFonts w:asciiTheme="minorHAnsi" w:hAnsiTheme="minorHAnsi" w:cstheme="minorHAnsi"/>
          <w:sz w:val="20"/>
          <w:szCs w:val="20"/>
        </w:rPr>
      </w:pPr>
    </w:p>
    <w:p w14:paraId="06C6EB9B" w14:textId="75BD865B" w:rsidR="005E100C" w:rsidRPr="009E064B" w:rsidRDefault="005E100C" w:rsidP="005E100C">
      <w:pPr>
        <w:pStyle w:val="Nagwek11"/>
        <w:ind w:right="-2"/>
        <w:outlineLvl w:val="9"/>
        <w:rPr>
          <w:rFonts w:asciiTheme="minorHAnsi" w:hAnsiTheme="minorHAnsi" w:cstheme="minorHAnsi"/>
          <w:sz w:val="20"/>
          <w:szCs w:val="20"/>
        </w:rPr>
      </w:pPr>
    </w:p>
    <w:p w14:paraId="2624F2E8" w14:textId="5D5DC95E" w:rsidR="005E100C" w:rsidRPr="009E064B" w:rsidRDefault="005E100C" w:rsidP="005E100C">
      <w:pPr>
        <w:pStyle w:val="Nagwek11"/>
        <w:ind w:right="-2"/>
        <w:outlineLvl w:val="9"/>
        <w:rPr>
          <w:rFonts w:asciiTheme="minorHAnsi" w:hAnsiTheme="minorHAnsi" w:cstheme="minorHAnsi"/>
          <w:sz w:val="20"/>
          <w:szCs w:val="20"/>
        </w:rPr>
      </w:pPr>
    </w:p>
    <w:p w14:paraId="05A43E5C" w14:textId="2DFC7B3E" w:rsidR="005E100C" w:rsidRPr="009E064B" w:rsidRDefault="00E31DC0" w:rsidP="00E46735">
      <w:r w:rsidRPr="009E064B">
        <w:rPr>
          <w:noProof/>
          <w:lang w:eastAsia="pl-PL"/>
        </w:rPr>
        <mc:AlternateContent>
          <mc:Choice Requires="wps">
            <w:drawing>
              <wp:anchor distT="45720" distB="45720" distL="114300" distR="114300" simplePos="0" relativeHeight="251679232" behindDoc="0" locked="0" layoutInCell="1" allowOverlap="1" wp14:anchorId="659BA5F7" wp14:editId="4BB71AE1">
                <wp:simplePos x="0" y="0"/>
                <wp:positionH relativeFrom="margin">
                  <wp:posOffset>87954</wp:posOffset>
                </wp:positionH>
                <wp:positionV relativeFrom="paragraph">
                  <wp:posOffset>6773545</wp:posOffset>
                </wp:positionV>
                <wp:extent cx="5158740" cy="1404620"/>
                <wp:effectExtent l="0" t="0" r="0" b="0"/>
                <wp:wrapSquare wrapText="bothSides"/>
                <wp:docPr id="6306" name="Pole tekstowe 2" title="Przepisy UE dla lotnis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740" cy="1404620"/>
                        </a:xfrm>
                        <a:prstGeom prst="rect">
                          <a:avLst/>
                        </a:prstGeom>
                        <a:noFill/>
                        <a:ln w="9525">
                          <a:noFill/>
                          <a:miter lim="800000"/>
                          <a:headEnd/>
                          <a:tailEnd/>
                        </a:ln>
                      </wps:spPr>
                      <wps:txbx>
                        <w:txbxContent>
                          <w:p w14:paraId="044C609F" w14:textId="51D56635" w:rsidR="003832F2" w:rsidRPr="000E5614" w:rsidRDefault="003832F2"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Łatwo Dostępne Przepisy dla Lotnisk</w:t>
                            </w:r>
                          </w:p>
                          <w:p w14:paraId="0E3278A3" w14:textId="345A7D48" w:rsidR="003832F2" w:rsidRPr="000E5614" w:rsidRDefault="003832F2"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(Rozporządzenie (UE) Nr 139/2014)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59BA5F7" id="_x0000_t202" coordsize="21600,21600" o:spt="202" path="m,l,21600r21600,l21600,xe">
                <v:stroke joinstyle="miter"/>
                <v:path gradientshapeok="t" o:connecttype="rect"/>
              </v:shapetype>
              <v:shape id="Pole tekstowe 2" o:spid="_x0000_s1026" type="#_x0000_t202" alt="Tytuł: Przepisy UE dla lotnisk" style="position:absolute;left:0;text-align:left;margin-left:6.95pt;margin-top:533.35pt;width:406.2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" filled="f" stroked="f">
                <v:textbox style="mso-fit-shape-to-text:t">
                  <w:txbxContent>
                    <w:p w14:paraId="044C609F" w14:textId="51D56635" w:rsidR="003832F2" w:rsidRPr="000E5614" w:rsidRDefault="003832F2"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Łatwo Dostępne Przepisy dla Lotnisk</w:t>
                      </w:r>
                    </w:p>
                    <w:p w14:paraId="0E3278A3" w14:textId="345A7D48" w:rsidR="003832F2" w:rsidRPr="000E5614" w:rsidRDefault="003832F2" w:rsidP="002F2987">
                      <w:pPr>
                        <w:jc w:val="center"/>
                        <w:rPr>
                          <w:rFonts w:asciiTheme="majorHAnsi" w:hAnsiTheme="majorHAnsi" w:cstheme="minorHAnsi"/>
                          <w:b/>
                          <w:color w:val="FFFFFF" w:themeColor="background1"/>
                          <w:sz w:val="44"/>
                          <w:szCs w:val="36"/>
                        </w:rPr>
                      </w:pPr>
                      <w:r w:rsidRPr="000E5614">
                        <w:rPr>
                          <w:rFonts w:asciiTheme="majorHAnsi" w:hAnsiTheme="majorHAnsi" w:cstheme="minorHAnsi"/>
                          <w:b/>
                          <w:color w:val="FFFFFF" w:themeColor="background1"/>
                          <w:sz w:val="44"/>
                          <w:szCs w:val="36"/>
                        </w:rPr>
                        <w:t>(Rozporządzenie (UE) Nr 139/2014)</w:t>
                      </w:r>
                    </w:p>
                  </w:txbxContent>
                </v:textbox>
                <w10:wrap type="square" anchorx="margin"/>
              </v:shape>
            </w:pict>
          </mc:Fallback>
        </mc:AlternateContent>
      </w:r>
    </w:p>
    <w:p w14:paraId="0E8195A3" w14:textId="77777777" w:rsidR="005E100C" w:rsidRPr="009E064B" w:rsidRDefault="005E100C" w:rsidP="005E100C">
      <w:pPr>
        <w:pStyle w:val="Nagwek11"/>
        <w:ind w:right="-2"/>
        <w:outlineLvl w:val="9"/>
        <w:rPr>
          <w:rFonts w:asciiTheme="minorHAnsi" w:hAnsiTheme="minorHAnsi" w:cstheme="minorHAnsi"/>
          <w:sz w:val="20"/>
          <w:szCs w:val="20"/>
        </w:rPr>
        <w:sectPr w:rsidR="005E100C" w:rsidRPr="009E064B" w:rsidSect="00AE1280">
          <w:headerReference w:type="even" r:id="rId10"/>
          <w:headerReference w:type="default" r:id="rId11"/>
          <w:footerReference w:type="default" r:id="rId12"/>
          <w:headerReference w:type="first" r:id="rId13"/>
          <w:pgSz w:w="11906" w:h="16840" w:code="9"/>
          <w:pgMar w:top="1701" w:right="1418" w:bottom="1418" w:left="1418" w:header="567" w:footer="454" w:gutter="0"/>
          <w:cols w:space="708"/>
          <w:titlePg/>
        </w:sectPr>
      </w:pPr>
    </w:p>
    <w:p w14:paraId="15209250" w14:textId="2B883C97" w:rsidR="000E5614" w:rsidRPr="009E064B" w:rsidRDefault="000E5614" w:rsidP="007676B9">
      <w:pPr>
        <w:pStyle w:val="Nagwek11"/>
        <w:tabs>
          <w:tab w:val="left" w:pos="1118"/>
        </w:tabs>
        <w:ind w:right="-2"/>
        <w:outlineLvl w:val="9"/>
        <w:rPr>
          <w:rFonts w:asciiTheme="minorHAnsi" w:hAnsiTheme="minorHAnsi" w:cstheme="minorHAnsi"/>
          <w:sz w:val="20"/>
          <w:szCs w:val="20"/>
        </w:rPr>
      </w:pPr>
    </w:p>
    <w:p w14:paraId="6C4A851F" w14:textId="050A8D60" w:rsidR="00B93D57" w:rsidRPr="009E064B" w:rsidRDefault="00B93D57" w:rsidP="003D42EB">
      <w:pPr>
        <w:pStyle w:val="Nagwek11"/>
        <w:tabs>
          <w:tab w:val="left" w:pos="1118"/>
        </w:tabs>
        <w:ind w:right="-2"/>
        <w:outlineLvl w:val="9"/>
        <w:rPr>
          <w:rFonts w:asciiTheme="minorHAnsi" w:hAnsiTheme="minorHAnsi" w:cstheme="minorHAnsi"/>
          <w:sz w:val="20"/>
          <w:szCs w:val="20"/>
        </w:rPr>
      </w:pPr>
    </w:p>
    <w:p w14:paraId="00DE4132" w14:textId="77777777" w:rsidR="002E3A51" w:rsidRPr="009E064B" w:rsidRDefault="002E3A51" w:rsidP="003D42EB">
      <w:pPr>
        <w:pStyle w:val="Nagwek11"/>
        <w:tabs>
          <w:tab w:val="left" w:pos="1118"/>
        </w:tabs>
        <w:ind w:right="-2"/>
        <w:outlineLvl w:val="9"/>
        <w:rPr>
          <w:rFonts w:asciiTheme="minorHAnsi" w:hAnsiTheme="minorHAnsi" w:cstheme="minorHAnsi"/>
          <w:sz w:val="20"/>
          <w:szCs w:val="20"/>
        </w:rPr>
      </w:pPr>
    </w:p>
    <w:p w14:paraId="1D6DFF84" w14:textId="77777777" w:rsidR="00B93D57" w:rsidRPr="009E064B" w:rsidRDefault="00B93D57" w:rsidP="00B93D57">
      <w:pPr>
        <w:pStyle w:val="Nagwek11"/>
        <w:tabs>
          <w:tab w:val="left" w:pos="1118"/>
        </w:tabs>
        <w:ind w:right="-2"/>
        <w:outlineLvl w:val="9"/>
        <w:rPr>
          <w:rFonts w:asciiTheme="minorHAnsi" w:hAnsiTheme="minorHAnsi" w:cstheme="minorHAnsi"/>
          <w:sz w:val="20"/>
          <w:szCs w:val="20"/>
        </w:rPr>
      </w:pPr>
    </w:p>
    <w:p w14:paraId="71839455" w14:textId="03CFE94E" w:rsidR="00AF3775" w:rsidRPr="009E064B" w:rsidRDefault="00F830E1" w:rsidP="00577BAA">
      <w:pPr>
        <w:spacing w:before="240" w:line="360" w:lineRule="auto"/>
        <w:jc w:val="center"/>
        <w:rPr>
          <w:rFonts w:ascii="Verdana" w:hAnsi="Verdana" w:cstheme="minorHAnsi"/>
          <w:color w:val="0070C0"/>
          <w:sz w:val="36"/>
          <w:szCs w:val="40"/>
        </w:rPr>
      </w:pPr>
      <w:r w:rsidRPr="009E064B">
        <w:rPr>
          <w:rFonts w:ascii="Verdana" w:hAnsi="Verdana"/>
          <w:b/>
          <w:color w:val="0070C0"/>
          <w:sz w:val="52"/>
          <w:szCs w:val="52"/>
        </w:rPr>
        <w:t xml:space="preserve">Łatwo Dostępne Przepisy </w:t>
      </w:r>
      <w:r w:rsidR="00B51D27" w:rsidRPr="009E064B">
        <w:rPr>
          <w:rFonts w:ascii="Verdana" w:hAnsi="Verdana"/>
          <w:b/>
          <w:color w:val="0070C0"/>
          <w:sz w:val="52"/>
          <w:szCs w:val="52"/>
        </w:rPr>
        <w:br/>
      </w:r>
      <w:r w:rsidRPr="009E064B">
        <w:rPr>
          <w:rFonts w:ascii="Verdana" w:hAnsi="Verdana"/>
          <w:b/>
          <w:color w:val="0070C0"/>
          <w:sz w:val="52"/>
          <w:szCs w:val="52"/>
        </w:rPr>
        <w:t>dla Lotnisk</w:t>
      </w:r>
      <w:r w:rsidR="00B93D57" w:rsidRPr="009E064B">
        <w:rPr>
          <w:rFonts w:ascii="Verdana" w:hAnsi="Verdana"/>
          <w:b/>
          <w:color w:val="0070C0"/>
          <w:sz w:val="52"/>
          <w:szCs w:val="52"/>
        </w:rPr>
        <w:br/>
      </w:r>
      <w:r w:rsidRPr="009E064B">
        <w:rPr>
          <w:rFonts w:ascii="Verdana" w:hAnsi="Verdana"/>
          <w:b/>
          <w:color w:val="0070C0"/>
          <w:sz w:val="52"/>
          <w:szCs w:val="40"/>
        </w:rPr>
        <w:t>(Rozporządzenie (UE) 139/2014)</w:t>
      </w:r>
    </w:p>
    <w:p w14:paraId="626946B5" w14:textId="77777777" w:rsidR="00F830E1" w:rsidRPr="009E064B" w:rsidRDefault="00F830E1" w:rsidP="000E5614">
      <w:pPr>
        <w:pStyle w:val="Default"/>
        <w:widowControl w:val="0"/>
        <w:rPr>
          <w:rStyle w:val="shorttext"/>
          <w:rFonts w:ascii="Arial" w:hAnsi="Arial" w:cs="Arial"/>
          <w:color w:val="auto"/>
        </w:rPr>
      </w:pPr>
    </w:p>
    <w:p w14:paraId="767E40A5" w14:textId="0C6CA212" w:rsidR="006670CA" w:rsidRPr="009E064B" w:rsidRDefault="006670CA" w:rsidP="000E5614">
      <w:pPr>
        <w:pStyle w:val="Nagwek11"/>
        <w:ind w:right="-2"/>
        <w:outlineLvl w:val="9"/>
        <w:rPr>
          <w:rFonts w:asciiTheme="minorHAnsi" w:hAnsiTheme="minorHAnsi" w:cstheme="minorHAnsi"/>
          <w:sz w:val="20"/>
          <w:szCs w:val="20"/>
        </w:rPr>
      </w:pPr>
    </w:p>
    <w:p w14:paraId="3E923CA5" w14:textId="77777777" w:rsidR="00EF483E" w:rsidRPr="009E064B" w:rsidRDefault="00EF483E" w:rsidP="000E5614">
      <w:pPr>
        <w:pStyle w:val="Nagwek11"/>
        <w:ind w:right="-2"/>
        <w:outlineLvl w:val="9"/>
        <w:rPr>
          <w:rFonts w:asciiTheme="minorHAnsi" w:hAnsiTheme="minorHAnsi" w:cstheme="minorHAnsi"/>
          <w:sz w:val="20"/>
          <w:szCs w:val="20"/>
        </w:rPr>
      </w:pPr>
    </w:p>
    <w:p w14:paraId="413C1570" w14:textId="41A0A250" w:rsidR="00DF1133" w:rsidRDefault="009329A1" w:rsidP="000B0DE3">
      <w:pPr>
        <w:pStyle w:val="Nagwek11"/>
        <w:spacing w:after="0"/>
        <w:ind w:right="-2"/>
        <w:jc w:val="center"/>
        <w:outlineLvl w:val="9"/>
        <w:rPr>
          <w:b w:val="0"/>
          <w:i/>
          <w:sz w:val="24"/>
        </w:rPr>
      </w:pPr>
      <w:r>
        <w:rPr>
          <w:rFonts w:asciiTheme="minorHAnsi" w:hAnsiTheme="minorHAnsi" w:cstheme="minorHAnsi"/>
          <w:b w:val="0"/>
          <w:sz w:val="24"/>
          <w:szCs w:val="20"/>
        </w:rPr>
        <w:t>Wersja w języku polskim została opracowana</w:t>
      </w:r>
      <w:r w:rsidR="00630A00" w:rsidRPr="009E064B">
        <w:rPr>
          <w:rFonts w:asciiTheme="minorHAnsi" w:hAnsiTheme="minorHAnsi" w:cstheme="minorHAnsi"/>
          <w:b w:val="0"/>
          <w:sz w:val="24"/>
          <w:szCs w:val="20"/>
        </w:rPr>
        <w:t xml:space="preserve"> na podstawie dokumentu EASA</w:t>
      </w:r>
      <w:r w:rsidR="000B0DE3" w:rsidRPr="009E064B">
        <w:rPr>
          <w:rFonts w:asciiTheme="minorHAnsi" w:hAnsiTheme="minorHAnsi" w:cstheme="minorHAnsi"/>
          <w:b w:val="0"/>
          <w:sz w:val="24"/>
          <w:szCs w:val="20"/>
        </w:rPr>
        <w:t>:</w:t>
      </w:r>
      <w:r w:rsidR="000B0DE3" w:rsidRPr="009E064B">
        <w:rPr>
          <w:rFonts w:asciiTheme="minorHAnsi" w:hAnsiTheme="minorHAnsi" w:cstheme="minorHAnsi"/>
          <w:b w:val="0"/>
          <w:sz w:val="24"/>
          <w:szCs w:val="20"/>
        </w:rPr>
        <w:br/>
        <w:t xml:space="preserve"> </w:t>
      </w:r>
      <w:r w:rsidR="00630A00" w:rsidRPr="009E064B">
        <w:rPr>
          <w:b w:val="0"/>
          <w:i/>
          <w:sz w:val="24"/>
        </w:rPr>
        <w:t>„Easy Access Rules for Aerodromes (Regulation (EU) No 139/2014)”</w:t>
      </w:r>
      <w:r>
        <w:rPr>
          <w:b w:val="0"/>
          <w:i/>
          <w:sz w:val="24"/>
        </w:rPr>
        <w:t xml:space="preserve">, </w:t>
      </w:r>
    </w:p>
    <w:p w14:paraId="6AADB03D" w14:textId="500D15A7" w:rsidR="009329A1" w:rsidRPr="009329A1" w:rsidRDefault="009329A1" w:rsidP="009329A1">
      <w:pPr>
        <w:pStyle w:val="Nagwek11"/>
        <w:spacing w:after="0"/>
        <w:ind w:right="-2"/>
        <w:jc w:val="center"/>
        <w:outlineLvl w:val="9"/>
        <w:rPr>
          <w:rFonts w:asciiTheme="minorHAnsi" w:hAnsiTheme="minorHAnsi" w:cstheme="minorHAnsi"/>
          <w:b w:val="0"/>
          <w:sz w:val="24"/>
          <w:szCs w:val="20"/>
        </w:rPr>
      </w:pPr>
      <w:r>
        <w:rPr>
          <w:rFonts w:asciiTheme="minorHAnsi" w:hAnsiTheme="minorHAnsi" w:cstheme="minorHAnsi"/>
          <w:b w:val="0"/>
          <w:sz w:val="24"/>
          <w:szCs w:val="20"/>
        </w:rPr>
        <w:t>o</w:t>
      </w:r>
      <w:r w:rsidRPr="009329A1">
        <w:rPr>
          <w:rFonts w:asciiTheme="minorHAnsi" w:hAnsiTheme="minorHAnsi" w:cstheme="minorHAnsi"/>
          <w:b w:val="0"/>
          <w:sz w:val="24"/>
          <w:szCs w:val="20"/>
        </w:rPr>
        <w:t>publikowane</w:t>
      </w:r>
      <w:r>
        <w:rPr>
          <w:rFonts w:asciiTheme="minorHAnsi" w:hAnsiTheme="minorHAnsi" w:cstheme="minorHAnsi"/>
          <w:b w:val="0"/>
          <w:sz w:val="24"/>
          <w:szCs w:val="20"/>
        </w:rPr>
        <w:t>go</w:t>
      </w:r>
      <w:r w:rsidRPr="009329A1">
        <w:rPr>
          <w:rFonts w:asciiTheme="minorHAnsi" w:hAnsiTheme="minorHAnsi" w:cstheme="minorHAnsi"/>
          <w:b w:val="0"/>
          <w:sz w:val="24"/>
          <w:szCs w:val="20"/>
        </w:rPr>
        <w:t xml:space="preserve"> przez EASA w maju 2019 r.</w:t>
      </w:r>
    </w:p>
    <w:p w14:paraId="4A7FB300" w14:textId="77777777" w:rsidR="009329A1" w:rsidRPr="009E064B" w:rsidRDefault="009329A1" w:rsidP="000B0DE3">
      <w:pPr>
        <w:pStyle w:val="Nagwek11"/>
        <w:spacing w:after="0"/>
        <w:ind w:right="-2"/>
        <w:jc w:val="center"/>
        <w:outlineLvl w:val="9"/>
        <w:rPr>
          <w:b w:val="0"/>
          <w:i/>
          <w:sz w:val="24"/>
        </w:rPr>
      </w:pPr>
    </w:p>
    <w:p w14:paraId="279B99FA" w14:textId="04C2D826" w:rsidR="000B0DE3" w:rsidRPr="009E064B" w:rsidRDefault="000B0DE3" w:rsidP="000B0DE3">
      <w:pPr>
        <w:pStyle w:val="Nagwek11"/>
        <w:spacing w:after="0"/>
        <w:ind w:right="-2"/>
        <w:outlineLvl w:val="9"/>
        <w:rPr>
          <w:b w:val="0"/>
          <w:i/>
          <w:sz w:val="24"/>
        </w:rPr>
      </w:pPr>
    </w:p>
    <w:p w14:paraId="1A392E19" w14:textId="77777777" w:rsidR="000B0DE3" w:rsidRPr="009E064B" w:rsidRDefault="000B0DE3" w:rsidP="000B0DE3">
      <w:pPr>
        <w:pStyle w:val="Nagwek11"/>
        <w:spacing w:after="0"/>
        <w:ind w:right="-2"/>
        <w:outlineLvl w:val="9"/>
        <w:rPr>
          <w:b w:val="0"/>
          <w:sz w:val="24"/>
        </w:rPr>
      </w:pPr>
    </w:p>
    <w:p w14:paraId="48ADDA54" w14:textId="77777777" w:rsidR="00EC7258" w:rsidRPr="009E064B" w:rsidRDefault="00EC7258" w:rsidP="009A03B7">
      <w:pPr>
        <w:pStyle w:val="Nagwek11"/>
        <w:spacing w:before="120" w:after="0"/>
        <w:outlineLvl w:val="9"/>
        <w:rPr>
          <w:rFonts w:asciiTheme="minorHAnsi" w:hAnsiTheme="minorHAnsi" w:cstheme="minorHAnsi"/>
          <w:b w:val="0"/>
          <w:sz w:val="24"/>
          <w:szCs w:val="20"/>
        </w:rPr>
      </w:pPr>
    </w:p>
    <w:p w14:paraId="49451BEC" w14:textId="77777777" w:rsidR="00EC7258" w:rsidRPr="009E064B" w:rsidRDefault="00EC7258" w:rsidP="009A03B7">
      <w:pPr>
        <w:pStyle w:val="Nagwek11"/>
        <w:spacing w:before="120" w:after="0"/>
        <w:outlineLvl w:val="9"/>
        <w:rPr>
          <w:rFonts w:asciiTheme="minorHAnsi" w:hAnsiTheme="minorHAnsi" w:cstheme="minorHAnsi"/>
          <w:b w:val="0"/>
          <w:sz w:val="24"/>
          <w:szCs w:val="20"/>
        </w:rPr>
      </w:pPr>
    </w:p>
    <w:p w14:paraId="45E47649" w14:textId="77777777" w:rsidR="00C25146" w:rsidRPr="009E064B" w:rsidRDefault="00C25146" w:rsidP="009A03B7">
      <w:pPr>
        <w:pStyle w:val="Nagwek11"/>
        <w:spacing w:before="120" w:after="0"/>
        <w:outlineLvl w:val="9"/>
        <w:rPr>
          <w:rFonts w:asciiTheme="minorHAnsi" w:hAnsiTheme="minorHAnsi" w:cstheme="minorHAnsi"/>
          <w:b w:val="0"/>
          <w:sz w:val="24"/>
          <w:szCs w:val="20"/>
        </w:rPr>
      </w:pPr>
    </w:p>
    <w:p w14:paraId="245C07DA" w14:textId="77777777" w:rsidR="00C25146" w:rsidRPr="009E064B" w:rsidRDefault="00C25146" w:rsidP="009A03B7">
      <w:pPr>
        <w:pStyle w:val="Nagwek11"/>
        <w:spacing w:before="120" w:after="0"/>
        <w:outlineLvl w:val="9"/>
        <w:rPr>
          <w:rFonts w:asciiTheme="minorHAnsi" w:hAnsiTheme="minorHAnsi" w:cstheme="minorHAnsi"/>
          <w:b w:val="0"/>
          <w:sz w:val="24"/>
          <w:szCs w:val="20"/>
        </w:rPr>
      </w:pPr>
    </w:p>
    <w:p w14:paraId="7091AAF6" w14:textId="77777777" w:rsidR="00C25146" w:rsidRPr="009E064B" w:rsidRDefault="00C25146" w:rsidP="009A03B7">
      <w:pPr>
        <w:pStyle w:val="Nagwek11"/>
        <w:spacing w:before="120" w:after="0"/>
        <w:outlineLvl w:val="9"/>
        <w:rPr>
          <w:rFonts w:asciiTheme="minorHAnsi" w:hAnsiTheme="minorHAnsi" w:cstheme="minorHAnsi"/>
          <w:b w:val="0"/>
          <w:sz w:val="24"/>
          <w:szCs w:val="20"/>
        </w:rPr>
      </w:pPr>
    </w:p>
    <w:p w14:paraId="25BD9810" w14:textId="77777777" w:rsidR="00C25146" w:rsidRPr="009E064B" w:rsidRDefault="00C25146" w:rsidP="009A03B7">
      <w:pPr>
        <w:pStyle w:val="Nagwek11"/>
        <w:spacing w:before="120" w:after="0"/>
        <w:outlineLvl w:val="9"/>
        <w:rPr>
          <w:rFonts w:asciiTheme="minorHAnsi" w:hAnsiTheme="minorHAnsi" w:cstheme="minorHAnsi"/>
          <w:b w:val="0"/>
          <w:sz w:val="24"/>
          <w:szCs w:val="20"/>
        </w:rPr>
      </w:pPr>
    </w:p>
    <w:p w14:paraId="3163E9CA" w14:textId="27A861EA" w:rsidR="00C25146" w:rsidRDefault="00C25146" w:rsidP="009A03B7">
      <w:pPr>
        <w:pStyle w:val="Nagwek11"/>
        <w:spacing w:before="120" w:after="0"/>
        <w:outlineLvl w:val="9"/>
        <w:rPr>
          <w:rFonts w:asciiTheme="minorHAnsi" w:hAnsiTheme="minorHAnsi" w:cstheme="minorHAnsi"/>
          <w:b w:val="0"/>
          <w:sz w:val="24"/>
          <w:szCs w:val="20"/>
        </w:rPr>
      </w:pPr>
    </w:p>
    <w:p w14:paraId="01C10F0D" w14:textId="77777777" w:rsidR="00CE4A3E" w:rsidRPr="009E064B" w:rsidRDefault="00CE4A3E" w:rsidP="009A03B7">
      <w:pPr>
        <w:pStyle w:val="Nagwek11"/>
        <w:spacing w:before="120" w:after="0"/>
        <w:outlineLvl w:val="9"/>
        <w:rPr>
          <w:rFonts w:asciiTheme="minorHAnsi" w:hAnsiTheme="minorHAnsi" w:cstheme="minorHAnsi"/>
          <w:b w:val="0"/>
          <w:sz w:val="24"/>
          <w:szCs w:val="20"/>
        </w:rPr>
      </w:pPr>
    </w:p>
    <w:p w14:paraId="295C64EF" w14:textId="610CA619" w:rsidR="009A03B7" w:rsidRPr="009E064B" w:rsidRDefault="009A03B7" w:rsidP="009A03B7">
      <w:pPr>
        <w:pStyle w:val="Nagwek11"/>
        <w:spacing w:before="120" w:after="0"/>
        <w:outlineLvl w:val="9"/>
        <w:rPr>
          <w:rFonts w:asciiTheme="minorHAnsi" w:hAnsiTheme="minorHAnsi" w:cstheme="minorHAnsi"/>
          <w:b w:val="0"/>
          <w:sz w:val="24"/>
          <w:szCs w:val="20"/>
        </w:rPr>
      </w:pPr>
      <w:r w:rsidRPr="009E064B">
        <w:rPr>
          <w:rFonts w:asciiTheme="minorHAnsi" w:hAnsiTheme="minorHAnsi" w:cstheme="minorHAnsi"/>
          <w:b w:val="0"/>
          <w:sz w:val="24"/>
          <w:szCs w:val="20"/>
        </w:rPr>
        <w:t>Urząd Lotnictwa Cywilnego</w:t>
      </w:r>
    </w:p>
    <w:p w14:paraId="13BB07D1" w14:textId="23C035EB" w:rsidR="009A03B7" w:rsidRPr="009E064B" w:rsidRDefault="00630A00" w:rsidP="009A03B7">
      <w:pPr>
        <w:pStyle w:val="Nagwek11"/>
        <w:spacing w:after="0"/>
        <w:ind w:right="-2"/>
        <w:outlineLvl w:val="9"/>
        <w:rPr>
          <w:rFonts w:asciiTheme="minorHAnsi" w:hAnsiTheme="minorHAnsi" w:cstheme="minorHAnsi"/>
          <w:b w:val="0"/>
          <w:sz w:val="24"/>
          <w:szCs w:val="20"/>
        </w:rPr>
      </w:pPr>
      <w:r w:rsidRPr="009E064B">
        <w:rPr>
          <w:rFonts w:asciiTheme="minorHAnsi" w:hAnsiTheme="minorHAnsi" w:cstheme="minorHAnsi"/>
          <w:b w:val="0"/>
          <w:sz w:val="24"/>
          <w:szCs w:val="20"/>
        </w:rPr>
        <w:t>ul. Marcina Flisa 2</w:t>
      </w:r>
    </w:p>
    <w:p w14:paraId="04193C4D" w14:textId="608DA1C2" w:rsidR="009A03B7" w:rsidRPr="009E064B" w:rsidRDefault="00630A00" w:rsidP="009A03B7">
      <w:pPr>
        <w:pStyle w:val="Nagwek11"/>
        <w:tabs>
          <w:tab w:val="left" w:pos="3090"/>
        </w:tabs>
        <w:spacing w:after="0"/>
        <w:ind w:right="-2"/>
        <w:outlineLvl w:val="9"/>
        <w:rPr>
          <w:rFonts w:asciiTheme="minorHAnsi" w:hAnsiTheme="minorHAnsi" w:cstheme="minorHAnsi"/>
          <w:b w:val="0"/>
          <w:sz w:val="24"/>
          <w:szCs w:val="20"/>
        </w:rPr>
      </w:pPr>
      <w:r w:rsidRPr="009E064B">
        <w:rPr>
          <w:rFonts w:asciiTheme="minorHAnsi" w:hAnsiTheme="minorHAnsi" w:cstheme="minorHAnsi"/>
          <w:b w:val="0"/>
          <w:sz w:val="24"/>
          <w:szCs w:val="20"/>
        </w:rPr>
        <w:t>02-247</w:t>
      </w:r>
      <w:r w:rsidR="009A03B7" w:rsidRPr="009E064B">
        <w:rPr>
          <w:rFonts w:asciiTheme="minorHAnsi" w:hAnsiTheme="minorHAnsi" w:cstheme="minorHAnsi"/>
          <w:b w:val="0"/>
          <w:sz w:val="24"/>
          <w:szCs w:val="20"/>
        </w:rPr>
        <w:t xml:space="preserve"> Warszawa</w:t>
      </w:r>
    </w:p>
    <w:p w14:paraId="34837CB9" w14:textId="12819A06" w:rsidR="00EC7258" w:rsidRPr="009E064B" w:rsidRDefault="00EC7258" w:rsidP="009A03B7">
      <w:pPr>
        <w:pStyle w:val="Nagwek11"/>
        <w:tabs>
          <w:tab w:val="left" w:pos="3090"/>
        </w:tabs>
        <w:spacing w:after="0"/>
        <w:ind w:right="-2"/>
        <w:outlineLvl w:val="9"/>
        <w:rPr>
          <w:rFonts w:asciiTheme="minorHAnsi" w:hAnsiTheme="minorHAnsi" w:cstheme="minorHAnsi"/>
          <w:b w:val="0"/>
          <w:sz w:val="24"/>
          <w:szCs w:val="20"/>
        </w:rPr>
      </w:pPr>
    </w:p>
    <w:p w14:paraId="2223C90B" w14:textId="0C494DEF" w:rsidR="00630A00" w:rsidRPr="00154387" w:rsidRDefault="00EC7258" w:rsidP="009329A1">
      <w:pPr>
        <w:pStyle w:val="Nagwek11"/>
        <w:tabs>
          <w:tab w:val="left" w:pos="3090"/>
        </w:tabs>
        <w:spacing w:after="0"/>
        <w:ind w:right="-2"/>
        <w:outlineLvl w:val="9"/>
        <w:rPr>
          <w:rFonts w:asciiTheme="minorHAnsi" w:hAnsiTheme="minorHAnsi" w:cstheme="minorHAnsi"/>
          <w:b w:val="0"/>
          <w:color w:val="FF0000"/>
          <w:sz w:val="22"/>
          <w:szCs w:val="20"/>
        </w:rPr>
      </w:pPr>
      <w:r w:rsidRPr="00154387">
        <w:rPr>
          <w:rFonts w:asciiTheme="minorHAnsi" w:hAnsiTheme="minorHAnsi" w:cstheme="minorHAnsi"/>
          <w:b w:val="0"/>
          <w:color w:val="FF0000"/>
          <w:sz w:val="22"/>
          <w:szCs w:val="20"/>
        </w:rPr>
        <w:t xml:space="preserve">Wersja tłumaczenia z dnia </w:t>
      </w:r>
      <w:r w:rsidR="00091DCE">
        <w:rPr>
          <w:rFonts w:asciiTheme="minorHAnsi" w:hAnsiTheme="minorHAnsi" w:cstheme="minorHAnsi"/>
          <w:b w:val="0"/>
          <w:color w:val="FF0000"/>
          <w:sz w:val="22"/>
          <w:szCs w:val="20"/>
        </w:rPr>
        <w:t>28</w:t>
      </w:r>
      <w:r w:rsidR="00154387" w:rsidRPr="00154387">
        <w:rPr>
          <w:rFonts w:asciiTheme="minorHAnsi" w:hAnsiTheme="minorHAnsi" w:cstheme="minorHAnsi"/>
          <w:b w:val="0"/>
          <w:color w:val="FF0000"/>
          <w:sz w:val="22"/>
          <w:szCs w:val="20"/>
        </w:rPr>
        <w:t xml:space="preserve"> czerwca </w:t>
      </w:r>
      <w:r w:rsidR="00D520B6" w:rsidRPr="00154387">
        <w:rPr>
          <w:rFonts w:asciiTheme="minorHAnsi" w:hAnsiTheme="minorHAnsi" w:cstheme="minorHAnsi"/>
          <w:b w:val="0"/>
          <w:color w:val="FF0000"/>
          <w:sz w:val="22"/>
          <w:szCs w:val="20"/>
        </w:rPr>
        <w:t>2019</w:t>
      </w:r>
      <w:r w:rsidRPr="00154387">
        <w:rPr>
          <w:rFonts w:asciiTheme="minorHAnsi" w:hAnsiTheme="minorHAnsi" w:cstheme="minorHAnsi"/>
          <w:b w:val="0"/>
          <w:color w:val="FF0000"/>
          <w:sz w:val="22"/>
          <w:szCs w:val="20"/>
        </w:rPr>
        <w:t xml:space="preserve"> r.</w:t>
      </w:r>
    </w:p>
    <w:p w14:paraId="5EE6FC23" w14:textId="328C8C27" w:rsidR="009329A1" w:rsidRDefault="009329A1" w:rsidP="009329A1"/>
    <w:p w14:paraId="54E97A60" w14:textId="77777777" w:rsidR="00630A00" w:rsidRPr="009329A1" w:rsidRDefault="00630A00" w:rsidP="009329A1">
      <w:pPr>
        <w:sectPr w:rsidR="00630A00" w:rsidRPr="009329A1" w:rsidSect="00AE1280">
          <w:headerReference w:type="first" r:id="rId14"/>
          <w:footerReference w:type="first" r:id="rId15"/>
          <w:pgSz w:w="11906" w:h="16840" w:code="9"/>
          <w:pgMar w:top="1701" w:right="1418" w:bottom="1418" w:left="1418" w:header="567" w:footer="454" w:gutter="0"/>
          <w:cols w:space="708"/>
          <w:titlePg/>
        </w:sectPr>
      </w:pPr>
    </w:p>
    <w:p w14:paraId="4A9BAF45" w14:textId="7CDD6536" w:rsidR="00AC46C4" w:rsidRPr="009E064B" w:rsidRDefault="00AC46C4" w:rsidP="00AC46C4"/>
    <w:p w14:paraId="5480C453" w14:textId="77777777" w:rsidR="00AC46C4" w:rsidRPr="009E064B" w:rsidRDefault="00AC46C4" w:rsidP="00AC46C4"/>
    <w:p w14:paraId="76EC692A" w14:textId="102DDD9E" w:rsidR="00B93D57" w:rsidRPr="00932998" w:rsidRDefault="00513FD7" w:rsidP="00513FD7">
      <w:pPr>
        <w:pStyle w:val="Nagwek11"/>
        <w:ind w:right="-2"/>
        <w:jc w:val="center"/>
        <w:outlineLvl w:val="9"/>
        <w:rPr>
          <w:rFonts w:asciiTheme="minorHAnsi" w:hAnsiTheme="minorHAnsi" w:cstheme="minorHAnsi"/>
          <w:color w:val="0070C0"/>
          <w:sz w:val="20"/>
          <w:szCs w:val="20"/>
          <w:lang w:val="en-GB"/>
        </w:rPr>
      </w:pPr>
      <w:r w:rsidRPr="00932998">
        <w:rPr>
          <w:bCs w:val="0"/>
          <w:color w:val="0070C0"/>
          <w:sz w:val="48"/>
          <w:szCs w:val="48"/>
          <w:lang w:val="en-GB"/>
        </w:rPr>
        <w:t>Easy Access Rules for Aerodromes (Regulation (EU) No 139/2014)</w:t>
      </w:r>
    </w:p>
    <w:p w14:paraId="3CF4E166" w14:textId="16E1BD6E" w:rsidR="0031311E" w:rsidRPr="00932998" w:rsidRDefault="0031311E" w:rsidP="00D96166">
      <w:pPr>
        <w:pStyle w:val="Nagwek11"/>
        <w:ind w:right="-2"/>
        <w:jc w:val="left"/>
        <w:outlineLvl w:val="9"/>
        <w:rPr>
          <w:rFonts w:asciiTheme="minorHAnsi" w:hAnsiTheme="minorHAnsi" w:cstheme="minorHAnsi"/>
          <w:sz w:val="20"/>
          <w:szCs w:val="20"/>
          <w:lang w:val="en-GB"/>
        </w:rPr>
      </w:pPr>
    </w:p>
    <w:p w14:paraId="6D2CD5F6" w14:textId="77777777" w:rsidR="00AC46C4" w:rsidRPr="00932998" w:rsidRDefault="00AC46C4" w:rsidP="00D96166">
      <w:pPr>
        <w:pStyle w:val="Nagwek11"/>
        <w:ind w:right="-2"/>
        <w:jc w:val="left"/>
        <w:outlineLvl w:val="9"/>
        <w:rPr>
          <w:rFonts w:asciiTheme="minorHAnsi" w:hAnsiTheme="minorHAnsi" w:cstheme="minorHAnsi"/>
          <w:sz w:val="20"/>
          <w:szCs w:val="20"/>
          <w:lang w:val="en-GB"/>
        </w:rPr>
      </w:pPr>
    </w:p>
    <w:tbl>
      <w:tblPr>
        <w:tblStyle w:val="Tabela-Siatka"/>
        <w:tblW w:w="9072" w:type="dxa"/>
        <w:jc w:val="center"/>
        <w:tblCellMar>
          <w:top w:w="142" w:type="dxa"/>
          <w:left w:w="142" w:type="dxa"/>
          <w:bottom w:w="142" w:type="dxa"/>
          <w:right w:w="142" w:type="dxa"/>
        </w:tblCellMar>
        <w:tblLook w:val="04A0" w:firstRow="1" w:lastRow="0" w:firstColumn="1" w:lastColumn="0" w:noHBand="0" w:noVBand="1"/>
      </w:tblPr>
      <w:tblGrid>
        <w:gridCol w:w="9072"/>
      </w:tblGrid>
      <w:tr w:rsidR="0031311E" w:rsidRPr="009E064B" w14:paraId="2FF3EB67" w14:textId="77777777" w:rsidTr="00D647C3">
        <w:trPr>
          <w:jc w:val="center"/>
        </w:trPr>
        <w:tc>
          <w:tcPr>
            <w:tcW w:w="5000" w:type="pct"/>
          </w:tcPr>
          <w:p w14:paraId="6DE61F5E" w14:textId="77777777" w:rsidR="0031311E" w:rsidRPr="009E064B" w:rsidRDefault="0031311E" w:rsidP="00D647C3">
            <w:pPr>
              <w:spacing w:before="120"/>
              <w:ind w:left="143" w:right="170"/>
              <w:jc w:val="center"/>
              <w:rPr>
                <w:b/>
              </w:rPr>
            </w:pPr>
            <w:r w:rsidRPr="009E064B">
              <w:rPr>
                <w:b/>
              </w:rPr>
              <w:t xml:space="preserve">Przepisy elektroniczne „EASA eRules” </w:t>
            </w:r>
            <w:r w:rsidRPr="009E064B">
              <w:rPr>
                <w:rFonts w:cs="Calibri"/>
                <w:b/>
              </w:rPr>
              <w:t>—</w:t>
            </w:r>
            <w:r w:rsidRPr="009E064B">
              <w:rPr>
                <w:b/>
              </w:rPr>
              <w:t xml:space="preserve"> przepisami lotniczymi na XXI wiek</w:t>
            </w:r>
          </w:p>
          <w:p w14:paraId="304E577B" w14:textId="77777777" w:rsidR="0031311E" w:rsidRPr="009E064B" w:rsidRDefault="0031311E" w:rsidP="00D647C3">
            <w:pPr>
              <w:ind w:left="143" w:right="170"/>
            </w:pPr>
            <w:r w:rsidRPr="009E064B">
              <w:t>Regulacje prawne i przepisy stanowią podstawę systemu lotnictwa cywilnego Unii Europejskiej. Celem projektu „EASA eRules” czyli projektu przepisów EASA w wersji elektronicznej jest udostępnienie ich zainteresowanym stronom w skuteczny i niezawodny sposób.</w:t>
            </w:r>
          </w:p>
          <w:p w14:paraId="487EC6C0" w14:textId="77777777" w:rsidR="0031311E" w:rsidRPr="009E064B" w:rsidRDefault="0031311E" w:rsidP="00D647C3">
            <w:pPr>
              <w:ind w:left="143" w:right="170"/>
            </w:pPr>
            <w:r w:rsidRPr="009E064B">
              <w:t>Przepisy elektroniczne „EASA eRules” będą stanowiły kompleksowy, jednolity systemem służący do opracowywania projektów, udostępniania i przechowywania przepisów. Będzie to jedyne źródło wszystkich przepisów dotyczących bezpieczeństwa lotniczego mających zastosowanie do użytkowników przestrzeni powietrznej Unii Europejskiej. Zapewnią one łatwy dostęp (online) do wszystkich aktów prawnych UE i innych przepisów, jak również nowych i innowacyjnych aplikacji, takich jak automatyzacja procesu tworzenia prawa, konsultacje z zainteresowanymi stronami, odniesienia do innych przepisów i porównania z normami i zaleceniami ICAO oraz przepisami krajów trzecich.</w:t>
            </w:r>
          </w:p>
          <w:p w14:paraId="429B8F03" w14:textId="77777777" w:rsidR="0031311E" w:rsidRPr="009E064B" w:rsidRDefault="0031311E" w:rsidP="00D647C3">
            <w:pPr>
              <w:ind w:left="143" w:right="170"/>
            </w:pPr>
            <w:r w:rsidRPr="009E064B">
              <w:t>Aby osiągnąć te ambitne cele, projekt przepisów elektronicznych: „EASA eRule” składa się z dziesięciu modułów obejmujących wszystkie przepisy lotnicze i funkcje innowacyjne.</w:t>
            </w:r>
          </w:p>
          <w:p w14:paraId="3F620F5B" w14:textId="77777777" w:rsidR="0031311E" w:rsidRPr="009E064B" w:rsidRDefault="0031311E" w:rsidP="00D647C3">
            <w:pPr>
              <w:ind w:left="143" w:right="170"/>
              <w:rPr>
                <w:b/>
                <w:sz w:val="20"/>
              </w:rPr>
            </w:pPr>
            <w:r w:rsidRPr="009E064B">
              <w:t>System przepisów elektronicznych „EASA eRules” jest opracowywany i wdrażany w ścisłej współpracy z Państwami Członkowskimi i branżą lotniczą, aby zapewnić, że wszystkie jego możliwości są odpowiednie i skuteczne.</w:t>
            </w:r>
          </w:p>
        </w:tc>
      </w:tr>
    </w:tbl>
    <w:p w14:paraId="3D518C0A" w14:textId="1C77E178" w:rsidR="0031311E" w:rsidRPr="009E064B" w:rsidRDefault="0031311E" w:rsidP="00D96166">
      <w:pPr>
        <w:pStyle w:val="Nagwek11"/>
        <w:ind w:right="-2"/>
        <w:jc w:val="left"/>
        <w:outlineLvl w:val="9"/>
        <w:rPr>
          <w:rFonts w:asciiTheme="minorHAnsi" w:hAnsiTheme="minorHAnsi" w:cstheme="minorHAnsi"/>
          <w:sz w:val="20"/>
          <w:szCs w:val="20"/>
        </w:rPr>
      </w:pPr>
    </w:p>
    <w:p w14:paraId="3E116D32" w14:textId="4E74FE55" w:rsidR="0031311E" w:rsidRPr="009E064B" w:rsidRDefault="00AC46C4" w:rsidP="00AC46C4">
      <w:pPr>
        <w:pStyle w:val="Nagwek11"/>
        <w:ind w:right="-2"/>
        <w:jc w:val="center"/>
        <w:outlineLvl w:val="9"/>
        <w:rPr>
          <w:rFonts w:asciiTheme="minorHAnsi" w:hAnsiTheme="minorHAnsi" w:cstheme="minorHAnsi"/>
          <w:b w:val="0"/>
          <w:sz w:val="22"/>
          <w:szCs w:val="22"/>
        </w:rPr>
      </w:pPr>
      <w:r w:rsidRPr="009E064B">
        <w:rPr>
          <w:rStyle w:val="shorttext"/>
          <w:rFonts w:asciiTheme="minorHAnsi" w:hAnsiTheme="minorHAnsi" w:cstheme="minorHAnsi"/>
          <w:b w:val="0"/>
          <w:sz w:val="22"/>
          <w:szCs w:val="22"/>
        </w:rPr>
        <w:t xml:space="preserve">Opublikowane przez EASA w </w:t>
      </w:r>
      <w:r w:rsidR="009329A1">
        <w:rPr>
          <w:rStyle w:val="shorttext"/>
          <w:rFonts w:asciiTheme="minorHAnsi" w:hAnsiTheme="minorHAnsi" w:cstheme="minorHAnsi"/>
          <w:b w:val="0"/>
          <w:sz w:val="22"/>
          <w:szCs w:val="22"/>
        </w:rPr>
        <w:t>maju 2019</w:t>
      </w:r>
      <w:r w:rsidRPr="009E064B">
        <w:rPr>
          <w:rStyle w:val="shorttext"/>
          <w:rFonts w:asciiTheme="minorHAnsi" w:hAnsiTheme="minorHAnsi" w:cstheme="minorHAnsi"/>
          <w:b w:val="0"/>
          <w:sz w:val="22"/>
          <w:szCs w:val="22"/>
        </w:rPr>
        <w:t> r</w:t>
      </w:r>
      <w:r w:rsidRPr="009E064B">
        <w:rPr>
          <w:rStyle w:val="Odwoanieprzypisudolnego"/>
          <w:rFonts w:asciiTheme="minorHAnsi" w:hAnsiTheme="minorHAnsi" w:cstheme="minorHAnsi"/>
          <w:b w:val="0"/>
          <w:sz w:val="22"/>
          <w:szCs w:val="22"/>
        </w:rPr>
        <w:footnoteReference w:id="1"/>
      </w:r>
      <w:r w:rsidRPr="009E064B">
        <w:rPr>
          <w:rStyle w:val="shorttext"/>
          <w:rFonts w:asciiTheme="minorHAnsi" w:hAnsiTheme="minorHAnsi" w:cstheme="minorHAnsi"/>
          <w:b w:val="0"/>
          <w:sz w:val="22"/>
          <w:szCs w:val="22"/>
        </w:rPr>
        <w:t>.</w:t>
      </w:r>
    </w:p>
    <w:p w14:paraId="19FBF6DC" w14:textId="35C38B52" w:rsidR="00AC46C4" w:rsidRPr="009E064B" w:rsidRDefault="00AC46C4" w:rsidP="00D96166">
      <w:pPr>
        <w:pStyle w:val="Nagwek11"/>
        <w:ind w:right="-2"/>
        <w:jc w:val="left"/>
        <w:outlineLvl w:val="9"/>
        <w:rPr>
          <w:rFonts w:asciiTheme="minorHAnsi" w:hAnsiTheme="minorHAnsi" w:cstheme="minorHAnsi"/>
          <w:sz w:val="20"/>
          <w:szCs w:val="20"/>
        </w:rPr>
      </w:pPr>
    </w:p>
    <w:p w14:paraId="29C4A148" w14:textId="77777777" w:rsidR="00AC46C4" w:rsidRPr="009E064B" w:rsidRDefault="00AC46C4" w:rsidP="00D96166">
      <w:pPr>
        <w:pStyle w:val="Nagwek11"/>
        <w:ind w:right="-2"/>
        <w:jc w:val="left"/>
        <w:outlineLvl w:val="9"/>
        <w:rPr>
          <w:rFonts w:asciiTheme="minorHAnsi" w:hAnsiTheme="minorHAnsi" w:cstheme="minorHAnsi"/>
          <w:sz w:val="20"/>
          <w:szCs w:val="20"/>
        </w:rPr>
      </w:pPr>
    </w:p>
    <w:p w14:paraId="4889D9BA" w14:textId="77777777" w:rsidR="00B93D57" w:rsidRPr="00154387" w:rsidRDefault="00B93D57" w:rsidP="00780E35">
      <w:pPr>
        <w:ind w:right="-2"/>
        <w:rPr>
          <w:i/>
          <w:sz w:val="20"/>
          <w:szCs w:val="24"/>
          <w:u w:val="single"/>
        </w:rPr>
      </w:pPr>
      <w:r w:rsidRPr="00154387">
        <w:rPr>
          <w:i/>
          <w:sz w:val="20"/>
          <w:szCs w:val="24"/>
          <w:u w:val="single"/>
        </w:rPr>
        <w:t>Informacja o prawach autorskich</w:t>
      </w:r>
    </w:p>
    <w:p w14:paraId="6B727EAC" w14:textId="5A0570F4" w:rsidR="00B93D57" w:rsidRPr="00154387" w:rsidRDefault="00B93D57" w:rsidP="00780E35">
      <w:pPr>
        <w:spacing w:after="60"/>
        <w:ind w:right="-2"/>
        <w:rPr>
          <w:i/>
          <w:sz w:val="20"/>
          <w:szCs w:val="24"/>
        </w:rPr>
      </w:pPr>
      <w:r w:rsidRPr="00154387">
        <w:rPr>
          <w:i/>
          <w:sz w:val="20"/>
          <w:szCs w:val="24"/>
        </w:rPr>
        <w:t>© Unia Europejska, 199</w:t>
      </w:r>
      <w:r w:rsidR="006747FA" w:rsidRPr="00154387">
        <w:rPr>
          <w:i/>
          <w:sz w:val="20"/>
          <w:szCs w:val="24"/>
        </w:rPr>
        <w:t>8-2018</w:t>
      </w:r>
    </w:p>
    <w:p w14:paraId="7F2D6A51" w14:textId="5D896CA2" w:rsidR="00AC46C4" w:rsidRPr="009E064B" w:rsidRDefault="006747FA" w:rsidP="00AC46C4">
      <w:pPr>
        <w:ind w:right="-2"/>
        <w:rPr>
          <w:i/>
          <w:sz w:val="28"/>
          <w:szCs w:val="24"/>
        </w:rPr>
      </w:pPr>
      <w:r w:rsidRPr="00154387">
        <w:rPr>
          <w:i/>
          <w:sz w:val="20"/>
          <w:szCs w:val="24"/>
        </w:rPr>
        <w:t>O ile nie określono inaczej, ponowne wykorzystanie danych EU</w:t>
      </w:r>
      <w:r w:rsidR="00AC46C4" w:rsidRPr="00154387">
        <w:rPr>
          <w:i/>
          <w:sz w:val="20"/>
          <w:szCs w:val="24"/>
        </w:rPr>
        <w:t>R-Lex w celach komercyjnych lub </w:t>
      </w:r>
      <w:r w:rsidRPr="00154387">
        <w:rPr>
          <w:i/>
          <w:sz w:val="20"/>
          <w:szCs w:val="24"/>
        </w:rPr>
        <w:t>niekomercyjnych jest dozwolone pod warunkiem podania źródła</w:t>
      </w:r>
      <w:r w:rsidR="00AC46C4" w:rsidRPr="00154387">
        <w:rPr>
          <w:i/>
          <w:sz w:val="20"/>
          <w:szCs w:val="24"/>
        </w:rPr>
        <w:t xml:space="preserve">: </w:t>
      </w:r>
      <w:r w:rsidR="00AC46C4" w:rsidRPr="00154387">
        <w:rPr>
          <w:i/>
          <w:iCs/>
          <w:sz w:val="20"/>
          <w:szCs w:val="18"/>
        </w:rPr>
        <w:t xml:space="preserve">('© European  Union, </w:t>
      </w:r>
      <w:hyperlink r:id="rId16" w:history="1">
        <w:r w:rsidR="00AC46C4" w:rsidRPr="00154387">
          <w:rPr>
            <w:rStyle w:val="Hipercze"/>
            <w:i/>
            <w:iCs/>
            <w:sz w:val="20"/>
            <w:szCs w:val="18"/>
          </w:rPr>
          <w:t>http://eur-lex.europa.eu/</w:t>
        </w:r>
      </w:hyperlink>
      <w:r w:rsidR="00AC46C4" w:rsidRPr="00154387">
        <w:rPr>
          <w:i/>
          <w:iCs/>
          <w:sz w:val="20"/>
          <w:szCs w:val="18"/>
        </w:rPr>
        <w:t>, 1998-2018')</w:t>
      </w:r>
      <w:r w:rsidR="00AC46C4" w:rsidRPr="009E064B">
        <w:rPr>
          <w:rStyle w:val="Odwoanieprzypisudolnego"/>
          <w:i/>
          <w:iCs/>
          <w:szCs w:val="18"/>
        </w:rPr>
        <w:footnoteReference w:id="2"/>
      </w:r>
    </w:p>
    <w:p w14:paraId="52C23590" w14:textId="77777777" w:rsidR="0031311E" w:rsidRPr="009E064B" w:rsidRDefault="0031311E" w:rsidP="0031311E">
      <w:pPr>
        <w:ind w:right="565"/>
        <w:rPr>
          <w:i/>
          <w:szCs w:val="24"/>
        </w:rPr>
      </w:pPr>
    </w:p>
    <w:p w14:paraId="431EA039" w14:textId="77777777" w:rsidR="00B93D57" w:rsidRPr="009E064B" w:rsidRDefault="00B93D57" w:rsidP="00D96166">
      <w:pPr>
        <w:pStyle w:val="Nagwek11"/>
        <w:ind w:right="-2"/>
        <w:jc w:val="left"/>
        <w:outlineLvl w:val="9"/>
        <w:rPr>
          <w:rFonts w:asciiTheme="minorHAnsi" w:hAnsiTheme="minorHAnsi" w:cstheme="minorHAnsi"/>
          <w:sz w:val="20"/>
          <w:szCs w:val="20"/>
        </w:rPr>
        <w:sectPr w:rsidR="00B93D57" w:rsidRPr="009E064B" w:rsidSect="00E300A0">
          <w:footerReference w:type="default" r:id="rId17"/>
          <w:headerReference w:type="first" r:id="rId18"/>
          <w:footerReference w:type="first" r:id="rId19"/>
          <w:pgSz w:w="11906" w:h="16840" w:code="9"/>
          <w:pgMar w:top="1701" w:right="1418" w:bottom="1418" w:left="1418" w:header="567" w:footer="454" w:gutter="0"/>
          <w:cols w:space="708"/>
          <w:titlePg/>
        </w:sectPr>
      </w:pPr>
    </w:p>
    <w:p w14:paraId="61B92F21" w14:textId="391ED90B" w:rsidR="00A9332D" w:rsidRPr="009E064B" w:rsidRDefault="00A9332D" w:rsidP="00D96166">
      <w:pPr>
        <w:pStyle w:val="Nagwek11"/>
        <w:ind w:right="-2"/>
        <w:jc w:val="left"/>
        <w:outlineLvl w:val="9"/>
        <w:rPr>
          <w:rFonts w:asciiTheme="minorHAnsi" w:hAnsiTheme="minorHAnsi" w:cstheme="minorHAnsi"/>
          <w:sz w:val="20"/>
          <w:szCs w:val="20"/>
        </w:rPr>
      </w:pPr>
    </w:p>
    <w:p w14:paraId="6F795A3A" w14:textId="77777777" w:rsidR="00AC0AF0" w:rsidRPr="009E064B" w:rsidRDefault="00AC0AF0" w:rsidP="00D96166">
      <w:pPr>
        <w:pStyle w:val="Nagwek11"/>
        <w:ind w:right="-2"/>
        <w:jc w:val="left"/>
        <w:outlineLvl w:val="9"/>
        <w:rPr>
          <w:rFonts w:asciiTheme="minorHAnsi" w:hAnsiTheme="minorHAnsi" w:cstheme="minorHAnsi"/>
          <w:sz w:val="20"/>
          <w:szCs w:val="20"/>
        </w:rPr>
      </w:pPr>
    </w:p>
    <w:p w14:paraId="3C365C38" w14:textId="2A5B042B" w:rsidR="00ED7B3B" w:rsidRPr="009E064B" w:rsidRDefault="00ED7B3B" w:rsidP="00630A00">
      <w:pPr>
        <w:pStyle w:val="Nagwek2"/>
      </w:pPr>
      <w:bookmarkStart w:id="1" w:name="_Toc12532516"/>
      <w:r w:rsidRPr="009E064B">
        <w:t>Zrzeczenie się odpowiedzialności</w:t>
      </w:r>
      <w:bookmarkEnd w:id="1"/>
    </w:p>
    <w:p w14:paraId="040373FD" w14:textId="118E9BE3" w:rsidR="002D0627" w:rsidRPr="009E064B" w:rsidRDefault="002D0627" w:rsidP="00952B1C"/>
    <w:p w14:paraId="6B8AB98C" w14:textId="4F56B319" w:rsidR="00A9332D" w:rsidRPr="009E064B" w:rsidRDefault="001F6397" w:rsidP="00952B1C">
      <w:r w:rsidRPr="009E064B">
        <w:t>Niniejsza</w:t>
      </w:r>
      <w:r w:rsidR="0063611A" w:rsidRPr="009E064B">
        <w:t xml:space="preserve"> wersja przepisów została wydana przez Europejską Agencję Bez</w:t>
      </w:r>
      <w:r w:rsidR="001627F0" w:rsidRPr="009E064B">
        <w:t xml:space="preserve">pieczeństwa Lotniczego (EASA) w </w:t>
      </w:r>
      <w:r w:rsidR="0063611A" w:rsidRPr="009E064B">
        <w:t xml:space="preserve">celu </w:t>
      </w:r>
      <w:r w:rsidR="00952B1C" w:rsidRPr="009E064B">
        <w:t>udostępnienia zainteresowanym stronom zaktualizowanej i czytelnej publikacji</w:t>
      </w:r>
      <w:r w:rsidR="007F6A80" w:rsidRPr="009E064B">
        <w:t xml:space="preserve"> obowiązujących wymagań dla lotnisk</w:t>
      </w:r>
      <w:r w:rsidR="00952B1C" w:rsidRPr="009E064B">
        <w:t xml:space="preserve">. Została ona przygotowana poprzez odpowiednie ułożenie oficjalnie opublikowanych przepisów rozporządzenia </w:t>
      </w:r>
      <w:r w:rsidR="00A9332D" w:rsidRPr="009E064B">
        <w:t xml:space="preserve">Komisji Europejskiej </w:t>
      </w:r>
      <w:r w:rsidR="00A80E78" w:rsidRPr="009E064B">
        <w:t>n</w:t>
      </w:r>
      <w:r w:rsidR="00780E35" w:rsidRPr="009E064B">
        <w:t>r </w:t>
      </w:r>
      <w:r w:rsidR="007F6A80" w:rsidRPr="009E064B">
        <w:t>139/2014 razem z </w:t>
      </w:r>
      <w:r w:rsidR="001760C9" w:rsidRPr="009E064B">
        <w:t>odpowia</w:t>
      </w:r>
      <w:r w:rsidR="00952B1C" w:rsidRPr="009E064B">
        <w:t>dającymi im dotychcz</w:t>
      </w:r>
      <w:r w:rsidR="001760C9" w:rsidRPr="009E064B">
        <w:t>a</w:t>
      </w:r>
      <w:r w:rsidR="00952B1C" w:rsidRPr="009E064B">
        <w:t xml:space="preserve">s </w:t>
      </w:r>
      <w:r w:rsidR="00A9332D" w:rsidRPr="009E064B">
        <w:t xml:space="preserve">wydanymi przez EASA </w:t>
      </w:r>
      <w:r w:rsidR="00952B1C" w:rsidRPr="009E064B">
        <w:t xml:space="preserve">akceptowalnymi </w:t>
      </w:r>
      <w:r w:rsidR="003F18B8" w:rsidRPr="009E064B">
        <w:t>sposobami spełniania</w:t>
      </w:r>
      <w:r w:rsidR="00952B1C" w:rsidRPr="009E064B">
        <w:t xml:space="preserve"> wymagań (AMC) </w:t>
      </w:r>
      <w:r w:rsidR="00D96166" w:rsidRPr="009E064B">
        <w:t xml:space="preserve">i materiałami </w:t>
      </w:r>
      <w:r w:rsidR="003F18B8" w:rsidRPr="009E064B">
        <w:t>zawierającymi</w:t>
      </w:r>
      <w:r w:rsidR="00301536" w:rsidRPr="009E064B">
        <w:t xml:space="preserve"> wytyczne (GM) (włącznie z</w:t>
      </w:r>
      <w:r w:rsidR="001627F0" w:rsidRPr="009E064B">
        <w:t xml:space="preserve"> </w:t>
      </w:r>
      <w:r w:rsidR="00952B1C" w:rsidRPr="009E064B">
        <w:t xml:space="preserve">wprowadzonymi zmianami) oraz specyfikacjami certyfikacyjnymi </w:t>
      </w:r>
      <w:r w:rsidR="00D96166" w:rsidRPr="009E064B">
        <w:t>(CS)</w:t>
      </w:r>
      <w:r w:rsidR="00952B1C" w:rsidRPr="009E064B">
        <w:t xml:space="preserve"> </w:t>
      </w:r>
      <w:r w:rsidR="00D96166" w:rsidRPr="009E064B">
        <w:t xml:space="preserve">i materiałami </w:t>
      </w:r>
      <w:r w:rsidR="003F18B8" w:rsidRPr="009E064B">
        <w:t>zawierającymi</w:t>
      </w:r>
      <w:r w:rsidR="00D96166" w:rsidRPr="009E064B">
        <w:t xml:space="preserve"> wytyczne (GM). </w:t>
      </w:r>
    </w:p>
    <w:p w14:paraId="6DB14058" w14:textId="6BCAE2AB" w:rsidR="007374CF" w:rsidRPr="009E064B" w:rsidRDefault="00A9332D" w:rsidP="00952B1C">
      <w:pPr>
        <w:rPr>
          <w:sz w:val="24"/>
        </w:rPr>
      </w:pPr>
      <w:r w:rsidRPr="009E064B">
        <w:t xml:space="preserve">Należy </w:t>
      </w:r>
      <w:r w:rsidR="006747FA" w:rsidRPr="009E064B">
        <w:t xml:space="preserve">jednak </w:t>
      </w:r>
      <w:r w:rsidRPr="009E064B">
        <w:t>pamięta</w:t>
      </w:r>
      <w:r w:rsidR="00BF3EC7" w:rsidRPr="009E064B">
        <w:t>ć</w:t>
      </w:r>
      <w:r w:rsidRPr="009E064B">
        <w:t>, że</w:t>
      </w:r>
      <w:r w:rsidR="00D96166" w:rsidRPr="009E064B">
        <w:t xml:space="preserve"> nie</w:t>
      </w:r>
      <w:r w:rsidR="00952B1C" w:rsidRPr="009E064B">
        <w:t xml:space="preserve"> jest to oficjaln</w:t>
      </w:r>
      <w:r w:rsidR="007F6A80" w:rsidRPr="009E064B">
        <w:t>e wydanie obowiązujących przepisów, dlatego</w:t>
      </w:r>
      <w:r w:rsidR="00D96166" w:rsidRPr="009E064B">
        <w:t xml:space="preserve"> </w:t>
      </w:r>
      <w:r w:rsidR="00952B1C" w:rsidRPr="009E064B">
        <w:t xml:space="preserve">EASA nie ponosi odpowiedzialności za </w:t>
      </w:r>
      <w:r w:rsidR="00D96166" w:rsidRPr="009E064B">
        <w:t xml:space="preserve">jakiekolwiek </w:t>
      </w:r>
      <w:r w:rsidR="00952B1C" w:rsidRPr="009E064B">
        <w:t>szkody wynikłe z ryzyka związanego z użyciem tego dokumentu.</w:t>
      </w:r>
      <w:r w:rsidR="0063611A" w:rsidRPr="009E064B">
        <w:rPr>
          <w:rStyle w:val="Odwoanieprzypisudolnego"/>
        </w:rPr>
        <w:footnoteReference w:id="3"/>
      </w:r>
    </w:p>
    <w:p w14:paraId="7FD3AC1F" w14:textId="506368C5" w:rsidR="0031311E" w:rsidRPr="009E064B" w:rsidRDefault="0031311E" w:rsidP="00D96166">
      <w:pPr>
        <w:pStyle w:val="Nagwek11"/>
        <w:ind w:right="-2"/>
        <w:jc w:val="left"/>
        <w:outlineLvl w:val="9"/>
        <w:rPr>
          <w:rFonts w:asciiTheme="minorHAnsi" w:hAnsiTheme="minorHAnsi" w:cstheme="minorHAnsi"/>
          <w:sz w:val="20"/>
          <w:szCs w:val="20"/>
        </w:rPr>
      </w:pPr>
    </w:p>
    <w:p w14:paraId="21192001" w14:textId="77777777" w:rsidR="00C25892" w:rsidRPr="009E064B" w:rsidRDefault="00C25892" w:rsidP="00D96166">
      <w:pPr>
        <w:pStyle w:val="Nagwek11"/>
        <w:ind w:right="-2"/>
        <w:jc w:val="left"/>
        <w:outlineLvl w:val="9"/>
        <w:rPr>
          <w:rFonts w:asciiTheme="minorHAnsi" w:hAnsiTheme="minorHAnsi" w:cstheme="minorHAnsi"/>
          <w:sz w:val="20"/>
          <w:szCs w:val="20"/>
        </w:rPr>
        <w:sectPr w:rsidR="00C25892" w:rsidRPr="009E064B" w:rsidSect="00AE1280">
          <w:headerReference w:type="first" r:id="rId20"/>
          <w:pgSz w:w="11906" w:h="16840" w:code="9"/>
          <w:pgMar w:top="1701" w:right="1418" w:bottom="1418" w:left="1418" w:header="567" w:footer="454" w:gutter="0"/>
          <w:cols w:space="708"/>
          <w:titlePg/>
        </w:sectPr>
      </w:pPr>
    </w:p>
    <w:p w14:paraId="10B73F03" w14:textId="75FDB517" w:rsidR="00C25892" w:rsidRPr="009E064B" w:rsidRDefault="00C25892" w:rsidP="00D96166">
      <w:pPr>
        <w:pStyle w:val="Nagwek11"/>
        <w:ind w:right="-2"/>
        <w:jc w:val="left"/>
        <w:outlineLvl w:val="9"/>
        <w:rPr>
          <w:rFonts w:asciiTheme="minorHAnsi" w:hAnsiTheme="minorHAnsi" w:cstheme="minorHAnsi"/>
          <w:sz w:val="20"/>
          <w:szCs w:val="20"/>
        </w:rPr>
      </w:pPr>
    </w:p>
    <w:p w14:paraId="168E19EA" w14:textId="34593528" w:rsidR="00C25892" w:rsidRPr="009E064B" w:rsidRDefault="00D520B6" w:rsidP="00C25892">
      <w:pPr>
        <w:pStyle w:val="Nagwek2"/>
      </w:pPr>
      <w:bookmarkStart w:id="2" w:name="_Toc12532517"/>
      <w:r w:rsidRPr="009E064B">
        <w:t>Wykaz zmian</w:t>
      </w:r>
      <w:bookmarkEnd w:id="2"/>
      <w:r w:rsidR="00C25146" w:rsidRPr="009E064B">
        <w:t xml:space="preserve"> </w:t>
      </w:r>
    </w:p>
    <w:p w14:paraId="6484F32F" w14:textId="77777777" w:rsidR="00C25892" w:rsidRPr="009E064B" w:rsidRDefault="00C25892" w:rsidP="00C25892"/>
    <w:tbl>
      <w:tblPr>
        <w:tblStyle w:val="Tabela-Siatka"/>
        <w:tblW w:w="0" w:type="auto"/>
        <w:tblLook w:val="04A0" w:firstRow="1" w:lastRow="0" w:firstColumn="1" w:lastColumn="0" w:noHBand="0" w:noVBand="1"/>
      </w:tblPr>
      <w:tblGrid>
        <w:gridCol w:w="1696"/>
        <w:gridCol w:w="7364"/>
      </w:tblGrid>
      <w:tr w:rsidR="00C25892" w:rsidRPr="009E064B" w14:paraId="3BDD0482" w14:textId="77777777" w:rsidTr="00FE2F0C">
        <w:tc>
          <w:tcPr>
            <w:tcW w:w="1696" w:type="dxa"/>
            <w:shd w:val="clear" w:color="auto" w:fill="DAEEF3" w:themeFill="accent5" w:themeFillTint="33"/>
            <w:tcMar>
              <w:top w:w="85" w:type="dxa"/>
              <w:bottom w:w="85" w:type="dxa"/>
            </w:tcMar>
          </w:tcPr>
          <w:p w14:paraId="54130B48" w14:textId="1B76AEF8" w:rsidR="00C25892" w:rsidRPr="009E064B" w:rsidRDefault="00C25892" w:rsidP="00C25892">
            <w:pPr>
              <w:spacing w:after="0"/>
              <w:jc w:val="center"/>
              <w:rPr>
                <w:b/>
                <w:sz w:val="20"/>
              </w:rPr>
            </w:pPr>
            <w:r w:rsidRPr="009E064B">
              <w:rPr>
                <w:b/>
                <w:sz w:val="20"/>
              </w:rPr>
              <w:t>Data publikacji</w:t>
            </w:r>
          </w:p>
        </w:tc>
        <w:tc>
          <w:tcPr>
            <w:tcW w:w="7364" w:type="dxa"/>
            <w:shd w:val="clear" w:color="auto" w:fill="DAEEF3" w:themeFill="accent5" w:themeFillTint="33"/>
            <w:tcMar>
              <w:top w:w="85" w:type="dxa"/>
              <w:bottom w:w="85" w:type="dxa"/>
            </w:tcMar>
          </w:tcPr>
          <w:p w14:paraId="79A4A1B8" w14:textId="3BDBA49A" w:rsidR="00C25892" w:rsidRPr="009E064B" w:rsidRDefault="00C25892" w:rsidP="00C25892">
            <w:pPr>
              <w:spacing w:after="0"/>
              <w:jc w:val="center"/>
              <w:rPr>
                <w:b/>
                <w:sz w:val="20"/>
              </w:rPr>
            </w:pPr>
            <w:r w:rsidRPr="009E064B">
              <w:rPr>
                <w:b/>
                <w:sz w:val="20"/>
              </w:rPr>
              <w:t>Przyczyna zmiany</w:t>
            </w:r>
          </w:p>
        </w:tc>
      </w:tr>
      <w:tr w:rsidR="00C25892" w:rsidRPr="009E064B" w14:paraId="724A167F" w14:textId="77777777" w:rsidTr="00FE2F0C">
        <w:tc>
          <w:tcPr>
            <w:tcW w:w="1696" w:type="dxa"/>
            <w:tcMar>
              <w:top w:w="85" w:type="dxa"/>
              <w:bottom w:w="85" w:type="dxa"/>
            </w:tcMar>
          </w:tcPr>
          <w:p w14:paraId="2902C206" w14:textId="0983840D" w:rsidR="00C25892" w:rsidRPr="009E064B" w:rsidRDefault="00FE2F0C" w:rsidP="00C25892">
            <w:pPr>
              <w:spacing w:after="0"/>
              <w:rPr>
                <w:sz w:val="20"/>
              </w:rPr>
            </w:pPr>
            <w:r w:rsidRPr="009E064B">
              <w:rPr>
                <w:sz w:val="20"/>
              </w:rPr>
              <w:t>Sierpień 2017</w:t>
            </w:r>
          </w:p>
        </w:tc>
        <w:tc>
          <w:tcPr>
            <w:tcW w:w="7364" w:type="dxa"/>
            <w:tcMar>
              <w:top w:w="85" w:type="dxa"/>
              <w:bottom w:w="85" w:type="dxa"/>
            </w:tcMar>
          </w:tcPr>
          <w:p w14:paraId="69DA2F01" w14:textId="653170FD" w:rsidR="00C25892" w:rsidRPr="009E064B" w:rsidRDefault="00FE2F0C" w:rsidP="00C25892">
            <w:pPr>
              <w:spacing w:after="0"/>
              <w:rPr>
                <w:sz w:val="20"/>
              </w:rPr>
            </w:pPr>
            <w:r w:rsidRPr="009E064B">
              <w:rPr>
                <w:sz w:val="20"/>
              </w:rPr>
              <w:t>Wydanie pierwsze dokumentu „</w:t>
            </w:r>
            <w:r w:rsidRPr="009E064B">
              <w:rPr>
                <w:i/>
                <w:sz w:val="20"/>
              </w:rPr>
              <w:t>Łatwo Dostępne Przepisy dla Lotnisk (Rozporządzenie (UE) Nr 139/2014)</w:t>
            </w:r>
            <w:r w:rsidRPr="009E064B">
              <w:rPr>
                <w:sz w:val="20"/>
              </w:rPr>
              <w:t>” opracowanego w ramach przepisów elektronicznych EASA eRules.</w:t>
            </w:r>
          </w:p>
        </w:tc>
      </w:tr>
      <w:tr w:rsidR="009329A1" w:rsidRPr="009329A1" w14:paraId="55F0B735" w14:textId="77777777" w:rsidTr="009329A1">
        <w:tc>
          <w:tcPr>
            <w:tcW w:w="1696" w:type="dxa"/>
            <w:tcMar>
              <w:top w:w="85" w:type="dxa"/>
              <w:bottom w:w="85" w:type="dxa"/>
            </w:tcMar>
          </w:tcPr>
          <w:p w14:paraId="35B053BD" w14:textId="77777777" w:rsidR="009329A1" w:rsidRPr="009329A1" w:rsidRDefault="009329A1" w:rsidP="009329A1">
            <w:pPr>
              <w:spacing w:after="0"/>
              <w:rPr>
                <w:sz w:val="20"/>
              </w:rPr>
            </w:pPr>
            <w:r w:rsidRPr="009329A1">
              <w:rPr>
                <w:sz w:val="20"/>
              </w:rPr>
              <w:t>Styczeń 2018</w:t>
            </w:r>
          </w:p>
        </w:tc>
        <w:tc>
          <w:tcPr>
            <w:tcW w:w="7364" w:type="dxa"/>
            <w:tcMar>
              <w:top w:w="85" w:type="dxa"/>
              <w:bottom w:w="85" w:type="dxa"/>
            </w:tcMar>
          </w:tcPr>
          <w:p w14:paraId="48894A35" w14:textId="77777777" w:rsidR="009329A1" w:rsidRPr="009329A1" w:rsidRDefault="009329A1" w:rsidP="009329A1">
            <w:pPr>
              <w:spacing w:after="0"/>
              <w:rPr>
                <w:sz w:val="20"/>
              </w:rPr>
            </w:pPr>
            <w:r w:rsidRPr="009329A1">
              <w:rPr>
                <w:sz w:val="20"/>
              </w:rPr>
              <w:t>Zmiana mająca na celu wdrożenie wydania czwartego „</w:t>
            </w:r>
            <w:r w:rsidRPr="009329A1">
              <w:rPr>
                <w:i/>
                <w:sz w:val="20"/>
              </w:rPr>
              <w:t>Specyfikacji Certyfikacyjnych (CS) oraz Materiałów Zawierających Wytyczne (GM) do Projektowania Lotnisk</w:t>
            </w:r>
            <w:r w:rsidRPr="009329A1">
              <w:rPr>
                <w:sz w:val="20"/>
              </w:rPr>
              <w:t xml:space="preserve">” opublikowanych na podstawie </w:t>
            </w:r>
            <w:hyperlink r:id="rId21" w:history="1">
              <w:r w:rsidRPr="009329A1">
                <w:rPr>
                  <w:rStyle w:val="Hipercze"/>
                  <w:sz w:val="20"/>
                </w:rPr>
                <w:t>Decyzji Dyrektora Wykonawczego EASA nr 2017/021/R</w:t>
              </w:r>
            </w:hyperlink>
            <w:r w:rsidRPr="009329A1">
              <w:rPr>
                <w:sz w:val="20"/>
              </w:rPr>
              <w:t xml:space="preserve"> .</w:t>
            </w:r>
          </w:p>
        </w:tc>
      </w:tr>
      <w:tr w:rsidR="00C25892" w:rsidRPr="001119A4" w14:paraId="459FC447" w14:textId="77777777" w:rsidTr="00FE2F0C">
        <w:tc>
          <w:tcPr>
            <w:tcW w:w="1696" w:type="dxa"/>
            <w:tcMar>
              <w:top w:w="85" w:type="dxa"/>
              <w:bottom w:w="85" w:type="dxa"/>
            </w:tcMar>
          </w:tcPr>
          <w:p w14:paraId="1F4DFDE0" w14:textId="2E94034B" w:rsidR="00C25892" w:rsidRPr="009E064B" w:rsidRDefault="009329A1" w:rsidP="009329A1">
            <w:pPr>
              <w:spacing w:after="0"/>
              <w:rPr>
                <w:sz w:val="20"/>
              </w:rPr>
            </w:pPr>
            <w:r>
              <w:rPr>
                <w:sz w:val="20"/>
              </w:rPr>
              <w:t>Maj 2019</w:t>
            </w:r>
          </w:p>
        </w:tc>
        <w:tc>
          <w:tcPr>
            <w:tcW w:w="7364" w:type="dxa"/>
            <w:tcMar>
              <w:top w:w="85" w:type="dxa"/>
              <w:bottom w:w="85" w:type="dxa"/>
            </w:tcMar>
          </w:tcPr>
          <w:p w14:paraId="1FE7FD49" w14:textId="791C1512" w:rsidR="009329A1" w:rsidRPr="001119A4" w:rsidRDefault="009329A1" w:rsidP="001119A4">
            <w:pPr>
              <w:rPr>
                <w:sz w:val="20"/>
              </w:rPr>
            </w:pPr>
            <w:r w:rsidRPr="001119A4">
              <w:rPr>
                <w:sz w:val="20"/>
              </w:rPr>
              <w:t>Włączenie rozporządzenia (UE) 2018/401 z dnia 14 marca 2018 r. zmieniającego rozporządzenie (UE) nr 139/2014 w odniesieniu do klasyfikacji dróg startowych</w:t>
            </w:r>
            <w:r w:rsidR="001119A4">
              <w:rPr>
                <w:sz w:val="20"/>
              </w:rPr>
              <w:t>.</w:t>
            </w:r>
          </w:p>
          <w:p w14:paraId="0E11380B" w14:textId="01708622" w:rsidR="00FE2F0C" w:rsidRPr="001119A4" w:rsidRDefault="001119A4" w:rsidP="001119A4">
            <w:pPr>
              <w:rPr>
                <w:sz w:val="20"/>
              </w:rPr>
            </w:pPr>
            <w:r>
              <w:rPr>
                <w:sz w:val="20"/>
              </w:rPr>
              <w:t>Włączenie „</w:t>
            </w:r>
            <w:r w:rsidRPr="001119A4">
              <w:rPr>
                <w:sz w:val="20"/>
              </w:rPr>
              <w:t>Specyfikacj</w:t>
            </w:r>
            <w:r>
              <w:rPr>
                <w:sz w:val="20"/>
              </w:rPr>
              <w:t>i c</w:t>
            </w:r>
            <w:r w:rsidRPr="001119A4">
              <w:rPr>
                <w:sz w:val="20"/>
              </w:rPr>
              <w:t>ertyfikacyjn</w:t>
            </w:r>
            <w:r>
              <w:rPr>
                <w:sz w:val="20"/>
              </w:rPr>
              <w:t>ych</w:t>
            </w:r>
            <w:r w:rsidRPr="001119A4">
              <w:rPr>
                <w:sz w:val="20"/>
              </w:rPr>
              <w:t xml:space="preserve"> (CS) oraz </w:t>
            </w:r>
            <w:r>
              <w:rPr>
                <w:sz w:val="20"/>
              </w:rPr>
              <w:t>materiałów</w:t>
            </w:r>
            <w:r w:rsidRPr="001119A4">
              <w:rPr>
                <w:sz w:val="20"/>
              </w:rPr>
              <w:t xml:space="preserve"> zawierające wytyczne (GM) do projektowania naziemnych lotnisk VFR dla śmigłowców znajdujących się na lotniskach podlegających wymaganiom Rozporządzenia (UE) 2018/1139</w:t>
            </w:r>
            <w:r>
              <w:rPr>
                <w:sz w:val="20"/>
              </w:rPr>
              <w:t xml:space="preserve"> </w:t>
            </w:r>
            <w:r w:rsidRPr="001119A4">
              <w:rPr>
                <w:sz w:val="20"/>
              </w:rPr>
              <w:t>„CS-HPT-DSN - wydanie 1”</w:t>
            </w:r>
            <w:r>
              <w:rPr>
                <w:sz w:val="20"/>
              </w:rPr>
              <w:t xml:space="preserve">, wprowadzonych Decyzją EASA nr </w:t>
            </w:r>
            <w:r w:rsidRPr="001119A4">
              <w:rPr>
                <w:sz w:val="20"/>
              </w:rPr>
              <w:t>2019/012/R</w:t>
            </w:r>
            <w:r>
              <w:rPr>
                <w:sz w:val="20"/>
              </w:rPr>
              <w:t>.</w:t>
            </w:r>
          </w:p>
        </w:tc>
      </w:tr>
    </w:tbl>
    <w:p w14:paraId="4A023407" w14:textId="11FB560A" w:rsidR="00C25892" w:rsidRPr="001119A4" w:rsidRDefault="00C25892" w:rsidP="00FE2F0C">
      <w:pPr>
        <w:spacing w:after="0"/>
        <w:rPr>
          <w:sz w:val="20"/>
        </w:rPr>
      </w:pPr>
    </w:p>
    <w:p w14:paraId="5FE617EA" w14:textId="6459E9AA" w:rsidR="00C25892" w:rsidRPr="001119A4" w:rsidRDefault="00C25892" w:rsidP="00FE2F0C">
      <w:pPr>
        <w:spacing w:after="0"/>
        <w:rPr>
          <w:sz w:val="20"/>
        </w:rPr>
      </w:pPr>
    </w:p>
    <w:p w14:paraId="30B02407" w14:textId="5830492C" w:rsidR="0031311E" w:rsidRPr="001119A4" w:rsidRDefault="0031311E" w:rsidP="00D96166">
      <w:pPr>
        <w:pStyle w:val="Nagwek11"/>
        <w:ind w:right="-2"/>
        <w:jc w:val="left"/>
        <w:outlineLvl w:val="9"/>
        <w:rPr>
          <w:rFonts w:asciiTheme="minorHAnsi" w:hAnsiTheme="minorHAnsi" w:cstheme="minorHAnsi"/>
          <w:sz w:val="20"/>
          <w:szCs w:val="20"/>
        </w:rPr>
      </w:pPr>
    </w:p>
    <w:p w14:paraId="4F73F7CC" w14:textId="77777777" w:rsidR="0031311E" w:rsidRPr="001119A4" w:rsidRDefault="0031311E" w:rsidP="00D96166">
      <w:pPr>
        <w:pStyle w:val="Nagwek11"/>
        <w:ind w:right="-2"/>
        <w:jc w:val="left"/>
        <w:outlineLvl w:val="9"/>
        <w:rPr>
          <w:rFonts w:asciiTheme="minorHAnsi" w:hAnsiTheme="minorHAnsi" w:cstheme="minorHAnsi"/>
          <w:sz w:val="20"/>
          <w:szCs w:val="20"/>
        </w:rPr>
        <w:sectPr w:rsidR="0031311E" w:rsidRPr="001119A4" w:rsidSect="00AE1280">
          <w:pgSz w:w="11906" w:h="16840" w:code="9"/>
          <w:pgMar w:top="1701" w:right="1418" w:bottom="1418" w:left="1418" w:header="567" w:footer="454" w:gutter="0"/>
          <w:cols w:space="708"/>
          <w:titlePg/>
        </w:sectPr>
      </w:pPr>
    </w:p>
    <w:p w14:paraId="6CC41A6B" w14:textId="77777777" w:rsidR="00BF608D" w:rsidRPr="009E064B" w:rsidRDefault="00BF608D" w:rsidP="00630A00">
      <w:pPr>
        <w:pStyle w:val="Nagwek2"/>
      </w:pPr>
      <w:bookmarkStart w:id="3" w:name="_Toc12532518"/>
      <w:r w:rsidRPr="009E064B">
        <w:t>Uwagi od wydawcy</w:t>
      </w:r>
      <w:bookmarkEnd w:id="3"/>
    </w:p>
    <w:p w14:paraId="73149F96" w14:textId="77777777" w:rsidR="00ED7B3B" w:rsidRPr="009E064B" w:rsidRDefault="00ED7B3B" w:rsidP="00577BAA">
      <w:pPr>
        <w:spacing w:after="0"/>
        <w:rPr>
          <w:sz w:val="20"/>
        </w:rPr>
      </w:pPr>
    </w:p>
    <w:p w14:paraId="25C6EB12" w14:textId="10D50237" w:rsidR="005160F4" w:rsidRPr="009E064B" w:rsidRDefault="005160F4" w:rsidP="00577BAA">
      <w:pPr>
        <w:spacing w:after="80"/>
        <w:rPr>
          <w:rFonts w:asciiTheme="minorHAnsi" w:hAnsiTheme="minorHAnsi" w:cstheme="minorHAnsi"/>
          <w:szCs w:val="24"/>
        </w:rPr>
      </w:pPr>
      <w:r w:rsidRPr="009E064B">
        <w:t>Zawartość</w:t>
      </w:r>
      <w:r w:rsidR="002D0627" w:rsidRPr="009E064B">
        <w:t xml:space="preserve"> tego dokumentu jest poukładana w następujący sposób</w:t>
      </w:r>
      <w:r w:rsidRPr="009E064B">
        <w:t xml:space="preserve">: na początku jest </w:t>
      </w:r>
      <w:r w:rsidR="00A9332D" w:rsidRPr="009E064B">
        <w:t>Część G</w:t>
      </w:r>
      <w:r w:rsidR="002D0627" w:rsidRPr="009E064B">
        <w:t xml:space="preserve">łówna </w:t>
      </w:r>
      <w:r w:rsidR="00557796" w:rsidRPr="009E064B">
        <w:rPr>
          <w:i/>
        </w:rPr>
        <w:t xml:space="preserve">(Cover Regulation) </w:t>
      </w:r>
      <w:r w:rsidR="002D0627" w:rsidRPr="009E064B">
        <w:t>rozporządzenia</w:t>
      </w:r>
      <w:r w:rsidR="003D6CE9" w:rsidRPr="009E064B">
        <w:t xml:space="preserve"> </w:t>
      </w:r>
      <w:r w:rsidR="00FB19D9" w:rsidRPr="009E064B">
        <w:t xml:space="preserve">Komisji </w:t>
      </w:r>
      <w:r w:rsidR="003D6CE9" w:rsidRPr="009E064B">
        <w:t xml:space="preserve">UE 139/2014, tj. </w:t>
      </w:r>
      <w:r w:rsidR="004F4B76" w:rsidRPr="009E064B">
        <w:t>preambuła i artykuły</w:t>
      </w:r>
      <w:r w:rsidR="003D6CE9" w:rsidRPr="009E064B">
        <w:t xml:space="preserve"> </w:t>
      </w:r>
      <w:r w:rsidRPr="009E064B">
        <w:t>oraz</w:t>
      </w:r>
      <w:r w:rsidR="003D6CE9" w:rsidRPr="009E064B">
        <w:t xml:space="preserve"> </w:t>
      </w:r>
      <w:r w:rsidRPr="009E064B">
        <w:t>z</w:t>
      </w:r>
      <w:r w:rsidR="004F4B76" w:rsidRPr="009E064B">
        <w:t xml:space="preserve">ałączniki </w:t>
      </w:r>
      <w:r w:rsidR="007F6A80" w:rsidRPr="009E064B">
        <w:t>zawierające</w:t>
      </w:r>
      <w:r w:rsidR="003D6CE9" w:rsidRPr="009E064B">
        <w:t xml:space="preserve"> </w:t>
      </w:r>
      <w:r w:rsidR="007F6A80" w:rsidRPr="009E064B">
        <w:t>przepisy wy</w:t>
      </w:r>
      <w:r w:rsidR="004F4B76" w:rsidRPr="009E064B">
        <w:t xml:space="preserve">konawcze </w:t>
      </w:r>
      <w:r w:rsidR="003D6CE9" w:rsidRPr="009E064B">
        <w:rPr>
          <w:i/>
        </w:rPr>
        <w:t>(I</w:t>
      </w:r>
      <w:r w:rsidR="00A9332D" w:rsidRPr="009E064B">
        <w:rPr>
          <w:i/>
        </w:rPr>
        <w:t xml:space="preserve">mplementing </w:t>
      </w:r>
      <w:r w:rsidR="003D6CE9" w:rsidRPr="009E064B">
        <w:rPr>
          <w:i/>
        </w:rPr>
        <w:t>R</w:t>
      </w:r>
      <w:r w:rsidR="004F4B76" w:rsidRPr="009E064B">
        <w:rPr>
          <w:i/>
        </w:rPr>
        <w:t>ule</w:t>
      </w:r>
      <w:r w:rsidR="00557796" w:rsidRPr="009E064B">
        <w:rPr>
          <w:i/>
        </w:rPr>
        <w:t>s</w:t>
      </w:r>
      <w:r w:rsidR="00BA656B" w:rsidRPr="009E064B">
        <w:rPr>
          <w:i/>
        </w:rPr>
        <w:t> - </w:t>
      </w:r>
      <w:r w:rsidR="004F4B76" w:rsidRPr="009E064B">
        <w:rPr>
          <w:i/>
        </w:rPr>
        <w:t>IR)</w:t>
      </w:r>
      <w:r w:rsidR="00437DBE" w:rsidRPr="009E064B">
        <w:t>, p</w:t>
      </w:r>
      <w:r w:rsidR="00577BAA" w:rsidRPr="009E064B">
        <w:rPr>
          <w:rFonts w:asciiTheme="minorHAnsi" w:hAnsiTheme="minorHAnsi" w:cstheme="minorHAnsi"/>
          <w:szCs w:val="24"/>
        </w:rPr>
        <w:t xml:space="preserve">od </w:t>
      </w:r>
      <w:r w:rsidR="00557796" w:rsidRPr="009E064B">
        <w:rPr>
          <w:rFonts w:asciiTheme="minorHAnsi" w:hAnsiTheme="minorHAnsi" w:cstheme="minorHAnsi"/>
          <w:szCs w:val="24"/>
        </w:rPr>
        <w:t>k</w:t>
      </w:r>
      <w:r w:rsidR="00437DBE" w:rsidRPr="009E064B">
        <w:rPr>
          <w:rFonts w:asciiTheme="minorHAnsi" w:hAnsiTheme="minorHAnsi" w:cstheme="minorHAnsi"/>
          <w:szCs w:val="24"/>
        </w:rPr>
        <w:t xml:space="preserve">tórymi </w:t>
      </w:r>
      <w:r w:rsidR="000B43D8" w:rsidRPr="009E064B">
        <w:rPr>
          <w:rFonts w:asciiTheme="minorHAnsi" w:hAnsiTheme="minorHAnsi" w:cstheme="minorHAnsi"/>
          <w:szCs w:val="24"/>
        </w:rPr>
        <w:t>zamieszczono odpowiadające</w:t>
      </w:r>
      <w:r w:rsidR="00BA656B" w:rsidRPr="009E064B">
        <w:rPr>
          <w:rFonts w:asciiTheme="minorHAnsi" w:hAnsiTheme="minorHAnsi" w:cstheme="minorHAnsi"/>
          <w:szCs w:val="24"/>
        </w:rPr>
        <w:t xml:space="preserve"> </w:t>
      </w:r>
      <w:r w:rsidR="00437DBE" w:rsidRPr="009E064B">
        <w:rPr>
          <w:rFonts w:asciiTheme="minorHAnsi" w:hAnsiTheme="minorHAnsi" w:cstheme="minorHAnsi"/>
          <w:szCs w:val="24"/>
        </w:rPr>
        <w:t>im</w:t>
      </w:r>
      <w:r w:rsidR="00557796" w:rsidRPr="009E064B">
        <w:rPr>
          <w:rFonts w:asciiTheme="minorHAnsi" w:hAnsiTheme="minorHAnsi" w:cstheme="minorHAnsi"/>
          <w:szCs w:val="24"/>
        </w:rPr>
        <w:t xml:space="preserve"> </w:t>
      </w:r>
      <w:r w:rsidR="002C4CBB" w:rsidRPr="009E064B">
        <w:rPr>
          <w:rFonts w:asciiTheme="minorHAnsi" w:hAnsiTheme="minorHAnsi" w:cstheme="minorHAnsi"/>
          <w:szCs w:val="24"/>
        </w:rPr>
        <w:t xml:space="preserve">akceptowalne </w:t>
      </w:r>
      <w:r w:rsidR="00A9332D" w:rsidRPr="009E064B">
        <w:rPr>
          <w:rFonts w:asciiTheme="minorHAnsi" w:hAnsiTheme="minorHAnsi" w:cstheme="minorHAnsi"/>
          <w:szCs w:val="24"/>
        </w:rPr>
        <w:t xml:space="preserve">sposoby spełniania wymagań </w:t>
      </w:r>
      <w:r w:rsidR="00FB19D9" w:rsidRPr="009E064B">
        <w:rPr>
          <w:rFonts w:asciiTheme="minorHAnsi" w:hAnsiTheme="minorHAnsi" w:cstheme="minorHAnsi"/>
          <w:szCs w:val="24"/>
        </w:rPr>
        <w:t>(</w:t>
      </w:r>
      <w:r w:rsidR="001F338D" w:rsidRPr="009E064B">
        <w:rPr>
          <w:rFonts w:asciiTheme="minorHAnsi" w:hAnsiTheme="minorHAnsi" w:cstheme="minorHAnsi"/>
          <w:szCs w:val="24"/>
        </w:rPr>
        <w:t>AMC</w:t>
      </w:r>
      <w:r w:rsidR="00FE636A" w:rsidRPr="009E064B">
        <w:rPr>
          <w:rStyle w:val="Odwoanieprzypisudolnego"/>
          <w:rFonts w:asciiTheme="minorHAnsi" w:hAnsiTheme="minorHAnsi" w:cstheme="minorHAnsi"/>
          <w:szCs w:val="24"/>
        </w:rPr>
        <w:footnoteReference w:id="4"/>
      </w:r>
      <w:r w:rsidR="00FB19D9" w:rsidRPr="009E064B">
        <w:rPr>
          <w:rFonts w:asciiTheme="minorHAnsi" w:hAnsiTheme="minorHAnsi" w:cstheme="minorHAnsi"/>
          <w:szCs w:val="24"/>
        </w:rPr>
        <w:t>)</w:t>
      </w:r>
      <w:r w:rsidR="001F338D" w:rsidRPr="009E064B">
        <w:rPr>
          <w:rFonts w:asciiTheme="minorHAnsi" w:hAnsiTheme="minorHAnsi" w:cstheme="minorHAnsi"/>
          <w:szCs w:val="24"/>
        </w:rPr>
        <w:t xml:space="preserve"> i</w:t>
      </w:r>
      <w:r w:rsidR="00A9332D" w:rsidRPr="009E064B">
        <w:rPr>
          <w:rFonts w:asciiTheme="minorHAnsi" w:hAnsiTheme="minorHAnsi" w:cstheme="minorHAnsi"/>
          <w:szCs w:val="24"/>
        </w:rPr>
        <w:t xml:space="preserve"> materiały </w:t>
      </w:r>
      <w:r w:rsidR="002C4CBB" w:rsidRPr="009E064B">
        <w:rPr>
          <w:rFonts w:asciiTheme="minorHAnsi" w:hAnsiTheme="minorHAnsi" w:cstheme="minorHAnsi"/>
          <w:szCs w:val="24"/>
        </w:rPr>
        <w:t>zawierające</w:t>
      </w:r>
      <w:r w:rsidR="00A9332D" w:rsidRPr="009E064B">
        <w:rPr>
          <w:rFonts w:asciiTheme="minorHAnsi" w:hAnsiTheme="minorHAnsi" w:cstheme="minorHAnsi"/>
          <w:szCs w:val="24"/>
        </w:rPr>
        <w:t xml:space="preserve"> wytyczne </w:t>
      </w:r>
      <w:r w:rsidR="00FB19D9" w:rsidRPr="009E064B">
        <w:rPr>
          <w:rFonts w:asciiTheme="minorHAnsi" w:hAnsiTheme="minorHAnsi" w:cstheme="minorHAnsi"/>
          <w:szCs w:val="24"/>
        </w:rPr>
        <w:t>(</w:t>
      </w:r>
      <w:r w:rsidR="001F338D" w:rsidRPr="009E064B">
        <w:rPr>
          <w:rFonts w:asciiTheme="minorHAnsi" w:hAnsiTheme="minorHAnsi" w:cstheme="minorHAnsi"/>
          <w:szCs w:val="24"/>
        </w:rPr>
        <w:t>GM</w:t>
      </w:r>
      <w:r w:rsidR="00FE636A" w:rsidRPr="009E064B">
        <w:rPr>
          <w:rStyle w:val="Odwoanieprzypisudolnego"/>
          <w:rFonts w:asciiTheme="minorHAnsi" w:hAnsiTheme="minorHAnsi" w:cstheme="minorHAnsi"/>
          <w:szCs w:val="24"/>
        </w:rPr>
        <w:footnoteReference w:id="5"/>
      </w:r>
      <w:r w:rsidR="00FB19D9" w:rsidRPr="009E064B">
        <w:rPr>
          <w:rFonts w:asciiTheme="minorHAnsi" w:hAnsiTheme="minorHAnsi" w:cstheme="minorHAnsi"/>
          <w:szCs w:val="24"/>
        </w:rPr>
        <w:t>)</w:t>
      </w:r>
      <w:r w:rsidR="00A9332D" w:rsidRPr="009E064B">
        <w:rPr>
          <w:rFonts w:asciiTheme="minorHAnsi" w:hAnsiTheme="minorHAnsi" w:cstheme="minorHAnsi"/>
          <w:szCs w:val="24"/>
        </w:rPr>
        <w:t xml:space="preserve"> (jeśli istnieją)</w:t>
      </w:r>
      <w:r w:rsidR="001F338D" w:rsidRPr="009E064B">
        <w:rPr>
          <w:rFonts w:asciiTheme="minorHAnsi" w:hAnsiTheme="minorHAnsi" w:cstheme="minorHAnsi"/>
          <w:szCs w:val="24"/>
        </w:rPr>
        <w:t>.</w:t>
      </w:r>
      <w:r w:rsidR="00577BAA" w:rsidRPr="009E064B">
        <w:rPr>
          <w:rFonts w:asciiTheme="minorHAnsi" w:hAnsiTheme="minorHAnsi" w:cstheme="minorHAnsi"/>
          <w:szCs w:val="24"/>
        </w:rPr>
        <w:t xml:space="preserve"> </w:t>
      </w:r>
    </w:p>
    <w:p w14:paraId="2E2D17A4" w14:textId="70207A62" w:rsidR="001F338D" w:rsidRPr="009E064B" w:rsidRDefault="001F338D" w:rsidP="00577BAA">
      <w:pPr>
        <w:spacing w:after="80"/>
        <w:rPr>
          <w:rFonts w:asciiTheme="minorHAnsi" w:hAnsiTheme="minorHAnsi" w:cstheme="minorHAnsi"/>
          <w:szCs w:val="24"/>
        </w:rPr>
      </w:pPr>
      <w:r w:rsidRPr="009E064B">
        <w:rPr>
          <w:rFonts w:asciiTheme="minorHAnsi" w:hAnsiTheme="minorHAnsi" w:cstheme="minorHAnsi"/>
          <w:szCs w:val="24"/>
        </w:rPr>
        <w:t>W dalszej części zamieszczono specyfikacje certyfikacyjne (CS)</w:t>
      </w:r>
      <w:r w:rsidR="00BA656B" w:rsidRPr="009E064B">
        <w:rPr>
          <w:rFonts w:asciiTheme="minorHAnsi" w:hAnsiTheme="minorHAnsi" w:cstheme="minorHAnsi"/>
          <w:szCs w:val="24"/>
        </w:rPr>
        <w:t xml:space="preserve">, </w:t>
      </w:r>
      <w:r w:rsidRPr="009E064B">
        <w:rPr>
          <w:rFonts w:asciiTheme="minorHAnsi" w:hAnsiTheme="minorHAnsi" w:cstheme="minorHAnsi"/>
          <w:szCs w:val="24"/>
        </w:rPr>
        <w:t>gdzie po każd</w:t>
      </w:r>
      <w:r w:rsidR="00557796" w:rsidRPr="009E064B">
        <w:rPr>
          <w:rFonts w:asciiTheme="minorHAnsi" w:hAnsiTheme="minorHAnsi" w:cstheme="minorHAnsi"/>
          <w:szCs w:val="24"/>
        </w:rPr>
        <w:t xml:space="preserve">ym </w:t>
      </w:r>
      <w:r w:rsidR="00FB19D9" w:rsidRPr="009E064B">
        <w:rPr>
          <w:rFonts w:asciiTheme="minorHAnsi" w:hAnsiTheme="minorHAnsi" w:cstheme="minorHAnsi"/>
          <w:szCs w:val="24"/>
        </w:rPr>
        <w:t>p</w:t>
      </w:r>
      <w:r w:rsidR="00AC0AF0" w:rsidRPr="009E064B">
        <w:rPr>
          <w:rFonts w:asciiTheme="minorHAnsi" w:hAnsiTheme="minorHAnsi" w:cstheme="minorHAnsi"/>
          <w:szCs w:val="24"/>
        </w:rPr>
        <w:t>unkcie</w:t>
      </w:r>
      <w:r w:rsidR="00FB19D9" w:rsidRPr="009E064B">
        <w:rPr>
          <w:rFonts w:asciiTheme="minorHAnsi" w:hAnsiTheme="minorHAnsi" w:cstheme="minorHAnsi"/>
          <w:szCs w:val="24"/>
        </w:rPr>
        <w:t xml:space="preserve"> </w:t>
      </w:r>
      <w:r w:rsidRPr="009E064B">
        <w:rPr>
          <w:rFonts w:asciiTheme="minorHAnsi" w:hAnsiTheme="minorHAnsi" w:cstheme="minorHAnsi"/>
          <w:szCs w:val="24"/>
        </w:rPr>
        <w:t xml:space="preserve">CS zamieszczono odpowiadające </w:t>
      </w:r>
      <w:r w:rsidR="00557796" w:rsidRPr="009E064B">
        <w:rPr>
          <w:rFonts w:asciiTheme="minorHAnsi" w:hAnsiTheme="minorHAnsi" w:cstheme="minorHAnsi"/>
          <w:szCs w:val="24"/>
        </w:rPr>
        <w:t>mu</w:t>
      </w:r>
      <w:r w:rsidRPr="009E064B">
        <w:rPr>
          <w:rFonts w:asciiTheme="minorHAnsi" w:hAnsiTheme="minorHAnsi" w:cstheme="minorHAnsi"/>
          <w:szCs w:val="24"/>
        </w:rPr>
        <w:t xml:space="preserve"> materiały </w:t>
      </w:r>
      <w:r w:rsidR="002C4CBB" w:rsidRPr="009E064B">
        <w:rPr>
          <w:rFonts w:asciiTheme="minorHAnsi" w:hAnsiTheme="minorHAnsi" w:cstheme="minorHAnsi"/>
          <w:szCs w:val="24"/>
        </w:rPr>
        <w:t>zawierające</w:t>
      </w:r>
      <w:r w:rsidRPr="009E064B">
        <w:rPr>
          <w:rFonts w:asciiTheme="minorHAnsi" w:hAnsiTheme="minorHAnsi" w:cstheme="minorHAnsi"/>
          <w:szCs w:val="24"/>
        </w:rPr>
        <w:t xml:space="preserve"> wytyczne (GM).</w:t>
      </w:r>
    </w:p>
    <w:p w14:paraId="0ACA093D" w14:textId="77777777" w:rsidR="008A71E6" w:rsidRPr="009E064B" w:rsidRDefault="001F338D" w:rsidP="00577BAA">
      <w:pPr>
        <w:spacing w:after="80"/>
        <w:rPr>
          <w:rFonts w:asciiTheme="minorHAnsi" w:hAnsiTheme="minorHAnsi" w:cstheme="minorHAnsi"/>
          <w:szCs w:val="24"/>
        </w:rPr>
      </w:pPr>
      <w:r w:rsidRPr="009E064B">
        <w:rPr>
          <w:rFonts w:asciiTheme="minorHAnsi" w:hAnsiTheme="minorHAnsi" w:cstheme="minorHAnsi"/>
          <w:szCs w:val="24"/>
        </w:rPr>
        <w:t xml:space="preserve">Wszystkie elementy </w:t>
      </w:r>
      <w:r w:rsidR="00BA656B" w:rsidRPr="009E064B">
        <w:rPr>
          <w:rFonts w:asciiTheme="minorHAnsi" w:hAnsiTheme="minorHAnsi" w:cstheme="minorHAnsi"/>
          <w:szCs w:val="24"/>
        </w:rPr>
        <w:t>niniejszych</w:t>
      </w:r>
      <w:r w:rsidR="0088776B" w:rsidRPr="009E064B">
        <w:rPr>
          <w:rFonts w:asciiTheme="minorHAnsi" w:hAnsiTheme="minorHAnsi" w:cstheme="minorHAnsi"/>
          <w:szCs w:val="24"/>
        </w:rPr>
        <w:t xml:space="preserve"> przepisów</w:t>
      </w:r>
      <w:r w:rsidR="00BA656B" w:rsidRPr="009E064B">
        <w:rPr>
          <w:rFonts w:asciiTheme="minorHAnsi" w:hAnsiTheme="minorHAnsi" w:cstheme="minorHAnsi"/>
          <w:szCs w:val="24"/>
        </w:rPr>
        <w:t xml:space="preserve">, </w:t>
      </w:r>
      <w:r w:rsidR="00A9332D" w:rsidRPr="009E064B">
        <w:rPr>
          <w:rFonts w:asciiTheme="minorHAnsi" w:hAnsiTheme="minorHAnsi" w:cstheme="minorHAnsi"/>
          <w:szCs w:val="24"/>
        </w:rPr>
        <w:t>tj.:</w:t>
      </w:r>
      <w:r w:rsidR="00DE037F" w:rsidRPr="009E064B">
        <w:rPr>
          <w:rFonts w:asciiTheme="minorHAnsi" w:hAnsiTheme="minorHAnsi" w:cstheme="minorHAnsi"/>
          <w:szCs w:val="24"/>
        </w:rPr>
        <w:t xml:space="preserve"> artykuły Części</w:t>
      </w:r>
      <w:r w:rsidR="00A9332D" w:rsidRPr="009E064B">
        <w:rPr>
          <w:rFonts w:asciiTheme="minorHAnsi" w:hAnsiTheme="minorHAnsi" w:cstheme="minorHAnsi"/>
          <w:szCs w:val="24"/>
        </w:rPr>
        <w:t xml:space="preserve"> Główn</w:t>
      </w:r>
      <w:r w:rsidR="00DE037F" w:rsidRPr="009E064B">
        <w:rPr>
          <w:rFonts w:asciiTheme="minorHAnsi" w:hAnsiTheme="minorHAnsi" w:cstheme="minorHAnsi"/>
          <w:szCs w:val="24"/>
        </w:rPr>
        <w:t>ej</w:t>
      </w:r>
      <w:r w:rsidR="00FB19D9" w:rsidRPr="009E064B">
        <w:rPr>
          <w:rFonts w:asciiTheme="minorHAnsi" w:hAnsiTheme="minorHAnsi" w:cstheme="minorHAnsi"/>
          <w:szCs w:val="24"/>
        </w:rPr>
        <w:t xml:space="preserve"> rozporządzenia Komisji</w:t>
      </w:r>
      <w:r w:rsidR="00BA656B" w:rsidRPr="009E064B">
        <w:rPr>
          <w:rFonts w:asciiTheme="minorHAnsi" w:hAnsiTheme="minorHAnsi" w:cstheme="minorHAnsi"/>
          <w:szCs w:val="24"/>
        </w:rPr>
        <w:t xml:space="preserve">, </w:t>
      </w:r>
      <w:r w:rsidR="003B70EB" w:rsidRPr="009E064B">
        <w:rPr>
          <w:rFonts w:asciiTheme="minorHAnsi" w:hAnsiTheme="minorHAnsi" w:cstheme="minorHAnsi"/>
          <w:szCs w:val="24"/>
        </w:rPr>
        <w:t>przepisy wy</w:t>
      </w:r>
      <w:r w:rsidRPr="009E064B">
        <w:rPr>
          <w:rFonts w:asciiTheme="minorHAnsi" w:hAnsiTheme="minorHAnsi" w:cstheme="minorHAnsi"/>
          <w:szCs w:val="24"/>
        </w:rPr>
        <w:t xml:space="preserve">konawcze </w:t>
      </w:r>
      <w:r w:rsidR="003B70EB" w:rsidRPr="009E064B">
        <w:rPr>
          <w:rFonts w:asciiTheme="minorHAnsi" w:hAnsiTheme="minorHAnsi" w:cstheme="minorHAnsi"/>
          <w:szCs w:val="24"/>
        </w:rPr>
        <w:t xml:space="preserve">(IR) </w:t>
      </w:r>
      <w:r w:rsidR="00BA656B" w:rsidRPr="009E064B">
        <w:rPr>
          <w:rFonts w:asciiTheme="minorHAnsi" w:hAnsiTheme="minorHAnsi" w:cstheme="minorHAnsi"/>
          <w:szCs w:val="24"/>
        </w:rPr>
        <w:t>oraz AMC, CS i GM są oznaczone różnymi kolorami jak pok</w:t>
      </w:r>
      <w:r w:rsidR="00FE636A" w:rsidRPr="009E064B">
        <w:rPr>
          <w:rFonts w:asciiTheme="minorHAnsi" w:hAnsiTheme="minorHAnsi" w:cstheme="minorHAnsi"/>
          <w:szCs w:val="24"/>
        </w:rPr>
        <w:t>a</w:t>
      </w:r>
      <w:r w:rsidR="00BA656B" w:rsidRPr="009E064B">
        <w:rPr>
          <w:rFonts w:asciiTheme="minorHAnsi" w:hAnsiTheme="minorHAnsi" w:cstheme="minorHAnsi"/>
          <w:szCs w:val="24"/>
        </w:rPr>
        <w:t xml:space="preserve">zano na rysunku poniżej. </w:t>
      </w:r>
    </w:p>
    <w:p w14:paraId="26F388EE" w14:textId="6E55004E" w:rsidR="007F6A80" w:rsidRPr="009E064B" w:rsidRDefault="007F6A80" w:rsidP="0031311E">
      <w:pPr>
        <w:spacing w:after="0"/>
        <w:rPr>
          <w:rFonts w:asciiTheme="minorHAnsi" w:hAnsiTheme="minorHAnsi" w:cstheme="minorHAnsi"/>
          <w:szCs w:val="24"/>
        </w:rPr>
      </w:pPr>
      <w:r w:rsidRPr="009E064B">
        <w:rPr>
          <w:rFonts w:asciiTheme="minorHAnsi" w:hAnsiTheme="minorHAnsi" w:cstheme="minorHAnsi"/>
          <w:szCs w:val="24"/>
        </w:rPr>
        <w:t>Pod każd</w:t>
      </w:r>
      <w:r w:rsidR="00FB19D9" w:rsidRPr="009E064B">
        <w:rPr>
          <w:rFonts w:asciiTheme="minorHAnsi" w:hAnsiTheme="minorHAnsi" w:cstheme="minorHAnsi"/>
          <w:szCs w:val="24"/>
        </w:rPr>
        <w:t>ym</w:t>
      </w:r>
      <w:r w:rsidRPr="009E064B">
        <w:rPr>
          <w:rFonts w:asciiTheme="minorHAnsi" w:hAnsiTheme="minorHAnsi" w:cstheme="minorHAnsi"/>
          <w:szCs w:val="24"/>
        </w:rPr>
        <w:t xml:space="preserve"> </w:t>
      </w:r>
      <w:r w:rsidR="00FB19D9" w:rsidRPr="009E064B">
        <w:rPr>
          <w:rFonts w:asciiTheme="minorHAnsi" w:hAnsiTheme="minorHAnsi" w:cstheme="minorHAnsi"/>
          <w:szCs w:val="24"/>
        </w:rPr>
        <w:t xml:space="preserve">nagłówkiem </w:t>
      </w:r>
      <w:r w:rsidR="008A71E6" w:rsidRPr="009E064B">
        <w:rPr>
          <w:rFonts w:asciiTheme="minorHAnsi" w:hAnsiTheme="minorHAnsi" w:cstheme="minorHAnsi"/>
          <w:szCs w:val="24"/>
        </w:rPr>
        <w:t xml:space="preserve">przepisu lub punktu </w:t>
      </w:r>
      <w:r w:rsidRPr="009E064B">
        <w:rPr>
          <w:rFonts w:asciiTheme="minorHAnsi" w:hAnsiTheme="minorHAnsi" w:cstheme="minorHAnsi"/>
          <w:szCs w:val="24"/>
        </w:rPr>
        <w:t xml:space="preserve">drobnym drukiem </w:t>
      </w:r>
      <w:r w:rsidR="00DE037F" w:rsidRPr="009E064B">
        <w:rPr>
          <w:rFonts w:asciiTheme="minorHAnsi" w:hAnsiTheme="minorHAnsi" w:cstheme="minorHAnsi"/>
          <w:szCs w:val="24"/>
        </w:rPr>
        <w:t xml:space="preserve">– kursywą </w:t>
      </w:r>
      <w:r w:rsidRPr="009E064B">
        <w:rPr>
          <w:rFonts w:asciiTheme="minorHAnsi" w:hAnsiTheme="minorHAnsi" w:cstheme="minorHAnsi"/>
          <w:szCs w:val="24"/>
        </w:rPr>
        <w:t xml:space="preserve">zamieszczono </w:t>
      </w:r>
      <w:r w:rsidR="00DE037F" w:rsidRPr="009E064B">
        <w:rPr>
          <w:rFonts w:asciiTheme="minorHAnsi" w:hAnsiTheme="minorHAnsi" w:cstheme="minorHAnsi"/>
          <w:szCs w:val="24"/>
        </w:rPr>
        <w:t>skrótową nazwę</w:t>
      </w:r>
      <w:r w:rsidR="00FB19D9" w:rsidRPr="009E064B">
        <w:rPr>
          <w:rFonts w:asciiTheme="minorHAnsi" w:hAnsiTheme="minorHAnsi" w:cstheme="minorHAnsi"/>
          <w:szCs w:val="24"/>
        </w:rPr>
        <w:t xml:space="preserve"> rozporządzenia Komisji</w:t>
      </w:r>
      <w:r w:rsidR="008A71E6" w:rsidRPr="009E064B">
        <w:rPr>
          <w:rFonts w:asciiTheme="minorHAnsi" w:hAnsiTheme="minorHAnsi" w:cstheme="minorHAnsi"/>
          <w:szCs w:val="24"/>
        </w:rPr>
        <w:t xml:space="preserve"> lub </w:t>
      </w:r>
      <w:r w:rsidRPr="009E064B">
        <w:rPr>
          <w:rFonts w:asciiTheme="minorHAnsi" w:hAnsiTheme="minorHAnsi" w:cstheme="minorHAnsi"/>
          <w:szCs w:val="24"/>
        </w:rPr>
        <w:t>decyzji Dyrektora Wykonawczego</w:t>
      </w:r>
      <w:r w:rsidRPr="009E064B">
        <w:rPr>
          <w:vertAlign w:val="superscript"/>
        </w:rPr>
        <w:footnoteReference w:id="6"/>
      </w:r>
      <w:r w:rsidR="002C4CBB" w:rsidRPr="009E064B">
        <w:rPr>
          <w:rFonts w:asciiTheme="minorHAnsi" w:hAnsiTheme="minorHAnsi" w:cstheme="minorHAnsi"/>
          <w:szCs w:val="24"/>
        </w:rPr>
        <w:t xml:space="preserve"> </w:t>
      </w:r>
      <w:r w:rsidR="003B70EB" w:rsidRPr="009E064B">
        <w:rPr>
          <w:rFonts w:asciiTheme="minorHAnsi" w:hAnsiTheme="minorHAnsi" w:cstheme="minorHAnsi"/>
          <w:szCs w:val="24"/>
        </w:rPr>
        <w:t xml:space="preserve">EASA, która </w:t>
      </w:r>
      <w:r w:rsidR="00FB19D9" w:rsidRPr="009E064B">
        <w:rPr>
          <w:rFonts w:asciiTheme="minorHAnsi" w:hAnsiTheme="minorHAnsi" w:cstheme="minorHAnsi"/>
          <w:szCs w:val="24"/>
        </w:rPr>
        <w:t xml:space="preserve">wprowadziła </w:t>
      </w:r>
      <w:r w:rsidR="008A71E6" w:rsidRPr="009E064B">
        <w:rPr>
          <w:rFonts w:asciiTheme="minorHAnsi" w:hAnsiTheme="minorHAnsi" w:cstheme="minorHAnsi"/>
          <w:szCs w:val="24"/>
        </w:rPr>
        <w:t>albo</w:t>
      </w:r>
      <w:r w:rsidR="00FB19D9" w:rsidRPr="009E064B">
        <w:rPr>
          <w:rFonts w:asciiTheme="minorHAnsi" w:hAnsiTheme="minorHAnsi" w:cstheme="minorHAnsi"/>
          <w:szCs w:val="24"/>
        </w:rPr>
        <w:t xml:space="preserve"> </w:t>
      </w:r>
      <w:r w:rsidR="003B70EB" w:rsidRPr="009E064B">
        <w:rPr>
          <w:rFonts w:asciiTheme="minorHAnsi" w:hAnsiTheme="minorHAnsi" w:cstheme="minorHAnsi"/>
          <w:szCs w:val="24"/>
        </w:rPr>
        <w:t xml:space="preserve">zmieniła dany </w:t>
      </w:r>
      <w:r w:rsidR="008A71E6" w:rsidRPr="009E064B">
        <w:rPr>
          <w:rFonts w:asciiTheme="minorHAnsi" w:hAnsiTheme="minorHAnsi" w:cstheme="minorHAnsi"/>
          <w:szCs w:val="24"/>
        </w:rPr>
        <w:t xml:space="preserve">przepis lub </w:t>
      </w:r>
      <w:r w:rsidR="00FB19D9" w:rsidRPr="009E064B">
        <w:rPr>
          <w:rFonts w:asciiTheme="minorHAnsi" w:hAnsiTheme="minorHAnsi" w:cstheme="minorHAnsi"/>
          <w:szCs w:val="24"/>
        </w:rPr>
        <w:t>punkt</w:t>
      </w:r>
      <w:r w:rsidR="003B70EB" w:rsidRPr="009E064B">
        <w:rPr>
          <w:rFonts w:asciiTheme="minorHAnsi" w:hAnsiTheme="minorHAnsi" w:cstheme="minorHAnsi"/>
          <w:szCs w:val="24"/>
        </w:rPr>
        <w:t>.</w:t>
      </w:r>
    </w:p>
    <w:p w14:paraId="0FFEE7AB" w14:textId="77777777" w:rsidR="006527F8" w:rsidRPr="009E064B" w:rsidRDefault="006527F8" w:rsidP="00577BAA">
      <w:pPr>
        <w:spacing w:after="80"/>
        <w:jc w:val="left"/>
        <w:rPr>
          <w:rFonts w:asciiTheme="minorHAnsi" w:eastAsia="Times New Roman" w:hAnsiTheme="minorHAnsi" w:cstheme="minorHAnsi"/>
          <w:bCs/>
          <w:sz w:val="20"/>
          <w:szCs w:val="24"/>
        </w:rPr>
      </w:pPr>
    </w:p>
    <w:tbl>
      <w:tblPr>
        <w:tblStyle w:val="Tabela-Siatka"/>
        <w:tblW w:w="0" w:type="auto"/>
        <w:jc w:val="center"/>
        <w:tblBorders>
          <w:insideH w:val="none" w:sz="0" w:space="0" w:color="auto"/>
        </w:tblBorders>
        <w:tblLook w:val="04A0" w:firstRow="1" w:lastRow="0" w:firstColumn="1" w:lastColumn="0" w:noHBand="0" w:noVBand="1"/>
      </w:tblPr>
      <w:tblGrid>
        <w:gridCol w:w="9060"/>
      </w:tblGrid>
      <w:tr w:rsidR="0088776B" w:rsidRPr="009E064B" w14:paraId="0BC02309" w14:textId="77777777" w:rsidTr="0031311E">
        <w:trPr>
          <w:trHeight w:val="794"/>
          <w:jc w:val="center"/>
        </w:trPr>
        <w:tc>
          <w:tcPr>
            <w:tcW w:w="9060" w:type="dxa"/>
            <w:tcMar>
              <w:top w:w="28" w:type="dxa"/>
              <w:bottom w:w="28" w:type="dxa"/>
            </w:tcMar>
          </w:tcPr>
          <w:p w14:paraId="5A30B977" w14:textId="5F47CBB5" w:rsidR="0088776B" w:rsidRPr="009E064B" w:rsidRDefault="0088776B" w:rsidP="003B70EB">
            <w:pPr>
              <w:spacing w:before="120" w:after="0"/>
              <w:ind w:left="170" w:right="170"/>
              <w:jc w:val="center"/>
              <w:rPr>
                <w:b/>
                <w:color w:val="0066CC"/>
                <w:sz w:val="24"/>
                <w:szCs w:val="24"/>
              </w:rPr>
            </w:pPr>
            <w:r w:rsidRPr="009E064B">
              <w:rPr>
                <w:b/>
                <w:color w:val="0066CC"/>
                <w:sz w:val="28"/>
                <w:szCs w:val="24"/>
              </w:rPr>
              <w:t xml:space="preserve">Artykuł </w:t>
            </w:r>
            <w:r w:rsidR="009C266F" w:rsidRPr="009E064B">
              <w:rPr>
                <w:b/>
                <w:color w:val="0066CC"/>
                <w:sz w:val="28"/>
                <w:szCs w:val="24"/>
              </w:rPr>
              <w:t>Części Głównej r</w:t>
            </w:r>
            <w:r w:rsidRPr="009E064B">
              <w:rPr>
                <w:b/>
                <w:color w:val="0066CC"/>
                <w:sz w:val="28"/>
                <w:szCs w:val="24"/>
              </w:rPr>
              <w:t>ozporządzenia Komisji</w:t>
            </w:r>
          </w:p>
          <w:p w14:paraId="2D435928" w14:textId="5EE735C9" w:rsidR="00884DE1" w:rsidRPr="009E064B" w:rsidRDefault="00A80E78" w:rsidP="00884DE1">
            <w:pPr>
              <w:ind w:left="170" w:right="170"/>
              <w:jc w:val="right"/>
              <w:rPr>
                <w:b/>
                <w:color w:val="0066CC"/>
                <w:sz w:val="24"/>
                <w:szCs w:val="24"/>
              </w:rPr>
            </w:pPr>
            <w:r w:rsidRPr="009E064B">
              <w:rPr>
                <w:rFonts w:asciiTheme="minorHAnsi" w:hAnsiTheme="minorHAnsi" w:cstheme="minorHAnsi"/>
                <w:i/>
                <w:sz w:val="16"/>
                <w:szCs w:val="20"/>
              </w:rPr>
              <w:t xml:space="preserve">Rozporządzenie </w:t>
            </w:r>
            <w:r w:rsidR="009C266F" w:rsidRPr="009E064B">
              <w:rPr>
                <w:rFonts w:asciiTheme="minorHAnsi" w:hAnsiTheme="minorHAnsi" w:cstheme="minorHAnsi"/>
                <w:i/>
                <w:sz w:val="16"/>
                <w:szCs w:val="20"/>
              </w:rPr>
              <w:t>Komisji</w:t>
            </w:r>
          </w:p>
        </w:tc>
      </w:tr>
      <w:tr w:rsidR="009C266F" w:rsidRPr="009E064B" w14:paraId="63A01135" w14:textId="77777777" w:rsidTr="0031311E">
        <w:trPr>
          <w:trHeight w:val="794"/>
          <w:jc w:val="center"/>
        </w:trPr>
        <w:tc>
          <w:tcPr>
            <w:tcW w:w="9060" w:type="dxa"/>
            <w:tcMar>
              <w:top w:w="28" w:type="dxa"/>
              <w:bottom w:w="28" w:type="dxa"/>
            </w:tcMar>
          </w:tcPr>
          <w:p w14:paraId="018E8FE5" w14:textId="77777777" w:rsidR="009C266F" w:rsidRPr="009E064B" w:rsidRDefault="009C266F" w:rsidP="003B70EB">
            <w:pPr>
              <w:shd w:val="clear" w:color="auto" w:fill="0066CC"/>
              <w:spacing w:before="240" w:after="0"/>
              <w:ind w:left="170" w:right="170"/>
              <w:rPr>
                <w:b/>
                <w:color w:val="FFFFFF" w:themeColor="background1"/>
                <w:sz w:val="24"/>
                <w:szCs w:val="28"/>
              </w:rPr>
            </w:pPr>
            <w:r w:rsidRPr="009E064B">
              <w:rPr>
                <w:b/>
                <w:color w:val="FFFFFF" w:themeColor="background1"/>
                <w:sz w:val="24"/>
                <w:szCs w:val="28"/>
              </w:rPr>
              <w:t>Przepisy wykonawcze (IR)</w:t>
            </w:r>
          </w:p>
          <w:p w14:paraId="4E09A8DD" w14:textId="5532F27F" w:rsidR="009C266F" w:rsidRPr="009E064B" w:rsidRDefault="009C266F" w:rsidP="009C266F">
            <w:pPr>
              <w:ind w:left="170" w:right="170"/>
              <w:jc w:val="right"/>
              <w:rPr>
                <w:b/>
                <w:color w:val="FFFFFF" w:themeColor="background1"/>
                <w:sz w:val="24"/>
                <w:szCs w:val="28"/>
              </w:rPr>
            </w:pPr>
            <w:r w:rsidRPr="009E064B">
              <w:rPr>
                <w:rFonts w:asciiTheme="minorHAnsi" w:hAnsiTheme="minorHAnsi" w:cstheme="minorHAnsi"/>
                <w:i/>
                <w:sz w:val="16"/>
                <w:szCs w:val="20"/>
              </w:rPr>
              <w:t>Rozporządzenie Komisji</w:t>
            </w:r>
          </w:p>
        </w:tc>
      </w:tr>
      <w:tr w:rsidR="009C266F" w:rsidRPr="009E064B" w14:paraId="15A82E97" w14:textId="77777777" w:rsidTr="0031311E">
        <w:trPr>
          <w:trHeight w:val="794"/>
          <w:jc w:val="center"/>
        </w:trPr>
        <w:tc>
          <w:tcPr>
            <w:tcW w:w="9060" w:type="dxa"/>
            <w:tcMar>
              <w:top w:w="28" w:type="dxa"/>
              <w:bottom w:w="28" w:type="dxa"/>
            </w:tcMar>
          </w:tcPr>
          <w:p w14:paraId="5B8A3437" w14:textId="77777777" w:rsidR="009C266F" w:rsidRPr="009E064B" w:rsidRDefault="009C266F" w:rsidP="003B70EB">
            <w:pPr>
              <w:shd w:val="clear" w:color="auto" w:fill="000066"/>
              <w:spacing w:before="240" w:after="0"/>
              <w:ind w:left="170" w:right="170"/>
              <w:rPr>
                <w:b/>
                <w:color w:val="FFFFFF" w:themeColor="background1"/>
                <w:sz w:val="24"/>
                <w:szCs w:val="28"/>
              </w:rPr>
            </w:pPr>
            <w:r w:rsidRPr="009E064B">
              <w:rPr>
                <w:b/>
                <w:color w:val="FFFFFF" w:themeColor="background1"/>
                <w:sz w:val="24"/>
                <w:szCs w:val="28"/>
              </w:rPr>
              <w:t>Specyfikacje certyfikacyjne (CS)</w:t>
            </w:r>
          </w:p>
          <w:p w14:paraId="4967294C" w14:textId="6001F66C" w:rsidR="009C266F" w:rsidRPr="009E064B" w:rsidRDefault="009C266F" w:rsidP="009C266F">
            <w:pPr>
              <w:spacing w:after="80"/>
              <w:ind w:left="170" w:right="170"/>
              <w:jc w:val="right"/>
              <w:rPr>
                <w:b/>
                <w:color w:val="FFFFFF" w:themeColor="background1"/>
                <w:sz w:val="24"/>
                <w:szCs w:val="28"/>
              </w:rPr>
            </w:pPr>
            <w:r w:rsidRPr="009E064B">
              <w:rPr>
                <w:rFonts w:asciiTheme="minorHAnsi" w:eastAsia="Times New Roman" w:hAnsiTheme="minorHAnsi" w:cstheme="minorHAnsi"/>
                <w:bCs/>
                <w:i/>
                <w:color w:val="1A171C"/>
                <w:sz w:val="16"/>
                <w:szCs w:val="20"/>
              </w:rPr>
              <w:t>Decyzja ED EASA</w:t>
            </w:r>
          </w:p>
        </w:tc>
      </w:tr>
      <w:tr w:rsidR="009C266F" w:rsidRPr="009E064B" w14:paraId="556E7E84" w14:textId="77777777" w:rsidTr="0031311E">
        <w:trPr>
          <w:trHeight w:val="794"/>
          <w:jc w:val="center"/>
        </w:trPr>
        <w:tc>
          <w:tcPr>
            <w:tcW w:w="9060" w:type="dxa"/>
            <w:tcMar>
              <w:top w:w="28" w:type="dxa"/>
              <w:bottom w:w="28" w:type="dxa"/>
            </w:tcMar>
          </w:tcPr>
          <w:p w14:paraId="7E27AABE" w14:textId="77777777" w:rsidR="009C266F" w:rsidRPr="009E064B" w:rsidRDefault="009C266F" w:rsidP="003B70EB">
            <w:pPr>
              <w:shd w:val="clear" w:color="auto" w:fill="FF9933"/>
              <w:spacing w:before="240" w:after="0"/>
              <w:ind w:left="170" w:right="170"/>
              <w:rPr>
                <w:b/>
                <w:color w:val="FFFFFF" w:themeColor="background1"/>
              </w:rPr>
            </w:pPr>
            <w:r w:rsidRPr="009E064B">
              <w:rPr>
                <w:b/>
                <w:color w:val="FFFFFF" w:themeColor="background1"/>
              </w:rPr>
              <w:t>Akceptowalne sposoby spełniania wymagań (AMC)</w:t>
            </w:r>
          </w:p>
          <w:p w14:paraId="3F770E5B" w14:textId="52CE49FC" w:rsidR="009C266F" w:rsidRPr="009E064B" w:rsidRDefault="009C266F" w:rsidP="009C266F">
            <w:pPr>
              <w:pStyle w:val="Tekstpodstawowy"/>
              <w:spacing w:after="80"/>
              <w:ind w:left="170" w:right="170"/>
              <w:jc w:val="right"/>
              <w:rPr>
                <w:b/>
                <w:color w:val="FFFFFF" w:themeColor="background1"/>
              </w:rPr>
            </w:pPr>
            <w:r w:rsidRPr="009E064B">
              <w:rPr>
                <w:rFonts w:asciiTheme="minorHAnsi" w:hAnsiTheme="minorHAnsi" w:cstheme="minorHAnsi"/>
                <w:bCs/>
                <w:i/>
                <w:sz w:val="16"/>
                <w:szCs w:val="20"/>
              </w:rPr>
              <w:t>Decyzja ED EASA</w:t>
            </w:r>
          </w:p>
        </w:tc>
      </w:tr>
      <w:tr w:rsidR="009C266F" w:rsidRPr="009E064B" w14:paraId="2E6C16B2" w14:textId="77777777" w:rsidTr="0031311E">
        <w:trPr>
          <w:trHeight w:val="794"/>
          <w:jc w:val="center"/>
        </w:trPr>
        <w:tc>
          <w:tcPr>
            <w:tcW w:w="9060" w:type="dxa"/>
            <w:tcMar>
              <w:top w:w="28" w:type="dxa"/>
              <w:bottom w:w="28" w:type="dxa"/>
            </w:tcMar>
          </w:tcPr>
          <w:p w14:paraId="28687827" w14:textId="4BD9E476" w:rsidR="009C266F" w:rsidRPr="009E064B" w:rsidRDefault="009C266F" w:rsidP="00CA32D8">
            <w:pPr>
              <w:shd w:val="clear" w:color="auto" w:fill="339933"/>
              <w:spacing w:before="240" w:after="0"/>
              <w:ind w:left="170" w:right="170"/>
              <w:rPr>
                <w:b/>
                <w:color w:val="FFFFFF" w:themeColor="background1"/>
              </w:rPr>
            </w:pPr>
            <w:r w:rsidRPr="009E064B">
              <w:rPr>
                <w:b/>
                <w:color w:val="FFFFFF" w:themeColor="background1"/>
              </w:rPr>
              <w:t xml:space="preserve">Materiały </w:t>
            </w:r>
            <w:r w:rsidR="00884DE1">
              <w:rPr>
                <w:b/>
                <w:color w:val="FFFFFF" w:themeColor="background1"/>
              </w:rPr>
              <w:t>zawierające</w:t>
            </w:r>
            <w:r w:rsidRPr="009E064B">
              <w:rPr>
                <w:b/>
                <w:color w:val="FFFFFF" w:themeColor="background1"/>
              </w:rPr>
              <w:t xml:space="preserve"> wytyczne (GM)</w:t>
            </w:r>
          </w:p>
          <w:p w14:paraId="7A47C561" w14:textId="4AD62D3C" w:rsidR="009C266F" w:rsidRPr="009E064B" w:rsidRDefault="009C266F" w:rsidP="009C266F">
            <w:pPr>
              <w:pStyle w:val="Tekstpodstawowy"/>
              <w:spacing w:after="80"/>
              <w:ind w:left="170" w:right="170"/>
              <w:jc w:val="right"/>
              <w:rPr>
                <w:b/>
                <w:color w:val="FFFFFF" w:themeColor="background1"/>
              </w:rPr>
            </w:pPr>
            <w:r w:rsidRPr="009E064B">
              <w:rPr>
                <w:rFonts w:asciiTheme="minorHAnsi" w:hAnsiTheme="minorHAnsi" w:cstheme="minorHAnsi"/>
                <w:bCs/>
                <w:i/>
                <w:sz w:val="16"/>
                <w:szCs w:val="20"/>
              </w:rPr>
              <w:t>Decyzja ED EASA</w:t>
            </w:r>
          </w:p>
        </w:tc>
      </w:tr>
    </w:tbl>
    <w:p w14:paraId="5940D762" w14:textId="2B6AC7AD" w:rsidR="006527F8" w:rsidRPr="00154387" w:rsidRDefault="006527F8" w:rsidP="00AC0AF0">
      <w:pPr>
        <w:spacing w:before="120"/>
        <w:ind w:firstLine="425"/>
        <w:rPr>
          <w:i/>
          <w:iCs/>
          <w:sz w:val="20"/>
        </w:rPr>
      </w:pPr>
      <w:r w:rsidRPr="00154387">
        <w:rPr>
          <w:i/>
          <w:iCs/>
          <w:sz w:val="20"/>
        </w:rPr>
        <w:t xml:space="preserve">Uwaga: W </w:t>
      </w:r>
      <w:r w:rsidR="003B70EB" w:rsidRPr="00154387">
        <w:rPr>
          <w:i/>
          <w:iCs/>
          <w:sz w:val="20"/>
        </w:rPr>
        <w:t>niektórych</w:t>
      </w:r>
      <w:r w:rsidRPr="00154387">
        <w:rPr>
          <w:i/>
          <w:iCs/>
          <w:sz w:val="20"/>
        </w:rPr>
        <w:t xml:space="preserve"> przypadkach (np. </w:t>
      </w:r>
      <w:hyperlink w:anchor="_ADR.AR.B.005__" w:history="1">
        <w:r w:rsidRPr="00154387">
          <w:rPr>
            <w:rStyle w:val="Hipercze"/>
            <w:bCs/>
            <w:i/>
            <w:iCs/>
            <w:sz w:val="20"/>
          </w:rPr>
          <w:t>ADR.AR.B.005</w:t>
        </w:r>
      </w:hyperlink>
      <w:r w:rsidRPr="00154387">
        <w:rPr>
          <w:i/>
          <w:iCs/>
          <w:sz w:val="20"/>
        </w:rPr>
        <w:t xml:space="preserve"> System zarzadzania), źródło pochodzenia przepisu wykonawczego (IR) jest wskazane na poziomie </w:t>
      </w:r>
      <w:r w:rsidR="006D6289" w:rsidRPr="00154387">
        <w:rPr>
          <w:i/>
          <w:iCs/>
          <w:sz w:val="20"/>
        </w:rPr>
        <w:t>danego punktu</w:t>
      </w:r>
      <w:r w:rsidRPr="00154387">
        <w:rPr>
          <w:i/>
          <w:iCs/>
          <w:sz w:val="20"/>
        </w:rPr>
        <w:t xml:space="preserve"> </w:t>
      </w:r>
      <w:r w:rsidR="003B70EB" w:rsidRPr="00154387">
        <w:rPr>
          <w:i/>
          <w:iCs/>
          <w:sz w:val="20"/>
        </w:rPr>
        <w:t>przepisu</w:t>
      </w:r>
      <w:r w:rsidRPr="00154387">
        <w:rPr>
          <w:i/>
          <w:iCs/>
          <w:sz w:val="20"/>
        </w:rPr>
        <w:t xml:space="preserve"> (np.</w:t>
      </w:r>
      <w:hyperlink w:anchor="_ADR.AR.B.005__" w:history="1">
        <w:r w:rsidRPr="00154387">
          <w:rPr>
            <w:rStyle w:val="Hipercze"/>
            <w:i/>
            <w:iCs/>
            <w:sz w:val="20"/>
          </w:rPr>
          <w:t xml:space="preserve"> </w:t>
        </w:r>
        <w:r w:rsidRPr="00154387">
          <w:rPr>
            <w:rStyle w:val="Hipercze"/>
            <w:i/>
            <w:sz w:val="20"/>
          </w:rPr>
          <w:t>ADR.AR.B.005</w:t>
        </w:r>
      </w:hyperlink>
      <w:r w:rsidR="006D6289" w:rsidRPr="00154387">
        <w:rPr>
          <w:i/>
          <w:sz w:val="20"/>
        </w:rPr>
        <w:t xml:space="preserve"> lit. </w:t>
      </w:r>
      <w:r w:rsidRPr="00154387">
        <w:rPr>
          <w:i/>
          <w:sz w:val="20"/>
        </w:rPr>
        <w:t>(a)</w:t>
      </w:r>
      <w:r w:rsidR="006D6289" w:rsidRPr="00154387">
        <w:rPr>
          <w:i/>
          <w:sz w:val="20"/>
        </w:rPr>
        <w:t xml:space="preserve"> pkt </w:t>
      </w:r>
      <w:r w:rsidRPr="00154387">
        <w:rPr>
          <w:i/>
          <w:sz w:val="20"/>
        </w:rPr>
        <w:t>(1)</w:t>
      </w:r>
      <w:r w:rsidRPr="00154387">
        <w:rPr>
          <w:i/>
          <w:iCs/>
          <w:sz w:val="20"/>
        </w:rPr>
        <w:t>).</w:t>
      </w:r>
    </w:p>
    <w:p w14:paraId="2D3BED84" w14:textId="77777777" w:rsidR="003B70EB" w:rsidRPr="00154387" w:rsidRDefault="003B70EB">
      <w:pPr>
        <w:spacing w:after="0"/>
        <w:jc w:val="left"/>
        <w:rPr>
          <w:rFonts w:asciiTheme="minorHAnsi" w:eastAsia="Times New Roman" w:hAnsiTheme="minorHAnsi" w:cstheme="minorHAnsi"/>
          <w:b/>
          <w:bCs/>
          <w:sz w:val="20"/>
        </w:rPr>
      </w:pPr>
    </w:p>
    <w:p w14:paraId="1C8657EA" w14:textId="77777777" w:rsidR="0031311E" w:rsidRPr="00154387" w:rsidRDefault="003B70EB" w:rsidP="0031311E">
      <w:pPr>
        <w:spacing w:after="40"/>
        <w:rPr>
          <w:sz w:val="20"/>
        </w:rPr>
      </w:pPr>
      <w:r w:rsidRPr="00154387">
        <w:rPr>
          <w:sz w:val="20"/>
        </w:rPr>
        <w:t xml:space="preserve">Niniejszy dokument będzie systematycznie uaktualniany, aby </w:t>
      </w:r>
      <w:r w:rsidR="0031311E" w:rsidRPr="00154387">
        <w:rPr>
          <w:sz w:val="20"/>
        </w:rPr>
        <w:t xml:space="preserve">uwzględnić </w:t>
      </w:r>
      <w:r w:rsidRPr="00154387">
        <w:rPr>
          <w:sz w:val="20"/>
        </w:rPr>
        <w:t>kolejne zmiany przepisów.</w:t>
      </w:r>
    </w:p>
    <w:p w14:paraId="4861E607" w14:textId="77777777" w:rsidR="0031311E" w:rsidRPr="00154387" w:rsidRDefault="003B70EB" w:rsidP="0031311E">
      <w:pPr>
        <w:spacing w:after="40"/>
        <w:rPr>
          <w:sz w:val="20"/>
        </w:rPr>
      </w:pPr>
      <w:r w:rsidRPr="00154387">
        <w:rPr>
          <w:sz w:val="20"/>
        </w:rPr>
        <w:t xml:space="preserve">Format tego dokumentu został dostosowany tak, aby był on przyjazny dla użytkownika i spełniał zakładane cele informacyjne. </w:t>
      </w:r>
    </w:p>
    <w:p w14:paraId="08E20FBC" w14:textId="43EBCE9B" w:rsidR="008D541B" w:rsidRPr="009E064B" w:rsidRDefault="003B70EB" w:rsidP="00577BAA">
      <w:pPr>
        <w:rPr>
          <w:rFonts w:asciiTheme="minorHAnsi" w:hAnsiTheme="minorHAnsi" w:cstheme="minorHAnsi"/>
        </w:rPr>
      </w:pPr>
      <w:r w:rsidRPr="00154387">
        <w:rPr>
          <w:sz w:val="20"/>
        </w:rPr>
        <w:t>Wszelkie uwagi do wydania oryginalnego w języku angielskim należy przesyłać na adres</w:t>
      </w:r>
      <w:r w:rsidRPr="00154387">
        <w:rPr>
          <w:rFonts w:asciiTheme="minorHAnsi" w:hAnsiTheme="minorHAnsi" w:cstheme="minorHAnsi"/>
          <w:color w:val="222222"/>
          <w:sz w:val="20"/>
        </w:rPr>
        <w:t xml:space="preserve"> </w:t>
      </w:r>
      <w:hyperlink r:id="rId22" w:history="1">
        <w:r w:rsidRPr="00154387">
          <w:rPr>
            <w:rStyle w:val="Hipercze"/>
            <w:rFonts w:asciiTheme="minorHAnsi" w:hAnsiTheme="minorHAnsi" w:cstheme="minorHAnsi"/>
            <w:sz w:val="20"/>
          </w:rPr>
          <w:t>erules@easa.europa.eu</w:t>
        </w:r>
      </w:hyperlink>
      <w:r w:rsidRPr="00154387">
        <w:rPr>
          <w:rFonts w:asciiTheme="minorHAnsi" w:hAnsiTheme="minorHAnsi" w:cstheme="minorHAnsi"/>
          <w:color w:val="222222"/>
          <w:sz w:val="20"/>
        </w:rPr>
        <w:t>.</w:t>
      </w:r>
      <w:r w:rsidR="00DE037F" w:rsidRPr="009E064B">
        <w:rPr>
          <w:rStyle w:val="Odwoanieprzypisudolnego"/>
          <w:rFonts w:asciiTheme="minorHAnsi" w:hAnsiTheme="minorHAnsi" w:cstheme="minorHAnsi"/>
          <w:color w:val="222222"/>
        </w:rPr>
        <w:footnoteReference w:id="7"/>
      </w:r>
      <w:r w:rsidR="00577BAA" w:rsidRPr="009E064B">
        <w:rPr>
          <w:rFonts w:asciiTheme="minorHAnsi" w:hAnsiTheme="minorHAnsi" w:cstheme="minorHAnsi"/>
          <w:color w:val="222222"/>
        </w:rPr>
        <w:t xml:space="preserve">  </w:t>
      </w:r>
    </w:p>
    <w:p w14:paraId="67627803" w14:textId="77777777" w:rsidR="008D541B" w:rsidRPr="009E064B" w:rsidRDefault="008D541B" w:rsidP="0031311E">
      <w:pPr>
        <w:pStyle w:val="Nagwek11"/>
        <w:spacing w:after="0"/>
        <w:jc w:val="left"/>
        <w:outlineLvl w:val="9"/>
        <w:rPr>
          <w:rFonts w:asciiTheme="minorHAnsi" w:hAnsiTheme="minorHAnsi" w:cstheme="minorHAnsi"/>
          <w:sz w:val="22"/>
          <w:szCs w:val="22"/>
        </w:rPr>
        <w:sectPr w:rsidR="008D541B" w:rsidRPr="009E064B" w:rsidSect="00AE1280">
          <w:headerReference w:type="first" r:id="rId23"/>
          <w:pgSz w:w="11906" w:h="16840" w:code="9"/>
          <w:pgMar w:top="1701" w:right="1418" w:bottom="1418" w:left="1418" w:header="567" w:footer="454" w:gutter="0"/>
          <w:cols w:space="708"/>
          <w:titlePg/>
        </w:sectPr>
      </w:pPr>
    </w:p>
    <w:p w14:paraId="60BF0479" w14:textId="1D9B79FC" w:rsidR="00BA3061" w:rsidRPr="009E064B" w:rsidRDefault="001563DD" w:rsidP="00630A00">
      <w:pPr>
        <w:pStyle w:val="Nagwek2"/>
      </w:pPr>
      <w:bookmarkStart w:id="4" w:name="_Toc12532519"/>
      <w:r w:rsidRPr="009E064B">
        <w:t>W</w:t>
      </w:r>
      <w:r w:rsidR="001627F0" w:rsidRPr="009E064B">
        <w:t>prowadzone</w:t>
      </w:r>
      <w:r w:rsidRPr="009E064B">
        <w:t xml:space="preserve"> z</w:t>
      </w:r>
      <w:r w:rsidR="00F657D8" w:rsidRPr="009E064B">
        <w:t>mian</w:t>
      </w:r>
      <w:r w:rsidR="001627F0" w:rsidRPr="009E064B">
        <w:t>y</w:t>
      </w:r>
      <w:r w:rsidR="00C25892" w:rsidRPr="009E064B">
        <w:t xml:space="preserve"> przepisów</w:t>
      </w:r>
      <w:bookmarkEnd w:id="4"/>
    </w:p>
    <w:p w14:paraId="61E92531" w14:textId="77777777" w:rsidR="003256F5" w:rsidRPr="009E064B" w:rsidRDefault="003256F5" w:rsidP="00DE319F">
      <w:pPr>
        <w:spacing w:after="0"/>
      </w:pPr>
    </w:p>
    <w:p w14:paraId="0F4C675C" w14:textId="1B6E52EC" w:rsidR="00884DE1" w:rsidRPr="009E064B" w:rsidRDefault="009B7C7B" w:rsidP="00FE23AD">
      <w:pPr>
        <w:spacing w:before="120"/>
        <w:jc w:val="center"/>
        <w:rPr>
          <w:b/>
        </w:rPr>
      </w:pPr>
      <w:r w:rsidRPr="009E064B">
        <w:rPr>
          <w:b/>
        </w:rPr>
        <w:t xml:space="preserve">Przepisy wykonawcze </w:t>
      </w:r>
      <w:r w:rsidR="0054451B" w:rsidRPr="009E064B">
        <w:rPr>
          <w:b/>
        </w:rPr>
        <w:t>(IR</w:t>
      </w:r>
      <w:r w:rsidR="00A233E9" w:rsidRPr="009E064B">
        <w:rPr>
          <w:b/>
        </w:rPr>
        <w:t>s</w:t>
      </w:r>
      <w:r w:rsidR="0054451B" w:rsidRPr="009E064B">
        <w:rPr>
          <w:b/>
        </w:rPr>
        <w:t>) (</w:t>
      </w:r>
      <w:r w:rsidR="004D118C" w:rsidRPr="009E064B">
        <w:rPr>
          <w:b/>
        </w:rPr>
        <w:t>Rozporządzenie</w:t>
      </w:r>
      <w:r w:rsidRPr="009E064B">
        <w:rPr>
          <w:b/>
        </w:rPr>
        <w:t xml:space="preserve"> Komisji)</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left w:w="57" w:type="dxa"/>
          <w:bottom w:w="28" w:type="dxa"/>
          <w:right w:w="57" w:type="dxa"/>
        </w:tblCellMar>
        <w:tblLook w:val="04A0" w:firstRow="1" w:lastRow="0" w:firstColumn="1" w:lastColumn="0" w:noHBand="0" w:noVBand="1"/>
      </w:tblPr>
      <w:tblGrid>
        <w:gridCol w:w="2958"/>
        <w:gridCol w:w="3130"/>
        <w:gridCol w:w="1661"/>
        <w:gridCol w:w="1305"/>
      </w:tblGrid>
      <w:tr w:rsidR="004D118C" w:rsidRPr="00CE4A3E" w14:paraId="4C3CFE04" w14:textId="77777777" w:rsidTr="00CE4A3E">
        <w:tc>
          <w:tcPr>
            <w:tcW w:w="2958" w:type="dxa"/>
            <w:shd w:val="clear" w:color="auto" w:fill="auto"/>
            <w:vAlign w:val="center"/>
          </w:tcPr>
          <w:p w14:paraId="6080F945" w14:textId="10308CCB" w:rsidR="004D4DBB" w:rsidRPr="00CE4A3E" w:rsidRDefault="004D118C" w:rsidP="00ED7276">
            <w:pPr>
              <w:spacing w:after="0"/>
              <w:jc w:val="center"/>
              <w:rPr>
                <w:b/>
                <w:sz w:val="20"/>
                <w:szCs w:val="18"/>
              </w:rPr>
            </w:pPr>
            <w:r w:rsidRPr="00CE4A3E">
              <w:rPr>
                <w:b/>
                <w:sz w:val="20"/>
                <w:szCs w:val="18"/>
              </w:rPr>
              <w:t>Wprowadzone</w:t>
            </w:r>
            <w:r w:rsidR="00ED7276" w:rsidRPr="00CE4A3E">
              <w:rPr>
                <w:b/>
                <w:sz w:val="20"/>
                <w:szCs w:val="18"/>
              </w:rPr>
              <w:t xml:space="preserve"> </w:t>
            </w:r>
            <w:r w:rsidRPr="00CE4A3E">
              <w:rPr>
                <w:b/>
                <w:sz w:val="20"/>
                <w:szCs w:val="18"/>
              </w:rPr>
              <w:t>Rozporządzenie Komisji</w:t>
            </w:r>
          </w:p>
        </w:tc>
        <w:tc>
          <w:tcPr>
            <w:tcW w:w="3130" w:type="dxa"/>
            <w:shd w:val="clear" w:color="auto" w:fill="auto"/>
            <w:vAlign w:val="center"/>
          </w:tcPr>
          <w:p w14:paraId="4EE7AD9F" w14:textId="5CDEBFCE" w:rsidR="004D118C" w:rsidRPr="00CE4A3E" w:rsidRDefault="004D118C" w:rsidP="006A54F2">
            <w:pPr>
              <w:spacing w:after="0"/>
              <w:jc w:val="center"/>
              <w:rPr>
                <w:b/>
                <w:sz w:val="20"/>
                <w:szCs w:val="18"/>
              </w:rPr>
            </w:pPr>
            <w:r w:rsidRPr="00CE4A3E">
              <w:rPr>
                <w:b/>
                <w:sz w:val="20"/>
                <w:szCs w:val="18"/>
              </w:rPr>
              <w:t>Część, której dotyczy zmiana</w:t>
            </w:r>
          </w:p>
        </w:tc>
        <w:tc>
          <w:tcPr>
            <w:tcW w:w="1661" w:type="dxa"/>
            <w:shd w:val="clear" w:color="auto" w:fill="auto"/>
            <w:vAlign w:val="center"/>
          </w:tcPr>
          <w:p w14:paraId="28FC99A2" w14:textId="6261457F" w:rsidR="004D118C" w:rsidRPr="00CE4A3E" w:rsidRDefault="004D118C" w:rsidP="006A54F2">
            <w:pPr>
              <w:spacing w:after="0"/>
              <w:jc w:val="center"/>
              <w:rPr>
                <w:b/>
                <w:sz w:val="20"/>
                <w:szCs w:val="18"/>
              </w:rPr>
            </w:pPr>
            <w:r w:rsidRPr="00CE4A3E">
              <w:rPr>
                <w:b/>
                <w:sz w:val="20"/>
                <w:szCs w:val="18"/>
              </w:rPr>
              <w:t>Zmiana rozporządzenia</w:t>
            </w:r>
          </w:p>
        </w:tc>
        <w:tc>
          <w:tcPr>
            <w:tcW w:w="1305" w:type="dxa"/>
            <w:shd w:val="clear" w:color="auto" w:fill="auto"/>
            <w:vAlign w:val="center"/>
          </w:tcPr>
          <w:p w14:paraId="7D9EB2C4" w14:textId="6646AEFD" w:rsidR="004D118C" w:rsidRPr="00CE4A3E" w:rsidRDefault="004D118C" w:rsidP="006A54F2">
            <w:pPr>
              <w:spacing w:after="0"/>
              <w:jc w:val="center"/>
              <w:rPr>
                <w:sz w:val="20"/>
                <w:szCs w:val="18"/>
              </w:rPr>
            </w:pPr>
            <w:r w:rsidRPr="00CE4A3E">
              <w:rPr>
                <w:b/>
                <w:sz w:val="20"/>
                <w:szCs w:val="18"/>
              </w:rPr>
              <w:t>Data zastosowania</w:t>
            </w:r>
            <w:r w:rsidR="00DE319F" w:rsidRPr="00CE4A3E">
              <w:rPr>
                <w:rStyle w:val="Odwoanieprzypisudolnego"/>
                <w:rFonts w:asciiTheme="minorHAnsi" w:hAnsiTheme="minorHAnsi" w:cstheme="minorHAnsi"/>
                <w:b/>
                <w:sz w:val="20"/>
                <w:szCs w:val="18"/>
              </w:rPr>
              <w:footnoteReference w:id="8"/>
            </w:r>
          </w:p>
        </w:tc>
      </w:tr>
      <w:tr w:rsidR="00CE4A3E" w:rsidRPr="00CE4A3E" w14:paraId="620026E0" w14:textId="77777777" w:rsidTr="00CE4A3E">
        <w:tc>
          <w:tcPr>
            <w:tcW w:w="2958" w:type="dxa"/>
            <w:vMerge w:val="restart"/>
            <w:vAlign w:val="center"/>
          </w:tcPr>
          <w:p w14:paraId="6A6CE812" w14:textId="65E8E455" w:rsidR="00CE4A3E" w:rsidRPr="00CE4A3E" w:rsidRDefault="00870777" w:rsidP="006A54F2">
            <w:pPr>
              <w:spacing w:after="0"/>
              <w:rPr>
                <w:sz w:val="20"/>
                <w:szCs w:val="18"/>
              </w:rPr>
            </w:pPr>
            <w:hyperlink r:id="rId24" w:history="1">
              <w:r w:rsidR="00CE4A3E" w:rsidRPr="00CE4A3E">
                <w:rPr>
                  <w:rStyle w:val="Hipercze"/>
                  <w:rFonts w:asciiTheme="minorHAnsi" w:hAnsiTheme="minorHAnsi" w:cstheme="minorHAnsi"/>
                  <w:sz w:val="20"/>
                  <w:szCs w:val="18"/>
                </w:rPr>
                <w:t>Rozporządzenie (UE) 139/2014</w:t>
              </w:r>
            </w:hyperlink>
          </w:p>
        </w:tc>
        <w:tc>
          <w:tcPr>
            <w:tcW w:w="3130" w:type="dxa"/>
            <w:vAlign w:val="center"/>
          </w:tcPr>
          <w:p w14:paraId="6F0FEB27" w14:textId="7B4554C2" w:rsidR="00CE4A3E" w:rsidRPr="00CE4A3E" w:rsidRDefault="00CE4A3E" w:rsidP="006A54F2">
            <w:pPr>
              <w:spacing w:after="0"/>
              <w:rPr>
                <w:sz w:val="20"/>
                <w:szCs w:val="18"/>
              </w:rPr>
            </w:pPr>
            <w:r w:rsidRPr="00CE4A3E">
              <w:rPr>
                <w:sz w:val="20"/>
                <w:szCs w:val="18"/>
              </w:rPr>
              <w:t>Załącznik I (Definicje)</w:t>
            </w:r>
          </w:p>
        </w:tc>
        <w:tc>
          <w:tcPr>
            <w:tcW w:w="1661" w:type="dxa"/>
            <w:vMerge w:val="restart"/>
            <w:vAlign w:val="center"/>
          </w:tcPr>
          <w:p w14:paraId="50BD3798" w14:textId="4EAC719F" w:rsidR="00CE4A3E" w:rsidRPr="00CE4A3E" w:rsidRDefault="00CE4A3E" w:rsidP="00CE4A3E">
            <w:pPr>
              <w:spacing w:after="0"/>
              <w:jc w:val="center"/>
              <w:rPr>
                <w:sz w:val="20"/>
                <w:szCs w:val="18"/>
              </w:rPr>
            </w:pPr>
            <w:r w:rsidRPr="00CE4A3E">
              <w:rPr>
                <w:sz w:val="20"/>
                <w:szCs w:val="18"/>
              </w:rPr>
              <w:t>Wydanie</w:t>
            </w:r>
            <w:r>
              <w:rPr>
                <w:sz w:val="20"/>
                <w:szCs w:val="18"/>
              </w:rPr>
              <w:t xml:space="preserve"> 1</w:t>
            </w:r>
          </w:p>
        </w:tc>
        <w:tc>
          <w:tcPr>
            <w:tcW w:w="1305" w:type="dxa"/>
            <w:vMerge w:val="restart"/>
            <w:vAlign w:val="center"/>
          </w:tcPr>
          <w:p w14:paraId="060AA8F3" w14:textId="072DD046" w:rsidR="00CE4A3E" w:rsidRPr="00CE4A3E" w:rsidRDefault="00CE4A3E" w:rsidP="00EF2F4E">
            <w:pPr>
              <w:spacing w:after="0"/>
              <w:jc w:val="center"/>
              <w:rPr>
                <w:sz w:val="20"/>
                <w:szCs w:val="18"/>
              </w:rPr>
            </w:pPr>
            <w:r w:rsidRPr="00CE4A3E">
              <w:rPr>
                <w:sz w:val="20"/>
                <w:szCs w:val="18"/>
              </w:rPr>
              <w:t>6/03/2014</w:t>
            </w:r>
          </w:p>
        </w:tc>
      </w:tr>
      <w:tr w:rsidR="00CE4A3E" w:rsidRPr="00CE4A3E" w14:paraId="1B649048" w14:textId="77777777" w:rsidTr="00CE4A3E">
        <w:tc>
          <w:tcPr>
            <w:tcW w:w="2958" w:type="dxa"/>
            <w:vMerge/>
            <w:vAlign w:val="center"/>
          </w:tcPr>
          <w:p w14:paraId="3AE04CD9" w14:textId="77777777" w:rsidR="00CE4A3E" w:rsidRPr="00CE4A3E" w:rsidRDefault="00CE4A3E" w:rsidP="006A54F2">
            <w:pPr>
              <w:spacing w:after="0"/>
              <w:rPr>
                <w:sz w:val="20"/>
                <w:szCs w:val="18"/>
              </w:rPr>
            </w:pPr>
          </w:p>
        </w:tc>
        <w:tc>
          <w:tcPr>
            <w:tcW w:w="3130" w:type="dxa"/>
            <w:vAlign w:val="center"/>
          </w:tcPr>
          <w:p w14:paraId="49F0E2C5" w14:textId="3EC27CB4" w:rsidR="00CE4A3E" w:rsidRPr="00CE4A3E" w:rsidRDefault="00CE4A3E" w:rsidP="006A54F2">
            <w:pPr>
              <w:spacing w:after="0"/>
              <w:rPr>
                <w:sz w:val="20"/>
                <w:szCs w:val="18"/>
              </w:rPr>
            </w:pPr>
            <w:r w:rsidRPr="00CE4A3E">
              <w:rPr>
                <w:sz w:val="20"/>
                <w:szCs w:val="18"/>
              </w:rPr>
              <w:t>Załącznik II (Część-ADR.AR)</w:t>
            </w:r>
          </w:p>
        </w:tc>
        <w:tc>
          <w:tcPr>
            <w:tcW w:w="1661" w:type="dxa"/>
            <w:vMerge/>
            <w:vAlign w:val="center"/>
          </w:tcPr>
          <w:p w14:paraId="39387369" w14:textId="3E61CB98" w:rsidR="00CE4A3E" w:rsidRPr="00CE4A3E" w:rsidRDefault="00CE4A3E" w:rsidP="00CE4A3E">
            <w:pPr>
              <w:spacing w:after="0"/>
              <w:jc w:val="center"/>
              <w:rPr>
                <w:rFonts w:ascii="Times New Roman" w:hAnsi="Times New Roman" w:cs="Times New Roman"/>
                <w:sz w:val="20"/>
                <w:szCs w:val="18"/>
              </w:rPr>
            </w:pPr>
          </w:p>
        </w:tc>
        <w:tc>
          <w:tcPr>
            <w:tcW w:w="1305" w:type="dxa"/>
            <w:vMerge/>
            <w:vAlign w:val="center"/>
          </w:tcPr>
          <w:p w14:paraId="45B066CD" w14:textId="6C1D62BD" w:rsidR="00CE4A3E" w:rsidRPr="00CE4A3E" w:rsidRDefault="00CE4A3E" w:rsidP="006A54F2">
            <w:pPr>
              <w:spacing w:after="0"/>
              <w:rPr>
                <w:rFonts w:ascii="Times New Roman" w:hAnsi="Times New Roman" w:cs="Times New Roman"/>
                <w:sz w:val="20"/>
                <w:szCs w:val="18"/>
              </w:rPr>
            </w:pPr>
          </w:p>
        </w:tc>
      </w:tr>
      <w:tr w:rsidR="00CE4A3E" w:rsidRPr="00CE4A3E" w14:paraId="4E699AFB" w14:textId="77777777" w:rsidTr="00CE4A3E">
        <w:tc>
          <w:tcPr>
            <w:tcW w:w="2958" w:type="dxa"/>
            <w:vMerge/>
            <w:vAlign w:val="center"/>
          </w:tcPr>
          <w:p w14:paraId="7BFFCA68" w14:textId="77777777" w:rsidR="00CE4A3E" w:rsidRPr="00CE4A3E" w:rsidRDefault="00CE4A3E" w:rsidP="006A54F2">
            <w:pPr>
              <w:spacing w:after="0"/>
              <w:rPr>
                <w:sz w:val="20"/>
                <w:szCs w:val="18"/>
              </w:rPr>
            </w:pPr>
          </w:p>
        </w:tc>
        <w:tc>
          <w:tcPr>
            <w:tcW w:w="3130" w:type="dxa"/>
            <w:vAlign w:val="center"/>
          </w:tcPr>
          <w:p w14:paraId="1F04F716" w14:textId="22284C4A" w:rsidR="00CE4A3E" w:rsidRPr="00CE4A3E" w:rsidRDefault="00CE4A3E" w:rsidP="006A54F2">
            <w:pPr>
              <w:spacing w:after="0"/>
              <w:rPr>
                <w:sz w:val="20"/>
                <w:szCs w:val="18"/>
              </w:rPr>
            </w:pPr>
            <w:r w:rsidRPr="00CE4A3E">
              <w:rPr>
                <w:sz w:val="20"/>
                <w:szCs w:val="18"/>
              </w:rPr>
              <w:t>Załącznik III (Część-ADR.OR)</w:t>
            </w:r>
          </w:p>
        </w:tc>
        <w:tc>
          <w:tcPr>
            <w:tcW w:w="1661" w:type="dxa"/>
            <w:vMerge/>
            <w:vAlign w:val="center"/>
          </w:tcPr>
          <w:p w14:paraId="1C87D1D9" w14:textId="645CE7CF" w:rsidR="00CE4A3E" w:rsidRPr="00CE4A3E" w:rsidRDefault="00CE4A3E" w:rsidP="00CE4A3E">
            <w:pPr>
              <w:spacing w:after="0"/>
              <w:jc w:val="center"/>
              <w:rPr>
                <w:rFonts w:ascii="Times New Roman" w:hAnsi="Times New Roman" w:cs="Times New Roman"/>
                <w:sz w:val="20"/>
                <w:szCs w:val="18"/>
              </w:rPr>
            </w:pPr>
          </w:p>
        </w:tc>
        <w:tc>
          <w:tcPr>
            <w:tcW w:w="1305" w:type="dxa"/>
            <w:vMerge/>
            <w:vAlign w:val="center"/>
          </w:tcPr>
          <w:p w14:paraId="218A36EB" w14:textId="48CC6574" w:rsidR="00CE4A3E" w:rsidRPr="00CE4A3E" w:rsidRDefault="00CE4A3E" w:rsidP="006A54F2">
            <w:pPr>
              <w:spacing w:after="0"/>
              <w:rPr>
                <w:rFonts w:ascii="Times New Roman" w:hAnsi="Times New Roman" w:cs="Times New Roman"/>
                <w:sz w:val="20"/>
                <w:szCs w:val="18"/>
              </w:rPr>
            </w:pPr>
          </w:p>
        </w:tc>
      </w:tr>
      <w:tr w:rsidR="00CE4A3E" w:rsidRPr="00CE4A3E" w14:paraId="02B84143" w14:textId="77777777" w:rsidTr="00CE4A3E">
        <w:tc>
          <w:tcPr>
            <w:tcW w:w="2958" w:type="dxa"/>
            <w:vMerge/>
            <w:vAlign w:val="center"/>
          </w:tcPr>
          <w:p w14:paraId="446B5F35" w14:textId="77777777" w:rsidR="00CE4A3E" w:rsidRPr="00CE4A3E" w:rsidRDefault="00CE4A3E" w:rsidP="006A54F2">
            <w:pPr>
              <w:spacing w:after="0"/>
              <w:rPr>
                <w:sz w:val="20"/>
                <w:szCs w:val="18"/>
              </w:rPr>
            </w:pPr>
          </w:p>
        </w:tc>
        <w:tc>
          <w:tcPr>
            <w:tcW w:w="3130" w:type="dxa"/>
            <w:vAlign w:val="center"/>
          </w:tcPr>
          <w:p w14:paraId="66304DCB" w14:textId="6963C428" w:rsidR="00CE4A3E" w:rsidRPr="00CE4A3E" w:rsidRDefault="00CE4A3E" w:rsidP="006A54F2">
            <w:pPr>
              <w:spacing w:after="0"/>
              <w:rPr>
                <w:sz w:val="20"/>
                <w:szCs w:val="18"/>
              </w:rPr>
            </w:pPr>
            <w:r w:rsidRPr="00CE4A3E">
              <w:rPr>
                <w:sz w:val="20"/>
                <w:szCs w:val="18"/>
              </w:rPr>
              <w:t>Załącznik IV (Część-ADR.OPS)</w:t>
            </w:r>
          </w:p>
        </w:tc>
        <w:tc>
          <w:tcPr>
            <w:tcW w:w="1661" w:type="dxa"/>
            <w:vMerge/>
            <w:vAlign w:val="center"/>
          </w:tcPr>
          <w:p w14:paraId="662540E8" w14:textId="3B0A627E" w:rsidR="00CE4A3E" w:rsidRPr="00CE4A3E" w:rsidRDefault="00CE4A3E" w:rsidP="00CE4A3E">
            <w:pPr>
              <w:spacing w:after="0"/>
              <w:jc w:val="center"/>
              <w:rPr>
                <w:rFonts w:ascii="Times New Roman" w:hAnsi="Times New Roman" w:cs="Times New Roman"/>
                <w:sz w:val="20"/>
                <w:szCs w:val="18"/>
              </w:rPr>
            </w:pPr>
          </w:p>
        </w:tc>
        <w:tc>
          <w:tcPr>
            <w:tcW w:w="1305" w:type="dxa"/>
            <w:vMerge/>
            <w:vAlign w:val="center"/>
          </w:tcPr>
          <w:p w14:paraId="3E37EE28" w14:textId="5B35D3C7" w:rsidR="00CE4A3E" w:rsidRPr="00CE4A3E" w:rsidRDefault="00CE4A3E" w:rsidP="006A54F2">
            <w:pPr>
              <w:spacing w:after="0"/>
              <w:rPr>
                <w:rFonts w:ascii="Times New Roman" w:hAnsi="Times New Roman" w:cs="Times New Roman"/>
                <w:sz w:val="20"/>
                <w:szCs w:val="18"/>
              </w:rPr>
            </w:pPr>
          </w:p>
        </w:tc>
      </w:tr>
      <w:tr w:rsidR="00884DE1" w:rsidRPr="00CE4A3E" w14:paraId="36D866F0" w14:textId="77777777" w:rsidTr="00CE4A3E">
        <w:tc>
          <w:tcPr>
            <w:tcW w:w="2958" w:type="dxa"/>
            <w:shd w:val="clear" w:color="auto" w:fill="auto"/>
            <w:vAlign w:val="center"/>
          </w:tcPr>
          <w:p w14:paraId="73173DD3" w14:textId="2975CEFA" w:rsidR="00884DE1" w:rsidRPr="00CE4A3E" w:rsidRDefault="00870777" w:rsidP="00884DE1">
            <w:pPr>
              <w:spacing w:after="0"/>
              <w:jc w:val="left"/>
              <w:rPr>
                <w:b/>
                <w:sz w:val="20"/>
                <w:szCs w:val="18"/>
              </w:rPr>
            </w:pPr>
            <w:hyperlink r:id="rId25" w:history="1">
              <w:r w:rsidR="00884DE1" w:rsidRPr="00CE4A3E">
                <w:rPr>
                  <w:color w:val="0000FF"/>
                  <w:sz w:val="20"/>
                  <w:u w:val="single"/>
                </w:rPr>
                <w:t>Rozporządzenie (UE) 2018/401</w:t>
              </w:r>
            </w:hyperlink>
          </w:p>
        </w:tc>
        <w:tc>
          <w:tcPr>
            <w:tcW w:w="3130" w:type="dxa"/>
            <w:shd w:val="clear" w:color="auto" w:fill="auto"/>
            <w:vAlign w:val="center"/>
          </w:tcPr>
          <w:p w14:paraId="5DABBF16" w14:textId="1A520066" w:rsidR="00884DE1" w:rsidRPr="00CE4A3E" w:rsidRDefault="00EF2F4E" w:rsidP="00884DE1">
            <w:pPr>
              <w:spacing w:after="0"/>
              <w:rPr>
                <w:sz w:val="20"/>
                <w:szCs w:val="18"/>
              </w:rPr>
            </w:pPr>
            <w:r w:rsidRPr="00CE4A3E">
              <w:rPr>
                <w:sz w:val="20"/>
                <w:szCs w:val="18"/>
              </w:rPr>
              <w:t>Załącznik I (Definicje)</w:t>
            </w:r>
          </w:p>
        </w:tc>
        <w:tc>
          <w:tcPr>
            <w:tcW w:w="1661" w:type="dxa"/>
            <w:shd w:val="clear" w:color="auto" w:fill="auto"/>
            <w:vAlign w:val="center"/>
          </w:tcPr>
          <w:p w14:paraId="20CE9D83" w14:textId="33F356C1" w:rsidR="00884DE1" w:rsidRPr="00CE4A3E" w:rsidRDefault="00EF2F4E" w:rsidP="009D188F">
            <w:pPr>
              <w:spacing w:after="0"/>
              <w:jc w:val="center"/>
              <w:rPr>
                <w:sz w:val="20"/>
                <w:szCs w:val="18"/>
              </w:rPr>
            </w:pPr>
            <w:r w:rsidRPr="00CE4A3E">
              <w:rPr>
                <w:sz w:val="20"/>
                <w:szCs w:val="18"/>
              </w:rPr>
              <w:t>Pierwsza z</w:t>
            </w:r>
            <w:r w:rsidR="00884DE1" w:rsidRPr="00CE4A3E">
              <w:rPr>
                <w:sz w:val="20"/>
                <w:szCs w:val="18"/>
              </w:rPr>
              <w:t>miana rozporządzenia</w:t>
            </w:r>
          </w:p>
        </w:tc>
        <w:tc>
          <w:tcPr>
            <w:tcW w:w="1305" w:type="dxa"/>
            <w:shd w:val="clear" w:color="auto" w:fill="auto"/>
            <w:vAlign w:val="center"/>
          </w:tcPr>
          <w:p w14:paraId="317D815C" w14:textId="20306F98" w:rsidR="00884DE1" w:rsidRPr="00CE4A3E" w:rsidRDefault="00EF2F4E" w:rsidP="00EF2F4E">
            <w:pPr>
              <w:spacing w:after="0"/>
              <w:jc w:val="center"/>
              <w:rPr>
                <w:sz w:val="20"/>
                <w:szCs w:val="18"/>
              </w:rPr>
            </w:pPr>
            <w:r w:rsidRPr="00CE4A3E">
              <w:rPr>
                <w:sz w:val="20"/>
                <w:szCs w:val="18"/>
              </w:rPr>
              <w:t>4/04/2018</w:t>
            </w:r>
          </w:p>
        </w:tc>
      </w:tr>
    </w:tbl>
    <w:p w14:paraId="6678C441" w14:textId="6E10C51D" w:rsidR="00B667AA" w:rsidRPr="009E064B" w:rsidRDefault="00B667AA" w:rsidP="006A54F2"/>
    <w:p w14:paraId="1466DE47" w14:textId="0BBE84CE" w:rsidR="0064785C" w:rsidRPr="009E064B" w:rsidRDefault="0064785C" w:rsidP="00FE23AD">
      <w:pPr>
        <w:spacing w:before="120"/>
        <w:jc w:val="center"/>
        <w:rPr>
          <w:b/>
        </w:rPr>
      </w:pPr>
      <w:r w:rsidRPr="009E064B">
        <w:rPr>
          <w:b/>
        </w:rPr>
        <w:t xml:space="preserve">AMC/GM </w:t>
      </w:r>
      <w:r w:rsidR="004D118C" w:rsidRPr="009E064B">
        <w:rPr>
          <w:b/>
        </w:rPr>
        <w:t>do IR (</w:t>
      </w:r>
      <w:r w:rsidRPr="009E064B">
        <w:rPr>
          <w:b/>
        </w:rPr>
        <w:t>D</w:t>
      </w:r>
      <w:r w:rsidR="004D118C" w:rsidRPr="009E064B">
        <w:rPr>
          <w:b/>
        </w:rPr>
        <w:t>ecyzja</w:t>
      </w:r>
      <w:r w:rsidR="004D4DBB" w:rsidRPr="009E064B">
        <w:rPr>
          <w:b/>
        </w:rPr>
        <w:t xml:space="preserve"> EASA</w:t>
      </w:r>
      <w:r w:rsidRPr="009E064B">
        <w:rPr>
          <w:b/>
        </w:rPr>
        <w:t>)</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left w:w="57" w:type="dxa"/>
          <w:bottom w:w="28" w:type="dxa"/>
          <w:right w:w="57" w:type="dxa"/>
        </w:tblCellMar>
        <w:tblLook w:val="04A0" w:firstRow="1" w:lastRow="0" w:firstColumn="1" w:lastColumn="0" w:noHBand="0" w:noVBand="1"/>
      </w:tblPr>
      <w:tblGrid>
        <w:gridCol w:w="2260"/>
        <w:gridCol w:w="3969"/>
        <w:gridCol w:w="1590"/>
        <w:gridCol w:w="1235"/>
      </w:tblGrid>
      <w:tr w:rsidR="0064785C" w:rsidRPr="009E064B" w14:paraId="3A9B686D" w14:textId="77777777" w:rsidTr="00CE4A3E">
        <w:tc>
          <w:tcPr>
            <w:tcW w:w="2260" w:type="dxa"/>
            <w:shd w:val="clear" w:color="auto" w:fill="auto"/>
            <w:tcMar>
              <w:left w:w="28" w:type="dxa"/>
              <w:right w:w="28" w:type="dxa"/>
            </w:tcMar>
            <w:vAlign w:val="center"/>
          </w:tcPr>
          <w:p w14:paraId="7D271ABF" w14:textId="39556D51" w:rsidR="0064785C" w:rsidRPr="00CE4A3E" w:rsidRDefault="0064785C" w:rsidP="00ED7276">
            <w:pPr>
              <w:spacing w:after="0"/>
              <w:jc w:val="center"/>
              <w:rPr>
                <w:b/>
                <w:sz w:val="20"/>
                <w:szCs w:val="18"/>
              </w:rPr>
            </w:pPr>
            <w:r w:rsidRPr="00CE4A3E">
              <w:rPr>
                <w:b/>
                <w:sz w:val="20"/>
                <w:szCs w:val="18"/>
              </w:rPr>
              <w:t>Wprowadzona Decyzja Dyrektora Wykonawczego EASA</w:t>
            </w:r>
            <w:r w:rsidR="006A54F2" w:rsidRPr="00CE4A3E">
              <w:rPr>
                <w:b/>
                <w:sz w:val="20"/>
                <w:szCs w:val="18"/>
              </w:rPr>
              <w:t xml:space="preserve"> (ED)</w:t>
            </w:r>
          </w:p>
        </w:tc>
        <w:tc>
          <w:tcPr>
            <w:tcW w:w="3969" w:type="dxa"/>
            <w:shd w:val="clear" w:color="auto" w:fill="auto"/>
            <w:tcMar>
              <w:left w:w="28" w:type="dxa"/>
              <w:right w:w="28" w:type="dxa"/>
            </w:tcMar>
            <w:vAlign w:val="center"/>
          </w:tcPr>
          <w:p w14:paraId="603A00F4" w14:textId="77777777" w:rsidR="0064785C" w:rsidRPr="00CE4A3E" w:rsidRDefault="0064785C" w:rsidP="006A54F2">
            <w:pPr>
              <w:spacing w:after="0"/>
              <w:jc w:val="center"/>
              <w:rPr>
                <w:b/>
                <w:sz w:val="20"/>
                <w:szCs w:val="18"/>
              </w:rPr>
            </w:pPr>
            <w:r w:rsidRPr="00CE4A3E">
              <w:rPr>
                <w:b/>
                <w:sz w:val="20"/>
                <w:szCs w:val="18"/>
              </w:rPr>
              <w:t>Część, której dotyczy zmiana</w:t>
            </w:r>
          </w:p>
        </w:tc>
        <w:tc>
          <w:tcPr>
            <w:tcW w:w="1590" w:type="dxa"/>
            <w:shd w:val="clear" w:color="auto" w:fill="auto"/>
            <w:tcMar>
              <w:left w:w="28" w:type="dxa"/>
              <w:right w:w="28" w:type="dxa"/>
            </w:tcMar>
            <w:vAlign w:val="center"/>
          </w:tcPr>
          <w:p w14:paraId="13F56ADF" w14:textId="2DB9247E" w:rsidR="004D118C" w:rsidRPr="00CE4A3E" w:rsidRDefault="00B74EE7" w:rsidP="006A54F2">
            <w:pPr>
              <w:spacing w:after="0"/>
              <w:jc w:val="center"/>
              <w:rPr>
                <w:b/>
                <w:sz w:val="20"/>
                <w:szCs w:val="18"/>
              </w:rPr>
            </w:pPr>
            <w:r w:rsidRPr="00CE4A3E">
              <w:rPr>
                <w:b/>
                <w:sz w:val="20"/>
                <w:szCs w:val="18"/>
              </w:rPr>
              <w:t>Wydanie</w:t>
            </w:r>
            <w:r w:rsidR="0048190F" w:rsidRPr="00CE4A3E">
              <w:rPr>
                <w:b/>
                <w:sz w:val="20"/>
                <w:szCs w:val="18"/>
              </w:rPr>
              <w:t xml:space="preserve"> lub</w:t>
            </w:r>
          </w:p>
          <w:p w14:paraId="2C437C50" w14:textId="17953C7F" w:rsidR="0064785C" w:rsidRPr="00CE4A3E" w:rsidRDefault="0048190F" w:rsidP="006A54F2">
            <w:pPr>
              <w:spacing w:after="0"/>
              <w:jc w:val="center"/>
              <w:rPr>
                <w:b/>
                <w:sz w:val="20"/>
                <w:szCs w:val="18"/>
              </w:rPr>
            </w:pPr>
            <w:r w:rsidRPr="00CE4A3E">
              <w:rPr>
                <w:b/>
                <w:sz w:val="20"/>
                <w:szCs w:val="18"/>
              </w:rPr>
              <w:t>n</w:t>
            </w:r>
            <w:r w:rsidR="004D118C" w:rsidRPr="00CE4A3E">
              <w:rPr>
                <w:b/>
                <w:sz w:val="20"/>
                <w:szCs w:val="18"/>
              </w:rPr>
              <w:t>umer zmiany</w:t>
            </w:r>
          </w:p>
        </w:tc>
        <w:tc>
          <w:tcPr>
            <w:tcW w:w="1235" w:type="dxa"/>
            <w:shd w:val="clear" w:color="auto" w:fill="auto"/>
            <w:tcMar>
              <w:left w:w="28" w:type="dxa"/>
              <w:right w:w="28" w:type="dxa"/>
            </w:tcMar>
            <w:vAlign w:val="center"/>
          </w:tcPr>
          <w:p w14:paraId="3404E394" w14:textId="77777777" w:rsidR="0064785C" w:rsidRPr="00CE4A3E" w:rsidRDefault="0064785C" w:rsidP="006A54F2">
            <w:pPr>
              <w:spacing w:after="0"/>
              <w:jc w:val="center"/>
              <w:rPr>
                <w:b/>
                <w:sz w:val="20"/>
                <w:szCs w:val="18"/>
              </w:rPr>
            </w:pPr>
            <w:r w:rsidRPr="00CE4A3E">
              <w:rPr>
                <w:b/>
                <w:sz w:val="20"/>
                <w:szCs w:val="18"/>
              </w:rPr>
              <w:t>Data zastosowania</w:t>
            </w:r>
          </w:p>
        </w:tc>
      </w:tr>
      <w:tr w:rsidR="008E0CFB" w:rsidRPr="009E064B" w14:paraId="70AD0C15" w14:textId="77777777" w:rsidTr="002C4C40">
        <w:tc>
          <w:tcPr>
            <w:tcW w:w="2260" w:type="dxa"/>
            <w:vMerge w:val="restart"/>
            <w:tcMar>
              <w:left w:w="28" w:type="dxa"/>
              <w:right w:w="28" w:type="dxa"/>
            </w:tcMar>
            <w:vAlign w:val="center"/>
          </w:tcPr>
          <w:p w14:paraId="7701F842" w14:textId="729A14C2" w:rsidR="008E0CFB" w:rsidRPr="00CE4A3E" w:rsidRDefault="00870777" w:rsidP="00780E35">
            <w:pPr>
              <w:spacing w:after="0"/>
              <w:ind w:left="57"/>
              <w:rPr>
                <w:rFonts w:cs="Calibri"/>
                <w:color w:val="000000"/>
                <w:sz w:val="20"/>
                <w:szCs w:val="18"/>
              </w:rPr>
            </w:pPr>
            <w:hyperlink r:id="rId26" w:history="1">
              <w:r w:rsidR="008E0CFB" w:rsidRPr="00CE4A3E">
                <w:rPr>
                  <w:rStyle w:val="Hipercze"/>
                  <w:rFonts w:asciiTheme="minorHAnsi" w:hAnsiTheme="minorHAnsi" w:cstheme="minorHAnsi"/>
                  <w:sz w:val="20"/>
                  <w:szCs w:val="18"/>
                </w:rPr>
                <w:t>Decyzja ED 2014/012/R</w:t>
              </w:r>
            </w:hyperlink>
            <w:r w:rsidR="008E0CFB" w:rsidRPr="00CE4A3E">
              <w:rPr>
                <w:sz w:val="20"/>
                <w:szCs w:val="18"/>
              </w:rPr>
              <w:t xml:space="preserve"> </w:t>
            </w:r>
          </w:p>
        </w:tc>
        <w:tc>
          <w:tcPr>
            <w:tcW w:w="3969" w:type="dxa"/>
            <w:tcMar>
              <w:left w:w="28" w:type="dxa"/>
              <w:right w:w="28" w:type="dxa"/>
            </w:tcMar>
            <w:vAlign w:val="center"/>
          </w:tcPr>
          <w:p w14:paraId="219DF3F0" w14:textId="16F6DA81" w:rsidR="008E0CFB" w:rsidRPr="00CE4A3E" w:rsidRDefault="008E0CFB" w:rsidP="00780E35">
            <w:pPr>
              <w:spacing w:after="0"/>
              <w:ind w:left="57"/>
              <w:rPr>
                <w:sz w:val="20"/>
                <w:szCs w:val="18"/>
              </w:rPr>
            </w:pPr>
            <w:r w:rsidRPr="00CE4A3E">
              <w:rPr>
                <w:sz w:val="20"/>
                <w:szCs w:val="18"/>
              </w:rPr>
              <w:t>AMC/GM do Załącznika II (Część-ADR.AR)</w:t>
            </w:r>
          </w:p>
        </w:tc>
        <w:tc>
          <w:tcPr>
            <w:tcW w:w="1590" w:type="dxa"/>
            <w:vMerge w:val="restart"/>
            <w:tcMar>
              <w:left w:w="28" w:type="dxa"/>
              <w:right w:w="28" w:type="dxa"/>
            </w:tcMar>
            <w:vAlign w:val="center"/>
          </w:tcPr>
          <w:p w14:paraId="43A410AF" w14:textId="4C0687D7" w:rsidR="008E0CFB" w:rsidRPr="00CE4A3E" w:rsidRDefault="008E0CFB" w:rsidP="00CE4A3E">
            <w:pPr>
              <w:spacing w:after="0"/>
              <w:ind w:left="57"/>
              <w:jc w:val="center"/>
              <w:rPr>
                <w:sz w:val="20"/>
                <w:szCs w:val="18"/>
              </w:rPr>
            </w:pPr>
            <w:r w:rsidRPr="00CE4A3E">
              <w:rPr>
                <w:sz w:val="20"/>
                <w:szCs w:val="18"/>
              </w:rPr>
              <w:t xml:space="preserve">Wydanie </w:t>
            </w:r>
            <w:r>
              <w:rPr>
                <w:sz w:val="20"/>
                <w:szCs w:val="18"/>
              </w:rPr>
              <w:t>1</w:t>
            </w:r>
          </w:p>
        </w:tc>
        <w:tc>
          <w:tcPr>
            <w:tcW w:w="1235" w:type="dxa"/>
            <w:vMerge w:val="restart"/>
            <w:tcMar>
              <w:left w:w="28" w:type="dxa"/>
              <w:right w:w="28" w:type="dxa"/>
            </w:tcMar>
            <w:vAlign w:val="center"/>
          </w:tcPr>
          <w:p w14:paraId="0820E2E4" w14:textId="39E04D7A" w:rsidR="008E0CFB" w:rsidRPr="00CE4A3E" w:rsidRDefault="008E0CFB" w:rsidP="00780E35">
            <w:pPr>
              <w:spacing w:after="0"/>
              <w:ind w:left="57"/>
              <w:rPr>
                <w:sz w:val="20"/>
                <w:szCs w:val="18"/>
              </w:rPr>
            </w:pPr>
            <w:r w:rsidRPr="00CE4A3E">
              <w:rPr>
                <w:sz w:val="20"/>
                <w:szCs w:val="18"/>
              </w:rPr>
              <w:t>6/03/2014</w:t>
            </w:r>
          </w:p>
        </w:tc>
      </w:tr>
      <w:tr w:rsidR="008E0CFB" w:rsidRPr="009E064B" w14:paraId="50B125AB" w14:textId="77777777" w:rsidTr="002C4C40">
        <w:trPr>
          <w:trHeight w:val="234"/>
        </w:trPr>
        <w:tc>
          <w:tcPr>
            <w:tcW w:w="2260" w:type="dxa"/>
            <w:vMerge/>
            <w:tcMar>
              <w:left w:w="28" w:type="dxa"/>
              <w:right w:w="28" w:type="dxa"/>
            </w:tcMar>
            <w:vAlign w:val="center"/>
          </w:tcPr>
          <w:p w14:paraId="12C5DFD0" w14:textId="77777777" w:rsidR="008E0CFB" w:rsidRPr="00CE4A3E" w:rsidRDefault="008E0CFB" w:rsidP="00780E35">
            <w:pPr>
              <w:spacing w:after="0"/>
              <w:ind w:left="57"/>
              <w:rPr>
                <w:rFonts w:cs="Calibri"/>
                <w:color w:val="000000"/>
                <w:sz w:val="20"/>
                <w:szCs w:val="18"/>
              </w:rPr>
            </w:pPr>
          </w:p>
        </w:tc>
        <w:tc>
          <w:tcPr>
            <w:tcW w:w="3969" w:type="dxa"/>
            <w:tcMar>
              <w:left w:w="28" w:type="dxa"/>
              <w:right w:w="28" w:type="dxa"/>
            </w:tcMar>
            <w:vAlign w:val="center"/>
          </w:tcPr>
          <w:p w14:paraId="4C27F9A4" w14:textId="404F7DE3" w:rsidR="008E0CFB" w:rsidRPr="00CE4A3E" w:rsidRDefault="008E0CFB" w:rsidP="00780E35">
            <w:pPr>
              <w:spacing w:after="0"/>
              <w:ind w:left="57"/>
              <w:rPr>
                <w:sz w:val="20"/>
                <w:szCs w:val="18"/>
              </w:rPr>
            </w:pPr>
            <w:r w:rsidRPr="00CE4A3E">
              <w:rPr>
                <w:sz w:val="20"/>
                <w:szCs w:val="18"/>
              </w:rPr>
              <w:t>AMC/GM do Załącznika III (Część-ADR.OR)</w:t>
            </w:r>
          </w:p>
        </w:tc>
        <w:tc>
          <w:tcPr>
            <w:tcW w:w="1590" w:type="dxa"/>
            <w:vMerge/>
            <w:tcMar>
              <w:left w:w="28" w:type="dxa"/>
              <w:right w:w="28" w:type="dxa"/>
            </w:tcMar>
            <w:vAlign w:val="center"/>
          </w:tcPr>
          <w:p w14:paraId="34A0E291" w14:textId="6CF675AA" w:rsidR="008E0CFB" w:rsidRPr="00CE4A3E" w:rsidRDefault="008E0CFB" w:rsidP="00CE4A3E">
            <w:pPr>
              <w:spacing w:after="0"/>
              <w:ind w:left="57"/>
              <w:jc w:val="center"/>
              <w:rPr>
                <w:rFonts w:ascii="Times New Roman" w:hAnsi="Times New Roman" w:cs="Times New Roman"/>
                <w:sz w:val="20"/>
                <w:szCs w:val="18"/>
              </w:rPr>
            </w:pPr>
          </w:p>
        </w:tc>
        <w:tc>
          <w:tcPr>
            <w:tcW w:w="1235" w:type="dxa"/>
            <w:vMerge/>
            <w:tcMar>
              <w:left w:w="28" w:type="dxa"/>
              <w:right w:w="28" w:type="dxa"/>
            </w:tcMar>
            <w:vAlign w:val="center"/>
          </w:tcPr>
          <w:p w14:paraId="1B20B449" w14:textId="228B6D3F" w:rsidR="008E0CFB" w:rsidRPr="00CE4A3E" w:rsidRDefault="008E0CFB" w:rsidP="00780E35">
            <w:pPr>
              <w:spacing w:after="0"/>
              <w:ind w:left="57"/>
              <w:rPr>
                <w:rFonts w:ascii="Times New Roman" w:hAnsi="Times New Roman" w:cs="Times New Roman"/>
                <w:sz w:val="20"/>
                <w:szCs w:val="18"/>
              </w:rPr>
            </w:pPr>
          </w:p>
        </w:tc>
      </w:tr>
      <w:tr w:rsidR="008E0CFB" w:rsidRPr="009E064B" w14:paraId="28C15DDC" w14:textId="77777777" w:rsidTr="002C4C40">
        <w:tc>
          <w:tcPr>
            <w:tcW w:w="2260" w:type="dxa"/>
            <w:vMerge/>
            <w:tcMar>
              <w:left w:w="28" w:type="dxa"/>
              <w:right w:w="28" w:type="dxa"/>
            </w:tcMar>
            <w:vAlign w:val="center"/>
          </w:tcPr>
          <w:p w14:paraId="7BB606B6" w14:textId="77777777" w:rsidR="008E0CFB" w:rsidRPr="00CE4A3E" w:rsidRDefault="008E0CFB" w:rsidP="00780E35">
            <w:pPr>
              <w:spacing w:after="0"/>
              <w:ind w:left="57"/>
              <w:rPr>
                <w:rFonts w:cs="Calibri"/>
                <w:color w:val="000000"/>
                <w:sz w:val="20"/>
                <w:szCs w:val="18"/>
              </w:rPr>
            </w:pPr>
          </w:p>
        </w:tc>
        <w:tc>
          <w:tcPr>
            <w:tcW w:w="3969" w:type="dxa"/>
            <w:tcMar>
              <w:left w:w="28" w:type="dxa"/>
              <w:right w:w="28" w:type="dxa"/>
            </w:tcMar>
            <w:vAlign w:val="center"/>
          </w:tcPr>
          <w:p w14:paraId="112C5DB2" w14:textId="3747F73E" w:rsidR="008E0CFB" w:rsidRPr="00CE4A3E" w:rsidRDefault="008E0CFB" w:rsidP="00780E35">
            <w:pPr>
              <w:spacing w:after="0"/>
              <w:ind w:left="57"/>
              <w:rPr>
                <w:sz w:val="20"/>
                <w:szCs w:val="18"/>
              </w:rPr>
            </w:pPr>
            <w:r w:rsidRPr="00CE4A3E">
              <w:rPr>
                <w:sz w:val="20"/>
                <w:szCs w:val="18"/>
              </w:rPr>
              <w:t>AMC/GM do Załącznika IV (Część-ADR.OPS)</w:t>
            </w:r>
          </w:p>
        </w:tc>
        <w:tc>
          <w:tcPr>
            <w:tcW w:w="1590" w:type="dxa"/>
            <w:vMerge/>
            <w:tcMar>
              <w:left w:w="28" w:type="dxa"/>
              <w:right w:w="28" w:type="dxa"/>
            </w:tcMar>
            <w:vAlign w:val="center"/>
          </w:tcPr>
          <w:p w14:paraId="6E132697" w14:textId="4FE2AE4B" w:rsidR="008E0CFB" w:rsidRPr="00CE4A3E" w:rsidRDefault="008E0CFB" w:rsidP="00CE4A3E">
            <w:pPr>
              <w:spacing w:after="0"/>
              <w:ind w:left="57"/>
              <w:jc w:val="center"/>
              <w:rPr>
                <w:rFonts w:ascii="Times New Roman" w:hAnsi="Times New Roman" w:cs="Times New Roman"/>
                <w:sz w:val="20"/>
                <w:szCs w:val="18"/>
              </w:rPr>
            </w:pPr>
          </w:p>
        </w:tc>
        <w:tc>
          <w:tcPr>
            <w:tcW w:w="1235" w:type="dxa"/>
            <w:vMerge/>
            <w:tcMar>
              <w:left w:w="28" w:type="dxa"/>
              <w:right w:w="28" w:type="dxa"/>
            </w:tcMar>
            <w:vAlign w:val="center"/>
          </w:tcPr>
          <w:p w14:paraId="6FBC6025" w14:textId="12197ACB" w:rsidR="008E0CFB" w:rsidRPr="00CE4A3E" w:rsidRDefault="008E0CFB" w:rsidP="00780E35">
            <w:pPr>
              <w:spacing w:after="0"/>
              <w:ind w:left="57"/>
              <w:rPr>
                <w:rFonts w:ascii="Times New Roman" w:hAnsi="Times New Roman" w:cs="Times New Roman"/>
                <w:sz w:val="20"/>
                <w:szCs w:val="18"/>
              </w:rPr>
            </w:pPr>
          </w:p>
        </w:tc>
      </w:tr>
      <w:tr w:rsidR="005A2844" w:rsidRPr="009E064B" w14:paraId="76E8D3EC" w14:textId="77777777" w:rsidTr="00CE4A3E">
        <w:tc>
          <w:tcPr>
            <w:tcW w:w="2260" w:type="dxa"/>
            <w:tcMar>
              <w:left w:w="28" w:type="dxa"/>
              <w:right w:w="28" w:type="dxa"/>
            </w:tcMar>
            <w:vAlign w:val="center"/>
          </w:tcPr>
          <w:p w14:paraId="39B577DE" w14:textId="3D441185" w:rsidR="005A2844" w:rsidRPr="00CE4A3E" w:rsidRDefault="00870777" w:rsidP="00780E35">
            <w:pPr>
              <w:spacing w:after="0"/>
              <w:ind w:left="57"/>
              <w:rPr>
                <w:sz w:val="20"/>
                <w:szCs w:val="18"/>
              </w:rPr>
            </w:pPr>
            <w:hyperlink r:id="rId27" w:history="1">
              <w:r w:rsidR="00BA3061" w:rsidRPr="00CE4A3E">
                <w:rPr>
                  <w:rStyle w:val="Hipercze"/>
                  <w:rFonts w:asciiTheme="minorHAnsi" w:hAnsiTheme="minorHAnsi" w:cstheme="minorHAnsi"/>
                  <w:sz w:val="20"/>
                  <w:szCs w:val="18"/>
                </w:rPr>
                <w:t>Decyzja ED 2016/009/R</w:t>
              </w:r>
            </w:hyperlink>
            <w:r w:rsidR="00BA3061" w:rsidRPr="00CE4A3E">
              <w:rPr>
                <w:sz w:val="20"/>
                <w:szCs w:val="18"/>
              </w:rPr>
              <w:t xml:space="preserve"> </w:t>
            </w:r>
          </w:p>
        </w:tc>
        <w:tc>
          <w:tcPr>
            <w:tcW w:w="3969" w:type="dxa"/>
            <w:tcMar>
              <w:left w:w="28" w:type="dxa"/>
              <w:right w:w="28" w:type="dxa"/>
            </w:tcMar>
            <w:vAlign w:val="center"/>
          </w:tcPr>
          <w:p w14:paraId="01C44B68" w14:textId="719C5847" w:rsidR="005A2844" w:rsidRPr="00CE4A3E" w:rsidRDefault="005A2844" w:rsidP="00780E35">
            <w:pPr>
              <w:spacing w:after="0"/>
              <w:ind w:left="57"/>
              <w:rPr>
                <w:sz w:val="20"/>
                <w:szCs w:val="18"/>
              </w:rPr>
            </w:pPr>
            <w:r w:rsidRPr="00CE4A3E">
              <w:rPr>
                <w:sz w:val="20"/>
                <w:szCs w:val="18"/>
              </w:rPr>
              <w:t>AMC/GM do Załącznika IV (Część-ADR.OPS)</w:t>
            </w:r>
          </w:p>
        </w:tc>
        <w:tc>
          <w:tcPr>
            <w:tcW w:w="1590" w:type="dxa"/>
            <w:tcMar>
              <w:left w:w="28" w:type="dxa"/>
              <w:right w:w="28" w:type="dxa"/>
            </w:tcMar>
            <w:vAlign w:val="center"/>
          </w:tcPr>
          <w:p w14:paraId="628D7A65" w14:textId="71C52C16" w:rsidR="005A2844" w:rsidRPr="00CE4A3E" w:rsidRDefault="005A2844" w:rsidP="00CE4A3E">
            <w:pPr>
              <w:spacing w:after="0"/>
              <w:ind w:left="57"/>
              <w:jc w:val="center"/>
              <w:rPr>
                <w:sz w:val="20"/>
                <w:szCs w:val="18"/>
              </w:rPr>
            </w:pPr>
            <w:r w:rsidRPr="00CE4A3E">
              <w:rPr>
                <w:sz w:val="20"/>
                <w:szCs w:val="18"/>
              </w:rPr>
              <w:t>Zmiana nr 1</w:t>
            </w:r>
          </w:p>
        </w:tc>
        <w:tc>
          <w:tcPr>
            <w:tcW w:w="1235" w:type="dxa"/>
            <w:tcMar>
              <w:left w:w="28" w:type="dxa"/>
              <w:right w:w="28" w:type="dxa"/>
            </w:tcMar>
            <w:vAlign w:val="center"/>
          </w:tcPr>
          <w:p w14:paraId="689D5593" w14:textId="46E5CA1A" w:rsidR="005A2844" w:rsidRPr="00CE4A3E" w:rsidRDefault="004D118C" w:rsidP="00780E35">
            <w:pPr>
              <w:spacing w:after="0"/>
              <w:ind w:left="57"/>
              <w:rPr>
                <w:sz w:val="20"/>
                <w:szCs w:val="18"/>
              </w:rPr>
            </w:pPr>
            <w:r w:rsidRPr="00CE4A3E">
              <w:rPr>
                <w:sz w:val="20"/>
                <w:szCs w:val="18"/>
              </w:rPr>
              <w:t>26/05/2016</w:t>
            </w:r>
          </w:p>
        </w:tc>
      </w:tr>
      <w:tr w:rsidR="005A2844" w:rsidRPr="009E064B" w14:paraId="6A7F9EBA" w14:textId="77777777" w:rsidTr="00CE4A3E">
        <w:tc>
          <w:tcPr>
            <w:tcW w:w="2260" w:type="dxa"/>
            <w:tcMar>
              <w:left w:w="28" w:type="dxa"/>
              <w:right w:w="28" w:type="dxa"/>
            </w:tcMar>
            <w:vAlign w:val="center"/>
          </w:tcPr>
          <w:p w14:paraId="5D16F7AC" w14:textId="7B041BA8" w:rsidR="005A2844" w:rsidRPr="00CE4A3E" w:rsidRDefault="00870777" w:rsidP="00780E35">
            <w:pPr>
              <w:spacing w:after="0"/>
              <w:ind w:left="57"/>
              <w:rPr>
                <w:rFonts w:cs="Calibri"/>
                <w:color w:val="000000"/>
                <w:sz w:val="20"/>
                <w:szCs w:val="18"/>
              </w:rPr>
            </w:pPr>
            <w:hyperlink r:id="rId28" w:history="1">
              <w:r w:rsidR="000A5CF2" w:rsidRPr="00CE4A3E">
                <w:rPr>
                  <w:rStyle w:val="Hipercze"/>
                  <w:rFonts w:asciiTheme="minorHAnsi" w:hAnsiTheme="minorHAnsi" w:cstheme="minorHAnsi"/>
                  <w:sz w:val="20"/>
                  <w:szCs w:val="18"/>
                </w:rPr>
                <w:t>Decyzja ED 2017/017/R</w:t>
              </w:r>
            </w:hyperlink>
          </w:p>
        </w:tc>
        <w:tc>
          <w:tcPr>
            <w:tcW w:w="3969" w:type="dxa"/>
            <w:tcMar>
              <w:left w:w="28" w:type="dxa"/>
              <w:right w:w="28" w:type="dxa"/>
            </w:tcMar>
            <w:vAlign w:val="center"/>
          </w:tcPr>
          <w:p w14:paraId="552873E6" w14:textId="47112A47" w:rsidR="005A2844" w:rsidRPr="00CE4A3E" w:rsidRDefault="005A2844" w:rsidP="00780E35">
            <w:pPr>
              <w:spacing w:after="0"/>
              <w:ind w:left="57"/>
              <w:rPr>
                <w:sz w:val="20"/>
                <w:szCs w:val="18"/>
              </w:rPr>
            </w:pPr>
            <w:r w:rsidRPr="00CE4A3E">
              <w:rPr>
                <w:sz w:val="20"/>
                <w:szCs w:val="18"/>
              </w:rPr>
              <w:t>AMC/GM do Załącznika IV (Część-ADR.OPS)</w:t>
            </w:r>
          </w:p>
        </w:tc>
        <w:tc>
          <w:tcPr>
            <w:tcW w:w="1590" w:type="dxa"/>
            <w:tcMar>
              <w:left w:w="28" w:type="dxa"/>
              <w:right w:w="28" w:type="dxa"/>
            </w:tcMar>
            <w:vAlign w:val="center"/>
          </w:tcPr>
          <w:p w14:paraId="0BF32669" w14:textId="3A4CBBEE" w:rsidR="005A2844" w:rsidRPr="00CE4A3E" w:rsidRDefault="005A2844" w:rsidP="00CE4A3E">
            <w:pPr>
              <w:spacing w:after="0"/>
              <w:ind w:left="57"/>
              <w:jc w:val="center"/>
              <w:rPr>
                <w:sz w:val="20"/>
                <w:szCs w:val="18"/>
              </w:rPr>
            </w:pPr>
            <w:r w:rsidRPr="00CE4A3E">
              <w:rPr>
                <w:sz w:val="20"/>
                <w:szCs w:val="18"/>
              </w:rPr>
              <w:t xml:space="preserve">Zmiana nr </w:t>
            </w:r>
            <w:r w:rsidR="000A5CF2" w:rsidRPr="00CE4A3E">
              <w:rPr>
                <w:sz w:val="20"/>
                <w:szCs w:val="18"/>
              </w:rPr>
              <w:t>2</w:t>
            </w:r>
          </w:p>
        </w:tc>
        <w:tc>
          <w:tcPr>
            <w:tcW w:w="1235" w:type="dxa"/>
            <w:tcMar>
              <w:left w:w="28" w:type="dxa"/>
              <w:right w:w="28" w:type="dxa"/>
            </w:tcMar>
            <w:vAlign w:val="center"/>
          </w:tcPr>
          <w:p w14:paraId="0A15342F" w14:textId="004386F6" w:rsidR="005A2844" w:rsidRPr="00CE4A3E" w:rsidRDefault="005A2844" w:rsidP="00780E35">
            <w:pPr>
              <w:spacing w:after="0"/>
              <w:ind w:left="57"/>
              <w:rPr>
                <w:sz w:val="20"/>
                <w:szCs w:val="18"/>
              </w:rPr>
            </w:pPr>
            <w:r w:rsidRPr="00CE4A3E">
              <w:rPr>
                <w:sz w:val="20"/>
                <w:szCs w:val="18"/>
              </w:rPr>
              <w:t>12/07/2017</w:t>
            </w:r>
          </w:p>
        </w:tc>
      </w:tr>
    </w:tbl>
    <w:p w14:paraId="1D605566" w14:textId="77777777" w:rsidR="00BA3061" w:rsidRPr="009E064B" w:rsidRDefault="00BA3061" w:rsidP="006A54F2"/>
    <w:p w14:paraId="581C554B" w14:textId="571A9EF9" w:rsidR="004D118C" w:rsidRPr="009E064B" w:rsidRDefault="004D118C" w:rsidP="00FE23AD">
      <w:pPr>
        <w:spacing w:before="120"/>
        <w:jc w:val="center"/>
        <w:rPr>
          <w:b/>
        </w:rPr>
      </w:pPr>
      <w:r w:rsidRPr="009E064B">
        <w:rPr>
          <w:b/>
        </w:rPr>
        <w:t xml:space="preserve">CS/GM (Decyzja </w:t>
      </w:r>
      <w:r w:rsidR="004D4DBB" w:rsidRPr="009E064B">
        <w:rPr>
          <w:b/>
        </w:rPr>
        <w:t>EASA</w:t>
      </w:r>
      <w:r w:rsidRPr="009E064B">
        <w:rPr>
          <w:b/>
        </w:rPr>
        <w:t>)</w:t>
      </w:r>
    </w:p>
    <w:tbl>
      <w:tblPr>
        <w:tblStyle w:val="Tabela-Siatka"/>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left w:w="57" w:type="dxa"/>
          <w:bottom w:w="28" w:type="dxa"/>
          <w:right w:w="57" w:type="dxa"/>
        </w:tblCellMar>
        <w:tblLook w:val="04A0" w:firstRow="1" w:lastRow="0" w:firstColumn="1" w:lastColumn="0" w:noHBand="0" w:noVBand="1"/>
      </w:tblPr>
      <w:tblGrid>
        <w:gridCol w:w="2154"/>
        <w:gridCol w:w="4217"/>
        <w:gridCol w:w="1448"/>
        <w:gridCol w:w="1235"/>
      </w:tblGrid>
      <w:tr w:rsidR="0064785C" w:rsidRPr="009E064B" w14:paraId="1ED92BAC" w14:textId="77777777" w:rsidTr="00CE4A3E">
        <w:tc>
          <w:tcPr>
            <w:tcW w:w="2154" w:type="dxa"/>
            <w:shd w:val="clear" w:color="auto" w:fill="auto"/>
            <w:tcMar>
              <w:left w:w="28" w:type="dxa"/>
              <w:right w:w="28" w:type="dxa"/>
            </w:tcMar>
            <w:vAlign w:val="center"/>
          </w:tcPr>
          <w:p w14:paraId="7825E299" w14:textId="0695995D" w:rsidR="0064785C" w:rsidRPr="00CE4A3E" w:rsidRDefault="00681956" w:rsidP="00ED7276">
            <w:pPr>
              <w:spacing w:after="0"/>
              <w:jc w:val="center"/>
              <w:rPr>
                <w:b/>
                <w:sz w:val="20"/>
                <w:szCs w:val="20"/>
              </w:rPr>
            </w:pPr>
            <w:r w:rsidRPr="00CE4A3E">
              <w:rPr>
                <w:b/>
                <w:sz w:val="20"/>
                <w:szCs w:val="20"/>
              </w:rPr>
              <w:t>Decyzja Dyrektora Wykonawczego EASA</w:t>
            </w:r>
            <w:r w:rsidR="006A54F2" w:rsidRPr="00CE4A3E">
              <w:rPr>
                <w:b/>
                <w:sz w:val="20"/>
                <w:szCs w:val="20"/>
              </w:rPr>
              <w:t xml:space="preserve"> (ED)</w:t>
            </w:r>
          </w:p>
        </w:tc>
        <w:tc>
          <w:tcPr>
            <w:tcW w:w="4217" w:type="dxa"/>
            <w:shd w:val="clear" w:color="auto" w:fill="auto"/>
            <w:tcMar>
              <w:left w:w="28" w:type="dxa"/>
              <w:right w:w="28" w:type="dxa"/>
            </w:tcMar>
            <w:vAlign w:val="center"/>
          </w:tcPr>
          <w:p w14:paraId="607306CF" w14:textId="5B17940C" w:rsidR="0064785C" w:rsidRPr="00CE4A3E" w:rsidRDefault="0064785C" w:rsidP="00ED7276">
            <w:pPr>
              <w:spacing w:after="0"/>
              <w:jc w:val="center"/>
              <w:rPr>
                <w:b/>
                <w:sz w:val="20"/>
                <w:szCs w:val="20"/>
              </w:rPr>
            </w:pPr>
            <w:r w:rsidRPr="00CE4A3E">
              <w:rPr>
                <w:b/>
                <w:sz w:val="20"/>
                <w:szCs w:val="20"/>
              </w:rPr>
              <w:t xml:space="preserve">Część, której dotyczy </w:t>
            </w:r>
            <w:r w:rsidR="004D118C" w:rsidRPr="00CE4A3E">
              <w:rPr>
                <w:b/>
                <w:sz w:val="20"/>
                <w:szCs w:val="20"/>
              </w:rPr>
              <w:t>wydanie</w:t>
            </w:r>
          </w:p>
        </w:tc>
        <w:tc>
          <w:tcPr>
            <w:tcW w:w="1448" w:type="dxa"/>
            <w:shd w:val="clear" w:color="auto" w:fill="auto"/>
            <w:tcMar>
              <w:left w:w="28" w:type="dxa"/>
              <w:right w:w="28" w:type="dxa"/>
            </w:tcMar>
            <w:vAlign w:val="center"/>
          </w:tcPr>
          <w:p w14:paraId="37D91D86" w14:textId="58E605AC" w:rsidR="0064785C" w:rsidRPr="00CE4A3E" w:rsidRDefault="004D118C" w:rsidP="00ED7276">
            <w:pPr>
              <w:spacing w:after="0"/>
              <w:jc w:val="center"/>
              <w:rPr>
                <w:b/>
                <w:sz w:val="20"/>
                <w:szCs w:val="20"/>
              </w:rPr>
            </w:pPr>
            <w:r w:rsidRPr="00CE4A3E">
              <w:rPr>
                <w:b/>
                <w:sz w:val="20"/>
                <w:szCs w:val="20"/>
              </w:rPr>
              <w:t>Numer wydania</w:t>
            </w:r>
          </w:p>
        </w:tc>
        <w:tc>
          <w:tcPr>
            <w:tcW w:w="1235" w:type="dxa"/>
            <w:shd w:val="clear" w:color="auto" w:fill="auto"/>
            <w:tcMar>
              <w:left w:w="28" w:type="dxa"/>
              <w:right w:w="28" w:type="dxa"/>
            </w:tcMar>
            <w:vAlign w:val="center"/>
          </w:tcPr>
          <w:p w14:paraId="1F4E6DDB" w14:textId="77777777" w:rsidR="0064785C" w:rsidRPr="00CE4A3E" w:rsidRDefault="0064785C" w:rsidP="00ED7276">
            <w:pPr>
              <w:spacing w:after="0"/>
              <w:jc w:val="center"/>
              <w:rPr>
                <w:b/>
                <w:sz w:val="20"/>
                <w:szCs w:val="20"/>
              </w:rPr>
            </w:pPr>
            <w:r w:rsidRPr="00CE4A3E">
              <w:rPr>
                <w:b/>
                <w:sz w:val="20"/>
                <w:szCs w:val="20"/>
              </w:rPr>
              <w:t>Data zastosowania</w:t>
            </w:r>
          </w:p>
        </w:tc>
      </w:tr>
      <w:tr w:rsidR="00EF2F4E" w:rsidRPr="009E064B" w14:paraId="0A3CF050" w14:textId="77777777" w:rsidTr="00CE4A3E">
        <w:tc>
          <w:tcPr>
            <w:tcW w:w="2154" w:type="dxa"/>
            <w:vMerge w:val="restart"/>
            <w:tcMar>
              <w:left w:w="28" w:type="dxa"/>
              <w:right w:w="28" w:type="dxa"/>
            </w:tcMar>
            <w:vAlign w:val="center"/>
          </w:tcPr>
          <w:p w14:paraId="0C6D3968" w14:textId="203659B5" w:rsidR="00EF2F4E" w:rsidRPr="00CE4A3E" w:rsidRDefault="00870777" w:rsidP="00780E35">
            <w:pPr>
              <w:spacing w:after="0"/>
              <w:ind w:left="57"/>
              <w:rPr>
                <w:rFonts w:asciiTheme="minorHAnsi" w:hAnsiTheme="minorHAnsi" w:cstheme="minorHAnsi"/>
                <w:sz w:val="20"/>
                <w:szCs w:val="20"/>
              </w:rPr>
            </w:pPr>
            <w:hyperlink r:id="rId29" w:history="1">
              <w:r w:rsidR="00EF2F4E" w:rsidRPr="00CE4A3E">
                <w:rPr>
                  <w:rStyle w:val="Hipercze"/>
                  <w:iCs/>
                  <w:sz w:val="20"/>
                  <w:szCs w:val="20"/>
                </w:rPr>
                <w:t>Decyzja ED 2014/013/R</w:t>
              </w:r>
            </w:hyperlink>
            <w:r w:rsidR="00EF2F4E" w:rsidRPr="00CE4A3E">
              <w:rPr>
                <w:iCs/>
                <w:sz w:val="20"/>
                <w:szCs w:val="20"/>
              </w:rPr>
              <w:t xml:space="preserve"> </w:t>
            </w:r>
          </w:p>
        </w:tc>
        <w:tc>
          <w:tcPr>
            <w:tcW w:w="4217" w:type="dxa"/>
            <w:tcMar>
              <w:left w:w="28" w:type="dxa"/>
              <w:right w:w="28" w:type="dxa"/>
            </w:tcMar>
            <w:vAlign w:val="center"/>
          </w:tcPr>
          <w:p w14:paraId="55400F0A" w14:textId="47994742" w:rsidR="00EF2F4E" w:rsidRPr="00CE4A3E" w:rsidRDefault="00EF2F4E" w:rsidP="00780E35">
            <w:pPr>
              <w:spacing w:after="0"/>
              <w:ind w:left="57"/>
              <w:rPr>
                <w:sz w:val="20"/>
                <w:szCs w:val="20"/>
              </w:rPr>
            </w:pPr>
            <w:r w:rsidRPr="00CE4A3E">
              <w:rPr>
                <w:sz w:val="20"/>
                <w:szCs w:val="20"/>
              </w:rPr>
              <w:t>Część 1 — Specyfikacje Certyfikacyjne (CS)</w:t>
            </w:r>
          </w:p>
        </w:tc>
        <w:tc>
          <w:tcPr>
            <w:tcW w:w="1448" w:type="dxa"/>
            <w:vMerge w:val="restart"/>
            <w:tcMar>
              <w:left w:w="28" w:type="dxa"/>
              <w:right w:w="28" w:type="dxa"/>
            </w:tcMar>
            <w:vAlign w:val="center"/>
          </w:tcPr>
          <w:p w14:paraId="158DDEAF" w14:textId="29776D0E" w:rsidR="00EF2F4E" w:rsidRPr="00CE4A3E" w:rsidRDefault="00EF2F4E" w:rsidP="00CE4A3E">
            <w:pPr>
              <w:pStyle w:val="TableParagraph"/>
              <w:spacing w:after="0"/>
              <w:ind w:left="57"/>
              <w:jc w:val="center"/>
              <w:rPr>
                <w:sz w:val="20"/>
                <w:szCs w:val="20"/>
              </w:rPr>
            </w:pPr>
            <w:r w:rsidRPr="00CE4A3E">
              <w:rPr>
                <w:sz w:val="20"/>
                <w:szCs w:val="20"/>
              </w:rPr>
              <w:t xml:space="preserve">Wydanie </w:t>
            </w:r>
            <w:r w:rsidR="00CE4A3E">
              <w:rPr>
                <w:sz w:val="20"/>
                <w:szCs w:val="20"/>
              </w:rPr>
              <w:t>1</w:t>
            </w:r>
          </w:p>
        </w:tc>
        <w:tc>
          <w:tcPr>
            <w:tcW w:w="1235" w:type="dxa"/>
            <w:vMerge w:val="restart"/>
            <w:tcMar>
              <w:left w:w="28" w:type="dxa"/>
              <w:right w:w="28" w:type="dxa"/>
            </w:tcMar>
            <w:vAlign w:val="center"/>
          </w:tcPr>
          <w:p w14:paraId="7EA49033" w14:textId="63F3FBD9" w:rsidR="00EF2F4E" w:rsidRPr="00CE4A3E" w:rsidRDefault="00EF2F4E" w:rsidP="00CE4A3E">
            <w:pPr>
              <w:spacing w:after="0"/>
              <w:ind w:left="57"/>
              <w:jc w:val="center"/>
              <w:rPr>
                <w:sz w:val="20"/>
                <w:szCs w:val="20"/>
              </w:rPr>
            </w:pPr>
            <w:r w:rsidRPr="00CE4A3E">
              <w:rPr>
                <w:sz w:val="20"/>
                <w:szCs w:val="20"/>
              </w:rPr>
              <w:t>6/03/2014</w:t>
            </w:r>
          </w:p>
        </w:tc>
      </w:tr>
      <w:tr w:rsidR="00EF2F4E" w:rsidRPr="009E064B" w14:paraId="3E0C6EA5" w14:textId="77777777" w:rsidTr="00CE4A3E">
        <w:tc>
          <w:tcPr>
            <w:tcW w:w="2154" w:type="dxa"/>
            <w:vMerge/>
            <w:tcMar>
              <w:left w:w="28" w:type="dxa"/>
              <w:right w:w="28" w:type="dxa"/>
            </w:tcMar>
            <w:vAlign w:val="center"/>
          </w:tcPr>
          <w:p w14:paraId="5EDBE33C" w14:textId="77777777" w:rsidR="00EF2F4E" w:rsidRPr="00CE4A3E" w:rsidRDefault="00EF2F4E" w:rsidP="00780E35">
            <w:pPr>
              <w:spacing w:after="0"/>
              <w:ind w:left="57"/>
              <w:rPr>
                <w:sz w:val="20"/>
                <w:szCs w:val="20"/>
              </w:rPr>
            </w:pPr>
          </w:p>
        </w:tc>
        <w:tc>
          <w:tcPr>
            <w:tcW w:w="4217" w:type="dxa"/>
            <w:tcMar>
              <w:left w:w="28" w:type="dxa"/>
              <w:right w:w="28" w:type="dxa"/>
            </w:tcMar>
            <w:vAlign w:val="center"/>
          </w:tcPr>
          <w:p w14:paraId="34A95B26" w14:textId="4F6DD4B0" w:rsidR="00EF2F4E" w:rsidRPr="00CE4A3E" w:rsidRDefault="00EF2F4E" w:rsidP="002C4CBB">
            <w:pPr>
              <w:spacing w:after="0"/>
              <w:ind w:left="57"/>
              <w:rPr>
                <w:sz w:val="20"/>
                <w:szCs w:val="20"/>
              </w:rPr>
            </w:pPr>
            <w:r w:rsidRPr="00CE4A3E">
              <w:rPr>
                <w:sz w:val="20"/>
                <w:szCs w:val="20"/>
              </w:rPr>
              <w:t>Część 2 — Materiały zawierające wytyczne (GM)</w:t>
            </w:r>
          </w:p>
        </w:tc>
        <w:tc>
          <w:tcPr>
            <w:tcW w:w="1448" w:type="dxa"/>
            <w:vMerge/>
            <w:tcMar>
              <w:left w:w="28" w:type="dxa"/>
              <w:right w:w="28" w:type="dxa"/>
            </w:tcMar>
            <w:vAlign w:val="center"/>
          </w:tcPr>
          <w:p w14:paraId="601A9F4A" w14:textId="35F7105B" w:rsidR="00EF2F4E" w:rsidRPr="00CE4A3E" w:rsidRDefault="00EF2F4E" w:rsidP="00CE4A3E">
            <w:pPr>
              <w:spacing w:after="0"/>
              <w:ind w:left="57"/>
              <w:jc w:val="center"/>
              <w:rPr>
                <w:sz w:val="20"/>
                <w:szCs w:val="20"/>
              </w:rPr>
            </w:pPr>
          </w:p>
        </w:tc>
        <w:tc>
          <w:tcPr>
            <w:tcW w:w="1235" w:type="dxa"/>
            <w:vMerge/>
            <w:tcMar>
              <w:left w:w="28" w:type="dxa"/>
              <w:right w:w="28" w:type="dxa"/>
            </w:tcMar>
            <w:vAlign w:val="center"/>
          </w:tcPr>
          <w:p w14:paraId="785DB598" w14:textId="21B7A507" w:rsidR="00EF2F4E" w:rsidRPr="00CE4A3E" w:rsidRDefault="00EF2F4E" w:rsidP="00780E35">
            <w:pPr>
              <w:spacing w:after="0"/>
              <w:ind w:left="57"/>
              <w:rPr>
                <w:sz w:val="20"/>
                <w:szCs w:val="20"/>
              </w:rPr>
            </w:pPr>
          </w:p>
        </w:tc>
      </w:tr>
      <w:tr w:rsidR="00EF2F4E" w:rsidRPr="009E064B" w14:paraId="6BA14F08" w14:textId="77777777" w:rsidTr="00CE4A3E">
        <w:tc>
          <w:tcPr>
            <w:tcW w:w="2154" w:type="dxa"/>
            <w:vMerge w:val="restart"/>
            <w:tcMar>
              <w:left w:w="28" w:type="dxa"/>
              <w:right w:w="28" w:type="dxa"/>
            </w:tcMar>
            <w:vAlign w:val="center"/>
          </w:tcPr>
          <w:p w14:paraId="28282243" w14:textId="194509D9" w:rsidR="00EF2F4E" w:rsidRPr="00CE4A3E" w:rsidRDefault="00870777" w:rsidP="00780E35">
            <w:pPr>
              <w:spacing w:after="0"/>
              <w:ind w:left="57"/>
              <w:rPr>
                <w:rFonts w:asciiTheme="minorHAnsi" w:hAnsiTheme="minorHAnsi" w:cstheme="minorHAnsi"/>
                <w:sz w:val="20"/>
                <w:szCs w:val="20"/>
              </w:rPr>
            </w:pPr>
            <w:hyperlink r:id="rId30" w:history="1">
              <w:r w:rsidR="00EF2F4E" w:rsidRPr="00CE4A3E">
                <w:rPr>
                  <w:rStyle w:val="Hipercze"/>
                  <w:iCs/>
                  <w:sz w:val="20"/>
                  <w:szCs w:val="20"/>
                </w:rPr>
                <w:t>Decyzja ED 2015/001/R</w:t>
              </w:r>
            </w:hyperlink>
          </w:p>
        </w:tc>
        <w:tc>
          <w:tcPr>
            <w:tcW w:w="4217" w:type="dxa"/>
            <w:tcMar>
              <w:left w:w="28" w:type="dxa"/>
              <w:right w:w="28" w:type="dxa"/>
            </w:tcMar>
            <w:vAlign w:val="center"/>
          </w:tcPr>
          <w:p w14:paraId="26B736FD" w14:textId="2C2CA8A4" w:rsidR="00EF2F4E" w:rsidRPr="00CE4A3E" w:rsidRDefault="00EF2F4E" w:rsidP="00780E35">
            <w:pPr>
              <w:spacing w:after="0"/>
              <w:ind w:left="57"/>
              <w:rPr>
                <w:sz w:val="20"/>
                <w:szCs w:val="20"/>
              </w:rPr>
            </w:pPr>
            <w:r w:rsidRPr="00CE4A3E">
              <w:rPr>
                <w:sz w:val="20"/>
                <w:szCs w:val="20"/>
              </w:rPr>
              <w:t>Część 1 — Specyfikacje Certyfikacyjne (CS)</w:t>
            </w:r>
          </w:p>
        </w:tc>
        <w:tc>
          <w:tcPr>
            <w:tcW w:w="1448" w:type="dxa"/>
            <w:vMerge w:val="restart"/>
            <w:tcMar>
              <w:left w:w="28" w:type="dxa"/>
              <w:right w:w="28" w:type="dxa"/>
            </w:tcMar>
            <w:vAlign w:val="center"/>
          </w:tcPr>
          <w:p w14:paraId="5DC548CC" w14:textId="618B0EE9" w:rsidR="00EF2F4E" w:rsidRPr="00CE4A3E" w:rsidRDefault="00EF2F4E" w:rsidP="00CE4A3E">
            <w:pPr>
              <w:spacing w:after="0"/>
              <w:ind w:left="57"/>
              <w:jc w:val="center"/>
              <w:rPr>
                <w:sz w:val="20"/>
                <w:szCs w:val="20"/>
              </w:rPr>
            </w:pPr>
            <w:r w:rsidRPr="00CE4A3E">
              <w:rPr>
                <w:sz w:val="20"/>
                <w:szCs w:val="20"/>
              </w:rPr>
              <w:t>Wydanie 2</w:t>
            </w:r>
          </w:p>
        </w:tc>
        <w:tc>
          <w:tcPr>
            <w:tcW w:w="1235" w:type="dxa"/>
            <w:vMerge w:val="restart"/>
            <w:tcMar>
              <w:left w:w="28" w:type="dxa"/>
              <w:right w:w="28" w:type="dxa"/>
            </w:tcMar>
            <w:vAlign w:val="center"/>
          </w:tcPr>
          <w:p w14:paraId="74869F7C" w14:textId="65C702B0" w:rsidR="00EF2F4E" w:rsidRPr="00CE4A3E" w:rsidRDefault="00EF2F4E" w:rsidP="00780E35">
            <w:pPr>
              <w:spacing w:after="0"/>
              <w:ind w:left="57"/>
              <w:rPr>
                <w:sz w:val="20"/>
                <w:szCs w:val="20"/>
              </w:rPr>
            </w:pPr>
            <w:r w:rsidRPr="00CE4A3E">
              <w:rPr>
                <w:sz w:val="20"/>
                <w:szCs w:val="20"/>
              </w:rPr>
              <w:t>31/01/2015</w:t>
            </w:r>
          </w:p>
        </w:tc>
      </w:tr>
      <w:tr w:rsidR="00EF2F4E" w:rsidRPr="009E064B" w14:paraId="10B06D4E" w14:textId="77777777" w:rsidTr="00CE4A3E">
        <w:tc>
          <w:tcPr>
            <w:tcW w:w="2154" w:type="dxa"/>
            <w:vMerge/>
            <w:tcMar>
              <w:left w:w="28" w:type="dxa"/>
              <w:right w:w="28" w:type="dxa"/>
            </w:tcMar>
            <w:vAlign w:val="center"/>
          </w:tcPr>
          <w:p w14:paraId="492ABD48" w14:textId="77777777" w:rsidR="00EF2F4E" w:rsidRPr="00CE4A3E" w:rsidRDefault="00EF2F4E" w:rsidP="00780E35">
            <w:pPr>
              <w:spacing w:after="0"/>
              <w:ind w:left="57"/>
              <w:rPr>
                <w:sz w:val="20"/>
                <w:szCs w:val="20"/>
              </w:rPr>
            </w:pPr>
          </w:p>
        </w:tc>
        <w:tc>
          <w:tcPr>
            <w:tcW w:w="4217" w:type="dxa"/>
            <w:tcMar>
              <w:left w:w="28" w:type="dxa"/>
              <w:right w:w="28" w:type="dxa"/>
            </w:tcMar>
            <w:vAlign w:val="center"/>
          </w:tcPr>
          <w:p w14:paraId="07AC5039" w14:textId="6D2C4A87" w:rsidR="00EF2F4E" w:rsidRPr="00CE4A3E" w:rsidRDefault="00EF2F4E" w:rsidP="00780E35">
            <w:pPr>
              <w:spacing w:after="0"/>
              <w:ind w:left="57"/>
              <w:rPr>
                <w:sz w:val="20"/>
                <w:szCs w:val="20"/>
              </w:rPr>
            </w:pPr>
            <w:r w:rsidRPr="00CE4A3E">
              <w:rPr>
                <w:sz w:val="20"/>
                <w:szCs w:val="20"/>
              </w:rPr>
              <w:t>Część 2 — Materiały zawierające wytyczne (GM)</w:t>
            </w:r>
          </w:p>
        </w:tc>
        <w:tc>
          <w:tcPr>
            <w:tcW w:w="1448" w:type="dxa"/>
            <w:vMerge/>
            <w:tcMar>
              <w:left w:w="28" w:type="dxa"/>
              <w:right w:w="28" w:type="dxa"/>
            </w:tcMar>
            <w:vAlign w:val="center"/>
          </w:tcPr>
          <w:p w14:paraId="788E3EBF" w14:textId="15BED251" w:rsidR="00EF2F4E" w:rsidRPr="00CE4A3E" w:rsidRDefault="00EF2F4E" w:rsidP="00CE4A3E">
            <w:pPr>
              <w:spacing w:after="0"/>
              <w:ind w:left="57"/>
              <w:jc w:val="center"/>
              <w:rPr>
                <w:sz w:val="20"/>
                <w:szCs w:val="20"/>
              </w:rPr>
            </w:pPr>
          </w:p>
        </w:tc>
        <w:tc>
          <w:tcPr>
            <w:tcW w:w="1235" w:type="dxa"/>
            <w:vMerge/>
            <w:tcMar>
              <w:left w:w="28" w:type="dxa"/>
              <w:right w:w="28" w:type="dxa"/>
            </w:tcMar>
            <w:vAlign w:val="center"/>
          </w:tcPr>
          <w:p w14:paraId="040A0D64" w14:textId="02264DC4" w:rsidR="00EF2F4E" w:rsidRPr="00CE4A3E" w:rsidRDefault="00EF2F4E" w:rsidP="00780E35">
            <w:pPr>
              <w:spacing w:after="0"/>
              <w:ind w:left="57"/>
              <w:rPr>
                <w:sz w:val="20"/>
                <w:szCs w:val="20"/>
              </w:rPr>
            </w:pPr>
          </w:p>
        </w:tc>
      </w:tr>
      <w:tr w:rsidR="00EF2F4E" w:rsidRPr="009E064B" w14:paraId="49EE5753" w14:textId="77777777" w:rsidTr="00CE4A3E">
        <w:tc>
          <w:tcPr>
            <w:tcW w:w="2154" w:type="dxa"/>
            <w:vMerge w:val="restart"/>
            <w:tcMar>
              <w:left w:w="28" w:type="dxa"/>
              <w:right w:w="28" w:type="dxa"/>
            </w:tcMar>
            <w:vAlign w:val="center"/>
          </w:tcPr>
          <w:p w14:paraId="6A8FB10F" w14:textId="48EFBD31" w:rsidR="00EF2F4E" w:rsidRPr="00CE4A3E" w:rsidRDefault="00870777" w:rsidP="00FE23AD">
            <w:pPr>
              <w:spacing w:after="0"/>
              <w:ind w:left="57"/>
              <w:rPr>
                <w:sz w:val="20"/>
              </w:rPr>
            </w:pPr>
            <w:hyperlink r:id="rId31" w:history="1">
              <w:r w:rsidR="00EF2F4E" w:rsidRPr="00CE4A3E">
                <w:rPr>
                  <w:rStyle w:val="Hipercze"/>
                  <w:iCs/>
                  <w:sz w:val="20"/>
                </w:rPr>
                <w:t>Decyzja ED 2016/027/R</w:t>
              </w:r>
            </w:hyperlink>
          </w:p>
        </w:tc>
        <w:tc>
          <w:tcPr>
            <w:tcW w:w="4217" w:type="dxa"/>
            <w:tcMar>
              <w:left w:w="28" w:type="dxa"/>
              <w:right w:w="28" w:type="dxa"/>
            </w:tcMar>
            <w:vAlign w:val="center"/>
          </w:tcPr>
          <w:p w14:paraId="25888E4D" w14:textId="77777777" w:rsidR="00EF2F4E" w:rsidRPr="00CE4A3E" w:rsidRDefault="00EF2F4E" w:rsidP="00FE23AD">
            <w:pPr>
              <w:spacing w:after="0"/>
              <w:ind w:left="57"/>
              <w:rPr>
                <w:sz w:val="20"/>
              </w:rPr>
            </w:pPr>
            <w:r w:rsidRPr="00CE4A3E">
              <w:rPr>
                <w:sz w:val="20"/>
              </w:rPr>
              <w:t>Część 1 — Specyfikacje Certyfikacyjne (CS)</w:t>
            </w:r>
          </w:p>
        </w:tc>
        <w:tc>
          <w:tcPr>
            <w:tcW w:w="1448" w:type="dxa"/>
            <w:vMerge w:val="restart"/>
            <w:tcMar>
              <w:left w:w="28" w:type="dxa"/>
              <w:right w:w="28" w:type="dxa"/>
            </w:tcMar>
            <w:vAlign w:val="center"/>
          </w:tcPr>
          <w:p w14:paraId="02C7F180" w14:textId="77777777" w:rsidR="00EF2F4E" w:rsidRPr="00CE4A3E" w:rsidRDefault="00EF2F4E" w:rsidP="00CE4A3E">
            <w:pPr>
              <w:spacing w:after="0"/>
              <w:ind w:left="57"/>
              <w:jc w:val="center"/>
              <w:rPr>
                <w:sz w:val="20"/>
              </w:rPr>
            </w:pPr>
            <w:r w:rsidRPr="00CE4A3E">
              <w:rPr>
                <w:sz w:val="20"/>
                <w:szCs w:val="20"/>
              </w:rPr>
              <w:t>Wydanie</w:t>
            </w:r>
            <w:r w:rsidRPr="00CE4A3E">
              <w:rPr>
                <w:sz w:val="20"/>
              </w:rPr>
              <w:t xml:space="preserve"> 3</w:t>
            </w:r>
          </w:p>
        </w:tc>
        <w:tc>
          <w:tcPr>
            <w:tcW w:w="1235" w:type="dxa"/>
            <w:vMerge w:val="restart"/>
            <w:tcMar>
              <w:left w:w="28" w:type="dxa"/>
              <w:right w:w="28" w:type="dxa"/>
            </w:tcMar>
            <w:vAlign w:val="center"/>
          </w:tcPr>
          <w:p w14:paraId="4B886097" w14:textId="77777777" w:rsidR="00EF2F4E" w:rsidRPr="00CE4A3E" w:rsidRDefault="00EF2F4E" w:rsidP="00FE23AD">
            <w:pPr>
              <w:spacing w:after="0"/>
              <w:ind w:left="57"/>
              <w:rPr>
                <w:sz w:val="20"/>
              </w:rPr>
            </w:pPr>
            <w:r w:rsidRPr="00CE4A3E">
              <w:rPr>
                <w:sz w:val="20"/>
                <w:szCs w:val="20"/>
              </w:rPr>
              <w:t>15</w:t>
            </w:r>
            <w:r w:rsidRPr="00CE4A3E">
              <w:rPr>
                <w:sz w:val="20"/>
              </w:rPr>
              <w:t>/12/2016</w:t>
            </w:r>
          </w:p>
        </w:tc>
      </w:tr>
      <w:tr w:rsidR="00EF2F4E" w:rsidRPr="009E064B" w14:paraId="69852749" w14:textId="77777777" w:rsidTr="00CE4A3E">
        <w:tc>
          <w:tcPr>
            <w:tcW w:w="2154" w:type="dxa"/>
            <w:vMerge/>
            <w:tcMar>
              <w:left w:w="28" w:type="dxa"/>
              <w:right w:w="28" w:type="dxa"/>
            </w:tcMar>
            <w:vAlign w:val="center"/>
          </w:tcPr>
          <w:p w14:paraId="5798ED28" w14:textId="77777777" w:rsidR="00EF2F4E" w:rsidRPr="00CE4A3E" w:rsidRDefault="00EF2F4E" w:rsidP="002E7326">
            <w:pPr>
              <w:spacing w:after="0"/>
              <w:jc w:val="left"/>
              <w:rPr>
                <w:b/>
                <w:sz w:val="20"/>
              </w:rPr>
            </w:pPr>
          </w:p>
        </w:tc>
        <w:tc>
          <w:tcPr>
            <w:tcW w:w="4217" w:type="dxa"/>
            <w:tcMar>
              <w:left w:w="28" w:type="dxa"/>
              <w:right w:w="28" w:type="dxa"/>
            </w:tcMar>
            <w:vAlign w:val="center"/>
          </w:tcPr>
          <w:p w14:paraId="20CF07DA" w14:textId="77777777" w:rsidR="00EF2F4E" w:rsidRPr="00CE4A3E" w:rsidRDefault="00EF2F4E" w:rsidP="00FE23AD">
            <w:pPr>
              <w:spacing w:after="0"/>
              <w:ind w:left="57"/>
              <w:rPr>
                <w:sz w:val="20"/>
              </w:rPr>
            </w:pPr>
            <w:r w:rsidRPr="00CE4A3E">
              <w:rPr>
                <w:sz w:val="20"/>
              </w:rPr>
              <w:t>Część 2 — Materiały zawierające wytyczne (GM)</w:t>
            </w:r>
          </w:p>
        </w:tc>
        <w:tc>
          <w:tcPr>
            <w:tcW w:w="1448" w:type="dxa"/>
            <w:vMerge/>
            <w:tcMar>
              <w:left w:w="28" w:type="dxa"/>
              <w:right w:w="28" w:type="dxa"/>
            </w:tcMar>
            <w:vAlign w:val="center"/>
          </w:tcPr>
          <w:p w14:paraId="416CF463" w14:textId="77777777" w:rsidR="00EF2F4E" w:rsidRPr="00CE4A3E" w:rsidRDefault="00EF2F4E" w:rsidP="00CE4A3E">
            <w:pPr>
              <w:spacing w:after="0"/>
              <w:jc w:val="center"/>
              <w:rPr>
                <w:sz w:val="20"/>
              </w:rPr>
            </w:pPr>
          </w:p>
        </w:tc>
        <w:tc>
          <w:tcPr>
            <w:tcW w:w="1235" w:type="dxa"/>
            <w:vMerge/>
            <w:tcMar>
              <w:left w:w="28" w:type="dxa"/>
              <w:right w:w="28" w:type="dxa"/>
            </w:tcMar>
            <w:vAlign w:val="center"/>
          </w:tcPr>
          <w:p w14:paraId="0BE84AAB" w14:textId="77777777" w:rsidR="00EF2F4E" w:rsidRPr="00CE4A3E" w:rsidRDefault="00EF2F4E" w:rsidP="002E7326">
            <w:pPr>
              <w:spacing w:after="0"/>
              <w:jc w:val="left"/>
              <w:rPr>
                <w:sz w:val="20"/>
              </w:rPr>
            </w:pPr>
          </w:p>
        </w:tc>
      </w:tr>
      <w:tr w:rsidR="00EF2F4E" w:rsidRPr="009E064B" w14:paraId="42515453" w14:textId="77777777" w:rsidTr="00CE4A3E">
        <w:tc>
          <w:tcPr>
            <w:tcW w:w="2154" w:type="dxa"/>
            <w:vMerge w:val="restart"/>
            <w:tcMar>
              <w:left w:w="28" w:type="dxa"/>
              <w:right w:w="28" w:type="dxa"/>
            </w:tcMar>
            <w:vAlign w:val="center"/>
          </w:tcPr>
          <w:p w14:paraId="7DFD9577" w14:textId="2E8F73E8" w:rsidR="00EF2F4E" w:rsidRPr="00CE4A3E" w:rsidRDefault="00870777" w:rsidP="00FE23AD">
            <w:pPr>
              <w:spacing w:after="0"/>
              <w:jc w:val="left"/>
              <w:rPr>
                <w:rFonts w:asciiTheme="minorHAnsi" w:hAnsiTheme="minorHAnsi" w:cstheme="minorHAnsi"/>
                <w:color w:val="0000FF"/>
                <w:sz w:val="20"/>
                <w:szCs w:val="20"/>
              </w:rPr>
            </w:pPr>
            <w:hyperlink r:id="rId32" w:history="1">
              <w:r w:rsidR="00EF2F4E" w:rsidRPr="00CE4A3E">
                <w:rPr>
                  <w:rStyle w:val="Hipercze"/>
                  <w:iCs/>
                  <w:color w:val="0000FF"/>
                  <w:sz w:val="20"/>
                </w:rPr>
                <w:t>Decyzja ED 2017/021/R</w:t>
              </w:r>
            </w:hyperlink>
          </w:p>
        </w:tc>
        <w:tc>
          <w:tcPr>
            <w:tcW w:w="4217" w:type="dxa"/>
            <w:tcMar>
              <w:left w:w="28" w:type="dxa"/>
              <w:right w:w="28" w:type="dxa"/>
            </w:tcMar>
            <w:vAlign w:val="center"/>
          </w:tcPr>
          <w:p w14:paraId="045BFB28" w14:textId="5E2B65C7" w:rsidR="00EF2F4E" w:rsidRPr="00CE4A3E" w:rsidRDefault="00EF2F4E" w:rsidP="00780E35">
            <w:pPr>
              <w:spacing w:after="0"/>
              <w:ind w:left="57"/>
              <w:rPr>
                <w:sz w:val="20"/>
                <w:szCs w:val="20"/>
              </w:rPr>
            </w:pPr>
            <w:r w:rsidRPr="00CE4A3E">
              <w:rPr>
                <w:sz w:val="20"/>
                <w:szCs w:val="20"/>
              </w:rPr>
              <w:t>Część 1 — Specyfikacje Certyfikacyjne (CS)</w:t>
            </w:r>
          </w:p>
        </w:tc>
        <w:tc>
          <w:tcPr>
            <w:tcW w:w="1448" w:type="dxa"/>
            <w:vMerge w:val="restart"/>
            <w:tcMar>
              <w:left w:w="28" w:type="dxa"/>
              <w:right w:w="28" w:type="dxa"/>
            </w:tcMar>
            <w:vAlign w:val="center"/>
          </w:tcPr>
          <w:p w14:paraId="57BEE9FF" w14:textId="2D4E80B2" w:rsidR="00EF2F4E" w:rsidRPr="00CE4A3E" w:rsidRDefault="00EF2F4E" w:rsidP="00CE4A3E">
            <w:pPr>
              <w:spacing w:after="0"/>
              <w:ind w:left="57"/>
              <w:jc w:val="center"/>
              <w:rPr>
                <w:sz w:val="20"/>
                <w:szCs w:val="20"/>
              </w:rPr>
            </w:pPr>
            <w:r w:rsidRPr="00CE4A3E">
              <w:rPr>
                <w:sz w:val="20"/>
                <w:szCs w:val="20"/>
              </w:rPr>
              <w:t>Wydanie 4</w:t>
            </w:r>
          </w:p>
        </w:tc>
        <w:tc>
          <w:tcPr>
            <w:tcW w:w="1235" w:type="dxa"/>
            <w:vMerge w:val="restart"/>
            <w:tcMar>
              <w:left w:w="28" w:type="dxa"/>
              <w:right w:w="28" w:type="dxa"/>
            </w:tcMar>
            <w:vAlign w:val="center"/>
          </w:tcPr>
          <w:p w14:paraId="5223CBE1" w14:textId="7E7B9D72" w:rsidR="00EF2F4E" w:rsidRPr="00CE4A3E" w:rsidRDefault="00EF2F4E" w:rsidP="00780E35">
            <w:pPr>
              <w:spacing w:after="0"/>
              <w:ind w:left="57"/>
              <w:rPr>
                <w:sz w:val="20"/>
                <w:szCs w:val="20"/>
              </w:rPr>
            </w:pPr>
            <w:r w:rsidRPr="00CE4A3E">
              <w:rPr>
                <w:sz w:val="20"/>
                <w:szCs w:val="20"/>
              </w:rPr>
              <w:t>13/12/2017</w:t>
            </w:r>
          </w:p>
        </w:tc>
      </w:tr>
      <w:tr w:rsidR="00EF2F4E" w:rsidRPr="009E064B" w14:paraId="76670F15" w14:textId="77777777" w:rsidTr="00CE4A3E">
        <w:tc>
          <w:tcPr>
            <w:tcW w:w="2154" w:type="dxa"/>
            <w:vMerge/>
            <w:tcMar>
              <w:left w:w="28" w:type="dxa"/>
              <w:right w:w="28" w:type="dxa"/>
            </w:tcMar>
            <w:vAlign w:val="center"/>
          </w:tcPr>
          <w:p w14:paraId="451CC8F9" w14:textId="77777777" w:rsidR="00EF2F4E" w:rsidRPr="00CE4A3E" w:rsidRDefault="00EF2F4E" w:rsidP="00AE0887">
            <w:pPr>
              <w:spacing w:after="0"/>
              <w:rPr>
                <w:rFonts w:asciiTheme="minorHAnsi" w:hAnsiTheme="minorHAnsi" w:cstheme="minorHAnsi"/>
                <w:b/>
                <w:color w:val="FF0000"/>
                <w:sz w:val="20"/>
                <w:szCs w:val="20"/>
              </w:rPr>
            </w:pPr>
          </w:p>
        </w:tc>
        <w:tc>
          <w:tcPr>
            <w:tcW w:w="4217" w:type="dxa"/>
            <w:tcMar>
              <w:left w:w="28" w:type="dxa"/>
              <w:right w:w="28" w:type="dxa"/>
            </w:tcMar>
            <w:vAlign w:val="center"/>
          </w:tcPr>
          <w:p w14:paraId="7C56C39B" w14:textId="00D2AB48" w:rsidR="00EF2F4E" w:rsidRPr="00CE4A3E" w:rsidRDefault="00EF2F4E" w:rsidP="00780E35">
            <w:pPr>
              <w:spacing w:after="0"/>
              <w:ind w:left="57"/>
              <w:rPr>
                <w:sz w:val="20"/>
                <w:szCs w:val="20"/>
              </w:rPr>
            </w:pPr>
            <w:r w:rsidRPr="00CE4A3E">
              <w:rPr>
                <w:sz w:val="20"/>
                <w:szCs w:val="20"/>
              </w:rPr>
              <w:t>Część 2 — Materiały zawierające wytyczne (GM)</w:t>
            </w:r>
          </w:p>
        </w:tc>
        <w:tc>
          <w:tcPr>
            <w:tcW w:w="1448" w:type="dxa"/>
            <w:vMerge/>
            <w:tcMar>
              <w:left w:w="28" w:type="dxa"/>
              <w:right w:w="28" w:type="dxa"/>
            </w:tcMar>
            <w:vAlign w:val="center"/>
          </w:tcPr>
          <w:p w14:paraId="279B18A2" w14:textId="6FB3DB0E" w:rsidR="00EF2F4E" w:rsidRPr="00CE4A3E" w:rsidRDefault="00EF2F4E" w:rsidP="00CE4A3E">
            <w:pPr>
              <w:spacing w:after="0"/>
              <w:jc w:val="center"/>
              <w:rPr>
                <w:color w:val="FF0000"/>
                <w:sz w:val="20"/>
                <w:szCs w:val="20"/>
              </w:rPr>
            </w:pPr>
          </w:p>
        </w:tc>
        <w:tc>
          <w:tcPr>
            <w:tcW w:w="1235" w:type="dxa"/>
            <w:vMerge/>
            <w:tcMar>
              <w:left w:w="28" w:type="dxa"/>
              <w:right w:w="28" w:type="dxa"/>
            </w:tcMar>
            <w:vAlign w:val="center"/>
          </w:tcPr>
          <w:p w14:paraId="040CB421" w14:textId="6366F95B" w:rsidR="00EF2F4E" w:rsidRPr="00CE4A3E" w:rsidRDefault="00EF2F4E" w:rsidP="00780E35">
            <w:pPr>
              <w:spacing w:after="0"/>
              <w:ind w:left="57"/>
              <w:rPr>
                <w:color w:val="FF0000"/>
                <w:sz w:val="20"/>
                <w:szCs w:val="20"/>
              </w:rPr>
            </w:pPr>
          </w:p>
        </w:tc>
      </w:tr>
      <w:tr w:rsidR="00EF2F4E" w:rsidRPr="009E064B" w14:paraId="4FBDBD30" w14:textId="77777777" w:rsidTr="00CE4A3E">
        <w:tc>
          <w:tcPr>
            <w:tcW w:w="2154" w:type="dxa"/>
            <w:tcMar>
              <w:left w:w="28" w:type="dxa"/>
              <w:right w:w="28" w:type="dxa"/>
            </w:tcMar>
            <w:vAlign w:val="center"/>
          </w:tcPr>
          <w:p w14:paraId="2C64236C" w14:textId="55407D56" w:rsidR="00EF2F4E" w:rsidRPr="00CE4A3E" w:rsidRDefault="00870777" w:rsidP="00EF2F4E">
            <w:pPr>
              <w:spacing w:after="0"/>
              <w:jc w:val="left"/>
              <w:rPr>
                <w:rStyle w:val="Hipercze"/>
                <w:iCs/>
                <w:color w:val="0000FF"/>
                <w:sz w:val="20"/>
              </w:rPr>
            </w:pPr>
            <w:hyperlink r:id="rId33" w:history="1">
              <w:r w:rsidR="00EF2F4E" w:rsidRPr="00CE4A3E">
                <w:rPr>
                  <w:color w:val="0000FF"/>
                  <w:sz w:val="20"/>
                  <w:u w:val="single"/>
                </w:rPr>
                <w:t>Decyzja ED 2019/012/R</w:t>
              </w:r>
            </w:hyperlink>
          </w:p>
        </w:tc>
        <w:tc>
          <w:tcPr>
            <w:tcW w:w="4217" w:type="dxa"/>
            <w:tcMar>
              <w:left w:w="28" w:type="dxa"/>
              <w:right w:w="28" w:type="dxa"/>
            </w:tcMar>
            <w:vAlign w:val="center"/>
          </w:tcPr>
          <w:p w14:paraId="18AFA002" w14:textId="5593F7C3" w:rsidR="00EF2F4E" w:rsidRPr="00CE4A3E" w:rsidRDefault="00EF2F4E" w:rsidP="00780E35">
            <w:pPr>
              <w:spacing w:after="0"/>
              <w:ind w:left="57"/>
              <w:rPr>
                <w:sz w:val="20"/>
                <w:szCs w:val="20"/>
              </w:rPr>
            </w:pPr>
            <w:r w:rsidRPr="00CE4A3E">
              <w:rPr>
                <w:sz w:val="20"/>
                <w:szCs w:val="20"/>
              </w:rPr>
              <w:t>CS-HPT-DSN</w:t>
            </w:r>
          </w:p>
        </w:tc>
        <w:tc>
          <w:tcPr>
            <w:tcW w:w="1448" w:type="dxa"/>
            <w:tcMar>
              <w:left w:w="28" w:type="dxa"/>
              <w:right w:w="28" w:type="dxa"/>
            </w:tcMar>
            <w:vAlign w:val="center"/>
          </w:tcPr>
          <w:p w14:paraId="249A21ED" w14:textId="46A2870A" w:rsidR="00EF2F4E" w:rsidRPr="00CE4A3E" w:rsidRDefault="00EF2F4E" w:rsidP="00CE4A3E">
            <w:pPr>
              <w:spacing w:after="0"/>
              <w:ind w:left="57"/>
              <w:jc w:val="center"/>
              <w:rPr>
                <w:sz w:val="20"/>
                <w:szCs w:val="20"/>
              </w:rPr>
            </w:pPr>
            <w:r w:rsidRPr="00CE4A3E">
              <w:rPr>
                <w:sz w:val="20"/>
                <w:szCs w:val="20"/>
              </w:rPr>
              <w:t>Wydanie 1</w:t>
            </w:r>
          </w:p>
        </w:tc>
        <w:tc>
          <w:tcPr>
            <w:tcW w:w="1235" w:type="dxa"/>
            <w:tcMar>
              <w:left w:w="28" w:type="dxa"/>
              <w:right w:w="28" w:type="dxa"/>
            </w:tcMar>
            <w:vAlign w:val="center"/>
          </w:tcPr>
          <w:p w14:paraId="48145996" w14:textId="1A50B77A" w:rsidR="00EF2F4E" w:rsidRPr="00CE4A3E" w:rsidRDefault="00EF2F4E" w:rsidP="00EF2F4E">
            <w:pPr>
              <w:spacing w:after="0"/>
              <w:ind w:left="57"/>
              <w:rPr>
                <w:sz w:val="20"/>
                <w:szCs w:val="20"/>
              </w:rPr>
            </w:pPr>
            <w:r w:rsidRPr="00CE4A3E">
              <w:rPr>
                <w:sz w:val="20"/>
                <w:szCs w:val="20"/>
              </w:rPr>
              <w:t>24/05/2019</w:t>
            </w:r>
          </w:p>
        </w:tc>
      </w:tr>
    </w:tbl>
    <w:p w14:paraId="12C773C7" w14:textId="77777777" w:rsidR="00EF2F4E" w:rsidRPr="009E064B" w:rsidRDefault="00EF2F4E" w:rsidP="006A54F2">
      <w:pPr>
        <w:spacing w:after="0"/>
      </w:pPr>
    </w:p>
    <w:p w14:paraId="50807CE5" w14:textId="03E651EC" w:rsidR="00BA3061" w:rsidRPr="009E064B" w:rsidRDefault="00610D6E" w:rsidP="00FE23AD">
      <w:pPr>
        <w:spacing w:after="0"/>
        <w:ind w:left="709" w:hanging="709"/>
        <w:jc w:val="left"/>
        <w:rPr>
          <w:rFonts w:asciiTheme="minorHAnsi" w:hAnsiTheme="minorHAnsi" w:cstheme="minorHAnsi"/>
          <w:sz w:val="20"/>
          <w:szCs w:val="20"/>
        </w:rPr>
      </w:pPr>
      <w:r w:rsidRPr="009E064B">
        <w:rPr>
          <w:i/>
          <w:iCs/>
          <w:sz w:val="20"/>
        </w:rPr>
        <w:t xml:space="preserve">Uwaga: </w:t>
      </w:r>
      <w:r w:rsidR="00DE319F" w:rsidRPr="009E064B">
        <w:rPr>
          <w:i/>
          <w:iCs/>
          <w:sz w:val="20"/>
        </w:rPr>
        <w:tab/>
      </w:r>
      <w:r w:rsidRPr="009E064B">
        <w:rPr>
          <w:i/>
          <w:iCs/>
          <w:sz w:val="20"/>
        </w:rPr>
        <w:t>Korzystając z linków podanych powyżej, można uzyskać dostęp do oficjalnych dokumentów źródłowych publikowanych w języku angielskim.</w:t>
      </w:r>
    </w:p>
    <w:p w14:paraId="61D780B9" w14:textId="77777777" w:rsidR="00BA3061" w:rsidRPr="009E064B" w:rsidRDefault="00BA3061" w:rsidP="00CE4A3E">
      <w:pPr>
        <w:spacing w:after="0"/>
        <w:rPr>
          <w:rFonts w:asciiTheme="minorHAnsi" w:hAnsiTheme="minorHAnsi" w:cstheme="minorHAnsi"/>
          <w:sz w:val="20"/>
          <w:szCs w:val="20"/>
        </w:rPr>
        <w:sectPr w:rsidR="00BA3061" w:rsidRPr="009E064B" w:rsidSect="00AE1280">
          <w:headerReference w:type="first" r:id="rId34"/>
          <w:pgSz w:w="11906" w:h="16840" w:code="9"/>
          <w:pgMar w:top="1701" w:right="1418" w:bottom="1418" w:left="1418" w:header="567" w:footer="454" w:gutter="0"/>
          <w:cols w:space="708"/>
          <w:titlePg/>
        </w:sectPr>
      </w:pPr>
    </w:p>
    <w:p w14:paraId="2AE44555" w14:textId="77777777" w:rsidR="006670CA" w:rsidRPr="009E064B" w:rsidRDefault="006670CA" w:rsidP="00A233E9">
      <w:pPr>
        <w:pStyle w:val="Nagwek11"/>
        <w:ind w:right="-2"/>
        <w:outlineLvl w:val="9"/>
        <w:rPr>
          <w:rFonts w:asciiTheme="minorHAnsi" w:hAnsiTheme="minorHAnsi" w:cstheme="minorHAnsi"/>
          <w:sz w:val="20"/>
          <w:szCs w:val="20"/>
        </w:rPr>
      </w:pPr>
    </w:p>
    <w:p w14:paraId="1244A194" w14:textId="77BD8AD8" w:rsidR="00DC7DA6" w:rsidRPr="009E064B" w:rsidRDefault="00CD1F34" w:rsidP="00020EA3">
      <w:pPr>
        <w:pStyle w:val="Nagwek2"/>
      </w:pPr>
      <w:bookmarkStart w:id="5" w:name="_Toc12532520"/>
      <w:r w:rsidRPr="009E064B">
        <w:t>Spis treści</w:t>
      </w:r>
      <w:bookmarkEnd w:id="5"/>
    </w:p>
    <w:sdt>
      <w:sdtPr>
        <w:rPr>
          <w:smallCaps/>
          <w:noProof w:val="0"/>
        </w:rPr>
        <w:id w:val="17016719"/>
        <w:docPartObj>
          <w:docPartGallery w:val="Table of Contents"/>
          <w:docPartUnique/>
        </w:docPartObj>
      </w:sdtPr>
      <w:sdtEndPr>
        <w:rPr>
          <w:smallCaps w:val="0"/>
          <w:noProof/>
        </w:rPr>
      </w:sdtEndPr>
      <w:sdtContent>
        <w:p w14:paraId="4F9FEEB4" w14:textId="702A2E68" w:rsidR="00DF65F3" w:rsidRDefault="00F7725B">
          <w:pPr>
            <w:pStyle w:val="Spistreci2"/>
            <w:rPr>
              <w:rFonts w:asciiTheme="minorHAnsi" w:eastAsiaTheme="minorEastAsia" w:hAnsiTheme="minorHAnsi" w:cstheme="minorBidi"/>
              <w:sz w:val="22"/>
              <w:lang w:val="en-GB" w:eastAsia="en-GB"/>
            </w:rPr>
          </w:pPr>
          <w:r w:rsidRPr="009E064B">
            <w:rPr>
              <w:rFonts w:asciiTheme="minorHAnsi" w:hAnsiTheme="minorHAnsi"/>
              <w:noProof w:val="0"/>
              <w:szCs w:val="20"/>
            </w:rPr>
            <w:fldChar w:fldCharType="begin"/>
          </w:r>
          <w:r w:rsidRPr="009E064B">
            <w:rPr>
              <w:rFonts w:asciiTheme="minorHAnsi" w:hAnsiTheme="minorHAnsi"/>
              <w:noProof w:val="0"/>
              <w:szCs w:val="20"/>
            </w:rPr>
            <w:instrText xml:space="preserve"> TOC \o "1-7" \h \z \u </w:instrText>
          </w:r>
          <w:r w:rsidRPr="009E064B">
            <w:rPr>
              <w:rFonts w:asciiTheme="minorHAnsi" w:hAnsiTheme="minorHAnsi"/>
              <w:noProof w:val="0"/>
              <w:szCs w:val="20"/>
            </w:rPr>
            <w:fldChar w:fldCharType="separate"/>
          </w:r>
          <w:hyperlink w:anchor="_Toc12532516" w:history="1">
            <w:r w:rsidR="00DF65F3" w:rsidRPr="004815D6">
              <w:rPr>
                <w:rStyle w:val="Hipercze"/>
              </w:rPr>
              <w:t>Zrzeczenie się odpowiedzialności</w:t>
            </w:r>
            <w:r w:rsidR="00DF65F3">
              <w:rPr>
                <w:webHidden/>
              </w:rPr>
              <w:tab/>
            </w:r>
            <w:r w:rsidR="00DF65F3">
              <w:rPr>
                <w:webHidden/>
              </w:rPr>
              <w:fldChar w:fldCharType="begin"/>
            </w:r>
            <w:r w:rsidR="00DF65F3">
              <w:rPr>
                <w:webHidden/>
              </w:rPr>
              <w:instrText xml:space="preserve"> PAGEREF _Toc12532516 \h </w:instrText>
            </w:r>
            <w:r w:rsidR="00DF65F3">
              <w:rPr>
                <w:webHidden/>
              </w:rPr>
            </w:r>
            <w:r w:rsidR="00DF65F3">
              <w:rPr>
                <w:webHidden/>
              </w:rPr>
              <w:fldChar w:fldCharType="separate"/>
            </w:r>
            <w:r w:rsidR="00F755B7">
              <w:rPr>
                <w:webHidden/>
              </w:rPr>
              <w:t>4</w:t>
            </w:r>
            <w:r w:rsidR="00DF65F3">
              <w:rPr>
                <w:webHidden/>
              </w:rPr>
              <w:fldChar w:fldCharType="end"/>
            </w:r>
          </w:hyperlink>
        </w:p>
        <w:p w14:paraId="45955E82" w14:textId="396DB83B" w:rsidR="00DF65F3" w:rsidRDefault="00870777">
          <w:pPr>
            <w:pStyle w:val="Spistreci2"/>
            <w:rPr>
              <w:rFonts w:asciiTheme="minorHAnsi" w:eastAsiaTheme="minorEastAsia" w:hAnsiTheme="minorHAnsi" w:cstheme="minorBidi"/>
              <w:sz w:val="22"/>
              <w:lang w:val="en-GB" w:eastAsia="en-GB"/>
            </w:rPr>
          </w:pPr>
          <w:hyperlink w:anchor="_Toc12532517" w:history="1">
            <w:r w:rsidR="00DF65F3" w:rsidRPr="004815D6">
              <w:rPr>
                <w:rStyle w:val="Hipercze"/>
              </w:rPr>
              <w:t>Wykaz zmian</w:t>
            </w:r>
            <w:r w:rsidR="00DF65F3">
              <w:rPr>
                <w:webHidden/>
              </w:rPr>
              <w:tab/>
            </w:r>
            <w:r w:rsidR="00A0625D">
              <w:rPr>
                <w:webHidden/>
              </w:rPr>
              <w:tab/>
            </w:r>
            <w:r w:rsidR="00DF65F3">
              <w:rPr>
                <w:webHidden/>
              </w:rPr>
              <w:fldChar w:fldCharType="begin"/>
            </w:r>
            <w:r w:rsidR="00DF65F3">
              <w:rPr>
                <w:webHidden/>
              </w:rPr>
              <w:instrText xml:space="preserve"> PAGEREF _Toc12532517 \h </w:instrText>
            </w:r>
            <w:r w:rsidR="00DF65F3">
              <w:rPr>
                <w:webHidden/>
              </w:rPr>
            </w:r>
            <w:r w:rsidR="00DF65F3">
              <w:rPr>
                <w:webHidden/>
              </w:rPr>
              <w:fldChar w:fldCharType="separate"/>
            </w:r>
            <w:r w:rsidR="00F755B7">
              <w:rPr>
                <w:webHidden/>
              </w:rPr>
              <w:t>5</w:t>
            </w:r>
            <w:r w:rsidR="00DF65F3">
              <w:rPr>
                <w:webHidden/>
              </w:rPr>
              <w:fldChar w:fldCharType="end"/>
            </w:r>
          </w:hyperlink>
        </w:p>
        <w:p w14:paraId="0E578961" w14:textId="0650E13D" w:rsidR="00DF65F3" w:rsidRDefault="00870777">
          <w:pPr>
            <w:pStyle w:val="Spistreci2"/>
            <w:rPr>
              <w:rFonts w:asciiTheme="minorHAnsi" w:eastAsiaTheme="minorEastAsia" w:hAnsiTheme="minorHAnsi" w:cstheme="minorBidi"/>
              <w:sz w:val="22"/>
              <w:lang w:val="en-GB" w:eastAsia="en-GB"/>
            </w:rPr>
          </w:pPr>
          <w:hyperlink w:anchor="_Toc12532518" w:history="1">
            <w:r w:rsidR="00DF65F3" w:rsidRPr="004815D6">
              <w:rPr>
                <w:rStyle w:val="Hipercze"/>
              </w:rPr>
              <w:t>Uwagi od wydawcy</w:t>
            </w:r>
            <w:r w:rsidR="00DF65F3">
              <w:rPr>
                <w:webHidden/>
              </w:rPr>
              <w:tab/>
            </w:r>
            <w:r w:rsidR="00DF65F3">
              <w:rPr>
                <w:webHidden/>
              </w:rPr>
              <w:fldChar w:fldCharType="begin"/>
            </w:r>
            <w:r w:rsidR="00DF65F3">
              <w:rPr>
                <w:webHidden/>
              </w:rPr>
              <w:instrText xml:space="preserve"> PAGEREF _Toc12532518 \h </w:instrText>
            </w:r>
            <w:r w:rsidR="00DF65F3">
              <w:rPr>
                <w:webHidden/>
              </w:rPr>
            </w:r>
            <w:r w:rsidR="00DF65F3">
              <w:rPr>
                <w:webHidden/>
              </w:rPr>
              <w:fldChar w:fldCharType="separate"/>
            </w:r>
            <w:r w:rsidR="00F755B7">
              <w:rPr>
                <w:webHidden/>
              </w:rPr>
              <w:t>6</w:t>
            </w:r>
            <w:r w:rsidR="00DF65F3">
              <w:rPr>
                <w:webHidden/>
              </w:rPr>
              <w:fldChar w:fldCharType="end"/>
            </w:r>
          </w:hyperlink>
        </w:p>
        <w:p w14:paraId="4F3E1425" w14:textId="3D5C4334" w:rsidR="00DF65F3" w:rsidRDefault="00870777">
          <w:pPr>
            <w:pStyle w:val="Spistreci2"/>
            <w:rPr>
              <w:rFonts w:asciiTheme="minorHAnsi" w:eastAsiaTheme="minorEastAsia" w:hAnsiTheme="minorHAnsi" w:cstheme="minorBidi"/>
              <w:sz w:val="22"/>
              <w:lang w:val="en-GB" w:eastAsia="en-GB"/>
            </w:rPr>
          </w:pPr>
          <w:hyperlink w:anchor="_Toc12532519" w:history="1">
            <w:r w:rsidR="00DF65F3" w:rsidRPr="004815D6">
              <w:rPr>
                <w:rStyle w:val="Hipercze"/>
              </w:rPr>
              <w:t>Wprowadzone zmiany przepisów</w:t>
            </w:r>
            <w:r w:rsidR="00DF65F3">
              <w:rPr>
                <w:webHidden/>
              </w:rPr>
              <w:tab/>
            </w:r>
            <w:r w:rsidR="00DF65F3">
              <w:rPr>
                <w:webHidden/>
              </w:rPr>
              <w:fldChar w:fldCharType="begin"/>
            </w:r>
            <w:r w:rsidR="00DF65F3">
              <w:rPr>
                <w:webHidden/>
              </w:rPr>
              <w:instrText xml:space="preserve"> PAGEREF _Toc12532519 \h </w:instrText>
            </w:r>
            <w:r w:rsidR="00DF65F3">
              <w:rPr>
                <w:webHidden/>
              </w:rPr>
            </w:r>
            <w:r w:rsidR="00DF65F3">
              <w:rPr>
                <w:webHidden/>
              </w:rPr>
              <w:fldChar w:fldCharType="separate"/>
            </w:r>
            <w:r w:rsidR="00F755B7">
              <w:rPr>
                <w:webHidden/>
              </w:rPr>
              <w:t>7</w:t>
            </w:r>
            <w:r w:rsidR="00DF65F3">
              <w:rPr>
                <w:webHidden/>
              </w:rPr>
              <w:fldChar w:fldCharType="end"/>
            </w:r>
          </w:hyperlink>
        </w:p>
        <w:p w14:paraId="1B97BB57" w14:textId="48023C76" w:rsidR="00DF65F3" w:rsidRDefault="00870777">
          <w:pPr>
            <w:pStyle w:val="Spistreci2"/>
            <w:rPr>
              <w:rFonts w:asciiTheme="minorHAnsi" w:eastAsiaTheme="minorEastAsia" w:hAnsiTheme="minorHAnsi" w:cstheme="minorBidi"/>
              <w:sz w:val="22"/>
              <w:lang w:val="en-GB" w:eastAsia="en-GB"/>
            </w:rPr>
          </w:pPr>
          <w:hyperlink w:anchor="_Toc12532520" w:history="1">
            <w:r w:rsidR="00DF65F3" w:rsidRPr="004815D6">
              <w:rPr>
                <w:rStyle w:val="Hipercze"/>
              </w:rPr>
              <w:t>Spis treści</w:t>
            </w:r>
            <w:r w:rsidR="00DF65F3">
              <w:rPr>
                <w:webHidden/>
              </w:rPr>
              <w:tab/>
            </w:r>
            <w:r w:rsidR="00A0625D">
              <w:rPr>
                <w:webHidden/>
              </w:rPr>
              <w:tab/>
            </w:r>
            <w:r w:rsidR="00DF65F3">
              <w:rPr>
                <w:webHidden/>
              </w:rPr>
              <w:fldChar w:fldCharType="begin"/>
            </w:r>
            <w:r w:rsidR="00DF65F3">
              <w:rPr>
                <w:webHidden/>
              </w:rPr>
              <w:instrText xml:space="preserve"> PAGEREF _Toc12532520 \h </w:instrText>
            </w:r>
            <w:r w:rsidR="00DF65F3">
              <w:rPr>
                <w:webHidden/>
              </w:rPr>
            </w:r>
            <w:r w:rsidR="00DF65F3">
              <w:rPr>
                <w:webHidden/>
              </w:rPr>
              <w:fldChar w:fldCharType="separate"/>
            </w:r>
            <w:r w:rsidR="00F755B7">
              <w:rPr>
                <w:webHidden/>
              </w:rPr>
              <w:t>8</w:t>
            </w:r>
            <w:r w:rsidR="00DF65F3">
              <w:rPr>
                <w:webHidden/>
              </w:rPr>
              <w:fldChar w:fldCharType="end"/>
            </w:r>
          </w:hyperlink>
        </w:p>
        <w:p w14:paraId="26FAC1AA" w14:textId="724E4BFB" w:rsidR="00DF65F3" w:rsidRDefault="00870777">
          <w:pPr>
            <w:pStyle w:val="Spistreci1"/>
            <w:rPr>
              <w:rFonts w:asciiTheme="minorHAnsi" w:eastAsiaTheme="minorEastAsia" w:hAnsiTheme="minorHAnsi"/>
              <w:b w:val="0"/>
              <w:sz w:val="22"/>
              <w:lang w:val="en-GB" w:eastAsia="en-GB"/>
            </w:rPr>
          </w:pPr>
          <w:hyperlink w:anchor="_Toc12532521" w:history="1">
            <w:r w:rsidR="00DF65F3" w:rsidRPr="004815D6">
              <w:rPr>
                <w:rStyle w:val="Hipercze"/>
              </w:rPr>
              <w:t>ROZPORZĄDZENIE KOMISJI  (Część główna)</w:t>
            </w:r>
            <w:r w:rsidR="00DF65F3">
              <w:rPr>
                <w:webHidden/>
              </w:rPr>
              <w:tab/>
            </w:r>
            <w:r w:rsidR="00DF65F3">
              <w:rPr>
                <w:webHidden/>
              </w:rPr>
              <w:fldChar w:fldCharType="begin"/>
            </w:r>
            <w:r w:rsidR="00DF65F3">
              <w:rPr>
                <w:webHidden/>
              </w:rPr>
              <w:instrText xml:space="preserve"> PAGEREF _Toc12532521 \h </w:instrText>
            </w:r>
            <w:r w:rsidR="00DF65F3">
              <w:rPr>
                <w:webHidden/>
              </w:rPr>
            </w:r>
            <w:r w:rsidR="00DF65F3">
              <w:rPr>
                <w:webHidden/>
              </w:rPr>
              <w:fldChar w:fldCharType="separate"/>
            </w:r>
            <w:r w:rsidR="00F755B7">
              <w:rPr>
                <w:webHidden/>
              </w:rPr>
              <w:t>24</w:t>
            </w:r>
            <w:r w:rsidR="00DF65F3">
              <w:rPr>
                <w:webHidden/>
              </w:rPr>
              <w:fldChar w:fldCharType="end"/>
            </w:r>
          </w:hyperlink>
        </w:p>
        <w:p w14:paraId="7CE44E0D" w14:textId="027C2A17" w:rsidR="00DF65F3" w:rsidRDefault="00870777">
          <w:pPr>
            <w:pStyle w:val="Spistreci2"/>
            <w:rPr>
              <w:rFonts w:asciiTheme="minorHAnsi" w:eastAsiaTheme="minorEastAsia" w:hAnsiTheme="minorHAnsi" w:cstheme="minorBidi"/>
              <w:sz w:val="22"/>
              <w:lang w:val="en-GB" w:eastAsia="en-GB"/>
            </w:rPr>
          </w:pPr>
          <w:hyperlink w:anchor="_Toc12532522" w:history="1">
            <w:r w:rsidR="00DF65F3" w:rsidRPr="004815D6">
              <w:rPr>
                <w:rStyle w:val="Hipercze"/>
              </w:rPr>
              <w:t>Artykuł 1    Przedmiot i zakres stosowania</w:t>
            </w:r>
            <w:r w:rsidR="00DF65F3">
              <w:rPr>
                <w:webHidden/>
              </w:rPr>
              <w:tab/>
            </w:r>
            <w:r w:rsidR="00DF65F3">
              <w:rPr>
                <w:webHidden/>
              </w:rPr>
              <w:fldChar w:fldCharType="begin"/>
            </w:r>
            <w:r w:rsidR="00DF65F3">
              <w:rPr>
                <w:webHidden/>
              </w:rPr>
              <w:instrText xml:space="preserve"> PAGEREF _Toc12532522 \h </w:instrText>
            </w:r>
            <w:r w:rsidR="00DF65F3">
              <w:rPr>
                <w:webHidden/>
              </w:rPr>
            </w:r>
            <w:r w:rsidR="00DF65F3">
              <w:rPr>
                <w:webHidden/>
              </w:rPr>
              <w:fldChar w:fldCharType="separate"/>
            </w:r>
            <w:r w:rsidR="00F755B7">
              <w:rPr>
                <w:webHidden/>
              </w:rPr>
              <w:t>26</w:t>
            </w:r>
            <w:r w:rsidR="00DF65F3">
              <w:rPr>
                <w:webHidden/>
              </w:rPr>
              <w:fldChar w:fldCharType="end"/>
            </w:r>
          </w:hyperlink>
        </w:p>
        <w:p w14:paraId="5D934ADF" w14:textId="4BB93486" w:rsidR="00DF65F3" w:rsidRDefault="00870777">
          <w:pPr>
            <w:pStyle w:val="Spistreci2"/>
            <w:rPr>
              <w:rFonts w:asciiTheme="minorHAnsi" w:eastAsiaTheme="minorEastAsia" w:hAnsiTheme="minorHAnsi" w:cstheme="minorBidi"/>
              <w:sz w:val="22"/>
              <w:lang w:val="en-GB" w:eastAsia="en-GB"/>
            </w:rPr>
          </w:pPr>
          <w:hyperlink w:anchor="_Toc12532523" w:history="1">
            <w:r w:rsidR="00DF65F3" w:rsidRPr="004815D6">
              <w:rPr>
                <w:rStyle w:val="Hipercze"/>
              </w:rPr>
              <w:t>Artykuł 2    Definicje</w:t>
            </w:r>
            <w:r w:rsidR="00DF65F3">
              <w:rPr>
                <w:webHidden/>
              </w:rPr>
              <w:tab/>
            </w:r>
            <w:r w:rsidR="00DF65F3">
              <w:rPr>
                <w:webHidden/>
              </w:rPr>
              <w:fldChar w:fldCharType="begin"/>
            </w:r>
            <w:r w:rsidR="00DF65F3">
              <w:rPr>
                <w:webHidden/>
              </w:rPr>
              <w:instrText xml:space="preserve"> PAGEREF _Toc12532523 \h </w:instrText>
            </w:r>
            <w:r w:rsidR="00DF65F3">
              <w:rPr>
                <w:webHidden/>
              </w:rPr>
            </w:r>
            <w:r w:rsidR="00DF65F3">
              <w:rPr>
                <w:webHidden/>
              </w:rPr>
              <w:fldChar w:fldCharType="separate"/>
            </w:r>
            <w:r w:rsidR="00F755B7">
              <w:rPr>
                <w:webHidden/>
              </w:rPr>
              <w:t>26</w:t>
            </w:r>
            <w:r w:rsidR="00DF65F3">
              <w:rPr>
                <w:webHidden/>
              </w:rPr>
              <w:fldChar w:fldCharType="end"/>
            </w:r>
          </w:hyperlink>
        </w:p>
        <w:p w14:paraId="76AC3A7B" w14:textId="575571AD" w:rsidR="00DF65F3" w:rsidRDefault="00870777">
          <w:pPr>
            <w:pStyle w:val="Spistreci6"/>
            <w:rPr>
              <w:sz w:val="22"/>
              <w:lang w:val="en-GB" w:eastAsia="en-GB"/>
            </w:rPr>
          </w:pPr>
          <w:hyperlink w:anchor="_Toc12532524" w:history="1">
            <w:r w:rsidR="00DF65F3" w:rsidRPr="004815D6">
              <w:rPr>
                <w:rStyle w:val="Hipercze"/>
              </w:rPr>
              <w:t>Terminologia</w:t>
            </w:r>
            <w:r w:rsidR="00DF65F3">
              <w:rPr>
                <w:webHidden/>
              </w:rPr>
              <w:tab/>
            </w:r>
            <w:r w:rsidR="00A0625D">
              <w:rPr>
                <w:webHidden/>
              </w:rPr>
              <w:tab/>
            </w:r>
            <w:r w:rsidR="00DF65F3">
              <w:rPr>
                <w:webHidden/>
              </w:rPr>
              <w:fldChar w:fldCharType="begin"/>
            </w:r>
            <w:r w:rsidR="00DF65F3">
              <w:rPr>
                <w:webHidden/>
              </w:rPr>
              <w:instrText xml:space="preserve"> PAGEREF _Toc12532524 \h </w:instrText>
            </w:r>
            <w:r w:rsidR="00DF65F3">
              <w:rPr>
                <w:webHidden/>
              </w:rPr>
            </w:r>
            <w:r w:rsidR="00DF65F3">
              <w:rPr>
                <w:webHidden/>
              </w:rPr>
              <w:fldChar w:fldCharType="separate"/>
            </w:r>
            <w:r w:rsidR="00F755B7">
              <w:rPr>
                <w:webHidden/>
              </w:rPr>
              <w:t>28</w:t>
            </w:r>
            <w:r w:rsidR="00DF65F3">
              <w:rPr>
                <w:webHidden/>
              </w:rPr>
              <w:fldChar w:fldCharType="end"/>
            </w:r>
          </w:hyperlink>
        </w:p>
        <w:p w14:paraId="484C68FC" w14:textId="2DF32652" w:rsidR="00DF65F3" w:rsidRDefault="00870777">
          <w:pPr>
            <w:pStyle w:val="Spistreci2"/>
            <w:rPr>
              <w:rFonts w:asciiTheme="minorHAnsi" w:eastAsiaTheme="minorEastAsia" w:hAnsiTheme="minorHAnsi" w:cstheme="minorBidi"/>
              <w:sz w:val="22"/>
              <w:lang w:val="en-GB" w:eastAsia="en-GB"/>
            </w:rPr>
          </w:pPr>
          <w:hyperlink w:anchor="_Toc12532525" w:history="1">
            <w:r w:rsidR="00DF65F3" w:rsidRPr="004815D6">
              <w:rPr>
                <w:rStyle w:val="Hipercze"/>
              </w:rPr>
              <w:t>Artykuł 3    Nadzór nad lotniskami</w:t>
            </w:r>
            <w:r w:rsidR="00DF65F3">
              <w:rPr>
                <w:webHidden/>
              </w:rPr>
              <w:tab/>
            </w:r>
            <w:r w:rsidR="00DF65F3">
              <w:rPr>
                <w:webHidden/>
              </w:rPr>
              <w:fldChar w:fldCharType="begin"/>
            </w:r>
            <w:r w:rsidR="00DF65F3">
              <w:rPr>
                <w:webHidden/>
              </w:rPr>
              <w:instrText xml:space="preserve"> PAGEREF _Toc12532525 \h </w:instrText>
            </w:r>
            <w:r w:rsidR="00DF65F3">
              <w:rPr>
                <w:webHidden/>
              </w:rPr>
            </w:r>
            <w:r w:rsidR="00DF65F3">
              <w:rPr>
                <w:webHidden/>
              </w:rPr>
              <w:fldChar w:fldCharType="separate"/>
            </w:r>
            <w:r w:rsidR="00F755B7">
              <w:rPr>
                <w:webHidden/>
              </w:rPr>
              <w:t>28</w:t>
            </w:r>
            <w:r w:rsidR="00DF65F3">
              <w:rPr>
                <w:webHidden/>
              </w:rPr>
              <w:fldChar w:fldCharType="end"/>
            </w:r>
          </w:hyperlink>
        </w:p>
        <w:p w14:paraId="36645F64" w14:textId="1BD7A88C" w:rsidR="00DF65F3" w:rsidRDefault="00870777">
          <w:pPr>
            <w:pStyle w:val="Spistreci6"/>
            <w:rPr>
              <w:sz w:val="22"/>
              <w:lang w:val="en-GB" w:eastAsia="en-GB"/>
            </w:rPr>
          </w:pPr>
          <w:hyperlink w:anchor="_Toc12532526" w:history="1">
            <w:r w:rsidR="00DF65F3" w:rsidRPr="004815D6">
              <w:rPr>
                <w:rStyle w:val="Hipercze"/>
              </w:rPr>
              <w:t>GM1 do Artykułu 3.2     Nadzór nad lotniskami</w:t>
            </w:r>
            <w:r w:rsidR="00DF65F3">
              <w:rPr>
                <w:webHidden/>
              </w:rPr>
              <w:tab/>
            </w:r>
            <w:r w:rsidR="00DF65F3">
              <w:rPr>
                <w:webHidden/>
              </w:rPr>
              <w:fldChar w:fldCharType="begin"/>
            </w:r>
            <w:r w:rsidR="00DF65F3">
              <w:rPr>
                <w:webHidden/>
              </w:rPr>
              <w:instrText xml:space="preserve"> PAGEREF _Toc12532526 \h </w:instrText>
            </w:r>
            <w:r w:rsidR="00DF65F3">
              <w:rPr>
                <w:webHidden/>
              </w:rPr>
            </w:r>
            <w:r w:rsidR="00DF65F3">
              <w:rPr>
                <w:webHidden/>
              </w:rPr>
              <w:fldChar w:fldCharType="separate"/>
            </w:r>
            <w:r w:rsidR="00F755B7">
              <w:rPr>
                <w:webHidden/>
              </w:rPr>
              <w:t>29</w:t>
            </w:r>
            <w:r w:rsidR="00DF65F3">
              <w:rPr>
                <w:webHidden/>
              </w:rPr>
              <w:fldChar w:fldCharType="end"/>
            </w:r>
          </w:hyperlink>
        </w:p>
        <w:p w14:paraId="43AC62FC" w14:textId="639B7ADC" w:rsidR="00DF65F3" w:rsidRDefault="00870777">
          <w:pPr>
            <w:pStyle w:val="Spistreci2"/>
            <w:rPr>
              <w:rFonts w:asciiTheme="minorHAnsi" w:eastAsiaTheme="minorEastAsia" w:hAnsiTheme="minorHAnsi" w:cstheme="minorBidi"/>
              <w:sz w:val="22"/>
              <w:lang w:val="en-GB" w:eastAsia="en-GB"/>
            </w:rPr>
          </w:pPr>
          <w:hyperlink w:anchor="_Toc12532527" w:history="1">
            <w:r w:rsidR="00DF65F3" w:rsidRPr="004815D6">
              <w:rPr>
                <w:rStyle w:val="Hipercze"/>
              </w:rPr>
              <w:t>Artykuł 4    Informacje dla Europejskiej Agencji Bezpieczeństwa Lotniczego</w:t>
            </w:r>
            <w:r w:rsidR="00DF65F3">
              <w:rPr>
                <w:webHidden/>
              </w:rPr>
              <w:tab/>
            </w:r>
            <w:r w:rsidR="00DF65F3">
              <w:rPr>
                <w:webHidden/>
              </w:rPr>
              <w:fldChar w:fldCharType="begin"/>
            </w:r>
            <w:r w:rsidR="00DF65F3">
              <w:rPr>
                <w:webHidden/>
              </w:rPr>
              <w:instrText xml:space="preserve"> PAGEREF _Toc12532527 \h </w:instrText>
            </w:r>
            <w:r w:rsidR="00DF65F3">
              <w:rPr>
                <w:webHidden/>
              </w:rPr>
            </w:r>
            <w:r w:rsidR="00DF65F3">
              <w:rPr>
                <w:webHidden/>
              </w:rPr>
              <w:fldChar w:fldCharType="separate"/>
            </w:r>
            <w:r w:rsidR="00F755B7">
              <w:rPr>
                <w:webHidden/>
              </w:rPr>
              <w:t>29</w:t>
            </w:r>
            <w:r w:rsidR="00DF65F3">
              <w:rPr>
                <w:webHidden/>
              </w:rPr>
              <w:fldChar w:fldCharType="end"/>
            </w:r>
          </w:hyperlink>
        </w:p>
        <w:p w14:paraId="475E275A" w14:textId="4C0540FE" w:rsidR="00DF65F3" w:rsidRDefault="00870777">
          <w:pPr>
            <w:pStyle w:val="Spistreci2"/>
            <w:rPr>
              <w:rFonts w:asciiTheme="minorHAnsi" w:eastAsiaTheme="minorEastAsia" w:hAnsiTheme="minorHAnsi" w:cstheme="minorBidi"/>
              <w:sz w:val="22"/>
              <w:lang w:val="en-GB" w:eastAsia="en-GB"/>
            </w:rPr>
          </w:pPr>
          <w:hyperlink w:anchor="_Toc12532528" w:history="1">
            <w:r w:rsidR="00DF65F3" w:rsidRPr="004815D6">
              <w:rPr>
                <w:rStyle w:val="Hipercze"/>
              </w:rPr>
              <w:t>Artykuł 5    Zwolnienia</w:t>
            </w:r>
            <w:r w:rsidR="00DF65F3">
              <w:rPr>
                <w:webHidden/>
              </w:rPr>
              <w:tab/>
            </w:r>
            <w:r w:rsidR="00DF65F3">
              <w:rPr>
                <w:webHidden/>
              </w:rPr>
              <w:fldChar w:fldCharType="begin"/>
            </w:r>
            <w:r w:rsidR="00DF65F3">
              <w:rPr>
                <w:webHidden/>
              </w:rPr>
              <w:instrText xml:space="preserve"> PAGEREF _Toc12532528 \h </w:instrText>
            </w:r>
            <w:r w:rsidR="00DF65F3">
              <w:rPr>
                <w:webHidden/>
              </w:rPr>
            </w:r>
            <w:r w:rsidR="00DF65F3">
              <w:rPr>
                <w:webHidden/>
              </w:rPr>
              <w:fldChar w:fldCharType="separate"/>
            </w:r>
            <w:r w:rsidR="00F755B7">
              <w:rPr>
                <w:webHidden/>
              </w:rPr>
              <w:t>29</w:t>
            </w:r>
            <w:r w:rsidR="00DF65F3">
              <w:rPr>
                <w:webHidden/>
              </w:rPr>
              <w:fldChar w:fldCharType="end"/>
            </w:r>
          </w:hyperlink>
        </w:p>
        <w:p w14:paraId="02187E51" w14:textId="5EE18738" w:rsidR="00DF65F3" w:rsidRDefault="00870777">
          <w:pPr>
            <w:pStyle w:val="Spistreci2"/>
            <w:rPr>
              <w:rFonts w:asciiTheme="minorHAnsi" w:eastAsiaTheme="minorEastAsia" w:hAnsiTheme="minorHAnsi" w:cstheme="minorBidi"/>
              <w:sz w:val="22"/>
              <w:lang w:val="en-GB" w:eastAsia="en-GB"/>
            </w:rPr>
          </w:pPr>
          <w:hyperlink w:anchor="_Toc12532529" w:history="1">
            <w:r w:rsidR="00DF65F3" w:rsidRPr="004815D6">
              <w:rPr>
                <w:rStyle w:val="Hipercze"/>
              </w:rPr>
              <w:t>Artykuł 6    Konwersja certyfikatów</w:t>
            </w:r>
            <w:r w:rsidR="00DF65F3">
              <w:rPr>
                <w:webHidden/>
              </w:rPr>
              <w:tab/>
            </w:r>
            <w:r w:rsidR="00DF65F3">
              <w:rPr>
                <w:webHidden/>
              </w:rPr>
              <w:fldChar w:fldCharType="begin"/>
            </w:r>
            <w:r w:rsidR="00DF65F3">
              <w:rPr>
                <w:webHidden/>
              </w:rPr>
              <w:instrText xml:space="preserve"> PAGEREF _Toc12532529 \h </w:instrText>
            </w:r>
            <w:r w:rsidR="00DF65F3">
              <w:rPr>
                <w:webHidden/>
              </w:rPr>
            </w:r>
            <w:r w:rsidR="00DF65F3">
              <w:rPr>
                <w:webHidden/>
              </w:rPr>
              <w:fldChar w:fldCharType="separate"/>
            </w:r>
            <w:r w:rsidR="00F755B7">
              <w:rPr>
                <w:webHidden/>
              </w:rPr>
              <w:t>30</w:t>
            </w:r>
            <w:r w:rsidR="00DF65F3">
              <w:rPr>
                <w:webHidden/>
              </w:rPr>
              <w:fldChar w:fldCharType="end"/>
            </w:r>
          </w:hyperlink>
        </w:p>
        <w:p w14:paraId="00B29C02" w14:textId="53445B9F" w:rsidR="00DF65F3" w:rsidRDefault="00870777">
          <w:pPr>
            <w:pStyle w:val="Spistreci2"/>
            <w:rPr>
              <w:rFonts w:asciiTheme="minorHAnsi" w:eastAsiaTheme="minorEastAsia" w:hAnsiTheme="minorHAnsi" w:cstheme="minorBidi"/>
              <w:sz w:val="22"/>
              <w:lang w:val="en-GB" w:eastAsia="en-GB"/>
            </w:rPr>
          </w:pPr>
          <w:hyperlink w:anchor="_Toc12532530" w:history="1">
            <w:r w:rsidR="00DF65F3" w:rsidRPr="004815D6">
              <w:rPr>
                <w:rStyle w:val="Hipercze"/>
              </w:rPr>
              <w:t>Artykuł 7    Odstępstwa od specyfikacji certyfikacyjnych</w:t>
            </w:r>
            <w:r w:rsidR="00DF65F3">
              <w:rPr>
                <w:webHidden/>
              </w:rPr>
              <w:tab/>
            </w:r>
            <w:r w:rsidR="00DF65F3">
              <w:rPr>
                <w:webHidden/>
              </w:rPr>
              <w:fldChar w:fldCharType="begin"/>
            </w:r>
            <w:r w:rsidR="00DF65F3">
              <w:rPr>
                <w:webHidden/>
              </w:rPr>
              <w:instrText xml:space="preserve"> PAGEREF _Toc12532530 \h </w:instrText>
            </w:r>
            <w:r w:rsidR="00DF65F3">
              <w:rPr>
                <w:webHidden/>
              </w:rPr>
            </w:r>
            <w:r w:rsidR="00DF65F3">
              <w:rPr>
                <w:webHidden/>
              </w:rPr>
              <w:fldChar w:fldCharType="separate"/>
            </w:r>
            <w:r w:rsidR="00F755B7">
              <w:rPr>
                <w:webHidden/>
              </w:rPr>
              <w:t>30</w:t>
            </w:r>
            <w:r w:rsidR="00DF65F3">
              <w:rPr>
                <w:webHidden/>
              </w:rPr>
              <w:fldChar w:fldCharType="end"/>
            </w:r>
          </w:hyperlink>
        </w:p>
        <w:p w14:paraId="5F179D24" w14:textId="26F9465E" w:rsidR="00DF65F3" w:rsidRDefault="00870777">
          <w:pPr>
            <w:pStyle w:val="Spistreci2"/>
            <w:rPr>
              <w:rFonts w:asciiTheme="minorHAnsi" w:eastAsiaTheme="minorEastAsia" w:hAnsiTheme="minorHAnsi" w:cstheme="minorBidi"/>
              <w:sz w:val="22"/>
              <w:lang w:val="en-GB" w:eastAsia="en-GB"/>
            </w:rPr>
          </w:pPr>
          <w:hyperlink w:anchor="_Toc12532531" w:history="1">
            <w:r w:rsidR="00DF65F3" w:rsidRPr="004815D6">
              <w:rPr>
                <w:rStyle w:val="Hipercze"/>
              </w:rPr>
              <w:t>Artykuł 8    Zabezpieczenie otoczenia lotniska</w:t>
            </w:r>
            <w:r w:rsidR="00DF65F3">
              <w:rPr>
                <w:webHidden/>
              </w:rPr>
              <w:tab/>
            </w:r>
            <w:r w:rsidR="00DF65F3">
              <w:rPr>
                <w:webHidden/>
              </w:rPr>
              <w:fldChar w:fldCharType="begin"/>
            </w:r>
            <w:r w:rsidR="00DF65F3">
              <w:rPr>
                <w:webHidden/>
              </w:rPr>
              <w:instrText xml:space="preserve"> PAGEREF _Toc12532531 \h </w:instrText>
            </w:r>
            <w:r w:rsidR="00DF65F3">
              <w:rPr>
                <w:webHidden/>
              </w:rPr>
            </w:r>
            <w:r w:rsidR="00DF65F3">
              <w:rPr>
                <w:webHidden/>
              </w:rPr>
              <w:fldChar w:fldCharType="separate"/>
            </w:r>
            <w:r w:rsidR="00F755B7">
              <w:rPr>
                <w:webHidden/>
              </w:rPr>
              <w:t>31</w:t>
            </w:r>
            <w:r w:rsidR="00DF65F3">
              <w:rPr>
                <w:webHidden/>
              </w:rPr>
              <w:fldChar w:fldCharType="end"/>
            </w:r>
          </w:hyperlink>
        </w:p>
        <w:p w14:paraId="27F4698E" w14:textId="4DCD87C0" w:rsidR="00DF65F3" w:rsidRDefault="00870777">
          <w:pPr>
            <w:pStyle w:val="Spistreci6"/>
            <w:rPr>
              <w:sz w:val="22"/>
              <w:lang w:val="en-GB" w:eastAsia="en-GB"/>
            </w:rPr>
          </w:pPr>
          <w:hyperlink w:anchor="_Toc12532532" w:history="1">
            <w:r w:rsidR="00DF65F3" w:rsidRPr="004815D6">
              <w:rPr>
                <w:rStyle w:val="Hipercze"/>
              </w:rPr>
              <w:t>GM1 do Artykułu 8     Zabezpieczenie otoczenia lotniska</w:t>
            </w:r>
            <w:r w:rsidR="00DF65F3">
              <w:rPr>
                <w:webHidden/>
              </w:rPr>
              <w:tab/>
            </w:r>
            <w:r w:rsidR="00DF65F3">
              <w:rPr>
                <w:webHidden/>
              </w:rPr>
              <w:fldChar w:fldCharType="begin"/>
            </w:r>
            <w:r w:rsidR="00DF65F3">
              <w:rPr>
                <w:webHidden/>
              </w:rPr>
              <w:instrText xml:space="preserve"> PAGEREF _Toc12532532 \h </w:instrText>
            </w:r>
            <w:r w:rsidR="00DF65F3">
              <w:rPr>
                <w:webHidden/>
              </w:rPr>
            </w:r>
            <w:r w:rsidR="00DF65F3">
              <w:rPr>
                <w:webHidden/>
              </w:rPr>
              <w:fldChar w:fldCharType="separate"/>
            </w:r>
            <w:r w:rsidR="00F755B7">
              <w:rPr>
                <w:webHidden/>
              </w:rPr>
              <w:t>31</w:t>
            </w:r>
            <w:r w:rsidR="00DF65F3">
              <w:rPr>
                <w:webHidden/>
              </w:rPr>
              <w:fldChar w:fldCharType="end"/>
            </w:r>
          </w:hyperlink>
        </w:p>
        <w:p w14:paraId="66824081" w14:textId="33115297" w:rsidR="00DF65F3" w:rsidRDefault="00870777">
          <w:pPr>
            <w:pStyle w:val="Spistreci2"/>
            <w:rPr>
              <w:rFonts w:asciiTheme="minorHAnsi" w:eastAsiaTheme="minorEastAsia" w:hAnsiTheme="minorHAnsi" w:cstheme="minorBidi"/>
              <w:sz w:val="22"/>
              <w:lang w:val="en-GB" w:eastAsia="en-GB"/>
            </w:rPr>
          </w:pPr>
          <w:hyperlink w:anchor="_Toc12532533" w:history="1">
            <w:r w:rsidR="00DF65F3" w:rsidRPr="004815D6">
              <w:rPr>
                <w:rStyle w:val="Hipercze"/>
              </w:rPr>
              <w:t>Artykuł 9    Monitorowanie otoczenia lotniska</w:t>
            </w:r>
            <w:r w:rsidR="00DF65F3">
              <w:rPr>
                <w:webHidden/>
              </w:rPr>
              <w:tab/>
            </w:r>
            <w:r w:rsidR="00DF65F3">
              <w:rPr>
                <w:webHidden/>
              </w:rPr>
              <w:fldChar w:fldCharType="begin"/>
            </w:r>
            <w:r w:rsidR="00DF65F3">
              <w:rPr>
                <w:webHidden/>
              </w:rPr>
              <w:instrText xml:space="preserve"> PAGEREF _Toc12532533 \h </w:instrText>
            </w:r>
            <w:r w:rsidR="00DF65F3">
              <w:rPr>
                <w:webHidden/>
              </w:rPr>
            </w:r>
            <w:r w:rsidR="00DF65F3">
              <w:rPr>
                <w:webHidden/>
              </w:rPr>
              <w:fldChar w:fldCharType="separate"/>
            </w:r>
            <w:r w:rsidR="00F755B7">
              <w:rPr>
                <w:webHidden/>
              </w:rPr>
              <w:t>31</w:t>
            </w:r>
            <w:r w:rsidR="00DF65F3">
              <w:rPr>
                <w:webHidden/>
              </w:rPr>
              <w:fldChar w:fldCharType="end"/>
            </w:r>
          </w:hyperlink>
        </w:p>
        <w:p w14:paraId="2DF17F7D" w14:textId="47B53B97" w:rsidR="00DF65F3" w:rsidRDefault="00870777">
          <w:pPr>
            <w:pStyle w:val="Spistreci2"/>
            <w:rPr>
              <w:rFonts w:asciiTheme="minorHAnsi" w:eastAsiaTheme="minorEastAsia" w:hAnsiTheme="minorHAnsi" w:cstheme="minorBidi"/>
              <w:sz w:val="22"/>
              <w:lang w:val="en-GB" w:eastAsia="en-GB"/>
            </w:rPr>
          </w:pPr>
          <w:hyperlink w:anchor="_Toc12532534" w:history="1">
            <w:r w:rsidR="00DF65F3" w:rsidRPr="004815D6">
              <w:rPr>
                <w:rStyle w:val="Hipercze"/>
              </w:rPr>
              <w:t>Artykuł 10    Zarządzanie zagrożeniami związanymi z dziką zwierzyną</w:t>
            </w:r>
            <w:r w:rsidR="00DF65F3">
              <w:rPr>
                <w:webHidden/>
              </w:rPr>
              <w:tab/>
            </w:r>
            <w:r w:rsidR="00DF65F3">
              <w:rPr>
                <w:webHidden/>
              </w:rPr>
              <w:fldChar w:fldCharType="begin"/>
            </w:r>
            <w:r w:rsidR="00DF65F3">
              <w:rPr>
                <w:webHidden/>
              </w:rPr>
              <w:instrText xml:space="preserve"> PAGEREF _Toc12532534 \h </w:instrText>
            </w:r>
            <w:r w:rsidR="00DF65F3">
              <w:rPr>
                <w:webHidden/>
              </w:rPr>
            </w:r>
            <w:r w:rsidR="00DF65F3">
              <w:rPr>
                <w:webHidden/>
              </w:rPr>
              <w:fldChar w:fldCharType="separate"/>
            </w:r>
            <w:r w:rsidR="00F755B7">
              <w:rPr>
                <w:webHidden/>
              </w:rPr>
              <w:t>32</w:t>
            </w:r>
            <w:r w:rsidR="00DF65F3">
              <w:rPr>
                <w:webHidden/>
              </w:rPr>
              <w:fldChar w:fldCharType="end"/>
            </w:r>
          </w:hyperlink>
        </w:p>
        <w:p w14:paraId="24B4A418" w14:textId="5B79B265" w:rsidR="00DF65F3" w:rsidRDefault="00870777">
          <w:pPr>
            <w:pStyle w:val="Spistreci2"/>
            <w:rPr>
              <w:rFonts w:asciiTheme="minorHAnsi" w:eastAsiaTheme="minorEastAsia" w:hAnsiTheme="minorHAnsi" w:cstheme="minorBidi"/>
              <w:sz w:val="22"/>
              <w:lang w:val="en-GB" w:eastAsia="en-GB"/>
            </w:rPr>
          </w:pPr>
          <w:hyperlink w:anchor="_Toc12532535" w:history="1">
            <w:r w:rsidR="00DF65F3" w:rsidRPr="004815D6">
              <w:rPr>
                <w:rStyle w:val="Hipercze"/>
              </w:rPr>
              <w:t>Artykuł 11    Wejście w życie i stosowanie</w:t>
            </w:r>
            <w:r w:rsidR="00DF65F3">
              <w:rPr>
                <w:webHidden/>
              </w:rPr>
              <w:tab/>
            </w:r>
            <w:r w:rsidR="00DF65F3">
              <w:rPr>
                <w:webHidden/>
              </w:rPr>
              <w:fldChar w:fldCharType="begin"/>
            </w:r>
            <w:r w:rsidR="00DF65F3">
              <w:rPr>
                <w:webHidden/>
              </w:rPr>
              <w:instrText xml:space="preserve"> PAGEREF _Toc12532535 \h </w:instrText>
            </w:r>
            <w:r w:rsidR="00DF65F3">
              <w:rPr>
                <w:webHidden/>
              </w:rPr>
            </w:r>
            <w:r w:rsidR="00DF65F3">
              <w:rPr>
                <w:webHidden/>
              </w:rPr>
              <w:fldChar w:fldCharType="separate"/>
            </w:r>
            <w:r w:rsidR="00F755B7">
              <w:rPr>
                <w:webHidden/>
              </w:rPr>
              <w:t>32</w:t>
            </w:r>
            <w:r w:rsidR="00DF65F3">
              <w:rPr>
                <w:webHidden/>
              </w:rPr>
              <w:fldChar w:fldCharType="end"/>
            </w:r>
          </w:hyperlink>
        </w:p>
        <w:p w14:paraId="410803B6" w14:textId="142EE6A4" w:rsidR="00DF65F3" w:rsidRDefault="00870777">
          <w:pPr>
            <w:pStyle w:val="Spistreci1"/>
            <w:rPr>
              <w:rFonts w:asciiTheme="minorHAnsi" w:eastAsiaTheme="minorEastAsia" w:hAnsiTheme="minorHAnsi"/>
              <w:b w:val="0"/>
              <w:sz w:val="22"/>
              <w:lang w:val="en-GB" w:eastAsia="en-GB"/>
            </w:rPr>
          </w:pPr>
          <w:hyperlink w:anchor="_Toc12532536" w:history="1">
            <w:r w:rsidR="00DF65F3" w:rsidRPr="004815D6">
              <w:rPr>
                <w:rStyle w:val="Hipercze"/>
              </w:rPr>
              <w:t>ZAŁĄCZNIK I — Definicje terminów używanych w Załącznikach II – IV</w:t>
            </w:r>
            <w:r w:rsidR="00DF65F3">
              <w:rPr>
                <w:webHidden/>
              </w:rPr>
              <w:tab/>
            </w:r>
            <w:r w:rsidR="00DF65F3">
              <w:rPr>
                <w:webHidden/>
              </w:rPr>
              <w:fldChar w:fldCharType="begin"/>
            </w:r>
            <w:r w:rsidR="00DF65F3">
              <w:rPr>
                <w:webHidden/>
              </w:rPr>
              <w:instrText xml:space="preserve"> PAGEREF _Toc12532536 \h </w:instrText>
            </w:r>
            <w:r w:rsidR="00DF65F3">
              <w:rPr>
                <w:webHidden/>
              </w:rPr>
            </w:r>
            <w:r w:rsidR="00DF65F3">
              <w:rPr>
                <w:webHidden/>
              </w:rPr>
              <w:fldChar w:fldCharType="separate"/>
            </w:r>
            <w:r w:rsidR="00F755B7">
              <w:rPr>
                <w:webHidden/>
              </w:rPr>
              <w:t>33</w:t>
            </w:r>
            <w:r w:rsidR="00DF65F3">
              <w:rPr>
                <w:webHidden/>
              </w:rPr>
              <w:fldChar w:fldCharType="end"/>
            </w:r>
          </w:hyperlink>
        </w:p>
        <w:p w14:paraId="6B833288" w14:textId="1642438A" w:rsidR="00DF65F3" w:rsidRDefault="00870777">
          <w:pPr>
            <w:pStyle w:val="Spistreci1"/>
            <w:rPr>
              <w:rFonts w:asciiTheme="minorHAnsi" w:eastAsiaTheme="minorEastAsia" w:hAnsiTheme="minorHAnsi"/>
              <w:b w:val="0"/>
              <w:sz w:val="22"/>
              <w:lang w:val="en-GB" w:eastAsia="en-GB"/>
            </w:rPr>
          </w:pPr>
          <w:hyperlink w:anchor="_Toc12532537" w:history="1">
            <w:r w:rsidR="00DF65F3" w:rsidRPr="004815D6">
              <w:rPr>
                <w:rStyle w:val="Hipercze"/>
              </w:rPr>
              <w:t>ZAŁĄCZNIK II — CZĘŚĆ ADR.AR</w:t>
            </w:r>
            <w:r w:rsidR="00DF65F3">
              <w:rPr>
                <w:webHidden/>
              </w:rPr>
              <w:tab/>
            </w:r>
            <w:r w:rsidR="00DF65F3">
              <w:rPr>
                <w:webHidden/>
              </w:rPr>
              <w:fldChar w:fldCharType="begin"/>
            </w:r>
            <w:r w:rsidR="00DF65F3">
              <w:rPr>
                <w:webHidden/>
              </w:rPr>
              <w:instrText xml:space="preserve"> PAGEREF _Toc12532537 \h </w:instrText>
            </w:r>
            <w:r w:rsidR="00DF65F3">
              <w:rPr>
                <w:webHidden/>
              </w:rPr>
            </w:r>
            <w:r w:rsidR="00DF65F3">
              <w:rPr>
                <w:webHidden/>
              </w:rPr>
              <w:fldChar w:fldCharType="separate"/>
            </w:r>
            <w:r w:rsidR="00F755B7">
              <w:rPr>
                <w:webHidden/>
              </w:rPr>
              <w:t>39</w:t>
            </w:r>
            <w:r w:rsidR="00DF65F3">
              <w:rPr>
                <w:webHidden/>
              </w:rPr>
              <w:fldChar w:fldCharType="end"/>
            </w:r>
          </w:hyperlink>
        </w:p>
        <w:p w14:paraId="23368E4F" w14:textId="507DC3EF" w:rsidR="00DF65F3" w:rsidRDefault="00870777">
          <w:pPr>
            <w:pStyle w:val="Spistreci2"/>
            <w:rPr>
              <w:rFonts w:asciiTheme="minorHAnsi" w:eastAsiaTheme="minorEastAsia" w:hAnsiTheme="minorHAnsi" w:cstheme="minorBidi"/>
              <w:sz w:val="22"/>
              <w:lang w:val="en-GB" w:eastAsia="en-GB"/>
            </w:rPr>
          </w:pPr>
          <w:hyperlink w:anchor="_Toc12532538" w:history="1">
            <w:r w:rsidR="00DF65F3" w:rsidRPr="004815D6">
              <w:rPr>
                <w:rStyle w:val="Hipercze"/>
              </w:rPr>
              <w:t>PODCZĘŚĆ A — WYMAGANIA OGÓLNE (ADR.AR.A)</w:t>
            </w:r>
            <w:r w:rsidR="00DF65F3">
              <w:rPr>
                <w:webHidden/>
              </w:rPr>
              <w:tab/>
            </w:r>
            <w:r w:rsidR="00DF65F3">
              <w:rPr>
                <w:webHidden/>
              </w:rPr>
              <w:fldChar w:fldCharType="begin"/>
            </w:r>
            <w:r w:rsidR="00DF65F3">
              <w:rPr>
                <w:webHidden/>
              </w:rPr>
              <w:instrText xml:space="preserve"> PAGEREF _Toc12532538 \h </w:instrText>
            </w:r>
            <w:r w:rsidR="00DF65F3">
              <w:rPr>
                <w:webHidden/>
              </w:rPr>
            </w:r>
            <w:r w:rsidR="00DF65F3">
              <w:rPr>
                <w:webHidden/>
              </w:rPr>
              <w:fldChar w:fldCharType="separate"/>
            </w:r>
            <w:r w:rsidR="00F755B7">
              <w:rPr>
                <w:webHidden/>
              </w:rPr>
              <w:t>39</w:t>
            </w:r>
            <w:r w:rsidR="00DF65F3">
              <w:rPr>
                <w:webHidden/>
              </w:rPr>
              <w:fldChar w:fldCharType="end"/>
            </w:r>
          </w:hyperlink>
        </w:p>
        <w:p w14:paraId="7EFE2CC2" w14:textId="3E40C2DE" w:rsidR="00DF65F3" w:rsidRDefault="00870777">
          <w:pPr>
            <w:pStyle w:val="Spistreci3"/>
            <w:rPr>
              <w:rFonts w:asciiTheme="minorHAnsi" w:eastAsiaTheme="minorEastAsia" w:hAnsiTheme="minorHAnsi" w:cstheme="minorBidi"/>
              <w:sz w:val="22"/>
              <w:lang w:val="en-GB" w:eastAsia="en-GB"/>
            </w:rPr>
          </w:pPr>
          <w:hyperlink w:anchor="_Toc12532539" w:history="1">
            <w:r w:rsidR="00DF65F3" w:rsidRPr="004815D6">
              <w:rPr>
                <w:rStyle w:val="Hipercze"/>
              </w:rPr>
              <w:t>ADR.AR.A.001     Zakres</w:t>
            </w:r>
            <w:r w:rsidR="00DF65F3">
              <w:rPr>
                <w:webHidden/>
              </w:rPr>
              <w:tab/>
            </w:r>
            <w:r w:rsidR="00DF65F3">
              <w:rPr>
                <w:webHidden/>
              </w:rPr>
              <w:fldChar w:fldCharType="begin"/>
            </w:r>
            <w:r w:rsidR="00DF65F3">
              <w:rPr>
                <w:webHidden/>
              </w:rPr>
              <w:instrText xml:space="preserve"> PAGEREF _Toc12532539 \h </w:instrText>
            </w:r>
            <w:r w:rsidR="00DF65F3">
              <w:rPr>
                <w:webHidden/>
              </w:rPr>
            </w:r>
            <w:r w:rsidR="00DF65F3">
              <w:rPr>
                <w:webHidden/>
              </w:rPr>
              <w:fldChar w:fldCharType="separate"/>
            </w:r>
            <w:r w:rsidR="00F755B7">
              <w:rPr>
                <w:webHidden/>
              </w:rPr>
              <w:t>39</w:t>
            </w:r>
            <w:r w:rsidR="00DF65F3">
              <w:rPr>
                <w:webHidden/>
              </w:rPr>
              <w:fldChar w:fldCharType="end"/>
            </w:r>
          </w:hyperlink>
        </w:p>
        <w:p w14:paraId="78081A4A" w14:textId="43860CA4" w:rsidR="00DF65F3" w:rsidRDefault="00870777">
          <w:pPr>
            <w:pStyle w:val="Spistreci3"/>
            <w:rPr>
              <w:rFonts w:asciiTheme="minorHAnsi" w:eastAsiaTheme="minorEastAsia" w:hAnsiTheme="minorHAnsi" w:cstheme="minorBidi"/>
              <w:sz w:val="22"/>
              <w:lang w:val="en-GB" w:eastAsia="en-GB"/>
            </w:rPr>
          </w:pPr>
          <w:hyperlink w:anchor="_Toc12532540" w:history="1">
            <w:r w:rsidR="00DF65F3" w:rsidRPr="004815D6">
              <w:rPr>
                <w:rStyle w:val="Hipercze"/>
              </w:rPr>
              <w:t>ADR.AR.A.005     Właściwy organ</w:t>
            </w:r>
            <w:r w:rsidR="00DF65F3">
              <w:rPr>
                <w:webHidden/>
              </w:rPr>
              <w:tab/>
            </w:r>
            <w:r w:rsidR="00DF65F3">
              <w:rPr>
                <w:webHidden/>
              </w:rPr>
              <w:fldChar w:fldCharType="begin"/>
            </w:r>
            <w:r w:rsidR="00DF65F3">
              <w:rPr>
                <w:webHidden/>
              </w:rPr>
              <w:instrText xml:space="preserve"> PAGEREF _Toc12532540 \h </w:instrText>
            </w:r>
            <w:r w:rsidR="00DF65F3">
              <w:rPr>
                <w:webHidden/>
              </w:rPr>
            </w:r>
            <w:r w:rsidR="00DF65F3">
              <w:rPr>
                <w:webHidden/>
              </w:rPr>
              <w:fldChar w:fldCharType="separate"/>
            </w:r>
            <w:r w:rsidR="00F755B7">
              <w:rPr>
                <w:webHidden/>
              </w:rPr>
              <w:t>39</w:t>
            </w:r>
            <w:r w:rsidR="00DF65F3">
              <w:rPr>
                <w:webHidden/>
              </w:rPr>
              <w:fldChar w:fldCharType="end"/>
            </w:r>
          </w:hyperlink>
        </w:p>
        <w:p w14:paraId="69E586FC" w14:textId="7330145D" w:rsidR="00DF65F3" w:rsidRDefault="00870777">
          <w:pPr>
            <w:pStyle w:val="Spistreci3"/>
            <w:rPr>
              <w:rFonts w:asciiTheme="minorHAnsi" w:eastAsiaTheme="minorEastAsia" w:hAnsiTheme="minorHAnsi" w:cstheme="minorBidi"/>
              <w:sz w:val="22"/>
              <w:lang w:val="en-GB" w:eastAsia="en-GB"/>
            </w:rPr>
          </w:pPr>
          <w:hyperlink w:anchor="_Toc12532541" w:history="1">
            <w:r w:rsidR="00DF65F3" w:rsidRPr="004815D6">
              <w:rPr>
                <w:rStyle w:val="Hipercze"/>
              </w:rPr>
              <w:t>ADR.AR.A.010     Dokumentacja nadzoru</w:t>
            </w:r>
            <w:r w:rsidR="00DF65F3">
              <w:rPr>
                <w:webHidden/>
              </w:rPr>
              <w:tab/>
            </w:r>
            <w:r w:rsidR="00DF65F3">
              <w:rPr>
                <w:webHidden/>
              </w:rPr>
              <w:fldChar w:fldCharType="begin"/>
            </w:r>
            <w:r w:rsidR="00DF65F3">
              <w:rPr>
                <w:webHidden/>
              </w:rPr>
              <w:instrText xml:space="preserve"> PAGEREF _Toc12532541 \h </w:instrText>
            </w:r>
            <w:r w:rsidR="00DF65F3">
              <w:rPr>
                <w:webHidden/>
              </w:rPr>
            </w:r>
            <w:r w:rsidR="00DF65F3">
              <w:rPr>
                <w:webHidden/>
              </w:rPr>
              <w:fldChar w:fldCharType="separate"/>
            </w:r>
            <w:r w:rsidR="00F755B7">
              <w:rPr>
                <w:webHidden/>
              </w:rPr>
              <w:t>39</w:t>
            </w:r>
            <w:r w:rsidR="00DF65F3">
              <w:rPr>
                <w:webHidden/>
              </w:rPr>
              <w:fldChar w:fldCharType="end"/>
            </w:r>
          </w:hyperlink>
        </w:p>
        <w:p w14:paraId="2578665D" w14:textId="4ADA520B" w:rsidR="00DF65F3" w:rsidRDefault="00870777">
          <w:pPr>
            <w:pStyle w:val="Spistreci6"/>
            <w:rPr>
              <w:sz w:val="22"/>
              <w:lang w:val="en-GB" w:eastAsia="en-GB"/>
            </w:rPr>
          </w:pPr>
          <w:hyperlink w:anchor="_Toc12532542" w:history="1">
            <w:r w:rsidR="00DF65F3" w:rsidRPr="004815D6">
              <w:rPr>
                <w:rStyle w:val="Hipercze"/>
              </w:rPr>
              <w:t>GM1 ADR.AR.A.010(b)     Dokumentacja nadzoru</w:t>
            </w:r>
            <w:r w:rsidR="00DF65F3">
              <w:rPr>
                <w:webHidden/>
              </w:rPr>
              <w:tab/>
            </w:r>
            <w:r w:rsidR="00DF65F3">
              <w:rPr>
                <w:webHidden/>
              </w:rPr>
              <w:fldChar w:fldCharType="begin"/>
            </w:r>
            <w:r w:rsidR="00DF65F3">
              <w:rPr>
                <w:webHidden/>
              </w:rPr>
              <w:instrText xml:space="preserve"> PAGEREF _Toc12532542 \h </w:instrText>
            </w:r>
            <w:r w:rsidR="00DF65F3">
              <w:rPr>
                <w:webHidden/>
              </w:rPr>
            </w:r>
            <w:r w:rsidR="00DF65F3">
              <w:rPr>
                <w:webHidden/>
              </w:rPr>
              <w:fldChar w:fldCharType="separate"/>
            </w:r>
            <w:r w:rsidR="00F755B7">
              <w:rPr>
                <w:webHidden/>
              </w:rPr>
              <w:t>39</w:t>
            </w:r>
            <w:r w:rsidR="00DF65F3">
              <w:rPr>
                <w:webHidden/>
              </w:rPr>
              <w:fldChar w:fldCharType="end"/>
            </w:r>
          </w:hyperlink>
        </w:p>
        <w:p w14:paraId="16FBB815" w14:textId="3A9DED20" w:rsidR="00DF65F3" w:rsidRDefault="00870777">
          <w:pPr>
            <w:pStyle w:val="Spistreci3"/>
            <w:rPr>
              <w:rFonts w:asciiTheme="minorHAnsi" w:eastAsiaTheme="minorEastAsia" w:hAnsiTheme="minorHAnsi" w:cstheme="minorBidi"/>
              <w:sz w:val="22"/>
              <w:lang w:val="en-GB" w:eastAsia="en-GB"/>
            </w:rPr>
          </w:pPr>
          <w:hyperlink w:anchor="_Toc12532543" w:history="1">
            <w:r w:rsidR="00DF65F3" w:rsidRPr="004815D6">
              <w:rPr>
                <w:rStyle w:val="Hipercze"/>
              </w:rPr>
              <w:t>ADR.AR.A.015     Sposoby spełnienia wymagań</w:t>
            </w:r>
            <w:r w:rsidR="00DF65F3">
              <w:rPr>
                <w:webHidden/>
              </w:rPr>
              <w:tab/>
            </w:r>
            <w:r w:rsidR="00DF65F3">
              <w:rPr>
                <w:webHidden/>
              </w:rPr>
              <w:fldChar w:fldCharType="begin"/>
            </w:r>
            <w:r w:rsidR="00DF65F3">
              <w:rPr>
                <w:webHidden/>
              </w:rPr>
              <w:instrText xml:space="preserve"> PAGEREF _Toc12532543 \h </w:instrText>
            </w:r>
            <w:r w:rsidR="00DF65F3">
              <w:rPr>
                <w:webHidden/>
              </w:rPr>
            </w:r>
            <w:r w:rsidR="00DF65F3">
              <w:rPr>
                <w:webHidden/>
              </w:rPr>
              <w:fldChar w:fldCharType="separate"/>
            </w:r>
            <w:r w:rsidR="00F755B7">
              <w:rPr>
                <w:webHidden/>
              </w:rPr>
              <w:t>40</w:t>
            </w:r>
            <w:r w:rsidR="00DF65F3">
              <w:rPr>
                <w:webHidden/>
              </w:rPr>
              <w:fldChar w:fldCharType="end"/>
            </w:r>
          </w:hyperlink>
        </w:p>
        <w:p w14:paraId="51D1BD3E" w14:textId="01D7F791" w:rsidR="00DF65F3" w:rsidRDefault="00870777">
          <w:pPr>
            <w:pStyle w:val="Spistreci5"/>
            <w:rPr>
              <w:sz w:val="22"/>
              <w:lang w:val="en-GB" w:eastAsia="en-GB"/>
            </w:rPr>
          </w:pPr>
          <w:hyperlink w:anchor="_Toc12532544" w:history="1">
            <w:r w:rsidR="00DF65F3" w:rsidRPr="004815D6">
              <w:rPr>
                <w:rStyle w:val="Hipercze"/>
              </w:rPr>
              <w:t>AMC1 ADR.AR.A.015(d)(3)     Sposoby spełnienia wymagań</w:t>
            </w:r>
            <w:r w:rsidR="00DF65F3">
              <w:rPr>
                <w:webHidden/>
              </w:rPr>
              <w:tab/>
            </w:r>
            <w:r w:rsidR="00DF65F3">
              <w:rPr>
                <w:webHidden/>
              </w:rPr>
              <w:fldChar w:fldCharType="begin"/>
            </w:r>
            <w:r w:rsidR="00DF65F3">
              <w:rPr>
                <w:webHidden/>
              </w:rPr>
              <w:instrText xml:space="preserve"> PAGEREF _Toc12532544 \h </w:instrText>
            </w:r>
            <w:r w:rsidR="00DF65F3">
              <w:rPr>
                <w:webHidden/>
              </w:rPr>
            </w:r>
            <w:r w:rsidR="00DF65F3">
              <w:rPr>
                <w:webHidden/>
              </w:rPr>
              <w:fldChar w:fldCharType="separate"/>
            </w:r>
            <w:r w:rsidR="00F755B7">
              <w:rPr>
                <w:webHidden/>
              </w:rPr>
              <w:t>41</w:t>
            </w:r>
            <w:r w:rsidR="00DF65F3">
              <w:rPr>
                <w:webHidden/>
              </w:rPr>
              <w:fldChar w:fldCharType="end"/>
            </w:r>
          </w:hyperlink>
        </w:p>
        <w:p w14:paraId="7655D587" w14:textId="41589D62" w:rsidR="00DF65F3" w:rsidRDefault="00870777">
          <w:pPr>
            <w:pStyle w:val="Spistreci6"/>
            <w:rPr>
              <w:sz w:val="22"/>
              <w:lang w:val="en-GB" w:eastAsia="en-GB"/>
            </w:rPr>
          </w:pPr>
          <w:hyperlink w:anchor="_Toc12532545" w:history="1">
            <w:r w:rsidR="00DF65F3" w:rsidRPr="004815D6">
              <w:rPr>
                <w:rStyle w:val="Hipercze"/>
              </w:rPr>
              <w:t>GM1 ADR.AR.A.015     Sposoby spełnienia wymagań</w:t>
            </w:r>
            <w:r w:rsidR="00DF65F3">
              <w:rPr>
                <w:webHidden/>
              </w:rPr>
              <w:tab/>
            </w:r>
            <w:r w:rsidR="00DF65F3">
              <w:rPr>
                <w:webHidden/>
              </w:rPr>
              <w:fldChar w:fldCharType="begin"/>
            </w:r>
            <w:r w:rsidR="00DF65F3">
              <w:rPr>
                <w:webHidden/>
              </w:rPr>
              <w:instrText xml:space="preserve"> PAGEREF _Toc12532545 \h </w:instrText>
            </w:r>
            <w:r w:rsidR="00DF65F3">
              <w:rPr>
                <w:webHidden/>
              </w:rPr>
            </w:r>
            <w:r w:rsidR="00DF65F3">
              <w:rPr>
                <w:webHidden/>
              </w:rPr>
              <w:fldChar w:fldCharType="separate"/>
            </w:r>
            <w:r w:rsidR="00F755B7">
              <w:rPr>
                <w:webHidden/>
              </w:rPr>
              <w:t>41</w:t>
            </w:r>
            <w:r w:rsidR="00DF65F3">
              <w:rPr>
                <w:webHidden/>
              </w:rPr>
              <w:fldChar w:fldCharType="end"/>
            </w:r>
          </w:hyperlink>
        </w:p>
        <w:p w14:paraId="55ED8C5C" w14:textId="686F4508" w:rsidR="00DF65F3" w:rsidRDefault="00870777">
          <w:pPr>
            <w:pStyle w:val="Spistreci3"/>
            <w:rPr>
              <w:rFonts w:asciiTheme="minorHAnsi" w:eastAsiaTheme="minorEastAsia" w:hAnsiTheme="minorHAnsi" w:cstheme="minorBidi"/>
              <w:sz w:val="22"/>
              <w:lang w:val="en-GB" w:eastAsia="en-GB"/>
            </w:rPr>
          </w:pPr>
          <w:hyperlink w:anchor="_Toc12532546" w:history="1">
            <w:r w:rsidR="00DF65F3" w:rsidRPr="004815D6">
              <w:rPr>
                <w:rStyle w:val="Hipercze"/>
              </w:rPr>
              <w:t>ADR.AR.A.025     Przekazywanie informacji Agencji</w:t>
            </w:r>
            <w:r w:rsidR="00DF65F3">
              <w:rPr>
                <w:webHidden/>
              </w:rPr>
              <w:tab/>
            </w:r>
            <w:r w:rsidR="00DF65F3">
              <w:rPr>
                <w:webHidden/>
              </w:rPr>
              <w:fldChar w:fldCharType="begin"/>
            </w:r>
            <w:r w:rsidR="00DF65F3">
              <w:rPr>
                <w:webHidden/>
              </w:rPr>
              <w:instrText xml:space="preserve"> PAGEREF _Toc12532546 \h </w:instrText>
            </w:r>
            <w:r w:rsidR="00DF65F3">
              <w:rPr>
                <w:webHidden/>
              </w:rPr>
            </w:r>
            <w:r w:rsidR="00DF65F3">
              <w:rPr>
                <w:webHidden/>
              </w:rPr>
              <w:fldChar w:fldCharType="separate"/>
            </w:r>
            <w:r w:rsidR="00F755B7">
              <w:rPr>
                <w:webHidden/>
              </w:rPr>
              <w:t>41</w:t>
            </w:r>
            <w:r w:rsidR="00DF65F3">
              <w:rPr>
                <w:webHidden/>
              </w:rPr>
              <w:fldChar w:fldCharType="end"/>
            </w:r>
          </w:hyperlink>
        </w:p>
        <w:p w14:paraId="152E8A0E" w14:textId="26E0E879" w:rsidR="00DF65F3" w:rsidRDefault="00870777">
          <w:pPr>
            <w:pStyle w:val="Spistreci3"/>
            <w:rPr>
              <w:rFonts w:asciiTheme="minorHAnsi" w:eastAsiaTheme="minorEastAsia" w:hAnsiTheme="minorHAnsi" w:cstheme="minorBidi"/>
              <w:sz w:val="22"/>
              <w:lang w:val="en-GB" w:eastAsia="en-GB"/>
            </w:rPr>
          </w:pPr>
          <w:hyperlink w:anchor="_Toc12532547" w:history="1">
            <w:r w:rsidR="00DF65F3" w:rsidRPr="004815D6">
              <w:rPr>
                <w:rStyle w:val="Hipercze"/>
              </w:rPr>
              <w:t>ADR.AR.A.030     Natychmiastowa reakcja na zagrożenie bezpieczeństwa</w:t>
            </w:r>
            <w:r w:rsidR="00DF65F3">
              <w:rPr>
                <w:webHidden/>
              </w:rPr>
              <w:tab/>
            </w:r>
            <w:r w:rsidR="00DF65F3">
              <w:rPr>
                <w:webHidden/>
              </w:rPr>
              <w:fldChar w:fldCharType="begin"/>
            </w:r>
            <w:r w:rsidR="00DF65F3">
              <w:rPr>
                <w:webHidden/>
              </w:rPr>
              <w:instrText xml:space="preserve"> PAGEREF _Toc12532547 \h </w:instrText>
            </w:r>
            <w:r w:rsidR="00DF65F3">
              <w:rPr>
                <w:webHidden/>
              </w:rPr>
            </w:r>
            <w:r w:rsidR="00DF65F3">
              <w:rPr>
                <w:webHidden/>
              </w:rPr>
              <w:fldChar w:fldCharType="separate"/>
            </w:r>
            <w:r w:rsidR="00F755B7">
              <w:rPr>
                <w:webHidden/>
              </w:rPr>
              <w:t>41</w:t>
            </w:r>
            <w:r w:rsidR="00DF65F3">
              <w:rPr>
                <w:webHidden/>
              </w:rPr>
              <w:fldChar w:fldCharType="end"/>
            </w:r>
          </w:hyperlink>
        </w:p>
        <w:p w14:paraId="3572EC64" w14:textId="34FAA3E8" w:rsidR="00DF65F3" w:rsidRDefault="00870777">
          <w:pPr>
            <w:pStyle w:val="Spistreci5"/>
            <w:rPr>
              <w:sz w:val="22"/>
              <w:lang w:val="en-GB" w:eastAsia="en-GB"/>
            </w:rPr>
          </w:pPr>
          <w:hyperlink w:anchor="_Toc12532548" w:history="1">
            <w:r w:rsidR="00DF65F3" w:rsidRPr="004815D6">
              <w:rPr>
                <w:rStyle w:val="Hipercze"/>
              </w:rPr>
              <w:t>AMC1 ADR.AR.A.030(d)     Natychmiastowa reakcja na zagrożenie bezpieczeństwa</w:t>
            </w:r>
            <w:r w:rsidR="00DF65F3">
              <w:rPr>
                <w:webHidden/>
              </w:rPr>
              <w:tab/>
            </w:r>
            <w:r w:rsidR="00DF65F3">
              <w:rPr>
                <w:webHidden/>
              </w:rPr>
              <w:fldChar w:fldCharType="begin"/>
            </w:r>
            <w:r w:rsidR="00DF65F3">
              <w:rPr>
                <w:webHidden/>
              </w:rPr>
              <w:instrText xml:space="preserve"> PAGEREF _Toc12532548 \h </w:instrText>
            </w:r>
            <w:r w:rsidR="00DF65F3">
              <w:rPr>
                <w:webHidden/>
              </w:rPr>
            </w:r>
            <w:r w:rsidR="00DF65F3">
              <w:rPr>
                <w:webHidden/>
              </w:rPr>
              <w:fldChar w:fldCharType="separate"/>
            </w:r>
            <w:r w:rsidR="00F755B7">
              <w:rPr>
                <w:webHidden/>
              </w:rPr>
              <w:t>42</w:t>
            </w:r>
            <w:r w:rsidR="00DF65F3">
              <w:rPr>
                <w:webHidden/>
              </w:rPr>
              <w:fldChar w:fldCharType="end"/>
            </w:r>
          </w:hyperlink>
        </w:p>
        <w:p w14:paraId="14E37FBD" w14:textId="4DCD4E1B" w:rsidR="00DF65F3" w:rsidRDefault="00870777">
          <w:pPr>
            <w:pStyle w:val="Spistreci3"/>
            <w:rPr>
              <w:rFonts w:asciiTheme="minorHAnsi" w:eastAsiaTheme="minorEastAsia" w:hAnsiTheme="minorHAnsi" w:cstheme="minorBidi"/>
              <w:sz w:val="22"/>
              <w:lang w:val="en-GB" w:eastAsia="en-GB"/>
            </w:rPr>
          </w:pPr>
          <w:hyperlink w:anchor="_Toc12532549" w:history="1">
            <w:r w:rsidR="00DF65F3" w:rsidRPr="004815D6">
              <w:rPr>
                <w:rStyle w:val="Hipercze"/>
              </w:rPr>
              <w:t>ADR.AR.A.040     Wytyczne bezpieczeństwa</w:t>
            </w:r>
            <w:r w:rsidR="00DF65F3">
              <w:rPr>
                <w:webHidden/>
              </w:rPr>
              <w:tab/>
            </w:r>
            <w:r w:rsidR="00DF65F3">
              <w:rPr>
                <w:webHidden/>
              </w:rPr>
              <w:fldChar w:fldCharType="begin"/>
            </w:r>
            <w:r w:rsidR="00DF65F3">
              <w:rPr>
                <w:webHidden/>
              </w:rPr>
              <w:instrText xml:space="preserve"> PAGEREF _Toc12532549 \h </w:instrText>
            </w:r>
            <w:r w:rsidR="00DF65F3">
              <w:rPr>
                <w:webHidden/>
              </w:rPr>
            </w:r>
            <w:r w:rsidR="00DF65F3">
              <w:rPr>
                <w:webHidden/>
              </w:rPr>
              <w:fldChar w:fldCharType="separate"/>
            </w:r>
            <w:r w:rsidR="00F755B7">
              <w:rPr>
                <w:webHidden/>
              </w:rPr>
              <w:t>42</w:t>
            </w:r>
            <w:r w:rsidR="00DF65F3">
              <w:rPr>
                <w:webHidden/>
              </w:rPr>
              <w:fldChar w:fldCharType="end"/>
            </w:r>
          </w:hyperlink>
        </w:p>
        <w:p w14:paraId="76A82D1B" w14:textId="4C0C6C9E" w:rsidR="00DF65F3" w:rsidRDefault="00870777">
          <w:pPr>
            <w:pStyle w:val="Spistreci6"/>
            <w:rPr>
              <w:sz w:val="22"/>
              <w:lang w:val="en-GB" w:eastAsia="en-GB"/>
            </w:rPr>
          </w:pPr>
          <w:hyperlink w:anchor="_Toc12532550" w:history="1">
            <w:r w:rsidR="00DF65F3" w:rsidRPr="004815D6">
              <w:rPr>
                <w:rStyle w:val="Hipercze"/>
              </w:rPr>
              <w:t>GM1 ADR.AR.A.040(b)     Wytyczne bezpieczeństwa</w:t>
            </w:r>
            <w:r w:rsidR="00DF65F3">
              <w:rPr>
                <w:webHidden/>
              </w:rPr>
              <w:tab/>
            </w:r>
            <w:r w:rsidR="00DF65F3">
              <w:rPr>
                <w:webHidden/>
              </w:rPr>
              <w:fldChar w:fldCharType="begin"/>
            </w:r>
            <w:r w:rsidR="00DF65F3">
              <w:rPr>
                <w:webHidden/>
              </w:rPr>
              <w:instrText xml:space="preserve"> PAGEREF _Toc12532550 \h </w:instrText>
            </w:r>
            <w:r w:rsidR="00DF65F3">
              <w:rPr>
                <w:webHidden/>
              </w:rPr>
            </w:r>
            <w:r w:rsidR="00DF65F3">
              <w:rPr>
                <w:webHidden/>
              </w:rPr>
              <w:fldChar w:fldCharType="separate"/>
            </w:r>
            <w:r w:rsidR="00F755B7">
              <w:rPr>
                <w:webHidden/>
              </w:rPr>
              <w:t>42</w:t>
            </w:r>
            <w:r w:rsidR="00DF65F3">
              <w:rPr>
                <w:webHidden/>
              </w:rPr>
              <w:fldChar w:fldCharType="end"/>
            </w:r>
          </w:hyperlink>
        </w:p>
        <w:p w14:paraId="2CD74E89" w14:textId="56E7E398" w:rsidR="00DF65F3" w:rsidRDefault="00870777">
          <w:pPr>
            <w:pStyle w:val="Spistreci2"/>
            <w:rPr>
              <w:rFonts w:asciiTheme="minorHAnsi" w:eastAsiaTheme="minorEastAsia" w:hAnsiTheme="minorHAnsi" w:cstheme="minorBidi"/>
              <w:sz w:val="22"/>
              <w:lang w:val="en-GB" w:eastAsia="en-GB"/>
            </w:rPr>
          </w:pPr>
          <w:hyperlink w:anchor="_Toc12532551" w:history="1">
            <w:r w:rsidR="00DF65F3" w:rsidRPr="004815D6">
              <w:rPr>
                <w:rStyle w:val="Hipercze"/>
              </w:rPr>
              <w:t>PODCZĘŚĆ B — ZARZĄDZANIE (ADR.AR.B)</w:t>
            </w:r>
            <w:r w:rsidR="00DF65F3">
              <w:rPr>
                <w:webHidden/>
              </w:rPr>
              <w:tab/>
            </w:r>
            <w:r w:rsidR="00DF65F3">
              <w:rPr>
                <w:webHidden/>
              </w:rPr>
              <w:fldChar w:fldCharType="begin"/>
            </w:r>
            <w:r w:rsidR="00DF65F3">
              <w:rPr>
                <w:webHidden/>
              </w:rPr>
              <w:instrText xml:space="preserve"> PAGEREF _Toc12532551 \h </w:instrText>
            </w:r>
            <w:r w:rsidR="00DF65F3">
              <w:rPr>
                <w:webHidden/>
              </w:rPr>
            </w:r>
            <w:r w:rsidR="00DF65F3">
              <w:rPr>
                <w:webHidden/>
              </w:rPr>
              <w:fldChar w:fldCharType="separate"/>
            </w:r>
            <w:r w:rsidR="00F755B7">
              <w:rPr>
                <w:webHidden/>
              </w:rPr>
              <w:t>44</w:t>
            </w:r>
            <w:r w:rsidR="00DF65F3">
              <w:rPr>
                <w:webHidden/>
              </w:rPr>
              <w:fldChar w:fldCharType="end"/>
            </w:r>
          </w:hyperlink>
        </w:p>
        <w:p w14:paraId="5AEC9CA2" w14:textId="0BF3901C" w:rsidR="00DF65F3" w:rsidRDefault="00870777">
          <w:pPr>
            <w:pStyle w:val="Spistreci3"/>
            <w:rPr>
              <w:rFonts w:asciiTheme="minorHAnsi" w:eastAsiaTheme="minorEastAsia" w:hAnsiTheme="minorHAnsi" w:cstheme="minorBidi"/>
              <w:sz w:val="22"/>
              <w:lang w:val="en-GB" w:eastAsia="en-GB"/>
            </w:rPr>
          </w:pPr>
          <w:hyperlink w:anchor="_Toc12532552" w:history="1">
            <w:r w:rsidR="00DF65F3" w:rsidRPr="004815D6">
              <w:rPr>
                <w:rStyle w:val="Hipercze"/>
              </w:rPr>
              <w:t>ADR.AR.B.005     System zarządzania</w:t>
            </w:r>
            <w:r w:rsidR="00DF65F3">
              <w:rPr>
                <w:webHidden/>
              </w:rPr>
              <w:tab/>
            </w:r>
            <w:r w:rsidR="00DF65F3">
              <w:rPr>
                <w:webHidden/>
              </w:rPr>
              <w:fldChar w:fldCharType="begin"/>
            </w:r>
            <w:r w:rsidR="00DF65F3">
              <w:rPr>
                <w:webHidden/>
              </w:rPr>
              <w:instrText xml:space="preserve"> PAGEREF _Toc12532552 \h </w:instrText>
            </w:r>
            <w:r w:rsidR="00DF65F3">
              <w:rPr>
                <w:webHidden/>
              </w:rPr>
            </w:r>
            <w:r w:rsidR="00DF65F3">
              <w:rPr>
                <w:webHidden/>
              </w:rPr>
              <w:fldChar w:fldCharType="separate"/>
            </w:r>
            <w:r w:rsidR="00F755B7">
              <w:rPr>
                <w:webHidden/>
              </w:rPr>
              <w:t>44</w:t>
            </w:r>
            <w:r w:rsidR="00DF65F3">
              <w:rPr>
                <w:webHidden/>
              </w:rPr>
              <w:fldChar w:fldCharType="end"/>
            </w:r>
          </w:hyperlink>
        </w:p>
        <w:p w14:paraId="4241DBE7" w14:textId="149C80F2" w:rsidR="00DF65F3" w:rsidRDefault="00870777">
          <w:pPr>
            <w:pStyle w:val="Spistreci5"/>
            <w:rPr>
              <w:sz w:val="22"/>
              <w:lang w:val="en-GB" w:eastAsia="en-GB"/>
            </w:rPr>
          </w:pPr>
          <w:hyperlink w:anchor="_Toc12532553" w:history="1">
            <w:r w:rsidR="00DF65F3" w:rsidRPr="004815D6">
              <w:rPr>
                <w:rStyle w:val="Hipercze"/>
              </w:rPr>
              <w:t>AMC1 ADR.AR.B.005(a)     System zarządzania</w:t>
            </w:r>
            <w:r w:rsidR="00DF65F3">
              <w:rPr>
                <w:webHidden/>
              </w:rPr>
              <w:tab/>
            </w:r>
            <w:r w:rsidR="00DF65F3">
              <w:rPr>
                <w:webHidden/>
              </w:rPr>
              <w:fldChar w:fldCharType="begin"/>
            </w:r>
            <w:r w:rsidR="00DF65F3">
              <w:rPr>
                <w:webHidden/>
              </w:rPr>
              <w:instrText xml:space="preserve"> PAGEREF _Toc12532553 \h </w:instrText>
            </w:r>
            <w:r w:rsidR="00DF65F3">
              <w:rPr>
                <w:webHidden/>
              </w:rPr>
            </w:r>
            <w:r w:rsidR="00DF65F3">
              <w:rPr>
                <w:webHidden/>
              </w:rPr>
              <w:fldChar w:fldCharType="separate"/>
            </w:r>
            <w:r w:rsidR="00F755B7">
              <w:rPr>
                <w:webHidden/>
              </w:rPr>
              <w:t>44</w:t>
            </w:r>
            <w:r w:rsidR="00DF65F3">
              <w:rPr>
                <w:webHidden/>
              </w:rPr>
              <w:fldChar w:fldCharType="end"/>
            </w:r>
          </w:hyperlink>
        </w:p>
        <w:p w14:paraId="739DF9B7" w14:textId="7D5421F1" w:rsidR="00DF65F3" w:rsidRDefault="00870777">
          <w:pPr>
            <w:pStyle w:val="Spistreci6"/>
            <w:rPr>
              <w:sz w:val="22"/>
              <w:lang w:val="en-GB" w:eastAsia="en-GB"/>
            </w:rPr>
          </w:pPr>
          <w:hyperlink w:anchor="_Toc12532554" w:history="1">
            <w:r w:rsidR="00DF65F3" w:rsidRPr="004815D6">
              <w:rPr>
                <w:rStyle w:val="Hipercze"/>
              </w:rPr>
              <w:t>GM1 ADR.AR.B.005(a)    System zarządzania</w:t>
            </w:r>
            <w:r w:rsidR="00DF65F3">
              <w:rPr>
                <w:webHidden/>
              </w:rPr>
              <w:tab/>
            </w:r>
            <w:r w:rsidR="00DF65F3">
              <w:rPr>
                <w:webHidden/>
              </w:rPr>
              <w:fldChar w:fldCharType="begin"/>
            </w:r>
            <w:r w:rsidR="00DF65F3">
              <w:rPr>
                <w:webHidden/>
              </w:rPr>
              <w:instrText xml:space="preserve"> PAGEREF _Toc12532554 \h </w:instrText>
            </w:r>
            <w:r w:rsidR="00DF65F3">
              <w:rPr>
                <w:webHidden/>
              </w:rPr>
            </w:r>
            <w:r w:rsidR="00DF65F3">
              <w:rPr>
                <w:webHidden/>
              </w:rPr>
              <w:fldChar w:fldCharType="separate"/>
            </w:r>
            <w:r w:rsidR="00F755B7">
              <w:rPr>
                <w:webHidden/>
              </w:rPr>
              <w:t>45</w:t>
            </w:r>
            <w:r w:rsidR="00DF65F3">
              <w:rPr>
                <w:webHidden/>
              </w:rPr>
              <w:fldChar w:fldCharType="end"/>
            </w:r>
          </w:hyperlink>
        </w:p>
        <w:p w14:paraId="0E81E8A8" w14:textId="661F4DDD" w:rsidR="00DF65F3" w:rsidRDefault="00870777">
          <w:pPr>
            <w:pStyle w:val="Spistreci5"/>
            <w:rPr>
              <w:sz w:val="22"/>
              <w:lang w:val="en-GB" w:eastAsia="en-GB"/>
            </w:rPr>
          </w:pPr>
          <w:hyperlink w:anchor="_Toc12532555" w:history="1">
            <w:r w:rsidR="00DF65F3" w:rsidRPr="004815D6">
              <w:rPr>
                <w:rStyle w:val="Hipercze"/>
              </w:rPr>
              <w:t>AMC1 ADR.AR.B.005(a)(1)     System zarządzania</w:t>
            </w:r>
            <w:r w:rsidR="00DF65F3">
              <w:rPr>
                <w:webHidden/>
              </w:rPr>
              <w:tab/>
            </w:r>
            <w:r w:rsidR="00DF65F3">
              <w:rPr>
                <w:webHidden/>
              </w:rPr>
              <w:fldChar w:fldCharType="begin"/>
            </w:r>
            <w:r w:rsidR="00DF65F3">
              <w:rPr>
                <w:webHidden/>
              </w:rPr>
              <w:instrText xml:space="preserve"> PAGEREF _Toc12532555 \h </w:instrText>
            </w:r>
            <w:r w:rsidR="00DF65F3">
              <w:rPr>
                <w:webHidden/>
              </w:rPr>
            </w:r>
            <w:r w:rsidR="00DF65F3">
              <w:rPr>
                <w:webHidden/>
              </w:rPr>
              <w:fldChar w:fldCharType="separate"/>
            </w:r>
            <w:r w:rsidR="00F755B7">
              <w:rPr>
                <w:webHidden/>
              </w:rPr>
              <w:t>46</w:t>
            </w:r>
            <w:r w:rsidR="00DF65F3">
              <w:rPr>
                <w:webHidden/>
              </w:rPr>
              <w:fldChar w:fldCharType="end"/>
            </w:r>
          </w:hyperlink>
        </w:p>
        <w:p w14:paraId="28C71C38" w14:textId="0B884439" w:rsidR="00DF65F3" w:rsidRDefault="00870777">
          <w:pPr>
            <w:pStyle w:val="Spistreci5"/>
            <w:rPr>
              <w:sz w:val="22"/>
              <w:lang w:val="en-GB" w:eastAsia="en-GB"/>
            </w:rPr>
          </w:pPr>
          <w:hyperlink w:anchor="_Toc12532556" w:history="1">
            <w:r w:rsidR="00DF65F3" w:rsidRPr="004815D6">
              <w:rPr>
                <w:rStyle w:val="Hipercze"/>
              </w:rPr>
              <w:t>AMC2 ADR.AR.B.005(a)(1)     System zarządzania</w:t>
            </w:r>
            <w:r w:rsidR="00DF65F3">
              <w:rPr>
                <w:webHidden/>
              </w:rPr>
              <w:tab/>
            </w:r>
            <w:r w:rsidR="00DF65F3">
              <w:rPr>
                <w:webHidden/>
              </w:rPr>
              <w:fldChar w:fldCharType="begin"/>
            </w:r>
            <w:r w:rsidR="00DF65F3">
              <w:rPr>
                <w:webHidden/>
              </w:rPr>
              <w:instrText xml:space="preserve"> PAGEREF _Toc12532556 \h </w:instrText>
            </w:r>
            <w:r w:rsidR="00DF65F3">
              <w:rPr>
                <w:webHidden/>
              </w:rPr>
            </w:r>
            <w:r w:rsidR="00DF65F3">
              <w:rPr>
                <w:webHidden/>
              </w:rPr>
              <w:fldChar w:fldCharType="separate"/>
            </w:r>
            <w:r w:rsidR="00F755B7">
              <w:rPr>
                <w:webHidden/>
              </w:rPr>
              <w:t>46</w:t>
            </w:r>
            <w:r w:rsidR="00DF65F3">
              <w:rPr>
                <w:webHidden/>
              </w:rPr>
              <w:fldChar w:fldCharType="end"/>
            </w:r>
          </w:hyperlink>
        </w:p>
        <w:p w14:paraId="79926A1B" w14:textId="7CD7AAC0" w:rsidR="00DF65F3" w:rsidRDefault="00870777">
          <w:pPr>
            <w:pStyle w:val="Spistreci5"/>
            <w:rPr>
              <w:sz w:val="22"/>
              <w:lang w:val="en-GB" w:eastAsia="en-GB"/>
            </w:rPr>
          </w:pPr>
          <w:hyperlink w:anchor="_Toc12532557" w:history="1">
            <w:r w:rsidR="00DF65F3" w:rsidRPr="004815D6">
              <w:rPr>
                <w:rStyle w:val="Hipercze"/>
              </w:rPr>
              <w:t>AMC1 ADR.AR.B.005(a)(2)     System zarządzania</w:t>
            </w:r>
            <w:r w:rsidR="00DF65F3">
              <w:rPr>
                <w:webHidden/>
              </w:rPr>
              <w:tab/>
            </w:r>
            <w:r w:rsidR="00DF65F3">
              <w:rPr>
                <w:webHidden/>
              </w:rPr>
              <w:fldChar w:fldCharType="begin"/>
            </w:r>
            <w:r w:rsidR="00DF65F3">
              <w:rPr>
                <w:webHidden/>
              </w:rPr>
              <w:instrText xml:space="preserve"> PAGEREF _Toc12532557 \h </w:instrText>
            </w:r>
            <w:r w:rsidR="00DF65F3">
              <w:rPr>
                <w:webHidden/>
              </w:rPr>
            </w:r>
            <w:r w:rsidR="00DF65F3">
              <w:rPr>
                <w:webHidden/>
              </w:rPr>
              <w:fldChar w:fldCharType="separate"/>
            </w:r>
            <w:r w:rsidR="00F755B7">
              <w:rPr>
                <w:webHidden/>
              </w:rPr>
              <w:t>47</w:t>
            </w:r>
            <w:r w:rsidR="00DF65F3">
              <w:rPr>
                <w:webHidden/>
              </w:rPr>
              <w:fldChar w:fldCharType="end"/>
            </w:r>
          </w:hyperlink>
        </w:p>
        <w:p w14:paraId="00FD7EE1" w14:textId="4246F862" w:rsidR="00DF65F3" w:rsidRDefault="00870777">
          <w:pPr>
            <w:pStyle w:val="Spistreci5"/>
            <w:rPr>
              <w:sz w:val="22"/>
              <w:lang w:val="en-GB" w:eastAsia="en-GB"/>
            </w:rPr>
          </w:pPr>
          <w:hyperlink w:anchor="_Toc12532558" w:history="1">
            <w:r w:rsidR="00DF65F3" w:rsidRPr="004815D6">
              <w:rPr>
                <w:rStyle w:val="Hipercze"/>
              </w:rPr>
              <w:t>AMC2 ADR.AR.B.005(a)(2)     System zarządzania</w:t>
            </w:r>
            <w:r w:rsidR="00DF65F3">
              <w:rPr>
                <w:webHidden/>
              </w:rPr>
              <w:tab/>
            </w:r>
            <w:r w:rsidR="00DF65F3">
              <w:rPr>
                <w:webHidden/>
              </w:rPr>
              <w:fldChar w:fldCharType="begin"/>
            </w:r>
            <w:r w:rsidR="00DF65F3">
              <w:rPr>
                <w:webHidden/>
              </w:rPr>
              <w:instrText xml:space="preserve"> PAGEREF _Toc12532558 \h </w:instrText>
            </w:r>
            <w:r w:rsidR="00DF65F3">
              <w:rPr>
                <w:webHidden/>
              </w:rPr>
            </w:r>
            <w:r w:rsidR="00DF65F3">
              <w:rPr>
                <w:webHidden/>
              </w:rPr>
              <w:fldChar w:fldCharType="separate"/>
            </w:r>
            <w:r w:rsidR="00F755B7">
              <w:rPr>
                <w:webHidden/>
              </w:rPr>
              <w:t>48</w:t>
            </w:r>
            <w:r w:rsidR="00DF65F3">
              <w:rPr>
                <w:webHidden/>
              </w:rPr>
              <w:fldChar w:fldCharType="end"/>
            </w:r>
          </w:hyperlink>
        </w:p>
        <w:p w14:paraId="17F934F7" w14:textId="005F4813" w:rsidR="00DF65F3" w:rsidRDefault="00870777">
          <w:pPr>
            <w:pStyle w:val="Spistreci5"/>
            <w:rPr>
              <w:sz w:val="22"/>
              <w:lang w:val="en-GB" w:eastAsia="en-GB"/>
            </w:rPr>
          </w:pPr>
          <w:hyperlink w:anchor="_Toc12532559" w:history="1">
            <w:r w:rsidR="00DF65F3" w:rsidRPr="004815D6">
              <w:rPr>
                <w:rStyle w:val="Hipercze"/>
              </w:rPr>
              <w:t>AMC3 ADR.AR.B.005(a)(2)     System zarządzania</w:t>
            </w:r>
            <w:r w:rsidR="00DF65F3">
              <w:rPr>
                <w:webHidden/>
              </w:rPr>
              <w:tab/>
            </w:r>
            <w:r w:rsidR="00DF65F3">
              <w:rPr>
                <w:webHidden/>
              </w:rPr>
              <w:fldChar w:fldCharType="begin"/>
            </w:r>
            <w:r w:rsidR="00DF65F3">
              <w:rPr>
                <w:webHidden/>
              </w:rPr>
              <w:instrText xml:space="preserve"> PAGEREF _Toc12532559 \h </w:instrText>
            </w:r>
            <w:r w:rsidR="00DF65F3">
              <w:rPr>
                <w:webHidden/>
              </w:rPr>
            </w:r>
            <w:r w:rsidR="00DF65F3">
              <w:rPr>
                <w:webHidden/>
              </w:rPr>
              <w:fldChar w:fldCharType="separate"/>
            </w:r>
            <w:r w:rsidR="00F755B7">
              <w:rPr>
                <w:webHidden/>
              </w:rPr>
              <w:t>51</w:t>
            </w:r>
            <w:r w:rsidR="00DF65F3">
              <w:rPr>
                <w:webHidden/>
              </w:rPr>
              <w:fldChar w:fldCharType="end"/>
            </w:r>
          </w:hyperlink>
        </w:p>
        <w:p w14:paraId="4E719630" w14:textId="17199A97" w:rsidR="00DF65F3" w:rsidRDefault="00870777">
          <w:pPr>
            <w:pStyle w:val="Spistreci6"/>
            <w:rPr>
              <w:sz w:val="22"/>
              <w:lang w:val="en-GB" w:eastAsia="en-GB"/>
            </w:rPr>
          </w:pPr>
          <w:hyperlink w:anchor="_Toc12532560" w:history="1">
            <w:r w:rsidR="00DF65F3" w:rsidRPr="004815D6">
              <w:rPr>
                <w:rStyle w:val="Hipercze"/>
              </w:rPr>
              <w:t>GM1 ADR.AR.B.005(a)(2)     System zarządzania</w:t>
            </w:r>
            <w:r w:rsidR="00DF65F3">
              <w:rPr>
                <w:webHidden/>
              </w:rPr>
              <w:tab/>
            </w:r>
            <w:r w:rsidR="00DF65F3">
              <w:rPr>
                <w:webHidden/>
              </w:rPr>
              <w:fldChar w:fldCharType="begin"/>
            </w:r>
            <w:r w:rsidR="00DF65F3">
              <w:rPr>
                <w:webHidden/>
              </w:rPr>
              <w:instrText xml:space="preserve"> PAGEREF _Toc12532560 \h </w:instrText>
            </w:r>
            <w:r w:rsidR="00DF65F3">
              <w:rPr>
                <w:webHidden/>
              </w:rPr>
            </w:r>
            <w:r w:rsidR="00DF65F3">
              <w:rPr>
                <w:webHidden/>
              </w:rPr>
              <w:fldChar w:fldCharType="separate"/>
            </w:r>
            <w:r w:rsidR="00F755B7">
              <w:rPr>
                <w:webHidden/>
              </w:rPr>
              <w:t>51</w:t>
            </w:r>
            <w:r w:rsidR="00DF65F3">
              <w:rPr>
                <w:webHidden/>
              </w:rPr>
              <w:fldChar w:fldCharType="end"/>
            </w:r>
          </w:hyperlink>
        </w:p>
        <w:p w14:paraId="769B8617" w14:textId="27386546" w:rsidR="00DF65F3" w:rsidRDefault="00870777">
          <w:pPr>
            <w:pStyle w:val="Spistreci6"/>
            <w:rPr>
              <w:sz w:val="22"/>
              <w:lang w:val="en-GB" w:eastAsia="en-GB"/>
            </w:rPr>
          </w:pPr>
          <w:hyperlink w:anchor="_Toc12532561" w:history="1">
            <w:r w:rsidR="00DF65F3" w:rsidRPr="004815D6">
              <w:rPr>
                <w:rStyle w:val="Hipercze"/>
              </w:rPr>
              <w:t>GM2 ADR.AR.B.005(a)(2)     System zarządzania</w:t>
            </w:r>
            <w:r w:rsidR="00DF65F3">
              <w:rPr>
                <w:webHidden/>
              </w:rPr>
              <w:tab/>
            </w:r>
            <w:r w:rsidR="00DF65F3">
              <w:rPr>
                <w:webHidden/>
              </w:rPr>
              <w:fldChar w:fldCharType="begin"/>
            </w:r>
            <w:r w:rsidR="00DF65F3">
              <w:rPr>
                <w:webHidden/>
              </w:rPr>
              <w:instrText xml:space="preserve"> PAGEREF _Toc12532561 \h </w:instrText>
            </w:r>
            <w:r w:rsidR="00DF65F3">
              <w:rPr>
                <w:webHidden/>
              </w:rPr>
            </w:r>
            <w:r w:rsidR="00DF65F3">
              <w:rPr>
                <w:webHidden/>
              </w:rPr>
              <w:fldChar w:fldCharType="separate"/>
            </w:r>
            <w:r w:rsidR="00F755B7">
              <w:rPr>
                <w:webHidden/>
              </w:rPr>
              <w:t>53</w:t>
            </w:r>
            <w:r w:rsidR="00DF65F3">
              <w:rPr>
                <w:webHidden/>
              </w:rPr>
              <w:fldChar w:fldCharType="end"/>
            </w:r>
          </w:hyperlink>
        </w:p>
        <w:p w14:paraId="47741000" w14:textId="305467C2" w:rsidR="00DF65F3" w:rsidRDefault="00870777">
          <w:pPr>
            <w:pStyle w:val="Spistreci6"/>
            <w:rPr>
              <w:sz w:val="22"/>
              <w:lang w:val="en-GB" w:eastAsia="en-GB"/>
            </w:rPr>
          </w:pPr>
          <w:hyperlink w:anchor="_Toc12532562" w:history="1">
            <w:r w:rsidR="00DF65F3" w:rsidRPr="004815D6">
              <w:rPr>
                <w:rStyle w:val="Hipercze"/>
              </w:rPr>
              <w:t>GM3 ADR.AR.B.005(a)(2)     System zarządzania</w:t>
            </w:r>
            <w:r w:rsidR="00DF65F3">
              <w:rPr>
                <w:webHidden/>
              </w:rPr>
              <w:tab/>
            </w:r>
            <w:r w:rsidR="00DF65F3">
              <w:rPr>
                <w:webHidden/>
              </w:rPr>
              <w:fldChar w:fldCharType="begin"/>
            </w:r>
            <w:r w:rsidR="00DF65F3">
              <w:rPr>
                <w:webHidden/>
              </w:rPr>
              <w:instrText xml:space="preserve"> PAGEREF _Toc12532562 \h </w:instrText>
            </w:r>
            <w:r w:rsidR="00DF65F3">
              <w:rPr>
                <w:webHidden/>
              </w:rPr>
            </w:r>
            <w:r w:rsidR="00DF65F3">
              <w:rPr>
                <w:webHidden/>
              </w:rPr>
              <w:fldChar w:fldCharType="separate"/>
            </w:r>
            <w:r w:rsidR="00F755B7">
              <w:rPr>
                <w:webHidden/>
              </w:rPr>
              <w:t>53</w:t>
            </w:r>
            <w:r w:rsidR="00DF65F3">
              <w:rPr>
                <w:webHidden/>
              </w:rPr>
              <w:fldChar w:fldCharType="end"/>
            </w:r>
          </w:hyperlink>
        </w:p>
        <w:p w14:paraId="4A969C5A" w14:textId="4E4C88DB" w:rsidR="00DF65F3" w:rsidRDefault="00870777">
          <w:pPr>
            <w:pStyle w:val="Spistreci6"/>
            <w:rPr>
              <w:sz w:val="22"/>
              <w:lang w:val="en-GB" w:eastAsia="en-GB"/>
            </w:rPr>
          </w:pPr>
          <w:hyperlink w:anchor="_Toc12532563" w:history="1">
            <w:r w:rsidR="00DF65F3" w:rsidRPr="004815D6">
              <w:rPr>
                <w:rStyle w:val="Hipercze"/>
              </w:rPr>
              <w:t>GM4 ADR.AR.B.005(a)(2)     System zarządzania</w:t>
            </w:r>
            <w:r w:rsidR="00DF65F3">
              <w:rPr>
                <w:webHidden/>
              </w:rPr>
              <w:tab/>
            </w:r>
            <w:r w:rsidR="00DF65F3">
              <w:rPr>
                <w:webHidden/>
              </w:rPr>
              <w:fldChar w:fldCharType="begin"/>
            </w:r>
            <w:r w:rsidR="00DF65F3">
              <w:rPr>
                <w:webHidden/>
              </w:rPr>
              <w:instrText xml:space="preserve"> PAGEREF _Toc12532563 \h </w:instrText>
            </w:r>
            <w:r w:rsidR="00DF65F3">
              <w:rPr>
                <w:webHidden/>
              </w:rPr>
            </w:r>
            <w:r w:rsidR="00DF65F3">
              <w:rPr>
                <w:webHidden/>
              </w:rPr>
              <w:fldChar w:fldCharType="separate"/>
            </w:r>
            <w:r w:rsidR="00F755B7">
              <w:rPr>
                <w:webHidden/>
              </w:rPr>
              <w:t>54</w:t>
            </w:r>
            <w:r w:rsidR="00DF65F3">
              <w:rPr>
                <w:webHidden/>
              </w:rPr>
              <w:fldChar w:fldCharType="end"/>
            </w:r>
          </w:hyperlink>
        </w:p>
        <w:p w14:paraId="0EF9060F" w14:textId="346BC38A" w:rsidR="00DF65F3" w:rsidRDefault="00870777">
          <w:pPr>
            <w:pStyle w:val="Spistreci6"/>
            <w:rPr>
              <w:sz w:val="22"/>
              <w:lang w:val="en-GB" w:eastAsia="en-GB"/>
            </w:rPr>
          </w:pPr>
          <w:hyperlink w:anchor="_Toc12532564" w:history="1">
            <w:r w:rsidR="00DF65F3" w:rsidRPr="004815D6">
              <w:rPr>
                <w:rStyle w:val="Hipercze"/>
              </w:rPr>
              <w:t>GM5 ADR.AR.B.005(a)(2)     System zarządzania</w:t>
            </w:r>
            <w:r w:rsidR="00DF65F3">
              <w:rPr>
                <w:webHidden/>
              </w:rPr>
              <w:tab/>
            </w:r>
            <w:r w:rsidR="00DF65F3">
              <w:rPr>
                <w:webHidden/>
              </w:rPr>
              <w:fldChar w:fldCharType="begin"/>
            </w:r>
            <w:r w:rsidR="00DF65F3">
              <w:rPr>
                <w:webHidden/>
              </w:rPr>
              <w:instrText xml:space="preserve"> PAGEREF _Toc12532564 \h </w:instrText>
            </w:r>
            <w:r w:rsidR="00DF65F3">
              <w:rPr>
                <w:webHidden/>
              </w:rPr>
            </w:r>
            <w:r w:rsidR="00DF65F3">
              <w:rPr>
                <w:webHidden/>
              </w:rPr>
              <w:fldChar w:fldCharType="separate"/>
            </w:r>
            <w:r w:rsidR="00F755B7">
              <w:rPr>
                <w:webHidden/>
              </w:rPr>
              <w:t>54</w:t>
            </w:r>
            <w:r w:rsidR="00DF65F3">
              <w:rPr>
                <w:webHidden/>
              </w:rPr>
              <w:fldChar w:fldCharType="end"/>
            </w:r>
          </w:hyperlink>
        </w:p>
        <w:p w14:paraId="026A2D5E" w14:textId="2211E9C1" w:rsidR="00DF65F3" w:rsidRDefault="00870777">
          <w:pPr>
            <w:pStyle w:val="Spistreci6"/>
            <w:rPr>
              <w:sz w:val="22"/>
              <w:lang w:val="en-GB" w:eastAsia="en-GB"/>
            </w:rPr>
          </w:pPr>
          <w:hyperlink w:anchor="_Toc12532565" w:history="1">
            <w:r w:rsidR="00DF65F3" w:rsidRPr="004815D6">
              <w:rPr>
                <w:rStyle w:val="Hipercze"/>
              </w:rPr>
              <w:t>GM6 ADR.AR.B.005(a)(2)     System zarządzania</w:t>
            </w:r>
            <w:r w:rsidR="00DF65F3">
              <w:rPr>
                <w:webHidden/>
              </w:rPr>
              <w:tab/>
            </w:r>
            <w:r w:rsidR="00DF65F3">
              <w:rPr>
                <w:webHidden/>
              </w:rPr>
              <w:fldChar w:fldCharType="begin"/>
            </w:r>
            <w:r w:rsidR="00DF65F3">
              <w:rPr>
                <w:webHidden/>
              </w:rPr>
              <w:instrText xml:space="preserve"> PAGEREF _Toc12532565 \h </w:instrText>
            </w:r>
            <w:r w:rsidR="00DF65F3">
              <w:rPr>
                <w:webHidden/>
              </w:rPr>
            </w:r>
            <w:r w:rsidR="00DF65F3">
              <w:rPr>
                <w:webHidden/>
              </w:rPr>
              <w:fldChar w:fldCharType="separate"/>
            </w:r>
            <w:r w:rsidR="00F755B7">
              <w:rPr>
                <w:webHidden/>
              </w:rPr>
              <w:t>54</w:t>
            </w:r>
            <w:r w:rsidR="00DF65F3">
              <w:rPr>
                <w:webHidden/>
              </w:rPr>
              <w:fldChar w:fldCharType="end"/>
            </w:r>
          </w:hyperlink>
        </w:p>
        <w:p w14:paraId="3E5B204D" w14:textId="7C3829BE" w:rsidR="00DF65F3" w:rsidRDefault="00870777">
          <w:pPr>
            <w:pStyle w:val="Spistreci6"/>
            <w:rPr>
              <w:sz w:val="22"/>
              <w:lang w:val="en-GB" w:eastAsia="en-GB"/>
            </w:rPr>
          </w:pPr>
          <w:hyperlink w:anchor="_Toc12532566" w:history="1">
            <w:r w:rsidR="00DF65F3" w:rsidRPr="004815D6">
              <w:rPr>
                <w:rStyle w:val="Hipercze"/>
              </w:rPr>
              <w:t>GM1 ADR.AR.B.005(a)(3)     System zarządzania</w:t>
            </w:r>
            <w:r w:rsidR="00DF65F3">
              <w:rPr>
                <w:webHidden/>
              </w:rPr>
              <w:tab/>
            </w:r>
            <w:r w:rsidR="00DF65F3">
              <w:rPr>
                <w:webHidden/>
              </w:rPr>
              <w:fldChar w:fldCharType="begin"/>
            </w:r>
            <w:r w:rsidR="00DF65F3">
              <w:rPr>
                <w:webHidden/>
              </w:rPr>
              <w:instrText xml:space="preserve"> PAGEREF _Toc12532566 \h </w:instrText>
            </w:r>
            <w:r w:rsidR="00DF65F3">
              <w:rPr>
                <w:webHidden/>
              </w:rPr>
            </w:r>
            <w:r w:rsidR="00DF65F3">
              <w:rPr>
                <w:webHidden/>
              </w:rPr>
              <w:fldChar w:fldCharType="separate"/>
            </w:r>
            <w:r w:rsidR="00F755B7">
              <w:rPr>
                <w:webHidden/>
              </w:rPr>
              <w:t>55</w:t>
            </w:r>
            <w:r w:rsidR="00DF65F3">
              <w:rPr>
                <w:webHidden/>
              </w:rPr>
              <w:fldChar w:fldCharType="end"/>
            </w:r>
          </w:hyperlink>
        </w:p>
        <w:p w14:paraId="48F309CF" w14:textId="3399C9ED" w:rsidR="00DF65F3" w:rsidRDefault="00870777">
          <w:pPr>
            <w:pStyle w:val="Spistreci5"/>
            <w:rPr>
              <w:sz w:val="22"/>
              <w:lang w:val="en-GB" w:eastAsia="en-GB"/>
            </w:rPr>
          </w:pPr>
          <w:hyperlink w:anchor="_Toc12532567" w:history="1">
            <w:r w:rsidR="00DF65F3" w:rsidRPr="004815D6">
              <w:rPr>
                <w:rStyle w:val="Hipercze"/>
              </w:rPr>
              <w:t>AMC1 ADR.AR.B.005(a)(4)     System zarządzania</w:t>
            </w:r>
            <w:r w:rsidR="00DF65F3">
              <w:rPr>
                <w:webHidden/>
              </w:rPr>
              <w:tab/>
            </w:r>
            <w:r w:rsidR="00DF65F3">
              <w:rPr>
                <w:webHidden/>
              </w:rPr>
              <w:fldChar w:fldCharType="begin"/>
            </w:r>
            <w:r w:rsidR="00DF65F3">
              <w:rPr>
                <w:webHidden/>
              </w:rPr>
              <w:instrText xml:space="preserve"> PAGEREF _Toc12532567 \h </w:instrText>
            </w:r>
            <w:r w:rsidR="00DF65F3">
              <w:rPr>
                <w:webHidden/>
              </w:rPr>
            </w:r>
            <w:r w:rsidR="00DF65F3">
              <w:rPr>
                <w:webHidden/>
              </w:rPr>
              <w:fldChar w:fldCharType="separate"/>
            </w:r>
            <w:r w:rsidR="00F755B7">
              <w:rPr>
                <w:webHidden/>
              </w:rPr>
              <w:t>55</w:t>
            </w:r>
            <w:r w:rsidR="00DF65F3">
              <w:rPr>
                <w:webHidden/>
              </w:rPr>
              <w:fldChar w:fldCharType="end"/>
            </w:r>
          </w:hyperlink>
        </w:p>
        <w:p w14:paraId="2ECC20E5" w14:textId="2BCE98B8" w:rsidR="00DF65F3" w:rsidRDefault="00870777">
          <w:pPr>
            <w:pStyle w:val="Spistreci5"/>
            <w:rPr>
              <w:sz w:val="22"/>
              <w:lang w:val="en-GB" w:eastAsia="en-GB"/>
            </w:rPr>
          </w:pPr>
          <w:hyperlink w:anchor="_Toc12532568" w:history="1">
            <w:r w:rsidR="00DF65F3" w:rsidRPr="004815D6">
              <w:rPr>
                <w:rStyle w:val="Hipercze"/>
              </w:rPr>
              <w:t>AMC1 ADR.AR.B.005(c)     System zarządzania</w:t>
            </w:r>
            <w:r w:rsidR="00DF65F3">
              <w:rPr>
                <w:webHidden/>
              </w:rPr>
              <w:tab/>
            </w:r>
            <w:r w:rsidR="00DF65F3">
              <w:rPr>
                <w:webHidden/>
              </w:rPr>
              <w:fldChar w:fldCharType="begin"/>
            </w:r>
            <w:r w:rsidR="00DF65F3">
              <w:rPr>
                <w:webHidden/>
              </w:rPr>
              <w:instrText xml:space="preserve"> PAGEREF _Toc12532568 \h </w:instrText>
            </w:r>
            <w:r w:rsidR="00DF65F3">
              <w:rPr>
                <w:webHidden/>
              </w:rPr>
            </w:r>
            <w:r w:rsidR="00DF65F3">
              <w:rPr>
                <w:webHidden/>
              </w:rPr>
              <w:fldChar w:fldCharType="separate"/>
            </w:r>
            <w:r w:rsidR="00F755B7">
              <w:rPr>
                <w:webHidden/>
              </w:rPr>
              <w:t>56</w:t>
            </w:r>
            <w:r w:rsidR="00DF65F3">
              <w:rPr>
                <w:webHidden/>
              </w:rPr>
              <w:fldChar w:fldCharType="end"/>
            </w:r>
          </w:hyperlink>
        </w:p>
        <w:p w14:paraId="6816AABC" w14:textId="475DB805" w:rsidR="00DF65F3" w:rsidRDefault="00870777">
          <w:pPr>
            <w:pStyle w:val="Spistreci3"/>
            <w:rPr>
              <w:rFonts w:asciiTheme="minorHAnsi" w:eastAsiaTheme="minorEastAsia" w:hAnsiTheme="minorHAnsi" w:cstheme="minorBidi"/>
              <w:sz w:val="22"/>
              <w:lang w:val="en-GB" w:eastAsia="en-GB"/>
            </w:rPr>
          </w:pPr>
          <w:hyperlink w:anchor="_Toc12532569" w:history="1">
            <w:r w:rsidR="00DF65F3" w:rsidRPr="004815D6">
              <w:rPr>
                <w:rStyle w:val="Hipercze"/>
              </w:rPr>
              <w:t>ADR.AR.B.010     Przydzielanie zadań kwalifikowanym jednostkom</w:t>
            </w:r>
            <w:r w:rsidR="00DF65F3">
              <w:rPr>
                <w:webHidden/>
              </w:rPr>
              <w:tab/>
            </w:r>
            <w:r w:rsidR="00DF65F3">
              <w:rPr>
                <w:webHidden/>
              </w:rPr>
              <w:fldChar w:fldCharType="begin"/>
            </w:r>
            <w:r w:rsidR="00DF65F3">
              <w:rPr>
                <w:webHidden/>
              </w:rPr>
              <w:instrText xml:space="preserve"> PAGEREF _Toc12532569 \h </w:instrText>
            </w:r>
            <w:r w:rsidR="00DF65F3">
              <w:rPr>
                <w:webHidden/>
              </w:rPr>
            </w:r>
            <w:r w:rsidR="00DF65F3">
              <w:rPr>
                <w:webHidden/>
              </w:rPr>
              <w:fldChar w:fldCharType="separate"/>
            </w:r>
            <w:r w:rsidR="00F755B7">
              <w:rPr>
                <w:webHidden/>
              </w:rPr>
              <w:t>56</w:t>
            </w:r>
            <w:r w:rsidR="00DF65F3">
              <w:rPr>
                <w:webHidden/>
              </w:rPr>
              <w:fldChar w:fldCharType="end"/>
            </w:r>
          </w:hyperlink>
        </w:p>
        <w:p w14:paraId="48A0DB51" w14:textId="7611A200" w:rsidR="00DF65F3" w:rsidRDefault="00870777">
          <w:pPr>
            <w:pStyle w:val="Spistreci5"/>
            <w:rPr>
              <w:sz w:val="22"/>
              <w:lang w:val="en-GB" w:eastAsia="en-GB"/>
            </w:rPr>
          </w:pPr>
          <w:hyperlink w:anchor="_Toc12532570" w:history="1">
            <w:r w:rsidR="00DF65F3" w:rsidRPr="004815D6">
              <w:rPr>
                <w:rStyle w:val="Hipercze"/>
              </w:rPr>
              <w:t>AMC1 ADR.AR.B.0010(a)(1)     Przydzielanie zadań kwalifikowanym jednostkom</w:t>
            </w:r>
            <w:r w:rsidR="00DF65F3">
              <w:rPr>
                <w:webHidden/>
              </w:rPr>
              <w:tab/>
            </w:r>
            <w:r w:rsidR="00DF65F3">
              <w:rPr>
                <w:webHidden/>
              </w:rPr>
              <w:fldChar w:fldCharType="begin"/>
            </w:r>
            <w:r w:rsidR="00DF65F3">
              <w:rPr>
                <w:webHidden/>
              </w:rPr>
              <w:instrText xml:space="preserve"> PAGEREF _Toc12532570 \h </w:instrText>
            </w:r>
            <w:r w:rsidR="00DF65F3">
              <w:rPr>
                <w:webHidden/>
              </w:rPr>
            </w:r>
            <w:r w:rsidR="00DF65F3">
              <w:rPr>
                <w:webHidden/>
              </w:rPr>
              <w:fldChar w:fldCharType="separate"/>
            </w:r>
            <w:r w:rsidR="00F755B7">
              <w:rPr>
                <w:webHidden/>
              </w:rPr>
              <w:t>56</w:t>
            </w:r>
            <w:r w:rsidR="00DF65F3">
              <w:rPr>
                <w:webHidden/>
              </w:rPr>
              <w:fldChar w:fldCharType="end"/>
            </w:r>
          </w:hyperlink>
        </w:p>
        <w:p w14:paraId="5E0A9747" w14:textId="72DE1308" w:rsidR="00DF65F3" w:rsidRDefault="00870777">
          <w:pPr>
            <w:pStyle w:val="Spistreci6"/>
            <w:rPr>
              <w:sz w:val="22"/>
              <w:lang w:val="en-GB" w:eastAsia="en-GB"/>
            </w:rPr>
          </w:pPr>
          <w:hyperlink w:anchor="_Toc12532571" w:history="1">
            <w:r w:rsidR="00DF65F3" w:rsidRPr="004815D6">
              <w:rPr>
                <w:rStyle w:val="Hipercze"/>
              </w:rPr>
              <w:t>GM1 ADR.AR.B.010     Przydzielanie zadań kwalifikowanym jednostkom</w:t>
            </w:r>
            <w:r w:rsidR="00DF65F3">
              <w:rPr>
                <w:webHidden/>
              </w:rPr>
              <w:tab/>
            </w:r>
            <w:r w:rsidR="00DF65F3">
              <w:rPr>
                <w:webHidden/>
              </w:rPr>
              <w:fldChar w:fldCharType="begin"/>
            </w:r>
            <w:r w:rsidR="00DF65F3">
              <w:rPr>
                <w:webHidden/>
              </w:rPr>
              <w:instrText xml:space="preserve"> PAGEREF _Toc12532571 \h </w:instrText>
            </w:r>
            <w:r w:rsidR="00DF65F3">
              <w:rPr>
                <w:webHidden/>
              </w:rPr>
            </w:r>
            <w:r w:rsidR="00DF65F3">
              <w:rPr>
                <w:webHidden/>
              </w:rPr>
              <w:fldChar w:fldCharType="separate"/>
            </w:r>
            <w:r w:rsidR="00F755B7">
              <w:rPr>
                <w:webHidden/>
              </w:rPr>
              <w:t>57</w:t>
            </w:r>
            <w:r w:rsidR="00DF65F3">
              <w:rPr>
                <w:webHidden/>
              </w:rPr>
              <w:fldChar w:fldCharType="end"/>
            </w:r>
          </w:hyperlink>
        </w:p>
        <w:p w14:paraId="575A6B5D" w14:textId="5B29E19C" w:rsidR="00DF65F3" w:rsidRDefault="00870777">
          <w:pPr>
            <w:pStyle w:val="Spistreci3"/>
            <w:rPr>
              <w:rFonts w:asciiTheme="minorHAnsi" w:eastAsiaTheme="minorEastAsia" w:hAnsiTheme="minorHAnsi" w:cstheme="minorBidi"/>
              <w:sz w:val="22"/>
              <w:lang w:val="en-GB" w:eastAsia="en-GB"/>
            </w:rPr>
          </w:pPr>
          <w:hyperlink w:anchor="_Toc12532572" w:history="1">
            <w:r w:rsidR="00DF65F3" w:rsidRPr="004815D6">
              <w:rPr>
                <w:rStyle w:val="Hipercze"/>
              </w:rPr>
              <w:t>ADR.AR.B.015     Zmiany w systemie zarządzania</w:t>
            </w:r>
            <w:r w:rsidR="00DF65F3">
              <w:rPr>
                <w:webHidden/>
              </w:rPr>
              <w:tab/>
            </w:r>
            <w:r w:rsidR="00DF65F3">
              <w:rPr>
                <w:webHidden/>
              </w:rPr>
              <w:fldChar w:fldCharType="begin"/>
            </w:r>
            <w:r w:rsidR="00DF65F3">
              <w:rPr>
                <w:webHidden/>
              </w:rPr>
              <w:instrText xml:space="preserve"> PAGEREF _Toc12532572 \h </w:instrText>
            </w:r>
            <w:r w:rsidR="00DF65F3">
              <w:rPr>
                <w:webHidden/>
              </w:rPr>
            </w:r>
            <w:r w:rsidR="00DF65F3">
              <w:rPr>
                <w:webHidden/>
              </w:rPr>
              <w:fldChar w:fldCharType="separate"/>
            </w:r>
            <w:r w:rsidR="00F755B7">
              <w:rPr>
                <w:webHidden/>
              </w:rPr>
              <w:t>57</w:t>
            </w:r>
            <w:r w:rsidR="00DF65F3">
              <w:rPr>
                <w:webHidden/>
              </w:rPr>
              <w:fldChar w:fldCharType="end"/>
            </w:r>
          </w:hyperlink>
        </w:p>
        <w:p w14:paraId="42D5B031" w14:textId="3A481BB2" w:rsidR="00DF65F3" w:rsidRDefault="00870777">
          <w:pPr>
            <w:pStyle w:val="Spistreci3"/>
            <w:rPr>
              <w:rFonts w:asciiTheme="minorHAnsi" w:eastAsiaTheme="minorEastAsia" w:hAnsiTheme="minorHAnsi" w:cstheme="minorBidi"/>
              <w:sz w:val="22"/>
              <w:lang w:val="en-GB" w:eastAsia="en-GB"/>
            </w:rPr>
          </w:pPr>
          <w:hyperlink w:anchor="_Toc12532573" w:history="1">
            <w:r w:rsidR="00DF65F3" w:rsidRPr="004815D6">
              <w:rPr>
                <w:rStyle w:val="Hipercze"/>
              </w:rPr>
              <w:t>ADR.AR.B.020     Prowadzenie rejestrów</w:t>
            </w:r>
            <w:r w:rsidR="00DF65F3">
              <w:rPr>
                <w:webHidden/>
              </w:rPr>
              <w:tab/>
            </w:r>
            <w:r w:rsidR="00DF65F3">
              <w:rPr>
                <w:webHidden/>
              </w:rPr>
              <w:fldChar w:fldCharType="begin"/>
            </w:r>
            <w:r w:rsidR="00DF65F3">
              <w:rPr>
                <w:webHidden/>
              </w:rPr>
              <w:instrText xml:space="preserve"> PAGEREF _Toc12532573 \h </w:instrText>
            </w:r>
            <w:r w:rsidR="00DF65F3">
              <w:rPr>
                <w:webHidden/>
              </w:rPr>
            </w:r>
            <w:r w:rsidR="00DF65F3">
              <w:rPr>
                <w:webHidden/>
              </w:rPr>
              <w:fldChar w:fldCharType="separate"/>
            </w:r>
            <w:r w:rsidR="00F755B7">
              <w:rPr>
                <w:webHidden/>
              </w:rPr>
              <w:t>57</w:t>
            </w:r>
            <w:r w:rsidR="00DF65F3">
              <w:rPr>
                <w:webHidden/>
              </w:rPr>
              <w:fldChar w:fldCharType="end"/>
            </w:r>
          </w:hyperlink>
        </w:p>
        <w:p w14:paraId="1AD526BD" w14:textId="79DAC84F" w:rsidR="00DF65F3" w:rsidRDefault="00870777">
          <w:pPr>
            <w:pStyle w:val="Spistreci5"/>
            <w:rPr>
              <w:sz w:val="22"/>
              <w:lang w:val="en-GB" w:eastAsia="en-GB"/>
            </w:rPr>
          </w:pPr>
          <w:hyperlink w:anchor="_Toc12532574" w:history="1">
            <w:r w:rsidR="00DF65F3" w:rsidRPr="004815D6">
              <w:rPr>
                <w:rStyle w:val="Hipercze"/>
              </w:rPr>
              <w:t>AMC1 ADR.AR.B.020(a)     Prowadzenie rejestrów</w:t>
            </w:r>
            <w:r w:rsidR="00DF65F3">
              <w:rPr>
                <w:webHidden/>
              </w:rPr>
              <w:tab/>
            </w:r>
            <w:r w:rsidR="00DF65F3">
              <w:rPr>
                <w:webHidden/>
              </w:rPr>
              <w:fldChar w:fldCharType="begin"/>
            </w:r>
            <w:r w:rsidR="00DF65F3">
              <w:rPr>
                <w:webHidden/>
              </w:rPr>
              <w:instrText xml:space="preserve"> PAGEREF _Toc12532574 \h </w:instrText>
            </w:r>
            <w:r w:rsidR="00DF65F3">
              <w:rPr>
                <w:webHidden/>
              </w:rPr>
            </w:r>
            <w:r w:rsidR="00DF65F3">
              <w:rPr>
                <w:webHidden/>
              </w:rPr>
              <w:fldChar w:fldCharType="separate"/>
            </w:r>
            <w:r w:rsidR="00F755B7">
              <w:rPr>
                <w:webHidden/>
              </w:rPr>
              <w:t>58</w:t>
            </w:r>
            <w:r w:rsidR="00DF65F3">
              <w:rPr>
                <w:webHidden/>
              </w:rPr>
              <w:fldChar w:fldCharType="end"/>
            </w:r>
          </w:hyperlink>
        </w:p>
        <w:p w14:paraId="7E3BD974" w14:textId="0B4BCDFB" w:rsidR="00DF65F3" w:rsidRDefault="00870777">
          <w:pPr>
            <w:pStyle w:val="Spistreci5"/>
            <w:rPr>
              <w:sz w:val="22"/>
              <w:lang w:val="en-GB" w:eastAsia="en-GB"/>
            </w:rPr>
          </w:pPr>
          <w:hyperlink w:anchor="_Toc12532575" w:history="1">
            <w:r w:rsidR="00DF65F3" w:rsidRPr="004815D6">
              <w:rPr>
                <w:rStyle w:val="Hipercze"/>
              </w:rPr>
              <w:t>AMC1 ADR.AR.B.020(a)(1);(a)(2);(a)(3)     Prowadzenie rejestrów</w:t>
            </w:r>
            <w:r w:rsidR="00DF65F3">
              <w:rPr>
                <w:webHidden/>
              </w:rPr>
              <w:tab/>
            </w:r>
            <w:r w:rsidR="00DF65F3">
              <w:rPr>
                <w:webHidden/>
              </w:rPr>
              <w:fldChar w:fldCharType="begin"/>
            </w:r>
            <w:r w:rsidR="00DF65F3">
              <w:rPr>
                <w:webHidden/>
              </w:rPr>
              <w:instrText xml:space="preserve"> PAGEREF _Toc12532575 \h </w:instrText>
            </w:r>
            <w:r w:rsidR="00DF65F3">
              <w:rPr>
                <w:webHidden/>
              </w:rPr>
            </w:r>
            <w:r w:rsidR="00DF65F3">
              <w:rPr>
                <w:webHidden/>
              </w:rPr>
              <w:fldChar w:fldCharType="separate"/>
            </w:r>
            <w:r w:rsidR="00F755B7">
              <w:rPr>
                <w:webHidden/>
              </w:rPr>
              <w:t>59</w:t>
            </w:r>
            <w:r w:rsidR="00DF65F3">
              <w:rPr>
                <w:webHidden/>
              </w:rPr>
              <w:fldChar w:fldCharType="end"/>
            </w:r>
          </w:hyperlink>
        </w:p>
        <w:p w14:paraId="59122B34" w14:textId="3E43B1E2" w:rsidR="00DF65F3" w:rsidRDefault="00870777">
          <w:pPr>
            <w:pStyle w:val="Spistreci5"/>
            <w:rPr>
              <w:sz w:val="22"/>
              <w:lang w:val="en-GB" w:eastAsia="en-GB"/>
            </w:rPr>
          </w:pPr>
          <w:hyperlink w:anchor="_Toc12532576" w:history="1">
            <w:r w:rsidR="00DF65F3" w:rsidRPr="004815D6">
              <w:rPr>
                <w:rStyle w:val="Hipercze"/>
              </w:rPr>
              <w:t>AMC1 ADR.AR.B.020(a)(2)     Prowadzenie rejestrów</w:t>
            </w:r>
            <w:r w:rsidR="00DF65F3">
              <w:rPr>
                <w:webHidden/>
              </w:rPr>
              <w:tab/>
            </w:r>
            <w:r w:rsidR="00DF65F3">
              <w:rPr>
                <w:webHidden/>
              </w:rPr>
              <w:fldChar w:fldCharType="begin"/>
            </w:r>
            <w:r w:rsidR="00DF65F3">
              <w:rPr>
                <w:webHidden/>
              </w:rPr>
              <w:instrText xml:space="preserve"> PAGEREF _Toc12532576 \h </w:instrText>
            </w:r>
            <w:r w:rsidR="00DF65F3">
              <w:rPr>
                <w:webHidden/>
              </w:rPr>
            </w:r>
            <w:r w:rsidR="00DF65F3">
              <w:rPr>
                <w:webHidden/>
              </w:rPr>
              <w:fldChar w:fldCharType="separate"/>
            </w:r>
            <w:r w:rsidR="00F755B7">
              <w:rPr>
                <w:webHidden/>
              </w:rPr>
              <w:t>59</w:t>
            </w:r>
            <w:r w:rsidR="00DF65F3">
              <w:rPr>
                <w:webHidden/>
              </w:rPr>
              <w:fldChar w:fldCharType="end"/>
            </w:r>
          </w:hyperlink>
        </w:p>
        <w:p w14:paraId="291051AB" w14:textId="5596A9B0" w:rsidR="00DF65F3" w:rsidRDefault="00870777">
          <w:pPr>
            <w:pStyle w:val="Spistreci5"/>
            <w:rPr>
              <w:sz w:val="22"/>
              <w:lang w:val="en-GB" w:eastAsia="en-GB"/>
            </w:rPr>
          </w:pPr>
          <w:hyperlink w:anchor="_Toc12532577" w:history="1">
            <w:r w:rsidR="00DF65F3" w:rsidRPr="004815D6">
              <w:rPr>
                <w:rStyle w:val="Hipercze"/>
              </w:rPr>
              <w:t>AMC1 ADR.AR.B.020(a)(4);(a)(5)     Prowadzenie rejestrów</w:t>
            </w:r>
            <w:r w:rsidR="00DF65F3">
              <w:rPr>
                <w:webHidden/>
              </w:rPr>
              <w:tab/>
            </w:r>
            <w:r w:rsidR="00DF65F3">
              <w:rPr>
                <w:webHidden/>
              </w:rPr>
              <w:fldChar w:fldCharType="begin"/>
            </w:r>
            <w:r w:rsidR="00DF65F3">
              <w:rPr>
                <w:webHidden/>
              </w:rPr>
              <w:instrText xml:space="preserve"> PAGEREF _Toc12532577 \h </w:instrText>
            </w:r>
            <w:r w:rsidR="00DF65F3">
              <w:rPr>
                <w:webHidden/>
              </w:rPr>
            </w:r>
            <w:r w:rsidR="00DF65F3">
              <w:rPr>
                <w:webHidden/>
              </w:rPr>
              <w:fldChar w:fldCharType="separate"/>
            </w:r>
            <w:r w:rsidR="00F755B7">
              <w:rPr>
                <w:webHidden/>
              </w:rPr>
              <w:t>59</w:t>
            </w:r>
            <w:r w:rsidR="00DF65F3">
              <w:rPr>
                <w:webHidden/>
              </w:rPr>
              <w:fldChar w:fldCharType="end"/>
            </w:r>
          </w:hyperlink>
        </w:p>
        <w:p w14:paraId="7219D68C" w14:textId="5200F22B" w:rsidR="00DF65F3" w:rsidRDefault="00870777">
          <w:pPr>
            <w:pStyle w:val="Spistreci5"/>
            <w:rPr>
              <w:sz w:val="22"/>
              <w:lang w:val="en-GB" w:eastAsia="en-GB"/>
            </w:rPr>
          </w:pPr>
          <w:hyperlink w:anchor="_Toc12532578" w:history="1">
            <w:r w:rsidR="00DF65F3" w:rsidRPr="004815D6">
              <w:rPr>
                <w:rStyle w:val="Hipercze"/>
              </w:rPr>
              <w:t>AMC1 ADR.AR.B.020(c)     Prowadzenie rejestrów</w:t>
            </w:r>
            <w:r w:rsidR="00DF65F3">
              <w:rPr>
                <w:webHidden/>
              </w:rPr>
              <w:tab/>
            </w:r>
            <w:r w:rsidR="00DF65F3">
              <w:rPr>
                <w:webHidden/>
              </w:rPr>
              <w:fldChar w:fldCharType="begin"/>
            </w:r>
            <w:r w:rsidR="00DF65F3">
              <w:rPr>
                <w:webHidden/>
              </w:rPr>
              <w:instrText xml:space="preserve"> PAGEREF _Toc12532578 \h </w:instrText>
            </w:r>
            <w:r w:rsidR="00DF65F3">
              <w:rPr>
                <w:webHidden/>
              </w:rPr>
            </w:r>
            <w:r w:rsidR="00DF65F3">
              <w:rPr>
                <w:webHidden/>
              </w:rPr>
              <w:fldChar w:fldCharType="separate"/>
            </w:r>
            <w:r w:rsidR="00F755B7">
              <w:rPr>
                <w:webHidden/>
              </w:rPr>
              <w:t>60</w:t>
            </w:r>
            <w:r w:rsidR="00DF65F3">
              <w:rPr>
                <w:webHidden/>
              </w:rPr>
              <w:fldChar w:fldCharType="end"/>
            </w:r>
          </w:hyperlink>
        </w:p>
        <w:p w14:paraId="6448B95C" w14:textId="72F272CB" w:rsidR="00DF65F3" w:rsidRDefault="00870777">
          <w:pPr>
            <w:pStyle w:val="Spistreci6"/>
            <w:rPr>
              <w:sz w:val="22"/>
              <w:lang w:val="en-GB" w:eastAsia="en-GB"/>
            </w:rPr>
          </w:pPr>
          <w:hyperlink w:anchor="_Toc12532579" w:history="1">
            <w:r w:rsidR="00DF65F3" w:rsidRPr="004815D6">
              <w:rPr>
                <w:rStyle w:val="Hipercze"/>
              </w:rPr>
              <w:t>GM1 ADR.AR.B.020     Prowadzenie rejestrów</w:t>
            </w:r>
            <w:r w:rsidR="00DF65F3">
              <w:rPr>
                <w:webHidden/>
              </w:rPr>
              <w:tab/>
            </w:r>
            <w:r w:rsidR="00DF65F3">
              <w:rPr>
                <w:webHidden/>
              </w:rPr>
              <w:fldChar w:fldCharType="begin"/>
            </w:r>
            <w:r w:rsidR="00DF65F3">
              <w:rPr>
                <w:webHidden/>
              </w:rPr>
              <w:instrText xml:space="preserve"> PAGEREF _Toc12532579 \h </w:instrText>
            </w:r>
            <w:r w:rsidR="00DF65F3">
              <w:rPr>
                <w:webHidden/>
              </w:rPr>
            </w:r>
            <w:r w:rsidR="00DF65F3">
              <w:rPr>
                <w:webHidden/>
              </w:rPr>
              <w:fldChar w:fldCharType="separate"/>
            </w:r>
            <w:r w:rsidR="00F755B7">
              <w:rPr>
                <w:webHidden/>
              </w:rPr>
              <w:t>60</w:t>
            </w:r>
            <w:r w:rsidR="00DF65F3">
              <w:rPr>
                <w:webHidden/>
              </w:rPr>
              <w:fldChar w:fldCharType="end"/>
            </w:r>
          </w:hyperlink>
        </w:p>
        <w:p w14:paraId="54FBEC0A" w14:textId="36E32E19" w:rsidR="00DF65F3" w:rsidRDefault="00870777">
          <w:pPr>
            <w:pStyle w:val="Spistreci6"/>
            <w:rPr>
              <w:sz w:val="22"/>
              <w:lang w:val="en-GB" w:eastAsia="en-GB"/>
            </w:rPr>
          </w:pPr>
          <w:hyperlink w:anchor="_Toc12532580" w:history="1">
            <w:r w:rsidR="00DF65F3" w:rsidRPr="004815D6">
              <w:rPr>
                <w:rStyle w:val="Hipercze"/>
              </w:rPr>
              <w:t>GM1 ADR.AR.B.020(a)     Prowadzenie rejestrów</w:t>
            </w:r>
            <w:r w:rsidR="00DF65F3">
              <w:rPr>
                <w:webHidden/>
              </w:rPr>
              <w:tab/>
            </w:r>
            <w:r w:rsidR="00DF65F3">
              <w:rPr>
                <w:webHidden/>
              </w:rPr>
              <w:fldChar w:fldCharType="begin"/>
            </w:r>
            <w:r w:rsidR="00DF65F3">
              <w:rPr>
                <w:webHidden/>
              </w:rPr>
              <w:instrText xml:space="preserve"> PAGEREF _Toc12532580 \h </w:instrText>
            </w:r>
            <w:r w:rsidR="00DF65F3">
              <w:rPr>
                <w:webHidden/>
              </w:rPr>
            </w:r>
            <w:r w:rsidR="00DF65F3">
              <w:rPr>
                <w:webHidden/>
              </w:rPr>
              <w:fldChar w:fldCharType="separate"/>
            </w:r>
            <w:r w:rsidR="00F755B7">
              <w:rPr>
                <w:webHidden/>
              </w:rPr>
              <w:t>61</w:t>
            </w:r>
            <w:r w:rsidR="00DF65F3">
              <w:rPr>
                <w:webHidden/>
              </w:rPr>
              <w:fldChar w:fldCharType="end"/>
            </w:r>
          </w:hyperlink>
        </w:p>
        <w:p w14:paraId="5F9B31DE" w14:textId="065F507A" w:rsidR="00DF65F3" w:rsidRDefault="00870777">
          <w:pPr>
            <w:pStyle w:val="Spistreci6"/>
            <w:rPr>
              <w:sz w:val="22"/>
              <w:lang w:val="en-GB" w:eastAsia="en-GB"/>
            </w:rPr>
          </w:pPr>
          <w:hyperlink w:anchor="_Toc12532581" w:history="1">
            <w:r w:rsidR="00DF65F3" w:rsidRPr="004815D6">
              <w:rPr>
                <w:rStyle w:val="Hipercze"/>
              </w:rPr>
              <w:t>GM2 ADR.AR.B.020(a)     Prowadzenie rejestrów</w:t>
            </w:r>
            <w:r w:rsidR="00DF65F3">
              <w:rPr>
                <w:webHidden/>
              </w:rPr>
              <w:tab/>
            </w:r>
            <w:r w:rsidR="00DF65F3">
              <w:rPr>
                <w:webHidden/>
              </w:rPr>
              <w:fldChar w:fldCharType="begin"/>
            </w:r>
            <w:r w:rsidR="00DF65F3">
              <w:rPr>
                <w:webHidden/>
              </w:rPr>
              <w:instrText xml:space="preserve"> PAGEREF _Toc12532581 \h </w:instrText>
            </w:r>
            <w:r w:rsidR="00DF65F3">
              <w:rPr>
                <w:webHidden/>
              </w:rPr>
            </w:r>
            <w:r w:rsidR="00DF65F3">
              <w:rPr>
                <w:webHidden/>
              </w:rPr>
              <w:fldChar w:fldCharType="separate"/>
            </w:r>
            <w:r w:rsidR="00F755B7">
              <w:rPr>
                <w:webHidden/>
              </w:rPr>
              <w:t>61</w:t>
            </w:r>
            <w:r w:rsidR="00DF65F3">
              <w:rPr>
                <w:webHidden/>
              </w:rPr>
              <w:fldChar w:fldCharType="end"/>
            </w:r>
          </w:hyperlink>
        </w:p>
        <w:p w14:paraId="5FD5039D" w14:textId="1C32D2B1" w:rsidR="00DF65F3" w:rsidRDefault="00870777">
          <w:pPr>
            <w:pStyle w:val="Spistreci2"/>
            <w:rPr>
              <w:rFonts w:asciiTheme="minorHAnsi" w:eastAsiaTheme="minorEastAsia" w:hAnsiTheme="minorHAnsi" w:cstheme="minorBidi"/>
              <w:sz w:val="22"/>
              <w:lang w:val="en-GB" w:eastAsia="en-GB"/>
            </w:rPr>
          </w:pPr>
          <w:hyperlink w:anchor="_Toc12532582" w:history="1">
            <w:r w:rsidR="00DF65F3" w:rsidRPr="004815D6">
              <w:rPr>
                <w:rStyle w:val="Hipercze"/>
              </w:rPr>
              <w:t>PODCZĘŚĆ C — NADZÓR, CERTYFIKACJA I EGZEKWOWANIE PRZEPISÓW (ADR.AR.C)</w:t>
            </w:r>
            <w:r w:rsidR="00DF65F3">
              <w:rPr>
                <w:webHidden/>
              </w:rPr>
              <w:tab/>
            </w:r>
            <w:r w:rsidR="00DF65F3">
              <w:rPr>
                <w:webHidden/>
              </w:rPr>
              <w:fldChar w:fldCharType="begin"/>
            </w:r>
            <w:r w:rsidR="00DF65F3">
              <w:rPr>
                <w:webHidden/>
              </w:rPr>
              <w:instrText xml:space="preserve"> PAGEREF _Toc12532582 \h </w:instrText>
            </w:r>
            <w:r w:rsidR="00DF65F3">
              <w:rPr>
                <w:webHidden/>
              </w:rPr>
            </w:r>
            <w:r w:rsidR="00DF65F3">
              <w:rPr>
                <w:webHidden/>
              </w:rPr>
              <w:fldChar w:fldCharType="separate"/>
            </w:r>
            <w:r w:rsidR="00F755B7">
              <w:rPr>
                <w:webHidden/>
              </w:rPr>
              <w:t>62</w:t>
            </w:r>
            <w:r w:rsidR="00DF65F3">
              <w:rPr>
                <w:webHidden/>
              </w:rPr>
              <w:fldChar w:fldCharType="end"/>
            </w:r>
          </w:hyperlink>
        </w:p>
        <w:p w14:paraId="09F88271" w14:textId="22F94DA5" w:rsidR="00DF65F3" w:rsidRDefault="00870777">
          <w:pPr>
            <w:pStyle w:val="Spistreci3"/>
            <w:rPr>
              <w:rFonts w:asciiTheme="minorHAnsi" w:eastAsiaTheme="minorEastAsia" w:hAnsiTheme="minorHAnsi" w:cstheme="minorBidi"/>
              <w:sz w:val="22"/>
              <w:lang w:val="en-GB" w:eastAsia="en-GB"/>
            </w:rPr>
          </w:pPr>
          <w:hyperlink w:anchor="_Toc12532583" w:history="1">
            <w:r w:rsidR="00DF65F3" w:rsidRPr="004815D6">
              <w:rPr>
                <w:rStyle w:val="Hipercze"/>
              </w:rPr>
              <w:t>ADR.AR.C.005     Nadzór</w:t>
            </w:r>
            <w:r w:rsidR="00DF65F3">
              <w:rPr>
                <w:webHidden/>
              </w:rPr>
              <w:tab/>
            </w:r>
            <w:r w:rsidR="00DF65F3">
              <w:rPr>
                <w:webHidden/>
              </w:rPr>
              <w:fldChar w:fldCharType="begin"/>
            </w:r>
            <w:r w:rsidR="00DF65F3">
              <w:rPr>
                <w:webHidden/>
              </w:rPr>
              <w:instrText xml:space="preserve"> PAGEREF _Toc12532583 \h </w:instrText>
            </w:r>
            <w:r w:rsidR="00DF65F3">
              <w:rPr>
                <w:webHidden/>
              </w:rPr>
            </w:r>
            <w:r w:rsidR="00DF65F3">
              <w:rPr>
                <w:webHidden/>
              </w:rPr>
              <w:fldChar w:fldCharType="separate"/>
            </w:r>
            <w:r w:rsidR="00F755B7">
              <w:rPr>
                <w:webHidden/>
              </w:rPr>
              <w:t>62</w:t>
            </w:r>
            <w:r w:rsidR="00DF65F3">
              <w:rPr>
                <w:webHidden/>
              </w:rPr>
              <w:fldChar w:fldCharType="end"/>
            </w:r>
          </w:hyperlink>
        </w:p>
        <w:p w14:paraId="1DB0EBD0" w14:textId="01C98B60" w:rsidR="00DF65F3" w:rsidRDefault="00870777">
          <w:pPr>
            <w:pStyle w:val="Spistreci5"/>
            <w:rPr>
              <w:sz w:val="22"/>
              <w:lang w:val="en-GB" w:eastAsia="en-GB"/>
            </w:rPr>
          </w:pPr>
          <w:hyperlink w:anchor="_Toc12532584" w:history="1">
            <w:r w:rsidR="00DF65F3" w:rsidRPr="004815D6">
              <w:rPr>
                <w:rStyle w:val="Hipercze"/>
              </w:rPr>
              <w:t>AMC1 ADR.AR.C.005     Nadzór</w:t>
            </w:r>
            <w:r w:rsidR="00DF65F3">
              <w:rPr>
                <w:webHidden/>
              </w:rPr>
              <w:tab/>
            </w:r>
            <w:r w:rsidR="00DF65F3">
              <w:rPr>
                <w:webHidden/>
              </w:rPr>
              <w:fldChar w:fldCharType="begin"/>
            </w:r>
            <w:r w:rsidR="00DF65F3">
              <w:rPr>
                <w:webHidden/>
              </w:rPr>
              <w:instrText xml:space="preserve"> PAGEREF _Toc12532584 \h </w:instrText>
            </w:r>
            <w:r w:rsidR="00DF65F3">
              <w:rPr>
                <w:webHidden/>
              </w:rPr>
            </w:r>
            <w:r w:rsidR="00DF65F3">
              <w:rPr>
                <w:webHidden/>
              </w:rPr>
              <w:fldChar w:fldCharType="separate"/>
            </w:r>
            <w:r w:rsidR="00F755B7">
              <w:rPr>
                <w:webHidden/>
              </w:rPr>
              <w:t>62</w:t>
            </w:r>
            <w:r w:rsidR="00DF65F3">
              <w:rPr>
                <w:webHidden/>
              </w:rPr>
              <w:fldChar w:fldCharType="end"/>
            </w:r>
          </w:hyperlink>
        </w:p>
        <w:p w14:paraId="27535E56" w14:textId="62180399" w:rsidR="00DF65F3" w:rsidRDefault="00870777">
          <w:pPr>
            <w:pStyle w:val="Spistreci6"/>
            <w:rPr>
              <w:sz w:val="22"/>
              <w:lang w:val="en-GB" w:eastAsia="en-GB"/>
            </w:rPr>
          </w:pPr>
          <w:hyperlink w:anchor="_Toc12532585" w:history="1">
            <w:r w:rsidR="00DF65F3" w:rsidRPr="004815D6">
              <w:rPr>
                <w:rStyle w:val="Hipercze"/>
              </w:rPr>
              <w:t>GM1 ADR.AR.C.005     Nadzór</w:t>
            </w:r>
            <w:r w:rsidR="00DF65F3">
              <w:rPr>
                <w:webHidden/>
              </w:rPr>
              <w:tab/>
            </w:r>
            <w:r w:rsidR="00DF65F3">
              <w:rPr>
                <w:webHidden/>
              </w:rPr>
              <w:fldChar w:fldCharType="begin"/>
            </w:r>
            <w:r w:rsidR="00DF65F3">
              <w:rPr>
                <w:webHidden/>
              </w:rPr>
              <w:instrText xml:space="preserve"> PAGEREF _Toc12532585 \h </w:instrText>
            </w:r>
            <w:r w:rsidR="00DF65F3">
              <w:rPr>
                <w:webHidden/>
              </w:rPr>
            </w:r>
            <w:r w:rsidR="00DF65F3">
              <w:rPr>
                <w:webHidden/>
              </w:rPr>
              <w:fldChar w:fldCharType="separate"/>
            </w:r>
            <w:r w:rsidR="00F755B7">
              <w:rPr>
                <w:webHidden/>
              </w:rPr>
              <w:t>63</w:t>
            </w:r>
            <w:r w:rsidR="00DF65F3">
              <w:rPr>
                <w:webHidden/>
              </w:rPr>
              <w:fldChar w:fldCharType="end"/>
            </w:r>
          </w:hyperlink>
        </w:p>
        <w:p w14:paraId="4456BF91" w14:textId="4763711B" w:rsidR="00DF65F3" w:rsidRDefault="00870777">
          <w:pPr>
            <w:pStyle w:val="Spistreci3"/>
            <w:rPr>
              <w:rFonts w:asciiTheme="minorHAnsi" w:eastAsiaTheme="minorEastAsia" w:hAnsiTheme="minorHAnsi" w:cstheme="minorBidi"/>
              <w:sz w:val="22"/>
              <w:lang w:val="en-GB" w:eastAsia="en-GB"/>
            </w:rPr>
          </w:pPr>
          <w:hyperlink w:anchor="_Toc12532586" w:history="1">
            <w:r w:rsidR="00DF65F3" w:rsidRPr="004815D6">
              <w:rPr>
                <w:rStyle w:val="Hipercze"/>
              </w:rPr>
              <w:t>ADR.AR.C.010     Program sprawowania nadzoru</w:t>
            </w:r>
            <w:r w:rsidR="00DF65F3">
              <w:rPr>
                <w:webHidden/>
              </w:rPr>
              <w:tab/>
            </w:r>
            <w:r w:rsidR="00DF65F3">
              <w:rPr>
                <w:webHidden/>
              </w:rPr>
              <w:fldChar w:fldCharType="begin"/>
            </w:r>
            <w:r w:rsidR="00DF65F3">
              <w:rPr>
                <w:webHidden/>
              </w:rPr>
              <w:instrText xml:space="preserve"> PAGEREF _Toc12532586 \h </w:instrText>
            </w:r>
            <w:r w:rsidR="00DF65F3">
              <w:rPr>
                <w:webHidden/>
              </w:rPr>
            </w:r>
            <w:r w:rsidR="00DF65F3">
              <w:rPr>
                <w:webHidden/>
              </w:rPr>
              <w:fldChar w:fldCharType="separate"/>
            </w:r>
            <w:r w:rsidR="00F755B7">
              <w:rPr>
                <w:webHidden/>
              </w:rPr>
              <w:t>63</w:t>
            </w:r>
            <w:r w:rsidR="00DF65F3">
              <w:rPr>
                <w:webHidden/>
              </w:rPr>
              <w:fldChar w:fldCharType="end"/>
            </w:r>
          </w:hyperlink>
        </w:p>
        <w:p w14:paraId="4EFFEB9A" w14:textId="3A824810" w:rsidR="00DF65F3" w:rsidRDefault="00870777">
          <w:pPr>
            <w:pStyle w:val="Spistreci5"/>
            <w:rPr>
              <w:sz w:val="22"/>
              <w:lang w:val="en-GB" w:eastAsia="en-GB"/>
            </w:rPr>
          </w:pPr>
          <w:hyperlink w:anchor="_Toc12532587" w:history="1">
            <w:r w:rsidR="00DF65F3" w:rsidRPr="004815D6">
              <w:rPr>
                <w:rStyle w:val="Hipercze"/>
              </w:rPr>
              <w:t>AMC1 ADR.AR.C.010     Program nadzoru</w:t>
            </w:r>
            <w:r w:rsidR="00DF65F3">
              <w:rPr>
                <w:webHidden/>
              </w:rPr>
              <w:tab/>
            </w:r>
            <w:r w:rsidR="00DF65F3">
              <w:rPr>
                <w:webHidden/>
              </w:rPr>
              <w:fldChar w:fldCharType="begin"/>
            </w:r>
            <w:r w:rsidR="00DF65F3">
              <w:rPr>
                <w:webHidden/>
              </w:rPr>
              <w:instrText xml:space="preserve"> PAGEREF _Toc12532587 \h </w:instrText>
            </w:r>
            <w:r w:rsidR="00DF65F3">
              <w:rPr>
                <w:webHidden/>
              </w:rPr>
            </w:r>
            <w:r w:rsidR="00DF65F3">
              <w:rPr>
                <w:webHidden/>
              </w:rPr>
              <w:fldChar w:fldCharType="separate"/>
            </w:r>
            <w:r w:rsidR="00F755B7">
              <w:rPr>
                <w:webHidden/>
              </w:rPr>
              <w:t>64</w:t>
            </w:r>
            <w:r w:rsidR="00DF65F3">
              <w:rPr>
                <w:webHidden/>
              </w:rPr>
              <w:fldChar w:fldCharType="end"/>
            </w:r>
          </w:hyperlink>
        </w:p>
        <w:p w14:paraId="4AFE4930" w14:textId="074BE812" w:rsidR="00DF65F3" w:rsidRDefault="00870777">
          <w:pPr>
            <w:pStyle w:val="Spistreci6"/>
            <w:rPr>
              <w:sz w:val="22"/>
              <w:lang w:val="en-GB" w:eastAsia="en-GB"/>
            </w:rPr>
          </w:pPr>
          <w:hyperlink w:anchor="_Toc12532588" w:history="1">
            <w:r w:rsidR="00DF65F3" w:rsidRPr="004815D6">
              <w:rPr>
                <w:rStyle w:val="Hipercze"/>
              </w:rPr>
              <w:t>GM1 ADR.AR.C.010     Program nadzoru</w:t>
            </w:r>
            <w:r w:rsidR="00DF65F3">
              <w:rPr>
                <w:webHidden/>
              </w:rPr>
              <w:tab/>
            </w:r>
            <w:r w:rsidR="00DF65F3">
              <w:rPr>
                <w:webHidden/>
              </w:rPr>
              <w:fldChar w:fldCharType="begin"/>
            </w:r>
            <w:r w:rsidR="00DF65F3">
              <w:rPr>
                <w:webHidden/>
              </w:rPr>
              <w:instrText xml:space="preserve"> PAGEREF _Toc12532588 \h </w:instrText>
            </w:r>
            <w:r w:rsidR="00DF65F3">
              <w:rPr>
                <w:webHidden/>
              </w:rPr>
            </w:r>
            <w:r w:rsidR="00DF65F3">
              <w:rPr>
                <w:webHidden/>
              </w:rPr>
              <w:fldChar w:fldCharType="separate"/>
            </w:r>
            <w:r w:rsidR="00F755B7">
              <w:rPr>
                <w:webHidden/>
              </w:rPr>
              <w:t>66</w:t>
            </w:r>
            <w:r w:rsidR="00DF65F3">
              <w:rPr>
                <w:webHidden/>
              </w:rPr>
              <w:fldChar w:fldCharType="end"/>
            </w:r>
          </w:hyperlink>
        </w:p>
        <w:p w14:paraId="184A92E7" w14:textId="1884C047" w:rsidR="00DF65F3" w:rsidRDefault="00870777">
          <w:pPr>
            <w:pStyle w:val="Spistreci5"/>
            <w:rPr>
              <w:sz w:val="22"/>
              <w:lang w:val="en-GB" w:eastAsia="en-GB"/>
            </w:rPr>
          </w:pPr>
          <w:hyperlink w:anchor="_Toc12532589" w:history="1">
            <w:r w:rsidR="00DF65F3" w:rsidRPr="004815D6">
              <w:rPr>
                <w:rStyle w:val="Hipercze"/>
              </w:rPr>
              <w:t>AMC1 ADR.AR.C.010(b)     Program nadzoru</w:t>
            </w:r>
            <w:r w:rsidR="00DF65F3">
              <w:rPr>
                <w:webHidden/>
              </w:rPr>
              <w:tab/>
            </w:r>
            <w:r w:rsidR="00DF65F3">
              <w:rPr>
                <w:webHidden/>
              </w:rPr>
              <w:fldChar w:fldCharType="begin"/>
            </w:r>
            <w:r w:rsidR="00DF65F3">
              <w:rPr>
                <w:webHidden/>
              </w:rPr>
              <w:instrText xml:space="preserve"> PAGEREF _Toc12532589 \h </w:instrText>
            </w:r>
            <w:r w:rsidR="00DF65F3">
              <w:rPr>
                <w:webHidden/>
              </w:rPr>
            </w:r>
            <w:r w:rsidR="00DF65F3">
              <w:rPr>
                <w:webHidden/>
              </w:rPr>
              <w:fldChar w:fldCharType="separate"/>
            </w:r>
            <w:r w:rsidR="00F755B7">
              <w:rPr>
                <w:webHidden/>
              </w:rPr>
              <w:t>66</w:t>
            </w:r>
            <w:r w:rsidR="00DF65F3">
              <w:rPr>
                <w:webHidden/>
              </w:rPr>
              <w:fldChar w:fldCharType="end"/>
            </w:r>
          </w:hyperlink>
        </w:p>
        <w:p w14:paraId="7FF260EF" w14:textId="6F81552E" w:rsidR="00DF65F3" w:rsidRDefault="00870777">
          <w:pPr>
            <w:pStyle w:val="Spistreci5"/>
            <w:rPr>
              <w:sz w:val="22"/>
              <w:lang w:val="en-GB" w:eastAsia="en-GB"/>
            </w:rPr>
          </w:pPr>
          <w:hyperlink w:anchor="_Toc12532590" w:history="1">
            <w:r w:rsidR="00DF65F3" w:rsidRPr="004815D6">
              <w:rPr>
                <w:rStyle w:val="Hipercze"/>
              </w:rPr>
              <w:t>AMC1 ADR.AR.C.010(b);(c)     Program nadzoru</w:t>
            </w:r>
            <w:r w:rsidR="00DF65F3">
              <w:rPr>
                <w:webHidden/>
              </w:rPr>
              <w:tab/>
            </w:r>
            <w:r w:rsidR="00DF65F3">
              <w:rPr>
                <w:webHidden/>
              </w:rPr>
              <w:fldChar w:fldCharType="begin"/>
            </w:r>
            <w:r w:rsidR="00DF65F3">
              <w:rPr>
                <w:webHidden/>
              </w:rPr>
              <w:instrText xml:space="preserve"> PAGEREF _Toc12532590 \h </w:instrText>
            </w:r>
            <w:r w:rsidR="00DF65F3">
              <w:rPr>
                <w:webHidden/>
              </w:rPr>
            </w:r>
            <w:r w:rsidR="00DF65F3">
              <w:rPr>
                <w:webHidden/>
              </w:rPr>
              <w:fldChar w:fldCharType="separate"/>
            </w:r>
            <w:r w:rsidR="00F755B7">
              <w:rPr>
                <w:webHidden/>
              </w:rPr>
              <w:t>67</w:t>
            </w:r>
            <w:r w:rsidR="00DF65F3">
              <w:rPr>
                <w:webHidden/>
              </w:rPr>
              <w:fldChar w:fldCharType="end"/>
            </w:r>
          </w:hyperlink>
        </w:p>
        <w:p w14:paraId="107DB9CC" w14:textId="54A06105" w:rsidR="00DF65F3" w:rsidRDefault="00870777">
          <w:pPr>
            <w:pStyle w:val="Spistreci5"/>
            <w:rPr>
              <w:sz w:val="22"/>
              <w:lang w:val="en-GB" w:eastAsia="en-GB"/>
            </w:rPr>
          </w:pPr>
          <w:hyperlink w:anchor="_Toc12532591" w:history="1">
            <w:r w:rsidR="00DF65F3" w:rsidRPr="004815D6">
              <w:rPr>
                <w:rStyle w:val="Hipercze"/>
              </w:rPr>
              <w:t>AMC2 ADR.AR.C.010(b);(c)     Program nadzoru</w:t>
            </w:r>
            <w:r w:rsidR="00DF65F3">
              <w:rPr>
                <w:webHidden/>
              </w:rPr>
              <w:tab/>
            </w:r>
            <w:r w:rsidR="00DF65F3">
              <w:rPr>
                <w:webHidden/>
              </w:rPr>
              <w:fldChar w:fldCharType="begin"/>
            </w:r>
            <w:r w:rsidR="00DF65F3">
              <w:rPr>
                <w:webHidden/>
              </w:rPr>
              <w:instrText xml:space="preserve"> PAGEREF _Toc12532591 \h </w:instrText>
            </w:r>
            <w:r w:rsidR="00DF65F3">
              <w:rPr>
                <w:webHidden/>
              </w:rPr>
            </w:r>
            <w:r w:rsidR="00DF65F3">
              <w:rPr>
                <w:webHidden/>
              </w:rPr>
              <w:fldChar w:fldCharType="separate"/>
            </w:r>
            <w:r w:rsidR="00F755B7">
              <w:rPr>
                <w:webHidden/>
              </w:rPr>
              <w:t>67</w:t>
            </w:r>
            <w:r w:rsidR="00DF65F3">
              <w:rPr>
                <w:webHidden/>
              </w:rPr>
              <w:fldChar w:fldCharType="end"/>
            </w:r>
          </w:hyperlink>
        </w:p>
        <w:p w14:paraId="424D7C15" w14:textId="2AFFAC18" w:rsidR="00DF65F3" w:rsidRDefault="00870777">
          <w:pPr>
            <w:pStyle w:val="Spistreci6"/>
            <w:rPr>
              <w:sz w:val="22"/>
              <w:lang w:val="en-GB" w:eastAsia="en-GB"/>
            </w:rPr>
          </w:pPr>
          <w:hyperlink w:anchor="_Toc12532592" w:history="1">
            <w:r w:rsidR="00DF65F3" w:rsidRPr="004815D6">
              <w:rPr>
                <w:rStyle w:val="Hipercze"/>
              </w:rPr>
              <w:t>GM1 ADR.AR.C.010(b)     Program nadzoru</w:t>
            </w:r>
            <w:r w:rsidR="00DF65F3">
              <w:rPr>
                <w:webHidden/>
              </w:rPr>
              <w:tab/>
            </w:r>
            <w:r w:rsidR="00DF65F3">
              <w:rPr>
                <w:webHidden/>
              </w:rPr>
              <w:fldChar w:fldCharType="begin"/>
            </w:r>
            <w:r w:rsidR="00DF65F3">
              <w:rPr>
                <w:webHidden/>
              </w:rPr>
              <w:instrText xml:space="preserve"> PAGEREF _Toc12532592 \h </w:instrText>
            </w:r>
            <w:r w:rsidR="00DF65F3">
              <w:rPr>
                <w:webHidden/>
              </w:rPr>
            </w:r>
            <w:r w:rsidR="00DF65F3">
              <w:rPr>
                <w:webHidden/>
              </w:rPr>
              <w:fldChar w:fldCharType="separate"/>
            </w:r>
            <w:r w:rsidR="00F755B7">
              <w:rPr>
                <w:webHidden/>
              </w:rPr>
              <w:t>67</w:t>
            </w:r>
            <w:r w:rsidR="00DF65F3">
              <w:rPr>
                <w:webHidden/>
              </w:rPr>
              <w:fldChar w:fldCharType="end"/>
            </w:r>
          </w:hyperlink>
        </w:p>
        <w:p w14:paraId="319E1B94" w14:textId="387164C1" w:rsidR="00DF65F3" w:rsidRDefault="00870777">
          <w:pPr>
            <w:pStyle w:val="Spistreci6"/>
            <w:rPr>
              <w:sz w:val="22"/>
              <w:lang w:val="en-GB" w:eastAsia="en-GB"/>
            </w:rPr>
          </w:pPr>
          <w:hyperlink w:anchor="_Toc12532593" w:history="1">
            <w:r w:rsidR="00DF65F3" w:rsidRPr="004815D6">
              <w:rPr>
                <w:rStyle w:val="Hipercze"/>
              </w:rPr>
              <w:t>GM2 ADR.AR.C.010(b)     Program nadzoru</w:t>
            </w:r>
            <w:r w:rsidR="00DF65F3">
              <w:rPr>
                <w:webHidden/>
              </w:rPr>
              <w:tab/>
            </w:r>
            <w:r w:rsidR="00DF65F3">
              <w:rPr>
                <w:webHidden/>
              </w:rPr>
              <w:fldChar w:fldCharType="begin"/>
            </w:r>
            <w:r w:rsidR="00DF65F3">
              <w:rPr>
                <w:webHidden/>
              </w:rPr>
              <w:instrText xml:space="preserve"> PAGEREF _Toc12532593 \h </w:instrText>
            </w:r>
            <w:r w:rsidR="00DF65F3">
              <w:rPr>
                <w:webHidden/>
              </w:rPr>
            </w:r>
            <w:r w:rsidR="00DF65F3">
              <w:rPr>
                <w:webHidden/>
              </w:rPr>
              <w:fldChar w:fldCharType="separate"/>
            </w:r>
            <w:r w:rsidR="00F755B7">
              <w:rPr>
                <w:webHidden/>
              </w:rPr>
              <w:t>68</w:t>
            </w:r>
            <w:r w:rsidR="00DF65F3">
              <w:rPr>
                <w:webHidden/>
              </w:rPr>
              <w:fldChar w:fldCharType="end"/>
            </w:r>
          </w:hyperlink>
        </w:p>
        <w:p w14:paraId="1994D077" w14:textId="4DEAF4AB" w:rsidR="00DF65F3" w:rsidRDefault="00870777">
          <w:pPr>
            <w:pStyle w:val="Spistreci6"/>
            <w:rPr>
              <w:sz w:val="22"/>
              <w:lang w:val="en-GB" w:eastAsia="en-GB"/>
            </w:rPr>
          </w:pPr>
          <w:hyperlink w:anchor="_Toc12532594" w:history="1">
            <w:r w:rsidR="00DF65F3" w:rsidRPr="004815D6">
              <w:rPr>
                <w:rStyle w:val="Hipercze"/>
              </w:rPr>
              <w:t>GM3 ADR.AR.C.010(b)     Program nadzoru</w:t>
            </w:r>
            <w:r w:rsidR="00DF65F3">
              <w:rPr>
                <w:webHidden/>
              </w:rPr>
              <w:tab/>
            </w:r>
            <w:r w:rsidR="00DF65F3">
              <w:rPr>
                <w:webHidden/>
              </w:rPr>
              <w:fldChar w:fldCharType="begin"/>
            </w:r>
            <w:r w:rsidR="00DF65F3">
              <w:rPr>
                <w:webHidden/>
              </w:rPr>
              <w:instrText xml:space="preserve"> PAGEREF _Toc12532594 \h </w:instrText>
            </w:r>
            <w:r w:rsidR="00DF65F3">
              <w:rPr>
                <w:webHidden/>
              </w:rPr>
            </w:r>
            <w:r w:rsidR="00DF65F3">
              <w:rPr>
                <w:webHidden/>
              </w:rPr>
              <w:fldChar w:fldCharType="separate"/>
            </w:r>
            <w:r w:rsidR="00F755B7">
              <w:rPr>
                <w:webHidden/>
              </w:rPr>
              <w:t>68</w:t>
            </w:r>
            <w:r w:rsidR="00DF65F3">
              <w:rPr>
                <w:webHidden/>
              </w:rPr>
              <w:fldChar w:fldCharType="end"/>
            </w:r>
          </w:hyperlink>
        </w:p>
        <w:p w14:paraId="7D0E1495" w14:textId="5FE71F35" w:rsidR="00DF65F3" w:rsidRDefault="00870777">
          <w:pPr>
            <w:pStyle w:val="Spistreci3"/>
            <w:rPr>
              <w:rFonts w:asciiTheme="minorHAnsi" w:eastAsiaTheme="minorEastAsia" w:hAnsiTheme="minorHAnsi" w:cstheme="minorBidi"/>
              <w:sz w:val="22"/>
              <w:lang w:val="en-GB" w:eastAsia="en-GB"/>
            </w:rPr>
          </w:pPr>
          <w:hyperlink w:anchor="_Toc12532595" w:history="1">
            <w:r w:rsidR="00DF65F3" w:rsidRPr="004815D6">
              <w:rPr>
                <w:rStyle w:val="Hipercze"/>
              </w:rPr>
              <w:t>ADR.AR.C.015     Rozpoczęcie procesu certyfikacji</w:t>
            </w:r>
            <w:r w:rsidR="00DF65F3">
              <w:rPr>
                <w:webHidden/>
              </w:rPr>
              <w:tab/>
            </w:r>
            <w:r w:rsidR="00DF65F3">
              <w:rPr>
                <w:webHidden/>
              </w:rPr>
              <w:fldChar w:fldCharType="begin"/>
            </w:r>
            <w:r w:rsidR="00DF65F3">
              <w:rPr>
                <w:webHidden/>
              </w:rPr>
              <w:instrText xml:space="preserve"> PAGEREF _Toc12532595 \h </w:instrText>
            </w:r>
            <w:r w:rsidR="00DF65F3">
              <w:rPr>
                <w:webHidden/>
              </w:rPr>
            </w:r>
            <w:r w:rsidR="00DF65F3">
              <w:rPr>
                <w:webHidden/>
              </w:rPr>
              <w:fldChar w:fldCharType="separate"/>
            </w:r>
            <w:r w:rsidR="00F755B7">
              <w:rPr>
                <w:webHidden/>
              </w:rPr>
              <w:t>69</w:t>
            </w:r>
            <w:r w:rsidR="00DF65F3">
              <w:rPr>
                <w:webHidden/>
              </w:rPr>
              <w:fldChar w:fldCharType="end"/>
            </w:r>
          </w:hyperlink>
        </w:p>
        <w:p w14:paraId="2038908A" w14:textId="19312857" w:rsidR="00DF65F3" w:rsidRDefault="00870777">
          <w:pPr>
            <w:pStyle w:val="Spistreci5"/>
            <w:rPr>
              <w:sz w:val="22"/>
              <w:lang w:val="en-GB" w:eastAsia="en-GB"/>
            </w:rPr>
          </w:pPr>
          <w:hyperlink w:anchor="_Toc12532596" w:history="1">
            <w:r w:rsidR="00DF65F3" w:rsidRPr="004815D6">
              <w:rPr>
                <w:rStyle w:val="Hipercze"/>
              </w:rPr>
              <w:t>AMC1 ADR.AR.C.015(a)     Rozpoczęcie procesu certyfikacji</w:t>
            </w:r>
            <w:r w:rsidR="00DF65F3">
              <w:rPr>
                <w:webHidden/>
              </w:rPr>
              <w:tab/>
            </w:r>
            <w:r w:rsidR="00DF65F3">
              <w:rPr>
                <w:webHidden/>
              </w:rPr>
              <w:fldChar w:fldCharType="begin"/>
            </w:r>
            <w:r w:rsidR="00DF65F3">
              <w:rPr>
                <w:webHidden/>
              </w:rPr>
              <w:instrText xml:space="preserve"> PAGEREF _Toc12532596 \h </w:instrText>
            </w:r>
            <w:r w:rsidR="00DF65F3">
              <w:rPr>
                <w:webHidden/>
              </w:rPr>
            </w:r>
            <w:r w:rsidR="00DF65F3">
              <w:rPr>
                <w:webHidden/>
              </w:rPr>
              <w:fldChar w:fldCharType="separate"/>
            </w:r>
            <w:r w:rsidR="00F755B7">
              <w:rPr>
                <w:webHidden/>
              </w:rPr>
              <w:t>69</w:t>
            </w:r>
            <w:r w:rsidR="00DF65F3">
              <w:rPr>
                <w:webHidden/>
              </w:rPr>
              <w:fldChar w:fldCharType="end"/>
            </w:r>
          </w:hyperlink>
        </w:p>
        <w:p w14:paraId="350DD414" w14:textId="2FA387C9" w:rsidR="00DF65F3" w:rsidRDefault="00870777">
          <w:pPr>
            <w:pStyle w:val="Spistreci5"/>
            <w:rPr>
              <w:sz w:val="22"/>
              <w:lang w:val="en-GB" w:eastAsia="en-GB"/>
            </w:rPr>
          </w:pPr>
          <w:hyperlink w:anchor="_Toc12532597" w:history="1">
            <w:r w:rsidR="00DF65F3" w:rsidRPr="004815D6">
              <w:rPr>
                <w:rStyle w:val="Hipercze"/>
              </w:rPr>
              <w:t>AMC1 ADR.AR.C.015(c)     Rozpoczęcie procesu certyfikacji</w:t>
            </w:r>
            <w:r w:rsidR="00DF65F3">
              <w:rPr>
                <w:webHidden/>
              </w:rPr>
              <w:tab/>
            </w:r>
            <w:r w:rsidR="00DF65F3">
              <w:rPr>
                <w:webHidden/>
              </w:rPr>
              <w:fldChar w:fldCharType="begin"/>
            </w:r>
            <w:r w:rsidR="00DF65F3">
              <w:rPr>
                <w:webHidden/>
              </w:rPr>
              <w:instrText xml:space="preserve"> PAGEREF _Toc12532597 \h </w:instrText>
            </w:r>
            <w:r w:rsidR="00DF65F3">
              <w:rPr>
                <w:webHidden/>
              </w:rPr>
            </w:r>
            <w:r w:rsidR="00DF65F3">
              <w:rPr>
                <w:webHidden/>
              </w:rPr>
              <w:fldChar w:fldCharType="separate"/>
            </w:r>
            <w:r w:rsidR="00F755B7">
              <w:rPr>
                <w:webHidden/>
              </w:rPr>
              <w:t>69</w:t>
            </w:r>
            <w:r w:rsidR="00DF65F3">
              <w:rPr>
                <w:webHidden/>
              </w:rPr>
              <w:fldChar w:fldCharType="end"/>
            </w:r>
          </w:hyperlink>
        </w:p>
        <w:p w14:paraId="6E8DC3DA" w14:textId="33203DD3" w:rsidR="00DF65F3" w:rsidRDefault="00870777">
          <w:pPr>
            <w:pStyle w:val="Spistreci5"/>
            <w:rPr>
              <w:sz w:val="22"/>
              <w:lang w:val="en-GB" w:eastAsia="en-GB"/>
            </w:rPr>
          </w:pPr>
          <w:hyperlink w:anchor="_Toc12532598" w:history="1">
            <w:r w:rsidR="00DF65F3" w:rsidRPr="004815D6">
              <w:rPr>
                <w:rStyle w:val="Hipercze"/>
              </w:rPr>
              <w:t>AMC2 ADR.AR.C.015(C)     Rozpoczęcie procesu certyfikacji</w:t>
            </w:r>
            <w:r w:rsidR="00DF65F3">
              <w:rPr>
                <w:webHidden/>
              </w:rPr>
              <w:tab/>
            </w:r>
            <w:r w:rsidR="00DF65F3">
              <w:rPr>
                <w:webHidden/>
              </w:rPr>
              <w:fldChar w:fldCharType="begin"/>
            </w:r>
            <w:r w:rsidR="00DF65F3">
              <w:rPr>
                <w:webHidden/>
              </w:rPr>
              <w:instrText xml:space="preserve"> PAGEREF _Toc12532598 \h </w:instrText>
            </w:r>
            <w:r w:rsidR="00DF65F3">
              <w:rPr>
                <w:webHidden/>
              </w:rPr>
            </w:r>
            <w:r w:rsidR="00DF65F3">
              <w:rPr>
                <w:webHidden/>
              </w:rPr>
              <w:fldChar w:fldCharType="separate"/>
            </w:r>
            <w:r w:rsidR="00F755B7">
              <w:rPr>
                <w:webHidden/>
              </w:rPr>
              <w:t>69</w:t>
            </w:r>
            <w:r w:rsidR="00DF65F3">
              <w:rPr>
                <w:webHidden/>
              </w:rPr>
              <w:fldChar w:fldCharType="end"/>
            </w:r>
          </w:hyperlink>
        </w:p>
        <w:p w14:paraId="4F9F7210" w14:textId="04376113" w:rsidR="00DF65F3" w:rsidRDefault="00870777">
          <w:pPr>
            <w:pStyle w:val="Spistreci6"/>
            <w:rPr>
              <w:sz w:val="22"/>
              <w:lang w:val="en-GB" w:eastAsia="en-GB"/>
            </w:rPr>
          </w:pPr>
          <w:hyperlink w:anchor="_Toc12532599" w:history="1">
            <w:r w:rsidR="00DF65F3" w:rsidRPr="004815D6">
              <w:rPr>
                <w:rStyle w:val="Hipercze"/>
              </w:rPr>
              <w:t>GM1 ADR.AR.C.015     Rozpoczęcie procesu certyfikacji</w:t>
            </w:r>
            <w:r w:rsidR="00DF65F3">
              <w:rPr>
                <w:webHidden/>
              </w:rPr>
              <w:tab/>
            </w:r>
            <w:r w:rsidR="00DF65F3">
              <w:rPr>
                <w:webHidden/>
              </w:rPr>
              <w:fldChar w:fldCharType="begin"/>
            </w:r>
            <w:r w:rsidR="00DF65F3">
              <w:rPr>
                <w:webHidden/>
              </w:rPr>
              <w:instrText xml:space="preserve"> PAGEREF _Toc12532599 \h </w:instrText>
            </w:r>
            <w:r w:rsidR="00DF65F3">
              <w:rPr>
                <w:webHidden/>
              </w:rPr>
            </w:r>
            <w:r w:rsidR="00DF65F3">
              <w:rPr>
                <w:webHidden/>
              </w:rPr>
              <w:fldChar w:fldCharType="separate"/>
            </w:r>
            <w:r w:rsidR="00F755B7">
              <w:rPr>
                <w:webHidden/>
              </w:rPr>
              <w:t>70</w:t>
            </w:r>
            <w:r w:rsidR="00DF65F3">
              <w:rPr>
                <w:webHidden/>
              </w:rPr>
              <w:fldChar w:fldCharType="end"/>
            </w:r>
          </w:hyperlink>
        </w:p>
        <w:p w14:paraId="32E7B0FF" w14:textId="51D4C690" w:rsidR="00DF65F3" w:rsidRDefault="00870777">
          <w:pPr>
            <w:pStyle w:val="Spistreci6"/>
            <w:rPr>
              <w:sz w:val="22"/>
              <w:lang w:val="en-GB" w:eastAsia="en-GB"/>
            </w:rPr>
          </w:pPr>
          <w:hyperlink w:anchor="_Toc12532600" w:history="1">
            <w:r w:rsidR="00DF65F3" w:rsidRPr="004815D6">
              <w:rPr>
                <w:rStyle w:val="Hipercze"/>
              </w:rPr>
              <w:t>GM1 ADR.AR.C.015(b)     Rozpoczęcie procesu certyfikacji</w:t>
            </w:r>
            <w:r w:rsidR="00DF65F3">
              <w:rPr>
                <w:webHidden/>
              </w:rPr>
              <w:tab/>
            </w:r>
            <w:r w:rsidR="00DF65F3">
              <w:rPr>
                <w:webHidden/>
              </w:rPr>
              <w:fldChar w:fldCharType="begin"/>
            </w:r>
            <w:r w:rsidR="00DF65F3">
              <w:rPr>
                <w:webHidden/>
              </w:rPr>
              <w:instrText xml:space="preserve"> PAGEREF _Toc12532600 \h </w:instrText>
            </w:r>
            <w:r w:rsidR="00DF65F3">
              <w:rPr>
                <w:webHidden/>
              </w:rPr>
            </w:r>
            <w:r w:rsidR="00DF65F3">
              <w:rPr>
                <w:webHidden/>
              </w:rPr>
              <w:fldChar w:fldCharType="separate"/>
            </w:r>
            <w:r w:rsidR="00F755B7">
              <w:rPr>
                <w:webHidden/>
              </w:rPr>
              <w:t>70</w:t>
            </w:r>
            <w:r w:rsidR="00DF65F3">
              <w:rPr>
                <w:webHidden/>
              </w:rPr>
              <w:fldChar w:fldCharType="end"/>
            </w:r>
          </w:hyperlink>
        </w:p>
        <w:p w14:paraId="7D7DF0AA" w14:textId="22C45A3D" w:rsidR="00DF65F3" w:rsidRDefault="00870777">
          <w:pPr>
            <w:pStyle w:val="Spistreci6"/>
            <w:rPr>
              <w:sz w:val="22"/>
              <w:lang w:val="en-GB" w:eastAsia="en-GB"/>
            </w:rPr>
          </w:pPr>
          <w:hyperlink w:anchor="_Toc12532601" w:history="1">
            <w:r w:rsidR="00DF65F3" w:rsidRPr="004815D6">
              <w:rPr>
                <w:rStyle w:val="Hipercze"/>
              </w:rPr>
              <w:t>GM1 AD R.AR.C.015(c)     Rozpoczęcie procesu certyfikacji</w:t>
            </w:r>
            <w:r w:rsidR="00DF65F3">
              <w:rPr>
                <w:webHidden/>
              </w:rPr>
              <w:tab/>
            </w:r>
            <w:r w:rsidR="00DF65F3">
              <w:rPr>
                <w:webHidden/>
              </w:rPr>
              <w:fldChar w:fldCharType="begin"/>
            </w:r>
            <w:r w:rsidR="00DF65F3">
              <w:rPr>
                <w:webHidden/>
              </w:rPr>
              <w:instrText xml:space="preserve"> PAGEREF _Toc12532601 \h </w:instrText>
            </w:r>
            <w:r w:rsidR="00DF65F3">
              <w:rPr>
                <w:webHidden/>
              </w:rPr>
            </w:r>
            <w:r w:rsidR="00DF65F3">
              <w:rPr>
                <w:webHidden/>
              </w:rPr>
              <w:fldChar w:fldCharType="separate"/>
            </w:r>
            <w:r w:rsidR="00F755B7">
              <w:rPr>
                <w:webHidden/>
              </w:rPr>
              <w:t>70</w:t>
            </w:r>
            <w:r w:rsidR="00DF65F3">
              <w:rPr>
                <w:webHidden/>
              </w:rPr>
              <w:fldChar w:fldCharType="end"/>
            </w:r>
          </w:hyperlink>
        </w:p>
        <w:p w14:paraId="63869547" w14:textId="1C49D978" w:rsidR="00DF65F3" w:rsidRDefault="00870777">
          <w:pPr>
            <w:pStyle w:val="Spistreci3"/>
            <w:rPr>
              <w:rFonts w:asciiTheme="minorHAnsi" w:eastAsiaTheme="minorEastAsia" w:hAnsiTheme="minorHAnsi" w:cstheme="minorBidi"/>
              <w:sz w:val="22"/>
              <w:lang w:val="en-GB" w:eastAsia="en-GB"/>
            </w:rPr>
          </w:pPr>
          <w:hyperlink w:anchor="_Toc12532602" w:history="1">
            <w:r w:rsidR="00DF65F3" w:rsidRPr="004815D6">
              <w:rPr>
                <w:rStyle w:val="Hipercze"/>
              </w:rPr>
              <w:t>ADR.AR.C.020     Podstawa certyfikacji</w:t>
            </w:r>
            <w:r w:rsidR="00DF65F3">
              <w:rPr>
                <w:webHidden/>
              </w:rPr>
              <w:tab/>
            </w:r>
            <w:r w:rsidR="00DF65F3">
              <w:rPr>
                <w:webHidden/>
              </w:rPr>
              <w:fldChar w:fldCharType="begin"/>
            </w:r>
            <w:r w:rsidR="00DF65F3">
              <w:rPr>
                <w:webHidden/>
              </w:rPr>
              <w:instrText xml:space="preserve"> PAGEREF _Toc12532602 \h </w:instrText>
            </w:r>
            <w:r w:rsidR="00DF65F3">
              <w:rPr>
                <w:webHidden/>
              </w:rPr>
            </w:r>
            <w:r w:rsidR="00DF65F3">
              <w:rPr>
                <w:webHidden/>
              </w:rPr>
              <w:fldChar w:fldCharType="separate"/>
            </w:r>
            <w:r w:rsidR="00F755B7">
              <w:rPr>
                <w:webHidden/>
              </w:rPr>
              <w:t>71</w:t>
            </w:r>
            <w:r w:rsidR="00DF65F3">
              <w:rPr>
                <w:webHidden/>
              </w:rPr>
              <w:fldChar w:fldCharType="end"/>
            </w:r>
          </w:hyperlink>
        </w:p>
        <w:p w14:paraId="3D19B7CF" w14:textId="29B5064B" w:rsidR="00DF65F3" w:rsidRDefault="00870777">
          <w:pPr>
            <w:pStyle w:val="Spistreci5"/>
            <w:rPr>
              <w:sz w:val="22"/>
              <w:lang w:val="en-GB" w:eastAsia="en-GB"/>
            </w:rPr>
          </w:pPr>
          <w:hyperlink w:anchor="_Toc12532603" w:history="1">
            <w:r w:rsidR="00DF65F3" w:rsidRPr="004815D6">
              <w:rPr>
                <w:rStyle w:val="Hipercze"/>
              </w:rPr>
              <w:t>AMC1 ADR.AR.C.020(a)     Podstawa certyfikacji</w:t>
            </w:r>
            <w:r w:rsidR="00DF65F3">
              <w:rPr>
                <w:webHidden/>
              </w:rPr>
              <w:tab/>
            </w:r>
            <w:r w:rsidR="00DF65F3">
              <w:rPr>
                <w:webHidden/>
              </w:rPr>
              <w:fldChar w:fldCharType="begin"/>
            </w:r>
            <w:r w:rsidR="00DF65F3">
              <w:rPr>
                <w:webHidden/>
              </w:rPr>
              <w:instrText xml:space="preserve"> PAGEREF _Toc12532603 \h </w:instrText>
            </w:r>
            <w:r w:rsidR="00DF65F3">
              <w:rPr>
                <w:webHidden/>
              </w:rPr>
            </w:r>
            <w:r w:rsidR="00DF65F3">
              <w:rPr>
                <w:webHidden/>
              </w:rPr>
              <w:fldChar w:fldCharType="separate"/>
            </w:r>
            <w:r w:rsidR="00F755B7">
              <w:rPr>
                <w:webHidden/>
              </w:rPr>
              <w:t>71</w:t>
            </w:r>
            <w:r w:rsidR="00DF65F3">
              <w:rPr>
                <w:webHidden/>
              </w:rPr>
              <w:fldChar w:fldCharType="end"/>
            </w:r>
          </w:hyperlink>
        </w:p>
        <w:p w14:paraId="1EAD5313" w14:textId="620CCE38" w:rsidR="00DF65F3" w:rsidRDefault="00870777">
          <w:pPr>
            <w:pStyle w:val="Spistreci5"/>
            <w:rPr>
              <w:sz w:val="22"/>
              <w:lang w:val="en-GB" w:eastAsia="en-GB"/>
            </w:rPr>
          </w:pPr>
          <w:hyperlink w:anchor="_Toc12532604" w:history="1">
            <w:r w:rsidR="00DF65F3" w:rsidRPr="004815D6">
              <w:rPr>
                <w:rStyle w:val="Hipercze"/>
              </w:rPr>
              <w:t>AMC1 ADR.AR.C.020(b);(c)     Podstawa certyfikacji</w:t>
            </w:r>
            <w:r w:rsidR="00DF65F3">
              <w:rPr>
                <w:webHidden/>
              </w:rPr>
              <w:tab/>
            </w:r>
            <w:r w:rsidR="00DF65F3">
              <w:rPr>
                <w:webHidden/>
              </w:rPr>
              <w:fldChar w:fldCharType="begin"/>
            </w:r>
            <w:r w:rsidR="00DF65F3">
              <w:rPr>
                <w:webHidden/>
              </w:rPr>
              <w:instrText xml:space="preserve"> PAGEREF _Toc12532604 \h </w:instrText>
            </w:r>
            <w:r w:rsidR="00DF65F3">
              <w:rPr>
                <w:webHidden/>
              </w:rPr>
            </w:r>
            <w:r w:rsidR="00DF65F3">
              <w:rPr>
                <w:webHidden/>
              </w:rPr>
              <w:fldChar w:fldCharType="separate"/>
            </w:r>
            <w:r w:rsidR="00F755B7">
              <w:rPr>
                <w:webHidden/>
              </w:rPr>
              <w:t>71</w:t>
            </w:r>
            <w:r w:rsidR="00DF65F3">
              <w:rPr>
                <w:webHidden/>
              </w:rPr>
              <w:fldChar w:fldCharType="end"/>
            </w:r>
          </w:hyperlink>
        </w:p>
        <w:p w14:paraId="7A58AF54" w14:textId="3C48538E" w:rsidR="00DF65F3" w:rsidRDefault="00870777">
          <w:pPr>
            <w:pStyle w:val="Spistreci6"/>
            <w:rPr>
              <w:sz w:val="22"/>
              <w:lang w:val="en-GB" w:eastAsia="en-GB"/>
            </w:rPr>
          </w:pPr>
          <w:hyperlink w:anchor="_Toc12532605" w:history="1">
            <w:r w:rsidR="00DF65F3" w:rsidRPr="004815D6">
              <w:rPr>
                <w:rStyle w:val="Hipercze"/>
              </w:rPr>
              <w:t>GM1 ADR.AR.C.020(b)     Podstawa certyfikacji</w:t>
            </w:r>
            <w:r w:rsidR="00DF65F3">
              <w:rPr>
                <w:webHidden/>
              </w:rPr>
              <w:tab/>
            </w:r>
            <w:r w:rsidR="00DF65F3">
              <w:rPr>
                <w:webHidden/>
              </w:rPr>
              <w:fldChar w:fldCharType="begin"/>
            </w:r>
            <w:r w:rsidR="00DF65F3">
              <w:rPr>
                <w:webHidden/>
              </w:rPr>
              <w:instrText xml:space="preserve"> PAGEREF _Toc12532605 \h </w:instrText>
            </w:r>
            <w:r w:rsidR="00DF65F3">
              <w:rPr>
                <w:webHidden/>
              </w:rPr>
            </w:r>
            <w:r w:rsidR="00DF65F3">
              <w:rPr>
                <w:webHidden/>
              </w:rPr>
              <w:fldChar w:fldCharType="separate"/>
            </w:r>
            <w:r w:rsidR="00F755B7">
              <w:rPr>
                <w:webHidden/>
              </w:rPr>
              <w:t>72</w:t>
            </w:r>
            <w:r w:rsidR="00DF65F3">
              <w:rPr>
                <w:webHidden/>
              </w:rPr>
              <w:fldChar w:fldCharType="end"/>
            </w:r>
          </w:hyperlink>
        </w:p>
        <w:p w14:paraId="374B28E5" w14:textId="2EA74D34" w:rsidR="00DF65F3" w:rsidRDefault="00870777">
          <w:pPr>
            <w:pStyle w:val="Spistreci3"/>
            <w:rPr>
              <w:rFonts w:asciiTheme="minorHAnsi" w:eastAsiaTheme="minorEastAsia" w:hAnsiTheme="minorHAnsi" w:cstheme="minorBidi"/>
              <w:sz w:val="22"/>
              <w:lang w:val="en-GB" w:eastAsia="en-GB"/>
            </w:rPr>
          </w:pPr>
          <w:hyperlink w:anchor="_Toc12532606" w:history="1">
            <w:r w:rsidR="00DF65F3" w:rsidRPr="004815D6">
              <w:rPr>
                <w:rStyle w:val="Hipercze"/>
              </w:rPr>
              <w:t>ADR.AR.C.025     Warunki specjalne</w:t>
            </w:r>
            <w:r w:rsidR="00DF65F3">
              <w:rPr>
                <w:webHidden/>
              </w:rPr>
              <w:tab/>
            </w:r>
            <w:r w:rsidR="00DF65F3">
              <w:rPr>
                <w:webHidden/>
              </w:rPr>
              <w:fldChar w:fldCharType="begin"/>
            </w:r>
            <w:r w:rsidR="00DF65F3">
              <w:rPr>
                <w:webHidden/>
              </w:rPr>
              <w:instrText xml:space="preserve"> PAGEREF _Toc12532606 \h </w:instrText>
            </w:r>
            <w:r w:rsidR="00DF65F3">
              <w:rPr>
                <w:webHidden/>
              </w:rPr>
            </w:r>
            <w:r w:rsidR="00DF65F3">
              <w:rPr>
                <w:webHidden/>
              </w:rPr>
              <w:fldChar w:fldCharType="separate"/>
            </w:r>
            <w:r w:rsidR="00F755B7">
              <w:rPr>
                <w:webHidden/>
              </w:rPr>
              <w:t>72</w:t>
            </w:r>
            <w:r w:rsidR="00DF65F3">
              <w:rPr>
                <w:webHidden/>
              </w:rPr>
              <w:fldChar w:fldCharType="end"/>
            </w:r>
          </w:hyperlink>
        </w:p>
        <w:p w14:paraId="596CAAF0" w14:textId="1601D0FA" w:rsidR="00DF65F3" w:rsidRDefault="00870777">
          <w:pPr>
            <w:pStyle w:val="Spistreci3"/>
            <w:rPr>
              <w:rFonts w:asciiTheme="minorHAnsi" w:eastAsiaTheme="minorEastAsia" w:hAnsiTheme="minorHAnsi" w:cstheme="minorBidi"/>
              <w:sz w:val="22"/>
              <w:lang w:val="en-GB" w:eastAsia="en-GB"/>
            </w:rPr>
          </w:pPr>
          <w:hyperlink w:anchor="_Toc12532607" w:history="1">
            <w:r w:rsidR="00DF65F3" w:rsidRPr="004815D6">
              <w:rPr>
                <w:rStyle w:val="Hipercze"/>
              </w:rPr>
              <w:t>ADR.AR.C.035     Wydawanie certyfikatów</w:t>
            </w:r>
            <w:r w:rsidR="00DF65F3">
              <w:rPr>
                <w:webHidden/>
              </w:rPr>
              <w:tab/>
            </w:r>
            <w:r w:rsidR="00DF65F3">
              <w:rPr>
                <w:webHidden/>
              </w:rPr>
              <w:fldChar w:fldCharType="begin"/>
            </w:r>
            <w:r w:rsidR="00DF65F3">
              <w:rPr>
                <w:webHidden/>
              </w:rPr>
              <w:instrText xml:space="preserve"> PAGEREF _Toc12532607 \h </w:instrText>
            </w:r>
            <w:r w:rsidR="00DF65F3">
              <w:rPr>
                <w:webHidden/>
              </w:rPr>
            </w:r>
            <w:r w:rsidR="00DF65F3">
              <w:rPr>
                <w:webHidden/>
              </w:rPr>
              <w:fldChar w:fldCharType="separate"/>
            </w:r>
            <w:r w:rsidR="00F755B7">
              <w:rPr>
                <w:webHidden/>
              </w:rPr>
              <w:t>73</w:t>
            </w:r>
            <w:r w:rsidR="00DF65F3">
              <w:rPr>
                <w:webHidden/>
              </w:rPr>
              <w:fldChar w:fldCharType="end"/>
            </w:r>
          </w:hyperlink>
        </w:p>
        <w:p w14:paraId="38E6998C" w14:textId="3D7B3C6B" w:rsidR="00DF65F3" w:rsidRDefault="00870777">
          <w:pPr>
            <w:pStyle w:val="Spistreci6"/>
            <w:rPr>
              <w:sz w:val="22"/>
              <w:lang w:val="en-GB" w:eastAsia="en-GB"/>
            </w:rPr>
          </w:pPr>
          <w:hyperlink w:anchor="_Toc12532608" w:history="1">
            <w:r w:rsidR="00DF65F3" w:rsidRPr="004815D6">
              <w:rPr>
                <w:rStyle w:val="Hipercze"/>
              </w:rPr>
              <w:t>GM1 ADR.AR.C.035(a)     Wydawanie certyfikatów</w:t>
            </w:r>
            <w:r w:rsidR="00DF65F3">
              <w:rPr>
                <w:webHidden/>
              </w:rPr>
              <w:tab/>
            </w:r>
            <w:r w:rsidR="00DF65F3">
              <w:rPr>
                <w:webHidden/>
              </w:rPr>
              <w:fldChar w:fldCharType="begin"/>
            </w:r>
            <w:r w:rsidR="00DF65F3">
              <w:rPr>
                <w:webHidden/>
              </w:rPr>
              <w:instrText xml:space="preserve"> PAGEREF _Toc12532608 \h </w:instrText>
            </w:r>
            <w:r w:rsidR="00DF65F3">
              <w:rPr>
                <w:webHidden/>
              </w:rPr>
            </w:r>
            <w:r w:rsidR="00DF65F3">
              <w:rPr>
                <w:webHidden/>
              </w:rPr>
              <w:fldChar w:fldCharType="separate"/>
            </w:r>
            <w:r w:rsidR="00F755B7">
              <w:rPr>
                <w:webHidden/>
              </w:rPr>
              <w:t>73</w:t>
            </w:r>
            <w:r w:rsidR="00DF65F3">
              <w:rPr>
                <w:webHidden/>
              </w:rPr>
              <w:fldChar w:fldCharType="end"/>
            </w:r>
          </w:hyperlink>
        </w:p>
        <w:p w14:paraId="019D59F8" w14:textId="430C901E" w:rsidR="00DF65F3" w:rsidRDefault="00870777">
          <w:pPr>
            <w:pStyle w:val="Spistreci6"/>
            <w:rPr>
              <w:sz w:val="22"/>
              <w:lang w:val="en-GB" w:eastAsia="en-GB"/>
            </w:rPr>
          </w:pPr>
          <w:hyperlink w:anchor="_Toc12532609" w:history="1">
            <w:r w:rsidR="00DF65F3" w:rsidRPr="004815D6">
              <w:rPr>
                <w:rStyle w:val="Hipercze"/>
              </w:rPr>
              <w:t>GM2 ADR.AR.C.035(a)     Wydawanie certyfikatów</w:t>
            </w:r>
            <w:r w:rsidR="00DF65F3">
              <w:rPr>
                <w:webHidden/>
              </w:rPr>
              <w:tab/>
            </w:r>
            <w:r w:rsidR="00DF65F3">
              <w:rPr>
                <w:webHidden/>
              </w:rPr>
              <w:fldChar w:fldCharType="begin"/>
            </w:r>
            <w:r w:rsidR="00DF65F3">
              <w:rPr>
                <w:webHidden/>
              </w:rPr>
              <w:instrText xml:space="preserve"> PAGEREF _Toc12532609 \h </w:instrText>
            </w:r>
            <w:r w:rsidR="00DF65F3">
              <w:rPr>
                <w:webHidden/>
              </w:rPr>
            </w:r>
            <w:r w:rsidR="00DF65F3">
              <w:rPr>
                <w:webHidden/>
              </w:rPr>
              <w:fldChar w:fldCharType="separate"/>
            </w:r>
            <w:r w:rsidR="00F755B7">
              <w:rPr>
                <w:webHidden/>
              </w:rPr>
              <w:t>73</w:t>
            </w:r>
            <w:r w:rsidR="00DF65F3">
              <w:rPr>
                <w:webHidden/>
              </w:rPr>
              <w:fldChar w:fldCharType="end"/>
            </w:r>
          </w:hyperlink>
        </w:p>
        <w:p w14:paraId="0C9124DC" w14:textId="5E403181" w:rsidR="00DF65F3" w:rsidRDefault="00870777">
          <w:pPr>
            <w:pStyle w:val="Spistreci6"/>
            <w:rPr>
              <w:sz w:val="22"/>
              <w:lang w:val="en-GB" w:eastAsia="en-GB"/>
            </w:rPr>
          </w:pPr>
          <w:hyperlink w:anchor="_Toc12532610" w:history="1">
            <w:r w:rsidR="00DF65F3" w:rsidRPr="004815D6">
              <w:rPr>
                <w:rStyle w:val="Hipercze"/>
              </w:rPr>
              <w:t>GM3 ADR.AR.C.035(a)     Wydawanie certyfikatów</w:t>
            </w:r>
            <w:r w:rsidR="00DF65F3">
              <w:rPr>
                <w:webHidden/>
              </w:rPr>
              <w:tab/>
            </w:r>
            <w:r w:rsidR="00DF65F3">
              <w:rPr>
                <w:webHidden/>
              </w:rPr>
              <w:fldChar w:fldCharType="begin"/>
            </w:r>
            <w:r w:rsidR="00DF65F3">
              <w:rPr>
                <w:webHidden/>
              </w:rPr>
              <w:instrText xml:space="preserve"> PAGEREF _Toc12532610 \h </w:instrText>
            </w:r>
            <w:r w:rsidR="00DF65F3">
              <w:rPr>
                <w:webHidden/>
              </w:rPr>
            </w:r>
            <w:r w:rsidR="00DF65F3">
              <w:rPr>
                <w:webHidden/>
              </w:rPr>
              <w:fldChar w:fldCharType="separate"/>
            </w:r>
            <w:r w:rsidR="00F755B7">
              <w:rPr>
                <w:webHidden/>
              </w:rPr>
              <w:t>74</w:t>
            </w:r>
            <w:r w:rsidR="00DF65F3">
              <w:rPr>
                <w:webHidden/>
              </w:rPr>
              <w:fldChar w:fldCharType="end"/>
            </w:r>
          </w:hyperlink>
        </w:p>
        <w:p w14:paraId="373FD461" w14:textId="31E3A72F" w:rsidR="00DF65F3" w:rsidRDefault="00870777">
          <w:pPr>
            <w:pStyle w:val="Spistreci6"/>
            <w:rPr>
              <w:sz w:val="22"/>
              <w:lang w:val="en-GB" w:eastAsia="en-GB"/>
            </w:rPr>
          </w:pPr>
          <w:hyperlink w:anchor="_Toc12532611" w:history="1">
            <w:r w:rsidR="00DF65F3" w:rsidRPr="004815D6">
              <w:rPr>
                <w:rStyle w:val="Hipercze"/>
              </w:rPr>
              <w:t>GM1 ADR.AR.C.035(b)(1)     Wydawanie certyfikatów</w:t>
            </w:r>
            <w:r w:rsidR="00DF65F3">
              <w:rPr>
                <w:webHidden/>
              </w:rPr>
              <w:tab/>
            </w:r>
            <w:r w:rsidR="00DF65F3">
              <w:rPr>
                <w:webHidden/>
              </w:rPr>
              <w:fldChar w:fldCharType="begin"/>
            </w:r>
            <w:r w:rsidR="00DF65F3">
              <w:rPr>
                <w:webHidden/>
              </w:rPr>
              <w:instrText xml:space="preserve"> PAGEREF _Toc12532611 \h </w:instrText>
            </w:r>
            <w:r w:rsidR="00DF65F3">
              <w:rPr>
                <w:webHidden/>
              </w:rPr>
            </w:r>
            <w:r w:rsidR="00DF65F3">
              <w:rPr>
                <w:webHidden/>
              </w:rPr>
              <w:fldChar w:fldCharType="separate"/>
            </w:r>
            <w:r w:rsidR="00F755B7">
              <w:rPr>
                <w:webHidden/>
              </w:rPr>
              <w:t>76</w:t>
            </w:r>
            <w:r w:rsidR="00DF65F3">
              <w:rPr>
                <w:webHidden/>
              </w:rPr>
              <w:fldChar w:fldCharType="end"/>
            </w:r>
          </w:hyperlink>
        </w:p>
        <w:p w14:paraId="26C36505" w14:textId="384B83B8" w:rsidR="00DF65F3" w:rsidRDefault="00870777">
          <w:pPr>
            <w:pStyle w:val="Spistreci5"/>
            <w:rPr>
              <w:sz w:val="22"/>
              <w:lang w:val="en-GB" w:eastAsia="en-GB"/>
            </w:rPr>
          </w:pPr>
          <w:hyperlink w:anchor="_Toc12532612" w:history="1">
            <w:r w:rsidR="00DF65F3" w:rsidRPr="004815D6">
              <w:rPr>
                <w:rStyle w:val="Hipercze"/>
              </w:rPr>
              <w:t>AMC1 ADR.AR.C.035(b)(2)     Wydawanie certyfikatów</w:t>
            </w:r>
            <w:r w:rsidR="00DF65F3">
              <w:rPr>
                <w:webHidden/>
              </w:rPr>
              <w:tab/>
            </w:r>
            <w:r w:rsidR="00DF65F3">
              <w:rPr>
                <w:webHidden/>
              </w:rPr>
              <w:fldChar w:fldCharType="begin"/>
            </w:r>
            <w:r w:rsidR="00DF65F3">
              <w:rPr>
                <w:webHidden/>
              </w:rPr>
              <w:instrText xml:space="preserve"> PAGEREF _Toc12532612 \h </w:instrText>
            </w:r>
            <w:r w:rsidR="00DF65F3">
              <w:rPr>
                <w:webHidden/>
              </w:rPr>
            </w:r>
            <w:r w:rsidR="00DF65F3">
              <w:rPr>
                <w:webHidden/>
              </w:rPr>
              <w:fldChar w:fldCharType="separate"/>
            </w:r>
            <w:r w:rsidR="00F755B7">
              <w:rPr>
                <w:webHidden/>
              </w:rPr>
              <w:t>76</w:t>
            </w:r>
            <w:r w:rsidR="00DF65F3">
              <w:rPr>
                <w:webHidden/>
              </w:rPr>
              <w:fldChar w:fldCharType="end"/>
            </w:r>
          </w:hyperlink>
        </w:p>
        <w:p w14:paraId="31072F75" w14:textId="2A3252FD" w:rsidR="00DF65F3" w:rsidRDefault="00870777">
          <w:pPr>
            <w:pStyle w:val="Spistreci6"/>
            <w:rPr>
              <w:sz w:val="22"/>
              <w:lang w:val="en-GB" w:eastAsia="en-GB"/>
            </w:rPr>
          </w:pPr>
          <w:hyperlink w:anchor="_Toc12532613" w:history="1">
            <w:r w:rsidR="00DF65F3" w:rsidRPr="004815D6">
              <w:rPr>
                <w:rStyle w:val="Hipercze"/>
              </w:rPr>
              <w:t>GM1 ADR.AR.C.035(b)(2)     Wydawanie certyfikatów</w:t>
            </w:r>
            <w:r w:rsidR="00DF65F3">
              <w:rPr>
                <w:webHidden/>
              </w:rPr>
              <w:tab/>
            </w:r>
            <w:r w:rsidR="00DF65F3">
              <w:rPr>
                <w:webHidden/>
              </w:rPr>
              <w:fldChar w:fldCharType="begin"/>
            </w:r>
            <w:r w:rsidR="00DF65F3">
              <w:rPr>
                <w:webHidden/>
              </w:rPr>
              <w:instrText xml:space="preserve"> PAGEREF _Toc12532613 \h </w:instrText>
            </w:r>
            <w:r w:rsidR="00DF65F3">
              <w:rPr>
                <w:webHidden/>
              </w:rPr>
            </w:r>
            <w:r w:rsidR="00DF65F3">
              <w:rPr>
                <w:webHidden/>
              </w:rPr>
              <w:fldChar w:fldCharType="separate"/>
            </w:r>
            <w:r w:rsidR="00F755B7">
              <w:rPr>
                <w:webHidden/>
              </w:rPr>
              <w:t>77</w:t>
            </w:r>
            <w:r w:rsidR="00DF65F3">
              <w:rPr>
                <w:webHidden/>
              </w:rPr>
              <w:fldChar w:fldCharType="end"/>
            </w:r>
          </w:hyperlink>
        </w:p>
        <w:p w14:paraId="7BB46FA5" w14:textId="77A4FDF1" w:rsidR="00DF65F3" w:rsidRDefault="00870777">
          <w:pPr>
            <w:pStyle w:val="Spistreci5"/>
            <w:rPr>
              <w:sz w:val="22"/>
              <w:lang w:val="en-GB" w:eastAsia="en-GB"/>
            </w:rPr>
          </w:pPr>
          <w:hyperlink w:anchor="_Toc12532614" w:history="1">
            <w:r w:rsidR="00DF65F3" w:rsidRPr="004815D6">
              <w:rPr>
                <w:rStyle w:val="Hipercze"/>
              </w:rPr>
              <w:t>AMC1 ADR.AR.C.035(c)     Wydawanie certyfikatów</w:t>
            </w:r>
            <w:r w:rsidR="00DF65F3">
              <w:rPr>
                <w:webHidden/>
              </w:rPr>
              <w:tab/>
            </w:r>
            <w:r w:rsidR="00DF65F3">
              <w:rPr>
                <w:webHidden/>
              </w:rPr>
              <w:fldChar w:fldCharType="begin"/>
            </w:r>
            <w:r w:rsidR="00DF65F3">
              <w:rPr>
                <w:webHidden/>
              </w:rPr>
              <w:instrText xml:space="preserve"> PAGEREF _Toc12532614 \h </w:instrText>
            </w:r>
            <w:r w:rsidR="00DF65F3">
              <w:rPr>
                <w:webHidden/>
              </w:rPr>
            </w:r>
            <w:r w:rsidR="00DF65F3">
              <w:rPr>
                <w:webHidden/>
              </w:rPr>
              <w:fldChar w:fldCharType="separate"/>
            </w:r>
            <w:r w:rsidR="00F755B7">
              <w:rPr>
                <w:webHidden/>
              </w:rPr>
              <w:t>78</w:t>
            </w:r>
            <w:r w:rsidR="00DF65F3">
              <w:rPr>
                <w:webHidden/>
              </w:rPr>
              <w:fldChar w:fldCharType="end"/>
            </w:r>
          </w:hyperlink>
        </w:p>
        <w:p w14:paraId="542C0C78" w14:textId="477DB90D" w:rsidR="00DF65F3" w:rsidRDefault="00870777">
          <w:pPr>
            <w:pStyle w:val="Spistreci6"/>
            <w:rPr>
              <w:sz w:val="22"/>
              <w:lang w:val="en-GB" w:eastAsia="en-GB"/>
            </w:rPr>
          </w:pPr>
          <w:hyperlink w:anchor="_Toc12532615" w:history="1">
            <w:r w:rsidR="00DF65F3" w:rsidRPr="004815D6">
              <w:rPr>
                <w:rStyle w:val="Hipercze"/>
              </w:rPr>
              <w:t>GM1 ADR.AR.C.035(c)     Wydawanie certyfikatów</w:t>
            </w:r>
            <w:r w:rsidR="00DF65F3">
              <w:rPr>
                <w:webHidden/>
              </w:rPr>
              <w:tab/>
            </w:r>
            <w:r w:rsidR="00DF65F3">
              <w:rPr>
                <w:webHidden/>
              </w:rPr>
              <w:fldChar w:fldCharType="begin"/>
            </w:r>
            <w:r w:rsidR="00DF65F3">
              <w:rPr>
                <w:webHidden/>
              </w:rPr>
              <w:instrText xml:space="preserve"> PAGEREF _Toc12532615 \h </w:instrText>
            </w:r>
            <w:r w:rsidR="00DF65F3">
              <w:rPr>
                <w:webHidden/>
              </w:rPr>
            </w:r>
            <w:r w:rsidR="00DF65F3">
              <w:rPr>
                <w:webHidden/>
              </w:rPr>
              <w:fldChar w:fldCharType="separate"/>
            </w:r>
            <w:r w:rsidR="00F755B7">
              <w:rPr>
                <w:webHidden/>
              </w:rPr>
              <w:t>80</w:t>
            </w:r>
            <w:r w:rsidR="00DF65F3">
              <w:rPr>
                <w:webHidden/>
              </w:rPr>
              <w:fldChar w:fldCharType="end"/>
            </w:r>
          </w:hyperlink>
        </w:p>
        <w:p w14:paraId="38E7376E" w14:textId="1CD09A95" w:rsidR="00DF65F3" w:rsidRDefault="00870777">
          <w:pPr>
            <w:pStyle w:val="Spistreci5"/>
            <w:rPr>
              <w:sz w:val="22"/>
              <w:lang w:val="en-GB" w:eastAsia="en-GB"/>
            </w:rPr>
          </w:pPr>
          <w:hyperlink w:anchor="_Toc12532616" w:history="1">
            <w:r w:rsidR="00DF65F3" w:rsidRPr="004815D6">
              <w:rPr>
                <w:rStyle w:val="Hipercze"/>
              </w:rPr>
              <w:t>AMC1 ADR.AR.C.035(d)     Wydawanie certyfikatów</w:t>
            </w:r>
            <w:r w:rsidR="00DF65F3">
              <w:rPr>
                <w:webHidden/>
              </w:rPr>
              <w:tab/>
            </w:r>
            <w:r w:rsidR="00DF65F3">
              <w:rPr>
                <w:webHidden/>
              </w:rPr>
              <w:fldChar w:fldCharType="begin"/>
            </w:r>
            <w:r w:rsidR="00DF65F3">
              <w:rPr>
                <w:webHidden/>
              </w:rPr>
              <w:instrText xml:space="preserve"> PAGEREF _Toc12532616 \h </w:instrText>
            </w:r>
            <w:r w:rsidR="00DF65F3">
              <w:rPr>
                <w:webHidden/>
              </w:rPr>
            </w:r>
            <w:r w:rsidR="00DF65F3">
              <w:rPr>
                <w:webHidden/>
              </w:rPr>
              <w:fldChar w:fldCharType="separate"/>
            </w:r>
            <w:r w:rsidR="00F755B7">
              <w:rPr>
                <w:webHidden/>
              </w:rPr>
              <w:t>80</w:t>
            </w:r>
            <w:r w:rsidR="00DF65F3">
              <w:rPr>
                <w:webHidden/>
              </w:rPr>
              <w:fldChar w:fldCharType="end"/>
            </w:r>
          </w:hyperlink>
        </w:p>
        <w:p w14:paraId="194636A7" w14:textId="316B2098" w:rsidR="00DF65F3" w:rsidRDefault="00870777">
          <w:pPr>
            <w:pStyle w:val="Spistreci5"/>
            <w:rPr>
              <w:sz w:val="22"/>
              <w:lang w:val="en-GB" w:eastAsia="en-GB"/>
            </w:rPr>
          </w:pPr>
          <w:hyperlink w:anchor="_Toc12532617" w:history="1">
            <w:r w:rsidR="00DF65F3" w:rsidRPr="004815D6">
              <w:rPr>
                <w:rStyle w:val="Hipercze"/>
              </w:rPr>
              <w:t>AMC2 ADR.AR.C.035(d)     Wydawanie certyfikatów</w:t>
            </w:r>
            <w:r w:rsidR="00DF65F3">
              <w:rPr>
                <w:webHidden/>
              </w:rPr>
              <w:tab/>
            </w:r>
            <w:r w:rsidR="00DF65F3">
              <w:rPr>
                <w:webHidden/>
              </w:rPr>
              <w:fldChar w:fldCharType="begin"/>
            </w:r>
            <w:r w:rsidR="00DF65F3">
              <w:rPr>
                <w:webHidden/>
              </w:rPr>
              <w:instrText xml:space="preserve"> PAGEREF _Toc12532617 \h </w:instrText>
            </w:r>
            <w:r w:rsidR="00DF65F3">
              <w:rPr>
                <w:webHidden/>
              </w:rPr>
            </w:r>
            <w:r w:rsidR="00DF65F3">
              <w:rPr>
                <w:webHidden/>
              </w:rPr>
              <w:fldChar w:fldCharType="separate"/>
            </w:r>
            <w:r w:rsidR="00F755B7">
              <w:rPr>
                <w:webHidden/>
              </w:rPr>
              <w:t>80</w:t>
            </w:r>
            <w:r w:rsidR="00DF65F3">
              <w:rPr>
                <w:webHidden/>
              </w:rPr>
              <w:fldChar w:fldCharType="end"/>
            </w:r>
          </w:hyperlink>
        </w:p>
        <w:p w14:paraId="35AB6748" w14:textId="02B7243D" w:rsidR="00DF65F3" w:rsidRDefault="00870777">
          <w:pPr>
            <w:pStyle w:val="Spistreci6"/>
            <w:rPr>
              <w:sz w:val="22"/>
              <w:lang w:val="en-GB" w:eastAsia="en-GB"/>
            </w:rPr>
          </w:pPr>
          <w:hyperlink w:anchor="_Toc12532618" w:history="1">
            <w:r w:rsidR="00DF65F3" w:rsidRPr="004815D6">
              <w:rPr>
                <w:rStyle w:val="Hipercze"/>
              </w:rPr>
              <w:t>GM1 ADR.AR.C.035(d)     Wydawanie certyfikatów</w:t>
            </w:r>
            <w:r w:rsidR="00DF65F3">
              <w:rPr>
                <w:webHidden/>
              </w:rPr>
              <w:tab/>
            </w:r>
            <w:r w:rsidR="00DF65F3">
              <w:rPr>
                <w:webHidden/>
              </w:rPr>
              <w:fldChar w:fldCharType="begin"/>
            </w:r>
            <w:r w:rsidR="00DF65F3">
              <w:rPr>
                <w:webHidden/>
              </w:rPr>
              <w:instrText xml:space="preserve"> PAGEREF _Toc12532618 \h </w:instrText>
            </w:r>
            <w:r w:rsidR="00DF65F3">
              <w:rPr>
                <w:webHidden/>
              </w:rPr>
            </w:r>
            <w:r w:rsidR="00DF65F3">
              <w:rPr>
                <w:webHidden/>
              </w:rPr>
              <w:fldChar w:fldCharType="separate"/>
            </w:r>
            <w:r w:rsidR="00F755B7">
              <w:rPr>
                <w:webHidden/>
              </w:rPr>
              <w:t>80</w:t>
            </w:r>
            <w:r w:rsidR="00DF65F3">
              <w:rPr>
                <w:webHidden/>
              </w:rPr>
              <w:fldChar w:fldCharType="end"/>
            </w:r>
          </w:hyperlink>
        </w:p>
        <w:p w14:paraId="0BA5FAFE" w14:textId="656E8617" w:rsidR="00DF65F3" w:rsidRDefault="00870777">
          <w:pPr>
            <w:pStyle w:val="Spistreci6"/>
            <w:rPr>
              <w:sz w:val="22"/>
              <w:lang w:val="en-GB" w:eastAsia="en-GB"/>
            </w:rPr>
          </w:pPr>
          <w:hyperlink w:anchor="_Toc12532619" w:history="1">
            <w:r w:rsidR="00DF65F3" w:rsidRPr="004815D6">
              <w:rPr>
                <w:rStyle w:val="Hipercze"/>
              </w:rPr>
              <w:t>GM1 ADR.AR.C.035(e)     Wydawanie certyfikatów</w:t>
            </w:r>
            <w:r w:rsidR="00DF65F3">
              <w:rPr>
                <w:webHidden/>
              </w:rPr>
              <w:tab/>
            </w:r>
            <w:r w:rsidR="00DF65F3">
              <w:rPr>
                <w:webHidden/>
              </w:rPr>
              <w:fldChar w:fldCharType="begin"/>
            </w:r>
            <w:r w:rsidR="00DF65F3">
              <w:rPr>
                <w:webHidden/>
              </w:rPr>
              <w:instrText xml:space="preserve"> PAGEREF _Toc12532619 \h </w:instrText>
            </w:r>
            <w:r w:rsidR="00DF65F3">
              <w:rPr>
                <w:webHidden/>
              </w:rPr>
            </w:r>
            <w:r w:rsidR="00DF65F3">
              <w:rPr>
                <w:webHidden/>
              </w:rPr>
              <w:fldChar w:fldCharType="separate"/>
            </w:r>
            <w:r w:rsidR="00F755B7">
              <w:rPr>
                <w:webHidden/>
              </w:rPr>
              <w:t>81</w:t>
            </w:r>
            <w:r w:rsidR="00DF65F3">
              <w:rPr>
                <w:webHidden/>
              </w:rPr>
              <w:fldChar w:fldCharType="end"/>
            </w:r>
          </w:hyperlink>
        </w:p>
        <w:p w14:paraId="799AA0D6" w14:textId="16B74B64" w:rsidR="00DF65F3" w:rsidRDefault="00870777">
          <w:pPr>
            <w:pStyle w:val="Spistreci5"/>
            <w:rPr>
              <w:sz w:val="22"/>
              <w:lang w:val="en-GB" w:eastAsia="en-GB"/>
            </w:rPr>
          </w:pPr>
          <w:hyperlink w:anchor="_Toc12532620" w:history="1">
            <w:r w:rsidR="00DF65F3" w:rsidRPr="004815D6">
              <w:rPr>
                <w:rStyle w:val="Hipercze"/>
              </w:rPr>
              <w:t>AMC1 ADR.AR.C.035(h)     Wydawanie certyfikatów</w:t>
            </w:r>
            <w:r w:rsidR="00DF65F3">
              <w:rPr>
                <w:webHidden/>
              </w:rPr>
              <w:tab/>
            </w:r>
            <w:r w:rsidR="00DF65F3">
              <w:rPr>
                <w:webHidden/>
              </w:rPr>
              <w:fldChar w:fldCharType="begin"/>
            </w:r>
            <w:r w:rsidR="00DF65F3">
              <w:rPr>
                <w:webHidden/>
              </w:rPr>
              <w:instrText xml:space="preserve"> PAGEREF _Toc12532620 \h </w:instrText>
            </w:r>
            <w:r w:rsidR="00DF65F3">
              <w:rPr>
                <w:webHidden/>
              </w:rPr>
            </w:r>
            <w:r w:rsidR="00DF65F3">
              <w:rPr>
                <w:webHidden/>
              </w:rPr>
              <w:fldChar w:fldCharType="separate"/>
            </w:r>
            <w:r w:rsidR="00F755B7">
              <w:rPr>
                <w:webHidden/>
              </w:rPr>
              <w:t>82</w:t>
            </w:r>
            <w:r w:rsidR="00DF65F3">
              <w:rPr>
                <w:webHidden/>
              </w:rPr>
              <w:fldChar w:fldCharType="end"/>
            </w:r>
          </w:hyperlink>
        </w:p>
        <w:p w14:paraId="3C192548" w14:textId="31E113F1" w:rsidR="00DF65F3" w:rsidRDefault="00870777">
          <w:pPr>
            <w:pStyle w:val="Spistreci3"/>
            <w:rPr>
              <w:rFonts w:asciiTheme="minorHAnsi" w:eastAsiaTheme="minorEastAsia" w:hAnsiTheme="minorHAnsi" w:cstheme="minorBidi"/>
              <w:sz w:val="22"/>
              <w:lang w:val="en-GB" w:eastAsia="en-GB"/>
            </w:rPr>
          </w:pPr>
          <w:hyperlink w:anchor="_Toc12532621" w:history="1">
            <w:r w:rsidR="00DF65F3" w:rsidRPr="004815D6">
              <w:rPr>
                <w:rStyle w:val="Hipercze"/>
              </w:rPr>
              <w:t>ADR.AR.C.040     Zmiany</w:t>
            </w:r>
            <w:r w:rsidR="00DF65F3">
              <w:rPr>
                <w:webHidden/>
              </w:rPr>
              <w:tab/>
            </w:r>
            <w:r w:rsidR="00DF65F3">
              <w:rPr>
                <w:webHidden/>
              </w:rPr>
              <w:fldChar w:fldCharType="begin"/>
            </w:r>
            <w:r w:rsidR="00DF65F3">
              <w:rPr>
                <w:webHidden/>
              </w:rPr>
              <w:instrText xml:space="preserve"> PAGEREF _Toc12532621 \h </w:instrText>
            </w:r>
            <w:r w:rsidR="00DF65F3">
              <w:rPr>
                <w:webHidden/>
              </w:rPr>
            </w:r>
            <w:r w:rsidR="00DF65F3">
              <w:rPr>
                <w:webHidden/>
              </w:rPr>
              <w:fldChar w:fldCharType="separate"/>
            </w:r>
            <w:r w:rsidR="00F755B7">
              <w:rPr>
                <w:webHidden/>
              </w:rPr>
              <w:t>83</w:t>
            </w:r>
            <w:r w:rsidR="00DF65F3">
              <w:rPr>
                <w:webHidden/>
              </w:rPr>
              <w:fldChar w:fldCharType="end"/>
            </w:r>
          </w:hyperlink>
        </w:p>
        <w:p w14:paraId="2BB81898" w14:textId="423A54E8" w:rsidR="00DF65F3" w:rsidRDefault="00870777">
          <w:pPr>
            <w:pStyle w:val="Spistreci5"/>
            <w:rPr>
              <w:sz w:val="22"/>
              <w:lang w:val="en-GB" w:eastAsia="en-GB"/>
            </w:rPr>
          </w:pPr>
          <w:hyperlink w:anchor="_Toc12532622" w:history="1">
            <w:r w:rsidR="00DF65F3" w:rsidRPr="004815D6">
              <w:rPr>
                <w:rStyle w:val="Hipercze"/>
              </w:rPr>
              <w:t>AMC1 ADR.AR.C.040(a)     Zmiany</w:t>
            </w:r>
            <w:r w:rsidR="00DF65F3">
              <w:rPr>
                <w:webHidden/>
              </w:rPr>
              <w:tab/>
            </w:r>
            <w:r w:rsidR="00DF65F3">
              <w:rPr>
                <w:webHidden/>
              </w:rPr>
              <w:fldChar w:fldCharType="begin"/>
            </w:r>
            <w:r w:rsidR="00DF65F3">
              <w:rPr>
                <w:webHidden/>
              </w:rPr>
              <w:instrText xml:space="preserve"> PAGEREF _Toc12532622 \h </w:instrText>
            </w:r>
            <w:r w:rsidR="00DF65F3">
              <w:rPr>
                <w:webHidden/>
              </w:rPr>
            </w:r>
            <w:r w:rsidR="00DF65F3">
              <w:rPr>
                <w:webHidden/>
              </w:rPr>
              <w:fldChar w:fldCharType="separate"/>
            </w:r>
            <w:r w:rsidR="00F755B7">
              <w:rPr>
                <w:webHidden/>
              </w:rPr>
              <w:t>83</w:t>
            </w:r>
            <w:r w:rsidR="00DF65F3">
              <w:rPr>
                <w:webHidden/>
              </w:rPr>
              <w:fldChar w:fldCharType="end"/>
            </w:r>
          </w:hyperlink>
        </w:p>
        <w:p w14:paraId="5094461A" w14:textId="47238222" w:rsidR="00DF65F3" w:rsidRDefault="00870777">
          <w:pPr>
            <w:pStyle w:val="Spistreci5"/>
            <w:rPr>
              <w:sz w:val="22"/>
              <w:lang w:val="en-GB" w:eastAsia="en-GB"/>
            </w:rPr>
          </w:pPr>
          <w:hyperlink w:anchor="_Toc12532623" w:history="1">
            <w:r w:rsidR="00DF65F3" w:rsidRPr="004815D6">
              <w:rPr>
                <w:rStyle w:val="Hipercze"/>
              </w:rPr>
              <w:t>AMC2 ADR.AR.C.040(a)     Zmiany</w:t>
            </w:r>
            <w:r w:rsidR="00DF65F3">
              <w:rPr>
                <w:webHidden/>
              </w:rPr>
              <w:tab/>
            </w:r>
            <w:r w:rsidR="00DF65F3">
              <w:rPr>
                <w:webHidden/>
              </w:rPr>
              <w:fldChar w:fldCharType="begin"/>
            </w:r>
            <w:r w:rsidR="00DF65F3">
              <w:rPr>
                <w:webHidden/>
              </w:rPr>
              <w:instrText xml:space="preserve"> PAGEREF _Toc12532623 \h </w:instrText>
            </w:r>
            <w:r w:rsidR="00DF65F3">
              <w:rPr>
                <w:webHidden/>
              </w:rPr>
            </w:r>
            <w:r w:rsidR="00DF65F3">
              <w:rPr>
                <w:webHidden/>
              </w:rPr>
              <w:fldChar w:fldCharType="separate"/>
            </w:r>
            <w:r w:rsidR="00F755B7">
              <w:rPr>
                <w:webHidden/>
              </w:rPr>
              <w:t>84</w:t>
            </w:r>
            <w:r w:rsidR="00DF65F3">
              <w:rPr>
                <w:webHidden/>
              </w:rPr>
              <w:fldChar w:fldCharType="end"/>
            </w:r>
          </w:hyperlink>
        </w:p>
        <w:p w14:paraId="635226D7" w14:textId="2BF5733D" w:rsidR="00DF65F3" w:rsidRDefault="00870777">
          <w:pPr>
            <w:pStyle w:val="Spistreci5"/>
            <w:rPr>
              <w:sz w:val="22"/>
              <w:lang w:val="en-GB" w:eastAsia="en-GB"/>
            </w:rPr>
          </w:pPr>
          <w:hyperlink w:anchor="_Toc12532624" w:history="1">
            <w:r w:rsidR="00DF65F3" w:rsidRPr="004815D6">
              <w:rPr>
                <w:rStyle w:val="Hipercze"/>
              </w:rPr>
              <w:t>AMC1 ADR.AR.C.040(a);(f)     Zmiany</w:t>
            </w:r>
            <w:r w:rsidR="00DF65F3">
              <w:rPr>
                <w:webHidden/>
              </w:rPr>
              <w:tab/>
            </w:r>
            <w:r w:rsidR="00DF65F3">
              <w:rPr>
                <w:webHidden/>
              </w:rPr>
              <w:fldChar w:fldCharType="begin"/>
            </w:r>
            <w:r w:rsidR="00DF65F3">
              <w:rPr>
                <w:webHidden/>
              </w:rPr>
              <w:instrText xml:space="preserve"> PAGEREF _Toc12532624 \h </w:instrText>
            </w:r>
            <w:r w:rsidR="00DF65F3">
              <w:rPr>
                <w:webHidden/>
              </w:rPr>
            </w:r>
            <w:r w:rsidR="00DF65F3">
              <w:rPr>
                <w:webHidden/>
              </w:rPr>
              <w:fldChar w:fldCharType="separate"/>
            </w:r>
            <w:r w:rsidR="00F755B7">
              <w:rPr>
                <w:webHidden/>
              </w:rPr>
              <w:t>85</w:t>
            </w:r>
            <w:r w:rsidR="00DF65F3">
              <w:rPr>
                <w:webHidden/>
              </w:rPr>
              <w:fldChar w:fldCharType="end"/>
            </w:r>
          </w:hyperlink>
        </w:p>
        <w:p w14:paraId="61A8E650" w14:textId="3B738D26" w:rsidR="00DF65F3" w:rsidRDefault="00870777">
          <w:pPr>
            <w:pStyle w:val="Spistreci6"/>
            <w:rPr>
              <w:sz w:val="22"/>
              <w:lang w:val="en-GB" w:eastAsia="en-GB"/>
            </w:rPr>
          </w:pPr>
          <w:hyperlink w:anchor="_Toc12532625" w:history="1">
            <w:r w:rsidR="00DF65F3" w:rsidRPr="004815D6">
              <w:rPr>
                <w:rStyle w:val="Hipercze"/>
              </w:rPr>
              <w:t>GM1 ADR.AR.C.040(c)     Zmiany</w:t>
            </w:r>
            <w:r w:rsidR="00DF65F3">
              <w:rPr>
                <w:webHidden/>
              </w:rPr>
              <w:tab/>
            </w:r>
            <w:r w:rsidR="00DF65F3">
              <w:rPr>
                <w:webHidden/>
              </w:rPr>
              <w:fldChar w:fldCharType="begin"/>
            </w:r>
            <w:r w:rsidR="00DF65F3">
              <w:rPr>
                <w:webHidden/>
              </w:rPr>
              <w:instrText xml:space="preserve"> PAGEREF _Toc12532625 \h </w:instrText>
            </w:r>
            <w:r w:rsidR="00DF65F3">
              <w:rPr>
                <w:webHidden/>
              </w:rPr>
            </w:r>
            <w:r w:rsidR="00DF65F3">
              <w:rPr>
                <w:webHidden/>
              </w:rPr>
              <w:fldChar w:fldCharType="separate"/>
            </w:r>
            <w:r w:rsidR="00F755B7">
              <w:rPr>
                <w:webHidden/>
              </w:rPr>
              <w:t>85</w:t>
            </w:r>
            <w:r w:rsidR="00DF65F3">
              <w:rPr>
                <w:webHidden/>
              </w:rPr>
              <w:fldChar w:fldCharType="end"/>
            </w:r>
          </w:hyperlink>
        </w:p>
        <w:p w14:paraId="27986D98" w14:textId="5F8DCB2D" w:rsidR="00DF65F3" w:rsidRDefault="00870777">
          <w:pPr>
            <w:pStyle w:val="Spistreci6"/>
            <w:rPr>
              <w:sz w:val="22"/>
              <w:lang w:val="en-GB" w:eastAsia="en-GB"/>
            </w:rPr>
          </w:pPr>
          <w:hyperlink w:anchor="_Toc12532626" w:history="1">
            <w:r w:rsidR="00DF65F3" w:rsidRPr="004815D6">
              <w:rPr>
                <w:rStyle w:val="Hipercze"/>
              </w:rPr>
              <w:t>GM1 ADR.AR.C.040(d)     Zmiany</w:t>
            </w:r>
            <w:r w:rsidR="00DF65F3">
              <w:rPr>
                <w:webHidden/>
              </w:rPr>
              <w:tab/>
            </w:r>
            <w:r w:rsidR="00DF65F3">
              <w:rPr>
                <w:webHidden/>
              </w:rPr>
              <w:fldChar w:fldCharType="begin"/>
            </w:r>
            <w:r w:rsidR="00DF65F3">
              <w:rPr>
                <w:webHidden/>
              </w:rPr>
              <w:instrText xml:space="preserve"> PAGEREF _Toc12532626 \h </w:instrText>
            </w:r>
            <w:r w:rsidR="00DF65F3">
              <w:rPr>
                <w:webHidden/>
              </w:rPr>
            </w:r>
            <w:r w:rsidR="00DF65F3">
              <w:rPr>
                <w:webHidden/>
              </w:rPr>
              <w:fldChar w:fldCharType="separate"/>
            </w:r>
            <w:r w:rsidR="00F755B7">
              <w:rPr>
                <w:webHidden/>
              </w:rPr>
              <w:t>86</w:t>
            </w:r>
            <w:r w:rsidR="00DF65F3">
              <w:rPr>
                <w:webHidden/>
              </w:rPr>
              <w:fldChar w:fldCharType="end"/>
            </w:r>
          </w:hyperlink>
        </w:p>
        <w:p w14:paraId="1DB13497" w14:textId="08BE2705" w:rsidR="00DF65F3" w:rsidRDefault="00870777">
          <w:pPr>
            <w:pStyle w:val="Spistreci3"/>
            <w:rPr>
              <w:rFonts w:asciiTheme="minorHAnsi" w:eastAsiaTheme="minorEastAsia" w:hAnsiTheme="minorHAnsi" w:cstheme="minorBidi"/>
              <w:sz w:val="22"/>
              <w:lang w:val="en-GB" w:eastAsia="en-GB"/>
            </w:rPr>
          </w:pPr>
          <w:hyperlink w:anchor="_Toc12532627" w:history="1">
            <w:r w:rsidR="00DF65F3" w:rsidRPr="004815D6">
              <w:rPr>
                <w:rStyle w:val="Hipercze"/>
              </w:rPr>
              <w:t>ADR.AR.C.050     Deklaracje instytucji zapewniających służbę zarządzania płytą postojową</w:t>
            </w:r>
            <w:r w:rsidR="00DF65F3">
              <w:rPr>
                <w:webHidden/>
              </w:rPr>
              <w:tab/>
            </w:r>
            <w:r w:rsidR="00DF65F3">
              <w:rPr>
                <w:webHidden/>
              </w:rPr>
              <w:fldChar w:fldCharType="begin"/>
            </w:r>
            <w:r w:rsidR="00DF65F3">
              <w:rPr>
                <w:webHidden/>
              </w:rPr>
              <w:instrText xml:space="preserve"> PAGEREF _Toc12532627 \h </w:instrText>
            </w:r>
            <w:r w:rsidR="00DF65F3">
              <w:rPr>
                <w:webHidden/>
              </w:rPr>
            </w:r>
            <w:r w:rsidR="00DF65F3">
              <w:rPr>
                <w:webHidden/>
              </w:rPr>
              <w:fldChar w:fldCharType="separate"/>
            </w:r>
            <w:r w:rsidR="00F755B7">
              <w:rPr>
                <w:webHidden/>
              </w:rPr>
              <w:t>86</w:t>
            </w:r>
            <w:r w:rsidR="00DF65F3">
              <w:rPr>
                <w:webHidden/>
              </w:rPr>
              <w:fldChar w:fldCharType="end"/>
            </w:r>
          </w:hyperlink>
        </w:p>
        <w:p w14:paraId="323B4C90" w14:textId="4871E5EA" w:rsidR="00DF65F3" w:rsidRDefault="00870777">
          <w:pPr>
            <w:pStyle w:val="Spistreci6"/>
            <w:rPr>
              <w:sz w:val="22"/>
              <w:lang w:val="en-GB" w:eastAsia="en-GB"/>
            </w:rPr>
          </w:pPr>
          <w:hyperlink w:anchor="_Toc12532628" w:history="1">
            <w:r w:rsidR="00DF65F3" w:rsidRPr="004815D6">
              <w:rPr>
                <w:rStyle w:val="Hipercze"/>
              </w:rPr>
              <w:t>GM1 ADR.AR.C.050     Deklaracja instytucji zapewniającej służbę zarządzania płytą postojową</w:t>
            </w:r>
            <w:r w:rsidR="00DF65F3">
              <w:rPr>
                <w:webHidden/>
              </w:rPr>
              <w:tab/>
            </w:r>
            <w:r w:rsidR="00DF65F3">
              <w:rPr>
                <w:webHidden/>
              </w:rPr>
              <w:fldChar w:fldCharType="begin"/>
            </w:r>
            <w:r w:rsidR="00DF65F3">
              <w:rPr>
                <w:webHidden/>
              </w:rPr>
              <w:instrText xml:space="preserve"> PAGEREF _Toc12532628 \h </w:instrText>
            </w:r>
            <w:r w:rsidR="00DF65F3">
              <w:rPr>
                <w:webHidden/>
              </w:rPr>
            </w:r>
            <w:r w:rsidR="00DF65F3">
              <w:rPr>
                <w:webHidden/>
              </w:rPr>
              <w:fldChar w:fldCharType="separate"/>
            </w:r>
            <w:r w:rsidR="00F755B7">
              <w:rPr>
                <w:webHidden/>
              </w:rPr>
              <w:t>86</w:t>
            </w:r>
            <w:r w:rsidR="00DF65F3">
              <w:rPr>
                <w:webHidden/>
              </w:rPr>
              <w:fldChar w:fldCharType="end"/>
            </w:r>
          </w:hyperlink>
        </w:p>
        <w:p w14:paraId="27F503A2" w14:textId="6DD75996" w:rsidR="00DF65F3" w:rsidRDefault="00870777">
          <w:pPr>
            <w:pStyle w:val="Spistreci3"/>
            <w:rPr>
              <w:rFonts w:asciiTheme="minorHAnsi" w:eastAsiaTheme="minorEastAsia" w:hAnsiTheme="minorHAnsi" w:cstheme="minorBidi"/>
              <w:sz w:val="22"/>
              <w:lang w:val="en-GB" w:eastAsia="en-GB"/>
            </w:rPr>
          </w:pPr>
          <w:hyperlink w:anchor="_Toc12532629" w:history="1">
            <w:r w:rsidR="00DF65F3" w:rsidRPr="004815D6">
              <w:rPr>
                <w:rStyle w:val="Hipercze"/>
              </w:rPr>
              <w:t>ADR.AR.C.055     Nieprawidłowości, uwagi, działania naprawcze i środki egzekucyjne</w:t>
            </w:r>
            <w:r w:rsidR="00DF65F3">
              <w:rPr>
                <w:webHidden/>
              </w:rPr>
              <w:tab/>
            </w:r>
            <w:r w:rsidR="00DF65F3">
              <w:rPr>
                <w:webHidden/>
              </w:rPr>
              <w:fldChar w:fldCharType="begin"/>
            </w:r>
            <w:r w:rsidR="00DF65F3">
              <w:rPr>
                <w:webHidden/>
              </w:rPr>
              <w:instrText xml:space="preserve"> PAGEREF _Toc12532629 \h </w:instrText>
            </w:r>
            <w:r w:rsidR="00DF65F3">
              <w:rPr>
                <w:webHidden/>
              </w:rPr>
            </w:r>
            <w:r w:rsidR="00DF65F3">
              <w:rPr>
                <w:webHidden/>
              </w:rPr>
              <w:fldChar w:fldCharType="separate"/>
            </w:r>
            <w:r w:rsidR="00F755B7">
              <w:rPr>
                <w:webHidden/>
              </w:rPr>
              <w:t>86</w:t>
            </w:r>
            <w:r w:rsidR="00DF65F3">
              <w:rPr>
                <w:webHidden/>
              </w:rPr>
              <w:fldChar w:fldCharType="end"/>
            </w:r>
          </w:hyperlink>
        </w:p>
        <w:p w14:paraId="7D993716" w14:textId="5B7DE22B" w:rsidR="00DF65F3" w:rsidRDefault="00870777">
          <w:pPr>
            <w:pStyle w:val="Spistreci6"/>
            <w:rPr>
              <w:sz w:val="22"/>
              <w:lang w:val="en-GB" w:eastAsia="en-GB"/>
            </w:rPr>
          </w:pPr>
          <w:hyperlink w:anchor="_Toc12532630" w:history="1">
            <w:r w:rsidR="00DF65F3" w:rsidRPr="004815D6">
              <w:rPr>
                <w:rStyle w:val="Hipercze"/>
              </w:rPr>
              <w:t>GM1 ADR.AR.C.055     Nieprawidłowości, uwagi, działania naprawcze i środki egzekucyjne</w:t>
            </w:r>
            <w:r w:rsidR="00DF65F3">
              <w:rPr>
                <w:webHidden/>
              </w:rPr>
              <w:tab/>
            </w:r>
            <w:r w:rsidR="00DF65F3">
              <w:rPr>
                <w:webHidden/>
              </w:rPr>
              <w:fldChar w:fldCharType="begin"/>
            </w:r>
            <w:r w:rsidR="00DF65F3">
              <w:rPr>
                <w:webHidden/>
              </w:rPr>
              <w:instrText xml:space="preserve"> PAGEREF _Toc12532630 \h </w:instrText>
            </w:r>
            <w:r w:rsidR="00DF65F3">
              <w:rPr>
                <w:webHidden/>
              </w:rPr>
            </w:r>
            <w:r w:rsidR="00DF65F3">
              <w:rPr>
                <w:webHidden/>
              </w:rPr>
              <w:fldChar w:fldCharType="separate"/>
            </w:r>
            <w:r w:rsidR="00F755B7">
              <w:rPr>
                <w:webHidden/>
              </w:rPr>
              <w:t>88</w:t>
            </w:r>
            <w:r w:rsidR="00DF65F3">
              <w:rPr>
                <w:webHidden/>
              </w:rPr>
              <w:fldChar w:fldCharType="end"/>
            </w:r>
          </w:hyperlink>
        </w:p>
        <w:p w14:paraId="79E35401" w14:textId="3329A393" w:rsidR="00DF65F3" w:rsidRDefault="00870777">
          <w:pPr>
            <w:pStyle w:val="Spistreci6"/>
            <w:rPr>
              <w:sz w:val="22"/>
              <w:lang w:val="en-GB" w:eastAsia="en-GB"/>
            </w:rPr>
          </w:pPr>
          <w:hyperlink w:anchor="_Toc12532631" w:history="1">
            <w:r w:rsidR="00DF65F3" w:rsidRPr="004815D6">
              <w:rPr>
                <w:rStyle w:val="Hipercze"/>
              </w:rPr>
              <w:t>GM2 ADR.AR.C.055     Nieprawidłowości, uwagi, działania naprawcze i środki egzekucyjne</w:t>
            </w:r>
            <w:r w:rsidR="00DF65F3">
              <w:rPr>
                <w:webHidden/>
              </w:rPr>
              <w:tab/>
            </w:r>
            <w:r w:rsidR="00DF65F3">
              <w:rPr>
                <w:webHidden/>
              </w:rPr>
              <w:fldChar w:fldCharType="begin"/>
            </w:r>
            <w:r w:rsidR="00DF65F3">
              <w:rPr>
                <w:webHidden/>
              </w:rPr>
              <w:instrText xml:space="preserve"> PAGEREF _Toc12532631 \h </w:instrText>
            </w:r>
            <w:r w:rsidR="00DF65F3">
              <w:rPr>
                <w:webHidden/>
              </w:rPr>
            </w:r>
            <w:r w:rsidR="00DF65F3">
              <w:rPr>
                <w:webHidden/>
              </w:rPr>
              <w:fldChar w:fldCharType="separate"/>
            </w:r>
            <w:r w:rsidR="00F755B7">
              <w:rPr>
                <w:webHidden/>
              </w:rPr>
              <w:t>88</w:t>
            </w:r>
            <w:r w:rsidR="00DF65F3">
              <w:rPr>
                <w:webHidden/>
              </w:rPr>
              <w:fldChar w:fldCharType="end"/>
            </w:r>
          </w:hyperlink>
        </w:p>
        <w:p w14:paraId="211AA4E0" w14:textId="26A93CCE" w:rsidR="00DF65F3" w:rsidRDefault="00870777">
          <w:pPr>
            <w:pStyle w:val="Spistreci6"/>
            <w:rPr>
              <w:sz w:val="22"/>
              <w:lang w:val="en-GB" w:eastAsia="en-GB"/>
            </w:rPr>
          </w:pPr>
          <w:hyperlink w:anchor="_Toc12532632" w:history="1">
            <w:r w:rsidR="00DF65F3" w:rsidRPr="004815D6">
              <w:rPr>
                <w:rStyle w:val="Hipercze"/>
              </w:rPr>
              <w:t>GM3 ADR.AR.C.055     Nieprawidłowości, uwagi, działania naprawcze i środki egzekucyjne</w:t>
            </w:r>
            <w:r w:rsidR="00DF65F3">
              <w:rPr>
                <w:webHidden/>
              </w:rPr>
              <w:tab/>
            </w:r>
            <w:r w:rsidR="00DF65F3">
              <w:rPr>
                <w:webHidden/>
              </w:rPr>
              <w:fldChar w:fldCharType="begin"/>
            </w:r>
            <w:r w:rsidR="00DF65F3">
              <w:rPr>
                <w:webHidden/>
              </w:rPr>
              <w:instrText xml:space="preserve"> PAGEREF _Toc12532632 \h </w:instrText>
            </w:r>
            <w:r w:rsidR="00DF65F3">
              <w:rPr>
                <w:webHidden/>
              </w:rPr>
            </w:r>
            <w:r w:rsidR="00DF65F3">
              <w:rPr>
                <w:webHidden/>
              </w:rPr>
              <w:fldChar w:fldCharType="separate"/>
            </w:r>
            <w:r w:rsidR="00F755B7">
              <w:rPr>
                <w:webHidden/>
              </w:rPr>
              <w:t>88</w:t>
            </w:r>
            <w:r w:rsidR="00DF65F3">
              <w:rPr>
                <w:webHidden/>
              </w:rPr>
              <w:fldChar w:fldCharType="end"/>
            </w:r>
          </w:hyperlink>
        </w:p>
        <w:p w14:paraId="1633D841" w14:textId="05E6C525" w:rsidR="00DF65F3" w:rsidRDefault="00870777">
          <w:pPr>
            <w:pStyle w:val="Spistreci1"/>
            <w:rPr>
              <w:rFonts w:asciiTheme="minorHAnsi" w:eastAsiaTheme="minorEastAsia" w:hAnsiTheme="minorHAnsi"/>
              <w:b w:val="0"/>
              <w:sz w:val="22"/>
              <w:lang w:val="en-GB" w:eastAsia="en-GB"/>
            </w:rPr>
          </w:pPr>
          <w:hyperlink w:anchor="_Toc12532633" w:history="1">
            <w:r w:rsidR="00DF65F3" w:rsidRPr="004815D6">
              <w:rPr>
                <w:rStyle w:val="Hipercze"/>
              </w:rPr>
              <w:t>ZAŁĄCZNIK III — CZĘŚĆ ADR.OR</w:t>
            </w:r>
            <w:r w:rsidR="00DF65F3">
              <w:rPr>
                <w:webHidden/>
              </w:rPr>
              <w:tab/>
            </w:r>
            <w:r w:rsidR="00DF65F3">
              <w:rPr>
                <w:webHidden/>
              </w:rPr>
              <w:fldChar w:fldCharType="begin"/>
            </w:r>
            <w:r w:rsidR="00DF65F3">
              <w:rPr>
                <w:webHidden/>
              </w:rPr>
              <w:instrText xml:space="preserve"> PAGEREF _Toc12532633 \h </w:instrText>
            </w:r>
            <w:r w:rsidR="00DF65F3">
              <w:rPr>
                <w:webHidden/>
              </w:rPr>
            </w:r>
            <w:r w:rsidR="00DF65F3">
              <w:rPr>
                <w:webHidden/>
              </w:rPr>
              <w:fldChar w:fldCharType="separate"/>
            </w:r>
            <w:r w:rsidR="00F755B7">
              <w:rPr>
                <w:webHidden/>
              </w:rPr>
              <w:t>89</w:t>
            </w:r>
            <w:r w:rsidR="00DF65F3">
              <w:rPr>
                <w:webHidden/>
              </w:rPr>
              <w:fldChar w:fldCharType="end"/>
            </w:r>
          </w:hyperlink>
        </w:p>
        <w:p w14:paraId="5DFBF5E6" w14:textId="2546DDC8" w:rsidR="00DF65F3" w:rsidRDefault="00870777">
          <w:pPr>
            <w:pStyle w:val="Spistreci2"/>
            <w:rPr>
              <w:rFonts w:asciiTheme="minorHAnsi" w:eastAsiaTheme="minorEastAsia" w:hAnsiTheme="minorHAnsi" w:cstheme="minorBidi"/>
              <w:sz w:val="22"/>
              <w:lang w:val="en-GB" w:eastAsia="en-GB"/>
            </w:rPr>
          </w:pPr>
          <w:hyperlink w:anchor="_Toc12532634" w:history="1">
            <w:r w:rsidR="00DF65F3" w:rsidRPr="004815D6">
              <w:rPr>
                <w:rStyle w:val="Hipercze"/>
              </w:rPr>
              <w:t>PODCZĘŚĆ A — WYMAGANIA OGÓLNE (ADR.OR.A)</w:t>
            </w:r>
            <w:r w:rsidR="00DF65F3">
              <w:rPr>
                <w:webHidden/>
              </w:rPr>
              <w:tab/>
            </w:r>
            <w:r w:rsidR="00DF65F3">
              <w:rPr>
                <w:webHidden/>
              </w:rPr>
              <w:fldChar w:fldCharType="begin"/>
            </w:r>
            <w:r w:rsidR="00DF65F3">
              <w:rPr>
                <w:webHidden/>
              </w:rPr>
              <w:instrText xml:space="preserve"> PAGEREF _Toc12532634 \h </w:instrText>
            </w:r>
            <w:r w:rsidR="00DF65F3">
              <w:rPr>
                <w:webHidden/>
              </w:rPr>
            </w:r>
            <w:r w:rsidR="00DF65F3">
              <w:rPr>
                <w:webHidden/>
              </w:rPr>
              <w:fldChar w:fldCharType="separate"/>
            </w:r>
            <w:r w:rsidR="00F755B7">
              <w:rPr>
                <w:webHidden/>
              </w:rPr>
              <w:t>89</w:t>
            </w:r>
            <w:r w:rsidR="00DF65F3">
              <w:rPr>
                <w:webHidden/>
              </w:rPr>
              <w:fldChar w:fldCharType="end"/>
            </w:r>
          </w:hyperlink>
        </w:p>
        <w:p w14:paraId="261572EA" w14:textId="4CCC3E23" w:rsidR="00DF65F3" w:rsidRDefault="00870777">
          <w:pPr>
            <w:pStyle w:val="Spistreci3"/>
            <w:rPr>
              <w:rFonts w:asciiTheme="minorHAnsi" w:eastAsiaTheme="minorEastAsia" w:hAnsiTheme="minorHAnsi" w:cstheme="minorBidi"/>
              <w:sz w:val="22"/>
              <w:lang w:val="en-GB" w:eastAsia="en-GB"/>
            </w:rPr>
          </w:pPr>
          <w:hyperlink w:anchor="_Toc12532635" w:history="1">
            <w:r w:rsidR="00DF65F3" w:rsidRPr="004815D6">
              <w:rPr>
                <w:rStyle w:val="Hipercze"/>
              </w:rPr>
              <w:t>ADR.OR.A.005     Zakres</w:t>
            </w:r>
            <w:r w:rsidR="00DF65F3">
              <w:rPr>
                <w:webHidden/>
              </w:rPr>
              <w:tab/>
            </w:r>
            <w:r w:rsidR="00DF65F3">
              <w:rPr>
                <w:webHidden/>
              </w:rPr>
              <w:fldChar w:fldCharType="begin"/>
            </w:r>
            <w:r w:rsidR="00DF65F3">
              <w:rPr>
                <w:webHidden/>
              </w:rPr>
              <w:instrText xml:space="preserve"> PAGEREF _Toc12532635 \h </w:instrText>
            </w:r>
            <w:r w:rsidR="00DF65F3">
              <w:rPr>
                <w:webHidden/>
              </w:rPr>
            </w:r>
            <w:r w:rsidR="00DF65F3">
              <w:rPr>
                <w:webHidden/>
              </w:rPr>
              <w:fldChar w:fldCharType="separate"/>
            </w:r>
            <w:r w:rsidR="00F755B7">
              <w:rPr>
                <w:webHidden/>
              </w:rPr>
              <w:t>89</w:t>
            </w:r>
            <w:r w:rsidR="00DF65F3">
              <w:rPr>
                <w:webHidden/>
              </w:rPr>
              <w:fldChar w:fldCharType="end"/>
            </w:r>
          </w:hyperlink>
        </w:p>
        <w:p w14:paraId="1FE6463D" w14:textId="7B79ABEC" w:rsidR="00DF65F3" w:rsidRDefault="00870777">
          <w:pPr>
            <w:pStyle w:val="Spistreci3"/>
            <w:rPr>
              <w:rFonts w:asciiTheme="minorHAnsi" w:eastAsiaTheme="minorEastAsia" w:hAnsiTheme="minorHAnsi" w:cstheme="minorBidi"/>
              <w:sz w:val="22"/>
              <w:lang w:val="en-GB" w:eastAsia="en-GB"/>
            </w:rPr>
          </w:pPr>
          <w:hyperlink w:anchor="_Toc12532636" w:history="1">
            <w:r w:rsidR="00DF65F3" w:rsidRPr="004815D6">
              <w:rPr>
                <w:rStyle w:val="Hipercze"/>
              </w:rPr>
              <w:t>ADR.OR.A.010     Właściwy organ</w:t>
            </w:r>
            <w:r w:rsidR="00DF65F3">
              <w:rPr>
                <w:webHidden/>
              </w:rPr>
              <w:tab/>
            </w:r>
            <w:r w:rsidR="00DF65F3">
              <w:rPr>
                <w:webHidden/>
              </w:rPr>
              <w:fldChar w:fldCharType="begin"/>
            </w:r>
            <w:r w:rsidR="00DF65F3">
              <w:rPr>
                <w:webHidden/>
              </w:rPr>
              <w:instrText xml:space="preserve"> PAGEREF _Toc12532636 \h </w:instrText>
            </w:r>
            <w:r w:rsidR="00DF65F3">
              <w:rPr>
                <w:webHidden/>
              </w:rPr>
            </w:r>
            <w:r w:rsidR="00DF65F3">
              <w:rPr>
                <w:webHidden/>
              </w:rPr>
              <w:fldChar w:fldCharType="separate"/>
            </w:r>
            <w:r w:rsidR="00F755B7">
              <w:rPr>
                <w:webHidden/>
              </w:rPr>
              <w:t>89</w:t>
            </w:r>
            <w:r w:rsidR="00DF65F3">
              <w:rPr>
                <w:webHidden/>
              </w:rPr>
              <w:fldChar w:fldCharType="end"/>
            </w:r>
          </w:hyperlink>
        </w:p>
        <w:p w14:paraId="602153B9" w14:textId="029C28DB" w:rsidR="00DF65F3" w:rsidRDefault="00870777">
          <w:pPr>
            <w:pStyle w:val="Spistreci3"/>
            <w:rPr>
              <w:rFonts w:asciiTheme="minorHAnsi" w:eastAsiaTheme="minorEastAsia" w:hAnsiTheme="minorHAnsi" w:cstheme="minorBidi"/>
              <w:sz w:val="22"/>
              <w:lang w:val="en-GB" w:eastAsia="en-GB"/>
            </w:rPr>
          </w:pPr>
          <w:hyperlink w:anchor="_Toc12532637" w:history="1">
            <w:r w:rsidR="00DF65F3" w:rsidRPr="004815D6">
              <w:rPr>
                <w:rStyle w:val="Hipercze"/>
              </w:rPr>
              <w:t>ADR.OR.A.015     Sposoby spełnienia wymagań</w:t>
            </w:r>
            <w:r w:rsidR="00DF65F3">
              <w:rPr>
                <w:webHidden/>
              </w:rPr>
              <w:tab/>
            </w:r>
            <w:r w:rsidR="00DF65F3">
              <w:rPr>
                <w:webHidden/>
              </w:rPr>
              <w:fldChar w:fldCharType="begin"/>
            </w:r>
            <w:r w:rsidR="00DF65F3">
              <w:rPr>
                <w:webHidden/>
              </w:rPr>
              <w:instrText xml:space="preserve"> PAGEREF _Toc12532637 \h </w:instrText>
            </w:r>
            <w:r w:rsidR="00DF65F3">
              <w:rPr>
                <w:webHidden/>
              </w:rPr>
            </w:r>
            <w:r w:rsidR="00DF65F3">
              <w:rPr>
                <w:webHidden/>
              </w:rPr>
              <w:fldChar w:fldCharType="separate"/>
            </w:r>
            <w:r w:rsidR="00F755B7">
              <w:rPr>
                <w:webHidden/>
              </w:rPr>
              <w:t>89</w:t>
            </w:r>
            <w:r w:rsidR="00DF65F3">
              <w:rPr>
                <w:webHidden/>
              </w:rPr>
              <w:fldChar w:fldCharType="end"/>
            </w:r>
          </w:hyperlink>
        </w:p>
        <w:p w14:paraId="7995B792" w14:textId="68D256F4" w:rsidR="00DF65F3" w:rsidRDefault="00870777">
          <w:pPr>
            <w:pStyle w:val="Spistreci5"/>
            <w:rPr>
              <w:sz w:val="22"/>
              <w:lang w:val="en-GB" w:eastAsia="en-GB"/>
            </w:rPr>
          </w:pPr>
          <w:hyperlink w:anchor="_Toc12532638" w:history="1">
            <w:r w:rsidR="00DF65F3" w:rsidRPr="004815D6">
              <w:rPr>
                <w:rStyle w:val="Hipercze"/>
              </w:rPr>
              <w:t>AMC1 ADR.OR.A.015     Sposoby spełnienia wymagań</w:t>
            </w:r>
            <w:r w:rsidR="00DF65F3">
              <w:rPr>
                <w:webHidden/>
              </w:rPr>
              <w:tab/>
            </w:r>
            <w:r w:rsidR="00DF65F3">
              <w:rPr>
                <w:webHidden/>
              </w:rPr>
              <w:fldChar w:fldCharType="begin"/>
            </w:r>
            <w:r w:rsidR="00DF65F3">
              <w:rPr>
                <w:webHidden/>
              </w:rPr>
              <w:instrText xml:space="preserve"> PAGEREF _Toc12532638 \h </w:instrText>
            </w:r>
            <w:r w:rsidR="00DF65F3">
              <w:rPr>
                <w:webHidden/>
              </w:rPr>
            </w:r>
            <w:r w:rsidR="00DF65F3">
              <w:rPr>
                <w:webHidden/>
              </w:rPr>
              <w:fldChar w:fldCharType="separate"/>
            </w:r>
            <w:r w:rsidR="00F755B7">
              <w:rPr>
                <w:webHidden/>
              </w:rPr>
              <w:t>90</w:t>
            </w:r>
            <w:r w:rsidR="00DF65F3">
              <w:rPr>
                <w:webHidden/>
              </w:rPr>
              <w:fldChar w:fldCharType="end"/>
            </w:r>
          </w:hyperlink>
        </w:p>
        <w:p w14:paraId="7FB0544C" w14:textId="149FEF45" w:rsidR="00DF65F3" w:rsidRDefault="00870777">
          <w:pPr>
            <w:pStyle w:val="Spistreci2"/>
            <w:rPr>
              <w:rFonts w:asciiTheme="minorHAnsi" w:eastAsiaTheme="minorEastAsia" w:hAnsiTheme="minorHAnsi" w:cstheme="minorBidi"/>
              <w:sz w:val="22"/>
              <w:lang w:val="en-GB" w:eastAsia="en-GB"/>
            </w:rPr>
          </w:pPr>
          <w:hyperlink w:anchor="_Toc12532639" w:history="1">
            <w:r w:rsidR="00DF65F3" w:rsidRPr="004815D6">
              <w:rPr>
                <w:rStyle w:val="Hipercze"/>
              </w:rPr>
              <w:t>PODCZĘŚĆ B — CERTYFIKACJA (ADR.OR.B)</w:t>
            </w:r>
            <w:r w:rsidR="00DF65F3">
              <w:rPr>
                <w:webHidden/>
              </w:rPr>
              <w:tab/>
            </w:r>
            <w:r w:rsidR="00DF65F3">
              <w:rPr>
                <w:webHidden/>
              </w:rPr>
              <w:fldChar w:fldCharType="begin"/>
            </w:r>
            <w:r w:rsidR="00DF65F3">
              <w:rPr>
                <w:webHidden/>
              </w:rPr>
              <w:instrText xml:space="preserve"> PAGEREF _Toc12532639 \h </w:instrText>
            </w:r>
            <w:r w:rsidR="00DF65F3">
              <w:rPr>
                <w:webHidden/>
              </w:rPr>
            </w:r>
            <w:r w:rsidR="00DF65F3">
              <w:rPr>
                <w:webHidden/>
              </w:rPr>
              <w:fldChar w:fldCharType="separate"/>
            </w:r>
            <w:r w:rsidR="00F755B7">
              <w:rPr>
                <w:webHidden/>
              </w:rPr>
              <w:t>91</w:t>
            </w:r>
            <w:r w:rsidR="00DF65F3">
              <w:rPr>
                <w:webHidden/>
              </w:rPr>
              <w:fldChar w:fldCharType="end"/>
            </w:r>
          </w:hyperlink>
        </w:p>
        <w:p w14:paraId="2A9ED5FB" w14:textId="74DC6556" w:rsidR="00DF65F3" w:rsidRDefault="00870777">
          <w:pPr>
            <w:pStyle w:val="Spistreci3"/>
            <w:rPr>
              <w:rFonts w:asciiTheme="minorHAnsi" w:eastAsiaTheme="minorEastAsia" w:hAnsiTheme="minorHAnsi" w:cstheme="minorBidi"/>
              <w:sz w:val="22"/>
              <w:lang w:val="en-GB" w:eastAsia="en-GB"/>
            </w:rPr>
          </w:pPr>
          <w:hyperlink w:anchor="_Toc12532640" w:history="1">
            <w:r w:rsidR="00DF65F3" w:rsidRPr="004815D6">
              <w:rPr>
                <w:rStyle w:val="Hipercze"/>
              </w:rPr>
              <w:t>ADR.OR.B.005     Obowiązki lotnisk i operatorów lotnisk w zakresie certyfikacji</w:t>
            </w:r>
            <w:r w:rsidR="00DF65F3">
              <w:rPr>
                <w:webHidden/>
              </w:rPr>
              <w:tab/>
            </w:r>
            <w:r w:rsidR="00DF65F3">
              <w:rPr>
                <w:webHidden/>
              </w:rPr>
              <w:fldChar w:fldCharType="begin"/>
            </w:r>
            <w:r w:rsidR="00DF65F3">
              <w:rPr>
                <w:webHidden/>
              </w:rPr>
              <w:instrText xml:space="preserve"> PAGEREF _Toc12532640 \h </w:instrText>
            </w:r>
            <w:r w:rsidR="00DF65F3">
              <w:rPr>
                <w:webHidden/>
              </w:rPr>
            </w:r>
            <w:r w:rsidR="00DF65F3">
              <w:rPr>
                <w:webHidden/>
              </w:rPr>
              <w:fldChar w:fldCharType="separate"/>
            </w:r>
            <w:r w:rsidR="00F755B7">
              <w:rPr>
                <w:webHidden/>
              </w:rPr>
              <w:t>91</w:t>
            </w:r>
            <w:r w:rsidR="00DF65F3">
              <w:rPr>
                <w:webHidden/>
              </w:rPr>
              <w:fldChar w:fldCharType="end"/>
            </w:r>
          </w:hyperlink>
        </w:p>
        <w:p w14:paraId="2A83C717" w14:textId="1CD0F6CD" w:rsidR="00DF65F3" w:rsidRDefault="00870777">
          <w:pPr>
            <w:pStyle w:val="Spistreci3"/>
            <w:rPr>
              <w:rFonts w:asciiTheme="minorHAnsi" w:eastAsiaTheme="minorEastAsia" w:hAnsiTheme="minorHAnsi" w:cstheme="minorBidi"/>
              <w:sz w:val="22"/>
              <w:lang w:val="en-GB" w:eastAsia="en-GB"/>
            </w:rPr>
          </w:pPr>
          <w:hyperlink w:anchor="_Toc12532641" w:history="1">
            <w:r w:rsidR="00DF65F3" w:rsidRPr="004815D6">
              <w:rPr>
                <w:rStyle w:val="Hipercze"/>
              </w:rPr>
              <w:t>ADR.OR.B.015     Wniosek o wydanie certyfikatu</w:t>
            </w:r>
            <w:r w:rsidR="00DF65F3">
              <w:rPr>
                <w:webHidden/>
              </w:rPr>
              <w:tab/>
            </w:r>
            <w:r w:rsidR="00DF65F3">
              <w:rPr>
                <w:webHidden/>
              </w:rPr>
              <w:fldChar w:fldCharType="begin"/>
            </w:r>
            <w:r w:rsidR="00DF65F3">
              <w:rPr>
                <w:webHidden/>
              </w:rPr>
              <w:instrText xml:space="preserve"> PAGEREF _Toc12532641 \h </w:instrText>
            </w:r>
            <w:r w:rsidR="00DF65F3">
              <w:rPr>
                <w:webHidden/>
              </w:rPr>
            </w:r>
            <w:r w:rsidR="00DF65F3">
              <w:rPr>
                <w:webHidden/>
              </w:rPr>
              <w:fldChar w:fldCharType="separate"/>
            </w:r>
            <w:r w:rsidR="00F755B7">
              <w:rPr>
                <w:webHidden/>
              </w:rPr>
              <w:t>91</w:t>
            </w:r>
            <w:r w:rsidR="00DF65F3">
              <w:rPr>
                <w:webHidden/>
              </w:rPr>
              <w:fldChar w:fldCharType="end"/>
            </w:r>
          </w:hyperlink>
        </w:p>
        <w:p w14:paraId="1C798D15" w14:textId="60596977" w:rsidR="00DF65F3" w:rsidRDefault="00870777">
          <w:pPr>
            <w:pStyle w:val="Spistreci6"/>
            <w:rPr>
              <w:sz w:val="22"/>
              <w:lang w:val="en-GB" w:eastAsia="en-GB"/>
            </w:rPr>
          </w:pPr>
          <w:hyperlink w:anchor="_Toc12532642" w:history="1">
            <w:r w:rsidR="00DF65F3" w:rsidRPr="004815D6">
              <w:rPr>
                <w:rStyle w:val="Hipercze"/>
              </w:rPr>
              <w:t>GM1 ADR.OR.B.015     Wniosek o wydanie certyfikatu</w:t>
            </w:r>
            <w:r w:rsidR="00DF65F3">
              <w:rPr>
                <w:webHidden/>
              </w:rPr>
              <w:tab/>
            </w:r>
            <w:r w:rsidR="00DF65F3">
              <w:rPr>
                <w:webHidden/>
              </w:rPr>
              <w:fldChar w:fldCharType="begin"/>
            </w:r>
            <w:r w:rsidR="00DF65F3">
              <w:rPr>
                <w:webHidden/>
              </w:rPr>
              <w:instrText xml:space="preserve"> PAGEREF _Toc12532642 \h </w:instrText>
            </w:r>
            <w:r w:rsidR="00DF65F3">
              <w:rPr>
                <w:webHidden/>
              </w:rPr>
            </w:r>
            <w:r w:rsidR="00DF65F3">
              <w:rPr>
                <w:webHidden/>
              </w:rPr>
              <w:fldChar w:fldCharType="separate"/>
            </w:r>
            <w:r w:rsidR="00F755B7">
              <w:rPr>
                <w:webHidden/>
              </w:rPr>
              <w:t>92</w:t>
            </w:r>
            <w:r w:rsidR="00DF65F3">
              <w:rPr>
                <w:webHidden/>
              </w:rPr>
              <w:fldChar w:fldCharType="end"/>
            </w:r>
          </w:hyperlink>
        </w:p>
        <w:p w14:paraId="7E261C4B" w14:textId="081A6C56" w:rsidR="00DF65F3" w:rsidRDefault="00870777">
          <w:pPr>
            <w:pStyle w:val="Spistreci5"/>
            <w:rPr>
              <w:sz w:val="22"/>
              <w:lang w:val="en-GB" w:eastAsia="en-GB"/>
            </w:rPr>
          </w:pPr>
          <w:hyperlink w:anchor="_Toc12532643" w:history="1">
            <w:r w:rsidR="00DF65F3" w:rsidRPr="004815D6">
              <w:rPr>
                <w:rStyle w:val="Hipercze"/>
              </w:rPr>
              <w:t>AMC1 ADR.OR.B.015(a)     Wniosek o wydanie certyfikatu</w:t>
            </w:r>
            <w:r w:rsidR="00DF65F3">
              <w:rPr>
                <w:webHidden/>
              </w:rPr>
              <w:tab/>
            </w:r>
            <w:r w:rsidR="00DF65F3">
              <w:rPr>
                <w:webHidden/>
              </w:rPr>
              <w:fldChar w:fldCharType="begin"/>
            </w:r>
            <w:r w:rsidR="00DF65F3">
              <w:rPr>
                <w:webHidden/>
              </w:rPr>
              <w:instrText xml:space="preserve"> PAGEREF _Toc12532643 \h </w:instrText>
            </w:r>
            <w:r w:rsidR="00DF65F3">
              <w:rPr>
                <w:webHidden/>
              </w:rPr>
            </w:r>
            <w:r w:rsidR="00DF65F3">
              <w:rPr>
                <w:webHidden/>
              </w:rPr>
              <w:fldChar w:fldCharType="separate"/>
            </w:r>
            <w:r w:rsidR="00F755B7">
              <w:rPr>
                <w:webHidden/>
              </w:rPr>
              <w:t>92</w:t>
            </w:r>
            <w:r w:rsidR="00DF65F3">
              <w:rPr>
                <w:webHidden/>
              </w:rPr>
              <w:fldChar w:fldCharType="end"/>
            </w:r>
          </w:hyperlink>
        </w:p>
        <w:p w14:paraId="171855E5" w14:textId="33A57DD5" w:rsidR="00DF65F3" w:rsidRDefault="00870777">
          <w:pPr>
            <w:pStyle w:val="Spistreci5"/>
            <w:rPr>
              <w:sz w:val="22"/>
              <w:lang w:val="en-GB" w:eastAsia="en-GB"/>
            </w:rPr>
          </w:pPr>
          <w:hyperlink w:anchor="_Toc12532644" w:history="1">
            <w:r w:rsidR="00DF65F3" w:rsidRPr="004815D6">
              <w:rPr>
                <w:rStyle w:val="Hipercze"/>
              </w:rPr>
              <w:t>AMC1 ADR.OR.B.015(b)(1);(2);(3);(4)     Wniosek o wydanie certyfikatu</w:t>
            </w:r>
            <w:r w:rsidR="00DF65F3">
              <w:rPr>
                <w:webHidden/>
              </w:rPr>
              <w:tab/>
            </w:r>
            <w:r w:rsidR="00DF65F3">
              <w:rPr>
                <w:webHidden/>
              </w:rPr>
              <w:fldChar w:fldCharType="begin"/>
            </w:r>
            <w:r w:rsidR="00DF65F3">
              <w:rPr>
                <w:webHidden/>
              </w:rPr>
              <w:instrText xml:space="preserve"> PAGEREF _Toc12532644 \h </w:instrText>
            </w:r>
            <w:r w:rsidR="00DF65F3">
              <w:rPr>
                <w:webHidden/>
              </w:rPr>
            </w:r>
            <w:r w:rsidR="00DF65F3">
              <w:rPr>
                <w:webHidden/>
              </w:rPr>
              <w:fldChar w:fldCharType="separate"/>
            </w:r>
            <w:r w:rsidR="00F755B7">
              <w:rPr>
                <w:webHidden/>
              </w:rPr>
              <w:t>92</w:t>
            </w:r>
            <w:r w:rsidR="00DF65F3">
              <w:rPr>
                <w:webHidden/>
              </w:rPr>
              <w:fldChar w:fldCharType="end"/>
            </w:r>
          </w:hyperlink>
        </w:p>
        <w:p w14:paraId="1BA3F45B" w14:textId="1D926339" w:rsidR="00DF65F3" w:rsidRDefault="00870777">
          <w:pPr>
            <w:pStyle w:val="Spistreci6"/>
            <w:rPr>
              <w:sz w:val="22"/>
              <w:lang w:val="en-GB" w:eastAsia="en-GB"/>
            </w:rPr>
          </w:pPr>
          <w:hyperlink w:anchor="_Toc12532645" w:history="1">
            <w:r w:rsidR="00DF65F3" w:rsidRPr="004815D6">
              <w:rPr>
                <w:rStyle w:val="Hipercze"/>
              </w:rPr>
              <w:t>GM1 ADR.OR.B.015(b)(2)     Wniosek o wydanie certyfikatu</w:t>
            </w:r>
            <w:r w:rsidR="00DF65F3">
              <w:rPr>
                <w:webHidden/>
              </w:rPr>
              <w:tab/>
            </w:r>
            <w:r w:rsidR="00DF65F3">
              <w:rPr>
                <w:webHidden/>
              </w:rPr>
              <w:fldChar w:fldCharType="begin"/>
            </w:r>
            <w:r w:rsidR="00DF65F3">
              <w:rPr>
                <w:webHidden/>
              </w:rPr>
              <w:instrText xml:space="preserve"> PAGEREF _Toc12532645 \h </w:instrText>
            </w:r>
            <w:r w:rsidR="00DF65F3">
              <w:rPr>
                <w:webHidden/>
              </w:rPr>
            </w:r>
            <w:r w:rsidR="00DF65F3">
              <w:rPr>
                <w:webHidden/>
              </w:rPr>
              <w:fldChar w:fldCharType="separate"/>
            </w:r>
            <w:r w:rsidR="00F755B7">
              <w:rPr>
                <w:webHidden/>
              </w:rPr>
              <w:t>93</w:t>
            </w:r>
            <w:r w:rsidR="00DF65F3">
              <w:rPr>
                <w:webHidden/>
              </w:rPr>
              <w:fldChar w:fldCharType="end"/>
            </w:r>
          </w:hyperlink>
        </w:p>
        <w:p w14:paraId="7BE20971" w14:textId="44F9F039" w:rsidR="00DF65F3" w:rsidRDefault="00870777">
          <w:pPr>
            <w:pStyle w:val="Spistreci6"/>
            <w:rPr>
              <w:sz w:val="22"/>
              <w:lang w:val="en-GB" w:eastAsia="en-GB"/>
            </w:rPr>
          </w:pPr>
          <w:hyperlink w:anchor="_Toc12532646" w:history="1">
            <w:r w:rsidR="00DF65F3" w:rsidRPr="004815D6">
              <w:rPr>
                <w:rStyle w:val="Hipercze"/>
              </w:rPr>
              <w:t>GM1 ADR.OR.B.015(b)(2)(3)(4)     Wniosek o wydanie certyfikatu</w:t>
            </w:r>
            <w:r w:rsidR="00DF65F3">
              <w:rPr>
                <w:webHidden/>
              </w:rPr>
              <w:tab/>
            </w:r>
            <w:r w:rsidR="00DF65F3">
              <w:rPr>
                <w:webHidden/>
              </w:rPr>
              <w:fldChar w:fldCharType="begin"/>
            </w:r>
            <w:r w:rsidR="00DF65F3">
              <w:rPr>
                <w:webHidden/>
              </w:rPr>
              <w:instrText xml:space="preserve"> PAGEREF _Toc12532646 \h </w:instrText>
            </w:r>
            <w:r w:rsidR="00DF65F3">
              <w:rPr>
                <w:webHidden/>
              </w:rPr>
            </w:r>
            <w:r w:rsidR="00DF65F3">
              <w:rPr>
                <w:webHidden/>
              </w:rPr>
              <w:fldChar w:fldCharType="separate"/>
            </w:r>
            <w:r w:rsidR="00F755B7">
              <w:rPr>
                <w:webHidden/>
              </w:rPr>
              <w:t>94</w:t>
            </w:r>
            <w:r w:rsidR="00DF65F3">
              <w:rPr>
                <w:webHidden/>
              </w:rPr>
              <w:fldChar w:fldCharType="end"/>
            </w:r>
          </w:hyperlink>
        </w:p>
        <w:p w14:paraId="299131B5" w14:textId="5E2F44E4" w:rsidR="00DF65F3" w:rsidRDefault="00870777">
          <w:pPr>
            <w:pStyle w:val="Spistreci5"/>
            <w:rPr>
              <w:sz w:val="22"/>
              <w:lang w:val="en-GB" w:eastAsia="en-GB"/>
            </w:rPr>
          </w:pPr>
          <w:hyperlink w:anchor="_Toc12532647" w:history="1">
            <w:r w:rsidR="00DF65F3" w:rsidRPr="004815D6">
              <w:rPr>
                <w:rStyle w:val="Hipercze"/>
              </w:rPr>
              <w:t>AMC1 ADR.OR.B.015(b)(4)     Wniosek o wydanie certyfikatu</w:t>
            </w:r>
            <w:r w:rsidR="00DF65F3">
              <w:rPr>
                <w:webHidden/>
              </w:rPr>
              <w:tab/>
            </w:r>
            <w:r w:rsidR="00DF65F3">
              <w:rPr>
                <w:webHidden/>
              </w:rPr>
              <w:fldChar w:fldCharType="begin"/>
            </w:r>
            <w:r w:rsidR="00DF65F3">
              <w:rPr>
                <w:webHidden/>
              </w:rPr>
              <w:instrText xml:space="preserve"> PAGEREF _Toc12532647 \h </w:instrText>
            </w:r>
            <w:r w:rsidR="00DF65F3">
              <w:rPr>
                <w:webHidden/>
              </w:rPr>
            </w:r>
            <w:r w:rsidR="00DF65F3">
              <w:rPr>
                <w:webHidden/>
              </w:rPr>
              <w:fldChar w:fldCharType="separate"/>
            </w:r>
            <w:r w:rsidR="00F755B7">
              <w:rPr>
                <w:webHidden/>
              </w:rPr>
              <w:t>94</w:t>
            </w:r>
            <w:r w:rsidR="00DF65F3">
              <w:rPr>
                <w:webHidden/>
              </w:rPr>
              <w:fldChar w:fldCharType="end"/>
            </w:r>
          </w:hyperlink>
        </w:p>
        <w:p w14:paraId="422CB7C2" w14:textId="0BFAB496" w:rsidR="00DF65F3" w:rsidRDefault="00870777">
          <w:pPr>
            <w:pStyle w:val="Spistreci5"/>
            <w:rPr>
              <w:sz w:val="22"/>
              <w:lang w:val="en-GB" w:eastAsia="en-GB"/>
            </w:rPr>
          </w:pPr>
          <w:hyperlink w:anchor="_Toc12532648" w:history="1">
            <w:r w:rsidR="00DF65F3" w:rsidRPr="004815D6">
              <w:rPr>
                <w:rStyle w:val="Hipercze"/>
              </w:rPr>
              <w:t>AMC1 ADR.OR.B.015(b)(5)     Wniosek o wydanie certyfikatu</w:t>
            </w:r>
            <w:r w:rsidR="00DF65F3">
              <w:rPr>
                <w:webHidden/>
              </w:rPr>
              <w:tab/>
            </w:r>
            <w:r w:rsidR="00DF65F3">
              <w:rPr>
                <w:webHidden/>
              </w:rPr>
              <w:fldChar w:fldCharType="begin"/>
            </w:r>
            <w:r w:rsidR="00DF65F3">
              <w:rPr>
                <w:webHidden/>
              </w:rPr>
              <w:instrText xml:space="preserve"> PAGEREF _Toc12532648 \h </w:instrText>
            </w:r>
            <w:r w:rsidR="00DF65F3">
              <w:rPr>
                <w:webHidden/>
              </w:rPr>
            </w:r>
            <w:r w:rsidR="00DF65F3">
              <w:rPr>
                <w:webHidden/>
              </w:rPr>
              <w:fldChar w:fldCharType="separate"/>
            </w:r>
            <w:r w:rsidR="00F755B7">
              <w:rPr>
                <w:webHidden/>
              </w:rPr>
              <w:t>94</w:t>
            </w:r>
            <w:r w:rsidR="00DF65F3">
              <w:rPr>
                <w:webHidden/>
              </w:rPr>
              <w:fldChar w:fldCharType="end"/>
            </w:r>
          </w:hyperlink>
        </w:p>
        <w:p w14:paraId="4892607F" w14:textId="7C84D031" w:rsidR="00DF65F3" w:rsidRDefault="00870777">
          <w:pPr>
            <w:pStyle w:val="Spistreci6"/>
            <w:rPr>
              <w:sz w:val="22"/>
              <w:lang w:val="en-GB" w:eastAsia="en-GB"/>
            </w:rPr>
          </w:pPr>
          <w:hyperlink w:anchor="_Toc12532649" w:history="1">
            <w:r w:rsidR="00DF65F3" w:rsidRPr="004815D6">
              <w:rPr>
                <w:rStyle w:val="Hipercze"/>
              </w:rPr>
              <w:t>GM1 ADR.OR.B.015(b)(5)     Wniosek o wydanie certyfikatu</w:t>
            </w:r>
            <w:r w:rsidR="00DF65F3">
              <w:rPr>
                <w:webHidden/>
              </w:rPr>
              <w:tab/>
            </w:r>
            <w:r w:rsidR="00DF65F3">
              <w:rPr>
                <w:webHidden/>
              </w:rPr>
              <w:fldChar w:fldCharType="begin"/>
            </w:r>
            <w:r w:rsidR="00DF65F3">
              <w:rPr>
                <w:webHidden/>
              </w:rPr>
              <w:instrText xml:space="preserve"> PAGEREF _Toc12532649 \h </w:instrText>
            </w:r>
            <w:r w:rsidR="00DF65F3">
              <w:rPr>
                <w:webHidden/>
              </w:rPr>
            </w:r>
            <w:r w:rsidR="00DF65F3">
              <w:rPr>
                <w:webHidden/>
              </w:rPr>
              <w:fldChar w:fldCharType="separate"/>
            </w:r>
            <w:r w:rsidR="00F755B7">
              <w:rPr>
                <w:webHidden/>
              </w:rPr>
              <w:t>95</w:t>
            </w:r>
            <w:r w:rsidR="00DF65F3">
              <w:rPr>
                <w:webHidden/>
              </w:rPr>
              <w:fldChar w:fldCharType="end"/>
            </w:r>
          </w:hyperlink>
        </w:p>
        <w:p w14:paraId="328CCBDE" w14:textId="75EB5C0B" w:rsidR="00DF65F3" w:rsidRDefault="00870777">
          <w:pPr>
            <w:pStyle w:val="Spistreci5"/>
            <w:rPr>
              <w:sz w:val="22"/>
              <w:lang w:val="en-GB" w:eastAsia="en-GB"/>
            </w:rPr>
          </w:pPr>
          <w:hyperlink w:anchor="_Toc12532650" w:history="1">
            <w:r w:rsidR="00DF65F3" w:rsidRPr="004815D6">
              <w:rPr>
                <w:rStyle w:val="Hipercze"/>
              </w:rPr>
              <w:t>AMC1 ADR.OR.B.015(b)(6)     Wniosek o wydanie certyfikatu</w:t>
            </w:r>
            <w:r w:rsidR="00DF65F3">
              <w:rPr>
                <w:webHidden/>
              </w:rPr>
              <w:tab/>
            </w:r>
            <w:r w:rsidR="00DF65F3">
              <w:rPr>
                <w:webHidden/>
              </w:rPr>
              <w:fldChar w:fldCharType="begin"/>
            </w:r>
            <w:r w:rsidR="00DF65F3">
              <w:rPr>
                <w:webHidden/>
              </w:rPr>
              <w:instrText xml:space="preserve"> PAGEREF _Toc12532650 \h </w:instrText>
            </w:r>
            <w:r w:rsidR="00DF65F3">
              <w:rPr>
                <w:webHidden/>
              </w:rPr>
            </w:r>
            <w:r w:rsidR="00DF65F3">
              <w:rPr>
                <w:webHidden/>
              </w:rPr>
              <w:fldChar w:fldCharType="separate"/>
            </w:r>
            <w:r w:rsidR="00F755B7">
              <w:rPr>
                <w:webHidden/>
              </w:rPr>
              <w:t>95</w:t>
            </w:r>
            <w:r w:rsidR="00DF65F3">
              <w:rPr>
                <w:webHidden/>
              </w:rPr>
              <w:fldChar w:fldCharType="end"/>
            </w:r>
          </w:hyperlink>
        </w:p>
        <w:p w14:paraId="5E75D46B" w14:textId="152749DE" w:rsidR="00DF65F3" w:rsidRDefault="00870777">
          <w:pPr>
            <w:pStyle w:val="Spistreci5"/>
            <w:rPr>
              <w:sz w:val="22"/>
              <w:lang w:val="en-GB" w:eastAsia="en-GB"/>
            </w:rPr>
          </w:pPr>
          <w:hyperlink w:anchor="_Toc12532651" w:history="1">
            <w:r w:rsidR="00DF65F3" w:rsidRPr="004815D6">
              <w:rPr>
                <w:rStyle w:val="Hipercze"/>
              </w:rPr>
              <w:t>AMC1 ADR.OR.B.015(b)(7)     Wniosek o wydanie certyfikatu</w:t>
            </w:r>
            <w:r w:rsidR="00DF65F3">
              <w:rPr>
                <w:webHidden/>
              </w:rPr>
              <w:tab/>
            </w:r>
            <w:r w:rsidR="00DF65F3">
              <w:rPr>
                <w:webHidden/>
              </w:rPr>
              <w:fldChar w:fldCharType="begin"/>
            </w:r>
            <w:r w:rsidR="00DF65F3">
              <w:rPr>
                <w:webHidden/>
              </w:rPr>
              <w:instrText xml:space="preserve"> PAGEREF _Toc12532651 \h </w:instrText>
            </w:r>
            <w:r w:rsidR="00DF65F3">
              <w:rPr>
                <w:webHidden/>
              </w:rPr>
            </w:r>
            <w:r w:rsidR="00DF65F3">
              <w:rPr>
                <w:webHidden/>
              </w:rPr>
              <w:fldChar w:fldCharType="separate"/>
            </w:r>
            <w:r w:rsidR="00F755B7">
              <w:rPr>
                <w:webHidden/>
              </w:rPr>
              <w:t>95</w:t>
            </w:r>
            <w:r w:rsidR="00DF65F3">
              <w:rPr>
                <w:webHidden/>
              </w:rPr>
              <w:fldChar w:fldCharType="end"/>
            </w:r>
          </w:hyperlink>
        </w:p>
        <w:p w14:paraId="696305BA" w14:textId="605DB14A" w:rsidR="00DF65F3" w:rsidRDefault="00870777">
          <w:pPr>
            <w:pStyle w:val="Spistreci5"/>
            <w:rPr>
              <w:sz w:val="22"/>
              <w:lang w:val="en-GB" w:eastAsia="en-GB"/>
            </w:rPr>
          </w:pPr>
          <w:hyperlink w:anchor="_Toc12532652" w:history="1">
            <w:r w:rsidR="00DF65F3" w:rsidRPr="004815D6">
              <w:rPr>
                <w:rStyle w:val="Hipercze"/>
              </w:rPr>
              <w:t>AMC1 ADR.OR.B.015(b)(9)     Wniosek o wydanie certyfikatu</w:t>
            </w:r>
            <w:r w:rsidR="00DF65F3">
              <w:rPr>
                <w:webHidden/>
              </w:rPr>
              <w:tab/>
            </w:r>
            <w:r w:rsidR="00DF65F3">
              <w:rPr>
                <w:webHidden/>
              </w:rPr>
              <w:fldChar w:fldCharType="begin"/>
            </w:r>
            <w:r w:rsidR="00DF65F3">
              <w:rPr>
                <w:webHidden/>
              </w:rPr>
              <w:instrText xml:space="preserve"> PAGEREF _Toc12532652 \h </w:instrText>
            </w:r>
            <w:r w:rsidR="00DF65F3">
              <w:rPr>
                <w:webHidden/>
              </w:rPr>
            </w:r>
            <w:r w:rsidR="00DF65F3">
              <w:rPr>
                <w:webHidden/>
              </w:rPr>
              <w:fldChar w:fldCharType="separate"/>
            </w:r>
            <w:r w:rsidR="00F755B7">
              <w:rPr>
                <w:webHidden/>
              </w:rPr>
              <w:t>96</w:t>
            </w:r>
            <w:r w:rsidR="00DF65F3">
              <w:rPr>
                <w:webHidden/>
              </w:rPr>
              <w:fldChar w:fldCharType="end"/>
            </w:r>
          </w:hyperlink>
        </w:p>
        <w:p w14:paraId="16DFB040" w14:textId="65670BFD" w:rsidR="00DF65F3" w:rsidRDefault="00870777">
          <w:pPr>
            <w:pStyle w:val="Spistreci3"/>
            <w:rPr>
              <w:rFonts w:asciiTheme="minorHAnsi" w:eastAsiaTheme="minorEastAsia" w:hAnsiTheme="minorHAnsi" w:cstheme="minorBidi"/>
              <w:sz w:val="22"/>
              <w:lang w:val="en-GB" w:eastAsia="en-GB"/>
            </w:rPr>
          </w:pPr>
          <w:hyperlink w:anchor="_Toc12532653" w:history="1">
            <w:r w:rsidR="00DF65F3" w:rsidRPr="004815D6">
              <w:rPr>
                <w:rStyle w:val="Hipercze"/>
              </w:rPr>
              <w:t>ADR.OR.B.025     Wykazanie zgodności</w:t>
            </w:r>
            <w:r w:rsidR="00DF65F3">
              <w:rPr>
                <w:webHidden/>
              </w:rPr>
              <w:tab/>
            </w:r>
            <w:r w:rsidR="00DF65F3">
              <w:rPr>
                <w:webHidden/>
              </w:rPr>
              <w:fldChar w:fldCharType="begin"/>
            </w:r>
            <w:r w:rsidR="00DF65F3">
              <w:rPr>
                <w:webHidden/>
              </w:rPr>
              <w:instrText xml:space="preserve"> PAGEREF _Toc12532653 \h </w:instrText>
            </w:r>
            <w:r w:rsidR="00DF65F3">
              <w:rPr>
                <w:webHidden/>
              </w:rPr>
            </w:r>
            <w:r w:rsidR="00DF65F3">
              <w:rPr>
                <w:webHidden/>
              </w:rPr>
              <w:fldChar w:fldCharType="separate"/>
            </w:r>
            <w:r w:rsidR="00F755B7">
              <w:rPr>
                <w:webHidden/>
              </w:rPr>
              <w:t>96</w:t>
            </w:r>
            <w:r w:rsidR="00DF65F3">
              <w:rPr>
                <w:webHidden/>
              </w:rPr>
              <w:fldChar w:fldCharType="end"/>
            </w:r>
          </w:hyperlink>
        </w:p>
        <w:p w14:paraId="1E794E82" w14:textId="6E141494" w:rsidR="00DF65F3" w:rsidRDefault="00870777">
          <w:pPr>
            <w:pStyle w:val="Spistreci5"/>
            <w:rPr>
              <w:sz w:val="22"/>
              <w:lang w:val="en-GB" w:eastAsia="en-GB"/>
            </w:rPr>
          </w:pPr>
          <w:hyperlink w:anchor="_Toc12532654" w:history="1">
            <w:r w:rsidR="00DF65F3" w:rsidRPr="004815D6">
              <w:rPr>
                <w:rStyle w:val="Hipercze"/>
              </w:rPr>
              <w:t>AMC1 ADR.OR.B.025(a)(1)    Wykazanie zgodności</w:t>
            </w:r>
            <w:r w:rsidR="00DF65F3">
              <w:rPr>
                <w:webHidden/>
              </w:rPr>
              <w:tab/>
            </w:r>
            <w:r w:rsidR="00DF65F3">
              <w:rPr>
                <w:webHidden/>
              </w:rPr>
              <w:fldChar w:fldCharType="begin"/>
            </w:r>
            <w:r w:rsidR="00DF65F3">
              <w:rPr>
                <w:webHidden/>
              </w:rPr>
              <w:instrText xml:space="preserve"> PAGEREF _Toc12532654 \h </w:instrText>
            </w:r>
            <w:r w:rsidR="00DF65F3">
              <w:rPr>
                <w:webHidden/>
              </w:rPr>
            </w:r>
            <w:r w:rsidR="00DF65F3">
              <w:rPr>
                <w:webHidden/>
              </w:rPr>
              <w:fldChar w:fldCharType="separate"/>
            </w:r>
            <w:r w:rsidR="00F755B7">
              <w:rPr>
                <w:webHidden/>
              </w:rPr>
              <w:t>96</w:t>
            </w:r>
            <w:r w:rsidR="00DF65F3">
              <w:rPr>
                <w:webHidden/>
              </w:rPr>
              <w:fldChar w:fldCharType="end"/>
            </w:r>
          </w:hyperlink>
        </w:p>
        <w:p w14:paraId="2EC5A11A" w14:textId="5C5FE691" w:rsidR="00DF65F3" w:rsidRDefault="00870777">
          <w:pPr>
            <w:pStyle w:val="Spistreci5"/>
            <w:rPr>
              <w:sz w:val="22"/>
              <w:lang w:val="en-GB" w:eastAsia="en-GB"/>
            </w:rPr>
          </w:pPr>
          <w:hyperlink w:anchor="_Toc12532655" w:history="1">
            <w:r w:rsidR="00DF65F3" w:rsidRPr="004815D6">
              <w:rPr>
                <w:rStyle w:val="Hipercze"/>
              </w:rPr>
              <w:t>AMC2 ADR.OR.B.025(a)(1)    Wykazanie zgodności</w:t>
            </w:r>
            <w:r w:rsidR="00DF65F3">
              <w:rPr>
                <w:webHidden/>
              </w:rPr>
              <w:tab/>
            </w:r>
            <w:r w:rsidR="00DF65F3">
              <w:rPr>
                <w:webHidden/>
              </w:rPr>
              <w:fldChar w:fldCharType="begin"/>
            </w:r>
            <w:r w:rsidR="00DF65F3">
              <w:rPr>
                <w:webHidden/>
              </w:rPr>
              <w:instrText xml:space="preserve"> PAGEREF _Toc12532655 \h </w:instrText>
            </w:r>
            <w:r w:rsidR="00DF65F3">
              <w:rPr>
                <w:webHidden/>
              </w:rPr>
            </w:r>
            <w:r w:rsidR="00DF65F3">
              <w:rPr>
                <w:webHidden/>
              </w:rPr>
              <w:fldChar w:fldCharType="separate"/>
            </w:r>
            <w:r w:rsidR="00F755B7">
              <w:rPr>
                <w:webHidden/>
              </w:rPr>
              <w:t>96</w:t>
            </w:r>
            <w:r w:rsidR="00DF65F3">
              <w:rPr>
                <w:webHidden/>
              </w:rPr>
              <w:fldChar w:fldCharType="end"/>
            </w:r>
          </w:hyperlink>
        </w:p>
        <w:p w14:paraId="6EC22E0C" w14:textId="07B088E5" w:rsidR="00DF65F3" w:rsidRDefault="00870777">
          <w:pPr>
            <w:pStyle w:val="Spistreci6"/>
            <w:rPr>
              <w:sz w:val="22"/>
              <w:lang w:val="en-GB" w:eastAsia="en-GB"/>
            </w:rPr>
          </w:pPr>
          <w:hyperlink w:anchor="_Toc12532656" w:history="1">
            <w:r w:rsidR="00DF65F3" w:rsidRPr="004815D6">
              <w:rPr>
                <w:rStyle w:val="Hipercze"/>
              </w:rPr>
              <w:t>GM1 ADR.OR.B.025(a)(3)    Wykazanie zgodności</w:t>
            </w:r>
            <w:r w:rsidR="00DF65F3">
              <w:rPr>
                <w:webHidden/>
              </w:rPr>
              <w:tab/>
            </w:r>
            <w:r w:rsidR="00DF65F3">
              <w:rPr>
                <w:webHidden/>
              </w:rPr>
              <w:fldChar w:fldCharType="begin"/>
            </w:r>
            <w:r w:rsidR="00DF65F3">
              <w:rPr>
                <w:webHidden/>
              </w:rPr>
              <w:instrText xml:space="preserve"> PAGEREF _Toc12532656 \h </w:instrText>
            </w:r>
            <w:r w:rsidR="00DF65F3">
              <w:rPr>
                <w:webHidden/>
              </w:rPr>
            </w:r>
            <w:r w:rsidR="00DF65F3">
              <w:rPr>
                <w:webHidden/>
              </w:rPr>
              <w:fldChar w:fldCharType="separate"/>
            </w:r>
            <w:r w:rsidR="00F755B7">
              <w:rPr>
                <w:webHidden/>
              </w:rPr>
              <w:t>97</w:t>
            </w:r>
            <w:r w:rsidR="00DF65F3">
              <w:rPr>
                <w:webHidden/>
              </w:rPr>
              <w:fldChar w:fldCharType="end"/>
            </w:r>
          </w:hyperlink>
        </w:p>
        <w:p w14:paraId="2A6D66C4" w14:textId="4C400902" w:rsidR="00DF65F3" w:rsidRDefault="00870777">
          <w:pPr>
            <w:pStyle w:val="Spistreci3"/>
            <w:rPr>
              <w:rFonts w:asciiTheme="minorHAnsi" w:eastAsiaTheme="minorEastAsia" w:hAnsiTheme="minorHAnsi" w:cstheme="minorBidi"/>
              <w:sz w:val="22"/>
              <w:lang w:val="en-GB" w:eastAsia="en-GB"/>
            </w:rPr>
          </w:pPr>
          <w:hyperlink w:anchor="_Toc12532657" w:history="1">
            <w:r w:rsidR="00DF65F3" w:rsidRPr="004815D6">
              <w:rPr>
                <w:rStyle w:val="Hipercze"/>
              </w:rPr>
              <w:t>ADR.OR.B.030     Warunki certyfikatu i uprawnienia posiadacza certyfikatu</w:t>
            </w:r>
            <w:r w:rsidR="00DF65F3">
              <w:rPr>
                <w:webHidden/>
              </w:rPr>
              <w:tab/>
            </w:r>
            <w:r w:rsidR="00DF65F3">
              <w:rPr>
                <w:webHidden/>
              </w:rPr>
              <w:fldChar w:fldCharType="begin"/>
            </w:r>
            <w:r w:rsidR="00DF65F3">
              <w:rPr>
                <w:webHidden/>
              </w:rPr>
              <w:instrText xml:space="preserve"> PAGEREF _Toc12532657 \h </w:instrText>
            </w:r>
            <w:r w:rsidR="00DF65F3">
              <w:rPr>
                <w:webHidden/>
              </w:rPr>
            </w:r>
            <w:r w:rsidR="00DF65F3">
              <w:rPr>
                <w:webHidden/>
              </w:rPr>
              <w:fldChar w:fldCharType="separate"/>
            </w:r>
            <w:r w:rsidR="00F755B7">
              <w:rPr>
                <w:webHidden/>
              </w:rPr>
              <w:t>97</w:t>
            </w:r>
            <w:r w:rsidR="00DF65F3">
              <w:rPr>
                <w:webHidden/>
              </w:rPr>
              <w:fldChar w:fldCharType="end"/>
            </w:r>
          </w:hyperlink>
        </w:p>
        <w:p w14:paraId="420C2FF7" w14:textId="3E8D8A71" w:rsidR="00DF65F3" w:rsidRDefault="00870777">
          <w:pPr>
            <w:pStyle w:val="Spistreci3"/>
            <w:rPr>
              <w:rFonts w:asciiTheme="minorHAnsi" w:eastAsiaTheme="minorEastAsia" w:hAnsiTheme="minorHAnsi" w:cstheme="minorBidi"/>
              <w:sz w:val="22"/>
              <w:lang w:val="en-GB" w:eastAsia="en-GB"/>
            </w:rPr>
          </w:pPr>
          <w:hyperlink w:anchor="_Toc12532658" w:history="1">
            <w:r w:rsidR="00DF65F3" w:rsidRPr="004815D6">
              <w:rPr>
                <w:rStyle w:val="Hipercze"/>
              </w:rPr>
              <w:t>ADR.OR.B.035     Ciągła ważność certyfikatu</w:t>
            </w:r>
            <w:r w:rsidR="00DF65F3">
              <w:rPr>
                <w:webHidden/>
              </w:rPr>
              <w:tab/>
            </w:r>
            <w:r w:rsidR="00DF65F3">
              <w:rPr>
                <w:webHidden/>
              </w:rPr>
              <w:fldChar w:fldCharType="begin"/>
            </w:r>
            <w:r w:rsidR="00DF65F3">
              <w:rPr>
                <w:webHidden/>
              </w:rPr>
              <w:instrText xml:space="preserve"> PAGEREF _Toc12532658 \h </w:instrText>
            </w:r>
            <w:r w:rsidR="00DF65F3">
              <w:rPr>
                <w:webHidden/>
              </w:rPr>
            </w:r>
            <w:r w:rsidR="00DF65F3">
              <w:rPr>
                <w:webHidden/>
              </w:rPr>
              <w:fldChar w:fldCharType="separate"/>
            </w:r>
            <w:r w:rsidR="00F755B7">
              <w:rPr>
                <w:webHidden/>
              </w:rPr>
              <w:t>98</w:t>
            </w:r>
            <w:r w:rsidR="00DF65F3">
              <w:rPr>
                <w:webHidden/>
              </w:rPr>
              <w:fldChar w:fldCharType="end"/>
            </w:r>
          </w:hyperlink>
        </w:p>
        <w:p w14:paraId="6898EA80" w14:textId="740FCED9" w:rsidR="00DF65F3" w:rsidRDefault="00870777">
          <w:pPr>
            <w:pStyle w:val="Spistreci3"/>
            <w:rPr>
              <w:rFonts w:asciiTheme="minorHAnsi" w:eastAsiaTheme="minorEastAsia" w:hAnsiTheme="minorHAnsi" w:cstheme="minorBidi"/>
              <w:sz w:val="22"/>
              <w:lang w:val="en-GB" w:eastAsia="en-GB"/>
            </w:rPr>
          </w:pPr>
          <w:hyperlink w:anchor="_Toc12532659" w:history="1">
            <w:r w:rsidR="00DF65F3" w:rsidRPr="004815D6">
              <w:rPr>
                <w:rStyle w:val="Hipercze"/>
              </w:rPr>
              <w:t>ADR.OR.B.037     Ciągła ważność deklaracji złożonej przez instytucję zapewniającą służbę zarządzania płytą postojową</w:t>
            </w:r>
            <w:r w:rsidR="00DF65F3">
              <w:rPr>
                <w:webHidden/>
              </w:rPr>
              <w:tab/>
            </w:r>
            <w:r w:rsidR="00DF65F3">
              <w:rPr>
                <w:webHidden/>
              </w:rPr>
              <w:fldChar w:fldCharType="begin"/>
            </w:r>
            <w:r w:rsidR="00DF65F3">
              <w:rPr>
                <w:webHidden/>
              </w:rPr>
              <w:instrText xml:space="preserve"> PAGEREF _Toc12532659 \h </w:instrText>
            </w:r>
            <w:r w:rsidR="00DF65F3">
              <w:rPr>
                <w:webHidden/>
              </w:rPr>
            </w:r>
            <w:r w:rsidR="00DF65F3">
              <w:rPr>
                <w:webHidden/>
              </w:rPr>
              <w:fldChar w:fldCharType="separate"/>
            </w:r>
            <w:r w:rsidR="00F755B7">
              <w:rPr>
                <w:webHidden/>
              </w:rPr>
              <w:t>98</w:t>
            </w:r>
            <w:r w:rsidR="00DF65F3">
              <w:rPr>
                <w:webHidden/>
              </w:rPr>
              <w:fldChar w:fldCharType="end"/>
            </w:r>
          </w:hyperlink>
        </w:p>
        <w:p w14:paraId="4D690D30" w14:textId="39C5DABD" w:rsidR="00DF65F3" w:rsidRDefault="00870777">
          <w:pPr>
            <w:pStyle w:val="Spistreci3"/>
            <w:rPr>
              <w:rFonts w:asciiTheme="minorHAnsi" w:eastAsiaTheme="minorEastAsia" w:hAnsiTheme="minorHAnsi" w:cstheme="minorBidi"/>
              <w:sz w:val="22"/>
              <w:lang w:val="en-GB" w:eastAsia="en-GB"/>
            </w:rPr>
          </w:pPr>
          <w:hyperlink w:anchor="_Toc12532660" w:history="1">
            <w:r w:rsidR="00DF65F3" w:rsidRPr="004815D6">
              <w:rPr>
                <w:rStyle w:val="Hipercze"/>
              </w:rPr>
              <w:t>ADR.OR.B.040     Zmiany</w:t>
            </w:r>
            <w:r w:rsidR="00DF65F3">
              <w:rPr>
                <w:webHidden/>
              </w:rPr>
              <w:tab/>
            </w:r>
            <w:r w:rsidR="00DF65F3">
              <w:rPr>
                <w:webHidden/>
              </w:rPr>
              <w:fldChar w:fldCharType="begin"/>
            </w:r>
            <w:r w:rsidR="00DF65F3">
              <w:rPr>
                <w:webHidden/>
              </w:rPr>
              <w:instrText xml:space="preserve"> PAGEREF _Toc12532660 \h </w:instrText>
            </w:r>
            <w:r w:rsidR="00DF65F3">
              <w:rPr>
                <w:webHidden/>
              </w:rPr>
            </w:r>
            <w:r w:rsidR="00DF65F3">
              <w:rPr>
                <w:webHidden/>
              </w:rPr>
              <w:fldChar w:fldCharType="separate"/>
            </w:r>
            <w:r w:rsidR="00F755B7">
              <w:rPr>
                <w:webHidden/>
              </w:rPr>
              <w:t>98</w:t>
            </w:r>
            <w:r w:rsidR="00DF65F3">
              <w:rPr>
                <w:webHidden/>
              </w:rPr>
              <w:fldChar w:fldCharType="end"/>
            </w:r>
          </w:hyperlink>
        </w:p>
        <w:p w14:paraId="522BB85D" w14:textId="29434D8C" w:rsidR="00DF65F3" w:rsidRDefault="00870777">
          <w:pPr>
            <w:pStyle w:val="Spistreci5"/>
            <w:rPr>
              <w:sz w:val="22"/>
              <w:lang w:val="en-GB" w:eastAsia="en-GB"/>
            </w:rPr>
          </w:pPr>
          <w:hyperlink w:anchor="_Toc12532661" w:history="1">
            <w:r w:rsidR="00DF65F3" w:rsidRPr="004815D6">
              <w:rPr>
                <w:rStyle w:val="Hipercze"/>
              </w:rPr>
              <w:t>AMC1 ADR.OR.B.040(a);(b)     Zmiany</w:t>
            </w:r>
            <w:r w:rsidR="00DF65F3">
              <w:rPr>
                <w:webHidden/>
              </w:rPr>
              <w:tab/>
            </w:r>
            <w:r w:rsidR="00DF65F3">
              <w:rPr>
                <w:webHidden/>
              </w:rPr>
              <w:fldChar w:fldCharType="begin"/>
            </w:r>
            <w:r w:rsidR="00DF65F3">
              <w:rPr>
                <w:webHidden/>
              </w:rPr>
              <w:instrText xml:space="preserve"> PAGEREF _Toc12532661 \h </w:instrText>
            </w:r>
            <w:r w:rsidR="00DF65F3">
              <w:rPr>
                <w:webHidden/>
              </w:rPr>
            </w:r>
            <w:r w:rsidR="00DF65F3">
              <w:rPr>
                <w:webHidden/>
              </w:rPr>
              <w:fldChar w:fldCharType="separate"/>
            </w:r>
            <w:r w:rsidR="00F755B7">
              <w:rPr>
                <w:webHidden/>
              </w:rPr>
              <w:t>99</w:t>
            </w:r>
            <w:r w:rsidR="00DF65F3">
              <w:rPr>
                <w:webHidden/>
              </w:rPr>
              <w:fldChar w:fldCharType="end"/>
            </w:r>
          </w:hyperlink>
        </w:p>
        <w:p w14:paraId="724C9E06" w14:textId="7F811869" w:rsidR="00DF65F3" w:rsidRDefault="00870777">
          <w:pPr>
            <w:pStyle w:val="Spistreci6"/>
            <w:rPr>
              <w:sz w:val="22"/>
              <w:lang w:val="en-GB" w:eastAsia="en-GB"/>
            </w:rPr>
          </w:pPr>
          <w:hyperlink w:anchor="_Toc12532662" w:history="1">
            <w:r w:rsidR="00DF65F3" w:rsidRPr="004815D6">
              <w:rPr>
                <w:rStyle w:val="Hipercze"/>
              </w:rPr>
              <w:t>GM1 ADR.OR.B.040(a);(b)     Zmiany</w:t>
            </w:r>
            <w:r w:rsidR="00DF65F3">
              <w:rPr>
                <w:webHidden/>
              </w:rPr>
              <w:tab/>
            </w:r>
            <w:r w:rsidR="00DF65F3">
              <w:rPr>
                <w:webHidden/>
              </w:rPr>
              <w:fldChar w:fldCharType="begin"/>
            </w:r>
            <w:r w:rsidR="00DF65F3">
              <w:rPr>
                <w:webHidden/>
              </w:rPr>
              <w:instrText xml:space="preserve"> PAGEREF _Toc12532662 \h </w:instrText>
            </w:r>
            <w:r w:rsidR="00DF65F3">
              <w:rPr>
                <w:webHidden/>
              </w:rPr>
            </w:r>
            <w:r w:rsidR="00DF65F3">
              <w:rPr>
                <w:webHidden/>
              </w:rPr>
              <w:fldChar w:fldCharType="separate"/>
            </w:r>
            <w:r w:rsidR="00F755B7">
              <w:rPr>
                <w:webHidden/>
              </w:rPr>
              <w:t>100</w:t>
            </w:r>
            <w:r w:rsidR="00DF65F3">
              <w:rPr>
                <w:webHidden/>
              </w:rPr>
              <w:fldChar w:fldCharType="end"/>
            </w:r>
          </w:hyperlink>
        </w:p>
        <w:p w14:paraId="00574F02" w14:textId="0A21DC1E" w:rsidR="00DF65F3" w:rsidRDefault="00870777">
          <w:pPr>
            <w:pStyle w:val="Spistreci6"/>
            <w:rPr>
              <w:sz w:val="22"/>
              <w:lang w:val="en-GB" w:eastAsia="en-GB"/>
            </w:rPr>
          </w:pPr>
          <w:hyperlink w:anchor="_Toc12532663" w:history="1">
            <w:r w:rsidR="00DF65F3" w:rsidRPr="004815D6">
              <w:rPr>
                <w:rStyle w:val="Hipercze"/>
              </w:rPr>
              <w:t>GM1 ADR.OR.B.040(f)     Zmiany</w:t>
            </w:r>
            <w:r w:rsidR="00DF65F3">
              <w:rPr>
                <w:webHidden/>
              </w:rPr>
              <w:tab/>
            </w:r>
            <w:r w:rsidR="00DF65F3">
              <w:rPr>
                <w:webHidden/>
              </w:rPr>
              <w:fldChar w:fldCharType="begin"/>
            </w:r>
            <w:r w:rsidR="00DF65F3">
              <w:rPr>
                <w:webHidden/>
              </w:rPr>
              <w:instrText xml:space="preserve"> PAGEREF _Toc12532663 \h </w:instrText>
            </w:r>
            <w:r w:rsidR="00DF65F3">
              <w:rPr>
                <w:webHidden/>
              </w:rPr>
            </w:r>
            <w:r w:rsidR="00DF65F3">
              <w:rPr>
                <w:webHidden/>
              </w:rPr>
              <w:fldChar w:fldCharType="separate"/>
            </w:r>
            <w:r w:rsidR="00F755B7">
              <w:rPr>
                <w:webHidden/>
              </w:rPr>
              <w:t>100</w:t>
            </w:r>
            <w:r w:rsidR="00DF65F3">
              <w:rPr>
                <w:webHidden/>
              </w:rPr>
              <w:fldChar w:fldCharType="end"/>
            </w:r>
          </w:hyperlink>
        </w:p>
        <w:p w14:paraId="307EB8E6" w14:textId="18999A17" w:rsidR="00DF65F3" w:rsidRDefault="00870777">
          <w:pPr>
            <w:pStyle w:val="Spistreci6"/>
            <w:rPr>
              <w:sz w:val="22"/>
              <w:lang w:val="en-GB" w:eastAsia="en-GB"/>
            </w:rPr>
          </w:pPr>
          <w:hyperlink w:anchor="_Toc12532664" w:history="1">
            <w:r w:rsidR="00DF65F3" w:rsidRPr="004815D6">
              <w:rPr>
                <w:rStyle w:val="Hipercze"/>
              </w:rPr>
              <w:t>GM2 ADR.OR.B.040(f)     Zmiany</w:t>
            </w:r>
            <w:r w:rsidR="00DF65F3">
              <w:rPr>
                <w:webHidden/>
              </w:rPr>
              <w:tab/>
            </w:r>
            <w:r w:rsidR="00DF65F3">
              <w:rPr>
                <w:webHidden/>
              </w:rPr>
              <w:fldChar w:fldCharType="begin"/>
            </w:r>
            <w:r w:rsidR="00DF65F3">
              <w:rPr>
                <w:webHidden/>
              </w:rPr>
              <w:instrText xml:space="preserve"> PAGEREF _Toc12532664 \h </w:instrText>
            </w:r>
            <w:r w:rsidR="00DF65F3">
              <w:rPr>
                <w:webHidden/>
              </w:rPr>
            </w:r>
            <w:r w:rsidR="00DF65F3">
              <w:rPr>
                <w:webHidden/>
              </w:rPr>
              <w:fldChar w:fldCharType="separate"/>
            </w:r>
            <w:r w:rsidR="00F755B7">
              <w:rPr>
                <w:webHidden/>
              </w:rPr>
              <w:t>101</w:t>
            </w:r>
            <w:r w:rsidR="00DF65F3">
              <w:rPr>
                <w:webHidden/>
              </w:rPr>
              <w:fldChar w:fldCharType="end"/>
            </w:r>
          </w:hyperlink>
        </w:p>
        <w:p w14:paraId="088819BD" w14:textId="72F9765E" w:rsidR="00DF65F3" w:rsidRDefault="00870777">
          <w:pPr>
            <w:pStyle w:val="Spistreci6"/>
            <w:rPr>
              <w:sz w:val="22"/>
              <w:lang w:val="en-GB" w:eastAsia="en-GB"/>
            </w:rPr>
          </w:pPr>
          <w:hyperlink w:anchor="_Toc12532665" w:history="1">
            <w:r w:rsidR="00DF65F3" w:rsidRPr="004815D6">
              <w:rPr>
                <w:rStyle w:val="Hipercze"/>
              </w:rPr>
              <w:t>GM3 ADR.OR.B.040(f)     Zmiany</w:t>
            </w:r>
            <w:r w:rsidR="00DF65F3">
              <w:rPr>
                <w:webHidden/>
              </w:rPr>
              <w:tab/>
            </w:r>
            <w:r w:rsidR="00DF65F3">
              <w:rPr>
                <w:webHidden/>
              </w:rPr>
              <w:fldChar w:fldCharType="begin"/>
            </w:r>
            <w:r w:rsidR="00DF65F3">
              <w:rPr>
                <w:webHidden/>
              </w:rPr>
              <w:instrText xml:space="preserve"> PAGEREF _Toc12532665 \h </w:instrText>
            </w:r>
            <w:r w:rsidR="00DF65F3">
              <w:rPr>
                <w:webHidden/>
              </w:rPr>
            </w:r>
            <w:r w:rsidR="00DF65F3">
              <w:rPr>
                <w:webHidden/>
              </w:rPr>
              <w:fldChar w:fldCharType="separate"/>
            </w:r>
            <w:r w:rsidR="00F755B7">
              <w:rPr>
                <w:webHidden/>
              </w:rPr>
              <w:t>101</w:t>
            </w:r>
            <w:r w:rsidR="00DF65F3">
              <w:rPr>
                <w:webHidden/>
              </w:rPr>
              <w:fldChar w:fldCharType="end"/>
            </w:r>
          </w:hyperlink>
        </w:p>
        <w:p w14:paraId="685022C7" w14:textId="72D82D8B" w:rsidR="00DF65F3" w:rsidRDefault="00870777">
          <w:pPr>
            <w:pStyle w:val="Spistreci3"/>
            <w:rPr>
              <w:rFonts w:asciiTheme="minorHAnsi" w:eastAsiaTheme="minorEastAsia" w:hAnsiTheme="minorHAnsi" w:cstheme="minorBidi"/>
              <w:sz w:val="22"/>
              <w:lang w:val="en-GB" w:eastAsia="en-GB"/>
            </w:rPr>
          </w:pPr>
          <w:hyperlink w:anchor="_Toc12532666" w:history="1">
            <w:r w:rsidR="00DF65F3" w:rsidRPr="004815D6">
              <w:rPr>
                <w:rStyle w:val="Hipercze"/>
              </w:rPr>
              <w:t>ADR.OR.B.050     Ciągła zgodność ze specyfikacjami certyfikacyjnymi wydanymi przez Agencję</w:t>
            </w:r>
            <w:r w:rsidR="00DF65F3">
              <w:rPr>
                <w:webHidden/>
              </w:rPr>
              <w:tab/>
            </w:r>
            <w:r w:rsidR="00DF65F3">
              <w:rPr>
                <w:webHidden/>
              </w:rPr>
              <w:fldChar w:fldCharType="begin"/>
            </w:r>
            <w:r w:rsidR="00DF65F3">
              <w:rPr>
                <w:webHidden/>
              </w:rPr>
              <w:instrText xml:space="preserve"> PAGEREF _Toc12532666 \h </w:instrText>
            </w:r>
            <w:r w:rsidR="00DF65F3">
              <w:rPr>
                <w:webHidden/>
              </w:rPr>
            </w:r>
            <w:r w:rsidR="00DF65F3">
              <w:rPr>
                <w:webHidden/>
              </w:rPr>
              <w:fldChar w:fldCharType="separate"/>
            </w:r>
            <w:r w:rsidR="00F755B7">
              <w:rPr>
                <w:webHidden/>
              </w:rPr>
              <w:t>101</w:t>
            </w:r>
            <w:r w:rsidR="00DF65F3">
              <w:rPr>
                <w:webHidden/>
              </w:rPr>
              <w:fldChar w:fldCharType="end"/>
            </w:r>
          </w:hyperlink>
        </w:p>
        <w:p w14:paraId="65531232" w14:textId="52BBAAE9" w:rsidR="00DF65F3" w:rsidRDefault="00870777">
          <w:pPr>
            <w:pStyle w:val="Spistreci3"/>
            <w:rPr>
              <w:rFonts w:asciiTheme="minorHAnsi" w:eastAsiaTheme="minorEastAsia" w:hAnsiTheme="minorHAnsi" w:cstheme="minorBidi"/>
              <w:sz w:val="22"/>
              <w:lang w:val="en-GB" w:eastAsia="en-GB"/>
            </w:rPr>
          </w:pPr>
          <w:hyperlink w:anchor="_Toc12532667" w:history="1">
            <w:r w:rsidR="00DF65F3" w:rsidRPr="004815D6">
              <w:rPr>
                <w:rStyle w:val="Hipercze"/>
              </w:rPr>
              <w:t>ADR.OR.B.060     Deklaracja składana przez instytucję zapewniającą służbę zarządzania płytą postojową</w:t>
            </w:r>
            <w:r w:rsidR="00DF65F3">
              <w:rPr>
                <w:webHidden/>
              </w:rPr>
              <w:tab/>
            </w:r>
            <w:r w:rsidR="00DF65F3">
              <w:rPr>
                <w:webHidden/>
              </w:rPr>
              <w:fldChar w:fldCharType="begin"/>
            </w:r>
            <w:r w:rsidR="00DF65F3">
              <w:rPr>
                <w:webHidden/>
              </w:rPr>
              <w:instrText xml:space="preserve"> PAGEREF _Toc12532667 \h </w:instrText>
            </w:r>
            <w:r w:rsidR="00DF65F3">
              <w:rPr>
                <w:webHidden/>
              </w:rPr>
            </w:r>
            <w:r w:rsidR="00DF65F3">
              <w:rPr>
                <w:webHidden/>
              </w:rPr>
              <w:fldChar w:fldCharType="separate"/>
            </w:r>
            <w:r w:rsidR="00F755B7">
              <w:rPr>
                <w:webHidden/>
              </w:rPr>
              <w:t>102</w:t>
            </w:r>
            <w:r w:rsidR="00DF65F3">
              <w:rPr>
                <w:webHidden/>
              </w:rPr>
              <w:fldChar w:fldCharType="end"/>
            </w:r>
          </w:hyperlink>
        </w:p>
        <w:p w14:paraId="3EEDE334" w14:textId="6B942765" w:rsidR="00DF65F3" w:rsidRDefault="00870777">
          <w:pPr>
            <w:pStyle w:val="Spistreci6"/>
            <w:rPr>
              <w:sz w:val="22"/>
              <w:lang w:val="en-GB" w:eastAsia="en-GB"/>
            </w:rPr>
          </w:pPr>
          <w:hyperlink w:anchor="_Toc12532668" w:history="1">
            <w:r w:rsidR="00DF65F3" w:rsidRPr="004815D6">
              <w:rPr>
                <w:rStyle w:val="Hipercze"/>
              </w:rPr>
              <w:t>GM1 ADR.OR.B.060     Deklaracja składana przez instytucję zapewniającą służbę zarządzania płytą postojową</w:t>
            </w:r>
            <w:r w:rsidR="00DF65F3">
              <w:rPr>
                <w:webHidden/>
              </w:rPr>
              <w:tab/>
            </w:r>
            <w:r w:rsidR="00DF65F3">
              <w:rPr>
                <w:webHidden/>
              </w:rPr>
              <w:fldChar w:fldCharType="begin"/>
            </w:r>
            <w:r w:rsidR="00DF65F3">
              <w:rPr>
                <w:webHidden/>
              </w:rPr>
              <w:instrText xml:space="preserve"> PAGEREF _Toc12532668 \h </w:instrText>
            </w:r>
            <w:r w:rsidR="00DF65F3">
              <w:rPr>
                <w:webHidden/>
              </w:rPr>
            </w:r>
            <w:r w:rsidR="00DF65F3">
              <w:rPr>
                <w:webHidden/>
              </w:rPr>
              <w:fldChar w:fldCharType="separate"/>
            </w:r>
            <w:r w:rsidR="00F755B7">
              <w:rPr>
                <w:webHidden/>
              </w:rPr>
              <w:t>102</w:t>
            </w:r>
            <w:r w:rsidR="00DF65F3">
              <w:rPr>
                <w:webHidden/>
              </w:rPr>
              <w:fldChar w:fldCharType="end"/>
            </w:r>
          </w:hyperlink>
        </w:p>
        <w:p w14:paraId="47320FF7" w14:textId="122100E9" w:rsidR="00DF65F3" w:rsidRDefault="00870777">
          <w:pPr>
            <w:pStyle w:val="Spistreci3"/>
            <w:rPr>
              <w:rFonts w:asciiTheme="minorHAnsi" w:eastAsiaTheme="minorEastAsia" w:hAnsiTheme="minorHAnsi" w:cstheme="minorBidi"/>
              <w:sz w:val="22"/>
              <w:lang w:val="en-GB" w:eastAsia="en-GB"/>
            </w:rPr>
          </w:pPr>
          <w:hyperlink w:anchor="_Toc12532669" w:history="1">
            <w:r w:rsidR="00DF65F3" w:rsidRPr="004815D6">
              <w:rPr>
                <w:rStyle w:val="Hipercze"/>
              </w:rPr>
              <w:t>ADR.OR.B.065     Zakończenie użytkowania lotniska</w:t>
            </w:r>
            <w:r w:rsidR="00DF65F3">
              <w:rPr>
                <w:webHidden/>
              </w:rPr>
              <w:tab/>
            </w:r>
            <w:r w:rsidR="00DF65F3">
              <w:rPr>
                <w:webHidden/>
              </w:rPr>
              <w:fldChar w:fldCharType="begin"/>
            </w:r>
            <w:r w:rsidR="00DF65F3">
              <w:rPr>
                <w:webHidden/>
              </w:rPr>
              <w:instrText xml:space="preserve"> PAGEREF _Toc12532669 \h </w:instrText>
            </w:r>
            <w:r w:rsidR="00DF65F3">
              <w:rPr>
                <w:webHidden/>
              </w:rPr>
            </w:r>
            <w:r w:rsidR="00DF65F3">
              <w:rPr>
                <w:webHidden/>
              </w:rPr>
              <w:fldChar w:fldCharType="separate"/>
            </w:r>
            <w:r w:rsidR="00F755B7">
              <w:rPr>
                <w:webHidden/>
              </w:rPr>
              <w:t>103</w:t>
            </w:r>
            <w:r w:rsidR="00DF65F3">
              <w:rPr>
                <w:webHidden/>
              </w:rPr>
              <w:fldChar w:fldCharType="end"/>
            </w:r>
          </w:hyperlink>
        </w:p>
        <w:p w14:paraId="669B5AE8" w14:textId="26C0712B" w:rsidR="00DF65F3" w:rsidRDefault="00870777">
          <w:pPr>
            <w:pStyle w:val="Spistreci5"/>
            <w:rPr>
              <w:sz w:val="22"/>
              <w:lang w:val="en-GB" w:eastAsia="en-GB"/>
            </w:rPr>
          </w:pPr>
          <w:hyperlink w:anchor="_Toc12532670" w:history="1">
            <w:r w:rsidR="00DF65F3" w:rsidRPr="004815D6">
              <w:rPr>
                <w:rStyle w:val="Hipercze"/>
              </w:rPr>
              <w:t>AMC1 ADR.OR.B.065     Zakończenie użytkowania lotniska</w:t>
            </w:r>
            <w:r w:rsidR="00DF65F3">
              <w:rPr>
                <w:webHidden/>
              </w:rPr>
              <w:tab/>
            </w:r>
            <w:r w:rsidR="00DF65F3">
              <w:rPr>
                <w:webHidden/>
              </w:rPr>
              <w:fldChar w:fldCharType="begin"/>
            </w:r>
            <w:r w:rsidR="00DF65F3">
              <w:rPr>
                <w:webHidden/>
              </w:rPr>
              <w:instrText xml:space="preserve"> PAGEREF _Toc12532670 \h </w:instrText>
            </w:r>
            <w:r w:rsidR="00DF65F3">
              <w:rPr>
                <w:webHidden/>
              </w:rPr>
            </w:r>
            <w:r w:rsidR="00DF65F3">
              <w:rPr>
                <w:webHidden/>
              </w:rPr>
              <w:fldChar w:fldCharType="separate"/>
            </w:r>
            <w:r w:rsidR="00F755B7">
              <w:rPr>
                <w:webHidden/>
              </w:rPr>
              <w:t>103</w:t>
            </w:r>
            <w:r w:rsidR="00DF65F3">
              <w:rPr>
                <w:webHidden/>
              </w:rPr>
              <w:fldChar w:fldCharType="end"/>
            </w:r>
          </w:hyperlink>
        </w:p>
        <w:p w14:paraId="70FB70DC" w14:textId="19420CA9" w:rsidR="00DF65F3" w:rsidRDefault="00870777">
          <w:pPr>
            <w:pStyle w:val="Spistreci2"/>
            <w:rPr>
              <w:rFonts w:asciiTheme="minorHAnsi" w:eastAsiaTheme="minorEastAsia" w:hAnsiTheme="minorHAnsi" w:cstheme="minorBidi"/>
              <w:sz w:val="22"/>
              <w:lang w:val="en-GB" w:eastAsia="en-GB"/>
            </w:rPr>
          </w:pPr>
          <w:hyperlink w:anchor="_Toc12532671" w:history="1">
            <w:r w:rsidR="00DF65F3" w:rsidRPr="004815D6">
              <w:rPr>
                <w:rStyle w:val="Hipercze"/>
              </w:rPr>
              <w:t>PODCZĘŚĆ C — DODATKOWE OBOWIĄZKI OPERATORA LOTNISKA (ADR.OR.C)</w:t>
            </w:r>
            <w:r w:rsidR="00DF65F3">
              <w:rPr>
                <w:webHidden/>
              </w:rPr>
              <w:tab/>
            </w:r>
            <w:r w:rsidR="00DF65F3">
              <w:rPr>
                <w:webHidden/>
              </w:rPr>
              <w:fldChar w:fldCharType="begin"/>
            </w:r>
            <w:r w:rsidR="00DF65F3">
              <w:rPr>
                <w:webHidden/>
              </w:rPr>
              <w:instrText xml:space="preserve"> PAGEREF _Toc12532671 \h </w:instrText>
            </w:r>
            <w:r w:rsidR="00DF65F3">
              <w:rPr>
                <w:webHidden/>
              </w:rPr>
            </w:r>
            <w:r w:rsidR="00DF65F3">
              <w:rPr>
                <w:webHidden/>
              </w:rPr>
              <w:fldChar w:fldCharType="separate"/>
            </w:r>
            <w:r w:rsidR="00F755B7">
              <w:rPr>
                <w:webHidden/>
              </w:rPr>
              <w:t>104</w:t>
            </w:r>
            <w:r w:rsidR="00DF65F3">
              <w:rPr>
                <w:webHidden/>
              </w:rPr>
              <w:fldChar w:fldCharType="end"/>
            </w:r>
          </w:hyperlink>
        </w:p>
        <w:p w14:paraId="7925AE6A" w14:textId="2A34E431" w:rsidR="00DF65F3" w:rsidRDefault="00870777">
          <w:pPr>
            <w:pStyle w:val="Spistreci3"/>
            <w:rPr>
              <w:rFonts w:asciiTheme="minorHAnsi" w:eastAsiaTheme="minorEastAsia" w:hAnsiTheme="minorHAnsi" w:cstheme="minorBidi"/>
              <w:sz w:val="22"/>
              <w:lang w:val="en-GB" w:eastAsia="en-GB"/>
            </w:rPr>
          </w:pPr>
          <w:hyperlink w:anchor="_Toc12532672" w:history="1">
            <w:r w:rsidR="00DF65F3" w:rsidRPr="004815D6">
              <w:rPr>
                <w:rStyle w:val="Hipercze"/>
              </w:rPr>
              <w:t>ADR.OR.C.005     Obowiązki operatora lotniska</w:t>
            </w:r>
            <w:r w:rsidR="00DF65F3">
              <w:rPr>
                <w:webHidden/>
              </w:rPr>
              <w:tab/>
            </w:r>
            <w:r w:rsidR="00DF65F3">
              <w:rPr>
                <w:webHidden/>
              </w:rPr>
              <w:fldChar w:fldCharType="begin"/>
            </w:r>
            <w:r w:rsidR="00DF65F3">
              <w:rPr>
                <w:webHidden/>
              </w:rPr>
              <w:instrText xml:space="preserve"> PAGEREF _Toc12532672 \h </w:instrText>
            </w:r>
            <w:r w:rsidR="00DF65F3">
              <w:rPr>
                <w:webHidden/>
              </w:rPr>
            </w:r>
            <w:r w:rsidR="00DF65F3">
              <w:rPr>
                <w:webHidden/>
              </w:rPr>
              <w:fldChar w:fldCharType="separate"/>
            </w:r>
            <w:r w:rsidR="00F755B7">
              <w:rPr>
                <w:webHidden/>
              </w:rPr>
              <w:t>104</w:t>
            </w:r>
            <w:r w:rsidR="00DF65F3">
              <w:rPr>
                <w:webHidden/>
              </w:rPr>
              <w:fldChar w:fldCharType="end"/>
            </w:r>
          </w:hyperlink>
        </w:p>
        <w:p w14:paraId="35A11A82" w14:textId="3A772EF4" w:rsidR="00DF65F3" w:rsidRDefault="00870777">
          <w:pPr>
            <w:pStyle w:val="Spistreci5"/>
            <w:rPr>
              <w:sz w:val="22"/>
              <w:lang w:val="en-GB" w:eastAsia="en-GB"/>
            </w:rPr>
          </w:pPr>
          <w:hyperlink w:anchor="_Toc12532673" w:history="1">
            <w:r w:rsidR="00DF65F3" w:rsidRPr="004815D6">
              <w:rPr>
                <w:rStyle w:val="Hipercze"/>
              </w:rPr>
              <w:t>AMC1 ADR.OR.C.005(c)     Obowiązki operatora lotniska</w:t>
            </w:r>
            <w:r w:rsidR="00DF65F3">
              <w:rPr>
                <w:webHidden/>
              </w:rPr>
              <w:tab/>
            </w:r>
            <w:r w:rsidR="00DF65F3">
              <w:rPr>
                <w:webHidden/>
              </w:rPr>
              <w:fldChar w:fldCharType="begin"/>
            </w:r>
            <w:r w:rsidR="00DF65F3">
              <w:rPr>
                <w:webHidden/>
              </w:rPr>
              <w:instrText xml:space="preserve"> PAGEREF _Toc12532673 \h </w:instrText>
            </w:r>
            <w:r w:rsidR="00DF65F3">
              <w:rPr>
                <w:webHidden/>
              </w:rPr>
            </w:r>
            <w:r w:rsidR="00DF65F3">
              <w:rPr>
                <w:webHidden/>
              </w:rPr>
              <w:fldChar w:fldCharType="separate"/>
            </w:r>
            <w:r w:rsidR="00F755B7">
              <w:rPr>
                <w:webHidden/>
              </w:rPr>
              <w:t>104</w:t>
            </w:r>
            <w:r w:rsidR="00DF65F3">
              <w:rPr>
                <w:webHidden/>
              </w:rPr>
              <w:fldChar w:fldCharType="end"/>
            </w:r>
          </w:hyperlink>
        </w:p>
        <w:p w14:paraId="0082CCC4" w14:textId="0580A114" w:rsidR="00DF65F3" w:rsidRDefault="00870777">
          <w:pPr>
            <w:pStyle w:val="Spistreci3"/>
            <w:rPr>
              <w:rFonts w:asciiTheme="minorHAnsi" w:eastAsiaTheme="minorEastAsia" w:hAnsiTheme="minorHAnsi" w:cstheme="minorBidi"/>
              <w:sz w:val="22"/>
              <w:lang w:val="en-GB" w:eastAsia="en-GB"/>
            </w:rPr>
          </w:pPr>
          <w:hyperlink w:anchor="_Toc12532674" w:history="1">
            <w:r w:rsidR="00DF65F3" w:rsidRPr="004815D6">
              <w:rPr>
                <w:rStyle w:val="Hipercze"/>
              </w:rPr>
              <w:t>ADR.OR.C.015     Dostęp</w:t>
            </w:r>
            <w:r w:rsidR="00DF65F3">
              <w:rPr>
                <w:webHidden/>
              </w:rPr>
              <w:tab/>
            </w:r>
            <w:r w:rsidR="00DF65F3">
              <w:rPr>
                <w:webHidden/>
              </w:rPr>
              <w:fldChar w:fldCharType="begin"/>
            </w:r>
            <w:r w:rsidR="00DF65F3">
              <w:rPr>
                <w:webHidden/>
              </w:rPr>
              <w:instrText xml:space="preserve"> PAGEREF _Toc12532674 \h </w:instrText>
            </w:r>
            <w:r w:rsidR="00DF65F3">
              <w:rPr>
                <w:webHidden/>
              </w:rPr>
            </w:r>
            <w:r w:rsidR="00DF65F3">
              <w:rPr>
                <w:webHidden/>
              </w:rPr>
              <w:fldChar w:fldCharType="separate"/>
            </w:r>
            <w:r w:rsidR="00F755B7">
              <w:rPr>
                <w:webHidden/>
              </w:rPr>
              <w:t>105</w:t>
            </w:r>
            <w:r w:rsidR="00DF65F3">
              <w:rPr>
                <w:webHidden/>
              </w:rPr>
              <w:fldChar w:fldCharType="end"/>
            </w:r>
          </w:hyperlink>
        </w:p>
        <w:p w14:paraId="34F61F05" w14:textId="2D18B2B4" w:rsidR="00DF65F3" w:rsidRDefault="00870777">
          <w:pPr>
            <w:pStyle w:val="Spistreci3"/>
            <w:rPr>
              <w:rFonts w:asciiTheme="minorHAnsi" w:eastAsiaTheme="minorEastAsia" w:hAnsiTheme="minorHAnsi" w:cstheme="minorBidi"/>
              <w:sz w:val="22"/>
              <w:lang w:val="en-GB" w:eastAsia="en-GB"/>
            </w:rPr>
          </w:pPr>
          <w:hyperlink w:anchor="_Toc12532675" w:history="1">
            <w:r w:rsidR="00DF65F3" w:rsidRPr="004815D6">
              <w:rPr>
                <w:rStyle w:val="Hipercze"/>
              </w:rPr>
              <w:t>ADR.OR.C.020     Nieprawidłowości i działania naprawcze</w:t>
            </w:r>
            <w:r w:rsidR="00DF65F3">
              <w:rPr>
                <w:webHidden/>
              </w:rPr>
              <w:tab/>
            </w:r>
            <w:r w:rsidR="00DF65F3">
              <w:rPr>
                <w:webHidden/>
              </w:rPr>
              <w:fldChar w:fldCharType="begin"/>
            </w:r>
            <w:r w:rsidR="00DF65F3">
              <w:rPr>
                <w:webHidden/>
              </w:rPr>
              <w:instrText xml:space="preserve"> PAGEREF _Toc12532675 \h </w:instrText>
            </w:r>
            <w:r w:rsidR="00DF65F3">
              <w:rPr>
                <w:webHidden/>
              </w:rPr>
            </w:r>
            <w:r w:rsidR="00DF65F3">
              <w:rPr>
                <w:webHidden/>
              </w:rPr>
              <w:fldChar w:fldCharType="separate"/>
            </w:r>
            <w:r w:rsidR="00F755B7">
              <w:rPr>
                <w:webHidden/>
              </w:rPr>
              <w:t>105</w:t>
            </w:r>
            <w:r w:rsidR="00DF65F3">
              <w:rPr>
                <w:webHidden/>
              </w:rPr>
              <w:fldChar w:fldCharType="end"/>
            </w:r>
          </w:hyperlink>
        </w:p>
        <w:p w14:paraId="6110D5E9" w14:textId="52DB3B8C" w:rsidR="00DF65F3" w:rsidRDefault="00870777">
          <w:pPr>
            <w:pStyle w:val="Spistreci5"/>
            <w:rPr>
              <w:sz w:val="22"/>
              <w:lang w:val="en-GB" w:eastAsia="en-GB"/>
            </w:rPr>
          </w:pPr>
          <w:hyperlink w:anchor="_Toc12532676" w:history="1">
            <w:r w:rsidR="00DF65F3" w:rsidRPr="004815D6">
              <w:rPr>
                <w:rStyle w:val="Hipercze"/>
              </w:rPr>
              <w:t>AMC1 ADR.OR.C.020(b)     Nieprawidłowości</w:t>
            </w:r>
            <w:r w:rsidR="00DF65F3">
              <w:rPr>
                <w:webHidden/>
              </w:rPr>
              <w:tab/>
            </w:r>
            <w:r w:rsidR="00DF65F3">
              <w:rPr>
                <w:webHidden/>
              </w:rPr>
              <w:fldChar w:fldCharType="begin"/>
            </w:r>
            <w:r w:rsidR="00DF65F3">
              <w:rPr>
                <w:webHidden/>
              </w:rPr>
              <w:instrText xml:space="preserve"> PAGEREF _Toc12532676 \h </w:instrText>
            </w:r>
            <w:r w:rsidR="00DF65F3">
              <w:rPr>
                <w:webHidden/>
              </w:rPr>
            </w:r>
            <w:r w:rsidR="00DF65F3">
              <w:rPr>
                <w:webHidden/>
              </w:rPr>
              <w:fldChar w:fldCharType="separate"/>
            </w:r>
            <w:r w:rsidR="00F755B7">
              <w:rPr>
                <w:webHidden/>
              </w:rPr>
              <w:t>105</w:t>
            </w:r>
            <w:r w:rsidR="00DF65F3">
              <w:rPr>
                <w:webHidden/>
              </w:rPr>
              <w:fldChar w:fldCharType="end"/>
            </w:r>
          </w:hyperlink>
        </w:p>
        <w:p w14:paraId="5DEB41D8" w14:textId="689FE6F3" w:rsidR="00DF65F3" w:rsidRDefault="00870777">
          <w:pPr>
            <w:pStyle w:val="Spistreci6"/>
            <w:rPr>
              <w:sz w:val="22"/>
              <w:lang w:val="en-GB" w:eastAsia="en-GB"/>
            </w:rPr>
          </w:pPr>
          <w:hyperlink w:anchor="_Toc12532677" w:history="1">
            <w:r w:rsidR="00DF65F3" w:rsidRPr="004815D6">
              <w:rPr>
                <w:rStyle w:val="Hipercze"/>
              </w:rPr>
              <w:t>GM1 ADR.OR.C.020     Nieprawidłowości</w:t>
            </w:r>
            <w:r w:rsidR="00DF65F3">
              <w:rPr>
                <w:webHidden/>
              </w:rPr>
              <w:tab/>
            </w:r>
            <w:r w:rsidR="00DF65F3">
              <w:rPr>
                <w:webHidden/>
              </w:rPr>
              <w:fldChar w:fldCharType="begin"/>
            </w:r>
            <w:r w:rsidR="00DF65F3">
              <w:rPr>
                <w:webHidden/>
              </w:rPr>
              <w:instrText xml:space="preserve"> PAGEREF _Toc12532677 \h </w:instrText>
            </w:r>
            <w:r w:rsidR="00DF65F3">
              <w:rPr>
                <w:webHidden/>
              </w:rPr>
            </w:r>
            <w:r w:rsidR="00DF65F3">
              <w:rPr>
                <w:webHidden/>
              </w:rPr>
              <w:fldChar w:fldCharType="separate"/>
            </w:r>
            <w:r w:rsidR="00F755B7">
              <w:rPr>
                <w:webHidden/>
              </w:rPr>
              <w:t>105</w:t>
            </w:r>
            <w:r w:rsidR="00DF65F3">
              <w:rPr>
                <w:webHidden/>
              </w:rPr>
              <w:fldChar w:fldCharType="end"/>
            </w:r>
          </w:hyperlink>
        </w:p>
        <w:p w14:paraId="2549D6BC" w14:textId="1A542475" w:rsidR="00DF65F3" w:rsidRDefault="00870777">
          <w:pPr>
            <w:pStyle w:val="Spistreci3"/>
            <w:rPr>
              <w:rFonts w:asciiTheme="minorHAnsi" w:eastAsiaTheme="minorEastAsia" w:hAnsiTheme="minorHAnsi" w:cstheme="minorBidi"/>
              <w:sz w:val="22"/>
              <w:lang w:val="en-GB" w:eastAsia="en-GB"/>
            </w:rPr>
          </w:pPr>
          <w:hyperlink w:anchor="_Toc12532678" w:history="1">
            <w:r w:rsidR="00DF65F3" w:rsidRPr="004815D6">
              <w:rPr>
                <w:rStyle w:val="Hipercze"/>
              </w:rPr>
              <w:t>ADR.OR.C.025     Natychmiastowa reakcja na zagrożenie bezpieczeństwa – zgodność z wytycznymi bezpieczeństwa</w:t>
            </w:r>
            <w:r w:rsidR="00DF65F3">
              <w:rPr>
                <w:webHidden/>
              </w:rPr>
              <w:tab/>
            </w:r>
            <w:r w:rsidR="00DF65F3">
              <w:rPr>
                <w:webHidden/>
              </w:rPr>
              <w:fldChar w:fldCharType="begin"/>
            </w:r>
            <w:r w:rsidR="00DF65F3">
              <w:rPr>
                <w:webHidden/>
              </w:rPr>
              <w:instrText xml:space="preserve"> PAGEREF _Toc12532678 \h </w:instrText>
            </w:r>
            <w:r w:rsidR="00DF65F3">
              <w:rPr>
                <w:webHidden/>
              </w:rPr>
            </w:r>
            <w:r w:rsidR="00DF65F3">
              <w:rPr>
                <w:webHidden/>
              </w:rPr>
              <w:fldChar w:fldCharType="separate"/>
            </w:r>
            <w:r w:rsidR="00F755B7">
              <w:rPr>
                <w:webHidden/>
              </w:rPr>
              <w:t>106</w:t>
            </w:r>
            <w:r w:rsidR="00DF65F3">
              <w:rPr>
                <w:webHidden/>
              </w:rPr>
              <w:fldChar w:fldCharType="end"/>
            </w:r>
          </w:hyperlink>
        </w:p>
        <w:p w14:paraId="1CBFA6EB" w14:textId="1C2358DD" w:rsidR="00DF65F3" w:rsidRDefault="00870777">
          <w:pPr>
            <w:pStyle w:val="Spistreci3"/>
            <w:rPr>
              <w:rFonts w:asciiTheme="minorHAnsi" w:eastAsiaTheme="minorEastAsia" w:hAnsiTheme="minorHAnsi" w:cstheme="minorBidi"/>
              <w:sz w:val="22"/>
              <w:lang w:val="en-GB" w:eastAsia="en-GB"/>
            </w:rPr>
          </w:pPr>
          <w:hyperlink w:anchor="_Toc12532679" w:history="1">
            <w:r w:rsidR="00DF65F3" w:rsidRPr="004815D6">
              <w:rPr>
                <w:rStyle w:val="Hipercze"/>
              </w:rPr>
              <w:t>ADR.OR.C.030     Zgłaszanie zdarzeń</w:t>
            </w:r>
            <w:r w:rsidR="00DF65F3">
              <w:rPr>
                <w:webHidden/>
              </w:rPr>
              <w:tab/>
            </w:r>
            <w:r w:rsidR="00DF65F3">
              <w:rPr>
                <w:webHidden/>
              </w:rPr>
              <w:fldChar w:fldCharType="begin"/>
            </w:r>
            <w:r w:rsidR="00DF65F3">
              <w:rPr>
                <w:webHidden/>
              </w:rPr>
              <w:instrText xml:space="preserve"> PAGEREF _Toc12532679 \h </w:instrText>
            </w:r>
            <w:r w:rsidR="00DF65F3">
              <w:rPr>
                <w:webHidden/>
              </w:rPr>
            </w:r>
            <w:r w:rsidR="00DF65F3">
              <w:rPr>
                <w:webHidden/>
              </w:rPr>
              <w:fldChar w:fldCharType="separate"/>
            </w:r>
            <w:r w:rsidR="00F755B7">
              <w:rPr>
                <w:webHidden/>
              </w:rPr>
              <w:t>106</w:t>
            </w:r>
            <w:r w:rsidR="00DF65F3">
              <w:rPr>
                <w:webHidden/>
              </w:rPr>
              <w:fldChar w:fldCharType="end"/>
            </w:r>
          </w:hyperlink>
        </w:p>
        <w:p w14:paraId="7F7336D2" w14:textId="1F2E33C8" w:rsidR="00DF65F3" w:rsidRDefault="00870777">
          <w:pPr>
            <w:pStyle w:val="Spistreci5"/>
            <w:rPr>
              <w:sz w:val="22"/>
              <w:lang w:val="en-GB" w:eastAsia="en-GB"/>
            </w:rPr>
          </w:pPr>
          <w:hyperlink w:anchor="_Toc12532680" w:history="1">
            <w:r w:rsidR="00DF65F3" w:rsidRPr="004815D6">
              <w:rPr>
                <w:rStyle w:val="Hipercze"/>
              </w:rPr>
              <w:t>AMC1 ADR.OR.C.030     Zgłaszanie zdarzeń</w:t>
            </w:r>
            <w:r w:rsidR="00DF65F3">
              <w:rPr>
                <w:webHidden/>
              </w:rPr>
              <w:tab/>
            </w:r>
            <w:r w:rsidR="00DF65F3">
              <w:rPr>
                <w:webHidden/>
              </w:rPr>
              <w:fldChar w:fldCharType="begin"/>
            </w:r>
            <w:r w:rsidR="00DF65F3">
              <w:rPr>
                <w:webHidden/>
              </w:rPr>
              <w:instrText xml:space="preserve"> PAGEREF _Toc12532680 \h </w:instrText>
            </w:r>
            <w:r w:rsidR="00DF65F3">
              <w:rPr>
                <w:webHidden/>
              </w:rPr>
            </w:r>
            <w:r w:rsidR="00DF65F3">
              <w:rPr>
                <w:webHidden/>
              </w:rPr>
              <w:fldChar w:fldCharType="separate"/>
            </w:r>
            <w:r w:rsidR="00F755B7">
              <w:rPr>
                <w:webHidden/>
              </w:rPr>
              <w:t>106</w:t>
            </w:r>
            <w:r w:rsidR="00DF65F3">
              <w:rPr>
                <w:webHidden/>
              </w:rPr>
              <w:fldChar w:fldCharType="end"/>
            </w:r>
          </w:hyperlink>
        </w:p>
        <w:p w14:paraId="020B1200" w14:textId="76182DB7" w:rsidR="00DF65F3" w:rsidRDefault="00870777">
          <w:pPr>
            <w:pStyle w:val="Spistreci3"/>
            <w:rPr>
              <w:rFonts w:asciiTheme="minorHAnsi" w:eastAsiaTheme="minorEastAsia" w:hAnsiTheme="minorHAnsi" w:cstheme="minorBidi"/>
              <w:sz w:val="22"/>
              <w:lang w:val="en-GB" w:eastAsia="en-GB"/>
            </w:rPr>
          </w:pPr>
          <w:hyperlink w:anchor="_Toc12532681" w:history="1">
            <w:r w:rsidR="00DF65F3" w:rsidRPr="004815D6">
              <w:rPr>
                <w:rStyle w:val="Hipercze"/>
              </w:rPr>
              <w:t>ADR.OR.C.040     Zapobieganie pożarom</w:t>
            </w:r>
            <w:r w:rsidR="00DF65F3">
              <w:rPr>
                <w:webHidden/>
              </w:rPr>
              <w:tab/>
            </w:r>
            <w:r w:rsidR="00DF65F3">
              <w:rPr>
                <w:webHidden/>
              </w:rPr>
              <w:fldChar w:fldCharType="begin"/>
            </w:r>
            <w:r w:rsidR="00DF65F3">
              <w:rPr>
                <w:webHidden/>
              </w:rPr>
              <w:instrText xml:space="preserve"> PAGEREF _Toc12532681 \h </w:instrText>
            </w:r>
            <w:r w:rsidR="00DF65F3">
              <w:rPr>
                <w:webHidden/>
              </w:rPr>
            </w:r>
            <w:r w:rsidR="00DF65F3">
              <w:rPr>
                <w:webHidden/>
              </w:rPr>
              <w:fldChar w:fldCharType="separate"/>
            </w:r>
            <w:r w:rsidR="00F755B7">
              <w:rPr>
                <w:webHidden/>
              </w:rPr>
              <w:t>107</w:t>
            </w:r>
            <w:r w:rsidR="00DF65F3">
              <w:rPr>
                <w:webHidden/>
              </w:rPr>
              <w:fldChar w:fldCharType="end"/>
            </w:r>
          </w:hyperlink>
        </w:p>
        <w:p w14:paraId="7DBE3947" w14:textId="1C2152C6" w:rsidR="00DF65F3" w:rsidRDefault="00870777">
          <w:pPr>
            <w:pStyle w:val="Spistreci5"/>
            <w:rPr>
              <w:sz w:val="22"/>
              <w:lang w:val="en-GB" w:eastAsia="en-GB"/>
            </w:rPr>
          </w:pPr>
          <w:hyperlink w:anchor="_Toc12532682" w:history="1">
            <w:r w:rsidR="00DF65F3" w:rsidRPr="004815D6">
              <w:rPr>
                <w:rStyle w:val="Hipercze"/>
              </w:rPr>
              <w:t>AMC1 ADR.OR.C.040     Zapobieganie pożarom</w:t>
            </w:r>
            <w:r w:rsidR="00DF65F3">
              <w:rPr>
                <w:webHidden/>
              </w:rPr>
              <w:tab/>
            </w:r>
            <w:r w:rsidR="00DF65F3">
              <w:rPr>
                <w:webHidden/>
              </w:rPr>
              <w:fldChar w:fldCharType="begin"/>
            </w:r>
            <w:r w:rsidR="00DF65F3">
              <w:rPr>
                <w:webHidden/>
              </w:rPr>
              <w:instrText xml:space="preserve"> PAGEREF _Toc12532682 \h </w:instrText>
            </w:r>
            <w:r w:rsidR="00DF65F3">
              <w:rPr>
                <w:webHidden/>
              </w:rPr>
            </w:r>
            <w:r w:rsidR="00DF65F3">
              <w:rPr>
                <w:webHidden/>
              </w:rPr>
              <w:fldChar w:fldCharType="separate"/>
            </w:r>
            <w:r w:rsidR="00F755B7">
              <w:rPr>
                <w:webHidden/>
              </w:rPr>
              <w:t>107</w:t>
            </w:r>
            <w:r w:rsidR="00DF65F3">
              <w:rPr>
                <w:webHidden/>
              </w:rPr>
              <w:fldChar w:fldCharType="end"/>
            </w:r>
          </w:hyperlink>
        </w:p>
        <w:p w14:paraId="05A84A3E" w14:textId="20EF70B9" w:rsidR="00DF65F3" w:rsidRDefault="00870777">
          <w:pPr>
            <w:pStyle w:val="Spistreci3"/>
            <w:rPr>
              <w:rFonts w:asciiTheme="minorHAnsi" w:eastAsiaTheme="minorEastAsia" w:hAnsiTheme="minorHAnsi" w:cstheme="minorBidi"/>
              <w:sz w:val="22"/>
              <w:lang w:val="en-GB" w:eastAsia="en-GB"/>
            </w:rPr>
          </w:pPr>
          <w:hyperlink w:anchor="_Toc12532683" w:history="1">
            <w:r w:rsidR="00DF65F3" w:rsidRPr="004815D6">
              <w:rPr>
                <w:rStyle w:val="Hipercze"/>
              </w:rPr>
              <w:t>ADR.OR.C.045     Spożywanie alkoholu, stosowanie substancji psychoaktywnych i leków</w:t>
            </w:r>
            <w:r w:rsidR="00DF65F3">
              <w:rPr>
                <w:webHidden/>
              </w:rPr>
              <w:tab/>
            </w:r>
            <w:r w:rsidR="00DF65F3">
              <w:rPr>
                <w:webHidden/>
              </w:rPr>
              <w:fldChar w:fldCharType="begin"/>
            </w:r>
            <w:r w:rsidR="00DF65F3">
              <w:rPr>
                <w:webHidden/>
              </w:rPr>
              <w:instrText xml:space="preserve"> PAGEREF _Toc12532683 \h </w:instrText>
            </w:r>
            <w:r w:rsidR="00DF65F3">
              <w:rPr>
                <w:webHidden/>
              </w:rPr>
            </w:r>
            <w:r w:rsidR="00DF65F3">
              <w:rPr>
                <w:webHidden/>
              </w:rPr>
              <w:fldChar w:fldCharType="separate"/>
            </w:r>
            <w:r w:rsidR="00F755B7">
              <w:rPr>
                <w:webHidden/>
              </w:rPr>
              <w:t>107</w:t>
            </w:r>
            <w:r w:rsidR="00DF65F3">
              <w:rPr>
                <w:webHidden/>
              </w:rPr>
              <w:fldChar w:fldCharType="end"/>
            </w:r>
          </w:hyperlink>
        </w:p>
        <w:p w14:paraId="2434D0DE" w14:textId="2D9DF3F1" w:rsidR="00DF65F3" w:rsidRDefault="00870777">
          <w:pPr>
            <w:pStyle w:val="Spistreci6"/>
            <w:rPr>
              <w:sz w:val="22"/>
              <w:lang w:val="en-GB" w:eastAsia="en-GB"/>
            </w:rPr>
          </w:pPr>
          <w:hyperlink w:anchor="_Toc12532684" w:history="1">
            <w:r w:rsidR="00DF65F3" w:rsidRPr="004815D6">
              <w:rPr>
                <w:rStyle w:val="Hipercze"/>
              </w:rPr>
              <w:t>GM1 ADR.OR.C.045     Spożywanie alkoholu, stosowanie substancji psychoaktywnych i leków</w:t>
            </w:r>
            <w:r w:rsidR="00DF65F3">
              <w:rPr>
                <w:webHidden/>
              </w:rPr>
              <w:tab/>
            </w:r>
            <w:r w:rsidR="00DF65F3">
              <w:rPr>
                <w:webHidden/>
              </w:rPr>
              <w:fldChar w:fldCharType="begin"/>
            </w:r>
            <w:r w:rsidR="00DF65F3">
              <w:rPr>
                <w:webHidden/>
              </w:rPr>
              <w:instrText xml:space="preserve"> PAGEREF _Toc12532684 \h </w:instrText>
            </w:r>
            <w:r w:rsidR="00DF65F3">
              <w:rPr>
                <w:webHidden/>
              </w:rPr>
            </w:r>
            <w:r w:rsidR="00DF65F3">
              <w:rPr>
                <w:webHidden/>
              </w:rPr>
              <w:fldChar w:fldCharType="separate"/>
            </w:r>
            <w:r w:rsidR="00F755B7">
              <w:rPr>
                <w:webHidden/>
              </w:rPr>
              <w:t>108</w:t>
            </w:r>
            <w:r w:rsidR="00DF65F3">
              <w:rPr>
                <w:webHidden/>
              </w:rPr>
              <w:fldChar w:fldCharType="end"/>
            </w:r>
          </w:hyperlink>
        </w:p>
        <w:p w14:paraId="193D8BCC" w14:textId="79090A5F" w:rsidR="00DF65F3" w:rsidRDefault="00870777">
          <w:pPr>
            <w:pStyle w:val="Spistreci2"/>
            <w:rPr>
              <w:rFonts w:asciiTheme="minorHAnsi" w:eastAsiaTheme="minorEastAsia" w:hAnsiTheme="minorHAnsi" w:cstheme="minorBidi"/>
              <w:sz w:val="22"/>
              <w:lang w:val="en-GB" w:eastAsia="en-GB"/>
            </w:rPr>
          </w:pPr>
          <w:hyperlink w:anchor="_Toc12532685" w:history="1">
            <w:r w:rsidR="00DF65F3" w:rsidRPr="004815D6">
              <w:rPr>
                <w:rStyle w:val="Hipercze"/>
              </w:rPr>
              <w:t>PODCZĘŚĆ D — ZARZĄDZANIE (ADR.OR.D)</w:t>
            </w:r>
            <w:r w:rsidR="00DF65F3">
              <w:rPr>
                <w:webHidden/>
              </w:rPr>
              <w:tab/>
            </w:r>
            <w:r w:rsidR="00DF65F3">
              <w:rPr>
                <w:webHidden/>
              </w:rPr>
              <w:fldChar w:fldCharType="begin"/>
            </w:r>
            <w:r w:rsidR="00DF65F3">
              <w:rPr>
                <w:webHidden/>
              </w:rPr>
              <w:instrText xml:space="preserve"> PAGEREF _Toc12532685 \h </w:instrText>
            </w:r>
            <w:r w:rsidR="00DF65F3">
              <w:rPr>
                <w:webHidden/>
              </w:rPr>
            </w:r>
            <w:r w:rsidR="00DF65F3">
              <w:rPr>
                <w:webHidden/>
              </w:rPr>
              <w:fldChar w:fldCharType="separate"/>
            </w:r>
            <w:r w:rsidR="00F755B7">
              <w:rPr>
                <w:webHidden/>
              </w:rPr>
              <w:t>109</w:t>
            </w:r>
            <w:r w:rsidR="00DF65F3">
              <w:rPr>
                <w:webHidden/>
              </w:rPr>
              <w:fldChar w:fldCharType="end"/>
            </w:r>
          </w:hyperlink>
        </w:p>
        <w:p w14:paraId="6928DEF5" w14:textId="26FA607A" w:rsidR="00DF65F3" w:rsidRDefault="00870777">
          <w:pPr>
            <w:pStyle w:val="Spistreci3"/>
            <w:rPr>
              <w:rFonts w:asciiTheme="minorHAnsi" w:eastAsiaTheme="minorEastAsia" w:hAnsiTheme="minorHAnsi" w:cstheme="minorBidi"/>
              <w:sz w:val="22"/>
              <w:lang w:val="en-GB" w:eastAsia="en-GB"/>
            </w:rPr>
          </w:pPr>
          <w:hyperlink w:anchor="_Toc12532686" w:history="1">
            <w:r w:rsidR="00DF65F3" w:rsidRPr="004815D6">
              <w:rPr>
                <w:rStyle w:val="Hipercze"/>
              </w:rPr>
              <w:t>ADR.OR.D.005     System zarządzania</w:t>
            </w:r>
            <w:r w:rsidR="00DF65F3">
              <w:rPr>
                <w:webHidden/>
              </w:rPr>
              <w:tab/>
            </w:r>
            <w:r w:rsidR="00DF65F3">
              <w:rPr>
                <w:webHidden/>
              </w:rPr>
              <w:fldChar w:fldCharType="begin"/>
            </w:r>
            <w:r w:rsidR="00DF65F3">
              <w:rPr>
                <w:webHidden/>
              </w:rPr>
              <w:instrText xml:space="preserve"> PAGEREF _Toc12532686 \h </w:instrText>
            </w:r>
            <w:r w:rsidR="00DF65F3">
              <w:rPr>
                <w:webHidden/>
              </w:rPr>
            </w:r>
            <w:r w:rsidR="00DF65F3">
              <w:rPr>
                <w:webHidden/>
              </w:rPr>
              <w:fldChar w:fldCharType="separate"/>
            </w:r>
            <w:r w:rsidR="00F755B7">
              <w:rPr>
                <w:webHidden/>
              </w:rPr>
              <w:t>109</w:t>
            </w:r>
            <w:r w:rsidR="00DF65F3">
              <w:rPr>
                <w:webHidden/>
              </w:rPr>
              <w:fldChar w:fldCharType="end"/>
            </w:r>
          </w:hyperlink>
        </w:p>
        <w:p w14:paraId="5FFE52A4" w14:textId="251AD0A4" w:rsidR="00DF65F3" w:rsidRDefault="00870777">
          <w:pPr>
            <w:pStyle w:val="Spistreci5"/>
            <w:rPr>
              <w:sz w:val="22"/>
              <w:lang w:val="en-GB" w:eastAsia="en-GB"/>
            </w:rPr>
          </w:pPr>
          <w:hyperlink w:anchor="_Toc12532687" w:history="1">
            <w:r w:rsidR="00DF65F3" w:rsidRPr="004815D6">
              <w:rPr>
                <w:rStyle w:val="Hipercze"/>
              </w:rPr>
              <w:t>AMC1 ADR.OR.D.005(b)(1)     System zarządzania</w:t>
            </w:r>
            <w:r w:rsidR="00DF65F3">
              <w:rPr>
                <w:webHidden/>
              </w:rPr>
              <w:tab/>
            </w:r>
            <w:r w:rsidR="00DF65F3">
              <w:rPr>
                <w:webHidden/>
              </w:rPr>
              <w:fldChar w:fldCharType="begin"/>
            </w:r>
            <w:r w:rsidR="00DF65F3">
              <w:rPr>
                <w:webHidden/>
              </w:rPr>
              <w:instrText xml:space="preserve"> PAGEREF _Toc12532687 \h </w:instrText>
            </w:r>
            <w:r w:rsidR="00DF65F3">
              <w:rPr>
                <w:webHidden/>
              </w:rPr>
            </w:r>
            <w:r w:rsidR="00DF65F3">
              <w:rPr>
                <w:webHidden/>
              </w:rPr>
              <w:fldChar w:fldCharType="separate"/>
            </w:r>
            <w:r w:rsidR="00F755B7">
              <w:rPr>
                <w:webHidden/>
              </w:rPr>
              <w:t>110</w:t>
            </w:r>
            <w:r w:rsidR="00DF65F3">
              <w:rPr>
                <w:webHidden/>
              </w:rPr>
              <w:fldChar w:fldCharType="end"/>
            </w:r>
          </w:hyperlink>
        </w:p>
        <w:p w14:paraId="3AB53E29" w14:textId="21645BDC" w:rsidR="00DF65F3" w:rsidRDefault="00870777">
          <w:pPr>
            <w:pStyle w:val="Spistreci6"/>
            <w:rPr>
              <w:sz w:val="22"/>
              <w:lang w:val="en-GB" w:eastAsia="en-GB"/>
            </w:rPr>
          </w:pPr>
          <w:hyperlink w:anchor="_Toc12532688" w:history="1">
            <w:r w:rsidR="00DF65F3" w:rsidRPr="004815D6">
              <w:rPr>
                <w:rStyle w:val="Hipercze"/>
              </w:rPr>
              <w:t>GM1 ADR.OR.D.005(b)(1)     System zarządzania</w:t>
            </w:r>
            <w:r w:rsidR="00DF65F3">
              <w:rPr>
                <w:webHidden/>
              </w:rPr>
              <w:tab/>
            </w:r>
            <w:r w:rsidR="00DF65F3">
              <w:rPr>
                <w:webHidden/>
              </w:rPr>
              <w:fldChar w:fldCharType="begin"/>
            </w:r>
            <w:r w:rsidR="00DF65F3">
              <w:rPr>
                <w:webHidden/>
              </w:rPr>
              <w:instrText xml:space="preserve"> PAGEREF _Toc12532688 \h </w:instrText>
            </w:r>
            <w:r w:rsidR="00DF65F3">
              <w:rPr>
                <w:webHidden/>
              </w:rPr>
            </w:r>
            <w:r w:rsidR="00DF65F3">
              <w:rPr>
                <w:webHidden/>
              </w:rPr>
              <w:fldChar w:fldCharType="separate"/>
            </w:r>
            <w:r w:rsidR="00F755B7">
              <w:rPr>
                <w:webHidden/>
              </w:rPr>
              <w:t>111</w:t>
            </w:r>
            <w:r w:rsidR="00DF65F3">
              <w:rPr>
                <w:webHidden/>
              </w:rPr>
              <w:fldChar w:fldCharType="end"/>
            </w:r>
          </w:hyperlink>
        </w:p>
        <w:p w14:paraId="561E89E7" w14:textId="771DE091" w:rsidR="00DF65F3" w:rsidRDefault="00870777">
          <w:pPr>
            <w:pStyle w:val="Spistreci6"/>
            <w:rPr>
              <w:sz w:val="22"/>
              <w:lang w:val="en-GB" w:eastAsia="en-GB"/>
            </w:rPr>
          </w:pPr>
          <w:hyperlink w:anchor="_Toc12532689" w:history="1">
            <w:r w:rsidR="00DF65F3" w:rsidRPr="004815D6">
              <w:rPr>
                <w:rStyle w:val="Hipercze"/>
              </w:rPr>
              <w:t>GM2 ADR.OR.D.005(b)(1)     System zarządzania</w:t>
            </w:r>
            <w:r w:rsidR="00DF65F3">
              <w:rPr>
                <w:webHidden/>
              </w:rPr>
              <w:tab/>
            </w:r>
            <w:r w:rsidR="00DF65F3">
              <w:rPr>
                <w:webHidden/>
              </w:rPr>
              <w:fldChar w:fldCharType="begin"/>
            </w:r>
            <w:r w:rsidR="00DF65F3">
              <w:rPr>
                <w:webHidden/>
              </w:rPr>
              <w:instrText xml:space="preserve"> PAGEREF _Toc12532689 \h </w:instrText>
            </w:r>
            <w:r w:rsidR="00DF65F3">
              <w:rPr>
                <w:webHidden/>
              </w:rPr>
            </w:r>
            <w:r w:rsidR="00DF65F3">
              <w:rPr>
                <w:webHidden/>
              </w:rPr>
              <w:fldChar w:fldCharType="separate"/>
            </w:r>
            <w:r w:rsidR="00F755B7">
              <w:rPr>
                <w:webHidden/>
              </w:rPr>
              <w:t>112</w:t>
            </w:r>
            <w:r w:rsidR="00DF65F3">
              <w:rPr>
                <w:webHidden/>
              </w:rPr>
              <w:fldChar w:fldCharType="end"/>
            </w:r>
          </w:hyperlink>
        </w:p>
        <w:p w14:paraId="6C9D490B" w14:textId="529C02BA" w:rsidR="00DF65F3" w:rsidRDefault="00870777">
          <w:pPr>
            <w:pStyle w:val="Spistreci5"/>
            <w:rPr>
              <w:sz w:val="22"/>
              <w:lang w:val="en-GB" w:eastAsia="en-GB"/>
            </w:rPr>
          </w:pPr>
          <w:hyperlink w:anchor="_Toc12532690" w:history="1">
            <w:r w:rsidR="00DF65F3" w:rsidRPr="004815D6">
              <w:rPr>
                <w:rStyle w:val="Hipercze"/>
              </w:rPr>
              <w:t>AMC1 ADR.OR.D.005(b)(2)     System zarządzania</w:t>
            </w:r>
            <w:r w:rsidR="00DF65F3">
              <w:rPr>
                <w:webHidden/>
              </w:rPr>
              <w:tab/>
            </w:r>
            <w:r w:rsidR="00DF65F3">
              <w:rPr>
                <w:webHidden/>
              </w:rPr>
              <w:fldChar w:fldCharType="begin"/>
            </w:r>
            <w:r w:rsidR="00DF65F3">
              <w:rPr>
                <w:webHidden/>
              </w:rPr>
              <w:instrText xml:space="preserve"> PAGEREF _Toc12532690 \h </w:instrText>
            </w:r>
            <w:r w:rsidR="00DF65F3">
              <w:rPr>
                <w:webHidden/>
              </w:rPr>
            </w:r>
            <w:r w:rsidR="00DF65F3">
              <w:rPr>
                <w:webHidden/>
              </w:rPr>
              <w:fldChar w:fldCharType="separate"/>
            </w:r>
            <w:r w:rsidR="00F755B7">
              <w:rPr>
                <w:webHidden/>
              </w:rPr>
              <w:t>112</w:t>
            </w:r>
            <w:r w:rsidR="00DF65F3">
              <w:rPr>
                <w:webHidden/>
              </w:rPr>
              <w:fldChar w:fldCharType="end"/>
            </w:r>
          </w:hyperlink>
        </w:p>
        <w:p w14:paraId="69081AF0" w14:textId="0D666889" w:rsidR="00DF65F3" w:rsidRDefault="00870777">
          <w:pPr>
            <w:pStyle w:val="Spistreci6"/>
            <w:rPr>
              <w:sz w:val="22"/>
              <w:lang w:val="en-GB" w:eastAsia="en-GB"/>
            </w:rPr>
          </w:pPr>
          <w:hyperlink w:anchor="_Toc12532691" w:history="1">
            <w:r w:rsidR="00DF65F3" w:rsidRPr="004815D6">
              <w:rPr>
                <w:rStyle w:val="Hipercze"/>
              </w:rPr>
              <w:t>GM1 ADR.OR.D.005(b)(2)     System zarządzania</w:t>
            </w:r>
            <w:r w:rsidR="00DF65F3">
              <w:rPr>
                <w:webHidden/>
              </w:rPr>
              <w:tab/>
            </w:r>
            <w:r w:rsidR="00DF65F3">
              <w:rPr>
                <w:webHidden/>
              </w:rPr>
              <w:fldChar w:fldCharType="begin"/>
            </w:r>
            <w:r w:rsidR="00DF65F3">
              <w:rPr>
                <w:webHidden/>
              </w:rPr>
              <w:instrText xml:space="preserve"> PAGEREF _Toc12532691 \h </w:instrText>
            </w:r>
            <w:r w:rsidR="00DF65F3">
              <w:rPr>
                <w:webHidden/>
              </w:rPr>
            </w:r>
            <w:r w:rsidR="00DF65F3">
              <w:rPr>
                <w:webHidden/>
              </w:rPr>
              <w:fldChar w:fldCharType="separate"/>
            </w:r>
            <w:r w:rsidR="00F755B7">
              <w:rPr>
                <w:webHidden/>
              </w:rPr>
              <w:t>113</w:t>
            </w:r>
            <w:r w:rsidR="00DF65F3">
              <w:rPr>
                <w:webHidden/>
              </w:rPr>
              <w:fldChar w:fldCharType="end"/>
            </w:r>
          </w:hyperlink>
        </w:p>
        <w:p w14:paraId="76FE5169" w14:textId="1BDB47EB" w:rsidR="00DF65F3" w:rsidRDefault="00870777">
          <w:pPr>
            <w:pStyle w:val="Spistreci5"/>
            <w:rPr>
              <w:sz w:val="22"/>
              <w:lang w:val="en-GB" w:eastAsia="en-GB"/>
            </w:rPr>
          </w:pPr>
          <w:hyperlink w:anchor="_Toc12532692" w:history="1">
            <w:r w:rsidR="00DF65F3" w:rsidRPr="004815D6">
              <w:rPr>
                <w:rStyle w:val="Hipercze"/>
              </w:rPr>
              <w:t>AMC1 ADR.OR.D.005(b)(3)     System zarządzania</w:t>
            </w:r>
            <w:r w:rsidR="00DF65F3">
              <w:rPr>
                <w:webHidden/>
              </w:rPr>
              <w:tab/>
            </w:r>
            <w:r w:rsidR="00DF65F3">
              <w:rPr>
                <w:webHidden/>
              </w:rPr>
              <w:fldChar w:fldCharType="begin"/>
            </w:r>
            <w:r w:rsidR="00DF65F3">
              <w:rPr>
                <w:webHidden/>
              </w:rPr>
              <w:instrText xml:space="preserve"> PAGEREF _Toc12532692 \h </w:instrText>
            </w:r>
            <w:r w:rsidR="00DF65F3">
              <w:rPr>
                <w:webHidden/>
              </w:rPr>
            </w:r>
            <w:r w:rsidR="00DF65F3">
              <w:rPr>
                <w:webHidden/>
              </w:rPr>
              <w:fldChar w:fldCharType="separate"/>
            </w:r>
            <w:r w:rsidR="00F755B7">
              <w:rPr>
                <w:webHidden/>
              </w:rPr>
              <w:t>114</w:t>
            </w:r>
            <w:r w:rsidR="00DF65F3">
              <w:rPr>
                <w:webHidden/>
              </w:rPr>
              <w:fldChar w:fldCharType="end"/>
            </w:r>
          </w:hyperlink>
        </w:p>
        <w:p w14:paraId="15861C63" w14:textId="5365BD53" w:rsidR="00DF65F3" w:rsidRDefault="00870777">
          <w:pPr>
            <w:pStyle w:val="Spistreci6"/>
            <w:rPr>
              <w:sz w:val="22"/>
              <w:lang w:val="en-GB" w:eastAsia="en-GB"/>
            </w:rPr>
          </w:pPr>
          <w:hyperlink w:anchor="_Toc12532693" w:history="1">
            <w:r w:rsidR="00DF65F3" w:rsidRPr="004815D6">
              <w:rPr>
                <w:rStyle w:val="Hipercze"/>
              </w:rPr>
              <w:t>GM1 ADR.OR.D.005(b)(3)     System zarządzania</w:t>
            </w:r>
            <w:r w:rsidR="00DF65F3">
              <w:rPr>
                <w:webHidden/>
              </w:rPr>
              <w:tab/>
            </w:r>
            <w:r w:rsidR="00DF65F3">
              <w:rPr>
                <w:webHidden/>
              </w:rPr>
              <w:fldChar w:fldCharType="begin"/>
            </w:r>
            <w:r w:rsidR="00DF65F3">
              <w:rPr>
                <w:webHidden/>
              </w:rPr>
              <w:instrText xml:space="preserve"> PAGEREF _Toc12532693 \h </w:instrText>
            </w:r>
            <w:r w:rsidR="00DF65F3">
              <w:rPr>
                <w:webHidden/>
              </w:rPr>
            </w:r>
            <w:r w:rsidR="00DF65F3">
              <w:rPr>
                <w:webHidden/>
              </w:rPr>
              <w:fldChar w:fldCharType="separate"/>
            </w:r>
            <w:r w:rsidR="00F755B7">
              <w:rPr>
                <w:webHidden/>
              </w:rPr>
              <w:t>114</w:t>
            </w:r>
            <w:r w:rsidR="00DF65F3">
              <w:rPr>
                <w:webHidden/>
              </w:rPr>
              <w:fldChar w:fldCharType="end"/>
            </w:r>
          </w:hyperlink>
        </w:p>
        <w:p w14:paraId="54FBC387" w14:textId="4D9D37B7" w:rsidR="00DF65F3" w:rsidRDefault="00870777">
          <w:pPr>
            <w:pStyle w:val="Spistreci5"/>
            <w:rPr>
              <w:sz w:val="22"/>
              <w:lang w:val="en-GB" w:eastAsia="en-GB"/>
            </w:rPr>
          </w:pPr>
          <w:hyperlink w:anchor="_Toc12532694" w:history="1">
            <w:r w:rsidR="00DF65F3" w:rsidRPr="004815D6">
              <w:rPr>
                <w:rStyle w:val="Hipercze"/>
              </w:rPr>
              <w:t>AMC1 ADR.OR.D.005(b)(4)     System zarządzania</w:t>
            </w:r>
            <w:r w:rsidR="00DF65F3">
              <w:rPr>
                <w:webHidden/>
              </w:rPr>
              <w:tab/>
            </w:r>
            <w:r w:rsidR="00DF65F3">
              <w:rPr>
                <w:webHidden/>
              </w:rPr>
              <w:fldChar w:fldCharType="begin"/>
            </w:r>
            <w:r w:rsidR="00DF65F3">
              <w:rPr>
                <w:webHidden/>
              </w:rPr>
              <w:instrText xml:space="preserve"> PAGEREF _Toc12532694 \h </w:instrText>
            </w:r>
            <w:r w:rsidR="00DF65F3">
              <w:rPr>
                <w:webHidden/>
              </w:rPr>
            </w:r>
            <w:r w:rsidR="00DF65F3">
              <w:rPr>
                <w:webHidden/>
              </w:rPr>
              <w:fldChar w:fldCharType="separate"/>
            </w:r>
            <w:r w:rsidR="00F755B7">
              <w:rPr>
                <w:webHidden/>
              </w:rPr>
              <w:t>118</w:t>
            </w:r>
            <w:r w:rsidR="00DF65F3">
              <w:rPr>
                <w:webHidden/>
              </w:rPr>
              <w:fldChar w:fldCharType="end"/>
            </w:r>
          </w:hyperlink>
        </w:p>
        <w:p w14:paraId="5988E968" w14:textId="7CCDF392" w:rsidR="00DF65F3" w:rsidRDefault="00870777">
          <w:pPr>
            <w:pStyle w:val="Spistreci6"/>
            <w:rPr>
              <w:sz w:val="22"/>
              <w:lang w:val="en-GB" w:eastAsia="en-GB"/>
            </w:rPr>
          </w:pPr>
          <w:hyperlink w:anchor="_Toc12532695" w:history="1">
            <w:r w:rsidR="00DF65F3" w:rsidRPr="004815D6">
              <w:rPr>
                <w:rStyle w:val="Hipercze"/>
              </w:rPr>
              <w:t>GM1 ADR.OR.D.005(b)(4)     System zarządzania</w:t>
            </w:r>
            <w:r w:rsidR="00DF65F3">
              <w:rPr>
                <w:webHidden/>
              </w:rPr>
              <w:tab/>
            </w:r>
            <w:r w:rsidR="00DF65F3">
              <w:rPr>
                <w:webHidden/>
              </w:rPr>
              <w:fldChar w:fldCharType="begin"/>
            </w:r>
            <w:r w:rsidR="00DF65F3">
              <w:rPr>
                <w:webHidden/>
              </w:rPr>
              <w:instrText xml:space="preserve"> PAGEREF _Toc12532695 \h </w:instrText>
            </w:r>
            <w:r w:rsidR="00DF65F3">
              <w:rPr>
                <w:webHidden/>
              </w:rPr>
            </w:r>
            <w:r w:rsidR="00DF65F3">
              <w:rPr>
                <w:webHidden/>
              </w:rPr>
              <w:fldChar w:fldCharType="separate"/>
            </w:r>
            <w:r w:rsidR="00F755B7">
              <w:rPr>
                <w:webHidden/>
              </w:rPr>
              <w:t>118</w:t>
            </w:r>
            <w:r w:rsidR="00DF65F3">
              <w:rPr>
                <w:webHidden/>
              </w:rPr>
              <w:fldChar w:fldCharType="end"/>
            </w:r>
          </w:hyperlink>
        </w:p>
        <w:p w14:paraId="746F330A" w14:textId="79FAF303" w:rsidR="00DF65F3" w:rsidRDefault="00870777">
          <w:pPr>
            <w:pStyle w:val="Spistreci5"/>
            <w:rPr>
              <w:sz w:val="22"/>
              <w:lang w:val="en-GB" w:eastAsia="en-GB"/>
            </w:rPr>
          </w:pPr>
          <w:hyperlink w:anchor="_Toc12532696" w:history="1">
            <w:r w:rsidR="00DF65F3" w:rsidRPr="004815D6">
              <w:rPr>
                <w:rStyle w:val="Hipercze"/>
              </w:rPr>
              <w:t>AMC1 ADR.OR.D.005(b)(5)     System zarządzania</w:t>
            </w:r>
            <w:r w:rsidR="00DF65F3">
              <w:rPr>
                <w:webHidden/>
              </w:rPr>
              <w:tab/>
            </w:r>
            <w:r w:rsidR="00DF65F3">
              <w:rPr>
                <w:webHidden/>
              </w:rPr>
              <w:fldChar w:fldCharType="begin"/>
            </w:r>
            <w:r w:rsidR="00DF65F3">
              <w:rPr>
                <w:webHidden/>
              </w:rPr>
              <w:instrText xml:space="preserve"> PAGEREF _Toc12532696 \h </w:instrText>
            </w:r>
            <w:r w:rsidR="00DF65F3">
              <w:rPr>
                <w:webHidden/>
              </w:rPr>
            </w:r>
            <w:r w:rsidR="00DF65F3">
              <w:rPr>
                <w:webHidden/>
              </w:rPr>
              <w:fldChar w:fldCharType="separate"/>
            </w:r>
            <w:r w:rsidR="00F755B7">
              <w:rPr>
                <w:webHidden/>
              </w:rPr>
              <w:t>118</w:t>
            </w:r>
            <w:r w:rsidR="00DF65F3">
              <w:rPr>
                <w:webHidden/>
              </w:rPr>
              <w:fldChar w:fldCharType="end"/>
            </w:r>
          </w:hyperlink>
        </w:p>
        <w:p w14:paraId="6905F4ED" w14:textId="43212796" w:rsidR="00DF65F3" w:rsidRDefault="00870777">
          <w:pPr>
            <w:pStyle w:val="Spistreci6"/>
            <w:rPr>
              <w:sz w:val="22"/>
              <w:lang w:val="en-GB" w:eastAsia="en-GB"/>
            </w:rPr>
          </w:pPr>
          <w:hyperlink w:anchor="_Toc12532697" w:history="1">
            <w:r w:rsidR="00DF65F3" w:rsidRPr="004815D6">
              <w:rPr>
                <w:rStyle w:val="Hipercze"/>
              </w:rPr>
              <w:t>GM1 ADR.OR.D.005(b)(5)     System zarządzania</w:t>
            </w:r>
            <w:r w:rsidR="00DF65F3">
              <w:rPr>
                <w:webHidden/>
              </w:rPr>
              <w:tab/>
            </w:r>
            <w:r w:rsidR="00DF65F3">
              <w:rPr>
                <w:webHidden/>
              </w:rPr>
              <w:fldChar w:fldCharType="begin"/>
            </w:r>
            <w:r w:rsidR="00DF65F3">
              <w:rPr>
                <w:webHidden/>
              </w:rPr>
              <w:instrText xml:space="preserve"> PAGEREF _Toc12532697 \h </w:instrText>
            </w:r>
            <w:r w:rsidR="00DF65F3">
              <w:rPr>
                <w:webHidden/>
              </w:rPr>
            </w:r>
            <w:r w:rsidR="00DF65F3">
              <w:rPr>
                <w:webHidden/>
              </w:rPr>
              <w:fldChar w:fldCharType="separate"/>
            </w:r>
            <w:r w:rsidR="00F755B7">
              <w:rPr>
                <w:webHidden/>
              </w:rPr>
              <w:t>118</w:t>
            </w:r>
            <w:r w:rsidR="00DF65F3">
              <w:rPr>
                <w:webHidden/>
              </w:rPr>
              <w:fldChar w:fldCharType="end"/>
            </w:r>
          </w:hyperlink>
        </w:p>
        <w:p w14:paraId="24921053" w14:textId="7DD7CA6F" w:rsidR="00DF65F3" w:rsidRDefault="00870777">
          <w:pPr>
            <w:pStyle w:val="Spistreci5"/>
            <w:rPr>
              <w:sz w:val="22"/>
              <w:lang w:val="en-GB" w:eastAsia="en-GB"/>
            </w:rPr>
          </w:pPr>
          <w:hyperlink w:anchor="_Toc12532698" w:history="1">
            <w:r w:rsidR="00DF65F3" w:rsidRPr="004815D6">
              <w:rPr>
                <w:rStyle w:val="Hipercze"/>
              </w:rPr>
              <w:t>AMC1 ADR.OR.D.005(b)(6)     System zarządzania</w:t>
            </w:r>
            <w:r w:rsidR="00DF65F3">
              <w:rPr>
                <w:webHidden/>
              </w:rPr>
              <w:tab/>
            </w:r>
            <w:r w:rsidR="00DF65F3">
              <w:rPr>
                <w:webHidden/>
              </w:rPr>
              <w:fldChar w:fldCharType="begin"/>
            </w:r>
            <w:r w:rsidR="00DF65F3">
              <w:rPr>
                <w:webHidden/>
              </w:rPr>
              <w:instrText xml:space="preserve"> PAGEREF _Toc12532698 \h </w:instrText>
            </w:r>
            <w:r w:rsidR="00DF65F3">
              <w:rPr>
                <w:webHidden/>
              </w:rPr>
            </w:r>
            <w:r w:rsidR="00DF65F3">
              <w:rPr>
                <w:webHidden/>
              </w:rPr>
              <w:fldChar w:fldCharType="separate"/>
            </w:r>
            <w:r w:rsidR="00F755B7">
              <w:rPr>
                <w:webHidden/>
              </w:rPr>
              <w:t>119</w:t>
            </w:r>
            <w:r w:rsidR="00DF65F3">
              <w:rPr>
                <w:webHidden/>
              </w:rPr>
              <w:fldChar w:fldCharType="end"/>
            </w:r>
          </w:hyperlink>
        </w:p>
        <w:p w14:paraId="12890D08" w14:textId="2FF65B6A" w:rsidR="00DF65F3" w:rsidRDefault="00870777">
          <w:pPr>
            <w:pStyle w:val="Spistreci6"/>
            <w:rPr>
              <w:sz w:val="22"/>
              <w:lang w:val="en-GB" w:eastAsia="en-GB"/>
            </w:rPr>
          </w:pPr>
          <w:hyperlink w:anchor="_Toc12532699" w:history="1">
            <w:r w:rsidR="00DF65F3" w:rsidRPr="004815D6">
              <w:rPr>
                <w:rStyle w:val="Hipercze"/>
              </w:rPr>
              <w:t>GM1 ADR.OR.D.005(b)(6)     System zarządzania</w:t>
            </w:r>
            <w:r w:rsidR="00DF65F3">
              <w:rPr>
                <w:webHidden/>
              </w:rPr>
              <w:tab/>
            </w:r>
            <w:r w:rsidR="00DF65F3">
              <w:rPr>
                <w:webHidden/>
              </w:rPr>
              <w:fldChar w:fldCharType="begin"/>
            </w:r>
            <w:r w:rsidR="00DF65F3">
              <w:rPr>
                <w:webHidden/>
              </w:rPr>
              <w:instrText xml:space="preserve"> PAGEREF _Toc12532699 \h </w:instrText>
            </w:r>
            <w:r w:rsidR="00DF65F3">
              <w:rPr>
                <w:webHidden/>
              </w:rPr>
            </w:r>
            <w:r w:rsidR="00DF65F3">
              <w:rPr>
                <w:webHidden/>
              </w:rPr>
              <w:fldChar w:fldCharType="separate"/>
            </w:r>
            <w:r w:rsidR="00F755B7">
              <w:rPr>
                <w:webHidden/>
              </w:rPr>
              <w:t>119</w:t>
            </w:r>
            <w:r w:rsidR="00DF65F3">
              <w:rPr>
                <w:webHidden/>
              </w:rPr>
              <w:fldChar w:fldCharType="end"/>
            </w:r>
          </w:hyperlink>
        </w:p>
        <w:p w14:paraId="2EC5AD52" w14:textId="24AAA28D" w:rsidR="00DF65F3" w:rsidRDefault="00870777">
          <w:pPr>
            <w:pStyle w:val="Spistreci5"/>
            <w:rPr>
              <w:sz w:val="22"/>
              <w:lang w:val="en-GB" w:eastAsia="en-GB"/>
            </w:rPr>
          </w:pPr>
          <w:hyperlink w:anchor="_Toc12532700" w:history="1">
            <w:r w:rsidR="00DF65F3" w:rsidRPr="004815D6">
              <w:rPr>
                <w:rStyle w:val="Hipercze"/>
              </w:rPr>
              <w:t>AMC1 ADR.OR.D.005(b)(7)     System zarządzania</w:t>
            </w:r>
            <w:r w:rsidR="00DF65F3">
              <w:rPr>
                <w:webHidden/>
              </w:rPr>
              <w:tab/>
            </w:r>
            <w:r w:rsidR="00DF65F3">
              <w:rPr>
                <w:webHidden/>
              </w:rPr>
              <w:fldChar w:fldCharType="begin"/>
            </w:r>
            <w:r w:rsidR="00DF65F3">
              <w:rPr>
                <w:webHidden/>
              </w:rPr>
              <w:instrText xml:space="preserve"> PAGEREF _Toc12532700 \h </w:instrText>
            </w:r>
            <w:r w:rsidR="00DF65F3">
              <w:rPr>
                <w:webHidden/>
              </w:rPr>
            </w:r>
            <w:r w:rsidR="00DF65F3">
              <w:rPr>
                <w:webHidden/>
              </w:rPr>
              <w:fldChar w:fldCharType="separate"/>
            </w:r>
            <w:r w:rsidR="00F755B7">
              <w:rPr>
                <w:webHidden/>
              </w:rPr>
              <w:t>120</w:t>
            </w:r>
            <w:r w:rsidR="00DF65F3">
              <w:rPr>
                <w:webHidden/>
              </w:rPr>
              <w:fldChar w:fldCharType="end"/>
            </w:r>
          </w:hyperlink>
        </w:p>
        <w:p w14:paraId="7096EC37" w14:textId="227C0127" w:rsidR="00DF65F3" w:rsidRDefault="00870777">
          <w:pPr>
            <w:pStyle w:val="Spistreci6"/>
            <w:rPr>
              <w:sz w:val="22"/>
              <w:lang w:val="en-GB" w:eastAsia="en-GB"/>
            </w:rPr>
          </w:pPr>
          <w:hyperlink w:anchor="_Toc12532701" w:history="1">
            <w:r w:rsidR="00DF65F3" w:rsidRPr="004815D6">
              <w:rPr>
                <w:rStyle w:val="Hipercze"/>
              </w:rPr>
              <w:t>GM1 ADR.OR.D.005(b)(7)     System zarządzania</w:t>
            </w:r>
            <w:r w:rsidR="00DF65F3">
              <w:rPr>
                <w:webHidden/>
              </w:rPr>
              <w:tab/>
            </w:r>
            <w:r w:rsidR="00DF65F3">
              <w:rPr>
                <w:webHidden/>
              </w:rPr>
              <w:fldChar w:fldCharType="begin"/>
            </w:r>
            <w:r w:rsidR="00DF65F3">
              <w:rPr>
                <w:webHidden/>
              </w:rPr>
              <w:instrText xml:space="preserve"> PAGEREF _Toc12532701 \h </w:instrText>
            </w:r>
            <w:r w:rsidR="00DF65F3">
              <w:rPr>
                <w:webHidden/>
              </w:rPr>
            </w:r>
            <w:r w:rsidR="00DF65F3">
              <w:rPr>
                <w:webHidden/>
              </w:rPr>
              <w:fldChar w:fldCharType="separate"/>
            </w:r>
            <w:r w:rsidR="00F755B7">
              <w:rPr>
                <w:webHidden/>
              </w:rPr>
              <w:t>120</w:t>
            </w:r>
            <w:r w:rsidR="00DF65F3">
              <w:rPr>
                <w:webHidden/>
              </w:rPr>
              <w:fldChar w:fldCharType="end"/>
            </w:r>
          </w:hyperlink>
        </w:p>
        <w:p w14:paraId="68F0FA7B" w14:textId="11AEE755" w:rsidR="00DF65F3" w:rsidRDefault="00870777">
          <w:pPr>
            <w:pStyle w:val="Spistreci5"/>
            <w:rPr>
              <w:sz w:val="22"/>
              <w:lang w:val="en-GB" w:eastAsia="en-GB"/>
            </w:rPr>
          </w:pPr>
          <w:hyperlink w:anchor="_Toc12532702" w:history="1">
            <w:r w:rsidR="00DF65F3" w:rsidRPr="004815D6">
              <w:rPr>
                <w:rStyle w:val="Hipercze"/>
              </w:rPr>
              <w:t>AMC1 ADR.OR.D.005(b)(8)     System zarządzania</w:t>
            </w:r>
            <w:r w:rsidR="00DF65F3">
              <w:rPr>
                <w:webHidden/>
              </w:rPr>
              <w:tab/>
            </w:r>
            <w:r w:rsidR="00DF65F3">
              <w:rPr>
                <w:webHidden/>
              </w:rPr>
              <w:fldChar w:fldCharType="begin"/>
            </w:r>
            <w:r w:rsidR="00DF65F3">
              <w:rPr>
                <w:webHidden/>
              </w:rPr>
              <w:instrText xml:space="preserve"> PAGEREF _Toc12532702 \h </w:instrText>
            </w:r>
            <w:r w:rsidR="00DF65F3">
              <w:rPr>
                <w:webHidden/>
              </w:rPr>
            </w:r>
            <w:r w:rsidR="00DF65F3">
              <w:rPr>
                <w:webHidden/>
              </w:rPr>
              <w:fldChar w:fldCharType="separate"/>
            </w:r>
            <w:r w:rsidR="00F755B7">
              <w:rPr>
                <w:webHidden/>
              </w:rPr>
              <w:t>120</w:t>
            </w:r>
            <w:r w:rsidR="00DF65F3">
              <w:rPr>
                <w:webHidden/>
              </w:rPr>
              <w:fldChar w:fldCharType="end"/>
            </w:r>
          </w:hyperlink>
        </w:p>
        <w:p w14:paraId="7FC62E4D" w14:textId="14977217" w:rsidR="00DF65F3" w:rsidRDefault="00870777">
          <w:pPr>
            <w:pStyle w:val="Spistreci6"/>
            <w:rPr>
              <w:sz w:val="22"/>
              <w:lang w:val="en-GB" w:eastAsia="en-GB"/>
            </w:rPr>
          </w:pPr>
          <w:hyperlink w:anchor="_Toc12532703" w:history="1">
            <w:r w:rsidR="00DF65F3" w:rsidRPr="004815D6">
              <w:rPr>
                <w:rStyle w:val="Hipercze"/>
              </w:rPr>
              <w:t>GM1 ADR.OR.D.005(b)(8)     System zarządzania</w:t>
            </w:r>
            <w:r w:rsidR="00DF65F3">
              <w:rPr>
                <w:webHidden/>
              </w:rPr>
              <w:tab/>
            </w:r>
            <w:r w:rsidR="00DF65F3">
              <w:rPr>
                <w:webHidden/>
              </w:rPr>
              <w:fldChar w:fldCharType="begin"/>
            </w:r>
            <w:r w:rsidR="00DF65F3">
              <w:rPr>
                <w:webHidden/>
              </w:rPr>
              <w:instrText xml:space="preserve"> PAGEREF _Toc12532703 \h </w:instrText>
            </w:r>
            <w:r w:rsidR="00DF65F3">
              <w:rPr>
                <w:webHidden/>
              </w:rPr>
            </w:r>
            <w:r w:rsidR="00DF65F3">
              <w:rPr>
                <w:webHidden/>
              </w:rPr>
              <w:fldChar w:fldCharType="separate"/>
            </w:r>
            <w:r w:rsidR="00F755B7">
              <w:rPr>
                <w:webHidden/>
              </w:rPr>
              <w:t>121</w:t>
            </w:r>
            <w:r w:rsidR="00DF65F3">
              <w:rPr>
                <w:webHidden/>
              </w:rPr>
              <w:fldChar w:fldCharType="end"/>
            </w:r>
          </w:hyperlink>
        </w:p>
        <w:p w14:paraId="70EB3635" w14:textId="5D1C35BD" w:rsidR="00DF65F3" w:rsidRDefault="00870777">
          <w:pPr>
            <w:pStyle w:val="Spistreci5"/>
            <w:rPr>
              <w:sz w:val="22"/>
              <w:lang w:val="en-GB" w:eastAsia="en-GB"/>
            </w:rPr>
          </w:pPr>
          <w:hyperlink w:anchor="_Toc12532704" w:history="1">
            <w:r w:rsidR="00DF65F3" w:rsidRPr="004815D6">
              <w:rPr>
                <w:rStyle w:val="Hipercze"/>
              </w:rPr>
              <w:t>AMC1 ADR.OR.D.005(b)(9)     System zarządzania</w:t>
            </w:r>
            <w:r w:rsidR="00DF65F3">
              <w:rPr>
                <w:webHidden/>
              </w:rPr>
              <w:tab/>
            </w:r>
            <w:r w:rsidR="00DF65F3">
              <w:rPr>
                <w:webHidden/>
              </w:rPr>
              <w:fldChar w:fldCharType="begin"/>
            </w:r>
            <w:r w:rsidR="00DF65F3">
              <w:rPr>
                <w:webHidden/>
              </w:rPr>
              <w:instrText xml:space="preserve"> PAGEREF _Toc12532704 \h </w:instrText>
            </w:r>
            <w:r w:rsidR="00DF65F3">
              <w:rPr>
                <w:webHidden/>
              </w:rPr>
            </w:r>
            <w:r w:rsidR="00DF65F3">
              <w:rPr>
                <w:webHidden/>
              </w:rPr>
              <w:fldChar w:fldCharType="separate"/>
            </w:r>
            <w:r w:rsidR="00F755B7">
              <w:rPr>
                <w:webHidden/>
              </w:rPr>
              <w:t>122</w:t>
            </w:r>
            <w:r w:rsidR="00DF65F3">
              <w:rPr>
                <w:webHidden/>
              </w:rPr>
              <w:fldChar w:fldCharType="end"/>
            </w:r>
          </w:hyperlink>
        </w:p>
        <w:p w14:paraId="0A8B8160" w14:textId="12FFA9D7" w:rsidR="00DF65F3" w:rsidRDefault="00870777">
          <w:pPr>
            <w:pStyle w:val="Spistreci6"/>
            <w:rPr>
              <w:sz w:val="22"/>
              <w:lang w:val="en-GB" w:eastAsia="en-GB"/>
            </w:rPr>
          </w:pPr>
          <w:hyperlink w:anchor="_Toc12532705" w:history="1">
            <w:r w:rsidR="00DF65F3" w:rsidRPr="004815D6">
              <w:rPr>
                <w:rStyle w:val="Hipercze"/>
              </w:rPr>
              <w:t>GM1 ADR.OR.D.005(b)(9)     System zarządzania</w:t>
            </w:r>
            <w:r w:rsidR="00DF65F3">
              <w:rPr>
                <w:webHidden/>
              </w:rPr>
              <w:tab/>
            </w:r>
            <w:r w:rsidR="00DF65F3">
              <w:rPr>
                <w:webHidden/>
              </w:rPr>
              <w:fldChar w:fldCharType="begin"/>
            </w:r>
            <w:r w:rsidR="00DF65F3">
              <w:rPr>
                <w:webHidden/>
              </w:rPr>
              <w:instrText xml:space="preserve"> PAGEREF _Toc12532705 \h </w:instrText>
            </w:r>
            <w:r w:rsidR="00DF65F3">
              <w:rPr>
                <w:webHidden/>
              </w:rPr>
            </w:r>
            <w:r w:rsidR="00DF65F3">
              <w:rPr>
                <w:webHidden/>
              </w:rPr>
              <w:fldChar w:fldCharType="separate"/>
            </w:r>
            <w:r w:rsidR="00F755B7">
              <w:rPr>
                <w:webHidden/>
              </w:rPr>
              <w:t>122</w:t>
            </w:r>
            <w:r w:rsidR="00DF65F3">
              <w:rPr>
                <w:webHidden/>
              </w:rPr>
              <w:fldChar w:fldCharType="end"/>
            </w:r>
          </w:hyperlink>
        </w:p>
        <w:p w14:paraId="24EEE591" w14:textId="6AB4094F" w:rsidR="00DF65F3" w:rsidRDefault="00870777">
          <w:pPr>
            <w:pStyle w:val="Spistreci5"/>
            <w:rPr>
              <w:sz w:val="22"/>
              <w:lang w:val="en-GB" w:eastAsia="en-GB"/>
            </w:rPr>
          </w:pPr>
          <w:hyperlink w:anchor="_Toc12532706" w:history="1">
            <w:r w:rsidR="00DF65F3" w:rsidRPr="004815D6">
              <w:rPr>
                <w:rStyle w:val="Hipercze"/>
              </w:rPr>
              <w:t>AMC1 ADR.OR.D.005(b)(10)     System zarządzania</w:t>
            </w:r>
            <w:r w:rsidR="00DF65F3">
              <w:rPr>
                <w:webHidden/>
              </w:rPr>
              <w:tab/>
            </w:r>
            <w:r w:rsidR="00DF65F3">
              <w:rPr>
                <w:webHidden/>
              </w:rPr>
              <w:fldChar w:fldCharType="begin"/>
            </w:r>
            <w:r w:rsidR="00DF65F3">
              <w:rPr>
                <w:webHidden/>
              </w:rPr>
              <w:instrText xml:space="preserve"> PAGEREF _Toc12532706 \h </w:instrText>
            </w:r>
            <w:r w:rsidR="00DF65F3">
              <w:rPr>
                <w:webHidden/>
              </w:rPr>
            </w:r>
            <w:r w:rsidR="00DF65F3">
              <w:rPr>
                <w:webHidden/>
              </w:rPr>
              <w:fldChar w:fldCharType="separate"/>
            </w:r>
            <w:r w:rsidR="00F755B7">
              <w:rPr>
                <w:webHidden/>
              </w:rPr>
              <w:t>123</w:t>
            </w:r>
            <w:r w:rsidR="00DF65F3">
              <w:rPr>
                <w:webHidden/>
              </w:rPr>
              <w:fldChar w:fldCharType="end"/>
            </w:r>
          </w:hyperlink>
        </w:p>
        <w:p w14:paraId="7BE9AD29" w14:textId="0C32BC02" w:rsidR="00DF65F3" w:rsidRDefault="00870777">
          <w:pPr>
            <w:pStyle w:val="Spistreci6"/>
            <w:rPr>
              <w:sz w:val="22"/>
              <w:lang w:val="en-GB" w:eastAsia="en-GB"/>
            </w:rPr>
          </w:pPr>
          <w:hyperlink w:anchor="_Toc12532707" w:history="1">
            <w:r w:rsidR="00DF65F3" w:rsidRPr="004815D6">
              <w:rPr>
                <w:rStyle w:val="Hipercze"/>
              </w:rPr>
              <w:t>GM1 ADR.OR.D.005(b)(10)     System zarządzania</w:t>
            </w:r>
            <w:r w:rsidR="00DF65F3">
              <w:rPr>
                <w:webHidden/>
              </w:rPr>
              <w:tab/>
            </w:r>
            <w:r w:rsidR="00DF65F3">
              <w:rPr>
                <w:webHidden/>
              </w:rPr>
              <w:fldChar w:fldCharType="begin"/>
            </w:r>
            <w:r w:rsidR="00DF65F3">
              <w:rPr>
                <w:webHidden/>
              </w:rPr>
              <w:instrText xml:space="preserve"> PAGEREF _Toc12532707 \h </w:instrText>
            </w:r>
            <w:r w:rsidR="00DF65F3">
              <w:rPr>
                <w:webHidden/>
              </w:rPr>
            </w:r>
            <w:r w:rsidR="00DF65F3">
              <w:rPr>
                <w:webHidden/>
              </w:rPr>
              <w:fldChar w:fldCharType="separate"/>
            </w:r>
            <w:r w:rsidR="00F755B7">
              <w:rPr>
                <w:webHidden/>
              </w:rPr>
              <w:t>123</w:t>
            </w:r>
            <w:r w:rsidR="00DF65F3">
              <w:rPr>
                <w:webHidden/>
              </w:rPr>
              <w:fldChar w:fldCharType="end"/>
            </w:r>
          </w:hyperlink>
        </w:p>
        <w:p w14:paraId="4EA4F4A8" w14:textId="2883832B" w:rsidR="00DF65F3" w:rsidRDefault="00870777">
          <w:pPr>
            <w:pStyle w:val="Spistreci5"/>
            <w:rPr>
              <w:sz w:val="22"/>
              <w:lang w:val="en-GB" w:eastAsia="en-GB"/>
            </w:rPr>
          </w:pPr>
          <w:hyperlink w:anchor="_Toc12532708" w:history="1">
            <w:r w:rsidR="00DF65F3" w:rsidRPr="004815D6">
              <w:rPr>
                <w:rStyle w:val="Hipercze"/>
              </w:rPr>
              <w:t>AMC1 ADR.OR.D.005(b)(11)     System zarządzania</w:t>
            </w:r>
            <w:r w:rsidR="00DF65F3">
              <w:rPr>
                <w:webHidden/>
              </w:rPr>
              <w:tab/>
            </w:r>
            <w:r w:rsidR="00DF65F3">
              <w:rPr>
                <w:webHidden/>
              </w:rPr>
              <w:fldChar w:fldCharType="begin"/>
            </w:r>
            <w:r w:rsidR="00DF65F3">
              <w:rPr>
                <w:webHidden/>
              </w:rPr>
              <w:instrText xml:space="preserve"> PAGEREF _Toc12532708 \h </w:instrText>
            </w:r>
            <w:r w:rsidR="00DF65F3">
              <w:rPr>
                <w:webHidden/>
              </w:rPr>
            </w:r>
            <w:r w:rsidR="00DF65F3">
              <w:rPr>
                <w:webHidden/>
              </w:rPr>
              <w:fldChar w:fldCharType="separate"/>
            </w:r>
            <w:r w:rsidR="00F755B7">
              <w:rPr>
                <w:webHidden/>
              </w:rPr>
              <w:t>123</w:t>
            </w:r>
            <w:r w:rsidR="00DF65F3">
              <w:rPr>
                <w:webHidden/>
              </w:rPr>
              <w:fldChar w:fldCharType="end"/>
            </w:r>
          </w:hyperlink>
        </w:p>
        <w:p w14:paraId="294AA720" w14:textId="7110A7FC" w:rsidR="00DF65F3" w:rsidRDefault="00870777">
          <w:pPr>
            <w:pStyle w:val="Spistreci6"/>
            <w:rPr>
              <w:sz w:val="22"/>
              <w:lang w:val="en-GB" w:eastAsia="en-GB"/>
            </w:rPr>
          </w:pPr>
          <w:hyperlink w:anchor="_Toc12532709" w:history="1">
            <w:r w:rsidR="00DF65F3" w:rsidRPr="004815D6">
              <w:rPr>
                <w:rStyle w:val="Hipercze"/>
              </w:rPr>
              <w:t>GM1 ADR.OR.D.005(b)(11)     System zarządzania</w:t>
            </w:r>
            <w:r w:rsidR="00DF65F3">
              <w:rPr>
                <w:webHidden/>
              </w:rPr>
              <w:tab/>
            </w:r>
            <w:r w:rsidR="00DF65F3">
              <w:rPr>
                <w:webHidden/>
              </w:rPr>
              <w:fldChar w:fldCharType="begin"/>
            </w:r>
            <w:r w:rsidR="00DF65F3">
              <w:rPr>
                <w:webHidden/>
              </w:rPr>
              <w:instrText xml:space="preserve"> PAGEREF _Toc12532709 \h </w:instrText>
            </w:r>
            <w:r w:rsidR="00DF65F3">
              <w:rPr>
                <w:webHidden/>
              </w:rPr>
            </w:r>
            <w:r w:rsidR="00DF65F3">
              <w:rPr>
                <w:webHidden/>
              </w:rPr>
              <w:fldChar w:fldCharType="separate"/>
            </w:r>
            <w:r w:rsidR="00F755B7">
              <w:rPr>
                <w:webHidden/>
              </w:rPr>
              <w:t>125</w:t>
            </w:r>
            <w:r w:rsidR="00DF65F3">
              <w:rPr>
                <w:webHidden/>
              </w:rPr>
              <w:fldChar w:fldCharType="end"/>
            </w:r>
          </w:hyperlink>
        </w:p>
        <w:p w14:paraId="2FFA4527" w14:textId="30D642E5" w:rsidR="00DF65F3" w:rsidRDefault="00870777">
          <w:pPr>
            <w:pStyle w:val="Spistreci5"/>
            <w:rPr>
              <w:sz w:val="22"/>
              <w:lang w:val="en-GB" w:eastAsia="en-GB"/>
            </w:rPr>
          </w:pPr>
          <w:hyperlink w:anchor="_Toc12532710" w:history="1">
            <w:r w:rsidR="00DF65F3" w:rsidRPr="004815D6">
              <w:rPr>
                <w:rStyle w:val="Hipercze"/>
              </w:rPr>
              <w:t>AMC2 ADR.OR.D.005(b)(11)     System zarządzania</w:t>
            </w:r>
            <w:r w:rsidR="00DF65F3">
              <w:rPr>
                <w:webHidden/>
              </w:rPr>
              <w:tab/>
            </w:r>
            <w:r w:rsidR="00DF65F3">
              <w:rPr>
                <w:webHidden/>
              </w:rPr>
              <w:fldChar w:fldCharType="begin"/>
            </w:r>
            <w:r w:rsidR="00DF65F3">
              <w:rPr>
                <w:webHidden/>
              </w:rPr>
              <w:instrText xml:space="preserve"> PAGEREF _Toc12532710 \h </w:instrText>
            </w:r>
            <w:r w:rsidR="00DF65F3">
              <w:rPr>
                <w:webHidden/>
              </w:rPr>
            </w:r>
            <w:r w:rsidR="00DF65F3">
              <w:rPr>
                <w:webHidden/>
              </w:rPr>
              <w:fldChar w:fldCharType="separate"/>
            </w:r>
            <w:r w:rsidR="00F755B7">
              <w:rPr>
                <w:webHidden/>
              </w:rPr>
              <w:t>126</w:t>
            </w:r>
            <w:r w:rsidR="00DF65F3">
              <w:rPr>
                <w:webHidden/>
              </w:rPr>
              <w:fldChar w:fldCharType="end"/>
            </w:r>
          </w:hyperlink>
        </w:p>
        <w:p w14:paraId="2F3BAA6F" w14:textId="3CDA7FDE" w:rsidR="00DF65F3" w:rsidRDefault="00870777">
          <w:pPr>
            <w:pStyle w:val="Spistreci5"/>
            <w:rPr>
              <w:sz w:val="22"/>
              <w:lang w:val="en-GB" w:eastAsia="en-GB"/>
            </w:rPr>
          </w:pPr>
          <w:hyperlink w:anchor="_Toc12532711" w:history="1">
            <w:r w:rsidR="00DF65F3" w:rsidRPr="004815D6">
              <w:rPr>
                <w:rStyle w:val="Hipercze"/>
              </w:rPr>
              <w:t>AMC1 ADR.OR.D.005(c)     System zarządzania</w:t>
            </w:r>
            <w:r w:rsidR="00DF65F3">
              <w:rPr>
                <w:webHidden/>
              </w:rPr>
              <w:tab/>
            </w:r>
            <w:r w:rsidR="00DF65F3">
              <w:rPr>
                <w:webHidden/>
              </w:rPr>
              <w:fldChar w:fldCharType="begin"/>
            </w:r>
            <w:r w:rsidR="00DF65F3">
              <w:rPr>
                <w:webHidden/>
              </w:rPr>
              <w:instrText xml:space="preserve"> PAGEREF _Toc12532711 \h </w:instrText>
            </w:r>
            <w:r w:rsidR="00DF65F3">
              <w:rPr>
                <w:webHidden/>
              </w:rPr>
            </w:r>
            <w:r w:rsidR="00DF65F3">
              <w:rPr>
                <w:webHidden/>
              </w:rPr>
              <w:fldChar w:fldCharType="separate"/>
            </w:r>
            <w:r w:rsidR="00F755B7">
              <w:rPr>
                <w:webHidden/>
              </w:rPr>
              <w:t>126</w:t>
            </w:r>
            <w:r w:rsidR="00DF65F3">
              <w:rPr>
                <w:webHidden/>
              </w:rPr>
              <w:fldChar w:fldCharType="end"/>
            </w:r>
          </w:hyperlink>
        </w:p>
        <w:p w14:paraId="1F061FD2" w14:textId="2C4EC274" w:rsidR="00DF65F3" w:rsidRDefault="00870777">
          <w:pPr>
            <w:pStyle w:val="Spistreci5"/>
            <w:rPr>
              <w:sz w:val="22"/>
              <w:lang w:val="en-GB" w:eastAsia="en-GB"/>
            </w:rPr>
          </w:pPr>
          <w:hyperlink w:anchor="_Toc12532712" w:history="1">
            <w:r w:rsidR="00DF65F3" w:rsidRPr="004815D6">
              <w:rPr>
                <w:rStyle w:val="Hipercze"/>
              </w:rPr>
              <w:t>AMC2 ADR.OR.D.005(c)     System zarządzania</w:t>
            </w:r>
            <w:r w:rsidR="00DF65F3">
              <w:rPr>
                <w:webHidden/>
              </w:rPr>
              <w:tab/>
            </w:r>
            <w:r w:rsidR="00DF65F3">
              <w:rPr>
                <w:webHidden/>
              </w:rPr>
              <w:fldChar w:fldCharType="begin"/>
            </w:r>
            <w:r w:rsidR="00DF65F3">
              <w:rPr>
                <w:webHidden/>
              </w:rPr>
              <w:instrText xml:space="preserve"> PAGEREF _Toc12532712 \h </w:instrText>
            </w:r>
            <w:r w:rsidR="00DF65F3">
              <w:rPr>
                <w:webHidden/>
              </w:rPr>
            </w:r>
            <w:r w:rsidR="00DF65F3">
              <w:rPr>
                <w:webHidden/>
              </w:rPr>
              <w:fldChar w:fldCharType="separate"/>
            </w:r>
            <w:r w:rsidR="00F755B7">
              <w:rPr>
                <w:webHidden/>
              </w:rPr>
              <w:t>127</w:t>
            </w:r>
            <w:r w:rsidR="00DF65F3">
              <w:rPr>
                <w:webHidden/>
              </w:rPr>
              <w:fldChar w:fldCharType="end"/>
            </w:r>
          </w:hyperlink>
        </w:p>
        <w:p w14:paraId="48FF774E" w14:textId="1CFDA702" w:rsidR="00DF65F3" w:rsidRDefault="00870777">
          <w:pPr>
            <w:pStyle w:val="Spistreci6"/>
            <w:rPr>
              <w:sz w:val="22"/>
              <w:lang w:val="en-GB" w:eastAsia="en-GB"/>
            </w:rPr>
          </w:pPr>
          <w:hyperlink w:anchor="_Toc12532713" w:history="1">
            <w:r w:rsidR="00DF65F3" w:rsidRPr="004815D6">
              <w:rPr>
                <w:rStyle w:val="Hipercze"/>
              </w:rPr>
              <w:t>GM1 ADR.OR.D.005(c)     System zarządzania</w:t>
            </w:r>
            <w:r w:rsidR="00DF65F3">
              <w:rPr>
                <w:webHidden/>
              </w:rPr>
              <w:tab/>
            </w:r>
            <w:r w:rsidR="00DF65F3">
              <w:rPr>
                <w:webHidden/>
              </w:rPr>
              <w:fldChar w:fldCharType="begin"/>
            </w:r>
            <w:r w:rsidR="00DF65F3">
              <w:rPr>
                <w:webHidden/>
              </w:rPr>
              <w:instrText xml:space="preserve"> PAGEREF _Toc12532713 \h </w:instrText>
            </w:r>
            <w:r w:rsidR="00DF65F3">
              <w:rPr>
                <w:webHidden/>
              </w:rPr>
            </w:r>
            <w:r w:rsidR="00DF65F3">
              <w:rPr>
                <w:webHidden/>
              </w:rPr>
              <w:fldChar w:fldCharType="separate"/>
            </w:r>
            <w:r w:rsidR="00F755B7">
              <w:rPr>
                <w:webHidden/>
              </w:rPr>
              <w:t>127</w:t>
            </w:r>
            <w:r w:rsidR="00DF65F3">
              <w:rPr>
                <w:webHidden/>
              </w:rPr>
              <w:fldChar w:fldCharType="end"/>
            </w:r>
          </w:hyperlink>
        </w:p>
        <w:p w14:paraId="0B90D823" w14:textId="7E7FCD34" w:rsidR="00DF65F3" w:rsidRDefault="00870777">
          <w:pPr>
            <w:pStyle w:val="Spistreci3"/>
            <w:rPr>
              <w:rFonts w:asciiTheme="minorHAnsi" w:eastAsiaTheme="minorEastAsia" w:hAnsiTheme="minorHAnsi" w:cstheme="minorBidi"/>
              <w:sz w:val="22"/>
              <w:lang w:val="en-GB" w:eastAsia="en-GB"/>
            </w:rPr>
          </w:pPr>
          <w:hyperlink w:anchor="_Toc12532714" w:history="1">
            <w:r w:rsidR="00DF65F3" w:rsidRPr="004815D6">
              <w:rPr>
                <w:rStyle w:val="Hipercze"/>
              </w:rPr>
              <w:t>ADR.OR.D.007     Zarządzanie danymi lotniczymi i informacjami lotniczymi</w:t>
            </w:r>
            <w:r w:rsidR="00DF65F3">
              <w:rPr>
                <w:webHidden/>
              </w:rPr>
              <w:tab/>
            </w:r>
            <w:r w:rsidR="00DF65F3">
              <w:rPr>
                <w:webHidden/>
              </w:rPr>
              <w:fldChar w:fldCharType="begin"/>
            </w:r>
            <w:r w:rsidR="00DF65F3">
              <w:rPr>
                <w:webHidden/>
              </w:rPr>
              <w:instrText xml:space="preserve"> PAGEREF _Toc12532714 \h </w:instrText>
            </w:r>
            <w:r w:rsidR="00DF65F3">
              <w:rPr>
                <w:webHidden/>
              </w:rPr>
            </w:r>
            <w:r w:rsidR="00DF65F3">
              <w:rPr>
                <w:webHidden/>
              </w:rPr>
              <w:fldChar w:fldCharType="separate"/>
            </w:r>
            <w:r w:rsidR="00F755B7">
              <w:rPr>
                <w:webHidden/>
              </w:rPr>
              <w:t>128</w:t>
            </w:r>
            <w:r w:rsidR="00DF65F3">
              <w:rPr>
                <w:webHidden/>
              </w:rPr>
              <w:fldChar w:fldCharType="end"/>
            </w:r>
          </w:hyperlink>
        </w:p>
        <w:p w14:paraId="4EC0604D" w14:textId="27CFFA20" w:rsidR="00DF65F3" w:rsidRDefault="00870777">
          <w:pPr>
            <w:pStyle w:val="Spistreci5"/>
            <w:rPr>
              <w:sz w:val="22"/>
              <w:lang w:val="en-GB" w:eastAsia="en-GB"/>
            </w:rPr>
          </w:pPr>
          <w:hyperlink w:anchor="_Toc12532715" w:history="1">
            <w:r w:rsidR="00DF65F3" w:rsidRPr="004815D6">
              <w:rPr>
                <w:rStyle w:val="Hipercze"/>
              </w:rPr>
              <w:t>AMC1 ADR.OR.D.007(a)     Zarządzanie danymi lotniczymi i informacjami lotniczymi</w:t>
            </w:r>
            <w:r w:rsidR="00DF65F3">
              <w:rPr>
                <w:webHidden/>
              </w:rPr>
              <w:tab/>
            </w:r>
            <w:r w:rsidR="00DF65F3">
              <w:rPr>
                <w:webHidden/>
              </w:rPr>
              <w:fldChar w:fldCharType="begin"/>
            </w:r>
            <w:r w:rsidR="00DF65F3">
              <w:rPr>
                <w:webHidden/>
              </w:rPr>
              <w:instrText xml:space="preserve"> PAGEREF _Toc12532715 \h </w:instrText>
            </w:r>
            <w:r w:rsidR="00DF65F3">
              <w:rPr>
                <w:webHidden/>
              </w:rPr>
            </w:r>
            <w:r w:rsidR="00DF65F3">
              <w:rPr>
                <w:webHidden/>
              </w:rPr>
              <w:fldChar w:fldCharType="separate"/>
            </w:r>
            <w:r w:rsidR="00F755B7">
              <w:rPr>
                <w:webHidden/>
              </w:rPr>
              <w:t>128</w:t>
            </w:r>
            <w:r w:rsidR="00DF65F3">
              <w:rPr>
                <w:webHidden/>
              </w:rPr>
              <w:fldChar w:fldCharType="end"/>
            </w:r>
          </w:hyperlink>
        </w:p>
        <w:p w14:paraId="453B3C8B" w14:textId="5FAFA6C2" w:rsidR="00DF65F3" w:rsidRDefault="00870777">
          <w:pPr>
            <w:pStyle w:val="Spistreci6"/>
            <w:rPr>
              <w:sz w:val="22"/>
              <w:lang w:val="en-GB" w:eastAsia="en-GB"/>
            </w:rPr>
          </w:pPr>
          <w:hyperlink w:anchor="_Toc12532716" w:history="1">
            <w:r w:rsidR="00DF65F3" w:rsidRPr="004815D6">
              <w:rPr>
                <w:rStyle w:val="Hipercze"/>
              </w:rPr>
              <w:t>GM1 ADR.OR.D.007(a)     Zarządzanie danymi lotniczymi i informacjami lotniczymi</w:t>
            </w:r>
            <w:r w:rsidR="00DF65F3">
              <w:rPr>
                <w:webHidden/>
              </w:rPr>
              <w:tab/>
            </w:r>
            <w:r w:rsidR="00DF65F3">
              <w:rPr>
                <w:webHidden/>
              </w:rPr>
              <w:fldChar w:fldCharType="begin"/>
            </w:r>
            <w:r w:rsidR="00DF65F3">
              <w:rPr>
                <w:webHidden/>
              </w:rPr>
              <w:instrText xml:space="preserve"> PAGEREF _Toc12532716 \h </w:instrText>
            </w:r>
            <w:r w:rsidR="00DF65F3">
              <w:rPr>
                <w:webHidden/>
              </w:rPr>
            </w:r>
            <w:r w:rsidR="00DF65F3">
              <w:rPr>
                <w:webHidden/>
              </w:rPr>
              <w:fldChar w:fldCharType="separate"/>
            </w:r>
            <w:r w:rsidR="00F755B7">
              <w:rPr>
                <w:webHidden/>
              </w:rPr>
              <w:t>128</w:t>
            </w:r>
            <w:r w:rsidR="00DF65F3">
              <w:rPr>
                <w:webHidden/>
              </w:rPr>
              <w:fldChar w:fldCharType="end"/>
            </w:r>
          </w:hyperlink>
        </w:p>
        <w:p w14:paraId="0C8E80C8" w14:textId="5E4E1F01" w:rsidR="00DF65F3" w:rsidRDefault="00870777">
          <w:pPr>
            <w:pStyle w:val="Spistreci5"/>
            <w:rPr>
              <w:sz w:val="22"/>
              <w:lang w:val="en-GB" w:eastAsia="en-GB"/>
            </w:rPr>
          </w:pPr>
          <w:hyperlink w:anchor="_Toc12532717" w:history="1">
            <w:r w:rsidR="00DF65F3" w:rsidRPr="004815D6">
              <w:rPr>
                <w:rStyle w:val="Hipercze"/>
              </w:rPr>
              <w:t>AMC1 ADR.OR.D.007(b)     Zarządzanie danymi lotniczymi i informacjami lotniczymi</w:t>
            </w:r>
            <w:r w:rsidR="00DF65F3">
              <w:rPr>
                <w:webHidden/>
              </w:rPr>
              <w:tab/>
            </w:r>
            <w:r w:rsidR="00DF65F3">
              <w:rPr>
                <w:webHidden/>
              </w:rPr>
              <w:fldChar w:fldCharType="begin"/>
            </w:r>
            <w:r w:rsidR="00DF65F3">
              <w:rPr>
                <w:webHidden/>
              </w:rPr>
              <w:instrText xml:space="preserve"> PAGEREF _Toc12532717 \h </w:instrText>
            </w:r>
            <w:r w:rsidR="00DF65F3">
              <w:rPr>
                <w:webHidden/>
              </w:rPr>
            </w:r>
            <w:r w:rsidR="00DF65F3">
              <w:rPr>
                <w:webHidden/>
              </w:rPr>
              <w:fldChar w:fldCharType="separate"/>
            </w:r>
            <w:r w:rsidR="00F755B7">
              <w:rPr>
                <w:webHidden/>
              </w:rPr>
              <w:t>129</w:t>
            </w:r>
            <w:r w:rsidR="00DF65F3">
              <w:rPr>
                <w:webHidden/>
              </w:rPr>
              <w:fldChar w:fldCharType="end"/>
            </w:r>
          </w:hyperlink>
        </w:p>
        <w:p w14:paraId="51EF3BCB" w14:textId="39FAC60A" w:rsidR="00DF65F3" w:rsidRDefault="00870777">
          <w:pPr>
            <w:pStyle w:val="Spistreci3"/>
            <w:rPr>
              <w:rFonts w:asciiTheme="minorHAnsi" w:eastAsiaTheme="minorEastAsia" w:hAnsiTheme="minorHAnsi" w:cstheme="minorBidi"/>
              <w:sz w:val="22"/>
              <w:lang w:val="en-GB" w:eastAsia="en-GB"/>
            </w:rPr>
          </w:pPr>
          <w:hyperlink w:anchor="_Toc12532718" w:history="1">
            <w:r w:rsidR="00DF65F3" w:rsidRPr="004815D6">
              <w:rPr>
                <w:rStyle w:val="Hipercze"/>
              </w:rPr>
              <w:t>ADR.OR.D.010     Zlecone czynności</w:t>
            </w:r>
            <w:r w:rsidR="00DF65F3">
              <w:rPr>
                <w:webHidden/>
              </w:rPr>
              <w:tab/>
            </w:r>
            <w:r w:rsidR="00DF65F3">
              <w:rPr>
                <w:webHidden/>
              </w:rPr>
              <w:fldChar w:fldCharType="begin"/>
            </w:r>
            <w:r w:rsidR="00DF65F3">
              <w:rPr>
                <w:webHidden/>
              </w:rPr>
              <w:instrText xml:space="preserve"> PAGEREF _Toc12532718 \h </w:instrText>
            </w:r>
            <w:r w:rsidR="00DF65F3">
              <w:rPr>
                <w:webHidden/>
              </w:rPr>
            </w:r>
            <w:r w:rsidR="00DF65F3">
              <w:rPr>
                <w:webHidden/>
              </w:rPr>
              <w:fldChar w:fldCharType="separate"/>
            </w:r>
            <w:r w:rsidR="00F755B7">
              <w:rPr>
                <w:webHidden/>
              </w:rPr>
              <w:t>129</w:t>
            </w:r>
            <w:r w:rsidR="00DF65F3">
              <w:rPr>
                <w:webHidden/>
              </w:rPr>
              <w:fldChar w:fldCharType="end"/>
            </w:r>
          </w:hyperlink>
        </w:p>
        <w:p w14:paraId="61D5AAFE" w14:textId="75A732BA" w:rsidR="00DF65F3" w:rsidRDefault="00870777">
          <w:pPr>
            <w:pStyle w:val="Spistreci5"/>
            <w:rPr>
              <w:sz w:val="22"/>
              <w:lang w:val="en-GB" w:eastAsia="en-GB"/>
            </w:rPr>
          </w:pPr>
          <w:hyperlink w:anchor="_Toc12532719" w:history="1">
            <w:r w:rsidR="00DF65F3" w:rsidRPr="004815D6">
              <w:rPr>
                <w:rStyle w:val="Hipercze"/>
              </w:rPr>
              <w:t>AMC1 ADR.OR.D.010     Zlecone czynności</w:t>
            </w:r>
            <w:r w:rsidR="00DF65F3">
              <w:rPr>
                <w:webHidden/>
              </w:rPr>
              <w:tab/>
            </w:r>
            <w:r w:rsidR="00DF65F3">
              <w:rPr>
                <w:webHidden/>
              </w:rPr>
              <w:fldChar w:fldCharType="begin"/>
            </w:r>
            <w:r w:rsidR="00DF65F3">
              <w:rPr>
                <w:webHidden/>
              </w:rPr>
              <w:instrText xml:space="preserve"> PAGEREF _Toc12532719 \h </w:instrText>
            </w:r>
            <w:r w:rsidR="00DF65F3">
              <w:rPr>
                <w:webHidden/>
              </w:rPr>
            </w:r>
            <w:r w:rsidR="00DF65F3">
              <w:rPr>
                <w:webHidden/>
              </w:rPr>
              <w:fldChar w:fldCharType="separate"/>
            </w:r>
            <w:r w:rsidR="00F755B7">
              <w:rPr>
                <w:webHidden/>
              </w:rPr>
              <w:t>129</w:t>
            </w:r>
            <w:r w:rsidR="00DF65F3">
              <w:rPr>
                <w:webHidden/>
              </w:rPr>
              <w:fldChar w:fldCharType="end"/>
            </w:r>
          </w:hyperlink>
        </w:p>
        <w:p w14:paraId="5D0DC0B7" w14:textId="28E8FBB2" w:rsidR="00DF65F3" w:rsidRDefault="00870777">
          <w:pPr>
            <w:pStyle w:val="Spistreci6"/>
            <w:rPr>
              <w:sz w:val="22"/>
              <w:lang w:val="en-GB" w:eastAsia="en-GB"/>
            </w:rPr>
          </w:pPr>
          <w:hyperlink w:anchor="_Toc12532720" w:history="1">
            <w:r w:rsidR="00DF65F3" w:rsidRPr="004815D6">
              <w:rPr>
                <w:rStyle w:val="Hipercze"/>
              </w:rPr>
              <w:t>GM1 ADR.OR.D.010     Zlecone czynności</w:t>
            </w:r>
            <w:r w:rsidR="00DF65F3">
              <w:rPr>
                <w:webHidden/>
              </w:rPr>
              <w:tab/>
            </w:r>
            <w:r w:rsidR="00DF65F3">
              <w:rPr>
                <w:webHidden/>
              </w:rPr>
              <w:fldChar w:fldCharType="begin"/>
            </w:r>
            <w:r w:rsidR="00DF65F3">
              <w:rPr>
                <w:webHidden/>
              </w:rPr>
              <w:instrText xml:space="preserve"> PAGEREF _Toc12532720 \h </w:instrText>
            </w:r>
            <w:r w:rsidR="00DF65F3">
              <w:rPr>
                <w:webHidden/>
              </w:rPr>
            </w:r>
            <w:r w:rsidR="00DF65F3">
              <w:rPr>
                <w:webHidden/>
              </w:rPr>
              <w:fldChar w:fldCharType="separate"/>
            </w:r>
            <w:r w:rsidR="00F755B7">
              <w:rPr>
                <w:webHidden/>
              </w:rPr>
              <w:t>130</w:t>
            </w:r>
            <w:r w:rsidR="00DF65F3">
              <w:rPr>
                <w:webHidden/>
              </w:rPr>
              <w:fldChar w:fldCharType="end"/>
            </w:r>
          </w:hyperlink>
        </w:p>
        <w:p w14:paraId="73A722A4" w14:textId="37FB714F" w:rsidR="00DF65F3" w:rsidRDefault="00870777">
          <w:pPr>
            <w:pStyle w:val="Spistreci6"/>
            <w:rPr>
              <w:sz w:val="22"/>
              <w:lang w:val="en-GB" w:eastAsia="en-GB"/>
            </w:rPr>
          </w:pPr>
          <w:hyperlink w:anchor="_Toc12532721" w:history="1">
            <w:r w:rsidR="00DF65F3" w:rsidRPr="004815D6">
              <w:rPr>
                <w:rStyle w:val="Hipercze"/>
              </w:rPr>
              <w:t>GM2 ADR.OR.D.010     Zlecone czynności</w:t>
            </w:r>
            <w:r w:rsidR="00DF65F3">
              <w:rPr>
                <w:webHidden/>
              </w:rPr>
              <w:tab/>
            </w:r>
            <w:r w:rsidR="00DF65F3">
              <w:rPr>
                <w:webHidden/>
              </w:rPr>
              <w:fldChar w:fldCharType="begin"/>
            </w:r>
            <w:r w:rsidR="00DF65F3">
              <w:rPr>
                <w:webHidden/>
              </w:rPr>
              <w:instrText xml:space="preserve"> PAGEREF _Toc12532721 \h </w:instrText>
            </w:r>
            <w:r w:rsidR="00DF65F3">
              <w:rPr>
                <w:webHidden/>
              </w:rPr>
            </w:r>
            <w:r w:rsidR="00DF65F3">
              <w:rPr>
                <w:webHidden/>
              </w:rPr>
              <w:fldChar w:fldCharType="separate"/>
            </w:r>
            <w:r w:rsidR="00F755B7">
              <w:rPr>
                <w:webHidden/>
              </w:rPr>
              <w:t>130</w:t>
            </w:r>
            <w:r w:rsidR="00DF65F3">
              <w:rPr>
                <w:webHidden/>
              </w:rPr>
              <w:fldChar w:fldCharType="end"/>
            </w:r>
          </w:hyperlink>
        </w:p>
        <w:p w14:paraId="6DE8D893" w14:textId="01435DA1" w:rsidR="00DF65F3" w:rsidRDefault="00870777">
          <w:pPr>
            <w:pStyle w:val="Spistreci3"/>
            <w:rPr>
              <w:rFonts w:asciiTheme="minorHAnsi" w:eastAsiaTheme="minorEastAsia" w:hAnsiTheme="minorHAnsi" w:cstheme="minorBidi"/>
              <w:sz w:val="22"/>
              <w:lang w:val="en-GB" w:eastAsia="en-GB"/>
            </w:rPr>
          </w:pPr>
          <w:hyperlink w:anchor="_Toc12532722" w:history="1">
            <w:r w:rsidR="00DF65F3" w:rsidRPr="004815D6">
              <w:rPr>
                <w:rStyle w:val="Hipercze"/>
              </w:rPr>
              <w:t>ADR.OR.D.015     Wymagania dotyczące personelu</w:t>
            </w:r>
            <w:r w:rsidR="00DF65F3">
              <w:rPr>
                <w:webHidden/>
              </w:rPr>
              <w:tab/>
            </w:r>
            <w:r w:rsidR="00DF65F3">
              <w:rPr>
                <w:webHidden/>
              </w:rPr>
              <w:fldChar w:fldCharType="begin"/>
            </w:r>
            <w:r w:rsidR="00DF65F3">
              <w:rPr>
                <w:webHidden/>
              </w:rPr>
              <w:instrText xml:space="preserve"> PAGEREF _Toc12532722 \h </w:instrText>
            </w:r>
            <w:r w:rsidR="00DF65F3">
              <w:rPr>
                <w:webHidden/>
              </w:rPr>
            </w:r>
            <w:r w:rsidR="00DF65F3">
              <w:rPr>
                <w:webHidden/>
              </w:rPr>
              <w:fldChar w:fldCharType="separate"/>
            </w:r>
            <w:r w:rsidR="00F755B7">
              <w:rPr>
                <w:webHidden/>
              </w:rPr>
              <w:t>130</w:t>
            </w:r>
            <w:r w:rsidR="00DF65F3">
              <w:rPr>
                <w:webHidden/>
              </w:rPr>
              <w:fldChar w:fldCharType="end"/>
            </w:r>
          </w:hyperlink>
        </w:p>
        <w:p w14:paraId="18C967EE" w14:textId="0D124EA8" w:rsidR="00DF65F3" w:rsidRDefault="00870777">
          <w:pPr>
            <w:pStyle w:val="Spistreci5"/>
            <w:rPr>
              <w:sz w:val="22"/>
              <w:lang w:val="en-GB" w:eastAsia="en-GB"/>
            </w:rPr>
          </w:pPr>
          <w:hyperlink w:anchor="_Toc12532723" w:history="1">
            <w:r w:rsidR="00DF65F3" w:rsidRPr="004815D6">
              <w:rPr>
                <w:rStyle w:val="Hipercze"/>
              </w:rPr>
              <w:t>AMC1 ADR.OR.D.015(a)     Wymagania dotyczące personelu</w:t>
            </w:r>
            <w:r w:rsidR="00DF65F3">
              <w:rPr>
                <w:webHidden/>
              </w:rPr>
              <w:tab/>
            </w:r>
            <w:r w:rsidR="00DF65F3">
              <w:rPr>
                <w:webHidden/>
              </w:rPr>
              <w:fldChar w:fldCharType="begin"/>
            </w:r>
            <w:r w:rsidR="00DF65F3">
              <w:rPr>
                <w:webHidden/>
              </w:rPr>
              <w:instrText xml:space="preserve"> PAGEREF _Toc12532723 \h </w:instrText>
            </w:r>
            <w:r w:rsidR="00DF65F3">
              <w:rPr>
                <w:webHidden/>
              </w:rPr>
            </w:r>
            <w:r w:rsidR="00DF65F3">
              <w:rPr>
                <w:webHidden/>
              </w:rPr>
              <w:fldChar w:fldCharType="separate"/>
            </w:r>
            <w:r w:rsidR="00F755B7">
              <w:rPr>
                <w:webHidden/>
              </w:rPr>
              <w:t>131</w:t>
            </w:r>
            <w:r w:rsidR="00DF65F3">
              <w:rPr>
                <w:webHidden/>
              </w:rPr>
              <w:fldChar w:fldCharType="end"/>
            </w:r>
          </w:hyperlink>
        </w:p>
        <w:p w14:paraId="01A4D7ED" w14:textId="0E6FEDFA" w:rsidR="00DF65F3" w:rsidRDefault="00870777">
          <w:pPr>
            <w:pStyle w:val="Spistreci6"/>
            <w:rPr>
              <w:sz w:val="22"/>
              <w:lang w:val="en-GB" w:eastAsia="en-GB"/>
            </w:rPr>
          </w:pPr>
          <w:hyperlink w:anchor="_Toc12532724" w:history="1">
            <w:r w:rsidR="00DF65F3" w:rsidRPr="004815D6">
              <w:rPr>
                <w:rStyle w:val="Hipercze"/>
              </w:rPr>
              <w:t>GM1 ADR.OR.D.015(a)     Wymagania dotyczące personelu</w:t>
            </w:r>
            <w:r w:rsidR="00DF65F3">
              <w:rPr>
                <w:webHidden/>
              </w:rPr>
              <w:tab/>
            </w:r>
            <w:r w:rsidR="00DF65F3">
              <w:rPr>
                <w:webHidden/>
              </w:rPr>
              <w:fldChar w:fldCharType="begin"/>
            </w:r>
            <w:r w:rsidR="00DF65F3">
              <w:rPr>
                <w:webHidden/>
              </w:rPr>
              <w:instrText xml:space="preserve"> PAGEREF _Toc12532724 \h </w:instrText>
            </w:r>
            <w:r w:rsidR="00DF65F3">
              <w:rPr>
                <w:webHidden/>
              </w:rPr>
            </w:r>
            <w:r w:rsidR="00DF65F3">
              <w:rPr>
                <w:webHidden/>
              </w:rPr>
              <w:fldChar w:fldCharType="separate"/>
            </w:r>
            <w:r w:rsidR="00F755B7">
              <w:rPr>
                <w:webHidden/>
              </w:rPr>
              <w:t>132</w:t>
            </w:r>
            <w:r w:rsidR="00DF65F3">
              <w:rPr>
                <w:webHidden/>
              </w:rPr>
              <w:fldChar w:fldCharType="end"/>
            </w:r>
          </w:hyperlink>
        </w:p>
        <w:p w14:paraId="2BFC56FF" w14:textId="3B51A63B" w:rsidR="00DF65F3" w:rsidRDefault="00870777">
          <w:pPr>
            <w:pStyle w:val="Spistreci5"/>
            <w:rPr>
              <w:sz w:val="22"/>
              <w:lang w:val="en-GB" w:eastAsia="en-GB"/>
            </w:rPr>
          </w:pPr>
          <w:hyperlink w:anchor="_Toc12532725" w:history="1">
            <w:r w:rsidR="00DF65F3" w:rsidRPr="004815D6">
              <w:rPr>
                <w:rStyle w:val="Hipercze"/>
              </w:rPr>
              <w:t>AMC1 ADR.OR.D.015(b)     Wymagania dotyczące personelu</w:t>
            </w:r>
            <w:r w:rsidR="00DF65F3">
              <w:rPr>
                <w:webHidden/>
              </w:rPr>
              <w:tab/>
            </w:r>
            <w:r w:rsidR="00DF65F3">
              <w:rPr>
                <w:webHidden/>
              </w:rPr>
              <w:fldChar w:fldCharType="begin"/>
            </w:r>
            <w:r w:rsidR="00DF65F3">
              <w:rPr>
                <w:webHidden/>
              </w:rPr>
              <w:instrText xml:space="preserve"> PAGEREF _Toc12532725 \h </w:instrText>
            </w:r>
            <w:r w:rsidR="00DF65F3">
              <w:rPr>
                <w:webHidden/>
              </w:rPr>
            </w:r>
            <w:r w:rsidR="00DF65F3">
              <w:rPr>
                <w:webHidden/>
              </w:rPr>
              <w:fldChar w:fldCharType="separate"/>
            </w:r>
            <w:r w:rsidR="00F755B7">
              <w:rPr>
                <w:webHidden/>
              </w:rPr>
              <w:t>132</w:t>
            </w:r>
            <w:r w:rsidR="00DF65F3">
              <w:rPr>
                <w:webHidden/>
              </w:rPr>
              <w:fldChar w:fldCharType="end"/>
            </w:r>
          </w:hyperlink>
        </w:p>
        <w:p w14:paraId="0AA23B73" w14:textId="5FEAA676" w:rsidR="00DF65F3" w:rsidRDefault="00870777">
          <w:pPr>
            <w:pStyle w:val="Spistreci6"/>
            <w:rPr>
              <w:sz w:val="22"/>
              <w:lang w:val="en-GB" w:eastAsia="en-GB"/>
            </w:rPr>
          </w:pPr>
          <w:hyperlink w:anchor="_Toc12532726" w:history="1">
            <w:r w:rsidR="00DF65F3" w:rsidRPr="004815D6">
              <w:rPr>
                <w:rStyle w:val="Hipercze"/>
              </w:rPr>
              <w:t>GM1 ADR.OR.D.015(b)     Wymagania dotyczące personelu</w:t>
            </w:r>
            <w:r w:rsidR="00DF65F3">
              <w:rPr>
                <w:webHidden/>
              </w:rPr>
              <w:tab/>
            </w:r>
            <w:r w:rsidR="00DF65F3">
              <w:rPr>
                <w:webHidden/>
              </w:rPr>
              <w:fldChar w:fldCharType="begin"/>
            </w:r>
            <w:r w:rsidR="00DF65F3">
              <w:rPr>
                <w:webHidden/>
              </w:rPr>
              <w:instrText xml:space="preserve"> PAGEREF _Toc12532726 \h </w:instrText>
            </w:r>
            <w:r w:rsidR="00DF65F3">
              <w:rPr>
                <w:webHidden/>
              </w:rPr>
            </w:r>
            <w:r w:rsidR="00DF65F3">
              <w:rPr>
                <w:webHidden/>
              </w:rPr>
              <w:fldChar w:fldCharType="separate"/>
            </w:r>
            <w:r w:rsidR="00F755B7">
              <w:rPr>
                <w:webHidden/>
              </w:rPr>
              <w:t>133</w:t>
            </w:r>
            <w:r w:rsidR="00DF65F3">
              <w:rPr>
                <w:webHidden/>
              </w:rPr>
              <w:fldChar w:fldCharType="end"/>
            </w:r>
          </w:hyperlink>
        </w:p>
        <w:p w14:paraId="0CCF5C59" w14:textId="65111A37" w:rsidR="00DF65F3" w:rsidRDefault="00870777">
          <w:pPr>
            <w:pStyle w:val="Spistreci5"/>
            <w:rPr>
              <w:sz w:val="22"/>
              <w:lang w:val="en-GB" w:eastAsia="en-GB"/>
            </w:rPr>
          </w:pPr>
          <w:hyperlink w:anchor="_Toc12532727" w:history="1">
            <w:r w:rsidR="00DF65F3" w:rsidRPr="004815D6">
              <w:rPr>
                <w:rStyle w:val="Hipercze"/>
              </w:rPr>
              <w:t>AMC1 ADR.OR.D.015(c)     Wymagania dotyczące personelu</w:t>
            </w:r>
            <w:r w:rsidR="00DF65F3">
              <w:rPr>
                <w:webHidden/>
              </w:rPr>
              <w:tab/>
            </w:r>
            <w:r w:rsidR="00DF65F3">
              <w:rPr>
                <w:webHidden/>
              </w:rPr>
              <w:fldChar w:fldCharType="begin"/>
            </w:r>
            <w:r w:rsidR="00DF65F3">
              <w:rPr>
                <w:webHidden/>
              </w:rPr>
              <w:instrText xml:space="preserve"> PAGEREF _Toc12532727 \h </w:instrText>
            </w:r>
            <w:r w:rsidR="00DF65F3">
              <w:rPr>
                <w:webHidden/>
              </w:rPr>
            </w:r>
            <w:r w:rsidR="00DF65F3">
              <w:rPr>
                <w:webHidden/>
              </w:rPr>
              <w:fldChar w:fldCharType="separate"/>
            </w:r>
            <w:r w:rsidR="00F755B7">
              <w:rPr>
                <w:webHidden/>
              </w:rPr>
              <w:t>133</w:t>
            </w:r>
            <w:r w:rsidR="00DF65F3">
              <w:rPr>
                <w:webHidden/>
              </w:rPr>
              <w:fldChar w:fldCharType="end"/>
            </w:r>
          </w:hyperlink>
        </w:p>
        <w:p w14:paraId="0A166896" w14:textId="76013663" w:rsidR="00DF65F3" w:rsidRDefault="00870777">
          <w:pPr>
            <w:pStyle w:val="Spistreci5"/>
            <w:rPr>
              <w:sz w:val="22"/>
              <w:lang w:val="en-GB" w:eastAsia="en-GB"/>
            </w:rPr>
          </w:pPr>
          <w:hyperlink w:anchor="_Toc12532728" w:history="1">
            <w:r w:rsidR="00DF65F3" w:rsidRPr="004815D6">
              <w:rPr>
                <w:rStyle w:val="Hipercze"/>
              </w:rPr>
              <w:t>AMC1 ADR.OR.D.015(d)     Wymagania dotyczące personelu</w:t>
            </w:r>
            <w:r w:rsidR="00DF65F3">
              <w:rPr>
                <w:webHidden/>
              </w:rPr>
              <w:tab/>
            </w:r>
            <w:r w:rsidR="00DF65F3">
              <w:rPr>
                <w:webHidden/>
              </w:rPr>
              <w:fldChar w:fldCharType="begin"/>
            </w:r>
            <w:r w:rsidR="00DF65F3">
              <w:rPr>
                <w:webHidden/>
              </w:rPr>
              <w:instrText xml:space="preserve"> PAGEREF _Toc12532728 \h </w:instrText>
            </w:r>
            <w:r w:rsidR="00DF65F3">
              <w:rPr>
                <w:webHidden/>
              </w:rPr>
            </w:r>
            <w:r w:rsidR="00DF65F3">
              <w:rPr>
                <w:webHidden/>
              </w:rPr>
              <w:fldChar w:fldCharType="separate"/>
            </w:r>
            <w:r w:rsidR="00F755B7">
              <w:rPr>
                <w:webHidden/>
              </w:rPr>
              <w:t>134</w:t>
            </w:r>
            <w:r w:rsidR="00DF65F3">
              <w:rPr>
                <w:webHidden/>
              </w:rPr>
              <w:fldChar w:fldCharType="end"/>
            </w:r>
          </w:hyperlink>
        </w:p>
        <w:p w14:paraId="18B6FEB3" w14:textId="6958834D" w:rsidR="00DF65F3" w:rsidRDefault="00870777">
          <w:pPr>
            <w:pStyle w:val="Spistreci6"/>
            <w:rPr>
              <w:sz w:val="22"/>
              <w:lang w:val="en-GB" w:eastAsia="en-GB"/>
            </w:rPr>
          </w:pPr>
          <w:hyperlink w:anchor="_Toc12532729" w:history="1">
            <w:r w:rsidR="00DF65F3" w:rsidRPr="004815D6">
              <w:rPr>
                <w:rStyle w:val="Hipercze"/>
              </w:rPr>
              <w:t>GM1 ADR.OR.D.015(d)     Wymagania dotyczące personelu</w:t>
            </w:r>
            <w:r w:rsidR="00DF65F3">
              <w:rPr>
                <w:webHidden/>
              </w:rPr>
              <w:tab/>
            </w:r>
            <w:r w:rsidR="00DF65F3">
              <w:rPr>
                <w:webHidden/>
              </w:rPr>
              <w:fldChar w:fldCharType="begin"/>
            </w:r>
            <w:r w:rsidR="00DF65F3">
              <w:rPr>
                <w:webHidden/>
              </w:rPr>
              <w:instrText xml:space="preserve"> PAGEREF _Toc12532729 \h </w:instrText>
            </w:r>
            <w:r w:rsidR="00DF65F3">
              <w:rPr>
                <w:webHidden/>
              </w:rPr>
            </w:r>
            <w:r w:rsidR="00DF65F3">
              <w:rPr>
                <w:webHidden/>
              </w:rPr>
              <w:fldChar w:fldCharType="separate"/>
            </w:r>
            <w:r w:rsidR="00F755B7">
              <w:rPr>
                <w:webHidden/>
              </w:rPr>
              <w:t>134</w:t>
            </w:r>
            <w:r w:rsidR="00DF65F3">
              <w:rPr>
                <w:webHidden/>
              </w:rPr>
              <w:fldChar w:fldCharType="end"/>
            </w:r>
          </w:hyperlink>
        </w:p>
        <w:p w14:paraId="3F55DDB3" w14:textId="6014D688" w:rsidR="00DF65F3" w:rsidRDefault="00870777">
          <w:pPr>
            <w:pStyle w:val="Spistreci5"/>
            <w:rPr>
              <w:sz w:val="22"/>
              <w:lang w:val="en-GB" w:eastAsia="en-GB"/>
            </w:rPr>
          </w:pPr>
          <w:hyperlink w:anchor="_Toc12532730" w:history="1">
            <w:r w:rsidR="00DF65F3" w:rsidRPr="004815D6">
              <w:rPr>
                <w:rStyle w:val="Hipercze"/>
              </w:rPr>
              <w:t>AMC1 ADR.OR.D.015(d);(e)     Wymagania dotyczące personelu</w:t>
            </w:r>
            <w:r w:rsidR="00DF65F3">
              <w:rPr>
                <w:webHidden/>
              </w:rPr>
              <w:tab/>
            </w:r>
            <w:r w:rsidR="00DF65F3">
              <w:rPr>
                <w:webHidden/>
              </w:rPr>
              <w:fldChar w:fldCharType="begin"/>
            </w:r>
            <w:r w:rsidR="00DF65F3">
              <w:rPr>
                <w:webHidden/>
              </w:rPr>
              <w:instrText xml:space="preserve"> PAGEREF _Toc12532730 \h </w:instrText>
            </w:r>
            <w:r w:rsidR="00DF65F3">
              <w:rPr>
                <w:webHidden/>
              </w:rPr>
            </w:r>
            <w:r w:rsidR="00DF65F3">
              <w:rPr>
                <w:webHidden/>
              </w:rPr>
              <w:fldChar w:fldCharType="separate"/>
            </w:r>
            <w:r w:rsidR="00F755B7">
              <w:rPr>
                <w:webHidden/>
              </w:rPr>
              <w:t>135</w:t>
            </w:r>
            <w:r w:rsidR="00DF65F3">
              <w:rPr>
                <w:webHidden/>
              </w:rPr>
              <w:fldChar w:fldCharType="end"/>
            </w:r>
          </w:hyperlink>
        </w:p>
        <w:p w14:paraId="5C26F4DA" w14:textId="63F97864" w:rsidR="00DF65F3" w:rsidRDefault="00870777">
          <w:pPr>
            <w:pStyle w:val="Spistreci6"/>
            <w:rPr>
              <w:sz w:val="22"/>
              <w:lang w:val="en-GB" w:eastAsia="en-GB"/>
            </w:rPr>
          </w:pPr>
          <w:hyperlink w:anchor="_Toc12532731" w:history="1">
            <w:r w:rsidR="00DF65F3" w:rsidRPr="004815D6">
              <w:rPr>
                <w:rStyle w:val="Hipercze"/>
              </w:rPr>
              <w:t>GM1 ADR.OR.D.015(d);(e)     Wymagania dotyczące personelu</w:t>
            </w:r>
            <w:r w:rsidR="00DF65F3">
              <w:rPr>
                <w:webHidden/>
              </w:rPr>
              <w:tab/>
            </w:r>
            <w:r w:rsidR="00DF65F3">
              <w:rPr>
                <w:webHidden/>
              </w:rPr>
              <w:fldChar w:fldCharType="begin"/>
            </w:r>
            <w:r w:rsidR="00DF65F3">
              <w:rPr>
                <w:webHidden/>
              </w:rPr>
              <w:instrText xml:space="preserve"> PAGEREF _Toc12532731 \h </w:instrText>
            </w:r>
            <w:r w:rsidR="00DF65F3">
              <w:rPr>
                <w:webHidden/>
              </w:rPr>
            </w:r>
            <w:r w:rsidR="00DF65F3">
              <w:rPr>
                <w:webHidden/>
              </w:rPr>
              <w:fldChar w:fldCharType="separate"/>
            </w:r>
            <w:r w:rsidR="00F755B7">
              <w:rPr>
                <w:webHidden/>
              </w:rPr>
              <w:t>135</w:t>
            </w:r>
            <w:r w:rsidR="00DF65F3">
              <w:rPr>
                <w:webHidden/>
              </w:rPr>
              <w:fldChar w:fldCharType="end"/>
            </w:r>
          </w:hyperlink>
        </w:p>
        <w:p w14:paraId="5D8C4907" w14:textId="4AFDD2B2" w:rsidR="00DF65F3" w:rsidRDefault="00870777">
          <w:pPr>
            <w:pStyle w:val="Spistreci3"/>
            <w:rPr>
              <w:rFonts w:asciiTheme="minorHAnsi" w:eastAsiaTheme="minorEastAsia" w:hAnsiTheme="minorHAnsi" w:cstheme="minorBidi"/>
              <w:sz w:val="22"/>
              <w:lang w:val="en-GB" w:eastAsia="en-GB"/>
            </w:rPr>
          </w:pPr>
          <w:hyperlink w:anchor="_Toc12532732" w:history="1">
            <w:r w:rsidR="00DF65F3" w:rsidRPr="004815D6">
              <w:rPr>
                <w:rStyle w:val="Hipercze"/>
              </w:rPr>
              <w:t>ADR.OR.D.017     Programy szkolenia i sprawdziany umiejętności</w:t>
            </w:r>
            <w:r w:rsidR="00DF65F3">
              <w:rPr>
                <w:webHidden/>
              </w:rPr>
              <w:tab/>
            </w:r>
            <w:r w:rsidR="00DF65F3">
              <w:rPr>
                <w:webHidden/>
              </w:rPr>
              <w:fldChar w:fldCharType="begin"/>
            </w:r>
            <w:r w:rsidR="00DF65F3">
              <w:rPr>
                <w:webHidden/>
              </w:rPr>
              <w:instrText xml:space="preserve"> PAGEREF _Toc12532732 \h </w:instrText>
            </w:r>
            <w:r w:rsidR="00DF65F3">
              <w:rPr>
                <w:webHidden/>
              </w:rPr>
            </w:r>
            <w:r w:rsidR="00DF65F3">
              <w:rPr>
                <w:webHidden/>
              </w:rPr>
              <w:fldChar w:fldCharType="separate"/>
            </w:r>
            <w:r w:rsidR="00F755B7">
              <w:rPr>
                <w:webHidden/>
              </w:rPr>
              <w:t>135</w:t>
            </w:r>
            <w:r w:rsidR="00DF65F3">
              <w:rPr>
                <w:webHidden/>
              </w:rPr>
              <w:fldChar w:fldCharType="end"/>
            </w:r>
          </w:hyperlink>
        </w:p>
        <w:p w14:paraId="69DA78B8" w14:textId="4CA4D4A7" w:rsidR="00DF65F3" w:rsidRDefault="00870777">
          <w:pPr>
            <w:pStyle w:val="Spistreci5"/>
            <w:rPr>
              <w:sz w:val="22"/>
              <w:lang w:val="en-GB" w:eastAsia="en-GB"/>
            </w:rPr>
          </w:pPr>
          <w:hyperlink w:anchor="_Toc12532733" w:history="1">
            <w:r w:rsidR="00DF65F3" w:rsidRPr="004815D6">
              <w:rPr>
                <w:rStyle w:val="Hipercze"/>
              </w:rPr>
              <w:t>AMC1 ADR.OR.D.017(a);(b)     Programy szkolenia i sprawdziany umiejętności</w:t>
            </w:r>
            <w:r w:rsidR="00DF65F3">
              <w:rPr>
                <w:webHidden/>
              </w:rPr>
              <w:tab/>
            </w:r>
            <w:r w:rsidR="00DF65F3">
              <w:rPr>
                <w:webHidden/>
              </w:rPr>
              <w:fldChar w:fldCharType="begin"/>
            </w:r>
            <w:r w:rsidR="00DF65F3">
              <w:rPr>
                <w:webHidden/>
              </w:rPr>
              <w:instrText xml:space="preserve"> PAGEREF _Toc12532733 \h </w:instrText>
            </w:r>
            <w:r w:rsidR="00DF65F3">
              <w:rPr>
                <w:webHidden/>
              </w:rPr>
            </w:r>
            <w:r w:rsidR="00DF65F3">
              <w:rPr>
                <w:webHidden/>
              </w:rPr>
              <w:fldChar w:fldCharType="separate"/>
            </w:r>
            <w:r w:rsidR="00F755B7">
              <w:rPr>
                <w:webHidden/>
              </w:rPr>
              <w:t>136</w:t>
            </w:r>
            <w:r w:rsidR="00DF65F3">
              <w:rPr>
                <w:webHidden/>
              </w:rPr>
              <w:fldChar w:fldCharType="end"/>
            </w:r>
          </w:hyperlink>
        </w:p>
        <w:p w14:paraId="7D560940" w14:textId="202B2B3F" w:rsidR="00DF65F3" w:rsidRDefault="00870777">
          <w:pPr>
            <w:pStyle w:val="Spistreci5"/>
            <w:rPr>
              <w:sz w:val="22"/>
              <w:lang w:val="en-GB" w:eastAsia="en-GB"/>
            </w:rPr>
          </w:pPr>
          <w:hyperlink w:anchor="_Toc12532734" w:history="1">
            <w:r w:rsidR="00DF65F3" w:rsidRPr="004815D6">
              <w:rPr>
                <w:rStyle w:val="Hipercze"/>
              </w:rPr>
              <w:t>AMC2 ADR.OR.D.017(a);(b)     Programy szkolenia i sprawdziany umiejętności</w:t>
            </w:r>
            <w:r w:rsidR="00DF65F3">
              <w:rPr>
                <w:webHidden/>
              </w:rPr>
              <w:tab/>
            </w:r>
            <w:r w:rsidR="00DF65F3">
              <w:rPr>
                <w:webHidden/>
              </w:rPr>
              <w:fldChar w:fldCharType="begin"/>
            </w:r>
            <w:r w:rsidR="00DF65F3">
              <w:rPr>
                <w:webHidden/>
              </w:rPr>
              <w:instrText xml:space="preserve"> PAGEREF _Toc12532734 \h </w:instrText>
            </w:r>
            <w:r w:rsidR="00DF65F3">
              <w:rPr>
                <w:webHidden/>
              </w:rPr>
            </w:r>
            <w:r w:rsidR="00DF65F3">
              <w:rPr>
                <w:webHidden/>
              </w:rPr>
              <w:fldChar w:fldCharType="separate"/>
            </w:r>
            <w:r w:rsidR="00F755B7">
              <w:rPr>
                <w:webHidden/>
              </w:rPr>
              <w:t>137</w:t>
            </w:r>
            <w:r w:rsidR="00DF65F3">
              <w:rPr>
                <w:webHidden/>
              </w:rPr>
              <w:fldChar w:fldCharType="end"/>
            </w:r>
          </w:hyperlink>
        </w:p>
        <w:p w14:paraId="68ADD75B" w14:textId="747A31EA" w:rsidR="00DF65F3" w:rsidRDefault="00870777">
          <w:pPr>
            <w:pStyle w:val="Spistreci5"/>
            <w:rPr>
              <w:sz w:val="22"/>
              <w:lang w:val="en-GB" w:eastAsia="en-GB"/>
            </w:rPr>
          </w:pPr>
          <w:hyperlink w:anchor="_Toc12532735" w:history="1">
            <w:r w:rsidR="00DF65F3" w:rsidRPr="004815D6">
              <w:rPr>
                <w:rStyle w:val="Hipercze"/>
              </w:rPr>
              <w:t>AMC3 ADR.OR.D.017(a);(b)     Programy szkolenia i sprawdziany umiejętności</w:t>
            </w:r>
            <w:r w:rsidR="00DF65F3">
              <w:rPr>
                <w:webHidden/>
              </w:rPr>
              <w:tab/>
            </w:r>
            <w:r w:rsidR="00DF65F3">
              <w:rPr>
                <w:webHidden/>
              </w:rPr>
              <w:fldChar w:fldCharType="begin"/>
            </w:r>
            <w:r w:rsidR="00DF65F3">
              <w:rPr>
                <w:webHidden/>
              </w:rPr>
              <w:instrText xml:space="preserve"> PAGEREF _Toc12532735 \h </w:instrText>
            </w:r>
            <w:r w:rsidR="00DF65F3">
              <w:rPr>
                <w:webHidden/>
              </w:rPr>
            </w:r>
            <w:r w:rsidR="00DF65F3">
              <w:rPr>
                <w:webHidden/>
              </w:rPr>
              <w:fldChar w:fldCharType="separate"/>
            </w:r>
            <w:r w:rsidR="00F755B7">
              <w:rPr>
                <w:webHidden/>
              </w:rPr>
              <w:t>137</w:t>
            </w:r>
            <w:r w:rsidR="00DF65F3">
              <w:rPr>
                <w:webHidden/>
              </w:rPr>
              <w:fldChar w:fldCharType="end"/>
            </w:r>
          </w:hyperlink>
        </w:p>
        <w:p w14:paraId="702BA8AE" w14:textId="570C10EA" w:rsidR="00DF65F3" w:rsidRDefault="00870777">
          <w:pPr>
            <w:pStyle w:val="Spistreci6"/>
            <w:rPr>
              <w:sz w:val="22"/>
              <w:lang w:val="en-GB" w:eastAsia="en-GB"/>
            </w:rPr>
          </w:pPr>
          <w:hyperlink w:anchor="_Toc12532736" w:history="1">
            <w:r w:rsidR="00DF65F3" w:rsidRPr="004815D6">
              <w:rPr>
                <w:rStyle w:val="Hipercze"/>
              </w:rPr>
              <w:t>GM1 ADR.OR.D.017(a);(b)     Programy szkolenia i sprawdziany umiejętności</w:t>
            </w:r>
            <w:r w:rsidR="00DF65F3">
              <w:rPr>
                <w:webHidden/>
              </w:rPr>
              <w:tab/>
            </w:r>
            <w:r w:rsidR="00DF65F3">
              <w:rPr>
                <w:webHidden/>
              </w:rPr>
              <w:fldChar w:fldCharType="begin"/>
            </w:r>
            <w:r w:rsidR="00DF65F3">
              <w:rPr>
                <w:webHidden/>
              </w:rPr>
              <w:instrText xml:space="preserve"> PAGEREF _Toc12532736 \h </w:instrText>
            </w:r>
            <w:r w:rsidR="00DF65F3">
              <w:rPr>
                <w:webHidden/>
              </w:rPr>
            </w:r>
            <w:r w:rsidR="00DF65F3">
              <w:rPr>
                <w:webHidden/>
              </w:rPr>
              <w:fldChar w:fldCharType="separate"/>
            </w:r>
            <w:r w:rsidR="00F755B7">
              <w:rPr>
                <w:webHidden/>
              </w:rPr>
              <w:t>137</w:t>
            </w:r>
            <w:r w:rsidR="00DF65F3">
              <w:rPr>
                <w:webHidden/>
              </w:rPr>
              <w:fldChar w:fldCharType="end"/>
            </w:r>
          </w:hyperlink>
        </w:p>
        <w:p w14:paraId="55F30742" w14:textId="4B3D6A1D" w:rsidR="00DF65F3" w:rsidRDefault="00870777">
          <w:pPr>
            <w:pStyle w:val="Spistreci6"/>
            <w:rPr>
              <w:sz w:val="22"/>
              <w:lang w:val="en-GB" w:eastAsia="en-GB"/>
            </w:rPr>
          </w:pPr>
          <w:hyperlink w:anchor="_Toc12532737" w:history="1">
            <w:r w:rsidR="00DF65F3" w:rsidRPr="004815D6">
              <w:rPr>
                <w:rStyle w:val="Hipercze"/>
              </w:rPr>
              <w:t>GM2 ADR.OR.D.017(a);(b)     Programy szkolenia i sprawdziany umiejętności</w:t>
            </w:r>
            <w:r w:rsidR="00DF65F3">
              <w:rPr>
                <w:webHidden/>
              </w:rPr>
              <w:tab/>
            </w:r>
            <w:r w:rsidR="00DF65F3">
              <w:rPr>
                <w:webHidden/>
              </w:rPr>
              <w:fldChar w:fldCharType="begin"/>
            </w:r>
            <w:r w:rsidR="00DF65F3">
              <w:rPr>
                <w:webHidden/>
              </w:rPr>
              <w:instrText xml:space="preserve"> PAGEREF _Toc12532737 \h </w:instrText>
            </w:r>
            <w:r w:rsidR="00DF65F3">
              <w:rPr>
                <w:webHidden/>
              </w:rPr>
            </w:r>
            <w:r w:rsidR="00DF65F3">
              <w:rPr>
                <w:webHidden/>
              </w:rPr>
              <w:fldChar w:fldCharType="separate"/>
            </w:r>
            <w:r w:rsidR="00F755B7">
              <w:rPr>
                <w:webHidden/>
              </w:rPr>
              <w:t>138</w:t>
            </w:r>
            <w:r w:rsidR="00DF65F3">
              <w:rPr>
                <w:webHidden/>
              </w:rPr>
              <w:fldChar w:fldCharType="end"/>
            </w:r>
          </w:hyperlink>
        </w:p>
        <w:p w14:paraId="676A461E" w14:textId="7CC8097C" w:rsidR="00DF65F3" w:rsidRDefault="00870777">
          <w:pPr>
            <w:pStyle w:val="Spistreci6"/>
            <w:rPr>
              <w:sz w:val="22"/>
              <w:lang w:val="en-GB" w:eastAsia="en-GB"/>
            </w:rPr>
          </w:pPr>
          <w:hyperlink w:anchor="_Toc12532738" w:history="1">
            <w:r w:rsidR="00DF65F3" w:rsidRPr="004815D6">
              <w:rPr>
                <w:rStyle w:val="Hipercze"/>
              </w:rPr>
              <w:t>GM1 ADR.OR.D.017(c)     Programy szkolenia i sprawdziany umiejętności</w:t>
            </w:r>
            <w:r w:rsidR="00DF65F3">
              <w:rPr>
                <w:webHidden/>
              </w:rPr>
              <w:tab/>
            </w:r>
            <w:r w:rsidR="00DF65F3">
              <w:rPr>
                <w:webHidden/>
              </w:rPr>
              <w:fldChar w:fldCharType="begin"/>
            </w:r>
            <w:r w:rsidR="00DF65F3">
              <w:rPr>
                <w:webHidden/>
              </w:rPr>
              <w:instrText xml:space="preserve"> PAGEREF _Toc12532738 \h </w:instrText>
            </w:r>
            <w:r w:rsidR="00DF65F3">
              <w:rPr>
                <w:webHidden/>
              </w:rPr>
            </w:r>
            <w:r w:rsidR="00DF65F3">
              <w:rPr>
                <w:webHidden/>
              </w:rPr>
              <w:fldChar w:fldCharType="separate"/>
            </w:r>
            <w:r w:rsidR="00F755B7">
              <w:rPr>
                <w:webHidden/>
              </w:rPr>
              <w:t>138</w:t>
            </w:r>
            <w:r w:rsidR="00DF65F3">
              <w:rPr>
                <w:webHidden/>
              </w:rPr>
              <w:fldChar w:fldCharType="end"/>
            </w:r>
          </w:hyperlink>
        </w:p>
        <w:p w14:paraId="7310D040" w14:textId="04BAB711" w:rsidR="00DF65F3" w:rsidRDefault="00870777">
          <w:pPr>
            <w:pStyle w:val="Spistreci6"/>
            <w:rPr>
              <w:sz w:val="22"/>
              <w:lang w:val="en-GB" w:eastAsia="en-GB"/>
            </w:rPr>
          </w:pPr>
          <w:hyperlink w:anchor="_Toc12532739" w:history="1">
            <w:r w:rsidR="00DF65F3" w:rsidRPr="004815D6">
              <w:rPr>
                <w:rStyle w:val="Hipercze"/>
              </w:rPr>
              <w:t>GM2 ADR.OR.D.017(c)     Programy szkolenia i sprawdziany umiejętności</w:t>
            </w:r>
            <w:r w:rsidR="00DF65F3">
              <w:rPr>
                <w:webHidden/>
              </w:rPr>
              <w:tab/>
            </w:r>
            <w:r w:rsidR="00DF65F3">
              <w:rPr>
                <w:webHidden/>
              </w:rPr>
              <w:fldChar w:fldCharType="begin"/>
            </w:r>
            <w:r w:rsidR="00DF65F3">
              <w:rPr>
                <w:webHidden/>
              </w:rPr>
              <w:instrText xml:space="preserve"> PAGEREF _Toc12532739 \h </w:instrText>
            </w:r>
            <w:r w:rsidR="00DF65F3">
              <w:rPr>
                <w:webHidden/>
              </w:rPr>
            </w:r>
            <w:r w:rsidR="00DF65F3">
              <w:rPr>
                <w:webHidden/>
              </w:rPr>
              <w:fldChar w:fldCharType="separate"/>
            </w:r>
            <w:r w:rsidR="00F755B7">
              <w:rPr>
                <w:webHidden/>
              </w:rPr>
              <w:t>139</w:t>
            </w:r>
            <w:r w:rsidR="00DF65F3">
              <w:rPr>
                <w:webHidden/>
              </w:rPr>
              <w:fldChar w:fldCharType="end"/>
            </w:r>
          </w:hyperlink>
        </w:p>
        <w:p w14:paraId="671221E8" w14:textId="4BDE08EB" w:rsidR="00DF65F3" w:rsidRDefault="00870777">
          <w:pPr>
            <w:pStyle w:val="Spistreci5"/>
            <w:rPr>
              <w:sz w:val="22"/>
              <w:lang w:val="en-GB" w:eastAsia="en-GB"/>
            </w:rPr>
          </w:pPr>
          <w:hyperlink w:anchor="_Toc12532740" w:history="1">
            <w:r w:rsidR="00DF65F3" w:rsidRPr="004815D6">
              <w:rPr>
                <w:rStyle w:val="Hipercze"/>
              </w:rPr>
              <w:t>AMC1 ADR.OR.D.017(d)     Programy szkolenia i sprawdziany umiejętności</w:t>
            </w:r>
            <w:r w:rsidR="00DF65F3">
              <w:rPr>
                <w:webHidden/>
              </w:rPr>
              <w:tab/>
            </w:r>
            <w:r w:rsidR="00DF65F3">
              <w:rPr>
                <w:webHidden/>
              </w:rPr>
              <w:fldChar w:fldCharType="begin"/>
            </w:r>
            <w:r w:rsidR="00DF65F3">
              <w:rPr>
                <w:webHidden/>
              </w:rPr>
              <w:instrText xml:space="preserve"> PAGEREF _Toc12532740 \h </w:instrText>
            </w:r>
            <w:r w:rsidR="00DF65F3">
              <w:rPr>
                <w:webHidden/>
              </w:rPr>
            </w:r>
            <w:r w:rsidR="00DF65F3">
              <w:rPr>
                <w:webHidden/>
              </w:rPr>
              <w:fldChar w:fldCharType="separate"/>
            </w:r>
            <w:r w:rsidR="00F755B7">
              <w:rPr>
                <w:webHidden/>
              </w:rPr>
              <w:t>139</w:t>
            </w:r>
            <w:r w:rsidR="00DF65F3">
              <w:rPr>
                <w:webHidden/>
              </w:rPr>
              <w:fldChar w:fldCharType="end"/>
            </w:r>
          </w:hyperlink>
        </w:p>
        <w:p w14:paraId="3DABA875" w14:textId="1230CB18" w:rsidR="00DF65F3" w:rsidRDefault="00870777">
          <w:pPr>
            <w:pStyle w:val="Spistreci5"/>
            <w:rPr>
              <w:sz w:val="22"/>
              <w:lang w:val="en-GB" w:eastAsia="en-GB"/>
            </w:rPr>
          </w:pPr>
          <w:hyperlink w:anchor="_Toc12532741" w:history="1">
            <w:r w:rsidR="00DF65F3" w:rsidRPr="004815D6">
              <w:rPr>
                <w:rStyle w:val="Hipercze"/>
              </w:rPr>
              <w:t>AMC1 ADR.OR.D.017(e)     Programy szkolenia i sprawdziany umiejętności</w:t>
            </w:r>
            <w:r w:rsidR="00DF65F3">
              <w:rPr>
                <w:webHidden/>
              </w:rPr>
              <w:tab/>
            </w:r>
            <w:r w:rsidR="00DF65F3">
              <w:rPr>
                <w:webHidden/>
              </w:rPr>
              <w:fldChar w:fldCharType="begin"/>
            </w:r>
            <w:r w:rsidR="00DF65F3">
              <w:rPr>
                <w:webHidden/>
              </w:rPr>
              <w:instrText xml:space="preserve"> PAGEREF _Toc12532741 \h </w:instrText>
            </w:r>
            <w:r w:rsidR="00DF65F3">
              <w:rPr>
                <w:webHidden/>
              </w:rPr>
            </w:r>
            <w:r w:rsidR="00DF65F3">
              <w:rPr>
                <w:webHidden/>
              </w:rPr>
              <w:fldChar w:fldCharType="separate"/>
            </w:r>
            <w:r w:rsidR="00F755B7">
              <w:rPr>
                <w:webHidden/>
              </w:rPr>
              <w:t>140</w:t>
            </w:r>
            <w:r w:rsidR="00DF65F3">
              <w:rPr>
                <w:webHidden/>
              </w:rPr>
              <w:fldChar w:fldCharType="end"/>
            </w:r>
          </w:hyperlink>
        </w:p>
        <w:p w14:paraId="7D6A6EE9" w14:textId="220B4595" w:rsidR="00DF65F3" w:rsidRDefault="00870777">
          <w:pPr>
            <w:pStyle w:val="Spistreci6"/>
            <w:rPr>
              <w:sz w:val="22"/>
              <w:lang w:val="en-GB" w:eastAsia="en-GB"/>
            </w:rPr>
          </w:pPr>
          <w:hyperlink w:anchor="_Toc12532742" w:history="1">
            <w:r w:rsidR="00DF65F3" w:rsidRPr="004815D6">
              <w:rPr>
                <w:rStyle w:val="Hipercze"/>
              </w:rPr>
              <w:t>GM1 ADR.OR.D.017(e)     Programy szkolenia i sprawdziany umiejętności</w:t>
            </w:r>
            <w:r w:rsidR="00DF65F3">
              <w:rPr>
                <w:webHidden/>
              </w:rPr>
              <w:tab/>
            </w:r>
            <w:r w:rsidR="00DF65F3">
              <w:rPr>
                <w:webHidden/>
              </w:rPr>
              <w:fldChar w:fldCharType="begin"/>
            </w:r>
            <w:r w:rsidR="00DF65F3">
              <w:rPr>
                <w:webHidden/>
              </w:rPr>
              <w:instrText xml:space="preserve"> PAGEREF _Toc12532742 \h </w:instrText>
            </w:r>
            <w:r w:rsidR="00DF65F3">
              <w:rPr>
                <w:webHidden/>
              </w:rPr>
            </w:r>
            <w:r w:rsidR="00DF65F3">
              <w:rPr>
                <w:webHidden/>
              </w:rPr>
              <w:fldChar w:fldCharType="separate"/>
            </w:r>
            <w:r w:rsidR="00F755B7">
              <w:rPr>
                <w:webHidden/>
              </w:rPr>
              <w:t>140</w:t>
            </w:r>
            <w:r w:rsidR="00DF65F3">
              <w:rPr>
                <w:webHidden/>
              </w:rPr>
              <w:fldChar w:fldCharType="end"/>
            </w:r>
          </w:hyperlink>
        </w:p>
        <w:p w14:paraId="772DDBC0" w14:textId="35D95421" w:rsidR="00DF65F3" w:rsidRDefault="00870777">
          <w:pPr>
            <w:pStyle w:val="Spistreci6"/>
            <w:rPr>
              <w:sz w:val="22"/>
              <w:lang w:val="en-GB" w:eastAsia="en-GB"/>
            </w:rPr>
          </w:pPr>
          <w:hyperlink w:anchor="_Toc12532743" w:history="1">
            <w:r w:rsidR="00DF65F3" w:rsidRPr="004815D6">
              <w:rPr>
                <w:rStyle w:val="Hipercze"/>
              </w:rPr>
              <w:t>GM2 ADR.OR.D.017(e)     Programy szkolenia i sprawdziany umiejętności</w:t>
            </w:r>
            <w:r w:rsidR="00DF65F3">
              <w:rPr>
                <w:webHidden/>
              </w:rPr>
              <w:tab/>
            </w:r>
            <w:r w:rsidR="00DF65F3">
              <w:rPr>
                <w:webHidden/>
              </w:rPr>
              <w:fldChar w:fldCharType="begin"/>
            </w:r>
            <w:r w:rsidR="00DF65F3">
              <w:rPr>
                <w:webHidden/>
              </w:rPr>
              <w:instrText xml:space="preserve"> PAGEREF _Toc12532743 \h </w:instrText>
            </w:r>
            <w:r w:rsidR="00DF65F3">
              <w:rPr>
                <w:webHidden/>
              </w:rPr>
            </w:r>
            <w:r w:rsidR="00DF65F3">
              <w:rPr>
                <w:webHidden/>
              </w:rPr>
              <w:fldChar w:fldCharType="separate"/>
            </w:r>
            <w:r w:rsidR="00F755B7">
              <w:rPr>
                <w:webHidden/>
              </w:rPr>
              <w:t>141</w:t>
            </w:r>
            <w:r w:rsidR="00DF65F3">
              <w:rPr>
                <w:webHidden/>
              </w:rPr>
              <w:fldChar w:fldCharType="end"/>
            </w:r>
          </w:hyperlink>
        </w:p>
        <w:p w14:paraId="35543F60" w14:textId="7CD0B9A6" w:rsidR="00DF65F3" w:rsidRDefault="00870777">
          <w:pPr>
            <w:pStyle w:val="Spistreci3"/>
            <w:rPr>
              <w:rFonts w:asciiTheme="minorHAnsi" w:eastAsiaTheme="minorEastAsia" w:hAnsiTheme="minorHAnsi" w:cstheme="minorBidi"/>
              <w:sz w:val="22"/>
              <w:lang w:val="en-GB" w:eastAsia="en-GB"/>
            </w:rPr>
          </w:pPr>
          <w:hyperlink w:anchor="_Toc12532744" w:history="1">
            <w:r w:rsidR="00DF65F3" w:rsidRPr="004815D6">
              <w:rPr>
                <w:rStyle w:val="Hipercze"/>
              </w:rPr>
              <w:t>ADR.OR.D.020     Wymagania dotyczące zaplecza</w:t>
            </w:r>
            <w:r w:rsidR="00DF65F3">
              <w:rPr>
                <w:webHidden/>
              </w:rPr>
              <w:tab/>
            </w:r>
            <w:r w:rsidR="00DF65F3">
              <w:rPr>
                <w:webHidden/>
              </w:rPr>
              <w:fldChar w:fldCharType="begin"/>
            </w:r>
            <w:r w:rsidR="00DF65F3">
              <w:rPr>
                <w:webHidden/>
              </w:rPr>
              <w:instrText xml:space="preserve"> PAGEREF _Toc12532744 \h </w:instrText>
            </w:r>
            <w:r w:rsidR="00DF65F3">
              <w:rPr>
                <w:webHidden/>
              </w:rPr>
            </w:r>
            <w:r w:rsidR="00DF65F3">
              <w:rPr>
                <w:webHidden/>
              </w:rPr>
              <w:fldChar w:fldCharType="separate"/>
            </w:r>
            <w:r w:rsidR="00F755B7">
              <w:rPr>
                <w:webHidden/>
              </w:rPr>
              <w:t>141</w:t>
            </w:r>
            <w:r w:rsidR="00DF65F3">
              <w:rPr>
                <w:webHidden/>
              </w:rPr>
              <w:fldChar w:fldCharType="end"/>
            </w:r>
          </w:hyperlink>
        </w:p>
        <w:p w14:paraId="7C100BA1" w14:textId="34B603B3" w:rsidR="00DF65F3" w:rsidRDefault="00870777">
          <w:pPr>
            <w:pStyle w:val="Spistreci6"/>
            <w:rPr>
              <w:sz w:val="22"/>
              <w:lang w:val="en-GB" w:eastAsia="en-GB"/>
            </w:rPr>
          </w:pPr>
          <w:hyperlink w:anchor="_Toc12532745" w:history="1">
            <w:r w:rsidR="00DF65F3" w:rsidRPr="004815D6">
              <w:rPr>
                <w:rStyle w:val="Hipercze"/>
              </w:rPr>
              <w:t>GM1 ADR.OR.D.020(a)     Wymagania dotyczące zaplecza</w:t>
            </w:r>
            <w:r w:rsidR="00DF65F3">
              <w:rPr>
                <w:webHidden/>
              </w:rPr>
              <w:tab/>
            </w:r>
            <w:r w:rsidR="00DF65F3">
              <w:rPr>
                <w:webHidden/>
              </w:rPr>
              <w:fldChar w:fldCharType="begin"/>
            </w:r>
            <w:r w:rsidR="00DF65F3">
              <w:rPr>
                <w:webHidden/>
              </w:rPr>
              <w:instrText xml:space="preserve"> PAGEREF _Toc12532745 \h </w:instrText>
            </w:r>
            <w:r w:rsidR="00DF65F3">
              <w:rPr>
                <w:webHidden/>
              </w:rPr>
            </w:r>
            <w:r w:rsidR="00DF65F3">
              <w:rPr>
                <w:webHidden/>
              </w:rPr>
              <w:fldChar w:fldCharType="separate"/>
            </w:r>
            <w:r w:rsidR="00F755B7">
              <w:rPr>
                <w:webHidden/>
              </w:rPr>
              <w:t>141</w:t>
            </w:r>
            <w:r w:rsidR="00DF65F3">
              <w:rPr>
                <w:webHidden/>
              </w:rPr>
              <w:fldChar w:fldCharType="end"/>
            </w:r>
          </w:hyperlink>
        </w:p>
        <w:p w14:paraId="0E9B23D1" w14:textId="5D80DED6" w:rsidR="00DF65F3" w:rsidRDefault="00870777">
          <w:pPr>
            <w:pStyle w:val="Spistreci5"/>
            <w:rPr>
              <w:sz w:val="22"/>
              <w:lang w:val="en-GB" w:eastAsia="en-GB"/>
            </w:rPr>
          </w:pPr>
          <w:hyperlink w:anchor="_Toc12532746" w:history="1">
            <w:r w:rsidR="00DF65F3" w:rsidRPr="004815D6">
              <w:rPr>
                <w:rStyle w:val="Hipercze"/>
              </w:rPr>
              <w:t>AMC1 ADR.OR.D.020(b)     Wymagania dotyczące zaplecza</w:t>
            </w:r>
            <w:r w:rsidR="00DF65F3">
              <w:rPr>
                <w:webHidden/>
              </w:rPr>
              <w:tab/>
            </w:r>
            <w:r w:rsidR="00DF65F3">
              <w:rPr>
                <w:webHidden/>
              </w:rPr>
              <w:fldChar w:fldCharType="begin"/>
            </w:r>
            <w:r w:rsidR="00DF65F3">
              <w:rPr>
                <w:webHidden/>
              </w:rPr>
              <w:instrText xml:space="preserve"> PAGEREF _Toc12532746 \h </w:instrText>
            </w:r>
            <w:r w:rsidR="00DF65F3">
              <w:rPr>
                <w:webHidden/>
              </w:rPr>
            </w:r>
            <w:r w:rsidR="00DF65F3">
              <w:rPr>
                <w:webHidden/>
              </w:rPr>
              <w:fldChar w:fldCharType="separate"/>
            </w:r>
            <w:r w:rsidR="00F755B7">
              <w:rPr>
                <w:webHidden/>
              </w:rPr>
              <w:t>142</w:t>
            </w:r>
            <w:r w:rsidR="00DF65F3">
              <w:rPr>
                <w:webHidden/>
              </w:rPr>
              <w:fldChar w:fldCharType="end"/>
            </w:r>
          </w:hyperlink>
        </w:p>
        <w:p w14:paraId="70B9B402" w14:textId="552B95A5" w:rsidR="00DF65F3" w:rsidRDefault="00870777">
          <w:pPr>
            <w:pStyle w:val="Spistreci3"/>
            <w:rPr>
              <w:rFonts w:asciiTheme="minorHAnsi" w:eastAsiaTheme="minorEastAsia" w:hAnsiTheme="minorHAnsi" w:cstheme="minorBidi"/>
              <w:sz w:val="22"/>
              <w:lang w:val="en-GB" w:eastAsia="en-GB"/>
            </w:rPr>
          </w:pPr>
          <w:hyperlink w:anchor="_Toc12532747" w:history="1">
            <w:r w:rsidR="00DF65F3" w:rsidRPr="004815D6">
              <w:rPr>
                <w:rStyle w:val="Hipercze"/>
              </w:rPr>
              <w:t>ADR.OR.D.025     Koordynacja działań z innymi organizacjami</w:t>
            </w:r>
            <w:r w:rsidR="00DF65F3">
              <w:rPr>
                <w:webHidden/>
              </w:rPr>
              <w:tab/>
            </w:r>
            <w:r w:rsidR="00DF65F3">
              <w:rPr>
                <w:webHidden/>
              </w:rPr>
              <w:fldChar w:fldCharType="begin"/>
            </w:r>
            <w:r w:rsidR="00DF65F3">
              <w:rPr>
                <w:webHidden/>
              </w:rPr>
              <w:instrText xml:space="preserve"> PAGEREF _Toc12532747 \h </w:instrText>
            </w:r>
            <w:r w:rsidR="00DF65F3">
              <w:rPr>
                <w:webHidden/>
              </w:rPr>
            </w:r>
            <w:r w:rsidR="00DF65F3">
              <w:rPr>
                <w:webHidden/>
              </w:rPr>
              <w:fldChar w:fldCharType="separate"/>
            </w:r>
            <w:r w:rsidR="00F755B7">
              <w:rPr>
                <w:webHidden/>
              </w:rPr>
              <w:t>142</w:t>
            </w:r>
            <w:r w:rsidR="00DF65F3">
              <w:rPr>
                <w:webHidden/>
              </w:rPr>
              <w:fldChar w:fldCharType="end"/>
            </w:r>
          </w:hyperlink>
        </w:p>
        <w:p w14:paraId="1F3B9B94" w14:textId="44E1970D" w:rsidR="00DF65F3" w:rsidRDefault="00870777">
          <w:pPr>
            <w:pStyle w:val="Spistreci6"/>
            <w:rPr>
              <w:sz w:val="22"/>
              <w:lang w:val="en-GB" w:eastAsia="en-GB"/>
            </w:rPr>
          </w:pPr>
          <w:hyperlink w:anchor="_Toc12532748" w:history="1">
            <w:r w:rsidR="00DF65F3" w:rsidRPr="004815D6">
              <w:rPr>
                <w:rStyle w:val="Hipercze"/>
              </w:rPr>
              <w:t>GM1 ADR.OR.D.025     Koordynacja działań z innymi organizacjami</w:t>
            </w:r>
            <w:r w:rsidR="00DF65F3">
              <w:rPr>
                <w:webHidden/>
              </w:rPr>
              <w:tab/>
            </w:r>
            <w:r w:rsidR="00DF65F3">
              <w:rPr>
                <w:webHidden/>
              </w:rPr>
              <w:fldChar w:fldCharType="begin"/>
            </w:r>
            <w:r w:rsidR="00DF65F3">
              <w:rPr>
                <w:webHidden/>
              </w:rPr>
              <w:instrText xml:space="preserve"> PAGEREF _Toc12532748 \h </w:instrText>
            </w:r>
            <w:r w:rsidR="00DF65F3">
              <w:rPr>
                <w:webHidden/>
              </w:rPr>
            </w:r>
            <w:r w:rsidR="00DF65F3">
              <w:rPr>
                <w:webHidden/>
              </w:rPr>
              <w:fldChar w:fldCharType="separate"/>
            </w:r>
            <w:r w:rsidR="00F755B7">
              <w:rPr>
                <w:webHidden/>
              </w:rPr>
              <w:t>142</w:t>
            </w:r>
            <w:r w:rsidR="00DF65F3">
              <w:rPr>
                <w:webHidden/>
              </w:rPr>
              <w:fldChar w:fldCharType="end"/>
            </w:r>
          </w:hyperlink>
        </w:p>
        <w:p w14:paraId="4CCC3124" w14:textId="6A656801" w:rsidR="00DF65F3" w:rsidRDefault="00870777">
          <w:pPr>
            <w:pStyle w:val="Spistreci6"/>
            <w:rPr>
              <w:sz w:val="22"/>
              <w:lang w:val="en-GB" w:eastAsia="en-GB"/>
            </w:rPr>
          </w:pPr>
          <w:hyperlink w:anchor="_Toc12532749" w:history="1">
            <w:r w:rsidR="00DF65F3" w:rsidRPr="004815D6">
              <w:rPr>
                <w:rStyle w:val="Hipercze"/>
              </w:rPr>
              <w:t>GM2 ADR.OR.D.025     Koordynacja działań z innymi organizacjami</w:t>
            </w:r>
            <w:r w:rsidR="00DF65F3">
              <w:rPr>
                <w:webHidden/>
              </w:rPr>
              <w:tab/>
            </w:r>
            <w:r w:rsidR="00DF65F3">
              <w:rPr>
                <w:webHidden/>
              </w:rPr>
              <w:fldChar w:fldCharType="begin"/>
            </w:r>
            <w:r w:rsidR="00DF65F3">
              <w:rPr>
                <w:webHidden/>
              </w:rPr>
              <w:instrText xml:space="preserve"> PAGEREF _Toc12532749 \h </w:instrText>
            </w:r>
            <w:r w:rsidR="00DF65F3">
              <w:rPr>
                <w:webHidden/>
              </w:rPr>
            </w:r>
            <w:r w:rsidR="00DF65F3">
              <w:rPr>
                <w:webHidden/>
              </w:rPr>
              <w:fldChar w:fldCharType="separate"/>
            </w:r>
            <w:r w:rsidR="00F755B7">
              <w:rPr>
                <w:webHidden/>
              </w:rPr>
              <w:t>142</w:t>
            </w:r>
            <w:r w:rsidR="00DF65F3">
              <w:rPr>
                <w:webHidden/>
              </w:rPr>
              <w:fldChar w:fldCharType="end"/>
            </w:r>
          </w:hyperlink>
        </w:p>
        <w:p w14:paraId="50860AA5" w14:textId="5CD53D52" w:rsidR="00DF65F3" w:rsidRDefault="00870777">
          <w:pPr>
            <w:pStyle w:val="Spistreci3"/>
            <w:rPr>
              <w:rFonts w:asciiTheme="minorHAnsi" w:eastAsiaTheme="minorEastAsia" w:hAnsiTheme="minorHAnsi" w:cstheme="minorBidi"/>
              <w:sz w:val="22"/>
              <w:lang w:val="en-GB" w:eastAsia="en-GB"/>
            </w:rPr>
          </w:pPr>
          <w:hyperlink w:anchor="_Toc12532750" w:history="1">
            <w:r w:rsidR="00DF65F3" w:rsidRPr="004815D6">
              <w:rPr>
                <w:rStyle w:val="Hipercze"/>
              </w:rPr>
              <w:t>ADR.OR.D.027     Programy bezpieczeństwa</w:t>
            </w:r>
            <w:r w:rsidR="00DF65F3">
              <w:rPr>
                <w:webHidden/>
              </w:rPr>
              <w:tab/>
            </w:r>
            <w:r w:rsidR="00DF65F3">
              <w:rPr>
                <w:webHidden/>
              </w:rPr>
              <w:fldChar w:fldCharType="begin"/>
            </w:r>
            <w:r w:rsidR="00DF65F3">
              <w:rPr>
                <w:webHidden/>
              </w:rPr>
              <w:instrText xml:space="preserve"> PAGEREF _Toc12532750 \h </w:instrText>
            </w:r>
            <w:r w:rsidR="00DF65F3">
              <w:rPr>
                <w:webHidden/>
              </w:rPr>
            </w:r>
            <w:r w:rsidR="00DF65F3">
              <w:rPr>
                <w:webHidden/>
              </w:rPr>
              <w:fldChar w:fldCharType="separate"/>
            </w:r>
            <w:r w:rsidR="00F755B7">
              <w:rPr>
                <w:webHidden/>
              </w:rPr>
              <w:t>142</w:t>
            </w:r>
            <w:r w:rsidR="00DF65F3">
              <w:rPr>
                <w:webHidden/>
              </w:rPr>
              <w:fldChar w:fldCharType="end"/>
            </w:r>
          </w:hyperlink>
        </w:p>
        <w:p w14:paraId="41532A3E" w14:textId="02C64FFA" w:rsidR="00DF65F3" w:rsidRDefault="00870777">
          <w:pPr>
            <w:pStyle w:val="Spistreci5"/>
            <w:rPr>
              <w:sz w:val="22"/>
              <w:lang w:val="en-GB" w:eastAsia="en-GB"/>
            </w:rPr>
          </w:pPr>
          <w:hyperlink w:anchor="_Toc12532751" w:history="1">
            <w:r w:rsidR="00DF65F3" w:rsidRPr="004815D6">
              <w:rPr>
                <w:rStyle w:val="Hipercze"/>
              </w:rPr>
              <w:t>AMC1 ADR.OR.D.027     Programy bezpieczeństwa</w:t>
            </w:r>
            <w:r w:rsidR="00DF65F3">
              <w:rPr>
                <w:webHidden/>
              </w:rPr>
              <w:tab/>
            </w:r>
            <w:r w:rsidR="00DF65F3">
              <w:rPr>
                <w:webHidden/>
              </w:rPr>
              <w:fldChar w:fldCharType="begin"/>
            </w:r>
            <w:r w:rsidR="00DF65F3">
              <w:rPr>
                <w:webHidden/>
              </w:rPr>
              <w:instrText xml:space="preserve"> PAGEREF _Toc12532751 \h </w:instrText>
            </w:r>
            <w:r w:rsidR="00DF65F3">
              <w:rPr>
                <w:webHidden/>
              </w:rPr>
            </w:r>
            <w:r w:rsidR="00DF65F3">
              <w:rPr>
                <w:webHidden/>
              </w:rPr>
              <w:fldChar w:fldCharType="separate"/>
            </w:r>
            <w:r w:rsidR="00F755B7">
              <w:rPr>
                <w:webHidden/>
              </w:rPr>
              <w:t>143</w:t>
            </w:r>
            <w:r w:rsidR="00DF65F3">
              <w:rPr>
                <w:webHidden/>
              </w:rPr>
              <w:fldChar w:fldCharType="end"/>
            </w:r>
          </w:hyperlink>
        </w:p>
        <w:p w14:paraId="2E885F3F" w14:textId="72A91FE8" w:rsidR="00DF65F3" w:rsidRDefault="00870777">
          <w:pPr>
            <w:pStyle w:val="Spistreci6"/>
            <w:rPr>
              <w:sz w:val="22"/>
              <w:lang w:val="en-GB" w:eastAsia="en-GB"/>
            </w:rPr>
          </w:pPr>
          <w:hyperlink w:anchor="_Toc12532752" w:history="1">
            <w:r w:rsidR="00DF65F3" w:rsidRPr="004815D6">
              <w:rPr>
                <w:rStyle w:val="Hipercze"/>
              </w:rPr>
              <w:t>GM1 ADR.OR.D.027     Programy bezpieczeństwa</w:t>
            </w:r>
            <w:r w:rsidR="00DF65F3">
              <w:rPr>
                <w:webHidden/>
              </w:rPr>
              <w:tab/>
            </w:r>
            <w:r w:rsidR="00DF65F3">
              <w:rPr>
                <w:webHidden/>
              </w:rPr>
              <w:fldChar w:fldCharType="begin"/>
            </w:r>
            <w:r w:rsidR="00DF65F3">
              <w:rPr>
                <w:webHidden/>
              </w:rPr>
              <w:instrText xml:space="preserve"> PAGEREF _Toc12532752 \h </w:instrText>
            </w:r>
            <w:r w:rsidR="00DF65F3">
              <w:rPr>
                <w:webHidden/>
              </w:rPr>
            </w:r>
            <w:r w:rsidR="00DF65F3">
              <w:rPr>
                <w:webHidden/>
              </w:rPr>
              <w:fldChar w:fldCharType="separate"/>
            </w:r>
            <w:r w:rsidR="00F755B7">
              <w:rPr>
                <w:webHidden/>
              </w:rPr>
              <w:t>143</w:t>
            </w:r>
            <w:r w:rsidR="00DF65F3">
              <w:rPr>
                <w:webHidden/>
              </w:rPr>
              <w:fldChar w:fldCharType="end"/>
            </w:r>
          </w:hyperlink>
        </w:p>
        <w:p w14:paraId="40BABBBE" w14:textId="137795CE" w:rsidR="00DF65F3" w:rsidRDefault="00870777">
          <w:pPr>
            <w:pStyle w:val="Spistreci6"/>
            <w:rPr>
              <w:sz w:val="22"/>
              <w:lang w:val="en-GB" w:eastAsia="en-GB"/>
            </w:rPr>
          </w:pPr>
          <w:hyperlink w:anchor="_Toc12532753" w:history="1">
            <w:r w:rsidR="00DF65F3" w:rsidRPr="004815D6">
              <w:rPr>
                <w:rStyle w:val="Hipercze"/>
              </w:rPr>
              <w:t>GM2 ADR.OR.D.027     Programy bezpieczeństwa</w:t>
            </w:r>
            <w:r w:rsidR="00DF65F3">
              <w:rPr>
                <w:webHidden/>
              </w:rPr>
              <w:tab/>
            </w:r>
            <w:r w:rsidR="00DF65F3">
              <w:rPr>
                <w:webHidden/>
              </w:rPr>
              <w:fldChar w:fldCharType="begin"/>
            </w:r>
            <w:r w:rsidR="00DF65F3">
              <w:rPr>
                <w:webHidden/>
              </w:rPr>
              <w:instrText xml:space="preserve"> PAGEREF _Toc12532753 \h </w:instrText>
            </w:r>
            <w:r w:rsidR="00DF65F3">
              <w:rPr>
                <w:webHidden/>
              </w:rPr>
            </w:r>
            <w:r w:rsidR="00DF65F3">
              <w:rPr>
                <w:webHidden/>
              </w:rPr>
              <w:fldChar w:fldCharType="separate"/>
            </w:r>
            <w:r w:rsidR="00F755B7">
              <w:rPr>
                <w:webHidden/>
              </w:rPr>
              <w:t>145</w:t>
            </w:r>
            <w:r w:rsidR="00DF65F3">
              <w:rPr>
                <w:webHidden/>
              </w:rPr>
              <w:fldChar w:fldCharType="end"/>
            </w:r>
          </w:hyperlink>
        </w:p>
        <w:p w14:paraId="56C14947" w14:textId="2D83C0FD" w:rsidR="00DF65F3" w:rsidRDefault="00870777">
          <w:pPr>
            <w:pStyle w:val="Spistreci5"/>
            <w:rPr>
              <w:sz w:val="22"/>
              <w:lang w:val="en-GB" w:eastAsia="en-GB"/>
            </w:rPr>
          </w:pPr>
          <w:hyperlink w:anchor="_Toc12532754" w:history="1">
            <w:r w:rsidR="00DF65F3" w:rsidRPr="004815D6">
              <w:rPr>
                <w:rStyle w:val="Hipercze"/>
              </w:rPr>
              <w:t>AMC2 ADR.OR.D.027     Programy bezpieczeństwa</w:t>
            </w:r>
            <w:r w:rsidR="00DF65F3">
              <w:rPr>
                <w:webHidden/>
              </w:rPr>
              <w:tab/>
            </w:r>
            <w:r w:rsidR="00DF65F3">
              <w:rPr>
                <w:webHidden/>
              </w:rPr>
              <w:fldChar w:fldCharType="begin"/>
            </w:r>
            <w:r w:rsidR="00DF65F3">
              <w:rPr>
                <w:webHidden/>
              </w:rPr>
              <w:instrText xml:space="preserve"> PAGEREF _Toc12532754 \h </w:instrText>
            </w:r>
            <w:r w:rsidR="00DF65F3">
              <w:rPr>
                <w:webHidden/>
              </w:rPr>
            </w:r>
            <w:r w:rsidR="00DF65F3">
              <w:rPr>
                <w:webHidden/>
              </w:rPr>
              <w:fldChar w:fldCharType="separate"/>
            </w:r>
            <w:r w:rsidR="00F755B7">
              <w:rPr>
                <w:webHidden/>
              </w:rPr>
              <w:t>146</w:t>
            </w:r>
            <w:r w:rsidR="00DF65F3">
              <w:rPr>
                <w:webHidden/>
              </w:rPr>
              <w:fldChar w:fldCharType="end"/>
            </w:r>
          </w:hyperlink>
        </w:p>
        <w:p w14:paraId="50252027" w14:textId="42ECDA65" w:rsidR="00DF65F3" w:rsidRDefault="00870777">
          <w:pPr>
            <w:pStyle w:val="Spistreci6"/>
            <w:rPr>
              <w:sz w:val="22"/>
              <w:lang w:val="en-GB" w:eastAsia="en-GB"/>
            </w:rPr>
          </w:pPr>
          <w:hyperlink w:anchor="_Toc12532755" w:history="1">
            <w:r w:rsidR="00DF65F3" w:rsidRPr="004815D6">
              <w:rPr>
                <w:rStyle w:val="Hipercze"/>
              </w:rPr>
              <w:t>GM3 ADR.OR.D.027     Programy bezpieczeństwa</w:t>
            </w:r>
            <w:r w:rsidR="00DF65F3">
              <w:rPr>
                <w:webHidden/>
              </w:rPr>
              <w:tab/>
            </w:r>
            <w:r w:rsidR="00DF65F3">
              <w:rPr>
                <w:webHidden/>
              </w:rPr>
              <w:fldChar w:fldCharType="begin"/>
            </w:r>
            <w:r w:rsidR="00DF65F3">
              <w:rPr>
                <w:webHidden/>
              </w:rPr>
              <w:instrText xml:space="preserve"> PAGEREF _Toc12532755 \h </w:instrText>
            </w:r>
            <w:r w:rsidR="00DF65F3">
              <w:rPr>
                <w:webHidden/>
              </w:rPr>
            </w:r>
            <w:r w:rsidR="00DF65F3">
              <w:rPr>
                <w:webHidden/>
              </w:rPr>
              <w:fldChar w:fldCharType="separate"/>
            </w:r>
            <w:r w:rsidR="00F755B7">
              <w:rPr>
                <w:webHidden/>
              </w:rPr>
              <w:t>147</w:t>
            </w:r>
            <w:r w:rsidR="00DF65F3">
              <w:rPr>
                <w:webHidden/>
              </w:rPr>
              <w:fldChar w:fldCharType="end"/>
            </w:r>
          </w:hyperlink>
        </w:p>
        <w:p w14:paraId="3B4F5F92" w14:textId="27CE4969" w:rsidR="00DF65F3" w:rsidRDefault="00870777">
          <w:pPr>
            <w:pStyle w:val="Spistreci3"/>
            <w:rPr>
              <w:rFonts w:asciiTheme="minorHAnsi" w:eastAsiaTheme="minorEastAsia" w:hAnsiTheme="minorHAnsi" w:cstheme="minorBidi"/>
              <w:sz w:val="22"/>
              <w:lang w:val="en-GB" w:eastAsia="en-GB"/>
            </w:rPr>
          </w:pPr>
          <w:hyperlink w:anchor="_Toc12532756" w:history="1">
            <w:r w:rsidR="00DF65F3" w:rsidRPr="004815D6">
              <w:rPr>
                <w:rStyle w:val="Hipercze"/>
              </w:rPr>
              <w:t>ADR.OR.D.030     System zgłaszania spraw związanych z bezpieczeństwem</w:t>
            </w:r>
            <w:r w:rsidR="00DF65F3">
              <w:rPr>
                <w:webHidden/>
              </w:rPr>
              <w:tab/>
            </w:r>
            <w:r w:rsidR="00DF65F3">
              <w:rPr>
                <w:webHidden/>
              </w:rPr>
              <w:fldChar w:fldCharType="begin"/>
            </w:r>
            <w:r w:rsidR="00DF65F3">
              <w:rPr>
                <w:webHidden/>
              </w:rPr>
              <w:instrText xml:space="preserve"> PAGEREF _Toc12532756 \h </w:instrText>
            </w:r>
            <w:r w:rsidR="00DF65F3">
              <w:rPr>
                <w:webHidden/>
              </w:rPr>
            </w:r>
            <w:r w:rsidR="00DF65F3">
              <w:rPr>
                <w:webHidden/>
              </w:rPr>
              <w:fldChar w:fldCharType="separate"/>
            </w:r>
            <w:r w:rsidR="00F755B7">
              <w:rPr>
                <w:webHidden/>
              </w:rPr>
              <w:t>151</w:t>
            </w:r>
            <w:r w:rsidR="00DF65F3">
              <w:rPr>
                <w:webHidden/>
              </w:rPr>
              <w:fldChar w:fldCharType="end"/>
            </w:r>
          </w:hyperlink>
        </w:p>
        <w:p w14:paraId="6F1230FD" w14:textId="35A91191" w:rsidR="00DF65F3" w:rsidRDefault="00870777">
          <w:pPr>
            <w:pStyle w:val="Spistreci5"/>
            <w:rPr>
              <w:sz w:val="22"/>
              <w:lang w:val="en-GB" w:eastAsia="en-GB"/>
            </w:rPr>
          </w:pPr>
          <w:hyperlink w:anchor="_Toc12532757" w:history="1">
            <w:r w:rsidR="00DF65F3" w:rsidRPr="004815D6">
              <w:rPr>
                <w:rStyle w:val="Hipercze"/>
              </w:rPr>
              <w:t>AMC1 ADR.OR.D.030     System zgłaszania spraw związanych z bezpieczeństwem</w:t>
            </w:r>
            <w:r w:rsidR="00DF65F3">
              <w:rPr>
                <w:webHidden/>
              </w:rPr>
              <w:tab/>
            </w:r>
            <w:r w:rsidR="00DF65F3">
              <w:rPr>
                <w:webHidden/>
              </w:rPr>
              <w:fldChar w:fldCharType="begin"/>
            </w:r>
            <w:r w:rsidR="00DF65F3">
              <w:rPr>
                <w:webHidden/>
              </w:rPr>
              <w:instrText xml:space="preserve"> PAGEREF _Toc12532757 \h </w:instrText>
            </w:r>
            <w:r w:rsidR="00DF65F3">
              <w:rPr>
                <w:webHidden/>
              </w:rPr>
            </w:r>
            <w:r w:rsidR="00DF65F3">
              <w:rPr>
                <w:webHidden/>
              </w:rPr>
              <w:fldChar w:fldCharType="separate"/>
            </w:r>
            <w:r w:rsidR="00F755B7">
              <w:rPr>
                <w:webHidden/>
              </w:rPr>
              <w:t>151</w:t>
            </w:r>
            <w:r w:rsidR="00DF65F3">
              <w:rPr>
                <w:webHidden/>
              </w:rPr>
              <w:fldChar w:fldCharType="end"/>
            </w:r>
          </w:hyperlink>
        </w:p>
        <w:p w14:paraId="27EE48A8" w14:textId="388C924D" w:rsidR="00DF65F3" w:rsidRDefault="00870777">
          <w:pPr>
            <w:pStyle w:val="Spistreci6"/>
            <w:rPr>
              <w:sz w:val="22"/>
              <w:lang w:val="en-GB" w:eastAsia="en-GB"/>
            </w:rPr>
          </w:pPr>
          <w:hyperlink w:anchor="_Toc12532758" w:history="1">
            <w:r w:rsidR="00DF65F3" w:rsidRPr="004815D6">
              <w:rPr>
                <w:rStyle w:val="Hipercze"/>
              </w:rPr>
              <w:t>GM1 ADR.OR.D.030     System zgłaszania spraw związanych z bezpieczeństwem</w:t>
            </w:r>
            <w:r w:rsidR="00DF65F3">
              <w:rPr>
                <w:webHidden/>
              </w:rPr>
              <w:tab/>
            </w:r>
            <w:r w:rsidR="00DF65F3">
              <w:rPr>
                <w:webHidden/>
              </w:rPr>
              <w:fldChar w:fldCharType="begin"/>
            </w:r>
            <w:r w:rsidR="00DF65F3">
              <w:rPr>
                <w:webHidden/>
              </w:rPr>
              <w:instrText xml:space="preserve"> PAGEREF _Toc12532758 \h </w:instrText>
            </w:r>
            <w:r w:rsidR="00DF65F3">
              <w:rPr>
                <w:webHidden/>
              </w:rPr>
            </w:r>
            <w:r w:rsidR="00DF65F3">
              <w:rPr>
                <w:webHidden/>
              </w:rPr>
              <w:fldChar w:fldCharType="separate"/>
            </w:r>
            <w:r w:rsidR="00F755B7">
              <w:rPr>
                <w:webHidden/>
              </w:rPr>
              <w:t>152</w:t>
            </w:r>
            <w:r w:rsidR="00DF65F3">
              <w:rPr>
                <w:webHidden/>
              </w:rPr>
              <w:fldChar w:fldCharType="end"/>
            </w:r>
          </w:hyperlink>
        </w:p>
        <w:p w14:paraId="7B661A7D" w14:textId="2DC017CA" w:rsidR="00DF65F3" w:rsidRDefault="00870777">
          <w:pPr>
            <w:pStyle w:val="Spistreci3"/>
            <w:rPr>
              <w:rFonts w:asciiTheme="minorHAnsi" w:eastAsiaTheme="minorEastAsia" w:hAnsiTheme="minorHAnsi" w:cstheme="minorBidi"/>
              <w:sz w:val="22"/>
              <w:lang w:val="en-GB" w:eastAsia="en-GB"/>
            </w:rPr>
          </w:pPr>
          <w:hyperlink w:anchor="_Toc12532759" w:history="1">
            <w:r w:rsidR="00DF65F3" w:rsidRPr="004815D6">
              <w:rPr>
                <w:rStyle w:val="Hipercze"/>
              </w:rPr>
              <w:t>ADR.OR.D.035     Prowadzenie rejestrów</w:t>
            </w:r>
            <w:r w:rsidR="00DF65F3">
              <w:rPr>
                <w:webHidden/>
              </w:rPr>
              <w:tab/>
            </w:r>
            <w:r w:rsidR="00DF65F3">
              <w:rPr>
                <w:webHidden/>
              </w:rPr>
              <w:fldChar w:fldCharType="begin"/>
            </w:r>
            <w:r w:rsidR="00DF65F3">
              <w:rPr>
                <w:webHidden/>
              </w:rPr>
              <w:instrText xml:space="preserve"> PAGEREF _Toc12532759 \h </w:instrText>
            </w:r>
            <w:r w:rsidR="00DF65F3">
              <w:rPr>
                <w:webHidden/>
              </w:rPr>
            </w:r>
            <w:r w:rsidR="00DF65F3">
              <w:rPr>
                <w:webHidden/>
              </w:rPr>
              <w:fldChar w:fldCharType="separate"/>
            </w:r>
            <w:r w:rsidR="00F755B7">
              <w:rPr>
                <w:webHidden/>
              </w:rPr>
              <w:t>153</w:t>
            </w:r>
            <w:r w:rsidR="00DF65F3">
              <w:rPr>
                <w:webHidden/>
              </w:rPr>
              <w:fldChar w:fldCharType="end"/>
            </w:r>
          </w:hyperlink>
        </w:p>
        <w:p w14:paraId="171315DD" w14:textId="41FF1E3B" w:rsidR="00DF65F3" w:rsidRDefault="00870777">
          <w:pPr>
            <w:pStyle w:val="Spistreci5"/>
            <w:rPr>
              <w:sz w:val="22"/>
              <w:lang w:val="en-GB" w:eastAsia="en-GB"/>
            </w:rPr>
          </w:pPr>
          <w:hyperlink w:anchor="_Toc12532760" w:history="1">
            <w:r w:rsidR="00DF65F3" w:rsidRPr="004815D6">
              <w:rPr>
                <w:rStyle w:val="Hipercze"/>
              </w:rPr>
              <w:t>AMC1 ADR.OR.D.035     Prowadzenie rejestrów</w:t>
            </w:r>
            <w:r w:rsidR="00DF65F3">
              <w:rPr>
                <w:webHidden/>
              </w:rPr>
              <w:tab/>
            </w:r>
            <w:r w:rsidR="00DF65F3">
              <w:rPr>
                <w:webHidden/>
              </w:rPr>
              <w:fldChar w:fldCharType="begin"/>
            </w:r>
            <w:r w:rsidR="00DF65F3">
              <w:rPr>
                <w:webHidden/>
              </w:rPr>
              <w:instrText xml:space="preserve"> PAGEREF _Toc12532760 \h </w:instrText>
            </w:r>
            <w:r w:rsidR="00DF65F3">
              <w:rPr>
                <w:webHidden/>
              </w:rPr>
            </w:r>
            <w:r w:rsidR="00DF65F3">
              <w:rPr>
                <w:webHidden/>
              </w:rPr>
              <w:fldChar w:fldCharType="separate"/>
            </w:r>
            <w:r w:rsidR="00F755B7">
              <w:rPr>
                <w:webHidden/>
              </w:rPr>
              <w:t>153</w:t>
            </w:r>
            <w:r w:rsidR="00DF65F3">
              <w:rPr>
                <w:webHidden/>
              </w:rPr>
              <w:fldChar w:fldCharType="end"/>
            </w:r>
          </w:hyperlink>
        </w:p>
        <w:p w14:paraId="523A7ADA" w14:textId="352C3BB1" w:rsidR="00DF65F3" w:rsidRDefault="00870777">
          <w:pPr>
            <w:pStyle w:val="Spistreci5"/>
            <w:rPr>
              <w:sz w:val="22"/>
              <w:lang w:val="en-GB" w:eastAsia="en-GB"/>
            </w:rPr>
          </w:pPr>
          <w:hyperlink w:anchor="_Toc12532761" w:history="1">
            <w:r w:rsidR="00DF65F3" w:rsidRPr="004815D6">
              <w:rPr>
                <w:rStyle w:val="Hipercze"/>
              </w:rPr>
              <w:t>AMC2 ADR.OR.D.035     Prowadzenie rejestrów</w:t>
            </w:r>
            <w:r w:rsidR="00DF65F3">
              <w:rPr>
                <w:webHidden/>
              </w:rPr>
              <w:tab/>
            </w:r>
            <w:r w:rsidR="00DF65F3">
              <w:rPr>
                <w:webHidden/>
              </w:rPr>
              <w:fldChar w:fldCharType="begin"/>
            </w:r>
            <w:r w:rsidR="00DF65F3">
              <w:rPr>
                <w:webHidden/>
              </w:rPr>
              <w:instrText xml:space="preserve"> PAGEREF _Toc12532761 \h </w:instrText>
            </w:r>
            <w:r w:rsidR="00DF65F3">
              <w:rPr>
                <w:webHidden/>
              </w:rPr>
            </w:r>
            <w:r w:rsidR="00DF65F3">
              <w:rPr>
                <w:webHidden/>
              </w:rPr>
              <w:fldChar w:fldCharType="separate"/>
            </w:r>
            <w:r w:rsidR="00F755B7">
              <w:rPr>
                <w:webHidden/>
              </w:rPr>
              <w:t>154</w:t>
            </w:r>
            <w:r w:rsidR="00DF65F3">
              <w:rPr>
                <w:webHidden/>
              </w:rPr>
              <w:fldChar w:fldCharType="end"/>
            </w:r>
          </w:hyperlink>
        </w:p>
        <w:p w14:paraId="2887E68C" w14:textId="3A9F0422" w:rsidR="00DF65F3" w:rsidRDefault="00870777">
          <w:pPr>
            <w:pStyle w:val="Spistreci6"/>
            <w:rPr>
              <w:sz w:val="22"/>
              <w:lang w:val="en-GB" w:eastAsia="en-GB"/>
            </w:rPr>
          </w:pPr>
          <w:hyperlink w:anchor="_Toc12532762" w:history="1">
            <w:r w:rsidR="00DF65F3" w:rsidRPr="004815D6">
              <w:rPr>
                <w:rStyle w:val="Hipercze"/>
              </w:rPr>
              <w:t>GM1 ADR.OR.D.035(b)     Prowadzenie rejestrów</w:t>
            </w:r>
            <w:r w:rsidR="00DF65F3">
              <w:rPr>
                <w:webHidden/>
              </w:rPr>
              <w:tab/>
            </w:r>
            <w:r w:rsidR="00DF65F3">
              <w:rPr>
                <w:webHidden/>
              </w:rPr>
              <w:fldChar w:fldCharType="begin"/>
            </w:r>
            <w:r w:rsidR="00DF65F3">
              <w:rPr>
                <w:webHidden/>
              </w:rPr>
              <w:instrText xml:space="preserve"> PAGEREF _Toc12532762 \h </w:instrText>
            </w:r>
            <w:r w:rsidR="00DF65F3">
              <w:rPr>
                <w:webHidden/>
              </w:rPr>
            </w:r>
            <w:r w:rsidR="00DF65F3">
              <w:rPr>
                <w:webHidden/>
              </w:rPr>
              <w:fldChar w:fldCharType="separate"/>
            </w:r>
            <w:r w:rsidR="00F755B7">
              <w:rPr>
                <w:webHidden/>
              </w:rPr>
              <w:t>154</w:t>
            </w:r>
            <w:r w:rsidR="00DF65F3">
              <w:rPr>
                <w:webHidden/>
              </w:rPr>
              <w:fldChar w:fldCharType="end"/>
            </w:r>
          </w:hyperlink>
        </w:p>
        <w:p w14:paraId="00A44B2D" w14:textId="02C93DAF" w:rsidR="00DF65F3" w:rsidRDefault="00870777">
          <w:pPr>
            <w:pStyle w:val="Spistreci2"/>
            <w:rPr>
              <w:rFonts w:asciiTheme="minorHAnsi" w:eastAsiaTheme="minorEastAsia" w:hAnsiTheme="minorHAnsi" w:cstheme="minorBidi"/>
              <w:sz w:val="22"/>
              <w:lang w:val="en-GB" w:eastAsia="en-GB"/>
            </w:rPr>
          </w:pPr>
          <w:hyperlink w:anchor="_Toc12532763" w:history="1">
            <w:r w:rsidR="00DF65F3" w:rsidRPr="004815D6">
              <w:rPr>
                <w:rStyle w:val="Hipercze"/>
              </w:rPr>
              <w:t>PODCZĘŚĆ E — INSTRUKCJA OPERACYJNA I DOKUMENTACJA LOTNISKA (ADR.OR.E)</w:t>
            </w:r>
            <w:r w:rsidR="00DF65F3">
              <w:rPr>
                <w:webHidden/>
              </w:rPr>
              <w:tab/>
            </w:r>
            <w:r w:rsidR="00DF65F3">
              <w:rPr>
                <w:webHidden/>
              </w:rPr>
              <w:fldChar w:fldCharType="begin"/>
            </w:r>
            <w:r w:rsidR="00DF65F3">
              <w:rPr>
                <w:webHidden/>
              </w:rPr>
              <w:instrText xml:space="preserve"> PAGEREF _Toc12532763 \h </w:instrText>
            </w:r>
            <w:r w:rsidR="00DF65F3">
              <w:rPr>
                <w:webHidden/>
              </w:rPr>
            </w:r>
            <w:r w:rsidR="00DF65F3">
              <w:rPr>
                <w:webHidden/>
              </w:rPr>
              <w:fldChar w:fldCharType="separate"/>
            </w:r>
            <w:r w:rsidR="00F755B7">
              <w:rPr>
                <w:webHidden/>
              </w:rPr>
              <w:t>155</w:t>
            </w:r>
            <w:r w:rsidR="00DF65F3">
              <w:rPr>
                <w:webHidden/>
              </w:rPr>
              <w:fldChar w:fldCharType="end"/>
            </w:r>
          </w:hyperlink>
        </w:p>
        <w:p w14:paraId="39E4A74F" w14:textId="053F8454" w:rsidR="00DF65F3" w:rsidRDefault="00870777">
          <w:pPr>
            <w:pStyle w:val="Spistreci3"/>
            <w:rPr>
              <w:rFonts w:asciiTheme="minorHAnsi" w:eastAsiaTheme="minorEastAsia" w:hAnsiTheme="minorHAnsi" w:cstheme="minorBidi"/>
              <w:sz w:val="22"/>
              <w:lang w:val="en-GB" w:eastAsia="en-GB"/>
            </w:rPr>
          </w:pPr>
          <w:hyperlink w:anchor="_Toc12532764" w:history="1">
            <w:r w:rsidR="00DF65F3" w:rsidRPr="004815D6">
              <w:rPr>
                <w:rStyle w:val="Hipercze"/>
              </w:rPr>
              <w:t>ADR.OR.E.005     Instrukcja operacyjna lotniska</w:t>
            </w:r>
            <w:r w:rsidR="00DF65F3">
              <w:rPr>
                <w:webHidden/>
              </w:rPr>
              <w:tab/>
            </w:r>
            <w:r w:rsidR="00DF65F3">
              <w:rPr>
                <w:webHidden/>
              </w:rPr>
              <w:fldChar w:fldCharType="begin"/>
            </w:r>
            <w:r w:rsidR="00DF65F3">
              <w:rPr>
                <w:webHidden/>
              </w:rPr>
              <w:instrText xml:space="preserve"> PAGEREF _Toc12532764 \h </w:instrText>
            </w:r>
            <w:r w:rsidR="00DF65F3">
              <w:rPr>
                <w:webHidden/>
              </w:rPr>
            </w:r>
            <w:r w:rsidR="00DF65F3">
              <w:rPr>
                <w:webHidden/>
              </w:rPr>
              <w:fldChar w:fldCharType="separate"/>
            </w:r>
            <w:r w:rsidR="00F755B7">
              <w:rPr>
                <w:webHidden/>
              </w:rPr>
              <w:t>155</w:t>
            </w:r>
            <w:r w:rsidR="00DF65F3">
              <w:rPr>
                <w:webHidden/>
              </w:rPr>
              <w:fldChar w:fldCharType="end"/>
            </w:r>
          </w:hyperlink>
        </w:p>
        <w:p w14:paraId="13F350C1" w14:textId="32885696" w:rsidR="00DF65F3" w:rsidRDefault="00870777">
          <w:pPr>
            <w:pStyle w:val="Spistreci5"/>
            <w:rPr>
              <w:sz w:val="22"/>
              <w:lang w:val="en-GB" w:eastAsia="en-GB"/>
            </w:rPr>
          </w:pPr>
          <w:hyperlink w:anchor="_Toc12532765" w:history="1">
            <w:r w:rsidR="00DF65F3" w:rsidRPr="004815D6">
              <w:rPr>
                <w:rStyle w:val="Hipercze"/>
              </w:rPr>
              <w:t>AMC1 ADR.OR.E.005     Instrukcja operacyjna lotniska</w:t>
            </w:r>
            <w:r w:rsidR="00DF65F3">
              <w:rPr>
                <w:webHidden/>
              </w:rPr>
              <w:tab/>
            </w:r>
            <w:r w:rsidR="00DF65F3">
              <w:rPr>
                <w:webHidden/>
              </w:rPr>
              <w:fldChar w:fldCharType="begin"/>
            </w:r>
            <w:r w:rsidR="00DF65F3">
              <w:rPr>
                <w:webHidden/>
              </w:rPr>
              <w:instrText xml:space="preserve"> PAGEREF _Toc12532765 \h </w:instrText>
            </w:r>
            <w:r w:rsidR="00DF65F3">
              <w:rPr>
                <w:webHidden/>
              </w:rPr>
            </w:r>
            <w:r w:rsidR="00DF65F3">
              <w:rPr>
                <w:webHidden/>
              </w:rPr>
              <w:fldChar w:fldCharType="separate"/>
            </w:r>
            <w:r w:rsidR="00F755B7">
              <w:rPr>
                <w:webHidden/>
              </w:rPr>
              <w:t>156</w:t>
            </w:r>
            <w:r w:rsidR="00DF65F3">
              <w:rPr>
                <w:webHidden/>
              </w:rPr>
              <w:fldChar w:fldCharType="end"/>
            </w:r>
          </w:hyperlink>
        </w:p>
        <w:p w14:paraId="786DACE3" w14:textId="31F6AF50" w:rsidR="00DF65F3" w:rsidRDefault="00870777">
          <w:pPr>
            <w:pStyle w:val="Spistreci6"/>
            <w:rPr>
              <w:sz w:val="22"/>
              <w:lang w:val="en-GB" w:eastAsia="en-GB"/>
            </w:rPr>
          </w:pPr>
          <w:hyperlink w:anchor="_Toc12532766" w:history="1">
            <w:r w:rsidR="00DF65F3" w:rsidRPr="004815D6">
              <w:rPr>
                <w:rStyle w:val="Hipercze"/>
              </w:rPr>
              <w:t>GM1 ADR.OR.E.005     Instrukcja operacyjna lotniska</w:t>
            </w:r>
            <w:r w:rsidR="00DF65F3">
              <w:rPr>
                <w:webHidden/>
              </w:rPr>
              <w:tab/>
            </w:r>
            <w:r w:rsidR="00DF65F3">
              <w:rPr>
                <w:webHidden/>
              </w:rPr>
              <w:fldChar w:fldCharType="begin"/>
            </w:r>
            <w:r w:rsidR="00DF65F3">
              <w:rPr>
                <w:webHidden/>
              </w:rPr>
              <w:instrText xml:space="preserve"> PAGEREF _Toc12532766 \h </w:instrText>
            </w:r>
            <w:r w:rsidR="00DF65F3">
              <w:rPr>
                <w:webHidden/>
              </w:rPr>
            </w:r>
            <w:r w:rsidR="00DF65F3">
              <w:rPr>
                <w:webHidden/>
              </w:rPr>
              <w:fldChar w:fldCharType="separate"/>
            </w:r>
            <w:r w:rsidR="00F755B7">
              <w:rPr>
                <w:webHidden/>
              </w:rPr>
              <w:t>157</w:t>
            </w:r>
            <w:r w:rsidR="00DF65F3">
              <w:rPr>
                <w:webHidden/>
              </w:rPr>
              <w:fldChar w:fldCharType="end"/>
            </w:r>
          </w:hyperlink>
        </w:p>
        <w:p w14:paraId="228E8A2F" w14:textId="0D405B94" w:rsidR="00DF65F3" w:rsidRDefault="00870777">
          <w:pPr>
            <w:pStyle w:val="Spistreci5"/>
            <w:rPr>
              <w:sz w:val="22"/>
              <w:lang w:val="en-GB" w:eastAsia="en-GB"/>
            </w:rPr>
          </w:pPr>
          <w:hyperlink w:anchor="_Toc12532767" w:history="1">
            <w:r w:rsidR="00DF65F3" w:rsidRPr="004815D6">
              <w:rPr>
                <w:rStyle w:val="Hipercze"/>
              </w:rPr>
              <w:t>AMC2 ADR.OR.E.005(i)(2)     Instrukcja operacyjna lotniska</w:t>
            </w:r>
            <w:r w:rsidR="00DF65F3">
              <w:rPr>
                <w:webHidden/>
              </w:rPr>
              <w:tab/>
            </w:r>
            <w:r w:rsidR="00DF65F3">
              <w:rPr>
                <w:webHidden/>
              </w:rPr>
              <w:fldChar w:fldCharType="begin"/>
            </w:r>
            <w:r w:rsidR="00DF65F3">
              <w:rPr>
                <w:webHidden/>
              </w:rPr>
              <w:instrText xml:space="preserve"> PAGEREF _Toc12532767 \h </w:instrText>
            </w:r>
            <w:r w:rsidR="00DF65F3">
              <w:rPr>
                <w:webHidden/>
              </w:rPr>
            </w:r>
            <w:r w:rsidR="00DF65F3">
              <w:rPr>
                <w:webHidden/>
              </w:rPr>
              <w:fldChar w:fldCharType="separate"/>
            </w:r>
            <w:r w:rsidR="00F755B7">
              <w:rPr>
                <w:webHidden/>
              </w:rPr>
              <w:t>158</w:t>
            </w:r>
            <w:r w:rsidR="00DF65F3">
              <w:rPr>
                <w:webHidden/>
              </w:rPr>
              <w:fldChar w:fldCharType="end"/>
            </w:r>
          </w:hyperlink>
        </w:p>
        <w:p w14:paraId="51580185" w14:textId="72A7DA29" w:rsidR="00DF65F3" w:rsidRDefault="00870777">
          <w:pPr>
            <w:pStyle w:val="Spistreci5"/>
            <w:rPr>
              <w:sz w:val="22"/>
              <w:lang w:val="en-GB" w:eastAsia="en-GB"/>
            </w:rPr>
          </w:pPr>
          <w:hyperlink w:anchor="_Toc12532768" w:history="1">
            <w:r w:rsidR="00DF65F3" w:rsidRPr="004815D6">
              <w:rPr>
                <w:rStyle w:val="Hipercze"/>
              </w:rPr>
              <w:t>AMC3 ADR.OR.E.005     Instrukcja operacyjna lotniska</w:t>
            </w:r>
            <w:r w:rsidR="00DF65F3">
              <w:rPr>
                <w:webHidden/>
              </w:rPr>
              <w:tab/>
            </w:r>
            <w:r w:rsidR="00DF65F3">
              <w:rPr>
                <w:webHidden/>
              </w:rPr>
              <w:fldChar w:fldCharType="begin"/>
            </w:r>
            <w:r w:rsidR="00DF65F3">
              <w:rPr>
                <w:webHidden/>
              </w:rPr>
              <w:instrText xml:space="preserve"> PAGEREF _Toc12532768 \h </w:instrText>
            </w:r>
            <w:r w:rsidR="00DF65F3">
              <w:rPr>
                <w:webHidden/>
              </w:rPr>
            </w:r>
            <w:r w:rsidR="00DF65F3">
              <w:rPr>
                <w:webHidden/>
              </w:rPr>
              <w:fldChar w:fldCharType="separate"/>
            </w:r>
            <w:r w:rsidR="00F755B7">
              <w:rPr>
                <w:webHidden/>
              </w:rPr>
              <w:t>158</w:t>
            </w:r>
            <w:r w:rsidR="00DF65F3">
              <w:rPr>
                <w:webHidden/>
              </w:rPr>
              <w:fldChar w:fldCharType="end"/>
            </w:r>
          </w:hyperlink>
        </w:p>
        <w:p w14:paraId="383F19FE" w14:textId="5DE946BA" w:rsidR="00DF65F3" w:rsidRDefault="00870777">
          <w:pPr>
            <w:pStyle w:val="Spistreci6"/>
            <w:rPr>
              <w:sz w:val="22"/>
              <w:lang w:val="en-GB" w:eastAsia="en-GB"/>
            </w:rPr>
          </w:pPr>
          <w:hyperlink w:anchor="_Toc12532769" w:history="1">
            <w:r w:rsidR="00DF65F3" w:rsidRPr="004815D6">
              <w:rPr>
                <w:rStyle w:val="Hipercze"/>
              </w:rPr>
              <w:t>GM2 ADR.OR.E.005     Instrukcja operacyjna lotniska</w:t>
            </w:r>
            <w:r w:rsidR="00DF65F3">
              <w:rPr>
                <w:webHidden/>
              </w:rPr>
              <w:tab/>
            </w:r>
            <w:r w:rsidR="00DF65F3">
              <w:rPr>
                <w:webHidden/>
              </w:rPr>
              <w:fldChar w:fldCharType="begin"/>
            </w:r>
            <w:r w:rsidR="00DF65F3">
              <w:rPr>
                <w:webHidden/>
              </w:rPr>
              <w:instrText xml:space="preserve"> PAGEREF _Toc12532769 \h </w:instrText>
            </w:r>
            <w:r w:rsidR="00DF65F3">
              <w:rPr>
                <w:webHidden/>
              </w:rPr>
            </w:r>
            <w:r w:rsidR="00DF65F3">
              <w:rPr>
                <w:webHidden/>
              </w:rPr>
              <w:fldChar w:fldCharType="separate"/>
            </w:r>
            <w:r w:rsidR="00F755B7">
              <w:rPr>
                <w:webHidden/>
              </w:rPr>
              <w:t>165</w:t>
            </w:r>
            <w:r w:rsidR="00DF65F3">
              <w:rPr>
                <w:webHidden/>
              </w:rPr>
              <w:fldChar w:fldCharType="end"/>
            </w:r>
          </w:hyperlink>
        </w:p>
        <w:p w14:paraId="67D4F478" w14:textId="3627B6CE" w:rsidR="00DF65F3" w:rsidRDefault="00870777">
          <w:pPr>
            <w:pStyle w:val="Spistreci6"/>
            <w:rPr>
              <w:sz w:val="22"/>
              <w:lang w:val="en-GB" w:eastAsia="en-GB"/>
            </w:rPr>
          </w:pPr>
          <w:hyperlink w:anchor="_Toc12532770" w:history="1">
            <w:r w:rsidR="00DF65F3" w:rsidRPr="004815D6">
              <w:rPr>
                <w:rStyle w:val="Hipercze"/>
              </w:rPr>
              <w:t>GM1 ADR.OR.E.005(j)     Instrukcja operacyjna lotniska</w:t>
            </w:r>
            <w:r w:rsidR="00DF65F3">
              <w:rPr>
                <w:webHidden/>
              </w:rPr>
              <w:tab/>
            </w:r>
            <w:r w:rsidR="00DF65F3">
              <w:rPr>
                <w:webHidden/>
              </w:rPr>
              <w:fldChar w:fldCharType="begin"/>
            </w:r>
            <w:r w:rsidR="00DF65F3">
              <w:rPr>
                <w:webHidden/>
              </w:rPr>
              <w:instrText xml:space="preserve"> PAGEREF _Toc12532770 \h </w:instrText>
            </w:r>
            <w:r w:rsidR="00DF65F3">
              <w:rPr>
                <w:webHidden/>
              </w:rPr>
            </w:r>
            <w:r w:rsidR="00DF65F3">
              <w:rPr>
                <w:webHidden/>
              </w:rPr>
              <w:fldChar w:fldCharType="separate"/>
            </w:r>
            <w:r w:rsidR="00F755B7">
              <w:rPr>
                <w:webHidden/>
              </w:rPr>
              <w:t>166</w:t>
            </w:r>
            <w:r w:rsidR="00DF65F3">
              <w:rPr>
                <w:webHidden/>
              </w:rPr>
              <w:fldChar w:fldCharType="end"/>
            </w:r>
          </w:hyperlink>
        </w:p>
        <w:p w14:paraId="6FB39F92" w14:textId="16606DFB" w:rsidR="00DF65F3" w:rsidRDefault="00870777">
          <w:pPr>
            <w:pStyle w:val="Spistreci3"/>
            <w:rPr>
              <w:rFonts w:asciiTheme="minorHAnsi" w:eastAsiaTheme="minorEastAsia" w:hAnsiTheme="minorHAnsi" w:cstheme="minorBidi"/>
              <w:sz w:val="22"/>
              <w:lang w:val="en-GB" w:eastAsia="en-GB"/>
            </w:rPr>
          </w:pPr>
          <w:hyperlink w:anchor="_Toc12532771" w:history="1">
            <w:r w:rsidR="00DF65F3" w:rsidRPr="004815D6">
              <w:rPr>
                <w:rStyle w:val="Hipercze"/>
              </w:rPr>
              <w:t>ADR.OR.E.010     Wymagania dotyczące dokumentacji</w:t>
            </w:r>
            <w:r w:rsidR="00DF65F3">
              <w:rPr>
                <w:webHidden/>
              </w:rPr>
              <w:tab/>
            </w:r>
            <w:r w:rsidR="00DF65F3">
              <w:rPr>
                <w:webHidden/>
              </w:rPr>
              <w:fldChar w:fldCharType="begin"/>
            </w:r>
            <w:r w:rsidR="00DF65F3">
              <w:rPr>
                <w:webHidden/>
              </w:rPr>
              <w:instrText xml:space="preserve"> PAGEREF _Toc12532771 \h </w:instrText>
            </w:r>
            <w:r w:rsidR="00DF65F3">
              <w:rPr>
                <w:webHidden/>
              </w:rPr>
            </w:r>
            <w:r w:rsidR="00DF65F3">
              <w:rPr>
                <w:webHidden/>
              </w:rPr>
              <w:fldChar w:fldCharType="separate"/>
            </w:r>
            <w:r w:rsidR="00F755B7">
              <w:rPr>
                <w:webHidden/>
              </w:rPr>
              <w:t>166</w:t>
            </w:r>
            <w:r w:rsidR="00DF65F3">
              <w:rPr>
                <w:webHidden/>
              </w:rPr>
              <w:fldChar w:fldCharType="end"/>
            </w:r>
          </w:hyperlink>
        </w:p>
        <w:p w14:paraId="58FD872B" w14:textId="0C4D499C" w:rsidR="00DF65F3" w:rsidRDefault="00870777">
          <w:pPr>
            <w:pStyle w:val="Spistreci1"/>
            <w:rPr>
              <w:rFonts w:asciiTheme="minorHAnsi" w:eastAsiaTheme="minorEastAsia" w:hAnsiTheme="minorHAnsi"/>
              <w:b w:val="0"/>
              <w:sz w:val="22"/>
              <w:lang w:val="en-GB" w:eastAsia="en-GB"/>
            </w:rPr>
          </w:pPr>
          <w:hyperlink w:anchor="_Toc12532772" w:history="1">
            <w:r w:rsidR="00DF65F3" w:rsidRPr="004815D6">
              <w:rPr>
                <w:rStyle w:val="Hipercze"/>
              </w:rPr>
              <w:t>ZAŁĄCZNIK IV — CZĘŚĆ ADR.OPS</w:t>
            </w:r>
            <w:r w:rsidR="00DF65F3">
              <w:rPr>
                <w:webHidden/>
              </w:rPr>
              <w:tab/>
            </w:r>
            <w:r w:rsidR="00DF65F3">
              <w:rPr>
                <w:webHidden/>
              </w:rPr>
              <w:fldChar w:fldCharType="begin"/>
            </w:r>
            <w:r w:rsidR="00DF65F3">
              <w:rPr>
                <w:webHidden/>
              </w:rPr>
              <w:instrText xml:space="preserve"> PAGEREF _Toc12532772 \h </w:instrText>
            </w:r>
            <w:r w:rsidR="00DF65F3">
              <w:rPr>
                <w:webHidden/>
              </w:rPr>
            </w:r>
            <w:r w:rsidR="00DF65F3">
              <w:rPr>
                <w:webHidden/>
              </w:rPr>
              <w:fldChar w:fldCharType="separate"/>
            </w:r>
            <w:r w:rsidR="00F755B7">
              <w:rPr>
                <w:webHidden/>
              </w:rPr>
              <w:t>167</w:t>
            </w:r>
            <w:r w:rsidR="00DF65F3">
              <w:rPr>
                <w:webHidden/>
              </w:rPr>
              <w:fldChar w:fldCharType="end"/>
            </w:r>
          </w:hyperlink>
        </w:p>
        <w:p w14:paraId="11376274" w14:textId="00DE76CD" w:rsidR="00DF65F3" w:rsidRDefault="00870777">
          <w:pPr>
            <w:pStyle w:val="Spistreci2"/>
            <w:rPr>
              <w:rFonts w:asciiTheme="minorHAnsi" w:eastAsiaTheme="minorEastAsia" w:hAnsiTheme="minorHAnsi" w:cstheme="minorBidi"/>
              <w:sz w:val="22"/>
              <w:lang w:val="en-GB" w:eastAsia="en-GB"/>
            </w:rPr>
          </w:pPr>
          <w:hyperlink w:anchor="_Toc12532773" w:history="1">
            <w:r w:rsidR="00DF65F3" w:rsidRPr="004815D6">
              <w:rPr>
                <w:rStyle w:val="Hipercze"/>
              </w:rPr>
              <w:t>PODCZĘŚĆ A — DANE DOTYCZĄCE LOTNISKA (ADR.OPS.A)</w:t>
            </w:r>
            <w:r w:rsidR="00DF65F3">
              <w:rPr>
                <w:webHidden/>
              </w:rPr>
              <w:tab/>
            </w:r>
            <w:r w:rsidR="00DF65F3">
              <w:rPr>
                <w:webHidden/>
              </w:rPr>
              <w:fldChar w:fldCharType="begin"/>
            </w:r>
            <w:r w:rsidR="00DF65F3">
              <w:rPr>
                <w:webHidden/>
              </w:rPr>
              <w:instrText xml:space="preserve"> PAGEREF _Toc12532773 \h </w:instrText>
            </w:r>
            <w:r w:rsidR="00DF65F3">
              <w:rPr>
                <w:webHidden/>
              </w:rPr>
            </w:r>
            <w:r w:rsidR="00DF65F3">
              <w:rPr>
                <w:webHidden/>
              </w:rPr>
              <w:fldChar w:fldCharType="separate"/>
            </w:r>
            <w:r w:rsidR="00F755B7">
              <w:rPr>
                <w:webHidden/>
              </w:rPr>
              <w:t>167</w:t>
            </w:r>
            <w:r w:rsidR="00DF65F3">
              <w:rPr>
                <w:webHidden/>
              </w:rPr>
              <w:fldChar w:fldCharType="end"/>
            </w:r>
          </w:hyperlink>
        </w:p>
        <w:p w14:paraId="14C8A9DA" w14:textId="5F48FBFA" w:rsidR="00DF65F3" w:rsidRDefault="00870777">
          <w:pPr>
            <w:pStyle w:val="Spistreci3"/>
            <w:rPr>
              <w:rFonts w:asciiTheme="minorHAnsi" w:eastAsiaTheme="minorEastAsia" w:hAnsiTheme="minorHAnsi" w:cstheme="minorBidi"/>
              <w:sz w:val="22"/>
              <w:lang w:val="en-GB" w:eastAsia="en-GB"/>
            </w:rPr>
          </w:pPr>
          <w:hyperlink w:anchor="_Toc12532774" w:history="1">
            <w:r w:rsidR="00DF65F3" w:rsidRPr="004815D6">
              <w:rPr>
                <w:rStyle w:val="Hipercze"/>
              </w:rPr>
              <w:t>ADR.OPS.A.005     Dane dotyczące lotniska</w:t>
            </w:r>
            <w:r w:rsidR="00DF65F3">
              <w:rPr>
                <w:webHidden/>
              </w:rPr>
              <w:tab/>
            </w:r>
            <w:r w:rsidR="00DF65F3">
              <w:rPr>
                <w:webHidden/>
              </w:rPr>
              <w:fldChar w:fldCharType="begin"/>
            </w:r>
            <w:r w:rsidR="00DF65F3">
              <w:rPr>
                <w:webHidden/>
              </w:rPr>
              <w:instrText xml:space="preserve"> PAGEREF _Toc12532774 \h </w:instrText>
            </w:r>
            <w:r w:rsidR="00DF65F3">
              <w:rPr>
                <w:webHidden/>
              </w:rPr>
            </w:r>
            <w:r w:rsidR="00DF65F3">
              <w:rPr>
                <w:webHidden/>
              </w:rPr>
              <w:fldChar w:fldCharType="separate"/>
            </w:r>
            <w:r w:rsidR="00F755B7">
              <w:rPr>
                <w:webHidden/>
              </w:rPr>
              <w:t>167</w:t>
            </w:r>
            <w:r w:rsidR="00DF65F3">
              <w:rPr>
                <w:webHidden/>
              </w:rPr>
              <w:fldChar w:fldCharType="end"/>
            </w:r>
          </w:hyperlink>
        </w:p>
        <w:p w14:paraId="7128BC07" w14:textId="6F2D96EC" w:rsidR="00DF65F3" w:rsidRDefault="00870777">
          <w:pPr>
            <w:pStyle w:val="Spistreci5"/>
            <w:rPr>
              <w:sz w:val="22"/>
              <w:lang w:val="en-GB" w:eastAsia="en-GB"/>
            </w:rPr>
          </w:pPr>
          <w:hyperlink w:anchor="_Toc12532775" w:history="1">
            <w:r w:rsidR="00DF65F3" w:rsidRPr="004815D6">
              <w:rPr>
                <w:rStyle w:val="Hipercze"/>
              </w:rPr>
              <w:t>AMC1 ADR.OPS.A.005     Dane dotyczące lotniska</w:t>
            </w:r>
            <w:r w:rsidR="00DF65F3">
              <w:rPr>
                <w:webHidden/>
              </w:rPr>
              <w:tab/>
            </w:r>
            <w:r w:rsidR="00DF65F3">
              <w:rPr>
                <w:webHidden/>
              </w:rPr>
              <w:fldChar w:fldCharType="begin"/>
            </w:r>
            <w:r w:rsidR="00DF65F3">
              <w:rPr>
                <w:webHidden/>
              </w:rPr>
              <w:instrText xml:space="preserve"> PAGEREF _Toc12532775 \h </w:instrText>
            </w:r>
            <w:r w:rsidR="00DF65F3">
              <w:rPr>
                <w:webHidden/>
              </w:rPr>
            </w:r>
            <w:r w:rsidR="00DF65F3">
              <w:rPr>
                <w:webHidden/>
              </w:rPr>
              <w:fldChar w:fldCharType="separate"/>
            </w:r>
            <w:r w:rsidR="00F755B7">
              <w:rPr>
                <w:webHidden/>
              </w:rPr>
              <w:t>167</w:t>
            </w:r>
            <w:r w:rsidR="00DF65F3">
              <w:rPr>
                <w:webHidden/>
              </w:rPr>
              <w:fldChar w:fldCharType="end"/>
            </w:r>
          </w:hyperlink>
        </w:p>
        <w:p w14:paraId="42C23C59" w14:textId="0150CF08" w:rsidR="00DF65F3" w:rsidRDefault="00870777">
          <w:pPr>
            <w:pStyle w:val="Spistreci6"/>
            <w:rPr>
              <w:sz w:val="22"/>
              <w:lang w:val="en-GB" w:eastAsia="en-GB"/>
            </w:rPr>
          </w:pPr>
          <w:hyperlink w:anchor="_Toc12532776" w:history="1">
            <w:r w:rsidR="00DF65F3" w:rsidRPr="004815D6">
              <w:rPr>
                <w:rStyle w:val="Hipercze"/>
              </w:rPr>
              <w:t>GM1 ADR.OPS.A.005     Dane dotyczące lotniska</w:t>
            </w:r>
            <w:r w:rsidR="00DF65F3">
              <w:rPr>
                <w:webHidden/>
              </w:rPr>
              <w:tab/>
            </w:r>
            <w:r w:rsidR="00DF65F3">
              <w:rPr>
                <w:webHidden/>
              </w:rPr>
              <w:fldChar w:fldCharType="begin"/>
            </w:r>
            <w:r w:rsidR="00DF65F3">
              <w:rPr>
                <w:webHidden/>
              </w:rPr>
              <w:instrText xml:space="preserve"> PAGEREF _Toc12532776 \h </w:instrText>
            </w:r>
            <w:r w:rsidR="00DF65F3">
              <w:rPr>
                <w:webHidden/>
              </w:rPr>
            </w:r>
            <w:r w:rsidR="00DF65F3">
              <w:rPr>
                <w:webHidden/>
              </w:rPr>
              <w:fldChar w:fldCharType="separate"/>
            </w:r>
            <w:r w:rsidR="00F755B7">
              <w:rPr>
                <w:webHidden/>
              </w:rPr>
              <w:t>168</w:t>
            </w:r>
            <w:r w:rsidR="00DF65F3">
              <w:rPr>
                <w:webHidden/>
              </w:rPr>
              <w:fldChar w:fldCharType="end"/>
            </w:r>
          </w:hyperlink>
        </w:p>
        <w:p w14:paraId="3091FA13" w14:textId="212CFACE" w:rsidR="00DF65F3" w:rsidRDefault="00870777">
          <w:pPr>
            <w:pStyle w:val="Spistreci6"/>
            <w:rPr>
              <w:sz w:val="22"/>
              <w:lang w:val="en-GB" w:eastAsia="en-GB"/>
            </w:rPr>
          </w:pPr>
          <w:hyperlink w:anchor="_Toc12532777" w:history="1">
            <w:r w:rsidR="00DF65F3" w:rsidRPr="004815D6">
              <w:rPr>
                <w:rStyle w:val="Hipercze"/>
              </w:rPr>
              <w:t>GM2 ADR.OPS.A.005(a)     Dane dotyczące lotniska</w:t>
            </w:r>
            <w:r w:rsidR="00DF65F3">
              <w:rPr>
                <w:webHidden/>
              </w:rPr>
              <w:tab/>
            </w:r>
            <w:r w:rsidR="00DF65F3">
              <w:rPr>
                <w:webHidden/>
              </w:rPr>
              <w:fldChar w:fldCharType="begin"/>
            </w:r>
            <w:r w:rsidR="00DF65F3">
              <w:rPr>
                <w:webHidden/>
              </w:rPr>
              <w:instrText xml:space="preserve"> PAGEREF _Toc12532777 \h </w:instrText>
            </w:r>
            <w:r w:rsidR="00DF65F3">
              <w:rPr>
                <w:webHidden/>
              </w:rPr>
            </w:r>
            <w:r w:rsidR="00DF65F3">
              <w:rPr>
                <w:webHidden/>
              </w:rPr>
              <w:fldChar w:fldCharType="separate"/>
            </w:r>
            <w:r w:rsidR="00F755B7">
              <w:rPr>
                <w:webHidden/>
              </w:rPr>
              <w:t>178</w:t>
            </w:r>
            <w:r w:rsidR="00DF65F3">
              <w:rPr>
                <w:webHidden/>
              </w:rPr>
              <w:fldChar w:fldCharType="end"/>
            </w:r>
          </w:hyperlink>
        </w:p>
        <w:p w14:paraId="6B337946" w14:textId="38C18F91" w:rsidR="00DF65F3" w:rsidRDefault="00870777">
          <w:pPr>
            <w:pStyle w:val="Spistreci6"/>
            <w:rPr>
              <w:sz w:val="22"/>
              <w:lang w:val="en-GB" w:eastAsia="en-GB"/>
            </w:rPr>
          </w:pPr>
          <w:hyperlink w:anchor="_Toc12532778" w:history="1">
            <w:r w:rsidR="00DF65F3" w:rsidRPr="004815D6">
              <w:rPr>
                <w:rStyle w:val="Hipercze"/>
              </w:rPr>
              <w:t>GM3 ADR.OPS.A.005(a)     Dane dotyczące lotniska</w:t>
            </w:r>
            <w:r w:rsidR="00DF65F3">
              <w:rPr>
                <w:webHidden/>
              </w:rPr>
              <w:tab/>
            </w:r>
            <w:r w:rsidR="00DF65F3">
              <w:rPr>
                <w:webHidden/>
              </w:rPr>
              <w:fldChar w:fldCharType="begin"/>
            </w:r>
            <w:r w:rsidR="00DF65F3">
              <w:rPr>
                <w:webHidden/>
              </w:rPr>
              <w:instrText xml:space="preserve"> PAGEREF _Toc12532778 \h </w:instrText>
            </w:r>
            <w:r w:rsidR="00DF65F3">
              <w:rPr>
                <w:webHidden/>
              </w:rPr>
            </w:r>
            <w:r w:rsidR="00DF65F3">
              <w:rPr>
                <w:webHidden/>
              </w:rPr>
              <w:fldChar w:fldCharType="separate"/>
            </w:r>
            <w:r w:rsidR="00F755B7">
              <w:rPr>
                <w:webHidden/>
              </w:rPr>
              <w:t>193</w:t>
            </w:r>
            <w:r w:rsidR="00DF65F3">
              <w:rPr>
                <w:webHidden/>
              </w:rPr>
              <w:fldChar w:fldCharType="end"/>
            </w:r>
          </w:hyperlink>
        </w:p>
        <w:p w14:paraId="30C0727C" w14:textId="3F62CE11" w:rsidR="00DF65F3" w:rsidRDefault="00870777">
          <w:pPr>
            <w:pStyle w:val="Spistreci6"/>
            <w:rPr>
              <w:sz w:val="22"/>
              <w:lang w:val="en-GB" w:eastAsia="en-GB"/>
            </w:rPr>
          </w:pPr>
          <w:hyperlink w:anchor="_Toc12532779" w:history="1">
            <w:r w:rsidR="00DF65F3" w:rsidRPr="004815D6">
              <w:rPr>
                <w:rStyle w:val="Hipercze"/>
              </w:rPr>
              <w:t>GM4 ADR.OPS.A.005(a)     Dane dotyczące lotniska</w:t>
            </w:r>
            <w:r w:rsidR="00DF65F3">
              <w:rPr>
                <w:webHidden/>
              </w:rPr>
              <w:tab/>
            </w:r>
            <w:r w:rsidR="00DF65F3">
              <w:rPr>
                <w:webHidden/>
              </w:rPr>
              <w:fldChar w:fldCharType="begin"/>
            </w:r>
            <w:r w:rsidR="00DF65F3">
              <w:rPr>
                <w:webHidden/>
              </w:rPr>
              <w:instrText xml:space="preserve"> PAGEREF _Toc12532779 \h </w:instrText>
            </w:r>
            <w:r w:rsidR="00DF65F3">
              <w:rPr>
                <w:webHidden/>
              </w:rPr>
            </w:r>
            <w:r w:rsidR="00DF65F3">
              <w:rPr>
                <w:webHidden/>
              </w:rPr>
              <w:fldChar w:fldCharType="separate"/>
            </w:r>
            <w:r w:rsidR="00F755B7">
              <w:rPr>
                <w:webHidden/>
              </w:rPr>
              <w:t>193</w:t>
            </w:r>
            <w:r w:rsidR="00DF65F3">
              <w:rPr>
                <w:webHidden/>
              </w:rPr>
              <w:fldChar w:fldCharType="end"/>
            </w:r>
          </w:hyperlink>
        </w:p>
        <w:p w14:paraId="61F4C2DB" w14:textId="207C0240" w:rsidR="00DF65F3" w:rsidRDefault="00870777">
          <w:pPr>
            <w:pStyle w:val="Spistreci3"/>
            <w:rPr>
              <w:rFonts w:asciiTheme="minorHAnsi" w:eastAsiaTheme="minorEastAsia" w:hAnsiTheme="minorHAnsi" w:cstheme="minorBidi"/>
              <w:sz w:val="22"/>
              <w:lang w:val="en-GB" w:eastAsia="en-GB"/>
            </w:rPr>
          </w:pPr>
          <w:hyperlink w:anchor="_Toc12532780" w:history="1">
            <w:r w:rsidR="00DF65F3" w:rsidRPr="004815D6">
              <w:rPr>
                <w:rStyle w:val="Hipercze"/>
              </w:rPr>
              <w:t>ADR.OPS.A.010     Wymagania  dotyczące  jakości  danych</w:t>
            </w:r>
            <w:r w:rsidR="00DF65F3">
              <w:rPr>
                <w:webHidden/>
              </w:rPr>
              <w:tab/>
            </w:r>
            <w:r w:rsidR="00DF65F3">
              <w:rPr>
                <w:webHidden/>
              </w:rPr>
              <w:fldChar w:fldCharType="begin"/>
            </w:r>
            <w:r w:rsidR="00DF65F3">
              <w:rPr>
                <w:webHidden/>
              </w:rPr>
              <w:instrText xml:space="preserve"> PAGEREF _Toc12532780 \h </w:instrText>
            </w:r>
            <w:r w:rsidR="00DF65F3">
              <w:rPr>
                <w:webHidden/>
              </w:rPr>
            </w:r>
            <w:r w:rsidR="00DF65F3">
              <w:rPr>
                <w:webHidden/>
              </w:rPr>
              <w:fldChar w:fldCharType="separate"/>
            </w:r>
            <w:r w:rsidR="00F755B7">
              <w:rPr>
                <w:webHidden/>
              </w:rPr>
              <w:t>200</w:t>
            </w:r>
            <w:r w:rsidR="00DF65F3">
              <w:rPr>
                <w:webHidden/>
              </w:rPr>
              <w:fldChar w:fldCharType="end"/>
            </w:r>
          </w:hyperlink>
        </w:p>
        <w:p w14:paraId="05E4342A" w14:textId="4F62963D" w:rsidR="00DF65F3" w:rsidRDefault="00870777">
          <w:pPr>
            <w:pStyle w:val="Spistreci5"/>
            <w:rPr>
              <w:sz w:val="22"/>
              <w:lang w:val="en-GB" w:eastAsia="en-GB"/>
            </w:rPr>
          </w:pPr>
          <w:hyperlink w:anchor="_Toc12532781" w:history="1">
            <w:r w:rsidR="00DF65F3" w:rsidRPr="004815D6">
              <w:rPr>
                <w:rStyle w:val="Hipercze"/>
              </w:rPr>
              <w:t>AMC1 ADR.OPS.A.010     Wymagania dotyczące jakości danych</w:t>
            </w:r>
            <w:r w:rsidR="00DF65F3">
              <w:rPr>
                <w:webHidden/>
              </w:rPr>
              <w:tab/>
            </w:r>
            <w:r w:rsidR="00DF65F3">
              <w:rPr>
                <w:webHidden/>
              </w:rPr>
              <w:fldChar w:fldCharType="begin"/>
            </w:r>
            <w:r w:rsidR="00DF65F3">
              <w:rPr>
                <w:webHidden/>
              </w:rPr>
              <w:instrText xml:space="preserve"> PAGEREF _Toc12532781 \h </w:instrText>
            </w:r>
            <w:r w:rsidR="00DF65F3">
              <w:rPr>
                <w:webHidden/>
              </w:rPr>
            </w:r>
            <w:r w:rsidR="00DF65F3">
              <w:rPr>
                <w:webHidden/>
              </w:rPr>
              <w:fldChar w:fldCharType="separate"/>
            </w:r>
            <w:r w:rsidR="00F755B7">
              <w:rPr>
                <w:webHidden/>
              </w:rPr>
              <w:t>200</w:t>
            </w:r>
            <w:r w:rsidR="00DF65F3">
              <w:rPr>
                <w:webHidden/>
              </w:rPr>
              <w:fldChar w:fldCharType="end"/>
            </w:r>
          </w:hyperlink>
        </w:p>
        <w:p w14:paraId="1EB1D240" w14:textId="3FEBFAC1" w:rsidR="00DF65F3" w:rsidRDefault="00870777">
          <w:pPr>
            <w:pStyle w:val="Spistreci5"/>
            <w:rPr>
              <w:sz w:val="22"/>
              <w:lang w:val="en-GB" w:eastAsia="en-GB"/>
            </w:rPr>
          </w:pPr>
          <w:hyperlink w:anchor="_Toc12532782" w:history="1">
            <w:r w:rsidR="00DF65F3" w:rsidRPr="004815D6">
              <w:rPr>
                <w:rStyle w:val="Hipercze"/>
              </w:rPr>
              <w:t>AMC2 ADR.OPS.A.010     Wymagania dotyczące jakości danych</w:t>
            </w:r>
            <w:r w:rsidR="00DF65F3">
              <w:rPr>
                <w:webHidden/>
              </w:rPr>
              <w:tab/>
            </w:r>
            <w:r w:rsidR="00DF65F3">
              <w:rPr>
                <w:webHidden/>
              </w:rPr>
              <w:fldChar w:fldCharType="begin"/>
            </w:r>
            <w:r w:rsidR="00DF65F3">
              <w:rPr>
                <w:webHidden/>
              </w:rPr>
              <w:instrText xml:space="preserve"> PAGEREF _Toc12532782 \h </w:instrText>
            </w:r>
            <w:r w:rsidR="00DF65F3">
              <w:rPr>
                <w:webHidden/>
              </w:rPr>
            </w:r>
            <w:r w:rsidR="00DF65F3">
              <w:rPr>
                <w:webHidden/>
              </w:rPr>
              <w:fldChar w:fldCharType="separate"/>
            </w:r>
            <w:r w:rsidR="00F755B7">
              <w:rPr>
                <w:webHidden/>
              </w:rPr>
              <w:t>205</w:t>
            </w:r>
            <w:r w:rsidR="00DF65F3">
              <w:rPr>
                <w:webHidden/>
              </w:rPr>
              <w:fldChar w:fldCharType="end"/>
            </w:r>
          </w:hyperlink>
        </w:p>
        <w:p w14:paraId="26DBB46C" w14:textId="1A5E3E5A" w:rsidR="00DF65F3" w:rsidRDefault="00870777">
          <w:pPr>
            <w:pStyle w:val="Spistreci6"/>
            <w:rPr>
              <w:sz w:val="22"/>
              <w:lang w:val="en-GB" w:eastAsia="en-GB"/>
            </w:rPr>
          </w:pPr>
          <w:hyperlink w:anchor="_Toc12532783" w:history="1">
            <w:r w:rsidR="00DF65F3" w:rsidRPr="004815D6">
              <w:rPr>
                <w:rStyle w:val="Hipercze"/>
              </w:rPr>
              <w:t>GM1 ADR.OPS.A.010     Wymagania dotyczące jakości danych</w:t>
            </w:r>
            <w:r w:rsidR="00DF65F3">
              <w:rPr>
                <w:webHidden/>
              </w:rPr>
              <w:tab/>
            </w:r>
            <w:r w:rsidR="00DF65F3">
              <w:rPr>
                <w:webHidden/>
              </w:rPr>
              <w:fldChar w:fldCharType="begin"/>
            </w:r>
            <w:r w:rsidR="00DF65F3">
              <w:rPr>
                <w:webHidden/>
              </w:rPr>
              <w:instrText xml:space="preserve"> PAGEREF _Toc12532783 \h </w:instrText>
            </w:r>
            <w:r w:rsidR="00DF65F3">
              <w:rPr>
                <w:webHidden/>
              </w:rPr>
            </w:r>
            <w:r w:rsidR="00DF65F3">
              <w:rPr>
                <w:webHidden/>
              </w:rPr>
              <w:fldChar w:fldCharType="separate"/>
            </w:r>
            <w:r w:rsidR="00F755B7">
              <w:rPr>
                <w:webHidden/>
              </w:rPr>
              <w:t>206</w:t>
            </w:r>
            <w:r w:rsidR="00DF65F3">
              <w:rPr>
                <w:webHidden/>
              </w:rPr>
              <w:fldChar w:fldCharType="end"/>
            </w:r>
          </w:hyperlink>
        </w:p>
        <w:p w14:paraId="55A55E89" w14:textId="5F9B51BE" w:rsidR="00DF65F3" w:rsidRDefault="00870777">
          <w:pPr>
            <w:pStyle w:val="Spistreci3"/>
            <w:rPr>
              <w:rFonts w:asciiTheme="minorHAnsi" w:eastAsiaTheme="minorEastAsia" w:hAnsiTheme="minorHAnsi" w:cstheme="minorBidi"/>
              <w:sz w:val="22"/>
              <w:lang w:val="en-GB" w:eastAsia="en-GB"/>
            </w:rPr>
          </w:pPr>
          <w:hyperlink w:anchor="_Toc12532784" w:history="1">
            <w:r w:rsidR="00DF65F3" w:rsidRPr="004815D6">
              <w:rPr>
                <w:rStyle w:val="Hipercze"/>
              </w:rPr>
              <w:t>ADR.OPS.A.015     Koordynacja działań między operatorami lotnisk i instytucjami zapewniającymi służby informacji lotniczej</w:t>
            </w:r>
            <w:r w:rsidR="00DF65F3">
              <w:rPr>
                <w:webHidden/>
              </w:rPr>
              <w:tab/>
            </w:r>
            <w:r w:rsidR="00DF65F3">
              <w:rPr>
                <w:webHidden/>
              </w:rPr>
              <w:fldChar w:fldCharType="begin"/>
            </w:r>
            <w:r w:rsidR="00DF65F3">
              <w:rPr>
                <w:webHidden/>
              </w:rPr>
              <w:instrText xml:space="preserve"> PAGEREF _Toc12532784 \h </w:instrText>
            </w:r>
            <w:r w:rsidR="00DF65F3">
              <w:rPr>
                <w:webHidden/>
              </w:rPr>
            </w:r>
            <w:r w:rsidR="00DF65F3">
              <w:rPr>
                <w:webHidden/>
              </w:rPr>
              <w:fldChar w:fldCharType="separate"/>
            </w:r>
            <w:r w:rsidR="00F755B7">
              <w:rPr>
                <w:webHidden/>
              </w:rPr>
              <w:t>206</w:t>
            </w:r>
            <w:r w:rsidR="00DF65F3">
              <w:rPr>
                <w:webHidden/>
              </w:rPr>
              <w:fldChar w:fldCharType="end"/>
            </w:r>
          </w:hyperlink>
        </w:p>
        <w:p w14:paraId="44289CAA" w14:textId="4838BAA5" w:rsidR="00DF65F3" w:rsidRDefault="00870777">
          <w:pPr>
            <w:pStyle w:val="Spistreci5"/>
            <w:rPr>
              <w:sz w:val="22"/>
              <w:lang w:val="en-GB" w:eastAsia="en-GB"/>
            </w:rPr>
          </w:pPr>
          <w:hyperlink w:anchor="_Toc12532785" w:history="1">
            <w:r w:rsidR="00DF65F3" w:rsidRPr="004815D6">
              <w:rPr>
                <w:rStyle w:val="Hipercze"/>
              </w:rPr>
              <w:t>AMC1 ADR.OPS.A.015      Koordynacja pomiędzy operatorem lotniska i instytucją       zapewniającą służbę informacji lotniczej</w:t>
            </w:r>
            <w:r w:rsidR="00DF65F3">
              <w:rPr>
                <w:webHidden/>
              </w:rPr>
              <w:tab/>
            </w:r>
            <w:r w:rsidR="00DF65F3">
              <w:rPr>
                <w:webHidden/>
              </w:rPr>
              <w:fldChar w:fldCharType="begin"/>
            </w:r>
            <w:r w:rsidR="00DF65F3">
              <w:rPr>
                <w:webHidden/>
              </w:rPr>
              <w:instrText xml:space="preserve"> PAGEREF _Toc12532785 \h </w:instrText>
            </w:r>
            <w:r w:rsidR="00DF65F3">
              <w:rPr>
                <w:webHidden/>
              </w:rPr>
            </w:r>
            <w:r w:rsidR="00DF65F3">
              <w:rPr>
                <w:webHidden/>
              </w:rPr>
              <w:fldChar w:fldCharType="separate"/>
            </w:r>
            <w:r w:rsidR="00F755B7">
              <w:rPr>
                <w:webHidden/>
              </w:rPr>
              <w:t>206</w:t>
            </w:r>
            <w:r w:rsidR="00DF65F3">
              <w:rPr>
                <w:webHidden/>
              </w:rPr>
              <w:fldChar w:fldCharType="end"/>
            </w:r>
          </w:hyperlink>
        </w:p>
        <w:p w14:paraId="650EF900" w14:textId="664E8909" w:rsidR="00DF65F3" w:rsidRDefault="00870777">
          <w:pPr>
            <w:pStyle w:val="Spistreci2"/>
            <w:rPr>
              <w:rFonts w:asciiTheme="minorHAnsi" w:eastAsiaTheme="minorEastAsia" w:hAnsiTheme="minorHAnsi" w:cstheme="minorBidi"/>
              <w:sz w:val="22"/>
              <w:lang w:val="en-GB" w:eastAsia="en-GB"/>
            </w:rPr>
          </w:pPr>
          <w:hyperlink w:anchor="_Toc12532786" w:history="1">
            <w:r w:rsidR="00DF65F3" w:rsidRPr="004815D6">
              <w:rPr>
                <w:rStyle w:val="Hipercze"/>
              </w:rPr>
              <w:t>PODCZĘŚĆ B — SŁUŻBY OPERACYJNE, WYPOSAŻENIE I INSTALACJE LOTNISKA  (ADR.OPS.B)</w:t>
            </w:r>
            <w:r w:rsidR="00DF65F3">
              <w:rPr>
                <w:webHidden/>
              </w:rPr>
              <w:tab/>
            </w:r>
            <w:r w:rsidR="00DF65F3">
              <w:rPr>
                <w:webHidden/>
              </w:rPr>
              <w:fldChar w:fldCharType="begin"/>
            </w:r>
            <w:r w:rsidR="00DF65F3">
              <w:rPr>
                <w:webHidden/>
              </w:rPr>
              <w:instrText xml:space="preserve"> PAGEREF _Toc12532786 \h </w:instrText>
            </w:r>
            <w:r w:rsidR="00DF65F3">
              <w:rPr>
                <w:webHidden/>
              </w:rPr>
            </w:r>
            <w:r w:rsidR="00DF65F3">
              <w:rPr>
                <w:webHidden/>
              </w:rPr>
              <w:fldChar w:fldCharType="separate"/>
            </w:r>
            <w:r w:rsidR="00F755B7">
              <w:rPr>
                <w:webHidden/>
              </w:rPr>
              <w:t>208</w:t>
            </w:r>
            <w:r w:rsidR="00DF65F3">
              <w:rPr>
                <w:webHidden/>
              </w:rPr>
              <w:fldChar w:fldCharType="end"/>
            </w:r>
          </w:hyperlink>
        </w:p>
        <w:p w14:paraId="0A736DA3" w14:textId="12C20304" w:rsidR="00DF65F3" w:rsidRDefault="00870777">
          <w:pPr>
            <w:pStyle w:val="Spistreci3"/>
            <w:rPr>
              <w:rFonts w:asciiTheme="minorHAnsi" w:eastAsiaTheme="minorEastAsia" w:hAnsiTheme="minorHAnsi" w:cstheme="minorBidi"/>
              <w:sz w:val="22"/>
              <w:lang w:val="en-GB" w:eastAsia="en-GB"/>
            </w:rPr>
          </w:pPr>
          <w:hyperlink w:anchor="_Toc12532787" w:history="1">
            <w:r w:rsidR="00DF65F3" w:rsidRPr="004815D6">
              <w:rPr>
                <w:rStyle w:val="Hipercze"/>
              </w:rPr>
              <w:t>ADR.OPS.B.001     Zapewnienie służb</w:t>
            </w:r>
            <w:r w:rsidR="00DF65F3">
              <w:rPr>
                <w:webHidden/>
              </w:rPr>
              <w:tab/>
            </w:r>
            <w:r w:rsidR="00DF65F3">
              <w:rPr>
                <w:webHidden/>
              </w:rPr>
              <w:fldChar w:fldCharType="begin"/>
            </w:r>
            <w:r w:rsidR="00DF65F3">
              <w:rPr>
                <w:webHidden/>
              </w:rPr>
              <w:instrText xml:space="preserve"> PAGEREF _Toc12532787 \h </w:instrText>
            </w:r>
            <w:r w:rsidR="00DF65F3">
              <w:rPr>
                <w:webHidden/>
              </w:rPr>
            </w:r>
            <w:r w:rsidR="00DF65F3">
              <w:rPr>
                <w:webHidden/>
              </w:rPr>
              <w:fldChar w:fldCharType="separate"/>
            </w:r>
            <w:r w:rsidR="00F755B7">
              <w:rPr>
                <w:webHidden/>
              </w:rPr>
              <w:t>208</w:t>
            </w:r>
            <w:r w:rsidR="00DF65F3">
              <w:rPr>
                <w:webHidden/>
              </w:rPr>
              <w:fldChar w:fldCharType="end"/>
            </w:r>
          </w:hyperlink>
        </w:p>
        <w:p w14:paraId="0941CAA1" w14:textId="1DF4DAD2" w:rsidR="00DF65F3" w:rsidRDefault="00870777">
          <w:pPr>
            <w:pStyle w:val="Spistreci6"/>
            <w:rPr>
              <w:sz w:val="22"/>
              <w:lang w:val="en-GB" w:eastAsia="en-GB"/>
            </w:rPr>
          </w:pPr>
          <w:hyperlink w:anchor="_Toc12532788" w:history="1">
            <w:r w:rsidR="00DF65F3" w:rsidRPr="004815D6">
              <w:rPr>
                <w:rStyle w:val="Hipercze"/>
              </w:rPr>
              <w:t>GM1 ADR.OPS.B.001     Zapewnienie służb</w:t>
            </w:r>
            <w:r w:rsidR="00DF65F3">
              <w:rPr>
                <w:webHidden/>
              </w:rPr>
              <w:tab/>
            </w:r>
            <w:r w:rsidR="00DF65F3">
              <w:rPr>
                <w:webHidden/>
              </w:rPr>
              <w:fldChar w:fldCharType="begin"/>
            </w:r>
            <w:r w:rsidR="00DF65F3">
              <w:rPr>
                <w:webHidden/>
              </w:rPr>
              <w:instrText xml:space="preserve"> PAGEREF _Toc12532788 \h </w:instrText>
            </w:r>
            <w:r w:rsidR="00DF65F3">
              <w:rPr>
                <w:webHidden/>
              </w:rPr>
            </w:r>
            <w:r w:rsidR="00DF65F3">
              <w:rPr>
                <w:webHidden/>
              </w:rPr>
              <w:fldChar w:fldCharType="separate"/>
            </w:r>
            <w:r w:rsidR="00F755B7">
              <w:rPr>
                <w:webHidden/>
              </w:rPr>
              <w:t>208</w:t>
            </w:r>
            <w:r w:rsidR="00DF65F3">
              <w:rPr>
                <w:webHidden/>
              </w:rPr>
              <w:fldChar w:fldCharType="end"/>
            </w:r>
          </w:hyperlink>
        </w:p>
        <w:p w14:paraId="3C072FBF" w14:textId="7D58055E" w:rsidR="00DF65F3" w:rsidRDefault="00870777">
          <w:pPr>
            <w:pStyle w:val="Spistreci3"/>
            <w:rPr>
              <w:rFonts w:asciiTheme="minorHAnsi" w:eastAsiaTheme="minorEastAsia" w:hAnsiTheme="minorHAnsi" w:cstheme="minorBidi"/>
              <w:sz w:val="22"/>
              <w:lang w:val="en-GB" w:eastAsia="en-GB"/>
            </w:rPr>
          </w:pPr>
          <w:hyperlink w:anchor="_Toc12532789" w:history="1">
            <w:r w:rsidR="00DF65F3" w:rsidRPr="004815D6">
              <w:rPr>
                <w:rStyle w:val="Hipercze"/>
              </w:rPr>
              <w:t>ADR.OPS.B.005     Plan działania w  sytuacjach zagrożenia dla lotniska</w:t>
            </w:r>
            <w:r w:rsidR="00DF65F3">
              <w:rPr>
                <w:webHidden/>
              </w:rPr>
              <w:tab/>
            </w:r>
            <w:r w:rsidR="00DF65F3">
              <w:rPr>
                <w:webHidden/>
              </w:rPr>
              <w:fldChar w:fldCharType="begin"/>
            </w:r>
            <w:r w:rsidR="00DF65F3">
              <w:rPr>
                <w:webHidden/>
              </w:rPr>
              <w:instrText xml:space="preserve"> PAGEREF _Toc12532789 \h </w:instrText>
            </w:r>
            <w:r w:rsidR="00DF65F3">
              <w:rPr>
                <w:webHidden/>
              </w:rPr>
            </w:r>
            <w:r w:rsidR="00DF65F3">
              <w:rPr>
                <w:webHidden/>
              </w:rPr>
              <w:fldChar w:fldCharType="separate"/>
            </w:r>
            <w:r w:rsidR="00F755B7">
              <w:rPr>
                <w:webHidden/>
              </w:rPr>
              <w:t>208</w:t>
            </w:r>
            <w:r w:rsidR="00DF65F3">
              <w:rPr>
                <w:webHidden/>
              </w:rPr>
              <w:fldChar w:fldCharType="end"/>
            </w:r>
          </w:hyperlink>
        </w:p>
        <w:p w14:paraId="7ABF8122" w14:textId="166A62D4" w:rsidR="00DF65F3" w:rsidRDefault="00870777">
          <w:pPr>
            <w:pStyle w:val="Spistreci5"/>
            <w:rPr>
              <w:sz w:val="22"/>
              <w:lang w:val="en-GB" w:eastAsia="en-GB"/>
            </w:rPr>
          </w:pPr>
          <w:hyperlink w:anchor="_Toc12532790" w:history="1">
            <w:r w:rsidR="00DF65F3" w:rsidRPr="004815D6">
              <w:rPr>
                <w:rStyle w:val="Hipercze"/>
              </w:rPr>
              <w:t>AMC1 ADR.OPS.B.005(b)     Plan działania w sytuacjach zagrożenia dla lotniska</w:t>
            </w:r>
            <w:r w:rsidR="00DF65F3">
              <w:rPr>
                <w:webHidden/>
              </w:rPr>
              <w:tab/>
            </w:r>
            <w:r w:rsidR="00DF65F3">
              <w:rPr>
                <w:webHidden/>
              </w:rPr>
              <w:fldChar w:fldCharType="begin"/>
            </w:r>
            <w:r w:rsidR="00DF65F3">
              <w:rPr>
                <w:webHidden/>
              </w:rPr>
              <w:instrText xml:space="preserve"> PAGEREF _Toc12532790 \h </w:instrText>
            </w:r>
            <w:r w:rsidR="00DF65F3">
              <w:rPr>
                <w:webHidden/>
              </w:rPr>
            </w:r>
            <w:r w:rsidR="00DF65F3">
              <w:rPr>
                <w:webHidden/>
              </w:rPr>
              <w:fldChar w:fldCharType="separate"/>
            </w:r>
            <w:r w:rsidR="00F755B7">
              <w:rPr>
                <w:webHidden/>
              </w:rPr>
              <w:t>208</w:t>
            </w:r>
            <w:r w:rsidR="00DF65F3">
              <w:rPr>
                <w:webHidden/>
              </w:rPr>
              <w:fldChar w:fldCharType="end"/>
            </w:r>
          </w:hyperlink>
        </w:p>
        <w:p w14:paraId="1FC9F1E2" w14:textId="591A395D" w:rsidR="00DF65F3" w:rsidRDefault="00870777">
          <w:pPr>
            <w:pStyle w:val="Spistreci5"/>
            <w:rPr>
              <w:sz w:val="22"/>
              <w:lang w:val="en-GB" w:eastAsia="en-GB"/>
            </w:rPr>
          </w:pPr>
          <w:hyperlink w:anchor="_Toc12532791" w:history="1">
            <w:r w:rsidR="00DF65F3" w:rsidRPr="004815D6">
              <w:rPr>
                <w:rStyle w:val="Hipercze"/>
              </w:rPr>
              <w:t>AMC2 ADR.OPS.B.005(b)     Plan działania w sytuacjach zagrożenia dla lotniska</w:t>
            </w:r>
            <w:r w:rsidR="00DF65F3">
              <w:rPr>
                <w:webHidden/>
              </w:rPr>
              <w:tab/>
            </w:r>
            <w:r w:rsidR="00DF65F3">
              <w:rPr>
                <w:webHidden/>
              </w:rPr>
              <w:fldChar w:fldCharType="begin"/>
            </w:r>
            <w:r w:rsidR="00DF65F3">
              <w:rPr>
                <w:webHidden/>
              </w:rPr>
              <w:instrText xml:space="preserve"> PAGEREF _Toc12532791 \h </w:instrText>
            </w:r>
            <w:r w:rsidR="00DF65F3">
              <w:rPr>
                <w:webHidden/>
              </w:rPr>
            </w:r>
            <w:r w:rsidR="00DF65F3">
              <w:rPr>
                <w:webHidden/>
              </w:rPr>
              <w:fldChar w:fldCharType="separate"/>
            </w:r>
            <w:r w:rsidR="00F755B7">
              <w:rPr>
                <w:webHidden/>
              </w:rPr>
              <w:t>209</w:t>
            </w:r>
            <w:r w:rsidR="00DF65F3">
              <w:rPr>
                <w:webHidden/>
              </w:rPr>
              <w:fldChar w:fldCharType="end"/>
            </w:r>
          </w:hyperlink>
        </w:p>
        <w:p w14:paraId="215140BF" w14:textId="467B70A2" w:rsidR="00DF65F3" w:rsidRDefault="00870777">
          <w:pPr>
            <w:pStyle w:val="Spistreci5"/>
            <w:rPr>
              <w:sz w:val="22"/>
              <w:lang w:val="en-GB" w:eastAsia="en-GB"/>
            </w:rPr>
          </w:pPr>
          <w:hyperlink w:anchor="_Toc12532792" w:history="1">
            <w:r w:rsidR="00DF65F3" w:rsidRPr="004815D6">
              <w:rPr>
                <w:rStyle w:val="Hipercze"/>
              </w:rPr>
              <w:t>AMC1 ADR.OPS.B.005(c)     Plan działania w sytuacjach zagrożenia dla lotniska</w:t>
            </w:r>
            <w:r w:rsidR="00DF65F3">
              <w:rPr>
                <w:webHidden/>
              </w:rPr>
              <w:tab/>
            </w:r>
            <w:r w:rsidR="00DF65F3">
              <w:rPr>
                <w:webHidden/>
              </w:rPr>
              <w:fldChar w:fldCharType="begin"/>
            </w:r>
            <w:r w:rsidR="00DF65F3">
              <w:rPr>
                <w:webHidden/>
              </w:rPr>
              <w:instrText xml:space="preserve"> PAGEREF _Toc12532792 \h </w:instrText>
            </w:r>
            <w:r w:rsidR="00DF65F3">
              <w:rPr>
                <w:webHidden/>
              </w:rPr>
            </w:r>
            <w:r w:rsidR="00DF65F3">
              <w:rPr>
                <w:webHidden/>
              </w:rPr>
              <w:fldChar w:fldCharType="separate"/>
            </w:r>
            <w:r w:rsidR="00F755B7">
              <w:rPr>
                <w:webHidden/>
              </w:rPr>
              <w:t>209</w:t>
            </w:r>
            <w:r w:rsidR="00DF65F3">
              <w:rPr>
                <w:webHidden/>
              </w:rPr>
              <w:fldChar w:fldCharType="end"/>
            </w:r>
          </w:hyperlink>
        </w:p>
        <w:p w14:paraId="452DAA77" w14:textId="031E868E" w:rsidR="00DF65F3" w:rsidRDefault="00870777">
          <w:pPr>
            <w:pStyle w:val="Spistreci6"/>
            <w:rPr>
              <w:sz w:val="22"/>
              <w:lang w:val="en-GB" w:eastAsia="en-GB"/>
            </w:rPr>
          </w:pPr>
          <w:hyperlink w:anchor="_Toc12532793" w:history="1">
            <w:r w:rsidR="00DF65F3" w:rsidRPr="004815D6">
              <w:rPr>
                <w:rStyle w:val="Hipercze"/>
              </w:rPr>
              <w:t>GM1 ADR.OPS.B.005(a)     Plan działania w sytuacjach zagrożenia dla lotniska</w:t>
            </w:r>
            <w:r w:rsidR="00DF65F3">
              <w:rPr>
                <w:webHidden/>
              </w:rPr>
              <w:tab/>
            </w:r>
            <w:r w:rsidR="00DF65F3">
              <w:rPr>
                <w:webHidden/>
              </w:rPr>
              <w:fldChar w:fldCharType="begin"/>
            </w:r>
            <w:r w:rsidR="00DF65F3">
              <w:rPr>
                <w:webHidden/>
              </w:rPr>
              <w:instrText xml:space="preserve"> PAGEREF _Toc12532793 \h </w:instrText>
            </w:r>
            <w:r w:rsidR="00DF65F3">
              <w:rPr>
                <w:webHidden/>
              </w:rPr>
            </w:r>
            <w:r w:rsidR="00DF65F3">
              <w:rPr>
                <w:webHidden/>
              </w:rPr>
              <w:fldChar w:fldCharType="separate"/>
            </w:r>
            <w:r w:rsidR="00F755B7">
              <w:rPr>
                <w:webHidden/>
              </w:rPr>
              <w:t>209</w:t>
            </w:r>
            <w:r w:rsidR="00DF65F3">
              <w:rPr>
                <w:webHidden/>
              </w:rPr>
              <w:fldChar w:fldCharType="end"/>
            </w:r>
          </w:hyperlink>
        </w:p>
        <w:p w14:paraId="03F17139" w14:textId="76720949" w:rsidR="00DF65F3" w:rsidRDefault="00870777">
          <w:pPr>
            <w:pStyle w:val="Spistreci6"/>
            <w:rPr>
              <w:sz w:val="22"/>
              <w:lang w:val="en-GB" w:eastAsia="en-GB"/>
            </w:rPr>
          </w:pPr>
          <w:hyperlink w:anchor="_Toc12532794" w:history="1">
            <w:r w:rsidR="00DF65F3" w:rsidRPr="004815D6">
              <w:rPr>
                <w:rStyle w:val="Hipercze"/>
              </w:rPr>
              <w:t>GM2 ADR.OPS.B.005(a)     Plan działania w sytuacjach zagrożenia dla lotniska</w:t>
            </w:r>
            <w:r w:rsidR="00DF65F3">
              <w:rPr>
                <w:webHidden/>
              </w:rPr>
              <w:tab/>
            </w:r>
            <w:r w:rsidR="00DF65F3">
              <w:rPr>
                <w:webHidden/>
              </w:rPr>
              <w:fldChar w:fldCharType="begin"/>
            </w:r>
            <w:r w:rsidR="00DF65F3">
              <w:rPr>
                <w:webHidden/>
              </w:rPr>
              <w:instrText xml:space="preserve"> PAGEREF _Toc12532794 \h </w:instrText>
            </w:r>
            <w:r w:rsidR="00DF65F3">
              <w:rPr>
                <w:webHidden/>
              </w:rPr>
            </w:r>
            <w:r w:rsidR="00DF65F3">
              <w:rPr>
                <w:webHidden/>
              </w:rPr>
              <w:fldChar w:fldCharType="separate"/>
            </w:r>
            <w:r w:rsidR="00F755B7">
              <w:rPr>
                <w:webHidden/>
              </w:rPr>
              <w:t>210</w:t>
            </w:r>
            <w:r w:rsidR="00DF65F3">
              <w:rPr>
                <w:webHidden/>
              </w:rPr>
              <w:fldChar w:fldCharType="end"/>
            </w:r>
          </w:hyperlink>
        </w:p>
        <w:p w14:paraId="609150F3" w14:textId="68F07D35" w:rsidR="00DF65F3" w:rsidRDefault="00870777">
          <w:pPr>
            <w:pStyle w:val="Spistreci6"/>
            <w:rPr>
              <w:sz w:val="22"/>
              <w:lang w:val="en-GB" w:eastAsia="en-GB"/>
            </w:rPr>
          </w:pPr>
          <w:hyperlink w:anchor="_Toc12532795" w:history="1">
            <w:r w:rsidR="00DF65F3" w:rsidRPr="004815D6">
              <w:rPr>
                <w:rStyle w:val="Hipercze"/>
              </w:rPr>
              <w:t>GM3 ADR.OPS.B.005(a)     Plan działania w sytuacjach zagrożenia dla lotniska</w:t>
            </w:r>
            <w:r w:rsidR="00DF65F3">
              <w:rPr>
                <w:webHidden/>
              </w:rPr>
              <w:tab/>
            </w:r>
            <w:r w:rsidR="00DF65F3">
              <w:rPr>
                <w:webHidden/>
              </w:rPr>
              <w:fldChar w:fldCharType="begin"/>
            </w:r>
            <w:r w:rsidR="00DF65F3">
              <w:rPr>
                <w:webHidden/>
              </w:rPr>
              <w:instrText xml:space="preserve"> PAGEREF _Toc12532795 \h </w:instrText>
            </w:r>
            <w:r w:rsidR="00DF65F3">
              <w:rPr>
                <w:webHidden/>
              </w:rPr>
            </w:r>
            <w:r w:rsidR="00DF65F3">
              <w:rPr>
                <w:webHidden/>
              </w:rPr>
              <w:fldChar w:fldCharType="separate"/>
            </w:r>
            <w:r w:rsidR="00F755B7">
              <w:rPr>
                <w:webHidden/>
              </w:rPr>
              <w:t>211</w:t>
            </w:r>
            <w:r w:rsidR="00DF65F3">
              <w:rPr>
                <w:webHidden/>
              </w:rPr>
              <w:fldChar w:fldCharType="end"/>
            </w:r>
          </w:hyperlink>
        </w:p>
        <w:p w14:paraId="41DB71CA" w14:textId="412AF138" w:rsidR="00DF65F3" w:rsidRDefault="00870777">
          <w:pPr>
            <w:pStyle w:val="Spistreci6"/>
            <w:rPr>
              <w:sz w:val="22"/>
              <w:lang w:val="en-GB" w:eastAsia="en-GB"/>
            </w:rPr>
          </w:pPr>
          <w:hyperlink w:anchor="_Toc12532796" w:history="1">
            <w:r w:rsidR="00DF65F3" w:rsidRPr="004815D6">
              <w:rPr>
                <w:rStyle w:val="Hipercze"/>
              </w:rPr>
              <w:t>GM4 ADR.OPS.B.005(a)     Plan działania w sytuacjach zagrożenia dla lotniska</w:t>
            </w:r>
            <w:r w:rsidR="00DF65F3">
              <w:rPr>
                <w:webHidden/>
              </w:rPr>
              <w:tab/>
            </w:r>
            <w:r w:rsidR="00DF65F3">
              <w:rPr>
                <w:webHidden/>
              </w:rPr>
              <w:fldChar w:fldCharType="begin"/>
            </w:r>
            <w:r w:rsidR="00DF65F3">
              <w:rPr>
                <w:webHidden/>
              </w:rPr>
              <w:instrText xml:space="preserve"> PAGEREF _Toc12532796 \h </w:instrText>
            </w:r>
            <w:r w:rsidR="00DF65F3">
              <w:rPr>
                <w:webHidden/>
              </w:rPr>
            </w:r>
            <w:r w:rsidR="00DF65F3">
              <w:rPr>
                <w:webHidden/>
              </w:rPr>
              <w:fldChar w:fldCharType="separate"/>
            </w:r>
            <w:r w:rsidR="00F755B7">
              <w:rPr>
                <w:webHidden/>
              </w:rPr>
              <w:t>215</w:t>
            </w:r>
            <w:r w:rsidR="00DF65F3">
              <w:rPr>
                <w:webHidden/>
              </w:rPr>
              <w:fldChar w:fldCharType="end"/>
            </w:r>
          </w:hyperlink>
        </w:p>
        <w:p w14:paraId="1AA9215C" w14:textId="47AC0FD9" w:rsidR="00DF65F3" w:rsidRDefault="00870777">
          <w:pPr>
            <w:pStyle w:val="Spistreci6"/>
            <w:rPr>
              <w:sz w:val="22"/>
              <w:lang w:val="en-GB" w:eastAsia="en-GB"/>
            </w:rPr>
          </w:pPr>
          <w:hyperlink w:anchor="_Toc12532797" w:history="1">
            <w:r w:rsidR="00DF65F3" w:rsidRPr="004815D6">
              <w:rPr>
                <w:rStyle w:val="Hipercze"/>
              </w:rPr>
              <w:t>GM5 ADR.OPS.B.005(a)     Plan działania w sytuacjach zagrożenia dla lotniska</w:t>
            </w:r>
            <w:r w:rsidR="00DF65F3">
              <w:rPr>
                <w:webHidden/>
              </w:rPr>
              <w:tab/>
            </w:r>
            <w:r w:rsidR="00DF65F3">
              <w:rPr>
                <w:webHidden/>
              </w:rPr>
              <w:fldChar w:fldCharType="begin"/>
            </w:r>
            <w:r w:rsidR="00DF65F3">
              <w:rPr>
                <w:webHidden/>
              </w:rPr>
              <w:instrText xml:space="preserve"> PAGEREF _Toc12532797 \h </w:instrText>
            </w:r>
            <w:r w:rsidR="00DF65F3">
              <w:rPr>
                <w:webHidden/>
              </w:rPr>
            </w:r>
            <w:r w:rsidR="00DF65F3">
              <w:rPr>
                <w:webHidden/>
              </w:rPr>
              <w:fldChar w:fldCharType="separate"/>
            </w:r>
            <w:r w:rsidR="00F755B7">
              <w:rPr>
                <w:webHidden/>
              </w:rPr>
              <w:t>216</w:t>
            </w:r>
            <w:r w:rsidR="00DF65F3">
              <w:rPr>
                <w:webHidden/>
              </w:rPr>
              <w:fldChar w:fldCharType="end"/>
            </w:r>
          </w:hyperlink>
        </w:p>
        <w:p w14:paraId="65718B21" w14:textId="355BBE2C" w:rsidR="00DF65F3" w:rsidRDefault="00870777">
          <w:pPr>
            <w:pStyle w:val="Spistreci6"/>
            <w:rPr>
              <w:sz w:val="22"/>
              <w:lang w:val="en-GB" w:eastAsia="en-GB"/>
            </w:rPr>
          </w:pPr>
          <w:hyperlink w:anchor="_Toc12532798" w:history="1">
            <w:r w:rsidR="00DF65F3" w:rsidRPr="004815D6">
              <w:rPr>
                <w:rStyle w:val="Hipercze"/>
              </w:rPr>
              <w:t>GM1 ADR.OPS.B.005(b)     Plan działania w sytuacjach zagrożenia dla lotniska</w:t>
            </w:r>
            <w:r w:rsidR="00DF65F3">
              <w:rPr>
                <w:webHidden/>
              </w:rPr>
              <w:tab/>
            </w:r>
            <w:r w:rsidR="00DF65F3">
              <w:rPr>
                <w:webHidden/>
              </w:rPr>
              <w:fldChar w:fldCharType="begin"/>
            </w:r>
            <w:r w:rsidR="00DF65F3">
              <w:rPr>
                <w:webHidden/>
              </w:rPr>
              <w:instrText xml:space="preserve"> PAGEREF _Toc12532798 \h </w:instrText>
            </w:r>
            <w:r w:rsidR="00DF65F3">
              <w:rPr>
                <w:webHidden/>
              </w:rPr>
            </w:r>
            <w:r w:rsidR="00DF65F3">
              <w:rPr>
                <w:webHidden/>
              </w:rPr>
              <w:fldChar w:fldCharType="separate"/>
            </w:r>
            <w:r w:rsidR="00F755B7">
              <w:rPr>
                <w:webHidden/>
              </w:rPr>
              <w:t>216</w:t>
            </w:r>
            <w:r w:rsidR="00DF65F3">
              <w:rPr>
                <w:webHidden/>
              </w:rPr>
              <w:fldChar w:fldCharType="end"/>
            </w:r>
          </w:hyperlink>
        </w:p>
        <w:p w14:paraId="4FF3607B" w14:textId="37649EE9" w:rsidR="00DF65F3" w:rsidRDefault="00870777">
          <w:pPr>
            <w:pStyle w:val="Spistreci6"/>
            <w:rPr>
              <w:sz w:val="22"/>
              <w:lang w:val="en-GB" w:eastAsia="en-GB"/>
            </w:rPr>
          </w:pPr>
          <w:hyperlink w:anchor="_Toc12532799" w:history="1">
            <w:r w:rsidR="00DF65F3" w:rsidRPr="004815D6">
              <w:rPr>
                <w:rStyle w:val="Hipercze"/>
              </w:rPr>
              <w:t>GM2 ADR.OPS.B.005(b)     Plan działania w sytuacjach zagrożenia dla lotniska</w:t>
            </w:r>
            <w:r w:rsidR="00DF65F3">
              <w:rPr>
                <w:webHidden/>
              </w:rPr>
              <w:tab/>
            </w:r>
            <w:r w:rsidR="00DF65F3">
              <w:rPr>
                <w:webHidden/>
              </w:rPr>
              <w:fldChar w:fldCharType="begin"/>
            </w:r>
            <w:r w:rsidR="00DF65F3">
              <w:rPr>
                <w:webHidden/>
              </w:rPr>
              <w:instrText xml:space="preserve"> PAGEREF _Toc12532799 \h </w:instrText>
            </w:r>
            <w:r w:rsidR="00DF65F3">
              <w:rPr>
                <w:webHidden/>
              </w:rPr>
            </w:r>
            <w:r w:rsidR="00DF65F3">
              <w:rPr>
                <w:webHidden/>
              </w:rPr>
              <w:fldChar w:fldCharType="separate"/>
            </w:r>
            <w:r w:rsidR="00F755B7">
              <w:rPr>
                <w:webHidden/>
              </w:rPr>
              <w:t>217</w:t>
            </w:r>
            <w:r w:rsidR="00DF65F3">
              <w:rPr>
                <w:webHidden/>
              </w:rPr>
              <w:fldChar w:fldCharType="end"/>
            </w:r>
          </w:hyperlink>
        </w:p>
        <w:p w14:paraId="46C93350" w14:textId="395A7E30" w:rsidR="00DF65F3" w:rsidRDefault="00870777">
          <w:pPr>
            <w:pStyle w:val="Spistreci6"/>
            <w:rPr>
              <w:sz w:val="22"/>
              <w:lang w:val="en-GB" w:eastAsia="en-GB"/>
            </w:rPr>
          </w:pPr>
          <w:hyperlink w:anchor="_Toc12532800" w:history="1">
            <w:r w:rsidR="00DF65F3" w:rsidRPr="004815D6">
              <w:rPr>
                <w:rStyle w:val="Hipercze"/>
              </w:rPr>
              <w:t>GM3 ADR.OPS.B.005(b)     Plan działania w sytuacjach zagrożenia dla lotniska</w:t>
            </w:r>
            <w:r w:rsidR="00DF65F3">
              <w:rPr>
                <w:webHidden/>
              </w:rPr>
              <w:tab/>
            </w:r>
            <w:r w:rsidR="00DF65F3">
              <w:rPr>
                <w:webHidden/>
              </w:rPr>
              <w:fldChar w:fldCharType="begin"/>
            </w:r>
            <w:r w:rsidR="00DF65F3">
              <w:rPr>
                <w:webHidden/>
              </w:rPr>
              <w:instrText xml:space="preserve"> PAGEREF _Toc12532800 \h </w:instrText>
            </w:r>
            <w:r w:rsidR="00DF65F3">
              <w:rPr>
                <w:webHidden/>
              </w:rPr>
            </w:r>
            <w:r w:rsidR="00DF65F3">
              <w:rPr>
                <w:webHidden/>
              </w:rPr>
              <w:fldChar w:fldCharType="separate"/>
            </w:r>
            <w:r w:rsidR="00F755B7">
              <w:rPr>
                <w:webHidden/>
              </w:rPr>
              <w:t>217</w:t>
            </w:r>
            <w:r w:rsidR="00DF65F3">
              <w:rPr>
                <w:webHidden/>
              </w:rPr>
              <w:fldChar w:fldCharType="end"/>
            </w:r>
          </w:hyperlink>
        </w:p>
        <w:p w14:paraId="2FC25BBB" w14:textId="430BEE5D" w:rsidR="00DF65F3" w:rsidRDefault="00870777">
          <w:pPr>
            <w:pStyle w:val="Spistreci6"/>
            <w:rPr>
              <w:sz w:val="22"/>
              <w:lang w:val="en-GB" w:eastAsia="en-GB"/>
            </w:rPr>
          </w:pPr>
          <w:hyperlink w:anchor="_Toc12532801" w:history="1">
            <w:r w:rsidR="00DF65F3" w:rsidRPr="004815D6">
              <w:rPr>
                <w:rStyle w:val="Hipercze"/>
              </w:rPr>
              <w:t>GM4 ADR.OPS.B.005(b)     Plan działania w sytuacjach zagrożenia dla lotniska</w:t>
            </w:r>
            <w:r w:rsidR="00DF65F3">
              <w:rPr>
                <w:webHidden/>
              </w:rPr>
              <w:tab/>
            </w:r>
            <w:r w:rsidR="00DF65F3">
              <w:rPr>
                <w:webHidden/>
              </w:rPr>
              <w:fldChar w:fldCharType="begin"/>
            </w:r>
            <w:r w:rsidR="00DF65F3">
              <w:rPr>
                <w:webHidden/>
              </w:rPr>
              <w:instrText xml:space="preserve"> PAGEREF _Toc12532801 \h </w:instrText>
            </w:r>
            <w:r w:rsidR="00DF65F3">
              <w:rPr>
                <w:webHidden/>
              </w:rPr>
            </w:r>
            <w:r w:rsidR="00DF65F3">
              <w:rPr>
                <w:webHidden/>
              </w:rPr>
              <w:fldChar w:fldCharType="separate"/>
            </w:r>
            <w:r w:rsidR="00F755B7">
              <w:rPr>
                <w:webHidden/>
              </w:rPr>
              <w:t>218</w:t>
            </w:r>
            <w:r w:rsidR="00DF65F3">
              <w:rPr>
                <w:webHidden/>
              </w:rPr>
              <w:fldChar w:fldCharType="end"/>
            </w:r>
          </w:hyperlink>
        </w:p>
        <w:p w14:paraId="4E45DC57" w14:textId="720BF754" w:rsidR="00DF65F3" w:rsidRDefault="00870777">
          <w:pPr>
            <w:pStyle w:val="Spistreci6"/>
            <w:rPr>
              <w:sz w:val="22"/>
              <w:lang w:val="en-GB" w:eastAsia="en-GB"/>
            </w:rPr>
          </w:pPr>
          <w:hyperlink w:anchor="_Toc12532802" w:history="1">
            <w:r w:rsidR="00DF65F3" w:rsidRPr="004815D6">
              <w:rPr>
                <w:rStyle w:val="Hipercze"/>
              </w:rPr>
              <w:t>GM5 ADR.OPS.B.005(b)     Plan działania w sytuacjach zagrożenia dla lotniska</w:t>
            </w:r>
            <w:r w:rsidR="00DF65F3">
              <w:rPr>
                <w:webHidden/>
              </w:rPr>
              <w:tab/>
            </w:r>
            <w:r w:rsidR="00DF65F3">
              <w:rPr>
                <w:webHidden/>
              </w:rPr>
              <w:fldChar w:fldCharType="begin"/>
            </w:r>
            <w:r w:rsidR="00DF65F3">
              <w:rPr>
                <w:webHidden/>
              </w:rPr>
              <w:instrText xml:space="preserve"> PAGEREF _Toc12532802 \h </w:instrText>
            </w:r>
            <w:r w:rsidR="00DF65F3">
              <w:rPr>
                <w:webHidden/>
              </w:rPr>
            </w:r>
            <w:r w:rsidR="00DF65F3">
              <w:rPr>
                <w:webHidden/>
              </w:rPr>
              <w:fldChar w:fldCharType="separate"/>
            </w:r>
            <w:r w:rsidR="00F755B7">
              <w:rPr>
                <w:webHidden/>
              </w:rPr>
              <w:t>218</w:t>
            </w:r>
            <w:r w:rsidR="00DF65F3">
              <w:rPr>
                <w:webHidden/>
              </w:rPr>
              <w:fldChar w:fldCharType="end"/>
            </w:r>
          </w:hyperlink>
        </w:p>
        <w:p w14:paraId="6922D36A" w14:textId="69EACC6A" w:rsidR="00DF65F3" w:rsidRDefault="00870777">
          <w:pPr>
            <w:pStyle w:val="Spistreci6"/>
            <w:rPr>
              <w:sz w:val="22"/>
              <w:lang w:val="en-GB" w:eastAsia="en-GB"/>
            </w:rPr>
          </w:pPr>
          <w:hyperlink w:anchor="_Toc12532803" w:history="1">
            <w:r w:rsidR="00DF65F3" w:rsidRPr="004815D6">
              <w:rPr>
                <w:rStyle w:val="Hipercze"/>
              </w:rPr>
              <w:t>GM1 ADR.OPS.B.005(c)     Plan działania w sytuacjach zagrożenia dla lotniska</w:t>
            </w:r>
            <w:r w:rsidR="00DF65F3">
              <w:rPr>
                <w:webHidden/>
              </w:rPr>
              <w:tab/>
            </w:r>
            <w:r w:rsidR="00DF65F3">
              <w:rPr>
                <w:webHidden/>
              </w:rPr>
              <w:fldChar w:fldCharType="begin"/>
            </w:r>
            <w:r w:rsidR="00DF65F3">
              <w:rPr>
                <w:webHidden/>
              </w:rPr>
              <w:instrText xml:space="preserve"> PAGEREF _Toc12532803 \h </w:instrText>
            </w:r>
            <w:r w:rsidR="00DF65F3">
              <w:rPr>
                <w:webHidden/>
              </w:rPr>
            </w:r>
            <w:r w:rsidR="00DF65F3">
              <w:rPr>
                <w:webHidden/>
              </w:rPr>
              <w:fldChar w:fldCharType="separate"/>
            </w:r>
            <w:r w:rsidR="00F755B7">
              <w:rPr>
                <w:webHidden/>
              </w:rPr>
              <w:t>219</w:t>
            </w:r>
            <w:r w:rsidR="00DF65F3">
              <w:rPr>
                <w:webHidden/>
              </w:rPr>
              <w:fldChar w:fldCharType="end"/>
            </w:r>
          </w:hyperlink>
        </w:p>
        <w:p w14:paraId="7815733B" w14:textId="736D8631" w:rsidR="00DF65F3" w:rsidRDefault="00870777">
          <w:pPr>
            <w:pStyle w:val="Spistreci6"/>
            <w:rPr>
              <w:sz w:val="22"/>
              <w:lang w:val="en-GB" w:eastAsia="en-GB"/>
            </w:rPr>
          </w:pPr>
          <w:hyperlink w:anchor="_Toc12532804" w:history="1">
            <w:r w:rsidR="00DF65F3" w:rsidRPr="004815D6">
              <w:rPr>
                <w:rStyle w:val="Hipercze"/>
              </w:rPr>
              <w:t>GM2 ADR.OPS.B.005(c)     Plan działania w sytuacjach zagrożenia dla lotniska</w:t>
            </w:r>
            <w:r w:rsidR="00DF65F3">
              <w:rPr>
                <w:webHidden/>
              </w:rPr>
              <w:tab/>
            </w:r>
            <w:r w:rsidR="00DF65F3">
              <w:rPr>
                <w:webHidden/>
              </w:rPr>
              <w:fldChar w:fldCharType="begin"/>
            </w:r>
            <w:r w:rsidR="00DF65F3">
              <w:rPr>
                <w:webHidden/>
              </w:rPr>
              <w:instrText xml:space="preserve"> PAGEREF _Toc12532804 \h </w:instrText>
            </w:r>
            <w:r w:rsidR="00DF65F3">
              <w:rPr>
                <w:webHidden/>
              </w:rPr>
            </w:r>
            <w:r w:rsidR="00DF65F3">
              <w:rPr>
                <w:webHidden/>
              </w:rPr>
              <w:fldChar w:fldCharType="separate"/>
            </w:r>
            <w:r w:rsidR="00F755B7">
              <w:rPr>
                <w:webHidden/>
              </w:rPr>
              <w:t>219</w:t>
            </w:r>
            <w:r w:rsidR="00DF65F3">
              <w:rPr>
                <w:webHidden/>
              </w:rPr>
              <w:fldChar w:fldCharType="end"/>
            </w:r>
          </w:hyperlink>
        </w:p>
        <w:p w14:paraId="69F28396" w14:textId="6D44E7EB" w:rsidR="00DF65F3" w:rsidRDefault="00870777">
          <w:pPr>
            <w:pStyle w:val="Spistreci3"/>
            <w:rPr>
              <w:rFonts w:asciiTheme="minorHAnsi" w:eastAsiaTheme="minorEastAsia" w:hAnsiTheme="minorHAnsi" w:cstheme="minorBidi"/>
              <w:sz w:val="22"/>
              <w:lang w:val="en-GB" w:eastAsia="en-GB"/>
            </w:rPr>
          </w:pPr>
          <w:hyperlink w:anchor="_Toc12532805" w:history="1">
            <w:r w:rsidR="00DF65F3" w:rsidRPr="004815D6">
              <w:rPr>
                <w:rStyle w:val="Hipercze"/>
              </w:rPr>
              <w:t>ADR.OPS.B.010     Służby ratowniczo-gaśnicze</w:t>
            </w:r>
            <w:r w:rsidR="00DF65F3">
              <w:rPr>
                <w:webHidden/>
              </w:rPr>
              <w:tab/>
            </w:r>
            <w:r w:rsidR="00DF65F3">
              <w:rPr>
                <w:webHidden/>
              </w:rPr>
              <w:fldChar w:fldCharType="begin"/>
            </w:r>
            <w:r w:rsidR="00DF65F3">
              <w:rPr>
                <w:webHidden/>
              </w:rPr>
              <w:instrText xml:space="preserve"> PAGEREF _Toc12532805 \h </w:instrText>
            </w:r>
            <w:r w:rsidR="00DF65F3">
              <w:rPr>
                <w:webHidden/>
              </w:rPr>
            </w:r>
            <w:r w:rsidR="00DF65F3">
              <w:rPr>
                <w:webHidden/>
              </w:rPr>
              <w:fldChar w:fldCharType="separate"/>
            </w:r>
            <w:r w:rsidR="00F755B7">
              <w:rPr>
                <w:webHidden/>
              </w:rPr>
              <w:t>220</w:t>
            </w:r>
            <w:r w:rsidR="00DF65F3">
              <w:rPr>
                <w:webHidden/>
              </w:rPr>
              <w:fldChar w:fldCharType="end"/>
            </w:r>
          </w:hyperlink>
        </w:p>
        <w:p w14:paraId="17AEF3BA" w14:textId="249528AC" w:rsidR="00DF65F3" w:rsidRDefault="00870777">
          <w:pPr>
            <w:pStyle w:val="Spistreci6"/>
            <w:rPr>
              <w:sz w:val="22"/>
              <w:lang w:val="en-GB" w:eastAsia="en-GB"/>
            </w:rPr>
          </w:pPr>
          <w:hyperlink w:anchor="_Toc12532806" w:history="1">
            <w:r w:rsidR="00DF65F3" w:rsidRPr="004815D6">
              <w:rPr>
                <w:rStyle w:val="Hipercze"/>
              </w:rPr>
              <w:t>GM1 ADR.OPS.B.010(a)(1)     Służby ratowniczo-gaśnicze</w:t>
            </w:r>
            <w:r w:rsidR="00DF65F3">
              <w:rPr>
                <w:webHidden/>
              </w:rPr>
              <w:tab/>
            </w:r>
            <w:r w:rsidR="00DF65F3">
              <w:rPr>
                <w:webHidden/>
              </w:rPr>
              <w:fldChar w:fldCharType="begin"/>
            </w:r>
            <w:r w:rsidR="00DF65F3">
              <w:rPr>
                <w:webHidden/>
              </w:rPr>
              <w:instrText xml:space="preserve"> PAGEREF _Toc12532806 \h </w:instrText>
            </w:r>
            <w:r w:rsidR="00DF65F3">
              <w:rPr>
                <w:webHidden/>
              </w:rPr>
            </w:r>
            <w:r w:rsidR="00DF65F3">
              <w:rPr>
                <w:webHidden/>
              </w:rPr>
              <w:fldChar w:fldCharType="separate"/>
            </w:r>
            <w:r w:rsidR="00F755B7">
              <w:rPr>
                <w:webHidden/>
              </w:rPr>
              <w:t>221</w:t>
            </w:r>
            <w:r w:rsidR="00DF65F3">
              <w:rPr>
                <w:webHidden/>
              </w:rPr>
              <w:fldChar w:fldCharType="end"/>
            </w:r>
          </w:hyperlink>
        </w:p>
        <w:p w14:paraId="2DC8DF11" w14:textId="631B6E9C" w:rsidR="00DF65F3" w:rsidRDefault="00870777">
          <w:pPr>
            <w:pStyle w:val="Spistreci5"/>
            <w:rPr>
              <w:sz w:val="22"/>
              <w:lang w:val="en-GB" w:eastAsia="en-GB"/>
            </w:rPr>
          </w:pPr>
          <w:hyperlink w:anchor="_Toc12532807" w:history="1">
            <w:r w:rsidR="00DF65F3" w:rsidRPr="004815D6">
              <w:rPr>
                <w:rStyle w:val="Hipercze"/>
              </w:rPr>
              <w:t>AMC1 ADR.OPS.B.010(a)(2)     Służby ratowniczo-gaśnicze</w:t>
            </w:r>
            <w:r w:rsidR="00DF65F3">
              <w:rPr>
                <w:webHidden/>
              </w:rPr>
              <w:tab/>
            </w:r>
            <w:r w:rsidR="00DF65F3">
              <w:rPr>
                <w:webHidden/>
              </w:rPr>
              <w:fldChar w:fldCharType="begin"/>
            </w:r>
            <w:r w:rsidR="00DF65F3">
              <w:rPr>
                <w:webHidden/>
              </w:rPr>
              <w:instrText xml:space="preserve"> PAGEREF _Toc12532807 \h </w:instrText>
            </w:r>
            <w:r w:rsidR="00DF65F3">
              <w:rPr>
                <w:webHidden/>
              </w:rPr>
            </w:r>
            <w:r w:rsidR="00DF65F3">
              <w:rPr>
                <w:webHidden/>
              </w:rPr>
              <w:fldChar w:fldCharType="separate"/>
            </w:r>
            <w:r w:rsidR="00F755B7">
              <w:rPr>
                <w:webHidden/>
              </w:rPr>
              <w:t>221</w:t>
            </w:r>
            <w:r w:rsidR="00DF65F3">
              <w:rPr>
                <w:webHidden/>
              </w:rPr>
              <w:fldChar w:fldCharType="end"/>
            </w:r>
          </w:hyperlink>
        </w:p>
        <w:p w14:paraId="0E22675F" w14:textId="7A6E45B7" w:rsidR="00DF65F3" w:rsidRDefault="00870777">
          <w:pPr>
            <w:pStyle w:val="Spistreci5"/>
            <w:rPr>
              <w:sz w:val="22"/>
              <w:lang w:val="en-GB" w:eastAsia="en-GB"/>
            </w:rPr>
          </w:pPr>
          <w:hyperlink w:anchor="_Toc12532808" w:history="1">
            <w:r w:rsidR="00DF65F3" w:rsidRPr="004815D6">
              <w:rPr>
                <w:rStyle w:val="Hipercze"/>
              </w:rPr>
              <w:t>AMC2 ADR.OPS.B.010(a)(2)     Służby ratowniczo-gaśnicze</w:t>
            </w:r>
            <w:r w:rsidR="00DF65F3">
              <w:rPr>
                <w:webHidden/>
              </w:rPr>
              <w:tab/>
            </w:r>
            <w:r w:rsidR="00DF65F3">
              <w:rPr>
                <w:webHidden/>
              </w:rPr>
              <w:fldChar w:fldCharType="begin"/>
            </w:r>
            <w:r w:rsidR="00DF65F3">
              <w:rPr>
                <w:webHidden/>
              </w:rPr>
              <w:instrText xml:space="preserve"> PAGEREF _Toc12532808 \h </w:instrText>
            </w:r>
            <w:r w:rsidR="00DF65F3">
              <w:rPr>
                <w:webHidden/>
              </w:rPr>
            </w:r>
            <w:r w:rsidR="00DF65F3">
              <w:rPr>
                <w:webHidden/>
              </w:rPr>
              <w:fldChar w:fldCharType="separate"/>
            </w:r>
            <w:r w:rsidR="00F755B7">
              <w:rPr>
                <w:webHidden/>
              </w:rPr>
              <w:t>222</w:t>
            </w:r>
            <w:r w:rsidR="00DF65F3">
              <w:rPr>
                <w:webHidden/>
              </w:rPr>
              <w:fldChar w:fldCharType="end"/>
            </w:r>
          </w:hyperlink>
        </w:p>
        <w:p w14:paraId="58E452F8" w14:textId="7D8E9274" w:rsidR="00DF65F3" w:rsidRDefault="00870777">
          <w:pPr>
            <w:pStyle w:val="Spistreci5"/>
            <w:rPr>
              <w:sz w:val="22"/>
              <w:lang w:val="en-GB" w:eastAsia="en-GB"/>
            </w:rPr>
          </w:pPr>
          <w:hyperlink w:anchor="_Toc12532809" w:history="1">
            <w:r w:rsidR="00DF65F3" w:rsidRPr="004815D6">
              <w:rPr>
                <w:rStyle w:val="Hipercze"/>
              </w:rPr>
              <w:t>AMC3 ADR.OPS.B.010(a)(2)     Służby ratowniczo-gaśnicze</w:t>
            </w:r>
            <w:r w:rsidR="00DF65F3">
              <w:rPr>
                <w:webHidden/>
              </w:rPr>
              <w:tab/>
            </w:r>
            <w:r w:rsidR="00DF65F3">
              <w:rPr>
                <w:webHidden/>
              </w:rPr>
              <w:fldChar w:fldCharType="begin"/>
            </w:r>
            <w:r w:rsidR="00DF65F3">
              <w:rPr>
                <w:webHidden/>
              </w:rPr>
              <w:instrText xml:space="preserve"> PAGEREF _Toc12532809 \h </w:instrText>
            </w:r>
            <w:r w:rsidR="00DF65F3">
              <w:rPr>
                <w:webHidden/>
              </w:rPr>
            </w:r>
            <w:r w:rsidR="00DF65F3">
              <w:rPr>
                <w:webHidden/>
              </w:rPr>
              <w:fldChar w:fldCharType="separate"/>
            </w:r>
            <w:r w:rsidR="00F755B7">
              <w:rPr>
                <w:webHidden/>
              </w:rPr>
              <w:t>224</w:t>
            </w:r>
            <w:r w:rsidR="00DF65F3">
              <w:rPr>
                <w:webHidden/>
              </w:rPr>
              <w:fldChar w:fldCharType="end"/>
            </w:r>
          </w:hyperlink>
        </w:p>
        <w:p w14:paraId="4A4FDB6B" w14:textId="3AEECECA" w:rsidR="00DF65F3" w:rsidRDefault="00870777">
          <w:pPr>
            <w:pStyle w:val="Spistreci5"/>
            <w:rPr>
              <w:sz w:val="22"/>
              <w:lang w:val="en-GB" w:eastAsia="en-GB"/>
            </w:rPr>
          </w:pPr>
          <w:hyperlink w:anchor="_Toc12532810" w:history="1">
            <w:r w:rsidR="00DF65F3" w:rsidRPr="004815D6">
              <w:rPr>
                <w:rStyle w:val="Hipercze"/>
              </w:rPr>
              <w:t>AMC4 ADR.OPS.B.010(a)(2)     Służby ratowniczo-gaśnicze</w:t>
            </w:r>
            <w:r w:rsidR="00DF65F3">
              <w:rPr>
                <w:webHidden/>
              </w:rPr>
              <w:tab/>
            </w:r>
            <w:r w:rsidR="00DF65F3">
              <w:rPr>
                <w:webHidden/>
              </w:rPr>
              <w:fldChar w:fldCharType="begin"/>
            </w:r>
            <w:r w:rsidR="00DF65F3">
              <w:rPr>
                <w:webHidden/>
              </w:rPr>
              <w:instrText xml:space="preserve"> PAGEREF _Toc12532810 \h </w:instrText>
            </w:r>
            <w:r w:rsidR="00DF65F3">
              <w:rPr>
                <w:webHidden/>
              </w:rPr>
            </w:r>
            <w:r w:rsidR="00DF65F3">
              <w:rPr>
                <w:webHidden/>
              </w:rPr>
              <w:fldChar w:fldCharType="separate"/>
            </w:r>
            <w:r w:rsidR="00F755B7">
              <w:rPr>
                <w:webHidden/>
              </w:rPr>
              <w:t>225</w:t>
            </w:r>
            <w:r w:rsidR="00DF65F3">
              <w:rPr>
                <w:webHidden/>
              </w:rPr>
              <w:fldChar w:fldCharType="end"/>
            </w:r>
          </w:hyperlink>
        </w:p>
        <w:p w14:paraId="74A18437" w14:textId="22322872" w:rsidR="00DF65F3" w:rsidRDefault="00870777">
          <w:pPr>
            <w:pStyle w:val="Spistreci5"/>
            <w:rPr>
              <w:sz w:val="22"/>
              <w:lang w:val="en-GB" w:eastAsia="en-GB"/>
            </w:rPr>
          </w:pPr>
          <w:hyperlink w:anchor="_Toc12532811" w:history="1">
            <w:r w:rsidR="00DF65F3" w:rsidRPr="004815D6">
              <w:rPr>
                <w:rStyle w:val="Hipercze"/>
              </w:rPr>
              <w:t>AMC5 ADR.OPS.B.010(a)(2)     Służby ratowniczo-gaśnicze</w:t>
            </w:r>
            <w:r w:rsidR="00DF65F3">
              <w:rPr>
                <w:webHidden/>
              </w:rPr>
              <w:tab/>
            </w:r>
            <w:r w:rsidR="00DF65F3">
              <w:rPr>
                <w:webHidden/>
              </w:rPr>
              <w:fldChar w:fldCharType="begin"/>
            </w:r>
            <w:r w:rsidR="00DF65F3">
              <w:rPr>
                <w:webHidden/>
              </w:rPr>
              <w:instrText xml:space="preserve"> PAGEREF _Toc12532811 \h </w:instrText>
            </w:r>
            <w:r w:rsidR="00DF65F3">
              <w:rPr>
                <w:webHidden/>
              </w:rPr>
            </w:r>
            <w:r w:rsidR="00DF65F3">
              <w:rPr>
                <w:webHidden/>
              </w:rPr>
              <w:fldChar w:fldCharType="separate"/>
            </w:r>
            <w:r w:rsidR="00F755B7">
              <w:rPr>
                <w:webHidden/>
              </w:rPr>
              <w:t>227</w:t>
            </w:r>
            <w:r w:rsidR="00DF65F3">
              <w:rPr>
                <w:webHidden/>
              </w:rPr>
              <w:fldChar w:fldCharType="end"/>
            </w:r>
          </w:hyperlink>
        </w:p>
        <w:p w14:paraId="735A24D8" w14:textId="1DFB1A11" w:rsidR="00DF65F3" w:rsidRDefault="00870777">
          <w:pPr>
            <w:pStyle w:val="Spistreci5"/>
            <w:rPr>
              <w:sz w:val="22"/>
              <w:lang w:val="en-GB" w:eastAsia="en-GB"/>
            </w:rPr>
          </w:pPr>
          <w:hyperlink w:anchor="_Toc12532812" w:history="1">
            <w:r w:rsidR="00DF65F3" w:rsidRPr="004815D6">
              <w:rPr>
                <w:rStyle w:val="Hipercze"/>
              </w:rPr>
              <w:t>AMC6 ADR.OPS.B.010(a)(2)     Służby ratowniczo-gaśnicze</w:t>
            </w:r>
            <w:r w:rsidR="00DF65F3">
              <w:rPr>
                <w:webHidden/>
              </w:rPr>
              <w:tab/>
            </w:r>
            <w:r w:rsidR="00DF65F3">
              <w:rPr>
                <w:webHidden/>
              </w:rPr>
              <w:fldChar w:fldCharType="begin"/>
            </w:r>
            <w:r w:rsidR="00DF65F3">
              <w:rPr>
                <w:webHidden/>
              </w:rPr>
              <w:instrText xml:space="preserve"> PAGEREF _Toc12532812 \h </w:instrText>
            </w:r>
            <w:r w:rsidR="00DF65F3">
              <w:rPr>
                <w:webHidden/>
              </w:rPr>
            </w:r>
            <w:r w:rsidR="00DF65F3">
              <w:rPr>
                <w:webHidden/>
              </w:rPr>
              <w:fldChar w:fldCharType="separate"/>
            </w:r>
            <w:r w:rsidR="00F755B7">
              <w:rPr>
                <w:webHidden/>
              </w:rPr>
              <w:t>228</w:t>
            </w:r>
            <w:r w:rsidR="00DF65F3">
              <w:rPr>
                <w:webHidden/>
              </w:rPr>
              <w:fldChar w:fldCharType="end"/>
            </w:r>
          </w:hyperlink>
        </w:p>
        <w:p w14:paraId="64445DD7" w14:textId="05ED1F23" w:rsidR="00DF65F3" w:rsidRDefault="00870777">
          <w:pPr>
            <w:pStyle w:val="Spistreci6"/>
            <w:rPr>
              <w:sz w:val="22"/>
              <w:lang w:val="en-GB" w:eastAsia="en-GB"/>
            </w:rPr>
          </w:pPr>
          <w:hyperlink w:anchor="_Toc12532813" w:history="1">
            <w:r w:rsidR="00DF65F3" w:rsidRPr="004815D6">
              <w:rPr>
                <w:rStyle w:val="Hipercze"/>
              </w:rPr>
              <w:t>GM1 ADR.OPS.B.010(a)(2)     Służby ratowniczo-gaśnicze</w:t>
            </w:r>
            <w:r w:rsidR="00DF65F3">
              <w:rPr>
                <w:webHidden/>
              </w:rPr>
              <w:tab/>
            </w:r>
            <w:r w:rsidR="00DF65F3">
              <w:rPr>
                <w:webHidden/>
              </w:rPr>
              <w:fldChar w:fldCharType="begin"/>
            </w:r>
            <w:r w:rsidR="00DF65F3">
              <w:rPr>
                <w:webHidden/>
              </w:rPr>
              <w:instrText xml:space="preserve"> PAGEREF _Toc12532813 \h </w:instrText>
            </w:r>
            <w:r w:rsidR="00DF65F3">
              <w:rPr>
                <w:webHidden/>
              </w:rPr>
            </w:r>
            <w:r w:rsidR="00DF65F3">
              <w:rPr>
                <w:webHidden/>
              </w:rPr>
              <w:fldChar w:fldCharType="separate"/>
            </w:r>
            <w:r w:rsidR="00F755B7">
              <w:rPr>
                <w:webHidden/>
              </w:rPr>
              <w:t>228</w:t>
            </w:r>
            <w:r w:rsidR="00DF65F3">
              <w:rPr>
                <w:webHidden/>
              </w:rPr>
              <w:fldChar w:fldCharType="end"/>
            </w:r>
          </w:hyperlink>
        </w:p>
        <w:p w14:paraId="2DD0E62F" w14:textId="719E3598" w:rsidR="00DF65F3" w:rsidRDefault="00870777">
          <w:pPr>
            <w:pStyle w:val="Spistreci6"/>
            <w:rPr>
              <w:sz w:val="22"/>
              <w:lang w:val="en-GB" w:eastAsia="en-GB"/>
            </w:rPr>
          </w:pPr>
          <w:hyperlink w:anchor="_Toc12532814" w:history="1">
            <w:r w:rsidR="00DF65F3" w:rsidRPr="004815D6">
              <w:rPr>
                <w:rStyle w:val="Hipercze"/>
              </w:rPr>
              <w:t>GM2 ADR.OPS.B.010(a)(2)     Służby ratowniczo-gaśnicze</w:t>
            </w:r>
            <w:r w:rsidR="00DF65F3">
              <w:rPr>
                <w:webHidden/>
              </w:rPr>
              <w:tab/>
            </w:r>
            <w:r w:rsidR="00DF65F3">
              <w:rPr>
                <w:webHidden/>
              </w:rPr>
              <w:fldChar w:fldCharType="begin"/>
            </w:r>
            <w:r w:rsidR="00DF65F3">
              <w:rPr>
                <w:webHidden/>
              </w:rPr>
              <w:instrText xml:space="preserve"> PAGEREF _Toc12532814 \h </w:instrText>
            </w:r>
            <w:r w:rsidR="00DF65F3">
              <w:rPr>
                <w:webHidden/>
              </w:rPr>
            </w:r>
            <w:r w:rsidR="00DF65F3">
              <w:rPr>
                <w:webHidden/>
              </w:rPr>
              <w:fldChar w:fldCharType="separate"/>
            </w:r>
            <w:r w:rsidR="00F755B7">
              <w:rPr>
                <w:webHidden/>
              </w:rPr>
              <w:t>229</w:t>
            </w:r>
            <w:r w:rsidR="00DF65F3">
              <w:rPr>
                <w:webHidden/>
              </w:rPr>
              <w:fldChar w:fldCharType="end"/>
            </w:r>
          </w:hyperlink>
        </w:p>
        <w:p w14:paraId="421B7430" w14:textId="4F8C9C32" w:rsidR="00DF65F3" w:rsidRDefault="00870777">
          <w:pPr>
            <w:pStyle w:val="Spistreci6"/>
            <w:rPr>
              <w:sz w:val="22"/>
              <w:lang w:val="en-GB" w:eastAsia="en-GB"/>
            </w:rPr>
          </w:pPr>
          <w:hyperlink w:anchor="_Toc12532815" w:history="1">
            <w:r w:rsidR="00DF65F3" w:rsidRPr="004815D6">
              <w:rPr>
                <w:rStyle w:val="Hipercze"/>
              </w:rPr>
              <w:t>GM3 ADR.OPS.B.010(a)(2)     Służby ratowniczo-gaśnicze</w:t>
            </w:r>
            <w:r w:rsidR="00DF65F3">
              <w:rPr>
                <w:webHidden/>
              </w:rPr>
              <w:tab/>
            </w:r>
            <w:r w:rsidR="00DF65F3">
              <w:rPr>
                <w:webHidden/>
              </w:rPr>
              <w:fldChar w:fldCharType="begin"/>
            </w:r>
            <w:r w:rsidR="00DF65F3">
              <w:rPr>
                <w:webHidden/>
              </w:rPr>
              <w:instrText xml:space="preserve"> PAGEREF _Toc12532815 \h </w:instrText>
            </w:r>
            <w:r w:rsidR="00DF65F3">
              <w:rPr>
                <w:webHidden/>
              </w:rPr>
            </w:r>
            <w:r w:rsidR="00DF65F3">
              <w:rPr>
                <w:webHidden/>
              </w:rPr>
              <w:fldChar w:fldCharType="separate"/>
            </w:r>
            <w:r w:rsidR="00F755B7">
              <w:rPr>
                <w:webHidden/>
              </w:rPr>
              <w:t>229</w:t>
            </w:r>
            <w:r w:rsidR="00DF65F3">
              <w:rPr>
                <w:webHidden/>
              </w:rPr>
              <w:fldChar w:fldCharType="end"/>
            </w:r>
          </w:hyperlink>
        </w:p>
        <w:p w14:paraId="32452A7B" w14:textId="1D671F4F" w:rsidR="00DF65F3" w:rsidRDefault="00870777">
          <w:pPr>
            <w:pStyle w:val="Spistreci6"/>
            <w:rPr>
              <w:sz w:val="22"/>
              <w:lang w:val="en-GB" w:eastAsia="en-GB"/>
            </w:rPr>
          </w:pPr>
          <w:hyperlink w:anchor="_Toc12532816" w:history="1">
            <w:r w:rsidR="00DF65F3" w:rsidRPr="004815D6">
              <w:rPr>
                <w:rStyle w:val="Hipercze"/>
              </w:rPr>
              <w:t>GM4 ADR.OPS.B.010(a)(2)     Służby ratowniczo-gaśnicze</w:t>
            </w:r>
            <w:r w:rsidR="00DF65F3">
              <w:rPr>
                <w:webHidden/>
              </w:rPr>
              <w:tab/>
            </w:r>
            <w:r w:rsidR="00DF65F3">
              <w:rPr>
                <w:webHidden/>
              </w:rPr>
              <w:fldChar w:fldCharType="begin"/>
            </w:r>
            <w:r w:rsidR="00DF65F3">
              <w:rPr>
                <w:webHidden/>
              </w:rPr>
              <w:instrText xml:space="preserve"> PAGEREF _Toc12532816 \h </w:instrText>
            </w:r>
            <w:r w:rsidR="00DF65F3">
              <w:rPr>
                <w:webHidden/>
              </w:rPr>
            </w:r>
            <w:r w:rsidR="00DF65F3">
              <w:rPr>
                <w:webHidden/>
              </w:rPr>
              <w:fldChar w:fldCharType="separate"/>
            </w:r>
            <w:r w:rsidR="00F755B7">
              <w:rPr>
                <w:webHidden/>
              </w:rPr>
              <w:t>229</w:t>
            </w:r>
            <w:r w:rsidR="00DF65F3">
              <w:rPr>
                <w:webHidden/>
              </w:rPr>
              <w:fldChar w:fldCharType="end"/>
            </w:r>
          </w:hyperlink>
        </w:p>
        <w:p w14:paraId="227B90BE" w14:textId="704B6968" w:rsidR="00DF65F3" w:rsidRDefault="00870777">
          <w:pPr>
            <w:pStyle w:val="Spistreci6"/>
            <w:rPr>
              <w:sz w:val="22"/>
              <w:lang w:val="en-GB" w:eastAsia="en-GB"/>
            </w:rPr>
          </w:pPr>
          <w:hyperlink w:anchor="_Toc12532817" w:history="1">
            <w:r w:rsidR="00DF65F3" w:rsidRPr="004815D6">
              <w:rPr>
                <w:rStyle w:val="Hipercze"/>
                <w:rFonts w:eastAsia="Calibri"/>
              </w:rPr>
              <w:t>GM5 ADR.OPS.B.010(a)(2)      Służby ratowniczo-gaśnicze</w:t>
            </w:r>
            <w:r w:rsidR="00DF65F3">
              <w:rPr>
                <w:webHidden/>
              </w:rPr>
              <w:tab/>
            </w:r>
            <w:r w:rsidR="00DF65F3">
              <w:rPr>
                <w:webHidden/>
              </w:rPr>
              <w:fldChar w:fldCharType="begin"/>
            </w:r>
            <w:r w:rsidR="00DF65F3">
              <w:rPr>
                <w:webHidden/>
              </w:rPr>
              <w:instrText xml:space="preserve"> PAGEREF _Toc12532817 \h </w:instrText>
            </w:r>
            <w:r w:rsidR="00DF65F3">
              <w:rPr>
                <w:webHidden/>
              </w:rPr>
            </w:r>
            <w:r w:rsidR="00DF65F3">
              <w:rPr>
                <w:webHidden/>
              </w:rPr>
              <w:fldChar w:fldCharType="separate"/>
            </w:r>
            <w:r w:rsidR="00F755B7">
              <w:rPr>
                <w:webHidden/>
              </w:rPr>
              <w:t>230</w:t>
            </w:r>
            <w:r w:rsidR="00DF65F3">
              <w:rPr>
                <w:webHidden/>
              </w:rPr>
              <w:fldChar w:fldCharType="end"/>
            </w:r>
          </w:hyperlink>
        </w:p>
        <w:p w14:paraId="796C9D9D" w14:textId="5D767505" w:rsidR="00DF65F3" w:rsidRDefault="00870777">
          <w:pPr>
            <w:pStyle w:val="Spistreci6"/>
            <w:rPr>
              <w:sz w:val="22"/>
              <w:lang w:val="en-GB" w:eastAsia="en-GB"/>
            </w:rPr>
          </w:pPr>
          <w:hyperlink w:anchor="_Toc12532818" w:history="1">
            <w:r w:rsidR="00DF65F3" w:rsidRPr="004815D6">
              <w:rPr>
                <w:rStyle w:val="Hipercze"/>
                <w:rFonts w:eastAsia="Calibri"/>
              </w:rPr>
              <w:t>GM6 ADR.OPS.B.010(a)(2)     Służby ratowniczo-gaśnicze</w:t>
            </w:r>
            <w:r w:rsidR="00DF65F3">
              <w:rPr>
                <w:webHidden/>
              </w:rPr>
              <w:tab/>
            </w:r>
            <w:r w:rsidR="00DF65F3">
              <w:rPr>
                <w:webHidden/>
              </w:rPr>
              <w:fldChar w:fldCharType="begin"/>
            </w:r>
            <w:r w:rsidR="00DF65F3">
              <w:rPr>
                <w:webHidden/>
              </w:rPr>
              <w:instrText xml:space="preserve"> PAGEREF _Toc12532818 \h </w:instrText>
            </w:r>
            <w:r w:rsidR="00DF65F3">
              <w:rPr>
                <w:webHidden/>
              </w:rPr>
            </w:r>
            <w:r w:rsidR="00DF65F3">
              <w:rPr>
                <w:webHidden/>
              </w:rPr>
              <w:fldChar w:fldCharType="separate"/>
            </w:r>
            <w:r w:rsidR="00F755B7">
              <w:rPr>
                <w:webHidden/>
              </w:rPr>
              <w:t>233</w:t>
            </w:r>
            <w:r w:rsidR="00DF65F3">
              <w:rPr>
                <w:webHidden/>
              </w:rPr>
              <w:fldChar w:fldCharType="end"/>
            </w:r>
          </w:hyperlink>
        </w:p>
        <w:p w14:paraId="56E79302" w14:textId="16BEFEBB" w:rsidR="00DF65F3" w:rsidRDefault="00870777">
          <w:pPr>
            <w:pStyle w:val="Spistreci6"/>
            <w:rPr>
              <w:sz w:val="22"/>
              <w:lang w:val="en-GB" w:eastAsia="en-GB"/>
            </w:rPr>
          </w:pPr>
          <w:hyperlink w:anchor="_Toc12532819" w:history="1">
            <w:r w:rsidR="00DF65F3" w:rsidRPr="004815D6">
              <w:rPr>
                <w:rStyle w:val="Hipercze"/>
              </w:rPr>
              <w:t>GM1 ADR.OPS.B.010(a)(3)     Służby ratowniczo-gaśnicze</w:t>
            </w:r>
            <w:r w:rsidR="00DF65F3">
              <w:rPr>
                <w:webHidden/>
              </w:rPr>
              <w:tab/>
            </w:r>
            <w:r w:rsidR="00DF65F3">
              <w:rPr>
                <w:webHidden/>
              </w:rPr>
              <w:fldChar w:fldCharType="begin"/>
            </w:r>
            <w:r w:rsidR="00DF65F3">
              <w:rPr>
                <w:webHidden/>
              </w:rPr>
              <w:instrText xml:space="preserve"> PAGEREF _Toc12532819 \h </w:instrText>
            </w:r>
            <w:r w:rsidR="00DF65F3">
              <w:rPr>
                <w:webHidden/>
              </w:rPr>
            </w:r>
            <w:r w:rsidR="00DF65F3">
              <w:rPr>
                <w:webHidden/>
              </w:rPr>
              <w:fldChar w:fldCharType="separate"/>
            </w:r>
            <w:r w:rsidR="00F755B7">
              <w:rPr>
                <w:webHidden/>
              </w:rPr>
              <w:t>235</w:t>
            </w:r>
            <w:r w:rsidR="00DF65F3">
              <w:rPr>
                <w:webHidden/>
              </w:rPr>
              <w:fldChar w:fldCharType="end"/>
            </w:r>
          </w:hyperlink>
        </w:p>
        <w:p w14:paraId="0CFFA10D" w14:textId="642C8D10" w:rsidR="00DF65F3" w:rsidRDefault="00870777">
          <w:pPr>
            <w:pStyle w:val="Spistreci5"/>
            <w:rPr>
              <w:sz w:val="22"/>
              <w:lang w:val="en-GB" w:eastAsia="en-GB"/>
            </w:rPr>
          </w:pPr>
          <w:hyperlink w:anchor="_Toc12532820" w:history="1">
            <w:r w:rsidR="00DF65F3" w:rsidRPr="004815D6">
              <w:rPr>
                <w:rStyle w:val="Hipercze"/>
              </w:rPr>
              <w:t>AMC1 ADR.OPS.B.010(a)(4)     Służby ratowniczo-gaśnicze</w:t>
            </w:r>
            <w:r w:rsidR="00DF65F3">
              <w:rPr>
                <w:webHidden/>
              </w:rPr>
              <w:tab/>
            </w:r>
            <w:r w:rsidR="00DF65F3">
              <w:rPr>
                <w:webHidden/>
              </w:rPr>
              <w:fldChar w:fldCharType="begin"/>
            </w:r>
            <w:r w:rsidR="00DF65F3">
              <w:rPr>
                <w:webHidden/>
              </w:rPr>
              <w:instrText xml:space="preserve"> PAGEREF _Toc12532820 \h </w:instrText>
            </w:r>
            <w:r w:rsidR="00DF65F3">
              <w:rPr>
                <w:webHidden/>
              </w:rPr>
            </w:r>
            <w:r w:rsidR="00DF65F3">
              <w:rPr>
                <w:webHidden/>
              </w:rPr>
              <w:fldChar w:fldCharType="separate"/>
            </w:r>
            <w:r w:rsidR="00F755B7">
              <w:rPr>
                <w:webHidden/>
              </w:rPr>
              <w:t>235</w:t>
            </w:r>
            <w:r w:rsidR="00DF65F3">
              <w:rPr>
                <w:webHidden/>
              </w:rPr>
              <w:fldChar w:fldCharType="end"/>
            </w:r>
          </w:hyperlink>
        </w:p>
        <w:p w14:paraId="45D223B9" w14:textId="76225687" w:rsidR="00DF65F3" w:rsidRDefault="00870777">
          <w:pPr>
            <w:pStyle w:val="Spistreci5"/>
            <w:rPr>
              <w:sz w:val="22"/>
              <w:lang w:val="en-GB" w:eastAsia="en-GB"/>
            </w:rPr>
          </w:pPr>
          <w:hyperlink w:anchor="_Toc12532821" w:history="1">
            <w:r w:rsidR="00DF65F3" w:rsidRPr="004815D6">
              <w:rPr>
                <w:rStyle w:val="Hipercze"/>
              </w:rPr>
              <w:t>AMC1 ADR.OPS.B.010(b);(c)     Służby ratowniczo-gaśnicze</w:t>
            </w:r>
            <w:r w:rsidR="00DF65F3">
              <w:rPr>
                <w:webHidden/>
              </w:rPr>
              <w:tab/>
            </w:r>
            <w:r w:rsidR="00DF65F3">
              <w:rPr>
                <w:webHidden/>
              </w:rPr>
              <w:fldChar w:fldCharType="begin"/>
            </w:r>
            <w:r w:rsidR="00DF65F3">
              <w:rPr>
                <w:webHidden/>
              </w:rPr>
              <w:instrText xml:space="preserve"> PAGEREF _Toc12532821 \h </w:instrText>
            </w:r>
            <w:r w:rsidR="00DF65F3">
              <w:rPr>
                <w:webHidden/>
              </w:rPr>
            </w:r>
            <w:r w:rsidR="00DF65F3">
              <w:rPr>
                <w:webHidden/>
              </w:rPr>
              <w:fldChar w:fldCharType="separate"/>
            </w:r>
            <w:r w:rsidR="00F755B7">
              <w:rPr>
                <w:webHidden/>
              </w:rPr>
              <w:t>236</w:t>
            </w:r>
            <w:r w:rsidR="00DF65F3">
              <w:rPr>
                <w:webHidden/>
              </w:rPr>
              <w:fldChar w:fldCharType="end"/>
            </w:r>
          </w:hyperlink>
        </w:p>
        <w:p w14:paraId="29B14C4C" w14:textId="29331980" w:rsidR="00DF65F3" w:rsidRDefault="00870777">
          <w:pPr>
            <w:pStyle w:val="Spistreci5"/>
            <w:rPr>
              <w:sz w:val="22"/>
              <w:lang w:val="en-GB" w:eastAsia="en-GB"/>
            </w:rPr>
          </w:pPr>
          <w:hyperlink w:anchor="_Toc12532822" w:history="1">
            <w:r w:rsidR="00DF65F3" w:rsidRPr="004815D6">
              <w:rPr>
                <w:rStyle w:val="Hipercze"/>
              </w:rPr>
              <w:t>AMC2 ADR.OPS.B.010(b);(c)     Służby ratowniczo-gaśnicze</w:t>
            </w:r>
            <w:r w:rsidR="00DF65F3">
              <w:rPr>
                <w:webHidden/>
              </w:rPr>
              <w:tab/>
            </w:r>
            <w:r w:rsidR="00DF65F3">
              <w:rPr>
                <w:webHidden/>
              </w:rPr>
              <w:fldChar w:fldCharType="begin"/>
            </w:r>
            <w:r w:rsidR="00DF65F3">
              <w:rPr>
                <w:webHidden/>
              </w:rPr>
              <w:instrText xml:space="preserve"> PAGEREF _Toc12532822 \h </w:instrText>
            </w:r>
            <w:r w:rsidR="00DF65F3">
              <w:rPr>
                <w:webHidden/>
              </w:rPr>
            </w:r>
            <w:r w:rsidR="00DF65F3">
              <w:rPr>
                <w:webHidden/>
              </w:rPr>
              <w:fldChar w:fldCharType="separate"/>
            </w:r>
            <w:r w:rsidR="00F755B7">
              <w:rPr>
                <w:webHidden/>
              </w:rPr>
              <w:t>236</w:t>
            </w:r>
            <w:r w:rsidR="00DF65F3">
              <w:rPr>
                <w:webHidden/>
              </w:rPr>
              <w:fldChar w:fldCharType="end"/>
            </w:r>
          </w:hyperlink>
        </w:p>
        <w:p w14:paraId="11C8BC28" w14:textId="6E331EC9" w:rsidR="00DF65F3" w:rsidRDefault="00870777">
          <w:pPr>
            <w:pStyle w:val="Spistreci5"/>
            <w:rPr>
              <w:sz w:val="22"/>
              <w:lang w:val="en-GB" w:eastAsia="en-GB"/>
            </w:rPr>
          </w:pPr>
          <w:hyperlink w:anchor="_Toc12532823" w:history="1">
            <w:r w:rsidR="00DF65F3" w:rsidRPr="004815D6">
              <w:rPr>
                <w:rStyle w:val="Hipercze"/>
              </w:rPr>
              <w:t>AMC3 ADR.OPS.B.010(b);(c)     Służby ratowniczo-gaśnicze</w:t>
            </w:r>
            <w:r w:rsidR="00DF65F3">
              <w:rPr>
                <w:webHidden/>
              </w:rPr>
              <w:tab/>
            </w:r>
            <w:r w:rsidR="00DF65F3">
              <w:rPr>
                <w:webHidden/>
              </w:rPr>
              <w:fldChar w:fldCharType="begin"/>
            </w:r>
            <w:r w:rsidR="00DF65F3">
              <w:rPr>
                <w:webHidden/>
              </w:rPr>
              <w:instrText xml:space="preserve"> PAGEREF _Toc12532823 \h </w:instrText>
            </w:r>
            <w:r w:rsidR="00DF65F3">
              <w:rPr>
                <w:webHidden/>
              </w:rPr>
            </w:r>
            <w:r w:rsidR="00DF65F3">
              <w:rPr>
                <w:webHidden/>
              </w:rPr>
              <w:fldChar w:fldCharType="separate"/>
            </w:r>
            <w:r w:rsidR="00F755B7">
              <w:rPr>
                <w:webHidden/>
              </w:rPr>
              <w:t>236</w:t>
            </w:r>
            <w:r w:rsidR="00DF65F3">
              <w:rPr>
                <w:webHidden/>
              </w:rPr>
              <w:fldChar w:fldCharType="end"/>
            </w:r>
          </w:hyperlink>
        </w:p>
        <w:p w14:paraId="5CE6F504" w14:textId="05B08CBC" w:rsidR="00DF65F3" w:rsidRDefault="00870777">
          <w:pPr>
            <w:pStyle w:val="Spistreci6"/>
            <w:rPr>
              <w:sz w:val="22"/>
              <w:lang w:val="en-GB" w:eastAsia="en-GB"/>
            </w:rPr>
          </w:pPr>
          <w:hyperlink w:anchor="_Toc12532824" w:history="1">
            <w:r w:rsidR="00DF65F3" w:rsidRPr="004815D6">
              <w:rPr>
                <w:rStyle w:val="Hipercze"/>
              </w:rPr>
              <w:t>GM1 ADR.OPS.B.010(b);(c)     Służby ratowniczo-gaśnicze</w:t>
            </w:r>
            <w:r w:rsidR="00DF65F3">
              <w:rPr>
                <w:webHidden/>
              </w:rPr>
              <w:tab/>
            </w:r>
            <w:r w:rsidR="00DF65F3">
              <w:rPr>
                <w:webHidden/>
              </w:rPr>
              <w:fldChar w:fldCharType="begin"/>
            </w:r>
            <w:r w:rsidR="00DF65F3">
              <w:rPr>
                <w:webHidden/>
              </w:rPr>
              <w:instrText xml:space="preserve"> PAGEREF _Toc12532824 \h </w:instrText>
            </w:r>
            <w:r w:rsidR="00DF65F3">
              <w:rPr>
                <w:webHidden/>
              </w:rPr>
            </w:r>
            <w:r w:rsidR="00DF65F3">
              <w:rPr>
                <w:webHidden/>
              </w:rPr>
              <w:fldChar w:fldCharType="separate"/>
            </w:r>
            <w:r w:rsidR="00F755B7">
              <w:rPr>
                <w:webHidden/>
              </w:rPr>
              <w:t>236</w:t>
            </w:r>
            <w:r w:rsidR="00DF65F3">
              <w:rPr>
                <w:webHidden/>
              </w:rPr>
              <w:fldChar w:fldCharType="end"/>
            </w:r>
          </w:hyperlink>
        </w:p>
        <w:p w14:paraId="235273EB" w14:textId="4FAF6EBA" w:rsidR="00DF65F3" w:rsidRDefault="00870777">
          <w:pPr>
            <w:pStyle w:val="Spistreci6"/>
            <w:rPr>
              <w:sz w:val="22"/>
              <w:lang w:val="en-GB" w:eastAsia="en-GB"/>
            </w:rPr>
          </w:pPr>
          <w:hyperlink w:anchor="_Toc12532825" w:history="1">
            <w:r w:rsidR="00DF65F3" w:rsidRPr="004815D6">
              <w:rPr>
                <w:rStyle w:val="Hipercze"/>
              </w:rPr>
              <w:t>GM2 ADR.OPS.B.010(b);(c)     Służby ratowniczo-gaśnicze</w:t>
            </w:r>
            <w:r w:rsidR="00DF65F3">
              <w:rPr>
                <w:webHidden/>
              </w:rPr>
              <w:tab/>
            </w:r>
            <w:r w:rsidR="00DF65F3">
              <w:rPr>
                <w:webHidden/>
              </w:rPr>
              <w:fldChar w:fldCharType="begin"/>
            </w:r>
            <w:r w:rsidR="00DF65F3">
              <w:rPr>
                <w:webHidden/>
              </w:rPr>
              <w:instrText xml:space="preserve"> PAGEREF _Toc12532825 \h </w:instrText>
            </w:r>
            <w:r w:rsidR="00DF65F3">
              <w:rPr>
                <w:webHidden/>
              </w:rPr>
            </w:r>
            <w:r w:rsidR="00DF65F3">
              <w:rPr>
                <w:webHidden/>
              </w:rPr>
              <w:fldChar w:fldCharType="separate"/>
            </w:r>
            <w:r w:rsidR="00F755B7">
              <w:rPr>
                <w:webHidden/>
              </w:rPr>
              <w:t>236</w:t>
            </w:r>
            <w:r w:rsidR="00DF65F3">
              <w:rPr>
                <w:webHidden/>
              </w:rPr>
              <w:fldChar w:fldCharType="end"/>
            </w:r>
          </w:hyperlink>
        </w:p>
        <w:p w14:paraId="2D35D391" w14:textId="2C50F54F" w:rsidR="00DF65F3" w:rsidRDefault="00870777">
          <w:pPr>
            <w:pStyle w:val="Spistreci6"/>
            <w:rPr>
              <w:sz w:val="22"/>
              <w:lang w:val="en-GB" w:eastAsia="en-GB"/>
            </w:rPr>
          </w:pPr>
          <w:hyperlink w:anchor="_Toc12532826" w:history="1">
            <w:r w:rsidR="00DF65F3" w:rsidRPr="004815D6">
              <w:rPr>
                <w:rStyle w:val="Hipercze"/>
              </w:rPr>
              <w:t>GM1 ADR.OPS.B.010(c)     Służby ratowniczo-gaśnicze</w:t>
            </w:r>
            <w:r w:rsidR="00DF65F3">
              <w:rPr>
                <w:webHidden/>
              </w:rPr>
              <w:tab/>
            </w:r>
            <w:r w:rsidR="00DF65F3">
              <w:rPr>
                <w:webHidden/>
              </w:rPr>
              <w:fldChar w:fldCharType="begin"/>
            </w:r>
            <w:r w:rsidR="00DF65F3">
              <w:rPr>
                <w:webHidden/>
              </w:rPr>
              <w:instrText xml:space="preserve"> PAGEREF _Toc12532826 \h </w:instrText>
            </w:r>
            <w:r w:rsidR="00DF65F3">
              <w:rPr>
                <w:webHidden/>
              </w:rPr>
            </w:r>
            <w:r w:rsidR="00DF65F3">
              <w:rPr>
                <w:webHidden/>
              </w:rPr>
              <w:fldChar w:fldCharType="separate"/>
            </w:r>
            <w:r w:rsidR="00F755B7">
              <w:rPr>
                <w:webHidden/>
              </w:rPr>
              <w:t>237</w:t>
            </w:r>
            <w:r w:rsidR="00DF65F3">
              <w:rPr>
                <w:webHidden/>
              </w:rPr>
              <w:fldChar w:fldCharType="end"/>
            </w:r>
          </w:hyperlink>
        </w:p>
        <w:p w14:paraId="05022950" w14:textId="756092B2" w:rsidR="00DF65F3" w:rsidRDefault="00870777">
          <w:pPr>
            <w:pStyle w:val="Spistreci6"/>
            <w:rPr>
              <w:sz w:val="22"/>
              <w:lang w:val="en-GB" w:eastAsia="en-GB"/>
            </w:rPr>
          </w:pPr>
          <w:hyperlink w:anchor="_Toc12532827" w:history="1">
            <w:r w:rsidR="00DF65F3" w:rsidRPr="004815D6">
              <w:rPr>
                <w:rStyle w:val="Hipercze"/>
                <w:rFonts w:eastAsia="Times New Roman"/>
              </w:rPr>
              <w:t>GM2 ADR.OPS.B.010(c)     Służby ratowniczo-gaśnicze</w:t>
            </w:r>
            <w:r w:rsidR="00DF65F3">
              <w:rPr>
                <w:webHidden/>
              </w:rPr>
              <w:tab/>
            </w:r>
            <w:r w:rsidR="00DF65F3">
              <w:rPr>
                <w:webHidden/>
              </w:rPr>
              <w:fldChar w:fldCharType="begin"/>
            </w:r>
            <w:r w:rsidR="00DF65F3">
              <w:rPr>
                <w:webHidden/>
              </w:rPr>
              <w:instrText xml:space="preserve"> PAGEREF _Toc12532827 \h </w:instrText>
            </w:r>
            <w:r w:rsidR="00DF65F3">
              <w:rPr>
                <w:webHidden/>
              </w:rPr>
            </w:r>
            <w:r w:rsidR="00DF65F3">
              <w:rPr>
                <w:webHidden/>
              </w:rPr>
              <w:fldChar w:fldCharType="separate"/>
            </w:r>
            <w:r w:rsidR="00F755B7">
              <w:rPr>
                <w:webHidden/>
              </w:rPr>
              <w:t>237</w:t>
            </w:r>
            <w:r w:rsidR="00DF65F3">
              <w:rPr>
                <w:webHidden/>
              </w:rPr>
              <w:fldChar w:fldCharType="end"/>
            </w:r>
          </w:hyperlink>
        </w:p>
        <w:p w14:paraId="3EF7880D" w14:textId="3BA5B7E3" w:rsidR="00DF65F3" w:rsidRDefault="00870777">
          <w:pPr>
            <w:pStyle w:val="Spistreci5"/>
            <w:rPr>
              <w:sz w:val="22"/>
              <w:lang w:val="en-GB" w:eastAsia="en-GB"/>
            </w:rPr>
          </w:pPr>
          <w:hyperlink w:anchor="_Toc12532828" w:history="1">
            <w:r w:rsidR="00DF65F3" w:rsidRPr="004815D6">
              <w:rPr>
                <w:rStyle w:val="Hipercze"/>
              </w:rPr>
              <w:t>AMC1 ADR.OPS.B.010(d)     Służby ratowniczo-gaśnicze</w:t>
            </w:r>
            <w:r w:rsidR="00DF65F3">
              <w:rPr>
                <w:webHidden/>
              </w:rPr>
              <w:tab/>
            </w:r>
            <w:r w:rsidR="00DF65F3">
              <w:rPr>
                <w:webHidden/>
              </w:rPr>
              <w:fldChar w:fldCharType="begin"/>
            </w:r>
            <w:r w:rsidR="00DF65F3">
              <w:rPr>
                <w:webHidden/>
              </w:rPr>
              <w:instrText xml:space="preserve"> PAGEREF _Toc12532828 \h </w:instrText>
            </w:r>
            <w:r w:rsidR="00DF65F3">
              <w:rPr>
                <w:webHidden/>
              </w:rPr>
            </w:r>
            <w:r w:rsidR="00DF65F3">
              <w:rPr>
                <w:webHidden/>
              </w:rPr>
              <w:fldChar w:fldCharType="separate"/>
            </w:r>
            <w:r w:rsidR="00F755B7">
              <w:rPr>
                <w:webHidden/>
              </w:rPr>
              <w:t>237</w:t>
            </w:r>
            <w:r w:rsidR="00DF65F3">
              <w:rPr>
                <w:webHidden/>
              </w:rPr>
              <w:fldChar w:fldCharType="end"/>
            </w:r>
          </w:hyperlink>
        </w:p>
        <w:p w14:paraId="392B3816" w14:textId="2396162D" w:rsidR="00DF65F3" w:rsidRDefault="00870777">
          <w:pPr>
            <w:pStyle w:val="Spistreci5"/>
            <w:rPr>
              <w:sz w:val="22"/>
              <w:lang w:val="en-GB" w:eastAsia="en-GB"/>
            </w:rPr>
          </w:pPr>
          <w:hyperlink w:anchor="_Toc12532829" w:history="1">
            <w:r w:rsidR="00DF65F3" w:rsidRPr="004815D6">
              <w:rPr>
                <w:rStyle w:val="Hipercze"/>
              </w:rPr>
              <w:t>AMC1 ADR.OPS.B.010(e)     Służby ratowniczo-gaśnicze</w:t>
            </w:r>
            <w:r w:rsidR="00DF65F3">
              <w:rPr>
                <w:webHidden/>
              </w:rPr>
              <w:tab/>
            </w:r>
            <w:r w:rsidR="00DF65F3">
              <w:rPr>
                <w:webHidden/>
              </w:rPr>
              <w:fldChar w:fldCharType="begin"/>
            </w:r>
            <w:r w:rsidR="00DF65F3">
              <w:rPr>
                <w:webHidden/>
              </w:rPr>
              <w:instrText xml:space="preserve"> PAGEREF _Toc12532829 \h </w:instrText>
            </w:r>
            <w:r w:rsidR="00DF65F3">
              <w:rPr>
                <w:webHidden/>
              </w:rPr>
            </w:r>
            <w:r w:rsidR="00DF65F3">
              <w:rPr>
                <w:webHidden/>
              </w:rPr>
              <w:fldChar w:fldCharType="separate"/>
            </w:r>
            <w:r w:rsidR="00F755B7">
              <w:rPr>
                <w:webHidden/>
              </w:rPr>
              <w:t>237</w:t>
            </w:r>
            <w:r w:rsidR="00DF65F3">
              <w:rPr>
                <w:webHidden/>
              </w:rPr>
              <w:fldChar w:fldCharType="end"/>
            </w:r>
          </w:hyperlink>
        </w:p>
        <w:p w14:paraId="4A1363E8" w14:textId="02226943" w:rsidR="00DF65F3" w:rsidRDefault="00870777">
          <w:pPr>
            <w:pStyle w:val="Spistreci6"/>
            <w:rPr>
              <w:sz w:val="22"/>
              <w:lang w:val="en-GB" w:eastAsia="en-GB"/>
            </w:rPr>
          </w:pPr>
          <w:hyperlink w:anchor="_Toc12532830" w:history="1">
            <w:r w:rsidR="00DF65F3" w:rsidRPr="004815D6">
              <w:rPr>
                <w:rStyle w:val="Hipercze"/>
              </w:rPr>
              <w:t>GM1 ADR.OPS.B.010(e)     Służby ratowniczo-gaśnicze</w:t>
            </w:r>
            <w:r w:rsidR="00DF65F3">
              <w:rPr>
                <w:webHidden/>
              </w:rPr>
              <w:tab/>
            </w:r>
            <w:r w:rsidR="00DF65F3">
              <w:rPr>
                <w:webHidden/>
              </w:rPr>
              <w:fldChar w:fldCharType="begin"/>
            </w:r>
            <w:r w:rsidR="00DF65F3">
              <w:rPr>
                <w:webHidden/>
              </w:rPr>
              <w:instrText xml:space="preserve"> PAGEREF _Toc12532830 \h </w:instrText>
            </w:r>
            <w:r w:rsidR="00DF65F3">
              <w:rPr>
                <w:webHidden/>
              </w:rPr>
            </w:r>
            <w:r w:rsidR="00DF65F3">
              <w:rPr>
                <w:webHidden/>
              </w:rPr>
              <w:fldChar w:fldCharType="separate"/>
            </w:r>
            <w:r w:rsidR="00F755B7">
              <w:rPr>
                <w:webHidden/>
              </w:rPr>
              <w:t>237</w:t>
            </w:r>
            <w:r w:rsidR="00DF65F3">
              <w:rPr>
                <w:webHidden/>
              </w:rPr>
              <w:fldChar w:fldCharType="end"/>
            </w:r>
          </w:hyperlink>
        </w:p>
        <w:p w14:paraId="64EC92CC" w14:textId="3C9EEDC4" w:rsidR="00DF65F3" w:rsidRDefault="00870777">
          <w:pPr>
            <w:pStyle w:val="Spistreci6"/>
            <w:rPr>
              <w:sz w:val="22"/>
              <w:lang w:val="en-GB" w:eastAsia="en-GB"/>
            </w:rPr>
          </w:pPr>
          <w:hyperlink w:anchor="_Toc12532831" w:history="1">
            <w:r w:rsidR="00DF65F3" w:rsidRPr="004815D6">
              <w:rPr>
                <w:rStyle w:val="Hipercze"/>
              </w:rPr>
              <w:t>GM2 ADR.OPS.B.010(e)     Służby ratowniczo-gaśnicze</w:t>
            </w:r>
            <w:r w:rsidR="00DF65F3">
              <w:rPr>
                <w:webHidden/>
              </w:rPr>
              <w:tab/>
            </w:r>
            <w:r w:rsidR="00DF65F3">
              <w:rPr>
                <w:webHidden/>
              </w:rPr>
              <w:fldChar w:fldCharType="begin"/>
            </w:r>
            <w:r w:rsidR="00DF65F3">
              <w:rPr>
                <w:webHidden/>
              </w:rPr>
              <w:instrText xml:space="preserve"> PAGEREF _Toc12532831 \h </w:instrText>
            </w:r>
            <w:r w:rsidR="00DF65F3">
              <w:rPr>
                <w:webHidden/>
              </w:rPr>
            </w:r>
            <w:r w:rsidR="00DF65F3">
              <w:rPr>
                <w:webHidden/>
              </w:rPr>
              <w:fldChar w:fldCharType="separate"/>
            </w:r>
            <w:r w:rsidR="00F755B7">
              <w:rPr>
                <w:webHidden/>
              </w:rPr>
              <w:t>237</w:t>
            </w:r>
            <w:r w:rsidR="00DF65F3">
              <w:rPr>
                <w:webHidden/>
              </w:rPr>
              <w:fldChar w:fldCharType="end"/>
            </w:r>
          </w:hyperlink>
        </w:p>
        <w:p w14:paraId="62C87BF1" w14:textId="7EB340A1" w:rsidR="00DF65F3" w:rsidRDefault="00870777">
          <w:pPr>
            <w:pStyle w:val="Spistreci3"/>
            <w:rPr>
              <w:rFonts w:asciiTheme="minorHAnsi" w:eastAsiaTheme="minorEastAsia" w:hAnsiTheme="minorHAnsi" w:cstheme="minorBidi"/>
              <w:sz w:val="22"/>
              <w:lang w:val="en-GB" w:eastAsia="en-GB"/>
            </w:rPr>
          </w:pPr>
          <w:hyperlink w:anchor="_Toc12532832" w:history="1">
            <w:r w:rsidR="00DF65F3" w:rsidRPr="004815D6">
              <w:rPr>
                <w:rStyle w:val="Hipercze"/>
              </w:rPr>
              <w:t>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_Toc12532832 \h </w:instrText>
            </w:r>
            <w:r w:rsidR="00DF65F3">
              <w:rPr>
                <w:webHidden/>
              </w:rPr>
            </w:r>
            <w:r w:rsidR="00DF65F3">
              <w:rPr>
                <w:webHidden/>
              </w:rPr>
              <w:fldChar w:fldCharType="separate"/>
            </w:r>
            <w:r w:rsidR="00F755B7">
              <w:rPr>
                <w:webHidden/>
              </w:rPr>
              <w:t>238</w:t>
            </w:r>
            <w:r w:rsidR="00DF65F3">
              <w:rPr>
                <w:webHidden/>
              </w:rPr>
              <w:fldChar w:fldCharType="end"/>
            </w:r>
          </w:hyperlink>
        </w:p>
        <w:p w14:paraId="4047B29A" w14:textId="0C1EEF84" w:rsidR="00DF65F3" w:rsidRDefault="00870777">
          <w:pPr>
            <w:pStyle w:val="Spistreci5"/>
            <w:rPr>
              <w:sz w:val="22"/>
              <w:lang w:val="en-GB" w:eastAsia="en-GB"/>
            </w:rPr>
          </w:pPr>
          <w:hyperlink w:anchor="_Toc12532833" w:history="1">
            <w:r w:rsidR="00DF65F3" w:rsidRPr="004815D6">
              <w:rPr>
                <w:rStyle w:val="Hipercze"/>
              </w:rPr>
              <w:t>AMC1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_Toc12532833 \h </w:instrText>
            </w:r>
            <w:r w:rsidR="00DF65F3">
              <w:rPr>
                <w:webHidden/>
              </w:rPr>
            </w:r>
            <w:r w:rsidR="00DF65F3">
              <w:rPr>
                <w:webHidden/>
              </w:rPr>
              <w:fldChar w:fldCharType="separate"/>
            </w:r>
            <w:r w:rsidR="00F755B7">
              <w:rPr>
                <w:webHidden/>
              </w:rPr>
              <w:t>238</w:t>
            </w:r>
            <w:r w:rsidR="00DF65F3">
              <w:rPr>
                <w:webHidden/>
              </w:rPr>
              <w:fldChar w:fldCharType="end"/>
            </w:r>
          </w:hyperlink>
        </w:p>
        <w:p w14:paraId="199BA6EC" w14:textId="745E7E54" w:rsidR="00DF65F3" w:rsidRDefault="00870777">
          <w:pPr>
            <w:pStyle w:val="Spistreci5"/>
            <w:rPr>
              <w:sz w:val="22"/>
              <w:lang w:val="en-GB" w:eastAsia="en-GB"/>
            </w:rPr>
          </w:pPr>
          <w:hyperlink w:anchor="_Toc12532834" w:history="1">
            <w:r w:rsidR="00DF65F3" w:rsidRPr="004815D6">
              <w:rPr>
                <w:rStyle w:val="Hipercze"/>
              </w:rPr>
              <w:t>AMC2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_Toc12532834 \h </w:instrText>
            </w:r>
            <w:r w:rsidR="00DF65F3">
              <w:rPr>
                <w:webHidden/>
              </w:rPr>
            </w:r>
            <w:r w:rsidR="00DF65F3">
              <w:rPr>
                <w:webHidden/>
              </w:rPr>
              <w:fldChar w:fldCharType="separate"/>
            </w:r>
            <w:r w:rsidR="00F755B7">
              <w:rPr>
                <w:webHidden/>
              </w:rPr>
              <w:t>238</w:t>
            </w:r>
            <w:r w:rsidR="00DF65F3">
              <w:rPr>
                <w:webHidden/>
              </w:rPr>
              <w:fldChar w:fldCharType="end"/>
            </w:r>
          </w:hyperlink>
        </w:p>
        <w:p w14:paraId="035F7192" w14:textId="608A8C36" w:rsidR="00DF65F3" w:rsidRDefault="00870777">
          <w:pPr>
            <w:pStyle w:val="Spistreci6"/>
            <w:rPr>
              <w:sz w:val="22"/>
              <w:lang w:val="en-GB" w:eastAsia="en-GB"/>
            </w:rPr>
          </w:pPr>
          <w:hyperlink w:anchor="_Toc12532835" w:history="1">
            <w:r w:rsidR="00DF65F3" w:rsidRPr="004815D6">
              <w:rPr>
                <w:rStyle w:val="Hipercze"/>
              </w:rPr>
              <w:t>GM1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_Toc12532835 \h </w:instrText>
            </w:r>
            <w:r w:rsidR="00DF65F3">
              <w:rPr>
                <w:webHidden/>
              </w:rPr>
            </w:r>
            <w:r w:rsidR="00DF65F3">
              <w:rPr>
                <w:webHidden/>
              </w:rPr>
              <w:fldChar w:fldCharType="separate"/>
            </w:r>
            <w:r w:rsidR="00F755B7">
              <w:rPr>
                <w:webHidden/>
              </w:rPr>
              <w:t>239</w:t>
            </w:r>
            <w:r w:rsidR="00DF65F3">
              <w:rPr>
                <w:webHidden/>
              </w:rPr>
              <w:fldChar w:fldCharType="end"/>
            </w:r>
          </w:hyperlink>
        </w:p>
        <w:p w14:paraId="7F94AC9A" w14:textId="18F9E3CA" w:rsidR="00DF65F3" w:rsidRDefault="00870777">
          <w:pPr>
            <w:pStyle w:val="Spistreci6"/>
            <w:rPr>
              <w:sz w:val="22"/>
              <w:lang w:val="en-GB" w:eastAsia="en-GB"/>
            </w:rPr>
          </w:pPr>
          <w:hyperlink w:anchor="_Toc12532836" w:history="1">
            <w:r w:rsidR="00DF65F3" w:rsidRPr="004815D6">
              <w:rPr>
                <w:rStyle w:val="Hipercze"/>
              </w:rPr>
              <w:t>GM2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_Toc12532836 \h </w:instrText>
            </w:r>
            <w:r w:rsidR="00DF65F3">
              <w:rPr>
                <w:webHidden/>
              </w:rPr>
            </w:r>
            <w:r w:rsidR="00DF65F3">
              <w:rPr>
                <w:webHidden/>
              </w:rPr>
              <w:fldChar w:fldCharType="separate"/>
            </w:r>
            <w:r w:rsidR="00F755B7">
              <w:rPr>
                <w:webHidden/>
              </w:rPr>
              <w:t>240</w:t>
            </w:r>
            <w:r w:rsidR="00DF65F3">
              <w:rPr>
                <w:webHidden/>
              </w:rPr>
              <w:fldChar w:fldCharType="end"/>
            </w:r>
          </w:hyperlink>
        </w:p>
        <w:p w14:paraId="05AE837D" w14:textId="5191EF04" w:rsidR="00DF65F3" w:rsidRDefault="00870777">
          <w:pPr>
            <w:pStyle w:val="Spistreci6"/>
            <w:rPr>
              <w:sz w:val="22"/>
              <w:lang w:val="en-GB" w:eastAsia="en-GB"/>
            </w:rPr>
          </w:pPr>
          <w:hyperlink w:anchor="_Toc12532837" w:history="1">
            <w:r w:rsidR="00DF65F3" w:rsidRPr="004815D6">
              <w:rPr>
                <w:rStyle w:val="Hipercze"/>
              </w:rPr>
              <w:t>GM3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_Toc12532837 \h </w:instrText>
            </w:r>
            <w:r w:rsidR="00DF65F3">
              <w:rPr>
                <w:webHidden/>
              </w:rPr>
            </w:r>
            <w:r w:rsidR="00DF65F3">
              <w:rPr>
                <w:webHidden/>
              </w:rPr>
              <w:fldChar w:fldCharType="separate"/>
            </w:r>
            <w:r w:rsidR="00F755B7">
              <w:rPr>
                <w:webHidden/>
              </w:rPr>
              <w:t>240</w:t>
            </w:r>
            <w:r w:rsidR="00DF65F3">
              <w:rPr>
                <w:webHidden/>
              </w:rPr>
              <w:fldChar w:fldCharType="end"/>
            </w:r>
          </w:hyperlink>
        </w:p>
        <w:p w14:paraId="12F7097C" w14:textId="06683031" w:rsidR="00DF65F3" w:rsidRDefault="00870777">
          <w:pPr>
            <w:pStyle w:val="Spistreci6"/>
            <w:rPr>
              <w:sz w:val="22"/>
              <w:lang w:val="en-GB" w:eastAsia="en-GB"/>
            </w:rPr>
          </w:pPr>
          <w:hyperlink w:anchor="_Toc12532838" w:history="1">
            <w:r w:rsidR="00DF65F3" w:rsidRPr="004815D6">
              <w:rPr>
                <w:rStyle w:val="Hipercze"/>
              </w:rPr>
              <w:t>GM4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_Toc12532838 \h </w:instrText>
            </w:r>
            <w:r w:rsidR="00DF65F3">
              <w:rPr>
                <w:webHidden/>
              </w:rPr>
            </w:r>
            <w:r w:rsidR="00DF65F3">
              <w:rPr>
                <w:webHidden/>
              </w:rPr>
              <w:fldChar w:fldCharType="separate"/>
            </w:r>
            <w:r w:rsidR="00F755B7">
              <w:rPr>
                <w:webHidden/>
              </w:rPr>
              <w:t>241</w:t>
            </w:r>
            <w:r w:rsidR="00DF65F3">
              <w:rPr>
                <w:webHidden/>
              </w:rPr>
              <w:fldChar w:fldCharType="end"/>
            </w:r>
          </w:hyperlink>
        </w:p>
        <w:p w14:paraId="2A33A0EE" w14:textId="2E3684DB" w:rsidR="00DF65F3" w:rsidRDefault="00870777">
          <w:pPr>
            <w:pStyle w:val="Spistreci6"/>
            <w:rPr>
              <w:sz w:val="22"/>
              <w:lang w:val="en-GB" w:eastAsia="en-GB"/>
            </w:rPr>
          </w:pPr>
          <w:hyperlink w:anchor="_Toc12532839" w:history="1">
            <w:r w:rsidR="00DF65F3" w:rsidRPr="004815D6">
              <w:rPr>
                <w:rStyle w:val="Hipercze"/>
              </w:rPr>
              <w:t>GM5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_Toc12532839 \h </w:instrText>
            </w:r>
            <w:r w:rsidR="00DF65F3">
              <w:rPr>
                <w:webHidden/>
              </w:rPr>
            </w:r>
            <w:r w:rsidR="00DF65F3">
              <w:rPr>
                <w:webHidden/>
              </w:rPr>
              <w:fldChar w:fldCharType="separate"/>
            </w:r>
            <w:r w:rsidR="00F755B7">
              <w:rPr>
                <w:webHidden/>
              </w:rPr>
              <w:t>241</w:t>
            </w:r>
            <w:r w:rsidR="00DF65F3">
              <w:rPr>
                <w:webHidden/>
              </w:rPr>
              <w:fldChar w:fldCharType="end"/>
            </w:r>
          </w:hyperlink>
        </w:p>
        <w:p w14:paraId="19B19DDC" w14:textId="42602B61" w:rsidR="00DF65F3" w:rsidRDefault="00870777">
          <w:pPr>
            <w:pStyle w:val="Spistreci6"/>
            <w:rPr>
              <w:sz w:val="22"/>
              <w:lang w:val="en-GB" w:eastAsia="en-GB"/>
            </w:rPr>
          </w:pPr>
          <w:hyperlink w:anchor="_Toc12532840" w:history="1">
            <w:r w:rsidR="00DF65F3" w:rsidRPr="004815D6">
              <w:rPr>
                <w:rStyle w:val="Hipercze"/>
              </w:rPr>
              <w:t>GM6 ADR.OPS.B.015      Monitoring i inspekcje pola ruchu naziemnego i związanych z nim    obiektów</w:t>
            </w:r>
            <w:r w:rsidR="00DF65F3">
              <w:rPr>
                <w:webHidden/>
              </w:rPr>
              <w:tab/>
            </w:r>
            <w:r w:rsidR="00DF65F3">
              <w:rPr>
                <w:webHidden/>
              </w:rPr>
              <w:fldChar w:fldCharType="begin"/>
            </w:r>
            <w:r w:rsidR="00DF65F3">
              <w:rPr>
                <w:webHidden/>
              </w:rPr>
              <w:instrText xml:space="preserve"> PAGEREF _Toc12532840 \h </w:instrText>
            </w:r>
            <w:r w:rsidR="00DF65F3">
              <w:rPr>
                <w:webHidden/>
              </w:rPr>
            </w:r>
            <w:r w:rsidR="00DF65F3">
              <w:rPr>
                <w:webHidden/>
              </w:rPr>
              <w:fldChar w:fldCharType="separate"/>
            </w:r>
            <w:r w:rsidR="00F755B7">
              <w:rPr>
                <w:webHidden/>
              </w:rPr>
              <w:t>241</w:t>
            </w:r>
            <w:r w:rsidR="00DF65F3">
              <w:rPr>
                <w:webHidden/>
              </w:rPr>
              <w:fldChar w:fldCharType="end"/>
            </w:r>
          </w:hyperlink>
        </w:p>
        <w:p w14:paraId="4E01BAC4" w14:textId="367150E3" w:rsidR="00DF65F3" w:rsidRDefault="00870777">
          <w:pPr>
            <w:pStyle w:val="Spistreci3"/>
            <w:rPr>
              <w:rFonts w:asciiTheme="minorHAnsi" w:eastAsiaTheme="minorEastAsia" w:hAnsiTheme="minorHAnsi" w:cstheme="minorBidi"/>
              <w:sz w:val="22"/>
              <w:lang w:val="en-GB" w:eastAsia="en-GB"/>
            </w:rPr>
          </w:pPr>
          <w:hyperlink w:anchor="_Toc12532841" w:history="1">
            <w:r w:rsidR="00DF65F3" w:rsidRPr="004815D6">
              <w:rPr>
                <w:rStyle w:val="Hipercze"/>
              </w:rPr>
              <w:t>ADR.OPS.B.020     Zmniejszanie zagrożenia zderzeniem z dziką zwierzyną</w:t>
            </w:r>
            <w:r w:rsidR="00DF65F3">
              <w:rPr>
                <w:webHidden/>
              </w:rPr>
              <w:tab/>
            </w:r>
            <w:r w:rsidR="00DF65F3">
              <w:rPr>
                <w:webHidden/>
              </w:rPr>
              <w:fldChar w:fldCharType="begin"/>
            </w:r>
            <w:r w:rsidR="00DF65F3">
              <w:rPr>
                <w:webHidden/>
              </w:rPr>
              <w:instrText xml:space="preserve"> PAGEREF _Toc12532841 \h </w:instrText>
            </w:r>
            <w:r w:rsidR="00DF65F3">
              <w:rPr>
                <w:webHidden/>
              </w:rPr>
            </w:r>
            <w:r w:rsidR="00DF65F3">
              <w:rPr>
                <w:webHidden/>
              </w:rPr>
              <w:fldChar w:fldCharType="separate"/>
            </w:r>
            <w:r w:rsidR="00F755B7">
              <w:rPr>
                <w:webHidden/>
              </w:rPr>
              <w:t>241</w:t>
            </w:r>
            <w:r w:rsidR="00DF65F3">
              <w:rPr>
                <w:webHidden/>
              </w:rPr>
              <w:fldChar w:fldCharType="end"/>
            </w:r>
          </w:hyperlink>
        </w:p>
        <w:p w14:paraId="3366D3BC" w14:textId="06B37CAB" w:rsidR="00DF65F3" w:rsidRDefault="00870777">
          <w:pPr>
            <w:pStyle w:val="Spistreci5"/>
            <w:rPr>
              <w:sz w:val="22"/>
              <w:lang w:val="en-GB" w:eastAsia="en-GB"/>
            </w:rPr>
          </w:pPr>
          <w:hyperlink w:anchor="_Toc12532842" w:history="1">
            <w:r w:rsidR="00DF65F3" w:rsidRPr="004815D6">
              <w:rPr>
                <w:rStyle w:val="Hipercze"/>
              </w:rPr>
              <w:t>AMC1 ADR.OPS.B.020     Zmniejszanie zagrożenia zderzeniem z dziką zwierzyną</w:t>
            </w:r>
            <w:r w:rsidR="00DF65F3">
              <w:rPr>
                <w:webHidden/>
              </w:rPr>
              <w:tab/>
            </w:r>
            <w:r w:rsidR="00DF65F3">
              <w:rPr>
                <w:webHidden/>
              </w:rPr>
              <w:fldChar w:fldCharType="begin"/>
            </w:r>
            <w:r w:rsidR="00DF65F3">
              <w:rPr>
                <w:webHidden/>
              </w:rPr>
              <w:instrText xml:space="preserve"> PAGEREF _Toc12532842 \h </w:instrText>
            </w:r>
            <w:r w:rsidR="00DF65F3">
              <w:rPr>
                <w:webHidden/>
              </w:rPr>
            </w:r>
            <w:r w:rsidR="00DF65F3">
              <w:rPr>
                <w:webHidden/>
              </w:rPr>
              <w:fldChar w:fldCharType="separate"/>
            </w:r>
            <w:r w:rsidR="00F755B7">
              <w:rPr>
                <w:webHidden/>
              </w:rPr>
              <w:t>242</w:t>
            </w:r>
            <w:r w:rsidR="00DF65F3">
              <w:rPr>
                <w:webHidden/>
              </w:rPr>
              <w:fldChar w:fldCharType="end"/>
            </w:r>
          </w:hyperlink>
        </w:p>
        <w:p w14:paraId="0AD5A7AB" w14:textId="71058BD2" w:rsidR="00DF65F3" w:rsidRDefault="00870777">
          <w:pPr>
            <w:pStyle w:val="Spistreci6"/>
            <w:rPr>
              <w:sz w:val="22"/>
              <w:lang w:val="en-GB" w:eastAsia="en-GB"/>
            </w:rPr>
          </w:pPr>
          <w:hyperlink w:anchor="_Toc12532843" w:history="1">
            <w:r w:rsidR="00DF65F3" w:rsidRPr="004815D6">
              <w:rPr>
                <w:rStyle w:val="Hipercze"/>
              </w:rPr>
              <w:t>GM1 ADR.OPS.B.020     Zmniejszanie zagrożenia zderzeniem z dziką zwierzyną</w:t>
            </w:r>
            <w:r w:rsidR="00DF65F3">
              <w:rPr>
                <w:webHidden/>
              </w:rPr>
              <w:tab/>
            </w:r>
            <w:r w:rsidR="00DF65F3">
              <w:rPr>
                <w:webHidden/>
              </w:rPr>
              <w:fldChar w:fldCharType="begin"/>
            </w:r>
            <w:r w:rsidR="00DF65F3">
              <w:rPr>
                <w:webHidden/>
              </w:rPr>
              <w:instrText xml:space="preserve"> PAGEREF _Toc12532843 \h </w:instrText>
            </w:r>
            <w:r w:rsidR="00DF65F3">
              <w:rPr>
                <w:webHidden/>
              </w:rPr>
            </w:r>
            <w:r w:rsidR="00DF65F3">
              <w:rPr>
                <w:webHidden/>
              </w:rPr>
              <w:fldChar w:fldCharType="separate"/>
            </w:r>
            <w:r w:rsidR="00F755B7">
              <w:rPr>
                <w:webHidden/>
              </w:rPr>
              <w:t>242</w:t>
            </w:r>
            <w:r w:rsidR="00DF65F3">
              <w:rPr>
                <w:webHidden/>
              </w:rPr>
              <w:fldChar w:fldCharType="end"/>
            </w:r>
          </w:hyperlink>
        </w:p>
        <w:p w14:paraId="418E12D4" w14:textId="1DB472A9" w:rsidR="00DF65F3" w:rsidRDefault="00870777">
          <w:pPr>
            <w:pStyle w:val="Spistreci6"/>
            <w:rPr>
              <w:sz w:val="22"/>
              <w:lang w:val="en-GB" w:eastAsia="en-GB"/>
            </w:rPr>
          </w:pPr>
          <w:hyperlink w:anchor="_Toc12532844" w:history="1">
            <w:r w:rsidR="00DF65F3" w:rsidRPr="004815D6">
              <w:rPr>
                <w:rStyle w:val="Hipercze"/>
              </w:rPr>
              <w:t>GM2 ADR.OPS.B.020     Zmniejszanie zagrożenia zderzeniem z dziką zwierzyną</w:t>
            </w:r>
            <w:r w:rsidR="00DF65F3">
              <w:rPr>
                <w:webHidden/>
              </w:rPr>
              <w:tab/>
            </w:r>
            <w:r w:rsidR="00DF65F3">
              <w:rPr>
                <w:webHidden/>
              </w:rPr>
              <w:fldChar w:fldCharType="begin"/>
            </w:r>
            <w:r w:rsidR="00DF65F3">
              <w:rPr>
                <w:webHidden/>
              </w:rPr>
              <w:instrText xml:space="preserve"> PAGEREF _Toc12532844 \h </w:instrText>
            </w:r>
            <w:r w:rsidR="00DF65F3">
              <w:rPr>
                <w:webHidden/>
              </w:rPr>
            </w:r>
            <w:r w:rsidR="00DF65F3">
              <w:rPr>
                <w:webHidden/>
              </w:rPr>
              <w:fldChar w:fldCharType="separate"/>
            </w:r>
            <w:r w:rsidR="00F755B7">
              <w:rPr>
                <w:webHidden/>
              </w:rPr>
              <w:t>242</w:t>
            </w:r>
            <w:r w:rsidR="00DF65F3">
              <w:rPr>
                <w:webHidden/>
              </w:rPr>
              <w:fldChar w:fldCharType="end"/>
            </w:r>
          </w:hyperlink>
        </w:p>
        <w:p w14:paraId="02752257" w14:textId="393AC456" w:rsidR="00DF65F3" w:rsidRDefault="00870777">
          <w:pPr>
            <w:pStyle w:val="Spistreci6"/>
            <w:rPr>
              <w:sz w:val="22"/>
              <w:lang w:val="en-GB" w:eastAsia="en-GB"/>
            </w:rPr>
          </w:pPr>
          <w:hyperlink w:anchor="_Toc12532845" w:history="1">
            <w:r w:rsidR="00DF65F3" w:rsidRPr="004815D6">
              <w:rPr>
                <w:rStyle w:val="Hipercze"/>
              </w:rPr>
              <w:t>GM3 ADR.OPS.B.020     Zmniejszanie zagrożenia zderzeniem z dziką zwierzyną</w:t>
            </w:r>
            <w:r w:rsidR="00DF65F3">
              <w:rPr>
                <w:webHidden/>
              </w:rPr>
              <w:tab/>
            </w:r>
            <w:r w:rsidR="00DF65F3">
              <w:rPr>
                <w:webHidden/>
              </w:rPr>
              <w:fldChar w:fldCharType="begin"/>
            </w:r>
            <w:r w:rsidR="00DF65F3">
              <w:rPr>
                <w:webHidden/>
              </w:rPr>
              <w:instrText xml:space="preserve"> PAGEREF _Toc12532845 \h </w:instrText>
            </w:r>
            <w:r w:rsidR="00DF65F3">
              <w:rPr>
                <w:webHidden/>
              </w:rPr>
            </w:r>
            <w:r w:rsidR="00DF65F3">
              <w:rPr>
                <w:webHidden/>
              </w:rPr>
              <w:fldChar w:fldCharType="separate"/>
            </w:r>
            <w:r w:rsidR="00F755B7">
              <w:rPr>
                <w:webHidden/>
              </w:rPr>
              <w:t>243</w:t>
            </w:r>
            <w:r w:rsidR="00DF65F3">
              <w:rPr>
                <w:webHidden/>
              </w:rPr>
              <w:fldChar w:fldCharType="end"/>
            </w:r>
          </w:hyperlink>
        </w:p>
        <w:p w14:paraId="62B3167B" w14:textId="50476738" w:rsidR="00DF65F3" w:rsidRDefault="00870777">
          <w:pPr>
            <w:pStyle w:val="Spistreci6"/>
            <w:rPr>
              <w:sz w:val="22"/>
              <w:lang w:val="en-GB" w:eastAsia="en-GB"/>
            </w:rPr>
          </w:pPr>
          <w:hyperlink w:anchor="_Toc12532846" w:history="1">
            <w:r w:rsidR="00DF65F3" w:rsidRPr="004815D6">
              <w:rPr>
                <w:rStyle w:val="Hipercze"/>
              </w:rPr>
              <w:t>GM4 ADR.OPS.B.020     Zmniejszanie zagrożenia zderzeniem z dziką zwierzyną</w:t>
            </w:r>
            <w:r w:rsidR="00DF65F3">
              <w:rPr>
                <w:webHidden/>
              </w:rPr>
              <w:tab/>
            </w:r>
            <w:r w:rsidR="00DF65F3">
              <w:rPr>
                <w:webHidden/>
              </w:rPr>
              <w:fldChar w:fldCharType="begin"/>
            </w:r>
            <w:r w:rsidR="00DF65F3">
              <w:rPr>
                <w:webHidden/>
              </w:rPr>
              <w:instrText xml:space="preserve"> PAGEREF _Toc12532846 \h </w:instrText>
            </w:r>
            <w:r w:rsidR="00DF65F3">
              <w:rPr>
                <w:webHidden/>
              </w:rPr>
            </w:r>
            <w:r w:rsidR="00DF65F3">
              <w:rPr>
                <w:webHidden/>
              </w:rPr>
              <w:fldChar w:fldCharType="separate"/>
            </w:r>
            <w:r w:rsidR="00F755B7">
              <w:rPr>
                <w:webHidden/>
              </w:rPr>
              <w:t>244</w:t>
            </w:r>
            <w:r w:rsidR="00DF65F3">
              <w:rPr>
                <w:webHidden/>
              </w:rPr>
              <w:fldChar w:fldCharType="end"/>
            </w:r>
          </w:hyperlink>
        </w:p>
        <w:p w14:paraId="0B725357" w14:textId="310EC244" w:rsidR="00DF65F3" w:rsidRDefault="00870777">
          <w:pPr>
            <w:pStyle w:val="Spistreci3"/>
            <w:rPr>
              <w:rFonts w:asciiTheme="minorHAnsi" w:eastAsiaTheme="minorEastAsia" w:hAnsiTheme="minorHAnsi" w:cstheme="minorBidi"/>
              <w:sz w:val="22"/>
              <w:lang w:val="en-GB" w:eastAsia="en-GB"/>
            </w:rPr>
          </w:pPr>
          <w:hyperlink w:anchor="_Toc12532847" w:history="1">
            <w:r w:rsidR="00DF65F3" w:rsidRPr="004815D6">
              <w:rPr>
                <w:rStyle w:val="Hipercze"/>
              </w:rPr>
              <w:t>ADR.OPS.B.025     Użytkowanie pojazdów</w:t>
            </w:r>
            <w:r w:rsidR="00DF65F3">
              <w:rPr>
                <w:webHidden/>
              </w:rPr>
              <w:tab/>
            </w:r>
            <w:r w:rsidR="00DF65F3">
              <w:rPr>
                <w:webHidden/>
              </w:rPr>
              <w:fldChar w:fldCharType="begin"/>
            </w:r>
            <w:r w:rsidR="00DF65F3">
              <w:rPr>
                <w:webHidden/>
              </w:rPr>
              <w:instrText xml:space="preserve"> PAGEREF _Toc12532847 \h </w:instrText>
            </w:r>
            <w:r w:rsidR="00DF65F3">
              <w:rPr>
                <w:webHidden/>
              </w:rPr>
            </w:r>
            <w:r w:rsidR="00DF65F3">
              <w:rPr>
                <w:webHidden/>
              </w:rPr>
              <w:fldChar w:fldCharType="separate"/>
            </w:r>
            <w:r w:rsidR="00F755B7">
              <w:rPr>
                <w:webHidden/>
              </w:rPr>
              <w:t>245</w:t>
            </w:r>
            <w:r w:rsidR="00DF65F3">
              <w:rPr>
                <w:webHidden/>
              </w:rPr>
              <w:fldChar w:fldCharType="end"/>
            </w:r>
          </w:hyperlink>
        </w:p>
        <w:p w14:paraId="3BF3F53E" w14:textId="027400B6" w:rsidR="00DF65F3" w:rsidRDefault="00870777">
          <w:pPr>
            <w:pStyle w:val="Spistreci5"/>
            <w:rPr>
              <w:sz w:val="22"/>
              <w:lang w:val="en-GB" w:eastAsia="en-GB"/>
            </w:rPr>
          </w:pPr>
          <w:hyperlink w:anchor="_Toc12532848" w:history="1">
            <w:r w:rsidR="00DF65F3" w:rsidRPr="004815D6">
              <w:rPr>
                <w:rStyle w:val="Hipercze"/>
              </w:rPr>
              <w:t>AMC1 ADR.OPS.B.025     Użytkowanie pojazdów</w:t>
            </w:r>
            <w:r w:rsidR="00DF65F3">
              <w:rPr>
                <w:webHidden/>
              </w:rPr>
              <w:tab/>
            </w:r>
            <w:r w:rsidR="00DF65F3">
              <w:rPr>
                <w:webHidden/>
              </w:rPr>
              <w:fldChar w:fldCharType="begin"/>
            </w:r>
            <w:r w:rsidR="00DF65F3">
              <w:rPr>
                <w:webHidden/>
              </w:rPr>
              <w:instrText xml:space="preserve"> PAGEREF _Toc12532848 \h </w:instrText>
            </w:r>
            <w:r w:rsidR="00DF65F3">
              <w:rPr>
                <w:webHidden/>
              </w:rPr>
            </w:r>
            <w:r w:rsidR="00DF65F3">
              <w:rPr>
                <w:webHidden/>
              </w:rPr>
              <w:fldChar w:fldCharType="separate"/>
            </w:r>
            <w:r w:rsidR="00F755B7">
              <w:rPr>
                <w:webHidden/>
              </w:rPr>
              <w:t>245</w:t>
            </w:r>
            <w:r w:rsidR="00DF65F3">
              <w:rPr>
                <w:webHidden/>
              </w:rPr>
              <w:fldChar w:fldCharType="end"/>
            </w:r>
          </w:hyperlink>
        </w:p>
        <w:p w14:paraId="19140DB0" w14:textId="78B30DE4" w:rsidR="00DF65F3" w:rsidRDefault="00870777">
          <w:pPr>
            <w:pStyle w:val="Spistreci5"/>
            <w:rPr>
              <w:sz w:val="22"/>
              <w:lang w:val="en-GB" w:eastAsia="en-GB"/>
            </w:rPr>
          </w:pPr>
          <w:hyperlink w:anchor="_Toc12532849" w:history="1">
            <w:r w:rsidR="00DF65F3" w:rsidRPr="004815D6">
              <w:rPr>
                <w:rStyle w:val="Hipercze"/>
              </w:rPr>
              <w:t>AMC2 ADR.OPS.B.025     Użytkowanie pojazdów</w:t>
            </w:r>
            <w:r w:rsidR="00DF65F3">
              <w:rPr>
                <w:webHidden/>
              </w:rPr>
              <w:tab/>
            </w:r>
            <w:r w:rsidR="00DF65F3">
              <w:rPr>
                <w:webHidden/>
              </w:rPr>
              <w:fldChar w:fldCharType="begin"/>
            </w:r>
            <w:r w:rsidR="00DF65F3">
              <w:rPr>
                <w:webHidden/>
              </w:rPr>
              <w:instrText xml:space="preserve"> PAGEREF _Toc12532849 \h </w:instrText>
            </w:r>
            <w:r w:rsidR="00DF65F3">
              <w:rPr>
                <w:webHidden/>
              </w:rPr>
            </w:r>
            <w:r w:rsidR="00DF65F3">
              <w:rPr>
                <w:webHidden/>
              </w:rPr>
              <w:fldChar w:fldCharType="separate"/>
            </w:r>
            <w:r w:rsidR="00F755B7">
              <w:rPr>
                <w:webHidden/>
              </w:rPr>
              <w:t>245</w:t>
            </w:r>
            <w:r w:rsidR="00DF65F3">
              <w:rPr>
                <w:webHidden/>
              </w:rPr>
              <w:fldChar w:fldCharType="end"/>
            </w:r>
          </w:hyperlink>
        </w:p>
        <w:p w14:paraId="315DDB53" w14:textId="216253DE" w:rsidR="00DF65F3" w:rsidRDefault="00870777">
          <w:pPr>
            <w:pStyle w:val="Spistreci6"/>
            <w:rPr>
              <w:sz w:val="22"/>
              <w:lang w:val="en-GB" w:eastAsia="en-GB"/>
            </w:rPr>
          </w:pPr>
          <w:hyperlink w:anchor="_Toc12532850" w:history="1">
            <w:r w:rsidR="00DF65F3" w:rsidRPr="004815D6">
              <w:rPr>
                <w:rStyle w:val="Hipercze"/>
              </w:rPr>
              <w:t>GM1 ADR.OPS.B.025     Użytkowanie pojazdów</w:t>
            </w:r>
            <w:r w:rsidR="00DF65F3">
              <w:rPr>
                <w:webHidden/>
              </w:rPr>
              <w:tab/>
            </w:r>
            <w:r w:rsidR="00DF65F3">
              <w:rPr>
                <w:webHidden/>
              </w:rPr>
              <w:fldChar w:fldCharType="begin"/>
            </w:r>
            <w:r w:rsidR="00DF65F3">
              <w:rPr>
                <w:webHidden/>
              </w:rPr>
              <w:instrText xml:space="preserve"> PAGEREF _Toc12532850 \h </w:instrText>
            </w:r>
            <w:r w:rsidR="00DF65F3">
              <w:rPr>
                <w:webHidden/>
              </w:rPr>
            </w:r>
            <w:r w:rsidR="00DF65F3">
              <w:rPr>
                <w:webHidden/>
              </w:rPr>
              <w:fldChar w:fldCharType="separate"/>
            </w:r>
            <w:r w:rsidR="00F755B7">
              <w:rPr>
                <w:webHidden/>
              </w:rPr>
              <w:t>246</w:t>
            </w:r>
            <w:r w:rsidR="00DF65F3">
              <w:rPr>
                <w:webHidden/>
              </w:rPr>
              <w:fldChar w:fldCharType="end"/>
            </w:r>
          </w:hyperlink>
        </w:p>
        <w:p w14:paraId="78B3D671" w14:textId="0BD1D4FA" w:rsidR="00DF65F3" w:rsidRDefault="00870777">
          <w:pPr>
            <w:pStyle w:val="Spistreci6"/>
            <w:rPr>
              <w:sz w:val="22"/>
              <w:lang w:val="en-GB" w:eastAsia="en-GB"/>
            </w:rPr>
          </w:pPr>
          <w:hyperlink w:anchor="_Toc12532851" w:history="1">
            <w:r w:rsidR="00DF65F3" w:rsidRPr="004815D6">
              <w:rPr>
                <w:rStyle w:val="Hipercze"/>
              </w:rPr>
              <w:t>GM2 ADR.OPS.B.025     Użytkowanie pojazdów</w:t>
            </w:r>
            <w:r w:rsidR="00DF65F3">
              <w:rPr>
                <w:webHidden/>
              </w:rPr>
              <w:tab/>
            </w:r>
            <w:r w:rsidR="00DF65F3">
              <w:rPr>
                <w:webHidden/>
              </w:rPr>
              <w:fldChar w:fldCharType="begin"/>
            </w:r>
            <w:r w:rsidR="00DF65F3">
              <w:rPr>
                <w:webHidden/>
              </w:rPr>
              <w:instrText xml:space="preserve"> PAGEREF _Toc12532851 \h </w:instrText>
            </w:r>
            <w:r w:rsidR="00DF65F3">
              <w:rPr>
                <w:webHidden/>
              </w:rPr>
            </w:r>
            <w:r w:rsidR="00DF65F3">
              <w:rPr>
                <w:webHidden/>
              </w:rPr>
              <w:fldChar w:fldCharType="separate"/>
            </w:r>
            <w:r w:rsidR="00F755B7">
              <w:rPr>
                <w:webHidden/>
              </w:rPr>
              <w:t>247</w:t>
            </w:r>
            <w:r w:rsidR="00DF65F3">
              <w:rPr>
                <w:webHidden/>
              </w:rPr>
              <w:fldChar w:fldCharType="end"/>
            </w:r>
          </w:hyperlink>
        </w:p>
        <w:p w14:paraId="26369E58" w14:textId="4BD3CB27" w:rsidR="00DF65F3" w:rsidRDefault="00870777">
          <w:pPr>
            <w:pStyle w:val="Spistreci3"/>
            <w:rPr>
              <w:rFonts w:asciiTheme="minorHAnsi" w:eastAsiaTheme="minorEastAsia" w:hAnsiTheme="minorHAnsi" w:cstheme="minorBidi"/>
              <w:sz w:val="22"/>
              <w:lang w:val="en-GB" w:eastAsia="en-GB"/>
            </w:rPr>
          </w:pPr>
          <w:hyperlink w:anchor="_Toc12532852" w:history="1">
            <w:r w:rsidR="00DF65F3" w:rsidRPr="004815D6">
              <w:rPr>
                <w:rStyle w:val="Hipercze"/>
              </w:rPr>
              <w:t>ADR.OPS.B.030     System kierowania i kontroli ruchu naziemnego</w:t>
            </w:r>
            <w:r w:rsidR="00DF65F3">
              <w:rPr>
                <w:webHidden/>
              </w:rPr>
              <w:tab/>
            </w:r>
            <w:r w:rsidR="00DF65F3">
              <w:rPr>
                <w:webHidden/>
              </w:rPr>
              <w:fldChar w:fldCharType="begin"/>
            </w:r>
            <w:r w:rsidR="00DF65F3">
              <w:rPr>
                <w:webHidden/>
              </w:rPr>
              <w:instrText xml:space="preserve"> PAGEREF _Toc12532852 \h </w:instrText>
            </w:r>
            <w:r w:rsidR="00DF65F3">
              <w:rPr>
                <w:webHidden/>
              </w:rPr>
            </w:r>
            <w:r w:rsidR="00DF65F3">
              <w:rPr>
                <w:webHidden/>
              </w:rPr>
              <w:fldChar w:fldCharType="separate"/>
            </w:r>
            <w:r w:rsidR="00F755B7">
              <w:rPr>
                <w:webHidden/>
              </w:rPr>
              <w:t>254</w:t>
            </w:r>
            <w:r w:rsidR="00DF65F3">
              <w:rPr>
                <w:webHidden/>
              </w:rPr>
              <w:fldChar w:fldCharType="end"/>
            </w:r>
          </w:hyperlink>
        </w:p>
        <w:p w14:paraId="18656206" w14:textId="11BDD34A" w:rsidR="00DF65F3" w:rsidRDefault="00870777">
          <w:pPr>
            <w:pStyle w:val="Spistreci5"/>
            <w:rPr>
              <w:sz w:val="22"/>
              <w:lang w:val="en-GB" w:eastAsia="en-GB"/>
            </w:rPr>
          </w:pPr>
          <w:hyperlink w:anchor="_Toc12532853" w:history="1">
            <w:r w:rsidR="00DF65F3" w:rsidRPr="004815D6">
              <w:rPr>
                <w:rStyle w:val="Hipercze"/>
              </w:rPr>
              <w:t>AMC1 ADR.OPS.B.030     System kierowania i kontroli ruchu naziemnego</w:t>
            </w:r>
            <w:r w:rsidR="00DF65F3">
              <w:rPr>
                <w:webHidden/>
              </w:rPr>
              <w:tab/>
            </w:r>
            <w:r w:rsidR="00DF65F3">
              <w:rPr>
                <w:webHidden/>
              </w:rPr>
              <w:fldChar w:fldCharType="begin"/>
            </w:r>
            <w:r w:rsidR="00DF65F3">
              <w:rPr>
                <w:webHidden/>
              </w:rPr>
              <w:instrText xml:space="preserve"> PAGEREF _Toc12532853 \h </w:instrText>
            </w:r>
            <w:r w:rsidR="00DF65F3">
              <w:rPr>
                <w:webHidden/>
              </w:rPr>
            </w:r>
            <w:r w:rsidR="00DF65F3">
              <w:rPr>
                <w:webHidden/>
              </w:rPr>
              <w:fldChar w:fldCharType="separate"/>
            </w:r>
            <w:r w:rsidR="00F755B7">
              <w:rPr>
                <w:webHidden/>
              </w:rPr>
              <w:t>254</w:t>
            </w:r>
            <w:r w:rsidR="00DF65F3">
              <w:rPr>
                <w:webHidden/>
              </w:rPr>
              <w:fldChar w:fldCharType="end"/>
            </w:r>
          </w:hyperlink>
        </w:p>
        <w:p w14:paraId="046E41AC" w14:textId="7DA8E444" w:rsidR="00DF65F3" w:rsidRDefault="00870777">
          <w:pPr>
            <w:pStyle w:val="Spistreci6"/>
            <w:rPr>
              <w:sz w:val="22"/>
              <w:lang w:val="en-GB" w:eastAsia="en-GB"/>
            </w:rPr>
          </w:pPr>
          <w:hyperlink w:anchor="_Toc12532854" w:history="1">
            <w:r w:rsidR="00DF65F3" w:rsidRPr="004815D6">
              <w:rPr>
                <w:rStyle w:val="Hipercze"/>
              </w:rPr>
              <w:t>GM1 ADR.OPS.B.030     System kierowania i kontroli ruchu naziemnego</w:t>
            </w:r>
            <w:r w:rsidR="00DF65F3">
              <w:rPr>
                <w:webHidden/>
              </w:rPr>
              <w:tab/>
            </w:r>
            <w:r w:rsidR="00DF65F3">
              <w:rPr>
                <w:webHidden/>
              </w:rPr>
              <w:fldChar w:fldCharType="begin"/>
            </w:r>
            <w:r w:rsidR="00DF65F3">
              <w:rPr>
                <w:webHidden/>
              </w:rPr>
              <w:instrText xml:space="preserve"> PAGEREF _Toc12532854 \h </w:instrText>
            </w:r>
            <w:r w:rsidR="00DF65F3">
              <w:rPr>
                <w:webHidden/>
              </w:rPr>
            </w:r>
            <w:r w:rsidR="00DF65F3">
              <w:rPr>
                <w:webHidden/>
              </w:rPr>
              <w:fldChar w:fldCharType="separate"/>
            </w:r>
            <w:r w:rsidR="00F755B7">
              <w:rPr>
                <w:webHidden/>
              </w:rPr>
              <w:t>255</w:t>
            </w:r>
            <w:r w:rsidR="00DF65F3">
              <w:rPr>
                <w:webHidden/>
              </w:rPr>
              <w:fldChar w:fldCharType="end"/>
            </w:r>
          </w:hyperlink>
        </w:p>
        <w:p w14:paraId="14DA0D86" w14:textId="5B011AB6" w:rsidR="00DF65F3" w:rsidRDefault="00870777">
          <w:pPr>
            <w:pStyle w:val="Spistreci3"/>
            <w:rPr>
              <w:rFonts w:asciiTheme="minorHAnsi" w:eastAsiaTheme="minorEastAsia" w:hAnsiTheme="minorHAnsi" w:cstheme="minorBidi"/>
              <w:sz w:val="22"/>
              <w:lang w:val="en-GB" w:eastAsia="en-GB"/>
            </w:rPr>
          </w:pPr>
          <w:hyperlink w:anchor="_Toc12532855" w:history="1">
            <w:r w:rsidR="00DF65F3" w:rsidRPr="004815D6">
              <w:rPr>
                <w:rStyle w:val="Hipercze"/>
              </w:rPr>
              <w:t>ADR.OPS.B.035     Operacje w warunkach zimowych</w:t>
            </w:r>
            <w:r w:rsidR="00DF65F3">
              <w:rPr>
                <w:webHidden/>
              </w:rPr>
              <w:tab/>
            </w:r>
            <w:r w:rsidR="00DF65F3">
              <w:rPr>
                <w:webHidden/>
              </w:rPr>
              <w:fldChar w:fldCharType="begin"/>
            </w:r>
            <w:r w:rsidR="00DF65F3">
              <w:rPr>
                <w:webHidden/>
              </w:rPr>
              <w:instrText xml:space="preserve"> PAGEREF _Toc12532855 \h </w:instrText>
            </w:r>
            <w:r w:rsidR="00DF65F3">
              <w:rPr>
                <w:webHidden/>
              </w:rPr>
            </w:r>
            <w:r w:rsidR="00DF65F3">
              <w:rPr>
                <w:webHidden/>
              </w:rPr>
              <w:fldChar w:fldCharType="separate"/>
            </w:r>
            <w:r w:rsidR="00F755B7">
              <w:rPr>
                <w:webHidden/>
              </w:rPr>
              <w:t>255</w:t>
            </w:r>
            <w:r w:rsidR="00DF65F3">
              <w:rPr>
                <w:webHidden/>
              </w:rPr>
              <w:fldChar w:fldCharType="end"/>
            </w:r>
          </w:hyperlink>
        </w:p>
        <w:p w14:paraId="0C457D56" w14:textId="1AB2B00B" w:rsidR="00DF65F3" w:rsidRDefault="00870777">
          <w:pPr>
            <w:pStyle w:val="Spistreci5"/>
            <w:rPr>
              <w:sz w:val="22"/>
              <w:lang w:val="en-GB" w:eastAsia="en-GB"/>
            </w:rPr>
          </w:pPr>
          <w:hyperlink w:anchor="_Toc12532856" w:history="1">
            <w:r w:rsidR="00DF65F3" w:rsidRPr="004815D6">
              <w:rPr>
                <w:rStyle w:val="Hipercze"/>
              </w:rPr>
              <w:t>AMC1 ADR.OPS.B.035     Operacje w warunkach zimowych</w:t>
            </w:r>
            <w:r w:rsidR="00DF65F3">
              <w:rPr>
                <w:webHidden/>
              </w:rPr>
              <w:tab/>
            </w:r>
            <w:r w:rsidR="00DF65F3">
              <w:rPr>
                <w:webHidden/>
              </w:rPr>
              <w:fldChar w:fldCharType="begin"/>
            </w:r>
            <w:r w:rsidR="00DF65F3">
              <w:rPr>
                <w:webHidden/>
              </w:rPr>
              <w:instrText xml:space="preserve"> PAGEREF _Toc12532856 \h </w:instrText>
            </w:r>
            <w:r w:rsidR="00DF65F3">
              <w:rPr>
                <w:webHidden/>
              </w:rPr>
            </w:r>
            <w:r w:rsidR="00DF65F3">
              <w:rPr>
                <w:webHidden/>
              </w:rPr>
              <w:fldChar w:fldCharType="separate"/>
            </w:r>
            <w:r w:rsidR="00F755B7">
              <w:rPr>
                <w:webHidden/>
              </w:rPr>
              <w:t>255</w:t>
            </w:r>
            <w:r w:rsidR="00DF65F3">
              <w:rPr>
                <w:webHidden/>
              </w:rPr>
              <w:fldChar w:fldCharType="end"/>
            </w:r>
          </w:hyperlink>
        </w:p>
        <w:p w14:paraId="60E613CC" w14:textId="46F7A864" w:rsidR="00DF65F3" w:rsidRDefault="00870777">
          <w:pPr>
            <w:pStyle w:val="Spistreci6"/>
            <w:rPr>
              <w:sz w:val="22"/>
              <w:lang w:val="en-GB" w:eastAsia="en-GB"/>
            </w:rPr>
          </w:pPr>
          <w:hyperlink w:anchor="_Toc12532857" w:history="1">
            <w:r w:rsidR="00DF65F3" w:rsidRPr="004815D6">
              <w:rPr>
                <w:rStyle w:val="Hipercze"/>
              </w:rPr>
              <w:t>GM1 ADR.OPS.B.035     Operacje w warunkach zimowych</w:t>
            </w:r>
            <w:r w:rsidR="00DF65F3">
              <w:rPr>
                <w:webHidden/>
              </w:rPr>
              <w:tab/>
            </w:r>
            <w:r w:rsidR="00DF65F3">
              <w:rPr>
                <w:webHidden/>
              </w:rPr>
              <w:fldChar w:fldCharType="begin"/>
            </w:r>
            <w:r w:rsidR="00DF65F3">
              <w:rPr>
                <w:webHidden/>
              </w:rPr>
              <w:instrText xml:space="preserve"> PAGEREF _Toc12532857 \h </w:instrText>
            </w:r>
            <w:r w:rsidR="00DF65F3">
              <w:rPr>
                <w:webHidden/>
              </w:rPr>
            </w:r>
            <w:r w:rsidR="00DF65F3">
              <w:rPr>
                <w:webHidden/>
              </w:rPr>
              <w:fldChar w:fldCharType="separate"/>
            </w:r>
            <w:r w:rsidR="00F755B7">
              <w:rPr>
                <w:webHidden/>
              </w:rPr>
              <w:t>255</w:t>
            </w:r>
            <w:r w:rsidR="00DF65F3">
              <w:rPr>
                <w:webHidden/>
              </w:rPr>
              <w:fldChar w:fldCharType="end"/>
            </w:r>
          </w:hyperlink>
        </w:p>
        <w:p w14:paraId="759264DA" w14:textId="7CF90E98" w:rsidR="00DF65F3" w:rsidRDefault="00870777">
          <w:pPr>
            <w:pStyle w:val="Spistreci3"/>
            <w:rPr>
              <w:rFonts w:asciiTheme="minorHAnsi" w:eastAsiaTheme="minorEastAsia" w:hAnsiTheme="minorHAnsi" w:cstheme="minorBidi"/>
              <w:sz w:val="22"/>
              <w:lang w:val="en-GB" w:eastAsia="en-GB"/>
            </w:rPr>
          </w:pPr>
          <w:hyperlink w:anchor="_Toc12532858" w:history="1">
            <w:r w:rsidR="00DF65F3" w:rsidRPr="004815D6">
              <w:rPr>
                <w:rStyle w:val="Hipercze"/>
              </w:rPr>
              <w:t>ADR.OPS.B.040     Operacje nocne</w:t>
            </w:r>
            <w:r w:rsidR="00DF65F3">
              <w:rPr>
                <w:webHidden/>
              </w:rPr>
              <w:tab/>
            </w:r>
            <w:r w:rsidR="00DF65F3">
              <w:rPr>
                <w:webHidden/>
              </w:rPr>
              <w:fldChar w:fldCharType="begin"/>
            </w:r>
            <w:r w:rsidR="00DF65F3">
              <w:rPr>
                <w:webHidden/>
              </w:rPr>
              <w:instrText xml:space="preserve"> PAGEREF _Toc12532858 \h </w:instrText>
            </w:r>
            <w:r w:rsidR="00DF65F3">
              <w:rPr>
                <w:webHidden/>
              </w:rPr>
            </w:r>
            <w:r w:rsidR="00DF65F3">
              <w:rPr>
                <w:webHidden/>
              </w:rPr>
              <w:fldChar w:fldCharType="separate"/>
            </w:r>
            <w:r w:rsidR="00F755B7">
              <w:rPr>
                <w:webHidden/>
              </w:rPr>
              <w:t>256</w:t>
            </w:r>
            <w:r w:rsidR="00DF65F3">
              <w:rPr>
                <w:webHidden/>
              </w:rPr>
              <w:fldChar w:fldCharType="end"/>
            </w:r>
          </w:hyperlink>
        </w:p>
        <w:p w14:paraId="0C34070B" w14:textId="340A5221" w:rsidR="00DF65F3" w:rsidRDefault="00870777">
          <w:pPr>
            <w:pStyle w:val="Spistreci5"/>
            <w:rPr>
              <w:sz w:val="22"/>
              <w:lang w:val="en-GB" w:eastAsia="en-GB"/>
            </w:rPr>
          </w:pPr>
          <w:hyperlink w:anchor="_Toc12532859" w:history="1">
            <w:r w:rsidR="00DF65F3" w:rsidRPr="004815D6">
              <w:rPr>
                <w:rStyle w:val="Hipercze"/>
              </w:rPr>
              <w:t>AMC1 ADR.OPS.B.040     Operacje nocne</w:t>
            </w:r>
            <w:r w:rsidR="00DF65F3">
              <w:rPr>
                <w:webHidden/>
              </w:rPr>
              <w:tab/>
            </w:r>
            <w:r w:rsidR="00DF65F3">
              <w:rPr>
                <w:webHidden/>
              </w:rPr>
              <w:fldChar w:fldCharType="begin"/>
            </w:r>
            <w:r w:rsidR="00DF65F3">
              <w:rPr>
                <w:webHidden/>
              </w:rPr>
              <w:instrText xml:space="preserve"> PAGEREF _Toc12532859 \h </w:instrText>
            </w:r>
            <w:r w:rsidR="00DF65F3">
              <w:rPr>
                <w:webHidden/>
              </w:rPr>
            </w:r>
            <w:r w:rsidR="00DF65F3">
              <w:rPr>
                <w:webHidden/>
              </w:rPr>
              <w:fldChar w:fldCharType="separate"/>
            </w:r>
            <w:r w:rsidR="00F755B7">
              <w:rPr>
                <w:webHidden/>
              </w:rPr>
              <w:t>256</w:t>
            </w:r>
            <w:r w:rsidR="00DF65F3">
              <w:rPr>
                <w:webHidden/>
              </w:rPr>
              <w:fldChar w:fldCharType="end"/>
            </w:r>
          </w:hyperlink>
        </w:p>
        <w:p w14:paraId="42FEF09C" w14:textId="39F45F85" w:rsidR="00DF65F3" w:rsidRDefault="00870777">
          <w:pPr>
            <w:pStyle w:val="Spistreci3"/>
            <w:rPr>
              <w:rFonts w:asciiTheme="minorHAnsi" w:eastAsiaTheme="minorEastAsia" w:hAnsiTheme="minorHAnsi" w:cstheme="minorBidi"/>
              <w:sz w:val="22"/>
              <w:lang w:val="en-GB" w:eastAsia="en-GB"/>
            </w:rPr>
          </w:pPr>
          <w:hyperlink w:anchor="_Toc12532860" w:history="1">
            <w:r w:rsidR="00DF65F3" w:rsidRPr="004815D6">
              <w:rPr>
                <w:rStyle w:val="Hipercze"/>
              </w:rPr>
              <w:t>ADR.OPS.B.045     Operacje przy ograniczonej widzialności</w:t>
            </w:r>
            <w:r w:rsidR="00DF65F3">
              <w:rPr>
                <w:webHidden/>
              </w:rPr>
              <w:tab/>
            </w:r>
            <w:r w:rsidR="00DF65F3">
              <w:rPr>
                <w:webHidden/>
              </w:rPr>
              <w:fldChar w:fldCharType="begin"/>
            </w:r>
            <w:r w:rsidR="00DF65F3">
              <w:rPr>
                <w:webHidden/>
              </w:rPr>
              <w:instrText xml:space="preserve"> PAGEREF _Toc12532860 \h </w:instrText>
            </w:r>
            <w:r w:rsidR="00DF65F3">
              <w:rPr>
                <w:webHidden/>
              </w:rPr>
            </w:r>
            <w:r w:rsidR="00DF65F3">
              <w:rPr>
                <w:webHidden/>
              </w:rPr>
              <w:fldChar w:fldCharType="separate"/>
            </w:r>
            <w:r w:rsidR="00F755B7">
              <w:rPr>
                <w:webHidden/>
              </w:rPr>
              <w:t>256</w:t>
            </w:r>
            <w:r w:rsidR="00DF65F3">
              <w:rPr>
                <w:webHidden/>
              </w:rPr>
              <w:fldChar w:fldCharType="end"/>
            </w:r>
          </w:hyperlink>
        </w:p>
        <w:p w14:paraId="496172AE" w14:textId="201A4A4A" w:rsidR="00DF65F3" w:rsidRDefault="00870777">
          <w:pPr>
            <w:pStyle w:val="Spistreci5"/>
            <w:rPr>
              <w:sz w:val="22"/>
              <w:lang w:val="en-GB" w:eastAsia="en-GB"/>
            </w:rPr>
          </w:pPr>
          <w:hyperlink w:anchor="_Toc12532861" w:history="1">
            <w:r w:rsidR="00DF65F3" w:rsidRPr="004815D6">
              <w:rPr>
                <w:rStyle w:val="Hipercze"/>
              </w:rPr>
              <w:t>AMC1 ADR.OPS.B.045     Operacje przy ograniczonej widzialności</w:t>
            </w:r>
            <w:r w:rsidR="00DF65F3">
              <w:rPr>
                <w:webHidden/>
              </w:rPr>
              <w:tab/>
            </w:r>
            <w:r w:rsidR="00DF65F3">
              <w:rPr>
                <w:webHidden/>
              </w:rPr>
              <w:fldChar w:fldCharType="begin"/>
            </w:r>
            <w:r w:rsidR="00DF65F3">
              <w:rPr>
                <w:webHidden/>
              </w:rPr>
              <w:instrText xml:space="preserve"> PAGEREF _Toc12532861 \h </w:instrText>
            </w:r>
            <w:r w:rsidR="00DF65F3">
              <w:rPr>
                <w:webHidden/>
              </w:rPr>
            </w:r>
            <w:r w:rsidR="00DF65F3">
              <w:rPr>
                <w:webHidden/>
              </w:rPr>
              <w:fldChar w:fldCharType="separate"/>
            </w:r>
            <w:r w:rsidR="00F755B7">
              <w:rPr>
                <w:webHidden/>
              </w:rPr>
              <w:t>257</w:t>
            </w:r>
            <w:r w:rsidR="00DF65F3">
              <w:rPr>
                <w:webHidden/>
              </w:rPr>
              <w:fldChar w:fldCharType="end"/>
            </w:r>
          </w:hyperlink>
        </w:p>
        <w:p w14:paraId="3A79472A" w14:textId="5336DB16" w:rsidR="00DF65F3" w:rsidRDefault="00870777">
          <w:pPr>
            <w:pStyle w:val="Spistreci3"/>
            <w:rPr>
              <w:rFonts w:asciiTheme="minorHAnsi" w:eastAsiaTheme="minorEastAsia" w:hAnsiTheme="minorHAnsi" w:cstheme="minorBidi"/>
              <w:sz w:val="22"/>
              <w:lang w:val="en-GB" w:eastAsia="en-GB"/>
            </w:rPr>
          </w:pPr>
          <w:hyperlink w:anchor="_Toc12532862" w:history="1">
            <w:r w:rsidR="00DF65F3" w:rsidRPr="004815D6">
              <w:rPr>
                <w:rStyle w:val="Hipercze"/>
              </w:rPr>
              <w:t>ADR.OPS.B.050     Operacje w niekorzystnych warunkach pogodowych</w:t>
            </w:r>
            <w:r w:rsidR="00DF65F3">
              <w:rPr>
                <w:webHidden/>
              </w:rPr>
              <w:tab/>
            </w:r>
            <w:r w:rsidR="00DF65F3">
              <w:rPr>
                <w:webHidden/>
              </w:rPr>
              <w:fldChar w:fldCharType="begin"/>
            </w:r>
            <w:r w:rsidR="00DF65F3">
              <w:rPr>
                <w:webHidden/>
              </w:rPr>
              <w:instrText xml:space="preserve"> PAGEREF _Toc12532862 \h </w:instrText>
            </w:r>
            <w:r w:rsidR="00DF65F3">
              <w:rPr>
                <w:webHidden/>
              </w:rPr>
            </w:r>
            <w:r w:rsidR="00DF65F3">
              <w:rPr>
                <w:webHidden/>
              </w:rPr>
              <w:fldChar w:fldCharType="separate"/>
            </w:r>
            <w:r w:rsidR="00F755B7">
              <w:rPr>
                <w:webHidden/>
              </w:rPr>
              <w:t>257</w:t>
            </w:r>
            <w:r w:rsidR="00DF65F3">
              <w:rPr>
                <w:webHidden/>
              </w:rPr>
              <w:fldChar w:fldCharType="end"/>
            </w:r>
          </w:hyperlink>
        </w:p>
        <w:p w14:paraId="59ABFACF" w14:textId="111DD77C" w:rsidR="00DF65F3" w:rsidRDefault="00870777">
          <w:pPr>
            <w:pStyle w:val="Spistreci5"/>
            <w:rPr>
              <w:sz w:val="22"/>
              <w:lang w:val="en-GB" w:eastAsia="en-GB"/>
            </w:rPr>
          </w:pPr>
          <w:hyperlink w:anchor="_Toc12532863" w:history="1">
            <w:r w:rsidR="00DF65F3" w:rsidRPr="004815D6">
              <w:rPr>
                <w:rStyle w:val="Hipercze"/>
              </w:rPr>
              <w:t>AMC1 ADR.OPS.B.050     Operacje w niekorzystnych warunkach pogodowych</w:t>
            </w:r>
            <w:r w:rsidR="00DF65F3">
              <w:rPr>
                <w:webHidden/>
              </w:rPr>
              <w:tab/>
            </w:r>
            <w:r w:rsidR="00DF65F3">
              <w:rPr>
                <w:webHidden/>
              </w:rPr>
              <w:fldChar w:fldCharType="begin"/>
            </w:r>
            <w:r w:rsidR="00DF65F3">
              <w:rPr>
                <w:webHidden/>
              </w:rPr>
              <w:instrText xml:space="preserve"> PAGEREF _Toc12532863 \h </w:instrText>
            </w:r>
            <w:r w:rsidR="00DF65F3">
              <w:rPr>
                <w:webHidden/>
              </w:rPr>
            </w:r>
            <w:r w:rsidR="00DF65F3">
              <w:rPr>
                <w:webHidden/>
              </w:rPr>
              <w:fldChar w:fldCharType="separate"/>
            </w:r>
            <w:r w:rsidR="00F755B7">
              <w:rPr>
                <w:webHidden/>
              </w:rPr>
              <w:t>257</w:t>
            </w:r>
            <w:r w:rsidR="00DF65F3">
              <w:rPr>
                <w:webHidden/>
              </w:rPr>
              <w:fldChar w:fldCharType="end"/>
            </w:r>
          </w:hyperlink>
        </w:p>
        <w:p w14:paraId="35C1CE43" w14:textId="7B905AC3" w:rsidR="00DF65F3" w:rsidRDefault="00870777">
          <w:pPr>
            <w:pStyle w:val="Spistreci3"/>
            <w:rPr>
              <w:rFonts w:asciiTheme="minorHAnsi" w:eastAsiaTheme="minorEastAsia" w:hAnsiTheme="minorHAnsi" w:cstheme="minorBidi"/>
              <w:sz w:val="22"/>
              <w:lang w:val="en-GB" w:eastAsia="en-GB"/>
            </w:rPr>
          </w:pPr>
          <w:hyperlink w:anchor="_Toc12532864" w:history="1">
            <w:r w:rsidR="00DF65F3" w:rsidRPr="004815D6">
              <w:rPr>
                <w:rStyle w:val="Hipercze"/>
              </w:rPr>
              <w:t>ADR.OPS.B.055     Jakość paliwa</w:t>
            </w:r>
            <w:r w:rsidR="00DF65F3">
              <w:rPr>
                <w:webHidden/>
              </w:rPr>
              <w:tab/>
            </w:r>
            <w:r w:rsidR="00DF65F3">
              <w:rPr>
                <w:webHidden/>
              </w:rPr>
              <w:fldChar w:fldCharType="begin"/>
            </w:r>
            <w:r w:rsidR="00DF65F3">
              <w:rPr>
                <w:webHidden/>
              </w:rPr>
              <w:instrText xml:space="preserve"> PAGEREF _Toc12532864 \h </w:instrText>
            </w:r>
            <w:r w:rsidR="00DF65F3">
              <w:rPr>
                <w:webHidden/>
              </w:rPr>
            </w:r>
            <w:r w:rsidR="00DF65F3">
              <w:rPr>
                <w:webHidden/>
              </w:rPr>
              <w:fldChar w:fldCharType="separate"/>
            </w:r>
            <w:r w:rsidR="00F755B7">
              <w:rPr>
                <w:webHidden/>
              </w:rPr>
              <w:t>258</w:t>
            </w:r>
            <w:r w:rsidR="00DF65F3">
              <w:rPr>
                <w:webHidden/>
              </w:rPr>
              <w:fldChar w:fldCharType="end"/>
            </w:r>
          </w:hyperlink>
        </w:p>
        <w:p w14:paraId="6712ABDE" w14:textId="79B82158" w:rsidR="00DF65F3" w:rsidRDefault="00870777">
          <w:pPr>
            <w:pStyle w:val="Spistreci5"/>
            <w:rPr>
              <w:sz w:val="22"/>
              <w:lang w:val="en-GB" w:eastAsia="en-GB"/>
            </w:rPr>
          </w:pPr>
          <w:hyperlink w:anchor="_Toc12532865" w:history="1">
            <w:r w:rsidR="00DF65F3" w:rsidRPr="004815D6">
              <w:rPr>
                <w:rStyle w:val="Hipercze"/>
              </w:rPr>
              <w:t>AMC1 ADR.OPS.B.055     Jakość paliwa</w:t>
            </w:r>
            <w:r w:rsidR="00DF65F3">
              <w:rPr>
                <w:webHidden/>
              </w:rPr>
              <w:tab/>
            </w:r>
            <w:r w:rsidR="00DF65F3">
              <w:rPr>
                <w:webHidden/>
              </w:rPr>
              <w:fldChar w:fldCharType="begin"/>
            </w:r>
            <w:r w:rsidR="00DF65F3">
              <w:rPr>
                <w:webHidden/>
              </w:rPr>
              <w:instrText xml:space="preserve"> PAGEREF _Toc12532865 \h </w:instrText>
            </w:r>
            <w:r w:rsidR="00DF65F3">
              <w:rPr>
                <w:webHidden/>
              </w:rPr>
            </w:r>
            <w:r w:rsidR="00DF65F3">
              <w:rPr>
                <w:webHidden/>
              </w:rPr>
              <w:fldChar w:fldCharType="separate"/>
            </w:r>
            <w:r w:rsidR="00F755B7">
              <w:rPr>
                <w:webHidden/>
              </w:rPr>
              <w:t>258</w:t>
            </w:r>
            <w:r w:rsidR="00DF65F3">
              <w:rPr>
                <w:webHidden/>
              </w:rPr>
              <w:fldChar w:fldCharType="end"/>
            </w:r>
          </w:hyperlink>
        </w:p>
        <w:p w14:paraId="52584115" w14:textId="77890405" w:rsidR="00DF65F3" w:rsidRDefault="00870777">
          <w:pPr>
            <w:pStyle w:val="Spistreci6"/>
            <w:rPr>
              <w:sz w:val="22"/>
              <w:lang w:val="en-GB" w:eastAsia="en-GB"/>
            </w:rPr>
          </w:pPr>
          <w:hyperlink w:anchor="_Toc12532866" w:history="1">
            <w:r w:rsidR="00DF65F3" w:rsidRPr="004815D6">
              <w:rPr>
                <w:rStyle w:val="Hipercze"/>
              </w:rPr>
              <w:t>GM1 ADR.OPS.B.055     Jakość paliwa</w:t>
            </w:r>
            <w:r w:rsidR="00DF65F3">
              <w:rPr>
                <w:webHidden/>
              </w:rPr>
              <w:tab/>
            </w:r>
            <w:r w:rsidR="00DF65F3">
              <w:rPr>
                <w:webHidden/>
              </w:rPr>
              <w:fldChar w:fldCharType="begin"/>
            </w:r>
            <w:r w:rsidR="00DF65F3">
              <w:rPr>
                <w:webHidden/>
              </w:rPr>
              <w:instrText xml:space="preserve"> PAGEREF _Toc12532866 \h </w:instrText>
            </w:r>
            <w:r w:rsidR="00DF65F3">
              <w:rPr>
                <w:webHidden/>
              </w:rPr>
            </w:r>
            <w:r w:rsidR="00DF65F3">
              <w:rPr>
                <w:webHidden/>
              </w:rPr>
              <w:fldChar w:fldCharType="separate"/>
            </w:r>
            <w:r w:rsidR="00F755B7">
              <w:rPr>
                <w:webHidden/>
              </w:rPr>
              <w:t>258</w:t>
            </w:r>
            <w:r w:rsidR="00DF65F3">
              <w:rPr>
                <w:webHidden/>
              </w:rPr>
              <w:fldChar w:fldCharType="end"/>
            </w:r>
          </w:hyperlink>
        </w:p>
        <w:p w14:paraId="1EC5AFE0" w14:textId="797BC552" w:rsidR="00DF65F3" w:rsidRDefault="00870777">
          <w:pPr>
            <w:pStyle w:val="Spistreci3"/>
            <w:rPr>
              <w:rFonts w:asciiTheme="minorHAnsi" w:eastAsiaTheme="minorEastAsia" w:hAnsiTheme="minorHAnsi" w:cstheme="minorBidi"/>
              <w:sz w:val="22"/>
              <w:lang w:val="en-GB" w:eastAsia="en-GB"/>
            </w:rPr>
          </w:pPr>
          <w:hyperlink w:anchor="_Toc12532867" w:history="1">
            <w:r w:rsidR="00DF65F3" w:rsidRPr="004815D6">
              <w:rPr>
                <w:rStyle w:val="Hipercze"/>
              </w:rPr>
              <w:t>ADR.OPS.B.065     Pomoce wzrokowe i systemy elektryczne lotniska</w:t>
            </w:r>
            <w:r w:rsidR="00DF65F3">
              <w:rPr>
                <w:webHidden/>
              </w:rPr>
              <w:tab/>
            </w:r>
            <w:r w:rsidR="00DF65F3">
              <w:rPr>
                <w:webHidden/>
              </w:rPr>
              <w:fldChar w:fldCharType="begin"/>
            </w:r>
            <w:r w:rsidR="00DF65F3">
              <w:rPr>
                <w:webHidden/>
              </w:rPr>
              <w:instrText xml:space="preserve"> PAGEREF _Toc12532867 \h </w:instrText>
            </w:r>
            <w:r w:rsidR="00DF65F3">
              <w:rPr>
                <w:webHidden/>
              </w:rPr>
            </w:r>
            <w:r w:rsidR="00DF65F3">
              <w:rPr>
                <w:webHidden/>
              </w:rPr>
              <w:fldChar w:fldCharType="separate"/>
            </w:r>
            <w:r w:rsidR="00F755B7">
              <w:rPr>
                <w:webHidden/>
              </w:rPr>
              <w:t>258</w:t>
            </w:r>
            <w:r w:rsidR="00DF65F3">
              <w:rPr>
                <w:webHidden/>
              </w:rPr>
              <w:fldChar w:fldCharType="end"/>
            </w:r>
          </w:hyperlink>
        </w:p>
        <w:p w14:paraId="20F8F7C6" w14:textId="6F505131" w:rsidR="00DF65F3" w:rsidRDefault="00870777">
          <w:pPr>
            <w:pStyle w:val="Spistreci5"/>
            <w:rPr>
              <w:sz w:val="22"/>
              <w:lang w:val="en-GB" w:eastAsia="en-GB"/>
            </w:rPr>
          </w:pPr>
          <w:hyperlink w:anchor="_Toc12532868" w:history="1">
            <w:r w:rsidR="00DF65F3" w:rsidRPr="004815D6">
              <w:rPr>
                <w:rStyle w:val="Hipercze"/>
              </w:rPr>
              <w:t>AMC1 ADR.OPS.B.065     Pomoce wzrokowe i systemy elektryczne lotniska</w:t>
            </w:r>
            <w:r w:rsidR="00DF65F3">
              <w:rPr>
                <w:webHidden/>
              </w:rPr>
              <w:tab/>
            </w:r>
            <w:r w:rsidR="00DF65F3">
              <w:rPr>
                <w:webHidden/>
              </w:rPr>
              <w:fldChar w:fldCharType="begin"/>
            </w:r>
            <w:r w:rsidR="00DF65F3">
              <w:rPr>
                <w:webHidden/>
              </w:rPr>
              <w:instrText xml:space="preserve"> PAGEREF _Toc12532868 \h </w:instrText>
            </w:r>
            <w:r w:rsidR="00DF65F3">
              <w:rPr>
                <w:webHidden/>
              </w:rPr>
            </w:r>
            <w:r w:rsidR="00DF65F3">
              <w:rPr>
                <w:webHidden/>
              </w:rPr>
              <w:fldChar w:fldCharType="separate"/>
            </w:r>
            <w:r w:rsidR="00F755B7">
              <w:rPr>
                <w:webHidden/>
              </w:rPr>
              <w:t>258</w:t>
            </w:r>
            <w:r w:rsidR="00DF65F3">
              <w:rPr>
                <w:webHidden/>
              </w:rPr>
              <w:fldChar w:fldCharType="end"/>
            </w:r>
          </w:hyperlink>
        </w:p>
        <w:p w14:paraId="0A4620C7" w14:textId="149D48DF" w:rsidR="00DF65F3" w:rsidRDefault="00870777">
          <w:pPr>
            <w:pStyle w:val="Spistreci3"/>
            <w:rPr>
              <w:rFonts w:asciiTheme="minorHAnsi" w:eastAsiaTheme="minorEastAsia" w:hAnsiTheme="minorHAnsi" w:cstheme="minorBidi"/>
              <w:sz w:val="22"/>
              <w:lang w:val="en-GB" w:eastAsia="en-GB"/>
            </w:rPr>
          </w:pPr>
          <w:hyperlink w:anchor="_Toc12532869" w:history="1">
            <w:r w:rsidR="00DF65F3" w:rsidRPr="004815D6">
              <w:rPr>
                <w:rStyle w:val="Hipercze"/>
              </w:rPr>
              <w:t>ADR.OPS.B.070     Bezpieczeństwo prac prowadzonych na lotnisku</w:t>
            </w:r>
            <w:r w:rsidR="00DF65F3">
              <w:rPr>
                <w:webHidden/>
              </w:rPr>
              <w:tab/>
            </w:r>
            <w:r w:rsidR="00DF65F3">
              <w:rPr>
                <w:webHidden/>
              </w:rPr>
              <w:fldChar w:fldCharType="begin"/>
            </w:r>
            <w:r w:rsidR="00DF65F3">
              <w:rPr>
                <w:webHidden/>
              </w:rPr>
              <w:instrText xml:space="preserve"> PAGEREF _Toc12532869 \h </w:instrText>
            </w:r>
            <w:r w:rsidR="00DF65F3">
              <w:rPr>
                <w:webHidden/>
              </w:rPr>
            </w:r>
            <w:r w:rsidR="00DF65F3">
              <w:rPr>
                <w:webHidden/>
              </w:rPr>
              <w:fldChar w:fldCharType="separate"/>
            </w:r>
            <w:r w:rsidR="00F755B7">
              <w:rPr>
                <w:webHidden/>
              </w:rPr>
              <w:t>259</w:t>
            </w:r>
            <w:r w:rsidR="00DF65F3">
              <w:rPr>
                <w:webHidden/>
              </w:rPr>
              <w:fldChar w:fldCharType="end"/>
            </w:r>
          </w:hyperlink>
        </w:p>
        <w:p w14:paraId="3F642E76" w14:textId="5CD6CE98" w:rsidR="00DF65F3" w:rsidRDefault="00870777">
          <w:pPr>
            <w:pStyle w:val="Spistreci5"/>
            <w:rPr>
              <w:sz w:val="22"/>
              <w:lang w:val="en-GB" w:eastAsia="en-GB"/>
            </w:rPr>
          </w:pPr>
          <w:hyperlink w:anchor="_Toc12532870" w:history="1">
            <w:r w:rsidR="00DF65F3" w:rsidRPr="004815D6">
              <w:rPr>
                <w:rStyle w:val="Hipercze"/>
              </w:rPr>
              <w:t>AMC1 ADR.OPS.B.070     Bezpieczeństwo prac prowadzonych na lotnisku</w:t>
            </w:r>
            <w:r w:rsidR="00DF65F3">
              <w:rPr>
                <w:webHidden/>
              </w:rPr>
              <w:tab/>
            </w:r>
            <w:r w:rsidR="00DF65F3">
              <w:rPr>
                <w:webHidden/>
              </w:rPr>
              <w:fldChar w:fldCharType="begin"/>
            </w:r>
            <w:r w:rsidR="00DF65F3">
              <w:rPr>
                <w:webHidden/>
              </w:rPr>
              <w:instrText xml:space="preserve"> PAGEREF _Toc12532870 \h </w:instrText>
            </w:r>
            <w:r w:rsidR="00DF65F3">
              <w:rPr>
                <w:webHidden/>
              </w:rPr>
            </w:r>
            <w:r w:rsidR="00DF65F3">
              <w:rPr>
                <w:webHidden/>
              </w:rPr>
              <w:fldChar w:fldCharType="separate"/>
            </w:r>
            <w:r w:rsidR="00F755B7">
              <w:rPr>
                <w:webHidden/>
              </w:rPr>
              <w:t>259</w:t>
            </w:r>
            <w:r w:rsidR="00DF65F3">
              <w:rPr>
                <w:webHidden/>
              </w:rPr>
              <w:fldChar w:fldCharType="end"/>
            </w:r>
          </w:hyperlink>
        </w:p>
        <w:p w14:paraId="0157393E" w14:textId="6DDDC988" w:rsidR="00DF65F3" w:rsidRDefault="00870777">
          <w:pPr>
            <w:pStyle w:val="Spistreci5"/>
            <w:rPr>
              <w:sz w:val="22"/>
              <w:lang w:val="en-GB" w:eastAsia="en-GB"/>
            </w:rPr>
          </w:pPr>
          <w:hyperlink w:anchor="_Toc12532871" w:history="1">
            <w:r w:rsidR="00DF65F3" w:rsidRPr="004815D6">
              <w:rPr>
                <w:rStyle w:val="Hipercze"/>
              </w:rPr>
              <w:t>AMC2 ADR.OPS.B.070     Bezpieczeństwo prac prowadzonych na lotnisku</w:t>
            </w:r>
            <w:r w:rsidR="00DF65F3">
              <w:rPr>
                <w:webHidden/>
              </w:rPr>
              <w:tab/>
            </w:r>
            <w:r w:rsidR="00DF65F3">
              <w:rPr>
                <w:webHidden/>
              </w:rPr>
              <w:fldChar w:fldCharType="begin"/>
            </w:r>
            <w:r w:rsidR="00DF65F3">
              <w:rPr>
                <w:webHidden/>
              </w:rPr>
              <w:instrText xml:space="preserve"> PAGEREF _Toc12532871 \h </w:instrText>
            </w:r>
            <w:r w:rsidR="00DF65F3">
              <w:rPr>
                <w:webHidden/>
              </w:rPr>
            </w:r>
            <w:r w:rsidR="00DF65F3">
              <w:rPr>
                <w:webHidden/>
              </w:rPr>
              <w:fldChar w:fldCharType="separate"/>
            </w:r>
            <w:r w:rsidR="00F755B7">
              <w:rPr>
                <w:webHidden/>
              </w:rPr>
              <w:t>259</w:t>
            </w:r>
            <w:r w:rsidR="00DF65F3">
              <w:rPr>
                <w:webHidden/>
              </w:rPr>
              <w:fldChar w:fldCharType="end"/>
            </w:r>
          </w:hyperlink>
        </w:p>
        <w:p w14:paraId="0A3BA0DF" w14:textId="61468B06" w:rsidR="00DF65F3" w:rsidRDefault="00870777">
          <w:pPr>
            <w:pStyle w:val="Spistreci5"/>
            <w:rPr>
              <w:sz w:val="22"/>
              <w:lang w:val="en-GB" w:eastAsia="en-GB"/>
            </w:rPr>
          </w:pPr>
          <w:hyperlink w:anchor="_Toc12532872" w:history="1">
            <w:r w:rsidR="00DF65F3" w:rsidRPr="004815D6">
              <w:rPr>
                <w:rStyle w:val="Hipercze"/>
              </w:rPr>
              <w:t>AMC3 ADR.OPS.B.070     Bezpieczeństwo prac prowadzonych na lotnisku</w:t>
            </w:r>
            <w:r w:rsidR="00DF65F3">
              <w:rPr>
                <w:webHidden/>
              </w:rPr>
              <w:tab/>
            </w:r>
            <w:r w:rsidR="00DF65F3">
              <w:rPr>
                <w:webHidden/>
              </w:rPr>
              <w:fldChar w:fldCharType="begin"/>
            </w:r>
            <w:r w:rsidR="00DF65F3">
              <w:rPr>
                <w:webHidden/>
              </w:rPr>
              <w:instrText xml:space="preserve"> PAGEREF _Toc12532872 \h </w:instrText>
            </w:r>
            <w:r w:rsidR="00DF65F3">
              <w:rPr>
                <w:webHidden/>
              </w:rPr>
            </w:r>
            <w:r w:rsidR="00DF65F3">
              <w:rPr>
                <w:webHidden/>
              </w:rPr>
              <w:fldChar w:fldCharType="separate"/>
            </w:r>
            <w:r w:rsidR="00F755B7">
              <w:rPr>
                <w:webHidden/>
              </w:rPr>
              <w:t>260</w:t>
            </w:r>
            <w:r w:rsidR="00DF65F3">
              <w:rPr>
                <w:webHidden/>
              </w:rPr>
              <w:fldChar w:fldCharType="end"/>
            </w:r>
          </w:hyperlink>
        </w:p>
        <w:p w14:paraId="2C9737F9" w14:textId="2371B5C9" w:rsidR="00DF65F3" w:rsidRDefault="00870777">
          <w:pPr>
            <w:pStyle w:val="Spistreci5"/>
            <w:rPr>
              <w:sz w:val="22"/>
              <w:lang w:val="en-GB" w:eastAsia="en-GB"/>
            </w:rPr>
          </w:pPr>
          <w:hyperlink w:anchor="_Toc12532873" w:history="1">
            <w:r w:rsidR="00DF65F3" w:rsidRPr="004815D6">
              <w:rPr>
                <w:rStyle w:val="Hipercze"/>
              </w:rPr>
              <w:t>AMC4 ADR.OPS.B.070     Bezpieczeństwo prac prowadzonych na lotnisku</w:t>
            </w:r>
            <w:r w:rsidR="00DF65F3">
              <w:rPr>
                <w:webHidden/>
              </w:rPr>
              <w:tab/>
            </w:r>
            <w:r w:rsidR="00DF65F3">
              <w:rPr>
                <w:webHidden/>
              </w:rPr>
              <w:fldChar w:fldCharType="begin"/>
            </w:r>
            <w:r w:rsidR="00DF65F3">
              <w:rPr>
                <w:webHidden/>
              </w:rPr>
              <w:instrText xml:space="preserve"> PAGEREF _Toc12532873 \h </w:instrText>
            </w:r>
            <w:r w:rsidR="00DF65F3">
              <w:rPr>
                <w:webHidden/>
              </w:rPr>
            </w:r>
            <w:r w:rsidR="00DF65F3">
              <w:rPr>
                <w:webHidden/>
              </w:rPr>
              <w:fldChar w:fldCharType="separate"/>
            </w:r>
            <w:r w:rsidR="00F755B7">
              <w:rPr>
                <w:webHidden/>
              </w:rPr>
              <w:t>260</w:t>
            </w:r>
            <w:r w:rsidR="00DF65F3">
              <w:rPr>
                <w:webHidden/>
              </w:rPr>
              <w:fldChar w:fldCharType="end"/>
            </w:r>
          </w:hyperlink>
        </w:p>
        <w:p w14:paraId="404B09D6" w14:textId="271E3CAC" w:rsidR="00DF65F3" w:rsidRDefault="00870777">
          <w:pPr>
            <w:pStyle w:val="Spistreci6"/>
            <w:rPr>
              <w:sz w:val="22"/>
              <w:lang w:val="en-GB" w:eastAsia="en-GB"/>
            </w:rPr>
          </w:pPr>
          <w:hyperlink w:anchor="_Toc12532874" w:history="1">
            <w:r w:rsidR="00DF65F3" w:rsidRPr="004815D6">
              <w:rPr>
                <w:rStyle w:val="Hipercze"/>
              </w:rPr>
              <w:t>GM1 ADR.OPS.B.070     Bezpieczeństwo prac prowadzonych na lotnisku</w:t>
            </w:r>
            <w:r w:rsidR="00DF65F3">
              <w:rPr>
                <w:webHidden/>
              </w:rPr>
              <w:tab/>
            </w:r>
            <w:r w:rsidR="00DF65F3">
              <w:rPr>
                <w:webHidden/>
              </w:rPr>
              <w:fldChar w:fldCharType="begin"/>
            </w:r>
            <w:r w:rsidR="00DF65F3">
              <w:rPr>
                <w:webHidden/>
              </w:rPr>
              <w:instrText xml:space="preserve"> PAGEREF _Toc12532874 \h </w:instrText>
            </w:r>
            <w:r w:rsidR="00DF65F3">
              <w:rPr>
                <w:webHidden/>
              </w:rPr>
            </w:r>
            <w:r w:rsidR="00DF65F3">
              <w:rPr>
                <w:webHidden/>
              </w:rPr>
              <w:fldChar w:fldCharType="separate"/>
            </w:r>
            <w:r w:rsidR="00F755B7">
              <w:rPr>
                <w:webHidden/>
              </w:rPr>
              <w:t>261</w:t>
            </w:r>
            <w:r w:rsidR="00DF65F3">
              <w:rPr>
                <w:webHidden/>
              </w:rPr>
              <w:fldChar w:fldCharType="end"/>
            </w:r>
          </w:hyperlink>
        </w:p>
        <w:p w14:paraId="19C525AF" w14:textId="7E555B91" w:rsidR="00DF65F3" w:rsidRDefault="00870777">
          <w:pPr>
            <w:pStyle w:val="Spistreci6"/>
            <w:rPr>
              <w:sz w:val="22"/>
              <w:lang w:val="en-GB" w:eastAsia="en-GB"/>
            </w:rPr>
          </w:pPr>
          <w:hyperlink w:anchor="_Toc12532875" w:history="1">
            <w:r w:rsidR="00DF65F3" w:rsidRPr="004815D6">
              <w:rPr>
                <w:rStyle w:val="Hipercze"/>
              </w:rPr>
              <w:t>GM2 ADR.OPS.B.070     Bezpieczeństwo prac prowadzonych na lotnisku</w:t>
            </w:r>
            <w:r w:rsidR="00DF65F3">
              <w:rPr>
                <w:webHidden/>
              </w:rPr>
              <w:tab/>
            </w:r>
            <w:r w:rsidR="00DF65F3">
              <w:rPr>
                <w:webHidden/>
              </w:rPr>
              <w:fldChar w:fldCharType="begin"/>
            </w:r>
            <w:r w:rsidR="00DF65F3">
              <w:rPr>
                <w:webHidden/>
              </w:rPr>
              <w:instrText xml:space="preserve"> PAGEREF _Toc12532875 \h </w:instrText>
            </w:r>
            <w:r w:rsidR="00DF65F3">
              <w:rPr>
                <w:webHidden/>
              </w:rPr>
            </w:r>
            <w:r w:rsidR="00DF65F3">
              <w:rPr>
                <w:webHidden/>
              </w:rPr>
              <w:fldChar w:fldCharType="separate"/>
            </w:r>
            <w:r w:rsidR="00F755B7">
              <w:rPr>
                <w:webHidden/>
              </w:rPr>
              <w:t>261</w:t>
            </w:r>
            <w:r w:rsidR="00DF65F3">
              <w:rPr>
                <w:webHidden/>
              </w:rPr>
              <w:fldChar w:fldCharType="end"/>
            </w:r>
          </w:hyperlink>
        </w:p>
        <w:p w14:paraId="3B435895" w14:textId="36DB22A9" w:rsidR="00DF65F3" w:rsidRDefault="00870777">
          <w:pPr>
            <w:pStyle w:val="Spistreci6"/>
            <w:rPr>
              <w:sz w:val="22"/>
              <w:lang w:val="en-GB" w:eastAsia="en-GB"/>
            </w:rPr>
          </w:pPr>
          <w:hyperlink w:anchor="_Toc12532876" w:history="1">
            <w:r w:rsidR="00DF65F3" w:rsidRPr="004815D6">
              <w:rPr>
                <w:rStyle w:val="Hipercze"/>
              </w:rPr>
              <w:t>GM3 ADR.OPS.B.070     Bezpieczeństwo prac prowadzonych na lotnisku</w:t>
            </w:r>
            <w:r w:rsidR="00DF65F3">
              <w:rPr>
                <w:webHidden/>
              </w:rPr>
              <w:tab/>
            </w:r>
            <w:r w:rsidR="00DF65F3">
              <w:rPr>
                <w:webHidden/>
              </w:rPr>
              <w:fldChar w:fldCharType="begin"/>
            </w:r>
            <w:r w:rsidR="00DF65F3">
              <w:rPr>
                <w:webHidden/>
              </w:rPr>
              <w:instrText xml:space="preserve"> PAGEREF _Toc12532876 \h </w:instrText>
            </w:r>
            <w:r w:rsidR="00DF65F3">
              <w:rPr>
                <w:webHidden/>
              </w:rPr>
            </w:r>
            <w:r w:rsidR="00DF65F3">
              <w:rPr>
                <w:webHidden/>
              </w:rPr>
              <w:fldChar w:fldCharType="separate"/>
            </w:r>
            <w:r w:rsidR="00F755B7">
              <w:rPr>
                <w:webHidden/>
              </w:rPr>
              <w:t>261</w:t>
            </w:r>
            <w:r w:rsidR="00DF65F3">
              <w:rPr>
                <w:webHidden/>
              </w:rPr>
              <w:fldChar w:fldCharType="end"/>
            </w:r>
          </w:hyperlink>
        </w:p>
        <w:p w14:paraId="21AA13D6" w14:textId="5A5F7F41" w:rsidR="00DF65F3" w:rsidRDefault="00870777">
          <w:pPr>
            <w:pStyle w:val="Spistreci6"/>
            <w:rPr>
              <w:sz w:val="22"/>
              <w:lang w:val="en-GB" w:eastAsia="en-GB"/>
            </w:rPr>
          </w:pPr>
          <w:hyperlink w:anchor="_Toc12532877" w:history="1">
            <w:r w:rsidR="00DF65F3" w:rsidRPr="004815D6">
              <w:rPr>
                <w:rStyle w:val="Hipercze"/>
              </w:rPr>
              <w:t>GM4 ADR.OPS.B.070     Bezpieczeństwo prac prowadzonych na lotnisku</w:t>
            </w:r>
            <w:r w:rsidR="00DF65F3">
              <w:rPr>
                <w:webHidden/>
              </w:rPr>
              <w:tab/>
            </w:r>
            <w:r w:rsidR="00DF65F3">
              <w:rPr>
                <w:webHidden/>
              </w:rPr>
              <w:fldChar w:fldCharType="begin"/>
            </w:r>
            <w:r w:rsidR="00DF65F3">
              <w:rPr>
                <w:webHidden/>
              </w:rPr>
              <w:instrText xml:space="preserve"> PAGEREF _Toc12532877 \h </w:instrText>
            </w:r>
            <w:r w:rsidR="00DF65F3">
              <w:rPr>
                <w:webHidden/>
              </w:rPr>
            </w:r>
            <w:r w:rsidR="00DF65F3">
              <w:rPr>
                <w:webHidden/>
              </w:rPr>
              <w:fldChar w:fldCharType="separate"/>
            </w:r>
            <w:r w:rsidR="00F755B7">
              <w:rPr>
                <w:webHidden/>
              </w:rPr>
              <w:t>262</w:t>
            </w:r>
            <w:r w:rsidR="00DF65F3">
              <w:rPr>
                <w:webHidden/>
              </w:rPr>
              <w:fldChar w:fldCharType="end"/>
            </w:r>
          </w:hyperlink>
        </w:p>
        <w:p w14:paraId="14C7CC11" w14:textId="03442846" w:rsidR="00DF65F3" w:rsidRDefault="00870777">
          <w:pPr>
            <w:pStyle w:val="Spistreci6"/>
            <w:rPr>
              <w:sz w:val="22"/>
              <w:lang w:val="en-GB" w:eastAsia="en-GB"/>
            </w:rPr>
          </w:pPr>
          <w:hyperlink w:anchor="_Toc12532878" w:history="1">
            <w:r w:rsidR="00DF65F3" w:rsidRPr="004815D6">
              <w:rPr>
                <w:rStyle w:val="Hipercze"/>
              </w:rPr>
              <w:t>GM5 ADR.OPS.B.070     Bezpieczeństwo prac prowadzonych na lotnisku</w:t>
            </w:r>
            <w:r w:rsidR="00DF65F3">
              <w:rPr>
                <w:webHidden/>
              </w:rPr>
              <w:tab/>
            </w:r>
            <w:r w:rsidR="00DF65F3">
              <w:rPr>
                <w:webHidden/>
              </w:rPr>
              <w:fldChar w:fldCharType="begin"/>
            </w:r>
            <w:r w:rsidR="00DF65F3">
              <w:rPr>
                <w:webHidden/>
              </w:rPr>
              <w:instrText xml:space="preserve"> PAGEREF _Toc12532878 \h </w:instrText>
            </w:r>
            <w:r w:rsidR="00DF65F3">
              <w:rPr>
                <w:webHidden/>
              </w:rPr>
            </w:r>
            <w:r w:rsidR="00DF65F3">
              <w:rPr>
                <w:webHidden/>
              </w:rPr>
              <w:fldChar w:fldCharType="separate"/>
            </w:r>
            <w:r w:rsidR="00F755B7">
              <w:rPr>
                <w:webHidden/>
              </w:rPr>
              <w:t>263</w:t>
            </w:r>
            <w:r w:rsidR="00DF65F3">
              <w:rPr>
                <w:webHidden/>
              </w:rPr>
              <w:fldChar w:fldCharType="end"/>
            </w:r>
          </w:hyperlink>
        </w:p>
        <w:p w14:paraId="4FEC5B0D" w14:textId="1DF28C05" w:rsidR="00DF65F3" w:rsidRDefault="00870777">
          <w:pPr>
            <w:pStyle w:val="Spistreci3"/>
            <w:rPr>
              <w:rFonts w:asciiTheme="minorHAnsi" w:eastAsiaTheme="minorEastAsia" w:hAnsiTheme="minorHAnsi" w:cstheme="minorBidi"/>
              <w:sz w:val="22"/>
              <w:lang w:val="en-GB" w:eastAsia="en-GB"/>
            </w:rPr>
          </w:pPr>
          <w:hyperlink w:anchor="_Toc12532879" w:history="1">
            <w:r w:rsidR="00DF65F3" w:rsidRPr="004815D6">
              <w:rPr>
                <w:rStyle w:val="Hipercze"/>
              </w:rPr>
              <w:t>ADR.OPS.B.075     Zabezpieczenie lotniska</w:t>
            </w:r>
            <w:r w:rsidR="00DF65F3">
              <w:rPr>
                <w:webHidden/>
              </w:rPr>
              <w:tab/>
            </w:r>
            <w:r w:rsidR="00DF65F3">
              <w:rPr>
                <w:webHidden/>
              </w:rPr>
              <w:fldChar w:fldCharType="begin"/>
            </w:r>
            <w:r w:rsidR="00DF65F3">
              <w:rPr>
                <w:webHidden/>
              </w:rPr>
              <w:instrText xml:space="preserve"> PAGEREF _Toc12532879 \h </w:instrText>
            </w:r>
            <w:r w:rsidR="00DF65F3">
              <w:rPr>
                <w:webHidden/>
              </w:rPr>
            </w:r>
            <w:r w:rsidR="00DF65F3">
              <w:rPr>
                <w:webHidden/>
              </w:rPr>
              <w:fldChar w:fldCharType="separate"/>
            </w:r>
            <w:r w:rsidR="00F755B7">
              <w:rPr>
                <w:webHidden/>
              </w:rPr>
              <w:t>263</w:t>
            </w:r>
            <w:r w:rsidR="00DF65F3">
              <w:rPr>
                <w:webHidden/>
              </w:rPr>
              <w:fldChar w:fldCharType="end"/>
            </w:r>
          </w:hyperlink>
        </w:p>
        <w:p w14:paraId="396DE860" w14:textId="76B64378" w:rsidR="00DF65F3" w:rsidRDefault="00870777">
          <w:pPr>
            <w:pStyle w:val="Spistreci5"/>
            <w:rPr>
              <w:sz w:val="22"/>
              <w:lang w:val="en-GB" w:eastAsia="en-GB"/>
            </w:rPr>
          </w:pPr>
          <w:hyperlink w:anchor="_Toc12532880" w:history="1">
            <w:r w:rsidR="00DF65F3" w:rsidRPr="004815D6">
              <w:rPr>
                <w:rStyle w:val="Hipercze"/>
              </w:rPr>
              <w:t>AMC1 ADR.OPS.B.075     Zabezpieczenie lotniska</w:t>
            </w:r>
            <w:r w:rsidR="00DF65F3">
              <w:rPr>
                <w:webHidden/>
              </w:rPr>
              <w:tab/>
            </w:r>
            <w:r w:rsidR="00DF65F3">
              <w:rPr>
                <w:webHidden/>
              </w:rPr>
              <w:fldChar w:fldCharType="begin"/>
            </w:r>
            <w:r w:rsidR="00DF65F3">
              <w:rPr>
                <w:webHidden/>
              </w:rPr>
              <w:instrText xml:space="preserve"> PAGEREF _Toc12532880 \h </w:instrText>
            </w:r>
            <w:r w:rsidR="00DF65F3">
              <w:rPr>
                <w:webHidden/>
              </w:rPr>
            </w:r>
            <w:r w:rsidR="00DF65F3">
              <w:rPr>
                <w:webHidden/>
              </w:rPr>
              <w:fldChar w:fldCharType="separate"/>
            </w:r>
            <w:r w:rsidR="00F755B7">
              <w:rPr>
                <w:webHidden/>
              </w:rPr>
              <w:t>263</w:t>
            </w:r>
            <w:r w:rsidR="00DF65F3">
              <w:rPr>
                <w:webHidden/>
              </w:rPr>
              <w:fldChar w:fldCharType="end"/>
            </w:r>
          </w:hyperlink>
        </w:p>
        <w:p w14:paraId="48787EDF" w14:textId="4C1E5D73" w:rsidR="00DF65F3" w:rsidRDefault="00870777">
          <w:pPr>
            <w:pStyle w:val="Spistreci6"/>
            <w:rPr>
              <w:sz w:val="22"/>
              <w:lang w:val="en-GB" w:eastAsia="en-GB"/>
            </w:rPr>
          </w:pPr>
          <w:hyperlink w:anchor="_Toc12532881" w:history="1">
            <w:r w:rsidR="00DF65F3" w:rsidRPr="004815D6">
              <w:rPr>
                <w:rStyle w:val="Hipercze"/>
              </w:rPr>
              <w:t>GM1 ADR.OPS.B.075(a)(1)     Zabezpieczenie lotniska</w:t>
            </w:r>
            <w:r w:rsidR="00DF65F3">
              <w:rPr>
                <w:webHidden/>
              </w:rPr>
              <w:tab/>
            </w:r>
            <w:r w:rsidR="00DF65F3">
              <w:rPr>
                <w:webHidden/>
              </w:rPr>
              <w:fldChar w:fldCharType="begin"/>
            </w:r>
            <w:r w:rsidR="00DF65F3">
              <w:rPr>
                <w:webHidden/>
              </w:rPr>
              <w:instrText xml:space="preserve"> PAGEREF _Toc12532881 \h </w:instrText>
            </w:r>
            <w:r w:rsidR="00DF65F3">
              <w:rPr>
                <w:webHidden/>
              </w:rPr>
            </w:r>
            <w:r w:rsidR="00DF65F3">
              <w:rPr>
                <w:webHidden/>
              </w:rPr>
              <w:fldChar w:fldCharType="separate"/>
            </w:r>
            <w:r w:rsidR="00F755B7">
              <w:rPr>
                <w:webHidden/>
              </w:rPr>
              <w:t>264</w:t>
            </w:r>
            <w:r w:rsidR="00DF65F3">
              <w:rPr>
                <w:webHidden/>
              </w:rPr>
              <w:fldChar w:fldCharType="end"/>
            </w:r>
          </w:hyperlink>
        </w:p>
        <w:p w14:paraId="51A7FC3D" w14:textId="7BF858DB" w:rsidR="00DF65F3" w:rsidRDefault="00870777">
          <w:pPr>
            <w:pStyle w:val="Spistreci6"/>
            <w:rPr>
              <w:sz w:val="22"/>
              <w:lang w:val="en-GB" w:eastAsia="en-GB"/>
            </w:rPr>
          </w:pPr>
          <w:hyperlink w:anchor="_Toc12532882" w:history="1">
            <w:r w:rsidR="00DF65F3" w:rsidRPr="004815D6">
              <w:rPr>
                <w:rStyle w:val="Hipercze"/>
              </w:rPr>
              <w:t>GM2 ADR.OPS.B.075(a)(1)     Zabezpieczenie lotniska</w:t>
            </w:r>
            <w:r w:rsidR="00DF65F3">
              <w:rPr>
                <w:webHidden/>
              </w:rPr>
              <w:tab/>
            </w:r>
            <w:r w:rsidR="00DF65F3">
              <w:rPr>
                <w:webHidden/>
              </w:rPr>
              <w:fldChar w:fldCharType="begin"/>
            </w:r>
            <w:r w:rsidR="00DF65F3">
              <w:rPr>
                <w:webHidden/>
              </w:rPr>
              <w:instrText xml:space="preserve"> PAGEREF _Toc12532882 \h </w:instrText>
            </w:r>
            <w:r w:rsidR="00DF65F3">
              <w:rPr>
                <w:webHidden/>
              </w:rPr>
            </w:r>
            <w:r w:rsidR="00DF65F3">
              <w:rPr>
                <w:webHidden/>
              </w:rPr>
              <w:fldChar w:fldCharType="separate"/>
            </w:r>
            <w:r w:rsidR="00F755B7">
              <w:rPr>
                <w:webHidden/>
              </w:rPr>
              <w:t>264</w:t>
            </w:r>
            <w:r w:rsidR="00DF65F3">
              <w:rPr>
                <w:webHidden/>
              </w:rPr>
              <w:fldChar w:fldCharType="end"/>
            </w:r>
          </w:hyperlink>
        </w:p>
        <w:p w14:paraId="34849816" w14:textId="1B7A15AA" w:rsidR="00DF65F3" w:rsidRDefault="00870777">
          <w:pPr>
            <w:pStyle w:val="Spistreci3"/>
            <w:rPr>
              <w:rFonts w:asciiTheme="minorHAnsi" w:eastAsiaTheme="minorEastAsia" w:hAnsiTheme="minorHAnsi" w:cstheme="minorBidi"/>
              <w:sz w:val="22"/>
              <w:lang w:val="en-GB" w:eastAsia="en-GB"/>
            </w:rPr>
          </w:pPr>
          <w:hyperlink w:anchor="_Toc12532883" w:history="1">
            <w:r w:rsidR="00DF65F3" w:rsidRPr="004815D6">
              <w:rPr>
                <w:rStyle w:val="Hipercze"/>
              </w:rPr>
              <w:t>ADR.OPS.B.080     Oznakowanie poziome oraz oświetlenie pojazdów i innych obiektów ruchomych</w:t>
            </w:r>
            <w:r w:rsidR="00DF65F3">
              <w:rPr>
                <w:webHidden/>
              </w:rPr>
              <w:tab/>
            </w:r>
            <w:r w:rsidR="00DF65F3">
              <w:rPr>
                <w:webHidden/>
              </w:rPr>
              <w:fldChar w:fldCharType="begin"/>
            </w:r>
            <w:r w:rsidR="00DF65F3">
              <w:rPr>
                <w:webHidden/>
              </w:rPr>
              <w:instrText xml:space="preserve"> PAGEREF _Toc12532883 \h </w:instrText>
            </w:r>
            <w:r w:rsidR="00DF65F3">
              <w:rPr>
                <w:webHidden/>
              </w:rPr>
            </w:r>
            <w:r w:rsidR="00DF65F3">
              <w:rPr>
                <w:webHidden/>
              </w:rPr>
              <w:fldChar w:fldCharType="separate"/>
            </w:r>
            <w:r w:rsidR="00F755B7">
              <w:rPr>
                <w:webHidden/>
              </w:rPr>
              <w:t>264</w:t>
            </w:r>
            <w:r w:rsidR="00DF65F3">
              <w:rPr>
                <w:webHidden/>
              </w:rPr>
              <w:fldChar w:fldCharType="end"/>
            </w:r>
          </w:hyperlink>
        </w:p>
        <w:p w14:paraId="5DCB5B5B" w14:textId="05E32419" w:rsidR="00DF65F3" w:rsidRDefault="00870777">
          <w:pPr>
            <w:pStyle w:val="Spistreci5"/>
            <w:rPr>
              <w:sz w:val="22"/>
              <w:lang w:val="en-GB" w:eastAsia="en-GB"/>
            </w:rPr>
          </w:pPr>
          <w:hyperlink w:anchor="_Toc12532884" w:history="1">
            <w:r w:rsidR="00DF65F3" w:rsidRPr="004815D6">
              <w:rPr>
                <w:rStyle w:val="Hipercze"/>
              </w:rPr>
              <w:t>AMC1 ADR.OPS.B.080    Oznakowanie i oświetlenie pojazdów i innych obiektów     ruchomych</w:t>
            </w:r>
            <w:r w:rsidR="00DF65F3">
              <w:rPr>
                <w:webHidden/>
              </w:rPr>
              <w:tab/>
            </w:r>
            <w:r w:rsidR="00DF65F3">
              <w:rPr>
                <w:webHidden/>
              </w:rPr>
              <w:fldChar w:fldCharType="begin"/>
            </w:r>
            <w:r w:rsidR="00DF65F3">
              <w:rPr>
                <w:webHidden/>
              </w:rPr>
              <w:instrText xml:space="preserve"> PAGEREF _Toc12532884 \h </w:instrText>
            </w:r>
            <w:r w:rsidR="00DF65F3">
              <w:rPr>
                <w:webHidden/>
              </w:rPr>
            </w:r>
            <w:r w:rsidR="00DF65F3">
              <w:rPr>
                <w:webHidden/>
              </w:rPr>
              <w:fldChar w:fldCharType="separate"/>
            </w:r>
            <w:r w:rsidR="00F755B7">
              <w:rPr>
                <w:webHidden/>
              </w:rPr>
              <w:t>265</w:t>
            </w:r>
            <w:r w:rsidR="00DF65F3">
              <w:rPr>
                <w:webHidden/>
              </w:rPr>
              <w:fldChar w:fldCharType="end"/>
            </w:r>
          </w:hyperlink>
        </w:p>
        <w:p w14:paraId="5D7CAA51" w14:textId="0E7FC74A" w:rsidR="00DF65F3" w:rsidRDefault="00870777">
          <w:pPr>
            <w:pStyle w:val="Spistreci6"/>
            <w:rPr>
              <w:sz w:val="22"/>
              <w:lang w:val="en-GB" w:eastAsia="en-GB"/>
            </w:rPr>
          </w:pPr>
          <w:hyperlink w:anchor="_Toc12532885" w:history="1">
            <w:r w:rsidR="00DF65F3" w:rsidRPr="004815D6">
              <w:rPr>
                <w:rStyle w:val="Hipercze"/>
              </w:rPr>
              <w:t>GM1 ADR.OPS.B.080     Oznakowanie i oświetlenie pojazdów i innych obiektów ruchomych</w:t>
            </w:r>
            <w:r w:rsidR="00DF65F3">
              <w:rPr>
                <w:webHidden/>
              </w:rPr>
              <w:tab/>
            </w:r>
            <w:r w:rsidR="00DF65F3">
              <w:rPr>
                <w:webHidden/>
              </w:rPr>
              <w:fldChar w:fldCharType="begin"/>
            </w:r>
            <w:r w:rsidR="00DF65F3">
              <w:rPr>
                <w:webHidden/>
              </w:rPr>
              <w:instrText xml:space="preserve"> PAGEREF _Toc12532885 \h </w:instrText>
            </w:r>
            <w:r w:rsidR="00DF65F3">
              <w:rPr>
                <w:webHidden/>
              </w:rPr>
            </w:r>
            <w:r w:rsidR="00DF65F3">
              <w:rPr>
                <w:webHidden/>
              </w:rPr>
              <w:fldChar w:fldCharType="separate"/>
            </w:r>
            <w:r w:rsidR="00F755B7">
              <w:rPr>
                <w:webHidden/>
              </w:rPr>
              <w:t>265</w:t>
            </w:r>
            <w:r w:rsidR="00DF65F3">
              <w:rPr>
                <w:webHidden/>
              </w:rPr>
              <w:fldChar w:fldCharType="end"/>
            </w:r>
          </w:hyperlink>
        </w:p>
        <w:p w14:paraId="129ED3B9" w14:textId="2A66CE33" w:rsidR="00DF65F3" w:rsidRDefault="00870777">
          <w:pPr>
            <w:pStyle w:val="Spistreci3"/>
            <w:rPr>
              <w:rFonts w:asciiTheme="minorHAnsi" w:eastAsiaTheme="minorEastAsia" w:hAnsiTheme="minorHAnsi" w:cstheme="minorBidi"/>
              <w:sz w:val="22"/>
              <w:lang w:val="en-GB" w:eastAsia="en-GB"/>
            </w:rPr>
          </w:pPr>
          <w:hyperlink w:anchor="_Toc12532886" w:history="1">
            <w:r w:rsidR="00DF65F3" w:rsidRPr="004815D6">
              <w:rPr>
                <w:rStyle w:val="Hipercze"/>
              </w:rPr>
              <w:t>ADR.OPS.B.090     Użytkowanie lotniska przez statki powietrzne o wyższej literze kodu</w:t>
            </w:r>
            <w:r w:rsidR="00DF65F3">
              <w:rPr>
                <w:webHidden/>
              </w:rPr>
              <w:tab/>
            </w:r>
            <w:r w:rsidR="00DF65F3">
              <w:rPr>
                <w:webHidden/>
              </w:rPr>
              <w:fldChar w:fldCharType="begin"/>
            </w:r>
            <w:r w:rsidR="00DF65F3">
              <w:rPr>
                <w:webHidden/>
              </w:rPr>
              <w:instrText xml:space="preserve"> PAGEREF _Toc12532886 \h </w:instrText>
            </w:r>
            <w:r w:rsidR="00DF65F3">
              <w:rPr>
                <w:webHidden/>
              </w:rPr>
            </w:r>
            <w:r w:rsidR="00DF65F3">
              <w:rPr>
                <w:webHidden/>
              </w:rPr>
              <w:fldChar w:fldCharType="separate"/>
            </w:r>
            <w:r w:rsidR="00F755B7">
              <w:rPr>
                <w:webHidden/>
              </w:rPr>
              <w:t>265</w:t>
            </w:r>
            <w:r w:rsidR="00DF65F3">
              <w:rPr>
                <w:webHidden/>
              </w:rPr>
              <w:fldChar w:fldCharType="end"/>
            </w:r>
          </w:hyperlink>
        </w:p>
        <w:p w14:paraId="722D2211" w14:textId="5F36AA02" w:rsidR="00DF65F3" w:rsidRDefault="00870777">
          <w:pPr>
            <w:pStyle w:val="Spistreci5"/>
            <w:rPr>
              <w:sz w:val="22"/>
              <w:lang w:val="en-GB" w:eastAsia="en-GB"/>
            </w:rPr>
          </w:pPr>
          <w:hyperlink w:anchor="_Toc12532887" w:history="1">
            <w:r w:rsidR="00DF65F3" w:rsidRPr="004815D6">
              <w:rPr>
                <w:rStyle w:val="Hipercze"/>
              </w:rPr>
              <w:t>AMC1 ADR.OPS.B.090      Użytkowanie lotniska przez statki powietrzne o wyższej literze       kodu</w:t>
            </w:r>
            <w:r w:rsidR="00DF65F3">
              <w:rPr>
                <w:webHidden/>
              </w:rPr>
              <w:tab/>
            </w:r>
            <w:r w:rsidR="00DF65F3">
              <w:rPr>
                <w:webHidden/>
              </w:rPr>
              <w:fldChar w:fldCharType="begin"/>
            </w:r>
            <w:r w:rsidR="00DF65F3">
              <w:rPr>
                <w:webHidden/>
              </w:rPr>
              <w:instrText xml:space="preserve"> PAGEREF _Toc12532887 \h </w:instrText>
            </w:r>
            <w:r w:rsidR="00DF65F3">
              <w:rPr>
                <w:webHidden/>
              </w:rPr>
            </w:r>
            <w:r w:rsidR="00DF65F3">
              <w:rPr>
                <w:webHidden/>
              </w:rPr>
              <w:fldChar w:fldCharType="separate"/>
            </w:r>
            <w:r w:rsidR="00F755B7">
              <w:rPr>
                <w:webHidden/>
              </w:rPr>
              <w:t>266</w:t>
            </w:r>
            <w:r w:rsidR="00DF65F3">
              <w:rPr>
                <w:webHidden/>
              </w:rPr>
              <w:fldChar w:fldCharType="end"/>
            </w:r>
          </w:hyperlink>
        </w:p>
        <w:p w14:paraId="4880D96A" w14:textId="58C3B446" w:rsidR="00DF65F3" w:rsidRDefault="00870777">
          <w:pPr>
            <w:pStyle w:val="Spistreci6"/>
            <w:rPr>
              <w:sz w:val="22"/>
              <w:lang w:val="en-GB" w:eastAsia="en-GB"/>
            </w:rPr>
          </w:pPr>
          <w:hyperlink w:anchor="_Toc12532888" w:history="1">
            <w:r w:rsidR="00DF65F3" w:rsidRPr="004815D6">
              <w:rPr>
                <w:rStyle w:val="Hipercze"/>
              </w:rPr>
              <w:t>GM1 ADR.OPS.B.090      Użytkowanie lotniska przez statki powietrzne o wyższej literze     kodu</w:t>
            </w:r>
            <w:r w:rsidR="00DF65F3">
              <w:rPr>
                <w:webHidden/>
              </w:rPr>
              <w:tab/>
            </w:r>
            <w:r w:rsidR="00DF65F3">
              <w:rPr>
                <w:webHidden/>
              </w:rPr>
              <w:fldChar w:fldCharType="begin"/>
            </w:r>
            <w:r w:rsidR="00DF65F3">
              <w:rPr>
                <w:webHidden/>
              </w:rPr>
              <w:instrText xml:space="preserve"> PAGEREF _Toc12532888 \h </w:instrText>
            </w:r>
            <w:r w:rsidR="00DF65F3">
              <w:rPr>
                <w:webHidden/>
              </w:rPr>
            </w:r>
            <w:r w:rsidR="00DF65F3">
              <w:rPr>
                <w:webHidden/>
              </w:rPr>
              <w:fldChar w:fldCharType="separate"/>
            </w:r>
            <w:r w:rsidR="00F755B7">
              <w:rPr>
                <w:webHidden/>
              </w:rPr>
              <w:t>266</w:t>
            </w:r>
            <w:r w:rsidR="00DF65F3">
              <w:rPr>
                <w:webHidden/>
              </w:rPr>
              <w:fldChar w:fldCharType="end"/>
            </w:r>
          </w:hyperlink>
        </w:p>
        <w:p w14:paraId="12219F70" w14:textId="6507C0B7" w:rsidR="00DF65F3" w:rsidRDefault="00870777">
          <w:pPr>
            <w:pStyle w:val="Spistreci2"/>
            <w:rPr>
              <w:rFonts w:asciiTheme="minorHAnsi" w:eastAsiaTheme="minorEastAsia" w:hAnsiTheme="minorHAnsi" w:cstheme="minorBidi"/>
              <w:sz w:val="22"/>
              <w:lang w:val="en-GB" w:eastAsia="en-GB"/>
            </w:rPr>
          </w:pPr>
          <w:hyperlink w:anchor="_Toc12532889" w:history="1">
            <w:r w:rsidR="00DF65F3" w:rsidRPr="004815D6">
              <w:rPr>
                <w:rStyle w:val="Hipercze"/>
              </w:rPr>
              <w:t>PODCZĘŚĆ C — OBSŁUGA TECHNICZNA LOTNISKA (ADR.OPS.C)</w:t>
            </w:r>
            <w:r w:rsidR="00DF65F3">
              <w:rPr>
                <w:webHidden/>
              </w:rPr>
              <w:tab/>
            </w:r>
            <w:r w:rsidR="00DF65F3">
              <w:rPr>
                <w:webHidden/>
              </w:rPr>
              <w:fldChar w:fldCharType="begin"/>
            </w:r>
            <w:r w:rsidR="00DF65F3">
              <w:rPr>
                <w:webHidden/>
              </w:rPr>
              <w:instrText xml:space="preserve"> PAGEREF _Toc12532889 \h </w:instrText>
            </w:r>
            <w:r w:rsidR="00DF65F3">
              <w:rPr>
                <w:webHidden/>
              </w:rPr>
            </w:r>
            <w:r w:rsidR="00DF65F3">
              <w:rPr>
                <w:webHidden/>
              </w:rPr>
              <w:fldChar w:fldCharType="separate"/>
            </w:r>
            <w:r w:rsidR="00F755B7">
              <w:rPr>
                <w:webHidden/>
              </w:rPr>
              <w:t>267</w:t>
            </w:r>
            <w:r w:rsidR="00DF65F3">
              <w:rPr>
                <w:webHidden/>
              </w:rPr>
              <w:fldChar w:fldCharType="end"/>
            </w:r>
          </w:hyperlink>
        </w:p>
        <w:p w14:paraId="2EEE3CB1" w14:textId="43F0900A" w:rsidR="00DF65F3" w:rsidRDefault="00870777">
          <w:pPr>
            <w:pStyle w:val="Spistreci3"/>
            <w:rPr>
              <w:rFonts w:asciiTheme="minorHAnsi" w:eastAsiaTheme="minorEastAsia" w:hAnsiTheme="minorHAnsi" w:cstheme="minorBidi"/>
              <w:sz w:val="22"/>
              <w:lang w:val="en-GB" w:eastAsia="en-GB"/>
            </w:rPr>
          </w:pPr>
          <w:hyperlink w:anchor="_Toc12532890" w:history="1">
            <w:r w:rsidR="00DF65F3" w:rsidRPr="004815D6">
              <w:rPr>
                <w:rStyle w:val="Hipercze"/>
              </w:rPr>
              <w:t>ADR.OPS.C.005     Przepisy ogólne</w:t>
            </w:r>
            <w:r w:rsidR="00DF65F3">
              <w:rPr>
                <w:webHidden/>
              </w:rPr>
              <w:tab/>
            </w:r>
            <w:r w:rsidR="00DF65F3">
              <w:rPr>
                <w:webHidden/>
              </w:rPr>
              <w:fldChar w:fldCharType="begin"/>
            </w:r>
            <w:r w:rsidR="00DF65F3">
              <w:rPr>
                <w:webHidden/>
              </w:rPr>
              <w:instrText xml:space="preserve"> PAGEREF _Toc12532890 \h </w:instrText>
            </w:r>
            <w:r w:rsidR="00DF65F3">
              <w:rPr>
                <w:webHidden/>
              </w:rPr>
            </w:r>
            <w:r w:rsidR="00DF65F3">
              <w:rPr>
                <w:webHidden/>
              </w:rPr>
              <w:fldChar w:fldCharType="separate"/>
            </w:r>
            <w:r w:rsidR="00F755B7">
              <w:rPr>
                <w:webHidden/>
              </w:rPr>
              <w:t>267</w:t>
            </w:r>
            <w:r w:rsidR="00DF65F3">
              <w:rPr>
                <w:webHidden/>
              </w:rPr>
              <w:fldChar w:fldCharType="end"/>
            </w:r>
          </w:hyperlink>
        </w:p>
        <w:p w14:paraId="049B2434" w14:textId="747144F8" w:rsidR="00DF65F3" w:rsidRDefault="00870777">
          <w:pPr>
            <w:pStyle w:val="Spistreci5"/>
            <w:rPr>
              <w:sz w:val="22"/>
              <w:lang w:val="en-GB" w:eastAsia="en-GB"/>
            </w:rPr>
          </w:pPr>
          <w:hyperlink w:anchor="_Toc12532891" w:history="1">
            <w:r w:rsidR="00DF65F3" w:rsidRPr="004815D6">
              <w:rPr>
                <w:rStyle w:val="Hipercze"/>
              </w:rPr>
              <w:t>AMC1 ADR.OPS.C.005     Przepisy ogólne</w:t>
            </w:r>
            <w:r w:rsidR="00DF65F3">
              <w:rPr>
                <w:webHidden/>
              </w:rPr>
              <w:tab/>
            </w:r>
            <w:r w:rsidR="00DF65F3">
              <w:rPr>
                <w:webHidden/>
              </w:rPr>
              <w:fldChar w:fldCharType="begin"/>
            </w:r>
            <w:r w:rsidR="00DF65F3">
              <w:rPr>
                <w:webHidden/>
              </w:rPr>
              <w:instrText xml:space="preserve"> PAGEREF _Toc12532891 \h </w:instrText>
            </w:r>
            <w:r w:rsidR="00DF65F3">
              <w:rPr>
                <w:webHidden/>
              </w:rPr>
            </w:r>
            <w:r w:rsidR="00DF65F3">
              <w:rPr>
                <w:webHidden/>
              </w:rPr>
              <w:fldChar w:fldCharType="separate"/>
            </w:r>
            <w:r w:rsidR="00F755B7">
              <w:rPr>
                <w:webHidden/>
              </w:rPr>
              <w:t>267</w:t>
            </w:r>
            <w:r w:rsidR="00DF65F3">
              <w:rPr>
                <w:webHidden/>
              </w:rPr>
              <w:fldChar w:fldCharType="end"/>
            </w:r>
          </w:hyperlink>
        </w:p>
        <w:p w14:paraId="4EC88075" w14:textId="34C1719A" w:rsidR="00DF65F3" w:rsidRDefault="00870777">
          <w:pPr>
            <w:pStyle w:val="Spistreci6"/>
            <w:rPr>
              <w:sz w:val="22"/>
              <w:lang w:val="en-GB" w:eastAsia="en-GB"/>
            </w:rPr>
          </w:pPr>
          <w:hyperlink w:anchor="_Toc12532892" w:history="1">
            <w:r w:rsidR="00DF65F3" w:rsidRPr="004815D6">
              <w:rPr>
                <w:rStyle w:val="Hipercze"/>
              </w:rPr>
              <w:t>GM1 ADR.OPS.C.005     Przepisy ogólne</w:t>
            </w:r>
            <w:r w:rsidR="00DF65F3">
              <w:rPr>
                <w:webHidden/>
              </w:rPr>
              <w:tab/>
            </w:r>
            <w:r w:rsidR="00DF65F3">
              <w:rPr>
                <w:webHidden/>
              </w:rPr>
              <w:fldChar w:fldCharType="begin"/>
            </w:r>
            <w:r w:rsidR="00DF65F3">
              <w:rPr>
                <w:webHidden/>
              </w:rPr>
              <w:instrText xml:space="preserve"> PAGEREF _Toc12532892 \h </w:instrText>
            </w:r>
            <w:r w:rsidR="00DF65F3">
              <w:rPr>
                <w:webHidden/>
              </w:rPr>
            </w:r>
            <w:r w:rsidR="00DF65F3">
              <w:rPr>
                <w:webHidden/>
              </w:rPr>
              <w:fldChar w:fldCharType="separate"/>
            </w:r>
            <w:r w:rsidR="00F755B7">
              <w:rPr>
                <w:webHidden/>
              </w:rPr>
              <w:t>267</w:t>
            </w:r>
            <w:r w:rsidR="00DF65F3">
              <w:rPr>
                <w:webHidden/>
              </w:rPr>
              <w:fldChar w:fldCharType="end"/>
            </w:r>
          </w:hyperlink>
        </w:p>
        <w:p w14:paraId="7CF4F0BA" w14:textId="55AC7A19" w:rsidR="00DF65F3" w:rsidRDefault="00870777">
          <w:pPr>
            <w:pStyle w:val="Spistreci3"/>
            <w:rPr>
              <w:rFonts w:asciiTheme="minorHAnsi" w:eastAsiaTheme="minorEastAsia" w:hAnsiTheme="minorHAnsi" w:cstheme="minorBidi"/>
              <w:sz w:val="22"/>
              <w:lang w:val="en-GB" w:eastAsia="en-GB"/>
            </w:rPr>
          </w:pPr>
          <w:hyperlink w:anchor="_Toc12532893" w:history="1">
            <w:r w:rsidR="00DF65F3" w:rsidRPr="004815D6">
              <w:rPr>
                <w:rStyle w:val="Hipercze"/>
              </w:rPr>
              <w:t>ADR.OPS.C.010     Nawierzchnie sztuczne, pozostałe powierzchnie na ziemi oraz kanalizacja</w:t>
            </w:r>
            <w:r w:rsidR="00DF65F3">
              <w:rPr>
                <w:webHidden/>
              </w:rPr>
              <w:tab/>
            </w:r>
            <w:r w:rsidR="00DF65F3">
              <w:rPr>
                <w:webHidden/>
              </w:rPr>
              <w:fldChar w:fldCharType="begin"/>
            </w:r>
            <w:r w:rsidR="00DF65F3">
              <w:rPr>
                <w:webHidden/>
              </w:rPr>
              <w:instrText xml:space="preserve"> PAGEREF _Toc12532893 \h </w:instrText>
            </w:r>
            <w:r w:rsidR="00DF65F3">
              <w:rPr>
                <w:webHidden/>
              </w:rPr>
            </w:r>
            <w:r w:rsidR="00DF65F3">
              <w:rPr>
                <w:webHidden/>
              </w:rPr>
              <w:fldChar w:fldCharType="separate"/>
            </w:r>
            <w:r w:rsidR="00F755B7">
              <w:rPr>
                <w:webHidden/>
              </w:rPr>
              <w:t>267</w:t>
            </w:r>
            <w:r w:rsidR="00DF65F3">
              <w:rPr>
                <w:webHidden/>
              </w:rPr>
              <w:fldChar w:fldCharType="end"/>
            </w:r>
          </w:hyperlink>
        </w:p>
        <w:p w14:paraId="5BC402CF" w14:textId="09C354B3" w:rsidR="00DF65F3" w:rsidRDefault="00870777">
          <w:pPr>
            <w:pStyle w:val="Spistreci5"/>
            <w:rPr>
              <w:sz w:val="22"/>
              <w:lang w:val="en-GB" w:eastAsia="en-GB"/>
            </w:rPr>
          </w:pPr>
          <w:hyperlink w:anchor="_Toc12532894" w:history="1">
            <w:r w:rsidR="00DF65F3" w:rsidRPr="004815D6">
              <w:rPr>
                <w:rStyle w:val="Hipercze"/>
              </w:rPr>
              <w:t>AMC1 ADR.OPS.C.010     Nawierzchnie sztuczne, pozostałe powierzchnie na ziemi     oraz kanalizacja</w:t>
            </w:r>
            <w:r w:rsidR="00DF65F3">
              <w:rPr>
                <w:webHidden/>
              </w:rPr>
              <w:tab/>
            </w:r>
            <w:r w:rsidR="00DF65F3">
              <w:rPr>
                <w:webHidden/>
              </w:rPr>
              <w:fldChar w:fldCharType="begin"/>
            </w:r>
            <w:r w:rsidR="00DF65F3">
              <w:rPr>
                <w:webHidden/>
              </w:rPr>
              <w:instrText xml:space="preserve"> PAGEREF _Toc12532894 \h </w:instrText>
            </w:r>
            <w:r w:rsidR="00DF65F3">
              <w:rPr>
                <w:webHidden/>
              </w:rPr>
            </w:r>
            <w:r w:rsidR="00DF65F3">
              <w:rPr>
                <w:webHidden/>
              </w:rPr>
              <w:fldChar w:fldCharType="separate"/>
            </w:r>
            <w:r w:rsidR="00F755B7">
              <w:rPr>
                <w:webHidden/>
              </w:rPr>
              <w:t>268</w:t>
            </w:r>
            <w:r w:rsidR="00DF65F3">
              <w:rPr>
                <w:webHidden/>
              </w:rPr>
              <w:fldChar w:fldCharType="end"/>
            </w:r>
          </w:hyperlink>
        </w:p>
        <w:p w14:paraId="09ACA721" w14:textId="628FBF39" w:rsidR="00DF65F3" w:rsidRDefault="00870777">
          <w:pPr>
            <w:pStyle w:val="Spistreci6"/>
            <w:rPr>
              <w:sz w:val="22"/>
              <w:lang w:val="en-GB" w:eastAsia="en-GB"/>
            </w:rPr>
          </w:pPr>
          <w:hyperlink w:anchor="_Toc12532895" w:history="1">
            <w:r w:rsidR="00DF65F3" w:rsidRPr="004815D6">
              <w:rPr>
                <w:rStyle w:val="Hipercze"/>
              </w:rPr>
              <w:t>GM1 ADR.OPS.C.010(b)(3)    Nawierzchnie sztuczne, pozostałe powierzchnie na ziemi            oraz kanalizacja</w:t>
            </w:r>
            <w:r w:rsidR="00DF65F3">
              <w:rPr>
                <w:webHidden/>
              </w:rPr>
              <w:tab/>
            </w:r>
            <w:r w:rsidR="00DF65F3">
              <w:rPr>
                <w:webHidden/>
              </w:rPr>
              <w:fldChar w:fldCharType="begin"/>
            </w:r>
            <w:r w:rsidR="00DF65F3">
              <w:rPr>
                <w:webHidden/>
              </w:rPr>
              <w:instrText xml:space="preserve"> PAGEREF _Toc12532895 \h </w:instrText>
            </w:r>
            <w:r w:rsidR="00DF65F3">
              <w:rPr>
                <w:webHidden/>
              </w:rPr>
            </w:r>
            <w:r w:rsidR="00DF65F3">
              <w:rPr>
                <w:webHidden/>
              </w:rPr>
              <w:fldChar w:fldCharType="separate"/>
            </w:r>
            <w:r w:rsidR="00F755B7">
              <w:rPr>
                <w:webHidden/>
              </w:rPr>
              <w:t>268</w:t>
            </w:r>
            <w:r w:rsidR="00DF65F3">
              <w:rPr>
                <w:webHidden/>
              </w:rPr>
              <w:fldChar w:fldCharType="end"/>
            </w:r>
          </w:hyperlink>
        </w:p>
        <w:p w14:paraId="3F944DFE" w14:textId="2414C6B9" w:rsidR="00DF65F3" w:rsidRDefault="00870777">
          <w:pPr>
            <w:pStyle w:val="Spistreci6"/>
            <w:rPr>
              <w:sz w:val="22"/>
              <w:lang w:val="en-GB" w:eastAsia="en-GB"/>
            </w:rPr>
          </w:pPr>
          <w:hyperlink w:anchor="_Toc12532896" w:history="1">
            <w:r w:rsidR="00DF65F3" w:rsidRPr="004815D6">
              <w:rPr>
                <w:rStyle w:val="Hipercze"/>
              </w:rPr>
              <w:t>GM2 ADR.OPS.C.010(b)(1)    Nawierzchnie sztuczne, pozostałe powierzchnie na ziemi            oraz kanalizacja</w:t>
            </w:r>
            <w:r w:rsidR="00DF65F3">
              <w:rPr>
                <w:webHidden/>
              </w:rPr>
              <w:tab/>
            </w:r>
            <w:r w:rsidR="00DF65F3">
              <w:rPr>
                <w:webHidden/>
              </w:rPr>
              <w:fldChar w:fldCharType="begin"/>
            </w:r>
            <w:r w:rsidR="00DF65F3">
              <w:rPr>
                <w:webHidden/>
              </w:rPr>
              <w:instrText xml:space="preserve"> PAGEREF _Toc12532896 \h </w:instrText>
            </w:r>
            <w:r w:rsidR="00DF65F3">
              <w:rPr>
                <w:webHidden/>
              </w:rPr>
            </w:r>
            <w:r w:rsidR="00DF65F3">
              <w:rPr>
                <w:webHidden/>
              </w:rPr>
              <w:fldChar w:fldCharType="separate"/>
            </w:r>
            <w:r w:rsidR="00F755B7">
              <w:rPr>
                <w:webHidden/>
              </w:rPr>
              <w:t>270</w:t>
            </w:r>
            <w:r w:rsidR="00DF65F3">
              <w:rPr>
                <w:webHidden/>
              </w:rPr>
              <w:fldChar w:fldCharType="end"/>
            </w:r>
          </w:hyperlink>
        </w:p>
        <w:p w14:paraId="3780DB2C" w14:textId="5D7E3BB1" w:rsidR="00DF65F3" w:rsidRDefault="00870777">
          <w:pPr>
            <w:pStyle w:val="Spistreci6"/>
            <w:rPr>
              <w:sz w:val="22"/>
              <w:lang w:val="en-GB" w:eastAsia="en-GB"/>
            </w:rPr>
          </w:pPr>
          <w:hyperlink w:anchor="_Toc12532897" w:history="1">
            <w:r w:rsidR="00DF65F3" w:rsidRPr="004815D6">
              <w:rPr>
                <w:rStyle w:val="Hipercze"/>
              </w:rPr>
              <w:t>GM3 ADR.OPS.C.010(b)(2)    Nawierzchnie sztuczne, pozostałe powierzchnie na ziemi            oraz kanalizacja</w:t>
            </w:r>
            <w:r w:rsidR="00DF65F3">
              <w:rPr>
                <w:webHidden/>
              </w:rPr>
              <w:tab/>
            </w:r>
            <w:r w:rsidR="00DF65F3">
              <w:rPr>
                <w:webHidden/>
              </w:rPr>
              <w:fldChar w:fldCharType="begin"/>
            </w:r>
            <w:r w:rsidR="00DF65F3">
              <w:rPr>
                <w:webHidden/>
              </w:rPr>
              <w:instrText xml:space="preserve"> PAGEREF _Toc12532897 \h </w:instrText>
            </w:r>
            <w:r w:rsidR="00DF65F3">
              <w:rPr>
                <w:webHidden/>
              </w:rPr>
            </w:r>
            <w:r w:rsidR="00DF65F3">
              <w:rPr>
                <w:webHidden/>
              </w:rPr>
              <w:fldChar w:fldCharType="separate"/>
            </w:r>
            <w:r w:rsidR="00F755B7">
              <w:rPr>
                <w:webHidden/>
              </w:rPr>
              <w:t>271</w:t>
            </w:r>
            <w:r w:rsidR="00DF65F3">
              <w:rPr>
                <w:webHidden/>
              </w:rPr>
              <w:fldChar w:fldCharType="end"/>
            </w:r>
          </w:hyperlink>
        </w:p>
        <w:p w14:paraId="6564EEEA" w14:textId="73507B73" w:rsidR="00DF65F3" w:rsidRDefault="00870777">
          <w:pPr>
            <w:pStyle w:val="Spistreci3"/>
            <w:rPr>
              <w:rFonts w:asciiTheme="minorHAnsi" w:eastAsiaTheme="minorEastAsia" w:hAnsiTheme="minorHAnsi" w:cstheme="minorBidi"/>
              <w:sz w:val="22"/>
              <w:lang w:val="en-GB" w:eastAsia="en-GB"/>
            </w:rPr>
          </w:pPr>
          <w:hyperlink w:anchor="_Toc12532898" w:history="1">
            <w:r w:rsidR="00DF65F3" w:rsidRPr="004815D6">
              <w:rPr>
                <w:rStyle w:val="Hipercze"/>
              </w:rPr>
              <w:t>ADR.OPS.C.015     Pomoce wzrokowe i systemy elektryczne</w:t>
            </w:r>
            <w:r w:rsidR="00DF65F3">
              <w:rPr>
                <w:webHidden/>
              </w:rPr>
              <w:tab/>
            </w:r>
            <w:r w:rsidR="00DF65F3">
              <w:rPr>
                <w:webHidden/>
              </w:rPr>
              <w:fldChar w:fldCharType="begin"/>
            </w:r>
            <w:r w:rsidR="00DF65F3">
              <w:rPr>
                <w:webHidden/>
              </w:rPr>
              <w:instrText xml:space="preserve"> PAGEREF _Toc12532898 \h </w:instrText>
            </w:r>
            <w:r w:rsidR="00DF65F3">
              <w:rPr>
                <w:webHidden/>
              </w:rPr>
            </w:r>
            <w:r w:rsidR="00DF65F3">
              <w:rPr>
                <w:webHidden/>
              </w:rPr>
              <w:fldChar w:fldCharType="separate"/>
            </w:r>
            <w:r w:rsidR="00F755B7">
              <w:rPr>
                <w:webHidden/>
              </w:rPr>
              <w:t>272</w:t>
            </w:r>
            <w:r w:rsidR="00DF65F3">
              <w:rPr>
                <w:webHidden/>
              </w:rPr>
              <w:fldChar w:fldCharType="end"/>
            </w:r>
          </w:hyperlink>
        </w:p>
        <w:p w14:paraId="6C2E6F3B" w14:textId="293D8FF8" w:rsidR="00DF65F3" w:rsidRDefault="00870777">
          <w:pPr>
            <w:pStyle w:val="Spistreci5"/>
            <w:rPr>
              <w:sz w:val="22"/>
              <w:lang w:val="en-GB" w:eastAsia="en-GB"/>
            </w:rPr>
          </w:pPr>
          <w:hyperlink w:anchor="_Toc12532899" w:history="1">
            <w:r w:rsidR="00DF65F3" w:rsidRPr="004815D6">
              <w:rPr>
                <w:rStyle w:val="Hipercze"/>
              </w:rPr>
              <w:t>AMC1 ADR.OPS.C.015     Pomoce wzrokowe i systemy elektryczne</w:t>
            </w:r>
            <w:r w:rsidR="00DF65F3">
              <w:rPr>
                <w:webHidden/>
              </w:rPr>
              <w:tab/>
            </w:r>
            <w:r w:rsidR="00DF65F3">
              <w:rPr>
                <w:webHidden/>
              </w:rPr>
              <w:fldChar w:fldCharType="begin"/>
            </w:r>
            <w:r w:rsidR="00DF65F3">
              <w:rPr>
                <w:webHidden/>
              </w:rPr>
              <w:instrText xml:space="preserve"> PAGEREF _Toc12532899 \h </w:instrText>
            </w:r>
            <w:r w:rsidR="00DF65F3">
              <w:rPr>
                <w:webHidden/>
              </w:rPr>
            </w:r>
            <w:r w:rsidR="00DF65F3">
              <w:rPr>
                <w:webHidden/>
              </w:rPr>
              <w:fldChar w:fldCharType="separate"/>
            </w:r>
            <w:r w:rsidR="00F755B7">
              <w:rPr>
                <w:webHidden/>
              </w:rPr>
              <w:t>273</w:t>
            </w:r>
            <w:r w:rsidR="00DF65F3">
              <w:rPr>
                <w:webHidden/>
              </w:rPr>
              <w:fldChar w:fldCharType="end"/>
            </w:r>
          </w:hyperlink>
        </w:p>
        <w:p w14:paraId="4C6E1DAC" w14:textId="6D710399" w:rsidR="00DF65F3" w:rsidRDefault="00870777">
          <w:pPr>
            <w:pStyle w:val="Spistreci1"/>
            <w:rPr>
              <w:rFonts w:asciiTheme="minorHAnsi" w:eastAsiaTheme="minorEastAsia" w:hAnsiTheme="minorHAnsi"/>
              <w:b w:val="0"/>
              <w:sz w:val="22"/>
              <w:lang w:val="en-GB" w:eastAsia="en-GB"/>
            </w:rPr>
          </w:pPr>
          <w:hyperlink w:anchor="_Toc12532900" w:history="1">
            <w:r w:rsidR="00DF65F3" w:rsidRPr="004815D6">
              <w:rPr>
                <w:rStyle w:val="Hipercze"/>
              </w:rPr>
              <w:t>CS-ADR-DSN — Wydanie 4</w:t>
            </w:r>
            <w:r w:rsidR="00DF65F3">
              <w:rPr>
                <w:webHidden/>
              </w:rPr>
              <w:tab/>
            </w:r>
            <w:r w:rsidR="00DF65F3">
              <w:rPr>
                <w:webHidden/>
              </w:rPr>
              <w:fldChar w:fldCharType="begin"/>
            </w:r>
            <w:r w:rsidR="00DF65F3">
              <w:rPr>
                <w:webHidden/>
              </w:rPr>
              <w:instrText xml:space="preserve"> PAGEREF _Toc12532900 \h </w:instrText>
            </w:r>
            <w:r w:rsidR="00DF65F3">
              <w:rPr>
                <w:webHidden/>
              </w:rPr>
            </w:r>
            <w:r w:rsidR="00DF65F3">
              <w:rPr>
                <w:webHidden/>
              </w:rPr>
              <w:fldChar w:fldCharType="separate"/>
            </w:r>
            <w:r w:rsidR="00F755B7">
              <w:rPr>
                <w:webHidden/>
              </w:rPr>
              <w:t>274</w:t>
            </w:r>
            <w:r w:rsidR="00DF65F3">
              <w:rPr>
                <w:webHidden/>
              </w:rPr>
              <w:fldChar w:fldCharType="end"/>
            </w:r>
          </w:hyperlink>
        </w:p>
        <w:p w14:paraId="37753769" w14:textId="63DA417A" w:rsidR="00DF65F3" w:rsidRDefault="00870777">
          <w:pPr>
            <w:pStyle w:val="Spistreci2"/>
            <w:rPr>
              <w:rFonts w:asciiTheme="minorHAnsi" w:eastAsiaTheme="minorEastAsia" w:hAnsiTheme="minorHAnsi" w:cstheme="minorBidi"/>
              <w:sz w:val="22"/>
              <w:lang w:val="en-GB" w:eastAsia="en-GB"/>
            </w:rPr>
          </w:pPr>
          <w:hyperlink w:anchor="_Toc12532901" w:history="1">
            <w:r w:rsidR="00DF65F3" w:rsidRPr="004815D6">
              <w:rPr>
                <w:rStyle w:val="Hipercze"/>
              </w:rPr>
              <w:t>Preambuła</w:t>
            </w:r>
            <w:r w:rsidR="00DF65F3">
              <w:rPr>
                <w:webHidden/>
              </w:rPr>
              <w:tab/>
            </w:r>
            <w:r w:rsidR="00A0625D">
              <w:rPr>
                <w:webHidden/>
              </w:rPr>
              <w:tab/>
            </w:r>
            <w:r w:rsidR="00DF65F3">
              <w:rPr>
                <w:webHidden/>
              </w:rPr>
              <w:fldChar w:fldCharType="begin"/>
            </w:r>
            <w:r w:rsidR="00DF65F3">
              <w:rPr>
                <w:webHidden/>
              </w:rPr>
              <w:instrText xml:space="preserve"> PAGEREF _Toc12532901 \h </w:instrText>
            </w:r>
            <w:r w:rsidR="00DF65F3">
              <w:rPr>
                <w:webHidden/>
              </w:rPr>
            </w:r>
            <w:r w:rsidR="00DF65F3">
              <w:rPr>
                <w:webHidden/>
              </w:rPr>
              <w:fldChar w:fldCharType="separate"/>
            </w:r>
            <w:r w:rsidR="00F755B7">
              <w:rPr>
                <w:webHidden/>
              </w:rPr>
              <w:t>275</w:t>
            </w:r>
            <w:r w:rsidR="00DF65F3">
              <w:rPr>
                <w:webHidden/>
              </w:rPr>
              <w:fldChar w:fldCharType="end"/>
            </w:r>
          </w:hyperlink>
        </w:p>
        <w:p w14:paraId="26DB8E83" w14:textId="1BE23868" w:rsidR="00DF65F3" w:rsidRDefault="00870777">
          <w:pPr>
            <w:pStyle w:val="Spistreci2"/>
            <w:rPr>
              <w:rFonts w:asciiTheme="minorHAnsi" w:eastAsiaTheme="minorEastAsia" w:hAnsiTheme="minorHAnsi" w:cstheme="minorBidi"/>
              <w:sz w:val="22"/>
              <w:lang w:val="en-GB" w:eastAsia="en-GB"/>
            </w:rPr>
          </w:pPr>
          <w:hyperlink w:anchor="_Toc12532902" w:history="1">
            <w:r w:rsidR="00DF65F3" w:rsidRPr="004815D6">
              <w:rPr>
                <w:rStyle w:val="Hipercze"/>
              </w:rPr>
              <w:t>Lista skrótów</w:t>
            </w:r>
            <w:r w:rsidR="00DF65F3">
              <w:rPr>
                <w:webHidden/>
              </w:rPr>
              <w:tab/>
            </w:r>
            <w:r w:rsidR="00A0625D">
              <w:rPr>
                <w:webHidden/>
              </w:rPr>
              <w:tab/>
            </w:r>
            <w:r w:rsidR="00DF65F3">
              <w:rPr>
                <w:webHidden/>
              </w:rPr>
              <w:fldChar w:fldCharType="begin"/>
            </w:r>
            <w:r w:rsidR="00DF65F3">
              <w:rPr>
                <w:webHidden/>
              </w:rPr>
              <w:instrText xml:space="preserve"> PAGEREF _Toc12532902 \h </w:instrText>
            </w:r>
            <w:r w:rsidR="00DF65F3">
              <w:rPr>
                <w:webHidden/>
              </w:rPr>
            </w:r>
            <w:r w:rsidR="00DF65F3">
              <w:rPr>
                <w:webHidden/>
              </w:rPr>
              <w:fldChar w:fldCharType="separate"/>
            </w:r>
            <w:r w:rsidR="00F755B7">
              <w:rPr>
                <w:webHidden/>
              </w:rPr>
              <w:t>282</w:t>
            </w:r>
            <w:r w:rsidR="00DF65F3">
              <w:rPr>
                <w:webHidden/>
              </w:rPr>
              <w:fldChar w:fldCharType="end"/>
            </w:r>
          </w:hyperlink>
        </w:p>
        <w:p w14:paraId="4FF7097C" w14:textId="5748D13A" w:rsidR="00DF65F3" w:rsidRDefault="00870777">
          <w:pPr>
            <w:pStyle w:val="Spistreci2"/>
            <w:rPr>
              <w:rFonts w:asciiTheme="minorHAnsi" w:eastAsiaTheme="minorEastAsia" w:hAnsiTheme="minorHAnsi" w:cstheme="minorBidi"/>
              <w:sz w:val="22"/>
              <w:lang w:val="en-GB" w:eastAsia="en-GB"/>
            </w:rPr>
          </w:pPr>
          <w:hyperlink w:anchor="_Toc12532903" w:history="1">
            <w:r w:rsidR="00DF65F3" w:rsidRPr="004815D6">
              <w:rPr>
                <w:rStyle w:val="Hipercze"/>
              </w:rPr>
              <w:t>ROZDZIAŁ A — WYMAGANIA OGÓLNE</w:t>
            </w:r>
            <w:r w:rsidR="00DF65F3">
              <w:rPr>
                <w:webHidden/>
              </w:rPr>
              <w:tab/>
            </w:r>
            <w:r w:rsidR="00DF65F3">
              <w:rPr>
                <w:webHidden/>
              </w:rPr>
              <w:fldChar w:fldCharType="begin"/>
            </w:r>
            <w:r w:rsidR="00DF65F3">
              <w:rPr>
                <w:webHidden/>
              </w:rPr>
              <w:instrText xml:space="preserve"> PAGEREF _Toc12532903 \h </w:instrText>
            </w:r>
            <w:r w:rsidR="00DF65F3">
              <w:rPr>
                <w:webHidden/>
              </w:rPr>
            </w:r>
            <w:r w:rsidR="00DF65F3">
              <w:rPr>
                <w:webHidden/>
              </w:rPr>
              <w:fldChar w:fldCharType="separate"/>
            </w:r>
            <w:r w:rsidR="00F755B7">
              <w:rPr>
                <w:webHidden/>
              </w:rPr>
              <w:t>284</w:t>
            </w:r>
            <w:r w:rsidR="00DF65F3">
              <w:rPr>
                <w:webHidden/>
              </w:rPr>
              <w:fldChar w:fldCharType="end"/>
            </w:r>
          </w:hyperlink>
        </w:p>
        <w:p w14:paraId="5333C857" w14:textId="5CDB641E" w:rsidR="00DF65F3" w:rsidRDefault="00870777">
          <w:pPr>
            <w:pStyle w:val="Spistreci4"/>
            <w:rPr>
              <w:sz w:val="22"/>
              <w:lang w:val="en-GB" w:eastAsia="en-GB"/>
            </w:rPr>
          </w:pPr>
          <w:hyperlink w:anchor="_Toc12532904" w:history="1">
            <w:r w:rsidR="00DF65F3" w:rsidRPr="004815D6">
              <w:rPr>
                <w:rStyle w:val="Hipercze"/>
              </w:rPr>
              <w:t>CS ADR-DSN.A.001     Zastosowanie</w:t>
            </w:r>
            <w:r w:rsidR="00DF65F3">
              <w:rPr>
                <w:webHidden/>
              </w:rPr>
              <w:tab/>
            </w:r>
            <w:r w:rsidR="00DF65F3">
              <w:rPr>
                <w:webHidden/>
              </w:rPr>
              <w:fldChar w:fldCharType="begin"/>
            </w:r>
            <w:r w:rsidR="00DF65F3">
              <w:rPr>
                <w:webHidden/>
              </w:rPr>
              <w:instrText xml:space="preserve"> PAGEREF _Toc12532904 \h </w:instrText>
            </w:r>
            <w:r w:rsidR="00DF65F3">
              <w:rPr>
                <w:webHidden/>
              </w:rPr>
            </w:r>
            <w:r w:rsidR="00DF65F3">
              <w:rPr>
                <w:webHidden/>
              </w:rPr>
              <w:fldChar w:fldCharType="separate"/>
            </w:r>
            <w:r w:rsidR="00F755B7">
              <w:rPr>
                <w:webHidden/>
              </w:rPr>
              <w:t>284</w:t>
            </w:r>
            <w:r w:rsidR="00DF65F3">
              <w:rPr>
                <w:webHidden/>
              </w:rPr>
              <w:fldChar w:fldCharType="end"/>
            </w:r>
          </w:hyperlink>
        </w:p>
        <w:p w14:paraId="049999D6" w14:textId="04309715" w:rsidR="00DF65F3" w:rsidRDefault="00870777">
          <w:pPr>
            <w:pStyle w:val="Spistreci6"/>
            <w:rPr>
              <w:sz w:val="22"/>
              <w:lang w:val="en-GB" w:eastAsia="en-GB"/>
            </w:rPr>
          </w:pPr>
          <w:hyperlink w:anchor="_Toc12532905" w:history="1">
            <w:r w:rsidR="00DF65F3" w:rsidRPr="004815D6">
              <w:rPr>
                <w:rStyle w:val="Hipercze"/>
              </w:rPr>
              <w:t>GM1 ADR-DSNA.001     Zastosowanie</w:t>
            </w:r>
            <w:r w:rsidR="00DF65F3">
              <w:rPr>
                <w:webHidden/>
              </w:rPr>
              <w:tab/>
            </w:r>
            <w:r w:rsidR="00DF65F3">
              <w:rPr>
                <w:webHidden/>
              </w:rPr>
              <w:fldChar w:fldCharType="begin"/>
            </w:r>
            <w:r w:rsidR="00DF65F3">
              <w:rPr>
                <w:webHidden/>
              </w:rPr>
              <w:instrText xml:space="preserve"> PAGEREF _Toc12532905 \h </w:instrText>
            </w:r>
            <w:r w:rsidR="00DF65F3">
              <w:rPr>
                <w:webHidden/>
              </w:rPr>
            </w:r>
            <w:r w:rsidR="00DF65F3">
              <w:rPr>
                <w:webHidden/>
              </w:rPr>
              <w:fldChar w:fldCharType="separate"/>
            </w:r>
            <w:r w:rsidR="00F755B7">
              <w:rPr>
                <w:webHidden/>
              </w:rPr>
              <w:t>284</w:t>
            </w:r>
            <w:r w:rsidR="00DF65F3">
              <w:rPr>
                <w:webHidden/>
              </w:rPr>
              <w:fldChar w:fldCharType="end"/>
            </w:r>
          </w:hyperlink>
        </w:p>
        <w:p w14:paraId="13AF4D42" w14:textId="1B0F33FA" w:rsidR="00DF65F3" w:rsidRDefault="00870777">
          <w:pPr>
            <w:pStyle w:val="Spistreci4"/>
            <w:rPr>
              <w:sz w:val="22"/>
              <w:lang w:val="en-GB" w:eastAsia="en-GB"/>
            </w:rPr>
          </w:pPr>
          <w:hyperlink w:anchor="_Toc12532906" w:history="1">
            <w:r w:rsidR="00DF65F3" w:rsidRPr="004815D6">
              <w:rPr>
                <w:rStyle w:val="Hipercze"/>
              </w:rPr>
              <w:t>CS ADR-DSN.A.002     Definicje</w:t>
            </w:r>
            <w:r w:rsidR="00DF65F3">
              <w:rPr>
                <w:webHidden/>
              </w:rPr>
              <w:tab/>
            </w:r>
            <w:r w:rsidR="00DF65F3">
              <w:rPr>
                <w:webHidden/>
              </w:rPr>
              <w:fldChar w:fldCharType="begin"/>
            </w:r>
            <w:r w:rsidR="00DF65F3">
              <w:rPr>
                <w:webHidden/>
              </w:rPr>
              <w:instrText xml:space="preserve"> PAGEREF _Toc12532906 \h </w:instrText>
            </w:r>
            <w:r w:rsidR="00DF65F3">
              <w:rPr>
                <w:webHidden/>
              </w:rPr>
            </w:r>
            <w:r w:rsidR="00DF65F3">
              <w:rPr>
                <w:webHidden/>
              </w:rPr>
              <w:fldChar w:fldCharType="separate"/>
            </w:r>
            <w:r w:rsidR="00F755B7">
              <w:rPr>
                <w:webHidden/>
              </w:rPr>
              <w:t>284</w:t>
            </w:r>
            <w:r w:rsidR="00DF65F3">
              <w:rPr>
                <w:webHidden/>
              </w:rPr>
              <w:fldChar w:fldCharType="end"/>
            </w:r>
          </w:hyperlink>
        </w:p>
        <w:p w14:paraId="47339E64" w14:textId="75260B21" w:rsidR="00DF65F3" w:rsidRDefault="00870777">
          <w:pPr>
            <w:pStyle w:val="Spistreci6"/>
            <w:rPr>
              <w:sz w:val="22"/>
              <w:lang w:val="en-GB" w:eastAsia="en-GB"/>
            </w:rPr>
          </w:pPr>
          <w:hyperlink w:anchor="_Toc12532907" w:history="1">
            <w:r w:rsidR="00DF65F3" w:rsidRPr="004815D6">
              <w:rPr>
                <w:rStyle w:val="Hipercze"/>
              </w:rPr>
              <w:t>GM1 ADR-DSN.A.002     Definicje</w:t>
            </w:r>
            <w:r w:rsidR="00DF65F3">
              <w:rPr>
                <w:webHidden/>
              </w:rPr>
              <w:tab/>
            </w:r>
            <w:r w:rsidR="00DF65F3">
              <w:rPr>
                <w:webHidden/>
              </w:rPr>
              <w:fldChar w:fldCharType="begin"/>
            </w:r>
            <w:r w:rsidR="00DF65F3">
              <w:rPr>
                <w:webHidden/>
              </w:rPr>
              <w:instrText xml:space="preserve"> PAGEREF _Toc12532907 \h </w:instrText>
            </w:r>
            <w:r w:rsidR="00DF65F3">
              <w:rPr>
                <w:webHidden/>
              </w:rPr>
            </w:r>
            <w:r w:rsidR="00DF65F3">
              <w:rPr>
                <w:webHidden/>
              </w:rPr>
              <w:fldChar w:fldCharType="separate"/>
            </w:r>
            <w:r w:rsidR="00F755B7">
              <w:rPr>
                <w:webHidden/>
              </w:rPr>
              <w:t>291</w:t>
            </w:r>
            <w:r w:rsidR="00DF65F3">
              <w:rPr>
                <w:webHidden/>
              </w:rPr>
              <w:fldChar w:fldCharType="end"/>
            </w:r>
          </w:hyperlink>
        </w:p>
        <w:p w14:paraId="22502BC3" w14:textId="5F212661" w:rsidR="00DF65F3" w:rsidRDefault="00870777">
          <w:pPr>
            <w:pStyle w:val="Spistreci4"/>
            <w:rPr>
              <w:sz w:val="22"/>
              <w:lang w:val="en-GB" w:eastAsia="en-GB"/>
            </w:rPr>
          </w:pPr>
          <w:hyperlink w:anchor="_Toc12532908" w:history="1">
            <w:r w:rsidR="00DF65F3" w:rsidRPr="004815D6">
              <w:rPr>
                <w:rStyle w:val="Hipercze"/>
              </w:rPr>
              <w:t>CS ADR-DSN.A.005     Kod referencyjny lotniska (ARC)</w:t>
            </w:r>
            <w:r w:rsidR="00DF65F3">
              <w:rPr>
                <w:webHidden/>
              </w:rPr>
              <w:tab/>
            </w:r>
            <w:r w:rsidR="00DF65F3">
              <w:rPr>
                <w:webHidden/>
              </w:rPr>
              <w:fldChar w:fldCharType="begin"/>
            </w:r>
            <w:r w:rsidR="00DF65F3">
              <w:rPr>
                <w:webHidden/>
              </w:rPr>
              <w:instrText xml:space="preserve"> PAGEREF _Toc12532908 \h </w:instrText>
            </w:r>
            <w:r w:rsidR="00DF65F3">
              <w:rPr>
                <w:webHidden/>
              </w:rPr>
            </w:r>
            <w:r w:rsidR="00DF65F3">
              <w:rPr>
                <w:webHidden/>
              </w:rPr>
              <w:fldChar w:fldCharType="separate"/>
            </w:r>
            <w:r w:rsidR="00F755B7">
              <w:rPr>
                <w:webHidden/>
              </w:rPr>
              <w:t>292</w:t>
            </w:r>
            <w:r w:rsidR="00DF65F3">
              <w:rPr>
                <w:webHidden/>
              </w:rPr>
              <w:fldChar w:fldCharType="end"/>
            </w:r>
          </w:hyperlink>
        </w:p>
        <w:p w14:paraId="78AB8B9D" w14:textId="09F1B09F" w:rsidR="00DF65F3" w:rsidRDefault="00870777">
          <w:pPr>
            <w:pStyle w:val="Spistreci6"/>
            <w:rPr>
              <w:sz w:val="22"/>
              <w:lang w:val="en-GB" w:eastAsia="en-GB"/>
            </w:rPr>
          </w:pPr>
          <w:hyperlink w:anchor="_Toc12532909" w:history="1">
            <w:r w:rsidR="00DF65F3" w:rsidRPr="004815D6">
              <w:rPr>
                <w:rStyle w:val="Hipercze"/>
              </w:rPr>
              <w:t>GM1 ADR-DSN.A.005     Kod referencyjny lotniska (ARC)</w:t>
            </w:r>
            <w:r w:rsidR="00DF65F3">
              <w:rPr>
                <w:webHidden/>
              </w:rPr>
              <w:tab/>
            </w:r>
            <w:r w:rsidR="00DF65F3">
              <w:rPr>
                <w:webHidden/>
              </w:rPr>
              <w:fldChar w:fldCharType="begin"/>
            </w:r>
            <w:r w:rsidR="00DF65F3">
              <w:rPr>
                <w:webHidden/>
              </w:rPr>
              <w:instrText xml:space="preserve"> PAGEREF _Toc12532909 \h </w:instrText>
            </w:r>
            <w:r w:rsidR="00DF65F3">
              <w:rPr>
                <w:webHidden/>
              </w:rPr>
            </w:r>
            <w:r w:rsidR="00DF65F3">
              <w:rPr>
                <w:webHidden/>
              </w:rPr>
              <w:fldChar w:fldCharType="separate"/>
            </w:r>
            <w:r w:rsidR="00F755B7">
              <w:rPr>
                <w:webHidden/>
              </w:rPr>
              <w:t>293</w:t>
            </w:r>
            <w:r w:rsidR="00DF65F3">
              <w:rPr>
                <w:webHidden/>
              </w:rPr>
              <w:fldChar w:fldCharType="end"/>
            </w:r>
          </w:hyperlink>
        </w:p>
        <w:p w14:paraId="6817F394" w14:textId="70A815E0" w:rsidR="00DF65F3" w:rsidRDefault="00870777">
          <w:pPr>
            <w:pStyle w:val="Spistreci4"/>
            <w:rPr>
              <w:sz w:val="22"/>
              <w:lang w:val="en-GB" w:eastAsia="en-GB"/>
            </w:rPr>
          </w:pPr>
          <w:hyperlink w:anchor="_Toc12532910" w:history="1">
            <w:r w:rsidR="00DF65F3" w:rsidRPr="004815D6">
              <w:rPr>
                <w:rStyle w:val="Hipercze"/>
              </w:rPr>
              <w:t>CS ADR-DSN.A.010</w:t>
            </w:r>
            <w:r w:rsidR="00DF65F3">
              <w:rPr>
                <w:webHidden/>
              </w:rPr>
              <w:tab/>
            </w:r>
            <w:r w:rsidR="00A0625D">
              <w:rPr>
                <w:webHidden/>
              </w:rPr>
              <w:tab/>
            </w:r>
            <w:r w:rsidR="00DF65F3">
              <w:rPr>
                <w:webHidden/>
              </w:rPr>
              <w:fldChar w:fldCharType="begin"/>
            </w:r>
            <w:r w:rsidR="00DF65F3">
              <w:rPr>
                <w:webHidden/>
              </w:rPr>
              <w:instrText xml:space="preserve"> PAGEREF _Toc12532910 \h </w:instrText>
            </w:r>
            <w:r w:rsidR="00DF65F3">
              <w:rPr>
                <w:webHidden/>
              </w:rPr>
            </w:r>
            <w:r w:rsidR="00DF65F3">
              <w:rPr>
                <w:webHidden/>
              </w:rPr>
              <w:fldChar w:fldCharType="separate"/>
            </w:r>
            <w:r w:rsidR="00F755B7">
              <w:rPr>
                <w:webHidden/>
              </w:rPr>
              <w:t>294</w:t>
            </w:r>
            <w:r w:rsidR="00DF65F3">
              <w:rPr>
                <w:webHidden/>
              </w:rPr>
              <w:fldChar w:fldCharType="end"/>
            </w:r>
          </w:hyperlink>
        </w:p>
        <w:p w14:paraId="79E8642E" w14:textId="16530009" w:rsidR="00DF65F3" w:rsidRDefault="00870777">
          <w:pPr>
            <w:pStyle w:val="Spistreci6"/>
            <w:rPr>
              <w:sz w:val="22"/>
              <w:lang w:val="en-GB" w:eastAsia="en-GB"/>
            </w:rPr>
          </w:pPr>
          <w:hyperlink w:anchor="_Toc12532911" w:history="1">
            <w:r w:rsidR="00DF65F3" w:rsidRPr="004815D6">
              <w:rPr>
                <w:rStyle w:val="Hipercze"/>
              </w:rPr>
              <w:t>GM1 ADR-DSN.A.010</w:t>
            </w:r>
            <w:r w:rsidR="00DF65F3">
              <w:rPr>
                <w:webHidden/>
              </w:rPr>
              <w:tab/>
            </w:r>
            <w:r w:rsidR="00A0625D">
              <w:rPr>
                <w:webHidden/>
              </w:rPr>
              <w:tab/>
            </w:r>
            <w:r w:rsidR="00DF65F3">
              <w:rPr>
                <w:webHidden/>
              </w:rPr>
              <w:fldChar w:fldCharType="begin"/>
            </w:r>
            <w:r w:rsidR="00DF65F3">
              <w:rPr>
                <w:webHidden/>
              </w:rPr>
              <w:instrText xml:space="preserve"> PAGEREF _Toc12532911 \h </w:instrText>
            </w:r>
            <w:r w:rsidR="00DF65F3">
              <w:rPr>
                <w:webHidden/>
              </w:rPr>
            </w:r>
            <w:r w:rsidR="00DF65F3">
              <w:rPr>
                <w:webHidden/>
              </w:rPr>
              <w:fldChar w:fldCharType="separate"/>
            </w:r>
            <w:r w:rsidR="00F755B7">
              <w:rPr>
                <w:webHidden/>
              </w:rPr>
              <w:t>294</w:t>
            </w:r>
            <w:r w:rsidR="00DF65F3">
              <w:rPr>
                <w:webHidden/>
              </w:rPr>
              <w:fldChar w:fldCharType="end"/>
            </w:r>
          </w:hyperlink>
        </w:p>
        <w:p w14:paraId="63583CBC" w14:textId="5689A6C7" w:rsidR="00DF65F3" w:rsidRDefault="00870777">
          <w:pPr>
            <w:pStyle w:val="Spistreci2"/>
            <w:rPr>
              <w:rFonts w:asciiTheme="minorHAnsi" w:eastAsiaTheme="minorEastAsia" w:hAnsiTheme="minorHAnsi" w:cstheme="minorBidi"/>
              <w:sz w:val="22"/>
              <w:lang w:val="en-GB" w:eastAsia="en-GB"/>
            </w:rPr>
          </w:pPr>
          <w:hyperlink w:anchor="_Toc12532912" w:history="1">
            <w:r w:rsidR="00DF65F3" w:rsidRPr="004815D6">
              <w:rPr>
                <w:rStyle w:val="Hipercze"/>
              </w:rPr>
              <w:t>ROZDZIAŁ B — DROGI STARTOWE</w:t>
            </w:r>
            <w:r w:rsidR="00DF65F3">
              <w:rPr>
                <w:webHidden/>
              </w:rPr>
              <w:tab/>
            </w:r>
            <w:r w:rsidR="00DF65F3">
              <w:rPr>
                <w:webHidden/>
              </w:rPr>
              <w:fldChar w:fldCharType="begin"/>
            </w:r>
            <w:r w:rsidR="00DF65F3">
              <w:rPr>
                <w:webHidden/>
              </w:rPr>
              <w:instrText xml:space="preserve"> PAGEREF _Toc12532912 \h </w:instrText>
            </w:r>
            <w:r w:rsidR="00DF65F3">
              <w:rPr>
                <w:webHidden/>
              </w:rPr>
            </w:r>
            <w:r w:rsidR="00DF65F3">
              <w:rPr>
                <w:webHidden/>
              </w:rPr>
              <w:fldChar w:fldCharType="separate"/>
            </w:r>
            <w:r w:rsidR="00F755B7">
              <w:rPr>
                <w:webHidden/>
              </w:rPr>
              <w:t>295</w:t>
            </w:r>
            <w:r w:rsidR="00DF65F3">
              <w:rPr>
                <w:webHidden/>
              </w:rPr>
              <w:fldChar w:fldCharType="end"/>
            </w:r>
          </w:hyperlink>
        </w:p>
        <w:p w14:paraId="4B1ED43C" w14:textId="3BD56F5A" w:rsidR="00DF65F3" w:rsidRDefault="00870777">
          <w:pPr>
            <w:pStyle w:val="Spistreci4"/>
            <w:rPr>
              <w:sz w:val="22"/>
              <w:lang w:val="en-GB" w:eastAsia="en-GB"/>
            </w:rPr>
          </w:pPr>
          <w:hyperlink w:anchor="_Toc12532913" w:history="1">
            <w:r w:rsidR="00DF65F3" w:rsidRPr="004815D6">
              <w:rPr>
                <w:rStyle w:val="Hipercze"/>
              </w:rPr>
              <w:t>CS ADR-DSN.B.015     Ilość, rozmieszczenie i kierunek dróg startowych</w:t>
            </w:r>
            <w:r w:rsidR="00DF65F3">
              <w:rPr>
                <w:webHidden/>
              </w:rPr>
              <w:tab/>
            </w:r>
            <w:r w:rsidR="00DF65F3">
              <w:rPr>
                <w:webHidden/>
              </w:rPr>
              <w:fldChar w:fldCharType="begin"/>
            </w:r>
            <w:r w:rsidR="00DF65F3">
              <w:rPr>
                <w:webHidden/>
              </w:rPr>
              <w:instrText xml:space="preserve"> PAGEREF _Toc12532913 \h </w:instrText>
            </w:r>
            <w:r w:rsidR="00DF65F3">
              <w:rPr>
                <w:webHidden/>
              </w:rPr>
            </w:r>
            <w:r w:rsidR="00DF65F3">
              <w:rPr>
                <w:webHidden/>
              </w:rPr>
              <w:fldChar w:fldCharType="separate"/>
            </w:r>
            <w:r w:rsidR="00F755B7">
              <w:rPr>
                <w:webHidden/>
              </w:rPr>
              <w:t>295</w:t>
            </w:r>
            <w:r w:rsidR="00DF65F3">
              <w:rPr>
                <w:webHidden/>
              </w:rPr>
              <w:fldChar w:fldCharType="end"/>
            </w:r>
          </w:hyperlink>
        </w:p>
        <w:p w14:paraId="78C0D6C3" w14:textId="37E46223" w:rsidR="00DF65F3" w:rsidRDefault="00870777">
          <w:pPr>
            <w:pStyle w:val="Spistreci6"/>
            <w:rPr>
              <w:sz w:val="22"/>
              <w:lang w:val="en-GB" w:eastAsia="en-GB"/>
            </w:rPr>
          </w:pPr>
          <w:hyperlink w:anchor="_Toc12532914" w:history="1">
            <w:r w:rsidR="00DF65F3" w:rsidRPr="004815D6">
              <w:rPr>
                <w:rStyle w:val="Hipercze"/>
              </w:rPr>
              <w:t>GM1 ADR-DSN.B.015     Ilość, rozmieszczenie i kierunek dróg startowych</w:t>
            </w:r>
            <w:r w:rsidR="00DF65F3">
              <w:rPr>
                <w:webHidden/>
              </w:rPr>
              <w:tab/>
            </w:r>
            <w:r w:rsidR="00DF65F3">
              <w:rPr>
                <w:webHidden/>
              </w:rPr>
              <w:fldChar w:fldCharType="begin"/>
            </w:r>
            <w:r w:rsidR="00DF65F3">
              <w:rPr>
                <w:webHidden/>
              </w:rPr>
              <w:instrText xml:space="preserve"> PAGEREF _Toc12532914 \h </w:instrText>
            </w:r>
            <w:r w:rsidR="00DF65F3">
              <w:rPr>
                <w:webHidden/>
              </w:rPr>
            </w:r>
            <w:r w:rsidR="00DF65F3">
              <w:rPr>
                <w:webHidden/>
              </w:rPr>
              <w:fldChar w:fldCharType="separate"/>
            </w:r>
            <w:r w:rsidR="00F755B7">
              <w:rPr>
                <w:webHidden/>
              </w:rPr>
              <w:t>295</w:t>
            </w:r>
            <w:r w:rsidR="00DF65F3">
              <w:rPr>
                <w:webHidden/>
              </w:rPr>
              <w:fldChar w:fldCharType="end"/>
            </w:r>
          </w:hyperlink>
        </w:p>
        <w:p w14:paraId="18FBF64C" w14:textId="3AD91B50" w:rsidR="00DF65F3" w:rsidRDefault="00870777">
          <w:pPr>
            <w:pStyle w:val="Spistreci4"/>
            <w:rPr>
              <w:sz w:val="22"/>
              <w:lang w:val="en-GB" w:eastAsia="en-GB"/>
            </w:rPr>
          </w:pPr>
          <w:hyperlink w:anchor="_Toc12532915" w:history="1">
            <w:r w:rsidR="00DF65F3" w:rsidRPr="004815D6">
              <w:rPr>
                <w:rStyle w:val="Hipercze"/>
              </w:rPr>
              <w:t>CS ADR-DSN.B.020      Wybór maksymalnej dopuszczalnej wartości składowej bocznej wiatru</w:t>
            </w:r>
            <w:r w:rsidR="00DF65F3">
              <w:rPr>
                <w:webHidden/>
              </w:rPr>
              <w:tab/>
            </w:r>
            <w:r w:rsidR="00DF65F3">
              <w:rPr>
                <w:webHidden/>
              </w:rPr>
              <w:fldChar w:fldCharType="begin"/>
            </w:r>
            <w:r w:rsidR="00DF65F3">
              <w:rPr>
                <w:webHidden/>
              </w:rPr>
              <w:instrText xml:space="preserve"> PAGEREF _Toc12532915 \h </w:instrText>
            </w:r>
            <w:r w:rsidR="00DF65F3">
              <w:rPr>
                <w:webHidden/>
              </w:rPr>
            </w:r>
            <w:r w:rsidR="00DF65F3">
              <w:rPr>
                <w:webHidden/>
              </w:rPr>
              <w:fldChar w:fldCharType="separate"/>
            </w:r>
            <w:r w:rsidR="00F755B7">
              <w:rPr>
                <w:webHidden/>
              </w:rPr>
              <w:t>297</w:t>
            </w:r>
            <w:r w:rsidR="00DF65F3">
              <w:rPr>
                <w:webHidden/>
              </w:rPr>
              <w:fldChar w:fldCharType="end"/>
            </w:r>
          </w:hyperlink>
        </w:p>
        <w:p w14:paraId="1524740A" w14:textId="453062A9" w:rsidR="00DF65F3" w:rsidRDefault="00870777">
          <w:pPr>
            <w:pStyle w:val="Spistreci6"/>
            <w:rPr>
              <w:sz w:val="22"/>
              <w:lang w:val="en-GB" w:eastAsia="en-GB"/>
            </w:rPr>
          </w:pPr>
          <w:hyperlink w:anchor="_Toc12532916" w:history="1">
            <w:r w:rsidR="00DF65F3" w:rsidRPr="004815D6">
              <w:rPr>
                <w:rStyle w:val="Hipercze"/>
              </w:rPr>
              <w:t>GM1 ADR-DSN.B.020     Wybór maksymalnej dopuszczalnej wartości składowej bocznej wiatru</w:t>
            </w:r>
            <w:r w:rsidR="00DF65F3">
              <w:rPr>
                <w:webHidden/>
              </w:rPr>
              <w:tab/>
            </w:r>
            <w:r w:rsidR="00DF65F3">
              <w:rPr>
                <w:webHidden/>
              </w:rPr>
              <w:fldChar w:fldCharType="begin"/>
            </w:r>
            <w:r w:rsidR="00DF65F3">
              <w:rPr>
                <w:webHidden/>
              </w:rPr>
              <w:instrText xml:space="preserve"> PAGEREF _Toc12532916 \h </w:instrText>
            </w:r>
            <w:r w:rsidR="00DF65F3">
              <w:rPr>
                <w:webHidden/>
              </w:rPr>
            </w:r>
            <w:r w:rsidR="00DF65F3">
              <w:rPr>
                <w:webHidden/>
              </w:rPr>
              <w:fldChar w:fldCharType="separate"/>
            </w:r>
            <w:r w:rsidR="00F755B7">
              <w:rPr>
                <w:webHidden/>
              </w:rPr>
              <w:t>297</w:t>
            </w:r>
            <w:r w:rsidR="00DF65F3">
              <w:rPr>
                <w:webHidden/>
              </w:rPr>
              <w:fldChar w:fldCharType="end"/>
            </w:r>
          </w:hyperlink>
        </w:p>
        <w:p w14:paraId="3284607A" w14:textId="4A49EDDE" w:rsidR="00DF65F3" w:rsidRDefault="00870777">
          <w:pPr>
            <w:pStyle w:val="Spistreci4"/>
            <w:rPr>
              <w:sz w:val="22"/>
              <w:lang w:val="en-GB" w:eastAsia="en-GB"/>
            </w:rPr>
          </w:pPr>
          <w:hyperlink w:anchor="_Toc12532917" w:history="1">
            <w:r w:rsidR="00DF65F3" w:rsidRPr="004815D6">
              <w:rPr>
                <w:rStyle w:val="Hipercze"/>
              </w:rPr>
              <w:t>CS ADR-DSN.B.025     Dane, którymi należy się posługiwać</w:t>
            </w:r>
            <w:r w:rsidR="00DF65F3">
              <w:rPr>
                <w:webHidden/>
              </w:rPr>
              <w:tab/>
            </w:r>
            <w:r w:rsidR="00DF65F3">
              <w:rPr>
                <w:webHidden/>
              </w:rPr>
              <w:fldChar w:fldCharType="begin"/>
            </w:r>
            <w:r w:rsidR="00DF65F3">
              <w:rPr>
                <w:webHidden/>
              </w:rPr>
              <w:instrText xml:space="preserve"> PAGEREF _Toc12532917 \h </w:instrText>
            </w:r>
            <w:r w:rsidR="00DF65F3">
              <w:rPr>
                <w:webHidden/>
              </w:rPr>
            </w:r>
            <w:r w:rsidR="00DF65F3">
              <w:rPr>
                <w:webHidden/>
              </w:rPr>
              <w:fldChar w:fldCharType="separate"/>
            </w:r>
            <w:r w:rsidR="00F755B7">
              <w:rPr>
                <w:webHidden/>
              </w:rPr>
              <w:t>297</w:t>
            </w:r>
            <w:r w:rsidR="00DF65F3">
              <w:rPr>
                <w:webHidden/>
              </w:rPr>
              <w:fldChar w:fldCharType="end"/>
            </w:r>
          </w:hyperlink>
        </w:p>
        <w:p w14:paraId="1B75EEAE" w14:textId="0EEE015C" w:rsidR="00DF65F3" w:rsidRDefault="00870777">
          <w:pPr>
            <w:pStyle w:val="Spistreci6"/>
            <w:rPr>
              <w:sz w:val="22"/>
              <w:lang w:val="en-GB" w:eastAsia="en-GB"/>
            </w:rPr>
          </w:pPr>
          <w:hyperlink w:anchor="_Toc12532918" w:history="1">
            <w:r w:rsidR="00DF65F3" w:rsidRPr="004815D6">
              <w:rPr>
                <w:rStyle w:val="Hipercze"/>
              </w:rPr>
              <w:t>GM1 ADR-DSN.B.025     Dane, którymi należy się posługiwać</w:t>
            </w:r>
            <w:r w:rsidR="00DF65F3">
              <w:rPr>
                <w:webHidden/>
              </w:rPr>
              <w:tab/>
            </w:r>
            <w:r w:rsidR="00DF65F3">
              <w:rPr>
                <w:webHidden/>
              </w:rPr>
              <w:fldChar w:fldCharType="begin"/>
            </w:r>
            <w:r w:rsidR="00DF65F3">
              <w:rPr>
                <w:webHidden/>
              </w:rPr>
              <w:instrText xml:space="preserve"> PAGEREF _Toc12532918 \h </w:instrText>
            </w:r>
            <w:r w:rsidR="00DF65F3">
              <w:rPr>
                <w:webHidden/>
              </w:rPr>
            </w:r>
            <w:r w:rsidR="00DF65F3">
              <w:rPr>
                <w:webHidden/>
              </w:rPr>
              <w:fldChar w:fldCharType="separate"/>
            </w:r>
            <w:r w:rsidR="00F755B7">
              <w:rPr>
                <w:webHidden/>
              </w:rPr>
              <w:t>297</w:t>
            </w:r>
            <w:r w:rsidR="00DF65F3">
              <w:rPr>
                <w:webHidden/>
              </w:rPr>
              <w:fldChar w:fldCharType="end"/>
            </w:r>
          </w:hyperlink>
        </w:p>
        <w:p w14:paraId="16525232" w14:textId="13224397" w:rsidR="00DF65F3" w:rsidRDefault="00870777">
          <w:pPr>
            <w:pStyle w:val="Spistreci4"/>
            <w:rPr>
              <w:sz w:val="22"/>
              <w:lang w:val="en-GB" w:eastAsia="en-GB"/>
            </w:rPr>
          </w:pPr>
          <w:hyperlink w:anchor="_Toc12532919" w:history="1">
            <w:r w:rsidR="00DF65F3" w:rsidRPr="004815D6">
              <w:rPr>
                <w:rStyle w:val="Hipercze"/>
              </w:rPr>
              <w:t>CS ADR-DSN.B.030     Próg drogi startowej</w:t>
            </w:r>
            <w:r w:rsidR="00DF65F3">
              <w:rPr>
                <w:webHidden/>
              </w:rPr>
              <w:tab/>
            </w:r>
            <w:r w:rsidR="00DF65F3">
              <w:rPr>
                <w:webHidden/>
              </w:rPr>
              <w:fldChar w:fldCharType="begin"/>
            </w:r>
            <w:r w:rsidR="00DF65F3">
              <w:rPr>
                <w:webHidden/>
              </w:rPr>
              <w:instrText xml:space="preserve"> PAGEREF _Toc12532919 \h </w:instrText>
            </w:r>
            <w:r w:rsidR="00DF65F3">
              <w:rPr>
                <w:webHidden/>
              </w:rPr>
            </w:r>
            <w:r w:rsidR="00DF65F3">
              <w:rPr>
                <w:webHidden/>
              </w:rPr>
              <w:fldChar w:fldCharType="separate"/>
            </w:r>
            <w:r w:rsidR="00F755B7">
              <w:rPr>
                <w:webHidden/>
              </w:rPr>
              <w:t>297</w:t>
            </w:r>
            <w:r w:rsidR="00DF65F3">
              <w:rPr>
                <w:webHidden/>
              </w:rPr>
              <w:fldChar w:fldCharType="end"/>
            </w:r>
          </w:hyperlink>
        </w:p>
        <w:p w14:paraId="6F27F87E" w14:textId="02F5B6DE" w:rsidR="00DF65F3" w:rsidRDefault="00870777">
          <w:pPr>
            <w:pStyle w:val="Spistreci6"/>
            <w:rPr>
              <w:sz w:val="22"/>
              <w:lang w:val="en-GB" w:eastAsia="en-GB"/>
            </w:rPr>
          </w:pPr>
          <w:hyperlink w:anchor="_Toc12532920" w:history="1">
            <w:r w:rsidR="00DF65F3" w:rsidRPr="004815D6">
              <w:rPr>
                <w:rStyle w:val="Hipercze"/>
              </w:rPr>
              <w:t>GM1 ADR-DSN.B.030     Próg drogi startowej</w:t>
            </w:r>
            <w:r w:rsidR="00DF65F3">
              <w:rPr>
                <w:webHidden/>
              </w:rPr>
              <w:tab/>
            </w:r>
            <w:r w:rsidR="00DF65F3">
              <w:rPr>
                <w:webHidden/>
              </w:rPr>
              <w:fldChar w:fldCharType="begin"/>
            </w:r>
            <w:r w:rsidR="00DF65F3">
              <w:rPr>
                <w:webHidden/>
              </w:rPr>
              <w:instrText xml:space="preserve"> PAGEREF _Toc12532920 \h </w:instrText>
            </w:r>
            <w:r w:rsidR="00DF65F3">
              <w:rPr>
                <w:webHidden/>
              </w:rPr>
            </w:r>
            <w:r w:rsidR="00DF65F3">
              <w:rPr>
                <w:webHidden/>
              </w:rPr>
              <w:fldChar w:fldCharType="separate"/>
            </w:r>
            <w:r w:rsidR="00F755B7">
              <w:rPr>
                <w:webHidden/>
              </w:rPr>
              <w:t>298</w:t>
            </w:r>
            <w:r w:rsidR="00DF65F3">
              <w:rPr>
                <w:webHidden/>
              </w:rPr>
              <w:fldChar w:fldCharType="end"/>
            </w:r>
          </w:hyperlink>
        </w:p>
        <w:p w14:paraId="6B74D9AE" w14:textId="50466DAA" w:rsidR="00DF65F3" w:rsidRDefault="00870777">
          <w:pPr>
            <w:pStyle w:val="Spistreci4"/>
            <w:rPr>
              <w:sz w:val="22"/>
              <w:lang w:val="en-GB" w:eastAsia="en-GB"/>
            </w:rPr>
          </w:pPr>
          <w:hyperlink w:anchor="_Toc12532921" w:history="1">
            <w:r w:rsidR="00DF65F3" w:rsidRPr="004815D6">
              <w:rPr>
                <w:rStyle w:val="Hipercze"/>
              </w:rPr>
              <w:t>CS ADR-DSN.B.035     Długość drogi startowej i długości deklarowane</w:t>
            </w:r>
            <w:r w:rsidR="00DF65F3">
              <w:rPr>
                <w:webHidden/>
              </w:rPr>
              <w:tab/>
            </w:r>
            <w:r w:rsidR="00DF65F3">
              <w:rPr>
                <w:webHidden/>
              </w:rPr>
              <w:fldChar w:fldCharType="begin"/>
            </w:r>
            <w:r w:rsidR="00DF65F3">
              <w:rPr>
                <w:webHidden/>
              </w:rPr>
              <w:instrText xml:space="preserve"> PAGEREF _Toc12532921 \h </w:instrText>
            </w:r>
            <w:r w:rsidR="00DF65F3">
              <w:rPr>
                <w:webHidden/>
              </w:rPr>
            </w:r>
            <w:r w:rsidR="00DF65F3">
              <w:rPr>
                <w:webHidden/>
              </w:rPr>
              <w:fldChar w:fldCharType="separate"/>
            </w:r>
            <w:r w:rsidR="00F755B7">
              <w:rPr>
                <w:webHidden/>
              </w:rPr>
              <w:t>299</w:t>
            </w:r>
            <w:r w:rsidR="00DF65F3">
              <w:rPr>
                <w:webHidden/>
              </w:rPr>
              <w:fldChar w:fldCharType="end"/>
            </w:r>
          </w:hyperlink>
        </w:p>
        <w:p w14:paraId="7CCFD53A" w14:textId="003DA5BC" w:rsidR="00DF65F3" w:rsidRDefault="00870777">
          <w:pPr>
            <w:pStyle w:val="Spistreci6"/>
            <w:rPr>
              <w:sz w:val="22"/>
              <w:lang w:val="en-GB" w:eastAsia="en-GB"/>
            </w:rPr>
          </w:pPr>
          <w:hyperlink w:anchor="_Toc12532922" w:history="1">
            <w:r w:rsidR="00DF65F3" w:rsidRPr="004815D6">
              <w:rPr>
                <w:rStyle w:val="Hipercze"/>
              </w:rPr>
              <w:t>GM1 ADR-DSN.B.035     Długość drogi startowej oraz długości deklarowane</w:t>
            </w:r>
            <w:r w:rsidR="00DF65F3">
              <w:rPr>
                <w:webHidden/>
              </w:rPr>
              <w:tab/>
            </w:r>
            <w:r w:rsidR="00DF65F3">
              <w:rPr>
                <w:webHidden/>
              </w:rPr>
              <w:fldChar w:fldCharType="begin"/>
            </w:r>
            <w:r w:rsidR="00DF65F3">
              <w:rPr>
                <w:webHidden/>
              </w:rPr>
              <w:instrText xml:space="preserve"> PAGEREF _Toc12532922 \h </w:instrText>
            </w:r>
            <w:r w:rsidR="00DF65F3">
              <w:rPr>
                <w:webHidden/>
              </w:rPr>
            </w:r>
            <w:r w:rsidR="00DF65F3">
              <w:rPr>
                <w:webHidden/>
              </w:rPr>
              <w:fldChar w:fldCharType="separate"/>
            </w:r>
            <w:r w:rsidR="00F755B7">
              <w:rPr>
                <w:webHidden/>
              </w:rPr>
              <w:t>299</w:t>
            </w:r>
            <w:r w:rsidR="00DF65F3">
              <w:rPr>
                <w:webHidden/>
              </w:rPr>
              <w:fldChar w:fldCharType="end"/>
            </w:r>
          </w:hyperlink>
        </w:p>
        <w:p w14:paraId="4C341D5D" w14:textId="568C022A" w:rsidR="00DF65F3" w:rsidRDefault="00870777">
          <w:pPr>
            <w:pStyle w:val="Spistreci4"/>
            <w:rPr>
              <w:sz w:val="22"/>
              <w:lang w:val="en-GB" w:eastAsia="en-GB"/>
            </w:rPr>
          </w:pPr>
          <w:hyperlink w:anchor="_Toc12532923" w:history="1">
            <w:r w:rsidR="00DF65F3" w:rsidRPr="004815D6">
              <w:rPr>
                <w:rStyle w:val="Hipercze"/>
              </w:rPr>
              <w:t>CS ADR-DSN.B.040      Drogi startowe z zabezpieczeniem przerwanego startu lub zabezpieczeniem wydłużonego startu</w:t>
            </w:r>
            <w:r w:rsidR="00DF65F3">
              <w:rPr>
                <w:webHidden/>
              </w:rPr>
              <w:tab/>
            </w:r>
            <w:r w:rsidR="00DF65F3">
              <w:rPr>
                <w:webHidden/>
              </w:rPr>
              <w:fldChar w:fldCharType="begin"/>
            </w:r>
            <w:r w:rsidR="00DF65F3">
              <w:rPr>
                <w:webHidden/>
              </w:rPr>
              <w:instrText xml:space="preserve"> PAGEREF _Toc12532923 \h </w:instrText>
            </w:r>
            <w:r w:rsidR="00DF65F3">
              <w:rPr>
                <w:webHidden/>
              </w:rPr>
            </w:r>
            <w:r w:rsidR="00DF65F3">
              <w:rPr>
                <w:webHidden/>
              </w:rPr>
              <w:fldChar w:fldCharType="separate"/>
            </w:r>
            <w:r w:rsidR="00F755B7">
              <w:rPr>
                <w:webHidden/>
              </w:rPr>
              <w:t>301</w:t>
            </w:r>
            <w:r w:rsidR="00DF65F3">
              <w:rPr>
                <w:webHidden/>
              </w:rPr>
              <w:fldChar w:fldCharType="end"/>
            </w:r>
          </w:hyperlink>
        </w:p>
        <w:p w14:paraId="0657460A" w14:textId="1A771666" w:rsidR="00DF65F3" w:rsidRDefault="00870777">
          <w:pPr>
            <w:pStyle w:val="Spistreci6"/>
            <w:rPr>
              <w:sz w:val="22"/>
              <w:lang w:val="en-GB" w:eastAsia="en-GB"/>
            </w:rPr>
          </w:pPr>
          <w:hyperlink w:anchor="_Toc12532924" w:history="1">
            <w:r w:rsidR="00DF65F3" w:rsidRPr="004815D6">
              <w:rPr>
                <w:rStyle w:val="Hipercze"/>
              </w:rPr>
              <w:t>GM1 ADR-DSN.B.040     Drogi startowe z zabezpieczeniem przerwanego startu lub      zabezpieczeniem wydłużonego startu</w:t>
            </w:r>
            <w:r w:rsidR="00DF65F3">
              <w:rPr>
                <w:webHidden/>
              </w:rPr>
              <w:tab/>
            </w:r>
            <w:r w:rsidR="00DF65F3">
              <w:rPr>
                <w:webHidden/>
              </w:rPr>
              <w:fldChar w:fldCharType="begin"/>
            </w:r>
            <w:r w:rsidR="00DF65F3">
              <w:rPr>
                <w:webHidden/>
              </w:rPr>
              <w:instrText xml:space="preserve"> PAGEREF _Toc12532924 \h </w:instrText>
            </w:r>
            <w:r w:rsidR="00DF65F3">
              <w:rPr>
                <w:webHidden/>
              </w:rPr>
            </w:r>
            <w:r w:rsidR="00DF65F3">
              <w:rPr>
                <w:webHidden/>
              </w:rPr>
              <w:fldChar w:fldCharType="separate"/>
            </w:r>
            <w:r w:rsidR="00F755B7">
              <w:rPr>
                <w:webHidden/>
              </w:rPr>
              <w:t>301</w:t>
            </w:r>
            <w:r w:rsidR="00DF65F3">
              <w:rPr>
                <w:webHidden/>
              </w:rPr>
              <w:fldChar w:fldCharType="end"/>
            </w:r>
          </w:hyperlink>
        </w:p>
        <w:p w14:paraId="5D26AB86" w14:textId="3BEA3D1E" w:rsidR="00DF65F3" w:rsidRDefault="00870777">
          <w:pPr>
            <w:pStyle w:val="Spistreci4"/>
            <w:rPr>
              <w:sz w:val="22"/>
              <w:lang w:val="en-GB" w:eastAsia="en-GB"/>
            </w:rPr>
          </w:pPr>
          <w:hyperlink w:anchor="_Toc12532925" w:history="1">
            <w:r w:rsidR="00DF65F3" w:rsidRPr="004815D6">
              <w:rPr>
                <w:rStyle w:val="Hipercze"/>
              </w:rPr>
              <w:t>CS ADR-DSN.B.045     Szerokość dróg startowych</w:t>
            </w:r>
            <w:r w:rsidR="00DF65F3">
              <w:rPr>
                <w:webHidden/>
              </w:rPr>
              <w:tab/>
            </w:r>
            <w:r w:rsidR="00DF65F3">
              <w:rPr>
                <w:webHidden/>
              </w:rPr>
              <w:fldChar w:fldCharType="begin"/>
            </w:r>
            <w:r w:rsidR="00DF65F3">
              <w:rPr>
                <w:webHidden/>
              </w:rPr>
              <w:instrText xml:space="preserve"> PAGEREF _Toc12532925 \h </w:instrText>
            </w:r>
            <w:r w:rsidR="00DF65F3">
              <w:rPr>
                <w:webHidden/>
              </w:rPr>
            </w:r>
            <w:r w:rsidR="00DF65F3">
              <w:rPr>
                <w:webHidden/>
              </w:rPr>
              <w:fldChar w:fldCharType="separate"/>
            </w:r>
            <w:r w:rsidR="00F755B7">
              <w:rPr>
                <w:webHidden/>
              </w:rPr>
              <w:t>301</w:t>
            </w:r>
            <w:r w:rsidR="00DF65F3">
              <w:rPr>
                <w:webHidden/>
              </w:rPr>
              <w:fldChar w:fldCharType="end"/>
            </w:r>
          </w:hyperlink>
        </w:p>
        <w:p w14:paraId="2F8F0EDE" w14:textId="7F4B2EE8" w:rsidR="00DF65F3" w:rsidRDefault="00870777">
          <w:pPr>
            <w:pStyle w:val="Spistreci6"/>
            <w:rPr>
              <w:sz w:val="22"/>
              <w:lang w:val="en-GB" w:eastAsia="en-GB"/>
            </w:rPr>
          </w:pPr>
          <w:hyperlink w:anchor="_Toc12532926" w:history="1">
            <w:r w:rsidR="00DF65F3" w:rsidRPr="004815D6">
              <w:rPr>
                <w:rStyle w:val="Hipercze"/>
              </w:rPr>
              <w:t>GM1 ADR-DSN.B.045     Szerokość dróg startowych</w:t>
            </w:r>
            <w:r w:rsidR="00DF65F3">
              <w:rPr>
                <w:webHidden/>
              </w:rPr>
              <w:tab/>
            </w:r>
            <w:r w:rsidR="00DF65F3">
              <w:rPr>
                <w:webHidden/>
              </w:rPr>
              <w:fldChar w:fldCharType="begin"/>
            </w:r>
            <w:r w:rsidR="00DF65F3">
              <w:rPr>
                <w:webHidden/>
              </w:rPr>
              <w:instrText xml:space="preserve"> PAGEREF _Toc12532926 \h </w:instrText>
            </w:r>
            <w:r w:rsidR="00DF65F3">
              <w:rPr>
                <w:webHidden/>
              </w:rPr>
            </w:r>
            <w:r w:rsidR="00DF65F3">
              <w:rPr>
                <w:webHidden/>
              </w:rPr>
              <w:fldChar w:fldCharType="separate"/>
            </w:r>
            <w:r w:rsidR="00F755B7">
              <w:rPr>
                <w:webHidden/>
              </w:rPr>
              <w:t>302</w:t>
            </w:r>
            <w:r w:rsidR="00DF65F3">
              <w:rPr>
                <w:webHidden/>
              </w:rPr>
              <w:fldChar w:fldCharType="end"/>
            </w:r>
          </w:hyperlink>
        </w:p>
        <w:p w14:paraId="1E3A36AA" w14:textId="59188700" w:rsidR="00DF65F3" w:rsidRDefault="00870777">
          <w:pPr>
            <w:pStyle w:val="Spistreci4"/>
            <w:rPr>
              <w:sz w:val="22"/>
              <w:lang w:val="en-GB" w:eastAsia="en-GB"/>
            </w:rPr>
          </w:pPr>
          <w:hyperlink w:anchor="_Toc12532927" w:history="1">
            <w:r w:rsidR="00DF65F3" w:rsidRPr="004815D6">
              <w:rPr>
                <w:rStyle w:val="Hipercze"/>
              </w:rPr>
              <w:t>CS ADR-DSN.B.050      Minimalna odległość pomiędzy równoległymi nieprzyrządowymi drogami startowymi</w:t>
            </w:r>
            <w:r w:rsidR="00DF65F3">
              <w:rPr>
                <w:webHidden/>
              </w:rPr>
              <w:tab/>
            </w:r>
            <w:r w:rsidR="00DF65F3">
              <w:rPr>
                <w:webHidden/>
              </w:rPr>
              <w:fldChar w:fldCharType="begin"/>
            </w:r>
            <w:r w:rsidR="00DF65F3">
              <w:rPr>
                <w:webHidden/>
              </w:rPr>
              <w:instrText xml:space="preserve"> PAGEREF _Toc12532927 \h </w:instrText>
            </w:r>
            <w:r w:rsidR="00DF65F3">
              <w:rPr>
                <w:webHidden/>
              </w:rPr>
            </w:r>
            <w:r w:rsidR="00DF65F3">
              <w:rPr>
                <w:webHidden/>
              </w:rPr>
              <w:fldChar w:fldCharType="separate"/>
            </w:r>
            <w:r w:rsidR="00F755B7">
              <w:rPr>
                <w:webHidden/>
              </w:rPr>
              <w:t>302</w:t>
            </w:r>
            <w:r w:rsidR="00DF65F3">
              <w:rPr>
                <w:webHidden/>
              </w:rPr>
              <w:fldChar w:fldCharType="end"/>
            </w:r>
          </w:hyperlink>
        </w:p>
        <w:p w14:paraId="3A4FCD55" w14:textId="218A82CE" w:rsidR="00DF65F3" w:rsidRDefault="00870777">
          <w:pPr>
            <w:pStyle w:val="Spistreci6"/>
            <w:rPr>
              <w:sz w:val="22"/>
              <w:lang w:val="en-GB" w:eastAsia="en-GB"/>
            </w:rPr>
          </w:pPr>
          <w:hyperlink w:anchor="_Toc12532928" w:history="1">
            <w:r w:rsidR="00DF65F3" w:rsidRPr="004815D6">
              <w:rPr>
                <w:rStyle w:val="Hipercze"/>
              </w:rPr>
              <w:t>GM1 ADR-DSN.B.050     Minimalna odległość pomiędzy równoległymi nieprzyrządowymi drogami startowymi</w:t>
            </w:r>
            <w:r w:rsidR="00DF65F3">
              <w:rPr>
                <w:webHidden/>
              </w:rPr>
              <w:tab/>
            </w:r>
            <w:r w:rsidR="00DF65F3">
              <w:rPr>
                <w:webHidden/>
              </w:rPr>
              <w:fldChar w:fldCharType="begin"/>
            </w:r>
            <w:r w:rsidR="00DF65F3">
              <w:rPr>
                <w:webHidden/>
              </w:rPr>
              <w:instrText xml:space="preserve"> PAGEREF _Toc12532928 \h </w:instrText>
            </w:r>
            <w:r w:rsidR="00DF65F3">
              <w:rPr>
                <w:webHidden/>
              </w:rPr>
            </w:r>
            <w:r w:rsidR="00DF65F3">
              <w:rPr>
                <w:webHidden/>
              </w:rPr>
              <w:fldChar w:fldCharType="separate"/>
            </w:r>
            <w:r w:rsidR="00F755B7">
              <w:rPr>
                <w:webHidden/>
              </w:rPr>
              <w:t>302</w:t>
            </w:r>
            <w:r w:rsidR="00DF65F3">
              <w:rPr>
                <w:webHidden/>
              </w:rPr>
              <w:fldChar w:fldCharType="end"/>
            </w:r>
          </w:hyperlink>
        </w:p>
        <w:p w14:paraId="22850ADA" w14:textId="0C0A346C" w:rsidR="00DF65F3" w:rsidRDefault="00870777">
          <w:pPr>
            <w:pStyle w:val="Spistreci4"/>
            <w:rPr>
              <w:sz w:val="22"/>
              <w:lang w:val="en-GB" w:eastAsia="en-GB"/>
            </w:rPr>
          </w:pPr>
          <w:hyperlink w:anchor="_Toc12532929" w:history="1">
            <w:r w:rsidR="00DF65F3" w:rsidRPr="004815D6">
              <w:rPr>
                <w:rStyle w:val="Hipercze"/>
              </w:rPr>
              <w:t>CS ADR-DSN.B.055      Minimalna odległość pomiędzy równoległymi przyrządowymi drogami startowymi</w:t>
            </w:r>
            <w:r w:rsidR="00DF65F3">
              <w:rPr>
                <w:webHidden/>
              </w:rPr>
              <w:tab/>
            </w:r>
            <w:r w:rsidR="00DF65F3">
              <w:rPr>
                <w:webHidden/>
              </w:rPr>
              <w:fldChar w:fldCharType="begin"/>
            </w:r>
            <w:r w:rsidR="00DF65F3">
              <w:rPr>
                <w:webHidden/>
              </w:rPr>
              <w:instrText xml:space="preserve"> PAGEREF _Toc12532929 \h </w:instrText>
            </w:r>
            <w:r w:rsidR="00DF65F3">
              <w:rPr>
                <w:webHidden/>
              </w:rPr>
            </w:r>
            <w:r w:rsidR="00DF65F3">
              <w:rPr>
                <w:webHidden/>
              </w:rPr>
              <w:fldChar w:fldCharType="separate"/>
            </w:r>
            <w:r w:rsidR="00F755B7">
              <w:rPr>
                <w:webHidden/>
              </w:rPr>
              <w:t>302</w:t>
            </w:r>
            <w:r w:rsidR="00DF65F3">
              <w:rPr>
                <w:webHidden/>
              </w:rPr>
              <w:fldChar w:fldCharType="end"/>
            </w:r>
          </w:hyperlink>
        </w:p>
        <w:p w14:paraId="64FDFFEB" w14:textId="05DB4E54" w:rsidR="00DF65F3" w:rsidRDefault="00870777">
          <w:pPr>
            <w:pStyle w:val="Spistreci6"/>
            <w:rPr>
              <w:sz w:val="22"/>
              <w:lang w:val="en-GB" w:eastAsia="en-GB"/>
            </w:rPr>
          </w:pPr>
          <w:hyperlink w:anchor="_Toc12532930" w:history="1">
            <w:r w:rsidR="00DF65F3" w:rsidRPr="004815D6">
              <w:rPr>
                <w:rStyle w:val="Hipercze"/>
              </w:rPr>
              <w:t>GM1 ADR-DSN.B.055     Minimalna odległość pomiędzy równoległymi przyrządowymi drogami startowymi</w:t>
            </w:r>
            <w:r w:rsidR="00DF65F3">
              <w:rPr>
                <w:webHidden/>
              </w:rPr>
              <w:tab/>
            </w:r>
            <w:r w:rsidR="00DF65F3">
              <w:rPr>
                <w:webHidden/>
              </w:rPr>
              <w:fldChar w:fldCharType="begin"/>
            </w:r>
            <w:r w:rsidR="00DF65F3">
              <w:rPr>
                <w:webHidden/>
              </w:rPr>
              <w:instrText xml:space="preserve"> PAGEREF _Toc12532930 \h </w:instrText>
            </w:r>
            <w:r w:rsidR="00DF65F3">
              <w:rPr>
                <w:webHidden/>
              </w:rPr>
            </w:r>
            <w:r w:rsidR="00DF65F3">
              <w:rPr>
                <w:webHidden/>
              </w:rPr>
              <w:fldChar w:fldCharType="separate"/>
            </w:r>
            <w:r w:rsidR="00F755B7">
              <w:rPr>
                <w:webHidden/>
              </w:rPr>
              <w:t>303</w:t>
            </w:r>
            <w:r w:rsidR="00DF65F3">
              <w:rPr>
                <w:webHidden/>
              </w:rPr>
              <w:fldChar w:fldCharType="end"/>
            </w:r>
          </w:hyperlink>
        </w:p>
        <w:p w14:paraId="7F4FD972" w14:textId="68719FC5" w:rsidR="00DF65F3" w:rsidRDefault="00870777">
          <w:pPr>
            <w:pStyle w:val="Spistreci4"/>
            <w:rPr>
              <w:sz w:val="22"/>
              <w:lang w:val="en-GB" w:eastAsia="en-GB"/>
            </w:rPr>
          </w:pPr>
          <w:hyperlink w:anchor="_Toc12532931" w:history="1">
            <w:r w:rsidR="00DF65F3" w:rsidRPr="004815D6">
              <w:rPr>
                <w:rStyle w:val="Hipercze"/>
              </w:rPr>
              <w:t>CS ADR-DSN.B.060     Nachylenia podłużne drogi startowej</w:t>
            </w:r>
            <w:r w:rsidR="00DF65F3">
              <w:rPr>
                <w:webHidden/>
              </w:rPr>
              <w:tab/>
            </w:r>
            <w:r w:rsidR="00DF65F3">
              <w:rPr>
                <w:webHidden/>
              </w:rPr>
              <w:fldChar w:fldCharType="begin"/>
            </w:r>
            <w:r w:rsidR="00DF65F3">
              <w:rPr>
                <w:webHidden/>
              </w:rPr>
              <w:instrText xml:space="preserve"> PAGEREF _Toc12532931 \h </w:instrText>
            </w:r>
            <w:r w:rsidR="00DF65F3">
              <w:rPr>
                <w:webHidden/>
              </w:rPr>
            </w:r>
            <w:r w:rsidR="00DF65F3">
              <w:rPr>
                <w:webHidden/>
              </w:rPr>
              <w:fldChar w:fldCharType="separate"/>
            </w:r>
            <w:r w:rsidR="00F755B7">
              <w:rPr>
                <w:webHidden/>
              </w:rPr>
              <w:t>303</w:t>
            </w:r>
            <w:r w:rsidR="00DF65F3">
              <w:rPr>
                <w:webHidden/>
              </w:rPr>
              <w:fldChar w:fldCharType="end"/>
            </w:r>
          </w:hyperlink>
        </w:p>
        <w:p w14:paraId="3555ED04" w14:textId="4C2D53AC" w:rsidR="00DF65F3" w:rsidRDefault="00870777">
          <w:pPr>
            <w:pStyle w:val="Spistreci6"/>
            <w:rPr>
              <w:sz w:val="22"/>
              <w:lang w:val="en-GB" w:eastAsia="en-GB"/>
            </w:rPr>
          </w:pPr>
          <w:hyperlink w:anchor="_Toc12532932" w:history="1">
            <w:r w:rsidR="00DF65F3" w:rsidRPr="004815D6">
              <w:rPr>
                <w:rStyle w:val="Hipercze"/>
              </w:rPr>
              <w:t>GM1 ADR-DSN.B.060     Nachylenia podłużne drogi startowej</w:t>
            </w:r>
            <w:r w:rsidR="00DF65F3">
              <w:rPr>
                <w:webHidden/>
              </w:rPr>
              <w:tab/>
            </w:r>
            <w:r w:rsidR="00DF65F3">
              <w:rPr>
                <w:webHidden/>
              </w:rPr>
              <w:fldChar w:fldCharType="begin"/>
            </w:r>
            <w:r w:rsidR="00DF65F3">
              <w:rPr>
                <w:webHidden/>
              </w:rPr>
              <w:instrText xml:space="preserve"> PAGEREF _Toc12532932 \h </w:instrText>
            </w:r>
            <w:r w:rsidR="00DF65F3">
              <w:rPr>
                <w:webHidden/>
              </w:rPr>
            </w:r>
            <w:r w:rsidR="00DF65F3">
              <w:rPr>
                <w:webHidden/>
              </w:rPr>
              <w:fldChar w:fldCharType="separate"/>
            </w:r>
            <w:r w:rsidR="00F755B7">
              <w:rPr>
                <w:webHidden/>
              </w:rPr>
              <w:t>304</w:t>
            </w:r>
            <w:r w:rsidR="00DF65F3">
              <w:rPr>
                <w:webHidden/>
              </w:rPr>
              <w:fldChar w:fldCharType="end"/>
            </w:r>
          </w:hyperlink>
        </w:p>
        <w:p w14:paraId="3C727D02" w14:textId="66850F69" w:rsidR="00DF65F3" w:rsidRDefault="00870777">
          <w:pPr>
            <w:pStyle w:val="Spistreci4"/>
            <w:rPr>
              <w:sz w:val="22"/>
              <w:lang w:val="en-GB" w:eastAsia="en-GB"/>
            </w:rPr>
          </w:pPr>
          <w:hyperlink w:anchor="_Toc12532933" w:history="1">
            <w:r w:rsidR="00DF65F3" w:rsidRPr="004815D6">
              <w:rPr>
                <w:rStyle w:val="Hipercze"/>
              </w:rPr>
              <w:t>CS ADR-DSN.B.065     Zmiany nachylenia podłużnego drogi startowej</w:t>
            </w:r>
            <w:r w:rsidR="00DF65F3">
              <w:rPr>
                <w:webHidden/>
              </w:rPr>
              <w:tab/>
            </w:r>
            <w:r w:rsidR="00DF65F3">
              <w:rPr>
                <w:webHidden/>
              </w:rPr>
              <w:fldChar w:fldCharType="begin"/>
            </w:r>
            <w:r w:rsidR="00DF65F3">
              <w:rPr>
                <w:webHidden/>
              </w:rPr>
              <w:instrText xml:space="preserve"> PAGEREF _Toc12532933 \h </w:instrText>
            </w:r>
            <w:r w:rsidR="00DF65F3">
              <w:rPr>
                <w:webHidden/>
              </w:rPr>
            </w:r>
            <w:r w:rsidR="00DF65F3">
              <w:rPr>
                <w:webHidden/>
              </w:rPr>
              <w:fldChar w:fldCharType="separate"/>
            </w:r>
            <w:r w:rsidR="00F755B7">
              <w:rPr>
                <w:webHidden/>
              </w:rPr>
              <w:t>304</w:t>
            </w:r>
            <w:r w:rsidR="00DF65F3">
              <w:rPr>
                <w:webHidden/>
              </w:rPr>
              <w:fldChar w:fldCharType="end"/>
            </w:r>
          </w:hyperlink>
        </w:p>
        <w:p w14:paraId="0F32854E" w14:textId="1F07CB2C" w:rsidR="00DF65F3" w:rsidRDefault="00870777">
          <w:pPr>
            <w:pStyle w:val="Spistreci6"/>
            <w:rPr>
              <w:sz w:val="22"/>
              <w:lang w:val="en-GB" w:eastAsia="en-GB"/>
            </w:rPr>
          </w:pPr>
          <w:hyperlink w:anchor="_Toc12532934" w:history="1">
            <w:r w:rsidR="00DF65F3" w:rsidRPr="004815D6">
              <w:rPr>
                <w:rStyle w:val="Hipercze"/>
              </w:rPr>
              <w:t>GM1 ADR-DSN.B.065     Zmiany nachylenia podłużnego drogi startowej</w:t>
            </w:r>
            <w:r w:rsidR="00DF65F3">
              <w:rPr>
                <w:webHidden/>
              </w:rPr>
              <w:tab/>
            </w:r>
            <w:r w:rsidR="00DF65F3">
              <w:rPr>
                <w:webHidden/>
              </w:rPr>
              <w:fldChar w:fldCharType="begin"/>
            </w:r>
            <w:r w:rsidR="00DF65F3">
              <w:rPr>
                <w:webHidden/>
              </w:rPr>
              <w:instrText xml:space="preserve"> PAGEREF _Toc12532934 \h </w:instrText>
            </w:r>
            <w:r w:rsidR="00DF65F3">
              <w:rPr>
                <w:webHidden/>
              </w:rPr>
            </w:r>
            <w:r w:rsidR="00DF65F3">
              <w:rPr>
                <w:webHidden/>
              </w:rPr>
              <w:fldChar w:fldCharType="separate"/>
            </w:r>
            <w:r w:rsidR="00F755B7">
              <w:rPr>
                <w:webHidden/>
              </w:rPr>
              <w:t>304</w:t>
            </w:r>
            <w:r w:rsidR="00DF65F3">
              <w:rPr>
                <w:webHidden/>
              </w:rPr>
              <w:fldChar w:fldCharType="end"/>
            </w:r>
          </w:hyperlink>
        </w:p>
        <w:p w14:paraId="2030B111" w14:textId="62963326" w:rsidR="00DF65F3" w:rsidRDefault="00870777">
          <w:pPr>
            <w:pStyle w:val="Spistreci4"/>
            <w:rPr>
              <w:sz w:val="22"/>
              <w:lang w:val="en-GB" w:eastAsia="en-GB"/>
            </w:rPr>
          </w:pPr>
          <w:hyperlink w:anchor="_Toc12532935" w:history="1">
            <w:r w:rsidR="00DF65F3" w:rsidRPr="004815D6">
              <w:rPr>
                <w:rStyle w:val="Hipercze"/>
              </w:rPr>
              <w:t>CS ADR-DSN.B.070     Zasięg widoczności dla nachyleń drogi startowej</w:t>
            </w:r>
            <w:r w:rsidR="00DF65F3">
              <w:rPr>
                <w:webHidden/>
              </w:rPr>
              <w:tab/>
            </w:r>
            <w:r w:rsidR="00DF65F3">
              <w:rPr>
                <w:webHidden/>
              </w:rPr>
              <w:fldChar w:fldCharType="begin"/>
            </w:r>
            <w:r w:rsidR="00DF65F3">
              <w:rPr>
                <w:webHidden/>
              </w:rPr>
              <w:instrText xml:space="preserve"> PAGEREF _Toc12532935 \h </w:instrText>
            </w:r>
            <w:r w:rsidR="00DF65F3">
              <w:rPr>
                <w:webHidden/>
              </w:rPr>
            </w:r>
            <w:r w:rsidR="00DF65F3">
              <w:rPr>
                <w:webHidden/>
              </w:rPr>
              <w:fldChar w:fldCharType="separate"/>
            </w:r>
            <w:r w:rsidR="00F755B7">
              <w:rPr>
                <w:webHidden/>
              </w:rPr>
              <w:t>304</w:t>
            </w:r>
            <w:r w:rsidR="00DF65F3">
              <w:rPr>
                <w:webHidden/>
              </w:rPr>
              <w:fldChar w:fldCharType="end"/>
            </w:r>
          </w:hyperlink>
        </w:p>
        <w:p w14:paraId="0705A7B4" w14:textId="0B46E80A" w:rsidR="00DF65F3" w:rsidRDefault="00870777">
          <w:pPr>
            <w:pStyle w:val="Spistreci6"/>
            <w:rPr>
              <w:sz w:val="22"/>
              <w:lang w:val="en-GB" w:eastAsia="en-GB"/>
            </w:rPr>
          </w:pPr>
          <w:hyperlink w:anchor="_Toc12532936" w:history="1">
            <w:r w:rsidR="00DF65F3" w:rsidRPr="004815D6">
              <w:rPr>
                <w:rStyle w:val="Hipercze"/>
              </w:rPr>
              <w:t>GM1 ADR-DSN.B.070     Zasięg widoczności dla nachyleń drogi startowej</w:t>
            </w:r>
            <w:r w:rsidR="00DF65F3">
              <w:rPr>
                <w:webHidden/>
              </w:rPr>
              <w:tab/>
            </w:r>
            <w:r w:rsidR="00DF65F3">
              <w:rPr>
                <w:webHidden/>
              </w:rPr>
              <w:fldChar w:fldCharType="begin"/>
            </w:r>
            <w:r w:rsidR="00DF65F3">
              <w:rPr>
                <w:webHidden/>
              </w:rPr>
              <w:instrText xml:space="preserve"> PAGEREF _Toc12532936 \h </w:instrText>
            </w:r>
            <w:r w:rsidR="00DF65F3">
              <w:rPr>
                <w:webHidden/>
              </w:rPr>
            </w:r>
            <w:r w:rsidR="00DF65F3">
              <w:rPr>
                <w:webHidden/>
              </w:rPr>
              <w:fldChar w:fldCharType="separate"/>
            </w:r>
            <w:r w:rsidR="00F755B7">
              <w:rPr>
                <w:webHidden/>
              </w:rPr>
              <w:t>305</w:t>
            </w:r>
            <w:r w:rsidR="00DF65F3">
              <w:rPr>
                <w:webHidden/>
              </w:rPr>
              <w:fldChar w:fldCharType="end"/>
            </w:r>
          </w:hyperlink>
        </w:p>
        <w:p w14:paraId="7EFF65A6" w14:textId="5513661D" w:rsidR="00DF65F3" w:rsidRDefault="00870777">
          <w:pPr>
            <w:pStyle w:val="Spistreci4"/>
            <w:rPr>
              <w:sz w:val="22"/>
              <w:lang w:val="en-GB" w:eastAsia="en-GB"/>
            </w:rPr>
          </w:pPr>
          <w:hyperlink w:anchor="_Toc12532937" w:history="1">
            <w:r w:rsidR="00DF65F3" w:rsidRPr="004815D6">
              <w:rPr>
                <w:rStyle w:val="Hipercze"/>
              </w:rPr>
              <w:t>CS ADR-DSN.B.075      Odległość pomiędzy zmianami nachylenia na drodze startowej</w:t>
            </w:r>
            <w:r w:rsidR="00DF65F3">
              <w:rPr>
                <w:webHidden/>
              </w:rPr>
              <w:tab/>
            </w:r>
            <w:r w:rsidR="00DF65F3">
              <w:rPr>
                <w:webHidden/>
              </w:rPr>
              <w:fldChar w:fldCharType="begin"/>
            </w:r>
            <w:r w:rsidR="00DF65F3">
              <w:rPr>
                <w:webHidden/>
              </w:rPr>
              <w:instrText xml:space="preserve"> PAGEREF _Toc12532937 \h </w:instrText>
            </w:r>
            <w:r w:rsidR="00DF65F3">
              <w:rPr>
                <w:webHidden/>
              </w:rPr>
            </w:r>
            <w:r w:rsidR="00DF65F3">
              <w:rPr>
                <w:webHidden/>
              </w:rPr>
              <w:fldChar w:fldCharType="separate"/>
            </w:r>
            <w:r w:rsidR="00F755B7">
              <w:rPr>
                <w:webHidden/>
              </w:rPr>
              <w:t>305</w:t>
            </w:r>
            <w:r w:rsidR="00DF65F3">
              <w:rPr>
                <w:webHidden/>
              </w:rPr>
              <w:fldChar w:fldCharType="end"/>
            </w:r>
          </w:hyperlink>
        </w:p>
        <w:p w14:paraId="26EB9987" w14:textId="3646D4F0" w:rsidR="00DF65F3" w:rsidRDefault="00870777">
          <w:pPr>
            <w:pStyle w:val="Spistreci6"/>
            <w:rPr>
              <w:sz w:val="22"/>
              <w:lang w:val="en-GB" w:eastAsia="en-GB"/>
            </w:rPr>
          </w:pPr>
          <w:hyperlink w:anchor="_Toc12532938" w:history="1">
            <w:r w:rsidR="00DF65F3" w:rsidRPr="004815D6">
              <w:rPr>
                <w:rStyle w:val="Hipercze"/>
              </w:rPr>
              <w:t>GM1 ADR-DSN.B.075     Odległość pomiędzy zmianami nachylenia na drodze startowej</w:t>
            </w:r>
            <w:r w:rsidR="00DF65F3">
              <w:rPr>
                <w:webHidden/>
              </w:rPr>
              <w:tab/>
            </w:r>
            <w:r w:rsidR="00DF65F3">
              <w:rPr>
                <w:webHidden/>
              </w:rPr>
              <w:fldChar w:fldCharType="begin"/>
            </w:r>
            <w:r w:rsidR="00DF65F3">
              <w:rPr>
                <w:webHidden/>
              </w:rPr>
              <w:instrText xml:space="preserve"> PAGEREF _Toc12532938 \h </w:instrText>
            </w:r>
            <w:r w:rsidR="00DF65F3">
              <w:rPr>
                <w:webHidden/>
              </w:rPr>
            </w:r>
            <w:r w:rsidR="00DF65F3">
              <w:rPr>
                <w:webHidden/>
              </w:rPr>
              <w:fldChar w:fldCharType="separate"/>
            </w:r>
            <w:r w:rsidR="00F755B7">
              <w:rPr>
                <w:webHidden/>
              </w:rPr>
              <w:t>305</w:t>
            </w:r>
            <w:r w:rsidR="00DF65F3">
              <w:rPr>
                <w:webHidden/>
              </w:rPr>
              <w:fldChar w:fldCharType="end"/>
            </w:r>
          </w:hyperlink>
        </w:p>
        <w:p w14:paraId="376D8C36" w14:textId="4AF98CDE" w:rsidR="00DF65F3" w:rsidRDefault="00870777">
          <w:pPr>
            <w:pStyle w:val="Spistreci4"/>
            <w:rPr>
              <w:sz w:val="22"/>
              <w:lang w:val="en-GB" w:eastAsia="en-GB"/>
            </w:rPr>
          </w:pPr>
          <w:hyperlink w:anchor="_Toc12532939" w:history="1">
            <w:r w:rsidR="00DF65F3" w:rsidRPr="004815D6">
              <w:rPr>
                <w:rStyle w:val="Hipercze"/>
              </w:rPr>
              <w:t>CS ADR-DSN.B.080     Nachylenia poprzeczne drogi startowej</w:t>
            </w:r>
            <w:r w:rsidR="00DF65F3">
              <w:rPr>
                <w:webHidden/>
              </w:rPr>
              <w:tab/>
            </w:r>
            <w:r w:rsidR="00DF65F3">
              <w:rPr>
                <w:webHidden/>
              </w:rPr>
              <w:fldChar w:fldCharType="begin"/>
            </w:r>
            <w:r w:rsidR="00DF65F3">
              <w:rPr>
                <w:webHidden/>
              </w:rPr>
              <w:instrText xml:space="preserve"> PAGEREF _Toc12532939 \h </w:instrText>
            </w:r>
            <w:r w:rsidR="00DF65F3">
              <w:rPr>
                <w:webHidden/>
              </w:rPr>
            </w:r>
            <w:r w:rsidR="00DF65F3">
              <w:rPr>
                <w:webHidden/>
              </w:rPr>
              <w:fldChar w:fldCharType="separate"/>
            </w:r>
            <w:r w:rsidR="00F755B7">
              <w:rPr>
                <w:webHidden/>
              </w:rPr>
              <w:t>306</w:t>
            </w:r>
            <w:r w:rsidR="00DF65F3">
              <w:rPr>
                <w:webHidden/>
              </w:rPr>
              <w:fldChar w:fldCharType="end"/>
            </w:r>
          </w:hyperlink>
        </w:p>
        <w:p w14:paraId="00A8C7FE" w14:textId="61184529" w:rsidR="00DF65F3" w:rsidRDefault="00870777">
          <w:pPr>
            <w:pStyle w:val="Spistreci6"/>
            <w:rPr>
              <w:sz w:val="22"/>
              <w:lang w:val="en-GB" w:eastAsia="en-GB"/>
            </w:rPr>
          </w:pPr>
          <w:hyperlink w:anchor="_Toc12532940" w:history="1">
            <w:r w:rsidR="00DF65F3" w:rsidRPr="004815D6">
              <w:rPr>
                <w:rStyle w:val="Hipercze"/>
              </w:rPr>
              <w:t>GM1 ADR-DSN.B.080     Nachylenia poprzeczne drogi startowej</w:t>
            </w:r>
            <w:r w:rsidR="00DF65F3">
              <w:rPr>
                <w:webHidden/>
              </w:rPr>
              <w:tab/>
            </w:r>
            <w:r w:rsidR="00DF65F3">
              <w:rPr>
                <w:webHidden/>
              </w:rPr>
              <w:fldChar w:fldCharType="begin"/>
            </w:r>
            <w:r w:rsidR="00DF65F3">
              <w:rPr>
                <w:webHidden/>
              </w:rPr>
              <w:instrText xml:space="preserve"> PAGEREF _Toc12532940 \h </w:instrText>
            </w:r>
            <w:r w:rsidR="00DF65F3">
              <w:rPr>
                <w:webHidden/>
              </w:rPr>
            </w:r>
            <w:r w:rsidR="00DF65F3">
              <w:rPr>
                <w:webHidden/>
              </w:rPr>
              <w:fldChar w:fldCharType="separate"/>
            </w:r>
            <w:r w:rsidR="00F755B7">
              <w:rPr>
                <w:webHidden/>
              </w:rPr>
              <w:t>306</w:t>
            </w:r>
            <w:r w:rsidR="00DF65F3">
              <w:rPr>
                <w:webHidden/>
              </w:rPr>
              <w:fldChar w:fldCharType="end"/>
            </w:r>
          </w:hyperlink>
        </w:p>
        <w:p w14:paraId="660CFC9D" w14:textId="64F90E82" w:rsidR="00DF65F3" w:rsidRDefault="00870777">
          <w:pPr>
            <w:pStyle w:val="Spistreci4"/>
            <w:rPr>
              <w:sz w:val="22"/>
              <w:lang w:val="en-GB" w:eastAsia="en-GB"/>
            </w:rPr>
          </w:pPr>
          <w:hyperlink w:anchor="_Toc12532941" w:history="1">
            <w:r w:rsidR="00DF65F3" w:rsidRPr="004815D6">
              <w:rPr>
                <w:rStyle w:val="Hipercze"/>
              </w:rPr>
              <w:t>CS ADR-DSN.B.085     Nośność drogi startowej</w:t>
            </w:r>
            <w:r w:rsidR="00DF65F3">
              <w:rPr>
                <w:webHidden/>
              </w:rPr>
              <w:tab/>
            </w:r>
            <w:r w:rsidR="00DF65F3">
              <w:rPr>
                <w:webHidden/>
              </w:rPr>
              <w:fldChar w:fldCharType="begin"/>
            </w:r>
            <w:r w:rsidR="00DF65F3">
              <w:rPr>
                <w:webHidden/>
              </w:rPr>
              <w:instrText xml:space="preserve"> PAGEREF _Toc12532941 \h </w:instrText>
            </w:r>
            <w:r w:rsidR="00DF65F3">
              <w:rPr>
                <w:webHidden/>
              </w:rPr>
            </w:r>
            <w:r w:rsidR="00DF65F3">
              <w:rPr>
                <w:webHidden/>
              </w:rPr>
              <w:fldChar w:fldCharType="separate"/>
            </w:r>
            <w:r w:rsidR="00F755B7">
              <w:rPr>
                <w:webHidden/>
              </w:rPr>
              <w:t>307</w:t>
            </w:r>
            <w:r w:rsidR="00DF65F3">
              <w:rPr>
                <w:webHidden/>
              </w:rPr>
              <w:fldChar w:fldCharType="end"/>
            </w:r>
          </w:hyperlink>
        </w:p>
        <w:p w14:paraId="1B440CB9" w14:textId="60C33DFE" w:rsidR="00DF65F3" w:rsidRDefault="00870777">
          <w:pPr>
            <w:pStyle w:val="Spistreci6"/>
            <w:rPr>
              <w:sz w:val="22"/>
              <w:lang w:val="en-GB" w:eastAsia="en-GB"/>
            </w:rPr>
          </w:pPr>
          <w:hyperlink w:anchor="_Toc12532942" w:history="1">
            <w:r w:rsidR="00DF65F3" w:rsidRPr="004815D6">
              <w:rPr>
                <w:rStyle w:val="Hipercze"/>
              </w:rPr>
              <w:t>GM1 ADR-DSN.B.085     Nośność drogi startowej</w:t>
            </w:r>
            <w:r w:rsidR="00DF65F3">
              <w:rPr>
                <w:webHidden/>
              </w:rPr>
              <w:tab/>
            </w:r>
            <w:r w:rsidR="00DF65F3">
              <w:rPr>
                <w:webHidden/>
              </w:rPr>
              <w:fldChar w:fldCharType="begin"/>
            </w:r>
            <w:r w:rsidR="00DF65F3">
              <w:rPr>
                <w:webHidden/>
              </w:rPr>
              <w:instrText xml:space="preserve"> PAGEREF _Toc12532942 \h </w:instrText>
            </w:r>
            <w:r w:rsidR="00DF65F3">
              <w:rPr>
                <w:webHidden/>
              </w:rPr>
            </w:r>
            <w:r w:rsidR="00DF65F3">
              <w:rPr>
                <w:webHidden/>
              </w:rPr>
              <w:fldChar w:fldCharType="separate"/>
            </w:r>
            <w:r w:rsidR="00F755B7">
              <w:rPr>
                <w:webHidden/>
              </w:rPr>
              <w:t>307</w:t>
            </w:r>
            <w:r w:rsidR="00DF65F3">
              <w:rPr>
                <w:webHidden/>
              </w:rPr>
              <w:fldChar w:fldCharType="end"/>
            </w:r>
          </w:hyperlink>
        </w:p>
        <w:p w14:paraId="1CA8D38D" w14:textId="301DDD7A" w:rsidR="00DF65F3" w:rsidRDefault="00870777">
          <w:pPr>
            <w:pStyle w:val="Spistreci4"/>
            <w:rPr>
              <w:sz w:val="22"/>
              <w:lang w:val="en-GB" w:eastAsia="en-GB"/>
            </w:rPr>
          </w:pPr>
          <w:hyperlink w:anchor="_Toc12532943" w:history="1">
            <w:r w:rsidR="00DF65F3" w:rsidRPr="004815D6">
              <w:rPr>
                <w:rStyle w:val="Hipercze"/>
              </w:rPr>
              <w:t>CS ADR-DSN.B.090     Powierzchnia drogi startowej</w:t>
            </w:r>
            <w:r w:rsidR="00DF65F3">
              <w:rPr>
                <w:webHidden/>
              </w:rPr>
              <w:tab/>
            </w:r>
            <w:r w:rsidR="00DF65F3">
              <w:rPr>
                <w:webHidden/>
              </w:rPr>
              <w:fldChar w:fldCharType="begin"/>
            </w:r>
            <w:r w:rsidR="00DF65F3">
              <w:rPr>
                <w:webHidden/>
              </w:rPr>
              <w:instrText xml:space="preserve"> PAGEREF _Toc12532943 \h </w:instrText>
            </w:r>
            <w:r w:rsidR="00DF65F3">
              <w:rPr>
                <w:webHidden/>
              </w:rPr>
            </w:r>
            <w:r w:rsidR="00DF65F3">
              <w:rPr>
                <w:webHidden/>
              </w:rPr>
              <w:fldChar w:fldCharType="separate"/>
            </w:r>
            <w:r w:rsidR="00F755B7">
              <w:rPr>
                <w:webHidden/>
              </w:rPr>
              <w:t>308</w:t>
            </w:r>
            <w:r w:rsidR="00DF65F3">
              <w:rPr>
                <w:webHidden/>
              </w:rPr>
              <w:fldChar w:fldCharType="end"/>
            </w:r>
          </w:hyperlink>
        </w:p>
        <w:p w14:paraId="13C8807F" w14:textId="4B269446" w:rsidR="00DF65F3" w:rsidRDefault="00870777">
          <w:pPr>
            <w:pStyle w:val="Spistreci6"/>
            <w:rPr>
              <w:sz w:val="22"/>
              <w:lang w:val="en-GB" w:eastAsia="en-GB"/>
            </w:rPr>
          </w:pPr>
          <w:hyperlink w:anchor="_Toc12532944" w:history="1">
            <w:r w:rsidR="00DF65F3" w:rsidRPr="004815D6">
              <w:rPr>
                <w:rStyle w:val="Hipercze"/>
              </w:rPr>
              <w:t>GM1 ADR-DSN.B.090     Powierzchnia drogi startowej</w:t>
            </w:r>
            <w:r w:rsidR="00DF65F3">
              <w:rPr>
                <w:webHidden/>
              </w:rPr>
              <w:tab/>
            </w:r>
            <w:r w:rsidR="00DF65F3">
              <w:rPr>
                <w:webHidden/>
              </w:rPr>
              <w:fldChar w:fldCharType="begin"/>
            </w:r>
            <w:r w:rsidR="00DF65F3">
              <w:rPr>
                <w:webHidden/>
              </w:rPr>
              <w:instrText xml:space="preserve"> PAGEREF _Toc12532944 \h </w:instrText>
            </w:r>
            <w:r w:rsidR="00DF65F3">
              <w:rPr>
                <w:webHidden/>
              </w:rPr>
            </w:r>
            <w:r w:rsidR="00DF65F3">
              <w:rPr>
                <w:webHidden/>
              </w:rPr>
              <w:fldChar w:fldCharType="separate"/>
            </w:r>
            <w:r w:rsidR="00F755B7">
              <w:rPr>
                <w:webHidden/>
              </w:rPr>
              <w:t>308</w:t>
            </w:r>
            <w:r w:rsidR="00DF65F3">
              <w:rPr>
                <w:webHidden/>
              </w:rPr>
              <w:fldChar w:fldCharType="end"/>
            </w:r>
          </w:hyperlink>
        </w:p>
        <w:p w14:paraId="0DF64B6D" w14:textId="518B7D6E" w:rsidR="00DF65F3" w:rsidRDefault="00870777">
          <w:pPr>
            <w:pStyle w:val="Spistreci4"/>
            <w:rPr>
              <w:sz w:val="22"/>
              <w:lang w:val="en-GB" w:eastAsia="en-GB"/>
            </w:rPr>
          </w:pPr>
          <w:hyperlink w:anchor="_Toc12532945" w:history="1">
            <w:r w:rsidR="00DF65F3" w:rsidRPr="004815D6">
              <w:rPr>
                <w:rStyle w:val="Hipercze"/>
              </w:rPr>
              <w:t>CS ADR-DSN.B.095     Płaszczyzny do zawracania na drodze startowej</w:t>
            </w:r>
            <w:r w:rsidR="00DF65F3">
              <w:rPr>
                <w:webHidden/>
              </w:rPr>
              <w:tab/>
            </w:r>
            <w:r w:rsidR="00DF65F3">
              <w:rPr>
                <w:webHidden/>
              </w:rPr>
              <w:fldChar w:fldCharType="begin"/>
            </w:r>
            <w:r w:rsidR="00DF65F3">
              <w:rPr>
                <w:webHidden/>
              </w:rPr>
              <w:instrText xml:space="preserve"> PAGEREF _Toc12532945 \h </w:instrText>
            </w:r>
            <w:r w:rsidR="00DF65F3">
              <w:rPr>
                <w:webHidden/>
              </w:rPr>
            </w:r>
            <w:r w:rsidR="00DF65F3">
              <w:rPr>
                <w:webHidden/>
              </w:rPr>
              <w:fldChar w:fldCharType="separate"/>
            </w:r>
            <w:r w:rsidR="00F755B7">
              <w:rPr>
                <w:webHidden/>
              </w:rPr>
              <w:t>308</w:t>
            </w:r>
            <w:r w:rsidR="00DF65F3">
              <w:rPr>
                <w:webHidden/>
              </w:rPr>
              <w:fldChar w:fldCharType="end"/>
            </w:r>
          </w:hyperlink>
        </w:p>
        <w:p w14:paraId="3CB84C6B" w14:textId="129BE307" w:rsidR="00DF65F3" w:rsidRDefault="00870777">
          <w:pPr>
            <w:pStyle w:val="Spistreci6"/>
            <w:rPr>
              <w:sz w:val="22"/>
              <w:lang w:val="en-GB" w:eastAsia="en-GB"/>
            </w:rPr>
          </w:pPr>
          <w:hyperlink w:anchor="_Toc12532946" w:history="1">
            <w:r w:rsidR="00DF65F3" w:rsidRPr="004815D6">
              <w:rPr>
                <w:rStyle w:val="Hipercze"/>
              </w:rPr>
              <w:t>GM1 ADR-DSN.B.O95     Płaszczyzny do zawracania na drodze startowej</w:t>
            </w:r>
            <w:r w:rsidR="00DF65F3">
              <w:rPr>
                <w:webHidden/>
              </w:rPr>
              <w:tab/>
            </w:r>
            <w:r w:rsidR="00DF65F3">
              <w:rPr>
                <w:webHidden/>
              </w:rPr>
              <w:fldChar w:fldCharType="begin"/>
            </w:r>
            <w:r w:rsidR="00DF65F3">
              <w:rPr>
                <w:webHidden/>
              </w:rPr>
              <w:instrText xml:space="preserve"> PAGEREF _Toc12532946 \h </w:instrText>
            </w:r>
            <w:r w:rsidR="00DF65F3">
              <w:rPr>
                <w:webHidden/>
              </w:rPr>
            </w:r>
            <w:r w:rsidR="00DF65F3">
              <w:rPr>
                <w:webHidden/>
              </w:rPr>
              <w:fldChar w:fldCharType="separate"/>
            </w:r>
            <w:r w:rsidR="00F755B7">
              <w:rPr>
                <w:webHidden/>
              </w:rPr>
              <w:t>309</w:t>
            </w:r>
            <w:r w:rsidR="00DF65F3">
              <w:rPr>
                <w:webHidden/>
              </w:rPr>
              <w:fldChar w:fldCharType="end"/>
            </w:r>
          </w:hyperlink>
        </w:p>
        <w:p w14:paraId="05588B14" w14:textId="0D656001" w:rsidR="00DF65F3" w:rsidRDefault="00870777">
          <w:pPr>
            <w:pStyle w:val="Spistreci4"/>
            <w:rPr>
              <w:sz w:val="22"/>
              <w:lang w:val="en-GB" w:eastAsia="en-GB"/>
            </w:rPr>
          </w:pPr>
          <w:hyperlink w:anchor="_Toc12532947" w:history="1">
            <w:r w:rsidR="00DF65F3" w:rsidRPr="004815D6">
              <w:rPr>
                <w:rStyle w:val="Hipercze"/>
              </w:rPr>
              <w:t>CS ADR-DSN.B.100      Nachylenia na płaszczyźnie do zawracania na drodze startowej</w:t>
            </w:r>
            <w:r w:rsidR="00DF65F3">
              <w:rPr>
                <w:webHidden/>
              </w:rPr>
              <w:tab/>
            </w:r>
            <w:r w:rsidR="00DF65F3">
              <w:rPr>
                <w:webHidden/>
              </w:rPr>
              <w:fldChar w:fldCharType="begin"/>
            </w:r>
            <w:r w:rsidR="00DF65F3">
              <w:rPr>
                <w:webHidden/>
              </w:rPr>
              <w:instrText xml:space="preserve"> PAGEREF _Toc12532947 \h </w:instrText>
            </w:r>
            <w:r w:rsidR="00DF65F3">
              <w:rPr>
                <w:webHidden/>
              </w:rPr>
            </w:r>
            <w:r w:rsidR="00DF65F3">
              <w:rPr>
                <w:webHidden/>
              </w:rPr>
              <w:fldChar w:fldCharType="separate"/>
            </w:r>
            <w:r w:rsidR="00F755B7">
              <w:rPr>
                <w:webHidden/>
              </w:rPr>
              <w:t>310</w:t>
            </w:r>
            <w:r w:rsidR="00DF65F3">
              <w:rPr>
                <w:webHidden/>
              </w:rPr>
              <w:fldChar w:fldCharType="end"/>
            </w:r>
          </w:hyperlink>
        </w:p>
        <w:p w14:paraId="30DC2874" w14:textId="53BA07F3" w:rsidR="00DF65F3" w:rsidRDefault="00870777">
          <w:pPr>
            <w:pStyle w:val="Spistreci6"/>
            <w:rPr>
              <w:sz w:val="22"/>
              <w:lang w:val="en-GB" w:eastAsia="en-GB"/>
            </w:rPr>
          </w:pPr>
          <w:hyperlink w:anchor="_Toc12532948" w:history="1">
            <w:r w:rsidR="00DF65F3" w:rsidRPr="004815D6">
              <w:rPr>
                <w:rStyle w:val="Hipercze"/>
              </w:rPr>
              <w:t>CS ADR-DSN.B.100      Nachylenia na płaszczyźnie do zawracania na drodze startowej</w:t>
            </w:r>
            <w:r w:rsidR="00DF65F3">
              <w:rPr>
                <w:webHidden/>
              </w:rPr>
              <w:tab/>
            </w:r>
            <w:r w:rsidR="00DF65F3">
              <w:rPr>
                <w:webHidden/>
              </w:rPr>
              <w:fldChar w:fldCharType="begin"/>
            </w:r>
            <w:r w:rsidR="00DF65F3">
              <w:rPr>
                <w:webHidden/>
              </w:rPr>
              <w:instrText xml:space="preserve"> PAGEREF _Toc12532948 \h </w:instrText>
            </w:r>
            <w:r w:rsidR="00DF65F3">
              <w:rPr>
                <w:webHidden/>
              </w:rPr>
            </w:r>
            <w:r w:rsidR="00DF65F3">
              <w:rPr>
                <w:webHidden/>
              </w:rPr>
              <w:fldChar w:fldCharType="separate"/>
            </w:r>
            <w:r w:rsidR="00F755B7">
              <w:rPr>
                <w:webHidden/>
              </w:rPr>
              <w:t>310</w:t>
            </w:r>
            <w:r w:rsidR="00DF65F3">
              <w:rPr>
                <w:webHidden/>
              </w:rPr>
              <w:fldChar w:fldCharType="end"/>
            </w:r>
          </w:hyperlink>
        </w:p>
        <w:p w14:paraId="0908A7BC" w14:textId="1BCBF6B5" w:rsidR="00DF65F3" w:rsidRDefault="00870777">
          <w:pPr>
            <w:pStyle w:val="Spistreci4"/>
            <w:rPr>
              <w:sz w:val="22"/>
              <w:lang w:val="en-GB" w:eastAsia="en-GB"/>
            </w:rPr>
          </w:pPr>
          <w:hyperlink w:anchor="_Toc12532949" w:history="1">
            <w:r w:rsidR="00DF65F3" w:rsidRPr="004815D6">
              <w:rPr>
                <w:rStyle w:val="Hipercze"/>
              </w:rPr>
              <w:t>CS ADR-DSN.B.105     Nośność płaszczyzny do zawracania na drodze startowej</w:t>
            </w:r>
            <w:r w:rsidR="00DF65F3">
              <w:rPr>
                <w:webHidden/>
              </w:rPr>
              <w:tab/>
            </w:r>
            <w:r w:rsidR="00DF65F3">
              <w:rPr>
                <w:webHidden/>
              </w:rPr>
              <w:fldChar w:fldCharType="begin"/>
            </w:r>
            <w:r w:rsidR="00DF65F3">
              <w:rPr>
                <w:webHidden/>
              </w:rPr>
              <w:instrText xml:space="preserve"> PAGEREF _Toc12532949 \h </w:instrText>
            </w:r>
            <w:r w:rsidR="00DF65F3">
              <w:rPr>
                <w:webHidden/>
              </w:rPr>
            </w:r>
            <w:r w:rsidR="00DF65F3">
              <w:rPr>
                <w:webHidden/>
              </w:rPr>
              <w:fldChar w:fldCharType="separate"/>
            </w:r>
            <w:r w:rsidR="00F755B7">
              <w:rPr>
                <w:webHidden/>
              </w:rPr>
              <w:t>310</w:t>
            </w:r>
            <w:r w:rsidR="00DF65F3">
              <w:rPr>
                <w:webHidden/>
              </w:rPr>
              <w:fldChar w:fldCharType="end"/>
            </w:r>
          </w:hyperlink>
        </w:p>
        <w:p w14:paraId="2C17969D" w14:textId="5408F173" w:rsidR="00DF65F3" w:rsidRDefault="00870777">
          <w:pPr>
            <w:pStyle w:val="Spistreci6"/>
            <w:rPr>
              <w:sz w:val="22"/>
              <w:lang w:val="en-GB" w:eastAsia="en-GB"/>
            </w:rPr>
          </w:pPr>
          <w:hyperlink w:anchor="_Toc12532950" w:history="1">
            <w:r w:rsidR="00DF65F3" w:rsidRPr="004815D6">
              <w:rPr>
                <w:rStyle w:val="Hipercze"/>
              </w:rPr>
              <w:t>GM1 ADR-DSN.B.105     Nośność płaszczyzny do zawracania na drodze startowej</w:t>
            </w:r>
            <w:r w:rsidR="00DF65F3">
              <w:rPr>
                <w:webHidden/>
              </w:rPr>
              <w:tab/>
            </w:r>
            <w:r w:rsidR="00DF65F3">
              <w:rPr>
                <w:webHidden/>
              </w:rPr>
              <w:fldChar w:fldCharType="begin"/>
            </w:r>
            <w:r w:rsidR="00DF65F3">
              <w:rPr>
                <w:webHidden/>
              </w:rPr>
              <w:instrText xml:space="preserve"> PAGEREF _Toc12532950 \h </w:instrText>
            </w:r>
            <w:r w:rsidR="00DF65F3">
              <w:rPr>
                <w:webHidden/>
              </w:rPr>
            </w:r>
            <w:r w:rsidR="00DF65F3">
              <w:rPr>
                <w:webHidden/>
              </w:rPr>
              <w:fldChar w:fldCharType="separate"/>
            </w:r>
            <w:r w:rsidR="00F755B7">
              <w:rPr>
                <w:webHidden/>
              </w:rPr>
              <w:t>310</w:t>
            </w:r>
            <w:r w:rsidR="00DF65F3">
              <w:rPr>
                <w:webHidden/>
              </w:rPr>
              <w:fldChar w:fldCharType="end"/>
            </w:r>
          </w:hyperlink>
        </w:p>
        <w:p w14:paraId="1FF9CB2C" w14:textId="50DA50CB" w:rsidR="00DF65F3" w:rsidRDefault="00870777">
          <w:pPr>
            <w:pStyle w:val="Spistreci4"/>
            <w:rPr>
              <w:sz w:val="22"/>
              <w:lang w:val="en-GB" w:eastAsia="en-GB"/>
            </w:rPr>
          </w:pPr>
          <w:hyperlink w:anchor="_Toc12532951" w:history="1">
            <w:r w:rsidR="00DF65F3" w:rsidRPr="004815D6">
              <w:rPr>
                <w:rStyle w:val="Hipercze"/>
              </w:rPr>
              <w:t>CS ADR-DSN.B.110      Powierzchnia płaszczyzny do zawracania na drodze startowej</w:t>
            </w:r>
            <w:r w:rsidR="00DF65F3">
              <w:rPr>
                <w:webHidden/>
              </w:rPr>
              <w:tab/>
            </w:r>
            <w:r w:rsidR="00DF65F3">
              <w:rPr>
                <w:webHidden/>
              </w:rPr>
              <w:fldChar w:fldCharType="begin"/>
            </w:r>
            <w:r w:rsidR="00DF65F3">
              <w:rPr>
                <w:webHidden/>
              </w:rPr>
              <w:instrText xml:space="preserve"> PAGEREF _Toc12532951 \h </w:instrText>
            </w:r>
            <w:r w:rsidR="00DF65F3">
              <w:rPr>
                <w:webHidden/>
              </w:rPr>
            </w:r>
            <w:r w:rsidR="00DF65F3">
              <w:rPr>
                <w:webHidden/>
              </w:rPr>
              <w:fldChar w:fldCharType="separate"/>
            </w:r>
            <w:r w:rsidR="00F755B7">
              <w:rPr>
                <w:webHidden/>
              </w:rPr>
              <w:t>311</w:t>
            </w:r>
            <w:r w:rsidR="00DF65F3">
              <w:rPr>
                <w:webHidden/>
              </w:rPr>
              <w:fldChar w:fldCharType="end"/>
            </w:r>
          </w:hyperlink>
        </w:p>
        <w:p w14:paraId="4CF40B0F" w14:textId="3F3EA568" w:rsidR="00DF65F3" w:rsidRDefault="00870777">
          <w:pPr>
            <w:pStyle w:val="Spistreci6"/>
            <w:rPr>
              <w:sz w:val="22"/>
              <w:lang w:val="en-GB" w:eastAsia="en-GB"/>
            </w:rPr>
          </w:pPr>
          <w:hyperlink w:anchor="_Toc12532952" w:history="1">
            <w:r w:rsidR="00DF65F3" w:rsidRPr="004815D6">
              <w:rPr>
                <w:rStyle w:val="Hipercze"/>
              </w:rPr>
              <w:t>GM1 ADR-DSN.B.110     Powierzchnia płaszczyzny do zawracania na drodze startowej</w:t>
            </w:r>
            <w:r w:rsidR="00DF65F3">
              <w:rPr>
                <w:webHidden/>
              </w:rPr>
              <w:tab/>
            </w:r>
            <w:r w:rsidR="00DF65F3">
              <w:rPr>
                <w:webHidden/>
              </w:rPr>
              <w:fldChar w:fldCharType="begin"/>
            </w:r>
            <w:r w:rsidR="00DF65F3">
              <w:rPr>
                <w:webHidden/>
              </w:rPr>
              <w:instrText xml:space="preserve"> PAGEREF _Toc12532952 \h </w:instrText>
            </w:r>
            <w:r w:rsidR="00DF65F3">
              <w:rPr>
                <w:webHidden/>
              </w:rPr>
            </w:r>
            <w:r w:rsidR="00DF65F3">
              <w:rPr>
                <w:webHidden/>
              </w:rPr>
              <w:fldChar w:fldCharType="separate"/>
            </w:r>
            <w:r w:rsidR="00F755B7">
              <w:rPr>
                <w:webHidden/>
              </w:rPr>
              <w:t>311</w:t>
            </w:r>
            <w:r w:rsidR="00DF65F3">
              <w:rPr>
                <w:webHidden/>
              </w:rPr>
              <w:fldChar w:fldCharType="end"/>
            </w:r>
          </w:hyperlink>
        </w:p>
        <w:p w14:paraId="49592181" w14:textId="2D52E3B3" w:rsidR="00DF65F3" w:rsidRDefault="00870777">
          <w:pPr>
            <w:pStyle w:val="Spistreci4"/>
            <w:rPr>
              <w:sz w:val="22"/>
              <w:lang w:val="en-GB" w:eastAsia="en-GB"/>
            </w:rPr>
          </w:pPr>
          <w:hyperlink w:anchor="_Toc12532953" w:history="1">
            <w:r w:rsidR="00DF65F3" w:rsidRPr="004815D6">
              <w:rPr>
                <w:rStyle w:val="Hipercze"/>
              </w:rPr>
              <w:t>CS ADR-DSN.B.115      Szerokość pobocza płaszczyzny do zawracania na drodze startowej</w:t>
            </w:r>
            <w:r w:rsidR="00DF65F3">
              <w:rPr>
                <w:webHidden/>
              </w:rPr>
              <w:tab/>
            </w:r>
            <w:r w:rsidR="00DF65F3">
              <w:rPr>
                <w:webHidden/>
              </w:rPr>
              <w:fldChar w:fldCharType="begin"/>
            </w:r>
            <w:r w:rsidR="00DF65F3">
              <w:rPr>
                <w:webHidden/>
              </w:rPr>
              <w:instrText xml:space="preserve"> PAGEREF _Toc12532953 \h </w:instrText>
            </w:r>
            <w:r w:rsidR="00DF65F3">
              <w:rPr>
                <w:webHidden/>
              </w:rPr>
            </w:r>
            <w:r w:rsidR="00DF65F3">
              <w:rPr>
                <w:webHidden/>
              </w:rPr>
              <w:fldChar w:fldCharType="separate"/>
            </w:r>
            <w:r w:rsidR="00F755B7">
              <w:rPr>
                <w:webHidden/>
              </w:rPr>
              <w:t>311</w:t>
            </w:r>
            <w:r w:rsidR="00DF65F3">
              <w:rPr>
                <w:webHidden/>
              </w:rPr>
              <w:fldChar w:fldCharType="end"/>
            </w:r>
          </w:hyperlink>
        </w:p>
        <w:p w14:paraId="7B6730A5" w14:textId="7BC30741" w:rsidR="00DF65F3" w:rsidRDefault="00870777">
          <w:pPr>
            <w:pStyle w:val="Spistreci6"/>
            <w:rPr>
              <w:sz w:val="22"/>
              <w:lang w:val="en-GB" w:eastAsia="en-GB"/>
            </w:rPr>
          </w:pPr>
          <w:hyperlink w:anchor="_Toc12532954" w:history="1">
            <w:r w:rsidR="00DF65F3" w:rsidRPr="004815D6">
              <w:rPr>
                <w:rStyle w:val="Hipercze"/>
              </w:rPr>
              <w:t>GM1 ADR-DSN.B.115     Szerokość pobocza płaszczyzny do zawracania na drodze startowej</w:t>
            </w:r>
            <w:r w:rsidR="00DF65F3">
              <w:rPr>
                <w:webHidden/>
              </w:rPr>
              <w:tab/>
            </w:r>
            <w:r w:rsidR="00DF65F3">
              <w:rPr>
                <w:webHidden/>
              </w:rPr>
              <w:fldChar w:fldCharType="begin"/>
            </w:r>
            <w:r w:rsidR="00DF65F3">
              <w:rPr>
                <w:webHidden/>
              </w:rPr>
              <w:instrText xml:space="preserve"> PAGEREF _Toc12532954 \h </w:instrText>
            </w:r>
            <w:r w:rsidR="00DF65F3">
              <w:rPr>
                <w:webHidden/>
              </w:rPr>
            </w:r>
            <w:r w:rsidR="00DF65F3">
              <w:rPr>
                <w:webHidden/>
              </w:rPr>
              <w:fldChar w:fldCharType="separate"/>
            </w:r>
            <w:r w:rsidR="00F755B7">
              <w:rPr>
                <w:webHidden/>
              </w:rPr>
              <w:t>311</w:t>
            </w:r>
            <w:r w:rsidR="00DF65F3">
              <w:rPr>
                <w:webHidden/>
              </w:rPr>
              <w:fldChar w:fldCharType="end"/>
            </w:r>
          </w:hyperlink>
        </w:p>
        <w:p w14:paraId="40C22187" w14:textId="346F042C" w:rsidR="00DF65F3" w:rsidRDefault="00870777">
          <w:pPr>
            <w:pStyle w:val="Spistreci4"/>
            <w:rPr>
              <w:sz w:val="22"/>
              <w:lang w:val="en-GB" w:eastAsia="en-GB"/>
            </w:rPr>
          </w:pPr>
          <w:hyperlink w:anchor="_Toc12532955" w:history="1">
            <w:r w:rsidR="00DF65F3" w:rsidRPr="004815D6">
              <w:rPr>
                <w:rStyle w:val="Hipercze"/>
              </w:rPr>
              <w:t>CS ADR-DSN.B.120      Nośność pobocza płaszczyzny do zawracania na drodze startowej</w:t>
            </w:r>
            <w:r w:rsidR="00DF65F3">
              <w:rPr>
                <w:webHidden/>
              </w:rPr>
              <w:tab/>
            </w:r>
            <w:r w:rsidR="00DF65F3">
              <w:rPr>
                <w:webHidden/>
              </w:rPr>
              <w:fldChar w:fldCharType="begin"/>
            </w:r>
            <w:r w:rsidR="00DF65F3">
              <w:rPr>
                <w:webHidden/>
              </w:rPr>
              <w:instrText xml:space="preserve"> PAGEREF _Toc12532955 \h </w:instrText>
            </w:r>
            <w:r w:rsidR="00DF65F3">
              <w:rPr>
                <w:webHidden/>
              </w:rPr>
            </w:r>
            <w:r w:rsidR="00DF65F3">
              <w:rPr>
                <w:webHidden/>
              </w:rPr>
              <w:fldChar w:fldCharType="separate"/>
            </w:r>
            <w:r w:rsidR="00F755B7">
              <w:rPr>
                <w:webHidden/>
              </w:rPr>
              <w:t>311</w:t>
            </w:r>
            <w:r w:rsidR="00DF65F3">
              <w:rPr>
                <w:webHidden/>
              </w:rPr>
              <w:fldChar w:fldCharType="end"/>
            </w:r>
          </w:hyperlink>
        </w:p>
        <w:p w14:paraId="728D0DFC" w14:textId="70C78555" w:rsidR="00DF65F3" w:rsidRDefault="00870777">
          <w:pPr>
            <w:pStyle w:val="Spistreci6"/>
            <w:rPr>
              <w:sz w:val="22"/>
              <w:lang w:val="en-GB" w:eastAsia="en-GB"/>
            </w:rPr>
          </w:pPr>
          <w:hyperlink w:anchor="_Toc12532956" w:history="1">
            <w:r w:rsidR="00DF65F3" w:rsidRPr="004815D6">
              <w:rPr>
                <w:rStyle w:val="Hipercze"/>
              </w:rPr>
              <w:t>GM1 ADR-DSN.B.120     Nośność pobocza płaszczyzny do zawracania na drodze startowej</w:t>
            </w:r>
            <w:r w:rsidR="00DF65F3">
              <w:rPr>
                <w:webHidden/>
              </w:rPr>
              <w:tab/>
            </w:r>
            <w:r w:rsidR="00DF65F3">
              <w:rPr>
                <w:webHidden/>
              </w:rPr>
              <w:fldChar w:fldCharType="begin"/>
            </w:r>
            <w:r w:rsidR="00DF65F3">
              <w:rPr>
                <w:webHidden/>
              </w:rPr>
              <w:instrText xml:space="preserve"> PAGEREF _Toc12532956 \h </w:instrText>
            </w:r>
            <w:r w:rsidR="00DF65F3">
              <w:rPr>
                <w:webHidden/>
              </w:rPr>
            </w:r>
            <w:r w:rsidR="00DF65F3">
              <w:rPr>
                <w:webHidden/>
              </w:rPr>
              <w:fldChar w:fldCharType="separate"/>
            </w:r>
            <w:r w:rsidR="00F755B7">
              <w:rPr>
                <w:webHidden/>
              </w:rPr>
              <w:t>311</w:t>
            </w:r>
            <w:r w:rsidR="00DF65F3">
              <w:rPr>
                <w:webHidden/>
              </w:rPr>
              <w:fldChar w:fldCharType="end"/>
            </w:r>
          </w:hyperlink>
        </w:p>
        <w:p w14:paraId="285E6380" w14:textId="5664DA96" w:rsidR="00DF65F3" w:rsidRDefault="00870777">
          <w:pPr>
            <w:pStyle w:val="Spistreci4"/>
            <w:rPr>
              <w:sz w:val="22"/>
              <w:lang w:val="en-GB" w:eastAsia="en-GB"/>
            </w:rPr>
          </w:pPr>
          <w:hyperlink w:anchor="_Toc12532957" w:history="1">
            <w:r w:rsidR="00DF65F3" w:rsidRPr="004815D6">
              <w:rPr>
                <w:rStyle w:val="Hipercze"/>
              </w:rPr>
              <w:t>CS ADR-DSN.B.125     Pobocza drogi startowej</w:t>
            </w:r>
            <w:r w:rsidR="00DF65F3">
              <w:rPr>
                <w:webHidden/>
              </w:rPr>
              <w:tab/>
            </w:r>
            <w:r w:rsidR="00DF65F3">
              <w:rPr>
                <w:webHidden/>
              </w:rPr>
              <w:fldChar w:fldCharType="begin"/>
            </w:r>
            <w:r w:rsidR="00DF65F3">
              <w:rPr>
                <w:webHidden/>
              </w:rPr>
              <w:instrText xml:space="preserve"> PAGEREF _Toc12532957 \h </w:instrText>
            </w:r>
            <w:r w:rsidR="00DF65F3">
              <w:rPr>
                <w:webHidden/>
              </w:rPr>
            </w:r>
            <w:r w:rsidR="00DF65F3">
              <w:rPr>
                <w:webHidden/>
              </w:rPr>
              <w:fldChar w:fldCharType="separate"/>
            </w:r>
            <w:r w:rsidR="00F755B7">
              <w:rPr>
                <w:webHidden/>
              </w:rPr>
              <w:t>311</w:t>
            </w:r>
            <w:r w:rsidR="00DF65F3">
              <w:rPr>
                <w:webHidden/>
              </w:rPr>
              <w:fldChar w:fldCharType="end"/>
            </w:r>
          </w:hyperlink>
        </w:p>
        <w:p w14:paraId="481BEF28" w14:textId="249F6707" w:rsidR="00DF65F3" w:rsidRDefault="00870777">
          <w:pPr>
            <w:pStyle w:val="Spistreci6"/>
            <w:rPr>
              <w:sz w:val="22"/>
              <w:lang w:val="en-GB" w:eastAsia="en-GB"/>
            </w:rPr>
          </w:pPr>
          <w:hyperlink w:anchor="_Toc12532958" w:history="1">
            <w:r w:rsidR="00DF65F3" w:rsidRPr="004815D6">
              <w:rPr>
                <w:rStyle w:val="Hipercze"/>
              </w:rPr>
              <w:t>GM1 ADR-DSN.B.125     Pobocza drogi startowej</w:t>
            </w:r>
            <w:r w:rsidR="00DF65F3">
              <w:rPr>
                <w:webHidden/>
              </w:rPr>
              <w:tab/>
            </w:r>
            <w:r w:rsidR="00DF65F3">
              <w:rPr>
                <w:webHidden/>
              </w:rPr>
              <w:fldChar w:fldCharType="begin"/>
            </w:r>
            <w:r w:rsidR="00DF65F3">
              <w:rPr>
                <w:webHidden/>
              </w:rPr>
              <w:instrText xml:space="preserve"> PAGEREF _Toc12532958 \h </w:instrText>
            </w:r>
            <w:r w:rsidR="00DF65F3">
              <w:rPr>
                <w:webHidden/>
              </w:rPr>
            </w:r>
            <w:r w:rsidR="00DF65F3">
              <w:rPr>
                <w:webHidden/>
              </w:rPr>
              <w:fldChar w:fldCharType="separate"/>
            </w:r>
            <w:r w:rsidR="00F755B7">
              <w:rPr>
                <w:webHidden/>
              </w:rPr>
              <w:t>312</w:t>
            </w:r>
            <w:r w:rsidR="00DF65F3">
              <w:rPr>
                <w:webHidden/>
              </w:rPr>
              <w:fldChar w:fldCharType="end"/>
            </w:r>
          </w:hyperlink>
        </w:p>
        <w:p w14:paraId="72B29A35" w14:textId="46B8C2B5" w:rsidR="00DF65F3" w:rsidRDefault="00870777">
          <w:pPr>
            <w:pStyle w:val="Spistreci4"/>
            <w:rPr>
              <w:sz w:val="22"/>
              <w:lang w:val="en-GB" w:eastAsia="en-GB"/>
            </w:rPr>
          </w:pPr>
          <w:hyperlink w:anchor="_Toc12532959" w:history="1">
            <w:r w:rsidR="00DF65F3" w:rsidRPr="004815D6">
              <w:rPr>
                <w:rStyle w:val="Hipercze"/>
              </w:rPr>
              <w:t>CS ADR-DSN.B.130     Nachylenia pobocza drogi startowej</w:t>
            </w:r>
            <w:r w:rsidR="00DF65F3">
              <w:rPr>
                <w:webHidden/>
              </w:rPr>
              <w:tab/>
            </w:r>
            <w:r w:rsidR="00DF65F3">
              <w:rPr>
                <w:webHidden/>
              </w:rPr>
              <w:fldChar w:fldCharType="begin"/>
            </w:r>
            <w:r w:rsidR="00DF65F3">
              <w:rPr>
                <w:webHidden/>
              </w:rPr>
              <w:instrText xml:space="preserve"> PAGEREF _Toc12532959 \h </w:instrText>
            </w:r>
            <w:r w:rsidR="00DF65F3">
              <w:rPr>
                <w:webHidden/>
              </w:rPr>
            </w:r>
            <w:r w:rsidR="00DF65F3">
              <w:rPr>
                <w:webHidden/>
              </w:rPr>
              <w:fldChar w:fldCharType="separate"/>
            </w:r>
            <w:r w:rsidR="00F755B7">
              <w:rPr>
                <w:webHidden/>
              </w:rPr>
              <w:t>312</w:t>
            </w:r>
            <w:r w:rsidR="00DF65F3">
              <w:rPr>
                <w:webHidden/>
              </w:rPr>
              <w:fldChar w:fldCharType="end"/>
            </w:r>
          </w:hyperlink>
        </w:p>
        <w:p w14:paraId="48D2EACD" w14:textId="13AFE27B" w:rsidR="00DF65F3" w:rsidRDefault="00870777">
          <w:pPr>
            <w:pStyle w:val="Spistreci6"/>
            <w:rPr>
              <w:sz w:val="22"/>
              <w:lang w:val="en-GB" w:eastAsia="en-GB"/>
            </w:rPr>
          </w:pPr>
          <w:hyperlink w:anchor="_Toc12532960" w:history="1">
            <w:r w:rsidR="00DF65F3" w:rsidRPr="004815D6">
              <w:rPr>
                <w:rStyle w:val="Hipercze"/>
              </w:rPr>
              <w:t>GM1 ADR-DSN.B.130     Nachylenia pobocza drogi startowej</w:t>
            </w:r>
            <w:r w:rsidR="00DF65F3">
              <w:rPr>
                <w:webHidden/>
              </w:rPr>
              <w:tab/>
            </w:r>
            <w:r w:rsidR="00DF65F3">
              <w:rPr>
                <w:webHidden/>
              </w:rPr>
              <w:fldChar w:fldCharType="begin"/>
            </w:r>
            <w:r w:rsidR="00DF65F3">
              <w:rPr>
                <w:webHidden/>
              </w:rPr>
              <w:instrText xml:space="preserve"> PAGEREF _Toc12532960 \h </w:instrText>
            </w:r>
            <w:r w:rsidR="00DF65F3">
              <w:rPr>
                <w:webHidden/>
              </w:rPr>
            </w:r>
            <w:r w:rsidR="00DF65F3">
              <w:rPr>
                <w:webHidden/>
              </w:rPr>
              <w:fldChar w:fldCharType="separate"/>
            </w:r>
            <w:r w:rsidR="00F755B7">
              <w:rPr>
                <w:webHidden/>
              </w:rPr>
              <w:t>312</w:t>
            </w:r>
            <w:r w:rsidR="00DF65F3">
              <w:rPr>
                <w:webHidden/>
              </w:rPr>
              <w:fldChar w:fldCharType="end"/>
            </w:r>
          </w:hyperlink>
        </w:p>
        <w:p w14:paraId="5E868493" w14:textId="0229F985" w:rsidR="00DF65F3" w:rsidRDefault="00870777">
          <w:pPr>
            <w:pStyle w:val="Spistreci4"/>
            <w:rPr>
              <w:sz w:val="22"/>
              <w:lang w:val="en-GB" w:eastAsia="en-GB"/>
            </w:rPr>
          </w:pPr>
          <w:hyperlink w:anchor="_Toc12532961" w:history="1">
            <w:r w:rsidR="00DF65F3" w:rsidRPr="004815D6">
              <w:rPr>
                <w:rStyle w:val="Hipercze"/>
              </w:rPr>
              <w:t>CS ADR-DSN.B.135     Szerokość pobocza drogi startowej</w:t>
            </w:r>
            <w:r w:rsidR="00DF65F3">
              <w:rPr>
                <w:webHidden/>
              </w:rPr>
              <w:tab/>
            </w:r>
            <w:r w:rsidR="00DF65F3">
              <w:rPr>
                <w:webHidden/>
              </w:rPr>
              <w:fldChar w:fldCharType="begin"/>
            </w:r>
            <w:r w:rsidR="00DF65F3">
              <w:rPr>
                <w:webHidden/>
              </w:rPr>
              <w:instrText xml:space="preserve"> PAGEREF _Toc12532961 \h </w:instrText>
            </w:r>
            <w:r w:rsidR="00DF65F3">
              <w:rPr>
                <w:webHidden/>
              </w:rPr>
            </w:r>
            <w:r w:rsidR="00DF65F3">
              <w:rPr>
                <w:webHidden/>
              </w:rPr>
              <w:fldChar w:fldCharType="separate"/>
            </w:r>
            <w:r w:rsidR="00F755B7">
              <w:rPr>
                <w:webHidden/>
              </w:rPr>
              <w:t>312</w:t>
            </w:r>
            <w:r w:rsidR="00DF65F3">
              <w:rPr>
                <w:webHidden/>
              </w:rPr>
              <w:fldChar w:fldCharType="end"/>
            </w:r>
          </w:hyperlink>
        </w:p>
        <w:p w14:paraId="6998EDE4" w14:textId="41A75E99" w:rsidR="00DF65F3" w:rsidRDefault="00870777">
          <w:pPr>
            <w:pStyle w:val="Spistreci6"/>
            <w:rPr>
              <w:sz w:val="22"/>
              <w:lang w:val="en-GB" w:eastAsia="en-GB"/>
            </w:rPr>
          </w:pPr>
          <w:hyperlink w:anchor="_Toc12532962" w:history="1">
            <w:r w:rsidR="00DF65F3" w:rsidRPr="004815D6">
              <w:rPr>
                <w:rStyle w:val="Hipercze"/>
              </w:rPr>
              <w:t>GM1 ADR-DSN.B.135     Szerokość pobocza drogi startowej</w:t>
            </w:r>
            <w:r w:rsidR="00DF65F3">
              <w:rPr>
                <w:webHidden/>
              </w:rPr>
              <w:tab/>
            </w:r>
            <w:r w:rsidR="00DF65F3">
              <w:rPr>
                <w:webHidden/>
              </w:rPr>
              <w:fldChar w:fldCharType="begin"/>
            </w:r>
            <w:r w:rsidR="00DF65F3">
              <w:rPr>
                <w:webHidden/>
              </w:rPr>
              <w:instrText xml:space="preserve"> PAGEREF _Toc12532962 \h </w:instrText>
            </w:r>
            <w:r w:rsidR="00DF65F3">
              <w:rPr>
                <w:webHidden/>
              </w:rPr>
            </w:r>
            <w:r w:rsidR="00DF65F3">
              <w:rPr>
                <w:webHidden/>
              </w:rPr>
              <w:fldChar w:fldCharType="separate"/>
            </w:r>
            <w:r w:rsidR="00F755B7">
              <w:rPr>
                <w:webHidden/>
              </w:rPr>
              <w:t>312</w:t>
            </w:r>
            <w:r w:rsidR="00DF65F3">
              <w:rPr>
                <w:webHidden/>
              </w:rPr>
              <w:fldChar w:fldCharType="end"/>
            </w:r>
          </w:hyperlink>
        </w:p>
        <w:p w14:paraId="2AEB32A6" w14:textId="045886B7" w:rsidR="00DF65F3" w:rsidRDefault="00870777">
          <w:pPr>
            <w:pStyle w:val="Spistreci4"/>
            <w:rPr>
              <w:sz w:val="22"/>
              <w:lang w:val="en-GB" w:eastAsia="en-GB"/>
            </w:rPr>
          </w:pPr>
          <w:hyperlink w:anchor="_Toc12532963" w:history="1">
            <w:r w:rsidR="00DF65F3" w:rsidRPr="004815D6">
              <w:rPr>
                <w:rStyle w:val="Hipercze"/>
              </w:rPr>
              <w:t>CS AD R-DSN.B.140     Nośność poboczy drogi startowej</w:t>
            </w:r>
            <w:r w:rsidR="00DF65F3">
              <w:rPr>
                <w:webHidden/>
              </w:rPr>
              <w:tab/>
            </w:r>
            <w:r w:rsidR="00DF65F3">
              <w:rPr>
                <w:webHidden/>
              </w:rPr>
              <w:fldChar w:fldCharType="begin"/>
            </w:r>
            <w:r w:rsidR="00DF65F3">
              <w:rPr>
                <w:webHidden/>
              </w:rPr>
              <w:instrText xml:space="preserve"> PAGEREF _Toc12532963 \h </w:instrText>
            </w:r>
            <w:r w:rsidR="00DF65F3">
              <w:rPr>
                <w:webHidden/>
              </w:rPr>
            </w:r>
            <w:r w:rsidR="00DF65F3">
              <w:rPr>
                <w:webHidden/>
              </w:rPr>
              <w:fldChar w:fldCharType="separate"/>
            </w:r>
            <w:r w:rsidR="00F755B7">
              <w:rPr>
                <w:webHidden/>
              </w:rPr>
              <w:t>313</w:t>
            </w:r>
            <w:r w:rsidR="00DF65F3">
              <w:rPr>
                <w:webHidden/>
              </w:rPr>
              <w:fldChar w:fldCharType="end"/>
            </w:r>
          </w:hyperlink>
        </w:p>
        <w:p w14:paraId="1C02D696" w14:textId="29A33AA3" w:rsidR="00DF65F3" w:rsidRDefault="00870777">
          <w:pPr>
            <w:pStyle w:val="Spistreci6"/>
            <w:rPr>
              <w:sz w:val="22"/>
              <w:lang w:val="en-GB" w:eastAsia="en-GB"/>
            </w:rPr>
          </w:pPr>
          <w:hyperlink w:anchor="_Toc12532964" w:history="1">
            <w:r w:rsidR="00DF65F3" w:rsidRPr="004815D6">
              <w:rPr>
                <w:rStyle w:val="Hipercze"/>
              </w:rPr>
              <w:t>GM1 ADR-DSN.B.140     Nośność poboczy drogi startowej</w:t>
            </w:r>
            <w:r w:rsidR="00DF65F3">
              <w:rPr>
                <w:webHidden/>
              </w:rPr>
              <w:tab/>
            </w:r>
            <w:r w:rsidR="00DF65F3">
              <w:rPr>
                <w:webHidden/>
              </w:rPr>
              <w:fldChar w:fldCharType="begin"/>
            </w:r>
            <w:r w:rsidR="00DF65F3">
              <w:rPr>
                <w:webHidden/>
              </w:rPr>
              <w:instrText xml:space="preserve"> PAGEREF _Toc12532964 \h </w:instrText>
            </w:r>
            <w:r w:rsidR="00DF65F3">
              <w:rPr>
                <w:webHidden/>
              </w:rPr>
            </w:r>
            <w:r w:rsidR="00DF65F3">
              <w:rPr>
                <w:webHidden/>
              </w:rPr>
              <w:fldChar w:fldCharType="separate"/>
            </w:r>
            <w:r w:rsidR="00F755B7">
              <w:rPr>
                <w:webHidden/>
              </w:rPr>
              <w:t>313</w:t>
            </w:r>
            <w:r w:rsidR="00DF65F3">
              <w:rPr>
                <w:webHidden/>
              </w:rPr>
              <w:fldChar w:fldCharType="end"/>
            </w:r>
          </w:hyperlink>
        </w:p>
        <w:p w14:paraId="33EEE886" w14:textId="77833240" w:rsidR="00DF65F3" w:rsidRDefault="00870777">
          <w:pPr>
            <w:pStyle w:val="Spistreci4"/>
            <w:rPr>
              <w:sz w:val="22"/>
              <w:lang w:val="en-GB" w:eastAsia="en-GB"/>
            </w:rPr>
          </w:pPr>
          <w:hyperlink w:anchor="_Toc12532965" w:history="1">
            <w:r w:rsidR="00DF65F3" w:rsidRPr="004815D6">
              <w:rPr>
                <w:rStyle w:val="Hipercze"/>
              </w:rPr>
              <w:t>CS ADR-DSN.B.145     Powierzchnia poboczy drogi startowej</w:t>
            </w:r>
            <w:r w:rsidR="00DF65F3">
              <w:rPr>
                <w:webHidden/>
              </w:rPr>
              <w:tab/>
            </w:r>
            <w:r w:rsidR="00DF65F3">
              <w:rPr>
                <w:webHidden/>
              </w:rPr>
              <w:fldChar w:fldCharType="begin"/>
            </w:r>
            <w:r w:rsidR="00DF65F3">
              <w:rPr>
                <w:webHidden/>
              </w:rPr>
              <w:instrText xml:space="preserve"> PAGEREF _Toc12532965 \h </w:instrText>
            </w:r>
            <w:r w:rsidR="00DF65F3">
              <w:rPr>
                <w:webHidden/>
              </w:rPr>
            </w:r>
            <w:r w:rsidR="00DF65F3">
              <w:rPr>
                <w:webHidden/>
              </w:rPr>
              <w:fldChar w:fldCharType="separate"/>
            </w:r>
            <w:r w:rsidR="00F755B7">
              <w:rPr>
                <w:webHidden/>
              </w:rPr>
              <w:t>314</w:t>
            </w:r>
            <w:r w:rsidR="00DF65F3">
              <w:rPr>
                <w:webHidden/>
              </w:rPr>
              <w:fldChar w:fldCharType="end"/>
            </w:r>
          </w:hyperlink>
        </w:p>
        <w:p w14:paraId="6F5B20B6" w14:textId="48EEFBD3" w:rsidR="00DF65F3" w:rsidRDefault="00870777">
          <w:pPr>
            <w:pStyle w:val="Spistreci6"/>
            <w:rPr>
              <w:sz w:val="22"/>
              <w:lang w:val="en-GB" w:eastAsia="en-GB"/>
            </w:rPr>
          </w:pPr>
          <w:hyperlink w:anchor="_Toc12532966" w:history="1">
            <w:r w:rsidR="00DF65F3" w:rsidRPr="004815D6">
              <w:rPr>
                <w:rStyle w:val="Hipercze"/>
              </w:rPr>
              <w:t>GM1 ADR-DSN.B.145     Powierzchnia poboczy drogi startowej</w:t>
            </w:r>
            <w:r w:rsidR="00DF65F3">
              <w:rPr>
                <w:webHidden/>
              </w:rPr>
              <w:tab/>
            </w:r>
            <w:r w:rsidR="00DF65F3">
              <w:rPr>
                <w:webHidden/>
              </w:rPr>
              <w:fldChar w:fldCharType="begin"/>
            </w:r>
            <w:r w:rsidR="00DF65F3">
              <w:rPr>
                <w:webHidden/>
              </w:rPr>
              <w:instrText xml:space="preserve"> PAGEREF _Toc12532966 \h </w:instrText>
            </w:r>
            <w:r w:rsidR="00DF65F3">
              <w:rPr>
                <w:webHidden/>
              </w:rPr>
            </w:r>
            <w:r w:rsidR="00DF65F3">
              <w:rPr>
                <w:webHidden/>
              </w:rPr>
              <w:fldChar w:fldCharType="separate"/>
            </w:r>
            <w:r w:rsidR="00F755B7">
              <w:rPr>
                <w:webHidden/>
              </w:rPr>
              <w:t>314</w:t>
            </w:r>
            <w:r w:rsidR="00DF65F3">
              <w:rPr>
                <w:webHidden/>
              </w:rPr>
              <w:fldChar w:fldCharType="end"/>
            </w:r>
          </w:hyperlink>
        </w:p>
        <w:p w14:paraId="1602E3A0" w14:textId="0B17E950" w:rsidR="00DF65F3" w:rsidRDefault="00870777">
          <w:pPr>
            <w:pStyle w:val="Spistreci4"/>
            <w:rPr>
              <w:sz w:val="22"/>
              <w:lang w:val="en-GB" w:eastAsia="en-GB"/>
            </w:rPr>
          </w:pPr>
          <w:hyperlink w:anchor="_Toc12532967" w:history="1">
            <w:r w:rsidR="00DF65F3" w:rsidRPr="004815D6">
              <w:rPr>
                <w:rStyle w:val="Hipercze"/>
              </w:rPr>
              <w:t>CS ADR-DSN.B.150     Pas drogi startowej, jaki powinien być zapewniony</w:t>
            </w:r>
            <w:r w:rsidR="00DF65F3">
              <w:rPr>
                <w:webHidden/>
              </w:rPr>
              <w:tab/>
            </w:r>
            <w:r w:rsidR="00DF65F3">
              <w:rPr>
                <w:webHidden/>
              </w:rPr>
              <w:fldChar w:fldCharType="begin"/>
            </w:r>
            <w:r w:rsidR="00DF65F3">
              <w:rPr>
                <w:webHidden/>
              </w:rPr>
              <w:instrText xml:space="preserve"> PAGEREF _Toc12532967 \h </w:instrText>
            </w:r>
            <w:r w:rsidR="00DF65F3">
              <w:rPr>
                <w:webHidden/>
              </w:rPr>
            </w:r>
            <w:r w:rsidR="00DF65F3">
              <w:rPr>
                <w:webHidden/>
              </w:rPr>
              <w:fldChar w:fldCharType="separate"/>
            </w:r>
            <w:r w:rsidR="00F755B7">
              <w:rPr>
                <w:webHidden/>
              </w:rPr>
              <w:t>314</w:t>
            </w:r>
            <w:r w:rsidR="00DF65F3">
              <w:rPr>
                <w:webHidden/>
              </w:rPr>
              <w:fldChar w:fldCharType="end"/>
            </w:r>
          </w:hyperlink>
        </w:p>
        <w:p w14:paraId="07E32E32" w14:textId="5115A007" w:rsidR="00DF65F3" w:rsidRDefault="00870777">
          <w:pPr>
            <w:pStyle w:val="Spistreci6"/>
            <w:rPr>
              <w:sz w:val="22"/>
              <w:lang w:val="en-GB" w:eastAsia="en-GB"/>
            </w:rPr>
          </w:pPr>
          <w:hyperlink w:anchor="_Toc12532968" w:history="1">
            <w:r w:rsidR="00DF65F3" w:rsidRPr="004815D6">
              <w:rPr>
                <w:rStyle w:val="Hipercze"/>
              </w:rPr>
              <w:t>GM1 ADR-DSN.B.150     Pas drogi startowej, jaki powinien być zapewniony</w:t>
            </w:r>
            <w:r w:rsidR="00DF65F3">
              <w:rPr>
                <w:webHidden/>
              </w:rPr>
              <w:tab/>
            </w:r>
            <w:r w:rsidR="00DF65F3">
              <w:rPr>
                <w:webHidden/>
              </w:rPr>
              <w:fldChar w:fldCharType="begin"/>
            </w:r>
            <w:r w:rsidR="00DF65F3">
              <w:rPr>
                <w:webHidden/>
              </w:rPr>
              <w:instrText xml:space="preserve"> PAGEREF _Toc12532968 \h </w:instrText>
            </w:r>
            <w:r w:rsidR="00DF65F3">
              <w:rPr>
                <w:webHidden/>
              </w:rPr>
            </w:r>
            <w:r w:rsidR="00DF65F3">
              <w:rPr>
                <w:webHidden/>
              </w:rPr>
              <w:fldChar w:fldCharType="separate"/>
            </w:r>
            <w:r w:rsidR="00F755B7">
              <w:rPr>
                <w:webHidden/>
              </w:rPr>
              <w:t>315</w:t>
            </w:r>
            <w:r w:rsidR="00DF65F3">
              <w:rPr>
                <w:webHidden/>
              </w:rPr>
              <w:fldChar w:fldCharType="end"/>
            </w:r>
          </w:hyperlink>
        </w:p>
        <w:p w14:paraId="316FE911" w14:textId="02609884" w:rsidR="00DF65F3" w:rsidRDefault="00870777">
          <w:pPr>
            <w:pStyle w:val="Spistreci4"/>
            <w:rPr>
              <w:sz w:val="22"/>
              <w:lang w:val="en-GB" w:eastAsia="en-GB"/>
            </w:rPr>
          </w:pPr>
          <w:hyperlink w:anchor="_Toc12532969" w:history="1">
            <w:r w:rsidR="00DF65F3" w:rsidRPr="004815D6">
              <w:rPr>
                <w:rStyle w:val="Hipercze"/>
              </w:rPr>
              <w:t>CS ADR-DSN.B.155     Długość pasa drogi startowej</w:t>
            </w:r>
            <w:r w:rsidR="00DF65F3">
              <w:rPr>
                <w:webHidden/>
              </w:rPr>
              <w:tab/>
            </w:r>
            <w:r w:rsidR="00DF65F3">
              <w:rPr>
                <w:webHidden/>
              </w:rPr>
              <w:fldChar w:fldCharType="begin"/>
            </w:r>
            <w:r w:rsidR="00DF65F3">
              <w:rPr>
                <w:webHidden/>
              </w:rPr>
              <w:instrText xml:space="preserve"> PAGEREF _Toc12532969 \h </w:instrText>
            </w:r>
            <w:r w:rsidR="00DF65F3">
              <w:rPr>
                <w:webHidden/>
              </w:rPr>
            </w:r>
            <w:r w:rsidR="00DF65F3">
              <w:rPr>
                <w:webHidden/>
              </w:rPr>
              <w:fldChar w:fldCharType="separate"/>
            </w:r>
            <w:r w:rsidR="00F755B7">
              <w:rPr>
                <w:webHidden/>
              </w:rPr>
              <w:t>315</w:t>
            </w:r>
            <w:r w:rsidR="00DF65F3">
              <w:rPr>
                <w:webHidden/>
              </w:rPr>
              <w:fldChar w:fldCharType="end"/>
            </w:r>
          </w:hyperlink>
        </w:p>
        <w:p w14:paraId="2D4CEDCB" w14:textId="5EB40F34" w:rsidR="00DF65F3" w:rsidRDefault="00870777">
          <w:pPr>
            <w:pStyle w:val="Spistreci6"/>
            <w:rPr>
              <w:sz w:val="22"/>
              <w:lang w:val="en-GB" w:eastAsia="en-GB"/>
            </w:rPr>
          </w:pPr>
          <w:hyperlink w:anchor="_Toc12532970" w:history="1">
            <w:r w:rsidR="00DF65F3" w:rsidRPr="004815D6">
              <w:rPr>
                <w:rStyle w:val="Hipercze"/>
              </w:rPr>
              <w:t>GM1 ADR-DSN.B.155     Długość pasa drogi startowej</w:t>
            </w:r>
            <w:r w:rsidR="00DF65F3">
              <w:rPr>
                <w:webHidden/>
              </w:rPr>
              <w:tab/>
            </w:r>
            <w:r w:rsidR="00DF65F3">
              <w:rPr>
                <w:webHidden/>
              </w:rPr>
              <w:fldChar w:fldCharType="begin"/>
            </w:r>
            <w:r w:rsidR="00DF65F3">
              <w:rPr>
                <w:webHidden/>
              </w:rPr>
              <w:instrText xml:space="preserve"> PAGEREF _Toc12532970 \h </w:instrText>
            </w:r>
            <w:r w:rsidR="00DF65F3">
              <w:rPr>
                <w:webHidden/>
              </w:rPr>
            </w:r>
            <w:r w:rsidR="00DF65F3">
              <w:rPr>
                <w:webHidden/>
              </w:rPr>
              <w:fldChar w:fldCharType="separate"/>
            </w:r>
            <w:r w:rsidR="00F755B7">
              <w:rPr>
                <w:webHidden/>
              </w:rPr>
              <w:t>315</w:t>
            </w:r>
            <w:r w:rsidR="00DF65F3">
              <w:rPr>
                <w:webHidden/>
              </w:rPr>
              <w:fldChar w:fldCharType="end"/>
            </w:r>
          </w:hyperlink>
        </w:p>
        <w:p w14:paraId="7B4B5C8F" w14:textId="7DE34D8F" w:rsidR="00DF65F3" w:rsidRDefault="00870777">
          <w:pPr>
            <w:pStyle w:val="Spistreci4"/>
            <w:rPr>
              <w:sz w:val="22"/>
              <w:lang w:val="en-GB" w:eastAsia="en-GB"/>
            </w:rPr>
          </w:pPr>
          <w:hyperlink w:anchor="_Toc12532971" w:history="1">
            <w:r w:rsidR="00DF65F3" w:rsidRPr="004815D6">
              <w:rPr>
                <w:rStyle w:val="Hipercze"/>
              </w:rPr>
              <w:t>CS ADR-DSN.B.160     Szerokość pasa drogi startowej</w:t>
            </w:r>
            <w:r w:rsidR="00DF65F3">
              <w:rPr>
                <w:webHidden/>
              </w:rPr>
              <w:tab/>
            </w:r>
            <w:r w:rsidR="00DF65F3">
              <w:rPr>
                <w:webHidden/>
              </w:rPr>
              <w:fldChar w:fldCharType="begin"/>
            </w:r>
            <w:r w:rsidR="00DF65F3">
              <w:rPr>
                <w:webHidden/>
              </w:rPr>
              <w:instrText xml:space="preserve"> PAGEREF _Toc12532971 \h </w:instrText>
            </w:r>
            <w:r w:rsidR="00DF65F3">
              <w:rPr>
                <w:webHidden/>
              </w:rPr>
            </w:r>
            <w:r w:rsidR="00DF65F3">
              <w:rPr>
                <w:webHidden/>
              </w:rPr>
              <w:fldChar w:fldCharType="separate"/>
            </w:r>
            <w:r w:rsidR="00F755B7">
              <w:rPr>
                <w:webHidden/>
              </w:rPr>
              <w:t>315</w:t>
            </w:r>
            <w:r w:rsidR="00DF65F3">
              <w:rPr>
                <w:webHidden/>
              </w:rPr>
              <w:fldChar w:fldCharType="end"/>
            </w:r>
          </w:hyperlink>
        </w:p>
        <w:p w14:paraId="152AD5A9" w14:textId="2C110229" w:rsidR="00DF65F3" w:rsidRDefault="00870777">
          <w:pPr>
            <w:pStyle w:val="Spistreci6"/>
            <w:rPr>
              <w:sz w:val="22"/>
              <w:lang w:val="en-GB" w:eastAsia="en-GB"/>
            </w:rPr>
          </w:pPr>
          <w:hyperlink w:anchor="_Toc12532972" w:history="1">
            <w:r w:rsidR="00DF65F3" w:rsidRPr="004815D6">
              <w:rPr>
                <w:rStyle w:val="Hipercze"/>
              </w:rPr>
              <w:t>GM1 ADR-DSN.B.160     Szerokość pasa drogi startowej</w:t>
            </w:r>
            <w:r w:rsidR="00DF65F3">
              <w:rPr>
                <w:webHidden/>
              </w:rPr>
              <w:tab/>
            </w:r>
            <w:r w:rsidR="00DF65F3">
              <w:rPr>
                <w:webHidden/>
              </w:rPr>
              <w:fldChar w:fldCharType="begin"/>
            </w:r>
            <w:r w:rsidR="00DF65F3">
              <w:rPr>
                <w:webHidden/>
              </w:rPr>
              <w:instrText xml:space="preserve"> PAGEREF _Toc12532972 \h </w:instrText>
            </w:r>
            <w:r w:rsidR="00DF65F3">
              <w:rPr>
                <w:webHidden/>
              </w:rPr>
            </w:r>
            <w:r w:rsidR="00DF65F3">
              <w:rPr>
                <w:webHidden/>
              </w:rPr>
              <w:fldChar w:fldCharType="separate"/>
            </w:r>
            <w:r w:rsidR="00F755B7">
              <w:rPr>
                <w:webHidden/>
              </w:rPr>
              <w:t>316</w:t>
            </w:r>
            <w:r w:rsidR="00DF65F3">
              <w:rPr>
                <w:webHidden/>
              </w:rPr>
              <w:fldChar w:fldCharType="end"/>
            </w:r>
          </w:hyperlink>
        </w:p>
        <w:p w14:paraId="275363AD" w14:textId="68E5727A" w:rsidR="00DF65F3" w:rsidRDefault="00870777">
          <w:pPr>
            <w:pStyle w:val="Spistreci4"/>
            <w:rPr>
              <w:sz w:val="22"/>
              <w:lang w:val="en-GB" w:eastAsia="en-GB"/>
            </w:rPr>
          </w:pPr>
          <w:hyperlink w:anchor="_Toc12532973" w:history="1">
            <w:r w:rsidR="00DF65F3" w:rsidRPr="004815D6">
              <w:rPr>
                <w:rStyle w:val="Hipercze"/>
              </w:rPr>
              <w:t>CS ADR-DSN.B.165     Obiekty na pasie drogi startowej</w:t>
            </w:r>
            <w:r w:rsidR="00DF65F3">
              <w:rPr>
                <w:webHidden/>
              </w:rPr>
              <w:tab/>
            </w:r>
            <w:r w:rsidR="00DF65F3">
              <w:rPr>
                <w:webHidden/>
              </w:rPr>
              <w:fldChar w:fldCharType="begin"/>
            </w:r>
            <w:r w:rsidR="00DF65F3">
              <w:rPr>
                <w:webHidden/>
              </w:rPr>
              <w:instrText xml:space="preserve"> PAGEREF _Toc12532973 \h </w:instrText>
            </w:r>
            <w:r w:rsidR="00DF65F3">
              <w:rPr>
                <w:webHidden/>
              </w:rPr>
            </w:r>
            <w:r w:rsidR="00DF65F3">
              <w:rPr>
                <w:webHidden/>
              </w:rPr>
              <w:fldChar w:fldCharType="separate"/>
            </w:r>
            <w:r w:rsidR="00F755B7">
              <w:rPr>
                <w:webHidden/>
              </w:rPr>
              <w:t>316</w:t>
            </w:r>
            <w:r w:rsidR="00DF65F3">
              <w:rPr>
                <w:webHidden/>
              </w:rPr>
              <w:fldChar w:fldCharType="end"/>
            </w:r>
          </w:hyperlink>
        </w:p>
        <w:p w14:paraId="4523AEED" w14:textId="64402CBF" w:rsidR="00DF65F3" w:rsidRDefault="00870777">
          <w:pPr>
            <w:pStyle w:val="Spistreci6"/>
            <w:rPr>
              <w:sz w:val="22"/>
              <w:lang w:val="en-GB" w:eastAsia="en-GB"/>
            </w:rPr>
          </w:pPr>
          <w:hyperlink w:anchor="_Toc12532974" w:history="1">
            <w:r w:rsidR="00DF65F3" w:rsidRPr="004815D6">
              <w:rPr>
                <w:rStyle w:val="Hipercze"/>
              </w:rPr>
              <w:t>GM1 ADR-DSN.B.165     Obiekty na pasie drogi startowej</w:t>
            </w:r>
            <w:r w:rsidR="00DF65F3">
              <w:rPr>
                <w:webHidden/>
              </w:rPr>
              <w:tab/>
            </w:r>
            <w:r w:rsidR="00DF65F3">
              <w:rPr>
                <w:webHidden/>
              </w:rPr>
              <w:fldChar w:fldCharType="begin"/>
            </w:r>
            <w:r w:rsidR="00DF65F3">
              <w:rPr>
                <w:webHidden/>
              </w:rPr>
              <w:instrText xml:space="preserve"> PAGEREF _Toc12532974 \h </w:instrText>
            </w:r>
            <w:r w:rsidR="00DF65F3">
              <w:rPr>
                <w:webHidden/>
              </w:rPr>
            </w:r>
            <w:r w:rsidR="00DF65F3">
              <w:rPr>
                <w:webHidden/>
              </w:rPr>
              <w:fldChar w:fldCharType="separate"/>
            </w:r>
            <w:r w:rsidR="00F755B7">
              <w:rPr>
                <w:webHidden/>
              </w:rPr>
              <w:t>316</w:t>
            </w:r>
            <w:r w:rsidR="00DF65F3">
              <w:rPr>
                <w:webHidden/>
              </w:rPr>
              <w:fldChar w:fldCharType="end"/>
            </w:r>
          </w:hyperlink>
        </w:p>
        <w:p w14:paraId="04FA9417" w14:textId="0CDE1987" w:rsidR="00DF65F3" w:rsidRDefault="00870777">
          <w:pPr>
            <w:pStyle w:val="Spistreci4"/>
            <w:rPr>
              <w:sz w:val="22"/>
              <w:lang w:val="en-GB" w:eastAsia="en-GB"/>
            </w:rPr>
          </w:pPr>
          <w:hyperlink w:anchor="_Toc12532975" w:history="1">
            <w:r w:rsidR="00DF65F3" w:rsidRPr="004815D6">
              <w:rPr>
                <w:rStyle w:val="Hipercze"/>
              </w:rPr>
              <w:t>CS ADR-DSN.B.170</w:t>
            </w:r>
            <w:r w:rsidR="00DF65F3">
              <w:rPr>
                <w:webHidden/>
              </w:rPr>
              <w:tab/>
            </w:r>
            <w:r w:rsidR="00A0625D">
              <w:rPr>
                <w:webHidden/>
              </w:rPr>
              <w:tab/>
            </w:r>
            <w:r w:rsidR="00DF65F3">
              <w:rPr>
                <w:webHidden/>
              </w:rPr>
              <w:fldChar w:fldCharType="begin"/>
            </w:r>
            <w:r w:rsidR="00DF65F3">
              <w:rPr>
                <w:webHidden/>
              </w:rPr>
              <w:instrText xml:space="preserve"> PAGEREF _Toc12532975 \h </w:instrText>
            </w:r>
            <w:r w:rsidR="00DF65F3">
              <w:rPr>
                <w:webHidden/>
              </w:rPr>
            </w:r>
            <w:r w:rsidR="00DF65F3">
              <w:rPr>
                <w:webHidden/>
              </w:rPr>
              <w:fldChar w:fldCharType="separate"/>
            </w:r>
            <w:r w:rsidR="00F755B7">
              <w:rPr>
                <w:webHidden/>
              </w:rPr>
              <w:t>317</w:t>
            </w:r>
            <w:r w:rsidR="00DF65F3">
              <w:rPr>
                <w:webHidden/>
              </w:rPr>
              <w:fldChar w:fldCharType="end"/>
            </w:r>
          </w:hyperlink>
        </w:p>
        <w:p w14:paraId="1C0FEF9A" w14:textId="162495C1" w:rsidR="00DF65F3" w:rsidRDefault="00870777">
          <w:pPr>
            <w:pStyle w:val="Spistreci6"/>
            <w:rPr>
              <w:sz w:val="22"/>
              <w:lang w:val="en-GB" w:eastAsia="en-GB"/>
            </w:rPr>
          </w:pPr>
          <w:hyperlink w:anchor="_Toc12532976" w:history="1">
            <w:r w:rsidR="00DF65F3" w:rsidRPr="004815D6">
              <w:rPr>
                <w:rStyle w:val="Hipercze"/>
              </w:rPr>
              <w:t>GM1 ADR-DSN.B.170</w:t>
            </w:r>
            <w:r w:rsidR="00DF65F3">
              <w:rPr>
                <w:webHidden/>
              </w:rPr>
              <w:tab/>
            </w:r>
            <w:r w:rsidR="00A0625D">
              <w:rPr>
                <w:webHidden/>
              </w:rPr>
              <w:tab/>
            </w:r>
            <w:r w:rsidR="00DF65F3">
              <w:rPr>
                <w:webHidden/>
              </w:rPr>
              <w:fldChar w:fldCharType="begin"/>
            </w:r>
            <w:r w:rsidR="00DF65F3">
              <w:rPr>
                <w:webHidden/>
              </w:rPr>
              <w:instrText xml:space="preserve"> PAGEREF _Toc12532976 \h </w:instrText>
            </w:r>
            <w:r w:rsidR="00DF65F3">
              <w:rPr>
                <w:webHidden/>
              </w:rPr>
            </w:r>
            <w:r w:rsidR="00DF65F3">
              <w:rPr>
                <w:webHidden/>
              </w:rPr>
              <w:fldChar w:fldCharType="separate"/>
            </w:r>
            <w:r w:rsidR="00F755B7">
              <w:rPr>
                <w:webHidden/>
              </w:rPr>
              <w:t>317</w:t>
            </w:r>
            <w:r w:rsidR="00DF65F3">
              <w:rPr>
                <w:webHidden/>
              </w:rPr>
              <w:fldChar w:fldCharType="end"/>
            </w:r>
          </w:hyperlink>
        </w:p>
        <w:p w14:paraId="2A67B818" w14:textId="38C6B94F" w:rsidR="00DF65F3" w:rsidRDefault="00870777">
          <w:pPr>
            <w:pStyle w:val="Spistreci4"/>
            <w:rPr>
              <w:sz w:val="22"/>
              <w:lang w:val="en-GB" w:eastAsia="en-GB"/>
            </w:rPr>
          </w:pPr>
          <w:hyperlink w:anchor="_Toc12532977" w:history="1">
            <w:r w:rsidR="00DF65F3" w:rsidRPr="004815D6">
              <w:rPr>
                <w:rStyle w:val="Hipercze"/>
              </w:rPr>
              <w:t>CS ADR-DSN.B.175     Wyrównanie pasa drogi startowej</w:t>
            </w:r>
            <w:r w:rsidR="00DF65F3">
              <w:rPr>
                <w:webHidden/>
              </w:rPr>
              <w:tab/>
            </w:r>
            <w:r w:rsidR="00DF65F3">
              <w:rPr>
                <w:webHidden/>
              </w:rPr>
              <w:fldChar w:fldCharType="begin"/>
            </w:r>
            <w:r w:rsidR="00DF65F3">
              <w:rPr>
                <w:webHidden/>
              </w:rPr>
              <w:instrText xml:space="preserve"> PAGEREF _Toc12532977 \h </w:instrText>
            </w:r>
            <w:r w:rsidR="00DF65F3">
              <w:rPr>
                <w:webHidden/>
              </w:rPr>
            </w:r>
            <w:r w:rsidR="00DF65F3">
              <w:rPr>
                <w:webHidden/>
              </w:rPr>
              <w:fldChar w:fldCharType="separate"/>
            </w:r>
            <w:r w:rsidR="00F755B7">
              <w:rPr>
                <w:webHidden/>
              </w:rPr>
              <w:t>317</w:t>
            </w:r>
            <w:r w:rsidR="00DF65F3">
              <w:rPr>
                <w:webHidden/>
              </w:rPr>
              <w:fldChar w:fldCharType="end"/>
            </w:r>
          </w:hyperlink>
        </w:p>
        <w:p w14:paraId="680E3FB1" w14:textId="6F120E16" w:rsidR="00DF65F3" w:rsidRDefault="00870777">
          <w:pPr>
            <w:pStyle w:val="Spistreci6"/>
            <w:rPr>
              <w:sz w:val="22"/>
              <w:lang w:val="en-GB" w:eastAsia="en-GB"/>
            </w:rPr>
          </w:pPr>
          <w:hyperlink w:anchor="_Toc12532978" w:history="1">
            <w:r w:rsidR="00DF65F3" w:rsidRPr="004815D6">
              <w:rPr>
                <w:rStyle w:val="Hipercze"/>
              </w:rPr>
              <w:t>GM1 ADR-DSN.B.175     Wyrównanie pasa drogi startowej</w:t>
            </w:r>
            <w:r w:rsidR="00DF65F3">
              <w:rPr>
                <w:webHidden/>
              </w:rPr>
              <w:tab/>
            </w:r>
            <w:r w:rsidR="00DF65F3">
              <w:rPr>
                <w:webHidden/>
              </w:rPr>
              <w:fldChar w:fldCharType="begin"/>
            </w:r>
            <w:r w:rsidR="00DF65F3">
              <w:rPr>
                <w:webHidden/>
              </w:rPr>
              <w:instrText xml:space="preserve"> PAGEREF _Toc12532978 \h </w:instrText>
            </w:r>
            <w:r w:rsidR="00DF65F3">
              <w:rPr>
                <w:webHidden/>
              </w:rPr>
            </w:r>
            <w:r w:rsidR="00DF65F3">
              <w:rPr>
                <w:webHidden/>
              </w:rPr>
              <w:fldChar w:fldCharType="separate"/>
            </w:r>
            <w:r w:rsidR="00F755B7">
              <w:rPr>
                <w:webHidden/>
              </w:rPr>
              <w:t>318</w:t>
            </w:r>
            <w:r w:rsidR="00DF65F3">
              <w:rPr>
                <w:webHidden/>
              </w:rPr>
              <w:fldChar w:fldCharType="end"/>
            </w:r>
          </w:hyperlink>
        </w:p>
        <w:p w14:paraId="05AE5461" w14:textId="55411BB4" w:rsidR="00DF65F3" w:rsidRDefault="00870777">
          <w:pPr>
            <w:pStyle w:val="Spistreci4"/>
            <w:rPr>
              <w:sz w:val="22"/>
              <w:lang w:val="en-GB" w:eastAsia="en-GB"/>
            </w:rPr>
          </w:pPr>
          <w:hyperlink w:anchor="_Toc12532979" w:history="1">
            <w:r w:rsidR="00DF65F3" w:rsidRPr="004815D6">
              <w:rPr>
                <w:rStyle w:val="Hipercze"/>
              </w:rPr>
              <w:t>CS ADR-DSN.B.180     Nachylenie podłużne pasa drogi startowej</w:t>
            </w:r>
            <w:r w:rsidR="00DF65F3">
              <w:rPr>
                <w:webHidden/>
              </w:rPr>
              <w:tab/>
            </w:r>
            <w:r w:rsidR="00DF65F3">
              <w:rPr>
                <w:webHidden/>
              </w:rPr>
              <w:fldChar w:fldCharType="begin"/>
            </w:r>
            <w:r w:rsidR="00DF65F3">
              <w:rPr>
                <w:webHidden/>
              </w:rPr>
              <w:instrText xml:space="preserve"> PAGEREF _Toc12532979 \h </w:instrText>
            </w:r>
            <w:r w:rsidR="00DF65F3">
              <w:rPr>
                <w:webHidden/>
              </w:rPr>
            </w:r>
            <w:r w:rsidR="00DF65F3">
              <w:rPr>
                <w:webHidden/>
              </w:rPr>
              <w:fldChar w:fldCharType="separate"/>
            </w:r>
            <w:r w:rsidR="00F755B7">
              <w:rPr>
                <w:webHidden/>
              </w:rPr>
              <w:t>319</w:t>
            </w:r>
            <w:r w:rsidR="00DF65F3">
              <w:rPr>
                <w:webHidden/>
              </w:rPr>
              <w:fldChar w:fldCharType="end"/>
            </w:r>
          </w:hyperlink>
        </w:p>
        <w:p w14:paraId="0BE7B002" w14:textId="08511E95" w:rsidR="00DF65F3" w:rsidRDefault="00870777">
          <w:pPr>
            <w:pStyle w:val="Spistreci6"/>
            <w:rPr>
              <w:sz w:val="22"/>
              <w:lang w:val="en-GB" w:eastAsia="en-GB"/>
            </w:rPr>
          </w:pPr>
          <w:hyperlink w:anchor="_Toc12532980" w:history="1">
            <w:r w:rsidR="00DF65F3" w:rsidRPr="004815D6">
              <w:rPr>
                <w:rStyle w:val="Hipercze"/>
              </w:rPr>
              <w:t>GM1 ADR-DSN.B.180     Nachylenia podłużne pasa drogi startowej</w:t>
            </w:r>
            <w:r w:rsidR="00DF65F3">
              <w:rPr>
                <w:webHidden/>
              </w:rPr>
              <w:tab/>
            </w:r>
            <w:r w:rsidR="00DF65F3">
              <w:rPr>
                <w:webHidden/>
              </w:rPr>
              <w:fldChar w:fldCharType="begin"/>
            </w:r>
            <w:r w:rsidR="00DF65F3">
              <w:rPr>
                <w:webHidden/>
              </w:rPr>
              <w:instrText xml:space="preserve"> PAGEREF _Toc12532980 \h </w:instrText>
            </w:r>
            <w:r w:rsidR="00DF65F3">
              <w:rPr>
                <w:webHidden/>
              </w:rPr>
            </w:r>
            <w:r w:rsidR="00DF65F3">
              <w:rPr>
                <w:webHidden/>
              </w:rPr>
              <w:fldChar w:fldCharType="separate"/>
            </w:r>
            <w:r w:rsidR="00F755B7">
              <w:rPr>
                <w:webHidden/>
              </w:rPr>
              <w:t>319</w:t>
            </w:r>
            <w:r w:rsidR="00DF65F3">
              <w:rPr>
                <w:webHidden/>
              </w:rPr>
              <w:fldChar w:fldCharType="end"/>
            </w:r>
          </w:hyperlink>
        </w:p>
        <w:p w14:paraId="5257FAFE" w14:textId="780E75D9" w:rsidR="00DF65F3" w:rsidRDefault="00870777">
          <w:pPr>
            <w:pStyle w:val="Spistreci4"/>
            <w:rPr>
              <w:sz w:val="22"/>
              <w:lang w:val="en-GB" w:eastAsia="en-GB"/>
            </w:rPr>
          </w:pPr>
          <w:hyperlink w:anchor="_Toc12532981" w:history="1">
            <w:r w:rsidR="00DF65F3" w:rsidRPr="004815D6">
              <w:rPr>
                <w:rStyle w:val="Hipercze"/>
              </w:rPr>
              <w:t>CS ADR-DSN.B.185     Nachylenie poprzeczne pasa drogi startowej</w:t>
            </w:r>
            <w:r w:rsidR="00DF65F3">
              <w:rPr>
                <w:webHidden/>
              </w:rPr>
              <w:tab/>
            </w:r>
            <w:r w:rsidR="00DF65F3">
              <w:rPr>
                <w:webHidden/>
              </w:rPr>
              <w:fldChar w:fldCharType="begin"/>
            </w:r>
            <w:r w:rsidR="00DF65F3">
              <w:rPr>
                <w:webHidden/>
              </w:rPr>
              <w:instrText xml:space="preserve"> PAGEREF _Toc12532981 \h </w:instrText>
            </w:r>
            <w:r w:rsidR="00DF65F3">
              <w:rPr>
                <w:webHidden/>
              </w:rPr>
            </w:r>
            <w:r w:rsidR="00DF65F3">
              <w:rPr>
                <w:webHidden/>
              </w:rPr>
              <w:fldChar w:fldCharType="separate"/>
            </w:r>
            <w:r w:rsidR="00F755B7">
              <w:rPr>
                <w:webHidden/>
              </w:rPr>
              <w:t>319</w:t>
            </w:r>
            <w:r w:rsidR="00DF65F3">
              <w:rPr>
                <w:webHidden/>
              </w:rPr>
              <w:fldChar w:fldCharType="end"/>
            </w:r>
          </w:hyperlink>
        </w:p>
        <w:p w14:paraId="1444B9F1" w14:textId="73BA9F80" w:rsidR="00DF65F3" w:rsidRDefault="00870777">
          <w:pPr>
            <w:pStyle w:val="Spistreci6"/>
            <w:rPr>
              <w:sz w:val="22"/>
              <w:lang w:val="en-GB" w:eastAsia="en-GB"/>
            </w:rPr>
          </w:pPr>
          <w:hyperlink w:anchor="_Toc12532982" w:history="1">
            <w:r w:rsidR="00DF65F3" w:rsidRPr="004815D6">
              <w:rPr>
                <w:rStyle w:val="Hipercze"/>
              </w:rPr>
              <w:t>GM1 ADR-DSN.B.185     Nachylenia poprzeczne pasa drogi startowej</w:t>
            </w:r>
            <w:r w:rsidR="00DF65F3">
              <w:rPr>
                <w:webHidden/>
              </w:rPr>
              <w:tab/>
            </w:r>
            <w:r w:rsidR="00DF65F3">
              <w:rPr>
                <w:webHidden/>
              </w:rPr>
              <w:fldChar w:fldCharType="begin"/>
            </w:r>
            <w:r w:rsidR="00DF65F3">
              <w:rPr>
                <w:webHidden/>
              </w:rPr>
              <w:instrText xml:space="preserve"> PAGEREF _Toc12532982 \h </w:instrText>
            </w:r>
            <w:r w:rsidR="00DF65F3">
              <w:rPr>
                <w:webHidden/>
              </w:rPr>
            </w:r>
            <w:r w:rsidR="00DF65F3">
              <w:rPr>
                <w:webHidden/>
              </w:rPr>
              <w:fldChar w:fldCharType="separate"/>
            </w:r>
            <w:r w:rsidR="00F755B7">
              <w:rPr>
                <w:webHidden/>
              </w:rPr>
              <w:t>320</w:t>
            </w:r>
            <w:r w:rsidR="00DF65F3">
              <w:rPr>
                <w:webHidden/>
              </w:rPr>
              <w:fldChar w:fldCharType="end"/>
            </w:r>
          </w:hyperlink>
        </w:p>
        <w:p w14:paraId="2B9E19F6" w14:textId="7E4F297B" w:rsidR="00DF65F3" w:rsidRDefault="00870777">
          <w:pPr>
            <w:pStyle w:val="Spistreci4"/>
            <w:rPr>
              <w:sz w:val="22"/>
              <w:lang w:val="en-GB" w:eastAsia="en-GB"/>
            </w:rPr>
          </w:pPr>
          <w:hyperlink w:anchor="_Toc12532983" w:history="1">
            <w:r w:rsidR="00DF65F3" w:rsidRPr="004815D6">
              <w:rPr>
                <w:rStyle w:val="Hipercze"/>
              </w:rPr>
              <w:t>CS ADR-DSN.B.190     Nośność pasa drogi startowej</w:t>
            </w:r>
            <w:r w:rsidR="00DF65F3">
              <w:rPr>
                <w:webHidden/>
              </w:rPr>
              <w:tab/>
            </w:r>
            <w:r w:rsidR="00DF65F3">
              <w:rPr>
                <w:webHidden/>
              </w:rPr>
              <w:fldChar w:fldCharType="begin"/>
            </w:r>
            <w:r w:rsidR="00DF65F3">
              <w:rPr>
                <w:webHidden/>
              </w:rPr>
              <w:instrText xml:space="preserve"> PAGEREF _Toc12532983 \h </w:instrText>
            </w:r>
            <w:r w:rsidR="00DF65F3">
              <w:rPr>
                <w:webHidden/>
              </w:rPr>
            </w:r>
            <w:r w:rsidR="00DF65F3">
              <w:rPr>
                <w:webHidden/>
              </w:rPr>
              <w:fldChar w:fldCharType="separate"/>
            </w:r>
            <w:r w:rsidR="00F755B7">
              <w:rPr>
                <w:webHidden/>
              </w:rPr>
              <w:t>320</w:t>
            </w:r>
            <w:r w:rsidR="00DF65F3">
              <w:rPr>
                <w:webHidden/>
              </w:rPr>
              <w:fldChar w:fldCharType="end"/>
            </w:r>
          </w:hyperlink>
        </w:p>
        <w:p w14:paraId="6B56A9D0" w14:textId="55F50ACB" w:rsidR="00DF65F3" w:rsidRDefault="00870777">
          <w:pPr>
            <w:pStyle w:val="Spistreci6"/>
            <w:rPr>
              <w:sz w:val="22"/>
              <w:lang w:val="en-GB" w:eastAsia="en-GB"/>
            </w:rPr>
          </w:pPr>
          <w:hyperlink w:anchor="_Toc12532984" w:history="1">
            <w:r w:rsidR="00DF65F3" w:rsidRPr="004815D6">
              <w:rPr>
                <w:rStyle w:val="Hipercze"/>
              </w:rPr>
              <w:t>GM1 ADR-DSN.B.190     Nośność pasa drogi startowej</w:t>
            </w:r>
            <w:r w:rsidR="00DF65F3">
              <w:rPr>
                <w:webHidden/>
              </w:rPr>
              <w:tab/>
            </w:r>
            <w:r w:rsidR="00DF65F3">
              <w:rPr>
                <w:webHidden/>
              </w:rPr>
              <w:fldChar w:fldCharType="begin"/>
            </w:r>
            <w:r w:rsidR="00DF65F3">
              <w:rPr>
                <w:webHidden/>
              </w:rPr>
              <w:instrText xml:space="preserve"> PAGEREF _Toc12532984 \h </w:instrText>
            </w:r>
            <w:r w:rsidR="00DF65F3">
              <w:rPr>
                <w:webHidden/>
              </w:rPr>
            </w:r>
            <w:r w:rsidR="00DF65F3">
              <w:rPr>
                <w:webHidden/>
              </w:rPr>
              <w:fldChar w:fldCharType="separate"/>
            </w:r>
            <w:r w:rsidR="00F755B7">
              <w:rPr>
                <w:webHidden/>
              </w:rPr>
              <w:t>320</w:t>
            </w:r>
            <w:r w:rsidR="00DF65F3">
              <w:rPr>
                <w:webHidden/>
              </w:rPr>
              <w:fldChar w:fldCharType="end"/>
            </w:r>
          </w:hyperlink>
        </w:p>
        <w:p w14:paraId="76BD7A49" w14:textId="41D1D7D0" w:rsidR="00DF65F3" w:rsidRDefault="00870777">
          <w:pPr>
            <w:pStyle w:val="Spistreci4"/>
            <w:rPr>
              <w:sz w:val="22"/>
              <w:lang w:val="en-GB" w:eastAsia="en-GB"/>
            </w:rPr>
          </w:pPr>
          <w:hyperlink w:anchor="_Toc12532985" w:history="1">
            <w:r w:rsidR="00DF65F3" w:rsidRPr="004815D6">
              <w:rPr>
                <w:rStyle w:val="Hipercze"/>
              </w:rPr>
              <w:t>CS ADR-DSN.B.191     Charakterystyka odwodnienia pola ruchu naziemnego i przylegających do niego obszarów</w:t>
            </w:r>
            <w:r w:rsidR="00DF65F3">
              <w:rPr>
                <w:webHidden/>
              </w:rPr>
              <w:tab/>
            </w:r>
            <w:r w:rsidR="00DF65F3">
              <w:rPr>
                <w:webHidden/>
              </w:rPr>
              <w:fldChar w:fldCharType="begin"/>
            </w:r>
            <w:r w:rsidR="00DF65F3">
              <w:rPr>
                <w:webHidden/>
              </w:rPr>
              <w:instrText xml:space="preserve"> PAGEREF _Toc12532985 \h </w:instrText>
            </w:r>
            <w:r w:rsidR="00DF65F3">
              <w:rPr>
                <w:webHidden/>
              </w:rPr>
            </w:r>
            <w:r w:rsidR="00DF65F3">
              <w:rPr>
                <w:webHidden/>
              </w:rPr>
              <w:fldChar w:fldCharType="separate"/>
            </w:r>
            <w:r w:rsidR="00F755B7">
              <w:rPr>
                <w:webHidden/>
              </w:rPr>
              <w:t>321</w:t>
            </w:r>
            <w:r w:rsidR="00DF65F3">
              <w:rPr>
                <w:webHidden/>
              </w:rPr>
              <w:fldChar w:fldCharType="end"/>
            </w:r>
          </w:hyperlink>
        </w:p>
        <w:p w14:paraId="5E0927BF" w14:textId="029A6085" w:rsidR="00DF65F3" w:rsidRDefault="00870777">
          <w:pPr>
            <w:pStyle w:val="Spistreci6"/>
            <w:rPr>
              <w:sz w:val="22"/>
              <w:lang w:val="en-GB" w:eastAsia="en-GB"/>
            </w:rPr>
          </w:pPr>
          <w:hyperlink w:anchor="_Toc12532986" w:history="1">
            <w:r w:rsidR="00DF65F3" w:rsidRPr="004815D6">
              <w:rPr>
                <w:rStyle w:val="Hipercze"/>
              </w:rPr>
              <w:t>GM1 ADR-DSN.B.191     Charakterystyka odwodnienia pola ruchu naziemnego i przylegających do niego obszarów</w:t>
            </w:r>
            <w:r w:rsidR="00DF65F3">
              <w:rPr>
                <w:webHidden/>
              </w:rPr>
              <w:tab/>
            </w:r>
            <w:r w:rsidR="00DF65F3">
              <w:rPr>
                <w:webHidden/>
              </w:rPr>
              <w:fldChar w:fldCharType="begin"/>
            </w:r>
            <w:r w:rsidR="00DF65F3">
              <w:rPr>
                <w:webHidden/>
              </w:rPr>
              <w:instrText xml:space="preserve"> PAGEREF _Toc12532986 \h </w:instrText>
            </w:r>
            <w:r w:rsidR="00DF65F3">
              <w:rPr>
                <w:webHidden/>
              </w:rPr>
            </w:r>
            <w:r w:rsidR="00DF65F3">
              <w:rPr>
                <w:webHidden/>
              </w:rPr>
              <w:fldChar w:fldCharType="separate"/>
            </w:r>
            <w:r w:rsidR="00F755B7">
              <w:rPr>
                <w:webHidden/>
              </w:rPr>
              <w:t>321</w:t>
            </w:r>
            <w:r w:rsidR="00DF65F3">
              <w:rPr>
                <w:webHidden/>
              </w:rPr>
              <w:fldChar w:fldCharType="end"/>
            </w:r>
          </w:hyperlink>
        </w:p>
        <w:p w14:paraId="2046B383" w14:textId="72883457" w:rsidR="00DF65F3" w:rsidRDefault="00870777">
          <w:pPr>
            <w:pStyle w:val="Spistreci4"/>
            <w:rPr>
              <w:sz w:val="22"/>
              <w:lang w:val="en-GB" w:eastAsia="en-GB"/>
            </w:rPr>
          </w:pPr>
          <w:hyperlink w:anchor="_Toc12532987" w:history="1">
            <w:r w:rsidR="00DF65F3" w:rsidRPr="004815D6">
              <w:rPr>
                <w:rStyle w:val="Hipercze"/>
              </w:rPr>
              <w:t>CS ADR-DSN.B.195     Zabezpieczenie wydłużonego startu</w:t>
            </w:r>
            <w:r w:rsidR="00DF65F3">
              <w:rPr>
                <w:webHidden/>
              </w:rPr>
              <w:tab/>
            </w:r>
            <w:r w:rsidR="00DF65F3">
              <w:rPr>
                <w:webHidden/>
              </w:rPr>
              <w:fldChar w:fldCharType="begin"/>
            </w:r>
            <w:r w:rsidR="00DF65F3">
              <w:rPr>
                <w:webHidden/>
              </w:rPr>
              <w:instrText xml:space="preserve"> PAGEREF _Toc12532987 \h </w:instrText>
            </w:r>
            <w:r w:rsidR="00DF65F3">
              <w:rPr>
                <w:webHidden/>
              </w:rPr>
            </w:r>
            <w:r w:rsidR="00DF65F3">
              <w:rPr>
                <w:webHidden/>
              </w:rPr>
              <w:fldChar w:fldCharType="separate"/>
            </w:r>
            <w:r w:rsidR="00F755B7">
              <w:rPr>
                <w:webHidden/>
              </w:rPr>
              <w:t>323</w:t>
            </w:r>
            <w:r w:rsidR="00DF65F3">
              <w:rPr>
                <w:webHidden/>
              </w:rPr>
              <w:fldChar w:fldCharType="end"/>
            </w:r>
          </w:hyperlink>
        </w:p>
        <w:p w14:paraId="53617C5C" w14:textId="15A58E78" w:rsidR="00DF65F3" w:rsidRDefault="00870777">
          <w:pPr>
            <w:pStyle w:val="Spistreci6"/>
            <w:rPr>
              <w:sz w:val="22"/>
              <w:lang w:val="en-GB" w:eastAsia="en-GB"/>
            </w:rPr>
          </w:pPr>
          <w:hyperlink w:anchor="_Toc12532988" w:history="1">
            <w:r w:rsidR="00DF65F3" w:rsidRPr="004815D6">
              <w:rPr>
                <w:rStyle w:val="Hipercze"/>
              </w:rPr>
              <w:t>GM1 ADR-DSN.B.195     Zabezpieczenie wydłużonego startu</w:t>
            </w:r>
            <w:r w:rsidR="00DF65F3">
              <w:rPr>
                <w:webHidden/>
              </w:rPr>
              <w:tab/>
            </w:r>
            <w:r w:rsidR="00DF65F3">
              <w:rPr>
                <w:webHidden/>
              </w:rPr>
              <w:fldChar w:fldCharType="begin"/>
            </w:r>
            <w:r w:rsidR="00DF65F3">
              <w:rPr>
                <w:webHidden/>
              </w:rPr>
              <w:instrText xml:space="preserve"> PAGEREF _Toc12532988 \h </w:instrText>
            </w:r>
            <w:r w:rsidR="00DF65F3">
              <w:rPr>
                <w:webHidden/>
              </w:rPr>
            </w:r>
            <w:r w:rsidR="00DF65F3">
              <w:rPr>
                <w:webHidden/>
              </w:rPr>
              <w:fldChar w:fldCharType="separate"/>
            </w:r>
            <w:r w:rsidR="00F755B7">
              <w:rPr>
                <w:webHidden/>
              </w:rPr>
              <w:t>324</w:t>
            </w:r>
            <w:r w:rsidR="00DF65F3">
              <w:rPr>
                <w:webHidden/>
              </w:rPr>
              <w:fldChar w:fldCharType="end"/>
            </w:r>
          </w:hyperlink>
        </w:p>
        <w:p w14:paraId="5DECB21B" w14:textId="3103F28E" w:rsidR="00DF65F3" w:rsidRDefault="00870777">
          <w:pPr>
            <w:pStyle w:val="Spistreci4"/>
            <w:rPr>
              <w:sz w:val="22"/>
              <w:lang w:val="en-GB" w:eastAsia="en-GB"/>
            </w:rPr>
          </w:pPr>
          <w:hyperlink w:anchor="_Toc12532989" w:history="1">
            <w:r w:rsidR="00DF65F3" w:rsidRPr="004815D6">
              <w:rPr>
                <w:rStyle w:val="Hipercze"/>
              </w:rPr>
              <w:t>CS ADR-DSN.B.200     Zabezpieczenie przerwanego startu</w:t>
            </w:r>
            <w:r w:rsidR="00DF65F3">
              <w:rPr>
                <w:webHidden/>
              </w:rPr>
              <w:tab/>
            </w:r>
            <w:r w:rsidR="00DF65F3">
              <w:rPr>
                <w:webHidden/>
              </w:rPr>
              <w:fldChar w:fldCharType="begin"/>
            </w:r>
            <w:r w:rsidR="00DF65F3">
              <w:rPr>
                <w:webHidden/>
              </w:rPr>
              <w:instrText xml:space="preserve"> PAGEREF _Toc12532989 \h </w:instrText>
            </w:r>
            <w:r w:rsidR="00DF65F3">
              <w:rPr>
                <w:webHidden/>
              </w:rPr>
            </w:r>
            <w:r w:rsidR="00DF65F3">
              <w:rPr>
                <w:webHidden/>
              </w:rPr>
              <w:fldChar w:fldCharType="separate"/>
            </w:r>
            <w:r w:rsidR="00F755B7">
              <w:rPr>
                <w:webHidden/>
              </w:rPr>
              <w:t>326</w:t>
            </w:r>
            <w:r w:rsidR="00DF65F3">
              <w:rPr>
                <w:webHidden/>
              </w:rPr>
              <w:fldChar w:fldCharType="end"/>
            </w:r>
          </w:hyperlink>
        </w:p>
        <w:p w14:paraId="5C79AA19" w14:textId="76919B4A" w:rsidR="00DF65F3" w:rsidRDefault="00870777">
          <w:pPr>
            <w:pStyle w:val="Spistreci6"/>
            <w:rPr>
              <w:sz w:val="22"/>
              <w:lang w:val="en-GB" w:eastAsia="en-GB"/>
            </w:rPr>
          </w:pPr>
          <w:hyperlink w:anchor="_Toc12532990" w:history="1">
            <w:r w:rsidR="00DF65F3" w:rsidRPr="004815D6">
              <w:rPr>
                <w:rStyle w:val="Hipercze"/>
              </w:rPr>
              <w:t>GM1 ADR-DSN.B.200     Zabezpieczenie przerwanego startu</w:t>
            </w:r>
            <w:r w:rsidR="00DF65F3">
              <w:rPr>
                <w:webHidden/>
              </w:rPr>
              <w:tab/>
            </w:r>
            <w:r w:rsidR="00DF65F3">
              <w:rPr>
                <w:webHidden/>
              </w:rPr>
              <w:fldChar w:fldCharType="begin"/>
            </w:r>
            <w:r w:rsidR="00DF65F3">
              <w:rPr>
                <w:webHidden/>
              </w:rPr>
              <w:instrText xml:space="preserve"> PAGEREF _Toc12532990 \h </w:instrText>
            </w:r>
            <w:r w:rsidR="00DF65F3">
              <w:rPr>
                <w:webHidden/>
              </w:rPr>
            </w:r>
            <w:r w:rsidR="00DF65F3">
              <w:rPr>
                <w:webHidden/>
              </w:rPr>
              <w:fldChar w:fldCharType="separate"/>
            </w:r>
            <w:r w:rsidR="00F755B7">
              <w:rPr>
                <w:webHidden/>
              </w:rPr>
              <w:t>327</w:t>
            </w:r>
            <w:r w:rsidR="00DF65F3">
              <w:rPr>
                <w:webHidden/>
              </w:rPr>
              <w:fldChar w:fldCharType="end"/>
            </w:r>
          </w:hyperlink>
        </w:p>
        <w:p w14:paraId="427F5753" w14:textId="432A29AB" w:rsidR="00DF65F3" w:rsidRDefault="00870777">
          <w:pPr>
            <w:pStyle w:val="Spistreci4"/>
            <w:rPr>
              <w:sz w:val="22"/>
              <w:lang w:val="en-GB" w:eastAsia="en-GB"/>
            </w:rPr>
          </w:pPr>
          <w:hyperlink w:anchor="_Toc12532991" w:history="1">
            <w:r w:rsidR="00DF65F3" w:rsidRPr="004815D6">
              <w:rPr>
                <w:rStyle w:val="Hipercze"/>
              </w:rPr>
              <w:t>CS ADR-DSN.B.205     Strefa operacyjna radiowysokościomierza</w:t>
            </w:r>
            <w:r w:rsidR="00DF65F3">
              <w:rPr>
                <w:webHidden/>
              </w:rPr>
              <w:tab/>
            </w:r>
            <w:r w:rsidR="00DF65F3">
              <w:rPr>
                <w:webHidden/>
              </w:rPr>
              <w:fldChar w:fldCharType="begin"/>
            </w:r>
            <w:r w:rsidR="00DF65F3">
              <w:rPr>
                <w:webHidden/>
              </w:rPr>
              <w:instrText xml:space="preserve"> PAGEREF _Toc12532991 \h </w:instrText>
            </w:r>
            <w:r w:rsidR="00DF65F3">
              <w:rPr>
                <w:webHidden/>
              </w:rPr>
            </w:r>
            <w:r w:rsidR="00DF65F3">
              <w:rPr>
                <w:webHidden/>
              </w:rPr>
              <w:fldChar w:fldCharType="separate"/>
            </w:r>
            <w:r w:rsidR="00F755B7">
              <w:rPr>
                <w:webHidden/>
              </w:rPr>
              <w:t>327</w:t>
            </w:r>
            <w:r w:rsidR="00DF65F3">
              <w:rPr>
                <w:webHidden/>
              </w:rPr>
              <w:fldChar w:fldCharType="end"/>
            </w:r>
          </w:hyperlink>
        </w:p>
        <w:p w14:paraId="2A45E79E" w14:textId="2418D72B" w:rsidR="00DF65F3" w:rsidRDefault="00870777">
          <w:pPr>
            <w:pStyle w:val="Spistreci6"/>
            <w:rPr>
              <w:sz w:val="22"/>
              <w:lang w:val="en-GB" w:eastAsia="en-GB"/>
            </w:rPr>
          </w:pPr>
          <w:hyperlink w:anchor="_Toc12532992" w:history="1">
            <w:r w:rsidR="00DF65F3" w:rsidRPr="004815D6">
              <w:rPr>
                <w:rStyle w:val="Hipercze"/>
              </w:rPr>
              <w:t>GM1 ADR-DSN.B.205     Strefa operacyjna radiowysokościomierza</w:t>
            </w:r>
            <w:r w:rsidR="00DF65F3">
              <w:rPr>
                <w:webHidden/>
              </w:rPr>
              <w:tab/>
            </w:r>
            <w:r w:rsidR="00DF65F3">
              <w:rPr>
                <w:webHidden/>
              </w:rPr>
              <w:fldChar w:fldCharType="begin"/>
            </w:r>
            <w:r w:rsidR="00DF65F3">
              <w:rPr>
                <w:webHidden/>
              </w:rPr>
              <w:instrText xml:space="preserve"> PAGEREF _Toc12532992 \h </w:instrText>
            </w:r>
            <w:r w:rsidR="00DF65F3">
              <w:rPr>
                <w:webHidden/>
              </w:rPr>
            </w:r>
            <w:r w:rsidR="00DF65F3">
              <w:rPr>
                <w:webHidden/>
              </w:rPr>
              <w:fldChar w:fldCharType="separate"/>
            </w:r>
            <w:r w:rsidR="00F755B7">
              <w:rPr>
                <w:webHidden/>
              </w:rPr>
              <w:t>327</w:t>
            </w:r>
            <w:r w:rsidR="00DF65F3">
              <w:rPr>
                <w:webHidden/>
              </w:rPr>
              <w:fldChar w:fldCharType="end"/>
            </w:r>
          </w:hyperlink>
        </w:p>
        <w:p w14:paraId="56D3516B" w14:textId="60BEA53E" w:rsidR="00DF65F3" w:rsidRDefault="00870777">
          <w:pPr>
            <w:pStyle w:val="Spistreci2"/>
            <w:rPr>
              <w:rFonts w:asciiTheme="minorHAnsi" w:eastAsiaTheme="minorEastAsia" w:hAnsiTheme="minorHAnsi" w:cstheme="minorBidi"/>
              <w:sz w:val="22"/>
              <w:lang w:val="en-GB" w:eastAsia="en-GB"/>
            </w:rPr>
          </w:pPr>
          <w:hyperlink w:anchor="_Toc12532993" w:history="1">
            <w:r w:rsidR="00DF65F3" w:rsidRPr="004815D6">
              <w:rPr>
                <w:rStyle w:val="Hipercze"/>
              </w:rPr>
              <w:t>ROZDZIAŁ C — STREFA BEZPIECZEŃSTWA  KOŃCA DROGI STARTOWEJ</w:t>
            </w:r>
            <w:r w:rsidR="00DF65F3">
              <w:rPr>
                <w:webHidden/>
              </w:rPr>
              <w:tab/>
            </w:r>
            <w:r w:rsidR="00DF65F3">
              <w:rPr>
                <w:webHidden/>
              </w:rPr>
              <w:fldChar w:fldCharType="begin"/>
            </w:r>
            <w:r w:rsidR="00DF65F3">
              <w:rPr>
                <w:webHidden/>
              </w:rPr>
              <w:instrText xml:space="preserve"> PAGEREF _Toc12532993 \h </w:instrText>
            </w:r>
            <w:r w:rsidR="00DF65F3">
              <w:rPr>
                <w:webHidden/>
              </w:rPr>
            </w:r>
            <w:r w:rsidR="00DF65F3">
              <w:rPr>
                <w:webHidden/>
              </w:rPr>
              <w:fldChar w:fldCharType="separate"/>
            </w:r>
            <w:r w:rsidR="00F755B7">
              <w:rPr>
                <w:webHidden/>
              </w:rPr>
              <w:t>329</w:t>
            </w:r>
            <w:r w:rsidR="00DF65F3">
              <w:rPr>
                <w:webHidden/>
              </w:rPr>
              <w:fldChar w:fldCharType="end"/>
            </w:r>
          </w:hyperlink>
        </w:p>
        <w:p w14:paraId="03E7587B" w14:textId="0E73E623" w:rsidR="00DF65F3" w:rsidRDefault="00870777">
          <w:pPr>
            <w:pStyle w:val="Spistreci4"/>
            <w:rPr>
              <w:sz w:val="22"/>
              <w:lang w:val="en-GB" w:eastAsia="en-GB"/>
            </w:rPr>
          </w:pPr>
          <w:hyperlink w:anchor="_Toc12532994" w:history="1">
            <w:r w:rsidR="00DF65F3" w:rsidRPr="004815D6">
              <w:rPr>
                <w:rStyle w:val="Hipercze"/>
              </w:rPr>
              <w:t>CS ADR-DSN.C.210     Strefa bezpieczeństwa końca drogi startowej (RESA)</w:t>
            </w:r>
            <w:r w:rsidR="00DF65F3">
              <w:rPr>
                <w:webHidden/>
              </w:rPr>
              <w:tab/>
            </w:r>
            <w:r w:rsidR="00DF65F3">
              <w:rPr>
                <w:webHidden/>
              </w:rPr>
              <w:fldChar w:fldCharType="begin"/>
            </w:r>
            <w:r w:rsidR="00DF65F3">
              <w:rPr>
                <w:webHidden/>
              </w:rPr>
              <w:instrText xml:space="preserve"> PAGEREF _Toc12532994 \h </w:instrText>
            </w:r>
            <w:r w:rsidR="00DF65F3">
              <w:rPr>
                <w:webHidden/>
              </w:rPr>
            </w:r>
            <w:r w:rsidR="00DF65F3">
              <w:rPr>
                <w:webHidden/>
              </w:rPr>
              <w:fldChar w:fldCharType="separate"/>
            </w:r>
            <w:r w:rsidR="00F755B7">
              <w:rPr>
                <w:webHidden/>
              </w:rPr>
              <w:t>329</w:t>
            </w:r>
            <w:r w:rsidR="00DF65F3">
              <w:rPr>
                <w:webHidden/>
              </w:rPr>
              <w:fldChar w:fldCharType="end"/>
            </w:r>
          </w:hyperlink>
        </w:p>
        <w:p w14:paraId="5D3A1BA8" w14:textId="20FBEAD3" w:rsidR="00DF65F3" w:rsidRDefault="00870777">
          <w:pPr>
            <w:pStyle w:val="Spistreci6"/>
            <w:rPr>
              <w:sz w:val="22"/>
              <w:lang w:val="en-GB" w:eastAsia="en-GB"/>
            </w:rPr>
          </w:pPr>
          <w:hyperlink w:anchor="_Toc12532995" w:history="1">
            <w:r w:rsidR="00DF65F3" w:rsidRPr="004815D6">
              <w:rPr>
                <w:rStyle w:val="Hipercze"/>
              </w:rPr>
              <w:t>GM1 ADR-DSN.C.210     Strefa bezpieczeństwa końca drogi startowej (RESA)</w:t>
            </w:r>
            <w:r w:rsidR="00DF65F3">
              <w:rPr>
                <w:webHidden/>
              </w:rPr>
              <w:tab/>
            </w:r>
            <w:r w:rsidR="00DF65F3">
              <w:rPr>
                <w:webHidden/>
              </w:rPr>
              <w:fldChar w:fldCharType="begin"/>
            </w:r>
            <w:r w:rsidR="00DF65F3">
              <w:rPr>
                <w:webHidden/>
              </w:rPr>
              <w:instrText xml:space="preserve"> PAGEREF _Toc12532995 \h </w:instrText>
            </w:r>
            <w:r w:rsidR="00DF65F3">
              <w:rPr>
                <w:webHidden/>
              </w:rPr>
            </w:r>
            <w:r w:rsidR="00DF65F3">
              <w:rPr>
                <w:webHidden/>
              </w:rPr>
              <w:fldChar w:fldCharType="separate"/>
            </w:r>
            <w:r w:rsidR="00F755B7">
              <w:rPr>
                <w:webHidden/>
              </w:rPr>
              <w:t>329</w:t>
            </w:r>
            <w:r w:rsidR="00DF65F3">
              <w:rPr>
                <w:webHidden/>
              </w:rPr>
              <w:fldChar w:fldCharType="end"/>
            </w:r>
          </w:hyperlink>
        </w:p>
        <w:p w14:paraId="1943E5FC" w14:textId="08EF449E" w:rsidR="00DF65F3" w:rsidRDefault="00870777">
          <w:pPr>
            <w:pStyle w:val="Spistreci4"/>
            <w:rPr>
              <w:sz w:val="22"/>
              <w:lang w:val="en-GB" w:eastAsia="en-GB"/>
            </w:rPr>
          </w:pPr>
          <w:hyperlink w:anchor="_Toc12532996" w:history="1">
            <w:r w:rsidR="00DF65F3" w:rsidRPr="004815D6">
              <w:rPr>
                <w:rStyle w:val="Hipercze"/>
              </w:rPr>
              <w:t>CS ADR-DSN.C.215     Wymiary strefy bezpieczeństwa końca drogi startowej</w:t>
            </w:r>
            <w:r w:rsidR="00DF65F3">
              <w:rPr>
                <w:webHidden/>
              </w:rPr>
              <w:tab/>
            </w:r>
            <w:r w:rsidR="00DF65F3">
              <w:rPr>
                <w:webHidden/>
              </w:rPr>
              <w:fldChar w:fldCharType="begin"/>
            </w:r>
            <w:r w:rsidR="00DF65F3">
              <w:rPr>
                <w:webHidden/>
              </w:rPr>
              <w:instrText xml:space="preserve"> PAGEREF _Toc12532996 \h </w:instrText>
            </w:r>
            <w:r w:rsidR="00DF65F3">
              <w:rPr>
                <w:webHidden/>
              </w:rPr>
            </w:r>
            <w:r w:rsidR="00DF65F3">
              <w:rPr>
                <w:webHidden/>
              </w:rPr>
              <w:fldChar w:fldCharType="separate"/>
            </w:r>
            <w:r w:rsidR="00F755B7">
              <w:rPr>
                <w:webHidden/>
              </w:rPr>
              <w:t>334</w:t>
            </w:r>
            <w:r w:rsidR="00DF65F3">
              <w:rPr>
                <w:webHidden/>
              </w:rPr>
              <w:fldChar w:fldCharType="end"/>
            </w:r>
          </w:hyperlink>
        </w:p>
        <w:p w14:paraId="5CDAA1E1" w14:textId="42036F11" w:rsidR="00DF65F3" w:rsidRDefault="00870777">
          <w:pPr>
            <w:pStyle w:val="Spistreci6"/>
            <w:rPr>
              <w:sz w:val="22"/>
              <w:lang w:val="en-GB" w:eastAsia="en-GB"/>
            </w:rPr>
          </w:pPr>
          <w:hyperlink w:anchor="_Toc12532997" w:history="1">
            <w:r w:rsidR="00DF65F3" w:rsidRPr="004815D6">
              <w:rPr>
                <w:rStyle w:val="Hipercze"/>
              </w:rPr>
              <w:t>GM1 ADR-DSN.C.215     Wymiary strefy bezpieczeństwa końca drogi startowej</w:t>
            </w:r>
            <w:r w:rsidR="00DF65F3">
              <w:rPr>
                <w:webHidden/>
              </w:rPr>
              <w:tab/>
            </w:r>
            <w:r w:rsidR="00DF65F3">
              <w:rPr>
                <w:webHidden/>
              </w:rPr>
              <w:fldChar w:fldCharType="begin"/>
            </w:r>
            <w:r w:rsidR="00DF65F3">
              <w:rPr>
                <w:webHidden/>
              </w:rPr>
              <w:instrText xml:space="preserve"> PAGEREF _Toc12532997 \h </w:instrText>
            </w:r>
            <w:r w:rsidR="00DF65F3">
              <w:rPr>
                <w:webHidden/>
              </w:rPr>
            </w:r>
            <w:r w:rsidR="00DF65F3">
              <w:rPr>
                <w:webHidden/>
              </w:rPr>
              <w:fldChar w:fldCharType="separate"/>
            </w:r>
            <w:r w:rsidR="00F755B7">
              <w:rPr>
                <w:webHidden/>
              </w:rPr>
              <w:t>335</w:t>
            </w:r>
            <w:r w:rsidR="00DF65F3">
              <w:rPr>
                <w:webHidden/>
              </w:rPr>
              <w:fldChar w:fldCharType="end"/>
            </w:r>
          </w:hyperlink>
        </w:p>
        <w:p w14:paraId="4A810A75" w14:textId="65693767" w:rsidR="00DF65F3" w:rsidRDefault="00870777">
          <w:pPr>
            <w:pStyle w:val="Spistreci4"/>
            <w:rPr>
              <w:sz w:val="22"/>
              <w:lang w:val="en-GB" w:eastAsia="en-GB"/>
            </w:rPr>
          </w:pPr>
          <w:hyperlink w:anchor="_Toc12532998" w:history="1">
            <w:r w:rsidR="00DF65F3" w:rsidRPr="004815D6">
              <w:rPr>
                <w:rStyle w:val="Hipercze"/>
              </w:rPr>
              <w:t>CS ADR-DSN.C.220     Obiekty w strefie bezpieczeństwa końca drogi startowej</w:t>
            </w:r>
            <w:r w:rsidR="00DF65F3">
              <w:rPr>
                <w:webHidden/>
              </w:rPr>
              <w:tab/>
            </w:r>
            <w:r w:rsidR="00DF65F3">
              <w:rPr>
                <w:webHidden/>
              </w:rPr>
              <w:fldChar w:fldCharType="begin"/>
            </w:r>
            <w:r w:rsidR="00DF65F3">
              <w:rPr>
                <w:webHidden/>
              </w:rPr>
              <w:instrText xml:space="preserve"> PAGEREF _Toc12532998 \h </w:instrText>
            </w:r>
            <w:r w:rsidR="00DF65F3">
              <w:rPr>
                <w:webHidden/>
              </w:rPr>
            </w:r>
            <w:r w:rsidR="00DF65F3">
              <w:rPr>
                <w:webHidden/>
              </w:rPr>
              <w:fldChar w:fldCharType="separate"/>
            </w:r>
            <w:r w:rsidR="00F755B7">
              <w:rPr>
                <w:webHidden/>
              </w:rPr>
              <w:t>335</w:t>
            </w:r>
            <w:r w:rsidR="00DF65F3">
              <w:rPr>
                <w:webHidden/>
              </w:rPr>
              <w:fldChar w:fldCharType="end"/>
            </w:r>
          </w:hyperlink>
        </w:p>
        <w:p w14:paraId="537AFC8D" w14:textId="7F47942D" w:rsidR="00DF65F3" w:rsidRDefault="00870777">
          <w:pPr>
            <w:pStyle w:val="Spistreci6"/>
            <w:rPr>
              <w:sz w:val="22"/>
              <w:lang w:val="en-GB" w:eastAsia="en-GB"/>
            </w:rPr>
          </w:pPr>
          <w:hyperlink w:anchor="_Toc12532999" w:history="1">
            <w:r w:rsidR="00DF65F3" w:rsidRPr="004815D6">
              <w:rPr>
                <w:rStyle w:val="Hipercze"/>
              </w:rPr>
              <w:t>GM1 ADR-DSN.C.220     Obiekty w strefie bezpieczeństwa końca drogi startowej</w:t>
            </w:r>
            <w:r w:rsidR="00DF65F3">
              <w:rPr>
                <w:webHidden/>
              </w:rPr>
              <w:tab/>
            </w:r>
            <w:r w:rsidR="00DF65F3">
              <w:rPr>
                <w:webHidden/>
              </w:rPr>
              <w:fldChar w:fldCharType="begin"/>
            </w:r>
            <w:r w:rsidR="00DF65F3">
              <w:rPr>
                <w:webHidden/>
              </w:rPr>
              <w:instrText xml:space="preserve"> PAGEREF _Toc12532999 \h </w:instrText>
            </w:r>
            <w:r w:rsidR="00DF65F3">
              <w:rPr>
                <w:webHidden/>
              </w:rPr>
            </w:r>
            <w:r w:rsidR="00DF65F3">
              <w:rPr>
                <w:webHidden/>
              </w:rPr>
              <w:fldChar w:fldCharType="separate"/>
            </w:r>
            <w:r w:rsidR="00F755B7">
              <w:rPr>
                <w:webHidden/>
              </w:rPr>
              <w:t>335</w:t>
            </w:r>
            <w:r w:rsidR="00DF65F3">
              <w:rPr>
                <w:webHidden/>
              </w:rPr>
              <w:fldChar w:fldCharType="end"/>
            </w:r>
          </w:hyperlink>
        </w:p>
        <w:p w14:paraId="30378317" w14:textId="13DF22A0" w:rsidR="00DF65F3" w:rsidRDefault="00870777">
          <w:pPr>
            <w:pStyle w:val="Spistreci4"/>
            <w:rPr>
              <w:sz w:val="22"/>
              <w:lang w:val="en-GB" w:eastAsia="en-GB"/>
            </w:rPr>
          </w:pPr>
          <w:hyperlink w:anchor="_Toc12533000" w:history="1">
            <w:r w:rsidR="00DF65F3" w:rsidRPr="004815D6">
              <w:rPr>
                <w:rStyle w:val="Hipercze"/>
              </w:rPr>
              <w:t>CS ADR-DSN.C.225      Oczyszczenie i wyrównanie strefy bezpieczeństwa końca drogi startowej</w:t>
            </w:r>
            <w:r w:rsidR="00DF65F3">
              <w:rPr>
                <w:webHidden/>
              </w:rPr>
              <w:tab/>
            </w:r>
            <w:r w:rsidR="00DF65F3">
              <w:rPr>
                <w:webHidden/>
              </w:rPr>
              <w:fldChar w:fldCharType="begin"/>
            </w:r>
            <w:r w:rsidR="00DF65F3">
              <w:rPr>
                <w:webHidden/>
              </w:rPr>
              <w:instrText xml:space="preserve"> PAGEREF _Toc12533000 \h </w:instrText>
            </w:r>
            <w:r w:rsidR="00DF65F3">
              <w:rPr>
                <w:webHidden/>
              </w:rPr>
            </w:r>
            <w:r w:rsidR="00DF65F3">
              <w:rPr>
                <w:webHidden/>
              </w:rPr>
              <w:fldChar w:fldCharType="separate"/>
            </w:r>
            <w:r w:rsidR="00F755B7">
              <w:rPr>
                <w:webHidden/>
              </w:rPr>
              <w:t>335</w:t>
            </w:r>
            <w:r w:rsidR="00DF65F3">
              <w:rPr>
                <w:webHidden/>
              </w:rPr>
              <w:fldChar w:fldCharType="end"/>
            </w:r>
          </w:hyperlink>
        </w:p>
        <w:p w14:paraId="5CACE956" w14:textId="20C34A57" w:rsidR="00DF65F3" w:rsidRDefault="00870777">
          <w:pPr>
            <w:pStyle w:val="Spistreci6"/>
            <w:rPr>
              <w:sz w:val="22"/>
              <w:lang w:val="en-GB" w:eastAsia="en-GB"/>
            </w:rPr>
          </w:pPr>
          <w:hyperlink w:anchor="_Toc12533001" w:history="1">
            <w:r w:rsidR="00DF65F3" w:rsidRPr="004815D6">
              <w:rPr>
                <w:rStyle w:val="Hipercze"/>
              </w:rPr>
              <w:t>GM1 ADR-DSN.C.225     Oczyszczenie i wyrównanie strefy bezpieczeństwa końca drogi startowej</w:t>
            </w:r>
            <w:r w:rsidR="00DF65F3">
              <w:rPr>
                <w:webHidden/>
              </w:rPr>
              <w:tab/>
            </w:r>
            <w:r w:rsidR="00DF65F3">
              <w:rPr>
                <w:webHidden/>
              </w:rPr>
              <w:fldChar w:fldCharType="begin"/>
            </w:r>
            <w:r w:rsidR="00DF65F3">
              <w:rPr>
                <w:webHidden/>
              </w:rPr>
              <w:instrText xml:space="preserve"> PAGEREF _Toc12533001 \h </w:instrText>
            </w:r>
            <w:r w:rsidR="00DF65F3">
              <w:rPr>
                <w:webHidden/>
              </w:rPr>
            </w:r>
            <w:r w:rsidR="00DF65F3">
              <w:rPr>
                <w:webHidden/>
              </w:rPr>
              <w:fldChar w:fldCharType="separate"/>
            </w:r>
            <w:r w:rsidR="00F755B7">
              <w:rPr>
                <w:webHidden/>
              </w:rPr>
              <w:t>335</w:t>
            </w:r>
            <w:r w:rsidR="00DF65F3">
              <w:rPr>
                <w:webHidden/>
              </w:rPr>
              <w:fldChar w:fldCharType="end"/>
            </w:r>
          </w:hyperlink>
        </w:p>
        <w:p w14:paraId="70807C3B" w14:textId="638E2D5E" w:rsidR="00DF65F3" w:rsidRDefault="00870777">
          <w:pPr>
            <w:pStyle w:val="Spistreci4"/>
            <w:rPr>
              <w:sz w:val="22"/>
              <w:lang w:val="en-GB" w:eastAsia="en-GB"/>
            </w:rPr>
          </w:pPr>
          <w:hyperlink w:anchor="_Toc12533002" w:history="1">
            <w:r w:rsidR="00DF65F3" w:rsidRPr="004815D6">
              <w:rPr>
                <w:rStyle w:val="Hipercze"/>
              </w:rPr>
              <w:t>CS ADR-DSN.C.230     Nachylenia strefy bezpieczeństwa końca drogi startowej</w:t>
            </w:r>
            <w:r w:rsidR="00DF65F3">
              <w:rPr>
                <w:webHidden/>
              </w:rPr>
              <w:tab/>
            </w:r>
            <w:r w:rsidR="00DF65F3">
              <w:rPr>
                <w:webHidden/>
              </w:rPr>
              <w:fldChar w:fldCharType="begin"/>
            </w:r>
            <w:r w:rsidR="00DF65F3">
              <w:rPr>
                <w:webHidden/>
              </w:rPr>
              <w:instrText xml:space="preserve"> PAGEREF _Toc12533002 \h </w:instrText>
            </w:r>
            <w:r w:rsidR="00DF65F3">
              <w:rPr>
                <w:webHidden/>
              </w:rPr>
            </w:r>
            <w:r w:rsidR="00DF65F3">
              <w:rPr>
                <w:webHidden/>
              </w:rPr>
              <w:fldChar w:fldCharType="separate"/>
            </w:r>
            <w:r w:rsidR="00F755B7">
              <w:rPr>
                <w:webHidden/>
              </w:rPr>
              <w:t>335</w:t>
            </w:r>
            <w:r w:rsidR="00DF65F3">
              <w:rPr>
                <w:webHidden/>
              </w:rPr>
              <w:fldChar w:fldCharType="end"/>
            </w:r>
          </w:hyperlink>
        </w:p>
        <w:p w14:paraId="0C2AC42B" w14:textId="29BFD308" w:rsidR="00DF65F3" w:rsidRDefault="00870777">
          <w:pPr>
            <w:pStyle w:val="Spistreci6"/>
            <w:rPr>
              <w:sz w:val="22"/>
              <w:lang w:val="en-GB" w:eastAsia="en-GB"/>
            </w:rPr>
          </w:pPr>
          <w:hyperlink w:anchor="_Toc12533003" w:history="1">
            <w:r w:rsidR="00DF65F3" w:rsidRPr="004815D6">
              <w:rPr>
                <w:rStyle w:val="Hipercze"/>
              </w:rPr>
              <w:t>GM1 ADR-DSN.C.230     Nachylenia strefy bezpieczeństwa końca drogi startowej</w:t>
            </w:r>
            <w:r w:rsidR="00DF65F3">
              <w:rPr>
                <w:webHidden/>
              </w:rPr>
              <w:tab/>
            </w:r>
            <w:r w:rsidR="00DF65F3">
              <w:rPr>
                <w:webHidden/>
              </w:rPr>
              <w:fldChar w:fldCharType="begin"/>
            </w:r>
            <w:r w:rsidR="00DF65F3">
              <w:rPr>
                <w:webHidden/>
              </w:rPr>
              <w:instrText xml:space="preserve"> PAGEREF _Toc12533003 \h </w:instrText>
            </w:r>
            <w:r w:rsidR="00DF65F3">
              <w:rPr>
                <w:webHidden/>
              </w:rPr>
            </w:r>
            <w:r w:rsidR="00DF65F3">
              <w:rPr>
                <w:webHidden/>
              </w:rPr>
              <w:fldChar w:fldCharType="separate"/>
            </w:r>
            <w:r w:rsidR="00F755B7">
              <w:rPr>
                <w:webHidden/>
              </w:rPr>
              <w:t>336</w:t>
            </w:r>
            <w:r w:rsidR="00DF65F3">
              <w:rPr>
                <w:webHidden/>
              </w:rPr>
              <w:fldChar w:fldCharType="end"/>
            </w:r>
          </w:hyperlink>
        </w:p>
        <w:p w14:paraId="5FB46C47" w14:textId="540E6A7F" w:rsidR="00DF65F3" w:rsidRDefault="00870777">
          <w:pPr>
            <w:pStyle w:val="Spistreci4"/>
            <w:rPr>
              <w:sz w:val="22"/>
              <w:lang w:val="en-GB" w:eastAsia="en-GB"/>
            </w:rPr>
          </w:pPr>
          <w:hyperlink w:anchor="_Toc12533004" w:history="1">
            <w:r w:rsidR="00DF65F3" w:rsidRPr="004815D6">
              <w:rPr>
                <w:rStyle w:val="Hipercze"/>
              </w:rPr>
              <w:t>CS ADR-DSN.C.235     Nośność strefy bezpieczeństwa końca drogi startowej</w:t>
            </w:r>
            <w:r w:rsidR="00DF65F3">
              <w:rPr>
                <w:webHidden/>
              </w:rPr>
              <w:tab/>
            </w:r>
            <w:r w:rsidR="00DF65F3">
              <w:rPr>
                <w:webHidden/>
              </w:rPr>
              <w:fldChar w:fldCharType="begin"/>
            </w:r>
            <w:r w:rsidR="00DF65F3">
              <w:rPr>
                <w:webHidden/>
              </w:rPr>
              <w:instrText xml:space="preserve"> PAGEREF _Toc12533004 \h </w:instrText>
            </w:r>
            <w:r w:rsidR="00DF65F3">
              <w:rPr>
                <w:webHidden/>
              </w:rPr>
            </w:r>
            <w:r w:rsidR="00DF65F3">
              <w:rPr>
                <w:webHidden/>
              </w:rPr>
              <w:fldChar w:fldCharType="separate"/>
            </w:r>
            <w:r w:rsidR="00F755B7">
              <w:rPr>
                <w:webHidden/>
              </w:rPr>
              <w:t>336</w:t>
            </w:r>
            <w:r w:rsidR="00DF65F3">
              <w:rPr>
                <w:webHidden/>
              </w:rPr>
              <w:fldChar w:fldCharType="end"/>
            </w:r>
          </w:hyperlink>
        </w:p>
        <w:p w14:paraId="27AAC4A6" w14:textId="6A13C740" w:rsidR="00DF65F3" w:rsidRDefault="00870777">
          <w:pPr>
            <w:pStyle w:val="Spistreci6"/>
            <w:rPr>
              <w:sz w:val="22"/>
              <w:lang w:val="en-GB" w:eastAsia="en-GB"/>
            </w:rPr>
          </w:pPr>
          <w:hyperlink w:anchor="_Toc12533005" w:history="1">
            <w:r w:rsidR="00DF65F3" w:rsidRPr="004815D6">
              <w:rPr>
                <w:rStyle w:val="Hipercze"/>
              </w:rPr>
              <w:t>GM1 ADR-DSN.C.235     Nośność strefy bezpieczeństwa końca drogi startowej</w:t>
            </w:r>
            <w:r w:rsidR="00DF65F3">
              <w:rPr>
                <w:webHidden/>
              </w:rPr>
              <w:tab/>
            </w:r>
            <w:r w:rsidR="00DF65F3">
              <w:rPr>
                <w:webHidden/>
              </w:rPr>
              <w:fldChar w:fldCharType="begin"/>
            </w:r>
            <w:r w:rsidR="00DF65F3">
              <w:rPr>
                <w:webHidden/>
              </w:rPr>
              <w:instrText xml:space="preserve"> PAGEREF _Toc12533005 \h </w:instrText>
            </w:r>
            <w:r w:rsidR="00DF65F3">
              <w:rPr>
                <w:webHidden/>
              </w:rPr>
            </w:r>
            <w:r w:rsidR="00DF65F3">
              <w:rPr>
                <w:webHidden/>
              </w:rPr>
              <w:fldChar w:fldCharType="separate"/>
            </w:r>
            <w:r w:rsidR="00F755B7">
              <w:rPr>
                <w:webHidden/>
              </w:rPr>
              <w:t>336</w:t>
            </w:r>
            <w:r w:rsidR="00DF65F3">
              <w:rPr>
                <w:webHidden/>
              </w:rPr>
              <w:fldChar w:fldCharType="end"/>
            </w:r>
          </w:hyperlink>
        </w:p>
        <w:p w14:paraId="5D46DA83" w14:textId="25EDB352" w:rsidR="00DF65F3" w:rsidRDefault="00870777">
          <w:pPr>
            <w:pStyle w:val="Spistreci2"/>
            <w:rPr>
              <w:rFonts w:asciiTheme="minorHAnsi" w:eastAsiaTheme="minorEastAsia" w:hAnsiTheme="minorHAnsi" w:cstheme="minorBidi"/>
              <w:sz w:val="22"/>
              <w:lang w:val="en-GB" w:eastAsia="en-GB"/>
            </w:rPr>
          </w:pPr>
          <w:hyperlink w:anchor="_Toc12533006" w:history="1">
            <w:r w:rsidR="00DF65F3" w:rsidRPr="004815D6">
              <w:rPr>
                <w:rStyle w:val="Hipercze"/>
              </w:rPr>
              <w:t>ROZDZIAŁ D — DROGI KOŁOWANIA</w:t>
            </w:r>
            <w:r w:rsidR="00DF65F3">
              <w:rPr>
                <w:webHidden/>
              </w:rPr>
              <w:tab/>
            </w:r>
            <w:r w:rsidR="00DF65F3">
              <w:rPr>
                <w:webHidden/>
              </w:rPr>
              <w:fldChar w:fldCharType="begin"/>
            </w:r>
            <w:r w:rsidR="00DF65F3">
              <w:rPr>
                <w:webHidden/>
              </w:rPr>
              <w:instrText xml:space="preserve"> PAGEREF _Toc12533006 \h </w:instrText>
            </w:r>
            <w:r w:rsidR="00DF65F3">
              <w:rPr>
                <w:webHidden/>
              </w:rPr>
            </w:r>
            <w:r w:rsidR="00DF65F3">
              <w:rPr>
                <w:webHidden/>
              </w:rPr>
              <w:fldChar w:fldCharType="separate"/>
            </w:r>
            <w:r w:rsidR="00F755B7">
              <w:rPr>
                <w:webHidden/>
              </w:rPr>
              <w:t>337</w:t>
            </w:r>
            <w:r w:rsidR="00DF65F3">
              <w:rPr>
                <w:webHidden/>
              </w:rPr>
              <w:fldChar w:fldCharType="end"/>
            </w:r>
          </w:hyperlink>
        </w:p>
        <w:p w14:paraId="0239B500" w14:textId="7B506D0F" w:rsidR="00DF65F3" w:rsidRDefault="00870777">
          <w:pPr>
            <w:pStyle w:val="Spistreci4"/>
            <w:rPr>
              <w:sz w:val="22"/>
              <w:lang w:val="en-GB" w:eastAsia="en-GB"/>
            </w:rPr>
          </w:pPr>
          <w:hyperlink w:anchor="_Toc12533007" w:history="1">
            <w:r w:rsidR="00DF65F3" w:rsidRPr="004815D6">
              <w:rPr>
                <w:rStyle w:val="Hipercze"/>
              </w:rPr>
              <w:t xml:space="preserve">CS ADR-DSN.D.240     Drogi kołowania –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_Toc12533007 \h </w:instrText>
            </w:r>
            <w:r w:rsidR="00DF65F3">
              <w:rPr>
                <w:webHidden/>
              </w:rPr>
            </w:r>
            <w:r w:rsidR="00DF65F3">
              <w:rPr>
                <w:webHidden/>
              </w:rPr>
              <w:fldChar w:fldCharType="separate"/>
            </w:r>
            <w:r w:rsidR="00F755B7">
              <w:rPr>
                <w:webHidden/>
              </w:rPr>
              <w:t>337</w:t>
            </w:r>
            <w:r w:rsidR="00DF65F3">
              <w:rPr>
                <w:webHidden/>
              </w:rPr>
              <w:fldChar w:fldCharType="end"/>
            </w:r>
          </w:hyperlink>
        </w:p>
        <w:p w14:paraId="7AE17991" w14:textId="3A1DFF9A" w:rsidR="00DF65F3" w:rsidRDefault="00870777">
          <w:pPr>
            <w:pStyle w:val="Spistreci6"/>
            <w:rPr>
              <w:sz w:val="22"/>
              <w:lang w:val="en-GB" w:eastAsia="en-GB"/>
            </w:rPr>
          </w:pPr>
          <w:hyperlink w:anchor="_Toc12533008" w:history="1">
            <w:r w:rsidR="00DF65F3" w:rsidRPr="004815D6">
              <w:rPr>
                <w:rStyle w:val="Hipercze"/>
              </w:rPr>
              <w:t xml:space="preserve">GM1 ADR-DSN.D.240     Drogi kołowania –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_Toc12533008 \h </w:instrText>
            </w:r>
            <w:r w:rsidR="00DF65F3">
              <w:rPr>
                <w:webHidden/>
              </w:rPr>
            </w:r>
            <w:r w:rsidR="00DF65F3">
              <w:rPr>
                <w:webHidden/>
              </w:rPr>
              <w:fldChar w:fldCharType="separate"/>
            </w:r>
            <w:r w:rsidR="00F755B7">
              <w:rPr>
                <w:webHidden/>
              </w:rPr>
              <w:t>337</w:t>
            </w:r>
            <w:r w:rsidR="00DF65F3">
              <w:rPr>
                <w:webHidden/>
              </w:rPr>
              <w:fldChar w:fldCharType="end"/>
            </w:r>
          </w:hyperlink>
        </w:p>
        <w:p w14:paraId="3701B534" w14:textId="5564131C" w:rsidR="00DF65F3" w:rsidRDefault="00870777">
          <w:pPr>
            <w:pStyle w:val="Spistreci4"/>
            <w:rPr>
              <w:sz w:val="22"/>
              <w:lang w:val="en-GB" w:eastAsia="en-GB"/>
            </w:rPr>
          </w:pPr>
          <w:hyperlink w:anchor="_Toc12533009" w:history="1">
            <w:r w:rsidR="00DF65F3" w:rsidRPr="004815D6">
              <w:rPr>
                <w:rStyle w:val="Hipercze"/>
              </w:rPr>
              <w:t>CS ADR-DSN.D.245     Szerokość dróg kołowania</w:t>
            </w:r>
            <w:r w:rsidR="00DF65F3">
              <w:rPr>
                <w:webHidden/>
              </w:rPr>
              <w:tab/>
            </w:r>
            <w:r w:rsidR="00DF65F3">
              <w:rPr>
                <w:webHidden/>
              </w:rPr>
              <w:fldChar w:fldCharType="begin"/>
            </w:r>
            <w:r w:rsidR="00DF65F3">
              <w:rPr>
                <w:webHidden/>
              </w:rPr>
              <w:instrText xml:space="preserve"> PAGEREF _Toc12533009 \h </w:instrText>
            </w:r>
            <w:r w:rsidR="00DF65F3">
              <w:rPr>
                <w:webHidden/>
              </w:rPr>
            </w:r>
            <w:r w:rsidR="00DF65F3">
              <w:rPr>
                <w:webHidden/>
              </w:rPr>
              <w:fldChar w:fldCharType="separate"/>
            </w:r>
            <w:r w:rsidR="00F755B7">
              <w:rPr>
                <w:webHidden/>
              </w:rPr>
              <w:t>341</w:t>
            </w:r>
            <w:r w:rsidR="00DF65F3">
              <w:rPr>
                <w:webHidden/>
              </w:rPr>
              <w:fldChar w:fldCharType="end"/>
            </w:r>
          </w:hyperlink>
        </w:p>
        <w:p w14:paraId="57914A4E" w14:textId="16B3FCD2" w:rsidR="00DF65F3" w:rsidRDefault="00870777">
          <w:pPr>
            <w:pStyle w:val="Spistreci6"/>
            <w:rPr>
              <w:sz w:val="22"/>
              <w:lang w:val="en-GB" w:eastAsia="en-GB"/>
            </w:rPr>
          </w:pPr>
          <w:hyperlink w:anchor="_Toc12533010" w:history="1">
            <w:r w:rsidR="00DF65F3" w:rsidRPr="004815D6">
              <w:rPr>
                <w:rStyle w:val="Hipercze"/>
              </w:rPr>
              <w:t>GM1 ADR-DSN.D.245     Szerokość dróg kołowania</w:t>
            </w:r>
            <w:r w:rsidR="00DF65F3">
              <w:rPr>
                <w:webHidden/>
              </w:rPr>
              <w:tab/>
            </w:r>
            <w:r w:rsidR="00DF65F3">
              <w:rPr>
                <w:webHidden/>
              </w:rPr>
              <w:fldChar w:fldCharType="begin"/>
            </w:r>
            <w:r w:rsidR="00DF65F3">
              <w:rPr>
                <w:webHidden/>
              </w:rPr>
              <w:instrText xml:space="preserve"> PAGEREF _Toc12533010 \h </w:instrText>
            </w:r>
            <w:r w:rsidR="00DF65F3">
              <w:rPr>
                <w:webHidden/>
              </w:rPr>
            </w:r>
            <w:r w:rsidR="00DF65F3">
              <w:rPr>
                <w:webHidden/>
              </w:rPr>
              <w:fldChar w:fldCharType="separate"/>
            </w:r>
            <w:r w:rsidR="00F755B7">
              <w:rPr>
                <w:webHidden/>
              </w:rPr>
              <w:t>341</w:t>
            </w:r>
            <w:r w:rsidR="00DF65F3">
              <w:rPr>
                <w:webHidden/>
              </w:rPr>
              <w:fldChar w:fldCharType="end"/>
            </w:r>
          </w:hyperlink>
        </w:p>
        <w:p w14:paraId="7BDC77EF" w14:textId="40EEEC22" w:rsidR="00DF65F3" w:rsidRDefault="00870777">
          <w:pPr>
            <w:pStyle w:val="Spistreci4"/>
            <w:rPr>
              <w:sz w:val="22"/>
              <w:lang w:val="en-GB" w:eastAsia="en-GB"/>
            </w:rPr>
          </w:pPr>
          <w:hyperlink w:anchor="_Toc12533011" w:history="1">
            <w:r w:rsidR="00DF65F3" w:rsidRPr="004815D6">
              <w:rPr>
                <w:rStyle w:val="Hipercze"/>
              </w:rPr>
              <w:t>CS ADR-DSN.D.250     Łuki na drodze kołowania</w:t>
            </w:r>
            <w:r w:rsidR="00DF65F3">
              <w:rPr>
                <w:webHidden/>
              </w:rPr>
              <w:tab/>
            </w:r>
            <w:r w:rsidR="00DF65F3">
              <w:rPr>
                <w:webHidden/>
              </w:rPr>
              <w:fldChar w:fldCharType="begin"/>
            </w:r>
            <w:r w:rsidR="00DF65F3">
              <w:rPr>
                <w:webHidden/>
              </w:rPr>
              <w:instrText xml:space="preserve"> PAGEREF _Toc12533011 \h </w:instrText>
            </w:r>
            <w:r w:rsidR="00DF65F3">
              <w:rPr>
                <w:webHidden/>
              </w:rPr>
            </w:r>
            <w:r w:rsidR="00DF65F3">
              <w:rPr>
                <w:webHidden/>
              </w:rPr>
              <w:fldChar w:fldCharType="separate"/>
            </w:r>
            <w:r w:rsidR="00F755B7">
              <w:rPr>
                <w:webHidden/>
              </w:rPr>
              <w:t>341</w:t>
            </w:r>
            <w:r w:rsidR="00DF65F3">
              <w:rPr>
                <w:webHidden/>
              </w:rPr>
              <w:fldChar w:fldCharType="end"/>
            </w:r>
          </w:hyperlink>
        </w:p>
        <w:p w14:paraId="53F217B7" w14:textId="0F835207" w:rsidR="00DF65F3" w:rsidRDefault="00870777">
          <w:pPr>
            <w:pStyle w:val="Spistreci6"/>
            <w:rPr>
              <w:sz w:val="22"/>
              <w:lang w:val="en-GB" w:eastAsia="en-GB"/>
            </w:rPr>
          </w:pPr>
          <w:hyperlink w:anchor="_Toc12533012" w:history="1">
            <w:r w:rsidR="00DF65F3" w:rsidRPr="004815D6">
              <w:rPr>
                <w:rStyle w:val="Hipercze"/>
              </w:rPr>
              <w:t>GM1 ADR-DSN.D.250     Łuki na drodze kołowania</w:t>
            </w:r>
            <w:r w:rsidR="00DF65F3">
              <w:rPr>
                <w:webHidden/>
              </w:rPr>
              <w:tab/>
            </w:r>
            <w:r w:rsidR="00DF65F3">
              <w:rPr>
                <w:webHidden/>
              </w:rPr>
              <w:fldChar w:fldCharType="begin"/>
            </w:r>
            <w:r w:rsidR="00DF65F3">
              <w:rPr>
                <w:webHidden/>
              </w:rPr>
              <w:instrText xml:space="preserve"> PAGEREF _Toc12533012 \h </w:instrText>
            </w:r>
            <w:r w:rsidR="00DF65F3">
              <w:rPr>
                <w:webHidden/>
              </w:rPr>
            </w:r>
            <w:r w:rsidR="00DF65F3">
              <w:rPr>
                <w:webHidden/>
              </w:rPr>
              <w:fldChar w:fldCharType="separate"/>
            </w:r>
            <w:r w:rsidR="00F755B7">
              <w:rPr>
                <w:webHidden/>
              </w:rPr>
              <w:t>341</w:t>
            </w:r>
            <w:r w:rsidR="00DF65F3">
              <w:rPr>
                <w:webHidden/>
              </w:rPr>
              <w:fldChar w:fldCharType="end"/>
            </w:r>
          </w:hyperlink>
        </w:p>
        <w:p w14:paraId="0984A61E" w14:textId="48237FA5" w:rsidR="00DF65F3" w:rsidRDefault="00870777">
          <w:pPr>
            <w:pStyle w:val="Spistreci4"/>
            <w:rPr>
              <w:sz w:val="22"/>
              <w:lang w:val="en-GB" w:eastAsia="en-GB"/>
            </w:rPr>
          </w:pPr>
          <w:hyperlink w:anchor="_Toc12533013" w:history="1">
            <w:r w:rsidR="00DF65F3" w:rsidRPr="004815D6">
              <w:rPr>
                <w:rStyle w:val="Hipercze"/>
              </w:rPr>
              <w:t>CS ADR-DSN.D.255     Połączenia i skrzyżowania dróg kołowania</w:t>
            </w:r>
            <w:r w:rsidR="00DF65F3">
              <w:rPr>
                <w:webHidden/>
              </w:rPr>
              <w:tab/>
            </w:r>
            <w:r w:rsidR="00DF65F3">
              <w:rPr>
                <w:webHidden/>
              </w:rPr>
              <w:fldChar w:fldCharType="begin"/>
            </w:r>
            <w:r w:rsidR="00DF65F3">
              <w:rPr>
                <w:webHidden/>
              </w:rPr>
              <w:instrText xml:space="preserve"> PAGEREF _Toc12533013 \h </w:instrText>
            </w:r>
            <w:r w:rsidR="00DF65F3">
              <w:rPr>
                <w:webHidden/>
              </w:rPr>
            </w:r>
            <w:r w:rsidR="00DF65F3">
              <w:rPr>
                <w:webHidden/>
              </w:rPr>
              <w:fldChar w:fldCharType="separate"/>
            </w:r>
            <w:r w:rsidR="00F755B7">
              <w:rPr>
                <w:webHidden/>
              </w:rPr>
              <w:t>342</w:t>
            </w:r>
            <w:r w:rsidR="00DF65F3">
              <w:rPr>
                <w:webHidden/>
              </w:rPr>
              <w:fldChar w:fldCharType="end"/>
            </w:r>
          </w:hyperlink>
        </w:p>
        <w:p w14:paraId="40E5902F" w14:textId="25C362A4" w:rsidR="00DF65F3" w:rsidRDefault="00870777">
          <w:pPr>
            <w:pStyle w:val="Spistreci6"/>
            <w:rPr>
              <w:sz w:val="22"/>
              <w:lang w:val="en-GB" w:eastAsia="en-GB"/>
            </w:rPr>
          </w:pPr>
          <w:hyperlink w:anchor="_Toc12533014" w:history="1">
            <w:r w:rsidR="00DF65F3" w:rsidRPr="004815D6">
              <w:rPr>
                <w:rStyle w:val="Hipercze"/>
              </w:rPr>
              <w:t>GM1 ADR-DSN.D.255     Połączenia i skrzyżowania dróg kołowania</w:t>
            </w:r>
            <w:r w:rsidR="00DF65F3">
              <w:rPr>
                <w:webHidden/>
              </w:rPr>
              <w:tab/>
            </w:r>
            <w:r w:rsidR="00DF65F3">
              <w:rPr>
                <w:webHidden/>
              </w:rPr>
              <w:fldChar w:fldCharType="begin"/>
            </w:r>
            <w:r w:rsidR="00DF65F3">
              <w:rPr>
                <w:webHidden/>
              </w:rPr>
              <w:instrText xml:space="preserve"> PAGEREF _Toc12533014 \h </w:instrText>
            </w:r>
            <w:r w:rsidR="00DF65F3">
              <w:rPr>
                <w:webHidden/>
              </w:rPr>
            </w:r>
            <w:r w:rsidR="00DF65F3">
              <w:rPr>
                <w:webHidden/>
              </w:rPr>
              <w:fldChar w:fldCharType="separate"/>
            </w:r>
            <w:r w:rsidR="00F755B7">
              <w:rPr>
                <w:webHidden/>
              </w:rPr>
              <w:t>342</w:t>
            </w:r>
            <w:r w:rsidR="00DF65F3">
              <w:rPr>
                <w:webHidden/>
              </w:rPr>
              <w:fldChar w:fldCharType="end"/>
            </w:r>
          </w:hyperlink>
        </w:p>
        <w:p w14:paraId="41D93942" w14:textId="0566D66F" w:rsidR="00DF65F3" w:rsidRDefault="00870777">
          <w:pPr>
            <w:pStyle w:val="Spistreci4"/>
            <w:rPr>
              <w:sz w:val="22"/>
              <w:lang w:val="en-GB" w:eastAsia="en-GB"/>
            </w:rPr>
          </w:pPr>
          <w:hyperlink w:anchor="_Toc12533015" w:history="1">
            <w:r w:rsidR="00DF65F3" w:rsidRPr="004815D6">
              <w:rPr>
                <w:rStyle w:val="Hipercze"/>
              </w:rPr>
              <w:t>CS ADR-DSN.D.260     Minimalne odległości separacji na drogach kołowania</w:t>
            </w:r>
            <w:r w:rsidR="00DF65F3">
              <w:rPr>
                <w:webHidden/>
              </w:rPr>
              <w:tab/>
            </w:r>
            <w:r w:rsidR="00DF65F3">
              <w:rPr>
                <w:webHidden/>
              </w:rPr>
              <w:fldChar w:fldCharType="begin"/>
            </w:r>
            <w:r w:rsidR="00DF65F3">
              <w:rPr>
                <w:webHidden/>
              </w:rPr>
              <w:instrText xml:space="preserve"> PAGEREF _Toc12533015 \h </w:instrText>
            </w:r>
            <w:r w:rsidR="00DF65F3">
              <w:rPr>
                <w:webHidden/>
              </w:rPr>
            </w:r>
            <w:r w:rsidR="00DF65F3">
              <w:rPr>
                <w:webHidden/>
              </w:rPr>
              <w:fldChar w:fldCharType="separate"/>
            </w:r>
            <w:r w:rsidR="00F755B7">
              <w:rPr>
                <w:webHidden/>
              </w:rPr>
              <w:t>343</w:t>
            </w:r>
            <w:r w:rsidR="00DF65F3">
              <w:rPr>
                <w:webHidden/>
              </w:rPr>
              <w:fldChar w:fldCharType="end"/>
            </w:r>
          </w:hyperlink>
        </w:p>
        <w:p w14:paraId="45767F2E" w14:textId="20D78C0C" w:rsidR="00DF65F3" w:rsidRDefault="00870777">
          <w:pPr>
            <w:pStyle w:val="Spistreci6"/>
            <w:rPr>
              <w:sz w:val="22"/>
              <w:lang w:val="en-GB" w:eastAsia="en-GB"/>
            </w:rPr>
          </w:pPr>
          <w:hyperlink w:anchor="_Toc12533016" w:history="1">
            <w:r w:rsidR="00DF65F3" w:rsidRPr="004815D6">
              <w:rPr>
                <w:rStyle w:val="Hipercze"/>
              </w:rPr>
              <w:t>GM1 ADR-DSN.D.260     Minimalne odległości separacji na drogach kołowania</w:t>
            </w:r>
            <w:r w:rsidR="00DF65F3">
              <w:rPr>
                <w:webHidden/>
              </w:rPr>
              <w:tab/>
            </w:r>
            <w:r w:rsidR="00DF65F3">
              <w:rPr>
                <w:webHidden/>
              </w:rPr>
              <w:fldChar w:fldCharType="begin"/>
            </w:r>
            <w:r w:rsidR="00DF65F3">
              <w:rPr>
                <w:webHidden/>
              </w:rPr>
              <w:instrText xml:space="preserve"> PAGEREF _Toc12533016 \h </w:instrText>
            </w:r>
            <w:r w:rsidR="00DF65F3">
              <w:rPr>
                <w:webHidden/>
              </w:rPr>
            </w:r>
            <w:r w:rsidR="00DF65F3">
              <w:rPr>
                <w:webHidden/>
              </w:rPr>
              <w:fldChar w:fldCharType="separate"/>
            </w:r>
            <w:r w:rsidR="00F755B7">
              <w:rPr>
                <w:webHidden/>
              </w:rPr>
              <w:t>344</w:t>
            </w:r>
            <w:r w:rsidR="00DF65F3">
              <w:rPr>
                <w:webHidden/>
              </w:rPr>
              <w:fldChar w:fldCharType="end"/>
            </w:r>
          </w:hyperlink>
        </w:p>
        <w:p w14:paraId="6DF9D842" w14:textId="77CC9C6D" w:rsidR="00DF65F3" w:rsidRDefault="00870777">
          <w:pPr>
            <w:pStyle w:val="Spistreci4"/>
            <w:rPr>
              <w:sz w:val="22"/>
              <w:lang w:val="en-GB" w:eastAsia="en-GB"/>
            </w:rPr>
          </w:pPr>
          <w:hyperlink w:anchor="_Toc12533017" w:history="1">
            <w:r w:rsidR="00DF65F3" w:rsidRPr="004815D6">
              <w:rPr>
                <w:rStyle w:val="Hipercze"/>
              </w:rPr>
              <w:t>CS ADR-DSN.D.265     Nachylenia podłużne drogi kołowania</w:t>
            </w:r>
            <w:r w:rsidR="00DF65F3">
              <w:rPr>
                <w:webHidden/>
              </w:rPr>
              <w:tab/>
            </w:r>
            <w:r w:rsidR="00DF65F3">
              <w:rPr>
                <w:webHidden/>
              </w:rPr>
              <w:fldChar w:fldCharType="begin"/>
            </w:r>
            <w:r w:rsidR="00DF65F3">
              <w:rPr>
                <w:webHidden/>
              </w:rPr>
              <w:instrText xml:space="preserve"> PAGEREF _Toc12533017 \h </w:instrText>
            </w:r>
            <w:r w:rsidR="00DF65F3">
              <w:rPr>
                <w:webHidden/>
              </w:rPr>
            </w:r>
            <w:r w:rsidR="00DF65F3">
              <w:rPr>
                <w:webHidden/>
              </w:rPr>
              <w:fldChar w:fldCharType="separate"/>
            </w:r>
            <w:r w:rsidR="00F755B7">
              <w:rPr>
                <w:webHidden/>
              </w:rPr>
              <w:t>344</w:t>
            </w:r>
            <w:r w:rsidR="00DF65F3">
              <w:rPr>
                <w:webHidden/>
              </w:rPr>
              <w:fldChar w:fldCharType="end"/>
            </w:r>
          </w:hyperlink>
        </w:p>
        <w:p w14:paraId="24EA3FEF" w14:textId="50B17953" w:rsidR="00DF65F3" w:rsidRDefault="00870777">
          <w:pPr>
            <w:pStyle w:val="Spistreci6"/>
            <w:rPr>
              <w:sz w:val="22"/>
              <w:lang w:val="en-GB" w:eastAsia="en-GB"/>
            </w:rPr>
          </w:pPr>
          <w:hyperlink w:anchor="_Toc12533018" w:history="1">
            <w:r w:rsidR="00DF65F3" w:rsidRPr="004815D6">
              <w:rPr>
                <w:rStyle w:val="Hipercze"/>
              </w:rPr>
              <w:t>GM1 ADR-DSN.D.265     Nachylenia podłużne drogi kołowania</w:t>
            </w:r>
            <w:r w:rsidR="00DF65F3">
              <w:rPr>
                <w:webHidden/>
              </w:rPr>
              <w:tab/>
            </w:r>
            <w:r w:rsidR="00DF65F3">
              <w:rPr>
                <w:webHidden/>
              </w:rPr>
              <w:fldChar w:fldCharType="begin"/>
            </w:r>
            <w:r w:rsidR="00DF65F3">
              <w:rPr>
                <w:webHidden/>
              </w:rPr>
              <w:instrText xml:space="preserve"> PAGEREF _Toc12533018 \h </w:instrText>
            </w:r>
            <w:r w:rsidR="00DF65F3">
              <w:rPr>
                <w:webHidden/>
              </w:rPr>
            </w:r>
            <w:r w:rsidR="00DF65F3">
              <w:rPr>
                <w:webHidden/>
              </w:rPr>
              <w:fldChar w:fldCharType="separate"/>
            </w:r>
            <w:r w:rsidR="00F755B7">
              <w:rPr>
                <w:webHidden/>
              </w:rPr>
              <w:t>344</w:t>
            </w:r>
            <w:r w:rsidR="00DF65F3">
              <w:rPr>
                <w:webHidden/>
              </w:rPr>
              <w:fldChar w:fldCharType="end"/>
            </w:r>
          </w:hyperlink>
        </w:p>
        <w:p w14:paraId="49A3734A" w14:textId="5E1BD9FA" w:rsidR="00DF65F3" w:rsidRDefault="00870777">
          <w:pPr>
            <w:pStyle w:val="Spistreci4"/>
            <w:rPr>
              <w:sz w:val="22"/>
              <w:lang w:val="en-GB" w:eastAsia="en-GB"/>
            </w:rPr>
          </w:pPr>
          <w:hyperlink w:anchor="_Toc12533019" w:history="1">
            <w:r w:rsidR="00DF65F3" w:rsidRPr="004815D6">
              <w:rPr>
                <w:rStyle w:val="Hipercze"/>
              </w:rPr>
              <w:t>CS ADR-DSN.D.270     Zmiany nachyleń podłużnych drogi kołowania</w:t>
            </w:r>
            <w:r w:rsidR="00DF65F3">
              <w:rPr>
                <w:webHidden/>
              </w:rPr>
              <w:tab/>
            </w:r>
            <w:r w:rsidR="00DF65F3">
              <w:rPr>
                <w:webHidden/>
              </w:rPr>
              <w:fldChar w:fldCharType="begin"/>
            </w:r>
            <w:r w:rsidR="00DF65F3">
              <w:rPr>
                <w:webHidden/>
              </w:rPr>
              <w:instrText xml:space="preserve"> PAGEREF _Toc12533019 \h </w:instrText>
            </w:r>
            <w:r w:rsidR="00DF65F3">
              <w:rPr>
                <w:webHidden/>
              </w:rPr>
            </w:r>
            <w:r w:rsidR="00DF65F3">
              <w:rPr>
                <w:webHidden/>
              </w:rPr>
              <w:fldChar w:fldCharType="separate"/>
            </w:r>
            <w:r w:rsidR="00F755B7">
              <w:rPr>
                <w:webHidden/>
              </w:rPr>
              <w:t>345</w:t>
            </w:r>
            <w:r w:rsidR="00DF65F3">
              <w:rPr>
                <w:webHidden/>
              </w:rPr>
              <w:fldChar w:fldCharType="end"/>
            </w:r>
          </w:hyperlink>
        </w:p>
        <w:p w14:paraId="1E8AB1F4" w14:textId="5098BC76" w:rsidR="00DF65F3" w:rsidRDefault="00870777">
          <w:pPr>
            <w:pStyle w:val="Spistreci6"/>
            <w:rPr>
              <w:sz w:val="22"/>
              <w:lang w:val="en-GB" w:eastAsia="en-GB"/>
            </w:rPr>
          </w:pPr>
          <w:hyperlink w:anchor="_Toc12533020" w:history="1">
            <w:r w:rsidR="00DF65F3" w:rsidRPr="004815D6">
              <w:rPr>
                <w:rStyle w:val="Hipercze"/>
              </w:rPr>
              <w:t>GM1 ADR-DSN.D.270     Zmiany nachyleń podłużnych drogi kołowania</w:t>
            </w:r>
            <w:r w:rsidR="00DF65F3">
              <w:rPr>
                <w:webHidden/>
              </w:rPr>
              <w:tab/>
            </w:r>
            <w:r w:rsidR="00DF65F3">
              <w:rPr>
                <w:webHidden/>
              </w:rPr>
              <w:fldChar w:fldCharType="begin"/>
            </w:r>
            <w:r w:rsidR="00DF65F3">
              <w:rPr>
                <w:webHidden/>
              </w:rPr>
              <w:instrText xml:space="preserve"> PAGEREF _Toc12533020 \h </w:instrText>
            </w:r>
            <w:r w:rsidR="00DF65F3">
              <w:rPr>
                <w:webHidden/>
              </w:rPr>
            </w:r>
            <w:r w:rsidR="00DF65F3">
              <w:rPr>
                <w:webHidden/>
              </w:rPr>
              <w:fldChar w:fldCharType="separate"/>
            </w:r>
            <w:r w:rsidR="00F755B7">
              <w:rPr>
                <w:webHidden/>
              </w:rPr>
              <w:t>345</w:t>
            </w:r>
            <w:r w:rsidR="00DF65F3">
              <w:rPr>
                <w:webHidden/>
              </w:rPr>
              <w:fldChar w:fldCharType="end"/>
            </w:r>
          </w:hyperlink>
        </w:p>
        <w:p w14:paraId="49D9AFD6" w14:textId="4A89080C" w:rsidR="00DF65F3" w:rsidRDefault="00870777">
          <w:pPr>
            <w:pStyle w:val="Spistreci4"/>
            <w:rPr>
              <w:sz w:val="22"/>
              <w:lang w:val="en-GB" w:eastAsia="en-GB"/>
            </w:rPr>
          </w:pPr>
          <w:hyperlink w:anchor="_Toc12533021" w:history="1">
            <w:r w:rsidR="00DF65F3" w:rsidRPr="004815D6">
              <w:rPr>
                <w:rStyle w:val="Hipercze"/>
              </w:rPr>
              <w:t>CS ADR-DSN.D.275     Zasięg widoczności na drodze kołowania</w:t>
            </w:r>
            <w:r w:rsidR="00DF65F3">
              <w:rPr>
                <w:webHidden/>
              </w:rPr>
              <w:tab/>
            </w:r>
            <w:r w:rsidR="00DF65F3">
              <w:rPr>
                <w:webHidden/>
              </w:rPr>
              <w:fldChar w:fldCharType="begin"/>
            </w:r>
            <w:r w:rsidR="00DF65F3">
              <w:rPr>
                <w:webHidden/>
              </w:rPr>
              <w:instrText xml:space="preserve"> PAGEREF _Toc12533021 \h </w:instrText>
            </w:r>
            <w:r w:rsidR="00DF65F3">
              <w:rPr>
                <w:webHidden/>
              </w:rPr>
            </w:r>
            <w:r w:rsidR="00DF65F3">
              <w:rPr>
                <w:webHidden/>
              </w:rPr>
              <w:fldChar w:fldCharType="separate"/>
            </w:r>
            <w:r w:rsidR="00F755B7">
              <w:rPr>
                <w:webHidden/>
              </w:rPr>
              <w:t>345</w:t>
            </w:r>
            <w:r w:rsidR="00DF65F3">
              <w:rPr>
                <w:webHidden/>
              </w:rPr>
              <w:fldChar w:fldCharType="end"/>
            </w:r>
          </w:hyperlink>
        </w:p>
        <w:p w14:paraId="3F3B888C" w14:textId="472AADF0" w:rsidR="00DF65F3" w:rsidRDefault="00870777">
          <w:pPr>
            <w:pStyle w:val="Spistreci6"/>
            <w:rPr>
              <w:sz w:val="22"/>
              <w:lang w:val="en-GB" w:eastAsia="en-GB"/>
            </w:rPr>
          </w:pPr>
          <w:hyperlink w:anchor="_Toc12533022" w:history="1">
            <w:r w:rsidR="00DF65F3" w:rsidRPr="004815D6">
              <w:rPr>
                <w:rStyle w:val="Hipercze"/>
              </w:rPr>
              <w:t>GM1 ADR-DSN.D.275     Zasięg widoczności na drodze kołowania</w:t>
            </w:r>
            <w:r w:rsidR="00DF65F3">
              <w:rPr>
                <w:webHidden/>
              </w:rPr>
              <w:tab/>
            </w:r>
            <w:r w:rsidR="00DF65F3">
              <w:rPr>
                <w:webHidden/>
              </w:rPr>
              <w:fldChar w:fldCharType="begin"/>
            </w:r>
            <w:r w:rsidR="00DF65F3">
              <w:rPr>
                <w:webHidden/>
              </w:rPr>
              <w:instrText xml:space="preserve"> PAGEREF _Toc12533022 \h </w:instrText>
            </w:r>
            <w:r w:rsidR="00DF65F3">
              <w:rPr>
                <w:webHidden/>
              </w:rPr>
            </w:r>
            <w:r w:rsidR="00DF65F3">
              <w:rPr>
                <w:webHidden/>
              </w:rPr>
              <w:fldChar w:fldCharType="separate"/>
            </w:r>
            <w:r w:rsidR="00F755B7">
              <w:rPr>
                <w:webHidden/>
              </w:rPr>
              <w:t>345</w:t>
            </w:r>
            <w:r w:rsidR="00DF65F3">
              <w:rPr>
                <w:webHidden/>
              </w:rPr>
              <w:fldChar w:fldCharType="end"/>
            </w:r>
          </w:hyperlink>
        </w:p>
        <w:p w14:paraId="69F23A99" w14:textId="2F302A0C" w:rsidR="00DF65F3" w:rsidRDefault="00870777">
          <w:pPr>
            <w:pStyle w:val="Spistreci4"/>
            <w:rPr>
              <w:sz w:val="22"/>
              <w:lang w:val="en-GB" w:eastAsia="en-GB"/>
            </w:rPr>
          </w:pPr>
          <w:hyperlink w:anchor="_Toc12533023" w:history="1">
            <w:r w:rsidR="00DF65F3" w:rsidRPr="004815D6">
              <w:rPr>
                <w:rStyle w:val="Hipercze"/>
              </w:rPr>
              <w:t>CS ADR-DSN.D.280     Nachylenie poprzeczne drogi kołowania</w:t>
            </w:r>
            <w:r w:rsidR="00DF65F3">
              <w:rPr>
                <w:webHidden/>
              </w:rPr>
              <w:tab/>
            </w:r>
            <w:r w:rsidR="00DF65F3">
              <w:rPr>
                <w:webHidden/>
              </w:rPr>
              <w:fldChar w:fldCharType="begin"/>
            </w:r>
            <w:r w:rsidR="00DF65F3">
              <w:rPr>
                <w:webHidden/>
              </w:rPr>
              <w:instrText xml:space="preserve"> PAGEREF _Toc12533023 \h </w:instrText>
            </w:r>
            <w:r w:rsidR="00DF65F3">
              <w:rPr>
                <w:webHidden/>
              </w:rPr>
            </w:r>
            <w:r w:rsidR="00DF65F3">
              <w:rPr>
                <w:webHidden/>
              </w:rPr>
              <w:fldChar w:fldCharType="separate"/>
            </w:r>
            <w:r w:rsidR="00F755B7">
              <w:rPr>
                <w:webHidden/>
              </w:rPr>
              <w:t>345</w:t>
            </w:r>
            <w:r w:rsidR="00DF65F3">
              <w:rPr>
                <w:webHidden/>
              </w:rPr>
              <w:fldChar w:fldCharType="end"/>
            </w:r>
          </w:hyperlink>
        </w:p>
        <w:p w14:paraId="0CBEF453" w14:textId="08FE3655" w:rsidR="00DF65F3" w:rsidRDefault="00870777">
          <w:pPr>
            <w:pStyle w:val="Spistreci6"/>
            <w:rPr>
              <w:sz w:val="22"/>
              <w:lang w:val="en-GB" w:eastAsia="en-GB"/>
            </w:rPr>
          </w:pPr>
          <w:hyperlink w:anchor="_Toc12533024" w:history="1">
            <w:r w:rsidR="00DF65F3" w:rsidRPr="004815D6">
              <w:rPr>
                <w:rStyle w:val="Hipercze"/>
              </w:rPr>
              <w:t>GM1 ADR-DSN.D.280     Nachylenie poprzeczne drogi kołowania</w:t>
            </w:r>
            <w:r w:rsidR="00DF65F3">
              <w:rPr>
                <w:webHidden/>
              </w:rPr>
              <w:tab/>
            </w:r>
            <w:r w:rsidR="00DF65F3">
              <w:rPr>
                <w:webHidden/>
              </w:rPr>
              <w:fldChar w:fldCharType="begin"/>
            </w:r>
            <w:r w:rsidR="00DF65F3">
              <w:rPr>
                <w:webHidden/>
              </w:rPr>
              <w:instrText xml:space="preserve"> PAGEREF _Toc12533024 \h </w:instrText>
            </w:r>
            <w:r w:rsidR="00DF65F3">
              <w:rPr>
                <w:webHidden/>
              </w:rPr>
            </w:r>
            <w:r w:rsidR="00DF65F3">
              <w:rPr>
                <w:webHidden/>
              </w:rPr>
              <w:fldChar w:fldCharType="separate"/>
            </w:r>
            <w:r w:rsidR="00F755B7">
              <w:rPr>
                <w:webHidden/>
              </w:rPr>
              <w:t>346</w:t>
            </w:r>
            <w:r w:rsidR="00DF65F3">
              <w:rPr>
                <w:webHidden/>
              </w:rPr>
              <w:fldChar w:fldCharType="end"/>
            </w:r>
          </w:hyperlink>
        </w:p>
        <w:p w14:paraId="14AFC77B" w14:textId="3F2FA499" w:rsidR="00DF65F3" w:rsidRDefault="00870777">
          <w:pPr>
            <w:pStyle w:val="Spistreci4"/>
            <w:rPr>
              <w:sz w:val="22"/>
              <w:lang w:val="en-GB" w:eastAsia="en-GB"/>
            </w:rPr>
          </w:pPr>
          <w:hyperlink w:anchor="_Toc12533025" w:history="1">
            <w:r w:rsidR="00DF65F3" w:rsidRPr="004815D6">
              <w:rPr>
                <w:rStyle w:val="Hipercze"/>
              </w:rPr>
              <w:t>CS ADR-DSN.D.285     Nośność dróg kołowania</w:t>
            </w:r>
            <w:r w:rsidR="00DF65F3">
              <w:rPr>
                <w:webHidden/>
              </w:rPr>
              <w:tab/>
            </w:r>
            <w:r w:rsidR="00DF65F3">
              <w:rPr>
                <w:webHidden/>
              </w:rPr>
              <w:fldChar w:fldCharType="begin"/>
            </w:r>
            <w:r w:rsidR="00DF65F3">
              <w:rPr>
                <w:webHidden/>
              </w:rPr>
              <w:instrText xml:space="preserve"> PAGEREF _Toc12533025 \h </w:instrText>
            </w:r>
            <w:r w:rsidR="00DF65F3">
              <w:rPr>
                <w:webHidden/>
              </w:rPr>
            </w:r>
            <w:r w:rsidR="00DF65F3">
              <w:rPr>
                <w:webHidden/>
              </w:rPr>
              <w:fldChar w:fldCharType="separate"/>
            </w:r>
            <w:r w:rsidR="00F755B7">
              <w:rPr>
                <w:webHidden/>
              </w:rPr>
              <w:t>346</w:t>
            </w:r>
            <w:r w:rsidR="00DF65F3">
              <w:rPr>
                <w:webHidden/>
              </w:rPr>
              <w:fldChar w:fldCharType="end"/>
            </w:r>
          </w:hyperlink>
        </w:p>
        <w:p w14:paraId="36847D6B" w14:textId="6819F2D2" w:rsidR="00DF65F3" w:rsidRDefault="00870777">
          <w:pPr>
            <w:pStyle w:val="Spistreci6"/>
            <w:rPr>
              <w:sz w:val="22"/>
              <w:lang w:val="en-GB" w:eastAsia="en-GB"/>
            </w:rPr>
          </w:pPr>
          <w:hyperlink w:anchor="_Toc12533026" w:history="1">
            <w:r w:rsidR="00DF65F3" w:rsidRPr="004815D6">
              <w:rPr>
                <w:rStyle w:val="Hipercze"/>
              </w:rPr>
              <w:t>GM1 ADR-DSN.D.285     Nośność drogi kołowania</w:t>
            </w:r>
            <w:r w:rsidR="00DF65F3">
              <w:rPr>
                <w:webHidden/>
              </w:rPr>
              <w:tab/>
            </w:r>
            <w:r w:rsidR="00DF65F3">
              <w:rPr>
                <w:webHidden/>
              </w:rPr>
              <w:fldChar w:fldCharType="begin"/>
            </w:r>
            <w:r w:rsidR="00DF65F3">
              <w:rPr>
                <w:webHidden/>
              </w:rPr>
              <w:instrText xml:space="preserve"> PAGEREF _Toc12533026 \h </w:instrText>
            </w:r>
            <w:r w:rsidR="00DF65F3">
              <w:rPr>
                <w:webHidden/>
              </w:rPr>
            </w:r>
            <w:r w:rsidR="00DF65F3">
              <w:rPr>
                <w:webHidden/>
              </w:rPr>
              <w:fldChar w:fldCharType="separate"/>
            </w:r>
            <w:r w:rsidR="00F755B7">
              <w:rPr>
                <w:webHidden/>
              </w:rPr>
              <w:t>346</w:t>
            </w:r>
            <w:r w:rsidR="00DF65F3">
              <w:rPr>
                <w:webHidden/>
              </w:rPr>
              <w:fldChar w:fldCharType="end"/>
            </w:r>
          </w:hyperlink>
        </w:p>
        <w:p w14:paraId="13CC5381" w14:textId="0614CDF7" w:rsidR="00DF65F3" w:rsidRDefault="00870777">
          <w:pPr>
            <w:pStyle w:val="Spistreci4"/>
            <w:rPr>
              <w:sz w:val="22"/>
              <w:lang w:val="en-GB" w:eastAsia="en-GB"/>
            </w:rPr>
          </w:pPr>
          <w:hyperlink w:anchor="_Toc12533027" w:history="1">
            <w:r w:rsidR="00DF65F3" w:rsidRPr="004815D6">
              <w:rPr>
                <w:rStyle w:val="Hipercze"/>
              </w:rPr>
              <w:t>CS ADR-DSN.D.290     Powierzchnia drogi kołowania</w:t>
            </w:r>
            <w:r w:rsidR="00DF65F3">
              <w:rPr>
                <w:webHidden/>
              </w:rPr>
              <w:tab/>
            </w:r>
            <w:r w:rsidR="00DF65F3">
              <w:rPr>
                <w:webHidden/>
              </w:rPr>
              <w:fldChar w:fldCharType="begin"/>
            </w:r>
            <w:r w:rsidR="00DF65F3">
              <w:rPr>
                <w:webHidden/>
              </w:rPr>
              <w:instrText xml:space="preserve"> PAGEREF _Toc12533027 \h </w:instrText>
            </w:r>
            <w:r w:rsidR="00DF65F3">
              <w:rPr>
                <w:webHidden/>
              </w:rPr>
            </w:r>
            <w:r w:rsidR="00DF65F3">
              <w:rPr>
                <w:webHidden/>
              </w:rPr>
              <w:fldChar w:fldCharType="separate"/>
            </w:r>
            <w:r w:rsidR="00F755B7">
              <w:rPr>
                <w:webHidden/>
              </w:rPr>
              <w:t>346</w:t>
            </w:r>
            <w:r w:rsidR="00DF65F3">
              <w:rPr>
                <w:webHidden/>
              </w:rPr>
              <w:fldChar w:fldCharType="end"/>
            </w:r>
          </w:hyperlink>
        </w:p>
        <w:p w14:paraId="20AC4957" w14:textId="7463573F" w:rsidR="00DF65F3" w:rsidRDefault="00870777">
          <w:pPr>
            <w:pStyle w:val="Spistreci6"/>
            <w:rPr>
              <w:sz w:val="22"/>
              <w:lang w:val="en-GB" w:eastAsia="en-GB"/>
            </w:rPr>
          </w:pPr>
          <w:hyperlink w:anchor="_Toc12533028" w:history="1">
            <w:r w:rsidR="00DF65F3" w:rsidRPr="004815D6">
              <w:rPr>
                <w:rStyle w:val="Hipercze"/>
              </w:rPr>
              <w:t>GM1 ADR-DSN.D.290     Powierzchnia drogi kołowania</w:t>
            </w:r>
            <w:r w:rsidR="00DF65F3">
              <w:rPr>
                <w:webHidden/>
              </w:rPr>
              <w:tab/>
            </w:r>
            <w:r w:rsidR="00DF65F3">
              <w:rPr>
                <w:webHidden/>
              </w:rPr>
              <w:fldChar w:fldCharType="begin"/>
            </w:r>
            <w:r w:rsidR="00DF65F3">
              <w:rPr>
                <w:webHidden/>
              </w:rPr>
              <w:instrText xml:space="preserve"> PAGEREF _Toc12533028 \h </w:instrText>
            </w:r>
            <w:r w:rsidR="00DF65F3">
              <w:rPr>
                <w:webHidden/>
              </w:rPr>
            </w:r>
            <w:r w:rsidR="00DF65F3">
              <w:rPr>
                <w:webHidden/>
              </w:rPr>
              <w:fldChar w:fldCharType="separate"/>
            </w:r>
            <w:r w:rsidR="00F755B7">
              <w:rPr>
                <w:webHidden/>
              </w:rPr>
              <w:t>346</w:t>
            </w:r>
            <w:r w:rsidR="00DF65F3">
              <w:rPr>
                <w:webHidden/>
              </w:rPr>
              <w:fldChar w:fldCharType="end"/>
            </w:r>
          </w:hyperlink>
        </w:p>
        <w:p w14:paraId="0C866168" w14:textId="6937A01A" w:rsidR="00DF65F3" w:rsidRDefault="00870777">
          <w:pPr>
            <w:pStyle w:val="Spistreci4"/>
            <w:rPr>
              <w:sz w:val="22"/>
              <w:lang w:val="en-GB" w:eastAsia="en-GB"/>
            </w:rPr>
          </w:pPr>
          <w:hyperlink w:anchor="_Toc12533029" w:history="1">
            <w:r w:rsidR="00DF65F3" w:rsidRPr="004815D6">
              <w:rPr>
                <w:rStyle w:val="Hipercze"/>
              </w:rPr>
              <w:t>CS ADR-DSN.D.295     Droga kołowania szybkiego zjazdu</w:t>
            </w:r>
            <w:r w:rsidR="00DF65F3">
              <w:rPr>
                <w:webHidden/>
              </w:rPr>
              <w:tab/>
            </w:r>
            <w:r w:rsidR="00DF65F3">
              <w:rPr>
                <w:webHidden/>
              </w:rPr>
              <w:fldChar w:fldCharType="begin"/>
            </w:r>
            <w:r w:rsidR="00DF65F3">
              <w:rPr>
                <w:webHidden/>
              </w:rPr>
              <w:instrText xml:space="preserve"> PAGEREF _Toc12533029 \h </w:instrText>
            </w:r>
            <w:r w:rsidR="00DF65F3">
              <w:rPr>
                <w:webHidden/>
              </w:rPr>
            </w:r>
            <w:r w:rsidR="00DF65F3">
              <w:rPr>
                <w:webHidden/>
              </w:rPr>
              <w:fldChar w:fldCharType="separate"/>
            </w:r>
            <w:r w:rsidR="00F755B7">
              <w:rPr>
                <w:webHidden/>
              </w:rPr>
              <w:t>346</w:t>
            </w:r>
            <w:r w:rsidR="00DF65F3">
              <w:rPr>
                <w:webHidden/>
              </w:rPr>
              <w:fldChar w:fldCharType="end"/>
            </w:r>
          </w:hyperlink>
        </w:p>
        <w:p w14:paraId="1A537B3F" w14:textId="7B4DD9F0" w:rsidR="00DF65F3" w:rsidRDefault="00870777">
          <w:pPr>
            <w:pStyle w:val="Spistreci6"/>
            <w:rPr>
              <w:sz w:val="22"/>
              <w:lang w:val="en-GB" w:eastAsia="en-GB"/>
            </w:rPr>
          </w:pPr>
          <w:hyperlink w:anchor="_Toc12533030" w:history="1">
            <w:r w:rsidR="00DF65F3" w:rsidRPr="004815D6">
              <w:rPr>
                <w:rStyle w:val="Hipercze"/>
              </w:rPr>
              <w:t>GM1 ADR-DSN.D.295     Droga kołowania szybkiego zjazdu</w:t>
            </w:r>
            <w:r w:rsidR="00DF65F3">
              <w:rPr>
                <w:webHidden/>
              </w:rPr>
              <w:tab/>
            </w:r>
            <w:r w:rsidR="00DF65F3">
              <w:rPr>
                <w:webHidden/>
              </w:rPr>
              <w:fldChar w:fldCharType="begin"/>
            </w:r>
            <w:r w:rsidR="00DF65F3">
              <w:rPr>
                <w:webHidden/>
              </w:rPr>
              <w:instrText xml:space="preserve"> PAGEREF _Toc12533030 \h </w:instrText>
            </w:r>
            <w:r w:rsidR="00DF65F3">
              <w:rPr>
                <w:webHidden/>
              </w:rPr>
            </w:r>
            <w:r w:rsidR="00DF65F3">
              <w:rPr>
                <w:webHidden/>
              </w:rPr>
              <w:fldChar w:fldCharType="separate"/>
            </w:r>
            <w:r w:rsidR="00F755B7">
              <w:rPr>
                <w:webHidden/>
              </w:rPr>
              <w:t>347</w:t>
            </w:r>
            <w:r w:rsidR="00DF65F3">
              <w:rPr>
                <w:webHidden/>
              </w:rPr>
              <w:fldChar w:fldCharType="end"/>
            </w:r>
          </w:hyperlink>
        </w:p>
        <w:p w14:paraId="0FABD6AA" w14:textId="6ED5E1AA" w:rsidR="00DF65F3" w:rsidRDefault="00870777">
          <w:pPr>
            <w:pStyle w:val="Spistreci4"/>
            <w:rPr>
              <w:sz w:val="22"/>
              <w:lang w:val="en-GB" w:eastAsia="en-GB"/>
            </w:rPr>
          </w:pPr>
          <w:hyperlink w:anchor="_Toc12533031" w:history="1">
            <w:r w:rsidR="00DF65F3" w:rsidRPr="004815D6">
              <w:rPr>
                <w:rStyle w:val="Hipercze"/>
              </w:rPr>
              <w:t>CS ADR-DSN.D.300     Droga kołowania na wiadukcie</w:t>
            </w:r>
            <w:r w:rsidR="00DF65F3">
              <w:rPr>
                <w:webHidden/>
              </w:rPr>
              <w:tab/>
            </w:r>
            <w:r w:rsidR="00DF65F3">
              <w:rPr>
                <w:webHidden/>
              </w:rPr>
              <w:fldChar w:fldCharType="begin"/>
            </w:r>
            <w:r w:rsidR="00DF65F3">
              <w:rPr>
                <w:webHidden/>
              </w:rPr>
              <w:instrText xml:space="preserve"> PAGEREF _Toc12533031 \h </w:instrText>
            </w:r>
            <w:r w:rsidR="00DF65F3">
              <w:rPr>
                <w:webHidden/>
              </w:rPr>
            </w:r>
            <w:r w:rsidR="00DF65F3">
              <w:rPr>
                <w:webHidden/>
              </w:rPr>
              <w:fldChar w:fldCharType="separate"/>
            </w:r>
            <w:r w:rsidR="00F755B7">
              <w:rPr>
                <w:webHidden/>
              </w:rPr>
              <w:t>348</w:t>
            </w:r>
            <w:r w:rsidR="00DF65F3">
              <w:rPr>
                <w:webHidden/>
              </w:rPr>
              <w:fldChar w:fldCharType="end"/>
            </w:r>
          </w:hyperlink>
        </w:p>
        <w:p w14:paraId="4E56E2C4" w14:textId="7826E464" w:rsidR="00DF65F3" w:rsidRDefault="00870777">
          <w:pPr>
            <w:pStyle w:val="Spistreci6"/>
            <w:rPr>
              <w:sz w:val="22"/>
              <w:lang w:val="en-GB" w:eastAsia="en-GB"/>
            </w:rPr>
          </w:pPr>
          <w:hyperlink w:anchor="_Toc12533032" w:history="1">
            <w:r w:rsidR="00DF65F3" w:rsidRPr="004815D6">
              <w:rPr>
                <w:rStyle w:val="Hipercze"/>
              </w:rPr>
              <w:t>GM1 ADR-DSN.D.300     Droga kołowania na wiadukcie</w:t>
            </w:r>
            <w:r w:rsidR="00DF65F3">
              <w:rPr>
                <w:webHidden/>
              </w:rPr>
              <w:tab/>
            </w:r>
            <w:r w:rsidR="00DF65F3">
              <w:rPr>
                <w:webHidden/>
              </w:rPr>
              <w:fldChar w:fldCharType="begin"/>
            </w:r>
            <w:r w:rsidR="00DF65F3">
              <w:rPr>
                <w:webHidden/>
              </w:rPr>
              <w:instrText xml:space="preserve"> PAGEREF _Toc12533032 \h </w:instrText>
            </w:r>
            <w:r w:rsidR="00DF65F3">
              <w:rPr>
                <w:webHidden/>
              </w:rPr>
            </w:r>
            <w:r w:rsidR="00DF65F3">
              <w:rPr>
                <w:webHidden/>
              </w:rPr>
              <w:fldChar w:fldCharType="separate"/>
            </w:r>
            <w:r w:rsidR="00F755B7">
              <w:rPr>
                <w:webHidden/>
              </w:rPr>
              <w:t>348</w:t>
            </w:r>
            <w:r w:rsidR="00DF65F3">
              <w:rPr>
                <w:webHidden/>
              </w:rPr>
              <w:fldChar w:fldCharType="end"/>
            </w:r>
          </w:hyperlink>
        </w:p>
        <w:p w14:paraId="76465D14" w14:textId="41B983F3" w:rsidR="00DF65F3" w:rsidRDefault="00870777">
          <w:pPr>
            <w:pStyle w:val="Spistreci4"/>
            <w:rPr>
              <w:sz w:val="22"/>
              <w:lang w:val="en-GB" w:eastAsia="en-GB"/>
            </w:rPr>
          </w:pPr>
          <w:hyperlink w:anchor="_Toc12533033" w:history="1">
            <w:r w:rsidR="00DF65F3" w:rsidRPr="004815D6">
              <w:rPr>
                <w:rStyle w:val="Hipercze"/>
              </w:rPr>
              <w:t>CS ADR-DSN.D.305     Pobocza drogi kołowania</w:t>
            </w:r>
            <w:r w:rsidR="00DF65F3">
              <w:rPr>
                <w:webHidden/>
              </w:rPr>
              <w:tab/>
            </w:r>
            <w:r w:rsidR="00DF65F3">
              <w:rPr>
                <w:webHidden/>
              </w:rPr>
              <w:fldChar w:fldCharType="begin"/>
            </w:r>
            <w:r w:rsidR="00DF65F3">
              <w:rPr>
                <w:webHidden/>
              </w:rPr>
              <w:instrText xml:space="preserve"> PAGEREF _Toc12533033 \h </w:instrText>
            </w:r>
            <w:r w:rsidR="00DF65F3">
              <w:rPr>
                <w:webHidden/>
              </w:rPr>
            </w:r>
            <w:r w:rsidR="00DF65F3">
              <w:rPr>
                <w:webHidden/>
              </w:rPr>
              <w:fldChar w:fldCharType="separate"/>
            </w:r>
            <w:r w:rsidR="00F755B7">
              <w:rPr>
                <w:webHidden/>
              </w:rPr>
              <w:t>348</w:t>
            </w:r>
            <w:r w:rsidR="00DF65F3">
              <w:rPr>
                <w:webHidden/>
              </w:rPr>
              <w:fldChar w:fldCharType="end"/>
            </w:r>
          </w:hyperlink>
        </w:p>
        <w:p w14:paraId="046DCD58" w14:textId="16B91EBE" w:rsidR="00DF65F3" w:rsidRDefault="00870777">
          <w:pPr>
            <w:pStyle w:val="Spistreci6"/>
            <w:rPr>
              <w:sz w:val="22"/>
              <w:lang w:val="en-GB" w:eastAsia="en-GB"/>
            </w:rPr>
          </w:pPr>
          <w:hyperlink w:anchor="_Toc12533034" w:history="1">
            <w:r w:rsidR="00DF65F3" w:rsidRPr="004815D6">
              <w:rPr>
                <w:rStyle w:val="Hipercze"/>
              </w:rPr>
              <w:t>GM1 ADR-DSN.D.305     Pobocza drogi kołowania</w:t>
            </w:r>
            <w:r w:rsidR="00DF65F3">
              <w:rPr>
                <w:webHidden/>
              </w:rPr>
              <w:tab/>
            </w:r>
            <w:r w:rsidR="00DF65F3">
              <w:rPr>
                <w:webHidden/>
              </w:rPr>
              <w:fldChar w:fldCharType="begin"/>
            </w:r>
            <w:r w:rsidR="00DF65F3">
              <w:rPr>
                <w:webHidden/>
              </w:rPr>
              <w:instrText xml:space="preserve"> PAGEREF _Toc12533034 \h </w:instrText>
            </w:r>
            <w:r w:rsidR="00DF65F3">
              <w:rPr>
                <w:webHidden/>
              </w:rPr>
            </w:r>
            <w:r w:rsidR="00DF65F3">
              <w:rPr>
                <w:webHidden/>
              </w:rPr>
              <w:fldChar w:fldCharType="separate"/>
            </w:r>
            <w:r w:rsidR="00F755B7">
              <w:rPr>
                <w:webHidden/>
              </w:rPr>
              <w:t>349</w:t>
            </w:r>
            <w:r w:rsidR="00DF65F3">
              <w:rPr>
                <w:webHidden/>
              </w:rPr>
              <w:fldChar w:fldCharType="end"/>
            </w:r>
          </w:hyperlink>
        </w:p>
        <w:p w14:paraId="036B4CDD" w14:textId="79667251" w:rsidR="00DF65F3" w:rsidRDefault="00870777">
          <w:pPr>
            <w:pStyle w:val="Spistreci4"/>
            <w:rPr>
              <w:sz w:val="22"/>
              <w:lang w:val="en-GB" w:eastAsia="en-GB"/>
            </w:rPr>
          </w:pPr>
          <w:hyperlink w:anchor="_Toc12533035" w:history="1">
            <w:r w:rsidR="00DF65F3" w:rsidRPr="004815D6">
              <w:rPr>
                <w:rStyle w:val="Hipercze"/>
              </w:rPr>
              <w:t>CS ADR-DSN.D.310     Pas drogi kołowania</w:t>
            </w:r>
            <w:r w:rsidR="00DF65F3">
              <w:rPr>
                <w:webHidden/>
              </w:rPr>
              <w:tab/>
            </w:r>
            <w:r w:rsidR="00DF65F3">
              <w:rPr>
                <w:webHidden/>
              </w:rPr>
              <w:fldChar w:fldCharType="begin"/>
            </w:r>
            <w:r w:rsidR="00DF65F3">
              <w:rPr>
                <w:webHidden/>
              </w:rPr>
              <w:instrText xml:space="preserve"> PAGEREF _Toc12533035 \h </w:instrText>
            </w:r>
            <w:r w:rsidR="00DF65F3">
              <w:rPr>
                <w:webHidden/>
              </w:rPr>
            </w:r>
            <w:r w:rsidR="00DF65F3">
              <w:rPr>
                <w:webHidden/>
              </w:rPr>
              <w:fldChar w:fldCharType="separate"/>
            </w:r>
            <w:r w:rsidR="00F755B7">
              <w:rPr>
                <w:webHidden/>
              </w:rPr>
              <w:t>349</w:t>
            </w:r>
            <w:r w:rsidR="00DF65F3">
              <w:rPr>
                <w:webHidden/>
              </w:rPr>
              <w:fldChar w:fldCharType="end"/>
            </w:r>
          </w:hyperlink>
        </w:p>
        <w:p w14:paraId="46706DFC" w14:textId="2EAADB7A" w:rsidR="00DF65F3" w:rsidRDefault="00870777">
          <w:pPr>
            <w:pStyle w:val="Spistreci6"/>
            <w:rPr>
              <w:sz w:val="22"/>
              <w:lang w:val="en-GB" w:eastAsia="en-GB"/>
            </w:rPr>
          </w:pPr>
          <w:hyperlink w:anchor="_Toc12533036" w:history="1">
            <w:r w:rsidR="00DF65F3" w:rsidRPr="004815D6">
              <w:rPr>
                <w:rStyle w:val="Hipercze"/>
              </w:rPr>
              <w:t>GM1 ADR-DSN.D.310     Pas drogi kołowania</w:t>
            </w:r>
            <w:r w:rsidR="00DF65F3">
              <w:rPr>
                <w:webHidden/>
              </w:rPr>
              <w:tab/>
            </w:r>
            <w:r w:rsidR="00DF65F3">
              <w:rPr>
                <w:webHidden/>
              </w:rPr>
              <w:fldChar w:fldCharType="begin"/>
            </w:r>
            <w:r w:rsidR="00DF65F3">
              <w:rPr>
                <w:webHidden/>
              </w:rPr>
              <w:instrText xml:space="preserve"> PAGEREF _Toc12533036 \h </w:instrText>
            </w:r>
            <w:r w:rsidR="00DF65F3">
              <w:rPr>
                <w:webHidden/>
              </w:rPr>
            </w:r>
            <w:r w:rsidR="00DF65F3">
              <w:rPr>
                <w:webHidden/>
              </w:rPr>
              <w:fldChar w:fldCharType="separate"/>
            </w:r>
            <w:r w:rsidR="00F755B7">
              <w:rPr>
                <w:webHidden/>
              </w:rPr>
              <w:t>349</w:t>
            </w:r>
            <w:r w:rsidR="00DF65F3">
              <w:rPr>
                <w:webHidden/>
              </w:rPr>
              <w:fldChar w:fldCharType="end"/>
            </w:r>
          </w:hyperlink>
        </w:p>
        <w:p w14:paraId="6238431F" w14:textId="3FFE722E" w:rsidR="00DF65F3" w:rsidRDefault="00870777">
          <w:pPr>
            <w:pStyle w:val="Spistreci4"/>
            <w:rPr>
              <w:sz w:val="22"/>
              <w:lang w:val="en-GB" w:eastAsia="en-GB"/>
            </w:rPr>
          </w:pPr>
          <w:hyperlink w:anchor="_Toc12533037" w:history="1">
            <w:r w:rsidR="00DF65F3" w:rsidRPr="004815D6">
              <w:rPr>
                <w:rStyle w:val="Hipercze"/>
              </w:rPr>
              <w:t>CS ADR-DSN.D.315     Szerokość pasa drogi kołowania</w:t>
            </w:r>
            <w:r w:rsidR="00DF65F3">
              <w:rPr>
                <w:webHidden/>
              </w:rPr>
              <w:tab/>
            </w:r>
            <w:r w:rsidR="00DF65F3">
              <w:rPr>
                <w:webHidden/>
              </w:rPr>
              <w:fldChar w:fldCharType="begin"/>
            </w:r>
            <w:r w:rsidR="00DF65F3">
              <w:rPr>
                <w:webHidden/>
              </w:rPr>
              <w:instrText xml:space="preserve"> PAGEREF _Toc12533037 \h </w:instrText>
            </w:r>
            <w:r w:rsidR="00DF65F3">
              <w:rPr>
                <w:webHidden/>
              </w:rPr>
            </w:r>
            <w:r w:rsidR="00DF65F3">
              <w:rPr>
                <w:webHidden/>
              </w:rPr>
              <w:fldChar w:fldCharType="separate"/>
            </w:r>
            <w:r w:rsidR="00F755B7">
              <w:rPr>
                <w:webHidden/>
              </w:rPr>
              <w:t>349</w:t>
            </w:r>
            <w:r w:rsidR="00DF65F3">
              <w:rPr>
                <w:webHidden/>
              </w:rPr>
              <w:fldChar w:fldCharType="end"/>
            </w:r>
          </w:hyperlink>
        </w:p>
        <w:p w14:paraId="2373EFA7" w14:textId="0731325D" w:rsidR="00DF65F3" w:rsidRDefault="00870777">
          <w:pPr>
            <w:pStyle w:val="Spistreci6"/>
            <w:rPr>
              <w:sz w:val="22"/>
              <w:lang w:val="en-GB" w:eastAsia="en-GB"/>
            </w:rPr>
          </w:pPr>
          <w:hyperlink w:anchor="_Toc12533038" w:history="1">
            <w:r w:rsidR="00DF65F3" w:rsidRPr="004815D6">
              <w:rPr>
                <w:rStyle w:val="Hipercze"/>
              </w:rPr>
              <w:t>GM1 ADR-DSN.D.315     Szerokość pasa drogi kołowania</w:t>
            </w:r>
            <w:r w:rsidR="00DF65F3">
              <w:rPr>
                <w:webHidden/>
              </w:rPr>
              <w:tab/>
            </w:r>
            <w:r w:rsidR="00DF65F3">
              <w:rPr>
                <w:webHidden/>
              </w:rPr>
              <w:fldChar w:fldCharType="begin"/>
            </w:r>
            <w:r w:rsidR="00DF65F3">
              <w:rPr>
                <w:webHidden/>
              </w:rPr>
              <w:instrText xml:space="preserve"> PAGEREF _Toc12533038 \h </w:instrText>
            </w:r>
            <w:r w:rsidR="00DF65F3">
              <w:rPr>
                <w:webHidden/>
              </w:rPr>
            </w:r>
            <w:r w:rsidR="00DF65F3">
              <w:rPr>
                <w:webHidden/>
              </w:rPr>
              <w:fldChar w:fldCharType="separate"/>
            </w:r>
            <w:r w:rsidR="00F755B7">
              <w:rPr>
                <w:webHidden/>
              </w:rPr>
              <w:t>349</w:t>
            </w:r>
            <w:r w:rsidR="00DF65F3">
              <w:rPr>
                <w:webHidden/>
              </w:rPr>
              <w:fldChar w:fldCharType="end"/>
            </w:r>
          </w:hyperlink>
        </w:p>
        <w:p w14:paraId="31BDA905" w14:textId="2CEADBBD" w:rsidR="00DF65F3" w:rsidRDefault="00870777">
          <w:pPr>
            <w:pStyle w:val="Spistreci4"/>
            <w:rPr>
              <w:sz w:val="22"/>
              <w:lang w:val="en-GB" w:eastAsia="en-GB"/>
            </w:rPr>
          </w:pPr>
          <w:hyperlink w:anchor="_Toc12533039" w:history="1">
            <w:r w:rsidR="00DF65F3" w:rsidRPr="004815D6">
              <w:rPr>
                <w:rStyle w:val="Hipercze"/>
              </w:rPr>
              <w:t>CS ADR-DSN.D.320     Obiekty na pasie drogi kołowania</w:t>
            </w:r>
            <w:r w:rsidR="00DF65F3">
              <w:rPr>
                <w:webHidden/>
              </w:rPr>
              <w:tab/>
            </w:r>
            <w:r w:rsidR="00DF65F3">
              <w:rPr>
                <w:webHidden/>
              </w:rPr>
              <w:fldChar w:fldCharType="begin"/>
            </w:r>
            <w:r w:rsidR="00DF65F3">
              <w:rPr>
                <w:webHidden/>
              </w:rPr>
              <w:instrText xml:space="preserve"> PAGEREF _Toc12533039 \h </w:instrText>
            </w:r>
            <w:r w:rsidR="00DF65F3">
              <w:rPr>
                <w:webHidden/>
              </w:rPr>
            </w:r>
            <w:r w:rsidR="00DF65F3">
              <w:rPr>
                <w:webHidden/>
              </w:rPr>
              <w:fldChar w:fldCharType="separate"/>
            </w:r>
            <w:r w:rsidR="00F755B7">
              <w:rPr>
                <w:webHidden/>
              </w:rPr>
              <w:t>349</w:t>
            </w:r>
            <w:r w:rsidR="00DF65F3">
              <w:rPr>
                <w:webHidden/>
              </w:rPr>
              <w:fldChar w:fldCharType="end"/>
            </w:r>
          </w:hyperlink>
        </w:p>
        <w:p w14:paraId="5409E601" w14:textId="203F4B5E" w:rsidR="00DF65F3" w:rsidRDefault="00870777">
          <w:pPr>
            <w:pStyle w:val="Spistreci6"/>
            <w:rPr>
              <w:sz w:val="22"/>
              <w:lang w:val="en-GB" w:eastAsia="en-GB"/>
            </w:rPr>
          </w:pPr>
          <w:hyperlink w:anchor="_Toc12533040" w:history="1">
            <w:r w:rsidR="00DF65F3" w:rsidRPr="004815D6">
              <w:rPr>
                <w:rStyle w:val="Hipercze"/>
              </w:rPr>
              <w:t>GM1 ADR-DSN.D.320     Obiekty na pasie drogi kołowania</w:t>
            </w:r>
            <w:r w:rsidR="00DF65F3">
              <w:rPr>
                <w:webHidden/>
              </w:rPr>
              <w:tab/>
            </w:r>
            <w:r w:rsidR="00DF65F3">
              <w:rPr>
                <w:webHidden/>
              </w:rPr>
              <w:fldChar w:fldCharType="begin"/>
            </w:r>
            <w:r w:rsidR="00DF65F3">
              <w:rPr>
                <w:webHidden/>
              </w:rPr>
              <w:instrText xml:space="preserve"> PAGEREF _Toc12533040 \h </w:instrText>
            </w:r>
            <w:r w:rsidR="00DF65F3">
              <w:rPr>
                <w:webHidden/>
              </w:rPr>
            </w:r>
            <w:r w:rsidR="00DF65F3">
              <w:rPr>
                <w:webHidden/>
              </w:rPr>
              <w:fldChar w:fldCharType="separate"/>
            </w:r>
            <w:r w:rsidR="00F755B7">
              <w:rPr>
                <w:webHidden/>
              </w:rPr>
              <w:t>349</w:t>
            </w:r>
            <w:r w:rsidR="00DF65F3">
              <w:rPr>
                <w:webHidden/>
              </w:rPr>
              <w:fldChar w:fldCharType="end"/>
            </w:r>
          </w:hyperlink>
        </w:p>
        <w:p w14:paraId="1AC98F41" w14:textId="711C98E5" w:rsidR="00DF65F3" w:rsidRDefault="00870777">
          <w:pPr>
            <w:pStyle w:val="Spistreci4"/>
            <w:rPr>
              <w:sz w:val="22"/>
              <w:lang w:val="en-GB" w:eastAsia="en-GB"/>
            </w:rPr>
          </w:pPr>
          <w:hyperlink w:anchor="_Toc12533041" w:history="1">
            <w:r w:rsidR="00DF65F3" w:rsidRPr="004815D6">
              <w:rPr>
                <w:rStyle w:val="Hipercze"/>
              </w:rPr>
              <w:t>CS ADR-DSN.D.325     Wyrównanie pasa drogi kołowania</w:t>
            </w:r>
            <w:r w:rsidR="00DF65F3">
              <w:rPr>
                <w:webHidden/>
              </w:rPr>
              <w:tab/>
            </w:r>
            <w:r w:rsidR="00DF65F3">
              <w:rPr>
                <w:webHidden/>
              </w:rPr>
              <w:fldChar w:fldCharType="begin"/>
            </w:r>
            <w:r w:rsidR="00DF65F3">
              <w:rPr>
                <w:webHidden/>
              </w:rPr>
              <w:instrText xml:space="preserve"> PAGEREF _Toc12533041 \h </w:instrText>
            </w:r>
            <w:r w:rsidR="00DF65F3">
              <w:rPr>
                <w:webHidden/>
              </w:rPr>
            </w:r>
            <w:r w:rsidR="00DF65F3">
              <w:rPr>
                <w:webHidden/>
              </w:rPr>
              <w:fldChar w:fldCharType="separate"/>
            </w:r>
            <w:r w:rsidR="00F755B7">
              <w:rPr>
                <w:webHidden/>
              </w:rPr>
              <w:t>350</w:t>
            </w:r>
            <w:r w:rsidR="00DF65F3">
              <w:rPr>
                <w:webHidden/>
              </w:rPr>
              <w:fldChar w:fldCharType="end"/>
            </w:r>
          </w:hyperlink>
        </w:p>
        <w:p w14:paraId="418970C1" w14:textId="52F290FA" w:rsidR="00DF65F3" w:rsidRDefault="00870777">
          <w:pPr>
            <w:pStyle w:val="Spistreci6"/>
            <w:rPr>
              <w:sz w:val="22"/>
              <w:lang w:val="en-GB" w:eastAsia="en-GB"/>
            </w:rPr>
          </w:pPr>
          <w:hyperlink w:anchor="_Toc12533042" w:history="1">
            <w:r w:rsidR="00DF65F3" w:rsidRPr="004815D6">
              <w:rPr>
                <w:rStyle w:val="Hipercze"/>
              </w:rPr>
              <w:t>GM1 ADR-DSN.D.325     Wyrównanie pasa drogi kołowania</w:t>
            </w:r>
            <w:r w:rsidR="00DF65F3">
              <w:rPr>
                <w:webHidden/>
              </w:rPr>
              <w:tab/>
            </w:r>
            <w:r w:rsidR="00DF65F3">
              <w:rPr>
                <w:webHidden/>
              </w:rPr>
              <w:fldChar w:fldCharType="begin"/>
            </w:r>
            <w:r w:rsidR="00DF65F3">
              <w:rPr>
                <w:webHidden/>
              </w:rPr>
              <w:instrText xml:space="preserve"> PAGEREF _Toc12533042 \h </w:instrText>
            </w:r>
            <w:r w:rsidR="00DF65F3">
              <w:rPr>
                <w:webHidden/>
              </w:rPr>
            </w:r>
            <w:r w:rsidR="00DF65F3">
              <w:rPr>
                <w:webHidden/>
              </w:rPr>
              <w:fldChar w:fldCharType="separate"/>
            </w:r>
            <w:r w:rsidR="00F755B7">
              <w:rPr>
                <w:webHidden/>
              </w:rPr>
              <w:t>350</w:t>
            </w:r>
            <w:r w:rsidR="00DF65F3">
              <w:rPr>
                <w:webHidden/>
              </w:rPr>
              <w:fldChar w:fldCharType="end"/>
            </w:r>
          </w:hyperlink>
        </w:p>
        <w:p w14:paraId="50B7622C" w14:textId="1778176F" w:rsidR="00DF65F3" w:rsidRDefault="00870777">
          <w:pPr>
            <w:pStyle w:val="Spistreci4"/>
            <w:rPr>
              <w:sz w:val="22"/>
              <w:lang w:val="en-GB" w:eastAsia="en-GB"/>
            </w:rPr>
          </w:pPr>
          <w:hyperlink w:anchor="_Toc12533043" w:history="1">
            <w:r w:rsidR="00DF65F3" w:rsidRPr="004815D6">
              <w:rPr>
                <w:rStyle w:val="Hipercze"/>
              </w:rPr>
              <w:t>CS ADR-DSN.D.330     Nachylenia pasów drogi kołowania</w:t>
            </w:r>
            <w:r w:rsidR="00DF65F3">
              <w:rPr>
                <w:webHidden/>
              </w:rPr>
              <w:tab/>
            </w:r>
            <w:r w:rsidR="00DF65F3">
              <w:rPr>
                <w:webHidden/>
              </w:rPr>
              <w:fldChar w:fldCharType="begin"/>
            </w:r>
            <w:r w:rsidR="00DF65F3">
              <w:rPr>
                <w:webHidden/>
              </w:rPr>
              <w:instrText xml:space="preserve"> PAGEREF _Toc12533043 \h </w:instrText>
            </w:r>
            <w:r w:rsidR="00DF65F3">
              <w:rPr>
                <w:webHidden/>
              </w:rPr>
            </w:r>
            <w:r w:rsidR="00DF65F3">
              <w:rPr>
                <w:webHidden/>
              </w:rPr>
              <w:fldChar w:fldCharType="separate"/>
            </w:r>
            <w:r w:rsidR="00F755B7">
              <w:rPr>
                <w:webHidden/>
              </w:rPr>
              <w:t>350</w:t>
            </w:r>
            <w:r w:rsidR="00DF65F3">
              <w:rPr>
                <w:webHidden/>
              </w:rPr>
              <w:fldChar w:fldCharType="end"/>
            </w:r>
          </w:hyperlink>
        </w:p>
        <w:p w14:paraId="263E0575" w14:textId="101AEA1D" w:rsidR="00DF65F3" w:rsidRDefault="00870777">
          <w:pPr>
            <w:pStyle w:val="Spistreci6"/>
            <w:rPr>
              <w:sz w:val="22"/>
              <w:lang w:val="en-GB" w:eastAsia="en-GB"/>
            </w:rPr>
          </w:pPr>
          <w:hyperlink w:anchor="_Toc12533044" w:history="1">
            <w:r w:rsidR="00DF65F3" w:rsidRPr="004815D6">
              <w:rPr>
                <w:rStyle w:val="Hipercze"/>
              </w:rPr>
              <w:t>GM1 ADR-DSN.D.330     Nachylenia pasa drogi kołowania</w:t>
            </w:r>
            <w:r w:rsidR="00DF65F3">
              <w:rPr>
                <w:webHidden/>
              </w:rPr>
              <w:tab/>
            </w:r>
            <w:r w:rsidR="00DF65F3">
              <w:rPr>
                <w:webHidden/>
              </w:rPr>
              <w:fldChar w:fldCharType="begin"/>
            </w:r>
            <w:r w:rsidR="00DF65F3">
              <w:rPr>
                <w:webHidden/>
              </w:rPr>
              <w:instrText xml:space="preserve"> PAGEREF _Toc12533044 \h </w:instrText>
            </w:r>
            <w:r w:rsidR="00DF65F3">
              <w:rPr>
                <w:webHidden/>
              </w:rPr>
            </w:r>
            <w:r w:rsidR="00DF65F3">
              <w:rPr>
                <w:webHidden/>
              </w:rPr>
              <w:fldChar w:fldCharType="separate"/>
            </w:r>
            <w:r w:rsidR="00F755B7">
              <w:rPr>
                <w:webHidden/>
              </w:rPr>
              <w:t>351</w:t>
            </w:r>
            <w:r w:rsidR="00DF65F3">
              <w:rPr>
                <w:webHidden/>
              </w:rPr>
              <w:fldChar w:fldCharType="end"/>
            </w:r>
          </w:hyperlink>
        </w:p>
        <w:p w14:paraId="34641A51" w14:textId="1007707E" w:rsidR="00DF65F3" w:rsidRDefault="00870777">
          <w:pPr>
            <w:pStyle w:val="Spistreci4"/>
            <w:rPr>
              <w:sz w:val="22"/>
              <w:lang w:val="en-GB" w:eastAsia="en-GB"/>
            </w:rPr>
          </w:pPr>
          <w:hyperlink w:anchor="_Toc12533045" w:history="1">
            <w:r w:rsidR="00DF65F3" w:rsidRPr="004815D6">
              <w:rPr>
                <w:rStyle w:val="Hipercze"/>
              </w:rPr>
              <w:t>CS ADR-DSN.D.335      Zatoki oczekiwania, miejsca oczekiwania przed drogą startową, pośrednie miejsca oczekiwania, miejsca oczekiwania na drodze ruchu kołowego</w:t>
            </w:r>
            <w:r w:rsidR="00DF65F3">
              <w:rPr>
                <w:webHidden/>
              </w:rPr>
              <w:tab/>
            </w:r>
            <w:r w:rsidR="00DF65F3">
              <w:rPr>
                <w:webHidden/>
              </w:rPr>
              <w:fldChar w:fldCharType="begin"/>
            </w:r>
            <w:r w:rsidR="00DF65F3">
              <w:rPr>
                <w:webHidden/>
              </w:rPr>
              <w:instrText xml:space="preserve"> PAGEREF _Toc12533045 \h </w:instrText>
            </w:r>
            <w:r w:rsidR="00DF65F3">
              <w:rPr>
                <w:webHidden/>
              </w:rPr>
            </w:r>
            <w:r w:rsidR="00DF65F3">
              <w:rPr>
                <w:webHidden/>
              </w:rPr>
              <w:fldChar w:fldCharType="separate"/>
            </w:r>
            <w:r w:rsidR="00F755B7">
              <w:rPr>
                <w:webHidden/>
              </w:rPr>
              <w:t>351</w:t>
            </w:r>
            <w:r w:rsidR="00DF65F3">
              <w:rPr>
                <w:webHidden/>
              </w:rPr>
              <w:fldChar w:fldCharType="end"/>
            </w:r>
          </w:hyperlink>
        </w:p>
        <w:p w14:paraId="7F5273D5" w14:textId="496DF756" w:rsidR="00DF65F3" w:rsidRDefault="00870777">
          <w:pPr>
            <w:pStyle w:val="Spistreci6"/>
            <w:rPr>
              <w:sz w:val="22"/>
              <w:lang w:val="en-GB" w:eastAsia="en-GB"/>
            </w:rPr>
          </w:pPr>
          <w:hyperlink w:anchor="_Toc12533046" w:history="1">
            <w:r w:rsidR="00DF65F3" w:rsidRPr="004815D6">
              <w:rPr>
                <w:rStyle w:val="Hipercze"/>
              </w:rPr>
              <w:t>GM1 ADR-DSN.D.335     Zatoki oczekiwania, miejsca oczekiwania przed drogą startową, pośrednie miejsca oczekiwania, miejsca oczekiwania na drodze ruchu kołowego</w:t>
            </w:r>
            <w:r w:rsidR="00DF65F3">
              <w:rPr>
                <w:webHidden/>
              </w:rPr>
              <w:tab/>
            </w:r>
            <w:r w:rsidR="00DF65F3">
              <w:rPr>
                <w:webHidden/>
              </w:rPr>
              <w:fldChar w:fldCharType="begin"/>
            </w:r>
            <w:r w:rsidR="00DF65F3">
              <w:rPr>
                <w:webHidden/>
              </w:rPr>
              <w:instrText xml:space="preserve"> PAGEREF _Toc12533046 \h </w:instrText>
            </w:r>
            <w:r w:rsidR="00DF65F3">
              <w:rPr>
                <w:webHidden/>
              </w:rPr>
            </w:r>
            <w:r w:rsidR="00DF65F3">
              <w:rPr>
                <w:webHidden/>
              </w:rPr>
              <w:fldChar w:fldCharType="separate"/>
            </w:r>
            <w:r w:rsidR="00F755B7">
              <w:rPr>
                <w:webHidden/>
              </w:rPr>
              <w:t>352</w:t>
            </w:r>
            <w:r w:rsidR="00DF65F3">
              <w:rPr>
                <w:webHidden/>
              </w:rPr>
              <w:fldChar w:fldCharType="end"/>
            </w:r>
          </w:hyperlink>
        </w:p>
        <w:p w14:paraId="1932AD7D" w14:textId="643DD9E7" w:rsidR="00DF65F3" w:rsidRDefault="00870777">
          <w:pPr>
            <w:pStyle w:val="Spistreci4"/>
            <w:rPr>
              <w:sz w:val="22"/>
              <w:lang w:val="en-GB" w:eastAsia="en-GB"/>
            </w:rPr>
          </w:pPr>
          <w:hyperlink w:anchor="_Toc12533047" w:history="1">
            <w:r w:rsidR="00DF65F3" w:rsidRPr="004815D6">
              <w:rPr>
                <w:rStyle w:val="Hipercze"/>
              </w:rPr>
              <w:t>CS ADR-DSN.D.340      Lokalizacja zatok oczekiwania, miejsc oczekiwania przed drogą startową, pośrednich miejsc oczekiwania oraz miejsc oczekiwania na drogach ruchu kołowego</w:t>
            </w:r>
            <w:r w:rsidR="00DF65F3">
              <w:rPr>
                <w:webHidden/>
              </w:rPr>
              <w:tab/>
            </w:r>
            <w:r w:rsidR="00DF65F3">
              <w:rPr>
                <w:webHidden/>
              </w:rPr>
              <w:fldChar w:fldCharType="begin"/>
            </w:r>
            <w:r w:rsidR="00DF65F3">
              <w:rPr>
                <w:webHidden/>
              </w:rPr>
              <w:instrText xml:space="preserve"> PAGEREF _Toc12533047 \h </w:instrText>
            </w:r>
            <w:r w:rsidR="00DF65F3">
              <w:rPr>
                <w:webHidden/>
              </w:rPr>
            </w:r>
            <w:r w:rsidR="00DF65F3">
              <w:rPr>
                <w:webHidden/>
              </w:rPr>
              <w:fldChar w:fldCharType="separate"/>
            </w:r>
            <w:r w:rsidR="00F755B7">
              <w:rPr>
                <w:webHidden/>
              </w:rPr>
              <w:t>352</w:t>
            </w:r>
            <w:r w:rsidR="00DF65F3">
              <w:rPr>
                <w:webHidden/>
              </w:rPr>
              <w:fldChar w:fldCharType="end"/>
            </w:r>
          </w:hyperlink>
        </w:p>
        <w:p w14:paraId="483658AB" w14:textId="506B4B62" w:rsidR="00DF65F3" w:rsidRDefault="00870777">
          <w:pPr>
            <w:pStyle w:val="Spistreci6"/>
            <w:rPr>
              <w:sz w:val="22"/>
              <w:lang w:val="en-GB" w:eastAsia="en-GB"/>
            </w:rPr>
          </w:pPr>
          <w:hyperlink w:anchor="_Toc12533048" w:history="1">
            <w:r w:rsidR="00DF65F3" w:rsidRPr="004815D6">
              <w:rPr>
                <w:rStyle w:val="Hipercze"/>
              </w:rPr>
              <w:t>GM1 ADR-DSN.D.340     Lokalizacja zatok oczekiwania, miejsc oczekiwania przed drogą startową, pośrednich miejsc oczekiwania oraz miejsc oczekiwania na drodze ruchu kołowego</w:t>
            </w:r>
            <w:r w:rsidR="00DF65F3">
              <w:rPr>
                <w:webHidden/>
              </w:rPr>
              <w:tab/>
            </w:r>
            <w:r w:rsidR="00DF65F3">
              <w:rPr>
                <w:webHidden/>
              </w:rPr>
              <w:fldChar w:fldCharType="begin"/>
            </w:r>
            <w:r w:rsidR="00DF65F3">
              <w:rPr>
                <w:webHidden/>
              </w:rPr>
              <w:instrText xml:space="preserve"> PAGEREF _Toc12533048 \h </w:instrText>
            </w:r>
            <w:r w:rsidR="00DF65F3">
              <w:rPr>
                <w:webHidden/>
              </w:rPr>
            </w:r>
            <w:r w:rsidR="00DF65F3">
              <w:rPr>
                <w:webHidden/>
              </w:rPr>
              <w:fldChar w:fldCharType="separate"/>
            </w:r>
            <w:r w:rsidR="00F755B7">
              <w:rPr>
                <w:webHidden/>
              </w:rPr>
              <w:t>354</w:t>
            </w:r>
            <w:r w:rsidR="00DF65F3">
              <w:rPr>
                <w:webHidden/>
              </w:rPr>
              <w:fldChar w:fldCharType="end"/>
            </w:r>
          </w:hyperlink>
        </w:p>
        <w:p w14:paraId="67F4842A" w14:textId="5AFD1E1E" w:rsidR="00DF65F3" w:rsidRDefault="00870777">
          <w:pPr>
            <w:pStyle w:val="Spistreci2"/>
            <w:rPr>
              <w:rFonts w:asciiTheme="minorHAnsi" w:eastAsiaTheme="minorEastAsia" w:hAnsiTheme="minorHAnsi" w:cstheme="minorBidi"/>
              <w:sz w:val="22"/>
              <w:lang w:val="en-GB" w:eastAsia="en-GB"/>
            </w:rPr>
          </w:pPr>
          <w:hyperlink w:anchor="_Toc12533049" w:history="1">
            <w:r w:rsidR="00DF65F3" w:rsidRPr="004815D6">
              <w:rPr>
                <w:rStyle w:val="Hipercze"/>
              </w:rPr>
              <w:t>ROZDZIAŁ E — PŁYTY POSTOJOWE</w:t>
            </w:r>
            <w:r w:rsidR="00DF65F3">
              <w:rPr>
                <w:webHidden/>
              </w:rPr>
              <w:tab/>
            </w:r>
            <w:r w:rsidR="00DF65F3">
              <w:rPr>
                <w:webHidden/>
              </w:rPr>
              <w:fldChar w:fldCharType="begin"/>
            </w:r>
            <w:r w:rsidR="00DF65F3">
              <w:rPr>
                <w:webHidden/>
              </w:rPr>
              <w:instrText xml:space="preserve"> PAGEREF _Toc12533049 \h </w:instrText>
            </w:r>
            <w:r w:rsidR="00DF65F3">
              <w:rPr>
                <w:webHidden/>
              </w:rPr>
            </w:r>
            <w:r w:rsidR="00DF65F3">
              <w:rPr>
                <w:webHidden/>
              </w:rPr>
              <w:fldChar w:fldCharType="separate"/>
            </w:r>
            <w:r w:rsidR="00F755B7">
              <w:rPr>
                <w:webHidden/>
              </w:rPr>
              <w:t>356</w:t>
            </w:r>
            <w:r w:rsidR="00DF65F3">
              <w:rPr>
                <w:webHidden/>
              </w:rPr>
              <w:fldChar w:fldCharType="end"/>
            </w:r>
          </w:hyperlink>
        </w:p>
        <w:p w14:paraId="2A7F3C9D" w14:textId="36711E6F" w:rsidR="00DF65F3" w:rsidRDefault="00870777">
          <w:pPr>
            <w:pStyle w:val="Spistreci4"/>
            <w:rPr>
              <w:sz w:val="22"/>
              <w:lang w:val="en-GB" w:eastAsia="en-GB"/>
            </w:rPr>
          </w:pPr>
          <w:hyperlink w:anchor="_Toc12533050" w:history="1">
            <w:r w:rsidR="00DF65F3" w:rsidRPr="004815D6">
              <w:rPr>
                <w:rStyle w:val="Hipercze"/>
              </w:rPr>
              <w:t xml:space="preserve">CS ADR-DSN.E.345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_Toc12533050 \h </w:instrText>
            </w:r>
            <w:r w:rsidR="00DF65F3">
              <w:rPr>
                <w:webHidden/>
              </w:rPr>
            </w:r>
            <w:r w:rsidR="00DF65F3">
              <w:rPr>
                <w:webHidden/>
              </w:rPr>
              <w:fldChar w:fldCharType="separate"/>
            </w:r>
            <w:r w:rsidR="00F755B7">
              <w:rPr>
                <w:webHidden/>
              </w:rPr>
              <w:t>356</w:t>
            </w:r>
            <w:r w:rsidR="00DF65F3">
              <w:rPr>
                <w:webHidden/>
              </w:rPr>
              <w:fldChar w:fldCharType="end"/>
            </w:r>
          </w:hyperlink>
        </w:p>
        <w:p w14:paraId="6E452873" w14:textId="79C2EFF1" w:rsidR="00DF65F3" w:rsidRDefault="00870777">
          <w:pPr>
            <w:pStyle w:val="Spistreci6"/>
            <w:rPr>
              <w:sz w:val="22"/>
              <w:lang w:val="en-GB" w:eastAsia="en-GB"/>
            </w:rPr>
          </w:pPr>
          <w:hyperlink w:anchor="_Toc12533051" w:history="1">
            <w:r w:rsidR="00DF65F3" w:rsidRPr="004815D6">
              <w:rPr>
                <w:rStyle w:val="Hipercze"/>
              </w:rPr>
              <w:t xml:space="preserve">GM1 ADR-DSN.E.345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_Toc12533051 \h </w:instrText>
            </w:r>
            <w:r w:rsidR="00DF65F3">
              <w:rPr>
                <w:webHidden/>
              </w:rPr>
            </w:r>
            <w:r w:rsidR="00DF65F3">
              <w:rPr>
                <w:webHidden/>
              </w:rPr>
              <w:fldChar w:fldCharType="separate"/>
            </w:r>
            <w:r w:rsidR="00F755B7">
              <w:rPr>
                <w:webHidden/>
              </w:rPr>
              <w:t>356</w:t>
            </w:r>
            <w:r w:rsidR="00DF65F3">
              <w:rPr>
                <w:webHidden/>
              </w:rPr>
              <w:fldChar w:fldCharType="end"/>
            </w:r>
          </w:hyperlink>
        </w:p>
        <w:p w14:paraId="6E2DC6AD" w14:textId="1CE3E172" w:rsidR="00DF65F3" w:rsidRDefault="00870777">
          <w:pPr>
            <w:pStyle w:val="Spistreci4"/>
            <w:rPr>
              <w:sz w:val="22"/>
              <w:lang w:val="en-GB" w:eastAsia="en-GB"/>
            </w:rPr>
          </w:pPr>
          <w:hyperlink w:anchor="_Toc12533052" w:history="1">
            <w:r w:rsidR="00DF65F3" w:rsidRPr="004815D6">
              <w:rPr>
                <w:rStyle w:val="Hipercze"/>
              </w:rPr>
              <w:t>CS ADR-DSN.E.350     Wielkość płyt postojowych</w:t>
            </w:r>
            <w:r w:rsidR="00DF65F3">
              <w:rPr>
                <w:webHidden/>
              </w:rPr>
              <w:tab/>
            </w:r>
            <w:r w:rsidR="00DF65F3">
              <w:rPr>
                <w:webHidden/>
              </w:rPr>
              <w:fldChar w:fldCharType="begin"/>
            </w:r>
            <w:r w:rsidR="00DF65F3">
              <w:rPr>
                <w:webHidden/>
              </w:rPr>
              <w:instrText xml:space="preserve"> PAGEREF _Toc12533052 \h </w:instrText>
            </w:r>
            <w:r w:rsidR="00DF65F3">
              <w:rPr>
                <w:webHidden/>
              </w:rPr>
            </w:r>
            <w:r w:rsidR="00DF65F3">
              <w:rPr>
                <w:webHidden/>
              </w:rPr>
              <w:fldChar w:fldCharType="separate"/>
            </w:r>
            <w:r w:rsidR="00F755B7">
              <w:rPr>
                <w:webHidden/>
              </w:rPr>
              <w:t>356</w:t>
            </w:r>
            <w:r w:rsidR="00DF65F3">
              <w:rPr>
                <w:webHidden/>
              </w:rPr>
              <w:fldChar w:fldCharType="end"/>
            </w:r>
          </w:hyperlink>
        </w:p>
        <w:p w14:paraId="6D2BC146" w14:textId="30A734BA" w:rsidR="00DF65F3" w:rsidRDefault="00870777">
          <w:pPr>
            <w:pStyle w:val="Spistreci6"/>
            <w:rPr>
              <w:sz w:val="22"/>
              <w:lang w:val="en-GB" w:eastAsia="en-GB"/>
            </w:rPr>
          </w:pPr>
          <w:hyperlink w:anchor="_Toc12533053" w:history="1">
            <w:r w:rsidR="00DF65F3" w:rsidRPr="004815D6">
              <w:rPr>
                <w:rStyle w:val="Hipercze"/>
              </w:rPr>
              <w:t>GM1 ADR-DSN.E.350     Wielkość płyt postojowych</w:t>
            </w:r>
            <w:r w:rsidR="00DF65F3">
              <w:rPr>
                <w:webHidden/>
              </w:rPr>
              <w:tab/>
            </w:r>
            <w:r w:rsidR="00DF65F3">
              <w:rPr>
                <w:webHidden/>
              </w:rPr>
              <w:fldChar w:fldCharType="begin"/>
            </w:r>
            <w:r w:rsidR="00DF65F3">
              <w:rPr>
                <w:webHidden/>
              </w:rPr>
              <w:instrText xml:space="preserve"> PAGEREF _Toc12533053 \h </w:instrText>
            </w:r>
            <w:r w:rsidR="00DF65F3">
              <w:rPr>
                <w:webHidden/>
              </w:rPr>
            </w:r>
            <w:r w:rsidR="00DF65F3">
              <w:rPr>
                <w:webHidden/>
              </w:rPr>
              <w:fldChar w:fldCharType="separate"/>
            </w:r>
            <w:r w:rsidR="00F755B7">
              <w:rPr>
                <w:webHidden/>
              </w:rPr>
              <w:t>356</w:t>
            </w:r>
            <w:r w:rsidR="00DF65F3">
              <w:rPr>
                <w:webHidden/>
              </w:rPr>
              <w:fldChar w:fldCharType="end"/>
            </w:r>
          </w:hyperlink>
        </w:p>
        <w:p w14:paraId="42A27FF5" w14:textId="741261EF" w:rsidR="00DF65F3" w:rsidRDefault="00870777">
          <w:pPr>
            <w:pStyle w:val="Spistreci4"/>
            <w:rPr>
              <w:sz w:val="22"/>
              <w:lang w:val="en-GB" w:eastAsia="en-GB"/>
            </w:rPr>
          </w:pPr>
          <w:hyperlink w:anchor="_Toc12533054" w:history="1">
            <w:r w:rsidR="00DF65F3" w:rsidRPr="004815D6">
              <w:rPr>
                <w:rStyle w:val="Hipercze"/>
              </w:rPr>
              <w:t>CS ADR-DSN.E.355     Nośność płyty postojowej</w:t>
            </w:r>
            <w:r w:rsidR="00DF65F3">
              <w:rPr>
                <w:webHidden/>
              </w:rPr>
              <w:tab/>
            </w:r>
            <w:r w:rsidR="00DF65F3">
              <w:rPr>
                <w:webHidden/>
              </w:rPr>
              <w:fldChar w:fldCharType="begin"/>
            </w:r>
            <w:r w:rsidR="00DF65F3">
              <w:rPr>
                <w:webHidden/>
              </w:rPr>
              <w:instrText xml:space="preserve"> PAGEREF _Toc12533054 \h </w:instrText>
            </w:r>
            <w:r w:rsidR="00DF65F3">
              <w:rPr>
                <w:webHidden/>
              </w:rPr>
            </w:r>
            <w:r w:rsidR="00DF65F3">
              <w:rPr>
                <w:webHidden/>
              </w:rPr>
              <w:fldChar w:fldCharType="separate"/>
            </w:r>
            <w:r w:rsidR="00F755B7">
              <w:rPr>
                <w:webHidden/>
              </w:rPr>
              <w:t>357</w:t>
            </w:r>
            <w:r w:rsidR="00DF65F3">
              <w:rPr>
                <w:webHidden/>
              </w:rPr>
              <w:fldChar w:fldCharType="end"/>
            </w:r>
          </w:hyperlink>
        </w:p>
        <w:p w14:paraId="6F13B8A3" w14:textId="4F28654A" w:rsidR="00DF65F3" w:rsidRDefault="00870777">
          <w:pPr>
            <w:pStyle w:val="Spistreci6"/>
            <w:rPr>
              <w:sz w:val="22"/>
              <w:lang w:val="en-GB" w:eastAsia="en-GB"/>
            </w:rPr>
          </w:pPr>
          <w:hyperlink w:anchor="_Toc12533055" w:history="1">
            <w:r w:rsidR="00DF65F3" w:rsidRPr="004815D6">
              <w:rPr>
                <w:rStyle w:val="Hipercze"/>
              </w:rPr>
              <w:t>GM1 ADR-DSN.E.355     Nośność płyty postojowej</w:t>
            </w:r>
            <w:r w:rsidR="00DF65F3">
              <w:rPr>
                <w:webHidden/>
              </w:rPr>
              <w:tab/>
            </w:r>
            <w:r w:rsidR="00DF65F3">
              <w:rPr>
                <w:webHidden/>
              </w:rPr>
              <w:fldChar w:fldCharType="begin"/>
            </w:r>
            <w:r w:rsidR="00DF65F3">
              <w:rPr>
                <w:webHidden/>
              </w:rPr>
              <w:instrText xml:space="preserve"> PAGEREF _Toc12533055 \h </w:instrText>
            </w:r>
            <w:r w:rsidR="00DF65F3">
              <w:rPr>
                <w:webHidden/>
              </w:rPr>
            </w:r>
            <w:r w:rsidR="00DF65F3">
              <w:rPr>
                <w:webHidden/>
              </w:rPr>
              <w:fldChar w:fldCharType="separate"/>
            </w:r>
            <w:r w:rsidR="00F755B7">
              <w:rPr>
                <w:webHidden/>
              </w:rPr>
              <w:t>357</w:t>
            </w:r>
            <w:r w:rsidR="00DF65F3">
              <w:rPr>
                <w:webHidden/>
              </w:rPr>
              <w:fldChar w:fldCharType="end"/>
            </w:r>
          </w:hyperlink>
        </w:p>
        <w:p w14:paraId="629F2EDD" w14:textId="5316C989" w:rsidR="00DF65F3" w:rsidRDefault="00870777">
          <w:pPr>
            <w:pStyle w:val="Spistreci4"/>
            <w:rPr>
              <w:sz w:val="22"/>
              <w:lang w:val="en-GB" w:eastAsia="en-GB"/>
            </w:rPr>
          </w:pPr>
          <w:hyperlink w:anchor="_Toc12533056" w:history="1">
            <w:r w:rsidR="00DF65F3" w:rsidRPr="004815D6">
              <w:rPr>
                <w:rStyle w:val="Hipercze"/>
              </w:rPr>
              <w:t>CS ADR-DSN.E.360     Nachylenia na płycie postojowej</w:t>
            </w:r>
            <w:r w:rsidR="00DF65F3">
              <w:rPr>
                <w:webHidden/>
              </w:rPr>
              <w:tab/>
            </w:r>
            <w:r w:rsidR="00DF65F3">
              <w:rPr>
                <w:webHidden/>
              </w:rPr>
              <w:fldChar w:fldCharType="begin"/>
            </w:r>
            <w:r w:rsidR="00DF65F3">
              <w:rPr>
                <w:webHidden/>
              </w:rPr>
              <w:instrText xml:space="preserve"> PAGEREF _Toc12533056 \h </w:instrText>
            </w:r>
            <w:r w:rsidR="00DF65F3">
              <w:rPr>
                <w:webHidden/>
              </w:rPr>
            </w:r>
            <w:r w:rsidR="00DF65F3">
              <w:rPr>
                <w:webHidden/>
              </w:rPr>
              <w:fldChar w:fldCharType="separate"/>
            </w:r>
            <w:r w:rsidR="00F755B7">
              <w:rPr>
                <w:webHidden/>
              </w:rPr>
              <w:t>357</w:t>
            </w:r>
            <w:r w:rsidR="00DF65F3">
              <w:rPr>
                <w:webHidden/>
              </w:rPr>
              <w:fldChar w:fldCharType="end"/>
            </w:r>
          </w:hyperlink>
        </w:p>
        <w:p w14:paraId="0FD5B2A0" w14:textId="7032A902" w:rsidR="00DF65F3" w:rsidRDefault="00870777">
          <w:pPr>
            <w:pStyle w:val="Spistreci6"/>
            <w:rPr>
              <w:sz w:val="22"/>
              <w:lang w:val="en-GB" w:eastAsia="en-GB"/>
            </w:rPr>
          </w:pPr>
          <w:hyperlink w:anchor="_Toc12533057" w:history="1">
            <w:r w:rsidR="00DF65F3" w:rsidRPr="004815D6">
              <w:rPr>
                <w:rStyle w:val="Hipercze"/>
              </w:rPr>
              <w:t>GM1 ADR-DSN.E.360     Nachylenia na płycie postojowej</w:t>
            </w:r>
            <w:r w:rsidR="00DF65F3">
              <w:rPr>
                <w:webHidden/>
              </w:rPr>
              <w:tab/>
            </w:r>
            <w:r w:rsidR="00DF65F3">
              <w:rPr>
                <w:webHidden/>
              </w:rPr>
              <w:fldChar w:fldCharType="begin"/>
            </w:r>
            <w:r w:rsidR="00DF65F3">
              <w:rPr>
                <w:webHidden/>
              </w:rPr>
              <w:instrText xml:space="preserve"> PAGEREF _Toc12533057 \h </w:instrText>
            </w:r>
            <w:r w:rsidR="00DF65F3">
              <w:rPr>
                <w:webHidden/>
              </w:rPr>
            </w:r>
            <w:r w:rsidR="00DF65F3">
              <w:rPr>
                <w:webHidden/>
              </w:rPr>
              <w:fldChar w:fldCharType="separate"/>
            </w:r>
            <w:r w:rsidR="00F755B7">
              <w:rPr>
                <w:webHidden/>
              </w:rPr>
              <w:t>358</w:t>
            </w:r>
            <w:r w:rsidR="00DF65F3">
              <w:rPr>
                <w:webHidden/>
              </w:rPr>
              <w:fldChar w:fldCharType="end"/>
            </w:r>
          </w:hyperlink>
        </w:p>
        <w:p w14:paraId="14324B8A" w14:textId="792A1F35" w:rsidR="00DF65F3" w:rsidRDefault="00870777">
          <w:pPr>
            <w:pStyle w:val="Spistreci4"/>
            <w:rPr>
              <w:sz w:val="22"/>
              <w:lang w:val="en-GB" w:eastAsia="en-GB"/>
            </w:rPr>
          </w:pPr>
          <w:hyperlink w:anchor="_Toc12533058" w:history="1">
            <w:r w:rsidR="00DF65F3" w:rsidRPr="004815D6">
              <w:rPr>
                <w:rStyle w:val="Hipercze"/>
              </w:rPr>
              <w:t>CS ADR-DSN.E.365     Odstępy na stanowiskach postojowych</w:t>
            </w:r>
            <w:r w:rsidR="00DF65F3">
              <w:rPr>
                <w:webHidden/>
              </w:rPr>
              <w:tab/>
            </w:r>
            <w:r w:rsidR="00DF65F3">
              <w:rPr>
                <w:webHidden/>
              </w:rPr>
              <w:fldChar w:fldCharType="begin"/>
            </w:r>
            <w:r w:rsidR="00DF65F3">
              <w:rPr>
                <w:webHidden/>
              </w:rPr>
              <w:instrText xml:space="preserve"> PAGEREF _Toc12533058 \h </w:instrText>
            </w:r>
            <w:r w:rsidR="00DF65F3">
              <w:rPr>
                <w:webHidden/>
              </w:rPr>
            </w:r>
            <w:r w:rsidR="00DF65F3">
              <w:rPr>
                <w:webHidden/>
              </w:rPr>
              <w:fldChar w:fldCharType="separate"/>
            </w:r>
            <w:r w:rsidR="00F755B7">
              <w:rPr>
                <w:webHidden/>
              </w:rPr>
              <w:t>358</w:t>
            </w:r>
            <w:r w:rsidR="00DF65F3">
              <w:rPr>
                <w:webHidden/>
              </w:rPr>
              <w:fldChar w:fldCharType="end"/>
            </w:r>
          </w:hyperlink>
        </w:p>
        <w:p w14:paraId="6888B570" w14:textId="6A4CD4A0" w:rsidR="00DF65F3" w:rsidRDefault="00870777">
          <w:pPr>
            <w:pStyle w:val="Spistreci6"/>
            <w:rPr>
              <w:sz w:val="22"/>
              <w:lang w:val="en-GB" w:eastAsia="en-GB"/>
            </w:rPr>
          </w:pPr>
          <w:hyperlink w:anchor="_Toc12533059" w:history="1">
            <w:r w:rsidR="00DF65F3" w:rsidRPr="004815D6">
              <w:rPr>
                <w:rStyle w:val="Hipercze"/>
              </w:rPr>
              <w:t>GM1 ADR-DSN.E.365     Odstępy na stanowiskach postojowych</w:t>
            </w:r>
            <w:r w:rsidR="00DF65F3">
              <w:rPr>
                <w:webHidden/>
              </w:rPr>
              <w:tab/>
            </w:r>
            <w:r w:rsidR="00DF65F3">
              <w:rPr>
                <w:webHidden/>
              </w:rPr>
              <w:fldChar w:fldCharType="begin"/>
            </w:r>
            <w:r w:rsidR="00DF65F3">
              <w:rPr>
                <w:webHidden/>
              </w:rPr>
              <w:instrText xml:space="preserve"> PAGEREF _Toc12533059 \h </w:instrText>
            </w:r>
            <w:r w:rsidR="00DF65F3">
              <w:rPr>
                <w:webHidden/>
              </w:rPr>
            </w:r>
            <w:r w:rsidR="00DF65F3">
              <w:rPr>
                <w:webHidden/>
              </w:rPr>
              <w:fldChar w:fldCharType="separate"/>
            </w:r>
            <w:r w:rsidR="00F755B7">
              <w:rPr>
                <w:webHidden/>
              </w:rPr>
              <w:t>359</w:t>
            </w:r>
            <w:r w:rsidR="00DF65F3">
              <w:rPr>
                <w:webHidden/>
              </w:rPr>
              <w:fldChar w:fldCharType="end"/>
            </w:r>
          </w:hyperlink>
        </w:p>
        <w:p w14:paraId="5FA56E64" w14:textId="4B6CFCE0" w:rsidR="00DF65F3" w:rsidRDefault="00870777">
          <w:pPr>
            <w:pStyle w:val="Spistreci2"/>
            <w:rPr>
              <w:rFonts w:asciiTheme="minorHAnsi" w:eastAsiaTheme="minorEastAsia" w:hAnsiTheme="minorHAnsi" w:cstheme="minorBidi"/>
              <w:sz w:val="22"/>
              <w:lang w:val="en-GB" w:eastAsia="en-GB"/>
            </w:rPr>
          </w:pPr>
          <w:hyperlink w:anchor="_Toc12533060" w:history="1">
            <w:r w:rsidR="00DF65F3" w:rsidRPr="004815D6">
              <w:rPr>
                <w:rStyle w:val="Hipercze"/>
              </w:rPr>
              <w:t>ROZDZIAŁ F — ODIZOLOWANE STANOWISKO POSTOJU STATKU POWIETRZNEGO</w:t>
            </w:r>
            <w:r w:rsidR="00DF65F3">
              <w:rPr>
                <w:webHidden/>
              </w:rPr>
              <w:tab/>
            </w:r>
            <w:r w:rsidR="00DF65F3">
              <w:rPr>
                <w:webHidden/>
              </w:rPr>
              <w:fldChar w:fldCharType="begin"/>
            </w:r>
            <w:r w:rsidR="00DF65F3">
              <w:rPr>
                <w:webHidden/>
              </w:rPr>
              <w:instrText xml:space="preserve"> PAGEREF _Toc12533060 \h </w:instrText>
            </w:r>
            <w:r w:rsidR="00DF65F3">
              <w:rPr>
                <w:webHidden/>
              </w:rPr>
            </w:r>
            <w:r w:rsidR="00DF65F3">
              <w:rPr>
                <w:webHidden/>
              </w:rPr>
              <w:fldChar w:fldCharType="separate"/>
            </w:r>
            <w:r w:rsidR="00F755B7">
              <w:rPr>
                <w:webHidden/>
              </w:rPr>
              <w:t>360</w:t>
            </w:r>
            <w:r w:rsidR="00DF65F3">
              <w:rPr>
                <w:webHidden/>
              </w:rPr>
              <w:fldChar w:fldCharType="end"/>
            </w:r>
          </w:hyperlink>
        </w:p>
        <w:p w14:paraId="6888D0F6" w14:textId="101BBA0C" w:rsidR="00DF65F3" w:rsidRDefault="00870777">
          <w:pPr>
            <w:pStyle w:val="Spistreci4"/>
            <w:rPr>
              <w:sz w:val="22"/>
              <w:lang w:val="en-GB" w:eastAsia="en-GB"/>
            </w:rPr>
          </w:pPr>
          <w:hyperlink w:anchor="_Toc12533061" w:history="1">
            <w:r w:rsidR="00DF65F3" w:rsidRPr="004815D6">
              <w:rPr>
                <w:rStyle w:val="Hipercze"/>
              </w:rPr>
              <w:t>CS ADR-DSN.F.370     Odizolowane stanowisko postoju statku powietrznego</w:t>
            </w:r>
            <w:r w:rsidR="00DF65F3">
              <w:rPr>
                <w:webHidden/>
              </w:rPr>
              <w:tab/>
            </w:r>
            <w:r w:rsidR="00DF65F3">
              <w:rPr>
                <w:webHidden/>
              </w:rPr>
              <w:fldChar w:fldCharType="begin"/>
            </w:r>
            <w:r w:rsidR="00DF65F3">
              <w:rPr>
                <w:webHidden/>
              </w:rPr>
              <w:instrText xml:space="preserve"> PAGEREF _Toc12533061 \h </w:instrText>
            </w:r>
            <w:r w:rsidR="00DF65F3">
              <w:rPr>
                <w:webHidden/>
              </w:rPr>
            </w:r>
            <w:r w:rsidR="00DF65F3">
              <w:rPr>
                <w:webHidden/>
              </w:rPr>
              <w:fldChar w:fldCharType="separate"/>
            </w:r>
            <w:r w:rsidR="00F755B7">
              <w:rPr>
                <w:webHidden/>
              </w:rPr>
              <w:t>360</w:t>
            </w:r>
            <w:r w:rsidR="00DF65F3">
              <w:rPr>
                <w:webHidden/>
              </w:rPr>
              <w:fldChar w:fldCharType="end"/>
            </w:r>
          </w:hyperlink>
        </w:p>
        <w:p w14:paraId="63C55704" w14:textId="7911BF8B" w:rsidR="00DF65F3" w:rsidRDefault="00870777">
          <w:pPr>
            <w:pStyle w:val="Spistreci6"/>
            <w:tabs>
              <w:tab w:val="left" w:pos="2887"/>
            </w:tabs>
            <w:rPr>
              <w:sz w:val="22"/>
              <w:lang w:val="en-GB" w:eastAsia="en-GB"/>
            </w:rPr>
          </w:pPr>
          <w:hyperlink w:anchor="_Toc12533062" w:history="1">
            <w:r w:rsidR="00DF65F3" w:rsidRPr="004815D6">
              <w:rPr>
                <w:rStyle w:val="Hipercze"/>
              </w:rPr>
              <w:t xml:space="preserve">GM1 ADR-DSN.F.370 </w:t>
            </w:r>
            <w:r w:rsidR="00DF65F3">
              <w:rPr>
                <w:sz w:val="22"/>
                <w:lang w:val="en-GB" w:eastAsia="en-GB"/>
              </w:rPr>
              <w:tab/>
            </w:r>
            <w:r w:rsidR="00DF65F3" w:rsidRPr="004815D6">
              <w:rPr>
                <w:rStyle w:val="Hipercze"/>
              </w:rPr>
              <w:t xml:space="preserve">    Odizolowane stanowisko postoju statku powietrznego</w:t>
            </w:r>
            <w:r w:rsidR="00DF65F3">
              <w:rPr>
                <w:webHidden/>
              </w:rPr>
              <w:tab/>
            </w:r>
            <w:r w:rsidR="00DF65F3">
              <w:rPr>
                <w:webHidden/>
              </w:rPr>
              <w:fldChar w:fldCharType="begin"/>
            </w:r>
            <w:r w:rsidR="00DF65F3">
              <w:rPr>
                <w:webHidden/>
              </w:rPr>
              <w:instrText xml:space="preserve"> PAGEREF _Toc12533062 \h </w:instrText>
            </w:r>
            <w:r w:rsidR="00DF65F3">
              <w:rPr>
                <w:webHidden/>
              </w:rPr>
            </w:r>
            <w:r w:rsidR="00DF65F3">
              <w:rPr>
                <w:webHidden/>
              </w:rPr>
              <w:fldChar w:fldCharType="separate"/>
            </w:r>
            <w:r w:rsidR="00F755B7">
              <w:rPr>
                <w:webHidden/>
              </w:rPr>
              <w:t>360</w:t>
            </w:r>
            <w:r w:rsidR="00DF65F3">
              <w:rPr>
                <w:webHidden/>
              </w:rPr>
              <w:fldChar w:fldCharType="end"/>
            </w:r>
          </w:hyperlink>
        </w:p>
        <w:p w14:paraId="24A812A4" w14:textId="234F1D0F" w:rsidR="00DF65F3" w:rsidRDefault="00870777">
          <w:pPr>
            <w:pStyle w:val="Spistreci2"/>
            <w:rPr>
              <w:rFonts w:asciiTheme="minorHAnsi" w:eastAsiaTheme="minorEastAsia" w:hAnsiTheme="minorHAnsi" w:cstheme="minorBidi"/>
              <w:sz w:val="22"/>
              <w:lang w:val="en-GB" w:eastAsia="en-GB"/>
            </w:rPr>
          </w:pPr>
          <w:hyperlink w:anchor="_Toc12533063" w:history="1">
            <w:r w:rsidR="00DF65F3" w:rsidRPr="004815D6">
              <w:rPr>
                <w:rStyle w:val="Hipercze"/>
              </w:rPr>
              <w:t>ROZDZIAŁ G — STANOWISKO DO ODLADZANIA / PRZECIWDZIAŁANIA OBLODZENIU</w:t>
            </w:r>
            <w:r w:rsidR="00DF65F3">
              <w:rPr>
                <w:webHidden/>
              </w:rPr>
              <w:tab/>
            </w:r>
            <w:r w:rsidR="00DF65F3">
              <w:rPr>
                <w:webHidden/>
              </w:rPr>
              <w:fldChar w:fldCharType="begin"/>
            </w:r>
            <w:r w:rsidR="00DF65F3">
              <w:rPr>
                <w:webHidden/>
              </w:rPr>
              <w:instrText xml:space="preserve"> PAGEREF _Toc12533063 \h </w:instrText>
            </w:r>
            <w:r w:rsidR="00DF65F3">
              <w:rPr>
                <w:webHidden/>
              </w:rPr>
            </w:r>
            <w:r w:rsidR="00DF65F3">
              <w:rPr>
                <w:webHidden/>
              </w:rPr>
              <w:fldChar w:fldCharType="separate"/>
            </w:r>
            <w:r w:rsidR="00F755B7">
              <w:rPr>
                <w:webHidden/>
              </w:rPr>
              <w:t>361</w:t>
            </w:r>
            <w:r w:rsidR="00DF65F3">
              <w:rPr>
                <w:webHidden/>
              </w:rPr>
              <w:fldChar w:fldCharType="end"/>
            </w:r>
          </w:hyperlink>
        </w:p>
        <w:p w14:paraId="5EDFDD6A" w14:textId="6E360C11" w:rsidR="00DF65F3" w:rsidRDefault="00870777">
          <w:pPr>
            <w:pStyle w:val="Spistreci4"/>
            <w:rPr>
              <w:sz w:val="22"/>
              <w:lang w:val="en-GB" w:eastAsia="en-GB"/>
            </w:rPr>
          </w:pPr>
          <w:hyperlink w:anchor="_Toc12533064" w:history="1">
            <w:r w:rsidR="00DF65F3" w:rsidRPr="004815D6">
              <w:rPr>
                <w:rStyle w:val="Hipercze"/>
              </w:rPr>
              <w:t xml:space="preserve">CS ADR-DSN.G.375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_Toc12533064 \h </w:instrText>
            </w:r>
            <w:r w:rsidR="00DF65F3">
              <w:rPr>
                <w:webHidden/>
              </w:rPr>
            </w:r>
            <w:r w:rsidR="00DF65F3">
              <w:rPr>
                <w:webHidden/>
              </w:rPr>
              <w:fldChar w:fldCharType="separate"/>
            </w:r>
            <w:r w:rsidR="00F755B7">
              <w:rPr>
                <w:webHidden/>
              </w:rPr>
              <w:t>361</w:t>
            </w:r>
            <w:r w:rsidR="00DF65F3">
              <w:rPr>
                <w:webHidden/>
              </w:rPr>
              <w:fldChar w:fldCharType="end"/>
            </w:r>
          </w:hyperlink>
        </w:p>
        <w:p w14:paraId="4D3E226B" w14:textId="1EC9A5F6" w:rsidR="00DF65F3" w:rsidRDefault="00870777">
          <w:pPr>
            <w:pStyle w:val="Spistreci6"/>
            <w:rPr>
              <w:sz w:val="22"/>
              <w:lang w:val="en-GB" w:eastAsia="en-GB"/>
            </w:rPr>
          </w:pPr>
          <w:hyperlink w:anchor="_Toc12533065" w:history="1">
            <w:r w:rsidR="00DF65F3" w:rsidRPr="004815D6">
              <w:rPr>
                <w:rStyle w:val="Hipercze"/>
              </w:rPr>
              <w:t xml:space="preserve">GM1 ADR-DSN.G.375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_Toc12533065 \h </w:instrText>
            </w:r>
            <w:r w:rsidR="00DF65F3">
              <w:rPr>
                <w:webHidden/>
              </w:rPr>
            </w:r>
            <w:r w:rsidR="00DF65F3">
              <w:rPr>
                <w:webHidden/>
              </w:rPr>
              <w:fldChar w:fldCharType="separate"/>
            </w:r>
            <w:r w:rsidR="00F755B7">
              <w:rPr>
                <w:webHidden/>
              </w:rPr>
              <w:t>361</w:t>
            </w:r>
            <w:r w:rsidR="00DF65F3">
              <w:rPr>
                <w:webHidden/>
              </w:rPr>
              <w:fldChar w:fldCharType="end"/>
            </w:r>
          </w:hyperlink>
        </w:p>
        <w:p w14:paraId="63BB46D3" w14:textId="7E44A68B" w:rsidR="00DF65F3" w:rsidRDefault="00870777">
          <w:pPr>
            <w:pStyle w:val="Spistreci4"/>
            <w:rPr>
              <w:sz w:val="22"/>
              <w:lang w:val="en-GB" w:eastAsia="en-GB"/>
            </w:rPr>
          </w:pPr>
          <w:hyperlink w:anchor="_Toc12533066" w:history="1">
            <w:r w:rsidR="00DF65F3" w:rsidRPr="004815D6">
              <w:rPr>
                <w:rStyle w:val="Hipercze"/>
              </w:rPr>
              <w:t>CS ADR-DSN.G.380     Lokalizacja</w:t>
            </w:r>
            <w:r w:rsidR="00DF65F3">
              <w:rPr>
                <w:webHidden/>
              </w:rPr>
              <w:tab/>
            </w:r>
            <w:r w:rsidR="00DF65F3">
              <w:rPr>
                <w:webHidden/>
              </w:rPr>
              <w:fldChar w:fldCharType="begin"/>
            </w:r>
            <w:r w:rsidR="00DF65F3">
              <w:rPr>
                <w:webHidden/>
              </w:rPr>
              <w:instrText xml:space="preserve"> PAGEREF _Toc12533066 \h </w:instrText>
            </w:r>
            <w:r w:rsidR="00DF65F3">
              <w:rPr>
                <w:webHidden/>
              </w:rPr>
            </w:r>
            <w:r w:rsidR="00DF65F3">
              <w:rPr>
                <w:webHidden/>
              </w:rPr>
              <w:fldChar w:fldCharType="separate"/>
            </w:r>
            <w:r w:rsidR="00F755B7">
              <w:rPr>
                <w:webHidden/>
              </w:rPr>
              <w:t>361</w:t>
            </w:r>
            <w:r w:rsidR="00DF65F3">
              <w:rPr>
                <w:webHidden/>
              </w:rPr>
              <w:fldChar w:fldCharType="end"/>
            </w:r>
          </w:hyperlink>
        </w:p>
        <w:p w14:paraId="2298F255" w14:textId="258C7F29" w:rsidR="00DF65F3" w:rsidRDefault="00870777">
          <w:pPr>
            <w:pStyle w:val="Spistreci6"/>
            <w:rPr>
              <w:sz w:val="22"/>
              <w:lang w:val="en-GB" w:eastAsia="en-GB"/>
            </w:rPr>
          </w:pPr>
          <w:hyperlink w:anchor="_Toc12533067" w:history="1">
            <w:r w:rsidR="00DF65F3" w:rsidRPr="004815D6">
              <w:rPr>
                <w:rStyle w:val="Hipercze"/>
              </w:rPr>
              <w:t>GM1 ADR-DSN.G.380     Lokalizacja</w:t>
            </w:r>
            <w:r w:rsidR="00DF65F3">
              <w:rPr>
                <w:webHidden/>
              </w:rPr>
              <w:tab/>
            </w:r>
            <w:r w:rsidR="00DF65F3">
              <w:rPr>
                <w:webHidden/>
              </w:rPr>
              <w:fldChar w:fldCharType="begin"/>
            </w:r>
            <w:r w:rsidR="00DF65F3">
              <w:rPr>
                <w:webHidden/>
              </w:rPr>
              <w:instrText xml:space="preserve"> PAGEREF _Toc12533067 \h </w:instrText>
            </w:r>
            <w:r w:rsidR="00DF65F3">
              <w:rPr>
                <w:webHidden/>
              </w:rPr>
            </w:r>
            <w:r w:rsidR="00DF65F3">
              <w:rPr>
                <w:webHidden/>
              </w:rPr>
              <w:fldChar w:fldCharType="separate"/>
            </w:r>
            <w:r w:rsidR="00F755B7">
              <w:rPr>
                <w:webHidden/>
              </w:rPr>
              <w:t>361</w:t>
            </w:r>
            <w:r w:rsidR="00DF65F3">
              <w:rPr>
                <w:webHidden/>
              </w:rPr>
              <w:fldChar w:fldCharType="end"/>
            </w:r>
          </w:hyperlink>
        </w:p>
        <w:p w14:paraId="60956D03" w14:textId="388E1E34" w:rsidR="00DF65F3" w:rsidRDefault="00870777">
          <w:pPr>
            <w:pStyle w:val="Spistreci4"/>
            <w:rPr>
              <w:sz w:val="22"/>
              <w:lang w:val="en-GB" w:eastAsia="en-GB"/>
            </w:rPr>
          </w:pPr>
          <w:hyperlink w:anchor="_Toc12533068" w:history="1">
            <w:r w:rsidR="00DF65F3" w:rsidRPr="004815D6">
              <w:rPr>
                <w:rStyle w:val="Hipercze"/>
              </w:rPr>
              <w:t>CS ADR-DSN.G.385      Wielkość płaszczyzny do odladzania / przeciwdziałania oblodzeniu</w:t>
            </w:r>
            <w:r w:rsidR="00DF65F3">
              <w:rPr>
                <w:webHidden/>
              </w:rPr>
              <w:tab/>
            </w:r>
            <w:r w:rsidR="00DF65F3">
              <w:rPr>
                <w:webHidden/>
              </w:rPr>
              <w:fldChar w:fldCharType="begin"/>
            </w:r>
            <w:r w:rsidR="00DF65F3">
              <w:rPr>
                <w:webHidden/>
              </w:rPr>
              <w:instrText xml:space="preserve"> PAGEREF _Toc12533068 \h </w:instrText>
            </w:r>
            <w:r w:rsidR="00DF65F3">
              <w:rPr>
                <w:webHidden/>
              </w:rPr>
            </w:r>
            <w:r w:rsidR="00DF65F3">
              <w:rPr>
                <w:webHidden/>
              </w:rPr>
              <w:fldChar w:fldCharType="separate"/>
            </w:r>
            <w:r w:rsidR="00F755B7">
              <w:rPr>
                <w:webHidden/>
              </w:rPr>
              <w:t>362</w:t>
            </w:r>
            <w:r w:rsidR="00DF65F3">
              <w:rPr>
                <w:webHidden/>
              </w:rPr>
              <w:fldChar w:fldCharType="end"/>
            </w:r>
          </w:hyperlink>
        </w:p>
        <w:p w14:paraId="5F83E687" w14:textId="35DBEF34" w:rsidR="00DF65F3" w:rsidRDefault="00870777">
          <w:pPr>
            <w:pStyle w:val="Spistreci6"/>
            <w:rPr>
              <w:sz w:val="22"/>
              <w:lang w:val="en-GB" w:eastAsia="en-GB"/>
            </w:rPr>
          </w:pPr>
          <w:hyperlink w:anchor="_Toc12533069" w:history="1">
            <w:r w:rsidR="00DF65F3" w:rsidRPr="004815D6">
              <w:rPr>
                <w:rStyle w:val="Hipercze"/>
              </w:rPr>
              <w:t>GM1 ADR-DSN.G.385     Wielkość płaszczyzny do odladzania / przeciwdziałania oblodzeniu</w:t>
            </w:r>
            <w:r w:rsidR="00DF65F3">
              <w:rPr>
                <w:webHidden/>
              </w:rPr>
              <w:tab/>
            </w:r>
            <w:r w:rsidR="00DF65F3">
              <w:rPr>
                <w:webHidden/>
              </w:rPr>
              <w:fldChar w:fldCharType="begin"/>
            </w:r>
            <w:r w:rsidR="00DF65F3">
              <w:rPr>
                <w:webHidden/>
              </w:rPr>
              <w:instrText xml:space="preserve"> PAGEREF _Toc12533069 \h </w:instrText>
            </w:r>
            <w:r w:rsidR="00DF65F3">
              <w:rPr>
                <w:webHidden/>
              </w:rPr>
            </w:r>
            <w:r w:rsidR="00DF65F3">
              <w:rPr>
                <w:webHidden/>
              </w:rPr>
              <w:fldChar w:fldCharType="separate"/>
            </w:r>
            <w:r w:rsidR="00F755B7">
              <w:rPr>
                <w:webHidden/>
              </w:rPr>
              <w:t>362</w:t>
            </w:r>
            <w:r w:rsidR="00DF65F3">
              <w:rPr>
                <w:webHidden/>
              </w:rPr>
              <w:fldChar w:fldCharType="end"/>
            </w:r>
          </w:hyperlink>
        </w:p>
        <w:p w14:paraId="622FAC19" w14:textId="7BB7B763" w:rsidR="00DF65F3" w:rsidRDefault="00870777">
          <w:pPr>
            <w:pStyle w:val="Spistreci4"/>
            <w:rPr>
              <w:sz w:val="22"/>
              <w:lang w:val="en-GB" w:eastAsia="en-GB"/>
            </w:rPr>
          </w:pPr>
          <w:hyperlink w:anchor="_Toc12533070" w:history="1">
            <w:r w:rsidR="00DF65F3" w:rsidRPr="004815D6">
              <w:rPr>
                <w:rStyle w:val="Hipercze"/>
              </w:rPr>
              <w:t>CS ADR-DSN.G.390     Nachylenia płaszczyzny do odladzania / przeciwdziałania oblodzeniu</w:t>
            </w:r>
            <w:r w:rsidR="00DF65F3">
              <w:rPr>
                <w:webHidden/>
              </w:rPr>
              <w:tab/>
            </w:r>
            <w:r w:rsidR="00DF65F3">
              <w:rPr>
                <w:webHidden/>
              </w:rPr>
              <w:fldChar w:fldCharType="begin"/>
            </w:r>
            <w:r w:rsidR="00DF65F3">
              <w:rPr>
                <w:webHidden/>
              </w:rPr>
              <w:instrText xml:space="preserve"> PAGEREF _Toc12533070 \h </w:instrText>
            </w:r>
            <w:r w:rsidR="00DF65F3">
              <w:rPr>
                <w:webHidden/>
              </w:rPr>
            </w:r>
            <w:r w:rsidR="00DF65F3">
              <w:rPr>
                <w:webHidden/>
              </w:rPr>
              <w:fldChar w:fldCharType="separate"/>
            </w:r>
            <w:r w:rsidR="00F755B7">
              <w:rPr>
                <w:webHidden/>
              </w:rPr>
              <w:t>363</w:t>
            </w:r>
            <w:r w:rsidR="00DF65F3">
              <w:rPr>
                <w:webHidden/>
              </w:rPr>
              <w:fldChar w:fldCharType="end"/>
            </w:r>
          </w:hyperlink>
        </w:p>
        <w:p w14:paraId="59EA19DD" w14:textId="641712C0" w:rsidR="00DF65F3" w:rsidRDefault="00870777">
          <w:pPr>
            <w:pStyle w:val="Spistreci6"/>
            <w:rPr>
              <w:sz w:val="22"/>
              <w:lang w:val="en-GB" w:eastAsia="en-GB"/>
            </w:rPr>
          </w:pPr>
          <w:hyperlink w:anchor="_Toc12533071" w:history="1">
            <w:r w:rsidR="00DF65F3" w:rsidRPr="004815D6">
              <w:rPr>
                <w:rStyle w:val="Hipercze"/>
              </w:rPr>
              <w:t>GM1 ADR-DSN.G.390     Nachylenia płaszczyzny do odladzania / przeciwdziałania oblodzeniu</w:t>
            </w:r>
            <w:r w:rsidR="00DF65F3">
              <w:rPr>
                <w:webHidden/>
              </w:rPr>
              <w:tab/>
            </w:r>
            <w:r w:rsidR="00DF65F3">
              <w:rPr>
                <w:webHidden/>
              </w:rPr>
              <w:fldChar w:fldCharType="begin"/>
            </w:r>
            <w:r w:rsidR="00DF65F3">
              <w:rPr>
                <w:webHidden/>
              </w:rPr>
              <w:instrText xml:space="preserve"> PAGEREF _Toc12533071 \h </w:instrText>
            </w:r>
            <w:r w:rsidR="00DF65F3">
              <w:rPr>
                <w:webHidden/>
              </w:rPr>
            </w:r>
            <w:r w:rsidR="00DF65F3">
              <w:rPr>
                <w:webHidden/>
              </w:rPr>
              <w:fldChar w:fldCharType="separate"/>
            </w:r>
            <w:r w:rsidR="00F755B7">
              <w:rPr>
                <w:webHidden/>
              </w:rPr>
              <w:t>363</w:t>
            </w:r>
            <w:r w:rsidR="00DF65F3">
              <w:rPr>
                <w:webHidden/>
              </w:rPr>
              <w:fldChar w:fldCharType="end"/>
            </w:r>
          </w:hyperlink>
        </w:p>
        <w:p w14:paraId="04EF2AE0" w14:textId="336E7597" w:rsidR="00DF65F3" w:rsidRDefault="00870777">
          <w:pPr>
            <w:pStyle w:val="Spistreci4"/>
            <w:rPr>
              <w:sz w:val="22"/>
              <w:lang w:val="en-GB" w:eastAsia="en-GB"/>
            </w:rPr>
          </w:pPr>
          <w:hyperlink w:anchor="_Toc12533072" w:history="1">
            <w:r w:rsidR="00DF65F3" w:rsidRPr="004815D6">
              <w:rPr>
                <w:rStyle w:val="Hipercze"/>
              </w:rPr>
              <w:t>CS ADR-DSN.G.395     Nośność płaszczyzny do odladzania / przeciwdziałania oblodzeniu</w:t>
            </w:r>
            <w:r w:rsidR="00DF65F3">
              <w:rPr>
                <w:webHidden/>
              </w:rPr>
              <w:tab/>
            </w:r>
            <w:r w:rsidR="00DF65F3">
              <w:rPr>
                <w:webHidden/>
              </w:rPr>
              <w:fldChar w:fldCharType="begin"/>
            </w:r>
            <w:r w:rsidR="00DF65F3">
              <w:rPr>
                <w:webHidden/>
              </w:rPr>
              <w:instrText xml:space="preserve"> PAGEREF _Toc12533072 \h </w:instrText>
            </w:r>
            <w:r w:rsidR="00DF65F3">
              <w:rPr>
                <w:webHidden/>
              </w:rPr>
            </w:r>
            <w:r w:rsidR="00DF65F3">
              <w:rPr>
                <w:webHidden/>
              </w:rPr>
              <w:fldChar w:fldCharType="separate"/>
            </w:r>
            <w:r w:rsidR="00F755B7">
              <w:rPr>
                <w:webHidden/>
              </w:rPr>
              <w:t>363</w:t>
            </w:r>
            <w:r w:rsidR="00DF65F3">
              <w:rPr>
                <w:webHidden/>
              </w:rPr>
              <w:fldChar w:fldCharType="end"/>
            </w:r>
          </w:hyperlink>
        </w:p>
        <w:p w14:paraId="664C82F4" w14:textId="70ACB697" w:rsidR="00DF65F3" w:rsidRDefault="00870777">
          <w:pPr>
            <w:pStyle w:val="Spistreci6"/>
            <w:rPr>
              <w:sz w:val="22"/>
              <w:lang w:val="en-GB" w:eastAsia="en-GB"/>
            </w:rPr>
          </w:pPr>
          <w:hyperlink w:anchor="_Toc12533073" w:history="1">
            <w:r w:rsidR="00DF65F3" w:rsidRPr="004815D6">
              <w:rPr>
                <w:rStyle w:val="Hipercze"/>
              </w:rPr>
              <w:t>GM1 ADR-DSN.G.395     Nośność płaszczyzny do odladzania / przeciwdziałania oblodzeniu</w:t>
            </w:r>
            <w:r w:rsidR="00DF65F3">
              <w:rPr>
                <w:webHidden/>
              </w:rPr>
              <w:tab/>
            </w:r>
            <w:r w:rsidR="00DF65F3">
              <w:rPr>
                <w:webHidden/>
              </w:rPr>
              <w:fldChar w:fldCharType="begin"/>
            </w:r>
            <w:r w:rsidR="00DF65F3">
              <w:rPr>
                <w:webHidden/>
              </w:rPr>
              <w:instrText xml:space="preserve"> PAGEREF _Toc12533073 \h </w:instrText>
            </w:r>
            <w:r w:rsidR="00DF65F3">
              <w:rPr>
                <w:webHidden/>
              </w:rPr>
            </w:r>
            <w:r w:rsidR="00DF65F3">
              <w:rPr>
                <w:webHidden/>
              </w:rPr>
              <w:fldChar w:fldCharType="separate"/>
            </w:r>
            <w:r w:rsidR="00F755B7">
              <w:rPr>
                <w:webHidden/>
              </w:rPr>
              <w:t>363</w:t>
            </w:r>
            <w:r w:rsidR="00DF65F3">
              <w:rPr>
                <w:webHidden/>
              </w:rPr>
              <w:fldChar w:fldCharType="end"/>
            </w:r>
          </w:hyperlink>
        </w:p>
        <w:p w14:paraId="2048B198" w14:textId="0098458C" w:rsidR="00DF65F3" w:rsidRDefault="00870777">
          <w:pPr>
            <w:pStyle w:val="Spistreci4"/>
            <w:rPr>
              <w:sz w:val="22"/>
              <w:lang w:val="en-GB" w:eastAsia="en-GB"/>
            </w:rPr>
          </w:pPr>
          <w:hyperlink w:anchor="_Toc12533074" w:history="1">
            <w:r w:rsidR="00DF65F3" w:rsidRPr="004815D6">
              <w:rPr>
                <w:rStyle w:val="Hipercze"/>
              </w:rPr>
              <w:t>CS ADR-DSN.G.400      Odstępy na płaszczyźnie do odladzania / przeciwdziałania oblodzeniu</w:t>
            </w:r>
            <w:r w:rsidR="00DF65F3">
              <w:rPr>
                <w:webHidden/>
              </w:rPr>
              <w:tab/>
            </w:r>
            <w:r w:rsidR="00DF65F3">
              <w:rPr>
                <w:webHidden/>
              </w:rPr>
              <w:fldChar w:fldCharType="begin"/>
            </w:r>
            <w:r w:rsidR="00DF65F3">
              <w:rPr>
                <w:webHidden/>
              </w:rPr>
              <w:instrText xml:space="preserve"> PAGEREF _Toc12533074 \h </w:instrText>
            </w:r>
            <w:r w:rsidR="00DF65F3">
              <w:rPr>
                <w:webHidden/>
              </w:rPr>
            </w:r>
            <w:r w:rsidR="00DF65F3">
              <w:rPr>
                <w:webHidden/>
              </w:rPr>
              <w:fldChar w:fldCharType="separate"/>
            </w:r>
            <w:r w:rsidR="00F755B7">
              <w:rPr>
                <w:webHidden/>
              </w:rPr>
              <w:t>363</w:t>
            </w:r>
            <w:r w:rsidR="00DF65F3">
              <w:rPr>
                <w:webHidden/>
              </w:rPr>
              <w:fldChar w:fldCharType="end"/>
            </w:r>
          </w:hyperlink>
        </w:p>
        <w:p w14:paraId="1FD1DDBA" w14:textId="5544256C" w:rsidR="00DF65F3" w:rsidRDefault="00870777">
          <w:pPr>
            <w:pStyle w:val="Spistreci6"/>
            <w:rPr>
              <w:sz w:val="22"/>
              <w:lang w:val="en-GB" w:eastAsia="en-GB"/>
            </w:rPr>
          </w:pPr>
          <w:hyperlink w:anchor="_Toc12533075" w:history="1">
            <w:r w:rsidR="00DF65F3" w:rsidRPr="004815D6">
              <w:rPr>
                <w:rStyle w:val="Hipercze"/>
              </w:rPr>
              <w:t>GM1 ADR-DSN.G.400     Odległości bezpieczeństwa na płaszczyźnie do odladzania / przeciwdziałania oblodzeniu</w:t>
            </w:r>
            <w:r w:rsidR="00DF65F3">
              <w:rPr>
                <w:webHidden/>
              </w:rPr>
              <w:tab/>
            </w:r>
            <w:r w:rsidR="00DF65F3">
              <w:rPr>
                <w:webHidden/>
              </w:rPr>
              <w:fldChar w:fldCharType="begin"/>
            </w:r>
            <w:r w:rsidR="00DF65F3">
              <w:rPr>
                <w:webHidden/>
              </w:rPr>
              <w:instrText xml:space="preserve"> PAGEREF _Toc12533075 \h </w:instrText>
            </w:r>
            <w:r w:rsidR="00DF65F3">
              <w:rPr>
                <w:webHidden/>
              </w:rPr>
            </w:r>
            <w:r w:rsidR="00DF65F3">
              <w:rPr>
                <w:webHidden/>
              </w:rPr>
              <w:fldChar w:fldCharType="separate"/>
            </w:r>
            <w:r w:rsidR="00F755B7">
              <w:rPr>
                <w:webHidden/>
              </w:rPr>
              <w:t>365</w:t>
            </w:r>
            <w:r w:rsidR="00DF65F3">
              <w:rPr>
                <w:webHidden/>
              </w:rPr>
              <w:fldChar w:fldCharType="end"/>
            </w:r>
          </w:hyperlink>
        </w:p>
        <w:p w14:paraId="5133E350" w14:textId="205C813B" w:rsidR="00DF65F3" w:rsidRDefault="00870777">
          <w:pPr>
            <w:pStyle w:val="Spistreci2"/>
            <w:rPr>
              <w:rFonts w:asciiTheme="minorHAnsi" w:eastAsiaTheme="minorEastAsia" w:hAnsiTheme="minorHAnsi" w:cstheme="minorBidi"/>
              <w:sz w:val="22"/>
              <w:lang w:val="en-GB" w:eastAsia="en-GB"/>
            </w:rPr>
          </w:pPr>
          <w:hyperlink w:anchor="_Toc12533076" w:history="1">
            <w:r w:rsidR="00DF65F3" w:rsidRPr="004815D6">
              <w:rPr>
                <w:rStyle w:val="Hipercze"/>
              </w:rPr>
              <w:t>ROZDZIAŁ H — POWIERZCHNIE OGRANICZAJĄCE PRZESZKODY</w:t>
            </w:r>
            <w:r w:rsidR="00DF65F3">
              <w:rPr>
                <w:webHidden/>
              </w:rPr>
              <w:tab/>
            </w:r>
            <w:r w:rsidR="00DF65F3">
              <w:rPr>
                <w:webHidden/>
              </w:rPr>
              <w:fldChar w:fldCharType="begin"/>
            </w:r>
            <w:r w:rsidR="00DF65F3">
              <w:rPr>
                <w:webHidden/>
              </w:rPr>
              <w:instrText xml:space="preserve"> PAGEREF _Toc12533076 \h </w:instrText>
            </w:r>
            <w:r w:rsidR="00DF65F3">
              <w:rPr>
                <w:webHidden/>
              </w:rPr>
            </w:r>
            <w:r w:rsidR="00DF65F3">
              <w:rPr>
                <w:webHidden/>
              </w:rPr>
              <w:fldChar w:fldCharType="separate"/>
            </w:r>
            <w:r w:rsidR="00F755B7">
              <w:rPr>
                <w:webHidden/>
              </w:rPr>
              <w:t>366</w:t>
            </w:r>
            <w:r w:rsidR="00DF65F3">
              <w:rPr>
                <w:webHidden/>
              </w:rPr>
              <w:fldChar w:fldCharType="end"/>
            </w:r>
          </w:hyperlink>
        </w:p>
        <w:p w14:paraId="4EA45D7C" w14:textId="1C482EAD" w:rsidR="00DF65F3" w:rsidRDefault="00870777">
          <w:pPr>
            <w:pStyle w:val="Spistreci4"/>
            <w:rPr>
              <w:sz w:val="22"/>
              <w:lang w:val="en-GB" w:eastAsia="en-GB"/>
            </w:rPr>
          </w:pPr>
          <w:hyperlink w:anchor="_Toc12533077" w:history="1">
            <w:r w:rsidR="00DF65F3" w:rsidRPr="004815D6">
              <w:rPr>
                <w:rStyle w:val="Hipercze"/>
              </w:rPr>
              <w:t>CS ADR-DSN.H.405     Zastosowanie</w:t>
            </w:r>
            <w:r w:rsidR="00DF65F3">
              <w:rPr>
                <w:webHidden/>
              </w:rPr>
              <w:tab/>
            </w:r>
            <w:r w:rsidR="00DF65F3">
              <w:rPr>
                <w:webHidden/>
              </w:rPr>
              <w:fldChar w:fldCharType="begin"/>
            </w:r>
            <w:r w:rsidR="00DF65F3">
              <w:rPr>
                <w:webHidden/>
              </w:rPr>
              <w:instrText xml:space="preserve"> PAGEREF _Toc12533077 \h </w:instrText>
            </w:r>
            <w:r w:rsidR="00DF65F3">
              <w:rPr>
                <w:webHidden/>
              </w:rPr>
            </w:r>
            <w:r w:rsidR="00DF65F3">
              <w:rPr>
                <w:webHidden/>
              </w:rPr>
              <w:fldChar w:fldCharType="separate"/>
            </w:r>
            <w:r w:rsidR="00F755B7">
              <w:rPr>
                <w:webHidden/>
              </w:rPr>
              <w:t>366</w:t>
            </w:r>
            <w:r w:rsidR="00DF65F3">
              <w:rPr>
                <w:webHidden/>
              </w:rPr>
              <w:fldChar w:fldCharType="end"/>
            </w:r>
          </w:hyperlink>
        </w:p>
        <w:p w14:paraId="12A34DB1" w14:textId="042783F7" w:rsidR="00DF65F3" w:rsidRDefault="00870777">
          <w:pPr>
            <w:pStyle w:val="Spistreci6"/>
            <w:rPr>
              <w:sz w:val="22"/>
              <w:lang w:val="en-GB" w:eastAsia="en-GB"/>
            </w:rPr>
          </w:pPr>
          <w:hyperlink w:anchor="_Toc12533078" w:history="1">
            <w:r w:rsidR="00DF65F3" w:rsidRPr="004815D6">
              <w:rPr>
                <w:rStyle w:val="Hipercze"/>
              </w:rPr>
              <w:t>GM1 ADR-DSN.H.405     Zastosowanie</w:t>
            </w:r>
            <w:r w:rsidR="00DF65F3">
              <w:rPr>
                <w:webHidden/>
              </w:rPr>
              <w:tab/>
            </w:r>
            <w:r w:rsidR="00DF65F3">
              <w:rPr>
                <w:webHidden/>
              </w:rPr>
              <w:fldChar w:fldCharType="begin"/>
            </w:r>
            <w:r w:rsidR="00DF65F3">
              <w:rPr>
                <w:webHidden/>
              </w:rPr>
              <w:instrText xml:space="preserve"> PAGEREF _Toc12533078 \h </w:instrText>
            </w:r>
            <w:r w:rsidR="00DF65F3">
              <w:rPr>
                <w:webHidden/>
              </w:rPr>
            </w:r>
            <w:r w:rsidR="00DF65F3">
              <w:rPr>
                <w:webHidden/>
              </w:rPr>
              <w:fldChar w:fldCharType="separate"/>
            </w:r>
            <w:r w:rsidR="00F755B7">
              <w:rPr>
                <w:webHidden/>
              </w:rPr>
              <w:t>366</w:t>
            </w:r>
            <w:r w:rsidR="00DF65F3">
              <w:rPr>
                <w:webHidden/>
              </w:rPr>
              <w:fldChar w:fldCharType="end"/>
            </w:r>
          </w:hyperlink>
        </w:p>
        <w:p w14:paraId="1DE84B81" w14:textId="0B7DBCBC" w:rsidR="00DF65F3" w:rsidRDefault="00870777">
          <w:pPr>
            <w:pStyle w:val="Spistreci4"/>
            <w:rPr>
              <w:sz w:val="22"/>
              <w:lang w:val="en-GB" w:eastAsia="en-GB"/>
            </w:rPr>
          </w:pPr>
          <w:hyperlink w:anchor="_Toc12533079" w:history="1">
            <w:r w:rsidR="00DF65F3" w:rsidRPr="004815D6">
              <w:rPr>
                <w:rStyle w:val="Hipercze"/>
              </w:rPr>
              <w:t>CS ADR-DSN.H.410     Powierzchnia pozioma zewnętrzna</w:t>
            </w:r>
            <w:r w:rsidR="00DF65F3">
              <w:rPr>
                <w:webHidden/>
              </w:rPr>
              <w:tab/>
            </w:r>
            <w:r w:rsidR="00DF65F3">
              <w:rPr>
                <w:webHidden/>
              </w:rPr>
              <w:fldChar w:fldCharType="begin"/>
            </w:r>
            <w:r w:rsidR="00DF65F3">
              <w:rPr>
                <w:webHidden/>
              </w:rPr>
              <w:instrText xml:space="preserve"> PAGEREF _Toc12533079 \h </w:instrText>
            </w:r>
            <w:r w:rsidR="00DF65F3">
              <w:rPr>
                <w:webHidden/>
              </w:rPr>
            </w:r>
            <w:r w:rsidR="00DF65F3">
              <w:rPr>
                <w:webHidden/>
              </w:rPr>
              <w:fldChar w:fldCharType="separate"/>
            </w:r>
            <w:r w:rsidR="00F755B7">
              <w:rPr>
                <w:webHidden/>
              </w:rPr>
              <w:t>367</w:t>
            </w:r>
            <w:r w:rsidR="00DF65F3">
              <w:rPr>
                <w:webHidden/>
              </w:rPr>
              <w:fldChar w:fldCharType="end"/>
            </w:r>
          </w:hyperlink>
        </w:p>
        <w:p w14:paraId="73A56349" w14:textId="2AE976D7" w:rsidR="00DF65F3" w:rsidRDefault="00870777">
          <w:pPr>
            <w:pStyle w:val="Spistreci6"/>
            <w:rPr>
              <w:sz w:val="22"/>
              <w:lang w:val="en-GB" w:eastAsia="en-GB"/>
            </w:rPr>
          </w:pPr>
          <w:hyperlink w:anchor="_Toc12533080" w:history="1">
            <w:r w:rsidR="00DF65F3" w:rsidRPr="004815D6">
              <w:rPr>
                <w:rStyle w:val="Hipercze"/>
              </w:rPr>
              <w:t>GM1 ADR-DSN.H.410     Powierzchnia pozioma zewnętrzna</w:t>
            </w:r>
            <w:r w:rsidR="00DF65F3">
              <w:rPr>
                <w:webHidden/>
              </w:rPr>
              <w:tab/>
            </w:r>
            <w:r w:rsidR="00DF65F3">
              <w:rPr>
                <w:webHidden/>
              </w:rPr>
              <w:fldChar w:fldCharType="begin"/>
            </w:r>
            <w:r w:rsidR="00DF65F3">
              <w:rPr>
                <w:webHidden/>
              </w:rPr>
              <w:instrText xml:space="preserve"> PAGEREF _Toc12533080 \h </w:instrText>
            </w:r>
            <w:r w:rsidR="00DF65F3">
              <w:rPr>
                <w:webHidden/>
              </w:rPr>
            </w:r>
            <w:r w:rsidR="00DF65F3">
              <w:rPr>
                <w:webHidden/>
              </w:rPr>
              <w:fldChar w:fldCharType="separate"/>
            </w:r>
            <w:r w:rsidR="00F755B7">
              <w:rPr>
                <w:webHidden/>
              </w:rPr>
              <w:t>367</w:t>
            </w:r>
            <w:r w:rsidR="00DF65F3">
              <w:rPr>
                <w:webHidden/>
              </w:rPr>
              <w:fldChar w:fldCharType="end"/>
            </w:r>
          </w:hyperlink>
        </w:p>
        <w:p w14:paraId="2ADED60A" w14:textId="405A016B" w:rsidR="00DF65F3" w:rsidRDefault="00870777">
          <w:pPr>
            <w:pStyle w:val="Spistreci4"/>
            <w:rPr>
              <w:sz w:val="22"/>
              <w:lang w:val="en-GB" w:eastAsia="en-GB"/>
            </w:rPr>
          </w:pPr>
          <w:hyperlink w:anchor="_Toc12533081" w:history="1">
            <w:r w:rsidR="00DF65F3" w:rsidRPr="004815D6">
              <w:rPr>
                <w:rStyle w:val="Hipercze"/>
              </w:rPr>
              <w:t>CS ADR-DSN.H.415     Powierzchnia stożkowa</w:t>
            </w:r>
            <w:r w:rsidR="00DF65F3">
              <w:rPr>
                <w:webHidden/>
              </w:rPr>
              <w:tab/>
            </w:r>
            <w:r w:rsidR="00DF65F3">
              <w:rPr>
                <w:webHidden/>
              </w:rPr>
              <w:fldChar w:fldCharType="begin"/>
            </w:r>
            <w:r w:rsidR="00DF65F3">
              <w:rPr>
                <w:webHidden/>
              </w:rPr>
              <w:instrText xml:space="preserve"> PAGEREF _Toc12533081 \h </w:instrText>
            </w:r>
            <w:r w:rsidR="00DF65F3">
              <w:rPr>
                <w:webHidden/>
              </w:rPr>
            </w:r>
            <w:r w:rsidR="00DF65F3">
              <w:rPr>
                <w:webHidden/>
              </w:rPr>
              <w:fldChar w:fldCharType="separate"/>
            </w:r>
            <w:r w:rsidR="00F755B7">
              <w:rPr>
                <w:webHidden/>
              </w:rPr>
              <w:t>368</w:t>
            </w:r>
            <w:r w:rsidR="00DF65F3">
              <w:rPr>
                <w:webHidden/>
              </w:rPr>
              <w:fldChar w:fldCharType="end"/>
            </w:r>
          </w:hyperlink>
        </w:p>
        <w:p w14:paraId="41C6147A" w14:textId="7460D465" w:rsidR="00DF65F3" w:rsidRDefault="00870777">
          <w:pPr>
            <w:pStyle w:val="Spistreci6"/>
            <w:rPr>
              <w:sz w:val="22"/>
              <w:lang w:val="en-GB" w:eastAsia="en-GB"/>
            </w:rPr>
          </w:pPr>
          <w:hyperlink w:anchor="_Toc12533082" w:history="1">
            <w:r w:rsidR="00DF65F3" w:rsidRPr="004815D6">
              <w:rPr>
                <w:rStyle w:val="Hipercze"/>
              </w:rPr>
              <w:t>GM1 ADR-DSN.H.415     Powierzchnia stożkowa</w:t>
            </w:r>
            <w:r w:rsidR="00DF65F3">
              <w:rPr>
                <w:webHidden/>
              </w:rPr>
              <w:tab/>
            </w:r>
            <w:r w:rsidR="00DF65F3">
              <w:rPr>
                <w:webHidden/>
              </w:rPr>
              <w:fldChar w:fldCharType="begin"/>
            </w:r>
            <w:r w:rsidR="00DF65F3">
              <w:rPr>
                <w:webHidden/>
              </w:rPr>
              <w:instrText xml:space="preserve"> PAGEREF _Toc12533082 \h </w:instrText>
            </w:r>
            <w:r w:rsidR="00DF65F3">
              <w:rPr>
                <w:webHidden/>
              </w:rPr>
            </w:r>
            <w:r w:rsidR="00DF65F3">
              <w:rPr>
                <w:webHidden/>
              </w:rPr>
              <w:fldChar w:fldCharType="separate"/>
            </w:r>
            <w:r w:rsidR="00F755B7">
              <w:rPr>
                <w:webHidden/>
              </w:rPr>
              <w:t>369</w:t>
            </w:r>
            <w:r w:rsidR="00DF65F3">
              <w:rPr>
                <w:webHidden/>
              </w:rPr>
              <w:fldChar w:fldCharType="end"/>
            </w:r>
          </w:hyperlink>
        </w:p>
        <w:p w14:paraId="670C53CD" w14:textId="25B9A215" w:rsidR="00DF65F3" w:rsidRDefault="00870777">
          <w:pPr>
            <w:pStyle w:val="Spistreci4"/>
            <w:rPr>
              <w:sz w:val="22"/>
              <w:lang w:val="en-GB" w:eastAsia="en-GB"/>
            </w:rPr>
          </w:pPr>
          <w:hyperlink w:anchor="_Toc12533083" w:history="1">
            <w:r w:rsidR="00DF65F3" w:rsidRPr="004815D6">
              <w:rPr>
                <w:rStyle w:val="Hipercze"/>
              </w:rPr>
              <w:t>CS ADR-DSN.H.420     Powierzchnia pozioma wewnętrzna</w:t>
            </w:r>
            <w:r w:rsidR="00DF65F3">
              <w:rPr>
                <w:webHidden/>
              </w:rPr>
              <w:tab/>
            </w:r>
            <w:r w:rsidR="00DF65F3">
              <w:rPr>
                <w:webHidden/>
              </w:rPr>
              <w:fldChar w:fldCharType="begin"/>
            </w:r>
            <w:r w:rsidR="00DF65F3">
              <w:rPr>
                <w:webHidden/>
              </w:rPr>
              <w:instrText xml:space="preserve"> PAGEREF _Toc12533083 \h </w:instrText>
            </w:r>
            <w:r w:rsidR="00DF65F3">
              <w:rPr>
                <w:webHidden/>
              </w:rPr>
            </w:r>
            <w:r w:rsidR="00DF65F3">
              <w:rPr>
                <w:webHidden/>
              </w:rPr>
              <w:fldChar w:fldCharType="separate"/>
            </w:r>
            <w:r w:rsidR="00F755B7">
              <w:rPr>
                <w:webHidden/>
              </w:rPr>
              <w:t>369</w:t>
            </w:r>
            <w:r w:rsidR="00DF65F3">
              <w:rPr>
                <w:webHidden/>
              </w:rPr>
              <w:fldChar w:fldCharType="end"/>
            </w:r>
          </w:hyperlink>
        </w:p>
        <w:p w14:paraId="5EF7C440" w14:textId="591442E9" w:rsidR="00DF65F3" w:rsidRDefault="00870777">
          <w:pPr>
            <w:pStyle w:val="Spistreci6"/>
            <w:rPr>
              <w:sz w:val="22"/>
              <w:lang w:val="en-GB" w:eastAsia="en-GB"/>
            </w:rPr>
          </w:pPr>
          <w:hyperlink w:anchor="_Toc12533084" w:history="1">
            <w:r w:rsidR="00DF65F3" w:rsidRPr="004815D6">
              <w:rPr>
                <w:rStyle w:val="Hipercze"/>
              </w:rPr>
              <w:t>GM1 ADR-DSN.H.420     Powierzchnia pozioma wewnętrzna</w:t>
            </w:r>
            <w:r w:rsidR="00DF65F3">
              <w:rPr>
                <w:webHidden/>
              </w:rPr>
              <w:tab/>
            </w:r>
            <w:r w:rsidR="00DF65F3">
              <w:rPr>
                <w:webHidden/>
              </w:rPr>
              <w:fldChar w:fldCharType="begin"/>
            </w:r>
            <w:r w:rsidR="00DF65F3">
              <w:rPr>
                <w:webHidden/>
              </w:rPr>
              <w:instrText xml:space="preserve"> PAGEREF _Toc12533084 \h </w:instrText>
            </w:r>
            <w:r w:rsidR="00DF65F3">
              <w:rPr>
                <w:webHidden/>
              </w:rPr>
            </w:r>
            <w:r w:rsidR="00DF65F3">
              <w:rPr>
                <w:webHidden/>
              </w:rPr>
              <w:fldChar w:fldCharType="separate"/>
            </w:r>
            <w:r w:rsidR="00F755B7">
              <w:rPr>
                <w:webHidden/>
              </w:rPr>
              <w:t>369</w:t>
            </w:r>
            <w:r w:rsidR="00DF65F3">
              <w:rPr>
                <w:webHidden/>
              </w:rPr>
              <w:fldChar w:fldCharType="end"/>
            </w:r>
          </w:hyperlink>
        </w:p>
        <w:p w14:paraId="6230B0DA" w14:textId="3938A9EE" w:rsidR="00DF65F3" w:rsidRDefault="00870777">
          <w:pPr>
            <w:pStyle w:val="Spistreci4"/>
            <w:rPr>
              <w:sz w:val="22"/>
              <w:lang w:val="en-GB" w:eastAsia="en-GB"/>
            </w:rPr>
          </w:pPr>
          <w:hyperlink w:anchor="_Toc12533085" w:history="1">
            <w:r w:rsidR="00DF65F3" w:rsidRPr="004815D6">
              <w:rPr>
                <w:rStyle w:val="Hipercze"/>
              </w:rPr>
              <w:t>CS ADR-DSN.H.425    Powierzchnia podejścia</w:t>
            </w:r>
            <w:r w:rsidR="00DF65F3">
              <w:rPr>
                <w:webHidden/>
              </w:rPr>
              <w:tab/>
            </w:r>
            <w:r w:rsidR="00DF65F3">
              <w:rPr>
                <w:webHidden/>
              </w:rPr>
              <w:fldChar w:fldCharType="begin"/>
            </w:r>
            <w:r w:rsidR="00DF65F3">
              <w:rPr>
                <w:webHidden/>
              </w:rPr>
              <w:instrText xml:space="preserve"> PAGEREF _Toc12533085 \h </w:instrText>
            </w:r>
            <w:r w:rsidR="00DF65F3">
              <w:rPr>
                <w:webHidden/>
              </w:rPr>
            </w:r>
            <w:r w:rsidR="00DF65F3">
              <w:rPr>
                <w:webHidden/>
              </w:rPr>
              <w:fldChar w:fldCharType="separate"/>
            </w:r>
            <w:r w:rsidR="00F755B7">
              <w:rPr>
                <w:webHidden/>
              </w:rPr>
              <w:t>371</w:t>
            </w:r>
            <w:r w:rsidR="00DF65F3">
              <w:rPr>
                <w:webHidden/>
              </w:rPr>
              <w:fldChar w:fldCharType="end"/>
            </w:r>
          </w:hyperlink>
        </w:p>
        <w:p w14:paraId="00FD80BA" w14:textId="091BFA71" w:rsidR="00DF65F3" w:rsidRDefault="00870777">
          <w:pPr>
            <w:pStyle w:val="Spistreci6"/>
            <w:rPr>
              <w:sz w:val="22"/>
              <w:lang w:val="en-GB" w:eastAsia="en-GB"/>
            </w:rPr>
          </w:pPr>
          <w:hyperlink w:anchor="_Toc12533086" w:history="1">
            <w:r w:rsidR="00DF65F3" w:rsidRPr="004815D6">
              <w:rPr>
                <w:rStyle w:val="Hipercze"/>
              </w:rPr>
              <w:t>GM1 ADR-DSN.H.425     Powierzchnia podejścia</w:t>
            </w:r>
            <w:r w:rsidR="00DF65F3">
              <w:rPr>
                <w:webHidden/>
              </w:rPr>
              <w:tab/>
            </w:r>
            <w:r w:rsidR="00DF65F3">
              <w:rPr>
                <w:webHidden/>
              </w:rPr>
              <w:fldChar w:fldCharType="begin"/>
            </w:r>
            <w:r w:rsidR="00DF65F3">
              <w:rPr>
                <w:webHidden/>
              </w:rPr>
              <w:instrText xml:space="preserve"> PAGEREF _Toc12533086 \h </w:instrText>
            </w:r>
            <w:r w:rsidR="00DF65F3">
              <w:rPr>
                <w:webHidden/>
              </w:rPr>
            </w:r>
            <w:r w:rsidR="00DF65F3">
              <w:rPr>
                <w:webHidden/>
              </w:rPr>
              <w:fldChar w:fldCharType="separate"/>
            </w:r>
            <w:r w:rsidR="00F755B7">
              <w:rPr>
                <w:webHidden/>
              </w:rPr>
              <w:t>371</w:t>
            </w:r>
            <w:r w:rsidR="00DF65F3">
              <w:rPr>
                <w:webHidden/>
              </w:rPr>
              <w:fldChar w:fldCharType="end"/>
            </w:r>
          </w:hyperlink>
        </w:p>
        <w:p w14:paraId="184017C5" w14:textId="2E82FBD7" w:rsidR="00DF65F3" w:rsidRDefault="00870777">
          <w:pPr>
            <w:pStyle w:val="Spistreci4"/>
            <w:rPr>
              <w:sz w:val="22"/>
              <w:lang w:val="en-GB" w:eastAsia="en-GB"/>
            </w:rPr>
          </w:pPr>
          <w:hyperlink w:anchor="_Toc12533087" w:history="1">
            <w:r w:rsidR="00DF65F3" w:rsidRPr="004815D6">
              <w:rPr>
                <w:rStyle w:val="Hipercze"/>
              </w:rPr>
              <w:t>CS ADR-DSN.H.430     Powierzchnia przejściowa</w:t>
            </w:r>
            <w:r w:rsidR="00DF65F3">
              <w:rPr>
                <w:webHidden/>
              </w:rPr>
              <w:tab/>
            </w:r>
            <w:r w:rsidR="00DF65F3">
              <w:rPr>
                <w:webHidden/>
              </w:rPr>
              <w:fldChar w:fldCharType="begin"/>
            </w:r>
            <w:r w:rsidR="00DF65F3">
              <w:rPr>
                <w:webHidden/>
              </w:rPr>
              <w:instrText xml:space="preserve"> PAGEREF _Toc12533087 \h </w:instrText>
            </w:r>
            <w:r w:rsidR="00DF65F3">
              <w:rPr>
                <w:webHidden/>
              </w:rPr>
            </w:r>
            <w:r w:rsidR="00DF65F3">
              <w:rPr>
                <w:webHidden/>
              </w:rPr>
              <w:fldChar w:fldCharType="separate"/>
            </w:r>
            <w:r w:rsidR="00F755B7">
              <w:rPr>
                <w:webHidden/>
              </w:rPr>
              <w:t>371</w:t>
            </w:r>
            <w:r w:rsidR="00DF65F3">
              <w:rPr>
                <w:webHidden/>
              </w:rPr>
              <w:fldChar w:fldCharType="end"/>
            </w:r>
          </w:hyperlink>
        </w:p>
        <w:p w14:paraId="6DDC9CE2" w14:textId="23CA08CD" w:rsidR="00DF65F3" w:rsidRDefault="00870777">
          <w:pPr>
            <w:pStyle w:val="Spistreci6"/>
            <w:rPr>
              <w:sz w:val="22"/>
              <w:lang w:val="en-GB" w:eastAsia="en-GB"/>
            </w:rPr>
          </w:pPr>
          <w:hyperlink w:anchor="_Toc12533088" w:history="1">
            <w:r w:rsidR="00DF65F3" w:rsidRPr="004815D6">
              <w:rPr>
                <w:rStyle w:val="Hipercze"/>
              </w:rPr>
              <w:t>GM1 ADR-DSN.H.430     Powierzchnia przejściowa</w:t>
            </w:r>
            <w:r w:rsidR="00DF65F3">
              <w:rPr>
                <w:webHidden/>
              </w:rPr>
              <w:tab/>
            </w:r>
            <w:r w:rsidR="00DF65F3">
              <w:rPr>
                <w:webHidden/>
              </w:rPr>
              <w:fldChar w:fldCharType="begin"/>
            </w:r>
            <w:r w:rsidR="00DF65F3">
              <w:rPr>
                <w:webHidden/>
              </w:rPr>
              <w:instrText xml:space="preserve"> PAGEREF _Toc12533088 \h </w:instrText>
            </w:r>
            <w:r w:rsidR="00DF65F3">
              <w:rPr>
                <w:webHidden/>
              </w:rPr>
            </w:r>
            <w:r w:rsidR="00DF65F3">
              <w:rPr>
                <w:webHidden/>
              </w:rPr>
              <w:fldChar w:fldCharType="separate"/>
            </w:r>
            <w:r w:rsidR="00F755B7">
              <w:rPr>
                <w:webHidden/>
              </w:rPr>
              <w:t>372</w:t>
            </w:r>
            <w:r w:rsidR="00DF65F3">
              <w:rPr>
                <w:webHidden/>
              </w:rPr>
              <w:fldChar w:fldCharType="end"/>
            </w:r>
          </w:hyperlink>
        </w:p>
        <w:p w14:paraId="437B77E9" w14:textId="286F3FC6" w:rsidR="00DF65F3" w:rsidRDefault="00870777">
          <w:pPr>
            <w:pStyle w:val="Spistreci4"/>
            <w:rPr>
              <w:sz w:val="22"/>
              <w:lang w:val="en-GB" w:eastAsia="en-GB"/>
            </w:rPr>
          </w:pPr>
          <w:hyperlink w:anchor="_Toc12533089" w:history="1">
            <w:r w:rsidR="00DF65F3" w:rsidRPr="004815D6">
              <w:rPr>
                <w:rStyle w:val="Hipercze"/>
              </w:rPr>
              <w:t>CS ADR-DSN.H.435     Powierzchnia wznoszenia</w:t>
            </w:r>
            <w:r w:rsidR="00DF65F3">
              <w:rPr>
                <w:webHidden/>
              </w:rPr>
              <w:tab/>
            </w:r>
            <w:r w:rsidR="00DF65F3">
              <w:rPr>
                <w:webHidden/>
              </w:rPr>
              <w:fldChar w:fldCharType="begin"/>
            </w:r>
            <w:r w:rsidR="00DF65F3">
              <w:rPr>
                <w:webHidden/>
              </w:rPr>
              <w:instrText xml:space="preserve"> PAGEREF _Toc12533089 \h </w:instrText>
            </w:r>
            <w:r w:rsidR="00DF65F3">
              <w:rPr>
                <w:webHidden/>
              </w:rPr>
            </w:r>
            <w:r w:rsidR="00DF65F3">
              <w:rPr>
                <w:webHidden/>
              </w:rPr>
              <w:fldChar w:fldCharType="separate"/>
            </w:r>
            <w:r w:rsidR="00F755B7">
              <w:rPr>
                <w:webHidden/>
              </w:rPr>
              <w:t>374</w:t>
            </w:r>
            <w:r w:rsidR="00DF65F3">
              <w:rPr>
                <w:webHidden/>
              </w:rPr>
              <w:fldChar w:fldCharType="end"/>
            </w:r>
          </w:hyperlink>
        </w:p>
        <w:p w14:paraId="72B3F3CB" w14:textId="29E2EE80" w:rsidR="00DF65F3" w:rsidRDefault="00870777">
          <w:pPr>
            <w:pStyle w:val="Spistreci6"/>
            <w:rPr>
              <w:sz w:val="22"/>
              <w:lang w:val="en-GB" w:eastAsia="en-GB"/>
            </w:rPr>
          </w:pPr>
          <w:hyperlink w:anchor="_Toc12533090" w:history="1">
            <w:r w:rsidR="00DF65F3" w:rsidRPr="004815D6">
              <w:rPr>
                <w:rStyle w:val="Hipercze"/>
              </w:rPr>
              <w:t>GM1 ADR-DSN.H.435     Powierzchnia wznoszenia</w:t>
            </w:r>
            <w:r w:rsidR="00DF65F3">
              <w:rPr>
                <w:webHidden/>
              </w:rPr>
              <w:tab/>
            </w:r>
            <w:r w:rsidR="00DF65F3">
              <w:rPr>
                <w:webHidden/>
              </w:rPr>
              <w:fldChar w:fldCharType="begin"/>
            </w:r>
            <w:r w:rsidR="00DF65F3">
              <w:rPr>
                <w:webHidden/>
              </w:rPr>
              <w:instrText xml:space="preserve"> PAGEREF _Toc12533090 \h </w:instrText>
            </w:r>
            <w:r w:rsidR="00DF65F3">
              <w:rPr>
                <w:webHidden/>
              </w:rPr>
            </w:r>
            <w:r w:rsidR="00DF65F3">
              <w:rPr>
                <w:webHidden/>
              </w:rPr>
              <w:fldChar w:fldCharType="separate"/>
            </w:r>
            <w:r w:rsidR="00F755B7">
              <w:rPr>
                <w:webHidden/>
              </w:rPr>
              <w:t>375</w:t>
            </w:r>
            <w:r w:rsidR="00DF65F3">
              <w:rPr>
                <w:webHidden/>
              </w:rPr>
              <w:fldChar w:fldCharType="end"/>
            </w:r>
          </w:hyperlink>
        </w:p>
        <w:p w14:paraId="7C9C9DE4" w14:textId="33E13786" w:rsidR="00DF65F3" w:rsidRDefault="00870777">
          <w:pPr>
            <w:pStyle w:val="Spistreci4"/>
            <w:rPr>
              <w:sz w:val="22"/>
              <w:lang w:val="en-GB" w:eastAsia="en-GB"/>
            </w:rPr>
          </w:pPr>
          <w:hyperlink w:anchor="_Toc12533091" w:history="1">
            <w:r w:rsidR="00DF65F3" w:rsidRPr="004815D6">
              <w:rPr>
                <w:rStyle w:val="Hipercze"/>
              </w:rPr>
              <w:t>CS ADR-DSN.H.440     Obrócona powierzchnia wznoszenia przy starcie</w:t>
            </w:r>
            <w:r w:rsidR="00DF65F3">
              <w:rPr>
                <w:webHidden/>
              </w:rPr>
              <w:tab/>
            </w:r>
            <w:r w:rsidR="00DF65F3">
              <w:rPr>
                <w:webHidden/>
              </w:rPr>
              <w:fldChar w:fldCharType="begin"/>
            </w:r>
            <w:r w:rsidR="00DF65F3">
              <w:rPr>
                <w:webHidden/>
              </w:rPr>
              <w:instrText xml:space="preserve"> PAGEREF _Toc12533091 \h </w:instrText>
            </w:r>
            <w:r w:rsidR="00DF65F3">
              <w:rPr>
                <w:webHidden/>
              </w:rPr>
            </w:r>
            <w:r w:rsidR="00DF65F3">
              <w:rPr>
                <w:webHidden/>
              </w:rPr>
              <w:fldChar w:fldCharType="separate"/>
            </w:r>
            <w:r w:rsidR="00F755B7">
              <w:rPr>
                <w:webHidden/>
              </w:rPr>
              <w:t>375</w:t>
            </w:r>
            <w:r w:rsidR="00DF65F3">
              <w:rPr>
                <w:webHidden/>
              </w:rPr>
              <w:fldChar w:fldCharType="end"/>
            </w:r>
          </w:hyperlink>
        </w:p>
        <w:p w14:paraId="1F622A71" w14:textId="60C6DF6D" w:rsidR="00DF65F3" w:rsidRDefault="00870777">
          <w:pPr>
            <w:pStyle w:val="Spistreci6"/>
            <w:rPr>
              <w:sz w:val="22"/>
              <w:lang w:val="en-GB" w:eastAsia="en-GB"/>
            </w:rPr>
          </w:pPr>
          <w:hyperlink w:anchor="_Toc12533092" w:history="1">
            <w:r w:rsidR="00DF65F3" w:rsidRPr="004815D6">
              <w:rPr>
                <w:rStyle w:val="Hipercze"/>
              </w:rPr>
              <w:t>GM1 ADR-DSN.H.440     Obrócona powierzchnia wznoszenia przy starcie</w:t>
            </w:r>
            <w:r w:rsidR="00DF65F3">
              <w:rPr>
                <w:webHidden/>
              </w:rPr>
              <w:tab/>
            </w:r>
            <w:r w:rsidR="00DF65F3">
              <w:rPr>
                <w:webHidden/>
              </w:rPr>
              <w:fldChar w:fldCharType="begin"/>
            </w:r>
            <w:r w:rsidR="00DF65F3">
              <w:rPr>
                <w:webHidden/>
              </w:rPr>
              <w:instrText xml:space="preserve"> PAGEREF _Toc12533092 \h </w:instrText>
            </w:r>
            <w:r w:rsidR="00DF65F3">
              <w:rPr>
                <w:webHidden/>
              </w:rPr>
            </w:r>
            <w:r w:rsidR="00DF65F3">
              <w:rPr>
                <w:webHidden/>
              </w:rPr>
              <w:fldChar w:fldCharType="separate"/>
            </w:r>
            <w:r w:rsidR="00F755B7">
              <w:rPr>
                <w:webHidden/>
              </w:rPr>
              <w:t>375</w:t>
            </w:r>
            <w:r w:rsidR="00DF65F3">
              <w:rPr>
                <w:webHidden/>
              </w:rPr>
              <w:fldChar w:fldCharType="end"/>
            </w:r>
          </w:hyperlink>
        </w:p>
        <w:p w14:paraId="1402F936" w14:textId="7A8AD812" w:rsidR="00DF65F3" w:rsidRDefault="00870777">
          <w:pPr>
            <w:pStyle w:val="Spistreci4"/>
            <w:rPr>
              <w:sz w:val="22"/>
              <w:lang w:val="en-GB" w:eastAsia="en-GB"/>
            </w:rPr>
          </w:pPr>
          <w:hyperlink w:anchor="_Toc12533093" w:history="1">
            <w:r w:rsidR="00DF65F3" w:rsidRPr="004815D6">
              <w:rPr>
                <w:rStyle w:val="Hipercze"/>
              </w:rPr>
              <w:t>CS ADR-DSN.H.445     Strefa wolna od przeszkód (OFZ)</w:t>
            </w:r>
            <w:r w:rsidR="00DF65F3">
              <w:rPr>
                <w:webHidden/>
              </w:rPr>
              <w:tab/>
            </w:r>
            <w:r w:rsidR="00DF65F3">
              <w:rPr>
                <w:webHidden/>
              </w:rPr>
              <w:fldChar w:fldCharType="begin"/>
            </w:r>
            <w:r w:rsidR="00DF65F3">
              <w:rPr>
                <w:webHidden/>
              </w:rPr>
              <w:instrText xml:space="preserve"> PAGEREF _Toc12533093 \h </w:instrText>
            </w:r>
            <w:r w:rsidR="00DF65F3">
              <w:rPr>
                <w:webHidden/>
              </w:rPr>
            </w:r>
            <w:r w:rsidR="00DF65F3">
              <w:rPr>
                <w:webHidden/>
              </w:rPr>
              <w:fldChar w:fldCharType="separate"/>
            </w:r>
            <w:r w:rsidR="00F755B7">
              <w:rPr>
                <w:webHidden/>
              </w:rPr>
              <w:t>375</w:t>
            </w:r>
            <w:r w:rsidR="00DF65F3">
              <w:rPr>
                <w:webHidden/>
              </w:rPr>
              <w:fldChar w:fldCharType="end"/>
            </w:r>
          </w:hyperlink>
        </w:p>
        <w:p w14:paraId="511F3D05" w14:textId="23857B0D" w:rsidR="00DF65F3" w:rsidRDefault="00870777">
          <w:pPr>
            <w:pStyle w:val="Spistreci6"/>
            <w:rPr>
              <w:sz w:val="22"/>
              <w:lang w:val="en-GB" w:eastAsia="en-GB"/>
            </w:rPr>
          </w:pPr>
          <w:hyperlink w:anchor="_Toc12533094" w:history="1">
            <w:r w:rsidR="00DF65F3" w:rsidRPr="004815D6">
              <w:rPr>
                <w:rStyle w:val="Hipercze"/>
              </w:rPr>
              <w:t>GM1 ADR-DSN.H.445     Strefa wolna od przeszkód (OFZ)</w:t>
            </w:r>
            <w:r w:rsidR="00DF65F3">
              <w:rPr>
                <w:webHidden/>
              </w:rPr>
              <w:tab/>
            </w:r>
            <w:r w:rsidR="00DF65F3">
              <w:rPr>
                <w:webHidden/>
              </w:rPr>
              <w:fldChar w:fldCharType="begin"/>
            </w:r>
            <w:r w:rsidR="00DF65F3">
              <w:rPr>
                <w:webHidden/>
              </w:rPr>
              <w:instrText xml:space="preserve"> PAGEREF _Toc12533094 \h </w:instrText>
            </w:r>
            <w:r w:rsidR="00DF65F3">
              <w:rPr>
                <w:webHidden/>
              </w:rPr>
            </w:r>
            <w:r w:rsidR="00DF65F3">
              <w:rPr>
                <w:webHidden/>
              </w:rPr>
              <w:fldChar w:fldCharType="separate"/>
            </w:r>
            <w:r w:rsidR="00F755B7">
              <w:rPr>
                <w:webHidden/>
              </w:rPr>
              <w:t>376</w:t>
            </w:r>
            <w:r w:rsidR="00DF65F3">
              <w:rPr>
                <w:webHidden/>
              </w:rPr>
              <w:fldChar w:fldCharType="end"/>
            </w:r>
          </w:hyperlink>
        </w:p>
        <w:p w14:paraId="3674CFB2" w14:textId="55E5BACE" w:rsidR="00DF65F3" w:rsidRDefault="00870777">
          <w:pPr>
            <w:pStyle w:val="Spistreci4"/>
            <w:rPr>
              <w:sz w:val="22"/>
              <w:lang w:val="en-GB" w:eastAsia="en-GB"/>
            </w:rPr>
          </w:pPr>
          <w:hyperlink w:anchor="_Toc12533095" w:history="1">
            <w:r w:rsidR="00DF65F3" w:rsidRPr="004815D6">
              <w:rPr>
                <w:rStyle w:val="Hipercze"/>
              </w:rPr>
              <w:t>CS ADR-DSN.H.450     Powierzchnia podejścia wewnętrzna</w:t>
            </w:r>
            <w:r w:rsidR="00DF65F3">
              <w:rPr>
                <w:webHidden/>
              </w:rPr>
              <w:tab/>
            </w:r>
            <w:r w:rsidR="00DF65F3">
              <w:rPr>
                <w:webHidden/>
              </w:rPr>
              <w:fldChar w:fldCharType="begin"/>
            </w:r>
            <w:r w:rsidR="00DF65F3">
              <w:rPr>
                <w:webHidden/>
              </w:rPr>
              <w:instrText xml:space="preserve"> PAGEREF _Toc12533095 \h </w:instrText>
            </w:r>
            <w:r w:rsidR="00DF65F3">
              <w:rPr>
                <w:webHidden/>
              </w:rPr>
            </w:r>
            <w:r w:rsidR="00DF65F3">
              <w:rPr>
                <w:webHidden/>
              </w:rPr>
              <w:fldChar w:fldCharType="separate"/>
            </w:r>
            <w:r w:rsidR="00F755B7">
              <w:rPr>
                <w:webHidden/>
              </w:rPr>
              <w:t>376</w:t>
            </w:r>
            <w:r w:rsidR="00DF65F3">
              <w:rPr>
                <w:webHidden/>
              </w:rPr>
              <w:fldChar w:fldCharType="end"/>
            </w:r>
          </w:hyperlink>
        </w:p>
        <w:p w14:paraId="3A50A233" w14:textId="48040C4A" w:rsidR="00DF65F3" w:rsidRDefault="00870777">
          <w:pPr>
            <w:pStyle w:val="Spistreci6"/>
            <w:rPr>
              <w:sz w:val="22"/>
              <w:lang w:val="en-GB" w:eastAsia="en-GB"/>
            </w:rPr>
          </w:pPr>
          <w:hyperlink w:anchor="_Toc12533096" w:history="1">
            <w:r w:rsidR="00DF65F3" w:rsidRPr="004815D6">
              <w:rPr>
                <w:rStyle w:val="Hipercze"/>
              </w:rPr>
              <w:t>GM1 ADR-DSN.H.450     Powierzchnia podejścia wewnętrzna</w:t>
            </w:r>
            <w:r w:rsidR="00DF65F3">
              <w:rPr>
                <w:webHidden/>
              </w:rPr>
              <w:tab/>
            </w:r>
            <w:r w:rsidR="00DF65F3">
              <w:rPr>
                <w:webHidden/>
              </w:rPr>
              <w:fldChar w:fldCharType="begin"/>
            </w:r>
            <w:r w:rsidR="00DF65F3">
              <w:rPr>
                <w:webHidden/>
              </w:rPr>
              <w:instrText xml:space="preserve"> PAGEREF _Toc12533096 \h </w:instrText>
            </w:r>
            <w:r w:rsidR="00DF65F3">
              <w:rPr>
                <w:webHidden/>
              </w:rPr>
            </w:r>
            <w:r w:rsidR="00DF65F3">
              <w:rPr>
                <w:webHidden/>
              </w:rPr>
              <w:fldChar w:fldCharType="separate"/>
            </w:r>
            <w:r w:rsidR="00F755B7">
              <w:rPr>
                <w:webHidden/>
              </w:rPr>
              <w:t>376</w:t>
            </w:r>
            <w:r w:rsidR="00DF65F3">
              <w:rPr>
                <w:webHidden/>
              </w:rPr>
              <w:fldChar w:fldCharType="end"/>
            </w:r>
          </w:hyperlink>
        </w:p>
        <w:p w14:paraId="426B63C1" w14:textId="7B285686" w:rsidR="00DF65F3" w:rsidRDefault="00870777">
          <w:pPr>
            <w:pStyle w:val="Spistreci4"/>
            <w:rPr>
              <w:sz w:val="22"/>
              <w:lang w:val="en-GB" w:eastAsia="en-GB"/>
            </w:rPr>
          </w:pPr>
          <w:hyperlink w:anchor="_Toc12533097" w:history="1">
            <w:r w:rsidR="00DF65F3" w:rsidRPr="004815D6">
              <w:rPr>
                <w:rStyle w:val="Hipercze"/>
              </w:rPr>
              <w:t>CS ADR-DSN.H.455     Powierzchnia przejściowa wewnętrzna</w:t>
            </w:r>
            <w:r w:rsidR="00DF65F3">
              <w:rPr>
                <w:webHidden/>
              </w:rPr>
              <w:tab/>
            </w:r>
            <w:r w:rsidR="00DF65F3">
              <w:rPr>
                <w:webHidden/>
              </w:rPr>
              <w:fldChar w:fldCharType="begin"/>
            </w:r>
            <w:r w:rsidR="00DF65F3">
              <w:rPr>
                <w:webHidden/>
              </w:rPr>
              <w:instrText xml:space="preserve"> PAGEREF _Toc12533097 \h </w:instrText>
            </w:r>
            <w:r w:rsidR="00DF65F3">
              <w:rPr>
                <w:webHidden/>
              </w:rPr>
            </w:r>
            <w:r w:rsidR="00DF65F3">
              <w:rPr>
                <w:webHidden/>
              </w:rPr>
              <w:fldChar w:fldCharType="separate"/>
            </w:r>
            <w:r w:rsidR="00F755B7">
              <w:rPr>
                <w:webHidden/>
              </w:rPr>
              <w:t>376</w:t>
            </w:r>
            <w:r w:rsidR="00DF65F3">
              <w:rPr>
                <w:webHidden/>
              </w:rPr>
              <w:fldChar w:fldCharType="end"/>
            </w:r>
          </w:hyperlink>
        </w:p>
        <w:p w14:paraId="2CDECC2A" w14:textId="03405AAF" w:rsidR="00DF65F3" w:rsidRDefault="00870777">
          <w:pPr>
            <w:pStyle w:val="Spistreci6"/>
            <w:rPr>
              <w:sz w:val="22"/>
              <w:lang w:val="en-GB" w:eastAsia="en-GB"/>
            </w:rPr>
          </w:pPr>
          <w:hyperlink w:anchor="_Toc12533098" w:history="1">
            <w:r w:rsidR="00DF65F3" w:rsidRPr="004815D6">
              <w:rPr>
                <w:rStyle w:val="Hipercze"/>
              </w:rPr>
              <w:t>GM1 ADR-DSN.H.455     Powierzchnia przejściowa wewnętrzna</w:t>
            </w:r>
            <w:r w:rsidR="00DF65F3">
              <w:rPr>
                <w:webHidden/>
              </w:rPr>
              <w:tab/>
            </w:r>
            <w:r w:rsidR="00DF65F3">
              <w:rPr>
                <w:webHidden/>
              </w:rPr>
              <w:fldChar w:fldCharType="begin"/>
            </w:r>
            <w:r w:rsidR="00DF65F3">
              <w:rPr>
                <w:webHidden/>
              </w:rPr>
              <w:instrText xml:space="preserve"> PAGEREF _Toc12533098 \h </w:instrText>
            </w:r>
            <w:r w:rsidR="00DF65F3">
              <w:rPr>
                <w:webHidden/>
              </w:rPr>
            </w:r>
            <w:r w:rsidR="00DF65F3">
              <w:rPr>
                <w:webHidden/>
              </w:rPr>
              <w:fldChar w:fldCharType="separate"/>
            </w:r>
            <w:r w:rsidR="00F755B7">
              <w:rPr>
                <w:webHidden/>
              </w:rPr>
              <w:t>377</w:t>
            </w:r>
            <w:r w:rsidR="00DF65F3">
              <w:rPr>
                <w:webHidden/>
              </w:rPr>
              <w:fldChar w:fldCharType="end"/>
            </w:r>
          </w:hyperlink>
        </w:p>
        <w:p w14:paraId="7A4B340E" w14:textId="73DB3898" w:rsidR="00DF65F3" w:rsidRDefault="00870777">
          <w:pPr>
            <w:pStyle w:val="Spistreci4"/>
            <w:rPr>
              <w:sz w:val="22"/>
              <w:lang w:val="en-GB" w:eastAsia="en-GB"/>
            </w:rPr>
          </w:pPr>
          <w:hyperlink w:anchor="_Toc12533099" w:history="1">
            <w:r w:rsidR="00DF65F3" w:rsidRPr="004815D6">
              <w:rPr>
                <w:rStyle w:val="Hipercze"/>
              </w:rPr>
              <w:t>CS ADR-DSN.H.460     Powierzchnia przerwanego lądowania</w:t>
            </w:r>
            <w:r w:rsidR="00DF65F3">
              <w:rPr>
                <w:webHidden/>
              </w:rPr>
              <w:tab/>
            </w:r>
            <w:r w:rsidR="00DF65F3">
              <w:rPr>
                <w:webHidden/>
              </w:rPr>
              <w:fldChar w:fldCharType="begin"/>
            </w:r>
            <w:r w:rsidR="00DF65F3">
              <w:rPr>
                <w:webHidden/>
              </w:rPr>
              <w:instrText xml:space="preserve"> PAGEREF _Toc12533099 \h </w:instrText>
            </w:r>
            <w:r w:rsidR="00DF65F3">
              <w:rPr>
                <w:webHidden/>
              </w:rPr>
            </w:r>
            <w:r w:rsidR="00DF65F3">
              <w:rPr>
                <w:webHidden/>
              </w:rPr>
              <w:fldChar w:fldCharType="separate"/>
            </w:r>
            <w:r w:rsidR="00F755B7">
              <w:rPr>
                <w:webHidden/>
              </w:rPr>
              <w:t>377</w:t>
            </w:r>
            <w:r w:rsidR="00DF65F3">
              <w:rPr>
                <w:webHidden/>
              </w:rPr>
              <w:fldChar w:fldCharType="end"/>
            </w:r>
          </w:hyperlink>
        </w:p>
        <w:p w14:paraId="32190442" w14:textId="5D654C42" w:rsidR="00DF65F3" w:rsidRDefault="00870777">
          <w:pPr>
            <w:pStyle w:val="Spistreci6"/>
            <w:rPr>
              <w:sz w:val="22"/>
              <w:lang w:val="en-GB" w:eastAsia="en-GB"/>
            </w:rPr>
          </w:pPr>
          <w:hyperlink w:anchor="_Toc12533100" w:history="1">
            <w:r w:rsidR="00DF65F3" w:rsidRPr="004815D6">
              <w:rPr>
                <w:rStyle w:val="Hipercze"/>
              </w:rPr>
              <w:t>GM1 ADR-DSN.H.460     Powierzchnia przerwanego lądowania</w:t>
            </w:r>
            <w:r w:rsidR="00DF65F3">
              <w:rPr>
                <w:webHidden/>
              </w:rPr>
              <w:tab/>
            </w:r>
            <w:r w:rsidR="00DF65F3">
              <w:rPr>
                <w:webHidden/>
              </w:rPr>
              <w:fldChar w:fldCharType="begin"/>
            </w:r>
            <w:r w:rsidR="00DF65F3">
              <w:rPr>
                <w:webHidden/>
              </w:rPr>
              <w:instrText xml:space="preserve"> PAGEREF _Toc12533100 \h </w:instrText>
            </w:r>
            <w:r w:rsidR="00DF65F3">
              <w:rPr>
                <w:webHidden/>
              </w:rPr>
            </w:r>
            <w:r w:rsidR="00DF65F3">
              <w:rPr>
                <w:webHidden/>
              </w:rPr>
              <w:fldChar w:fldCharType="separate"/>
            </w:r>
            <w:r w:rsidR="00F755B7">
              <w:rPr>
                <w:webHidden/>
              </w:rPr>
              <w:t>377</w:t>
            </w:r>
            <w:r w:rsidR="00DF65F3">
              <w:rPr>
                <w:webHidden/>
              </w:rPr>
              <w:fldChar w:fldCharType="end"/>
            </w:r>
          </w:hyperlink>
        </w:p>
        <w:p w14:paraId="04C52588" w14:textId="246395A0" w:rsidR="00DF65F3" w:rsidRDefault="00870777">
          <w:pPr>
            <w:pStyle w:val="Spistreci2"/>
            <w:rPr>
              <w:rFonts w:asciiTheme="minorHAnsi" w:eastAsiaTheme="minorEastAsia" w:hAnsiTheme="minorHAnsi" w:cstheme="minorBidi"/>
              <w:sz w:val="22"/>
              <w:lang w:val="en-GB" w:eastAsia="en-GB"/>
            </w:rPr>
          </w:pPr>
          <w:hyperlink w:anchor="_Toc12533101" w:history="1">
            <w:r w:rsidR="00DF65F3" w:rsidRPr="004815D6">
              <w:rPr>
                <w:rStyle w:val="Hipercze"/>
              </w:rPr>
              <w:t>ROZDZIAŁ J — WYMAGANIA DOTYCZĄCE OGRANICZANIA PRZESZKÓD</w:t>
            </w:r>
            <w:r w:rsidR="00DF65F3">
              <w:rPr>
                <w:webHidden/>
              </w:rPr>
              <w:tab/>
            </w:r>
            <w:r w:rsidR="00DF65F3">
              <w:rPr>
                <w:webHidden/>
              </w:rPr>
              <w:fldChar w:fldCharType="begin"/>
            </w:r>
            <w:r w:rsidR="00DF65F3">
              <w:rPr>
                <w:webHidden/>
              </w:rPr>
              <w:instrText xml:space="preserve"> PAGEREF _Toc12533101 \h </w:instrText>
            </w:r>
            <w:r w:rsidR="00DF65F3">
              <w:rPr>
                <w:webHidden/>
              </w:rPr>
            </w:r>
            <w:r w:rsidR="00DF65F3">
              <w:rPr>
                <w:webHidden/>
              </w:rPr>
              <w:fldChar w:fldCharType="separate"/>
            </w:r>
            <w:r w:rsidR="00F755B7">
              <w:rPr>
                <w:webHidden/>
              </w:rPr>
              <w:t>378</w:t>
            </w:r>
            <w:r w:rsidR="00DF65F3">
              <w:rPr>
                <w:webHidden/>
              </w:rPr>
              <w:fldChar w:fldCharType="end"/>
            </w:r>
          </w:hyperlink>
        </w:p>
        <w:p w14:paraId="1A3D85CF" w14:textId="2E4F7959" w:rsidR="00DF65F3" w:rsidRDefault="00870777">
          <w:pPr>
            <w:pStyle w:val="Spistreci4"/>
            <w:rPr>
              <w:sz w:val="22"/>
              <w:lang w:val="en-GB" w:eastAsia="en-GB"/>
            </w:rPr>
          </w:pPr>
          <w:hyperlink w:anchor="_Toc12533102" w:history="1">
            <w:r w:rsidR="00DF65F3" w:rsidRPr="004815D6">
              <w:rPr>
                <w:rStyle w:val="Hipercze"/>
              </w:rPr>
              <w:t xml:space="preserve">CS ADR-DSN.J.465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_Toc12533102 \h </w:instrText>
            </w:r>
            <w:r w:rsidR="00DF65F3">
              <w:rPr>
                <w:webHidden/>
              </w:rPr>
            </w:r>
            <w:r w:rsidR="00DF65F3">
              <w:rPr>
                <w:webHidden/>
              </w:rPr>
              <w:fldChar w:fldCharType="separate"/>
            </w:r>
            <w:r w:rsidR="00F755B7">
              <w:rPr>
                <w:webHidden/>
              </w:rPr>
              <w:t>378</w:t>
            </w:r>
            <w:r w:rsidR="00DF65F3">
              <w:rPr>
                <w:webHidden/>
              </w:rPr>
              <w:fldChar w:fldCharType="end"/>
            </w:r>
          </w:hyperlink>
        </w:p>
        <w:p w14:paraId="454320E7" w14:textId="23B19A58" w:rsidR="00DF65F3" w:rsidRDefault="00870777">
          <w:pPr>
            <w:pStyle w:val="Spistreci6"/>
            <w:rPr>
              <w:sz w:val="22"/>
              <w:lang w:val="en-GB" w:eastAsia="en-GB"/>
            </w:rPr>
          </w:pPr>
          <w:hyperlink w:anchor="_Toc12533103" w:history="1">
            <w:r w:rsidR="00DF65F3" w:rsidRPr="004815D6">
              <w:rPr>
                <w:rStyle w:val="Hipercze"/>
              </w:rPr>
              <w:t xml:space="preserve">GM1 ADR-DSN.J.465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_Toc12533103 \h </w:instrText>
            </w:r>
            <w:r w:rsidR="00DF65F3">
              <w:rPr>
                <w:webHidden/>
              </w:rPr>
            </w:r>
            <w:r w:rsidR="00DF65F3">
              <w:rPr>
                <w:webHidden/>
              </w:rPr>
              <w:fldChar w:fldCharType="separate"/>
            </w:r>
            <w:r w:rsidR="00F755B7">
              <w:rPr>
                <w:webHidden/>
              </w:rPr>
              <w:t>378</w:t>
            </w:r>
            <w:r w:rsidR="00DF65F3">
              <w:rPr>
                <w:webHidden/>
              </w:rPr>
              <w:fldChar w:fldCharType="end"/>
            </w:r>
          </w:hyperlink>
        </w:p>
        <w:p w14:paraId="3B521B6E" w14:textId="581E93C8" w:rsidR="00DF65F3" w:rsidRDefault="00870777">
          <w:pPr>
            <w:pStyle w:val="Spistreci4"/>
            <w:rPr>
              <w:sz w:val="22"/>
              <w:lang w:val="en-GB" w:eastAsia="en-GB"/>
            </w:rPr>
          </w:pPr>
          <w:hyperlink w:anchor="_Toc12533104" w:history="1">
            <w:r w:rsidR="00DF65F3" w:rsidRPr="004815D6">
              <w:rPr>
                <w:rStyle w:val="Hipercze"/>
              </w:rPr>
              <w:t>CS ADR-DSN.J.470     Drogi startowe nieprzyrządowe</w:t>
            </w:r>
            <w:r w:rsidR="00DF65F3">
              <w:rPr>
                <w:webHidden/>
              </w:rPr>
              <w:tab/>
            </w:r>
            <w:r w:rsidR="00DF65F3">
              <w:rPr>
                <w:webHidden/>
              </w:rPr>
              <w:fldChar w:fldCharType="begin"/>
            </w:r>
            <w:r w:rsidR="00DF65F3">
              <w:rPr>
                <w:webHidden/>
              </w:rPr>
              <w:instrText xml:space="preserve"> PAGEREF _Toc12533104 \h </w:instrText>
            </w:r>
            <w:r w:rsidR="00DF65F3">
              <w:rPr>
                <w:webHidden/>
              </w:rPr>
            </w:r>
            <w:r w:rsidR="00DF65F3">
              <w:rPr>
                <w:webHidden/>
              </w:rPr>
              <w:fldChar w:fldCharType="separate"/>
            </w:r>
            <w:r w:rsidR="00F755B7">
              <w:rPr>
                <w:webHidden/>
              </w:rPr>
              <w:t>378</w:t>
            </w:r>
            <w:r w:rsidR="00DF65F3">
              <w:rPr>
                <w:webHidden/>
              </w:rPr>
              <w:fldChar w:fldCharType="end"/>
            </w:r>
          </w:hyperlink>
        </w:p>
        <w:p w14:paraId="57F318CF" w14:textId="451A8688" w:rsidR="00DF65F3" w:rsidRDefault="00870777">
          <w:pPr>
            <w:pStyle w:val="Spistreci6"/>
            <w:rPr>
              <w:sz w:val="22"/>
              <w:lang w:val="en-GB" w:eastAsia="en-GB"/>
            </w:rPr>
          </w:pPr>
          <w:hyperlink w:anchor="_Toc12533105" w:history="1">
            <w:r w:rsidR="00DF65F3" w:rsidRPr="004815D6">
              <w:rPr>
                <w:rStyle w:val="Hipercze"/>
              </w:rPr>
              <w:t>GM1 ADR-DSN.J.470     Drogi startowe nieprzyrządowe</w:t>
            </w:r>
            <w:r w:rsidR="00DF65F3">
              <w:rPr>
                <w:webHidden/>
              </w:rPr>
              <w:tab/>
            </w:r>
            <w:r w:rsidR="00DF65F3">
              <w:rPr>
                <w:webHidden/>
              </w:rPr>
              <w:fldChar w:fldCharType="begin"/>
            </w:r>
            <w:r w:rsidR="00DF65F3">
              <w:rPr>
                <w:webHidden/>
              </w:rPr>
              <w:instrText xml:space="preserve"> PAGEREF _Toc12533105 \h </w:instrText>
            </w:r>
            <w:r w:rsidR="00DF65F3">
              <w:rPr>
                <w:webHidden/>
              </w:rPr>
            </w:r>
            <w:r w:rsidR="00DF65F3">
              <w:rPr>
                <w:webHidden/>
              </w:rPr>
              <w:fldChar w:fldCharType="separate"/>
            </w:r>
            <w:r w:rsidR="00F755B7">
              <w:rPr>
                <w:webHidden/>
              </w:rPr>
              <w:t>379</w:t>
            </w:r>
            <w:r w:rsidR="00DF65F3">
              <w:rPr>
                <w:webHidden/>
              </w:rPr>
              <w:fldChar w:fldCharType="end"/>
            </w:r>
          </w:hyperlink>
        </w:p>
        <w:p w14:paraId="240BB2D7" w14:textId="3652A00F" w:rsidR="00DF65F3" w:rsidRDefault="00870777">
          <w:pPr>
            <w:pStyle w:val="Spistreci4"/>
            <w:rPr>
              <w:sz w:val="22"/>
              <w:lang w:val="en-GB" w:eastAsia="en-GB"/>
            </w:rPr>
          </w:pPr>
          <w:hyperlink w:anchor="_Toc12533106" w:history="1">
            <w:r w:rsidR="00DF65F3" w:rsidRPr="004815D6">
              <w:rPr>
                <w:rStyle w:val="Hipercze"/>
              </w:rPr>
              <w:t>CS ADR-DSN.J.475     Drogi startowe z podejściem nieprecyzyjnym</w:t>
            </w:r>
            <w:r w:rsidR="00DF65F3">
              <w:rPr>
                <w:webHidden/>
              </w:rPr>
              <w:tab/>
            </w:r>
            <w:r w:rsidR="00DF65F3">
              <w:rPr>
                <w:webHidden/>
              </w:rPr>
              <w:fldChar w:fldCharType="begin"/>
            </w:r>
            <w:r w:rsidR="00DF65F3">
              <w:rPr>
                <w:webHidden/>
              </w:rPr>
              <w:instrText xml:space="preserve"> PAGEREF _Toc12533106 \h </w:instrText>
            </w:r>
            <w:r w:rsidR="00DF65F3">
              <w:rPr>
                <w:webHidden/>
              </w:rPr>
            </w:r>
            <w:r w:rsidR="00DF65F3">
              <w:rPr>
                <w:webHidden/>
              </w:rPr>
              <w:fldChar w:fldCharType="separate"/>
            </w:r>
            <w:r w:rsidR="00F755B7">
              <w:rPr>
                <w:webHidden/>
              </w:rPr>
              <w:t>379</w:t>
            </w:r>
            <w:r w:rsidR="00DF65F3">
              <w:rPr>
                <w:webHidden/>
              </w:rPr>
              <w:fldChar w:fldCharType="end"/>
            </w:r>
          </w:hyperlink>
        </w:p>
        <w:p w14:paraId="6FD89C52" w14:textId="32E52D98" w:rsidR="00DF65F3" w:rsidRDefault="00870777">
          <w:pPr>
            <w:pStyle w:val="Spistreci6"/>
            <w:rPr>
              <w:sz w:val="22"/>
              <w:lang w:val="en-GB" w:eastAsia="en-GB"/>
            </w:rPr>
          </w:pPr>
          <w:hyperlink w:anchor="_Toc12533107" w:history="1">
            <w:r w:rsidR="00DF65F3" w:rsidRPr="004815D6">
              <w:rPr>
                <w:rStyle w:val="Hipercze"/>
              </w:rPr>
              <w:t>GM1 ADR-DSN.J.475     Drogi startowe z podejściem nieprecyzyjnym</w:t>
            </w:r>
            <w:r w:rsidR="00DF65F3">
              <w:rPr>
                <w:webHidden/>
              </w:rPr>
              <w:tab/>
            </w:r>
            <w:r w:rsidR="00DF65F3">
              <w:rPr>
                <w:webHidden/>
              </w:rPr>
              <w:fldChar w:fldCharType="begin"/>
            </w:r>
            <w:r w:rsidR="00DF65F3">
              <w:rPr>
                <w:webHidden/>
              </w:rPr>
              <w:instrText xml:space="preserve"> PAGEREF _Toc12533107 \h </w:instrText>
            </w:r>
            <w:r w:rsidR="00DF65F3">
              <w:rPr>
                <w:webHidden/>
              </w:rPr>
            </w:r>
            <w:r w:rsidR="00DF65F3">
              <w:rPr>
                <w:webHidden/>
              </w:rPr>
              <w:fldChar w:fldCharType="separate"/>
            </w:r>
            <w:r w:rsidR="00F755B7">
              <w:rPr>
                <w:webHidden/>
              </w:rPr>
              <w:t>380</w:t>
            </w:r>
            <w:r w:rsidR="00DF65F3">
              <w:rPr>
                <w:webHidden/>
              </w:rPr>
              <w:fldChar w:fldCharType="end"/>
            </w:r>
          </w:hyperlink>
        </w:p>
        <w:p w14:paraId="63F1FB29" w14:textId="781650E6" w:rsidR="00DF65F3" w:rsidRDefault="00870777">
          <w:pPr>
            <w:pStyle w:val="Spistreci4"/>
            <w:rPr>
              <w:sz w:val="22"/>
              <w:lang w:val="en-GB" w:eastAsia="en-GB"/>
            </w:rPr>
          </w:pPr>
          <w:hyperlink w:anchor="_Toc12533108" w:history="1">
            <w:r w:rsidR="00DF65F3" w:rsidRPr="004815D6">
              <w:rPr>
                <w:rStyle w:val="Hipercze"/>
              </w:rPr>
              <w:t>CS ADR-DSN.J.480     Drogi startowe z podejściem precyzyjnym</w:t>
            </w:r>
            <w:r w:rsidR="00DF65F3">
              <w:rPr>
                <w:webHidden/>
              </w:rPr>
              <w:tab/>
            </w:r>
            <w:r w:rsidR="00DF65F3">
              <w:rPr>
                <w:webHidden/>
              </w:rPr>
              <w:fldChar w:fldCharType="begin"/>
            </w:r>
            <w:r w:rsidR="00DF65F3">
              <w:rPr>
                <w:webHidden/>
              </w:rPr>
              <w:instrText xml:space="preserve"> PAGEREF _Toc12533108 \h </w:instrText>
            </w:r>
            <w:r w:rsidR="00DF65F3">
              <w:rPr>
                <w:webHidden/>
              </w:rPr>
            </w:r>
            <w:r w:rsidR="00DF65F3">
              <w:rPr>
                <w:webHidden/>
              </w:rPr>
              <w:fldChar w:fldCharType="separate"/>
            </w:r>
            <w:r w:rsidR="00F755B7">
              <w:rPr>
                <w:webHidden/>
              </w:rPr>
              <w:t>380</w:t>
            </w:r>
            <w:r w:rsidR="00DF65F3">
              <w:rPr>
                <w:webHidden/>
              </w:rPr>
              <w:fldChar w:fldCharType="end"/>
            </w:r>
          </w:hyperlink>
        </w:p>
        <w:p w14:paraId="553D3A05" w14:textId="79BDEE2F" w:rsidR="00DF65F3" w:rsidRDefault="00870777">
          <w:pPr>
            <w:pStyle w:val="Spistreci6"/>
            <w:rPr>
              <w:sz w:val="22"/>
              <w:lang w:val="en-GB" w:eastAsia="en-GB"/>
            </w:rPr>
          </w:pPr>
          <w:hyperlink w:anchor="_Toc12533109" w:history="1">
            <w:r w:rsidR="00DF65F3" w:rsidRPr="004815D6">
              <w:rPr>
                <w:rStyle w:val="Hipercze"/>
              </w:rPr>
              <w:t>GM1 ADR-DSN.J.480     Drogi startowe z podejściem precyzyjnym</w:t>
            </w:r>
            <w:r w:rsidR="00DF65F3">
              <w:rPr>
                <w:webHidden/>
              </w:rPr>
              <w:tab/>
            </w:r>
            <w:r w:rsidR="00DF65F3">
              <w:rPr>
                <w:webHidden/>
              </w:rPr>
              <w:fldChar w:fldCharType="begin"/>
            </w:r>
            <w:r w:rsidR="00DF65F3">
              <w:rPr>
                <w:webHidden/>
              </w:rPr>
              <w:instrText xml:space="preserve"> PAGEREF _Toc12533109 \h </w:instrText>
            </w:r>
            <w:r w:rsidR="00DF65F3">
              <w:rPr>
                <w:webHidden/>
              </w:rPr>
            </w:r>
            <w:r w:rsidR="00DF65F3">
              <w:rPr>
                <w:webHidden/>
              </w:rPr>
              <w:fldChar w:fldCharType="separate"/>
            </w:r>
            <w:r w:rsidR="00F755B7">
              <w:rPr>
                <w:webHidden/>
              </w:rPr>
              <w:t>383</w:t>
            </w:r>
            <w:r w:rsidR="00DF65F3">
              <w:rPr>
                <w:webHidden/>
              </w:rPr>
              <w:fldChar w:fldCharType="end"/>
            </w:r>
          </w:hyperlink>
        </w:p>
        <w:p w14:paraId="28E7C1C3" w14:textId="4DA05E0D" w:rsidR="00DF65F3" w:rsidRDefault="00870777">
          <w:pPr>
            <w:pStyle w:val="Spistreci4"/>
            <w:rPr>
              <w:sz w:val="22"/>
              <w:lang w:val="en-GB" w:eastAsia="en-GB"/>
            </w:rPr>
          </w:pPr>
          <w:hyperlink w:anchor="_Toc12533110" w:history="1">
            <w:r w:rsidR="00DF65F3" w:rsidRPr="004815D6">
              <w:rPr>
                <w:rStyle w:val="Hipercze"/>
              </w:rPr>
              <w:t>CS ADR-DSN.J.485     Drogi startowe przeznaczone do startów</w:t>
            </w:r>
            <w:r w:rsidR="00DF65F3">
              <w:rPr>
                <w:webHidden/>
              </w:rPr>
              <w:tab/>
            </w:r>
            <w:r w:rsidR="00DF65F3">
              <w:rPr>
                <w:webHidden/>
              </w:rPr>
              <w:fldChar w:fldCharType="begin"/>
            </w:r>
            <w:r w:rsidR="00DF65F3">
              <w:rPr>
                <w:webHidden/>
              </w:rPr>
              <w:instrText xml:space="preserve"> PAGEREF _Toc12533110 \h </w:instrText>
            </w:r>
            <w:r w:rsidR="00DF65F3">
              <w:rPr>
                <w:webHidden/>
              </w:rPr>
            </w:r>
            <w:r w:rsidR="00DF65F3">
              <w:rPr>
                <w:webHidden/>
              </w:rPr>
              <w:fldChar w:fldCharType="separate"/>
            </w:r>
            <w:r w:rsidR="00F755B7">
              <w:rPr>
                <w:webHidden/>
              </w:rPr>
              <w:t>384</w:t>
            </w:r>
            <w:r w:rsidR="00DF65F3">
              <w:rPr>
                <w:webHidden/>
              </w:rPr>
              <w:fldChar w:fldCharType="end"/>
            </w:r>
          </w:hyperlink>
        </w:p>
        <w:p w14:paraId="5E01178D" w14:textId="1DA9DE03" w:rsidR="00DF65F3" w:rsidRDefault="00870777">
          <w:pPr>
            <w:pStyle w:val="Spistreci6"/>
            <w:rPr>
              <w:sz w:val="22"/>
              <w:lang w:val="en-GB" w:eastAsia="en-GB"/>
            </w:rPr>
          </w:pPr>
          <w:hyperlink w:anchor="_Toc12533111" w:history="1">
            <w:r w:rsidR="00DF65F3" w:rsidRPr="004815D6">
              <w:rPr>
                <w:rStyle w:val="Hipercze"/>
              </w:rPr>
              <w:t>GM1 ADR-DSN.J.485     Drogi startowe przeznaczone do startów</w:t>
            </w:r>
            <w:r w:rsidR="00DF65F3">
              <w:rPr>
                <w:webHidden/>
              </w:rPr>
              <w:tab/>
            </w:r>
            <w:r w:rsidR="00DF65F3">
              <w:rPr>
                <w:webHidden/>
              </w:rPr>
              <w:fldChar w:fldCharType="begin"/>
            </w:r>
            <w:r w:rsidR="00DF65F3">
              <w:rPr>
                <w:webHidden/>
              </w:rPr>
              <w:instrText xml:space="preserve"> PAGEREF _Toc12533111 \h </w:instrText>
            </w:r>
            <w:r w:rsidR="00DF65F3">
              <w:rPr>
                <w:webHidden/>
              </w:rPr>
            </w:r>
            <w:r w:rsidR="00DF65F3">
              <w:rPr>
                <w:webHidden/>
              </w:rPr>
              <w:fldChar w:fldCharType="separate"/>
            </w:r>
            <w:r w:rsidR="00F755B7">
              <w:rPr>
                <w:webHidden/>
              </w:rPr>
              <w:t>384</w:t>
            </w:r>
            <w:r w:rsidR="00DF65F3">
              <w:rPr>
                <w:webHidden/>
              </w:rPr>
              <w:fldChar w:fldCharType="end"/>
            </w:r>
          </w:hyperlink>
        </w:p>
        <w:p w14:paraId="6AF16186" w14:textId="38260499" w:rsidR="00DF65F3" w:rsidRDefault="00870777">
          <w:pPr>
            <w:pStyle w:val="Spistreci4"/>
            <w:rPr>
              <w:sz w:val="22"/>
              <w:lang w:val="en-GB" w:eastAsia="en-GB"/>
            </w:rPr>
          </w:pPr>
          <w:hyperlink w:anchor="_Toc12533112" w:history="1">
            <w:r w:rsidR="00DF65F3" w:rsidRPr="004815D6">
              <w:rPr>
                <w:rStyle w:val="Hipercze"/>
              </w:rPr>
              <w:t>CS ADR-DSN.J.486     Inne obiekty</w:t>
            </w:r>
            <w:r w:rsidR="00DF65F3">
              <w:rPr>
                <w:webHidden/>
              </w:rPr>
              <w:tab/>
            </w:r>
            <w:r w:rsidR="00DF65F3">
              <w:rPr>
                <w:webHidden/>
              </w:rPr>
              <w:fldChar w:fldCharType="begin"/>
            </w:r>
            <w:r w:rsidR="00DF65F3">
              <w:rPr>
                <w:webHidden/>
              </w:rPr>
              <w:instrText xml:space="preserve"> PAGEREF _Toc12533112 \h </w:instrText>
            </w:r>
            <w:r w:rsidR="00DF65F3">
              <w:rPr>
                <w:webHidden/>
              </w:rPr>
            </w:r>
            <w:r w:rsidR="00DF65F3">
              <w:rPr>
                <w:webHidden/>
              </w:rPr>
              <w:fldChar w:fldCharType="separate"/>
            </w:r>
            <w:r w:rsidR="00F755B7">
              <w:rPr>
                <w:webHidden/>
              </w:rPr>
              <w:t>386</w:t>
            </w:r>
            <w:r w:rsidR="00DF65F3">
              <w:rPr>
                <w:webHidden/>
              </w:rPr>
              <w:fldChar w:fldCharType="end"/>
            </w:r>
          </w:hyperlink>
        </w:p>
        <w:p w14:paraId="493741B2" w14:textId="68B8984F" w:rsidR="00DF65F3" w:rsidRDefault="00870777">
          <w:pPr>
            <w:pStyle w:val="Spistreci6"/>
            <w:rPr>
              <w:sz w:val="22"/>
              <w:lang w:val="en-GB" w:eastAsia="en-GB"/>
            </w:rPr>
          </w:pPr>
          <w:hyperlink w:anchor="_Toc12533113" w:history="1">
            <w:r w:rsidR="00DF65F3" w:rsidRPr="004815D6">
              <w:rPr>
                <w:rStyle w:val="Hipercze"/>
              </w:rPr>
              <w:t>GM1 ADR-DSN.J.486     Inne obiekty</w:t>
            </w:r>
            <w:r w:rsidR="00DF65F3">
              <w:rPr>
                <w:webHidden/>
              </w:rPr>
              <w:tab/>
            </w:r>
            <w:r w:rsidR="00DF65F3">
              <w:rPr>
                <w:webHidden/>
              </w:rPr>
              <w:fldChar w:fldCharType="begin"/>
            </w:r>
            <w:r w:rsidR="00DF65F3">
              <w:rPr>
                <w:webHidden/>
              </w:rPr>
              <w:instrText xml:space="preserve"> PAGEREF _Toc12533113 \h </w:instrText>
            </w:r>
            <w:r w:rsidR="00DF65F3">
              <w:rPr>
                <w:webHidden/>
              </w:rPr>
            </w:r>
            <w:r w:rsidR="00DF65F3">
              <w:rPr>
                <w:webHidden/>
              </w:rPr>
              <w:fldChar w:fldCharType="separate"/>
            </w:r>
            <w:r w:rsidR="00F755B7">
              <w:rPr>
                <w:webHidden/>
              </w:rPr>
              <w:t>386</w:t>
            </w:r>
            <w:r w:rsidR="00DF65F3">
              <w:rPr>
                <w:webHidden/>
              </w:rPr>
              <w:fldChar w:fldCharType="end"/>
            </w:r>
          </w:hyperlink>
        </w:p>
        <w:p w14:paraId="67E038C8" w14:textId="0BF56788" w:rsidR="00DF65F3" w:rsidRDefault="00870777">
          <w:pPr>
            <w:pStyle w:val="Spistreci4"/>
            <w:rPr>
              <w:sz w:val="22"/>
              <w:lang w:val="en-GB" w:eastAsia="en-GB"/>
            </w:rPr>
          </w:pPr>
          <w:hyperlink w:anchor="_Toc12533114" w:history="1">
            <w:r w:rsidR="00DF65F3" w:rsidRPr="004815D6">
              <w:rPr>
                <w:rStyle w:val="Hipercze"/>
              </w:rPr>
              <w:t>CS ADR-DSN.J.487     Obiekty poza powierzchniami ograniczającymi przeszkody</w:t>
            </w:r>
            <w:r w:rsidR="00DF65F3">
              <w:rPr>
                <w:webHidden/>
              </w:rPr>
              <w:tab/>
            </w:r>
            <w:r w:rsidR="00DF65F3">
              <w:rPr>
                <w:webHidden/>
              </w:rPr>
              <w:fldChar w:fldCharType="begin"/>
            </w:r>
            <w:r w:rsidR="00DF65F3">
              <w:rPr>
                <w:webHidden/>
              </w:rPr>
              <w:instrText xml:space="preserve"> PAGEREF _Toc12533114 \h </w:instrText>
            </w:r>
            <w:r w:rsidR="00DF65F3">
              <w:rPr>
                <w:webHidden/>
              </w:rPr>
            </w:r>
            <w:r w:rsidR="00DF65F3">
              <w:rPr>
                <w:webHidden/>
              </w:rPr>
              <w:fldChar w:fldCharType="separate"/>
            </w:r>
            <w:r w:rsidR="00F755B7">
              <w:rPr>
                <w:webHidden/>
              </w:rPr>
              <w:t>386</w:t>
            </w:r>
            <w:r w:rsidR="00DF65F3">
              <w:rPr>
                <w:webHidden/>
              </w:rPr>
              <w:fldChar w:fldCharType="end"/>
            </w:r>
          </w:hyperlink>
        </w:p>
        <w:p w14:paraId="1FEF38CF" w14:textId="4C564B12" w:rsidR="00DF65F3" w:rsidRDefault="00870777">
          <w:pPr>
            <w:pStyle w:val="Spistreci6"/>
            <w:rPr>
              <w:sz w:val="22"/>
              <w:lang w:val="en-GB" w:eastAsia="en-GB"/>
            </w:rPr>
          </w:pPr>
          <w:hyperlink w:anchor="_Toc12533115" w:history="1">
            <w:r w:rsidR="00DF65F3" w:rsidRPr="004815D6">
              <w:rPr>
                <w:rStyle w:val="Hipercze"/>
              </w:rPr>
              <w:t>GM1 ADR-DSN.J.487     Obiekty poza powierzchniami ograniczającymi przeszkody</w:t>
            </w:r>
            <w:r w:rsidR="00DF65F3">
              <w:rPr>
                <w:webHidden/>
              </w:rPr>
              <w:tab/>
            </w:r>
            <w:r w:rsidR="00DF65F3">
              <w:rPr>
                <w:webHidden/>
              </w:rPr>
              <w:fldChar w:fldCharType="begin"/>
            </w:r>
            <w:r w:rsidR="00DF65F3">
              <w:rPr>
                <w:webHidden/>
              </w:rPr>
              <w:instrText xml:space="preserve"> PAGEREF _Toc12533115 \h </w:instrText>
            </w:r>
            <w:r w:rsidR="00DF65F3">
              <w:rPr>
                <w:webHidden/>
              </w:rPr>
            </w:r>
            <w:r w:rsidR="00DF65F3">
              <w:rPr>
                <w:webHidden/>
              </w:rPr>
              <w:fldChar w:fldCharType="separate"/>
            </w:r>
            <w:r w:rsidR="00F755B7">
              <w:rPr>
                <w:webHidden/>
              </w:rPr>
              <w:t>386</w:t>
            </w:r>
            <w:r w:rsidR="00DF65F3">
              <w:rPr>
                <w:webHidden/>
              </w:rPr>
              <w:fldChar w:fldCharType="end"/>
            </w:r>
          </w:hyperlink>
        </w:p>
        <w:p w14:paraId="3763231C" w14:textId="58B77943" w:rsidR="00DF65F3" w:rsidRDefault="00870777">
          <w:pPr>
            <w:pStyle w:val="Spistreci2"/>
            <w:rPr>
              <w:rFonts w:asciiTheme="minorHAnsi" w:eastAsiaTheme="minorEastAsia" w:hAnsiTheme="minorHAnsi" w:cstheme="minorBidi"/>
              <w:sz w:val="22"/>
              <w:lang w:val="en-GB" w:eastAsia="en-GB"/>
            </w:rPr>
          </w:pPr>
          <w:hyperlink w:anchor="_Toc12533116" w:history="1">
            <w:r w:rsidR="00DF65F3" w:rsidRPr="004815D6">
              <w:rPr>
                <w:rStyle w:val="Hipercze"/>
              </w:rPr>
              <w:t>ROZDZIAŁ K — POMOCE WZROKOWE DLA NAWIGACJI  (WSKAŹNIKI I URZĄDZENIA SYGNALIZACYJNE)</w:t>
            </w:r>
            <w:r w:rsidR="00DF65F3">
              <w:rPr>
                <w:webHidden/>
              </w:rPr>
              <w:tab/>
            </w:r>
            <w:r w:rsidR="00DF65F3">
              <w:rPr>
                <w:webHidden/>
              </w:rPr>
              <w:fldChar w:fldCharType="begin"/>
            </w:r>
            <w:r w:rsidR="00DF65F3">
              <w:rPr>
                <w:webHidden/>
              </w:rPr>
              <w:instrText xml:space="preserve"> PAGEREF _Toc12533116 \h </w:instrText>
            </w:r>
            <w:r w:rsidR="00DF65F3">
              <w:rPr>
                <w:webHidden/>
              </w:rPr>
            </w:r>
            <w:r w:rsidR="00DF65F3">
              <w:rPr>
                <w:webHidden/>
              </w:rPr>
              <w:fldChar w:fldCharType="separate"/>
            </w:r>
            <w:r w:rsidR="00F755B7">
              <w:rPr>
                <w:webHidden/>
              </w:rPr>
              <w:t>387</w:t>
            </w:r>
            <w:r w:rsidR="00DF65F3">
              <w:rPr>
                <w:webHidden/>
              </w:rPr>
              <w:fldChar w:fldCharType="end"/>
            </w:r>
          </w:hyperlink>
        </w:p>
        <w:p w14:paraId="7146AEB4" w14:textId="3E378D82" w:rsidR="00DF65F3" w:rsidRDefault="00870777">
          <w:pPr>
            <w:pStyle w:val="Spistreci4"/>
            <w:rPr>
              <w:sz w:val="22"/>
              <w:lang w:val="en-GB" w:eastAsia="en-GB"/>
            </w:rPr>
          </w:pPr>
          <w:hyperlink w:anchor="_Toc12533117" w:history="1">
            <w:r w:rsidR="00DF65F3" w:rsidRPr="004815D6">
              <w:rPr>
                <w:rStyle w:val="Hipercze"/>
              </w:rPr>
              <w:t>CS ADR-DSN.K.490     Wskaźnik kierunku wiatru</w:t>
            </w:r>
            <w:r w:rsidR="00DF65F3">
              <w:rPr>
                <w:webHidden/>
              </w:rPr>
              <w:tab/>
            </w:r>
            <w:r w:rsidR="00DF65F3">
              <w:rPr>
                <w:webHidden/>
              </w:rPr>
              <w:fldChar w:fldCharType="begin"/>
            </w:r>
            <w:r w:rsidR="00DF65F3">
              <w:rPr>
                <w:webHidden/>
              </w:rPr>
              <w:instrText xml:space="preserve"> PAGEREF _Toc12533117 \h </w:instrText>
            </w:r>
            <w:r w:rsidR="00DF65F3">
              <w:rPr>
                <w:webHidden/>
              </w:rPr>
            </w:r>
            <w:r w:rsidR="00DF65F3">
              <w:rPr>
                <w:webHidden/>
              </w:rPr>
              <w:fldChar w:fldCharType="separate"/>
            </w:r>
            <w:r w:rsidR="00F755B7">
              <w:rPr>
                <w:webHidden/>
              </w:rPr>
              <w:t>387</w:t>
            </w:r>
            <w:r w:rsidR="00DF65F3">
              <w:rPr>
                <w:webHidden/>
              </w:rPr>
              <w:fldChar w:fldCharType="end"/>
            </w:r>
          </w:hyperlink>
        </w:p>
        <w:p w14:paraId="3FA91ECF" w14:textId="5322C856" w:rsidR="00DF65F3" w:rsidRDefault="00870777">
          <w:pPr>
            <w:pStyle w:val="Spistreci6"/>
            <w:rPr>
              <w:sz w:val="22"/>
              <w:lang w:val="en-GB" w:eastAsia="en-GB"/>
            </w:rPr>
          </w:pPr>
          <w:hyperlink w:anchor="_Toc12533118" w:history="1">
            <w:r w:rsidR="00DF65F3" w:rsidRPr="004815D6">
              <w:rPr>
                <w:rStyle w:val="Hipercze"/>
              </w:rPr>
              <w:t>GM1 ADR-DSN.K.490     Wskaźnik kierunku wiatru</w:t>
            </w:r>
            <w:r w:rsidR="00DF65F3">
              <w:rPr>
                <w:webHidden/>
              </w:rPr>
              <w:tab/>
            </w:r>
            <w:r w:rsidR="00DF65F3">
              <w:rPr>
                <w:webHidden/>
              </w:rPr>
              <w:fldChar w:fldCharType="begin"/>
            </w:r>
            <w:r w:rsidR="00DF65F3">
              <w:rPr>
                <w:webHidden/>
              </w:rPr>
              <w:instrText xml:space="preserve"> PAGEREF _Toc12533118 \h </w:instrText>
            </w:r>
            <w:r w:rsidR="00DF65F3">
              <w:rPr>
                <w:webHidden/>
              </w:rPr>
            </w:r>
            <w:r w:rsidR="00DF65F3">
              <w:rPr>
                <w:webHidden/>
              </w:rPr>
              <w:fldChar w:fldCharType="separate"/>
            </w:r>
            <w:r w:rsidR="00F755B7">
              <w:rPr>
                <w:webHidden/>
              </w:rPr>
              <w:t>387</w:t>
            </w:r>
            <w:r w:rsidR="00DF65F3">
              <w:rPr>
                <w:webHidden/>
              </w:rPr>
              <w:fldChar w:fldCharType="end"/>
            </w:r>
          </w:hyperlink>
        </w:p>
        <w:p w14:paraId="560FC8EF" w14:textId="73E70BD9" w:rsidR="00DF65F3" w:rsidRDefault="00870777">
          <w:pPr>
            <w:pStyle w:val="Spistreci4"/>
            <w:rPr>
              <w:sz w:val="22"/>
              <w:lang w:val="en-GB" w:eastAsia="en-GB"/>
            </w:rPr>
          </w:pPr>
          <w:hyperlink w:anchor="_Toc12533119" w:history="1">
            <w:r w:rsidR="00DF65F3" w:rsidRPr="004815D6">
              <w:rPr>
                <w:rStyle w:val="Hipercze"/>
              </w:rPr>
              <w:t>CS ADR-DSN.K.495     Wskaźnik kierunku lądowania</w:t>
            </w:r>
            <w:r w:rsidR="00DF65F3">
              <w:rPr>
                <w:webHidden/>
              </w:rPr>
              <w:tab/>
            </w:r>
            <w:r w:rsidR="00DF65F3">
              <w:rPr>
                <w:webHidden/>
              </w:rPr>
              <w:fldChar w:fldCharType="begin"/>
            </w:r>
            <w:r w:rsidR="00DF65F3">
              <w:rPr>
                <w:webHidden/>
              </w:rPr>
              <w:instrText xml:space="preserve"> PAGEREF _Toc12533119 \h </w:instrText>
            </w:r>
            <w:r w:rsidR="00DF65F3">
              <w:rPr>
                <w:webHidden/>
              </w:rPr>
            </w:r>
            <w:r w:rsidR="00DF65F3">
              <w:rPr>
                <w:webHidden/>
              </w:rPr>
              <w:fldChar w:fldCharType="separate"/>
            </w:r>
            <w:r w:rsidR="00F755B7">
              <w:rPr>
                <w:webHidden/>
              </w:rPr>
              <w:t>389</w:t>
            </w:r>
            <w:r w:rsidR="00DF65F3">
              <w:rPr>
                <w:webHidden/>
              </w:rPr>
              <w:fldChar w:fldCharType="end"/>
            </w:r>
          </w:hyperlink>
        </w:p>
        <w:p w14:paraId="369C5B95" w14:textId="012D4970" w:rsidR="00DF65F3" w:rsidRDefault="00870777">
          <w:pPr>
            <w:pStyle w:val="Spistreci6"/>
            <w:rPr>
              <w:sz w:val="22"/>
              <w:lang w:val="en-GB" w:eastAsia="en-GB"/>
            </w:rPr>
          </w:pPr>
          <w:hyperlink w:anchor="_Toc12533120" w:history="1">
            <w:r w:rsidR="00DF65F3" w:rsidRPr="004815D6">
              <w:rPr>
                <w:rStyle w:val="Hipercze"/>
              </w:rPr>
              <w:t>GM1 ADR-DSN.K.495     Wskaźnik kierunku lądowania</w:t>
            </w:r>
            <w:r w:rsidR="00DF65F3">
              <w:rPr>
                <w:webHidden/>
              </w:rPr>
              <w:tab/>
            </w:r>
            <w:r w:rsidR="00DF65F3">
              <w:rPr>
                <w:webHidden/>
              </w:rPr>
              <w:fldChar w:fldCharType="begin"/>
            </w:r>
            <w:r w:rsidR="00DF65F3">
              <w:rPr>
                <w:webHidden/>
              </w:rPr>
              <w:instrText xml:space="preserve"> PAGEREF _Toc12533120 \h </w:instrText>
            </w:r>
            <w:r w:rsidR="00DF65F3">
              <w:rPr>
                <w:webHidden/>
              </w:rPr>
            </w:r>
            <w:r w:rsidR="00DF65F3">
              <w:rPr>
                <w:webHidden/>
              </w:rPr>
              <w:fldChar w:fldCharType="separate"/>
            </w:r>
            <w:r w:rsidR="00F755B7">
              <w:rPr>
                <w:webHidden/>
              </w:rPr>
              <w:t>389</w:t>
            </w:r>
            <w:r w:rsidR="00DF65F3">
              <w:rPr>
                <w:webHidden/>
              </w:rPr>
              <w:fldChar w:fldCharType="end"/>
            </w:r>
          </w:hyperlink>
        </w:p>
        <w:p w14:paraId="2772260B" w14:textId="29F79628" w:rsidR="00DF65F3" w:rsidRDefault="00870777">
          <w:pPr>
            <w:pStyle w:val="Spistreci4"/>
            <w:rPr>
              <w:sz w:val="22"/>
              <w:lang w:val="en-GB" w:eastAsia="en-GB"/>
            </w:rPr>
          </w:pPr>
          <w:hyperlink w:anchor="_Toc12533121" w:history="1">
            <w:r w:rsidR="00DF65F3" w:rsidRPr="004815D6">
              <w:rPr>
                <w:rStyle w:val="Hipercze"/>
              </w:rPr>
              <w:t>CS ADR-DSN.K.500     Lampa sygnałowa</w:t>
            </w:r>
            <w:r w:rsidR="00DF65F3">
              <w:rPr>
                <w:webHidden/>
              </w:rPr>
              <w:tab/>
            </w:r>
            <w:r w:rsidR="00DF65F3">
              <w:rPr>
                <w:webHidden/>
              </w:rPr>
              <w:fldChar w:fldCharType="begin"/>
            </w:r>
            <w:r w:rsidR="00DF65F3">
              <w:rPr>
                <w:webHidden/>
              </w:rPr>
              <w:instrText xml:space="preserve"> PAGEREF _Toc12533121 \h </w:instrText>
            </w:r>
            <w:r w:rsidR="00DF65F3">
              <w:rPr>
                <w:webHidden/>
              </w:rPr>
            </w:r>
            <w:r w:rsidR="00DF65F3">
              <w:rPr>
                <w:webHidden/>
              </w:rPr>
              <w:fldChar w:fldCharType="separate"/>
            </w:r>
            <w:r w:rsidR="00F755B7">
              <w:rPr>
                <w:webHidden/>
              </w:rPr>
              <w:t>390</w:t>
            </w:r>
            <w:r w:rsidR="00DF65F3">
              <w:rPr>
                <w:webHidden/>
              </w:rPr>
              <w:fldChar w:fldCharType="end"/>
            </w:r>
          </w:hyperlink>
        </w:p>
        <w:p w14:paraId="612A2F56" w14:textId="64402B05" w:rsidR="00DF65F3" w:rsidRDefault="00870777">
          <w:pPr>
            <w:pStyle w:val="Spistreci6"/>
            <w:rPr>
              <w:sz w:val="22"/>
              <w:lang w:val="en-GB" w:eastAsia="en-GB"/>
            </w:rPr>
          </w:pPr>
          <w:hyperlink w:anchor="_Toc12533122" w:history="1">
            <w:r w:rsidR="00DF65F3" w:rsidRPr="004815D6">
              <w:rPr>
                <w:rStyle w:val="Hipercze"/>
              </w:rPr>
              <w:t>GM1 ADR-DSN.K.500     Lampa sygnałowa</w:t>
            </w:r>
            <w:r w:rsidR="00DF65F3">
              <w:rPr>
                <w:webHidden/>
              </w:rPr>
              <w:tab/>
            </w:r>
            <w:r w:rsidR="00DF65F3">
              <w:rPr>
                <w:webHidden/>
              </w:rPr>
              <w:fldChar w:fldCharType="begin"/>
            </w:r>
            <w:r w:rsidR="00DF65F3">
              <w:rPr>
                <w:webHidden/>
              </w:rPr>
              <w:instrText xml:space="preserve"> PAGEREF _Toc12533122 \h </w:instrText>
            </w:r>
            <w:r w:rsidR="00DF65F3">
              <w:rPr>
                <w:webHidden/>
              </w:rPr>
            </w:r>
            <w:r w:rsidR="00DF65F3">
              <w:rPr>
                <w:webHidden/>
              </w:rPr>
              <w:fldChar w:fldCharType="separate"/>
            </w:r>
            <w:r w:rsidR="00F755B7">
              <w:rPr>
                <w:webHidden/>
              </w:rPr>
              <w:t>390</w:t>
            </w:r>
            <w:r w:rsidR="00DF65F3">
              <w:rPr>
                <w:webHidden/>
              </w:rPr>
              <w:fldChar w:fldCharType="end"/>
            </w:r>
          </w:hyperlink>
        </w:p>
        <w:p w14:paraId="2A66F10D" w14:textId="1F0CF548" w:rsidR="00DF65F3" w:rsidRDefault="00870777">
          <w:pPr>
            <w:pStyle w:val="Spistreci4"/>
            <w:rPr>
              <w:sz w:val="22"/>
              <w:lang w:val="en-GB" w:eastAsia="en-GB"/>
            </w:rPr>
          </w:pPr>
          <w:hyperlink w:anchor="_Toc12533123" w:history="1">
            <w:r w:rsidR="00DF65F3" w:rsidRPr="004815D6">
              <w:rPr>
                <w:rStyle w:val="Hipercze"/>
              </w:rPr>
              <w:t>CS ADR-DSN.K.505     Znaki sygnałowe i pole sygnałowe</w:t>
            </w:r>
            <w:r w:rsidR="00DF65F3">
              <w:rPr>
                <w:webHidden/>
              </w:rPr>
              <w:tab/>
            </w:r>
            <w:r w:rsidR="00DF65F3">
              <w:rPr>
                <w:webHidden/>
              </w:rPr>
              <w:fldChar w:fldCharType="begin"/>
            </w:r>
            <w:r w:rsidR="00DF65F3">
              <w:rPr>
                <w:webHidden/>
              </w:rPr>
              <w:instrText xml:space="preserve"> PAGEREF _Toc12533123 \h </w:instrText>
            </w:r>
            <w:r w:rsidR="00DF65F3">
              <w:rPr>
                <w:webHidden/>
              </w:rPr>
            </w:r>
            <w:r w:rsidR="00DF65F3">
              <w:rPr>
                <w:webHidden/>
              </w:rPr>
              <w:fldChar w:fldCharType="separate"/>
            </w:r>
            <w:r w:rsidR="00F755B7">
              <w:rPr>
                <w:webHidden/>
              </w:rPr>
              <w:t>390</w:t>
            </w:r>
            <w:r w:rsidR="00DF65F3">
              <w:rPr>
                <w:webHidden/>
              </w:rPr>
              <w:fldChar w:fldCharType="end"/>
            </w:r>
          </w:hyperlink>
        </w:p>
        <w:p w14:paraId="4A3A4E66" w14:textId="30EC091D" w:rsidR="00DF65F3" w:rsidRDefault="00870777">
          <w:pPr>
            <w:pStyle w:val="Spistreci6"/>
            <w:rPr>
              <w:sz w:val="22"/>
              <w:lang w:val="en-GB" w:eastAsia="en-GB"/>
            </w:rPr>
          </w:pPr>
          <w:hyperlink w:anchor="_Toc12533124" w:history="1">
            <w:r w:rsidR="00DF65F3" w:rsidRPr="004815D6">
              <w:rPr>
                <w:rStyle w:val="Hipercze"/>
              </w:rPr>
              <w:t>GM1 ADR-DSN.K.505     Znaki sygnałowe i pole sygnałowe</w:t>
            </w:r>
            <w:r w:rsidR="00DF65F3">
              <w:rPr>
                <w:webHidden/>
              </w:rPr>
              <w:tab/>
            </w:r>
            <w:r w:rsidR="00DF65F3">
              <w:rPr>
                <w:webHidden/>
              </w:rPr>
              <w:fldChar w:fldCharType="begin"/>
            </w:r>
            <w:r w:rsidR="00DF65F3">
              <w:rPr>
                <w:webHidden/>
              </w:rPr>
              <w:instrText xml:space="preserve"> PAGEREF _Toc12533124 \h </w:instrText>
            </w:r>
            <w:r w:rsidR="00DF65F3">
              <w:rPr>
                <w:webHidden/>
              </w:rPr>
            </w:r>
            <w:r w:rsidR="00DF65F3">
              <w:rPr>
                <w:webHidden/>
              </w:rPr>
              <w:fldChar w:fldCharType="separate"/>
            </w:r>
            <w:r w:rsidR="00F755B7">
              <w:rPr>
                <w:webHidden/>
              </w:rPr>
              <w:t>390</w:t>
            </w:r>
            <w:r w:rsidR="00DF65F3">
              <w:rPr>
                <w:webHidden/>
              </w:rPr>
              <w:fldChar w:fldCharType="end"/>
            </w:r>
          </w:hyperlink>
        </w:p>
        <w:p w14:paraId="39DE6E41" w14:textId="5E93A881" w:rsidR="00DF65F3" w:rsidRDefault="00870777">
          <w:pPr>
            <w:pStyle w:val="Spistreci4"/>
            <w:rPr>
              <w:sz w:val="22"/>
              <w:lang w:val="en-GB" w:eastAsia="en-GB"/>
            </w:rPr>
          </w:pPr>
          <w:hyperlink w:anchor="_Toc12533125" w:history="1">
            <w:r w:rsidR="00DF65F3" w:rsidRPr="004815D6">
              <w:rPr>
                <w:rStyle w:val="Hipercze"/>
              </w:rPr>
              <w:t>CS ADR-DSN.K.510     Lokalizacja znaków sygnałowych i pola sygnałowego</w:t>
            </w:r>
            <w:r w:rsidR="00DF65F3">
              <w:rPr>
                <w:webHidden/>
              </w:rPr>
              <w:tab/>
            </w:r>
            <w:r w:rsidR="00DF65F3">
              <w:rPr>
                <w:webHidden/>
              </w:rPr>
              <w:fldChar w:fldCharType="begin"/>
            </w:r>
            <w:r w:rsidR="00DF65F3">
              <w:rPr>
                <w:webHidden/>
              </w:rPr>
              <w:instrText xml:space="preserve"> PAGEREF _Toc12533125 \h </w:instrText>
            </w:r>
            <w:r w:rsidR="00DF65F3">
              <w:rPr>
                <w:webHidden/>
              </w:rPr>
            </w:r>
            <w:r w:rsidR="00DF65F3">
              <w:rPr>
                <w:webHidden/>
              </w:rPr>
              <w:fldChar w:fldCharType="separate"/>
            </w:r>
            <w:r w:rsidR="00F755B7">
              <w:rPr>
                <w:webHidden/>
              </w:rPr>
              <w:t>390</w:t>
            </w:r>
            <w:r w:rsidR="00DF65F3">
              <w:rPr>
                <w:webHidden/>
              </w:rPr>
              <w:fldChar w:fldCharType="end"/>
            </w:r>
          </w:hyperlink>
        </w:p>
        <w:p w14:paraId="25388D3B" w14:textId="5DC81957" w:rsidR="00DF65F3" w:rsidRDefault="00870777">
          <w:pPr>
            <w:pStyle w:val="Spistreci6"/>
            <w:rPr>
              <w:sz w:val="22"/>
              <w:lang w:val="en-GB" w:eastAsia="en-GB"/>
            </w:rPr>
          </w:pPr>
          <w:hyperlink w:anchor="_Toc12533126" w:history="1">
            <w:r w:rsidR="00DF65F3" w:rsidRPr="004815D6">
              <w:rPr>
                <w:rStyle w:val="Hipercze"/>
              </w:rPr>
              <w:t>GM1 ADR-DSN.K.510     Lokalizacja znaków sygnałowych i pola sygnałowego</w:t>
            </w:r>
            <w:r w:rsidR="00DF65F3">
              <w:rPr>
                <w:webHidden/>
              </w:rPr>
              <w:tab/>
            </w:r>
            <w:r w:rsidR="00DF65F3">
              <w:rPr>
                <w:webHidden/>
              </w:rPr>
              <w:fldChar w:fldCharType="begin"/>
            </w:r>
            <w:r w:rsidR="00DF65F3">
              <w:rPr>
                <w:webHidden/>
              </w:rPr>
              <w:instrText xml:space="preserve"> PAGEREF _Toc12533126 \h </w:instrText>
            </w:r>
            <w:r w:rsidR="00DF65F3">
              <w:rPr>
                <w:webHidden/>
              </w:rPr>
            </w:r>
            <w:r w:rsidR="00DF65F3">
              <w:rPr>
                <w:webHidden/>
              </w:rPr>
              <w:fldChar w:fldCharType="separate"/>
            </w:r>
            <w:r w:rsidR="00F755B7">
              <w:rPr>
                <w:webHidden/>
              </w:rPr>
              <w:t>391</w:t>
            </w:r>
            <w:r w:rsidR="00DF65F3">
              <w:rPr>
                <w:webHidden/>
              </w:rPr>
              <w:fldChar w:fldCharType="end"/>
            </w:r>
          </w:hyperlink>
        </w:p>
        <w:p w14:paraId="058ECD34" w14:textId="50CA87F0" w:rsidR="00DF65F3" w:rsidRDefault="00870777">
          <w:pPr>
            <w:pStyle w:val="Spistreci4"/>
            <w:rPr>
              <w:sz w:val="22"/>
              <w:lang w:val="en-GB" w:eastAsia="en-GB"/>
            </w:rPr>
          </w:pPr>
          <w:hyperlink w:anchor="_Toc12533127" w:history="1">
            <w:r w:rsidR="00DF65F3" w:rsidRPr="004815D6">
              <w:rPr>
                <w:rStyle w:val="Hipercze"/>
              </w:rPr>
              <w:t>CS ADR-DSN.K.515      Charakterystyki znaków sygnałowych i pola sygnałowego</w:t>
            </w:r>
            <w:r w:rsidR="00DF65F3">
              <w:rPr>
                <w:webHidden/>
              </w:rPr>
              <w:tab/>
            </w:r>
            <w:r w:rsidR="00DF65F3">
              <w:rPr>
                <w:webHidden/>
              </w:rPr>
              <w:fldChar w:fldCharType="begin"/>
            </w:r>
            <w:r w:rsidR="00DF65F3">
              <w:rPr>
                <w:webHidden/>
              </w:rPr>
              <w:instrText xml:space="preserve"> PAGEREF _Toc12533127 \h </w:instrText>
            </w:r>
            <w:r w:rsidR="00DF65F3">
              <w:rPr>
                <w:webHidden/>
              </w:rPr>
            </w:r>
            <w:r w:rsidR="00DF65F3">
              <w:rPr>
                <w:webHidden/>
              </w:rPr>
              <w:fldChar w:fldCharType="separate"/>
            </w:r>
            <w:r w:rsidR="00F755B7">
              <w:rPr>
                <w:webHidden/>
              </w:rPr>
              <w:t>391</w:t>
            </w:r>
            <w:r w:rsidR="00DF65F3">
              <w:rPr>
                <w:webHidden/>
              </w:rPr>
              <w:fldChar w:fldCharType="end"/>
            </w:r>
          </w:hyperlink>
        </w:p>
        <w:p w14:paraId="52630347" w14:textId="671D3A1F" w:rsidR="00DF65F3" w:rsidRDefault="00870777">
          <w:pPr>
            <w:pStyle w:val="Spistreci6"/>
            <w:rPr>
              <w:sz w:val="22"/>
              <w:lang w:val="en-GB" w:eastAsia="en-GB"/>
            </w:rPr>
          </w:pPr>
          <w:hyperlink w:anchor="_Toc12533128" w:history="1">
            <w:r w:rsidR="00DF65F3" w:rsidRPr="004815D6">
              <w:rPr>
                <w:rStyle w:val="Hipercze"/>
              </w:rPr>
              <w:t>GM1 ADR-DSN.K.515     Charakterystyki znaków sygnałowych i pola sygnałowego</w:t>
            </w:r>
            <w:r w:rsidR="00DF65F3">
              <w:rPr>
                <w:webHidden/>
              </w:rPr>
              <w:tab/>
            </w:r>
            <w:r w:rsidR="00DF65F3">
              <w:rPr>
                <w:webHidden/>
              </w:rPr>
              <w:fldChar w:fldCharType="begin"/>
            </w:r>
            <w:r w:rsidR="00DF65F3">
              <w:rPr>
                <w:webHidden/>
              </w:rPr>
              <w:instrText xml:space="preserve"> PAGEREF _Toc12533128 \h </w:instrText>
            </w:r>
            <w:r w:rsidR="00DF65F3">
              <w:rPr>
                <w:webHidden/>
              </w:rPr>
            </w:r>
            <w:r w:rsidR="00DF65F3">
              <w:rPr>
                <w:webHidden/>
              </w:rPr>
              <w:fldChar w:fldCharType="separate"/>
            </w:r>
            <w:r w:rsidR="00F755B7">
              <w:rPr>
                <w:webHidden/>
              </w:rPr>
              <w:t>391</w:t>
            </w:r>
            <w:r w:rsidR="00DF65F3">
              <w:rPr>
                <w:webHidden/>
              </w:rPr>
              <w:fldChar w:fldCharType="end"/>
            </w:r>
          </w:hyperlink>
        </w:p>
        <w:p w14:paraId="3B81AE42" w14:textId="5A3276CC" w:rsidR="00DF65F3" w:rsidRDefault="00870777">
          <w:pPr>
            <w:pStyle w:val="Spistreci2"/>
            <w:rPr>
              <w:rFonts w:asciiTheme="minorHAnsi" w:eastAsiaTheme="minorEastAsia" w:hAnsiTheme="minorHAnsi" w:cstheme="minorBidi"/>
              <w:sz w:val="22"/>
              <w:lang w:val="en-GB" w:eastAsia="en-GB"/>
            </w:rPr>
          </w:pPr>
          <w:hyperlink w:anchor="_Toc12533129" w:history="1">
            <w:r w:rsidR="00DF65F3" w:rsidRPr="004815D6">
              <w:rPr>
                <w:rStyle w:val="Hipercze"/>
              </w:rPr>
              <w:t>ROZDZIAŁ L — POMOCE WZROKOWE DLA NAWIGACJI (OZNAKOWANIE POZIOME)</w:t>
            </w:r>
            <w:r w:rsidR="00DF65F3">
              <w:rPr>
                <w:webHidden/>
              </w:rPr>
              <w:tab/>
            </w:r>
            <w:r w:rsidR="00DF65F3">
              <w:rPr>
                <w:webHidden/>
              </w:rPr>
              <w:fldChar w:fldCharType="begin"/>
            </w:r>
            <w:r w:rsidR="00DF65F3">
              <w:rPr>
                <w:webHidden/>
              </w:rPr>
              <w:instrText xml:space="preserve"> PAGEREF _Toc12533129 \h </w:instrText>
            </w:r>
            <w:r w:rsidR="00DF65F3">
              <w:rPr>
                <w:webHidden/>
              </w:rPr>
            </w:r>
            <w:r w:rsidR="00DF65F3">
              <w:rPr>
                <w:webHidden/>
              </w:rPr>
              <w:fldChar w:fldCharType="separate"/>
            </w:r>
            <w:r w:rsidR="00F755B7">
              <w:rPr>
                <w:webHidden/>
              </w:rPr>
              <w:t>392</w:t>
            </w:r>
            <w:r w:rsidR="00DF65F3">
              <w:rPr>
                <w:webHidden/>
              </w:rPr>
              <w:fldChar w:fldCharType="end"/>
            </w:r>
          </w:hyperlink>
        </w:p>
        <w:p w14:paraId="7906F04A" w14:textId="0825A5FF" w:rsidR="00DF65F3" w:rsidRDefault="00870777">
          <w:pPr>
            <w:pStyle w:val="Spistreci4"/>
            <w:rPr>
              <w:sz w:val="22"/>
              <w:lang w:val="en-GB" w:eastAsia="en-GB"/>
            </w:rPr>
          </w:pPr>
          <w:hyperlink w:anchor="_Toc12533130" w:history="1">
            <w:r w:rsidR="00DF65F3" w:rsidRPr="004815D6">
              <w:rPr>
                <w:rStyle w:val="Hipercze"/>
              </w:rPr>
              <w:t xml:space="preserve">CS ADR-DSN.L.520     </w:t>
            </w:r>
            <w:r w:rsidR="00DF65F3" w:rsidRPr="004815D6">
              <w:rPr>
                <w:rStyle w:val="Hipercze"/>
                <w:rFonts w:cs="TimesNewRomanPS-BoldItalicMT"/>
                <w:iCs/>
              </w:rPr>
              <w:t>Wymagania</w:t>
            </w:r>
            <w:r w:rsidR="00DF65F3" w:rsidRPr="004815D6">
              <w:rPr>
                <w:rStyle w:val="Hipercze"/>
              </w:rPr>
              <w:t xml:space="preserve"> ogólne – kolor i wyrazistość</w:t>
            </w:r>
            <w:r w:rsidR="00DF65F3">
              <w:rPr>
                <w:webHidden/>
              </w:rPr>
              <w:tab/>
            </w:r>
            <w:r w:rsidR="00DF65F3">
              <w:rPr>
                <w:webHidden/>
              </w:rPr>
              <w:fldChar w:fldCharType="begin"/>
            </w:r>
            <w:r w:rsidR="00DF65F3">
              <w:rPr>
                <w:webHidden/>
              </w:rPr>
              <w:instrText xml:space="preserve"> PAGEREF _Toc12533130 \h </w:instrText>
            </w:r>
            <w:r w:rsidR="00DF65F3">
              <w:rPr>
                <w:webHidden/>
              </w:rPr>
            </w:r>
            <w:r w:rsidR="00DF65F3">
              <w:rPr>
                <w:webHidden/>
              </w:rPr>
              <w:fldChar w:fldCharType="separate"/>
            </w:r>
            <w:r w:rsidR="00F755B7">
              <w:rPr>
                <w:webHidden/>
              </w:rPr>
              <w:t>392</w:t>
            </w:r>
            <w:r w:rsidR="00DF65F3">
              <w:rPr>
                <w:webHidden/>
              </w:rPr>
              <w:fldChar w:fldCharType="end"/>
            </w:r>
          </w:hyperlink>
        </w:p>
        <w:p w14:paraId="1A3D50AE" w14:textId="57B14D70" w:rsidR="00DF65F3" w:rsidRDefault="00870777">
          <w:pPr>
            <w:pStyle w:val="Spistreci6"/>
            <w:rPr>
              <w:sz w:val="22"/>
              <w:lang w:val="en-GB" w:eastAsia="en-GB"/>
            </w:rPr>
          </w:pPr>
          <w:hyperlink w:anchor="_Toc12533131" w:history="1">
            <w:r w:rsidR="00DF65F3" w:rsidRPr="004815D6">
              <w:rPr>
                <w:rStyle w:val="Hipercze"/>
              </w:rPr>
              <w:t xml:space="preserve">GM1 ADR-DSN.L.520     </w:t>
            </w:r>
            <w:r w:rsidR="00DF65F3" w:rsidRPr="004815D6">
              <w:rPr>
                <w:rStyle w:val="Hipercze"/>
                <w:rFonts w:cs="TimesNewRomanPS-BoldItalicMT"/>
                <w:iCs/>
              </w:rPr>
              <w:t>Wymagania</w:t>
            </w:r>
            <w:r w:rsidR="00DF65F3" w:rsidRPr="004815D6">
              <w:rPr>
                <w:rStyle w:val="Hipercze"/>
              </w:rPr>
              <w:t xml:space="preserve"> ogólne — Kolor i wyrazistość</w:t>
            </w:r>
            <w:r w:rsidR="00DF65F3">
              <w:rPr>
                <w:webHidden/>
              </w:rPr>
              <w:tab/>
            </w:r>
            <w:r w:rsidR="00DF65F3">
              <w:rPr>
                <w:webHidden/>
              </w:rPr>
              <w:fldChar w:fldCharType="begin"/>
            </w:r>
            <w:r w:rsidR="00DF65F3">
              <w:rPr>
                <w:webHidden/>
              </w:rPr>
              <w:instrText xml:space="preserve"> PAGEREF _Toc12533131 \h </w:instrText>
            </w:r>
            <w:r w:rsidR="00DF65F3">
              <w:rPr>
                <w:webHidden/>
              </w:rPr>
            </w:r>
            <w:r w:rsidR="00DF65F3">
              <w:rPr>
                <w:webHidden/>
              </w:rPr>
              <w:fldChar w:fldCharType="separate"/>
            </w:r>
            <w:r w:rsidR="00F755B7">
              <w:rPr>
                <w:webHidden/>
              </w:rPr>
              <w:t>392</w:t>
            </w:r>
            <w:r w:rsidR="00DF65F3">
              <w:rPr>
                <w:webHidden/>
              </w:rPr>
              <w:fldChar w:fldCharType="end"/>
            </w:r>
          </w:hyperlink>
        </w:p>
        <w:p w14:paraId="3D4CD830" w14:textId="0F38AD9F" w:rsidR="00DF65F3" w:rsidRDefault="00870777">
          <w:pPr>
            <w:pStyle w:val="Spistreci4"/>
            <w:rPr>
              <w:sz w:val="22"/>
              <w:lang w:val="en-GB" w:eastAsia="en-GB"/>
            </w:rPr>
          </w:pPr>
          <w:hyperlink w:anchor="_Toc12533132" w:history="1">
            <w:r w:rsidR="00DF65F3" w:rsidRPr="004815D6">
              <w:rPr>
                <w:rStyle w:val="Hipercze"/>
              </w:rPr>
              <w:t>CS ADR-DSN.L.525     Oznakowanie identyfikacji drogi startowej</w:t>
            </w:r>
            <w:r w:rsidR="00DF65F3">
              <w:rPr>
                <w:webHidden/>
              </w:rPr>
              <w:tab/>
            </w:r>
            <w:r w:rsidR="00DF65F3">
              <w:rPr>
                <w:webHidden/>
              </w:rPr>
              <w:fldChar w:fldCharType="begin"/>
            </w:r>
            <w:r w:rsidR="00DF65F3">
              <w:rPr>
                <w:webHidden/>
              </w:rPr>
              <w:instrText xml:space="preserve"> PAGEREF _Toc12533132 \h </w:instrText>
            </w:r>
            <w:r w:rsidR="00DF65F3">
              <w:rPr>
                <w:webHidden/>
              </w:rPr>
            </w:r>
            <w:r w:rsidR="00DF65F3">
              <w:rPr>
                <w:webHidden/>
              </w:rPr>
              <w:fldChar w:fldCharType="separate"/>
            </w:r>
            <w:r w:rsidR="00F755B7">
              <w:rPr>
                <w:webHidden/>
              </w:rPr>
              <w:t>393</w:t>
            </w:r>
            <w:r w:rsidR="00DF65F3">
              <w:rPr>
                <w:webHidden/>
              </w:rPr>
              <w:fldChar w:fldCharType="end"/>
            </w:r>
          </w:hyperlink>
        </w:p>
        <w:p w14:paraId="480E6D06" w14:textId="4338E357" w:rsidR="00DF65F3" w:rsidRDefault="00870777">
          <w:pPr>
            <w:pStyle w:val="Spistreci6"/>
            <w:rPr>
              <w:sz w:val="22"/>
              <w:lang w:val="en-GB" w:eastAsia="en-GB"/>
            </w:rPr>
          </w:pPr>
          <w:hyperlink w:anchor="_Toc12533133" w:history="1">
            <w:r w:rsidR="00DF65F3" w:rsidRPr="004815D6">
              <w:rPr>
                <w:rStyle w:val="Hipercze"/>
              </w:rPr>
              <w:t>GM1 ADR-DSN.L.525     Oznakowanie identyfikacji drogi startowej</w:t>
            </w:r>
            <w:r w:rsidR="00DF65F3">
              <w:rPr>
                <w:webHidden/>
              </w:rPr>
              <w:tab/>
            </w:r>
            <w:r w:rsidR="00DF65F3">
              <w:rPr>
                <w:webHidden/>
              </w:rPr>
              <w:fldChar w:fldCharType="begin"/>
            </w:r>
            <w:r w:rsidR="00DF65F3">
              <w:rPr>
                <w:webHidden/>
              </w:rPr>
              <w:instrText xml:space="preserve"> PAGEREF _Toc12533133 \h </w:instrText>
            </w:r>
            <w:r w:rsidR="00DF65F3">
              <w:rPr>
                <w:webHidden/>
              </w:rPr>
            </w:r>
            <w:r w:rsidR="00DF65F3">
              <w:rPr>
                <w:webHidden/>
              </w:rPr>
              <w:fldChar w:fldCharType="separate"/>
            </w:r>
            <w:r w:rsidR="00F755B7">
              <w:rPr>
                <w:webHidden/>
              </w:rPr>
              <w:t>395</w:t>
            </w:r>
            <w:r w:rsidR="00DF65F3">
              <w:rPr>
                <w:webHidden/>
              </w:rPr>
              <w:fldChar w:fldCharType="end"/>
            </w:r>
          </w:hyperlink>
        </w:p>
        <w:p w14:paraId="6C7952DF" w14:textId="6D5391C9" w:rsidR="00DF65F3" w:rsidRDefault="00870777">
          <w:pPr>
            <w:pStyle w:val="Spistreci4"/>
            <w:rPr>
              <w:sz w:val="22"/>
              <w:lang w:val="en-GB" w:eastAsia="en-GB"/>
            </w:rPr>
          </w:pPr>
          <w:hyperlink w:anchor="_Toc12533134" w:history="1">
            <w:r w:rsidR="00DF65F3" w:rsidRPr="004815D6">
              <w:rPr>
                <w:rStyle w:val="Hipercze"/>
              </w:rPr>
              <w:t>CS ADR-DSN.L.530     Oznakowanie linii środkowej drogi startowej</w:t>
            </w:r>
            <w:r w:rsidR="00DF65F3">
              <w:rPr>
                <w:webHidden/>
              </w:rPr>
              <w:tab/>
            </w:r>
            <w:r w:rsidR="00DF65F3">
              <w:rPr>
                <w:webHidden/>
              </w:rPr>
              <w:fldChar w:fldCharType="begin"/>
            </w:r>
            <w:r w:rsidR="00DF65F3">
              <w:rPr>
                <w:webHidden/>
              </w:rPr>
              <w:instrText xml:space="preserve"> PAGEREF _Toc12533134 \h </w:instrText>
            </w:r>
            <w:r w:rsidR="00DF65F3">
              <w:rPr>
                <w:webHidden/>
              </w:rPr>
            </w:r>
            <w:r w:rsidR="00DF65F3">
              <w:rPr>
                <w:webHidden/>
              </w:rPr>
              <w:fldChar w:fldCharType="separate"/>
            </w:r>
            <w:r w:rsidR="00F755B7">
              <w:rPr>
                <w:webHidden/>
              </w:rPr>
              <w:t>396</w:t>
            </w:r>
            <w:r w:rsidR="00DF65F3">
              <w:rPr>
                <w:webHidden/>
              </w:rPr>
              <w:fldChar w:fldCharType="end"/>
            </w:r>
          </w:hyperlink>
        </w:p>
        <w:p w14:paraId="056D3119" w14:textId="152F190C" w:rsidR="00DF65F3" w:rsidRDefault="00870777">
          <w:pPr>
            <w:pStyle w:val="Spistreci6"/>
            <w:rPr>
              <w:sz w:val="22"/>
              <w:lang w:val="en-GB" w:eastAsia="en-GB"/>
            </w:rPr>
          </w:pPr>
          <w:hyperlink w:anchor="_Toc12533135" w:history="1">
            <w:r w:rsidR="00DF65F3" w:rsidRPr="004815D6">
              <w:rPr>
                <w:rStyle w:val="Hipercze"/>
              </w:rPr>
              <w:t>GM1 ADR-DSN.L.530     Oznakowanie linii środkowej drogi startowej</w:t>
            </w:r>
            <w:r w:rsidR="00DF65F3">
              <w:rPr>
                <w:webHidden/>
              </w:rPr>
              <w:tab/>
            </w:r>
            <w:r w:rsidR="00DF65F3">
              <w:rPr>
                <w:webHidden/>
              </w:rPr>
              <w:fldChar w:fldCharType="begin"/>
            </w:r>
            <w:r w:rsidR="00DF65F3">
              <w:rPr>
                <w:webHidden/>
              </w:rPr>
              <w:instrText xml:space="preserve"> PAGEREF _Toc12533135 \h </w:instrText>
            </w:r>
            <w:r w:rsidR="00DF65F3">
              <w:rPr>
                <w:webHidden/>
              </w:rPr>
            </w:r>
            <w:r w:rsidR="00DF65F3">
              <w:rPr>
                <w:webHidden/>
              </w:rPr>
              <w:fldChar w:fldCharType="separate"/>
            </w:r>
            <w:r w:rsidR="00F755B7">
              <w:rPr>
                <w:webHidden/>
              </w:rPr>
              <w:t>396</w:t>
            </w:r>
            <w:r w:rsidR="00DF65F3">
              <w:rPr>
                <w:webHidden/>
              </w:rPr>
              <w:fldChar w:fldCharType="end"/>
            </w:r>
          </w:hyperlink>
        </w:p>
        <w:p w14:paraId="490137C4" w14:textId="261C3782" w:rsidR="00DF65F3" w:rsidRDefault="00870777">
          <w:pPr>
            <w:pStyle w:val="Spistreci4"/>
            <w:rPr>
              <w:sz w:val="22"/>
              <w:lang w:val="en-GB" w:eastAsia="en-GB"/>
            </w:rPr>
          </w:pPr>
          <w:hyperlink w:anchor="_Toc12533136" w:history="1">
            <w:r w:rsidR="00DF65F3" w:rsidRPr="004815D6">
              <w:rPr>
                <w:rStyle w:val="Hipercze"/>
              </w:rPr>
              <w:t>CS ADR-DSN.L.535     Oznakowanie progu drogi startowej</w:t>
            </w:r>
            <w:r w:rsidR="00DF65F3">
              <w:rPr>
                <w:webHidden/>
              </w:rPr>
              <w:tab/>
            </w:r>
            <w:r w:rsidR="00DF65F3">
              <w:rPr>
                <w:webHidden/>
              </w:rPr>
              <w:fldChar w:fldCharType="begin"/>
            </w:r>
            <w:r w:rsidR="00DF65F3">
              <w:rPr>
                <w:webHidden/>
              </w:rPr>
              <w:instrText xml:space="preserve"> PAGEREF _Toc12533136 \h </w:instrText>
            </w:r>
            <w:r w:rsidR="00DF65F3">
              <w:rPr>
                <w:webHidden/>
              </w:rPr>
            </w:r>
            <w:r w:rsidR="00DF65F3">
              <w:rPr>
                <w:webHidden/>
              </w:rPr>
              <w:fldChar w:fldCharType="separate"/>
            </w:r>
            <w:r w:rsidR="00F755B7">
              <w:rPr>
                <w:webHidden/>
              </w:rPr>
              <w:t>396</w:t>
            </w:r>
            <w:r w:rsidR="00DF65F3">
              <w:rPr>
                <w:webHidden/>
              </w:rPr>
              <w:fldChar w:fldCharType="end"/>
            </w:r>
          </w:hyperlink>
        </w:p>
        <w:p w14:paraId="4EC53012" w14:textId="0AE3DCB9" w:rsidR="00DF65F3" w:rsidRDefault="00870777">
          <w:pPr>
            <w:pStyle w:val="Spistreci6"/>
            <w:rPr>
              <w:sz w:val="22"/>
              <w:lang w:val="en-GB" w:eastAsia="en-GB"/>
            </w:rPr>
          </w:pPr>
          <w:hyperlink w:anchor="_Toc12533137" w:history="1">
            <w:r w:rsidR="00DF65F3" w:rsidRPr="004815D6">
              <w:rPr>
                <w:rStyle w:val="Hipercze"/>
              </w:rPr>
              <w:t>GM1 ADR-DSN.L.535     Oznakowanie progu drogi startowej</w:t>
            </w:r>
            <w:r w:rsidR="00DF65F3">
              <w:rPr>
                <w:webHidden/>
              </w:rPr>
              <w:tab/>
            </w:r>
            <w:r w:rsidR="00DF65F3">
              <w:rPr>
                <w:webHidden/>
              </w:rPr>
              <w:fldChar w:fldCharType="begin"/>
            </w:r>
            <w:r w:rsidR="00DF65F3">
              <w:rPr>
                <w:webHidden/>
              </w:rPr>
              <w:instrText xml:space="preserve"> PAGEREF _Toc12533137 \h </w:instrText>
            </w:r>
            <w:r w:rsidR="00DF65F3">
              <w:rPr>
                <w:webHidden/>
              </w:rPr>
            </w:r>
            <w:r w:rsidR="00DF65F3">
              <w:rPr>
                <w:webHidden/>
              </w:rPr>
              <w:fldChar w:fldCharType="separate"/>
            </w:r>
            <w:r w:rsidR="00F755B7">
              <w:rPr>
                <w:webHidden/>
              </w:rPr>
              <w:t>398</w:t>
            </w:r>
            <w:r w:rsidR="00DF65F3">
              <w:rPr>
                <w:webHidden/>
              </w:rPr>
              <w:fldChar w:fldCharType="end"/>
            </w:r>
          </w:hyperlink>
        </w:p>
        <w:p w14:paraId="7DD20285" w14:textId="65290C9D" w:rsidR="00DF65F3" w:rsidRDefault="00870777">
          <w:pPr>
            <w:pStyle w:val="Spistreci4"/>
            <w:rPr>
              <w:sz w:val="22"/>
              <w:lang w:val="en-GB" w:eastAsia="en-GB"/>
            </w:rPr>
          </w:pPr>
          <w:hyperlink w:anchor="_Toc12533138" w:history="1">
            <w:r w:rsidR="00DF65F3" w:rsidRPr="004815D6">
              <w:rPr>
                <w:rStyle w:val="Hipercze"/>
              </w:rPr>
              <w:t>CS ADR-DSN.L.540     Oznakowanie punktu celowania</w:t>
            </w:r>
            <w:r w:rsidR="00DF65F3">
              <w:rPr>
                <w:webHidden/>
              </w:rPr>
              <w:tab/>
            </w:r>
            <w:r w:rsidR="00DF65F3">
              <w:rPr>
                <w:webHidden/>
              </w:rPr>
              <w:fldChar w:fldCharType="begin"/>
            </w:r>
            <w:r w:rsidR="00DF65F3">
              <w:rPr>
                <w:webHidden/>
              </w:rPr>
              <w:instrText xml:space="preserve"> PAGEREF _Toc12533138 \h </w:instrText>
            </w:r>
            <w:r w:rsidR="00DF65F3">
              <w:rPr>
                <w:webHidden/>
              </w:rPr>
            </w:r>
            <w:r w:rsidR="00DF65F3">
              <w:rPr>
                <w:webHidden/>
              </w:rPr>
              <w:fldChar w:fldCharType="separate"/>
            </w:r>
            <w:r w:rsidR="00F755B7">
              <w:rPr>
                <w:webHidden/>
              </w:rPr>
              <w:t>398</w:t>
            </w:r>
            <w:r w:rsidR="00DF65F3">
              <w:rPr>
                <w:webHidden/>
              </w:rPr>
              <w:fldChar w:fldCharType="end"/>
            </w:r>
          </w:hyperlink>
        </w:p>
        <w:p w14:paraId="7CB79C4D" w14:textId="0DD28281" w:rsidR="00DF65F3" w:rsidRDefault="00870777">
          <w:pPr>
            <w:pStyle w:val="Spistreci6"/>
            <w:rPr>
              <w:sz w:val="22"/>
              <w:lang w:val="en-GB" w:eastAsia="en-GB"/>
            </w:rPr>
          </w:pPr>
          <w:hyperlink w:anchor="_Toc12533139" w:history="1">
            <w:r w:rsidR="00DF65F3" w:rsidRPr="004815D6">
              <w:rPr>
                <w:rStyle w:val="Hipercze"/>
              </w:rPr>
              <w:t>GM1 ADR-DSN.L.540     Oznakowanie punktu celowania</w:t>
            </w:r>
            <w:r w:rsidR="00DF65F3">
              <w:rPr>
                <w:webHidden/>
              </w:rPr>
              <w:tab/>
            </w:r>
            <w:r w:rsidR="00DF65F3">
              <w:rPr>
                <w:webHidden/>
              </w:rPr>
              <w:fldChar w:fldCharType="begin"/>
            </w:r>
            <w:r w:rsidR="00DF65F3">
              <w:rPr>
                <w:webHidden/>
              </w:rPr>
              <w:instrText xml:space="preserve"> PAGEREF _Toc12533139 \h </w:instrText>
            </w:r>
            <w:r w:rsidR="00DF65F3">
              <w:rPr>
                <w:webHidden/>
              </w:rPr>
            </w:r>
            <w:r w:rsidR="00DF65F3">
              <w:rPr>
                <w:webHidden/>
              </w:rPr>
              <w:fldChar w:fldCharType="separate"/>
            </w:r>
            <w:r w:rsidR="00F755B7">
              <w:rPr>
                <w:webHidden/>
              </w:rPr>
              <w:t>399</w:t>
            </w:r>
            <w:r w:rsidR="00DF65F3">
              <w:rPr>
                <w:webHidden/>
              </w:rPr>
              <w:fldChar w:fldCharType="end"/>
            </w:r>
          </w:hyperlink>
        </w:p>
        <w:p w14:paraId="2AF43D12" w14:textId="7C762F83" w:rsidR="00DF65F3" w:rsidRDefault="00870777">
          <w:pPr>
            <w:pStyle w:val="Spistreci4"/>
            <w:rPr>
              <w:sz w:val="22"/>
              <w:lang w:val="en-GB" w:eastAsia="en-GB"/>
            </w:rPr>
          </w:pPr>
          <w:hyperlink w:anchor="_Toc12533140" w:history="1">
            <w:r w:rsidR="00DF65F3" w:rsidRPr="004815D6">
              <w:rPr>
                <w:rStyle w:val="Hipercze"/>
              </w:rPr>
              <w:t>CS ADR-DSN.L.545     Oznakowanie strefy przyziemienia</w:t>
            </w:r>
            <w:r w:rsidR="00DF65F3">
              <w:rPr>
                <w:webHidden/>
              </w:rPr>
              <w:tab/>
            </w:r>
            <w:r w:rsidR="00DF65F3">
              <w:rPr>
                <w:webHidden/>
              </w:rPr>
              <w:fldChar w:fldCharType="begin"/>
            </w:r>
            <w:r w:rsidR="00DF65F3">
              <w:rPr>
                <w:webHidden/>
              </w:rPr>
              <w:instrText xml:space="preserve"> PAGEREF _Toc12533140 \h </w:instrText>
            </w:r>
            <w:r w:rsidR="00DF65F3">
              <w:rPr>
                <w:webHidden/>
              </w:rPr>
            </w:r>
            <w:r w:rsidR="00DF65F3">
              <w:rPr>
                <w:webHidden/>
              </w:rPr>
              <w:fldChar w:fldCharType="separate"/>
            </w:r>
            <w:r w:rsidR="00F755B7">
              <w:rPr>
                <w:webHidden/>
              </w:rPr>
              <w:t>400</w:t>
            </w:r>
            <w:r w:rsidR="00DF65F3">
              <w:rPr>
                <w:webHidden/>
              </w:rPr>
              <w:fldChar w:fldCharType="end"/>
            </w:r>
          </w:hyperlink>
        </w:p>
        <w:p w14:paraId="76D7A232" w14:textId="563BFA95" w:rsidR="00DF65F3" w:rsidRDefault="00870777">
          <w:pPr>
            <w:pStyle w:val="Spistreci6"/>
            <w:rPr>
              <w:sz w:val="22"/>
              <w:lang w:val="en-GB" w:eastAsia="en-GB"/>
            </w:rPr>
          </w:pPr>
          <w:hyperlink w:anchor="_Toc12533141" w:history="1">
            <w:r w:rsidR="00DF65F3" w:rsidRPr="004815D6">
              <w:rPr>
                <w:rStyle w:val="Hipercze"/>
              </w:rPr>
              <w:t>GM1 ADR-DSN.L.545     Oznakowanie strefy przyziemienia</w:t>
            </w:r>
            <w:r w:rsidR="00DF65F3">
              <w:rPr>
                <w:webHidden/>
              </w:rPr>
              <w:tab/>
            </w:r>
            <w:r w:rsidR="00DF65F3">
              <w:rPr>
                <w:webHidden/>
              </w:rPr>
              <w:fldChar w:fldCharType="begin"/>
            </w:r>
            <w:r w:rsidR="00DF65F3">
              <w:rPr>
                <w:webHidden/>
              </w:rPr>
              <w:instrText xml:space="preserve"> PAGEREF _Toc12533141 \h </w:instrText>
            </w:r>
            <w:r w:rsidR="00DF65F3">
              <w:rPr>
                <w:webHidden/>
              </w:rPr>
            </w:r>
            <w:r w:rsidR="00DF65F3">
              <w:rPr>
                <w:webHidden/>
              </w:rPr>
              <w:fldChar w:fldCharType="separate"/>
            </w:r>
            <w:r w:rsidR="00F755B7">
              <w:rPr>
                <w:webHidden/>
              </w:rPr>
              <w:t>402</w:t>
            </w:r>
            <w:r w:rsidR="00DF65F3">
              <w:rPr>
                <w:webHidden/>
              </w:rPr>
              <w:fldChar w:fldCharType="end"/>
            </w:r>
          </w:hyperlink>
        </w:p>
        <w:p w14:paraId="49763D04" w14:textId="325EFE1F" w:rsidR="00DF65F3" w:rsidRDefault="00870777">
          <w:pPr>
            <w:pStyle w:val="Spistreci4"/>
            <w:rPr>
              <w:sz w:val="22"/>
              <w:lang w:val="en-GB" w:eastAsia="en-GB"/>
            </w:rPr>
          </w:pPr>
          <w:hyperlink w:anchor="_Toc12533142" w:history="1">
            <w:r w:rsidR="00DF65F3" w:rsidRPr="004815D6">
              <w:rPr>
                <w:rStyle w:val="Hipercze"/>
              </w:rPr>
              <w:t>CS ADR-DSN.L.550     Oznakowanie linii bocznej drogi startowej</w:t>
            </w:r>
            <w:r w:rsidR="00DF65F3">
              <w:rPr>
                <w:webHidden/>
              </w:rPr>
              <w:tab/>
            </w:r>
            <w:r w:rsidR="00DF65F3">
              <w:rPr>
                <w:webHidden/>
              </w:rPr>
              <w:fldChar w:fldCharType="begin"/>
            </w:r>
            <w:r w:rsidR="00DF65F3">
              <w:rPr>
                <w:webHidden/>
              </w:rPr>
              <w:instrText xml:space="preserve"> PAGEREF _Toc12533142 \h </w:instrText>
            </w:r>
            <w:r w:rsidR="00DF65F3">
              <w:rPr>
                <w:webHidden/>
              </w:rPr>
            </w:r>
            <w:r w:rsidR="00DF65F3">
              <w:rPr>
                <w:webHidden/>
              </w:rPr>
              <w:fldChar w:fldCharType="separate"/>
            </w:r>
            <w:r w:rsidR="00F755B7">
              <w:rPr>
                <w:webHidden/>
              </w:rPr>
              <w:t>402</w:t>
            </w:r>
            <w:r w:rsidR="00DF65F3">
              <w:rPr>
                <w:webHidden/>
              </w:rPr>
              <w:fldChar w:fldCharType="end"/>
            </w:r>
          </w:hyperlink>
        </w:p>
        <w:p w14:paraId="580FAF2C" w14:textId="36398C75" w:rsidR="00DF65F3" w:rsidRDefault="00870777">
          <w:pPr>
            <w:pStyle w:val="Spistreci6"/>
            <w:rPr>
              <w:sz w:val="22"/>
              <w:lang w:val="en-GB" w:eastAsia="en-GB"/>
            </w:rPr>
          </w:pPr>
          <w:hyperlink w:anchor="_Toc12533143" w:history="1">
            <w:r w:rsidR="00DF65F3" w:rsidRPr="004815D6">
              <w:rPr>
                <w:rStyle w:val="Hipercze"/>
              </w:rPr>
              <w:t>GM1 ADR-DSN.L.550     Oznakowanie linii bocznej drogi startowej</w:t>
            </w:r>
            <w:r w:rsidR="00DF65F3">
              <w:rPr>
                <w:webHidden/>
              </w:rPr>
              <w:tab/>
            </w:r>
            <w:r w:rsidR="00DF65F3">
              <w:rPr>
                <w:webHidden/>
              </w:rPr>
              <w:fldChar w:fldCharType="begin"/>
            </w:r>
            <w:r w:rsidR="00DF65F3">
              <w:rPr>
                <w:webHidden/>
              </w:rPr>
              <w:instrText xml:space="preserve"> PAGEREF _Toc12533143 \h </w:instrText>
            </w:r>
            <w:r w:rsidR="00DF65F3">
              <w:rPr>
                <w:webHidden/>
              </w:rPr>
            </w:r>
            <w:r w:rsidR="00DF65F3">
              <w:rPr>
                <w:webHidden/>
              </w:rPr>
              <w:fldChar w:fldCharType="separate"/>
            </w:r>
            <w:r w:rsidR="00F755B7">
              <w:rPr>
                <w:webHidden/>
              </w:rPr>
              <w:t>402</w:t>
            </w:r>
            <w:r w:rsidR="00DF65F3">
              <w:rPr>
                <w:webHidden/>
              </w:rPr>
              <w:fldChar w:fldCharType="end"/>
            </w:r>
          </w:hyperlink>
        </w:p>
        <w:p w14:paraId="6CC01A53" w14:textId="7C3A6797" w:rsidR="00DF65F3" w:rsidRDefault="00870777">
          <w:pPr>
            <w:pStyle w:val="Spistreci4"/>
            <w:rPr>
              <w:sz w:val="22"/>
              <w:lang w:val="en-GB" w:eastAsia="en-GB"/>
            </w:rPr>
          </w:pPr>
          <w:hyperlink w:anchor="_Toc12533144" w:history="1">
            <w:r w:rsidR="00DF65F3" w:rsidRPr="004815D6">
              <w:rPr>
                <w:rStyle w:val="Hipercze"/>
              </w:rPr>
              <w:t>CS ADR-DSN.L.555     Oznakowanie linii środkowej drogi kołowania</w:t>
            </w:r>
            <w:r w:rsidR="00DF65F3">
              <w:rPr>
                <w:webHidden/>
              </w:rPr>
              <w:tab/>
            </w:r>
            <w:r w:rsidR="00DF65F3">
              <w:rPr>
                <w:webHidden/>
              </w:rPr>
              <w:fldChar w:fldCharType="begin"/>
            </w:r>
            <w:r w:rsidR="00DF65F3">
              <w:rPr>
                <w:webHidden/>
              </w:rPr>
              <w:instrText xml:space="preserve"> PAGEREF _Toc12533144 \h </w:instrText>
            </w:r>
            <w:r w:rsidR="00DF65F3">
              <w:rPr>
                <w:webHidden/>
              </w:rPr>
            </w:r>
            <w:r w:rsidR="00DF65F3">
              <w:rPr>
                <w:webHidden/>
              </w:rPr>
              <w:fldChar w:fldCharType="separate"/>
            </w:r>
            <w:r w:rsidR="00F755B7">
              <w:rPr>
                <w:webHidden/>
              </w:rPr>
              <w:t>404</w:t>
            </w:r>
            <w:r w:rsidR="00DF65F3">
              <w:rPr>
                <w:webHidden/>
              </w:rPr>
              <w:fldChar w:fldCharType="end"/>
            </w:r>
          </w:hyperlink>
        </w:p>
        <w:p w14:paraId="20BEDF36" w14:textId="430E5EB6" w:rsidR="00DF65F3" w:rsidRDefault="00870777">
          <w:pPr>
            <w:pStyle w:val="Spistreci6"/>
            <w:rPr>
              <w:sz w:val="22"/>
              <w:lang w:val="en-GB" w:eastAsia="en-GB"/>
            </w:rPr>
          </w:pPr>
          <w:hyperlink w:anchor="_Toc12533145" w:history="1">
            <w:r w:rsidR="00DF65F3" w:rsidRPr="004815D6">
              <w:rPr>
                <w:rStyle w:val="Hipercze"/>
              </w:rPr>
              <w:t>GM1 ADR-DSN.L.555     Oznakowanie linii środkowej drogi kołowania</w:t>
            </w:r>
            <w:r w:rsidR="00DF65F3">
              <w:rPr>
                <w:webHidden/>
              </w:rPr>
              <w:tab/>
            </w:r>
            <w:r w:rsidR="00DF65F3">
              <w:rPr>
                <w:webHidden/>
              </w:rPr>
              <w:fldChar w:fldCharType="begin"/>
            </w:r>
            <w:r w:rsidR="00DF65F3">
              <w:rPr>
                <w:webHidden/>
              </w:rPr>
              <w:instrText xml:space="preserve"> PAGEREF _Toc12533145 \h </w:instrText>
            </w:r>
            <w:r w:rsidR="00DF65F3">
              <w:rPr>
                <w:webHidden/>
              </w:rPr>
            </w:r>
            <w:r w:rsidR="00DF65F3">
              <w:rPr>
                <w:webHidden/>
              </w:rPr>
              <w:fldChar w:fldCharType="separate"/>
            </w:r>
            <w:r w:rsidR="00F755B7">
              <w:rPr>
                <w:webHidden/>
              </w:rPr>
              <w:t>406</w:t>
            </w:r>
            <w:r w:rsidR="00DF65F3">
              <w:rPr>
                <w:webHidden/>
              </w:rPr>
              <w:fldChar w:fldCharType="end"/>
            </w:r>
          </w:hyperlink>
        </w:p>
        <w:p w14:paraId="5585D43C" w14:textId="51D8B07E" w:rsidR="00DF65F3" w:rsidRDefault="00870777">
          <w:pPr>
            <w:pStyle w:val="Spistreci4"/>
            <w:rPr>
              <w:sz w:val="22"/>
              <w:lang w:val="en-GB" w:eastAsia="en-GB"/>
            </w:rPr>
          </w:pPr>
          <w:hyperlink w:anchor="_Toc12533146" w:history="1">
            <w:r w:rsidR="00DF65F3" w:rsidRPr="004815D6">
              <w:rPr>
                <w:rStyle w:val="Hipercze"/>
              </w:rPr>
              <w:t>CS ADR-DSN.L.560     Przerwa w oznakowaniu drogi startowej</w:t>
            </w:r>
            <w:r w:rsidR="00DF65F3">
              <w:rPr>
                <w:webHidden/>
              </w:rPr>
              <w:tab/>
            </w:r>
            <w:r w:rsidR="00DF65F3">
              <w:rPr>
                <w:webHidden/>
              </w:rPr>
              <w:fldChar w:fldCharType="begin"/>
            </w:r>
            <w:r w:rsidR="00DF65F3">
              <w:rPr>
                <w:webHidden/>
              </w:rPr>
              <w:instrText xml:space="preserve"> PAGEREF _Toc12533146 \h </w:instrText>
            </w:r>
            <w:r w:rsidR="00DF65F3">
              <w:rPr>
                <w:webHidden/>
              </w:rPr>
            </w:r>
            <w:r w:rsidR="00DF65F3">
              <w:rPr>
                <w:webHidden/>
              </w:rPr>
              <w:fldChar w:fldCharType="separate"/>
            </w:r>
            <w:r w:rsidR="00F755B7">
              <w:rPr>
                <w:webHidden/>
              </w:rPr>
              <w:t>406</w:t>
            </w:r>
            <w:r w:rsidR="00DF65F3">
              <w:rPr>
                <w:webHidden/>
              </w:rPr>
              <w:fldChar w:fldCharType="end"/>
            </w:r>
          </w:hyperlink>
        </w:p>
        <w:p w14:paraId="0A2BF5CA" w14:textId="3A933FC8" w:rsidR="00DF65F3" w:rsidRDefault="00870777">
          <w:pPr>
            <w:pStyle w:val="Spistreci6"/>
            <w:rPr>
              <w:sz w:val="22"/>
              <w:lang w:val="en-GB" w:eastAsia="en-GB"/>
            </w:rPr>
          </w:pPr>
          <w:hyperlink w:anchor="_Toc12533147" w:history="1">
            <w:r w:rsidR="00DF65F3" w:rsidRPr="004815D6">
              <w:rPr>
                <w:rStyle w:val="Hipercze"/>
              </w:rPr>
              <w:t>GM1 ADR-DSN.L.560     Przerwa w oznakowaniu drogi startowej</w:t>
            </w:r>
            <w:r w:rsidR="00DF65F3">
              <w:rPr>
                <w:webHidden/>
              </w:rPr>
              <w:tab/>
            </w:r>
            <w:r w:rsidR="00DF65F3">
              <w:rPr>
                <w:webHidden/>
              </w:rPr>
              <w:fldChar w:fldCharType="begin"/>
            </w:r>
            <w:r w:rsidR="00DF65F3">
              <w:rPr>
                <w:webHidden/>
              </w:rPr>
              <w:instrText xml:space="preserve"> PAGEREF _Toc12533147 \h </w:instrText>
            </w:r>
            <w:r w:rsidR="00DF65F3">
              <w:rPr>
                <w:webHidden/>
              </w:rPr>
            </w:r>
            <w:r w:rsidR="00DF65F3">
              <w:rPr>
                <w:webHidden/>
              </w:rPr>
              <w:fldChar w:fldCharType="separate"/>
            </w:r>
            <w:r w:rsidR="00F755B7">
              <w:rPr>
                <w:webHidden/>
              </w:rPr>
              <w:t>406</w:t>
            </w:r>
            <w:r w:rsidR="00DF65F3">
              <w:rPr>
                <w:webHidden/>
              </w:rPr>
              <w:fldChar w:fldCharType="end"/>
            </w:r>
          </w:hyperlink>
        </w:p>
        <w:p w14:paraId="538100C0" w14:textId="09A33EA5" w:rsidR="00DF65F3" w:rsidRDefault="00870777">
          <w:pPr>
            <w:pStyle w:val="Spistreci4"/>
            <w:rPr>
              <w:sz w:val="22"/>
              <w:lang w:val="en-GB" w:eastAsia="en-GB"/>
            </w:rPr>
          </w:pPr>
          <w:hyperlink w:anchor="_Toc12533148" w:history="1">
            <w:r w:rsidR="00DF65F3" w:rsidRPr="004815D6">
              <w:rPr>
                <w:rStyle w:val="Hipercze"/>
              </w:rPr>
              <w:t>CS ADR-DSN.L.565      Oznakowanie płaszczyzny do zawracania na drodze startowej</w:t>
            </w:r>
            <w:r w:rsidR="00DF65F3">
              <w:rPr>
                <w:webHidden/>
              </w:rPr>
              <w:tab/>
            </w:r>
            <w:r w:rsidR="00DF65F3">
              <w:rPr>
                <w:webHidden/>
              </w:rPr>
              <w:fldChar w:fldCharType="begin"/>
            </w:r>
            <w:r w:rsidR="00DF65F3">
              <w:rPr>
                <w:webHidden/>
              </w:rPr>
              <w:instrText xml:space="preserve"> PAGEREF _Toc12533148 \h </w:instrText>
            </w:r>
            <w:r w:rsidR="00DF65F3">
              <w:rPr>
                <w:webHidden/>
              </w:rPr>
            </w:r>
            <w:r w:rsidR="00DF65F3">
              <w:rPr>
                <w:webHidden/>
              </w:rPr>
              <w:fldChar w:fldCharType="separate"/>
            </w:r>
            <w:r w:rsidR="00F755B7">
              <w:rPr>
                <w:webHidden/>
              </w:rPr>
              <w:t>407</w:t>
            </w:r>
            <w:r w:rsidR="00DF65F3">
              <w:rPr>
                <w:webHidden/>
              </w:rPr>
              <w:fldChar w:fldCharType="end"/>
            </w:r>
          </w:hyperlink>
        </w:p>
        <w:p w14:paraId="1706B2B3" w14:textId="605EC450" w:rsidR="00DF65F3" w:rsidRDefault="00870777">
          <w:pPr>
            <w:pStyle w:val="Spistreci6"/>
            <w:rPr>
              <w:sz w:val="22"/>
              <w:lang w:val="en-GB" w:eastAsia="en-GB"/>
            </w:rPr>
          </w:pPr>
          <w:hyperlink w:anchor="_Toc12533149" w:history="1">
            <w:r w:rsidR="00DF65F3" w:rsidRPr="004815D6">
              <w:rPr>
                <w:rStyle w:val="Hipercze"/>
              </w:rPr>
              <w:t>GM1 ADR-DSN.L.565      Oznakowanie płaszczyzny do zawracania na drodze startowej</w:t>
            </w:r>
            <w:r w:rsidR="00DF65F3">
              <w:rPr>
                <w:webHidden/>
              </w:rPr>
              <w:tab/>
            </w:r>
            <w:r w:rsidR="00DF65F3">
              <w:rPr>
                <w:webHidden/>
              </w:rPr>
              <w:fldChar w:fldCharType="begin"/>
            </w:r>
            <w:r w:rsidR="00DF65F3">
              <w:rPr>
                <w:webHidden/>
              </w:rPr>
              <w:instrText xml:space="preserve"> PAGEREF _Toc12533149 \h </w:instrText>
            </w:r>
            <w:r w:rsidR="00DF65F3">
              <w:rPr>
                <w:webHidden/>
              </w:rPr>
            </w:r>
            <w:r w:rsidR="00DF65F3">
              <w:rPr>
                <w:webHidden/>
              </w:rPr>
              <w:fldChar w:fldCharType="separate"/>
            </w:r>
            <w:r w:rsidR="00F755B7">
              <w:rPr>
                <w:webHidden/>
              </w:rPr>
              <w:t>408</w:t>
            </w:r>
            <w:r w:rsidR="00DF65F3">
              <w:rPr>
                <w:webHidden/>
              </w:rPr>
              <w:fldChar w:fldCharType="end"/>
            </w:r>
          </w:hyperlink>
        </w:p>
        <w:p w14:paraId="7702348C" w14:textId="042B6285" w:rsidR="00DF65F3" w:rsidRDefault="00870777">
          <w:pPr>
            <w:pStyle w:val="Spistreci4"/>
            <w:rPr>
              <w:sz w:val="22"/>
              <w:lang w:val="en-GB" w:eastAsia="en-GB"/>
            </w:rPr>
          </w:pPr>
          <w:hyperlink w:anchor="_Toc12533150" w:history="1">
            <w:r w:rsidR="00DF65F3" w:rsidRPr="004815D6">
              <w:rPr>
                <w:rStyle w:val="Hipercze"/>
              </w:rPr>
              <w:t>CS ADR-DSN.L.570      Wzmocnione oznakowanie linii środkowej drogi kołowania</w:t>
            </w:r>
            <w:r w:rsidR="00DF65F3">
              <w:rPr>
                <w:webHidden/>
              </w:rPr>
              <w:tab/>
            </w:r>
            <w:r w:rsidR="00DF65F3">
              <w:rPr>
                <w:webHidden/>
              </w:rPr>
              <w:fldChar w:fldCharType="begin"/>
            </w:r>
            <w:r w:rsidR="00DF65F3">
              <w:rPr>
                <w:webHidden/>
              </w:rPr>
              <w:instrText xml:space="preserve"> PAGEREF _Toc12533150 \h </w:instrText>
            </w:r>
            <w:r w:rsidR="00DF65F3">
              <w:rPr>
                <w:webHidden/>
              </w:rPr>
            </w:r>
            <w:r w:rsidR="00DF65F3">
              <w:rPr>
                <w:webHidden/>
              </w:rPr>
              <w:fldChar w:fldCharType="separate"/>
            </w:r>
            <w:r w:rsidR="00F755B7">
              <w:rPr>
                <w:webHidden/>
              </w:rPr>
              <w:t>408</w:t>
            </w:r>
            <w:r w:rsidR="00DF65F3">
              <w:rPr>
                <w:webHidden/>
              </w:rPr>
              <w:fldChar w:fldCharType="end"/>
            </w:r>
          </w:hyperlink>
        </w:p>
        <w:p w14:paraId="2AA6CF8E" w14:textId="38AEF3EB" w:rsidR="00DF65F3" w:rsidRDefault="00870777">
          <w:pPr>
            <w:pStyle w:val="Spistreci6"/>
            <w:rPr>
              <w:sz w:val="22"/>
              <w:lang w:val="en-GB" w:eastAsia="en-GB"/>
            </w:rPr>
          </w:pPr>
          <w:hyperlink w:anchor="_Toc12533151" w:history="1">
            <w:r w:rsidR="00DF65F3" w:rsidRPr="004815D6">
              <w:rPr>
                <w:rStyle w:val="Hipercze"/>
              </w:rPr>
              <w:t>GM1 ADR-DSN.L.570     Wzmocnione oznakowanie linii środkowej drogi kołowania</w:t>
            </w:r>
            <w:r w:rsidR="00DF65F3">
              <w:rPr>
                <w:webHidden/>
              </w:rPr>
              <w:tab/>
            </w:r>
            <w:r w:rsidR="00DF65F3">
              <w:rPr>
                <w:webHidden/>
              </w:rPr>
              <w:fldChar w:fldCharType="begin"/>
            </w:r>
            <w:r w:rsidR="00DF65F3">
              <w:rPr>
                <w:webHidden/>
              </w:rPr>
              <w:instrText xml:space="preserve"> PAGEREF _Toc12533151 \h </w:instrText>
            </w:r>
            <w:r w:rsidR="00DF65F3">
              <w:rPr>
                <w:webHidden/>
              </w:rPr>
            </w:r>
            <w:r w:rsidR="00DF65F3">
              <w:rPr>
                <w:webHidden/>
              </w:rPr>
              <w:fldChar w:fldCharType="separate"/>
            </w:r>
            <w:r w:rsidR="00F755B7">
              <w:rPr>
                <w:webHidden/>
              </w:rPr>
              <w:t>410</w:t>
            </w:r>
            <w:r w:rsidR="00DF65F3">
              <w:rPr>
                <w:webHidden/>
              </w:rPr>
              <w:fldChar w:fldCharType="end"/>
            </w:r>
          </w:hyperlink>
        </w:p>
        <w:p w14:paraId="5C753541" w14:textId="1716D2CF" w:rsidR="00DF65F3" w:rsidRDefault="00870777">
          <w:pPr>
            <w:pStyle w:val="Spistreci4"/>
            <w:rPr>
              <w:sz w:val="22"/>
              <w:lang w:val="en-GB" w:eastAsia="en-GB"/>
            </w:rPr>
          </w:pPr>
          <w:hyperlink w:anchor="_Toc12533152" w:history="1">
            <w:r w:rsidR="00DF65F3" w:rsidRPr="004815D6">
              <w:rPr>
                <w:rStyle w:val="Hipercze"/>
              </w:rPr>
              <w:t>CS ADR-DSN.L.575      Oznakowanie miejsca oczekiwania przed drogą startową</w:t>
            </w:r>
            <w:r w:rsidR="00DF65F3">
              <w:rPr>
                <w:webHidden/>
              </w:rPr>
              <w:tab/>
            </w:r>
            <w:r w:rsidR="00DF65F3">
              <w:rPr>
                <w:webHidden/>
              </w:rPr>
              <w:fldChar w:fldCharType="begin"/>
            </w:r>
            <w:r w:rsidR="00DF65F3">
              <w:rPr>
                <w:webHidden/>
              </w:rPr>
              <w:instrText xml:space="preserve"> PAGEREF _Toc12533152 \h </w:instrText>
            </w:r>
            <w:r w:rsidR="00DF65F3">
              <w:rPr>
                <w:webHidden/>
              </w:rPr>
            </w:r>
            <w:r w:rsidR="00DF65F3">
              <w:rPr>
                <w:webHidden/>
              </w:rPr>
              <w:fldChar w:fldCharType="separate"/>
            </w:r>
            <w:r w:rsidR="00F755B7">
              <w:rPr>
                <w:webHidden/>
              </w:rPr>
              <w:t>410</w:t>
            </w:r>
            <w:r w:rsidR="00DF65F3">
              <w:rPr>
                <w:webHidden/>
              </w:rPr>
              <w:fldChar w:fldCharType="end"/>
            </w:r>
          </w:hyperlink>
        </w:p>
        <w:p w14:paraId="1788E112" w14:textId="1F0E3B5E" w:rsidR="00DF65F3" w:rsidRDefault="00870777">
          <w:pPr>
            <w:pStyle w:val="Spistreci6"/>
            <w:rPr>
              <w:sz w:val="22"/>
              <w:lang w:val="en-GB" w:eastAsia="en-GB"/>
            </w:rPr>
          </w:pPr>
          <w:hyperlink w:anchor="_Toc12533153" w:history="1">
            <w:r w:rsidR="00DF65F3" w:rsidRPr="004815D6">
              <w:rPr>
                <w:rStyle w:val="Hipercze"/>
              </w:rPr>
              <w:t>GM1 ADR-DSN.L.575     Oznakowanie miejsca oczekiwania przed drogą startową</w:t>
            </w:r>
            <w:r w:rsidR="00DF65F3">
              <w:rPr>
                <w:webHidden/>
              </w:rPr>
              <w:tab/>
            </w:r>
            <w:r w:rsidR="00DF65F3">
              <w:rPr>
                <w:webHidden/>
              </w:rPr>
              <w:fldChar w:fldCharType="begin"/>
            </w:r>
            <w:r w:rsidR="00DF65F3">
              <w:rPr>
                <w:webHidden/>
              </w:rPr>
              <w:instrText xml:space="preserve"> PAGEREF _Toc12533153 \h </w:instrText>
            </w:r>
            <w:r w:rsidR="00DF65F3">
              <w:rPr>
                <w:webHidden/>
              </w:rPr>
            </w:r>
            <w:r w:rsidR="00DF65F3">
              <w:rPr>
                <w:webHidden/>
              </w:rPr>
              <w:fldChar w:fldCharType="separate"/>
            </w:r>
            <w:r w:rsidR="00F755B7">
              <w:rPr>
                <w:webHidden/>
              </w:rPr>
              <w:t>411</w:t>
            </w:r>
            <w:r w:rsidR="00DF65F3">
              <w:rPr>
                <w:webHidden/>
              </w:rPr>
              <w:fldChar w:fldCharType="end"/>
            </w:r>
          </w:hyperlink>
        </w:p>
        <w:p w14:paraId="792F3CF0" w14:textId="58768C84" w:rsidR="00DF65F3" w:rsidRDefault="00870777">
          <w:pPr>
            <w:pStyle w:val="Spistreci4"/>
            <w:rPr>
              <w:sz w:val="22"/>
              <w:lang w:val="en-GB" w:eastAsia="en-GB"/>
            </w:rPr>
          </w:pPr>
          <w:hyperlink w:anchor="_Toc12533154" w:history="1">
            <w:r w:rsidR="00DF65F3" w:rsidRPr="004815D6">
              <w:rPr>
                <w:rStyle w:val="Hipercze"/>
              </w:rPr>
              <w:t>CS ADR-DSN.L.580     Oznakowanie pośredniego miejsca oczekiwania</w:t>
            </w:r>
            <w:r w:rsidR="00DF65F3">
              <w:rPr>
                <w:webHidden/>
              </w:rPr>
              <w:tab/>
            </w:r>
            <w:r w:rsidR="00DF65F3">
              <w:rPr>
                <w:webHidden/>
              </w:rPr>
              <w:fldChar w:fldCharType="begin"/>
            </w:r>
            <w:r w:rsidR="00DF65F3">
              <w:rPr>
                <w:webHidden/>
              </w:rPr>
              <w:instrText xml:space="preserve"> PAGEREF _Toc12533154 \h </w:instrText>
            </w:r>
            <w:r w:rsidR="00DF65F3">
              <w:rPr>
                <w:webHidden/>
              </w:rPr>
            </w:r>
            <w:r w:rsidR="00DF65F3">
              <w:rPr>
                <w:webHidden/>
              </w:rPr>
              <w:fldChar w:fldCharType="separate"/>
            </w:r>
            <w:r w:rsidR="00F755B7">
              <w:rPr>
                <w:webHidden/>
              </w:rPr>
              <w:t>411</w:t>
            </w:r>
            <w:r w:rsidR="00DF65F3">
              <w:rPr>
                <w:webHidden/>
              </w:rPr>
              <w:fldChar w:fldCharType="end"/>
            </w:r>
          </w:hyperlink>
        </w:p>
        <w:p w14:paraId="2441B561" w14:textId="401BC8DC" w:rsidR="00DF65F3" w:rsidRDefault="00870777">
          <w:pPr>
            <w:pStyle w:val="Spistreci6"/>
            <w:rPr>
              <w:sz w:val="22"/>
              <w:lang w:val="en-GB" w:eastAsia="en-GB"/>
            </w:rPr>
          </w:pPr>
          <w:hyperlink w:anchor="_Toc12533155" w:history="1">
            <w:r w:rsidR="00DF65F3" w:rsidRPr="004815D6">
              <w:rPr>
                <w:rStyle w:val="Hipercze"/>
              </w:rPr>
              <w:t>GM1 ADR-DSN.L.580     Oznakowanie pośredniego miejsca oczekiwania</w:t>
            </w:r>
            <w:r w:rsidR="00DF65F3">
              <w:rPr>
                <w:webHidden/>
              </w:rPr>
              <w:tab/>
            </w:r>
            <w:r w:rsidR="00DF65F3">
              <w:rPr>
                <w:webHidden/>
              </w:rPr>
              <w:fldChar w:fldCharType="begin"/>
            </w:r>
            <w:r w:rsidR="00DF65F3">
              <w:rPr>
                <w:webHidden/>
              </w:rPr>
              <w:instrText xml:space="preserve"> PAGEREF _Toc12533155 \h </w:instrText>
            </w:r>
            <w:r w:rsidR="00DF65F3">
              <w:rPr>
                <w:webHidden/>
              </w:rPr>
            </w:r>
            <w:r w:rsidR="00DF65F3">
              <w:rPr>
                <w:webHidden/>
              </w:rPr>
              <w:fldChar w:fldCharType="separate"/>
            </w:r>
            <w:r w:rsidR="00F755B7">
              <w:rPr>
                <w:webHidden/>
              </w:rPr>
              <w:t>412</w:t>
            </w:r>
            <w:r w:rsidR="00DF65F3">
              <w:rPr>
                <w:webHidden/>
              </w:rPr>
              <w:fldChar w:fldCharType="end"/>
            </w:r>
          </w:hyperlink>
        </w:p>
        <w:p w14:paraId="07D81D30" w14:textId="59443463" w:rsidR="00DF65F3" w:rsidRDefault="00870777">
          <w:pPr>
            <w:pStyle w:val="Spistreci4"/>
            <w:rPr>
              <w:sz w:val="22"/>
              <w:lang w:val="en-GB" w:eastAsia="en-GB"/>
            </w:rPr>
          </w:pPr>
          <w:hyperlink w:anchor="_Toc12533156" w:history="1">
            <w:r w:rsidR="00DF65F3" w:rsidRPr="004815D6">
              <w:rPr>
                <w:rStyle w:val="Hipercze"/>
              </w:rPr>
              <w:t>CS ADR-DSN.L.585     Oznakowanie lotniskowego punktu sprawdzania VOR</w:t>
            </w:r>
            <w:r w:rsidR="00DF65F3">
              <w:rPr>
                <w:webHidden/>
              </w:rPr>
              <w:tab/>
            </w:r>
            <w:r w:rsidR="00DF65F3">
              <w:rPr>
                <w:webHidden/>
              </w:rPr>
              <w:fldChar w:fldCharType="begin"/>
            </w:r>
            <w:r w:rsidR="00DF65F3">
              <w:rPr>
                <w:webHidden/>
              </w:rPr>
              <w:instrText xml:space="preserve"> PAGEREF _Toc12533156 \h </w:instrText>
            </w:r>
            <w:r w:rsidR="00DF65F3">
              <w:rPr>
                <w:webHidden/>
              </w:rPr>
            </w:r>
            <w:r w:rsidR="00DF65F3">
              <w:rPr>
                <w:webHidden/>
              </w:rPr>
              <w:fldChar w:fldCharType="separate"/>
            </w:r>
            <w:r w:rsidR="00F755B7">
              <w:rPr>
                <w:webHidden/>
              </w:rPr>
              <w:t>412</w:t>
            </w:r>
            <w:r w:rsidR="00DF65F3">
              <w:rPr>
                <w:webHidden/>
              </w:rPr>
              <w:fldChar w:fldCharType="end"/>
            </w:r>
          </w:hyperlink>
        </w:p>
        <w:p w14:paraId="08E470D7" w14:textId="5174E5D9" w:rsidR="00DF65F3" w:rsidRDefault="00870777">
          <w:pPr>
            <w:pStyle w:val="Spistreci6"/>
            <w:rPr>
              <w:sz w:val="22"/>
              <w:lang w:val="en-GB" w:eastAsia="en-GB"/>
            </w:rPr>
          </w:pPr>
          <w:hyperlink w:anchor="_Toc12533157" w:history="1">
            <w:r w:rsidR="00DF65F3" w:rsidRPr="004815D6">
              <w:rPr>
                <w:rStyle w:val="Hipercze"/>
              </w:rPr>
              <w:t>GM1 ADR-DSN.L.585     Oznakowanie lotniskowego punktu sprawdzania VOR</w:t>
            </w:r>
            <w:r w:rsidR="00DF65F3">
              <w:rPr>
                <w:webHidden/>
              </w:rPr>
              <w:tab/>
            </w:r>
            <w:r w:rsidR="00DF65F3">
              <w:rPr>
                <w:webHidden/>
              </w:rPr>
              <w:fldChar w:fldCharType="begin"/>
            </w:r>
            <w:r w:rsidR="00DF65F3">
              <w:rPr>
                <w:webHidden/>
              </w:rPr>
              <w:instrText xml:space="preserve"> PAGEREF _Toc12533157 \h </w:instrText>
            </w:r>
            <w:r w:rsidR="00DF65F3">
              <w:rPr>
                <w:webHidden/>
              </w:rPr>
            </w:r>
            <w:r w:rsidR="00DF65F3">
              <w:rPr>
                <w:webHidden/>
              </w:rPr>
              <w:fldChar w:fldCharType="separate"/>
            </w:r>
            <w:r w:rsidR="00F755B7">
              <w:rPr>
                <w:webHidden/>
              </w:rPr>
              <w:t>413</w:t>
            </w:r>
            <w:r w:rsidR="00DF65F3">
              <w:rPr>
                <w:webHidden/>
              </w:rPr>
              <w:fldChar w:fldCharType="end"/>
            </w:r>
          </w:hyperlink>
        </w:p>
        <w:p w14:paraId="3EC996A3" w14:textId="51ED5C7C" w:rsidR="00DF65F3" w:rsidRDefault="00870777">
          <w:pPr>
            <w:pStyle w:val="Spistreci4"/>
            <w:rPr>
              <w:sz w:val="22"/>
              <w:lang w:val="en-GB" w:eastAsia="en-GB"/>
            </w:rPr>
          </w:pPr>
          <w:hyperlink w:anchor="_Toc12533158" w:history="1">
            <w:r w:rsidR="00DF65F3" w:rsidRPr="004815D6">
              <w:rPr>
                <w:rStyle w:val="Hipercze"/>
              </w:rPr>
              <w:t>CS ADR-DSN.L.590     Oznakowanie stanowiska postojowego statku powietrznego</w:t>
            </w:r>
            <w:r w:rsidR="00DF65F3">
              <w:rPr>
                <w:webHidden/>
              </w:rPr>
              <w:tab/>
            </w:r>
            <w:r w:rsidR="00DF65F3">
              <w:rPr>
                <w:webHidden/>
              </w:rPr>
              <w:fldChar w:fldCharType="begin"/>
            </w:r>
            <w:r w:rsidR="00DF65F3">
              <w:rPr>
                <w:webHidden/>
              </w:rPr>
              <w:instrText xml:space="preserve"> PAGEREF _Toc12533158 \h </w:instrText>
            </w:r>
            <w:r w:rsidR="00DF65F3">
              <w:rPr>
                <w:webHidden/>
              </w:rPr>
            </w:r>
            <w:r w:rsidR="00DF65F3">
              <w:rPr>
                <w:webHidden/>
              </w:rPr>
              <w:fldChar w:fldCharType="separate"/>
            </w:r>
            <w:r w:rsidR="00F755B7">
              <w:rPr>
                <w:webHidden/>
              </w:rPr>
              <w:t>413</w:t>
            </w:r>
            <w:r w:rsidR="00DF65F3">
              <w:rPr>
                <w:webHidden/>
              </w:rPr>
              <w:fldChar w:fldCharType="end"/>
            </w:r>
          </w:hyperlink>
        </w:p>
        <w:p w14:paraId="56A4BD56" w14:textId="566A6ECA" w:rsidR="00DF65F3" w:rsidRDefault="00870777">
          <w:pPr>
            <w:pStyle w:val="Spistreci6"/>
            <w:rPr>
              <w:sz w:val="22"/>
              <w:lang w:val="en-GB" w:eastAsia="en-GB"/>
            </w:rPr>
          </w:pPr>
          <w:hyperlink w:anchor="_Toc12533159" w:history="1">
            <w:r w:rsidR="00DF65F3" w:rsidRPr="004815D6">
              <w:rPr>
                <w:rStyle w:val="Hipercze"/>
              </w:rPr>
              <w:t>GM1 ADR-DSN.L.590      Oznakowanie stanowiska postojowego statku powietrznego</w:t>
            </w:r>
            <w:r w:rsidR="00DF65F3">
              <w:rPr>
                <w:webHidden/>
              </w:rPr>
              <w:tab/>
            </w:r>
            <w:r w:rsidR="00DF65F3">
              <w:rPr>
                <w:webHidden/>
              </w:rPr>
              <w:fldChar w:fldCharType="begin"/>
            </w:r>
            <w:r w:rsidR="00DF65F3">
              <w:rPr>
                <w:webHidden/>
              </w:rPr>
              <w:instrText xml:space="preserve"> PAGEREF _Toc12533159 \h </w:instrText>
            </w:r>
            <w:r w:rsidR="00DF65F3">
              <w:rPr>
                <w:webHidden/>
              </w:rPr>
            </w:r>
            <w:r w:rsidR="00DF65F3">
              <w:rPr>
                <w:webHidden/>
              </w:rPr>
              <w:fldChar w:fldCharType="separate"/>
            </w:r>
            <w:r w:rsidR="00F755B7">
              <w:rPr>
                <w:webHidden/>
              </w:rPr>
              <w:t>415</w:t>
            </w:r>
            <w:r w:rsidR="00DF65F3">
              <w:rPr>
                <w:webHidden/>
              </w:rPr>
              <w:fldChar w:fldCharType="end"/>
            </w:r>
          </w:hyperlink>
        </w:p>
        <w:p w14:paraId="09006915" w14:textId="5EBE41C6" w:rsidR="00DF65F3" w:rsidRDefault="00870777">
          <w:pPr>
            <w:pStyle w:val="Spistreci4"/>
            <w:rPr>
              <w:sz w:val="22"/>
              <w:lang w:val="en-GB" w:eastAsia="en-GB"/>
            </w:rPr>
          </w:pPr>
          <w:hyperlink w:anchor="_Toc12533160" w:history="1">
            <w:r w:rsidR="00DF65F3" w:rsidRPr="004815D6">
              <w:rPr>
                <w:rStyle w:val="Hipercze"/>
              </w:rPr>
              <w:t>CS ADR-DSN.L.595     Linie bezpieczeństwa na płycie postojowej</w:t>
            </w:r>
            <w:r w:rsidR="00DF65F3">
              <w:rPr>
                <w:webHidden/>
              </w:rPr>
              <w:tab/>
            </w:r>
            <w:r w:rsidR="00DF65F3">
              <w:rPr>
                <w:webHidden/>
              </w:rPr>
              <w:fldChar w:fldCharType="begin"/>
            </w:r>
            <w:r w:rsidR="00DF65F3">
              <w:rPr>
                <w:webHidden/>
              </w:rPr>
              <w:instrText xml:space="preserve"> PAGEREF _Toc12533160 \h </w:instrText>
            </w:r>
            <w:r w:rsidR="00DF65F3">
              <w:rPr>
                <w:webHidden/>
              </w:rPr>
            </w:r>
            <w:r w:rsidR="00DF65F3">
              <w:rPr>
                <w:webHidden/>
              </w:rPr>
              <w:fldChar w:fldCharType="separate"/>
            </w:r>
            <w:r w:rsidR="00F755B7">
              <w:rPr>
                <w:webHidden/>
              </w:rPr>
              <w:t>415</w:t>
            </w:r>
            <w:r w:rsidR="00DF65F3">
              <w:rPr>
                <w:webHidden/>
              </w:rPr>
              <w:fldChar w:fldCharType="end"/>
            </w:r>
          </w:hyperlink>
        </w:p>
        <w:p w14:paraId="6FCC0020" w14:textId="256786D2" w:rsidR="00DF65F3" w:rsidRDefault="00870777">
          <w:pPr>
            <w:pStyle w:val="Spistreci6"/>
            <w:rPr>
              <w:sz w:val="22"/>
              <w:lang w:val="en-GB" w:eastAsia="en-GB"/>
            </w:rPr>
          </w:pPr>
          <w:hyperlink w:anchor="_Toc12533161" w:history="1">
            <w:r w:rsidR="00DF65F3" w:rsidRPr="004815D6">
              <w:rPr>
                <w:rStyle w:val="Hipercze"/>
              </w:rPr>
              <w:t>GM1 ADR-DSN.L.595     Linie bezpieczeństwa na płycie postojowej</w:t>
            </w:r>
            <w:r w:rsidR="00DF65F3">
              <w:rPr>
                <w:webHidden/>
              </w:rPr>
              <w:tab/>
            </w:r>
            <w:r w:rsidR="00DF65F3">
              <w:rPr>
                <w:webHidden/>
              </w:rPr>
              <w:fldChar w:fldCharType="begin"/>
            </w:r>
            <w:r w:rsidR="00DF65F3">
              <w:rPr>
                <w:webHidden/>
              </w:rPr>
              <w:instrText xml:space="preserve"> PAGEREF _Toc12533161 \h </w:instrText>
            </w:r>
            <w:r w:rsidR="00DF65F3">
              <w:rPr>
                <w:webHidden/>
              </w:rPr>
            </w:r>
            <w:r w:rsidR="00DF65F3">
              <w:rPr>
                <w:webHidden/>
              </w:rPr>
              <w:fldChar w:fldCharType="separate"/>
            </w:r>
            <w:r w:rsidR="00F755B7">
              <w:rPr>
                <w:webHidden/>
              </w:rPr>
              <w:t>415</w:t>
            </w:r>
            <w:r w:rsidR="00DF65F3">
              <w:rPr>
                <w:webHidden/>
              </w:rPr>
              <w:fldChar w:fldCharType="end"/>
            </w:r>
          </w:hyperlink>
        </w:p>
        <w:p w14:paraId="002DBFFE" w14:textId="532393F4" w:rsidR="00DF65F3" w:rsidRDefault="00870777">
          <w:pPr>
            <w:pStyle w:val="Spistreci4"/>
            <w:rPr>
              <w:sz w:val="22"/>
              <w:lang w:val="en-GB" w:eastAsia="en-GB"/>
            </w:rPr>
          </w:pPr>
          <w:hyperlink w:anchor="_Toc12533162" w:history="1">
            <w:r w:rsidR="00DF65F3" w:rsidRPr="004815D6">
              <w:rPr>
                <w:rStyle w:val="Hipercze"/>
              </w:rPr>
              <w:t>CS ADR-DSN.L.597     Drogi serwisowe na płycie postojowej</w:t>
            </w:r>
            <w:r w:rsidR="00DF65F3">
              <w:rPr>
                <w:webHidden/>
              </w:rPr>
              <w:tab/>
            </w:r>
            <w:r w:rsidR="00DF65F3">
              <w:rPr>
                <w:webHidden/>
              </w:rPr>
              <w:fldChar w:fldCharType="begin"/>
            </w:r>
            <w:r w:rsidR="00DF65F3">
              <w:rPr>
                <w:webHidden/>
              </w:rPr>
              <w:instrText xml:space="preserve"> PAGEREF _Toc12533162 \h </w:instrText>
            </w:r>
            <w:r w:rsidR="00DF65F3">
              <w:rPr>
                <w:webHidden/>
              </w:rPr>
            </w:r>
            <w:r w:rsidR="00DF65F3">
              <w:rPr>
                <w:webHidden/>
              </w:rPr>
              <w:fldChar w:fldCharType="separate"/>
            </w:r>
            <w:r w:rsidR="00F755B7">
              <w:rPr>
                <w:webHidden/>
              </w:rPr>
              <w:t>416</w:t>
            </w:r>
            <w:r w:rsidR="00DF65F3">
              <w:rPr>
                <w:webHidden/>
              </w:rPr>
              <w:fldChar w:fldCharType="end"/>
            </w:r>
          </w:hyperlink>
        </w:p>
        <w:p w14:paraId="762B2A31" w14:textId="0C468AB3" w:rsidR="00DF65F3" w:rsidRDefault="00870777">
          <w:pPr>
            <w:pStyle w:val="Spistreci6"/>
            <w:rPr>
              <w:sz w:val="22"/>
              <w:lang w:val="en-GB" w:eastAsia="en-GB"/>
            </w:rPr>
          </w:pPr>
          <w:hyperlink w:anchor="_Toc12533163" w:history="1">
            <w:r w:rsidR="00DF65F3" w:rsidRPr="004815D6">
              <w:rPr>
                <w:rStyle w:val="Hipercze"/>
              </w:rPr>
              <w:t>GM1 ADR-DSN.L.597     Oznakowanie dróg serwisowych na płycie postojowej</w:t>
            </w:r>
            <w:r w:rsidR="00DF65F3">
              <w:rPr>
                <w:webHidden/>
              </w:rPr>
              <w:tab/>
            </w:r>
            <w:r w:rsidR="00DF65F3">
              <w:rPr>
                <w:webHidden/>
              </w:rPr>
              <w:fldChar w:fldCharType="begin"/>
            </w:r>
            <w:r w:rsidR="00DF65F3">
              <w:rPr>
                <w:webHidden/>
              </w:rPr>
              <w:instrText xml:space="preserve"> PAGEREF _Toc12533163 \h </w:instrText>
            </w:r>
            <w:r w:rsidR="00DF65F3">
              <w:rPr>
                <w:webHidden/>
              </w:rPr>
            </w:r>
            <w:r w:rsidR="00DF65F3">
              <w:rPr>
                <w:webHidden/>
              </w:rPr>
              <w:fldChar w:fldCharType="separate"/>
            </w:r>
            <w:r w:rsidR="00F755B7">
              <w:rPr>
                <w:webHidden/>
              </w:rPr>
              <w:t>416</w:t>
            </w:r>
            <w:r w:rsidR="00DF65F3">
              <w:rPr>
                <w:webHidden/>
              </w:rPr>
              <w:fldChar w:fldCharType="end"/>
            </w:r>
          </w:hyperlink>
        </w:p>
        <w:p w14:paraId="70FE9F79" w14:textId="04C96159" w:rsidR="00DF65F3" w:rsidRDefault="00870777">
          <w:pPr>
            <w:pStyle w:val="Spistreci4"/>
            <w:rPr>
              <w:sz w:val="22"/>
              <w:lang w:val="en-GB" w:eastAsia="en-GB"/>
            </w:rPr>
          </w:pPr>
          <w:hyperlink w:anchor="_Toc12533164" w:history="1">
            <w:r w:rsidR="00DF65F3" w:rsidRPr="004815D6">
              <w:rPr>
                <w:rStyle w:val="Hipercze"/>
              </w:rPr>
              <w:t>CS ADR-DSN.L.600     Oznakowanie miejsca oczekiwania na drodze ruchu kołowego</w:t>
            </w:r>
            <w:r w:rsidR="00DF65F3">
              <w:rPr>
                <w:webHidden/>
              </w:rPr>
              <w:tab/>
            </w:r>
            <w:r w:rsidR="00DF65F3">
              <w:rPr>
                <w:webHidden/>
              </w:rPr>
              <w:fldChar w:fldCharType="begin"/>
            </w:r>
            <w:r w:rsidR="00DF65F3">
              <w:rPr>
                <w:webHidden/>
              </w:rPr>
              <w:instrText xml:space="preserve"> PAGEREF _Toc12533164 \h </w:instrText>
            </w:r>
            <w:r w:rsidR="00DF65F3">
              <w:rPr>
                <w:webHidden/>
              </w:rPr>
            </w:r>
            <w:r w:rsidR="00DF65F3">
              <w:rPr>
                <w:webHidden/>
              </w:rPr>
              <w:fldChar w:fldCharType="separate"/>
            </w:r>
            <w:r w:rsidR="00F755B7">
              <w:rPr>
                <w:webHidden/>
              </w:rPr>
              <w:t>417</w:t>
            </w:r>
            <w:r w:rsidR="00DF65F3">
              <w:rPr>
                <w:webHidden/>
              </w:rPr>
              <w:fldChar w:fldCharType="end"/>
            </w:r>
          </w:hyperlink>
        </w:p>
        <w:p w14:paraId="7338CEFA" w14:textId="1EDF42CE" w:rsidR="00DF65F3" w:rsidRDefault="00870777">
          <w:pPr>
            <w:pStyle w:val="Spistreci6"/>
            <w:rPr>
              <w:sz w:val="22"/>
              <w:lang w:val="en-GB" w:eastAsia="en-GB"/>
            </w:rPr>
          </w:pPr>
          <w:hyperlink w:anchor="_Toc12533165" w:history="1">
            <w:r w:rsidR="00DF65F3" w:rsidRPr="004815D6">
              <w:rPr>
                <w:rStyle w:val="Hipercze"/>
              </w:rPr>
              <w:t>M1 ADR-DSN.L.600      Oznakowanie miejsca oczekiwania na drodze ruchu kołowego</w:t>
            </w:r>
            <w:r w:rsidR="00DF65F3">
              <w:rPr>
                <w:webHidden/>
              </w:rPr>
              <w:tab/>
            </w:r>
            <w:r w:rsidR="00DF65F3">
              <w:rPr>
                <w:webHidden/>
              </w:rPr>
              <w:fldChar w:fldCharType="begin"/>
            </w:r>
            <w:r w:rsidR="00DF65F3">
              <w:rPr>
                <w:webHidden/>
              </w:rPr>
              <w:instrText xml:space="preserve"> PAGEREF _Toc12533165 \h </w:instrText>
            </w:r>
            <w:r w:rsidR="00DF65F3">
              <w:rPr>
                <w:webHidden/>
              </w:rPr>
            </w:r>
            <w:r w:rsidR="00DF65F3">
              <w:rPr>
                <w:webHidden/>
              </w:rPr>
              <w:fldChar w:fldCharType="separate"/>
            </w:r>
            <w:r w:rsidR="00F755B7">
              <w:rPr>
                <w:webHidden/>
              </w:rPr>
              <w:t>417</w:t>
            </w:r>
            <w:r w:rsidR="00DF65F3">
              <w:rPr>
                <w:webHidden/>
              </w:rPr>
              <w:fldChar w:fldCharType="end"/>
            </w:r>
          </w:hyperlink>
        </w:p>
        <w:p w14:paraId="65694DEB" w14:textId="422A58E3" w:rsidR="00DF65F3" w:rsidRDefault="00870777">
          <w:pPr>
            <w:pStyle w:val="Spistreci4"/>
            <w:rPr>
              <w:sz w:val="22"/>
              <w:lang w:val="en-GB" w:eastAsia="en-GB"/>
            </w:rPr>
          </w:pPr>
          <w:hyperlink w:anchor="_Toc12533166" w:history="1">
            <w:r w:rsidR="00DF65F3" w:rsidRPr="004815D6">
              <w:rPr>
                <w:rStyle w:val="Hipercze"/>
              </w:rPr>
              <w:t>CS ADR-DSN.L.605     Oznakowanie nakazu</w:t>
            </w:r>
            <w:r w:rsidR="00DF65F3">
              <w:rPr>
                <w:webHidden/>
              </w:rPr>
              <w:tab/>
            </w:r>
            <w:r w:rsidR="00DF65F3">
              <w:rPr>
                <w:webHidden/>
              </w:rPr>
              <w:fldChar w:fldCharType="begin"/>
            </w:r>
            <w:r w:rsidR="00DF65F3">
              <w:rPr>
                <w:webHidden/>
              </w:rPr>
              <w:instrText xml:space="preserve"> PAGEREF _Toc12533166 \h </w:instrText>
            </w:r>
            <w:r w:rsidR="00DF65F3">
              <w:rPr>
                <w:webHidden/>
              </w:rPr>
            </w:r>
            <w:r w:rsidR="00DF65F3">
              <w:rPr>
                <w:webHidden/>
              </w:rPr>
              <w:fldChar w:fldCharType="separate"/>
            </w:r>
            <w:r w:rsidR="00F755B7">
              <w:rPr>
                <w:webHidden/>
              </w:rPr>
              <w:t>418</w:t>
            </w:r>
            <w:r w:rsidR="00DF65F3">
              <w:rPr>
                <w:webHidden/>
              </w:rPr>
              <w:fldChar w:fldCharType="end"/>
            </w:r>
          </w:hyperlink>
        </w:p>
        <w:p w14:paraId="13DF2F61" w14:textId="4F3BB525" w:rsidR="00DF65F3" w:rsidRDefault="00870777">
          <w:pPr>
            <w:pStyle w:val="Spistreci6"/>
            <w:rPr>
              <w:sz w:val="22"/>
              <w:lang w:val="en-GB" w:eastAsia="en-GB"/>
            </w:rPr>
          </w:pPr>
          <w:hyperlink w:anchor="_Toc12533167" w:history="1">
            <w:r w:rsidR="00DF65F3" w:rsidRPr="004815D6">
              <w:rPr>
                <w:rStyle w:val="Hipercze"/>
              </w:rPr>
              <w:t>GM1 ADR-DSN.L.605     Oznakowanie nakazu</w:t>
            </w:r>
            <w:r w:rsidR="00DF65F3">
              <w:rPr>
                <w:webHidden/>
              </w:rPr>
              <w:tab/>
            </w:r>
            <w:r w:rsidR="00DF65F3">
              <w:rPr>
                <w:webHidden/>
              </w:rPr>
              <w:fldChar w:fldCharType="begin"/>
            </w:r>
            <w:r w:rsidR="00DF65F3">
              <w:rPr>
                <w:webHidden/>
              </w:rPr>
              <w:instrText xml:space="preserve"> PAGEREF _Toc12533167 \h </w:instrText>
            </w:r>
            <w:r w:rsidR="00DF65F3">
              <w:rPr>
                <w:webHidden/>
              </w:rPr>
            </w:r>
            <w:r w:rsidR="00DF65F3">
              <w:rPr>
                <w:webHidden/>
              </w:rPr>
              <w:fldChar w:fldCharType="separate"/>
            </w:r>
            <w:r w:rsidR="00F755B7">
              <w:rPr>
                <w:webHidden/>
              </w:rPr>
              <w:t>420</w:t>
            </w:r>
            <w:r w:rsidR="00DF65F3">
              <w:rPr>
                <w:webHidden/>
              </w:rPr>
              <w:fldChar w:fldCharType="end"/>
            </w:r>
          </w:hyperlink>
        </w:p>
        <w:p w14:paraId="74294B24" w14:textId="01186BE7" w:rsidR="00DF65F3" w:rsidRDefault="00870777">
          <w:pPr>
            <w:pStyle w:val="Spistreci4"/>
            <w:rPr>
              <w:sz w:val="22"/>
              <w:lang w:val="en-GB" w:eastAsia="en-GB"/>
            </w:rPr>
          </w:pPr>
          <w:hyperlink w:anchor="_Toc12533168" w:history="1">
            <w:r w:rsidR="00DF65F3" w:rsidRPr="004815D6">
              <w:rPr>
                <w:rStyle w:val="Hipercze"/>
              </w:rPr>
              <w:t>CS ADR-DSN.L.610     Oznakowanie informacyjne</w:t>
            </w:r>
            <w:r w:rsidR="00DF65F3">
              <w:rPr>
                <w:webHidden/>
              </w:rPr>
              <w:tab/>
            </w:r>
            <w:r w:rsidR="00DF65F3">
              <w:rPr>
                <w:webHidden/>
              </w:rPr>
              <w:fldChar w:fldCharType="begin"/>
            </w:r>
            <w:r w:rsidR="00DF65F3">
              <w:rPr>
                <w:webHidden/>
              </w:rPr>
              <w:instrText xml:space="preserve"> PAGEREF _Toc12533168 \h </w:instrText>
            </w:r>
            <w:r w:rsidR="00DF65F3">
              <w:rPr>
                <w:webHidden/>
              </w:rPr>
            </w:r>
            <w:r w:rsidR="00DF65F3">
              <w:rPr>
                <w:webHidden/>
              </w:rPr>
              <w:fldChar w:fldCharType="separate"/>
            </w:r>
            <w:r w:rsidR="00F755B7">
              <w:rPr>
                <w:webHidden/>
              </w:rPr>
              <w:t>421</w:t>
            </w:r>
            <w:r w:rsidR="00DF65F3">
              <w:rPr>
                <w:webHidden/>
              </w:rPr>
              <w:fldChar w:fldCharType="end"/>
            </w:r>
          </w:hyperlink>
        </w:p>
        <w:p w14:paraId="6F34990A" w14:textId="37CE37C4" w:rsidR="00DF65F3" w:rsidRDefault="00870777">
          <w:pPr>
            <w:pStyle w:val="Spistreci6"/>
            <w:rPr>
              <w:sz w:val="22"/>
              <w:lang w:val="en-GB" w:eastAsia="en-GB"/>
            </w:rPr>
          </w:pPr>
          <w:hyperlink w:anchor="_Toc12533169" w:history="1">
            <w:r w:rsidR="00DF65F3" w:rsidRPr="004815D6">
              <w:rPr>
                <w:rStyle w:val="Hipercze"/>
              </w:rPr>
              <w:t>GM1 ADR-DSN.L.610     Oznakowanie informacyjne</w:t>
            </w:r>
            <w:r w:rsidR="00DF65F3">
              <w:rPr>
                <w:webHidden/>
              </w:rPr>
              <w:tab/>
            </w:r>
            <w:r w:rsidR="00DF65F3">
              <w:rPr>
                <w:webHidden/>
              </w:rPr>
              <w:fldChar w:fldCharType="begin"/>
            </w:r>
            <w:r w:rsidR="00DF65F3">
              <w:rPr>
                <w:webHidden/>
              </w:rPr>
              <w:instrText xml:space="preserve"> PAGEREF _Toc12533169 \h </w:instrText>
            </w:r>
            <w:r w:rsidR="00DF65F3">
              <w:rPr>
                <w:webHidden/>
              </w:rPr>
            </w:r>
            <w:r w:rsidR="00DF65F3">
              <w:rPr>
                <w:webHidden/>
              </w:rPr>
              <w:fldChar w:fldCharType="separate"/>
            </w:r>
            <w:r w:rsidR="00F755B7">
              <w:rPr>
                <w:webHidden/>
              </w:rPr>
              <w:t>426</w:t>
            </w:r>
            <w:r w:rsidR="00DF65F3">
              <w:rPr>
                <w:webHidden/>
              </w:rPr>
              <w:fldChar w:fldCharType="end"/>
            </w:r>
          </w:hyperlink>
        </w:p>
        <w:p w14:paraId="4FE0034D" w14:textId="52EE5358" w:rsidR="00DF65F3" w:rsidRDefault="00870777">
          <w:pPr>
            <w:pStyle w:val="Spistreci2"/>
            <w:rPr>
              <w:rFonts w:asciiTheme="minorHAnsi" w:eastAsiaTheme="minorEastAsia" w:hAnsiTheme="minorHAnsi" w:cstheme="minorBidi"/>
              <w:sz w:val="22"/>
              <w:lang w:val="en-GB" w:eastAsia="en-GB"/>
            </w:rPr>
          </w:pPr>
          <w:hyperlink w:anchor="_Toc12533170" w:history="1">
            <w:r w:rsidR="00DF65F3" w:rsidRPr="004815D6">
              <w:rPr>
                <w:rStyle w:val="Hipercze"/>
              </w:rPr>
              <w:t>ROZDZIAŁ M — POMOCE WZROKOWE DLA NAWIGACJI (ŚWIATŁA)</w:t>
            </w:r>
            <w:r w:rsidR="00DF65F3">
              <w:rPr>
                <w:webHidden/>
              </w:rPr>
              <w:tab/>
            </w:r>
            <w:r w:rsidR="00DF65F3">
              <w:rPr>
                <w:webHidden/>
              </w:rPr>
              <w:fldChar w:fldCharType="begin"/>
            </w:r>
            <w:r w:rsidR="00DF65F3">
              <w:rPr>
                <w:webHidden/>
              </w:rPr>
              <w:instrText xml:space="preserve"> PAGEREF _Toc12533170 \h </w:instrText>
            </w:r>
            <w:r w:rsidR="00DF65F3">
              <w:rPr>
                <w:webHidden/>
              </w:rPr>
            </w:r>
            <w:r w:rsidR="00DF65F3">
              <w:rPr>
                <w:webHidden/>
              </w:rPr>
              <w:fldChar w:fldCharType="separate"/>
            </w:r>
            <w:r w:rsidR="00F755B7">
              <w:rPr>
                <w:webHidden/>
              </w:rPr>
              <w:t>427</w:t>
            </w:r>
            <w:r w:rsidR="00DF65F3">
              <w:rPr>
                <w:webHidden/>
              </w:rPr>
              <w:fldChar w:fldCharType="end"/>
            </w:r>
          </w:hyperlink>
        </w:p>
        <w:p w14:paraId="5FEB85C0" w14:textId="4E68C65A" w:rsidR="00DF65F3" w:rsidRDefault="00870777">
          <w:pPr>
            <w:pStyle w:val="Spistreci4"/>
            <w:rPr>
              <w:sz w:val="22"/>
              <w:lang w:val="en-GB" w:eastAsia="en-GB"/>
            </w:rPr>
          </w:pPr>
          <w:hyperlink w:anchor="_Toc12533171" w:history="1">
            <w:r w:rsidR="00DF65F3" w:rsidRPr="004815D6">
              <w:rPr>
                <w:rStyle w:val="Hipercze"/>
              </w:rPr>
              <w:t xml:space="preserve">CS ADR-DSN.M.615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_Toc12533171 \h </w:instrText>
            </w:r>
            <w:r w:rsidR="00DF65F3">
              <w:rPr>
                <w:webHidden/>
              </w:rPr>
            </w:r>
            <w:r w:rsidR="00DF65F3">
              <w:rPr>
                <w:webHidden/>
              </w:rPr>
              <w:fldChar w:fldCharType="separate"/>
            </w:r>
            <w:r w:rsidR="00F755B7">
              <w:rPr>
                <w:webHidden/>
              </w:rPr>
              <w:t>427</w:t>
            </w:r>
            <w:r w:rsidR="00DF65F3">
              <w:rPr>
                <w:webHidden/>
              </w:rPr>
              <w:fldChar w:fldCharType="end"/>
            </w:r>
          </w:hyperlink>
        </w:p>
        <w:p w14:paraId="6976FC5A" w14:textId="041E2875" w:rsidR="00DF65F3" w:rsidRDefault="00870777">
          <w:pPr>
            <w:pStyle w:val="Spistreci6"/>
            <w:rPr>
              <w:sz w:val="22"/>
              <w:lang w:val="en-GB" w:eastAsia="en-GB"/>
            </w:rPr>
          </w:pPr>
          <w:hyperlink w:anchor="_Toc12533172" w:history="1">
            <w:r w:rsidR="00DF65F3" w:rsidRPr="004815D6">
              <w:rPr>
                <w:rStyle w:val="Hipercze"/>
              </w:rPr>
              <w:t xml:space="preserve">GM1 ADR-DSN.M.615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_Toc12533172 \h </w:instrText>
            </w:r>
            <w:r w:rsidR="00DF65F3">
              <w:rPr>
                <w:webHidden/>
              </w:rPr>
            </w:r>
            <w:r w:rsidR="00DF65F3">
              <w:rPr>
                <w:webHidden/>
              </w:rPr>
              <w:fldChar w:fldCharType="separate"/>
            </w:r>
            <w:r w:rsidR="00F755B7">
              <w:rPr>
                <w:webHidden/>
              </w:rPr>
              <w:t>428</w:t>
            </w:r>
            <w:r w:rsidR="00DF65F3">
              <w:rPr>
                <w:webHidden/>
              </w:rPr>
              <w:fldChar w:fldCharType="end"/>
            </w:r>
          </w:hyperlink>
        </w:p>
        <w:p w14:paraId="14BBEE3A" w14:textId="4AAC3444" w:rsidR="00DF65F3" w:rsidRDefault="00870777">
          <w:pPr>
            <w:pStyle w:val="Spistreci4"/>
            <w:rPr>
              <w:sz w:val="22"/>
              <w:lang w:val="en-GB" w:eastAsia="en-GB"/>
            </w:rPr>
          </w:pPr>
          <w:hyperlink w:anchor="_Toc12533173" w:history="1">
            <w:r w:rsidR="00DF65F3" w:rsidRPr="004815D6">
              <w:rPr>
                <w:rStyle w:val="Hipercze"/>
              </w:rPr>
              <w:t>CS ADR-DSN.M.620     Latarnie lotnicze</w:t>
            </w:r>
            <w:r w:rsidR="00DF65F3">
              <w:rPr>
                <w:webHidden/>
              </w:rPr>
              <w:tab/>
            </w:r>
            <w:r w:rsidR="00DF65F3">
              <w:rPr>
                <w:webHidden/>
              </w:rPr>
              <w:fldChar w:fldCharType="begin"/>
            </w:r>
            <w:r w:rsidR="00DF65F3">
              <w:rPr>
                <w:webHidden/>
              </w:rPr>
              <w:instrText xml:space="preserve"> PAGEREF _Toc12533173 \h </w:instrText>
            </w:r>
            <w:r w:rsidR="00DF65F3">
              <w:rPr>
                <w:webHidden/>
              </w:rPr>
            </w:r>
            <w:r w:rsidR="00DF65F3">
              <w:rPr>
                <w:webHidden/>
              </w:rPr>
              <w:fldChar w:fldCharType="separate"/>
            </w:r>
            <w:r w:rsidR="00F755B7">
              <w:rPr>
                <w:webHidden/>
              </w:rPr>
              <w:t>430</w:t>
            </w:r>
            <w:r w:rsidR="00DF65F3">
              <w:rPr>
                <w:webHidden/>
              </w:rPr>
              <w:fldChar w:fldCharType="end"/>
            </w:r>
          </w:hyperlink>
        </w:p>
        <w:p w14:paraId="08AEDF45" w14:textId="6FC2C313" w:rsidR="00DF65F3" w:rsidRDefault="00870777">
          <w:pPr>
            <w:pStyle w:val="Spistreci6"/>
            <w:rPr>
              <w:sz w:val="22"/>
              <w:lang w:val="en-GB" w:eastAsia="en-GB"/>
            </w:rPr>
          </w:pPr>
          <w:hyperlink w:anchor="_Toc12533174" w:history="1">
            <w:r w:rsidR="00DF65F3" w:rsidRPr="004815D6">
              <w:rPr>
                <w:rStyle w:val="Hipercze"/>
              </w:rPr>
              <w:t>GM1 ADR-DSN.M.620     Latarnie lotnicze</w:t>
            </w:r>
            <w:r w:rsidR="00DF65F3">
              <w:rPr>
                <w:webHidden/>
              </w:rPr>
              <w:tab/>
            </w:r>
            <w:r w:rsidR="00DF65F3">
              <w:rPr>
                <w:webHidden/>
              </w:rPr>
              <w:fldChar w:fldCharType="begin"/>
            </w:r>
            <w:r w:rsidR="00DF65F3">
              <w:rPr>
                <w:webHidden/>
              </w:rPr>
              <w:instrText xml:space="preserve"> PAGEREF _Toc12533174 \h </w:instrText>
            </w:r>
            <w:r w:rsidR="00DF65F3">
              <w:rPr>
                <w:webHidden/>
              </w:rPr>
            </w:r>
            <w:r w:rsidR="00DF65F3">
              <w:rPr>
                <w:webHidden/>
              </w:rPr>
              <w:fldChar w:fldCharType="separate"/>
            </w:r>
            <w:r w:rsidR="00F755B7">
              <w:rPr>
                <w:webHidden/>
              </w:rPr>
              <w:t>431</w:t>
            </w:r>
            <w:r w:rsidR="00DF65F3">
              <w:rPr>
                <w:webHidden/>
              </w:rPr>
              <w:fldChar w:fldCharType="end"/>
            </w:r>
          </w:hyperlink>
        </w:p>
        <w:p w14:paraId="37B81662" w14:textId="51C543BA" w:rsidR="00DF65F3" w:rsidRDefault="00870777">
          <w:pPr>
            <w:pStyle w:val="Spistreci4"/>
            <w:rPr>
              <w:sz w:val="22"/>
              <w:lang w:val="en-GB" w:eastAsia="en-GB"/>
            </w:rPr>
          </w:pPr>
          <w:hyperlink w:anchor="_Toc12533175" w:history="1">
            <w:r w:rsidR="00DF65F3" w:rsidRPr="004815D6">
              <w:rPr>
                <w:rStyle w:val="Hipercze"/>
              </w:rPr>
              <w:t>CS ADR-DSN.M.625     Systemy świateł podejścia</w:t>
            </w:r>
            <w:r w:rsidR="00DF65F3">
              <w:rPr>
                <w:webHidden/>
              </w:rPr>
              <w:tab/>
            </w:r>
            <w:r w:rsidR="00DF65F3">
              <w:rPr>
                <w:webHidden/>
              </w:rPr>
              <w:fldChar w:fldCharType="begin"/>
            </w:r>
            <w:r w:rsidR="00DF65F3">
              <w:rPr>
                <w:webHidden/>
              </w:rPr>
              <w:instrText xml:space="preserve"> PAGEREF _Toc12533175 \h </w:instrText>
            </w:r>
            <w:r w:rsidR="00DF65F3">
              <w:rPr>
                <w:webHidden/>
              </w:rPr>
            </w:r>
            <w:r w:rsidR="00DF65F3">
              <w:rPr>
                <w:webHidden/>
              </w:rPr>
              <w:fldChar w:fldCharType="separate"/>
            </w:r>
            <w:r w:rsidR="00F755B7">
              <w:rPr>
                <w:webHidden/>
              </w:rPr>
              <w:t>431</w:t>
            </w:r>
            <w:r w:rsidR="00DF65F3">
              <w:rPr>
                <w:webHidden/>
              </w:rPr>
              <w:fldChar w:fldCharType="end"/>
            </w:r>
          </w:hyperlink>
        </w:p>
        <w:p w14:paraId="2C3F8FE9" w14:textId="57BEFD6D" w:rsidR="00DF65F3" w:rsidRDefault="00870777">
          <w:pPr>
            <w:pStyle w:val="Spistreci6"/>
            <w:rPr>
              <w:sz w:val="22"/>
              <w:lang w:val="en-GB" w:eastAsia="en-GB"/>
            </w:rPr>
          </w:pPr>
          <w:hyperlink w:anchor="_Toc12533176" w:history="1">
            <w:r w:rsidR="00DF65F3" w:rsidRPr="004815D6">
              <w:rPr>
                <w:rStyle w:val="Hipercze"/>
              </w:rPr>
              <w:t>GM1 ADR-DSN.M.625     Systemy świateł podejścia</w:t>
            </w:r>
            <w:r w:rsidR="00DF65F3">
              <w:rPr>
                <w:webHidden/>
              </w:rPr>
              <w:tab/>
            </w:r>
            <w:r w:rsidR="00DF65F3">
              <w:rPr>
                <w:webHidden/>
              </w:rPr>
              <w:fldChar w:fldCharType="begin"/>
            </w:r>
            <w:r w:rsidR="00DF65F3">
              <w:rPr>
                <w:webHidden/>
              </w:rPr>
              <w:instrText xml:space="preserve"> PAGEREF _Toc12533176 \h </w:instrText>
            </w:r>
            <w:r w:rsidR="00DF65F3">
              <w:rPr>
                <w:webHidden/>
              </w:rPr>
            </w:r>
            <w:r w:rsidR="00DF65F3">
              <w:rPr>
                <w:webHidden/>
              </w:rPr>
              <w:fldChar w:fldCharType="separate"/>
            </w:r>
            <w:r w:rsidR="00F755B7">
              <w:rPr>
                <w:webHidden/>
              </w:rPr>
              <w:t>432</w:t>
            </w:r>
            <w:r w:rsidR="00DF65F3">
              <w:rPr>
                <w:webHidden/>
              </w:rPr>
              <w:fldChar w:fldCharType="end"/>
            </w:r>
          </w:hyperlink>
        </w:p>
        <w:p w14:paraId="1D809D1C" w14:textId="76438642" w:rsidR="00DF65F3" w:rsidRDefault="00870777">
          <w:pPr>
            <w:pStyle w:val="Spistreci4"/>
            <w:rPr>
              <w:sz w:val="22"/>
              <w:lang w:val="en-GB" w:eastAsia="en-GB"/>
            </w:rPr>
          </w:pPr>
          <w:hyperlink w:anchor="_Toc12533177" w:history="1">
            <w:r w:rsidR="00DF65F3" w:rsidRPr="004815D6">
              <w:rPr>
                <w:rStyle w:val="Hipercze"/>
              </w:rPr>
              <w:t>CS ADR-DSN.M.626     Prosty system świateł podejścia</w:t>
            </w:r>
            <w:r w:rsidR="00DF65F3">
              <w:rPr>
                <w:webHidden/>
              </w:rPr>
              <w:tab/>
            </w:r>
            <w:r w:rsidR="00DF65F3">
              <w:rPr>
                <w:webHidden/>
              </w:rPr>
              <w:fldChar w:fldCharType="begin"/>
            </w:r>
            <w:r w:rsidR="00DF65F3">
              <w:rPr>
                <w:webHidden/>
              </w:rPr>
              <w:instrText xml:space="preserve"> PAGEREF _Toc12533177 \h </w:instrText>
            </w:r>
            <w:r w:rsidR="00DF65F3">
              <w:rPr>
                <w:webHidden/>
              </w:rPr>
            </w:r>
            <w:r w:rsidR="00DF65F3">
              <w:rPr>
                <w:webHidden/>
              </w:rPr>
              <w:fldChar w:fldCharType="separate"/>
            </w:r>
            <w:r w:rsidR="00F755B7">
              <w:rPr>
                <w:webHidden/>
              </w:rPr>
              <w:t>439</w:t>
            </w:r>
            <w:r w:rsidR="00DF65F3">
              <w:rPr>
                <w:webHidden/>
              </w:rPr>
              <w:fldChar w:fldCharType="end"/>
            </w:r>
          </w:hyperlink>
        </w:p>
        <w:p w14:paraId="6A180F3D" w14:textId="037D0B16" w:rsidR="00DF65F3" w:rsidRDefault="00870777">
          <w:pPr>
            <w:pStyle w:val="Spistreci6"/>
            <w:rPr>
              <w:sz w:val="22"/>
              <w:lang w:val="en-GB" w:eastAsia="en-GB"/>
            </w:rPr>
          </w:pPr>
          <w:hyperlink w:anchor="_Toc12533178" w:history="1">
            <w:r w:rsidR="00DF65F3" w:rsidRPr="004815D6">
              <w:rPr>
                <w:rStyle w:val="Hipercze"/>
              </w:rPr>
              <w:t>GM1 ADR-DSN.M.626     Prosty system świateł podejścia</w:t>
            </w:r>
            <w:r w:rsidR="00DF65F3">
              <w:rPr>
                <w:webHidden/>
              </w:rPr>
              <w:tab/>
            </w:r>
            <w:r w:rsidR="00DF65F3">
              <w:rPr>
                <w:webHidden/>
              </w:rPr>
              <w:fldChar w:fldCharType="begin"/>
            </w:r>
            <w:r w:rsidR="00DF65F3">
              <w:rPr>
                <w:webHidden/>
              </w:rPr>
              <w:instrText xml:space="preserve"> PAGEREF _Toc12533178 \h </w:instrText>
            </w:r>
            <w:r w:rsidR="00DF65F3">
              <w:rPr>
                <w:webHidden/>
              </w:rPr>
            </w:r>
            <w:r w:rsidR="00DF65F3">
              <w:rPr>
                <w:webHidden/>
              </w:rPr>
              <w:fldChar w:fldCharType="separate"/>
            </w:r>
            <w:r w:rsidR="00F755B7">
              <w:rPr>
                <w:webHidden/>
              </w:rPr>
              <w:t>441</w:t>
            </w:r>
            <w:r w:rsidR="00DF65F3">
              <w:rPr>
                <w:webHidden/>
              </w:rPr>
              <w:fldChar w:fldCharType="end"/>
            </w:r>
          </w:hyperlink>
        </w:p>
        <w:p w14:paraId="380D8FB8" w14:textId="1151C793" w:rsidR="00DF65F3" w:rsidRDefault="00870777">
          <w:pPr>
            <w:pStyle w:val="Spistreci4"/>
            <w:rPr>
              <w:sz w:val="22"/>
              <w:lang w:val="en-GB" w:eastAsia="en-GB"/>
            </w:rPr>
          </w:pPr>
          <w:hyperlink w:anchor="_Toc12533179" w:history="1">
            <w:r w:rsidR="00DF65F3" w:rsidRPr="004815D6">
              <w:rPr>
                <w:rStyle w:val="Hipercze"/>
              </w:rPr>
              <w:t>CS ADR-DSN.M.630     System świateł podejścia precyzyjnego kategorii I</w:t>
            </w:r>
            <w:r w:rsidR="00DF65F3">
              <w:rPr>
                <w:webHidden/>
              </w:rPr>
              <w:tab/>
            </w:r>
            <w:r w:rsidR="00DF65F3">
              <w:rPr>
                <w:webHidden/>
              </w:rPr>
              <w:fldChar w:fldCharType="begin"/>
            </w:r>
            <w:r w:rsidR="00DF65F3">
              <w:rPr>
                <w:webHidden/>
              </w:rPr>
              <w:instrText xml:space="preserve"> PAGEREF _Toc12533179 \h </w:instrText>
            </w:r>
            <w:r w:rsidR="00DF65F3">
              <w:rPr>
                <w:webHidden/>
              </w:rPr>
            </w:r>
            <w:r w:rsidR="00DF65F3">
              <w:rPr>
                <w:webHidden/>
              </w:rPr>
              <w:fldChar w:fldCharType="separate"/>
            </w:r>
            <w:r w:rsidR="00F755B7">
              <w:rPr>
                <w:webHidden/>
              </w:rPr>
              <w:t>442</w:t>
            </w:r>
            <w:r w:rsidR="00DF65F3">
              <w:rPr>
                <w:webHidden/>
              </w:rPr>
              <w:fldChar w:fldCharType="end"/>
            </w:r>
          </w:hyperlink>
        </w:p>
        <w:p w14:paraId="7B4F69A5" w14:textId="0FB3A3FC" w:rsidR="00DF65F3" w:rsidRDefault="00870777">
          <w:pPr>
            <w:pStyle w:val="Spistreci6"/>
            <w:rPr>
              <w:sz w:val="22"/>
              <w:lang w:val="en-GB" w:eastAsia="en-GB"/>
            </w:rPr>
          </w:pPr>
          <w:hyperlink w:anchor="_Toc12533180" w:history="1">
            <w:r w:rsidR="00DF65F3" w:rsidRPr="004815D6">
              <w:rPr>
                <w:rStyle w:val="Hipercze"/>
              </w:rPr>
              <w:t>GM1 ADR-DSN.M.630     System świateł podejścia precyzyjnego kategorii I</w:t>
            </w:r>
            <w:r w:rsidR="00DF65F3">
              <w:rPr>
                <w:webHidden/>
              </w:rPr>
              <w:tab/>
            </w:r>
            <w:r w:rsidR="00DF65F3">
              <w:rPr>
                <w:webHidden/>
              </w:rPr>
              <w:fldChar w:fldCharType="begin"/>
            </w:r>
            <w:r w:rsidR="00DF65F3">
              <w:rPr>
                <w:webHidden/>
              </w:rPr>
              <w:instrText xml:space="preserve"> PAGEREF _Toc12533180 \h </w:instrText>
            </w:r>
            <w:r w:rsidR="00DF65F3">
              <w:rPr>
                <w:webHidden/>
              </w:rPr>
            </w:r>
            <w:r w:rsidR="00DF65F3">
              <w:rPr>
                <w:webHidden/>
              </w:rPr>
              <w:fldChar w:fldCharType="separate"/>
            </w:r>
            <w:r w:rsidR="00F755B7">
              <w:rPr>
                <w:webHidden/>
              </w:rPr>
              <w:t>445</w:t>
            </w:r>
            <w:r w:rsidR="00DF65F3">
              <w:rPr>
                <w:webHidden/>
              </w:rPr>
              <w:fldChar w:fldCharType="end"/>
            </w:r>
          </w:hyperlink>
        </w:p>
        <w:p w14:paraId="3094DD0C" w14:textId="0A12F1FE" w:rsidR="00DF65F3" w:rsidRDefault="00870777">
          <w:pPr>
            <w:pStyle w:val="Spistreci4"/>
            <w:rPr>
              <w:sz w:val="22"/>
              <w:lang w:val="en-GB" w:eastAsia="en-GB"/>
            </w:rPr>
          </w:pPr>
          <w:hyperlink w:anchor="_Toc12533181" w:history="1">
            <w:r w:rsidR="00DF65F3" w:rsidRPr="004815D6">
              <w:rPr>
                <w:rStyle w:val="Hipercze"/>
              </w:rPr>
              <w:t>CS ADR-DSN.M.635     System świateł podejścia precyzyjnego kategorii II i III</w:t>
            </w:r>
            <w:r w:rsidR="00DF65F3">
              <w:rPr>
                <w:webHidden/>
              </w:rPr>
              <w:tab/>
            </w:r>
            <w:r w:rsidR="00DF65F3">
              <w:rPr>
                <w:webHidden/>
              </w:rPr>
              <w:fldChar w:fldCharType="begin"/>
            </w:r>
            <w:r w:rsidR="00DF65F3">
              <w:rPr>
                <w:webHidden/>
              </w:rPr>
              <w:instrText xml:space="preserve"> PAGEREF _Toc12533181 \h </w:instrText>
            </w:r>
            <w:r w:rsidR="00DF65F3">
              <w:rPr>
                <w:webHidden/>
              </w:rPr>
            </w:r>
            <w:r w:rsidR="00DF65F3">
              <w:rPr>
                <w:webHidden/>
              </w:rPr>
              <w:fldChar w:fldCharType="separate"/>
            </w:r>
            <w:r w:rsidR="00F755B7">
              <w:rPr>
                <w:webHidden/>
              </w:rPr>
              <w:t>445</w:t>
            </w:r>
            <w:r w:rsidR="00DF65F3">
              <w:rPr>
                <w:webHidden/>
              </w:rPr>
              <w:fldChar w:fldCharType="end"/>
            </w:r>
          </w:hyperlink>
        </w:p>
        <w:p w14:paraId="59F0E3CF" w14:textId="3BD10AF9" w:rsidR="00DF65F3" w:rsidRDefault="00870777">
          <w:pPr>
            <w:pStyle w:val="Spistreci6"/>
            <w:rPr>
              <w:sz w:val="22"/>
              <w:lang w:val="en-GB" w:eastAsia="en-GB"/>
            </w:rPr>
          </w:pPr>
          <w:hyperlink w:anchor="_Toc12533182" w:history="1">
            <w:r w:rsidR="00DF65F3" w:rsidRPr="004815D6">
              <w:rPr>
                <w:rStyle w:val="Hipercze"/>
              </w:rPr>
              <w:t>GM1 ADR-DSN.M.635     System świateł podejścia precyzyjnego kategorii II i III</w:t>
            </w:r>
            <w:r w:rsidR="00DF65F3">
              <w:rPr>
                <w:webHidden/>
              </w:rPr>
              <w:tab/>
            </w:r>
            <w:r w:rsidR="00DF65F3">
              <w:rPr>
                <w:webHidden/>
              </w:rPr>
              <w:fldChar w:fldCharType="begin"/>
            </w:r>
            <w:r w:rsidR="00DF65F3">
              <w:rPr>
                <w:webHidden/>
              </w:rPr>
              <w:instrText xml:space="preserve"> PAGEREF _Toc12533182 \h </w:instrText>
            </w:r>
            <w:r w:rsidR="00DF65F3">
              <w:rPr>
                <w:webHidden/>
              </w:rPr>
            </w:r>
            <w:r w:rsidR="00DF65F3">
              <w:rPr>
                <w:webHidden/>
              </w:rPr>
              <w:fldChar w:fldCharType="separate"/>
            </w:r>
            <w:r w:rsidR="00F755B7">
              <w:rPr>
                <w:webHidden/>
              </w:rPr>
              <w:t>450</w:t>
            </w:r>
            <w:r w:rsidR="00DF65F3">
              <w:rPr>
                <w:webHidden/>
              </w:rPr>
              <w:fldChar w:fldCharType="end"/>
            </w:r>
          </w:hyperlink>
        </w:p>
        <w:p w14:paraId="09605CDC" w14:textId="2C5BBBF6" w:rsidR="00DF65F3" w:rsidRDefault="00870777">
          <w:pPr>
            <w:pStyle w:val="Spistreci4"/>
            <w:rPr>
              <w:sz w:val="22"/>
              <w:lang w:val="en-GB" w:eastAsia="en-GB"/>
            </w:rPr>
          </w:pPr>
          <w:hyperlink w:anchor="_Toc12533183" w:history="1">
            <w:r w:rsidR="00DF65F3" w:rsidRPr="004815D6">
              <w:rPr>
                <w:rStyle w:val="Hipercze"/>
              </w:rPr>
              <w:t>CS ADR-DSN.M.640     Systemy wzrokowych wskaźników ścieżki podejścia</w:t>
            </w:r>
            <w:r w:rsidR="00DF65F3">
              <w:rPr>
                <w:webHidden/>
              </w:rPr>
              <w:tab/>
            </w:r>
            <w:r w:rsidR="00DF65F3">
              <w:rPr>
                <w:webHidden/>
              </w:rPr>
              <w:fldChar w:fldCharType="begin"/>
            </w:r>
            <w:r w:rsidR="00DF65F3">
              <w:rPr>
                <w:webHidden/>
              </w:rPr>
              <w:instrText xml:space="preserve"> PAGEREF _Toc12533183 \h </w:instrText>
            </w:r>
            <w:r w:rsidR="00DF65F3">
              <w:rPr>
                <w:webHidden/>
              </w:rPr>
            </w:r>
            <w:r w:rsidR="00DF65F3">
              <w:rPr>
                <w:webHidden/>
              </w:rPr>
              <w:fldChar w:fldCharType="separate"/>
            </w:r>
            <w:r w:rsidR="00F755B7">
              <w:rPr>
                <w:webHidden/>
              </w:rPr>
              <w:t>450</w:t>
            </w:r>
            <w:r w:rsidR="00DF65F3">
              <w:rPr>
                <w:webHidden/>
              </w:rPr>
              <w:fldChar w:fldCharType="end"/>
            </w:r>
          </w:hyperlink>
        </w:p>
        <w:p w14:paraId="50D72389" w14:textId="6C27362B" w:rsidR="00DF65F3" w:rsidRDefault="00870777">
          <w:pPr>
            <w:pStyle w:val="Spistreci6"/>
            <w:rPr>
              <w:sz w:val="22"/>
              <w:lang w:val="en-GB" w:eastAsia="en-GB"/>
            </w:rPr>
          </w:pPr>
          <w:hyperlink w:anchor="_Toc12533184" w:history="1">
            <w:r w:rsidR="00DF65F3" w:rsidRPr="004815D6">
              <w:rPr>
                <w:rStyle w:val="Hipercze"/>
              </w:rPr>
              <w:t>GM1 ADR-DSN.M.640     Systemy wzrokowych wskaźników ścieżki podejścia</w:t>
            </w:r>
            <w:r w:rsidR="00DF65F3">
              <w:rPr>
                <w:webHidden/>
              </w:rPr>
              <w:tab/>
            </w:r>
            <w:r w:rsidR="00DF65F3">
              <w:rPr>
                <w:webHidden/>
              </w:rPr>
              <w:fldChar w:fldCharType="begin"/>
            </w:r>
            <w:r w:rsidR="00DF65F3">
              <w:rPr>
                <w:webHidden/>
              </w:rPr>
              <w:instrText xml:space="preserve"> PAGEREF _Toc12533184 \h </w:instrText>
            </w:r>
            <w:r w:rsidR="00DF65F3">
              <w:rPr>
                <w:webHidden/>
              </w:rPr>
            </w:r>
            <w:r w:rsidR="00DF65F3">
              <w:rPr>
                <w:webHidden/>
              </w:rPr>
              <w:fldChar w:fldCharType="separate"/>
            </w:r>
            <w:r w:rsidR="00F755B7">
              <w:rPr>
                <w:webHidden/>
              </w:rPr>
              <w:t>451</w:t>
            </w:r>
            <w:r w:rsidR="00DF65F3">
              <w:rPr>
                <w:webHidden/>
              </w:rPr>
              <w:fldChar w:fldCharType="end"/>
            </w:r>
          </w:hyperlink>
        </w:p>
        <w:p w14:paraId="687B20C6" w14:textId="7B3CA84F" w:rsidR="00DF65F3" w:rsidRDefault="00870777">
          <w:pPr>
            <w:pStyle w:val="Spistreci4"/>
            <w:rPr>
              <w:sz w:val="22"/>
              <w:lang w:val="en-GB" w:eastAsia="en-GB"/>
            </w:rPr>
          </w:pPr>
          <w:hyperlink w:anchor="_Toc12533185" w:history="1">
            <w:r w:rsidR="00DF65F3" w:rsidRPr="004815D6">
              <w:rPr>
                <w:rStyle w:val="Hipercze"/>
              </w:rPr>
              <w:t>CS ADR-DSN.M.645     Precyzyjny wskaźnik ścieżki podejścia (PAPI) oraz skrócony precyzyjny wskaźnik ścieżki podejścia (APAPI)</w:t>
            </w:r>
            <w:r w:rsidR="00DF65F3">
              <w:rPr>
                <w:webHidden/>
              </w:rPr>
              <w:tab/>
            </w:r>
            <w:r w:rsidR="00DF65F3">
              <w:rPr>
                <w:webHidden/>
              </w:rPr>
              <w:fldChar w:fldCharType="begin"/>
            </w:r>
            <w:r w:rsidR="00DF65F3">
              <w:rPr>
                <w:webHidden/>
              </w:rPr>
              <w:instrText xml:space="preserve"> PAGEREF _Toc12533185 \h </w:instrText>
            </w:r>
            <w:r w:rsidR="00DF65F3">
              <w:rPr>
                <w:webHidden/>
              </w:rPr>
            </w:r>
            <w:r w:rsidR="00DF65F3">
              <w:rPr>
                <w:webHidden/>
              </w:rPr>
              <w:fldChar w:fldCharType="separate"/>
            </w:r>
            <w:r w:rsidR="00F755B7">
              <w:rPr>
                <w:webHidden/>
              </w:rPr>
              <w:t>452</w:t>
            </w:r>
            <w:r w:rsidR="00DF65F3">
              <w:rPr>
                <w:webHidden/>
              </w:rPr>
              <w:fldChar w:fldCharType="end"/>
            </w:r>
          </w:hyperlink>
        </w:p>
        <w:p w14:paraId="56A53C3F" w14:textId="0713E4E9" w:rsidR="00DF65F3" w:rsidRDefault="00870777">
          <w:pPr>
            <w:pStyle w:val="Spistreci6"/>
            <w:rPr>
              <w:sz w:val="22"/>
              <w:lang w:val="en-GB" w:eastAsia="en-GB"/>
            </w:rPr>
          </w:pPr>
          <w:hyperlink w:anchor="_Toc12533186" w:history="1">
            <w:r w:rsidR="00DF65F3" w:rsidRPr="004815D6">
              <w:rPr>
                <w:rStyle w:val="Hipercze"/>
              </w:rPr>
              <w:t>GM1 ADR-DSN.M.645     Precyzyjny wskaźnik ścieżki podejścia (PAPI) oraz skrócony precyzyjny wskaźnik ścieżki podejścia (APAPI)</w:t>
            </w:r>
            <w:r w:rsidR="00DF65F3">
              <w:rPr>
                <w:webHidden/>
              </w:rPr>
              <w:tab/>
            </w:r>
            <w:r w:rsidR="00DF65F3">
              <w:rPr>
                <w:webHidden/>
              </w:rPr>
              <w:fldChar w:fldCharType="begin"/>
            </w:r>
            <w:r w:rsidR="00DF65F3">
              <w:rPr>
                <w:webHidden/>
              </w:rPr>
              <w:instrText xml:space="preserve"> PAGEREF _Toc12533186 \h </w:instrText>
            </w:r>
            <w:r w:rsidR="00DF65F3">
              <w:rPr>
                <w:webHidden/>
              </w:rPr>
            </w:r>
            <w:r w:rsidR="00DF65F3">
              <w:rPr>
                <w:webHidden/>
              </w:rPr>
              <w:fldChar w:fldCharType="separate"/>
            </w:r>
            <w:r w:rsidR="00F755B7">
              <w:rPr>
                <w:webHidden/>
              </w:rPr>
              <w:t>455</w:t>
            </w:r>
            <w:r w:rsidR="00DF65F3">
              <w:rPr>
                <w:webHidden/>
              </w:rPr>
              <w:fldChar w:fldCharType="end"/>
            </w:r>
          </w:hyperlink>
        </w:p>
        <w:p w14:paraId="1C052171" w14:textId="67847844" w:rsidR="00DF65F3" w:rsidRDefault="00870777">
          <w:pPr>
            <w:pStyle w:val="Spistreci4"/>
            <w:rPr>
              <w:sz w:val="22"/>
              <w:lang w:val="en-GB" w:eastAsia="en-GB"/>
            </w:rPr>
          </w:pPr>
          <w:hyperlink w:anchor="_Toc12533187" w:history="1">
            <w:r w:rsidR="00DF65F3" w:rsidRPr="004815D6">
              <w:rPr>
                <w:rStyle w:val="Hipercze"/>
              </w:rPr>
              <w:t>CS ADR-DSN.M.650     Nachylenie podejścia oraz ustawienie elewacji jednostek świetlnych dla PAPI i APAPI</w:t>
            </w:r>
            <w:r w:rsidR="00DF65F3">
              <w:rPr>
                <w:webHidden/>
              </w:rPr>
              <w:tab/>
            </w:r>
            <w:r w:rsidR="00DF65F3">
              <w:rPr>
                <w:webHidden/>
              </w:rPr>
              <w:fldChar w:fldCharType="begin"/>
            </w:r>
            <w:r w:rsidR="00DF65F3">
              <w:rPr>
                <w:webHidden/>
              </w:rPr>
              <w:instrText xml:space="preserve"> PAGEREF _Toc12533187 \h </w:instrText>
            </w:r>
            <w:r w:rsidR="00DF65F3">
              <w:rPr>
                <w:webHidden/>
              </w:rPr>
            </w:r>
            <w:r w:rsidR="00DF65F3">
              <w:rPr>
                <w:webHidden/>
              </w:rPr>
              <w:fldChar w:fldCharType="separate"/>
            </w:r>
            <w:r w:rsidR="00F755B7">
              <w:rPr>
                <w:webHidden/>
              </w:rPr>
              <w:t>455</w:t>
            </w:r>
            <w:r w:rsidR="00DF65F3">
              <w:rPr>
                <w:webHidden/>
              </w:rPr>
              <w:fldChar w:fldCharType="end"/>
            </w:r>
          </w:hyperlink>
        </w:p>
        <w:p w14:paraId="0BE0BCC1" w14:textId="7E22ABCA" w:rsidR="00DF65F3" w:rsidRDefault="00870777">
          <w:pPr>
            <w:pStyle w:val="Spistreci6"/>
            <w:rPr>
              <w:sz w:val="22"/>
              <w:lang w:val="en-GB" w:eastAsia="en-GB"/>
            </w:rPr>
          </w:pPr>
          <w:hyperlink w:anchor="_Toc12533188" w:history="1">
            <w:r w:rsidR="00DF65F3" w:rsidRPr="004815D6">
              <w:rPr>
                <w:rStyle w:val="Hipercze"/>
              </w:rPr>
              <w:t>GM1 ADR-DSN.M.650     Nachylenie podejścia oraz ustawienie elewacji jednostek świetlnych</w:t>
            </w:r>
            <w:r w:rsidR="00DF65F3">
              <w:rPr>
                <w:webHidden/>
              </w:rPr>
              <w:tab/>
            </w:r>
            <w:r w:rsidR="00DF65F3">
              <w:rPr>
                <w:webHidden/>
              </w:rPr>
              <w:fldChar w:fldCharType="begin"/>
            </w:r>
            <w:r w:rsidR="00DF65F3">
              <w:rPr>
                <w:webHidden/>
              </w:rPr>
              <w:instrText xml:space="preserve"> PAGEREF _Toc12533188 \h </w:instrText>
            </w:r>
            <w:r w:rsidR="00DF65F3">
              <w:rPr>
                <w:webHidden/>
              </w:rPr>
            </w:r>
            <w:r w:rsidR="00DF65F3">
              <w:rPr>
                <w:webHidden/>
              </w:rPr>
              <w:fldChar w:fldCharType="separate"/>
            </w:r>
            <w:r w:rsidR="00F755B7">
              <w:rPr>
                <w:webHidden/>
              </w:rPr>
              <w:t>457</w:t>
            </w:r>
            <w:r w:rsidR="00DF65F3">
              <w:rPr>
                <w:webHidden/>
              </w:rPr>
              <w:fldChar w:fldCharType="end"/>
            </w:r>
          </w:hyperlink>
        </w:p>
        <w:p w14:paraId="47B5DD47" w14:textId="1996E297" w:rsidR="00DF65F3" w:rsidRDefault="00870777">
          <w:pPr>
            <w:pStyle w:val="Spistreci4"/>
            <w:rPr>
              <w:sz w:val="22"/>
              <w:lang w:val="en-GB" w:eastAsia="en-GB"/>
            </w:rPr>
          </w:pPr>
          <w:hyperlink w:anchor="_Toc12533189" w:history="1">
            <w:r w:rsidR="00DF65F3" w:rsidRPr="004815D6">
              <w:rPr>
                <w:rStyle w:val="Hipercze"/>
              </w:rPr>
              <w:t>CS ADR-DSN.M.655     Powierzchnie zabezpieczenia przeszkodowego  dla PAPI i APAPI</w:t>
            </w:r>
            <w:r w:rsidR="00DF65F3">
              <w:rPr>
                <w:webHidden/>
              </w:rPr>
              <w:tab/>
            </w:r>
            <w:r w:rsidR="00DF65F3">
              <w:rPr>
                <w:webHidden/>
              </w:rPr>
              <w:fldChar w:fldCharType="begin"/>
            </w:r>
            <w:r w:rsidR="00DF65F3">
              <w:rPr>
                <w:webHidden/>
              </w:rPr>
              <w:instrText xml:space="preserve"> PAGEREF _Toc12533189 \h </w:instrText>
            </w:r>
            <w:r w:rsidR="00DF65F3">
              <w:rPr>
                <w:webHidden/>
              </w:rPr>
            </w:r>
            <w:r w:rsidR="00DF65F3">
              <w:rPr>
                <w:webHidden/>
              </w:rPr>
              <w:fldChar w:fldCharType="separate"/>
            </w:r>
            <w:r w:rsidR="00F755B7">
              <w:rPr>
                <w:webHidden/>
              </w:rPr>
              <w:t>457</w:t>
            </w:r>
            <w:r w:rsidR="00DF65F3">
              <w:rPr>
                <w:webHidden/>
              </w:rPr>
              <w:fldChar w:fldCharType="end"/>
            </w:r>
          </w:hyperlink>
        </w:p>
        <w:p w14:paraId="26F6CA3B" w14:textId="4EAD3094" w:rsidR="00DF65F3" w:rsidRDefault="00870777">
          <w:pPr>
            <w:pStyle w:val="Spistreci6"/>
            <w:rPr>
              <w:sz w:val="22"/>
              <w:lang w:val="en-GB" w:eastAsia="en-GB"/>
            </w:rPr>
          </w:pPr>
          <w:hyperlink w:anchor="_Toc12533190" w:history="1">
            <w:r w:rsidR="00DF65F3" w:rsidRPr="004815D6">
              <w:rPr>
                <w:rStyle w:val="Hipercze"/>
              </w:rPr>
              <w:t>GM1 ADR-DSN.M.655     Powierzchnie zabezpieczenia przeszkodowego PAPI i APAPI</w:t>
            </w:r>
            <w:r w:rsidR="00DF65F3">
              <w:rPr>
                <w:webHidden/>
              </w:rPr>
              <w:tab/>
            </w:r>
            <w:r w:rsidR="00DF65F3">
              <w:rPr>
                <w:webHidden/>
              </w:rPr>
              <w:fldChar w:fldCharType="begin"/>
            </w:r>
            <w:r w:rsidR="00DF65F3">
              <w:rPr>
                <w:webHidden/>
              </w:rPr>
              <w:instrText xml:space="preserve"> PAGEREF _Toc12533190 \h </w:instrText>
            </w:r>
            <w:r w:rsidR="00DF65F3">
              <w:rPr>
                <w:webHidden/>
              </w:rPr>
            </w:r>
            <w:r w:rsidR="00DF65F3">
              <w:rPr>
                <w:webHidden/>
              </w:rPr>
              <w:fldChar w:fldCharType="separate"/>
            </w:r>
            <w:r w:rsidR="00F755B7">
              <w:rPr>
                <w:webHidden/>
              </w:rPr>
              <w:t>459</w:t>
            </w:r>
            <w:r w:rsidR="00DF65F3">
              <w:rPr>
                <w:webHidden/>
              </w:rPr>
              <w:fldChar w:fldCharType="end"/>
            </w:r>
          </w:hyperlink>
        </w:p>
        <w:p w14:paraId="64B90050" w14:textId="1C32A868" w:rsidR="00DF65F3" w:rsidRDefault="00870777">
          <w:pPr>
            <w:pStyle w:val="Spistreci4"/>
            <w:rPr>
              <w:sz w:val="22"/>
              <w:lang w:val="en-GB" w:eastAsia="en-GB"/>
            </w:rPr>
          </w:pPr>
          <w:hyperlink w:anchor="_Toc12533191" w:history="1">
            <w:r w:rsidR="00DF65F3" w:rsidRPr="004815D6">
              <w:rPr>
                <w:rStyle w:val="Hipercze"/>
              </w:rPr>
              <w:t>CS ADR-DSN.M.660     Światła prowadzenia po kręgu</w:t>
            </w:r>
            <w:r w:rsidR="00DF65F3">
              <w:rPr>
                <w:webHidden/>
              </w:rPr>
              <w:tab/>
            </w:r>
            <w:r w:rsidR="00DF65F3">
              <w:rPr>
                <w:webHidden/>
              </w:rPr>
              <w:fldChar w:fldCharType="begin"/>
            </w:r>
            <w:r w:rsidR="00DF65F3">
              <w:rPr>
                <w:webHidden/>
              </w:rPr>
              <w:instrText xml:space="preserve"> PAGEREF _Toc12533191 \h </w:instrText>
            </w:r>
            <w:r w:rsidR="00DF65F3">
              <w:rPr>
                <w:webHidden/>
              </w:rPr>
            </w:r>
            <w:r w:rsidR="00DF65F3">
              <w:rPr>
                <w:webHidden/>
              </w:rPr>
              <w:fldChar w:fldCharType="separate"/>
            </w:r>
            <w:r w:rsidR="00F755B7">
              <w:rPr>
                <w:webHidden/>
              </w:rPr>
              <w:t>459</w:t>
            </w:r>
            <w:r w:rsidR="00DF65F3">
              <w:rPr>
                <w:webHidden/>
              </w:rPr>
              <w:fldChar w:fldCharType="end"/>
            </w:r>
          </w:hyperlink>
        </w:p>
        <w:p w14:paraId="284DF6D3" w14:textId="09FB3767" w:rsidR="00DF65F3" w:rsidRDefault="00870777">
          <w:pPr>
            <w:pStyle w:val="Spistreci6"/>
            <w:rPr>
              <w:sz w:val="22"/>
              <w:lang w:val="en-GB" w:eastAsia="en-GB"/>
            </w:rPr>
          </w:pPr>
          <w:hyperlink w:anchor="_Toc12533192" w:history="1">
            <w:r w:rsidR="00DF65F3" w:rsidRPr="004815D6">
              <w:rPr>
                <w:rStyle w:val="Hipercze"/>
              </w:rPr>
              <w:t>GM1 ADR-DSN.M.660     Światła prowadzenia po kręgu</w:t>
            </w:r>
            <w:r w:rsidR="00DF65F3">
              <w:rPr>
                <w:webHidden/>
              </w:rPr>
              <w:tab/>
            </w:r>
            <w:r w:rsidR="00DF65F3">
              <w:rPr>
                <w:webHidden/>
              </w:rPr>
              <w:fldChar w:fldCharType="begin"/>
            </w:r>
            <w:r w:rsidR="00DF65F3">
              <w:rPr>
                <w:webHidden/>
              </w:rPr>
              <w:instrText xml:space="preserve"> PAGEREF _Toc12533192 \h </w:instrText>
            </w:r>
            <w:r w:rsidR="00DF65F3">
              <w:rPr>
                <w:webHidden/>
              </w:rPr>
            </w:r>
            <w:r w:rsidR="00DF65F3">
              <w:rPr>
                <w:webHidden/>
              </w:rPr>
              <w:fldChar w:fldCharType="separate"/>
            </w:r>
            <w:r w:rsidR="00F755B7">
              <w:rPr>
                <w:webHidden/>
              </w:rPr>
              <w:t>460</w:t>
            </w:r>
            <w:r w:rsidR="00DF65F3">
              <w:rPr>
                <w:webHidden/>
              </w:rPr>
              <w:fldChar w:fldCharType="end"/>
            </w:r>
          </w:hyperlink>
        </w:p>
        <w:p w14:paraId="5202B67F" w14:textId="763EA387" w:rsidR="00DF65F3" w:rsidRDefault="00870777">
          <w:pPr>
            <w:pStyle w:val="Spistreci4"/>
            <w:rPr>
              <w:sz w:val="22"/>
              <w:lang w:val="en-GB" w:eastAsia="en-GB"/>
            </w:rPr>
          </w:pPr>
          <w:hyperlink w:anchor="_Toc12533193" w:history="1">
            <w:r w:rsidR="00DF65F3" w:rsidRPr="004815D6">
              <w:rPr>
                <w:rStyle w:val="Hipercze"/>
              </w:rPr>
              <w:t>CS ADR-DSN.M.665     System świateł prowadzenia do drogi startowej</w:t>
            </w:r>
            <w:r w:rsidR="00DF65F3">
              <w:rPr>
                <w:webHidden/>
              </w:rPr>
              <w:tab/>
            </w:r>
            <w:r w:rsidR="00DF65F3">
              <w:rPr>
                <w:webHidden/>
              </w:rPr>
              <w:fldChar w:fldCharType="begin"/>
            </w:r>
            <w:r w:rsidR="00DF65F3">
              <w:rPr>
                <w:webHidden/>
              </w:rPr>
              <w:instrText xml:space="preserve"> PAGEREF _Toc12533193 \h </w:instrText>
            </w:r>
            <w:r w:rsidR="00DF65F3">
              <w:rPr>
                <w:webHidden/>
              </w:rPr>
            </w:r>
            <w:r w:rsidR="00DF65F3">
              <w:rPr>
                <w:webHidden/>
              </w:rPr>
              <w:fldChar w:fldCharType="separate"/>
            </w:r>
            <w:r w:rsidR="00F755B7">
              <w:rPr>
                <w:webHidden/>
              </w:rPr>
              <w:t>460</w:t>
            </w:r>
            <w:r w:rsidR="00DF65F3">
              <w:rPr>
                <w:webHidden/>
              </w:rPr>
              <w:fldChar w:fldCharType="end"/>
            </w:r>
          </w:hyperlink>
        </w:p>
        <w:p w14:paraId="4D2008AB" w14:textId="1567641F" w:rsidR="00DF65F3" w:rsidRDefault="00870777">
          <w:pPr>
            <w:pStyle w:val="Spistreci6"/>
            <w:rPr>
              <w:sz w:val="22"/>
              <w:lang w:val="en-GB" w:eastAsia="en-GB"/>
            </w:rPr>
          </w:pPr>
          <w:hyperlink w:anchor="_Toc12533194" w:history="1">
            <w:r w:rsidR="00DF65F3" w:rsidRPr="004815D6">
              <w:rPr>
                <w:rStyle w:val="Hipercze"/>
              </w:rPr>
              <w:t>GM1 ADR-DSN.M.665     System świateł prowadzenia do drogi startowej</w:t>
            </w:r>
            <w:r w:rsidR="00DF65F3">
              <w:rPr>
                <w:webHidden/>
              </w:rPr>
              <w:tab/>
            </w:r>
            <w:r w:rsidR="00DF65F3">
              <w:rPr>
                <w:webHidden/>
              </w:rPr>
              <w:fldChar w:fldCharType="begin"/>
            </w:r>
            <w:r w:rsidR="00DF65F3">
              <w:rPr>
                <w:webHidden/>
              </w:rPr>
              <w:instrText xml:space="preserve"> PAGEREF _Toc12533194 \h </w:instrText>
            </w:r>
            <w:r w:rsidR="00DF65F3">
              <w:rPr>
                <w:webHidden/>
              </w:rPr>
            </w:r>
            <w:r w:rsidR="00DF65F3">
              <w:rPr>
                <w:webHidden/>
              </w:rPr>
              <w:fldChar w:fldCharType="separate"/>
            </w:r>
            <w:r w:rsidR="00F755B7">
              <w:rPr>
                <w:webHidden/>
              </w:rPr>
              <w:t>461</w:t>
            </w:r>
            <w:r w:rsidR="00DF65F3">
              <w:rPr>
                <w:webHidden/>
              </w:rPr>
              <w:fldChar w:fldCharType="end"/>
            </w:r>
          </w:hyperlink>
        </w:p>
        <w:p w14:paraId="60F95C7D" w14:textId="4159CDE9" w:rsidR="00DF65F3" w:rsidRDefault="00870777">
          <w:pPr>
            <w:pStyle w:val="Spistreci4"/>
            <w:rPr>
              <w:sz w:val="22"/>
              <w:lang w:val="en-GB" w:eastAsia="en-GB"/>
            </w:rPr>
          </w:pPr>
          <w:hyperlink w:anchor="_Toc12533195" w:history="1">
            <w:r w:rsidR="00DF65F3" w:rsidRPr="004815D6">
              <w:rPr>
                <w:rStyle w:val="Hipercze"/>
              </w:rPr>
              <w:t>CS ADR-DSN.M.670     Światła identyfikacji progu drogi startowej</w:t>
            </w:r>
            <w:r w:rsidR="00DF65F3">
              <w:rPr>
                <w:webHidden/>
              </w:rPr>
              <w:tab/>
            </w:r>
            <w:r w:rsidR="00DF65F3">
              <w:rPr>
                <w:webHidden/>
              </w:rPr>
              <w:fldChar w:fldCharType="begin"/>
            </w:r>
            <w:r w:rsidR="00DF65F3">
              <w:rPr>
                <w:webHidden/>
              </w:rPr>
              <w:instrText xml:space="preserve"> PAGEREF _Toc12533195 \h </w:instrText>
            </w:r>
            <w:r w:rsidR="00DF65F3">
              <w:rPr>
                <w:webHidden/>
              </w:rPr>
            </w:r>
            <w:r w:rsidR="00DF65F3">
              <w:rPr>
                <w:webHidden/>
              </w:rPr>
              <w:fldChar w:fldCharType="separate"/>
            </w:r>
            <w:r w:rsidR="00F755B7">
              <w:rPr>
                <w:webHidden/>
              </w:rPr>
              <w:t>461</w:t>
            </w:r>
            <w:r w:rsidR="00DF65F3">
              <w:rPr>
                <w:webHidden/>
              </w:rPr>
              <w:fldChar w:fldCharType="end"/>
            </w:r>
          </w:hyperlink>
        </w:p>
        <w:p w14:paraId="595E157B" w14:textId="22F65E01" w:rsidR="00DF65F3" w:rsidRDefault="00870777">
          <w:pPr>
            <w:pStyle w:val="Spistreci6"/>
            <w:rPr>
              <w:sz w:val="22"/>
              <w:lang w:val="en-GB" w:eastAsia="en-GB"/>
            </w:rPr>
          </w:pPr>
          <w:hyperlink w:anchor="_Toc12533196" w:history="1">
            <w:r w:rsidR="00DF65F3" w:rsidRPr="004815D6">
              <w:rPr>
                <w:rStyle w:val="Hipercze"/>
              </w:rPr>
              <w:t>GM1 ADR-DSN.M.670     Światła identyfikacyjne progu drogi startowej</w:t>
            </w:r>
            <w:r w:rsidR="00DF65F3">
              <w:rPr>
                <w:webHidden/>
              </w:rPr>
              <w:tab/>
            </w:r>
            <w:r w:rsidR="00DF65F3">
              <w:rPr>
                <w:webHidden/>
              </w:rPr>
              <w:fldChar w:fldCharType="begin"/>
            </w:r>
            <w:r w:rsidR="00DF65F3">
              <w:rPr>
                <w:webHidden/>
              </w:rPr>
              <w:instrText xml:space="preserve"> PAGEREF _Toc12533196 \h </w:instrText>
            </w:r>
            <w:r w:rsidR="00DF65F3">
              <w:rPr>
                <w:webHidden/>
              </w:rPr>
            </w:r>
            <w:r w:rsidR="00DF65F3">
              <w:rPr>
                <w:webHidden/>
              </w:rPr>
              <w:fldChar w:fldCharType="separate"/>
            </w:r>
            <w:r w:rsidR="00F755B7">
              <w:rPr>
                <w:webHidden/>
              </w:rPr>
              <w:t>462</w:t>
            </w:r>
            <w:r w:rsidR="00DF65F3">
              <w:rPr>
                <w:webHidden/>
              </w:rPr>
              <w:fldChar w:fldCharType="end"/>
            </w:r>
          </w:hyperlink>
        </w:p>
        <w:p w14:paraId="096AE302" w14:textId="51733ACD" w:rsidR="00DF65F3" w:rsidRDefault="00870777">
          <w:pPr>
            <w:pStyle w:val="Spistreci4"/>
            <w:rPr>
              <w:sz w:val="22"/>
              <w:lang w:val="en-GB" w:eastAsia="en-GB"/>
            </w:rPr>
          </w:pPr>
          <w:hyperlink w:anchor="_Toc12533197" w:history="1">
            <w:r w:rsidR="00DF65F3" w:rsidRPr="004815D6">
              <w:rPr>
                <w:rStyle w:val="Hipercze"/>
              </w:rPr>
              <w:t>CS ADR-DSN.M.675     Światła krawędzi drogi startowej</w:t>
            </w:r>
            <w:r w:rsidR="00DF65F3">
              <w:rPr>
                <w:webHidden/>
              </w:rPr>
              <w:tab/>
            </w:r>
            <w:r w:rsidR="00DF65F3">
              <w:rPr>
                <w:webHidden/>
              </w:rPr>
              <w:fldChar w:fldCharType="begin"/>
            </w:r>
            <w:r w:rsidR="00DF65F3">
              <w:rPr>
                <w:webHidden/>
              </w:rPr>
              <w:instrText xml:space="preserve"> PAGEREF _Toc12533197 \h </w:instrText>
            </w:r>
            <w:r w:rsidR="00DF65F3">
              <w:rPr>
                <w:webHidden/>
              </w:rPr>
            </w:r>
            <w:r w:rsidR="00DF65F3">
              <w:rPr>
                <w:webHidden/>
              </w:rPr>
              <w:fldChar w:fldCharType="separate"/>
            </w:r>
            <w:r w:rsidR="00F755B7">
              <w:rPr>
                <w:webHidden/>
              </w:rPr>
              <w:t>462</w:t>
            </w:r>
            <w:r w:rsidR="00DF65F3">
              <w:rPr>
                <w:webHidden/>
              </w:rPr>
              <w:fldChar w:fldCharType="end"/>
            </w:r>
          </w:hyperlink>
        </w:p>
        <w:p w14:paraId="6493769A" w14:textId="3D36BEFC" w:rsidR="00DF65F3" w:rsidRDefault="00870777">
          <w:pPr>
            <w:pStyle w:val="Spistreci6"/>
            <w:rPr>
              <w:sz w:val="22"/>
              <w:lang w:val="en-GB" w:eastAsia="en-GB"/>
            </w:rPr>
          </w:pPr>
          <w:hyperlink w:anchor="_Toc12533198" w:history="1">
            <w:r w:rsidR="00DF65F3" w:rsidRPr="004815D6">
              <w:rPr>
                <w:rStyle w:val="Hipercze"/>
              </w:rPr>
              <w:t>GM1 ADR-DSN.M.675     Światła krawędzi drogi startowej</w:t>
            </w:r>
            <w:r w:rsidR="00DF65F3">
              <w:rPr>
                <w:webHidden/>
              </w:rPr>
              <w:tab/>
            </w:r>
            <w:r w:rsidR="00DF65F3">
              <w:rPr>
                <w:webHidden/>
              </w:rPr>
              <w:fldChar w:fldCharType="begin"/>
            </w:r>
            <w:r w:rsidR="00DF65F3">
              <w:rPr>
                <w:webHidden/>
              </w:rPr>
              <w:instrText xml:space="preserve"> PAGEREF _Toc12533198 \h </w:instrText>
            </w:r>
            <w:r w:rsidR="00DF65F3">
              <w:rPr>
                <w:webHidden/>
              </w:rPr>
            </w:r>
            <w:r w:rsidR="00DF65F3">
              <w:rPr>
                <w:webHidden/>
              </w:rPr>
              <w:fldChar w:fldCharType="separate"/>
            </w:r>
            <w:r w:rsidR="00F755B7">
              <w:rPr>
                <w:webHidden/>
              </w:rPr>
              <w:t>463</w:t>
            </w:r>
            <w:r w:rsidR="00DF65F3">
              <w:rPr>
                <w:webHidden/>
              </w:rPr>
              <w:fldChar w:fldCharType="end"/>
            </w:r>
          </w:hyperlink>
        </w:p>
        <w:p w14:paraId="0839D89A" w14:textId="3B53070B" w:rsidR="00DF65F3" w:rsidRDefault="00870777">
          <w:pPr>
            <w:pStyle w:val="Spistreci4"/>
            <w:rPr>
              <w:sz w:val="22"/>
              <w:lang w:val="en-GB" w:eastAsia="en-GB"/>
            </w:rPr>
          </w:pPr>
          <w:hyperlink w:anchor="_Toc12533199" w:history="1">
            <w:r w:rsidR="00DF65F3" w:rsidRPr="004815D6">
              <w:rPr>
                <w:rStyle w:val="Hipercze"/>
              </w:rPr>
              <w:t>CS ADR-DSN.M.680     Światła progu drogi startowej oraz światła poprzeczki skrzydłowej</w:t>
            </w:r>
            <w:r w:rsidR="00DF65F3">
              <w:rPr>
                <w:webHidden/>
              </w:rPr>
              <w:tab/>
            </w:r>
            <w:r w:rsidR="00DF65F3">
              <w:rPr>
                <w:webHidden/>
              </w:rPr>
              <w:fldChar w:fldCharType="begin"/>
            </w:r>
            <w:r w:rsidR="00DF65F3">
              <w:rPr>
                <w:webHidden/>
              </w:rPr>
              <w:instrText xml:space="preserve"> PAGEREF _Toc12533199 \h </w:instrText>
            </w:r>
            <w:r w:rsidR="00DF65F3">
              <w:rPr>
                <w:webHidden/>
              </w:rPr>
            </w:r>
            <w:r w:rsidR="00DF65F3">
              <w:rPr>
                <w:webHidden/>
              </w:rPr>
              <w:fldChar w:fldCharType="separate"/>
            </w:r>
            <w:r w:rsidR="00F755B7">
              <w:rPr>
                <w:webHidden/>
              </w:rPr>
              <w:t>463</w:t>
            </w:r>
            <w:r w:rsidR="00DF65F3">
              <w:rPr>
                <w:webHidden/>
              </w:rPr>
              <w:fldChar w:fldCharType="end"/>
            </w:r>
          </w:hyperlink>
        </w:p>
        <w:p w14:paraId="2E373994" w14:textId="2F7E473A" w:rsidR="00DF65F3" w:rsidRDefault="00870777">
          <w:pPr>
            <w:pStyle w:val="Spistreci6"/>
            <w:rPr>
              <w:sz w:val="22"/>
              <w:lang w:val="en-GB" w:eastAsia="en-GB"/>
            </w:rPr>
          </w:pPr>
          <w:hyperlink w:anchor="_Toc12533200" w:history="1">
            <w:r w:rsidR="00DF65F3" w:rsidRPr="004815D6">
              <w:rPr>
                <w:rStyle w:val="Hipercze"/>
              </w:rPr>
              <w:t>GM1 ADR-DSN.M.680     Światła progu drogi startowej oraz światła poprzeczki skrzydłowej</w:t>
            </w:r>
            <w:r w:rsidR="00DF65F3">
              <w:rPr>
                <w:webHidden/>
              </w:rPr>
              <w:tab/>
            </w:r>
            <w:r w:rsidR="00DF65F3">
              <w:rPr>
                <w:webHidden/>
              </w:rPr>
              <w:fldChar w:fldCharType="begin"/>
            </w:r>
            <w:r w:rsidR="00DF65F3">
              <w:rPr>
                <w:webHidden/>
              </w:rPr>
              <w:instrText xml:space="preserve"> PAGEREF _Toc12533200 \h </w:instrText>
            </w:r>
            <w:r w:rsidR="00DF65F3">
              <w:rPr>
                <w:webHidden/>
              </w:rPr>
            </w:r>
            <w:r w:rsidR="00DF65F3">
              <w:rPr>
                <w:webHidden/>
              </w:rPr>
              <w:fldChar w:fldCharType="separate"/>
            </w:r>
            <w:r w:rsidR="00F755B7">
              <w:rPr>
                <w:webHidden/>
              </w:rPr>
              <w:t>464</w:t>
            </w:r>
            <w:r w:rsidR="00DF65F3">
              <w:rPr>
                <w:webHidden/>
              </w:rPr>
              <w:fldChar w:fldCharType="end"/>
            </w:r>
          </w:hyperlink>
        </w:p>
        <w:p w14:paraId="17A8ADFF" w14:textId="1F243EF2" w:rsidR="00DF65F3" w:rsidRDefault="00870777">
          <w:pPr>
            <w:pStyle w:val="Spistreci4"/>
            <w:rPr>
              <w:sz w:val="22"/>
              <w:lang w:val="en-GB" w:eastAsia="en-GB"/>
            </w:rPr>
          </w:pPr>
          <w:hyperlink w:anchor="_Toc12533201" w:history="1">
            <w:r w:rsidR="00DF65F3" w:rsidRPr="004815D6">
              <w:rPr>
                <w:rStyle w:val="Hipercze"/>
              </w:rPr>
              <w:t>CS ADR-DSN.M.685     Światła końca drogi startowej</w:t>
            </w:r>
            <w:r w:rsidR="00DF65F3">
              <w:rPr>
                <w:webHidden/>
              </w:rPr>
              <w:tab/>
            </w:r>
            <w:r w:rsidR="00DF65F3">
              <w:rPr>
                <w:webHidden/>
              </w:rPr>
              <w:fldChar w:fldCharType="begin"/>
            </w:r>
            <w:r w:rsidR="00DF65F3">
              <w:rPr>
                <w:webHidden/>
              </w:rPr>
              <w:instrText xml:space="preserve"> PAGEREF _Toc12533201 \h </w:instrText>
            </w:r>
            <w:r w:rsidR="00DF65F3">
              <w:rPr>
                <w:webHidden/>
              </w:rPr>
            </w:r>
            <w:r w:rsidR="00DF65F3">
              <w:rPr>
                <w:webHidden/>
              </w:rPr>
              <w:fldChar w:fldCharType="separate"/>
            </w:r>
            <w:r w:rsidR="00F755B7">
              <w:rPr>
                <w:webHidden/>
              </w:rPr>
              <w:t>465</w:t>
            </w:r>
            <w:r w:rsidR="00DF65F3">
              <w:rPr>
                <w:webHidden/>
              </w:rPr>
              <w:fldChar w:fldCharType="end"/>
            </w:r>
          </w:hyperlink>
        </w:p>
        <w:p w14:paraId="3D27D133" w14:textId="37517C6F" w:rsidR="00DF65F3" w:rsidRDefault="00870777">
          <w:pPr>
            <w:pStyle w:val="Spistreci6"/>
            <w:rPr>
              <w:sz w:val="22"/>
              <w:lang w:val="en-GB" w:eastAsia="en-GB"/>
            </w:rPr>
          </w:pPr>
          <w:hyperlink w:anchor="_Toc12533202" w:history="1">
            <w:r w:rsidR="00DF65F3" w:rsidRPr="004815D6">
              <w:rPr>
                <w:rStyle w:val="Hipercze"/>
              </w:rPr>
              <w:t>GM1 ADR-DSN.M.685     Światła końca drogi startowej</w:t>
            </w:r>
            <w:r w:rsidR="00DF65F3">
              <w:rPr>
                <w:webHidden/>
              </w:rPr>
              <w:tab/>
            </w:r>
            <w:r w:rsidR="00DF65F3">
              <w:rPr>
                <w:webHidden/>
              </w:rPr>
              <w:fldChar w:fldCharType="begin"/>
            </w:r>
            <w:r w:rsidR="00DF65F3">
              <w:rPr>
                <w:webHidden/>
              </w:rPr>
              <w:instrText xml:space="preserve"> PAGEREF _Toc12533202 \h </w:instrText>
            </w:r>
            <w:r w:rsidR="00DF65F3">
              <w:rPr>
                <w:webHidden/>
              </w:rPr>
            </w:r>
            <w:r w:rsidR="00DF65F3">
              <w:rPr>
                <w:webHidden/>
              </w:rPr>
              <w:fldChar w:fldCharType="separate"/>
            </w:r>
            <w:r w:rsidR="00F755B7">
              <w:rPr>
                <w:webHidden/>
              </w:rPr>
              <w:t>468</w:t>
            </w:r>
            <w:r w:rsidR="00DF65F3">
              <w:rPr>
                <w:webHidden/>
              </w:rPr>
              <w:fldChar w:fldCharType="end"/>
            </w:r>
          </w:hyperlink>
        </w:p>
        <w:p w14:paraId="3B9168E5" w14:textId="6DD7A609" w:rsidR="00DF65F3" w:rsidRDefault="00870777">
          <w:pPr>
            <w:pStyle w:val="Spistreci4"/>
            <w:rPr>
              <w:sz w:val="22"/>
              <w:lang w:val="en-GB" w:eastAsia="en-GB"/>
            </w:rPr>
          </w:pPr>
          <w:hyperlink w:anchor="_Toc12533203" w:history="1">
            <w:r w:rsidR="00DF65F3" w:rsidRPr="004815D6">
              <w:rPr>
                <w:rStyle w:val="Hipercze"/>
              </w:rPr>
              <w:t>CS ADR-DSN.M.690     Światła linii środkowej drogi startowej</w:t>
            </w:r>
            <w:r w:rsidR="00DF65F3">
              <w:rPr>
                <w:webHidden/>
              </w:rPr>
              <w:tab/>
            </w:r>
            <w:r w:rsidR="00DF65F3">
              <w:rPr>
                <w:webHidden/>
              </w:rPr>
              <w:fldChar w:fldCharType="begin"/>
            </w:r>
            <w:r w:rsidR="00DF65F3">
              <w:rPr>
                <w:webHidden/>
              </w:rPr>
              <w:instrText xml:space="preserve"> PAGEREF _Toc12533203 \h </w:instrText>
            </w:r>
            <w:r w:rsidR="00DF65F3">
              <w:rPr>
                <w:webHidden/>
              </w:rPr>
            </w:r>
            <w:r w:rsidR="00DF65F3">
              <w:rPr>
                <w:webHidden/>
              </w:rPr>
              <w:fldChar w:fldCharType="separate"/>
            </w:r>
            <w:r w:rsidR="00F755B7">
              <w:rPr>
                <w:webHidden/>
              </w:rPr>
              <w:t>468</w:t>
            </w:r>
            <w:r w:rsidR="00DF65F3">
              <w:rPr>
                <w:webHidden/>
              </w:rPr>
              <w:fldChar w:fldCharType="end"/>
            </w:r>
          </w:hyperlink>
        </w:p>
        <w:p w14:paraId="5471EB16" w14:textId="5B798096" w:rsidR="00DF65F3" w:rsidRDefault="00870777">
          <w:pPr>
            <w:pStyle w:val="Spistreci6"/>
            <w:rPr>
              <w:sz w:val="22"/>
              <w:lang w:val="en-GB" w:eastAsia="en-GB"/>
            </w:rPr>
          </w:pPr>
          <w:hyperlink w:anchor="_Toc12533204" w:history="1">
            <w:r w:rsidR="00DF65F3" w:rsidRPr="004815D6">
              <w:rPr>
                <w:rStyle w:val="Hipercze"/>
              </w:rPr>
              <w:t>GM1 ADR-DSN.M.690     Światła linii środkowej drogi startowej</w:t>
            </w:r>
            <w:r w:rsidR="00DF65F3">
              <w:rPr>
                <w:webHidden/>
              </w:rPr>
              <w:tab/>
            </w:r>
            <w:r w:rsidR="00DF65F3">
              <w:rPr>
                <w:webHidden/>
              </w:rPr>
              <w:fldChar w:fldCharType="begin"/>
            </w:r>
            <w:r w:rsidR="00DF65F3">
              <w:rPr>
                <w:webHidden/>
              </w:rPr>
              <w:instrText xml:space="preserve"> PAGEREF _Toc12533204 \h </w:instrText>
            </w:r>
            <w:r w:rsidR="00DF65F3">
              <w:rPr>
                <w:webHidden/>
              </w:rPr>
            </w:r>
            <w:r w:rsidR="00DF65F3">
              <w:rPr>
                <w:webHidden/>
              </w:rPr>
              <w:fldChar w:fldCharType="separate"/>
            </w:r>
            <w:r w:rsidR="00F755B7">
              <w:rPr>
                <w:webHidden/>
              </w:rPr>
              <w:t>469</w:t>
            </w:r>
            <w:r w:rsidR="00DF65F3">
              <w:rPr>
                <w:webHidden/>
              </w:rPr>
              <w:fldChar w:fldCharType="end"/>
            </w:r>
          </w:hyperlink>
        </w:p>
        <w:p w14:paraId="3154994A" w14:textId="3D1B5DBB" w:rsidR="00DF65F3" w:rsidRDefault="00870777">
          <w:pPr>
            <w:pStyle w:val="Spistreci4"/>
            <w:rPr>
              <w:sz w:val="22"/>
              <w:lang w:val="en-GB" w:eastAsia="en-GB"/>
            </w:rPr>
          </w:pPr>
          <w:hyperlink w:anchor="_Toc12533205" w:history="1">
            <w:r w:rsidR="00DF65F3" w:rsidRPr="004815D6">
              <w:rPr>
                <w:rStyle w:val="Hipercze"/>
              </w:rPr>
              <w:t>CS ADR-DSN.M.695     Światła strefy przyziemienia</w:t>
            </w:r>
            <w:r w:rsidR="00DF65F3">
              <w:rPr>
                <w:webHidden/>
              </w:rPr>
              <w:tab/>
            </w:r>
            <w:r w:rsidR="00DF65F3">
              <w:rPr>
                <w:webHidden/>
              </w:rPr>
              <w:fldChar w:fldCharType="begin"/>
            </w:r>
            <w:r w:rsidR="00DF65F3">
              <w:rPr>
                <w:webHidden/>
              </w:rPr>
              <w:instrText xml:space="preserve"> PAGEREF _Toc12533205 \h </w:instrText>
            </w:r>
            <w:r w:rsidR="00DF65F3">
              <w:rPr>
                <w:webHidden/>
              </w:rPr>
            </w:r>
            <w:r w:rsidR="00DF65F3">
              <w:rPr>
                <w:webHidden/>
              </w:rPr>
              <w:fldChar w:fldCharType="separate"/>
            </w:r>
            <w:r w:rsidR="00F755B7">
              <w:rPr>
                <w:webHidden/>
              </w:rPr>
              <w:t>469</w:t>
            </w:r>
            <w:r w:rsidR="00DF65F3">
              <w:rPr>
                <w:webHidden/>
              </w:rPr>
              <w:fldChar w:fldCharType="end"/>
            </w:r>
          </w:hyperlink>
        </w:p>
        <w:p w14:paraId="15896DBF" w14:textId="197F39E9" w:rsidR="00DF65F3" w:rsidRDefault="00870777">
          <w:pPr>
            <w:pStyle w:val="Spistreci6"/>
            <w:rPr>
              <w:sz w:val="22"/>
              <w:lang w:val="en-GB" w:eastAsia="en-GB"/>
            </w:rPr>
          </w:pPr>
          <w:hyperlink w:anchor="_Toc12533206" w:history="1">
            <w:r w:rsidR="00DF65F3" w:rsidRPr="004815D6">
              <w:rPr>
                <w:rStyle w:val="Hipercze"/>
              </w:rPr>
              <w:t>GM1 ADR-DSN.M.695     Światła strefy przyziemienia</w:t>
            </w:r>
            <w:r w:rsidR="00DF65F3">
              <w:rPr>
                <w:webHidden/>
              </w:rPr>
              <w:tab/>
            </w:r>
            <w:r w:rsidR="00DF65F3">
              <w:rPr>
                <w:webHidden/>
              </w:rPr>
              <w:fldChar w:fldCharType="begin"/>
            </w:r>
            <w:r w:rsidR="00DF65F3">
              <w:rPr>
                <w:webHidden/>
              </w:rPr>
              <w:instrText xml:space="preserve"> PAGEREF _Toc12533206 \h </w:instrText>
            </w:r>
            <w:r w:rsidR="00DF65F3">
              <w:rPr>
                <w:webHidden/>
              </w:rPr>
            </w:r>
            <w:r w:rsidR="00DF65F3">
              <w:rPr>
                <w:webHidden/>
              </w:rPr>
              <w:fldChar w:fldCharType="separate"/>
            </w:r>
            <w:r w:rsidR="00F755B7">
              <w:rPr>
                <w:webHidden/>
              </w:rPr>
              <w:t>470</w:t>
            </w:r>
            <w:r w:rsidR="00DF65F3">
              <w:rPr>
                <w:webHidden/>
              </w:rPr>
              <w:fldChar w:fldCharType="end"/>
            </w:r>
          </w:hyperlink>
        </w:p>
        <w:p w14:paraId="54440543" w14:textId="04F307A3" w:rsidR="00DF65F3" w:rsidRDefault="00870777">
          <w:pPr>
            <w:pStyle w:val="Spistreci4"/>
            <w:rPr>
              <w:sz w:val="22"/>
              <w:lang w:val="en-GB" w:eastAsia="en-GB"/>
            </w:rPr>
          </w:pPr>
          <w:hyperlink w:anchor="_Toc12533207" w:history="1">
            <w:r w:rsidR="00DF65F3" w:rsidRPr="004815D6">
              <w:rPr>
                <w:rStyle w:val="Hipercze"/>
              </w:rPr>
              <w:t>CS ADR-DSN.M.696     Proste światła strefy przyziemienia</w:t>
            </w:r>
            <w:r w:rsidR="00DF65F3">
              <w:rPr>
                <w:webHidden/>
              </w:rPr>
              <w:tab/>
            </w:r>
            <w:r w:rsidR="00DF65F3">
              <w:rPr>
                <w:webHidden/>
              </w:rPr>
              <w:fldChar w:fldCharType="begin"/>
            </w:r>
            <w:r w:rsidR="00DF65F3">
              <w:rPr>
                <w:webHidden/>
              </w:rPr>
              <w:instrText xml:space="preserve"> PAGEREF _Toc12533207 \h </w:instrText>
            </w:r>
            <w:r w:rsidR="00DF65F3">
              <w:rPr>
                <w:webHidden/>
              </w:rPr>
            </w:r>
            <w:r w:rsidR="00DF65F3">
              <w:rPr>
                <w:webHidden/>
              </w:rPr>
              <w:fldChar w:fldCharType="separate"/>
            </w:r>
            <w:r w:rsidR="00F755B7">
              <w:rPr>
                <w:webHidden/>
              </w:rPr>
              <w:t>470</w:t>
            </w:r>
            <w:r w:rsidR="00DF65F3">
              <w:rPr>
                <w:webHidden/>
              </w:rPr>
              <w:fldChar w:fldCharType="end"/>
            </w:r>
          </w:hyperlink>
        </w:p>
        <w:p w14:paraId="508AC31D" w14:textId="02A19401" w:rsidR="00DF65F3" w:rsidRDefault="00870777">
          <w:pPr>
            <w:pStyle w:val="Spistreci6"/>
            <w:rPr>
              <w:sz w:val="22"/>
              <w:lang w:val="en-GB" w:eastAsia="en-GB"/>
            </w:rPr>
          </w:pPr>
          <w:hyperlink w:anchor="_Toc12533208" w:history="1">
            <w:r w:rsidR="00DF65F3" w:rsidRPr="004815D6">
              <w:rPr>
                <w:rStyle w:val="Hipercze"/>
              </w:rPr>
              <w:t>GM1 ADR-DSN.M.696     Proste światła strefy przyziemienia</w:t>
            </w:r>
            <w:r w:rsidR="00DF65F3">
              <w:rPr>
                <w:webHidden/>
              </w:rPr>
              <w:tab/>
            </w:r>
            <w:r w:rsidR="00DF65F3">
              <w:rPr>
                <w:webHidden/>
              </w:rPr>
              <w:fldChar w:fldCharType="begin"/>
            </w:r>
            <w:r w:rsidR="00DF65F3">
              <w:rPr>
                <w:webHidden/>
              </w:rPr>
              <w:instrText xml:space="preserve"> PAGEREF _Toc12533208 \h </w:instrText>
            </w:r>
            <w:r w:rsidR="00DF65F3">
              <w:rPr>
                <w:webHidden/>
              </w:rPr>
            </w:r>
            <w:r w:rsidR="00DF65F3">
              <w:rPr>
                <w:webHidden/>
              </w:rPr>
              <w:fldChar w:fldCharType="separate"/>
            </w:r>
            <w:r w:rsidR="00F755B7">
              <w:rPr>
                <w:webHidden/>
              </w:rPr>
              <w:t>471</w:t>
            </w:r>
            <w:r w:rsidR="00DF65F3">
              <w:rPr>
                <w:webHidden/>
              </w:rPr>
              <w:fldChar w:fldCharType="end"/>
            </w:r>
          </w:hyperlink>
        </w:p>
        <w:p w14:paraId="766C1F53" w14:textId="1B6BF299" w:rsidR="00DF65F3" w:rsidRDefault="00870777">
          <w:pPr>
            <w:pStyle w:val="Spistreci4"/>
            <w:rPr>
              <w:sz w:val="22"/>
              <w:lang w:val="en-GB" w:eastAsia="en-GB"/>
            </w:rPr>
          </w:pPr>
          <w:hyperlink w:anchor="_Toc12533209" w:history="1">
            <w:r w:rsidR="00DF65F3" w:rsidRPr="004815D6">
              <w:rPr>
                <w:rStyle w:val="Hipercze"/>
              </w:rPr>
              <w:t>CS ADR-DSN.M.700     Światła wskazania drogi kołowania szybkiego zjazdu (RETILs)</w:t>
            </w:r>
            <w:r w:rsidR="00DF65F3">
              <w:rPr>
                <w:webHidden/>
              </w:rPr>
              <w:tab/>
            </w:r>
            <w:r w:rsidR="00DF65F3">
              <w:rPr>
                <w:webHidden/>
              </w:rPr>
              <w:fldChar w:fldCharType="begin"/>
            </w:r>
            <w:r w:rsidR="00DF65F3">
              <w:rPr>
                <w:webHidden/>
              </w:rPr>
              <w:instrText xml:space="preserve"> PAGEREF _Toc12533209 \h </w:instrText>
            </w:r>
            <w:r w:rsidR="00DF65F3">
              <w:rPr>
                <w:webHidden/>
              </w:rPr>
            </w:r>
            <w:r w:rsidR="00DF65F3">
              <w:rPr>
                <w:webHidden/>
              </w:rPr>
              <w:fldChar w:fldCharType="separate"/>
            </w:r>
            <w:r w:rsidR="00F755B7">
              <w:rPr>
                <w:webHidden/>
              </w:rPr>
              <w:t>471</w:t>
            </w:r>
            <w:r w:rsidR="00DF65F3">
              <w:rPr>
                <w:webHidden/>
              </w:rPr>
              <w:fldChar w:fldCharType="end"/>
            </w:r>
          </w:hyperlink>
        </w:p>
        <w:p w14:paraId="2CFAB3A8" w14:textId="0865533F" w:rsidR="00DF65F3" w:rsidRDefault="00870777">
          <w:pPr>
            <w:pStyle w:val="Spistreci6"/>
            <w:rPr>
              <w:sz w:val="22"/>
              <w:lang w:val="en-GB" w:eastAsia="en-GB"/>
            </w:rPr>
          </w:pPr>
          <w:hyperlink w:anchor="_Toc12533210" w:history="1">
            <w:r w:rsidR="00DF65F3" w:rsidRPr="004815D6">
              <w:rPr>
                <w:rStyle w:val="Hipercze"/>
              </w:rPr>
              <w:t>GM1 ADR-DSN.M.700     Światła wskazania drogi kołowania szybkiego zjazdu (RETILs)</w:t>
            </w:r>
            <w:r w:rsidR="00DF65F3">
              <w:rPr>
                <w:webHidden/>
              </w:rPr>
              <w:tab/>
            </w:r>
            <w:r w:rsidR="00DF65F3">
              <w:rPr>
                <w:webHidden/>
              </w:rPr>
              <w:fldChar w:fldCharType="begin"/>
            </w:r>
            <w:r w:rsidR="00DF65F3">
              <w:rPr>
                <w:webHidden/>
              </w:rPr>
              <w:instrText xml:space="preserve"> PAGEREF _Toc12533210 \h </w:instrText>
            </w:r>
            <w:r w:rsidR="00DF65F3">
              <w:rPr>
                <w:webHidden/>
              </w:rPr>
            </w:r>
            <w:r w:rsidR="00DF65F3">
              <w:rPr>
                <w:webHidden/>
              </w:rPr>
              <w:fldChar w:fldCharType="separate"/>
            </w:r>
            <w:r w:rsidR="00F755B7">
              <w:rPr>
                <w:webHidden/>
              </w:rPr>
              <w:t>472</w:t>
            </w:r>
            <w:r w:rsidR="00DF65F3">
              <w:rPr>
                <w:webHidden/>
              </w:rPr>
              <w:fldChar w:fldCharType="end"/>
            </w:r>
          </w:hyperlink>
        </w:p>
        <w:p w14:paraId="28CAFB4A" w14:textId="0D041F87" w:rsidR="00DF65F3" w:rsidRDefault="00870777">
          <w:pPr>
            <w:pStyle w:val="Spistreci4"/>
            <w:rPr>
              <w:sz w:val="22"/>
              <w:lang w:val="en-GB" w:eastAsia="en-GB"/>
            </w:rPr>
          </w:pPr>
          <w:hyperlink w:anchor="_Toc12533211" w:history="1">
            <w:r w:rsidR="00DF65F3" w:rsidRPr="004815D6">
              <w:rPr>
                <w:rStyle w:val="Hipercze"/>
              </w:rPr>
              <w:t>CS ADR-DSN.M.705     Światła zabezpieczenia przerwanego startu</w:t>
            </w:r>
            <w:r w:rsidR="00DF65F3">
              <w:rPr>
                <w:webHidden/>
              </w:rPr>
              <w:tab/>
            </w:r>
            <w:r w:rsidR="00DF65F3">
              <w:rPr>
                <w:webHidden/>
              </w:rPr>
              <w:fldChar w:fldCharType="begin"/>
            </w:r>
            <w:r w:rsidR="00DF65F3">
              <w:rPr>
                <w:webHidden/>
              </w:rPr>
              <w:instrText xml:space="preserve"> PAGEREF _Toc12533211 \h </w:instrText>
            </w:r>
            <w:r w:rsidR="00DF65F3">
              <w:rPr>
                <w:webHidden/>
              </w:rPr>
            </w:r>
            <w:r w:rsidR="00DF65F3">
              <w:rPr>
                <w:webHidden/>
              </w:rPr>
              <w:fldChar w:fldCharType="separate"/>
            </w:r>
            <w:r w:rsidR="00F755B7">
              <w:rPr>
                <w:webHidden/>
              </w:rPr>
              <w:t>473</w:t>
            </w:r>
            <w:r w:rsidR="00DF65F3">
              <w:rPr>
                <w:webHidden/>
              </w:rPr>
              <w:fldChar w:fldCharType="end"/>
            </w:r>
          </w:hyperlink>
        </w:p>
        <w:p w14:paraId="0E1715C2" w14:textId="3D8EDCCB" w:rsidR="00DF65F3" w:rsidRDefault="00870777">
          <w:pPr>
            <w:pStyle w:val="Spistreci6"/>
            <w:rPr>
              <w:sz w:val="22"/>
              <w:lang w:val="en-GB" w:eastAsia="en-GB"/>
            </w:rPr>
          </w:pPr>
          <w:hyperlink w:anchor="_Toc12533212" w:history="1">
            <w:r w:rsidR="00DF65F3" w:rsidRPr="004815D6">
              <w:rPr>
                <w:rStyle w:val="Hipercze"/>
              </w:rPr>
              <w:t>GM1 ADR-DSN.M.705     Światła zabezpieczenia przerwanego startu</w:t>
            </w:r>
            <w:r w:rsidR="00DF65F3">
              <w:rPr>
                <w:webHidden/>
              </w:rPr>
              <w:tab/>
            </w:r>
            <w:r w:rsidR="00DF65F3">
              <w:rPr>
                <w:webHidden/>
              </w:rPr>
              <w:fldChar w:fldCharType="begin"/>
            </w:r>
            <w:r w:rsidR="00DF65F3">
              <w:rPr>
                <w:webHidden/>
              </w:rPr>
              <w:instrText xml:space="preserve"> PAGEREF _Toc12533212 \h </w:instrText>
            </w:r>
            <w:r w:rsidR="00DF65F3">
              <w:rPr>
                <w:webHidden/>
              </w:rPr>
            </w:r>
            <w:r w:rsidR="00DF65F3">
              <w:rPr>
                <w:webHidden/>
              </w:rPr>
              <w:fldChar w:fldCharType="separate"/>
            </w:r>
            <w:r w:rsidR="00F755B7">
              <w:rPr>
                <w:webHidden/>
              </w:rPr>
              <w:t>474</w:t>
            </w:r>
            <w:r w:rsidR="00DF65F3">
              <w:rPr>
                <w:webHidden/>
              </w:rPr>
              <w:fldChar w:fldCharType="end"/>
            </w:r>
          </w:hyperlink>
        </w:p>
        <w:p w14:paraId="26AA7F15" w14:textId="59930370" w:rsidR="00DF65F3" w:rsidRDefault="00870777">
          <w:pPr>
            <w:pStyle w:val="Spistreci4"/>
            <w:rPr>
              <w:sz w:val="22"/>
              <w:lang w:val="en-GB" w:eastAsia="en-GB"/>
            </w:rPr>
          </w:pPr>
          <w:hyperlink w:anchor="_Toc12533213" w:history="1">
            <w:r w:rsidR="00DF65F3" w:rsidRPr="004815D6">
              <w:rPr>
                <w:rStyle w:val="Hipercze"/>
              </w:rPr>
              <w:t>CS ADR-DSN.M.706     Światła stanu drogi startowej (RWSL)</w:t>
            </w:r>
            <w:r w:rsidR="00DF65F3">
              <w:rPr>
                <w:webHidden/>
              </w:rPr>
              <w:tab/>
            </w:r>
            <w:r w:rsidR="00DF65F3">
              <w:rPr>
                <w:webHidden/>
              </w:rPr>
              <w:fldChar w:fldCharType="begin"/>
            </w:r>
            <w:r w:rsidR="00DF65F3">
              <w:rPr>
                <w:webHidden/>
              </w:rPr>
              <w:instrText xml:space="preserve"> PAGEREF _Toc12533213 \h </w:instrText>
            </w:r>
            <w:r w:rsidR="00DF65F3">
              <w:rPr>
                <w:webHidden/>
              </w:rPr>
            </w:r>
            <w:r w:rsidR="00DF65F3">
              <w:rPr>
                <w:webHidden/>
              </w:rPr>
              <w:fldChar w:fldCharType="separate"/>
            </w:r>
            <w:r w:rsidR="00F755B7">
              <w:rPr>
                <w:webHidden/>
              </w:rPr>
              <w:t>474</w:t>
            </w:r>
            <w:r w:rsidR="00DF65F3">
              <w:rPr>
                <w:webHidden/>
              </w:rPr>
              <w:fldChar w:fldCharType="end"/>
            </w:r>
          </w:hyperlink>
        </w:p>
        <w:p w14:paraId="75DA06AB" w14:textId="753F0597" w:rsidR="00DF65F3" w:rsidRDefault="00870777">
          <w:pPr>
            <w:pStyle w:val="Spistreci6"/>
            <w:tabs>
              <w:tab w:val="left" w:pos="2950"/>
            </w:tabs>
            <w:rPr>
              <w:sz w:val="22"/>
              <w:lang w:val="en-GB" w:eastAsia="en-GB"/>
            </w:rPr>
          </w:pPr>
          <w:hyperlink w:anchor="_Toc12533214" w:history="1">
            <w:r w:rsidR="00DF65F3" w:rsidRPr="004815D6">
              <w:rPr>
                <w:rStyle w:val="Hipercze"/>
              </w:rPr>
              <w:t xml:space="preserve">GM1 ADR-DSN.M.706 </w:t>
            </w:r>
            <w:r w:rsidR="00DF65F3">
              <w:rPr>
                <w:sz w:val="22"/>
                <w:lang w:val="en-GB" w:eastAsia="en-GB"/>
              </w:rPr>
              <w:tab/>
            </w:r>
            <w:r w:rsidR="00DF65F3" w:rsidRPr="004815D6">
              <w:rPr>
                <w:rStyle w:val="Hipercze"/>
              </w:rPr>
              <w:t>Światła stanu drogi startowej (RWSL)</w:t>
            </w:r>
            <w:r w:rsidR="00DF65F3">
              <w:rPr>
                <w:webHidden/>
              </w:rPr>
              <w:tab/>
            </w:r>
            <w:r w:rsidR="00DF65F3">
              <w:rPr>
                <w:webHidden/>
              </w:rPr>
              <w:fldChar w:fldCharType="begin"/>
            </w:r>
            <w:r w:rsidR="00DF65F3">
              <w:rPr>
                <w:webHidden/>
              </w:rPr>
              <w:instrText xml:space="preserve"> PAGEREF _Toc12533214 \h </w:instrText>
            </w:r>
            <w:r w:rsidR="00DF65F3">
              <w:rPr>
                <w:webHidden/>
              </w:rPr>
            </w:r>
            <w:r w:rsidR="00DF65F3">
              <w:rPr>
                <w:webHidden/>
              </w:rPr>
              <w:fldChar w:fldCharType="separate"/>
            </w:r>
            <w:r w:rsidR="00F755B7">
              <w:rPr>
                <w:webHidden/>
              </w:rPr>
              <w:t>475</w:t>
            </w:r>
            <w:r w:rsidR="00DF65F3">
              <w:rPr>
                <w:webHidden/>
              </w:rPr>
              <w:fldChar w:fldCharType="end"/>
            </w:r>
          </w:hyperlink>
        </w:p>
        <w:p w14:paraId="483EB73F" w14:textId="1248ED3B" w:rsidR="00DF65F3" w:rsidRDefault="00870777">
          <w:pPr>
            <w:pStyle w:val="Spistreci4"/>
            <w:rPr>
              <w:sz w:val="22"/>
              <w:lang w:val="en-GB" w:eastAsia="en-GB"/>
            </w:rPr>
          </w:pPr>
          <w:hyperlink w:anchor="_Toc12533215" w:history="1">
            <w:r w:rsidR="00DF65F3" w:rsidRPr="004815D6">
              <w:rPr>
                <w:rStyle w:val="Hipercze"/>
              </w:rPr>
              <w:t>CS ADR-DSN.M.710     Światła linii środkowej drogi kołowania</w:t>
            </w:r>
            <w:r w:rsidR="00DF65F3">
              <w:rPr>
                <w:webHidden/>
              </w:rPr>
              <w:tab/>
            </w:r>
            <w:r w:rsidR="00DF65F3">
              <w:rPr>
                <w:webHidden/>
              </w:rPr>
              <w:fldChar w:fldCharType="begin"/>
            </w:r>
            <w:r w:rsidR="00DF65F3">
              <w:rPr>
                <w:webHidden/>
              </w:rPr>
              <w:instrText xml:space="preserve"> PAGEREF _Toc12533215 \h </w:instrText>
            </w:r>
            <w:r w:rsidR="00DF65F3">
              <w:rPr>
                <w:webHidden/>
              </w:rPr>
            </w:r>
            <w:r w:rsidR="00DF65F3">
              <w:rPr>
                <w:webHidden/>
              </w:rPr>
              <w:fldChar w:fldCharType="separate"/>
            </w:r>
            <w:r w:rsidR="00F755B7">
              <w:rPr>
                <w:webHidden/>
              </w:rPr>
              <w:t>475</w:t>
            </w:r>
            <w:r w:rsidR="00DF65F3">
              <w:rPr>
                <w:webHidden/>
              </w:rPr>
              <w:fldChar w:fldCharType="end"/>
            </w:r>
          </w:hyperlink>
        </w:p>
        <w:p w14:paraId="2908BFBC" w14:textId="2CFE6DAF" w:rsidR="00DF65F3" w:rsidRDefault="00870777">
          <w:pPr>
            <w:pStyle w:val="Spistreci6"/>
            <w:rPr>
              <w:sz w:val="22"/>
              <w:lang w:val="en-GB" w:eastAsia="en-GB"/>
            </w:rPr>
          </w:pPr>
          <w:hyperlink w:anchor="_Toc12533216" w:history="1">
            <w:r w:rsidR="00DF65F3" w:rsidRPr="004815D6">
              <w:rPr>
                <w:rStyle w:val="Hipercze"/>
              </w:rPr>
              <w:t>GM1 ADR-DSN.M.710     Światła linii środkowej drogi kołowania</w:t>
            </w:r>
            <w:r w:rsidR="00DF65F3">
              <w:rPr>
                <w:webHidden/>
              </w:rPr>
              <w:tab/>
            </w:r>
            <w:r w:rsidR="00DF65F3">
              <w:rPr>
                <w:webHidden/>
              </w:rPr>
              <w:fldChar w:fldCharType="begin"/>
            </w:r>
            <w:r w:rsidR="00DF65F3">
              <w:rPr>
                <w:webHidden/>
              </w:rPr>
              <w:instrText xml:space="preserve"> PAGEREF _Toc12533216 \h </w:instrText>
            </w:r>
            <w:r w:rsidR="00DF65F3">
              <w:rPr>
                <w:webHidden/>
              </w:rPr>
            </w:r>
            <w:r w:rsidR="00DF65F3">
              <w:rPr>
                <w:webHidden/>
              </w:rPr>
              <w:fldChar w:fldCharType="separate"/>
            </w:r>
            <w:r w:rsidR="00F755B7">
              <w:rPr>
                <w:webHidden/>
              </w:rPr>
              <w:t>477</w:t>
            </w:r>
            <w:r w:rsidR="00DF65F3">
              <w:rPr>
                <w:webHidden/>
              </w:rPr>
              <w:fldChar w:fldCharType="end"/>
            </w:r>
          </w:hyperlink>
        </w:p>
        <w:p w14:paraId="4FB04C96" w14:textId="40CDA228" w:rsidR="00DF65F3" w:rsidRDefault="00870777">
          <w:pPr>
            <w:pStyle w:val="Spistreci4"/>
            <w:rPr>
              <w:sz w:val="22"/>
              <w:lang w:val="en-GB" w:eastAsia="en-GB"/>
            </w:rPr>
          </w:pPr>
          <w:hyperlink w:anchor="_Toc12533217" w:history="1">
            <w:r w:rsidR="00DF65F3" w:rsidRPr="004815D6">
              <w:rPr>
                <w:rStyle w:val="Hipercze"/>
              </w:rPr>
              <w:t>CS ADR-DSN.M.715     Światła linii środkowej drogi kołowania na drogach kołowania, drogach startowych, drogach kołowania szybkiego zjazdu lub na innych drogach kołowania przeznaczonych do zjazdu</w:t>
            </w:r>
            <w:r w:rsidR="00DF65F3">
              <w:rPr>
                <w:webHidden/>
              </w:rPr>
              <w:tab/>
            </w:r>
            <w:r w:rsidR="00DF65F3">
              <w:rPr>
                <w:webHidden/>
              </w:rPr>
              <w:fldChar w:fldCharType="begin"/>
            </w:r>
            <w:r w:rsidR="00DF65F3">
              <w:rPr>
                <w:webHidden/>
              </w:rPr>
              <w:instrText xml:space="preserve"> PAGEREF _Toc12533217 \h </w:instrText>
            </w:r>
            <w:r w:rsidR="00DF65F3">
              <w:rPr>
                <w:webHidden/>
              </w:rPr>
            </w:r>
            <w:r w:rsidR="00DF65F3">
              <w:rPr>
                <w:webHidden/>
              </w:rPr>
              <w:fldChar w:fldCharType="separate"/>
            </w:r>
            <w:r w:rsidR="00F755B7">
              <w:rPr>
                <w:webHidden/>
              </w:rPr>
              <w:t>478</w:t>
            </w:r>
            <w:r w:rsidR="00DF65F3">
              <w:rPr>
                <w:webHidden/>
              </w:rPr>
              <w:fldChar w:fldCharType="end"/>
            </w:r>
          </w:hyperlink>
        </w:p>
        <w:p w14:paraId="397706A9" w14:textId="4C9BDD7C" w:rsidR="00DF65F3" w:rsidRDefault="00870777">
          <w:pPr>
            <w:pStyle w:val="Spistreci6"/>
            <w:rPr>
              <w:sz w:val="22"/>
              <w:lang w:val="en-GB" w:eastAsia="en-GB"/>
            </w:rPr>
          </w:pPr>
          <w:hyperlink w:anchor="_Toc12533218" w:history="1">
            <w:r w:rsidR="00DF65F3" w:rsidRPr="004815D6">
              <w:rPr>
                <w:rStyle w:val="Hipercze"/>
              </w:rPr>
              <w:t>GM1 ADR-DSN.M.715     Światła linii środkowej drogi kołowania na drogach kołowania, drogach startowych, drogach kołowania szybkiego zjazdu lub na innych drogach kołowania przeznaczonych do zjazdu</w:t>
            </w:r>
            <w:r w:rsidR="00DF65F3">
              <w:rPr>
                <w:webHidden/>
              </w:rPr>
              <w:tab/>
            </w:r>
            <w:r w:rsidR="00DF65F3">
              <w:rPr>
                <w:webHidden/>
              </w:rPr>
              <w:fldChar w:fldCharType="begin"/>
            </w:r>
            <w:r w:rsidR="00DF65F3">
              <w:rPr>
                <w:webHidden/>
              </w:rPr>
              <w:instrText xml:space="preserve"> PAGEREF _Toc12533218 \h </w:instrText>
            </w:r>
            <w:r w:rsidR="00DF65F3">
              <w:rPr>
                <w:webHidden/>
              </w:rPr>
            </w:r>
            <w:r w:rsidR="00DF65F3">
              <w:rPr>
                <w:webHidden/>
              </w:rPr>
              <w:fldChar w:fldCharType="separate"/>
            </w:r>
            <w:r w:rsidR="00F755B7">
              <w:rPr>
                <w:webHidden/>
              </w:rPr>
              <w:t>481</w:t>
            </w:r>
            <w:r w:rsidR="00DF65F3">
              <w:rPr>
                <w:webHidden/>
              </w:rPr>
              <w:fldChar w:fldCharType="end"/>
            </w:r>
          </w:hyperlink>
        </w:p>
        <w:p w14:paraId="26475803" w14:textId="3DB91725" w:rsidR="00DF65F3" w:rsidRDefault="00870777">
          <w:pPr>
            <w:pStyle w:val="Spistreci4"/>
            <w:rPr>
              <w:sz w:val="22"/>
              <w:lang w:val="en-GB" w:eastAsia="en-GB"/>
            </w:rPr>
          </w:pPr>
          <w:hyperlink w:anchor="_Toc12533219" w:history="1">
            <w:r w:rsidR="00DF65F3" w:rsidRPr="004815D6">
              <w:rPr>
                <w:rStyle w:val="Hipercze"/>
              </w:rPr>
              <w:t>CS ADR-DSN.M.720     Światła krawędzi drogi kołowania</w:t>
            </w:r>
            <w:r w:rsidR="00DF65F3">
              <w:rPr>
                <w:webHidden/>
              </w:rPr>
              <w:tab/>
            </w:r>
            <w:r w:rsidR="00DF65F3">
              <w:rPr>
                <w:webHidden/>
              </w:rPr>
              <w:fldChar w:fldCharType="begin"/>
            </w:r>
            <w:r w:rsidR="00DF65F3">
              <w:rPr>
                <w:webHidden/>
              </w:rPr>
              <w:instrText xml:space="preserve"> PAGEREF _Toc12533219 \h </w:instrText>
            </w:r>
            <w:r w:rsidR="00DF65F3">
              <w:rPr>
                <w:webHidden/>
              </w:rPr>
            </w:r>
            <w:r w:rsidR="00DF65F3">
              <w:rPr>
                <w:webHidden/>
              </w:rPr>
              <w:fldChar w:fldCharType="separate"/>
            </w:r>
            <w:r w:rsidR="00F755B7">
              <w:rPr>
                <w:webHidden/>
              </w:rPr>
              <w:t>481</w:t>
            </w:r>
            <w:r w:rsidR="00DF65F3">
              <w:rPr>
                <w:webHidden/>
              </w:rPr>
              <w:fldChar w:fldCharType="end"/>
            </w:r>
          </w:hyperlink>
        </w:p>
        <w:p w14:paraId="1A084408" w14:textId="6D9A23CA" w:rsidR="00DF65F3" w:rsidRDefault="00870777">
          <w:pPr>
            <w:pStyle w:val="Spistreci6"/>
            <w:rPr>
              <w:sz w:val="22"/>
              <w:lang w:val="en-GB" w:eastAsia="en-GB"/>
            </w:rPr>
          </w:pPr>
          <w:hyperlink w:anchor="_Toc12533220" w:history="1">
            <w:r w:rsidR="00DF65F3" w:rsidRPr="004815D6">
              <w:rPr>
                <w:rStyle w:val="Hipercze"/>
              </w:rPr>
              <w:t>GM1 ADR-DSN.M.720     Światła krawędzi drogi kołowania</w:t>
            </w:r>
            <w:r w:rsidR="00DF65F3">
              <w:rPr>
                <w:webHidden/>
              </w:rPr>
              <w:tab/>
            </w:r>
            <w:r w:rsidR="00DF65F3">
              <w:rPr>
                <w:webHidden/>
              </w:rPr>
              <w:fldChar w:fldCharType="begin"/>
            </w:r>
            <w:r w:rsidR="00DF65F3">
              <w:rPr>
                <w:webHidden/>
              </w:rPr>
              <w:instrText xml:space="preserve"> PAGEREF _Toc12533220 \h </w:instrText>
            </w:r>
            <w:r w:rsidR="00DF65F3">
              <w:rPr>
                <w:webHidden/>
              </w:rPr>
            </w:r>
            <w:r w:rsidR="00DF65F3">
              <w:rPr>
                <w:webHidden/>
              </w:rPr>
              <w:fldChar w:fldCharType="separate"/>
            </w:r>
            <w:r w:rsidR="00F755B7">
              <w:rPr>
                <w:webHidden/>
              </w:rPr>
              <w:t>482</w:t>
            </w:r>
            <w:r w:rsidR="00DF65F3">
              <w:rPr>
                <w:webHidden/>
              </w:rPr>
              <w:fldChar w:fldCharType="end"/>
            </w:r>
          </w:hyperlink>
        </w:p>
        <w:p w14:paraId="4A26B1AF" w14:textId="584179E4" w:rsidR="00DF65F3" w:rsidRDefault="00870777">
          <w:pPr>
            <w:pStyle w:val="Spistreci4"/>
            <w:rPr>
              <w:sz w:val="22"/>
              <w:lang w:val="en-GB" w:eastAsia="en-GB"/>
            </w:rPr>
          </w:pPr>
          <w:hyperlink w:anchor="_Toc12533221" w:history="1">
            <w:r w:rsidR="00DF65F3" w:rsidRPr="004815D6">
              <w:rPr>
                <w:rStyle w:val="Hipercze"/>
              </w:rPr>
              <w:t>CS ADR-DSN.M.725     Światła płaszczyzny do zawracania na drodze startowej</w:t>
            </w:r>
            <w:r w:rsidR="00DF65F3">
              <w:rPr>
                <w:webHidden/>
              </w:rPr>
              <w:tab/>
            </w:r>
            <w:r w:rsidR="00DF65F3">
              <w:rPr>
                <w:webHidden/>
              </w:rPr>
              <w:fldChar w:fldCharType="begin"/>
            </w:r>
            <w:r w:rsidR="00DF65F3">
              <w:rPr>
                <w:webHidden/>
              </w:rPr>
              <w:instrText xml:space="preserve"> PAGEREF _Toc12533221 \h </w:instrText>
            </w:r>
            <w:r w:rsidR="00DF65F3">
              <w:rPr>
                <w:webHidden/>
              </w:rPr>
            </w:r>
            <w:r w:rsidR="00DF65F3">
              <w:rPr>
                <w:webHidden/>
              </w:rPr>
              <w:fldChar w:fldCharType="separate"/>
            </w:r>
            <w:r w:rsidR="00F755B7">
              <w:rPr>
                <w:webHidden/>
              </w:rPr>
              <w:t>482</w:t>
            </w:r>
            <w:r w:rsidR="00DF65F3">
              <w:rPr>
                <w:webHidden/>
              </w:rPr>
              <w:fldChar w:fldCharType="end"/>
            </w:r>
          </w:hyperlink>
        </w:p>
        <w:p w14:paraId="497B6B0E" w14:textId="5E64C8BB" w:rsidR="00DF65F3" w:rsidRDefault="00870777">
          <w:pPr>
            <w:pStyle w:val="Spistreci6"/>
            <w:rPr>
              <w:sz w:val="22"/>
              <w:lang w:val="en-GB" w:eastAsia="en-GB"/>
            </w:rPr>
          </w:pPr>
          <w:hyperlink w:anchor="_Toc12533222" w:history="1">
            <w:r w:rsidR="00DF65F3" w:rsidRPr="004815D6">
              <w:rPr>
                <w:rStyle w:val="Hipercze"/>
              </w:rPr>
              <w:t>GM1 ADR-DSN.M.725     Światła płaszczyzny do zawracania na drodze startowej</w:t>
            </w:r>
            <w:r w:rsidR="00DF65F3">
              <w:rPr>
                <w:webHidden/>
              </w:rPr>
              <w:tab/>
            </w:r>
            <w:r w:rsidR="00DF65F3">
              <w:rPr>
                <w:webHidden/>
              </w:rPr>
              <w:fldChar w:fldCharType="begin"/>
            </w:r>
            <w:r w:rsidR="00DF65F3">
              <w:rPr>
                <w:webHidden/>
              </w:rPr>
              <w:instrText xml:space="preserve"> PAGEREF _Toc12533222 \h </w:instrText>
            </w:r>
            <w:r w:rsidR="00DF65F3">
              <w:rPr>
                <w:webHidden/>
              </w:rPr>
            </w:r>
            <w:r w:rsidR="00DF65F3">
              <w:rPr>
                <w:webHidden/>
              </w:rPr>
              <w:fldChar w:fldCharType="separate"/>
            </w:r>
            <w:r w:rsidR="00F755B7">
              <w:rPr>
                <w:webHidden/>
              </w:rPr>
              <w:t>483</w:t>
            </w:r>
            <w:r w:rsidR="00DF65F3">
              <w:rPr>
                <w:webHidden/>
              </w:rPr>
              <w:fldChar w:fldCharType="end"/>
            </w:r>
          </w:hyperlink>
        </w:p>
        <w:p w14:paraId="1EC6C1D1" w14:textId="4A5900E6" w:rsidR="00DF65F3" w:rsidRDefault="00870777">
          <w:pPr>
            <w:pStyle w:val="Spistreci4"/>
            <w:rPr>
              <w:sz w:val="22"/>
              <w:lang w:val="en-GB" w:eastAsia="en-GB"/>
            </w:rPr>
          </w:pPr>
          <w:hyperlink w:anchor="_Toc12533223" w:history="1">
            <w:r w:rsidR="00DF65F3" w:rsidRPr="004815D6">
              <w:rPr>
                <w:rStyle w:val="Hipercze"/>
              </w:rPr>
              <w:t>CS ADR-DSN.M.730     Poprzeczki zatrzymania</w:t>
            </w:r>
            <w:r w:rsidR="00DF65F3">
              <w:rPr>
                <w:webHidden/>
              </w:rPr>
              <w:tab/>
            </w:r>
            <w:r w:rsidR="00DF65F3">
              <w:rPr>
                <w:webHidden/>
              </w:rPr>
              <w:fldChar w:fldCharType="begin"/>
            </w:r>
            <w:r w:rsidR="00DF65F3">
              <w:rPr>
                <w:webHidden/>
              </w:rPr>
              <w:instrText xml:space="preserve"> PAGEREF _Toc12533223 \h </w:instrText>
            </w:r>
            <w:r w:rsidR="00DF65F3">
              <w:rPr>
                <w:webHidden/>
              </w:rPr>
            </w:r>
            <w:r w:rsidR="00DF65F3">
              <w:rPr>
                <w:webHidden/>
              </w:rPr>
              <w:fldChar w:fldCharType="separate"/>
            </w:r>
            <w:r w:rsidR="00F755B7">
              <w:rPr>
                <w:webHidden/>
              </w:rPr>
              <w:t>483</w:t>
            </w:r>
            <w:r w:rsidR="00DF65F3">
              <w:rPr>
                <w:webHidden/>
              </w:rPr>
              <w:fldChar w:fldCharType="end"/>
            </w:r>
          </w:hyperlink>
        </w:p>
        <w:p w14:paraId="4A063E93" w14:textId="1641C0B8" w:rsidR="00DF65F3" w:rsidRDefault="00870777">
          <w:pPr>
            <w:pStyle w:val="Spistreci6"/>
            <w:rPr>
              <w:sz w:val="22"/>
              <w:lang w:val="en-GB" w:eastAsia="en-GB"/>
            </w:rPr>
          </w:pPr>
          <w:hyperlink w:anchor="_Toc12533224" w:history="1">
            <w:r w:rsidR="00DF65F3" w:rsidRPr="004815D6">
              <w:rPr>
                <w:rStyle w:val="Hipercze"/>
              </w:rPr>
              <w:t>GM1 ADR-DSN.M.730     Poprzeczki zatrzymania</w:t>
            </w:r>
            <w:r w:rsidR="00DF65F3">
              <w:rPr>
                <w:webHidden/>
              </w:rPr>
              <w:tab/>
            </w:r>
            <w:r w:rsidR="00DF65F3">
              <w:rPr>
                <w:webHidden/>
              </w:rPr>
              <w:fldChar w:fldCharType="begin"/>
            </w:r>
            <w:r w:rsidR="00DF65F3">
              <w:rPr>
                <w:webHidden/>
              </w:rPr>
              <w:instrText xml:space="preserve"> PAGEREF _Toc12533224 \h </w:instrText>
            </w:r>
            <w:r w:rsidR="00DF65F3">
              <w:rPr>
                <w:webHidden/>
              </w:rPr>
            </w:r>
            <w:r w:rsidR="00DF65F3">
              <w:rPr>
                <w:webHidden/>
              </w:rPr>
              <w:fldChar w:fldCharType="separate"/>
            </w:r>
            <w:r w:rsidR="00F755B7">
              <w:rPr>
                <w:webHidden/>
              </w:rPr>
              <w:t>484</w:t>
            </w:r>
            <w:r w:rsidR="00DF65F3">
              <w:rPr>
                <w:webHidden/>
              </w:rPr>
              <w:fldChar w:fldCharType="end"/>
            </w:r>
          </w:hyperlink>
        </w:p>
        <w:p w14:paraId="6C9B6A76" w14:textId="3A164B96" w:rsidR="00DF65F3" w:rsidRDefault="00870777">
          <w:pPr>
            <w:pStyle w:val="Spistreci4"/>
            <w:rPr>
              <w:sz w:val="22"/>
              <w:lang w:val="en-GB" w:eastAsia="en-GB"/>
            </w:rPr>
          </w:pPr>
          <w:hyperlink w:anchor="_Toc12533225" w:history="1">
            <w:r w:rsidR="00DF65F3" w:rsidRPr="004815D6">
              <w:rPr>
                <w:rStyle w:val="Hipercze"/>
              </w:rPr>
              <w:t>CS ADR-DSN.M.735     Światła pośredniego miejsca oczekiwania</w:t>
            </w:r>
            <w:r w:rsidR="00DF65F3">
              <w:rPr>
                <w:webHidden/>
              </w:rPr>
              <w:tab/>
            </w:r>
            <w:r w:rsidR="00DF65F3">
              <w:rPr>
                <w:webHidden/>
              </w:rPr>
              <w:fldChar w:fldCharType="begin"/>
            </w:r>
            <w:r w:rsidR="00DF65F3">
              <w:rPr>
                <w:webHidden/>
              </w:rPr>
              <w:instrText xml:space="preserve"> PAGEREF _Toc12533225 \h </w:instrText>
            </w:r>
            <w:r w:rsidR="00DF65F3">
              <w:rPr>
                <w:webHidden/>
              </w:rPr>
            </w:r>
            <w:r w:rsidR="00DF65F3">
              <w:rPr>
                <w:webHidden/>
              </w:rPr>
              <w:fldChar w:fldCharType="separate"/>
            </w:r>
            <w:r w:rsidR="00F755B7">
              <w:rPr>
                <w:webHidden/>
              </w:rPr>
              <w:t>485</w:t>
            </w:r>
            <w:r w:rsidR="00DF65F3">
              <w:rPr>
                <w:webHidden/>
              </w:rPr>
              <w:fldChar w:fldCharType="end"/>
            </w:r>
          </w:hyperlink>
        </w:p>
        <w:p w14:paraId="215021A3" w14:textId="3C49A9E9" w:rsidR="00DF65F3" w:rsidRDefault="00870777">
          <w:pPr>
            <w:pStyle w:val="Spistreci6"/>
            <w:rPr>
              <w:sz w:val="22"/>
              <w:lang w:val="en-GB" w:eastAsia="en-GB"/>
            </w:rPr>
          </w:pPr>
          <w:hyperlink w:anchor="_Toc12533226" w:history="1">
            <w:r w:rsidR="00DF65F3" w:rsidRPr="004815D6">
              <w:rPr>
                <w:rStyle w:val="Hipercze"/>
              </w:rPr>
              <w:t>GM1 ADR-DSN.M.735     Światła pośredniego miejsca oczekiwania</w:t>
            </w:r>
            <w:r w:rsidR="00DF65F3">
              <w:rPr>
                <w:webHidden/>
              </w:rPr>
              <w:tab/>
            </w:r>
            <w:r w:rsidR="00DF65F3">
              <w:rPr>
                <w:webHidden/>
              </w:rPr>
              <w:fldChar w:fldCharType="begin"/>
            </w:r>
            <w:r w:rsidR="00DF65F3">
              <w:rPr>
                <w:webHidden/>
              </w:rPr>
              <w:instrText xml:space="preserve"> PAGEREF _Toc12533226 \h </w:instrText>
            </w:r>
            <w:r w:rsidR="00DF65F3">
              <w:rPr>
                <w:webHidden/>
              </w:rPr>
            </w:r>
            <w:r w:rsidR="00DF65F3">
              <w:rPr>
                <w:webHidden/>
              </w:rPr>
              <w:fldChar w:fldCharType="separate"/>
            </w:r>
            <w:r w:rsidR="00F755B7">
              <w:rPr>
                <w:webHidden/>
              </w:rPr>
              <w:t>485</w:t>
            </w:r>
            <w:r w:rsidR="00DF65F3">
              <w:rPr>
                <w:webHidden/>
              </w:rPr>
              <w:fldChar w:fldCharType="end"/>
            </w:r>
          </w:hyperlink>
        </w:p>
        <w:p w14:paraId="1A272BEE" w14:textId="6303B682" w:rsidR="00DF65F3" w:rsidRDefault="00870777">
          <w:pPr>
            <w:pStyle w:val="Spistreci4"/>
            <w:rPr>
              <w:sz w:val="22"/>
              <w:lang w:val="en-GB" w:eastAsia="en-GB"/>
            </w:rPr>
          </w:pPr>
          <w:hyperlink w:anchor="_Toc12533227" w:history="1">
            <w:r w:rsidR="00DF65F3" w:rsidRPr="004815D6">
              <w:rPr>
                <w:rStyle w:val="Hipercze"/>
              </w:rPr>
              <w:t>CS ADR-DSN.M.740     Światła wyjazdu ze stanowiska do odladzania / przeciwdziałania oblodzeniu</w:t>
            </w:r>
            <w:r w:rsidR="00DF65F3">
              <w:rPr>
                <w:webHidden/>
              </w:rPr>
              <w:tab/>
            </w:r>
            <w:r w:rsidR="00DF65F3">
              <w:rPr>
                <w:webHidden/>
              </w:rPr>
              <w:fldChar w:fldCharType="begin"/>
            </w:r>
            <w:r w:rsidR="00DF65F3">
              <w:rPr>
                <w:webHidden/>
              </w:rPr>
              <w:instrText xml:space="preserve"> PAGEREF _Toc12533227 \h </w:instrText>
            </w:r>
            <w:r w:rsidR="00DF65F3">
              <w:rPr>
                <w:webHidden/>
              </w:rPr>
            </w:r>
            <w:r w:rsidR="00DF65F3">
              <w:rPr>
                <w:webHidden/>
              </w:rPr>
              <w:fldChar w:fldCharType="separate"/>
            </w:r>
            <w:r w:rsidR="00F755B7">
              <w:rPr>
                <w:webHidden/>
              </w:rPr>
              <w:t>486</w:t>
            </w:r>
            <w:r w:rsidR="00DF65F3">
              <w:rPr>
                <w:webHidden/>
              </w:rPr>
              <w:fldChar w:fldCharType="end"/>
            </w:r>
          </w:hyperlink>
        </w:p>
        <w:p w14:paraId="6BCD0866" w14:textId="09DC0C05" w:rsidR="00DF65F3" w:rsidRDefault="00870777">
          <w:pPr>
            <w:pStyle w:val="Spistreci6"/>
            <w:rPr>
              <w:sz w:val="22"/>
              <w:lang w:val="en-GB" w:eastAsia="en-GB"/>
            </w:rPr>
          </w:pPr>
          <w:hyperlink w:anchor="_Toc12533228" w:history="1">
            <w:r w:rsidR="00DF65F3" w:rsidRPr="004815D6">
              <w:rPr>
                <w:rStyle w:val="Hipercze"/>
              </w:rPr>
              <w:t>GM1 ADR-DSN.M.740     Światła wyjazdu ze stanowiska do odladzania / przeciwdziałania    oblodzeniu</w:t>
            </w:r>
            <w:r w:rsidR="00DF65F3">
              <w:rPr>
                <w:webHidden/>
              </w:rPr>
              <w:tab/>
            </w:r>
            <w:r w:rsidR="00DF65F3">
              <w:rPr>
                <w:webHidden/>
              </w:rPr>
              <w:fldChar w:fldCharType="begin"/>
            </w:r>
            <w:r w:rsidR="00DF65F3">
              <w:rPr>
                <w:webHidden/>
              </w:rPr>
              <w:instrText xml:space="preserve"> PAGEREF _Toc12533228 \h </w:instrText>
            </w:r>
            <w:r w:rsidR="00DF65F3">
              <w:rPr>
                <w:webHidden/>
              </w:rPr>
            </w:r>
            <w:r w:rsidR="00DF65F3">
              <w:rPr>
                <w:webHidden/>
              </w:rPr>
              <w:fldChar w:fldCharType="separate"/>
            </w:r>
            <w:r w:rsidR="00F755B7">
              <w:rPr>
                <w:webHidden/>
              </w:rPr>
              <w:t>486</w:t>
            </w:r>
            <w:r w:rsidR="00DF65F3">
              <w:rPr>
                <w:webHidden/>
              </w:rPr>
              <w:fldChar w:fldCharType="end"/>
            </w:r>
          </w:hyperlink>
        </w:p>
        <w:p w14:paraId="33C82113" w14:textId="16C4E9DE" w:rsidR="00DF65F3" w:rsidRDefault="00870777">
          <w:pPr>
            <w:pStyle w:val="Spistreci4"/>
            <w:rPr>
              <w:sz w:val="22"/>
              <w:lang w:val="en-GB" w:eastAsia="en-GB"/>
            </w:rPr>
          </w:pPr>
          <w:hyperlink w:anchor="_Toc12533229" w:history="1">
            <w:r w:rsidR="00DF65F3" w:rsidRPr="004815D6">
              <w:rPr>
                <w:rStyle w:val="Hipercze"/>
              </w:rPr>
              <w:t>CS ADR-DSN.M.745     Światła ochronne drogi startowej</w:t>
            </w:r>
            <w:r w:rsidR="00DF65F3">
              <w:rPr>
                <w:webHidden/>
              </w:rPr>
              <w:tab/>
            </w:r>
            <w:r w:rsidR="00DF65F3">
              <w:rPr>
                <w:webHidden/>
              </w:rPr>
              <w:fldChar w:fldCharType="begin"/>
            </w:r>
            <w:r w:rsidR="00DF65F3">
              <w:rPr>
                <w:webHidden/>
              </w:rPr>
              <w:instrText xml:space="preserve"> PAGEREF _Toc12533229 \h </w:instrText>
            </w:r>
            <w:r w:rsidR="00DF65F3">
              <w:rPr>
                <w:webHidden/>
              </w:rPr>
            </w:r>
            <w:r w:rsidR="00DF65F3">
              <w:rPr>
                <w:webHidden/>
              </w:rPr>
              <w:fldChar w:fldCharType="separate"/>
            </w:r>
            <w:r w:rsidR="00F755B7">
              <w:rPr>
                <w:webHidden/>
              </w:rPr>
              <w:t>487</w:t>
            </w:r>
            <w:r w:rsidR="00DF65F3">
              <w:rPr>
                <w:webHidden/>
              </w:rPr>
              <w:fldChar w:fldCharType="end"/>
            </w:r>
          </w:hyperlink>
        </w:p>
        <w:p w14:paraId="1FA99EA9" w14:textId="654025C7" w:rsidR="00DF65F3" w:rsidRDefault="00870777">
          <w:pPr>
            <w:pStyle w:val="Spistreci6"/>
            <w:rPr>
              <w:sz w:val="22"/>
              <w:lang w:val="en-GB" w:eastAsia="en-GB"/>
            </w:rPr>
          </w:pPr>
          <w:hyperlink w:anchor="_Toc12533230" w:history="1">
            <w:r w:rsidR="00DF65F3" w:rsidRPr="004815D6">
              <w:rPr>
                <w:rStyle w:val="Hipercze"/>
              </w:rPr>
              <w:t>GM1 ADR-DSN.M.745     Światła ochronne drogi startowej</w:t>
            </w:r>
            <w:r w:rsidR="00DF65F3">
              <w:rPr>
                <w:webHidden/>
              </w:rPr>
              <w:tab/>
            </w:r>
            <w:r w:rsidR="00DF65F3">
              <w:rPr>
                <w:webHidden/>
              </w:rPr>
              <w:fldChar w:fldCharType="begin"/>
            </w:r>
            <w:r w:rsidR="00DF65F3">
              <w:rPr>
                <w:webHidden/>
              </w:rPr>
              <w:instrText xml:space="preserve"> PAGEREF _Toc12533230 \h </w:instrText>
            </w:r>
            <w:r w:rsidR="00DF65F3">
              <w:rPr>
                <w:webHidden/>
              </w:rPr>
            </w:r>
            <w:r w:rsidR="00DF65F3">
              <w:rPr>
                <w:webHidden/>
              </w:rPr>
              <w:fldChar w:fldCharType="separate"/>
            </w:r>
            <w:r w:rsidR="00F755B7">
              <w:rPr>
                <w:webHidden/>
              </w:rPr>
              <w:t>489</w:t>
            </w:r>
            <w:r w:rsidR="00DF65F3">
              <w:rPr>
                <w:webHidden/>
              </w:rPr>
              <w:fldChar w:fldCharType="end"/>
            </w:r>
          </w:hyperlink>
        </w:p>
        <w:p w14:paraId="49387B2E" w14:textId="47FE8E09" w:rsidR="00DF65F3" w:rsidRDefault="00870777">
          <w:pPr>
            <w:pStyle w:val="Spistreci4"/>
            <w:rPr>
              <w:sz w:val="22"/>
              <w:lang w:val="en-GB" w:eastAsia="en-GB"/>
            </w:rPr>
          </w:pPr>
          <w:hyperlink w:anchor="_Toc12533231" w:history="1">
            <w:r w:rsidR="00DF65F3" w:rsidRPr="004815D6">
              <w:rPr>
                <w:rStyle w:val="Hipercze"/>
              </w:rPr>
              <w:t>CS ADR-DSN.M.750     Oświetlenie płyty postojowej</w:t>
            </w:r>
            <w:r w:rsidR="00DF65F3">
              <w:rPr>
                <w:webHidden/>
              </w:rPr>
              <w:tab/>
            </w:r>
            <w:r w:rsidR="00DF65F3">
              <w:rPr>
                <w:webHidden/>
              </w:rPr>
              <w:fldChar w:fldCharType="begin"/>
            </w:r>
            <w:r w:rsidR="00DF65F3">
              <w:rPr>
                <w:webHidden/>
              </w:rPr>
              <w:instrText xml:space="preserve"> PAGEREF _Toc12533231 \h </w:instrText>
            </w:r>
            <w:r w:rsidR="00DF65F3">
              <w:rPr>
                <w:webHidden/>
              </w:rPr>
            </w:r>
            <w:r w:rsidR="00DF65F3">
              <w:rPr>
                <w:webHidden/>
              </w:rPr>
              <w:fldChar w:fldCharType="separate"/>
            </w:r>
            <w:r w:rsidR="00F755B7">
              <w:rPr>
                <w:webHidden/>
              </w:rPr>
              <w:t>489</w:t>
            </w:r>
            <w:r w:rsidR="00DF65F3">
              <w:rPr>
                <w:webHidden/>
              </w:rPr>
              <w:fldChar w:fldCharType="end"/>
            </w:r>
          </w:hyperlink>
        </w:p>
        <w:p w14:paraId="16DA7FFC" w14:textId="7405F741" w:rsidR="00DF65F3" w:rsidRDefault="00870777">
          <w:pPr>
            <w:pStyle w:val="Spistreci6"/>
            <w:rPr>
              <w:sz w:val="22"/>
              <w:lang w:val="en-GB" w:eastAsia="en-GB"/>
            </w:rPr>
          </w:pPr>
          <w:hyperlink w:anchor="_Toc12533232" w:history="1">
            <w:r w:rsidR="00DF65F3" w:rsidRPr="004815D6">
              <w:rPr>
                <w:rStyle w:val="Hipercze"/>
              </w:rPr>
              <w:t>GM1 ADR-DSN.M.750     Oświetlenie płyty postojowej</w:t>
            </w:r>
            <w:r w:rsidR="00DF65F3">
              <w:rPr>
                <w:webHidden/>
              </w:rPr>
              <w:tab/>
            </w:r>
            <w:r w:rsidR="00DF65F3">
              <w:rPr>
                <w:webHidden/>
              </w:rPr>
              <w:fldChar w:fldCharType="begin"/>
            </w:r>
            <w:r w:rsidR="00DF65F3">
              <w:rPr>
                <w:webHidden/>
              </w:rPr>
              <w:instrText xml:space="preserve"> PAGEREF _Toc12533232 \h </w:instrText>
            </w:r>
            <w:r w:rsidR="00DF65F3">
              <w:rPr>
                <w:webHidden/>
              </w:rPr>
            </w:r>
            <w:r w:rsidR="00DF65F3">
              <w:rPr>
                <w:webHidden/>
              </w:rPr>
              <w:fldChar w:fldCharType="separate"/>
            </w:r>
            <w:r w:rsidR="00F755B7">
              <w:rPr>
                <w:webHidden/>
              </w:rPr>
              <w:t>490</w:t>
            </w:r>
            <w:r w:rsidR="00DF65F3">
              <w:rPr>
                <w:webHidden/>
              </w:rPr>
              <w:fldChar w:fldCharType="end"/>
            </w:r>
          </w:hyperlink>
        </w:p>
        <w:p w14:paraId="576CAC14" w14:textId="17F4A4CD" w:rsidR="00DF65F3" w:rsidRDefault="00870777">
          <w:pPr>
            <w:pStyle w:val="Spistreci4"/>
            <w:rPr>
              <w:sz w:val="22"/>
              <w:lang w:val="en-GB" w:eastAsia="en-GB"/>
            </w:rPr>
          </w:pPr>
          <w:hyperlink w:anchor="_Toc12533233" w:history="1">
            <w:r w:rsidR="00DF65F3" w:rsidRPr="004815D6">
              <w:rPr>
                <w:rStyle w:val="Hipercze"/>
              </w:rPr>
              <w:t>CS ADR-DSN.M.755     Wzrokowy system dokowania</w:t>
            </w:r>
            <w:r w:rsidR="00DF65F3">
              <w:rPr>
                <w:webHidden/>
              </w:rPr>
              <w:tab/>
            </w:r>
            <w:r w:rsidR="00DF65F3">
              <w:rPr>
                <w:webHidden/>
              </w:rPr>
              <w:fldChar w:fldCharType="begin"/>
            </w:r>
            <w:r w:rsidR="00DF65F3">
              <w:rPr>
                <w:webHidden/>
              </w:rPr>
              <w:instrText xml:space="preserve"> PAGEREF _Toc12533233 \h </w:instrText>
            </w:r>
            <w:r w:rsidR="00DF65F3">
              <w:rPr>
                <w:webHidden/>
              </w:rPr>
            </w:r>
            <w:r w:rsidR="00DF65F3">
              <w:rPr>
                <w:webHidden/>
              </w:rPr>
              <w:fldChar w:fldCharType="separate"/>
            </w:r>
            <w:r w:rsidR="00F755B7">
              <w:rPr>
                <w:webHidden/>
              </w:rPr>
              <w:t>490</w:t>
            </w:r>
            <w:r w:rsidR="00DF65F3">
              <w:rPr>
                <w:webHidden/>
              </w:rPr>
              <w:fldChar w:fldCharType="end"/>
            </w:r>
          </w:hyperlink>
        </w:p>
        <w:p w14:paraId="7F126AAE" w14:textId="35E7A918" w:rsidR="00DF65F3" w:rsidRDefault="00870777">
          <w:pPr>
            <w:pStyle w:val="Spistreci6"/>
            <w:rPr>
              <w:sz w:val="22"/>
              <w:lang w:val="en-GB" w:eastAsia="en-GB"/>
            </w:rPr>
          </w:pPr>
          <w:hyperlink w:anchor="_Toc12533234" w:history="1">
            <w:r w:rsidR="00DF65F3" w:rsidRPr="004815D6">
              <w:rPr>
                <w:rStyle w:val="Hipercze"/>
              </w:rPr>
              <w:t>GM1 ADR-DSN.M.755     Wzrokowy system dokowania</w:t>
            </w:r>
            <w:r w:rsidR="00DF65F3">
              <w:rPr>
                <w:webHidden/>
              </w:rPr>
              <w:tab/>
            </w:r>
            <w:r w:rsidR="00DF65F3">
              <w:rPr>
                <w:webHidden/>
              </w:rPr>
              <w:fldChar w:fldCharType="begin"/>
            </w:r>
            <w:r w:rsidR="00DF65F3">
              <w:rPr>
                <w:webHidden/>
              </w:rPr>
              <w:instrText xml:space="preserve"> PAGEREF _Toc12533234 \h </w:instrText>
            </w:r>
            <w:r w:rsidR="00DF65F3">
              <w:rPr>
                <w:webHidden/>
              </w:rPr>
            </w:r>
            <w:r w:rsidR="00DF65F3">
              <w:rPr>
                <w:webHidden/>
              </w:rPr>
              <w:fldChar w:fldCharType="separate"/>
            </w:r>
            <w:r w:rsidR="00F755B7">
              <w:rPr>
                <w:webHidden/>
              </w:rPr>
              <w:t>492</w:t>
            </w:r>
            <w:r w:rsidR="00DF65F3">
              <w:rPr>
                <w:webHidden/>
              </w:rPr>
              <w:fldChar w:fldCharType="end"/>
            </w:r>
          </w:hyperlink>
        </w:p>
        <w:p w14:paraId="0093993D" w14:textId="51BC059D" w:rsidR="00DF65F3" w:rsidRDefault="00870777">
          <w:pPr>
            <w:pStyle w:val="Spistreci4"/>
            <w:rPr>
              <w:sz w:val="22"/>
              <w:lang w:val="en-GB" w:eastAsia="en-GB"/>
            </w:rPr>
          </w:pPr>
          <w:hyperlink w:anchor="_Toc12533235" w:history="1">
            <w:r w:rsidR="00DF65F3" w:rsidRPr="004815D6">
              <w:rPr>
                <w:rStyle w:val="Hipercze"/>
              </w:rPr>
              <w:t>CS ADR-DSN.M.760     Zaawansowany wzrokowy system dokowania</w:t>
            </w:r>
            <w:r w:rsidR="00DF65F3">
              <w:rPr>
                <w:webHidden/>
              </w:rPr>
              <w:tab/>
            </w:r>
            <w:r w:rsidR="00DF65F3">
              <w:rPr>
                <w:webHidden/>
              </w:rPr>
              <w:fldChar w:fldCharType="begin"/>
            </w:r>
            <w:r w:rsidR="00DF65F3">
              <w:rPr>
                <w:webHidden/>
              </w:rPr>
              <w:instrText xml:space="preserve"> PAGEREF _Toc12533235 \h </w:instrText>
            </w:r>
            <w:r w:rsidR="00DF65F3">
              <w:rPr>
                <w:webHidden/>
              </w:rPr>
            </w:r>
            <w:r w:rsidR="00DF65F3">
              <w:rPr>
                <w:webHidden/>
              </w:rPr>
              <w:fldChar w:fldCharType="separate"/>
            </w:r>
            <w:r w:rsidR="00F755B7">
              <w:rPr>
                <w:webHidden/>
              </w:rPr>
              <w:t>492</w:t>
            </w:r>
            <w:r w:rsidR="00DF65F3">
              <w:rPr>
                <w:webHidden/>
              </w:rPr>
              <w:fldChar w:fldCharType="end"/>
            </w:r>
          </w:hyperlink>
        </w:p>
        <w:p w14:paraId="396A6EBC" w14:textId="15A58829" w:rsidR="00DF65F3" w:rsidRDefault="00870777">
          <w:pPr>
            <w:pStyle w:val="Spistreci6"/>
            <w:rPr>
              <w:sz w:val="22"/>
              <w:lang w:val="en-GB" w:eastAsia="en-GB"/>
            </w:rPr>
          </w:pPr>
          <w:hyperlink w:anchor="_Toc12533236" w:history="1">
            <w:r w:rsidR="00DF65F3" w:rsidRPr="004815D6">
              <w:rPr>
                <w:rStyle w:val="Hipercze"/>
              </w:rPr>
              <w:t>GM1 ADR-DSN.M.760     Zaawansowany wzrokowy system dokowania</w:t>
            </w:r>
            <w:r w:rsidR="00DF65F3">
              <w:rPr>
                <w:webHidden/>
              </w:rPr>
              <w:tab/>
            </w:r>
            <w:r w:rsidR="00DF65F3">
              <w:rPr>
                <w:webHidden/>
              </w:rPr>
              <w:fldChar w:fldCharType="begin"/>
            </w:r>
            <w:r w:rsidR="00DF65F3">
              <w:rPr>
                <w:webHidden/>
              </w:rPr>
              <w:instrText xml:space="preserve"> PAGEREF _Toc12533236 \h </w:instrText>
            </w:r>
            <w:r w:rsidR="00DF65F3">
              <w:rPr>
                <w:webHidden/>
              </w:rPr>
            </w:r>
            <w:r w:rsidR="00DF65F3">
              <w:rPr>
                <w:webHidden/>
              </w:rPr>
              <w:fldChar w:fldCharType="separate"/>
            </w:r>
            <w:r w:rsidR="00F755B7">
              <w:rPr>
                <w:webHidden/>
              </w:rPr>
              <w:t>494</w:t>
            </w:r>
            <w:r w:rsidR="00DF65F3">
              <w:rPr>
                <w:webHidden/>
              </w:rPr>
              <w:fldChar w:fldCharType="end"/>
            </w:r>
          </w:hyperlink>
        </w:p>
        <w:p w14:paraId="4326F744" w14:textId="6BE45157" w:rsidR="00DF65F3" w:rsidRDefault="00870777">
          <w:pPr>
            <w:pStyle w:val="Spistreci4"/>
            <w:rPr>
              <w:sz w:val="22"/>
              <w:lang w:val="en-GB" w:eastAsia="en-GB"/>
            </w:rPr>
          </w:pPr>
          <w:hyperlink w:anchor="_Toc12533237" w:history="1">
            <w:r w:rsidR="00DF65F3" w:rsidRPr="004815D6">
              <w:rPr>
                <w:rStyle w:val="Hipercze"/>
              </w:rPr>
              <w:t>CS ADR-DSN.M.765     Światła prowadzenia na stanowisko postojowe statku powietrznego</w:t>
            </w:r>
            <w:r w:rsidR="00DF65F3">
              <w:rPr>
                <w:webHidden/>
              </w:rPr>
              <w:tab/>
            </w:r>
            <w:r w:rsidR="00DF65F3">
              <w:rPr>
                <w:webHidden/>
              </w:rPr>
              <w:fldChar w:fldCharType="begin"/>
            </w:r>
            <w:r w:rsidR="00DF65F3">
              <w:rPr>
                <w:webHidden/>
              </w:rPr>
              <w:instrText xml:space="preserve"> PAGEREF _Toc12533237 \h </w:instrText>
            </w:r>
            <w:r w:rsidR="00DF65F3">
              <w:rPr>
                <w:webHidden/>
              </w:rPr>
            </w:r>
            <w:r w:rsidR="00DF65F3">
              <w:rPr>
                <w:webHidden/>
              </w:rPr>
              <w:fldChar w:fldCharType="separate"/>
            </w:r>
            <w:r w:rsidR="00F755B7">
              <w:rPr>
                <w:webHidden/>
              </w:rPr>
              <w:t>495</w:t>
            </w:r>
            <w:r w:rsidR="00DF65F3">
              <w:rPr>
                <w:webHidden/>
              </w:rPr>
              <w:fldChar w:fldCharType="end"/>
            </w:r>
          </w:hyperlink>
        </w:p>
        <w:p w14:paraId="48E8D042" w14:textId="063892AD" w:rsidR="00DF65F3" w:rsidRDefault="00870777">
          <w:pPr>
            <w:pStyle w:val="Spistreci6"/>
            <w:rPr>
              <w:sz w:val="22"/>
              <w:lang w:val="en-GB" w:eastAsia="en-GB"/>
            </w:rPr>
          </w:pPr>
          <w:hyperlink w:anchor="_Toc12533238" w:history="1">
            <w:r w:rsidR="00DF65F3" w:rsidRPr="004815D6">
              <w:rPr>
                <w:rStyle w:val="Hipercze"/>
              </w:rPr>
              <w:t>GM1 ADR-DSN.M.765     Światła prowadzenia na stanowisko postojowe statku powietrznego</w:t>
            </w:r>
            <w:r w:rsidR="00DF65F3">
              <w:rPr>
                <w:webHidden/>
              </w:rPr>
              <w:tab/>
            </w:r>
            <w:r w:rsidR="00DF65F3">
              <w:rPr>
                <w:webHidden/>
              </w:rPr>
              <w:fldChar w:fldCharType="begin"/>
            </w:r>
            <w:r w:rsidR="00DF65F3">
              <w:rPr>
                <w:webHidden/>
              </w:rPr>
              <w:instrText xml:space="preserve"> PAGEREF _Toc12533238 \h </w:instrText>
            </w:r>
            <w:r w:rsidR="00DF65F3">
              <w:rPr>
                <w:webHidden/>
              </w:rPr>
            </w:r>
            <w:r w:rsidR="00DF65F3">
              <w:rPr>
                <w:webHidden/>
              </w:rPr>
              <w:fldChar w:fldCharType="separate"/>
            </w:r>
            <w:r w:rsidR="00F755B7">
              <w:rPr>
                <w:webHidden/>
              </w:rPr>
              <w:t>495</w:t>
            </w:r>
            <w:r w:rsidR="00DF65F3">
              <w:rPr>
                <w:webHidden/>
              </w:rPr>
              <w:fldChar w:fldCharType="end"/>
            </w:r>
          </w:hyperlink>
        </w:p>
        <w:p w14:paraId="268A44AD" w14:textId="49049917" w:rsidR="00DF65F3" w:rsidRDefault="00870777">
          <w:pPr>
            <w:pStyle w:val="Spistreci4"/>
            <w:rPr>
              <w:sz w:val="22"/>
              <w:lang w:val="en-GB" w:eastAsia="en-GB"/>
            </w:rPr>
          </w:pPr>
          <w:hyperlink w:anchor="_Toc12533239" w:history="1">
            <w:r w:rsidR="00DF65F3" w:rsidRPr="004815D6">
              <w:rPr>
                <w:rStyle w:val="Hipercze"/>
              </w:rPr>
              <w:t>CS ADR-DSN.M.770     Światło miejsca oczekiwania na drodze ruchu kołowego</w:t>
            </w:r>
            <w:r w:rsidR="00DF65F3">
              <w:rPr>
                <w:webHidden/>
              </w:rPr>
              <w:tab/>
            </w:r>
            <w:r w:rsidR="00DF65F3">
              <w:rPr>
                <w:webHidden/>
              </w:rPr>
              <w:fldChar w:fldCharType="begin"/>
            </w:r>
            <w:r w:rsidR="00DF65F3">
              <w:rPr>
                <w:webHidden/>
              </w:rPr>
              <w:instrText xml:space="preserve"> PAGEREF _Toc12533239 \h </w:instrText>
            </w:r>
            <w:r w:rsidR="00DF65F3">
              <w:rPr>
                <w:webHidden/>
              </w:rPr>
            </w:r>
            <w:r w:rsidR="00DF65F3">
              <w:rPr>
                <w:webHidden/>
              </w:rPr>
              <w:fldChar w:fldCharType="separate"/>
            </w:r>
            <w:r w:rsidR="00F755B7">
              <w:rPr>
                <w:webHidden/>
              </w:rPr>
              <w:t>495</w:t>
            </w:r>
            <w:r w:rsidR="00DF65F3">
              <w:rPr>
                <w:webHidden/>
              </w:rPr>
              <w:fldChar w:fldCharType="end"/>
            </w:r>
          </w:hyperlink>
        </w:p>
        <w:p w14:paraId="21796C61" w14:textId="3C43680D" w:rsidR="00DF65F3" w:rsidRDefault="00870777">
          <w:pPr>
            <w:pStyle w:val="Spistreci6"/>
            <w:rPr>
              <w:sz w:val="22"/>
              <w:lang w:val="en-GB" w:eastAsia="en-GB"/>
            </w:rPr>
          </w:pPr>
          <w:hyperlink w:anchor="_Toc12533240" w:history="1">
            <w:r w:rsidR="00DF65F3" w:rsidRPr="004815D6">
              <w:rPr>
                <w:rStyle w:val="Hipercze"/>
              </w:rPr>
              <w:t>GM1 ADR-DSN.M.770     Światło miejsca oczekiwania na drodze ruchu kołowego</w:t>
            </w:r>
            <w:r w:rsidR="00DF65F3">
              <w:rPr>
                <w:webHidden/>
              </w:rPr>
              <w:tab/>
            </w:r>
            <w:r w:rsidR="00DF65F3">
              <w:rPr>
                <w:webHidden/>
              </w:rPr>
              <w:fldChar w:fldCharType="begin"/>
            </w:r>
            <w:r w:rsidR="00DF65F3">
              <w:rPr>
                <w:webHidden/>
              </w:rPr>
              <w:instrText xml:space="preserve"> PAGEREF _Toc12533240 \h </w:instrText>
            </w:r>
            <w:r w:rsidR="00DF65F3">
              <w:rPr>
                <w:webHidden/>
              </w:rPr>
            </w:r>
            <w:r w:rsidR="00DF65F3">
              <w:rPr>
                <w:webHidden/>
              </w:rPr>
              <w:fldChar w:fldCharType="separate"/>
            </w:r>
            <w:r w:rsidR="00F755B7">
              <w:rPr>
                <w:webHidden/>
              </w:rPr>
              <w:t>496</w:t>
            </w:r>
            <w:r w:rsidR="00DF65F3">
              <w:rPr>
                <w:webHidden/>
              </w:rPr>
              <w:fldChar w:fldCharType="end"/>
            </w:r>
          </w:hyperlink>
        </w:p>
        <w:p w14:paraId="4A3F7C4F" w14:textId="4E934914" w:rsidR="00DF65F3" w:rsidRDefault="00870777">
          <w:pPr>
            <w:pStyle w:val="Spistreci4"/>
            <w:rPr>
              <w:sz w:val="22"/>
              <w:lang w:val="en-GB" w:eastAsia="en-GB"/>
            </w:rPr>
          </w:pPr>
          <w:hyperlink w:anchor="_Toc12533241" w:history="1">
            <w:r w:rsidR="00DF65F3" w:rsidRPr="004815D6">
              <w:rPr>
                <w:rStyle w:val="Hipercze"/>
              </w:rPr>
              <w:t>CS ADR-DSN.M.771     Poprzeczka zakazu wjazdu</w:t>
            </w:r>
            <w:r w:rsidR="00DF65F3">
              <w:rPr>
                <w:webHidden/>
              </w:rPr>
              <w:tab/>
            </w:r>
            <w:r w:rsidR="00DF65F3">
              <w:rPr>
                <w:webHidden/>
              </w:rPr>
              <w:fldChar w:fldCharType="begin"/>
            </w:r>
            <w:r w:rsidR="00DF65F3">
              <w:rPr>
                <w:webHidden/>
              </w:rPr>
              <w:instrText xml:space="preserve"> PAGEREF _Toc12533241 \h </w:instrText>
            </w:r>
            <w:r w:rsidR="00DF65F3">
              <w:rPr>
                <w:webHidden/>
              </w:rPr>
            </w:r>
            <w:r w:rsidR="00DF65F3">
              <w:rPr>
                <w:webHidden/>
              </w:rPr>
              <w:fldChar w:fldCharType="separate"/>
            </w:r>
            <w:r w:rsidR="00F755B7">
              <w:rPr>
                <w:webHidden/>
              </w:rPr>
              <w:t>496</w:t>
            </w:r>
            <w:r w:rsidR="00DF65F3">
              <w:rPr>
                <w:webHidden/>
              </w:rPr>
              <w:fldChar w:fldCharType="end"/>
            </w:r>
          </w:hyperlink>
        </w:p>
        <w:p w14:paraId="0090CFF3" w14:textId="30EDDF4C" w:rsidR="00DF65F3" w:rsidRDefault="00870777">
          <w:pPr>
            <w:pStyle w:val="Spistreci6"/>
            <w:rPr>
              <w:sz w:val="22"/>
              <w:lang w:val="en-GB" w:eastAsia="en-GB"/>
            </w:rPr>
          </w:pPr>
          <w:hyperlink w:anchor="_Toc12533242" w:history="1">
            <w:r w:rsidR="00DF65F3" w:rsidRPr="004815D6">
              <w:rPr>
                <w:rStyle w:val="Hipercze"/>
              </w:rPr>
              <w:t>GM1 ADR-DSN.M.771     Poprzeczka zakazu wjazdu</w:t>
            </w:r>
            <w:r w:rsidR="00DF65F3">
              <w:rPr>
                <w:webHidden/>
              </w:rPr>
              <w:tab/>
            </w:r>
            <w:r w:rsidR="00DF65F3">
              <w:rPr>
                <w:webHidden/>
              </w:rPr>
              <w:fldChar w:fldCharType="begin"/>
            </w:r>
            <w:r w:rsidR="00DF65F3">
              <w:rPr>
                <w:webHidden/>
              </w:rPr>
              <w:instrText xml:space="preserve"> PAGEREF _Toc12533242 \h </w:instrText>
            </w:r>
            <w:r w:rsidR="00DF65F3">
              <w:rPr>
                <w:webHidden/>
              </w:rPr>
            </w:r>
            <w:r w:rsidR="00DF65F3">
              <w:rPr>
                <w:webHidden/>
              </w:rPr>
              <w:fldChar w:fldCharType="separate"/>
            </w:r>
            <w:r w:rsidR="00F755B7">
              <w:rPr>
                <w:webHidden/>
              </w:rPr>
              <w:t>497</w:t>
            </w:r>
            <w:r w:rsidR="00DF65F3">
              <w:rPr>
                <w:webHidden/>
              </w:rPr>
              <w:fldChar w:fldCharType="end"/>
            </w:r>
          </w:hyperlink>
        </w:p>
        <w:p w14:paraId="4E864A4F" w14:textId="741F5BEE" w:rsidR="00DF65F3" w:rsidRDefault="00870777">
          <w:pPr>
            <w:pStyle w:val="Spistreci2"/>
            <w:rPr>
              <w:rFonts w:asciiTheme="minorHAnsi" w:eastAsiaTheme="minorEastAsia" w:hAnsiTheme="minorHAnsi" w:cstheme="minorBidi"/>
              <w:sz w:val="22"/>
              <w:lang w:val="en-GB" w:eastAsia="en-GB"/>
            </w:rPr>
          </w:pPr>
          <w:hyperlink w:anchor="_Toc12533243" w:history="1">
            <w:r w:rsidR="00DF65F3" w:rsidRPr="004815D6">
              <w:rPr>
                <w:rStyle w:val="Hipercze"/>
              </w:rPr>
              <w:t>ROZDZIAŁ N — POMOCE WZROKOWE DLA NAWIGACJI (ZNAKI PIONOWE)</w:t>
            </w:r>
            <w:r w:rsidR="00DF65F3">
              <w:rPr>
                <w:webHidden/>
              </w:rPr>
              <w:tab/>
            </w:r>
            <w:r w:rsidR="00DF65F3">
              <w:rPr>
                <w:webHidden/>
              </w:rPr>
              <w:fldChar w:fldCharType="begin"/>
            </w:r>
            <w:r w:rsidR="00DF65F3">
              <w:rPr>
                <w:webHidden/>
              </w:rPr>
              <w:instrText xml:space="preserve"> PAGEREF _Toc12533243 \h </w:instrText>
            </w:r>
            <w:r w:rsidR="00DF65F3">
              <w:rPr>
                <w:webHidden/>
              </w:rPr>
            </w:r>
            <w:r w:rsidR="00DF65F3">
              <w:rPr>
                <w:webHidden/>
              </w:rPr>
              <w:fldChar w:fldCharType="separate"/>
            </w:r>
            <w:r w:rsidR="00F755B7">
              <w:rPr>
                <w:webHidden/>
              </w:rPr>
              <w:t>498</w:t>
            </w:r>
            <w:r w:rsidR="00DF65F3">
              <w:rPr>
                <w:webHidden/>
              </w:rPr>
              <w:fldChar w:fldCharType="end"/>
            </w:r>
          </w:hyperlink>
        </w:p>
        <w:p w14:paraId="10DD98E9" w14:textId="6CFA3F35" w:rsidR="00DF65F3" w:rsidRDefault="00870777">
          <w:pPr>
            <w:pStyle w:val="Spistreci4"/>
            <w:rPr>
              <w:sz w:val="22"/>
              <w:lang w:val="en-GB" w:eastAsia="en-GB"/>
            </w:rPr>
          </w:pPr>
          <w:hyperlink w:anchor="_Toc12533244" w:history="1">
            <w:r w:rsidR="00DF65F3" w:rsidRPr="004815D6">
              <w:rPr>
                <w:rStyle w:val="Hipercze"/>
              </w:rPr>
              <w:t xml:space="preserve">CS ADR-DSN.N.775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_Toc12533244 \h </w:instrText>
            </w:r>
            <w:r w:rsidR="00DF65F3">
              <w:rPr>
                <w:webHidden/>
              </w:rPr>
            </w:r>
            <w:r w:rsidR="00DF65F3">
              <w:rPr>
                <w:webHidden/>
              </w:rPr>
              <w:fldChar w:fldCharType="separate"/>
            </w:r>
            <w:r w:rsidR="00F755B7">
              <w:rPr>
                <w:webHidden/>
              </w:rPr>
              <w:t>498</w:t>
            </w:r>
            <w:r w:rsidR="00DF65F3">
              <w:rPr>
                <w:webHidden/>
              </w:rPr>
              <w:fldChar w:fldCharType="end"/>
            </w:r>
          </w:hyperlink>
        </w:p>
        <w:p w14:paraId="203FEA47" w14:textId="600E17C8" w:rsidR="00DF65F3" w:rsidRDefault="00870777">
          <w:pPr>
            <w:pStyle w:val="Spistreci6"/>
            <w:rPr>
              <w:sz w:val="22"/>
              <w:lang w:val="en-GB" w:eastAsia="en-GB"/>
            </w:rPr>
          </w:pPr>
          <w:hyperlink w:anchor="_Toc12533245" w:history="1">
            <w:r w:rsidR="00DF65F3" w:rsidRPr="004815D6">
              <w:rPr>
                <w:rStyle w:val="Hipercze"/>
              </w:rPr>
              <w:t xml:space="preserve">GM1 ADR-DSN.N.775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_Toc12533245 \h </w:instrText>
            </w:r>
            <w:r w:rsidR="00DF65F3">
              <w:rPr>
                <w:webHidden/>
              </w:rPr>
            </w:r>
            <w:r w:rsidR="00DF65F3">
              <w:rPr>
                <w:webHidden/>
              </w:rPr>
              <w:fldChar w:fldCharType="separate"/>
            </w:r>
            <w:r w:rsidR="00F755B7">
              <w:rPr>
                <w:webHidden/>
              </w:rPr>
              <w:t>511</w:t>
            </w:r>
            <w:r w:rsidR="00DF65F3">
              <w:rPr>
                <w:webHidden/>
              </w:rPr>
              <w:fldChar w:fldCharType="end"/>
            </w:r>
          </w:hyperlink>
        </w:p>
        <w:p w14:paraId="4F0B7225" w14:textId="547CDDEA" w:rsidR="00DF65F3" w:rsidRDefault="00870777">
          <w:pPr>
            <w:pStyle w:val="Spistreci4"/>
            <w:rPr>
              <w:sz w:val="22"/>
              <w:lang w:val="en-GB" w:eastAsia="en-GB"/>
            </w:rPr>
          </w:pPr>
          <w:hyperlink w:anchor="_Toc12533246" w:history="1">
            <w:r w:rsidR="00DF65F3" w:rsidRPr="004815D6">
              <w:rPr>
                <w:rStyle w:val="Hipercze"/>
              </w:rPr>
              <w:t>CS ADR-DSN.N.780     Znaki nakazu</w:t>
            </w:r>
            <w:r w:rsidR="00DF65F3">
              <w:rPr>
                <w:webHidden/>
              </w:rPr>
              <w:tab/>
            </w:r>
            <w:r w:rsidR="00DF65F3">
              <w:rPr>
                <w:webHidden/>
              </w:rPr>
              <w:fldChar w:fldCharType="begin"/>
            </w:r>
            <w:r w:rsidR="00DF65F3">
              <w:rPr>
                <w:webHidden/>
              </w:rPr>
              <w:instrText xml:space="preserve"> PAGEREF _Toc12533246 \h </w:instrText>
            </w:r>
            <w:r w:rsidR="00DF65F3">
              <w:rPr>
                <w:webHidden/>
              </w:rPr>
            </w:r>
            <w:r w:rsidR="00DF65F3">
              <w:rPr>
                <w:webHidden/>
              </w:rPr>
              <w:fldChar w:fldCharType="separate"/>
            </w:r>
            <w:r w:rsidR="00F755B7">
              <w:rPr>
                <w:webHidden/>
              </w:rPr>
              <w:t>511</w:t>
            </w:r>
            <w:r w:rsidR="00DF65F3">
              <w:rPr>
                <w:webHidden/>
              </w:rPr>
              <w:fldChar w:fldCharType="end"/>
            </w:r>
          </w:hyperlink>
        </w:p>
        <w:p w14:paraId="0526D2CE" w14:textId="00D17A04" w:rsidR="00DF65F3" w:rsidRDefault="00870777">
          <w:pPr>
            <w:pStyle w:val="Spistreci6"/>
            <w:rPr>
              <w:sz w:val="22"/>
              <w:lang w:val="en-GB" w:eastAsia="en-GB"/>
            </w:rPr>
          </w:pPr>
          <w:hyperlink w:anchor="_Toc12533247" w:history="1">
            <w:r w:rsidR="00DF65F3" w:rsidRPr="004815D6">
              <w:rPr>
                <w:rStyle w:val="Hipercze"/>
              </w:rPr>
              <w:t>GM1 ADR-DSN.N.780     Znaki nakazu</w:t>
            </w:r>
            <w:r w:rsidR="00DF65F3">
              <w:rPr>
                <w:webHidden/>
              </w:rPr>
              <w:tab/>
            </w:r>
            <w:r w:rsidR="00DF65F3">
              <w:rPr>
                <w:webHidden/>
              </w:rPr>
              <w:fldChar w:fldCharType="begin"/>
            </w:r>
            <w:r w:rsidR="00DF65F3">
              <w:rPr>
                <w:webHidden/>
              </w:rPr>
              <w:instrText xml:space="preserve"> PAGEREF _Toc12533247 \h </w:instrText>
            </w:r>
            <w:r w:rsidR="00DF65F3">
              <w:rPr>
                <w:webHidden/>
              </w:rPr>
            </w:r>
            <w:r w:rsidR="00DF65F3">
              <w:rPr>
                <w:webHidden/>
              </w:rPr>
              <w:fldChar w:fldCharType="separate"/>
            </w:r>
            <w:r w:rsidR="00F755B7">
              <w:rPr>
                <w:webHidden/>
              </w:rPr>
              <w:t>515</w:t>
            </w:r>
            <w:r w:rsidR="00DF65F3">
              <w:rPr>
                <w:webHidden/>
              </w:rPr>
              <w:fldChar w:fldCharType="end"/>
            </w:r>
          </w:hyperlink>
        </w:p>
        <w:p w14:paraId="3D71E8C0" w14:textId="3A593C51" w:rsidR="00DF65F3" w:rsidRDefault="00870777">
          <w:pPr>
            <w:pStyle w:val="Spistreci4"/>
            <w:rPr>
              <w:sz w:val="22"/>
              <w:lang w:val="en-GB" w:eastAsia="en-GB"/>
            </w:rPr>
          </w:pPr>
          <w:hyperlink w:anchor="_Toc12533248" w:history="1">
            <w:r w:rsidR="00DF65F3" w:rsidRPr="004815D6">
              <w:rPr>
                <w:rStyle w:val="Hipercze"/>
              </w:rPr>
              <w:t>CS ADR-DSN.N.785     Znaki informacyjne</w:t>
            </w:r>
            <w:r w:rsidR="00DF65F3">
              <w:rPr>
                <w:webHidden/>
              </w:rPr>
              <w:tab/>
            </w:r>
            <w:r w:rsidR="00DF65F3">
              <w:rPr>
                <w:webHidden/>
              </w:rPr>
              <w:fldChar w:fldCharType="begin"/>
            </w:r>
            <w:r w:rsidR="00DF65F3">
              <w:rPr>
                <w:webHidden/>
              </w:rPr>
              <w:instrText xml:space="preserve"> PAGEREF _Toc12533248 \h </w:instrText>
            </w:r>
            <w:r w:rsidR="00DF65F3">
              <w:rPr>
                <w:webHidden/>
              </w:rPr>
            </w:r>
            <w:r w:rsidR="00DF65F3">
              <w:rPr>
                <w:webHidden/>
              </w:rPr>
              <w:fldChar w:fldCharType="separate"/>
            </w:r>
            <w:r w:rsidR="00F755B7">
              <w:rPr>
                <w:webHidden/>
              </w:rPr>
              <w:t>515</w:t>
            </w:r>
            <w:r w:rsidR="00DF65F3">
              <w:rPr>
                <w:webHidden/>
              </w:rPr>
              <w:fldChar w:fldCharType="end"/>
            </w:r>
          </w:hyperlink>
        </w:p>
        <w:p w14:paraId="55FAE544" w14:textId="1AF5EB55" w:rsidR="00DF65F3" w:rsidRDefault="00870777">
          <w:pPr>
            <w:pStyle w:val="Spistreci6"/>
            <w:rPr>
              <w:sz w:val="22"/>
              <w:lang w:val="en-GB" w:eastAsia="en-GB"/>
            </w:rPr>
          </w:pPr>
          <w:hyperlink w:anchor="_Toc12533249" w:history="1">
            <w:r w:rsidR="00DF65F3" w:rsidRPr="004815D6">
              <w:rPr>
                <w:rStyle w:val="Hipercze"/>
              </w:rPr>
              <w:t>GM1 ADR-DSN.N.785     Znaki informacyjne</w:t>
            </w:r>
            <w:r w:rsidR="00DF65F3">
              <w:rPr>
                <w:webHidden/>
              </w:rPr>
              <w:tab/>
            </w:r>
            <w:r w:rsidR="00DF65F3">
              <w:rPr>
                <w:webHidden/>
              </w:rPr>
              <w:fldChar w:fldCharType="begin"/>
            </w:r>
            <w:r w:rsidR="00DF65F3">
              <w:rPr>
                <w:webHidden/>
              </w:rPr>
              <w:instrText xml:space="preserve"> PAGEREF _Toc12533249 \h </w:instrText>
            </w:r>
            <w:r w:rsidR="00DF65F3">
              <w:rPr>
                <w:webHidden/>
              </w:rPr>
            </w:r>
            <w:r w:rsidR="00DF65F3">
              <w:rPr>
                <w:webHidden/>
              </w:rPr>
              <w:fldChar w:fldCharType="separate"/>
            </w:r>
            <w:r w:rsidR="00F755B7">
              <w:rPr>
                <w:webHidden/>
              </w:rPr>
              <w:t>519</w:t>
            </w:r>
            <w:r w:rsidR="00DF65F3">
              <w:rPr>
                <w:webHidden/>
              </w:rPr>
              <w:fldChar w:fldCharType="end"/>
            </w:r>
          </w:hyperlink>
        </w:p>
        <w:p w14:paraId="153A418A" w14:textId="47B2318F" w:rsidR="00DF65F3" w:rsidRDefault="00870777">
          <w:pPr>
            <w:pStyle w:val="Spistreci4"/>
            <w:rPr>
              <w:sz w:val="22"/>
              <w:lang w:val="en-GB" w:eastAsia="en-GB"/>
            </w:rPr>
          </w:pPr>
          <w:hyperlink w:anchor="_Toc12533250" w:history="1">
            <w:r w:rsidR="00DF65F3" w:rsidRPr="004815D6">
              <w:rPr>
                <w:rStyle w:val="Hipercze"/>
              </w:rPr>
              <w:t>CS ADR-DSN.N.790     Znak lotniskowego stanowiska sprawdzania VOR</w:t>
            </w:r>
            <w:r w:rsidR="00DF65F3">
              <w:rPr>
                <w:webHidden/>
              </w:rPr>
              <w:tab/>
            </w:r>
            <w:r w:rsidR="00DF65F3">
              <w:rPr>
                <w:webHidden/>
              </w:rPr>
              <w:fldChar w:fldCharType="begin"/>
            </w:r>
            <w:r w:rsidR="00DF65F3">
              <w:rPr>
                <w:webHidden/>
              </w:rPr>
              <w:instrText xml:space="preserve"> PAGEREF _Toc12533250 \h </w:instrText>
            </w:r>
            <w:r w:rsidR="00DF65F3">
              <w:rPr>
                <w:webHidden/>
              </w:rPr>
            </w:r>
            <w:r w:rsidR="00DF65F3">
              <w:rPr>
                <w:webHidden/>
              </w:rPr>
              <w:fldChar w:fldCharType="separate"/>
            </w:r>
            <w:r w:rsidR="00F755B7">
              <w:rPr>
                <w:webHidden/>
              </w:rPr>
              <w:t>519</w:t>
            </w:r>
            <w:r w:rsidR="00DF65F3">
              <w:rPr>
                <w:webHidden/>
              </w:rPr>
              <w:fldChar w:fldCharType="end"/>
            </w:r>
          </w:hyperlink>
        </w:p>
        <w:p w14:paraId="76F10AD2" w14:textId="761E90F7" w:rsidR="00DF65F3" w:rsidRDefault="00870777">
          <w:pPr>
            <w:pStyle w:val="Spistreci6"/>
            <w:rPr>
              <w:sz w:val="22"/>
              <w:lang w:val="en-GB" w:eastAsia="en-GB"/>
            </w:rPr>
          </w:pPr>
          <w:hyperlink w:anchor="_Toc12533251" w:history="1">
            <w:r w:rsidR="00DF65F3" w:rsidRPr="004815D6">
              <w:rPr>
                <w:rStyle w:val="Hipercze"/>
              </w:rPr>
              <w:t>GM1 ADR-DSN.N.790     Znak lotniskowego stanowiska sprawdzania VOR</w:t>
            </w:r>
            <w:r w:rsidR="00DF65F3">
              <w:rPr>
                <w:webHidden/>
              </w:rPr>
              <w:tab/>
            </w:r>
            <w:r w:rsidR="00DF65F3">
              <w:rPr>
                <w:webHidden/>
              </w:rPr>
              <w:fldChar w:fldCharType="begin"/>
            </w:r>
            <w:r w:rsidR="00DF65F3">
              <w:rPr>
                <w:webHidden/>
              </w:rPr>
              <w:instrText xml:space="preserve"> PAGEREF _Toc12533251 \h </w:instrText>
            </w:r>
            <w:r w:rsidR="00DF65F3">
              <w:rPr>
                <w:webHidden/>
              </w:rPr>
            </w:r>
            <w:r w:rsidR="00DF65F3">
              <w:rPr>
                <w:webHidden/>
              </w:rPr>
              <w:fldChar w:fldCharType="separate"/>
            </w:r>
            <w:r w:rsidR="00F755B7">
              <w:rPr>
                <w:webHidden/>
              </w:rPr>
              <w:t>520</w:t>
            </w:r>
            <w:r w:rsidR="00DF65F3">
              <w:rPr>
                <w:webHidden/>
              </w:rPr>
              <w:fldChar w:fldCharType="end"/>
            </w:r>
          </w:hyperlink>
        </w:p>
        <w:p w14:paraId="18390344" w14:textId="24DDE370" w:rsidR="00DF65F3" w:rsidRDefault="00870777">
          <w:pPr>
            <w:pStyle w:val="Spistreci4"/>
            <w:rPr>
              <w:sz w:val="22"/>
              <w:lang w:val="en-GB" w:eastAsia="en-GB"/>
            </w:rPr>
          </w:pPr>
          <w:hyperlink w:anchor="_Toc12533252" w:history="1">
            <w:r w:rsidR="00DF65F3" w:rsidRPr="004815D6">
              <w:rPr>
                <w:rStyle w:val="Hipercze"/>
              </w:rPr>
              <w:t>CS ADR-DSN.N.795     Znak identyfikacji stanowiska postojowego statku powietrznego</w:t>
            </w:r>
            <w:r w:rsidR="00DF65F3">
              <w:rPr>
                <w:webHidden/>
              </w:rPr>
              <w:tab/>
            </w:r>
            <w:r w:rsidR="00DF65F3">
              <w:rPr>
                <w:webHidden/>
              </w:rPr>
              <w:fldChar w:fldCharType="begin"/>
            </w:r>
            <w:r w:rsidR="00DF65F3">
              <w:rPr>
                <w:webHidden/>
              </w:rPr>
              <w:instrText xml:space="preserve"> PAGEREF _Toc12533252 \h </w:instrText>
            </w:r>
            <w:r w:rsidR="00DF65F3">
              <w:rPr>
                <w:webHidden/>
              </w:rPr>
            </w:r>
            <w:r w:rsidR="00DF65F3">
              <w:rPr>
                <w:webHidden/>
              </w:rPr>
              <w:fldChar w:fldCharType="separate"/>
            </w:r>
            <w:r w:rsidR="00F755B7">
              <w:rPr>
                <w:webHidden/>
              </w:rPr>
              <w:t>520</w:t>
            </w:r>
            <w:r w:rsidR="00DF65F3">
              <w:rPr>
                <w:webHidden/>
              </w:rPr>
              <w:fldChar w:fldCharType="end"/>
            </w:r>
          </w:hyperlink>
        </w:p>
        <w:p w14:paraId="5E3F0D9C" w14:textId="78C2589A" w:rsidR="00DF65F3" w:rsidRDefault="00870777">
          <w:pPr>
            <w:pStyle w:val="Spistreci6"/>
            <w:rPr>
              <w:sz w:val="22"/>
              <w:lang w:val="en-GB" w:eastAsia="en-GB"/>
            </w:rPr>
          </w:pPr>
          <w:hyperlink w:anchor="_Toc12533253" w:history="1">
            <w:r w:rsidR="00DF65F3" w:rsidRPr="004815D6">
              <w:rPr>
                <w:rStyle w:val="Hipercze"/>
              </w:rPr>
              <w:t>GM1 ADR-DSN.N.795     Znak identyfikacji stanowiska postojowego statku powietrznego</w:t>
            </w:r>
            <w:r w:rsidR="00DF65F3">
              <w:rPr>
                <w:webHidden/>
              </w:rPr>
              <w:tab/>
            </w:r>
            <w:r w:rsidR="00DF65F3">
              <w:rPr>
                <w:webHidden/>
              </w:rPr>
              <w:fldChar w:fldCharType="begin"/>
            </w:r>
            <w:r w:rsidR="00DF65F3">
              <w:rPr>
                <w:webHidden/>
              </w:rPr>
              <w:instrText xml:space="preserve"> PAGEREF _Toc12533253 \h </w:instrText>
            </w:r>
            <w:r w:rsidR="00DF65F3">
              <w:rPr>
                <w:webHidden/>
              </w:rPr>
            </w:r>
            <w:r w:rsidR="00DF65F3">
              <w:rPr>
                <w:webHidden/>
              </w:rPr>
              <w:fldChar w:fldCharType="separate"/>
            </w:r>
            <w:r w:rsidR="00F755B7">
              <w:rPr>
                <w:webHidden/>
              </w:rPr>
              <w:t>520</w:t>
            </w:r>
            <w:r w:rsidR="00DF65F3">
              <w:rPr>
                <w:webHidden/>
              </w:rPr>
              <w:fldChar w:fldCharType="end"/>
            </w:r>
          </w:hyperlink>
        </w:p>
        <w:p w14:paraId="33FA0592" w14:textId="45BA9F4B" w:rsidR="00DF65F3" w:rsidRDefault="00870777">
          <w:pPr>
            <w:pStyle w:val="Spistreci4"/>
            <w:rPr>
              <w:sz w:val="22"/>
              <w:lang w:val="en-GB" w:eastAsia="en-GB"/>
            </w:rPr>
          </w:pPr>
          <w:hyperlink w:anchor="_Toc12533254" w:history="1">
            <w:r w:rsidR="00DF65F3" w:rsidRPr="004815D6">
              <w:rPr>
                <w:rStyle w:val="Hipercze"/>
              </w:rPr>
              <w:t>CS ADR-DSN.N.800     Znak miejsca oczekiwania na drodze ruchu kołowego</w:t>
            </w:r>
            <w:r w:rsidR="00DF65F3">
              <w:rPr>
                <w:webHidden/>
              </w:rPr>
              <w:tab/>
            </w:r>
            <w:r w:rsidR="00DF65F3">
              <w:rPr>
                <w:webHidden/>
              </w:rPr>
              <w:fldChar w:fldCharType="begin"/>
            </w:r>
            <w:r w:rsidR="00DF65F3">
              <w:rPr>
                <w:webHidden/>
              </w:rPr>
              <w:instrText xml:space="preserve"> PAGEREF _Toc12533254 \h </w:instrText>
            </w:r>
            <w:r w:rsidR="00DF65F3">
              <w:rPr>
                <w:webHidden/>
              </w:rPr>
            </w:r>
            <w:r w:rsidR="00DF65F3">
              <w:rPr>
                <w:webHidden/>
              </w:rPr>
              <w:fldChar w:fldCharType="separate"/>
            </w:r>
            <w:r w:rsidR="00F755B7">
              <w:rPr>
                <w:webHidden/>
              </w:rPr>
              <w:t>521</w:t>
            </w:r>
            <w:r w:rsidR="00DF65F3">
              <w:rPr>
                <w:webHidden/>
              </w:rPr>
              <w:fldChar w:fldCharType="end"/>
            </w:r>
          </w:hyperlink>
        </w:p>
        <w:p w14:paraId="19B47B19" w14:textId="2DE232A4" w:rsidR="00DF65F3" w:rsidRDefault="00870777">
          <w:pPr>
            <w:pStyle w:val="Spistreci6"/>
            <w:rPr>
              <w:sz w:val="22"/>
              <w:lang w:val="en-GB" w:eastAsia="en-GB"/>
            </w:rPr>
          </w:pPr>
          <w:hyperlink w:anchor="_Toc12533255" w:history="1">
            <w:r w:rsidR="00DF65F3" w:rsidRPr="004815D6">
              <w:rPr>
                <w:rStyle w:val="Hipercze"/>
              </w:rPr>
              <w:t>GM1 ADR-DSN.N.800     Znak miejsca oczekiwania na drodze ruchu kołowego</w:t>
            </w:r>
            <w:r w:rsidR="00DF65F3">
              <w:rPr>
                <w:webHidden/>
              </w:rPr>
              <w:tab/>
            </w:r>
            <w:r w:rsidR="00DF65F3">
              <w:rPr>
                <w:webHidden/>
              </w:rPr>
              <w:fldChar w:fldCharType="begin"/>
            </w:r>
            <w:r w:rsidR="00DF65F3">
              <w:rPr>
                <w:webHidden/>
              </w:rPr>
              <w:instrText xml:space="preserve"> PAGEREF _Toc12533255 \h </w:instrText>
            </w:r>
            <w:r w:rsidR="00DF65F3">
              <w:rPr>
                <w:webHidden/>
              </w:rPr>
            </w:r>
            <w:r w:rsidR="00DF65F3">
              <w:rPr>
                <w:webHidden/>
              </w:rPr>
              <w:fldChar w:fldCharType="separate"/>
            </w:r>
            <w:r w:rsidR="00F755B7">
              <w:rPr>
                <w:webHidden/>
              </w:rPr>
              <w:t>521</w:t>
            </w:r>
            <w:r w:rsidR="00DF65F3">
              <w:rPr>
                <w:webHidden/>
              </w:rPr>
              <w:fldChar w:fldCharType="end"/>
            </w:r>
          </w:hyperlink>
        </w:p>
        <w:p w14:paraId="3BE32561" w14:textId="564A795D" w:rsidR="00DF65F3" w:rsidRDefault="00870777">
          <w:pPr>
            <w:pStyle w:val="Spistreci2"/>
            <w:rPr>
              <w:rFonts w:asciiTheme="minorHAnsi" w:eastAsiaTheme="minorEastAsia" w:hAnsiTheme="minorHAnsi" w:cstheme="minorBidi"/>
              <w:sz w:val="22"/>
              <w:lang w:val="en-GB" w:eastAsia="en-GB"/>
            </w:rPr>
          </w:pPr>
          <w:hyperlink w:anchor="_Toc12533256" w:history="1">
            <w:r w:rsidR="00DF65F3" w:rsidRPr="004815D6">
              <w:rPr>
                <w:rStyle w:val="Hipercze"/>
              </w:rPr>
              <w:t>ROZDZIAŁ P — POMOCE WZROKOWE DLA NAWIGACJI (OZNACZNIKI)</w:t>
            </w:r>
            <w:r w:rsidR="00DF65F3">
              <w:rPr>
                <w:webHidden/>
              </w:rPr>
              <w:tab/>
            </w:r>
            <w:r w:rsidR="00DF65F3">
              <w:rPr>
                <w:webHidden/>
              </w:rPr>
              <w:fldChar w:fldCharType="begin"/>
            </w:r>
            <w:r w:rsidR="00DF65F3">
              <w:rPr>
                <w:webHidden/>
              </w:rPr>
              <w:instrText xml:space="preserve"> PAGEREF _Toc12533256 \h </w:instrText>
            </w:r>
            <w:r w:rsidR="00DF65F3">
              <w:rPr>
                <w:webHidden/>
              </w:rPr>
            </w:r>
            <w:r w:rsidR="00DF65F3">
              <w:rPr>
                <w:webHidden/>
              </w:rPr>
              <w:fldChar w:fldCharType="separate"/>
            </w:r>
            <w:r w:rsidR="00F755B7">
              <w:rPr>
                <w:webHidden/>
              </w:rPr>
              <w:t>522</w:t>
            </w:r>
            <w:r w:rsidR="00DF65F3">
              <w:rPr>
                <w:webHidden/>
              </w:rPr>
              <w:fldChar w:fldCharType="end"/>
            </w:r>
          </w:hyperlink>
        </w:p>
        <w:p w14:paraId="141DD607" w14:textId="74CB0085" w:rsidR="00DF65F3" w:rsidRDefault="00870777">
          <w:pPr>
            <w:pStyle w:val="Spistreci4"/>
            <w:rPr>
              <w:sz w:val="22"/>
              <w:lang w:val="en-GB" w:eastAsia="en-GB"/>
            </w:rPr>
          </w:pPr>
          <w:hyperlink w:anchor="_Toc12533257" w:history="1">
            <w:r w:rsidR="00DF65F3" w:rsidRPr="004815D6">
              <w:rPr>
                <w:rStyle w:val="Hipercze"/>
              </w:rPr>
              <w:t xml:space="preserve">CS ADR-DSN.P.805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_Toc12533257 \h </w:instrText>
            </w:r>
            <w:r w:rsidR="00DF65F3">
              <w:rPr>
                <w:webHidden/>
              </w:rPr>
            </w:r>
            <w:r w:rsidR="00DF65F3">
              <w:rPr>
                <w:webHidden/>
              </w:rPr>
              <w:fldChar w:fldCharType="separate"/>
            </w:r>
            <w:r w:rsidR="00F755B7">
              <w:rPr>
                <w:webHidden/>
              </w:rPr>
              <w:t>522</w:t>
            </w:r>
            <w:r w:rsidR="00DF65F3">
              <w:rPr>
                <w:webHidden/>
              </w:rPr>
              <w:fldChar w:fldCharType="end"/>
            </w:r>
          </w:hyperlink>
        </w:p>
        <w:p w14:paraId="57A89193" w14:textId="6C27690E" w:rsidR="00DF65F3" w:rsidRDefault="00870777">
          <w:pPr>
            <w:pStyle w:val="Spistreci6"/>
            <w:rPr>
              <w:sz w:val="22"/>
              <w:lang w:val="en-GB" w:eastAsia="en-GB"/>
            </w:rPr>
          </w:pPr>
          <w:hyperlink w:anchor="_Toc12533258" w:history="1">
            <w:r w:rsidR="00DF65F3" w:rsidRPr="004815D6">
              <w:rPr>
                <w:rStyle w:val="Hipercze"/>
              </w:rPr>
              <w:t xml:space="preserve">GM1 ADR-DSN.P.805     </w:t>
            </w:r>
            <w:r w:rsidR="00DF65F3" w:rsidRPr="004815D6">
              <w:rPr>
                <w:rStyle w:val="Hipercze"/>
                <w:rFonts w:cs="TimesNewRomanPS-BoldItalicMT"/>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_Toc12533258 \h </w:instrText>
            </w:r>
            <w:r w:rsidR="00DF65F3">
              <w:rPr>
                <w:webHidden/>
              </w:rPr>
            </w:r>
            <w:r w:rsidR="00DF65F3">
              <w:rPr>
                <w:webHidden/>
              </w:rPr>
              <w:fldChar w:fldCharType="separate"/>
            </w:r>
            <w:r w:rsidR="00F755B7">
              <w:rPr>
                <w:webHidden/>
              </w:rPr>
              <w:t>522</w:t>
            </w:r>
            <w:r w:rsidR="00DF65F3">
              <w:rPr>
                <w:webHidden/>
              </w:rPr>
              <w:fldChar w:fldCharType="end"/>
            </w:r>
          </w:hyperlink>
        </w:p>
        <w:p w14:paraId="78E595BB" w14:textId="0578E8D0" w:rsidR="00DF65F3" w:rsidRDefault="00870777">
          <w:pPr>
            <w:pStyle w:val="Spistreci4"/>
            <w:rPr>
              <w:sz w:val="22"/>
              <w:lang w:val="en-GB" w:eastAsia="en-GB"/>
            </w:rPr>
          </w:pPr>
          <w:hyperlink w:anchor="_Toc12533259" w:history="1">
            <w:r w:rsidR="00DF65F3" w:rsidRPr="004815D6">
              <w:rPr>
                <w:rStyle w:val="Hipercze"/>
              </w:rPr>
              <w:t>CS ADR-DSN.P.810      Oznaczniki krawędzi drogi startowej bez nawierzchni sztucznej</w:t>
            </w:r>
            <w:r w:rsidR="00DF65F3">
              <w:rPr>
                <w:webHidden/>
              </w:rPr>
              <w:tab/>
            </w:r>
            <w:r w:rsidR="00DF65F3">
              <w:rPr>
                <w:webHidden/>
              </w:rPr>
              <w:fldChar w:fldCharType="begin"/>
            </w:r>
            <w:r w:rsidR="00DF65F3">
              <w:rPr>
                <w:webHidden/>
              </w:rPr>
              <w:instrText xml:space="preserve"> PAGEREF _Toc12533259 \h </w:instrText>
            </w:r>
            <w:r w:rsidR="00DF65F3">
              <w:rPr>
                <w:webHidden/>
              </w:rPr>
            </w:r>
            <w:r w:rsidR="00DF65F3">
              <w:rPr>
                <w:webHidden/>
              </w:rPr>
              <w:fldChar w:fldCharType="separate"/>
            </w:r>
            <w:r w:rsidR="00F755B7">
              <w:rPr>
                <w:webHidden/>
              </w:rPr>
              <w:t>522</w:t>
            </w:r>
            <w:r w:rsidR="00DF65F3">
              <w:rPr>
                <w:webHidden/>
              </w:rPr>
              <w:fldChar w:fldCharType="end"/>
            </w:r>
          </w:hyperlink>
        </w:p>
        <w:p w14:paraId="1AAE2544" w14:textId="2320A9E3" w:rsidR="00DF65F3" w:rsidRDefault="00870777">
          <w:pPr>
            <w:pStyle w:val="Spistreci6"/>
            <w:rPr>
              <w:sz w:val="22"/>
              <w:lang w:val="en-GB" w:eastAsia="en-GB"/>
            </w:rPr>
          </w:pPr>
          <w:hyperlink w:anchor="_Toc12533260" w:history="1">
            <w:r w:rsidR="00DF65F3" w:rsidRPr="004815D6">
              <w:rPr>
                <w:rStyle w:val="Hipercze"/>
              </w:rPr>
              <w:t>GM1 ADR-DSN.P.810     Oznaczniki krawędzi drogi startowej bez nawierzchni sztucznej</w:t>
            </w:r>
            <w:r w:rsidR="00DF65F3">
              <w:rPr>
                <w:webHidden/>
              </w:rPr>
              <w:tab/>
            </w:r>
            <w:r w:rsidR="00DF65F3">
              <w:rPr>
                <w:webHidden/>
              </w:rPr>
              <w:fldChar w:fldCharType="begin"/>
            </w:r>
            <w:r w:rsidR="00DF65F3">
              <w:rPr>
                <w:webHidden/>
              </w:rPr>
              <w:instrText xml:space="preserve"> PAGEREF _Toc12533260 \h </w:instrText>
            </w:r>
            <w:r w:rsidR="00DF65F3">
              <w:rPr>
                <w:webHidden/>
              </w:rPr>
            </w:r>
            <w:r w:rsidR="00DF65F3">
              <w:rPr>
                <w:webHidden/>
              </w:rPr>
              <w:fldChar w:fldCharType="separate"/>
            </w:r>
            <w:r w:rsidR="00F755B7">
              <w:rPr>
                <w:webHidden/>
              </w:rPr>
              <w:t>522</w:t>
            </w:r>
            <w:r w:rsidR="00DF65F3">
              <w:rPr>
                <w:webHidden/>
              </w:rPr>
              <w:fldChar w:fldCharType="end"/>
            </w:r>
          </w:hyperlink>
        </w:p>
        <w:p w14:paraId="25D85EC6" w14:textId="3446E982" w:rsidR="00DF65F3" w:rsidRDefault="00870777">
          <w:pPr>
            <w:pStyle w:val="Spistreci4"/>
            <w:rPr>
              <w:sz w:val="22"/>
              <w:lang w:val="en-GB" w:eastAsia="en-GB"/>
            </w:rPr>
          </w:pPr>
          <w:hyperlink w:anchor="_Toc12533261" w:history="1">
            <w:r w:rsidR="00DF65F3" w:rsidRPr="004815D6">
              <w:rPr>
                <w:rStyle w:val="Hipercze"/>
              </w:rPr>
              <w:t>CS ADR-DSN.P.815     Oznaczniki krawędzi zabezpieczenia przerwanego startu</w:t>
            </w:r>
            <w:r w:rsidR="00DF65F3">
              <w:rPr>
                <w:webHidden/>
              </w:rPr>
              <w:tab/>
            </w:r>
            <w:r w:rsidR="00DF65F3">
              <w:rPr>
                <w:webHidden/>
              </w:rPr>
              <w:fldChar w:fldCharType="begin"/>
            </w:r>
            <w:r w:rsidR="00DF65F3">
              <w:rPr>
                <w:webHidden/>
              </w:rPr>
              <w:instrText xml:space="preserve"> PAGEREF _Toc12533261 \h </w:instrText>
            </w:r>
            <w:r w:rsidR="00DF65F3">
              <w:rPr>
                <w:webHidden/>
              </w:rPr>
            </w:r>
            <w:r w:rsidR="00DF65F3">
              <w:rPr>
                <w:webHidden/>
              </w:rPr>
              <w:fldChar w:fldCharType="separate"/>
            </w:r>
            <w:r w:rsidR="00F755B7">
              <w:rPr>
                <w:webHidden/>
              </w:rPr>
              <w:t>522</w:t>
            </w:r>
            <w:r w:rsidR="00DF65F3">
              <w:rPr>
                <w:webHidden/>
              </w:rPr>
              <w:fldChar w:fldCharType="end"/>
            </w:r>
          </w:hyperlink>
        </w:p>
        <w:p w14:paraId="78B886D3" w14:textId="7AEE0015" w:rsidR="00DF65F3" w:rsidRDefault="00870777">
          <w:pPr>
            <w:pStyle w:val="Spistreci6"/>
            <w:rPr>
              <w:sz w:val="22"/>
              <w:lang w:val="en-GB" w:eastAsia="en-GB"/>
            </w:rPr>
          </w:pPr>
          <w:hyperlink w:anchor="_Toc12533262" w:history="1">
            <w:r w:rsidR="00DF65F3" w:rsidRPr="004815D6">
              <w:rPr>
                <w:rStyle w:val="Hipercze"/>
              </w:rPr>
              <w:t>GM1 ADR-DSN.P.815     Oznaczniki krawędzi zabezpieczenia przerwanego startu</w:t>
            </w:r>
            <w:r w:rsidR="00DF65F3">
              <w:rPr>
                <w:webHidden/>
              </w:rPr>
              <w:tab/>
            </w:r>
            <w:r w:rsidR="00DF65F3">
              <w:rPr>
                <w:webHidden/>
              </w:rPr>
              <w:fldChar w:fldCharType="begin"/>
            </w:r>
            <w:r w:rsidR="00DF65F3">
              <w:rPr>
                <w:webHidden/>
              </w:rPr>
              <w:instrText xml:space="preserve"> PAGEREF _Toc12533262 \h </w:instrText>
            </w:r>
            <w:r w:rsidR="00DF65F3">
              <w:rPr>
                <w:webHidden/>
              </w:rPr>
            </w:r>
            <w:r w:rsidR="00DF65F3">
              <w:rPr>
                <w:webHidden/>
              </w:rPr>
              <w:fldChar w:fldCharType="separate"/>
            </w:r>
            <w:r w:rsidR="00F755B7">
              <w:rPr>
                <w:webHidden/>
              </w:rPr>
              <w:t>523</w:t>
            </w:r>
            <w:r w:rsidR="00DF65F3">
              <w:rPr>
                <w:webHidden/>
              </w:rPr>
              <w:fldChar w:fldCharType="end"/>
            </w:r>
          </w:hyperlink>
        </w:p>
        <w:p w14:paraId="5A1955FF" w14:textId="10B98A4E" w:rsidR="00DF65F3" w:rsidRDefault="00870777">
          <w:pPr>
            <w:pStyle w:val="Spistreci4"/>
            <w:rPr>
              <w:sz w:val="22"/>
              <w:lang w:val="en-GB" w:eastAsia="en-GB"/>
            </w:rPr>
          </w:pPr>
          <w:hyperlink w:anchor="_Toc12533263" w:history="1">
            <w:r w:rsidR="00DF65F3" w:rsidRPr="004815D6">
              <w:rPr>
                <w:rStyle w:val="Hipercze"/>
              </w:rPr>
              <w:t>CS ADR-DSN.P.820      Oznaczniki krawędzi dróg startowych pokrytych śniegiem</w:t>
            </w:r>
            <w:r w:rsidR="00DF65F3">
              <w:rPr>
                <w:webHidden/>
              </w:rPr>
              <w:tab/>
            </w:r>
            <w:r w:rsidR="00DF65F3">
              <w:rPr>
                <w:webHidden/>
              </w:rPr>
              <w:fldChar w:fldCharType="begin"/>
            </w:r>
            <w:r w:rsidR="00DF65F3">
              <w:rPr>
                <w:webHidden/>
              </w:rPr>
              <w:instrText xml:space="preserve"> PAGEREF _Toc12533263 \h </w:instrText>
            </w:r>
            <w:r w:rsidR="00DF65F3">
              <w:rPr>
                <w:webHidden/>
              </w:rPr>
            </w:r>
            <w:r w:rsidR="00DF65F3">
              <w:rPr>
                <w:webHidden/>
              </w:rPr>
              <w:fldChar w:fldCharType="separate"/>
            </w:r>
            <w:r w:rsidR="00F755B7">
              <w:rPr>
                <w:webHidden/>
              </w:rPr>
              <w:t>523</w:t>
            </w:r>
            <w:r w:rsidR="00DF65F3">
              <w:rPr>
                <w:webHidden/>
              </w:rPr>
              <w:fldChar w:fldCharType="end"/>
            </w:r>
          </w:hyperlink>
        </w:p>
        <w:p w14:paraId="1904EF88" w14:textId="238E76A5" w:rsidR="00DF65F3" w:rsidRDefault="00870777">
          <w:pPr>
            <w:pStyle w:val="Spistreci6"/>
            <w:rPr>
              <w:sz w:val="22"/>
              <w:lang w:val="en-GB" w:eastAsia="en-GB"/>
            </w:rPr>
          </w:pPr>
          <w:hyperlink w:anchor="_Toc12533264" w:history="1">
            <w:r w:rsidR="00DF65F3" w:rsidRPr="004815D6">
              <w:rPr>
                <w:rStyle w:val="Hipercze"/>
              </w:rPr>
              <w:t>GM1 ADR-DSN.P.820     Oznaczniki krawędzi dróg startowych pokrytych śniegiem</w:t>
            </w:r>
            <w:r w:rsidR="00DF65F3">
              <w:rPr>
                <w:webHidden/>
              </w:rPr>
              <w:tab/>
            </w:r>
            <w:r w:rsidR="00DF65F3">
              <w:rPr>
                <w:webHidden/>
              </w:rPr>
              <w:fldChar w:fldCharType="begin"/>
            </w:r>
            <w:r w:rsidR="00DF65F3">
              <w:rPr>
                <w:webHidden/>
              </w:rPr>
              <w:instrText xml:space="preserve"> PAGEREF _Toc12533264 \h </w:instrText>
            </w:r>
            <w:r w:rsidR="00DF65F3">
              <w:rPr>
                <w:webHidden/>
              </w:rPr>
            </w:r>
            <w:r w:rsidR="00DF65F3">
              <w:rPr>
                <w:webHidden/>
              </w:rPr>
              <w:fldChar w:fldCharType="separate"/>
            </w:r>
            <w:r w:rsidR="00F755B7">
              <w:rPr>
                <w:webHidden/>
              </w:rPr>
              <w:t>523</w:t>
            </w:r>
            <w:r w:rsidR="00DF65F3">
              <w:rPr>
                <w:webHidden/>
              </w:rPr>
              <w:fldChar w:fldCharType="end"/>
            </w:r>
          </w:hyperlink>
        </w:p>
        <w:p w14:paraId="6D65EA5A" w14:textId="27B0FB7C" w:rsidR="00DF65F3" w:rsidRDefault="00870777">
          <w:pPr>
            <w:pStyle w:val="Spistreci4"/>
            <w:rPr>
              <w:sz w:val="22"/>
              <w:lang w:val="en-GB" w:eastAsia="en-GB"/>
            </w:rPr>
          </w:pPr>
          <w:hyperlink w:anchor="_Toc12533265" w:history="1">
            <w:r w:rsidR="00DF65F3" w:rsidRPr="004815D6">
              <w:rPr>
                <w:rStyle w:val="Hipercze"/>
              </w:rPr>
              <w:t>CS ADR-DSN.P.825     Oznaczniki krawędzi drogi kołowania</w:t>
            </w:r>
            <w:r w:rsidR="00DF65F3">
              <w:rPr>
                <w:webHidden/>
              </w:rPr>
              <w:tab/>
            </w:r>
            <w:r w:rsidR="00DF65F3">
              <w:rPr>
                <w:webHidden/>
              </w:rPr>
              <w:fldChar w:fldCharType="begin"/>
            </w:r>
            <w:r w:rsidR="00DF65F3">
              <w:rPr>
                <w:webHidden/>
              </w:rPr>
              <w:instrText xml:space="preserve"> PAGEREF _Toc12533265 \h </w:instrText>
            </w:r>
            <w:r w:rsidR="00DF65F3">
              <w:rPr>
                <w:webHidden/>
              </w:rPr>
            </w:r>
            <w:r w:rsidR="00DF65F3">
              <w:rPr>
                <w:webHidden/>
              </w:rPr>
              <w:fldChar w:fldCharType="separate"/>
            </w:r>
            <w:r w:rsidR="00F755B7">
              <w:rPr>
                <w:webHidden/>
              </w:rPr>
              <w:t>523</w:t>
            </w:r>
            <w:r w:rsidR="00DF65F3">
              <w:rPr>
                <w:webHidden/>
              </w:rPr>
              <w:fldChar w:fldCharType="end"/>
            </w:r>
          </w:hyperlink>
        </w:p>
        <w:p w14:paraId="79DC7681" w14:textId="35E499A6" w:rsidR="00DF65F3" w:rsidRDefault="00870777">
          <w:pPr>
            <w:pStyle w:val="Spistreci6"/>
            <w:rPr>
              <w:sz w:val="22"/>
              <w:lang w:val="en-GB" w:eastAsia="en-GB"/>
            </w:rPr>
          </w:pPr>
          <w:hyperlink w:anchor="_Toc12533266" w:history="1">
            <w:r w:rsidR="00DF65F3" w:rsidRPr="004815D6">
              <w:rPr>
                <w:rStyle w:val="Hipercze"/>
              </w:rPr>
              <w:t>GM1 ADR-DSN.P.825     Oznaczniki krawędzi drogi kołowania</w:t>
            </w:r>
            <w:r w:rsidR="00DF65F3">
              <w:rPr>
                <w:webHidden/>
              </w:rPr>
              <w:tab/>
            </w:r>
            <w:r w:rsidR="00DF65F3">
              <w:rPr>
                <w:webHidden/>
              </w:rPr>
              <w:fldChar w:fldCharType="begin"/>
            </w:r>
            <w:r w:rsidR="00DF65F3">
              <w:rPr>
                <w:webHidden/>
              </w:rPr>
              <w:instrText xml:space="preserve"> PAGEREF _Toc12533266 \h </w:instrText>
            </w:r>
            <w:r w:rsidR="00DF65F3">
              <w:rPr>
                <w:webHidden/>
              </w:rPr>
            </w:r>
            <w:r w:rsidR="00DF65F3">
              <w:rPr>
                <w:webHidden/>
              </w:rPr>
              <w:fldChar w:fldCharType="separate"/>
            </w:r>
            <w:r w:rsidR="00F755B7">
              <w:rPr>
                <w:webHidden/>
              </w:rPr>
              <w:t>523</w:t>
            </w:r>
            <w:r w:rsidR="00DF65F3">
              <w:rPr>
                <w:webHidden/>
              </w:rPr>
              <w:fldChar w:fldCharType="end"/>
            </w:r>
          </w:hyperlink>
        </w:p>
        <w:p w14:paraId="19BB1DCA" w14:textId="4DE26F77" w:rsidR="00DF65F3" w:rsidRDefault="00870777">
          <w:pPr>
            <w:pStyle w:val="Spistreci4"/>
            <w:rPr>
              <w:sz w:val="22"/>
              <w:lang w:val="en-GB" w:eastAsia="en-GB"/>
            </w:rPr>
          </w:pPr>
          <w:hyperlink w:anchor="_Toc12533267" w:history="1">
            <w:r w:rsidR="00DF65F3" w:rsidRPr="004815D6">
              <w:rPr>
                <w:rStyle w:val="Hipercze"/>
              </w:rPr>
              <w:t>CS ADR-DSN.P.830     Oznaczniki linii środkowej drogi kołowania</w:t>
            </w:r>
            <w:r w:rsidR="00DF65F3">
              <w:rPr>
                <w:webHidden/>
              </w:rPr>
              <w:tab/>
            </w:r>
            <w:r w:rsidR="00DF65F3">
              <w:rPr>
                <w:webHidden/>
              </w:rPr>
              <w:fldChar w:fldCharType="begin"/>
            </w:r>
            <w:r w:rsidR="00DF65F3">
              <w:rPr>
                <w:webHidden/>
              </w:rPr>
              <w:instrText xml:space="preserve"> PAGEREF _Toc12533267 \h </w:instrText>
            </w:r>
            <w:r w:rsidR="00DF65F3">
              <w:rPr>
                <w:webHidden/>
              </w:rPr>
            </w:r>
            <w:r w:rsidR="00DF65F3">
              <w:rPr>
                <w:webHidden/>
              </w:rPr>
              <w:fldChar w:fldCharType="separate"/>
            </w:r>
            <w:r w:rsidR="00F755B7">
              <w:rPr>
                <w:webHidden/>
              </w:rPr>
              <w:t>525</w:t>
            </w:r>
            <w:r w:rsidR="00DF65F3">
              <w:rPr>
                <w:webHidden/>
              </w:rPr>
              <w:fldChar w:fldCharType="end"/>
            </w:r>
          </w:hyperlink>
        </w:p>
        <w:p w14:paraId="3A7289A7" w14:textId="29834057" w:rsidR="00DF65F3" w:rsidRDefault="00870777">
          <w:pPr>
            <w:pStyle w:val="Spistreci6"/>
            <w:rPr>
              <w:sz w:val="22"/>
              <w:lang w:val="en-GB" w:eastAsia="en-GB"/>
            </w:rPr>
          </w:pPr>
          <w:hyperlink w:anchor="_Toc12533268" w:history="1">
            <w:r w:rsidR="00DF65F3" w:rsidRPr="004815D6">
              <w:rPr>
                <w:rStyle w:val="Hipercze"/>
              </w:rPr>
              <w:t>GM1 ADR-DSN.P.830     Oznaczniki linii środkowej drogi kołowania</w:t>
            </w:r>
            <w:r w:rsidR="00DF65F3">
              <w:rPr>
                <w:webHidden/>
              </w:rPr>
              <w:tab/>
            </w:r>
            <w:r w:rsidR="00DF65F3">
              <w:rPr>
                <w:webHidden/>
              </w:rPr>
              <w:fldChar w:fldCharType="begin"/>
            </w:r>
            <w:r w:rsidR="00DF65F3">
              <w:rPr>
                <w:webHidden/>
              </w:rPr>
              <w:instrText xml:space="preserve"> PAGEREF _Toc12533268 \h </w:instrText>
            </w:r>
            <w:r w:rsidR="00DF65F3">
              <w:rPr>
                <w:webHidden/>
              </w:rPr>
            </w:r>
            <w:r w:rsidR="00DF65F3">
              <w:rPr>
                <w:webHidden/>
              </w:rPr>
              <w:fldChar w:fldCharType="separate"/>
            </w:r>
            <w:r w:rsidR="00F755B7">
              <w:rPr>
                <w:webHidden/>
              </w:rPr>
              <w:t>525</w:t>
            </w:r>
            <w:r w:rsidR="00DF65F3">
              <w:rPr>
                <w:webHidden/>
              </w:rPr>
              <w:fldChar w:fldCharType="end"/>
            </w:r>
          </w:hyperlink>
        </w:p>
        <w:p w14:paraId="57179925" w14:textId="04C4CBCC" w:rsidR="00DF65F3" w:rsidRDefault="00870777">
          <w:pPr>
            <w:pStyle w:val="Spistreci4"/>
            <w:rPr>
              <w:sz w:val="22"/>
              <w:lang w:val="en-GB" w:eastAsia="en-GB"/>
            </w:rPr>
          </w:pPr>
          <w:hyperlink w:anchor="_Toc12533269" w:history="1">
            <w:r w:rsidR="00DF65F3" w:rsidRPr="004815D6">
              <w:rPr>
                <w:rStyle w:val="Hipercze"/>
              </w:rPr>
              <w:t>CS ADR-DSN.P.835      Oznaczniki krawędzi drogi kołowania bez nawierzchni sztucznej</w:t>
            </w:r>
            <w:r w:rsidR="00DF65F3">
              <w:rPr>
                <w:webHidden/>
              </w:rPr>
              <w:tab/>
            </w:r>
            <w:r w:rsidR="00DF65F3">
              <w:rPr>
                <w:webHidden/>
              </w:rPr>
              <w:fldChar w:fldCharType="begin"/>
            </w:r>
            <w:r w:rsidR="00DF65F3">
              <w:rPr>
                <w:webHidden/>
              </w:rPr>
              <w:instrText xml:space="preserve"> PAGEREF _Toc12533269 \h </w:instrText>
            </w:r>
            <w:r w:rsidR="00DF65F3">
              <w:rPr>
                <w:webHidden/>
              </w:rPr>
            </w:r>
            <w:r w:rsidR="00DF65F3">
              <w:rPr>
                <w:webHidden/>
              </w:rPr>
              <w:fldChar w:fldCharType="separate"/>
            </w:r>
            <w:r w:rsidR="00F755B7">
              <w:rPr>
                <w:webHidden/>
              </w:rPr>
              <w:t>525</w:t>
            </w:r>
            <w:r w:rsidR="00DF65F3">
              <w:rPr>
                <w:webHidden/>
              </w:rPr>
              <w:fldChar w:fldCharType="end"/>
            </w:r>
          </w:hyperlink>
        </w:p>
        <w:p w14:paraId="3F5AF33D" w14:textId="6495737D" w:rsidR="00DF65F3" w:rsidRDefault="00870777">
          <w:pPr>
            <w:pStyle w:val="Spistreci6"/>
            <w:rPr>
              <w:sz w:val="22"/>
              <w:lang w:val="en-GB" w:eastAsia="en-GB"/>
            </w:rPr>
          </w:pPr>
          <w:hyperlink w:anchor="_Toc12533270" w:history="1">
            <w:r w:rsidR="00DF65F3" w:rsidRPr="004815D6">
              <w:rPr>
                <w:rStyle w:val="Hipercze"/>
              </w:rPr>
              <w:t>GM1 ADR-DSN.P.835     Oznaczniki krawędzi drogi kołowania bez nawierzchni sztucznej</w:t>
            </w:r>
            <w:r w:rsidR="00DF65F3">
              <w:rPr>
                <w:webHidden/>
              </w:rPr>
              <w:tab/>
            </w:r>
            <w:r w:rsidR="00DF65F3">
              <w:rPr>
                <w:webHidden/>
              </w:rPr>
              <w:fldChar w:fldCharType="begin"/>
            </w:r>
            <w:r w:rsidR="00DF65F3">
              <w:rPr>
                <w:webHidden/>
              </w:rPr>
              <w:instrText xml:space="preserve"> PAGEREF _Toc12533270 \h </w:instrText>
            </w:r>
            <w:r w:rsidR="00DF65F3">
              <w:rPr>
                <w:webHidden/>
              </w:rPr>
            </w:r>
            <w:r w:rsidR="00DF65F3">
              <w:rPr>
                <w:webHidden/>
              </w:rPr>
              <w:fldChar w:fldCharType="separate"/>
            </w:r>
            <w:r w:rsidR="00F755B7">
              <w:rPr>
                <w:webHidden/>
              </w:rPr>
              <w:t>526</w:t>
            </w:r>
            <w:r w:rsidR="00DF65F3">
              <w:rPr>
                <w:webHidden/>
              </w:rPr>
              <w:fldChar w:fldCharType="end"/>
            </w:r>
          </w:hyperlink>
        </w:p>
        <w:p w14:paraId="1F3239FD" w14:textId="44923667" w:rsidR="00DF65F3" w:rsidRDefault="00870777">
          <w:pPr>
            <w:pStyle w:val="Spistreci2"/>
            <w:rPr>
              <w:rFonts w:asciiTheme="minorHAnsi" w:eastAsiaTheme="minorEastAsia" w:hAnsiTheme="minorHAnsi" w:cstheme="minorBidi"/>
              <w:sz w:val="22"/>
              <w:lang w:val="en-GB" w:eastAsia="en-GB"/>
            </w:rPr>
          </w:pPr>
          <w:hyperlink w:anchor="_Toc12533271" w:history="1">
            <w:r w:rsidR="00DF65F3" w:rsidRPr="004815D6">
              <w:rPr>
                <w:rStyle w:val="Hipercze"/>
              </w:rPr>
              <w:t>ROZDZIAŁ Q — POMOCE WZROKOWE DO OZNAKOWANIA PRZESZKÓD LOTNICZYCH</w:t>
            </w:r>
            <w:r w:rsidR="00DF65F3">
              <w:rPr>
                <w:webHidden/>
              </w:rPr>
              <w:tab/>
            </w:r>
            <w:r w:rsidR="00DF65F3">
              <w:rPr>
                <w:webHidden/>
              </w:rPr>
              <w:fldChar w:fldCharType="begin"/>
            </w:r>
            <w:r w:rsidR="00DF65F3">
              <w:rPr>
                <w:webHidden/>
              </w:rPr>
              <w:instrText xml:space="preserve"> PAGEREF _Toc12533271 \h </w:instrText>
            </w:r>
            <w:r w:rsidR="00DF65F3">
              <w:rPr>
                <w:webHidden/>
              </w:rPr>
            </w:r>
            <w:r w:rsidR="00DF65F3">
              <w:rPr>
                <w:webHidden/>
              </w:rPr>
              <w:fldChar w:fldCharType="separate"/>
            </w:r>
            <w:r w:rsidR="00F755B7">
              <w:rPr>
                <w:webHidden/>
              </w:rPr>
              <w:t>527</w:t>
            </w:r>
            <w:r w:rsidR="00DF65F3">
              <w:rPr>
                <w:webHidden/>
              </w:rPr>
              <w:fldChar w:fldCharType="end"/>
            </w:r>
          </w:hyperlink>
        </w:p>
        <w:p w14:paraId="64E755AE" w14:textId="37C6F8B4" w:rsidR="00DF65F3" w:rsidRDefault="00870777">
          <w:pPr>
            <w:pStyle w:val="Spistreci4"/>
            <w:rPr>
              <w:sz w:val="22"/>
              <w:lang w:val="en-GB" w:eastAsia="en-GB"/>
            </w:rPr>
          </w:pPr>
          <w:hyperlink w:anchor="_Toc12533272" w:history="1">
            <w:r w:rsidR="00DF65F3" w:rsidRPr="004815D6">
              <w:rPr>
                <w:rStyle w:val="Hipercze"/>
              </w:rPr>
              <w:t>CS ADR-DSN.Q.840     Obiekty znajdujące się w obrębie granic bocznych powierzchni ograniczających przeszkody, które muszą  być oznakowane i / lub oświetlone</w:t>
            </w:r>
            <w:r w:rsidR="00DF65F3">
              <w:rPr>
                <w:webHidden/>
              </w:rPr>
              <w:tab/>
            </w:r>
            <w:r w:rsidR="00DF65F3">
              <w:rPr>
                <w:webHidden/>
              </w:rPr>
              <w:fldChar w:fldCharType="begin"/>
            </w:r>
            <w:r w:rsidR="00DF65F3">
              <w:rPr>
                <w:webHidden/>
              </w:rPr>
              <w:instrText xml:space="preserve"> PAGEREF _Toc12533272 \h </w:instrText>
            </w:r>
            <w:r w:rsidR="00DF65F3">
              <w:rPr>
                <w:webHidden/>
              </w:rPr>
            </w:r>
            <w:r w:rsidR="00DF65F3">
              <w:rPr>
                <w:webHidden/>
              </w:rPr>
              <w:fldChar w:fldCharType="separate"/>
            </w:r>
            <w:r w:rsidR="00F755B7">
              <w:rPr>
                <w:webHidden/>
              </w:rPr>
              <w:t>527</w:t>
            </w:r>
            <w:r w:rsidR="00DF65F3">
              <w:rPr>
                <w:webHidden/>
              </w:rPr>
              <w:fldChar w:fldCharType="end"/>
            </w:r>
          </w:hyperlink>
        </w:p>
        <w:p w14:paraId="19CEEBF3" w14:textId="1A020A2D" w:rsidR="00DF65F3" w:rsidRDefault="00870777">
          <w:pPr>
            <w:pStyle w:val="Spistreci6"/>
            <w:rPr>
              <w:sz w:val="22"/>
              <w:lang w:val="en-GB" w:eastAsia="en-GB"/>
            </w:rPr>
          </w:pPr>
          <w:hyperlink w:anchor="_Toc12533273" w:history="1">
            <w:r w:rsidR="00DF65F3" w:rsidRPr="004815D6">
              <w:rPr>
                <w:rStyle w:val="Hipercze"/>
              </w:rPr>
              <w:t>GM1 ADR-DSN.Q.840     Obiekty znajdujące się w obrębie granic bocznych powierzchni     ograniczających przeszkody, które muszą być oznakowane     i / lub oświetlone</w:t>
            </w:r>
            <w:r w:rsidR="00DF65F3">
              <w:rPr>
                <w:webHidden/>
              </w:rPr>
              <w:tab/>
            </w:r>
            <w:r w:rsidR="00DF65F3">
              <w:rPr>
                <w:webHidden/>
              </w:rPr>
              <w:fldChar w:fldCharType="begin"/>
            </w:r>
            <w:r w:rsidR="00DF65F3">
              <w:rPr>
                <w:webHidden/>
              </w:rPr>
              <w:instrText xml:space="preserve"> PAGEREF _Toc12533273 \h </w:instrText>
            </w:r>
            <w:r w:rsidR="00DF65F3">
              <w:rPr>
                <w:webHidden/>
              </w:rPr>
            </w:r>
            <w:r w:rsidR="00DF65F3">
              <w:rPr>
                <w:webHidden/>
              </w:rPr>
              <w:fldChar w:fldCharType="separate"/>
            </w:r>
            <w:r w:rsidR="00F755B7">
              <w:rPr>
                <w:webHidden/>
              </w:rPr>
              <w:t>528</w:t>
            </w:r>
            <w:r w:rsidR="00DF65F3">
              <w:rPr>
                <w:webHidden/>
              </w:rPr>
              <w:fldChar w:fldCharType="end"/>
            </w:r>
          </w:hyperlink>
        </w:p>
        <w:p w14:paraId="323E86CB" w14:textId="3B0EE882" w:rsidR="00DF65F3" w:rsidRDefault="00870777">
          <w:pPr>
            <w:pStyle w:val="Spistreci4"/>
            <w:rPr>
              <w:sz w:val="22"/>
              <w:lang w:val="en-GB" w:eastAsia="en-GB"/>
            </w:rPr>
          </w:pPr>
          <w:hyperlink w:anchor="_Toc12533274" w:history="1">
            <w:r w:rsidR="00DF65F3" w:rsidRPr="004815D6">
              <w:rPr>
                <w:rStyle w:val="Hipercze"/>
              </w:rPr>
              <w:t>CS ADR-DSN.Q.841     Obiekty znajdujące się poza granicami bocznymi powierzchni ograniczających przeszkody, które  muszą być oznakowane i / lub oświetlone</w:t>
            </w:r>
            <w:r w:rsidR="00DF65F3">
              <w:rPr>
                <w:webHidden/>
              </w:rPr>
              <w:tab/>
            </w:r>
            <w:r w:rsidR="00DF65F3">
              <w:rPr>
                <w:webHidden/>
              </w:rPr>
              <w:fldChar w:fldCharType="begin"/>
            </w:r>
            <w:r w:rsidR="00DF65F3">
              <w:rPr>
                <w:webHidden/>
              </w:rPr>
              <w:instrText xml:space="preserve"> PAGEREF _Toc12533274 \h </w:instrText>
            </w:r>
            <w:r w:rsidR="00DF65F3">
              <w:rPr>
                <w:webHidden/>
              </w:rPr>
            </w:r>
            <w:r w:rsidR="00DF65F3">
              <w:rPr>
                <w:webHidden/>
              </w:rPr>
              <w:fldChar w:fldCharType="separate"/>
            </w:r>
            <w:r w:rsidR="00F755B7">
              <w:rPr>
                <w:webHidden/>
              </w:rPr>
              <w:t>529</w:t>
            </w:r>
            <w:r w:rsidR="00DF65F3">
              <w:rPr>
                <w:webHidden/>
              </w:rPr>
              <w:fldChar w:fldCharType="end"/>
            </w:r>
          </w:hyperlink>
        </w:p>
        <w:p w14:paraId="23C5F875" w14:textId="3AFDE020" w:rsidR="00DF65F3" w:rsidRDefault="00870777">
          <w:pPr>
            <w:pStyle w:val="Spistreci6"/>
            <w:rPr>
              <w:sz w:val="22"/>
              <w:lang w:val="en-GB" w:eastAsia="en-GB"/>
            </w:rPr>
          </w:pPr>
          <w:hyperlink w:anchor="_Toc12533275" w:history="1">
            <w:r w:rsidR="00DF65F3" w:rsidRPr="004815D6">
              <w:rPr>
                <w:rStyle w:val="Hipercze"/>
              </w:rPr>
              <w:t>GM1 ADR-DSN.Q.841     Obiekty znajdujące się poza granicami bocznymi powierzchni     ograniczających przeszkody, które muszą być oznakowane    i / lub oświetlone</w:t>
            </w:r>
            <w:r w:rsidR="00DF65F3">
              <w:rPr>
                <w:webHidden/>
              </w:rPr>
              <w:tab/>
            </w:r>
            <w:r w:rsidR="00DF65F3">
              <w:rPr>
                <w:webHidden/>
              </w:rPr>
              <w:fldChar w:fldCharType="begin"/>
            </w:r>
            <w:r w:rsidR="00DF65F3">
              <w:rPr>
                <w:webHidden/>
              </w:rPr>
              <w:instrText xml:space="preserve"> PAGEREF _Toc12533275 \h </w:instrText>
            </w:r>
            <w:r w:rsidR="00DF65F3">
              <w:rPr>
                <w:webHidden/>
              </w:rPr>
            </w:r>
            <w:r w:rsidR="00DF65F3">
              <w:rPr>
                <w:webHidden/>
              </w:rPr>
              <w:fldChar w:fldCharType="separate"/>
            </w:r>
            <w:r w:rsidR="00F755B7">
              <w:rPr>
                <w:webHidden/>
              </w:rPr>
              <w:t>529</w:t>
            </w:r>
            <w:r w:rsidR="00DF65F3">
              <w:rPr>
                <w:webHidden/>
              </w:rPr>
              <w:fldChar w:fldCharType="end"/>
            </w:r>
          </w:hyperlink>
        </w:p>
        <w:p w14:paraId="7CD96AC1" w14:textId="6B4ADF79" w:rsidR="00DF65F3" w:rsidRDefault="00870777">
          <w:pPr>
            <w:pStyle w:val="Spistreci4"/>
            <w:rPr>
              <w:sz w:val="22"/>
              <w:lang w:val="en-GB" w:eastAsia="en-GB"/>
            </w:rPr>
          </w:pPr>
          <w:hyperlink w:anchor="_Toc12533276" w:history="1">
            <w:r w:rsidR="00DF65F3" w:rsidRPr="004815D6">
              <w:rPr>
                <w:rStyle w:val="Hipercze"/>
              </w:rPr>
              <w:t>CS ADR-DSN.Q.845     Oznakowanie obiektów stałych</w:t>
            </w:r>
            <w:r w:rsidR="00DF65F3">
              <w:rPr>
                <w:webHidden/>
              </w:rPr>
              <w:tab/>
            </w:r>
            <w:r w:rsidR="00DF65F3">
              <w:rPr>
                <w:webHidden/>
              </w:rPr>
              <w:fldChar w:fldCharType="begin"/>
            </w:r>
            <w:r w:rsidR="00DF65F3">
              <w:rPr>
                <w:webHidden/>
              </w:rPr>
              <w:instrText xml:space="preserve"> PAGEREF _Toc12533276 \h </w:instrText>
            </w:r>
            <w:r w:rsidR="00DF65F3">
              <w:rPr>
                <w:webHidden/>
              </w:rPr>
            </w:r>
            <w:r w:rsidR="00DF65F3">
              <w:rPr>
                <w:webHidden/>
              </w:rPr>
              <w:fldChar w:fldCharType="separate"/>
            </w:r>
            <w:r w:rsidR="00F755B7">
              <w:rPr>
                <w:webHidden/>
              </w:rPr>
              <w:t>529</w:t>
            </w:r>
            <w:r w:rsidR="00DF65F3">
              <w:rPr>
                <w:webHidden/>
              </w:rPr>
              <w:fldChar w:fldCharType="end"/>
            </w:r>
          </w:hyperlink>
        </w:p>
        <w:p w14:paraId="3BE16E8A" w14:textId="790B70F3" w:rsidR="00DF65F3" w:rsidRDefault="00870777">
          <w:pPr>
            <w:pStyle w:val="Spistreci6"/>
            <w:rPr>
              <w:sz w:val="22"/>
              <w:lang w:val="en-GB" w:eastAsia="en-GB"/>
            </w:rPr>
          </w:pPr>
          <w:hyperlink w:anchor="_Toc12533277" w:history="1">
            <w:r w:rsidR="00DF65F3" w:rsidRPr="004815D6">
              <w:rPr>
                <w:rStyle w:val="Hipercze"/>
              </w:rPr>
              <w:t>GM1 ADR-DSN.Q.845     Oznakowanie obiektów stałych</w:t>
            </w:r>
            <w:r w:rsidR="00DF65F3">
              <w:rPr>
                <w:webHidden/>
              </w:rPr>
              <w:tab/>
            </w:r>
            <w:r w:rsidR="00DF65F3">
              <w:rPr>
                <w:webHidden/>
              </w:rPr>
              <w:fldChar w:fldCharType="begin"/>
            </w:r>
            <w:r w:rsidR="00DF65F3">
              <w:rPr>
                <w:webHidden/>
              </w:rPr>
              <w:instrText xml:space="preserve"> PAGEREF _Toc12533277 \h </w:instrText>
            </w:r>
            <w:r w:rsidR="00DF65F3">
              <w:rPr>
                <w:webHidden/>
              </w:rPr>
            </w:r>
            <w:r w:rsidR="00DF65F3">
              <w:rPr>
                <w:webHidden/>
              </w:rPr>
              <w:fldChar w:fldCharType="separate"/>
            </w:r>
            <w:r w:rsidR="00F755B7">
              <w:rPr>
                <w:webHidden/>
              </w:rPr>
              <w:t>532</w:t>
            </w:r>
            <w:r w:rsidR="00DF65F3">
              <w:rPr>
                <w:webHidden/>
              </w:rPr>
              <w:fldChar w:fldCharType="end"/>
            </w:r>
          </w:hyperlink>
        </w:p>
        <w:p w14:paraId="525A8ADC" w14:textId="5CECD8D7" w:rsidR="00DF65F3" w:rsidRDefault="00870777">
          <w:pPr>
            <w:pStyle w:val="Spistreci4"/>
            <w:rPr>
              <w:sz w:val="22"/>
              <w:lang w:val="en-GB" w:eastAsia="en-GB"/>
            </w:rPr>
          </w:pPr>
          <w:hyperlink w:anchor="_Toc12533278" w:history="1">
            <w:r w:rsidR="00DF65F3" w:rsidRPr="004815D6">
              <w:rPr>
                <w:rStyle w:val="Hipercze"/>
              </w:rPr>
              <w:t>CS ADR-DSN.Q.846     Oświetlenie obiektów stałych</w:t>
            </w:r>
            <w:r w:rsidR="00DF65F3">
              <w:rPr>
                <w:webHidden/>
              </w:rPr>
              <w:tab/>
            </w:r>
            <w:r w:rsidR="00DF65F3">
              <w:rPr>
                <w:webHidden/>
              </w:rPr>
              <w:fldChar w:fldCharType="begin"/>
            </w:r>
            <w:r w:rsidR="00DF65F3">
              <w:rPr>
                <w:webHidden/>
              </w:rPr>
              <w:instrText xml:space="preserve"> PAGEREF _Toc12533278 \h </w:instrText>
            </w:r>
            <w:r w:rsidR="00DF65F3">
              <w:rPr>
                <w:webHidden/>
              </w:rPr>
            </w:r>
            <w:r w:rsidR="00DF65F3">
              <w:rPr>
                <w:webHidden/>
              </w:rPr>
              <w:fldChar w:fldCharType="separate"/>
            </w:r>
            <w:r w:rsidR="00F755B7">
              <w:rPr>
                <w:webHidden/>
              </w:rPr>
              <w:t>532</w:t>
            </w:r>
            <w:r w:rsidR="00DF65F3">
              <w:rPr>
                <w:webHidden/>
              </w:rPr>
              <w:fldChar w:fldCharType="end"/>
            </w:r>
          </w:hyperlink>
        </w:p>
        <w:p w14:paraId="768DF4E2" w14:textId="280D51DA" w:rsidR="00DF65F3" w:rsidRDefault="00870777">
          <w:pPr>
            <w:pStyle w:val="Spistreci6"/>
            <w:rPr>
              <w:sz w:val="22"/>
              <w:lang w:val="en-GB" w:eastAsia="en-GB"/>
            </w:rPr>
          </w:pPr>
          <w:hyperlink w:anchor="_Toc12533279" w:history="1">
            <w:r w:rsidR="00DF65F3" w:rsidRPr="004815D6">
              <w:rPr>
                <w:rStyle w:val="Hipercze"/>
              </w:rPr>
              <w:t>GM1 ADR-DSN.Q.846     Oświetlenie obiektów stałych</w:t>
            </w:r>
            <w:r w:rsidR="00DF65F3">
              <w:rPr>
                <w:webHidden/>
              </w:rPr>
              <w:tab/>
            </w:r>
            <w:r w:rsidR="00DF65F3">
              <w:rPr>
                <w:webHidden/>
              </w:rPr>
              <w:fldChar w:fldCharType="begin"/>
            </w:r>
            <w:r w:rsidR="00DF65F3">
              <w:rPr>
                <w:webHidden/>
              </w:rPr>
              <w:instrText xml:space="preserve"> PAGEREF _Toc12533279 \h </w:instrText>
            </w:r>
            <w:r w:rsidR="00DF65F3">
              <w:rPr>
                <w:webHidden/>
              </w:rPr>
            </w:r>
            <w:r w:rsidR="00DF65F3">
              <w:rPr>
                <w:webHidden/>
              </w:rPr>
              <w:fldChar w:fldCharType="separate"/>
            </w:r>
            <w:r w:rsidR="00F755B7">
              <w:rPr>
                <w:webHidden/>
              </w:rPr>
              <w:t>533</w:t>
            </w:r>
            <w:r w:rsidR="00DF65F3">
              <w:rPr>
                <w:webHidden/>
              </w:rPr>
              <w:fldChar w:fldCharType="end"/>
            </w:r>
          </w:hyperlink>
        </w:p>
        <w:p w14:paraId="3EF86F92" w14:textId="6DB4AD32" w:rsidR="00DF65F3" w:rsidRDefault="00870777">
          <w:pPr>
            <w:pStyle w:val="Spistreci4"/>
            <w:rPr>
              <w:sz w:val="22"/>
              <w:lang w:val="en-GB" w:eastAsia="en-GB"/>
            </w:rPr>
          </w:pPr>
          <w:hyperlink w:anchor="_Toc12533280" w:history="1">
            <w:r w:rsidR="00DF65F3" w:rsidRPr="004815D6">
              <w:rPr>
                <w:rStyle w:val="Hipercze"/>
              </w:rPr>
              <w:t>CS ADR-DSN.Q.847     Oświetlenie obiektów stałych o</w:t>
            </w:r>
            <w:r w:rsidR="00DF65F3" w:rsidRPr="004815D6">
              <w:rPr>
                <w:rStyle w:val="Hipercze"/>
                <w:rFonts w:cs="Times New Roman"/>
                <w:iCs/>
              </w:rPr>
              <w:t xml:space="preserve"> </w:t>
            </w:r>
            <w:r w:rsidR="00DF65F3" w:rsidRPr="004815D6">
              <w:rPr>
                <w:rStyle w:val="Hipercze"/>
                <w:iCs/>
              </w:rPr>
              <w:t>wysokości mniejszej niż 45 m nad poziomem ziemi</w:t>
            </w:r>
            <w:r w:rsidR="00DF65F3">
              <w:rPr>
                <w:webHidden/>
              </w:rPr>
              <w:tab/>
            </w:r>
            <w:r w:rsidR="00DF65F3">
              <w:rPr>
                <w:webHidden/>
              </w:rPr>
              <w:fldChar w:fldCharType="begin"/>
            </w:r>
            <w:r w:rsidR="00DF65F3">
              <w:rPr>
                <w:webHidden/>
              </w:rPr>
              <w:instrText xml:space="preserve"> PAGEREF _Toc12533280 \h </w:instrText>
            </w:r>
            <w:r w:rsidR="00DF65F3">
              <w:rPr>
                <w:webHidden/>
              </w:rPr>
            </w:r>
            <w:r w:rsidR="00DF65F3">
              <w:rPr>
                <w:webHidden/>
              </w:rPr>
              <w:fldChar w:fldCharType="separate"/>
            </w:r>
            <w:r w:rsidR="00F755B7">
              <w:rPr>
                <w:webHidden/>
              </w:rPr>
              <w:t>542</w:t>
            </w:r>
            <w:r w:rsidR="00DF65F3">
              <w:rPr>
                <w:webHidden/>
              </w:rPr>
              <w:fldChar w:fldCharType="end"/>
            </w:r>
          </w:hyperlink>
        </w:p>
        <w:p w14:paraId="5BDD1C6A" w14:textId="1434B5BA" w:rsidR="00DF65F3" w:rsidRDefault="00870777">
          <w:pPr>
            <w:pStyle w:val="Spistreci6"/>
            <w:rPr>
              <w:sz w:val="22"/>
              <w:lang w:val="en-GB" w:eastAsia="en-GB"/>
            </w:rPr>
          </w:pPr>
          <w:hyperlink w:anchor="_Toc12533281" w:history="1">
            <w:r w:rsidR="00DF65F3" w:rsidRPr="004815D6">
              <w:rPr>
                <w:rStyle w:val="Hipercze"/>
              </w:rPr>
              <w:t>GM1 ADR-DSN.Q.847     Oświetlenie obiektów stałych o wysokości mniejszej niż 45 m     nad poziomem ziemi</w:t>
            </w:r>
            <w:r w:rsidR="00DF65F3">
              <w:rPr>
                <w:webHidden/>
              </w:rPr>
              <w:tab/>
            </w:r>
            <w:r w:rsidR="00DF65F3">
              <w:rPr>
                <w:webHidden/>
              </w:rPr>
              <w:fldChar w:fldCharType="begin"/>
            </w:r>
            <w:r w:rsidR="00DF65F3">
              <w:rPr>
                <w:webHidden/>
              </w:rPr>
              <w:instrText xml:space="preserve"> PAGEREF _Toc12533281 \h </w:instrText>
            </w:r>
            <w:r w:rsidR="00DF65F3">
              <w:rPr>
                <w:webHidden/>
              </w:rPr>
            </w:r>
            <w:r w:rsidR="00DF65F3">
              <w:rPr>
                <w:webHidden/>
              </w:rPr>
              <w:fldChar w:fldCharType="separate"/>
            </w:r>
            <w:r w:rsidR="00F755B7">
              <w:rPr>
                <w:webHidden/>
              </w:rPr>
              <w:t>542</w:t>
            </w:r>
            <w:r w:rsidR="00DF65F3">
              <w:rPr>
                <w:webHidden/>
              </w:rPr>
              <w:fldChar w:fldCharType="end"/>
            </w:r>
          </w:hyperlink>
        </w:p>
        <w:p w14:paraId="4C97E952" w14:textId="5036C6D1" w:rsidR="00DF65F3" w:rsidRDefault="00870777">
          <w:pPr>
            <w:pStyle w:val="Spistreci4"/>
            <w:rPr>
              <w:sz w:val="22"/>
              <w:lang w:val="en-GB" w:eastAsia="en-GB"/>
            </w:rPr>
          </w:pPr>
          <w:hyperlink w:anchor="_Toc12533282" w:history="1">
            <w:r w:rsidR="00DF65F3" w:rsidRPr="004815D6">
              <w:rPr>
                <w:rStyle w:val="Hipercze"/>
              </w:rPr>
              <w:t>CS ADR-DSN.Q.848     Oświetlenie obiektów stałych o wysokości od 45 m do 150 m nad poziomem ziemi</w:t>
            </w:r>
            <w:r w:rsidR="00DF65F3">
              <w:rPr>
                <w:webHidden/>
              </w:rPr>
              <w:tab/>
            </w:r>
            <w:r w:rsidR="00DF65F3">
              <w:rPr>
                <w:webHidden/>
              </w:rPr>
              <w:fldChar w:fldCharType="begin"/>
            </w:r>
            <w:r w:rsidR="00DF65F3">
              <w:rPr>
                <w:webHidden/>
              </w:rPr>
              <w:instrText xml:space="preserve"> PAGEREF _Toc12533282 \h </w:instrText>
            </w:r>
            <w:r w:rsidR="00DF65F3">
              <w:rPr>
                <w:webHidden/>
              </w:rPr>
            </w:r>
            <w:r w:rsidR="00DF65F3">
              <w:rPr>
                <w:webHidden/>
              </w:rPr>
              <w:fldChar w:fldCharType="separate"/>
            </w:r>
            <w:r w:rsidR="00F755B7">
              <w:rPr>
                <w:webHidden/>
              </w:rPr>
              <w:t>542</w:t>
            </w:r>
            <w:r w:rsidR="00DF65F3">
              <w:rPr>
                <w:webHidden/>
              </w:rPr>
              <w:fldChar w:fldCharType="end"/>
            </w:r>
          </w:hyperlink>
        </w:p>
        <w:p w14:paraId="7ADECE52" w14:textId="2D90A855" w:rsidR="00DF65F3" w:rsidRDefault="00870777">
          <w:pPr>
            <w:pStyle w:val="Spistreci6"/>
            <w:rPr>
              <w:sz w:val="22"/>
              <w:lang w:val="en-GB" w:eastAsia="en-GB"/>
            </w:rPr>
          </w:pPr>
          <w:hyperlink w:anchor="_Toc12533283" w:history="1">
            <w:r w:rsidR="00DF65F3" w:rsidRPr="004815D6">
              <w:rPr>
                <w:rStyle w:val="Hipercze"/>
              </w:rPr>
              <w:t>GM1 ADR-DSN.Q.848     Oświetlenie obiektów stałych o wysokości od 45 m do 150 m nad poziomem ziemi</w:t>
            </w:r>
            <w:r w:rsidR="00DF65F3">
              <w:rPr>
                <w:webHidden/>
              </w:rPr>
              <w:tab/>
            </w:r>
            <w:r w:rsidR="00DF65F3">
              <w:rPr>
                <w:webHidden/>
              </w:rPr>
              <w:fldChar w:fldCharType="begin"/>
            </w:r>
            <w:r w:rsidR="00DF65F3">
              <w:rPr>
                <w:webHidden/>
              </w:rPr>
              <w:instrText xml:space="preserve"> PAGEREF _Toc12533283 \h </w:instrText>
            </w:r>
            <w:r w:rsidR="00DF65F3">
              <w:rPr>
                <w:webHidden/>
              </w:rPr>
            </w:r>
            <w:r w:rsidR="00DF65F3">
              <w:rPr>
                <w:webHidden/>
              </w:rPr>
              <w:fldChar w:fldCharType="separate"/>
            </w:r>
            <w:r w:rsidR="00F755B7">
              <w:rPr>
                <w:webHidden/>
              </w:rPr>
              <w:t>543</w:t>
            </w:r>
            <w:r w:rsidR="00DF65F3">
              <w:rPr>
                <w:webHidden/>
              </w:rPr>
              <w:fldChar w:fldCharType="end"/>
            </w:r>
          </w:hyperlink>
        </w:p>
        <w:p w14:paraId="509E1055" w14:textId="2A7EE894" w:rsidR="00DF65F3" w:rsidRDefault="00870777">
          <w:pPr>
            <w:pStyle w:val="Spistreci4"/>
            <w:rPr>
              <w:sz w:val="22"/>
              <w:lang w:val="en-GB" w:eastAsia="en-GB"/>
            </w:rPr>
          </w:pPr>
          <w:hyperlink w:anchor="_Toc12533284" w:history="1">
            <w:r w:rsidR="00DF65F3" w:rsidRPr="004815D6">
              <w:rPr>
                <w:rStyle w:val="Hipercze"/>
              </w:rPr>
              <w:t>CS ADR-DSN.Q.849     Oświetlenie obiektów stałych o wysokości 150 m i więcej nad poziomem ziemi</w:t>
            </w:r>
            <w:r w:rsidR="00DF65F3">
              <w:rPr>
                <w:webHidden/>
              </w:rPr>
              <w:tab/>
            </w:r>
            <w:r w:rsidR="00DF65F3">
              <w:rPr>
                <w:webHidden/>
              </w:rPr>
              <w:fldChar w:fldCharType="begin"/>
            </w:r>
            <w:r w:rsidR="00DF65F3">
              <w:rPr>
                <w:webHidden/>
              </w:rPr>
              <w:instrText xml:space="preserve"> PAGEREF _Toc12533284 \h </w:instrText>
            </w:r>
            <w:r w:rsidR="00DF65F3">
              <w:rPr>
                <w:webHidden/>
              </w:rPr>
            </w:r>
            <w:r w:rsidR="00DF65F3">
              <w:rPr>
                <w:webHidden/>
              </w:rPr>
              <w:fldChar w:fldCharType="separate"/>
            </w:r>
            <w:r w:rsidR="00F755B7">
              <w:rPr>
                <w:webHidden/>
              </w:rPr>
              <w:t>543</w:t>
            </w:r>
            <w:r w:rsidR="00DF65F3">
              <w:rPr>
                <w:webHidden/>
              </w:rPr>
              <w:fldChar w:fldCharType="end"/>
            </w:r>
          </w:hyperlink>
        </w:p>
        <w:p w14:paraId="5AE5601F" w14:textId="4D3EC83C" w:rsidR="00DF65F3" w:rsidRDefault="00870777">
          <w:pPr>
            <w:pStyle w:val="Spistreci6"/>
            <w:rPr>
              <w:sz w:val="22"/>
              <w:lang w:val="en-GB" w:eastAsia="en-GB"/>
            </w:rPr>
          </w:pPr>
          <w:hyperlink w:anchor="_Toc12533285" w:history="1">
            <w:r w:rsidR="00DF65F3" w:rsidRPr="004815D6">
              <w:rPr>
                <w:rStyle w:val="Hipercze"/>
              </w:rPr>
              <w:t>GM1 ADR-DSN.Q.849     Oświetlenie obiektów stałych o wysokości 150 m i więcej nad     poziomem ziemi</w:t>
            </w:r>
            <w:r w:rsidR="00DF65F3">
              <w:rPr>
                <w:webHidden/>
              </w:rPr>
              <w:tab/>
            </w:r>
            <w:r w:rsidR="00DF65F3">
              <w:rPr>
                <w:webHidden/>
              </w:rPr>
              <w:fldChar w:fldCharType="begin"/>
            </w:r>
            <w:r w:rsidR="00DF65F3">
              <w:rPr>
                <w:webHidden/>
              </w:rPr>
              <w:instrText xml:space="preserve"> PAGEREF _Toc12533285 \h </w:instrText>
            </w:r>
            <w:r w:rsidR="00DF65F3">
              <w:rPr>
                <w:webHidden/>
              </w:rPr>
            </w:r>
            <w:r w:rsidR="00DF65F3">
              <w:rPr>
                <w:webHidden/>
              </w:rPr>
              <w:fldChar w:fldCharType="separate"/>
            </w:r>
            <w:r w:rsidR="00F755B7">
              <w:rPr>
                <w:webHidden/>
              </w:rPr>
              <w:t>544</w:t>
            </w:r>
            <w:r w:rsidR="00DF65F3">
              <w:rPr>
                <w:webHidden/>
              </w:rPr>
              <w:fldChar w:fldCharType="end"/>
            </w:r>
          </w:hyperlink>
        </w:p>
        <w:p w14:paraId="2CA57DE6" w14:textId="6969F0F1" w:rsidR="00DF65F3" w:rsidRDefault="00870777">
          <w:pPr>
            <w:pStyle w:val="Spistreci4"/>
            <w:rPr>
              <w:sz w:val="22"/>
              <w:lang w:val="en-GB" w:eastAsia="en-GB"/>
            </w:rPr>
          </w:pPr>
          <w:hyperlink w:anchor="_Toc12533286" w:history="1">
            <w:r w:rsidR="00DF65F3" w:rsidRPr="004815D6">
              <w:rPr>
                <w:rStyle w:val="Hipercze"/>
              </w:rPr>
              <w:t>CS ADR-DSN.Q.850     Oświetlenie innych obiektów</w:t>
            </w:r>
            <w:r w:rsidR="00DF65F3">
              <w:rPr>
                <w:webHidden/>
              </w:rPr>
              <w:tab/>
            </w:r>
            <w:r w:rsidR="00DF65F3">
              <w:rPr>
                <w:webHidden/>
              </w:rPr>
              <w:fldChar w:fldCharType="begin"/>
            </w:r>
            <w:r w:rsidR="00DF65F3">
              <w:rPr>
                <w:webHidden/>
              </w:rPr>
              <w:instrText xml:space="preserve"> PAGEREF _Toc12533286 \h </w:instrText>
            </w:r>
            <w:r w:rsidR="00DF65F3">
              <w:rPr>
                <w:webHidden/>
              </w:rPr>
            </w:r>
            <w:r w:rsidR="00DF65F3">
              <w:rPr>
                <w:webHidden/>
              </w:rPr>
              <w:fldChar w:fldCharType="separate"/>
            </w:r>
            <w:r w:rsidR="00F755B7">
              <w:rPr>
                <w:webHidden/>
              </w:rPr>
              <w:t>544</w:t>
            </w:r>
            <w:r w:rsidR="00DF65F3">
              <w:rPr>
                <w:webHidden/>
              </w:rPr>
              <w:fldChar w:fldCharType="end"/>
            </w:r>
          </w:hyperlink>
        </w:p>
        <w:p w14:paraId="63DBA4F6" w14:textId="5033FC37" w:rsidR="00DF65F3" w:rsidRDefault="00870777">
          <w:pPr>
            <w:pStyle w:val="Spistreci6"/>
            <w:rPr>
              <w:sz w:val="22"/>
              <w:lang w:val="en-GB" w:eastAsia="en-GB"/>
            </w:rPr>
          </w:pPr>
          <w:hyperlink w:anchor="_Toc12533287" w:history="1">
            <w:r w:rsidR="00DF65F3" w:rsidRPr="004815D6">
              <w:rPr>
                <w:rStyle w:val="Hipercze"/>
              </w:rPr>
              <w:t>GM1 ADR-DSN.Q.850     Oświetlenie innych obiektów</w:t>
            </w:r>
            <w:r w:rsidR="00DF65F3">
              <w:rPr>
                <w:webHidden/>
              </w:rPr>
              <w:tab/>
            </w:r>
            <w:r w:rsidR="00DF65F3">
              <w:rPr>
                <w:webHidden/>
              </w:rPr>
              <w:fldChar w:fldCharType="begin"/>
            </w:r>
            <w:r w:rsidR="00DF65F3">
              <w:rPr>
                <w:webHidden/>
              </w:rPr>
              <w:instrText xml:space="preserve"> PAGEREF _Toc12533287 \h </w:instrText>
            </w:r>
            <w:r w:rsidR="00DF65F3">
              <w:rPr>
                <w:webHidden/>
              </w:rPr>
            </w:r>
            <w:r w:rsidR="00DF65F3">
              <w:rPr>
                <w:webHidden/>
              </w:rPr>
              <w:fldChar w:fldCharType="separate"/>
            </w:r>
            <w:r w:rsidR="00F755B7">
              <w:rPr>
                <w:webHidden/>
              </w:rPr>
              <w:t>544</w:t>
            </w:r>
            <w:r w:rsidR="00DF65F3">
              <w:rPr>
                <w:webHidden/>
              </w:rPr>
              <w:fldChar w:fldCharType="end"/>
            </w:r>
          </w:hyperlink>
        </w:p>
        <w:p w14:paraId="7C546B59" w14:textId="73FC5FDA" w:rsidR="00DF65F3" w:rsidRDefault="00870777">
          <w:pPr>
            <w:pStyle w:val="Spistreci4"/>
            <w:rPr>
              <w:sz w:val="22"/>
              <w:lang w:val="en-GB" w:eastAsia="en-GB"/>
            </w:rPr>
          </w:pPr>
          <w:hyperlink w:anchor="_Toc12533288" w:history="1">
            <w:r w:rsidR="00DF65F3" w:rsidRPr="004815D6">
              <w:rPr>
                <w:rStyle w:val="Hipercze"/>
              </w:rPr>
              <w:t>CS ADR-DSN.Q.851     Oznakowanie i oświetlenie turbin wiatrowych</w:t>
            </w:r>
            <w:r w:rsidR="00DF65F3">
              <w:rPr>
                <w:webHidden/>
              </w:rPr>
              <w:tab/>
            </w:r>
            <w:r w:rsidR="00DF65F3">
              <w:rPr>
                <w:webHidden/>
              </w:rPr>
              <w:fldChar w:fldCharType="begin"/>
            </w:r>
            <w:r w:rsidR="00DF65F3">
              <w:rPr>
                <w:webHidden/>
              </w:rPr>
              <w:instrText xml:space="preserve"> PAGEREF _Toc12533288 \h </w:instrText>
            </w:r>
            <w:r w:rsidR="00DF65F3">
              <w:rPr>
                <w:webHidden/>
              </w:rPr>
            </w:r>
            <w:r w:rsidR="00DF65F3">
              <w:rPr>
                <w:webHidden/>
              </w:rPr>
              <w:fldChar w:fldCharType="separate"/>
            </w:r>
            <w:r w:rsidR="00F755B7">
              <w:rPr>
                <w:webHidden/>
              </w:rPr>
              <w:t>545</w:t>
            </w:r>
            <w:r w:rsidR="00DF65F3">
              <w:rPr>
                <w:webHidden/>
              </w:rPr>
              <w:fldChar w:fldCharType="end"/>
            </w:r>
          </w:hyperlink>
        </w:p>
        <w:p w14:paraId="4DA72A72" w14:textId="0373726E" w:rsidR="00DF65F3" w:rsidRDefault="00870777">
          <w:pPr>
            <w:pStyle w:val="Spistreci6"/>
            <w:rPr>
              <w:sz w:val="22"/>
              <w:lang w:val="en-GB" w:eastAsia="en-GB"/>
            </w:rPr>
          </w:pPr>
          <w:hyperlink w:anchor="_Toc12533289" w:history="1">
            <w:r w:rsidR="00DF65F3" w:rsidRPr="004815D6">
              <w:rPr>
                <w:rStyle w:val="Hipercze"/>
              </w:rPr>
              <w:t>GM1 ADR-DSN.Q.851     Oznakowanie i oświetlenie turbin wiatrowych</w:t>
            </w:r>
            <w:r w:rsidR="00DF65F3">
              <w:rPr>
                <w:webHidden/>
              </w:rPr>
              <w:tab/>
            </w:r>
            <w:r w:rsidR="00DF65F3">
              <w:rPr>
                <w:webHidden/>
              </w:rPr>
              <w:fldChar w:fldCharType="begin"/>
            </w:r>
            <w:r w:rsidR="00DF65F3">
              <w:rPr>
                <w:webHidden/>
              </w:rPr>
              <w:instrText xml:space="preserve"> PAGEREF _Toc12533289 \h </w:instrText>
            </w:r>
            <w:r w:rsidR="00DF65F3">
              <w:rPr>
                <w:webHidden/>
              </w:rPr>
            </w:r>
            <w:r w:rsidR="00DF65F3">
              <w:rPr>
                <w:webHidden/>
              </w:rPr>
              <w:fldChar w:fldCharType="separate"/>
            </w:r>
            <w:r w:rsidR="00F755B7">
              <w:rPr>
                <w:webHidden/>
              </w:rPr>
              <w:t>546</w:t>
            </w:r>
            <w:r w:rsidR="00DF65F3">
              <w:rPr>
                <w:webHidden/>
              </w:rPr>
              <w:fldChar w:fldCharType="end"/>
            </w:r>
          </w:hyperlink>
        </w:p>
        <w:p w14:paraId="21142DA9" w14:textId="4912C8C3" w:rsidR="00DF65F3" w:rsidRDefault="00870777">
          <w:pPr>
            <w:pStyle w:val="Spistreci4"/>
            <w:rPr>
              <w:sz w:val="22"/>
              <w:lang w:val="en-GB" w:eastAsia="en-GB"/>
            </w:rPr>
          </w:pPr>
          <w:hyperlink w:anchor="_Toc12533290" w:history="1">
            <w:r w:rsidR="00DF65F3" w:rsidRPr="004815D6">
              <w:rPr>
                <w:rStyle w:val="Hipercze"/>
              </w:rPr>
              <w:t>CS ADR-DSN.Q.852      Oznakowanie i oświetlenie przewodów linii napowietrznych, kabli, konstrukcji wsporczych, itp.</w:t>
            </w:r>
            <w:r w:rsidR="00DF65F3">
              <w:rPr>
                <w:webHidden/>
              </w:rPr>
              <w:tab/>
            </w:r>
            <w:r w:rsidR="00DF65F3">
              <w:rPr>
                <w:webHidden/>
              </w:rPr>
              <w:fldChar w:fldCharType="begin"/>
            </w:r>
            <w:r w:rsidR="00DF65F3">
              <w:rPr>
                <w:webHidden/>
              </w:rPr>
              <w:instrText xml:space="preserve"> PAGEREF _Toc12533290 \h </w:instrText>
            </w:r>
            <w:r w:rsidR="00DF65F3">
              <w:rPr>
                <w:webHidden/>
              </w:rPr>
            </w:r>
            <w:r w:rsidR="00DF65F3">
              <w:rPr>
                <w:webHidden/>
              </w:rPr>
              <w:fldChar w:fldCharType="separate"/>
            </w:r>
            <w:r w:rsidR="00F755B7">
              <w:rPr>
                <w:webHidden/>
              </w:rPr>
              <w:t>546</w:t>
            </w:r>
            <w:r w:rsidR="00DF65F3">
              <w:rPr>
                <w:webHidden/>
              </w:rPr>
              <w:fldChar w:fldCharType="end"/>
            </w:r>
          </w:hyperlink>
        </w:p>
        <w:p w14:paraId="1E28627F" w14:textId="30739500" w:rsidR="00DF65F3" w:rsidRDefault="00870777">
          <w:pPr>
            <w:pStyle w:val="Spistreci6"/>
            <w:rPr>
              <w:sz w:val="22"/>
              <w:lang w:val="en-GB" w:eastAsia="en-GB"/>
            </w:rPr>
          </w:pPr>
          <w:hyperlink w:anchor="_Toc12533291" w:history="1">
            <w:r w:rsidR="00DF65F3" w:rsidRPr="004815D6">
              <w:rPr>
                <w:rStyle w:val="Hipercze"/>
              </w:rPr>
              <w:t>GM1 ADR-DSN.Q.852     Oznakowanie i oświetlenie przewodów linii napowietrznych,     kabli, konstrukcji wsporczych, itp.</w:t>
            </w:r>
            <w:r w:rsidR="00DF65F3">
              <w:rPr>
                <w:webHidden/>
              </w:rPr>
              <w:tab/>
            </w:r>
            <w:r w:rsidR="00DF65F3">
              <w:rPr>
                <w:webHidden/>
              </w:rPr>
              <w:fldChar w:fldCharType="begin"/>
            </w:r>
            <w:r w:rsidR="00DF65F3">
              <w:rPr>
                <w:webHidden/>
              </w:rPr>
              <w:instrText xml:space="preserve"> PAGEREF _Toc12533291 \h </w:instrText>
            </w:r>
            <w:r w:rsidR="00DF65F3">
              <w:rPr>
                <w:webHidden/>
              </w:rPr>
            </w:r>
            <w:r w:rsidR="00DF65F3">
              <w:rPr>
                <w:webHidden/>
              </w:rPr>
              <w:fldChar w:fldCharType="separate"/>
            </w:r>
            <w:r w:rsidR="00F755B7">
              <w:rPr>
                <w:webHidden/>
              </w:rPr>
              <w:t>552</w:t>
            </w:r>
            <w:r w:rsidR="00DF65F3">
              <w:rPr>
                <w:webHidden/>
              </w:rPr>
              <w:fldChar w:fldCharType="end"/>
            </w:r>
          </w:hyperlink>
        </w:p>
        <w:p w14:paraId="0E575B29" w14:textId="60E8E61F" w:rsidR="00DF65F3" w:rsidRDefault="00870777">
          <w:pPr>
            <w:pStyle w:val="Spistreci2"/>
            <w:rPr>
              <w:rFonts w:asciiTheme="minorHAnsi" w:eastAsiaTheme="minorEastAsia" w:hAnsiTheme="minorHAnsi" w:cstheme="minorBidi"/>
              <w:sz w:val="22"/>
              <w:lang w:val="en-GB" w:eastAsia="en-GB"/>
            </w:rPr>
          </w:pPr>
          <w:hyperlink w:anchor="_Toc12533292" w:history="1">
            <w:r w:rsidR="00DF65F3" w:rsidRPr="004815D6">
              <w:rPr>
                <w:rStyle w:val="Hipercze"/>
              </w:rPr>
              <w:t>ROZDZIAŁ R — POMOCE WZROKOWE DO OZNAKOWANIA STREF O OGRANICZONYM UŻYTKOWANIU</w:t>
            </w:r>
            <w:r w:rsidR="00DF65F3">
              <w:rPr>
                <w:webHidden/>
              </w:rPr>
              <w:tab/>
            </w:r>
            <w:r w:rsidR="00DF65F3">
              <w:rPr>
                <w:webHidden/>
              </w:rPr>
              <w:fldChar w:fldCharType="begin"/>
            </w:r>
            <w:r w:rsidR="00DF65F3">
              <w:rPr>
                <w:webHidden/>
              </w:rPr>
              <w:instrText xml:space="preserve"> PAGEREF _Toc12533292 \h </w:instrText>
            </w:r>
            <w:r w:rsidR="00DF65F3">
              <w:rPr>
                <w:webHidden/>
              </w:rPr>
            </w:r>
            <w:r w:rsidR="00DF65F3">
              <w:rPr>
                <w:webHidden/>
              </w:rPr>
              <w:fldChar w:fldCharType="separate"/>
            </w:r>
            <w:r w:rsidR="00F755B7">
              <w:rPr>
                <w:webHidden/>
              </w:rPr>
              <w:t>553</w:t>
            </w:r>
            <w:r w:rsidR="00DF65F3">
              <w:rPr>
                <w:webHidden/>
              </w:rPr>
              <w:fldChar w:fldCharType="end"/>
            </w:r>
          </w:hyperlink>
        </w:p>
        <w:p w14:paraId="4850F023" w14:textId="2F490994" w:rsidR="00DF65F3" w:rsidRDefault="00870777">
          <w:pPr>
            <w:pStyle w:val="Spistreci4"/>
            <w:rPr>
              <w:sz w:val="22"/>
              <w:lang w:val="en-GB" w:eastAsia="en-GB"/>
            </w:rPr>
          </w:pPr>
          <w:hyperlink w:anchor="_Toc12533293" w:history="1">
            <w:r w:rsidR="00DF65F3" w:rsidRPr="004815D6">
              <w:rPr>
                <w:rStyle w:val="Hipercze"/>
              </w:rPr>
              <w:t>CS ADR-DSN.R.855      Drogi startowe i drogi kołowania całkowicie lub częściowo zamknięte</w:t>
            </w:r>
            <w:r w:rsidR="00DF65F3">
              <w:rPr>
                <w:webHidden/>
              </w:rPr>
              <w:tab/>
            </w:r>
            <w:r w:rsidR="00DF65F3">
              <w:rPr>
                <w:webHidden/>
              </w:rPr>
              <w:fldChar w:fldCharType="begin"/>
            </w:r>
            <w:r w:rsidR="00DF65F3">
              <w:rPr>
                <w:webHidden/>
              </w:rPr>
              <w:instrText xml:space="preserve"> PAGEREF _Toc12533293 \h </w:instrText>
            </w:r>
            <w:r w:rsidR="00DF65F3">
              <w:rPr>
                <w:webHidden/>
              </w:rPr>
            </w:r>
            <w:r w:rsidR="00DF65F3">
              <w:rPr>
                <w:webHidden/>
              </w:rPr>
              <w:fldChar w:fldCharType="separate"/>
            </w:r>
            <w:r w:rsidR="00F755B7">
              <w:rPr>
                <w:webHidden/>
              </w:rPr>
              <w:t>553</w:t>
            </w:r>
            <w:r w:rsidR="00DF65F3">
              <w:rPr>
                <w:webHidden/>
              </w:rPr>
              <w:fldChar w:fldCharType="end"/>
            </w:r>
          </w:hyperlink>
        </w:p>
        <w:p w14:paraId="64194A0D" w14:textId="6CC22988" w:rsidR="00DF65F3" w:rsidRDefault="00870777">
          <w:pPr>
            <w:pStyle w:val="Spistreci6"/>
            <w:rPr>
              <w:sz w:val="22"/>
              <w:lang w:val="en-GB" w:eastAsia="en-GB"/>
            </w:rPr>
          </w:pPr>
          <w:hyperlink w:anchor="_Toc12533294" w:history="1">
            <w:r w:rsidR="00DF65F3" w:rsidRPr="004815D6">
              <w:rPr>
                <w:rStyle w:val="Hipercze"/>
              </w:rPr>
              <w:t>GM1 ADR-DSN.R.855     Drogi startowe i drogi kołowania zamknięte całkowicie lub   częściowo</w:t>
            </w:r>
            <w:r w:rsidR="00DF65F3">
              <w:rPr>
                <w:webHidden/>
              </w:rPr>
              <w:tab/>
            </w:r>
            <w:r w:rsidR="00DF65F3">
              <w:rPr>
                <w:webHidden/>
              </w:rPr>
              <w:fldChar w:fldCharType="begin"/>
            </w:r>
            <w:r w:rsidR="00DF65F3">
              <w:rPr>
                <w:webHidden/>
              </w:rPr>
              <w:instrText xml:space="preserve"> PAGEREF _Toc12533294 \h </w:instrText>
            </w:r>
            <w:r w:rsidR="00DF65F3">
              <w:rPr>
                <w:webHidden/>
              </w:rPr>
            </w:r>
            <w:r w:rsidR="00DF65F3">
              <w:rPr>
                <w:webHidden/>
              </w:rPr>
              <w:fldChar w:fldCharType="separate"/>
            </w:r>
            <w:r w:rsidR="00F755B7">
              <w:rPr>
                <w:webHidden/>
              </w:rPr>
              <w:t>554</w:t>
            </w:r>
            <w:r w:rsidR="00DF65F3">
              <w:rPr>
                <w:webHidden/>
              </w:rPr>
              <w:fldChar w:fldCharType="end"/>
            </w:r>
          </w:hyperlink>
        </w:p>
        <w:p w14:paraId="393ABEAC" w14:textId="3A3A1045" w:rsidR="00DF65F3" w:rsidRDefault="00870777">
          <w:pPr>
            <w:pStyle w:val="Spistreci4"/>
            <w:rPr>
              <w:sz w:val="22"/>
              <w:lang w:val="en-GB" w:eastAsia="en-GB"/>
            </w:rPr>
          </w:pPr>
          <w:hyperlink w:anchor="_Toc12533295" w:history="1">
            <w:r w:rsidR="00DF65F3" w:rsidRPr="004815D6">
              <w:rPr>
                <w:rStyle w:val="Hipercze"/>
              </w:rPr>
              <w:t>CS ADR-DSN.R.860     Powierzchnie nienośne</w:t>
            </w:r>
            <w:r w:rsidR="00DF65F3">
              <w:rPr>
                <w:webHidden/>
              </w:rPr>
              <w:tab/>
            </w:r>
            <w:r w:rsidR="00DF65F3">
              <w:rPr>
                <w:webHidden/>
              </w:rPr>
              <w:fldChar w:fldCharType="begin"/>
            </w:r>
            <w:r w:rsidR="00DF65F3">
              <w:rPr>
                <w:webHidden/>
              </w:rPr>
              <w:instrText xml:space="preserve"> PAGEREF _Toc12533295 \h </w:instrText>
            </w:r>
            <w:r w:rsidR="00DF65F3">
              <w:rPr>
                <w:webHidden/>
              </w:rPr>
            </w:r>
            <w:r w:rsidR="00DF65F3">
              <w:rPr>
                <w:webHidden/>
              </w:rPr>
              <w:fldChar w:fldCharType="separate"/>
            </w:r>
            <w:r w:rsidR="00F755B7">
              <w:rPr>
                <w:webHidden/>
              </w:rPr>
              <w:t>554</w:t>
            </w:r>
            <w:r w:rsidR="00DF65F3">
              <w:rPr>
                <w:webHidden/>
              </w:rPr>
              <w:fldChar w:fldCharType="end"/>
            </w:r>
          </w:hyperlink>
        </w:p>
        <w:p w14:paraId="1DB1A02F" w14:textId="68A9DB62" w:rsidR="00DF65F3" w:rsidRDefault="00870777">
          <w:pPr>
            <w:pStyle w:val="Spistreci6"/>
            <w:rPr>
              <w:sz w:val="22"/>
              <w:lang w:val="en-GB" w:eastAsia="en-GB"/>
            </w:rPr>
          </w:pPr>
          <w:hyperlink w:anchor="_Toc12533296" w:history="1">
            <w:r w:rsidR="00DF65F3" w:rsidRPr="004815D6">
              <w:rPr>
                <w:rStyle w:val="Hipercze"/>
              </w:rPr>
              <w:t>GM1 ADR-DSN.R.860     Powierzchnie nienośne</w:t>
            </w:r>
            <w:r w:rsidR="00DF65F3">
              <w:rPr>
                <w:webHidden/>
              </w:rPr>
              <w:tab/>
            </w:r>
            <w:r w:rsidR="00DF65F3">
              <w:rPr>
                <w:webHidden/>
              </w:rPr>
              <w:fldChar w:fldCharType="begin"/>
            </w:r>
            <w:r w:rsidR="00DF65F3">
              <w:rPr>
                <w:webHidden/>
              </w:rPr>
              <w:instrText xml:space="preserve"> PAGEREF _Toc12533296 \h </w:instrText>
            </w:r>
            <w:r w:rsidR="00DF65F3">
              <w:rPr>
                <w:webHidden/>
              </w:rPr>
            </w:r>
            <w:r w:rsidR="00DF65F3">
              <w:rPr>
                <w:webHidden/>
              </w:rPr>
              <w:fldChar w:fldCharType="separate"/>
            </w:r>
            <w:r w:rsidR="00F755B7">
              <w:rPr>
                <w:webHidden/>
              </w:rPr>
              <w:t>555</w:t>
            </w:r>
            <w:r w:rsidR="00DF65F3">
              <w:rPr>
                <w:webHidden/>
              </w:rPr>
              <w:fldChar w:fldCharType="end"/>
            </w:r>
          </w:hyperlink>
        </w:p>
        <w:p w14:paraId="425ADA6E" w14:textId="0660579E" w:rsidR="00DF65F3" w:rsidRDefault="00870777">
          <w:pPr>
            <w:pStyle w:val="Spistreci4"/>
            <w:rPr>
              <w:sz w:val="22"/>
              <w:lang w:val="en-GB" w:eastAsia="en-GB"/>
            </w:rPr>
          </w:pPr>
          <w:hyperlink w:anchor="_Toc12533297" w:history="1">
            <w:r w:rsidR="00DF65F3" w:rsidRPr="004815D6">
              <w:rPr>
                <w:rStyle w:val="Hipercze"/>
              </w:rPr>
              <w:t>CS ADR-DSN.R.865     Powierzchnia przed progiem</w:t>
            </w:r>
            <w:r w:rsidR="00DF65F3">
              <w:rPr>
                <w:webHidden/>
              </w:rPr>
              <w:tab/>
            </w:r>
            <w:r w:rsidR="00DF65F3">
              <w:rPr>
                <w:webHidden/>
              </w:rPr>
              <w:fldChar w:fldCharType="begin"/>
            </w:r>
            <w:r w:rsidR="00DF65F3">
              <w:rPr>
                <w:webHidden/>
              </w:rPr>
              <w:instrText xml:space="preserve"> PAGEREF _Toc12533297 \h </w:instrText>
            </w:r>
            <w:r w:rsidR="00DF65F3">
              <w:rPr>
                <w:webHidden/>
              </w:rPr>
            </w:r>
            <w:r w:rsidR="00DF65F3">
              <w:rPr>
                <w:webHidden/>
              </w:rPr>
              <w:fldChar w:fldCharType="separate"/>
            </w:r>
            <w:r w:rsidR="00F755B7">
              <w:rPr>
                <w:webHidden/>
              </w:rPr>
              <w:t>556</w:t>
            </w:r>
            <w:r w:rsidR="00DF65F3">
              <w:rPr>
                <w:webHidden/>
              </w:rPr>
              <w:fldChar w:fldCharType="end"/>
            </w:r>
          </w:hyperlink>
        </w:p>
        <w:p w14:paraId="327A8002" w14:textId="6B5331B7" w:rsidR="00DF65F3" w:rsidRDefault="00870777">
          <w:pPr>
            <w:pStyle w:val="Spistreci6"/>
            <w:rPr>
              <w:sz w:val="22"/>
              <w:lang w:val="en-GB" w:eastAsia="en-GB"/>
            </w:rPr>
          </w:pPr>
          <w:hyperlink w:anchor="_Toc12533298" w:history="1">
            <w:r w:rsidR="00DF65F3" w:rsidRPr="004815D6">
              <w:rPr>
                <w:rStyle w:val="Hipercze"/>
              </w:rPr>
              <w:t>GM1 ADR-DSN.R.865     Powierzchnia przed progiem</w:t>
            </w:r>
            <w:r w:rsidR="00DF65F3">
              <w:rPr>
                <w:webHidden/>
              </w:rPr>
              <w:tab/>
            </w:r>
            <w:r w:rsidR="00DF65F3">
              <w:rPr>
                <w:webHidden/>
              </w:rPr>
              <w:fldChar w:fldCharType="begin"/>
            </w:r>
            <w:r w:rsidR="00DF65F3">
              <w:rPr>
                <w:webHidden/>
              </w:rPr>
              <w:instrText xml:space="preserve"> PAGEREF _Toc12533298 \h </w:instrText>
            </w:r>
            <w:r w:rsidR="00DF65F3">
              <w:rPr>
                <w:webHidden/>
              </w:rPr>
            </w:r>
            <w:r w:rsidR="00DF65F3">
              <w:rPr>
                <w:webHidden/>
              </w:rPr>
              <w:fldChar w:fldCharType="separate"/>
            </w:r>
            <w:r w:rsidR="00F755B7">
              <w:rPr>
                <w:webHidden/>
              </w:rPr>
              <w:t>557</w:t>
            </w:r>
            <w:r w:rsidR="00DF65F3">
              <w:rPr>
                <w:webHidden/>
              </w:rPr>
              <w:fldChar w:fldCharType="end"/>
            </w:r>
          </w:hyperlink>
        </w:p>
        <w:p w14:paraId="208DA299" w14:textId="326079BE" w:rsidR="00DF65F3" w:rsidRDefault="00870777">
          <w:pPr>
            <w:pStyle w:val="Spistreci4"/>
            <w:rPr>
              <w:sz w:val="22"/>
              <w:lang w:val="en-GB" w:eastAsia="en-GB"/>
            </w:rPr>
          </w:pPr>
          <w:hyperlink w:anchor="_Toc12533299" w:history="1">
            <w:r w:rsidR="00DF65F3" w:rsidRPr="004815D6">
              <w:rPr>
                <w:rStyle w:val="Hipercze"/>
              </w:rPr>
              <w:t>CS ADR-DSN.R.870     Strefy wyłączone z użytkowania</w:t>
            </w:r>
            <w:r w:rsidR="00DF65F3">
              <w:rPr>
                <w:webHidden/>
              </w:rPr>
              <w:tab/>
            </w:r>
            <w:r w:rsidR="00DF65F3">
              <w:rPr>
                <w:webHidden/>
              </w:rPr>
              <w:fldChar w:fldCharType="begin"/>
            </w:r>
            <w:r w:rsidR="00DF65F3">
              <w:rPr>
                <w:webHidden/>
              </w:rPr>
              <w:instrText xml:space="preserve"> PAGEREF _Toc12533299 \h </w:instrText>
            </w:r>
            <w:r w:rsidR="00DF65F3">
              <w:rPr>
                <w:webHidden/>
              </w:rPr>
            </w:r>
            <w:r w:rsidR="00DF65F3">
              <w:rPr>
                <w:webHidden/>
              </w:rPr>
              <w:fldChar w:fldCharType="separate"/>
            </w:r>
            <w:r w:rsidR="00F755B7">
              <w:rPr>
                <w:webHidden/>
              </w:rPr>
              <w:t>557</w:t>
            </w:r>
            <w:r w:rsidR="00DF65F3">
              <w:rPr>
                <w:webHidden/>
              </w:rPr>
              <w:fldChar w:fldCharType="end"/>
            </w:r>
          </w:hyperlink>
        </w:p>
        <w:p w14:paraId="74A38133" w14:textId="28AD43C1" w:rsidR="00DF65F3" w:rsidRDefault="00870777">
          <w:pPr>
            <w:pStyle w:val="Spistreci6"/>
            <w:rPr>
              <w:sz w:val="22"/>
              <w:lang w:val="en-GB" w:eastAsia="en-GB"/>
            </w:rPr>
          </w:pPr>
          <w:hyperlink w:anchor="_Toc12533300" w:history="1">
            <w:r w:rsidR="00DF65F3" w:rsidRPr="004815D6">
              <w:rPr>
                <w:rStyle w:val="Hipercze"/>
              </w:rPr>
              <w:t>GM1 ADR-DSN.R.870     Strefy wyłączone z użytkowania</w:t>
            </w:r>
            <w:r w:rsidR="00DF65F3">
              <w:rPr>
                <w:webHidden/>
              </w:rPr>
              <w:tab/>
            </w:r>
            <w:r w:rsidR="00DF65F3">
              <w:rPr>
                <w:webHidden/>
              </w:rPr>
              <w:fldChar w:fldCharType="begin"/>
            </w:r>
            <w:r w:rsidR="00DF65F3">
              <w:rPr>
                <w:webHidden/>
              </w:rPr>
              <w:instrText xml:space="preserve"> PAGEREF _Toc12533300 \h </w:instrText>
            </w:r>
            <w:r w:rsidR="00DF65F3">
              <w:rPr>
                <w:webHidden/>
              </w:rPr>
            </w:r>
            <w:r w:rsidR="00DF65F3">
              <w:rPr>
                <w:webHidden/>
              </w:rPr>
              <w:fldChar w:fldCharType="separate"/>
            </w:r>
            <w:r w:rsidR="00F755B7">
              <w:rPr>
                <w:webHidden/>
              </w:rPr>
              <w:t>558</w:t>
            </w:r>
            <w:r w:rsidR="00DF65F3">
              <w:rPr>
                <w:webHidden/>
              </w:rPr>
              <w:fldChar w:fldCharType="end"/>
            </w:r>
          </w:hyperlink>
        </w:p>
        <w:p w14:paraId="3FA07584" w14:textId="000BFD22" w:rsidR="00DF65F3" w:rsidRDefault="00870777">
          <w:pPr>
            <w:pStyle w:val="Spistreci2"/>
            <w:rPr>
              <w:rFonts w:asciiTheme="minorHAnsi" w:eastAsiaTheme="minorEastAsia" w:hAnsiTheme="minorHAnsi" w:cstheme="minorBidi"/>
              <w:sz w:val="22"/>
              <w:lang w:val="en-GB" w:eastAsia="en-GB"/>
            </w:rPr>
          </w:pPr>
          <w:hyperlink w:anchor="_Toc12533301" w:history="1">
            <w:r w:rsidR="00DF65F3" w:rsidRPr="004815D6">
              <w:rPr>
                <w:rStyle w:val="Hipercze"/>
              </w:rPr>
              <w:t>ROZDZIAŁ S — SYSTEMY ELEKTRYCZNE</w:t>
            </w:r>
            <w:r w:rsidR="00DF65F3">
              <w:rPr>
                <w:webHidden/>
              </w:rPr>
              <w:tab/>
            </w:r>
            <w:r w:rsidR="00DF65F3">
              <w:rPr>
                <w:webHidden/>
              </w:rPr>
              <w:fldChar w:fldCharType="begin"/>
            </w:r>
            <w:r w:rsidR="00DF65F3">
              <w:rPr>
                <w:webHidden/>
              </w:rPr>
              <w:instrText xml:space="preserve"> PAGEREF _Toc12533301 \h </w:instrText>
            </w:r>
            <w:r w:rsidR="00DF65F3">
              <w:rPr>
                <w:webHidden/>
              </w:rPr>
            </w:r>
            <w:r w:rsidR="00DF65F3">
              <w:rPr>
                <w:webHidden/>
              </w:rPr>
              <w:fldChar w:fldCharType="separate"/>
            </w:r>
            <w:r w:rsidR="00F755B7">
              <w:rPr>
                <w:webHidden/>
              </w:rPr>
              <w:t>559</w:t>
            </w:r>
            <w:r w:rsidR="00DF65F3">
              <w:rPr>
                <w:webHidden/>
              </w:rPr>
              <w:fldChar w:fldCharType="end"/>
            </w:r>
          </w:hyperlink>
        </w:p>
        <w:p w14:paraId="09C929B0" w14:textId="3A4002F7" w:rsidR="00DF65F3" w:rsidRDefault="00870777">
          <w:pPr>
            <w:pStyle w:val="Spistreci4"/>
            <w:rPr>
              <w:sz w:val="22"/>
              <w:lang w:val="en-GB" w:eastAsia="en-GB"/>
            </w:rPr>
          </w:pPr>
          <w:hyperlink w:anchor="_Toc12533302" w:history="1">
            <w:r w:rsidR="00DF65F3" w:rsidRPr="004815D6">
              <w:rPr>
                <w:rStyle w:val="Hipercze"/>
              </w:rPr>
              <w:t>CS ADR-DSN.S.875     Systemy zasilania elektrycznego dla urządzeń nawigacji lotniczej</w:t>
            </w:r>
            <w:r w:rsidR="00DF65F3">
              <w:rPr>
                <w:webHidden/>
              </w:rPr>
              <w:tab/>
            </w:r>
            <w:r w:rsidR="00DF65F3">
              <w:rPr>
                <w:webHidden/>
              </w:rPr>
              <w:fldChar w:fldCharType="begin"/>
            </w:r>
            <w:r w:rsidR="00DF65F3">
              <w:rPr>
                <w:webHidden/>
              </w:rPr>
              <w:instrText xml:space="preserve"> PAGEREF _Toc12533302 \h </w:instrText>
            </w:r>
            <w:r w:rsidR="00DF65F3">
              <w:rPr>
                <w:webHidden/>
              </w:rPr>
            </w:r>
            <w:r w:rsidR="00DF65F3">
              <w:rPr>
                <w:webHidden/>
              </w:rPr>
              <w:fldChar w:fldCharType="separate"/>
            </w:r>
            <w:r w:rsidR="00F755B7">
              <w:rPr>
                <w:webHidden/>
              </w:rPr>
              <w:t>559</w:t>
            </w:r>
            <w:r w:rsidR="00DF65F3">
              <w:rPr>
                <w:webHidden/>
              </w:rPr>
              <w:fldChar w:fldCharType="end"/>
            </w:r>
          </w:hyperlink>
        </w:p>
        <w:p w14:paraId="05510B86" w14:textId="600B7F3A" w:rsidR="00DF65F3" w:rsidRDefault="00870777">
          <w:pPr>
            <w:pStyle w:val="Spistreci6"/>
            <w:rPr>
              <w:sz w:val="22"/>
              <w:lang w:val="en-GB" w:eastAsia="en-GB"/>
            </w:rPr>
          </w:pPr>
          <w:hyperlink w:anchor="_Toc12533303" w:history="1">
            <w:r w:rsidR="00DF65F3" w:rsidRPr="004815D6">
              <w:rPr>
                <w:rStyle w:val="Hipercze"/>
              </w:rPr>
              <w:t>GM1 ADR-DSN.S.875     Systemy zasilania elektrycznego dla urządzeń nawigacji lotniczej</w:t>
            </w:r>
            <w:r w:rsidR="00DF65F3">
              <w:rPr>
                <w:webHidden/>
              </w:rPr>
              <w:tab/>
            </w:r>
            <w:r w:rsidR="00DF65F3">
              <w:rPr>
                <w:webHidden/>
              </w:rPr>
              <w:fldChar w:fldCharType="begin"/>
            </w:r>
            <w:r w:rsidR="00DF65F3">
              <w:rPr>
                <w:webHidden/>
              </w:rPr>
              <w:instrText xml:space="preserve"> PAGEREF _Toc12533303 \h </w:instrText>
            </w:r>
            <w:r w:rsidR="00DF65F3">
              <w:rPr>
                <w:webHidden/>
              </w:rPr>
            </w:r>
            <w:r w:rsidR="00DF65F3">
              <w:rPr>
                <w:webHidden/>
              </w:rPr>
              <w:fldChar w:fldCharType="separate"/>
            </w:r>
            <w:r w:rsidR="00F755B7">
              <w:rPr>
                <w:webHidden/>
              </w:rPr>
              <w:t>559</w:t>
            </w:r>
            <w:r w:rsidR="00DF65F3">
              <w:rPr>
                <w:webHidden/>
              </w:rPr>
              <w:fldChar w:fldCharType="end"/>
            </w:r>
          </w:hyperlink>
        </w:p>
        <w:p w14:paraId="1133CB34" w14:textId="4B095829" w:rsidR="00DF65F3" w:rsidRDefault="00870777">
          <w:pPr>
            <w:pStyle w:val="Spistreci4"/>
            <w:rPr>
              <w:sz w:val="22"/>
              <w:lang w:val="en-GB" w:eastAsia="en-GB"/>
            </w:rPr>
          </w:pPr>
          <w:hyperlink w:anchor="_Toc12533304" w:history="1">
            <w:r w:rsidR="00DF65F3" w:rsidRPr="004815D6">
              <w:rPr>
                <w:rStyle w:val="Hipercze"/>
              </w:rPr>
              <w:t>CS ADR-DSN.S.880     Systemy zasilania elektrycznego</w:t>
            </w:r>
            <w:r w:rsidR="00DF65F3">
              <w:rPr>
                <w:webHidden/>
              </w:rPr>
              <w:tab/>
            </w:r>
            <w:r w:rsidR="00DF65F3">
              <w:rPr>
                <w:webHidden/>
              </w:rPr>
              <w:fldChar w:fldCharType="begin"/>
            </w:r>
            <w:r w:rsidR="00DF65F3">
              <w:rPr>
                <w:webHidden/>
              </w:rPr>
              <w:instrText xml:space="preserve"> PAGEREF _Toc12533304 \h </w:instrText>
            </w:r>
            <w:r w:rsidR="00DF65F3">
              <w:rPr>
                <w:webHidden/>
              </w:rPr>
            </w:r>
            <w:r w:rsidR="00DF65F3">
              <w:rPr>
                <w:webHidden/>
              </w:rPr>
              <w:fldChar w:fldCharType="separate"/>
            </w:r>
            <w:r w:rsidR="00F755B7">
              <w:rPr>
                <w:webHidden/>
              </w:rPr>
              <w:t>560</w:t>
            </w:r>
            <w:r w:rsidR="00DF65F3">
              <w:rPr>
                <w:webHidden/>
              </w:rPr>
              <w:fldChar w:fldCharType="end"/>
            </w:r>
          </w:hyperlink>
        </w:p>
        <w:p w14:paraId="0B075439" w14:textId="3D16C4B1" w:rsidR="00DF65F3" w:rsidRDefault="00870777">
          <w:pPr>
            <w:pStyle w:val="Spistreci6"/>
            <w:rPr>
              <w:sz w:val="22"/>
              <w:lang w:val="en-GB" w:eastAsia="en-GB"/>
            </w:rPr>
          </w:pPr>
          <w:hyperlink w:anchor="_Toc12533305" w:history="1">
            <w:r w:rsidR="00DF65F3" w:rsidRPr="004815D6">
              <w:rPr>
                <w:rStyle w:val="Hipercze"/>
              </w:rPr>
              <w:t>GM1 ADR-DSN.S.880     Systemy zasilania elektrycznego</w:t>
            </w:r>
            <w:r w:rsidR="00DF65F3">
              <w:rPr>
                <w:webHidden/>
              </w:rPr>
              <w:tab/>
            </w:r>
            <w:r w:rsidR="00DF65F3">
              <w:rPr>
                <w:webHidden/>
              </w:rPr>
              <w:fldChar w:fldCharType="begin"/>
            </w:r>
            <w:r w:rsidR="00DF65F3">
              <w:rPr>
                <w:webHidden/>
              </w:rPr>
              <w:instrText xml:space="preserve"> PAGEREF _Toc12533305 \h </w:instrText>
            </w:r>
            <w:r w:rsidR="00DF65F3">
              <w:rPr>
                <w:webHidden/>
              </w:rPr>
            </w:r>
            <w:r w:rsidR="00DF65F3">
              <w:rPr>
                <w:webHidden/>
              </w:rPr>
              <w:fldChar w:fldCharType="separate"/>
            </w:r>
            <w:r w:rsidR="00F755B7">
              <w:rPr>
                <w:webHidden/>
              </w:rPr>
              <w:t>562</w:t>
            </w:r>
            <w:r w:rsidR="00DF65F3">
              <w:rPr>
                <w:webHidden/>
              </w:rPr>
              <w:fldChar w:fldCharType="end"/>
            </w:r>
          </w:hyperlink>
        </w:p>
        <w:p w14:paraId="3336C961" w14:textId="503451C5" w:rsidR="00DF65F3" w:rsidRDefault="00870777">
          <w:pPr>
            <w:pStyle w:val="Spistreci4"/>
            <w:rPr>
              <w:sz w:val="22"/>
              <w:lang w:val="en-GB" w:eastAsia="en-GB"/>
            </w:rPr>
          </w:pPr>
          <w:hyperlink w:anchor="_Toc12533306" w:history="1">
            <w:r w:rsidR="00DF65F3" w:rsidRPr="004815D6">
              <w:rPr>
                <w:rStyle w:val="Hipercze"/>
              </w:rPr>
              <w:t>CS ADR-DSN.S.885     Projekt systemu elektrycznego</w:t>
            </w:r>
            <w:r w:rsidR="00DF65F3">
              <w:rPr>
                <w:webHidden/>
              </w:rPr>
              <w:tab/>
            </w:r>
            <w:r w:rsidR="00DF65F3">
              <w:rPr>
                <w:webHidden/>
              </w:rPr>
              <w:fldChar w:fldCharType="begin"/>
            </w:r>
            <w:r w:rsidR="00DF65F3">
              <w:rPr>
                <w:webHidden/>
              </w:rPr>
              <w:instrText xml:space="preserve"> PAGEREF _Toc12533306 \h </w:instrText>
            </w:r>
            <w:r w:rsidR="00DF65F3">
              <w:rPr>
                <w:webHidden/>
              </w:rPr>
            </w:r>
            <w:r w:rsidR="00DF65F3">
              <w:rPr>
                <w:webHidden/>
              </w:rPr>
              <w:fldChar w:fldCharType="separate"/>
            </w:r>
            <w:r w:rsidR="00F755B7">
              <w:rPr>
                <w:webHidden/>
              </w:rPr>
              <w:t>563</w:t>
            </w:r>
            <w:r w:rsidR="00DF65F3">
              <w:rPr>
                <w:webHidden/>
              </w:rPr>
              <w:fldChar w:fldCharType="end"/>
            </w:r>
          </w:hyperlink>
        </w:p>
        <w:p w14:paraId="57D84A54" w14:textId="4C1C7C36" w:rsidR="00DF65F3" w:rsidRDefault="00870777">
          <w:pPr>
            <w:pStyle w:val="Spistreci6"/>
            <w:rPr>
              <w:sz w:val="22"/>
              <w:lang w:val="en-GB" w:eastAsia="en-GB"/>
            </w:rPr>
          </w:pPr>
          <w:hyperlink w:anchor="_Toc12533307" w:history="1">
            <w:r w:rsidR="00DF65F3" w:rsidRPr="004815D6">
              <w:rPr>
                <w:rStyle w:val="Hipercze"/>
              </w:rPr>
              <w:t>GM1 ADR-DSN.S.885     Projekt systemu elektrycznego</w:t>
            </w:r>
            <w:r w:rsidR="00DF65F3">
              <w:rPr>
                <w:webHidden/>
              </w:rPr>
              <w:tab/>
            </w:r>
            <w:r w:rsidR="00DF65F3">
              <w:rPr>
                <w:webHidden/>
              </w:rPr>
              <w:fldChar w:fldCharType="begin"/>
            </w:r>
            <w:r w:rsidR="00DF65F3">
              <w:rPr>
                <w:webHidden/>
              </w:rPr>
              <w:instrText xml:space="preserve"> PAGEREF _Toc12533307 \h </w:instrText>
            </w:r>
            <w:r w:rsidR="00DF65F3">
              <w:rPr>
                <w:webHidden/>
              </w:rPr>
            </w:r>
            <w:r w:rsidR="00DF65F3">
              <w:rPr>
                <w:webHidden/>
              </w:rPr>
              <w:fldChar w:fldCharType="separate"/>
            </w:r>
            <w:r w:rsidR="00F755B7">
              <w:rPr>
                <w:webHidden/>
              </w:rPr>
              <w:t>563</w:t>
            </w:r>
            <w:r w:rsidR="00DF65F3">
              <w:rPr>
                <w:webHidden/>
              </w:rPr>
              <w:fldChar w:fldCharType="end"/>
            </w:r>
          </w:hyperlink>
        </w:p>
        <w:p w14:paraId="1FA86C48" w14:textId="5B411BFD" w:rsidR="00DF65F3" w:rsidRDefault="00870777">
          <w:pPr>
            <w:pStyle w:val="Spistreci4"/>
            <w:rPr>
              <w:sz w:val="22"/>
              <w:lang w:val="en-GB" w:eastAsia="en-GB"/>
            </w:rPr>
          </w:pPr>
          <w:hyperlink w:anchor="_Toc12533308" w:history="1">
            <w:r w:rsidR="00DF65F3" w:rsidRPr="004815D6">
              <w:rPr>
                <w:rStyle w:val="Hipercze"/>
              </w:rPr>
              <w:t>CS ADR-DSN.S.890     Monitorowanie systemów świetlnych</w:t>
            </w:r>
            <w:r w:rsidR="00DF65F3">
              <w:rPr>
                <w:webHidden/>
              </w:rPr>
              <w:tab/>
            </w:r>
            <w:r w:rsidR="00DF65F3">
              <w:rPr>
                <w:webHidden/>
              </w:rPr>
              <w:fldChar w:fldCharType="begin"/>
            </w:r>
            <w:r w:rsidR="00DF65F3">
              <w:rPr>
                <w:webHidden/>
              </w:rPr>
              <w:instrText xml:space="preserve"> PAGEREF _Toc12533308 \h </w:instrText>
            </w:r>
            <w:r w:rsidR="00DF65F3">
              <w:rPr>
                <w:webHidden/>
              </w:rPr>
            </w:r>
            <w:r w:rsidR="00DF65F3">
              <w:rPr>
                <w:webHidden/>
              </w:rPr>
              <w:fldChar w:fldCharType="separate"/>
            </w:r>
            <w:r w:rsidR="00F755B7">
              <w:rPr>
                <w:webHidden/>
              </w:rPr>
              <w:t>563</w:t>
            </w:r>
            <w:r w:rsidR="00DF65F3">
              <w:rPr>
                <w:webHidden/>
              </w:rPr>
              <w:fldChar w:fldCharType="end"/>
            </w:r>
          </w:hyperlink>
        </w:p>
        <w:p w14:paraId="1B4ED1FC" w14:textId="63151059" w:rsidR="00DF65F3" w:rsidRDefault="00870777">
          <w:pPr>
            <w:pStyle w:val="Spistreci6"/>
            <w:rPr>
              <w:sz w:val="22"/>
              <w:lang w:val="en-GB" w:eastAsia="en-GB"/>
            </w:rPr>
          </w:pPr>
          <w:hyperlink w:anchor="_Toc12533309" w:history="1">
            <w:r w:rsidR="00DF65F3" w:rsidRPr="004815D6">
              <w:rPr>
                <w:rStyle w:val="Hipercze"/>
              </w:rPr>
              <w:t>GM1 ADR-DSN.S.890     Monitoring</w:t>
            </w:r>
            <w:r w:rsidR="00DF65F3">
              <w:rPr>
                <w:webHidden/>
              </w:rPr>
              <w:tab/>
            </w:r>
            <w:r w:rsidR="00DF65F3">
              <w:rPr>
                <w:webHidden/>
              </w:rPr>
              <w:fldChar w:fldCharType="begin"/>
            </w:r>
            <w:r w:rsidR="00DF65F3">
              <w:rPr>
                <w:webHidden/>
              </w:rPr>
              <w:instrText xml:space="preserve"> PAGEREF _Toc12533309 \h </w:instrText>
            </w:r>
            <w:r w:rsidR="00DF65F3">
              <w:rPr>
                <w:webHidden/>
              </w:rPr>
            </w:r>
            <w:r w:rsidR="00DF65F3">
              <w:rPr>
                <w:webHidden/>
              </w:rPr>
              <w:fldChar w:fldCharType="separate"/>
            </w:r>
            <w:r w:rsidR="00F755B7">
              <w:rPr>
                <w:webHidden/>
              </w:rPr>
              <w:t>564</w:t>
            </w:r>
            <w:r w:rsidR="00DF65F3">
              <w:rPr>
                <w:webHidden/>
              </w:rPr>
              <w:fldChar w:fldCharType="end"/>
            </w:r>
          </w:hyperlink>
        </w:p>
        <w:p w14:paraId="39DA837E" w14:textId="23BC33DC" w:rsidR="00DF65F3" w:rsidRDefault="00870777">
          <w:pPr>
            <w:pStyle w:val="Spistreci4"/>
            <w:rPr>
              <w:sz w:val="22"/>
              <w:lang w:val="en-GB" w:eastAsia="en-GB"/>
            </w:rPr>
          </w:pPr>
          <w:hyperlink w:anchor="_Toc12533310" w:history="1">
            <w:r w:rsidR="00DF65F3" w:rsidRPr="004815D6">
              <w:rPr>
                <w:rStyle w:val="Hipercze"/>
              </w:rPr>
              <w:t>CS ADR-DSN.S.895     Poziomy niezawodności</w:t>
            </w:r>
            <w:r w:rsidR="00DF65F3">
              <w:rPr>
                <w:webHidden/>
              </w:rPr>
              <w:tab/>
            </w:r>
            <w:r w:rsidR="00DF65F3">
              <w:rPr>
                <w:webHidden/>
              </w:rPr>
              <w:fldChar w:fldCharType="begin"/>
            </w:r>
            <w:r w:rsidR="00DF65F3">
              <w:rPr>
                <w:webHidden/>
              </w:rPr>
              <w:instrText xml:space="preserve"> PAGEREF _Toc12533310 \h </w:instrText>
            </w:r>
            <w:r w:rsidR="00DF65F3">
              <w:rPr>
                <w:webHidden/>
              </w:rPr>
            </w:r>
            <w:r w:rsidR="00DF65F3">
              <w:rPr>
                <w:webHidden/>
              </w:rPr>
              <w:fldChar w:fldCharType="separate"/>
            </w:r>
            <w:r w:rsidR="00F755B7">
              <w:rPr>
                <w:webHidden/>
              </w:rPr>
              <w:t>564</w:t>
            </w:r>
            <w:r w:rsidR="00DF65F3">
              <w:rPr>
                <w:webHidden/>
              </w:rPr>
              <w:fldChar w:fldCharType="end"/>
            </w:r>
          </w:hyperlink>
        </w:p>
        <w:p w14:paraId="0EF3558A" w14:textId="513AF0CF" w:rsidR="00DF65F3" w:rsidRDefault="00870777">
          <w:pPr>
            <w:pStyle w:val="Spistreci6"/>
            <w:rPr>
              <w:sz w:val="22"/>
              <w:lang w:val="en-GB" w:eastAsia="en-GB"/>
            </w:rPr>
          </w:pPr>
          <w:hyperlink w:anchor="_Toc12533311" w:history="1">
            <w:r w:rsidR="00DF65F3" w:rsidRPr="004815D6">
              <w:rPr>
                <w:rStyle w:val="Hipercze"/>
              </w:rPr>
              <w:t>GM1 ADR-DSN.S.895     Poziomy niezawodności</w:t>
            </w:r>
            <w:r w:rsidR="00DF65F3">
              <w:rPr>
                <w:webHidden/>
              </w:rPr>
              <w:tab/>
            </w:r>
            <w:r w:rsidR="00DF65F3">
              <w:rPr>
                <w:webHidden/>
              </w:rPr>
              <w:fldChar w:fldCharType="begin"/>
            </w:r>
            <w:r w:rsidR="00DF65F3">
              <w:rPr>
                <w:webHidden/>
              </w:rPr>
              <w:instrText xml:space="preserve"> PAGEREF _Toc12533311 \h </w:instrText>
            </w:r>
            <w:r w:rsidR="00DF65F3">
              <w:rPr>
                <w:webHidden/>
              </w:rPr>
            </w:r>
            <w:r w:rsidR="00DF65F3">
              <w:rPr>
                <w:webHidden/>
              </w:rPr>
              <w:fldChar w:fldCharType="separate"/>
            </w:r>
            <w:r w:rsidR="00F755B7">
              <w:rPr>
                <w:webHidden/>
              </w:rPr>
              <w:t>566</w:t>
            </w:r>
            <w:r w:rsidR="00DF65F3">
              <w:rPr>
                <w:webHidden/>
              </w:rPr>
              <w:fldChar w:fldCharType="end"/>
            </w:r>
          </w:hyperlink>
        </w:p>
        <w:p w14:paraId="28253DAA" w14:textId="5A1E26D1" w:rsidR="00DF65F3" w:rsidRDefault="00870777">
          <w:pPr>
            <w:pStyle w:val="Spistreci2"/>
            <w:rPr>
              <w:rFonts w:asciiTheme="minorHAnsi" w:eastAsiaTheme="minorEastAsia" w:hAnsiTheme="minorHAnsi" w:cstheme="minorBidi"/>
              <w:sz w:val="22"/>
              <w:lang w:val="en-GB" w:eastAsia="en-GB"/>
            </w:rPr>
          </w:pPr>
          <w:hyperlink w:anchor="_Toc12533312" w:history="1">
            <w:r w:rsidR="00DF65F3" w:rsidRPr="004815D6">
              <w:rPr>
                <w:rStyle w:val="Hipercze"/>
              </w:rPr>
              <w:t>ROZDZIAŁ T — LOTNISKOWE SŁUŻBY OPERACYJNE, WYPOSAŻENIE I INSTALACJE</w:t>
            </w:r>
            <w:r w:rsidR="00DF65F3">
              <w:rPr>
                <w:webHidden/>
              </w:rPr>
              <w:tab/>
            </w:r>
            <w:r w:rsidR="00DF65F3">
              <w:rPr>
                <w:webHidden/>
              </w:rPr>
              <w:fldChar w:fldCharType="begin"/>
            </w:r>
            <w:r w:rsidR="00DF65F3">
              <w:rPr>
                <w:webHidden/>
              </w:rPr>
              <w:instrText xml:space="preserve"> PAGEREF _Toc12533312 \h </w:instrText>
            </w:r>
            <w:r w:rsidR="00DF65F3">
              <w:rPr>
                <w:webHidden/>
              </w:rPr>
            </w:r>
            <w:r w:rsidR="00DF65F3">
              <w:rPr>
                <w:webHidden/>
              </w:rPr>
              <w:fldChar w:fldCharType="separate"/>
            </w:r>
            <w:r w:rsidR="00F755B7">
              <w:rPr>
                <w:webHidden/>
              </w:rPr>
              <w:t>567</w:t>
            </w:r>
            <w:r w:rsidR="00DF65F3">
              <w:rPr>
                <w:webHidden/>
              </w:rPr>
              <w:fldChar w:fldCharType="end"/>
            </w:r>
          </w:hyperlink>
        </w:p>
        <w:p w14:paraId="37BB74E1" w14:textId="692BC506" w:rsidR="00DF65F3" w:rsidRDefault="00870777">
          <w:pPr>
            <w:pStyle w:val="Spistreci4"/>
            <w:rPr>
              <w:sz w:val="22"/>
              <w:lang w:val="en-GB" w:eastAsia="en-GB"/>
            </w:rPr>
          </w:pPr>
          <w:hyperlink w:anchor="_Toc12533313" w:history="1">
            <w:r w:rsidR="00DF65F3" w:rsidRPr="004815D6">
              <w:rPr>
                <w:rStyle w:val="Hipercze"/>
              </w:rPr>
              <w:t>CS ADR-DSN.T.900     Awaryjne drogi dojazdowe i drogi serwisowe</w:t>
            </w:r>
            <w:r w:rsidR="00DF65F3">
              <w:rPr>
                <w:webHidden/>
              </w:rPr>
              <w:tab/>
            </w:r>
            <w:r w:rsidR="00DF65F3">
              <w:rPr>
                <w:webHidden/>
              </w:rPr>
              <w:fldChar w:fldCharType="begin"/>
            </w:r>
            <w:r w:rsidR="00DF65F3">
              <w:rPr>
                <w:webHidden/>
              </w:rPr>
              <w:instrText xml:space="preserve"> PAGEREF _Toc12533313 \h </w:instrText>
            </w:r>
            <w:r w:rsidR="00DF65F3">
              <w:rPr>
                <w:webHidden/>
              </w:rPr>
            </w:r>
            <w:r w:rsidR="00DF65F3">
              <w:rPr>
                <w:webHidden/>
              </w:rPr>
              <w:fldChar w:fldCharType="separate"/>
            </w:r>
            <w:r w:rsidR="00F755B7">
              <w:rPr>
                <w:webHidden/>
              </w:rPr>
              <w:t>567</w:t>
            </w:r>
            <w:r w:rsidR="00DF65F3">
              <w:rPr>
                <w:webHidden/>
              </w:rPr>
              <w:fldChar w:fldCharType="end"/>
            </w:r>
          </w:hyperlink>
        </w:p>
        <w:p w14:paraId="2D7FB893" w14:textId="5C65CFEE" w:rsidR="00DF65F3" w:rsidRDefault="00870777">
          <w:pPr>
            <w:pStyle w:val="Spistreci6"/>
            <w:rPr>
              <w:sz w:val="22"/>
              <w:lang w:val="en-GB" w:eastAsia="en-GB"/>
            </w:rPr>
          </w:pPr>
          <w:hyperlink w:anchor="_Toc12533314" w:history="1">
            <w:r w:rsidR="00DF65F3" w:rsidRPr="004815D6">
              <w:rPr>
                <w:rStyle w:val="Hipercze"/>
              </w:rPr>
              <w:t>GM1 ADR-DSN.T.900     Awaryjne drogi dojazdowe oraz drogi serwisowe</w:t>
            </w:r>
            <w:r w:rsidR="00DF65F3">
              <w:rPr>
                <w:webHidden/>
              </w:rPr>
              <w:tab/>
            </w:r>
            <w:r w:rsidR="00DF65F3">
              <w:rPr>
                <w:webHidden/>
              </w:rPr>
              <w:fldChar w:fldCharType="begin"/>
            </w:r>
            <w:r w:rsidR="00DF65F3">
              <w:rPr>
                <w:webHidden/>
              </w:rPr>
              <w:instrText xml:space="preserve"> PAGEREF _Toc12533314 \h </w:instrText>
            </w:r>
            <w:r w:rsidR="00DF65F3">
              <w:rPr>
                <w:webHidden/>
              </w:rPr>
            </w:r>
            <w:r w:rsidR="00DF65F3">
              <w:rPr>
                <w:webHidden/>
              </w:rPr>
              <w:fldChar w:fldCharType="separate"/>
            </w:r>
            <w:r w:rsidR="00F755B7">
              <w:rPr>
                <w:webHidden/>
              </w:rPr>
              <w:t>567</w:t>
            </w:r>
            <w:r w:rsidR="00DF65F3">
              <w:rPr>
                <w:webHidden/>
              </w:rPr>
              <w:fldChar w:fldCharType="end"/>
            </w:r>
          </w:hyperlink>
        </w:p>
        <w:p w14:paraId="17D8BB44" w14:textId="57E481B1" w:rsidR="00DF65F3" w:rsidRDefault="00870777">
          <w:pPr>
            <w:pStyle w:val="Spistreci4"/>
            <w:rPr>
              <w:sz w:val="22"/>
              <w:lang w:val="en-GB" w:eastAsia="en-GB"/>
            </w:rPr>
          </w:pPr>
          <w:hyperlink w:anchor="_Toc12533315" w:history="1">
            <w:r w:rsidR="00DF65F3" w:rsidRPr="004815D6">
              <w:rPr>
                <w:rStyle w:val="Hipercze"/>
              </w:rPr>
              <w:t>CS ADR-DSN.T.905     Strażnice przeciwpożarowe</w:t>
            </w:r>
            <w:r w:rsidR="00DF65F3">
              <w:rPr>
                <w:webHidden/>
              </w:rPr>
              <w:tab/>
            </w:r>
            <w:r w:rsidR="00DF65F3">
              <w:rPr>
                <w:webHidden/>
              </w:rPr>
              <w:fldChar w:fldCharType="begin"/>
            </w:r>
            <w:r w:rsidR="00DF65F3">
              <w:rPr>
                <w:webHidden/>
              </w:rPr>
              <w:instrText xml:space="preserve"> PAGEREF _Toc12533315 \h </w:instrText>
            </w:r>
            <w:r w:rsidR="00DF65F3">
              <w:rPr>
                <w:webHidden/>
              </w:rPr>
            </w:r>
            <w:r w:rsidR="00DF65F3">
              <w:rPr>
                <w:webHidden/>
              </w:rPr>
              <w:fldChar w:fldCharType="separate"/>
            </w:r>
            <w:r w:rsidR="00F755B7">
              <w:rPr>
                <w:webHidden/>
              </w:rPr>
              <w:t>569</w:t>
            </w:r>
            <w:r w:rsidR="00DF65F3">
              <w:rPr>
                <w:webHidden/>
              </w:rPr>
              <w:fldChar w:fldCharType="end"/>
            </w:r>
          </w:hyperlink>
        </w:p>
        <w:p w14:paraId="7094EDB3" w14:textId="48A4B8F4" w:rsidR="00DF65F3" w:rsidRDefault="00870777">
          <w:pPr>
            <w:pStyle w:val="Spistreci6"/>
            <w:rPr>
              <w:sz w:val="22"/>
              <w:lang w:val="en-GB" w:eastAsia="en-GB"/>
            </w:rPr>
          </w:pPr>
          <w:hyperlink w:anchor="_Toc12533316" w:history="1">
            <w:r w:rsidR="00DF65F3" w:rsidRPr="004815D6">
              <w:rPr>
                <w:rStyle w:val="Hipercze"/>
              </w:rPr>
              <w:t>GM1 ADR-DSN.T.905     Strażnice przeciwpożarowe</w:t>
            </w:r>
            <w:r w:rsidR="00DF65F3">
              <w:rPr>
                <w:webHidden/>
              </w:rPr>
              <w:tab/>
            </w:r>
            <w:r w:rsidR="00DF65F3">
              <w:rPr>
                <w:webHidden/>
              </w:rPr>
              <w:fldChar w:fldCharType="begin"/>
            </w:r>
            <w:r w:rsidR="00DF65F3">
              <w:rPr>
                <w:webHidden/>
              </w:rPr>
              <w:instrText xml:space="preserve"> PAGEREF _Toc12533316 \h </w:instrText>
            </w:r>
            <w:r w:rsidR="00DF65F3">
              <w:rPr>
                <w:webHidden/>
              </w:rPr>
            </w:r>
            <w:r w:rsidR="00DF65F3">
              <w:rPr>
                <w:webHidden/>
              </w:rPr>
              <w:fldChar w:fldCharType="separate"/>
            </w:r>
            <w:r w:rsidR="00F755B7">
              <w:rPr>
                <w:webHidden/>
              </w:rPr>
              <w:t>569</w:t>
            </w:r>
            <w:r w:rsidR="00DF65F3">
              <w:rPr>
                <w:webHidden/>
              </w:rPr>
              <w:fldChar w:fldCharType="end"/>
            </w:r>
          </w:hyperlink>
        </w:p>
        <w:p w14:paraId="1C6FEF9B" w14:textId="3DA249E0" w:rsidR="00DF65F3" w:rsidRDefault="00870777">
          <w:pPr>
            <w:pStyle w:val="Spistreci4"/>
            <w:rPr>
              <w:sz w:val="22"/>
              <w:lang w:val="en-GB" w:eastAsia="en-GB"/>
            </w:rPr>
          </w:pPr>
          <w:hyperlink w:anchor="_Toc12533317" w:history="1">
            <w:r w:rsidR="00DF65F3" w:rsidRPr="004815D6">
              <w:rPr>
                <w:rStyle w:val="Hipercze"/>
              </w:rPr>
              <w:t>CS ADR-DSN.T.910     Wymagania dotyczące łamliwości</w:t>
            </w:r>
            <w:r w:rsidR="00DF65F3">
              <w:rPr>
                <w:webHidden/>
              </w:rPr>
              <w:tab/>
            </w:r>
            <w:r w:rsidR="00DF65F3">
              <w:rPr>
                <w:webHidden/>
              </w:rPr>
              <w:fldChar w:fldCharType="begin"/>
            </w:r>
            <w:r w:rsidR="00DF65F3">
              <w:rPr>
                <w:webHidden/>
              </w:rPr>
              <w:instrText xml:space="preserve"> PAGEREF _Toc12533317 \h </w:instrText>
            </w:r>
            <w:r w:rsidR="00DF65F3">
              <w:rPr>
                <w:webHidden/>
              </w:rPr>
            </w:r>
            <w:r w:rsidR="00DF65F3">
              <w:rPr>
                <w:webHidden/>
              </w:rPr>
              <w:fldChar w:fldCharType="separate"/>
            </w:r>
            <w:r w:rsidR="00F755B7">
              <w:rPr>
                <w:webHidden/>
              </w:rPr>
              <w:t>569</w:t>
            </w:r>
            <w:r w:rsidR="00DF65F3">
              <w:rPr>
                <w:webHidden/>
              </w:rPr>
              <w:fldChar w:fldCharType="end"/>
            </w:r>
          </w:hyperlink>
        </w:p>
        <w:p w14:paraId="0D47BF4A" w14:textId="0977C76A" w:rsidR="00DF65F3" w:rsidRDefault="00870777">
          <w:pPr>
            <w:pStyle w:val="Spistreci6"/>
            <w:rPr>
              <w:sz w:val="22"/>
              <w:lang w:val="en-GB" w:eastAsia="en-GB"/>
            </w:rPr>
          </w:pPr>
          <w:hyperlink w:anchor="_Toc12533318" w:history="1">
            <w:r w:rsidR="00DF65F3" w:rsidRPr="004815D6">
              <w:rPr>
                <w:rStyle w:val="Hipercze"/>
              </w:rPr>
              <w:t>GM1 ADR-DSN.T.910     Wymagania dotyczące łamliwości</w:t>
            </w:r>
            <w:r w:rsidR="00DF65F3">
              <w:rPr>
                <w:webHidden/>
              </w:rPr>
              <w:tab/>
            </w:r>
            <w:r w:rsidR="00DF65F3">
              <w:rPr>
                <w:webHidden/>
              </w:rPr>
              <w:fldChar w:fldCharType="begin"/>
            </w:r>
            <w:r w:rsidR="00DF65F3">
              <w:rPr>
                <w:webHidden/>
              </w:rPr>
              <w:instrText xml:space="preserve"> PAGEREF _Toc12533318 \h </w:instrText>
            </w:r>
            <w:r w:rsidR="00DF65F3">
              <w:rPr>
                <w:webHidden/>
              </w:rPr>
            </w:r>
            <w:r w:rsidR="00DF65F3">
              <w:rPr>
                <w:webHidden/>
              </w:rPr>
              <w:fldChar w:fldCharType="separate"/>
            </w:r>
            <w:r w:rsidR="00F755B7">
              <w:rPr>
                <w:webHidden/>
              </w:rPr>
              <w:t>569</w:t>
            </w:r>
            <w:r w:rsidR="00DF65F3">
              <w:rPr>
                <w:webHidden/>
              </w:rPr>
              <w:fldChar w:fldCharType="end"/>
            </w:r>
          </w:hyperlink>
        </w:p>
        <w:p w14:paraId="14823348" w14:textId="0B271883" w:rsidR="00DF65F3" w:rsidRDefault="00870777">
          <w:pPr>
            <w:pStyle w:val="Spistreci4"/>
            <w:rPr>
              <w:sz w:val="22"/>
              <w:lang w:val="en-GB" w:eastAsia="en-GB"/>
            </w:rPr>
          </w:pPr>
          <w:hyperlink w:anchor="_Toc12533319" w:history="1">
            <w:r w:rsidR="00DF65F3" w:rsidRPr="004815D6">
              <w:rPr>
                <w:rStyle w:val="Hipercze"/>
              </w:rPr>
              <w:t>CS ADR-DSN.T.915     Rozmieszczenie urządzeń i instalacji w strefach operacyjnych</w:t>
            </w:r>
            <w:r w:rsidR="00DF65F3">
              <w:rPr>
                <w:webHidden/>
              </w:rPr>
              <w:tab/>
            </w:r>
            <w:r w:rsidR="00DF65F3">
              <w:rPr>
                <w:webHidden/>
              </w:rPr>
              <w:fldChar w:fldCharType="begin"/>
            </w:r>
            <w:r w:rsidR="00DF65F3">
              <w:rPr>
                <w:webHidden/>
              </w:rPr>
              <w:instrText xml:space="preserve"> PAGEREF _Toc12533319 \h </w:instrText>
            </w:r>
            <w:r w:rsidR="00DF65F3">
              <w:rPr>
                <w:webHidden/>
              </w:rPr>
            </w:r>
            <w:r w:rsidR="00DF65F3">
              <w:rPr>
                <w:webHidden/>
              </w:rPr>
              <w:fldChar w:fldCharType="separate"/>
            </w:r>
            <w:r w:rsidR="00F755B7">
              <w:rPr>
                <w:webHidden/>
              </w:rPr>
              <w:t>569</w:t>
            </w:r>
            <w:r w:rsidR="00DF65F3">
              <w:rPr>
                <w:webHidden/>
              </w:rPr>
              <w:fldChar w:fldCharType="end"/>
            </w:r>
          </w:hyperlink>
        </w:p>
        <w:p w14:paraId="61F609E0" w14:textId="49A50D89" w:rsidR="00DF65F3" w:rsidRDefault="00870777">
          <w:pPr>
            <w:pStyle w:val="Spistreci6"/>
            <w:rPr>
              <w:sz w:val="22"/>
              <w:lang w:val="en-GB" w:eastAsia="en-GB"/>
            </w:rPr>
          </w:pPr>
          <w:hyperlink w:anchor="_Toc12533320" w:history="1">
            <w:r w:rsidR="00DF65F3" w:rsidRPr="004815D6">
              <w:rPr>
                <w:rStyle w:val="Hipercze"/>
              </w:rPr>
              <w:t>GM1 ADR-DSN.T.915     Rozmieszczenie urządzeń i instalacji w strefach operacyjnych</w:t>
            </w:r>
            <w:r w:rsidR="00DF65F3">
              <w:rPr>
                <w:webHidden/>
              </w:rPr>
              <w:tab/>
            </w:r>
            <w:r w:rsidR="00DF65F3">
              <w:rPr>
                <w:webHidden/>
              </w:rPr>
              <w:fldChar w:fldCharType="begin"/>
            </w:r>
            <w:r w:rsidR="00DF65F3">
              <w:rPr>
                <w:webHidden/>
              </w:rPr>
              <w:instrText xml:space="preserve"> PAGEREF _Toc12533320 \h </w:instrText>
            </w:r>
            <w:r w:rsidR="00DF65F3">
              <w:rPr>
                <w:webHidden/>
              </w:rPr>
            </w:r>
            <w:r w:rsidR="00DF65F3">
              <w:rPr>
                <w:webHidden/>
              </w:rPr>
              <w:fldChar w:fldCharType="separate"/>
            </w:r>
            <w:r w:rsidR="00F755B7">
              <w:rPr>
                <w:webHidden/>
              </w:rPr>
              <w:t>571</w:t>
            </w:r>
            <w:r w:rsidR="00DF65F3">
              <w:rPr>
                <w:webHidden/>
              </w:rPr>
              <w:fldChar w:fldCharType="end"/>
            </w:r>
          </w:hyperlink>
        </w:p>
        <w:p w14:paraId="36E5C379" w14:textId="4C561346" w:rsidR="00DF65F3" w:rsidRDefault="00870777">
          <w:pPr>
            <w:pStyle w:val="Spistreci4"/>
            <w:rPr>
              <w:sz w:val="22"/>
              <w:lang w:val="en-GB" w:eastAsia="en-GB"/>
            </w:rPr>
          </w:pPr>
          <w:hyperlink w:anchor="_Toc12533321" w:history="1">
            <w:r w:rsidR="00DF65F3" w:rsidRPr="004815D6">
              <w:rPr>
                <w:rStyle w:val="Hipercze"/>
              </w:rPr>
              <w:t>CS ADR-DSN.T.920     Ogrodzenie</w:t>
            </w:r>
            <w:r w:rsidR="00DF65F3">
              <w:rPr>
                <w:webHidden/>
              </w:rPr>
              <w:tab/>
            </w:r>
            <w:r w:rsidR="00DF65F3">
              <w:rPr>
                <w:webHidden/>
              </w:rPr>
              <w:fldChar w:fldCharType="begin"/>
            </w:r>
            <w:r w:rsidR="00DF65F3">
              <w:rPr>
                <w:webHidden/>
              </w:rPr>
              <w:instrText xml:space="preserve"> PAGEREF _Toc12533321 \h </w:instrText>
            </w:r>
            <w:r w:rsidR="00DF65F3">
              <w:rPr>
                <w:webHidden/>
              </w:rPr>
            </w:r>
            <w:r w:rsidR="00DF65F3">
              <w:rPr>
                <w:webHidden/>
              </w:rPr>
              <w:fldChar w:fldCharType="separate"/>
            </w:r>
            <w:r w:rsidR="00F755B7">
              <w:rPr>
                <w:webHidden/>
              </w:rPr>
              <w:t>571</w:t>
            </w:r>
            <w:r w:rsidR="00DF65F3">
              <w:rPr>
                <w:webHidden/>
              </w:rPr>
              <w:fldChar w:fldCharType="end"/>
            </w:r>
          </w:hyperlink>
        </w:p>
        <w:p w14:paraId="2788BE6B" w14:textId="10FDFB6A" w:rsidR="00DF65F3" w:rsidRDefault="00870777">
          <w:pPr>
            <w:pStyle w:val="Spistreci6"/>
            <w:rPr>
              <w:sz w:val="22"/>
              <w:lang w:val="en-GB" w:eastAsia="en-GB"/>
            </w:rPr>
          </w:pPr>
          <w:hyperlink w:anchor="_Toc12533322" w:history="1">
            <w:r w:rsidR="00DF65F3" w:rsidRPr="004815D6">
              <w:rPr>
                <w:rStyle w:val="Hipercze"/>
              </w:rPr>
              <w:t>GM1 ADR-DSN.T.920     Ogrodzenie</w:t>
            </w:r>
            <w:r w:rsidR="00DF65F3">
              <w:rPr>
                <w:webHidden/>
              </w:rPr>
              <w:tab/>
            </w:r>
            <w:r w:rsidR="00DF65F3">
              <w:rPr>
                <w:webHidden/>
              </w:rPr>
              <w:fldChar w:fldCharType="begin"/>
            </w:r>
            <w:r w:rsidR="00DF65F3">
              <w:rPr>
                <w:webHidden/>
              </w:rPr>
              <w:instrText xml:space="preserve"> PAGEREF _Toc12533322 \h </w:instrText>
            </w:r>
            <w:r w:rsidR="00DF65F3">
              <w:rPr>
                <w:webHidden/>
              </w:rPr>
            </w:r>
            <w:r w:rsidR="00DF65F3">
              <w:rPr>
                <w:webHidden/>
              </w:rPr>
              <w:fldChar w:fldCharType="separate"/>
            </w:r>
            <w:r w:rsidR="00F755B7">
              <w:rPr>
                <w:webHidden/>
              </w:rPr>
              <w:t>572</w:t>
            </w:r>
            <w:r w:rsidR="00DF65F3">
              <w:rPr>
                <w:webHidden/>
              </w:rPr>
              <w:fldChar w:fldCharType="end"/>
            </w:r>
          </w:hyperlink>
        </w:p>
        <w:p w14:paraId="43FDD0F5" w14:textId="5462A713" w:rsidR="00DF65F3" w:rsidRDefault="00870777">
          <w:pPr>
            <w:pStyle w:val="Spistreci4"/>
            <w:rPr>
              <w:sz w:val="22"/>
              <w:lang w:val="en-GB" w:eastAsia="en-GB"/>
            </w:rPr>
          </w:pPr>
          <w:hyperlink w:anchor="_Toc12533323" w:history="1">
            <w:r w:rsidR="00DF65F3" w:rsidRPr="004815D6">
              <w:rPr>
                <w:rStyle w:val="Hipercze"/>
              </w:rPr>
              <w:t>CS ADR-DSN.T.921      Autonomiczny system ostrzegania o wtargnięciu  na drogę startową (ARIWS)</w:t>
            </w:r>
            <w:r w:rsidR="00DF65F3">
              <w:rPr>
                <w:webHidden/>
              </w:rPr>
              <w:tab/>
            </w:r>
            <w:r w:rsidR="00DF65F3">
              <w:rPr>
                <w:webHidden/>
              </w:rPr>
              <w:fldChar w:fldCharType="begin"/>
            </w:r>
            <w:r w:rsidR="00DF65F3">
              <w:rPr>
                <w:webHidden/>
              </w:rPr>
              <w:instrText xml:space="preserve"> PAGEREF _Toc12533323 \h </w:instrText>
            </w:r>
            <w:r w:rsidR="00DF65F3">
              <w:rPr>
                <w:webHidden/>
              </w:rPr>
            </w:r>
            <w:r w:rsidR="00DF65F3">
              <w:rPr>
                <w:webHidden/>
              </w:rPr>
              <w:fldChar w:fldCharType="separate"/>
            </w:r>
            <w:r w:rsidR="00F755B7">
              <w:rPr>
                <w:webHidden/>
              </w:rPr>
              <w:t>573</w:t>
            </w:r>
            <w:r w:rsidR="00DF65F3">
              <w:rPr>
                <w:webHidden/>
              </w:rPr>
              <w:fldChar w:fldCharType="end"/>
            </w:r>
          </w:hyperlink>
        </w:p>
        <w:p w14:paraId="7B4628C8" w14:textId="77AC69CA" w:rsidR="00DF65F3" w:rsidRDefault="00870777">
          <w:pPr>
            <w:pStyle w:val="Spistreci6"/>
            <w:rPr>
              <w:sz w:val="22"/>
              <w:lang w:val="en-GB" w:eastAsia="en-GB"/>
            </w:rPr>
          </w:pPr>
          <w:hyperlink w:anchor="_Toc12533324" w:history="1">
            <w:r w:rsidR="00DF65F3" w:rsidRPr="004815D6">
              <w:rPr>
                <w:rStyle w:val="Hipercze"/>
              </w:rPr>
              <w:t>GM1 ADR-DSN.T.921     Autonomiczny system ostrzegania o wtargnięciu    na drogę startową (ARIWS)</w:t>
            </w:r>
            <w:r w:rsidR="00DF65F3">
              <w:rPr>
                <w:webHidden/>
              </w:rPr>
              <w:tab/>
            </w:r>
            <w:r w:rsidR="00DF65F3">
              <w:rPr>
                <w:webHidden/>
              </w:rPr>
              <w:fldChar w:fldCharType="begin"/>
            </w:r>
            <w:r w:rsidR="00DF65F3">
              <w:rPr>
                <w:webHidden/>
              </w:rPr>
              <w:instrText xml:space="preserve"> PAGEREF _Toc12533324 \h </w:instrText>
            </w:r>
            <w:r w:rsidR="00DF65F3">
              <w:rPr>
                <w:webHidden/>
              </w:rPr>
            </w:r>
            <w:r w:rsidR="00DF65F3">
              <w:rPr>
                <w:webHidden/>
              </w:rPr>
              <w:fldChar w:fldCharType="separate"/>
            </w:r>
            <w:r w:rsidR="00F755B7">
              <w:rPr>
                <w:webHidden/>
              </w:rPr>
              <w:t>573</w:t>
            </w:r>
            <w:r w:rsidR="00DF65F3">
              <w:rPr>
                <w:webHidden/>
              </w:rPr>
              <w:fldChar w:fldCharType="end"/>
            </w:r>
          </w:hyperlink>
        </w:p>
        <w:p w14:paraId="4D97826E" w14:textId="7E0B0214" w:rsidR="00DF65F3" w:rsidRDefault="00870777">
          <w:pPr>
            <w:pStyle w:val="Spistreci2"/>
            <w:rPr>
              <w:rFonts w:asciiTheme="minorHAnsi" w:eastAsiaTheme="minorEastAsia" w:hAnsiTheme="minorHAnsi" w:cstheme="minorBidi"/>
              <w:sz w:val="22"/>
              <w:lang w:val="en-GB" w:eastAsia="en-GB"/>
            </w:rPr>
          </w:pPr>
          <w:hyperlink w:anchor="_Toc12533325" w:history="1">
            <w:r w:rsidR="00DF65F3" w:rsidRPr="004815D6">
              <w:rPr>
                <w:rStyle w:val="Hipercze"/>
              </w:rPr>
              <w:t>ROZDZIAŁ U — KOLORY NAZIEMNYCH ŚWIATEŁ LOTNICZYCH, OZNAKOWANIA POZIOMEGO,  ZNAKÓW PIONOWYCH I TABLIC</w:t>
            </w:r>
            <w:r w:rsidR="00DF65F3">
              <w:rPr>
                <w:webHidden/>
              </w:rPr>
              <w:tab/>
            </w:r>
            <w:r w:rsidR="00DF65F3">
              <w:rPr>
                <w:webHidden/>
              </w:rPr>
              <w:fldChar w:fldCharType="begin"/>
            </w:r>
            <w:r w:rsidR="00DF65F3">
              <w:rPr>
                <w:webHidden/>
              </w:rPr>
              <w:instrText xml:space="preserve"> PAGEREF _Toc12533325 \h </w:instrText>
            </w:r>
            <w:r w:rsidR="00DF65F3">
              <w:rPr>
                <w:webHidden/>
              </w:rPr>
            </w:r>
            <w:r w:rsidR="00DF65F3">
              <w:rPr>
                <w:webHidden/>
              </w:rPr>
              <w:fldChar w:fldCharType="separate"/>
            </w:r>
            <w:r w:rsidR="00F755B7">
              <w:rPr>
                <w:webHidden/>
              </w:rPr>
              <w:t>577</w:t>
            </w:r>
            <w:r w:rsidR="00DF65F3">
              <w:rPr>
                <w:webHidden/>
              </w:rPr>
              <w:fldChar w:fldCharType="end"/>
            </w:r>
          </w:hyperlink>
        </w:p>
        <w:p w14:paraId="4873A6E1" w14:textId="65515D7B" w:rsidR="00DF65F3" w:rsidRDefault="00870777">
          <w:pPr>
            <w:pStyle w:val="Spistreci4"/>
            <w:rPr>
              <w:sz w:val="22"/>
              <w:lang w:val="en-GB" w:eastAsia="en-GB"/>
            </w:rPr>
          </w:pPr>
          <w:hyperlink w:anchor="_Toc12533326" w:history="1">
            <w:r w:rsidR="00DF65F3" w:rsidRPr="004815D6">
              <w:rPr>
                <w:rStyle w:val="Hipercze"/>
              </w:rPr>
              <w:t>CS ADR-DSN.U.925     Wymagania ogólne</w:t>
            </w:r>
            <w:r w:rsidR="00DF65F3">
              <w:rPr>
                <w:webHidden/>
              </w:rPr>
              <w:tab/>
            </w:r>
            <w:r w:rsidR="00DF65F3">
              <w:rPr>
                <w:webHidden/>
              </w:rPr>
              <w:fldChar w:fldCharType="begin"/>
            </w:r>
            <w:r w:rsidR="00DF65F3">
              <w:rPr>
                <w:webHidden/>
              </w:rPr>
              <w:instrText xml:space="preserve"> PAGEREF _Toc12533326 \h </w:instrText>
            </w:r>
            <w:r w:rsidR="00DF65F3">
              <w:rPr>
                <w:webHidden/>
              </w:rPr>
            </w:r>
            <w:r w:rsidR="00DF65F3">
              <w:rPr>
                <w:webHidden/>
              </w:rPr>
              <w:fldChar w:fldCharType="separate"/>
            </w:r>
            <w:r w:rsidR="00F755B7">
              <w:rPr>
                <w:webHidden/>
              </w:rPr>
              <w:t>577</w:t>
            </w:r>
            <w:r w:rsidR="00DF65F3">
              <w:rPr>
                <w:webHidden/>
              </w:rPr>
              <w:fldChar w:fldCharType="end"/>
            </w:r>
          </w:hyperlink>
        </w:p>
        <w:p w14:paraId="17D5D551" w14:textId="1BCD3273" w:rsidR="00DF65F3" w:rsidRDefault="00870777">
          <w:pPr>
            <w:pStyle w:val="Spistreci6"/>
            <w:rPr>
              <w:sz w:val="22"/>
              <w:lang w:val="en-GB" w:eastAsia="en-GB"/>
            </w:rPr>
          </w:pPr>
          <w:hyperlink w:anchor="_Toc12533327" w:history="1">
            <w:r w:rsidR="00DF65F3" w:rsidRPr="004815D6">
              <w:rPr>
                <w:rStyle w:val="Hipercze"/>
              </w:rPr>
              <w:t>GM1 ADR-DSN.U.925     Wymagania ogólne</w:t>
            </w:r>
            <w:r w:rsidR="00DF65F3">
              <w:rPr>
                <w:webHidden/>
              </w:rPr>
              <w:tab/>
            </w:r>
            <w:r w:rsidR="00DF65F3">
              <w:rPr>
                <w:webHidden/>
              </w:rPr>
              <w:fldChar w:fldCharType="begin"/>
            </w:r>
            <w:r w:rsidR="00DF65F3">
              <w:rPr>
                <w:webHidden/>
              </w:rPr>
              <w:instrText xml:space="preserve"> PAGEREF _Toc12533327 \h </w:instrText>
            </w:r>
            <w:r w:rsidR="00DF65F3">
              <w:rPr>
                <w:webHidden/>
              </w:rPr>
            </w:r>
            <w:r w:rsidR="00DF65F3">
              <w:rPr>
                <w:webHidden/>
              </w:rPr>
              <w:fldChar w:fldCharType="separate"/>
            </w:r>
            <w:r w:rsidR="00F755B7">
              <w:rPr>
                <w:webHidden/>
              </w:rPr>
              <w:t>577</w:t>
            </w:r>
            <w:r w:rsidR="00DF65F3">
              <w:rPr>
                <w:webHidden/>
              </w:rPr>
              <w:fldChar w:fldCharType="end"/>
            </w:r>
          </w:hyperlink>
        </w:p>
        <w:p w14:paraId="01653429" w14:textId="07D55483" w:rsidR="00DF65F3" w:rsidRDefault="00870777">
          <w:pPr>
            <w:pStyle w:val="Spistreci4"/>
            <w:rPr>
              <w:sz w:val="22"/>
              <w:lang w:val="en-GB" w:eastAsia="en-GB"/>
            </w:rPr>
          </w:pPr>
          <w:hyperlink w:anchor="_Toc12533328" w:history="1">
            <w:r w:rsidR="00DF65F3" w:rsidRPr="004815D6">
              <w:rPr>
                <w:rStyle w:val="Hipercze"/>
              </w:rPr>
              <w:t>CS ADR-DSN.U.930     Kolory naziemnych świateł lotniczych</w:t>
            </w:r>
            <w:r w:rsidR="00DF65F3">
              <w:rPr>
                <w:webHidden/>
              </w:rPr>
              <w:tab/>
            </w:r>
            <w:r w:rsidR="00DF65F3">
              <w:rPr>
                <w:webHidden/>
              </w:rPr>
              <w:fldChar w:fldCharType="begin"/>
            </w:r>
            <w:r w:rsidR="00DF65F3">
              <w:rPr>
                <w:webHidden/>
              </w:rPr>
              <w:instrText xml:space="preserve"> PAGEREF _Toc12533328 \h </w:instrText>
            </w:r>
            <w:r w:rsidR="00DF65F3">
              <w:rPr>
                <w:webHidden/>
              </w:rPr>
            </w:r>
            <w:r w:rsidR="00DF65F3">
              <w:rPr>
                <w:webHidden/>
              </w:rPr>
              <w:fldChar w:fldCharType="separate"/>
            </w:r>
            <w:r w:rsidR="00F755B7">
              <w:rPr>
                <w:webHidden/>
              </w:rPr>
              <w:t>577</w:t>
            </w:r>
            <w:r w:rsidR="00DF65F3">
              <w:rPr>
                <w:webHidden/>
              </w:rPr>
              <w:fldChar w:fldCharType="end"/>
            </w:r>
          </w:hyperlink>
        </w:p>
        <w:p w14:paraId="228EB10F" w14:textId="1342BA9C" w:rsidR="00DF65F3" w:rsidRDefault="00870777">
          <w:pPr>
            <w:pStyle w:val="Spistreci6"/>
            <w:rPr>
              <w:sz w:val="22"/>
              <w:lang w:val="en-GB" w:eastAsia="en-GB"/>
            </w:rPr>
          </w:pPr>
          <w:hyperlink w:anchor="_Toc12533329" w:history="1">
            <w:r w:rsidR="00DF65F3" w:rsidRPr="004815D6">
              <w:rPr>
                <w:rStyle w:val="Hipercze"/>
              </w:rPr>
              <w:t>GM1 ADR-DSN.U.930     Kolory naziemnych świateł lotniczych</w:t>
            </w:r>
            <w:r w:rsidR="00DF65F3">
              <w:rPr>
                <w:webHidden/>
              </w:rPr>
              <w:tab/>
            </w:r>
            <w:r w:rsidR="00DF65F3">
              <w:rPr>
                <w:webHidden/>
              </w:rPr>
              <w:fldChar w:fldCharType="begin"/>
            </w:r>
            <w:r w:rsidR="00DF65F3">
              <w:rPr>
                <w:webHidden/>
              </w:rPr>
              <w:instrText xml:space="preserve"> PAGEREF _Toc12533329 \h </w:instrText>
            </w:r>
            <w:r w:rsidR="00DF65F3">
              <w:rPr>
                <w:webHidden/>
              </w:rPr>
            </w:r>
            <w:r w:rsidR="00DF65F3">
              <w:rPr>
                <w:webHidden/>
              </w:rPr>
              <w:fldChar w:fldCharType="separate"/>
            </w:r>
            <w:r w:rsidR="00F755B7">
              <w:rPr>
                <w:webHidden/>
              </w:rPr>
              <w:t>583</w:t>
            </w:r>
            <w:r w:rsidR="00DF65F3">
              <w:rPr>
                <w:webHidden/>
              </w:rPr>
              <w:fldChar w:fldCharType="end"/>
            </w:r>
          </w:hyperlink>
        </w:p>
        <w:p w14:paraId="572B4DB6" w14:textId="7D59F4C3" w:rsidR="00DF65F3" w:rsidRDefault="00870777">
          <w:pPr>
            <w:pStyle w:val="Spistreci4"/>
            <w:rPr>
              <w:sz w:val="22"/>
              <w:lang w:val="en-GB" w:eastAsia="en-GB"/>
            </w:rPr>
          </w:pPr>
          <w:hyperlink w:anchor="_Toc12533330" w:history="1">
            <w:r w:rsidR="00DF65F3" w:rsidRPr="004815D6">
              <w:rPr>
                <w:rStyle w:val="Hipercze"/>
              </w:rPr>
              <w:t>CS ADR-DSN.U.935      Kolory oznakowania poziomego, znaków pionowych oraz tablic</w:t>
            </w:r>
            <w:r w:rsidR="00DF65F3">
              <w:rPr>
                <w:webHidden/>
              </w:rPr>
              <w:tab/>
            </w:r>
            <w:r w:rsidR="00DF65F3">
              <w:rPr>
                <w:webHidden/>
              </w:rPr>
              <w:fldChar w:fldCharType="begin"/>
            </w:r>
            <w:r w:rsidR="00DF65F3">
              <w:rPr>
                <w:webHidden/>
              </w:rPr>
              <w:instrText xml:space="preserve"> PAGEREF _Toc12533330 \h </w:instrText>
            </w:r>
            <w:r w:rsidR="00DF65F3">
              <w:rPr>
                <w:webHidden/>
              </w:rPr>
            </w:r>
            <w:r w:rsidR="00DF65F3">
              <w:rPr>
                <w:webHidden/>
              </w:rPr>
              <w:fldChar w:fldCharType="separate"/>
            </w:r>
            <w:r w:rsidR="00F755B7">
              <w:rPr>
                <w:webHidden/>
              </w:rPr>
              <w:t>584</w:t>
            </w:r>
            <w:r w:rsidR="00DF65F3">
              <w:rPr>
                <w:webHidden/>
              </w:rPr>
              <w:fldChar w:fldCharType="end"/>
            </w:r>
          </w:hyperlink>
        </w:p>
        <w:p w14:paraId="33512C7A" w14:textId="1F6ECE5D" w:rsidR="00DF65F3" w:rsidRDefault="00870777">
          <w:pPr>
            <w:pStyle w:val="Spistreci6"/>
            <w:rPr>
              <w:sz w:val="22"/>
              <w:lang w:val="en-GB" w:eastAsia="en-GB"/>
            </w:rPr>
          </w:pPr>
          <w:hyperlink w:anchor="_Toc12533331" w:history="1">
            <w:r w:rsidR="00DF65F3" w:rsidRPr="004815D6">
              <w:rPr>
                <w:rStyle w:val="Hipercze"/>
              </w:rPr>
              <w:t>GM1 ADR-DSN.U.935     Kolory oznakowania poziomego, znaków pionowych oraz tablic</w:t>
            </w:r>
            <w:r w:rsidR="00DF65F3">
              <w:rPr>
                <w:webHidden/>
              </w:rPr>
              <w:tab/>
            </w:r>
            <w:r w:rsidR="00DF65F3">
              <w:rPr>
                <w:webHidden/>
              </w:rPr>
              <w:fldChar w:fldCharType="begin"/>
            </w:r>
            <w:r w:rsidR="00DF65F3">
              <w:rPr>
                <w:webHidden/>
              </w:rPr>
              <w:instrText xml:space="preserve"> PAGEREF _Toc12533331 \h </w:instrText>
            </w:r>
            <w:r w:rsidR="00DF65F3">
              <w:rPr>
                <w:webHidden/>
              </w:rPr>
            </w:r>
            <w:r w:rsidR="00DF65F3">
              <w:rPr>
                <w:webHidden/>
              </w:rPr>
              <w:fldChar w:fldCharType="separate"/>
            </w:r>
            <w:r w:rsidR="00F755B7">
              <w:rPr>
                <w:webHidden/>
              </w:rPr>
              <w:t>591</w:t>
            </w:r>
            <w:r w:rsidR="00DF65F3">
              <w:rPr>
                <w:webHidden/>
              </w:rPr>
              <w:fldChar w:fldCharType="end"/>
            </w:r>
          </w:hyperlink>
        </w:p>
        <w:p w14:paraId="4C240EF3" w14:textId="16288FB9" w:rsidR="00DF65F3" w:rsidRDefault="00870777">
          <w:pPr>
            <w:pStyle w:val="Spistreci4"/>
            <w:rPr>
              <w:sz w:val="22"/>
              <w:lang w:val="en-GB" w:eastAsia="en-GB"/>
            </w:rPr>
          </w:pPr>
          <w:hyperlink w:anchor="_Toc12533332" w:history="1">
            <w:r w:rsidR="00DF65F3" w:rsidRPr="004815D6">
              <w:rPr>
                <w:rStyle w:val="Hipercze"/>
              </w:rPr>
              <w:t>CS ADR-DSN.U.940     Charakterystyki naziemnych świateł lotniczych</w:t>
            </w:r>
            <w:r w:rsidR="00DF65F3">
              <w:rPr>
                <w:webHidden/>
              </w:rPr>
              <w:tab/>
            </w:r>
            <w:r w:rsidR="00DF65F3">
              <w:rPr>
                <w:webHidden/>
              </w:rPr>
              <w:fldChar w:fldCharType="begin"/>
            </w:r>
            <w:r w:rsidR="00DF65F3">
              <w:rPr>
                <w:webHidden/>
              </w:rPr>
              <w:instrText xml:space="preserve"> PAGEREF _Toc12533332 \h </w:instrText>
            </w:r>
            <w:r w:rsidR="00DF65F3">
              <w:rPr>
                <w:webHidden/>
              </w:rPr>
            </w:r>
            <w:r w:rsidR="00DF65F3">
              <w:rPr>
                <w:webHidden/>
              </w:rPr>
              <w:fldChar w:fldCharType="separate"/>
            </w:r>
            <w:r w:rsidR="00F755B7">
              <w:rPr>
                <w:webHidden/>
              </w:rPr>
              <w:t>592</w:t>
            </w:r>
            <w:r w:rsidR="00DF65F3">
              <w:rPr>
                <w:webHidden/>
              </w:rPr>
              <w:fldChar w:fldCharType="end"/>
            </w:r>
          </w:hyperlink>
        </w:p>
        <w:p w14:paraId="1E5E56D2" w14:textId="00CB13F1" w:rsidR="00DF65F3" w:rsidRDefault="00870777">
          <w:pPr>
            <w:pStyle w:val="Spistreci6"/>
            <w:rPr>
              <w:sz w:val="22"/>
              <w:lang w:val="en-GB" w:eastAsia="en-GB"/>
            </w:rPr>
          </w:pPr>
          <w:hyperlink w:anchor="_Toc12533333" w:history="1">
            <w:r w:rsidR="00DF65F3" w:rsidRPr="004815D6">
              <w:rPr>
                <w:rStyle w:val="Hipercze"/>
              </w:rPr>
              <w:t>GM1 ADR-DSN.U.940     Charakterystyki naziemnych świateł lotniczych</w:t>
            </w:r>
            <w:r w:rsidR="00DF65F3">
              <w:rPr>
                <w:webHidden/>
              </w:rPr>
              <w:tab/>
            </w:r>
            <w:r w:rsidR="00DF65F3">
              <w:rPr>
                <w:webHidden/>
              </w:rPr>
              <w:fldChar w:fldCharType="begin"/>
            </w:r>
            <w:r w:rsidR="00DF65F3">
              <w:rPr>
                <w:webHidden/>
              </w:rPr>
              <w:instrText xml:space="preserve"> PAGEREF _Toc12533333 \h </w:instrText>
            </w:r>
            <w:r w:rsidR="00DF65F3">
              <w:rPr>
                <w:webHidden/>
              </w:rPr>
            </w:r>
            <w:r w:rsidR="00DF65F3">
              <w:rPr>
                <w:webHidden/>
              </w:rPr>
              <w:fldChar w:fldCharType="separate"/>
            </w:r>
            <w:r w:rsidR="00F755B7">
              <w:rPr>
                <w:webHidden/>
              </w:rPr>
              <w:t>617</w:t>
            </w:r>
            <w:r w:rsidR="00DF65F3">
              <w:rPr>
                <w:webHidden/>
              </w:rPr>
              <w:fldChar w:fldCharType="end"/>
            </w:r>
          </w:hyperlink>
        </w:p>
        <w:p w14:paraId="24358843" w14:textId="72A50918" w:rsidR="00DF65F3" w:rsidRDefault="00870777">
          <w:pPr>
            <w:pStyle w:val="Spistreci1"/>
            <w:rPr>
              <w:rFonts w:asciiTheme="minorHAnsi" w:eastAsiaTheme="minorEastAsia" w:hAnsiTheme="minorHAnsi"/>
              <w:b w:val="0"/>
              <w:sz w:val="22"/>
              <w:lang w:val="en-GB" w:eastAsia="en-GB"/>
            </w:rPr>
          </w:pPr>
          <w:hyperlink w:anchor="_Toc12533334" w:history="1">
            <w:r w:rsidR="00DF65F3" w:rsidRPr="004815D6">
              <w:rPr>
                <w:rStyle w:val="Hipercze"/>
              </w:rPr>
              <w:t>CS-HPT-DSN — Wydanie 1</w:t>
            </w:r>
            <w:r w:rsidR="00DF65F3">
              <w:rPr>
                <w:webHidden/>
              </w:rPr>
              <w:tab/>
            </w:r>
            <w:r w:rsidR="00DF65F3">
              <w:rPr>
                <w:webHidden/>
              </w:rPr>
              <w:fldChar w:fldCharType="begin"/>
            </w:r>
            <w:r w:rsidR="00DF65F3">
              <w:rPr>
                <w:webHidden/>
              </w:rPr>
              <w:instrText xml:space="preserve"> PAGEREF _Toc12533334 \h </w:instrText>
            </w:r>
            <w:r w:rsidR="00DF65F3">
              <w:rPr>
                <w:webHidden/>
              </w:rPr>
            </w:r>
            <w:r w:rsidR="00DF65F3">
              <w:rPr>
                <w:webHidden/>
              </w:rPr>
              <w:fldChar w:fldCharType="separate"/>
            </w:r>
            <w:r w:rsidR="00F755B7">
              <w:rPr>
                <w:webHidden/>
              </w:rPr>
              <w:t>618</w:t>
            </w:r>
            <w:r w:rsidR="00DF65F3">
              <w:rPr>
                <w:webHidden/>
              </w:rPr>
              <w:fldChar w:fldCharType="end"/>
            </w:r>
          </w:hyperlink>
        </w:p>
        <w:p w14:paraId="34B9413E" w14:textId="78D6CA64" w:rsidR="00DF65F3" w:rsidRDefault="00870777">
          <w:pPr>
            <w:pStyle w:val="Spistreci2"/>
            <w:rPr>
              <w:rFonts w:asciiTheme="minorHAnsi" w:eastAsiaTheme="minorEastAsia" w:hAnsiTheme="minorHAnsi" w:cstheme="minorBidi"/>
              <w:sz w:val="22"/>
              <w:lang w:val="en-GB" w:eastAsia="en-GB"/>
            </w:rPr>
          </w:pPr>
          <w:hyperlink w:anchor="_Toc12533335" w:history="1">
            <w:r w:rsidR="00DF65F3" w:rsidRPr="004815D6">
              <w:rPr>
                <w:rStyle w:val="Hipercze"/>
              </w:rPr>
              <w:t>Lista skrótów</w:t>
            </w:r>
            <w:r w:rsidR="00DF65F3">
              <w:rPr>
                <w:webHidden/>
              </w:rPr>
              <w:tab/>
            </w:r>
            <w:r w:rsidR="002473D7">
              <w:rPr>
                <w:webHidden/>
              </w:rPr>
              <w:tab/>
            </w:r>
            <w:r w:rsidR="00DF65F3">
              <w:rPr>
                <w:webHidden/>
              </w:rPr>
              <w:fldChar w:fldCharType="begin"/>
            </w:r>
            <w:r w:rsidR="00DF65F3">
              <w:rPr>
                <w:webHidden/>
              </w:rPr>
              <w:instrText xml:space="preserve"> PAGEREF _Toc12533335 \h </w:instrText>
            </w:r>
            <w:r w:rsidR="00DF65F3">
              <w:rPr>
                <w:webHidden/>
              </w:rPr>
            </w:r>
            <w:r w:rsidR="00DF65F3">
              <w:rPr>
                <w:webHidden/>
              </w:rPr>
              <w:fldChar w:fldCharType="separate"/>
            </w:r>
            <w:r w:rsidR="00F755B7">
              <w:rPr>
                <w:webHidden/>
              </w:rPr>
              <w:t>619</w:t>
            </w:r>
            <w:r w:rsidR="00DF65F3">
              <w:rPr>
                <w:webHidden/>
              </w:rPr>
              <w:fldChar w:fldCharType="end"/>
            </w:r>
          </w:hyperlink>
        </w:p>
        <w:p w14:paraId="4208A544" w14:textId="446F0541" w:rsidR="00DF65F3" w:rsidRDefault="00870777">
          <w:pPr>
            <w:pStyle w:val="Spistreci2"/>
            <w:rPr>
              <w:rFonts w:asciiTheme="minorHAnsi" w:eastAsiaTheme="minorEastAsia" w:hAnsiTheme="minorHAnsi" w:cstheme="minorBidi"/>
              <w:sz w:val="22"/>
              <w:lang w:val="en-GB" w:eastAsia="en-GB"/>
            </w:rPr>
          </w:pPr>
          <w:hyperlink w:anchor="_Toc12533336" w:history="1">
            <w:r w:rsidR="00DF65F3" w:rsidRPr="004815D6">
              <w:rPr>
                <w:rStyle w:val="Hipercze"/>
              </w:rPr>
              <w:t>ROZDZIAŁ A — WYMAGANIA OGÓLNE</w:t>
            </w:r>
            <w:r w:rsidR="00DF65F3">
              <w:rPr>
                <w:webHidden/>
              </w:rPr>
              <w:tab/>
            </w:r>
            <w:r w:rsidR="00DF65F3">
              <w:rPr>
                <w:webHidden/>
              </w:rPr>
              <w:fldChar w:fldCharType="begin"/>
            </w:r>
            <w:r w:rsidR="00DF65F3">
              <w:rPr>
                <w:webHidden/>
              </w:rPr>
              <w:instrText xml:space="preserve"> PAGEREF _Toc12533336 \h </w:instrText>
            </w:r>
            <w:r w:rsidR="00DF65F3">
              <w:rPr>
                <w:webHidden/>
              </w:rPr>
            </w:r>
            <w:r w:rsidR="00DF65F3">
              <w:rPr>
                <w:webHidden/>
              </w:rPr>
              <w:fldChar w:fldCharType="separate"/>
            </w:r>
            <w:r w:rsidR="00F755B7">
              <w:rPr>
                <w:webHidden/>
              </w:rPr>
              <w:t>620</w:t>
            </w:r>
            <w:r w:rsidR="00DF65F3">
              <w:rPr>
                <w:webHidden/>
              </w:rPr>
              <w:fldChar w:fldCharType="end"/>
            </w:r>
          </w:hyperlink>
        </w:p>
        <w:p w14:paraId="60B8EEF4" w14:textId="3B90052E" w:rsidR="00DF65F3" w:rsidRDefault="00870777">
          <w:pPr>
            <w:pStyle w:val="Spistreci4"/>
            <w:rPr>
              <w:sz w:val="22"/>
              <w:lang w:val="en-GB" w:eastAsia="en-GB"/>
            </w:rPr>
          </w:pPr>
          <w:hyperlink w:anchor="_Toc12533337" w:history="1">
            <w:r w:rsidR="00DF65F3" w:rsidRPr="004815D6">
              <w:rPr>
                <w:rStyle w:val="Hipercze"/>
              </w:rPr>
              <w:t>CS HPT-DSN.A.010     Zastosowanie</w:t>
            </w:r>
            <w:r w:rsidR="00DF65F3">
              <w:rPr>
                <w:webHidden/>
              </w:rPr>
              <w:tab/>
            </w:r>
            <w:r w:rsidR="00DF65F3">
              <w:rPr>
                <w:webHidden/>
              </w:rPr>
              <w:fldChar w:fldCharType="begin"/>
            </w:r>
            <w:r w:rsidR="00DF65F3">
              <w:rPr>
                <w:webHidden/>
              </w:rPr>
              <w:instrText xml:space="preserve"> PAGEREF _Toc12533337 \h </w:instrText>
            </w:r>
            <w:r w:rsidR="00DF65F3">
              <w:rPr>
                <w:webHidden/>
              </w:rPr>
            </w:r>
            <w:r w:rsidR="00DF65F3">
              <w:rPr>
                <w:webHidden/>
              </w:rPr>
              <w:fldChar w:fldCharType="separate"/>
            </w:r>
            <w:r w:rsidR="00F755B7">
              <w:rPr>
                <w:webHidden/>
              </w:rPr>
              <w:t>620</w:t>
            </w:r>
            <w:r w:rsidR="00DF65F3">
              <w:rPr>
                <w:webHidden/>
              </w:rPr>
              <w:fldChar w:fldCharType="end"/>
            </w:r>
          </w:hyperlink>
        </w:p>
        <w:p w14:paraId="31B3EAE5" w14:textId="33609939" w:rsidR="00DF65F3" w:rsidRDefault="00870777">
          <w:pPr>
            <w:pStyle w:val="Spistreci6"/>
            <w:rPr>
              <w:sz w:val="22"/>
              <w:lang w:val="en-GB" w:eastAsia="en-GB"/>
            </w:rPr>
          </w:pPr>
          <w:hyperlink w:anchor="_Toc12533338" w:history="1">
            <w:r w:rsidR="00DF65F3" w:rsidRPr="004815D6">
              <w:rPr>
                <w:rStyle w:val="Hipercze"/>
              </w:rPr>
              <w:t>GM1 HPT-DSN.A.010     Zastosowanie</w:t>
            </w:r>
            <w:r w:rsidR="00DF65F3">
              <w:rPr>
                <w:webHidden/>
              </w:rPr>
              <w:tab/>
            </w:r>
            <w:r w:rsidR="00DF65F3">
              <w:rPr>
                <w:webHidden/>
              </w:rPr>
              <w:fldChar w:fldCharType="begin"/>
            </w:r>
            <w:r w:rsidR="00DF65F3">
              <w:rPr>
                <w:webHidden/>
              </w:rPr>
              <w:instrText xml:space="preserve"> PAGEREF _Toc12533338 \h </w:instrText>
            </w:r>
            <w:r w:rsidR="00DF65F3">
              <w:rPr>
                <w:webHidden/>
              </w:rPr>
            </w:r>
            <w:r w:rsidR="00DF65F3">
              <w:rPr>
                <w:webHidden/>
              </w:rPr>
              <w:fldChar w:fldCharType="separate"/>
            </w:r>
            <w:r w:rsidR="00F755B7">
              <w:rPr>
                <w:webHidden/>
              </w:rPr>
              <w:t>620</w:t>
            </w:r>
            <w:r w:rsidR="00DF65F3">
              <w:rPr>
                <w:webHidden/>
              </w:rPr>
              <w:fldChar w:fldCharType="end"/>
            </w:r>
          </w:hyperlink>
        </w:p>
        <w:p w14:paraId="5E472E61" w14:textId="6A72E539" w:rsidR="00DF65F3" w:rsidRDefault="00870777">
          <w:pPr>
            <w:pStyle w:val="Spistreci4"/>
            <w:rPr>
              <w:sz w:val="22"/>
              <w:lang w:val="en-GB" w:eastAsia="en-GB"/>
            </w:rPr>
          </w:pPr>
          <w:hyperlink w:anchor="_Toc12533339" w:history="1">
            <w:r w:rsidR="00DF65F3" w:rsidRPr="004815D6">
              <w:rPr>
                <w:rStyle w:val="Hipercze"/>
              </w:rPr>
              <w:t>CS HPT-DSN.A.020     Definicje</w:t>
            </w:r>
            <w:r w:rsidR="00DF65F3">
              <w:rPr>
                <w:webHidden/>
              </w:rPr>
              <w:tab/>
            </w:r>
            <w:r w:rsidR="00DF65F3">
              <w:rPr>
                <w:webHidden/>
              </w:rPr>
              <w:fldChar w:fldCharType="begin"/>
            </w:r>
            <w:r w:rsidR="00DF65F3">
              <w:rPr>
                <w:webHidden/>
              </w:rPr>
              <w:instrText xml:space="preserve"> PAGEREF _Toc12533339 \h </w:instrText>
            </w:r>
            <w:r w:rsidR="00DF65F3">
              <w:rPr>
                <w:webHidden/>
              </w:rPr>
            </w:r>
            <w:r w:rsidR="00DF65F3">
              <w:rPr>
                <w:webHidden/>
              </w:rPr>
              <w:fldChar w:fldCharType="separate"/>
            </w:r>
            <w:r w:rsidR="00F755B7">
              <w:rPr>
                <w:webHidden/>
              </w:rPr>
              <w:t>620</w:t>
            </w:r>
            <w:r w:rsidR="00DF65F3">
              <w:rPr>
                <w:webHidden/>
              </w:rPr>
              <w:fldChar w:fldCharType="end"/>
            </w:r>
          </w:hyperlink>
        </w:p>
        <w:p w14:paraId="6BCB1B3F" w14:textId="64AF035E" w:rsidR="00DF65F3" w:rsidRDefault="00870777">
          <w:pPr>
            <w:pStyle w:val="Spistreci6"/>
            <w:rPr>
              <w:sz w:val="22"/>
              <w:lang w:val="en-GB" w:eastAsia="en-GB"/>
            </w:rPr>
          </w:pPr>
          <w:hyperlink w:anchor="_Toc12533340" w:history="1">
            <w:r w:rsidR="00DF65F3" w:rsidRPr="004815D6">
              <w:rPr>
                <w:rStyle w:val="Hipercze"/>
              </w:rPr>
              <w:t>GM1 HPT-DSN.A.020      Definicje</w:t>
            </w:r>
            <w:r w:rsidR="00DF65F3">
              <w:rPr>
                <w:webHidden/>
              </w:rPr>
              <w:tab/>
            </w:r>
            <w:r w:rsidR="00DF65F3">
              <w:rPr>
                <w:webHidden/>
              </w:rPr>
              <w:fldChar w:fldCharType="begin"/>
            </w:r>
            <w:r w:rsidR="00DF65F3">
              <w:rPr>
                <w:webHidden/>
              </w:rPr>
              <w:instrText xml:space="preserve"> PAGEREF _Toc12533340 \h </w:instrText>
            </w:r>
            <w:r w:rsidR="00DF65F3">
              <w:rPr>
                <w:webHidden/>
              </w:rPr>
            </w:r>
            <w:r w:rsidR="00DF65F3">
              <w:rPr>
                <w:webHidden/>
              </w:rPr>
              <w:fldChar w:fldCharType="separate"/>
            </w:r>
            <w:r w:rsidR="00F755B7">
              <w:rPr>
                <w:webHidden/>
              </w:rPr>
              <w:t>622</w:t>
            </w:r>
            <w:r w:rsidR="00DF65F3">
              <w:rPr>
                <w:webHidden/>
              </w:rPr>
              <w:fldChar w:fldCharType="end"/>
            </w:r>
          </w:hyperlink>
        </w:p>
        <w:p w14:paraId="69E1422F" w14:textId="78A7A96F" w:rsidR="00DF65F3" w:rsidRDefault="00870777">
          <w:pPr>
            <w:pStyle w:val="Spistreci2"/>
            <w:rPr>
              <w:rFonts w:asciiTheme="minorHAnsi" w:eastAsiaTheme="minorEastAsia" w:hAnsiTheme="minorHAnsi" w:cstheme="minorBidi"/>
              <w:sz w:val="22"/>
              <w:lang w:val="en-GB" w:eastAsia="en-GB"/>
            </w:rPr>
          </w:pPr>
          <w:hyperlink w:anchor="_Toc12533341" w:history="1">
            <w:r w:rsidR="00DF65F3" w:rsidRPr="004815D6">
              <w:rPr>
                <w:rStyle w:val="Hipercze"/>
              </w:rPr>
              <w:t>ROZDZIAŁ B — STREFY OPERACYJNE LOTNISKA DLA ŚMIGŁOWCÓW</w:t>
            </w:r>
            <w:r w:rsidR="00DF65F3">
              <w:rPr>
                <w:webHidden/>
              </w:rPr>
              <w:tab/>
            </w:r>
            <w:r w:rsidR="00DF65F3">
              <w:rPr>
                <w:webHidden/>
              </w:rPr>
              <w:fldChar w:fldCharType="begin"/>
            </w:r>
            <w:r w:rsidR="00DF65F3">
              <w:rPr>
                <w:webHidden/>
              </w:rPr>
              <w:instrText xml:space="preserve"> PAGEREF _Toc12533341 \h </w:instrText>
            </w:r>
            <w:r w:rsidR="00DF65F3">
              <w:rPr>
                <w:webHidden/>
              </w:rPr>
            </w:r>
            <w:r w:rsidR="00DF65F3">
              <w:rPr>
                <w:webHidden/>
              </w:rPr>
              <w:fldChar w:fldCharType="separate"/>
            </w:r>
            <w:r w:rsidR="00F755B7">
              <w:rPr>
                <w:webHidden/>
              </w:rPr>
              <w:t>623</w:t>
            </w:r>
            <w:r w:rsidR="00DF65F3">
              <w:rPr>
                <w:webHidden/>
              </w:rPr>
              <w:fldChar w:fldCharType="end"/>
            </w:r>
          </w:hyperlink>
        </w:p>
        <w:p w14:paraId="01B5007C" w14:textId="73AA6B30" w:rsidR="00DF65F3" w:rsidRDefault="00870777">
          <w:pPr>
            <w:pStyle w:val="Spistreci4"/>
            <w:rPr>
              <w:sz w:val="22"/>
              <w:lang w:val="en-GB" w:eastAsia="en-GB"/>
            </w:rPr>
          </w:pPr>
          <w:hyperlink w:anchor="_Toc12533342" w:history="1">
            <w:r w:rsidR="00DF65F3" w:rsidRPr="004815D6">
              <w:rPr>
                <w:rStyle w:val="Hipercze"/>
              </w:rPr>
              <w:t>CS HPT-DSN.B.100     Strefy podejścia końcowego i startu (FATOs)</w:t>
            </w:r>
            <w:r w:rsidR="00DF65F3">
              <w:rPr>
                <w:webHidden/>
              </w:rPr>
              <w:tab/>
            </w:r>
            <w:r w:rsidR="00DF65F3">
              <w:rPr>
                <w:webHidden/>
              </w:rPr>
              <w:fldChar w:fldCharType="begin"/>
            </w:r>
            <w:r w:rsidR="00DF65F3">
              <w:rPr>
                <w:webHidden/>
              </w:rPr>
              <w:instrText xml:space="preserve"> PAGEREF _Toc12533342 \h </w:instrText>
            </w:r>
            <w:r w:rsidR="00DF65F3">
              <w:rPr>
                <w:webHidden/>
              </w:rPr>
            </w:r>
            <w:r w:rsidR="00DF65F3">
              <w:rPr>
                <w:webHidden/>
              </w:rPr>
              <w:fldChar w:fldCharType="separate"/>
            </w:r>
            <w:r w:rsidR="00F755B7">
              <w:rPr>
                <w:webHidden/>
              </w:rPr>
              <w:t>623</w:t>
            </w:r>
            <w:r w:rsidR="00DF65F3">
              <w:rPr>
                <w:webHidden/>
              </w:rPr>
              <w:fldChar w:fldCharType="end"/>
            </w:r>
          </w:hyperlink>
        </w:p>
        <w:p w14:paraId="17E04EBF" w14:textId="636F44B6" w:rsidR="00DF65F3" w:rsidRDefault="00870777">
          <w:pPr>
            <w:pStyle w:val="Spistreci6"/>
            <w:rPr>
              <w:sz w:val="22"/>
              <w:lang w:val="en-GB" w:eastAsia="en-GB"/>
            </w:rPr>
          </w:pPr>
          <w:hyperlink w:anchor="_Toc12533343" w:history="1">
            <w:r w:rsidR="00DF65F3" w:rsidRPr="004815D6">
              <w:rPr>
                <w:rStyle w:val="Hipercze"/>
              </w:rPr>
              <w:t>GM1 HPT-DSN.B.100     Strefy podejścia końcowego i startu (FATOs)</w:t>
            </w:r>
            <w:r w:rsidR="00DF65F3">
              <w:rPr>
                <w:webHidden/>
              </w:rPr>
              <w:tab/>
            </w:r>
            <w:r w:rsidR="00DF65F3">
              <w:rPr>
                <w:webHidden/>
              </w:rPr>
              <w:fldChar w:fldCharType="begin"/>
            </w:r>
            <w:r w:rsidR="00DF65F3">
              <w:rPr>
                <w:webHidden/>
              </w:rPr>
              <w:instrText xml:space="preserve"> PAGEREF _Toc12533343 \h </w:instrText>
            </w:r>
            <w:r w:rsidR="00DF65F3">
              <w:rPr>
                <w:webHidden/>
              </w:rPr>
            </w:r>
            <w:r w:rsidR="00DF65F3">
              <w:rPr>
                <w:webHidden/>
              </w:rPr>
              <w:fldChar w:fldCharType="separate"/>
            </w:r>
            <w:r w:rsidR="00F755B7">
              <w:rPr>
                <w:webHidden/>
              </w:rPr>
              <w:t>624</w:t>
            </w:r>
            <w:r w:rsidR="00DF65F3">
              <w:rPr>
                <w:webHidden/>
              </w:rPr>
              <w:fldChar w:fldCharType="end"/>
            </w:r>
          </w:hyperlink>
        </w:p>
        <w:p w14:paraId="1339A39F" w14:textId="63509442" w:rsidR="00DF65F3" w:rsidRDefault="00870777">
          <w:pPr>
            <w:pStyle w:val="Spistreci4"/>
            <w:rPr>
              <w:sz w:val="22"/>
              <w:lang w:val="en-GB" w:eastAsia="en-GB"/>
            </w:rPr>
          </w:pPr>
          <w:hyperlink w:anchor="_Toc12533344" w:history="1">
            <w:r w:rsidR="00DF65F3" w:rsidRPr="004815D6">
              <w:rPr>
                <w:rStyle w:val="Hipercze"/>
              </w:rPr>
              <w:t>CS HPT-DSN.B.110     Zabezpieczenie wydłużonego startu dla śmigłowców</w:t>
            </w:r>
            <w:r w:rsidR="00DF65F3">
              <w:rPr>
                <w:webHidden/>
              </w:rPr>
              <w:tab/>
            </w:r>
            <w:r w:rsidR="00DF65F3">
              <w:rPr>
                <w:webHidden/>
              </w:rPr>
              <w:fldChar w:fldCharType="begin"/>
            </w:r>
            <w:r w:rsidR="00DF65F3">
              <w:rPr>
                <w:webHidden/>
              </w:rPr>
              <w:instrText xml:space="preserve"> PAGEREF _Toc12533344 \h </w:instrText>
            </w:r>
            <w:r w:rsidR="00DF65F3">
              <w:rPr>
                <w:webHidden/>
              </w:rPr>
            </w:r>
            <w:r w:rsidR="00DF65F3">
              <w:rPr>
                <w:webHidden/>
              </w:rPr>
              <w:fldChar w:fldCharType="separate"/>
            </w:r>
            <w:r w:rsidR="00F755B7">
              <w:rPr>
                <w:webHidden/>
              </w:rPr>
              <w:t>625</w:t>
            </w:r>
            <w:r w:rsidR="00DF65F3">
              <w:rPr>
                <w:webHidden/>
              </w:rPr>
              <w:fldChar w:fldCharType="end"/>
            </w:r>
          </w:hyperlink>
        </w:p>
        <w:p w14:paraId="2546D804" w14:textId="3741325F" w:rsidR="00DF65F3" w:rsidRDefault="00870777">
          <w:pPr>
            <w:pStyle w:val="Spistreci6"/>
            <w:rPr>
              <w:sz w:val="22"/>
              <w:lang w:val="en-GB" w:eastAsia="en-GB"/>
            </w:rPr>
          </w:pPr>
          <w:hyperlink w:anchor="_Toc12533345" w:history="1">
            <w:r w:rsidR="00DF65F3" w:rsidRPr="004815D6">
              <w:rPr>
                <w:rStyle w:val="Hipercze"/>
              </w:rPr>
              <w:t>GM1 HPT-DSN.B.110     Zabezpieczenie wydłużonego startu dla śmigłowców</w:t>
            </w:r>
            <w:r w:rsidR="00DF65F3">
              <w:rPr>
                <w:webHidden/>
              </w:rPr>
              <w:tab/>
            </w:r>
            <w:r w:rsidR="00DF65F3">
              <w:rPr>
                <w:webHidden/>
              </w:rPr>
              <w:fldChar w:fldCharType="begin"/>
            </w:r>
            <w:r w:rsidR="00DF65F3">
              <w:rPr>
                <w:webHidden/>
              </w:rPr>
              <w:instrText xml:space="preserve"> PAGEREF _Toc12533345 \h </w:instrText>
            </w:r>
            <w:r w:rsidR="00DF65F3">
              <w:rPr>
                <w:webHidden/>
              </w:rPr>
            </w:r>
            <w:r w:rsidR="00DF65F3">
              <w:rPr>
                <w:webHidden/>
              </w:rPr>
              <w:fldChar w:fldCharType="separate"/>
            </w:r>
            <w:r w:rsidR="00F755B7">
              <w:rPr>
                <w:webHidden/>
              </w:rPr>
              <w:t>625</w:t>
            </w:r>
            <w:r w:rsidR="00DF65F3">
              <w:rPr>
                <w:webHidden/>
              </w:rPr>
              <w:fldChar w:fldCharType="end"/>
            </w:r>
          </w:hyperlink>
        </w:p>
        <w:p w14:paraId="29D9CF58" w14:textId="4C4C82FC" w:rsidR="00DF65F3" w:rsidRDefault="00870777">
          <w:pPr>
            <w:pStyle w:val="Spistreci4"/>
            <w:rPr>
              <w:sz w:val="22"/>
              <w:lang w:val="en-GB" w:eastAsia="en-GB"/>
            </w:rPr>
          </w:pPr>
          <w:hyperlink w:anchor="_Toc12533346" w:history="1">
            <w:r w:rsidR="00DF65F3" w:rsidRPr="004815D6">
              <w:rPr>
                <w:rStyle w:val="Hipercze"/>
              </w:rPr>
              <w:t>CS HPT-DSN.B.120     Strefy przyziemienia i wznoszenia (TLOFs)</w:t>
            </w:r>
            <w:r w:rsidR="00DF65F3" w:rsidRPr="004815D6">
              <w:rPr>
                <w:rStyle w:val="Hipercze"/>
                <w:i/>
              </w:rPr>
              <w:t>019/012/R</w:t>
            </w:r>
            <w:r w:rsidR="00DF65F3">
              <w:rPr>
                <w:webHidden/>
              </w:rPr>
              <w:tab/>
            </w:r>
            <w:r w:rsidR="00DF65F3">
              <w:rPr>
                <w:webHidden/>
              </w:rPr>
              <w:fldChar w:fldCharType="begin"/>
            </w:r>
            <w:r w:rsidR="00DF65F3">
              <w:rPr>
                <w:webHidden/>
              </w:rPr>
              <w:instrText xml:space="preserve"> PAGEREF _Toc12533346 \h </w:instrText>
            </w:r>
            <w:r w:rsidR="00DF65F3">
              <w:rPr>
                <w:webHidden/>
              </w:rPr>
            </w:r>
            <w:r w:rsidR="00DF65F3">
              <w:rPr>
                <w:webHidden/>
              </w:rPr>
              <w:fldChar w:fldCharType="separate"/>
            </w:r>
            <w:r w:rsidR="00F755B7">
              <w:rPr>
                <w:webHidden/>
              </w:rPr>
              <w:t>625</w:t>
            </w:r>
            <w:r w:rsidR="00DF65F3">
              <w:rPr>
                <w:webHidden/>
              </w:rPr>
              <w:fldChar w:fldCharType="end"/>
            </w:r>
          </w:hyperlink>
        </w:p>
        <w:p w14:paraId="23F43E29" w14:textId="64EC5F33" w:rsidR="00DF65F3" w:rsidRDefault="00870777">
          <w:pPr>
            <w:pStyle w:val="Spistreci6"/>
            <w:rPr>
              <w:sz w:val="22"/>
              <w:lang w:val="en-GB" w:eastAsia="en-GB"/>
            </w:rPr>
          </w:pPr>
          <w:hyperlink w:anchor="_Toc12533347" w:history="1">
            <w:r w:rsidR="00DF65F3" w:rsidRPr="004815D6">
              <w:rPr>
                <w:rStyle w:val="Hipercze"/>
              </w:rPr>
              <w:t>GM1 HPT-DSN.B.120     Strefy przyziemienia i wznoszenia (TLOFs)</w:t>
            </w:r>
            <w:r w:rsidR="00DF65F3">
              <w:rPr>
                <w:webHidden/>
              </w:rPr>
              <w:tab/>
            </w:r>
            <w:r w:rsidR="00DF65F3">
              <w:rPr>
                <w:webHidden/>
              </w:rPr>
              <w:fldChar w:fldCharType="begin"/>
            </w:r>
            <w:r w:rsidR="00DF65F3">
              <w:rPr>
                <w:webHidden/>
              </w:rPr>
              <w:instrText xml:space="preserve"> PAGEREF _Toc12533347 \h </w:instrText>
            </w:r>
            <w:r w:rsidR="00DF65F3">
              <w:rPr>
                <w:webHidden/>
              </w:rPr>
            </w:r>
            <w:r w:rsidR="00DF65F3">
              <w:rPr>
                <w:webHidden/>
              </w:rPr>
              <w:fldChar w:fldCharType="separate"/>
            </w:r>
            <w:r w:rsidR="00F755B7">
              <w:rPr>
                <w:webHidden/>
              </w:rPr>
              <w:t>626</w:t>
            </w:r>
            <w:r w:rsidR="00DF65F3">
              <w:rPr>
                <w:webHidden/>
              </w:rPr>
              <w:fldChar w:fldCharType="end"/>
            </w:r>
          </w:hyperlink>
        </w:p>
        <w:p w14:paraId="6C01608A" w14:textId="202AA018" w:rsidR="00DF65F3" w:rsidRDefault="00870777">
          <w:pPr>
            <w:pStyle w:val="Spistreci4"/>
            <w:rPr>
              <w:sz w:val="22"/>
              <w:lang w:val="en-GB" w:eastAsia="en-GB"/>
            </w:rPr>
          </w:pPr>
          <w:hyperlink w:anchor="_Toc12533348" w:history="1">
            <w:r w:rsidR="00DF65F3" w:rsidRPr="004815D6">
              <w:rPr>
                <w:rStyle w:val="Hipercze"/>
              </w:rPr>
              <w:t>CS HPT-DSN.B.130     Strefy bezpieczeństwa</w:t>
            </w:r>
            <w:r w:rsidR="00DF65F3">
              <w:rPr>
                <w:webHidden/>
              </w:rPr>
              <w:tab/>
            </w:r>
            <w:r w:rsidR="00DF65F3">
              <w:rPr>
                <w:webHidden/>
              </w:rPr>
              <w:fldChar w:fldCharType="begin"/>
            </w:r>
            <w:r w:rsidR="00DF65F3">
              <w:rPr>
                <w:webHidden/>
              </w:rPr>
              <w:instrText xml:space="preserve"> PAGEREF _Toc12533348 \h </w:instrText>
            </w:r>
            <w:r w:rsidR="00DF65F3">
              <w:rPr>
                <w:webHidden/>
              </w:rPr>
            </w:r>
            <w:r w:rsidR="00DF65F3">
              <w:rPr>
                <w:webHidden/>
              </w:rPr>
              <w:fldChar w:fldCharType="separate"/>
            </w:r>
            <w:r w:rsidR="00F755B7">
              <w:rPr>
                <w:webHidden/>
              </w:rPr>
              <w:t>626</w:t>
            </w:r>
            <w:r w:rsidR="00DF65F3">
              <w:rPr>
                <w:webHidden/>
              </w:rPr>
              <w:fldChar w:fldCharType="end"/>
            </w:r>
          </w:hyperlink>
        </w:p>
        <w:p w14:paraId="0BE19070" w14:textId="77A2AC05" w:rsidR="00DF65F3" w:rsidRDefault="00870777">
          <w:pPr>
            <w:pStyle w:val="Spistreci6"/>
            <w:rPr>
              <w:sz w:val="22"/>
              <w:lang w:val="en-GB" w:eastAsia="en-GB"/>
            </w:rPr>
          </w:pPr>
          <w:hyperlink w:anchor="_Toc12533349" w:history="1">
            <w:r w:rsidR="00DF65F3" w:rsidRPr="004815D6">
              <w:rPr>
                <w:rStyle w:val="Hipercze"/>
              </w:rPr>
              <w:t>GM1 HPT-DSN.B.130     Strefy bezpieczeństwa</w:t>
            </w:r>
            <w:r w:rsidR="00DF65F3">
              <w:rPr>
                <w:webHidden/>
              </w:rPr>
              <w:tab/>
            </w:r>
            <w:r w:rsidR="00DF65F3">
              <w:rPr>
                <w:webHidden/>
              </w:rPr>
              <w:fldChar w:fldCharType="begin"/>
            </w:r>
            <w:r w:rsidR="00DF65F3">
              <w:rPr>
                <w:webHidden/>
              </w:rPr>
              <w:instrText xml:space="preserve"> PAGEREF _Toc12533349 \h </w:instrText>
            </w:r>
            <w:r w:rsidR="00DF65F3">
              <w:rPr>
                <w:webHidden/>
              </w:rPr>
            </w:r>
            <w:r w:rsidR="00DF65F3">
              <w:rPr>
                <w:webHidden/>
              </w:rPr>
              <w:fldChar w:fldCharType="separate"/>
            </w:r>
            <w:r w:rsidR="00F755B7">
              <w:rPr>
                <w:webHidden/>
              </w:rPr>
              <w:t>627</w:t>
            </w:r>
            <w:r w:rsidR="00DF65F3">
              <w:rPr>
                <w:webHidden/>
              </w:rPr>
              <w:fldChar w:fldCharType="end"/>
            </w:r>
          </w:hyperlink>
        </w:p>
        <w:p w14:paraId="676EC75E" w14:textId="52BD7A88" w:rsidR="00DF65F3" w:rsidRDefault="00870777">
          <w:pPr>
            <w:pStyle w:val="Spistreci2"/>
            <w:rPr>
              <w:rFonts w:asciiTheme="minorHAnsi" w:eastAsiaTheme="minorEastAsia" w:hAnsiTheme="minorHAnsi" w:cstheme="minorBidi"/>
              <w:sz w:val="22"/>
              <w:lang w:val="en-GB" w:eastAsia="en-GB"/>
            </w:rPr>
          </w:pPr>
          <w:hyperlink w:anchor="_Toc12533350" w:history="1">
            <w:r w:rsidR="00DF65F3" w:rsidRPr="004815D6">
              <w:rPr>
                <w:rStyle w:val="Hipercze"/>
              </w:rPr>
              <w:t>ROZDZIAŁ C — DROGI KOŁOWANIA I TRASY KOŁOWANIA ŚMIGŁOWCÓW PO ZIEMI</w:t>
            </w:r>
            <w:r w:rsidR="00DF65F3">
              <w:rPr>
                <w:webHidden/>
              </w:rPr>
              <w:tab/>
            </w:r>
            <w:r w:rsidR="00DF65F3">
              <w:rPr>
                <w:webHidden/>
              </w:rPr>
              <w:fldChar w:fldCharType="begin"/>
            </w:r>
            <w:r w:rsidR="00DF65F3">
              <w:rPr>
                <w:webHidden/>
              </w:rPr>
              <w:instrText xml:space="preserve"> PAGEREF _Toc12533350 \h </w:instrText>
            </w:r>
            <w:r w:rsidR="00DF65F3">
              <w:rPr>
                <w:webHidden/>
              </w:rPr>
            </w:r>
            <w:r w:rsidR="00DF65F3">
              <w:rPr>
                <w:webHidden/>
              </w:rPr>
              <w:fldChar w:fldCharType="separate"/>
            </w:r>
            <w:r w:rsidR="00F755B7">
              <w:rPr>
                <w:webHidden/>
              </w:rPr>
              <w:t>628</w:t>
            </w:r>
            <w:r w:rsidR="00DF65F3">
              <w:rPr>
                <w:webHidden/>
              </w:rPr>
              <w:fldChar w:fldCharType="end"/>
            </w:r>
          </w:hyperlink>
        </w:p>
        <w:p w14:paraId="1FE34135" w14:textId="46178C2B" w:rsidR="00DF65F3" w:rsidRDefault="00870777">
          <w:pPr>
            <w:pStyle w:val="Spistreci4"/>
            <w:rPr>
              <w:sz w:val="22"/>
              <w:lang w:val="en-GB" w:eastAsia="en-GB"/>
            </w:rPr>
          </w:pPr>
          <w:hyperlink w:anchor="_Toc12533351" w:history="1">
            <w:r w:rsidR="00DF65F3" w:rsidRPr="004815D6">
              <w:rPr>
                <w:rStyle w:val="Hipercze"/>
              </w:rPr>
              <w:t>CS HPT-DSN.C.200     Drogi kołowania i trasy kołowania śmigłowców po ziemi</w:t>
            </w:r>
            <w:r w:rsidR="00DF65F3">
              <w:rPr>
                <w:webHidden/>
              </w:rPr>
              <w:tab/>
            </w:r>
            <w:r w:rsidR="00DF65F3">
              <w:rPr>
                <w:webHidden/>
              </w:rPr>
              <w:fldChar w:fldCharType="begin"/>
            </w:r>
            <w:r w:rsidR="00DF65F3">
              <w:rPr>
                <w:webHidden/>
              </w:rPr>
              <w:instrText xml:space="preserve"> PAGEREF _Toc12533351 \h </w:instrText>
            </w:r>
            <w:r w:rsidR="00DF65F3">
              <w:rPr>
                <w:webHidden/>
              </w:rPr>
            </w:r>
            <w:r w:rsidR="00DF65F3">
              <w:rPr>
                <w:webHidden/>
              </w:rPr>
              <w:fldChar w:fldCharType="separate"/>
            </w:r>
            <w:r w:rsidR="00F755B7">
              <w:rPr>
                <w:webHidden/>
              </w:rPr>
              <w:t>628</w:t>
            </w:r>
            <w:r w:rsidR="00DF65F3">
              <w:rPr>
                <w:webHidden/>
              </w:rPr>
              <w:fldChar w:fldCharType="end"/>
            </w:r>
          </w:hyperlink>
        </w:p>
        <w:p w14:paraId="6C4962D8" w14:textId="2E497DF6" w:rsidR="00DF65F3" w:rsidRDefault="00870777">
          <w:pPr>
            <w:pStyle w:val="Spistreci6"/>
            <w:rPr>
              <w:sz w:val="22"/>
              <w:lang w:val="en-GB" w:eastAsia="en-GB"/>
            </w:rPr>
          </w:pPr>
          <w:hyperlink w:anchor="_Toc12533352" w:history="1">
            <w:r w:rsidR="00DF65F3" w:rsidRPr="004815D6">
              <w:rPr>
                <w:rStyle w:val="Hipercze"/>
              </w:rPr>
              <w:t>GM1 HPT-DSN.C.200     Drogi kołowania i trasy kołowania śmigłowców po ziemi</w:t>
            </w:r>
            <w:r w:rsidR="00DF65F3">
              <w:rPr>
                <w:webHidden/>
              </w:rPr>
              <w:tab/>
            </w:r>
            <w:r w:rsidR="00DF65F3">
              <w:rPr>
                <w:webHidden/>
              </w:rPr>
              <w:fldChar w:fldCharType="begin"/>
            </w:r>
            <w:r w:rsidR="00DF65F3">
              <w:rPr>
                <w:webHidden/>
              </w:rPr>
              <w:instrText xml:space="preserve"> PAGEREF _Toc12533352 \h </w:instrText>
            </w:r>
            <w:r w:rsidR="00DF65F3">
              <w:rPr>
                <w:webHidden/>
              </w:rPr>
            </w:r>
            <w:r w:rsidR="00DF65F3">
              <w:rPr>
                <w:webHidden/>
              </w:rPr>
              <w:fldChar w:fldCharType="separate"/>
            </w:r>
            <w:r w:rsidR="00F755B7">
              <w:rPr>
                <w:webHidden/>
              </w:rPr>
              <w:t>629</w:t>
            </w:r>
            <w:r w:rsidR="00DF65F3">
              <w:rPr>
                <w:webHidden/>
              </w:rPr>
              <w:fldChar w:fldCharType="end"/>
            </w:r>
          </w:hyperlink>
        </w:p>
        <w:p w14:paraId="5661FB71" w14:textId="379E1632" w:rsidR="00DF65F3" w:rsidRDefault="00870777">
          <w:pPr>
            <w:pStyle w:val="Spistreci4"/>
            <w:rPr>
              <w:sz w:val="22"/>
              <w:lang w:val="en-GB" w:eastAsia="en-GB"/>
            </w:rPr>
          </w:pPr>
          <w:hyperlink w:anchor="_Toc12533353" w:history="1">
            <w:r w:rsidR="00DF65F3" w:rsidRPr="004815D6">
              <w:rPr>
                <w:rStyle w:val="Hipercze"/>
              </w:rPr>
              <w:t>CS HPT-DSN.C.210     Drogi kołowania i trasy kołowania śmigłowców w powietrzu</w:t>
            </w:r>
            <w:r w:rsidR="00DF65F3">
              <w:rPr>
                <w:webHidden/>
              </w:rPr>
              <w:tab/>
            </w:r>
            <w:r w:rsidR="00DF65F3">
              <w:rPr>
                <w:webHidden/>
              </w:rPr>
              <w:fldChar w:fldCharType="begin"/>
            </w:r>
            <w:r w:rsidR="00DF65F3">
              <w:rPr>
                <w:webHidden/>
              </w:rPr>
              <w:instrText xml:space="preserve"> PAGEREF _Toc12533353 \h </w:instrText>
            </w:r>
            <w:r w:rsidR="00DF65F3">
              <w:rPr>
                <w:webHidden/>
              </w:rPr>
            </w:r>
            <w:r w:rsidR="00DF65F3">
              <w:rPr>
                <w:webHidden/>
              </w:rPr>
              <w:fldChar w:fldCharType="separate"/>
            </w:r>
            <w:r w:rsidR="00F755B7">
              <w:rPr>
                <w:webHidden/>
              </w:rPr>
              <w:t>629</w:t>
            </w:r>
            <w:r w:rsidR="00DF65F3">
              <w:rPr>
                <w:webHidden/>
              </w:rPr>
              <w:fldChar w:fldCharType="end"/>
            </w:r>
          </w:hyperlink>
        </w:p>
        <w:p w14:paraId="07F80B60" w14:textId="41D5966C" w:rsidR="00DF65F3" w:rsidRDefault="00870777">
          <w:pPr>
            <w:pStyle w:val="Spistreci6"/>
            <w:rPr>
              <w:sz w:val="22"/>
              <w:lang w:val="en-GB" w:eastAsia="en-GB"/>
            </w:rPr>
          </w:pPr>
          <w:hyperlink w:anchor="_Toc12533354" w:history="1">
            <w:r w:rsidR="00DF65F3" w:rsidRPr="004815D6">
              <w:rPr>
                <w:rStyle w:val="Hipercze"/>
              </w:rPr>
              <w:t>GM1 HPT-DSN.C.210     Drogi kołowania i trasy kołowania śmigłowców w powietrzu</w:t>
            </w:r>
            <w:r w:rsidR="00DF65F3">
              <w:rPr>
                <w:webHidden/>
              </w:rPr>
              <w:tab/>
            </w:r>
            <w:r w:rsidR="00DF65F3">
              <w:rPr>
                <w:webHidden/>
              </w:rPr>
              <w:fldChar w:fldCharType="begin"/>
            </w:r>
            <w:r w:rsidR="00DF65F3">
              <w:rPr>
                <w:webHidden/>
              </w:rPr>
              <w:instrText xml:space="preserve"> PAGEREF _Toc12533354 \h </w:instrText>
            </w:r>
            <w:r w:rsidR="00DF65F3">
              <w:rPr>
                <w:webHidden/>
              </w:rPr>
            </w:r>
            <w:r w:rsidR="00DF65F3">
              <w:rPr>
                <w:webHidden/>
              </w:rPr>
              <w:fldChar w:fldCharType="separate"/>
            </w:r>
            <w:r w:rsidR="00F755B7">
              <w:rPr>
                <w:webHidden/>
              </w:rPr>
              <w:t>631</w:t>
            </w:r>
            <w:r w:rsidR="00DF65F3">
              <w:rPr>
                <w:webHidden/>
              </w:rPr>
              <w:fldChar w:fldCharType="end"/>
            </w:r>
          </w:hyperlink>
        </w:p>
        <w:p w14:paraId="51D915E0" w14:textId="102BC104" w:rsidR="00DF65F3" w:rsidRDefault="00870777">
          <w:pPr>
            <w:pStyle w:val="Spistreci2"/>
            <w:rPr>
              <w:rFonts w:asciiTheme="minorHAnsi" w:eastAsiaTheme="minorEastAsia" w:hAnsiTheme="minorHAnsi" w:cstheme="minorBidi"/>
              <w:sz w:val="22"/>
              <w:lang w:val="en-GB" w:eastAsia="en-GB"/>
            </w:rPr>
          </w:pPr>
          <w:hyperlink w:anchor="_Toc12533355" w:history="1">
            <w:r w:rsidR="00DF65F3" w:rsidRPr="004815D6">
              <w:rPr>
                <w:rStyle w:val="Hipercze"/>
              </w:rPr>
              <w:t>ROZDZIAŁ D — STANOWISKA POSTOJOWE  ŚMIGŁOWCA</w:t>
            </w:r>
            <w:r w:rsidR="00DF65F3">
              <w:rPr>
                <w:webHidden/>
              </w:rPr>
              <w:tab/>
            </w:r>
            <w:r w:rsidR="00DF65F3">
              <w:rPr>
                <w:webHidden/>
              </w:rPr>
              <w:fldChar w:fldCharType="begin"/>
            </w:r>
            <w:r w:rsidR="00DF65F3">
              <w:rPr>
                <w:webHidden/>
              </w:rPr>
              <w:instrText xml:space="preserve"> PAGEREF _Toc12533355 \h </w:instrText>
            </w:r>
            <w:r w:rsidR="00DF65F3">
              <w:rPr>
                <w:webHidden/>
              </w:rPr>
            </w:r>
            <w:r w:rsidR="00DF65F3">
              <w:rPr>
                <w:webHidden/>
              </w:rPr>
              <w:fldChar w:fldCharType="separate"/>
            </w:r>
            <w:r w:rsidR="00F755B7">
              <w:rPr>
                <w:webHidden/>
              </w:rPr>
              <w:t>632</w:t>
            </w:r>
            <w:r w:rsidR="00DF65F3">
              <w:rPr>
                <w:webHidden/>
              </w:rPr>
              <w:fldChar w:fldCharType="end"/>
            </w:r>
          </w:hyperlink>
        </w:p>
        <w:p w14:paraId="10290E77" w14:textId="669D8736" w:rsidR="00DF65F3" w:rsidRDefault="00870777">
          <w:pPr>
            <w:pStyle w:val="Spistreci4"/>
            <w:rPr>
              <w:sz w:val="22"/>
              <w:lang w:val="en-GB" w:eastAsia="en-GB"/>
            </w:rPr>
          </w:pPr>
          <w:hyperlink w:anchor="_Toc12533356" w:history="1">
            <w:r w:rsidR="00DF65F3" w:rsidRPr="004815D6">
              <w:rPr>
                <w:rStyle w:val="Hipercze"/>
              </w:rPr>
              <w:t>CS HPT-DSN.D.300     Stanowiska postojowe śmigłowca</w:t>
            </w:r>
            <w:r w:rsidR="00DF65F3">
              <w:rPr>
                <w:webHidden/>
              </w:rPr>
              <w:tab/>
            </w:r>
            <w:r w:rsidR="00DF65F3">
              <w:rPr>
                <w:webHidden/>
              </w:rPr>
              <w:fldChar w:fldCharType="begin"/>
            </w:r>
            <w:r w:rsidR="00DF65F3">
              <w:rPr>
                <w:webHidden/>
              </w:rPr>
              <w:instrText xml:space="preserve"> PAGEREF _Toc12533356 \h </w:instrText>
            </w:r>
            <w:r w:rsidR="00DF65F3">
              <w:rPr>
                <w:webHidden/>
              </w:rPr>
            </w:r>
            <w:r w:rsidR="00DF65F3">
              <w:rPr>
                <w:webHidden/>
              </w:rPr>
              <w:fldChar w:fldCharType="separate"/>
            </w:r>
            <w:r w:rsidR="00F755B7">
              <w:rPr>
                <w:webHidden/>
              </w:rPr>
              <w:t>632</w:t>
            </w:r>
            <w:r w:rsidR="00DF65F3">
              <w:rPr>
                <w:webHidden/>
              </w:rPr>
              <w:fldChar w:fldCharType="end"/>
            </w:r>
          </w:hyperlink>
        </w:p>
        <w:p w14:paraId="121CA7C7" w14:textId="25136397" w:rsidR="00DF65F3" w:rsidRDefault="00870777">
          <w:pPr>
            <w:pStyle w:val="Spistreci6"/>
            <w:rPr>
              <w:sz w:val="22"/>
              <w:lang w:val="en-GB" w:eastAsia="en-GB"/>
            </w:rPr>
          </w:pPr>
          <w:hyperlink w:anchor="_Toc12533357" w:history="1">
            <w:r w:rsidR="00DF65F3" w:rsidRPr="004815D6">
              <w:rPr>
                <w:rStyle w:val="Hipercze"/>
              </w:rPr>
              <w:t>GM1 HPT-DSN.D.300     Stanowiska postojowe śmigłowca</w:t>
            </w:r>
            <w:r w:rsidR="00DF65F3">
              <w:rPr>
                <w:webHidden/>
              </w:rPr>
              <w:tab/>
            </w:r>
            <w:r w:rsidR="00DF65F3">
              <w:rPr>
                <w:webHidden/>
              </w:rPr>
              <w:fldChar w:fldCharType="begin"/>
            </w:r>
            <w:r w:rsidR="00DF65F3">
              <w:rPr>
                <w:webHidden/>
              </w:rPr>
              <w:instrText xml:space="preserve"> PAGEREF _Toc12533357 \h </w:instrText>
            </w:r>
            <w:r w:rsidR="00DF65F3">
              <w:rPr>
                <w:webHidden/>
              </w:rPr>
            </w:r>
            <w:r w:rsidR="00DF65F3">
              <w:rPr>
                <w:webHidden/>
              </w:rPr>
              <w:fldChar w:fldCharType="separate"/>
            </w:r>
            <w:r w:rsidR="00F755B7">
              <w:rPr>
                <w:webHidden/>
              </w:rPr>
              <w:t>634</w:t>
            </w:r>
            <w:r w:rsidR="00DF65F3">
              <w:rPr>
                <w:webHidden/>
              </w:rPr>
              <w:fldChar w:fldCharType="end"/>
            </w:r>
          </w:hyperlink>
        </w:p>
        <w:p w14:paraId="705D27C6" w14:textId="038AD5F2" w:rsidR="00DF65F3" w:rsidRDefault="00870777">
          <w:pPr>
            <w:pStyle w:val="Spistreci2"/>
            <w:rPr>
              <w:rFonts w:asciiTheme="minorHAnsi" w:eastAsiaTheme="minorEastAsia" w:hAnsiTheme="minorHAnsi" w:cstheme="minorBidi"/>
              <w:sz w:val="22"/>
              <w:lang w:val="en-GB" w:eastAsia="en-GB"/>
            </w:rPr>
          </w:pPr>
          <w:hyperlink w:anchor="_Toc12533358" w:history="1">
            <w:r w:rsidR="00DF65F3" w:rsidRPr="004815D6">
              <w:rPr>
                <w:rStyle w:val="Hipercze"/>
              </w:rPr>
              <w:t>ROZDZIAŁ E — POWIERZCHNIE OGRANICZAJĄCE PRZESZKODY I WYMAGANIA</w:t>
            </w:r>
            <w:r w:rsidR="00DF65F3">
              <w:rPr>
                <w:webHidden/>
              </w:rPr>
              <w:tab/>
            </w:r>
            <w:r w:rsidR="00DF65F3">
              <w:rPr>
                <w:webHidden/>
              </w:rPr>
              <w:fldChar w:fldCharType="begin"/>
            </w:r>
            <w:r w:rsidR="00DF65F3">
              <w:rPr>
                <w:webHidden/>
              </w:rPr>
              <w:instrText xml:space="preserve"> PAGEREF _Toc12533358 \h </w:instrText>
            </w:r>
            <w:r w:rsidR="00DF65F3">
              <w:rPr>
                <w:webHidden/>
              </w:rPr>
            </w:r>
            <w:r w:rsidR="00DF65F3">
              <w:rPr>
                <w:webHidden/>
              </w:rPr>
              <w:fldChar w:fldCharType="separate"/>
            </w:r>
            <w:r w:rsidR="00F755B7">
              <w:rPr>
                <w:webHidden/>
              </w:rPr>
              <w:t>636</w:t>
            </w:r>
            <w:r w:rsidR="00DF65F3">
              <w:rPr>
                <w:webHidden/>
              </w:rPr>
              <w:fldChar w:fldCharType="end"/>
            </w:r>
          </w:hyperlink>
        </w:p>
        <w:p w14:paraId="40CBD6C2" w14:textId="71A6D372" w:rsidR="00DF65F3" w:rsidRDefault="00870777">
          <w:pPr>
            <w:pStyle w:val="Spistreci4"/>
            <w:rPr>
              <w:sz w:val="22"/>
              <w:lang w:val="en-GB" w:eastAsia="en-GB"/>
            </w:rPr>
          </w:pPr>
          <w:hyperlink w:anchor="_Toc12533359" w:history="1">
            <w:r w:rsidR="00DF65F3" w:rsidRPr="004815D6">
              <w:rPr>
                <w:rStyle w:val="Hipercze"/>
              </w:rPr>
              <w:t>CS HPT-DSN.E.400     Zastosowanie</w:t>
            </w:r>
            <w:r w:rsidR="00DF65F3">
              <w:rPr>
                <w:webHidden/>
              </w:rPr>
              <w:tab/>
            </w:r>
            <w:r w:rsidR="00DF65F3">
              <w:rPr>
                <w:webHidden/>
              </w:rPr>
              <w:fldChar w:fldCharType="begin"/>
            </w:r>
            <w:r w:rsidR="00DF65F3">
              <w:rPr>
                <w:webHidden/>
              </w:rPr>
              <w:instrText xml:space="preserve"> PAGEREF _Toc12533359 \h </w:instrText>
            </w:r>
            <w:r w:rsidR="00DF65F3">
              <w:rPr>
                <w:webHidden/>
              </w:rPr>
            </w:r>
            <w:r w:rsidR="00DF65F3">
              <w:rPr>
                <w:webHidden/>
              </w:rPr>
              <w:fldChar w:fldCharType="separate"/>
            </w:r>
            <w:r w:rsidR="00F755B7">
              <w:rPr>
                <w:webHidden/>
              </w:rPr>
              <w:t>636</w:t>
            </w:r>
            <w:r w:rsidR="00DF65F3">
              <w:rPr>
                <w:webHidden/>
              </w:rPr>
              <w:fldChar w:fldCharType="end"/>
            </w:r>
          </w:hyperlink>
        </w:p>
        <w:p w14:paraId="66FAA5D1" w14:textId="3FDE8EED" w:rsidR="00DF65F3" w:rsidRDefault="00870777">
          <w:pPr>
            <w:pStyle w:val="Spistreci6"/>
            <w:rPr>
              <w:sz w:val="22"/>
              <w:lang w:val="en-GB" w:eastAsia="en-GB"/>
            </w:rPr>
          </w:pPr>
          <w:hyperlink w:anchor="_Toc12533360" w:history="1">
            <w:r w:rsidR="00DF65F3" w:rsidRPr="004815D6">
              <w:rPr>
                <w:rStyle w:val="Hipercze"/>
              </w:rPr>
              <w:t>GM1 HPT-DSN.E.400     Zastosowanie</w:t>
            </w:r>
            <w:r w:rsidR="00DF65F3">
              <w:rPr>
                <w:webHidden/>
              </w:rPr>
              <w:tab/>
            </w:r>
            <w:r w:rsidR="00DF65F3">
              <w:rPr>
                <w:webHidden/>
              </w:rPr>
              <w:fldChar w:fldCharType="begin"/>
            </w:r>
            <w:r w:rsidR="00DF65F3">
              <w:rPr>
                <w:webHidden/>
              </w:rPr>
              <w:instrText xml:space="preserve"> PAGEREF _Toc12533360 \h </w:instrText>
            </w:r>
            <w:r w:rsidR="00DF65F3">
              <w:rPr>
                <w:webHidden/>
              </w:rPr>
            </w:r>
            <w:r w:rsidR="00DF65F3">
              <w:rPr>
                <w:webHidden/>
              </w:rPr>
              <w:fldChar w:fldCharType="separate"/>
            </w:r>
            <w:r w:rsidR="00F755B7">
              <w:rPr>
                <w:webHidden/>
              </w:rPr>
              <w:t>636</w:t>
            </w:r>
            <w:r w:rsidR="00DF65F3">
              <w:rPr>
                <w:webHidden/>
              </w:rPr>
              <w:fldChar w:fldCharType="end"/>
            </w:r>
          </w:hyperlink>
        </w:p>
        <w:p w14:paraId="38B83EDC" w14:textId="117FE037" w:rsidR="00DF65F3" w:rsidRDefault="00870777">
          <w:pPr>
            <w:pStyle w:val="Spistreci4"/>
            <w:rPr>
              <w:sz w:val="22"/>
              <w:lang w:val="en-GB" w:eastAsia="en-GB"/>
            </w:rPr>
          </w:pPr>
          <w:hyperlink w:anchor="_Toc12533361" w:history="1">
            <w:r w:rsidR="00DF65F3" w:rsidRPr="004815D6">
              <w:rPr>
                <w:rStyle w:val="Hipercze"/>
              </w:rPr>
              <w:t>CS HPT-DSN.E.410     Powierzchnia podejścia</w:t>
            </w:r>
            <w:r w:rsidR="00DF65F3">
              <w:rPr>
                <w:webHidden/>
              </w:rPr>
              <w:tab/>
            </w:r>
            <w:r w:rsidR="00DF65F3">
              <w:rPr>
                <w:webHidden/>
              </w:rPr>
              <w:fldChar w:fldCharType="begin"/>
            </w:r>
            <w:r w:rsidR="00DF65F3">
              <w:rPr>
                <w:webHidden/>
              </w:rPr>
              <w:instrText xml:space="preserve"> PAGEREF _Toc12533361 \h </w:instrText>
            </w:r>
            <w:r w:rsidR="00DF65F3">
              <w:rPr>
                <w:webHidden/>
              </w:rPr>
            </w:r>
            <w:r w:rsidR="00DF65F3">
              <w:rPr>
                <w:webHidden/>
              </w:rPr>
              <w:fldChar w:fldCharType="separate"/>
            </w:r>
            <w:r w:rsidR="00F755B7">
              <w:rPr>
                <w:webHidden/>
              </w:rPr>
              <w:t>636</w:t>
            </w:r>
            <w:r w:rsidR="00DF65F3">
              <w:rPr>
                <w:webHidden/>
              </w:rPr>
              <w:fldChar w:fldCharType="end"/>
            </w:r>
          </w:hyperlink>
        </w:p>
        <w:p w14:paraId="0F504209" w14:textId="533867D2" w:rsidR="00DF65F3" w:rsidRDefault="00870777">
          <w:pPr>
            <w:pStyle w:val="Spistreci6"/>
            <w:rPr>
              <w:sz w:val="22"/>
              <w:lang w:val="en-GB" w:eastAsia="en-GB"/>
            </w:rPr>
          </w:pPr>
          <w:hyperlink w:anchor="_Toc12533362" w:history="1">
            <w:r w:rsidR="00DF65F3" w:rsidRPr="004815D6">
              <w:rPr>
                <w:rStyle w:val="Hipercze"/>
              </w:rPr>
              <w:t>GM1 HPT-DSN.E.410     Powierzchnia podejścia</w:t>
            </w:r>
            <w:r w:rsidR="00DF65F3">
              <w:rPr>
                <w:webHidden/>
              </w:rPr>
              <w:tab/>
            </w:r>
            <w:r w:rsidR="00DF65F3">
              <w:rPr>
                <w:webHidden/>
              </w:rPr>
              <w:fldChar w:fldCharType="begin"/>
            </w:r>
            <w:r w:rsidR="00DF65F3">
              <w:rPr>
                <w:webHidden/>
              </w:rPr>
              <w:instrText xml:space="preserve"> PAGEREF _Toc12533362 \h </w:instrText>
            </w:r>
            <w:r w:rsidR="00DF65F3">
              <w:rPr>
                <w:webHidden/>
              </w:rPr>
            </w:r>
            <w:r w:rsidR="00DF65F3">
              <w:rPr>
                <w:webHidden/>
              </w:rPr>
              <w:fldChar w:fldCharType="separate"/>
            </w:r>
            <w:r w:rsidR="00F755B7">
              <w:rPr>
                <w:webHidden/>
              </w:rPr>
              <w:t>642</w:t>
            </w:r>
            <w:r w:rsidR="00DF65F3">
              <w:rPr>
                <w:webHidden/>
              </w:rPr>
              <w:fldChar w:fldCharType="end"/>
            </w:r>
          </w:hyperlink>
        </w:p>
        <w:p w14:paraId="15020B05" w14:textId="65B389BD" w:rsidR="00DF65F3" w:rsidRDefault="00870777">
          <w:pPr>
            <w:pStyle w:val="Spistreci4"/>
            <w:rPr>
              <w:sz w:val="22"/>
              <w:lang w:val="en-GB" w:eastAsia="en-GB"/>
            </w:rPr>
          </w:pPr>
          <w:hyperlink w:anchor="_Toc12533363" w:history="1">
            <w:r w:rsidR="00DF65F3" w:rsidRPr="004815D6">
              <w:rPr>
                <w:rStyle w:val="Hipercze"/>
              </w:rPr>
              <w:t>CS HPT-DSN.E.420     Powierzchnia wznoszenia przy starcie</w:t>
            </w:r>
            <w:r w:rsidR="00DF65F3">
              <w:rPr>
                <w:webHidden/>
              </w:rPr>
              <w:tab/>
            </w:r>
            <w:r w:rsidR="00DF65F3">
              <w:rPr>
                <w:webHidden/>
              </w:rPr>
              <w:fldChar w:fldCharType="begin"/>
            </w:r>
            <w:r w:rsidR="00DF65F3">
              <w:rPr>
                <w:webHidden/>
              </w:rPr>
              <w:instrText xml:space="preserve"> PAGEREF _Toc12533363 \h </w:instrText>
            </w:r>
            <w:r w:rsidR="00DF65F3">
              <w:rPr>
                <w:webHidden/>
              </w:rPr>
            </w:r>
            <w:r w:rsidR="00DF65F3">
              <w:rPr>
                <w:webHidden/>
              </w:rPr>
              <w:fldChar w:fldCharType="separate"/>
            </w:r>
            <w:r w:rsidR="00F755B7">
              <w:rPr>
                <w:webHidden/>
              </w:rPr>
              <w:t>643</w:t>
            </w:r>
            <w:r w:rsidR="00DF65F3">
              <w:rPr>
                <w:webHidden/>
              </w:rPr>
              <w:fldChar w:fldCharType="end"/>
            </w:r>
          </w:hyperlink>
        </w:p>
        <w:p w14:paraId="0A6D77B1" w14:textId="38614BFE" w:rsidR="00DF65F3" w:rsidRDefault="00870777">
          <w:pPr>
            <w:pStyle w:val="Spistreci6"/>
            <w:rPr>
              <w:sz w:val="22"/>
              <w:lang w:val="en-GB" w:eastAsia="en-GB"/>
            </w:rPr>
          </w:pPr>
          <w:hyperlink w:anchor="_Toc12533364" w:history="1">
            <w:r w:rsidR="00DF65F3" w:rsidRPr="004815D6">
              <w:rPr>
                <w:rStyle w:val="Hipercze"/>
              </w:rPr>
              <w:t>GM1 HPT-DSN.E.420     Powierzchnia wznoszenia przy starcie</w:t>
            </w:r>
            <w:r w:rsidR="00DF65F3">
              <w:rPr>
                <w:webHidden/>
              </w:rPr>
              <w:tab/>
            </w:r>
            <w:r w:rsidR="00DF65F3">
              <w:rPr>
                <w:webHidden/>
              </w:rPr>
              <w:fldChar w:fldCharType="begin"/>
            </w:r>
            <w:r w:rsidR="00DF65F3">
              <w:rPr>
                <w:webHidden/>
              </w:rPr>
              <w:instrText xml:space="preserve"> PAGEREF _Toc12533364 \h </w:instrText>
            </w:r>
            <w:r w:rsidR="00DF65F3">
              <w:rPr>
                <w:webHidden/>
              </w:rPr>
            </w:r>
            <w:r w:rsidR="00DF65F3">
              <w:rPr>
                <w:webHidden/>
              </w:rPr>
              <w:fldChar w:fldCharType="separate"/>
            </w:r>
            <w:r w:rsidR="00F755B7">
              <w:rPr>
                <w:webHidden/>
              </w:rPr>
              <w:t>644</w:t>
            </w:r>
            <w:r w:rsidR="00DF65F3">
              <w:rPr>
                <w:webHidden/>
              </w:rPr>
              <w:fldChar w:fldCharType="end"/>
            </w:r>
          </w:hyperlink>
        </w:p>
        <w:p w14:paraId="24956F9C" w14:textId="182ED94C" w:rsidR="00DF65F3" w:rsidRDefault="00870777">
          <w:pPr>
            <w:pStyle w:val="Spistreci4"/>
            <w:rPr>
              <w:sz w:val="22"/>
              <w:lang w:val="en-GB" w:eastAsia="en-GB"/>
            </w:rPr>
          </w:pPr>
          <w:hyperlink w:anchor="_Toc12533365" w:history="1">
            <w:r w:rsidR="00DF65F3" w:rsidRPr="004815D6">
              <w:rPr>
                <w:rStyle w:val="Hipercze"/>
              </w:rPr>
              <w:t>CS HPT-DSN.E.430     Wymagania dotyczące ograniczania przeszkód</w:t>
            </w:r>
            <w:r w:rsidR="00DF65F3">
              <w:rPr>
                <w:webHidden/>
              </w:rPr>
              <w:tab/>
            </w:r>
            <w:r w:rsidR="00DF65F3">
              <w:rPr>
                <w:webHidden/>
              </w:rPr>
              <w:fldChar w:fldCharType="begin"/>
            </w:r>
            <w:r w:rsidR="00DF65F3">
              <w:rPr>
                <w:webHidden/>
              </w:rPr>
              <w:instrText xml:space="preserve"> PAGEREF _Toc12533365 \h </w:instrText>
            </w:r>
            <w:r w:rsidR="00DF65F3">
              <w:rPr>
                <w:webHidden/>
              </w:rPr>
            </w:r>
            <w:r w:rsidR="00DF65F3">
              <w:rPr>
                <w:webHidden/>
              </w:rPr>
              <w:fldChar w:fldCharType="separate"/>
            </w:r>
            <w:r w:rsidR="00F755B7">
              <w:rPr>
                <w:webHidden/>
              </w:rPr>
              <w:t>644</w:t>
            </w:r>
            <w:r w:rsidR="00DF65F3">
              <w:rPr>
                <w:webHidden/>
              </w:rPr>
              <w:fldChar w:fldCharType="end"/>
            </w:r>
          </w:hyperlink>
        </w:p>
        <w:p w14:paraId="13E770E4" w14:textId="0254415B" w:rsidR="00DF65F3" w:rsidRDefault="00870777">
          <w:pPr>
            <w:pStyle w:val="Spistreci6"/>
            <w:rPr>
              <w:sz w:val="22"/>
              <w:lang w:val="en-GB" w:eastAsia="en-GB"/>
            </w:rPr>
          </w:pPr>
          <w:hyperlink w:anchor="_Toc12533366" w:history="1">
            <w:r w:rsidR="00DF65F3" w:rsidRPr="004815D6">
              <w:rPr>
                <w:rStyle w:val="Hipercze"/>
              </w:rPr>
              <w:t>GM1 HPT-DSN.E.430     Wymagania dotyczące ograniczania przeszkód</w:t>
            </w:r>
            <w:r w:rsidR="00DF65F3">
              <w:rPr>
                <w:webHidden/>
              </w:rPr>
              <w:tab/>
            </w:r>
            <w:r w:rsidR="00DF65F3">
              <w:rPr>
                <w:webHidden/>
              </w:rPr>
              <w:fldChar w:fldCharType="begin"/>
            </w:r>
            <w:r w:rsidR="00DF65F3">
              <w:rPr>
                <w:webHidden/>
              </w:rPr>
              <w:instrText xml:space="preserve"> PAGEREF _Toc12533366 \h </w:instrText>
            </w:r>
            <w:r w:rsidR="00DF65F3">
              <w:rPr>
                <w:webHidden/>
              </w:rPr>
            </w:r>
            <w:r w:rsidR="00DF65F3">
              <w:rPr>
                <w:webHidden/>
              </w:rPr>
              <w:fldChar w:fldCharType="separate"/>
            </w:r>
            <w:r w:rsidR="00F755B7">
              <w:rPr>
                <w:webHidden/>
              </w:rPr>
              <w:t>645</w:t>
            </w:r>
            <w:r w:rsidR="00DF65F3">
              <w:rPr>
                <w:webHidden/>
              </w:rPr>
              <w:fldChar w:fldCharType="end"/>
            </w:r>
          </w:hyperlink>
        </w:p>
        <w:p w14:paraId="30E29DAA" w14:textId="6269EE27" w:rsidR="00DF65F3" w:rsidRDefault="00870777">
          <w:pPr>
            <w:pStyle w:val="Spistreci2"/>
            <w:rPr>
              <w:rFonts w:asciiTheme="minorHAnsi" w:eastAsiaTheme="minorEastAsia" w:hAnsiTheme="minorHAnsi" w:cstheme="minorBidi"/>
              <w:sz w:val="22"/>
              <w:lang w:val="en-GB" w:eastAsia="en-GB"/>
            </w:rPr>
          </w:pPr>
          <w:hyperlink w:anchor="_Toc12533367" w:history="1">
            <w:r w:rsidR="00DF65F3" w:rsidRPr="004815D6">
              <w:rPr>
                <w:rStyle w:val="Hipercze"/>
              </w:rPr>
              <w:t>ROZDZIAŁ F — Pomoce wzrokowe</w:t>
            </w:r>
            <w:r w:rsidR="00DF65F3">
              <w:rPr>
                <w:webHidden/>
              </w:rPr>
              <w:tab/>
            </w:r>
            <w:r w:rsidR="00DF65F3">
              <w:rPr>
                <w:webHidden/>
              </w:rPr>
              <w:fldChar w:fldCharType="begin"/>
            </w:r>
            <w:r w:rsidR="00DF65F3">
              <w:rPr>
                <w:webHidden/>
              </w:rPr>
              <w:instrText xml:space="preserve"> PAGEREF _Toc12533367 \h </w:instrText>
            </w:r>
            <w:r w:rsidR="00DF65F3">
              <w:rPr>
                <w:webHidden/>
              </w:rPr>
            </w:r>
            <w:r w:rsidR="00DF65F3">
              <w:rPr>
                <w:webHidden/>
              </w:rPr>
              <w:fldChar w:fldCharType="separate"/>
            </w:r>
            <w:r w:rsidR="00F755B7">
              <w:rPr>
                <w:webHidden/>
              </w:rPr>
              <w:t>646</w:t>
            </w:r>
            <w:r w:rsidR="00DF65F3">
              <w:rPr>
                <w:webHidden/>
              </w:rPr>
              <w:fldChar w:fldCharType="end"/>
            </w:r>
          </w:hyperlink>
        </w:p>
        <w:p w14:paraId="00C75D80" w14:textId="430327F3" w:rsidR="00DF65F3" w:rsidRDefault="00870777">
          <w:pPr>
            <w:pStyle w:val="Spistreci4"/>
            <w:rPr>
              <w:sz w:val="22"/>
              <w:lang w:val="en-GB" w:eastAsia="en-GB"/>
            </w:rPr>
          </w:pPr>
          <w:hyperlink w:anchor="_Toc12533368" w:history="1">
            <w:r w:rsidR="00DF65F3" w:rsidRPr="004815D6">
              <w:rPr>
                <w:rStyle w:val="Hipercze"/>
              </w:rPr>
              <w:t>CS HPT-DSN.F.500     Wymagania ogólne</w:t>
            </w:r>
            <w:r w:rsidR="00DF65F3">
              <w:rPr>
                <w:webHidden/>
              </w:rPr>
              <w:tab/>
            </w:r>
            <w:r w:rsidR="00DF65F3">
              <w:rPr>
                <w:webHidden/>
              </w:rPr>
              <w:fldChar w:fldCharType="begin"/>
            </w:r>
            <w:r w:rsidR="00DF65F3">
              <w:rPr>
                <w:webHidden/>
              </w:rPr>
              <w:instrText xml:space="preserve"> PAGEREF _Toc12533368 \h </w:instrText>
            </w:r>
            <w:r w:rsidR="00DF65F3">
              <w:rPr>
                <w:webHidden/>
              </w:rPr>
            </w:r>
            <w:r w:rsidR="00DF65F3">
              <w:rPr>
                <w:webHidden/>
              </w:rPr>
              <w:fldChar w:fldCharType="separate"/>
            </w:r>
            <w:r w:rsidR="00F755B7">
              <w:rPr>
                <w:webHidden/>
              </w:rPr>
              <w:t>646</w:t>
            </w:r>
            <w:r w:rsidR="00DF65F3">
              <w:rPr>
                <w:webHidden/>
              </w:rPr>
              <w:fldChar w:fldCharType="end"/>
            </w:r>
          </w:hyperlink>
        </w:p>
        <w:p w14:paraId="7B5AA9B3" w14:textId="57EBD134" w:rsidR="00DF65F3" w:rsidRDefault="00870777">
          <w:pPr>
            <w:pStyle w:val="Spistreci6"/>
            <w:rPr>
              <w:sz w:val="22"/>
              <w:lang w:val="en-GB" w:eastAsia="en-GB"/>
            </w:rPr>
          </w:pPr>
          <w:hyperlink w:anchor="_Toc12533369" w:history="1">
            <w:r w:rsidR="00DF65F3" w:rsidRPr="004815D6">
              <w:rPr>
                <w:rStyle w:val="Hipercze"/>
              </w:rPr>
              <w:t xml:space="preserve">GM1 HPT-DSN.F.500     </w:t>
            </w:r>
            <w:r w:rsidR="00DF65F3" w:rsidRPr="004815D6">
              <w:rPr>
                <w:rStyle w:val="Hipercze"/>
                <w:iCs/>
              </w:rPr>
              <w:t>Wymagania</w:t>
            </w:r>
            <w:r w:rsidR="00DF65F3" w:rsidRPr="004815D6">
              <w:rPr>
                <w:rStyle w:val="Hipercze"/>
              </w:rPr>
              <w:t xml:space="preserve"> ogólne</w:t>
            </w:r>
            <w:r w:rsidR="00DF65F3">
              <w:rPr>
                <w:webHidden/>
              </w:rPr>
              <w:tab/>
            </w:r>
            <w:r w:rsidR="00DF65F3">
              <w:rPr>
                <w:webHidden/>
              </w:rPr>
              <w:fldChar w:fldCharType="begin"/>
            </w:r>
            <w:r w:rsidR="00DF65F3">
              <w:rPr>
                <w:webHidden/>
              </w:rPr>
              <w:instrText xml:space="preserve"> PAGEREF _Toc12533369 \h </w:instrText>
            </w:r>
            <w:r w:rsidR="00DF65F3">
              <w:rPr>
                <w:webHidden/>
              </w:rPr>
            </w:r>
            <w:r w:rsidR="00DF65F3">
              <w:rPr>
                <w:webHidden/>
              </w:rPr>
              <w:fldChar w:fldCharType="separate"/>
            </w:r>
            <w:r w:rsidR="00F755B7">
              <w:rPr>
                <w:webHidden/>
              </w:rPr>
              <w:t>646</w:t>
            </w:r>
            <w:r w:rsidR="00DF65F3">
              <w:rPr>
                <w:webHidden/>
              </w:rPr>
              <w:fldChar w:fldCharType="end"/>
            </w:r>
          </w:hyperlink>
        </w:p>
        <w:p w14:paraId="602D2CB1" w14:textId="16AD53FB" w:rsidR="00DF65F3" w:rsidRDefault="00870777">
          <w:pPr>
            <w:pStyle w:val="Spistreci4"/>
            <w:rPr>
              <w:sz w:val="22"/>
              <w:lang w:val="en-GB" w:eastAsia="en-GB"/>
            </w:rPr>
          </w:pPr>
          <w:hyperlink w:anchor="_Toc12533370" w:history="1">
            <w:r w:rsidR="00DF65F3" w:rsidRPr="004815D6">
              <w:rPr>
                <w:rStyle w:val="Hipercze"/>
              </w:rPr>
              <w:t>CS HPT-DSN.F.510     Wskaźnik kierunku wiatru</w:t>
            </w:r>
            <w:r w:rsidR="00DF65F3">
              <w:rPr>
                <w:webHidden/>
              </w:rPr>
              <w:tab/>
            </w:r>
            <w:r w:rsidR="00DF65F3">
              <w:rPr>
                <w:webHidden/>
              </w:rPr>
              <w:fldChar w:fldCharType="begin"/>
            </w:r>
            <w:r w:rsidR="00DF65F3">
              <w:rPr>
                <w:webHidden/>
              </w:rPr>
              <w:instrText xml:space="preserve"> PAGEREF _Toc12533370 \h </w:instrText>
            </w:r>
            <w:r w:rsidR="00DF65F3">
              <w:rPr>
                <w:webHidden/>
              </w:rPr>
            </w:r>
            <w:r w:rsidR="00DF65F3">
              <w:rPr>
                <w:webHidden/>
              </w:rPr>
              <w:fldChar w:fldCharType="separate"/>
            </w:r>
            <w:r w:rsidR="00F755B7">
              <w:rPr>
                <w:webHidden/>
              </w:rPr>
              <w:t>646</w:t>
            </w:r>
            <w:r w:rsidR="00DF65F3">
              <w:rPr>
                <w:webHidden/>
              </w:rPr>
              <w:fldChar w:fldCharType="end"/>
            </w:r>
          </w:hyperlink>
        </w:p>
        <w:p w14:paraId="401860A3" w14:textId="2919F87F" w:rsidR="00DF65F3" w:rsidRDefault="00870777">
          <w:pPr>
            <w:pStyle w:val="Spistreci6"/>
            <w:rPr>
              <w:sz w:val="22"/>
              <w:lang w:val="en-GB" w:eastAsia="en-GB"/>
            </w:rPr>
          </w:pPr>
          <w:hyperlink w:anchor="_Toc12533371" w:history="1">
            <w:r w:rsidR="00DF65F3" w:rsidRPr="004815D6">
              <w:rPr>
                <w:rStyle w:val="Hipercze"/>
              </w:rPr>
              <w:t>GM1 HPT-DSN.F.510     Wskaźnik kierunku wiatru</w:t>
            </w:r>
            <w:r w:rsidR="00DF65F3">
              <w:rPr>
                <w:webHidden/>
              </w:rPr>
              <w:tab/>
            </w:r>
            <w:r w:rsidR="00DF65F3">
              <w:rPr>
                <w:webHidden/>
              </w:rPr>
              <w:fldChar w:fldCharType="begin"/>
            </w:r>
            <w:r w:rsidR="00DF65F3">
              <w:rPr>
                <w:webHidden/>
              </w:rPr>
              <w:instrText xml:space="preserve"> PAGEREF _Toc12533371 \h </w:instrText>
            </w:r>
            <w:r w:rsidR="00DF65F3">
              <w:rPr>
                <w:webHidden/>
              </w:rPr>
            </w:r>
            <w:r w:rsidR="00DF65F3">
              <w:rPr>
                <w:webHidden/>
              </w:rPr>
              <w:fldChar w:fldCharType="separate"/>
            </w:r>
            <w:r w:rsidR="00F755B7">
              <w:rPr>
                <w:webHidden/>
              </w:rPr>
              <w:t>646</w:t>
            </w:r>
            <w:r w:rsidR="00DF65F3">
              <w:rPr>
                <w:webHidden/>
              </w:rPr>
              <w:fldChar w:fldCharType="end"/>
            </w:r>
          </w:hyperlink>
        </w:p>
        <w:p w14:paraId="02401AFF" w14:textId="259577F3" w:rsidR="00DF65F3" w:rsidRDefault="00870777">
          <w:pPr>
            <w:pStyle w:val="Spistreci4"/>
            <w:rPr>
              <w:sz w:val="22"/>
              <w:lang w:val="en-GB" w:eastAsia="en-GB"/>
            </w:rPr>
          </w:pPr>
          <w:hyperlink w:anchor="_Toc12533372" w:history="1">
            <w:r w:rsidR="00DF65F3" w:rsidRPr="004815D6">
              <w:rPr>
                <w:rStyle w:val="Hipercze"/>
              </w:rPr>
              <w:t>CS HPT-DSN.F.520     Znak identyfikacji lotniska dla śmigłowców</w:t>
            </w:r>
            <w:r w:rsidR="00DF65F3">
              <w:rPr>
                <w:webHidden/>
              </w:rPr>
              <w:tab/>
            </w:r>
            <w:r w:rsidR="00DF65F3">
              <w:rPr>
                <w:webHidden/>
              </w:rPr>
              <w:fldChar w:fldCharType="begin"/>
            </w:r>
            <w:r w:rsidR="00DF65F3">
              <w:rPr>
                <w:webHidden/>
              </w:rPr>
              <w:instrText xml:space="preserve"> PAGEREF _Toc12533372 \h </w:instrText>
            </w:r>
            <w:r w:rsidR="00DF65F3">
              <w:rPr>
                <w:webHidden/>
              </w:rPr>
            </w:r>
            <w:r w:rsidR="00DF65F3">
              <w:rPr>
                <w:webHidden/>
              </w:rPr>
              <w:fldChar w:fldCharType="separate"/>
            </w:r>
            <w:r w:rsidR="00F755B7">
              <w:rPr>
                <w:webHidden/>
              </w:rPr>
              <w:t>647</w:t>
            </w:r>
            <w:r w:rsidR="00DF65F3">
              <w:rPr>
                <w:webHidden/>
              </w:rPr>
              <w:fldChar w:fldCharType="end"/>
            </w:r>
          </w:hyperlink>
        </w:p>
        <w:p w14:paraId="70584A94" w14:textId="6DA3D1D4" w:rsidR="00DF65F3" w:rsidRDefault="00870777">
          <w:pPr>
            <w:pStyle w:val="Spistreci6"/>
            <w:rPr>
              <w:sz w:val="22"/>
              <w:lang w:val="en-GB" w:eastAsia="en-GB"/>
            </w:rPr>
          </w:pPr>
          <w:hyperlink w:anchor="_Toc12533373" w:history="1">
            <w:r w:rsidR="00DF65F3" w:rsidRPr="004815D6">
              <w:rPr>
                <w:rStyle w:val="Hipercze"/>
              </w:rPr>
              <w:t>GM1 HPT-DSN.F.520     Znak identyfikacji lotniska dla śmigłowców</w:t>
            </w:r>
            <w:r w:rsidR="00DF65F3">
              <w:rPr>
                <w:webHidden/>
              </w:rPr>
              <w:tab/>
            </w:r>
            <w:r w:rsidR="00DF65F3">
              <w:rPr>
                <w:webHidden/>
              </w:rPr>
              <w:fldChar w:fldCharType="begin"/>
            </w:r>
            <w:r w:rsidR="00DF65F3">
              <w:rPr>
                <w:webHidden/>
              </w:rPr>
              <w:instrText xml:space="preserve"> PAGEREF _Toc12533373 \h </w:instrText>
            </w:r>
            <w:r w:rsidR="00DF65F3">
              <w:rPr>
                <w:webHidden/>
              </w:rPr>
            </w:r>
            <w:r w:rsidR="00DF65F3">
              <w:rPr>
                <w:webHidden/>
              </w:rPr>
              <w:fldChar w:fldCharType="separate"/>
            </w:r>
            <w:r w:rsidR="00F755B7">
              <w:rPr>
                <w:webHidden/>
              </w:rPr>
              <w:t>649</w:t>
            </w:r>
            <w:r w:rsidR="00DF65F3">
              <w:rPr>
                <w:webHidden/>
              </w:rPr>
              <w:fldChar w:fldCharType="end"/>
            </w:r>
          </w:hyperlink>
        </w:p>
        <w:p w14:paraId="0631F47A" w14:textId="163AD7D1" w:rsidR="00DF65F3" w:rsidRDefault="00870777">
          <w:pPr>
            <w:pStyle w:val="Spistreci4"/>
            <w:rPr>
              <w:sz w:val="22"/>
              <w:lang w:val="en-GB" w:eastAsia="en-GB"/>
            </w:rPr>
          </w:pPr>
          <w:hyperlink w:anchor="_Toc12533374" w:history="1">
            <w:r w:rsidR="00DF65F3" w:rsidRPr="004815D6">
              <w:rPr>
                <w:rStyle w:val="Hipercze"/>
              </w:rPr>
              <w:t>CS HPT-DSN.F.530        Oznakowanie lub oznaczniki obwodu strefy podejścia końcowego i startu (FATO)</w:t>
            </w:r>
            <w:r w:rsidR="00DF65F3">
              <w:rPr>
                <w:webHidden/>
              </w:rPr>
              <w:tab/>
            </w:r>
            <w:r w:rsidR="00DF65F3">
              <w:rPr>
                <w:webHidden/>
              </w:rPr>
              <w:fldChar w:fldCharType="begin"/>
            </w:r>
            <w:r w:rsidR="00DF65F3">
              <w:rPr>
                <w:webHidden/>
              </w:rPr>
              <w:instrText xml:space="preserve"> PAGEREF _Toc12533374 \h </w:instrText>
            </w:r>
            <w:r w:rsidR="00DF65F3">
              <w:rPr>
                <w:webHidden/>
              </w:rPr>
            </w:r>
            <w:r w:rsidR="00DF65F3">
              <w:rPr>
                <w:webHidden/>
              </w:rPr>
              <w:fldChar w:fldCharType="separate"/>
            </w:r>
            <w:r w:rsidR="00F755B7">
              <w:rPr>
                <w:webHidden/>
              </w:rPr>
              <w:t>650</w:t>
            </w:r>
            <w:r w:rsidR="00DF65F3">
              <w:rPr>
                <w:webHidden/>
              </w:rPr>
              <w:fldChar w:fldCharType="end"/>
            </w:r>
          </w:hyperlink>
        </w:p>
        <w:p w14:paraId="457C954E" w14:textId="5277ED90" w:rsidR="00DF65F3" w:rsidRDefault="00870777">
          <w:pPr>
            <w:pStyle w:val="Spistreci6"/>
            <w:rPr>
              <w:sz w:val="22"/>
              <w:lang w:val="en-GB" w:eastAsia="en-GB"/>
            </w:rPr>
          </w:pPr>
          <w:hyperlink w:anchor="_Toc12533375" w:history="1">
            <w:r w:rsidR="00DF65F3" w:rsidRPr="004815D6">
              <w:rPr>
                <w:rStyle w:val="Hipercze"/>
              </w:rPr>
              <w:t>GM1 HPT-DSN.F.530     Oznakowanie lub oznaczniki obwodu strefy podejścia końcowego  i startu (FATO)</w:t>
            </w:r>
            <w:r w:rsidR="00DF65F3">
              <w:rPr>
                <w:webHidden/>
              </w:rPr>
              <w:tab/>
            </w:r>
            <w:r w:rsidR="00DF65F3">
              <w:rPr>
                <w:webHidden/>
              </w:rPr>
              <w:fldChar w:fldCharType="begin"/>
            </w:r>
            <w:r w:rsidR="00DF65F3">
              <w:rPr>
                <w:webHidden/>
              </w:rPr>
              <w:instrText xml:space="preserve"> PAGEREF _Toc12533375 \h </w:instrText>
            </w:r>
            <w:r w:rsidR="00DF65F3">
              <w:rPr>
                <w:webHidden/>
              </w:rPr>
            </w:r>
            <w:r w:rsidR="00DF65F3">
              <w:rPr>
                <w:webHidden/>
              </w:rPr>
              <w:fldChar w:fldCharType="separate"/>
            </w:r>
            <w:r w:rsidR="00F755B7">
              <w:rPr>
                <w:webHidden/>
              </w:rPr>
              <w:t>650</w:t>
            </w:r>
            <w:r w:rsidR="00DF65F3">
              <w:rPr>
                <w:webHidden/>
              </w:rPr>
              <w:fldChar w:fldCharType="end"/>
            </w:r>
          </w:hyperlink>
        </w:p>
        <w:p w14:paraId="5778B8E3" w14:textId="2EB4A43B" w:rsidR="00DF65F3" w:rsidRDefault="00870777">
          <w:pPr>
            <w:pStyle w:val="Spistreci4"/>
            <w:rPr>
              <w:sz w:val="22"/>
              <w:lang w:val="en-GB" w:eastAsia="en-GB"/>
            </w:rPr>
          </w:pPr>
          <w:hyperlink w:anchor="_Toc12533376" w:history="1">
            <w:r w:rsidR="00DF65F3" w:rsidRPr="004815D6">
              <w:rPr>
                <w:rStyle w:val="Hipercze"/>
              </w:rPr>
              <w:t>CS HPT-DSN.F.540        Oznakowanie identyfikacji strefy podejścia końcowego i startu (FATO)</w:t>
            </w:r>
            <w:r w:rsidR="00DF65F3">
              <w:rPr>
                <w:webHidden/>
              </w:rPr>
              <w:tab/>
            </w:r>
            <w:r w:rsidR="00DF65F3">
              <w:rPr>
                <w:webHidden/>
              </w:rPr>
              <w:fldChar w:fldCharType="begin"/>
            </w:r>
            <w:r w:rsidR="00DF65F3">
              <w:rPr>
                <w:webHidden/>
              </w:rPr>
              <w:instrText xml:space="preserve"> PAGEREF _Toc12533376 \h </w:instrText>
            </w:r>
            <w:r w:rsidR="00DF65F3">
              <w:rPr>
                <w:webHidden/>
              </w:rPr>
            </w:r>
            <w:r w:rsidR="00DF65F3">
              <w:rPr>
                <w:webHidden/>
              </w:rPr>
              <w:fldChar w:fldCharType="separate"/>
            </w:r>
            <w:r w:rsidR="00F755B7">
              <w:rPr>
                <w:webHidden/>
              </w:rPr>
              <w:t>651</w:t>
            </w:r>
            <w:r w:rsidR="00DF65F3">
              <w:rPr>
                <w:webHidden/>
              </w:rPr>
              <w:fldChar w:fldCharType="end"/>
            </w:r>
          </w:hyperlink>
        </w:p>
        <w:p w14:paraId="4D59B75A" w14:textId="0DD70F3C" w:rsidR="00DF65F3" w:rsidRDefault="00870777">
          <w:pPr>
            <w:pStyle w:val="Spistreci6"/>
            <w:rPr>
              <w:sz w:val="22"/>
              <w:lang w:val="en-GB" w:eastAsia="en-GB"/>
            </w:rPr>
          </w:pPr>
          <w:hyperlink w:anchor="_Toc12533377" w:history="1">
            <w:r w:rsidR="00DF65F3" w:rsidRPr="004815D6">
              <w:rPr>
                <w:rStyle w:val="Hipercze"/>
              </w:rPr>
              <w:t>GM1 HPT-DSN.F.540     Oznakowanie identyfikacji strefy podejścia końcowego i startu (FATO)</w:t>
            </w:r>
            <w:r w:rsidR="00DF65F3">
              <w:rPr>
                <w:webHidden/>
              </w:rPr>
              <w:tab/>
            </w:r>
            <w:r w:rsidR="00DF65F3">
              <w:rPr>
                <w:webHidden/>
              </w:rPr>
              <w:fldChar w:fldCharType="begin"/>
            </w:r>
            <w:r w:rsidR="00DF65F3">
              <w:rPr>
                <w:webHidden/>
              </w:rPr>
              <w:instrText xml:space="preserve"> PAGEREF _Toc12533377 \h </w:instrText>
            </w:r>
            <w:r w:rsidR="00DF65F3">
              <w:rPr>
                <w:webHidden/>
              </w:rPr>
            </w:r>
            <w:r w:rsidR="00DF65F3">
              <w:rPr>
                <w:webHidden/>
              </w:rPr>
              <w:fldChar w:fldCharType="separate"/>
            </w:r>
            <w:r w:rsidR="00F755B7">
              <w:rPr>
                <w:webHidden/>
              </w:rPr>
              <w:t>651</w:t>
            </w:r>
            <w:r w:rsidR="00DF65F3">
              <w:rPr>
                <w:webHidden/>
              </w:rPr>
              <w:fldChar w:fldCharType="end"/>
            </w:r>
          </w:hyperlink>
        </w:p>
        <w:p w14:paraId="05DBDE33" w14:textId="025F9E3F" w:rsidR="00DF65F3" w:rsidRDefault="00870777">
          <w:pPr>
            <w:pStyle w:val="Spistreci4"/>
            <w:rPr>
              <w:sz w:val="22"/>
              <w:lang w:val="en-GB" w:eastAsia="en-GB"/>
            </w:rPr>
          </w:pPr>
          <w:hyperlink w:anchor="_Toc12533378" w:history="1">
            <w:r w:rsidR="00DF65F3" w:rsidRPr="004815D6">
              <w:rPr>
                <w:rStyle w:val="Hipercze"/>
              </w:rPr>
              <w:t>CS HPT-DSN.F.550     Oznakowanie punktu celowania</w:t>
            </w:r>
            <w:r w:rsidR="00DF65F3">
              <w:rPr>
                <w:webHidden/>
              </w:rPr>
              <w:tab/>
            </w:r>
            <w:r w:rsidR="00DF65F3">
              <w:rPr>
                <w:webHidden/>
              </w:rPr>
              <w:fldChar w:fldCharType="begin"/>
            </w:r>
            <w:r w:rsidR="00DF65F3">
              <w:rPr>
                <w:webHidden/>
              </w:rPr>
              <w:instrText xml:space="preserve"> PAGEREF _Toc12533378 \h </w:instrText>
            </w:r>
            <w:r w:rsidR="00DF65F3">
              <w:rPr>
                <w:webHidden/>
              </w:rPr>
            </w:r>
            <w:r w:rsidR="00DF65F3">
              <w:rPr>
                <w:webHidden/>
              </w:rPr>
              <w:fldChar w:fldCharType="separate"/>
            </w:r>
            <w:r w:rsidR="00F755B7">
              <w:rPr>
                <w:webHidden/>
              </w:rPr>
              <w:t>652</w:t>
            </w:r>
            <w:r w:rsidR="00DF65F3">
              <w:rPr>
                <w:webHidden/>
              </w:rPr>
              <w:fldChar w:fldCharType="end"/>
            </w:r>
          </w:hyperlink>
        </w:p>
        <w:p w14:paraId="5EE81095" w14:textId="145BEAC3" w:rsidR="00DF65F3" w:rsidRDefault="00870777">
          <w:pPr>
            <w:pStyle w:val="Spistreci6"/>
            <w:rPr>
              <w:sz w:val="22"/>
              <w:lang w:val="en-GB" w:eastAsia="en-GB"/>
            </w:rPr>
          </w:pPr>
          <w:hyperlink w:anchor="_Toc12533379" w:history="1">
            <w:r w:rsidR="00DF65F3" w:rsidRPr="004815D6">
              <w:rPr>
                <w:rStyle w:val="Hipercze"/>
              </w:rPr>
              <w:t>GM1 HPT-DSN.F.550     Oznakowanie punktu celowania</w:t>
            </w:r>
            <w:r w:rsidR="00DF65F3">
              <w:rPr>
                <w:webHidden/>
              </w:rPr>
              <w:tab/>
            </w:r>
            <w:r w:rsidR="00DF65F3">
              <w:rPr>
                <w:webHidden/>
              </w:rPr>
              <w:fldChar w:fldCharType="begin"/>
            </w:r>
            <w:r w:rsidR="00DF65F3">
              <w:rPr>
                <w:webHidden/>
              </w:rPr>
              <w:instrText xml:space="preserve"> PAGEREF _Toc12533379 \h </w:instrText>
            </w:r>
            <w:r w:rsidR="00DF65F3">
              <w:rPr>
                <w:webHidden/>
              </w:rPr>
            </w:r>
            <w:r w:rsidR="00DF65F3">
              <w:rPr>
                <w:webHidden/>
              </w:rPr>
              <w:fldChar w:fldCharType="separate"/>
            </w:r>
            <w:r w:rsidR="00F755B7">
              <w:rPr>
                <w:webHidden/>
              </w:rPr>
              <w:t>653</w:t>
            </w:r>
            <w:r w:rsidR="00DF65F3">
              <w:rPr>
                <w:webHidden/>
              </w:rPr>
              <w:fldChar w:fldCharType="end"/>
            </w:r>
          </w:hyperlink>
        </w:p>
        <w:p w14:paraId="07D11DF7" w14:textId="20AFE672" w:rsidR="00DF65F3" w:rsidRDefault="00870777">
          <w:pPr>
            <w:pStyle w:val="Spistreci4"/>
            <w:rPr>
              <w:sz w:val="22"/>
              <w:lang w:val="en-GB" w:eastAsia="en-GB"/>
            </w:rPr>
          </w:pPr>
          <w:hyperlink w:anchor="_Toc12533380" w:history="1">
            <w:r w:rsidR="00DF65F3" w:rsidRPr="004815D6">
              <w:rPr>
                <w:rStyle w:val="Hipercze"/>
              </w:rPr>
              <w:t>CS HPT-DSN.F.560     Oznakowanie obwodu strefy przyziemienia i wznoszenia (TLOF)</w:t>
            </w:r>
            <w:r w:rsidR="00DF65F3">
              <w:rPr>
                <w:webHidden/>
              </w:rPr>
              <w:tab/>
            </w:r>
            <w:r w:rsidR="00DF65F3">
              <w:rPr>
                <w:webHidden/>
              </w:rPr>
              <w:fldChar w:fldCharType="begin"/>
            </w:r>
            <w:r w:rsidR="00DF65F3">
              <w:rPr>
                <w:webHidden/>
              </w:rPr>
              <w:instrText xml:space="preserve"> PAGEREF _Toc12533380 \h </w:instrText>
            </w:r>
            <w:r w:rsidR="00DF65F3">
              <w:rPr>
                <w:webHidden/>
              </w:rPr>
            </w:r>
            <w:r w:rsidR="00DF65F3">
              <w:rPr>
                <w:webHidden/>
              </w:rPr>
              <w:fldChar w:fldCharType="separate"/>
            </w:r>
            <w:r w:rsidR="00F755B7">
              <w:rPr>
                <w:webHidden/>
              </w:rPr>
              <w:t>653</w:t>
            </w:r>
            <w:r w:rsidR="00DF65F3">
              <w:rPr>
                <w:webHidden/>
              </w:rPr>
              <w:fldChar w:fldCharType="end"/>
            </w:r>
          </w:hyperlink>
        </w:p>
        <w:p w14:paraId="7C774D8A" w14:textId="024C727C" w:rsidR="00DF65F3" w:rsidRDefault="00870777">
          <w:pPr>
            <w:pStyle w:val="Spistreci6"/>
            <w:rPr>
              <w:sz w:val="22"/>
              <w:lang w:val="en-GB" w:eastAsia="en-GB"/>
            </w:rPr>
          </w:pPr>
          <w:hyperlink w:anchor="_Toc12533381" w:history="1">
            <w:r w:rsidR="00DF65F3" w:rsidRPr="004815D6">
              <w:rPr>
                <w:rStyle w:val="Hipercze"/>
              </w:rPr>
              <w:t>GM1 HPT-DSN.F.560     Oznakowanie obwodu strefy przyziemienia i wznoszenia (TLOF)</w:t>
            </w:r>
            <w:r w:rsidR="00DF65F3">
              <w:rPr>
                <w:webHidden/>
              </w:rPr>
              <w:tab/>
            </w:r>
            <w:r w:rsidR="00DF65F3">
              <w:rPr>
                <w:webHidden/>
              </w:rPr>
              <w:fldChar w:fldCharType="begin"/>
            </w:r>
            <w:r w:rsidR="00DF65F3">
              <w:rPr>
                <w:webHidden/>
              </w:rPr>
              <w:instrText xml:space="preserve"> PAGEREF _Toc12533381 \h </w:instrText>
            </w:r>
            <w:r w:rsidR="00DF65F3">
              <w:rPr>
                <w:webHidden/>
              </w:rPr>
            </w:r>
            <w:r w:rsidR="00DF65F3">
              <w:rPr>
                <w:webHidden/>
              </w:rPr>
              <w:fldChar w:fldCharType="separate"/>
            </w:r>
            <w:r w:rsidR="00F755B7">
              <w:rPr>
                <w:webHidden/>
              </w:rPr>
              <w:t>653</w:t>
            </w:r>
            <w:r w:rsidR="00DF65F3">
              <w:rPr>
                <w:webHidden/>
              </w:rPr>
              <w:fldChar w:fldCharType="end"/>
            </w:r>
          </w:hyperlink>
        </w:p>
        <w:p w14:paraId="07E6ABE9" w14:textId="68407AA0" w:rsidR="00DF65F3" w:rsidRDefault="00870777">
          <w:pPr>
            <w:pStyle w:val="Spistreci4"/>
            <w:rPr>
              <w:sz w:val="22"/>
              <w:lang w:val="en-GB" w:eastAsia="en-GB"/>
            </w:rPr>
          </w:pPr>
          <w:hyperlink w:anchor="_Toc12533382" w:history="1">
            <w:r w:rsidR="00DF65F3" w:rsidRPr="004815D6">
              <w:rPr>
                <w:rStyle w:val="Hipercze"/>
              </w:rPr>
              <w:t>CS HPT-DSN.F.570     Oznakowanie punktu przyziemienia/ustawienia</w:t>
            </w:r>
            <w:r w:rsidR="00DF65F3">
              <w:rPr>
                <w:webHidden/>
              </w:rPr>
              <w:tab/>
            </w:r>
            <w:r w:rsidR="00DF65F3">
              <w:rPr>
                <w:webHidden/>
              </w:rPr>
              <w:fldChar w:fldCharType="begin"/>
            </w:r>
            <w:r w:rsidR="00DF65F3">
              <w:rPr>
                <w:webHidden/>
              </w:rPr>
              <w:instrText xml:space="preserve"> PAGEREF _Toc12533382 \h </w:instrText>
            </w:r>
            <w:r w:rsidR="00DF65F3">
              <w:rPr>
                <w:webHidden/>
              </w:rPr>
            </w:r>
            <w:r w:rsidR="00DF65F3">
              <w:rPr>
                <w:webHidden/>
              </w:rPr>
              <w:fldChar w:fldCharType="separate"/>
            </w:r>
            <w:r w:rsidR="00F755B7">
              <w:rPr>
                <w:webHidden/>
              </w:rPr>
              <w:t>653</w:t>
            </w:r>
            <w:r w:rsidR="00DF65F3">
              <w:rPr>
                <w:webHidden/>
              </w:rPr>
              <w:fldChar w:fldCharType="end"/>
            </w:r>
          </w:hyperlink>
        </w:p>
        <w:p w14:paraId="375DB807" w14:textId="6CB28294" w:rsidR="00DF65F3" w:rsidRDefault="00870777">
          <w:pPr>
            <w:pStyle w:val="Spistreci6"/>
            <w:rPr>
              <w:sz w:val="22"/>
              <w:lang w:val="en-GB" w:eastAsia="en-GB"/>
            </w:rPr>
          </w:pPr>
          <w:hyperlink w:anchor="_Toc12533383" w:history="1">
            <w:r w:rsidR="00DF65F3" w:rsidRPr="004815D6">
              <w:rPr>
                <w:rStyle w:val="Hipercze"/>
              </w:rPr>
              <w:t>GM1 HPT-DSN.F.570     Oznakowanie punktu przyziemienia/ustawienia</w:t>
            </w:r>
            <w:r w:rsidR="00DF65F3">
              <w:rPr>
                <w:webHidden/>
              </w:rPr>
              <w:tab/>
            </w:r>
            <w:r w:rsidR="00DF65F3">
              <w:rPr>
                <w:webHidden/>
              </w:rPr>
              <w:fldChar w:fldCharType="begin"/>
            </w:r>
            <w:r w:rsidR="00DF65F3">
              <w:rPr>
                <w:webHidden/>
              </w:rPr>
              <w:instrText xml:space="preserve"> PAGEREF _Toc12533383 \h </w:instrText>
            </w:r>
            <w:r w:rsidR="00DF65F3">
              <w:rPr>
                <w:webHidden/>
              </w:rPr>
            </w:r>
            <w:r w:rsidR="00DF65F3">
              <w:rPr>
                <w:webHidden/>
              </w:rPr>
              <w:fldChar w:fldCharType="separate"/>
            </w:r>
            <w:r w:rsidR="00F755B7">
              <w:rPr>
                <w:webHidden/>
              </w:rPr>
              <w:t>654</w:t>
            </w:r>
            <w:r w:rsidR="00DF65F3">
              <w:rPr>
                <w:webHidden/>
              </w:rPr>
              <w:fldChar w:fldCharType="end"/>
            </w:r>
          </w:hyperlink>
        </w:p>
        <w:p w14:paraId="2169A8BB" w14:textId="4B5FB9BD" w:rsidR="00DF65F3" w:rsidRDefault="00870777">
          <w:pPr>
            <w:pStyle w:val="Spistreci4"/>
            <w:rPr>
              <w:sz w:val="22"/>
              <w:lang w:val="en-GB" w:eastAsia="en-GB"/>
            </w:rPr>
          </w:pPr>
          <w:hyperlink w:anchor="_Toc12533384" w:history="1">
            <w:r w:rsidR="00DF65F3" w:rsidRPr="004815D6">
              <w:rPr>
                <w:rStyle w:val="Hipercze"/>
              </w:rPr>
              <w:t>CS HPT-DSN.F.580     Oznakowanie nazwy lotniska dla śmigłowców</w:t>
            </w:r>
            <w:r w:rsidR="00DF65F3">
              <w:rPr>
                <w:webHidden/>
              </w:rPr>
              <w:tab/>
            </w:r>
            <w:r w:rsidR="00DF65F3">
              <w:rPr>
                <w:webHidden/>
              </w:rPr>
              <w:fldChar w:fldCharType="begin"/>
            </w:r>
            <w:r w:rsidR="00DF65F3">
              <w:rPr>
                <w:webHidden/>
              </w:rPr>
              <w:instrText xml:space="preserve"> PAGEREF _Toc12533384 \h </w:instrText>
            </w:r>
            <w:r w:rsidR="00DF65F3">
              <w:rPr>
                <w:webHidden/>
              </w:rPr>
            </w:r>
            <w:r w:rsidR="00DF65F3">
              <w:rPr>
                <w:webHidden/>
              </w:rPr>
              <w:fldChar w:fldCharType="separate"/>
            </w:r>
            <w:r w:rsidR="00F755B7">
              <w:rPr>
                <w:webHidden/>
              </w:rPr>
              <w:t>654</w:t>
            </w:r>
            <w:r w:rsidR="00DF65F3">
              <w:rPr>
                <w:webHidden/>
              </w:rPr>
              <w:fldChar w:fldCharType="end"/>
            </w:r>
          </w:hyperlink>
        </w:p>
        <w:p w14:paraId="6D7ACCA5" w14:textId="799EB789" w:rsidR="00DF65F3" w:rsidRDefault="00870777">
          <w:pPr>
            <w:pStyle w:val="Spistreci6"/>
            <w:rPr>
              <w:sz w:val="22"/>
              <w:lang w:val="en-GB" w:eastAsia="en-GB"/>
            </w:rPr>
          </w:pPr>
          <w:hyperlink w:anchor="_Toc12533385" w:history="1">
            <w:r w:rsidR="00DF65F3" w:rsidRPr="004815D6">
              <w:rPr>
                <w:rStyle w:val="Hipercze"/>
              </w:rPr>
              <w:t>GM1 HPT-DSN.F.580     Oznakowanie nazwy lotniska dla śmigłowców</w:t>
            </w:r>
            <w:r w:rsidR="00DF65F3">
              <w:rPr>
                <w:webHidden/>
              </w:rPr>
              <w:tab/>
            </w:r>
            <w:r w:rsidR="00DF65F3">
              <w:rPr>
                <w:webHidden/>
              </w:rPr>
              <w:fldChar w:fldCharType="begin"/>
            </w:r>
            <w:r w:rsidR="00DF65F3">
              <w:rPr>
                <w:webHidden/>
              </w:rPr>
              <w:instrText xml:space="preserve"> PAGEREF _Toc12533385 \h </w:instrText>
            </w:r>
            <w:r w:rsidR="00DF65F3">
              <w:rPr>
                <w:webHidden/>
              </w:rPr>
            </w:r>
            <w:r w:rsidR="00DF65F3">
              <w:rPr>
                <w:webHidden/>
              </w:rPr>
              <w:fldChar w:fldCharType="separate"/>
            </w:r>
            <w:r w:rsidR="00F755B7">
              <w:rPr>
                <w:webHidden/>
              </w:rPr>
              <w:t>654</w:t>
            </w:r>
            <w:r w:rsidR="00DF65F3">
              <w:rPr>
                <w:webHidden/>
              </w:rPr>
              <w:fldChar w:fldCharType="end"/>
            </w:r>
          </w:hyperlink>
        </w:p>
        <w:p w14:paraId="1B09D76C" w14:textId="22934E1B" w:rsidR="00DF65F3" w:rsidRDefault="00870777">
          <w:pPr>
            <w:pStyle w:val="Spistreci4"/>
            <w:rPr>
              <w:sz w:val="22"/>
              <w:lang w:val="en-GB" w:eastAsia="en-GB"/>
            </w:rPr>
          </w:pPr>
          <w:hyperlink w:anchor="_Toc12533386" w:history="1">
            <w:r w:rsidR="00DF65F3" w:rsidRPr="004815D6">
              <w:rPr>
                <w:rStyle w:val="Hipercze"/>
              </w:rPr>
              <w:t>CS HPT-DSN.F.590        Oznakowanie i oznaczniki dróg kołowania śmigłowców po ziemi</w:t>
            </w:r>
            <w:r w:rsidR="00DF65F3">
              <w:rPr>
                <w:webHidden/>
              </w:rPr>
              <w:tab/>
            </w:r>
            <w:r w:rsidR="00DF65F3">
              <w:rPr>
                <w:webHidden/>
              </w:rPr>
              <w:fldChar w:fldCharType="begin"/>
            </w:r>
            <w:r w:rsidR="00DF65F3">
              <w:rPr>
                <w:webHidden/>
              </w:rPr>
              <w:instrText xml:space="preserve"> PAGEREF _Toc12533386 \h </w:instrText>
            </w:r>
            <w:r w:rsidR="00DF65F3">
              <w:rPr>
                <w:webHidden/>
              </w:rPr>
            </w:r>
            <w:r w:rsidR="00DF65F3">
              <w:rPr>
                <w:webHidden/>
              </w:rPr>
              <w:fldChar w:fldCharType="separate"/>
            </w:r>
            <w:r w:rsidR="00F755B7">
              <w:rPr>
                <w:webHidden/>
              </w:rPr>
              <w:t>655</w:t>
            </w:r>
            <w:r w:rsidR="00DF65F3">
              <w:rPr>
                <w:webHidden/>
              </w:rPr>
              <w:fldChar w:fldCharType="end"/>
            </w:r>
          </w:hyperlink>
        </w:p>
        <w:p w14:paraId="6399F8EA" w14:textId="0A0F4648" w:rsidR="00DF65F3" w:rsidRDefault="00870777">
          <w:pPr>
            <w:pStyle w:val="Spistreci6"/>
            <w:rPr>
              <w:sz w:val="22"/>
              <w:lang w:val="en-GB" w:eastAsia="en-GB"/>
            </w:rPr>
          </w:pPr>
          <w:hyperlink w:anchor="_Toc12533387" w:history="1">
            <w:r w:rsidR="00DF65F3" w:rsidRPr="004815D6">
              <w:rPr>
                <w:rStyle w:val="Hipercze"/>
              </w:rPr>
              <w:t>GM1 HPT-DSN.F.590     Oznakowanie i oznaczniki dróg kołowania śmigłowców po ziemi</w:t>
            </w:r>
            <w:r w:rsidR="00DF65F3">
              <w:rPr>
                <w:webHidden/>
              </w:rPr>
              <w:tab/>
            </w:r>
            <w:r w:rsidR="00DF65F3">
              <w:rPr>
                <w:webHidden/>
              </w:rPr>
              <w:fldChar w:fldCharType="begin"/>
            </w:r>
            <w:r w:rsidR="00DF65F3">
              <w:rPr>
                <w:webHidden/>
              </w:rPr>
              <w:instrText xml:space="preserve"> PAGEREF _Toc12533387 \h </w:instrText>
            </w:r>
            <w:r w:rsidR="00DF65F3">
              <w:rPr>
                <w:webHidden/>
              </w:rPr>
            </w:r>
            <w:r w:rsidR="00DF65F3">
              <w:rPr>
                <w:webHidden/>
              </w:rPr>
              <w:fldChar w:fldCharType="separate"/>
            </w:r>
            <w:r w:rsidR="00F755B7">
              <w:rPr>
                <w:webHidden/>
              </w:rPr>
              <w:t>656</w:t>
            </w:r>
            <w:r w:rsidR="00DF65F3">
              <w:rPr>
                <w:webHidden/>
              </w:rPr>
              <w:fldChar w:fldCharType="end"/>
            </w:r>
          </w:hyperlink>
        </w:p>
        <w:p w14:paraId="24EF0911" w14:textId="58293D87" w:rsidR="00DF65F3" w:rsidRDefault="00870777">
          <w:pPr>
            <w:pStyle w:val="Spistreci4"/>
            <w:rPr>
              <w:sz w:val="22"/>
              <w:lang w:val="en-GB" w:eastAsia="en-GB"/>
            </w:rPr>
          </w:pPr>
          <w:hyperlink w:anchor="_Toc12533388" w:history="1">
            <w:r w:rsidR="00DF65F3" w:rsidRPr="004815D6">
              <w:rPr>
                <w:rStyle w:val="Hipercze"/>
              </w:rPr>
              <w:t>CS HPT-DSN.F.600        Oznakowanie i oznaczniki drogi kołowania śmigłowców w powietrzu</w:t>
            </w:r>
            <w:r w:rsidR="00DF65F3">
              <w:rPr>
                <w:webHidden/>
              </w:rPr>
              <w:tab/>
            </w:r>
            <w:r w:rsidR="00DF65F3">
              <w:rPr>
                <w:webHidden/>
              </w:rPr>
              <w:fldChar w:fldCharType="begin"/>
            </w:r>
            <w:r w:rsidR="00DF65F3">
              <w:rPr>
                <w:webHidden/>
              </w:rPr>
              <w:instrText xml:space="preserve"> PAGEREF _Toc12533388 \h </w:instrText>
            </w:r>
            <w:r w:rsidR="00DF65F3">
              <w:rPr>
                <w:webHidden/>
              </w:rPr>
            </w:r>
            <w:r w:rsidR="00DF65F3">
              <w:rPr>
                <w:webHidden/>
              </w:rPr>
              <w:fldChar w:fldCharType="separate"/>
            </w:r>
            <w:r w:rsidR="00F755B7">
              <w:rPr>
                <w:webHidden/>
              </w:rPr>
              <w:t>656</w:t>
            </w:r>
            <w:r w:rsidR="00DF65F3">
              <w:rPr>
                <w:webHidden/>
              </w:rPr>
              <w:fldChar w:fldCharType="end"/>
            </w:r>
          </w:hyperlink>
        </w:p>
        <w:p w14:paraId="013BA5C6" w14:textId="0EDC5E86" w:rsidR="00DF65F3" w:rsidRDefault="00870777">
          <w:pPr>
            <w:pStyle w:val="Spistreci6"/>
            <w:rPr>
              <w:sz w:val="22"/>
              <w:lang w:val="en-GB" w:eastAsia="en-GB"/>
            </w:rPr>
          </w:pPr>
          <w:hyperlink w:anchor="_Toc12533389" w:history="1">
            <w:r w:rsidR="00DF65F3" w:rsidRPr="004815D6">
              <w:rPr>
                <w:rStyle w:val="Hipercze"/>
              </w:rPr>
              <w:t>GM1 HPT-DSN.F.600     Oznakowanie i oznaczniki drogi kołowania śmigłowców   w powietrzu</w:t>
            </w:r>
            <w:r w:rsidR="00DF65F3">
              <w:rPr>
                <w:webHidden/>
              </w:rPr>
              <w:tab/>
            </w:r>
            <w:r w:rsidR="00DF65F3">
              <w:rPr>
                <w:webHidden/>
              </w:rPr>
              <w:fldChar w:fldCharType="begin"/>
            </w:r>
            <w:r w:rsidR="00DF65F3">
              <w:rPr>
                <w:webHidden/>
              </w:rPr>
              <w:instrText xml:space="preserve"> PAGEREF _Toc12533389 \h </w:instrText>
            </w:r>
            <w:r w:rsidR="00DF65F3">
              <w:rPr>
                <w:webHidden/>
              </w:rPr>
            </w:r>
            <w:r w:rsidR="00DF65F3">
              <w:rPr>
                <w:webHidden/>
              </w:rPr>
              <w:fldChar w:fldCharType="separate"/>
            </w:r>
            <w:r w:rsidR="00F755B7">
              <w:rPr>
                <w:webHidden/>
              </w:rPr>
              <w:t>657</w:t>
            </w:r>
            <w:r w:rsidR="00DF65F3">
              <w:rPr>
                <w:webHidden/>
              </w:rPr>
              <w:fldChar w:fldCharType="end"/>
            </w:r>
          </w:hyperlink>
        </w:p>
        <w:p w14:paraId="6853532D" w14:textId="53229A2D" w:rsidR="00DF65F3" w:rsidRDefault="00870777">
          <w:pPr>
            <w:pStyle w:val="Spistreci4"/>
            <w:rPr>
              <w:sz w:val="22"/>
              <w:lang w:val="en-GB" w:eastAsia="en-GB"/>
            </w:rPr>
          </w:pPr>
          <w:hyperlink w:anchor="_Toc12533390" w:history="1">
            <w:r w:rsidR="00DF65F3" w:rsidRPr="004815D6">
              <w:rPr>
                <w:rStyle w:val="Hipercze"/>
              </w:rPr>
              <w:t>CS HPT-DSN.F.610     Oznakowanie stanowiska postojowego śmigłowca</w:t>
            </w:r>
            <w:r w:rsidR="00DF65F3">
              <w:rPr>
                <w:webHidden/>
              </w:rPr>
              <w:tab/>
            </w:r>
            <w:r w:rsidR="00DF65F3">
              <w:rPr>
                <w:webHidden/>
              </w:rPr>
              <w:fldChar w:fldCharType="begin"/>
            </w:r>
            <w:r w:rsidR="00DF65F3">
              <w:rPr>
                <w:webHidden/>
              </w:rPr>
              <w:instrText xml:space="preserve"> PAGEREF _Toc12533390 \h </w:instrText>
            </w:r>
            <w:r w:rsidR="00DF65F3">
              <w:rPr>
                <w:webHidden/>
              </w:rPr>
            </w:r>
            <w:r w:rsidR="00DF65F3">
              <w:rPr>
                <w:webHidden/>
              </w:rPr>
              <w:fldChar w:fldCharType="separate"/>
            </w:r>
            <w:r w:rsidR="00F755B7">
              <w:rPr>
                <w:webHidden/>
              </w:rPr>
              <w:t>657</w:t>
            </w:r>
            <w:r w:rsidR="00DF65F3">
              <w:rPr>
                <w:webHidden/>
              </w:rPr>
              <w:fldChar w:fldCharType="end"/>
            </w:r>
          </w:hyperlink>
        </w:p>
        <w:p w14:paraId="5FAAD2AB" w14:textId="119C453E" w:rsidR="00DF65F3" w:rsidRDefault="00870777">
          <w:pPr>
            <w:pStyle w:val="Spistreci6"/>
            <w:rPr>
              <w:sz w:val="22"/>
              <w:lang w:val="en-GB" w:eastAsia="en-GB"/>
            </w:rPr>
          </w:pPr>
          <w:hyperlink w:anchor="_Toc12533391" w:history="1">
            <w:r w:rsidR="00DF65F3" w:rsidRPr="004815D6">
              <w:rPr>
                <w:rStyle w:val="Hipercze"/>
              </w:rPr>
              <w:t>GM1 HPT-DSN.F.610     Oznakowanie stanowiska postojowego śmigłowca</w:t>
            </w:r>
            <w:r w:rsidR="00DF65F3">
              <w:rPr>
                <w:webHidden/>
              </w:rPr>
              <w:tab/>
            </w:r>
            <w:r w:rsidR="00DF65F3">
              <w:rPr>
                <w:webHidden/>
              </w:rPr>
              <w:fldChar w:fldCharType="begin"/>
            </w:r>
            <w:r w:rsidR="00DF65F3">
              <w:rPr>
                <w:webHidden/>
              </w:rPr>
              <w:instrText xml:space="preserve"> PAGEREF _Toc12533391 \h </w:instrText>
            </w:r>
            <w:r w:rsidR="00DF65F3">
              <w:rPr>
                <w:webHidden/>
              </w:rPr>
            </w:r>
            <w:r w:rsidR="00DF65F3">
              <w:rPr>
                <w:webHidden/>
              </w:rPr>
              <w:fldChar w:fldCharType="separate"/>
            </w:r>
            <w:r w:rsidR="00F755B7">
              <w:rPr>
                <w:webHidden/>
              </w:rPr>
              <w:t>659</w:t>
            </w:r>
            <w:r w:rsidR="00DF65F3">
              <w:rPr>
                <w:webHidden/>
              </w:rPr>
              <w:fldChar w:fldCharType="end"/>
            </w:r>
          </w:hyperlink>
        </w:p>
        <w:p w14:paraId="3760CFF3" w14:textId="63F0FE34" w:rsidR="00DF65F3" w:rsidRDefault="00870777">
          <w:pPr>
            <w:pStyle w:val="Spistreci4"/>
            <w:rPr>
              <w:sz w:val="22"/>
              <w:lang w:val="en-GB" w:eastAsia="en-GB"/>
            </w:rPr>
          </w:pPr>
          <w:hyperlink w:anchor="_Toc12533392" w:history="1">
            <w:r w:rsidR="00DF65F3" w:rsidRPr="004815D6">
              <w:rPr>
                <w:rStyle w:val="Hipercze"/>
              </w:rPr>
              <w:t>CS HPT-DSN.F.620     Oznakowanie naprowadzania na ścieżkę lotu</w:t>
            </w:r>
            <w:r w:rsidR="00DF65F3">
              <w:rPr>
                <w:webHidden/>
              </w:rPr>
              <w:tab/>
            </w:r>
            <w:r w:rsidR="00DF65F3">
              <w:rPr>
                <w:webHidden/>
              </w:rPr>
              <w:fldChar w:fldCharType="begin"/>
            </w:r>
            <w:r w:rsidR="00DF65F3">
              <w:rPr>
                <w:webHidden/>
              </w:rPr>
              <w:instrText xml:space="preserve"> PAGEREF _Toc12533392 \h </w:instrText>
            </w:r>
            <w:r w:rsidR="00DF65F3">
              <w:rPr>
                <w:webHidden/>
              </w:rPr>
            </w:r>
            <w:r w:rsidR="00DF65F3">
              <w:rPr>
                <w:webHidden/>
              </w:rPr>
              <w:fldChar w:fldCharType="separate"/>
            </w:r>
            <w:r w:rsidR="00F755B7">
              <w:rPr>
                <w:webHidden/>
              </w:rPr>
              <w:t>660</w:t>
            </w:r>
            <w:r w:rsidR="00DF65F3">
              <w:rPr>
                <w:webHidden/>
              </w:rPr>
              <w:fldChar w:fldCharType="end"/>
            </w:r>
          </w:hyperlink>
        </w:p>
        <w:p w14:paraId="1816715A" w14:textId="6B4A30BC" w:rsidR="00DF65F3" w:rsidRDefault="00870777">
          <w:pPr>
            <w:pStyle w:val="Spistreci6"/>
            <w:rPr>
              <w:sz w:val="22"/>
              <w:lang w:val="en-GB" w:eastAsia="en-GB"/>
            </w:rPr>
          </w:pPr>
          <w:hyperlink w:anchor="_Toc12533393" w:history="1">
            <w:r w:rsidR="00DF65F3" w:rsidRPr="004815D6">
              <w:rPr>
                <w:rStyle w:val="Hipercze"/>
              </w:rPr>
              <w:t>GM1 HPT-DSN.F.620     Oznakowanie naprowadzania na ścieżkę lotu</w:t>
            </w:r>
            <w:r w:rsidR="00DF65F3">
              <w:rPr>
                <w:webHidden/>
              </w:rPr>
              <w:tab/>
            </w:r>
            <w:r w:rsidR="00DF65F3">
              <w:rPr>
                <w:webHidden/>
              </w:rPr>
              <w:fldChar w:fldCharType="begin"/>
            </w:r>
            <w:r w:rsidR="00DF65F3">
              <w:rPr>
                <w:webHidden/>
              </w:rPr>
              <w:instrText xml:space="preserve"> PAGEREF _Toc12533393 \h </w:instrText>
            </w:r>
            <w:r w:rsidR="00DF65F3">
              <w:rPr>
                <w:webHidden/>
              </w:rPr>
            </w:r>
            <w:r w:rsidR="00DF65F3">
              <w:rPr>
                <w:webHidden/>
              </w:rPr>
              <w:fldChar w:fldCharType="separate"/>
            </w:r>
            <w:r w:rsidR="00F755B7">
              <w:rPr>
                <w:webHidden/>
              </w:rPr>
              <w:t>661</w:t>
            </w:r>
            <w:r w:rsidR="00DF65F3">
              <w:rPr>
                <w:webHidden/>
              </w:rPr>
              <w:fldChar w:fldCharType="end"/>
            </w:r>
          </w:hyperlink>
        </w:p>
        <w:p w14:paraId="30073588" w14:textId="688BE966" w:rsidR="00DF65F3" w:rsidRDefault="00870777">
          <w:pPr>
            <w:pStyle w:val="Spistreci4"/>
            <w:rPr>
              <w:sz w:val="22"/>
              <w:lang w:val="en-GB" w:eastAsia="en-GB"/>
            </w:rPr>
          </w:pPr>
          <w:hyperlink w:anchor="_Toc12533394" w:history="1">
            <w:r w:rsidR="00DF65F3" w:rsidRPr="004815D6">
              <w:rPr>
                <w:rStyle w:val="Hipercze"/>
              </w:rPr>
              <w:t>CS HPT-DSN.F.630     System świateł podejścia</w:t>
            </w:r>
            <w:r w:rsidR="00DF65F3">
              <w:rPr>
                <w:webHidden/>
              </w:rPr>
              <w:tab/>
            </w:r>
            <w:r w:rsidR="00DF65F3">
              <w:rPr>
                <w:webHidden/>
              </w:rPr>
              <w:fldChar w:fldCharType="begin"/>
            </w:r>
            <w:r w:rsidR="00DF65F3">
              <w:rPr>
                <w:webHidden/>
              </w:rPr>
              <w:instrText xml:space="preserve"> PAGEREF _Toc12533394 \h </w:instrText>
            </w:r>
            <w:r w:rsidR="00DF65F3">
              <w:rPr>
                <w:webHidden/>
              </w:rPr>
            </w:r>
            <w:r w:rsidR="00DF65F3">
              <w:rPr>
                <w:webHidden/>
              </w:rPr>
              <w:fldChar w:fldCharType="separate"/>
            </w:r>
            <w:r w:rsidR="00F755B7">
              <w:rPr>
                <w:webHidden/>
              </w:rPr>
              <w:t>662</w:t>
            </w:r>
            <w:r w:rsidR="00DF65F3">
              <w:rPr>
                <w:webHidden/>
              </w:rPr>
              <w:fldChar w:fldCharType="end"/>
            </w:r>
          </w:hyperlink>
        </w:p>
        <w:p w14:paraId="1F9D5FDA" w14:textId="5DF59873" w:rsidR="00DF65F3" w:rsidRDefault="00870777">
          <w:pPr>
            <w:pStyle w:val="Spistreci6"/>
            <w:rPr>
              <w:sz w:val="22"/>
              <w:lang w:val="en-GB" w:eastAsia="en-GB"/>
            </w:rPr>
          </w:pPr>
          <w:hyperlink w:anchor="_Toc12533395" w:history="1">
            <w:r w:rsidR="00DF65F3" w:rsidRPr="004815D6">
              <w:rPr>
                <w:rStyle w:val="Hipercze"/>
              </w:rPr>
              <w:t>GM1 HPT-DSN.F.630     System świateł podejścia</w:t>
            </w:r>
            <w:r w:rsidR="00DF65F3">
              <w:rPr>
                <w:webHidden/>
              </w:rPr>
              <w:tab/>
            </w:r>
            <w:r w:rsidR="00DF65F3">
              <w:rPr>
                <w:webHidden/>
              </w:rPr>
              <w:fldChar w:fldCharType="begin"/>
            </w:r>
            <w:r w:rsidR="00DF65F3">
              <w:rPr>
                <w:webHidden/>
              </w:rPr>
              <w:instrText xml:space="preserve"> PAGEREF _Toc12533395 \h </w:instrText>
            </w:r>
            <w:r w:rsidR="00DF65F3">
              <w:rPr>
                <w:webHidden/>
              </w:rPr>
            </w:r>
            <w:r w:rsidR="00DF65F3">
              <w:rPr>
                <w:webHidden/>
              </w:rPr>
              <w:fldChar w:fldCharType="separate"/>
            </w:r>
            <w:r w:rsidR="00F755B7">
              <w:rPr>
                <w:webHidden/>
              </w:rPr>
              <w:t>662</w:t>
            </w:r>
            <w:r w:rsidR="00DF65F3">
              <w:rPr>
                <w:webHidden/>
              </w:rPr>
              <w:fldChar w:fldCharType="end"/>
            </w:r>
          </w:hyperlink>
        </w:p>
        <w:p w14:paraId="7372DF92" w14:textId="6ED16ED0" w:rsidR="00DF65F3" w:rsidRDefault="00870777">
          <w:pPr>
            <w:pStyle w:val="Spistreci4"/>
            <w:rPr>
              <w:sz w:val="22"/>
              <w:lang w:val="en-GB" w:eastAsia="en-GB"/>
            </w:rPr>
          </w:pPr>
          <w:hyperlink w:anchor="_Toc12533396" w:history="1">
            <w:r w:rsidR="00DF65F3" w:rsidRPr="004815D6">
              <w:rPr>
                <w:rStyle w:val="Hipercze"/>
              </w:rPr>
              <w:t>CS HPT-DSN.F.640     System świateł naprowadzania na ścieżkę lotu</w:t>
            </w:r>
            <w:r w:rsidR="00DF65F3">
              <w:rPr>
                <w:webHidden/>
              </w:rPr>
              <w:tab/>
            </w:r>
            <w:r w:rsidR="00DF65F3">
              <w:rPr>
                <w:webHidden/>
              </w:rPr>
              <w:fldChar w:fldCharType="begin"/>
            </w:r>
            <w:r w:rsidR="00DF65F3">
              <w:rPr>
                <w:webHidden/>
              </w:rPr>
              <w:instrText xml:space="preserve"> PAGEREF _Toc12533396 \h </w:instrText>
            </w:r>
            <w:r w:rsidR="00DF65F3">
              <w:rPr>
                <w:webHidden/>
              </w:rPr>
            </w:r>
            <w:r w:rsidR="00DF65F3">
              <w:rPr>
                <w:webHidden/>
              </w:rPr>
              <w:fldChar w:fldCharType="separate"/>
            </w:r>
            <w:r w:rsidR="00F755B7">
              <w:rPr>
                <w:webHidden/>
              </w:rPr>
              <w:t>663</w:t>
            </w:r>
            <w:r w:rsidR="00DF65F3">
              <w:rPr>
                <w:webHidden/>
              </w:rPr>
              <w:fldChar w:fldCharType="end"/>
            </w:r>
          </w:hyperlink>
        </w:p>
        <w:p w14:paraId="18F7D8C8" w14:textId="39A2205F" w:rsidR="00DF65F3" w:rsidRDefault="00870777">
          <w:pPr>
            <w:pStyle w:val="Spistreci6"/>
            <w:rPr>
              <w:sz w:val="22"/>
              <w:lang w:val="en-GB" w:eastAsia="en-GB"/>
            </w:rPr>
          </w:pPr>
          <w:hyperlink w:anchor="_Toc12533397" w:history="1">
            <w:r w:rsidR="00DF65F3" w:rsidRPr="004815D6">
              <w:rPr>
                <w:rStyle w:val="Hipercze"/>
              </w:rPr>
              <w:t>GM1 HPT-DSN.F.640     System świateł naprowadzania na ścieżkę lotu</w:t>
            </w:r>
            <w:r w:rsidR="00DF65F3">
              <w:rPr>
                <w:webHidden/>
              </w:rPr>
              <w:tab/>
            </w:r>
            <w:r w:rsidR="00DF65F3">
              <w:rPr>
                <w:webHidden/>
              </w:rPr>
              <w:fldChar w:fldCharType="begin"/>
            </w:r>
            <w:r w:rsidR="00DF65F3">
              <w:rPr>
                <w:webHidden/>
              </w:rPr>
              <w:instrText xml:space="preserve"> PAGEREF _Toc12533397 \h </w:instrText>
            </w:r>
            <w:r w:rsidR="00DF65F3">
              <w:rPr>
                <w:webHidden/>
              </w:rPr>
            </w:r>
            <w:r w:rsidR="00DF65F3">
              <w:rPr>
                <w:webHidden/>
              </w:rPr>
              <w:fldChar w:fldCharType="separate"/>
            </w:r>
            <w:r w:rsidR="00F755B7">
              <w:rPr>
                <w:webHidden/>
              </w:rPr>
              <w:t>663</w:t>
            </w:r>
            <w:r w:rsidR="00DF65F3">
              <w:rPr>
                <w:webHidden/>
              </w:rPr>
              <w:fldChar w:fldCharType="end"/>
            </w:r>
          </w:hyperlink>
        </w:p>
        <w:p w14:paraId="77442421" w14:textId="4766174E" w:rsidR="00DF65F3" w:rsidRDefault="00870777">
          <w:pPr>
            <w:pStyle w:val="Spistreci4"/>
            <w:rPr>
              <w:sz w:val="22"/>
              <w:lang w:val="en-GB" w:eastAsia="en-GB"/>
            </w:rPr>
          </w:pPr>
          <w:hyperlink w:anchor="_Toc12533398" w:history="1">
            <w:r w:rsidR="00DF65F3" w:rsidRPr="004815D6">
              <w:rPr>
                <w:rStyle w:val="Hipercze"/>
              </w:rPr>
              <w:t>CS HPT-DSN.F.650     Wzrokowy system naprowadzania</w:t>
            </w:r>
            <w:r w:rsidR="00DF65F3">
              <w:rPr>
                <w:webHidden/>
              </w:rPr>
              <w:tab/>
            </w:r>
            <w:r w:rsidR="00DF65F3">
              <w:rPr>
                <w:webHidden/>
              </w:rPr>
              <w:fldChar w:fldCharType="begin"/>
            </w:r>
            <w:r w:rsidR="00DF65F3">
              <w:rPr>
                <w:webHidden/>
              </w:rPr>
              <w:instrText xml:space="preserve"> PAGEREF _Toc12533398 \h </w:instrText>
            </w:r>
            <w:r w:rsidR="00DF65F3">
              <w:rPr>
                <w:webHidden/>
              </w:rPr>
            </w:r>
            <w:r w:rsidR="00DF65F3">
              <w:rPr>
                <w:webHidden/>
              </w:rPr>
              <w:fldChar w:fldCharType="separate"/>
            </w:r>
            <w:r w:rsidR="00F755B7">
              <w:rPr>
                <w:webHidden/>
              </w:rPr>
              <w:t>663</w:t>
            </w:r>
            <w:r w:rsidR="00DF65F3">
              <w:rPr>
                <w:webHidden/>
              </w:rPr>
              <w:fldChar w:fldCharType="end"/>
            </w:r>
          </w:hyperlink>
        </w:p>
        <w:p w14:paraId="0C2AFE07" w14:textId="2C9D180A" w:rsidR="00DF65F3" w:rsidRDefault="00870777">
          <w:pPr>
            <w:pStyle w:val="Spistreci6"/>
            <w:rPr>
              <w:sz w:val="22"/>
              <w:lang w:val="en-GB" w:eastAsia="en-GB"/>
            </w:rPr>
          </w:pPr>
          <w:hyperlink w:anchor="_Toc12533399" w:history="1">
            <w:r w:rsidR="00DF65F3" w:rsidRPr="004815D6">
              <w:rPr>
                <w:rStyle w:val="Hipercze"/>
              </w:rPr>
              <w:t>GM1 HPT-DSN.F.650     Wzrokowy system naprowadzania</w:t>
            </w:r>
            <w:r w:rsidR="00DF65F3">
              <w:rPr>
                <w:webHidden/>
              </w:rPr>
              <w:tab/>
            </w:r>
            <w:r w:rsidR="00DF65F3">
              <w:rPr>
                <w:webHidden/>
              </w:rPr>
              <w:fldChar w:fldCharType="begin"/>
            </w:r>
            <w:r w:rsidR="00DF65F3">
              <w:rPr>
                <w:webHidden/>
              </w:rPr>
              <w:instrText xml:space="preserve"> PAGEREF _Toc12533399 \h </w:instrText>
            </w:r>
            <w:r w:rsidR="00DF65F3">
              <w:rPr>
                <w:webHidden/>
              </w:rPr>
            </w:r>
            <w:r w:rsidR="00DF65F3">
              <w:rPr>
                <w:webHidden/>
              </w:rPr>
              <w:fldChar w:fldCharType="separate"/>
            </w:r>
            <w:r w:rsidR="00F755B7">
              <w:rPr>
                <w:webHidden/>
              </w:rPr>
              <w:t>668</w:t>
            </w:r>
            <w:r w:rsidR="00DF65F3">
              <w:rPr>
                <w:webHidden/>
              </w:rPr>
              <w:fldChar w:fldCharType="end"/>
            </w:r>
          </w:hyperlink>
        </w:p>
        <w:p w14:paraId="686005B8" w14:textId="7B3C1962" w:rsidR="00DF65F3" w:rsidRDefault="00870777">
          <w:pPr>
            <w:pStyle w:val="Spistreci4"/>
            <w:rPr>
              <w:sz w:val="22"/>
              <w:lang w:val="en-GB" w:eastAsia="en-GB"/>
            </w:rPr>
          </w:pPr>
          <w:hyperlink w:anchor="_Toc12533400" w:history="1">
            <w:r w:rsidR="00DF65F3" w:rsidRPr="004815D6">
              <w:rPr>
                <w:rStyle w:val="Hipercze"/>
              </w:rPr>
              <w:t>CS HPT-DSN.F.660     Wzrokowy wskaźnik ścieżki podejścia</w:t>
            </w:r>
            <w:r w:rsidR="00DF65F3">
              <w:rPr>
                <w:webHidden/>
              </w:rPr>
              <w:tab/>
            </w:r>
            <w:r w:rsidR="00DF65F3">
              <w:rPr>
                <w:webHidden/>
              </w:rPr>
              <w:fldChar w:fldCharType="begin"/>
            </w:r>
            <w:r w:rsidR="00DF65F3">
              <w:rPr>
                <w:webHidden/>
              </w:rPr>
              <w:instrText xml:space="preserve"> PAGEREF _Toc12533400 \h </w:instrText>
            </w:r>
            <w:r w:rsidR="00DF65F3">
              <w:rPr>
                <w:webHidden/>
              </w:rPr>
            </w:r>
            <w:r w:rsidR="00DF65F3">
              <w:rPr>
                <w:webHidden/>
              </w:rPr>
              <w:fldChar w:fldCharType="separate"/>
            </w:r>
            <w:r w:rsidR="00F755B7">
              <w:rPr>
                <w:webHidden/>
              </w:rPr>
              <w:t>668</w:t>
            </w:r>
            <w:r w:rsidR="00DF65F3">
              <w:rPr>
                <w:webHidden/>
              </w:rPr>
              <w:fldChar w:fldCharType="end"/>
            </w:r>
          </w:hyperlink>
        </w:p>
        <w:p w14:paraId="46C84001" w14:textId="57B0A664" w:rsidR="00DF65F3" w:rsidRDefault="00870777">
          <w:pPr>
            <w:pStyle w:val="Spistreci6"/>
            <w:rPr>
              <w:sz w:val="22"/>
              <w:lang w:val="en-GB" w:eastAsia="en-GB"/>
            </w:rPr>
          </w:pPr>
          <w:hyperlink w:anchor="_Toc12533401" w:history="1">
            <w:r w:rsidR="00DF65F3" w:rsidRPr="004815D6">
              <w:rPr>
                <w:rStyle w:val="Hipercze"/>
              </w:rPr>
              <w:t>GM1 HPT-DSN.F.660     Wzrokowy wskaźnik ścieżki podejścia</w:t>
            </w:r>
            <w:r w:rsidR="00DF65F3">
              <w:rPr>
                <w:webHidden/>
              </w:rPr>
              <w:tab/>
            </w:r>
            <w:r w:rsidR="00DF65F3">
              <w:rPr>
                <w:webHidden/>
              </w:rPr>
              <w:fldChar w:fldCharType="begin"/>
            </w:r>
            <w:r w:rsidR="00DF65F3">
              <w:rPr>
                <w:webHidden/>
              </w:rPr>
              <w:instrText xml:space="preserve"> PAGEREF _Toc12533401 \h </w:instrText>
            </w:r>
            <w:r w:rsidR="00DF65F3">
              <w:rPr>
                <w:webHidden/>
              </w:rPr>
            </w:r>
            <w:r w:rsidR="00DF65F3">
              <w:rPr>
                <w:webHidden/>
              </w:rPr>
              <w:fldChar w:fldCharType="separate"/>
            </w:r>
            <w:r w:rsidR="00F755B7">
              <w:rPr>
                <w:webHidden/>
              </w:rPr>
              <w:t>670</w:t>
            </w:r>
            <w:r w:rsidR="00DF65F3">
              <w:rPr>
                <w:webHidden/>
              </w:rPr>
              <w:fldChar w:fldCharType="end"/>
            </w:r>
          </w:hyperlink>
        </w:p>
        <w:p w14:paraId="0B4C503E" w14:textId="38140AAD" w:rsidR="00DF65F3" w:rsidRDefault="00870777">
          <w:pPr>
            <w:pStyle w:val="Spistreci4"/>
            <w:rPr>
              <w:sz w:val="22"/>
              <w:lang w:val="en-GB" w:eastAsia="en-GB"/>
            </w:rPr>
          </w:pPr>
          <w:hyperlink w:anchor="_Toc12533402" w:history="1">
            <w:r w:rsidR="00DF65F3" w:rsidRPr="004815D6">
              <w:rPr>
                <w:rStyle w:val="Hipercze"/>
              </w:rPr>
              <w:t>CS HPT-DSN.F.670        System świateł strefy podejścia końcowego i startu (FATO)</w:t>
            </w:r>
            <w:r w:rsidR="00DF65F3">
              <w:rPr>
                <w:webHidden/>
              </w:rPr>
              <w:tab/>
            </w:r>
            <w:r w:rsidR="00DF65F3">
              <w:rPr>
                <w:webHidden/>
              </w:rPr>
              <w:fldChar w:fldCharType="begin"/>
            </w:r>
            <w:r w:rsidR="00DF65F3">
              <w:rPr>
                <w:webHidden/>
              </w:rPr>
              <w:instrText xml:space="preserve"> PAGEREF _Toc12533402 \h </w:instrText>
            </w:r>
            <w:r w:rsidR="00DF65F3">
              <w:rPr>
                <w:webHidden/>
              </w:rPr>
            </w:r>
            <w:r w:rsidR="00DF65F3">
              <w:rPr>
                <w:webHidden/>
              </w:rPr>
              <w:fldChar w:fldCharType="separate"/>
            </w:r>
            <w:r w:rsidR="00F755B7">
              <w:rPr>
                <w:webHidden/>
              </w:rPr>
              <w:t>671</w:t>
            </w:r>
            <w:r w:rsidR="00DF65F3">
              <w:rPr>
                <w:webHidden/>
              </w:rPr>
              <w:fldChar w:fldCharType="end"/>
            </w:r>
          </w:hyperlink>
        </w:p>
        <w:p w14:paraId="09AF00E4" w14:textId="02549E66" w:rsidR="00DF65F3" w:rsidRDefault="00870777">
          <w:pPr>
            <w:pStyle w:val="Spistreci6"/>
            <w:rPr>
              <w:sz w:val="22"/>
              <w:lang w:val="en-GB" w:eastAsia="en-GB"/>
            </w:rPr>
          </w:pPr>
          <w:hyperlink w:anchor="_Toc12533403" w:history="1">
            <w:r w:rsidR="00DF65F3" w:rsidRPr="004815D6">
              <w:rPr>
                <w:rStyle w:val="Hipercze"/>
              </w:rPr>
              <w:t>GM1 HPT-DSN.F.670     System świateł strefy podejścia końcowego i startu (FATO)</w:t>
            </w:r>
            <w:r w:rsidR="00DF65F3">
              <w:rPr>
                <w:webHidden/>
              </w:rPr>
              <w:tab/>
            </w:r>
            <w:r w:rsidR="00DF65F3">
              <w:rPr>
                <w:webHidden/>
              </w:rPr>
              <w:fldChar w:fldCharType="begin"/>
            </w:r>
            <w:r w:rsidR="00DF65F3">
              <w:rPr>
                <w:webHidden/>
              </w:rPr>
              <w:instrText xml:space="preserve"> PAGEREF _Toc12533403 \h </w:instrText>
            </w:r>
            <w:r w:rsidR="00DF65F3">
              <w:rPr>
                <w:webHidden/>
              </w:rPr>
            </w:r>
            <w:r w:rsidR="00DF65F3">
              <w:rPr>
                <w:webHidden/>
              </w:rPr>
              <w:fldChar w:fldCharType="separate"/>
            </w:r>
            <w:r w:rsidR="00F755B7">
              <w:rPr>
                <w:webHidden/>
              </w:rPr>
              <w:t>671</w:t>
            </w:r>
            <w:r w:rsidR="00DF65F3">
              <w:rPr>
                <w:webHidden/>
              </w:rPr>
              <w:fldChar w:fldCharType="end"/>
            </w:r>
          </w:hyperlink>
        </w:p>
        <w:p w14:paraId="19C1DE4E" w14:textId="4A960F68" w:rsidR="00DF65F3" w:rsidRDefault="00870777">
          <w:pPr>
            <w:pStyle w:val="Spistreci4"/>
            <w:rPr>
              <w:sz w:val="22"/>
              <w:lang w:val="en-GB" w:eastAsia="en-GB"/>
            </w:rPr>
          </w:pPr>
          <w:hyperlink w:anchor="_Toc12533404" w:history="1">
            <w:r w:rsidR="00DF65F3" w:rsidRPr="004815D6">
              <w:rPr>
                <w:rStyle w:val="Hipercze"/>
              </w:rPr>
              <w:t>CS HPT-DSN.F.680     Światła punktu celowania</w:t>
            </w:r>
            <w:r w:rsidR="00DF65F3">
              <w:rPr>
                <w:webHidden/>
              </w:rPr>
              <w:tab/>
            </w:r>
            <w:r w:rsidR="00DF65F3">
              <w:rPr>
                <w:webHidden/>
              </w:rPr>
              <w:fldChar w:fldCharType="begin"/>
            </w:r>
            <w:r w:rsidR="00DF65F3">
              <w:rPr>
                <w:webHidden/>
              </w:rPr>
              <w:instrText xml:space="preserve"> PAGEREF _Toc12533404 \h </w:instrText>
            </w:r>
            <w:r w:rsidR="00DF65F3">
              <w:rPr>
                <w:webHidden/>
              </w:rPr>
            </w:r>
            <w:r w:rsidR="00DF65F3">
              <w:rPr>
                <w:webHidden/>
              </w:rPr>
              <w:fldChar w:fldCharType="separate"/>
            </w:r>
            <w:r w:rsidR="00F755B7">
              <w:rPr>
                <w:webHidden/>
              </w:rPr>
              <w:t>671</w:t>
            </w:r>
            <w:r w:rsidR="00DF65F3">
              <w:rPr>
                <w:webHidden/>
              </w:rPr>
              <w:fldChar w:fldCharType="end"/>
            </w:r>
          </w:hyperlink>
        </w:p>
        <w:p w14:paraId="3D7A2802" w14:textId="39D70EE6" w:rsidR="00DF65F3" w:rsidRDefault="00870777">
          <w:pPr>
            <w:pStyle w:val="Spistreci6"/>
            <w:rPr>
              <w:sz w:val="22"/>
              <w:lang w:val="en-GB" w:eastAsia="en-GB"/>
            </w:rPr>
          </w:pPr>
          <w:hyperlink w:anchor="_Toc12533405" w:history="1">
            <w:r w:rsidR="00DF65F3" w:rsidRPr="004815D6">
              <w:rPr>
                <w:rStyle w:val="Hipercze"/>
              </w:rPr>
              <w:t>GM1 HPT-DSN.F.680     Światła punktu celowania</w:t>
            </w:r>
            <w:r w:rsidR="00DF65F3">
              <w:rPr>
                <w:webHidden/>
              </w:rPr>
              <w:tab/>
            </w:r>
            <w:r w:rsidR="00DF65F3">
              <w:rPr>
                <w:webHidden/>
              </w:rPr>
              <w:fldChar w:fldCharType="begin"/>
            </w:r>
            <w:r w:rsidR="00DF65F3">
              <w:rPr>
                <w:webHidden/>
              </w:rPr>
              <w:instrText xml:space="preserve"> PAGEREF _Toc12533405 \h </w:instrText>
            </w:r>
            <w:r w:rsidR="00DF65F3">
              <w:rPr>
                <w:webHidden/>
              </w:rPr>
            </w:r>
            <w:r w:rsidR="00DF65F3">
              <w:rPr>
                <w:webHidden/>
              </w:rPr>
              <w:fldChar w:fldCharType="separate"/>
            </w:r>
            <w:r w:rsidR="00F755B7">
              <w:rPr>
                <w:webHidden/>
              </w:rPr>
              <w:t>672</w:t>
            </w:r>
            <w:r w:rsidR="00DF65F3">
              <w:rPr>
                <w:webHidden/>
              </w:rPr>
              <w:fldChar w:fldCharType="end"/>
            </w:r>
          </w:hyperlink>
        </w:p>
        <w:p w14:paraId="125DAE1E" w14:textId="21406DDA" w:rsidR="00DF65F3" w:rsidRDefault="00870777">
          <w:pPr>
            <w:pStyle w:val="Spistreci4"/>
            <w:rPr>
              <w:sz w:val="22"/>
              <w:lang w:val="en-GB" w:eastAsia="en-GB"/>
            </w:rPr>
          </w:pPr>
          <w:hyperlink w:anchor="_Toc12533406" w:history="1">
            <w:r w:rsidR="00DF65F3" w:rsidRPr="004815D6">
              <w:rPr>
                <w:rStyle w:val="Hipercze"/>
              </w:rPr>
              <w:t>CS HPT-DSN.F.690     System świateł strefy przyziemienia i wznoszenia (TLOF)</w:t>
            </w:r>
            <w:r w:rsidR="00DF65F3">
              <w:rPr>
                <w:webHidden/>
              </w:rPr>
              <w:tab/>
            </w:r>
            <w:r w:rsidR="00DF65F3">
              <w:rPr>
                <w:webHidden/>
              </w:rPr>
              <w:fldChar w:fldCharType="begin"/>
            </w:r>
            <w:r w:rsidR="00DF65F3">
              <w:rPr>
                <w:webHidden/>
              </w:rPr>
              <w:instrText xml:space="preserve"> PAGEREF _Toc12533406 \h </w:instrText>
            </w:r>
            <w:r w:rsidR="00DF65F3">
              <w:rPr>
                <w:webHidden/>
              </w:rPr>
            </w:r>
            <w:r w:rsidR="00DF65F3">
              <w:rPr>
                <w:webHidden/>
              </w:rPr>
              <w:fldChar w:fldCharType="separate"/>
            </w:r>
            <w:r w:rsidR="00F755B7">
              <w:rPr>
                <w:webHidden/>
              </w:rPr>
              <w:t>672</w:t>
            </w:r>
            <w:r w:rsidR="00DF65F3">
              <w:rPr>
                <w:webHidden/>
              </w:rPr>
              <w:fldChar w:fldCharType="end"/>
            </w:r>
          </w:hyperlink>
        </w:p>
        <w:p w14:paraId="2EED8320" w14:textId="35C111DD" w:rsidR="00DF65F3" w:rsidRDefault="00870777">
          <w:pPr>
            <w:pStyle w:val="Spistreci6"/>
            <w:rPr>
              <w:sz w:val="22"/>
              <w:lang w:val="en-GB" w:eastAsia="en-GB"/>
            </w:rPr>
          </w:pPr>
          <w:hyperlink w:anchor="_Toc12533407" w:history="1">
            <w:r w:rsidR="00DF65F3" w:rsidRPr="004815D6">
              <w:rPr>
                <w:rStyle w:val="Hipercze"/>
              </w:rPr>
              <w:t>GM1 HPT-DSN.F.690     System świateł strefy przyziemienia i wznoszenia (TLOF)</w:t>
            </w:r>
            <w:r w:rsidR="00DF65F3">
              <w:rPr>
                <w:webHidden/>
              </w:rPr>
              <w:tab/>
            </w:r>
            <w:r w:rsidR="00DF65F3">
              <w:rPr>
                <w:webHidden/>
              </w:rPr>
              <w:fldChar w:fldCharType="begin"/>
            </w:r>
            <w:r w:rsidR="00DF65F3">
              <w:rPr>
                <w:webHidden/>
              </w:rPr>
              <w:instrText xml:space="preserve"> PAGEREF _Toc12533407 \h </w:instrText>
            </w:r>
            <w:r w:rsidR="00DF65F3">
              <w:rPr>
                <w:webHidden/>
              </w:rPr>
            </w:r>
            <w:r w:rsidR="00DF65F3">
              <w:rPr>
                <w:webHidden/>
              </w:rPr>
              <w:fldChar w:fldCharType="separate"/>
            </w:r>
            <w:r w:rsidR="00F755B7">
              <w:rPr>
                <w:webHidden/>
              </w:rPr>
              <w:t>674</w:t>
            </w:r>
            <w:r w:rsidR="00DF65F3">
              <w:rPr>
                <w:webHidden/>
              </w:rPr>
              <w:fldChar w:fldCharType="end"/>
            </w:r>
          </w:hyperlink>
        </w:p>
        <w:p w14:paraId="68CC2E60" w14:textId="3A3993FD" w:rsidR="00DF65F3" w:rsidRDefault="00870777">
          <w:pPr>
            <w:pStyle w:val="Spistreci4"/>
            <w:rPr>
              <w:sz w:val="22"/>
              <w:lang w:val="en-GB" w:eastAsia="en-GB"/>
            </w:rPr>
          </w:pPr>
          <w:hyperlink w:anchor="_Toc12533408" w:history="1">
            <w:r w:rsidR="00DF65F3" w:rsidRPr="004815D6">
              <w:rPr>
                <w:rStyle w:val="Hipercze"/>
              </w:rPr>
              <w:t>CS HPT-DSN.F.700     Światła drogi kołowania</w:t>
            </w:r>
            <w:r w:rsidR="00DF65F3">
              <w:rPr>
                <w:webHidden/>
              </w:rPr>
              <w:tab/>
            </w:r>
            <w:r w:rsidR="00DF65F3">
              <w:rPr>
                <w:webHidden/>
              </w:rPr>
              <w:fldChar w:fldCharType="begin"/>
            </w:r>
            <w:r w:rsidR="00DF65F3">
              <w:rPr>
                <w:webHidden/>
              </w:rPr>
              <w:instrText xml:space="preserve"> PAGEREF _Toc12533408 \h </w:instrText>
            </w:r>
            <w:r w:rsidR="00DF65F3">
              <w:rPr>
                <w:webHidden/>
              </w:rPr>
            </w:r>
            <w:r w:rsidR="00DF65F3">
              <w:rPr>
                <w:webHidden/>
              </w:rPr>
              <w:fldChar w:fldCharType="separate"/>
            </w:r>
            <w:r w:rsidR="00F755B7">
              <w:rPr>
                <w:webHidden/>
              </w:rPr>
              <w:t>674</w:t>
            </w:r>
            <w:r w:rsidR="00DF65F3">
              <w:rPr>
                <w:webHidden/>
              </w:rPr>
              <w:fldChar w:fldCharType="end"/>
            </w:r>
          </w:hyperlink>
        </w:p>
        <w:p w14:paraId="7C1C0B36" w14:textId="69A42C4D" w:rsidR="00DF65F3" w:rsidRDefault="00870777">
          <w:pPr>
            <w:pStyle w:val="Spistreci6"/>
            <w:rPr>
              <w:sz w:val="22"/>
              <w:lang w:val="en-GB" w:eastAsia="en-GB"/>
            </w:rPr>
          </w:pPr>
          <w:hyperlink w:anchor="_Toc12533409" w:history="1">
            <w:r w:rsidR="00DF65F3" w:rsidRPr="004815D6">
              <w:rPr>
                <w:rStyle w:val="Hipercze"/>
              </w:rPr>
              <w:t>GM1 HPT-DSN.F.700     Światła drogi kołowania</w:t>
            </w:r>
            <w:r w:rsidR="00DF65F3">
              <w:rPr>
                <w:webHidden/>
              </w:rPr>
              <w:tab/>
            </w:r>
            <w:r w:rsidR="00DF65F3">
              <w:rPr>
                <w:webHidden/>
              </w:rPr>
              <w:fldChar w:fldCharType="begin"/>
            </w:r>
            <w:r w:rsidR="00DF65F3">
              <w:rPr>
                <w:webHidden/>
              </w:rPr>
              <w:instrText xml:space="preserve"> PAGEREF _Toc12533409 \h </w:instrText>
            </w:r>
            <w:r w:rsidR="00DF65F3">
              <w:rPr>
                <w:webHidden/>
              </w:rPr>
            </w:r>
            <w:r w:rsidR="00DF65F3">
              <w:rPr>
                <w:webHidden/>
              </w:rPr>
              <w:fldChar w:fldCharType="separate"/>
            </w:r>
            <w:r w:rsidR="00F755B7">
              <w:rPr>
                <w:webHidden/>
              </w:rPr>
              <w:t>675</w:t>
            </w:r>
            <w:r w:rsidR="00DF65F3">
              <w:rPr>
                <w:webHidden/>
              </w:rPr>
              <w:fldChar w:fldCharType="end"/>
            </w:r>
          </w:hyperlink>
        </w:p>
        <w:p w14:paraId="5AE71DDD" w14:textId="0FF953C0" w:rsidR="00DF65F3" w:rsidRDefault="00870777">
          <w:pPr>
            <w:pStyle w:val="Spistreci4"/>
            <w:rPr>
              <w:sz w:val="22"/>
              <w:lang w:val="en-GB" w:eastAsia="en-GB"/>
            </w:rPr>
          </w:pPr>
          <w:hyperlink w:anchor="_Toc12533410" w:history="1">
            <w:r w:rsidR="00DF65F3" w:rsidRPr="004815D6">
              <w:rPr>
                <w:rStyle w:val="Hipercze"/>
              </w:rPr>
              <w:t>CS HPT-DSN.F.710     Pomoce wzrokowe do oznaczania przeszkód</w:t>
            </w:r>
            <w:r w:rsidR="00DF65F3">
              <w:rPr>
                <w:webHidden/>
              </w:rPr>
              <w:tab/>
            </w:r>
            <w:r w:rsidR="00DF65F3">
              <w:rPr>
                <w:webHidden/>
              </w:rPr>
              <w:fldChar w:fldCharType="begin"/>
            </w:r>
            <w:r w:rsidR="00DF65F3">
              <w:rPr>
                <w:webHidden/>
              </w:rPr>
              <w:instrText xml:space="preserve"> PAGEREF _Toc12533410 \h </w:instrText>
            </w:r>
            <w:r w:rsidR="00DF65F3">
              <w:rPr>
                <w:webHidden/>
              </w:rPr>
            </w:r>
            <w:r w:rsidR="00DF65F3">
              <w:rPr>
                <w:webHidden/>
              </w:rPr>
              <w:fldChar w:fldCharType="separate"/>
            </w:r>
            <w:r w:rsidR="00F755B7">
              <w:rPr>
                <w:webHidden/>
              </w:rPr>
              <w:t>675</w:t>
            </w:r>
            <w:r w:rsidR="00DF65F3">
              <w:rPr>
                <w:webHidden/>
              </w:rPr>
              <w:fldChar w:fldCharType="end"/>
            </w:r>
          </w:hyperlink>
        </w:p>
        <w:p w14:paraId="6F717BE0" w14:textId="2B59606A" w:rsidR="00DF65F3" w:rsidRDefault="00870777">
          <w:pPr>
            <w:pStyle w:val="Spistreci6"/>
            <w:rPr>
              <w:sz w:val="22"/>
              <w:lang w:val="en-GB" w:eastAsia="en-GB"/>
            </w:rPr>
          </w:pPr>
          <w:hyperlink w:anchor="_Toc12533411" w:history="1">
            <w:r w:rsidR="00DF65F3" w:rsidRPr="004815D6">
              <w:rPr>
                <w:rStyle w:val="Hipercze"/>
              </w:rPr>
              <w:t>GM1 HPT-DSN.F.710     Pomoce wzrokowe do oznaczania przeszkód</w:t>
            </w:r>
            <w:r w:rsidR="00DF65F3">
              <w:rPr>
                <w:webHidden/>
              </w:rPr>
              <w:tab/>
            </w:r>
            <w:r w:rsidR="00DF65F3">
              <w:rPr>
                <w:webHidden/>
              </w:rPr>
              <w:fldChar w:fldCharType="begin"/>
            </w:r>
            <w:r w:rsidR="00DF65F3">
              <w:rPr>
                <w:webHidden/>
              </w:rPr>
              <w:instrText xml:space="preserve"> PAGEREF _Toc12533411 \h </w:instrText>
            </w:r>
            <w:r w:rsidR="00DF65F3">
              <w:rPr>
                <w:webHidden/>
              </w:rPr>
            </w:r>
            <w:r w:rsidR="00DF65F3">
              <w:rPr>
                <w:webHidden/>
              </w:rPr>
              <w:fldChar w:fldCharType="separate"/>
            </w:r>
            <w:r w:rsidR="00F755B7">
              <w:rPr>
                <w:webHidden/>
              </w:rPr>
              <w:t>675</w:t>
            </w:r>
            <w:r w:rsidR="00DF65F3">
              <w:rPr>
                <w:webHidden/>
              </w:rPr>
              <w:fldChar w:fldCharType="end"/>
            </w:r>
          </w:hyperlink>
        </w:p>
        <w:p w14:paraId="6B828AAE" w14:textId="42659F60" w:rsidR="00DB0DD7" w:rsidRPr="009E064B" w:rsidRDefault="00F7725B" w:rsidP="00F7725B">
          <w:pPr>
            <w:pStyle w:val="Spistreci2"/>
          </w:pPr>
          <w:r w:rsidRPr="009E064B">
            <w:rPr>
              <w:rFonts w:asciiTheme="minorHAnsi" w:hAnsiTheme="minorHAnsi"/>
              <w:noProof w:val="0"/>
              <w:szCs w:val="20"/>
            </w:rPr>
            <w:fldChar w:fldCharType="end"/>
          </w:r>
        </w:p>
      </w:sdtContent>
    </w:sdt>
    <w:p w14:paraId="0A0F28AE" w14:textId="77777777" w:rsidR="00DB0DD7" w:rsidRPr="009E064B" w:rsidRDefault="00DB0DD7" w:rsidP="00B06A9A">
      <w:pPr>
        <w:ind w:right="-2"/>
        <w:rPr>
          <w:rFonts w:asciiTheme="minorHAnsi" w:hAnsiTheme="minorHAnsi" w:cstheme="minorHAnsi"/>
          <w:szCs w:val="20"/>
        </w:rPr>
      </w:pPr>
    </w:p>
    <w:p w14:paraId="02984B3E" w14:textId="77777777" w:rsidR="00DB0DD7" w:rsidRPr="009E064B" w:rsidRDefault="00DB0DD7" w:rsidP="00B06A9A">
      <w:pPr>
        <w:ind w:right="-2"/>
        <w:rPr>
          <w:rFonts w:asciiTheme="minorHAnsi" w:hAnsiTheme="minorHAnsi" w:cstheme="minorHAnsi"/>
          <w:szCs w:val="20"/>
        </w:rPr>
      </w:pPr>
    </w:p>
    <w:p w14:paraId="278B4D8F" w14:textId="77777777" w:rsidR="008154E6" w:rsidRPr="009E064B" w:rsidRDefault="008154E6" w:rsidP="00B06A9A">
      <w:pPr>
        <w:ind w:right="-2"/>
        <w:rPr>
          <w:rFonts w:asciiTheme="minorHAnsi" w:hAnsiTheme="minorHAnsi" w:cstheme="minorHAnsi"/>
          <w:szCs w:val="20"/>
        </w:rPr>
        <w:sectPr w:rsidR="008154E6" w:rsidRPr="009E064B" w:rsidSect="00AE1280">
          <w:headerReference w:type="default" r:id="rId35"/>
          <w:footerReference w:type="default" r:id="rId36"/>
          <w:headerReference w:type="first" r:id="rId37"/>
          <w:footerReference w:type="first" r:id="rId38"/>
          <w:pgSz w:w="11906" w:h="16840" w:code="9"/>
          <w:pgMar w:top="1701" w:right="1418" w:bottom="1418" w:left="1418" w:header="567" w:footer="454" w:gutter="0"/>
          <w:cols w:space="708"/>
          <w:titlePg/>
        </w:sectPr>
      </w:pPr>
    </w:p>
    <w:p w14:paraId="262B3E18" w14:textId="550E8F10" w:rsidR="00DB0DD7" w:rsidRPr="009E064B" w:rsidRDefault="00DB0DD7" w:rsidP="00B06A9A">
      <w:pPr>
        <w:ind w:right="-2"/>
        <w:rPr>
          <w:rFonts w:asciiTheme="minorHAnsi" w:hAnsiTheme="minorHAnsi" w:cstheme="minorHAnsi"/>
          <w:szCs w:val="20"/>
        </w:rPr>
      </w:pPr>
    </w:p>
    <w:p w14:paraId="322875ED" w14:textId="74BECE5D" w:rsidR="009F046E" w:rsidRPr="009E064B" w:rsidRDefault="009F046E" w:rsidP="00561819">
      <w:pPr>
        <w:pStyle w:val="Nagwek1"/>
        <w:rPr>
          <w:szCs w:val="44"/>
        </w:rPr>
      </w:pPr>
      <w:bookmarkStart w:id="6" w:name="_Toc12532521"/>
      <w:r w:rsidRPr="009E064B">
        <w:t>ROZPORZĄDZENIE KOMISJI</w:t>
      </w:r>
      <w:r w:rsidR="00561819" w:rsidRPr="009E064B">
        <w:t xml:space="preserve"> </w:t>
      </w:r>
      <w:r w:rsidR="007B51FE" w:rsidRPr="009E064B">
        <w:br/>
        <w:t>(Część główna</w:t>
      </w:r>
      <w:r w:rsidR="00832386" w:rsidRPr="009E064B">
        <w:t>)</w:t>
      </w:r>
      <w:r w:rsidRPr="009E064B">
        <w:rPr>
          <w:rStyle w:val="Odwoanieprzypisudolnego"/>
          <w:rFonts w:asciiTheme="minorHAnsi" w:hAnsiTheme="minorHAnsi"/>
          <w:b w:val="0"/>
          <w:sz w:val="32"/>
          <w:szCs w:val="44"/>
        </w:rPr>
        <w:footnoteReference w:id="9"/>
      </w:r>
      <w:bookmarkEnd w:id="6"/>
    </w:p>
    <w:p w14:paraId="2A933666" w14:textId="5EFC8C91" w:rsidR="009F046E" w:rsidRPr="009E064B" w:rsidRDefault="009F046E" w:rsidP="00B06A9A">
      <w:pPr>
        <w:ind w:right="-2"/>
        <w:rPr>
          <w:rFonts w:asciiTheme="minorHAnsi" w:hAnsiTheme="minorHAnsi" w:cstheme="minorHAnsi"/>
          <w:sz w:val="24"/>
          <w:szCs w:val="20"/>
        </w:rPr>
      </w:pPr>
    </w:p>
    <w:p w14:paraId="19A991EF" w14:textId="77777777" w:rsidR="009F046E" w:rsidRPr="009E064B" w:rsidRDefault="009F046E" w:rsidP="00B06A9A">
      <w:pPr>
        <w:ind w:right="-2"/>
        <w:rPr>
          <w:rFonts w:asciiTheme="minorHAnsi" w:hAnsiTheme="minorHAnsi" w:cstheme="minorHAnsi"/>
          <w:szCs w:val="20"/>
        </w:rPr>
      </w:pPr>
    </w:p>
    <w:p w14:paraId="2D53FCD3" w14:textId="046165AF" w:rsidR="009F046E" w:rsidRPr="009E064B" w:rsidRDefault="009F046E" w:rsidP="008A548A">
      <w:pPr>
        <w:jc w:val="center"/>
        <w:rPr>
          <w:b/>
          <w:sz w:val="24"/>
        </w:rPr>
      </w:pPr>
      <w:r w:rsidRPr="009E064B">
        <w:rPr>
          <w:b/>
          <w:sz w:val="24"/>
        </w:rPr>
        <w:t xml:space="preserve">ROZPORZĄDZENIE KOMISJI (UE) NR 139/2014 z dnia 12 lutego 2014 r. </w:t>
      </w:r>
      <w:r w:rsidRPr="009E064B">
        <w:rPr>
          <w:b/>
          <w:sz w:val="24"/>
        </w:rPr>
        <w:br/>
        <w:t>ustanawiające wymagania oraz procedury administracy</w:t>
      </w:r>
      <w:r w:rsidR="00994DFF" w:rsidRPr="009E064B">
        <w:rPr>
          <w:b/>
          <w:sz w:val="24"/>
        </w:rPr>
        <w:t>jne dotyczące lotnisk zgodnie z </w:t>
      </w:r>
      <w:r w:rsidRPr="009E064B">
        <w:rPr>
          <w:b/>
          <w:sz w:val="24"/>
        </w:rPr>
        <w:t>rozporządzeniem Parlamentu Europejskiego i Rady (WE) nr 216/2008</w:t>
      </w:r>
    </w:p>
    <w:p w14:paraId="24D08922" w14:textId="77777777" w:rsidR="009F046E" w:rsidRPr="009E064B" w:rsidRDefault="009F046E" w:rsidP="00B06A9A">
      <w:pPr>
        <w:ind w:right="-2"/>
        <w:rPr>
          <w:rFonts w:asciiTheme="minorHAnsi" w:hAnsiTheme="minorHAnsi" w:cstheme="minorHAnsi"/>
          <w:szCs w:val="20"/>
        </w:rPr>
      </w:pPr>
    </w:p>
    <w:p w14:paraId="6E2E4D6B" w14:textId="78AE7F64" w:rsidR="00913A59" w:rsidRPr="009E064B" w:rsidRDefault="00913A59"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w:t>
      </w:r>
      <w:r w:rsidR="00E46735" w:rsidRPr="009E064B">
        <w:rPr>
          <w:rFonts w:asciiTheme="minorHAnsi" w:hAnsiTheme="minorHAnsi" w:cstheme="minorHAnsi"/>
          <w:i/>
          <w:sz w:val="16"/>
          <w:szCs w:val="20"/>
        </w:rPr>
        <w:t>enie (UE) n</w:t>
      </w:r>
      <w:r w:rsidRPr="009E064B">
        <w:rPr>
          <w:rFonts w:asciiTheme="minorHAnsi" w:hAnsiTheme="minorHAnsi" w:cstheme="minorHAnsi"/>
          <w:i/>
          <w:sz w:val="16"/>
          <w:szCs w:val="20"/>
        </w:rPr>
        <w:t>r 139/2014</w:t>
      </w:r>
    </w:p>
    <w:p w14:paraId="015CE783" w14:textId="77777777" w:rsidR="00DC7DA6" w:rsidRPr="009E064B" w:rsidRDefault="00DE05DC" w:rsidP="00B06A9A">
      <w:pPr>
        <w:pStyle w:val="Tekstpodstawowy"/>
        <w:ind w:left="0" w:right="-2" w:firstLine="0"/>
        <w:jc w:val="left"/>
        <w:rPr>
          <w:rFonts w:asciiTheme="minorHAnsi" w:hAnsiTheme="minorHAnsi" w:cstheme="minorHAnsi"/>
          <w:sz w:val="22"/>
          <w:szCs w:val="20"/>
        </w:rPr>
      </w:pPr>
      <w:r w:rsidRPr="009E064B">
        <w:rPr>
          <w:rFonts w:asciiTheme="minorHAnsi" w:hAnsiTheme="minorHAnsi" w:cstheme="minorHAnsi"/>
          <w:sz w:val="22"/>
          <w:szCs w:val="20"/>
        </w:rPr>
        <w:t>KOMISJA EUROPEJSKA,</w:t>
      </w:r>
    </w:p>
    <w:p w14:paraId="642A3486" w14:textId="77777777" w:rsidR="00DC7DA6" w:rsidRPr="009E064B" w:rsidRDefault="00DE05DC" w:rsidP="00B06A9A">
      <w:pPr>
        <w:ind w:right="-2"/>
        <w:rPr>
          <w:rFonts w:asciiTheme="minorHAnsi" w:hAnsiTheme="minorHAnsi" w:cstheme="minorHAnsi"/>
          <w:szCs w:val="20"/>
        </w:rPr>
      </w:pPr>
      <w:r w:rsidRPr="009E064B">
        <w:rPr>
          <w:rFonts w:asciiTheme="minorHAnsi" w:hAnsiTheme="minorHAnsi" w:cstheme="minorHAnsi"/>
          <w:szCs w:val="20"/>
        </w:rPr>
        <w:t>uwzględniając Traktat o funkcjonowaniu Unii Europejskiej,</w:t>
      </w:r>
    </w:p>
    <w:p w14:paraId="422DF1C4" w14:textId="6C75B5F9" w:rsidR="00DC7DA6" w:rsidRPr="009E064B" w:rsidRDefault="00DE05DC" w:rsidP="0057212B">
      <w:pPr>
        <w:spacing w:after="80"/>
        <w:ind w:right="-2"/>
        <w:rPr>
          <w:rFonts w:asciiTheme="minorHAnsi" w:hAnsiTheme="minorHAnsi" w:cstheme="minorHAnsi"/>
          <w:szCs w:val="20"/>
        </w:rPr>
      </w:pPr>
      <w:r w:rsidRPr="009E064B">
        <w:rPr>
          <w:rFonts w:asciiTheme="minorHAnsi" w:hAnsiTheme="minorHAnsi" w:cstheme="minorHAnsi"/>
          <w:szCs w:val="20"/>
        </w:rPr>
        <w:t>uwzględniając rozporządzenie Parlamentu Europejskiego i Rady (WE) nr 216/2008 z dnia 20 lutego 2008 r. w sprawie wspólnych zasad w zakresie lotnict</w:t>
      </w:r>
      <w:r w:rsidR="00DB0DD7" w:rsidRPr="009E064B">
        <w:rPr>
          <w:rFonts w:asciiTheme="minorHAnsi" w:hAnsiTheme="minorHAnsi" w:cstheme="minorHAnsi"/>
          <w:szCs w:val="20"/>
        </w:rPr>
        <w:t>wa cywilnego i utworzenia Euro</w:t>
      </w:r>
      <w:r w:rsidRPr="009E064B">
        <w:rPr>
          <w:rFonts w:asciiTheme="minorHAnsi" w:hAnsiTheme="minorHAnsi" w:cstheme="minorHAnsi"/>
          <w:szCs w:val="20"/>
        </w:rPr>
        <w:t>pejskiej Agencji Bezpieczeństwa Lotniczego oraz uchylające dyrektywę Rady 91/</w:t>
      </w:r>
      <w:r w:rsidR="00913A59" w:rsidRPr="009E064B">
        <w:rPr>
          <w:rFonts w:asciiTheme="minorHAnsi" w:hAnsiTheme="minorHAnsi" w:cstheme="minorHAnsi"/>
          <w:szCs w:val="20"/>
        </w:rPr>
        <w:t>670/EWG, rozporządzenie (WE) nr </w:t>
      </w:r>
      <w:r w:rsidRPr="009E064B">
        <w:rPr>
          <w:rFonts w:asciiTheme="minorHAnsi" w:hAnsiTheme="minorHAnsi" w:cstheme="minorHAnsi"/>
          <w:szCs w:val="20"/>
        </w:rPr>
        <w:t>1592/2002 i dyrektywę 2004/36/WE (1), zmienione rozporządze</w:t>
      </w:r>
      <w:r w:rsidR="00913A59" w:rsidRPr="009E064B">
        <w:rPr>
          <w:rFonts w:asciiTheme="minorHAnsi" w:hAnsiTheme="minorHAnsi" w:cstheme="minorHAnsi"/>
          <w:szCs w:val="20"/>
        </w:rPr>
        <w:t>niem Parlamentu Europejskiego i </w:t>
      </w:r>
      <w:r w:rsidR="006B3422" w:rsidRPr="009E064B">
        <w:rPr>
          <w:rFonts w:asciiTheme="minorHAnsi" w:hAnsiTheme="minorHAnsi" w:cstheme="minorHAnsi"/>
          <w:szCs w:val="20"/>
        </w:rPr>
        <w:t xml:space="preserve">Rady (WE) </w:t>
      </w:r>
      <w:r w:rsidRPr="009E064B">
        <w:rPr>
          <w:rFonts w:asciiTheme="minorHAnsi" w:hAnsiTheme="minorHAnsi" w:cstheme="minorHAnsi"/>
          <w:szCs w:val="20"/>
        </w:rPr>
        <w:t xml:space="preserve">nr 1108/2009 z dnia 21 października 2009 r. (2), </w:t>
      </w:r>
      <w:r w:rsidR="00994DFF" w:rsidRPr="009E064B">
        <w:rPr>
          <w:rFonts w:asciiTheme="minorHAnsi" w:hAnsiTheme="minorHAnsi" w:cstheme="minorHAnsi"/>
          <w:szCs w:val="20"/>
        </w:rPr>
        <w:t>w szczególności jego art. </w:t>
      </w:r>
      <w:r w:rsidRPr="009E064B">
        <w:rPr>
          <w:rFonts w:asciiTheme="minorHAnsi" w:hAnsiTheme="minorHAnsi" w:cstheme="minorHAnsi"/>
          <w:szCs w:val="20"/>
        </w:rPr>
        <w:t>8a</w:t>
      </w:r>
      <w:r w:rsidR="00994DFF" w:rsidRPr="009E064B">
        <w:rPr>
          <w:rFonts w:asciiTheme="minorHAnsi" w:hAnsiTheme="minorHAnsi" w:cstheme="minorHAnsi"/>
          <w:szCs w:val="20"/>
        </w:rPr>
        <w:t xml:space="preserve"> ust. </w:t>
      </w:r>
      <w:r w:rsidRPr="009E064B">
        <w:rPr>
          <w:rFonts w:asciiTheme="minorHAnsi" w:hAnsiTheme="minorHAnsi" w:cstheme="minorHAnsi"/>
          <w:szCs w:val="20"/>
        </w:rPr>
        <w:t>5,</w:t>
      </w:r>
      <w:r w:rsidR="00913A59" w:rsidRPr="009E064B">
        <w:rPr>
          <w:rFonts w:asciiTheme="minorHAnsi" w:hAnsiTheme="minorHAnsi" w:cstheme="minorHAnsi"/>
          <w:szCs w:val="20"/>
        </w:rPr>
        <w:t xml:space="preserve"> a </w:t>
      </w:r>
      <w:r w:rsidRPr="009E064B">
        <w:rPr>
          <w:rFonts w:asciiTheme="minorHAnsi" w:hAnsiTheme="minorHAnsi" w:cstheme="minorHAnsi"/>
          <w:szCs w:val="20"/>
        </w:rPr>
        <w:t>także mając na uwadze, co następuje:</w:t>
      </w:r>
    </w:p>
    <w:p w14:paraId="77A0BF85" w14:textId="5064A33B" w:rsidR="00DC7DA6" w:rsidRPr="009E064B" w:rsidRDefault="0009716F" w:rsidP="0057212B">
      <w:pPr>
        <w:tabs>
          <w:tab w:val="left" w:pos="567"/>
        </w:tabs>
        <w:spacing w:after="80"/>
        <w:ind w:left="567" w:right="-2" w:hanging="567"/>
        <w:rPr>
          <w:rFonts w:asciiTheme="minorHAnsi" w:hAnsiTheme="minorHAnsi" w:cstheme="minorHAnsi"/>
          <w:szCs w:val="20"/>
        </w:rPr>
      </w:pPr>
      <w:r w:rsidRPr="009E064B">
        <w:rPr>
          <w:rFonts w:asciiTheme="minorHAnsi" w:hAnsiTheme="minorHAnsi" w:cstheme="minorHAnsi"/>
          <w:szCs w:val="20"/>
        </w:rPr>
        <w:t xml:space="preserve">(1) </w:t>
      </w:r>
      <w:r w:rsidR="00856770" w:rsidRPr="009E064B">
        <w:rPr>
          <w:rFonts w:asciiTheme="minorHAnsi" w:hAnsiTheme="minorHAnsi" w:cstheme="minorHAnsi"/>
          <w:szCs w:val="20"/>
        </w:rPr>
        <w:tab/>
      </w:r>
      <w:r w:rsidR="00816F6D" w:rsidRPr="009E064B">
        <w:rPr>
          <w:rFonts w:asciiTheme="minorHAnsi" w:hAnsiTheme="minorHAnsi" w:cstheme="minorHAnsi"/>
          <w:szCs w:val="20"/>
        </w:rPr>
        <w:t xml:space="preserve">Celem </w:t>
      </w:r>
      <w:hyperlink r:id="rId39" w:history="1">
        <w:r w:rsidR="00816F6D" w:rsidRPr="009E064B">
          <w:rPr>
            <w:rStyle w:val="Hipercze"/>
            <w:rFonts w:asciiTheme="minorHAnsi" w:hAnsiTheme="minorHAnsi" w:cstheme="minorHAnsi"/>
            <w:szCs w:val="20"/>
          </w:rPr>
          <w:t>rozporządzenia </w:t>
        </w:r>
        <w:r w:rsidR="00DE05DC" w:rsidRPr="009E064B">
          <w:rPr>
            <w:rStyle w:val="Hipercze"/>
            <w:rFonts w:asciiTheme="minorHAnsi" w:hAnsiTheme="minorHAnsi" w:cstheme="minorHAnsi"/>
            <w:szCs w:val="20"/>
          </w:rPr>
          <w:t>(WE)</w:t>
        </w:r>
        <w:r w:rsidR="00816F6D" w:rsidRPr="009E064B">
          <w:rPr>
            <w:rStyle w:val="Hipercze"/>
            <w:rFonts w:asciiTheme="minorHAnsi" w:hAnsiTheme="minorHAnsi" w:cstheme="minorHAnsi"/>
            <w:szCs w:val="20"/>
          </w:rPr>
          <w:t> nr </w:t>
        </w:r>
        <w:r w:rsidR="00DE05DC" w:rsidRPr="009E064B">
          <w:rPr>
            <w:rStyle w:val="Hipercze"/>
            <w:rFonts w:asciiTheme="minorHAnsi" w:hAnsiTheme="minorHAnsi" w:cstheme="minorHAnsi"/>
            <w:szCs w:val="20"/>
          </w:rPr>
          <w:t>216/2008</w:t>
        </w:r>
      </w:hyperlink>
      <w:r w:rsidR="00DE05DC" w:rsidRPr="009E064B">
        <w:rPr>
          <w:rFonts w:asciiTheme="minorHAnsi" w:hAnsiTheme="minorHAnsi" w:cstheme="minorHAnsi"/>
          <w:szCs w:val="20"/>
        </w:rPr>
        <w:t xml:space="preserve"> jest ustanowienie oraz utrzymanie wysokiego jednolitego poziomu bezpieczeństwa lotnictwa cywilnego w Europie.</w:t>
      </w:r>
    </w:p>
    <w:p w14:paraId="6CE050EB" w14:textId="416242F6" w:rsidR="00DC7DA6" w:rsidRPr="009E064B" w:rsidRDefault="00856770" w:rsidP="0057212B">
      <w:pPr>
        <w:tabs>
          <w:tab w:val="left" w:pos="567"/>
        </w:tabs>
        <w:spacing w:after="80"/>
        <w:ind w:left="567" w:right="-2" w:hanging="567"/>
        <w:rPr>
          <w:rFonts w:asciiTheme="minorHAnsi" w:hAnsiTheme="minorHAnsi" w:cstheme="minorHAnsi"/>
          <w:szCs w:val="20"/>
        </w:rPr>
      </w:pPr>
      <w:r w:rsidRPr="009E064B">
        <w:rPr>
          <w:rFonts w:asciiTheme="minorHAnsi" w:hAnsiTheme="minorHAnsi" w:cstheme="minorHAnsi"/>
          <w:szCs w:val="20"/>
        </w:rPr>
        <w:t>(2</w:t>
      </w:r>
      <w:r w:rsidR="0009716F" w:rsidRPr="009E064B">
        <w:rPr>
          <w:rFonts w:asciiTheme="minorHAnsi" w:hAnsiTheme="minorHAnsi" w:cstheme="minorHAnsi"/>
          <w:szCs w:val="20"/>
        </w:rPr>
        <w:t xml:space="preserve">) </w:t>
      </w:r>
      <w:r w:rsidRPr="009E064B">
        <w:rPr>
          <w:rFonts w:asciiTheme="minorHAnsi" w:hAnsiTheme="minorHAnsi" w:cstheme="minorHAnsi"/>
          <w:szCs w:val="20"/>
        </w:rPr>
        <w:tab/>
      </w:r>
      <w:r w:rsidR="00DE05DC" w:rsidRPr="009E064B">
        <w:rPr>
          <w:rFonts w:asciiTheme="minorHAnsi" w:hAnsiTheme="minorHAnsi" w:cstheme="minorHAnsi"/>
          <w:szCs w:val="20"/>
        </w:rPr>
        <w:t>Wykonanie rozporządzen</w:t>
      </w:r>
      <w:r w:rsidR="00816F6D" w:rsidRPr="009E064B">
        <w:rPr>
          <w:rFonts w:asciiTheme="minorHAnsi" w:hAnsiTheme="minorHAnsi" w:cstheme="minorHAnsi"/>
          <w:szCs w:val="20"/>
        </w:rPr>
        <w:t>ia (WE) </w:t>
      </w:r>
      <w:r w:rsidR="00DE05DC" w:rsidRPr="009E064B">
        <w:rPr>
          <w:rFonts w:asciiTheme="minorHAnsi" w:hAnsiTheme="minorHAnsi" w:cstheme="minorHAnsi"/>
          <w:szCs w:val="20"/>
        </w:rPr>
        <w:t>nr</w:t>
      </w:r>
      <w:r w:rsidR="00816F6D" w:rsidRPr="009E064B">
        <w:rPr>
          <w:rFonts w:asciiTheme="minorHAnsi" w:hAnsiTheme="minorHAnsi" w:cstheme="minorHAnsi"/>
          <w:szCs w:val="20"/>
        </w:rPr>
        <w:t> </w:t>
      </w:r>
      <w:r w:rsidR="00DE05DC" w:rsidRPr="009E064B">
        <w:rPr>
          <w:rFonts w:asciiTheme="minorHAnsi" w:hAnsiTheme="minorHAnsi" w:cstheme="minorHAnsi"/>
          <w:szCs w:val="20"/>
        </w:rPr>
        <w:t>216/2008 wymaga ustanowienia szczegółowych przepisów wykonawczych, w szczególności dotyczących bezpieczeństwa lotnisk, w celu utrzymania wysokiego jednolitego poziomu bezpieczeństwa lotnictwa cywilnego w Unii, przy jednoczesnym dążeniu do realizacji celu, jakim je</w:t>
      </w:r>
      <w:r w:rsidR="00CD1F34" w:rsidRPr="009E064B">
        <w:rPr>
          <w:rFonts w:asciiTheme="minorHAnsi" w:hAnsiTheme="minorHAnsi" w:cstheme="minorHAnsi"/>
          <w:szCs w:val="20"/>
        </w:rPr>
        <w:t xml:space="preserve">st ogólne podniesienie poziomu </w:t>
      </w:r>
      <w:r w:rsidR="00DE05DC" w:rsidRPr="009E064B">
        <w:rPr>
          <w:rFonts w:asciiTheme="minorHAnsi" w:hAnsiTheme="minorHAnsi" w:cstheme="minorHAnsi"/>
          <w:szCs w:val="20"/>
        </w:rPr>
        <w:t>bezpieczeństwa lotnisk.</w:t>
      </w:r>
    </w:p>
    <w:p w14:paraId="748D2E18" w14:textId="77777777" w:rsidR="00DC7DA6" w:rsidRPr="009E064B" w:rsidRDefault="00856770"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Komisja zobowiązana jest do przyjęcia do dnia</w:t>
      </w:r>
      <w:r w:rsidR="00DA5D7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31 grudnia 2013 r. niezbędnych przepisów wykonawczych ustanawiających warunki dotyczące projektowania i bezpiecznej eksploatacji lotnisk, o</w:t>
      </w:r>
      <w:r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których mowa w art. 8a ust. 5.</w:t>
      </w:r>
    </w:p>
    <w:p w14:paraId="672E501E" w14:textId="09D60F9F" w:rsidR="00DC7DA6" w:rsidRPr="009E064B" w:rsidRDefault="00856770" w:rsidP="0057212B">
      <w:pPr>
        <w:tabs>
          <w:tab w:val="left" w:pos="567"/>
        </w:tabs>
        <w:spacing w:after="80"/>
        <w:ind w:left="567" w:right="-2" w:hanging="567"/>
        <w:rPr>
          <w:rFonts w:asciiTheme="minorHAnsi" w:hAnsiTheme="minorHAnsi" w:cstheme="minorHAnsi"/>
          <w:szCs w:val="20"/>
        </w:rPr>
      </w:pPr>
      <w:r w:rsidRPr="009E064B">
        <w:rPr>
          <w:rFonts w:asciiTheme="minorHAnsi" w:eastAsia="Times New Roman" w:hAnsiTheme="minorHAnsi" w:cstheme="minorHAnsi"/>
          <w:szCs w:val="20"/>
        </w:rPr>
        <w:t>(4</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hAnsiTheme="minorHAnsi" w:cstheme="minorHAnsi"/>
          <w:szCs w:val="20"/>
        </w:rPr>
        <w:t xml:space="preserve">Aby zapewnić sprawne przejście na nowy system oraz wysoki poziom bezpieczeństwa lotnictwa cywilnego w Unii </w:t>
      </w:r>
      <w:r w:rsidR="00DE05DC" w:rsidRPr="009E064B">
        <w:rPr>
          <w:rFonts w:asciiTheme="minorHAnsi" w:eastAsia="Times New Roman" w:hAnsiTheme="minorHAnsi" w:cstheme="minorHAnsi"/>
          <w:szCs w:val="20"/>
        </w:rPr>
        <w:t>Europejskiej</w:t>
      </w:r>
      <w:r w:rsidR="00DE05DC" w:rsidRPr="009E064B">
        <w:rPr>
          <w:rFonts w:asciiTheme="minorHAnsi" w:hAnsiTheme="minorHAnsi" w:cstheme="minorHAnsi"/>
          <w:szCs w:val="20"/>
        </w:rPr>
        <w:t>, przepisy wykonawcze powinny: odzwierciedlać najnowszy stan wiedzy i najlepsze praktyki w zakresie lotnisk; uwzględniać obowiązujące normy i zalecane praktyki Organizacji Międzynarodowego Lotnictwa Cywilnego (zwanej dalej „ICAO”), przestrzegając w ten sposób stosownych klasyfikacji</w:t>
      </w:r>
      <w:r w:rsidR="00994DFF" w:rsidRPr="009E064B">
        <w:rPr>
          <w:rFonts w:asciiTheme="minorHAnsi" w:hAnsiTheme="minorHAnsi" w:cstheme="minorHAnsi"/>
          <w:szCs w:val="20"/>
        </w:rPr>
        <w:t xml:space="preserve"> ICAO w ramach systemu zasad, a </w:t>
      </w:r>
      <w:r w:rsidR="00DE05DC" w:rsidRPr="009E064B">
        <w:rPr>
          <w:rFonts w:asciiTheme="minorHAnsi" w:hAnsiTheme="minorHAnsi" w:cstheme="minorHAnsi"/>
          <w:szCs w:val="20"/>
        </w:rPr>
        <w:t>także zdobyte na całym świecie doświadczenia w eksploatacji lotnis</w:t>
      </w:r>
      <w:r w:rsidR="004A5263" w:rsidRPr="009E064B">
        <w:rPr>
          <w:rFonts w:asciiTheme="minorHAnsi" w:hAnsiTheme="minorHAnsi" w:cstheme="minorHAnsi"/>
          <w:szCs w:val="20"/>
        </w:rPr>
        <w:t>k, jak również postęp naukowy i </w:t>
      </w:r>
      <w:r w:rsidR="00DE05DC" w:rsidRPr="009E064B">
        <w:rPr>
          <w:rFonts w:asciiTheme="minorHAnsi" w:hAnsiTheme="minorHAnsi" w:cstheme="minorHAnsi"/>
          <w:szCs w:val="20"/>
        </w:rPr>
        <w:t>techniczny w tym obszarze; być proporcjonalne do wielkośc</w:t>
      </w:r>
      <w:r w:rsidR="004A5263" w:rsidRPr="009E064B">
        <w:rPr>
          <w:rFonts w:asciiTheme="minorHAnsi" w:hAnsiTheme="minorHAnsi" w:cstheme="minorHAnsi"/>
          <w:szCs w:val="20"/>
        </w:rPr>
        <w:t>i, nasilenia ruchu, kategorii i </w:t>
      </w:r>
      <w:r w:rsidR="00DE05DC" w:rsidRPr="009E064B">
        <w:rPr>
          <w:rFonts w:asciiTheme="minorHAnsi" w:hAnsiTheme="minorHAnsi" w:cstheme="minorHAnsi"/>
          <w:szCs w:val="20"/>
        </w:rPr>
        <w:t>złożoności danego lotniska oraz charakteru i</w:t>
      </w:r>
      <w:r w:rsidRPr="009E064B">
        <w:rPr>
          <w:rFonts w:asciiTheme="minorHAnsi" w:hAnsiTheme="minorHAnsi" w:cstheme="minorHAnsi"/>
          <w:szCs w:val="20"/>
        </w:rPr>
        <w:t> </w:t>
      </w:r>
      <w:r w:rsidR="00DE05DC" w:rsidRPr="009E064B">
        <w:rPr>
          <w:rFonts w:asciiTheme="minorHAnsi" w:hAnsiTheme="minorHAnsi" w:cstheme="minorHAnsi"/>
          <w:szCs w:val="20"/>
        </w:rPr>
        <w:t>zakresu prowadzonych na nim operacji; zapewniać niezbędną elastyczność przepisów stosownie do danego przypadku; oraz uwzględniać przypadki infrastruktury lotniskowej, która</w:t>
      </w:r>
      <w:r w:rsidR="00ED6F1C" w:rsidRPr="009E064B">
        <w:rPr>
          <w:rFonts w:asciiTheme="minorHAnsi" w:hAnsiTheme="minorHAnsi" w:cstheme="minorHAnsi"/>
          <w:szCs w:val="20"/>
        </w:rPr>
        <w:t xml:space="preserve"> </w:t>
      </w:r>
      <w:r w:rsidR="00DE05DC" w:rsidRPr="009E064B">
        <w:rPr>
          <w:rFonts w:asciiTheme="minorHAnsi" w:hAnsiTheme="minorHAnsi" w:cstheme="minorHAnsi"/>
          <w:szCs w:val="20"/>
        </w:rPr>
        <w:t>powstała przed wejś</w:t>
      </w:r>
      <w:r w:rsidR="001B4CB1" w:rsidRPr="009E064B">
        <w:rPr>
          <w:rFonts w:asciiTheme="minorHAnsi" w:hAnsiTheme="minorHAnsi" w:cstheme="minorHAnsi"/>
          <w:szCs w:val="20"/>
        </w:rPr>
        <w:t xml:space="preserve">ciem </w:t>
      </w:r>
      <w:r w:rsidR="00DE05DC" w:rsidRPr="009E064B">
        <w:rPr>
          <w:rFonts w:asciiTheme="minorHAnsi" w:hAnsiTheme="minorHAnsi" w:cstheme="minorHAnsi"/>
          <w:szCs w:val="20"/>
        </w:rPr>
        <w:t xml:space="preserve">w życie niniejszego rozporządzenia, zgodnie z różnymi wymaganiami </w:t>
      </w:r>
      <w:r w:rsidR="006B3422" w:rsidRPr="009E064B">
        <w:rPr>
          <w:rFonts w:asciiTheme="minorHAnsi" w:hAnsiTheme="minorHAnsi" w:cstheme="minorHAnsi"/>
          <w:szCs w:val="20"/>
        </w:rPr>
        <w:t xml:space="preserve">zawartymi w </w:t>
      </w:r>
      <w:r w:rsidR="00DE05DC" w:rsidRPr="009E064B">
        <w:rPr>
          <w:rFonts w:asciiTheme="minorHAnsi" w:hAnsiTheme="minorHAnsi" w:cstheme="minorHAnsi"/>
          <w:szCs w:val="20"/>
        </w:rPr>
        <w:t>prawodawstwie krajowym państw członkowskich.</w:t>
      </w:r>
    </w:p>
    <w:p w14:paraId="76C48369" w14:textId="77777777" w:rsidR="00DC7DA6" w:rsidRPr="009E064B" w:rsidRDefault="00856770"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(5</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Branży lotniskowej i administracjom państw członkowskich należy zapewnić wystarczającą ilość czasu na dostosowanie się do nowych ram regulacyjnych oraz na weryfikację ciągłej ważności certyfikatów wydanych przed wejściem w życie niniejszego rozporządzenia.</w:t>
      </w:r>
    </w:p>
    <w:p w14:paraId="6BF23E4A" w14:textId="31588A20" w:rsidR="00DC7DA6" w:rsidRPr="009E064B" w:rsidRDefault="00856770"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(6</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Aby zapewnić jednolite stosowanie wspólnych wymagań, niezbędne jest stosowanie wspólnych norm przez właściwe organy oraz w stosownych przypadkach – przez Agencję podczas przeprowadzania oceny ich przestrzegania; Agencja powinna opracować akceptowalne sposoby spełnienia wymagań oraz materiały zawierające wytyczne, aby ułatwić konieczną jednolitość regulacji. Wspólne wymagania powinny obejmować takie same procedury w ramach właściwych organów w poszczególnych dziedzinach lotnictwa. Nie powinny one jednakże uniemożliwiać stosowania nieco odmi</w:t>
      </w:r>
      <w:r w:rsidR="00994DFF" w:rsidRPr="009E064B">
        <w:rPr>
          <w:rFonts w:asciiTheme="minorHAnsi" w:eastAsia="Times New Roman" w:hAnsiTheme="minorHAnsi" w:cstheme="minorHAnsi"/>
          <w:szCs w:val="20"/>
        </w:rPr>
        <w:t>ennych procedur, kiedykolwiek i </w:t>
      </w:r>
      <w:r w:rsidR="00DE05DC" w:rsidRPr="009E064B">
        <w:rPr>
          <w:rFonts w:asciiTheme="minorHAnsi" w:eastAsia="Times New Roman" w:hAnsiTheme="minorHAnsi" w:cstheme="minorHAnsi"/>
          <w:szCs w:val="20"/>
        </w:rPr>
        <w:t xml:space="preserve">gdziekolwiek jest to konieczne lub przynosi korzyści, na przykład </w:t>
      </w:r>
      <w:r w:rsidR="006B3422" w:rsidRPr="009E064B">
        <w:rPr>
          <w:rFonts w:asciiTheme="minorHAnsi" w:eastAsia="Times New Roman" w:hAnsiTheme="minorHAnsi" w:cstheme="minorHAnsi"/>
          <w:szCs w:val="20"/>
        </w:rPr>
        <w:t xml:space="preserve">w </w:t>
      </w:r>
      <w:r w:rsidR="00DE05DC" w:rsidRPr="009E064B">
        <w:rPr>
          <w:rFonts w:asciiTheme="minorHAnsi" w:eastAsia="Times New Roman" w:hAnsiTheme="minorHAnsi" w:cstheme="minorHAnsi"/>
          <w:szCs w:val="20"/>
        </w:rPr>
        <w:t>przypadku rozdziału</w:t>
      </w:r>
      <w:r w:rsidR="00ED6F1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 xml:space="preserve">podmiotów odpowiedzialnych za nadzór nad lotniskami od podmiotów odpowiedzialnych za nadzór nad </w:t>
      </w:r>
      <w:r w:rsidR="00ED6F1C" w:rsidRPr="009E064B">
        <w:rPr>
          <w:rFonts w:asciiTheme="minorHAnsi" w:eastAsia="Times New Roman" w:hAnsiTheme="minorHAnsi" w:cstheme="minorHAnsi"/>
          <w:szCs w:val="20"/>
        </w:rPr>
        <w:t>opera</w:t>
      </w:r>
      <w:r w:rsidR="00DE05DC" w:rsidRPr="009E064B">
        <w:rPr>
          <w:rFonts w:asciiTheme="minorHAnsi" w:eastAsia="Times New Roman" w:hAnsiTheme="minorHAnsi" w:cstheme="minorHAnsi"/>
          <w:szCs w:val="20"/>
        </w:rPr>
        <w:t xml:space="preserve">cjami lotniczymi. Różne sposoby zapewniania zgodności technicznej nie powinny wpływać niekorzystnie na </w:t>
      </w:r>
      <w:r w:rsidR="00ED6F1C" w:rsidRPr="009E064B">
        <w:rPr>
          <w:rFonts w:asciiTheme="minorHAnsi" w:eastAsia="Times New Roman" w:hAnsiTheme="minorHAnsi" w:cstheme="minorHAnsi"/>
          <w:szCs w:val="20"/>
        </w:rPr>
        <w:t>reali</w:t>
      </w:r>
      <w:r w:rsidR="00DE05DC" w:rsidRPr="009E064B">
        <w:rPr>
          <w:rFonts w:asciiTheme="minorHAnsi" w:eastAsia="Times New Roman" w:hAnsiTheme="minorHAnsi" w:cstheme="minorHAnsi"/>
          <w:szCs w:val="20"/>
        </w:rPr>
        <w:t>zację celu tych wymagań, jakim jest bezpieczeństwo.</w:t>
      </w:r>
    </w:p>
    <w:p w14:paraId="474C937F" w14:textId="77777777" w:rsidR="00DC7DA6" w:rsidRPr="009E064B" w:rsidRDefault="00856770"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(7</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Jeśli chodzi</w:t>
      </w:r>
      <w:r w:rsidR="00ED6F1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 xml:space="preserve">o zarządzanie przeszkodami </w:t>
      </w:r>
      <w:r w:rsidR="00ED6F1C" w:rsidRPr="009E064B">
        <w:rPr>
          <w:rFonts w:asciiTheme="minorHAnsi" w:eastAsia="Times New Roman" w:hAnsiTheme="minorHAnsi" w:cstheme="minorHAnsi"/>
          <w:szCs w:val="20"/>
        </w:rPr>
        <w:t xml:space="preserve">w </w:t>
      </w:r>
      <w:r w:rsidR="00DE05DC" w:rsidRPr="009E064B">
        <w:rPr>
          <w:rFonts w:asciiTheme="minorHAnsi" w:eastAsia="Times New Roman" w:hAnsiTheme="minorHAnsi" w:cstheme="minorHAnsi"/>
          <w:szCs w:val="20"/>
        </w:rPr>
        <w:t>otoczeniu lotnisk oraz o inną działalność poza granicami lotnisk, każde państwo członkowskie może wyznaczyć różne organy i inne podmioty odpowiedzialne za monitorowanie, ocenę i łagodzenie ryzyka. Celem niniejszego rozporządzenia nie</w:t>
      </w:r>
      <w:r w:rsidR="00ED6F1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jest zmiana aktualnego podziału zadań w ramach państw członkowskich. Jednakże w każdym państwie członkowskim należy zapewnić sprawną organizację kompetencji dotyczących zabezpieczenia otoczenia lotnisk, a także monitorowania i łagodzenia ryzyka powodowanego działalnością człowieka. Należy zatem zapewnić przyznanie organom, którym powierzono obowiązek zabezpieczenia otoczenia lotnisk, odpowiednich kompetencji do</w:t>
      </w:r>
      <w:r w:rsidR="00ED6F1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wypeł</w:t>
      </w:r>
      <w:r w:rsidR="001B4CB1" w:rsidRPr="009E064B">
        <w:rPr>
          <w:rFonts w:asciiTheme="minorHAnsi" w:eastAsia="Times New Roman" w:hAnsiTheme="minorHAnsi" w:cstheme="minorHAnsi"/>
          <w:szCs w:val="20"/>
        </w:rPr>
        <w:t>niania</w:t>
      </w:r>
      <w:r w:rsidR="00DE05DC" w:rsidRPr="009E064B">
        <w:rPr>
          <w:rFonts w:asciiTheme="minorHAnsi" w:eastAsia="Times New Roman" w:hAnsiTheme="minorHAnsi" w:cstheme="minorHAnsi"/>
          <w:szCs w:val="20"/>
        </w:rPr>
        <w:t xml:space="preserve"> swoich obowiązków.</w:t>
      </w:r>
    </w:p>
    <w:p w14:paraId="5FC3374B" w14:textId="7D19184E" w:rsidR="00DC7DA6" w:rsidRPr="009E064B" w:rsidRDefault="00856770"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(8</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Określone służby, o któryc</w:t>
      </w:r>
      <w:r w:rsidR="00731547" w:rsidRPr="009E064B">
        <w:rPr>
          <w:rFonts w:asciiTheme="minorHAnsi" w:eastAsia="Times New Roman" w:hAnsiTheme="minorHAnsi" w:cstheme="minorHAnsi"/>
          <w:szCs w:val="20"/>
        </w:rPr>
        <w:t>h mowa w C</w:t>
      </w:r>
      <w:r w:rsidR="00913A59" w:rsidRPr="009E064B">
        <w:rPr>
          <w:rFonts w:asciiTheme="minorHAnsi" w:eastAsia="Times New Roman" w:hAnsiTheme="minorHAnsi" w:cstheme="minorHAnsi"/>
          <w:szCs w:val="20"/>
        </w:rPr>
        <w:t xml:space="preserve">zęści B </w:t>
      </w:r>
      <w:r w:rsidR="00816F6D" w:rsidRPr="009E064B">
        <w:rPr>
          <w:rFonts w:asciiTheme="minorHAnsi" w:eastAsia="Times New Roman" w:hAnsiTheme="minorHAnsi" w:cstheme="minorHAnsi"/>
          <w:szCs w:val="20"/>
        </w:rPr>
        <w:t>Z</w:t>
      </w:r>
      <w:r w:rsidR="00913A59" w:rsidRPr="009E064B">
        <w:rPr>
          <w:rFonts w:asciiTheme="minorHAnsi" w:eastAsia="Times New Roman" w:hAnsiTheme="minorHAnsi" w:cstheme="minorHAnsi"/>
          <w:szCs w:val="20"/>
        </w:rPr>
        <w:t>ałącznika</w:t>
      </w:r>
      <w:r w:rsidR="00731547" w:rsidRPr="009E064B">
        <w:rPr>
          <w:rFonts w:asciiTheme="minorHAnsi" w:eastAsia="Times New Roman" w:hAnsiTheme="minorHAnsi" w:cstheme="minorHAnsi"/>
          <w:szCs w:val="20"/>
        </w:rPr>
        <w:t xml:space="preserve"> IV (C</w:t>
      </w:r>
      <w:r w:rsidR="00DE05DC" w:rsidRPr="009E064B">
        <w:rPr>
          <w:rFonts w:asciiTheme="minorHAnsi" w:eastAsia="Times New Roman" w:hAnsiTheme="minorHAnsi" w:cstheme="minorHAnsi"/>
          <w:szCs w:val="20"/>
        </w:rPr>
        <w:t>zęść ADR.OPS), powinny być zapewniane na terenie lotniska. W niektórych przypadkach służby te nie są zapewniane bezpośrednio przez operatora lotniska, ale przez</w:t>
      </w:r>
      <w:r w:rsidR="001B4CB1"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inną organizację, organ państwowy lu</w:t>
      </w:r>
      <w:r w:rsidR="006B3422" w:rsidRPr="009E064B">
        <w:rPr>
          <w:rFonts w:asciiTheme="minorHAnsi" w:eastAsia="Times New Roman" w:hAnsiTheme="minorHAnsi" w:cstheme="minorHAnsi"/>
          <w:szCs w:val="20"/>
        </w:rPr>
        <w:t xml:space="preserve">b wspólnie przez te podmioty. W </w:t>
      </w:r>
      <w:r w:rsidR="00DE05DC" w:rsidRPr="009E064B">
        <w:rPr>
          <w:rFonts w:asciiTheme="minorHAnsi" w:eastAsia="Times New Roman" w:hAnsiTheme="minorHAnsi" w:cstheme="minorHAnsi"/>
          <w:szCs w:val="20"/>
        </w:rPr>
        <w:t xml:space="preserve">takich przypadkach operator lotniska, który jest odpowiedzialny za funkcjonowanie lotniska, powinien </w:t>
      </w:r>
      <w:r w:rsidR="00994DFF" w:rsidRPr="009E064B">
        <w:rPr>
          <w:rFonts w:asciiTheme="minorHAnsi" w:eastAsia="Times New Roman" w:hAnsiTheme="minorHAnsi" w:cstheme="minorHAnsi"/>
          <w:szCs w:val="20"/>
        </w:rPr>
        <w:t>wdrożyć mechanizmy współpracy i </w:t>
      </w:r>
      <w:r w:rsidR="00DE05DC" w:rsidRPr="009E064B">
        <w:rPr>
          <w:rFonts w:asciiTheme="minorHAnsi" w:eastAsia="Times New Roman" w:hAnsiTheme="minorHAnsi" w:cstheme="minorHAnsi"/>
          <w:szCs w:val="20"/>
        </w:rPr>
        <w:t xml:space="preserve">współdziałania z tymi organizacjami lub podmiotami, tak aby zapewnić świadczenie usług zgodnie z wymaganiami określonymi w </w:t>
      </w:r>
      <w:r w:rsidR="00731547" w:rsidRPr="009E064B">
        <w:rPr>
          <w:rFonts w:asciiTheme="minorHAnsi" w:eastAsia="Times New Roman" w:hAnsiTheme="minorHAnsi" w:cstheme="minorHAnsi"/>
          <w:szCs w:val="20"/>
        </w:rPr>
        <w:t>Z</w:t>
      </w:r>
      <w:r w:rsidR="00DE05DC" w:rsidRPr="009E064B">
        <w:rPr>
          <w:rFonts w:asciiTheme="minorHAnsi" w:eastAsia="Times New Roman" w:hAnsiTheme="minorHAnsi" w:cstheme="minorHAnsi"/>
          <w:szCs w:val="20"/>
        </w:rPr>
        <w:t>ałączniku IV. W</w:t>
      </w:r>
      <w:r w:rsidR="00762863"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przypadku wdrożenia takich mechanizmów uznaje się, że operator lotniska wykonał swoje zobowiązania i nie będzie bezpośrednio odpowiedzialny za wszelkie niezgodności, jakich dopuści się inny podmiot objęty danym mechanizmem, pod warunkiem że spełnił on</w:t>
      </w:r>
      <w:r w:rsidR="00994DFF" w:rsidRPr="009E064B">
        <w:rPr>
          <w:rFonts w:asciiTheme="minorHAnsi" w:eastAsia="Times New Roman" w:hAnsiTheme="minorHAnsi" w:cstheme="minorHAnsi"/>
          <w:szCs w:val="20"/>
        </w:rPr>
        <w:t xml:space="preserve"> wszystkie stosowne wymagania i </w:t>
      </w:r>
      <w:r w:rsidR="00DE05DC" w:rsidRPr="009E064B">
        <w:rPr>
          <w:rFonts w:asciiTheme="minorHAnsi" w:eastAsia="Times New Roman" w:hAnsiTheme="minorHAnsi" w:cstheme="minorHAnsi"/>
          <w:szCs w:val="20"/>
        </w:rPr>
        <w:t xml:space="preserve">obowiązki określone w niniejszym rozporządzeniu mające </w:t>
      </w:r>
      <w:r w:rsidR="00994DFF" w:rsidRPr="009E064B">
        <w:rPr>
          <w:rFonts w:asciiTheme="minorHAnsi" w:eastAsia="Times New Roman" w:hAnsiTheme="minorHAnsi" w:cstheme="minorHAnsi"/>
          <w:szCs w:val="20"/>
        </w:rPr>
        <w:t>znaczenie dla jego zobowiązań w </w:t>
      </w:r>
      <w:r w:rsidR="00DE05DC" w:rsidRPr="009E064B">
        <w:rPr>
          <w:rFonts w:asciiTheme="minorHAnsi" w:eastAsia="Times New Roman" w:hAnsiTheme="minorHAnsi" w:cstheme="minorHAnsi"/>
          <w:szCs w:val="20"/>
        </w:rPr>
        <w:t>ramach przedmiotowego mechanizmu.</w:t>
      </w:r>
    </w:p>
    <w:p w14:paraId="5F2D0F03" w14:textId="77777777" w:rsidR="00DC7DA6" w:rsidRPr="009E064B" w:rsidRDefault="00856770"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(9</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Rozporządzenie (WE) nr 216/2008 dotyczy certyfikatów dla lotnisk wydawanych przez właściwe organy jedynie w zakresie, który obejmuje kwestie bezpieczeństwa. Tak więc te aspekty istniejących krajowych certyfikatów dla lotnisk, które nie są związane z kwestiami bezpieczeństwa, pozostają nienaruszone.</w:t>
      </w:r>
    </w:p>
    <w:p w14:paraId="5EA5CCF7" w14:textId="562F8C9E" w:rsidR="00DC7DA6" w:rsidRPr="009E064B" w:rsidRDefault="0009716F" w:rsidP="0057212B">
      <w:pPr>
        <w:tabs>
          <w:tab w:val="left" w:pos="567"/>
        </w:tabs>
        <w:spacing w:after="80"/>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(1</w:t>
      </w:r>
      <w:r w:rsidR="00856770" w:rsidRPr="009E064B">
        <w:rPr>
          <w:rFonts w:asciiTheme="minorHAnsi" w:eastAsia="Times New Roman" w:hAnsiTheme="minorHAnsi" w:cstheme="minorHAnsi"/>
          <w:szCs w:val="20"/>
        </w:rPr>
        <w:t>0</w:t>
      </w:r>
      <w:r w:rsidRPr="009E064B">
        <w:rPr>
          <w:rFonts w:asciiTheme="minorHAnsi" w:eastAsia="Times New Roman" w:hAnsiTheme="minorHAnsi" w:cstheme="minorHAnsi"/>
          <w:szCs w:val="20"/>
        </w:rPr>
        <w:t xml:space="preserve">) </w:t>
      </w:r>
      <w:r w:rsidR="0085677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Środki przewidziane w niniejszym rozporządzeniu </w:t>
      </w:r>
      <w:r w:rsidR="00ED6F1C" w:rsidRPr="009E064B">
        <w:rPr>
          <w:rFonts w:asciiTheme="minorHAnsi" w:eastAsia="Times New Roman" w:hAnsiTheme="minorHAnsi" w:cstheme="minorHAnsi"/>
          <w:szCs w:val="20"/>
        </w:rPr>
        <w:t>opie</w:t>
      </w:r>
      <w:r w:rsidR="00DE05DC" w:rsidRPr="009E064B">
        <w:rPr>
          <w:rFonts w:asciiTheme="minorHAnsi" w:eastAsia="Times New Roman" w:hAnsiTheme="minorHAnsi" w:cstheme="minorHAnsi"/>
          <w:szCs w:val="20"/>
        </w:rPr>
        <w:t>rają się na opinii wydanej przez Europejską Agencję Bezpiecze</w:t>
      </w:r>
      <w:r w:rsidR="001B4CB1" w:rsidRPr="009E064B">
        <w:rPr>
          <w:rFonts w:asciiTheme="minorHAnsi" w:eastAsia="Times New Roman" w:hAnsiTheme="minorHAnsi" w:cstheme="minorHAnsi"/>
          <w:szCs w:val="20"/>
        </w:rPr>
        <w:t>ństwa</w:t>
      </w:r>
      <w:r w:rsidR="00DE05DC" w:rsidRPr="009E064B">
        <w:rPr>
          <w:rFonts w:asciiTheme="minorHAnsi" w:eastAsia="Times New Roman" w:hAnsiTheme="minorHAnsi" w:cstheme="minorHAnsi"/>
          <w:szCs w:val="20"/>
        </w:rPr>
        <w:t xml:space="preserve"> Lotniczego zgodnie z </w:t>
      </w:r>
      <w:r w:rsidR="004A5263" w:rsidRPr="009E064B">
        <w:rPr>
          <w:rFonts w:asciiTheme="minorHAnsi" w:eastAsia="Times New Roman" w:hAnsiTheme="minorHAnsi" w:cstheme="minorHAnsi"/>
          <w:szCs w:val="20"/>
        </w:rPr>
        <w:t>art. 17 ust. </w:t>
      </w:r>
      <w:r w:rsidR="00DE05DC" w:rsidRPr="009E064B">
        <w:rPr>
          <w:rFonts w:asciiTheme="minorHAnsi" w:eastAsia="Times New Roman" w:hAnsiTheme="minorHAnsi" w:cstheme="minorHAnsi"/>
          <w:szCs w:val="20"/>
        </w:rPr>
        <w:t>2 lit.</w:t>
      </w:r>
      <w:r w:rsidR="00994DFF" w:rsidRPr="009E064B">
        <w:rPr>
          <w:rFonts w:asciiTheme="minorHAnsi" w:eastAsia="Times New Roman" w:hAnsiTheme="minorHAnsi" w:cstheme="minorHAnsi"/>
          <w:szCs w:val="20"/>
        </w:rPr>
        <w:t> b) i art. 19 ust. </w:t>
      </w:r>
      <w:r w:rsidR="00DE05DC" w:rsidRPr="009E064B">
        <w:rPr>
          <w:rFonts w:asciiTheme="minorHAnsi" w:eastAsia="Times New Roman" w:hAnsiTheme="minorHAnsi" w:cstheme="minorHAnsi"/>
          <w:szCs w:val="20"/>
        </w:rPr>
        <w:t>1 rozporządzenia (WE) nr 216/2008.</w:t>
      </w:r>
    </w:p>
    <w:p w14:paraId="19B508A2" w14:textId="77777777" w:rsidR="00DC7DA6" w:rsidRPr="009E064B" w:rsidRDefault="0009716F" w:rsidP="00B06A9A">
      <w:pPr>
        <w:tabs>
          <w:tab w:val="left" w:pos="567"/>
        </w:tabs>
        <w:spacing w:after="24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(1</w:t>
      </w:r>
      <w:r w:rsidR="00856770" w:rsidRPr="009E064B">
        <w:rPr>
          <w:rFonts w:asciiTheme="minorHAnsi" w:eastAsia="Times New Roman" w:hAnsiTheme="minorHAnsi" w:cstheme="minorHAnsi"/>
          <w:szCs w:val="20"/>
        </w:rPr>
        <w:t>1</w:t>
      </w:r>
      <w:r w:rsidRPr="009E064B">
        <w:rPr>
          <w:rFonts w:asciiTheme="minorHAnsi" w:eastAsia="Times New Roman" w:hAnsiTheme="minorHAnsi" w:cstheme="minorHAnsi"/>
          <w:szCs w:val="20"/>
        </w:rPr>
        <w:t xml:space="preserve">) </w:t>
      </w:r>
      <w:r w:rsidR="0085677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Środki przewidziane w niniejszym rozporządzeniu są zgodne z opinią komitetu ustanowionego na mocy art. 65 rozporządzenia (WE) nr 216/2008,</w:t>
      </w:r>
    </w:p>
    <w:p w14:paraId="44646E88" w14:textId="0C3341B7" w:rsidR="00565B0F" w:rsidRPr="009E064B" w:rsidRDefault="00DE05DC" w:rsidP="008529A2">
      <w:pPr>
        <w:pStyle w:val="Tekstpodstawowy"/>
        <w:ind w:left="0" w:right="-2" w:firstLine="0"/>
        <w:rPr>
          <w:rFonts w:asciiTheme="minorHAnsi" w:hAnsiTheme="minorHAnsi" w:cstheme="minorHAnsi"/>
          <w:szCs w:val="20"/>
        </w:rPr>
      </w:pPr>
      <w:r w:rsidRPr="009E064B">
        <w:rPr>
          <w:rFonts w:asciiTheme="minorHAnsi" w:hAnsiTheme="minorHAnsi" w:cstheme="minorHAnsi"/>
          <w:sz w:val="20"/>
          <w:szCs w:val="20"/>
        </w:rPr>
        <w:t>PRZYJMUJE NINIEJSZE ROZPORZĄDZENIE:</w:t>
      </w:r>
      <w:r w:rsidR="008529A2" w:rsidRPr="009E064B">
        <w:rPr>
          <w:rFonts w:asciiTheme="minorHAnsi" w:hAnsiTheme="minorHAnsi" w:cstheme="minorHAnsi"/>
          <w:sz w:val="20"/>
          <w:szCs w:val="20"/>
        </w:rPr>
        <w:t xml:space="preserve">  </w:t>
      </w:r>
      <w:r w:rsidR="00565B0F" w:rsidRPr="009E064B">
        <w:rPr>
          <w:rFonts w:asciiTheme="minorHAnsi" w:hAnsiTheme="minorHAnsi" w:cstheme="minorHAnsi"/>
          <w:szCs w:val="20"/>
        </w:rPr>
        <w:br w:type="page"/>
      </w:r>
    </w:p>
    <w:p w14:paraId="5BF12435" w14:textId="030F6F71" w:rsidR="007374CF" w:rsidRPr="009E064B" w:rsidRDefault="00311BA7" w:rsidP="00020EA3">
      <w:pPr>
        <w:pStyle w:val="Nagwek2"/>
      </w:pPr>
      <w:bookmarkStart w:id="7" w:name="_Toc12532522"/>
      <w:r w:rsidRPr="009E064B">
        <w:t xml:space="preserve">Artykuł 1    </w:t>
      </w:r>
      <w:r w:rsidR="007374CF" w:rsidRPr="009E064B">
        <w:t>Przedmiot i zakres stosowania</w:t>
      </w:r>
      <w:bookmarkEnd w:id="7"/>
    </w:p>
    <w:p w14:paraId="4D06E610" w14:textId="6F9F4AD4" w:rsidR="007374CF"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CB4C15E" w14:textId="77777777" w:rsidR="007374CF" w:rsidRPr="009E064B" w:rsidRDefault="007374CF"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Pr="009E064B">
        <w:rPr>
          <w:rFonts w:asciiTheme="minorHAnsi" w:eastAsia="Times New Roman" w:hAnsiTheme="minorHAnsi" w:cstheme="minorHAnsi"/>
          <w:szCs w:val="20"/>
        </w:rPr>
        <w:tab/>
        <w:t>Niniejsze rozporządzenie określa szczegółowe przepisy dotyczące:</w:t>
      </w:r>
    </w:p>
    <w:p w14:paraId="5D6AE68C" w14:textId="765DF7B3"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a) </w:t>
      </w:r>
      <w:r w:rsidRPr="009E064B">
        <w:rPr>
          <w:rFonts w:asciiTheme="minorHAnsi" w:eastAsia="Times New Roman" w:hAnsiTheme="minorHAnsi" w:cstheme="minorHAnsi"/>
          <w:szCs w:val="20"/>
        </w:rPr>
        <w:tab/>
        <w:t xml:space="preserve">warunków ustanowienia podstawy certyfikacji mającej zastosowanie do danego lotniska oraz warunków informowania </w:t>
      </w:r>
      <w:r w:rsidR="00B638F6" w:rsidRPr="009E064B">
        <w:rPr>
          <w:rFonts w:asciiTheme="minorHAnsi" w:eastAsia="Times New Roman" w:hAnsiTheme="minorHAnsi" w:cstheme="minorHAnsi"/>
          <w:szCs w:val="20"/>
        </w:rPr>
        <w:t xml:space="preserve">o niej wnioskodawcy, zgodnie z </w:t>
      </w:r>
      <w:hyperlink w:anchor="_ZAŁĄCZNIK_II_—" w:history="1">
        <w:r w:rsidR="00B638F6" w:rsidRPr="009E064B">
          <w:rPr>
            <w:rStyle w:val="Hipercze"/>
            <w:rFonts w:asciiTheme="minorHAnsi" w:eastAsia="Times New Roman" w:hAnsiTheme="minorHAnsi" w:cstheme="minorHAnsi"/>
            <w:szCs w:val="20"/>
          </w:rPr>
          <w:t>Z</w:t>
        </w:r>
        <w:r w:rsidRPr="009E064B">
          <w:rPr>
            <w:rStyle w:val="Hipercze"/>
            <w:rFonts w:asciiTheme="minorHAnsi" w:eastAsia="Times New Roman" w:hAnsiTheme="minorHAnsi" w:cstheme="minorHAnsi"/>
            <w:szCs w:val="20"/>
          </w:rPr>
          <w:t>ałącznik</w:t>
        </w:r>
        <w:r w:rsidR="00994DFF" w:rsidRPr="009E064B">
          <w:rPr>
            <w:rStyle w:val="Hipercze"/>
            <w:rFonts w:asciiTheme="minorHAnsi" w:eastAsia="Times New Roman" w:hAnsiTheme="minorHAnsi" w:cstheme="minorHAnsi"/>
            <w:szCs w:val="20"/>
          </w:rPr>
          <w:t>iem </w:t>
        </w:r>
        <w:r w:rsidR="00B638F6" w:rsidRPr="009E064B">
          <w:rPr>
            <w:rStyle w:val="Hipercze"/>
            <w:rFonts w:asciiTheme="minorHAnsi" w:eastAsia="Times New Roman" w:hAnsiTheme="minorHAnsi" w:cstheme="minorHAnsi"/>
            <w:szCs w:val="20"/>
          </w:rPr>
          <w:t>II</w:t>
        </w:r>
      </w:hyperlink>
      <w:r w:rsidR="00B638F6" w:rsidRPr="009E064B">
        <w:rPr>
          <w:rFonts w:asciiTheme="minorHAnsi" w:eastAsia="Times New Roman" w:hAnsiTheme="minorHAnsi" w:cstheme="minorHAnsi"/>
          <w:szCs w:val="20"/>
        </w:rPr>
        <w:t xml:space="preserve"> i </w:t>
      </w:r>
      <w:hyperlink w:anchor="_ZAŁĄCZNIK_III_—" w:history="1">
        <w:r w:rsidR="00B638F6" w:rsidRPr="009E064B">
          <w:rPr>
            <w:rStyle w:val="Hipercze"/>
            <w:rFonts w:asciiTheme="minorHAnsi" w:eastAsia="Times New Roman" w:hAnsiTheme="minorHAnsi" w:cstheme="minorHAnsi"/>
            <w:szCs w:val="20"/>
          </w:rPr>
          <w:t xml:space="preserve">Załącznikiem </w:t>
        </w:r>
        <w:r w:rsidRPr="009E064B">
          <w:rPr>
            <w:rStyle w:val="Hipercze"/>
            <w:rFonts w:asciiTheme="minorHAnsi" w:eastAsia="Times New Roman" w:hAnsiTheme="minorHAnsi" w:cstheme="minorHAnsi"/>
            <w:szCs w:val="20"/>
          </w:rPr>
          <w:t>III</w:t>
        </w:r>
      </w:hyperlink>
      <w:r w:rsidRPr="009E064B">
        <w:rPr>
          <w:rFonts w:asciiTheme="minorHAnsi" w:eastAsia="Times New Roman" w:hAnsiTheme="minorHAnsi" w:cstheme="minorHAnsi"/>
          <w:szCs w:val="20"/>
        </w:rPr>
        <w:t>;</w:t>
      </w:r>
    </w:p>
    <w:p w14:paraId="691B79ED" w14:textId="48904E7A"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b) </w:t>
      </w:r>
      <w:r w:rsidRPr="009E064B">
        <w:rPr>
          <w:rFonts w:asciiTheme="minorHAnsi" w:eastAsia="Times New Roman" w:hAnsiTheme="minorHAnsi" w:cstheme="minorHAnsi"/>
          <w:szCs w:val="20"/>
        </w:rPr>
        <w:tab/>
        <w:t xml:space="preserve">warunków wydawania, utrzymywania w mocy, zmiany, ograniczania, zawieszania lub cofania certyfikatów dla lotnisk oraz certyfikatów dla organizacji odpowiedzialnych za eksploatację lotnisk, w tym ograniczeń eksploatacyjnych związanych ze szczególną konstrukcją lotniska, zgodnie z </w:t>
      </w:r>
      <w:hyperlink w:anchor="_ZAŁĄCZNIK_II_—" w:history="1">
        <w:r w:rsidR="00B638F6" w:rsidRPr="009E064B">
          <w:rPr>
            <w:rStyle w:val="Hipercze"/>
            <w:rFonts w:asciiTheme="minorHAnsi" w:eastAsia="Times New Roman" w:hAnsiTheme="minorHAnsi" w:cstheme="minorHAnsi"/>
            <w:szCs w:val="20"/>
          </w:rPr>
          <w:t>Załącznikiem II</w:t>
        </w:r>
      </w:hyperlink>
      <w:r w:rsidR="00B638F6" w:rsidRPr="009E064B">
        <w:rPr>
          <w:rFonts w:asciiTheme="minorHAnsi" w:eastAsia="Times New Roman" w:hAnsiTheme="minorHAnsi" w:cstheme="minorHAnsi"/>
          <w:szCs w:val="20"/>
        </w:rPr>
        <w:t xml:space="preserve"> i </w:t>
      </w:r>
      <w:hyperlink w:anchor="_ZAŁĄCZNIK_III_—" w:history="1">
        <w:r w:rsidR="00B638F6" w:rsidRPr="009E064B">
          <w:rPr>
            <w:rStyle w:val="Hipercze"/>
            <w:rFonts w:asciiTheme="minorHAnsi" w:eastAsia="Times New Roman" w:hAnsiTheme="minorHAnsi" w:cstheme="minorHAnsi"/>
            <w:szCs w:val="20"/>
          </w:rPr>
          <w:t>Załącznikiem III</w:t>
        </w:r>
      </w:hyperlink>
      <w:r w:rsidRPr="009E064B">
        <w:rPr>
          <w:rFonts w:asciiTheme="minorHAnsi" w:eastAsia="Times New Roman" w:hAnsiTheme="minorHAnsi" w:cstheme="minorHAnsi"/>
          <w:szCs w:val="20"/>
        </w:rPr>
        <w:t>;</w:t>
      </w:r>
    </w:p>
    <w:p w14:paraId="5E21569B" w14:textId="59BED1B0"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c) </w:t>
      </w:r>
      <w:r w:rsidRPr="009E064B">
        <w:rPr>
          <w:rFonts w:asciiTheme="minorHAnsi" w:eastAsia="Times New Roman" w:hAnsiTheme="minorHAnsi" w:cstheme="minorHAnsi"/>
          <w:szCs w:val="20"/>
        </w:rPr>
        <w:tab/>
        <w:t>warunków eksploatacji lotniska zgodnie z zasadni</w:t>
      </w:r>
      <w:r w:rsidR="004A5263" w:rsidRPr="009E064B">
        <w:rPr>
          <w:rFonts w:asciiTheme="minorHAnsi" w:eastAsia="Times New Roman" w:hAnsiTheme="minorHAnsi" w:cstheme="minorHAnsi"/>
          <w:szCs w:val="20"/>
        </w:rPr>
        <w:t>czymi wymaganiami określonymi w </w:t>
      </w:r>
      <w:r w:rsidR="00B638F6" w:rsidRPr="009E064B">
        <w:rPr>
          <w:rFonts w:asciiTheme="minorHAnsi" w:eastAsia="Times New Roman" w:hAnsiTheme="minorHAnsi" w:cstheme="minorHAnsi"/>
          <w:szCs w:val="20"/>
        </w:rPr>
        <w:t>Z</w:t>
      </w:r>
      <w:r w:rsidRPr="009E064B">
        <w:rPr>
          <w:rFonts w:asciiTheme="minorHAnsi" w:eastAsia="Times New Roman" w:hAnsiTheme="minorHAnsi" w:cstheme="minorHAnsi"/>
          <w:szCs w:val="20"/>
        </w:rPr>
        <w:t xml:space="preserve">ałączniku Va oraz, w stosownych przypadkach, </w:t>
      </w:r>
      <w:r w:rsidR="00B638F6" w:rsidRPr="009E064B">
        <w:rPr>
          <w:rFonts w:asciiTheme="minorHAnsi" w:eastAsia="Times New Roman" w:hAnsiTheme="minorHAnsi" w:cstheme="minorHAnsi"/>
          <w:szCs w:val="20"/>
        </w:rPr>
        <w:t>Z</w:t>
      </w:r>
      <w:r w:rsidRPr="009E064B">
        <w:rPr>
          <w:rFonts w:asciiTheme="minorHAnsi" w:eastAsia="Times New Roman" w:hAnsiTheme="minorHAnsi" w:cstheme="minorHAnsi"/>
          <w:szCs w:val="20"/>
        </w:rPr>
        <w:t>ałączniku Vb do rozporządzen</w:t>
      </w:r>
      <w:r w:rsidR="00B638F6" w:rsidRPr="009E064B">
        <w:rPr>
          <w:rFonts w:asciiTheme="minorHAnsi" w:eastAsia="Times New Roman" w:hAnsiTheme="minorHAnsi" w:cstheme="minorHAnsi"/>
          <w:szCs w:val="20"/>
        </w:rPr>
        <w:t xml:space="preserve">ia (WE) nr 216/2008, zgodnie z </w:t>
      </w:r>
      <w:hyperlink w:anchor="_ZAŁĄCZNIK_IV_—" w:history="1">
        <w:r w:rsidR="00B638F6" w:rsidRPr="009E064B">
          <w:rPr>
            <w:rStyle w:val="Hipercze"/>
            <w:rFonts w:asciiTheme="minorHAnsi" w:eastAsia="Times New Roman" w:hAnsiTheme="minorHAnsi" w:cstheme="minorHAnsi"/>
            <w:szCs w:val="20"/>
          </w:rPr>
          <w:t>Z</w:t>
        </w:r>
        <w:r w:rsidRPr="009E064B">
          <w:rPr>
            <w:rStyle w:val="Hipercze"/>
            <w:rFonts w:asciiTheme="minorHAnsi" w:eastAsia="Times New Roman" w:hAnsiTheme="minorHAnsi" w:cstheme="minorHAnsi"/>
            <w:szCs w:val="20"/>
          </w:rPr>
          <w:t>ałącznikiem IV</w:t>
        </w:r>
      </w:hyperlink>
      <w:r w:rsidRPr="009E064B">
        <w:rPr>
          <w:rFonts w:asciiTheme="minorHAnsi" w:eastAsia="Times New Roman" w:hAnsiTheme="minorHAnsi" w:cstheme="minorHAnsi"/>
          <w:szCs w:val="20"/>
        </w:rPr>
        <w:t>;</w:t>
      </w:r>
    </w:p>
    <w:p w14:paraId="40046C86" w14:textId="353328F2"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d) </w:t>
      </w:r>
      <w:r w:rsidRPr="009E064B">
        <w:rPr>
          <w:rFonts w:asciiTheme="minorHAnsi" w:eastAsia="Times New Roman" w:hAnsiTheme="minorHAnsi" w:cstheme="minorHAnsi"/>
          <w:szCs w:val="20"/>
        </w:rPr>
        <w:tab/>
        <w:t>obowiązków posi</w:t>
      </w:r>
      <w:r w:rsidR="00B638F6" w:rsidRPr="009E064B">
        <w:rPr>
          <w:rFonts w:asciiTheme="minorHAnsi" w:eastAsia="Times New Roman" w:hAnsiTheme="minorHAnsi" w:cstheme="minorHAnsi"/>
          <w:szCs w:val="20"/>
        </w:rPr>
        <w:t xml:space="preserve">adaczy certyfikatów, zgodnie z </w:t>
      </w:r>
      <w:hyperlink w:anchor="_ZAŁĄCZNIK_III_—" w:history="1">
        <w:r w:rsidR="00B638F6" w:rsidRPr="009E064B">
          <w:rPr>
            <w:rStyle w:val="Hipercze"/>
            <w:rFonts w:asciiTheme="minorHAnsi" w:eastAsia="Times New Roman" w:hAnsiTheme="minorHAnsi" w:cstheme="minorHAnsi"/>
            <w:szCs w:val="20"/>
          </w:rPr>
          <w:t>Załącznikiem III</w:t>
        </w:r>
      </w:hyperlink>
      <w:r w:rsidRPr="009E064B">
        <w:rPr>
          <w:rFonts w:asciiTheme="minorHAnsi" w:eastAsia="Times New Roman" w:hAnsiTheme="minorHAnsi" w:cstheme="minorHAnsi"/>
          <w:szCs w:val="20"/>
        </w:rPr>
        <w:t>;</w:t>
      </w:r>
    </w:p>
    <w:p w14:paraId="04C41FF5" w14:textId="77777777"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e) </w:t>
      </w:r>
      <w:r w:rsidRPr="009E064B">
        <w:rPr>
          <w:rFonts w:asciiTheme="minorHAnsi" w:eastAsia="Times New Roman" w:hAnsiTheme="minorHAnsi" w:cstheme="minorHAnsi"/>
          <w:szCs w:val="20"/>
        </w:rPr>
        <w:tab/>
        <w:t>warunków uznawania i konwersji istniejących certyfikatów dla lotnisk wydanych przez państwa członkowskie;</w:t>
      </w:r>
    </w:p>
    <w:p w14:paraId="730AB438" w14:textId="2DD60F80"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f) </w:t>
      </w:r>
      <w:r w:rsidRPr="009E064B">
        <w:rPr>
          <w:rFonts w:asciiTheme="minorHAnsi" w:eastAsia="Times New Roman" w:hAnsiTheme="minorHAnsi" w:cstheme="minorHAnsi"/>
          <w:szCs w:val="20"/>
        </w:rPr>
        <w:tab/>
        <w:t>warunków wydawania decyzji o odmowie przyznania zw</w:t>
      </w:r>
      <w:r w:rsidR="004A5263" w:rsidRPr="009E064B">
        <w:rPr>
          <w:rFonts w:asciiTheme="minorHAnsi" w:eastAsia="Times New Roman" w:hAnsiTheme="minorHAnsi" w:cstheme="minorHAnsi"/>
          <w:szCs w:val="20"/>
        </w:rPr>
        <w:t>olnienia, o których mow</w:t>
      </w:r>
      <w:r w:rsidR="0077724D" w:rsidRPr="009E064B">
        <w:rPr>
          <w:rFonts w:asciiTheme="minorHAnsi" w:eastAsia="Times New Roman" w:hAnsiTheme="minorHAnsi" w:cstheme="minorHAnsi"/>
          <w:szCs w:val="20"/>
        </w:rPr>
        <w:t>a w </w:t>
      </w:r>
      <w:r w:rsidR="00C16626" w:rsidRPr="009E064B">
        <w:rPr>
          <w:rFonts w:asciiTheme="minorHAnsi" w:eastAsia="Times New Roman" w:hAnsiTheme="minorHAnsi" w:cstheme="minorHAnsi"/>
          <w:szCs w:val="20"/>
        </w:rPr>
        <w:t>A</w:t>
      </w:r>
      <w:r w:rsidR="004A5263" w:rsidRPr="009E064B">
        <w:rPr>
          <w:rFonts w:asciiTheme="minorHAnsi" w:eastAsia="Times New Roman" w:hAnsiTheme="minorHAnsi" w:cstheme="minorHAnsi"/>
          <w:szCs w:val="20"/>
        </w:rPr>
        <w:t>rt. </w:t>
      </w:r>
      <w:r w:rsidRPr="009E064B">
        <w:rPr>
          <w:rFonts w:asciiTheme="minorHAnsi" w:eastAsia="Times New Roman" w:hAnsiTheme="minorHAnsi" w:cstheme="minorHAnsi"/>
          <w:szCs w:val="20"/>
        </w:rPr>
        <w:t>4 ust. 3b rozporządzenia (WE) nr 216/2008, w tym kryteriów dotyczących lotnisk towarowych, powiadamiania o lotniskach objętych zwolnieniem i weryfikacji przyznanych zwolnień;</w:t>
      </w:r>
    </w:p>
    <w:p w14:paraId="7CB0CDB6" w14:textId="3D4B56F9" w:rsidR="007374CF" w:rsidRPr="009E064B" w:rsidRDefault="007374CF"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g) </w:t>
      </w:r>
      <w:r w:rsidRPr="009E064B">
        <w:rPr>
          <w:rFonts w:asciiTheme="minorHAnsi" w:eastAsia="Times New Roman" w:hAnsiTheme="minorHAnsi" w:cstheme="minorHAnsi"/>
          <w:szCs w:val="20"/>
        </w:rPr>
        <w:tab/>
        <w:t>warunków, w których zabrania się przeprowadzania operacji lotniczych lub je ogranicza bądź uzależnia od spełnienia określonych zaleceń w inte</w:t>
      </w:r>
      <w:r w:rsidR="004A5263" w:rsidRPr="009E064B">
        <w:rPr>
          <w:rFonts w:asciiTheme="minorHAnsi" w:eastAsia="Times New Roman" w:hAnsiTheme="minorHAnsi" w:cstheme="minorHAnsi"/>
          <w:szCs w:val="20"/>
        </w:rPr>
        <w:t>resie bezpieczeństwa, zgodnie z </w:t>
      </w:r>
      <w:hyperlink w:anchor="_ZAŁĄCZNIK_III_—" w:history="1">
        <w:r w:rsidR="007365B2" w:rsidRPr="009E064B">
          <w:rPr>
            <w:rStyle w:val="Hipercze"/>
            <w:rFonts w:asciiTheme="minorHAnsi" w:eastAsia="Times New Roman" w:hAnsiTheme="minorHAnsi" w:cstheme="minorHAnsi"/>
            <w:szCs w:val="20"/>
          </w:rPr>
          <w:t>Załącznikiem III</w:t>
        </w:r>
      </w:hyperlink>
      <w:r w:rsidRPr="009E064B">
        <w:rPr>
          <w:rFonts w:asciiTheme="minorHAnsi" w:eastAsia="Times New Roman" w:hAnsiTheme="minorHAnsi" w:cstheme="minorHAnsi"/>
          <w:szCs w:val="20"/>
        </w:rPr>
        <w:t>;</w:t>
      </w:r>
    </w:p>
    <w:p w14:paraId="25D0CB9C" w14:textId="010D09A7" w:rsidR="007374CF" w:rsidRPr="009E064B" w:rsidRDefault="007374CF"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h) </w:t>
      </w:r>
      <w:r w:rsidRPr="009E064B">
        <w:rPr>
          <w:rFonts w:asciiTheme="minorHAnsi" w:eastAsia="Times New Roman" w:hAnsiTheme="minorHAnsi" w:cstheme="minorHAnsi"/>
          <w:szCs w:val="20"/>
        </w:rPr>
        <w:tab/>
        <w:t xml:space="preserve">określonych warunków i procedur składania deklaracji przez instytucje zapewniające służbę zarządzania płytą postojową, o których mowa w </w:t>
      </w:r>
      <w:r w:rsidR="00C16626" w:rsidRPr="009E064B">
        <w:rPr>
          <w:rFonts w:asciiTheme="minorHAnsi" w:eastAsia="Times New Roman" w:hAnsiTheme="minorHAnsi" w:cstheme="minorHAnsi"/>
          <w:szCs w:val="20"/>
        </w:rPr>
        <w:t>A</w:t>
      </w:r>
      <w:r w:rsidR="00994DFF" w:rsidRPr="009E064B">
        <w:rPr>
          <w:rFonts w:asciiTheme="minorHAnsi" w:eastAsia="Times New Roman" w:hAnsiTheme="minorHAnsi" w:cstheme="minorHAnsi"/>
          <w:szCs w:val="20"/>
        </w:rPr>
        <w:t>rt. </w:t>
      </w:r>
      <w:r w:rsidRPr="009E064B">
        <w:rPr>
          <w:rFonts w:asciiTheme="minorHAnsi" w:eastAsia="Times New Roman" w:hAnsiTheme="minorHAnsi" w:cstheme="minorHAnsi"/>
          <w:szCs w:val="20"/>
        </w:rPr>
        <w:t>8a ust</w:t>
      </w:r>
      <w:r w:rsidR="00994DFF" w:rsidRPr="009E064B">
        <w:rPr>
          <w:rFonts w:asciiTheme="minorHAnsi" w:eastAsia="Times New Roman" w:hAnsiTheme="minorHAnsi" w:cstheme="minorHAnsi"/>
          <w:szCs w:val="20"/>
        </w:rPr>
        <w:t>. 2 lit. </w:t>
      </w:r>
      <w:r w:rsidRPr="009E064B">
        <w:rPr>
          <w:rFonts w:asciiTheme="minorHAnsi" w:eastAsia="Times New Roman" w:hAnsiTheme="minorHAnsi" w:cstheme="minorHAnsi"/>
          <w:szCs w:val="20"/>
        </w:rPr>
        <w:t>e) rozporządzenia (WE) nr 216/2008, oraz warunków i procedur sprawowa</w:t>
      </w:r>
      <w:r w:rsidR="004A5263" w:rsidRPr="009E064B">
        <w:rPr>
          <w:rFonts w:asciiTheme="minorHAnsi" w:eastAsia="Times New Roman" w:hAnsiTheme="minorHAnsi" w:cstheme="minorHAnsi"/>
          <w:szCs w:val="20"/>
        </w:rPr>
        <w:t>nia nad nimi nadzoru, zgodnie z </w:t>
      </w:r>
      <w:hyperlink w:anchor="_ZAŁĄCZNIK_II_—" w:history="1">
        <w:r w:rsidR="00B638F6" w:rsidRPr="009E064B">
          <w:rPr>
            <w:rStyle w:val="Hipercze"/>
            <w:rFonts w:asciiTheme="minorHAnsi" w:eastAsia="Times New Roman" w:hAnsiTheme="minorHAnsi" w:cstheme="minorHAnsi"/>
            <w:szCs w:val="20"/>
          </w:rPr>
          <w:t>Załącznikiem II</w:t>
        </w:r>
      </w:hyperlink>
      <w:r w:rsidR="00B638F6" w:rsidRPr="009E064B">
        <w:rPr>
          <w:rFonts w:asciiTheme="minorHAnsi" w:eastAsia="Times New Roman" w:hAnsiTheme="minorHAnsi" w:cstheme="minorHAnsi"/>
          <w:szCs w:val="20"/>
        </w:rPr>
        <w:t xml:space="preserve"> i </w:t>
      </w:r>
      <w:hyperlink w:anchor="_ZAŁĄCZNIK_III_—" w:history="1">
        <w:r w:rsidR="00B638F6" w:rsidRPr="009E064B">
          <w:rPr>
            <w:rStyle w:val="Hipercze"/>
            <w:rFonts w:asciiTheme="minorHAnsi" w:eastAsia="Times New Roman" w:hAnsiTheme="minorHAnsi" w:cstheme="minorHAnsi"/>
            <w:szCs w:val="20"/>
          </w:rPr>
          <w:t>Załącznikiem III</w:t>
        </w:r>
      </w:hyperlink>
      <w:r w:rsidRPr="009E064B">
        <w:rPr>
          <w:rFonts w:asciiTheme="minorHAnsi" w:eastAsia="Times New Roman" w:hAnsiTheme="minorHAnsi" w:cstheme="minorHAnsi"/>
          <w:szCs w:val="20"/>
        </w:rPr>
        <w:t>.</w:t>
      </w:r>
    </w:p>
    <w:p w14:paraId="561FE953" w14:textId="722FB0AA" w:rsidR="007374CF" w:rsidRPr="009E064B" w:rsidRDefault="007374C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Pr="009E064B">
        <w:rPr>
          <w:rFonts w:asciiTheme="minorHAnsi" w:eastAsia="Times New Roman" w:hAnsiTheme="minorHAnsi" w:cstheme="minorHAnsi"/>
          <w:szCs w:val="20"/>
        </w:rPr>
        <w:tab/>
        <w:t>Właściwe organy zaangażowane w certyfikację i nadzór nad lo</w:t>
      </w:r>
      <w:r w:rsidR="004A5263" w:rsidRPr="009E064B">
        <w:rPr>
          <w:rFonts w:asciiTheme="minorHAnsi" w:eastAsia="Times New Roman" w:hAnsiTheme="minorHAnsi" w:cstheme="minorHAnsi"/>
          <w:szCs w:val="20"/>
        </w:rPr>
        <w:t>tniskami, operatorami lotnisk i </w:t>
      </w:r>
      <w:r w:rsidRPr="009E064B">
        <w:rPr>
          <w:rFonts w:asciiTheme="minorHAnsi" w:eastAsia="Times New Roman" w:hAnsiTheme="minorHAnsi" w:cstheme="minorHAnsi"/>
          <w:szCs w:val="20"/>
        </w:rPr>
        <w:t xml:space="preserve">instytucjami zapewniającymi służbę zarządzania płytą postojową muszą </w:t>
      </w:r>
      <w:r w:rsidR="00B638F6" w:rsidRPr="009E064B">
        <w:rPr>
          <w:rFonts w:asciiTheme="minorHAnsi" w:eastAsia="Times New Roman" w:hAnsiTheme="minorHAnsi" w:cstheme="minorHAnsi"/>
          <w:szCs w:val="20"/>
        </w:rPr>
        <w:t xml:space="preserve">spełniać wymagania określone w </w:t>
      </w:r>
      <w:hyperlink w:anchor="_ZAŁĄCZNIK_II_—" w:history="1">
        <w:r w:rsidR="007365B2" w:rsidRPr="009E064B">
          <w:rPr>
            <w:rStyle w:val="Hipercze"/>
            <w:rFonts w:asciiTheme="minorHAnsi" w:eastAsia="Times New Roman" w:hAnsiTheme="minorHAnsi" w:cstheme="minorHAnsi"/>
            <w:szCs w:val="20"/>
          </w:rPr>
          <w:t>Załączniku II</w:t>
        </w:r>
      </w:hyperlink>
      <w:r w:rsidRPr="009E064B">
        <w:rPr>
          <w:rFonts w:asciiTheme="minorHAnsi" w:eastAsia="Times New Roman" w:hAnsiTheme="minorHAnsi" w:cstheme="minorHAnsi"/>
          <w:szCs w:val="20"/>
        </w:rPr>
        <w:t>.</w:t>
      </w:r>
    </w:p>
    <w:p w14:paraId="21470433" w14:textId="07B3C8EF" w:rsidR="007374CF" w:rsidRPr="009E064B" w:rsidRDefault="007374C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Pr="009E064B">
        <w:rPr>
          <w:rFonts w:asciiTheme="minorHAnsi" w:eastAsia="Times New Roman" w:hAnsiTheme="minorHAnsi" w:cstheme="minorHAnsi"/>
          <w:szCs w:val="20"/>
        </w:rPr>
        <w:tab/>
        <w:t xml:space="preserve">Operatorzy lotnisk i instytucje zapewniające służbę zarządzania płytą postojową muszą </w:t>
      </w:r>
      <w:r w:rsidR="00B638F6" w:rsidRPr="009E064B">
        <w:rPr>
          <w:rFonts w:asciiTheme="minorHAnsi" w:eastAsia="Times New Roman" w:hAnsiTheme="minorHAnsi" w:cstheme="minorHAnsi"/>
          <w:szCs w:val="20"/>
        </w:rPr>
        <w:t xml:space="preserve">spełniać wymagania określone w </w:t>
      </w:r>
      <w:hyperlink w:anchor="_ZAŁĄCZNIK_III_—" w:history="1">
        <w:r w:rsidR="007365B2" w:rsidRPr="009E064B">
          <w:rPr>
            <w:rStyle w:val="Hipercze"/>
            <w:rFonts w:asciiTheme="minorHAnsi" w:eastAsia="Times New Roman" w:hAnsiTheme="minorHAnsi" w:cstheme="minorHAnsi"/>
            <w:szCs w:val="20"/>
          </w:rPr>
          <w:t>Załączniku III</w:t>
        </w:r>
      </w:hyperlink>
      <w:r w:rsidRPr="009E064B">
        <w:rPr>
          <w:rFonts w:asciiTheme="minorHAnsi" w:eastAsia="Times New Roman" w:hAnsiTheme="minorHAnsi" w:cstheme="minorHAnsi"/>
          <w:szCs w:val="20"/>
        </w:rPr>
        <w:t>.</w:t>
      </w:r>
    </w:p>
    <w:p w14:paraId="3C78D359" w14:textId="02F155C5" w:rsidR="007374CF" w:rsidRPr="009E064B" w:rsidRDefault="007374CF" w:rsidP="00B06A9A">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4. </w:t>
      </w:r>
      <w:r w:rsidRPr="009E064B">
        <w:rPr>
          <w:rFonts w:asciiTheme="minorHAnsi" w:eastAsia="Times New Roman" w:hAnsiTheme="minorHAnsi" w:cstheme="minorHAnsi"/>
          <w:szCs w:val="20"/>
        </w:rPr>
        <w:tab/>
        <w:t xml:space="preserve">Operatorzy lotnisk muszą </w:t>
      </w:r>
      <w:r w:rsidR="00B638F6" w:rsidRPr="009E064B">
        <w:rPr>
          <w:rFonts w:asciiTheme="minorHAnsi" w:eastAsia="Times New Roman" w:hAnsiTheme="minorHAnsi" w:cstheme="minorHAnsi"/>
          <w:szCs w:val="20"/>
        </w:rPr>
        <w:t xml:space="preserve">spełniać wymagania określone w </w:t>
      </w:r>
      <w:hyperlink w:anchor="_ZAŁĄCZNIK_II_—" w:history="1">
        <w:r w:rsidR="007365B2" w:rsidRPr="009E064B">
          <w:rPr>
            <w:rStyle w:val="Hipercze"/>
            <w:rFonts w:asciiTheme="minorHAnsi" w:eastAsia="Times New Roman" w:hAnsiTheme="minorHAnsi" w:cstheme="minorHAnsi"/>
            <w:szCs w:val="20"/>
          </w:rPr>
          <w:t>Załączniku II</w:t>
        </w:r>
      </w:hyperlink>
      <w:r w:rsidRPr="009E064B">
        <w:rPr>
          <w:rFonts w:asciiTheme="minorHAnsi" w:eastAsia="Times New Roman" w:hAnsiTheme="minorHAnsi" w:cstheme="minorHAnsi"/>
          <w:szCs w:val="20"/>
        </w:rPr>
        <w:t>.</w:t>
      </w:r>
    </w:p>
    <w:p w14:paraId="0250C75E" w14:textId="3328A217" w:rsidR="002D15E2" w:rsidRPr="009E064B" w:rsidRDefault="002D15E2" w:rsidP="00020EA3">
      <w:pPr>
        <w:pStyle w:val="Nagwek2"/>
      </w:pPr>
      <w:bookmarkStart w:id="8" w:name="_Toc12532523"/>
      <w:r w:rsidRPr="009E064B">
        <w:t xml:space="preserve">Artykuł 2 </w:t>
      </w:r>
      <w:r w:rsidR="00C36D76" w:rsidRPr="009E064B">
        <w:t xml:space="preserve">   </w:t>
      </w:r>
      <w:r w:rsidRPr="009E064B">
        <w:t>Definicje</w:t>
      </w:r>
      <w:bookmarkEnd w:id="8"/>
    </w:p>
    <w:p w14:paraId="6FFCFFF1" w14:textId="39368057" w:rsidR="002D15E2" w:rsidRPr="009E064B" w:rsidRDefault="00A80E78" w:rsidP="008529A2">
      <w:pPr>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7F3B37E" w14:textId="77777777" w:rsidR="002D15E2" w:rsidRPr="009E064B" w:rsidRDefault="002D15E2" w:rsidP="00B06A9A">
      <w:pPr>
        <w:ind w:right="-2" w:firstLine="2"/>
        <w:rPr>
          <w:rFonts w:asciiTheme="minorHAnsi" w:eastAsia="Times New Roman" w:hAnsiTheme="minorHAnsi" w:cstheme="minorHAnsi"/>
          <w:szCs w:val="20"/>
        </w:rPr>
      </w:pPr>
      <w:r w:rsidRPr="009E064B">
        <w:rPr>
          <w:rFonts w:asciiTheme="minorHAnsi" w:eastAsia="Times New Roman" w:hAnsiTheme="minorHAnsi" w:cstheme="minorHAnsi"/>
          <w:szCs w:val="20"/>
        </w:rPr>
        <w:t>Do celów niniejszego rozporządzenia stosuje się następujące definicje:</w:t>
      </w:r>
    </w:p>
    <w:p w14:paraId="3B39CBC1"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lotnisko</w:t>
      </w:r>
      <w:r w:rsidRPr="009E064B">
        <w:rPr>
          <w:rFonts w:asciiTheme="minorHAnsi" w:eastAsia="Times New Roman" w:hAnsiTheme="minorHAnsi" w:cstheme="minorHAnsi"/>
          <w:szCs w:val="20"/>
        </w:rPr>
        <w:t>” oznacza wydzielony obszar (w tym wszystkie budynki, instalacje i urządzenia) na lądzie, na wodzie, na konstrukcji stałej albo na stałej lub pływającej konstrukcji pełnomorskiej, w całości lub w części przeznaczony do lądowań, startów i naziemnego lub nawodnego ruchu statków powietrznych;</w:t>
      </w:r>
    </w:p>
    <w:p w14:paraId="334A82EE"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samolot</w:t>
      </w:r>
      <w:r w:rsidRPr="009E064B">
        <w:rPr>
          <w:rFonts w:asciiTheme="minorHAnsi" w:eastAsia="Times New Roman" w:hAnsiTheme="minorHAnsi" w:cstheme="minorHAnsi"/>
          <w:szCs w:val="20"/>
        </w:rPr>
        <w:t>” oznacza statek powietrzny o własnym napędzie silnikowym, cięższy od powietrza, uzyskujący swoją siłę nośną w locie głównie na skutek oddziaływania aerodynamicznego na powierzchnie, które pozostają nieruchome w określonych warunkach lotu;</w:t>
      </w:r>
    </w:p>
    <w:p w14:paraId="4C8DB9CE"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statek powietrzny</w:t>
      </w:r>
      <w:r w:rsidRPr="009E064B">
        <w:rPr>
          <w:rFonts w:asciiTheme="minorHAnsi" w:eastAsia="Times New Roman" w:hAnsiTheme="minorHAnsi" w:cstheme="minorHAnsi"/>
          <w:szCs w:val="20"/>
        </w:rPr>
        <w:t>” oznacza urządzenie, które może utrzymać się w powietrzu w wyniku oddziaływania powietrza innego niż oddziaływanie powietrza odbitego od powierzchni ziemi;</w:t>
      </w:r>
    </w:p>
    <w:p w14:paraId="741DE967"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4) </w:t>
      </w:r>
      <w:r w:rsidRPr="009E064B">
        <w:rPr>
          <w:rFonts w:asciiTheme="minorHAnsi" w:eastAsia="Times New Roman" w:hAnsiTheme="minorHAnsi" w:cstheme="minorHAnsi"/>
          <w:szCs w:val="20"/>
        </w:rPr>
        <w:tab/>
      </w:r>
      <w:r w:rsidRPr="009E064B">
        <w:rPr>
          <w:rFonts w:asciiTheme="minorHAnsi" w:eastAsia="Times New Roman" w:hAnsiTheme="minorHAnsi" w:cstheme="minorHAnsi"/>
          <w:b/>
          <w:szCs w:val="20"/>
        </w:rPr>
        <w:t>„płyta postojowa</w:t>
      </w:r>
      <w:r w:rsidRPr="009E064B">
        <w:rPr>
          <w:rFonts w:asciiTheme="minorHAnsi" w:eastAsia="Times New Roman" w:hAnsiTheme="minorHAnsi" w:cstheme="minorHAnsi"/>
          <w:szCs w:val="20"/>
        </w:rPr>
        <w:t>” oznacza określony obszar wydzielony dla postoju statków powietrznych, na którym odbywa się wsiadanie lub wysiadanie pasażerów, załadunek lub wyładunek poczty lub towaru, zaopatrywanie w paliwo, parkowanie lub obsługa techniczna;</w:t>
      </w:r>
    </w:p>
    <w:p w14:paraId="3A8FFEE4" w14:textId="5A46BA89"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5)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służba zarządzania płytą postojową</w:t>
      </w:r>
      <w:r w:rsidRPr="009E064B">
        <w:rPr>
          <w:rFonts w:asciiTheme="minorHAnsi" w:eastAsia="Times New Roman" w:hAnsiTheme="minorHAnsi" w:cstheme="minorHAnsi"/>
          <w:szCs w:val="20"/>
        </w:rPr>
        <w:t>” oznacza służbę zapewni</w:t>
      </w:r>
      <w:r w:rsidR="004A5263" w:rsidRPr="009E064B">
        <w:rPr>
          <w:rFonts w:asciiTheme="minorHAnsi" w:eastAsia="Times New Roman" w:hAnsiTheme="minorHAnsi" w:cstheme="minorHAnsi"/>
          <w:szCs w:val="20"/>
        </w:rPr>
        <w:t>ającą zarządzanie działaniami i </w:t>
      </w:r>
      <w:r w:rsidRPr="009E064B">
        <w:rPr>
          <w:rFonts w:asciiTheme="minorHAnsi" w:eastAsia="Times New Roman" w:hAnsiTheme="minorHAnsi" w:cstheme="minorHAnsi"/>
          <w:szCs w:val="20"/>
        </w:rPr>
        <w:t>ruchem statków powietrznych i pojazdów na płycie postojowej;</w:t>
      </w:r>
    </w:p>
    <w:p w14:paraId="41324F03" w14:textId="3E6F3741"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6)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audy</w:t>
      </w:r>
      <w:r w:rsidRPr="009E064B">
        <w:rPr>
          <w:rFonts w:asciiTheme="minorHAnsi" w:eastAsia="Times New Roman" w:hAnsiTheme="minorHAnsi" w:cstheme="minorHAnsi"/>
          <w:szCs w:val="20"/>
        </w:rPr>
        <w:t>t” oznacza systematyczny, niezależny i udokumentowa</w:t>
      </w:r>
      <w:r w:rsidR="004A5263" w:rsidRPr="009E064B">
        <w:rPr>
          <w:rFonts w:asciiTheme="minorHAnsi" w:eastAsia="Times New Roman" w:hAnsiTheme="minorHAnsi" w:cstheme="minorHAnsi"/>
          <w:szCs w:val="20"/>
        </w:rPr>
        <w:t>ny proces uzyskiwania dowodów i </w:t>
      </w:r>
      <w:r w:rsidRPr="009E064B">
        <w:rPr>
          <w:rFonts w:asciiTheme="minorHAnsi" w:eastAsia="Times New Roman" w:hAnsiTheme="minorHAnsi" w:cstheme="minorHAnsi"/>
          <w:szCs w:val="20"/>
        </w:rPr>
        <w:t>przeprowadzania ich obiektywnej oceny w celu określenia zakresu spełnienia wymagań.</w:t>
      </w:r>
    </w:p>
    <w:p w14:paraId="420E0C4B"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7)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specyfikacje certyfikacyjne</w:t>
      </w:r>
      <w:r w:rsidRPr="009E064B">
        <w:rPr>
          <w:rFonts w:asciiTheme="minorHAnsi" w:eastAsia="Times New Roman" w:hAnsiTheme="minorHAnsi" w:cstheme="minorHAnsi"/>
          <w:szCs w:val="20"/>
        </w:rPr>
        <w:t>” oznaczają normy techniczne przyjęte przez Agencję, które wskazują sposoby wykazania zgodności z rozporządzeniem (WE) nr 216/2008 i jego przepisami wykonawczymi i które mogą być wykorzystywane przez organizację do celów certyfikacji;</w:t>
      </w:r>
    </w:p>
    <w:p w14:paraId="2FFA69CC"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8)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właściwy organ</w:t>
      </w:r>
      <w:r w:rsidRPr="009E064B">
        <w:rPr>
          <w:rFonts w:asciiTheme="minorHAnsi" w:eastAsia="Times New Roman" w:hAnsiTheme="minorHAnsi" w:cstheme="minorHAnsi"/>
          <w:szCs w:val="20"/>
        </w:rPr>
        <w:t>” oznacza organ wyznaczany w każdym państwie członkowskim, który posiada niezbędne uprawnienia i obowiązki w zakresie certyfikacji lotnisk oraz personelu i organizacji zaangażowanych w ich funkcjonowanie, a także w zakresie nadzoru nad nimi;</w:t>
      </w:r>
    </w:p>
    <w:p w14:paraId="34B974B4"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9)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stały nadzór</w:t>
      </w:r>
      <w:r w:rsidRPr="009E064B">
        <w:rPr>
          <w:rFonts w:asciiTheme="minorHAnsi" w:eastAsia="Times New Roman" w:hAnsiTheme="minorHAnsi" w:cstheme="minorHAnsi"/>
          <w:szCs w:val="20"/>
        </w:rPr>
        <w:t>” oznacza zadania, które w dowolnym czasie prowadzone są przez właściwy organ w ramach wdrażania programu nadzoru w celu sprawdzenia, czy warunki, na których przyznano certyfikat, są w sposób ciągły spełniane w trakcie jego okresu ważności;</w:t>
      </w:r>
    </w:p>
    <w:p w14:paraId="49BEDCB4"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10)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dokument akceptujący odstępstwo i sposób jego usunięcia</w:t>
      </w:r>
      <w:r w:rsidRPr="009E064B">
        <w:rPr>
          <w:rFonts w:asciiTheme="minorHAnsi" w:eastAsia="Times New Roman" w:hAnsiTheme="minorHAnsi" w:cstheme="minorHAnsi"/>
          <w:szCs w:val="20"/>
        </w:rPr>
        <w:t>” (DAAD) oznacza dokument ustanowiony przez właściwy organ na potrzeby zebrania dowodów przedstawionych w celu uzasadnienia zatwierdzenia odstępstw od specyfikacji certyfikacyjnych wydanych przez Agencję;</w:t>
      </w:r>
    </w:p>
    <w:p w14:paraId="3A25D1E3"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11)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inspekcja</w:t>
      </w:r>
      <w:r w:rsidRPr="009E064B">
        <w:rPr>
          <w:rFonts w:asciiTheme="minorHAnsi" w:eastAsia="Times New Roman" w:hAnsiTheme="minorHAnsi" w:cstheme="minorHAnsi"/>
          <w:szCs w:val="20"/>
        </w:rPr>
        <w:t>” oznacza niezależną ocenę przeprowadzaną drogą obserwacji i osądu, której towarzyszą (odpowiednio do przypadku) mierzenie, testy lub pomiary i której celem jest weryfikacja zgodności ze stosownymi wymaganiami;</w:t>
      </w:r>
    </w:p>
    <w:p w14:paraId="57F1CBE7" w14:textId="77777777"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12)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operacja</w:t>
      </w:r>
      <w:r w:rsidRPr="009E064B">
        <w:rPr>
          <w:rFonts w:asciiTheme="minorHAnsi" w:eastAsia="Times New Roman" w:hAnsiTheme="minorHAnsi" w:cstheme="minorHAnsi"/>
          <w:szCs w:val="20"/>
        </w:rPr>
        <w:t>” oznacza start lub lądowanie;</w:t>
      </w:r>
    </w:p>
    <w:p w14:paraId="72283FF8" w14:textId="77777777" w:rsidR="002D15E2" w:rsidRPr="009E064B" w:rsidRDefault="002D15E2"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13)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przeszkoda</w:t>
      </w:r>
      <w:r w:rsidRPr="009E064B">
        <w:rPr>
          <w:rFonts w:asciiTheme="minorHAnsi" w:eastAsia="Times New Roman" w:hAnsiTheme="minorHAnsi" w:cstheme="minorHAnsi"/>
          <w:szCs w:val="20"/>
        </w:rPr>
        <w:t>” oznacza wszystkie stałe (o charakterze czasowym lub trwałym) i ruchome obiekty albo ich części, które:</w:t>
      </w:r>
    </w:p>
    <w:p w14:paraId="0D2B123F" w14:textId="77777777" w:rsidR="002D15E2" w:rsidRPr="009E064B" w:rsidRDefault="002D15E2" w:rsidP="0057212B">
      <w:pPr>
        <w:numPr>
          <w:ilvl w:val="1"/>
          <w:numId w:val="2"/>
        </w:numPr>
        <w:tabs>
          <w:tab w:val="left" w:pos="993"/>
        </w:tabs>
        <w:spacing w:after="80"/>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znajdują się w strefie przeznaczonej dla ruchu naziemnego statku powietrznego, lub</w:t>
      </w:r>
    </w:p>
    <w:p w14:paraId="4867A5D2" w14:textId="792B203A" w:rsidR="002D15E2" w:rsidRPr="009E064B" w:rsidRDefault="002D15E2" w:rsidP="0057212B">
      <w:pPr>
        <w:numPr>
          <w:ilvl w:val="1"/>
          <w:numId w:val="2"/>
        </w:numPr>
        <w:tabs>
          <w:tab w:val="left" w:pos="993"/>
        </w:tabs>
        <w:spacing w:after="80"/>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przekraczają określoną powierzchnię przeznaczoną d</w:t>
      </w:r>
      <w:r w:rsidR="004A5263" w:rsidRPr="009E064B">
        <w:rPr>
          <w:rFonts w:asciiTheme="minorHAnsi" w:eastAsia="Times New Roman" w:hAnsiTheme="minorHAnsi" w:cstheme="minorHAnsi"/>
          <w:szCs w:val="20"/>
        </w:rPr>
        <w:t>o ochrony statku powietrznego w </w:t>
      </w:r>
      <w:r w:rsidRPr="009E064B">
        <w:rPr>
          <w:rFonts w:asciiTheme="minorHAnsi" w:eastAsia="Times New Roman" w:hAnsiTheme="minorHAnsi" w:cstheme="minorHAnsi"/>
          <w:szCs w:val="20"/>
        </w:rPr>
        <w:t>locie, lub</w:t>
      </w:r>
    </w:p>
    <w:p w14:paraId="4B514633" w14:textId="77777777" w:rsidR="002D15E2" w:rsidRPr="009E064B" w:rsidRDefault="002D15E2" w:rsidP="0048190F">
      <w:pPr>
        <w:numPr>
          <w:ilvl w:val="1"/>
          <w:numId w:val="2"/>
        </w:numPr>
        <w:tabs>
          <w:tab w:val="left" w:pos="993"/>
        </w:tabs>
        <w:spacing w:after="160"/>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znajdują się poza tymi określonymi powierzchniami i zostały ocenione jako stanowiące zagrożenie dla żeglugi powietrznej;</w:t>
      </w:r>
    </w:p>
    <w:p w14:paraId="07FEF55D" w14:textId="1EF93989" w:rsidR="002D15E2" w:rsidRPr="009E064B" w:rsidRDefault="002D15E2" w:rsidP="0048190F">
      <w:pPr>
        <w:tabs>
          <w:tab w:val="left" w:pos="567"/>
        </w:tabs>
        <w:spacing w:after="1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14)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powierzchnia ograniczająca przeszkody</w:t>
      </w:r>
      <w:r w:rsidRPr="009E064B">
        <w:rPr>
          <w:rFonts w:asciiTheme="minorHAnsi" w:eastAsia="Times New Roman" w:hAnsiTheme="minorHAnsi" w:cstheme="minorHAnsi"/>
          <w:szCs w:val="20"/>
        </w:rPr>
        <w:t>” oznacza powie</w:t>
      </w:r>
      <w:r w:rsidR="004A5263" w:rsidRPr="009E064B">
        <w:rPr>
          <w:rFonts w:asciiTheme="minorHAnsi" w:eastAsia="Times New Roman" w:hAnsiTheme="minorHAnsi" w:cstheme="minorHAnsi"/>
          <w:szCs w:val="20"/>
        </w:rPr>
        <w:t>rzchnię wyznaczającą granice, w </w:t>
      </w:r>
      <w:r w:rsidRPr="009E064B">
        <w:rPr>
          <w:rFonts w:asciiTheme="minorHAnsi" w:eastAsia="Times New Roman" w:hAnsiTheme="minorHAnsi" w:cstheme="minorHAnsi"/>
          <w:szCs w:val="20"/>
        </w:rPr>
        <w:t>ramach których obiekty mogą wystawać w przestrzeni powietrznej;</w:t>
      </w:r>
    </w:p>
    <w:p w14:paraId="0158167B" w14:textId="6D93A013" w:rsidR="0048190F" w:rsidRPr="009E064B" w:rsidRDefault="002D15E2" w:rsidP="00E857F8">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15) </w:t>
      </w:r>
      <w:r w:rsidRPr="009E064B">
        <w:rPr>
          <w:rFonts w:asciiTheme="minorHAnsi" w:eastAsia="Times New Roman" w:hAnsiTheme="minorHAnsi" w:cstheme="minorHAnsi"/>
          <w:szCs w:val="20"/>
        </w:rPr>
        <w:tab/>
        <w:t>„</w:t>
      </w:r>
      <w:r w:rsidRPr="009E064B">
        <w:rPr>
          <w:rFonts w:asciiTheme="minorHAnsi" w:eastAsia="Times New Roman" w:hAnsiTheme="minorHAnsi" w:cstheme="minorHAnsi"/>
          <w:b/>
          <w:szCs w:val="20"/>
        </w:rPr>
        <w:t>powierzchnia zabezpieczenia przeszkodowego</w:t>
      </w:r>
      <w:r w:rsidRPr="009E064B">
        <w:rPr>
          <w:rFonts w:asciiTheme="minorHAnsi" w:eastAsia="Times New Roman" w:hAnsiTheme="minorHAnsi" w:cstheme="minorHAnsi"/>
          <w:szCs w:val="20"/>
        </w:rPr>
        <w:t>” oznacza powierzchnię ustanowioną na potrzeby systemu wzrokowych wskaźników ścieżki podejścia, powyżej której nie dopuszcza się obecności obiektów ani rozbudowy istniejących obiektów, z wyjątkiem sytuacji, w których – zdaniem właściwego organu – nowy obiekt lub rozbudowa obiektu byłyby zasłonięte przez istniejący nieruchomy obiekt.</w:t>
      </w:r>
      <w:r w:rsidR="00E857F8" w:rsidRPr="009E064B">
        <w:rPr>
          <w:rFonts w:asciiTheme="minorHAnsi" w:eastAsia="Times New Roman" w:hAnsiTheme="minorHAnsi" w:cstheme="minorHAnsi"/>
          <w:szCs w:val="20"/>
        </w:rPr>
        <w:t xml:space="preserve"> </w:t>
      </w:r>
      <w:r w:rsidR="0048190F" w:rsidRPr="009E064B">
        <w:rPr>
          <w:rFonts w:asciiTheme="minorHAnsi" w:eastAsia="Times New Roman" w:hAnsiTheme="minorHAnsi" w:cstheme="minorHAnsi"/>
          <w:szCs w:val="20"/>
        </w:rPr>
        <w:br w:type="page"/>
      </w:r>
    </w:p>
    <w:p w14:paraId="6C10E1C4" w14:textId="70EC25FC" w:rsidR="004D0989" w:rsidRPr="009E064B" w:rsidRDefault="004D0989" w:rsidP="00133B99">
      <w:pPr>
        <w:pStyle w:val="Nagwek6"/>
      </w:pPr>
      <w:bookmarkStart w:id="9" w:name="_Toc492024486"/>
      <w:bookmarkStart w:id="10" w:name="_Toc12532524"/>
      <w:r w:rsidRPr="009E064B">
        <w:t>Terminologia</w:t>
      </w:r>
      <w:bookmarkEnd w:id="9"/>
      <w:bookmarkEnd w:id="10"/>
      <w:r w:rsidR="00E87EA6" w:rsidRPr="009E064B">
        <w:t xml:space="preserve"> </w:t>
      </w:r>
      <w:r w:rsidR="00D01EBC" w:rsidRPr="009E064B">
        <w:t xml:space="preserve"> </w:t>
      </w:r>
    </w:p>
    <w:p w14:paraId="5E7AFB0A" w14:textId="6510DA79" w:rsidR="005707E4" w:rsidRPr="009E064B" w:rsidRDefault="00D63D4F" w:rsidP="005707E4">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EB20DB8" w14:textId="75E1CFF2" w:rsidR="004D0989" w:rsidRPr="009E064B" w:rsidRDefault="004D0989" w:rsidP="005707E4">
      <w:pPr>
        <w:widowControl/>
        <w:rPr>
          <w:rFonts w:asciiTheme="minorHAnsi" w:eastAsia="Calibri" w:hAnsiTheme="minorHAnsi" w:cstheme="minorHAnsi"/>
          <w:szCs w:val="18"/>
        </w:rPr>
      </w:pPr>
      <w:r w:rsidRPr="009E064B">
        <w:rPr>
          <w:rFonts w:asciiTheme="minorHAnsi" w:eastAsia="Calibri" w:hAnsiTheme="minorHAnsi" w:cstheme="minorHAnsi"/>
          <w:szCs w:val="18"/>
        </w:rPr>
        <w:t>„</w:t>
      </w:r>
      <w:r w:rsidRPr="009E064B">
        <w:rPr>
          <w:rFonts w:asciiTheme="minorHAnsi" w:eastAsia="Calibri" w:hAnsiTheme="minorHAnsi" w:cstheme="minorHAnsi"/>
          <w:b/>
          <w:szCs w:val="18"/>
        </w:rPr>
        <w:t>Materiały zawierające wytyczne</w:t>
      </w:r>
      <w:r w:rsidRPr="009E064B">
        <w:rPr>
          <w:rFonts w:asciiTheme="minorHAnsi" w:eastAsia="Calibri" w:hAnsiTheme="minorHAnsi" w:cstheme="minorHAnsi"/>
          <w:szCs w:val="18"/>
        </w:rPr>
        <w:t>” (GM) oznaczają niewiążące materiały opracowane przez Agencję, które pomagają zilustrować znaczenie wymagania lub specyfikacji i są używane do potwierdzenia interpretacji Rozporządzenia Bazowego, jego przepisów wykonawczych i AMC.</w:t>
      </w:r>
    </w:p>
    <w:p w14:paraId="6FC52CE0" w14:textId="06857B0C" w:rsidR="00DC7DA6" w:rsidRPr="009E064B" w:rsidRDefault="00DE05DC" w:rsidP="00020EA3">
      <w:pPr>
        <w:pStyle w:val="Nagwek2"/>
      </w:pPr>
      <w:bookmarkStart w:id="11" w:name="_Toc12532525"/>
      <w:r w:rsidRPr="009E064B">
        <w:t>Artykuł 3</w:t>
      </w:r>
      <w:r w:rsidR="006B3422" w:rsidRPr="009E064B">
        <w:t xml:space="preserve"> </w:t>
      </w:r>
      <w:r w:rsidR="00311BA7" w:rsidRPr="009E064B">
        <w:t xml:space="preserve">   </w:t>
      </w:r>
      <w:r w:rsidRPr="009E064B">
        <w:t>Nadzór nad lotniskami</w:t>
      </w:r>
      <w:bookmarkEnd w:id="11"/>
    </w:p>
    <w:p w14:paraId="7A576FD4" w14:textId="3629AE92"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76A0BEF" w14:textId="352F88A1" w:rsidR="00DC7DA6" w:rsidRPr="009E064B" w:rsidRDefault="0009716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0C49E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Państwa członkowskie wyznaczają przynajmniej jeden podmi</w:t>
      </w:r>
      <w:r w:rsidR="004A5263" w:rsidRPr="009E064B">
        <w:rPr>
          <w:rFonts w:asciiTheme="minorHAnsi" w:eastAsia="Times New Roman" w:hAnsiTheme="minorHAnsi" w:cstheme="minorHAnsi"/>
          <w:szCs w:val="20"/>
        </w:rPr>
        <w:t>ot jako właściwy organ, który w </w:t>
      </w:r>
      <w:r w:rsidR="00DE05DC" w:rsidRPr="009E064B">
        <w:rPr>
          <w:rFonts w:asciiTheme="minorHAnsi" w:eastAsia="Times New Roman" w:hAnsiTheme="minorHAnsi" w:cstheme="minorHAnsi"/>
          <w:szCs w:val="20"/>
        </w:rPr>
        <w:t>granicach danego państwa członkowskiego posiada niezbędne</w:t>
      </w:r>
      <w:r w:rsidR="004A5263" w:rsidRPr="009E064B">
        <w:rPr>
          <w:rFonts w:asciiTheme="minorHAnsi" w:eastAsia="Times New Roman" w:hAnsiTheme="minorHAnsi" w:cstheme="minorHAnsi"/>
          <w:szCs w:val="20"/>
        </w:rPr>
        <w:t xml:space="preserve"> uprawnienia oraz obowiązki w </w:t>
      </w:r>
      <w:r w:rsidR="00DE05DC" w:rsidRPr="009E064B">
        <w:rPr>
          <w:rFonts w:asciiTheme="minorHAnsi" w:eastAsia="Times New Roman" w:hAnsiTheme="minorHAnsi" w:cstheme="minorHAnsi"/>
          <w:szCs w:val="20"/>
        </w:rPr>
        <w:t xml:space="preserve">zakresie certyfikacji lotnisk oraz personelu i </w:t>
      </w:r>
      <w:r w:rsidR="00586090" w:rsidRPr="009E064B">
        <w:rPr>
          <w:rFonts w:asciiTheme="minorHAnsi" w:eastAsia="Times New Roman" w:hAnsiTheme="minorHAnsi" w:cstheme="minorHAnsi"/>
          <w:szCs w:val="20"/>
        </w:rPr>
        <w:t>orga</w:t>
      </w:r>
      <w:r w:rsidR="00DE05DC" w:rsidRPr="009E064B">
        <w:rPr>
          <w:rFonts w:asciiTheme="minorHAnsi" w:eastAsia="Times New Roman" w:hAnsiTheme="minorHAnsi" w:cstheme="minorHAnsi"/>
          <w:szCs w:val="20"/>
        </w:rPr>
        <w:t xml:space="preserve">nizacji zaangażowanych w jego funkcjonowanie, a </w:t>
      </w:r>
      <w:r w:rsidR="00586090" w:rsidRPr="009E064B">
        <w:rPr>
          <w:rFonts w:asciiTheme="minorHAnsi" w:eastAsia="Times New Roman" w:hAnsiTheme="minorHAnsi" w:cstheme="minorHAnsi"/>
          <w:szCs w:val="20"/>
        </w:rPr>
        <w:t xml:space="preserve">także w </w:t>
      </w:r>
      <w:r w:rsidR="00DE05DC" w:rsidRPr="009E064B">
        <w:rPr>
          <w:rFonts w:asciiTheme="minorHAnsi" w:eastAsia="Times New Roman" w:hAnsiTheme="minorHAnsi" w:cstheme="minorHAnsi"/>
          <w:szCs w:val="20"/>
        </w:rPr>
        <w:t>zakresie nadzoru nad nimi.</w:t>
      </w:r>
    </w:p>
    <w:p w14:paraId="0A58834E" w14:textId="6649B275" w:rsidR="00DC7DA6" w:rsidRPr="009E064B" w:rsidRDefault="000C49E5"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musi być niezależny od operatorów lotnisk i instytucji zapewniających służbę zarządzania płytą postojową. Niezależność tę uzyskuje się poprzez wprowadzenie rozdzielności, przynajmniej na poziomie funkcjonal</w:t>
      </w:r>
      <w:r w:rsidR="00994DFF" w:rsidRPr="009E064B">
        <w:rPr>
          <w:rFonts w:asciiTheme="minorHAnsi" w:eastAsia="Times New Roman" w:hAnsiTheme="minorHAnsi" w:cstheme="minorHAnsi"/>
          <w:szCs w:val="20"/>
        </w:rPr>
        <w:t>nym, między właściwym organem a </w:t>
      </w:r>
      <w:r w:rsidR="00DE05DC" w:rsidRPr="009E064B">
        <w:rPr>
          <w:rFonts w:asciiTheme="minorHAnsi" w:eastAsia="Times New Roman" w:hAnsiTheme="minorHAnsi" w:cstheme="minorHAnsi"/>
          <w:szCs w:val="20"/>
        </w:rPr>
        <w:t>wspomnianymi operatorami lotnisk i instytucjami zapewniającymi służbę zarządzania płytą postojową. Państwa członkowskie zapewniają, by właściwe organy wykonywały swoje uprawnienia w sposób bezstronny i przejrzysty.</w:t>
      </w:r>
    </w:p>
    <w:p w14:paraId="00B1F2A6" w14:textId="77777777" w:rsidR="00DC7DA6" w:rsidRPr="009E064B" w:rsidRDefault="000C49E5" w:rsidP="00E857F8">
      <w:pPr>
        <w:tabs>
          <w:tab w:val="left" w:pos="567"/>
        </w:tabs>
        <w:spacing w:after="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Jeżeli państwo członkowskie wyznacza więcej niż jeden podmiot jako właściwy organ, muszą zostać spełnione następujące warunki:</w:t>
      </w:r>
    </w:p>
    <w:p w14:paraId="45B67D55" w14:textId="0DB52328"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a)</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każdy właściwy organ musi być odpowiedzialny </w:t>
      </w:r>
      <w:r w:rsidR="00994DFF" w:rsidRPr="009E064B">
        <w:rPr>
          <w:rFonts w:asciiTheme="minorHAnsi" w:eastAsia="Times New Roman" w:hAnsiTheme="minorHAnsi" w:cstheme="minorHAnsi"/>
          <w:szCs w:val="20"/>
        </w:rPr>
        <w:t>za wyraźnie określone zadania i </w:t>
      </w:r>
      <w:r w:rsidR="00DE05DC" w:rsidRPr="009E064B">
        <w:rPr>
          <w:rFonts w:asciiTheme="minorHAnsi" w:eastAsia="Times New Roman" w:hAnsiTheme="minorHAnsi" w:cstheme="minorHAnsi"/>
          <w:szCs w:val="20"/>
        </w:rPr>
        <w:t>określony obszar geograficzny; oraz</w:t>
      </w:r>
    </w:p>
    <w:p w14:paraId="04F2F41C" w14:textId="77777777" w:rsidR="00DC7DA6" w:rsidRPr="009E064B" w:rsidRDefault="000C49E5"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b)</w:t>
      </w:r>
      <w:r w:rsidR="0009716F" w:rsidRPr="009E064B">
        <w:rPr>
          <w:rFonts w:asciiTheme="minorHAnsi" w:eastAsia="Times New Roman" w:hAnsiTheme="minorHAnsi" w:cstheme="minorHAnsi"/>
          <w:szCs w:val="20"/>
        </w:rPr>
        <w:t xml:space="preserve">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muszą zostać wdrożone mechanizmy koordynacji między przedmiotowymi organami, tak aby zapewnić skuteczny nadzór nad wszystkimi lotniskami i operatorami lotnisk oraz instytucjami zapewniającymi służbę zarządzania płytą postojową.</w:t>
      </w:r>
    </w:p>
    <w:p w14:paraId="778B8706" w14:textId="77777777" w:rsidR="00DC7DA6" w:rsidRPr="009E064B" w:rsidRDefault="000C49E5" w:rsidP="00B06A9A">
      <w:pPr>
        <w:tabs>
          <w:tab w:val="left" w:pos="567"/>
        </w:tabs>
        <w:ind w:left="567"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4</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Państwa członkowskie zapewniają, by właściwe organy dysponowały niezbędnymi zdolnościami i środkami pozwalającymi </w:t>
      </w:r>
      <w:r w:rsidRPr="009E064B">
        <w:rPr>
          <w:rFonts w:asciiTheme="minorHAnsi" w:eastAsia="Times New Roman" w:hAnsiTheme="minorHAnsi" w:cstheme="minorHAnsi"/>
          <w:szCs w:val="20"/>
        </w:rPr>
        <w:t xml:space="preserve">im </w:t>
      </w:r>
      <w:r w:rsidR="00DE05DC" w:rsidRPr="009E064B">
        <w:rPr>
          <w:rFonts w:asciiTheme="minorHAnsi" w:eastAsia="Times New Roman" w:hAnsiTheme="minorHAnsi" w:cstheme="minorHAnsi"/>
          <w:szCs w:val="20"/>
        </w:rPr>
        <w:t>wypełniać ich obowiązki wynikające z niniejszego rozporządzenia.</w:t>
      </w:r>
    </w:p>
    <w:p w14:paraId="3EC7DB81" w14:textId="453A3B6D" w:rsidR="00DC7DA6" w:rsidRPr="009E064B" w:rsidRDefault="000C49E5"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5</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Państwa członkowskie muszą zapewnić, aby pracownicy właściwych organów nie prowadzili czynności w zakresie nadzoru, jeżeli istnieją dowody na to, iż takie działanie mogłoby bezpośrednio lub pośrednio doprowadzić do konfliktu </w:t>
      </w:r>
      <w:r w:rsidR="00425F67" w:rsidRPr="009E064B">
        <w:rPr>
          <w:rFonts w:asciiTheme="minorHAnsi" w:eastAsia="Times New Roman" w:hAnsiTheme="minorHAnsi" w:cstheme="minorHAnsi"/>
          <w:szCs w:val="20"/>
        </w:rPr>
        <w:t>intere</w:t>
      </w:r>
      <w:r w:rsidR="00DE05DC" w:rsidRPr="009E064B">
        <w:rPr>
          <w:rFonts w:asciiTheme="minorHAnsi" w:eastAsia="Times New Roman" w:hAnsiTheme="minorHAnsi" w:cstheme="minorHAnsi"/>
          <w:szCs w:val="20"/>
        </w:rPr>
        <w:t>s</w:t>
      </w:r>
      <w:r w:rsidR="004A5263" w:rsidRPr="009E064B">
        <w:rPr>
          <w:rFonts w:asciiTheme="minorHAnsi" w:eastAsia="Times New Roman" w:hAnsiTheme="minorHAnsi" w:cstheme="minorHAnsi"/>
          <w:szCs w:val="20"/>
        </w:rPr>
        <w:t>ów, w szczególności w związku z </w:t>
      </w:r>
      <w:r w:rsidR="00DE05DC" w:rsidRPr="009E064B">
        <w:rPr>
          <w:rFonts w:asciiTheme="minorHAnsi" w:eastAsia="Times New Roman" w:hAnsiTheme="minorHAnsi" w:cstheme="minorHAnsi"/>
          <w:szCs w:val="20"/>
        </w:rPr>
        <w:t>występowaniem interesu rodzinnego lub finansowego.</w:t>
      </w:r>
    </w:p>
    <w:p w14:paraId="143CB41D" w14:textId="77777777" w:rsidR="00DC7DA6" w:rsidRPr="009E064B" w:rsidRDefault="000C49E5" w:rsidP="00E857F8">
      <w:pPr>
        <w:tabs>
          <w:tab w:val="left" w:pos="567"/>
        </w:tabs>
        <w:spacing w:after="6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6.</w:t>
      </w:r>
      <w:r w:rsidR="0009716F" w:rsidRPr="009E064B">
        <w:rPr>
          <w:rFonts w:asciiTheme="minorHAnsi" w:eastAsia="Times New Roman" w:hAnsiTheme="minorHAnsi" w:cstheme="minorHAnsi"/>
          <w:szCs w:val="20"/>
        </w:rPr>
        <w:t xml:space="preserv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Pracownicy upoważnieni przez właściwy organ do </w:t>
      </w:r>
      <w:r w:rsidR="00425F67" w:rsidRPr="009E064B">
        <w:rPr>
          <w:rFonts w:asciiTheme="minorHAnsi" w:eastAsia="Times New Roman" w:hAnsiTheme="minorHAnsi" w:cstheme="minorHAnsi"/>
          <w:szCs w:val="20"/>
        </w:rPr>
        <w:t>reali</w:t>
      </w:r>
      <w:r w:rsidR="00DE05DC" w:rsidRPr="009E064B">
        <w:rPr>
          <w:rFonts w:asciiTheme="minorHAnsi" w:eastAsia="Times New Roman" w:hAnsiTheme="minorHAnsi" w:cstheme="minorHAnsi"/>
          <w:szCs w:val="20"/>
        </w:rPr>
        <w:t>zacji zadań w zakresie certyfikacji lub nadzoru są uprawnieni do wykonywania przynajmniej następujących zadań:</w:t>
      </w:r>
    </w:p>
    <w:p w14:paraId="77D6849D" w14:textId="77777777"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a)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badanie rejestrów, danych, procedur i wszelkich innych materiałów istotnych z punktu widzenia realizacji zadań </w:t>
      </w:r>
      <w:r w:rsidR="00FC069E" w:rsidRPr="009E064B">
        <w:rPr>
          <w:rFonts w:asciiTheme="minorHAnsi" w:eastAsia="Times New Roman" w:hAnsiTheme="minorHAnsi" w:cstheme="minorHAnsi"/>
          <w:szCs w:val="20"/>
        </w:rPr>
        <w:t>w</w:t>
      </w:r>
      <w:r w:rsidR="00DE05DC" w:rsidRPr="009E064B">
        <w:rPr>
          <w:rFonts w:asciiTheme="minorHAnsi" w:eastAsia="Times New Roman" w:hAnsiTheme="minorHAnsi" w:cstheme="minorHAnsi"/>
          <w:szCs w:val="20"/>
        </w:rPr>
        <w:t xml:space="preserve"> zakresie certyfikacji i/lub nadzoru;</w:t>
      </w:r>
    </w:p>
    <w:p w14:paraId="7BAA7132" w14:textId="77777777"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b)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sporządzanie kopii lub wyciągów z takich rejestrów, danych, procedur i innych materiałów;</w:t>
      </w:r>
    </w:p>
    <w:p w14:paraId="54C5763C" w14:textId="77777777"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c)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żądanie ustnych wyjaśnień na miejscu;</w:t>
      </w:r>
    </w:p>
    <w:p w14:paraId="3655CB5E" w14:textId="77777777"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d)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wchodzenie na teren lotnisk, odpowiednich obiektów, miejsc wykonywania operacji lotniczych lub innych odpowiednich obszarów i środków transportu;</w:t>
      </w:r>
    </w:p>
    <w:p w14:paraId="14679A63" w14:textId="77777777" w:rsidR="00DC7DA6" w:rsidRPr="009E064B" w:rsidRDefault="000C49E5" w:rsidP="00E857F8">
      <w:pPr>
        <w:tabs>
          <w:tab w:val="left" w:pos="1134"/>
        </w:tabs>
        <w:spacing w:after="6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e)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przeprowadzanie audytów, dochodzeń,</w:t>
      </w:r>
      <w:r w:rsidR="00586090"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testów, ćwiczeń, ocen, inspekcji;</w:t>
      </w:r>
    </w:p>
    <w:p w14:paraId="659A7525" w14:textId="77777777" w:rsidR="00DC7DA6" w:rsidRPr="009E064B" w:rsidRDefault="000C49E5"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f) </w:t>
      </w:r>
      <w:r w:rsidR="00586090"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stosownych przypadkach – podejmowanie lub inicjowanie</w:t>
      </w:r>
      <w:r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środków egzekucyjnych.</w:t>
      </w:r>
    </w:p>
    <w:p w14:paraId="718CFA95" w14:textId="24A0E2F6" w:rsidR="005707E4" w:rsidRPr="009E064B" w:rsidRDefault="00586090"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7.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Zadania, o których mowa w ust. 6, wykonywane są zgodnie z prawem krajowym państw członkowskich.</w:t>
      </w:r>
    </w:p>
    <w:p w14:paraId="487626C8" w14:textId="2C7F8B29" w:rsidR="009A5B37" w:rsidRPr="009E064B" w:rsidRDefault="009A5B37" w:rsidP="00133B99">
      <w:pPr>
        <w:pStyle w:val="Nagwek6"/>
      </w:pPr>
      <w:bookmarkStart w:id="12" w:name="_Toc492024488"/>
      <w:bookmarkStart w:id="13" w:name="_Toc12532526"/>
      <w:r w:rsidRPr="009E064B">
        <w:t xml:space="preserve">GM1 do Artykułu 3.2 </w:t>
      </w:r>
      <w:r w:rsidR="00E87EA6" w:rsidRPr="009E064B">
        <w:t xml:space="preserve">    </w:t>
      </w:r>
      <w:r w:rsidRPr="009E064B">
        <w:t>Nadzór nad lotniskami</w:t>
      </w:r>
      <w:bookmarkEnd w:id="12"/>
      <w:bookmarkEnd w:id="13"/>
    </w:p>
    <w:p w14:paraId="21B7F271" w14:textId="7238FD00" w:rsidR="005707E4" w:rsidRPr="009E064B" w:rsidRDefault="00D63D4F" w:rsidP="005707E4">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7BA9BD9" w14:textId="588E5CB8" w:rsidR="009A5B37" w:rsidRPr="009E064B" w:rsidRDefault="009A5B37" w:rsidP="005707E4">
      <w:pPr>
        <w:widowControl/>
        <w:spacing w:before="120"/>
        <w:rPr>
          <w:rFonts w:asciiTheme="minorHAnsi" w:eastAsia="Calibri" w:hAnsiTheme="minorHAnsi" w:cstheme="minorHAnsi"/>
        </w:rPr>
      </w:pPr>
      <w:r w:rsidRPr="009E064B">
        <w:rPr>
          <w:rFonts w:asciiTheme="minorHAnsi" w:eastAsia="Calibri" w:hAnsiTheme="minorHAnsi" w:cstheme="minorHAnsi"/>
        </w:rPr>
        <w:t>ROZDZIELNOŚĆ NA POZIOMIE FUNKCJONALNYM</w:t>
      </w:r>
    </w:p>
    <w:p w14:paraId="4CF9C1D4" w14:textId="77777777" w:rsidR="009A5B37" w:rsidRPr="009E064B" w:rsidRDefault="009A5B37" w:rsidP="00B06A9A">
      <w:pPr>
        <w:widowControl/>
        <w:spacing w:before="120"/>
        <w:rPr>
          <w:rFonts w:asciiTheme="minorHAnsi" w:eastAsia="Calibri" w:hAnsiTheme="minorHAnsi" w:cstheme="minorHAnsi"/>
        </w:rPr>
      </w:pPr>
      <w:r w:rsidRPr="009E064B">
        <w:rPr>
          <w:rFonts w:asciiTheme="minorHAnsi" w:eastAsia="Calibri" w:hAnsiTheme="minorHAnsi" w:cstheme="minorHAnsi"/>
        </w:rPr>
        <w:t>Rozdzielność na poziomie funkcjonalnym oznacza, że właściwy organ może być zaangażowany w działalność operacyjną i nadzór organizacji w tej samej dziedzinie, pod warunkiem, że różne funkcje są wyraźnie oddzielone, a ład organizacyjny zapewnia efektywny nadzór, unikając konfliktów interesów przez personel i zapobiegając jego zaangażowaniu w działania operacyjne podmiotów, które mają podlegać nadzorowi. Można to osiągnąć poprzez zastosowanie odpowiednich mechanizmów zarządzania i kontroli.</w:t>
      </w:r>
    </w:p>
    <w:p w14:paraId="248DAE5F" w14:textId="354720D4" w:rsidR="00DC7DA6" w:rsidRPr="009E064B" w:rsidRDefault="00DE05DC" w:rsidP="00020EA3">
      <w:pPr>
        <w:pStyle w:val="Nagwek2"/>
      </w:pPr>
      <w:bookmarkStart w:id="14" w:name="_Artykuł_4_"/>
      <w:bookmarkStart w:id="15" w:name="_Toc12532527"/>
      <w:bookmarkEnd w:id="14"/>
      <w:r w:rsidRPr="009E064B">
        <w:t>Artykuł 4</w:t>
      </w:r>
      <w:r w:rsidR="00F968AC" w:rsidRPr="009E064B">
        <w:t xml:space="preserve"> </w:t>
      </w:r>
      <w:r w:rsidR="00311BA7" w:rsidRPr="009E064B">
        <w:t xml:space="preserve">   </w:t>
      </w:r>
      <w:r w:rsidR="00B60E8C" w:rsidRPr="009E064B">
        <w:t xml:space="preserve">Informacje dla Europejskiej Agencji </w:t>
      </w:r>
      <w:r w:rsidRPr="009E064B">
        <w:t>Bezpieczeństwa Lotniczego</w:t>
      </w:r>
      <w:bookmarkEnd w:id="15"/>
    </w:p>
    <w:p w14:paraId="6A672982" w14:textId="649A57B3"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2B04682" w14:textId="77777777" w:rsidR="00DC7DA6" w:rsidRPr="009E064B" w:rsidRDefault="00DE05DC" w:rsidP="00B06A9A">
      <w:pPr>
        <w:ind w:right="-2" w:firstLine="2"/>
        <w:rPr>
          <w:rFonts w:asciiTheme="minorHAnsi" w:eastAsia="Times New Roman" w:hAnsiTheme="minorHAnsi" w:cstheme="minorHAnsi"/>
          <w:szCs w:val="20"/>
        </w:rPr>
      </w:pPr>
      <w:r w:rsidRPr="009E064B">
        <w:rPr>
          <w:rFonts w:asciiTheme="minorHAnsi" w:eastAsia="Times New Roman" w:hAnsiTheme="minorHAnsi" w:cstheme="minorHAnsi"/>
          <w:szCs w:val="20"/>
        </w:rPr>
        <w:t>W terminie trzech miesięcy od wejścia w życie niniejszego rozporządzenia, państwa czł</w:t>
      </w:r>
      <w:r w:rsidR="00586090" w:rsidRPr="009E064B">
        <w:rPr>
          <w:rFonts w:asciiTheme="minorHAnsi" w:eastAsia="Times New Roman" w:hAnsiTheme="minorHAnsi" w:cstheme="minorHAnsi"/>
          <w:szCs w:val="20"/>
        </w:rPr>
        <w:t xml:space="preserve">onkowskie </w:t>
      </w:r>
      <w:r w:rsidRPr="009E064B">
        <w:rPr>
          <w:rFonts w:asciiTheme="minorHAnsi" w:eastAsia="Times New Roman" w:hAnsiTheme="minorHAnsi" w:cstheme="minorHAnsi"/>
          <w:szCs w:val="20"/>
        </w:rPr>
        <w:t>informują Europejską Agencję Bezpieczeństwa Lotniczego („Agencję”) o nazwach lotnisk, ich lokalizacjach i ich kodach ICAO portu lotniczego oraz nazwach operatorów lotnisk, a także o liczbie pasażerów i operacji towarowych na tych lotniskach, do których mają zastosowanie przepisy rozporządzenia (WE) nr 216/2008 oraz niniejszego rozporządzenia.</w:t>
      </w:r>
    </w:p>
    <w:p w14:paraId="0F8D9A62" w14:textId="335B7876" w:rsidR="00DC7DA6" w:rsidRPr="009E064B" w:rsidRDefault="00DE05DC" w:rsidP="00020EA3">
      <w:pPr>
        <w:pStyle w:val="Nagwek2"/>
      </w:pPr>
      <w:bookmarkStart w:id="16" w:name="_Artykuł_5_"/>
      <w:bookmarkStart w:id="17" w:name="_Toc12532528"/>
      <w:bookmarkEnd w:id="16"/>
      <w:r w:rsidRPr="009E064B">
        <w:t>Artykuł 5</w:t>
      </w:r>
      <w:r w:rsidR="00F968AC" w:rsidRPr="009E064B">
        <w:t xml:space="preserve"> </w:t>
      </w:r>
      <w:r w:rsidR="00311BA7" w:rsidRPr="009E064B">
        <w:t xml:space="preserve">   </w:t>
      </w:r>
      <w:r w:rsidRPr="009E064B">
        <w:t>Zwolnienia</w:t>
      </w:r>
      <w:bookmarkEnd w:id="17"/>
    </w:p>
    <w:p w14:paraId="46685B12" w14:textId="058F284B"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C7AA798" w14:textId="6AB41E24" w:rsidR="00DC7DA6" w:rsidRPr="009E064B" w:rsidRDefault="0009716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 terminie do jednego miesiąca od wydania decyzji o udzieleniu zwolnienia zgodnie z </w:t>
      </w:r>
      <w:r w:rsidR="00C16626" w:rsidRPr="009E064B">
        <w:rPr>
          <w:rFonts w:asciiTheme="minorHAnsi" w:eastAsia="Times New Roman" w:hAnsiTheme="minorHAnsi" w:cstheme="minorHAnsi"/>
          <w:szCs w:val="20"/>
        </w:rPr>
        <w:t>A</w:t>
      </w:r>
      <w:r w:rsidR="00DE05DC" w:rsidRPr="009E064B">
        <w:rPr>
          <w:rFonts w:asciiTheme="minorHAnsi" w:eastAsia="Times New Roman" w:hAnsiTheme="minorHAnsi" w:cstheme="minorHAnsi"/>
          <w:szCs w:val="20"/>
        </w:rPr>
        <w:t>rt.</w:t>
      </w:r>
      <w:r w:rsidR="00994DFF"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4 ust. 3b rozporządzenia (WE) nr 216/2008, państwo członkowskie informuje Agencję o wydaniu takiej decyzji. W informacji przekazywanej Agencji podaje się wykaz przedmiotowych lotnisk, nazwę operatora lotniska oraz liczbę pasażerów i operac</w:t>
      </w:r>
      <w:r w:rsidR="00994DFF" w:rsidRPr="009E064B">
        <w:rPr>
          <w:rFonts w:asciiTheme="minorHAnsi" w:eastAsia="Times New Roman" w:hAnsiTheme="minorHAnsi" w:cstheme="minorHAnsi"/>
          <w:szCs w:val="20"/>
        </w:rPr>
        <w:t>ji towarowych na tym lotnisku w </w:t>
      </w:r>
      <w:r w:rsidR="00DE05DC" w:rsidRPr="009E064B">
        <w:rPr>
          <w:rFonts w:asciiTheme="minorHAnsi" w:eastAsia="Times New Roman" w:hAnsiTheme="minorHAnsi" w:cstheme="minorHAnsi"/>
          <w:szCs w:val="20"/>
        </w:rPr>
        <w:t>odpowiednim roku.</w:t>
      </w:r>
    </w:p>
    <w:p w14:paraId="787C34D4" w14:textId="418E2857" w:rsidR="00DC7DA6" w:rsidRPr="009E064B" w:rsidRDefault="00FC069E"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Państwo cz</w:t>
      </w:r>
      <w:r w:rsidR="006B3422" w:rsidRPr="009E064B">
        <w:rPr>
          <w:rFonts w:asciiTheme="minorHAnsi" w:eastAsia="Times New Roman" w:hAnsiTheme="minorHAnsi" w:cstheme="minorHAnsi"/>
          <w:szCs w:val="20"/>
        </w:rPr>
        <w:t xml:space="preserve">łonkowskie analizuje corocznie dane o </w:t>
      </w:r>
      <w:r w:rsidR="00DE05DC" w:rsidRPr="009E064B">
        <w:rPr>
          <w:rFonts w:asciiTheme="minorHAnsi" w:eastAsia="Times New Roman" w:hAnsiTheme="minorHAnsi" w:cstheme="minorHAnsi"/>
          <w:szCs w:val="20"/>
        </w:rPr>
        <w:t>ruchu na lotnisku objętym zwolnieniem. Jeżeli dane o ruchu</w:t>
      </w:r>
      <w:r w:rsidR="006B3422" w:rsidRPr="009E064B">
        <w:rPr>
          <w:rFonts w:asciiTheme="minorHAnsi" w:eastAsia="Times New Roman" w:hAnsiTheme="minorHAnsi" w:cstheme="minorHAnsi"/>
          <w:szCs w:val="20"/>
        </w:rPr>
        <w:t xml:space="preserve"> na takim lotnisku wskazują na przekroczenie wielkości </w:t>
      </w:r>
      <w:r w:rsidR="00994DFF" w:rsidRPr="009E064B">
        <w:rPr>
          <w:rFonts w:asciiTheme="minorHAnsi" w:eastAsia="Times New Roman" w:hAnsiTheme="minorHAnsi" w:cstheme="minorHAnsi"/>
          <w:szCs w:val="20"/>
        </w:rPr>
        <w:t>przewidzianych w </w:t>
      </w:r>
      <w:r w:rsidR="00C16626" w:rsidRPr="009E064B">
        <w:rPr>
          <w:rFonts w:asciiTheme="minorHAnsi" w:eastAsia="Times New Roman" w:hAnsiTheme="minorHAnsi" w:cstheme="minorHAnsi"/>
          <w:szCs w:val="20"/>
        </w:rPr>
        <w:t>A</w:t>
      </w:r>
      <w:r w:rsidR="00DE05DC" w:rsidRPr="009E064B">
        <w:rPr>
          <w:rFonts w:asciiTheme="minorHAnsi" w:eastAsia="Times New Roman" w:hAnsiTheme="minorHAnsi" w:cstheme="minorHAnsi"/>
          <w:szCs w:val="20"/>
        </w:rPr>
        <w:t>rt. 4 ust. 3b rozporządzenia (WE) nr 216/2008 w okresie ostatnich trzech</w:t>
      </w:r>
      <w:r w:rsidR="004A5263" w:rsidRPr="009E064B">
        <w:rPr>
          <w:rFonts w:asciiTheme="minorHAnsi" w:eastAsia="Times New Roman" w:hAnsiTheme="minorHAnsi" w:cstheme="minorHAnsi"/>
          <w:szCs w:val="20"/>
        </w:rPr>
        <w:t xml:space="preserve"> kolejnych lat, informuje ono o </w:t>
      </w:r>
      <w:r w:rsidR="00DE05DC" w:rsidRPr="009E064B">
        <w:rPr>
          <w:rFonts w:asciiTheme="minorHAnsi" w:eastAsia="Times New Roman" w:hAnsiTheme="minorHAnsi" w:cstheme="minorHAnsi"/>
          <w:szCs w:val="20"/>
        </w:rPr>
        <w:t>tym fakcie Agencję i cofa dane zwolnienie.</w:t>
      </w:r>
    </w:p>
    <w:p w14:paraId="50039536" w14:textId="613905CF" w:rsidR="00DC7DA6" w:rsidRPr="009E064B" w:rsidRDefault="00FC069E"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Komisja może w dowolnym momencie przyjąć decyzję o </w:t>
      </w:r>
      <w:r w:rsidR="004A5263" w:rsidRPr="009E064B">
        <w:rPr>
          <w:rFonts w:asciiTheme="minorHAnsi" w:eastAsia="Times New Roman" w:hAnsiTheme="minorHAnsi" w:cstheme="minorHAnsi"/>
          <w:szCs w:val="20"/>
        </w:rPr>
        <w:t>odmowie przyznania zwolnienia w </w:t>
      </w:r>
      <w:r w:rsidR="00DE05DC" w:rsidRPr="009E064B">
        <w:rPr>
          <w:rFonts w:asciiTheme="minorHAnsi" w:eastAsia="Times New Roman" w:hAnsiTheme="minorHAnsi" w:cstheme="minorHAnsi"/>
          <w:szCs w:val="20"/>
        </w:rPr>
        <w:t>następujących przypadkach:</w:t>
      </w:r>
    </w:p>
    <w:p w14:paraId="34801D8C" w14:textId="77777777"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a)</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niespełnienia ogólnych celów w zakresie bezpieczeństwa wynikających z rozporządzenia (WE) nr 216/2008;</w:t>
      </w:r>
    </w:p>
    <w:p w14:paraId="31FA5109" w14:textId="16C15031"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b)</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przekroczenia odpowiednich wartości danych o ruchu </w:t>
      </w:r>
      <w:r w:rsidR="003A5A64" w:rsidRPr="009E064B">
        <w:rPr>
          <w:rFonts w:asciiTheme="minorHAnsi" w:eastAsia="Times New Roman" w:hAnsiTheme="minorHAnsi" w:cstheme="minorHAnsi"/>
          <w:szCs w:val="20"/>
        </w:rPr>
        <w:t>pasa</w:t>
      </w:r>
      <w:r w:rsidR="004A5263" w:rsidRPr="009E064B">
        <w:rPr>
          <w:rFonts w:asciiTheme="minorHAnsi" w:eastAsia="Times New Roman" w:hAnsiTheme="minorHAnsi" w:cstheme="minorHAnsi"/>
          <w:szCs w:val="20"/>
        </w:rPr>
        <w:t>żerskim i towarowym w </w:t>
      </w:r>
      <w:r w:rsidR="00DE05DC" w:rsidRPr="009E064B">
        <w:rPr>
          <w:rFonts w:asciiTheme="minorHAnsi" w:eastAsia="Times New Roman" w:hAnsiTheme="minorHAnsi" w:cstheme="minorHAnsi"/>
          <w:szCs w:val="20"/>
        </w:rPr>
        <w:t>okresie ostatnich trzech kolejnych lat;</w:t>
      </w:r>
    </w:p>
    <w:p w14:paraId="6B03A38E" w14:textId="77777777"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c)</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niezgodności zwolnienia z jakimikolwiek innymi </w:t>
      </w:r>
      <w:r w:rsidR="003A5A64" w:rsidRPr="009E064B">
        <w:rPr>
          <w:rFonts w:asciiTheme="minorHAnsi" w:eastAsia="Times New Roman" w:hAnsiTheme="minorHAnsi" w:cstheme="minorHAnsi"/>
          <w:szCs w:val="20"/>
        </w:rPr>
        <w:t>odpo</w:t>
      </w:r>
      <w:r w:rsidR="00DE05DC" w:rsidRPr="009E064B">
        <w:rPr>
          <w:rFonts w:asciiTheme="minorHAnsi" w:eastAsia="Times New Roman" w:hAnsiTheme="minorHAnsi" w:cstheme="minorHAnsi"/>
          <w:szCs w:val="20"/>
        </w:rPr>
        <w:t>wiednim przepisami UE.</w:t>
      </w:r>
    </w:p>
    <w:p w14:paraId="05A65DE6" w14:textId="012CF7DD" w:rsidR="00E857F8" w:rsidRPr="009E064B" w:rsidRDefault="00FC069E"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4</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Jeżeli Komisja przyjęła decyzję o niedopuszczalności </w:t>
      </w:r>
      <w:r w:rsidR="00080849" w:rsidRPr="009E064B">
        <w:rPr>
          <w:rFonts w:asciiTheme="minorHAnsi" w:eastAsia="Times New Roman" w:hAnsiTheme="minorHAnsi" w:cstheme="minorHAnsi"/>
          <w:szCs w:val="20"/>
        </w:rPr>
        <w:t>zwol</w:t>
      </w:r>
      <w:r w:rsidR="00DE05DC" w:rsidRPr="009E064B">
        <w:rPr>
          <w:rFonts w:asciiTheme="minorHAnsi" w:eastAsia="Times New Roman" w:hAnsiTheme="minorHAnsi" w:cstheme="minorHAnsi"/>
          <w:szCs w:val="20"/>
        </w:rPr>
        <w:t>nienia, zainteresowane państwo członkowskie musi cofnąć dane zwolnienie.</w:t>
      </w:r>
    </w:p>
    <w:p w14:paraId="352D8186" w14:textId="77777777" w:rsidR="00E857F8" w:rsidRPr="009E064B" w:rsidRDefault="00E857F8">
      <w:pPr>
        <w:spacing w:after="0"/>
        <w:jc w:val="left"/>
        <w:rPr>
          <w:rFonts w:asciiTheme="minorHAnsi" w:eastAsia="Times New Roman" w:hAnsiTheme="minorHAnsi" w:cstheme="minorHAnsi"/>
          <w:szCs w:val="20"/>
        </w:rPr>
      </w:pPr>
      <w:r w:rsidRPr="009E064B">
        <w:rPr>
          <w:rFonts w:asciiTheme="minorHAnsi" w:eastAsia="Times New Roman" w:hAnsiTheme="minorHAnsi" w:cstheme="minorHAnsi"/>
          <w:szCs w:val="20"/>
        </w:rPr>
        <w:br w:type="page"/>
      </w:r>
    </w:p>
    <w:p w14:paraId="5A6CF5D4" w14:textId="467577FE" w:rsidR="00DC7DA6" w:rsidRPr="009E064B" w:rsidRDefault="00DE05DC" w:rsidP="00020EA3">
      <w:pPr>
        <w:pStyle w:val="Nagwek2"/>
      </w:pPr>
      <w:bookmarkStart w:id="18" w:name="_Artykuł_6_"/>
      <w:bookmarkStart w:id="19" w:name="_Toc12532529"/>
      <w:bookmarkEnd w:id="18"/>
      <w:r w:rsidRPr="009E064B">
        <w:t>Artykuł 6</w:t>
      </w:r>
      <w:r w:rsidR="00B60E8C" w:rsidRPr="009E064B">
        <w:t xml:space="preserve"> </w:t>
      </w:r>
      <w:r w:rsidR="00421474" w:rsidRPr="009E064B">
        <w:t xml:space="preserve">   </w:t>
      </w:r>
      <w:r w:rsidRPr="009E064B">
        <w:t>Konwersja certyfikatów</w:t>
      </w:r>
      <w:bookmarkEnd w:id="19"/>
    </w:p>
    <w:p w14:paraId="211FA57A" w14:textId="6C93FA76"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61BFC88" w14:textId="77777777" w:rsidR="00DC7DA6" w:rsidRPr="009E064B" w:rsidRDefault="0009716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Certyfikaty wydane przez właściwy organ przed dniem</w:t>
      </w:r>
      <w:r w:rsidR="00D1567C"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31 grudnia 2014 r. na podstawie prawodawstwa krajowego pozostają ważne do momentu wydania ich zgodnie z niniejszym artykułem lub – jeżeli nie zostaną one wydane w taki sposób – do dnia 31 grudnia 2017 r.</w:t>
      </w:r>
    </w:p>
    <w:p w14:paraId="0AB3C4A0" w14:textId="77777777" w:rsidR="00DC7DA6" w:rsidRPr="009E064B" w:rsidRDefault="00FC069E"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Przed upływem okresu, o którym mowa w ust. 1, właściwy organ wydaje certyfikaty dla zainteresowanych lotnisk i operatorów lotnisk pod warunkiem spełnienia następujących warunków:</w:t>
      </w:r>
    </w:p>
    <w:p w14:paraId="2D8AF216" w14:textId="40587A99"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a)</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ustanowiono podstawę certyfikacji, o której mowa w </w:t>
      </w:r>
      <w:hyperlink w:anchor="_ZAŁĄCZNIK_II_—" w:history="1">
        <w:r w:rsidR="007365B2" w:rsidRPr="009E064B">
          <w:rPr>
            <w:rStyle w:val="Hipercze"/>
            <w:rFonts w:asciiTheme="minorHAnsi" w:eastAsia="Times New Roman" w:hAnsiTheme="minorHAnsi" w:cstheme="minorHAnsi"/>
            <w:szCs w:val="20"/>
          </w:rPr>
          <w:t>Załącznik</w:t>
        </w:r>
        <w:r w:rsidR="00994DFF" w:rsidRPr="009E064B">
          <w:rPr>
            <w:rStyle w:val="Hipercze"/>
            <w:rFonts w:asciiTheme="minorHAnsi" w:eastAsia="Times New Roman" w:hAnsiTheme="minorHAnsi" w:cstheme="minorHAnsi"/>
            <w:szCs w:val="20"/>
          </w:rPr>
          <w:t>u </w:t>
        </w:r>
        <w:r w:rsidR="007365B2" w:rsidRPr="009E064B">
          <w:rPr>
            <w:rStyle w:val="Hipercze"/>
            <w:rFonts w:asciiTheme="minorHAnsi" w:eastAsia="Times New Roman" w:hAnsiTheme="minorHAnsi" w:cstheme="minorHAnsi"/>
            <w:szCs w:val="20"/>
          </w:rPr>
          <w:t>II</w:t>
        </w:r>
      </w:hyperlink>
      <w:r w:rsidR="00DE05DC" w:rsidRPr="009E064B">
        <w:rPr>
          <w:rFonts w:asciiTheme="minorHAnsi" w:eastAsia="Times New Roman" w:hAnsiTheme="minorHAnsi" w:cstheme="minorHAnsi"/>
          <w:szCs w:val="20"/>
        </w:rPr>
        <w:t>, wykorzystując specyfikacje certyfikacyjne wydane przez Agencję, z uwzględnieniem wszelkich przypadków równoważnego poziomu bezpieczeństwa i warunków specjalnych, które zostały ustalone i udokumentowane;</w:t>
      </w:r>
    </w:p>
    <w:p w14:paraId="4676062A" w14:textId="77777777"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b)</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posiadacz certyfikatu wykazał zgodność ze specyfikacjami certyfikacyjnymi różniącymi się od wymagań krajowych, na podstawie których </w:t>
      </w:r>
      <w:r w:rsidR="00AD4A4A" w:rsidRPr="009E064B">
        <w:rPr>
          <w:rFonts w:asciiTheme="minorHAnsi" w:eastAsia="Times New Roman" w:hAnsiTheme="minorHAnsi" w:cstheme="minorHAnsi"/>
          <w:szCs w:val="20"/>
        </w:rPr>
        <w:t xml:space="preserve">wydano </w:t>
      </w:r>
      <w:r w:rsidR="00DE05DC" w:rsidRPr="009E064B">
        <w:rPr>
          <w:rFonts w:asciiTheme="minorHAnsi" w:eastAsia="Times New Roman" w:hAnsiTheme="minorHAnsi" w:cstheme="minorHAnsi"/>
          <w:szCs w:val="20"/>
        </w:rPr>
        <w:t>dotychczasowy certyfikat;</w:t>
      </w:r>
    </w:p>
    <w:p w14:paraId="38D760BC" w14:textId="3728B581" w:rsidR="00DC7DA6" w:rsidRPr="009E064B" w:rsidRDefault="00A27EA1" w:rsidP="00B06A9A">
      <w:pPr>
        <w:tabs>
          <w:tab w:val="left" w:pos="1134"/>
        </w:tabs>
        <w:ind w:left="1134" w:right="-2" w:hanging="567"/>
        <w:rPr>
          <w:rFonts w:asciiTheme="minorHAnsi" w:eastAsia="Times New Roman" w:hAnsiTheme="minorHAnsi" w:cstheme="minorHAnsi"/>
          <w:szCs w:val="20"/>
        </w:rPr>
      </w:pPr>
      <w:r w:rsidRPr="009E064B">
        <w:rPr>
          <w:rFonts w:asciiTheme="minorHAnsi" w:hAnsiTheme="minorHAnsi" w:cstheme="minorHAnsi"/>
          <w:szCs w:val="20"/>
        </w:rPr>
        <w:t>c)</w:t>
      </w:r>
      <w:r w:rsidRPr="009E064B">
        <w:rPr>
          <w:rFonts w:asciiTheme="minorHAnsi" w:hAnsiTheme="minorHAnsi" w:cstheme="minorHAnsi"/>
          <w:szCs w:val="20"/>
        </w:rPr>
        <w:tab/>
      </w:r>
      <w:r w:rsidR="00DE05DC" w:rsidRPr="009E064B">
        <w:rPr>
          <w:rFonts w:asciiTheme="minorHAnsi" w:eastAsia="Times New Roman" w:hAnsiTheme="minorHAnsi" w:cstheme="minorHAnsi"/>
          <w:szCs w:val="20"/>
        </w:rPr>
        <w:t xml:space="preserve">posiadacz certyfikatu wykazał zgodność z tymi </w:t>
      </w:r>
      <w:r w:rsidR="00AD4A4A" w:rsidRPr="009E064B">
        <w:rPr>
          <w:rFonts w:asciiTheme="minorHAnsi" w:eastAsia="Times New Roman" w:hAnsiTheme="minorHAnsi" w:cstheme="minorHAnsi"/>
          <w:szCs w:val="20"/>
        </w:rPr>
        <w:t>wymaga</w:t>
      </w:r>
      <w:r w:rsidR="00DE05DC" w:rsidRPr="009E064B">
        <w:rPr>
          <w:rFonts w:asciiTheme="minorHAnsi" w:eastAsia="Times New Roman" w:hAnsiTheme="minorHAnsi" w:cstheme="minorHAnsi"/>
          <w:szCs w:val="20"/>
        </w:rPr>
        <w:t>niami ro</w:t>
      </w:r>
      <w:r w:rsidR="004A5263" w:rsidRPr="009E064B">
        <w:rPr>
          <w:rFonts w:asciiTheme="minorHAnsi" w:eastAsia="Times New Roman" w:hAnsiTheme="minorHAnsi" w:cstheme="minorHAnsi"/>
          <w:szCs w:val="20"/>
        </w:rPr>
        <w:t>zporządzenia (WE) nr </w:t>
      </w:r>
      <w:r w:rsidRPr="009E064B">
        <w:rPr>
          <w:rFonts w:asciiTheme="minorHAnsi" w:eastAsia="Times New Roman" w:hAnsiTheme="minorHAnsi" w:cstheme="minorHAnsi"/>
          <w:szCs w:val="20"/>
        </w:rPr>
        <w:t>216/2008 i </w:t>
      </w:r>
      <w:r w:rsidR="00DE05DC" w:rsidRPr="009E064B">
        <w:rPr>
          <w:rFonts w:asciiTheme="minorHAnsi" w:eastAsia="Times New Roman" w:hAnsiTheme="minorHAnsi" w:cstheme="minorHAnsi"/>
          <w:szCs w:val="20"/>
        </w:rPr>
        <w:t>jego przepisów wykonawczych, które st</w:t>
      </w:r>
      <w:r w:rsidR="004A5263" w:rsidRPr="009E064B">
        <w:rPr>
          <w:rFonts w:asciiTheme="minorHAnsi" w:eastAsia="Times New Roman" w:hAnsiTheme="minorHAnsi" w:cstheme="minorHAnsi"/>
          <w:szCs w:val="20"/>
        </w:rPr>
        <w:t>osują się do jego organizacji i </w:t>
      </w:r>
      <w:r w:rsidR="00AD4A4A" w:rsidRPr="009E064B">
        <w:rPr>
          <w:rFonts w:asciiTheme="minorHAnsi" w:eastAsia="Times New Roman" w:hAnsiTheme="minorHAnsi" w:cstheme="minorHAnsi"/>
          <w:szCs w:val="20"/>
        </w:rPr>
        <w:t>funk</w:t>
      </w:r>
      <w:r w:rsidR="00DE05DC" w:rsidRPr="009E064B">
        <w:rPr>
          <w:rFonts w:asciiTheme="minorHAnsi" w:eastAsia="Times New Roman" w:hAnsiTheme="minorHAnsi" w:cstheme="minorHAnsi"/>
          <w:szCs w:val="20"/>
        </w:rPr>
        <w:t xml:space="preserve">cjonowania, a które różnią się od wymagań krajowych </w:t>
      </w:r>
      <w:r w:rsidR="006B3422" w:rsidRPr="009E064B">
        <w:rPr>
          <w:rFonts w:asciiTheme="minorHAnsi" w:eastAsia="Times New Roman" w:hAnsiTheme="minorHAnsi" w:cstheme="minorHAnsi"/>
          <w:szCs w:val="20"/>
        </w:rPr>
        <w:t xml:space="preserve">stanowiących podstawę </w:t>
      </w:r>
      <w:r w:rsidRPr="009E064B">
        <w:rPr>
          <w:rFonts w:asciiTheme="minorHAnsi" w:eastAsia="Times New Roman" w:hAnsiTheme="minorHAnsi" w:cstheme="minorHAnsi"/>
          <w:szCs w:val="20"/>
        </w:rPr>
        <w:t xml:space="preserve">wydania dotychczasowego </w:t>
      </w:r>
      <w:r w:rsidR="00AD4A4A" w:rsidRPr="009E064B">
        <w:rPr>
          <w:rFonts w:asciiTheme="minorHAnsi" w:eastAsia="Times New Roman" w:hAnsiTheme="minorHAnsi" w:cstheme="minorHAnsi"/>
          <w:szCs w:val="20"/>
        </w:rPr>
        <w:t>certyfi</w:t>
      </w:r>
      <w:r w:rsidR="00DE05DC" w:rsidRPr="009E064B">
        <w:rPr>
          <w:rFonts w:asciiTheme="minorHAnsi" w:eastAsia="Times New Roman" w:hAnsiTheme="minorHAnsi" w:cstheme="minorHAnsi"/>
          <w:szCs w:val="20"/>
        </w:rPr>
        <w:t>katu.</w:t>
      </w:r>
    </w:p>
    <w:p w14:paraId="39A6E038" w14:textId="77777777" w:rsidR="00DC7DA6" w:rsidRPr="009E064B" w:rsidRDefault="00FC069E" w:rsidP="00B06A9A">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drodze odstępstwa od przepisu ust. 2 lit. b), właściwy organ</w:t>
      </w:r>
      <w:r w:rsidR="00A27EA1" w:rsidRPr="009E064B">
        <w:rPr>
          <w:rFonts w:asciiTheme="minorHAnsi" w:eastAsia="Times New Roman" w:hAnsiTheme="minorHAnsi" w:cstheme="minorHAnsi"/>
          <w:szCs w:val="20"/>
        </w:rPr>
        <w:t xml:space="preserve"> może zdecydować o rezygnacji z </w:t>
      </w:r>
      <w:r w:rsidR="00DE05DC" w:rsidRPr="009E064B">
        <w:rPr>
          <w:rFonts w:asciiTheme="minorHAnsi" w:eastAsia="Times New Roman" w:hAnsiTheme="minorHAnsi" w:cstheme="minorHAnsi"/>
          <w:szCs w:val="20"/>
        </w:rPr>
        <w:t>obowiązku wykazania zgodności, jeżeli uzna, że jego spełnienie wiązałoby się z nadmiernym lub nieproporcjonalnym obciążeniem.</w:t>
      </w:r>
    </w:p>
    <w:p w14:paraId="51F4889A" w14:textId="77777777" w:rsidR="00DC7DA6" w:rsidRPr="009E064B" w:rsidRDefault="00FC069E" w:rsidP="00B06A9A">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4</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Właściwy </w:t>
      </w:r>
      <w:r w:rsidR="00AD4A4A" w:rsidRPr="009E064B">
        <w:rPr>
          <w:rFonts w:asciiTheme="minorHAnsi" w:eastAsia="Times New Roman" w:hAnsiTheme="minorHAnsi" w:cstheme="minorHAnsi"/>
          <w:szCs w:val="20"/>
        </w:rPr>
        <w:t>organ</w:t>
      </w:r>
      <w:r w:rsidR="00DE05DC" w:rsidRPr="009E064B">
        <w:rPr>
          <w:rFonts w:asciiTheme="minorHAnsi" w:eastAsia="Times New Roman" w:hAnsiTheme="minorHAnsi" w:cstheme="minorHAnsi"/>
          <w:szCs w:val="20"/>
        </w:rPr>
        <w:t xml:space="preserve"> prowadzi </w:t>
      </w:r>
      <w:r w:rsidR="00AD4A4A"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 xml:space="preserve">przez okres </w:t>
      </w:r>
      <w:r w:rsidRPr="009E064B">
        <w:rPr>
          <w:rFonts w:asciiTheme="minorHAnsi" w:eastAsia="Times New Roman" w:hAnsiTheme="minorHAnsi" w:cstheme="minorHAnsi"/>
          <w:szCs w:val="20"/>
        </w:rPr>
        <w:t xml:space="preserve">co </w:t>
      </w:r>
      <w:r w:rsidR="00DE05DC" w:rsidRPr="009E064B">
        <w:rPr>
          <w:rFonts w:asciiTheme="minorHAnsi" w:eastAsia="Times New Roman" w:hAnsiTheme="minorHAnsi" w:cstheme="minorHAnsi"/>
          <w:szCs w:val="20"/>
        </w:rPr>
        <w:t>najmniej pięciu lat – rejestr dokumentów związanych z</w:t>
      </w:r>
      <w:r w:rsidR="00A27EA1"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procedurą konwersji certyfikatów.</w:t>
      </w:r>
    </w:p>
    <w:p w14:paraId="2D2967FE" w14:textId="6ABEB4A1" w:rsidR="00DC7DA6" w:rsidRPr="009E064B" w:rsidRDefault="00DE05DC" w:rsidP="00020EA3">
      <w:pPr>
        <w:pStyle w:val="Nagwek2"/>
      </w:pPr>
      <w:bookmarkStart w:id="20" w:name="_Toc12532530"/>
      <w:r w:rsidRPr="009E064B">
        <w:t>Artykuł 7</w:t>
      </w:r>
      <w:r w:rsidR="00B60E8C" w:rsidRPr="009E064B">
        <w:t xml:space="preserve"> </w:t>
      </w:r>
      <w:r w:rsidR="00421474" w:rsidRPr="009E064B">
        <w:t xml:space="preserve">   </w:t>
      </w:r>
      <w:r w:rsidRPr="009E064B">
        <w:t>Odstępstwa od specyfikacji certyfikacyjnych</w:t>
      </w:r>
      <w:bookmarkEnd w:id="20"/>
    </w:p>
    <w:p w14:paraId="28875244" w14:textId="531152F0"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A6BD01E" w14:textId="77777777" w:rsidR="00DC7DA6" w:rsidRPr="009E064B" w:rsidRDefault="0009716F" w:rsidP="0057212B">
      <w:pPr>
        <w:tabs>
          <w:tab w:val="left" w:pos="545"/>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może – do dnia 31 grudnia 2024 r. – przyjmować wnioski o wydanie certyfikatu obejmujące odstę</w:t>
      </w:r>
      <w:r w:rsidR="00AD4A4A" w:rsidRPr="009E064B">
        <w:rPr>
          <w:rFonts w:asciiTheme="minorHAnsi" w:eastAsia="Times New Roman" w:hAnsiTheme="minorHAnsi" w:cstheme="minorHAnsi"/>
          <w:szCs w:val="20"/>
        </w:rPr>
        <w:t>p</w:t>
      </w:r>
      <w:r w:rsidR="00DE05DC" w:rsidRPr="009E064B">
        <w:rPr>
          <w:rFonts w:asciiTheme="minorHAnsi" w:eastAsia="Times New Roman" w:hAnsiTheme="minorHAnsi" w:cstheme="minorHAnsi"/>
          <w:szCs w:val="20"/>
        </w:rPr>
        <w:t>stwa od specyfikacji certyfikacyjny</w:t>
      </w:r>
      <w:r w:rsidR="006B3422" w:rsidRPr="009E064B">
        <w:rPr>
          <w:rFonts w:asciiTheme="minorHAnsi" w:eastAsia="Times New Roman" w:hAnsiTheme="minorHAnsi" w:cstheme="minorHAnsi"/>
          <w:szCs w:val="20"/>
        </w:rPr>
        <w:t xml:space="preserve">ch wydanych przez Agencję, pod warunkiem spełnienia następujących </w:t>
      </w:r>
      <w:r w:rsidR="00DE05DC" w:rsidRPr="009E064B">
        <w:rPr>
          <w:rFonts w:asciiTheme="minorHAnsi" w:eastAsia="Times New Roman" w:hAnsiTheme="minorHAnsi" w:cstheme="minorHAnsi"/>
          <w:szCs w:val="20"/>
        </w:rPr>
        <w:t>warunków:</w:t>
      </w:r>
    </w:p>
    <w:p w14:paraId="451C11CC" w14:textId="32E2F61A"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a)</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przedmiotowe odstępstwa nie kwalifikują się jako przypadki równoważnego poziomu bezpieczeństwa zgodnie z </w:t>
      </w:r>
      <w:hyperlink w:anchor="_ADR.AR.C.020__" w:history="1">
        <w:r w:rsidR="00DE05DC" w:rsidRPr="009E064B">
          <w:rPr>
            <w:rStyle w:val="Hipercze"/>
            <w:rFonts w:asciiTheme="minorHAnsi" w:eastAsia="Times New Roman" w:hAnsiTheme="minorHAnsi" w:cstheme="minorHAnsi"/>
            <w:szCs w:val="20"/>
          </w:rPr>
          <w:t>ADR.AR.C.020</w:t>
        </w:r>
      </w:hyperlink>
      <w:r w:rsidR="00DE05DC" w:rsidRPr="009E064B">
        <w:rPr>
          <w:rFonts w:asciiTheme="minorHAnsi" w:eastAsia="Times New Roman" w:hAnsiTheme="minorHAnsi" w:cstheme="minorHAnsi"/>
          <w:szCs w:val="20"/>
        </w:rPr>
        <w:t xml:space="preserve"> ani przypadki</w:t>
      </w:r>
      <w:r w:rsidR="004A5263" w:rsidRPr="009E064B">
        <w:rPr>
          <w:rFonts w:asciiTheme="minorHAnsi" w:eastAsia="Times New Roman" w:hAnsiTheme="minorHAnsi" w:cstheme="minorHAnsi"/>
          <w:szCs w:val="20"/>
        </w:rPr>
        <w:t xml:space="preserve"> warunków specjalnych zgodnie z </w:t>
      </w:r>
      <w:hyperlink w:anchor="_ADR.AR.C.025__" w:history="1">
        <w:r w:rsidR="00DE05DC" w:rsidRPr="009E064B">
          <w:rPr>
            <w:rStyle w:val="Hipercze"/>
            <w:rFonts w:asciiTheme="minorHAnsi" w:eastAsia="Times New Roman" w:hAnsiTheme="minorHAnsi" w:cstheme="minorHAnsi"/>
            <w:szCs w:val="20"/>
          </w:rPr>
          <w:t>ADR.AR.C.025</w:t>
        </w:r>
      </w:hyperlink>
      <w:r w:rsidR="00DE05DC" w:rsidRPr="009E064B">
        <w:rPr>
          <w:rFonts w:asciiTheme="minorHAnsi" w:eastAsia="Times New Roman" w:hAnsiTheme="minorHAnsi" w:cstheme="minorHAnsi"/>
          <w:szCs w:val="20"/>
        </w:rPr>
        <w:t xml:space="preserve"> </w:t>
      </w:r>
      <w:r w:rsidR="007365B2" w:rsidRPr="009E064B">
        <w:rPr>
          <w:rFonts w:asciiTheme="minorHAnsi" w:eastAsia="Times New Roman" w:hAnsiTheme="minorHAnsi" w:cstheme="minorHAnsi"/>
          <w:szCs w:val="20"/>
        </w:rPr>
        <w:t xml:space="preserve">Załącznika II </w:t>
      </w:r>
      <w:r w:rsidR="00DE05DC" w:rsidRPr="009E064B">
        <w:rPr>
          <w:rFonts w:asciiTheme="minorHAnsi" w:eastAsia="Times New Roman" w:hAnsiTheme="minorHAnsi" w:cstheme="minorHAnsi"/>
          <w:szCs w:val="20"/>
        </w:rPr>
        <w:t>do niniejszego rozporządzenia;</w:t>
      </w:r>
    </w:p>
    <w:p w14:paraId="60E3A576" w14:textId="77777777" w:rsidR="00DC7DA6" w:rsidRPr="009E064B" w:rsidRDefault="00FC069E"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b)</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przedmiotowe odstępstwa istniały przed wejściem w życie niniejszego rozporządzenia;</w:t>
      </w:r>
    </w:p>
    <w:p w14:paraId="184F7E5B" w14:textId="106CF91A" w:rsidR="00DC7DA6" w:rsidRPr="009E064B" w:rsidRDefault="00FC069E"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c)</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przedmiotowe odstępstwa spełniają zasadnicze wymagania </w:t>
      </w:r>
      <w:r w:rsidR="007365B2" w:rsidRPr="009E064B">
        <w:rPr>
          <w:rFonts w:asciiTheme="minorHAnsi" w:eastAsia="Times New Roman" w:hAnsiTheme="minorHAnsi" w:cstheme="minorHAnsi"/>
          <w:szCs w:val="20"/>
        </w:rPr>
        <w:t>Z</w:t>
      </w:r>
      <w:r w:rsidR="00DE05DC" w:rsidRPr="009E064B">
        <w:rPr>
          <w:rFonts w:asciiTheme="minorHAnsi" w:eastAsia="Times New Roman" w:hAnsiTheme="minorHAnsi" w:cstheme="minorHAnsi"/>
          <w:szCs w:val="20"/>
        </w:rPr>
        <w:t>ałącznika</w:t>
      </w:r>
      <w:r w:rsidR="0057212B"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Va do rozporządzenia (WE) nr 216/2008 oraz towarzyszą</w:t>
      </w:r>
      <w:r w:rsidR="004A5263" w:rsidRPr="009E064B">
        <w:rPr>
          <w:rFonts w:asciiTheme="minorHAnsi" w:eastAsia="Times New Roman" w:hAnsiTheme="minorHAnsi" w:cstheme="minorHAnsi"/>
          <w:szCs w:val="20"/>
        </w:rPr>
        <w:t xml:space="preserve"> im stosowne środki łagodzące i </w:t>
      </w:r>
      <w:r w:rsidR="00DE05DC" w:rsidRPr="009E064B">
        <w:rPr>
          <w:rFonts w:asciiTheme="minorHAnsi" w:eastAsia="Times New Roman" w:hAnsiTheme="minorHAnsi" w:cstheme="minorHAnsi"/>
          <w:szCs w:val="20"/>
        </w:rPr>
        <w:t>działania naprawcze;</w:t>
      </w:r>
    </w:p>
    <w:p w14:paraId="3CAF1E68" w14:textId="77777777" w:rsidR="00DC7DA6" w:rsidRPr="009E064B" w:rsidRDefault="00FC069E"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d)</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 odniesieniu do każdego odstępstwa sporządzono </w:t>
      </w:r>
      <w:r w:rsidR="00A3195C" w:rsidRPr="009E064B">
        <w:rPr>
          <w:rFonts w:asciiTheme="minorHAnsi" w:eastAsia="Times New Roman" w:hAnsiTheme="minorHAnsi" w:cstheme="minorHAnsi"/>
          <w:szCs w:val="20"/>
        </w:rPr>
        <w:t>dodat</w:t>
      </w:r>
      <w:r w:rsidR="00DE05DC" w:rsidRPr="009E064B">
        <w:rPr>
          <w:rFonts w:asciiTheme="minorHAnsi" w:eastAsia="Times New Roman" w:hAnsiTheme="minorHAnsi" w:cstheme="minorHAnsi"/>
          <w:szCs w:val="20"/>
        </w:rPr>
        <w:t>kowo ocenę bezpieczeństwa.</w:t>
      </w:r>
    </w:p>
    <w:p w14:paraId="71BECF1E" w14:textId="6748DFD3" w:rsidR="00E857F8" w:rsidRPr="009E064B" w:rsidRDefault="00FC069E" w:rsidP="00E857F8">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zbiera dowody na poparcie spełnienia warun</w:t>
      </w:r>
      <w:r w:rsidR="0057212B" w:rsidRPr="009E064B">
        <w:rPr>
          <w:rFonts w:asciiTheme="minorHAnsi" w:eastAsia="Times New Roman" w:hAnsiTheme="minorHAnsi" w:cstheme="minorHAnsi"/>
          <w:szCs w:val="20"/>
        </w:rPr>
        <w:t>ków, o których mowa w ust. </w:t>
      </w:r>
      <w:r w:rsidR="004A5263" w:rsidRPr="009E064B">
        <w:rPr>
          <w:rFonts w:asciiTheme="minorHAnsi" w:eastAsia="Times New Roman" w:hAnsiTheme="minorHAnsi" w:cstheme="minorHAnsi"/>
          <w:szCs w:val="20"/>
        </w:rPr>
        <w:t>1, w </w:t>
      </w:r>
      <w:r w:rsidR="00DE05DC" w:rsidRPr="009E064B">
        <w:rPr>
          <w:rFonts w:asciiTheme="minorHAnsi" w:eastAsia="Times New Roman" w:hAnsiTheme="minorHAnsi" w:cstheme="minorHAnsi"/>
          <w:szCs w:val="20"/>
        </w:rPr>
        <w:t>formie dokumentu akceptującego odstępstwo i sposób jego usunięcia (DAAD). Dokument DAAD zostaje dołączony do certyfikatu. Właś</w:t>
      </w:r>
      <w:r w:rsidR="00A3195C" w:rsidRPr="009E064B">
        <w:rPr>
          <w:rFonts w:asciiTheme="minorHAnsi" w:eastAsia="Times New Roman" w:hAnsiTheme="minorHAnsi" w:cstheme="minorHAnsi"/>
          <w:szCs w:val="20"/>
        </w:rPr>
        <w:t>ciwy organ</w:t>
      </w:r>
      <w:r w:rsidR="00DE05DC" w:rsidRPr="009E064B">
        <w:rPr>
          <w:rFonts w:asciiTheme="minorHAnsi" w:eastAsia="Times New Roman" w:hAnsiTheme="minorHAnsi" w:cstheme="minorHAnsi"/>
          <w:szCs w:val="20"/>
        </w:rPr>
        <w:t xml:space="preserve"> okreś</w:t>
      </w:r>
      <w:r w:rsidR="00A3195C" w:rsidRPr="009E064B">
        <w:rPr>
          <w:rFonts w:asciiTheme="minorHAnsi" w:eastAsia="Times New Roman" w:hAnsiTheme="minorHAnsi" w:cstheme="minorHAnsi"/>
          <w:szCs w:val="20"/>
        </w:rPr>
        <w:t xml:space="preserve">la okres </w:t>
      </w:r>
      <w:r w:rsidR="00DE05DC" w:rsidRPr="009E064B">
        <w:rPr>
          <w:rFonts w:asciiTheme="minorHAnsi" w:eastAsia="Times New Roman" w:hAnsiTheme="minorHAnsi" w:cstheme="minorHAnsi"/>
          <w:szCs w:val="20"/>
        </w:rPr>
        <w:t>ważności dokumentu DAAD.</w:t>
      </w:r>
      <w:r w:rsidR="00E857F8" w:rsidRPr="009E064B">
        <w:rPr>
          <w:rFonts w:asciiTheme="minorHAnsi" w:eastAsia="Times New Roman" w:hAnsiTheme="minorHAnsi" w:cstheme="minorHAnsi"/>
          <w:szCs w:val="20"/>
        </w:rPr>
        <w:t xml:space="preserve"> </w:t>
      </w:r>
      <w:r w:rsidR="00E857F8" w:rsidRPr="009E064B">
        <w:rPr>
          <w:rFonts w:asciiTheme="minorHAnsi" w:eastAsia="Times New Roman" w:hAnsiTheme="minorHAnsi" w:cstheme="minorHAnsi"/>
          <w:szCs w:val="20"/>
        </w:rPr>
        <w:br w:type="page"/>
      </w:r>
    </w:p>
    <w:p w14:paraId="7F7A70B4" w14:textId="18938FF6" w:rsidR="00DC7DA6" w:rsidRPr="009E064B" w:rsidRDefault="00FC069E" w:rsidP="00B06A9A">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Operator lotniska i właściwy organ sprawdzają, czy warunki, o </w:t>
      </w:r>
      <w:r w:rsidR="00A3195C" w:rsidRPr="009E064B">
        <w:rPr>
          <w:rFonts w:asciiTheme="minorHAnsi" w:eastAsia="Times New Roman" w:hAnsiTheme="minorHAnsi" w:cstheme="minorHAnsi"/>
          <w:szCs w:val="20"/>
        </w:rPr>
        <w:t xml:space="preserve">których </w:t>
      </w:r>
      <w:r w:rsidR="004A5263" w:rsidRPr="009E064B">
        <w:rPr>
          <w:rFonts w:asciiTheme="minorHAnsi" w:eastAsia="Times New Roman" w:hAnsiTheme="minorHAnsi" w:cstheme="minorHAnsi"/>
          <w:szCs w:val="20"/>
        </w:rPr>
        <w:t>mowa w ust. 1, są w </w:t>
      </w:r>
      <w:r w:rsidR="00DE05DC" w:rsidRPr="009E064B">
        <w:rPr>
          <w:rFonts w:asciiTheme="minorHAnsi" w:eastAsia="Times New Roman" w:hAnsiTheme="minorHAnsi" w:cstheme="minorHAnsi"/>
          <w:szCs w:val="20"/>
        </w:rPr>
        <w:t>sposób ciągły spełniane. Jeżeli tak nie jest, dokument DAAD zostaje zmieniony, zawieszony lub cofnięty.</w:t>
      </w:r>
    </w:p>
    <w:p w14:paraId="1742A759" w14:textId="05A2705B" w:rsidR="00DC7DA6" w:rsidRPr="009E064B" w:rsidRDefault="00DE05DC" w:rsidP="00020EA3">
      <w:pPr>
        <w:pStyle w:val="Nagwek2"/>
      </w:pPr>
      <w:bookmarkStart w:id="21" w:name="_Toc12532531"/>
      <w:r w:rsidRPr="009E064B">
        <w:t>Artykuł 8</w:t>
      </w:r>
      <w:r w:rsidR="00B60E8C" w:rsidRPr="009E064B">
        <w:t xml:space="preserve"> </w:t>
      </w:r>
      <w:r w:rsidR="00421474" w:rsidRPr="009E064B">
        <w:t xml:space="preserve">   </w:t>
      </w:r>
      <w:r w:rsidR="00A3195C" w:rsidRPr="009E064B">
        <w:t xml:space="preserve">Zabezpieczenie otoczenia </w:t>
      </w:r>
      <w:r w:rsidRPr="009E064B">
        <w:t>lotniska</w:t>
      </w:r>
      <w:bookmarkEnd w:id="21"/>
    </w:p>
    <w:p w14:paraId="731AC1D8" w14:textId="5A9A241E"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8E5F066" w14:textId="481AF20D" w:rsidR="00DA1DC1" w:rsidRPr="009E064B" w:rsidRDefault="0009716F" w:rsidP="00DA1DC1">
      <w:pPr>
        <w:tabs>
          <w:tab w:val="left" w:pos="545"/>
        </w:tabs>
        <w:ind w:left="567" w:right="-2" w:hanging="567"/>
      </w:pPr>
      <w:r w:rsidRPr="009E064B">
        <w:rPr>
          <w:rFonts w:asciiTheme="minorHAnsi" w:eastAsia="Times New Roman" w:hAnsiTheme="minorHAnsi" w:cstheme="minorHAnsi"/>
          <w:szCs w:val="20"/>
        </w:rPr>
        <w:t xml:space="preserve">1. </w:t>
      </w:r>
      <w:r w:rsidR="00DA1DC1" w:rsidRPr="009E064B">
        <w:rPr>
          <w:rFonts w:asciiTheme="minorHAnsi" w:eastAsia="Times New Roman" w:hAnsiTheme="minorHAnsi" w:cstheme="minorHAnsi"/>
          <w:szCs w:val="20"/>
        </w:rPr>
        <w:tab/>
      </w:r>
      <w:r w:rsidR="00DA1DC1" w:rsidRPr="009E064B">
        <w:t>Państwa członkowskie zapewniają przeprowadzenie konsultacji w sprawie wpływu na bezpieczeństwo konstrukcji, które mają zostać wzniesione w granicach powierzchni ograniczających przeszkody i powierzchni zabezpieczenia przeszkodowego oraz innych powierzchni powiązanych z lotniskiem.</w:t>
      </w:r>
      <w:r w:rsidR="00266F81" w:rsidRPr="009E064B">
        <w:rPr>
          <w:rStyle w:val="Odwoanieprzypisudolnego"/>
        </w:rPr>
        <w:footnoteReference w:id="10"/>
      </w:r>
    </w:p>
    <w:p w14:paraId="3BD06428" w14:textId="25B63A8D" w:rsidR="00266F81" w:rsidRPr="009E064B" w:rsidRDefault="00FC069E" w:rsidP="00266F81">
      <w:pPr>
        <w:tabs>
          <w:tab w:val="left" w:pos="545"/>
        </w:tabs>
        <w:ind w:left="567" w:right="-2" w:hanging="567"/>
        <w:rPr>
          <w:rFonts w:asciiTheme="minorHAnsi" w:hAnsiTheme="minorHAnsi" w:cstheme="minorHAnsi"/>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266F81" w:rsidRPr="009E064B">
        <w:rPr>
          <w:rFonts w:asciiTheme="minorHAnsi" w:hAnsiTheme="minorHAnsi" w:cstheme="minorHAnsi"/>
        </w:rPr>
        <w:t>Państwa członkowskie zapewniają przeprowadzenie konsultacji w sprawie wpływu na bezpieczeństwo konstrukcji, które mają zostać wzniesione poza granicami powierzchni ograniczających przeszkody i powierzchni zabezpieczenia przeszkodowego oraz innych powierzchni powiązanych z lotniskiem i które wykraczają poza wysokość względną określoną przez państwa członkowskie.</w:t>
      </w:r>
      <w:r w:rsidR="00266F81" w:rsidRPr="009E064B">
        <w:rPr>
          <w:rStyle w:val="Odwoanieprzypisudolnego"/>
          <w:rFonts w:asciiTheme="minorHAnsi" w:hAnsiTheme="minorHAnsi" w:cstheme="minorHAnsi"/>
        </w:rPr>
        <w:footnoteReference w:id="11"/>
      </w:r>
    </w:p>
    <w:p w14:paraId="6B6FFEEC" w14:textId="77777777" w:rsidR="00DC7DA6" w:rsidRPr="009E064B" w:rsidRDefault="00FC069E" w:rsidP="00B06A9A">
      <w:pPr>
        <w:tabs>
          <w:tab w:val="left" w:pos="545"/>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Państwa członkowskie zapewniają koordynację </w:t>
      </w:r>
      <w:r w:rsidR="00A3195C" w:rsidRPr="009E064B">
        <w:rPr>
          <w:rFonts w:asciiTheme="minorHAnsi" w:eastAsia="Times New Roman" w:hAnsiTheme="minorHAnsi" w:cstheme="minorHAnsi"/>
          <w:szCs w:val="20"/>
        </w:rPr>
        <w:t>zabezpie</w:t>
      </w:r>
      <w:r w:rsidR="00DE05DC" w:rsidRPr="009E064B">
        <w:rPr>
          <w:rFonts w:asciiTheme="minorHAnsi" w:eastAsia="Times New Roman" w:hAnsiTheme="minorHAnsi" w:cstheme="minorHAnsi"/>
          <w:szCs w:val="20"/>
        </w:rPr>
        <w:t>czenia lotnisk położonych w pobliżu granic krajowych z innymi państwami członkowskimi.</w:t>
      </w:r>
    </w:p>
    <w:p w14:paraId="429396E6" w14:textId="09878ECC" w:rsidR="0054242C" w:rsidRPr="009E064B" w:rsidRDefault="006136B7" w:rsidP="00133B99">
      <w:pPr>
        <w:pStyle w:val="Nagwek6"/>
      </w:pPr>
      <w:bookmarkStart w:id="22" w:name="_Toc492024489"/>
      <w:bookmarkStart w:id="23" w:name="_Toc12532532"/>
      <w:r w:rsidRPr="009E064B">
        <w:t xml:space="preserve">GM1 do Artykułu 8 </w:t>
      </w:r>
      <w:r w:rsidR="00E87EA6" w:rsidRPr="009E064B">
        <w:t xml:space="preserve">    </w:t>
      </w:r>
      <w:r w:rsidR="0054242C" w:rsidRPr="009E064B">
        <w:t>Zabezpieczenie otoczenia lotniska</w:t>
      </w:r>
      <w:bookmarkEnd w:id="22"/>
      <w:bookmarkEnd w:id="23"/>
    </w:p>
    <w:p w14:paraId="03156108" w14:textId="62A32810" w:rsidR="005707E4" w:rsidRPr="009E064B" w:rsidRDefault="00D63D4F" w:rsidP="005707E4">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310D670" w14:textId="5CE649B9" w:rsidR="0054242C" w:rsidRPr="009E064B" w:rsidRDefault="0054242C" w:rsidP="005707E4">
      <w:pPr>
        <w:rPr>
          <w:rFonts w:asciiTheme="minorHAnsi" w:eastAsia="Times New Roman" w:hAnsiTheme="minorHAnsi" w:cstheme="minorHAnsi"/>
          <w:szCs w:val="20"/>
        </w:rPr>
      </w:pPr>
      <w:r w:rsidRPr="009E064B">
        <w:rPr>
          <w:rFonts w:asciiTheme="minorHAnsi" w:eastAsia="Times New Roman" w:hAnsiTheme="minorHAnsi" w:cstheme="minorHAnsi"/>
          <w:szCs w:val="20"/>
        </w:rPr>
        <w:t>INNE POWIERZCHNIE POWIĄZANE Z LOTNISKIEM</w:t>
      </w:r>
    </w:p>
    <w:p w14:paraId="27FF5B35" w14:textId="77777777" w:rsidR="0054242C" w:rsidRPr="009E064B" w:rsidRDefault="0054242C" w:rsidP="00B06A9A">
      <w:pPr>
        <w:ind w:right="-2" w:firstLine="2"/>
        <w:rPr>
          <w:rFonts w:asciiTheme="minorHAnsi" w:eastAsia="Times New Roman" w:hAnsiTheme="minorHAnsi" w:cstheme="minorHAnsi"/>
          <w:szCs w:val="20"/>
        </w:rPr>
      </w:pPr>
      <w:r w:rsidRPr="009E064B">
        <w:rPr>
          <w:rFonts w:asciiTheme="minorHAnsi" w:eastAsia="Times New Roman" w:hAnsiTheme="minorHAnsi" w:cstheme="minorHAnsi"/>
          <w:szCs w:val="20"/>
        </w:rPr>
        <w:t>Inne powierzchnie powiązane z lotniskiem są to powierzchnie, które muszą być ustalone, gdy prowadzone są operacje zgodnie z podręcznikiem ICAO PANS-OPS, Doc 8168 „Procedury Służb Żeglugi Powietrznej – Operacje Statków Powietrznych” Tom II, przyjętym w prawie krajowym. Pojęcie „powierzchni” w tym rozumieniu nie jest używane w sposób jednolity w różnych źródłach informacji, w których mogą być stosowane również pojęcia „obszar” lub „strefa”.</w:t>
      </w:r>
    </w:p>
    <w:p w14:paraId="0A5AD5E7" w14:textId="41A24C53" w:rsidR="00DC7DA6" w:rsidRPr="009E064B" w:rsidRDefault="00DE05DC" w:rsidP="00020EA3">
      <w:pPr>
        <w:pStyle w:val="Nagwek2"/>
      </w:pPr>
      <w:bookmarkStart w:id="24" w:name="_Toc12532533"/>
      <w:r w:rsidRPr="009E064B">
        <w:t>Artykuł 9</w:t>
      </w:r>
      <w:r w:rsidR="00B60E8C" w:rsidRPr="009E064B">
        <w:t xml:space="preserve"> </w:t>
      </w:r>
      <w:r w:rsidR="00421474" w:rsidRPr="009E064B">
        <w:t xml:space="preserve">   </w:t>
      </w:r>
      <w:r w:rsidRPr="009E064B">
        <w:t>Monitorowanie otoczenia lotniska</w:t>
      </w:r>
      <w:bookmarkEnd w:id="24"/>
    </w:p>
    <w:p w14:paraId="59CCA3A2" w14:textId="2BE34002"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AAE57D8" w14:textId="77777777" w:rsidR="00DC7DA6" w:rsidRPr="009E064B" w:rsidRDefault="00DE05DC" w:rsidP="0057212B">
      <w:pPr>
        <w:spacing w:after="80"/>
        <w:ind w:firstLine="2"/>
        <w:rPr>
          <w:rFonts w:asciiTheme="minorHAnsi" w:eastAsia="Times New Roman" w:hAnsiTheme="minorHAnsi" w:cstheme="minorHAnsi"/>
          <w:szCs w:val="20"/>
        </w:rPr>
      </w:pPr>
      <w:r w:rsidRPr="009E064B">
        <w:rPr>
          <w:rFonts w:asciiTheme="minorHAnsi" w:eastAsia="Times New Roman" w:hAnsiTheme="minorHAnsi" w:cstheme="minorHAnsi"/>
          <w:szCs w:val="20"/>
        </w:rPr>
        <w:t>Państwa członkowskie zapewniają przeprowadzenie konsultacji w s</w:t>
      </w:r>
      <w:r w:rsidR="004C4FF6" w:rsidRPr="009E064B">
        <w:rPr>
          <w:rFonts w:asciiTheme="minorHAnsi" w:eastAsia="Times New Roman" w:hAnsiTheme="minorHAnsi" w:cstheme="minorHAnsi"/>
          <w:szCs w:val="20"/>
        </w:rPr>
        <w:t>prawie działalności człowieka i </w:t>
      </w:r>
      <w:r w:rsidRPr="009E064B">
        <w:rPr>
          <w:rFonts w:asciiTheme="minorHAnsi" w:eastAsia="Times New Roman" w:hAnsiTheme="minorHAnsi" w:cstheme="minorHAnsi"/>
          <w:szCs w:val="20"/>
        </w:rPr>
        <w:t>użytkowania gruntów, tj.:</w:t>
      </w:r>
    </w:p>
    <w:p w14:paraId="2D6CB2B7" w14:textId="77777777" w:rsidR="00DC7DA6" w:rsidRPr="009E064B" w:rsidRDefault="00A3195C"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a)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każdego zagospodarowania gruntów lub zmian ich sposobu użytkowania w strefie lotniska;</w:t>
      </w:r>
    </w:p>
    <w:p w14:paraId="2992DA77" w14:textId="77777777" w:rsidR="00DC7DA6" w:rsidRPr="009E064B" w:rsidRDefault="00A3195C"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b)</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wszelkich rodzajów zagospodarowania gruntów, które mogą tworzyć turbulencje wywołane przez przeszkody </w:t>
      </w:r>
      <w:r w:rsidRPr="009E064B">
        <w:rPr>
          <w:rFonts w:asciiTheme="minorHAnsi" w:eastAsia="Times New Roman" w:hAnsiTheme="minorHAnsi" w:cstheme="minorHAnsi"/>
          <w:szCs w:val="20"/>
        </w:rPr>
        <w:t>poten</w:t>
      </w:r>
      <w:r w:rsidR="00DE05DC" w:rsidRPr="009E064B">
        <w:rPr>
          <w:rFonts w:asciiTheme="minorHAnsi" w:eastAsia="Times New Roman" w:hAnsiTheme="minorHAnsi" w:cstheme="minorHAnsi"/>
          <w:szCs w:val="20"/>
        </w:rPr>
        <w:t>cjalnie niebezpieczne dla operacji statków powietrznych;</w:t>
      </w:r>
    </w:p>
    <w:p w14:paraId="01D3CBF2" w14:textId="77777777" w:rsidR="00DC7DA6" w:rsidRPr="009E064B" w:rsidRDefault="00A3195C"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c)</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użycia </w:t>
      </w:r>
      <w:r w:rsidRPr="009E064B">
        <w:rPr>
          <w:rFonts w:asciiTheme="minorHAnsi" w:eastAsia="Times New Roman" w:hAnsiTheme="minorHAnsi" w:cstheme="minorHAnsi"/>
          <w:szCs w:val="20"/>
        </w:rPr>
        <w:t>niebezpiecznych,</w:t>
      </w:r>
      <w:r w:rsidR="00DE05DC" w:rsidRPr="009E064B">
        <w:rPr>
          <w:rFonts w:asciiTheme="minorHAnsi" w:eastAsia="Times New Roman" w:hAnsiTheme="minorHAnsi" w:cstheme="minorHAnsi"/>
          <w:szCs w:val="20"/>
        </w:rPr>
        <w:t xml:space="preserve"> dezorientujących lub wprowadzających w błąd świateł;</w:t>
      </w:r>
    </w:p>
    <w:p w14:paraId="3543A5AF" w14:textId="77777777" w:rsidR="00DC7DA6" w:rsidRPr="009E064B" w:rsidRDefault="00A3195C"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d)</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użycia wysoko odblaskowych powierzchni mogących </w:t>
      </w:r>
      <w:r w:rsidRPr="009E064B">
        <w:rPr>
          <w:rFonts w:asciiTheme="minorHAnsi" w:eastAsia="Times New Roman" w:hAnsiTheme="minorHAnsi" w:cstheme="minorHAnsi"/>
          <w:szCs w:val="20"/>
        </w:rPr>
        <w:t>powo</w:t>
      </w:r>
      <w:r w:rsidR="00DE05DC" w:rsidRPr="009E064B">
        <w:rPr>
          <w:rFonts w:asciiTheme="minorHAnsi" w:eastAsia="Times New Roman" w:hAnsiTheme="minorHAnsi" w:cstheme="minorHAnsi"/>
          <w:szCs w:val="20"/>
        </w:rPr>
        <w:t>dować oślepienie;</w:t>
      </w:r>
    </w:p>
    <w:p w14:paraId="7F37E8D7" w14:textId="77777777" w:rsidR="00DC7DA6" w:rsidRPr="009E064B" w:rsidRDefault="00A3195C" w:rsidP="0057212B">
      <w:pPr>
        <w:tabs>
          <w:tab w:val="left" w:pos="567"/>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e)</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tworzenia obszarów mogących sprzyjać pojawieniu się dzikiej zwierzyny stanowiącej zagrożenie dla operacji statków powietrznych;</w:t>
      </w:r>
    </w:p>
    <w:p w14:paraId="0761769D" w14:textId="7BD052AE" w:rsidR="0077724D" w:rsidRPr="009E064B" w:rsidRDefault="00A3195C" w:rsidP="0077724D">
      <w:pPr>
        <w:tabs>
          <w:tab w:val="left" w:pos="567"/>
        </w:tabs>
        <w:spacing w:after="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f)</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źródeł niewidocznego promieniowania lub obecnoś</w:t>
      </w:r>
      <w:r w:rsidRPr="009E064B">
        <w:rPr>
          <w:rFonts w:asciiTheme="minorHAnsi" w:eastAsia="Times New Roman" w:hAnsiTheme="minorHAnsi" w:cstheme="minorHAnsi"/>
          <w:szCs w:val="20"/>
        </w:rPr>
        <w:t>ci rucho</w:t>
      </w:r>
      <w:r w:rsidR="00DE05DC" w:rsidRPr="009E064B">
        <w:rPr>
          <w:rFonts w:asciiTheme="minorHAnsi" w:eastAsia="Times New Roman" w:hAnsiTheme="minorHAnsi" w:cstheme="minorHAnsi"/>
          <w:szCs w:val="20"/>
        </w:rPr>
        <w:t>mych lub stałych obiektów, które mogą zakłócać skuteczną łączność lotniczą, systemy nawigacji i dozorowania lub negatywnie wpływać na ich działanie.</w:t>
      </w:r>
      <w:r w:rsidR="0077724D" w:rsidRPr="009E064B">
        <w:rPr>
          <w:rFonts w:asciiTheme="minorHAnsi" w:eastAsia="Times New Roman" w:hAnsiTheme="minorHAnsi" w:cstheme="minorHAnsi"/>
          <w:szCs w:val="20"/>
        </w:rPr>
        <w:t xml:space="preserve"> </w:t>
      </w:r>
      <w:r w:rsidR="0077724D" w:rsidRPr="009E064B">
        <w:rPr>
          <w:rFonts w:asciiTheme="minorHAnsi" w:eastAsia="Times New Roman" w:hAnsiTheme="minorHAnsi" w:cstheme="minorHAnsi"/>
          <w:szCs w:val="20"/>
        </w:rPr>
        <w:br w:type="page"/>
      </w:r>
    </w:p>
    <w:p w14:paraId="6F6286B5" w14:textId="43728D57" w:rsidR="00DC7DA6" w:rsidRPr="009E064B" w:rsidRDefault="00DE05DC" w:rsidP="00020EA3">
      <w:pPr>
        <w:pStyle w:val="Nagwek2"/>
      </w:pPr>
      <w:bookmarkStart w:id="25" w:name="_Toc12532534"/>
      <w:r w:rsidRPr="009E064B">
        <w:t>Artykuł 10</w:t>
      </w:r>
      <w:r w:rsidR="00A3195C" w:rsidRPr="009E064B">
        <w:t xml:space="preserve"> </w:t>
      </w:r>
      <w:r w:rsidR="00421474" w:rsidRPr="009E064B">
        <w:t xml:space="preserve">   </w:t>
      </w:r>
      <w:r w:rsidRPr="009E064B">
        <w:t>Zarząd</w:t>
      </w:r>
      <w:r w:rsidR="005707E4" w:rsidRPr="009E064B">
        <w:t>zanie zagrożeniami związanymi z </w:t>
      </w:r>
      <w:r w:rsidRPr="009E064B">
        <w:t>dziką zwierzyną</w:t>
      </w:r>
      <w:bookmarkEnd w:id="25"/>
    </w:p>
    <w:p w14:paraId="31D6B35C" w14:textId="58352D7A"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4AB8F97" w14:textId="77777777" w:rsidR="00DC7DA6" w:rsidRPr="009E064B" w:rsidRDefault="0009716F" w:rsidP="0057212B">
      <w:pPr>
        <w:tabs>
          <w:tab w:val="left" w:pos="545"/>
        </w:tabs>
        <w:spacing w:after="8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Państwa członkowskie </w:t>
      </w:r>
      <w:r w:rsidR="00BC06C0" w:rsidRPr="009E064B">
        <w:rPr>
          <w:rFonts w:asciiTheme="minorHAnsi" w:eastAsia="Times New Roman" w:hAnsiTheme="minorHAnsi" w:cstheme="minorHAnsi"/>
          <w:szCs w:val="20"/>
        </w:rPr>
        <w:t>zapewniają ocenę zagrożeń zwią</w:t>
      </w:r>
      <w:r w:rsidR="00036E21" w:rsidRPr="009E064B">
        <w:rPr>
          <w:rFonts w:asciiTheme="minorHAnsi" w:eastAsia="Times New Roman" w:hAnsiTheme="minorHAnsi" w:cstheme="minorHAnsi"/>
          <w:szCs w:val="20"/>
        </w:rPr>
        <w:t xml:space="preserve">zanych z możliwością zderzenia z dziką </w:t>
      </w:r>
      <w:r w:rsidR="00DE05DC" w:rsidRPr="009E064B">
        <w:rPr>
          <w:rFonts w:asciiTheme="minorHAnsi" w:eastAsia="Times New Roman" w:hAnsiTheme="minorHAnsi" w:cstheme="minorHAnsi"/>
          <w:szCs w:val="20"/>
        </w:rPr>
        <w:t>zwierzyną poprzez:</w:t>
      </w:r>
    </w:p>
    <w:p w14:paraId="14B04C0E" w14:textId="77777777" w:rsidR="00DC7DA6" w:rsidRPr="009E064B" w:rsidRDefault="00A3195C"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a)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ustanowienie krajowej procedury rejestracji i zgłaszania zderzeń dzikiej zwierzyny </w:t>
      </w:r>
      <w:r w:rsidR="00B60E8C" w:rsidRPr="009E064B">
        <w:rPr>
          <w:rFonts w:asciiTheme="minorHAnsi" w:eastAsia="Times New Roman" w:hAnsiTheme="minorHAnsi" w:cstheme="minorHAnsi"/>
          <w:szCs w:val="20"/>
        </w:rPr>
        <w:t xml:space="preserve">ze </w:t>
      </w:r>
      <w:r w:rsidR="00DE05DC" w:rsidRPr="009E064B">
        <w:rPr>
          <w:rFonts w:asciiTheme="minorHAnsi" w:eastAsia="Times New Roman" w:hAnsiTheme="minorHAnsi" w:cstheme="minorHAnsi"/>
          <w:szCs w:val="20"/>
        </w:rPr>
        <w:t>statkami powietrznymi;</w:t>
      </w:r>
    </w:p>
    <w:p w14:paraId="4A627167" w14:textId="001624FB" w:rsidR="00DC7DA6" w:rsidRPr="009E064B" w:rsidRDefault="00A3195C" w:rsidP="0057212B">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b)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gromad</w:t>
      </w:r>
      <w:r w:rsidR="00BC06C0" w:rsidRPr="009E064B">
        <w:rPr>
          <w:rFonts w:asciiTheme="minorHAnsi" w:eastAsia="Times New Roman" w:hAnsiTheme="minorHAnsi" w:cstheme="minorHAnsi"/>
          <w:szCs w:val="20"/>
        </w:rPr>
        <w:t xml:space="preserve">zenie informacji od operatorów </w:t>
      </w:r>
      <w:r w:rsidR="00DE05DC" w:rsidRPr="009E064B">
        <w:rPr>
          <w:rFonts w:asciiTheme="minorHAnsi" w:eastAsia="Times New Roman" w:hAnsiTheme="minorHAnsi" w:cstheme="minorHAnsi"/>
          <w:szCs w:val="20"/>
        </w:rPr>
        <w:t>stat</w:t>
      </w:r>
      <w:r w:rsidR="00BC06C0" w:rsidRPr="009E064B">
        <w:rPr>
          <w:rFonts w:asciiTheme="minorHAnsi" w:eastAsia="Times New Roman" w:hAnsiTheme="minorHAnsi" w:cstheme="minorHAnsi"/>
          <w:szCs w:val="20"/>
        </w:rPr>
        <w:t>ków powietrz</w:t>
      </w:r>
      <w:r w:rsidR="004A5263" w:rsidRPr="009E064B">
        <w:rPr>
          <w:rFonts w:asciiTheme="minorHAnsi" w:eastAsia="Times New Roman" w:hAnsiTheme="minorHAnsi" w:cstheme="minorHAnsi"/>
          <w:szCs w:val="20"/>
        </w:rPr>
        <w:t>nych, pracowników lotnisk i z </w:t>
      </w:r>
      <w:r w:rsidR="00DE05DC" w:rsidRPr="009E064B">
        <w:rPr>
          <w:rFonts w:asciiTheme="minorHAnsi" w:eastAsia="Times New Roman" w:hAnsiTheme="minorHAnsi" w:cstheme="minorHAnsi"/>
          <w:szCs w:val="20"/>
        </w:rPr>
        <w:t xml:space="preserve">innych źródeł na temat </w:t>
      </w:r>
      <w:r w:rsidR="00B60E8C" w:rsidRPr="009E064B">
        <w:rPr>
          <w:rFonts w:asciiTheme="minorHAnsi" w:eastAsia="Times New Roman" w:hAnsiTheme="minorHAnsi" w:cstheme="minorHAnsi"/>
          <w:szCs w:val="20"/>
        </w:rPr>
        <w:t>obec</w:t>
      </w:r>
      <w:r w:rsidR="00DE05DC" w:rsidRPr="009E064B">
        <w:rPr>
          <w:rFonts w:asciiTheme="minorHAnsi" w:eastAsia="Times New Roman" w:hAnsiTheme="minorHAnsi" w:cstheme="minorHAnsi"/>
          <w:szCs w:val="20"/>
        </w:rPr>
        <w:t>ności dzikiej zwierzyny stwarzającej potencjalne zagrożenie dla operacji statków powietrznych; oraz</w:t>
      </w:r>
    </w:p>
    <w:p w14:paraId="3DA55EB9" w14:textId="77777777" w:rsidR="00DC7DA6" w:rsidRPr="009E064B" w:rsidRDefault="00A3195C" w:rsidP="00B06A9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c)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stałą ocenę zagrożenia związanego z dziką zwierzyną </w:t>
      </w:r>
      <w:r w:rsidR="00B60E8C" w:rsidRPr="009E064B">
        <w:rPr>
          <w:rFonts w:asciiTheme="minorHAnsi" w:eastAsia="Times New Roman" w:hAnsiTheme="minorHAnsi" w:cstheme="minorHAnsi"/>
          <w:szCs w:val="20"/>
        </w:rPr>
        <w:t>wyko</w:t>
      </w:r>
      <w:r w:rsidR="00DE05DC" w:rsidRPr="009E064B">
        <w:rPr>
          <w:rFonts w:asciiTheme="minorHAnsi" w:eastAsia="Times New Roman" w:hAnsiTheme="minorHAnsi" w:cstheme="minorHAnsi"/>
          <w:szCs w:val="20"/>
        </w:rPr>
        <w:t xml:space="preserve">nywaną przez </w:t>
      </w:r>
      <w:r w:rsidR="00B60E8C" w:rsidRPr="009E064B">
        <w:rPr>
          <w:rFonts w:asciiTheme="minorHAnsi" w:eastAsia="Times New Roman" w:hAnsiTheme="minorHAnsi" w:cstheme="minorHAnsi"/>
          <w:szCs w:val="20"/>
        </w:rPr>
        <w:t xml:space="preserve">wykwalifikowanych </w:t>
      </w:r>
      <w:r w:rsidR="00DE05DC" w:rsidRPr="009E064B">
        <w:rPr>
          <w:rFonts w:asciiTheme="minorHAnsi" w:eastAsia="Times New Roman" w:hAnsiTheme="minorHAnsi" w:cstheme="minorHAnsi"/>
          <w:szCs w:val="20"/>
        </w:rPr>
        <w:t>pracowników.</w:t>
      </w:r>
    </w:p>
    <w:p w14:paraId="0C2FC50A" w14:textId="77777777" w:rsidR="00DC7DA6" w:rsidRPr="009E064B" w:rsidRDefault="00FC069E" w:rsidP="0057212B">
      <w:pPr>
        <w:tabs>
          <w:tab w:val="left" w:pos="567"/>
        </w:tabs>
        <w:spacing w:after="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Państwa członkowskie zapewniają, by zgłoszenia </w:t>
      </w:r>
      <w:r w:rsidR="00B60E8C" w:rsidRPr="009E064B">
        <w:rPr>
          <w:rFonts w:asciiTheme="minorHAnsi" w:eastAsia="Times New Roman" w:hAnsiTheme="minorHAnsi" w:cstheme="minorHAnsi"/>
          <w:szCs w:val="20"/>
        </w:rPr>
        <w:t>doty</w:t>
      </w:r>
      <w:r w:rsidR="00DE05DC" w:rsidRPr="009E064B">
        <w:rPr>
          <w:rFonts w:asciiTheme="minorHAnsi" w:eastAsia="Times New Roman" w:hAnsiTheme="minorHAnsi" w:cstheme="minorHAnsi"/>
          <w:szCs w:val="20"/>
        </w:rPr>
        <w:t xml:space="preserve">czące zderzeń z dziką zwierzyną były gromadzone i </w:t>
      </w:r>
      <w:r w:rsidR="00B60E8C" w:rsidRPr="009E064B">
        <w:rPr>
          <w:rFonts w:asciiTheme="minorHAnsi" w:eastAsia="Times New Roman" w:hAnsiTheme="minorHAnsi" w:cstheme="minorHAnsi"/>
          <w:szCs w:val="20"/>
        </w:rPr>
        <w:t>przekazy</w:t>
      </w:r>
      <w:r w:rsidR="00DE05DC" w:rsidRPr="009E064B">
        <w:rPr>
          <w:rFonts w:asciiTheme="minorHAnsi" w:eastAsia="Times New Roman" w:hAnsiTheme="minorHAnsi" w:cstheme="minorHAnsi"/>
          <w:szCs w:val="20"/>
        </w:rPr>
        <w:t xml:space="preserve">wane </w:t>
      </w:r>
      <w:r w:rsidR="004B5157" w:rsidRPr="009E064B">
        <w:rPr>
          <w:rFonts w:asciiTheme="minorHAnsi" w:eastAsia="Times New Roman" w:hAnsiTheme="minorHAnsi" w:cstheme="minorHAnsi"/>
          <w:szCs w:val="20"/>
        </w:rPr>
        <w:t xml:space="preserve">do ICAO celem ich wprowadzenia do bazy </w:t>
      </w:r>
      <w:r w:rsidR="00DE05DC" w:rsidRPr="009E064B">
        <w:rPr>
          <w:rFonts w:asciiTheme="minorHAnsi" w:eastAsia="Times New Roman" w:hAnsiTheme="minorHAnsi" w:cstheme="minorHAnsi"/>
          <w:szCs w:val="20"/>
        </w:rPr>
        <w:t>danych systemu informacji o zd</w:t>
      </w:r>
      <w:r w:rsidR="006B3422" w:rsidRPr="009E064B">
        <w:rPr>
          <w:rFonts w:asciiTheme="minorHAnsi" w:eastAsia="Times New Roman" w:hAnsiTheme="minorHAnsi" w:cstheme="minorHAnsi"/>
          <w:szCs w:val="20"/>
        </w:rPr>
        <w:t xml:space="preserve">erzeniach z </w:t>
      </w:r>
      <w:r w:rsidR="00DE05DC" w:rsidRPr="009E064B">
        <w:rPr>
          <w:rFonts w:asciiTheme="minorHAnsi" w:eastAsia="Times New Roman" w:hAnsiTheme="minorHAnsi" w:cstheme="minorHAnsi"/>
          <w:szCs w:val="20"/>
        </w:rPr>
        <w:t>ptakami (IBIS).</w:t>
      </w:r>
    </w:p>
    <w:p w14:paraId="1FA6BE57" w14:textId="73D32474" w:rsidR="00DC7DA6" w:rsidRPr="009E064B" w:rsidRDefault="00DE05DC" w:rsidP="00020EA3">
      <w:pPr>
        <w:pStyle w:val="Nagwek2"/>
      </w:pPr>
      <w:bookmarkStart w:id="26" w:name="_Toc12532535"/>
      <w:r w:rsidRPr="009E064B">
        <w:t>Artykuł 11</w:t>
      </w:r>
      <w:r w:rsidR="00F968AC" w:rsidRPr="009E064B">
        <w:t xml:space="preserve"> </w:t>
      </w:r>
      <w:r w:rsidR="00421474" w:rsidRPr="009E064B">
        <w:t xml:space="preserve">   </w:t>
      </w:r>
      <w:r w:rsidRPr="009E064B">
        <w:t>Wejście w życie i stosowanie</w:t>
      </w:r>
      <w:bookmarkEnd w:id="26"/>
    </w:p>
    <w:p w14:paraId="5AE0E1CD" w14:textId="165D4A3D" w:rsidR="00F968AC" w:rsidRPr="009E064B" w:rsidRDefault="00A80E78" w:rsidP="00B06A9A">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0435948" w14:textId="18C5C03C" w:rsidR="00DC7DA6" w:rsidRPr="009E064B" w:rsidRDefault="0009716F"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FC069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Niniejsze rozporządzenie wchodzi w życie dwudzieste</w:t>
      </w:r>
      <w:r w:rsidR="0057212B" w:rsidRPr="009E064B">
        <w:rPr>
          <w:rFonts w:asciiTheme="minorHAnsi" w:eastAsia="Times New Roman" w:hAnsiTheme="minorHAnsi" w:cstheme="minorHAnsi"/>
          <w:szCs w:val="20"/>
        </w:rPr>
        <w:t>go dnia po jego opublikowaniu w </w:t>
      </w:r>
      <w:r w:rsidR="00DE05DC" w:rsidRPr="009E064B">
        <w:rPr>
          <w:rFonts w:asciiTheme="minorHAnsi" w:eastAsia="Times New Roman" w:hAnsiTheme="minorHAnsi" w:cstheme="minorHAnsi"/>
          <w:i/>
          <w:szCs w:val="20"/>
        </w:rPr>
        <w:t xml:space="preserve">Dzienniku Urzędowym Unii </w:t>
      </w:r>
      <w:r w:rsidR="00B60E8C" w:rsidRPr="009E064B">
        <w:rPr>
          <w:rFonts w:asciiTheme="minorHAnsi" w:eastAsia="Times New Roman" w:hAnsiTheme="minorHAnsi" w:cstheme="minorHAnsi"/>
          <w:i/>
          <w:szCs w:val="20"/>
        </w:rPr>
        <w:t>Euro</w:t>
      </w:r>
      <w:r w:rsidR="00DE05DC" w:rsidRPr="009E064B">
        <w:rPr>
          <w:rFonts w:asciiTheme="minorHAnsi" w:eastAsia="Times New Roman" w:hAnsiTheme="minorHAnsi" w:cstheme="minorHAnsi"/>
          <w:i/>
          <w:szCs w:val="20"/>
        </w:rPr>
        <w:t>pejskiej</w:t>
      </w:r>
      <w:r w:rsidR="00DE05DC" w:rsidRPr="009E064B">
        <w:rPr>
          <w:rFonts w:asciiTheme="minorHAnsi" w:eastAsia="Times New Roman" w:hAnsiTheme="minorHAnsi" w:cstheme="minorHAnsi"/>
          <w:szCs w:val="20"/>
        </w:rPr>
        <w:t>.</w:t>
      </w:r>
    </w:p>
    <w:p w14:paraId="32C4D089" w14:textId="2F4F6326" w:rsidR="00DC7DA6" w:rsidRPr="009E064B" w:rsidRDefault="00FC069E"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2</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Właściwe organy zaangażowane w certyfikację i nadzór nad lo</w:t>
      </w:r>
      <w:r w:rsidR="00A27EA1" w:rsidRPr="009E064B">
        <w:rPr>
          <w:rFonts w:asciiTheme="minorHAnsi" w:eastAsia="Times New Roman" w:hAnsiTheme="minorHAnsi" w:cstheme="minorHAnsi"/>
          <w:szCs w:val="20"/>
        </w:rPr>
        <w:t>tniskami, operatorami lotnisk i </w:t>
      </w:r>
      <w:r w:rsidR="00DE05DC" w:rsidRPr="009E064B">
        <w:rPr>
          <w:rFonts w:asciiTheme="minorHAnsi" w:eastAsia="Times New Roman" w:hAnsiTheme="minorHAnsi" w:cstheme="minorHAnsi"/>
          <w:szCs w:val="20"/>
        </w:rPr>
        <w:t>instytucjami zapewniaj</w:t>
      </w:r>
      <w:r w:rsidR="00B60E8C" w:rsidRPr="009E064B">
        <w:rPr>
          <w:rFonts w:asciiTheme="minorHAnsi" w:eastAsia="Times New Roman" w:hAnsiTheme="minorHAnsi" w:cstheme="minorHAnsi"/>
          <w:szCs w:val="20"/>
        </w:rPr>
        <w:t>ą</w:t>
      </w:r>
      <w:r w:rsidR="00DE05DC" w:rsidRPr="009E064B">
        <w:rPr>
          <w:rFonts w:asciiTheme="minorHAnsi" w:eastAsia="Times New Roman" w:hAnsiTheme="minorHAnsi" w:cstheme="minorHAnsi"/>
          <w:szCs w:val="20"/>
        </w:rPr>
        <w:t xml:space="preserve">cymi służbę zarządzania płytą postojową muszą spełnić </w:t>
      </w:r>
      <w:r w:rsidR="00B60E8C" w:rsidRPr="009E064B">
        <w:rPr>
          <w:rFonts w:asciiTheme="minorHAnsi" w:eastAsia="Times New Roman" w:hAnsiTheme="minorHAnsi" w:cstheme="minorHAnsi"/>
          <w:szCs w:val="20"/>
        </w:rPr>
        <w:t>wyma</w:t>
      </w:r>
      <w:r w:rsidR="006B3422" w:rsidRPr="009E064B">
        <w:rPr>
          <w:rFonts w:asciiTheme="minorHAnsi" w:eastAsia="Times New Roman" w:hAnsiTheme="minorHAnsi" w:cstheme="minorHAnsi"/>
          <w:szCs w:val="20"/>
        </w:rPr>
        <w:t xml:space="preserve">gania określone w </w:t>
      </w:r>
      <w:hyperlink w:anchor="_ZAŁĄCZNIK_II_—" w:history="1">
        <w:r w:rsidR="007365B2" w:rsidRPr="009E064B">
          <w:rPr>
            <w:rStyle w:val="Hipercze"/>
            <w:rFonts w:asciiTheme="minorHAnsi" w:eastAsia="Times New Roman" w:hAnsiTheme="minorHAnsi" w:cstheme="minorHAnsi"/>
            <w:szCs w:val="20"/>
          </w:rPr>
          <w:t>Załącznik II</w:t>
        </w:r>
      </w:hyperlink>
      <w:r w:rsidR="00DE05DC" w:rsidRPr="009E064B">
        <w:rPr>
          <w:rFonts w:asciiTheme="minorHAnsi" w:eastAsia="Times New Roman" w:hAnsiTheme="minorHAnsi" w:cstheme="minorHAnsi"/>
          <w:szCs w:val="20"/>
        </w:rPr>
        <w:t xml:space="preserve"> do niniejszego rozporządzenia do dnia 31 grudnia 2017 r.</w:t>
      </w:r>
    </w:p>
    <w:p w14:paraId="4380E625" w14:textId="0E9005B7" w:rsidR="00DC7DA6" w:rsidRPr="009E064B" w:rsidRDefault="00FC069E"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3</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hyperlink w:anchor="_ZAŁĄCZNIK_III_—" w:history="1">
        <w:r w:rsidR="007365B2" w:rsidRPr="009E064B">
          <w:rPr>
            <w:rStyle w:val="Hipercze"/>
            <w:rFonts w:asciiTheme="minorHAnsi" w:eastAsia="Times New Roman" w:hAnsiTheme="minorHAnsi" w:cstheme="minorHAnsi"/>
            <w:szCs w:val="20"/>
          </w:rPr>
          <w:t>Załącznik III</w:t>
        </w:r>
      </w:hyperlink>
      <w:r w:rsidR="007365B2" w:rsidRPr="009E064B">
        <w:rPr>
          <w:rFonts w:asciiTheme="minorHAnsi" w:eastAsia="Times New Roman" w:hAnsiTheme="minorHAnsi" w:cstheme="minorHAnsi"/>
          <w:szCs w:val="20"/>
        </w:rPr>
        <w:t xml:space="preserve"> i </w:t>
      </w:r>
      <w:hyperlink w:anchor="_ZAŁĄCZNIK_IV_—" w:history="1">
        <w:r w:rsidR="00C16626" w:rsidRPr="009E064B">
          <w:rPr>
            <w:rStyle w:val="Hipercze"/>
            <w:rFonts w:asciiTheme="minorHAnsi" w:eastAsia="Times New Roman" w:hAnsiTheme="minorHAnsi" w:cstheme="minorHAnsi"/>
            <w:szCs w:val="20"/>
          </w:rPr>
          <w:t>Załącznik IV</w:t>
        </w:r>
      </w:hyperlink>
      <w:r w:rsidR="00DE05DC" w:rsidRPr="009E064B">
        <w:rPr>
          <w:rFonts w:asciiTheme="minorHAnsi" w:eastAsia="Times New Roman" w:hAnsiTheme="minorHAnsi" w:cstheme="minorHAnsi"/>
          <w:szCs w:val="20"/>
        </w:rPr>
        <w:t xml:space="preserve"> mają zastosowanie do lotnisk certyfikowanych zgodnie z </w:t>
      </w:r>
      <w:hyperlink w:anchor="_Artykuł_6_" w:history="1">
        <w:r w:rsidR="00C16626" w:rsidRPr="009E064B">
          <w:rPr>
            <w:rStyle w:val="Hipercze"/>
            <w:rFonts w:asciiTheme="minorHAnsi" w:eastAsia="Times New Roman" w:hAnsiTheme="minorHAnsi" w:cstheme="minorHAnsi"/>
            <w:szCs w:val="20"/>
          </w:rPr>
          <w:t>A</w:t>
        </w:r>
        <w:r w:rsidR="0057212B" w:rsidRPr="009E064B">
          <w:rPr>
            <w:rStyle w:val="Hipercze"/>
            <w:rFonts w:asciiTheme="minorHAnsi" w:eastAsia="Times New Roman" w:hAnsiTheme="minorHAnsi" w:cstheme="minorHAnsi"/>
            <w:szCs w:val="20"/>
          </w:rPr>
          <w:t>rt. </w:t>
        </w:r>
        <w:r w:rsidR="00DE05DC" w:rsidRPr="009E064B">
          <w:rPr>
            <w:rStyle w:val="Hipercze"/>
            <w:rFonts w:asciiTheme="minorHAnsi" w:eastAsia="Times New Roman" w:hAnsiTheme="minorHAnsi" w:cstheme="minorHAnsi"/>
            <w:szCs w:val="20"/>
          </w:rPr>
          <w:t>6</w:t>
        </w:r>
      </w:hyperlink>
      <w:r w:rsidR="00DE05DC" w:rsidRPr="009E064B">
        <w:rPr>
          <w:rFonts w:asciiTheme="minorHAnsi" w:eastAsia="Times New Roman" w:hAnsiTheme="minorHAnsi" w:cstheme="minorHAnsi"/>
          <w:szCs w:val="20"/>
        </w:rPr>
        <w:t xml:space="preserve"> od dnia wydania certyfikatu.</w:t>
      </w:r>
    </w:p>
    <w:p w14:paraId="430A0184" w14:textId="77777777" w:rsidR="00DC7DA6" w:rsidRPr="009E064B" w:rsidRDefault="00FC069E"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4</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Lotniska, w stosunku do których procedurę certyfikacji rozpoczęto przed dniem 31 grudnia 2014</w:t>
      </w:r>
      <w:r w:rsidR="00565B0F"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r., ale które nie otrzymały certyfikatu do tego dnia, otrzymują certyfikat wyłącznie pod warunkiem spełnienia wymagań niniejszego rozporządzenia.</w:t>
      </w:r>
    </w:p>
    <w:p w14:paraId="71E90A41" w14:textId="4192515B" w:rsidR="00DC7DA6" w:rsidRPr="009E064B" w:rsidRDefault="00FC069E" w:rsidP="004B2C78">
      <w:pPr>
        <w:tabs>
          <w:tab w:val="left" w:pos="567"/>
        </w:tabs>
        <w:spacing w:after="240"/>
        <w:ind w:left="567" w:hanging="567"/>
        <w:rPr>
          <w:rFonts w:asciiTheme="minorHAnsi" w:eastAsia="Times New Roman" w:hAnsiTheme="minorHAnsi" w:cstheme="minorHAnsi"/>
          <w:szCs w:val="20"/>
        </w:rPr>
      </w:pPr>
      <w:r w:rsidRPr="009E064B">
        <w:rPr>
          <w:rFonts w:asciiTheme="minorHAnsi" w:eastAsia="Times New Roman" w:hAnsiTheme="minorHAnsi" w:cstheme="minorHAnsi"/>
          <w:szCs w:val="20"/>
        </w:rPr>
        <w:t>5</w:t>
      </w:r>
      <w:r w:rsidR="0009716F" w:rsidRPr="009E064B">
        <w:rPr>
          <w:rFonts w:asciiTheme="minorHAnsi" w:eastAsia="Times New Roman" w:hAnsiTheme="minorHAnsi" w:cstheme="minorHAnsi"/>
          <w:szCs w:val="20"/>
        </w:rPr>
        <w:t xml:space="preserve">. </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Punkty </w:t>
      </w:r>
      <w:hyperlink w:anchor="_ADR.AR.C.050__" w:history="1">
        <w:r w:rsidR="00DE05DC" w:rsidRPr="009E064B">
          <w:rPr>
            <w:rStyle w:val="Hipercze"/>
            <w:rFonts w:asciiTheme="minorHAnsi" w:eastAsia="Times New Roman" w:hAnsiTheme="minorHAnsi" w:cstheme="minorHAnsi"/>
            <w:szCs w:val="20"/>
          </w:rPr>
          <w:t>ADR.AR.C.050</w:t>
        </w:r>
      </w:hyperlink>
      <w:r w:rsidR="00DE05DC" w:rsidRPr="009E064B">
        <w:rPr>
          <w:rFonts w:asciiTheme="minorHAnsi" w:eastAsia="Times New Roman" w:hAnsiTheme="minorHAnsi" w:cstheme="minorHAnsi"/>
          <w:szCs w:val="20"/>
        </w:rPr>
        <w:t xml:space="preserve"> </w:t>
      </w:r>
      <w:r w:rsidR="007365B2" w:rsidRPr="009E064B">
        <w:rPr>
          <w:rFonts w:asciiTheme="minorHAnsi" w:eastAsia="Times New Roman" w:hAnsiTheme="minorHAnsi" w:cstheme="minorHAnsi"/>
          <w:szCs w:val="20"/>
        </w:rPr>
        <w:t>Załącznik</w:t>
      </w:r>
      <w:r w:rsidR="00C16626" w:rsidRPr="009E064B">
        <w:rPr>
          <w:rFonts w:asciiTheme="minorHAnsi" w:eastAsia="Times New Roman" w:hAnsiTheme="minorHAnsi" w:cstheme="minorHAnsi"/>
          <w:szCs w:val="20"/>
        </w:rPr>
        <w:t>a</w:t>
      </w:r>
      <w:r w:rsidR="007365B2" w:rsidRPr="009E064B">
        <w:rPr>
          <w:rFonts w:asciiTheme="minorHAnsi" w:eastAsia="Times New Roman" w:hAnsiTheme="minorHAnsi" w:cstheme="minorHAnsi"/>
          <w:szCs w:val="20"/>
        </w:rPr>
        <w:t xml:space="preserve"> II i</w:t>
      </w:r>
      <w:r w:rsidR="00C16626" w:rsidRPr="009E064B">
        <w:rPr>
          <w:rFonts w:asciiTheme="minorHAnsi" w:eastAsia="Times New Roman" w:hAnsiTheme="minorHAnsi" w:cstheme="minorHAnsi"/>
          <w:szCs w:val="20"/>
        </w:rPr>
        <w:t xml:space="preserve"> </w:t>
      </w:r>
      <w:hyperlink w:anchor="_ADR.OR.B.060__" w:history="1">
        <w:r w:rsidR="00C16626" w:rsidRPr="009E064B">
          <w:rPr>
            <w:rStyle w:val="Hipercze"/>
            <w:rFonts w:asciiTheme="minorHAnsi" w:eastAsia="Times New Roman" w:hAnsiTheme="minorHAnsi" w:cstheme="minorHAnsi"/>
            <w:szCs w:val="20"/>
          </w:rPr>
          <w:t>ADR.OR.B.060</w:t>
        </w:r>
      </w:hyperlink>
      <w:r w:rsidR="007365B2" w:rsidRPr="009E064B">
        <w:rPr>
          <w:rFonts w:asciiTheme="minorHAnsi" w:eastAsia="Times New Roman" w:hAnsiTheme="minorHAnsi" w:cstheme="minorHAnsi"/>
          <w:szCs w:val="20"/>
        </w:rPr>
        <w:t> Załącznik</w:t>
      </w:r>
      <w:r w:rsidR="00C16626" w:rsidRPr="009E064B">
        <w:rPr>
          <w:rFonts w:asciiTheme="minorHAnsi" w:eastAsia="Times New Roman" w:hAnsiTheme="minorHAnsi" w:cstheme="minorHAnsi"/>
          <w:szCs w:val="20"/>
        </w:rPr>
        <w:t>a</w:t>
      </w:r>
      <w:r w:rsidR="007365B2" w:rsidRPr="009E064B">
        <w:rPr>
          <w:rFonts w:asciiTheme="minorHAnsi" w:eastAsia="Times New Roman" w:hAnsiTheme="minorHAnsi" w:cstheme="minorHAnsi"/>
          <w:szCs w:val="20"/>
        </w:rPr>
        <w:t xml:space="preserve"> III</w:t>
      </w:r>
      <w:r w:rsidR="00DE05DC" w:rsidRPr="009E064B">
        <w:rPr>
          <w:rFonts w:asciiTheme="minorHAnsi" w:eastAsia="Times New Roman" w:hAnsiTheme="minorHAnsi" w:cstheme="minorHAnsi"/>
          <w:szCs w:val="20"/>
        </w:rPr>
        <w:t xml:space="preserve"> do niniejszego rozporządzenia stosuje się od dnia wejścia w życie przepisów wykonawczych dotyczących zapewniania służb zarządzania płytą postojową. Punkt </w:t>
      </w:r>
      <w:hyperlink w:anchor="_ADR.AR.A.015__" w:history="1">
        <w:r w:rsidR="00DE05DC" w:rsidRPr="009E064B">
          <w:rPr>
            <w:rStyle w:val="Hipercze"/>
            <w:rFonts w:asciiTheme="minorHAnsi" w:eastAsia="Times New Roman" w:hAnsiTheme="minorHAnsi" w:cstheme="minorHAnsi"/>
            <w:szCs w:val="20"/>
          </w:rPr>
          <w:t>ADR.AR.A.015</w:t>
        </w:r>
      </w:hyperlink>
      <w:r w:rsidR="00DE05DC" w:rsidRPr="009E064B">
        <w:rPr>
          <w:rFonts w:asciiTheme="minorHAnsi" w:eastAsia="Times New Roman" w:hAnsiTheme="minorHAnsi" w:cstheme="minorHAnsi"/>
          <w:szCs w:val="20"/>
        </w:rPr>
        <w:t xml:space="preserve"> </w:t>
      </w:r>
      <w:r w:rsidR="0057212B" w:rsidRPr="009E064B">
        <w:rPr>
          <w:rFonts w:asciiTheme="minorHAnsi" w:eastAsia="Times New Roman" w:hAnsiTheme="minorHAnsi" w:cstheme="minorHAnsi"/>
          <w:szCs w:val="20"/>
        </w:rPr>
        <w:t>Załącznika </w:t>
      </w:r>
      <w:r w:rsidR="00C16626" w:rsidRPr="009E064B">
        <w:rPr>
          <w:rFonts w:asciiTheme="minorHAnsi" w:eastAsia="Times New Roman" w:hAnsiTheme="minorHAnsi" w:cstheme="minorHAnsi"/>
          <w:szCs w:val="20"/>
        </w:rPr>
        <w:t xml:space="preserve">II </w:t>
      </w:r>
      <w:r w:rsidR="00DE05DC" w:rsidRPr="009E064B">
        <w:rPr>
          <w:rFonts w:asciiTheme="minorHAnsi" w:eastAsia="Times New Roman" w:hAnsiTheme="minorHAnsi" w:cstheme="minorHAnsi"/>
          <w:szCs w:val="20"/>
        </w:rPr>
        <w:t xml:space="preserve">i pkt </w:t>
      </w:r>
      <w:hyperlink w:anchor="_ADR.OR.A.015__" w:history="1">
        <w:r w:rsidR="00DE05DC" w:rsidRPr="009E064B">
          <w:rPr>
            <w:rStyle w:val="Hipercze"/>
            <w:rFonts w:asciiTheme="minorHAnsi" w:eastAsia="Times New Roman" w:hAnsiTheme="minorHAnsi" w:cstheme="minorHAnsi"/>
            <w:szCs w:val="20"/>
          </w:rPr>
          <w:t>ADR.OR.A.015</w:t>
        </w:r>
      </w:hyperlink>
      <w:r w:rsidR="00DE05DC" w:rsidRPr="009E064B">
        <w:rPr>
          <w:rFonts w:asciiTheme="minorHAnsi" w:eastAsia="Times New Roman" w:hAnsiTheme="minorHAnsi" w:cstheme="minorHAnsi"/>
          <w:szCs w:val="20"/>
        </w:rPr>
        <w:t xml:space="preserve"> </w:t>
      </w:r>
      <w:r w:rsidR="00C16626" w:rsidRPr="009E064B">
        <w:rPr>
          <w:rFonts w:asciiTheme="minorHAnsi" w:eastAsia="Times New Roman" w:hAnsiTheme="minorHAnsi" w:cstheme="minorHAnsi"/>
          <w:szCs w:val="20"/>
        </w:rPr>
        <w:t>Załącznik</w:t>
      </w:r>
      <w:r w:rsidR="0057212B" w:rsidRPr="009E064B">
        <w:rPr>
          <w:rFonts w:asciiTheme="minorHAnsi" w:eastAsia="Times New Roman" w:hAnsiTheme="minorHAnsi" w:cstheme="minorHAnsi"/>
          <w:szCs w:val="20"/>
        </w:rPr>
        <w:t>a </w:t>
      </w:r>
      <w:r w:rsidR="00C16626" w:rsidRPr="009E064B">
        <w:rPr>
          <w:rFonts w:asciiTheme="minorHAnsi" w:eastAsia="Times New Roman" w:hAnsiTheme="minorHAnsi" w:cstheme="minorHAnsi"/>
          <w:szCs w:val="20"/>
        </w:rPr>
        <w:t>III</w:t>
      </w:r>
      <w:r w:rsidR="00DE05DC" w:rsidRPr="009E064B">
        <w:rPr>
          <w:rFonts w:asciiTheme="minorHAnsi" w:eastAsia="Times New Roman" w:hAnsiTheme="minorHAnsi" w:cstheme="minorHAnsi"/>
          <w:szCs w:val="20"/>
        </w:rPr>
        <w:t xml:space="preserve"> mają </w:t>
      </w:r>
      <w:r w:rsidR="00B60E8C" w:rsidRPr="009E064B">
        <w:rPr>
          <w:rFonts w:asciiTheme="minorHAnsi" w:eastAsia="Times New Roman" w:hAnsiTheme="minorHAnsi" w:cstheme="minorHAnsi"/>
          <w:szCs w:val="20"/>
        </w:rPr>
        <w:t>zastoso</w:t>
      </w:r>
      <w:r w:rsidR="00DE05DC" w:rsidRPr="009E064B">
        <w:rPr>
          <w:rFonts w:asciiTheme="minorHAnsi" w:eastAsia="Times New Roman" w:hAnsiTheme="minorHAnsi" w:cstheme="minorHAnsi"/>
          <w:szCs w:val="20"/>
        </w:rPr>
        <w:t>wanie do instytucji zapewniających służbę zarządzania płytą postojową od dnia wejścia w życie przepisów wykonaw</w:t>
      </w:r>
      <w:r w:rsidR="00A27EA1" w:rsidRPr="009E064B">
        <w:rPr>
          <w:rFonts w:asciiTheme="minorHAnsi" w:eastAsia="Times New Roman" w:hAnsiTheme="minorHAnsi" w:cstheme="minorHAnsi"/>
          <w:szCs w:val="20"/>
        </w:rPr>
        <w:t xml:space="preserve">czych dotyczących zapewniania służb zarządzania </w:t>
      </w:r>
      <w:r w:rsidR="00CC171C" w:rsidRPr="009E064B">
        <w:rPr>
          <w:rFonts w:asciiTheme="minorHAnsi" w:eastAsia="Times New Roman" w:hAnsiTheme="minorHAnsi" w:cstheme="minorHAnsi"/>
          <w:szCs w:val="20"/>
        </w:rPr>
        <w:t xml:space="preserve">płytą </w:t>
      </w:r>
      <w:r w:rsidR="00DE05DC" w:rsidRPr="009E064B">
        <w:rPr>
          <w:rFonts w:asciiTheme="minorHAnsi" w:eastAsia="Times New Roman" w:hAnsiTheme="minorHAnsi" w:cstheme="minorHAnsi"/>
          <w:szCs w:val="20"/>
        </w:rPr>
        <w:t>postojową.</w:t>
      </w:r>
    </w:p>
    <w:p w14:paraId="143B4FA2" w14:textId="77777777" w:rsidR="00DC7DA6" w:rsidRPr="009E064B" w:rsidRDefault="00DE05DC" w:rsidP="0057212B">
      <w:pPr>
        <w:rPr>
          <w:rFonts w:asciiTheme="minorHAnsi" w:eastAsia="Times New Roman" w:hAnsiTheme="minorHAnsi" w:cstheme="minorHAnsi"/>
          <w:szCs w:val="20"/>
        </w:rPr>
      </w:pPr>
      <w:r w:rsidRPr="009E064B">
        <w:rPr>
          <w:rFonts w:asciiTheme="minorHAnsi" w:eastAsia="Times New Roman" w:hAnsiTheme="minorHAnsi" w:cstheme="minorHAnsi"/>
          <w:szCs w:val="20"/>
        </w:rPr>
        <w:t>Niniejsze rozporządzenie wiąże w całości i jest bezpośrednio stosowane we wszystkich państwach członkowskich.</w:t>
      </w:r>
    </w:p>
    <w:p w14:paraId="426AC29B" w14:textId="6E83C950" w:rsidR="002719E7" w:rsidRPr="009E064B" w:rsidRDefault="00DE05DC" w:rsidP="0057212B">
      <w:pPr>
        <w:tabs>
          <w:tab w:val="center" w:pos="6237"/>
        </w:tabs>
        <w:spacing w:after="0"/>
        <w:rPr>
          <w:rFonts w:asciiTheme="minorHAnsi" w:eastAsia="Times New Roman" w:hAnsiTheme="minorHAnsi" w:cstheme="minorHAnsi"/>
          <w:szCs w:val="20"/>
        </w:rPr>
      </w:pPr>
      <w:r w:rsidRPr="009E064B">
        <w:rPr>
          <w:rFonts w:asciiTheme="minorHAnsi" w:eastAsia="Times New Roman" w:hAnsiTheme="minorHAnsi" w:cstheme="minorHAnsi"/>
          <w:szCs w:val="20"/>
        </w:rPr>
        <w:t>Sporządzono w Brukseli dnia 12 lutego 2014 r.</w:t>
      </w:r>
    </w:p>
    <w:p w14:paraId="50CEE44B" w14:textId="77777777" w:rsidR="004B2C78" w:rsidRPr="009E064B" w:rsidRDefault="004B2C78" w:rsidP="0057212B">
      <w:pPr>
        <w:tabs>
          <w:tab w:val="center" w:pos="6237"/>
        </w:tabs>
        <w:spacing w:after="0"/>
        <w:rPr>
          <w:rFonts w:asciiTheme="minorHAnsi" w:eastAsia="Times New Roman" w:hAnsiTheme="minorHAnsi" w:cstheme="minorHAnsi"/>
          <w:szCs w:val="20"/>
        </w:rPr>
      </w:pPr>
    </w:p>
    <w:p w14:paraId="14B89C76" w14:textId="77777777" w:rsidR="002719E7" w:rsidRPr="009E064B" w:rsidRDefault="004D0989" w:rsidP="0057212B">
      <w:pPr>
        <w:tabs>
          <w:tab w:val="center" w:pos="6804"/>
        </w:tabs>
        <w:spacing w:after="0"/>
        <w:rPr>
          <w:rFonts w:asciiTheme="minorHAnsi" w:eastAsia="Times New Roman" w:hAnsiTheme="minorHAnsi" w:cstheme="minorHAnsi"/>
          <w:szCs w:val="20"/>
        </w:rPr>
      </w:pPr>
      <w:r w:rsidRPr="009E064B">
        <w:rPr>
          <w:rFonts w:asciiTheme="minorHAnsi" w:eastAsia="Times New Roman" w:hAnsiTheme="minorHAnsi" w:cstheme="minorHAnsi"/>
          <w:i/>
          <w:szCs w:val="20"/>
        </w:rPr>
        <w:tab/>
      </w:r>
      <w:r w:rsidR="00DE05DC" w:rsidRPr="009E064B">
        <w:rPr>
          <w:rFonts w:asciiTheme="minorHAnsi" w:eastAsia="Times New Roman" w:hAnsiTheme="minorHAnsi" w:cstheme="minorHAnsi"/>
          <w:szCs w:val="20"/>
        </w:rPr>
        <w:t xml:space="preserve">W imieniu Komisji </w:t>
      </w:r>
    </w:p>
    <w:p w14:paraId="095720C7" w14:textId="77777777" w:rsidR="00057DA1" w:rsidRPr="009E064B" w:rsidRDefault="004D0989" w:rsidP="0057212B">
      <w:pPr>
        <w:tabs>
          <w:tab w:val="center" w:pos="6804"/>
        </w:tabs>
        <w:spacing w:after="0"/>
        <w:rPr>
          <w:rFonts w:asciiTheme="minorHAnsi" w:eastAsia="Times New Roman" w:hAnsiTheme="minorHAnsi" w:cstheme="minorHAnsi"/>
          <w:szCs w:val="20"/>
        </w:rPr>
      </w:pPr>
      <w:r w:rsidRPr="009E064B">
        <w:rPr>
          <w:rFonts w:asciiTheme="minorHAnsi" w:eastAsia="Times New Roman" w:hAnsiTheme="minorHAnsi" w:cstheme="minorHAnsi"/>
          <w:szCs w:val="20"/>
        </w:rPr>
        <w:tab/>
      </w:r>
      <w:r w:rsidR="00057DA1" w:rsidRPr="009E064B">
        <w:rPr>
          <w:rFonts w:asciiTheme="minorHAnsi" w:eastAsia="Times New Roman" w:hAnsiTheme="minorHAnsi" w:cstheme="minorHAnsi"/>
          <w:szCs w:val="20"/>
        </w:rPr>
        <w:t>Przewodniczący</w:t>
      </w:r>
    </w:p>
    <w:p w14:paraId="25F25547" w14:textId="24D0E7A9" w:rsidR="00057DA1" w:rsidRPr="009E064B" w:rsidRDefault="004D0989" w:rsidP="0057212B">
      <w:pPr>
        <w:tabs>
          <w:tab w:val="center" w:pos="6804"/>
        </w:tabs>
        <w:spacing w:after="0"/>
        <w:rPr>
          <w:rFonts w:asciiTheme="minorHAnsi" w:hAnsiTheme="minorHAnsi" w:cstheme="minorHAnsi"/>
          <w:szCs w:val="20"/>
        </w:rPr>
      </w:pPr>
      <w:r w:rsidRPr="009E064B">
        <w:rPr>
          <w:rFonts w:asciiTheme="minorHAnsi" w:eastAsia="Times New Roman" w:hAnsiTheme="minorHAnsi" w:cstheme="minorHAnsi"/>
          <w:i/>
          <w:szCs w:val="20"/>
        </w:rPr>
        <w:tab/>
      </w:r>
      <w:r w:rsidR="00DE05DC" w:rsidRPr="009E064B">
        <w:rPr>
          <w:rFonts w:asciiTheme="minorHAnsi" w:eastAsia="Times New Roman" w:hAnsiTheme="minorHAnsi" w:cstheme="minorHAnsi"/>
          <w:i/>
          <w:szCs w:val="20"/>
        </w:rPr>
        <w:t xml:space="preserve">José Manuel BARROSO </w:t>
      </w:r>
    </w:p>
    <w:p w14:paraId="5CBE412F" w14:textId="77777777" w:rsidR="00DB0DD7" w:rsidRPr="009E064B" w:rsidRDefault="00DB0DD7" w:rsidP="0057212B">
      <w:pPr>
        <w:spacing w:after="0"/>
        <w:rPr>
          <w:rFonts w:asciiTheme="minorHAnsi" w:hAnsiTheme="minorHAnsi" w:cstheme="minorHAnsi"/>
          <w:szCs w:val="20"/>
        </w:rPr>
        <w:sectPr w:rsidR="00DB0DD7" w:rsidRPr="009E064B" w:rsidSect="00AE1280">
          <w:headerReference w:type="default" r:id="rId40"/>
          <w:footerReference w:type="default" r:id="rId41"/>
          <w:headerReference w:type="first" r:id="rId42"/>
          <w:footerReference w:type="first" r:id="rId43"/>
          <w:pgSz w:w="11906" w:h="16840" w:code="9"/>
          <w:pgMar w:top="1701" w:right="1418" w:bottom="1418" w:left="1418" w:header="567" w:footer="454" w:gutter="0"/>
          <w:cols w:space="708"/>
          <w:titlePg/>
        </w:sectPr>
      </w:pPr>
    </w:p>
    <w:p w14:paraId="2993B4AF" w14:textId="77777777" w:rsidR="005707E4" w:rsidRPr="009E064B" w:rsidRDefault="005707E4" w:rsidP="005707E4"/>
    <w:p w14:paraId="2DEFE50A" w14:textId="1120CC50" w:rsidR="00DC7DA6" w:rsidRPr="009E064B" w:rsidRDefault="008C1A13" w:rsidP="00561819">
      <w:pPr>
        <w:pStyle w:val="Nagwek1"/>
      </w:pPr>
      <w:bookmarkStart w:id="27" w:name="_Toc12532536"/>
      <w:r w:rsidRPr="009E064B">
        <w:t>ZAŁĄCZNIK I —</w:t>
      </w:r>
      <w:r w:rsidR="009F77C6" w:rsidRPr="009E064B">
        <w:t xml:space="preserve"> Definicje terminów używanych w </w:t>
      </w:r>
      <w:r w:rsidRPr="009E064B">
        <w:t>Załącznikach II – IV</w:t>
      </w:r>
      <w:bookmarkEnd w:id="27"/>
    </w:p>
    <w:p w14:paraId="4C7E0D63" w14:textId="5E50153E" w:rsidR="005707E4" w:rsidRPr="009E064B" w:rsidRDefault="00A80E78" w:rsidP="005707E4">
      <w:pPr>
        <w:ind w:right="-2"/>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CA363C4" w14:textId="77777777" w:rsidR="005707E4" w:rsidRPr="009E064B" w:rsidRDefault="005707E4" w:rsidP="00B06A9A">
      <w:pPr>
        <w:ind w:right="-2"/>
        <w:rPr>
          <w:rFonts w:asciiTheme="minorHAnsi" w:hAnsiTheme="minorHAnsi" w:cstheme="minorHAnsi"/>
        </w:rPr>
      </w:pPr>
    </w:p>
    <w:p w14:paraId="18281EF1" w14:textId="77777777" w:rsidR="00DC7DA6" w:rsidRPr="009E064B" w:rsidRDefault="00DE05DC" w:rsidP="003744C3">
      <w:pPr>
        <w:pStyle w:val="Tekstpodstawowy"/>
        <w:spacing w:after="200"/>
        <w:ind w:left="0" w:firstLine="0"/>
        <w:rPr>
          <w:rFonts w:asciiTheme="minorHAnsi" w:hAnsiTheme="minorHAnsi" w:cstheme="minorHAnsi"/>
          <w:sz w:val="22"/>
          <w:szCs w:val="22"/>
        </w:rPr>
      </w:pPr>
      <w:r w:rsidRPr="009E064B">
        <w:rPr>
          <w:rFonts w:asciiTheme="minorHAnsi" w:hAnsiTheme="minorHAnsi" w:cstheme="minorHAnsi"/>
          <w:sz w:val="22"/>
          <w:szCs w:val="22"/>
        </w:rPr>
        <w:t>Do celów niniejszego rozporządzenia stosuje się następujące definicje:</w:t>
      </w:r>
    </w:p>
    <w:p w14:paraId="5637D2C0" w14:textId="57FBB957"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09716F" w:rsidRPr="009E064B">
        <w:rPr>
          <w:rFonts w:asciiTheme="minorHAnsi" w:hAnsiTheme="minorHAnsi" w:cstheme="minorHAnsi"/>
          <w:sz w:val="22"/>
          <w:szCs w:val="22"/>
        </w:rPr>
        <w:t xml:space="preserve">1) </w:t>
      </w:r>
      <w:r w:rsidR="007B2130" w:rsidRPr="009E064B">
        <w:rPr>
          <w:rFonts w:asciiTheme="minorHAnsi" w:hAnsiTheme="minorHAnsi" w:cstheme="minorHAnsi"/>
          <w:sz w:val="22"/>
          <w:szCs w:val="22"/>
        </w:rPr>
        <w:tab/>
      </w:r>
      <w:r w:rsidR="00CC171C" w:rsidRPr="009E064B">
        <w:rPr>
          <w:rFonts w:asciiTheme="minorHAnsi" w:hAnsiTheme="minorHAnsi" w:cstheme="minorHAnsi"/>
          <w:sz w:val="22"/>
          <w:szCs w:val="22"/>
        </w:rPr>
        <w:t>„</w:t>
      </w:r>
      <w:r w:rsidR="00DE05DC" w:rsidRPr="009E064B">
        <w:rPr>
          <w:rFonts w:asciiTheme="minorHAnsi" w:hAnsiTheme="minorHAnsi" w:cstheme="minorHAnsi"/>
          <w:b/>
          <w:sz w:val="22"/>
          <w:szCs w:val="22"/>
        </w:rPr>
        <w:t>akceptowalne sposoby spełnienia wymagań</w:t>
      </w:r>
      <w:r w:rsidR="00CC171C"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DE05DC" w:rsidRPr="009E064B">
        <w:rPr>
          <w:rFonts w:asciiTheme="minorHAnsi" w:hAnsiTheme="minorHAnsi" w:cstheme="minorHAnsi"/>
          <w:i/>
          <w:sz w:val="22"/>
          <w:szCs w:val="22"/>
        </w:rPr>
        <w:t>(Acceptable Means of Compliance</w:t>
      </w:r>
      <w:r w:rsidR="008E54C5" w:rsidRPr="009E064B">
        <w:rPr>
          <w:rFonts w:asciiTheme="minorHAnsi" w:hAnsiTheme="minorHAnsi" w:cstheme="minorHAnsi"/>
          <w:i/>
          <w:sz w:val="22"/>
          <w:szCs w:val="22"/>
        </w:rPr>
        <w:t xml:space="preserve"> - </w:t>
      </w:r>
      <w:r w:rsidR="00DE05DC" w:rsidRPr="009E064B">
        <w:rPr>
          <w:rFonts w:asciiTheme="minorHAnsi" w:hAnsiTheme="minorHAnsi" w:cstheme="minorHAnsi"/>
          <w:i/>
          <w:sz w:val="22"/>
          <w:szCs w:val="22"/>
        </w:rPr>
        <w:t>AMC)</w:t>
      </w:r>
      <w:r w:rsidR="002E6566" w:rsidRPr="009E064B">
        <w:rPr>
          <w:rFonts w:asciiTheme="minorHAnsi" w:hAnsiTheme="minorHAnsi" w:cstheme="minorHAnsi"/>
          <w: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oznaczają n</w:t>
      </w:r>
      <w:r w:rsidR="00643918" w:rsidRPr="009E064B">
        <w:rPr>
          <w:rFonts w:asciiTheme="minorHAnsi" w:hAnsiTheme="minorHAnsi" w:cstheme="minorHAnsi"/>
          <w:sz w:val="22"/>
          <w:szCs w:val="22"/>
        </w:rPr>
        <w:t xml:space="preserve">iewiążące normy przyjęte przez </w:t>
      </w:r>
      <w:r w:rsidR="006F5C17" w:rsidRPr="009E064B">
        <w:rPr>
          <w:rFonts w:asciiTheme="minorHAnsi" w:hAnsiTheme="minorHAnsi" w:cstheme="minorHAnsi"/>
          <w:sz w:val="22"/>
          <w:szCs w:val="22"/>
        </w:rPr>
        <w:t xml:space="preserve">Agencję w celu </w:t>
      </w:r>
      <w:r w:rsidR="00DE05DC" w:rsidRPr="009E064B">
        <w:rPr>
          <w:rFonts w:asciiTheme="minorHAnsi" w:hAnsiTheme="minorHAnsi" w:cstheme="minorHAnsi"/>
          <w:sz w:val="22"/>
          <w:szCs w:val="22"/>
        </w:rPr>
        <w:t>prze</w:t>
      </w:r>
      <w:r w:rsidR="006F5C17" w:rsidRPr="009E064B">
        <w:rPr>
          <w:rFonts w:asciiTheme="minorHAnsi" w:hAnsiTheme="minorHAnsi" w:cstheme="minorHAnsi"/>
          <w:sz w:val="22"/>
          <w:szCs w:val="22"/>
        </w:rPr>
        <w:t xml:space="preserve">dstawienia sposobów spełnienia wymagań </w:t>
      </w:r>
      <w:r w:rsidR="00DE05DC" w:rsidRPr="009E064B">
        <w:rPr>
          <w:rFonts w:asciiTheme="minorHAnsi" w:hAnsiTheme="minorHAnsi" w:cstheme="minorHAnsi"/>
          <w:sz w:val="22"/>
          <w:szCs w:val="22"/>
        </w:rPr>
        <w:t>przedstawionych w rozporządzeniu (WE) nr 216/2008 i jego przepisach wykonawczych;</w:t>
      </w:r>
    </w:p>
    <w:p w14:paraId="369CE95D" w14:textId="2CCC4B10"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CC171C" w:rsidRPr="009E064B">
        <w:rPr>
          <w:rFonts w:asciiTheme="minorHAnsi" w:hAnsiTheme="minorHAnsi" w:cstheme="minorHAnsi"/>
          <w:sz w:val="22"/>
          <w:szCs w:val="22"/>
        </w:rPr>
        <w:t>„</w:t>
      </w:r>
      <w:r w:rsidR="00DE05DC" w:rsidRPr="009E064B">
        <w:rPr>
          <w:rFonts w:asciiTheme="minorHAnsi" w:hAnsiTheme="minorHAnsi" w:cstheme="minorHAnsi"/>
          <w:b/>
          <w:sz w:val="22"/>
          <w:szCs w:val="22"/>
        </w:rPr>
        <w:t>rozporządzalna długość przerwanego startu</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CC171C" w:rsidRPr="009E064B">
        <w:rPr>
          <w:rFonts w:asciiTheme="minorHAnsi" w:hAnsiTheme="minorHAnsi" w:cstheme="minorHAnsi"/>
          <w:i/>
          <w:sz w:val="22"/>
          <w:szCs w:val="22"/>
        </w:rPr>
        <w:t xml:space="preserve">(accelerate-stop distance </w:t>
      </w:r>
      <w:r w:rsidR="00DE05DC" w:rsidRPr="009E064B">
        <w:rPr>
          <w:rFonts w:asciiTheme="minorHAnsi" w:hAnsiTheme="minorHAnsi" w:cstheme="minorHAnsi"/>
          <w:i/>
          <w:sz w:val="22"/>
          <w:szCs w:val="22"/>
        </w:rPr>
        <w:t>available</w:t>
      </w:r>
      <w:r w:rsidR="008E54C5" w:rsidRPr="009E064B">
        <w:rPr>
          <w:rFonts w:asciiTheme="minorHAnsi" w:hAnsiTheme="minorHAnsi" w:cstheme="minorHAnsi"/>
          <w:i/>
          <w:sz w:val="22"/>
          <w:szCs w:val="22"/>
        </w:rPr>
        <w:t xml:space="preserve"> -</w:t>
      </w:r>
      <w:r w:rsidR="00DE05DC" w:rsidRPr="009E064B">
        <w:rPr>
          <w:rFonts w:asciiTheme="minorHAnsi" w:hAnsiTheme="minorHAnsi" w:cstheme="minorHAnsi"/>
          <w:i/>
          <w:sz w:val="22"/>
          <w:szCs w:val="22"/>
        </w:rPr>
        <w:t xml:space="preserve"> ASDA</w:t>
      </w:r>
      <w:r w:rsidR="002E6566" w:rsidRPr="009E064B">
        <w:rPr>
          <w:rFonts w:asciiTheme="minorHAnsi" w:hAnsiTheme="minorHAnsi" w:cstheme="minorHAnsi"/>
          <w:sz w:val="22"/>
          <w:szCs w:val="22"/>
        </w:rPr>
        <w:t xml:space="preserve">) – </w:t>
      </w:r>
      <w:r w:rsidR="006F5C17" w:rsidRPr="009E064B">
        <w:rPr>
          <w:rFonts w:asciiTheme="minorHAnsi" w:hAnsiTheme="minorHAnsi" w:cstheme="minorHAnsi"/>
          <w:sz w:val="22"/>
          <w:szCs w:val="22"/>
        </w:rPr>
        <w:t xml:space="preserve">oznacza </w:t>
      </w:r>
      <w:r w:rsidR="00DE05DC" w:rsidRPr="009E064B">
        <w:rPr>
          <w:rFonts w:asciiTheme="minorHAnsi" w:hAnsiTheme="minorHAnsi" w:cstheme="minorHAnsi"/>
          <w:sz w:val="22"/>
          <w:szCs w:val="22"/>
        </w:rPr>
        <w:t>ro</w:t>
      </w:r>
      <w:r w:rsidR="006F5C17" w:rsidRPr="009E064B">
        <w:rPr>
          <w:rFonts w:asciiTheme="minorHAnsi" w:hAnsiTheme="minorHAnsi" w:cstheme="minorHAnsi"/>
          <w:sz w:val="22"/>
          <w:szCs w:val="22"/>
        </w:rPr>
        <w:t>zporządzalną długość rozbiegu przy starcie</w:t>
      </w:r>
      <w:r w:rsidR="00DE05DC" w:rsidRPr="009E064B">
        <w:rPr>
          <w:rFonts w:asciiTheme="minorHAnsi" w:hAnsiTheme="minorHAnsi" w:cstheme="minorHAnsi"/>
          <w:sz w:val="22"/>
          <w:szCs w:val="22"/>
        </w:rPr>
        <w:t xml:space="preserve"> powiększoną </w:t>
      </w:r>
      <w:r w:rsidR="006F5C17" w:rsidRPr="009E064B">
        <w:rPr>
          <w:rFonts w:asciiTheme="minorHAnsi" w:hAnsiTheme="minorHAnsi" w:cstheme="minorHAnsi"/>
          <w:sz w:val="22"/>
          <w:szCs w:val="22"/>
        </w:rPr>
        <w:t>o</w:t>
      </w:r>
      <w:r w:rsidR="00DE05DC" w:rsidRPr="009E064B">
        <w:rPr>
          <w:rFonts w:asciiTheme="minorHAnsi" w:hAnsiTheme="minorHAnsi" w:cstheme="minorHAnsi"/>
          <w:sz w:val="22"/>
          <w:szCs w:val="22"/>
        </w:rPr>
        <w:t xml:space="preserve"> długoś</w:t>
      </w:r>
      <w:r w:rsidR="006F5C17" w:rsidRPr="009E064B">
        <w:rPr>
          <w:rFonts w:asciiTheme="minorHAnsi" w:hAnsiTheme="minorHAnsi" w:cstheme="minorHAnsi"/>
          <w:sz w:val="22"/>
          <w:szCs w:val="22"/>
        </w:rPr>
        <w:t>ć zabezpieczenia przerwanego startu, o ile zabezpieczenie</w:t>
      </w:r>
      <w:r w:rsidR="00DE05DC" w:rsidRPr="009E064B">
        <w:rPr>
          <w:rFonts w:asciiTheme="minorHAnsi" w:hAnsiTheme="minorHAnsi" w:cstheme="minorHAnsi"/>
          <w:sz w:val="22"/>
          <w:szCs w:val="22"/>
        </w:rPr>
        <w:t xml:space="preserve"> to jest dostępne;</w:t>
      </w:r>
    </w:p>
    <w:p w14:paraId="3CB177EA" w14:textId="21A3BCB2"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CC171C"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służba kontroli lotniska</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8E54C5" w:rsidRPr="009E064B">
        <w:rPr>
          <w:rFonts w:asciiTheme="minorHAnsi" w:hAnsiTheme="minorHAnsi" w:cstheme="minorHAnsi"/>
          <w:i/>
          <w:sz w:val="22"/>
          <w:szCs w:val="22"/>
        </w:rPr>
        <w:t>(</w:t>
      </w:r>
      <w:r w:rsidR="0095175D" w:rsidRPr="009E064B">
        <w:rPr>
          <w:i/>
          <w:sz w:val="22"/>
          <w:szCs w:val="22"/>
        </w:rPr>
        <w:t xml:space="preserve">Aerodrome Control Service - </w:t>
      </w:r>
      <w:r w:rsidR="008E54C5" w:rsidRPr="009E064B">
        <w:rPr>
          <w:rFonts w:asciiTheme="minorHAnsi" w:hAnsiTheme="minorHAnsi" w:cstheme="minorHAnsi"/>
          <w:i/>
          <w:sz w:val="22"/>
          <w:szCs w:val="22"/>
        </w:rPr>
        <w:t>TWR)</w:t>
      </w:r>
      <w:r w:rsidR="008E54C5"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służbę kontroli ruchu lotniczego (ATC) dla ruchu lotniskowego;</w:t>
      </w:r>
    </w:p>
    <w:p w14:paraId="7F5231C2" w14:textId="0EE200B6"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CC171C" w:rsidRPr="009E064B">
        <w:rPr>
          <w:rFonts w:asciiTheme="minorHAnsi" w:hAnsiTheme="minorHAnsi" w:cstheme="minorHAnsi"/>
          <w:sz w:val="22"/>
          <w:szCs w:val="22"/>
        </w:rPr>
        <w:t>„</w:t>
      </w:r>
      <w:r w:rsidR="00DE05DC" w:rsidRPr="009E064B">
        <w:rPr>
          <w:rFonts w:asciiTheme="minorHAnsi" w:hAnsiTheme="minorHAnsi" w:cstheme="minorHAnsi"/>
          <w:b/>
          <w:sz w:val="22"/>
          <w:szCs w:val="22"/>
        </w:rPr>
        <w:t>wyposażenie lotniska</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wszelkie wyposażenie, aparaturę, podzespoły, oprogramowanie lub urządzenia dodatkowe, które są używane lub mają zostać użyte na potrzeby operacji statków powietrznych na lotnisku;</w:t>
      </w:r>
    </w:p>
    <w:p w14:paraId="0F4BD2F2" w14:textId="706B685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5</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dane lotnicze</w:t>
      </w:r>
      <w:r w:rsidR="00796C7E" w:rsidRPr="009E064B">
        <w:rPr>
          <w:rFonts w:asciiTheme="minorHAnsi" w:hAnsiTheme="minorHAnsi" w:cstheme="minorHAnsi"/>
          <w:sz w:val="22"/>
          <w:szCs w:val="22"/>
        </w:rPr>
        <w:t>”</w:t>
      </w:r>
      <w:r w:rsidR="002E6566" w:rsidRPr="009E064B">
        <w:rPr>
          <w:rFonts w:asciiTheme="minorHAnsi" w:hAnsiTheme="minorHAnsi" w:cstheme="minorHAnsi"/>
          <w:sz w:val="22"/>
          <w:szCs w:val="22"/>
        </w:rPr>
        <w:t xml:space="preserve"> – </w:t>
      </w:r>
      <w:r w:rsidR="00DE05DC" w:rsidRPr="009E064B">
        <w:rPr>
          <w:rFonts w:asciiTheme="minorHAnsi" w:hAnsiTheme="minorHAnsi" w:cstheme="minorHAnsi"/>
          <w:sz w:val="22"/>
          <w:szCs w:val="22"/>
        </w:rPr>
        <w:t xml:space="preserve">oznaczają fakty, pojęcia lub instrukcje lotnicze przedstawione w </w:t>
      </w:r>
      <w:r w:rsidR="006F5C17" w:rsidRPr="009E064B">
        <w:rPr>
          <w:rFonts w:asciiTheme="minorHAnsi" w:hAnsiTheme="minorHAnsi" w:cstheme="minorHAnsi"/>
          <w:sz w:val="22"/>
          <w:szCs w:val="22"/>
        </w:rPr>
        <w:t>sposób sformalizowany, dostosowany do potrzeb komunikowania się, interpretowania lub</w:t>
      </w:r>
      <w:r w:rsidR="00DE05DC" w:rsidRPr="009E064B">
        <w:rPr>
          <w:rFonts w:asciiTheme="minorHAnsi" w:hAnsiTheme="minorHAnsi" w:cstheme="minorHAnsi"/>
          <w:sz w:val="22"/>
          <w:szCs w:val="22"/>
        </w:rPr>
        <w:t xml:space="preserve"> przetwarzania;</w:t>
      </w:r>
    </w:p>
    <w:p w14:paraId="6AE83DF1" w14:textId="578AEF34"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6</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służba informacji lotniczej</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8E54C5" w:rsidRPr="009E064B">
        <w:rPr>
          <w:rFonts w:asciiTheme="minorHAnsi" w:hAnsiTheme="minorHAnsi" w:cstheme="minorHAnsi"/>
          <w:i/>
          <w:sz w:val="22"/>
          <w:szCs w:val="22"/>
        </w:rPr>
        <w:t>(Aeronautical Information Service - AIS)</w:t>
      </w:r>
      <w:r w:rsidR="008E54C5"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służbę utworzoną w okre</w:t>
      </w:r>
      <w:r w:rsidR="006F5C17" w:rsidRPr="009E064B">
        <w:rPr>
          <w:rFonts w:asciiTheme="minorHAnsi" w:hAnsiTheme="minorHAnsi" w:cstheme="minorHAnsi"/>
          <w:sz w:val="22"/>
          <w:szCs w:val="22"/>
        </w:rPr>
        <w:t xml:space="preserve">ślonym obszarze, odpowiedzialną za zapewnienie informacji i </w:t>
      </w:r>
      <w:r w:rsidR="00DE05DC" w:rsidRPr="009E064B">
        <w:rPr>
          <w:rFonts w:asciiTheme="minorHAnsi" w:hAnsiTheme="minorHAnsi" w:cstheme="minorHAnsi"/>
          <w:sz w:val="22"/>
          <w:szCs w:val="22"/>
        </w:rPr>
        <w:t>danych</w:t>
      </w:r>
      <w:r w:rsidR="006F5C17" w:rsidRPr="009E064B">
        <w:rPr>
          <w:rFonts w:asciiTheme="minorHAnsi" w:hAnsiTheme="minorHAnsi" w:cstheme="minorHAnsi"/>
          <w:sz w:val="22"/>
          <w:szCs w:val="22"/>
        </w:rPr>
        <w:t xml:space="preserve"> lotniczych niezbędnych dla </w:t>
      </w:r>
      <w:r w:rsidR="00DE05DC" w:rsidRPr="009E064B">
        <w:rPr>
          <w:rFonts w:asciiTheme="minorHAnsi" w:hAnsiTheme="minorHAnsi" w:cstheme="minorHAnsi"/>
          <w:sz w:val="22"/>
          <w:szCs w:val="22"/>
        </w:rPr>
        <w:t>be</w:t>
      </w:r>
      <w:r w:rsidR="006F5C17" w:rsidRPr="009E064B">
        <w:rPr>
          <w:rFonts w:asciiTheme="minorHAnsi" w:hAnsiTheme="minorHAnsi" w:cstheme="minorHAnsi"/>
          <w:sz w:val="22"/>
          <w:szCs w:val="22"/>
        </w:rPr>
        <w:t xml:space="preserve">zpieczeństwa, regularności i </w:t>
      </w:r>
      <w:r w:rsidR="00CC171C" w:rsidRPr="009E064B">
        <w:rPr>
          <w:rFonts w:asciiTheme="minorHAnsi" w:hAnsiTheme="minorHAnsi" w:cstheme="minorHAnsi"/>
          <w:sz w:val="22"/>
          <w:szCs w:val="22"/>
        </w:rPr>
        <w:t xml:space="preserve">efektywności </w:t>
      </w:r>
      <w:r w:rsidR="00DE05DC" w:rsidRPr="009E064B">
        <w:rPr>
          <w:rFonts w:asciiTheme="minorHAnsi" w:hAnsiTheme="minorHAnsi" w:cstheme="minorHAnsi"/>
          <w:sz w:val="22"/>
          <w:szCs w:val="22"/>
        </w:rPr>
        <w:t>żeglugi powietrznej;</w:t>
      </w:r>
    </w:p>
    <w:p w14:paraId="6A9D30F2" w14:textId="66EC61E1"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7</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służby żeglugi powietrznej</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8E54C5" w:rsidRPr="009E064B">
        <w:rPr>
          <w:rFonts w:asciiTheme="minorHAnsi" w:hAnsiTheme="minorHAnsi" w:cstheme="minorHAnsi"/>
          <w:i/>
          <w:sz w:val="22"/>
          <w:szCs w:val="22"/>
        </w:rPr>
        <w:t>(</w:t>
      </w:r>
      <w:r w:rsidR="008E54C5" w:rsidRPr="009E064B">
        <w:rPr>
          <w:rFonts w:asciiTheme="minorHAnsi" w:hAnsiTheme="minorHAnsi" w:cstheme="minorHAnsi"/>
          <w:i/>
          <w:iCs/>
          <w:sz w:val="22"/>
          <w:szCs w:val="22"/>
        </w:rPr>
        <w:t>Air Navigation Services</w:t>
      </w:r>
      <w:r w:rsidR="008E54C5" w:rsidRPr="009E064B">
        <w:rPr>
          <w:rFonts w:asciiTheme="minorHAnsi" w:hAnsiTheme="minorHAnsi" w:cstheme="minorHAnsi"/>
          <w:i/>
          <w:sz w:val="22"/>
          <w:szCs w:val="22"/>
        </w:rPr>
        <w:t xml:space="preserve"> - ANS)</w:t>
      </w:r>
      <w:r w:rsidR="008E54C5"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oznaczają służby ruchu lotniczego; służby łączności nawigac</w:t>
      </w:r>
      <w:r w:rsidR="008E54C5" w:rsidRPr="009E064B">
        <w:rPr>
          <w:rFonts w:asciiTheme="minorHAnsi" w:hAnsiTheme="minorHAnsi" w:cstheme="minorHAnsi"/>
          <w:sz w:val="22"/>
          <w:szCs w:val="22"/>
        </w:rPr>
        <w:t>ji</w:t>
      </w:r>
      <w:r w:rsidR="00DE05DC" w:rsidRPr="009E064B">
        <w:rPr>
          <w:rFonts w:asciiTheme="minorHAnsi" w:hAnsiTheme="minorHAnsi" w:cstheme="minorHAnsi"/>
          <w:sz w:val="22"/>
          <w:szCs w:val="22"/>
        </w:rPr>
        <w:t xml:space="preserve"> i dozorowania; służby meteorologiczne dla żeglugi powietrznej; oraz służby informacji lotniczej;</w:t>
      </w:r>
    </w:p>
    <w:p w14:paraId="2B6BB16C" w14:textId="07F1268F"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8</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służby ruchu lotniczego</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8E54C5" w:rsidRPr="009E064B">
        <w:rPr>
          <w:rFonts w:asciiTheme="minorHAnsi" w:hAnsiTheme="minorHAnsi" w:cstheme="minorHAnsi"/>
          <w:i/>
          <w:sz w:val="22"/>
          <w:szCs w:val="22"/>
        </w:rPr>
        <w:t>(Air Traffic Services - ATS)</w:t>
      </w:r>
      <w:r w:rsidR="008E54C5"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oznaczają różne służby informacji powietrznej, służby alarmowe, służby doradcze ruchu lotniczego i służby kontroli ruchu lotniczego (służby kontroli obszaru, zbliżania i lotniska);</w:t>
      </w:r>
    </w:p>
    <w:p w14:paraId="5D823939" w14:textId="55EAEEDF" w:rsidR="00DC7DA6" w:rsidRPr="009E064B" w:rsidRDefault="00B129CC"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9</w:t>
      </w:r>
      <w:r w:rsidR="0009716F"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służba kontroli ruchu lotniczego</w:t>
      </w:r>
      <w:r w:rsidR="00796C7E" w:rsidRPr="009E064B">
        <w:rPr>
          <w:rFonts w:asciiTheme="minorHAnsi" w:hAnsiTheme="minorHAnsi" w:cstheme="minorHAnsi"/>
          <w:sz w:val="22"/>
          <w:szCs w:val="22"/>
        </w:rPr>
        <w:t>”</w:t>
      </w:r>
      <w:r w:rsidR="002E6566" w:rsidRPr="009E064B">
        <w:rPr>
          <w:rFonts w:asciiTheme="minorHAnsi" w:hAnsiTheme="minorHAnsi" w:cstheme="minorHAnsi"/>
          <w:sz w:val="22"/>
          <w:szCs w:val="22"/>
        </w:rPr>
        <w:t xml:space="preserve"> </w:t>
      </w:r>
      <w:r w:rsidR="002E6566" w:rsidRPr="009E064B">
        <w:rPr>
          <w:rFonts w:asciiTheme="minorHAnsi" w:hAnsiTheme="minorHAnsi" w:cstheme="minorHAnsi"/>
          <w:i/>
          <w:sz w:val="22"/>
          <w:szCs w:val="22"/>
        </w:rPr>
        <w:t>(</w:t>
      </w:r>
      <w:r w:rsidR="0095175D" w:rsidRPr="009E064B">
        <w:rPr>
          <w:rFonts w:asciiTheme="minorHAnsi" w:hAnsiTheme="minorHAnsi" w:cstheme="minorHAnsi"/>
          <w:i/>
          <w:sz w:val="22"/>
          <w:szCs w:val="22"/>
        </w:rPr>
        <w:t>A</w:t>
      </w:r>
      <w:r w:rsidR="0095175D" w:rsidRPr="009E064B">
        <w:rPr>
          <w:i/>
          <w:sz w:val="22"/>
          <w:szCs w:val="22"/>
        </w:rPr>
        <w:t xml:space="preserve">ir Traffic Control - </w:t>
      </w:r>
      <w:r w:rsidR="002E6566" w:rsidRPr="009E064B">
        <w:rPr>
          <w:rFonts w:asciiTheme="minorHAnsi" w:hAnsiTheme="minorHAnsi" w:cstheme="minorHAnsi"/>
          <w:i/>
          <w:sz w:val="22"/>
          <w:szCs w:val="22"/>
        </w:rPr>
        <w:t>ATC)</w:t>
      </w:r>
      <w:r w:rsidR="00DE05DC" w:rsidRPr="009E064B">
        <w:rPr>
          <w:rFonts w:asciiTheme="minorHAnsi" w:hAnsiTheme="minorHAnsi" w:cstheme="minorHAnsi"/>
          <w:sz w:val="22"/>
          <w:szCs w:val="22"/>
        </w:rPr>
        <w:t xml:space="preserve"> </w:t>
      </w:r>
      <w:r w:rsidR="002E6566" w:rsidRPr="009E064B">
        <w:rPr>
          <w:rFonts w:asciiTheme="minorHAnsi" w:hAnsiTheme="minorHAnsi" w:cstheme="minorHAnsi"/>
          <w:sz w:val="22"/>
          <w:szCs w:val="22"/>
        </w:rPr>
        <w:t xml:space="preserve">– </w:t>
      </w:r>
      <w:r w:rsidR="0095175D" w:rsidRPr="009E064B">
        <w:rPr>
          <w:rFonts w:asciiTheme="minorHAnsi" w:hAnsiTheme="minorHAnsi" w:cstheme="minorHAnsi"/>
          <w:sz w:val="22"/>
          <w:szCs w:val="22"/>
        </w:rPr>
        <w:t>oznacza służbę zapewnianą w </w:t>
      </w:r>
      <w:r w:rsidR="00DE05DC" w:rsidRPr="009E064B">
        <w:rPr>
          <w:rFonts w:asciiTheme="minorHAnsi" w:hAnsiTheme="minorHAnsi" w:cstheme="minorHAnsi"/>
          <w:sz w:val="22"/>
          <w:szCs w:val="22"/>
        </w:rPr>
        <w:t>celu:</w:t>
      </w:r>
    </w:p>
    <w:p w14:paraId="67DA3A5D" w14:textId="77777777" w:rsidR="00DC7DA6" w:rsidRPr="009E064B" w:rsidRDefault="0009716F" w:rsidP="00B06A9A">
      <w:pPr>
        <w:pStyle w:val="Tekstpodstawowy"/>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1</w:t>
      </w:r>
      <w:r w:rsidR="009B2A41" w:rsidRPr="009E064B">
        <w:rPr>
          <w:rFonts w:asciiTheme="minorHAnsi" w:hAnsiTheme="minorHAnsi" w:cstheme="minorHAnsi"/>
          <w:sz w:val="22"/>
          <w:szCs w:val="22"/>
        </w:rPr>
        <w:t>.</w:t>
      </w:r>
      <w:r w:rsidRPr="009E064B">
        <w:rPr>
          <w:rFonts w:asciiTheme="minorHAnsi" w:hAnsiTheme="minorHAnsi" w:cstheme="minorHAnsi"/>
          <w:sz w:val="22"/>
          <w:szCs w:val="22"/>
        </w:rPr>
        <w:t xml:space="preserve"> </w:t>
      </w:r>
      <w:r w:rsidR="009B2A41" w:rsidRPr="009E064B">
        <w:rPr>
          <w:rFonts w:asciiTheme="minorHAnsi" w:hAnsiTheme="minorHAnsi" w:cstheme="minorHAnsi"/>
          <w:sz w:val="22"/>
          <w:szCs w:val="22"/>
        </w:rPr>
        <w:tab/>
      </w:r>
      <w:r w:rsidR="00DE05DC" w:rsidRPr="009E064B">
        <w:rPr>
          <w:rFonts w:asciiTheme="minorHAnsi" w:hAnsiTheme="minorHAnsi" w:cstheme="minorHAnsi"/>
          <w:sz w:val="22"/>
          <w:szCs w:val="22"/>
        </w:rPr>
        <w:t>zapobiegania kolizjom:</w:t>
      </w:r>
    </w:p>
    <w:p w14:paraId="39FDE8E3" w14:textId="77777777" w:rsidR="00DC7DA6" w:rsidRPr="009E064B" w:rsidRDefault="00AD5CCB" w:rsidP="00B06A9A">
      <w:pPr>
        <w:pStyle w:val="Tekstpodstawowy"/>
        <w:numPr>
          <w:ilvl w:val="3"/>
          <w:numId w:val="1"/>
        </w:numPr>
        <w:tabs>
          <w:tab w:val="left" w:pos="1418"/>
        </w:tabs>
        <w:ind w:left="1418" w:right="-2" w:hanging="425"/>
        <w:rPr>
          <w:rFonts w:asciiTheme="minorHAnsi" w:hAnsiTheme="minorHAnsi" w:cstheme="minorHAnsi"/>
          <w:sz w:val="22"/>
          <w:szCs w:val="22"/>
        </w:rPr>
      </w:pPr>
      <w:r w:rsidRPr="009E064B">
        <w:rPr>
          <w:rFonts w:asciiTheme="minorHAnsi" w:hAnsiTheme="minorHAnsi" w:cstheme="minorHAnsi"/>
          <w:sz w:val="22"/>
          <w:szCs w:val="22"/>
        </w:rPr>
        <w:t xml:space="preserve">między statkami </w:t>
      </w:r>
      <w:r w:rsidR="00DE05DC" w:rsidRPr="009E064B">
        <w:rPr>
          <w:rFonts w:asciiTheme="minorHAnsi" w:hAnsiTheme="minorHAnsi" w:cstheme="minorHAnsi"/>
          <w:sz w:val="22"/>
          <w:szCs w:val="22"/>
        </w:rPr>
        <w:t>powietrznymi, oraz</w:t>
      </w:r>
    </w:p>
    <w:p w14:paraId="5CDC23E8" w14:textId="77777777" w:rsidR="00DC7DA6" w:rsidRPr="009E064B" w:rsidRDefault="00AD5CCB" w:rsidP="00B06A9A">
      <w:pPr>
        <w:pStyle w:val="Tekstpodstawowy"/>
        <w:numPr>
          <w:ilvl w:val="3"/>
          <w:numId w:val="1"/>
        </w:numPr>
        <w:tabs>
          <w:tab w:val="left" w:pos="1418"/>
        </w:tabs>
        <w:ind w:left="1418" w:right="-2" w:hanging="425"/>
        <w:rPr>
          <w:rFonts w:asciiTheme="minorHAnsi" w:hAnsiTheme="minorHAnsi" w:cstheme="minorHAnsi"/>
          <w:sz w:val="22"/>
          <w:szCs w:val="22"/>
        </w:rPr>
      </w:pPr>
      <w:r w:rsidRPr="009E064B">
        <w:rPr>
          <w:rFonts w:asciiTheme="minorHAnsi" w:hAnsiTheme="minorHAnsi" w:cstheme="minorHAnsi"/>
          <w:sz w:val="22"/>
          <w:szCs w:val="22"/>
        </w:rPr>
        <w:t xml:space="preserve">między statkami powietrznymi i przeszkodami na polu </w:t>
      </w:r>
      <w:r w:rsidR="00DE05DC" w:rsidRPr="009E064B">
        <w:rPr>
          <w:rFonts w:asciiTheme="minorHAnsi" w:hAnsiTheme="minorHAnsi" w:cstheme="minorHAnsi"/>
          <w:sz w:val="22"/>
          <w:szCs w:val="22"/>
        </w:rPr>
        <w:t>manewrowym; oraz</w:t>
      </w:r>
    </w:p>
    <w:p w14:paraId="5DD26A49" w14:textId="6D464D72" w:rsidR="00A97367" w:rsidRPr="009E064B" w:rsidRDefault="009B2A41" w:rsidP="00A97367">
      <w:pPr>
        <w:pStyle w:val="Tekstpodstawowy"/>
        <w:tabs>
          <w:tab w:val="left" w:pos="993"/>
        </w:tabs>
        <w:spacing w:after="200"/>
        <w:ind w:left="992" w:hanging="425"/>
        <w:rPr>
          <w:rFonts w:asciiTheme="minorHAnsi" w:hAnsiTheme="minorHAnsi" w:cstheme="minorHAnsi"/>
        </w:rPr>
      </w:pPr>
      <w:r w:rsidRPr="009E064B">
        <w:rPr>
          <w:rFonts w:asciiTheme="minorHAnsi" w:hAnsiTheme="minorHAnsi" w:cstheme="minorHAnsi"/>
          <w:sz w:val="22"/>
          <w:szCs w:val="22"/>
        </w:rPr>
        <w:t xml:space="preserve">2. </w:t>
      </w:r>
      <w:r w:rsidRPr="009E064B">
        <w:rPr>
          <w:rFonts w:asciiTheme="minorHAnsi" w:hAnsiTheme="minorHAnsi" w:cstheme="minorHAnsi"/>
          <w:sz w:val="22"/>
          <w:szCs w:val="22"/>
        </w:rPr>
        <w:tab/>
      </w:r>
      <w:r w:rsidR="00AD5CCB" w:rsidRPr="009E064B">
        <w:rPr>
          <w:rFonts w:asciiTheme="minorHAnsi" w:hAnsiTheme="minorHAnsi" w:cstheme="minorHAnsi"/>
          <w:sz w:val="22"/>
          <w:szCs w:val="22"/>
        </w:rPr>
        <w:t xml:space="preserve">usprawniania i utrzymywania uporządkowanego przepływu ruchu </w:t>
      </w:r>
      <w:r w:rsidR="00DE05DC" w:rsidRPr="009E064B">
        <w:rPr>
          <w:rFonts w:asciiTheme="minorHAnsi" w:hAnsiTheme="minorHAnsi" w:cstheme="minorHAnsi"/>
          <w:sz w:val="22"/>
          <w:szCs w:val="22"/>
        </w:rPr>
        <w:t>lotniczego;</w:t>
      </w:r>
      <w:r w:rsidR="00A97367" w:rsidRPr="009E064B">
        <w:rPr>
          <w:rFonts w:asciiTheme="minorHAnsi" w:hAnsiTheme="minorHAnsi" w:cstheme="minorHAnsi"/>
          <w:sz w:val="22"/>
          <w:szCs w:val="22"/>
        </w:rPr>
        <w:t xml:space="preserve"> </w:t>
      </w:r>
      <w:r w:rsidR="00A97367" w:rsidRPr="009E064B">
        <w:rPr>
          <w:rFonts w:asciiTheme="minorHAnsi" w:hAnsiTheme="minorHAnsi" w:cstheme="minorHAnsi"/>
          <w:sz w:val="22"/>
          <w:szCs w:val="22"/>
        </w:rPr>
        <w:br w:type="page"/>
      </w:r>
    </w:p>
    <w:p w14:paraId="185AF99E" w14:textId="04460000"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0</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796C7E" w:rsidRPr="009E064B">
        <w:rPr>
          <w:rFonts w:asciiTheme="minorHAnsi" w:hAnsiTheme="minorHAnsi" w:cstheme="minorHAnsi"/>
          <w:sz w:val="22"/>
          <w:szCs w:val="22"/>
        </w:rPr>
        <w:t>„</w:t>
      </w:r>
      <w:r w:rsidR="00DE05DC" w:rsidRPr="009E064B">
        <w:rPr>
          <w:rFonts w:asciiTheme="minorHAnsi" w:hAnsiTheme="minorHAnsi" w:cstheme="minorHAnsi"/>
          <w:b/>
          <w:sz w:val="22"/>
          <w:szCs w:val="22"/>
        </w:rPr>
        <w:t xml:space="preserve">stanowisko </w:t>
      </w:r>
      <w:r w:rsidR="00AD5CCB" w:rsidRPr="009E064B">
        <w:rPr>
          <w:rFonts w:asciiTheme="minorHAnsi" w:hAnsiTheme="minorHAnsi" w:cstheme="minorHAnsi"/>
          <w:b/>
          <w:sz w:val="22"/>
          <w:szCs w:val="22"/>
        </w:rPr>
        <w:t>postojowe</w:t>
      </w:r>
      <w:r w:rsidR="00796C7E" w:rsidRPr="009E064B">
        <w:rPr>
          <w:rFonts w:asciiTheme="minorHAnsi" w:hAnsiTheme="minorHAnsi" w:cstheme="minorHAnsi"/>
          <w:sz w:val="22"/>
          <w:szCs w:val="22"/>
        </w:rPr>
        <w:t>”</w:t>
      </w:r>
      <w:r w:rsidR="00AD5CCB"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aircraft stand)</w:t>
      </w:r>
      <w:r w:rsidR="0095175D" w:rsidRPr="009E064B">
        <w:rPr>
          <w:sz w:val="22"/>
          <w:szCs w:val="22"/>
        </w:rPr>
        <w:t xml:space="preserve"> </w:t>
      </w:r>
      <w:r w:rsidR="002E6566" w:rsidRPr="009E064B">
        <w:rPr>
          <w:rFonts w:asciiTheme="minorHAnsi" w:hAnsiTheme="minorHAnsi" w:cstheme="minorHAnsi"/>
          <w:sz w:val="22"/>
          <w:szCs w:val="22"/>
        </w:rPr>
        <w:t xml:space="preserve">– </w:t>
      </w:r>
      <w:r w:rsidR="00AD5CCB" w:rsidRPr="009E064B">
        <w:rPr>
          <w:rFonts w:asciiTheme="minorHAnsi" w:hAnsiTheme="minorHAnsi" w:cstheme="minorHAnsi"/>
          <w:sz w:val="22"/>
          <w:szCs w:val="22"/>
        </w:rPr>
        <w:t xml:space="preserve">oznacza wyznaczony obszar na płycie postojowej przeznaczony do wykorzystania </w:t>
      </w:r>
      <w:r w:rsidR="00DE05DC" w:rsidRPr="009E064B">
        <w:rPr>
          <w:rFonts w:asciiTheme="minorHAnsi" w:hAnsiTheme="minorHAnsi" w:cstheme="minorHAnsi"/>
          <w:sz w:val="22"/>
          <w:szCs w:val="22"/>
        </w:rPr>
        <w:t>jako miejsce postojowe dla statku powietrznego;</w:t>
      </w:r>
    </w:p>
    <w:p w14:paraId="7526E4A2" w14:textId="32C2C120"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1</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droga kołowania na stanowisko postojowe</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aircraft stand taxilane)</w:t>
      </w:r>
      <w:r w:rsidR="0095175D" w:rsidRPr="009E064B">
        <w:rPr>
          <w:sz w:val="22"/>
          <w:szCs w:val="22"/>
        </w:rPr>
        <w:t xml:space="preserve"> </w:t>
      </w:r>
      <w:r w:rsidR="00DE05DC" w:rsidRPr="009E064B">
        <w:rPr>
          <w:rFonts w:asciiTheme="minorHAnsi" w:hAnsiTheme="minorHAnsi" w:cstheme="minorHAnsi"/>
          <w:sz w:val="22"/>
          <w:szCs w:val="22"/>
        </w:rPr>
        <w:t xml:space="preserve">oznacza część płyty postojowej wyznaczoną jako droga kołowania i przeznaczoną </w:t>
      </w:r>
      <w:r w:rsidR="00796C7E" w:rsidRPr="009E064B">
        <w:rPr>
          <w:rFonts w:asciiTheme="minorHAnsi" w:hAnsiTheme="minorHAnsi" w:cstheme="minorHAnsi"/>
          <w:sz w:val="22"/>
          <w:szCs w:val="22"/>
        </w:rPr>
        <w:t xml:space="preserve">wyłącznie do </w:t>
      </w:r>
      <w:r w:rsidR="00DE05DC" w:rsidRPr="009E064B">
        <w:rPr>
          <w:rFonts w:asciiTheme="minorHAnsi" w:hAnsiTheme="minorHAnsi" w:cstheme="minorHAnsi"/>
          <w:sz w:val="22"/>
          <w:szCs w:val="22"/>
        </w:rPr>
        <w:t>zapewnienia dostępu do stanowisk postojowych;</w:t>
      </w:r>
    </w:p>
    <w:p w14:paraId="701E0A91" w14:textId="5D3B7E26"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2</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AD5CCB" w:rsidRPr="009E064B">
        <w:rPr>
          <w:rFonts w:asciiTheme="minorHAnsi" w:hAnsiTheme="minorHAnsi" w:cstheme="minorHAnsi"/>
          <w:sz w:val="22"/>
          <w:szCs w:val="22"/>
        </w:rPr>
        <w:t>„</w:t>
      </w:r>
      <w:r w:rsidR="00AD5CCB" w:rsidRPr="009E064B">
        <w:rPr>
          <w:rFonts w:asciiTheme="minorHAnsi" w:hAnsiTheme="minorHAnsi" w:cstheme="minorHAnsi"/>
          <w:b/>
          <w:sz w:val="22"/>
          <w:szCs w:val="22"/>
        </w:rPr>
        <w:t>alternatywne sposoby spełnienia wymagań</w:t>
      </w:r>
      <w:r w:rsidR="00AD5CCB"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(A</w:t>
      </w:r>
      <w:r w:rsidR="0095175D" w:rsidRPr="009E064B">
        <w:rPr>
          <w:i/>
          <w:sz w:val="22"/>
          <w:szCs w:val="22"/>
        </w:rPr>
        <w:t xml:space="preserve">lternative Means of Compliance - AltMoC) </w:t>
      </w:r>
      <w:r w:rsidR="00AD5CCB" w:rsidRPr="009E064B">
        <w:rPr>
          <w:rFonts w:asciiTheme="minorHAnsi" w:hAnsiTheme="minorHAnsi" w:cstheme="minorHAnsi"/>
          <w:sz w:val="22"/>
          <w:szCs w:val="22"/>
        </w:rPr>
        <w:t xml:space="preserve">oznaczają sposoby spełnienia wymagań, które są alternatywne w stosunku do istniejących akceptowalnych sposobów </w:t>
      </w:r>
      <w:r w:rsidR="00DE05DC" w:rsidRPr="009E064B">
        <w:rPr>
          <w:rFonts w:asciiTheme="minorHAnsi" w:hAnsiTheme="minorHAnsi" w:cstheme="minorHAnsi"/>
          <w:sz w:val="22"/>
          <w:szCs w:val="22"/>
        </w:rPr>
        <w:t>s</w:t>
      </w:r>
      <w:r w:rsidR="00AD5CCB" w:rsidRPr="009E064B">
        <w:rPr>
          <w:rFonts w:asciiTheme="minorHAnsi" w:hAnsiTheme="minorHAnsi" w:cstheme="minorHAnsi"/>
          <w:sz w:val="22"/>
          <w:szCs w:val="22"/>
        </w:rPr>
        <w:t xml:space="preserve">pełnienia wymagań </w:t>
      </w:r>
      <w:r w:rsidR="0095175D" w:rsidRPr="009E064B">
        <w:rPr>
          <w:rFonts w:asciiTheme="minorHAnsi" w:hAnsiTheme="minorHAnsi" w:cstheme="minorHAnsi"/>
          <w:i/>
          <w:sz w:val="22"/>
          <w:szCs w:val="22"/>
        </w:rPr>
        <w:t xml:space="preserve">(Acceptable Means of Compliance - </w:t>
      </w:r>
      <w:r w:rsidR="00AD5CCB" w:rsidRPr="009E064B">
        <w:rPr>
          <w:rFonts w:asciiTheme="minorHAnsi" w:hAnsiTheme="minorHAnsi" w:cstheme="minorHAnsi"/>
          <w:i/>
          <w:sz w:val="22"/>
          <w:szCs w:val="22"/>
        </w:rPr>
        <w:t>AMC)</w:t>
      </w:r>
      <w:r w:rsidR="00AD5CCB" w:rsidRPr="009E064B">
        <w:rPr>
          <w:rFonts w:asciiTheme="minorHAnsi" w:hAnsiTheme="minorHAnsi" w:cstheme="minorHAnsi"/>
          <w:sz w:val="22"/>
          <w:szCs w:val="22"/>
        </w:rPr>
        <w:t xml:space="preserve"> lub proponują nowe sposoby spełnienia wymagań rozporządzenia (WE) nr 216/2008 i jego </w:t>
      </w:r>
      <w:r w:rsidR="00DE05DC" w:rsidRPr="009E064B">
        <w:rPr>
          <w:rFonts w:asciiTheme="minorHAnsi" w:hAnsiTheme="minorHAnsi" w:cstheme="minorHAnsi"/>
          <w:sz w:val="22"/>
          <w:szCs w:val="22"/>
        </w:rPr>
        <w:t>przepisów wykonawczych, dla których Agencja nie p</w:t>
      </w:r>
      <w:r w:rsidR="00AD5CCB" w:rsidRPr="009E064B">
        <w:rPr>
          <w:rFonts w:asciiTheme="minorHAnsi" w:hAnsiTheme="minorHAnsi" w:cstheme="minorHAnsi"/>
          <w:sz w:val="22"/>
          <w:szCs w:val="22"/>
        </w:rPr>
        <w:t xml:space="preserve">rzyjęła jeszcze odpowiednich </w:t>
      </w:r>
      <w:r w:rsidR="00796C7E" w:rsidRPr="009E064B">
        <w:rPr>
          <w:rFonts w:asciiTheme="minorHAnsi" w:hAnsiTheme="minorHAnsi" w:cstheme="minorHAnsi"/>
          <w:sz w:val="22"/>
          <w:szCs w:val="22"/>
        </w:rPr>
        <w:t xml:space="preserve">akceptowalnych sposobów spełnienia wymagań </w:t>
      </w:r>
      <w:r w:rsidR="00DE05DC" w:rsidRPr="009E064B">
        <w:rPr>
          <w:rFonts w:asciiTheme="minorHAnsi" w:hAnsiTheme="minorHAnsi" w:cstheme="minorHAnsi"/>
          <w:sz w:val="22"/>
          <w:szCs w:val="22"/>
        </w:rPr>
        <w:t>(AMC);</w:t>
      </w:r>
    </w:p>
    <w:p w14:paraId="4B885649" w14:textId="19EE85EB"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3</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służba alarmowa</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alerting service)</w:t>
      </w:r>
      <w:r w:rsidR="0095175D" w:rsidRPr="009E064B">
        <w:rPr>
          <w:sz w:val="22"/>
          <w:szCs w:val="22"/>
        </w:rPr>
        <w:t xml:space="preserve"> </w:t>
      </w:r>
      <w:r w:rsidR="00DE05DC" w:rsidRPr="009E064B">
        <w:rPr>
          <w:rFonts w:asciiTheme="minorHAnsi" w:hAnsiTheme="minorHAnsi" w:cstheme="minorHAnsi"/>
          <w:sz w:val="22"/>
          <w:szCs w:val="22"/>
        </w:rPr>
        <w:t>oznacza służbę zapewnianą w celu powiadamiania właściwych organ</w:t>
      </w:r>
      <w:r w:rsidR="00750CFF" w:rsidRPr="009E064B">
        <w:rPr>
          <w:rFonts w:asciiTheme="minorHAnsi" w:hAnsiTheme="minorHAnsi" w:cstheme="minorHAnsi"/>
          <w:sz w:val="22"/>
          <w:szCs w:val="22"/>
        </w:rPr>
        <w:t>izacji o </w:t>
      </w:r>
      <w:r w:rsidR="00AD5CCB" w:rsidRPr="009E064B">
        <w:rPr>
          <w:rFonts w:asciiTheme="minorHAnsi" w:hAnsiTheme="minorHAnsi" w:cstheme="minorHAnsi"/>
          <w:sz w:val="22"/>
          <w:szCs w:val="22"/>
        </w:rPr>
        <w:t xml:space="preserve">statkach powietrznych </w:t>
      </w:r>
      <w:r w:rsidR="00DE05DC" w:rsidRPr="009E064B">
        <w:rPr>
          <w:rFonts w:asciiTheme="minorHAnsi" w:hAnsiTheme="minorHAnsi" w:cstheme="minorHAnsi"/>
          <w:sz w:val="22"/>
          <w:szCs w:val="22"/>
        </w:rPr>
        <w:t>potrzebujących pomocy w zakresie po</w:t>
      </w:r>
      <w:r w:rsidR="00750CFF" w:rsidRPr="009E064B">
        <w:rPr>
          <w:rFonts w:asciiTheme="minorHAnsi" w:hAnsiTheme="minorHAnsi" w:cstheme="minorHAnsi"/>
          <w:sz w:val="22"/>
          <w:szCs w:val="22"/>
        </w:rPr>
        <w:t>szukiwania i ratownictwa oraz w </w:t>
      </w:r>
      <w:r w:rsidR="00DE05DC" w:rsidRPr="009E064B">
        <w:rPr>
          <w:rFonts w:asciiTheme="minorHAnsi" w:hAnsiTheme="minorHAnsi" w:cstheme="minorHAnsi"/>
          <w:sz w:val="22"/>
          <w:szCs w:val="22"/>
        </w:rPr>
        <w:t>celu współdziałania z tymi organizac</w:t>
      </w:r>
      <w:r w:rsidR="00AD5CCB" w:rsidRPr="009E064B">
        <w:rPr>
          <w:rFonts w:asciiTheme="minorHAnsi" w:hAnsiTheme="minorHAnsi" w:cstheme="minorHAnsi"/>
          <w:sz w:val="22"/>
          <w:szCs w:val="22"/>
        </w:rPr>
        <w:t xml:space="preserve">jami stosownie do </w:t>
      </w:r>
      <w:r w:rsidR="00DE05DC" w:rsidRPr="009E064B">
        <w:rPr>
          <w:rFonts w:asciiTheme="minorHAnsi" w:hAnsiTheme="minorHAnsi" w:cstheme="minorHAnsi"/>
          <w:sz w:val="22"/>
          <w:szCs w:val="22"/>
        </w:rPr>
        <w:t>potrzeb;</w:t>
      </w:r>
    </w:p>
    <w:p w14:paraId="486300DE" w14:textId="4F27B2C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4</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płytowa droga kołowania</w:t>
      </w:r>
      <w:r w:rsidR="00DE05DC" w:rsidRPr="009E064B">
        <w:rPr>
          <w:rFonts w:asciiTheme="minorHAnsi" w:hAnsiTheme="minorHAnsi" w:cstheme="minorHAnsi"/>
          <w:sz w:val="22"/>
          <w:szCs w:val="22"/>
        </w:rPr>
        <w:t>”</w:t>
      </w:r>
      <w:r w:rsidR="0095175D" w:rsidRPr="009E064B">
        <w:rPr>
          <w:sz w:val="22"/>
          <w:szCs w:val="22"/>
        </w:rPr>
        <w:t xml:space="preserve"> </w:t>
      </w:r>
      <w:r w:rsidR="0095175D" w:rsidRPr="009E064B">
        <w:rPr>
          <w:i/>
          <w:sz w:val="22"/>
          <w:szCs w:val="22"/>
        </w:rPr>
        <w:t>(apron taxiway</w:t>
      </w:r>
      <w:r w:rsidR="0095175D" w:rsidRPr="009E064B">
        <w:rPr>
          <w:sz w:val="22"/>
          <w:szCs w:val="22"/>
        </w:rPr>
        <w:t>)</w:t>
      </w:r>
      <w:r w:rsidR="00DE05DC" w:rsidRPr="009E064B">
        <w:rPr>
          <w:rFonts w:asciiTheme="minorHAnsi" w:hAnsiTheme="minorHAnsi" w:cstheme="minorHAnsi"/>
          <w:sz w:val="22"/>
          <w:szCs w:val="22"/>
        </w:rPr>
        <w:t xml:space="preserve"> oznacza część systemu dróg kołowania zlokalizowaną na płycie postojowej i </w:t>
      </w:r>
      <w:r w:rsidR="00C155AA" w:rsidRPr="009E064B">
        <w:rPr>
          <w:rFonts w:asciiTheme="minorHAnsi" w:hAnsiTheme="minorHAnsi" w:cstheme="minorHAnsi"/>
          <w:sz w:val="22"/>
          <w:szCs w:val="22"/>
        </w:rPr>
        <w:t>przezna</w:t>
      </w:r>
      <w:r w:rsidR="00DE05DC" w:rsidRPr="009E064B">
        <w:rPr>
          <w:rFonts w:asciiTheme="minorHAnsi" w:hAnsiTheme="minorHAnsi" w:cstheme="minorHAnsi"/>
          <w:sz w:val="22"/>
          <w:szCs w:val="22"/>
        </w:rPr>
        <w:t>czoną do zapewnienia trasy kołowania przez tę płytę;</w:t>
      </w:r>
    </w:p>
    <w:p w14:paraId="19251007" w14:textId="73BBC45C"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5</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zabezpieczenie wydłużonego startu</w:t>
      </w:r>
      <w:r w:rsidR="00DE05DC" w:rsidRPr="009E064B">
        <w:rPr>
          <w:rFonts w:asciiTheme="minorHAnsi" w:hAnsiTheme="minorHAnsi" w:cstheme="minorHAnsi"/>
          <w:sz w:val="22"/>
          <w:szCs w:val="22"/>
        </w:rPr>
        <w:t xml:space="preserve">” </w:t>
      </w:r>
      <w:r w:rsidR="0095175D" w:rsidRPr="009E064B">
        <w:rPr>
          <w:i/>
          <w:sz w:val="22"/>
          <w:szCs w:val="22"/>
        </w:rPr>
        <w:t>(clearway – CWY)</w:t>
      </w:r>
      <w:r w:rsidR="0095175D" w:rsidRPr="009E064B">
        <w:rPr>
          <w:sz w:val="22"/>
          <w:szCs w:val="22"/>
        </w:rPr>
        <w:t xml:space="preserve"> </w:t>
      </w:r>
      <w:r w:rsidR="00DE05DC" w:rsidRPr="009E064B">
        <w:rPr>
          <w:rFonts w:asciiTheme="minorHAnsi" w:hAnsiTheme="minorHAnsi" w:cstheme="minorHAnsi"/>
          <w:sz w:val="22"/>
          <w:szCs w:val="22"/>
        </w:rPr>
        <w:t>oznacza określony prostokątny o</w:t>
      </w:r>
      <w:r w:rsidR="00726E46" w:rsidRPr="009E064B">
        <w:rPr>
          <w:rFonts w:asciiTheme="minorHAnsi" w:hAnsiTheme="minorHAnsi" w:cstheme="minorHAnsi"/>
          <w:sz w:val="22"/>
          <w:szCs w:val="22"/>
        </w:rPr>
        <w:t xml:space="preserve">bszar na lądzie lub na wodzie, </w:t>
      </w:r>
      <w:r w:rsidR="00DE05DC" w:rsidRPr="009E064B">
        <w:rPr>
          <w:rFonts w:asciiTheme="minorHAnsi" w:hAnsiTheme="minorHAnsi" w:cstheme="minorHAnsi"/>
          <w:sz w:val="22"/>
          <w:szCs w:val="22"/>
        </w:rPr>
        <w:t>pozostający pod kontrolą właściwego podmiotu, wybrany lub przygotowany jako odpowiedni obszar, nad którym samolot może wykonać część fazy początkowego wznoszenia do określonej wysokości względnej;</w:t>
      </w:r>
    </w:p>
    <w:p w14:paraId="3DE4AC0B" w14:textId="338588B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6</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materiały niebezpieczne</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dangerous goods)</w:t>
      </w:r>
      <w:r w:rsidR="0095175D" w:rsidRPr="009E064B">
        <w:rPr>
          <w:sz w:val="22"/>
          <w:szCs w:val="22"/>
        </w:rPr>
        <w:t xml:space="preserve"> </w:t>
      </w:r>
      <w:r w:rsidR="00DE05DC" w:rsidRPr="009E064B">
        <w:rPr>
          <w:rFonts w:asciiTheme="minorHAnsi" w:hAnsiTheme="minorHAnsi" w:cstheme="minorHAnsi"/>
          <w:sz w:val="22"/>
          <w:szCs w:val="22"/>
        </w:rPr>
        <w:t xml:space="preserve">oznaczają wyroby lub substancje, które mogą stwarzać </w:t>
      </w:r>
      <w:r w:rsidR="00AD5CCB" w:rsidRPr="009E064B">
        <w:rPr>
          <w:rFonts w:asciiTheme="minorHAnsi" w:hAnsiTheme="minorHAnsi" w:cstheme="minorHAnsi"/>
          <w:sz w:val="22"/>
          <w:szCs w:val="22"/>
        </w:rPr>
        <w:t>zagrożenie dla zdrowia, bezpie</w:t>
      </w:r>
      <w:r w:rsidR="00DE05DC" w:rsidRPr="009E064B">
        <w:rPr>
          <w:rFonts w:asciiTheme="minorHAnsi" w:hAnsiTheme="minorHAnsi" w:cstheme="minorHAnsi"/>
          <w:sz w:val="22"/>
          <w:szCs w:val="22"/>
        </w:rPr>
        <w:t>czeństwa, mienia lub środowiska naturalnego, figurujące na liście materiałów niebe</w:t>
      </w:r>
      <w:r w:rsidR="00AD5CCB" w:rsidRPr="009E064B">
        <w:rPr>
          <w:rFonts w:asciiTheme="minorHAnsi" w:hAnsiTheme="minorHAnsi" w:cstheme="minorHAnsi"/>
          <w:sz w:val="22"/>
          <w:szCs w:val="22"/>
        </w:rPr>
        <w:t>zpiecznych w Instrukcjach Tech</w:t>
      </w:r>
      <w:r w:rsidR="00DE05DC" w:rsidRPr="009E064B">
        <w:rPr>
          <w:rFonts w:asciiTheme="minorHAnsi" w:hAnsiTheme="minorHAnsi" w:cstheme="minorHAnsi"/>
          <w:sz w:val="22"/>
          <w:szCs w:val="22"/>
        </w:rPr>
        <w:t>nicznych lub sklasyfikowane zgodnie z tymi instrukcjami;</w:t>
      </w:r>
    </w:p>
    <w:p w14:paraId="08A8F120" w14:textId="5D14A374"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7</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jakość danych</w:t>
      </w:r>
      <w:r w:rsidR="0095175D" w:rsidRPr="009E064B">
        <w:rPr>
          <w:rFonts w:asciiTheme="minorHAnsi" w:hAnsiTheme="minorHAnsi" w:cstheme="minorHAnsi"/>
          <w:sz w:val="22"/>
          <w:szCs w:val="22"/>
        </w:rPr>
        <w:t>”</w:t>
      </w:r>
      <w:r w:rsidR="0095175D" w:rsidRPr="009E064B">
        <w:rPr>
          <w:rFonts w:asciiTheme="minorHAnsi" w:hAnsiTheme="minorHAnsi" w:cstheme="minorHAnsi"/>
          <w:i/>
          <w:sz w:val="22"/>
          <w:szCs w:val="22"/>
        </w:rPr>
        <w:t xml:space="preserve"> (</w:t>
      </w:r>
      <w:r w:rsidR="0095175D" w:rsidRPr="009E064B">
        <w:rPr>
          <w:i/>
          <w:sz w:val="22"/>
          <w:szCs w:val="22"/>
        </w:rPr>
        <w:t>data quality)</w:t>
      </w:r>
      <w:r w:rsidR="0095175D" w:rsidRPr="009E064B">
        <w:rPr>
          <w:sz w:val="22"/>
          <w:szCs w:val="22"/>
        </w:rPr>
        <w:t xml:space="preserve"> </w:t>
      </w:r>
      <w:r w:rsidR="00DE05DC" w:rsidRPr="009E064B">
        <w:rPr>
          <w:rFonts w:asciiTheme="minorHAnsi" w:hAnsiTheme="minorHAnsi" w:cstheme="minorHAnsi"/>
          <w:sz w:val="22"/>
          <w:szCs w:val="22"/>
        </w:rPr>
        <w:t>oznacza stopień lub poziom pewności, że dostarczane dane spełniają wymagania ich użytkownika pod względem dokładności, rozdzielczości i integralności;</w:t>
      </w:r>
    </w:p>
    <w:p w14:paraId="543704E8" w14:textId="23F200EB" w:rsidR="00DC7DA6" w:rsidRPr="009E064B" w:rsidRDefault="00B129CC"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8</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długości deklarowane</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declared distances)</w:t>
      </w:r>
      <w:r w:rsidR="0095175D" w:rsidRPr="009E064B">
        <w:rPr>
          <w:sz w:val="22"/>
          <w:szCs w:val="22"/>
        </w:rPr>
        <w:t xml:space="preserve"> </w:t>
      </w:r>
      <w:r w:rsidR="00DE05DC" w:rsidRPr="009E064B">
        <w:rPr>
          <w:rFonts w:asciiTheme="minorHAnsi" w:hAnsiTheme="minorHAnsi" w:cstheme="minorHAnsi"/>
          <w:sz w:val="22"/>
          <w:szCs w:val="22"/>
        </w:rPr>
        <w:t>oznaczają:</w:t>
      </w:r>
    </w:p>
    <w:p w14:paraId="5DC41F88"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Pr="009E064B">
        <w:rPr>
          <w:rFonts w:asciiTheme="minorHAnsi" w:hAnsiTheme="minorHAnsi" w:cstheme="minorHAnsi"/>
          <w:b/>
          <w:sz w:val="22"/>
          <w:szCs w:val="22"/>
        </w:rPr>
        <w:t>rozporządzalną długość rozbiegu przy starcie</w:t>
      </w:r>
      <w:r w:rsidR="00796C7E" w:rsidRPr="009E064B">
        <w:rPr>
          <w:rFonts w:asciiTheme="minorHAnsi" w:hAnsiTheme="minorHAnsi" w:cstheme="minorHAnsi"/>
          <w:b/>
          <w:sz w:val="22"/>
          <w:szCs w:val="22"/>
        </w:rPr>
        <w:t>”</w:t>
      </w:r>
      <w:r w:rsidRPr="009E064B">
        <w:rPr>
          <w:rFonts w:asciiTheme="minorHAnsi" w:hAnsiTheme="minorHAnsi" w:cstheme="minorHAnsi"/>
          <w:sz w:val="22"/>
          <w:szCs w:val="22"/>
        </w:rPr>
        <w:t xml:space="preserve"> </w:t>
      </w:r>
      <w:r w:rsidRPr="009E064B">
        <w:rPr>
          <w:rFonts w:asciiTheme="minorHAnsi" w:hAnsiTheme="minorHAnsi" w:cstheme="minorHAnsi"/>
          <w:i/>
          <w:sz w:val="22"/>
          <w:szCs w:val="22"/>
        </w:rPr>
        <w:t>(take-off run available – TORA)</w:t>
      </w:r>
      <w:r w:rsidRPr="009E064B">
        <w:rPr>
          <w:rFonts w:asciiTheme="minorHAnsi" w:hAnsiTheme="minorHAnsi" w:cstheme="minorHAnsi"/>
          <w:sz w:val="22"/>
          <w:szCs w:val="22"/>
        </w:rPr>
        <w:t>”,</w:t>
      </w:r>
    </w:p>
    <w:p w14:paraId="47FA89C9"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Pr="009E064B">
        <w:rPr>
          <w:rFonts w:asciiTheme="minorHAnsi" w:hAnsiTheme="minorHAnsi" w:cstheme="minorHAnsi"/>
          <w:b/>
          <w:sz w:val="22"/>
          <w:szCs w:val="22"/>
        </w:rPr>
        <w:t>rozporządzalną długość startu</w:t>
      </w:r>
      <w:r w:rsidR="00796C7E" w:rsidRPr="009E064B">
        <w:rPr>
          <w:rFonts w:asciiTheme="minorHAnsi" w:hAnsiTheme="minorHAnsi" w:cstheme="minorHAnsi"/>
          <w:b/>
          <w:sz w:val="22"/>
          <w:szCs w:val="22"/>
        </w:rPr>
        <w:t>”</w:t>
      </w:r>
      <w:r w:rsidRPr="009E064B">
        <w:rPr>
          <w:rFonts w:asciiTheme="minorHAnsi" w:hAnsiTheme="minorHAnsi" w:cstheme="minorHAnsi"/>
          <w:sz w:val="22"/>
          <w:szCs w:val="22"/>
        </w:rPr>
        <w:t xml:space="preserve"> </w:t>
      </w:r>
      <w:r w:rsidRPr="009E064B">
        <w:rPr>
          <w:rFonts w:asciiTheme="minorHAnsi" w:hAnsiTheme="minorHAnsi" w:cstheme="minorHAnsi"/>
          <w:i/>
          <w:sz w:val="22"/>
          <w:szCs w:val="22"/>
        </w:rPr>
        <w:t>(take-off distance available – TODA)</w:t>
      </w:r>
      <w:r w:rsidRPr="009E064B">
        <w:rPr>
          <w:rFonts w:asciiTheme="minorHAnsi" w:hAnsiTheme="minorHAnsi" w:cstheme="minorHAnsi"/>
          <w:sz w:val="22"/>
          <w:szCs w:val="22"/>
        </w:rPr>
        <w:t>”,</w:t>
      </w:r>
    </w:p>
    <w:p w14:paraId="7184B4A4"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Pr="009E064B">
        <w:rPr>
          <w:rFonts w:asciiTheme="minorHAnsi" w:hAnsiTheme="minorHAnsi" w:cstheme="minorHAnsi"/>
          <w:b/>
          <w:sz w:val="22"/>
          <w:szCs w:val="22"/>
        </w:rPr>
        <w:t>rozporządzalną długość przerwanego startu</w:t>
      </w:r>
      <w:r w:rsidR="00796C7E" w:rsidRPr="009E064B">
        <w:rPr>
          <w:rFonts w:asciiTheme="minorHAnsi" w:hAnsiTheme="minorHAnsi" w:cstheme="minorHAnsi"/>
          <w:b/>
          <w:sz w:val="22"/>
          <w:szCs w:val="22"/>
        </w:rPr>
        <w:t>”</w:t>
      </w:r>
      <w:r w:rsidRPr="009E064B">
        <w:rPr>
          <w:rFonts w:asciiTheme="minorHAnsi" w:hAnsiTheme="minorHAnsi" w:cstheme="minorHAnsi"/>
          <w:sz w:val="22"/>
          <w:szCs w:val="22"/>
        </w:rPr>
        <w:t xml:space="preserve"> </w:t>
      </w:r>
      <w:r w:rsidRPr="009E064B">
        <w:rPr>
          <w:rFonts w:asciiTheme="minorHAnsi" w:hAnsiTheme="minorHAnsi" w:cstheme="minorHAnsi"/>
          <w:i/>
          <w:sz w:val="22"/>
          <w:szCs w:val="22"/>
        </w:rPr>
        <w:t>(accelerate-stop distance available – ASDA)</w:t>
      </w:r>
      <w:r w:rsidRPr="009E064B">
        <w:rPr>
          <w:rFonts w:asciiTheme="minorHAnsi" w:hAnsiTheme="minorHAnsi" w:cstheme="minorHAnsi"/>
          <w:sz w:val="22"/>
          <w:szCs w:val="22"/>
        </w:rPr>
        <w:t>”,</w:t>
      </w:r>
    </w:p>
    <w:p w14:paraId="0B12E281" w14:textId="77777777" w:rsidR="00DC7DA6" w:rsidRPr="009E064B"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9E064B">
        <w:rPr>
          <w:rFonts w:asciiTheme="minorHAnsi" w:hAnsiTheme="minorHAnsi" w:cstheme="minorHAnsi"/>
          <w:sz w:val="22"/>
          <w:szCs w:val="22"/>
        </w:rPr>
        <w:t>„</w:t>
      </w:r>
      <w:r w:rsidRPr="009E064B">
        <w:rPr>
          <w:rFonts w:asciiTheme="minorHAnsi" w:hAnsiTheme="minorHAnsi" w:cstheme="minorHAnsi"/>
          <w:b/>
          <w:sz w:val="22"/>
          <w:szCs w:val="22"/>
        </w:rPr>
        <w:t>rozporządzalną długość lądowania</w:t>
      </w:r>
      <w:r w:rsidR="00796C7E" w:rsidRPr="009E064B">
        <w:rPr>
          <w:rFonts w:asciiTheme="minorHAnsi" w:hAnsiTheme="minorHAnsi" w:cstheme="minorHAnsi"/>
          <w:b/>
          <w:sz w:val="22"/>
          <w:szCs w:val="22"/>
        </w:rPr>
        <w:t>”</w:t>
      </w:r>
      <w:r w:rsidRPr="009E064B">
        <w:rPr>
          <w:rFonts w:asciiTheme="minorHAnsi" w:hAnsiTheme="minorHAnsi" w:cstheme="minorHAnsi"/>
          <w:sz w:val="22"/>
          <w:szCs w:val="22"/>
        </w:rPr>
        <w:t xml:space="preserve"> </w:t>
      </w:r>
      <w:r w:rsidRPr="009E064B">
        <w:rPr>
          <w:rFonts w:asciiTheme="minorHAnsi" w:hAnsiTheme="minorHAnsi" w:cstheme="minorHAnsi"/>
          <w:i/>
          <w:sz w:val="22"/>
          <w:szCs w:val="22"/>
        </w:rPr>
        <w:t>(landing distance available – LDA)</w:t>
      </w:r>
      <w:r w:rsidRPr="009E064B">
        <w:rPr>
          <w:rFonts w:asciiTheme="minorHAnsi" w:hAnsiTheme="minorHAnsi" w:cstheme="minorHAnsi"/>
          <w:sz w:val="22"/>
          <w:szCs w:val="22"/>
        </w:rPr>
        <w:t>”;</w:t>
      </w:r>
    </w:p>
    <w:p w14:paraId="6E882A21" w14:textId="6F83091A"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9B2A41" w:rsidRPr="009E064B">
        <w:rPr>
          <w:rFonts w:asciiTheme="minorHAnsi" w:hAnsiTheme="minorHAnsi" w:cstheme="minorHAnsi"/>
          <w:sz w:val="22"/>
          <w:szCs w:val="22"/>
        </w:rPr>
        <w:t>1</w:t>
      </w:r>
      <w:r w:rsidR="007B2130" w:rsidRPr="009E064B">
        <w:rPr>
          <w:rFonts w:asciiTheme="minorHAnsi" w:hAnsiTheme="minorHAnsi" w:cstheme="minorHAnsi"/>
          <w:sz w:val="22"/>
          <w:szCs w:val="22"/>
        </w:rPr>
        <w:t>9</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służba informacji powietrznej</w:t>
      </w:r>
      <w:r w:rsidR="00DE05DC" w:rsidRPr="009E064B">
        <w:rPr>
          <w:rFonts w:asciiTheme="minorHAnsi" w:hAnsiTheme="minorHAnsi" w:cstheme="minorHAnsi"/>
          <w:sz w:val="22"/>
          <w:szCs w:val="22"/>
        </w:rPr>
        <w:t xml:space="preserve">” </w:t>
      </w:r>
      <w:r w:rsidR="0095175D" w:rsidRPr="009E064B">
        <w:rPr>
          <w:i/>
          <w:sz w:val="22"/>
          <w:szCs w:val="22"/>
        </w:rPr>
        <w:t>(Flight Information Service - AIS)</w:t>
      </w:r>
      <w:r w:rsidR="0095175D" w:rsidRPr="009E064B">
        <w:rPr>
          <w:sz w:val="22"/>
          <w:szCs w:val="22"/>
        </w:rPr>
        <w:t xml:space="preserve"> </w:t>
      </w:r>
      <w:r w:rsidR="00DE05DC" w:rsidRPr="009E064B">
        <w:rPr>
          <w:rFonts w:asciiTheme="minorHAnsi" w:hAnsiTheme="minorHAnsi" w:cstheme="minorHAnsi"/>
          <w:sz w:val="22"/>
          <w:szCs w:val="22"/>
        </w:rPr>
        <w:t>oznacza służbę ustanowioną w celu udzielania wskazów</w:t>
      </w:r>
      <w:r w:rsidR="00750CFF" w:rsidRPr="009E064B">
        <w:rPr>
          <w:rFonts w:asciiTheme="minorHAnsi" w:hAnsiTheme="minorHAnsi" w:cstheme="minorHAnsi"/>
          <w:sz w:val="22"/>
          <w:szCs w:val="22"/>
        </w:rPr>
        <w:t>ek i </w:t>
      </w:r>
      <w:r w:rsidR="00B00776" w:rsidRPr="009E064B">
        <w:rPr>
          <w:rFonts w:asciiTheme="minorHAnsi" w:hAnsiTheme="minorHAnsi" w:cstheme="minorHAnsi"/>
          <w:sz w:val="22"/>
          <w:szCs w:val="22"/>
        </w:rPr>
        <w:t>informacji użytecznych dla</w:t>
      </w:r>
      <w:r w:rsidR="00DE05DC" w:rsidRPr="009E064B">
        <w:rPr>
          <w:rFonts w:asciiTheme="minorHAnsi" w:hAnsiTheme="minorHAnsi" w:cstheme="minorHAnsi"/>
          <w:sz w:val="22"/>
          <w:szCs w:val="22"/>
        </w:rPr>
        <w:t xml:space="preserve"> bezpiecznego i sprawnego wykonywania lotów;</w:t>
      </w:r>
    </w:p>
    <w:p w14:paraId="78C527D3" w14:textId="5243D32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20</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zasady czynnika ludzkiego</w:t>
      </w:r>
      <w:r w:rsidR="00DE05DC" w:rsidRPr="009E064B">
        <w:rPr>
          <w:rFonts w:asciiTheme="minorHAnsi" w:hAnsiTheme="minorHAnsi" w:cstheme="minorHAnsi"/>
          <w:sz w:val="22"/>
          <w:szCs w:val="22"/>
        </w:rPr>
        <w:t>” oznaczaj</w:t>
      </w:r>
      <w:r w:rsidR="00AD5CCB" w:rsidRPr="009E064B">
        <w:rPr>
          <w:rFonts w:asciiTheme="minorHAnsi" w:hAnsiTheme="minorHAnsi" w:cstheme="minorHAnsi"/>
          <w:sz w:val="22"/>
          <w:szCs w:val="22"/>
        </w:rPr>
        <w:t xml:space="preserve">ą zasady, które mają zastosowanie do projektowania, certyfikacji, </w:t>
      </w:r>
      <w:r w:rsidR="00DE05DC" w:rsidRPr="009E064B">
        <w:rPr>
          <w:rFonts w:asciiTheme="minorHAnsi" w:hAnsiTheme="minorHAnsi" w:cstheme="minorHAnsi"/>
          <w:sz w:val="22"/>
          <w:szCs w:val="22"/>
        </w:rPr>
        <w:t>szkoleń, operacji i obsługi w dziedzinie lotnictwa, a których zadaniem jest znalezienie bezpiecznego sposobu współdziałania elementów ludzkich z innymi elementami systemu poprzez odpowiednie uwzględnienie wydolności ludzkiej;</w:t>
      </w:r>
    </w:p>
    <w:p w14:paraId="3E95C2F6" w14:textId="2BCAE9C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w:t>
      </w:r>
      <w:r w:rsidR="009B2A41" w:rsidRPr="009E064B">
        <w:rPr>
          <w:rFonts w:asciiTheme="minorHAnsi" w:hAnsiTheme="minorHAnsi" w:cstheme="minorHAnsi"/>
          <w:sz w:val="22"/>
          <w:szCs w:val="22"/>
        </w:rPr>
        <w:t xml:space="preserve">1)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wydolność ludzka</w:t>
      </w:r>
      <w:r w:rsidR="00DE05DC" w:rsidRPr="009E064B">
        <w:rPr>
          <w:rFonts w:asciiTheme="minorHAnsi" w:hAnsiTheme="minorHAnsi" w:cstheme="minorHAnsi"/>
          <w:sz w:val="22"/>
          <w:szCs w:val="22"/>
        </w:rPr>
        <w:t>” oznacza możliwości i ograniczenia ludzkie, które mają wpływ na bezpieczeństwo i efektywność operacji lotniczych;</w:t>
      </w:r>
    </w:p>
    <w:p w14:paraId="6C395045" w14:textId="3438E205" w:rsidR="00BA5A82" w:rsidRPr="00BA5A82" w:rsidRDefault="00BA5A82" w:rsidP="00BA5A82">
      <w:pPr>
        <w:pStyle w:val="Tekstpodstawowy"/>
        <w:tabs>
          <w:tab w:val="left" w:pos="567"/>
        </w:tabs>
        <w:ind w:left="567" w:right="-2" w:hanging="567"/>
        <w:rPr>
          <w:rFonts w:asciiTheme="minorHAnsi" w:hAnsiTheme="minorHAnsi" w:cstheme="minorHAnsi"/>
          <w:sz w:val="22"/>
          <w:szCs w:val="22"/>
        </w:rPr>
      </w:pPr>
      <w:r>
        <w:rPr>
          <w:rFonts w:asciiTheme="minorHAnsi" w:hAnsiTheme="minorHAnsi" w:cstheme="minorHAnsi"/>
          <w:sz w:val="22"/>
          <w:szCs w:val="22"/>
        </w:rPr>
        <w:t>(</w:t>
      </w:r>
      <w:r w:rsidRPr="00531D33">
        <w:rPr>
          <w:rFonts w:asciiTheme="minorHAnsi" w:hAnsiTheme="minorHAnsi" w:cstheme="minorHAnsi"/>
          <w:sz w:val="22"/>
          <w:szCs w:val="22"/>
        </w:rPr>
        <w:t>22)</w:t>
      </w:r>
      <w:r>
        <w:rPr>
          <w:rStyle w:val="Odwoanieprzypisudolnego"/>
          <w:rFonts w:asciiTheme="minorHAnsi" w:hAnsiTheme="minorHAnsi" w:cstheme="minorHAnsi"/>
          <w:sz w:val="22"/>
          <w:szCs w:val="22"/>
        </w:rPr>
        <w:footnoteReference w:id="12"/>
      </w:r>
      <w:r>
        <w:rPr>
          <w:rFonts w:asciiTheme="minorHAnsi" w:hAnsiTheme="minorHAnsi" w:cstheme="minorHAnsi"/>
          <w:b/>
          <w:sz w:val="22"/>
          <w:szCs w:val="22"/>
        </w:rPr>
        <w:t xml:space="preserve"> </w:t>
      </w:r>
      <w:r>
        <w:rPr>
          <w:rFonts w:asciiTheme="minorHAnsi" w:hAnsiTheme="minorHAnsi" w:cstheme="minorHAnsi"/>
          <w:b/>
          <w:sz w:val="22"/>
          <w:szCs w:val="22"/>
        </w:rPr>
        <w:tab/>
        <w:t>„</w:t>
      </w:r>
      <w:r w:rsidRPr="00531D33">
        <w:rPr>
          <w:rFonts w:asciiTheme="minorHAnsi" w:hAnsiTheme="minorHAnsi" w:cstheme="minorHAnsi"/>
          <w:b/>
          <w:sz w:val="22"/>
          <w:szCs w:val="22"/>
        </w:rPr>
        <w:t>droga startowa przyrządowa</w:t>
      </w:r>
      <w:r>
        <w:rPr>
          <w:rFonts w:asciiTheme="minorHAnsi" w:hAnsiTheme="minorHAnsi" w:cstheme="minorHAnsi"/>
          <w:b/>
          <w:sz w:val="22"/>
          <w:szCs w:val="22"/>
        </w:rPr>
        <w:t>”</w:t>
      </w:r>
      <w:r w:rsidRPr="00531D33">
        <w:rPr>
          <w:rFonts w:asciiTheme="minorHAnsi" w:hAnsiTheme="minorHAnsi" w:cstheme="minorHAnsi"/>
          <w:sz w:val="22"/>
          <w:szCs w:val="22"/>
        </w:rPr>
        <w:t xml:space="preserve"> </w:t>
      </w:r>
      <w:r w:rsidRPr="00BA5A82">
        <w:rPr>
          <w:i/>
          <w:sz w:val="22"/>
          <w:szCs w:val="22"/>
        </w:rPr>
        <w:t>(instrument runway)</w:t>
      </w:r>
      <w:r w:rsidRPr="00BA5A82">
        <w:rPr>
          <w:sz w:val="22"/>
          <w:szCs w:val="22"/>
        </w:rPr>
        <w:t xml:space="preserve"> </w:t>
      </w:r>
      <w:r w:rsidRPr="00BA5A82">
        <w:rPr>
          <w:rFonts w:asciiTheme="minorHAnsi" w:hAnsiTheme="minorHAnsi" w:cstheme="minorHAnsi"/>
          <w:sz w:val="22"/>
          <w:szCs w:val="22"/>
        </w:rPr>
        <w:t>oznacza jeden z następujących rodzajów dróg startowych przeznaczonych dla statków powietrznych wykonujących operacje z wykorzystaniem procedur podej</w:t>
      </w:r>
      <w:r>
        <w:rPr>
          <w:rFonts w:asciiTheme="minorHAnsi" w:hAnsiTheme="minorHAnsi" w:cstheme="minorHAnsi"/>
          <w:sz w:val="22"/>
          <w:szCs w:val="22"/>
        </w:rPr>
        <w:t>ścia według wskazań przyrządów:</w:t>
      </w:r>
    </w:p>
    <w:p w14:paraId="6DC94E77" w14:textId="77777777" w:rsidR="00BA5A82" w:rsidRPr="00BA5A82" w:rsidRDefault="00BA5A82" w:rsidP="00BA5A82">
      <w:pPr>
        <w:pStyle w:val="Tekstpodstawowy"/>
        <w:tabs>
          <w:tab w:val="left" w:pos="993"/>
        </w:tabs>
        <w:ind w:left="993" w:right="-2" w:hanging="426"/>
        <w:rPr>
          <w:rFonts w:asciiTheme="minorHAnsi" w:hAnsiTheme="minorHAnsi" w:cstheme="minorHAnsi"/>
          <w:sz w:val="22"/>
          <w:szCs w:val="22"/>
        </w:rPr>
      </w:pPr>
      <w:r w:rsidRPr="00BA5A82">
        <w:rPr>
          <w:rFonts w:asciiTheme="minorHAnsi" w:hAnsiTheme="minorHAnsi" w:cstheme="minorHAnsi"/>
          <w:sz w:val="22"/>
          <w:szCs w:val="22"/>
        </w:rPr>
        <w:t xml:space="preserve">1. </w:t>
      </w:r>
      <w:r w:rsidRPr="00BA5A82">
        <w:rPr>
          <w:rFonts w:asciiTheme="minorHAnsi" w:hAnsiTheme="minorHAnsi" w:cstheme="minorHAnsi"/>
          <w:sz w:val="22"/>
          <w:szCs w:val="22"/>
        </w:rPr>
        <w:tab/>
        <w:t>„</w:t>
      </w:r>
      <w:r w:rsidRPr="00BA5A82">
        <w:rPr>
          <w:rFonts w:asciiTheme="minorHAnsi" w:hAnsiTheme="minorHAnsi" w:cstheme="minorHAnsi"/>
          <w:b/>
          <w:sz w:val="22"/>
          <w:szCs w:val="22"/>
        </w:rPr>
        <w:t>droga startowa z podejściem nieprecyzyjnym</w:t>
      </w:r>
      <w:r w:rsidRPr="00BA5A82">
        <w:rPr>
          <w:rFonts w:asciiTheme="minorHAnsi" w:hAnsiTheme="minorHAnsi" w:cstheme="minorHAnsi"/>
          <w:sz w:val="22"/>
          <w:szCs w:val="22"/>
        </w:rPr>
        <w:t xml:space="preserve">” </w:t>
      </w:r>
      <w:r w:rsidRPr="00BA5A82">
        <w:rPr>
          <w:i/>
          <w:sz w:val="22"/>
          <w:szCs w:val="22"/>
        </w:rPr>
        <w:t>(non-precision approach runway)</w:t>
      </w:r>
      <w:r w:rsidRPr="00BA5A82">
        <w:rPr>
          <w:rFonts w:asciiTheme="minorHAnsi" w:hAnsiTheme="minorHAnsi" w:cstheme="minorHAnsi"/>
          <w:sz w:val="22"/>
          <w:szCs w:val="22"/>
        </w:rPr>
        <w:t xml:space="preserve">: droga startowa obsługiwana przez pomoce wzrokowe i przynajmniej jedną pomoc niewzrokową, przeznaczona do operacji lądowania po operacji podejścia według wskazań przyrządów typu A; </w:t>
      </w:r>
    </w:p>
    <w:p w14:paraId="5ED41E8B" w14:textId="77777777" w:rsidR="00BA5A82" w:rsidRPr="00BA5A82" w:rsidRDefault="00BA5A82" w:rsidP="00BA5A82">
      <w:pPr>
        <w:pStyle w:val="Tekstpodstawowy"/>
        <w:tabs>
          <w:tab w:val="left" w:pos="993"/>
        </w:tabs>
        <w:ind w:left="993" w:right="-2" w:hanging="426"/>
        <w:rPr>
          <w:rFonts w:asciiTheme="minorHAnsi" w:hAnsiTheme="minorHAnsi" w:cstheme="minorHAnsi"/>
          <w:sz w:val="22"/>
          <w:szCs w:val="22"/>
        </w:rPr>
      </w:pPr>
      <w:r w:rsidRPr="00BA5A82">
        <w:rPr>
          <w:rFonts w:asciiTheme="minorHAnsi" w:hAnsiTheme="minorHAnsi" w:cstheme="minorHAnsi"/>
          <w:sz w:val="22"/>
          <w:szCs w:val="22"/>
        </w:rPr>
        <w:t xml:space="preserve">2. </w:t>
      </w:r>
      <w:r w:rsidRPr="00BA5A82">
        <w:rPr>
          <w:rFonts w:asciiTheme="minorHAnsi" w:hAnsiTheme="minorHAnsi" w:cstheme="minorHAnsi"/>
          <w:sz w:val="22"/>
          <w:szCs w:val="22"/>
        </w:rPr>
        <w:tab/>
        <w:t>„</w:t>
      </w:r>
      <w:r w:rsidRPr="00BA5A82">
        <w:rPr>
          <w:rFonts w:asciiTheme="minorHAnsi" w:hAnsiTheme="minorHAnsi" w:cstheme="minorHAnsi"/>
          <w:b/>
          <w:sz w:val="22"/>
          <w:szCs w:val="22"/>
        </w:rPr>
        <w:t>droga startowa z podejściem precyzyjnym, kategorii I</w:t>
      </w:r>
      <w:r w:rsidRPr="00BA5A82">
        <w:rPr>
          <w:rFonts w:asciiTheme="minorHAnsi" w:hAnsiTheme="minorHAnsi" w:cstheme="minorHAnsi"/>
          <w:sz w:val="22"/>
          <w:szCs w:val="22"/>
        </w:rPr>
        <w:t xml:space="preserve">” </w:t>
      </w:r>
      <w:r w:rsidRPr="00BA5A82">
        <w:rPr>
          <w:rFonts w:asciiTheme="minorHAnsi" w:hAnsiTheme="minorHAnsi" w:cstheme="minorHAnsi"/>
          <w:i/>
          <w:sz w:val="22"/>
          <w:szCs w:val="22"/>
        </w:rPr>
        <w:t>(</w:t>
      </w:r>
      <w:r w:rsidRPr="00BA5A82">
        <w:rPr>
          <w:i/>
          <w:sz w:val="22"/>
          <w:szCs w:val="22"/>
        </w:rPr>
        <w:t>precision approach runway, category I</w:t>
      </w:r>
      <w:r w:rsidRPr="00BA5A82">
        <w:rPr>
          <w:sz w:val="22"/>
          <w:szCs w:val="22"/>
        </w:rPr>
        <w:t>)</w:t>
      </w:r>
      <w:r w:rsidRPr="00BA5A82">
        <w:rPr>
          <w:rFonts w:asciiTheme="minorHAnsi" w:hAnsiTheme="minorHAnsi" w:cstheme="minorHAnsi"/>
          <w:sz w:val="22"/>
          <w:szCs w:val="22"/>
        </w:rPr>
        <w:t xml:space="preserve">: droga startowa obsługiwana przez pomoce wzrokowe i przynajmniej jedną pomoc niewzrokową, przeznaczona do operacji lądowania po operacji podejścia według wskazań przyrządów typu B CAT I; </w:t>
      </w:r>
    </w:p>
    <w:p w14:paraId="0AA4A952" w14:textId="77777777" w:rsidR="00BA5A82" w:rsidRPr="00BA5A82" w:rsidRDefault="00BA5A82" w:rsidP="00BA5A82">
      <w:pPr>
        <w:pStyle w:val="Tekstpodstawowy"/>
        <w:tabs>
          <w:tab w:val="left" w:pos="993"/>
        </w:tabs>
        <w:ind w:left="993" w:right="-2" w:hanging="426"/>
        <w:rPr>
          <w:rFonts w:asciiTheme="minorHAnsi" w:hAnsiTheme="minorHAnsi" w:cstheme="minorHAnsi"/>
          <w:sz w:val="22"/>
          <w:szCs w:val="22"/>
        </w:rPr>
      </w:pPr>
      <w:r w:rsidRPr="00BA5A82">
        <w:rPr>
          <w:rFonts w:asciiTheme="minorHAnsi" w:hAnsiTheme="minorHAnsi" w:cstheme="minorHAnsi"/>
          <w:sz w:val="22"/>
          <w:szCs w:val="22"/>
        </w:rPr>
        <w:t xml:space="preserve">3. </w:t>
      </w:r>
      <w:r w:rsidRPr="00BA5A82">
        <w:rPr>
          <w:rFonts w:asciiTheme="minorHAnsi" w:hAnsiTheme="minorHAnsi" w:cstheme="minorHAnsi"/>
          <w:sz w:val="22"/>
          <w:szCs w:val="22"/>
        </w:rPr>
        <w:tab/>
        <w:t>„</w:t>
      </w:r>
      <w:r w:rsidRPr="00BA5A82">
        <w:rPr>
          <w:rFonts w:asciiTheme="minorHAnsi" w:hAnsiTheme="minorHAnsi" w:cstheme="minorHAnsi"/>
          <w:b/>
          <w:sz w:val="22"/>
          <w:szCs w:val="22"/>
        </w:rPr>
        <w:t>droga startowa z podejściem precyzyjnym, kategorii II</w:t>
      </w:r>
      <w:r w:rsidRPr="00BA5A82">
        <w:rPr>
          <w:rFonts w:asciiTheme="minorHAnsi" w:hAnsiTheme="minorHAnsi" w:cstheme="minorHAnsi"/>
          <w:sz w:val="22"/>
          <w:szCs w:val="22"/>
        </w:rPr>
        <w:t xml:space="preserve">” </w:t>
      </w:r>
      <w:r w:rsidRPr="00BA5A82">
        <w:rPr>
          <w:rFonts w:asciiTheme="minorHAnsi" w:hAnsiTheme="minorHAnsi" w:cstheme="minorHAnsi"/>
          <w:i/>
          <w:sz w:val="22"/>
          <w:szCs w:val="22"/>
        </w:rPr>
        <w:t>(</w:t>
      </w:r>
      <w:r w:rsidRPr="00BA5A82">
        <w:rPr>
          <w:i/>
          <w:sz w:val="22"/>
          <w:szCs w:val="22"/>
        </w:rPr>
        <w:t>precision approach runway, category II</w:t>
      </w:r>
      <w:r w:rsidRPr="00BA5A82">
        <w:rPr>
          <w:sz w:val="22"/>
          <w:szCs w:val="22"/>
        </w:rPr>
        <w:t>)</w:t>
      </w:r>
      <w:r w:rsidRPr="00BA5A82">
        <w:rPr>
          <w:rFonts w:asciiTheme="minorHAnsi" w:hAnsiTheme="minorHAnsi" w:cstheme="minorHAnsi"/>
          <w:sz w:val="22"/>
          <w:szCs w:val="22"/>
        </w:rPr>
        <w:t xml:space="preserve">: droga startowa obsługiwana przez pomoce wzrokowe i przynajmniej jedną pomoc niewzrokową, przeznaczona do operacji lądowania po operacji podejścia według wskazań przyrządów typu B CAT II; </w:t>
      </w:r>
    </w:p>
    <w:p w14:paraId="2232FD01" w14:textId="6A0054B3" w:rsidR="00BA5A82" w:rsidRPr="00BA5A82" w:rsidRDefault="00BA5A82" w:rsidP="00BA5A82">
      <w:pPr>
        <w:pStyle w:val="Tekstpodstawowy"/>
        <w:tabs>
          <w:tab w:val="left" w:pos="567"/>
        </w:tabs>
        <w:spacing w:after="200"/>
        <w:ind w:left="567" w:hanging="567"/>
        <w:rPr>
          <w:rFonts w:asciiTheme="minorHAnsi" w:hAnsiTheme="minorHAnsi" w:cstheme="minorHAnsi"/>
          <w:sz w:val="22"/>
          <w:szCs w:val="22"/>
        </w:rPr>
      </w:pPr>
      <w:r w:rsidRPr="00BA5A82">
        <w:rPr>
          <w:rFonts w:asciiTheme="minorHAnsi" w:hAnsiTheme="minorHAnsi" w:cstheme="minorHAnsi"/>
          <w:sz w:val="22"/>
          <w:szCs w:val="22"/>
        </w:rPr>
        <w:t xml:space="preserve">4. </w:t>
      </w:r>
      <w:r w:rsidRPr="00BA5A82">
        <w:rPr>
          <w:rFonts w:asciiTheme="minorHAnsi" w:hAnsiTheme="minorHAnsi" w:cstheme="minorHAnsi"/>
          <w:sz w:val="22"/>
          <w:szCs w:val="22"/>
        </w:rPr>
        <w:tab/>
        <w:t>„</w:t>
      </w:r>
      <w:r w:rsidRPr="00BA5A82">
        <w:rPr>
          <w:rFonts w:asciiTheme="minorHAnsi" w:hAnsiTheme="minorHAnsi" w:cstheme="minorHAnsi"/>
          <w:b/>
          <w:sz w:val="22"/>
          <w:szCs w:val="22"/>
        </w:rPr>
        <w:t>droga startowa z podejściem precyzyjnym, kategorii III</w:t>
      </w:r>
      <w:r w:rsidRPr="00BA5A82">
        <w:rPr>
          <w:rFonts w:asciiTheme="minorHAnsi" w:hAnsiTheme="minorHAnsi" w:cstheme="minorHAnsi"/>
          <w:sz w:val="22"/>
          <w:szCs w:val="22"/>
        </w:rPr>
        <w:t xml:space="preserve">”: </w:t>
      </w:r>
      <w:r w:rsidRPr="00BA5A82">
        <w:rPr>
          <w:i/>
          <w:sz w:val="22"/>
          <w:szCs w:val="22"/>
        </w:rPr>
        <w:t>(precision approach runway, category III)</w:t>
      </w:r>
      <w:r w:rsidRPr="00BA5A82">
        <w:rPr>
          <w:rFonts w:asciiTheme="minorHAnsi" w:hAnsiTheme="minorHAnsi" w:cstheme="minorHAnsi"/>
          <w:sz w:val="22"/>
          <w:szCs w:val="22"/>
        </w:rPr>
        <w:t xml:space="preserve"> droga startowa obsługiwana przez pomoce wzrokowe i przynajmniej jedną pomoc niewzrokową, przeznaczona do operacji lądowania po operacji podejścia według wskazań przyrządów typu B CAT IIIA, IIIB lub IIIC do i wzdłuż powierzchni drogi startowej;</w:t>
      </w:r>
    </w:p>
    <w:p w14:paraId="3627368B" w14:textId="22A1547D"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23</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integralność</w:t>
      </w:r>
      <w:r w:rsidR="00796C7E" w:rsidRPr="009E064B">
        <w:rPr>
          <w:rFonts w:asciiTheme="minorHAnsi" w:hAnsiTheme="minorHAnsi" w:cstheme="minorHAnsi"/>
          <w:sz w:val="22"/>
          <w:szCs w:val="22"/>
        </w:rPr>
        <w:t xml:space="preserve">” oznacza </w:t>
      </w:r>
      <w:r w:rsidR="00DE05DC" w:rsidRPr="009E064B">
        <w:rPr>
          <w:rFonts w:asciiTheme="minorHAnsi" w:hAnsiTheme="minorHAnsi" w:cstheme="minorHAnsi"/>
          <w:sz w:val="22"/>
          <w:szCs w:val="22"/>
        </w:rPr>
        <w:t>stopi</w:t>
      </w:r>
      <w:r w:rsidR="00796C7E" w:rsidRPr="009E064B">
        <w:rPr>
          <w:rFonts w:asciiTheme="minorHAnsi" w:hAnsiTheme="minorHAnsi" w:cstheme="minorHAnsi"/>
          <w:sz w:val="22"/>
          <w:szCs w:val="22"/>
        </w:rPr>
        <w:t>eń pewności, że dane lotnicze i</w:t>
      </w:r>
      <w:r w:rsidR="00DE05DC" w:rsidRPr="009E064B">
        <w:rPr>
          <w:rFonts w:asciiTheme="minorHAnsi" w:hAnsiTheme="minorHAnsi" w:cstheme="minorHAnsi"/>
          <w:sz w:val="22"/>
          <w:szCs w:val="22"/>
        </w:rPr>
        <w:t xml:space="preserve"> ich wartości nie zostały </w:t>
      </w:r>
      <w:r w:rsidR="00796C7E" w:rsidRPr="009E064B">
        <w:rPr>
          <w:rFonts w:asciiTheme="minorHAnsi" w:hAnsiTheme="minorHAnsi" w:cstheme="minorHAnsi"/>
          <w:sz w:val="22"/>
          <w:szCs w:val="22"/>
        </w:rPr>
        <w:t xml:space="preserve">utracone bądź </w:t>
      </w:r>
      <w:r w:rsidR="00DE05DC" w:rsidRPr="009E064B">
        <w:rPr>
          <w:rFonts w:asciiTheme="minorHAnsi" w:hAnsiTheme="minorHAnsi" w:cstheme="minorHAnsi"/>
          <w:sz w:val="22"/>
          <w:szCs w:val="22"/>
        </w:rPr>
        <w:t>zmienione od czasu ich przekazania lub autoryzowanej zmiany;</w:t>
      </w:r>
    </w:p>
    <w:p w14:paraId="19643077" w14:textId="74FF741F"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24</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rozporządzalna długość lądowania</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DE05DC" w:rsidRPr="009E064B">
        <w:rPr>
          <w:rFonts w:asciiTheme="minorHAnsi" w:hAnsiTheme="minorHAnsi" w:cstheme="minorHAnsi"/>
          <w:i/>
          <w:sz w:val="22"/>
          <w:szCs w:val="22"/>
        </w:rPr>
        <w:t>(landing distance available</w:t>
      </w:r>
      <w:r w:rsidR="0095175D" w:rsidRPr="009E064B">
        <w:rPr>
          <w:rFonts w:asciiTheme="minorHAnsi" w:hAnsiTheme="minorHAnsi" w:cstheme="minorHAnsi"/>
          <w:i/>
          <w:sz w:val="22"/>
          <w:szCs w:val="22"/>
        </w:rPr>
        <w:t xml:space="preserve"> -</w:t>
      </w:r>
      <w:r w:rsidR="00DE05DC" w:rsidRPr="009E064B">
        <w:rPr>
          <w:rFonts w:asciiTheme="minorHAnsi" w:hAnsiTheme="minorHAnsi" w:cstheme="minorHAnsi"/>
          <w:i/>
          <w:sz w:val="22"/>
          <w:szCs w:val="22"/>
        </w:rPr>
        <w:t xml:space="preserve"> LDA)</w:t>
      </w:r>
      <w:r w:rsidR="00DE05DC" w:rsidRPr="009E064B">
        <w:rPr>
          <w:rFonts w:asciiTheme="minorHAnsi" w:hAnsiTheme="minorHAnsi" w:cstheme="minorHAnsi"/>
          <w:sz w:val="22"/>
          <w:szCs w:val="22"/>
        </w:rPr>
        <w:t xml:space="preserve"> oznacza długość dro</w:t>
      </w:r>
      <w:r w:rsidR="00796C7E" w:rsidRPr="009E064B">
        <w:rPr>
          <w:rFonts w:asciiTheme="minorHAnsi" w:hAnsiTheme="minorHAnsi" w:cstheme="minorHAnsi"/>
          <w:sz w:val="22"/>
          <w:szCs w:val="22"/>
        </w:rPr>
        <w:t xml:space="preserve">gi startowej deklarowanej jako </w:t>
      </w:r>
      <w:r w:rsidR="00DE05DC" w:rsidRPr="009E064B">
        <w:rPr>
          <w:rFonts w:asciiTheme="minorHAnsi" w:hAnsiTheme="minorHAnsi" w:cstheme="minorHAnsi"/>
          <w:sz w:val="22"/>
          <w:szCs w:val="22"/>
        </w:rPr>
        <w:t>dostępna oraz odpowiednia dla dobiegu lądującego samolotu;</w:t>
      </w:r>
    </w:p>
    <w:p w14:paraId="33A40106" w14:textId="673B99B1"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25</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procedury ograniczonej widzialności</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DE05DC" w:rsidRPr="009E064B">
        <w:rPr>
          <w:rFonts w:asciiTheme="minorHAnsi" w:hAnsiTheme="minorHAnsi" w:cstheme="minorHAnsi"/>
          <w:i/>
          <w:sz w:val="22"/>
          <w:szCs w:val="22"/>
        </w:rPr>
        <w:t>(low visibility procedures</w:t>
      </w:r>
      <w:r w:rsidR="0095175D" w:rsidRPr="009E064B">
        <w:rPr>
          <w:rFonts w:asciiTheme="minorHAnsi" w:hAnsiTheme="minorHAnsi" w:cstheme="minorHAnsi"/>
          <w:i/>
          <w:sz w:val="22"/>
          <w:szCs w:val="22"/>
        </w:rPr>
        <w:t xml:space="preserve"> -</w:t>
      </w:r>
      <w:r w:rsidR="00DE05DC" w:rsidRPr="009E064B">
        <w:rPr>
          <w:rFonts w:asciiTheme="minorHAnsi" w:hAnsiTheme="minorHAnsi" w:cstheme="minorHAnsi"/>
          <w:i/>
          <w:sz w:val="22"/>
          <w:szCs w:val="22"/>
        </w:rPr>
        <w:t xml:space="preserve"> LVP)</w:t>
      </w:r>
      <w:r w:rsidR="00DE05DC" w:rsidRPr="009E064B">
        <w:rPr>
          <w:rFonts w:asciiTheme="minorHAnsi" w:hAnsiTheme="minorHAnsi" w:cstheme="minorHAnsi"/>
          <w:sz w:val="22"/>
          <w:szCs w:val="22"/>
        </w:rPr>
        <w:t xml:space="preserve"> oznaczają pro</w:t>
      </w:r>
      <w:r w:rsidR="00796C7E" w:rsidRPr="009E064B">
        <w:rPr>
          <w:rFonts w:asciiTheme="minorHAnsi" w:hAnsiTheme="minorHAnsi" w:cstheme="minorHAnsi"/>
          <w:sz w:val="22"/>
          <w:szCs w:val="22"/>
        </w:rPr>
        <w:t xml:space="preserve">cedury stosowane na lotnisku w </w:t>
      </w:r>
      <w:r w:rsidR="00DE05DC" w:rsidRPr="009E064B">
        <w:rPr>
          <w:rFonts w:asciiTheme="minorHAnsi" w:hAnsiTheme="minorHAnsi" w:cstheme="minorHAnsi"/>
          <w:sz w:val="22"/>
          <w:szCs w:val="22"/>
        </w:rPr>
        <w:t>celu zapewnienia bezpieczeństwa wykonyw</w:t>
      </w:r>
      <w:r w:rsidR="00796C7E" w:rsidRPr="009E064B">
        <w:rPr>
          <w:rFonts w:asciiTheme="minorHAnsi" w:hAnsiTheme="minorHAnsi" w:cstheme="minorHAnsi"/>
          <w:sz w:val="22"/>
          <w:szCs w:val="22"/>
        </w:rPr>
        <w:t>anych operacji podczas podejść poniżej standardu w kategorii I, podejść poza standardem w kategorii II,</w:t>
      </w:r>
      <w:r w:rsidR="00DE05DC" w:rsidRPr="009E064B">
        <w:rPr>
          <w:rFonts w:asciiTheme="minorHAnsi" w:hAnsiTheme="minorHAnsi" w:cstheme="minorHAnsi"/>
          <w:sz w:val="22"/>
          <w:szCs w:val="22"/>
        </w:rPr>
        <w:t xml:space="preserve"> podejść </w:t>
      </w:r>
      <w:r w:rsidR="00750CFF" w:rsidRPr="009E064B">
        <w:rPr>
          <w:rFonts w:asciiTheme="minorHAnsi" w:hAnsiTheme="minorHAnsi" w:cstheme="minorHAnsi"/>
          <w:sz w:val="22"/>
          <w:szCs w:val="22"/>
        </w:rPr>
        <w:t>w </w:t>
      </w:r>
      <w:r w:rsidR="00796C7E" w:rsidRPr="009E064B">
        <w:rPr>
          <w:rFonts w:asciiTheme="minorHAnsi" w:hAnsiTheme="minorHAnsi" w:cstheme="minorHAnsi"/>
          <w:sz w:val="22"/>
          <w:szCs w:val="22"/>
        </w:rPr>
        <w:t xml:space="preserve">standardzie kategorii II i III oraz startów przy </w:t>
      </w:r>
      <w:r w:rsidR="00DE05DC" w:rsidRPr="009E064B">
        <w:rPr>
          <w:rFonts w:asciiTheme="minorHAnsi" w:hAnsiTheme="minorHAnsi" w:cstheme="minorHAnsi"/>
          <w:sz w:val="22"/>
          <w:szCs w:val="22"/>
        </w:rPr>
        <w:t>ograniczonej widzialności;</w:t>
      </w:r>
    </w:p>
    <w:p w14:paraId="35C81B12" w14:textId="50F0EC75"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26</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start przy ograniczonej widzialności</w:t>
      </w:r>
      <w:r w:rsidR="00796C7E"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(low visibility take-off -</w:t>
      </w:r>
      <w:r w:rsidR="00796C7E" w:rsidRPr="009E064B">
        <w:rPr>
          <w:rFonts w:asciiTheme="minorHAnsi" w:hAnsiTheme="minorHAnsi" w:cstheme="minorHAnsi"/>
          <w:i/>
          <w:sz w:val="22"/>
          <w:szCs w:val="22"/>
        </w:rPr>
        <w:t xml:space="preserve"> LVTO)</w:t>
      </w:r>
      <w:r w:rsidR="00DE05DC" w:rsidRPr="009E064B">
        <w:rPr>
          <w:rFonts w:asciiTheme="minorHAnsi" w:hAnsiTheme="minorHAnsi" w:cstheme="minorHAnsi"/>
          <w:sz w:val="22"/>
          <w:szCs w:val="22"/>
        </w:rPr>
        <w:t xml:space="preserve"> oznacza start przy widzialności wzdłuż drogi startowej (RVR) mniejszej niż 400 m</w:t>
      </w:r>
      <w:r w:rsidR="0077724D" w:rsidRPr="009E064B">
        <w:rPr>
          <w:rFonts w:asciiTheme="minorHAnsi" w:hAnsiTheme="minorHAnsi" w:cstheme="minorHAnsi"/>
          <w:sz w:val="22"/>
          <w:szCs w:val="22"/>
        </w:rPr>
        <w:t>etrów, ale nie mniejszej niż 75 </w:t>
      </w:r>
      <w:r w:rsidR="00DE05DC" w:rsidRPr="009E064B">
        <w:rPr>
          <w:rFonts w:asciiTheme="minorHAnsi" w:hAnsiTheme="minorHAnsi" w:cstheme="minorHAnsi"/>
          <w:sz w:val="22"/>
          <w:szCs w:val="22"/>
        </w:rPr>
        <w:t>metrów;</w:t>
      </w:r>
    </w:p>
    <w:p w14:paraId="58C35DD9" w14:textId="52647864"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27</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operacja poniżej standardu w kategorii I</w:t>
      </w:r>
      <w:r w:rsidR="00DE05DC" w:rsidRPr="009E064B">
        <w:rPr>
          <w:rFonts w:asciiTheme="minorHAnsi" w:hAnsiTheme="minorHAnsi" w:cstheme="minorHAnsi"/>
          <w:sz w:val="22"/>
          <w:szCs w:val="22"/>
        </w:rPr>
        <w:t>”</w:t>
      </w:r>
      <w:r w:rsidR="00DE05DC" w:rsidRPr="009E064B">
        <w:rPr>
          <w:rFonts w:asciiTheme="minorHAnsi" w:hAnsiTheme="minorHAnsi" w:cstheme="minorHAnsi"/>
          <w: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lower than Standard Category I operation)</w:t>
      </w:r>
      <w:r w:rsidR="0095175D" w:rsidRPr="009E064B">
        <w:rPr>
          <w:sz w:val="22"/>
          <w:szCs w:val="22"/>
        </w:rPr>
        <w:t xml:space="preserve"> </w:t>
      </w:r>
      <w:r w:rsidR="00DE05DC" w:rsidRPr="009E064B">
        <w:rPr>
          <w:rFonts w:asciiTheme="minorHAnsi" w:hAnsiTheme="minorHAnsi" w:cstheme="minorHAnsi"/>
          <w:sz w:val="22"/>
          <w:szCs w:val="22"/>
        </w:rPr>
        <w:t>oznacza operację podejścia według wskazań przyrządów i lądowania w kategorii I z wykorzystaniem wys</w:t>
      </w:r>
      <w:r w:rsidR="00750CFF" w:rsidRPr="009E064B">
        <w:rPr>
          <w:rFonts w:asciiTheme="minorHAnsi" w:hAnsiTheme="minorHAnsi" w:cstheme="minorHAnsi"/>
          <w:sz w:val="22"/>
          <w:szCs w:val="22"/>
        </w:rPr>
        <w:t>okości względnej decyzji (DH) w </w:t>
      </w:r>
      <w:r w:rsidR="00DE05DC" w:rsidRPr="009E064B">
        <w:rPr>
          <w:rFonts w:asciiTheme="minorHAnsi" w:hAnsiTheme="minorHAnsi" w:cstheme="minorHAnsi"/>
          <w:sz w:val="22"/>
          <w:szCs w:val="22"/>
        </w:rPr>
        <w:t>kategorii I, przy widzialności wzdłuż drogi startowej (RVR) mniejszej niż normalnie przypisana do stosowanej wysokości decyzji względnej (DH), ale nie mniejszej niż 400 m.</w:t>
      </w:r>
    </w:p>
    <w:p w14:paraId="59F445A4" w14:textId="5E429086" w:rsidR="000A4947"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28</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pole manewrowe</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manoeuvring area)</w:t>
      </w:r>
      <w:r w:rsidR="0095175D" w:rsidRPr="009E064B">
        <w:rPr>
          <w:sz w:val="22"/>
          <w:szCs w:val="22"/>
        </w:rPr>
        <w:t xml:space="preserve"> </w:t>
      </w:r>
      <w:r w:rsidR="00DE05DC" w:rsidRPr="009E064B">
        <w:rPr>
          <w:rFonts w:asciiTheme="minorHAnsi" w:hAnsiTheme="minorHAnsi" w:cstheme="minorHAnsi"/>
          <w:sz w:val="22"/>
          <w:szCs w:val="22"/>
        </w:rPr>
        <w:t xml:space="preserve">oznacza część lotniska, z wyłączeniem płyt </w:t>
      </w:r>
      <w:r w:rsidR="00D1567C" w:rsidRPr="009E064B">
        <w:rPr>
          <w:rFonts w:asciiTheme="minorHAnsi" w:hAnsiTheme="minorHAnsi" w:cstheme="minorHAnsi"/>
          <w:sz w:val="22"/>
          <w:szCs w:val="22"/>
        </w:rPr>
        <w:t xml:space="preserve">postojowych, </w:t>
      </w:r>
      <w:r w:rsidR="00DE05DC" w:rsidRPr="009E064B">
        <w:rPr>
          <w:rFonts w:asciiTheme="minorHAnsi" w:hAnsiTheme="minorHAnsi" w:cstheme="minorHAnsi"/>
          <w:sz w:val="22"/>
          <w:szCs w:val="22"/>
        </w:rPr>
        <w:t>przeznaczoną do startów, lądowań i kołowania statków powietrznych;</w:t>
      </w:r>
    </w:p>
    <w:p w14:paraId="3AAF3D52" w14:textId="77777777" w:rsidR="000A4947" w:rsidRDefault="000A4947">
      <w:pPr>
        <w:spacing w:after="0"/>
        <w:jc w:val="left"/>
        <w:rPr>
          <w:rFonts w:asciiTheme="minorHAnsi" w:eastAsia="Times New Roman" w:hAnsiTheme="minorHAnsi" w:cstheme="minorHAnsi"/>
        </w:rPr>
      </w:pPr>
      <w:r>
        <w:rPr>
          <w:rFonts w:asciiTheme="minorHAnsi" w:hAnsiTheme="minorHAnsi" w:cstheme="minorHAnsi"/>
        </w:rPr>
        <w:br w:type="page"/>
      </w:r>
    </w:p>
    <w:p w14:paraId="0B208F6E" w14:textId="633BCA75"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29</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służby meteorologiczne</w:t>
      </w:r>
      <w:r w:rsidR="00DE05DC" w:rsidRPr="009E064B">
        <w:rPr>
          <w:rFonts w:asciiTheme="minorHAnsi" w:hAnsiTheme="minorHAnsi" w:cstheme="minorHAnsi"/>
          <w:sz w:val="22"/>
          <w:szCs w:val="22"/>
        </w:rPr>
        <w:t xml:space="preserve">” </w:t>
      </w:r>
      <w:r w:rsidR="0095175D" w:rsidRPr="009E064B">
        <w:rPr>
          <w:i/>
          <w:sz w:val="22"/>
          <w:szCs w:val="22"/>
        </w:rPr>
        <w:t>(Meteorological Services - MET)</w:t>
      </w:r>
      <w:r w:rsidR="0095175D" w:rsidRPr="009E064B">
        <w:rPr>
          <w:sz w:val="22"/>
          <w:szCs w:val="22"/>
        </w:rPr>
        <w:t xml:space="preserve"> </w:t>
      </w:r>
      <w:r w:rsidR="00DE05DC" w:rsidRPr="009E064B">
        <w:rPr>
          <w:rFonts w:asciiTheme="minorHAnsi" w:hAnsiTheme="minorHAnsi" w:cstheme="minorHAnsi"/>
          <w:sz w:val="22"/>
          <w:szCs w:val="22"/>
        </w:rPr>
        <w:t>oznaczają funkcje i usługi, które zapewniają statkowi powietrznemu prognozy, odprawy i obserwacje meteorologiczne, jak również wszelkie inne informacje i dane meteorologiczne zapewniane przez państwa do wykorzystania lotniczego;</w:t>
      </w:r>
    </w:p>
    <w:p w14:paraId="7B2B232F" w14:textId="2A366CA8"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30</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oznacznik</w:t>
      </w:r>
      <w:r w:rsidR="00DE05DC" w:rsidRPr="009E064B">
        <w:rPr>
          <w:rFonts w:asciiTheme="minorHAnsi" w:hAnsiTheme="minorHAnsi" w:cstheme="minorHAnsi"/>
          <w:sz w:val="22"/>
          <w:szCs w:val="22"/>
        </w:rPr>
        <w:t>”</w:t>
      </w:r>
      <w:r w:rsidR="0095175D" w:rsidRPr="009E064B">
        <w:rPr>
          <w:sz w:val="22"/>
          <w:szCs w:val="22"/>
        </w:rPr>
        <w:t xml:space="preserve"> </w:t>
      </w:r>
      <w:r w:rsidR="0095175D" w:rsidRPr="009E064B">
        <w:rPr>
          <w:i/>
          <w:sz w:val="22"/>
          <w:szCs w:val="22"/>
        </w:rPr>
        <w:t>(marker</w:t>
      </w:r>
      <w:r w:rsidR="0095175D" w:rsidRPr="009E064B">
        <w:rPr>
          <w:rFonts w:asciiTheme="minorHAnsi" w:hAnsiTheme="minorHAnsi" w:cstheme="minorHAnsi"/>
          <w:i/>
          <w:sz w:val="22"/>
          <w:szCs w:val="22"/>
        </w:rPr>
        <w:t>)</w:t>
      </w:r>
      <w:r w:rsidR="0095175D"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obiekt umieszczony w widocznym miejscu powyżej poziomu terenu w celu oznaczenia prze­ szkody lub wskazania granicy;</w:t>
      </w:r>
    </w:p>
    <w:p w14:paraId="40F1B311" w14:textId="5F647B16"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w:t>
      </w:r>
      <w:r w:rsidR="009B2A41" w:rsidRPr="009E064B">
        <w:rPr>
          <w:rFonts w:asciiTheme="minorHAnsi" w:hAnsiTheme="minorHAnsi" w:cstheme="minorHAnsi"/>
          <w:sz w:val="22"/>
          <w:szCs w:val="22"/>
        </w:rPr>
        <w:t xml:space="preserve">1)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oznakowanie poziome</w:t>
      </w:r>
      <w:r w:rsidR="00DE05DC" w:rsidRPr="009E064B">
        <w:rPr>
          <w:rFonts w:asciiTheme="minorHAnsi" w:hAnsiTheme="minorHAnsi" w:cstheme="minorHAnsi"/>
          <w:sz w:val="22"/>
          <w:szCs w:val="22"/>
        </w:rPr>
        <w:t xml:space="preserve">” </w:t>
      </w:r>
      <w:r w:rsidR="0095175D" w:rsidRPr="009E064B">
        <w:rPr>
          <w:rFonts w:asciiTheme="minorHAnsi" w:hAnsiTheme="minorHAnsi" w:cstheme="minorHAnsi"/>
          <w:i/>
          <w:sz w:val="22"/>
          <w:szCs w:val="22"/>
        </w:rPr>
        <w:t>(</w:t>
      </w:r>
      <w:r w:rsidR="0095175D" w:rsidRPr="009E064B">
        <w:rPr>
          <w:i/>
          <w:sz w:val="22"/>
          <w:szCs w:val="22"/>
        </w:rPr>
        <w:t>marking</w:t>
      </w:r>
      <w:r w:rsidR="0095175D" w:rsidRPr="009E064B">
        <w:rPr>
          <w:sz w:val="22"/>
          <w:szCs w:val="22"/>
        </w:rPr>
        <w:t xml:space="preserve">) </w:t>
      </w:r>
      <w:r w:rsidR="00DE05DC" w:rsidRPr="009E064B">
        <w:rPr>
          <w:rFonts w:asciiTheme="minorHAnsi" w:hAnsiTheme="minorHAnsi" w:cstheme="minorHAnsi"/>
          <w:sz w:val="22"/>
          <w:szCs w:val="22"/>
        </w:rPr>
        <w:t>oznacza symbol lu</w:t>
      </w:r>
      <w:r w:rsidR="00A669F8" w:rsidRPr="009E064B">
        <w:rPr>
          <w:rFonts w:asciiTheme="minorHAnsi" w:hAnsiTheme="minorHAnsi" w:cstheme="minorHAnsi"/>
          <w:sz w:val="22"/>
          <w:szCs w:val="22"/>
        </w:rPr>
        <w:t>b grupę symboli umieszczonych w </w:t>
      </w:r>
      <w:r w:rsidR="00DE05DC" w:rsidRPr="009E064B">
        <w:rPr>
          <w:rFonts w:asciiTheme="minorHAnsi" w:hAnsiTheme="minorHAnsi" w:cstheme="minorHAnsi"/>
          <w:sz w:val="22"/>
          <w:szCs w:val="22"/>
        </w:rPr>
        <w:t>widoczny sposób na powierzchni pola ruchu naziemnego w celu przekazania informacji lotniczych;</w:t>
      </w:r>
    </w:p>
    <w:p w14:paraId="136F69B9" w14:textId="5DD9F294"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32</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pole ruchu naziemnego</w:t>
      </w:r>
      <w:r w:rsidR="00DE05DC" w:rsidRPr="009E064B">
        <w:rPr>
          <w:rFonts w:asciiTheme="minorHAnsi" w:hAnsiTheme="minorHAnsi" w:cstheme="minorHAnsi"/>
          <w:sz w:val="22"/>
          <w:szCs w:val="22"/>
        </w:rPr>
        <w:t xml:space="preserve">” </w:t>
      </w:r>
      <w:r w:rsidR="00827333" w:rsidRPr="009E064B">
        <w:rPr>
          <w:i/>
          <w:sz w:val="22"/>
          <w:szCs w:val="22"/>
        </w:rPr>
        <w:t>(movement area)</w:t>
      </w:r>
      <w:r w:rsidR="00827333" w:rsidRPr="009E064B">
        <w:rPr>
          <w:sz w:val="22"/>
          <w:szCs w:val="22"/>
        </w:rPr>
        <w:t xml:space="preserve"> </w:t>
      </w:r>
      <w:r w:rsidR="00DE05DC" w:rsidRPr="009E064B">
        <w:rPr>
          <w:rFonts w:asciiTheme="minorHAnsi" w:hAnsiTheme="minorHAnsi" w:cstheme="minorHAnsi"/>
          <w:sz w:val="22"/>
          <w:szCs w:val="22"/>
        </w:rPr>
        <w:t xml:space="preserve">oznacza część lotniska przeznaczoną do startów, lądowań i kołowania statków </w:t>
      </w:r>
      <w:r w:rsidR="007B2130" w:rsidRPr="009E064B">
        <w:rPr>
          <w:rFonts w:asciiTheme="minorHAnsi" w:hAnsiTheme="minorHAnsi" w:cstheme="minorHAnsi"/>
          <w:sz w:val="22"/>
          <w:szCs w:val="22"/>
        </w:rPr>
        <w:t>powietrz</w:t>
      </w:r>
      <w:r w:rsidR="00DE05DC" w:rsidRPr="009E064B">
        <w:rPr>
          <w:rFonts w:asciiTheme="minorHAnsi" w:hAnsiTheme="minorHAnsi" w:cstheme="minorHAnsi"/>
          <w:sz w:val="22"/>
          <w:szCs w:val="22"/>
        </w:rPr>
        <w:t>nych, składającą się z pola manewrowego i płyty postojowej (płyt postojowych);</w:t>
      </w:r>
    </w:p>
    <w:p w14:paraId="343789D1" w14:textId="58D9E820"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33</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służby nawigacyjne</w:t>
      </w:r>
      <w:r w:rsidR="00DE05DC" w:rsidRPr="009E064B">
        <w:rPr>
          <w:rFonts w:asciiTheme="minorHAnsi" w:hAnsiTheme="minorHAnsi" w:cstheme="minorHAnsi"/>
          <w:sz w:val="22"/>
          <w:szCs w:val="22"/>
        </w:rPr>
        <w:t>”</w:t>
      </w:r>
      <w:r w:rsidR="00827333" w:rsidRPr="009E064B">
        <w:rPr>
          <w:rFonts w:asciiTheme="minorHAnsi" w:hAnsiTheme="minorHAnsi" w:cstheme="minorHAnsi"/>
          <w:sz w:val="22"/>
          <w:szCs w:val="22"/>
        </w:rPr>
        <w:t xml:space="preserve"> </w:t>
      </w:r>
      <w:r w:rsidR="00827333" w:rsidRPr="009E064B">
        <w:rPr>
          <w:rFonts w:asciiTheme="minorHAnsi" w:hAnsiTheme="minorHAnsi" w:cstheme="minorHAnsi"/>
          <w:i/>
          <w:sz w:val="22"/>
          <w:szCs w:val="22"/>
        </w:rPr>
        <w:t>(</w:t>
      </w:r>
      <w:r w:rsidR="00827333" w:rsidRPr="009E064B">
        <w:rPr>
          <w:i/>
          <w:sz w:val="22"/>
          <w:szCs w:val="22"/>
        </w:rPr>
        <w:t>navigation services)</w:t>
      </w:r>
      <w:r w:rsidR="00DE05DC" w:rsidRPr="009E064B">
        <w:rPr>
          <w:rFonts w:asciiTheme="minorHAnsi" w:hAnsiTheme="minorHAnsi" w:cstheme="minorHAnsi"/>
          <w:sz w:val="22"/>
          <w:szCs w:val="22"/>
        </w:rPr>
        <w:t xml:space="preserve"> oznaczają funkcje i usługi, które zapewniają statkowi powietrznemu informacje o pozycji i czasie;</w:t>
      </w:r>
    </w:p>
    <w:p w14:paraId="51AEE5D3" w14:textId="7A3C04F5"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34</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A97367" w:rsidRPr="009E064B">
        <w:rPr>
          <w:rFonts w:asciiTheme="minorHAnsi" w:hAnsiTheme="minorHAnsi" w:cstheme="minorHAnsi"/>
          <w:b/>
          <w:sz w:val="22"/>
          <w:szCs w:val="22"/>
        </w:rPr>
        <w:t>droga startowa </w:t>
      </w:r>
      <w:r w:rsidR="00DE05DC" w:rsidRPr="009E064B">
        <w:rPr>
          <w:rFonts w:asciiTheme="minorHAnsi" w:hAnsiTheme="minorHAnsi" w:cstheme="minorHAnsi"/>
          <w:b/>
          <w:sz w:val="22"/>
          <w:szCs w:val="22"/>
        </w:rPr>
        <w:t>nieprzyrządowa</w:t>
      </w:r>
      <w:r w:rsidR="00DE05DC" w:rsidRPr="009E064B">
        <w:rPr>
          <w:rFonts w:asciiTheme="minorHAnsi" w:hAnsiTheme="minorHAnsi" w:cstheme="minorHAnsi"/>
          <w:sz w:val="22"/>
          <w:szCs w:val="22"/>
        </w:rPr>
        <w:t>”</w:t>
      </w:r>
      <w:r w:rsidR="00A97367" w:rsidRPr="009E064B">
        <w:rPr>
          <w:sz w:val="22"/>
          <w:szCs w:val="22"/>
        </w:rPr>
        <w:t xml:space="preserve"> </w:t>
      </w:r>
      <w:r w:rsidR="00A97367" w:rsidRPr="009E064B">
        <w:rPr>
          <w:i/>
          <w:sz w:val="22"/>
          <w:szCs w:val="22"/>
        </w:rPr>
        <w:t>(non-instrument runway)</w:t>
      </w:r>
      <w:r w:rsidR="00DE05DC" w:rsidRPr="009E064B">
        <w:rPr>
          <w:rFonts w:asciiTheme="minorHAnsi" w:hAnsiTheme="minorHAnsi" w:cstheme="minorHAnsi"/>
          <w:sz w:val="22"/>
          <w:szCs w:val="22"/>
        </w:rPr>
        <w:t xml:space="preserve"> oznacza drogę startową przeznaczoną dla statków powietrznych wykonujących operacje z wykorzystaniem procedur podejścia z widocznością;</w:t>
      </w:r>
    </w:p>
    <w:p w14:paraId="3DB3B3C2" w14:textId="1926A329" w:rsidR="00DC7DA6" w:rsidRPr="009E064B" w:rsidRDefault="00B129CC"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35</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operacja poza standardem w kategorii II</w:t>
      </w:r>
      <w:r w:rsidR="00DE05DC" w:rsidRPr="009E064B">
        <w:rPr>
          <w:rFonts w:asciiTheme="minorHAnsi" w:hAnsiTheme="minorHAnsi" w:cstheme="minorHAnsi"/>
          <w:sz w:val="22"/>
          <w:szCs w:val="22"/>
        </w:rPr>
        <w:t>”</w:t>
      </w:r>
      <w:r w:rsidR="00A97367" w:rsidRPr="009E064B">
        <w:rPr>
          <w:sz w:val="22"/>
          <w:szCs w:val="22"/>
        </w:rPr>
        <w:t xml:space="preserve"> </w:t>
      </w:r>
      <w:r w:rsidR="00A97367" w:rsidRPr="009E064B">
        <w:rPr>
          <w:i/>
          <w:sz w:val="22"/>
          <w:szCs w:val="22"/>
        </w:rPr>
        <w:t>(other than Standard Category II operation)</w:t>
      </w:r>
      <w:r w:rsidR="00DE05DC" w:rsidRPr="009E064B">
        <w:rPr>
          <w:rFonts w:asciiTheme="minorHAnsi" w:hAnsiTheme="minorHAnsi" w:cstheme="minorHAnsi"/>
          <w:sz w:val="22"/>
          <w:szCs w:val="22"/>
        </w:rPr>
        <w:t xml:space="preserve"> oznacza podejście precyzyjne i lądowanie wykonywan</w:t>
      </w:r>
      <w:r w:rsidR="0057212B" w:rsidRPr="009E064B">
        <w:rPr>
          <w:rFonts w:asciiTheme="minorHAnsi" w:hAnsiTheme="minorHAnsi" w:cstheme="minorHAnsi"/>
          <w:sz w:val="22"/>
          <w:szCs w:val="22"/>
        </w:rPr>
        <w:t>e według wskazań przyrządów i z </w:t>
      </w:r>
      <w:r w:rsidR="00DE05DC" w:rsidRPr="009E064B">
        <w:rPr>
          <w:rFonts w:asciiTheme="minorHAnsi" w:hAnsiTheme="minorHAnsi" w:cstheme="minorHAnsi"/>
          <w:sz w:val="22"/>
          <w:szCs w:val="22"/>
        </w:rPr>
        <w:t>wykorzy</w:t>
      </w:r>
      <w:r w:rsidR="006B3422" w:rsidRPr="009E064B">
        <w:rPr>
          <w:rFonts w:asciiTheme="minorHAnsi" w:hAnsiTheme="minorHAnsi" w:cstheme="minorHAnsi"/>
          <w:sz w:val="22"/>
          <w:szCs w:val="22"/>
        </w:rPr>
        <w:t xml:space="preserve">staniem systemu ILS lub MLS, w </w:t>
      </w:r>
      <w:r w:rsidR="00DE05DC" w:rsidRPr="009E064B">
        <w:rPr>
          <w:rFonts w:asciiTheme="minorHAnsi" w:hAnsiTheme="minorHAnsi" w:cstheme="minorHAnsi"/>
          <w:sz w:val="22"/>
          <w:szCs w:val="22"/>
        </w:rPr>
        <w:t>sytuacji gdy niektóre lub wszystkie elementy systemu oświetlenia dla podejść precyzyjnych w kategorii II nie są dostępne oraz przy:</w:t>
      </w:r>
    </w:p>
    <w:p w14:paraId="3203E6BB"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wysokości względnej decyzji (DH) poniżej 200 stóp, ale nie mniej niż 100 stóp; oraz</w:t>
      </w:r>
    </w:p>
    <w:p w14:paraId="5AB751D3" w14:textId="77777777" w:rsidR="00DC7DA6" w:rsidRPr="009E064B"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9E064B">
        <w:rPr>
          <w:rFonts w:asciiTheme="minorHAnsi" w:hAnsiTheme="minorHAnsi" w:cstheme="minorHAnsi"/>
          <w:sz w:val="22"/>
          <w:szCs w:val="22"/>
        </w:rPr>
        <w:t>widzialności wzdłuż drogi startowej (RVR) nie mniejszej niż 350 m.</w:t>
      </w:r>
    </w:p>
    <w:p w14:paraId="45CAE6D7" w14:textId="147C4A85"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36</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cykl planowania nadzoru</w:t>
      </w:r>
      <w:r w:rsidR="00DE05DC" w:rsidRPr="009E064B">
        <w:rPr>
          <w:rFonts w:asciiTheme="minorHAnsi" w:hAnsiTheme="minorHAnsi" w:cstheme="minorHAnsi"/>
          <w:sz w:val="22"/>
          <w:szCs w:val="22"/>
        </w:rPr>
        <w:t>” oznacza okres czasu, w trakcie którego weryfikuje się ciągłą zgodność z wymaganiami;</w:t>
      </w:r>
    </w:p>
    <w:p w14:paraId="1406A21F" w14:textId="77A64684"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37</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droga kołowania szybkiego zjazdu</w:t>
      </w:r>
      <w:r w:rsidR="00DE05DC" w:rsidRPr="009E064B">
        <w:rPr>
          <w:rFonts w:asciiTheme="minorHAnsi" w:hAnsiTheme="minorHAnsi" w:cstheme="minorHAnsi"/>
          <w:sz w:val="22"/>
          <w:szCs w:val="22"/>
        </w:rPr>
        <w:t xml:space="preserve">” </w:t>
      </w:r>
      <w:r w:rsidR="00A97367" w:rsidRPr="009E064B">
        <w:rPr>
          <w:rFonts w:asciiTheme="minorHAnsi" w:hAnsiTheme="minorHAnsi" w:cstheme="minorHAnsi"/>
          <w:i/>
          <w:sz w:val="22"/>
          <w:szCs w:val="22"/>
        </w:rPr>
        <w:t>(</w:t>
      </w:r>
      <w:r w:rsidR="00A97367" w:rsidRPr="009E064B">
        <w:rPr>
          <w:i/>
          <w:sz w:val="22"/>
          <w:szCs w:val="22"/>
        </w:rPr>
        <w:t>rapid exit taxiway)</w:t>
      </w:r>
      <w:r w:rsidR="00A97367" w:rsidRPr="009E064B">
        <w:rPr>
          <w:sz w:val="22"/>
          <w:szCs w:val="22"/>
        </w:rPr>
        <w:t xml:space="preserve"> </w:t>
      </w:r>
      <w:r w:rsidR="00DE05DC" w:rsidRPr="009E064B">
        <w:rPr>
          <w:rFonts w:asciiTheme="minorHAnsi" w:hAnsiTheme="minorHAnsi" w:cstheme="minorHAnsi"/>
          <w:sz w:val="22"/>
          <w:szCs w:val="22"/>
        </w:rPr>
        <w:t>oznacza drogę kołowania poł</w:t>
      </w:r>
      <w:r w:rsidR="00750CFF" w:rsidRPr="009E064B">
        <w:rPr>
          <w:rFonts w:asciiTheme="minorHAnsi" w:hAnsiTheme="minorHAnsi" w:cstheme="minorHAnsi"/>
          <w:sz w:val="22"/>
          <w:szCs w:val="22"/>
        </w:rPr>
        <w:t>ączoną pod kątem ostrym z </w:t>
      </w:r>
      <w:r w:rsidR="00DE05DC" w:rsidRPr="009E064B">
        <w:rPr>
          <w:rFonts w:asciiTheme="minorHAnsi" w:hAnsiTheme="minorHAnsi" w:cstheme="minorHAnsi"/>
          <w:sz w:val="22"/>
          <w:szCs w:val="22"/>
        </w:rPr>
        <w:t>drogą startową, tak aby umożliwić lądującym samolotom opuszczenie drogi startowej przy prędkościach większych niż osiągane na innych drogach kołowania przeznaczonych do zjazdu, zmniejszając dzięki temu do minimum czas zajmowania drogi startowej;</w:t>
      </w:r>
    </w:p>
    <w:p w14:paraId="5D8634D5" w14:textId="31174D6B"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38</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droga startowa</w:t>
      </w:r>
      <w:r w:rsidR="00DE05DC" w:rsidRPr="009E064B">
        <w:rPr>
          <w:rFonts w:asciiTheme="minorHAnsi" w:hAnsiTheme="minorHAnsi" w:cstheme="minorHAnsi"/>
          <w:sz w:val="22"/>
          <w:szCs w:val="22"/>
        </w:rPr>
        <w:t xml:space="preserve">” </w:t>
      </w:r>
      <w:r w:rsidR="00A97367" w:rsidRPr="009E064B">
        <w:rPr>
          <w:rFonts w:asciiTheme="minorHAnsi" w:hAnsiTheme="minorHAnsi" w:cstheme="minorHAnsi"/>
          <w:i/>
          <w:sz w:val="22"/>
          <w:szCs w:val="22"/>
        </w:rPr>
        <w:t>(</w:t>
      </w:r>
      <w:r w:rsidR="00A97367" w:rsidRPr="009E064B">
        <w:rPr>
          <w:i/>
          <w:sz w:val="22"/>
          <w:szCs w:val="22"/>
        </w:rPr>
        <w:t>runway</w:t>
      </w:r>
      <w:r w:rsidR="00A669F8" w:rsidRPr="009E064B">
        <w:rPr>
          <w:i/>
          <w:sz w:val="22"/>
          <w:szCs w:val="22"/>
        </w:rPr>
        <w:t xml:space="preserve"> - </w:t>
      </w:r>
      <w:r w:rsidR="00A97367" w:rsidRPr="009E064B">
        <w:rPr>
          <w:i/>
          <w:sz w:val="22"/>
          <w:szCs w:val="22"/>
        </w:rPr>
        <w:t>RWY)</w:t>
      </w:r>
      <w:r w:rsidR="00A97367" w:rsidRPr="009E064B">
        <w:rPr>
          <w:sz w:val="22"/>
          <w:szCs w:val="22"/>
        </w:rPr>
        <w:t xml:space="preserve"> </w:t>
      </w:r>
      <w:r w:rsidR="00DE05DC" w:rsidRPr="009E064B">
        <w:rPr>
          <w:rFonts w:asciiTheme="minorHAnsi" w:hAnsiTheme="minorHAnsi" w:cstheme="minorHAnsi"/>
          <w:sz w:val="22"/>
          <w:szCs w:val="22"/>
        </w:rPr>
        <w:t>oznacza określony prostokątny obszar wyznaczony na lotnisku lądowym, przygotowany do startów i lądowań statków powietrznych;</w:t>
      </w:r>
    </w:p>
    <w:p w14:paraId="00A5CAB7" w14:textId="23DCD653"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39</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rodzaj drogi startowe</w:t>
      </w:r>
      <w:r w:rsidR="00DE05DC" w:rsidRPr="009E064B">
        <w:rPr>
          <w:rFonts w:asciiTheme="minorHAnsi" w:hAnsiTheme="minorHAnsi" w:cstheme="minorHAnsi"/>
          <w:sz w:val="22"/>
          <w:szCs w:val="22"/>
        </w:rPr>
        <w:t>j” oznacza drogę startową przyrządową lub drogę startową nieprzyrządową;</w:t>
      </w:r>
    </w:p>
    <w:p w14:paraId="735E8134" w14:textId="26A335EF" w:rsidR="000A4947" w:rsidRDefault="007B2130"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40</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widzialność wzdłuż drogi startowej</w:t>
      </w:r>
      <w:r w:rsidR="00CC171C" w:rsidRPr="009E064B">
        <w:rPr>
          <w:rFonts w:asciiTheme="minorHAnsi" w:hAnsiTheme="minorHAnsi" w:cstheme="minorHAnsi"/>
          <w:b/>
          <w:sz w:val="22"/>
          <w:szCs w:val="22"/>
        </w:rPr>
        <w:t>”</w:t>
      </w:r>
      <w:r w:rsidR="00DE05DC" w:rsidRPr="009E064B">
        <w:rPr>
          <w:rFonts w:asciiTheme="minorHAnsi" w:hAnsiTheme="minorHAnsi" w:cstheme="minorHAnsi"/>
          <w:sz w:val="22"/>
          <w:szCs w:val="22"/>
        </w:rPr>
        <w:t xml:space="preserve"> </w:t>
      </w:r>
      <w:r w:rsidR="00B129CC" w:rsidRPr="009E064B">
        <w:rPr>
          <w:rFonts w:asciiTheme="minorHAnsi" w:hAnsiTheme="minorHAnsi" w:cstheme="minorHAnsi"/>
          <w:i/>
          <w:sz w:val="22"/>
          <w:szCs w:val="22"/>
        </w:rPr>
        <w:t>(Runway Visual Range -</w:t>
      </w:r>
      <w:r w:rsidR="00DE05DC" w:rsidRPr="009E064B">
        <w:rPr>
          <w:rFonts w:asciiTheme="minorHAnsi" w:hAnsiTheme="minorHAnsi" w:cstheme="minorHAnsi"/>
          <w:i/>
          <w:sz w:val="22"/>
          <w:szCs w:val="22"/>
        </w:rPr>
        <w:t xml:space="preserve"> RVR)</w:t>
      </w:r>
      <w:r w:rsidR="00DE05DC" w:rsidRPr="009E064B">
        <w:rPr>
          <w:rFonts w:asciiTheme="minorHAnsi" w:hAnsiTheme="minorHAnsi" w:cstheme="minorHAnsi"/>
          <w:sz w:val="22"/>
          <w:szCs w:val="22"/>
        </w:rPr>
        <w:t xml:space="preserve">” oznacza odległość, do której pilot statku powietrznego znajdującego się na linii </w:t>
      </w:r>
      <w:r w:rsidR="00D1567C" w:rsidRPr="009E064B">
        <w:rPr>
          <w:rFonts w:asciiTheme="minorHAnsi" w:hAnsiTheme="minorHAnsi" w:cstheme="minorHAnsi"/>
          <w:sz w:val="22"/>
          <w:szCs w:val="22"/>
        </w:rPr>
        <w:t xml:space="preserve">centralnej </w:t>
      </w:r>
      <w:r w:rsidR="00DE05DC" w:rsidRPr="009E064B">
        <w:rPr>
          <w:rFonts w:asciiTheme="minorHAnsi" w:hAnsiTheme="minorHAnsi" w:cstheme="minorHAnsi"/>
          <w:sz w:val="22"/>
          <w:szCs w:val="22"/>
        </w:rPr>
        <w:t>drogi st</w:t>
      </w:r>
      <w:r w:rsidR="00D1567C" w:rsidRPr="009E064B">
        <w:rPr>
          <w:rFonts w:asciiTheme="minorHAnsi" w:hAnsiTheme="minorHAnsi" w:cstheme="minorHAnsi"/>
          <w:sz w:val="22"/>
          <w:szCs w:val="22"/>
        </w:rPr>
        <w:t xml:space="preserve">artowej </w:t>
      </w:r>
      <w:r w:rsidR="00DE05DC" w:rsidRPr="009E064B">
        <w:rPr>
          <w:rFonts w:asciiTheme="minorHAnsi" w:hAnsiTheme="minorHAnsi" w:cstheme="minorHAnsi"/>
          <w:sz w:val="22"/>
          <w:szCs w:val="22"/>
        </w:rPr>
        <w:t xml:space="preserve">może dostrzec oznakowanie </w:t>
      </w:r>
      <w:r w:rsidR="00D1567C" w:rsidRPr="009E064B">
        <w:rPr>
          <w:rFonts w:asciiTheme="minorHAnsi" w:hAnsiTheme="minorHAnsi" w:cstheme="minorHAnsi"/>
          <w:sz w:val="22"/>
          <w:szCs w:val="22"/>
        </w:rPr>
        <w:t xml:space="preserve">poziome </w:t>
      </w:r>
      <w:r w:rsidR="00DE05DC" w:rsidRPr="009E064B">
        <w:rPr>
          <w:rFonts w:asciiTheme="minorHAnsi" w:hAnsiTheme="minorHAnsi" w:cstheme="minorHAnsi"/>
          <w:sz w:val="22"/>
          <w:szCs w:val="22"/>
        </w:rPr>
        <w:t>na powierzchni drogi startowej lub światła wytyczające tę drogę albo wskazujące jej linię centralną;</w:t>
      </w:r>
    </w:p>
    <w:p w14:paraId="5E58C66C" w14:textId="77777777" w:rsidR="000A4947" w:rsidRDefault="000A4947">
      <w:pPr>
        <w:spacing w:after="0"/>
        <w:jc w:val="left"/>
        <w:rPr>
          <w:rFonts w:asciiTheme="minorHAnsi" w:eastAsia="Times New Roman" w:hAnsiTheme="minorHAnsi" w:cstheme="minorHAnsi"/>
        </w:rPr>
      </w:pPr>
      <w:r>
        <w:rPr>
          <w:rFonts w:asciiTheme="minorHAnsi" w:hAnsiTheme="minorHAnsi" w:cstheme="minorHAnsi"/>
        </w:rPr>
        <w:br w:type="page"/>
      </w:r>
    </w:p>
    <w:p w14:paraId="0B8FA6F9" w14:textId="04BDA31E"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w:t>
      </w:r>
      <w:r w:rsidR="009B2A41" w:rsidRPr="009E064B">
        <w:rPr>
          <w:rFonts w:asciiTheme="minorHAnsi" w:hAnsiTheme="minorHAnsi" w:cstheme="minorHAnsi"/>
          <w:sz w:val="22"/>
          <w:szCs w:val="22"/>
        </w:rPr>
        <w:t xml:space="preserve">1)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syst</w:t>
      </w:r>
      <w:r w:rsidR="00A669F8" w:rsidRPr="009E064B">
        <w:rPr>
          <w:rFonts w:asciiTheme="minorHAnsi" w:hAnsiTheme="minorHAnsi" w:cstheme="minorHAnsi"/>
          <w:b/>
          <w:sz w:val="22"/>
          <w:szCs w:val="22"/>
        </w:rPr>
        <w:t>em zarządzania </w:t>
      </w:r>
      <w:r w:rsidR="00DE05DC" w:rsidRPr="009E064B">
        <w:rPr>
          <w:rFonts w:asciiTheme="minorHAnsi" w:hAnsiTheme="minorHAnsi" w:cstheme="minorHAnsi"/>
          <w:b/>
          <w:sz w:val="22"/>
          <w:szCs w:val="22"/>
        </w:rPr>
        <w:t>bezpieczeństwem</w:t>
      </w:r>
      <w:r w:rsidR="00DE05DC" w:rsidRPr="009E064B">
        <w:rPr>
          <w:rFonts w:asciiTheme="minorHAnsi" w:hAnsiTheme="minorHAnsi" w:cstheme="minorHAnsi"/>
          <w:sz w:val="22"/>
          <w:szCs w:val="22"/>
        </w:rPr>
        <w:t xml:space="preserve">” </w:t>
      </w:r>
      <w:r w:rsidR="00A669F8" w:rsidRPr="009E064B">
        <w:rPr>
          <w:rFonts w:asciiTheme="minorHAnsi" w:hAnsiTheme="minorHAnsi" w:cstheme="minorHAnsi"/>
          <w:i/>
          <w:sz w:val="22"/>
          <w:szCs w:val="22"/>
        </w:rPr>
        <w:t>(safety management system - </w:t>
      </w:r>
      <w:r w:rsidRPr="009E064B">
        <w:rPr>
          <w:rFonts w:asciiTheme="minorHAnsi" w:hAnsiTheme="minorHAnsi" w:cstheme="minorHAnsi"/>
          <w:i/>
          <w:sz w:val="22"/>
          <w:szCs w:val="22"/>
        </w:rPr>
        <w:t>SMS)</w:t>
      </w:r>
      <w:r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systematycz</w:t>
      </w:r>
      <w:r w:rsidR="00A669F8" w:rsidRPr="009E064B">
        <w:rPr>
          <w:rFonts w:asciiTheme="minorHAnsi" w:hAnsiTheme="minorHAnsi" w:cstheme="minorHAnsi"/>
          <w:sz w:val="22"/>
          <w:szCs w:val="22"/>
        </w:rPr>
        <w:t xml:space="preserve">ne </w:t>
      </w:r>
      <w:r w:rsidR="00DE05DC" w:rsidRPr="009E064B">
        <w:rPr>
          <w:rFonts w:asciiTheme="minorHAnsi" w:hAnsiTheme="minorHAnsi" w:cstheme="minorHAnsi"/>
          <w:sz w:val="22"/>
          <w:szCs w:val="22"/>
        </w:rPr>
        <w:t>podejście do zarządzania bezpieczeństwem, obejmujące niezbędne struktury organizacyjne, zakresy odpowiedzialności, strategie i procedury;</w:t>
      </w:r>
    </w:p>
    <w:p w14:paraId="21055FDF" w14:textId="08C21885"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42</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zabezpieczenie przerwanego startu</w:t>
      </w:r>
      <w:r w:rsidR="00DE05DC" w:rsidRPr="009E064B">
        <w:rPr>
          <w:rFonts w:asciiTheme="minorHAnsi" w:hAnsiTheme="minorHAnsi" w:cstheme="minorHAnsi"/>
          <w:sz w:val="22"/>
          <w:szCs w:val="22"/>
        </w:rPr>
        <w:t xml:space="preserve">” </w:t>
      </w:r>
      <w:r w:rsidRPr="009E064B">
        <w:rPr>
          <w:rFonts w:asciiTheme="minorHAnsi" w:hAnsiTheme="minorHAnsi" w:cstheme="minorHAnsi"/>
          <w:i/>
          <w:sz w:val="22"/>
          <w:szCs w:val="22"/>
        </w:rPr>
        <w:t>(stopway)</w:t>
      </w:r>
      <w:r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oznacza określony prostokątny obszar na lądzie na końcu rozporządzalnej długości rozbiegu przy starcie, przygotowany jako odpow</w:t>
      </w:r>
      <w:r w:rsidR="00726E46" w:rsidRPr="009E064B">
        <w:rPr>
          <w:rFonts w:asciiTheme="minorHAnsi" w:hAnsiTheme="minorHAnsi" w:cstheme="minorHAnsi"/>
          <w:sz w:val="22"/>
          <w:szCs w:val="22"/>
        </w:rPr>
        <w:t xml:space="preserve">iedni obszar, na którym statek </w:t>
      </w:r>
      <w:r w:rsidR="00DE05DC" w:rsidRPr="009E064B">
        <w:rPr>
          <w:rFonts w:asciiTheme="minorHAnsi" w:hAnsiTheme="minorHAnsi" w:cstheme="minorHAnsi"/>
          <w:sz w:val="22"/>
          <w:szCs w:val="22"/>
        </w:rPr>
        <w:t xml:space="preserve">powietrzny </w:t>
      </w:r>
      <w:r w:rsidR="00B00776" w:rsidRPr="009E064B">
        <w:rPr>
          <w:rFonts w:asciiTheme="minorHAnsi" w:hAnsiTheme="minorHAnsi" w:cstheme="minorHAnsi"/>
          <w:sz w:val="22"/>
          <w:szCs w:val="22"/>
        </w:rPr>
        <w:t xml:space="preserve">może się zatrzymać w przypadku przerwanego </w:t>
      </w:r>
      <w:r w:rsidR="00DE05DC" w:rsidRPr="009E064B">
        <w:rPr>
          <w:rFonts w:asciiTheme="minorHAnsi" w:hAnsiTheme="minorHAnsi" w:cstheme="minorHAnsi"/>
          <w:sz w:val="22"/>
          <w:szCs w:val="22"/>
        </w:rPr>
        <w:t>startu;</w:t>
      </w:r>
    </w:p>
    <w:p w14:paraId="663BB770" w14:textId="446B0FD0"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43</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rozporządzalna długość startu</w:t>
      </w:r>
      <w:r w:rsidR="00CC171C" w:rsidRPr="009E064B">
        <w:rPr>
          <w:rFonts w:asciiTheme="minorHAnsi" w:hAnsiTheme="minorHAnsi" w:cstheme="minorHAnsi"/>
          <w:b/>
          <w:sz w:val="22"/>
          <w:szCs w:val="22"/>
        </w:rPr>
        <w:t>”</w:t>
      </w:r>
      <w:r w:rsidR="00DE05DC" w:rsidRPr="009E064B">
        <w:rPr>
          <w:rFonts w:asciiTheme="minorHAnsi" w:hAnsiTheme="minorHAnsi" w:cstheme="minorHAnsi"/>
          <w:sz w:val="22"/>
          <w:szCs w:val="22"/>
        </w:rPr>
        <w:t xml:space="preserve"> </w:t>
      </w:r>
      <w:r w:rsidR="00DE05DC" w:rsidRPr="009E064B">
        <w:rPr>
          <w:rFonts w:asciiTheme="minorHAnsi" w:hAnsiTheme="minorHAnsi" w:cstheme="minorHAnsi"/>
          <w:i/>
          <w:sz w:val="22"/>
          <w:szCs w:val="22"/>
        </w:rPr>
        <w:t>(take-off distance available, TODA)</w:t>
      </w:r>
      <w:r w:rsidR="00DE05DC" w:rsidRPr="009E064B">
        <w:rPr>
          <w:rFonts w:asciiTheme="minorHAnsi" w:hAnsiTheme="minorHAnsi" w:cstheme="minorHAnsi"/>
          <w:sz w:val="22"/>
          <w:szCs w:val="22"/>
        </w:rPr>
        <w:t>” oznacza rozporządzalną długość rozbiegu przy starcie powiększoną o długość zabezpieczenia wydłużonego startu, o ile zabezpieczenie to jest dostępne;</w:t>
      </w:r>
    </w:p>
    <w:p w14:paraId="1BF94431" w14:textId="68ABC383" w:rsidR="00DC7DA6" w:rsidRPr="009E064B" w:rsidRDefault="00B129CC"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44</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rozporządzalna długość rozbiegu przy starcie</w:t>
      </w:r>
      <w:r w:rsidR="00CC171C" w:rsidRPr="009E064B">
        <w:rPr>
          <w:rFonts w:asciiTheme="minorHAnsi" w:hAnsiTheme="minorHAnsi" w:cstheme="minorHAnsi"/>
          <w:b/>
          <w:sz w:val="22"/>
          <w:szCs w:val="22"/>
        </w:rPr>
        <w:t>”</w:t>
      </w:r>
      <w:r w:rsidR="00DE05DC" w:rsidRPr="009E064B">
        <w:rPr>
          <w:rFonts w:asciiTheme="minorHAnsi" w:hAnsiTheme="minorHAnsi" w:cstheme="minorHAnsi"/>
          <w:sz w:val="22"/>
          <w:szCs w:val="22"/>
        </w:rPr>
        <w:t xml:space="preserve"> </w:t>
      </w:r>
      <w:r w:rsidR="00DE05DC" w:rsidRPr="009E064B">
        <w:rPr>
          <w:rFonts w:asciiTheme="minorHAnsi" w:hAnsiTheme="minorHAnsi" w:cstheme="minorHAnsi"/>
          <w:i/>
          <w:sz w:val="22"/>
          <w:szCs w:val="22"/>
        </w:rPr>
        <w:t>(take-off run available, TORA)</w:t>
      </w:r>
      <w:r w:rsidR="00DE05DC" w:rsidRPr="009E064B">
        <w:rPr>
          <w:rFonts w:asciiTheme="minorHAnsi" w:hAnsiTheme="minorHAnsi" w:cstheme="minorHAnsi"/>
          <w:sz w:val="22"/>
          <w:szCs w:val="22"/>
        </w:rPr>
        <w:t>” oznacza długość drogi startowej deklarowanej jako dostępna oraz odpowiednia dla rozbiegu startującego samolotu;</w:t>
      </w:r>
    </w:p>
    <w:p w14:paraId="44B9D2FC" w14:textId="6E9C2A05" w:rsidR="00DC7DA6" w:rsidRPr="009E064B" w:rsidRDefault="00A669F8"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45</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droga kołowania</w:t>
      </w:r>
      <w:r w:rsidR="00DE05DC" w:rsidRPr="009E064B">
        <w:rPr>
          <w:rFonts w:asciiTheme="minorHAnsi" w:hAnsiTheme="minorHAnsi" w:cstheme="minorHAnsi"/>
          <w:sz w:val="22"/>
          <w:szCs w:val="22"/>
        </w:rPr>
        <w:t xml:space="preserve">” </w:t>
      </w:r>
      <w:r w:rsidR="00A97367" w:rsidRPr="009E064B">
        <w:rPr>
          <w:i/>
          <w:sz w:val="22"/>
          <w:szCs w:val="22"/>
        </w:rPr>
        <w:t>(taxiway)</w:t>
      </w:r>
      <w:r w:rsidR="00A97367" w:rsidRPr="009E064B">
        <w:rPr>
          <w:sz w:val="22"/>
          <w:szCs w:val="22"/>
        </w:rPr>
        <w:t xml:space="preserve"> </w:t>
      </w:r>
      <w:r w:rsidR="00DE05DC" w:rsidRPr="009E064B">
        <w:rPr>
          <w:rFonts w:asciiTheme="minorHAnsi" w:hAnsiTheme="minorHAnsi" w:cstheme="minorHAnsi"/>
          <w:sz w:val="22"/>
          <w:szCs w:val="22"/>
        </w:rPr>
        <w:t>oznacza określoną drogę na lotnisku lądowym, wyznaczoną do kołowania statków powietrznych i zapewniającą połączenie między poszczególnymi częściami lotniska, obejmującą:</w:t>
      </w:r>
    </w:p>
    <w:p w14:paraId="27DFD674"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drogę kołowania na</w:t>
      </w:r>
      <w:r w:rsidR="00726E46" w:rsidRPr="009E064B">
        <w:rPr>
          <w:rFonts w:asciiTheme="minorHAnsi" w:hAnsiTheme="minorHAnsi" w:cstheme="minorHAnsi"/>
          <w:sz w:val="22"/>
          <w:szCs w:val="22"/>
        </w:rPr>
        <w:t xml:space="preserve"> stanowisko </w:t>
      </w:r>
      <w:r w:rsidRPr="009E064B">
        <w:rPr>
          <w:rFonts w:asciiTheme="minorHAnsi" w:hAnsiTheme="minorHAnsi" w:cstheme="minorHAnsi"/>
          <w:sz w:val="22"/>
          <w:szCs w:val="22"/>
        </w:rPr>
        <w:t>postojowe,</w:t>
      </w:r>
    </w:p>
    <w:p w14:paraId="5132EFDD"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płytową drogę kołowania,</w:t>
      </w:r>
    </w:p>
    <w:p w14:paraId="2A28D551" w14:textId="77777777" w:rsidR="00DC7DA6" w:rsidRPr="009E064B"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9E064B">
        <w:rPr>
          <w:rFonts w:asciiTheme="minorHAnsi" w:hAnsiTheme="minorHAnsi" w:cstheme="minorHAnsi"/>
          <w:sz w:val="22"/>
          <w:szCs w:val="22"/>
        </w:rPr>
        <w:t>drogę kołowania szybkiego zjazdu;</w:t>
      </w:r>
    </w:p>
    <w:p w14:paraId="7B8C4AB5" w14:textId="53BB455E" w:rsidR="00DC7DA6" w:rsidRPr="009E064B" w:rsidRDefault="00A669F8"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46</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Instrukcje Techniczne</w:t>
      </w:r>
      <w:r w:rsidR="00DE05DC" w:rsidRPr="009E064B">
        <w:rPr>
          <w:rFonts w:asciiTheme="minorHAnsi" w:hAnsiTheme="minorHAnsi" w:cstheme="minorHAnsi"/>
          <w:sz w:val="22"/>
          <w:szCs w:val="22"/>
        </w:rPr>
        <w:t xml:space="preserve">” </w:t>
      </w:r>
      <w:r w:rsidR="00A97367" w:rsidRPr="009E064B">
        <w:rPr>
          <w:rFonts w:asciiTheme="minorHAnsi" w:hAnsiTheme="minorHAnsi" w:cstheme="minorHAnsi"/>
          <w:i/>
          <w:sz w:val="22"/>
          <w:szCs w:val="22"/>
        </w:rPr>
        <w:t>(</w:t>
      </w:r>
      <w:r w:rsidR="00A97367" w:rsidRPr="009E064B">
        <w:rPr>
          <w:i/>
          <w:sz w:val="22"/>
          <w:szCs w:val="22"/>
        </w:rPr>
        <w:t>Technical Instructions)</w:t>
      </w:r>
      <w:r w:rsidR="00A97367" w:rsidRPr="009E064B">
        <w:rPr>
          <w:sz w:val="22"/>
          <w:szCs w:val="22"/>
        </w:rPr>
        <w:t xml:space="preserve"> </w:t>
      </w:r>
      <w:r w:rsidR="00DE05DC" w:rsidRPr="009E064B">
        <w:rPr>
          <w:rFonts w:asciiTheme="minorHAnsi" w:hAnsiTheme="minorHAnsi" w:cstheme="minorHAnsi"/>
          <w:sz w:val="22"/>
          <w:szCs w:val="22"/>
        </w:rPr>
        <w:t>oznaczają ostatnie obowiązujące wydanie „Instrukcji technicznych dla bezpiecznego trans­ portu materiałów niebezpiecznych drogą powietrzną” (Doc 9284-AN/905), łącznie z suplementem oraz wszelkimi dodatkami, zatwierdzone i opublikowane przez Organizację Międzynarodowego Lotnictwa Cywilnego;</w:t>
      </w:r>
    </w:p>
    <w:p w14:paraId="501AEA21" w14:textId="6F4A358A" w:rsidR="00DC7DA6" w:rsidRPr="009E064B" w:rsidRDefault="00A669F8"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47</w:t>
      </w:r>
      <w:r w:rsidR="009B2A41" w:rsidRPr="009E064B">
        <w:rPr>
          <w:rFonts w:asciiTheme="minorHAnsi" w:hAnsiTheme="minorHAnsi" w:cstheme="minorHAnsi"/>
          <w:sz w:val="22"/>
          <w:szCs w:val="22"/>
        </w:rPr>
        <w:t xml:space="preserve">) </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warunki certyfikatu</w:t>
      </w:r>
      <w:r w:rsidR="00DE05DC" w:rsidRPr="009E064B">
        <w:rPr>
          <w:rFonts w:asciiTheme="minorHAnsi" w:hAnsiTheme="minorHAnsi" w:cstheme="minorHAnsi"/>
          <w:sz w:val="22"/>
          <w:szCs w:val="22"/>
        </w:rPr>
        <w:t xml:space="preserve">” </w:t>
      </w:r>
      <w:r w:rsidR="00A97367" w:rsidRPr="009E064B">
        <w:rPr>
          <w:i/>
          <w:sz w:val="22"/>
          <w:szCs w:val="22"/>
        </w:rPr>
        <w:t>(terms of the certificate)</w:t>
      </w:r>
      <w:r w:rsidR="00A97367" w:rsidRPr="009E064B">
        <w:rPr>
          <w:sz w:val="22"/>
          <w:szCs w:val="22"/>
        </w:rPr>
        <w:t xml:space="preserve"> </w:t>
      </w:r>
      <w:r w:rsidR="00DE05DC" w:rsidRPr="009E064B">
        <w:rPr>
          <w:rFonts w:asciiTheme="minorHAnsi" w:hAnsiTheme="minorHAnsi" w:cstheme="minorHAnsi"/>
          <w:sz w:val="22"/>
          <w:szCs w:val="22"/>
        </w:rPr>
        <w:t>oznaczają następujące informacje:</w:t>
      </w:r>
    </w:p>
    <w:p w14:paraId="3559D89A" w14:textId="1BFFB49A" w:rsidR="00A97367" w:rsidRPr="009E064B" w:rsidRDefault="00DE05DC" w:rsidP="00A97367">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oznaczenie lokalizacji ICAO</w:t>
      </w:r>
      <w:r w:rsidR="00A97367" w:rsidRPr="009E064B">
        <w:rPr>
          <w:rFonts w:asciiTheme="minorHAnsi" w:hAnsiTheme="minorHAnsi" w:cstheme="minorHAnsi"/>
          <w:sz w:val="22"/>
          <w:szCs w:val="22"/>
        </w:rPr>
        <w:t xml:space="preserve"> </w:t>
      </w:r>
      <w:r w:rsidR="00A97367" w:rsidRPr="009E064B">
        <w:rPr>
          <w:rFonts w:asciiTheme="minorHAnsi" w:hAnsiTheme="minorHAnsi" w:cstheme="minorHAnsi"/>
          <w:i/>
          <w:sz w:val="22"/>
          <w:szCs w:val="22"/>
        </w:rPr>
        <w:t>(ICAO location indicator)</w:t>
      </w:r>
      <w:r w:rsidR="00A97367" w:rsidRPr="009E064B">
        <w:rPr>
          <w:rFonts w:asciiTheme="minorHAnsi" w:hAnsiTheme="minorHAnsi" w:cstheme="minorHAnsi"/>
          <w:sz w:val="22"/>
          <w:szCs w:val="22"/>
        </w:rPr>
        <w:t>,</w:t>
      </w:r>
    </w:p>
    <w:p w14:paraId="6ED14DE0"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warunki prowadzenia operacji (VFR/IFR, w dzień/w nocy),</w:t>
      </w:r>
    </w:p>
    <w:p w14:paraId="6EA576CB"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droga startowa – długości deklarowane,</w:t>
      </w:r>
    </w:p>
    <w:p w14:paraId="5CCB43A7"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rodzaje dróg startowych i zapewniane podejścia,</w:t>
      </w:r>
    </w:p>
    <w:p w14:paraId="7CEF4BE2" w14:textId="032FFA3F" w:rsidR="00DC7DA6" w:rsidRPr="009E064B" w:rsidRDefault="00DE05DC" w:rsidP="00A97367">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kod referencyjny lotniska</w:t>
      </w:r>
      <w:r w:rsidR="00A97367" w:rsidRPr="009E064B">
        <w:rPr>
          <w:rFonts w:asciiTheme="minorHAnsi" w:hAnsiTheme="minorHAnsi" w:cstheme="minorHAnsi"/>
          <w:sz w:val="22"/>
          <w:szCs w:val="22"/>
        </w:rPr>
        <w:t xml:space="preserve"> </w:t>
      </w:r>
      <w:r w:rsidR="00A97367" w:rsidRPr="009E064B">
        <w:rPr>
          <w:rFonts w:asciiTheme="minorHAnsi" w:hAnsiTheme="minorHAnsi" w:cstheme="minorHAnsi"/>
          <w:i/>
          <w:sz w:val="22"/>
          <w:szCs w:val="22"/>
        </w:rPr>
        <w:t>(aerodrome reference code)</w:t>
      </w:r>
      <w:r w:rsidRPr="009E064B">
        <w:rPr>
          <w:rFonts w:asciiTheme="minorHAnsi" w:hAnsiTheme="minorHAnsi" w:cstheme="minorHAnsi"/>
          <w:sz w:val="22"/>
          <w:szCs w:val="22"/>
        </w:rPr>
        <w:t>,</w:t>
      </w:r>
    </w:p>
    <w:p w14:paraId="033F24BA" w14:textId="77777777"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zakres operacji statków powietrznych o wyższej literze kodu referencyjnego lotniska,</w:t>
      </w:r>
    </w:p>
    <w:p w14:paraId="28709E5B" w14:textId="16EFDE78" w:rsidR="00DC7DA6" w:rsidRPr="009E064B" w:rsidRDefault="00DE05DC" w:rsidP="00B06A9A">
      <w:pPr>
        <w:pStyle w:val="Tekstpodstawowy"/>
        <w:numPr>
          <w:ilvl w:val="3"/>
          <w:numId w:val="1"/>
        </w:numPr>
        <w:tabs>
          <w:tab w:val="left" w:pos="993"/>
        </w:tabs>
        <w:ind w:left="993" w:right="-2" w:hanging="426"/>
        <w:rPr>
          <w:rFonts w:asciiTheme="minorHAnsi" w:hAnsiTheme="minorHAnsi" w:cstheme="minorHAnsi"/>
          <w:sz w:val="22"/>
          <w:szCs w:val="22"/>
        </w:rPr>
      </w:pPr>
      <w:r w:rsidRPr="009E064B">
        <w:rPr>
          <w:rFonts w:asciiTheme="minorHAnsi" w:hAnsiTheme="minorHAnsi" w:cstheme="minorHAnsi"/>
          <w:sz w:val="22"/>
          <w:szCs w:val="22"/>
        </w:rPr>
        <w:t xml:space="preserve">zapewnienie służb zarządzania płytą postojową </w:t>
      </w:r>
      <w:r w:rsidR="00A97367" w:rsidRPr="009E064B">
        <w:rPr>
          <w:rFonts w:asciiTheme="minorHAnsi" w:hAnsiTheme="minorHAnsi" w:cstheme="minorHAnsi"/>
          <w:i/>
          <w:sz w:val="22"/>
          <w:szCs w:val="22"/>
        </w:rPr>
        <w:t>(Apron Management Service)</w:t>
      </w:r>
      <w:r w:rsidR="00A97367" w:rsidRPr="009E064B">
        <w:rPr>
          <w:rFonts w:asciiTheme="minorHAnsi" w:hAnsiTheme="minorHAnsi" w:cstheme="minorHAnsi"/>
          <w:sz w:val="22"/>
          <w:szCs w:val="22"/>
        </w:rPr>
        <w:t xml:space="preserve"> </w:t>
      </w:r>
      <w:r w:rsidR="00A669F8" w:rsidRPr="009E064B">
        <w:rPr>
          <w:rFonts w:asciiTheme="minorHAnsi" w:hAnsiTheme="minorHAnsi" w:cstheme="minorHAnsi"/>
          <w:sz w:val="22"/>
          <w:szCs w:val="22"/>
        </w:rPr>
        <w:t>(Tak/N</w:t>
      </w:r>
      <w:r w:rsidRPr="009E064B">
        <w:rPr>
          <w:rFonts w:asciiTheme="minorHAnsi" w:hAnsiTheme="minorHAnsi" w:cstheme="minorHAnsi"/>
          <w:sz w:val="22"/>
          <w:szCs w:val="22"/>
        </w:rPr>
        <w:t>ie),</w:t>
      </w:r>
    </w:p>
    <w:p w14:paraId="0377D80A" w14:textId="79D0DC64" w:rsidR="00DC7DA6" w:rsidRPr="009E064B" w:rsidRDefault="00DE05DC" w:rsidP="003744C3">
      <w:pPr>
        <w:pStyle w:val="Tekstpodstawowy"/>
        <w:numPr>
          <w:ilvl w:val="3"/>
          <w:numId w:val="1"/>
        </w:numPr>
        <w:tabs>
          <w:tab w:val="left" w:pos="993"/>
        </w:tabs>
        <w:spacing w:after="200"/>
        <w:ind w:left="992" w:hanging="425"/>
        <w:rPr>
          <w:rFonts w:asciiTheme="minorHAnsi" w:hAnsiTheme="minorHAnsi" w:cstheme="minorHAnsi"/>
          <w:sz w:val="22"/>
          <w:szCs w:val="22"/>
        </w:rPr>
      </w:pPr>
      <w:r w:rsidRPr="009E064B">
        <w:rPr>
          <w:rFonts w:asciiTheme="minorHAnsi" w:hAnsiTheme="minorHAnsi" w:cstheme="minorHAnsi"/>
          <w:sz w:val="22"/>
          <w:szCs w:val="22"/>
        </w:rPr>
        <w:t xml:space="preserve">poziom ochrony </w:t>
      </w:r>
      <w:r w:rsidR="00F21C0E" w:rsidRPr="009E064B">
        <w:rPr>
          <w:rFonts w:asciiTheme="minorHAnsi" w:hAnsiTheme="minorHAnsi" w:cstheme="minorHAnsi"/>
          <w:sz w:val="22"/>
          <w:szCs w:val="22"/>
        </w:rPr>
        <w:t xml:space="preserve">w </w:t>
      </w:r>
      <w:r w:rsidRPr="009E064B">
        <w:rPr>
          <w:rFonts w:asciiTheme="minorHAnsi" w:hAnsiTheme="minorHAnsi" w:cstheme="minorHAnsi"/>
          <w:sz w:val="22"/>
          <w:szCs w:val="22"/>
        </w:rPr>
        <w:t>zakresie służby ratowniczo-gaśniczej;</w:t>
      </w:r>
    </w:p>
    <w:p w14:paraId="1E52CB46" w14:textId="1242E690" w:rsidR="000A4947" w:rsidRDefault="00656D3E" w:rsidP="00656D3E">
      <w:pPr>
        <w:tabs>
          <w:tab w:val="left" w:pos="567"/>
        </w:tabs>
        <w:spacing w:after="160"/>
        <w:ind w:left="567"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47a)</w:t>
      </w:r>
      <w:r w:rsidR="00D50499" w:rsidRPr="00BA5A82">
        <w:rPr>
          <w:rStyle w:val="Odwoanieprzypisudolnego"/>
          <w:rFonts w:asciiTheme="minorHAnsi" w:eastAsia="Times New Roman" w:hAnsiTheme="minorHAnsi" w:cstheme="minorHAnsi"/>
          <w:bCs/>
          <w:szCs w:val="20"/>
        </w:rPr>
        <w:footnoteReference w:id="13"/>
      </w:r>
      <w:r w:rsidRPr="00BA5A82">
        <w:rPr>
          <w:rFonts w:asciiTheme="minorHAnsi" w:eastAsia="Times New Roman" w:hAnsiTheme="minorHAnsi" w:cstheme="minorHAnsi"/>
          <w:bCs/>
          <w:szCs w:val="20"/>
        </w:rPr>
        <w:t xml:space="preserve"> „</w:t>
      </w:r>
      <w:r w:rsidRPr="00BA5A82">
        <w:rPr>
          <w:rFonts w:asciiTheme="minorHAnsi" w:eastAsia="Times New Roman" w:hAnsiTheme="minorHAnsi" w:cstheme="minorHAnsi"/>
          <w:b/>
          <w:bCs/>
          <w:szCs w:val="20"/>
        </w:rPr>
        <w:t>operacja podejścia według wskazań przyrządów typu A</w:t>
      </w:r>
      <w:r w:rsidRPr="00BA5A82">
        <w:rPr>
          <w:rFonts w:asciiTheme="minorHAnsi" w:eastAsia="Times New Roman" w:hAnsiTheme="minorHAnsi" w:cstheme="minorHAnsi"/>
          <w:bCs/>
          <w:szCs w:val="20"/>
        </w:rPr>
        <w:t xml:space="preserve">” </w:t>
      </w:r>
      <w:r w:rsidR="006C5F2A" w:rsidRPr="00BA5A82">
        <w:rPr>
          <w:rFonts w:asciiTheme="minorHAnsi" w:eastAsia="Times New Roman" w:hAnsiTheme="minorHAnsi" w:cstheme="minorHAnsi"/>
          <w:bCs/>
          <w:i/>
          <w:szCs w:val="20"/>
        </w:rPr>
        <w:t xml:space="preserve">(type A instrument approach operation) </w:t>
      </w:r>
      <w:r w:rsidRPr="00BA5A82">
        <w:rPr>
          <w:rFonts w:asciiTheme="minorHAnsi" w:eastAsia="Times New Roman" w:hAnsiTheme="minorHAnsi" w:cstheme="minorHAnsi"/>
          <w:bCs/>
          <w:szCs w:val="20"/>
        </w:rPr>
        <w:t xml:space="preserve">oznacza operację podejścia według wskazań przyrządów przy minimalnej wysokości względnej zniżania lub wysokości względnej decyzji nie mniejszej niż 75 m (250 stóp); </w:t>
      </w:r>
    </w:p>
    <w:p w14:paraId="2B93ED05" w14:textId="77777777" w:rsidR="000A4947" w:rsidRDefault="000A4947">
      <w:pPr>
        <w:spacing w:after="0"/>
        <w:jc w:val="left"/>
        <w:rPr>
          <w:rFonts w:asciiTheme="minorHAnsi" w:eastAsia="Times New Roman" w:hAnsiTheme="minorHAnsi" w:cstheme="minorHAnsi"/>
          <w:bCs/>
          <w:szCs w:val="20"/>
        </w:rPr>
      </w:pPr>
      <w:r>
        <w:rPr>
          <w:rFonts w:asciiTheme="minorHAnsi" w:eastAsia="Times New Roman" w:hAnsiTheme="minorHAnsi" w:cstheme="minorHAnsi"/>
          <w:bCs/>
          <w:szCs w:val="20"/>
        </w:rPr>
        <w:br w:type="page"/>
      </w:r>
    </w:p>
    <w:p w14:paraId="694CF11A" w14:textId="737C2E6C" w:rsidR="00656D3E" w:rsidRPr="00BA5A82" w:rsidRDefault="00656D3E" w:rsidP="00656D3E">
      <w:pPr>
        <w:tabs>
          <w:tab w:val="left" w:pos="567"/>
        </w:tabs>
        <w:spacing w:after="160"/>
        <w:ind w:left="567"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47b)</w:t>
      </w:r>
      <w:r w:rsidR="00D50499" w:rsidRPr="00BA5A82">
        <w:rPr>
          <w:rStyle w:val="Odwoanieprzypisudolnego"/>
          <w:rFonts w:asciiTheme="minorHAnsi" w:eastAsia="Times New Roman" w:hAnsiTheme="minorHAnsi" w:cstheme="minorHAnsi"/>
          <w:bCs/>
          <w:szCs w:val="20"/>
        </w:rPr>
        <w:footnoteReference w:id="14"/>
      </w:r>
      <w:r w:rsidRPr="00BA5A82">
        <w:rPr>
          <w:rFonts w:asciiTheme="minorHAnsi" w:eastAsia="Times New Roman" w:hAnsiTheme="minorHAnsi" w:cstheme="minorHAnsi"/>
          <w:bCs/>
          <w:szCs w:val="20"/>
        </w:rPr>
        <w:t xml:space="preserve"> „</w:t>
      </w:r>
      <w:r w:rsidRPr="00BA5A82">
        <w:rPr>
          <w:rFonts w:asciiTheme="minorHAnsi" w:eastAsia="Times New Roman" w:hAnsiTheme="minorHAnsi" w:cstheme="minorHAnsi"/>
          <w:b/>
          <w:bCs/>
          <w:szCs w:val="20"/>
        </w:rPr>
        <w:t>operacja podejścia według wskazań przyrządów typu B</w:t>
      </w:r>
      <w:r w:rsidRPr="00BA5A82">
        <w:rPr>
          <w:rFonts w:asciiTheme="minorHAnsi" w:eastAsia="Times New Roman" w:hAnsiTheme="minorHAnsi" w:cstheme="minorHAnsi"/>
          <w:bCs/>
          <w:szCs w:val="20"/>
        </w:rPr>
        <w:t>”</w:t>
      </w:r>
      <w:r w:rsidR="00EB079B" w:rsidRPr="00BA5A82">
        <w:rPr>
          <w:rFonts w:asciiTheme="minorHAnsi" w:eastAsia="Times New Roman" w:hAnsiTheme="minorHAnsi" w:cstheme="minorHAnsi"/>
          <w:bCs/>
          <w:szCs w:val="20"/>
          <w:vertAlign w:val="superscript"/>
        </w:rPr>
        <w:t>13</w:t>
      </w:r>
      <w:r w:rsidRPr="00BA5A82">
        <w:rPr>
          <w:rFonts w:asciiTheme="minorHAnsi" w:eastAsia="Times New Roman" w:hAnsiTheme="minorHAnsi" w:cstheme="minorHAnsi"/>
          <w:bCs/>
          <w:szCs w:val="20"/>
        </w:rPr>
        <w:t xml:space="preserve"> </w:t>
      </w:r>
      <w:r w:rsidR="006C5F2A" w:rsidRPr="00BA5A82">
        <w:rPr>
          <w:rFonts w:asciiTheme="minorHAnsi" w:eastAsia="Times New Roman" w:hAnsiTheme="minorHAnsi" w:cstheme="minorHAnsi"/>
          <w:bCs/>
          <w:i/>
          <w:szCs w:val="20"/>
        </w:rPr>
        <w:t xml:space="preserve">(type B instrument approach operation) </w:t>
      </w:r>
      <w:r w:rsidRPr="00BA5A82">
        <w:rPr>
          <w:rFonts w:asciiTheme="minorHAnsi" w:eastAsia="Times New Roman" w:hAnsiTheme="minorHAnsi" w:cstheme="minorHAnsi"/>
          <w:bCs/>
          <w:szCs w:val="20"/>
        </w:rPr>
        <w:t xml:space="preserve">oznacza operację podejścia według wskazań przyrządów przy wysokości względnej decyzji mniejszej niż 75 m (250 stóp). Operacje podejścia według wskazań przyrządów typu B dzieli się na następujące kategorie: </w:t>
      </w:r>
    </w:p>
    <w:p w14:paraId="47CA66E2" w14:textId="513E4ADB" w:rsidR="00656D3E" w:rsidRPr="00BA5A82" w:rsidRDefault="00656D3E" w:rsidP="00656D3E">
      <w:pPr>
        <w:tabs>
          <w:tab w:val="left" w:pos="1134"/>
        </w:tabs>
        <w:spacing w:after="160"/>
        <w:ind w:left="1134"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 xml:space="preserve">1. </w:t>
      </w:r>
      <w:r w:rsidRPr="00BA5A82">
        <w:rPr>
          <w:rFonts w:asciiTheme="minorHAnsi" w:eastAsia="Times New Roman" w:hAnsiTheme="minorHAnsi" w:cstheme="minorHAnsi"/>
          <w:bCs/>
          <w:szCs w:val="20"/>
        </w:rPr>
        <w:tab/>
      </w:r>
      <w:r w:rsidRPr="00BA5A82">
        <w:rPr>
          <w:rFonts w:asciiTheme="minorHAnsi" w:eastAsia="Times New Roman" w:hAnsiTheme="minorHAnsi" w:cstheme="minorHAnsi"/>
          <w:b/>
          <w:bCs/>
          <w:szCs w:val="20"/>
        </w:rPr>
        <w:t>kategoria I (CAT I)</w:t>
      </w:r>
      <w:r w:rsidRPr="00BA5A82">
        <w:rPr>
          <w:rFonts w:asciiTheme="minorHAnsi" w:eastAsia="Times New Roman" w:hAnsiTheme="minorHAnsi" w:cstheme="minorHAnsi"/>
          <w:bCs/>
          <w:szCs w:val="20"/>
        </w:rPr>
        <w:t xml:space="preserve">: wysokość względna decyzji nie mniejsza niż 60 m (200 stóp) przy widzialności nie mniejszej niż 800 m albo zasięgu widzialności wzdłuż drogi startowej nie </w:t>
      </w:r>
      <w:r w:rsidR="00BA5A82" w:rsidRPr="00BA5A82">
        <w:rPr>
          <w:rFonts w:asciiTheme="minorHAnsi" w:eastAsia="Times New Roman" w:hAnsiTheme="minorHAnsi" w:cstheme="minorHAnsi"/>
          <w:bCs/>
          <w:szCs w:val="20"/>
        </w:rPr>
        <w:t>mniejszym niż 550 m;</w:t>
      </w:r>
    </w:p>
    <w:p w14:paraId="3AD9D048" w14:textId="6FB8A5F2" w:rsidR="00656D3E" w:rsidRPr="00BA5A82" w:rsidRDefault="00656D3E" w:rsidP="00656D3E">
      <w:pPr>
        <w:tabs>
          <w:tab w:val="left" w:pos="1134"/>
        </w:tabs>
        <w:spacing w:after="160"/>
        <w:ind w:left="1134"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 xml:space="preserve">2. </w:t>
      </w:r>
      <w:r w:rsidRPr="00BA5A82">
        <w:rPr>
          <w:rFonts w:asciiTheme="minorHAnsi" w:eastAsia="Times New Roman" w:hAnsiTheme="minorHAnsi" w:cstheme="minorHAnsi"/>
          <w:bCs/>
          <w:szCs w:val="20"/>
        </w:rPr>
        <w:tab/>
      </w:r>
      <w:r w:rsidRPr="00BA5A82">
        <w:rPr>
          <w:rFonts w:asciiTheme="minorHAnsi" w:eastAsia="Times New Roman" w:hAnsiTheme="minorHAnsi" w:cstheme="minorHAnsi"/>
          <w:b/>
          <w:bCs/>
          <w:szCs w:val="20"/>
        </w:rPr>
        <w:t>kategoria II (CAT II)</w:t>
      </w:r>
      <w:r w:rsidRPr="00BA5A82">
        <w:rPr>
          <w:rFonts w:asciiTheme="minorHAnsi" w:eastAsia="Times New Roman" w:hAnsiTheme="minorHAnsi" w:cstheme="minorHAnsi"/>
          <w:bCs/>
          <w:szCs w:val="20"/>
        </w:rPr>
        <w:t>: wysokość względna decyzji mniejsza niż 60 m (200 stóp), ale nie mniejsza niż 30 m (100 stóp), przy zasięgu widzialności wzdłuż drogi sta</w:t>
      </w:r>
      <w:r w:rsidR="00BA5A82" w:rsidRPr="00BA5A82">
        <w:rPr>
          <w:rFonts w:asciiTheme="minorHAnsi" w:eastAsia="Times New Roman" w:hAnsiTheme="minorHAnsi" w:cstheme="minorHAnsi"/>
          <w:bCs/>
          <w:szCs w:val="20"/>
        </w:rPr>
        <w:t>rtowej nie mniejszym niż 300 m;</w:t>
      </w:r>
    </w:p>
    <w:p w14:paraId="51182E60" w14:textId="3C6E82E6" w:rsidR="00656D3E" w:rsidRPr="00BA5A82" w:rsidRDefault="00656D3E" w:rsidP="00656D3E">
      <w:pPr>
        <w:tabs>
          <w:tab w:val="left" w:pos="1134"/>
        </w:tabs>
        <w:spacing w:after="160"/>
        <w:ind w:left="1134"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 xml:space="preserve">3. </w:t>
      </w:r>
      <w:r w:rsidRPr="00BA5A82">
        <w:rPr>
          <w:rFonts w:asciiTheme="minorHAnsi" w:eastAsia="Times New Roman" w:hAnsiTheme="minorHAnsi" w:cstheme="minorHAnsi"/>
          <w:bCs/>
          <w:szCs w:val="20"/>
        </w:rPr>
        <w:tab/>
      </w:r>
      <w:r w:rsidRPr="00BA5A82">
        <w:rPr>
          <w:rFonts w:asciiTheme="minorHAnsi" w:eastAsia="Times New Roman" w:hAnsiTheme="minorHAnsi" w:cstheme="minorHAnsi"/>
          <w:b/>
          <w:bCs/>
          <w:szCs w:val="20"/>
        </w:rPr>
        <w:t>kategoria IIIA (CAT IIIA)</w:t>
      </w:r>
      <w:r w:rsidRPr="00BA5A82">
        <w:rPr>
          <w:rFonts w:asciiTheme="minorHAnsi" w:eastAsia="Times New Roman" w:hAnsiTheme="minorHAnsi" w:cstheme="minorHAnsi"/>
          <w:bCs/>
          <w:szCs w:val="20"/>
        </w:rPr>
        <w:t>: wysokość względna decyzji mniejsza niż 30 m (100 stóp) bądź bez wysokości względnej decyzji i przy zasięgu widzialności wzdłuż drogi sta</w:t>
      </w:r>
      <w:r w:rsidR="00BA5A82" w:rsidRPr="00BA5A82">
        <w:rPr>
          <w:rFonts w:asciiTheme="minorHAnsi" w:eastAsia="Times New Roman" w:hAnsiTheme="minorHAnsi" w:cstheme="minorHAnsi"/>
          <w:bCs/>
          <w:szCs w:val="20"/>
        </w:rPr>
        <w:t>rtowej nie mniejszym niż 175 m;</w:t>
      </w:r>
    </w:p>
    <w:p w14:paraId="27B7F903" w14:textId="7426C55D" w:rsidR="00656D3E" w:rsidRPr="00BA5A82" w:rsidRDefault="00656D3E" w:rsidP="00656D3E">
      <w:pPr>
        <w:tabs>
          <w:tab w:val="left" w:pos="1134"/>
        </w:tabs>
        <w:spacing w:after="160"/>
        <w:ind w:left="1134" w:hanging="567"/>
        <w:rPr>
          <w:rFonts w:asciiTheme="minorHAnsi" w:eastAsia="Times New Roman" w:hAnsiTheme="minorHAnsi" w:cstheme="minorHAnsi"/>
          <w:bCs/>
          <w:szCs w:val="20"/>
        </w:rPr>
      </w:pPr>
      <w:r w:rsidRPr="00BA5A82">
        <w:rPr>
          <w:rFonts w:asciiTheme="minorHAnsi" w:eastAsia="Times New Roman" w:hAnsiTheme="minorHAnsi" w:cstheme="minorHAnsi"/>
          <w:bCs/>
          <w:szCs w:val="20"/>
        </w:rPr>
        <w:t xml:space="preserve">4. </w:t>
      </w:r>
      <w:r w:rsidRPr="00BA5A82">
        <w:rPr>
          <w:rFonts w:asciiTheme="minorHAnsi" w:eastAsia="Times New Roman" w:hAnsiTheme="minorHAnsi" w:cstheme="minorHAnsi"/>
          <w:bCs/>
          <w:szCs w:val="20"/>
        </w:rPr>
        <w:tab/>
      </w:r>
      <w:r w:rsidRPr="00BA5A82">
        <w:rPr>
          <w:rFonts w:asciiTheme="minorHAnsi" w:eastAsia="Times New Roman" w:hAnsiTheme="minorHAnsi" w:cstheme="minorHAnsi"/>
          <w:b/>
          <w:bCs/>
          <w:szCs w:val="20"/>
        </w:rPr>
        <w:t>kategoria IIIB (CAT IIIB)</w:t>
      </w:r>
      <w:r w:rsidRPr="00BA5A82">
        <w:rPr>
          <w:rFonts w:asciiTheme="minorHAnsi" w:eastAsia="Times New Roman" w:hAnsiTheme="minorHAnsi" w:cstheme="minorHAnsi"/>
          <w:bCs/>
          <w:szCs w:val="20"/>
        </w:rPr>
        <w:t xml:space="preserve">: wysokość względna decyzji mniejsza niż 15 m (50 stóp) bądź bez wysokości względnej decyzji i przy zasięgu widzialności wzdłuż drogi startowej mniejszym niż 175 m, ale </w:t>
      </w:r>
      <w:r w:rsidR="00BA5A82" w:rsidRPr="00BA5A82">
        <w:rPr>
          <w:rFonts w:asciiTheme="minorHAnsi" w:eastAsia="Times New Roman" w:hAnsiTheme="minorHAnsi" w:cstheme="minorHAnsi"/>
          <w:bCs/>
          <w:szCs w:val="20"/>
        </w:rPr>
        <w:t>nie mniejszym niż 50 m;</w:t>
      </w:r>
    </w:p>
    <w:p w14:paraId="5CA3DF50" w14:textId="57D89D4A" w:rsidR="00656D3E" w:rsidRPr="009E064B" w:rsidRDefault="00656D3E" w:rsidP="00EB079B">
      <w:pPr>
        <w:tabs>
          <w:tab w:val="left" w:pos="1134"/>
        </w:tabs>
        <w:spacing w:after="160"/>
        <w:ind w:left="1134" w:hanging="567"/>
        <w:rPr>
          <w:rFonts w:asciiTheme="minorHAnsi" w:hAnsiTheme="minorHAnsi" w:cstheme="minorHAnsi"/>
        </w:rPr>
      </w:pPr>
      <w:r w:rsidRPr="00BA5A82">
        <w:rPr>
          <w:rFonts w:asciiTheme="minorHAnsi" w:eastAsia="Times New Roman" w:hAnsiTheme="minorHAnsi" w:cstheme="minorHAnsi"/>
          <w:bCs/>
          <w:szCs w:val="20"/>
        </w:rPr>
        <w:t xml:space="preserve">5. </w:t>
      </w:r>
      <w:r w:rsidRPr="00BA5A82">
        <w:rPr>
          <w:rFonts w:asciiTheme="minorHAnsi" w:eastAsia="Times New Roman" w:hAnsiTheme="minorHAnsi" w:cstheme="minorHAnsi"/>
          <w:bCs/>
          <w:szCs w:val="20"/>
        </w:rPr>
        <w:tab/>
      </w:r>
      <w:r w:rsidRPr="00BA5A82">
        <w:rPr>
          <w:rFonts w:asciiTheme="minorHAnsi" w:eastAsia="Times New Roman" w:hAnsiTheme="minorHAnsi" w:cstheme="minorHAnsi"/>
          <w:b/>
          <w:bCs/>
          <w:szCs w:val="20"/>
        </w:rPr>
        <w:t>kategoria IIIC (CAT IIIC)</w:t>
      </w:r>
      <w:r w:rsidRPr="00BA5A82">
        <w:rPr>
          <w:rFonts w:asciiTheme="minorHAnsi" w:eastAsia="Times New Roman" w:hAnsiTheme="minorHAnsi" w:cstheme="minorHAnsi"/>
          <w:bCs/>
          <w:szCs w:val="20"/>
        </w:rPr>
        <w:t>: bez wysokości względnej decyzji i bez ograniczenia dotyczącego zasięgu widzialności wzdłuż drogi startowej;</w:t>
      </w:r>
    </w:p>
    <w:p w14:paraId="27A7ACFC" w14:textId="64976683" w:rsidR="00DC7DA6" w:rsidRPr="009E064B" w:rsidRDefault="00A669F8" w:rsidP="003744C3">
      <w:pPr>
        <w:pStyle w:val="Tekstpodstawowy"/>
        <w:tabs>
          <w:tab w:val="left" w:pos="567"/>
        </w:tabs>
        <w:spacing w:after="200"/>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7B2130" w:rsidRPr="009E064B">
        <w:rPr>
          <w:rFonts w:asciiTheme="minorHAnsi" w:hAnsiTheme="minorHAnsi" w:cstheme="minorHAnsi"/>
          <w:sz w:val="22"/>
          <w:szCs w:val="22"/>
        </w:rPr>
        <w:t>48</w:t>
      </w:r>
      <w:r w:rsidR="009B2A41" w:rsidRPr="009E064B">
        <w:rPr>
          <w:rFonts w:asciiTheme="minorHAnsi" w:hAnsiTheme="minorHAnsi" w:cstheme="minorHAnsi"/>
          <w:sz w:val="22"/>
          <w:szCs w:val="22"/>
        </w:rPr>
        <w:t>)</w:t>
      </w:r>
      <w:r w:rsidR="00F21C0E" w:rsidRPr="009E064B">
        <w:rPr>
          <w:rFonts w:asciiTheme="minorHAnsi" w:hAnsiTheme="minorHAnsi" w:cstheme="minorHAnsi"/>
          <w:sz w:val="22"/>
          <w:szCs w:val="22"/>
        </w:rPr>
        <w:tab/>
      </w:r>
      <w:r w:rsidR="00DE05DC" w:rsidRPr="009E064B">
        <w:rPr>
          <w:rFonts w:asciiTheme="minorHAnsi" w:hAnsiTheme="minorHAnsi" w:cstheme="minorHAnsi"/>
          <w:sz w:val="22"/>
          <w:szCs w:val="22"/>
        </w:rPr>
        <w:t>„</w:t>
      </w:r>
      <w:r w:rsidR="00DE05DC" w:rsidRPr="009E064B">
        <w:rPr>
          <w:rFonts w:asciiTheme="minorHAnsi" w:hAnsiTheme="minorHAnsi" w:cstheme="minorHAnsi"/>
          <w:b/>
          <w:sz w:val="22"/>
          <w:szCs w:val="22"/>
        </w:rPr>
        <w:t>pomoce wzrokowe</w:t>
      </w:r>
      <w:r w:rsidR="00DE05DC" w:rsidRPr="009E064B">
        <w:rPr>
          <w:rFonts w:asciiTheme="minorHAnsi" w:hAnsiTheme="minorHAnsi" w:cstheme="minorHAnsi"/>
          <w:sz w:val="22"/>
          <w:szCs w:val="22"/>
        </w:rPr>
        <w:t>”</w:t>
      </w:r>
      <w:r w:rsidR="00DE05DC" w:rsidRPr="009E064B">
        <w:rPr>
          <w:rFonts w:asciiTheme="minorHAnsi" w:hAnsiTheme="minorHAnsi" w:cstheme="minorHAnsi"/>
          <w:i/>
          <w:sz w:val="22"/>
          <w:szCs w:val="22"/>
        </w:rPr>
        <w:t xml:space="preserve"> </w:t>
      </w:r>
      <w:r w:rsidR="00A97367" w:rsidRPr="009E064B">
        <w:rPr>
          <w:i/>
          <w:sz w:val="22"/>
          <w:szCs w:val="22"/>
        </w:rPr>
        <w:t>(visual aids)</w:t>
      </w:r>
      <w:r w:rsidR="00A97367" w:rsidRPr="009E064B">
        <w:rPr>
          <w:sz w:val="22"/>
          <w:szCs w:val="22"/>
        </w:rPr>
        <w:t xml:space="preserve"> </w:t>
      </w:r>
      <w:r w:rsidR="00DE05DC" w:rsidRPr="009E064B">
        <w:rPr>
          <w:rFonts w:asciiTheme="minorHAnsi" w:hAnsiTheme="minorHAnsi" w:cstheme="minorHAnsi"/>
          <w:sz w:val="22"/>
          <w:szCs w:val="22"/>
        </w:rPr>
        <w:t>oznaczają wskaźniki i urządzenia sygnalizacyjne, oznakowanie poziome, światła, znaki pionowe i oznaczniki lub ich połączenie.</w:t>
      </w:r>
    </w:p>
    <w:p w14:paraId="3B7D4876" w14:textId="77777777" w:rsidR="0082354E" w:rsidRPr="009E064B" w:rsidRDefault="0082354E" w:rsidP="00B06A9A">
      <w:pPr>
        <w:pStyle w:val="Tekstpodstawowy"/>
        <w:tabs>
          <w:tab w:val="left" w:pos="567"/>
        </w:tabs>
        <w:ind w:left="567" w:right="-2" w:hanging="567"/>
        <w:rPr>
          <w:rFonts w:asciiTheme="minorHAnsi" w:hAnsiTheme="minorHAnsi" w:cstheme="minorHAnsi"/>
          <w:sz w:val="22"/>
          <w:szCs w:val="22"/>
        </w:rPr>
      </w:pPr>
    </w:p>
    <w:p w14:paraId="20D4F8EC" w14:textId="77777777" w:rsidR="0082354E" w:rsidRPr="009E064B" w:rsidRDefault="0082354E" w:rsidP="00B06A9A">
      <w:pPr>
        <w:pStyle w:val="Tekstpodstawowy"/>
        <w:tabs>
          <w:tab w:val="left" w:pos="1438"/>
        </w:tabs>
        <w:ind w:left="0" w:right="-2" w:hanging="20"/>
        <w:rPr>
          <w:rFonts w:asciiTheme="minorHAnsi" w:hAnsiTheme="minorHAnsi" w:cstheme="minorHAnsi"/>
          <w:sz w:val="20"/>
          <w:szCs w:val="20"/>
        </w:rPr>
        <w:sectPr w:rsidR="0082354E" w:rsidRPr="009E064B" w:rsidSect="00AE1280">
          <w:headerReference w:type="default" r:id="rId44"/>
          <w:footerReference w:type="default" r:id="rId45"/>
          <w:headerReference w:type="first" r:id="rId46"/>
          <w:footerReference w:type="first" r:id="rId47"/>
          <w:pgSz w:w="11906" w:h="16840" w:code="9"/>
          <w:pgMar w:top="1701" w:right="1418" w:bottom="1418" w:left="1418" w:header="567" w:footer="454" w:gutter="0"/>
          <w:cols w:space="708"/>
          <w:titlePg/>
        </w:sectPr>
      </w:pPr>
    </w:p>
    <w:p w14:paraId="66A3FF9C" w14:textId="51255905" w:rsidR="00D1567C" w:rsidRPr="009E064B" w:rsidRDefault="00D1567C" w:rsidP="00B06A9A">
      <w:pPr>
        <w:pStyle w:val="Tekstpodstawowy"/>
        <w:tabs>
          <w:tab w:val="left" w:pos="1438"/>
        </w:tabs>
        <w:ind w:left="0" w:right="-2" w:hanging="20"/>
        <w:rPr>
          <w:rFonts w:asciiTheme="minorHAnsi" w:hAnsiTheme="minorHAnsi" w:cstheme="minorHAnsi"/>
          <w:sz w:val="20"/>
          <w:szCs w:val="20"/>
        </w:rPr>
      </w:pPr>
    </w:p>
    <w:p w14:paraId="30427697" w14:textId="486F5D4C" w:rsidR="00B00776" w:rsidRPr="009E064B" w:rsidRDefault="008C1A13" w:rsidP="00561819">
      <w:pPr>
        <w:pStyle w:val="Nagwek1"/>
      </w:pPr>
      <w:bookmarkStart w:id="28" w:name="_ZAŁĄCZNIK_II_—"/>
      <w:bookmarkStart w:id="29" w:name="_Toc12532537"/>
      <w:bookmarkEnd w:id="28"/>
      <w:r w:rsidRPr="009E064B">
        <w:t>ZAŁĄCZNIK II — CZĘŚĆ ADR.AR</w:t>
      </w:r>
      <w:bookmarkEnd w:id="29"/>
    </w:p>
    <w:p w14:paraId="00CC41D8" w14:textId="77777777" w:rsidR="00DC7DA6" w:rsidRPr="009E064B" w:rsidRDefault="008C1A13" w:rsidP="005707E4">
      <w:pPr>
        <w:spacing w:before="240" w:after="0"/>
        <w:jc w:val="center"/>
        <w:rPr>
          <w:rFonts w:ascii="Verdana" w:hAnsi="Verdana" w:cstheme="minorHAnsi"/>
          <w:b/>
          <w:color w:val="003399"/>
          <w:sz w:val="40"/>
          <w:szCs w:val="40"/>
        </w:rPr>
      </w:pPr>
      <w:r w:rsidRPr="009E064B">
        <w:rPr>
          <w:rFonts w:ascii="Verdana" w:hAnsi="Verdana" w:cstheme="minorHAnsi"/>
          <w:b/>
          <w:color w:val="003399"/>
          <w:sz w:val="40"/>
          <w:szCs w:val="40"/>
        </w:rPr>
        <w:t>WYMAGANIA DLA ORGANÓW — LOTNISKA</w:t>
      </w:r>
    </w:p>
    <w:p w14:paraId="044084B3" w14:textId="14643A60" w:rsidR="00C36D76" w:rsidRPr="009E064B" w:rsidRDefault="00C36D76" w:rsidP="00B06A9A">
      <w:pPr>
        <w:ind w:right="-2"/>
        <w:rPr>
          <w:rFonts w:asciiTheme="minorHAnsi" w:hAnsiTheme="minorHAnsi" w:cstheme="minorHAnsi"/>
          <w:szCs w:val="20"/>
        </w:rPr>
      </w:pPr>
    </w:p>
    <w:p w14:paraId="64203B3B" w14:textId="77777777" w:rsidR="005707E4" w:rsidRPr="009E064B" w:rsidRDefault="005707E4" w:rsidP="00B06A9A">
      <w:pPr>
        <w:ind w:right="-2"/>
        <w:rPr>
          <w:rFonts w:asciiTheme="minorHAnsi" w:hAnsiTheme="minorHAnsi" w:cstheme="minorHAnsi"/>
          <w:szCs w:val="20"/>
        </w:rPr>
      </w:pPr>
    </w:p>
    <w:p w14:paraId="4CE85C9A" w14:textId="72FA9DC4" w:rsidR="00B00776" w:rsidRPr="009E064B" w:rsidRDefault="00602D96" w:rsidP="00020EA3">
      <w:pPr>
        <w:pStyle w:val="Nagwek2"/>
      </w:pPr>
      <w:bookmarkStart w:id="30" w:name="_Toc12532538"/>
      <w:r w:rsidRPr="009E064B">
        <w:t>PODCZĘŚĆ A — WYMAGANIA OGÓLNE (ADR.AR.A)</w:t>
      </w:r>
      <w:bookmarkEnd w:id="30"/>
    </w:p>
    <w:p w14:paraId="0935518C" w14:textId="77777777" w:rsidR="009F5585" w:rsidRPr="009E064B" w:rsidRDefault="009F5585" w:rsidP="00B06A9A">
      <w:pPr>
        <w:spacing w:after="0"/>
        <w:rPr>
          <w:rFonts w:asciiTheme="minorHAnsi" w:hAnsiTheme="minorHAnsi" w:cstheme="minorHAnsi"/>
        </w:rPr>
      </w:pPr>
    </w:p>
    <w:p w14:paraId="7BB6F0B7" w14:textId="23FD9355" w:rsidR="009F5585" w:rsidRPr="009E064B" w:rsidRDefault="009F5585" w:rsidP="00B06A9A">
      <w:pPr>
        <w:pStyle w:val="Nagwek3"/>
      </w:pPr>
      <w:bookmarkStart w:id="31" w:name="_Toc385422371"/>
      <w:bookmarkStart w:id="32" w:name="_Toc12532539"/>
      <w:r w:rsidRPr="009E064B">
        <w:t>ADR</w:t>
      </w:r>
      <w:r w:rsidR="00D01EBC" w:rsidRPr="009E064B">
        <w:t xml:space="preserve">.AR.A.001     </w:t>
      </w:r>
      <w:r w:rsidRPr="009E064B">
        <w:t>Zakres</w:t>
      </w:r>
      <w:bookmarkEnd w:id="31"/>
      <w:bookmarkEnd w:id="32"/>
    </w:p>
    <w:p w14:paraId="343D8E39" w14:textId="6E89BBC9" w:rsidR="009F5585"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885F05B" w14:textId="372442B0"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 xml:space="preserve">Niniejszy </w:t>
      </w:r>
      <w:r w:rsidR="00731547" w:rsidRPr="009E064B">
        <w:rPr>
          <w:rFonts w:asciiTheme="minorHAnsi" w:hAnsiTheme="minorHAnsi" w:cstheme="minorHAnsi"/>
          <w:sz w:val="22"/>
          <w:szCs w:val="20"/>
        </w:rPr>
        <w:t>Z</w:t>
      </w:r>
      <w:r w:rsidRPr="009E064B">
        <w:rPr>
          <w:rFonts w:asciiTheme="minorHAnsi" w:hAnsiTheme="minorHAnsi" w:cstheme="minorHAnsi"/>
          <w:sz w:val="22"/>
          <w:szCs w:val="20"/>
        </w:rPr>
        <w:t>ałącznik ustanawia wymagania dla właściwych organów biorących udział w certyfikacji lotnisk, operatorów lotnisk i instytucji zapewniających służbę zar</w:t>
      </w:r>
      <w:r w:rsidR="00750CFF" w:rsidRPr="009E064B">
        <w:rPr>
          <w:rFonts w:asciiTheme="minorHAnsi" w:hAnsiTheme="minorHAnsi" w:cstheme="minorHAnsi"/>
          <w:sz w:val="22"/>
          <w:szCs w:val="20"/>
        </w:rPr>
        <w:t>ządzania płytą postojową oraz w </w:t>
      </w:r>
      <w:r w:rsidRPr="009E064B">
        <w:rPr>
          <w:rFonts w:asciiTheme="minorHAnsi" w:hAnsiTheme="minorHAnsi" w:cstheme="minorHAnsi"/>
          <w:sz w:val="22"/>
          <w:szCs w:val="20"/>
        </w:rPr>
        <w:t>nadzorze nad nimi.</w:t>
      </w:r>
    </w:p>
    <w:p w14:paraId="0562B020" w14:textId="28D1D3A2" w:rsidR="00DC7DA6" w:rsidRPr="009E064B" w:rsidRDefault="00DE05DC" w:rsidP="00B06A9A">
      <w:pPr>
        <w:pStyle w:val="Nagwek3"/>
      </w:pPr>
      <w:bookmarkStart w:id="33" w:name="_Toc12532540"/>
      <w:r w:rsidRPr="009E064B">
        <w:t xml:space="preserve">ADR.AR.A.005 </w:t>
      </w:r>
      <w:r w:rsidR="00D01EBC" w:rsidRPr="009E064B">
        <w:t xml:space="preserve">    </w:t>
      </w:r>
      <w:r w:rsidRPr="009E064B">
        <w:t>Właściwy organ</w:t>
      </w:r>
      <w:bookmarkEnd w:id="33"/>
    </w:p>
    <w:p w14:paraId="360B5FAB" w14:textId="7F98FF8E" w:rsidR="00EE7BF2"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D61E4C1"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Właściwy organ wyznaczony przez państwo członkowskie, w którym znajduje się dane lotnisko, odpowiada za:</w:t>
      </w:r>
    </w:p>
    <w:p w14:paraId="5F91C4CF" w14:textId="4BD05A19" w:rsidR="00DC7DA6" w:rsidRPr="009E064B" w:rsidRDefault="00B129CC"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A8544B" w:rsidRPr="009E064B">
        <w:rPr>
          <w:rFonts w:asciiTheme="minorHAnsi" w:hAnsiTheme="minorHAnsi" w:cstheme="minorHAnsi"/>
          <w:sz w:val="22"/>
          <w:szCs w:val="20"/>
        </w:rPr>
        <w:tab/>
      </w:r>
      <w:r w:rsidR="00DE05DC" w:rsidRPr="009E064B">
        <w:rPr>
          <w:rFonts w:asciiTheme="minorHAnsi" w:hAnsiTheme="minorHAnsi" w:cstheme="minorHAnsi"/>
          <w:sz w:val="22"/>
          <w:szCs w:val="20"/>
        </w:rPr>
        <w:t>certyfikację lotnisk i ich operatorów oraz nadzór nad nimi;</w:t>
      </w:r>
    </w:p>
    <w:p w14:paraId="76382D69" w14:textId="6D935B88" w:rsidR="00DC7DA6" w:rsidRPr="009E064B" w:rsidRDefault="00B129CC"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1C23A0" w:rsidRPr="009E064B">
        <w:rPr>
          <w:rFonts w:asciiTheme="minorHAnsi" w:hAnsiTheme="minorHAnsi" w:cstheme="minorHAnsi"/>
          <w:sz w:val="22"/>
          <w:szCs w:val="20"/>
        </w:rPr>
        <w:t xml:space="preserve">) </w:t>
      </w:r>
      <w:r w:rsidR="00A8544B" w:rsidRPr="009E064B">
        <w:rPr>
          <w:rFonts w:asciiTheme="minorHAnsi" w:hAnsiTheme="minorHAnsi" w:cstheme="minorHAnsi"/>
          <w:sz w:val="22"/>
          <w:szCs w:val="20"/>
        </w:rPr>
        <w:tab/>
      </w:r>
      <w:r w:rsidR="00DE05DC" w:rsidRPr="009E064B">
        <w:rPr>
          <w:rFonts w:asciiTheme="minorHAnsi" w:hAnsiTheme="minorHAnsi" w:cstheme="minorHAnsi"/>
          <w:sz w:val="22"/>
          <w:szCs w:val="20"/>
        </w:rPr>
        <w:t>nadzór nad instytucjami zapewniającymi służbę zarządzania płytą postojową.</w:t>
      </w:r>
    </w:p>
    <w:p w14:paraId="64330AC8" w14:textId="373F9C99" w:rsidR="00DC7DA6" w:rsidRPr="009E064B" w:rsidRDefault="00DE05DC" w:rsidP="00B06A9A">
      <w:pPr>
        <w:pStyle w:val="Nagwek3"/>
      </w:pPr>
      <w:bookmarkStart w:id="34" w:name="_Toc12532541"/>
      <w:r w:rsidRPr="009E064B">
        <w:t xml:space="preserve">ADR.AR.A.010 </w:t>
      </w:r>
      <w:r w:rsidR="00D01EBC" w:rsidRPr="009E064B">
        <w:t xml:space="preserve">    </w:t>
      </w:r>
      <w:r w:rsidRPr="009E064B">
        <w:t>Dokumentacja nadzoru</w:t>
      </w:r>
      <w:bookmarkEnd w:id="34"/>
    </w:p>
    <w:p w14:paraId="15317B64" w14:textId="42681786"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65771EA" w14:textId="6814A1A0" w:rsidR="00DC7DA6" w:rsidRPr="009E064B" w:rsidRDefault="00B129CC"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882372"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t xml:space="preserve">Właściwy organ </w:t>
      </w:r>
      <w:r w:rsidR="00DE05DC" w:rsidRPr="009E064B">
        <w:rPr>
          <w:rFonts w:asciiTheme="minorHAnsi" w:hAnsiTheme="minorHAnsi" w:cstheme="minorHAnsi"/>
          <w:sz w:val="22"/>
          <w:szCs w:val="20"/>
        </w:rPr>
        <w:t>zapewnia zainteresowanemu personelowi odpowiednie akty ustawodawcze, normy, przepisy, publ</w:t>
      </w:r>
      <w:r w:rsidR="00483D7A" w:rsidRPr="009E064B">
        <w:rPr>
          <w:rFonts w:asciiTheme="minorHAnsi" w:hAnsiTheme="minorHAnsi" w:cstheme="minorHAnsi"/>
          <w:sz w:val="22"/>
          <w:szCs w:val="20"/>
        </w:rPr>
        <w:t>i</w:t>
      </w:r>
      <w:r w:rsidR="00DE05DC" w:rsidRPr="009E064B">
        <w:rPr>
          <w:rFonts w:asciiTheme="minorHAnsi" w:hAnsiTheme="minorHAnsi" w:cstheme="minorHAnsi"/>
          <w:sz w:val="22"/>
          <w:szCs w:val="20"/>
        </w:rPr>
        <w:t>kacje techniczne i powiązane dokumenty, aby umożliwić mu wykonywanie jego zada</w:t>
      </w:r>
      <w:r w:rsidR="002719E7" w:rsidRPr="009E064B">
        <w:rPr>
          <w:rFonts w:asciiTheme="minorHAnsi" w:hAnsiTheme="minorHAnsi" w:cstheme="minorHAnsi"/>
          <w:sz w:val="22"/>
          <w:szCs w:val="20"/>
        </w:rPr>
        <w:t>ń i </w:t>
      </w:r>
      <w:r w:rsidR="00483D7A" w:rsidRPr="009E064B">
        <w:rPr>
          <w:rFonts w:asciiTheme="minorHAnsi" w:hAnsiTheme="minorHAnsi" w:cstheme="minorHAnsi"/>
          <w:sz w:val="22"/>
          <w:szCs w:val="20"/>
        </w:rPr>
        <w:t>wywiązywanie się z obowiąz</w:t>
      </w:r>
      <w:r w:rsidR="00DE05DC" w:rsidRPr="009E064B">
        <w:rPr>
          <w:rFonts w:asciiTheme="minorHAnsi" w:hAnsiTheme="minorHAnsi" w:cstheme="minorHAnsi"/>
          <w:sz w:val="22"/>
          <w:szCs w:val="20"/>
        </w:rPr>
        <w:t>ków.</w:t>
      </w:r>
    </w:p>
    <w:p w14:paraId="03B9D589" w14:textId="5DC14580" w:rsidR="00DC7DA6" w:rsidRPr="009E064B" w:rsidRDefault="00B129CC"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882372"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udostępnia operatorom lotnisk i innym zainteresowanym stronom akty ustawodawcze, normy, przepisy, publikacje techniczne i powiązane dokumenty, aby ułatwić im spełnienie stosownych wymagań.</w:t>
      </w:r>
    </w:p>
    <w:p w14:paraId="0B418CBD" w14:textId="3F300417" w:rsidR="009F5585" w:rsidRPr="009E064B" w:rsidRDefault="00D01EBC" w:rsidP="00133B99">
      <w:pPr>
        <w:pStyle w:val="Nagwek6"/>
      </w:pPr>
      <w:bookmarkStart w:id="35" w:name="_Toc492024492"/>
      <w:bookmarkStart w:id="36" w:name="_Toc12532542"/>
      <w:r w:rsidRPr="009E064B">
        <w:t xml:space="preserve">GM1 ADR.AR.A.010(b)     </w:t>
      </w:r>
      <w:r w:rsidR="009F5585" w:rsidRPr="009E064B">
        <w:t>Dokumentacja nadzoru</w:t>
      </w:r>
      <w:bookmarkEnd w:id="35"/>
      <w:bookmarkEnd w:id="36"/>
    </w:p>
    <w:p w14:paraId="6CC0E954" w14:textId="2777A0AD" w:rsidR="008D7CC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FC41DF9" w14:textId="77777777" w:rsidR="009F5585" w:rsidRPr="009E064B" w:rsidRDefault="009F5585" w:rsidP="00B06A9A">
      <w:pPr>
        <w:rPr>
          <w:rFonts w:asciiTheme="minorHAnsi" w:hAnsiTheme="minorHAnsi" w:cstheme="minorHAnsi"/>
        </w:rPr>
      </w:pPr>
      <w:r w:rsidRPr="009E064B">
        <w:rPr>
          <w:rFonts w:asciiTheme="minorHAnsi" w:hAnsiTheme="minorHAnsi" w:cstheme="minorHAnsi"/>
        </w:rPr>
        <w:t>DOSTĘPNOŚĆ DOKUMENTACJI DLA STRONY TRZECIEJ</w:t>
      </w:r>
    </w:p>
    <w:p w14:paraId="61BEA702" w14:textId="77777777" w:rsidR="009F5585" w:rsidRPr="009E064B" w:rsidRDefault="009F5585" w:rsidP="00B06A9A">
      <w:pPr>
        <w:rPr>
          <w:rFonts w:asciiTheme="minorHAnsi" w:hAnsiTheme="minorHAnsi" w:cstheme="minorHAnsi"/>
        </w:rPr>
      </w:pPr>
      <w:r w:rsidRPr="009E064B">
        <w:rPr>
          <w:rFonts w:asciiTheme="minorHAnsi" w:hAnsiTheme="minorHAnsi" w:cstheme="minorHAnsi"/>
        </w:rPr>
        <w:t>Akty prawne, normy, przepisy, publikacje techniczne i podobne dokumenty powinny być udostępnione, w odpowiednim czasie, operatorom lotnisk i wszystkim innym zainteresowanym stronom w różny sposób i w różnych formach, takich jak poprzez własną stronę internetową, dziennik urzędowy instytucji rządowej, lub inne podobne środki.</w:t>
      </w:r>
    </w:p>
    <w:p w14:paraId="6A19D17D" w14:textId="77777777" w:rsidR="009F5585" w:rsidRPr="009E064B" w:rsidRDefault="009F5585" w:rsidP="00B06A9A">
      <w:pPr>
        <w:rPr>
          <w:rFonts w:asciiTheme="minorHAnsi" w:hAnsiTheme="minorHAnsi" w:cstheme="minorHAnsi"/>
        </w:rPr>
      </w:pPr>
      <w:r w:rsidRPr="009E064B">
        <w:rPr>
          <w:rFonts w:asciiTheme="minorHAnsi" w:hAnsiTheme="minorHAnsi" w:cstheme="minorHAnsi"/>
        </w:rPr>
        <w:t>O sposobie udostępniania takich materiałów, w tym możliwości pobierania opłaty, decyduje właściwy organ.</w:t>
      </w:r>
    </w:p>
    <w:p w14:paraId="7B869979" w14:textId="77777777" w:rsidR="009F5585" w:rsidRPr="009E064B" w:rsidRDefault="009F5585" w:rsidP="00B06A9A">
      <w:pPr>
        <w:rPr>
          <w:rFonts w:asciiTheme="minorHAnsi" w:hAnsiTheme="minorHAnsi" w:cstheme="minorHAnsi"/>
        </w:rPr>
      </w:pPr>
      <w:r w:rsidRPr="009E064B">
        <w:rPr>
          <w:rFonts w:asciiTheme="minorHAnsi" w:hAnsiTheme="minorHAnsi" w:cstheme="minorHAnsi"/>
        </w:rPr>
        <w:t>Udostępnianie takiej dokumentacji odbywa się bez uszczerbku dla stosowania przepisów dotyczących ochrony praw własności intelektualnej, lub podobnych mających zastosowanie przepisów.</w:t>
      </w:r>
    </w:p>
    <w:p w14:paraId="75BABAD4" w14:textId="1D3C2D26" w:rsidR="00DC7DA6" w:rsidRPr="009E064B" w:rsidRDefault="00DE05DC" w:rsidP="00B06A9A">
      <w:pPr>
        <w:pStyle w:val="Nagwek3"/>
      </w:pPr>
      <w:bookmarkStart w:id="37" w:name="_ADR.AR.A.015__"/>
      <w:bookmarkStart w:id="38" w:name="_Toc12532543"/>
      <w:bookmarkEnd w:id="37"/>
      <w:r w:rsidRPr="009E064B">
        <w:t xml:space="preserve">ADR.AR.A.015 </w:t>
      </w:r>
      <w:r w:rsidR="00D01EBC" w:rsidRPr="009E064B">
        <w:t xml:space="preserve">    </w:t>
      </w:r>
      <w:r w:rsidRPr="009E064B">
        <w:t>Sposoby spełnienia wymagań</w:t>
      </w:r>
      <w:bookmarkEnd w:id="38"/>
    </w:p>
    <w:p w14:paraId="179E4B3B" w14:textId="7D77EE0C"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EB8E5C9" w14:textId="21A152E6"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882372"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Agencja opracowuje akceptowalne sposoby spełnienia wymagań (AMC), które można wykorzystywać do zapewnie</w:t>
      </w:r>
      <w:r w:rsidR="002267BD" w:rsidRPr="009E064B">
        <w:rPr>
          <w:rFonts w:asciiTheme="minorHAnsi" w:hAnsiTheme="minorHAnsi" w:cstheme="minorHAnsi"/>
          <w:sz w:val="22"/>
          <w:szCs w:val="20"/>
        </w:rPr>
        <w:t>nia zgodności z rozporządzeniem (WE) nr </w:t>
      </w:r>
      <w:r w:rsidR="00DE05DC" w:rsidRPr="009E064B">
        <w:rPr>
          <w:rFonts w:asciiTheme="minorHAnsi" w:hAnsiTheme="minorHAnsi" w:cstheme="minorHAnsi"/>
          <w:sz w:val="22"/>
          <w:szCs w:val="20"/>
        </w:rPr>
        <w:t>216/2008 i jego przepisami wykonawczymi.</w:t>
      </w:r>
      <w:r w:rsidR="00483D7A" w:rsidRPr="009E064B">
        <w:rPr>
          <w:rFonts w:asciiTheme="minorHAnsi" w:hAnsiTheme="minorHAnsi" w:cstheme="minorHAnsi"/>
          <w:sz w:val="22"/>
          <w:szCs w:val="20"/>
        </w:rPr>
        <w:t xml:space="preserve"> Zapewnienie zgodności z akcep</w:t>
      </w:r>
      <w:r w:rsidR="00DE05DC" w:rsidRPr="009E064B">
        <w:rPr>
          <w:rFonts w:asciiTheme="minorHAnsi" w:hAnsiTheme="minorHAnsi" w:cstheme="minorHAnsi"/>
          <w:sz w:val="22"/>
          <w:szCs w:val="20"/>
        </w:rPr>
        <w:t>towalnymi sposobami spełnienia wymagań jest równoznaczne ze spełnieniem st</w:t>
      </w:r>
      <w:r w:rsidR="00483D7A" w:rsidRPr="009E064B">
        <w:rPr>
          <w:rFonts w:asciiTheme="minorHAnsi" w:hAnsiTheme="minorHAnsi" w:cstheme="minorHAnsi"/>
          <w:sz w:val="22"/>
          <w:szCs w:val="20"/>
        </w:rPr>
        <w:t xml:space="preserve">osownych wymagań określonych w przepisach </w:t>
      </w:r>
      <w:r w:rsidR="00DE05DC" w:rsidRPr="009E064B">
        <w:rPr>
          <w:rFonts w:asciiTheme="minorHAnsi" w:hAnsiTheme="minorHAnsi" w:cstheme="minorHAnsi"/>
          <w:sz w:val="22"/>
          <w:szCs w:val="20"/>
        </w:rPr>
        <w:t>wykonawczych.</w:t>
      </w:r>
    </w:p>
    <w:p w14:paraId="06541136" w14:textId="6DCF5435"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882372"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Do spełnienia wymagań przepisów wykonawczych można wykorzystywać alternatywne sposoby spełnienia wymagań.</w:t>
      </w:r>
    </w:p>
    <w:p w14:paraId="6224F924" w14:textId="4EFA6BAD"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c</w:t>
      </w:r>
      <w:r w:rsidR="00882372"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Właściwy organ ustanawia system gwarantujący stałą ocenę tego, czy alternatywne sposoby spełnienia wymagań stosowane przez sam właściwy organ lub znajdujących się pod jego nadzorem operatorów lotnisk bądź instytucje zapewniające służbę zarządzania płytą </w:t>
      </w:r>
      <w:r w:rsidR="006B3422" w:rsidRPr="009E064B">
        <w:rPr>
          <w:rFonts w:asciiTheme="minorHAnsi" w:hAnsiTheme="minorHAnsi" w:cstheme="minorHAnsi"/>
          <w:sz w:val="22"/>
          <w:szCs w:val="20"/>
        </w:rPr>
        <w:t xml:space="preserve">postojową zapewniają zgodność z </w:t>
      </w:r>
      <w:r w:rsidR="00DE05DC" w:rsidRPr="009E064B">
        <w:rPr>
          <w:rFonts w:asciiTheme="minorHAnsi" w:hAnsiTheme="minorHAnsi" w:cstheme="minorHAnsi"/>
          <w:sz w:val="22"/>
          <w:szCs w:val="20"/>
        </w:rPr>
        <w:t>rozporządzeniem (WE) nr 216/2008 i jego przepisami wykonawczymi.</w:t>
      </w:r>
    </w:p>
    <w:p w14:paraId="3F76C095" w14:textId="2108885B"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d</w:t>
      </w:r>
      <w:r w:rsidR="00882372" w:rsidRPr="009E064B">
        <w:rPr>
          <w:rFonts w:asciiTheme="minorHAnsi" w:hAnsiTheme="minorHAnsi" w:cstheme="minorHAnsi"/>
          <w:sz w:val="22"/>
          <w:szCs w:val="20"/>
        </w:rPr>
        <w:t xml:space="preserve">) </w:t>
      </w:r>
      <w:r w:rsidR="00A8544B"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ocenia alternatywne sposoby spełnienia wymagań zaproponowane przez operatora lotniska lub instytucję zapewniającą służbę zarządzania płytą postojową (</w:t>
      </w:r>
      <w:r w:rsidR="00750CFF" w:rsidRPr="009E064B">
        <w:rPr>
          <w:rFonts w:asciiTheme="minorHAnsi" w:hAnsiTheme="minorHAnsi" w:cstheme="minorHAnsi"/>
          <w:sz w:val="22"/>
          <w:szCs w:val="20"/>
        </w:rPr>
        <w:t>zgodnie z </w:t>
      </w:r>
      <w:hyperlink w:anchor="_ADR.OR.A.015__" w:history="1">
        <w:r w:rsidR="005C6FAE" w:rsidRPr="009E064B">
          <w:rPr>
            <w:rStyle w:val="Hipercze"/>
            <w:rFonts w:asciiTheme="minorHAnsi" w:hAnsiTheme="minorHAnsi" w:cstheme="minorHAnsi"/>
            <w:sz w:val="22"/>
            <w:szCs w:val="20"/>
          </w:rPr>
          <w:t>ADR.OR.A.015</w:t>
        </w:r>
      </w:hyperlink>
      <w:r w:rsidR="005C6FAE" w:rsidRPr="009E064B">
        <w:rPr>
          <w:rFonts w:asciiTheme="minorHAnsi" w:hAnsiTheme="minorHAnsi" w:cstheme="minorHAnsi"/>
          <w:sz w:val="22"/>
          <w:szCs w:val="20"/>
        </w:rPr>
        <w:t xml:space="preserve">) poprzez </w:t>
      </w:r>
      <w:r w:rsidR="00DE05DC" w:rsidRPr="009E064B">
        <w:rPr>
          <w:rFonts w:asciiTheme="minorHAnsi" w:hAnsiTheme="minorHAnsi" w:cstheme="minorHAnsi"/>
          <w:sz w:val="22"/>
          <w:szCs w:val="20"/>
        </w:rPr>
        <w:t>analizę przedłożonej dokumentacji oraz – o ile uzn</w:t>
      </w:r>
      <w:r w:rsidR="005C6FAE" w:rsidRPr="009E064B">
        <w:rPr>
          <w:rFonts w:asciiTheme="minorHAnsi" w:hAnsiTheme="minorHAnsi" w:cstheme="minorHAnsi"/>
          <w:sz w:val="22"/>
          <w:szCs w:val="20"/>
        </w:rPr>
        <w:t xml:space="preserve">a się to za niezbędne – poprzez </w:t>
      </w:r>
      <w:r w:rsidR="00DE05DC" w:rsidRPr="009E064B">
        <w:rPr>
          <w:rFonts w:asciiTheme="minorHAnsi" w:hAnsiTheme="minorHAnsi" w:cstheme="minorHAnsi"/>
          <w:sz w:val="22"/>
          <w:szCs w:val="20"/>
        </w:rPr>
        <w:t>przeprowadzenie inspekcji tego operatora, lotniska lub instytucji zapewniającej służbę zarządzania płytą postojową.</w:t>
      </w:r>
    </w:p>
    <w:p w14:paraId="49C6DA30" w14:textId="77777777" w:rsidR="00DC7DA6" w:rsidRPr="009E064B" w:rsidRDefault="00DE05DC" w:rsidP="00B06A9A">
      <w:pPr>
        <w:tabs>
          <w:tab w:val="left" w:pos="567"/>
        </w:tabs>
        <w:ind w:left="567" w:right="-2"/>
        <w:rPr>
          <w:rFonts w:asciiTheme="minorHAnsi" w:eastAsia="Times New Roman" w:hAnsiTheme="minorHAnsi" w:cstheme="minorHAnsi"/>
          <w:szCs w:val="20"/>
        </w:rPr>
      </w:pPr>
      <w:r w:rsidRPr="009E064B">
        <w:rPr>
          <w:rFonts w:asciiTheme="minorHAnsi" w:eastAsia="Times New Roman" w:hAnsiTheme="minorHAnsi" w:cstheme="minorHAnsi"/>
          <w:szCs w:val="20"/>
        </w:rPr>
        <w:t>Jeżeli właściwy organ stwierdzi, że alternatywne sposoby spełnienia wymagań zaproponowane przez operatora lotniska lub instytucję zapewniającą służbę zarządzania płytą postojową są zgodne z przepisami wykonawczymi, organ ten bez zbędnej zwłoki:</w:t>
      </w:r>
    </w:p>
    <w:p w14:paraId="6CAD36E8" w14:textId="3EBED0A9"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1</w:t>
      </w:r>
      <w:r w:rsidR="001C23A0" w:rsidRPr="009E064B">
        <w:rPr>
          <w:rFonts w:asciiTheme="minorHAnsi" w:hAnsiTheme="minorHAnsi" w:cstheme="minorHAnsi"/>
          <w:sz w:val="22"/>
          <w:szCs w:val="20"/>
        </w:rPr>
        <w:t xml:space="preserve">) </w:t>
      </w:r>
      <w:r w:rsidR="00A8544B" w:rsidRPr="009E064B">
        <w:rPr>
          <w:rFonts w:asciiTheme="minorHAnsi" w:hAnsiTheme="minorHAnsi" w:cstheme="minorHAnsi"/>
          <w:sz w:val="22"/>
          <w:szCs w:val="20"/>
        </w:rPr>
        <w:tab/>
      </w:r>
      <w:r w:rsidR="00DE05DC" w:rsidRPr="009E064B">
        <w:rPr>
          <w:rFonts w:asciiTheme="minorHAnsi" w:hAnsiTheme="minorHAnsi" w:cstheme="minorHAnsi"/>
          <w:sz w:val="22"/>
          <w:szCs w:val="20"/>
        </w:rPr>
        <w:t>powiadamia wnioskodawcę o możliwości wdrożenia alternatywnych sposobów spełnienia wymagań oraz – w stosownym przypadku – dokonuje odpow</w:t>
      </w:r>
      <w:r w:rsidR="00AF4E91" w:rsidRPr="009E064B">
        <w:rPr>
          <w:rFonts w:asciiTheme="minorHAnsi" w:hAnsiTheme="minorHAnsi" w:cstheme="minorHAnsi"/>
          <w:sz w:val="22"/>
          <w:szCs w:val="20"/>
        </w:rPr>
        <w:t>iednich zmian w </w:t>
      </w:r>
      <w:r w:rsidR="00DE05DC" w:rsidRPr="009E064B">
        <w:rPr>
          <w:rFonts w:asciiTheme="minorHAnsi" w:hAnsiTheme="minorHAnsi" w:cstheme="minorHAnsi"/>
          <w:sz w:val="22"/>
          <w:szCs w:val="20"/>
        </w:rPr>
        <w:t>posiadanym przez wnioskodawcę certyfikacie lub zatwierdzeniu;</w:t>
      </w:r>
    </w:p>
    <w:p w14:paraId="4C204975" w14:textId="77777777"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2</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informuje Agencję o ich treści, w tym przekazuje kopie wszystkich odpowiednich dokumentów;</w:t>
      </w:r>
    </w:p>
    <w:p w14:paraId="0DAEEBFE" w14:textId="77777777"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3</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informuje pozostałe państwa członkowskie o alternatywnych sposobach spełnien</w:t>
      </w:r>
      <w:r w:rsidR="006B3422" w:rsidRPr="009E064B">
        <w:rPr>
          <w:rFonts w:asciiTheme="minorHAnsi" w:hAnsiTheme="minorHAnsi" w:cstheme="minorHAnsi"/>
          <w:sz w:val="22"/>
          <w:szCs w:val="20"/>
        </w:rPr>
        <w:t>ia wymagań, które zostały przy</w:t>
      </w:r>
      <w:r w:rsidR="00DE05DC" w:rsidRPr="009E064B">
        <w:rPr>
          <w:rFonts w:asciiTheme="minorHAnsi" w:hAnsiTheme="minorHAnsi" w:cstheme="minorHAnsi"/>
          <w:sz w:val="22"/>
          <w:szCs w:val="20"/>
        </w:rPr>
        <w:t>jęte; oraz</w:t>
      </w:r>
    </w:p>
    <w:p w14:paraId="0AA024A0" w14:textId="77777777"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4</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informuje pozostałe certyfikowane lotniska znajdujące się w państwie członkowskim w</w:t>
      </w:r>
      <w:r w:rsidR="00E428A2" w:rsidRPr="009E064B">
        <w:rPr>
          <w:rFonts w:asciiTheme="minorHAnsi" w:hAnsiTheme="minorHAnsi" w:cstheme="minorHAnsi"/>
          <w:sz w:val="22"/>
          <w:szCs w:val="20"/>
        </w:rPr>
        <w:t xml:space="preserve">łaściwego organu (stosownie do </w:t>
      </w:r>
      <w:r w:rsidR="00DE05DC" w:rsidRPr="009E064B">
        <w:rPr>
          <w:rFonts w:asciiTheme="minorHAnsi" w:hAnsiTheme="minorHAnsi" w:cstheme="minorHAnsi"/>
          <w:sz w:val="22"/>
          <w:szCs w:val="20"/>
        </w:rPr>
        <w:t>przypadku).</w:t>
      </w:r>
    </w:p>
    <w:p w14:paraId="3CA9CE30" w14:textId="33C515C5"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e</w:t>
      </w:r>
      <w:r w:rsidR="00882372"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Jeżeli właściwy organ sam wykorzystuje alternatywne sposoby spełnienia wymagań </w:t>
      </w:r>
      <w:r w:rsidR="00C36D6C" w:rsidRPr="009E064B">
        <w:rPr>
          <w:rFonts w:asciiTheme="minorHAnsi" w:hAnsiTheme="minorHAnsi" w:cstheme="minorHAnsi"/>
          <w:sz w:val="22"/>
          <w:szCs w:val="20"/>
        </w:rPr>
        <w:t xml:space="preserve">w celu osiągnięcia zgodności z </w:t>
      </w:r>
      <w:r w:rsidR="00DE05DC" w:rsidRPr="009E064B">
        <w:rPr>
          <w:rFonts w:asciiTheme="minorHAnsi" w:hAnsiTheme="minorHAnsi" w:cstheme="minorHAnsi"/>
          <w:sz w:val="22"/>
          <w:szCs w:val="20"/>
        </w:rPr>
        <w:t xml:space="preserve">rozporządzeniem (WE) nr 216/2008 </w:t>
      </w:r>
      <w:r w:rsidR="00D1567C" w:rsidRPr="009E064B">
        <w:rPr>
          <w:rFonts w:asciiTheme="minorHAnsi" w:hAnsiTheme="minorHAnsi" w:cstheme="minorHAnsi"/>
          <w:sz w:val="22"/>
          <w:szCs w:val="20"/>
        </w:rPr>
        <w:t>i</w:t>
      </w:r>
      <w:r w:rsidR="00DE05DC" w:rsidRPr="009E064B">
        <w:rPr>
          <w:rFonts w:asciiTheme="minorHAnsi" w:hAnsiTheme="minorHAnsi" w:cstheme="minorHAnsi"/>
          <w:sz w:val="22"/>
          <w:szCs w:val="20"/>
        </w:rPr>
        <w:t xml:space="preserve"> jego przepisami wykonawczymi, organ ten:</w:t>
      </w:r>
    </w:p>
    <w:p w14:paraId="5957ECE4" w14:textId="77777777"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1</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udostępnia je operatorom lotnisk i instytucjom zapewniającym służbę zarządzania płytą postojową znajdującym si</w:t>
      </w:r>
      <w:r w:rsidR="00C36D6C" w:rsidRPr="009E064B">
        <w:rPr>
          <w:rFonts w:asciiTheme="minorHAnsi" w:hAnsiTheme="minorHAnsi" w:cstheme="minorHAnsi"/>
          <w:sz w:val="22"/>
          <w:szCs w:val="20"/>
        </w:rPr>
        <w:t xml:space="preserve">ę pod </w:t>
      </w:r>
      <w:r w:rsidR="00DE05DC" w:rsidRPr="009E064B">
        <w:rPr>
          <w:rFonts w:asciiTheme="minorHAnsi" w:hAnsiTheme="minorHAnsi" w:cstheme="minorHAnsi"/>
          <w:sz w:val="22"/>
          <w:szCs w:val="20"/>
        </w:rPr>
        <w:t xml:space="preserve">jego </w:t>
      </w:r>
      <w:r w:rsidR="00D1567C" w:rsidRPr="009E064B">
        <w:rPr>
          <w:rFonts w:asciiTheme="minorHAnsi" w:hAnsiTheme="minorHAnsi" w:cstheme="minorHAnsi"/>
          <w:sz w:val="22"/>
          <w:szCs w:val="20"/>
        </w:rPr>
        <w:t xml:space="preserve">nadzorem; </w:t>
      </w:r>
      <w:r w:rsidR="00DE05DC" w:rsidRPr="009E064B">
        <w:rPr>
          <w:rFonts w:asciiTheme="minorHAnsi" w:hAnsiTheme="minorHAnsi" w:cstheme="minorHAnsi"/>
          <w:sz w:val="22"/>
          <w:szCs w:val="20"/>
        </w:rPr>
        <w:t>oraz</w:t>
      </w:r>
    </w:p>
    <w:p w14:paraId="1D27BE6C" w14:textId="77777777" w:rsidR="00DC7DA6" w:rsidRPr="009E064B" w:rsidRDefault="00C55A7B" w:rsidP="00B06A9A">
      <w:pPr>
        <w:pStyle w:val="Tekstpodstawowy"/>
        <w:tabs>
          <w:tab w:val="left" w:pos="1134"/>
        </w:tabs>
        <w:ind w:left="1134" w:right="-2" w:hanging="567"/>
        <w:rPr>
          <w:rFonts w:asciiTheme="minorHAnsi" w:hAnsiTheme="minorHAnsi" w:cstheme="minorHAnsi"/>
          <w:sz w:val="22"/>
          <w:szCs w:val="20"/>
        </w:rPr>
      </w:pPr>
      <w:r w:rsidRPr="009E064B">
        <w:rPr>
          <w:rFonts w:asciiTheme="minorHAnsi" w:hAnsiTheme="minorHAnsi" w:cstheme="minorHAnsi"/>
          <w:sz w:val="22"/>
          <w:szCs w:val="20"/>
        </w:rPr>
        <w:t>2</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bez zbędnej zwłoki powiadamia o nich Agencję.</w:t>
      </w:r>
    </w:p>
    <w:p w14:paraId="18C0F5AD" w14:textId="77777777" w:rsidR="00DC7DA6" w:rsidRPr="009E064B" w:rsidRDefault="00DE05DC" w:rsidP="00B06A9A">
      <w:pPr>
        <w:pStyle w:val="Tekstpodstawowy"/>
        <w:ind w:left="567" w:right="-2" w:firstLine="1"/>
        <w:rPr>
          <w:rFonts w:asciiTheme="minorHAnsi" w:hAnsiTheme="minorHAnsi" w:cstheme="minorHAnsi"/>
          <w:sz w:val="22"/>
          <w:szCs w:val="20"/>
        </w:rPr>
      </w:pPr>
      <w:r w:rsidRPr="009E064B">
        <w:rPr>
          <w:rFonts w:asciiTheme="minorHAnsi" w:hAnsiTheme="minorHAnsi" w:cstheme="minorHAnsi"/>
          <w:sz w:val="22"/>
          <w:szCs w:val="20"/>
        </w:rPr>
        <w:t>Właściwy organ przekazuje Agencji pełny opis alternatywnych sposobów spełnienia wymagań, w tym informacje o wszelkich zmianach procedur mogących mieć istotne znaczenie, a także ocenę potwierdzającą zgodność z przepisami wykonawczymi.</w:t>
      </w:r>
    </w:p>
    <w:p w14:paraId="3D9DA96B" w14:textId="2B6E480B" w:rsidR="001B1A05" w:rsidRPr="009E064B" w:rsidRDefault="00D01EBC" w:rsidP="00133B99">
      <w:pPr>
        <w:pStyle w:val="Nagwek5"/>
      </w:pPr>
      <w:bookmarkStart w:id="39" w:name="_Toc492024493"/>
      <w:bookmarkStart w:id="40" w:name="_Toc12532544"/>
      <w:r w:rsidRPr="009E064B">
        <w:t xml:space="preserve">AMC1 ADR.AR.A.015(d)(3)     </w:t>
      </w:r>
      <w:r w:rsidR="001B1A05" w:rsidRPr="009E064B">
        <w:t>Sposoby spełnienia wymagań</w:t>
      </w:r>
      <w:bookmarkEnd w:id="39"/>
      <w:bookmarkEnd w:id="40"/>
    </w:p>
    <w:p w14:paraId="647930DB" w14:textId="47D2E21B" w:rsidR="00FC6CDB"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8542A3C" w14:textId="12388737" w:rsidR="001B1A05" w:rsidRPr="009E064B" w:rsidRDefault="009B0A08" w:rsidP="00B06A9A">
      <w:pPr>
        <w:rPr>
          <w:rFonts w:asciiTheme="minorHAnsi" w:hAnsiTheme="minorHAnsi" w:cstheme="minorHAnsi"/>
        </w:rPr>
      </w:pPr>
      <w:r w:rsidRPr="009E064B">
        <w:rPr>
          <w:rFonts w:asciiTheme="minorHAnsi" w:hAnsiTheme="minorHAnsi" w:cstheme="minorHAnsi"/>
        </w:rPr>
        <w:t>WYMAGANIA OGÓLNE</w:t>
      </w:r>
    </w:p>
    <w:p w14:paraId="6FE5101E" w14:textId="69D59513" w:rsidR="001B1A05" w:rsidRPr="009E064B" w:rsidRDefault="001B1A05" w:rsidP="00B06A9A">
      <w:pPr>
        <w:rPr>
          <w:rFonts w:asciiTheme="minorHAnsi" w:hAnsiTheme="minorHAnsi" w:cstheme="minorHAnsi"/>
        </w:rPr>
      </w:pPr>
      <w:bookmarkStart w:id="41" w:name="bookmark5"/>
      <w:r w:rsidRPr="009E064B">
        <w:rPr>
          <w:rFonts w:asciiTheme="minorHAnsi" w:hAnsiTheme="minorHAnsi" w:cstheme="minorHAnsi"/>
        </w:rPr>
        <w:t>Informacje, jakie powinny być przedstawione innym Państwom Członkowskim po zatwierdzeniu alternatywnych sposobów spełnienia wymagań powinny zawierać odniesienie do akceptowalnych sposobów spełnienia wymagań (AMC), w stosunku do których sposoby te stanowią alternatywę, jak również odniesienie do odpowiadających im przepisów wykonawczych ze wskazaniem podpunktu</w:t>
      </w:r>
      <w:r w:rsidR="0077724D" w:rsidRPr="009E064B">
        <w:rPr>
          <w:rFonts w:asciiTheme="minorHAnsi" w:hAnsiTheme="minorHAnsi" w:cstheme="minorHAnsi"/>
        </w:rPr>
        <w:t> (</w:t>
      </w:r>
      <w:r w:rsidRPr="009E064B">
        <w:rPr>
          <w:rFonts w:asciiTheme="minorHAnsi" w:hAnsiTheme="minorHAnsi" w:cstheme="minorHAnsi"/>
        </w:rPr>
        <w:t>ów</w:t>
      </w:r>
      <w:r w:rsidR="0077724D" w:rsidRPr="009E064B">
        <w:rPr>
          <w:rFonts w:asciiTheme="minorHAnsi" w:hAnsiTheme="minorHAnsi" w:cstheme="minorHAnsi"/>
        </w:rPr>
        <w:t>)</w:t>
      </w:r>
      <w:r w:rsidRPr="009E064B">
        <w:rPr>
          <w:rFonts w:asciiTheme="minorHAnsi" w:hAnsiTheme="minorHAnsi" w:cstheme="minorHAnsi"/>
        </w:rPr>
        <w:t xml:space="preserve"> objętych przez alternatywne sposoby spełnienia wymagań.</w:t>
      </w:r>
      <w:bookmarkEnd w:id="41"/>
    </w:p>
    <w:p w14:paraId="41A84450" w14:textId="40AC6B0C" w:rsidR="001B1A05" w:rsidRPr="009E064B" w:rsidRDefault="00D01EBC" w:rsidP="00133B99">
      <w:pPr>
        <w:pStyle w:val="Nagwek6"/>
      </w:pPr>
      <w:bookmarkStart w:id="42" w:name="_Toc492024494"/>
      <w:bookmarkStart w:id="43" w:name="_Toc12532545"/>
      <w:r w:rsidRPr="009E064B">
        <w:t xml:space="preserve">GM1 ADR.AR.A.015     </w:t>
      </w:r>
      <w:r w:rsidR="001B1A05" w:rsidRPr="009E064B">
        <w:t>Sposoby spełnienia wymagań</w:t>
      </w:r>
      <w:bookmarkEnd w:id="42"/>
      <w:bookmarkEnd w:id="43"/>
    </w:p>
    <w:p w14:paraId="6F517CD0" w14:textId="72F1240D" w:rsidR="00FC6CDB"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42E29E8" w14:textId="537B246C" w:rsidR="001B1A05" w:rsidRPr="009E064B" w:rsidRDefault="009B0A08" w:rsidP="00B06A9A">
      <w:pPr>
        <w:rPr>
          <w:rFonts w:asciiTheme="minorHAnsi" w:hAnsiTheme="minorHAnsi" w:cstheme="minorHAnsi"/>
        </w:rPr>
      </w:pPr>
      <w:r w:rsidRPr="009E064B">
        <w:rPr>
          <w:rFonts w:asciiTheme="minorHAnsi" w:hAnsiTheme="minorHAnsi" w:cstheme="minorHAnsi"/>
        </w:rPr>
        <w:t>WYMAGANIA OGÓLNE</w:t>
      </w:r>
    </w:p>
    <w:p w14:paraId="1A0A63F4" w14:textId="6A80E510" w:rsidR="001B1A05" w:rsidRPr="009E064B" w:rsidRDefault="001B1A05" w:rsidP="00B06A9A">
      <w:pPr>
        <w:rPr>
          <w:rFonts w:asciiTheme="minorHAnsi" w:hAnsiTheme="minorHAnsi" w:cstheme="minorHAnsi"/>
        </w:rPr>
      </w:pPr>
      <w:bookmarkStart w:id="44" w:name="bookmark7"/>
      <w:r w:rsidRPr="009E064B">
        <w:rPr>
          <w:rFonts w:asciiTheme="minorHAnsi" w:hAnsiTheme="minorHAnsi" w:cstheme="minorHAnsi"/>
        </w:rPr>
        <w:t>Alternatywne sposoby spełnienia wymagań stosowane przez właściwy organ lub organizacje w</w:t>
      </w:r>
      <w:r w:rsidR="00AF4E91" w:rsidRPr="009E064B">
        <w:rPr>
          <w:rFonts w:asciiTheme="minorHAnsi" w:hAnsiTheme="minorHAnsi" w:cstheme="minorHAnsi"/>
        </w:rPr>
        <w:t> </w:t>
      </w:r>
      <w:r w:rsidRPr="009E064B">
        <w:rPr>
          <w:rFonts w:asciiTheme="minorHAnsi" w:hAnsiTheme="minorHAnsi" w:cstheme="minorHAnsi"/>
        </w:rPr>
        <w:t>ramach swojego nadzoru mogą być wykorzystywane przez inne właściwe organy lub organizacje tylko wtedy, jeżeli zostały one ponownie opracowane zgodnie z przepisami zawartymi</w:t>
      </w:r>
      <w:bookmarkEnd w:id="44"/>
      <w:r w:rsidRPr="009E064B">
        <w:rPr>
          <w:rFonts w:asciiTheme="minorHAnsi" w:hAnsiTheme="minorHAnsi" w:cstheme="minorHAnsi"/>
        </w:rPr>
        <w:t xml:space="preserve"> w </w:t>
      </w:r>
      <w:hyperlink w:anchor="_ADR.AR.A.015__" w:history="1">
        <w:r w:rsidRPr="009E064B">
          <w:rPr>
            <w:rStyle w:val="Hipercze"/>
            <w:rFonts w:asciiTheme="minorHAnsi" w:hAnsiTheme="minorHAnsi" w:cstheme="minorHAnsi"/>
          </w:rPr>
          <w:t>ADR.AR.A.015</w:t>
        </w:r>
      </w:hyperlink>
      <w:r w:rsidR="008E0CFB">
        <w:rPr>
          <w:rFonts w:asciiTheme="minorHAnsi" w:hAnsiTheme="minorHAnsi" w:cstheme="minorHAnsi"/>
        </w:rPr>
        <w:t xml:space="preserve"> lit. </w:t>
      </w:r>
      <w:r w:rsidR="00E857F8" w:rsidRPr="009E064B">
        <w:rPr>
          <w:rFonts w:asciiTheme="minorHAnsi" w:hAnsiTheme="minorHAnsi" w:cstheme="minorHAnsi"/>
        </w:rPr>
        <w:t>(</w:t>
      </w:r>
      <w:r w:rsidR="008E0CFB">
        <w:rPr>
          <w:rFonts w:asciiTheme="minorHAnsi" w:hAnsiTheme="minorHAnsi" w:cstheme="minorHAnsi"/>
        </w:rPr>
        <w:t>d) i </w:t>
      </w:r>
      <w:r w:rsidR="002267BD" w:rsidRPr="009E064B">
        <w:rPr>
          <w:rFonts w:asciiTheme="minorHAnsi" w:hAnsiTheme="minorHAnsi" w:cstheme="minorHAnsi"/>
        </w:rPr>
        <w:t>lit</w:t>
      </w:r>
      <w:r w:rsidR="00E857F8" w:rsidRPr="009E064B">
        <w:rPr>
          <w:rFonts w:asciiTheme="minorHAnsi" w:hAnsiTheme="minorHAnsi" w:cstheme="minorHAnsi"/>
        </w:rPr>
        <w:t>.</w:t>
      </w:r>
      <w:r w:rsidR="008E0CFB">
        <w:rPr>
          <w:rFonts w:asciiTheme="minorHAnsi" w:hAnsiTheme="minorHAnsi" w:cstheme="minorHAnsi"/>
        </w:rPr>
        <w:t> </w:t>
      </w:r>
      <w:r w:rsidR="00E857F8" w:rsidRPr="009E064B">
        <w:rPr>
          <w:rFonts w:asciiTheme="minorHAnsi" w:hAnsiTheme="minorHAnsi" w:cstheme="minorHAnsi"/>
        </w:rPr>
        <w:t>(</w:t>
      </w:r>
      <w:r w:rsidRPr="009E064B">
        <w:rPr>
          <w:rFonts w:asciiTheme="minorHAnsi" w:hAnsiTheme="minorHAnsi" w:cstheme="minorHAnsi"/>
        </w:rPr>
        <w:t>e).</w:t>
      </w:r>
    </w:p>
    <w:p w14:paraId="1BA943BC" w14:textId="59ABE91D" w:rsidR="00DC7DA6" w:rsidRPr="009E064B" w:rsidRDefault="00DE05DC" w:rsidP="00B06A9A">
      <w:pPr>
        <w:pStyle w:val="Nagwek3"/>
      </w:pPr>
      <w:bookmarkStart w:id="45" w:name="_Toc12532546"/>
      <w:r w:rsidRPr="009E064B">
        <w:t xml:space="preserve">ADR.AR.A.025 </w:t>
      </w:r>
      <w:r w:rsidR="00D01EBC" w:rsidRPr="009E064B">
        <w:t xml:space="preserve">    </w:t>
      </w:r>
      <w:r w:rsidRPr="009E064B">
        <w:t>Przekazywanie informacji Agencji</w:t>
      </w:r>
      <w:bookmarkEnd w:id="45"/>
    </w:p>
    <w:p w14:paraId="479850B3" w14:textId="01EEE48E"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95CAEDB" w14:textId="75FE9B75"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niezwłocznie powiadamia Agencję o wszelkich is</w:t>
      </w:r>
      <w:r w:rsidR="006B3422" w:rsidRPr="009E064B">
        <w:rPr>
          <w:rFonts w:asciiTheme="minorHAnsi" w:hAnsiTheme="minorHAnsi" w:cstheme="minorHAnsi"/>
          <w:sz w:val="22"/>
          <w:szCs w:val="20"/>
        </w:rPr>
        <w:t xml:space="preserve">totnych problemach związanych z wdrażaniem rozporządzenia (WE) nr </w:t>
      </w:r>
      <w:r w:rsidR="00DE05DC" w:rsidRPr="009E064B">
        <w:rPr>
          <w:rFonts w:asciiTheme="minorHAnsi" w:hAnsiTheme="minorHAnsi" w:cstheme="minorHAnsi"/>
          <w:sz w:val="22"/>
          <w:szCs w:val="20"/>
        </w:rPr>
        <w:t>216/2008 i jego przepisów wykonawczych.</w:t>
      </w:r>
    </w:p>
    <w:p w14:paraId="33ACDA81" w14:textId="5DC0FB5F"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przekazuje Agencji informacje mające znaczenie dla bezpieczeństwa uzyskane na podstawie otrzymanych prze</w:t>
      </w:r>
      <w:r w:rsidR="00D1567C" w:rsidRPr="009E064B">
        <w:rPr>
          <w:rFonts w:asciiTheme="minorHAnsi" w:hAnsiTheme="minorHAnsi" w:cstheme="minorHAnsi"/>
          <w:sz w:val="22"/>
          <w:szCs w:val="20"/>
        </w:rPr>
        <w:t xml:space="preserve">z ten organ </w:t>
      </w:r>
      <w:r w:rsidR="00DE05DC" w:rsidRPr="009E064B">
        <w:rPr>
          <w:rFonts w:asciiTheme="minorHAnsi" w:hAnsiTheme="minorHAnsi" w:cstheme="minorHAnsi"/>
          <w:sz w:val="22"/>
          <w:szCs w:val="20"/>
        </w:rPr>
        <w:t>zgłoszeń o zdarzeniach.</w:t>
      </w:r>
    </w:p>
    <w:p w14:paraId="094763A1" w14:textId="22499C90" w:rsidR="00DC7DA6" w:rsidRPr="009E064B" w:rsidRDefault="00DE05DC" w:rsidP="00B06A9A">
      <w:pPr>
        <w:pStyle w:val="Nagwek3"/>
      </w:pPr>
      <w:bookmarkStart w:id="46" w:name="_ADR.AR.A.030__"/>
      <w:bookmarkStart w:id="47" w:name="_Toc12532547"/>
      <w:bookmarkEnd w:id="46"/>
      <w:r w:rsidRPr="009E064B">
        <w:t xml:space="preserve">ADR.AR.A.030 </w:t>
      </w:r>
      <w:r w:rsidR="00D01EBC" w:rsidRPr="009E064B">
        <w:t xml:space="preserve">    </w:t>
      </w:r>
      <w:r w:rsidRPr="009E064B">
        <w:t>Natychmiastowa reakcja na zagrożenie bezpieczeństwa</w:t>
      </w:r>
      <w:bookmarkEnd w:id="47"/>
    </w:p>
    <w:p w14:paraId="12C5C606" w14:textId="7204AC69"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84A7FF0" w14:textId="2FE85101"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Nie naruszając przepisów dyrektywy 2003/42/WE Par</w:t>
      </w:r>
      <w:r w:rsidR="004B2C78" w:rsidRPr="009E064B">
        <w:rPr>
          <w:rFonts w:asciiTheme="minorHAnsi" w:hAnsiTheme="minorHAnsi" w:cstheme="minorHAnsi"/>
          <w:sz w:val="22"/>
          <w:szCs w:val="20"/>
        </w:rPr>
        <w:t>lamentu Europejskiego i Rady</w:t>
      </w:r>
      <w:r w:rsidR="004B2C78" w:rsidRPr="009E064B">
        <w:rPr>
          <w:rStyle w:val="Odwoanieprzypisudolnego"/>
          <w:rFonts w:asciiTheme="minorHAnsi" w:hAnsiTheme="minorHAnsi" w:cstheme="minorHAnsi"/>
          <w:sz w:val="22"/>
          <w:szCs w:val="20"/>
        </w:rPr>
        <w:footnoteReference w:id="15"/>
      </w:r>
      <w:r w:rsidR="00DE05DC" w:rsidRPr="009E064B">
        <w:rPr>
          <w:rFonts w:asciiTheme="minorHAnsi" w:hAnsiTheme="minorHAnsi" w:cstheme="minorHAnsi"/>
          <w:sz w:val="22"/>
          <w:szCs w:val="20"/>
        </w:rPr>
        <w:t>, właściwy organ wdraża system służący do odpowiednie</w:t>
      </w:r>
      <w:r w:rsidR="00752CFB" w:rsidRPr="009E064B">
        <w:rPr>
          <w:rFonts w:asciiTheme="minorHAnsi" w:hAnsiTheme="minorHAnsi" w:cstheme="minorHAnsi"/>
          <w:sz w:val="22"/>
          <w:szCs w:val="20"/>
        </w:rPr>
        <w:t>go gromadzenia, analizowania i </w:t>
      </w:r>
      <w:r w:rsidR="00DE05DC" w:rsidRPr="009E064B">
        <w:rPr>
          <w:rFonts w:asciiTheme="minorHAnsi" w:hAnsiTheme="minorHAnsi" w:cstheme="minorHAnsi"/>
          <w:sz w:val="22"/>
          <w:szCs w:val="20"/>
        </w:rPr>
        <w:t>rozpowszechniania informacji o bezpieczeństwie</w:t>
      </w:r>
      <w:r w:rsidR="002267BD" w:rsidRPr="009E064B">
        <w:rPr>
          <w:rStyle w:val="Odwoanieprzypisudolnego"/>
          <w:rFonts w:asciiTheme="minorHAnsi" w:hAnsiTheme="minorHAnsi" w:cstheme="minorHAnsi"/>
          <w:sz w:val="22"/>
          <w:szCs w:val="20"/>
        </w:rPr>
        <w:footnoteReference w:id="16"/>
      </w:r>
      <w:r w:rsidR="00DE05DC" w:rsidRPr="009E064B">
        <w:rPr>
          <w:rFonts w:asciiTheme="minorHAnsi" w:hAnsiTheme="minorHAnsi" w:cstheme="minorHAnsi"/>
          <w:sz w:val="22"/>
          <w:szCs w:val="20"/>
        </w:rPr>
        <w:t>.</w:t>
      </w:r>
    </w:p>
    <w:p w14:paraId="6D1AF705" w14:textId="74CD08C7"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Agencja wdraża system służący do odpowiedniego analizowania wszelkich otrzymanych</w:t>
      </w:r>
      <w:r w:rsidR="00C36D6C" w:rsidRPr="009E064B">
        <w:rPr>
          <w:rFonts w:asciiTheme="minorHAnsi" w:hAnsiTheme="minorHAnsi" w:cstheme="minorHAnsi"/>
          <w:sz w:val="22"/>
          <w:szCs w:val="20"/>
        </w:rPr>
        <w:t xml:space="preserve"> istotnych informacji o bezpie</w:t>
      </w:r>
      <w:r w:rsidR="00DE05DC" w:rsidRPr="009E064B">
        <w:rPr>
          <w:rFonts w:asciiTheme="minorHAnsi" w:hAnsiTheme="minorHAnsi" w:cstheme="minorHAnsi"/>
          <w:sz w:val="22"/>
          <w:szCs w:val="20"/>
        </w:rPr>
        <w:t>czeństwie i bez zbędnej zwłoki przekazuje państwom członkowskim or</w:t>
      </w:r>
      <w:r w:rsidR="006B3422" w:rsidRPr="009E064B">
        <w:rPr>
          <w:rFonts w:asciiTheme="minorHAnsi" w:hAnsiTheme="minorHAnsi" w:cstheme="minorHAnsi"/>
          <w:sz w:val="22"/>
          <w:szCs w:val="20"/>
        </w:rPr>
        <w:t xml:space="preserve">az Komisji wszelkie informacje – </w:t>
      </w:r>
      <w:r w:rsidR="00DE05DC" w:rsidRPr="009E064B">
        <w:rPr>
          <w:rFonts w:asciiTheme="minorHAnsi" w:hAnsiTheme="minorHAnsi" w:cstheme="minorHAnsi"/>
          <w:sz w:val="22"/>
          <w:szCs w:val="20"/>
        </w:rPr>
        <w:t>w tym zalecenia i działania naprawcze, jakie należy podjąć – niezbędne, aby mogły one zare</w:t>
      </w:r>
      <w:r w:rsidR="006B3422" w:rsidRPr="009E064B">
        <w:rPr>
          <w:rFonts w:asciiTheme="minorHAnsi" w:hAnsiTheme="minorHAnsi" w:cstheme="minorHAnsi"/>
          <w:sz w:val="22"/>
          <w:szCs w:val="20"/>
        </w:rPr>
        <w:t xml:space="preserve">agować w odpowiednim czasie na </w:t>
      </w:r>
      <w:r w:rsidR="00DE05DC" w:rsidRPr="009E064B">
        <w:rPr>
          <w:rFonts w:asciiTheme="minorHAnsi" w:hAnsiTheme="minorHAnsi" w:cstheme="minorHAnsi"/>
          <w:sz w:val="22"/>
          <w:szCs w:val="20"/>
        </w:rPr>
        <w:t>zagrożenie bezpieczeństwa dotyczące lotnisk, operatorów lotnisk i instytucji zapewniających służbę zarządzania płytą postojową podlegających rozporządzeniu (WE) nr 216/2008 i jego przepisom wykonawczym.</w:t>
      </w:r>
    </w:p>
    <w:p w14:paraId="3E837D0B" w14:textId="59E03CFF"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c</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Po otrzymaniu in</w:t>
      </w:r>
      <w:r w:rsidR="0077724D" w:rsidRPr="009E064B">
        <w:rPr>
          <w:rFonts w:asciiTheme="minorHAnsi" w:hAnsiTheme="minorHAnsi" w:cstheme="minorHAnsi"/>
          <w:sz w:val="22"/>
          <w:szCs w:val="20"/>
        </w:rPr>
        <w:t>formacji, o których mowa w lit. </w:t>
      </w:r>
      <w:r w:rsidR="0019788A"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a) i </w:t>
      </w:r>
      <w:r w:rsidR="0019788A"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b), właściwy organ podejmuje odpowiednie działania eliminujące zagrożenie bezpieczeństwa, w tym wydaje wytyczne bezpieczeństwa zgodnie z </w:t>
      </w:r>
      <w:hyperlink w:anchor="_ADR.AR.A.040__" w:history="1">
        <w:r w:rsidR="00DE05DC" w:rsidRPr="009E064B">
          <w:rPr>
            <w:rStyle w:val="Hipercze"/>
            <w:rFonts w:asciiTheme="minorHAnsi" w:hAnsiTheme="minorHAnsi" w:cstheme="minorHAnsi"/>
            <w:sz w:val="22"/>
            <w:szCs w:val="20"/>
          </w:rPr>
          <w:t>ADR.AR.A.040</w:t>
        </w:r>
      </w:hyperlink>
      <w:r w:rsidR="00DE05DC" w:rsidRPr="009E064B">
        <w:rPr>
          <w:rFonts w:asciiTheme="minorHAnsi" w:hAnsiTheme="minorHAnsi" w:cstheme="minorHAnsi"/>
          <w:sz w:val="22"/>
          <w:szCs w:val="20"/>
        </w:rPr>
        <w:t>.</w:t>
      </w:r>
    </w:p>
    <w:p w14:paraId="5560DD25" w14:textId="3287704D"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d</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Działania podjęte zgodnie z lit. </w:t>
      </w:r>
      <w:r w:rsidR="0019788A" w:rsidRPr="009E064B">
        <w:rPr>
          <w:rFonts w:asciiTheme="minorHAnsi" w:hAnsiTheme="minorHAnsi" w:cstheme="minorHAnsi"/>
          <w:sz w:val="22"/>
          <w:szCs w:val="20"/>
        </w:rPr>
        <w:t>(</w:t>
      </w:r>
      <w:r w:rsidR="00DE05DC" w:rsidRPr="009E064B">
        <w:rPr>
          <w:rFonts w:asciiTheme="minorHAnsi" w:hAnsiTheme="minorHAnsi" w:cstheme="minorHAnsi"/>
          <w:sz w:val="22"/>
          <w:szCs w:val="20"/>
        </w:rPr>
        <w:t>c) są niezwłocznie zgłaszane operatorom lotnisk lub instytucjom zapewniającym służbę zarządzania płytą lotniska, które muszą się do tych działań zastosować zgodnie z rozporządzeniem (WE) nr 216/2008 i jego przepisami wykonawczymi. Właściwy organ powiadamia o tych działaniach również A</w:t>
      </w:r>
      <w:r w:rsidR="006B3422" w:rsidRPr="009E064B">
        <w:rPr>
          <w:rFonts w:asciiTheme="minorHAnsi" w:hAnsiTheme="minorHAnsi" w:cstheme="minorHAnsi"/>
          <w:sz w:val="22"/>
          <w:szCs w:val="20"/>
        </w:rPr>
        <w:t xml:space="preserve">gencję oraz, w </w:t>
      </w:r>
      <w:r w:rsidR="00DE05DC" w:rsidRPr="009E064B">
        <w:rPr>
          <w:rFonts w:asciiTheme="minorHAnsi" w:hAnsiTheme="minorHAnsi" w:cstheme="minorHAnsi"/>
          <w:sz w:val="22"/>
          <w:szCs w:val="20"/>
        </w:rPr>
        <w:t>razie konieczności podjęcia wspólnych działań, odpowiednie państwa członkowskie.</w:t>
      </w:r>
    </w:p>
    <w:p w14:paraId="0010BF98" w14:textId="36F2C1A8" w:rsidR="001B1A05" w:rsidRPr="009E064B" w:rsidRDefault="00D01EBC" w:rsidP="00133B99">
      <w:pPr>
        <w:pStyle w:val="Nagwek5"/>
      </w:pPr>
      <w:bookmarkStart w:id="48" w:name="_Toc492024495"/>
      <w:bookmarkStart w:id="49" w:name="_Toc12532548"/>
      <w:r w:rsidRPr="009E064B">
        <w:t xml:space="preserve">AMC1 ADR.AR.A.030(d)     </w:t>
      </w:r>
      <w:r w:rsidR="001B1A05" w:rsidRPr="009E064B">
        <w:t>Natychmiastowa reakcja na zagrożenie bezpieczeństwa</w:t>
      </w:r>
      <w:bookmarkEnd w:id="48"/>
      <w:bookmarkEnd w:id="49"/>
    </w:p>
    <w:p w14:paraId="1D92D3F5" w14:textId="1B71A7CC" w:rsidR="00FC6CDB"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4DA1827" w14:textId="77777777" w:rsidR="001B1A05" w:rsidRPr="009E064B" w:rsidRDefault="001B1A05"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POWIADAMIANIE O PODJĘTYCH ŚRODKACH</w:t>
      </w:r>
    </w:p>
    <w:p w14:paraId="5DDD4F7B" w14:textId="04382254" w:rsidR="001B1A05" w:rsidRPr="009E064B" w:rsidRDefault="001B1A05"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 xml:space="preserve">Jeśli właściwy organ kieruje środek do instytucji zapewniającej służbę </w:t>
      </w:r>
      <w:r w:rsidR="008E0CFB">
        <w:rPr>
          <w:rFonts w:asciiTheme="minorHAnsi" w:eastAsia="Calibri" w:hAnsiTheme="minorHAnsi" w:cstheme="minorHAnsi"/>
          <w:szCs w:val="18"/>
        </w:rPr>
        <w:t>zarządzania płytą postojową, to </w:t>
      </w:r>
      <w:r w:rsidRPr="009E064B">
        <w:rPr>
          <w:rFonts w:asciiTheme="minorHAnsi" w:eastAsia="Calibri" w:hAnsiTheme="minorHAnsi" w:cstheme="minorHAnsi"/>
          <w:szCs w:val="18"/>
        </w:rPr>
        <w:t>powinien on także powiadomić o tych środkach operatora lotniska.</w:t>
      </w:r>
    </w:p>
    <w:p w14:paraId="0E3F0E2F" w14:textId="76008379" w:rsidR="00DC7DA6" w:rsidRPr="009E064B" w:rsidRDefault="00DE05DC" w:rsidP="00B06A9A">
      <w:pPr>
        <w:pStyle w:val="Nagwek3"/>
      </w:pPr>
      <w:bookmarkStart w:id="50" w:name="_ADR.AR.A.040__"/>
      <w:bookmarkStart w:id="51" w:name="_Toc12532549"/>
      <w:bookmarkEnd w:id="50"/>
      <w:r w:rsidRPr="009E064B">
        <w:t xml:space="preserve">ADR.AR.A.040 </w:t>
      </w:r>
      <w:r w:rsidR="00D01EBC" w:rsidRPr="009E064B">
        <w:t xml:space="preserve">    </w:t>
      </w:r>
      <w:r w:rsidRPr="009E064B">
        <w:t>Wytyczne bezpieczeństwa</w:t>
      </w:r>
      <w:bookmarkEnd w:id="51"/>
    </w:p>
    <w:p w14:paraId="240FD527" w14:textId="1072F293"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E70F5DD" w14:textId="529AA680"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wydaje wytyczne bezpieczeństwa w przypadku stwierdzenia stanu zagrażającego bezpieczeństwu wymagającego podjęcia natychmiastowych działań, w tym wykazania zgodności z w</w:t>
      </w:r>
      <w:r w:rsidR="00C57ED3" w:rsidRPr="009E064B">
        <w:rPr>
          <w:rFonts w:asciiTheme="minorHAnsi" w:hAnsiTheme="minorHAnsi" w:cstheme="minorHAnsi"/>
          <w:sz w:val="22"/>
          <w:szCs w:val="20"/>
        </w:rPr>
        <w:t>szelkimi zmienionymi lub dodat</w:t>
      </w:r>
      <w:r w:rsidR="00DE05DC" w:rsidRPr="009E064B">
        <w:rPr>
          <w:rFonts w:asciiTheme="minorHAnsi" w:hAnsiTheme="minorHAnsi" w:cstheme="minorHAnsi"/>
          <w:sz w:val="22"/>
          <w:szCs w:val="20"/>
        </w:rPr>
        <w:t>kowymi specyfikacjami certyfikacyjnymi wydanymi przez Agencję, które właściwy organ uzna za niezbędne.</w:t>
      </w:r>
    </w:p>
    <w:p w14:paraId="1E94D7B5" w14:textId="42700CC1" w:rsidR="00DC7DA6" w:rsidRPr="009E064B" w:rsidRDefault="00C55A7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b</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C57ED3" w:rsidRPr="009E064B">
        <w:rPr>
          <w:rFonts w:asciiTheme="minorHAnsi" w:hAnsiTheme="minorHAnsi" w:cstheme="minorHAnsi"/>
          <w:sz w:val="22"/>
          <w:szCs w:val="20"/>
        </w:rPr>
        <w:t xml:space="preserve">Wytyczne bezpieczeństwa są przekazywane operatorom </w:t>
      </w:r>
      <w:r w:rsidR="00DE05DC" w:rsidRPr="009E064B">
        <w:rPr>
          <w:rFonts w:asciiTheme="minorHAnsi" w:hAnsiTheme="minorHAnsi" w:cstheme="minorHAnsi"/>
          <w:sz w:val="22"/>
          <w:szCs w:val="20"/>
        </w:rPr>
        <w:t>lotnisk lub instytucjom zapewniającym s</w:t>
      </w:r>
      <w:r w:rsidR="00C57ED3" w:rsidRPr="009E064B">
        <w:rPr>
          <w:rFonts w:asciiTheme="minorHAnsi" w:hAnsiTheme="minorHAnsi" w:cstheme="minorHAnsi"/>
          <w:sz w:val="22"/>
          <w:szCs w:val="20"/>
        </w:rPr>
        <w:t xml:space="preserve">łużbę </w:t>
      </w:r>
      <w:r w:rsidR="00DE05DC" w:rsidRPr="009E064B">
        <w:rPr>
          <w:rFonts w:asciiTheme="minorHAnsi" w:hAnsiTheme="minorHAnsi" w:cstheme="minorHAnsi"/>
          <w:sz w:val="22"/>
          <w:szCs w:val="20"/>
        </w:rPr>
        <w:t>zarządzania płytą postojową (stosown</w:t>
      </w:r>
      <w:r w:rsidR="0077724D" w:rsidRPr="009E064B">
        <w:rPr>
          <w:rFonts w:asciiTheme="minorHAnsi" w:hAnsiTheme="minorHAnsi" w:cstheme="minorHAnsi"/>
          <w:sz w:val="22"/>
          <w:szCs w:val="20"/>
        </w:rPr>
        <w:t>ie do przypadku) i zawierają co </w:t>
      </w:r>
      <w:r w:rsidR="00DE05DC" w:rsidRPr="009E064B">
        <w:rPr>
          <w:rFonts w:asciiTheme="minorHAnsi" w:hAnsiTheme="minorHAnsi" w:cstheme="minorHAnsi"/>
          <w:sz w:val="22"/>
          <w:szCs w:val="20"/>
        </w:rPr>
        <w:t>najmniej następujące informacje:</w:t>
      </w:r>
    </w:p>
    <w:p w14:paraId="4F240BFA" w14:textId="64FF3BF4"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1</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opis stanu zagrażającego bezpieczeństwu;</w:t>
      </w:r>
    </w:p>
    <w:p w14:paraId="34EC4BC4" w14:textId="175FD041"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2</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opis projektu, wyposażenia lub operacji, których stan ten dotyczy;</w:t>
      </w:r>
    </w:p>
    <w:p w14:paraId="68235ECA" w14:textId="3EF19A16"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3</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opis koniecznych działań i ich uzasadnienie, w tym zmienione lub dodatkowe specyfikacje certyfikacyjne, których warunki należy spełnić;</w:t>
      </w:r>
    </w:p>
    <w:p w14:paraId="2FF85B41" w14:textId="0FFAD508"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4</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termin realizacji koniecznych działań; oraz</w:t>
      </w:r>
    </w:p>
    <w:p w14:paraId="65D1875B" w14:textId="61F59964"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5)</w:t>
      </w:r>
      <w:r w:rsidR="00B11E44"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datę ich wejścia w życie.</w:t>
      </w:r>
    </w:p>
    <w:p w14:paraId="3242977C" w14:textId="713DE814"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c</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przekazuje Agencji kopię wytycznych bezpieczeństwa.</w:t>
      </w:r>
    </w:p>
    <w:p w14:paraId="3FBA3954" w14:textId="53F4C065"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d</w:t>
      </w:r>
      <w:r w:rsidR="001C23A0" w:rsidRPr="009E064B">
        <w:rPr>
          <w:rFonts w:asciiTheme="minorHAnsi" w:hAnsiTheme="minorHAnsi" w:cstheme="minorHAnsi"/>
          <w:sz w:val="22"/>
          <w:szCs w:val="20"/>
        </w:rPr>
        <w:t xml:space="preserv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weryfikuje przestrzeganie stosownych wytycznych bezpieczeństwa pr</w:t>
      </w:r>
      <w:r w:rsidR="00483D7A" w:rsidRPr="009E064B">
        <w:rPr>
          <w:rFonts w:asciiTheme="minorHAnsi" w:hAnsiTheme="minorHAnsi" w:cstheme="minorHAnsi"/>
          <w:sz w:val="22"/>
          <w:szCs w:val="20"/>
        </w:rPr>
        <w:t>zez operatorów lotnisk i insty</w:t>
      </w:r>
      <w:r w:rsidR="00DE05DC" w:rsidRPr="009E064B">
        <w:rPr>
          <w:rFonts w:asciiTheme="minorHAnsi" w:hAnsiTheme="minorHAnsi" w:cstheme="minorHAnsi"/>
          <w:sz w:val="22"/>
          <w:szCs w:val="20"/>
        </w:rPr>
        <w:t>tucje zapewniające służbę zarządzania płytą postojową.</w:t>
      </w:r>
    </w:p>
    <w:p w14:paraId="663617B7" w14:textId="60DC4890" w:rsidR="00B27349" w:rsidRPr="009E064B" w:rsidRDefault="00B27349" w:rsidP="00133B99">
      <w:pPr>
        <w:pStyle w:val="Nagwek6"/>
      </w:pPr>
      <w:bookmarkStart w:id="52" w:name="_Toc492024496"/>
      <w:bookmarkStart w:id="53" w:name="_Toc12532550"/>
      <w:r w:rsidRPr="009E064B">
        <w:t xml:space="preserve">GM1 ADR.AR.A.040(b)    </w:t>
      </w:r>
      <w:r w:rsidR="00D01EBC" w:rsidRPr="009E064B">
        <w:t xml:space="preserve"> </w:t>
      </w:r>
      <w:r w:rsidRPr="009E064B">
        <w:t>Wytyczne bezpieczeństwa</w:t>
      </w:r>
      <w:bookmarkEnd w:id="52"/>
      <w:bookmarkEnd w:id="53"/>
    </w:p>
    <w:p w14:paraId="4438BD45" w14:textId="197E4E7E" w:rsidR="00FC6CDB"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FC1C839" w14:textId="77777777" w:rsidR="00B27349" w:rsidRPr="009E064B" w:rsidRDefault="00B27349" w:rsidP="00B06A9A">
      <w:pPr>
        <w:rPr>
          <w:rFonts w:asciiTheme="minorHAnsi" w:hAnsiTheme="minorHAnsi" w:cstheme="minorHAnsi"/>
        </w:rPr>
      </w:pPr>
      <w:r w:rsidRPr="009E064B">
        <w:rPr>
          <w:rFonts w:asciiTheme="minorHAnsi" w:hAnsiTheme="minorHAnsi" w:cstheme="minorHAnsi"/>
        </w:rPr>
        <w:t>PRZEKAZYWANIE WYTYCZNYCH BEZPIECZEŃSTWA</w:t>
      </w:r>
    </w:p>
    <w:p w14:paraId="582B0979" w14:textId="684B41E2" w:rsidR="00B27349" w:rsidRPr="009E064B" w:rsidRDefault="00B27349" w:rsidP="00B06A9A">
      <w:pPr>
        <w:rPr>
          <w:rFonts w:asciiTheme="minorHAnsi" w:hAnsiTheme="minorHAnsi" w:cstheme="minorHAnsi"/>
        </w:rPr>
      </w:pPr>
      <w:r w:rsidRPr="009E064B">
        <w:rPr>
          <w:rFonts w:asciiTheme="minorHAnsi" w:hAnsiTheme="minorHAnsi" w:cstheme="minorHAnsi"/>
        </w:rPr>
        <w:t xml:space="preserve">Wytyczne bezpieczeństwa, które powinny być przekazywane do Agencji na podstawie </w:t>
      </w:r>
      <w:hyperlink w:anchor="_ADR.AR.A.040__" w:history="1">
        <w:r w:rsidRPr="009E064B">
          <w:rPr>
            <w:rStyle w:val="Hipercze"/>
            <w:rFonts w:asciiTheme="minorHAnsi" w:hAnsiTheme="minorHAnsi" w:cstheme="minorHAnsi"/>
          </w:rPr>
          <w:t>ADR.AR.A.040</w:t>
        </w:r>
      </w:hyperlink>
      <w:r w:rsidRPr="009E064B">
        <w:rPr>
          <w:rFonts w:asciiTheme="minorHAnsi" w:hAnsiTheme="minorHAnsi" w:cstheme="minorHAnsi"/>
        </w:rPr>
        <w:t xml:space="preserve"> obejmują, ale nie ograniczają się do przypadków takich jak przedstawione poniżej, w których właściwy organ ustalił, że:</w:t>
      </w:r>
    </w:p>
    <w:p w14:paraId="06174DD6" w14:textId="77777777" w:rsidR="00B27349" w:rsidRPr="009E064B" w:rsidRDefault="00B27349"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Pr="009E064B">
        <w:rPr>
          <w:rFonts w:asciiTheme="minorHAnsi" w:hAnsiTheme="minorHAnsi" w:cstheme="minorHAnsi"/>
          <w:sz w:val="22"/>
          <w:szCs w:val="20"/>
        </w:rPr>
        <w:tab/>
        <w:t>konieczne jest, aby uwzględnić dodatkowe specyfikacje certyfikacyjne w podstawie certyfikacji lotniska;</w:t>
      </w:r>
    </w:p>
    <w:p w14:paraId="4711CD47" w14:textId="77777777" w:rsidR="00B27349" w:rsidRPr="009E064B" w:rsidRDefault="00B27349"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Pr="009E064B">
        <w:rPr>
          <w:rFonts w:asciiTheme="minorHAnsi" w:hAnsiTheme="minorHAnsi" w:cstheme="minorHAnsi"/>
          <w:sz w:val="22"/>
          <w:szCs w:val="20"/>
        </w:rPr>
        <w:tab/>
        <w:t>na wyposażeniu lotniska występowały niezwykłe, częste, lub w inny sposób nieuzasadnione usterki lub awarie;</w:t>
      </w:r>
    </w:p>
    <w:p w14:paraId="10FD0206" w14:textId="77777777" w:rsidR="00B27349" w:rsidRPr="009E064B" w:rsidRDefault="00B27349"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(c) </w:t>
      </w:r>
      <w:r w:rsidRPr="009E064B">
        <w:rPr>
          <w:rFonts w:asciiTheme="minorHAnsi" w:hAnsiTheme="minorHAnsi" w:cstheme="minorHAnsi"/>
          <w:sz w:val="22"/>
          <w:szCs w:val="20"/>
        </w:rPr>
        <w:tab/>
        <w:t>specyfikacje certyfikacyjne ustanowione przez Agencję są takie, że w danych warunkach są wymagane dodatkowe działania, które należy podjąć w celu utrzymania poziomu bezpieczeństwa;</w:t>
      </w:r>
    </w:p>
    <w:p w14:paraId="554362DD" w14:textId="77777777" w:rsidR="00B27349" w:rsidRPr="009E064B" w:rsidRDefault="00B27349"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(d) </w:t>
      </w:r>
      <w:r w:rsidRPr="009E064B">
        <w:rPr>
          <w:rFonts w:asciiTheme="minorHAnsi" w:hAnsiTheme="minorHAnsi" w:cstheme="minorHAnsi"/>
          <w:sz w:val="22"/>
          <w:szCs w:val="20"/>
        </w:rPr>
        <w:tab/>
        <w:t>istnieje pilna potrzeba, aby podjąć pewne działania w celu dostosowania się do zaleceń bezpieczeństwa lub w następstwie wypadku albo poważnego incydentu, lub</w:t>
      </w:r>
    </w:p>
    <w:p w14:paraId="1534AB74" w14:textId="77777777" w:rsidR="00B27349" w:rsidRPr="009E064B" w:rsidRDefault="00B27349"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(e) </w:t>
      </w:r>
      <w:r w:rsidRPr="009E064B">
        <w:rPr>
          <w:rFonts w:asciiTheme="minorHAnsi" w:hAnsiTheme="minorHAnsi" w:cstheme="minorHAnsi"/>
          <w:sz w:val="22"/>
          <w:szCs w:val="20"/>
        </w:rPr>
        <w:tab/>
        <w:t>ten lub podobny stan niebezpieczny może występować na innych lotniskach w tym samym państwie członkowskim.</w:t>
      </w:r>
    </w:p>
    <w:p w14:paraId="20A23B96" w14:textId="77777777" w:rsidR="00B27349" w:rsidRPr="009E064B" w:rsidRDefault="00B27349" w:rsidP="00B06A9A">
      <w:pPr>
        <w:rPr>
          <w:rFonts w:asciiTheme="minorHAnsi" w:hAnsiTheme="minorHAnsi" w:cstheme="minorHAnsi"/>
        </w:rPr>
      </w:pPr>
      <w:r w:rsidRPr="009E064B">
        <w:rPr>
          <w:rFonts w:asciiTheme="minorHAnsi" w:hAnsiTheme="minorHAnsi" w:cstheme="minorHAnsi"/>
        </w:rPr>
        <w:t>Właściwe organy Państw Członkowskich mogą wydawać wytyczne bezpieczeństwa (które mogą być nazywane wytycznymi operacyjnymi lub w inny sposób) w czasie swoich działań nadzorczych, takie jak polecenie nakazujące operatorowi lotniska powstrzymanie się od określonej działalności lub pozytywne działania (np. wycinkę drzew, co do których uznano, że przenikają OLS lub usunięcie określonego obiektu z lotniska itp.) potrzebne do utrzymania właściwego poziomu bezpieczeństwa. Takich wytycznych nie przekazuje się do Agencji.</w:t>
      </w:r>
    </w:p>
    <w:p w14:paraId="0AD4B70C" w14:textId="77777777" w:rsidR="0056474D" w:rsidRPr="009E064B" w:rsidRDefault="0056474D" w:rsidP="00B06A9A">
      <w:pPr>
        <w:rPr>
          <w:rFonts w:asciiTheme="minorHAnsi" w:hAnsiTheme="minorHAnsi" w:cstheme="minorHAnsi"/>
        </w:rPr>
      </w:pPr>
    </w:p>
    <w:p w14:paraId="1D7EFAC3" w14:textId="77777777" w:rsidR="0056474D" w:rsidRPr="009E064B" w:rsidRDefault="0056474D" w:rsidP="00B06A9A">
      <w:pPr>
        <w:rPr>
          <w:rFonts w:asciiTheme="minorHAnsi" w:hAnsiTheme="minorHAnsi" w:cstheme="minorHAnsi"/>
        </w:rPr>
      </w:pPr>
    </w:p>
    <w:p w14:paraId="2B66D58C" w14:textId="77777777" w:rsidR="0056474D" w:rsidRPr="009E064B" w:rsidRDefault="0056474D" w:rsidP="00B06A9A">
      <w:pPr>
        <w:ind w:right="-2"/>
        <w:rPr>
          <w:rFonts w:asciiTheme="minorHAnsi" w:hAnsiTheme="minorHAnsi" w:cstheme="minorHAnsi"/>
          <w:szCs w:val="20"/>
        </w:rPr>
        <w:sectPr w:rsidR="0056474D" w:rsidRPr="009E064B" w:rsidSect="00E300A0">
          <w:headerReference w:type="default" r:id="rId48"/>
          <w:headerReference w:type="first" r:id="rId49"/>
          <w:pgSz w:w="11906" w:h="16840" w:code="9"/>
          <w:pgMar w:top="1701" w:right="1418" w:bottom="1418" w:left="1418" w:header="567" w:footer="454" w:gutter="0"/>
          <w:cols w:space="708"/>
          <w:titlePg/>
        </w:sectPr>
      </w:pPr>
    </w:p>
    <w:p w14:paraId="60B50193" w14:textId="1C9ED6EE" w:rsidR="00DC7DA6" w:rsidRPr="009E064B" w:rsidRDefault="00DE05DC" w:rsidP="00020EA3">
      <w:pPr>
        <w:pStyle w:val="Nagwek2"/>
      </w:pPr>
      <w:bookmarkStart w:id="54" w:name="_Toc12532551"/>
      <w:r w:rsidRPr="009E064B">
        <w:t>PODCZĘŚĆ B — ZARZĄDZANIE (ADR.AR.B)</w:t>
      </w:r>
      <w:bookmarkEnd w:id="54"/>
    </w:p>
    <w:p w14:paraId="772D1236" w14:textId="4DD2F347" w:rsidR="00DC7DA6" w:rsidRPr="009E064B" w:rsidRDefault="00DE05DC" w:rsidP="00B06A9A">
      <w:pPr>
        <w:pStyle w:val="Nagwek3"/>
      </w:pPr>
      <w:bookmarkStart w:id="55" w:name="_ADR.AR.B.005__"/>
      <w:bookmarkStart w:id="56" w:name="_Toc12532552"/>
      <w:bookmarkEnd w:id="55"/>
      <w:r w:rsidRPr="009E064B">
        <w:t xml:space="preserve">ADR.AR.B.005 </w:t>
      </w:r>
      <w:r w:rsidR="00D01EBC" w:rsidRPr="009E064B">
        <w:t xml:space="preserve">    </w:t>
      </w:r>
      <w:r w:rsidRPr="009E064B">
        <w:t>System zarządzania</w:t>
      </w:r>
      <w:bookmarkEnd w:id="56"/>
    </w:p>
    <w:p w14:paraId="1720A6FE" w14:textId="23DCB626" w:rsidR="00842D0E" w:rsidRPr="009E064B" w:rsidRDefault="00A80E78" w:rsidP="00B06A9A">
      <w:pPr>
        <w:pStyle w:val="Tekstpodstawowy"/>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AB31E09" w14:textId="25D99BEF"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ustanawia i utrzymuje system zarządzania obejmujący co najmniej:</w:t>
      </w:r>
    </w:p>
    <w:p w14:paraId="24942F37" w14:textId="173A5290" w:rsidR="00DC7DA6" w:rsidRPr="009E064B" w:rsidRDefault="00A669F8" w:rsidP="00C81356">
      <w:pPr>
        <w:tabs>
          <w:tab w:val="left" w:pos="993"/>
        </w:tabs>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1</w:t>
      </w:r>
      <w:r w:rsidR="001C23A0" w:rsidRPr="009E064B">
        <w:rPr>
          <w:rFonts w:asciiTheme="minorHAnsi" w:eastAsia="Times New Roman" w:hAnsiTheme="minorHAnsi" w:cstheme="minorHAnsi"/>
          <w:szCs w:val="20"/>
        </w:rPr>
        <w:t xml:space="preserve">)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udokumentowane strategie i procedury opisujące jego strukturę organizacyjną oraz środki i metody zapewnienia zgodności z rozporządzeniem (WE) nr 216/2008 oraz jego przepisami wykonawczymi. Procedury muszą być aktualizowane i wykorzystywane jako podstawowe dokumenty robocze na użytek wewnętrzny danego właściwego organu podczas wykonywania wszelkich odpowiednich zadań;</w:t>
      </w:r>
    </w:p>
    <w:p w14:paraId="337E2605" w14:textId="4F3E0FF4" w:rsidR="00EE27E1" w:rsidRPr="009E064B" w:rsidRDefault="00EE27E1" w:rsidP="00C81356">
      <w:pPr>
        <w:tabs>
          <w:tab w:val="left" w:pos="993"/>
        </w:tabs>
        <w:spacing w:after="40"/>
        <w:ind w:left="992"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63E412B1" w14:textId="21D49266" w:rsidR="00DC7DA6" w:rsidRPr="009E064B" w:rsidRDefault="00A669F8" w:rsidP="00C81356">
      <w:pPr>
        <w:tabs>
          <w:tab w:val="left" w:pos="993"/>
        </w:tabs>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2</w:t>
      </w:r>
      <w:r w:rsidR="001C23A0" w:rsidRPr="009E064B">
        <w:rPr>
          <w:rFonts w:asciiTheme="minorHAnsi" w:eastAsia="Times New Roman" w:hAnsiTheme="minorHAnsi" w:cstheme="minorHAnsi"/>
          <w:szCs w:val="20"/>
        </w:rPr>
        <w:t xml:space="preserve">)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wystarczającą liczebność personelu, w tym inspektorów lotniskowych, w celu wykonywania</w:t>
      </w:r>
      <w:r w:rsidR="00C36D6C" w:rsidRPr="009E064B">
        <w:rPr>
          <w:rFonts w:asciiTheme="minorHAnsi" w:eastAsia="Times New Roman" w:hAnsiTheme="minorHAnsi" w:cstheme="minorHAnsi"/>
          <w:szCs w:val="20"/>
        </w:rPr>
        <w:t xml:space="preserve"> swoich zadań i wywią</w:t>
      </w:r>
      <w:r w:rsidR="00CD5ADE" w:rsidRPr="009E064B">
        <w:rPr>
          <w:rFonts w:asciiTheme="minorHAnsi" w:eastAsia="Times New Roman" w:hAnsiTheme="minorHAnsi" w:cstheme="minorHAnsi"/>
          <w:szCs w:val="20"/>
        </w:rPr>
        <w:t xml:space="preserve">zywania się ze swoich obowiązków. Personel taki musi mieć kwalifikacje do </w:t>
      </w:r>
      <w:r w:rsidR="00DE05DC" w:rsidRPr="009E064B">
        <w:rPr>
          <w:rFonts w:asciiTheme="minorHAnsi" w:eastAsia="Times New Roman" w:hAnsiTheme="minorHAnsi" w:cstheme="minorHAnsi"/>
          <w:szCs w:val="20"/>
        </w:rPr>
        <w:t>wykonywania przydzielonych mu zadań oraz posiadać konieczną wiedzę, doświadczenie, a także wstępne, praktyczne i okresowe przeszkolenie zapewniające zachowanie kompetencji. Należy wprowadzić system planowania dostępności personelu gwarantujący właściwą realizację wszystkich odpowiednich zadań;</w:t>
      </w:r>
    </w:p>
    <w:p w14:paraId="59E23178" w14:textId="77777777" w:rsidR="00EE27E1" w:rsidRPr="009E064B" w:rsidRDefault="00EE27E1" w:rsidP="00C81356">
      <w:pPr>
        <w:tabs>
          <w:tab w:val="left" w:pos="993"/>
        </w:tabs>
        <w:spacing w:after="40"/>
        <w:ind w:left="992"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3FADF59B" w14:textId="31964465" w:rsidR="00DC7DA6" w:rsidRPr="009E064B" w:rsidRDefault="00A669F8" w:rsidP="00C81356">
      <w:pPr>
        <w:tabs>
          <w:tab w:val="left" w:pos="993"/>
        </w:tabs>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3</w:t>
      </w:r>
      <w:r w:rsidR="001C23A0" w:rsidRPr="009E064B">
        <w:rPr>
          <w:rFonts w:asciiTheme="minorHAnsi" w:eastAsia="Times New Roman" w:hAnsiTheme="minorHAnsi" w:cstheme="minorHAnsi"/>
          <w:szCs w:val="20"/>
        </w:rPr>
        <w:t xml:space="preserve">)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odpowiednie zaplecze i pomieszczenia biurowe umożliwiające wykonanie przydzielonych zadań;</w:t>
      </w:r>
    </w:p>
    <w:p w14:paraId="3ECE4ECC" w14:textId="77777777" w:rsidR="00EE27E1" w:rsidRPr="009E064B" w:rsidRDefault="00EE27E1" w:rsidP="00C81356">
      <w:pPr>
        <w:tabs>
          <w:tab w:val="left" w:pos="993"/>
        </w:tabs>
        <w:spacing w:after="40"/>
        <w:ind w:left="992"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0FB404F7" w14:textId="265C1167" w:rsidR="00DC7DA6" w:rsidRPr="009E064B" w:rsidRDefault="00A669F8" w:rsidP="00C81356">
      <w:pPr>
        <w:tabs>
          <w:tab w:val="left" w:pos="993"/>
        </w:tabs>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4</w:t>
      </w:r>
      <w:r w:rsidR="001C23A0" w:rsidRPr="009E064B">
        <w:rPr>
          <w:rFonts w:asciiTheme="minorHAnsi" w:eastAsia="Times New Roman" w:hAnsiTheme="minorHAnsi" w:cstheme="minorHAnsi"/>
          <w:szCs w:val="20"/>
        </w:rPr>
        <w:t xml:space="preserve">)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sformalizowaną funkcję monitorowania zgodności systemu zarządzania z odpo</w:t>
      </w:r>
      <w:r w:rsidR="00C36D6C" w:rsidRPr="009E064B">
        <w:rPr>
          <w:rFonts w:asciiTheme="minorHAnsi" w:eastAsia="Times New Roman" w:hAnsiTheme="minorHAnsi" w:cstheme="minorHAnsi"/>
          <w:szCs w:val="20"/>
        </w:rPr>
        <w:t>wiednimi wymaganiami oraz adek</w:t>
      </w:r>
      <w:r w:rsidR="00DE05DC" w:rsidRPr="009E064B">
        <w:rPr>
          <w:rFonts w:asciiTheme="minorHAnsi" w:eastAsia="Times New Roman" w:hAnsiTheme="minorHAnsi" w:cstheme="minorHAnsi"/>
          <w:szCs w:val="20"/>
        </w:rPr>
        <w:t>watność procedur, w ty</w:t>
      </w:r>
      <w:r w:rsidR="00750CFF" w:rsidRPr="009E064B">
        <w:rPr>
          <w:rFonts w:asciiTheme="minorHAnsi" w:eastAsia="Times New Roman" w:hAnsiTheme="minorHAnsi" w:cstheme="minorHAnsi"/>
          <w:szCs w:val="20"/>
        </w:rPr>
        <w:t>m procesy audytu wewnętrznego i </w:t>
      </w:r>
      <w:r w:rsidR="00DE05DC" w:rsidRPr="009E064B">
        <w:rPr>
          <w:rFonts w:asciiTheme="minorHAnsi" w:eastAsia="Times New Roman" w:hAnsiTheme="minorHAnsi" w:cstheme="minorHAnsi"/>
          <w:szCs w:val="20"/>
        </w:rPr>
        <w:t>zarządzania ryzykiem w zakresie bezpieczeństwa.</w:t>
      </w:r>
    </w:p>
    <w:p w14:paraId="16A185A1" w14:textId="77777777" w:rsidR="00EE27E1" w:rsidRPr="009E064B" w:rsidRDefault="00EE27E1" w:rsidP="00C81356">
      <w:pPr>
        <w:tabs>
          <w:tab w:val="left" w:pos="993"/>
        </w:tabs>
        <w:spacing w:after="40"/>
        <w:ind w:left="992"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082F406A" w14:textId="01AA1493" w:rsidR="00DC7DA6" w:rsidRPr="009E064B" w:rsidRDefault="00A669F8" w:rsidP="00C81356">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1C23A0" w:rsidRPr="009E064B">
        <w:rPr>
          <w:rFonts w:asciiTheme="minorHAnsi" w:hAnsiTheme="minorHAnsi" w:cstheme="minorHAnsi"/>
          <w:sz w:val="22"/>
          <w:szCs w:val="20"/>
        </w:rPr>
        <w:t xml:space="preserve">)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 odniesieniu do każdego obszaru swojej działalności objętego systemem zarządzania właściwy organ wyznacza przynajmniej jedną osobę odpowiedzialną za całość zarządzania realizacją odpowiednich zadań.</w:t>
      </w:r>
    </w:p>
    <w:p w14:paraId="3CF5532B" w14:textId="77777777" w:rsidR="00EE27E1" w:rsidRPr="009E064B" w:rsidRDefault="00EE27E1" w:rsidP="00C81356">
      <w:pPr>
        <w:tabs>
          <w:tab w:val="left" w:pos="993"/>
        </w:tabs>
        <w:spacing w:after="40"/>
        <w:ind w:left="992"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17C6DD54" w14:textId="08E4B6BC" w:rsidR="00DC7DA6" w:rsidRPr="009E064B" w:rsidRDefault="00A669F8" w:rsidP="00EE27E1">
      <w:pPr>
        <w:pStyle w:val="Tekstpodstawowy"/>
        <w:tabs>
          <w:tab w:val="left" w:pos="567"/>
        </w:tabs>
        <w:spacing w:after="0"/>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c</w:t>
      </w:r>
      <w:r w:rsidR="001C23A0" w:rsidRPr="009E064B">
        <w:rPr>
          <w:rFonts w:asciiTheme="minorHAnsi" w:hAnsiTheme="minorHAnsi" w:cstheme="minorHAnsi"/>
          <w:sz w:val="22"/>
          <w:szCs w:val="20"/>
        </w:rPr>
        <w:t xml:space="preserve">)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ustanawia procedury dotyczące udziału w wymianie wszelkich niezbędnych informacji oraz pomocy pozostałym zainteresowanym właściwym organom.</w:t>
      </w:r>
    </w:p>
    <w:p w14:paraId="4325A98B" w14:textId="7BE5308A" w:rsidR="00A35578" w:rsidRPr="009E064B" w:rsidRDefault="00D01EBC" w:rsidP="00133B99">
      <w:pPr>
        <w:pStyle w:val="Nagwek5"/>
      </w:pPr>
      <w:bookmarkStart w:id="57" w:name="_Toc492024498"/>
      <w:bookmarkStart w:id="58" w:name="_Toc12532553"/>
      <w:r w:rsidRPr="009E064B">
        <w:t xml:space="preserve">AMC1 ADR.AR.B.005(a)     </w:t>
      </w:r>
      <w:r w:rsidR="00A35578" w:rsidRPr="009E064B">
        <w:t>System zarządzania</w:t>
      </w:r>
      <w:bookmarkEnd w:id="57"/>
      <w:bookmarkEnd w:id="58"/>
    </w:p>
    <w:p w14:paraId="16E62505" w14:textId="0B557343"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626FD65" w14:textId="14ED56CF" w:rsidR="00A35578"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70D3D797"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rPr>
        <w:tab/>
        <w:t>Przy podejmowaniu decyzji o wymaganej strukturze organizacyjnej, należy wziąć pod uwagę:</w:t>
      </w:r>
    </w:p>
    <w:p w14:paraId="0A02BC23"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liczbę certyfikatów i zatwierdzeń, które mają być wydawane;</w:t>
      </w:r>
    </w:p>
    <w:p w14:paraId="25F83CF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liczbę organizacji, które złożyły deklaracje;</w:t>
      </w:r>
    </w:p>
    <w:p w14:paraId="3F48B18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liczbę i złożoność lotnisk, operatorów lotnisk i instytucji zapewniających służbę zarządzania płytą postojową w danym państwie członkowskim;</w:t>
      </w:r>
    </w:p>
    <w:p w14:paraId="62CFF01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ewentualny przydział osobom trzecim, fizycznym lub prawnym, zadań niezbędnych do spełniania obowiązków wynikających ze stałego nadzoru;</w:t>
      </w:r>
    </w:p>
    <w:p w14:paraId="5E3AB750"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poziom działalności lotnictwa cywilnego;</w:t>
      </w:r>
    </w:p>
    <w:p w14:paraId="0D9755CD"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wielkość branży lotniczej państwa członkowskiego; oraz</w:t>
      </w:r>
    </w:p>
    <w:p w14:paraId="01C355D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potencjalny wzrost działalności w dziedzinie lotnictwa cywilnego.</w:t>
      </w:r>
    </w:p>
    <w:p w14:paraId="3DC1E88F"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Struktura organizacyjna powinna zapewniać, że realizacja różnych zadań i obowiązków właściwego organu nie spoczywa wyłącznie na pojedynczych osobach. Oznacza to, że ciągłe i niezakłócone wykonywanie zadań i obowiązków właściwego organu powinno być również gwarantowane w przypadku choroby, wypadku lub odejścia z pracy pojedynczych pracowników.</w:t>
      </w:r>
    </w:p>
    <w:p w14:paraId="530397A8" w14:textId="6D5F8233" w:rsidR="00A35578" w:rsidRPr="009E064B" w:rsidRDefault="00A35578" w:rsidP="00133B99">
      <w:pPr>
        <w:pStyle w:val="Nagwek6"/>
      </w:pPr>
      <w:bookmarkStart w:id="59" w:name="_Toc492024499"/>
      <w:bookmarkStart w:id="60" w:name="_Toc12532554"/>
      <w:r w:rsidRPr="009E064B">
        <w:t>GM1 ADR.AR.B.005(a)    System zarządzania</w:t>
      </w:r>
      <w:bookmarkEnd w:id="59"/>
      <w:bookmarkEnd w:id="60"/>
    </w:p>
    <w:p w14:paraId="4BDDF37A" w14:textId="19B51429"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CD27B4B" w14:textId="4C0ECFE7" w:rsidR="00A35578"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51D0BC45" w14:textId="340DE1F9"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Właściwy organ wyznaczony przez każde Państwo Członkowsk</w:t>
      </w:r>
      <w:r w:rsidR="00750CFF" w:rsidRPr="009E064B">
        <w:rPr>
          <w:rFonts w:asciiTheme="minorHAnsi" w:eastAsia="Calibri" w:hAnsiTheme="minorHAnsi" w:cstheme="minorHAnsi"/>
        </w:rPr>
        <w:t>ie powinien być zorganizowany w </w:t>
      </w:r>
      <w:r w:rsidRPr="009E064B">
        <w:rPr>
          <w:rFonts w:asciiTheme="minorHAnsi" w:eastAsia="Calibri" w:hAnsiTheme="minorHAnsi" w:cstheme="minorHAnsi"/>
        </w:rPr>
        <w:t>taki sposób, aby:</w:t>
      </w:r>
    </w:p>
    <w:p w14:paraId="4FD37C9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istniał specjalnie wyznaczony, skuteczny organ kierujący wykonaniem wszystkich odpowiednich działań;</w:t>
      </w:r>
    </w:p>
    <w:p w14:paraId="7F60227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funkcje i procesy, o których mowa w mających zastosowanie wymaganiach rozporządzenia (WE) nr 216/2008 i jego przepisów wykonawczych, akceptowalnych sposobach spełnienia wymagań (AMC), specyfikacjach certyfikacyjnych (CS) oraz materiałach zawierających wytyczne (GM) mogły być w sposób poprawny wdrożone;</w:t>
      </w:r>
    </w:p>
    <w:p w14:paraId="26173F7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struktura właściwego organu oraz procedury dotyczące wdrożenia mających zastosowanie wymagań rozporządzenia (WE) nr 216/2008 i jego przepisów wykonawczych, były w sposób poprawny udokumentowane i stosowane;</w:t>
      </w:r>
    </w:p>
    <w:p w14:paraId="64EAAB65"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cały personel właściwego organu zaangażowany w związane z tym działania, miał w razie potrzeby zapewnione szkolenia;</w:t>
      </w:r>
    </w:p>
    <w:p w14:paraId="19BE2280"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wdrożyć szczególne i skuteczne mechanizmy komunikacji i wzajemnych powiązań z Agencją oraz właściwymi organami innych Państw Członkowskich, jeśli jest to konieczne; oraz</w:t>
      </w:r>
    </w:p>
    <w:p w14:paraId="2E3E560D"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wszystkie funkcje związane z wdrożeniem mających zastosowanie wymagań były odpowiednio opisane.</w:t>
      </w:r>
    </w:p>
    <w:p w14:paraId="28780A7D"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(b)</w:t>
      </w:r>
      <w:r w:rsidRPr="009E064B">
        <w:rPr>
          <w:rFonts w:asciiTheme="minorHAnsi" w:eastAsia="Calibri" w:hAnsiTheme="minorHAnsi" w:cstheme="minorHAnsi"/>
        </w:rPr>
        <w:tab/>
        <w:t>Kierownik na odpowiednim, najwyższym poziomie władz właściwego organu, powinien opracować, promować i wdrożyć ogólną politykę w odniesieniu do działań związanych z mającymi zastosowanie wymaganiami rozporządzenia (WE) nr 216/2008 i jego przepisów wykonawczych, ze specyfikacjami certyfikacyjnymi włącznie (np. kierownik obszaru funkcjonalnego, który jest odpowiedzialny za takie działania).</w:t>
      </w:r>
    </w:p>
    <w:p w14:paraId="2037281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Należy podjąć odpowiednie kroki w celu zapewnienia, że polityka jest znana i zrozumiała dla całego zaangażowanego personelu oraz podjąć wszelkie działania w celu jej wdrożenia i utrzymania.</w:t>
      </w:r>
    </w:p>
    <w:p w14:paraId="7F0ABE0B"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Ogólna polityka, przy jednoczesnym uwzględnieniu dodatkowych obowiązków wynikających z przepisów krajowych, powinna przede wszystkim brać pod uwagę:</w:t>
      </w:r>
    </w:p>
    <w:p w14:paraId="5A29A035"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przepisy rozporządzenia (WE) nr 216/2008;</w:t>
      </w:r>
    </w:p>
    <w:p w14:paraId="09F406F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wymagania zawarte w mających zastosowanie przepisach wykonawczych i akceptowalnych sposobach spełnienia wymagań, specyfikacjach certyfikacyjnych oraz materiałach zawierających wytyczne;</w:t>
      </w:r>
    </w:p>
    <w:p w14:paraId="71BC1947"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potrzeby branży lotniczej; oraz</w:t>
      </w:r>
    </w:p>
    <w:p w14:paraId="5822BA0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potrzeby Agencji i właściwego organu.</w:t>
      </w:r>
    </w:p>
    <w:p w14:paraId="47481E93"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Polityka powinna definiować cele kluczowych elementów organizacji oraz procesy służące wdrożeniu odpowiednich działań, łącznie z procedurami kontroli oraz oceną osiągniętego standardu.</w:t>
      </w:r>
    </w:p>
    <w:p w14:paraId="34C9BA6E" w14:textId="02372C89" w:rsidR="00A35578" w:rsidRPr="009E064B" w:rsidRDefault="00D01EBC" w:rsidP="00133B99">
      <w:pPr>
        <w:pStyle w:val="Nagwek5"/>
      </w:pPr>
      <w:bookmarkStart w:id="61" w:name="_Toc492024500"/>
      <w:bookmarkStart w:id="62" w:name="_Toc12532555"/>
      <w:r w:rsidRPr="009E064B">
        <w:t xml:space="preserve">AMC1 ADR.AR.B.005(a)(1)     </w:t>
      </w:r>
      <w:r w:rsidR="00A35578" w:rsidRPr="009E064B">
        <w:t>System zarządzania</w:t>
      </w:r>
      <w:bookmarkEnd w:id="61"/>
      <w:bookmarkEnd w:id="62"/>
    </w:p>
    <w:p w14:paraId="3A01DD50" w14:textId="387A4BA4"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494073F"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UDOKUMENTOWANE STRATEGIE I PROCEDURY</w:t>
      </w:r>
    </w:p>
    <w:p w14:paraId="6DE6FD23"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Różne elementy organizacji zaangażowane w działania związane z mającymi zastosowanie wymogami rozporządzenia (WE) nr 216/2008 i jego przepisów wykonawczych, powinny być udokumentowane w celu określenia źródła odniesienia dla ustanowienia i utrzymania tej organizacji.</w:t>
      </w:r>
    </w:p>
    <w:p w14:paraId="518A0E4A"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Udokumentowane strategie i procedury powinny być opracowane w sposób ułatwiający ich stosowanie. Powinny one być jednoznacznie określone, aktualizowane oraz dostępne dla całego personelu zaangażowanego w opisane działania.</w:t>
      </w:r>
    </w:p>
    <w:p w14:paraId="38532059"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Udokumentowane strategie i procedury powinny obejmować, co najmniej, wymienione poniżej aspekty:</w:t>
      </w:r>
    </w:p>
    <w:p w14:paraId="680CCCA6"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politykę i cele;</w:t>
      </w:r>
    </w:p>
    <w:p w14:paraId="4E13DFBC"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strukturę organizacyjną;</w:t>
      </w:r>
    </w:p>
    <w:p w14:paraId="6B7B0A8F"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zakres obowiązków i uprawnień;</w:t>
      </w:r>
    </w:p>
    <w:p w14:paraId="6A50F2ED"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procesy i procedury;</w:t>
      </w:r>
    </w:p>
    <w:p w14:paraId="3E846C5A"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wewnętrzne i zewnętrzne powiązania;</w:t>
      </w:r>
    </w:p>
    <w:p w14:paraId="793D9501"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procedury kontroli wewnętrznej;</w:t>
      </w:r>
    </w:p>
    <w:p w14:paraId="4A8A3F2C"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szkolenie personelu;</w:t>
      </w:r>
    </w:p>
    <w:p w14:paraId="34A665E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odniesienia do dokumentów powiązanych; oraz</w:t>
      </w:r>
    </w:p>
    <w:p w14:paraId="6EA056D6"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wsparcie innych właściwych organów lub Agencji (tam, gdzie jest to konieczne).</w:t>
      </w:r>
    </w:p>
    <w:p w14:paraId="18303C9E" w14:textId="38D8A5EE" w:rsidR="00C81356"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 wyjątkiem mniejszych właściwych organów, może się zdarzyć, że informacja znajduje się w więcej niż jednym dokumencie lub serii dokumentów, i należy wtedy umieścić odpowiednie odniesienia. Na przykład, struktura organizacyjna oraz opisy stanowisk zazwyczaj nie znajdują się w tym samym dokumencie, co strategie i szczegółowe procedury działania. W takich przypadkach zaleca się, aby udokumentowane procedury zawierały indeks odniesień do wszystkich innych powiązanych informacji oraz, aby powiązana dokumentacja była sprawnie udostępniana, gdy zajdzie taka potrzeba.</w:t>
      </w:r>
    </w:p>
    <w:p w14:paraId="0D922A08" w14:textId="4CD04129" w:rsidR="00A35578" w:rsidRPr="009E064B" w:rsidRDefault="00A35578" w:rsidP="00133B99">
      <w:pPr>
        <w:pStyle w:val="Nagwek5"/>
      </w:pPr>
      <w:bookmarkStart w:id="63" w:name="_Toc492024501"/>
      <w:bookmarkStart w:id="64" w:name="_Toc12532556"/>
      <w:r w:rsidRPr="009E064B">
        <w:t xml:space="preserve">AMC2 ADR.AR.B.005(a)(1)   </w:t>
      </w:r>
      <w:r w:rsidR="00D01EBC" w:rsidRPr="009E064B">
        <w:t xml:space="preserve">  </w:t>
      </w:r>
      <w:r w:rsidRPr="009E064B">
        <w:t>System zarządzania</w:t>
      </w:r>
      <w:bookmarkEnd w:id="63"/>
      <w:bookmarkEnd w:id="64"/>
    </w:p>
    <w:p w14:paraId="3B6323F6" w14:textId="1B54F677"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56770E7"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UDOKUMENTOWANE STRATEGIE I PROCEDURY</w:t>
      </w:r>
    </w:p>
    <w:p w14:paraId="4C633445" w14:textId="34A4E40A"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Procedury związane z systemem zarządzania właściw</w:t>
      </w:r>
      <w:r w:rsidR="002819C5" w:rsidRPr="009E064B">
        <w:rPr>
          <w:rFonts w:asciiTheme="minorHAnsi" w:eastAsia="Calibri" w:hAnsiTheme="minorHAnsi" w:cstheme="minorHAnsi"/>
        </w:rPr>
        <w:t>ego organu powinny zawierać, co </w:t>
      </w:r>
      <w:r w:rsidRPr="009E064B">
        <w:rPr>
          <w:rFonts w:asciiTheme="minorHAnsi" w:eastAsia="Calibri" w:hAnsiTheme="minorHAnsi" w:cstheme="minorHAnsi"/>
        </w:rPr>
        <w:t>najmniej, następujące informacje:</w:t>
      </w:r>
    </w:p>
    <w:p w14:paraId="14D9198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 odniesieniu do funkcji stałego nadzoru wykonywanego przez właściwy organ, strukturę organizacyjną właściwego organu z opisem głównych procesów. Informacja ta powinna przedstawiać przydział obowiązków w ramach właściwego organu oraz wykazywać, że właściwy organ posiada zdolność do realizacji pełnego zakresu zadań dotyczących wielkości i złożoności branży lotniskowej Państwa Członkowskiego. Informacja powinna również uwzględniać ogólny zakres biegłości i upoważnień personelu właściwego organu;</w:t>
      </w:r>
    </w:p>
    <w:p w14:paraId="67B611EF"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zmiany, które znacząco wpływają na zdolność prowadzenia nadzoru przez właściwy organ;</w:t>
      </w:r>
    </w:p>
    <w:p w14:paraId="4EDAE440"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 odniesieniu do personelu zaangażowanego w wykonywanie zadań związanych z nadzorem, minimalne wymagania dotyczące kwalifikacji i doświadczenia oraz zasady rządzące wyznaczeniem (np. ocena);</w:t>
      </w:r>
    </w:p>
    <w:p w14:paraId="3E7350B4"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sposób wykonywania następujących zadań: rozpatrywanie wniosków i ocena spełniania wymagań, wydawanie certyfikatów, prowadzenie stałego nadzoru, działania następcze podejmowane w wyniku stwierdzonych nieprawidłowości i uwag, środki egzekwowania przepisów oraz rozstrzyganie kwestii bezpieczeństwa;</w:t>
      </w:r>
    </w:p>
    <w:p w14:paraId="68EBE0F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zasady udzielania zwolnień i odstępstw, przypadki równoważnego poziomu bezpieczeństwa oraz warunki specjalne;</w:t>
      </w:r>
    </w:p>
    <w:p w14:paraId="3C22E3FC"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systemy służące rozpowszechnianiu informacji w zakresie bezpieczeństwa w celu wczesnego reagowania na problemy bezpieczeństwa;</w:t>
      </w:r>
    </w:p>
    <w:p w14:paraId="21911C7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kryteria planowania stałego nadzoru (program nadzoru), łącznie z odpowiednim zarządzaniem obszarami wzajemnie powiązanymi podczas sprawowania stałego nadzoru (np. operacje lotniskowe i operacje ATS); oraz</w:t>
      </w:r>
    </w:p>
    <w:p w14:paraId="56FE5DA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plan szkolenia wstępnego dla nowo zatrudnionego personelu wykonującego zadania związane z nadzorem (z uwzględnieniem przyszłych działań), oraz podstawowe ramy ciągłego szkolenia doskonalącego dla tego personelu.</w:t>
      </w:r>
    </w:p>
    <w:p w14:paraId="775C51CB"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Procedury dotyczące systemu zarządzania właściwego organu powinny obejmować wszelkie zamiany wprowadzane do tych procedur.</w:t>
      </w:r>
    </w:p>
    <w:p w14:paraId="2BBACF6F" w14:textId="357A0A37" w:rsidR="00A35578" w:rsidRPr="009E064B" w:rsidRDefault="00A35578" w:rsidP="00133B99">
      <w:pPr>
        <w:pStyle w:val="Nagwek5"/>
      </w:pPr>
      <w:bookmarkStart w:id="65" w:name="_AMC1_ADR.AR.B.005(a)(2)_"/>
      <w:bookmarkStart w:id="66" w:name="_Toc492024502"/>
      <w:bookmarkStart w:id="67" w:name="_Toc12532557"/>
      <w:bookmarkEnd w:id="65"/>
      <w:r w:rsidRPr="009E064B">
        <w:t xml:space="preserve">AMC1 ADR.AR.B.005(a)(2)  </w:t>
      </w:r>
      <w:r w:rsidR="00D01EBC" w:rsidRPr="009E064B">
        <w:t xml:space="preserve"> </w:t>
      </w:r>
      <w:r w:rsidRPr="009E064B">
        <w:t xml:space="preserve">  System zarządzania</w:t>
      </w:r>
      <w:bookmarkEnd w:id="66"/>
      <w:bookmarkEnd w:id="67"/>
    </w:p>
    <w:p w14:paraId="38B4A460" w14:textId="660A6226"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512C28E"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PROGRAM SZKOLENIA I PROGRAM SZKOLENIA OKRESOWEGO</w:t>
      </w:r>
    </w:p>
    <w:p w14:paraId="3BBE8698"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Właściwy organ powinien dla swoich pracowników, w tym inspektorów lotniskowych, ustalić program szkolenia oraz plan jego realizacji.</w:t>
      </w:r>
    </w:p>
    <w:p w14:paraId="173E5A3A"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Program szkolenia powinien obejmować specyficzne potrzeby pracowników i właściwego organu.</w:t>
      </w:r>
    </w:p>
    <w:p w14:paraId="4E1810DA"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Program szkolenia powinien obejmować, odpowiednio do roli, aktualnej wiedzy, doświadczenia i umiejętności, co najmniej:</w:t>
      </w:r>
    </w:p>
    <w:p w14:paraId="0C4B545D"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przepisy prawne, organizację i strukturę w zakresie lotnictwa;</w:t>
      </w:r>
    </w:p>
    <w:p w14:paraId="40F02D1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Konwencję chicagowską, odpowiednie Załączniki do Konwencji i podręczniki ICAO, mające zastosowania wymagania rozporządzenia (WE) nr 216/2008 i jego przepisy wykonawcze oraz związane z nimi akceptowalne sposoby spełnienia wymagań, specyfikacje certyfikacyjne i materiały zawierające wytyczne, a także mające zastosowanie przepisy prawa krajowego;</w:t>
      </w:r>
    </w:p>
    <w:p w14:paraId="58FF3CEC"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mające zastosowanie wymagania i procedury;</w:t>
      </w:r>
    </w:p>
    <w:p w14:paraId="52D11AF3"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obszary szczególnego zainteresowania, które obejmują, ale nie są ograniczone do:</w:t>
      </w:r>
    </w:p>
    <w:p w14:paraId="3B03C7BA"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systemów zarządzania, w tym systemów zarządzania bezpieczeństwem, zasad zapewnienia bezpieczeństwa oraz systemów zarządzania jakością i ochrony mających zastosowanie do danych i informacji lotniczych;</w:t>
      </w:r>
    </w:p>
    <w:p w14:paraId="1B11F02E"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zasad akceptowania i audytowania systemów zarządzania bezpieczeństwem;</w:t>
      </w:r>
    </w:p>
    <w:p w14:paraId="1A37E4BD"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zarządzania zmianami;</w:t>
      </w:r>
    </w:p>
    <w:p w14:paraId="6D4ED9D5"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studium aeronautycznego, oceny bezpieczeństwa i technik raportowania;</w:t>
      </w:r>
    </w:p>
    <w:p w14:paraId="0507C2E8"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zasad dotyczących czynnika ludzkiego;</w:t>
      </w:r>
    </w:p>
    <w:p w14:paraId="15CD01F2"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projektu lotniska;</w:t>
      </w:r>
    </w:p>
    <w:p w14:paraId="74D05536"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znaków pionowych, oznakowania poziomego i świateł;</w:t>
      </w:r>
    </w:p>
    <w:p w14:paraId="7761F093"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obsługi technicznej i utrzymania lotniska;</w:t>
      </w:r>
    </w:p>
    <w:p w14:paraId="03573044"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(ix) </w:t>
      </w:r>
      <w:r w:rsidRPr="009E064B">
        <w:rPr>
          <w:rFonts w:asciiTheme="minorHAnsi" w:eastAsia="Calibri" w:hAnsiTheme="minorHAnsi" w:cstheme="minorHAnsi"/>
        </w:rPr>
        <w:tab/>
        <w:t>operacji lotniskowych, w tym:</w:t>
      </w:r>
    </w:p>
    <w:p w14:paraId="42E353BB"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zabezpieczenia lotniska, z oceną przeszkód włącznie;</w:t>
      </w:r>
    </w:p>
    <w:p w14:paraId="260FFB29"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ratownictwa i gaszenia pożarów;</w:t>
      </w:r>
    </w:p>
    <w:p w14:paraId="4E231FA6"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planowania działań w sytuacjach zagrożenia;</w:t>
      </w:r>
    </w:p>
    <w:p w14:paraId="3481EF48"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usuwania unieruchomionych statków powietrznych;</w:t>
      </w:r>
    </w:p>
    <w:p w14:paraId="77C57E09"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operacji w warunkach ograniczonej widzialności;</w:t>
      </w:r>
    </w:p>
    <w:p w14:paraId="6E811A26"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operacji w niekorzystnych warunkach atmosferycznych;</w:t>
      </w:r>
    </w:p>
    <w:p w14:paraId="69D51FCF"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zarządzania zagrożeniami ze strony zwierząt;</w:t>
      </w:r>
    </w:p>
    <w:p w14:paraId="303239B8" w14:textId="77777777" w:rsidR="00A35578" w:rsidRPr="009E064B" w:rsidRDefault="00A35578" w:rsidP="00B06A9A">
      <w:pPr>
        <w:widowControl/>
        <w:tabs>
          <w:tab w:val="left" w:pos="2268"/>
        </w:tabs>
        <w:ind w:left="2268" w:hanging="567"/>
        <w:jc w:val="left"/>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zarządzania płytą postojową i zarządzania bezpieczeństwem na płycie postojowej;</w:t>
      </w:r>
    </w:p>
    <w:p w14:paraId="11DD0271"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obsługi materiałów niebezpiecznych; oraz</w:t>
      </w:r>
    </w:p>
    <w:p w14:paraId="66B35E2C" w14:textId="77777777" w:rsidR="00A35578" w:rsidRPr="009E064B" w:rsidRDefault="00A35578" w:rsidP="00B06A9A">
      <w:pPr>
        <w:widowControl/>
        <w:tabs>
          <w:tab w:val="left" w:pos="2268"/>
        </w:tabs>
        <w:ind w:left="2268" w:hanging="567"/>
        <w:jc w:val="left"/>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tankowania paliwa, urządzeń i wyposażenia, magazynowania i przeładunku paliwa;</w:t>
      </w:r>
    </w:p>
    <w:p w14:paraId="0A30B5E0"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 </w:t>
      </w:r>
      <w:r w:rsidRPr="009E064B">
        <w:rPr>
          <w:rFonts w:asciiTheme="minorHAnsi" w:eastAsia="Calibri" w:hAnsiTheme="minorHAnsi" w:cstheme="minorHAnsi"/>
        </w:rPr>
        <w:tab/>
        <w:t>oceny, zatwierdzania i przeglądu instrukcji operacyjnych lotniska;</w:t>
      </w:r>
    </w:p>
    <w:p w14:paraId="09BDF778"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(xi) </w:t>
      </w:r>
      <w:r w:rsidRPr="009E064B">
        <w:rPr>
          <w:rFonts w:asciiTheme="minorHAnsi" w:eastAsia="Calibri" w:hAnsiTheme="minorHAnsi" w:cstheme="minorHAnsi"/>
        </w:rPr>
        <w:tab/>
        <w:t>innego właściwego szkolenia technicznego odpowiedniego do roli i zadań personelu; oraz</w:t>
      </w:r>
    </w:p>
    <w:p w14:paraId="57CB66B2"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(xii) </w:t>
      </w:r>
      <w:r w:rsidRPr="009E064B">
        <w:rPr>
          <w:rFonts w:asciiTheme="minorHAnsi" w:eastAsia="Calibri" w:hAnsiTheme="minorHAnsi" w:cstheme="minorHAnsi"/>
        </w:rPr>
        <w:tab/>
        <w:t>środków egzekwowania przepisów.</w:t>
      </w:r>
    </w:p>
    <w:p w14:paraId="312FAC0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 xml:space="preserve">Program i plan szkolenia powinien być aktualizowany stosownie do potrzeb tak by odzwierciedlać, co najmniej, zmiany zachodzące w przepisach prawnych z zakresu lotnictwa oraz zmiany w branży lotniczej. </w:t>
      </w:r>
    </w:p>
    <w:p w14:paraId="0CE781EE" w14:textId="78DA9EF2" w:rsidR="002819C5"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Właściwy organ powinien zapewnić, że jego personel, w tym inspektorzy lotniskowi, przechodzą szkolenie okresowe w regularnych odstępach czasu określonych przez właściwy organ lub, gdy uzna to za konieczne, w celu bieżącej aktualizacji posiadanej wiedzy.</w:t>
      </w:r>
    </w:p>
    <w:p w14:paraId="287044D4" w14:textId="4C57C79C" w:rsidR="00A35578" w:rsidRPr="009E064B" w:rsidRDefault="00A35578" w:rsidP="00133B99">
      <w:pPr>
        <w:pStyle w:val="Nagwek5"/>
      </w:pPr>
      <w:bookmarkStart w:id="68" w:name="_AMC2_ADR.AR.B.005(a)(2)_"/>
      <w:bookmarkStart w:id="69" w:name="_Toc492024503"/>
      <w:bookmarkStart w:id="70" w:name="_Toc12532558"/>
      <w:bookmarkEnd w:id="68"/>
      <w:r w:rsidRPr="009E064B">
        <w:t xml:space="preserve">AMC2 ADR.AR.B.005(a)(2)    </w:t>
      </w:r>
      <w:r w:rsidR="00D01EBC" w:rsidRPr="009E064B">
        <w:t xml:space="preserve"> </w:t>
      </w:r>
      <w:r w:rsidRPr="009E064B">
        <w:t>System zarządzania</w:t>
      </w:r>
      <w:bookmarkEnd w:id="69"/>
      <w:bookmarkEnd w:id="70"/>
    </w:p>
    <w:p w14:paraId="760D49C9" w14:textId="75D51E0D"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6D49CE0"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KWALIFIKACJE I SZKOLENIE − INSPEKTORZY LOTNISKOWI</w:t>
      </w:r>
    </w:p>
    <w:p w14:paraId="55933D20"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Szkolenie wstępne powinno obejmować:</w:t>
      </w:r>
    </w:p>
    <w:p w14:paraId="0C9CE94B" w14:textId="77777777" w:rsidR="00A35578" w:rsidRPr="009E064B" w:rsidRDefault="00A35578" w:rsidP="00B06A9A">
      <w:pPr>
        <w:widowControl/>
        <w:tabs>
          <w:tab w:val="left" w:pos="1134"/>
        </w:tabs>
        <w:ind w:left="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Wstępne szkolenie teoretyczne</w:t>
      </w:r>
    </w:p>
    <w:p w14:paraId="7AAE8E9A" w14:textId="438EF32C" w:rsidR="00A35578" w:rsidRPr="009E064B" w:rsidRDefault="00A35578" w:rsidP="00B06A9A">
      <w:pPr>
        <w:widowControl/>
        <w:ind w:left="1134"/>
        <w:rPr>
          <w:rFonts w:asciiTheme="minorHAnsi" w:eastAsia="Calibri" w:hAnsiTheme="minorHAnsi" w:cstheme="minorHAnsi"/>
        </w:rPr>
      </w:pPr>
      <w:r w:rsidRPr="009E064B">
        <w:rPr>
          <w:rFonts w:asciiTheme="minorHAnsi" w:eastAsia="Calibri" w:hAnsiTheme="minorHAnsi" w:cstheme="minorHAnsi"/>
        </w:rPr>
        <w:t xml:space="preserve">Zakres wstępnego szkolenia teoretycznego obejmuje zapoznanie kandydatów na inspektorów lotniskowych z klasyfikacją nieprawidłowości, zasadami raportowania (sporządzania raportów), procedurami działań następczych (pokontrolnych) i sposobem egzekwowaniem przepisów. Podstawowy zakres szkolenia teoretycznego nie obejmuje przekazywania wiedzy technicznej, ponieważ uczestnicy powinni posiadać taką wiedzę, albo z doświadczenia zawodowego lub ze specjalistycznych szkoleń, zanim przystąpią do uczestnictwa w szkoleniu teoretycznym (obszary tematyczne, które powinny się znaleźć w </w:t>
      </w:r>
      <w:r w:rsidR="0031052A" w:rsidRPr="009E064B">
        <w:rPr>
          <w:rFonts w:asciiTheme="minorHAnsi" w:eastAsia="Calibri" w:hAnsiTheme="minorHAnsi" w:cstheme="minorHAnsi"/>
        </w:rPr>
        <w:t xml:space="preserve">programie szkolenia określono w </w:t>
      </w:r>
      <w:hyperlink w:anchor="_AMC1_ADR.AR.B.005(a)(2)_" w:history="1">
        <w:r w:rsidRPr="009E064B">
          <w:rPr>
            <w:rStyle w:val="Hipercze"/>
            <w:rFonts w:asciiTheme="minorHAnsi" w:eastAsia="Calibri" w:hAnsiTheme="minorHAnsi" w:cstheme="minorHAnsi"/>
          </w:rPr>
          <w:t>AMC1 ADR.AR.B 005(a)(2)</w:t>
        </w:r>
      </w:hyperlink>
      <w:r w:rsidR="00F809D7" w:rsidRPr="009E064B">
        <w:rPr>
          <w:rFonts w:asciiTheme="minorHAnsi" w:eastAsia="Calibri" w:hAnsiTheme="minorHAnsi" w:cstheme="minorHAnsi"/>
        </w:rPr>
        <w:t>).</w:t>
      </w:r>
      <w:r w:rsidRPr="009E064B">
        <w:rPr>
          <w:rFonts w:asciiTheme="minorHAnsi" w:eastAsia="Calibri" w:hAnsiTheme="minorHAnsi" w:cstheme="minorHAnsi"/>
        </w:rPr>
        <w:t xml:space="preserve"> Szkolenie teoretyczne powinno obejmować między innymi, wiedzę na temat audytów i inspekcji, oraz zapewnienia wymagań w zakresie jakości i bezpieczeństwa.</w:t>
      </w:r>
    </w:p>
    <w:p w14:paraId="15A1982B" w14:textId="77777777" w:rsidR="00A35578" w:rsidRPr="009E064B" w:rsidRDefault="00A35578" w:rsidP="00B06A9A">
      <w:pPr>
        <w:widowControl/>
        <w:tabs>
          <w:tab w:val="left" w:pos="1134"/>
        </w:tabs>
        <w:ind w:left="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Szkolenie praktyczne</w:t>
      </w:r>
    </w:p>
    <w:p w14:paraId="73576496" w14:textId="2692BB35" w:rsidR="00A35578" w:rsidRPr="009E064B" w:rsidRDefault="00A35578" w:rsidP="00B06A9A">
      <w:pPr>
        <w:widowControl/>
        <w:ind w:left="1134"/>
        <w:rPr>
          <w:rFonts w:asciiTheme="minorHAnsi" w:eastAsia="Calibri" w:hAnsiTheme="minorHAnsi" w:cstheme="minorHAnsi"/>
        </w:rPr>
      </w:pPr>
      <w:r w:rsidRPr="009E064B">
        <w:rPr>
          <w:rFonts w:asciiTheme="minorHAnsi" w:eastAsia="Calibri" w:hAnsiTheme="minorHAnsi" w:cstheme="minorHAnsi"/>
        </w:rPr>
        <w:t>Zakres szkolenia praktycznego obejmuje zapoznanie się z technikami audytu/</w:t>
      </w:r>
      <w:r w:rsidR="00750CFF" w:rsidRPr="009E064B">
        <w:rPr>
          <w:rFonts w:asciiTheme="minorHAnsi" w:eastAsia="Calibri" w:hAnsiTheme="minorHAnsi" w:cstheme="minorHAnsi"/>
        </w:rPr>
        <w:t>inspekcji i </w:t>
      </w:r>
      <w:r w:rsidRPr="009E064B">
        <w:rPr>
          <w:rFonts w:asciiTheme="minorHAnsi" w:eastAsia="Calibri" w:hAnsiTheme="minorHAnsi" w:cstheme="minorHAnsi"/>
        </w:rPr>
        <w:t>określonymi obszarami zainteresowania, bez ingerencji w działalność i eksploatację lotnisk.</w:t>
      </w:r>
    </w:p>
    <w:p w14:paraId="7ABACCD1" w14:textId="77777777" w:rsidR="00A35578" w:rsidRPr="009E064B" w:rsidRDefault="00A35578" w:rsidP="00B06A9A">
      <w:pPr>
        <w:widowControl/>
        <w:ind w:left="1134"/>
        <w:rPr>
          <w:rFonts w:asciiTheme="minorHAnsi" w:eastAsia="Calibri" w:hAnsiTheme="minorHAnsi" w:cstheme="minorHAnsi"/>
        </w:rPr>
      </w:pPr>
      <w:r w:rsidRPr="009E064B">
        <w:rPr>
          <w:rFonts w:asciiTheme="minorHAnsi" w:eastAsia="Calibri" w:hAnsiTheme="minorHAnsi" w:cstheme="minorHAnsi"/>
        </w:rPr>
        <w:t xml:space="preserve">Właściwy organ powinien zapewnić, aby uczestnicy pomyślnie ukończyli wstępne szkolenie teoretyczne i praktyczne po otrzymaniu odpowiedniej oceny. </w:t>
      </w:r>
    </w:p>
    <w:p w14:paraId="6B5077B7" w14:textId="77777777" w:rsidR="00A35578" w:rsidRPr="009E064B" w:rsidRDefault="00A35578" w:rsidP="00B06A9A">
      <w:pPr>
        <w:widowControl/>
        <w:tabs>
          <w:tab w:val="left" w:pos="1134"/>
        </w:tabs>
        <w:ind w:left="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Szkolenie na stanowisku pracy</w:t>
      </w:r>
    </w:p>
    <w:p w14:paraId="090DA92F" w14:textId="77777777" w:rsidR="00A35578" w:rsidRPr="009E064B" w:rsidRDefault="00A35578" w:rsidP="00B06A9A">
      <w:pPr>
        <w:widowControl/>
        <w:ind w:left="1134"/>
        <w:rPr>
          <w:rFonts w:asciiTheme="minorHAnsi" w:eastAsia="Calibri" w:hAnsiTheme="minorHAnsi" w:cstheme="minorHAnsi"/>
        </w:rPr>
      </w:pPr>
      <w:r w:rsidRPr="009E064B">
        <w:rPr>
          <w:rFonts w:asciiTheme="minorHAnsi" w:eastAsia="Calibri" w:hAnsiTheme="minorHAnsi" w:cstheme="minorHAnsi"/>
        </w:rPr>
        <w:t>Celem szkolenia na stanowisku pracy jest zapoznanie uczestników ze specyfiką prowadzenia audytu/inspekcji lotniska w rzeczywistym środowisku operacyjnym.</w:t>
      </w:r>
    </w:p>
    <w:p w14:paraId="6C2033BB"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Czas trwania i przebieg szkolenia na stanowisku pracy</w:t>
      </w:r>
    </w:p>
    <w:p w14:paraId="2A6D8DF6" w14:textId="77777777" w:rsidR="00A35578" w:rsidRPr="009E064B" w:rsidRDefault="00A35578" w:rsidP="00B06A9A">
      <w:pPr>
        <w:widowControl/>
        <w:ind w:left="1701"/>
        <w:rPr>
          <w:rFonts w:asciiTheme="minorHAnsi" w:eastAsia="Calibri" w:hAnsiTheme="minorHAnsi" w:cstheme="minorHAnsi"/>
        </w:rPr>
      </w:pPr>
      <w:r w:rsidRPr="009E064B">
        <w:rPr>
          <w:rFonts w:asciiTheme="minorHAnsi" w:eastAsia="Calibri" w:hAnsiTheme="minorHAnsi" w:cstheme="minorHAnsi"/>
        </w:rPr>
        <w:t>Czas trwania szkolenia na stanowisku pracy powinien być dostosowany do szczególnych potrzeb szkoleniowych każdego uczestnika i obejmować, w miarę możliwości, elementy audytu/inspekcji, do prowadzenia których inspektor będzie uprawniony. Szkolenie na stanowisku pracy powinno obejmować, co najmniej cztery audyty/inspekcje lotniska.</w:t>
      </w:r>
    </w:p>
    <w:p w14:paraId="47EBE81D"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Zakres szkolenia i elementy, które mają być poruszane podczas szkolenia na stanowisku pracy</w:t>
      </w:r>
    </w:p>
    <w:p w14:paraId="403480E5"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Przygotowanie audytu/inspekcji:</w:t>
      </w:r>
    </w:p>
    <w:p w14:paraId="39419B4C"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źródła informacji do przygotowania audytu/inspekcji;</w:t>
      </w:r>
    </w:p>
    <w:p w14:paraId="24EF7EBD" w14:textId="77777777" w:rsidR="00A35578" w:rsidRPr="009E064B" w:rsidRDefault="00A35578" w:rsidP="00B06A9A">
      <w:pPr>
        <w:widowControl/>
        <w:tabs>
          <w:tab w:val="left" w:pos="2835"/>
        </w:tabs>
        <w:ind w:left="2835" w:hanging="567"/>
        <w:jc w:val="left"/>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obszary zainteresowania i / lub otwarte (nieusunięte) nieprawidłowości;</w:t>
      </w:r>
    </w:p>
    <w:p w14:paraId="12DDE11E" w14:textId="77777777" w:rsidR="00A35578" w:rsidRPr="009E064B" w:rsidRDefault="00A35578" w:rsidP="00B06A9A">
      <w:pPr>
        <w:widowControl/>
        <w:tabs>
          <w:tab w:val="left" w:pos="2835"/>
        </w:tabs>
        <w:ind w:left="2835" w:hanging="567"/>
        <w:jc w:val="left"/>
        <w:rPr>
          <w:rFonts w:asciiTheme="minorHAnsi" w:eastAsia="Calibri" w:hAnsiTheme="minorHAnsi" w:cstheme="minorHAnsi"/>
        </w:rPr>
      </w:pPr>
      <w:r w:rsidRPr="009E064B">
        <w:rPr>
          <w:rFonts w:asciiTheme="minorHAnsi" w:eastAsia="Calibri" w:hAnsiTheme="minorHAnsi" w:cstheme="minorHAnsi"/>
        </w:rPr>
        <w:t>(C)</w:t>
      </w:r>
      <w:r w:rsidRPr="009E064B">
        <w:rPr>
          <w:rFonts w:asciiTheme="minorHAnsi" w:eastAsia="Calibri" w:hAnsiTheme="minorHAnsi" w:cstheme="minorHAnsi"/>
        </w:rPr>
        <w:tab/>
        <w:t xml:space="preserve">wybór operatora (operatorów) lotniska, który ma podlegać audytowi/inspekcji; oraz </w:t>
      </w:r>
    </w:p>
    <w:p w14:paraId="6512082C"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podział zadań pomiędzy członków zespołu audytu/inspekcji.</w:t>
      </w:r>
    </w:p>
    <w:p w14:paraId="7FD07CBD"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Sprawy administracyjne (organizacyjne) związane z inspekcją:</w:t>
      </w:r>
    </w:p>
    <w:p w14:paraId="7C4E490E"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upoważnienia, prawa i obowiązki inspektora lotniskowego;</w:t>
      </w:r>
    </w:p>
    <w:p w14:paraId="62559B97"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procedury dostępu do lotniska;</w:t>
      </w:r>
    </w:p>
    <w:p w14:paraId="093ED34A"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procedury bezpieczeństwa i ochrony w strefie operacyjnej lotniska; oraz</w:t>
      </w:r>
    </w:p>
    <w:p w14:paraId="4A3C72C8"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wyposażenie i zestaw narzędzi inspektora lotniskowego (kamizelka fluorescencyjna, listy kontrolne, klinometr, urządzenia do pomiaru odległości, aparat cyfrowy, GPS, itp.).</w:t>
      </w:r>
    </w:p>
    <w:p w14:paraId="0C0C45A4" w14:textId="69307E3A"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Audyt</w:t>
      </w:r>
      <w:r w:rsidR="00EA1259" w:rsidRPr="009E064B">
        <w:rPr>
          <w:rFonts w:asciiTheme="minorHAnsi" w:eastAsia="Calibri" w:hAnsiTheme="minorHAnsi" w:cstheme="minorHAnsi"/>
        </w:rPr>
        <w:t> </w:t>
      </w:r>
      <w:r w:rsidRPr="009E064B">
        <w:rPr>
          <w:rFonts w:asciiTheme="minorHAnsi" w:eastAsia="Calibri" w:hAnsiTheme="minorHAnsi" w:cstheme="minorHAnsi"/>
        </w:rPr>
        <w:t>/</w:t>
      </w:r>
      <w:r w:rsidR="00EA1259" w:rsidRPr="009E064B">
        <w:rPr>
          <w:rFonts w:asciiTheme="minorHAnsi" w:eastAsia="Calibri" w:hAnsiTheme="minorHAnsi" w:cstheme="minorHAnsi"/>
        </w:rPr>
        <w:t> </w:t>
      </w:r>
      <w:r w:rsidRPr="009E064B">
        <w:rPr>
          <w:rFonts w:asciiTheme="minorHAnsi" w:eastAsia="Calibri" w:hAnsiTheme="minorHAnsi" w:cstheme="minorHAnsi"/>
        </w:rPr>
        <w:t>inspekcja:</w:t>
      </w:r>
    </w:p>
    <w:p w14:paraId="4DD85608"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wprowadzenie - spotkanie otwierające;</w:t>
      </w:r>
    </w:p>
    <w:p w14:paraId="7F69463F"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na miejscu (audyt/inspekcja zgodna z obszarem wiedzy szkolonego inspektora);</w:t>
      </w:r>
    </w:p>
    <w:p w14:paraId="04B8DAD2"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nieprawidłowości (identyfikacja, klasyfikacja, poparcie dowodami, przygotowanie raportu); oraz</w:t>
      </w:r>
    </w:p>
    <w:p w14:paraId="42AF6E8D"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naprawcze - egzekwowanie.</w:t>
      </w:r>
    </w:p>
    <w:p w14:paraId="5F30DCE8"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Spotkanie zamykające – omówienie wniosków z audytu/inspekcji</w:t>
      </w:r>
    </w:p>
    <w:p w14:paraId="70978745"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Przygotowanie, opracowanie i przekazanie raportu z audytu/inspekcji</w:t>
      </w:r>
    </w:p>
    <w:p w14:paraId="002D5DDA"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Elementy czynnika ludzkiego:</w:t>
      </w:r>
    </w:p>
    <w:p w14:paraId="67762A5E"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aspekty kulturowe;</w:t>
      </w:r>
    </w:p>
    <w:p w14:paraId="3B443E81"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rozwiązywanie sporów i/lub konfliktów; oraz</w:t>
      </w:r>
    </w:p>
    <w:p w14:paraId="441EA15F" w14:textId="77777777" w:rsidR="00A35578" w:rsidRPr="009E064B" w:rsidRDefault="00A35578" w:rsidP="00B06A9A">
      <w:pPr>
        <w:widowControl/>
        <w:tabs>
          <w:tab w:val="left" w:pos="2835"/>
        </w:tabs>
        <w:ind w:left="2835"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stres audytowanego.</w:t>
      </w:r>
    </w:p>
    <w:p w14:paraId="6621906D"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Kierowanie zespołem, w razie potrzeby</w:t>
      </w:r>
    </w:p>
    <w:p w14:paraId="30AE9A6A"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Procedury poaudytowe/poinspekcyjne, takie jak monitorowanie statusu otwartych nieprawidłowości z audytu, audyty/inspekcje pokontrolne (następcze) i zamykanie nieprawidłowości po przeprowadzeniu odpowiednich działań podjętych przez operatora lotniska.</w:t>
      </w:r>
    </w:p>
    <w:p w14:paraId="35668EC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Ocena szkolonych inspektorów lotniskowych</w:t>
      </w:r>
    </w:p>
    <w:p w14:paraId="3A813473" w14:textId="77777777" w:rsidR="00A35578" w:rsidRPr="009E064B" w:rsidRDefault="00A35578" w:rsidP="00B06A9A">
      <w:pPr>
        <w:widowControl/>
        <w:ind w:left="567"/>
        <w:rPr>
          <w:rFonts w:asciiTheme="minorHAnsi" w:eastAsia="Calibri" w:hAnsiTheme="minorHAnsi" w:cstheme="minorHAnsi"/>
        </w:rPr>
      </w:pPr>
      <w:r w:rsidRPr="009E064B">
        <w:rPr>
          <w:rFonts w:asciiTheme="minorHAnsi" w:eastAsia="Calibri" w:hAnsiTheme="minorHAnsi" w:cstheme="minorHAnsi"/>
        </w:rPr>
        <w:t>Ocena szkolonego inspektora powinna być dokonana przez prowadzącego szkolenie inspektora lotniskowego. Uważa się, że szkolony inspektor pomyślnie ukończył szkolenie na stanowisku pracy, jeśli wykazał się przed inspektorem lotniskowym prowadzącym szkolenie, że posiada on/ona kwalifikacje zawodowe, wiedzę, umiejętność oceny i zdolności do prowadzenia inspekcji na lotnisku w środowisku operacyjnym, zgodnie z obowiązującymi przepisami.</w:t>
      </w:r>
    </w:p>
    <w:p w14:paraId="09C601CA"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Inspektorzy lotniskowi powołani do prowadzenia szkolenia i oceny szkolonych inspektorów</w:t>
      </w:r>
    </w:p>
    <w:p w14:paraId="0C3F45FA" w14:textId="0ACB02F6" w:rsidR="008E0CFB" w:rsidRDefault="00A35578" w:rsidP="00B06A9A">
      <w:pPr>
        <w:widowControl/>
        <w:ind w:left="567"/>
        <w:rPr>
          <w:rFonts w:asciiTheme="minorHAnsi" w:eastAsia="Calibri" w:hAnsiTheme="minorHAnsi" w:cstheme="minorHAnsi"/>
        </w:rPr>
      </w:pPr>
      <w:r w:rsidRPr="009E064B">
        <w:rPr>
          <w:rFonts w:asciiTheme="minorHAnsi" w:eastAsia="Calibri" w:hAnsiTheme="minorHAnsi" w:cstheme="minorHAnsi"/>
        </w:rPr>
        <w:t>Inspektorzy lotniskowi prowadzący szkolenia oraz ocenę szkolonych inspektorów lotniskowych, powinni być mianowani przez właściwy organ i powinni spełniać kryteria kwalifikacji ustanowione przez ten właściwy organ. Kryteria te powinny wymagać, aby mianowany inspektor był wykwalifikowanym inspektorem nadzoru nad lotniskami (</w:t>
      </w:r>
      <w:r w:rsidR="00750CFF" w:rsidRPr="009E064B">
        <w:rPr>
          <w:rFonts w:asciiTheme="minorHAnsi" w:eastAsia="Calibri" w:hAnsiTheme="minorHAnsi" w:cstheme="minorHAnsi"/>
        </w:rPr>
        <w:t xml:space="preserve">patrz </w:t>
      </w:r>
      <w:hyperlink w:anchor="_GM6_ADR.AR.B.005(a)(2)_" w:history="1">
        <w:r w:rsidR="00750CFF" w:rsidRPr="009E064B">
          <w:rPr>
            <w:rStyle w:val="Hipercze"/>
            <w:rFonts w:asciiTheme="minorHAnsi" w:eastAsia="Calibri" w:hAnsiTheme="minorHAnsi" w:cstheme="minorHAnsi"/>
          </w:rPr>
          <w:t>GM6 ADR.AR.B.005(a)(2)</w:t>
        </w:r>
      </w:hyperlink>
      <w:r w:rsidR="00F809D7" w:rsidRPr="009E064B">
        <w:rPr>
          <w:rFonts w:asciiTheme="minorHAnsi" w:eastAsia="Calibri" w:hAnsiTheme="minorHAnsi" w:cstheme="minorHAnsi"/>
        </w:rPr>
        <w:t xml:space="preserve">), </w:t>
      </w:r>
      <w:r w:rsidR="00750CFF" w:rsidRPr="009E064B">
        <w:rPr>
          <w:rFonts w:asciiTheme="minorHAnsi" w:eastAsia="Calibri" w:hAnsiTheme="minorHAnsi" w:cstheme="minorHAnsi"/>
        </w:rPr>
        <w:t>w </w:t>
      </w:r>
      <w:r w:rsidRPr="009E064B">
        <w:rPr>
          <w:rFonts w:asciiTheme="minorHAnsi" w:eastAsia="Calibri" w:hAnsiTheme="minorHAnsi" w:cstheme="minorHAnsi"/>
        </w:rPr>
        <w:t>okresie ostatnich trzech lat przed jego/jej nominacją. Dodatkowe czynniki, które należy wziąć pod uwagę przy nominacji inspektorów lotniskowych do prowadzenia szkolenia i oceny szkolonych inspektorów lotniskowych obejmują: znajomość technik szkoleniowych, profesjonalizm, dojrzałość, umiejętność oceny, uczciwość, świadomości bezpieczeństwa, umiejętności komunikacyjne i osobiste standardy działania.</w:t>
      </w:r>
    </w:p>
    <w:p w14:paraId="293D3B8F" w14:textId="77777777" w:rsidR="008E0CFB" w:rsidRDefault="008E0CFB">
      <w:pPr>
        <w:spacing w:after="0"/>
        <w:jc w:val="left"/>
        <w:rPr>
          <w:rFonts w:asciiTheme="minorHAnsi" w:eastAsia="Calibri" w:hAnsiTheme="minorHAnsi" w:cstheme="minorHAnsi"/>
        </w:rPr>
      </w:pPr>
      <w:r>
        <w:rPr>
          <w:rFonts w:asciiTheme="minorHAnsi" w:eastAsia="Calibri" w:hAnsiTheme="minorHAnsi" w:cstheme="minorHAnsi"/>
        </w:rPr>
        <w:br w:type="page"/>
      </w:r>
    </w:p>
    <w:p w14:paraId="726C4602" w14:textId="2F59C6ED" w:rsidR="00A35578" w:rsidRPr="009E064B" w:rsidRDefault="00A35578" w:rsidP="00133B99">
      <w:pPr>
        <w:pStyle w:val="Nagwek5"/>
      </w:pPr>
      <w:bookmarkStart w:id="71" w:name="_AMC3_ADR.AR.B.005(a)(2)_"/>
      <w:bookmarkStart w:id="72" w:name="_Toc492024504"/>
      <w:bookmarkStart w:id="73" w:name="_Toc12532559"/>
      <w:bookmarkEnd w:id="71"/>
      <w:r w:rsidRPr="009E064B">
        <w:t xml:space="preserve">AMC3 ADR.AR.B.005(a)(2)   </w:t>
      </w:r>
      <w:r w:rsidR="00D01EBC" w:rsidRPr="009E064B">
        <w:t xml:space="preserve"> </w:t>
      </w:r>
      <w:r w:rsidRPr="009E064B">
        <w:t xml:space="preserve"> System zarządzania</w:t>
      </w:r>
      <w:bookmarkEnd w:id="72"/>
      <w:bookmarkEnd w:id="73"/>
    </w:p>
    <w:p w14:paraId="3EC6B1CA" w14:textId="7347056C"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79F5DFC"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KWALIFIKACJE INSPEKTORA LOTNISKOWEGO PO POMYŚLNYM UKOŃCZENIU SZKOLENIA</w:t>
      </w:r>
    </w:p>
    <w:p w14:paraId="67E570F3"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 pomyślnym ukończeniu szkolenia wstępnego (wstępne szkolenie teoretyczne, szkolenie praktyczne i szkolenie na stanowisku pracy) właściwy organ powinien wydać każdemu przeszkolonemu inspektorowi lotniskowemu formalny dokument potwierdzający uzyskane kwalifikacje określający jego uprawnienia. W celu ułatwienia pracy, inspektorowi lotniskowemu należy również wydać stosowne upoważnienie.</w:t>
      </w:r>
    </w:p>
    <w:p w14:paraId="682B0366"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Wiedza i/lub doświadczenie w pracy inspektorów lotniskowych określa ich uprawnienia (zakres ich inspekcji, do czego są upoważnieni podczas inspekcji). Właściwy organ powinien określić, do czego inspektor jest uprawniony podczas inspekcji, biorąc pod uwagę następujące kwestie:</w:t>
      </w:r>
    </w:p>
    <w:p w14:paraId="552E5A30"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posiadaną wiedzę; oraz</w:t>
      </w:r>
    </w:p>
    <w:p w14:paraId="6E46C01F"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doświadczenie w pracy.</w:t>
      </w:r>
    </w:p>
    <w:p w14:paraId="2B45598D"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Organ prowadzący inspekcje powinien wdrożyć system, który zapewni, że jego inspektorzy lotniskowi spełniają w sposób ciągły kryteria kwalifikacyjne w zakresie uprawnień, szkolenia i bieżącej praktyki.</w:t>
      </w:r>
    </w:p>
    <w:p w14:paraId="1E894C78" w14:textId="2EAA9330" w:rsidR="00A35578" w:rsidRPr="009E064B" w:rsidRDefault="00A35578" w:rsidP="00133B99">
      <w:pPr>
        <w:pStyle w:val="Nagwek6"/>
      </w:pPr>
      <w:bookmarkStart w:id="74" w:name="_Toc492024505"/>
      <w:bookmarkStart w:id="75" w:name="_Toc12532560"/>
      <w:r w:rsidRPr="009E064B">
        <w:t xml:space="preserve">GM1 ADR.AR.B.005(a)(2)    </w:t>
      </w:r>
      <w:r w:rsidR="00D01EBC" w:rsidRPr="009E064B">
        <w:t xml:space="preserve"> </w:t>
      </w:r>
      <w:r w:rsidRPr="009E064B">
        <w:t>System zarządzania</w:t>
      </w:r>
      <w:bookmarkEnd w:id="74"/>
      <w:bookmarkEnd w:id="75"/>
    </w:p>
    <w:p w14:paraId="14474DB2" w14:textId="342B0961"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E7C5EB0"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DOSTATECZNA ILOŚĆ PERSONELU</w:t>
      </w:r>
    </w:p>
    <w:p w14:paraId="5449422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 zakresie ilości wymaganego personelu, niniejsze wytyczne ograniczają się do wykonywania zadań związanych z certyfikacją i nadzorem i nie uwzględniają personelu wymaganego do wykonywania zadań wynikających z wymagań prawa krajowego.</w:t>
      </w:r>
    </w:p>
    <w:p w14:paraId="197CBA0D"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Elementy jakie powinny być brane pod uwagę podczas określania ilości wymaganego personelu oraz planowania jego dostępności można podzielić na elementy ilościowe i jakościowe:</w:t>
      </w:r>
    </w:p>
    <w:p w14:paraId="60FA484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Elementy ilościowe:</w:t>
      </w:r>
    </w:p>
    <w:p w14:paraId="7CB4D264"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liczba certyfikatów do wydania po raz pierwszy;</w:t>
      </w:r>
    </w:p>
    <w:p w14:paraId="3FF84269"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liczba certyfikowanych przez właściwy organ lotnisk i operatorów lotniska;</w:t>
      </w:r>
    </w:p>
    <w:p w14:paraId="32188831"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liczba instytucji zapewniających służbę zarządzania płytą postojową po zadeklarowaniu swojej działalności do właściwego organu;</w:t>
      </w:r>
    </w:p>
    <w:p w14:paraId="722D95AA"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ilość planowanych audytów i inspekcji lotnisk; oraz</w:t>
      </w:r>
    </w:p>
    <w:p w14:paraId="59D3A11A"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ilość oczekiwanych zmian w infrastrukturze lotnisk.</w:t>
      </w:r>
    </w:p>
    <w:p w14:paraId="26D85683"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Elementy jakościowe:</w:t>
      </w:r>
    </w:p>
    <w:p w14:paraId="547BA0ED"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wielkość, charakter i złożoność działalności lotnisk i operatorów lotnisk, a także instytucji zapewniających służbę zarządzania płytą postojową:</w:t>
      </w:r>
    </w:p>
    <w:p w14:paraId="25D98CED"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przywileje operatora lotniska;</w:t>
      </w:r>
    </w:p>
    <w:p w14:paraId="260017FF"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rodzaj zatwierdzenia, zakres zatwierdzenia;</w:t>
      </w:r>
    </w:p>
    <w:p w14:paraId="6CA55871"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ewentualna certyfikacja zgodnie ze standardami przemysłu lotniczego;</w:t>
      </w:r>
    </w:p>
    <w:p w14:paraId="1E3ED9D8"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rodzaje obsługiwanych lotnisk;</w:t>
      </w:r>
    </w:p>
    <w:p w14:paraId="6C37F16F"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ilość personelu; oraz</w:t>
      </w:r>
    </w:p>
    <w:p w14:paraId="3936117B"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struktura organizacyjna, istnienie delegatur terenowych.</w:t>
      </w:r>
    </w:p>
    <w:p w14:paraId="6A4973B9"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wyniki dotychczasowej działalności związanej z nadzorem, łącznie z audytami, inspekcjami i przeglądami pod względem ryzyka oraz zgodności z wymaganiami prawnymi, z uwzględnieniem:</w:t>
      </w:r>
    </w:p>
    <w:p w14:paraId="1EE96A75"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liczby i kategorii stwierdzonych nieprawidłowości; oraz</w:t>
      </w:r>
    </w:p>
    <w:p w14:paraId="7BA5D3B5" w14:textId="77777777" w:rsidR="00A35578" w:rsidRPr="009E064B" w:rsidRDefault="00A35578"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wdrożenia działań naprawczych.</w:t>
      </w:r>
    </w:p>
    <w:p w14:paraId="23B7B25A" w14:textId="77777777" w:rsidR="00A35578" w:rsidRPr="009E064B" w:rsidRDefault="00A3557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wielkość branży lotniczej Państwa Członkowskiego oraz potencjalny wzrost działalności w dziedzinie lotnictwa cywilnego, co może wskazywać na ilość nowych wniosków i zmian w istniejących certyfikatach, jakich należy się spodziewać.</w:t>
      </w:r>
    </w:p>
    <w:p w14:paraId="5941FA3D"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oparciu o posiadane dane z dotychczasowych cykli planowania nadzoru oraz biorąc pod uwagę bieżącą sytuację branży lotniczej w danym Państwie Członkowskim, właściwy organ może oszacować:</w:t>
      </w:r>
    </w:p>
    <w:p w14:paraId="5329E44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standardowy czas pracy wymagany do przetworzenia wniosków o wydanie nowych certyfikatów;</w:t>
      </w:r>
    </w:p>
    <w:p w14:paraId="09285EA1"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standardowy czas pracy wymagany do przetwarzania deklaracji;</w:t>
      </w:r>
    </w:p>
    <w:p w14:paraId="6CC2F53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liczbę nowych lub zmienionych deklaracji;</w:t>
      </w:r>
    </w:p>
    <w:p w14:paraId="0E47328E"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liczbę nowych certyfikatów do wydania w każdym okresie planowania; oraz</w:t>
      </w:r>
    </w:p>
    <w:p w14:paraId="5C6B1BC5"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liczbę zmian w istniejących certyfikatach do przetworzenia w każdym okresie planowania.</w:t>
      </w:r>
    </w:p>
    <w:p w14:paraId="14153886"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Zgodnie z polityką nadzoru właściwego organu, dla każdego lotniska i operatora lotniska oraz dla instytucji zapewniającej służbę zarządzania płytą, która złożyła deklaracje, należy dokładnie określić następujące dane:</w:t>
      </w:r>
    </w:p>
    <w:p w14:paraId="0D262BFF"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standardową liczbę audytów/inspekcji do wykonania w jednym cyklu planowania nadzoru;</w:t>
      </w:r>
    </w:p>
    <w:p w14:paraId="0C729BC6"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standardowy czas trwania każdego audytu/inspekcji;</w:t>
      </w:r>
    </w:p>
    <w:p w14:paraId="23CEAF02"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standardowy czas pracy poświęcony na przygotowanie do audytu/inspekcji, audyt/inspekcję na miejscu, opracowanie raportów i działania następcze (pokontrolne), w przeliczeniu na jednego inspektora lotniskowego; oraz</w:t>
      </w:r>
    </w:p>
    <w:p w14:paraId="4B1C9C6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minimalną liczbę inspektorów lotniskowych oraz wymagane kwalifikacje w odniesieniu do każdego audytu/inspekcji.</w:t>
      </w:r>
    </w:p>
    <w:p w14:paraId="23A993A8"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Standardowy czas pracy może być podawany w godzinach roboczych na jednego inspektora lotniskowego lub w dniach roboczych na jednego inspektora lotniskowego. Wszystkie obliczenia związane z planowaniem powinny opierać się na tej samej jednostce czasu (godzina lub dzień roboczy).</w:t>
      </w:r>
    </w:p>
    <w:p w14:paraId="3B926541" w14:textId="26A13EDF"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Zaleca się, aby do przetworzenia danych, o których mowa w </w:t>
      </w:r>
      <w:r w:rsidR="0077724D" w:rsidRPr="009E064B">
        <w:rPr>
          <w:rFonts w:asciiTheme="minorHAnsi" w:eastAsia="Calibri" w:hAnsiTheme="minorHAnsi" w:cstheme="minorHAnsi"/>
        </w:rPr>
        <w:t>lit. </w:t>
      </w:r>
      <w:r w:rsidRPr="009E064B">
        <w:rPr>
          <w:rFonts w:asciiTheme="minorHAnsi" w:eastAsia="Calibri" w:hAnsiTheme="minorHAnsi" w:cstheme="minorHAnsi"/>
        </w:rPr>
        <w:t>(c) i (d) powyżej, stosować arkusz kalkulacyjny, który stanowi pomocne narzędzie w określaniu całkowitej liczby godzin/dni roboczych w cyklu planowania nadzoru potrzebnych d</w:t>
      </w:r>
      <w:r w:rsidR="00750CFF" w:rsidRPr="009E064B">
        <w:rPr>
          <w:rFonts w:asciiTheme="minorHAnsi" w:eastAsia="Calibri" w:hAnsiTheme="minorHAnsi" w:cstheme="minorHAnsi"/>
        </w:rPr>
        <w:t>o realizacji zadań związanych z </w:t>
      </w:r>
      <w:r w:rsidRPr="009E064B">
        <w:rPr>
          <w:rFonts w:asciiTheme="minorHAnsi" w:eastAsia="Calibri" w:hAnsiTheme="minorHAnsi" w:cstheme="minorHAnsi"/>
        </w:rPr>
        <w:t>certyfikacją, nadzorem i egzekwowaniem przepisów. Arkusz ten może służyć za podstawę we wdrażaniu systemu planowania dostępności personelu.</w:t>
      </w:r>
    </w:p>
    <w:p w14:paraId="7A43448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Dla każdego lotniska, operatora lotniska i instytucji zapewniającej służbę zarządzania płytą postojową, należy określić ilość godzin/dni roboczych w okresie planowania w przeliczeniu na jednego wykwalifikowanego inspektora lotniskowego, które mogą być przydzielone na zadania związane z certyfikacją, nadzorem i egzekwowaniem przepisów, z uwzględnieniem:</w:t>
      </w:r>
    </w:p>
    <w:p w14:paraId="01A9E28B"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zadań czysto administracyjnych niezwiązanych bezpośrednio z nadzorem i certyfikacją;</w:t>
      </w:r>
    </w:p>
    <w:p w14:paraId="6D6491C9"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szkolenia;</w:t>
      </w:r>
    </w:p>
    <w:p w14:paraId="4639BB10"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udziału w innych projektach;</w:t>
      </w:r>
    </w:p>
    <w:p w14:paraId="2FCA4189"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planowanej nieobecności; oraz</w:t>
      </w:r>
    </w:p>
    <w:p w14:paraId="7D40EDBF" w14:textId="77777777" w:rsidR="00A35578" w:rsidRPr="009E064B" w:rsidRDefault="00A35578" w:rsidP="00B06A9A">
      <w:pPr>
        <w:widowControl/>
        <w:tabs>
          <w:tab w:val="left" w:pos="1134"/>
        </w:tabs>
        <w:ind w:left="1134" w:hanging="567"/>
        <w:jc w:val="left"/>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potrzeby zaplanowania zapasu czasowego na nieplanowane zadania lub nieprzewidziane zdarzenia.</w:t>
      </w:r>
    </w:p>
    <w:p w14:paraId="3EEDB571"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Podczas określania czasu pracy dostępnego dla zadań związanych z certyfikacją, nadzorem i egzekwowaniem przepisów należy również wziąć pod uwagę możliwość wykorzystania kwalifikowanych jednostek.</w:t>
      </w:r>
    </w:p>
    <w:p w14:paraId="40569009"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 oparciu o elementy wymienione powyżej, właściwy organ powinien być w stanie:</w:t>
      </w:r>
    </w:p>
    <w:p w14:paraId="53E076E5"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monitorować daty zbliżających się i przeprowadzonych audytów i inspekcji;</w:t>
      </w:r>
    </w:p>
    <w:p w14:paraId="653E0FEC"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wdrożyć system planowania dostępności personelu; oraz</w:t>
      </w:r>
    </w:p>
    <w:p w14:paraId="18F5BDAF"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zidentyfikować ewentualne luki pomiędzy ilością i kwalifikacjami personelu oraz wymaganym zakresem zadań związanych z certyfikacją i nadzorem.</w:t>
      </w:r>
    </w:p>
    <w:p w14:paraId="267A9A19" w14:textId="592D548F" w:rsidR="00A35578" w:rsidRPr="009E064B" w:rsidRDefault="00A35578" w:rsidP="00B06A9A">
      <w:pPr>
        <w:widowControl/>
        <w:ind w:left="567"/>
        <w:rPr>
          <w:rFonts w:asciiTheme="minorHAnsi" w:eastAsia="Calibri" w:hAnsiTheme="minorHAnsi" w:cstheme="minorHAnsi"/>
        </w:rPr>
      </w:pPr>
      <w:r w:rsidRPr="009E064B">
        <w:rPr>
          <w:rFonts w:asciiTheme="minorHAnsi" w:eastAsia="Calibri" w:hAnsiTheme="minorHAnsi" w:cstheme="minorHAnsi"/>
        </w:rPr>
        <w:t>Należy zwrócić uwagę na zapewnienie aktualnych danych pl</w:t>
      </w:r>
      <w:r w:rsidR="00750CFF" w:rsidRPr="009E064B">
        <w:rPr>
          <w:rFonts w:asciiTheme="minorHAnsi" w:eastAsia="Calibri" w:hAnsiTheme="minorHAnsi" w:cstheme="minorHAnsi"/>
        </w:rPr>
        <w:t>anowania odpowiednio do zmian w </w:t>
      </w:r>
      <w:r w:rsidRPr="009E064B">
        <w:rPr>
          <w:rFonts w:asciiTheme="minorHAnsi" w:eastAsia="Calibri" w:hAnsiTheme="minorHAnsi" w:cstheme="minorHAnsi"/>
        </w:rPr>
        <w:t>zasadniczych założeniach planistycznych, ze szczególnym</w:t>
      </w:r>
      <w:r w:rsidR="00750CFF" w:rsidRPr="009E064B">
        <w:rPr>
          <w:rFonts w:asciiTheme="minorHAnsi" w:eastAsia="Calibri" w:hAnsiTheme="minorHAnsi" w:cstheme="minorHAnsi"/>
        </w:rPr>
        <w:t xml:space="preserve"> uwzględnieniem zasad nadzoru w </w:t>
      </w:r>
      <w:r w:rsidRPr="009E064B">
        <w:rPr>
          <w:rFonts w:asciiTheme="minorHAnsi" w:eastAsia="Calibri" w:hAnsiTheme="minorHAnsi" w:cstheme="minorHAnsi"/>
        </w:rPr>
        <w:t>oparciu o ryzyko.</w:t>
      </w:r>
    </w:p>
    <w:p w14:paraId="48767B69" w14:textId="12430185" w:rsidR="00A35578" w:rsidRPr="009E064B" w:rsidRDefault="00A35578" w:rsidP="00133B99">
      <w:pPr>
        <w:pStyle w:val="Nagwek6"/>
      </w:pPr>
      <w:bookmarkStart w:id="76" w:name="_Toc492024506"/>
      <w:bookmarkStart w:id="77" w:name="_Toc12532561"/>
      <w:r w:rsidRPr="009E064B">
        <w:t xml:space="preserve">GM2 ADR.AR.B.005(a)(2)    </w:t>
      </w:r>
      <w:r w:rsidR="00D01EBC" w:rsidRPr="009E064B">
        <w:t xml:space="preserve"> </w:t>
      </w:r>
      <w:r w:rsidRPr="009E064B">
        <w:t>System zarządzania</w:t>
      </w:r>
      <w:bookmarkEnd w:id="76"/>
      <w:bookmarkEnd w:id="77"/>
    </w:p>
    <w:p w14:paraId="04694C2E" w14:textId="3C4254AE"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69C3CCD"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INSPEKTORZY LOTNISKOWI – OBOWIĄZKI</w:t>
      </w:r>
    </w:p>
    <w:p w14:paraId="42D5783D"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Za inspektora lotniskowego uważana jest każda osoba, której właściwy organ formalnie przydzielił zadania związane z nadzorem nad bezpieczeństwem lotnisk.</w:t>
      </w:r>
    </w:p>
    <w:p w14:paraId="127287F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Oprócz zadań nadzoru nad lotniskami, inspektor lotniskowy może również podejmować inne zadania, które właściwy organ uzna za niezbędne.</w:t>
      </w:r>
    </w:p>
    <w:p w14:paraId="4ED7C7DB" w14:textId="49B07155" w:rsidR="00A35578" w:rsidRPr="009E064B" w:rsidRDefault="00A35578" w:rsidP="00133B99">
      <w:pPr>
        <w:pStyle w:val="Nagwek6"/>
      </w:pPr>
      <w:bookmarkStart w:id="78" w:name="_Toc492024507"/>
      <w:bookmarkStart w:id="79" w:name="_Toc12532562"/>
      <w:r w:rsidRPr="009E064B">
        <w:t xml:space="preserve">GM3 ADR.AR.B.005(a)(2)   </w:t>
      </w:r>
      <w:r w:rsidR="00D01EBC" w:rsidRPr="009E064B">
        <w:t xml:space="preserve"> </w:t>
      </w:r>
      <w:r w:rsidRPr="009E064B">
        <w:t xml:space="preserve"> System zarządzania</w:t>
      </w:r>
      <w:bookmarkEnd w:id="78"/>
      <w:bookmarkEnd w:id="79"/>
    </w:p>
    <w:p w14:paraId="471AF952" w14:textId="37644197"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0DB93AE"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KWALIFIKACJE PERSONELU</w:t>
      </w:r>
    </w:p>
    <w:p w14:paraId="32BD72B2"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Określenie „wykwalifikowany” oznacza przydatność do określonego celu. Można to osiągnąć poprzez spełnienie warunków niezbędnych, takich jak ukończenie wymaganego szkolenia lub uzyskanie dyplomu lub stopnia naukowego, lub poprzez zdobycie odpowiedniego doświadczenia. Obejmuje to również umiejętności, możliwości, wiedzę lub umiejętności, które pasują lub odpowiadają potrzebie, lub sprawiają, że ktoś kwalifikuje się do pełnienia obowiązków, sprawowania urzędu, pracy na stanowisku, korzystania z przywileju, lub statusu.</w:t>
      </w:r>
    </w:p>
    <w:p w14:paraId="28E5F380" w14:textId="48631799" w:rsidR="002819C5"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Niektóre stanowiska mogą z natury być związane z posiadaniem pewnych kwalifikacji w określonej dziedzinie (np. ratownictwo i gaszenie pożarów, inżynieria wodno-lądowa, mechanika lub elektrotechnika, biologia zwierząt itp.). W takich przypadkach oczekuje się, że osoby zajmujące takie stanowisko, będą posiadały niezbędne kwalifikacje na poziomie, który jest zgodny z obowiązującym ustawodawstwem krajowym lub Unii Europejskiej.</w:t>
      </w:r>
    </w:p>
    <w:p w14:paraId="1C8D1C34" w14:textId="77777777" w:rsidR="002819C5" w:rsidRPr="009E064B" w:rsidRDefault="002819C5">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18BB515D" w14:textId="080E5845" w:rsidR="00A35578" w:rsidRPr="009E064B" w:rsidRDefault="00A35578" w:rsidP="00133B99">
      <w:pPr>
        <w:pStyle w:val="Nagwek6"/>
      </w:pPr>
      <w:bookmarkStart w:id="80" w:name="_Toc492024508"/>
      <w:bookmarkStart w:id="81" w:name="_Toc12532563"/>
      <w:r w:rsidRPr="009E064B">
        <w:t xml:space="preserve">GM4 ADR.AR.B.005(a)(2)    </w:t>
      </w:r>
      <w:r w:rsidR="009F77C6" w:rsidRPr="009E064B">
        <w:t xml:space="preserve"> </w:t>
      </w:r>
      <w:r w:rsidRPr="009E064B">
        <w:t>System zarządzania</w:t>
      </w:r>
      <w:bookmarkEnd w:id="80"/>
      <w:bookmarkEnd w:id="81"/>
    </w:p>
    <w:p w14:paraId="652D2AC9" w14:textId="6561A9B5"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0CF3E3C" w14:textId="1E1E2ACE"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 xml:space="preserve">KWALIFIKACJE I SZKOLENIE – </w:t>
      </w:r>
      <w:r w:rsidR="009B0A08" w:rsidRPr="009E064B">
        <w:rPr>
          <w:rFonts w:asciiTheme="minorHAnsi" w:eastAsia="Calibri" w:hAnsiTheme="minorHAnsi" w:cstheme="minorHAnsi"/>
        </w:rPr>
        <w:t>WYMAGANIA OGÓLNE</w:t>
      </w:r>
    </w:p>
    <w:p w14:paraId="799335C5"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 celu zapewnienia, że personel utrzymuje swoje kwalifikacje, należy, odpowiednio do potrzeb, zorganizować system szkoleń wstępnych i okresowych.</w:t>
      </w:r>
    </w:p>
    <w:p w14:paraId="1F82CCB1"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zakresie kolejności poszczególnych elementów szkolenia wstępnego, właściwy organ powinien zapewnić, aby szkolenie na stanowisku pracy było podejmowane tylko przez osoby, które ukończyły pomyślnie wstępne szkolenie teoretyczne i szkolenie praktyczne.</w:t>
      </w:r>
    </w:p>
    <w:p w14:paraId="77F35B2B"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Podstawowe zdolności personelu właściwego organu podlegają ocenie podczas rekrutacji oraz w ramach normalnych funkcji zarządzania w trakcie wyboru personelu do wykonywania określonych obowiązków. Właściwy organ powinien zapewnić szkolenie w zakresie podstawowych umiejętności wymaganych do wykonywania tych obowiązków. Niemniej jednak, w celu uniknięcia różnic w rozumieniu i interpretacji, uważa się za istotne, że cały personel powinien odbyć dalsze szkolenie szczególnie w zakresie rozporządzenia (WE) nr 216/2008 i jego przepisów wykonawczych oraz związanych z nimi AMC, CS i GM, jak również w zakresie oceny alternatywnych sposobów spełnienia wymagań.</w:t>
      </w:r>
    </w:p>
    <w:p w14:paraId="4DFD7BA7"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Właściwy organ może prowadzić szkolenie poprzez swoją własną organizację szkoleniową posiadającą wykwalifikowanych wykładowców lub poprzez inne kwalifikowane organizacje szkoleniowe (np. szkolenia prowadzone przez inne właściwe organy lub przez Agencję).</w:t>
      </w:r>
    </w:p>
    <w:p w14:paraId="107D9967"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Jeżeli szkolenie nie jest prowadzone przez wewnętrzną organizację szkoleniową, osoby posiadające odpowiednie doświadczenie i kwalifikacje mogą pełnić rolę wykładowców, pod warunkiem, że przeprowadzono ocenę ich umiejętności szkoleniowych. W razie potrzeby, należy opracować indywidualny plan szkolenia obejmujący określone umiejętności szkoleniowe. Dokumentacja takiego szkolenia wraz z wynikami powinna być odpowiednio przechowywana.</w:t>
      </w:r>
    </w:p>
    <w:p w14:paraId="3D72AED4" w14:textId="5797D445" w:rsidR="00A35578" w:rsidRPr="009E064B" w:rsidRDefault="00A35578" w:rsidP="00133B99">
      <w:pPr>
        <w:pStyle w:val="Nagwek6"/>
      </w:pPr>
      <w:bookmarkStart w:id="82" w:name="_Toc492024509"/>
      <w:bookmarkStart w:id="83" w:name="_Toc12532564"/>
      <w:r w:rsidRPr="009E064B">
        <w:t xml:space="preserve">GM5 ADR.AR.B.005(a)(2)  </w:t>
      </w:r>
      <w:r w:rsidR="00D01EBC" w:rsidRPr="009E064B">
        <w:t xml:space="preserve"> </w:t>
      </w:r>
      <w:r w:rsidRPr="009E064B">
        <w:t xml:space="preserve">  System zarządzania</w:t>
      </w:r>
      <w:bookmarkEnd w:id="82"/>
      <w:bookmarkEnd w:id="83"/>
    </w:p>
    <w:p w14:paraId="73A9CD82" w14:textId="5D83902F"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43DF3E7"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PROGRAM SZKOLENIA I SZKOLENIE OKRESOWE</w:t>
      </w:r>
    </w:p>
    <w:p w14:paraId="67C2D289"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Podczas przygotowania programu szkolenia, właściwy organ powinien określić obszary, dla których szkolenie może obejmować realistyczne elementy szkolenia.</w:t>
      </w:r>
    </w:p>
    <w:p w14:paraId="3813C802"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Na przykład, szkolenia służb ratowniczo-gaśniczych (RFFS</w:t>
      </w:r>
      <w:r w:rsidRPr="009E064B">
        <w:rPr>
          <w:rFonts w:asciiTheme="minorHAnsi" w:eastAsia="Calibri" w:hAnsiTheme="minorHAnsi" w:cstheme="minorHAnsi"/>
          <w:vertAlign w:val="superscript"/>
        </w:rPr>
        <w:footnoteReference w:id="17"/>
      </w:r>
      <w:r w:rsidRPr="009E064B">
        <w:rPr>
          <w:rFonts w:asciiTheme="minorHAnsi" w:eastAsia="Calibri" w:hAnsiTheme="minorHAnsi" w:cstheme="minorHAnsi"/>
        </w:rPr>
        <w:t>) mogą zawierać elementy lub być takie same jak te dla personelu RFFS operatora lotniska. Jeśli operator lotniska zapewnia takie szkolenie, to należy zachować ostrożność, aby uniknąć ewentualnego konfliktu interesów.</w:t>
      </w:r>
    </w:p>
    <w:p w14:paraId="69ECC054" w14:textId="0CD83220" w:rsidR="00A35578" w:rsidRPr="009E064B" w:rsidRDefault="00A35578" w:rsidP="00133B99">
      <w:pPr>
        <w:pStyle w:val="Nagwek6"/>
      </w:pPr>
      <w:bookmarkStart w:id="84" w:name="_GM6_ADR.AR.B.005(a)(2)_"/>
      <w:bookmarkStart w:id="85" w:name="_Toc492024510"/>
      <w:bookmarkStart w:id="86" w:name="_Toc12532565"/>
      <w:bookmarkEnd w:id="84"/>
      <w:r w:rsidRPr="009E064B">
        <w:t xml:space="preserve">GM6 ADR.AR.B.005(a)(2)  </w:t>
      </w:r>
      <w:r w:rsidR="00D01EBC" w:rsidRPr="009E064B">
        <w:t xml:space="preserve"> </w:t>
      </w:r>
      <w:r w:rsidRPr="009E064B">
        <w:t xml:space="preserve">  System zarządzania</w:t>
      </w:r>
      <w:bookmarkEnd w:id="85"/>
      <w:bookmarkEnd w:id="86"/>
    </w:p>
    <w:p w14:paraId="3A9B3AEC" w14:textId="3ACA44EC"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030327E"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WYMAGANIA W ZAKRESIE BIEŻĄCEGO DOŚWIADCZENIA INSPEKTORÓW LOTNISKOWYCH</w:t>
      </w:r>
    </w:p>
    <w:p w14:paraId="040E05E9"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Inspektor lotniskowy zostanie uznany za wykwalifikowanego, jeśli w ciągu ostatnich 12 miesięcy wykonywał audyty/inspekcje, na co najmniej dwóch lotniskach. W przypadku, gdy minimalna liczba kontroli/inspekcji nie zostanie osiągnięta ze względu na liczbę lotnisk w danym Państwie Członkowskim, audyty/inspekcje przeprowadzone na innych lotniskach, które są dopuszczone do użytku publicznego, a które jednak nie wchodzą w zakres rozporządzenia (WE) nr 216/2008, mogą być również brane pod uwagę.</w:t>
      </w:r>
    </w:p>
    <w:p w14:paraId="2905721E" w14:textId="24F3443A"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Jeżeli inspektor lotniskowy traci swoje kwalifikacje w wyniku nie osiągnięcia minimalnej liczby inspekcji, o których mowa w </w:t>
      </w:r>
      <w:r w:rsidR="0077724D" w:rsidRPr="009E064B">
        <w:rPr>
          <w:rFonts w:asciiTheme="minorHAnsi" w:eastAsia="Calibri" w:hAnsiTheme="minorHAnsi" w:cstheme="minorHAnsi"/>
        </w:rPr>
        <w:t>lit. </w:t>
      </w:r>
      <w:r w:rsidRPr="009E064B">
        <w:rPr>
          <w:rFonts w:asciiTheme="minorHAnsi" w:eastAsia="Calibri" w:hAnsiTheme="minorHAnsi" w:cstheme="minorHAnsi"/>
        </w:rPr>
        <w:t>(a), to właściwy organ może mu ponownie przywrócić kwalifikacje przez, realizację brakującej liczby audytów/inspekcji pod nadzorem wykwalifikowanego inspektora lotniskowego. Brakujące audyty/inspekcje powinny odbyć się w</w:t>
      </w:r>
      <w:r w:rsidR="00750CFF" w:rsidRPr="009E064B">
        <w:rPr>
          <w:rFonts w:asciiTheme="minorHAnsi" w:eastAsia="Calibri" w:hAnsiTheme="minorHAnsi" w:cstheme="minorHAnsi"/>
        </w:rPr>
        <w:t> </w:t>
      </w:r>
      <w:r w:rsidRPr="009E064B">
        <w:rPr>
          <w:rFonts w:asciiTheme="minorHAnsi" w:eastAsia="Calibri" w:hAnsiTheme="minorHAnsi" w:cstheme="minorHAnsi"/>
        </w:rPr>
        <w:t>terminie maksymalnie trzech miesięcy od zakończenia okresu, w którym powinien on/ona osiągnąć minimalną liczbę kontroli/inspekcji.</w:t>
      </w:r>
    </w:p>
    <w:p w14:paraId="50F7C4C3" w14:textId="31FB1524"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Jeżeli inspektor lotniskowy traci swoje kwalifikacje ze względu na brak udziału w wykonywaniu audytów/inspekcji przez okres dłuższy niż ten ustalony w </w:t>
      </w:r>
      <w:r w:rsidR="0077724D" w:rsidRPr="009E064B">
        <w:rPr>
          <w:rFonts w:asciiTheme="minorHAnsi" w:eastAsia="Calibri" w:hAnsiTheme="minorHAnsi" w:cstheme="minorHAnsi"/>
        </w:rPr>
        <w:t>lit. </w:t>
      </w:r>
      <w:r w:rsidRPr="009E064B">
        <w:rPr>
          <w:rFonts w:asciiTheme="minorHAnsi" w:eastAsia="Calibri" w:hAnsiTheme="minorHAnsi" w:cstheme="minorHAnsi"/>
        </w:rPr>
        <w:t>(a), l</w:t>
      </w:r>
      <w:r w:rsidR="0077724D" w:rsidRPr="009E064B">
        <w:rPr>
          <w:rFonts w:asciiTheme="minorHAnsi" w:eastAsia="Calibri" w:hAnsiTheme="minorHAnsi" w:cstheme="minorHAnsi"/>
        </w:rPr>
        <w:t>ecz krótszy niż 24 miesiące, to </w:t>
      </w:r>
      <w:r w:rsidRPr="009E064B">
        <w:rPr>
          <w:rFonts w:asciiTheme="minorHAnsi" w:eastAsia="Calibri" w:hAnsiTheme="minorHAnsi" w:cstheme="minorHAnsi"/>
        </w:rPr>
        <w:t>właściwy organ powinien mu ponownie przywrócić kwalifikacje tylko po pomyślnym ukończeniu szkolenia na stanowisku pracy oraz ukończeniu wymaganego szkolenia okresowego.</w:t>
      </w:r>
    </w:p>
    <w:p w14:paraId="4C443AD7" w14:textId="7F1407B3"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Jeżeli inspektor lotniskowy traci swoje kwalifikacje ze względu na brak udziału w wykonywaniu audytów/inspekcji przez okres dłuższy niż 24 miesiące, to wła</w:t>
      </w:r>
      <w:r w:rsidR="00A11C83" w:rsidRPr="009E064B">
        <w:rPr>
          <w:rFonts w:asciiTheme="minorHAnsi" w:eastAsia="Calibri" w:hAnsiTheme="minorHAnsi" w:cstheme="minorHAnsi"/>
        </w:rPr>
        <w:t>ściwy organ powinien ponownie w </w:t>
      </w:r>
      <w:r w:rsidRPr="009E064B">
        <w:rPr>
          <w:rFonts w:asciiTheme="minorHAnsi" w:eastAsia="Calibri" w:hAnsiTheme="minorHAnsi" w:cstheme="minorHAnsi"/>
        </w:rPr>
        <w:t>pełni przywrócić jego kwalifikacje tylko po pomyślnym ukończeniu wstępnego szkolenia teoretycznego i praktycznego oraz szkolenia na stanowisku pracy.</w:t>
      </w:r>
    </w:p>
    <w:p w14:paraId="70922750" w14:textId="57577F14" w:rsidR="00A35578" w:rsidRPr="009E064B" w:rsidRDefault="00A35578" w:rsidP="00133B99">
      <w:pPr>
        <w:pStyle w:val="Nagwek6"/>
      </w:pPr>
      <w:bookmarkStart w:id="87" w:name="_Toc492024511"/>
      <w:bookmarkStart w:id="88" w:name="_Toc12532566"/>
      <w:r w:rsidRPr="009E064B">
        <w:t xml:space="preserve">GM1 ADR.AR.B.005(a)(3)  </w:t>
      </w:r>
      <w:r w:rsidR="00D01EBC" w:rsidRPr="009E064B">
        <w:t xml:space="preserve"> </w:t>
      </w:r>
      <w:r w:rsidRPr="009E064B">
        <w:t xml:space="preserve">  System zarządzania</w:t>
      </w:r>
      <w:bookmarkEnd w:id="87"/>
      <w:bookmarkEnd w:id="88"/>
    </w:p>
    <w:p w14:paraId="31FB26C4" w14:textId="5706696F"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B0B0D0A"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URZĄDZENIA I POMIESZCZENIA BIUROWE</w:t>
      </w:r>
    </w:p>
    <w:p w14:paraId="41FFF852"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Urządzenia i pomieszczenia biurowe obejmują, ale nie ograniczają się do:</w:t>
      </w:r>
    </w:p>
    <w:p w14:paraId="13E64AC4"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odpowiednich biur;</w:t>
      </w:r>
    </w:p>
    <w:p w14:paraId="04CF070A"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biblioteki wydawnictw technicznych dostępnej dla pracowników właściwego organu lub innych metod pozwalających zapewnić otrzymywanie, kontrolę i dystrybucję niezbędnej dokumentacji technicznej;</w:t>
      </w:r>
    </w:p>
    <w:p w14:paraId="154DC933"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urządzeń biurowych, włącznie z komputerami i środkami łączności;</w:t>
      </w:r>
    </w:p>
    <w:p w14:paraId="642C76B4"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środków transportu;</w:t>
      </w:r>
    </w:p>
    <w:p w14:paraId="18D2B4A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środków ochronnych dla personelu; oraz</w:t>
      </w:r>
    </w:p>
    <w:p w14:paraId="666A3028"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wyposażenia niezbędnego do prowadzenia audytu/inspekcji lotniska i jego wyposażenia, takiego jak aparaty fotograficzne, klinometry, urządzenia pomiarowe odległości, GPS itp.</w:t>
      </w:r>
    </w:p>
    <w:p w14:paraId="12C64A2C" w14:textId="537AAEAB" w:rsidR="00A35578" w:rsidRPr="009E064B" w:rsidRDefault="00A35578" w:rsidP="00133B99">
      <w:pPr>
        <w:pStyle w:val="Nagwek5"/>
      </w:pPr>
      <w:bookmarkStart w:id="89" w:name="_Toc492024512"/>
      <w:bookmarkStart w:id="90" w:name="_Toc12532567"/>
      <w:r w:rsidRPr="009E064B">
        <w:t xml:space="preserve">AMC1 ADR.AR.B.005(a)(4)  </w:t>
      </w:r>
      <w:r w:rsidR="00D01EBC" w:rsidRPr="009E064B">
        <w:t xml:space="preserve"> </w:t>
      </w:r>
      <w:r w:rsidRPr="009E064B">
        <w:t xml:space="preserve">  System zarządzania</w:t>
      </w:r>
      <w:bookmarkEnd w:id="89"/>
      <w:bookmarkEnd w:id="90"/>
    </w:p>
    <w:p w14:paraId="5C183314" w14:textId="7C4FE00D"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76C6FD7"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PROCES MONITOROWANIA ZGODNOŚCI</w:t>
      </w:r>
    </w:p>
    <w:p w14:paraId="060B6253"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Formalny proces monitorowania zgodności systemu zarządzania z odpowiednimi wymaganiami i adekwatności procedur powinien:</w:t>
      </w:r>
    </w:p>
    <w:p w14:paraId="7DC7CE1C"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obejmować system informowania zwrotnego o nieprawidłowościach z audytu, aby zapewnić wdrożenie odpowiednich działań naprawczych; oraz</w:t>
      </w:r>
    </w:p>
    <w:p w14:paraId="21401399" w14:textId="53951047" w:rsidR="00542EEF" w:rsidRPr="009E064B" w:rsidRDefault="00A35578" w:rsidP="00542EEF">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należeć do obowiązków osoby, lub grupy osób, które powinny być odpowiedzialne przed kierownictwem wyższego szczebla właściwego organu, i które wykonują czynności monitorowania zgodności z zachowaniem niezależności na poziomie funkcjonalnym od nadzorowanych jednostek/departamentów i posiadają bezpośredni dostęp do kierownictwa wyższego szczebla właściwego organu oraz do odpowiedniego kierownictwa odpowiedzialnego za kwestie bezpieczeństwa.</w:t>
      </w:r>
      <w:r w:rsidR="00542EEF" w:rsidRPr="009E064B">
        <w:rPr>
          <w:rFonts w:asciiTheme="minorHAnsi" w:eastAsia="Calibri" w:hAnsiTheme="minorHAnsi" w:cstheme="minorHAnsi"/>
        </w:rPr>
        <w:t xml:space="preserve"> </w:t>
      </w:r>
      <w:r w:rsidR="00542EEF" w:rsidRPr="009E064B">
        <w:rPr>
          <w:rFonts w:asciiTheme="minorHAnsi" w:eastAsia="Calibri" w:hAnsiTheme="minorHAnsi" w:cstheme="minorHAnsi"/>
        </w:rPr>
        <w:br w:type="page"/>
      </w:r>
    </w:p>
    <w:p w14:paraId="734A4D60" w14:textId="6F78728D" w:rsidR="00A35578" w:rsidRPr="009E064B" w:rsidRDefault="004D09C3" w:rsidP="00133B99">
      <w:pPr>
        <w:pStyle w:val="Nagwek5"/>
      </w:pPr>
      <w:bookmarkStart w:id="91" w:name="_Toc492024513"/>
      <w:bookmarkStart w:id="92" w:name="_Toc12532568"/>
      <w:r w:rsidRPr="009E064B">
        <w:t xml:space="preserve">AMC1 ADR.AR.B.005(c) </w:t>
      </w:r>
      <w:r w:rsidR="00D01EBC" w:rsidRPr="009E064B">
        <w:t xml:space="preserve">    </w:t>
      </w:r>
      <w:r w:rsidR="00A35578" w:rsidRPr="009E064B">
        <w:t>System zarządzania</w:t>
      </w:r>
      <w:bookmarkEnd w:id="91"/>
      <w:bookmarkEnd w:id="92"/>
    </w:p>
    <w:p w14:paraId="0487642C" w14:textId="7EC31C34"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91AAF0B"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KOORDYNACJA Z INNYMI WŁADZAMI PAŃSTWA CZŁONKOWSKIEGO</w:t>
      </w:r>
    </w:p>
    <w:p w14:paraId="6FBA28A3" w14:textId="77777777" w:rsidR="00A35578" w:rsidRPr="009E064B" w:rsidRDefault="00A35578" w:rsidP="00B06A9A">
      <w:pPr>
        <w:widowControl/>
        <w:rPr>
          <w:rFonts w:asciiTheme="minorHAnsi" w:eastAsia="Calibri" w:hAnsiTheme="minorHAnsi" w:cstheme="minorHAnsi"/>
        </w:rPr>
      </w:pPr>
      <w:r w:rsidRPr="009E064B">
        <w:rPr>
          <w:rFonts w:asciiTheme="minorHAnsi" w:eastAsia="Calibri" w:hAnsiTheme="minorHAnsi" w:cstheme="minorHAnsi"/>
        </w:rPr>
        <w:t>Właściwy organ powinien dokonać uzgodnień dotyczących koordynacji z innymi władzami państwa członkowskiego. Takie uzgodnienia koordynacyjne powinny w szczególności obejmować następujące władze:</w:t>
      </w:r>
    </w:p>
    <w:p w14:paraId="53B5E7C8"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agencje ochrony, w celu zapewnienia:</w:t>
      </w:r>
    </w:p>
    <w:p w14:paraId="0489B329"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że międzynarodowe środki ochrony lotnictwa cywilnego są zintegrowane w zakresie projektowania i budowy lotnisk i ich wyposażenia; oraz</w:t>
      </w:r>
    </w:p>
    <w:p w14:paraId="31AAD4A8" w14:textId="77777777" w:rsidR="00A35578" w:rsidRPr="009E064B" w:rsidRDefault="00A35578"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optymalizacji środków ochrony lotnictwa cywilnego.</w:t>
      </w:r>
    </w:p>
    <w:p w14:paraId="01AD03AE"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władze odpowiedzialne za ochronę środowiska, w celu zarządzania konfliktami pomiędzy wymogami bezpieczeństwa i ochrony środowiska;</w:t>
      </w:r>
    </w:p>
    <w:p w14:paraId="6572EB19" w14:textId="77777777" w:rsidR="00A35578" w:rsidRPr="009E064B" w:rsidRDefault="00A35578"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lokalne władze odpowiedzialne za planowanie przestrzenne i wykorzystanie gruntów.</w:t>
      </w:r>
    </w:p>
    <w:p w14:paraId="04B20377" w14:textId="24F66910" w:rsidR="00DC7DA6" w:rsidRPr="009E064B" w:rsidRDefault="00DE05DC" w:rsidP="00B06A9A">
      <w:pPr>
        <w:pStyle w:val="Nagwek3"/>
      </w:pPr>
      <w:bookmarkStart w:id="93" w:name="_ADR.AR.B.010__"/>
      <w:bookmarkStart w:id="94" w:name="_Toc12532569"/>
      <w:bookmarkEnd w:id="93"/>
      <w:r w:rsidRPr="009E064B">
        <w:t xml:space="preserve">ADR.AR.B.010 </w:t>
      </w:r>
      <w:r w:rsidR="00D01EBC" w:rsidRPr="009E064B">
        <w:t xml:space="preserve">    </w:t>
      </w:r>
      <w:r w:rsidRPr="009E064B">
        <w:t>Przydzielanie zadań kwalifikowanym jednostkom</w:t>
      </w:r>
      <w:bookmarkEnd w:id="94"/>
    </w:p>
    <w:p w14:paraId="3C3BAD7E" w14:textId="30F6DF20"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87B9CA1" w14:textId="4E631D6F"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C23A0"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Zadania związane ze wstępną certyfikacją lub sprawowaniem stałego nadzoru nad osobami lub organizacjami podlegającymi rozporządzeniu (WE) nr 216/2008 i jego przepisom wykonawczym są przydzielane przez państwa członkowskie jedynie kwalifikowanym jednostkom. Przydzielając zadania, właściwy organ upewnia się, że:</w:t>
      </w:r>
    </w:p>
    <w:p w14:paraId="1934AEDF" w14:textId="7F6641BC"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1</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wdrożono system służący do wstępnej i bieżącej oceny kwalifikowanych jednostek, który jest zgodny z przepisami </w:t>
      </w:r>
      <w:r w:rsidR="00816F6D" w:rsidRPr="009E064B">
        <w:rPr>
          <w:rFonts w:asciiTheme="minorHAnsi" w:eastAsia="Times New Roman" w:hAnsiTheme="minorHAnsi" w:cstheme="minorHAnsi"/>
          <w:szCs w:val="20"/>
        </w:rPr>
        <w:t>Z</w:t>
      </w:r>
      <w:r w:rsidR="00DE05DC" w:rsidRPr="009E064B">
        <w:rPr>
          <w:rFonts w:asciiTheme="minorHAnsi" w:eastAsia="Times New Roman" w:hAnsiTheme="minorHAnsi" w:cstheme="minorHAnsi"/>
          <w:szCs w:val="20"/>
        </w:rPr>
        <w:t>ałąc</w:t>
      </w:r>
      <w:r w:rsidR="006B3422" w:rsidRPr="009E064B">
        <w:rPr>
          <w:rFonts w:asciiTheme="minorHAnsi" w:eastAsia="Times New Roman" w:hAnsiTheme="minorHAnsi" w:cstheme="minorHAnsi"/>
          <w:szCs w:val="20"/>
        </w:rPr>
        <w:t xml:space="preserve">znika V do rozporządzenia (WE) </w:t>
      </w:r>
      <w:r w:rsidR="00DE05DC" w:rsidRPr="009E064B">
        <w:rPr>
          <w:rFonts w:asciiTheme="minorHAnsi" w:eastAsia="Times New Roman" w:hAnsiTheme="minorHAnsi" w:cstheme="minorHAnsi"/>
          <w:szCs w:val="20"/>
        </w:rPr>
        <w:t>nr 216/2008;</w:t>
      </w:r>
    </w:p>
    <w:p w14:paraId="15256772" w14:textId="77777777" w:rsidR="00DC7DA6" w:rsidRPr="009E064B" w:rsidRDefault="00DE05DC" w:rsidP="00B06A9A">
      <w:pPr>
        <w:pStyle w:val="Tekstpodstawowy"/>
        <w:ind w:left="993" w:right="-2" w:firstLine="0"/>
        <w:rPr>
          <w:rFonts w:asciiTheme="minorHAnsi" w:hAnsiTheme="minorHAnsi" w:cstheme="minorHAnsi"/>
          <w:sz w:val="22"/>
          <w:szCs w:val="20"/>
        </w:rPr>
      </w:pPr>
      <w:r w:rsidRPr="009E064B">
        <w:rPr>
          <w:rFonts w:asciiTheme="minorHAnsi" w:hAnsiTheme="minorHAnsi" w:cstheme="minorHAnsi"/>
          <w:sz w:val="22"/>
          <w:szCs w:val="20"/>
        </w:rPr>
        <w:t>system ten oraz wyniki oceny muszą być dokumentowane;</w:t>
      </w:r>
    </w:p>
    <w:p w14:paraId="56FE505D" w14:textId="4BDE0D4F"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2</w:t>
      </w:r>
      <w:r w:rsidR="001C23A0" w:rsidRPr="009E064B">
        <w:rPr>
          <w:rFonts w:asciiTheme="minorHAnsi" w:eastAsia="Times New Roman" w:hAnsiTheme="minorHAnsi" w:cstheme="minorHAnsi"/>
          <w:szCs w:val="20"/>
        </w:rPr>
        <w:t xml:space="preserve">)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zawarto z kwalifikowaną jednostką udokumentowane porozumienie, </w:t>
      </w:r>
      <w:r w:rsidR="00D1567C" w:rsidRPr="009E064B">
        <w:rPr>
          <w:rFonts w:asciiTheme="minorHAnsi" w:eastAsia="Times New Roman" w:hAnsiTheme="minorHAnsi" w:cstheme="minorHAnsi"/>
          <w:szCs w:val="20"/>
        </w:rPr>
        <w:t xml:space="preserve">zatwierdzone </w:t>
      </w:r>
      <w:r w:rsidR="00DE05DC" w:rsidRPr="009E064B">
        <w:rPr>
          <w:rFonts w:asciiTheme="minorHAnsi" w:eastAsia="Times New Roman" w:hAnsiTheme="minorHAnsi" w:cstheme="minorHAnsi"/>
          <w:szCs w:val="20"/>
        </w:rPr>
        <w:t>przez obydwie strony na odpowiednim szczeblu zarządzania, które to porozumienie wyraźnie określa:</w:t>
      </w:r>
    </w:p>
    <w:p w14:paraId="755DD25A" w14:textId="77777777" w:rsidR="00DC7DA6" w:rsidRPr="009E064B" w:rsidRDefault="00C55A7B"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zadania do wykonania;</w:t>
      </w:r>
    </w:p>
    <w:p w14:paraId="2B5BCD58" w14:textId="77777777" w:rsidR="00DC7DA6" w:rsidRPr="009E064B" w:rsidRDefault="00C55A7B"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(ii)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deklaracje, sprawozdania i rejestry, jakie należy przekazać;</w:t>
      </w:r>
    </w:p>
    <w:p w14:paraId="7BE16C2D" w14:textId="77777777" w:rsidR="00DC7DA6" w:rsidRPr="009E064B" w:rsidRDefault="00C55A7B"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(ii)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warunki techniczne, które należy spełnić podczas realizacji przedmiotowych zadań;</w:t>
      </w:r>
    </w:p>
    <w:p w14:paraId="11FFF7EE" w14:textId="77777777" w:rsidR="00DC7DA6" w:rsidRPr="009E064B" w:rsidRDefault="00C55A7B"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(iv)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odpowiedn</w:t>
      </w:r>
      <w:r w:rsidR="00C36D6C" w:rsidRPr="009E064B">
        <w:rPr>
          <w:rFonts w:asciiTheme="minorHAnsi" w:eastAsia="Times New Roman" w:hAnsiTheme="minorHAnsi" w:cstheme="minorHAnsi"/>
          <w:szCs w:val="20"/>
        </w:rPr>
        <w:t xml:space="preserve">ie ubezpieczenie od </w:t>
      </w:r>
      <w:r w:rsidR="00DE05DC" w:rsidRPr="009E064B">
        <w:rPr>
          <w:rFonts w:asciiTheme="minorHAnsi" w:eastAsia="Times New Roman" w:hAnsiTheme="minorHAnsi" w:cstheme="minorHAnsi"/>
          <w:szCs w:val="20"/>
        </w:rPr>
        <w:t>odpowiedzialności; oraz</w:t>
      </w:r>
    </w:p>
    <w:p w14:paraId="23D7296C" w14:textId="77777777" w:rsidR="00DC7DA6" w:rsidRPr="009E064B" w:rsidRDefault="00C55A7B"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(v) </w:t>
      </w:r>
      <w:r w:rsidR="00483D7A" w:rsidRPr="009E064B">
        <w:rPr>
          <w:rFonts w:asciiTheme="minorHAnsi" w:eastAsia="Times New Roman" w:hAnsiTheme="minorHAnsi" w:cstheme="minorHAnsi"/>
          <w:szCs w:val="20"/>
        </w:rPr>
        <w:tab/>
      </w:r>
      <w:r w:rsidR="00C36D6C" w:rsidRPr="009E064B">
        <w:rPr>
          <w:rFonts w:asciiTheme="minorHAnsi" w:eastAsia="Times New Roman" w:hAnsiTheme="minorHAnsi" w:cstheme="minorHAnsi"/>
          <w:szCs w:val="20"/>
        </w:rPr>
        <w:t xml:space="preserve">sposób </w:t>
      </w:r>
      <w:r w:rsidR="00DE05DC" w:rsidRPr="009E064B">
        <w:rPr>
          <w:rFonts w:asciiTheme="minorHAnsi" w:eastAsia="Times New Roman" w:hAnsiTheme="minorHAnsi" w:cstheme="minorHAnsi"/>
          <w:szCs w:val="20"/>
        </w:rPr>
        <w:t>ochrony i</w:t>
      </w:r>
      <w:r w:rsidR="00C36D6C" w:rsidRPr="009E064B">
        <w:rPr>
          <w:rFonts w:asciiTheme="minorHAnsi" w:eastAsia="Times New Roman" w:hAnsiTheme="minorHAnsi" w:cstheme="minorHAnsi"/>
          <w:szCs w:val="20"/>
        </w:rPr>
        <w:t xml:space="preserve">nformacji uzyskiwanych podczas </w:t>
      </w:r>
      <w:r w:rsidR="00DE05DC" w:rsidRPr="009E064B">
        <w:rPr>
          <w:rFonts w:asciiTheme="minorHAnsi" w:eastAsia="Times New Roman" w:hAnsiTheme="minorHAnsi" w:cstheme="minorHAnsi"/>
          <w:szCs w:val="20"/>
        </w:rPr>
        <w:t>realizacji przedmiotowych zadań.</w:t>
      </w:r>
    </w:p>
    <w:p w14:paraId="105CE469" w14:textId="2F6815D0"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zapewnia, by procesy audytu wewnętr</w:t>
      </w:r>
      <w:r w:rsidR="00C36D6C" w:rsidRPr="009E064B">
        <w:rPr>
          <w:rFonts w:asciiTheme="minorHAnsi" w:hAnsiTheme="minorHAnsi" w:cstheme="minorHAnsi"/>
          <w:sz w:val="22"/>
          <w:szCs w:val="20"/>
        </w:rPr>
        <w:t xml:space="preserve">znego i zarządzania ryzykiem w zakresie </w:t>
      </w:r>
      <w:r w:rsidR="00DE05DC" w:rsidRPr="009E064B">
        <w:rPr>
          <w:rFonts w:asciiTheme="minorHAnsi" w:hAnsiTheme="minorHAnsi" w:cstheme="minorHAnsi"/>
          <w:sz w:val="22"/>
          <w:szCs w:val="20"/>
        </w:rPr>
        <w:t>bezpieczeńst</w:t>
      </w:r>
      <w:r w:rsidR="00750CFF" w:rsidRPr="009E064B">
        <w:rPr>
          <w:rFonts w:asciiTheme="minorHAnsi" w:hAnsiTheme="minorHAnsi" w:cstheme="minorHAnsi"/>
          <w:sz w:val="22"/>
          <w:szCs w:val="20"/>
        </w:rPr>
        <w:t xml:space="preserve">wa, wymagane na mocy </w:t>
      </w:r>
      <w:hyperlink w:anchor="_ADR.AR.B.005__" w:history="1">
        <w:r w:rsidR="00750CFF" w:rsidRPr="009E064B">
          <w:rPr>
            <w:rStyle w:val="Hipercze"/>
            <w:rFonts w:asciiTheme="minorHAnsi" w:hAnsiTheme="minorHAnsi" w:cstheme="minorHAnsi"/>
            <w:sz w:val="22"/>
            <w:szCs w:val="20"/>
          </w:rPr>
          <w:t>ADR.AR.</w:t>
        </w:r>
        <w:r w:rsidR="004A0BC2" w:rsidRPr="009E064B">
          <w:rPr>
            <w:rStyle w:val="Hipercze"/>
            <w:rFonts w:asciiTheme="minorHAnsi" w:hAnsiTheme="minorHAnsi" w:cstheme="minorHAnsi"/>
            <w:sz w:val="22"/>
            <w:szCs w:val="20"/>
          </w:rPr>
          <w:t>B.</w:t>
        </w:r>
        <w:r w:rsidR="00750CFF" w:rsidRPr="009E064B">
          <w:rPr>
            <w:rStyle w:val="Hipercze"/>
            <w:rFonts w:asciiTheme="minorHAnsi" w:hAnsiTheme="minorHAnsi" w:cstheme="minorHAnsi"/>
            <w:sz w:val="22"/>
            <w:szCs w:val="20"/>
          </w:rPr>
          <w:t>005</w:t>
        </w:r>
      </w:hyperlink>
      <w:r w:rsidR="00C81356" w:rsidRPr="009E064B">
        <w:rPr>
          <w:rStyle w:val="Hipercze"/>
          <w:rFonts w:asciiTheme="minorHAnsi" w:hAnsiTheme="minorHAnsi" w:cstheme="minorHAnsi"/>
          <w:sz w:val="22"/>
          <w:szCs w:val="20"/>
        </w:rPr>
        <w:t xml:space="preserve"> </w:t>
      </w:r>
      <w:r w:rsidR="00750CFF" w:rsidRPr="009E064B">
        <w:rPr>
          <w:rFonts w:asciiTheme="minorHAnsi" w:hAnsiTheme="minorHAnsi" w:cstheme="minorHAnsi"/>
          <w:sz w:val="22"/>
          <w:szCs w:val="20"/>
        </w:rPr>
        <w:t>lit. </w:t>
      </w:r>
      <w:r w:rsidR="004B2C78" w:rsidRPr="009E064B">
        <w:rPr>
          <w:rFonts w:asciiTheme="minorHAnsi" w:hAnsiTheme="minorHAnsi" w:cstheme="minorHAnsi"/>
          <w:sz w:val="22"/>
          <w:szCs w:val="20"/>
        </w:rPr>
        <w:t>(</w:t>
      </w:r>
      <w:r w:rsidR="00750CFF" w:rsidRPr="009E064B">
        <w:rPr>
          <w:rFonts w:asciiTheme="minorHAnsi" w:hAnsiTheme="minorHAnsi" w:cstheme="minorHAnsi"/>
          <w:sz w:val="22"/>
          <w:szCs w:val="20"/>
        </w:rPr>
        <w:t>a)</w:t>
      </w:r>
      <w:r w:rsidR="00C81356" w:rsidRPr="009E064B">
        <w:rPr>
          <w:rFonts w:asciiTheme="minorHAnsi" w:hAnsiTheme="minorHAnsi" w:cstheme="minorHAnsi"/>
          <w:sz w:val="22"/>
          <w:szCs w:val="20"/>
        </w:rPr>
        <w:t xml:space="preserve"> </w:t>
      </w:r>
      <w:r w:rsidR="00750CFF" w:rsidRPr="009E064B">
        <w:rPr>
          <w:rFonts w:asciiTheme="minorHAnsi" w:hAnsiTheme="minorHAnsi" w:cstheme="minorHAnsi"/>
          <w:sz w:val="22"/>
          <w:szCs w:val="20"/>
        </w:rPr>
        <w:t>pkt </w:t>
      </w:r>
      <w:r w:rsidR="004B2C78" w:rsidRPr="009E064B">
        <w:rPr>
          <w:rFonts w:asciiTheme="minorHAnsi" w:hAnsiTheme="minorHAnsi" w:cstheme="minorHAnsi"/>
          <w:sz w:val="22"/>
          <w:szCs w:val="20"/>
        </w:rPr>
        <w:t>(</w:t>
      </w:r>
      <w:r w:rsidR="00DE05DC" w:rsidRPr="009E064B">
        <w:rPr>
          <w:rFonts w:asciiTheme="minorHAnsi" w:hAnsiTheme="minorHAnsi" w:cstheme="minorHAnsi"/>
          <w:sz w:val="22"/>
          <w:szCs w:val="20"/>
        </w:rPr>
        <w:t>4</w:t>
      </w:r>
      <w:r w:rsidR="004B2C78" w:rsidRPr="009E064B">
        <w:rPr>
          <w:rFonts w:asciiTheme="minorHAnsi" w:hAnsiTheme="minorHAnsi" w:cstheme="minorHAnsi"/>
          <w:sz w:val="22"/>
          <w:szCs w:val="20"/>
        </w:rPr>
        <w:t>)</w:t>
      </w:r>
      <w:r w:rsidR="00DE05DC" w:rsidRPr="009E064B">
        <w:rPr>
          <w:rFonts w:asciiTheme="minorHAnsi" w:hAnsiTheme="minorHAnsi" w:cstheme="minorHAnsi"/>
          <w:sz w:val="22"/>
          <w:szCs w:val="20"/>
        </w:rPr>
        <w:t>, obejmowały wszystkie wykonywane w jego imieniu zadania z zakresu certyfikacji i stałego nadzoru.</w:t>
      </w:r>
    </w:p>
    <w:p w14:paraId="56B35142" w14:textId="363E5FB1" w:rsidR="00C1302E" w:rsidRPr="009E064B" w:rsidRDefault="00C1302E" w:rsidP="00133B99">
      <w:pPr>
        <w:pStyle w:val="Nagwek5"/>
      </w:pPr>
      <w:bookmarkStart w:id="95" w:name="_Toc492024514"/>
      <w:bookmarkStart w:id="96" w:name="_Toc12532570"/>
      <w:r w:rsidRPr="009E064B">
        <w:t xml:space="preserve">AMC1 ADR.AR.B.0010(a)(1)  </w:t>
      </w:r>
      <w:r w:rsidR="00D01EBC" w:rsidRPr="009E064B">
        <w:t xml:space="preserve"> </w:t>
      </w:r>
      <w:r w:rsidRPr="009E064B">
        <w:t xml:space="preserve">  Przydzielanie zadań kwalifikowanym jednostkom</w:t>
      </w:r>
      <w:bookmarkEnd w:id="95"/>
      <w:bookmarkEnd w:id="96"/>
    </w:p>
    <w:p w14:paraId="384124E6" w14:textId="23147A16"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6314FD1" w14:textId="77777777" w:rsidR="00C1302E" w:rsidRPr="009E064B" w:rsidRDefault="00C1302E" w:rsidP="00B06A9A">
      <w:pPr>
        <w:widowControl/>
        <w:rPr>
          <w:rFonts w:asciiTheme="minorHAnsi" w:eastAsia="Calibri" w:hAnsiTheme="minorHAnsi" w:cstheme="minorHAnsi"/>
        </w:rPr>
      </w:pPr>
      <w:r w:rsidRPr="009E064B">
        <w:rPr>
          <w:rFonts w:asciiTheme="minorHAnsi" w:eastAsia="Calibri" w:hAnsiTheme="minorHAnsi" w:cstheme="minorHAnsi"/>
        </w:rPr>
        <w:t>KWALIFIKACJE PERSONELU</w:t>
      </w:r>
    </w:p>
    <w:p w14:paraId="1CCFCA9D" w14:textId="6C02F544" w:rsidR="00C1302E" w:rsidRPr="009E064B" w:rsidRDefault="00C1302E"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Kwalifikowana jednostka, której mają być przydzielone zadania związane z wstępną certyfikacją lub zadaniami stałego nadzoru, powinna dysponować odpowiednią liczbą wykwalifikowanego personelu technicznego do przeprowadzania inspekcji i audytów na lotniskach oraz do wykonywania innych zadań potrzebnych w trakcie certyfikac</w:t>
      </w:r>
      <w:r w:rsidR="00DE64A7" w:rsidRPr="009E064B">
        <w:rPr>
          <w:rFonts w:asciiTheme="minorHAnsi" w:eastAsia="Calibri" w:hAnsiTheme="minorHAnsi" w:cstheme="minorHAnsi"/>
        </w:rPr>
        <w:t>ji i procesu nadzoru, zgodnie z </w:t>
      </w:r>
      <w:r w:rsidRPr="009E064B">
        <w:rPr>
          <w:rFonts w:asciiTheme="minorHAnsi" w:eastAsia="Calibri" w:hAnsiTheme="minorHAnsi" w:cstheme="minorHAnsi"/>
        </w:rPr>
        <w:t>wymogami właściwego organu.</w:t>
      </w:r>
    </w:p>
    <w:p w14:paraId="26BB3E8D" w14:textId="77777777" w:rsidR="004B2C78" w:rsidRPr="009E064B" w:rsidRDefault="00C1302E" w:rsidP="00752CFB">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Personel kwalifikowanej jednostki, któremu przydzielono takie zadania, powinien spełniać kryteria kwalifikacyjne obowiązujące dla inspektorów lotniskowych właściwego organu określone w </w:t>
      </w:r>
      <w:hyperlink w:anchor="_AMC1_ADR.AR.B.005(a)(2)_" w:history="1">
        <w:r w:rsidRPr="009E064B">
          <w:rPr>
            <w:rStyle w:val="Hipercze"/>
            <w:rFonts w:asciiTheme="minorHAnsi" w:eastAsia="Calibri" w:hAnsiTheme="minorHAnsi" w:cstheme="minorHAnsi"/>
          </w:rPr>
          <w:t>AMC1 ADR.AR.B.005(a)(2)</w:t>
        </w:r>
      </w:hyperlink>
      <w:r w:rsidRPr="009E064B">
        <w:rPr>
          <w:rFonts w:asciiTheme="minorHAnsi" w:eastAsia="Calibri" w:hAnsiTheme="minorHAnsi" w:cstheme="minorHAnsi"/>
        </w:rPr>
        <w:t xml:space="preserve">, </w:t>
      </w:r>
      <w:hyperlink w:anchor="_AMC2_ADR.AR.B.005(a)(2)_" w:history="1">
        <w:r w:rsidRPr="009E064B">
          <w:rPr>
            <w:rStyle w:val="Hipercze"/>
            <w:rFonts w:asciiTheme="minorHAnsi" w:eastAsia="Calibri" w:hAnsiTheme="minorHAnsi" w:cstheme="minorHAnsi"/>
          </w:rPr>
          <w:t>AMC2 ADR.AR.B.005(a)(2)</w:t>
        </w:r>
      </w:hyperlink>
      <w:r w:rsidRPr="009E064B">
        <w:rPr>
          <w:rFonts w:asciiTheme="minorHAnsi" w:eastAsia="Calibri" w:hAnsiTheme="minorHAnsi" w:cstheme="minorHAnsi"/>
        </w:rPr>
        <w:t xml:space="preserve"> i </w:t>
      </w:r>
      <w:hyperlink w:anchor="_AMC3_ADR.AR.B.005(a)(2)_" w:history="1">
        <w:r w:rsidRPr="009E064B">
          <w:rPr>
            <w:rStyle w:val="Hipercze"/>
            <w:rFonts w:asciiTheme="minorHAnsi" w:eastAsia="Calibri" w:hAnsiTheme="minorHAnsi" w:cstheme="minorHAnsi"/>
          </w:rPr>
          <w:t>AMC3 ADR.AR.B.005(a)(2)</w:t>
        </w:r>
      </w:hyperlink>
      <w:r w:rsidRPr="009E064B">
        <w:rPr>
          <w:rFonts w:asciiTheme="minorHAnsi" w:eastAsia="Calibri" w:hAnsiTheme="minorHAnsi" w:cstheme="minorHAnsi"/>
        </w:rPr>
        <w:t xml:space="preserve">, (patrz także </w:t>
      </w:r>
      <w:hyperlink w:anchor="_GM6_ADR.AR.B.005(a)(2)_" w:history="1">
        <w:r w:rsidRPr="009E064B">
          <w:rPr>
            <w:rStyle w:val="Hipercze"/>
            <w:rFonts w:asciiTheme="minorHAnsi" w:eastAsia="Calibri" w:hAnsiTheme="minorHAnsi" w:cstheme="minorHAnsi"/>
          </w:rPr>
          <w:t>GM6 ADR.AR.B.005(a)(2)</w:t>
        </w:r>
      </w:hyperlink>
      <w:r w:rsidRPr="009E064B">
        <w:rPr>
          <w:rFonts w:asciiTheme="minorHAnsi" w:eastAsia="Calibri" w:hAnsiTheme="minorHAnsi" w:cstheme="minorHAnsi"/>
        </w:rPr>
        <w:t>).</w:t>
      </w:r>
    </w:p>
    <w:p w14:paraId="14BFE42E" w14:textId="61A74ACB" w:rsidR="00C1302E" w:rsidRPr="009E064B" w:rsidRDefault="00C1302E" w:rsidP="00133B99">
      <w:pPr>
        <w:pStyle w:val="Nagwek6"/>
      </w:pPr>
      <w:bookmarkStart w:id="97" w:name="_Toc492024515"/>
      <w:bookmarkStart w:id="98" w:name="_Toc12532571"/>
      <w:r w:rsidRPr="009E064B">
        <w:t xml:space="preserve">GM1 ADR.AR.B.010  </w:t>
      </w:r>
      <w:r w:rsidR="00D01EBC" w:rsidRPr="009E064B">
        <w:t xml:space="preserve"> </w:t>
      </w:r>
      <w:r w:rsidRPr="009E064B">
        <w:t xml:space="preserve">  Przydzielanie zadań kwalifikowanym jednostkom</w:t>
      </w:r>
      <w:bookmarkEnd w:id="97"/>
      <w:bookmarkEnd w:id="98"/>
    </w:p>
    <w:p w14:paraId="20A16EE3" w14:textId="12B756B7"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C27BA74" w14:textId="77777777" w:rsidR="00C1302E" w:rsidRPr="009E064B" w:rsidRDefault="00C1302E" w:rsidP="00B06A9A">
      <w:pPr>
        <w:widowControl/>
        <w:rPr>
          <w:rFonts w:asciiTheme="minorHAnsi" w:eastAsia="Calibri" w:hAnsiTheme="minorHAnsi" w:cstheme="minorHAnsi"/>
        </w:rPr>
      </w:pPr>
      <w:r w:rsidRPr="009E064B">
        <w:rPr>
          <w:rFonts w:asciiTheme="minorHAnsi" w:eastAsia="Calibri" w:hAnsiTheme="minorHAnsi" w:cstheme="minorHAnsi"/>
        </w:rPr>
        <w:t>ZADANIA ZWIĄZANE Z CERTYFIKACJĄ</w:t>
      </w:r>
    </w:p>
    <w:p w14:paraId="4B28D2A0" w14:textId="77777777" w:rsidR="00C1302E" w:rsidRPr="009E064B" w:rsidRDefault="00C1302E" w:rsidP="00B06A9A">
      <w:pPr>
        <w:widowControl/>
        <w:rPr>
          <w:rFonts w:asciiTheme="minorHAnsi" w:eastAsia="Calibri" w:hAnsiTheme="minorHAnsi" w:cstheme="minorHAnsi"/>
        </w:rPr>
      </w:pPr>
      <w:r w:rsidRPr="009E064B">
        <w:rPr>
          <w:rFonts w:asciiTheme="minorHAnsi" w:eastAsia="Calibri" w:hAnsiTheme="minorHAnsi" w:cstheme="minorHAnsi"/>
        </w:rPr>
        <w:t>Zadania, które mogą być wykonywane przez kwalifikowane jednostki w imieniu właściwego organu mogą obejmować wszelkie zadania, które związane są ze wstępną certyfikacją oraz sprawowaniem stałego nadzoru nad lotniskami i operatorami lotniska, jak również nad instytucjami zapewniającymi służbę zarządzania płytą postojową na podstawie deklaracji, za wyjątkiem wydawania certyfikatów lub zatwierdzeń.</w:t>
      </w:r>
    </w:p>
    <w:p w14:paraId="78251FE9" w14:textId="0D1C3BAE" w:rsidR="00DC7DA6" w:rsidRPr="009E064B" w:rsidRDefault="00DE05DC" w:rsidP="00B06A9A">
      <w:pPr>
        <w:pStyle w:val="Nagwek3"/>
      </w:pPr>
      <w:bookmarkStart w:id="99" w:name="_Toc12532572"/>
      <w:r w:rsidRPr="009E064B">
        <w:t xml:space="preserve">ADR.AR.B.015 </w:t>
      </w:r>
      <w:r w:rsidR="00D01EBC" w:rsidRPr="009E064B">
        <w:t xml:space="preserve">    </w:t>
      </w:r>
      <w:r w:rsidRPr="009E064B">
        <w:t>Zmiany w systemie zarządzania</w:t>
      </w:r>
      <w:bookmarkEnd w:id="99"/>
    </w:p>
    <w:p w14:paraId="43461B0A" w14:textId="400B94F9" w:rsidR="00842D0E" w:rsidRPr="009E064B" w:rsidRDefault="00A80E78" w:rsidP="00B06A9A">
      <w:pPr>
        <w:pStyle w:val="Tekstpodstawowy"/>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73882FF6" w14:textId="16627EC8"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a)</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musi posiadać system służący do identyfikacji zmian wpływającyc</w:t>
      </w:r>
      <w:r w:rsidR="00C36D6C" w:rsidRPr="009E064B">
        <w:rPr>
          <w:rFonts w:asciiTheme="minorHAnsi" w:hAnsiTheme="minorHAnsi" w:cstheme="minorHAnsi"/>
          <w:sz w:val="22"/>
          <w:szCs w:val="20"/>
        </w:rPr>
        <w:t>h na jego zdolność do wykony</w:t>
      </w:r>
      <w:r w:rsidR="00DE05DC" w:rsidRPr="009E064B">
        <w:rPr>
          <w:rFonts w:asciiTheme="minorHAnsi" w:hAnsiTheme="minorHAnsi" w:cstheme="minorHAnsi"/>
          <w:sz w:val="22"/>
          <w:szCs w:val="20"/>
        </w:rPr>
        <w:t>wania zadań oraz wywiązywania</w:t>
      </w:r>
      <w:r w:rsidR="00DE64A7" w:rsidRPr="009E064B">
        <w:rPr>
          <w:rFonts w:asciiTheme="minorHAnsi" w:hAnsiTheme="minorHAnsi" w:cstheme="minorHAnsi"/>
          <w:sz w:val="22"/>
          <w:szCs w:val="20"/>
        </w:rPr>
        <w:t xml:space="preserve"> się z obowiązków określonych w </w:t>
      </w:r>
      <w:r w:rsidR="00DE05DC" w:rsidRPr="009E064B">
        <w:rPr>
          <w:rFonts w:asciiTheme="minorHAnsi" w:hAnsiTheme="minorHAnsi" w:cstheme="minorHAnsi"/>
          <w:sz w:val="22"/>
          <w:szCs w:val="20"/>
        </w:rPr>
        <w:t>rozporządzeni</w:t>
      </w:r>
      <w:r w:rsidR="009F7293" w:rsidRPr="009E064B">
        <w:rPr>
          <w:rFonts w:asciiTheme="minorHAnsi" w:hAnsiTheme="minorHAnsi" w:cstheme="minorHAnsi"/>
          <w:sz w:val="22"/>
          <w:szCs w:val="20"/>
        </w:rPr>
        <w:t>u (WE) nr 216/2008 i jego prze</w:t>
      </w:r>
      <w:r w:rsidR="00DE05DC" w:rsidRPr="009E064B">
        <w:rPr>
          <w:rFonts w:asciiTheme="minorHAnsi" w:hAnsiTheme="minorHAnsi" w:cstheme="minorHAnsi"/>
          <w:sz w:val="22"/>
          <w:szCs w:val="20"/>
        </w:rPr>
        <w:t>pisach wykonawczych. System ten musi umożliwiać podejmowanie odpowiednich działań w celu zap</w:t>
      </w:r>
      <w:r w:rsidR="00DE64A7" w:rsidRPr="009E064B">
        <w:rPr>
          <w:rFonts w:asciiTheme="minorHAnsi" w:hAnsiTheme="minorHAnsi" w:cstheme="minorHAnsi"/>
          <w:sz w:val="22"/>
          <w:szCs w:val="20"/>
        </w:rPr>
        <w:t>ewnienia dalszej adekwatności i </w:t>
      </w:r>
      <w:r w:rsidR="00DE05DC" w:rsidRPr="009E064B">
        <w:rPr>
          <w:rFonts w:asciiTheme="minorHAnsi" w:hAnsiTheme="minorHAnsi" w:cstheme="minorHAnsi"/>
          <w:sz w:val="22"/>
          <w:szCs w:val="20"/>
        </w:rPr>
        <w:t>skuteczności systemu zarządzania.</w:t>
      </w:r>
    </w:p>
    <w:p w14:paraId="4AA4EEB2" w14:textId="4317711A"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b)</w:t>
      </w:r>
      <w:r w:rsidR="00C36D6C" w:rsidRPr="009E064B">
        <w:rPr>
          <w:rFonts w:asciiTheme="minorHAnsi" w:hAnsiTheme="minorHAnsi" w:cstheme="minorHAnsi"/>
          <w:sz w:val="22"/>
          <w:szCs w:val="20"/>
        </w:rPr>
        <w:tab/>
      </w:r>
      <w:r w:rsidR="009B2533" w:rsidRPr="009E064B">
        <w:rPr>
          <w:rFonts w:asciiTheme="minorHAnsi" w:hAnsiTheme="minorHAnsi" w:cstheme="minorHAnsi"/>
          <w:sz w:val="22"/>
          <w:szCs w:val="20"/>
        </w:rPr>
        <w:t xml:space="preserve">Właściwy </w:t>
      </w:r>
      <w:r w:rsidR="00DE05DC" w:rsidRPr="009E064B">
        <w:rPr>
          <w:rFonts w:asciiTheme="minorHAnsi" w:hAnsiTheme="minorHAnsi" w:cstheme="minorHAnsi"/>
          <w:sz w:val="22"/>
          <w:szCs w:val="20"/>
        </w:rPr>
        <w:t xml:space="preserve">organ aktualizuje swój system zarządzania w celu odzwierciedlenia wszelkich </w:t>
      </w:r>
      <w:r w:rsidR="00EA1259" w:rsidRPr="009E064B">
        <w:rPr>
          <w:rFonts w:asciiTheme="minorHAnsi" w:hAnsiTheme="minorHAnsi" w:cstheme="minorHAnsi"/>
          <w:sz w:val="22"/>
          <w:szCs w:val="20"/>
        </w:rPr>
        <w:t>zmian w </w:t>
      </w:r>
      <w:r w:rsidR="009F7293" w:rsidRPr="009E064B">
        <w:rPr>
          <w:rFonts w:asciiTheme="minorHAnsi" w:hAnsiTheme="minorHAnsi" w:cstheme="minorHAnsi"/>
          <w:sz w:val="22"/>
          <w:szCs w:val="20"/>
        </w:rPr>
        <w:t xml:space="preserve">rozporządzeniu (WE) nr </w:t>
      </w:r>
      <w:r w:rsidR="00DE05DC" w:rsidRPr="009E064B">
        <w:rPr>
          <w:rFonts w:asciiTheme="minorHAnsi" w:hAnsiTheme="minorHAnsi" w:cstheme="minorHAnsi"/>
          <w:sz w:val="22"/>
          <w:szCs w:val="20"/>
        </w:rPr>
        <w:t>216/2008 i jeg</w:t>
      </w:r>
      <w:r w:rsidR="009F7293" w:rsidRPr="009E064B">
        <w:rPr>
          <w:rFonts w:asciiTheme="minorHAnsi" w:hAnsiTheme="minorHAnsi" w:cstheme="minorHAnsi"/>
          <w:sz w:val="22"/>
          <w:szCs w:val="20"/>
        </w:rPr>
        <w:t xml:space="preserve">o przepisach wykonawczych w odpowiednim </w:t>
      </w:r>
      <w:r w:rsidR="009B2533" w:rsidRPr="009E064B">
        <w:rPr>
          <w:rFonts w:asciiTheme="minorHAnsi" w:hAnsiTheme="minorHAnsi" w:cstheme="minorHAnsi"/>
          <w:sz w:val="22"/>
          <w:szCs w:val="20"/>
        </w:rPr>
        <w:t xml:space="preserve">terminie, by zapewnić ich skuteczne </w:t>
      </w:r>
      <w:r w:rsidR="00DE05DC" w:rsidRPr="009E064B">
        <w:rPr>
          <w:rFonts w:asciiTheme="minorHAnsi" w:hAnsiTheme="minorHAnsi" w:cstheme="minorHAnsi"/>
          <w:sz w:val="22"/>
          <w:szCs w:val="20"/>
        </w:rPr>
        <w:t>wdrożenie.</w:t>
      </w:r>
    </w:p>
    <w:p w14:paraId="34660618" w14:textId="16DD8D63"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c)</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powiadamia Agencję o zmianach mających wpływ na jego zdolność do wykonywania zadań i wywiązywania się z obowiązków okreś</w:t>
      </w:r>
      <w:r w:rsidR="00EA1259" w:rsidRPr="009E064B">
        <w:rPr>
          <w:rFonts w:asciiTheme="minorHAnsi" w:hAnsiTheme="minorHAnsi" w:cstheme="minorHAnsi"/>
          <w:sz w:val="22"/>
          <w:szCs w:val="20"/>
        </w:rPr>
        <w:t>lonych w rozporządzeniu (WE) nr </w:t>
      </w:r>
      <w:r w:rsidR="00DE05DC" w:rsidRPr="009E064B">
        <w:rPr>
          <w:rFonts w:asciiTheme="minorHAnsi" w:hAnsiTheme="minorHAnsi" w:cstheme="minorHAnsi"/>
          <w:sz w:val="22"/>
          <w:szCs w:val="20"/>
        </w:rPr>
        <w:t>216/2008 i jego przepisach wykonawczych.</w:t>
      </w:r>
    </w:p>
    <w:p w14:paraId="4904A1FB" w14:textId="2034EAEE" w:rsidR="00DC7DA6" w:rsidRPr="009E064B" w:rsidRDefault="00DE05DC" w:rsidP="00B06A9A">
      <w:pPr>
        <w:pStyle w:val="Nagwek3"/>
      </w:pPr>
      <w:bookmarkStart w:id="100" w:name="_ADR.AR.B.020__"/>
      <w:bookmarkStart w:id="101" w:name="_Toc12532573"/>
      <w:bookmarkEnd w:id="100"/>
      <w:r w:rsidRPr="009E064B">
        <w:t xml:space="preserve">ADR.AR.B.020 </w:t>
      </w:r>
      <w:r w:rsidR="00D01EBC" w:rsidRPr="009E064B">
        <w:t xml:space="preserve">    </w:t>
      </w:r>
      <w:r w:rsidRPr="009E064B">
        <w:t>Prowadzenie rejestrów</w:t>
      </w:r>
      <w:bookmarkEnd w:id="101"/>
    </w:p>
    <w:p w14:paraId="51C6FD2A" w14:textId="69D877D1"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9EB0C13" w14:textId="18678369"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a)</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ustanawia system prowadzenia rejestrów umożliwiający odpowiedni</w:t>
      </w:r>
      <w:r w:rsidR="00C36D6C" w:rsidRPr="009E064B">
        <w:rPr>
          <w:rFonts w:asciiTheme="minorHAnsi" w:hAnsiTheme="minorHAnsi" w:cstheme="minorHAnsi"/>
          <w:sz w:val="22"/>
          <w:szCs w:val="20"/>
        </w:rPr>
        <w:t xml:space="preserve">e przechowywanie, dostępność i </w:t>
      </w:r>
      <w:r w:rsidR="00DE05DC" w:rsidRPr="009E064B">
        <w:rPr>
          <w:rFonts w:asciiTheme="minorHAnsi" w:hAnsiTheme="minorHAnsi" w:cstheme="minorHAnsi"/>
          <w:sz w:val="22"/>
          <w:szCs w:val="20"/>
        </w:rPr>
        <w:t>wiarygodne monitorowanie:</w:t>
      </w:r>
    </w:p>
    <w:p w14:paraId="293B0A3F" w14:textId="150D175B"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udokumentowanych strategii i procedur dotyczących systemu zarządzania;</w:t>
      </w:r>
    </w:p>
    <w:p w14:paraId="5904E874" w14:textId="6030E4FA"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szkolenia, kwalifikacji i uprawnień swojego personelu;</w:t>
      </w:r>
    </w:p>
    <w:p w14:paraId="2C56949E" w14:textId="75B9CC18"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3)</w:t>
      </w:r>
      <w:r w:rsidR="00C55A7B"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przydziału zadań kwalifikowanym jednostkom, obejmującego elementy wymagane zgodnie z </w:t>
      </w:r>
      <w:hyperlink w:anchor="_ADR.AR.B.010__" w:history="1">
        <w:r w:rsidR="00DE05DC" w:rsidRPr="009E064B">
          <w:rPr>
            <w:rStyle w:val="Hipercze"/>
            <w:rFonts w:asciiTheme="minorHAnsi" w:eastAsia="Times New Roman" w:hAnsiTheme="minorHAnsi" w:cstheme="minorHAnsi"/>
            <w:szCs w:val="20"/>
          </w:rPr>
          <w:t>ADR.AR.B.010</w:t>
        </w:r>
      </w:hyperlink>
      <w:r w:rsidR="00DE05DC" w:rsidRPr="009E064B">
        <w:rPr>
          <w:rFonts w:asciiTheme="minorHAnsi" w:eastAsia="Times New Roman" w:hAnsiTheme="minorHAnsi" w:cstheme="minorHAnsi"/>
          <w:szCs w:val="20"/>
        </w:rPr>
        <w:t xml:space="preserve"> oraz szczegóły przydzielonych zadań;</w:t>
      </w:r>
    </w:p>
    <w:p w14:paraId="10902926" w14:textId="033C948C"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4)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procesu certyfikacji lotnisk i operatorów lotnisk oraz stałego nadzoru nad nimi;</w:t>
      </w:r>
    </w:p>
    <w:p w14:paraId="05874FAE" w14:textId="71C7C600"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5)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procesu składania deklaracji i stałego nadzoru nad instytucjami zapewniającymi służbę zarządzania płytą </w:t>
      </w:r>
      <w:r w:rsidR="00C36D6C" w:rsidRPr="009E064B">
        <w:rPr>
          <w:rFonts w:asciiTheme="minorHAnsi" w:eastAsia="Times New Roman" w:hAnsiTheme="minorHAnsi" w:cstheme="minorHAnsi"/>
          <w:szCs w:val="20"/>
        </w:rPr>
        <w:t>posto</w:t>
      </w:r>
      <w:r w:rsidR="00DE05DC" w:rsidRPr="009E064B">
        <w:rPr>
          <w:rFonts w:asciiTheme="minorHAnsi" w:eastAsia="Times New Roman" w:hAnsiTheme="minorHAnsi" w:cstheme="minorHAnsi"/>
          <w:szCs w:val="20"/>
        </w:rPr>
        <w:t>jową;</w:t>
      </w:r>
    </w:p>
    <w:p w14:paraId="33087485" w14:textId="26230D63"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6)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dokumentacji dotyczącej przypadków równow</w:t>
      </w:r>
      <w:r w:rsidR="00DE64A7" w:rsidRPr="009E064B">
        <w:rPr>
          <w:rFonts w:asciiTheme="minorHAnsi" w:eastAsia="Times New Roman" w:hAnsiTheme="minorHAnsi" w:cstheme="minorHAnsi"/>
          <w:szCs w:val="20"/>
        </w:rPr>
        <w:t>ażnego poziomu bezpieczeństwa i </w:t>
      </w:r>
      <w:r w:rsidR="00DE05DC" w:rsidRPr="009E064B">
        <w:rPr>
          <w:rFonts w:asciiTheme="minorHAnsi" w:eastAsia="Times New Roman" w:hAnsiTheme="minorHAnsi" w:cstheme="minorHAnsi"/>
          <w:szCs w:val="20"/>
        </w:rPr>
        <w:t xml:space="preserve">warunków specjalnych </w:t>
      </w:r>
      <w:r w:rsidR="00C36D6C" w:rsidRPr="009E064B">
        <w:rPr>
          <w:rFonts w:asciiTheme="minorHAnsi" w:eastAsia="Times New Roman" w:hAnsiTheme="minorHAnsi" w:cstheme="minorHAnsi"/>
          <w:szCs w:val="20"/>
        </w:rPr>
        <w:t>przewi</w:t>
      </w:r>
      <w:r w:rsidR="00DE05DC" w:rsidRPr="009E064B">
        <w:rPr>
          <w:rFonts w:asciiTheme="minorHAnsi" w:eastAsia="Times New Roman" w:hAnsiTheme="minorHAnsi" w:cstheme="minorHAnsi"/>
          <w:szCs w:val="20"/>
        </w:rPr>
        <w:t>dzianych w podstawie certyfikacji, a także każdego dokumentu akceptującego odstępstwo i sposób jego usunięcia (DAAD);</w:t>
      </w:r>
    </w:p>
    <w:p w14:paraId="666ACF88" w14:textId="316337CE"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7)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oceny i powiadamiania Agencji o alternatywnych sposobach spełnienia wymagań zaproponowanych przez operatorów lotnisk i instytucje zapewniające służbę zarządzania płytą postojową oraz oceny alternatywnych sposobów spełnienia wymagań stosowanych przez sam właściwy organ;</w:t>
      </w:r>
    </w:p>
    <w:p w14:paraId="2AA87D9B" w14:textId="52D83CFB"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8)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nieprawidłowości, działań naprawczych i dat zakończenia tych działań, jak również uwag;</w:t>
      </w:r>
    </w:p>
    <w:p w14:paraId="1CE77E0D" w14:textId="0AAD2C73"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9)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podjętych środków egzekucyjnych;</w:t>
      </w:r>
    </w:p>
    <w:p w14:paraId="77DB6AEC" w14:textId="5A6E061A"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10)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informacji dotyczących bezpieczeństwa oraz działań następczych;</w:t>
      </w:r>
    </w:p>
    <w:p w14:paraId="37A1D466" w14:textId="75D60B5F"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11)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wykorzystania przepisów o zapewnieniu elastycznego podejści</w:t>
      </w:r>
      <w:r w:rsidR="00DE64A7" w:rsidRPr="009E064B">
        <w:rPr>
          <w:rFonts w:asciiTheme="minorHAnsi" w:eastAsia="Times New Roman" w:hAnsiTheme="minorHAnsi" w:cstheme="minorHAnsi"/>
          <w:szCs w:val="20"/>
        </w:rPr>
        <w:t xml:space="preserve">a zgodnie z </w:t>
      </w:r>
      <w:r w:rsidR="00301536" w:rsidRPr="009E064B">
        <w:rPr>
          <w:rFonts w:asciiTheme="minorHAnsi" w:eastAsia="Times New Roman" w:hAnsiTheme="minorHAnsi" w:cstheme="minorHAnsi"/>
          <w:szCs w:val="20"/>
        </w:rPr>
        <w:t>A</w:t>
      </w:r>
      <w:r w:rsidR="00DE64A7" w:rsidRPr="009E064B">
        <w:rPr>
          <w:rFonts w:asciiTheme="minorHAnsi" w:eastAsia="Times New Roman" w:hAnsiTheme="minorHAnsi" w:cstheme="minorHAnsi"/>
          <w:szCs w:val="20"/>
        </w:rPr>
        <w:t>rt. </w:t>
      </w:r>
      <w:r w:rsidR="00DE05DC" w:rsidRPr="009E064B">
        <w:rPr>
          <w:rFonts w:asciiTheme="minorHAnsi" w:eastAsia="Times New Roman" w:hAnsiTheme="minorHAnsi" w:cstheme="minorHAnsi"/>
          <w:szCs w:val="20"/>
        </w:rPr>
        <w:t>14 rozporządzenia (WE) nr 216/2008.</w:t>
      </w:r>
    </w:p>
    <w:p w14:paraId="565E1FD9" w14:textId="6AB53D61"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prowadzi wykaz wszystkich wydanych przez siebie certyfikatów i otrzymanych deklaracji.</w:t>
      </w:r>
    </w:p>
    <w:p w14:paraId="73F8BD04" w14:textId="68459FBC"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c)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Rejestry zw</w:t>
      </w:r>
      <w:r w:rsidR="00C36D6C" w:rsidRPr="009E064B">
        <w:rPr>
          <w:rFonts w:asciiTheme="minorHAnsi" w:hAnsiTheme="minorHAnsi" w:cstheme="minorHAnsi"/>
          <w:sz w:val="22"/>
          <w:szCs w:val="20"/>
        </w:rPr>
        <w:t xml:space="preserve">iązane z certyfikacją lotniska i operatora lotniska lub deklaracją złożoną przez instytucję </w:t>
      </w:r>
      <w:r w:rsidR="00DE05DC" w:rsidRPr="009E064B">
        <w:rPr>
          <w:rFonts w:asciiTheme="minorHAnsi" w:hAnsiTheme="minorHAnsi" w:cstheme="minorHAnsi"/>
          <w:sz w:val="22"/>
          <w:szCs w:val="20"/>
        </w:rPr>
        <w:t>za</w:t>
      </w:r>
      <w:r w:rsidR="00C36D6C" w:rsidRPr="009E064B">
        <w:rPr>
          <w:rFonts w:asciiTheme="minorHAnsi" w:hAnsiTheme="minorHAnsi" w:cstheme="minorHAnsi"/>
          <w:sz w:val="22"/>
          <w:szCs w:val="20"/>
        </w:rPr>
        <w:t xml:space="preserve">pewniającą służbę zarządzania płytą postojową są przechowywane, stosownie do </w:t>
      </w:r>
      <w:r w:rsidR="00DE05DC" w:rsidRPr="009E064B">
        <w:rPr>
          <w:rFonts w:asciiTheme="minorHAnsi" w:hAnsiTheme="minorHAnsi" w:cstheme="minorHAnsi"/>
          <w:sz w:val="22"/>
          <w:szCs w:val="20"/>
        </w:rPr>
        <w:t xml:space="preserve">przypadku, </w:t>
      </w:r>
      <w:r w:rsidR="00C36D6C" w:rsidRPr="009E064B">
        <w:rPr>
          <w:rFonts w:asciiTheme="minorHAnsi" w:hAnsiTheme="minorHAnsi" w:cstheme="minorHAnsi"/>
          <w:sz w:val="22"/>
          <w:szCs w:val="20"/>
        </w:rPr>
        <w:t xml:space="preserve">przez cały okres </w:t>
      </w:r>
      <w:r w:rsidR="00DE05DC" w:rsidRPr="009E064B">
        <w:rPr>
          <w:rFonts w:asciiTheme="minorHAnsi" w:hAnsiTheme="minorHAnsi" w:cstheme="minorHAnsi"/>
          <w:sz w:val="22"/>
          <w:szCs w:val="20"/>
        </w:rPr>
        <w:t>obowiązywania tego certyfikatu lub deklaracji.</w:t>
      </w:r>
    </w:p>
    <w:p w14:paraId="287845F4" w14:textId="0CFE7906"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d)</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Rejestry związane z lit.</w:t>
      </w:r>
      <w:r w:rsidR="0077724D" w:rsidRPr="009E064B">
        <w:rPr>
          <w:rFonts w:asciiTheme="minorHAnsi" w:hAnsiTheme="minorHAnsi" w:cstheme="minorHAnsi"/>
          <w:sz w:val="22"/>
          <w:szCs w:val="20"/>
        </w:rPr>
        <w:t> </w:t>
      </w:r>
      <w:r w:rsidR="00F809D7" w:rsidRPr="009E064B">
        <w:rPr>
          <w:rFonts w:asciiTheme="minorHAnsi" w:hAnsiTheme="minorHAnsi" w:cstheme="minorHAnsi"/>
          <w:sz w:val="22"/>
          <w:szCs w:val="20"/>
        </w:rPr>
        <w:t>(</w:t>
      </w:r>
      <w:r w:rsidR="00DE05DC" w:rsidRPr="009E064B">
        <w:rPr>
          <w:rFonts w:asciiTheme="minorHAnsi" w:hAnsiTheme="minorHAnsi" w:cstheme="minorHAnsi"/>
          <w:sz w:val="22"/>
          <w:szCs w:val="20"/>
        </w:rPr>
        <w:t>a) pkt</w:t>
      </w:r>
      <w:r w:rsidR="0077724D" w:rsidRPr="009E064B">
        <w:rPr>
          <w:rFonts w:asciiTheme="minorHAnsi" w:hAnsiTheme="minorHAnsi" w:cstheme="minorHAnsi"/>
          <w:sz w:val="22"/>
          <w:szCs w:val="20"/>
        </w:rPr>
        <w:t xml:space="preserve"> 1–3 oraz lit. </w:t>
      </w:r>
      <w:r w:rsidR="00F809D7"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a) pkt 7–11 są przechowywane </w:t>
      </w:r>
      <w:r w:rsidR="0077724D" w:rsidRPr="009E064B">
        <w:rPr>
          <w:rFonts w:asciiTheme="minorHAnsi" w:hAnsiTheme="minorHAnsi" w:cstheme="minorHAnsi"/>
          <w:sz w:val="22"/>
          <w:szCs w:val="20"/>
        </w:rPr>
        <w:t>przez okres co </w:t>
      </w:r>
      <w:r w:rsidR="00C36D6C" w:rsidRPr="009E064B">
        <w:rPr>
          <w:rFonts w:asciiTheme="minorHAnsi" w:hAnsiTheme="minorHAnsi" w:cstheme="minorHAnsi"/>
          <w:sz w:val="22"/>
          <w:szCs w:val="20"/>
        </w:rPr>
        <w:t xml:space="preserve">najmniej pięciu lat, z zastrzeżeniem stosownych przepisów o ochronie </w:t>
      </w:r>
      <w:r w:rsidR="00DE05DC" w:rsidRPr="009E064B">
        <w:rPr>
          <w:rFonts w:asciiTheme="minorHAnsi" w:hAnsiTheme="minorHAnsi" w:cstheme="minorHAnsi"/>
          <w:sz w:val="22"/>
          <w:szCs w:val="20"/>
        </w:rPr>
        <w:t>danych.</w:t>
      </w:r>
    </w:p>
    <w:p w14:paraId="29207317" w14:textId="485B6754" w:rsidR="00A42EC4" w:rsidRPr="009E064B" w:rsidRDefault="00A42EC4" w:rsidP="00133B99">
      <w:pPr>
        <w:pStyle w:val="Nagwek5"/>
      </w:pPr>
      <w:bookmarkStart w:id="102" w:name="_Toc492024516"/>
      <w:bookmarkStart w:id="103" w:name="_Toc12532574"/>
      <w:r w:rsidRPr="009E064B">
        <w:t xml:space="preserve">AMC1 ADR.AR.B.020(a) </w:t>
      </w:r>
      <w:r w:rsidR="00D01EBC" w:rsidRPr="009E064B">
        <w:t xml:space="preserve"> </w:t>
      </w:r>
      <w:r w:rsidRPr="009E064B">
        <w:t xml:space="preserve">   Prowadzenie rejestrów</w:t>
      </w:r>
      <w:bookmarkEnd w:id="102"/>
      <w:bookmarkEnd w:id="103"/>
    </w:p>
    <w:p w14:paraId="5CEBFDD7" w14:textId="45FE69B7"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6475FBB1" w14:textId="373A99D5" w:rsidR="00A42EC4"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1D45A64C"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System prowadzenia rejestrów powinien zapewniać, że wszystkie dokumenty są dostępne zawsze wtedy, gdy są potrzebne, w odpowiednio krótkim czasie. Dokumenty te powinny być zorganizowane w taki sposób, aby zapewniona była ich identyfikowalność i możliwość i odtworzenia przez cały wymagany okres przechowywania.</w:t>
      </w:r>
    </w:p>
    <w:p w14:paraId="140961CB"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Dokumentacja powinna być przechowywana w wersji papierowej lub w formie elektronicznej lub jako połączenie obydwu tych wersji. Przechowywanie dokumentów na mikrofilmach lub dysku optycznym jest również dopuszczalne. Dokumenty powinny pozostawać czytelne i dostępne przez cały okres przechowywania. Okres przechowywania rozpoczyna się w momencie utworzenia dokumentu lub wprowadzenia do niego ostatniej poprawki.</w:t>
      </w:r>
    </w:p>
    <w:p w14:paraId="46F9545B"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Systemy komputerowe powinny posiadać co najmniej jeden system zapasowy, który powinien być aktualizowany w ciągu 24 godzin od dokonania nowego wpisu. Systemy komputerowe powinny posiadać zabezpieczenia przed zmianą danych przez nieupoważnione osoby.</w:t>
      </w:r>
    </w:p>
    <w:p w14:paraId="6625F5F5" w14:textId="2F1893AC" w:rsidR="00F809D7"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Cały sprzęt komputerowy stosowany dla zapewnienia systemu danych zapasowych powinien być przechowywany w miejscu innym niż sprzęt zawierający dane robocze oraz w środowisku zapewniającym, że pozostają one w dobrym stanie. W przypadku zmiany lokalizacji sprzętu komputerowego lub oprogramowania, szczególną uwagę należy zwrócić na ciągłą dostępność wszystkich danych przez co najmniej cały okres czasu, o którym mowa w </w:t>
      </w:r>
      <w:hyperlink w:anchor="_ADR.AR.B.020__" w:history="1">
        <w:r w:rsidRPr="009E064B">
          <w:rPr>
            <w:rStyle w:val="Hipercze"/>
            <w:rFonts w:asciiTheme="minorHAnsi" w:eastAsia="Calibri" w:hAnsiTheme="minorHAnsi" w:cstheme="minorHAnsi"/>
          </w:rPr>
          <w:t>ADR.AR.B.020</w:t>
        </w:r>
      </w:hyperlink>
      <w:r w:rsidR="00DF47E9" w:rsidRPr="009E064B">
        <w:rPr>
          <w:rFonts w:asciiTheme="minorHAnsi" w:eastAsia="Calibri" w:hAnsiTheme="minorHAnsi" w:cstheme="minorHAnsi"/>
        </w:rPr>
        <w:t xml:space="preserve"> lit. </w:t>
      </w:r>
      <w:r w:rsidR="00A669F8" w:rsidRPr="009E064B">
        <w:rPr>
          <w:rFonts w:asciiTheme="minorHAnsi" w:eastAsia="Calibri" w:hAnsiTheme="minorHAnsi" w:cstheme="minorHAnsi"/>
        </w:rPr>
        <w:t>(</w:t>
      </w:r>
      <w:r w:rsidRPr="009E064B">
        <w:rPr>
          <w:rFonts w:asciiTheme="minorHAnsi" w:eastAsia="Calibri" w:hAnsiTheme="minorHAnsi" w:cstheme="minorHAnsi"/>
        </w:rPr>
        <w:t>c) i </w:t>
      </w:r>
      <w:r w:rsidR="00DF47E9" w:rsidRPr="009E064B">
        <w:rPr>
          <w:rFonts w:asciiTheme="minorHAnsi" w:eastAsia="Calibri" w:hAnsiTheme="minorHAnsi" w:cstheme="minorHAnsi"/>
        </w:rPr>
        <w:t>lit. </w:t>
      </w:r>
      <w:r w:rsidR="00A669F8" w:rsidRPr="009E064B">
        <w:rPr>
          <w:rFonts w:asciiTheme="minorHAnsi" w:eastAsia="Calibri" w:hAnsiTheme="minorHAnsi" w:cstheme="minorHAnsi"/>
        </w:rPr>
        <w:t>(</w:t>
      </w:r>
      <w:r w:rsidRPr="009E064B">
        <w:rPr>
          <w:rFonts w:asciiTheme="minorHAnsi" w:eastAsia="Calibri" w:hAnsiTheme="minorHAnsi" w:cstheme="minorHAnsi"/>
        </w:rPr>
        <w:t>d).</w:t>
      </w:r>
    </w:p>
    <w:p w14:paraId="5CE5F018" w14:textId="77777777" w:rsidR="00F809D7" w:rsidRPr="009E064B" w:rsidRDefault="00F809D7">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5DC6AB6C" w14:textId="40A1F8FA" w:rsidR="00A42EC4" w:rsidRPr="009E064B" w:rsidRDefault="00A42EC4" w:rsidP="00133B99">
      <w:pPr>
        <w:pStyle w:val="Nagwek5"/>
      </w:pPr>
      <w:bookmarkStart w:id="104" w:name="_Toc492024517"/>
      <w:bookmarkStart w:id="105" w:name="_Toc12532575"/>
      <w:r w:rsidRPr="009E064B">
        <w:t xml:space="preserve">AMC1 ADR.AR.B.020(a)(1);(a)(2);(a)(3)  </w:t>
      </w:r>
      <w:r w:rsidR="00D01EBC" w:rsidRPr="009E064B">
        <w:t xml:space="preserve"> </w:t>
      </w:r>
      <w:r w:rsidRPr="009E064B">
        <w:t xml:space="preserve">  Prowadzenie rejestrów</w:t>
      </w:r>
      <w:bookmarkEnd w:id="104"/>
      <w:bookmarkEnd w:id="105"/>
    </w:p>
    <w:p w14:paraId="29AB327D" w14:textId="31C3429B"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27BCC09A"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SYSTEM ZARZĄDZANIA WŁAŚCIWEGO ORGANU</w:t>
      </w:r>
    </w:p>
    <w:p w14:paraId="0F358999" w14:textId="1395B5E1"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Dokumentacja dotycząca systemu zarządzania właściwego organu powinn</w:t>
      </w:r>
      <w:r w:rsidR="00DE64A7" w:rsidRPr="009E064B">
        <w:rPr>
          <w:rFonts w:asciiTheme="minorHAnsi" w:eastAsia="Calibri" w:hAnsiTheme="minorHAnsi" w:cstheme="minorHAnsi"/>
        </w:rPr>
        <w:t>a zawierać, co najmniej, o </w:t>
      </w:r>
      <w:r w:rsidRPr="009E064B">
        <w:rPr>
          <w:rFonts w:asciiTheme="minorHAnsi" w:eastAsia="Calibri" w:hAnsiTheme="minorHAnsi" w:cstheme="minorHAnsi"/>
        </w:rPr>
        <w:t>ile dotyczy:</w:t>
      </w:r>
    </w:p>
    <w:p w14:paraId="13EC6829"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udokumentowane strategie i procedury;</w:t>
      </w:r>
    </w:p>
    <w:p w14:paraId="6F649B7F"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akta personalne pracowników właściwego organu z dokumentami uzupełniającymi dotyczącymi szkolenia i kwalifikacji;</w:t>
      </w:r>
    </w:p>
    <w:p w14:paraId="01AE5698"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wyniki wewnętrznego monitorowania zgodności i oceny ryzyka właściwego organu, łącznie ze stwierdzonymi podczas audytu nieprawidłowościami i działaniami naprawczymi; oraz</w:t>
      </w:r>
    </w:p>
    <w:p w14:paraId="183CB7A6"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umowy zawarte z kwalifikowanymi jednostkami, którym w imieniu właściwego organu przydzielono zadania związane z certyfikacją lub sprawowaniem nadzoru.</w:t>
      </w:r>
    </w:p>
    <w:p w14:paraId="6C5E1825" w14:textId="6F6672D1" w:rsidR="00A42EC4" w:rsidRPr="009E064B" w:rsidRDefault="00A42EC4" w:rsidP="00133B99">
      <w:pPr>
        <w:pStyle w:val="Nagwek5"/>
      </w:pPr>
      <w:bookmarkStart w:id="106" w:name="_Toc492024518"/>
      <w:bookmarkStart w:id="107" w:name="_Toc12532576"/>
      <w:r w:rsidRPr="009E064B">
        <w:t xml:space="preserve">AMC1 ADR.AR.B.020(a)(2)   </w:t>
      </w:r>
      <w:r w:rsidR="00D01EBC" w:rsidRPr="009E064B">
        <w:t xml:space="preserve"> </w:t>
      </w:r>
      <w:r w:rsidRPr="009E064B">
        <w:t xml:space="preserve"> Prowadzenie rejestrów</w:t>
      </w:r>
      <w:bookmarkEnd w:id="106"/>
      <w:bookmarkEnd w:id="107"/>
    </w:p>
    <w:p w14:paraId="70D1472A" w14:textId="1093D2B4"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27A3FCB0"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OKRES PRZECHOWYWANIA DOKUMENTACJI</w:t>
      </w:r>
    </w:p>
    <w:p w14:paraId="5921AB1A"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Dokumentacja dotycząca szkolenia i kwalifikacji personelu właściwego organu powinna być przechowywana do końca okresu jego zatrudnienia.</w:t>
      </w:r>
    </w:p>
    <w:p w14:paraId="7BADE300" w14:textId="20753AB4" w:rsidR="00A42EC4" w:rsidRPr="009E064B" w:rsidRDefault="00A42EC4" w:rsidP="00133B99">
      <w:pPr>
        <w:pStyle w:val="Nagwek5"/>
      </w:pPr>
      <w:bookmarkStart w:id="108" w:name="_Toc492024519"/>
      <w:bookmarkStart w:id="109" w:name="_Toc12532577"/>
      <w:r w:rsidRPr="009E064B">
        <w:t xml:space="preserve">AMC1 ADR.AR.B.020(a)(4);(a)(5)  </w:t>
      </w:r>
      <w:r w:rsidR="00D01EBC" w:rsidRPr="009E064B">
        <w:t xml:space="preserve"> </w:t>
      </w:r>
      <w:r w:rsidRPr="009E064B">
        <w:t xml:space="preserve">  Prowadzenie rejestrów</w:t>
      </w:r>
      <w:bookmarkEnd w:id="108"/>
      <w:bookmarkEnd w:id="109"/>
    </w:p>
    <w:p w14:paraId="58EA800B" w14:textId="06C1DF99"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373F0861"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LOTNISKA — OPERATORZY LOTNISK — INSTYTUCJE ZAPEWNIAJĄCE SŁUŻBĘ ZARZĄDZANIA PŁYTĄ POSTOJOWĄ</w:t>
      </w:r>
    </w:p>
    <w:p w14:paraId="083137AD"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Dokumentacja dotycząca lotniska certyfikowanego i jego operatora, lub instytucji zapewniającej służbę zarządzania płytą postojową działającej na podstawie deklaracji przedstawionej właściwemu organowi powinna zawierać, zgodnie z rodzajem organizacji:</w:t>
      </w:r>
    </w:p>
    <w:p w14:paraId="6331916E"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wniosek o wydanie certyfikatu, zatwierdzenia, lub deklaracji;</w:t>
      </w:r>
    </w:p>
    <w:p w14:paraId="7FA521E4"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dokumentację, na podstawie której:</w:t>
      </w:r>
    </w:p>
    <w:p w14:paraId="7D122E79"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wydano certyfikat lub udzielono zatwierdzenia oraz wszelkie zmiany do tej dokumentacji; oraz</w:t>
      </w:r>
    </w:p>
    <w:p w14:paraId="3D8DC188"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oświadczenie zostało zarejestrowane;</w:t>
      </w:r>
    </w:p>
    <w:p w14:paraId="024655B4"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dokumentację związaną z powiadomieniami o zmianach dokonanych przez wnioskodawcę i ich oceną;</w:t>
      </w:r>
    </w:p>
    <w:p w14:paraId="5F527EF4"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wydany certyfikat lub udzielone zatwierdzenie, włącznie z wszelkimi zmianami do nich wprowadzonymi;</w:t>
      </w:r>
    </w:p>
    <w:p w14:paraId="7ADD490E"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kopię programu stałego nadzoru zawierającego daty przeprowadzonych i planowanych audytów;</w:t>
      </w:r>
    </w:p>
    <w:p w14:paraId="16489CF1"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dokumentację prowadzenia stałego nadzoru, obejmującą wszystkie dokumenty dotyczące audytów i inspekcji;</w:t>
      </w:r>
    </w:p>
    <w:p w14:paraId="7AB990F4"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kopie odpowiedniej korespondencji;</w:t>
      </w:r>
    </w:p>
    <w:p w14:paraId="3BFAE4D1"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szczegółowe informacje na temat jakiegokolwiek zwolnienia lub odstępstwa i podjętych działań egzekucyjnych;</w:t>
      </w:r>
    </w:p>
    <w:p w14:paraId="2328E94A"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jakiekolwiek raporty od innych właściwych organów dotyczące sprawowania nadzoru nad lotniskiem, operatorem lotniska i instytucją zapewniającą służbę zarządzania płytą postojową, jeśli dotyczy; oraz</w:t>
      </w:r>
    </w:p>
    <w:p w14:paraId="738A7AAB" w14:textId="18D282D4" w:rsidR="00A669F8"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kopię każdego dokumentu zatwierdzonego przez właściwy organ.</w:t>
      </w:r>
    </w:p>
    <w:p w14:paraId="2290FA91" w14:textId="00F94437" w:rsidR="00A42EC4" w:rsidRPr="009E064B" w:rsidRDefault="004D09C3" w:rsidP="00133B99">
      <w:pPr>
        <w:pStyle w:val="Nagwek5"/>
      </w:pPr>
      <w:bookmarkStart w:id="110" w:name="_Toc492024520"/>
      <w:bookmarkStart w:id="111" w:name="_Toc12532578"/>
      <w:r w:rsidRPr="009E064B">
        <w:t xml:space="preserve">AMC1 ADR.AR.B.020(c) </w:t>
      </w:r>
      <w:r w:rsidR="00D01EBC" w:rsidRPr="009E064B">
        <w:t xml:space="preserve">    </w:t>
      </w:r>
      <w:r w:rsidR="00A42EC4" w:rsidRPr="009E064B">
        <w:t>Prowadzenie rejestrów</w:t>
      </w:r>
      <w:bookmarkEnd w:id="110"/>
      <w:bookmarkEnd w:id="111"/>
    </w:p>
    <w:p w14:paraId="2EE95DAD" w14:textId="77656920"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49BB76E3" w14:textId="77777777" w:rsidR="00A42EC4" w:rsidRPr="009E064B" w:rsidRDefault="00A42EC4" w:rsidP="00B06A9A">
      <w:pPr>
        <w:widowControl/>
        <w:jc w:val="left"/>
        <w:rPr>
          <w:rFonts w:asciiTheme="minorHAnsi" w:eastAsia="Calibri" w:hAnsiTheme="minorHAnsi" w:cstheme="minorHAnsi"/>
        </w:rPr>
      </w:pPr>
      <w:r w:rsidRPr="009E064B">
        <w:rPr>
          <w:rFonts w:asciiTheme="minorHAnsi" w:eastAsia="Calibri" w:hAnsiTheme="minorHAnsi" w:cstheme="minorHAnsi"/>
        </w:rPr>
        <w:t>LOTNISKA — OPERATORZY LOTNISK — INSTYTUCJE ZAPEWNIAJĄCE SŁUŻBĘ ZARZĄDZANIA PŁYTĄ POSTOJOWĄ</w:t>
      </w:r>
    </w:p>
    <w:p w14:paraId="37CCAF6B"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Dokumentacja, która jest uznawana za związaną z certyfikacją lotniska oraz ma być utrzymywana przez cały okres ważności certyfikatu obejmuje, ale nie ogranicza się do:</w:t>
      </w:r>
    </w:p>
    <w:p w14:paraId="42726441"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złożonych wniosków;</w:t>
      </w:r>
    </w:p>
    <w:p w14:paraId="397CD6EC"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powiadomień o specyfikacjach certyfikacyjnych dla wstępnej certyfikacji i ich zmian, w tym:</w:t>
      </w:r>
    </w:p>
    <w:p w14:paraId="054DF640" w14:textId="77777777" w:rsidR="00A42EC4" w:rsidRPr="009E064B" w:rsidRDefault="00A42EC4"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wszelkich warunków, dla których został zaakceptowany równoważny poziom bezpieczeństwa, oraz</w:t>
      </w:r>
    </w:p>
    <w:p w14:paraId="1AECB8EA" w14:textId="77777777" w:rsidR="00A42EC4" w:rsidRPr="009E064B" w:rsidRDefault="00A42EC4"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wszelkich warunków specjalnych.</w:t>
      </w:r>
    </w:p>
    <w:p w14:paraId="067E9D50"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dokumentacji dotyczącej stosowanych alternatywnych sposobów spełnienia wymagań;</w:t>
      </w:r>
    </w:p>
    <w:p w14:paraId="4265B14C"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 stosownych przypadkach, dokumentu akceptującego odstępstwo i sposób jego usunięcia (DAAD);</w:t>
      </w:r>
    </w:p>
    <w:p w14:paraId="524F8308"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dokumentacji dotyczącej przyznanych zwolnień lub odstępstw;</w:t>
      </w:r>
    </w:p>
    <w:p w14:paraId="4F629C40"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studiów aeronautycznych oraz oceny bezpieczeństwa;</w:t>
      </w:r>
    </w:p>
    <w:p w14:paraId="151134FE"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projektów lotniska;</w:t>
      </w:r>
    </w:p>
    <w:p w14:paraId="502AC3C6"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deklaracji złożonych przez wnioskodawcę;</w:t>
      </w:r>
    </w:p>
    <w:p w14:paraId="13A5520F"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aktualnej wersji instrukcji operacyjnej lotniska oraz dowodów jej oceny; oraz</w:t>
      </w:r>
    </w:p>
    <w:p w14:paraId="4849B5BB" w14:textId="77777777" w:rsidR="00A42EC4" w:rsidRPr="009E064B" w:rsidRDefault="00A42EC4"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przyznanych zatwierdzeń.</w:t>
      </w:r>
    </w:p>
    <w:p w14:paraId="4ECDAE2F"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Nie ma obowiązku przechowywania dokumentacji wyposażenia lotniska lub części infrastruktury lotniska, które zostały usunięte z lotniska.</w:t>
      </w:r>
    </w:p>
    <w:p w14:paraId="43A02674" w14:textId="77777777" w:rsidR="00A42EC4" w:rsidRPr="009E064B" w:rsidRDefault="00A42EC4"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przypadku instytucji zapewniających służbę zarządzania płytą postojową, dokumentacja obejmuje, ale nie musi ograniczać się do deklaracji i odpowiedniej, przedłożonej przez nich, dokumentacji.</w:t>
      </w:r>
    </w:p>
    <w:p w14:paraId="71F000C3" w14:textId="7BF6D52E" w:rsidR="00A42EC4" w:rsidRPr="009E064B" w:rsidRDefault="00D01EBC" w:rsidP="00133B99">
      <w:pPr>
        <w:pStyle w:val="Nagwek6"/>
      </w:pPr>
      <w:bookmarkStart w:id="112" w:name="_Toc492024521"/>
      <w:bookmarkStart w:id="113" w:name="_Toc12532579"/>
      <w:r w:rsidRPr="009E064B">
        <w:t xml:space="preserve">GM1 ADR.AR.B.020     </w:t>
      </w:r>
      <w:r w:rsidR="00A42EC4" w:rsidRPr="009E064B">
        <w:t>Prowadzenie rejestrów</w:t>
      </w:r>
      <w:bookmarkEnd w:id="112"/>
      <w:bookmarkEnd w:id="113"/>
    </w:p>
    <w:p w14:paraId="1F5A23C4" w14:textId="47BA94A2"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601AD178" w14:textId="64F5BA61" w:rsidR="00A42EC4"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7FE2DC6E" w14:textId="543CB3E1" w:rsidR="00F809D7" w:rsidRPr="009E064B" w:rsidRDefault="00A42EC4" w:rsidP="00B06A9A">
      <w:pPr>
        <w:widowControl/>
        <w:rPr>
          <w:rFonts w:asciiTheme="minorHAnsi" w:eastAsia="Calibri" w:hAnsiTheme="minorHAnsi" w:cstheme="minorHAnsi"/>
        </w:rPr>
      </w:pPr>
      <w:bookmarkStart w:id="114" w:name="bookmark38"/>
      <w:r w:rsidRPr="009E064B">
        <w:rPr>
          <w:rFonts w:asciiTheme="minorHAnsi" w:eastAsia="Calibri" w:hAnsiTheme="minorHAnsi" w:cstheme="minorHAnsi"/>
        </w:rPr>
        <w:t xml:space="preserve">Prowadzenie dokumentacji jest wymagane w celu udokumentowania osiągniętych wyników lub zapewnienia dowodów z wykonanych czynności. </w:t>
      </w:r>
      <w:bookmarkEnd w:id="114"/>
      <w:r w:rsidRPr="009E064B">
        <w:rPr>
          <w:rFonts w:asciiTheme="minorHAnsi" w:eastAsia="Calibri" w:hAnsiTheme="minorHAnsi" w:cstheme="minorHAnsi"/>
        </w:rPr>
        <w:t>Dokumenty stają się rzeczywistymi w momencie ich zapisania. Dlatego też, nie podlegają one kontroli wersji. Nawet, jeżeli opracowywana jest nowa dokumentacja dotycząca tej samej kwestii, poprzednie dokumenty zachowują ważność.</w:t>
      </w:r>
    </w:p>
    <w:p w14:paraId="37CD961B" w14:textId="77777777" w:rsidR="00F809D7" w:rsidRPr="009E064B" w:rsidRDefault="00F809D7">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3D2F611F" w14:textId="3284FB0D" w:rsidR="00A42EC4" w:rsidRPr="009E064B" w:rsidRDefault="004D09C3" w:rsidP="00133B99">
      <w:pPr>
        <w:pStyle w:val="Nagwek6"/>
      </w:pPr>
      <w:bookmarkStart w:id="115" w:name="_Toc492024522"/>
      <w:bookmarkStart w:id="116" w:name="_Toc12532580"/>
      <w:r w:rsidRPr="009E064B">
        <w:t>GM1 ADR</w:t>
      </w:r>
      <w:r w:rsidR="00D01EBC" w:rsidRPr="009E064B">
        <w:t xml:space="preserve">.AR.B.020(a)     </w:t>
      </w:r>
      <w:r w:rsidR="00A42EC4" w:rsidRPr="009E064B">
        <w:t>Prowadzenie rejestrów</w:t>
      </w:r>
      <w:bookmarkEnd w:id="115"/>
      <w:bookmarkEnd w:id="116"/>
    </w:p>
    <w:p w14:paraId="5DADB129" w14:textId="59695171"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6B7255FF" w14:textId="77777777" w:rsidR="00A42EC4" w:rsidRPr="009E064B" w:rsidRDefault="00A42EC4" w:rsidP="00B06A9A">
      <w:pPr>
        <w:widowControl/>
        <w:jc w:val="left"/>
        <w:rPr>
          <w:rFonts w:asciiTheme="minorHAnsi" w:eastAsia="Calibri" w:hAnsiTheme="minorHAnsi" w:cstheme="minorHAnsi"/>
        </w:rPr>
      </w:pPr>
      <w:r w:rsidRPr="009E064B">
        <w:rPr>
          <w:rFonts w:asciiTheme="minorHAnsi" w:eastAsia="Calibri" w:hAnsiTheme="minorHAnsi" w:cstheme="minorHAnsi"/>
        </w:rPr>
        <w:t>PROWADZENIE DOKUMENTACJI W POSTACI MIKROFILMÓW I NA NOŚNIKACH OPTYCZNYCH</w:t>
      </w:r>
    </w:p>
    <w:p w14:paraId="1C5A0B41" w14:textId="571F2A3D"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Dokumentacja w postaci mikrofilmów i na nośnikach optycznych mo</w:t>
      </w:r>
      <w:r w:rsidR="00F809D7" w:rsidRPr="009E064B">
        <w:rPr>
          <w:rFonts w:asciiTheme="minorHAnsi" w:eastAsia="Calibri" w:hAnsiTheme="minorHAnsi" w:cstheme="minorHAnsi"/>
        </w:rPr>
        <w:t>że być prowadzana w d</w:t>
      </w:r>
      <w:r w:rsidRPr="009E064B">
        <w:rPr>
          <w:rFonts w:asciiTheme="minorHAnsi" w:eastAsia="Calibri" w:hAnsiTheme="minorHAnsi" w:cstheme="minorHAnsi"/>
        </w:rPr>
        <w:t>owolnym czasie. Dokumenty powinny być tak czytelne, jak do</w:t>
      </w:r>
      <w:r w:rsidR="00F809D7" w:rsidRPr="009E064B">
        <w:rPr>
          <w:rFonts w:asciiTheme="minorHAnsi" w:eastAsia="Calibri" w:hAnsiTheme="minorHAnsi" w:cstheme="minorHAnsi"/>
        </w:rPr>
        <w:t xml:space="preserve">kumenty oryginalne, i powinny w </w:t>
      </w:r>
      <w:r w:rsidRPr="009E064B">
        <w:rPr>
          <w:rFonts w:asciiTheme="minorHAnsi" w:eastAsia="Calibri" w:hAnsiTheme="minorHAnsi" w:cstheme="minorHAnsi"/>
        </w:rPr>
        <w:t>takim stanie pozostawać przez wymagany okres przechowywania.</w:t>
      </w:r>
    </w:p>
    <w:p w14:paraId="456E7A94" w14:textId="37C3739B" w:rsidR="00A42EC4" w:rsidRPr="009E064B" w:rsidRDefault="00D01EBC" w:rsidP="00133B99">
      <w:pPr>
        <w:pStyle w:val="Nagwek6"/>
      </w:pPr>
      <w:bookmarkStart w:id="117" w:name="_Toc492024523"/>
      <w:bookmarkStart w:id="118" w:name="_Toc12532581"/>
      <w:r w:rsidRPr="009E064B">
        <w:t xml:space="preserve">GM2 ADR.AR.B.020(a)     </w:t>
      </w:r>
      <w:r w:rsidR="00A42EC4" w:rsidRPr="009E064B">
        <w:t>Prowadzenie rejestrów</w:t>
      </w:r>
      <w:bookmarkEnd w:id="117"/>
      <w:bookmarkEnd w:id="118"/>
    </w:p>
    <w:p w14:paraId="3A6161EC" w14:textId="005C32F0" w:rsidR="00A42EC4" w:rsidRPr="009E064B" w:rsidRDefault="00D63D4F" w:rsidP="00B06A9A">
      <w:pPr>
        <w:widowControl/>
        <w:jc w:val="right"/>
        <w:rPr>
          <w:rFonts w:asciiTheme="minorHAnsi" w:eastAsia="Calibri" w:hAnsiTheme="minorHAnsi" w:cstheme="minorHAnsi"/>
        </w:rPr>
      </w:pPr>
      <w:r w:rsidRPr="009E064B">
        <w:rPr>
          <w:rFonts w:asciiTheme="minorHAnsi" w:hAnsiTheme="minorHAnsi" w:cstheme="minorHAnsi"/>
          <w:i/>
          <w:iCs/>
          <w:sz w:val="14"/>
          <w:szCs w:val="14"/>
        </w:rPr>
        <w:t>Decyzja ED 2014/012/R</w:t>
      </w:r>
    </w:p>
    <w:p w14:paraId="44F672A0" w14:textId="77777777" w:rsidR="00A42EC4"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LOTNISKA — OPERATORZY LOTNISK — DOKUMENTACJA</w:t>
      </w:r>
    </w:p>
    <w:p w14:paraId="75B698BC" w14:textId="7082DC42" w:rsidR="004E4203" w:rsidRPr="009E064B" w:rsidRDefault="00A42EC4" w:rsidP="00B06A9A">
      <w:pPr>
        <w:widowControl/>
        <w:rPr>
          <w:rFonts w:asciiTheme="minorHAnsi" w:eastAsia="Calibri" w:hAnsiTheme="minorHAnsi" w:cstheme="minorHAnsi"/>
        </w:rPr>
      </w:pPr>
      <w:r w:rsidRPr="009E064B">
        <w:rPr>
          <w:rFonts w:asciiTheme="minorHAnsi" w:eastAsia="Calibri" w:hAnsiTheme="minorHAnsi" w:cstheme="minorHAnsi"/>
        </w:rPr>
        <w:t>Dokumentacja, która ma być przechowywana, jako dowód certyfikacji lub zatwierdzenia obejmuje dokumentację systemu zarządzania, w tym wszelkie dokumenty techniczne takie jak instrukcja operacyjna lotniska, które zostały przedłożone razem z wnioskiem wstępnym, jak również wszelkie zmiany do tych dokumentów.</w:t>
      </w:r>
    </w:p>
    <w:p w14:paraId="6748C769" w14:textId="77777777" w:rsidR="002819C5" w:rsidRPr="009E064B" w:rsidRDefault="002819C5" w:rsidP="00B06A9A">
      <w:pPr>
        <w:widowControl/>
        <w:rPr>
          <w:rFonts w:asciiTheme="minorHAnsi" w:eastAsia="Calibri" w:hAnsiTheme="minorHAnsi" w:cstheme="minorHAnsi"/>
        </w:rPr>
      </w:pPr>
    </w:p>
    <w:p w14:paraId="28EEC535" w14:textId="77777777" w:rsidR="002819C5" w:rsidRPr="009E064B" w:rsidRDefault="002819C5" w:rsidP="00B06A9A">
      <w:pPr>
        <w:widowControl/>
        <w:rPr>
          <w:rFonts w:asciiTheme="minorHAnsi" w:eastAsia="Calibri" w:hAnsiTheme="minorHAnsi" w:cstheme="minorHAnsi"/>
        </w:rPr>
        <w:sectPr w:rsidR="002819C5" w:rsidRPr="009E064B" w:rsidSect="00AE1280">
          <w:headerReference w:type="default" r:id="rId50"/>
          <w:headerReference w:type="first" r:id="rId51"/>
          <w:pgSz w:w="11906" w:h="16840" w:code="9"/>
          <w:pgMar w:top="1701" w:right="1418" w:bottom="1418" w:left="1418" w:header="567" w:footer="454" w:gutter="0"/>
          <w:cols w:space="708"/>
          <w:titlePg/>
        </w:sectPr>
      </w:pPr>
    </w:p>
    <w:p w14:paraId="0DFAC01E" w14:textId="223CAEEA" w:rsidR="00DC7DA6" w:rsidRPr="009E064B" w:rsidRDefault="00DE05DC" w:rsidP="00020EA3">
      <w:pPr>
        <w:pStyle w:val="Nagwek2"/>
      </w:pPr>
      <w:bookmarkStart w:id="119" w:name="_Toc12532582"/>
      <w:r w:rsidRPr="009E064B">
        <w:t xml:space="preserve">PODCZĘŚĆ C </w:t>
      </w:r>
      <w:r w:rsidR="002D15E2" w:rsidRPr="009E064B">
        <w:t>—</w:t>
      </w:r>
      <w:r w:rsidR="00A11C83" w:rsidRPr="009E064B">
        <w:t xml:space="preserve"> NADZÓR, CERTYFIKACJA I </w:t>
      </w:r>
      <w:r w:rsidRPr="009E064B">
        <w:t>EGZEKWOWANIE PRZEPISÓW (ADR.AR.C)</w:t>
      </w:r>
      <w:bookmarkEnd w:id="119"/>
    </w:p>
    <w:p w14:paraId="67A90986" w14:textId="77777777" w:rsidR="00DC7DA6" w:rsidRPr="009E064B" w:rsidRDefault="00DC7DA6" w:rsidP="00B06A9A">
      <w:pPr>
        <w:ind w:right="-2"/>
        <w:rPr>
          <w:rFonts w:asciiTheme="minorHAnsi" w:hAnsiTheme="minorHAnsi" w:cstheme="minorHAnsi"/>
          <w:szCs w:val="20"/>
        </w:rPr>
      </w:pPr>
    </w:p>
    <w:p w14:paraId="5ADF5695" w14:textId="31793BC2" w:rsidR="00DC7DA6" w:rsidRPr="009E064B" w:rsidRDefault="00910600" w:rsidP="00B06A9A">
      <w:pPr>
        <w:pStyle w:val="Nagwek3"/>
      </w:pPr>
      <w:bookmarkStart w:id="120" w:name="_ADR.AR.C.005__"/>
      <w:bookmarkStart w:id="121" w:name="_Toc12532583"/>
      <w:bookmarkEnd w:id="120"/>
      <w:r w:rsidRPr="009E064B">
        <w:t xml:space="preserve">ADR.AR.C.005 </w:t>
      </w:r>
      <w:r w:rsidR="00D01EBC" w:rsidRPr="009E064B">
        <w:t xml:space="preserve">    </w:t>
      </w:r>
      <w:r w:rsidR="00DE05DC" w:rsidRPr="009E064B">
        <w:t>Nadzór</w:t>
      </w:r>
      <w:bookmarkEnd w:id="121"/>
    </w:p>
    <w:p w14:paraId="45098A77" w14:textId="682FE823"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A11C622" w14:textId="5E630DD4"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weryfikuje:</w:t>
      </w:r>
    </w:p>
    <w:p w14:paraId="36EAC418" w14:textId="1F3EBEDD"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5C6FAE" w:rsidRPr="009E064B">
        <w:rPr>
          <w:rFonts w:asciiTheme="minorHAnsi" w:eastAsia="Times New Roman" w:hAnsiTheme="minorHAnsi" w:cstheme="minorHAnsi"/>
          <w:szCs w:val="20"/>
        </w:rPr>
        <w:tab/>
      </w:r>
      <w:r w:rsidR="007167A2" w:rsidRPr="009E064B">
        <w:rPr>
          <w:rFonts w:asciiTheme="minorHAnsi" w:eastAsia="Times New Roman" w:hAnsiTheme="minorHAnsi" w:cstheme="minorHAnsi"/>
          <w:szCs w:val="20"/>
        </w:rPr>
        <w:t xml:space="preserve">zgodność z podstawą </w:t>
      </w:r>
      <w:r w:rsidR="00DE05DC" w:rsidRPr="009E064B">
        <w:rPr>
          <w:rFonts w:asciiTheme="minorHAnsi" w:eastAsia="Times New Roman" w:hAnsiTheme="minorHAnsi" w:cstheme="minorHAnsi"/>
          <w:szCs w:val="20"/>
        </w:rPr>
        <w:t xml:space="preserve">certyfikacji i </w:t>
      </w:r>
      <w:r w:rsidR="007167A2" w:rsidRPr="009E064B">
        <w:rPr>
          <w:rFonts w:asciiTheme="minorHAnsi" w:eastAsia="Times New Roman" w:hAnsiTheme="minorHAnsi" w:cstheme="minorHAnsi"/>
          <w:szCs w:val="20"/>
        </w:rPr>
        <w:t xml:space="preserve">wszystkimi wymaganiami mającymi zastosowanie do lotnisk i </w:t>
      </w:r>
      <w:r w:rsidR="00DE05DC" w:rsidRPr="009E064B">
        <w:rPr>
          <w:rFonts w:asciiTheme="minorHAnsi" w:eastAsia="Times New Roman" w:hAnsiTheme="minorHAnsi" w:cstheme="minorHAnsi"/>
          <w:szCs w:val="20"/>
        </w:rPr>
        <w:t>operatorów lotnisk przed wydaniem zatwierdzenia lub certyfikatu;</w:t>
      </w:r>
    </w:p>
    <w:p w14:paraId="677199F8" w14:textId="171889E9"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ciągłą zgodność z podstawą certyfikacji i stoso</w:t>
      </w:r>
      <w:r w:rsidR="00AF4E91" w:rsidRPr="009E064B">
        <w:rPr>
          <w:rFonts w:asciiTheme="minorHAnsi" w:eastAsia="Times New Roman" w:hAnsiTheme="minorHAnsi" w:cstheme="minorHAnsi"/>
          <w:szCs w:val="20"/>
        </w:rPr>
        <w:t>wnymi wymaganiami dla lotnisk i </w:t>
      </w:r>
      <w:r w:rsidR="00DE05DC" w:rsidRPr="009E064B">
        <w:rPr>
          <w:rFonts w:asciiTheme="minorHAnsi" w:eastAsia="Times New Roman" w:hAnsiTheme="minorHAnsi" w:cstheme="minorHAnsi"/>
          <w:szCs w:val="20"/>
        </w:rPr>
        <w:t>operatorów lotnisk lub instytucji zapewniających służbę zarządzania płyta postojową podlegających obowiązkowi składania deklaracji; oraz</w:t>
      </w:r>
    </w:p>
    <w:p w14:paraId="0C2CA35A" w14:textId="727FC2BD"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3)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wdrożenie odpowiednich środków bezpieczeństwa określonych w </w:t>
      </w:r>
      <w:hyperlink w:anchor="_ADR.AR.A.030__" w:history="1">
        <w:r w:rsidR="00DE05DC" w:rsidRPr="009E064B">
          <w:rPr>
            <w:rStyle w:val="Hipercze"/>
            <w:rFonts w:asciiTheme="minorHAnsi" w:eastAsia="Times New Roman" w:hAnsiTheme="minorHAnsi" w:cstheme="minorHAnsi"/>
            <w:szCs w:val="20"/>
          </w:rPr>
          <w:t>ADR.AR</w:t>
        </w:r>
        <w:r w:rsidR="005B7D72" w:rsidRPr="009E064B">
          <w:rPr>
            <w:rStyle w:val="Hipercze"/>
            <w:rFonts w:asciiTheme="minorHAnsi" w:eastAsia="Times New Roman" w:hAnsiTheme="minorHAnsi" w:cstheme="minorHAnsi"/>
            <w:szCs w:val="20"/>
          </w:rPr>
          <w:t>.A.030</w:t>
        </w:r>
      </w:hyperlink>
      <w:r w:rsidR="005B7D72" w:rsidRPr="009E064B">
        <w:rPr>
          <w:rFonts w:asciiTheme="minorHAnsi" w:eastAsia="Times New Roman" w:hAnsiTheme="minorHAnsi" w:cstheme="minorHAnsi"/>
          <w:szCs w:val="20"/>
        </w:rPr>
        <w:t xml:space="preserve"> lit. </w:t>
      </w:r>
      <w:r w:rsidR="00F809D7" w:rsidRPr="009E064B">
        <w:rPr>
          <w:rFonts w:asciiTheme="minorHAnsi" w:eastAsia="Times New Roman" w:hAnsiTheme="minorHAnsi" w:cstheme="minorHAnsi"/>
          <w:szCs w:val="20"/>
        </w:rPr>
        <w:t>(</w:t>
      </w:r>
      <w:r w:rsidR="005B7D72" w:rsidRPr="009E064B">
        <w:rPr>
          <w:rFonts w:asciiTheme="minorHAnsi" w:eastAsia="Times New Roman" w:hAnsiTheme="minorHAnsi" w:cstheme="minorHAnsi"/>
          <w:szCs w:val="20"/>
        </w:rPr>
        <w:t>c) i lit. </w:t>
      </w:r>
      <w:r w:rsidR="00F809D7"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d).</w:t>
      </w:r>
    </w:p>
    <w:p w14:paraId="27836886" w14:textId="77777777" w:rsidR="00DC7DA6" w:rsidRPr="009E064B" w:rsidRDefault="00C55A7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Przedmiotowa weryfikacja:</w:t>
      </w:r>
    </w:p>
    <w:p w14:paraId="774D9253" w14:textId="620B6582"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jest prowadzona przy</w:t>
      </w:r>
      <w:r w:rsidR="00C55A7B"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użyciu specjalnie przygotowanej dokumentacji ułatwiającej personelowi odpowiedzialnemu za nadzór w zakresie bezpieczeństwa wypełnianie zadań;</w:t>
      </w:r>
    </w:p>
    <w:p w14:paraId="75F37C73" w14:textId="75C5A46B"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obejmuje przekazywanie operatorom lotnisk i instytucjom zapewniającym służbę zarządzania płytą postojową informacji o wynikach</w:t>
      </w:r>
      <w:r w:rsidR="00DE64A7" w:rsidRPr="009E064B">
        <w:rPr>
          <w:rFonts w:asciiTheme="minorHAnsi" w:eastAsia="Times New Roman" w:hAnsiTheme="minorHAnsi" w:cstheme="minorHAnsi"/>
          <w:szCs w:val="20"/>
        </w:rPr>
        <w:t xml:space="preserve"> czynności w zakresie nadzoru w </w:t>
      </w:r>
      <w:r w:rsidR="00DE05DC" w:rsidRPr="009E064B">
        <w:rPr>
          <w:rFonts w:asciiTheme="minorHAnsi" w:eastAsia="Times New Roman" w:hAnsiTheme="minorHAnsi" w:cstheme="minorHAnsi"/>
          <w:szCs w:val="20"/>
        </w:rPr>
        <w:t>obszarze bezpieczeństwa;</w:t>
      </w:r>
    </w:p>
    <w:p w14:paraId="18FA4330" w14:textId="25D056C1"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3)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opiera się na audytach i inspekcjach, w tym niezapowiedzianych inspekcjach, stosownie do przypadku; oraz</w:t>
      </w:r>
    </w:p>
    <w:p w14:paraId="53F04235" w14:textId="21EB1E1A"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4)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dostarcza właściwemu organowi dowodów potrzebnych na wypadek konieczności za</w:t>
      </w:r>
      <w:r w:rsidR="00C57ED3" w:rsidRPr="009E064B">
        <w:rPr>
          <w:rFonts w:asciiTheme="minorHAnsi" w:eastAsia="Times New Roman" w:hAnsiTheme="minorHAnsi" w:cstheme="minorHAnsi"/>
          <w:szCs w:val="20"/>
        </w:rPr>
        <w:t xml:space="preserve">stosowania dalszych działań, w </w:t>
      </w:r>
      <w:r w:rsidR="00DE05DC" w:rsidRPr="009E064B">
        <w:rPr>
          <w:rFonts w:asciiTheme="minorHAnsi" w:eastAsia="Times New Roman" w:hAnsiTheme="minorHAnsi" w:cstheme="minorHAnsi"/>
          <w:szCs w:val="20"/>
        </w:rPr>
        <w:t xml:space="preserve">tym środków przewidzianych w </w:t>
      </w:r>
      <w:hyperlink w:anchor="_ADR.AR.C.055__" w:history="1">
        <w:r w:rsidR="00DE05DC" w:rsidRPr="009E064B">
          <w:rPr>
            <w:rStyle w:val="Hipercze"/>
            <w:rFonts w:asciiTheme="minorHAnsi" w:eastAsia="Times New Roman" w:hAnsiTheme="minorHAnsi" w:cstheme="minorHAnsi"/>
            <w:szCs w:val="20"/>
          </w:rPr>
          <w:t>ADR.AR.C.055</w:t>
        </w:r>
      </w:hyperlink>
      <w:r w:rsidR="00DE05DC" w:rsidRPr="009E064B">
        <w:rPr>
          <w:rFonts w:asciiTheme="minorHAnsi" w:eastAsia="Times New Roman" w:hAnsiTheme="minorHAnsi" w:cstheme="minorHAnsi"/>
          <w:szCs w:val="20"/>
        </w:rPr>
        <w:t>.</w:t>
      </w:r>
    </w:p>
    <w:p w14:paraId="4328C6D1" w14:textId="70555189" w:rsidR="00DC7DA6" w:rsidRPr="009E064B" w:rsidRDefault="00A669F8" w:rsidP="00B06A9A">
      <w:pPr>
        <w:tabs>
          <w:tab w:val="left" w:pos="567"/>
        </w:tabs>
        <w:ind w:left="567"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c)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Zakres nadzoru uwzględnia wyniki poprzednich czynności w tym zakresie oraz ustalone priorytety w zakresie bezpieczeństwa.</w:t>
      </w:r>
    </w:p>
    <w:p w14:paraId="0E60186B" w14:textId="526ED733" w:rsidR="00DC7DA6" w:rsidRPr="009E064B" w:rsidRDefault="00A669F8" w:rsidP="00EE27E1">
      <w:pPr>
        <w:tabs>
          <w:tab w:val="left" w:pos="567"/>
        </w:tabs>
        <w:spacing w:before="80"/>
        <w:ind w:left="567"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d)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gromadzi i przetwarza wszelkie informacje uznane za użyteczne na potrzeby sprawowania nadzoru, w tym niezapowiedzianych inspekcji (stosownie do przypadku).</w:t>
      </w:r>
    </w:p>
    <w:p w14:paraId="0142AC54" w14:textId="5BBD17F0" w:rsidR="00EE27E1" w:rsidRPr="009E064B" w:rsidRDefault="00EE27E1" w:rsidP="00C81356">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17958835" w14:textId="0AAC01F5" w:rsidR="00DC7DA6" w:rsidRPr="009E064B" w:rsidRDefault="00A669F8" w:rsidP="00B06A9A">
      <w:pPr>
        <w:tabs>
          <w:tab w:val="left" w:pos="567"/>
        </w:tabs>
        <w:ind w:left="567"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e)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ramach swoich kompetencji w zakresie nadzoru właściwy organ może wymagać uprzedniej zgody n</w:t>
      </w:r>
      <w:r w:rsidR="00C57ED3" w:rsidRPr="009E064B">
        <w:rPr>
          <w:rFonts w:asciiTheme="minorHAnsi" w:eastAsia="Times New Roman" w:hAnsiTheme="minorHAnsi" w:cstheme="minorHAnsi"/>
          <w:szCs w:val="20"/>
        </w:rPr>
        <w:t>a wszelkie przes</w:t>
      </w:r>
      <w:r w:rsidR="00B14EE8" w:rsidRPr="009E064B">
        <w:rPr>
          <w:rFonts w:asciiTheme="minorHAnsi" w:eastAsia="Times New Roman" w:hAnsiTheme="minorHAnsi" w:cstheme="minorHAnsi"/>
          <w:szCs w:val="20"/>
        </w:rPr>
        <w:t xml:space="preserve">zkody, zmiany i inne działania </w:t>
      </w:r>
      <w:r w:rsidR="00C57ED3" w:rsidRPr="009E064B">
        <w:rPr>
          <w:rFonts w:asciiTheme="minorHAnsi" w:eastAsia="Times New Roman" w:hAnsiTheme="minorHAnsi" w:cstheme="minorHAnsi"/>
          <w:szCs w:val="20"/>
        </w:rPr>
        <w:t xml:space="preserve">w </w:t>
      </w:r>
      <w:r w:rsidR="00B14EE8" w:rsidRPr="009E064B">
        <w:rPr>
          <w:rFonts w:asciiTheme="minorHAnsi" w:eastAsia="Times New Roman" w:hAnsiTheme="minorHAnsi" w:cstheme="minorHAnsi"/>
          <w:szCs w:val="20"/>
        </w:rPr>
        <w:t xml:space="preserve">dziedzinach </w:t>
      </w:r>
      <w:r w:rsidR="00DE05DC" w:rsidRPr="009E064B">
        <w:rPr>
          <w:rFonts w:asciiTheme="minorHAnsi" w:eastAsia="Times New Roman" w:hAnsiTheme="minorHAnsi" w:cstheme="minorHAnsi"/>
          <w:szCs w:val="20"/>
        </w:rPr>
        <w:t>monitorowany</w:t>
      </w:r>
      <w:r w:rsidR="00B14EE8" w:rsidRPr="009E064B">
        <w:rPr>
          <w:rFonts w:asciiTheme="minorHAnsi" w:eastAsia="Times New Roman" w:hAnsiTheme="minorHAnsi" w:cstheme="minorHAnsi"/>
          <w:szCs w:val="20"/>
        </w:rPr>
        <w:t xml:space="preserve">ch przez operatora </w:t>
      </w:r>
      <w:r w:rsidR="00C57ED3" w:rsidRPr="009E064B">
        <w:rPr>
          <w:rFonts w:asciiTheme="minorHAnsi" w:eastAsia="Times New Roman" w:hAnsiTheme="minorHAnsi" w:cstheme="minorHAnsi"/>
          <w:szCs w:val="20"/>
        </w:rPr>
        <w:t xml:space="preserve">lotniska </w:t>
      </w:r>
      <w:r w:rsidR="00B14EE8" w:rsidRPr="009E064B">
        <w:rPr>
          <w:rFonts w:asciiTheme="minorHAnsi" w:eastAsia="Times New Roman" w:hAnsiTheme="minorHAnsi" w:cstheme="minorHAnsi"/>
          <w:szCs w:val="20"/>
        </w:rPr>
        <w:t xml:space="preserve">zgodnie z </w:t>
      </w:r>
      <w:hyperlink w:anchor="_ADR.OPS.B.075__" w:history="1">
        <w:r w:rsidR="00DE05DC" w:rsidRPr="009E064B">
          <w:rPr>
            <w:rStyle w:val="Hipercze"/>
            <w:rFonts w:asciiTheme="minorHAnsi" w:eastAsia="Times New Roman" w:hAnsiTheme="minorHAnsi" w:cstheme="minorHAnsi"/>
            <w:szCs w:val="20"/>
          </w:rPr>
          <w:t>ADR.OPS.B.075</w:t>
        </w:r>
      </w:hyperlink>
      <w:r w:rsidR="00DE05DC" w:rsidRPr="009E064B">
        <w:rPr>
          <w:rFonts w:asciiTheme="minorHAnsi" w:eastAsia="Times New Roman" w:hAnsiTheme="minorHAnsi" w:cstheme="minorHAnsi"/>
          <w:szCs w:val="20"/>
        </w:rPr>
        <w:t>, które mogłyby niekorzystnie wpłynąć na bezpieczeństwo lub zakłócić działanie lotniska.</w:t>
      </w:r>
    </w:p>
    <w:p w14:paraId="5E9709BB" w14:textId="4BD84A30" w:rsidR="00E32CD3" w:rsidRPr="009E064B" w:rsidRDefault="004D09C3" w:rsidP="00133B99">
      <w:pPr>
        <w:pStyle w:val="Nagwek5"/>
      </w:pPr>
      <w:bookmarkStart w:id="122" w:name="_Toc492024525"/>
      <w:bookmarkStart w:id="123" w:name="_Toc12532584"/>
      <w:r w:rsidRPr="009E064B">
        <w:t xml:space="preserve">AMC1 ADR.AR.C.005 </w:t>
      </w:r>
      <w:r w:rsidR="00D01EBC" w:rsidRPr="009E064B">
        <w:t xml:space="preserve">    </w:t>
      </w:r>
      <w:r w:rsidR="00E32CD3" w:rsidRPr="009E064B">
        <w:t>Nadzór</w:t>
      </w:r>
      <w:bookmarkEnd w:id="122"/>
      <w:bookmarkEnd w:id="123"/>
    </w:p>
    <w:p w14:paraId="635D38C7" w14:textId="63B9A335"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A580F13" w14:textId="7B5A41E6" w:rsidR="00E32CD3"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6F470B24" w14:textId="18933CF2"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Właściwy organ powinien ocenić operatora lotniska i monitorować jego bieżące kompetencje do prowadzenia bezpiecznych operacji zgodnie z obowiązującymi wymaganiami i podstawą certyfikacji. Podobnie, właściwy organ powinien monitorować bieżące kompetencje instytucji zapewniających służbę zarządzania płytą postojową. Właśc</w:t>
      </w:r>
      <w:r w:rsidR="0077724D" w:rsidRPr="009E064B">
        <w:rPr>
          <w:rFonts w:asciiTheme="minorHAnsi" w:eastAsia="Calibri" w:hAnsiTheme="minorHAnsi" w:cstheme="minorHAnsi"/>
        </w:rPr>
        <w:t>iwy organ powinien zapewnić, że </w:t>
      </w:r>
      <w:r w:rsidRPr="009E064B">
        <w:rPr>
          <w:rFonts w:asciiTheme="minorHAnsi" w:eastAsia="Calibri" w:hAnsiTheme="minorHAnsi" w:cstheme="minorHAnsi"/>
        </w:rPr>
        <w:t>odpowiedzialność za ocenę i monitorowanie operatorów lotnisk, a także instytucji zapewniających służbę zarządzania płytą post</w:t>
      </w:r>
      <w:r w:rsidR="00DE64A7" w:rsidRPr="009E064B">
        <w:rPr>
          <w:rFonts w:asciiTheme="minorHAnsi" w:eastAsia="Calibri" w:hAnsiTheme="minorHAnsi" w:cstheme="minorHAnsi"/>
        </w:rPr>
        <w:t xml:space="preserve">ojową, jest jasno określona. Ta </w:t>
      </w:r>
      <w:r w:rsidRPr="009E064B">
        <w:rPr>
          <w:rFonts w:asciiTheme="minorHAnsi" w:eastAsia="Calibri" w:hAnsiTheme="minorHAnsi" w:cstheme="minorHAnsi"/>
        </w:rPr>
        <w:t>odpowiedzialność może być w całości lub w części delegowana lub współdzielona.</w:t>
      </w:r>
    </w:p>
    <w:p w14:paraId="1383499C"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Istotne jest, aby właściwy organ miał pełną zdolność do właściwej oceny bieżących kompetencji operatora lotniska, lub instytucji zapewniającej służbę zarządzania płytą postojową przez zapewnienie, że cały zakres działań jest oceniany przez odpowiednio wykwalifikowany personel.</w:t>
      </w:r>
    </w:p>
    <w:p w14:paraId="2EAB9DF2" w14:textId="74D254F6" w:rsidR="00E32CD3" w:rsidRPr="009E064B" w:rsidRDefault="00D01EBC" w:rsidP="00133B99">
      <w:pPr>
        <w:pStyle w:val="Nagwek6"/>
      </w:pPr>
      <w:bookmarkStart w:id="124" w:name="_Toc492024526"/>
      <w:bookmarkStart w:id="125" w:name="_Toc12532585"/>
      <w:r w:rsidRPr="009E064B">
        <w:t xml:space="preserve">GM1 ADR.AR.C.005     </w:t>
      </w:r>
      <w:r w:rsidR="00E32CD3" w:rsidRPr="009E064B">
        <w:t>Nadzór</w:t>
      </w:r>
      <w:bookmarkEnd w:id="124"/>
      <w:bookmarkEnd w:id="125"/>
    </w:p>
    <w:p w14:paraId="08D71034" w14:textId="73F2483F"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D9552B6" w14:textId="00037E37" w:rsidR="00E32CD3"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2492F652" w14:textId="7B61EDED"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Odpowiedzialność za bezpieczną eksploatację lotniska spoczywa na operatorze lotniska. Zgodnie z tymi przepisami, dobrym posunięciem jest nałożenie na operatora lotniska częściowej odpowiedzialności za monitorowanie bezpieczeństwa operacji. Cel ten nie może zostać osiągnięty, dopóki operatorzy lotnisk nie przygotują się do przyjęcia skutków tej strategii, w tym, nie przeznaczą niezbędnych środków na jej realizację. Kluczowe znaczenie dla powodzenia tej </w:t>
      </w:r>
      <w:r w:rsidR="005279DB" w:rsidRPr="009E064B">
        <w:rPr>
          <w:rFonts w:asciiTheme="minorHAnsi" w:eastAsia="Calibri" w:hAnsiTheme="minorHAnsi" w:cstheme="minorHAnsi"/>
        </w:rPr>
        <w:t xml:space="preserve">strategii ma </w:t>
      </w:r>
      <w:hyperlink w:anchor="_ZAŁĄCZNIK_III_—" w:history="1">
        <w:r w:rsidR="005279DB" w:rsidRPr="009E064B">
          <w:rPr>
            <w:rStyle w:val="Hipercze"/>
            <w:rFonts w:asciiTheme="minorHAnsi" w:eastAsia="Calibri" w:hAnsiTheme="minorHAnsi" w:cstheme="minorHAnsi"/>
          </w:rPr>
          <w:t>Część </w:t>
        </w:r>
        <w:r w:rsidRPr="009E064B">
          <w:rPr>
            <w:rStyle w:val="Hipercze"/>
            <w:rFonts w:asciiTheme="minorHAnsi" w:eastAsia="Calibri" w:hAnsiTheme="minorHAnsi" w:cstheme="minorHAnsi"/>
          </w:rPr>
          <w:t>ADR.OR</w:t>
        </w:r>
      </w:hyperlink>
      <w:r w:rsidRPr="009E064B">
        <w:rPr>
          <w:rFonts w:asciiTheme="minorHAnsi" w:eastAsia="Calibri" w:hAnsiTheme="minorHAnsi" w:cstheme="minorHAnsi"/>
        </w:rPr>
        <w:t>, która wymaga ustanowienia przez operatora lotniska systemu zarządzania.</w:t>
      </w:r>
    </w:p>
    <w:p w14:paraId="35007857" w14:textId="25BE36EC"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Właściwy organ powinien kontynuować ocenę zgodności operatora lotniska z obowiązującymi wymaganiami, w tym skuteczność systemu zarządzania. Jeżeli skuteczność systemu zarządzania została oceniona negatywnie, to samo w sobie</w:t>
      </w:r>
      <w:r w:rsidR="00AF4E91" w:rsidRPr="009E064B">
        <w:rPr>
          <w:rFonts w:asciiTheme="minorHAnsi" w:eastAsia="Calibri" w:hAnsiTheme="minorHAnsi" w:cstheme="minorHAnsi"/>
        </w:rPr>
        <w:t xml:space="preserve"> stanowi naruszenie wymagań, co </w:t>
      </w:r>
      <w:r w:rsidRPr="009E064B">
        <w:rPr>
          <w:rFonts w:asciiTheme="minorHAnsi" w:eastAsia="Calibri" w:hAnsiTheme="minorHAnsi" w:cstheme="minorHAnsi"/>
        </w:rPr>
        <w:t>może, między innymi, podważyć ważność certyfikatu lub deklaracji, jeśli ma zastosowanie.</w:t>
      </w:r>
    </w:p>
    <w:p w14:paraId="6E155F32" w14:textId="77777777" w:rsidR="00E32CD3" w:rsidRPr="009E064B" w:rsidRDefault="00E32CD3" w:rsidP="00B06A9A">
      <w:pPr>
        <w:widowControl/>
        <w:tabs>
          <w:tab w:val="left" w:pos="567"/>
        </w:tabs>
        <w:ind w:left="567" w:hanging="567"/>
        <w:rPr>
          <w:rFonts w:asciiTheme="minorHAnsi" w:eastAsia="Times New Roman"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r>
      <w:r w:rsidRPr="009E064B">
        <w:rPr>
          <w:rFonts w:asciiTheme="minorHAnsi" w:eastAsia="Times New Roman" w:hAnsiTheme="minorHAnsi" w:cstheme="minorHAnsi"/>
        </w:rPr>
        <w:t>Kierownik odpowiedzialny</w:t>
      </w:r>
      <w:r w:rsidRPr="009E064B">
        <w:rPr>
          <w:rFonts w:asciiTheme="minorHAnsi" w:eastAsia="Calibri" w:hAnsiTheme="minorHAnsi" w:cstheme="minorHAnsi"/>
        </w:rPr>
        <w:t xml:space="preserve"> odpowiada przed właściwym organem, jak również przed tymi osobami, które mają prawo do jego powołania na stanowisko. Wynika z tego, że właściwy organ nie może zaakceptować sytuacji, w której kierownik odpowiedzialny jest pozbawiony możliwości dysponowania wystarczającymi środkami, zasobami ludzkimi, czy wpływu na uzupełnienie niedoborów i braków stwierdzonych przez system zarządzania.</w:t>
      </w:r>
    </w:p>
    <w:p w14:paraId="44F1E6D7" w14:textId="685638A2" w:rsidR="00DC7DA6" w:rsidRPr="009E064B" w:rsidRDefault="00910600" w:rsidP="00B06A9A">
      <w:pPr>
        <w:pStyle w:val="Nagwek3"/>
      </w:pPr>
      <w:bookmarkStart w:id="126" w:name="_Toc12532586"/>
      <w:r w:rsidRPr="009E064B">
        <w:t xml:space="preserve">ADR.AR.C.010 </w:t>
      </w:r>
      <w:r w:rsidR="00D01EBC" w:rsidRPr="009E064B">
        <w:t xml:space="preserve">    </w:t>
      </w:r>
      <w:r w:rsidR="00F20A51" w:rsidRPr="009E064B">
        <w:t xml:space="preserve">Program sprawowania </w:t>
      </w:r>
      <w:r w:rsidR="00DE05DC" w:rsidRPr="009E064B">
        <w:t>nadzoru</w:t>
      </w:r>
      <w:bookmarkEnd w:id="126"/>
    </w:p>
    <w:p w14:paraId="0F31B2AE" w14:textId="382A28F5"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0A07842" w14:textId="603A261B"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W odniesieniu do każdego operatora lotniska oraz instytucji zapewniającej służbę za</w:t>
      </w:r>
      <w:r w:rsidR="005C6FAE" w:rsidRPr="009E064B">
        <w:rPr>
          <w:rFonts w:asciiTheme="minorHAnsi" w:hAnsiTheme="minorHAnsi" w:cstheme="minorHAnsi"/>
          <w:sz w:val="22"/>
          <w:szCs w:val="20"/>
        </w:rPr>
        <w:t>rządzania płytą postojową zgła</w:t>
      </w:r>
      <w:r w:rsidR="00DE05DC" w:rsidRPr="009E064B">
        <w:rPr>
          <w:rFonts w:asciiTheme="minorHAnsi" w:hAnsiTheme="minorHAnsi" w:cstheme="minorHAnsi"/>
          <w:sz w:val="22"/>
          <w:szCs w:val="20"/>
        </w:rPr>
        <w:t>szającego właściwemu organowi swoją działalność właściwy organ:</w:t>
      </w:r>
    </w:p>
    <w:p w14:paraId="2732348D" w14:textId="6009ADE6"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5C6FAE" w:rsidRPr="009E064B">
        <w:rPr>
          <w:rFonts w:asciiTheme="minorHAnsi" w:eastAsia="Times New Roman" w:hAnsiTheme="minorHAnsi" w:cstheme="minorHAnsi"/>
          <w:szCs w:val="20"/>
        </w:rPr>
        <w:tab/>
      </w:r>
      <w:r w:rsidR="00C57ED3" w:rsidRPr="009E064B">
        <w:rPr>
          <w:rFonts w:asciiTheme="minorHAnsi" w:eastAsia="Times New Roman" w:hAnsiTheme="minorHAnsi" w:cstheme="minorHAnsi"/>
          <w:szCs w:val="20"/>
        </w:rPr>
        <w:t xml:space="preserve">ustanawia i utrzymuje program sprawowania nadzoru obejmujący czynności w zakresie nadzoru wymagane </w:t>
      </w:r>
      <w:r w:rsidR="00DE05DC" w:rsidRPr="009E064B">
        <w:rPr>
          <w:rFonts w:asciiTheme="minorHAnsi" w:eastAsia="Times New Roman" w:hAnsiTheme="minorHAnsi" w:cstheme="minorHAnsi"/>
          <w:szCs w:val="20"/>
        </w:rPr>
        <w:t xml:space="preserve">na mocy </w:t>
      </w:r>
      <w:hyperlink w:anchor="_ADR.AR.C.005__" w:history="1">
        <w:r w:rsidR="00DE05DC" w:rsidRPr="009E064B">
          <w:rPr>
            <w:rStyle w:val="Hipercze"/>
            <w:rFonts w:asciiTheme="minorHAnsi" w:eastAsia="Times New Roman" w:hAnsiTheme="minorHAnsi" w:cstheme="minorHAnsi"/>
            <w:szCs w:val="20"/>
          </w:rPr>
          <w:t>ADR.AR.C.005</w:t>
        </w:r>
      </w:hyperlink>
      <w:r w:rsidR="00DE05DC" w:rsidRPr="009E064B">
        <w:rPr>
          <w:rFonts w:asciiTheme="minorHAnsi" w:eastAsia="Times New Roman" w:hAnsiTheme="minorHAnsi" w:cstheme="minorHAnsi"/>
          <w:szCs w:val="20"/>
        </w:rPr>
        <w:t>;</w:t>
      </w:r>
    </w:p>
    <w:p w14:paraId="4C16BE05" w14:textId="571639C3" w:rsidR="00DC7DA6" w:rsidRPr="009E064B" w:rsidRDefault="00A669F8"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stosuje odpowiedni cykl planowania nadzoru, nie dłuższy niż 48 miesięcy.</w:t>
      </w:r>
    </w:p>
    <w:p w14:paraId="1F849F05" w14:textId="788B9FBD"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W każdym cyklu planowania nadzoru program sprawowania nadzoru obejmuje audy</w:t>
      </w:r>
      <w:r w:rsidR="005C6FAE" w:rsidRPr="009E064B">
        <w:rPr>
          <w:rFonts w:asciiTheme="minorHAnsi" w:hAnsiTheme="minorHAnsi" w:cstheme="minorHAnsi"/>
          <w:sz w:val="22"/>
          <w:szCs w:val="20"/>
        </w:rPr>
        <w:t>ty oraz inspekcje, w tym nieza</w:t>
      </w:r>
      <w:r w:rsidR="00DE05DC" w:rsidRPr="009E064B">
        <w:rPr>
          <w:rFonts w:asciiTheme="minorHAnsi" w:hAnsiTheme="minorHAnsi" w:cstheme="minorHAnsi"/>
          <w:sz w:val="22"/>
          <w:szCs w:val="20"/>
        </w:rPr>
        <w:t>powiedziane inspekcje (stosownie do przypadku).</w:t>
      </w:r>
    </w:p>
    <w:p w14:paraId="3DD552D7" w14:textId="1E142375" w:rsidR="00DC7DA6"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c) </w:t>
      </w:r>
      <w:r w:rsidR="005C6FAE" w:rsidRPr="009E064B">
        <w:rPr>
          <w:rFonts w:asciiTheme="minorHAnsi" w:hAnsiTheme="minorHAnsi" w:cstheme="minorHAnsi"/>
          <w:sz w:val="22"/>
          <w:szCs w:val="20"/>
        </w:rPr>
        <w:tab/>
      </w:r>
      <w:r w:rsidR="00C57ED3" w:rsidRPr="009E064B">
        <w:rPr>
          <w:rFonts w:asciiTheme="minorHAnsi" w:hAnsiTheme="minorHAnsi" w:cstheme="minorHAnsi"/>
          <w:sz w:val="22"/>
          <w:szCs w:val="20"/>
        </w:rPr>
        <w:t xml:space="preserve">Program sprawowania nadzoru i cykl planowania nadzoru odzwierciedlają </w:t>
      </w:r>
      <w:r w:rsidR="00DE05DC" w:rsidRPr="009E064B">
        <w:rPr>
          <w:rFonts w:asciiTheme="minorHAnsi" w:hAnsiTheme="minorHAnsi" w:cstheme="minorHAnsi"/>
          <w:sz w:val="22"/>
          <w:szCs w:val="20"/>
        </w:rPr>
        <w:t>skute</w:t>
      </w:r>
      <w:r w:rsidR="00C57ED3" w:rsidRPr="009E064B">
        <w:rPr>
          <w:rFonts w:asciiTheme="minorHAnsi" w:hAnsiTheme="minorHAnsi" w:cstheme="minorHAnsi"/>
          <w:sz w:val="22"/>
          <w:szCs w:val="20"/>
        </w:rPr>
        <w:t xml:space="preserve">czność działania operatora lotniska w </w:t>
      </w:r>
      <w:r w:rsidR="00DE05DC" w:rsidRPr="009E064B">
        <w:rPr>
          <w:rFonts w:asciiTheme="minorHAnsi" w:hAnsiTheme="minorHAnsi" w:cstheme="minorHAnsi"/>
          <w:sz w:val="22"/>
          <w:szCs w:val="20"/>
        </w:rPr>
        <w:t>dziedzinie bezpieczeństwa i stopień narażenia lotniska na ryzyko.</w:t>
      </w:r>
    </w:p>
    <w:p w14:paraId="3BD7DBA5" w14:textId="64E66789" w:rsidR="00DE64A7" w:rsidRPr="009E064B" w:rsidRDefault="00A669F8"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d)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Zakres programu sprawowania nadzoru obejmuje prowadzenie rejestru terminów, w których mają się odbyć audyty i inspekcje oraz w których takie audyty i inspekcje się odbyły.</w:t>
      </w:r>
    </w:p>
    <w:p w14:paraId="68D640DD" w14:textId="77777777" w:rsidR="00DE64A7" w:rsidRPr="009E064B" w:rsidRDefault="00DE64A7">
      <w:pPr>
        <w:spacing w:after="0"/>
        <w:jc w:val="left"/>
        <w:rPr>
          <w:rFonts w:asciiTheme="minorHAnsi" w:eastAsia="Times New Roman" w:hAnsiTheme="minorHAnsi" w:cstheme="minorHAnsi"/>
          <w:szCs w:val="20"/>
        </w:rPr>
      </w:pPr>
      <w:r w:rsidRPr="009E064B">
        <w:rPr>
          <w:rFonts w:asciiTheme="minorHAnsi" w:hAnsiTheme="minorHAnsi" w:cstheme="minorHAnsi"/>
          <w:szCs w:val="20"/>
        </w:rPr>
        <w:br w:type="page"/>
      </w:r>
    </w:p>
    <w:p w14:paraId="6312251A" w14:textId="763A4D5D" w:rsidR="00E32CD3" w:rsidRPr="009E064B" w:rsidRDefault="00D01EBC" w:rsidP="00133B99">
      <w:pPr>
        <w:pStyle w:val="Nagwek5"/>
      </w:pPr>
      <w:bookmarkStart w:id="127" w:name="_Toc492024527"/>
      <w:bookmarkStart w:id="128" w:name="_Toc12532587"/>
      <w:r w:rsidRPr="009E064B">
        <w:t xml:space="preserve">AMC1 ADR.AR.C.010     </w:t>
      </w:r>
      <w:r w:rsidR="00E32CD3" w:rsidRPr="009E064B">
        <w:t>Program nadzoru</w:t>
      </w:r>
      <w:bookmarkEnd w:id="127"/>
      <w:bookmarkEnd w:id="128"/>
    </w:p>
    <w:p w14:paraId="4A264052" w14:textId="1A6E1FDC"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87E5684" w14:textId="77777777" w:rsidR="00E32CD3" w:rsidRPr="009E064B" w:rsidRDefault="00E32CD3" w:rsidP="00DE64A7">
      <w:pPr>
        <w:widowControl/>
        <w:spacing w:before="120"/>
        <w:jc w:val="left"/>
        <w:rPr>
          <w:rFonts w:asciiTheme="minorHAnsi" w:eastAsia="Calibri" w:hAnsiTheme="minorHAnsi" w:cstheme="minorHAnsi"/>
        </w:rPr>
      </w:pPr>
      <w:r w:rsidRPr="009E064B">
        <w:rPr>
          <w:rFonts w:asciiTheme="minorHAnsi" w:eastAsia="Calibri" w:hAnsiTheme="minorHAnsi" w:cstheme="minorHAnsi"/>
        </w:rPr>
        <w:t>PROCEDURY NADZORU NAD OPERATORAMI LOTNISK I INSTYTUCJAMI ZAPEWNIAJĄCYMI SŁUŻBĘ ZARZĄDZANIA PŁYTĄ POSTOJOWĄ</w:t>
      </w:r>
    </w:p>
    <w:p w14:paraId="61C9DFCA" w14:textId="4C7579C4"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Właściwy organ powinien wyznaczyć odpowiedni punkt kontaktowy dla każdego operatora lotniska i każdej instytucji zapewniającej służbę zarządzania płytą postojową. Jeżeli więcej niż jeden inspektor lotniskowy jest przypisany do operatora lotniska, to jeden z nich powinien być nominowany jako posiadający ogólną odpowiedzi</w:t>
      </w:r>
      <w:r w:rsidR="00DE64A7" w:rsidRPr="009E064B">
        <w:rPr>
          <w:rFonts w:asciiTheme="minorHAnsi" w:eastAsia="Calibri" w:hAnsiTheme="minorHAnsi" w:cstheme="minorHAnsi"/>
        </w:rPr>
        <w:t>alność za nadzór i współpracę z </w:t>
      </w:r>
      <w:r w:rsidRPr="009E064B">
        <w:rPr>
          <w:rFonts w:asciiTheme="minorHAnsi" w:eastAsia="Calibri" w:hAnsiTheme="minorHAnsi" w:cstheme="minorHAnsi"/>
        </w:rPr>
        <w:t>kierownictwem operatora lotniska i być odpowiedzialny za raportowanie w zakresie zgodności z wymaganiami dotyczącymi jego ogólnej działalności.</w:t>
      </w:r>
    </w:p>
    <w:p w14:paraId="189B406C"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Inspekcje, audyty i procedury nadzoru, w zakresie i częstotliwości odpowiedniej do działalności, powinny obejmować, ale nie ograniczać się do elementów z poniższej listy:</w:t>
      </w:r>
    </w:p>
    <w:p w14:paraId="17032243"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infrastruktura i urządzenia lotniskowe;</w:t>
      </w:r>
    </w:p>
    <w:p w14:paraId="6E463290"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pomoce wzrokowe i systemy elektryczne lotniska;</w:t>
      </w:r>
    </w:p>
    <w:p w14:paraId="160EB06E"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ograniczanie oraz kontrola przeszkód lotniczych;</w:t>
      </w:r>
    </w:p>
    <w:p w14:paraId="4C933803"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zgłaszanie danych dotyczących lotniska;</w:t>
      </w:r>
    </w:p>
    <w:p w14:paraId="46D8B2F1"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planowanie działań w sytuacjach zagrożenia na lotnisku;</w:t>
      </w:r>
    </w:p>
    <w:p w14:paraId="025597F4"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ratownictwo i gaszenie pożarów;</w:t>
      </w:r>
    </w:p>
    <w:p w14:paraId="28B31B4C"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usuwanie unieruchomionych statków powietrznych;</w:t>
      </w:r>
    </w:p>
    <w:p w14:paraId="7A2AFA2A"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urządzenia do przechowywania i obsługi materiałów niebezpiecznych i paliwa, w tym instalacje paliwowe, jakość paliwa i urządzenia do tankowania;</w:t>
      </w:r>
    </w:p>
    <w:p w14:paraId="5DCC2002"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operacje w warunkach ograniczonej widzialności;</w:t>
      </w:r>
    </w:p>
    <w:p w14:paraId="7AF4C537"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operacje w warunkach zimowych i w niekorzystnych warunkach atmosferycznych;</w:t>
      </w:r>
    </w:p>
    <w:p w14:paraId="1B3EBCAE"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ochrona radarów, pomocy nawigacyjnych oraz innego wyposażenia lotniska;</w:t>
      </w:r>
    </w:p>
    <w:p w14:paraId="50D90FB0"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zarządzanie płytą postojową;</w:t>
      </w:r>
    </w:p>
    <w:p w14:paraId="323BC0C9"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(13) </w:t>
      </w:r>
      <w:r w:rsidRPr="009E064B">
        <w:rPr>
          <w:rFonts w:asciiTheme="minorHAnsi" w:eastAsia="Calibri" w:hAnsiTheme="minorHAnsi" w:cstheme="minorHAnsi"/>
        </w:rPr>
        <w:tab/>
        <w:t>zarządzanie bezpieczeństwem na płycie postojowej;</w:t>
      </w:r>
    </w:p>
    <w:p w14:paraId="395F9D6F"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(14) </w:t>
      </w:r>
      <w:r w:rsidRPr="009E064B">
        <w:rPr>
          <w:rFonts w:asciiTheme="minorHAnsi" w:eastAsia="Calibri" w:hAnsiTheme="minorHAnsi" w:cstheme="minorHAnsi"/>
        </w:rPr>
        <w:tab/>
        <w:t>kontrola pojazdów w polu ruchu naziemnego;</w:t>
      </w:r>
    </w:p>
    <w:p w14:paraId="242790EE"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(15) </w:t>
      </w:r>
      <w:r w:rsidRPr="009E064B">
        <w:rPr>
          <w:rFonts w:asciiTheme="minorHAnsi" w:eastAsia="Calibri" w:hAnsiTheme="minorHAnsi" w:cstheme="minorHAnsi"/>
        </w:rPr>
        <w:tab/>
        <w:t>zarządzanie zagrożeniami ze strony zwierząt;</w:t>
      </w:r>
    </w:p>
    <w:p w14:paraId="1CEFB9A1"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(16) </w:t>
      </w:r>
      <w:r w:rsidRPr="009E064B">
        <w:rPr>
          <w:rFonts w:asciiTheme="minorHAnsi" w:eastAsia="Calibri" w:hAnsiTheme="minorHAnsi" w:cstheme="minorHAnsi"/>
        </w:rPr>
        <w:tab/>
        <w:t>programy operatora lotniska mające na celu zapobieganiu wtargnięciom na drogę startową</w:t>
      </w:r>
      <w:r w:rsidRPr="009E064B">
        <w:rPr>
          <w:rFonts w:asciiTheme="minorHAnsi" w:eastAsia="Calibri" w:hAnsiTheme="minorHAnsi" w:cstheme="minorHAnsi"/>
          <w:vertAlign w:val="superscript"/>
        </w:rPr>
        <w:footnoteReference w:id="18"/>
      </w:r>
      <w:r w:rsidRPr="009E064B">
        <w:rPr>
          <w:rFonts w:asciiTheme="minorHAnsi" w:eastAsia="Calibri" w:hAnsiTheme="minorHAnsi" w:cstheme="minorHAnsi"/>
        </w:rPr>
        <w:t xml:space="preserve"> oraz wypadnięciu statku powietrznego z drogi startowej</w:t>
      </w:r>
      <w:r w:rsidRPr="009E064B">
        <w:rPr>
          <w:rFonts w:asciiTheme="minorHAnsi" w:eastAsia="Calibri" w:hAnsiTheme="minorHAnsi" w:cstheme="minorHAnsi"/>
          <w:vertAlign w:val="superscript"/>
        </w:rPr>
        <w:footnoteReference w:id="19"/>
      </w:r>
      <w:r w:rsidRPr="009E064B">
        <w:rPr>
          <w:rFonts w:asciiTheme="minorHAnsi" w:eastAsia="Calibri" w:hAnsiTheme="minorHAnsi" w:cstheme="minorHAnsi"/>
        </w:rPr>
        <w:t>, jako element programu bezpieczeństwa dróg startowych właściwego organu;</w:t>
      </w:r>
    </w:p>
    <w:p w14:paraId="33B10DB0"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(17) </w:t>
      </w:r>
      <w:r w:rsidRPr="009E064B">
        <w:rPr>
          <w:rFonts w:asciiTheme="minorHAnsi" w:eastAsia="Calibri" w:hAnsiTheme="minorHAnsi" w:cstheme="minorHAnsi"/>
        </w:rPr>
        <w:tab/>
        <w:t>inspekcje pola ruchu naziemnego;</w:t>
      </w:r>
    </w:p>
    <w:p w14:paraId="2A66D542"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(18) </w:t>
      </w:r>
      <w:r w:rsidRPr="009E064B">
        <w:rPr>
          <w:rFonts w:asciiTheme="minorHAnsi" w:eastAsia="Calibri" w:hAnsiTheme="minorHAnsi" w:cstheme="minorHAnsi"/>
        </w:rPr>
        <w:tab/>
        <w:t>obsługa techniczna i utrzymanie systemów lotniskowych i pola ruchu naziemnego;</w:t>
      </w:r>
    </w:p>
    <w:p w14:paraId="461000EB"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(19) </w:t>
      </w:r>
      <w:r w:rsidRPr="009E064B">
        <w:rPr>
          <w:rFonts w:asciiTheme="minorHAnsi" w:eastAsia="Calibri" w:hAnsiTheme="minorHAnsi" w:cstheme="minorHAnsi"/>
        </w:rPr>
        <w:tab/>
        <w:t>wykonywanie prac na lotnisku;</w:t>
      </w:r>
    </w:p>
    <w:p w14:paraId="6F001D32"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(20) </w:t>
      </w:r>
      <w:r w:rsidRPr="009E064B">
        <w:rPr>
          <w:rFonts w:asciiTheme="minorHAnsi" w:eastAsia="Calibri" w:hAnsiTheme="minorHAnsi" w:cstheme="minorHAnsi"/>
        </w:rPr>
        <w:tab/>
        <w:t>ochrona przed działaniami niebezpiecznymi w otoczeniu lotniska;</w:t>
      </w:r>
    </w:p>
    <w:p w14:paraId="726D0198"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(21) </w:t>
      </w:r>
      <w:r w:rsidRPr="009E064B">
        <w:rPr>
          <w:rFonts w:asciiTheme="minorHAnsi" w:eastAsia="Calibri" w:hAnsiTheme="minorHAnsi" w:cstheme="minorHAnsi"/>
        </w:rPr>
        <w:tab/>
        <w:t>szkolenie personelu i dokumentacja, w tym przegląd programów zapobiegania wtargnięciom na drogę startową i wypadnięciom statków powietrznych z drogi startowej, oraz stan ich wdrożenia.</w:t>
      </w:r>
    </w:p>
    <w:p w14:paraId="5AE31CED"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(22) </w:t>
      </w:r>
      <w:r w:rsidRPr="009E064B">
        <w:rPr>
          <w:rFonts w:asciiTheme="minorHAnsi" w:eastAsia="Calibri" w:hAnsiTheme="minorHAnsi" w:cstheme="minorHAnsi"/>
        </w:rPr>
        <w:tab/>
        <w:t>instrukcja operacyjna lotniska i związane z nią dokumenty;</w:t>
      </w:r>
    </w:p>
    <w:p w14:paraId="55D9A1EA"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(23) </w:t>
      </w:r>
      <w:r w:rsidRPr="009E064B">
        <w:rPr>
          <w:rFonts w:asciiTheme="minorHAnsi" w:eastAsia="Calibri" w:hAnsiTheme="minorHAnsi" w:cstheme="minorHAnsi"/>
        </w:rPr>
        <w:tab/>
        <w:t>system zarządzania operatora lotniska, w tym jego system zarządzania bezpieczeństwem oraz system zarządzania jakością i ochroną danych lotniczych;</w:t>
      </w:r>
    </w:p>
    <w:p w14:paraId="1925647A" w14:textId="77777777" w:rsidR="00E32CD3" w:rsidRPr="009E064B" w:rsidRDefault="00E32CD3"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(24) </w:t>
      </w:r>
      <w:r w:rsidRPr="009E064B">
        <w:rPr>
          <w:rFonts w:asciiTheme="minorHAnsi" w:eastAsia="Calibri" w:hAnsiTheme="minorHAnsi" w:cstheme="minorHAnsi"/>
        </w:rPr>
        <w:tab/>
        <w:t>nadzór prowadzony przez operatora lotniska nad przestrzeganiem przepisów przez organizacje działające lub świadczące usługi na lotnisku (strony trzecie).</w:t>
      </w:r>
    </w:p>
    <w:p w14:paraId="4A8C6753"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Inspekcja lub audyt powinien „głęboko drążyć” wybrane elementy, a wszystkie nieprawidłowości i uwagi powinny być odnotowane.</w:t>
      </w:r>
    </w:p>
    <w:p w14:paraId="0764AE2D"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Inspektorzy lotniskowi powinni dokonać analizy i ocenić przyczynę(y) źródłową problemów zidentyfikowanych przez operatora lotniska i być przekonani, że podjęte działania naprawcze są odpowiednie do usunięcia niezgodności, oraz że zapobiegną ich ponownemu wystąpieniu.</w:t>
      </w:r>
    </w:p>
    <w:p w14:paraId="3C7AB1B7"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Inspekcje i audyty mogą być prowadzone oddzielnie lub wspólnie. Inspekcje i audyty, w celu podziału obszarów koordynacji pomiędzy operatora lotniska oraz zapewniających inne służby (np. ATM/ANS), mogą być również skoordynowane z inspekcjami i audytami prowadzonymi przez właściwe organy odpowiedzialne za inne obszary. Powinny być również wykonywane wspólne audyty z właściwymi władzami w innych dziedzinach, ponieważ są one szczególnie skuteczne przy badaniu wzajemnych powiązań (relacji) pomiędzy różnymi podmiotami na lotnisku (np. port lotniczy i ATC), w tym zapobieganiu wtargnięciom na drogę startową i wypadnięciu statku powietrznego poza drogę startową.</w:t>
      </w:r>
    </w:p>
    <w:p w14:paraId="4A008A41"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Inspekcje mogą, według uznania właściwego organu, być prowadzone z lub bez wcześniejszego powiadomienia operatora lotniska lub instytucji zapewniającej służbę zarządzania płytą postojową.</w:t>
      </w:r>
    </w:p>
    <w:p w14:paraId="11C4B21D"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W przypadku, gdy jest to oczywiste dla inspektora lotniskowego, że operator lotniska lub instytucja zapewniająca służbę zarządzania płytą postojową pozwoliła na naruszenie obowiązujących przepisów, co spowodowało, że bezpieczeństwo zostało lub mogło zostać naruszone, to inspektor powinien zapewnić, że osoba odpowiedzialna w ramach właściwego organu zostanie o tym fakcie niezwłocznie powiadomiona.</w:t>
      </w:r>
    </w:p>
    <w:p w14:paraId="41F1B57D"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W pierwszych miesiącach prowadzenia nowych operacji, istnienia fizycznej zmiany infrastruktury lotniska lub zmian dotyczących struktury organizacyjnej, inspektorzy lotniskowi powinni być szczególnie wyczuleni na wszelkie nieprawidłowe procedury, dowody dotyczące nieodpowiednich urządzeń lub sprzętu lub oznak, że kontrola tych operacji przez kierownictwo może być nieskuteczna.</w:t>
      </w:r>
    </w:p>
    <w:p w14:paraId="70CC43AA"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Inspektorzy lotniskowi powinni uwzględniać wszelkie okoliczności, które mogą wskazywać na znaczne pogorszenie sytuacji finansowej operatora lotniska. Gdy zostaną zidentyfikowane jakieś problemy finansowe, to inspektorzy lotniskowi powinni zwiększyć nadzór techniczny nad jego funkcjonowaniem, ze szczególnym naciskiem na przestrzeganie norm bezpieczeństwa.</w:t>
      </w:r>
    </w:p>
    <w:p w14:paraId="15F602F5" w14:textId="60BB80CB" w:rsidR="00752CFB" w:rsidRPr="009E064B" w:rsidRDefault="00E32CD3" w:rsidP="00752CFB">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Liczba lub waga nieprawidłowości (niezgodności) stwierdzonych przez właściwy organ będzie służyć właściwemu organowi do wspierania ciągłego zaufania do kompetencji operatora lotniska lub instytucji zapewniającej służbę zarządzania płytą postojową, lub odwrotnie, może prowadzić do utraty tego zaufania. W tym drugim przypadku właściwy organ musi sprawdzić wszystkie możliwe do zidentyfikowania niedociągnięcia w systemie zarządzania i w razie potrzeby, podjąć odpowiednie działania.</w:t>
      </w:r>
      <w:r w:rsidR="00752CFB" w:rsidRPr="009E064B">
        <w:rPr>
          <w:rFonts w:asciiTheme="minorHAnsi" w:eastAsia="Calibri" w:hAnsiTheme="minorHAnsi" w:cstheme="minorHAnsi"/>
        </w:rPr>
        <w:t xml:space="preserve"> </w:t>
      </w:r>
      <w:r w:rsidR="00752CFB" w:rsidRPr="009E064B">
        <w:rPr>
          <w:rFonts w:asciiTheme="minorHAnsi" w:eastAsia="Calibri" w:hAnsiTheme="minorHAnsi" w:cstheme="minorHAnsi"/>
        </w:rPr>
        <w:br w:type="page"/>
      </w:r>
    </w:p>
    <w:p w14:paraId="077AF065" w14:textId="7A00DC54" w:rsidR="00E32CD3" w:rsidRPr="009E064B" w:rsidRDefault="00E32CD3" w:rsidP="00133B99">
      <w:pPr>
        <w:pStyle w:val="Nagwek6"/>
      </w:pPr>
      <w:bookmarkStart w:id="129" w:name="_Toc492024528"/>
      <w:bookmarkStart w:id="130" w:name="_Toc12532588"/>
      <w:r w:rsidRPr="009E064B">
        <w:t xml:space="preserve">GM1 ADR.AR.C.010 </w:t>
      </w:r>
      <w:r w:rsidR="00D01EBC" w:rsidRPr="009E064B">
        <w:t xml:space="preserve">    </w:t>
      </w:r>
      <w:r w:rsidRPr="009E064B">
        <w:t>Program nadzoru</w:t>
      </w:r>
      <w:bookmarkEnd w:id="129"/>
      <w:bookmarkEnd w:id="130"/>
    </w:p>
    <w:p w14:paraId="1264F84F" w14:textId="209278CA"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696A938"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PROCEDURY NADZORU NAD OPERATORAMI LOTNISK I INSTYTUCJAMI ZAPEWNIAJĄCYMI SŁUŻBĘ ZARZĄDZANIA PŁYTĄ POSTOJOWĄ</w:t>
      </w:r>
    </w:p>
    <w:p w14:paraId="1CE69DDE"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Oprócz regularnego nadzoru nad przestrzeganiem przepisów właściwy organ może ustanowić krajowe grupy do spraw zapobiegania wtargnięciom na drogi startowe oraz wypadnięciom statków powietrznych z dróg startowych, jako część Krajowej Grupy Koordynacji Bezpieczeństwa</w:t>
      </w:r>
      <w:r w:rsidR="00DC6886" w:rsidRPr="009E064B">
        <w:rPr>
          <w:rFonts w:asciiTheme="minorHAnsi" w:eastAsia="Calibri" w:hAnsiTheme="minorHAnsi" w:cstheme="minorHAnsi"/>
        </w:rPr>
        <w:t xml:space="preserve"> na Drogach Startowych. Członko</w:t>
      </w:r>
      <w:r w:rsidRPr="009E064B">
        <w:rPr>
          <w:rFonts w:asciiTheme="minorHAnsi" w:eastAsia="Calibri" w:hAnsiTheme="minorHAnsi" w:cstheme="minorHAnsi"/>
        </w:rPr>
        <w:t>stwo w tych grupach może obejmować przedstawicieli branży lotniczej, w tym lotnisk, operatorów statków powietrznych, służb ruchu lotniczego, grup ds. bezpieczeństwa branży lotniczej, członków (lokalnych) komitetów ds. bezpieczeństwa drogi startowej i odpowiednich przedstawicieli właściwego organu.</w:t>
      </w:r>
    </w:p>
    <w:p w14:paraId="5642FCED"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Zakres działania takiej grupy może obejmować:</w:t>
      </w:r>
    </w:p>
    <w:p w14:paraId="62EE018A"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Badanie szczególnych zagrożeń, zidentyfikowanych na poziomie krajowym, w tym poprzez koordynację podgrup lub, w razie potrzeby, agencji zewnętrznych;</w:t>
      </w:r>
    </w:p>
    <w:p w14:paraId="5FBDE51F"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Promowanie dobrych praktyk, wymiany informacji i podnoszenie świadomości poprzez promocję i edukowanie branży lotniczej;</w:t>
      </w:r>
    </w:p>
    <w:p w14:paraId="130BB5E0"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Aktywne wspieranie prac prowadzonych w branży lotniczej;</w:t>
      </w:r>
    </w:p>
    <w:p w14:paraId="434CFD29"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Występowanie w roli punktu koordynacyjnego dla branży lotniczej;</w:t>
      </w:r>
    </w:p>
    <w:p w14:paraId="7B98DCDE"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Identyfikowanie i badanie dostępności technologii mogących zredukować ryzyko wtargnięcia na drogę startową lub wypadnięcia statku powietrznego z drogi startowej;</w:t>
      </w:r>
    </w:p>
    <w:p w14:paraId="325E1BB9" w14:textId="011C7029"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Przegląd aktualnych procedur operacyjnych lotnisk, służb kontroli ruchu lotniczego (ATC) i statków powietrznych oraz, w razie potrzeby, wydanie zaleceń d</w:t>
      </w:r>
      <w:r w:rsidR="00DE64A7" w:rsidRPr="009E064B">
        <w:rPr>
          <w:rFonts w:asciiTheme="minorHAnsi" w:eastAsia="Calibri" w:hAnsiTheme="minorHAnsi" w:cstheme="minorHAnsi"/>
        </w:rPr>
        <w:t>otyczących przyszłej polityki w </w:t>
      </w:r>
      <w:r w:rsidRPr="009E064B">
        <w:rPr>
          <w:rFonts w:asciiTheme="minorHAnsi" w:eastAsia="Calibri" w:hAnsiTheme="minorHAnsi" w:cstheme="minorHAnsi"/>
        </w:rPr>
        <w:t>zakresie zmniejszenia ryzyka wypadnięcia statku powietrznego z drogi startowej lub wtargnięcia na drogę startową;</w:t>
      </w:r>
    </w:p>
    <w:p w14:paraId="5F5A5169" w14:textId="24BA1F33"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Wydanie zaleceń dotyczących opracowania wytycznych i materiałów doradczych dla branży lotniczej w zakresie zagadnień operacyjnych dotyczących lotnisk, statków powietrznych i służb kontroli ruchu lotniczego (ATC) w celu zmniejszenia ryzyka wy</w:t>
      </w:r>
      <w:r w:rsidR="00DE64A7" w:rsidRPr="009E064B">
        <w:rPr>
          <w:rFonts w:asciiTheme="minorHAnsi" w:eastAsia="Calibri" w:hAnsiTheme="minorHAnsi" w:cstheme="minorHAnsi"/>
        </w:rPr>
        <w:t>padnięcia statku powietrznego z </w:t>
      </w:r>
      <w:r w:rsidRPr="009E064B">
        <w:rPr>
          <w:rFonts w:asciiTheme="minorHAnsi" w:eastAsia="Calibri" w:hAnsiTheme="minorHAnsi" w:cstheme="minorHAnsi"/>
        </w:rPr>
        <w:t>drogi startowej lub wtargnięcia na drogę startową;</w:t>
      </w:r>
    </w:p>
    <w:p w14:paraId="26F214BE" w14:textId="77777777" w:rsidR="00E32CD3" w:rsidRPr="009E064B" w:rsidRDefault="00E32CD3" w:rsidP="00B06A9A">
      <w:pPr>
        <w:widowControl/>
        <w:numPr>
          <w:ilvl w:val="0"/>
          <w:numId w:val="3"/>
        </w:numPr>
        <w:tabs>
          <w:tab w:val="left" w:pos="567"/>
        </w:tabs>
        <w:ind w:left="567" w:hanging="426"/>
        <w:rPr>
          <w:rFonts w:asciiTheme="minorHAnsi" w:eastAsia="Calibri" w:hAnsiTheme="minorHAnsi" w:cstheme="minorHAnsi"/>
        </w:rPr>
      </w:pPr>
      <w:r w:rsidRPr="009E064B">
        <w:rPr>
          <w:rFonts w:asciiTheme="minorHAnsi" w:eastAsia="Calibri" w:hAnsiTheme="minorHAnsi" w:cstheme="minorHAnsi"/>
        </w:rPr>
        <w:t>Nadzorowanie i promowanie zgłaszania incydentów wypadnięcia statku powietrznego z drogi startowej lub wtargnięcia na drogę startową;</w:t>
      </w:r>
    </w:p>
    <w:p w14:paraId="30129092" w14:textId="77777777" w:rsidR="00E32CD3" w:rsidRPr="009E064B" w:rsidRDefault="00E32CD3" w:rsidP="00B06A9A">
      <w:pPr>
        <w:widowControl/>
        <w:numPr>
          <w:ilvl w:val="0"/>
          <w:numId w:val="3"/>
        </w:numPr>
        <w:tabs>
          <w:tab w:val="left" w:pos="567"/>
        </w:tabs>
        <w:ind w:left="567" w:hanging="426"/>
        <w:textAlignment w:val="top"/>
        <w:rPr>
          <w:rFonts w:asciiTheme="minorHAnsi" w:eastAsia="Calibri" w:hAnsiTheme="minorHAnsi" w:cstheme="minorHAnsi"/>
        </w:rPr>
      </w:pPr>
      <w:r w:rsidRPr="009E064B">
        <w:rPr>
          <w:rFonts w:asciiTheme="minorHAnsi" w:eastAsia="Calibri" w:hAnsiTheme="minorHAnsi" w:cstheme="minorHAnsi"/>
        </w:rPr>
        <w:t>Zapewnienie dogłębnej analizy danych w celu zidentyfikowania i zbadania specyficznych obszarów zainteresowania.</w:t>
      </w:r>
    </w:p>
    <w:p w14:paraId="5340F8D2" w14:textId="5BC374AB" w:rsidR="00E32CD3" w:rsidRPr="009E064B" w:rsidRDefault="00E32CD3" w:rsidP="00133B99">
      <w:pPr>
        <w:pStyle w:val="Nagwek5"/>
      </w:pPr>
      <w:bookmarkStart w:id="131" w:name="_Toc492024529"/>
      <w:bookmarkStart w:id="132" w:name="_Toc12532589"/>
      <w:r w:rsidRPr="009E064B">
        <w:t xml:space="preserve">AMC1 ADR.AR.C.010(b)   </w:t>
      </w:r>
      <w:r w:rsidR="00D01EBC" w:rsidRPr="009E064B">
        <w:t xml:space="preserve">  </w:t>
      </w:r>
      <w:r w:rsidRPr="009E064B">
        <w:t>Program nadzoru</w:t>
      </w:r>
      <w:bookmarkEnd w:id="131"/>
      <w:bookmarkEnd w:id="132"/>
    </w:p>
    <w:p w14:paraId="7E966A93" w14:textId="713F08C2"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B8384E2" w14:textId="77777777"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AUDYT</w:t>
      </w:r>
    </w:p>
    <w:p w14:paraId="2F8DB921"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Program nadzoru powinien wskazywać, które obszary będą objęte każdym audytem.</w:t>
      </w:r>
    </w:p>
    <w:p w14:paraId="6B03F789"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Część audytu powinna koncentrować się na raportach operatora lotniska z monitorowania zgodności w celu stwierdzenia czy operator lotniska identyfikuje przyczyny źródłowe i naprawia związane z nimi problemy.</w:t>
      </w:r>
    </w:p>
    <w:p w14:paraId="123C26BA"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Na zakończenie audytu, audytujący inspektor lotniskowy powinien sporządzić raport z audytu, obejmujący wszystkie stwierdzone nieprawidłowości.</w:t>
      </w:r>
    </w:p>
    <w:p w14:paraId="28A66D09" w14:textId="05B44492" w:rsidR="00E32CD3" w:rsidRPr="009E064B" w:rsidRDefault="00E32CD3" w:rsidP="00133B99">
      <w:pPr>
        <w:pStyle w:val="Nagwek5"/>
      </w:pPr>
      <w:bookmarkStart w:id="133" w:name="_Toc492024530"/>
      <w:bookmarkStart w:id="134" w:name="_Toc12532590"/>
      <w:r w:rsidRPr="009E064B">
        <w:t xml:space="preserve">AMC1 ADR.AR.C.010(b);(c)   </w:t>
      </w:r>
      <w:r w:rsidR="00D01EBC" w:rsidRPr="009E064B">
        <w:t xml:space="preserve">  </w:t>
      </w:r>
      <w:r w:rsidRPr="009E064B">
        <w:t>Program nadzoru</w:t>
      </w:r>
      <w:bookmarkEnd w:id="133"/>
      <w:bookmarkEnd w:id="134"/>
    </w:p>
    <w:p w14:paraId="13B1C658" w14:textId="6D354E66"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612C9CE" w14:textId="77777777"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CYKL PLANOWANIA NADZORU</w:t>
      </w:r>
    </w:p>
    <w:p w14:paraId="39D4A147"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Skuteczność działań w zakresie bezpieczeństwa powinna być stale monitorowane w celu zapewnienia, że program nadzoru i cykl planowania nadzoru pozostają właściwe.</w:t>
      </w:r>
    </w:p>
    <w:p w14:paraId="2D3BF889"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Cykl planowania nadzoru i powiązany z nim program nadzoru dla każdego operatora lotniska powinny być aktualizowane, co roku.</w:t>
      </w:r>
    </w:p>
    <w:p w14:paraId="70BA6E24"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Cykl planowania nadzoru i powiązany z nim program nadzoru oraz ich roczna ocena powinny być określane zgodnie z następującymi elementami:</w:t>
      </w:r>
    </w:p>
    <w:p w14:paraId="3B205B22"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wyniki przeprowadzonej certyfikacji oraz działań nadzorczych;</w:t>
      </w:r>
    </w:p>
    <w:p w14:paraId="6354EB29"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zdolność do skutecznego identyfikowania zagrożeń bezpieczeństwa lotniczego i zarządzanie związanym z nimi ryzykiem;</w:t>
      </w:r>
    </w:p>
    <w:p w14:paraId="4BCE6C7E" w14:textId="2C4C9891"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(3) </w:t>
      </w:r>
      <w:r w:rsidRPr="009E064B">
        <w:rPr>
          <w:rFonts w:asciiTheme="minorHAnsi" w:eastAsia="Calibri" w:hAnsiTheme="minorHAnsi" w:cstheme="minorHAnsi"/>
          <w:szCs w:val="18"/>
        </w:rPr>
        <w:tab/>
        <w:t xml:space="preserve">efektywna kontrola wszystkich zmian zgodnie z </w:t>
      </w:r>
      <w:hyperlink w:anchor="_ADR.OR.B.040__" w:history="1">
        <w:r w:rsidRPr="009E064B">
          <w:rPr>
            <w:rStyle w:val="Hipercze"/>
            <w:rFonts w:asciiTheme="minorHAnsi" w:eastAsia="Calibri" w:hAnsiTheme="minorHAnsi" w:cstheme="minorHAnsi"/>
            <w:szCs w:val="18"/>
          </w:rPr>
          <w:t>ADR.OR.B.040</w:t>
        </w:r>
      </w:hyperlink>
      <w:r w:rsidRPr="009E064B">
        <w:rPr>
          <w:rFonts w:asciiTheme="minorHAnsi" w:eastAsia="Calibri" w:hAnsiTheme="minorHAnsi" w:cstheme="minorHAnsi"/>
          <w:szCs w:val="18"/>
        </w:rPr>
        <w:t>;</w:t>
      </w:r>
    </w:p>
    <w:p w14:paraId="49250D7E"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(4) </w:t>
      </w:r>
      <w:r w:rsidRPr="009E064B">
        <w:rPr>
          <w:rFonts w:asciiTheme="minorHAnsi" w:eastAsia="Calibri" w:hAnsiTheme="minorHAnsi" w:cstheme="minorHAnsi"/>
          <w:szCs w:val="18"/>
        </w:rPr>
        <w:tab/>
        <w:t>brak nieprawidłowości poziomu 1;</w:t>
      </w:r>
    </w:p>
    <w:p w14:paraId="2D836DF2" w14:textId="1C03B81D"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(5) </w:t>
      </w:r>
      <w:r w:rsidRPr="009E064B">
        <w:rPr>
          <w:rFonts w:asciiTheme="minorHAnsi" w:eastAsia="Calibri" w:hAnsiTheme="minorHAnsi" w:cstheme="minorHAnsi"/>
          <w:szCs w:val="18"/>
        </w:rPr>
        <w:tab/>
        <w:t xml:space="preserve">czas reakcji na wdrożenie działań naprawczych wymagany przez właściwy organ zgodnie z </w:t>
      </w:r>
      <w:hyperlink w:anchor="_ADR.AR.C.055__" w:history="1">
        <w:r w:rsidRPr="009E064B">
          <w:rPr>
            <w:rStyle w:val="Hipercze"/>
            <w:rFonts w:asciiTheme="minorHAnsi" w:eastAsia="Calibri" w:hAnsiTheme="minorHAnsi" w:cstheme="minorHAnsi"/>
            <w:szCs w:val="18"/>
          </w:rPr>
          <w:t>ADR.AR.C.055</w:t>
        </w:r>
      </w:hyperlink>
      <w:r w:rsidR="005279DB" w:rsidRPr="009E064B">
        <w:rPr>
          <w:rFonts w:asciiTheme="minorHAnsi" w:eastAsia="Calibri" w:hAnsiTheme="minorHAnsi" w:cstheme="minorHAnsi"/>
          <w:szCs w:val="18"/>
        </w:rPr>
        <w:t xml:space="preserve"> lit. </w:t>
      </w:r>
      <w:r w:rsidR="00F809D7" w:rsidRPr="009E064B">
        <w:rPr>
          <w:rFonts w:asciiTheme="minorHAnsi" w:eastAsia="Calibri" w:hAnsiTheme="minorHAnsi" w:cstheme="minorHAnsi"/>
          <w:szCs w:val="18"/>
        </w:rPr>
        <w:t>(</w:t>
      </w:r>
      <w:r w:rsidRPr="009E064B">
        <w:rPr>
          <w:rFonts w:asciiTheme="minorHAnsi" w:eastAsia="Calibri" w:hAnsiTheme="minorHAnsi" w:cstheme="minorHAnsi"/>
          <w:szCs w:val="18"/>
        </w:rPr>
        <w:t>d)</w:t>
      </w:r>
      <w:r w:rsidR="005279DB" w:rsidRPr="009E064B">
        <w:rPr>
          <w:rFonts w:asciiTheme="minorHAnsi" w:eastAsia="Calibri" w:hAnsiTheme="minorHAnsi" w:cstheme="minorHAnsi"/>
          <w:szCs w:val="18"/>
        </w:rPr>
        <w:t xml:space="preserve"> pkt </w:t>
      </w:r>
      <w:r w:rsidR="00F809D7" w:rsidRPr="009E064B">
        <w:rPr>
          <w:rFonts w:asciiTheme="minorHAnsi" w:eastAsia="Calibri" w:hAnsiTheme="minorHAnsi" w:cstheme="minorHAnsi"/>
          <w:szCs w:val="18"/>
        </w:rPr>
        <w:t>(</w:t>
      </w:r>
      <w:r w:rsidRPr="009E064B">
        <w:rPr>
          <w:rFonts w:asciiTheme="minorHAnsi" w:eastAsia="Calibri" w:hAnsiTheme="minorHAnsi" w:cstheme="minorHAnsi"/>
          <w:szCs w:val="18"/>
        </w:rPr>
        <w:t>2); oraz</w:t>
      </w:r>
    </w:p>
    <w:p w14:paraId="261DA838"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(6) </w:t>
      </w:r>
      <w:r w:rsidRPr="009E064B">
        <w:rPr>
          <w:rFonts w:asciiTheme="minorHAnsi" w:eastAsia="Calibri" w:hAnsiTheme="minorHAnsi" w:cstheme="minorHAnsi"/>
          <w:szCs w:val="18"/>
        </w:rPr>
        <w:tab/>
        <w:t>narażenie na ryzyko związane z funkcjonowaniem lotniska, takie jak natężenie ruchu, typ statków powietrznych lub cech fizycznych lotniska.</w:t>
      </w:r>
    </w:p>
    <w:p w14:paraId="5ACB34DF"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W trakcie każdego cyklu planowania nadzoru, właściwy organ powinien zwoływać spotkania z kierownikiem odpowiedzialnym operatora lotniska lub osobą przez niego upoważnioną.</w:t>
      </w:r>
    </w:p>
    <w:p w14:paraId="40B8489F" w14:textId="2C2A3C93" w:rsidR="00E32CD3" w:rsidRPr="009E064B" w:rsidRDefault="00D01EBC" w:rsidP="00133B99">
      <w:pPr>
        <w:pStyle w:val="Nagwek5"/>
      </w:pPr>
      <w:bookmarkStart w:id="135" w:name="_Toc492024531"/>
      <w:bookmarkStart w:id="136" w:name="_Toc12532591"/>
      <w:r w:rsidRPr="009E064B">
        <w:t xml:space="preserve">AMC2 ADR.AR.C.010(b);(c)     </w:t>
      </w:r>
      <w:r w:rsidR="00E32CD3" w:rsidRPr="009E064B">
        <w:t>Program nadzoru</w:t>
      </w:r>
      <w:bookmarkEnd w:id="135"/>
      <w:bookmarkEnd w:id="136"/>
    </w:p>
    <w:p w14:paraId="78C6CE08" w14:textId="338480AA"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DDAF3AD" w14:textId="77777777" w:rsidR="00E32CD3" w:rsidRPr="009E064B" w:rsidRDefault="00E32CD3" w:rsidP="00B06A9A">
      <w:pPr>
        <w:widowControl/>
        <w:spacing w:before="240"/>
        <w:rPr>
          <w:rFonts w:asciiTheme="minorHAnsi" w:eastAsia="Calibri" w:hAnsiTheme="minorHAnsi" w:cstheme="minorHAnsi"/>
          <w:szCs w:val="18"/>
        </w:rPr>
      </w:pPr>
      <w:r w:rsidRPr="009E064B">
        <w:rPr>
          <w:rFonts w:asciiTheme="minorHAnsi" w:eastAsia="Calibri" w:hAnsiTheme="minorHAnsi" w:cstheme="minorHAnsi"/>
          <w:szCs w:val="18"/>
        </w:rPr>
        <w:t>CYKL PLANOWANIA NADZORU</w:t>
      </w:r>
    </w:p>
    <w:p w14:paraId="53C32DE8"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W przypadku każdego operatora lotniska certyfikowanego przez właściwy organ, wszystkie procesy powinny być w całości poddane audytowi w czasie niewykraczającym poza bieżący cykl planowania nadzoru. Początek pierwszego cyklu planowania audytu jest zwykle określany przez datę wydania pierwszego certyfikatu. Jeżeli właściwy organ chce zrównać cykl planowania nadzoru z rokiem kalendarzowym, powinien odpowiednio skrócić pierwszy cykl planowania nadzoru.</w:t>
      </w:r>
    </w:p>
    <w:p w14:paraId="01C4F314"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Przerwa pomiędzy dwoma audytami określonego procesu nie powinna przekraczać przerwy mającego zastosowanie cyklu planowania nadzoru.</w:t>
      </w:r>
    </w:p>
    <w:p w14:paraId="7BADF8EA"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Audyty powinny obejmować, co najmniej jeden audyt na miejscu w każdym cyklu planowania nadzoru na każdym lotnisku.</w:t>
      </w:r>
    </w:p>
    <w:p w14:paraId="5C33211E" w14:textId="51CD6602" w:rsidR="00E32CD3" w:rsidRPr="009E064B" w:rsidRDefault="00D01EBC" w:rsidP="00133B99">
      <w:pPr>
        <w:pStyle w:val="Nagwek6"/>
      </w:pPr>
      <w:bookmarkStart w:id="137" w:name="_Toc492024532"/>
      <w:bookmarkStart w:id="138" w:name="_Toc12532592"/>
      <w:r w:rsidRPr="009E064B">
        <w:t xml:space="preserve">GM1 ADR.AR.C.010(b)     </w:t>
      </w:r>
      <w:r w:rsidR="00E32CD3" w:rsidRPr="009E064B">
        <w:t>Program nadzoru</w:t>
      </w:r>
      <w:bookmarkEnd w:id="137"/>
      <w:bookmarkEnd w:id="138"/>
    </w:p>
    <w:p w14:paraId="308A7343" w14:textId="093348F8"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A749261"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STANDARDY BRANŻY LOTNICZEJ</w:t>
      </w:r>
    </w:p>
    <w:p w14:paraId="75206030"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W przypadku operatorów lotnisk, którzy wykazali zgodność ze standardami branży lotniczej, właściwy organ może dostosować swój program nadzoru w celu uniknięcia dublowania określonych elementów audytu.</w:t>
      </w:r>
    </w:p>
    <w:p w14:paraId="7617002E"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Wykazana zgodność ze standardami branży lotniczej nie powinna być rozpatrywana w oderwaniu od innych elementów, które powinny być uwzględnione w nadzorze sprawowanym przez właściwy organ w oparciu o ryzyko.</w:t>
      </w:r>
    </w:p>
    <w:p w14:paraId="6B6ED088"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W celu zaliczenia audytów wykonanych w ramach certyfikacji do zgodnych ze standardami branży lotniczej, należy wziąć pod uwagę następujące czynniki:</w:t>
      </w:r>
    </w:p>
    <w:p w14:paraId="1542D9EF"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wykazanie zgodności odbywa się na podstawie audytów certyfikacyjnych zapewniających niezależną i systematyczną weryfikację;</w:t>
      </w:r>
    </w:p>
    <w:p w14:paraId="40AF6849"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zweryfikowano istniejące systemy akredytacji i instytucje akredytujące w zakresie certyfikacji zgodnie ze standardami branży lotniczej;</w:t>
      </w:r>
    </w:p>
    <w:p w14:paraId="244096C8" w14:textId="4D24D196"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(3) </w:t>
      </w:r>
      <w:r w:rsidRPr="009E064B">
        <w:rPr>
          <w:rFonts w:asciiTheme="minorHAnsi" w:eastAsia="Calibri" w:hAnsiTheme="minorHAnsi" w:cstheme="minorHAnsi"/>
          <w:szCs w:val="18"/>
        </w:rPr>
        <w:tab/>
        <w:t xml:space="preserve">audyty certyfikacyjne są przeprowadzane zgodnie z wymaganiami określonymi </w:t>
      </w:r>
      <w:r w:rsidR="00C81356" w:rsidRPr="009E064B">
        <w:rPr>
          <w:rFonts w:asciiTheme="minorHAnsi" w:eastAsia="Calibri" w:hAnsiTheme="minorHAnsi" w:cstheme="minorHAnsi"/>
          <w:szCs w:val="18"/>
        </w:rPr>
        <w:br/>
      </w:r>
      <w:r w:rsidRPr="009E064B">
        <w:rPr>
          <w:rFonts w:asciiTheme="minorHAnsi" w:eastAsia="Calibri" w:hAnsiTheme="minorHAnsi" w:cstheme="minorHAnsi"/>
          <w:szCs w:val="18"/>
        </w:rPr>
        <w:t>w </w:t>
      </w:r>
      <w:hyperlink w:anchor="_ZAŁĄCZNIK_III_—" w:history="1">
        <w:r w:rsidRPr="009E064B">
          <w:rPr>
            <w:rStyle w:val="Hipercze"/>
            <w:rFonts w:asciiTheme="minorHAnsi" w:eastAsia="Calibri" w:hAnsiTheme="minorHAnsi" w:cstheme="minorHAnsi"/>
            <w:szCs w:val="18"/>
          </w:rPr>
          <w:t>Części ADR.OR</w:t>
        </w:r>
      </w:hyperlink>
      <w:r w:rsidRPr="009E064B">
        <w:rPr>
          <w:rFonts w:asciiTheme="minorHAnsi" w:eastAsia="Calibri" w:hAnsiTheme="minorHAnsi" w:cstheme="minorHAnsi"/>
          <w:szCs w:val="18"/>
        </w:rPr>
        <w:t xml:space="preserve">, </w:t>
      </w:r>
      <w:hyperlink w:anchor="_ZAŁĄCZNIK_IV_—" w:history="1">
        <w:r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szCs w:val="18"/>
        </w:rPr>
        <w:t xml:space="preserve"> lub w innych przepisach, o ile mają zastosowanie;</w:t>
      </w:r>
    </w:p>
    <w:p w14:paraId="5CE53D76"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(4) </w:t>
      </w:r>
      <w:r w:rsidRPr="009E064B">
        <w:rPr>
          <w:rFonts w:asciiTheme="minorHAnsi" w:eastAsia="Calibri" w:hAnsiTheme="minorHAnsi" w:cstheme="minorHAnsi"/>
          <w:szCs w:val="18"/>
        </w:rPr>
        <w:tab/>
        <w:t>zakres takich audytów certyfikacyjnych może być łatwo porównany z zakresem nadzoru;</w:t>
      </w:r>
    </w:p>
    <w:p w14:paraId="6173CAA8"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(5) </w:t>
      </w:r>
      <w:r w:rsidRPr="009E064B">
        <w:rPr>
          <w:rFonts w:asciiTheme="minorHAnsi" w:eastAsia="Calibri" w:hAnsiTheme="minorHAnsi" w:cstheme="minorHAnsi"/>
          <w:szCs w:val="18"/>
        </w:rPr>
        <w:tab/>
        <w:t>wyniki audytu są dostępne dla właściwego organu; oraz</w:t>
      </w:r>
    </w:p>
    <w:p w14:paraId="3232735D"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(6) </w:t>
      </w:r>
      <w:r w:rsidRPr="009E064B">
        <w:rPr>
          <w:rFonts w:asciiTheme="minorHAnsi" w:eastAsia="Calibri" w:hAnsiTheme="minorHAnsi" w:cstheme="minorHAnsi"/>
          <w:szCs w:val="18"/>
        </w:rPr>
        <w:tab/>
        <w:t>przerwy w planowaniu audytów są kompatybilne z cyklem planowania nadzoru.</w:t>
      </w:r>
    </w:p>
    <w:p w14:paraId="54807294" w14:textId="0C7D95B8" w:rsidR="00E32CD3" w:rsidRPr="009E064B" w:rsidRDefault="00D01EBC" w:rsidP="00133B99">
      <w:pPr>
        <w:pStyle w:val="Nagwek6"/>
      </w:pPr>
      <w:bookmarkStart w:id="139" w:name="_Toc492024533"/>
      <w:bookmarkStart w:id="140" w:name="_Toc12532593"/>
      <w:r w:rsidRPr="009E064B">
        <w:t xml:space="preserve">GM2 ADR.AR.C.010(b)     </w:t>
      </w:r>
      <w:r w:rsidR="00E32CD3" w:rsidRPr="009E064B">
        <w:t>Program nadzoru</w:t>
      </w:r>
      <w:bookmarkEnd w:id="139"/>
      <w:bookmarkEnd w:id="140"/>
    </w:p>
    <w:p w14:paraId="5EB86FA8" w14:textId="2E2B81A0"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4A05C57"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SYTUACJA FINANSOWA</w:t>
      </w:r>
    </w:p>
    <w:p w14:paraId="77036D6A" w14:textId="77777777"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Przykładami trendów, które mogą wskazywać na problemy w sytuacji finansowej nowego operatora lotniska mogą być:</w:t>
      </w:r>
    </w:p>
    <w:p w14:paraId="5989665B"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znacząca ilość zwolnień lub rotacja personelu; zmniejszone zasoby personelu; zwiększona wielozadaniowość, zmiany schematów pracy zmianowej oraz wzrost wykonywanej pracy w nadgodzinach;</w:t>
      </w:r>
    </w:p>
    <w:p w14:paraId="07288BCD"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opóźnienia w realizacji płac;</w:t>
      </w:r>
    </w:p>
    <w:p w14:paraId="3987E9AD"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obniżenie bezpiecznych standardów prowadzonej działalności;</w:t>
      </w:r>
    </w:p>
    <w:p w14:paraId="2E1C6026"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obniżenie standardów prowadzonych szkoleń;</w:t>
      </w:r>
    </w:p>
    <w:p w14:paraId="11A16487"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(e) </w:t>
      </w:r>
      <w:r w:rsidRPr="009E064B">
        <w:rPr>
          <w:rFonts w:asciiTheme="minorHAnsi" w:eastAsia="Calibri" w:hAnsiTheme="minorHAnsi" w:cstheme="minorHAnsi"/>
          <w:szCs w:val="18"/>
        </w:rPr>
        <w:tab/>
        <w:t>cofnięcie kredytu przez dostawców;</w:t>
      </w:r>
    </w:p>
    <w:p w14:paraId="779A56E5"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(f) </w:t>
      </w:r>
      <w:r w:rsidRPr="009E064B">
        <w:rPr>
          <w:rFonts w:asciiTheme="minorHAnsi" w:eastAsia="Calibri" w:hAnsiTheme="minorHAnsi" w:cstheme="minorHAnsi"/>
          <w:szCs w:val="18"/>
        </w:rPr>
        <w:tab/>
        <w:t>niewłaściwe utrzymanie i obsługa techniczna lotniska; oraz</w:t>
      </w:r>
    </w:p>
    <w:p w14:paraId="770496CF"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(g) </w:t>
      </w:r>
      <w:r w:rsidRPr="009E064B">
        <w:rPr>
          <w:rFonts w:asciiTheme="minorHAnsi" w:eastAsia="Calibri" w:hAnsiTheme="minorHAnsi" w:cstheme="minorHAnsi"/>
          <w:szCs w:val="18"/>
        </w:rPr>
        <w:tab/>
        <w:t>niedobór zaopatrzenia i części zamiennych.</w:t>
      </w:r>
    </w:p>
    <w:p w14:paraId="061A7AB7" w14:textId="69FDA1BD" w:rsidR="00E32CD3" w:rsidRPr="009E064B" w:rsidRDefault="00E32CD3" w:rsidP="00133B99">
      <w:pPr>
        <w:pStyle w:val="Nagwek6"/>
      </w:pPr>
      <w:bookmarkStart w:id="141" w:name="_Toc492024534"/>
      <w:bookmarkStart w:id="142" w:name="_Toc12532594"/>
      <w:r w:rsidRPr="009E064B">
        <w:t>GM3 ADR.AR.C.010(b)</w:t>
      </w:r>
      <w:r w:rsidR="00D01EBC" w:rsidRPr="009E064B">
        <w:t xml:space="preserve">     </w:t>
      </w:r>
      <w:r w:rsidRPr="009E064B">
        <w:t>Program nadzoru</w:t>
      </w:r>
      <w:bookmarkEnd w:id="141"/>
      <w:bookmarkEnd w:id="142"/>
    </w:p>
    <w:p w14:paraId="40E2672B" w14:textId="74666E64"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89CA84C"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PROCEDURY NADZORU NAD OPERATORAMI LOTNISK I INSTYTUCJAMI ZAPEWNIAJĄCYMI SŁUŻBĘ ZARZĄDZANIA PŁYTĄ POSTOJOWĄ</w:t>
      </w:r>
    </w:p>
    <w:p w14:paraId="3CF156FB" w14:textId="77777777"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Zwykle o inspekcjach, które są prowadzone przez właściwy organ, operator lotniska lub instytucja zapewniająca służbę zarządzania płytą postojową powinni być uprzednio powiadamiani.</w:t>
      </w:r>
    </w:p>
    <w:p w14:paraId="11A2C031" w14:textId="7818505D"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Takie powiadomienie powinno być udzielone na piśmie i w odpowiednio długim czasie przed inspekcją, aby inspekcjonowana jednostka mogła dokonać wszystkich niezbędn</w:t>
      </w:r>
      <w:r w:rsidR="00DE64A7" w:rsidRPr="009E064B">
        <w:rPr>
          <w:rFonts w:asciiTheme="minorHAnsi" w:eastAsia="Calibri" w:hAnsiTheme="minorHAnsi" w:cstheme="minorHAnsi"/>
          <w:szCs w:val="18"/>
        </w:rPr>
        <w:t>ych czynności organizacyjnych i </w:t>
      </w:r>
      <w:r w:rsidRPr="009E064B">
        <w:rPr>
          <w:rFonts w:asciiTheme="minorHAnsi" w:eastAsia="Calibri" w:hAnsiTheme="minorHAnsi" w:cstheme="minorHAnsi"/>
          <w:szCs w:val="18"/>
        </w:rPr>
        <w:t>przygotowań, oraz aby uniknąć zakłóceń w normalnej działalności.</w:t>
      </w:r>
    </w:p>
    <w:p w14:paraId="2BB3C595" w14:textId="77777777"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W przypadku prowadzenia inspekcji bez uprzedzenia (inspekcji niezapowiedzianych), inspektorzy lotniskowi powinni zapewnić, że wpływ na normalną działalność będzie ograniczony do niezbędnego minimum.</w:t>
      </w:r>
    </w:p>
    <w:p w14:paraId="2AAFBE4C" w14:textId="11E327FE" w:rsidR="00DC7DA6" w:rsidRPr="009E064B" w:rsidRDefault="00DE05DC" w:rsidP="00B06A9A">
      <w:pPr>
        <w:pStyle w:val="Nagwek3"/>
      </w:pPr>
      <w:bookmarkStart w:id="143" w:name="_ADR.AR.C.015__"/>
      <w:bookmarkStart w:id="144" w:name="_Toc12532595"/>
      <w:bookmarkEnd w:id="143"/>
      <w:r w:rsidRPr="009E064B">
        <w:t xml:space="preserve">ADR.AR.C.015 </w:t>
      </w:r>
      <w:r w:rsidR="00D01EBC" w:rsidRPr="009E064B">
        <w:t xml:space="preserve">    </w:t>
      </w:r>
      <w:r w:rsidRPr="009E064B">
        <w:t>Rozpoczęcie procesu certyfikacji</w:t>
      </w:r>
      <w:bookmarkEnd w:id="144"/>
    </w:p>
    <w:p w14:paraId="332422EE" w14:textId="57C2C883"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C5CDC95" w14:textId="1FFC0C1B"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Po otrzymaniu wniosku o pierwsze wydanie certyfikatu </w:t>
      </w:r>
      <w:r w:rsidR="00DE64A7" w:rsidRPr="009E064B">
        <w:rPr>
          <w:rFonts w:asciiTheme="minorHAnsi" w:hAnsiTheme="minorHAnsi" w:cstheme="minorHAnsi"/>
          <w:sz w:val="22"/>
          <w:szCs w:val="20"/>
        </w:rPr>
        <w:t>właściwy organ ocenia wniosek i </w:t>
      </w:r>
      <w:r w:rsidR="00DE05DC" w:rsidRPr="009E064B">
        <w:rPr>
          <w:rFonts w:asciiTheme="minorHAnsi" w:hAnsiTheme="minorHAnsi" w:cstheme="minorHAnsi"/>
          <w:sz w:val="22"/>
          <w:szCs w:val="20"/>
        </w:rPr>
        <w:t>sprawdza, czy spełnione są stosowne wymagania.</w:t>
      </w:r>
    </w:p>
    <w:p w14:paraId="6186E49E" w14:textId="73108F95"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 istniejącego lotniska właściwy organ określa warunki, zgodnie z któr</w:t>
      </w:r>
      <w:r w:rsidR="00C57ED3" w:rsidRPr="009E064B">
        <w:rPr>
          <w:rFonts w:asciiTheme="minorHAnsi" w:hAnsiTheme="minorHAnsi" w:cstheme="minorHAnsi"/>
          <w:sz w:val="22"/>
          <w:szCs w:val="20"/>
        </w:rPr>
        <w:t>ymi operator lotniska ma prowa</w:t>
      </w:r>
      <w:r w:rsidR="00DE05DC" w:rsidRPr="009E064B">
        <w:rPr>
          <w:rFonts w:asciiTheme="minorHAnsi" w:hAnsiTheme="minorHAnsi" w:cstheme="minorHAnsi"/>
          <w:sz w:val="22"/>
          <w:szCs w:val="20"/>
        </w:rPr>
        <w:t>dzić działalność w okresie certyfikacji, chyba że właściwy organ ustali, że działalność tego lotniska należy zawiesić. Właściwy organ</w:t>
      </w:r>
      <w:r w:rsidR="00DE64A7" w:rsidRPr="009E064B">
        <w:rPr>
          <w:rFonts w:asciiTheme="minorHAnsi" w:hAnsiTheme="minorHAnsi" w:cstheme="minorHAnsi"/>
          <w:sz w:val="22"/>
          <w:szCs w:val="20"/>
        </w:rPr>
        <w:t xml:space="preserve"> informuje operatora lotniska o </w:t>
      </w:r>
      <w:r w:rsidR="00DE05DC" w:rsidRPr="009E064B">
        <w:rPr>
          <w:rFonts w:asciiTheme="minorHAnsi" w:hAnsiTheme="minorHAnsi" w:cstheme="minorHAnsi"/>
          <w:sz w:val="22"/>
          <w:szCs w:val="20"/>
        </w:rPr>
        <w:t>oczekiwanym terminarzu procesu certyfikacyjneg</w:t>
      </w:r>
      <w:r w:rsidR="00F809D7" w:rsidRPr="009E064B">
        <w:rPr>
          <w:rFonts w:asciiTheme="minorHAnsi" w:hAnsiTheme="minorHAnsi" w:cstheme="minorHAnsi"/>
          <w:sz w:val="22"/>
          <w:szCs w:val="20"/>
        </w:rPr>
        <w:t>o i przeprowadza certyfikację w </w:t>
      </w:r>
      <w:r w:rsidR="00DE05DC" w:rsidRPr="009E064B">
        <w:rPr>
          <w:rFonts w:asciiTheme="minorHAnsi" w:hAnsiTheme="minorHAnsi" w:cstheme="minorHAnsi"/>
          <w:sz w:val="22"/>
          <w:szCs w:val="20"/>
        </w:rPr>
        <w:t>najkrótszym możliwym terminie.</w:t>
      </w:r>
    </w:p>
    <w:p w14:paraId="0EFD6CD9" w14:textId="2A8765E9"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c)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ustanawia podstawę certyfikacji i powiadami</w:t>
      </w:r>
      <w:r w:rsidR="00DE64A7" w:rsidRPr="009E064B">
        <w:rPr>
          <w:rFonts w:asciiTheme="minorHAnsi" w:hAnsiTheme="minorHAnsi" w:cstheme="minorHAnsi"/>
          <w:sz w:val="22"/>
          <w:szCs w:val="20"/>
        </w:rPr>
        <w:t>a o niej wnioskodawcę zgodnie z </w:t>
      </w:r>
      <w:hyperlink w:anchor="_ADR.AR.C.020__" w:history="1">
        <w:r w:rsidR="00DE05DC" w:rsidRPr="009E064B">
          <w:rPr>
            <w:rStyle w:val="Hipercze"/>
            <w:rFonts w:asciiTheme="minorHAnsi" w:hAnsiTheme="minorHAnsi" w:cstheme="minorHAnsi"/>
            <w:sz w:val="22"/>
            <w:szCs w:val="20"/>
          </w:rPr>
          <w:t>ADR.AR.C.020</w:t>
        </w:r>
      </w:hyperlink>
      <w:r w:rsidR="00DE05DC" w:rsidRPr="009E064B">
        <w:rPr>
          <w:rFonts w:asciiTheme="minorHAnsi" w:hAnsiTheme="minorHAnsi" w:cstheme="minorHAnsi"/>
          <w:sz w:val="22"/>
          <w:szCs w:val="20"/>
        </w:rPr>
        <w:t>.</w:t>
      </w:r>
    </w:p>
    <w:p w14:paraId="2B458671" w14:textId="03655823" w:rsidR="00E32CD3" w:rsidRPr="009E064B" w:rsidRDefault="00E32CD3" w:rsidP="00133B99">
      <w:pPr>
        <w:pStyle w:val="Nagwek5"/>
      </w:pPr>
      <w:bookmarkStart w:id="145" w:name="_Toc492024535"/>
      <w:bookmarkStart w:id="146" w:name="_Toc12532596"/>
      <w:r w:rsidRPr="009E064B">
        <w:t xml:space="preserve">AMC1 ADR.AR.C.015(a) </w:t>
      </w:r>
      <w:r w:rsidR="00D01EBC" w:rsidRPr="009E064B">
        <w:t xml:space="preserve">    </w:t>
      </w:r>
      <w:r w:rsidRPr="009E064B">
        <w:t>Rozpoczęcie procesu certyfikacji</w:t>
      </w:r>
      <w:bookmarkEnd w:id="145"/>
      <w:bookmarkEnd w:id="146"/>
    </w:p>
    <w:p w14:paraId="25436D13" w14:textId="1FF90635"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6BC4B72" w14:textId="77777777" w:rsidR="00E32CD3" w:rsidRPr="009E064B" w:rsidRDefault="00E32CD3" w:rsidP="00DE64A7">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ROZPATRYWANIE WNIOSKU</w:t>
      </w:r>
    </w:p>
    <w:p w14:paraId="20A70A37" w14:textId="078BBBF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Po otrzymaniu wniosku, właściwy organ powinien potwierdzić otrzym</w:t>
      </w:r>
      <w:r w:rsidR="00DE64A7" w:rsidRPr="009E064B">
        <w:rPr>
          <w:rFonts w:asciiTheme="minorHAnsi" w:eastAsia="Calibri" w:hAnsiTheme="minorHAnsi" w:cstheme="minorHAnsi"/>
          <w:szCs w:val="18"/>
        </w:rPr>
        <w:t>anie tego wniosku, na piśmie, w </w:t>
      </w:r>
      <w:r w:rsidRPr="009E064B">
        <w:rPr>
          <w:rFonts w:asciiTheme="minorHAnsi" w:eastAsia="Calibri" w:hAnsiTheme="minorHAnsi" w:cstheme="minorHAnsi"/>
          <w:szCs w:val="18"/>
        </w:rPr>
        <w:t>terminie określonym w obowiązujących przepisach prawa krajowego.</w:t>
      </w:r>
    </w:p>
    <w:p w14:paraId="433FA37E"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Jeżeli właściwy organ przewiduje opóźnienie w rozpatrzeniu wniosku, powinien zawiadomić o tym wnioskodawcę, tak szybko jak to możliwe, w terminie określonym w obowiązujących przepisach prawa krajowego.</w:t>
      </w:r>
    </w:p>
    <w:p w14:paraId="7B6FE57F"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Właściwy organ powinien reagować na każde zapytanie złożone przez wnioskodawcę w terminie określonym w obowiązujących przepisach prawa krajowego.</w:t>
      </w:r>
    </w:p>
    <w:p w14:paraId="0EC43958"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Jeśli wnioskodawca nie przedstawi wszystkich niezbędnych dokumentów, właściwy organ powinien poinformować go o tym fakcie, w formie pisemnej, w terminie określonym w obowiązujących przepisach prawa krajowego.</w:t>
      </w:r>
    </w:p>
    <w:p w14:paraId="18D8905B" w14:textId="0F1E5FC7" w:rsidR="00E32CD3" w:rsidRPr="009E064B" w:rsidRDefault="00E32CD3" w:rsidP="00133B99">
      <w:pPr>
        <w:pStyle w:val="Nagwek5"/>
      </w:pPr>
      <w:bookmarkStart w:id="147" w:name="_Toc492024536"/>
      <w:bookmarkStart w:id="148" w:name="_Toc12532597"/>
      <w:r w:rsidRPr="009E064B">
        <w:t xml:space="preserve">AMC1 ADR.AR.C.015(c) </w:t>
      </w:r>
      <w:r w:rsidR="00D01EBC" w:rsidRPr="009E064B">
        <w:t xml:space="preserve">    </w:t>
      </w:r>
      <w:r w:rsidRPr="009E064B">
        <w:t>Rozpoczęcie procesu certyfikacji</w:t>
      </w:r>
      <w:bookmarkEnd w:id="147"/>
      <w:bookmarkEnd w:id="148"/>
    </w:p>
    <w:p w14:paraId="4726AD0E" w14:textId="2F80B4BA"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1C9BC31" w14:textId="77777777" w:rsidR="00E32CD3" w:rsidRPr="009E064B" w:rsidRDefault="00E32CD3" w:rsidP="00DE64A7">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USTANOWIENIE I INFORMOWANIE O PODSTAWIE CERTYFIKACJI — OKREŚLENIE WYSOKOŚCI LATARNI LOTNICZYCH</w:t>
      </w:r>
    </w:p>
    <w:p w14:paraId="23456FEE" w14:textId="323E57D6"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Jeśli latarnie lotnicze są niezbędne ze względów operacyjnych, właściwy organ powinien zapewnić, że określono odpowiednią wysokość, która jest wystarczająca dla pionowej dystrybucji światła latarni lotniskowej lub latarni ide</w:t>
      </w:r>
      <w:r w:rsidR="005279DB" w:rsidRPr="009E064B">
        <w:rPr>
          <w:rFonts w:asciiTheme="minorHAnsi" w:eastAsia="Calibri" w:hAnsiTheme="minorHAnsi" w:cstheme="minorHAnsi"/>
          <w:szCs w:val="18"/>
        </w:rPr>
        <w:t xml:space="preserve">ntyfikacyjnej, jak opisano w </w:t>
      </w:r>
      <w:hyperlink w:anchor="_CS_ADR-DSN.M.620_" w:history="1">
        <w:r w:rsidR="005279DB" w:rsidRPr="009E064B">
          <w:rPr>
            <w:rStyle w:val="Hipercze"/>
            <w:rFonts w:asciiTheme="minorHAnsi" w:eastAsia="Calibri" w:hAnsiTheme="minorHAnsi" w:cstheme="minorHAnsi"/>
            <w:szCs w:val="18"/>
          </w:rPr>
          <w:t>CS </w:t>
        </w:r>
        <w:r w:rsidRPr="009E064B">
          <w:rPr>
            <w:rStyle w:val="Hipercze"/>
            <w:rFonts w:asciiTheme="minorHAnsi" w:eastAsia="Calibri" w:hAnsiTheme="minorHAnsi" w:cstheme="minorHAnsi"/>
            <w:szCs w:val="18"/>
          </w:rPr>
          <w:t>ADR-DSN.M.620</w:t>
        </w:r>
      </w:hyperlink>
      <w:r w:rsidRPr="009E064B">
        <w:rPr>
          <w:rFonts w:asciiTheme="minorHAnsi" w:eastAsia="Calibri" w:hAnsiTheme="minorHAnsi" w:cstheme="minorHAnsi"/>
          <w:szCs w:val="18"/>
        </w:rPr>
        <w:t>.</w:t>
      </w:r>
    </w:p>
    <w:p w14:paraId="39E3C5EB" w14:textId="4CE56EC5" w:rsidR="00E32CD3" w:rsidRPr="009E064B" w:rsidRDefault="00D01EBC" w:rsidP="00133B99">
      <w:pPr>
        <w:pStyle w:val="Nagwek5"/>
      </w:pPr>
      <w:bookmarkStart w:id="149" w:name="_AMC2_ADR.AR.C.015(C)_"/>
      <w:bookmarkStart w:id="150" w:name="_Toc492024537"/>
      <w:bookmarkStart w:id="151" w:name="_Toc12532598"/>
      <w:bookmarkEnd w:id="149"/>
      <w:r w:rsidRPr="009E064B">
        <w:t xml:space="preserve">AMC2 ADR.AR.C.015(C)     </w:t>
      </w:r>
      <w:r w:rsidR="00E32CD3" w:rsidRPr="009E064B">
        <w:t>Rozpoczęcie procesu certyfikacji</w:t>
      </w:r>
      <w:bookmarkEnd w:id="150"/>
      <w:bookmarkEnd w:id="151"/>
    </w:p>
    <w:p w14:paraId="722C94A5" w14:textId="073FB2AB" w:rsidR="00BC426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34F7AB3" w14:textId="77777777" w:rsidR="00E32CD3" w:rsidRPr="009E064B" w:rsidRDefault="00E32CD3" w:rsidP="00DE64A7">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USTANOWIENIE I INFORMOWANIE O PODSTAWIE CERTYFIKACJI</w:t>
      </w:r>
    </w:p>
    <w:p w14:paraId="0B22E924" w14:textId="0225C105"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 xml:space="preserve">Po otrzymaniu wniosku, właściwy organ powinien zbadać i ocenić zawartość wniosku i związanej z nim dokumentacji, w tym proponowane specyfikacje certyfikacyjne i wszelkie przepisy, których przestrzegania proponuje się dowieść w inny sposób zapewniający równoważny poziom bezpieczeństwa. (Patrz również </w:t>
      </w:r>
      <w:hyperlink w:anchor="_AMC1_ADR.AR.C.035(c)_" w:history="1">
        <w:r w:rsidRPr="009E064B">
          <w:rPr>
            <w:rStyle w:val="Hipercze"/>
            <w:rFonts w:asciiTheme="minorHAnsi" w:eastAsia="Calibri" w:hAnsiTheme="minorHAnsi" w:cstheme="minorHAnsi"/>
            <w:szCs w:val="18"/>
          </w:rPr>
          <w:t>AMC1</w:t>
        </w:r>
        <w:r w:rsidR="005279DB" w:rsidRPr="009E064B">
          <w:rPr>
            <w:rStyle w:val="Hipercze"/>
            <w:rFonts w:asciiTheme="minorHAnsi" w:eastAsia="Calibri" w:hAnsiTheme="minorHAnsi" w:cstheme="minorHAnsi"/>
            <w:szCs w:val="18"/>
          </w:rPr>
          <w:t> </w:t>
        </w:r>
        <w:r w:rsidRPr="009E064B">
          <w:rPr>
            <w:rStyle w:val="Hipercze"/>
            <w:rFonts w:asciiTheme="minorHAnsi" w:eastAsia="Calibri" w:hAnsiTheme="minorHAnsi" w:cstheme="minorHAnsi"/>
            <w:szCs w:val="18"/>
          </w:rPr>
          <w:t>ADR.AR.</w:t>
        </w:r>
        <w:r w:rsidR="00063FE3" w:rsidRPr="009E064B">
          <w:rPr>
            <w:rStyle w:val="Hipercze"/>
            <w:rFonts w:asciiTheme="minorHAnsi" w:eastAsia="Calibri" w:hAnsiTheme="minorHAnsi" w:cstheme="minorHAnsi"/>
            <w:szCs w:val="18"/>
          </w:rPr>
          <w:t>C.035(c)</w:t>
        </w:r>
      </w:hyperlink>
      <w:r w:rsidR="00063FE3" w:rsidRPr="009E064B">
        <w:rPr>
          <w:rFonts w:asciiTheme="minorHAnsi" w:eastAsia="Calibri" w:hAnsiTheme="minorHAnsi" w:cstheme="minorHAnsi"/>
          <w:szCs w:val="18"/>
        </w:rPr>
        <w:t xml:space="preserve"> lit. (a) pkt (2))</w:t>
      </w:r>
      <w:r w:rsidRPr="009E064B">
        <w:rPr>
          <w:rFonts w:asciiTheme="minorHAnsi" w:eastAsia="Calibri" w:hAnsiTheme="minorHAnsi" w:cstheme="minorHAnsi"/>
          <w:szCs w:val="18"/>
        </w:rPr>
        <w:t>.</w:t>
      </w:r>
    </w:p>
    <w:p w14:paraId="5556C1D3" w14:textId="6724E53D"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 xml:space="preserve">Właściwy organ powinien ustalić podstawę certyfikacji lotniska zgodnie z </w:t>
      </w:r>
      <w:hyperlink w:anchor="_ADR.AR.C.020__" w:history="1">
        <w:r w:rsidRPr="009E064B">
          <w:rPr>
            <w:rStyle w:val="Hipercze"/>
            <w:rFonts w:asciiTheme="minorHAnsi" w:eastAsia="Calibri" w:hAnsiTheme="minorHAnsi" w:cstheme="minorHAnsi"/>
            <w:szCs w:val="18"/>
          </w:rPr>
          <w:t>ADR.AR.C.020</w:t>
        </w:r>
      </w:hyperlink>
      <w:r w:rsidRPr="009E064B">
        <w:rPr>
          <w:rFonts w:asciiTheme="minorHAnsi" w:eastAsia="Calibri" w:hAnsiTheme="minorHAnsi" w:cstheme="minorHAnsi"/>
          <w:szCs w:val="18"/>
        </w:rPr>
        <w:t>;</w:t>
      </w:r>
    </w:p>
    <w:p w14:paraId="7C569AE2"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Właściwy organ powinien udokumentować i powiadomić wnioskodawcę o:</w:t>
      </w:r>
    </w:p>
    <w:p w14:paraId="2180CB23" w14:textId="750D573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 xml:space="preserve">podstawie certyfikacji ustanowionej, jak w </w:t>
      </w:r>
      <w:r w:rsidR="0077724D" w:rsidRPr="009E064B">
        <w:rPr>
          <w:rFonts w:asciiTheme="minorHAnsi" w:eastAsia="Calibri" w:hAnsiTheme="minorHAnsi" w:cstheme="minorHAnsi"/>
          <w:szCs w:val="18"/>
        </w:rPr>
        <w:t>li. </w:t>
      </w:r>
      <w:r w:rsidRPr="009E064B">
        <w:rPr>
          <w:rFonts w:asciiTheme="minorHAnsi" w:eastAsia="Calibri" w:hAnsiTheme="minorHAnsi" w:cstheme="minorHAnsi"/>
          <w:szCs w:val="18"/>
        </w:rPr>
        <w:t>(b) powyżej; oraz</w:t>
      </w:r>
    </w:p>
    <w:p w14:paraId="64FDBB14"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wszelkich do niej zmianach, w wyniku wejścia w życie specyfikacji certyfikacyjnych po powiadomieniu o podstawie certyfikacji, które wnioskodawca postanowił spełnić, lub właściwy organ stwierdził konieczność ich spełnienia, lub o dokonanych zmianach projektowych, wynikach demonstracji zgodności, nowych warunkach specjalnych, które właściwy organ uzna za konieczne, itp.</w:t>
      </w:r>
    </w:p>
    <w:p w14:paraId="74FEE566" w14:textId="01A25DEC"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Ponadto, właściwy organ powinien ocenić dokumenty ukazujące sposób, w jaki wnioskodawca proponuje (zamierza) stosować się do mających zastosowane wymagań</w:t>
      </w:r>
      <w:r w:rsidR="008C654E" w:rsidRPr="009E064B">
        <w:rPr>
          <w:rFonts w:asciiTheme="minorHAnsi" w:eastAsia="Calibri" w:hAnsiTheme="minorHAnsi" w:cstheme="minorHAnsi"/>
          <w:szCs w:val="18"/>
        </w:rPr>
        <w:t xml:space="preserve"> rozporządzenia (WE) 216/2008,</w:t>
      </w:r>
      <w:r w:rsidRPr="009E064B">
        <w:rPr>
          <w:rFonts w:asciiTheme="minorHAnsi" w:eastAsia="Calibri" w:hAnsiTheme="minorHAnsi" w:cstheme="minorHAnsi"/>
          <w:szCs w:val="18"/>
        </w:rPr>
        <w:t xml:space="preserve"> </w:t>
      </w:r>
      <w:hyperlink w:anchor="_ZAŁĄCZNIK_III_—" w:history="1">
        <w:r w:rsidR="00F809D7" w:rsidRPr="009E064B">
          <w:rPr>
            <w:rStyle w:val="Hipercze"/>
            <w:rFonts w:asciiTheme="minorHAnsi" w:eastAsia="Calibri" w:hAnsiTheme="minorHAnsi" w:cstheme="minorHAnsi"/>
            <w:szCs w:val="18"/>
          </w:rPr>
          <w:t>Części </w:t>
        </w:r>
        <w:r w:rsidRPr="009E064B">
          <w:rPr>
            <w:rStyle w:val="Hipercze"/>
            <w:rFonts w:asciiTheme="minorHAnsi" w:eastAsia="Calibri" w:hAnsiTheme="minorHAnsi" w:cstheme="minorHAnsi"/>
            <w:szCs w:val="18"/>
          </w:rPr>
          <w:t>ADR.OR</w:t>
        </w:r>
      </w:hyperlink>
      <w:r w:rsidR="008C654E" w:rsidRPr="009E064B">
        <w:rPr>
          <w:rFonts w:asciiTheme="minorHAnsi" w:eastAsia="Calibri" w:hAnsiTheme="minorHAnsi" w:cstheme="minorHAnsi"/>
          <w:szCs w:val="18"/>
        </w:rPr>
        <w:t xml:space="preserve"> i </w:t>
      </w:r>
      <w:hyperlink w:anchor="_ZAŁĄCZNIK_IV_—" w:history="1">
        <w:r w:rsidR="00F809D7" w:rsidRPr="009E064B">
          <w:rPr>
            <w:rStyle w:val="Hipercze"/>
            <w:rFonts w:asciiTheme="minorHAnsi" w:eastAsia="Calibri" w:hAnsiTheme="minorHAnsi" w:cstheme="minorHAnsi"/>
            <w:szCs w:val="18"/>
          </w:rPr>
          <w:t>Części </w:t>
        </w:r>
        <w:r w:rsidRPr="009E064B">
          <w:rPr>
            <w:rStyle w:val="Hipercze"/>
            <w:rFonts w:asciiTheme="minorHAnsi" w:eastAsia="Calibri" w:hAnsiTheme="minorHAnsi" w:cstheme="minorHAnsi"/>
            <w:szCs w:val="18"/>
          </w:rPr>
          <w:t>ADR.OPS</w:t>
        </w:r>
      </w:hyperlink>
      <w:r w:rsidRPr="009E064B">
        <w:rPr>
          <w:rFonts w:asciiTheme="minorHAnsi" w:eastAsia="Calibri" w:hAnsiTheme="minorHAnsi" w:cstheme="minorHAnsi"/>
          <w:szCs w:val="18"/>
        </w:rPr>
        <w:t>, oraz innych wymaga</w:t>
      </w:r>
      <w:r w:rsidR="00F809D7" w:rsidRPr="009E064B">
        <w:rPr>
          <w:rFonts w:asciiTheme="minorHAnsi" w:eastAsia="Calibri" w:hAnsiTheme="minorHAnsi" w:cstheme="minorHAnsi"/>
          <w:szCs w:val="18"/>
        </w:rPr>
        <w:t>ń związanych z </w:t>
      </w:r>
      <w:r w:rsidR="00DE64A7" w:rsidRPr="009E064B">
        <w:rPr>
          <w:rFonts w:asciiTheme="minorHAnsi" w:eastAsia="Calibri" w:hAnsiTheme="minorHAnsi" w:cstheme="minorHAnsi"/>
          <w:szCs w:val="18"/>
        </w:rPr>
        <w:t>projektowaniem i </w:t>
      </w:r>
      <w:r w:rsidRPr="009E064B">
        <w:rPr>
          <w:rFonts w:asciiTheme="minorHAnsi" w:eastAsia="Calibri" w:hAnsiTheme="minorHAnsi" w:cstheme="minorHAnsi"/>
          <w:szCs w:val="18"/>
        </w:rPr>
        <w:t>eksploatacją lotniska, które mają zastosowanie.</w:t>
      </w:r>
    </w:p>
    <w:p w14:paraId="71B372E9" w14:textId="0A8D047C"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(e) </w:t>
      </w:r>
      <w:r w:rsidRPr="009E064B">
        <w:rPr>
          <w:rFonts w:asciiTheme="minorHAnsi" w:eastAsia="Calibri" w:hAnsiTheme="minorHAnsi" w:cstheme="minorHAnsi"/>
          <w:szCs w:val="18"/>
        </w:rPr>
        <w:tab/>
        <w:t xml:space="preserve">Powiadamiając wnioskodawcę zgodnie z </w:t>
      </w:r>
      <w:r w:rsidR="0077724D" w:rsidRPr="009E064B">
        <w:rPr>
          <w:rFonts w:asciiTheme="minorHAnsi" w:eastAsia="Calibri" w:hAnsiTheme="minorHAnsi" w:cstheme="minorHAnsi"/>
          <w:szCs w:val="18"/>
        </w:rPr>
        <w:t>lit. </w:t>
      </w:r>
      <w:r w:rsidRPr="009E064B">
        <w:rPr>
          <w:rFonts w:asciiTheme="minorHAnsi" w:eastAsia="Calibri" w:hAnsiTheme="minorHAnsi" w:cstheme="minorHAnsi"/>
          <w:szCs w:val="18"/>
        </w:rPr>
        <w:t>(c), właściwy organ powinien również poinformować go o prawie do odwołania, jakie istnieje na mocy obowiązującego prawa krajowego.</w:t>
      </w:r>
    </w:p>
    <w:p w14:paraId="0C4C5467" w14:textId="77A32032" w:rsidR="00E32CD3" w:rsidRPr="009E064B" w:rsidRDefault="00E32CD3" w:rsidP="00133B99">
      <w:pPr>
        <w:pStyle w:val="Nagwek6"/>
      </w:pPr>
      <w:bookmarkStart w:id="152" w:name="_Toc492024538"/>
      <w:bookmarkStart w:id="153" w:name="_Toc12532599"/>
      <w:r w:rsidRPr="009E064B">
        <w:t>GM1 ADR.AR.C</w:t>
      </w:r>
      <w:r w:rsidR="00D01EBC" w:rsidRPr="009E064B">
        <w:t xml:space="preserve">.015     </w:t>
      </w:r>
      <w:r w:rsidRPr="009E064B">
        <w:t>Rozpoczęcie procesu certyfikacji</w:t>
      </w:r>
      <w:bookmarkEnd w:id="152"/>
      <w:bookmarkEnd w:id="153"/>
    </w:p>
    <w:p w14:paraId="674E9B5A" w14:textId="25FE2BCF"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DAAC4C7"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WSTĘPNE INFORMOWANIE</w:t>
      </w:r>
    </w:p>
    <w:p w14:paraId="2B4BF484"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Przed rozpoczęciem procesu wnioskowania o certyfikat, właściwy organ powinien zorganizować spotkanie z wnioskodawcą.</w:t>
      </w:r>
    </w:p>
    <w:p w14:paraId="1BF026D9"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Podczas tego spotkania, wnioskodawca powinien przedstawić organowi swoje plany dotyczące lotniska. Wnioskodawca powinien również tak zaplanować spotkanie, aby jego kluczowi pracownicy byli na nim obecni.</w:t>
      </w:r>
    </w:p>
    <w:p w14:paraId="670F23D4"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Ponadto, w trakcie tego spotkania, właściwy organ powinien przekazać wnioskodawcy ogólne informacje o mających zastosowanie wymogach dla lotniska. Powinien również dostarczyć kopie obowiązujących wymogów, formularze wniosków i inne stosowne dokumenty oraz zapoznać z procedurami, które są stosowane w procesie certyfikacji.</w:t>
      </w:r>
    </w:p>
    <w:p w14:paraId="4ADE636B"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Ww. informacje przekazywane przez właściwy organ mogą również zawierać informacje na temat zatwierdzeń, pozwoleń lub zezwoleń, które wnioskodawca powinien uzyskać od innych kompetentnych organów państwa przed lub w trakcie procesu certyfikacji (np. od właściwych władz odpowiedzialnych za bezpieczeństwo (ochronę) lub ochronę środowiska, władz lokalnych odpowiedzialnych za planowania ładu przestrzennego, itd.).</w:t>
      </w:r>
    </w:p>
    <w:p w14:paraId="5098CCD2"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Właściwy organ powinien dokonać ustaleń organizacyjnych, aby umożliwić uczestnictwo przedstawicieli wszystkich zaangażowanych jednostek właściwego organu(ów) w czasie tego spotkania.</w:t>
      </w:r>
    </w:p>
    <w:p w14:paraId="10F68309" w14:textId="6B5F02ED" w:rsidR="00E32CD3" w:rsidRPr="009E064B" w:rsidRDefault="00D01EBC" w:rsidP="00133B99">
      <w:pPr>
        <w:pStyle w:val="Nagwek6"/>
      </w:pPr>
      <w:bookmarkStart w:id="154" w:name="_Toc492024539"/>
      <w:bookmarkStart w:id="155" w:name="_Toc12532600"/>
      <w:r w:rsidRPr="009E064B">
        <w:t xml:space="preserve">GM1 ADR.AR.C.015(b)     </w:t>
      </w:r>
      <w:r w:rsidR="00E32CD3" w:rsidRPr="009E064B">
        <w:t>Rozpoczęcie procesu certyfikacji</w:t>
      </w:r>
      <w:bookmarkEnd w:id="154"/>
      <w:bookmarkEnd w:id="155"/>
    </w:p>
    <w:p w14:paraId="5C0DB594" w14:textId="393E768F"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4FBC948"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CERTYFIKACJA ISTNIEJĄCYCH LOTNISK</w:t>
      </w:r>
    </w:p>
    <w:p w14:paraId="1A6592D2"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Okres certyfikacji istniejącego lotniska nie powinien przekroczyć 18 miesięcy od złożenia wniosku przez wnioskodawcę do przyznania certyfikatu.</w:t>
      </w:r>
    </w:p>
    <w:p w14:paraId="45BE3697" w14:textId="29CEFC06" w:rsidR="00E32CD3" w:rsidRPr="009E064B" w:rsidRDefault="00D01EBC" w:rsidP="00133B99">
      <w:pPr>
        <w:pStyle w:val="Nagwek6"/>
      </w:pPr>
      <w:bookmarkStart w:id="156" w:name="_Toc492024540"/>
      <w:bookmarkStart w:id="157" w:name="_Toc12532601"/>
      <w:r w:rsidRPr="009E064B">
        <w:t xml:space="preserve">GM1 AD R.AR.C.015(c)     </w:t>
      </w:r>
      <w:r w:rsidR="00E32CD3" w:rsidRPr="009E064B">
        <w:t>Rozpoczęcie procesu certyfikacji</w:t>
      </w:r>
      <w:bookmarkEnd w:id="156"/>
      <w:bookmarkEnd w:id="157"/>
    </w:p>
    <w:p w14:paraId="2D411074" w14:textId="664267E8"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4210490"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USTANOWIENIE I INFORMOWANIE O PODSTAWIE CERTYFIKACJI</w:t>
      </w:r>
    </w:p>
    <w:p w14:paraId="71B8DAA8"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Ustanowienie podstawy certyfikacji oznacza proces, na początku którego wnioskodawca proponuje specyfikacje certyfikacyjne mające zastosowanie na lotnisku, a właściwy organ ustala końcowy zbiór wszystkich specyfikacji certyfikacyjnych mających zastosowanie. Oznacza to, że właściwy organ może zmienić, a także dodać dodatkowe specyfikacje certyfikacyjne do propozycji wnioskodawcy. Jest to typowy powtarzający się proces.</w:t>
      </w:r>
    </w:p>
    <w:p w14:paraId="5BA950C5" w14:textId="2243307D" w:rsidR="00DC7DA6" w:rsidRPr="009E064B" w:rsidRDefault="004B5157" w:rsidP="00B06A9A">
      <w:pPr>
        <w:pStyle w:val="Nagwek3"/>
      </w:pPr>
      <w:bookmarkStart w:id="158" w:name="_ADR.AR.C.020__"/>
      <w:bookmarkStart w:id="159" w:name="_Toc12532602"/>
      <w:bookmarkEnd w:id="158"/>
      <w:r w:rsidRPr="009E064B">
        <w:t xml:space="preserve">ADR.AR.C.020 </w:t>
      </w:r>
      <w:r w:rsidR="00D01EBC" w:rsidRPr="009E064B">
        <w:t xml:space="preserve">    </w:t>
      </w:r>
      <w:r w:rsidR="00351749" w:rsidRPr="009E064B">
        <w:t xml:space="preserve">Podstawa </w:t>
      </w:r>
      <w:r w:rsidR="00DE05DC" w:rsidRPr="009E064B">
        <w:t>certyfikacji</w:t>
      </w:r>
      <w:bookmarkEnd w:id="159"/>
    </w:p>
    <w:p w14:paraId="098C8B95" w14:textId="5B3DCE01"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FD389D3"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Właściwy organ ustanawia podstawę certyfikacji i powiadamia o niej wnioskodawcę. Podstawa ta musi zawierać:</w:t>
      </w:r>
    </w:p>
    <w:p w14:paraId="215B546C" w14:textId="5574559C" w:rsidR="00DC7DA6" w:rsidRPr="009E064B" w:rsidRDefault="00296C93"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specyfikacje certyfikacyjne wydane przez Agencję i uznane przez właściwy organ za stosowne do projektu i rodzaju operacji lotniska, które obowiązują od daty złożenia wniosku o wydanie certyfikatu, chyba że:</w:t>
      </w:r>
    </w:p>
    <w:p w14:paraId="47C274F2" w14:textId="3F552206" w:rsidR="00DC7DA6" w:rsidRPr="009E064B" w:rsidRDefault="00296C93"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w:t>
      </w:r>
      <w:r w:rsidR="00B9208B" w:rsidRPr="009E064B">
        <w:rPr>
          <w:rFonts w:asciiTheme="minorHAnsi" w:eastAsia="Times New Roman" w:hAnsiTheme="minorHAnsi" w:cstheme="minorHAnsi"/>
          <w:szCs w:val="20"/>
        </w:rPr>
        <w:t>nioskodawca wybierze zgodność z</w:t>
      </w:r>
      <w:r w:rsidR="00DE05DC" w:rsidRPr="009E064B">
        <w:rPr>
          <w:rFonts w:asciiTheme="minorHAnsi" w:eastAsia="Times New Roman" w:hAnsiTheme="minorHAnsi" w:cstheme="minorHAnsi"/>
          <w:szCs w:val="20"/>
        </w:rPr>
        <w:t xml:space="preserve"> późniejszymi obowiązującymi zmianami; lub</w:t>
      </w:r>
    </w:p>
    <w:p w14:paraId="0A0D4D39" w14:textId="18B3E738" w:rsidR="00DC7DA6" w:rsidRPr="009E064B" w:rsidRDefault="00296C93" w:rsidP="003A0C53">
      <w:pPr>
        <w:tabs>
          <w:tab w:val="left" w:pos="993"/>
        </w:tabs>
        <w:spacing w:after="80"/>
        <w:ind w:left="99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uzna, że zgodność z takimi późniejszymi obowiązującymi zmianami jest niezbędna;</w:t>
      </w:r>
    </w:p>
    <w:p w14:paraId="636B1ED6" w14:textId="77777777" w:rsidR="003A0C53" w:rsidRPr="009E064B" w:rsidRDefault="003A0C53" w:rsidP="00C81356">
      <w:pPr>
        <w:tabs>
          <w:tab w:val="left" w:pos="567"/>
        </w:tabs>
        <w:spacing w:after="40"/>
        <w:ind w:left="567" w:hanging="425"/>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B582700" w14:textId="6E29BF93" w:rsidR="00DC7DA6" w:rsidRPr="009E064B" w:rsidRDefault="00296C93"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5C6FAE" w:rsidRPr="009E064B">
        <w:rPr>
          <w:rFonts w:asciiTheme="minorHAnsi" w:hAnsiTheme="minorHAnsi" w:cstheme="minorHAnsi"/>
          <w:sz w:val="22"/>
          <w:szCs w:val="20"/>
        </w:rPr>
        <w:tab/>
      </w:r>
      <w:r w:rsidR="009B2533" w:rsidRPr="009E064B">
        <w:rPr>
          <w:rFonts w:asciiTheme="minorHAnsi" w:hAnsiTheme="minorHAnsi" w:cstheme="minorHAnsi"/>
          <w:sz w:val="22"/>
          <w:szCs w:val="20"/>
        </w:rPr>
        <w:t xml:space="preserve">wszelkie przepisy, w </w:t>
      </w:r>
      <w:r w:rsidR="00DE05DC" w:rsidRPr="009E064B">
        <w:rPr>
          <w:rFonts w:asciiTheme="minorHAnsi" w:hAnsiTheme="minorHAnsi" w:cstheme="minorHAnsi"/>
          <w:sz w:val="22"/>
          <w:szCs w:val="20"/>
        </w:rPr>
        <w:t>odniesieniu do których właściwy organ zaakceptował równoważny poziom bezpieczeństwa, jaki wnioskodawca jest zobowiązany wykazać; oraz</w:t>
      </w:r>
    </w:p>
    <w:p w14:paraId="422ED3EB" w14:textId="77777777" w:rsidR="003A0C53" w:rsidRPr="009E064B" w:rsidRDefault="003A0C53" w:rsidP="00C81356">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3FDCF3AE" w14:textId="560D9903" w:rsidR="00DC7DA6" w:rsidRPr="009E064B" w:rsidRDefault="00296C93"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c)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wszelkie specjalne warunki określone zgodnie z </w:t>
      </w:r>
      <w:hyperlink w:anchor="_ADR.AR.C.025__" w:history="1">
        <w:r w:rsidR="00DE05DC" w:rsidRPr="009E064B">
          <w:rPr>
            <w:rStyle w:val="Hipercze"/>
            <w:rFonts w:asciiTheme="minorHAnsi" w:hAnsiTheme="minorHAnsi" w:cstheme="minorHAnsi"/>
            <w:sz w:val="22"/>
            <w:szCs w:val="20"/>
          </w:rPr>
          <w:t>ADR.AR.C.025</w:t>
        </w:r>
      </w:hyperlink>
      <w:r w:rsidR="00DE05DC" w:rsidRPr="009E064B">
        <w:rPr>
          <w:rFonts w:asciiTheme="minorHAnsi" w:hAnsiTheme="minorHAnsi" w:cstheme="minorHAnsi"/>
          <w:sz w:val="22"/>
          <w:szCs w:val="20"/>
        </w:rPr>
        <w:t>, które właściwy organ uznał za konieczny element podstawy certyfikacji.</w:t>
      </w:r>
    </w:p>
    <w:p w14:paraId="1A7D3B65" w14:textId="003B3389" w:rsidR="00E32CD3" w:rsidRPr="009E064B" w:rsidRDefault="00DC6886" w:rsidP="00133B99">
      <w:pPr>
        <w:pStyle w:val="Nagwek5"/>
      </w:pPr>
      <w:bookmarkStart w:id="160" w:name="_Toc492024541"/>
      <w:bookmarkStart w:id="161" w:name="_Toc12532603"/>
      <w:r w:rsidRPr="009E064B">
        <w:t>AMC1 ADR.AR.C</w:t>
      </w:r>
      <w:r w:rsidR="00D01EBC" w:rsidRPr="009E064B">
        <w:t xml:space="preserve">.020(a)     </w:t>
      </w:r>
      <w:r w:rsidR="00E32CD3" w:rsidRPr="009E064B">
        <w:t>Podstawa certyfikacji</w:t>
      </w:r>
      <w:bookmarkEnd w:id="160"/>
      <w:bookmarkEnd w:id="161"/>
    </w:p>
    <w:p w14:paraId="515C5BB8" w14:textId="4D513FD9"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378D5D"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OBOWIĄZUJĄCE SPECYFIKACJE CERTYFIKACYJNE</w:t>
      </w:r>
    </w:p>
    <w:p w14:paraId="71371BB9"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Właściwy organ powinien użyć do ustalenia i powiadomienia wnioskodawcy o podstawie certyfikacji tych specyfikacji certyfikacyjnych, które obowiązywały w dniu złożenia wniosku.</w:t>
      </w:r>
    </w:p>
    <w:p w14:paraId="6A2F7A78" w14:textId="0CF88D8A" w:rsidR="00E32CD3" w:rsidRPr="009E064B" w:rsidRDefault="00E32CD3" w:rsidP="00B06A9A">
      <w:pPr>
        <w:widowControl/>
        <w:tabs>
          <w:tab w:val="left" w:pos="567"/>
        </w:tabs>
        <w:spacing w:before="120"/>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Niezależnie od postanowień </w:t>
      </w:r>
      <w:r w:rsidR="0077724D" w:rsidRPr="009E064B">
        <w:rPr>
          <w:rFonts w:asciiTheme="minorHAnsi" w:eastAsia="Calibri" w:hAnsiTheme="minorHAnsi" w:cstheme="minorHAnsi"/>
        </w:rPr>
        <w:t>lit. </w:t>
      </w:r>
      <w:r w:rsidRPr="009E064B">
        <w:rPr>
          <w:rFonts w:asciiTheme="minorHAnsi" w:eastAsia="Calibri" w:hAnsiTheme="minorHAnsi" w:cstheme="minorHAnsi"/>
        </w:rPr>
        <w:t>(a) powyżej, jeżeli w dowolnym punkcie procesu certyfikacji wnioskodawca zwróci się z prośbą o użycie specyfikacji certyfikacyjnych, które weszły w życie po złożeniu wniosku lub otrzymaniu zawiadomienia od właściwego organu o podstawie certyfikacji, wtedy właściwy organ powinien zbadać, czy konieczne jest także włączenie do podstawy certyfikacji innych specyfikacji certyfikacyjnych, które również weszły w życie po złożeniu pierwszego wniosku, i które w opinii właściwego organu, są bezpośrednio związane ze specyfikacjami certyfikacyjnymi zaproponowanymi przez wnioskodawcę.</w:t>
      </w:r>
    </w:p>
    <w:p w14:paraId="3A7A4DF2" w14:textId="5982F668" w:rsidR="00DE64A7" w:rsidRPr="009E064B" w:rsidRDefault="00E32CD3" w:rsidP="00B06A9A">
      <w:pPr>
        <w:widowControl/>
        <w:tabs>
          <w:tab w:val="left" w:pos="567"/>
        </w:tabs>
        <w:spacing w:before="120"/>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Niezależnie od postanowień </w:t>
      </w:r>
      <w:r w:rsidR="0077724D" w:rsidRPr="009E064B">
        <w:rPr>
          <w:rFonts w:asciiTheme="minorHAnsi" w:eastAsia="Calibri" w:hAnsiTheme="minorHAnsi" w:cstheme="minorHAnsi"/>
        </w:rPr>
        <w:t>w lit. </w:t>
      </w:r>
      <w:r w:rsidRPr="009E064B">
        <w:rPr>
          <w:rFonts w:asciiTheme="minorHAnsi" w:eastAsia="Calibri" w:hAnsiTheme="minorHAnsi" w:cstheme="minorHAnsi"/>
        </w:rPr>
        <w:t>(a) i (b) powyżej, właściwy organ może w dowolnym momencie, po złożeniu wniosku, podjąć decyzję o włączeniu do podstawy certyfikacji jakichkolwiek specyfikacji certyfikacyjnych, które uzna za konieczne.</w:t>
      </w:r>
    </w:p>
    <w:p w14:paraId="010D1C87" w14:textId="636D45A9" w:rsidR="00E32CD3" w:rsidRPr="009E064B" w:rsidRDefault="00E32CD3" w:rsidP="00133B99">
      <w:pPr>
        <w:pStyle w:val="Nagwek5"/>
      </w:pPr>
      <w:bookmarkStart w:id="162" w:name="_Toc492024542"/>
      <w:bookmarkStart w:id="163" w:name="_Toc12532604"/>
      <w:r w:rsidRPr="009E064B">
        <w:t xml:space="preserve">AMC1 ADR.AR.C.020(b);(c)    </w:t>
      </w:r>
      <w:r w:rsidR="00D01EBC" w:rsidRPr="009E064B">
        <w:t xml:space="preserve"> </w:t>
      </w:r>
      <w:r w:rsidRPr="009E064B">
        <w:t>Podstawa certyfikacji</w:t>
      </w:r>
      <w:bookmarkEnd w:id="162"/>
      <w:bookmarkEnd w:id="163"/>
    </w:p>
    <w:p w14:paraId="6F0C11D3" w14:textId="1F1BAA5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D14C0FE" w14:textId="77777777" w:rsidR="00E32CD3" w:rsidRPr="009E064B" w:rsidRDefault="00E32CD3" w:rsidP="00DE64A7">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PRZYPADKI RÓWNOWAŻNEGO POZIOMU BEZPIECZEŃSTWA I WARUNKI SPECJALNE</w:t>
      </w:r>
    </w:p>
    <w:p w14:paraId="603CA085" w14:textId="0DC1175C"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Przy podejmowaniu decyzji dotyczących przypadków równoważnego poziomu bezpieczeństwa lub warunków specjalnych i ich odpowiedniego materiału stanowiącego uzasadnienie, właściwy organ może wziąć pod uwagę, czy którakolwiek z obowiązujących specyfikacji certyfikacyjnych porównuje się do standardów lub zalecanych praktyk i ich różnych skutków pr</w:t>
      </w:r>
      <w:r w:rsidR="008C654E" w:rsidRPr="009E064B">
        <w:rPr>
          <w:rFonts w:asciiTheme="minorHAnsi" w:eastAsia="Calibri" w:hAnsiTheme="minorHAnsi" w:cstheme="minorHAnsi"/>
          <w:szCs w:val="18"/>
        </w:rPr>
        <w:t>zewidzianych w Konwencji ICAO i </w:t>
      </w:r>
      <w:r w:rsidRPr="009E064B">
        <w:rPr>
          <w:rFonts w:asciiTheme="minorHAnsi" w:eastAsia="Calibri" w:hAnsiTheme="minorHAnsi" w:cstheme="minorHAnsi"/>
          <w:szCs w:val="18"/>
        </w:rPr>
        <w:t>jej załącznikach.</w:t>
      </w:r>
    </w:p>
    <w:p w14:paraId="10E6FCC4" w14:textId="597689B2" w:rsidR="00E32CD3" w:rsidRPr="009E064B" w:rsidRDefault="00E32CD3" w:rsidP="00133B99">
      <w:pPr>
        <w:pStyle w:val="Nagwek6"/>
      </w:pPr>
      <w:bookmarkStart w:id="164" w:name="_Toc492024543"/>
      <w:bookmarkStart w:id="165" w:name="_Toc12532605"/>
      <w:r w:rsidRPr="009E064B">
        <w:t xml:space="preserve">GM1 ADR.AR.C.020(b)    </w:t>
      </w:r>
      <w:r w:rsidR="00D01EBC" w:rsidRPr="009E064B">
        <w:t xml:space="preserve"> </w:t>
      </w:r>
      <w:r w:rsidRPr="009E064B">
        <w:t>Podstawa certyfikacji</w:t>
      </w:r>
      <w:bookmarkEnd w:id="164"/>
      <w:bookmarkEnd w:id="165"/>
    </w:p>
    <w:p w14:paraId="087B94A4" w14:textId="6F137FAE"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8021C37" w14:textId="77777777" w:rsidR="00E32CD3" w:rsidRPr="009E064B" w:rsidRDefault="00E32CD3" w:rsidP="00DE64A7">
      <w:pPr>
        <w:widowControl/>
        <w:spacing w:before="120"/>
        <w:jc w:val="left"/>
        <w:rPr>
          <w:rFonts w:asciiTheme="minorHAnsi" w:eastAsia="Calibri" w:hAnsiTheme="minorHAnsi" w:cstheme="minorHAnsi"/>
          <w:szCs w:val="18"/>
        </w:rPr>
      </w:pPr>
      <w:r w:rsidRPr="009E064B">
        <w:rPr>
          <w:rFonts w:asciiTheme="minorHAnsi" w:eastAsia="Calibri" w:hAnsiTheme="minorHAnsi" w:cstheme="minorHAnsi"/>
          <w:szCs w:val="18"/>
        </w:rPr>
        <w:t>PODSTAWA CERTYFIKACJI — PROPOZYCJA ZASTOSOWANIA RÓWNOWAŻNEGO POZIOMU BEZPIECZEŃSTWA</w:t>
      </w:r>
    </w:p>
    <w:p w14:paraId="54012C24"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Podczas oceny przez właściwy organ propozycji wnioskodawcy, który zażyczył sobie wykazania się równoważnym poziomem bezpieczeństwa, właściwy organ powinien między innymi, zwrócić szczególną uwagę na:</w:t>
      </w:r>
    </w:p>
    <w:p w14:paraId="4C0749D4"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określenie intencji kwestionowanych specyfikacji certyfikacyjnych Agencji i ocenę, czy propozycja spełnia te intencje;</w:t>
      </w:r>
    </w:p>
    <w:p w14:paraId="4EA8214E" w14:textId="1208D0F9"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wszelkie możliwe wzajemne połączenia/relacje między specyfikacjami certyfikacyjnymi Agencji, do których odnosi się propozycja a innymi specyfikacjami c</w:t>
      </w:r>
      <w:r w:rsidR="00DE64A7" w:rsidRPr="009E064B">
        <w:rPr>
          <w:rFonts w:asciiTheme="minorHAnsi" w:eastAsia="Calibri" w:hAnsiTheme="minorHAnsi" w:cstheme="minorHAnsi"/>
          <w:szCs w:val="18"/>
        </w:rPr>
        <w:t>ertyfikacyjnymi lub wymogami, w </w:t>
      </w:r>
      <w:r w:rsidRPr="009E064B">
        <w:rPr>
          <w:rFonts w:asciiTheme="minorHAnsi" w:eastAsia="Calibri" w:hAnsiTheme="minorHAnsi" w:cstheme="minorHAnsi"/>
          <w:szCs w:val="18"/>
        </w:rPr>
        <w:t>celu:</w:t>
      </w:r>
    </w:p>
    <w:p w14:paraId="23129EA1"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określenia wszelkich skutków tej propozycji na inne elementy systemu, które dotyczą projektowania i eksploatacji lotniska oraz czynnika ludzkiego; oraz</w:t>
      </w:r>
    </w:p>
    <w:p w14:paraId="1C5C528B"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ustalenia, czy takie połączenia/relacje i ich skutki zostały prawidłowo i odpowiednio uwzględnione przez wnioskodawcę.</w:t>
      </w:r>
    </w:p>
    <w:p w14:paraId="1CD75FFC"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Propozycja wnioskodawcy może obejmować projektowanie, środki techniczne, proceduralne lub inne odpowiednie środki.</w:t>
      </w:r>
    </w:p>
    <w:p w14:paraId="0D8A16F3"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Demonstracja równoważnego poziomu bezpieczeństwa może obejmować różne metody jakościowe lub ilościowe, których wielkość i złożoność może się różnić, w zależności od danego przypadku.</w:t>
      </w:r>
    </w:p>
    <w:p w14:paraId="059F17F0" w14:textId="77777777" w:rsidR="00E32CD3" w:rsidRPr="009E064B" w:rsidRDefault="00E32CD3" w:rsidP="00DE64A7">
      <w:pPr>
        <w:widowControl/>
        <w:rPr>
          <w:rFonts w:asciiTheme="minorHAnsi" w:hAnsiTheme="minorHAnsi" w:cstheme="minorHAnsi"/>
          <w:sz w:val="28"/>
          <w:szCs w:val="20"/>
        </w:rPr>
      </w:pPr>
      <w:r w:rsidRPr="009E064B">
        <w:rPr>
          <w:rFonts w:asciiTheme="minorHAnsi" w:eastAsia="Calibri" w:hAnsiTheme="minorHAnsi" w:cstheme="minorHAnsi"/>
          <w:szCs w:val="18"/>
        </w:rPr>
        <w:t>W każdym przypadku, wnioskodawca powinien wykazać, w sposób zadowalający właściwy organ, że proponowane rozwiązanie oferuje poziom bezpieczeństwa, który pod względem skuteczności jest nie niższy, niż ten związany z odpowiednią specyfikacją certyfikacyjną Agencji.</w:t>
      </w:r>
    </w:p>
    <w:p w14:paraId="4365F361" w14:textId="5F3500DF" w:rsidR="00DC7DA6" w:rsidRPr="009E064B" w:rsidRDefault="00DE05DC" w:rsidP="00B06A9A">
      <w:pPr>
        <w:pStyle w:val="Nagwek3"/>
      </w:pPr>
      <w:bookmarkStart w:id="166" w:name="_ADR.AR.C.025__"/>
      <w:bookmarkStart w:id="167" w:name="_Toc12532606"/>
      <w:bookmarkEnd w:id="166"/>
      <w:r w:rsidRPr="009E064B">
        <w:t xml:space="preserve">ADR.AR.C.025 </w:t>
      </w:r>
      <w:r w:rsidR="00D01EBC" w:rsidRPr="009E064B">
        <w:t xml:space="preserve">    </w:t>
      </w:r>
      <w:r w:rsidR="00F20A51" w:rsidRPr="009E064B">
        <w:t xml:space="preserve">Warunki </w:t>
      </w:r>
      <w:r w:rsidRPr="009E064B">
        <w:t>specjalne</w:t>
      </w:r>
      <w:bookmarkEnd w:id="167"/>
    </w:p>
    <w:p w14:paraId="3936BBFC" w14:textId="7DE9B4EC"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3D69408" w14:textId="54067DD7"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5C6FAE" w:rsidRPr="009E064B">
        <w:rPr>
          <w:rFonts w:asciiTheme="minorHAnsi" w:hAnsiTheme="minorHAnsi" w:cstheme="minorHAnsi"/>
          <w:sz w:val="22"/>
          <w:szCs w:val="20"/>
        </w:rPr>
        <w:tab/>
      </w:r>
      <w:r w:rsidR="00B14EE8" w:rsidRPr="009E064B">
        <w:rPr>
          <w:rFonts w:asciiTheme="minorHAnsi" w:hAnsiTheme="minorHAnsi" w:cstheme="minorHAnsi"/>
          <w:sz w:val="22"/>
          <w:szCs w:val="20"/>
        </w:rPr>
        <w:t xml:space="preserve">W celu </w:t>
      </w:r>
      <w:r w:rsidR="00DE05DC" w:rsidRPr="009E064B">
        <w:rPr>
          <w:rFonts w:asciiTheme="minorHAnsi" w:hAnsiTheme="minorHAnsi" w:cstheme="minorHAnsi"/>
          <w:sz w:val="22"/>
          <w:szCs w:val="20"/>
        </w:rPr>
        <w:t xml:space="preserve">zapewnienia zgodności z zasadniczymi wymaganiami </w:t>
      </w:r>
      <w:r w:rsidR="00296C93" w:rsidRPr="009E064B">
        <w:rPr>
          <w:rFonts w:asciiTheme="minorHAnsi" w:hAnsiTheme="minorHAnsi" w:cstheme="minorHAnsi"/>
          <w:sz w:val="22"/>
          <w:szCs w:val="20"/>
        </w:rPr>
        <w:t>Z</w:t>
      </w:r>
      <w:r w:rsidR="00DE05DC" w:rsidRPr="009E064B">
        <w:rPr>
          <w:rFonts w:asciiTheme="minorHAnsi" w:hAnsiTheme="minorHAnsi" w:cstheme="minorHAnsi"/>
          <w:sz w:val="22"/>
          <w:szCs w:val="20"/>
        </w:rPr>
        <w:t>ałącznik</w:t>
      </w:r>
      <w:r w:rsidR="00296C93" w:rsidRPr="009E064B">
        <w:rPr>
          <w:rFonts w:asciiTheme="minorHAnsi" w:hAnsiTheme="minorHAnsi" w:cstheme="minorHAnsi"/>
          <w:sz w:val="22"/>
          <w:szCs w:val="20"/>
        </w:rPr>
        <w:t xml:space="preserve">a Va do </w:t>
      </w:r>
      <w:hyperlink r:id="rId52" w:history="1">
        <w:r w:rsidR="00296C93" w:rsidRPr="009E064B">
          <w:rPr>
            <w:rStyle w:val="Hipercze"/>
            <w:rFonts w:asciiTheme="minorHAnsi" w:hAnsiTheme="minorHAnsi" w:cstheme="minorHAnsi"/>
            <w:sz w:val="22"/>
            <w:szCs w:val="22"/>
          </w:rPr>
          <w:t>rozporządzenia (WE) nr 216/2008</w:t>
        </w:r>
      </w:hyperlink>
      <w:r w:rsidR="00296C93" w:rsidRPr="009E064B">
        <w:rPr>
          <w:rFonts w:asciiTheme="minorHAnsi" w:hAnsiTheme="minorHAnsi" w:cstheme="minorHAnsi"/>
          <w:szCs w:val="20"/>
        </w:rPr>
        <w:t xml:space="preserve"> </w:t>
      </w:r>
      <w:r w:rsidR="00DE05DC" w:rsidRPr="009E064B">
        <w:rPr>
          <w:rFonts w:asciiTheme="minorHAnsi" w:hAnsiTheme="minorHAnsi" w:cstheme="minorHAnsi"/>
          <w:sz w:val="22"/>
          <w:szCs w:val="20"/>
        </w:rPr>
        <w:t xml:space="preserve">właściwy organ określa dla danego lotniska szczegółowe specjalne specyfikacje techniczne, zwane warunkami specjalnymi, jeżeli odpowiednie specyfikacje certyfikacyjne wydane przez Agencję, o których mowa w </w:t>
      </w:r>
      <w:hyperlink w:anchor="_ADR.AR.C.020__" w:history="1">
        <w:r w:rsidR="00DE05DC" w:rsidRPr="009E064B">
          <w:rPr>
            <w:rStyle w:val="Hipercze"/>
            <w:rFonts w:asciiTheme="minorHAnsi" w:hAnsiTheme="minorHAnsi" w:cstheme="minorHAnsi"/>
            <w:sz w:val="22"/>
            <w:szCs w:val="20"/>
          </w:rPr>
          <w:t>ADR.AR.C.020</w:t>
        </w:r>
      </w:hyperlink>
      <w:r w:rsidR="00DE05DC" w:rsidRPr="009E064B">
        <w:rPr>
          <w:rFonts w:asciiTheme="minorHAnsi" w:hAnsiTheme="minorHAnsi" w:cstheme="minorHAnsi"/>
          <w:sz w:val="22"/>
          <w:szCs w:val="20"/>
        </w:rPr>
        <w:t xml:space="preserve"> lit. </w:t>
      </w:r>
      <w:r w:rsidR="00296C93" w:rsidRPr="009E064B">
        <w:rPr>
          <w:rFonts w:asciiTheme="minorHAnsi" w:hAnsiTheme="minorHAnsi" w:cstheme="minorHAnsi"/>
          <w:sz w:val="22"/>
          <w:szCs w:val="20"/>
        </w:rPr>
        <w:t>(</w:t>
      </w:r>
      <w:r w:rsidR="00DE05DC" w:rsidRPr="009E064B">
        <w:rPr>
          <w:rFonts w:asciiTheme="minorHAnsi" w:hAnsiTheme="minorHAnsi" w:cstheme="minorHAnsi"/>
          <w:sz w:val="22"/>
          <w:szCs w:val="20"/>
        </w:rPr>
        <w:t>a), są niewłaściwe lub nieadekwatne, ponieważ:</w:t>
      </w:r>
    </w:p>
    <w:p w14:paraId="59F9B672" w14:textId="595718A8"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niemożliwe jest spełnienie wymagań specyfikacji certyfikacyjnych z powodu fizycznych, topograficznych lub innych podobnych ograniczeń związanych </w:t>
      </w:r>
      <w:r w:rsidR="009A7BD8" w:rsidRPr="009E064B">
        <w:rPr>
          <w:rFonts w:asciiTheme="minorHAnsi" w:eastAsia="Times New Roman" w:hAnsiTheme="minorHAnsi" w:cstheme="minorHAnsi"/>
          <w:szCs w:val="20"/>
        </w:rPr>
        <w:t xml:space="preserve">z </w:t>
      </w:r>
      <w:r w:rsidR="00DE05DC" w:rsidRPr="009E064B">
        <w:rPr>
          <w:rFonts w:asciiTheme="minorHAnsi" w:eastAsia="Times New Roman" w:hAnsiTheme="minorHAnsi" w:cstheme="minorHAnsi"/>
          <w:szCs w:val="20"/>
        </w:rPr>
        <w:t>lokalizacją lotniska;</w:t>
      </w:r>
    </w:p>
    <w:p w14:paraId="5BD90E73" w14:textId="58F899BC"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5C6FAE"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lotnisko posiada nowatorskie lub nietypowe cechy konstrukcyjne; lub</w:t>
      </w:r>
    </w:p>
    <w:p w14:paraId="310C4638" w14:textId="53593656"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3) </w:t>
      </w:r>
      <w:r w:rsidR="005C6FAE" w:rsidRPr="009E064B">
        <w:rPr>
          <w:rFonts w:asciiTheme="minorHAnsi" w:eastAsia="Times New Roman" w:hAnsiTheme="minorHAnsi" w:cstheme="minorHAnsi"/>
          <w:szCs w:val="20"/>
        </w:rPr>
        <w:tab/>
      </w:r>
      <w:r w:rsidR="00F20A51" w:rsidRPr="009E064B">
        <w:rPr>
          <w:rFonts w:asciiTheme="minorHAnsi" w:eastAsia="Times New Roman" w:hAnsiTheme="minorHAnsi" w:cstheme="minorHAnsi"/>
          <w:szCs w:val="20"/>
        </w:rPr>
        <w:t xml:space="preserve">doświadczenie wynikające z </w:t>
      </w:r>
      <w:r w:rsidR="00DE05DC" w:rsidRPr="009E064B">
        <w:rPr>
          <w:rFonts w:asciiTheme="minorHAnsi" w:eastAsia="Times New Roman" w:hAnsiTheme="minorHAnsi" w:cstheme="minorHAnsi"/>
          <w:szCs w:val="20"/>
        </w:rPr>
        <w:t>użytkowania tego lotniska bądź lotnisk posiadających podobne cechy konstrukcyjne wskazuje, że może powstać zagrożenie dla bezpieczeństwa.</w:t>
      </w:r>
    </w:p>
    <w:p w14:paraId="3EEE9029" w14:textId="29A141AD" w:rsidR="00A11C83" w:rsidRPr="009E064B" w:rsidRDefault="00C55A7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5C6FAE"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Warunki specjalne zawierają takie specyfikacje techniczne, w tym ograniczenia lub </w:t>
      </w:r>
      <w:r w:rsidR="00F20A51" w:rsidRPr="009E064B">
        <w:rPr>
          <w:rFonts w:asciiTheme="minorHAnsi" w:hAnsiTheme="minorHAnsi" w:cstheme="minorHAnsi"/>
          <w:sz w:val="22"/>
          <w:szCs w:val="20"/>
        </w:rPr>
        <w:t>procedury, których należy prze</w:t>
      </w:r>
      <w:r w:rsidR="00DE05DC" w:rsidRPr="009E064B">
        <w:rPr>
          <w:rFonts w:asciiTheme="minorHAnsi" w:hAnsiTheme="minorHAnsi" w:cstheme="minorHAnsi"/>
          <w:sz w:val="22"/>
          <w:szCs w:val="20"/>
        </w:rPr>
        <w:t>strzegać, jakie właściwy organ uzna za niezbędne do zapewnienia zgodności z za</w:t>
      </w:r>
      <w:r w:rsidR="00F20A51" w:rsidRPr="009E064B">
        <w:rPr>
          <w:rFonts w:asciiTheme="minorHAnsi" w:hAnsiTheme="minorHAnsi" w:cstheme="minorHAnsi"/>
          <w:sz w:val="22"/>
          <w:szCs w:val="20"/>
        </w:rPr>
        <w:t>sadniczymi wymaganiami określo</w:t>
      </w:r>
      <w:r w:rsidR="00DE05DC" w:rsidRPr="009E064B">
        <w:rPr>
          <w:rFonts w:asciiTheme="minorHAnsi" w:hAnsiTheme="minorHAnsi" w:cstheme="minorHAnsi"/>
          <w:sz w:val="22"/>
          <w:szCs w:val="20"/>
        </w:rPr>
        <w:t xml:space="preserve">nymi w </w:t>
      </w:r>
      <w:r w:rsidR="00296C93" w:rsidRPr="009E064B">
        <w:rPr>
          <w:rFonts w:asciiTheme="minorHAnsi" w:hAnsiTheme="minorHAnsi" w:cstheme="minorHAnsi"/>
          <w:sz w:val="22"/>
          <w:szCs w:val="20"/>
        </w:rPr>
        <w:t>Z</w:t>
      </w:r>
      <w:r w:rsidR="00DE05DC" w:rsidRPr="009E064B">
        <w:rPr>
          <w:rFonts w:asciiTheme="minorHAnsi" w:hAnsiTheme="minorHAnsi" w:cstheme="minorHAnsi"/>
          <w:sz w:val="22"/>
          <w:szCs w:val="20"/>
        </w:rPr>
        <w:t>ałącznik</w:t>
      </w:r>
      <w:r w:rsidR="008C654E" w:rsidRPr="009E064B">
        <w:rPr>
          <w:rFonts w:asciiTheme="minorHAnsi" w:hAnsiTheme="minorHAnsi" w:cstheme="minorHAnsi"/>
          <w:sz w:val="22"/>
          <w:szCs w:val="20"/>
        </w:rPr>
        <w:t>u Va do rozporządzenia (WE) nr </w:t>
      </w:r>
      <w:r w:rsidR="00DE05DC" w:rsidRPr="009E064B">
        <w:rPr>
          <w:rFonts w:asciiTheme="minorHAnsi" w:hAnsiTheme="minorHAnsi" w:cstheme="minorHAnsi"/>
          <w:sz w:val="22"/>
          <w:szCs w:val="20"/>
        </w:rPr>
        <w:t>216/2008.</w:t>
      </w:r>
    </w:p>
    <w:p w14:paraId="66B0FDC5" w14:textId="77777777" w:rsidR="00A11C83" w:rsidRPr="009E064B" w:rsidRDefault="00A11C83">
      <w:pPr>
        <w:spacing w:after="0"/>
        <w:jc w:val="left"/>
        <w:rPr>
          <w:rFonts w:asciiTheme="minorHAnsi" w:eastAsia="Times New Roman" w:hAnsiTheme="minorHAnsi" w:cstheme="minorHAnsi"/>
          <w:szCs w:val="20"/>
        </w:rPr>
      </w:pPr>
      <w:r w:rsidRPr="009E064B">
        <w:rPr>
          <w:rFonts w:asciiTheme="minorHAnsi" w:hAnsiTheme="minorHAnsi" w:cstheme="minorHAnsi"/>
          <w:szCs w:val="20"/>
        </w:rPr>
        <w:br w:type="page"/>
      </w:r>
    </w:p>
    <w:p w14:paraId="611D491D" w14:textId="38A3F6A1" w:rsidR="00DC7DA6" w:rsidRPr="009E064B" w:rsidRDefault="00DE05DC" w:rsidP="00B06A9A">
      <w:pPr>
        <w:pStyle w:val="Nagwek3"/>
      </w:pPr>
      <w:bookmarkStart w:id="168" w:name="_ADR.AR.C.035__"/>
      <w:bookmarkStart w:id="169" w:name="_Toc12532607"/>
      <w:bookmarkEnd w:id="168"/>
      <w:r w:rsidRPr="009E064B">
        <w:t xml:space="preserve">ADR.AR.C.035 </w:t>
      </w:r>
      <w:r w:rsidR="00D01EBC" w:rsidRPr="009E064B">
        <w:t xml:space="preserve">    </w:t>
      </w:r>
      <w:r w:rsidRPr="009E064B">
        <w:t>Wydawanie certyfikatów</w:t>
      </w:r>
      <w:bookmarkEnd w:id="169"/>
    </w:p>
    <w:p w14:paraId="3B8ABDAB" w14:textId="6304C0A2"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49B24AF" w14:textId="77A27443"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może zażądać przeprowadzenia inspekcji, testu, oceny bezpieczeństwa lub ćwiczenia, jeżeli uzna to za niezbędne przed wydaniem certyfikatu.</w:t>
      </w:r>
    </w:p>
    <w:p w14:paraId="5EDB2610" w14:textId="2F9A945B"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wydaje:</w:t>
      </w:r>
    </w:p>
    <w:p w14:paraId="18502183" w14:textId="7330A1BE" w:rsidR="00DC7DA6" w:rsidRPr="009E064B" w:rsidRDefault="00B26CE2" w:rsidP="00EB5F03">
      <w:pPr>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pojedynczy certyfikat lotniskowy; lub</w:t>
      </w:r>
    </w:p>
    <w:p w14:paraId="55224F11" w14:textId="7D13F7D0" w:rsidR="00DC7DA6" w:rsidRPr="009E064B" w:rsidRDefault="00B26CE2" w:rsidP="00EB5F03">
      <w:pPr>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2)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dwa oddzielne certyfikaty – jeden dla lotniska i jeden dla operatora lotniska.</w:t>
      </w:r>
    </w:p>
    <w:p w14:paraId="20402D06" w14:textId="276E1F5C"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802C3" w:rsidRPr="009E064B">
        <w:rPr>
          <w:rFonts w:asciiTheme="minorHAnsi" w:hAnsiTheme="minorHAnsi" w:cstheme="minorHAnsi"/>
          <w:sz w:val="22"/>
          <w:szCs w:val="20"/>
        </w:rPr>
        <w:t xml:space="preserve">c) </w:t>
      </w:r>
      <w:r w:rsidR="00D802C3" w:rsidRPr="009E064B">
        <w:rPr>
          <w:rFonts w:asciiTheme="minorHAnsi" w:hAnsiTheme="minorHAnsi" w:cstheme="minorHAnsi"/>
          <w:sz w:val="22"/>
          <w:szCs w:val="20"/>
        </w:rPr>
        <w:tab/>
      </w:r>
      <w:r w:rsidR="005F13C9" w:rsidRPr="009E064B">
        <w:rPr>
          <w:rFonts w:asciiTheme="minorHAnsi" w:hAnsiTheme="minorHAnsi" w:cstheme="minorHAnsi"/>
          <w:sz w:val="22"/>
          <w:szCs w:val="20"/>
        </w:rPr>
        <w:t>W</w:t>
      </w:r>
      <w:r w:rsidR="00DE05DC" w:rsidRPr="009E064B">
        <w:rPr>
          <w:rFonts w:asciiTheme="minorHAnsi" w:hAnsiTheme="minorHAnsi" w:cstheme="minorHAnsi"/>
          <w:sz w:val="22"/>
          <w:szCs w:val="20"/>
        </w:rPr>
        <w:t>łaściwy organ wydaje certyfikat(-y) przewidziany(-e) w lit.</w:t>
      </w:r>
      <w:r w:rsidR="0077724D" w:rsidRPr="009E064B">
        <w:rPr>
          <w:rFonts w:asciiTheme="minorHAnsi" w:hAnsiTheme="minorHAnsi" w:cstheme="minorHAnsi"/>
          <w:sz w:val="22"/>
          <w:szCs w:val="20"/>
        </w:rPr>
        <w:t> (</w:t>
      </w:r>
      <w:r w:rsidR="00DE05DC" w:rsidRPr="009E064B">
        <w:rPr>
          <w:rFonts w:asciiTheme="minorHAnsi" w:hAnsiTheme="minorHAnsi" w:cstheme="minorHAnsi"/>
          <w:sz w:val="22"/>
          <w:szCs w:val="20"/>
        </w:rPr>
        <w:t xml:space="preserve">b), kiedy uzna, że operator lotniska wykazał w zadowalający sposób zgodność z przepisami </w:t>
      </w:r>
      <w:hyperlink w:anchor="_ADR.OR.B.025__" w:history="1">
        <w:r w:rsidR="00DE05DC" w:rsidRPr="009E064B">
          <w:rPr>
            <w:rStyle w:val="Hipercze"/>
            <w:rFonts w:asciiTheme="minorHAnsi" w:hAnsiTheme="minorHAnsi" w:cstheme="minorHAnsi"/>
            <w:sz w:val="22"/>
            <w:szCs w:val="20"/>
          </w:rPr>
          <w:t>ADR.OR.B.025</w:t>
        </w:r>
      </w:hyperlink>
      <w:r w:rsidR="00DE05DC" w:rsidRPr="009E064B">
        <w:rPr>
          <w:rFonts w:asciiTheme="minorHAnsi" w:hAnsiTheme="minorHAnsi" w:cstheme="minorHAnsi"/>
          <w:sz w:val="22"/>
          <w:szCs w:val="20"/>
        </w:rPr>
        <w:t xml:space="preserve"> i </w:t>
      </w:r>
      <w:hyperlink w:anchor="_ADR.OR.E.005__" w:history="1">
        <w:r w:rsidR="00DE05DC" w:rsidRPr="009E064B">
          <w:rPr>
            <w:rStyle w:val="Hipercze"/>
            <w:rFonts w:asciiTheme="minorHAnsi" w:hAnsiTheme="minorHAnsi" w:cstheme="minorHAnsi"/>
            <w:sz w:val="22"/>
            <w:szCs w:val="20"/>
          </w:rPr>
          <w:t>ADR.OR.E.005</w:t>
        </w:r>
      </w:hyperlink>
      <w:r w:rsidR="00DE05DC" w:rsidRPr="009E064B">
        <w:rPr>
          <w:rFonts w:asciiTheme="minorHAnsi" w:hAnsiTheme="minorHAnsi" w:cstheme="minorHAnsi"/>
          <w:sz w:val="22"/>
          <w:szCs w:val="20"/>
        </w:rPr>
        <w:t>.</w:t>
      </w:r>
    </w:p>
    <w:p w14:paraId="590BFD98" w14:textId="7244B08F"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d) </w:t>
      </w:r>
      <w:r w:rsidR="00C36D6C" w:rsidRPr="009E064B">
        <w:rPr>
          <w:rFonts w:asciiTheme="minorHAnsi" w:hAnsiTheme="minorHAnsi" w:cstheme="minorHAnsi"/>
          <w:sz w:val="22"/>
          <w:szCs w:val="20"/>
        </w:rPr>
        <w:tab/>
      </w:r>
      <w:r w:rsidR="00266F81" w:rsidRPr="009E064B">
        <w:rPr>
          <w:rFonts w:asciiTheme="minorHAnsi" w:hAnsiTheme="minorHAnsi" w:cstheme="minorHAnsi"/>
          <w:sz w:val="22"/>
          <w:szCs w:val="22"/>
        </w:rPr>
        <w:t>Uznaje się, że certyfikat zawiera podstawę certyfikacji dla danego lotniska, instrukcję operacyjną lotniska oraz – w odpowiednich przypadkach – wszelkie pozostałe warunki lub ograniczenia operacyjne określone przez właściwy organ, a także wszelkie dokumenty akceptujące odstępstwo i sposób jego usunięcia (DAAD)</w:t>
      </w:r>
      <w:r w:rsidR="00DE05DC" w:rsidRPr="009E064B">
        <w:rPr>
          <w:rFonts w:asciiTheme="minorHAnsi" w:hAnsiTheme="minorHAnsi" w:cstheme="minorHAnsi"/>
          <w:sz w:val="22"/>
          <w:szCs w:val="20"/>
        </w:rPr>
        <w:t>.</w:t>
      </w:r>
      <w:r w:rsidR="00266F81" w:rsidRPr="009E064B">
        <w:rPr>
          <w:rStyle w:val="Odwoanieprzypisudolnego"/>
          <w:rFonts w:asciiTheme="minorHAnsi" w:hAnsiTheme="minorHAnsi" w:cstheme="minorHAnsi"/>
          <w:sz w:val="22"/>
          <w:szCs w:val="20"/>
        </w:rPr>
        <w:footnoteReference w:id="20"/>
      </w:r>
    </w:p>
    <w:p w14:paraId="3C0C95D2" w14:textId="035076BB" w:rsidR="00DC7DA6" w:rsidRPr="009E064B" w:rsidRDefault="00B26CE2" w:rsidP="00EB5F03">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e)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Certyfikat wydaje się na czas nieokreślony. Do certyfikatu dołącza się warunki certyfikatu określające zatwierdzone działania, </w:t>
      </w:r>
      <w:r w:rsidR="00C36D6C" w:rsidRPr="009E064B">
        <w:rPr>
          <w:rFonts w:asciiTheme="minorHAnsi" w:hAnsiTheme="minorHAnsi" w:cstheme="minorHAnsi"/>
          <w:sz w:val="22"/>
          <w:szCs w:val="20"/>
        </w:rPr>
        <w:t xml:space="preserve">do </w:t>
      </w:r>
      <w:r w:rsidR="00DE05DC" w:rsidRPr="009E064B">
        <w:rPr>
          <w:rFonts w:asciiTheme="minorHAnsi" w:hAnsiTheme="minorHAnsi" w:cstheme="minorHAnsi"/>
          <w:sz w:val="22"/>
          <w:szCs w:val="20"/>
        </w:rPr>
        <w:t>wykonywania których uprawniony jest operator lotniska.</w:t>
      </w:r>
    </w:p>
    <w:p w14:paraId="082601A2" w14:textId="77777777" w:rsidR="003A0C53" w:rsidRPr="009E064B" w:rsidRDefault="003A0C53" w:rsidP="00EB5F03">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49DC7ED1" w14:textId="7825F93B" w:rsidR="00DC7DA6" w:rsidRPr="009E064B" w:rsidRDefault="00B26CE2" w:rsidP="00EB5F03">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f)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 powierzania obowiązków innym odpowiednim organizacjom, organizacj</w:t>
      </w:r>
      <w:r w:rsidR="00C36D6C" w:rsidRPr="009E064B">
        <w:rPr>
          <w:rFonts w:asciiTheme="minorHAnsi" w:hAnsiTheme="minorHAnsi" w:cstheme="minorHAnsi"/>
          <w:sz w:val="22"/>
          <w:szCs w:val="20"/>
        </w:rPr>
        <w:t xml:space="preserve">e te należy wyraźnie wskazać i </w:t>
      </w:r>
      <w:r w:rsidR="00DE05DC" w:rsidRPr="009E064B">
        <w:rPr>
          <w:rFonts w:asciiTheme="minorHAnsi" w:hAnsiTheme="minorHAnsi" w:cstheme="minorHAnsi"/>
          <w:sz w:val="22"/>
          <w:szCs w:val="20"/>
        </w:rPr>
        <w:t>wymienić.</w:t>
      </w:r>
    </w:p>
    <w:p w14:paraId="5571DC22" w14:textId="77777777" w:rsidR="003A0C53" w:rsidRPr="009E064B" w:rsidRDefault="003A0C53" w:rsidP="00EB5F03">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2AF9F67D" w14:textId="0315C4A6" w:rsidR="00DC7DA6" w:rsidRPr="009E064B" w:rsidRDefault="00B26CE2" w:rsidP="00EB5F03">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g)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Nieprawidłowości inne niż nieprawidłowości poziomu 1, które nie zostały usunięte do daty certyfikacji, są oceniane pod kątem bezpieczeństwa i poddawane niezbędnym działaniom łagodzącym, a właściwy organ zatwierdza plan działań naprawczych zmierzających do ich likwidacji.</w:t>
      </w:r>
    </w:p>
    <w:p w14:paraId="22836902" w14:textId="77777777" w:rsidR="003A0C53" w:rsidRPr="009E064B" w:rsidRDefault="003A0C53" w:rsidP="00EB5F03">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5271D5BA" w14:textId="52931538"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h)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Aby umożliwić operatorowi lotniska wprowadzenie zmian bez uprzedniego zatwierdzenia przez właściwy organ zgodnie </w:t>
      </w:r>
      <w:r w:rsidR="009A7BD8" w:rsidRPr="009E064B">
        <w:rPr>
          <w:rFonts w:asciiTheme="minorHAnsi" w:hAnsiTheme="minorHAnsi" w:cstheme="minorHAnsi"/>
          <w:sz w:val="22"/>
          <w:szCs w:val="20"/>
        </w:rPr>
        <w:t xml:space="preserve">z </w:t>
      </w:r>
      <w:hyperlink w:anchor="_ADR.OR.B.040__" w:history="1">
        <w:r w:rsidR="00DE05DC" w:rsidRPr="009E064B">
          <w:rPr>
            <w:rStyle w:val="Hipercze"/>
            <w:rFonts w:asciiTheme="minorHAnsi" w:hAnsiTheme="minorHAnsi" w:cstheme="minorHAnsi"/>
            <w:sz w:val="22"/>
            <w:szCs w:val="20"/>
          </w:rPr>
          <w:t>ADR.OR</w:t>
        </w:r>
        <w:r w:rsidR="00296C93" w:rsidRPr="009E064B">
          <w:rPr>
            <w:rStyle w:val="Hipercze"/>
            <w:rFonts w:asciiTheme="minorHAnsi" w:hAnsiTheme="minorHAnsi" w:cstheme="minorHAnsi"/>
            <w:sz w:val="22"/>
            <w:szCs w:val="20"/>
          </w:rPr>
          <w:t>.B.040</w:t>
        </w:r>
      </w:hyperlink>
      <w:r w:rsidR="00296C93" w:rsidRPr="009E064B">
        <w:rPr>
          <w:rFonts w:asciiTheme="minorHAnsi" w:hAnsiTheme="minorHAnsi" w:cstheme="minorHAnsi"/>
          <w:sz w:val="22"/>
          <w:szCs w:val="20"/>
        </w:rPr>
        <w:t xml:space="preserve"> lit. (</w:t>
      </w:r>
      <w:r w:rsidR="00DE05DC" w:rsidRPr="009E064B">
        <w:rPr>
          <w:rFonts w:asciiTheme="minorHAnsi" w:hAnsiTheme="minorHAnsi" w:cstheme="minorHAnsi"/>
          <w:sz w:val="22"/>
          <w:szCs w:val="20"/>
        </w:rPr>
        <w:t>d), właściwy organ zatwierdza procedury określające zakres takich zmian i opisujące sposób, w jaki są one zarządzane i zgłaszane.</w:t>
      </w:r>
    </w:p>
    <w:p w14:paraId="742122E0" w14:textId="6F8AB1DE" w:rsidR="00E32CD3" w:rsidRPr="009E064B" w:rsidRDefault="00E32CD3" w:rsidP="00133B99">
      <w:pPr>
        <w:pStyle w:val="Nagwek6"/>
      </w:pPr>
      <w:bookmarkStart w:id="170" w:name="_GM1_ADR.AR.C.035(a)_"/>
      <w:bookmarkStart w:id="171" w:name="_Toc492024544"/>
      <w:bookmarkStart w:id="172" w:name="_Toc12532608"/>
      <w:bookmarkEnd w:id="170"/>
      <w:r w:rsidRPr="009E064B">
        <w:t xml:space="preserve">GM1 ADR.AR.C.035(a) </w:t>
      </w:r>
      <w:r w:rsidR="00D01EBC" w:rsidRPr="009E064B">
        <w:t xml:space="preserve">    </w:t>
      </w:r>
      <w:r w:rsidRPr="009E064B">
        <w:t>Wydawanie certyfikatów</w:t>
      </w:r>
      <w:bookmarkEnd w:id="171"/>
      <w:bookmarkEnd w:id="172"/>
    </w:p>
    <w:p w14:paraId="3643D134" w14:textId="148F7686"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2BD8C09"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OSOBY WYZNACZONE</w:t>
      </w:r>
    </w:p>
    <w:p w14:paraId="1CB20E70" w14:textId="6CB1591E" w:rsidR="00A24B77"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 xml:space="preserve">Gdy operator lotniska przedłoży nazwisko kandydata na jedną z osób wyznaczonych (patrz </w:t>
      </w:r>
      <w:hyperlink w:anchor="_ADR.OR.D.015__" w:history="1">
        <w:r w:rsidRPr="009E064B">
          <w:rPr>
            <w:rStyle w:val="Hipercze"/>
            <w:rFonts w:asciiTheme="minorHAnsi" w:eastAsia="Calibri" w:hAnsiTheme="minorHAnsi" w:cstheme="minorHAnsi"/>
            <w:szCs w:val="18"/>
          </w:rPr>
          <w:t>ADR.OR.D.015</w:t>
        </w:r>
      </w:hyperlink>
      <w:r w:rsidRPr="009E064B">
        <w:rPr>
          <w:rFonts w:asciiTheme="minorHAnsi" w:eastAsia="Calibri" w:hAnsiTheme="minorHAnsi" w:cstheme="minorHAnsi"/>
          <w:szCs w:val="18"/>
        </w:rPr>
        <w:t>), właściwy organ powinien ocenić jego/jej kwalifikacje i może przeprowadzić rozmowę z kandydatem lub poprosić o przedstawienie dodatkowych dowodów na potwierdzenie jego/jej predyspozycji.</w:t>
      </w:r>
    </w:p>
    <w:p w14:paraId="75E09801" w14:textId="446A28AA" w:rsidR="00E32CD3" w:rsidRPr="009E064B" w:rsidRDefault="00E32CD3" w:rsidP="00133B99">
      <w:pPr>
        <w:pStyle w:val="Nagwek6"/>
      </w:pPr>
      <w:bookmarkStart w:id="173" w:name="_Toc492024545"/>
      <w:bookmarkStart w:id="174" w:name="_Toc12532609"/>
      <w:r w:rsidRPr="009E064B">
        <w:t xml:space="preserve">GM2 ADR.AR.C.035(a) </w:t>
      </w:r>
      <w:r w:rsidR="00D01EBC" w:rsidRPr="009E064B">
        <w:t xml:space="preserve">    </w:t>
      </w:r>
      <w:r w:rsidRPr="009E064B">
        <w:t>Wydawanie certyfikatów</w:t>
      </w:r>
      <w:bookmarkEnd w:id="173"/>
      <w:bookmarkEnd w:id="174"/>
    </w:p>
    <w:p w14:paraId="44345CD8" w14:textId="338B9A93"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7DA9553" w14:textId="77777777" w:rsidR="00E32CD3" w:rsidRPr="009E064B" w:rsidRDefault="00E32CD3" w:rsidP="00C81356">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OSOBY WYZNACZONE – ROZMOWA Z KIEROWNIKIEM ODPOWIEDZIALNYM I INNYMI OSOBAMI WYZNACZONYMI</w:t>
      </w:r>
    </w:p>
    <w:p w14:paraId="079F563D"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Możliwymi przypadkami, w których rozmowa/spotkanie z wyznaczonymi osobami funkcyjnymi może być konieczne są, między innymi:</w:t>
      </w:r>
    </w:p>
    <w:p w14:paraId="06BC27C6"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rozpoczęcie działalności przed wydaniem pierwszego certyfikatu dla lotniska; oraz</w:t>
      </w:r>
    </w:p>
    <w:p w14:paraId="7B4E8096"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zmiana osób wyznaczonych na lotnisku posiadającym już certyfikat.</w:t>
      </w:r>
    </w:p>
    <w:p w14:paraId="0DA7FA66"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Cel spotkania</w:t>
      </w:r>
    </w:p>
    <w:p w14:paraId="003DD0EF"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Celem rozmowy i wymiany informacji między kandydatami na osoby wyznaczone, a właściwym organem jest dla tego ostatniego uzyskanie informacji na temat planowanych obszarów pracy osób wyznaczonych oraz wymaganego poziomu kwalifikacji w danym obszarze, tak, aby sprawdzić przydatność kandydatów na dane stanowiska.</w:t>
      </w:r>
    </w:p>
    <w:p w14:paraId="5E8504F0"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Celem wymiany informacji jest stworzenie dobrego kontaktu i porozumienia między obu stronami i obopólne dojście do wniosku, jeśli to konieczne, na temat możliwych rozwiązań dotyczących szkoleń i rozłożonego w czasie rozwoju osobistego.</w:t>
      </w:r>
    </w:p>
    <w:p w14:paraId="301B5A29"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Możliwe punkty porządku spotkania:</w:t>
      </w:r>
    </w:p>
    <w:p w14:paraId="245E9922"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informacje właściwego organu dotyczące organizacji i misji właściwego organu, ram prawnych, a w szczególności wymagań systemu zarządzania bezpieczeństwem;</w:t>
      </w:r>
    </w:p>
    <w:p w14:paraId="5C2576B4"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informacja udzielona przez osobę wyznaczoną na temat obszaru działalności, jakim zamierza się zajmować;</w:t>
      </w:r>
    </w:p>
    <w:p w14:paraId="2447D0ED"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metodologia egzekwowania przepisów przez właściwy organ;</w:t>
      </w:r>
    </w:p>
    <w:p w14:paraId="7226DF66"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rola i odpowiedzialność kierownika odpowiedzialnego / kierownika ds. służb operacyjnych / kierownika ds. obsługi technicznej lotniska / kierownika ds. bezpieczeństwa lub innych osób wyznaczonych;</w:t>
      </w:r>
    </w:p>
    <w:p w14:paraId="58553AF3"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(e) </w:t>
      </w:r>
      <w:r w:rsidRPr="009E064B">
        <w:rPr>
          <w:rFonts w:asciiTheme="minorHAnsi" w:eastAsia="Calibri" w:hAnsiTheme="minorHAnsi" w:cstheme="minorHAnsi"/>
          <w:szCs w:val="18"/>
        </w:rPr>
        <w:tab/>
        <w:t>oczekiwane wymagania w zakresie kompetencji osoby wyznaczonej, w stosunku do obecnego statusu osoby i doświadczenia przedstawionego w CV lub równoważnej dokumentacji;</w:t>
      </w:r>
    </w:p>
    <w:p w14:paraId="58C34F86"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(f) </w:t>
      </w:r>
      <w:r w:rsidRPr="009E064B">
        <w:rPr>
          <w:rFonts w:asciiTheme="minorHAnsi" w:eastAsia="Calibri" w:hAnsiTheme="minorHAnsi" w:cstheme="minorHAnsi"/>
          <w:szCs w:val="18"/>
        </w:rPr>
        <w:tab/>
        <w:t>rozmowa / dyskusja dotycząca poziomu wiedzy i zrozumienia obowiązujących uregulowań prawnych;</w:t>
      </w:r>
    </w:p>
    <w:p w14:paraId="57CE99F3"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(g) </w:t>
      </w:r>
      <w:r w:rsidRPr="009E064B">
        <w:rPr>
          <w:rFonts w:asciiTheme="minorHAnsi" w:eastAsia="Calibri" w:hAnsiTheme="minorHAnsi" w:cstheme="minorHAnsi"/>
          <w:szCs w:val="18"/>
        </w:rPr>
        <w:tab/>
        <w:t>rola i odpowiedzialność właściwego organu i osoby wyznaczonej;</w:t>
      </w:r>
    </w:p>
    <w:p w14:paraId="2BF4EA0D"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(h) </w:t>
      </w:r>
      <w:r w:rsidRPr="009E064B">
        <w:rPr>
          <w:rFonts w:asciiTheme="minorHAnsi" w:eastAsia="Calibri" w:hAnsiTheme="minorHAnsi" w:cstheme="minorHAnsi"/>
          <w:szCs w:val="18"/>
        </w:rPr>
        <w:tab/>
        <w:t>ogólne rozeznanie w dziedzinie lotnictwa oraz w zakresie konkretnego stanowiska, na które dana osoba jest wyznaczona, jak operatorzy / działania na lotnisku, w tym instytucje zapewniające służby żeglugi powietrznej oraz inne działania lotnicze, które mogą wpływać na bezpieczeństwo statków powietrznych; oraz</w:t>
      </w:r>
    </w:p>
    <w:p w14:paraId="6DC3C857" w14:textId="6DC07659" w:rsidR="00A24B77"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(i) </w:t>
      </w:r>
      <w:r w:rsidRPr="009E064B">
        <w:rPr>
          <w:rFonts w:asciiTheme="minorHAnsi" w:eastAsia="Calibri" w:hAnsiTheme="minorHAnsi" w:cstheme="minorHAnsi"/>
          <w:szCs w:val="18"/>
        </w:rPr>
        <w:tab/>
        <w:t>rozdzielanie delegowanych uprawnień, w zależności od sytuacji organizacyjnej.</w:t>
      </w:r>
    </w:p>
    <w:p w14:paraId="0AE9A6B9" w14:textId="33A9441E" w:rsidR="00E32CD3" w:rsidRPr="009E064B" w:rsidRDefault="00E32CD3" w:rsidP="00133B99">
      <w:pPr>
        <w:pStyle w:val="Nagwek6"/>
      </w:pPr>
      <w:bookmarkStart w:id="175" w:name="_GM3_ADR.AR.C.035(a)_"/>
      <w:bookmarkStart w:id="176" w:name="_Toc492024546"/>
      <w:bookmarkStart w:id="177" w:name="_Toc12532610"/>
      <w:bookmarkEnd w:id="175"/>
      <w:r w:rsidRPr="009E064B">
        <w:t xml:space="preserve">GM3 ADR.AR.C.035(a)    </w:t>
      </w:r>
      <w:r w:rsidR="00D01EBC" w:rsidRPr="009E064B">
        <w:t xml:space="preserve"> </w:t>
      </w:r>
      <w:r w:rsidRPr="009E064B">
        <w:t>Wydawanie certyfikatów</w:t>
      </w:r>
      <w:bookmarkEnd w:id="176"/>
      <w:bookmarkEnd w:id="177"/>
    </w:p>
    <w:p w14:paraId="40ADB716" w14:textId="2FB74B75"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355A374" w14:textId="00DE670A" w:rsidR="00E32CD3" w:rsidRPr="009E064B" w:rsidRDefault="00E32CD3" w:rsidP="00296C93">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OSZACOWANIE OCENY BEZPIECZEŃSTWA DOSTARCZONEJ PRZEZ OPERATORA LOTNISKA, NA WSTĘPNYM ETAPIE CERTYFIKACJI LUB DOŁĄCZONEJ DO WNIOSKU O UPRZEDNIE ZATWIERDZENIE ZMIANY ZGODNIE Z ADR.OR.B.040.</w:t>
      </w:r>
    </w:p>
    <w:p w14:paraId="676C7886" w14:textId="2B4ECED9"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Właściwy organ powinien ocenić wnioski końcowe przedłożonej oceny bezpieczeństwa, która została dostarczona przez operatora lotniska w celu zapewnienia zgodności z odpowiednim wymogiem dla operatora lotniska dotyczący</w:t>
      </w:r>
      <w:r w:rsidR="00296C93" w:rsidRPr="009E064B">
        <w:rPr>
          <w:rFonts w:asciiTheme="minorHAnsi" w:eastAsia="Calibri" w:hAnsiTheme="minorHAnsi" w:cstheme="minorHAnsi"/>
          <w:szCs w:val="18"/>
        </w:rPr>
        <w:t xml:space="preserve">m sposobu oceny zmian zgodnie z </w:t>
      </w:r>
      <w:hyperlink w:anchor="_ADR.OR.B.040__" w:history="1">
        <w:r w:rsidRPr="009E064B">
          <w:rPr>
            <w:rStyle w:val="Hipercze"/>
            <w:rFonts w:asciiTheme="minorHAnsi" w:eastAsia="Calibri" w:hAnsiTheme="minorHAnsi" w:cstheme="minorHAnsi"/>
            <w:szCs w:val="18"/>
          </w:rPr>
          <w:t>ADR.OR.B.040</w:t>
        </w:r>
      </w:hyperlink>
      <w:r w:rsidR="00296C93" w:rsidRPr="009E064B">
        <w:rPr>
          <w:rFonts w:asciiTheme="minorHAnsi" w:eastAsia="Calibri" w:hAnsiTheme="minorHAnsi" w:cstheme="minorHAnsi"/>
          <w:szCs w:val="18"/>
        </w:rPr>
        <w:t xml:space="preserve"> lit. </w:t>
      </w:r>
      <w:r w:rsidRPr="009E064B">
        <w:rPr>
          <w:rFonts w:asciiTheme="minorHAnsi" w:eastAsia="Calibri" w:hAnsiTheme="minorHAnsi" w:cstheme="minorHAnsi"/>
          <w:szCs w:val="18"/>
        </w:rPr>
        <w:t>(f).</w:t>
      </w:r>
    </w:p>
    <w:p w14:paraId="47588F49"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Właściwy organ powinien oszacować ocenę bezpieczeństwa i w szczególności, upewnić się, że:</w:t>
      </w:r>
    </w:p>
    <w:p w14:paraId="2B7DBEDC"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zidentyfikowany problem(y) bezpieczeństwa został(y) oceniony(ocenione) w ramach procesu oceny bezpieczeństwa i jest(są) odpowiednio udokumentowany(e).</w:t>
      </w:r>
    </w:p>
    <w:p w14:paraId="120FC183"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została przeprowadzona właściwa koordynacja między stronami, których dotyczą ww. problemy bezpieczeństwa;</w:t>
      </w:r>
    </w:p>
    <w:p w14:paraId="017F6BED"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(3) </w:t>
      </w:r>
      <w:r w:rsidRPr="009E064B">
        <w:rPr>
          <w:rFonts w:asciiTheme="minorHAnsi" w:eastAsia="Calibri" w:hAnsiTheme="minorHAnsi" w:cstheme="minorHAnsi"/>
          <w:szCs w:val="18"/>
        </w:rPr>
        <w:tab/>
        <w:t>ocena obejmuje cały system oraz wzajemne oddziaływanie jego elementów;</w:t>
      </w:r>
    </w:p>
    <w:p w14:paraId="105C1275"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(4) </w:t>
      </w:r>
      <w:r w:rsidRPr="009E064B">
        <w:rPr>
          <w:rFonts w:asciiTheme="minorHAnsi" w:eastAsia="Calibri" w:hAnsiTheme="minorHAnsi" w:cstheme="minorHAnsi"/>
          <w:szCs w:val="18"/>
        </w:rPr>
        <w:tab/>
        <w:t>zagrożenia zostały poprawnie zidentyfikowane i oceniono poziom ryzyka;</w:t>
      </w:r>
    </w:p>
    <w:p w14:paraId="373CBE30"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(5) </w:t>
      </w:r>
      <w:r w:rsidRPr="009E064B">
        <w:rPr>
          <w:rFonts w:asciiTheme="minorHAnsi" w:eastAsia="Calibri" w:hAnsiTheme="minorHAnsi" w:cstheme="minorHAnsi"/>
          <w:szCs w:val="18"/>
        </w:rPr>
        <w:tab/>
        <w:t>proponowane środki ograniczające ryzyko są odpowiednie i zgodne z celem zmniejszenia zidentyfikowanego poziomu ryzyka i celami bezpieczeństwa, jeśli dotyczy;</w:t>
      </w:r>
    </w:p>
    <w:p w14:paraId="305918CF"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(6) </w:t>
      </w:r>
      <w:r w:rsidRPr="009E064B">
        <w:rPr>
          <w:rFonts w:asciiTheme="minorHAnsi" w:eastAsia="Calibri" w:hAnsiTheme="minorHAnsi" w:cstheme="minorHAnsi"/>
          <w:szCs w:val="18"/>
        </w:rPr>
        <w:tab/>
        <w:t>ramy czasowe planowanego wdrożenia proponowanych powiązanych działań są właściwe.</w:t>
      </w:r>
    </w:p>
    <w:p w14:paraId="6519856E"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Po dokonaniu oceny, właściwy organ ponadto powinien:</w:t>
      </w:r>
    </w:p>
    <w:p w14:paraId="1F20AAB3"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wyrazić zgodę na proponowane powiązane działania, takie jak środki zmniejszające ryzyko; lub</w:t>
      </w:r>
    </w:p>
    <w:p w14:paraId="4341516B"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dokonywać uzgodnień z operatorem lotniska, aby osiągnąć porozumienie w sprawie zmienionych środków łagodzących, jeśli pewne zagrożenia zostały zbyt nisko ocenione, lub nie zostały zidentyfikowane, lub</w:t>
      </w:r>
    </w:p>
    <w:p w14:paraId="3BDD5F25"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(3) </w:t>
      </w:r>
      <w:r w:rsidRPr="009E064B">
        <w:rPr>
          <w:rFonts w:asciiTheme="minorHAnsi" w:eastAsia="Calibri" w:hAnsiTheme="minorHAnsi" w:cstheme="minorHAnsi"/>
          <w:szCs w:val="18"/>
        </w:rPr>
        <w:tab/>
        <w:t>nałożyć dodatkowe środki; lub</w:t>
      </w:r>
    </w:p>
    <w:p w14:paraId="3697F026" w14:textId="77777777" w:rsidR="00E32CD3" w:rsidRPr="009E064B" w:rsidRDefault="00E32CD3" w:rsidP="00B06A9A">
      <w:pPr>
        <w:widowControl/>
        <w:tabs>
          <w:tab w:val="left" w:pos="1134"/>
        </w:tabs>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(4) </w:t>
      </w:r>
      <w:r w:rsidRPr="009E064B">
        <w:rPr>
          <w:rFonts w:asciiTheme="minorHAnsi" w:eastAsia="Calibri" w:hAnsiTheme="minorHAnsi" w:cstheme="minorHAnsi"/>
          <w:szCs w:val="18"/>
        </w:rPr>
        <w:tab/>
        <w:t>odrzucić propozycję, jeżeli nie można osiągnąć porozumienia.</w:t>
      </w:r>
    </w:p>
    <w:p w14:paraId="7DE4B63F"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Właściwy organ powinien określić i podjąć działania nadzorcze, które zapewnią, że środki zmniejszające ryzyko i/lub dodatkowe środki będą prawidłowo realizowane, tak, aby środki te faktycznie zrealizowały cele zmniejszania ryzyka i by przestrzegane były planowane ramy czasowe.</w:t>
      </w:r>
    </w:p>
    <w:p w14:paraId="4A3083ED" w14:textId="06C772FF" w:rsidR="007B1601"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(e) </w:t>
      </w:r>
      <w:r w:rsidRPr="009E064B">
        <w:rPr>
          <w:rFonts w:asciiTheme="minorHAnsi" w:eastAsia="Calibri" w:hAnsiTheme="minorHAnsi" w:cstheme="minorHAnsi"/>
          <w:szCs w:val="18"/>
        </w:rPr>
        <w:tab/>
        <w:t>W razie konieczności właściwy organ powinien zażądać od operatora lotniska, aby ogłosił odpowiednie informacje do wykorzystania przez organizację lotniska, różne zainteresowane strony, w szczególności przez instytucje zapewniające służby żeglugi powietrznej i operatorów statków powietrznych.</w:t>
      </w:r>
    </w:p>
    <w:p w14:paraId="2C93577C" w14:textId="67D4B7F2" w:rsidR="007B1601" w:rsidRDefault="007B1601">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66A1A9C3" w14:textId="77777777" w:rsidR="007B1601" w:rsidRDefault="007B1601">
      <w:pPr>
        <w:spacing w:after="0"/>
        <w:jc w:val="left"/>
        <w:rPr>
          <w:rFonts w:asciiTheme="minorHAnsi" w:eastAsia="Calibri" w:hAnsiTheme="minorHAnsi" w:cstheme="minorHAnsi"/>
          <w:szCs w:val="18"/>
        </w:rPr>
      </w:pPr>
    </w:p>
    <w:p w14:paraId="4241EA72" w14:textId="16E47BBF" w:rsidR="00E32CD3" w:rsidRPr="009E064B" w:rsidRDefault="00E32CD3" w:rsidP="00133B99">
      <w:pPr>
        <w:pStyle w:val="Nagwek6"/>
      </w:pPr>
      <w:bookmarkStart w:id="178" w:name="_Toc492024547"/>
      <w:bookmarkStart w:id="179" w:name="_Toc12532611"/>
      <w:r w:rsidRPr="009E064B">
        <w:t xml:space="preserve">GM1 ADR.AR.C.035(b)(1)    </w:t>
      </w:r>
      <w:r w:rsidR="00D01EBC" w:rsidRPr="009E064B">
        <w:t xml:space="preserve"> </w:t>
      </w:r>
      <w:r w:rsidRPr="009E064B">
        <w:t>Wydawanie certyfikatów</w:t>
      </w:r>
      <w:bookmarkEnd w:id="178"/>
      <w:bookmarkEnd w:id="179"/>
    </w:p>
    <w:p w14:paraId="75CBFEF6" w14:textId="6246BB4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E01249F" w14:textId="77777777" w:rsidR="00E32CD3" w:rsidRPr="009E064B" w:rsidRDefault="00E32CD3" w:rsidP="0019788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WZÓR POJEDYNCZEGO CERTYFIKATU</w:t>
      </w:r>
    </w:p>
    <w:p w14:paraId="7CE6A7F9" w14:textId="77777777" w:rsidR="00E32CD3" w:rsidRPr="009E064B" w:rsidRDefault="00E32CD3" w:rsidP="00846BCB">
      <w:pPr>
        <w:widowControl/>
        <w:spacing w:after="0"/>
        <w:rPr>
          <w:rFonts w:asciiTheme="minorHAnsi" w:eastAsia="Calibri" w:hAnsiTheme="minorHAnsi" w:cstheme="minorHAnsi"/>
          <w:szCs w:val="18"/>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9E064B" w14:paraId="6FEA2E42" w14:textId="77777777" w:rsidTr="00E32CD3">
        <w:tc>
          <w:tcPr>
            <w:tcW w:w="9210" w:type="dxa"/>
          </w:tcPr>
          <w:p w14:paraId="37C6EED9" w14:textId="77777777" w:rsidR="00E32CD3" w:rsidRPr="009E064B" w:rsidRDefault="00E32CD3" w:rsidP="00862AA9">
            <w:pPr>
              <w:widowControl/>
              <w:spacing w:after="0"/>
              <w:jc w:val="center"/>
              <w:rPr>
                <w:rFonts w:asciiTheme="minorHAnsi" w:eastAsia="Calibri" w:hAnsiTheme="minorHAnsi" w:cstheme="minorHAnsi"/>
                <w:sz w:val="20"/>
                <w:szCs w:val="18"/>
              </w:rPr>
            </w:pPr>
          </w:p>
          <w:p w14:paraId="65C5CA2E"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[PAŃSTWO CZŁONKOWSKIE]</w:t>
            </w:r>
          </w:p>
        </w:tc>
      </w:tr>
      <w:tr w:rsidR="00E32CD3" w:rsidRPr="009E064B" w14:paraId="6D38E6A5" w14:textId="77777777" w:rsidTr="00E32CD3">
        <w:tc>
          <w:tcPr>
            <w:tcW w:w="9210" w:type="dxa"/>
          </w:tcPr>
          <w:p w14:paraId="05FD9B3B"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Członek Unii Europejskiej</w:t>
            </w:r>
            <w:r w:rsidRPr="009E064B">
              <w:rPr>
                <w:rFonts w:asciiTheme="minorHAnsi" w:eastAsia="Calibri" w:hAnsiTheme="minorHAnsi" w:cstheme="minorHAnsi"/>
                <w:sz w:val="20"/>
                <w:szCs w:val="18"/>
                <w:vertAlign w:val="superscript"/>
              </w:rPr>
              <w:footnoteReference w:id="21"/>
            </w:r>
          </w:p>
        </w:tc>
      </w:tr>
      <w:tr w:rsidR="00E32CD3" w:rsidRPr="009E064B" w14:paraId="6CF1FB3A" w14:textId="77777777" w:rsidTr="00E32CD3">
        <w:tc>
          <w:tcPr>
            <w:tcW w:w="9210" w:type="dxa"/>
          </w:tcPr>
          <w:p w14:paraId="3AF53B55" w14:textId="77777777" w:rsidR="00E32CD3" w:rsidRPr="009E064B" w:rsidRDefault="00E32CD3" w:rsidP="00862AA9">
            <w:pPr>
              <w:widowControl/>
              <w:spacing w:after="0"/>
              <w:jc w:val="center"/>
              <w:rPr>
                <w:rFonts w:asciiTheme="minorHAnsi" w:eastAsia="Calibri" w:hAnsiTheme="minorHAnsi" w:cstheme="minorHAnsi"/>
                <w:sz w:val="20"/>
                <w:szCs w:val="18"/>
              </w:rPr>
            </w:pPr>
          </w:p>
        </w:tc>
      </w:tr>
      <w:tr w:rsidR="00E32CD3" w:rsidRPr="009E064B" w14:paraId="1BD9F9CD" w14:textId="77777777" w:rsidTr="00E32CD3">
        <w:tc>
          <w:tcPr>
            <w:tcW w:w="9210" w:type="dxa"/>
          </w:tcPr>
          <w:p w14:paraId="1A3FC7A0" w14:textId="77777777" w:rsidR="00E32CD3" w:rsidRPr="009E064B" w:rsidRDefault="00E32CD3" w:rsidP="00B06A9A">
            <w:pPr>
              <w:widowControl/>
              <w:jc w:val="center"/>
              <w:rPr>
                <w:rFonts w:asciiTheme="minorHAnsi" w:eastAsia="Calibri" w:hAnsiTheme="minorHAnsi" w:cstheme="minorHAnsi"/>
                <w:i/>
                <w:iCs/>
                <w:sz w:val="20"/>
                <w:szCs w:val="18"/>
              </w:rPr>
            </w:pPr>
            <w:r w:rsidRPr="009E064B">
              <w:rPr>
                <w:rFonts w:asciiTheme="minorHAnsi" w:eastAsia="Calibri" w:hAnsiTheme="minorHAnsi" w:cstheme="minorHAnsi"/>
                <w:b/>
                <w:bCs/>
                <w:i/>
                <w:iCs/>
                <w:sz w:val="20"/>
                <w:szCs w:val="20"/>
              </w:rPr>
              <w:t>CERTYFIKAT</w:t>
            </w:r>
          </w:p>
        </w:tc>
      </w:tr>
      <w:tr w:rsidR="00E32CD3" w:rsidRPr="009E064B" w14:paraId="01CF0E0B" w14:textId="77777777" w:rsidTr="00E32CD3">
        <w:tc>
          <w:tcPr>
            <w:tcW w:w="9210" w:type="dxa"/>
          </w:tcPr>
          <w:p w14:paraId="1450FB8D"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Numer referencyjny certyfikatu: [KOD PAŃSTWA]: XXXXX</w:t>
            </w:r>
          </w:p>
        </w:tc>
      </w:tr>
      <w:tr w:rsidR="00E32CD3" w:rsidRPr="009E064B" w14:paraId="4A9BB055" w14:textId="77777777" w:rsidTr="00E32CD3">
        <w:tc>
          <w:tcPr>
            <w:tcW w:w="9210" w:type="dxa"/>
          </w:tcPr>
          <w:p w14:paraId="7F5A69D9" w14:textId="77777777" w:rsidR="00E32CD3" w:rsidRPr="009E064B" w:rsidRDefault="00E32CD3" w:rsidP="00862AA9">
            <w:pPr>
              <w:widowControl/>
              <w:spacing w:after="0"/>
              <w:jc w:val="center"/>
              <w:rPr>
                <w:rFonts w:asciiTheme="minorHAnsi" w:eastAsia="Calibri" w:hAnsiTheme="minorHAnsi" w:cstheme="minorHAnsi"/>
                <w:sz w:val="20"/>
                <w:szCs w:val="18"/>
              </w:rPr>
            </w:pPr>
          </w:p>
        </w:tc>
      </w:tr>
      <w:tr w:rsidR="00E32CD3" w:rsidRPr="009E064B" w14:paraId="12D9EA0E" w14:textId="77777777" w:rsidTr="00E32CD3">
        <w:tc>
          <w:tcPr>
            <w:tcW w:w="9210" w:type="dxa"/>
          </w:tcPr>
          <w:p w14:paraId="51C87915"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Zgodnie z rozporządzeniem (WE) nr 216/2008 Parlamentu Europejskiego i Rady oraz rozporządzeniem Komisji (WE) nr ... / ... obecnie obowiązujących, z zastrzeżeniem warunków określonych poniżej, [WŁAŚCIWY ORGAN PAŃSTWA CZŁONKOWSKIEGO</w:t>
            </w:r>
            <w:r w:rsidRPr="009E064B">
              <w:rPr>
                <w:rFonts w:asciiTheme="minorHAnsi" w:eastAsia="Calibri" w:hAnsiTheme="minorHAnsi" w:cstheme="minorHAnsi"/>
                <w:sz w:val="20"/>
                <w:szCs w:val="18"/>
                <w:vertAlign w:val="superscript"/>
              </w:rPr>
              <w:footnoteReference w:id="22"/>
            </w:r>
            <w:r w:rsidRPr="009E064B">
              <w:rPr>
                <w:rFonts w:asciiTheme="minorHAnsi" w:eastAsia="Calibri" w:hAnsiTheme="minorHAnsi" w:cstheme="minorHAnsi"/>
                <w:sz w:val="20"/>
                <w:szCs w:val="18"/>
              </w:rPr>
              <w:t>] niniejszym zaświadcza, że:</w:t>
            </w:r>
          </w:p>
        </w:tc>
      </w:tr>
      <w:tr w:rsidR="00E32CD3" w:rsidRPr="009E064B" w14:paraId="69BE984A" w14:textId="77777777" w:rsidTr="00E32CD3">
        <w:tc>
          <w:tcPr>
            <w:tcW w:w="9210" w:type="dxa"/>
          </w:tcPr>
          <w:p w14:paraId="4CF4E33E"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[NAZWA I ADRES PODMIOTU]</w:t>
            </w:r>
          </w:p>
        </w:tc>
      </w:tr>
      <w:tr w:rsidR="00E32CD3" w:rsidRPr="009E064B" w14:paraId="274C3C61" w14:textId="77777777" w:rsidTr="00E32CD3">
        <w:tc>
          <w:tcPr>
            <w:tcW w:w="9210" w:type="dxa"/>
          </w:tcPr>
          <w:p w14:paraId="4FE535C2"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jest upoważniony do prowadzenia operacji na lotnisku [NAZWA LOTNISKA], zgodnie z wymaganiami rozporządzenia (WE) nr 216/2008 i jego przepisów wykonawczych, podstawą certyfikacji lotniska, warunkami niniejszego certyfikatu oraz instrukcją operacyjną lotniska.</w:t>
            </w:r>
          </w:p>
        </w:tc>
      </w:tr>
      <w:tr w:rsidR="00E32CD3" w:rsidRPr="009E064B" w14:paraId="67D1127E" w14:textId="77777777" w:rsidTr="00E32CD3">
        <w:tc>
          <w:tcPr>
            <w:tcW w:w="9210" w:type="dxa"/>
          </w:tcPr>
          <w:p w14:paraId="32B5141B"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Niniejszy certyfikat pozostaje ważny na czas nieokreślony, o ile nie zostanie zwrócony lub cofnięty.</w:t>
            </w:r>
          </w:p>
        </w:tc>
      </w:tr>
      <w:tr w:rsidR="00E32CD3" w:rsidRPr="009E064B" w14:paraId="7AA9FDFE" w14:textId="77777777" w:rsidTr="00E32CD3">
        <w:tc>
          <w:tcPr>
            <w:tcW w:w="9210" w:type="dxa"/>
          </w:tcPr>
          <w:p w14:paraId="5ABF5EF0" w14:textId="77777777" w:rsidR="00E32CD3" w:rsidRPr="009E064B" w:rsidRDefault="00E32CD3" w:rsidP="00862AA9">
            <w:pPr>
              <w:widowControl/>
              <w:spacing w:after="0"/>
              <w:rPr>
                <w:rFonts w:asciiTheme="minorHAnsi" w:eastAsia="Calibri" w:hAnsiTheme="minorHAnsi" w:cstheme="minorHAnsi"/>
                <w:sz w:val="20"/>
                <w:szCs w:val="18"/>
              </w:rPr>
            </w:pPr>
          </w:p>
        </w:tc>
      </w:tr>
      <w:tr w:rsidR="00E32CD3" w:rsidRPr="009E064B" w14:paraId="21752447" w14:textId="77777777" w:rsidTr="00E32CD3">
        <w:tc>
          <w:tcPr>
            <w:tcW w:w="9210" w:type="dxa"/>
          </w:tcPr>
          <w:p w14:paraId="6681ED2F" w14:textId="77777777" w:rsidR="00E32CD3" w:rsidRPr="009E064B" w:rsidRDefault="00E32CD3" w:rsidP="00EA1259">
            <w:pPr>
              <w:widowControl/>
              <w:spacing w:before="120"/>
              <w:rPr>
                <w:rFonts w:asciiTheme="minorHAnsi" w:eastAsia="Calibri" w:hAnsiTheme="minorHAnsi" w:cstheme="minorHAnsi"/>
                <w:sz w:val="20"/>
                <w:szCs w:val="18"/>
              </w:rPr>
            </w:pPr>
            <w:r w:rsidRPr="009E064B">
              <w:rPr>
                <w:rFonts w:asciiTheme="minorHAnsi" w:eastAsia="Calibri" w:hAnsiTheme="minorHAnsi" w:cstheme="minorHAnsi"/>
                <w:sz w:val="20"/>
                <w:szCs w:val="18"/>
              </w:rPr>
              <w:t>Data pierwszego wydania:…………………………………………………………………………………………………………..</w:t>
            </w:r>
          </w:p>
        </w:tc>
      </w:tr>
      <w:tr w:rsidR="00E32CD3" w:rsidRPr="009E064B" w14:paraId="0A8F73A0" w14:textId="77777777" w:rsidTr="00E32CD3">
        <w:tc>
          <w:tcPr>
            <w:tcW w:w="9210" w:type="dxa"/>
          </w:tcPr>
          <w:p w14:paraId="25FD8977"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Numer zmiany: …………………………………………………………………………………………………………………………..</w:t>
            </w:r>
          </w:p>
        </w:tc>
      </w:tr>
      <w:tr w:rsidR="00E32CD3" w:rsidRPr="009E064B" w14:paraId="66EF7DA9" w14:textId="77777777" w:rsidTr="00E32CD3">
        <w:tc>
          <w:tcPr>
            <w:tcW w:w="9210" w:type="dxa"/>
          </w:tcPr>
          <w:p w14:paraId="3C5368FD"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Podpisano: …………………………………………………………………………………………………………………………………..</w:t>
            </w:r>
          </w:p>
        </w:tc>
      </w:tr>
      <w:tr w:rsidR="00E32CD3" w:rsidRPr="009E064B" w14:paraId="413E103B" w14:textId="77777777" w:rsidTr="00E32CD3">
        <w:tc>
          <w:tcPr>
            <w:tcW w:w="9210" w:type="dxa"/>
          </w:tcPr>
          <w:p w14:paraId="0CB4AEBD"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Właściwy organ [IDENTYFIKACJA WŁAŚCIWEGO ORGANU]</w:t>
            </w:r>
          </w:p>
          <w:p w14:paraId="0AA0432F" w14:textId="77777777" w:rsidR="00E32CD3" w:rsidRPr="009E064B" w:rsidRDefault="00E32CD3" w:rsidP="00B06A9A">
            <w:pPr>
              <w:widowControl/>
              <w:rPr>
                <w:rFonts w:asciiTheme="minorHAnsi" w:eastAsia="Calibri" w:hAnsiTheme="minorHAnsi" w:cstheme="minorHAnsi"/>
                <w:sz w:val="20"/>
                <w:szCs w:val="18"/>
              </w:rPr>
            </w:pPr>
          </w:p>
        </w:tc>
      </w:tr>
    </w:tbl>
    <w:p w14:paraId="05017D15" w14:textId="77777777" w:rsidR="00E32CD3" w:rsidRPr="009E064B" w:rsidRDefault="00E32CD3" w:rsidP="00B06A9A">
      <w:pPr>
        <w:widowControl/>
        <w:spacing w:after="200"/>
        <w:jc w:val="left"/>
        <w:rPr>
          <w:rFonts w:asciiTheme="minorHAnsi" w:eastAsia="Calibri" w:hAnsiTheme="minorHAnsi" w:cstheme="minorHAnsi"/>
          <w:sz w:val="18"/>
          <w:szCs w:val="18"/>
        </w:rPr>
      </w:pPr>
    </w:p>
    <w:p w14:paraId="25283359" w14:textId="41FA45A0" w:rsidR="00E32CD3" w:rsidRPr="009E064B" w:rsidRDefault="00E32CD3" w:rsidP="00133B99">
      <w:pPr>
        <w:pStyle w:val="Nagwek5"/>
      </w:pPr>
      <w:bookmarkStart w:id="180" w:name="_Toc492024548"/>
      <w:bookmarkStart w:id="181" w:name="_Toc12532612"/>
      <w:r w:rsidRPr="009E064B">
        <w:t xml:space="preserve">AMC1 ADR.AR.C.035(b)(2)    </w:t>
      </w:r>
      <w:r w:rsidR="00D01EBC" w:rsidRPr="009E064B">
        <w:t xml:space="preserve"> </w:t>
      </w:r>
      <w:r w:rsidRPr="009E064B">
        <w:t>Wydawanie certyfikatów</w:t>
      </w:r>
      <w:bookmarkEnd w:id="180"/>
      <w:bookmarkEnd w:id="181"/>
    </w:p>
    <w:p w14:paraId="124690F6" w14:textId="58A20FB7"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833E69D"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WYDANIE ODDZIELNYCH CERTYFIKATÓW</w:t>
      </w:r>
    </w:p>
    <w:p w14:paraId="3A22E62F"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W przypadku, gdy istnieje możliwość wydania zarówno oddzielnych, jak i pojedynczych certyfikatów, właściwy organ powinien działać zgodnie z wnioskiem złożonym przez wnioskodawcę.</w:t>
      </w:r>
    </w:p>
    <w:p w14:paraId="67E5680C"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 przypadku, gdy istnieje możliwość wystawienia oddzielnych certyfikatów, oba certyfikaty powinny być wydawane przez ten sam właściwy organ.</w:t>
      </w:r>
    </w:p>
    <w:p w14:paraId="66D57F6E" w14:textId="69468D35" w:rsidR="007B1601"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W przypadku, gdy operator lotniska obsługuje kilka lotnisk, lotniska te powinny być wymienione w certyfikacie operatora lotniska.</w:t>
      </w:r>
    </w:p>
    <w:p w14:paraId="52A412B4" w14:textId="77777777" w:rsidR="007B1601" w:rsidRDefault="007B1601">
      <w:pPr>
        <w:spacing w:after="0"/>
        <w:jc w:val="left"/>
        <w:rPr>
          <w:rFonts w:asciiTheme="minorHAnsi" w:eastAsia="Calibri" w:hAnsiTheme="minorHAnsi" w:cstheme="minorHAnsi"/>
          <w:szCs w:val="18"/>
        </w:rPr>
      </w:pPr>
      <w:r>
        <w:rPr>
          <w:rFonts w:asciiTheme="minorHAnsi" w:eastAsia="Calibri" w:hAnsiTheme="minorHAnsi" w:cstheme="minorHAnsi"/>
          <w:szCs w:val="18"/>
        </w:rPr>
        <w:br w:type="page"/>
      </w:r>
    </w:p>
    <w:p w14:paraId="0E7CEAC0" w14:textId="77777777" w:rsidR="00A24B77" w:rsidRPr="009E064B" w:rsidRDefault="00A24B77" w:rsidP="00B06A9A">
      <w:pPr>
        <w:widowControl/>
        <w:tabs>
          <w:tab w:val="left" w:pos="567"/>
        </w:tabs>
        <w:ind w:left="567" w:hanging="567"/>
        <w:rPr>
          <w:rFonts w:asciiTheme="minorHAnsi" w:eastAsia="Calibri" w:hAnsiTheme="minorHAnsi" w:cstheme="minorHAnsi"/>
          <w:szCs w:val="18"/>
        </w:rPr>
      </w:pPr>
    </w:p>
    <w:p w14:paraId="7013DCC4" w14:textId="58C56076" w:rsidR="00E32CD3" w:rsidRPr="009E064B" w:rsidRDefault="00E32CD3" w:rsidP="00133B99">
      <w:pPr>
        <w:pStyle w:val="Nagwek6"/>
      </w:pPr>
      <w:bookmarkStart w:id="182" w:name="_Toc492024549"/>
      <w:bookmarkStart w:id="183" w:name="_Toc12532613"/>
      <w:r w:rsidRPr="009E064B">
        <w:t xml:space="preserve">GM1 ADR.AR.C.035(b)(2)    </w:t>
      </w:r>
      <w:r w:rsidR="00D01EBC" w:rsidRPr="009E064B">
        <w:t xml:space="preserve"> </w:t>
      </w:r>
      <w:r w:rsidRPr="009E064B">
        <w:t>Wydawanie certyfikatów</w:t>
      </w:r>
      <w:bookmarkEnd w:id="182"/>
      <w:bookmarkEnd w:id="183"/>
    </w:p>
    <w:p w14:paraId="4509493C" w14:textId="65DD3707"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04B4A5B" w14:textId="77777777" w:rsidR="00E32CD3" w:rsidRPr="009E064B" w:rsidRDefault="00E32CD3" w:rsidP="00F95D4B">
      <w:pPr>
        <w:widowControl/>
        <w:spacing w:before="120"/>
        <w:jc w:val="center"/>
        <w:rPr>
          <w:rFonts w:asciiTheme="minorHAnsi" w:eastAsia="Calibri" w:hAnsiTheme="minorHAnsi" w:cstheme="minorHAnsi"/>
          <w:szCs w:val="18"/>
        </w:rPr>
      </w:pPr>
      <w:r w:rsidRPr="009E064B">
        <w:rPr>
          <w:rFonts w:asciiTheme="minorHAnsi" w:eastAsia="Calibri" w:hAnsiTheme="minorHAnsi" w:cstheme="minorHAnsi"/>
          <w:szCs w:val="18"/>
        </w:rPr>
        <w:t>WZÓR DLA DWÓCH ODDZIELNYCH CERTYFIKATÓW ― (A) CERTYFIKAT OPERATORA LOTNISKA</w:t>
      </w:r>
    </w:p>
    <w:p w14:paraId="33704A71" w14:textId="77777777" w:rsidR="00E32CD3" w:rsidRPr="009E064B" w:rsidRDefault="00E32CD3" w:rsidP="00B06A9A">
      <w:pPr>
        <w:widowControl/>
        <w:spacing w:before="120" w:after="0"/>
        <w:rPr>
          <w:rFonts w:asciiTheme="minorHAnsi" w:eastAsia="Calibri" w:hAnsiTheme="minorHAnsi" w:cstheme="minorHAnsi"/>
          <w:sz w:val="18"/>
          <w:szCs w:val="18"/>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9E064B" w14:paraId="1CB33EBD" w14:textId="77777777" w:rsidTr="00E32CD3">
        <w:tc>
          <w:tcPr>
            <w:tcW w:w="9210" w:type="dxa"/>
          </w:tcPr>
          <w:p w14:paraId="75E4B288" w14:textId="77777777" w:rsidR="00E32CD3" w:rsidRPr="009E064B" w:rsidRDefault="00E32CD3" w:rsidP="00862AA9">
            <w:pPr>
              <w:widowControl/>
              <w:spacing w:after="0"/>
              <w:jc w:val="center"/>
              <w:rPr>
                <w:rFonts w:asciiTheme="minorHAnsi" w:eastAsia="Calibri" w:hAnsiTheme="minorHAnsi" w:cstheme="minorHAnsi"/>
                <w:sz w:val="20"/>
                <w:szCs w:val="18"/>
              </w:rPr>
            </w:pPr>
          </w:p>
          <w:p w14:paraId="61A1F14F"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[PAŃSTWO CZŁONKOWSKIE]</w:t>
            </w:r>
          </w:p>
        </w:tc>
      </w:tr>
      <w:tr w:rsidR="00E32CD3" w:rsidRPr="009E064B" w14:paraId="335B5E7A" w14:textId="77777777" w:rsidTr="00E32CD3">
        <w:tc>
          <w:tcPr>
            <w:tcW w:w="9210" w:type="dxa"/>
          </w:tcPr>
          <w:p w14:paraId="237AA6BD"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Członek Unii Europejskiej</w:t>
            </w:r>
            <w:r w:rsidRPr="009E064B">
              <w:rPr>
                <w:rFonts w:asciiTheme="minorHAnsi" w:eastAsia="Calibri" w:hAnsiTheme="minorHAnsi" w:cstheme="minorHAnsi"/>
                <w:sz w:val="20"/>
                <w:szCs w:val="18"/>
                <w:vertAlign w:val="superscript"/>
              </w:rPr>
              <w:footnoteReference w:id="23"/>
            </w:r>
          </w:p>
        </w:tc>
      </w:tr>
      <w:tr w:rsidR="00E32CD3" w:rsidRPr="009E064B" w14:paraId="7CB98843" w14:textId="77777777" w:rsidTr="00E32CD3">
        <w:tc>
          <w:tcPr>
            <w:tcW w:w="9210" w:type="dxa"/>
          </w:tcPr>
          <w:p w14:paraId="5344428A" w14:textId="77777777" w:rsidR="00E32CD3" w:rsidRPr="009E064B" w:rsidRDefault="00E32CD3" w:rsidP="00862AA9">
            <w:pPr>
              <w:widowControl/>
              <w:spacing w:after="0"/>
              <w:jc w:val="center"/>
              <w:rPr>
                <w:rFonts w:asciiTheme="minorHAnsi" w:eastAsia="Calibri" w:hAnsiTheme="minorHAnsi" w:cstheme="minorHAnsi"/>
                <w:sz w:val="20"/>
                <w:szCs w:val="18"/>
              </w:rPr>
            </w:pPr>
          </w:p>
        </w:tc>
      </w:tr>
      <w:tr w:rsidR="00E32CD3" w:rsidRPr="009E064B" w14:paraId="3D522D58" w14:textId="77777777" w:rsidTr="00E32CD3">
        <w:tc>
          <w:tcPr>
            <w:tcW w:w="9210" w:type="dxa"/>
          </w:tcPr>
          <w:p w14:paraId="74AD7443"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b/>
                <w:bCs/>
                <w:i/>
                <w:iCs/>
                <w:sz w:val="20"/>
                <w:szCs w:val="18"/>
              </w:rPr>
              <w:t>CERTYFIKAT OPERATORA LOTNISKA</w:t>
            </w:r>
          </w:p>
        </w:tc>
      </w:tr>
      <w:tr w:rsidR="00E32CD3" w:rsidRPr="009E064B" w14:paraId="3408F8A2" w14:textId="77777777" w:rsidTr="00E32CD3">
        <w:tc>
          <w:tcPr>
            <w:tcW w:w="9210" w:type="dxa"/>
          </w:tcPr>
          <w:p w14:paraId="14A25E51"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bCs/>
                <w:iCs/>
                <w:sz w:val="20"/>
                <w:szCs w:val="18"/>
              </w:rPr>
              <w:t>Numer</w:t>
            </w:r>
            <w:r w:rsidRPr="009E064B">
              <w:rPr>
                <w:rFonts w:asciiTheme="minorHAnsi" w:eastAsia="Calibri" w:hAnsiTheme="minorHAnsi" w:cstheme="minorHAnsi"/>
                <w:sz w:val="20"/>
                <w:szCs w:val="18"/>
              </w:rPr>
              <w:t xml:space="preserve"> referencyjny certyfikatu: [KOD PAŃSTWA]: XXXXX</w:t>
            </w:r>
          </w:p>
        </w:tc>
      </w:tr>
      <w:tr w:rsidR="00E32CD3" w:rsidRPr="009E064B" w14:paraId="79451579" w14:textId="77777777" w:rsidTr="00E32CD3">
        <w:tc>
          <w:tcPr>
            <w:tcW w:w="9210" w:type="dxa"/>
          </w:tcPr>
          <w:p w14:paraId="573722F6" w14:textId="77777777" w:rsidR="00E32CD3" w:rsidRPr="009E064B" w:rsidRDefault="00E32CD3" w:rsidP="00862AA9">
            <w:pPr>
              <w:widowControl/>
              <w:spacing w:after="0"/>
              <w:rPr>
                <w:rFonts w:asciiTheme="minorHAnsi" w:eastAsia="Calibri" w:hAnsiTheme="minorHAnsi" w:cstheme="minorHAnsi"/>
                <w:sz w:val="20"/>
                <w:szCs w:val="18"/>
              </w:rPr>
            </w:pPr>
          </w:p>
        </w:tc>
      </w:tr>
      <w:tr w:rsidR="00E32CD3" w:rsidRPr="009E064B" w14:paraId="77FBC454" w14:textId="77777777" w:rsidTr="00E32CD3">
        <w:tc>
          <w:tcPr>
            <w:tcW w:w="9210" w:type="dxa"/>
          </w:tcPr>
          <w:p w14:paraId="6A55C88D"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Zgodnie z rozporządzeniem (WE) nr 216/2008 Parlamentu Europejskiego i Rady oraz rozporządzeniem Komisji (UE) nr ... / ... obecnie obowiązujących, z zastrzeżeniem warunków określonych poniżej, [WŁAŚCIWY ORGAN PAŃSTWA CZŁONKOWSKIEGO</w:t>
            </w:r>
            <w:r w:rsidRPr="009E064B">
              <w:rPr>
                <w:rFonts w:asciiTheme="minorHAnsi" w:eastAsia="Calibri" w:hAnsiTheme="minorHAnsi" w:cstheme="minorHAnsi"/>
                <w:sz w:val="20"/>
                <w:szCs w:val="18"/>
                <w:vertAlign w:val="superscript"/>
              </w:rPr>
              <w:footnoteReference w:id="24"/>
            </w:r>
            <w:r w:rsidRPr="009E064B">
              <w:rPr>
                <w:rFonts w:asciiTheme="minorHAnsi" w:eastAsia="Calibri" w:hAnsiTheme="minorHAnsi" w:cstheme="minorHAnsi"/>
                <w:sz w:val="20"/>
                <w:szCs w:val="18"/>
              </w:rPr>
              <w:t>] niniejszym zaświadcza, że:</w:t>
            </w:r>
          </w:p>
        </w:tc>
      </w:tr>
      <w:tr w:rsidR="00E32CD3" w:rsidRPr="009E064B" w14:paraId="0CDA0C0B" w14:textId="77777777" w:rsidTr="00E32CD3">
        <w:tc>
          <w:tcPr>
            <w:tcW w:w="9210" w:type="dxa"/>
          </w:tcPr>
          <w:p w14:paraId="10A7B511"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[NAZWA I ADRES PODMIOTU]</w:t>
            </w:r>
          </w:p>
        </w:tc>
      </w:tr>
      <w:tr w:rsidR="00E32CD3" w:rsidRPr="009E064B" w14:paraId="18E23A61" w14:textId="77777777" w:rsidTr="00E32CD3">
        <w:tc>
          <w:tcPr>
            <w:tcW w:w="9210" w:type="dxa"/>
          </w:tcPr>
          <w:p w14:paraId="240CC4AF"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jest upoważniony do prowadzenia operacji na lotnisku [NAZWA LOTNISKA(LOTNISK)]</w:t>
            </w:r>
            <w:r w:rsidRPr="009E064B">
              <w:rPr>
                <w:rFonts w:asciiTheme="minorHAnsi" w:eastAsia="Calibri" w:hAnsiTheme="minorHAnsi" w:cstheme="minorHAnsi"/>
                <w:sz w:val="20"/>
                <w:szCs w:val="18"/>
                <w:vertAlign w:val="superscript"/>
              </w:rPr>
              <w:footnoteReference w:id="25"/>
            </w:r>
            <w:r w:rsidRPr="009E064B">
              <w:rPr>
                <w:rFonts w:asciiTheme="minorHAnsi" w:eastAsia="Calibri" w:hAnsiTheme="minorHAnsi" w:cstheme="minorHAnsi"/>
                <w:sz w:val="20"/>
                <w:szCs w:val="18"/>
              </w:rPr>
              <w:t>, zgodnie z wymaganiami rozporządzenia (WE) nr 216/2008 i jego przepisów wykonawczych, podstawą certyfikacji lotniska, warunkami certyfikatu dołączonymi do certyfikatu lotniska oraz instrukcją operacyjną lotniska.</w:t>
            </w:r>
          </w:p>
        </w:tc>
      </w:tr>
      <w:tr w:rsidR="00E32CD3" w:rsidRPr="009E064B" w14:paraId="5471E820" w14:textId="77777777" w:rsidTr="00E32CD3">
        <w:tc>
          <w:tcPr>
            <w:tcW w:w="9210" w:type="dxa"/>
          </w:tcPr>
          <w:p w14:paraId="39E655AF" w14:textId="77777777" w:rsidR="00E32CD3" w:rsidRPr="009E064B" w:rsidRDefault="00E32CD3" w:rsidP="00862AA9">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Niniejszy certyfikat pozostaje ważny na czas nieokreślony, o ile nie zostanie zwrócony lub cofnięty.</w:t>
            </w:r>
          </w:p>
        </w:tc>
      </w:tr>
      <w:tr w:rsidR="00E32CD3" w:rsidRPr="009E064B" w14:paraId="0CB9E009" w14:textId="77777777" w:rsidTr="00E32CD3">
        <w:tc>
          <w:tcPr>
            <w:tcW w:w="9210" w:type="dxa"/>
          </w:tcPr>
          <w:p w14:paraId="30E2ED64" w14:textId="77777777" w:rsidR="00E32CD3" w:rsidRPr="009E064B" w:rsidRDefault="00E32CD3" w:rsidP="00862AA9">
            <w:pPr>
              <w:widowControl/>
              <w:spacing w:after="0"/>
              <w:rPr>
                <w:rFonts w:asciiTheme="minorHAnsi" w:eastAsia="Calibri" w:hAnsiTheme="minorHAnsi" w:cstheme="minorHAnsi"/>
                <w:sz w:val="20"/>
                <w:szCs w:val="18"/>
              </w:rPr>
            </w:pPr>
          </w:p>
        </w:tc>
      </w:tr>
      <w:tr w:rsidR="00E32CD3" w:rsidRPr="009E064B" w14:paraId="62E2367B" w14:textId="77777777" w:rsidTr="00E32CD3">
        <w:tc>
          <w:tcPr>
            <w:tcW w:w="9210" w:type="dxa"/>
          </w:tcPr>
          <w:p w14:paraId="51D4706A" w14:textId="77777777" w:rsidR="00E32CD3" w:rsidRPr="009E064B" w:rsidRDefault="00E32CD3" w:rsidP="00EB5F03">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Data pierwszego wydania:…………………………………………………………………………………………………………..</w:t>
            </w:r>
          </w:p>
          <w:p w14:paraId="5DE986B8" w14:textId="77777777" w:rsidR="00E32CD3" w:rsidRPr="009E064B" w:rsidRDefault="00E32CD3" w:rsidP="00862AA9">
            <w:pPr>
              <w:widowControl/>
              <w:spacing w:after="0"/>
              <w:rPr>
                <w:rFonts w:asciiTheme="minorHAnsi" w:eastAsia="Calibri" w:hAnsiTheme="minorHAnsi" w:cstheme="minorHAnsi"/>
                <w:sz w:val="20"/>
                <w:szCs w:val="18"/>
              </w:rPr>
            </w:pPr>
          </w:p>
        </w:tc>
      </w:tr>
      <w:tr w:rsidR="00E32CD3" w:rsidRPr="009E064B" w14:paraId="0AAB28B7" w14:textId="77777777" w:rsidTr="00E32CD3">
        <w:tc>
          <w:tcPr>
            <w:tcW w:w="9210" w:type="dxa"/>
          </w:tcPr>
          <w:p w14:paraId="1B50ED45"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Numer zmiany: …………………………………………………………………………………………………………………………..</w:t>
            </w:r>
          </w:p>
        </w:tc>
      </w:tr>
      <w:tr w:rsidR="00E32CD3" w:rsidRPr="009E064B" w14:paraId="04209E78" w14:textId="77777777" w:rsidTr="00E32CD3">
        <w:tc>
          <w:tcPr>
            <w:tcW w:w="9210" w:type="dxa"/>
          </w:tcPr>
          <w:p w14:paraId="6345B43E" w14:textId="77777777" w:rsidR="00E32CD3" w:rsidRPr="009E064B" w:rsidRDefault="00E32CD3" w:rsidP="00EB5F03">
            <w:pPr>
              <w:widowControl/>
              <w:spacing w:before="120"/>
              <w:rPr>
                <w:rFonts w:asciiTheme="minorHAnsi" w:eastAsia="Calibri" w:hAnsiTheme="minorHAnsi" w:cstheme="minorHAnsi"/>
                <w:sz w:val="20"/>
                <w:szCs w:val="18"/>
              </w:rPr>
            </w:pPr>
            <w:r w:rsidRPr="009E064B">
              <w:rPr>
                <w:rFonts w:asciiTheme="minorHAnsi" w:eastAsia="Calibri" w:hAnsiTheme="minorHAnsi" w:cstheme="minorHAnsi"/>
                <w:sz w:val="20"/>
                <w:szCs w:val="18"/>
              </w:rPr>
              <w:t>Podpisano: …………………………………………………………………………………………………………………………………..</w:t>
            </w:r>
          </w:p>
        </w:tc>
      </w:tr>
      <w:tr w:rsidR="00E32CD3" w:rsidRPr="009E064B" w14:paraId="62EFF93B" w14:textId="77777777" w:rsidTr="00E32CD3">
        <w:tc>
          <w:tcPr>
            <w:tcW w:w="9210" w:type="dxa"/>
          </w:tcPr>
          <w:p w14:paraId="726C234E" w14:textId="77777777" w:rsidR="00E32CD3" w:rsidRPr="009E064B" w:rsidRDefault="00E32CD3" w:rsidP="00EB5F03">
            <w:pPr>
              <w:widowControl/>
              <w:spacing w:before="240"/>
              <w:rPr>
                <w:rFonts w:asciiTheme="minorHAnsi" w:eastAsia="Calibri" w:hAnsiTheme="minorHAnsi" w:cstheme="minorHAnsi"/>
                <w:sz w:val="20"/>
                <w:szCs w:val="18"/>
              </w:rPr>
            </w:pPr>
            <w:r w:rsidRPr="009E064B">
              <w:rPr>
                <w:rFonts w:asciiTheme="minorHAnsi" w:eastAsia="Calibri" w:hAnsiTheme="minorHAnsi" w:cstheme="minorHAnsi"/>
                <w:sz w:val="20"/>
                <w:szCs w:val="18"/>
              </w:rPr>
              <w:t>Właściwy organ [IDENTYFIKACJA WŁAŚCIWEGO ORGANU]</w:t>
            </w:r>
          </w:p>
          <w:p w14:paraId="39934CA4" w14:textId="77777777" w:rsidR="00E32CD3" w:rsidRPr="009E064B" w:rsidRDefault="00E32CD3" w:rsidP="00862AA9">
            <w:pPr>
              <w:widowControl/>
              <w:spacing w:after="0"/>
              <w:rPr>
                <w:rFonts w:asciiTheme="minorHAnsi" w:eastAsia="Calibri" w:hAnsiTheme="minorHAnsi" w:cstheme="minorHAnsi"/>
                <w:sz w:val="20"/>
                <w:szCs w:val="18"/>
              </w:rPr>
            </w:pPr>
          </w:p>
        </w:tc>
      </w:tr>
    </w:tbl>
    <w:p w14:paraId="2B393B7B" w14:textId="77777777" w:rsidR="00E32CD3" w:rsidRPr="009E064B" w:rsidRDefault="00E32CD3" w:rsidP="00862AA9">
      <w:pPr>
        <w:widowControl/>
        <w:spacing w:after="0"/>
        <w:rPr>
          <w:rFonts w:asciiTheme="minorHAnsi" w:eastAsia="Calibri" w:hAnsiTheme="minorHAnsi" w:cstheme="minorHAnsi"/>
        </w:rPr>
      </w:pPr>
    </w:p>
    <w:p w14:paraId="4DAB9880" w14:textId="52F7B2C8" w:rsidR="007B1601" w:rsidRDefault="007B1601">
      <w:pPr>
        <w:spacing w:after="0"/>
        <w:jc w:val="left"/>
        <w:rPr>
          <w:rFonts w:asciiTheme="minorHAnsi" w:eastAsia="Calibri" w:hAnsiTheme="minorHAnsi" w:cstheme="minorHAnsi"/>
        </w:rPr>
      </w:pPr>
      <w:r>
        <w:rPr>
          <w:rFonts w:asciiTheme="minorHAnsi" w:eastAsia="Calibri" w:hAnsiTheme="minorHAnsi" w:cstheme="minorHAnsi"/>
        </w:rPr>
        <w:br w:type="page"/>
      </w:r>
    </w:p>
    <w:p w14:paraId="03927708" w14:textId="77777777" w:rsidR="00846BCB" w:rsidRPr="009E064B" w:rsidRDefault="00846BCB">
      <w:pPr>
        <w:spacing w:after="0"/>
        <w:jc w:val="left"/>
        <w:rPr>
          <w:rFonts w:asciiTheme="minorHAnsi" w:eastAsia="Calibri" w:hAnsiTheme="minorHAnsi" w:cstheme="minorHAnsi"/>
        </w:rPr>
      </w:pPr>
    </w:p>
    <w:p w14:paraId="4D40545A" w14:textId="77777777" w:rsidR="00E32CD3" w:rsidRPr="009E064B" w:rsidRDefault="00E32CD3" w:rsidP="00F95D4B">
      <w:pPr>
        <w:widowControl/>
        <w:spacing w:before="120" w:after="0"/>
        <w:jc w:val="center"/>
        <w:rPr>
          <w:rFonts w:asciiTheme="minorHAnsi" w:eastAsia="Calibri" w:hAnsiTheme="minorHAnsi" w:cstheme="minorHAnsi"/>
        </w:rPr>
      </w:pPr>
      <w:r w:rsidRPr="009E064B">
        <w:rPr>
          <w:rFonts w:asciiTheme="minorHAnsi" w:eastAsia="Calibri" w:hAnsiTheme="minorHAnsi" w:cstheme="minorHAnsi"/>
        </w:rPr>
        <w:t>WZÓR DLA DWÓCH ODDZIELNYCH CERTYFIKATÓW — (B) CERTYFIKAT LOTNISKA</w:t>
      </w:r>
    </w:p>
    <w:p w14:paraId="37F0CD46" w14:textId="77777777" w:rsidR="00E32CD3" w:rsidRPr="009E064B" w:rsidRDefault="00E32CD3" w:rsidP="00F95D4B">
      <w:pPr>
        <w:widowControl/>
        <w:spacing w:after="0"/>
        <w:rPr>
          <w:rFonts w:asciiTheme="minorHAnsi" w:eastAsia="Calibri" w:hAnsiTheme="minorHAnsi" w:cstheme="minorHAnsi"/>
        </w:rPr>
      </w:pPr>
    </w:p>
    <w:tbl>
      <w:tblPr>
        <w:tblW w:w="0" w:type="auto"/>
        <w:tblInd w:w="2" w:type="dxa"/>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9210"/>
      </w:tblGrid>
      <w:tr w:rsidR="00E32CD3" w:rsidRPr="009E064B" w14:paraId="5BC41463" w14:textId="77777777" w:rsidTr="00E32CD3">
        <w:tc>
          <w:tcPr>
            <w:tcW w:w="9210" w:type="dxa"/>
            <w:shd w:val="clear" w:color="auto" w:fill="auto"/>
          </w:tcPr>
          <w:p w14:paraId="2BFFC255" w14:textId="77777777" w:rsidR="00E32CD3" w:rsidRPr="009E064B" w:rsidRDefault="00E32CD3" w:rsidP="00862AA9">
            <w:pPr>
              <w:widowControl/>
              <w:spacing w:after="0"/>
              <w:jc w:val="center"/>
              <w:rPr>
                <w:rFonts w:asciiTheme="minorHAnsi" w:eastAsia="Calibri" w:hAnsiTheme="minorHAnsi" w:cstheme="minorHAnsi"/>
                <w:sz w:val="20"/>
                <w:szCs w:val="18"/>
              </w:rPr>
            </w:pPr>
          </w:p>
          <w:p w14:paraId="0DCF10CC"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[PAŃSTWO CZŁONKOWSKIE]</w:t>
            </w:r>
          </w:p>
        </w:tc>
      </w:tr>
      <w:tr w:rsidR="00E32CD3" w:rsidRPr="009E064B" w14:paraId="4B3C9F65" w14:textId="77777777" w:rsidTr="00E32CD3">
        <w:tc>
          <w:tcPr>
            <w:tcW w:w="9210" w:type="dxa"/>
            <w:shd w:val="clear" w:color="auto" w:fill="auto"/>
          </w:tcPr>
          <w:p w14:paraId="0C4EEF3D"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Członek Unii Europejskiej</w:t>
            </w:r>
            <w:r w:rsidRPr="009E064B">
              <w:rPr>
                <w:rFonts w:asciiTheme="minorHAnsi" w:eastAsia="Calibri" w:hAnsiTheme="minorHAnsi" w:cstheme="minorHAnsi"/>
                <w:sz w:val="20"/>
                <w:szCs w:val="18"/>
                <w:vertAlign w:val="superscript"/>
              </w:rPr>
              <w:footnoteReference w:id="26"/>
            </w:r>
          </w:p>
        </w:tc>
      </w:tr>
      <w:tr w:rsidR="00E32CD3" w:rsidRPr="009E064B" w14:paraId="13CBD242" w14:textId="77777777" w:rsidTr="00E32CD3">
        <w:tc>
          <w:tcPr>
            <w:tcW w:w="9210" w:type="dxa"/>
            <w:shd w:val="clear" w:color="auto" w:fill="auto"/>
          </w:tcPr>
          <w:p w14:paraId="6FBBD448" w14:textId="77777777" w:rsidR="00E32CD3" w:rsidRPr="009E064B" w:rsidRDefault="00E32CD3" w:rsidP="00862AA9">
            <w:pPr>
              <w:widowControl/>
              <w:spacing w:after="0"/>
              <w:jc w:val="center"/>
              <w:rPr>
                <w:rFonts w:asciiTheme="minorHAnsi" w:eastAsia="Calibri" w:hAnsiTheme="minorHAnsi" w:cstheme="minorHAnsi"/>
                <w:sz w:val="20"/>
                <w:szCs w:val="18"/>
              </w:rPr>
            </w:pPr>
          </w:p>
        </w:tc>
      </w:tr>
      <w:tr w:rsidR="00E32CD3" w:rsidRPr="009E064B" w14:paraId="0127E14C" w14:textId="77777777" w:rsidTr="00E32CD3">
        <w:tc>
          <w:tcPr>
            <w:tcW w:w="9210" w:type="dxa"/>
            <w:shd w:val="clear" w:color="auto" w:fill="auto"/>
            <w:vAlign w:val="center"/>
          </w:tcPr>
          <w:p w14:paraId="0D4DEA72" w14:textId="77777777" w:rsidR="00E32CD3" w:rsidRPr="009E064B" w:rsidRDefault="00E32CD3" w:rsidP="00B06A9A">
            <w:pPr>
              <w:widowControl/>
              <w:jc w:val="center"/>
              <w:rPr>
                <w:rFonts w:asciiTheme="minorHAnsi" w:eastAsia="Calibri" w:hAnsiTheme="minorHAnsi" w:cstheme="minorHAnsi"/>
                <w:b/>
                <w:i/>
                <w:sz w:val="20"/>
                <w:szCs w:val="18"/>
              </w:rPr>
            </w:pPr>
            <w:r w:rsidRPr="009E064B">
              <w:rPr>
                <w:rFonts w:asciiTheme="minorHAnsi" w:eastAsia="Calibri" w:hAnsiTheme="minorHAnsi" w:cstheme="minorHAnsi"/>
                <w:b/>
                <w:i/>
                <w:sz w:val="20"/>
                <w:szCs w:val="18"/>
              </w:rPr>
              <w:t>CERTYFIKAT LOTNISKA</w:t>
            </w:r>
          </w:p>
        </w:tc>
      </w:tr>
      <w:tr w:rsidR="00E32CD3" w:rsidRPr="009E064B" w14:paraId="3F36DB33" w14:textId="77777777" w:rsidTr="00E32CD3">
        <w:tc>
          <w:tcPr>
            <w:tcW w:w="9210" w:type="dxa"/>
            <w:shd w:val="clear" w:color="auto" w:fill="auto"/>
          </w:tcPr>
          <w:p w14:paraId="71FAD7D4"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Numer referencyjny certyfikatu: [KOD PAŃSTWA]: XXXXX</w:t>
            </w:r>
          </w:p>
        </w:tc>
      </w:tr>
      <w:tr w:rsidR="00E32CD3" w:rsidRPr="009E064B" w14:paraId="0288E642" w14:textId="77777777" w:rsidTr="00E32CD3">
        <w:tc>
          <w:tcPr>
            <w:tcW w:w="9210" w:type="dxa"/>
            <w:shd w:val="clear" w:color="auto" w:fill="auto"/>
          </w:tcPr>
          <w:p w14:paraId="36840A38" w14:textId="77777777" w:rsidR="00E32CD3" w:rsidRPr="009E064B" w:rsidRDefault="00E32CD3" w:rsidP="00862AA9">
            <w:pPr>
              <w:widowControl/>
              <w:spacing w:after="0"/>
              <w:jc w:val="center"/>
              <w:rPr>
                <w:rFonts w:asciiTheme="minorHAnsi" w:eastAsia="Calibri" w:hAnsiTheme="minorHAnsi" w:cstheme="minorHAnsi"/>
                <w:sz w:val="20"/>
                <w:szCs w:val="18"/>
              </w:rPr>
            </w:pPr>
          </w:p>
        </w:tc>
      </w:tr>
      <w:tr w:rsidR="00E32CD3" w:rsidRPr="009E064B" w14:paraId="7327C5EB" w14:textId="77777777" w:rsidTr="00E32CD3">
        <w:tc>
          <w:tcPr>
            <w:tcW w:w="9210" w:type="dxa"/>
            <w:shd w:val="clear" w:color="auto" w:fill="auto"/>
          </w:tcPr>
          <w:p w14:paraId="58F61245"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Zgodnie z rozporządzeniem (WE) nr 216/2008 Parlamentu Europejskiego i Rady oraz rozporządzeniem Komisji (UE) nr ... / ... obecnie obowiązujących, z zastrzeżeniem warunków określonych poniżej, [WŁAŚCIWY ORGAN PAŃSTWA CZŁONKOWSKIEGO] niniejszym zaświadcza, że:</w:t>
            </w:r>
          </w:p>
        </w:tc>
      </w:tr>
      <w:tr w:rsidR="00E32CD3" w:rsidRPr="009E064B" w14:paraId="65FCDB41" w14:textId="77777777" w:rsidTr="00E32CD3">
        <w:tc>
          <w:tcPr>
            <w:tcW w:w="9210" w:type="dxa"/>
            <w:shd w:val="clear" w:color="auto" w:fill="auto"/>
          </w:tcPr>
          <w:p w14:paraId="57E0CBF2" w14:textId="77777777" w:rsidR="00E32CD3" w:rsidRPr="009E064B" w:rsidRDefault="00E32CD3" w:rsidP="00B06A9A">
            <w:pPr>
              <w:widowControl/>
              <w:jc w:val="center"/>
              <w:rPr>
                <w:rFonts w:asciiTheme="minorHAnsi" w:eastAsia="Calibri" w:hAnsiTheme="minorHAnsi" w:cstheme="minorHAnsi"/>
                <w:sz w:val="20"/>
                <w:szCs w:val="18"/>
              </w:rPr>
            </w:pPr>
            <w:r w:rsidRPr="009E064B">
              <w:rPr>
                <w:rFonts w:asciiTheme="minorHAnsi" w:eastAsia="Calibri" w:hAnsiTheme="minorHAnsi" w:cstheme="minorHAnsi"/>
                <w:sz w:val="20"/>
                <w:szCs w:val="18"/>
              </w:rPr>
              <w:t>[NAZWA LOTNISKA</w:t>
            </w:r>
            <w:r w:rsidRPr="009E064B">
              <w:rPr>
                <w:rFonts w:asciiTheme="minorHAnsi" w:eastAsia="Calibri" w:hAnsiTheme="minorHAnsi" w:cstheme="minorHAnsi"/>
                <w:sz w:val="20"/>
                <w:szCs w:val="18"/>
                <w:vertAlign w:val="superscript"/>
              </w:rPr>
              <w:footnoteReference w:id="27"/>
            </w:r>
            <w:r w:rsidRPr="009E064B">
              <w:rPr>
                <w:rFonts w:asciiTheme="minorHAnsi" w:eastAsia="Calibri" w:hAnsiTheme="minorHAnsi" w:cstheme="minorHAnsi"/>
                <w:sz w:val="20"/>
                <w:szCs w:val="18"/>
              </w:rPr>
              <w:t>]</w:t>
            </w:r>
          </w:p>
        </w:tc>
      </w:tr>
      <w:tr w:rsidR="00E32CD3" w:rsidRPr="009E064B" w14:paraId="73D71798" w14:textId="77777777" w:rsidTr="00E32CD3">
        <w:tc>
          <w:tcPr>
            <w:tcW w:w="9210" w:type="dxa"/>
            <w:shd w:val="clear" w:color="auto" w:fill="auto"/>
          </w:tcPr>
          <w:p w14:paraId="30742C5F"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jest upoważnione do prowadzenia operacji lotniskowych pod nadzorem [NAZWA I ADRES OPERATORA LOTNISKA], zgodnie z wymaganiami rozporządzenia (WE) nr 216/2008 i jego przepisów wykonawczych, podstawą certyfikacji lotniska, warunkami certyfikatu dołączonego do niniejszego certyfikatu lotniska oraz instrukcją operacyjną lotniska.</w:t>
            </w:r>
          </w:p>
        </w:tc>
      </w:tr>
      <w:tr w:rsidR="00E32CD3" w:rsidRPr="009E064B" w14:paraId="2CA55BE3" w14:textId="77777777" w:rsidTr="00E32CD3">
        <w:tc>
          <w:tcPr>
            <w:tcW w:w="9210" w:type="dxa"/>
            <w:shd w:val="clear" w:color="auto" w:fill="auto"/>
          </w:tcPr>
          <w:p w14:paraId="1DB10F51" w14:textId="77777777" w:rsidR="00E32CD3" w:rsidRPr="009E064B" w:rsidRDefault="00E32CD3" w:rsidP="00862AA9">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Niniejszy certyfikat pozostaje ważny na czas nieokreślony, o ile nie zostanie zwrócony lub cofnięty.</w:t>
            </w:r>
          </w:p>
        </w:tc>
      </w:tr>
      <w:tr w:rsidR="00E32CD3" w:rsidRPr="009E064B" w14:paraId="73876400" w14:textId="77777777" w:rsidTr="00E32CD3">
        <w:tc>
          <w:tcPr>
            <w:tcW w:w="9210" w:type="dxa"/>
            <w:shd w:val="clear" w:color="auto" w:fill="auto"/>
          </w:tcPr>
          <w:p w14:paraId="5EC2D58D" w14:textId="77777777" w:rsidR="00E32CD3" w:rsidRPr="009E064B" w:rsidRDefault="00E32CD3" w:rsidP="00862AA9">
            <w:pPr>
              <w:widowControl/>
              <w:spacing w:after="0"/>
              <w:rPr>
                <w:rFonts w:asciiTheme="minorHAnsi" w:eastAsia="Calibri" w:hAnsiTheme="minorHAnsi" w:cstheme="minorHAnsi"/>
                <w:sz w:val="20"/>
                <w:szCs w:val="18"/>
              </w:rPr>
            </w:pPr>
          </w:p>
        </w:tc>
      </w:tr>
      <w:tr w:rsidR="00E32CD3" w:rsidRPr="009E064B" w14:paraId="232B7DD9" w14:textId="77777777" w:rsidTr="00E32CD3">
        <w:tc>
          <w:tcPr>
            <w:tcW w:w="9210" w:type="dxa"/>
            <w:shd w:val="clear" w:color="auto" w:fill="auto"/>
          </w:tcPr>
          <w:p w14:paraId="2C1455C7" w14:textId="77777777" w:rsidR="00E32CD3" w:rsidRPr="009E064B" w:rsidRDefault="00E32CD3" w:rsidP="00B06A9A">
            <w:pPr>
              <w:widowControl/>
              <w:rPr>
                <w:rFonts w:asciiTheme="minorHAnsi" w:eastAsia="Calibri" w:hAnsiTheme="minorHAnsi" w:cstheme="minorHAnsi"/>
                <w:sz w:val="20"/>
                <w:szCs w:val="18"/>
              </w:rPr>
            </w:pPr>
            <w:r w:rsidRPr="009E064B">
              <w:rPr>
                <w:rFonts w:asciiTheme="minorHAnsi" w:eastAsia="Calibri" w:hAnsiTheme="minorHAnsi" w:cstheme="minorHAnsi"/>
                <w:sz w:val="20"/>
                <w:szCs w:val="18"/>
              </w:rPr>
              <w:t>Data pierwszego wydania:…………………………………………………………………………………………………………..</w:t>
            </w:r>
          </w:p>
        </w:tc>
      </w:tr>
      <w:tr w:rsidR="00E32CD3" w:rsidRPr="009E064B" w14:paraId="307A14E0" w14:textId="77777777" w:rsidTr="00E32CD3">
        <w:tc>
          <w:tcPr>
            <w:tcW w:w="9210" w:type="dxa"/>
            <w:shd w:val="clear" w:color="auto" w:fill="auto"/>
          </w:tcPr>
          <w:p w14:paraId="5687BD68" w14:textId="77777777" w:rsidR="00E32CD3" w:rsidRPr="009E064B" w:rsidRDefault="00E32CD3" w:rsidP="00EB5F03">
            <w:pPr>
              <w:widowControl/>
              <w:spacing w:before="120"/>
              <w:rPr>
                <w:rFonts w:asciiTheme="minorHAnsi" w:eastAsia="Calibri" w:hAnsiTheme="minorHAnsi" w:cstheme="minorHAnsi"/>
                <w:sz w:val="20"/>
                <w:szCs w:val="18"/>
              </w:rPr>
            </w:pPr>
            <w:r w:rsidRPr="009E064B">
              <w:rPr>
                <w:rFonts w:asciiTheme="minorHAnsi" w:eastAsia="Calibri" w:hAnsiTheme="minorHAnsi" w:cstheme="minorHAnsi"/>
                <w:sz w:val="20"/>
                <w:szCs w:val="18"/>
              </w:rPr>
              <w:t>Numer zmiany: …………………………………………………………………………………………………………………………..</w:t>
            </w:r>
          </w:p>
        </w:tc>
      </w:tr>
      <w:tr w:rsidR="00E32CD3" w:rsidRPr="009E064B" w14:paraId="79BF962D" w14:textId="77777777" w:rsidTr="00E32CD3">
        <w:tc>
          <w:tcPr>
            <w:tcW w:w="9210" w:type="dxa"/>
            <w:shd w:val="clear" w:color="auto" w:fill="auto"/>
          </w:tcPr>
          <w:p w14:paraId="567FA3E6" w14:textId="77777777" w:rsidR="00E32CD3" w:rsidRPr="009E064B" w:rsidRDefault="00E32CD3" w:rsidP="00EB5F03">
            <w:pPr>
              <w:widowControl/>
              <w:spacing w:before="120"/>
              <w:rPr>
                <w:rFonts w:asciiTheme="minorHAnsi" w:eastAsia="Calibri" w:hAnsiTheme="minorHAnsi" w:cstheme="minorHAnsi"/>
                <w:sz w:val="20"/>
                <w:szCs w:val="18"/>
              </w:rPr>
            </w:pPr>
            <w:r w:rsidRPr="009E064B">
              <w:rPr>
                <w:rFonts w:asciiTheme="minorHAnsi" w:eastAsia="Calibri" w:hAnsiTheme="minorHAnsi" w:cstheme="minorHAnsi"/>
                <w:sz w:val="20"/>
                <w:szCs w:val="18"/>
              </w:rPr>
              <w:t>Podpisano: …………………………………………………………………………………………………………………………………..</w:t>
            </w:r>
          </w:p>
        </w:tc>
      </w:tr>
      <w:tr w:rsidR="00E32CD3" w:rsidRPr="009E064B" w14:paraId="5F98329F" w14:textId="77777777" w:rsidTr="00E32CD3">
        <w:tc>
          <w:tcPr>
            <w:tcW w:w="9210" w:type="dxa"/>
            <w:shd w:val="clear" w:color="auto" w:fill="auto"/>
          </w:tcPr>
          <w:p w14:paraId="45F14491" w14:textId="77777777" w:rsidR="00E32CD3" w:rsidRPr="009E064B" w:rsidRDefault="00E32CD3" w:rsidP="00EB5F03">
            <w:pPr>
              <w:widowControl/>
              <w:spacing w:before="240"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Właściwy organ [IDENTYFIKACJA WŁAŚCIWEGO ORGANU]</w:t>
            </w:r>
          </w:p>
          <w:p w14:paraId="53E05135" w14:textId="77777777" w:rsidR="00E32CD3" w:rsidRPr="009E064B" w:rsidRDefault="00E32CD3" w:rsidP="00B06A9A">
            <w:pPr>
              <w:widowControl/>
              <w:rPr>
                <w:rFonts w:asciiTheme="minorHAnsi" w:eastAsia="Calibri" w:hAnsiTheme="minorHAnsi" w:cstheme="minorHAnsi"/>
                <w:sz w:val="20"/>
                <w:szCs w:val="18"/>
              </w:rPr>
            </w:pPr>
          </w:p>
        </w:tc>
      </w:tr>
    </w:tbl>
    <w:p w14:paraId="6CDAEBD4" w14:textId="065168C8" w:rsidR="00EB5F03" w:rsidRPr="009E064B" w:rsidRDefault="00EB5F03" w:rsidP="00862AA9">
      <w:pPr>
        <w:widowControl/>
        <w:spacing w:after="0"/>
        <w:rPr>
          <w:rFonts w:asciiTheme="minorHAnsi" w:eastAsia="Calibri" w:hAnsiTheme="minorHAnsi" w:cstheme="minorHAnsi"/>
          <w:sz w:val="18"/>
          <w:szCs w:val="18"/>
        </w:rPr>
      </w:pPr>
    </w:p>
    <w:p w14:paraId="25961DB3" w14:textId="470EA01C" w:rsidR="00E32CD3" w:rsidRPr="009E064B" w:rsidRDefault="00E32CD3" w:rsidP="00133B99">
      <w:pPr>
        <w:pStyle w:val="Nagwek5"/>
      </w:pPr>
      <w:bookmarkStart w:id="184" w:name="_AMC1_ADR.AR.C.035(c)_"/>
      <w:bookmarkStart w:id="185" w:name="_Toc492024550"/>
      <w:bookmarkStart w:id="186" w:name="_Toc12532614"/>
      <w:bookmarkEnd w:id="184"/>
      <w:r w:rsidRPr="009E064B">
        <w:t xml:space="preserve">AMC1 ADR.AR.C.035(c)    </w:t>
      </w:r>
      <w:r w:rsidR="00D01EBC" w:rsidRPr="009E064B">
        <w:t xml:space="preserve"> </w:t>
      </w:r>
      <w:r w:rsidRPr="009E064B">
        <w:t>Wydawanie certyfikatów</w:t>
      </w:r>
      <w:bookmarkEnd w:id="185"/>
      <w:bookmarkEnd w:id="186"/>
    </w:p>
    <w:p w14:paraId="0AFE3545" w14:textId="3A2FF54B"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54E585B"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WERYFIKACJA ZGODNOŚCI</w:t>
      </w:r>
    </w:p>
    <w:p w14:paraId="39A06F0E"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Po otrzymaniu wniosku o wydanie certyfikatu, właściwy organ powinien:</w:t>
      </w:r>
    </w:p>
    <w:p w14:paraId="5AD13750"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(1) </w:t>
      </w:r>
      <w:r w:rsidRPr="009E064B">
        <w:rPr>
          <w:rFonts w:asciiTheme="minorHAnsi" w:eastAsia="Calibri" w:hAnsiTheme="minorHAnsi" w:cstheme="minorHAnsi"/>
          <w:szCs w:val="18"/>
        </w:rPr>
        <w:tab/>
        <w:t>wyznaczyć osobę kontaktową, odpowiedzialną za wszystkie aspekty procesu certyfikacji wnioskodawcy, oraz do koordynacji wszelkich niezbędnych działań, w tym zespołu certyfikacyjnego właściwego organu. Wyznaczona osoba powinna być odpowiedzialna wobec osoby odpowiedzialnej właściwego organu za potwierdzenie, że zostały przeprowadzone wszystkie odpowiednie inspekcje i audyty. Powinien on (ona) również zapewnić, że niezbędne wcześniejsze zatwierdzenia, które są wymagane, zostaną wydane w odpowiednim czasie;</w:t>
      </w:r>
    </w:p>
    <w:p w14:paraId="2743DFFD" w14:textId="5DFAB64E"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(2) </w:t>
      </w:r>
      <w:r w:rsidRPr="009E064B">
        <w:rPr>
          <w:rFonts w:asciiTheme="minorHAnsi" w:eastAsia="Calibri" w:hAnsiTheme="minorHAnsi" w:cstheme="minorHAnsi"/>
          <w:szCs w:val="18"/>
        </w:rPr>
        <w:tab/>
        <w:t>sprawdzić, czy wniosek jest zgodny z obowiązującymi wymaganiami. Właściwy organ powinien również określić etapy, jakie należy realizować w trakcie procesu certyfikacji. Zwykle, rozpoczyna się od wykazania zgodności lotniska ze zgłoszoną po</w:t>
      </w:r>
      <w:r w:rsidR="00865208" w:rsidRPr="009E064B">
        <w:rPr>
          <w:rFonts w:asciiTheme="minorHAnsi" w:eastAsia="Calibri" w:hAnsiTheme="minorHAnsi" w:cstheme="minorHAnsi"/>
          <w:szCs w:val="18"/>
        </w:rPr>
        <w:t xml:space="preserve">dstawą certyfikacji (patrz </w:t>
      </w:r>
      <w:hyperlink w:anchor="_AMC2_ADR.AR.C.015(C)_" w:history="1">
        <w:r w:rsidR="00865208" w:rsidRPr="009E064B">
          <w:rPr>
            <w:rStyle w:val="Hipercze"/>
            <w:rFonts w:asciiTheme="minorHAnsi" w:eastAsia="Calibri" w:hAnsiTheme="minorHAnsi" w:cstheme="minorHAnsi"/>
            <w:szCs w:val="18"/>
          </w:rPr>
          <w:t>AMC2 </w:t>
        </w:r>
        <w:r w:rsidRPr="009E064B">
          <w:rPr>
            <w:rStyle w:val="Hipercze"/>
            <w:rFonts w:asciiTheme="minorHAnsi" w:eastAsia="Calibri" w:hAnsiTheme="minorHAnsi" w:cstheme="minorHAnsi"/>
            <w:szCs w:val="18"/>
          </w:rPr>
          <w:t>ADR.AR.C.015(c)</w:t>
        </w:r>
      </w:hyperlink>
      <w:r w:rsidRPr="009E064B">
        <w:rPr>
          <w:rFonts w:asciiTheme="minorHAnsi" w:eastAsia="Calibri" w:hAnsiTheme="minorHAnsi" w:cstheme="minorHAnsi"/>
          <w:szCs w:val="18"/>
        </w:rPr>
        <w:t>), które wymagają przeprowadzania przez właściwy organ inspekcji technicznych i/lub analiz przed</w:t>
      </w:r>
      <w:r w:rsidR="00EA1259" w:rsidRPr="009E064B">
        <w:rPr>
          <w:rFonts w:asciiTheme="minorHAnsi" w:eastAsia="Calibri" w:hAnsiTheme="minorHAnsi" w:cstheme="minorHAnsi"/>
          <w:szCs w:val="18"/>
        </w:rPr>
        <w:t>łożonej dokumentacji, udziału w </w:t>
      </w:r>
      <w:r w:rsidRPr="009E064B">
        <w:rPr>
          <w:rFonts w:asciiTheme="minorHAnsi" w:eastAsia="Calibri" w:hAnsiTheme="minorHAnsi" w:cstheme="minorHAnsi"/>
          <w:szCs w:val="18"/>
        </w:rPr>
        <w:t>demonstracjach lub badaniach przeprowadzanych przez wnioskodawcę, które właściwy organ, w zależności od przypadku, może uznać za właściwe. Powinno się również uwzględniać przypadki, w których podstawa certyfikacji obejmuje przepisy, dla których właściwy organ uznał, że wnioskodawca przedstawi odpowiednio, równoważny poziom bezpieczeństwa lub przypadki warunków specjalnych;</w:t>
      </w:r>
    </w:p>
    <w:p w14:paraId="71F4C446" w14:textId="77777777" w:rsidR="00E32CD3" w:rsidRPr="009E064B" w:rsidRDefault="00E32CD3" w:rsidP="00B06A9A">
      <w:pPr>
        <w:widowControl/>
        <w:tabs>
          <w:tab w:val="left" w:pos="1134"/>
        </w:tabs>
        <w:spacing w:before="120"/>
        <w:ind w:left="1134"/>
        <w:rPr>
          <w:rFonts w:asciiTheme="minorHAnsi" w:eastAsia="Calibri" w:hAnsiTheme="minorHAnsi" w:cstheme="minorHAnsi"/>
          <w:szCs w:val="18"/>
        </w:rPr>
      </w:pPr>
      <w:r w:rsidRPr="009E064B">
        <w:rPr>
          <w:rFonts w:asciiTheme="minorHAnsi" w:eastAsia="Calibri" w:hAnsiTheme="minorHAnsi" w:cstheme="minorHAnsi"/>
          <w:szCs w:val="18"/>
        </w:rPr>
        <w:t>Jeżeli właściwy organ nie jest zadowolony z wyniku demonstracji dla jakiegokolwiek z elementów podstawy certyfikacji, powinien on o tym fakcie powiadomić wnioskodawcę na piśmie. Pod koniec tego etapu, właściwy organ powinien mieć udokumentowane dowody, że lotnisko spełnia wymogi zgłoszonej podstawy certyfikacji;</w:t>
      </w:r>
    </w:p>
    <w:p w14:paraId="561AA9B0" w14:textId="192F0D0D"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(3) </w:t>
      </w:r>
      <w:r w:rsidRPr="009E064B">
        <w:rPr>
          <w:rFonts w:asciiTheme="minorHAnsi" w:eastAsia="Calibri" w:hAnsiTheme="minorHAnsi" w:cstheme="minorHAnsi"/>
          <w:szCs w:val="18"/>
        </w:rPr>
        <w:tab/>
        <w:t xml:space="preserve">dokonać przeglądu instrukcji operacyjnej lotniska, która powinna być przygotowana zgodnie z </w:t>
      </w:r>
      <w:hyperlink w:anchor="_ADR.OR.E.005__" w:history="1">
        <w:r w:rsidR="00D91DA3" w:rsidRPr="009E064B">
          <w:rPr>
            <w:rStyle w:val="Hipercze"/>
            <w:rFonts w:asciiTheme="minorHAnsi" w:eastAsia="Calibri" w:hAnsiTheme="minorHAnsi" w:cstheme="minorHAnsi"/>
            <w:szCs w:val="18"/>
          </w:rPr>
          <w:t>ADR.OR.E.005</w:t>
        </w:r>
      </w:hyperlink>
      <w:r w:rsidR="00D91DA3" w:rsidRPr="009E064B">
        <w:rPr>
          <w:rStyle w:val="Hipercze"/>
          <w:rFonts w:asciiTheme="minorHAnsi" w:eastAsia="Calibri" w:hAnsiTheme="minorHAnsi" w:cstheme="minorHAnsi"/>
          <w:szCs w:val="18"/>
        </w:rPr>
        <w:t xml:space="preserve"> </w:t>
      </w:r>
      <w:r w:rsidRPr="009E064B">
        <w:rPr>
          <w:rFonts w:asciiTheme="minorHAnsi" w:eastAsia="Calibri" w:hAnsiTheme="minorHAnsi" w:cstheme="minorHAnsi"/>
          <w:szCs w:val="18"/>
        </w:rPr>
        <w:t>oraz innych dokumentów dostarczonych przez wnioskodawcę; oraz</w:t>
      </w:r>
    </w:p>
    <w:p w14:paraId="57ECB34E" w14:textId="002AF702"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(4) </w:t>
      </w:r>
      <w:r w:rsidRPr="009E064B">
        <w:rPr>
          <w:rFonts w:asciiTheme="minorHAnsi" w:eastAsia="Calibri" w:hAnsiTheme="minorHAnsi" w:cstheme="minorHAnsi"/>
          <w:szCs w:val="18"/>
        </w:rPr>
        <w:tab/>
        <w:t>sprawdzić zgodność z obowiązującym</w:t>
      </w:r>
      <w:r w:rsidR="00F809D7" w:rsidRPr="009E064B">
        <w:rPr>
          <w:rFonts w:asciiTheme="minorHAnsi" w:eastAsia="Calibri" w:hAnsiTheme="minorHAnsi" w:cstheme="minorHAnsi"/>
          <w:szCs w:val="18"/>
        </w:rPr>
        <w:t xml:space="preserve">i wymogami określonymi w </w:t>
      </w:r>
      <w:hyperlink w:anchor="_ZAŁĄCZNIK_III_—" w:history="1">
        <w:r w:rsidR="00F809D7" w:rsidRPr="009E064B">
          <w:rPr>
            <w:rStyle w:val="Hipercze"/>
            <w:rFonts w:asciiTheme="minorHAnsi" w:eastAsia="Calibri" w:hAnsiTheme="minorHAnsi" w:cstheme="minorHAnsi"/>
            <w:szCs w:val="18"/>
          </w:rPr>
          <w:t>Części </w:t>
        </w:r>
        <w:r w:rsidRPr="009E064B">
          <w:rPr>
            <w:rStyle w:val="Hipercze"/>
            <w:rFonts w:asciiTheme="minorHAnsi" w:eastAsia="Calibri" w:hAnsiTheme="minorHAnsi" w:cstheme="minorHAnsi"/>
            <w:szCs w:val="18"/>
          </w:rPr>
          <w:t>ADR.OR</w:t>
        </w:r>
      </w:hyperlink>
      <w:r w:rsidRPr="009E064B">
        <w:rPr>
          <w:rFonts w:asciiTheme="minorHAnsi" w:eastAsia="Calibri" w:hAnsiTheme="minorHAnsi" w:cstheme="minorHAnsi"/>
          <w:szCs w:val="18"/>
        </w:rPr>
        <w:t xml:space="preserve"> i</w:t>
      </w:r>
      <w:r w:rsidR="00F809D7" w:rsidRPr="009E064B">
        <w:rPr>
          <w:rFonts w:asciiTheme="minorHAnsi" w:eastAsia="Calibri" w:hAnsiTheme="minorHAnsi" w:cstheme="minorHAnsi"/>
          <w:szCs w:val="18"/>
        </w:rPr>
        <w:t> </w:t>
      </w:r>
      <w:hyperlink w:anchor="_ZAŁĄCZNIK_IV_—" w:history="1">
        <w:r w:rsidR="00F809D7" w:rsidRPr="009E064B">
          <w:rPr>
            <w:rStyle w:val="Hipercze"/>
            <w:rFonts w:asciiTheme="minorHAnsi" w:eastAsia="Calibri" w:hAnsiTheme="minorHAnsi" w:cstheme="minorHAnsi"/>
            <w:szCs w:val="18"/>
          </w:rPr>
          <w:t>Części </w:t>
        </w:r>
        <w:r w:rsidRPr="009E064B">
          <w:rPr>
            <w:rStyle w:val="Hipercze"/>
            <w:rFonts w:asciiTheme="minorHAnsi" w:eastAsia="Calibri" w:hAnsiTheme="minorHAnsi" w:cstheme="minorHAnsi"/>
            <w:szCs w:val="18"/>
          </w:rPr>
          <w:t>ADR.OPS</w:t>
        </w:r>
      </w:hyperlink>
      <w:r w:rsidRPr="009E064B">
        <w:rPr>
          <w:rFonts w:asciiTheme="minorHAnsi" w:eastAsia="Calibri" w:hAnsiTheme="minorHAnsi" w:cstheme="minorHAnsi"/>
          <w:szCs w:val="18"/>
        </w:rPr>
        <w:t>, a także wszelkimi innymi obowiązującymi wymogami. Przy sprawdzaniu zgodności z ww. wymogami, powinien być przeprowadzony audyt obejmujący następujące obszary:</w:t>
      </w:r>
    </w:p>
    <w:p w14:paraId="2EA7A688" w14:textId="5F8B0AA6" w:rsidR="00E32CD3" w:rsidRPr="009E064B" w:rsidRDefault="00E32CD3" w:rsidP="00B06A9A">
      <w:pPr>
        <w:widowControl/>
        <w:tabs>
          <w:tab w:val="left" w:pos="1701"/>
        </w:tabs>
        <w:spacing w:before="120"/>
        <w:ind w:left="1701" w:hanging="567"/>
        <w:rPr>
          <w:rFonts w:asciiTheme="minorHAnsi" w:eastAsia="Calibri" w:hAnsiTheme="minorHAnsi" w:cstheme="minorHAnsi"/>
          <w:szCs w:val="18"/>
        </w:rPr>
      </w:pPr>
      <w:r w:rsidRPr="009E064B">
        <w:rPr>
          <w:rFonts w:asciiTheme="minorHAnsi" w:eastAsia="Calibri" w:hAnsiTheme="minorHAnsi" w:cstheme="minorHAnsi"/>
          <w:szCs w:val="18"/>
        </w:rPr>
        <w:t xml:space="preserve">(i) </w:t>
      </w:r>
      <w:r w:rsidRPr="009E064B">
        <w:rPr>
          <w:rFonts w:asciiTheme="minorHAnsi" w:eastAsia="Calibri" w:hAnsiTheme="minorHAnsi" w:cstheme="minorHAnsi"/>
          <w:szCs w:val="18"/>
        </w:rPr>
        <w:tab/>
        <w:t xml:space="preserve">wykazaną przez wnioskodawcę zgodność z obowiązującymi wymaganiami określonymi w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szCs w:val="18"/>
        </w:rPr>
        <w:t xml:space="preserve"> lub w jakichkolwiek innych przepisach;</w:t>
      </w:r>
    </w:p>
    <w:p w14:paraId="70AC7829" w14:textId="6855267B" w:rsidR="00E32CD3" w:rsidRPr="009E064B" w:rsidRDefault="00E32CD3" w:rsidP="00B06A9A">
      <w:pPr>
        <w:widowControl/>
        <w:tabs>
          <w:tab w:val="left" w:pos="1701"/>
        </w:tabs>
        <w:spacing w:before="120"/>
        <w:ind w:left="1701" w:hanging="567"/>
        <w:rPr>
          <w:rFonts w:asciiTheme="minorHAnsi" w:eastAsia="Calibri" w:hAnsiTheme="minorHAnsi" w:cstheme="minorHAnsi"/>
          <w:szCs w:val="18"/>
        </w:rPr>
      </w:pPr>
      <w:r w:rsidRPr="009E064B">
        <w:rPr>
          <w:rFonts w:asciiTheme="minorHAnsi" w:eastAsia="Calibri" w:hAnsiTheme="minorHAnsi" w:cstheme="minorHAnsi"/>
          <w:szCs w:val="18"/>
        </w:rPr>
        <w:t xml:space="preserve">(ii) </w:t>
      </w:r>
      <w:r w:rsidRPr="009E064B">
        <w:rPr>
          <w:rFonts w:asciiTheme="minorHAnsi" w:eastAsia="Calibri" w:hAnsiTheme="minorHAnsi" w:cstheme="minorHAnsi"/>
          <w:szCs w:val="18"/>
        </w:rPr>
        <w:tab/>
        <w:t>system zarządzania wnioskującego i jego organizacji obejmujący: szczegółową strukturę zarządzania, w tym nazwiska i kwalifikacje wyznaczonych pracowników; adekwatność struktury organizacyjnej i struktury zarządzania, w</w:t>
      </w:r>
      <w:r w:rsidR="00865208" w:rsidRPr="009E064B">
        <w:rPr>
          <w:rFonts w:asciiTheme="minorHAnsi" w:eastAsia="Calibri" w:hAnsiTheme="minorHAnsi" w:cstheme="minorHAnsi"/>
          <w:szCs w:val="18"/>
        </w:rPr>
        <w:t xml:space="preserve"> </w:t>
      </w:r>
      <w:r w:rsidRPr="009E064B">
        <w:rPr>
          <w:rFonts w:asciiTheme="minorHAnsi" w:eastAsia="Calibri" w:hAnsiTheme="minorHAnsi" w:cstheme="minorHAnsi"/>
          <w:szCs w:val="18"/>
        </w:rPr>
        <w:t>tym przyznanych środków, liczby pracowników przydzielonych przez wnioskodawcę do kluczowych zadań związanych z zarządzaniem oraz innych stanowisk. Należy zwrócić szczególną uwagę, aby sprawdzić, czy system moż</w:t>
      </w:r>
      <w:r w:rsidR="008C654E" w:rsidRPr="009E064B">
        <w:rPr>
          <w:rFonts w:asciiTheme="minorHAnsi" w:eastAsia="Calibri" w:hAnsiTheme="minorHAnsi" w:cstheme="minorHAnsi"/>
          <w:szCs w:val="18"/>
        </w:rPr>
        <w:t>na stosować w pełnym zakresie i </w:t>
      </w:r>
      <w:r w:rsidRPr="009E064B">
        <w:rPr>
          <w:rFonts w:asciiTheme="minorHAnsi" w:eastAsia="Calibri" w:hAnsiTheme="minorHAnsi" w:cstheme="minorHAnsi"/>
          <w:szCs w:val="18"/>
        </w:rPr>
        <w:t>czy może być skuteczny. Szczególne znaczenie ma dokładna analiza kwalifikacji osób wyznaczonych przez wnioskodawcę. Należy wziąć pod uwagę odpowiedni rodzaj wcześniejszego doświadczenia wyznaczonych osób i znane dokumenty, które to potwierdzają;</w:t>
      </w:r>
    </w:p>
    <w:p w14:paraId="238AA50C" w14:textId="77777777" w:rsidR="00E32CD3" w:rsidRPr="009E064B" w:rsidRDefault="00E32CD3" w:rsidP="00B06A9A">
      <w:pPr>
        <w:widowControl/>
        <w:tabs>
          <w:tab w:val="left" w:pos="1701"/>
        </w:tabs>
        <w:spacing w:before="120"/>
        <w:ind w:left="1701" w:hanging="567"/>
        <w:rPr>
          <w:rFonts w:asciiTheme="minorHAnsi" w:eastAsia="Calibri" w:hAnsiTheme="minorHAnsi" w:cstheme="minorHAnsi"/>
          <w:szCs w:val="18"/>
        </w:rPr>
      </w:pPr>
      <w:r w:rsidRPr="009E064B">
        <w:rPr>
          <w:rFonts w:asciiTheme="minorHAnsi" w:eastAsia="Calibri" w:hAnsiTheme="minorHAnsi" w:cstheme="minorHAnsi"/>
          <w:szCs w:val="18"/>
        </w:rPr>
        <w:t xml:space="preserve">(iii) </w:t>
      </w:r>
      <w:r w:rsidRPr="009E064B">
        <w:rPr>
          <w:rFonts w:asciiTheme="minorHAnsi" w:eastAsia="Calibri" w:hAnsiTheme="minorHAnsi" w:cstheme="minorHAnsi"/>
          <w:szCs w:val="18"/>
        </w:rPr>
        <w:tab/>
        <w:t>zarządzanie bezpieczeństwem i monitorowania zgodności z obowiązującymi wymaganiami;</w:t>
      </w:r>
    </w:p>
    <w:p w14:paraId="18EA836C" w14:textId="08CABAA1" w:rsidR="00E32CD3" w:rsidRPr="009E064B" w:rsidRDefault="00E32CD3" w:rsidP="00B06A9A">
      <w:pPr>
        <w:widowControl/>
        <w:tabs>
          <w:tab w:val="left" w:pos="1701"/>
        </w:tabs>
        <w:spacing w:before="120"/>
        <w:ind w:left="1701" w:hanging="567"/>
        <w:rPr>
          <w:rFonts w:asciiTheme="minorHAnsi" w:eastAsia="Calibri" w:hAnsiTheme="minorHAnsi" w:cstheme="minorHAnsi"/>
          <w:szCs w:val="18"/>
        </w:rPr>
      </w:pPr>
      <w:r w:rsidRPr="009E064B">
        <w:rPr>
          <w:rFonts w:asciiTheme="minorHAnsi" w:eastAsia="Calibri" w:hAnsiTheme="minorHAnsi" w:cstheme="minorHAnsi"/>
          <w:szCs w:val="18"/>
        </w:rPr>
        <w:t xml:space="preserve">(iv) </w:t>
      </w:r>
      <w:r w:rsidRPr="009E064B">
        <w:rPr>
          <w:rFonts w:asciiTheme="minorHAnsi" w:eastAsia="Calibri" w:hAnsiTheme="minorHAnsi" w:cstheme="minorHAnsi"/>
          <w:szCs w:val="18"/>
        </w:rPr>
        <w:tab/>
        <w:t>dokumenty, na podstawie których powinno się przyznawać certyfikat (dokumentacja organizac</w:t>
      </w:r>
      <w:r w:rsidR="00F809D7" w:rsidRPr="009E064B">
        <w:rPr>
          <w:rFonts w:asciiTheme="minorHAnsi" w:eastAsia="Calibri" w:hAnsiTheme="minorHAnsi" w:cstheme="minorHAnsi"/>
          <w:szCs w:val="18"/>
        </w:rPr>
        <w:t xml:space="preserve">ji zgodnie z wymaganiami </w:t>
      </w:r>
      <w:hyperlink w:anchor="_ZAŁĄCZNIK_III_—" w:history="1">
        <w:r w:rsidR="00F809D7" w:rsidRPr="009E064B">
          <w:rPr>
            <w:rStyle w:val="Hipercze"/>
            <w:rFonts w:asciiTheme="minorHAnsi" w:eastAsia="Calibri" w:hAnsiTheme="minorHAnsi" w:cstheme="minorHAnsi"/>
            <w:szCs w:val="18"/>
          </w:rPr>
          <w:t>Części </w:t>
        </w:r>
        <w:r w:rsidRPr="009E064B">
          <w:rPr>
            <w:rStyle w:val="Hipercze"/>
            <w:rFonts w:asciiTheme="minorHAnsi" w:eastAsia="Calibri" w:hAnsiTheme="minorHAnsi" w:cstheme="minorHAnsi"/>
            <w:szCs w:val="18"/>
          </w:rPr>
          <w:t>ADR.OR</w:t>
        </w:r>
      </w:hyperlink>
      <w:r w:rsidRPr="009E064B">
        <w:rPr>
          <w:rFonts w:asciiTheme="minorHAnsi" w:eastAsia="Calibri" w:hAnsiTheme="minorHAnsi" w:cstheme="minorHAnsi"/>
          <w:szCs w:val="18"/>
        </w:rPr>
        <w:t>, w tym instrukcje techniczne, takie jak instrukcja operacyjna lotniska itp.); oraz</w:t>
      </w:r>
    </w:p>
    <w:p w14:paraId="77C07357" w14:textId="77777777" w:rsidR="00E32CD3" w:rsidRPr="009E064B" w:rsidRDefault="00E32CD3" w:rsidP="00B06A9A">
      <w:pPr>
        <w:widowControl/>
        <w:tabs>
          <w:tab w:val="left" w:pos="1701"/>
        </w:tabs>
        <w:spacing w:before="120"/>
        <w:ind w:left="1701" w:hanging="567"/>
        <w:rPr>
          <w:rFonts w:asciiTheme="minorHAnsi" w:eastAsia="Calibri" w:hAnsiTheme="minorHAnsi" w:cstheme="minorHAnsi"/>
          <w:szCs w:val="18"/>
        </w:rPr>
      </w:pPr>
      <w:r w:rsidRPr="009E064B">
        <w:rPr>
          <w:rFonts w:asciiTheme="minorHAnsi" w:eastAsia="Calibri" w:hAnsiTheme="minorHAnsi" w:cstheme="minorHAnsi"/>
          <w:szCs w:val="18"/>
        </w:rPr>
        <w:t xml:space="preserve">(v) </w:t>
      </w:r>
      <w:r w:rsidRPr="009E064B">
        <w:rPr>
          <w:rFonts w:asciiTheme="minorHAnsi" w:eastAsia="Calibri" w:hAnsiTheme="minorHAnsi" w:cstheme="minorHAnsi"/>
          <w:szCs w:val="18"/>
        </w:rPr>
        <w:tab/>
        <w:t>adekwatności obiektów i wyposażenia w odniesieniu do zakresu pracy wnioskodawcy.</w:t>
      </w:r>
    </w:p>
    <w:p w14:paraId="2D15B7C9" w14:textId="77777777" w:rsidR="00E32CD3" w:rsidRPr="009E064B" w:rsidRDefault="00E32CD3" w:rsidP="00B06A9A">
      <w:pPr>
        <w:widowControl/>
        <w:tabs>
          <w:tab w:val="left" w:pos="1134"/>
        </w:tabs>
        <w:spacing w:before="120"/>
        <w:ind w:left="1134" w:hanging="567"/>
        <w:rPr>
          <w:rFonts w:asciiTheme="minorHAnsi" w:eastAsia="Calibri" w:hAnsiTheme="minorHAnsi" w:cstheme="minorHAnsi"/>
          <w:szCs w:val="18"/>
        </w:rPr>
      </w:pPr>
      <w:r w:rsidRPr="009E064B">
        <w:rPr>
          <w:rFonts w:asciiTheme="minorHAnsi" w:eastAsia="Calibri" w:hAnsiTheme="minorHAnsi" w:cstheme="minorHAnsi"/>
          <w:szCs w:val="18"/>
        </w:rPr>
        <w:t xml:space="preserve">(5) </w:t>
      </w:r>
      <w:r w:rsidRPr="009E064B">
        <w:rPr>
          <w:rFonts w:asciiTheme="minorHAnsi" w:eastAsia="Calibri" w:hAnsiTheme="minorHAnsi" w:cstheme="minorHAnsi"/>
          <w:szCs w:val="18"/>
        </w:rPr>
        <w:tab/>
        <w:t>w przypadku niezgodności, wnioskodawca powinien zostać powiadomiony na piśmie o wymaganych korektach lub uzupełnieniach.</w:t>
      </w:r>
    </w:p>
    <w:p w14:paraId="35385224" w14:textId="0791A77E"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 xml:space="preserve">Właściwy organ powinien być usatysfakcjonowany z zaprezentowania zgodności instrukcji operacyjnej lotniska z wymogami zawartymi w </w:t>
      </w:r>
      <w:hyperlink w:anchor="_ADR.OR.E.005__" w:history="1">
        <w:r w:rsidRPr="009E064B">
          <w:rPr>
            <w:rStyle w:val="Hipercze"/>
            <w:rFonts w:asciiTheme="minorHAnsi" w:eastAsia="Calibri" w:hAnsiTheme="minorHAnsi" w:cstheme="minorHAnsi"/>
            <w:szCs w:val="18"/>
          </w:rPr>
          <w:t>ADR.OR.E.005</w:t>
        </w:r>
      </w:hyperlink>
      <w:r w:rsidRPr="009E064B">
        <w:rPr>
          <w:rFonts w:asciiTheme="minorHAnsi" w:eastAsia="Calibri" w:hAnsiTheme="minorHAnsi" w:cstheme="minorHAnsi"/>
          <w:szCs w:val="18"/>
        </w:rPr>
        <w:t xml:space="preserve"> i powiązanymi z nimi AMC.</w:t>
      </w:r>
    </w:p>
    <w:p w14:paraId="4CB40ACA" w14:textId="142E19C6"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 xml:space="preserve">Właściwy organ powinien zapewnić, że trakcie procesu opisanego w </w:t>
      </w:r>
      <w:r w:rsidR="0019788A" w:rsidRPr="009E064B">
        <w:rPr>
          <w:rFonts w:asciiTheme="minorHAnsi" w:eastAsia="Calibri" w:hAnsiTheme="minorHAnsi" w:cstheme="minorHAnsi"/>
          <w:szCs w:val="18"/>
        </w:rPr>
        <w:t>lit. </w:t>
      </w:r>
      <w:r w:rsidRPr="009E064B">
        <w:rPr>
          <w:rFonts w:asciiTheme="minorHAnsi" w:eastAsia="Calibri" w:hAnsiTheme="minorHAnsi" w:cstheme="minorHAnsi"/>
          <w:szCs w:val="18"/>
        </w:rPr>
        <w:t>(a), jego personel korzysta z ujednoliconych i zatwierdzonych metod i narzędzia.</w:t>
      </w:r>
    </w:p>
    <w:p w14:paraId="320ECDD0"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(d) </w:t>
      </w:r>
      <w:r w:rsidRPr="009E064B">
        <w:rPr>
          <w:rFonts w:asciiTheme="minorHAnsi" w:eastAsia="Calibri" w:hAnsiTheme="minorHAnsi" w:cstheme="minorHAnsi"/>
          <w:szCs w:val="18"/>
        </w:rPr>
        <w:tab/>
        <w:t>W przypadkach, gdy wniosek o wydanie certyfikatu zostanie odrzucony, wnioskodawca powinien zostać poinformowany o prawie do odwołania na mocy obowiązujących przepisów krajowych.</w:t>
      </w:r>
    </w:p>
    <w:p w14:paraId="7CFA63A6" w14:textId="77777777" w:rsidR="00E32CD3"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(e) </w:t>
      </w:r>
      <w:r w:rsidRPr="009E064B">
        <w:rPr>
          <w:rFonts w:asciiTheme="minorHAnsi" w:eastAsia="Calibri" w:hAnsiTheme="minorHAnsi" w:cstheme="minorHAnsi"/>
          <w:szCs w:val="18"/>
        </w:rPr>
        <w:tab/>
        <w:t>Przed wydaniem certyfikatu(ów), właściwy organ może zażądać przeprowadzenia jednego lub większej liczby lotów na lotnisku, jak również wszelkich innych badań lub ćwiczeń, jakie uzna za niezbędne.</w:t>
      </w:r>
    </w:p>
    <w:p w14:paraId="2CCDD543" w14:textId="1D8C3693" w:rsidR="001B6738" w:rsidRPr="009E064B" w:rsidRDefault="00E32CD3" w:rsidP="00B06A9A">
      <w:pPr>
        <w:widowControl/>
        <w:tabs>
          <w:tab w:val="left" w:pos="567"/>
        </w:tabs>
        <w:spacing w:before="120"/>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(f) </w:t>
      </w:r>
      <w:r w:rsidRPr="009E064B">
        <w:rPr>
          <w:rFonts w:asciiTheme="minorHAnsi" w:eastAsia="Calibri" w:hAnsiTheme="minorHAnsi" w:cstheme="minorHAnsi"/>
          <w:szCs w:val="18"/>
        </w:rPr>
        <w:tab/>
        <w:t>Po zakończeniu procesu weryfikacji, właściwy organ powinien wydać certyfikat(y) i zapewnić publikację statusu certyfikacji lotniska w Zbiorze Informacji Lotniczych (AIP).</w:t>
      </w:r>
    </w:p>
    <w:p w14:paraId="6F7B2BDA" w14:textId="285804AB" w:rsidR="00E32CD3" w:rsidRPr="009E064B" w:rsidRDefault="00E32CD3" w:rsidP="00133B99">
      <w:pPr>
        <w:pStyle w:val="Nagwek6"/>
      </w:pPr>
      <w:bookmarkStart w:id="187" w:name="_Toc492024551"/>
      <w:bookmarkStart w:id="188" w:name="_Toc12532615"/>
      <w:r w:rsidRPr="009E064B">
        <w:t xml:space="preserve">GM1 ADR.AR.C.035(c)    </w:t>
      </w:r>
      <w:r w:rsidR="00D01EBC" w:rsidRPr="009E064B">
        <w:t xml:space="preserve"> </w:t>
      </w:r>
      <w:r w:rsidRPr="009E064B">
        <w:t>Wydawanie certyfikatów</w:t>
      </w:r>
      <w:bookmarkEnd w:id="187"/>
      <w:bookmarkEnd w:id="188"/>
    </w:p>
    <w:p w14:paraId="634E3318" w14:textId="2B471401"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A0B04F2"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WERYFIKACJA ZGODNOŚCI</w:t>
      </w:r>
    </w:p>
    <w:p w14:paraId="23C9A0F7" w14:textId="1AF89F46" w:rsidR="00E32CD3" w:rsidRPr="009E064B" w:rsidRDefault="00E32CD3" w:rsidP="00B06A9A">
      <w:pPr>
        <w:widowControl/>
        <w:spacing w:before="120"/>
        <w:rPr>
          <w:rFonts w:asciiTheme="minorHAnsi" w:eastAsia="Calibri" w:hAnsiTheme="minorHAnsi" w:cstheme="minorHAnsi"/>
          <w:szCs w:val="18"/>
        </w:rPr>
      </w:pPr>
      <w:r w:rsidRPr="009E064B">
        <w:rPr>
          <w:rFonts w:asciiTheme="minorHAnsi" w:eastAsia="Calibri" w:hAnsiTheme="minorHAnsi" w:cstheme="minorHAnsi"/>
          <w:szCs w:val="18"/>
        </w:rPr>
        <w:t xml:space="preserve">Inspekcje techniczne lotniska powinny być przeprowadzone zanim właściwy organ uzna instrukcję operacyjną lotniska za zgodną z </w:t>
      </w:r>
      <w:hyperlink w:anchor="_ADR.OR.E.005__" w:history="1">
        <w:r w:rsidRPr="009E064B">
          <w:rPr>
            <w:rStyle w:val="Hipercze"/>
            <w:rFonts w:asciiTheme="minorHAnsi" w:eastAsia="Calibri" w:hAnsiTheme="minorHAnsi" w:cstheme="minorHAnsi"/>
            <w:szCs w:val="18"/>
          </w:rPr>
          <w:t>ADR.OR.E.005</w:t>
        </w:r>
      </w:hyperlink>
      <w:r w:rsidRPr="009E064B">
        <w:rPr>
          <w:rFonts w:asciiTheme="minorHAnsi" w:eastAsia="Calibri" w:hAnsiTheme="minorHAnsi" w:cstheme="minorHAnsi"/>
          <w:szCs w:val="18"/>
        </w:rPr>
        <w:t>.</w:t>
      </w:r>
    </w:p>
    <w:p w14:paraId="0930F089" w14:textId="331BE50C" w:rsidR="00E32CD3" w:rsidRPr="009E064B" w:rsidRDefault="00E32CD3" w:rsidP="00133B99">
      <w:pPr>
        <w:pStyle w:val="Nagwek5"/>
      </w:pPr>
      <w:bookmarkStart w:id="189" w:name="_Toc492024552"/>
      <w:bookmarkStart w:id="190" w:name="_Toc12532616"/>
      <w:r w:rsidRPr="009E064B">
        <w:t xml:space="preserve">AMC1 ADR.AR.C.035(d) </w:t>
      </w:r>
      <w:r w:rsidR="00D01EBC" w:rsidRPr="009E064B">
        <w:t xml:space="preserve">    </w:t>
      </w:r>
      <w:r w:rsidRPr="009E064B">
        <w:t>Wydawanie certyfikatów</w:t>
      </w:r>
      <w:bookmarkEnd w:id="189"/>
      <w:bookmarkEnd w:id="190"/>
    </w:p>
    <w:p w14:paraId="35887237" w14:textId="0DE40205"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E927588"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WARUNKI LUB OGRANICZENIA OPERACYJNE</w:t>
      </w:r>
    </w:p>
    <w:p w14:paraId="63B3BC2B"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Jeżeli w trakcie procesu certyfikacji, zostało określone, jako niezbędne nałożenie lub realizacja na lotnisku warunków lub ograniczeń operacyjnych, to właściwy organ powinien upewnić się, że takie ograniczenie lub procedura jest również zawarta w instrukcji operacyjnej lotniska.</w:t>
      </w:r>
    </w:p>
    <w:p w14:paraId="0146AEB1"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Właściwy organ powinien również zapewnić, że instrukcja operacyjna lotniska zawiera wszystkie ograniczenia lub inne podobne informacje określone w specyfikacjach certyfikacyjnych uwzględnionych w podstawie certyfikacji lotniska.</w:t>
      </w:r>
    </w:p>
    <w:p w14:paraId="0FA87374" w14:textId="30ECD2D5" w:rsidR="00E32CD3" w:rsidRPr="009E064B" w:rsidRDefault="00E32CD3" w:rsidP="00133B99">
      <w:pPr>
        <w:pStyle w:val="Nagwek5"/>
      </w:pPr>
      <w:bookmarkStart w:id="191" w:name="_Toc492024553"/>
      <w:bookmarkStart w:id="192" w:name="_Toc12532617"/>
      <w:r w:rsidRPr="009E064B">
        <w:t xml:space="preserve">AMC2 ADR.AR.C.035(d) </w:t>
      </w:r>
      <w:r w:rsidR="00D01EBC" w:rsidRPr="009E064B">
        <w:t xml:space="preserve">    </w:t>
      </w:r>
      <w:r w:rsidRPr="009E064B">
        <w:t>Wydawanie certyfikatów</w:t>
      </w:r>
      <w:bookmarkEnd w:id="191"/>
      <w:bookmarkEnd w:id="192"/>
    </w:p>
    <w:p w14:paraId="4C61D0A1" w14:textId="111D4DBC"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8D8B43" w14:textId="77777777" w:rsidR="00E32CD3" w:rsidRPr="009E064B" w:rsidRDefault="00E32CD3"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WARUNKI LUB OGRANICZENIA OPERACYJNE</w:t>
      </w:r>
    </w:p>
    <w:p w14:paraId="54247888"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Warunki i ograniczenia operacyjne, takie jak procedury antyhałasowe, nie powinny wzrosnąć, lecz należy dążyć do zmniejszenia, tam gdzie jest to możliwe, ryzyka wypadnięcia statku powietrznego z drogi startowej lub wtargnięcia na drogę startową.</w:t>
      </w:r>
    </w:p>
    <w:p w14:paraId="1630E887" w14:textId="77777777" w:rsidR="00E32CD3" w:rsidRPr="009E064B" w:rsidRDefault="00E32CD3"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Warunki i ograniczenia operacyjne należy poddać ocenie ryzyka bezpieczeństwa, aby ustalić, czy mogą one niekorzystnie wpływać na poziom ryzyka związanego z wypadnięciem statku powietrznego z drogi startowej lub wtargnięciem na drogę startową.</w:t>
      </w:r>
    </w:p>
    <w:p w14:paraId="6D5544D4" w14:textId="1694B23E" w:rsidR="00E32CD3" w:rsidRPr="009E064B" w:rsidRDefault="00E32CD3" w:rsidP="00133B99">
      <w:pPr>
        <w:pStyle w:val="Nagwek6"/>
      </w:pPr>
      <w:bookmarkStart w:id="193" w:name="_Toc492024554"/>
      <w:bookmarkStart w:id="194" w:name="_Toc12532618"/>
      <w:r w:rsidRPr="009E064B">
        <w:t xml:space="preserve">GM1 ADR.AR.C.035(d) </w:t>
      </w:r>
      <w:r w:rsidR="00D01EBC" w:rsidRPr="009E064B">
        <w:t xml:space="preserve">    </w:t>
      </w:r>
      <w:r w:rsidRPr="009E064B">
        <w:t>Wydawanie certyfikatów</w:t>
      </w:r>
      <w:bookmarkEnd w:id="193"/>
      <w:bookmarkEnd w:id="194"/>
    </w:p>
    <w:p w14:paraId="7B3E6549" w14:textId="58958AD6"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3C08D7E" w14:textId="77777777" w:rsidR="00E32CD3" w:rsidRPr="009E064B" w:rsidRDefault="00E32CD3" w:rsidP="00B06A9A">
      <w:pPr>
        <w:widowControl/>
        <w:jc w:val="left"/>
        <w:rPr>
          <w:rFonts w:asciiTheme="minorHAnsi" w:eastAsia="Calibri" w:hAnsiTheme="minorHAnsi" w:cstheme="minorHAnsi"/>
          <w:szCs w:val="18"/>
        </w:rPr>
      </w:pPr>
      <w:r w:rsidRPr="009E064B">
        <w:rPr>
          <w:rFonts w:asciiTheme="minorHAnsi" w:eastAsia="Calibri" w:hAnsiTheme="minorHAnsi" w:cstheme="minorHAnsi"/>
          <w:szCs w:val="18"/>
        </w:rPr>
        <w:t>ZAKRES OPERACJI STATKÓW POWIETRZNYCH Z WYŻSZĄ LITERĄ KODU REFERENCYJNEGO LOTNISKA</w:t>
      </w:r>
    </w:p>
    <w:p w14:paraId="0AF717A3" w14:textId="0EBD28B6" w:rsidR="007B1601" w:rsidRDefault="00E32CD3" w:rsidP="007B1601">
      <w:pPr>
        <w:widowControl/>
        <w:rPr>
          <w:rFonts w:asciiTheme="minorHAnsi" w:eastAsia="Calibri" w:hAnsiTheme="minorHAnsi" w:cstheme="minorHAnsi"/>
          <w:szCs w:val="18"/>
        </w:rPr>
      </w:pPr>
      <w:r w:rsidRPr="009E064B">
        <w:rPr>
          <w:rFonts w:asciiTheme="minorHAnsi" w:eastAsia="Calibri" w:hAnsiTheme="minorHAnsi" w:cstheme="minorHAnsi"/>
          <w:szCs w:val="18"/>
        </w:rPr>
        <w:t>Wszelkie ograniczenia lub środki łagodzące dotyczące wykorzystania typu/typów statków powietrznych na lotnisku powinny być wymienione tylko w instrukcji operacyjnej lotniska. W szczególności powinny być tam zawarte wszelkie ograniczenia wynikające z oceny, którą należy przeprowadzić przy wykorzystaniu lotniska przez statki powietrzne</w:t>
      </w:r>
      <w:r w:rsidR="00865208" w:rsidRPr="009E064B">
        <w:rPr>
          <w:rFonts w:asciiTheme="minorHAnsi" w:eastAsia="Calibri" w:hAnsiTheme="minorHAnsi" w:cstheme="minorHAnsi"/>
          <w:szCs w:val="18"/>
        </w:rPr>
        <w:t xml:space="preserve"> z wyższą literą kodu zgodnie z </w:t>
      </w:r>
      <w:hyperlink w:anchor="_ADR.OPS.B.090__" w:history="1">
        <w:r w:rsidRPr="009E064B">
          <w:rPr>
            <w:rStyle w:val="Hipercze"/>
            <w:rFonts w:asciiTheme="minorHAnsi" w:eastAsia="Calibri" w:hAnsiTheme="minorHAnsi" w:cstheme="minorHAnsi"/>
            <w:szCs w:val="18"/>
          </w:rPr>
          <w:t>ADR.OPS.B.090</w:t>
        </w:r>
      </w:hyperlink>
      <w:r w:rsidRPr="009E064B">
        <w:rPr>
          <w:rFonts w:asciiTheme="minorHAnsi" w:eastAsia="Calibri" w:hAnsiTheme="minorHAnsi" w:cstheme="minorHAnsi"/>
          <w:szCs w:val="18"/>
        </w:rPr>
        <w:t>.</w:t>
      </w:r>
      <w:r w:rsidR="007B1601">
        <w:rPr>
          <w:rFonts w:asciiTheme="minorHAnsi" w:eastAsia="Calibri" w:hAnsiTheme="minorHAnsi" w:cstheme="minorHAnsi"/>
          <w:szCs w:val="18"/>
        </w:rPr>
        <w:t xml:space="preserve"> </w:t>
      </w:r>
      <w:r w:rsidR="007B1601">
        <w:rPr>
          <w:rFonts w:asciiTheme="minorHAnsi" w:eastAsia="Calibri" w:hAnsiTheme="minorHAnsi" w:cstheme="minorHAnsi"/>
          <w:szCs w:val="18"/>
        </w:rPr>
        <w:br w:type="page"/>
      </w:r>
    </w:p>
    <w:p w14:paraId="7E38FE6F" w14:textId="77777777" w:rsidR="001B6738" w:rsidRPr="009E064B" w:rsidRDefault="001B6738" w:rsidP="00B06A9A">
      <w:pPr>
        <w:widowControl/>
        <w:rPr>
          <w:rFonts w:asciiTheme="minorHAnsi" w:eastAsia="Calibri" w:hAnsiTheme="minorHAnsi" w:cstheme="minorHAnsi"/>
          <w:szCs w:val="18"/>
        </w:rPr>
      </w:pPr>
    </w:p>
    <w:p w14:paraId="173F4D86" w14:textId="744885DB" w:rsidR="00E32CD3" w:rsidRPr="009E064B" w:rsidRDefault="00E32CD3" w:rsidP="00133B99">
      <w:pPr>
        <w:pStyle w:val="Nagwek6"/>
      </w:pPr>
      <w:bookmarkStart w:id="195" w:name="_Toc492024555"/>
      <w:bookmarkStart w:id="196" w:name="_Toc12532619"/>
      <w:r w:rsidRPr="009E064B">
        <w:t xml:space="preserve">GM1 ADR.AR.C.035(e) </w:t>
      </w:r>
      <w:r w:rsidR="004D6FC2" w:rsidRPr="009E064B">
        <w:t xml:space="preserve">    </w:t>
      </w:r>
      <w:r w:rsidRPr="009E064B">
        <w:t>Wydawanie certyfikatów</w:t>
      </w:r>
      <w:bookmarkEnd w:id="195"/>
      <w:bookmarkEnd w:id="196"/>
    </w:p>
    <w:p w14:paraId="728DBF5B" w14:textId="006EDD2B"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2F2F04F" w14:textId="77777777" w:rsidR="00E32CD3" w:rsidRPr="009E064B" w:rsidRDefault="00E32CD3" w:rsidP="00EB5F03">
      <w:pPr>
        <w:widowControl/>
        <w:tabs>
          <w:tab w:val="left" w:pos="567"/>
        </w:tabs>
        <w:spacing w:before="240" w:after="0"/>
        <w:ind w:left="567" w:hanging="567"/>
        <w:rPr>
          <w:rFonts w:asciiTheme="minorHAnsi" w:eastAsia="Calibri" w:hAnsiTheme="minorHAnsi" w:cstheme="minorHAnsi"/>
        </w:rPr>
      </w:pPr>
      <w:r w:rsidRPr="009E064B">
        <w:rPr>
          <w:rFonts w:asciiTheme="minorHAnsi" w:eastAsia="Calibri" w:hAnsiTheme="minorHAnsi" w:cstheme="minorHAnsi"/>
        </w:rPr>
        <w:t>WZÓR WARUNKÓW CERTYFIKATU, KTÓRE ZAŁĄCZA SIĘ DO CERTYFIKATU LOTNISKA</w:t>
      </w:r>
    </w:p>
    <w:p w14:paraId="7CF9D00D" w14:textId="77777777" w:rsidR="00E32CD3" w:rsidRPr="009E064B" w:rsidRDefault="00E32CD3" w:rsidP="00846BCB">
      <w:pPr>
        <w:widowControl/>
        <w:spacing w:after="0"/>
        <w:rPr>
          <w:rFonts w:asciiTheme="minorHAnsi" w:eastAsia="Calibri" w:hAnsiTheme="minorHAnsi" w:cstheme="minorHAnsi"/>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78"/>
        <w:gridCol w:w="3434"/>
      </w:tblGrid>
      <w:tr w:rsidR="00E32CD3" w:rsidRPr="00341CFF" w14:paraId="653EBB6D" w14:textId="77777777" w:rsidTr="0019788A">
        <w:trPr>
          <w:jc w:val="right"/>
        </w:trPr>
        <w:tc>
          <w:tcPr>
            <w:tcW w:w="9212" w:type="dxa"/>
            <w:gridSpan w:val="2"/>
            <w:tcMar>
              <w:top w:w="57" w:type="dxa"/>
              <w:bottom w:w="57" w:type="dxa"/>
            </w:tcMar>
          </w:tcPr>
          <w:p w14:paraId="16AF7C42" w14:textId="77777777" w:rsidR="00E32CD3" w:rsidRPr="00932998" w:rsidRDefault="00E32CD3" w:rsidP="00EB5F03">
            <w:pPr>
              <w:widowControl/>
              <w:spacing w:after="0" w:line="264" w:lineRule="auto"/>
              <w:jc w:val="center"/>
              <w:rPr>
                <w:rFonts w:asciiTheme="minorHAnsi" w:eastAsia="Calibri" w:hAnsiTheme="minorHAnsi" w:cstheme="minorHAnsi"/>
                <w:b/>
                <w:bCs/>
                <w:szCs w:val="18"/>
                <w:lang w:val="en-GB"/>
              </w:rPr>
            </w:pPr>
            <w:r w:rsidRPr="00932998">
              <w:rPr>
                <w:rFonts w:asciiTheme="minorHAnsi" w:eastAsia="Calibri" w:hAnsiTheme="minorHAnsi" w:cstheme="minorHAnsi"/>
                <w:b/>
                <w:bCs/>
                <w:szCs w:val="18"/>
                <w:lang w:val="en-GB"/>
              </w:rPr>
              <w:t xml:space="preserve">WARUNKI CERTYFIKATU </w:t>
            </w:r>
            <w:r w:rsidRPr="00932998">
              <w:rPr>
                <w:rFonts w:asciiTheme="minorHAnsi" w:eastAsia="Calibri" w:hAnsiTheme="minorHAnsi" w:cstheme="minorHAnsi"/>
                <w:b/>
                <w:bCs/>
                <w:i/>
                <w:szCs w:val="18"/>
                <w:lang w:val="en-GB"/>
              </w:rPr>
              <w:t>(</w:t>
            </w:r>
            <w:r w:rsidRPr="00932998">
              <w:rPr>
                <w:rFonts w:asciiTheme="minorHAnsi" w:eastAsia="Verdana" w:hAnsiTheme="minorHAnsi" w:cstheme="minorHAnsi"/>
                <w:b/>
                <w:bCs/>
                <w:i/>
                <w:szCs w:val="18"/>
                <w:lang w:val="en-GB"/>
              </w:rPr>
              <w:t>TERMS</w:t>
            </w:r>
            <w:r w:rsidRPr="00932998">
              <w:rPr>
                <w:rFonts w:asciiTheme="minorHAnsi" w:eastAsia="Verdana" w:hAnsiTheme="minorHAnsi" w:cstheme="minorHAnsi"/>
                <w:b/>
                <w:bCs/>
                <w:i/>
                <w:spacing w:val="-12"/>
                <w:szCs w:val="18"/>
                <w:lang w:val="en-GB"/>
              </w:rPr>
              <w:t xml:space="preserve"> </w:t>
            </w:r>
            <w:r w:rsidRPr="00932998">
              <w:rPr>
                <w:rFonts w:asciiTheme="minorHAnsi" w:eastAsia="Verdana" w:hAnsiTheme="minorHAnsi" w:cstheme="minorHAnsi"/>
                <w:b/>
                <w:bCs/>
                <w:i/>
                <w:szCs w:val="18"/>
                <w:lang w:val="en-GB"/>
              </w:rPr>
              <w:t>OF</w:t>
            </w:r>
            <w:r w:rsidRPr="00932998">
              <w:rPr>
                <w:rFonts w:asciiTheme="minorHAnsi" w:eastAsia="Verdana" w:hAnsiTheme="minorHAnsi" w:cstheme="minorHAnsi"/>
                <w:b/>
                <w:bCs/>
                <w:i/>
                <w:spacing w:val="-11"/>
                <w:szCs w:val="18"/>
                <w:lang w:val="en-GB"/>
              </w:rPr>
              <w:t xml:space="preserve"> </w:t>
            </w:r>
            <w:r w:rsidRPr="00932998">
              <w:rPr>
                <w:rFonts w:asciiTheme="minorHAnsi" w:eastAsia="Verdana" w:hAnsiTheme="minorHAnsi" w:cstheme="minorHAnsi"/>
                <w:b/>
                <w:bCs/>
                <w:i/>
                <w:szCs w:val="18"/>
                <w:lang w:val="en-GB"/>
              </w:rPr>
              <w:t>THE</w:t>
            </w:r>
            <w:r w:rsidRPr="00932998">
              <w:rPr>
                <w:rFonts w:asciiTheme="minorHAnsi" w:eastAsia="Verdana" w:hAnsiTheme="minorHAnsi" w:cstheme="minorHAnsi"/>
                <w:b/>
                <w:bCs/>
                <w:i/>
                <w:spacing w:val="-11"/>
                <w:szCs w:val="18"/>
                <w:lang w:val="en-GB"/>
              </w:rPr>
              <w:t xml:space="preserve"> </w:t>
            </w:r>
            <w:r w:rsidRPr="00932998">
              <w:rPr>
                <w:rFonts w:asciiTheme="minorHAnsi" w:eastAsia="Verdana" w:hAnsiTheme="minorHAnsi" w:cstheme="minorHAnsi"/>
                <w:b/>
                <w:bCs/>
                <w:i/>
                <w:szCs w:val="18"/>
                <w:lang w:val="en-GB"/>
              </w:rPr>
              <w:t>C</w:t>
            </w:r>
            <w:r w:rsidRPr="00932998">
              <w:rPr>
                <w:rFonts w:asciiTheme="minorHAnsi" w:eastAsia="Verdana" w:hAnsiTheme="minorHAnsi" w:cstheme="minorHAnsi"/>
                <w:b/>
                <w:bCs/>
                <w:i/>
                <w:spacing w:val="2"/>
                <w:szCs w:val="18"/>
                <w:lang w:val="en-GB"/>
              </w:rPr>
              <w:t>E</w:t>
            </w:r>
            <w:r w:rsidRPr="00932998">
              <w:rPr>
                <w:rFonts w:asciiTheme="minorHAnsi" w:eastAsia="Verdana" w:hAnsiTheme="minorHAnsi" w:cstheme="minorHAnsi"/>
                <w:b/>
                <w:bCs/>
                <w:i/>
                <w:szCs w:val="18"/>
                <w:lang w:val="en-GB"/>
              </w:rPr>
              <w:t>R</w:t>
            </w:r>
            <w:r w:rsidRPr="00932998">
              <w:rPr>
                <w:rFonts w:asciiTheme="minorHAnsi" w:eastAsia="Verdana" w:hAnsiTheme="minorHAnsi" w:cstheme="minorHAnsi"/>
                <w:b/>
                <w:bCs/>
                <w:i/>
                <w:spacing w:val="1"/>
                <w:szCs w:val="18"/>
                <w:lang w:val="en-GB"/>
              </w:rPr>
              <w:t>TI</w:t>
            </w:r>
            <w:r w:rsidRPr="00932998">
              <w:rPr>
                <w:rFonts w:asciiTheme="minorHAnsi" w:eastAsia="Verdana" w:hAnsiTheme="minorHAnsi" w:cstheme="minorHAnsi"/>
                <w:b/>
                <w:bCs/>
                <w:i/>
                <w:szCs w:val="18"/>
                <w:lang w:val="en-GB"/>
              </w:rPr>
              <w:t>F</w:t>
            </w:r>
            <w:r w:rsidRPr="00932998">
              <w:rPr>
                <w:rFonts w:asciiTheme="minorHAnsi" w:eastAsia="Verdana" w:hAnsiTheme="minorHAnsi" w:cstheme="minorHAnsi"/>
                <w:b/>
                <w:bCs/>
                <w:i/>
                <w:spacing w:val="-1"/>
                <w:szCs w:val="18"/>
                <w:lang w:val="en-GB"/>
              </w:rPr>
              <w:t>I</w:t>
            </w:r>
            <w:r w:rsidRPr="00932998">
              <w:rPr>
                <w:rFonts w:asciiTheme="minorHAnsi" w:eastAsia="Verdana" w:hAnsiTheme="minorHAnsi" w:cstheme="minorHAnsi"/>
                <w:b/>
                <w:bCs/>
                <w:i/>
                <w:spacing w:val="2"/>
                <w:szCs w:val="18"/>
                <w:lang w:val="en-GB"/>
              </w:rPr>
              <w:t>C</w:t>
            </w:r>
            <w:r w:rsidRPr="00932998">
              <w:rPr>
                <w:rFonts w:asciiTheme="minorHAnsi" w:eastAsia="Verdana" w:hAnsiTheme="minorHAnsi" w:cstheme="minorHAnsi"/>
                <w:b/>
                <w:bCs/>
                <w:i/>
                <w:spacing w:val="-2"/>
                <w:szCs w:val="18"/>
                <w:lang w:val="en-GB"/>
              </w:rPr>
              <w:t>A</w:t>
            </w:r>
            <w:r w:rsidRPr="00932998">
              <w:rPr>
                <w:rFonts w:asciiTheme="minorHAnsi" w:eastAsia="Verdana" w:hAnsiTheme="minorHAnsi" w:cstheme="minorHAnsi"/>
                <w:b/>
                <w:bCs/>
                <w:i/>
                <w:szCs w:val="18"/>
                <w:lang w:val="en-GB"/>
              </w:rPr>
              <w:t>TE)</w:t>
            </w:r>
          </w:p>
        </w:tc>
      </w:tr>
      <w:tr w:rsidR="00E32CD3" w:rsidRPr="009E064B" w14:paraId="4DC8A27B" w14:textId="77777777" w:rsidTr="0019788A">
        <w:trPr>
          <w:jc w:val="right"/>
        </w:trPr>
        <w:tc>
          <w:tcPr>
            <w:tcW w:w="5778" w:type="dxa"/>
            <w:tcMar>
              <w:top w:w="57" w:type="dxa"/>
              <w:bottom w:w="57" w:type="dxa"/>
            </w:tcMar>
          </w:tcPr>
          <w:p w14:paraId="32A9416E"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Numer referencyjny certyfikatu: [KOD PAŃSTWA]</w:t>
            </w:r>
            <w:r w:rsidRPr="009E064B">
              <w:rPr>
                <w:rFonts w:asciiTheme="minorHAnsi" w:eastAsia="Calibri" w:hAnsiTheme="minorHAnsi" w:cstheme="minorHAnsi"/>
                <w:szCs w:val="18"/>
                <w:vertAlign w:val="superscript"/>
              </w:rPr>
              <w:t>1</w:t>
            </w:r>
            <w:r w:rsidRPr="009E064B">
              <w:rPr>
                <w:rFonts w:asciiTheme="minorHAnsi" w:eastAsia="Calibri" w:hAnsiTheme="minorHAnsi" w:cstheme="minorHAnsi"/>
                <w:szCs w:val="18"/>
              </w:rPr>
              <w:t>:</w:t>
            </w:r>
          </w:p>
          <w:p w14:paraId="223FE3F7" w14:textId="77777777" w:rsidR="00E32CD3" w:rsidRPr="009E064B" w:rsidRDefault="00E32CD3" w:rsidP="00EB5F03">
            <w:pPr>
              <w:widowControl/>
              <w:spacing w:after="0" w:line="264" w:lineRule="auto"/>
              <w:rPr>
                <w:rFonts w:asciiTheme="minorHAnsi" w:eastAsia="Calibri" w:hAnsiTheme="minorHAnsi" w:cstheme="minorHAnsi"/>
                <w:i/>
                <w:szCs w:val="18"/>
              </w:rPr>
            </w:pPr>
            <w:r w:rsidRPr="009E064B">
              <w:rPr>
                <w:rFonts w:asciiTheme="minorHAnsi" w:eastAsia="Calibri" w:hAnsiTheme="minorHAnsi" w:cstheme="minorHAnsi"/>
                <w:i/>
                <w:szCs w:val="18"/>
              </w:rPr>
              <w:t>(Certificate reference: [STATE CODE]:)</w:t>
            </w:r>
          </w:p>
        </w:tc>
        <w:tc>
          <w:tcPr>
            <w:tcW w:w="3434" w:type="dxa"/>
            <w:tcMar>
              <w:top w:w="57" w:type="dxa"/>
              <w:bottom w:w="57" w:type="dxa"/>
            </w:tcMar>
          </w:tcPr>
          <w:p w14:paraId="08194DC1" w14:textId="77777777" w:rsidR="00E32CD3" w:rsidRPr="009E064B" w:rsidRDefault="00E32CD3" w:rsidP="00EB5F03">
            <w:pPr>
              <w:widowControl/>
              <w:spacing w:after="0" w:line="264" w:lineRule="auto"/>
              <w:rPr>
                <w:rFonts w:asciiTheme="minorHAnsi" w:eastAsia="Calibri" w:hAnsiTheme="minorHAnsi" w:cstheme="minorHAnsi"/>
                <w:szCs w:val="18"/>
              </w:rPr>
            </w:pPr>
          </w:p>
        </w:tc>
      </w:tr>
      <w:tr w:rsidR="00E32CD3" w:rsidRPr="00341CFF" w14:paraId="47CCAFAF" w14:textId="77777777" w:rsidTr="0019788A">
        <w:trPr>
          <w:jc w:val="right"/>
        </w:trPr>
        <w:tc>
          <w:tcPr>
            <w:tcW w:w="5778" w:type="dxa"/>
            <w:tcMar>
              <w:top w:w="57" w:type="dxa"/>
              <w:bottom w:w="57" w:type="dxa"/>
            </w:tcMar>
          </w:tcPr>
          <w:p w14:paraId="250E1975"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Nazwa lotniska – oznaczenie lokalizacji ICAO</w:t>
            </w:r>
            <w:r w:rsidRPr="009E064B">
              <w:rPr>
                <w:rFonts w:asciiTheme="minorHAnsi" w:eastAsia="Calibri" w:hAnsiTheme="minorHAnsi" w:cstheme="minorHAnsi"/>
                <w:szCs w:val="18"/>
                <w:vertAlign w:val="superscript"/>
              </w:rPr>
              <w:t>2</w:t>
            </w:r>
            <w:r w:rsidRPr="009E064B">
              <w:rPr>
                <w:rFonts w:asciiTheme="minorHAnsi" w:eastAsia="Calibri" w:hAnsiTheme="minorHAnsi" w:cstheme="minorHAnsi"/>
                <w:szCs w:val="18"/>
              </w:rPr>
              <w:t>:</w:t>
            </w:r>
          </w:p>
          <w:p w14:paraId="28F37000" w14:textId="77777777" w:rsidR="00E32CD3" w:rsidRPr="00932998" w:rsidRDefault="00E32CD3" w:rsidP="00EB5F03">
            <w:pPr>
              <w:widowControl/>
              <w:spacing w:after="0" w:line="264" w:lineRule="auto"/>
              <w:rPr>
                <w:rFonts w:asciiTheme="minorHAnsi" w:eastAsia="Calibri" w:hAnsiTheme="minorHAnsi" w:cstheme="minorHAnsi"/>
                <w:szCs w:val="18"/>
                <w:lang w:val="en-GB"/>
              </w:rPr>
            </w:pPr>
            <w:r w:rsidRPr="00932998">
              <w:rPr>
                <w:rFonts w:asciiTheme="minorHAnsi" w:eastAsia="Calibri" w:hAnsiTheme="minorHAnsi" w:cstheme="minorHAnsi"/>
                <w:i/>
                <w:szCs w:val="18"/>
                <w:lang w:val="en-GB"/>
              </w:rPr>
              <w:t>(Aerodrome name — ICAO location indicator:)</w:t>
            </w:r>
          </w:p>
        </w:tc>
        <w:tc>
          <w:tcPr>
            <w:tcW w:w="3434" w:type="dxa"/>
            <w:tcMar>
              <w:top w:w="57" w:type="dxa"/>
              <w:bottom w:w="57" w:type="dxa"/>
            </w:tcMar>
          </w:tcPr>
          <w:p w14:paraId="1E1C8951" w14:textId="77777777" w:rsidR="00E32CD3" w:rsidRPr="00932998" w:rsidRDefault="00E32CD3" w:rsidP="00EB5F03">
            <w:pPr>
              <w:widowControl/>
              <w:spacing w:after="0" w:line="264" w:lineRule="auto"/>
              <w:rPr>
                <w:rFonts w:asciiTheme="minorHAnsi" w:eastAsia="Calibri" w:hAnsiTheme="minorHAnsi" w:cstheme="minorHAnsi"/>
                <w:szCs w:val="18"/>
                <w:lang w:val="en-GB"/>
              </w:rPr>
            </w:pPr>
          </w:p>
        </w:tc>
      </w:tr>
      <w:tr w:rsidR="00E32CD3" w:rsidRPr="009E064B" w14:paraId="7F57A0B3" w14:textId="77777777" w:rsidTr="0019788A">
        <w:trPr>
          <w:jc w:val="right"/>
        </w:trPr>
        <w:tc>
          <w:tcPr>
            <w:tcW w:w="5778" w:type="dxa"/>
            <w:tcMar>
              <w:top w:w="57" w:type="dxa"/>
              <w:bottom w:w="57" w:type="dxa"/>
            </w:tcMar>
          </w:tcPr>
          <w:p w14:paraId="127C9C73"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Warunki wykonywania operacji</w:t>
            </w:r>
            <w:r w:rsidRPr="009E064B">
              <w:rPr>
                <w:rFonts w:asciiTheme="minorHAnsi" w:eastAsia="Calibri" w:hAnsiTheme="minorHAnsi" w:cstheme="minorHAnsi"/>
                <w:szCs w:val="18"/>
                <w:vertAlign w:val="superscript"/>
              </w:rPr>
              <w:t>3</w:t>
            </w:r>
            <w:r w:rsidRPr="009E064B">
              <w:rPr>
                <w:rFonts w:asciiTheme="minorHAnsi" w:eastAsia="Calibri" w:hAnsiTheme="minorHAnsi" w:cstheme="minorHAnsi"/>
                <w:szCs w:val="18"/>
              </w:rPr>
              <w:t>:</w:t>
            </w:r>
          </w:p>
          <w:p w14:paraId="518AB361"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i/>
                <w:szCs w:val="18"/>
              </w:rPr>
              <w:t>(Conditions to operate:)</w:t>
            </w:r>
          </w:p>
        </w:tc>
        <w:tc>
          <w:tcPr>
            <w:tcW w:w="3434" w:type="dxa"/>
            <w:tcMar>
              <w:top w:w="57" w:type="dxa"/>
              <w:bottom w:w="57" w:type="dxa"/>
            </w:tcMar>
          </w:tcPr>
          <w:p w14:paraId="511074A4" w14:textId="77777777" w:rsidR="00E32CD3" w:rsidRPr="009E064B" w:rsidRDefault="00E32CD3" w:rsidP="00EB5F03">
            <w:pPr>
              <w:widowControl/>
              <w:spacing w:after="0" w:line="264" w:lineRule="auto"/>
              <w:rPr>
                <w:rFonts w:asciiTheme="minorHAnsi" w:eastAsia="Calibri" w:hAnsiTheme="minorHAnsi" w:cstheme="minorHAnsi"/>
                <w:szCs w:val="18"/>
              </w:rPr>
            </w:pPr>
          </w:p>
        </w:tc>
      </w:tr>
      <w:tr w:rsidR="00E32CD3" w:rsidRPr="009E064B" w14:paraId="61EC8742" w14:textId="77777777" w:rsidTr="0019788A">
        <w:trPr>
          <w:jc w:val="right"/>
        </w:trPr>
        <w:tc>
          <w:tcPr>
            <w:tcW w:w="5778" w:type="dxa"/>
            <w:tcMar>
              <w:top w:w="57" w:type="dxa"/>
              <w:bottom w:w="57" w:type="dxa"/>
            </w:tcMar>
          </w:tcPr>
          <w:p w14:paraId="6DE31ABA" w14:textId="24B761CF" w:rsidR="00E32CD3" w:rsidRPr="009E064B" w:rsidRDefault="00E32CD3" w:rsidP="00EB5F03">
            <w:pPr>
              <w:widowControl/>
              <w:spacing w:after="0" w:line="264" w:lineRule="auto"/>
              <w:jc w:val="left"/>
              <w:rPr>
                <w:rFonts w:asciiTheme="minorHAnsi" w:eastAsia="Calibri" w:hAnsiTheme="minorHAnsi" w:cstheme="minorHAnsi"/>
                <w:szCs w:val="18"/>
              </w:rPr>
            </w:pPr>
            <w:r w:rsidRPr="009E064B">
              <w:rPr>
                <w:rFonts w:asciiTheme="minorHAnsi" w:eastAsia="Calibri" w:hAnsiTheme="minorHAnsi" w:cstheme="minorHAnsi"/>
                <w:szCs w:val="18"/>
              </w:rPr>
              <w:t>Droga startowa – długości deklarowane</w:t>
            </w:r>
            <w:r w:rsidRPr="009E064B">
              <w:rPr>
                <w:rFonts w:asciiTheme="minorHAnsi" w:eastAsia="Calibri" w:hAnsiTheme="minorHAnsi" w:cstheme="minorHAnsi"/>
                <w:szCs w:val="18"/>
                <w:vertAlign w:val="superscript"/>
              </w:rPr>
              <w:t>4</w:t>
            </w:r>
            <w:r w:rsidRPr="009E064B">
              <w:rPr>
                <w:rFonts w:asciiTheme="minorHAnsi" w:eastAsia="Calibri" w:hAnsiTheme="minorHAnsi" w:cstheme="minorHAnsi"/>
                <w:szCs w:val="18"/>
              </w:rPr>
              <w:t>:</w:t>
            </w:r>
            <w:r w:rsidR="00EB5F03" w:rsidRPr="009E064B">
              <w:rPr>
                <w:rFonts w:asciiTheme="minorHAnsi" w:eastAsia="Calibri" w:hAnsiTheme="minorHAnsi" w:cstheme="minorHAnsi"/>
                <w:szCs w:val="18"/>
              </w:rPr>
              <w:br/>
            </w:r>
            <w:r w:rsidRPr="009E064B">
              <w:rPr>
                <w:rFonts w:asciiTheme="minorHAnsi" w:eastAsia="Calibri" w:hAnsiTheme="minorHAnsi" w:cstheme="minorHAnsi"/>
                <w:i/>
                <w:szCs w:val="18"/>
              </w:rPr>
              <w:t>(Runway — declared distances:)</w:t>
            </w:r>
          </w:p>
        </w:tc>
        <w:tc>
          <w:tcPr>
            <w:tcW w:w="3434" w:type="dxa"/>
            <w:tcMar>
              <w:top w:w="57" w:type="dxa"/>
              <w:bottom w:w="57" w:type="dxa"/>
            </w:tcMar>
          </w:tcPr>
          <w:p w14:paraId="3C8553CC" w14:textId="77777777" w:rsidR="00E32CD3" w:rsidRPr="009E064B" w:rsidRDefault="00E32CD3" w:rsidP="00EB5F03">
            <w:pPr>
              <w:widowControl/>
              <w:spacing w:after="0" w:line="264" w:lineRule="auto"/>
              <w:rPr>
                <w:rFonts w:asciiTheme="minorHAnsi" w:eastAsia="Calibri" w:hAnsiTheme="minorHAnsi" w:cstheme="minorHAnsi"/>
                <w:szCs w:val="18"/>
              </w:rPr>
            </w:pPr>
          </w:p>
        </w:tc>
      </w:tr>
      <w:tr w:rsidR="00E32CD3" w:rsidRPr="009E064B" w14:paraId="5774CE85" w14:textId="77777777" w:rsidTr="0019788A">
        <w:trPr>
          <w:jc w:val="right"/>
        </w:trPr>
        <w:tc>
          <w:tcPr>
            <w:tcW w:w="5778" w:type="dxa"/>
            <w:tcMar>
              <w:top w:w="57" w:type="dxa"/>
              <w:bottom w:w="57" w:type="dxa"/>
            </w:tcMar>
          </w:tcPr>
          <w:p w14:paraId="4A0DDA20"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Rodzaje podejścia</w:t>
            </w:r>
            <w:r w:rsidRPr="009E064B">
              <w:rPr>
                <w:rFonts w:asciiTheme="minorHAnsi" w:eastAsia="Calibri" w:hAnsiTheme="minorHAnsi" w:cstheme="minorHAnsi"/>
                <w:szCs w:val="18"/>
                <w:vertAlign w:val="superscript"/>
              </w:rPr>
              <w:t>5</w:t>
            </w:r>
            <w:r w:rsidRPr="009E064B">
              <w:rPr>
                <w:rFonts w:asciiTheme="minorHAnsi" w:eastAsia="Calibri" w:hAnsiTheme="minorHAnsi" w:cstheme="minorHAnsi"/>
                <w:szCs w:val="18"/>
              </w:rPr>
              <w:t xml:space="preserve"> na drogach startowych:</w:t>
            </w:r>
          </w:p>
          <w:p w14:paraId="1075CDBA" w14:textId="6FC61322"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i/>
                <w:szCs w:val="18"/>
              </w:rPr>
              <w:t>(</w:t>
            </w:r>
            <w:r w:rsidR="007655D0" w:rsidRPr="009E064B">
              <w:rPr>
                <w:rFonts w:asciiTheme="minorHAnsi" w:eastAsia="Calibri" w:hAnsiTheme="minorHAnsi" w:cstheme="minorHAnsi"/>
                <w:i/>
                <w:szCs w:val="18"/>
              </w:rPr>
              <w:t>Typ</w:t>
            </w:r>
            <w:r w:rsidRPr="009E064B">
              <w:rPr>
                <w:rFonts w:asciiTheme="minorHAnsi" w:eastAsia="Calibri" w:hAnsiTheme="minorHAnsi" w:cstheme="minorHAnsi"/>
                <w:i/>
                <w:szCs w:val="18"/>
              </w:rPr>
              <w:t>es of approaches:)</w:t>
            </w:r>
          </w:p>
        </w:tc>
        <w:tc>
          <w:tcPr>
            <w:tcW w:w="3434" w:type="dxa"/>
            <w:tcMar>
              <w:top w:w="57" w:type="dxa"/>
              <w:bottom w:w="57" w:type="dxa"/>
            </w:tcMar>
          </w:tcPr>
          <w:p w14:paraId="126212B8" w14:textId="77777777" w:rsidR="00E32CD3" w:rsidRPr="009E064B" w:rsidRDefault="00E32CD3" w:rsidP="00EB5F03">
            <w:pPr>
              <w:widowControl/>
              <w:spacing w:after="0" w:line="264" w:lineRule="auto"/>
              <w:rPr>
                <w:rFonts w:asciiTheme="minorHAnsi" w:eastAsia="Calibri" w:hAnsiTheme="minorHAnsi" w:cstheme="minorHAnsi"/>
                <w:szCs w:val="18"/>
              </w:rPr>
            </w:pPr>
          </w:p>
        </w:tc>
      </w:tr>
      <w:tr w:rsidR="00E32CD3" w:rsidRPr="009E064B" w14:paraId="4AAF2EC9" w14:textId="77777777" w:rsidTr="0019788A">
        <w:trPr>
          <w:jc w:val="right"/>
        </w:trPr>
        <w:tc>
          <w:tcPr>
            <w:tcW w:w="5778" w:type="dxa"/>
            <w:tcMar>
              <w:top w:w="57" w:type="dxa"/>
              <w:bottom w:w="57" w:type="dxa"/>
            </w:tcMar>
          </w:tcPr>
          <w:p w14:paraId="3723AE91"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Kod referencyjny lotniska</w:t>
            </w:r>
            <w:r w:rsidRPr="009E064B">
              <w:rPr>
                <w:rFonts w:asciiTheme="minorHAnsi" w:eastAsia="Calibri" w:hAnsiTheme="minorHAnsi" w:cstheme="minorHAnsi"/>
                <w:szCs w:val="18"/>
                <w:vertAlign w:val="superscript"/>
              </w:rPr>
              <w:t>6</w:t>
            </w:r>
            <w:r w:rsidRPr="009E064B">
              <w:rPr>
                <w:rFonts w:asciiTheme="minorHAnsi" w:eastAsia="Calibri" w:hAnsiTheme="minorHAnsi" w:cstheme="minorHAnsi"/>
                <w:szCs w:val="18"/>
              </w:rPr>
              <w:t>:</w:t>
            </w:r>
          </w:p>
          <w:p w14:paraId="6EECB9E1"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i/>
                <w:szCs w:val="18"/>
              </w:rPr>
              <w:t>(Aerodrome reference code:)</w:t>
            </w:r>
          </w:p>
        </w:tc>
        <w:tc>
          <w:tcPr>
            <w:tcW w:w="3434" w:type="dxa"/>
            <w:tcMar>
              <w:top w:w="57" w:type="dxa"/>
              <w:bottom w:w="57" w:type="dxa"/>
            </w:tcMar>
          </w:tcPr>
          <w:p w14:paraId="0AA3D857" w14:textId="77777777" w:rsidR="00E32CD3" w:rsidRPr="009E064B" w:rsidRDefault="00E32CD3" w:rsidP="00EB5F03">
            <w:pPr>
              <w:widowControl/>
              <w:spacing w:after="0" w:line="264" w:lineRule="auto"/>
              <w:rPr>
                <w:rFonts w:asciiTheme="minorHAnsi" w:eastAsia="Calibri" w:hAnsiTheme="minorHAnsi" w:cstheme="minorHAnsi"/>
                <w:szCs w:val="18"/>
              </w:rPr>
            </w:pPr>
          </w:p>
        </w:tc>
      </w:tr>
      <w:tr w:rsidR="00E32CD3" w:rsidRPr="00341CFF" w14:paraId="10136CDA" w14:textId="77777777" w:rsidTr="0019788A">
        <w:trPr>
          <w:jc w:val="right"/>
        </w:trPr>
        <w:tc>
          <w:tcPr>
            <w:tcW w:w="5778" w:type="dxa"/>
            <w:tcMar>
              <w:top w:w="57" w:type="dxa"/>
              <w:bottom w:w="57" w:type="dxa"/>
            </w:tcMar>
          </w:tcPr>
          <w:p w14:paraId="3DA2C32A"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Zakres operacji statków powietrznych o wyższej literze kodu referencyjnego lotniska</w:t>
            </w:r>
            <w:r w:rsidRPr="009E064B">
              <w:rPr>
                <w:rFonts w:asciiTheme="minorHAnsi" w:eastAsia="Calibri" w:hAnsiTheme="minorHAnsi" w:cstheme="minorHAnsi"/>
                <w:szCs w:val="18"/>
                <w:vertAlign w:val="superscript"/>
              </w:rPr>
              <w:t>7</w:t>
            </w:r>
            <w:r w:rsidRPr="009E064B">
              <w:rPr>
                <w:rFonts w:asciiTheme="minorHAnsi" w:eastAsia="Calibri" w:hAnsiTheme="minorHAnsi" w:cstheme="minorHAnsi"/>
                <w:szCs w:val="18"/>
              </w:rPr>
              <w:t>:</w:t>
            </w:r>
          </w:p>
          <w:p w14:paraId="2825FC8C" w14:textId="77777777" w:rsidR="00E32CD3" w:rsidRPr="00932998" w:rsidRDefault="00E32CD3" w:rsidP="00EB5F03">
            <w:pPr>
              <w:widowControl/>
              <w:spacing w:after="0" w:line="264" w:lineRule="auto"/>
              <w:rPr>
                <w:rFonts w:asciiTheme="minorHAnsi" w:eastAsia="Calibri" w:hAnsiTheme="minorHAnsi" w:cstheme="minorHAnsi"/>
                <w:szCs w:val="18"/>
                <w:lang w:val="en-GB"/>
              </w:rPr>
            </w:pPr>
            <w:r w:rsidRPr="00932998">
              <w:rPr>
                <w:rFonts w:asciiTheme="minorHAnsi" w:eastAsia="Calibri" w:hAnsiTheme="minorHAnsi" w:cstheme="minorHAnsi"/>
                <w:i/>
                <w:szCs w:val="18"/>
                <w:lang w:val="en-GB"/>
              </w:rPr>
              <w:t>(Scope of aircraft operations with a higher aerodrome reference code letter:)</w:t>
            </w:r>
          </w:p>
        </w:tc>
        <w:tc>
          <w:tcPr>
            <w:tcW w:w="3434" w:type="dxa"/>
            <w:tcMar>
              <w:top w:w="57" w:type="dxa"/>
              <w:bottom w:w="57" w:type="dxa"/>
            </w:tcMar>
          </w:tcPr>
          <w:p w14:paraId="54565BFA" w14:textId="77777777" w:rsidR="00E32CD3" w:rsidRPr="00932998" w:rsidRDefault="00E32CD3" w:rsidP="00EB5F03">
            <w:pPr>
              <w:widowControl/>
              <w:spacing w:after="0" w:line="264" w:lineRule="auto"/>
              <w:rPr>
                <w:rFonts w:asciiTheme="minorHAnsi" w:eastAsia="Calibri" w:hAnsiTheme="minorHAnsi" w:cstheme="minorHAnsi"/>
                <w:szCs w:val="18"/>
                <w:lang w:val="en-GB"/>
              </w:rPr>
            </w:pPr>
          </w:p>
        </w:tc>
      </w:tr>
      <w:tr w:rsidR="00E32CD3" w:rsidRPr="00341CFF" w14:paraId="3BD6779D" w14:textId="77777777" w:rsidTr="0019788A">
        <w:trPr>
          <w:jc w:val="right"/>
        </w:trPr>
        <w:tc>
          <w:tcPr>
            <w:tcW w:w="5778" w:type="dxa"/>
            <w:tcMar>
              <w:top w:w="57" w:type="dxa"/>
              <w:bottom w:w="57" w:type="dxa"/>
            </w:tcMar>
          </w:tcPr>
          <w:p w14:paraId="5443914E"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Zapewnianie służby zarządzania płytą postojową</w:t>
            </w:r>
            <w:r w:rsidRPr="009E064B">
              <w:rPr>
                <w:rFonts w:asciiTheme="minorHAnsi" w:eastAsia="Calibri" w:hAnsiTheme="minorHAnsi" w:cstheme="minorHAnsi"/>
                <w:szCs w:val="18"/>
                <w:vertAlign w:val="superscript"/>
              </w:rPr>
              <w:t>8</w:t>
            </w:r>
            <w:r w:rsidRPr="009E064B">
              <w:rPr>
                <w:rFonts w:asciiTheme="minorHAnsi" w:eastAsia="Calibri" w:hAnsiTheme="minorHAnsi" w:cstheme="minorHAnsi"/>
                <w:szCs w:val="18"/>
              </w:rPr>
              <w:t>:</w:t>
            </w:r>
          </w:p>
          <w:p w14:paraId="3F2A3A53" w14:textId="77777777" w:rsidR="00E32CD3" w:rsidRPr="00932998" w:rsidRDefault="00E32CD3" w:rsidP="00EB5F03">
            <w:pPr>
              <w:widowControl/>
              <w:spacing w:after="0" w:line="264" w:lineRule="auto"/>
              <w:rPr>
                <w:rFonts w:asciiTheme="minorHAnsi" w:eastAsia="Calibri" w:hAnsiTheme="minorHAnsi" w:cstheme="minorHAnsi"/>
                <w:szCs w:val="18"/>
                <w:lang w:val="en-GB"/>
              </w:rPr>
            </w:pPr>
            <w:r w:rsidRPr="00932998">
              <w:rPr>
                <w:rFonts w:asciiTheme="minorHAnsi" w:eastAsia="Calibri" w:hAnsiTheme="minorHAnsi" w:cstheme="minorHAnsi"/>
                <w:i/>
                <w:szCs w:val="18"/>
                <w:lang w:val="en-GB"/>
              </w:rPr>
              <w:t>(Provision of apron management services:)</w:t>
            </w:r>
          </w:p>
        </w:tc>
        <w:tc>
          <w:tcPr>
            <w:tcW w:w="3434" w:type="dxa"/>
            <w:tcMar>
              <w:top w:w="57" w:type="dxa"/>
              <w:bottom w:w="57" w:type="dxa"/>
            </w:tcMar>
          </w:tcPr>
          <w:p w14:paraId="520C4596" w14:textId="77777777" w:rsidR="00E32CD3" w:rsidRPr="00932998" w:rsidRDefault="00E32CD3" w:rsidP="00EB5F03">
            <w:pPr>
              <w:widowControl/>
              <w:spacing w:after="0" w:line="264" w:lineRule="auto"/>
              <w:rPr>
                <w:rFonts w:asciiTheme="minorHAnsi" w:eastAsia="Calibri" w:hAnsiTheme="minorHAnsi" w:cstheme="minorHAnsi"/>
                <w:szCs w:val="18"/>
                <w:lang w:val="en-GB"/>
              </w:rPr>
            </w:pPr>
          </w:p>
        </w:tc>
      </w:tr>
      <w:tr w:rsidR="00E32CD3" w:rsidRPr="00341CFF" w14:paraId="5B8F8220" w14:textId="77777777" w:rsidTr="0019788A">
        <w:trPr>
          <w:jc w:val="right"/>
        </w:trPr>
        <w:tc>
          <w:tcPr>
            <w:tcW w:w="5778" w:type="dxa"/>
            <w:tcMar>
              <w:top w:w="57" w:type="dxa"/>
              <w:bottom w:w="57" w:type="dxa"/>
            </w:tcMar>
          </w:tcPr>
          <w:p w14:paraId="2DB79FFF" w14:textId="77777777" w:rsidR="00E32CD3" w:rsidRPr="00932998" w:rsidRDefault="00E32CD3" w:rsidP="00EB5F03">
            <w:pPr>
              <w:widowControl/>
              <w:spacing w:after="0" w:line="264" w:lineRule="auto"/>
              <w:rPr>
                <w:rFonts w:asciiTheme="minorHAnsi" w:eastAsia="Calibri" w:hAnsiTheme="minorHAnsi" w:cstheme="minorHAnsi"/>
                <w:szCs w:val="18"/>
                <w:lang w:val="en-GB"/>
              </w:rPr>
            </w:pPr>
            <w:r w:rsidRPr="00932998">
              <w:rPr>
                <w:rFonts w:asciiTheme="minorHAnsi" w:eastAsia="Calibri" w:hAnsiTheme="minorHAnsi" w:cstheme="minorHAnsi"/>
                <w:szCs w:val="18"/>
                <w:lang w:val="en-GB"/>
              </w:rPr>
              <w:t>Poziom ochrony ratowniczo-gaśniczej</w:t>
            </w:r>
            <w:r w:rsidRPr="00932998">
              <w:rPr>
                <w:rFonts w:asciiTheme="minorHAnsi" w:eastAsia="Calibri" w:hAnsiTheme="minorHAnsi" w:cstheme="minorHAnsi"/>
                <w:szCs w:val="18"/>
                <w:vertAlign w:val="superscript"/>
                <w:lang w:val="en-GB"/>
              </w:rPr>
              <w:t>9</w:t>
            </w:r>
            <w:r w:rsidRPr="00932998">
              <w:rPr>
                <w:rFonts w:asciiTheme="minorHAnsi" w:eastAsia="Calibri" w:hAnsiTheme="minorHAnsi" w:cstheme="minorHAnsi"/>
                <w:szCs w:val="18"/>
                <w:lang w:val="en-GB"/>
              </w:rPr>
              <w:t>:</w:t>
            </w:r>
          </w:p>
          <w:p w14:paraId="7881CAEE" w14:textId="77777777" w:rsidR="00E32CD3" w:rsidRPr="00932998" w:rsidRDefault="00E32CD3" w:rsidP="00EB5F03">
            <w:pPr>
              <w:widowControl/>
              <w:spacing w:after="0" w:line="264" w:lineRule="auto"/>
              <w:rPr>
                <w:rFonts w:asciiTheme="minorHAnsi" w:eastAsia="Calibri" w:hAnsiTheme="minorHAnsi" w:cstheme="minorHAnsi"/>
                <w:szCs w:val="18"/>
                <w:lang w:val="en-GB"/>
              </w:rPr>
            </w:pPr>
            <w:r w:rsidRPr="00932998">
              <w:rPr>
                <w:rFonts w:asciiTheme="minorHAnsi" w:eastAsia="Calibri" w:hAnsiTheme="minorHAnsi" w:cstheme="minorHAnsi"/>
                <w:i/>
                <w:szCs w:val="18"/>
                <w:lang w:val="en-GB"/>
              </w:rPr>
              <w:t>(Rescue and firefighting level of protection)</w:t>
            </w:r>
          </w:p>
        </w:tc>
        <w:tc>
          <w:tcPr>
            <w:tcW w:w="3434" w:type="dxa"/>
            <w:tcMar>
              <w:top w:w="57" w:type="dxa"/>
              <w:bottom w:w="57" w:type="dxa"/>
            </w:tcMar>
          </w:tcPr>
          <w:p w14:paraId="26530FBD" w14:textId="77777777" w:rsidR="00E32CD3" w:rsidRPr="00932998" w:rsidRDefault="00E32CD3" w:rsidP="00EB5F03">
            <w:pPr>
              <w:widowControl/>
              <w:spacing w:after="0" w:line="264" w:lineRule="auto"/>
              <w:rPr>
                <w:rFonts w:asciiTheme="minorHAnsi" w:eastAsia="Calibri" w:hAnsiTheme="minorHAnsi" w:cstheme="minorHAnsi"/>
                <w:szCs w:val="18"/>
                <w:lang w:val="en-GB"/>
              </w:rPr>
            </w:pPr>
          </w:p>
        </w:tc>
      </w:tr>
      <w:tr w:rsidR="00E32CD3" w:rsidRPr="009E064B" w14:paraId="33783D8D" w14:textId="77777777" w:rsidTr="0019788A">
        <w:trPr>
          <w:jc w:val="right"/>
        </w:trPr>
        <w:tc>
          <w:tcPr>
            <w:tcW w:w="5778" w:type="dxa"/>
            <w:tcMar>
              <w:top w:w="57" w:type="dxa"/>
              <w:bottom w:w="57" w:type="dxa"/>
            </w:tcMar>
          </w:tcPr>
          <w:p w14:paraId="2B7FF5DF"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szCs w:val="18"/>
              </w:rPr>
              <w:t>Inne</w:t>
            </w:r>
            <w:r w:rsidRPr="009E064B">
              <w:rPr>
                <w:rFonts w:asciiTheme="minorHAnsi" w:eastAsia="Calibri" w:hAnsiTheme="minorHAnsi" w:cstheme="minorHAnsi"/>
                <w:szCs w:val="18"/>
                <w:vertAlign w:val="superscript"/>
              </w:rPr>
              <w:t>10</w:t>
            </w:r>
            <w:r w:rsidRPr="009E064B">
              <w:rPr>
                <w:rFonts w:asciiTheme="minorHAnsi" w:eastAsia="Calibri" w:hAnsiTheme="minorHAnsi" w:cstheme="minorHAnsi"/>
                <w:szCs w:val="18"/>
              </w:rPr>
              <w:t>:</w:t>
            </w:r>
          </w:p>
          <w:p w14:paraId="6708233B" w14:textId="77777777" w:rsidR="00E32CD3" w:rsidRPr="009E064B" w:rsidRDefault="00E32CD3" w:rsidP="00EB5F03">
            <w:pPr>
              <w:widowControl/>
              <w:spacing w:after="0" w:line="264" w:lineRule="auto"/>
              <w:rPr>
                <w:rFonts w:asciiTheme="minorHAnsi" w:eastAsia="Calibri" w:hAnsiTheme="minorHAnsi" w:cstheme="minorHAnsi"/>
                <w:szCs w:val="18"/>
              </w:rPr>
            </w:pPr>
            <w:r w:rsidRPr="009E064B">
              <w:rPr>
                <w:rFonts w:asciiTheme="minorHAnsi" w:eastAsia="Calibri" w:hAnsiTheme="minorHAnsi" w:cstheme="minorHAnsi"/>
                <w:i/>
                <w:szCs w:val="18"/>
              </w:rPr>
              <w:t>(Other:)</w:t>
            </w:r>
          </w:p>
        </w:tc>
        <w:tc>
          <w:tcPr>
            <w:tcW w:w="3434" w:type="dxa"/>
            <w:tcMar>
              <w:top w:w="57" w:type="dxa"/>
              <w:bottom w:w="57" w:type="dxa"/>
            </w:tcMar>
          </w:tcPr>
          <w:p w14:paraId="3E3C899E" w14:textId="77777777" w:rsidR="00E32CD3" w:rsidRPr="009E064B" w:rsidRDefault="00E32CD3" w:rsidP="00EB5F03">
            <w:pPr>
              <w:widowControl/>
              <w:spacing w:after="0" w:line="264" w:lineRule="auto"/>
              <w:rPr>
                <w:rFonts w:asciiTheme="minorHAnsi" w:eastAsia="Calibri" w:hAnsiTheme="minorHAnsi" w:cstheme="minorHAnsi"/>
                <w:szCs w:val="18"/>
              </w:rPr>
            </w:pPr>
          </w:p>
        </w:tc>
      </w:tr>
    </w:tbl>
    <w:p w14:paraId="407A5881" w14:textId="77777777" w:rsidR="00862AA9" w:rsidRPr="009E064B" w:rsidRDefault="00862AA9" w:rsidP="00862AA9">
      <w:pPr>
        <w:widowControl/>
        <w:tabs>
          <w:tab w:val="left" w:pos="284"/>
        </w:tabs>
        <w:spacing w:after="0"/>
        <w:ind w:left="284" w:hanging="284"/>
        <w:rPr>
          <w:rFonts w:asciiTheme="minorHAnsi" w:eastAsia="Calibri" w:hAnsiTheme="minorHAnsi" w:cstheme="minorHAnsi"/>
          <w:bCs/>
          <w:sz w:val="24"/>
          <w:szCs w:val="20"/>
          <w:vertAlign w:val="superscript"/>
        </w:rPr>
      </w:pPr>
    </w:p>
    <w:p w14:paraId="26DE2B2F" w14:textId="0180AD05" w:rsidR="00E32CD3" w:rsidRPr="007B1601" w:rsidRDefault="00E32CD3" w:rsidP="00862AA9">
      <w:pPr>
        <w:widowControl/>
        <w:tabs>
          <w:tab w:val="left" w:pos="284"/>
        </w:tabs>
        <w:ind w:left="284" w:hanging="284"/>
        <w:rPr>
          <w:rFonts w:asciiTheme="minorHAnsi" w:eastAsia="Calibri" w:hAnsiTheme="minorHAnsi" w:cstheme="minorHAnsi"/>
          <w:szCs w:val="18"/>
        </w:rPr>
      </w:pPr>
      <w:r w:rsidRPr="007B1601">
        <w:rPr>
          <w:rFonts w:asciiTheme="minorHAnsi" w:eastAsia="Calibri" w:hAnsiTheme="minorHAnsi" w:cstheme="minorHAnsi"/>
          <w:bCs/>
          <w:sz w:val="28"/>
          <w:szCs w:val="20"/>
          <w:vertAlign w:val="superscript"/>
        </w:rPr>
        <w:t>1</w:t>
      </w:r>
      <w:r w:rsidRPr="007B1601">
        <w:rPr>
          <w:rFonts w:asciiTheme="minorHAnsi" w:eastAsia="Calibri" w:hAnsiTheme="minorHAnsi" w:cstheme="minorHAnsi"/>
          <w:b/>
          <w:bCs/>
          <w:szCs w:val="18"/>
          <w:vertAlign w:val="superscript"/>
        </w:rPr>
        <w:t xml:space="preserve"> </w:t>
      </w:r>
      <w:r w:rsidRPr="007B1601">
        <w:rPr>
          <w:rFonts w:asciiTheme="minorHAnsi" w:eastAsia="Calibri" w:hAnsiTheme="minorHAnsi" w:cstheme="minorHAnsi"/>
          <w:b/>
          <w:bCs/>
          <w:szCs w:val="18"/>
          <w:vertAlign w:val="superscript"/>
        </w:rPr>
        <w:tab/>
      </w:r>
      <w:r w:rsidRPr="007B1601">
        <w:rPr>
          <w:rFonts w:asciiTheme="minorHAnsi" w:eastAsia="Calibri" w:hAnsiTheme="minorHAnsi" w:cstheme="minorHAnsi"/>
          <w:szCs w:val="18"/>
        </w:rPr>
        <w:t>Certyfikat musi mieć nadany kod państwa [powinien być stosowany dwuliterowy kod ISO (ISO 3166 alpha-2), z wyjątkiem Grecji i Wielkiej Brytanii, do których zalecane są skróty EL i UK oraz unikalny numer w kolejności rosnącej. Przykład: EL – 001</w:t>
      </w:r>
      <w:r w:rsidRPr="007B1601">
        <w:rPr>
          <w:rFonts w:asciiTheme="minorHAnsi" w:eastAsia="Calibri" w:hAnsiTheme="minorHAnsi" w:cstheme="minorHAnsi"/>
          <w:sz w:val="20"/>
          <w:szCs w:val="18"/>
        </w:rPr>
        <w:t>.</w:t>
      </w:r>
    </w:p>
    <w:p w14:paraId="342B5F33" w14:textId="77777777" w:rsidR="00E32CD3" w:rsidRPr="007B1601" w:rsidRDefault="00E32CD3" w:rsidP="00862AA9">
      <w:pPr>
        <w:widowControl/>
        <w:tabs>
          <w:tab w:val="left" w:pos="284"/>
        </w:tabs>
        <w:ind w:left="284" w:hanging="284"/>
        <w:rPr>
          <w:rFonts w:asciiTheme="minorHAnsi" w:eastAsia="Calibri" w:hAnsiTheme="minorHAnsi" w:cstheme="minorHAnsi"/>
          <w:szCs w:val="18"/>
        </w:rPr>
      </w:pPr>
      <w:r w:rsidRPr="007B1601">
        <w:rPr>
          <w:rFonts w:asciiTheme="minorHAnsi" w:eastAsia="Calibri" w:hAnsiTheme="minorHAnsi" w:cstheme="minorHAnsi"/>
          <w:bCs/>
          <w:sz w:val="28"/>
          <w:szCs w:val="20"/>
          <w:vertAlign w:val="superscript"/>
        </w:rPr>
        <w:t>2</w:t>
      </w:r>
      <w:r w:rsidRPr="007B1601">
        <w:rPr>
          <w:rFonts w:asciiTheme="minorHAnsi" w:eastAsia="Calibri" w:hAnsiTheme="minorHAnsi" w:cstheme="minorHAnsi"/>
          <w:b/>
          <w:bCs/>
          <w:szCs w:val="18"/>
          <w:vertAlign w:val="superscript"/>
        </w:rPr>
        <w:t xml:space="preserve"> </w:t>
      </w:r>
      <w:r w:rsidRPr="007B1601">
        <w:rPr>
          <w:rFonts w:asciiTheme="minorHAnsi" w:eastAsia="Calibri" w:hAnsiTheme="minorHAnsi" w:cstheme="minorHAnsi"/>
          <w:b/>
          <w:bCs/>
          <w:szCs w:val="18"/>
          <w:vertAlign w:val="superscript"/>
        </w:rPr>
        <w:tab/>
      </w:r>
      <w:r w:rsidRPr="007B1601">
        <w:rPr>
          <w:rFonts w:asciiTheme="minorHAnsi" w:eastAsia="Calibri" w:hAnsiTheme="minorHAnsi" w:cstheme="minorHAnsi"/>
          <w:szCs w:val="18"/>
        </w:rPr>
        <w:t>Należy określić: oficjalną nazwę lotniska i oznaczenie lokalizacji ICAO dla lotniska.</w:t>
      </w:r>
    </w:p>
    <w:p w14:paraId="7EEFF90C" w14:textId="77777777" w:rsidR="00E32CD3" w:rsidRPr="007B1601" w:rsidRDefault="00E32CD3" w:rsidP="00862AA9">
      <w:pPr>
        <w:widowControl/>
        <w:tabs>
          <w:tab w:val="left" w:pos="284"/>
        </w:tabs>
        <w:ind w:left="284" w:hanging="284"/>
        <w:rPr>
          <w:rFonts w:asciiTheme="minorHAnsi" w:eastAsia="Calibri" w:hAnsiTheme="minorHAnsi" w:cstheme="minorHAnsi"/>
          <w:szCs w:val="18"/>
        </w:rPr>
      </w:pPr>
      <w:r w:rsidRPr="007B1601">
        <w:rPr>
          <w:rFonts w:asciiTheme="minorHAnsi" w:eastAsia="Calibri" w:hAnsiTheme="minorHAnsi" w:cstheme="minorHAnsi"/>
          <w:bCs/>
          <w:sz w:val="28"/>
          <w:szCs w:val="20"/>
          <w:vertAlign w:val="superscript"/>
        </w:rPr>
        <w:t>3</w:t>
      </w:r>
      <w:r w:rsidRPr="007B1601">
        <w:rPr>
          <w:rFonts w:asciiTheme="minorHAnsi" w:eastAsia="Calibri" w:hAnsiTheme="minorHAnsi" w:cstheme="minorHAnsi"/>
          <w:b/>
          <w:bCs/>
          <w:szCs w:val="18"/>
          <w:vertAlign w:val="superscript"/>
        </w:rPr>
        <w:t xml:space="preserve"> </w:t>
      </w:r>
      <w:r w:rsidRPr="007B1601">
        <w:rPr>
          <w:rFonts w:asciiTheme="minorHAnsi" w:eastAsia="Calibri" w:hAnsiTheme="minorHAnsi" w:cstheme="minorHAnsi"/>
          <w:b/>
          <w:bCs/>
          <w:szCs w:val="18"/>
          <w:vertAlign w:val="superscript"/>
        </w:rPr>
        <w:tab/>
      </w:r>
      <w:r w:rsidRPr="007B1601">
        <w:rPr>
          <w:rFonts w:asciiTheme="minorHAnsi" w:eastAsia="Calibri" w:hAnsiTheme="minorHAnsi" w:cstheme="minorHAnsi"/>
          <w:szCs w:val="18"/>
        </w:rPr>
        <w:t xml:space="preserve">Należy określić: dzień/noc oraz IFR/VFR </w:t>
      </w:r>
      <w:r w:rsidRPr="007B1601">
        <w:rPr>
          <w:rFonts w:asciiTheme="minorHAnsi" w:eastAsia="Calibri" w:hAnsiTheme="minorHAnsi" w:cstheme="minorHAnsi"/>
          <w:i/>
          <w:szCs w:val="18"/>
        </w:rPr>
        <w:t>(day/night and IFR/ VFR)</w:t>
      </w:r>
    </w:p>
    <w:p w14:paraId="5732332D" w14:textId="77777777" w:rsidR="00E32CD3" w:rsidRPr="007B1601" w:rsidRDefault="00E32CD3" w:rsidP="00862AA9">
      <w:pPr>
        <w:widowControl/>
        <w:tabs>
          <w:tab w:val="left" w:pos="284"/>
        </w:tabs>
        <w:ind w:left="284" w:hanging="284"/>
        <w:rPr>
          <w:rFonts w:asciiTheme="minorHAnsi" w:eastAsia="Calibri" w:hAnsiTheme="minorHAnsi" w:cstheme="minorHAnsi"/>
          <w:szCs w:val="18"/>
        </w:rPr>
      </w:pPr>
      <w:r w:rsidRPr="007B1601">
        <w:rPr>
          <w:rFonts w:asciiTheme="minorHAnsi" w:eastAsia="Calibri" w:hAnsiTheme="minorHAnsi" w:cstheme="minorHAnsi"/>
          <w:bCs/>
          <w:sz w:val="28"/>
          <w:szCs w:val="20"/>
          <w:vertAlign w:val="superscript"/>
        </w:rPr>
        <w:t>4</w:t>
      </w:r>
      <w:r w:rsidRPr="007B1601">
        <w:rPr>
          <w:rFonts w:asciiTheme="minorHAnsi" w:eastAsia="Calibri" w:hAnsiTheme="minorHAnsi" w:cstheme="minorHAnsi"/>
          <w:b/>
          <w:bCs/>
          <w:szCs w:val="18"/>
          <w:vertAlign w:val="superscript"/>
        </w:rPr>
        <w:t xml:space="preserve"> </w:t>
      </w:r>
      <w:r w:rsidRPr="007B1601">
        <w:rPr>
          <w:rFonts w:asciiTheme="minorHAnsi" w:eastAsia="Calibri" w:hAnsiTheme="minorHAnsi" w:cstheme="minorHAnsi"/>
          <w:b/>
          <w:bCs/>
          <w:szCs w:val="18"/>
          <w:vertAlign w:val="superscript"/>
        </w:rPr>
        <w:tab/>
      </w:r>
      <w:r w:rsidRPr="007B1601">
        <w:rPr>
          <w:rFonts w:asciiTheme="minorHAnsi" w:eastAsia="Calibri" w:hAnsiTheme="minorHAnsi" w:cstheme="minorHAnsi"/>
          <w:szCs w:val="18"/>
        </w:rPr>
        <w:t>Należy określić: ASDA, LDA, TODA, TORA w metrach dla każdego kierunku każdej drogi startowej, włącznie ze skrzyżowaniem dróg startowych, jeśli dotyczy.</w:t>
      </w:r>
    </w:p>
    <w:p w14:paraId="3BE21BE4" w14:textId="0D716679" w:rsidR="00E32CD3" w:rsidRPr="007B1601" w:rsidRDefault="00E32CD3" w:rsidP="00B06A9A">
      <w:pPr>
        <w:widowControl/>
        <w:tabs>
          <w:tab w:val="left" w:pos="284"/>
        </w:tabs>
        <w:spacing w:before="120" w:after="60"/>
        <w:ind w:left="284" w:hanging="284"/>
        <w:rPr>
          <w:rFonts w:asciiTheme="minorHAnsi" w:eastAsia="Calibri" w:hAnsiTheme="minorHAnsi" w:cstheme="minorHAnsi"/>
          <w:szCs w:val="18"/>
        </w:rPr>
      </w:pPr>
      <w:r w:rsidRPr="007B1601">
        <w:rPr>
          <w:rFonts w:asciiTheme="minorHAnsi" w:eastAsia="Calibri" w:hAnsiTheme="minorHAnsi" w:cstheme="minorHAnsi"/>
          <w:bCs/>
          <w:sz w:val="28"/>
          <w:szCs w:val="20"/>
          <w:vertAlign w:val="superscript"/>
        </w:rPr>
        <w:t>5</w:t>
      </w:r>
      <w:r w:rsidRPr="007B1601">
        <w:rPr>
          <w:rFonts w:asciiTheme="minorHAnsi" w:eastAsia="Calibri" w:hAnsiTheme="minorHAnsi" w:cstheme="minorHAnsi"/>
          <w:b/>
          <w:bCs/>
          <w:sz w:val="24"/>
          <w:szCs w:val="20"/>
          <w:vertAlign w:val="superscript"/>
        </w:rPr>
        <w:t xml:space="preserve"> </w:t>
      </w:r>
      <w:r w:rsidRPr="007B1601">
        <w:rPr>
          <w:rFonts w:asciiTheme="minorHAnsi" w:eastAsia="Calibri" w:hAnsiTheme="minorHAnsi" w:cstheme="minorHAnsi"/>
          <w:b/>
          <w:bCs/>
          <w:szCs w:val="18"/>
          <w:vertAlign w:val="superscript"/>
        </w:rPr>
        <w:tab/>
      </w:r>
      <w:r w:rsidRPr="007B1601">
        <w:rPr>
          <w:rFonts w:asciiTheme="minorHAnsi" w:eastAsia="Calibri" w:hAnsiTheme="minorHAnsi" w:cstheme="minorHAnsi"/>
          <w:szCs w:val="18"/>
        </w:rPr>
        <w:t>Należy określić: zatwierdzenie drogi startowej dla podejścia nieinstrumentalnego, instrumentalnego, nieprecyzyjnego. W przypadku podejścia (podejść) precyzyjnego (precyzy</w:t>
      </w:r>
      <w:r w:rsidR="00846BCB" w:rsidRPr="007B1601">
        <w:rPr>
          <w:rFonts w:asciiTheme="minorHAnsi" w:eastAsia="Calibri" w:hAnsiTheme="minorHAnsi" w:cstheme="minorHAnsi"/>
          <w:szCs w:val="18"/>
        </w:rPr>
        <w:t>jnych), należy wskazać, które z </w:t>
      </w:r>
      <w:r w:rsidRPr="007B1601">
        <w:rPr>
          <w:rFonts w:asciiTheme="minorHAnsi" w:eastAsia="Calibri" w:hAnsiTheme="minorHAnsi" w:cstheme="minorHAnsi"/>
          <w:szCs w:val="18"/>
        </w:rPr>
        <w:t>poniższych podejść precyzyjnych jest zatwierdzone:</w:t>
      </w:r>
    </w:p>
    <w:p w14:paraId="6C54CBCC"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standardowe w kategorii I </w:t>
      </w:r>
      <w:r w:rsidRPr="007B1601">
        <w:rPr>
          <w:rFonts w:asciiTheme="minorHAnsi" w:eastAsia="Calibri" w:hAnsiTheme="minorHAnsi" w:cstheme="minorHAnsi"/>
          <w:i/>
          <w:szCs w:val="20"/>
        </w:rPr>
        <w:t>(Standard Category I)</w:t>
      </w:r>
      <w:r w:rsidRPr="007B1601">
        <w:rPr>
          <w:rFonts w:asciiTheme="minorHAnsi" w:eastAsia="Calibri" w:hAnsiTheme="minorHAnsi" w:cstheme="minorHAnsi"/>
          <w:szCs w:val="20"/>
        </w:rPr>
        <w:t xml:space="preserve">; </w:t>
      </w:r>
    </w:p>
    <w:p w14:paraId="0C1B4660"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poniżej standardu w kategorii I </w:t>
      </w:r>
      <w:r w:rsidRPr="007B1601">
        <w:rPr>
          <w:rFonts w:asciiTheme="minorHAnsi" w:eastAsia="Calibri" w:hAnsiTheme="minorHAnsi" w:cstheme="minorHAnsi"/>
          <w:i/>
          <w:szCs w:val="20"/>
        </w:rPr>
        <w:t>(Lower than Standard Category I);</w:t>
      </w:r>
    </w:p>
    <w:p w14:paraId="0D678EB2"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i/>
          <w:szCs w:val="20"/>
        </w:rPr>
      </w:pPr>
      <w:r w:rsidRPr="007B1601">
        <w:rPr>
          <w:rFonts w:asciiTheme="minorHAnsi" w:eastAsia="Calibri" w:hAnsiTheme="minorHAnsi" w:cstheme="minorHAnsi"/>
          <w:szCs w:val="20"/>
        </w:rPr>
        <w:t xml:space="preserve">podejście precyzyjne w kategorii II </w:t>
      </w:r>
      <w:r w:rsidRPr="007B1601">
        <w:rPr>
          <w:rFonts w:asciiTheme="minorHAnsi" w:eastAsia="Calibri" w:hAnsiTheme="minorHAnsi" w:cstheme="minorHAnsi"/>
          <w:i/>
          <w:szCs w:val="20"/>
        </w:rPr>
        <w:t>(Precision Approach Category II);</w:t>
      </w:r>
    </w:p>
    <w:p w14:paraId="58D9F085"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poza standardem w kategorii II </w:t>
      </w:r>
      <w:r w:rsidRPr="007B1601">
        <w:rPr>
          <w:rFonts w:asciiTheme="minorHAnsi" w:eastAsia="Calibri" w:hAnsiTheme="minorHAnsi" w:cstheme="minorHAnsi"/>
          <w:i/>
          <w:szCs w:val="20"/>
        </w:rPr>
        <w:t>(Other than Standard Category II);</w:t>
      </w:r>
    </w:p>
    <w:p w14:paraId="3BECFE73"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podejście precyzyjne w kategorii III-A </w:t>
      </w:r>
      <w:r w:rsidRPr="007B1601">
        <w:rPr>
          <w:rFonts w:asciiTheme="minorHAnsi" w:eastAsia="Calibri" w:hAnsiTheme="minorHAnsi" w:cstheme="minorHAnsi"/>
          <w:i/>
          <w:szCs w:val="20"/>
        </w:rPr>
        <w:t>(Precision Approach Category III-A);</w:t>
      </w:r>
    </w:p>
    <w:p w14:paraId="0DEA5D58"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podejście precyzyjne w kategorii III-B </w:t>
      </w:r>
      <w:r w:rsidRPr="007B1601">
        <w:rPr>
          <w:rFonts w:asciiTheme="minorHAnsi" w:eastAsia="Calibri" w:hAnsiTheme="minorHAnsi" w:cstheme="minorHAnsi"/>
          <w:i/>
          <w:szCs w:val="20"/>
        </w:rPr>
        <w:t>(Precision Approach Category III-B);</w:t>
      </w:r>
    </w:p>
    <w:p w14:paraId="730BAB18" w14:textId="77777777" w:rsidR="00E32CD3" w:rsidRPr="007B1601" w:rsidRDefault="00E32CD3" w:rsidP="00B06A9A">
      <w:pPr>
        <w:widowControl/>
        <w:numPr>
          <w:ilvl w:val="1"/>
          <w:numId w:val="4"/>
        </w:numPr>
        <w:tabs>
          <w:tab w:val="left" w:pos="833"/>
        </w:tabs>
        <w:spacing w:before="59"/>
        <w:ind w:left="709" w:right="-1"/>
        <w:jc w:val="left"/>
        <w:rPr>
          <w:rFonts w:asciiTheme="minorHAnsi" w:eastAsia="Calibri" w:hAnsiTheme="minorHAnsi" w:cstheme="minorHAnsi"/>
          <w:szCs w:val="20"/>
        </w:rPr>
      </w:pPr>
      <w:r w:rsidRPr="007B1601">
        <w:rPr>
          <w:rFonts w:asciiTheme="minorHAnsi" w:eastAsia="Calibri" w:hAnsiTheme="minorHAnsi" w:cstheme="minorHAnsi"/>
          <w:szCs w:val="20"/>
        </w:rPr>
        <w:t xml:space="preserve">podejście precyzyjne w kategorii III-C </w:t>
      </w:r>
      <w:r w:rsidRPr="007B1601">
        <w:rPr>
          <w:rFonts w:asciiTheme="minorHAnsi" w:eastAsia="Calibri" w:hAnsiTheme="minorHAnsi" w:cstheme="minorHAnsi"/>
          <w:i/>
          <w:szCs w:val="20"/>
        </w:rPr>
        <w:t>(Precision Approach Category III-C).</w:t>
      </w:r>
    </w:p>
    <w:p w14:paraId="21AFA56A" w14:textId="77777777" w:rsidR="00E32CD3" w:rsidRPr="007B1601" w:rsidRDefault="00E32CD3" w:rsidP="00B06A9A">
      <w:pPr>
        <w:widowControl/>
        <w:tabs>
          <w:tab w:val="left" w:pos="284"/>
        </w:tabs>
        <w:spacing w:before="120" w:after="0"/>
        <w:ind w:left="284" w:hanging="284"/>
        <w:rPr>
          <w:rFonts w:asciiTheme="minorHAnsi" w:eastAsia="Calibri" w:hAnsiTheme="minorHAnsi" w:cstheme="minorHAnsi"/>
          <w:szCs w:val="20"/>
        </w:rPr>
      </w:pPr>
      <w:r w:rsidRPr="007B1601">
        <w:rPr>
          <w:rFonts w:asciiTheme="minorHAnsi" w:eastAsia="Calibri" w:hAnsiTheme="minorHAnsi" w:cstheme="minorHAnsi"/>
          <w:bCs/>
          <w:szCs w:val="20"/>
          <w:vertAlign w:val="superscript"/>
        </w:rPr>
        <w:t>6</w:t>
      </w:r>
      <w:r w:rsidRPr="007B1601">
        <w:rPr>
          <w:rFonts w:asciiTheme="minorHAnsi" w:eastAsia="Calibri" w:hAnsiTheme="minorHAnsi" w:cstheme="minorHAnsi"/>
          <w:b/>
          <w:bCs/>
          <w:szCs w:val="20"/>
          <w:vertAlign w:val="superscript"/>
        </w:rPr>
        <w:t xml:space="preserve"> </w:t>
      </w:r>
      <w:r w:rsidRPr="007B1601">
        <w:rPr>
          <w:rFonts w:asciiTheme="minorHAnsi" w:eastAsia="Calibri" w:hAnsiTheme="minorHAnsi" w:cstheme="minorHAnsi"/>
          <w:b/>
          <w:bCs/>
          <w:szCs w:val="20"/>
          <w:vertAlign w:val="superscript"/>
        </w:rPr>
        <w:tab/>
      </w:r>
      <w:r w:rsidRPr="007B1601">
        <w:rPr>
          <w:rFonts w:asciiTheme="minorHAnsi" w:eastAsia="Calibri" w:hAnsiTheme="minorHAnsi" w:cstheme="minorHAnsi"/>
          <w:szCs w:val="20"/>
        </w:rPr>
        <w:t>Należy określić: kod referencyjny lotniska (numer kodu/litera kodu).</w:t>
      </w:r>
    </w:p>
    <w:p w14:paraId="6A69AA59" w14:textId="02C385BF" w:rsidR="00E32CD3" w:rsidRPr="007B1601" w:rsidRDefault="00E32CD3" w:rsidP="00B06A9A">
      <w:pPr>
        <w:widowControl/>
        <w:tabs>
          <w:tab w:val="left" w:pos="284"/>
        </w:tabs>
        <w:spacing w:before="120" w:after="0"/>
        <w:ind w:left="284" w:hanging="284"/>
        <w:rPr>
          <w:rFonts w:asciiTheme="minorHAnsi" w:eastAsia="Calibri" w:hAnsiTheme="minorHAnsi" w:cstheme="minorHAnsi"/>
          <w:szCs w:val="20"/>
        </w:rPr>
      </w:pPr>
      <w:r w:rsidRPr="007B1601">
        <w:rPr>
          <w:rFonts w:asciiTheme="minorHAnsi" w:eastAsia="Calibri" w:hAnsiTheme="minorHAnsi" w:cstheme="minorHAnsi"/>
          <w:bCs/>
          <w:szCs w:val="20"/>
          <w:vertAlign w:val="superscript"/>
        </w:rPr>
        <w:t>7</w:t>
      </w:r>
      <w:r w:rsidRPr="007B1601">
        <w:rPr>
          <w:rFonts w:asciiTheme="minorHAnsi" w:eastAsia="Calibri" w:hAnsiTheme="minorHAnsi" w:cstheme="minorHAnsi"/>
          <w:b/>
          <w:bCs/>
          <w:szCs w:val="20"/>
          <w:vertAlign w:val="superscript"/>
        </w:rPr>
        <w:t xml:space="preserve"> </w:t>
      </w:r>
      <w:r w:rsidRPr="007B1601">
        <w:rPr>
          <w:rFonts w:asciiTheme="minorHAnsi" w:eastAsia="Calibri" w:hAnsiTheme="minorHAnsi" w:cstheme="minorHAnsi"/>
          <w:b/>
          <w:bCs/>
          <w:szCs w:val="20"/>
          <w:vertAlign w:val="superscript"/>
        </w:rPr>
        <w:tab/>
      </w:r>
      <w:r w:rsidRPr="007B1601">
        <w:rPr>
          <w:rFonts w:asciiTheme="minorHAnsi" w:eastAsia="Calibri" w:hAnsiTheme="minorHAnsi" w:cstheme="minorHAnsi"/>
          <w:szCs w:val="20"/>
        </w:rPr>
        <w:t>Należy określić: zatwierdzone typy statków powietrznych o wyższej literze kodu niż to wskazano w p</w:t>
      </w:r>
      <w:r w:rsidR="0019788A" w:rsidRPr="007B1601">
        <w:rPr>
          <w:rFonts w:asciiTheme="minorHAnsi" w:eastAsia="Calibri" w:hAnsiTheme="minorHAnsi" w:cstheme="minorHAnsi"/>
          <w:szCs w:val="20"/>
        </w:rPr>
        <w:t>kt </w:t>
      </w:r>
      <w:r w:rsidRPr="007B1601">
        <w:rPr>
          <w:rFonts w:asciiTheme="minorHAnsi" w:eastAsia="Calibri" w:hAnsiTheme="minorHAnsi" w:cstheme="minorHAnsi"/>
          <w:szCs w:val="20"/>
        </w:rPr>
        <w:t>6 powyżej.</w:t>
      </w:r>
    </w:p>
    <w:p w14:paraId="72B9062D" w14:textId="77777777" w:rsidR="00E32CD3" w:rsidRPr="007B1601" w:rsidRDefault="00E32CD3" w:rsidP="00B06A9A">
      <w:pPr>
        <w:widowControl/>
        <w:tabs>
          <w:tab w:val="left" w:pos="284"/>
        </w:tabs>
        <w:spacing w:before="120" w:after="0"/>
        <w:ind w:left="284" w:hanging="284"/>
        <w:rPr>
          <w:rFonts w:asciiTheme="minorHAnsi" w:eastAsia="Calibri" w:hAnsiTheme="minorHAnsi" w:cstheme="minorHAnsi"/>
          <w:szCs w:val="20"/>
        </w:rPr>
      </w:pPr>
      <w:r w:rsidRPr="007B1601">
        <w:rPr>
          <w:rFonts w:asciiTheme="minorHAnsi" w:eastAsia="Calibri" w:hAnsiTheme="minorHAnsi" w:cstheme="minorHAnsi"/>
          <w:bCs/>
          <w:szCs w:val="20"/>
          <w:vertAlign w:val="superscript"/>
        </w:rPr>
        <w:t>8</w:t>
      </w:r>
      <w:r w:rsidRPr="007B1601">
        <w:rPr>
          <w:rFonts w:asciiTheme="minorHAnsi" w:eastAsia="Calibri" w:hAnsiTheme="minorHAnsi" w:cstheme="minorHAnsi"/>
          <w:b/>
          <w:bCs/>
          <w:szCs w:val="20"/>
          <w:vertAlign w:val="superscript"/>
        </w:rPr>
        <w:t xml:space="preserve"> </w:t>
      </w:r>
      <w:r w:rsidRPr="007B1601">
        <w:rPr>
          <w:rFonts w:asciiTheme="minorHAnsi" w:eastAsia="Calibri" w:hAnsiTheme="minorHAnsi" w:cstheme="minorHAnsi"/>
          <w:b/>
          <w:bCs/>
          <w:szCs w:val="20"/>
          <w:vertAlign w:val="superscript"/>
        </w:rPr>
        <w:tab/>
      </w:r>
      <w:r w:rsidRPr="007B1601">
        <w:rPr>
          <w:rFonts w:asciiTheme="minorHAnsi" w:eastAsia="Calibri" w:hAnsiTheme="minorHAnsi" w:cstheme="minorHAnsi"/>
          <w:szCs w:val="20"/>
        </w:rPr>
        <w:t>Należy określić: nazwę instytucji zapewniającej służbę zarządzania płytą postojową, zarówno gdy służba ta jest lub nie jest zapewniana przez operatora lotniska.</w:t>
      </w:r>
    </w:p>
    <w:p w14:paraId="3F2ED120" w14:textId="6A4863CB" w:rsidR="00E32CD3" w:rsidRPr="007B1601" w:rsidRDefault="00E32CD3" w:rsidP="00AF4E91">
      <w:pPr>
        <w:widowControl/>
        <w:tabs>
          <w:tab w:val="left" w:pos="284"/>
        </w:tabs>
        <w:spacing w:before="120" w:after="0"/>
        <w:ind w:left="284" w:right="565" w:hanging="284"/>
        <w:rPr>
          <w:rFonts w:asciiTheme="minorHAnsi" w:eastAsia="Calibri" w:hAnsiTheme="minorHAnsi" w:cstheme="minorHAnsi"/>
          <w:szCs w:val="20"/>
        </w:rPr>
      </w:pPr>
      <w:r w:rsidRPr="007B1601">
        <w:rPr>
          <w:rFonts w:asciiTheme="minorHAnsi" w:eastAsia="Calibri" w:hAnsiTheme="minorHAnsi" w:cstheme="minorHAnsi"/>
          <w:bCs/>
          <w:szCs w:val="20"/>
          <w:vertAlign w:val="superscript"/>
        </w:rPr>
        <w:t>9</w:t>
      </w:r>
      <w:r w:rsidRPr="007B1601">
        <w:rPr>
          <w:rFonts w:asciiTheme="minorHAnsi" w:eastAsia="Calibri" w:hAnsiTheme="minorHAnsi" w:cstheme="minorHAnsi"/>
          <w:b/>
          <w:bCs/>
          <w:szCs w:val="20"/>
          <w:vertAlign w:val="superscript"/>
        </w:rPr>
        <w:t xml:space="preserve"> </w:t>
      </w:r>
      <w:r w:rsidRPr="007B1601">
        <w:rPr>
          <w:rFonts w:asciiTheme="minorHAnsi" w:eastAsia="Calibri" w:hAnsiTheme="minorHAnsi" w:cstheme="minorHAnsi"/>
          <w:b/>
          <w:bCs/>
          <w:szCs w:val="20"/>
          <w:vertAlign w:val="superscript"/>
        </w:rPr>
        <w:tab/>
      </w:r>
      <w:r w:rsidRPr="007B1601">
        <w:rPr>
          <w:rFonts w:asciiTheme="minorHAnsi" w:eastAsia="Calibri" w:hAnsiTheme="minorHAnsi" w:cstheme="minorHAnsi"/>
          <w:szCs w:val="20"/>
        </w:rPr>
        <w:t>Należy określić: poziom ochrony ratowniczo-gaśniczej zgodnie z Załącznikiem</w:t>
      </w:r>
      <w:r w:rsidR="00AF4E91" w:rsidRPr="007B1601">
        <w:rPr>
          <w:rFonts w:asciiTheme="minorHAnsi" w:eastAsia="Calibri" w:hAnsiTheme="minorHAnsi" w:cstheme="minorHAnsi"/>
          <w:szCs w:val="20"/>
        </w:rPr>
        <w:t> IV (Część </w:t>
      </w:r>
      <w:r w:rsidRPr="007B1601">
        <w:rPr>
          <w:rFonts w:asciiTheme="minorHAnsi" w:eastAsia="Calibri" w:hAnsiTheme="minorHAnsi" w:cstheme="minorHAnsi"/>
          <w:szCs w:val="20"/>
        </w:rPr>
        <w:t>ADR.OPS) niniejszego rozporządzenia.</w:t>
      </w:r>
    </w:p>
    <w:p w14:paraId="02199E4F" w14:textId="53D8ABA7" w:rsidR="00E32CD3" w:rsidRPr="009E064B" w:rsidRDefault="00E32CD3" w:rsidP="00B06A9A">
      <w:pPr>
        <w:widowControl/>
        <w:tabs>
          <w:tab w:val="left" w:pos="284"/>
        </w:tabs>
        <w:spacing w:before="120" w:after="0"/>
        <w:ind w:left="284" w:hanging="284"/>
        <w:rPr>
          <w:rFonts w:asciiTheme="minorHAnsi" w:eastAsia="Calibri" w:hAnsiTheme="minorHAnsi" w:cstheme="minorHAnsi"/>
          <w:sz w:val="20"/>
          <w:szCs w:val="20"/>
        </w:rPr>
      </w:pPr>
      <w:r w:rsidRPr="007B1601">
        <w:rPr>
          <w:rFonts w:asciiTheme="minorHAnsi" w:eastAsia="Calibri" w:hAnsiTheme="minorHAnsi" w:cstheme="minorHAnsi"/>
          <w:bCs/>
          <w:szCs w:val="20"/>
          <w:vertAlign w:val="superscript"/>
        </w:rPr>
        <w:t xml:space="preserve">10 </w:t>
      </w:r>
      <w:r w:rsidRPr="007B1601">
        <w:rPr>
          <w:rFonts w:asciiTheme="minorHAnsi" w:eastAsia="Calibri" w:hAnsiTheme="minorHAnsi" w:cstheme="minorHAnsi"/>
          <w:b/>
          <w:bCs/>
          <w:szCs w:val="20"/>
          <w:vertAlign w:val="superscript"/>
        </w:rPr>
        <w:tab/>
      </w:r>
      <w:r w:rsidRPr="007B1601">
        <w:rPr>
          <w:rFonts w:asciiTheme="minorHAnsi" w:eastAsia="Calibri" w:hAnsiTheme="minorHAnsi" w:cstheme="minorHAnsi"/>
          <w:szCs w:val="20"/>
        </w:rPr>
        <w:t>Należy określić: wszelkie inne informacje, które właściwy organ uzna za konieczne do załączenia.</w:t>
      </w:r>
    </w:p>
    <w:p w14:paraId="3A3DFAF0" w14:textId="77777777" w:rsidR="00846BCB" w:rsidRPr="009E064B" w:rsidRDefault="00846BCB" w:rsidP="00846BCB">
      <w:pPr>
        <w:widowControl/>
        <w:tabs>
          <w:tab w:val="left" w:pos="284"/>
        </w:tabs>
        <w:spacing w:after="0"/>
        <w:ind w:left="284" w:hanging="284"/>
        <w:rPr>
          <w:rFonts w:asciiTheme="minorHAnsi" w:eastAsia="Calibri" w:hAnsiTheme="minorHAnsi" w:cstheme="minorHAnsi"/>
          <w:sz w:val="20"/>
          <w:szCs w:val="20"/>
        </w:rPr>
      </w:pPr>
    </w:p>
    <w:p w14:paraId="2BDADC78" w14:textId="185B5F88" w:rsidR="00E32CD3" w:rsidRPr="009E064B" w:rsidRDefault="00E32CD3" w:rsidP="00133B99">
      <w:pPr>
        <w:pStyle w:val="Nagwek5"/>
      </w:pPr>
      <w:bookmarkStart w:id="197" w:name="_Toc492024556"/>
      <w:bookmarkStart w:id="198" w:name="_Toc12532620"/>
      <w:r w:rsidRPr="009E064B">
        <w:t xml:space="preserve">AMC1 ADR.AR.C.035(h)    </w:t>
      </w:r>
      <w:r w:rsidR="004D6FC2" w:rsidRPr="009E064B">
        <w:t xml:space="preserve"> </w:t>
      </w:r>
      <w:r w:rsidRPr="009E064B">
        <w:t>Wydawanie certyfikatów</w:t>
      </w:r>
      <w:bookmarkEnd w:id="197"/>
      <w:bookmarkEnd w:id="198"/>
    </w:p>
    <w:p w14:paraId="0648C20A" w14:textId="423FA5B5"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048A6F7" w14:textId="77777777" w:rsidR="00E32CD3" w:rsidRPr="009E064B" w:rsidRDefault="00E32CD3" w:rsidP="00846BCB">
      <w:pPr>
        <w:widowControl/>
        <w:spacing w:before="120"/>
        <w:rPr>
          <w:rFonts w:asciiTheme="minorHAnsi" w:eastAsia="Calibri" w:hAnsiTheme="minorHAnsi" w:cstheme="minorHAnsi"/>
        </w:rPr>
      </w:pPr>
      <w:r w:rsidRPr="009E064B">
        <w:rPr>
          <w:rFonts w:asciiTheme="minorHAnsi" w:eastAsia="Calibri" w:hAnsiTheme="minorHAnsi" w:cstheme="minorHAnsi"/>
        </w:rPr>
        <w:t>ZATWIERDZENIE PROCEDURY ZARZĄDZANIA I INFORMOWANIA O ZMIANACH</w:t>
      </w:r>
    </w:p>
    <w:p w14:paraId="6E3A2772"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Właściwy organ powinien ustalić i udokumentować własny proces, który ma być stosowany przez inspektorów lotniskowych przy ocenie zakresu zmian, w proponowanej przez operatora lotniska procedurze, która ma być stosowana do zarządzania zmianami i informowania o zmianach.</w:t>
      </w:r>
    </w:p>
    <w:p w14:paraId="480838D3" w14:textId="77777777" w:rsidR="00E32CD3" w:rsidRPr="009E064B" w:rsidRDefault="00E32CD3" w:rsidP="00B06A9A">
      <w:pPr>
        <w:widowControl/>
        <w:rPr>
          <w:rFonts w:asciiTheme="minorHAnsi" w:eastAsia="Calibri" w:hAnsiTheme="minorHAnsi" w:cstheme="minorHAnsi"/>
        </w:rPr>
      </w:pPr>
      <w:r w:rsidRPr="009E064B">
        <w:rPr>
          <w:rFonts w:asciiTheme="minorHAnsi" w:eastAsia="Calibri" w:hAnsiTheme="minorHAnsi" w:cstheme="minorHAnsi"/>
        </w:rPr>
        <w:t>Kryteria, które należy stosować, obejmują, lecz nie ograniczają się do:</w:t>
      </w:r>
    </w:p>
    <w:p w14:paraId="7E78CC97"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częstotliwości zmian;</w:t>
      </w:r>
    </w:p>
    <w:p w14:paraId="7B4DCA2B"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wielkości zmian;</w:t>
      </w:r>
    </w:p>
    <w:p w14:paraId="7251C3A3"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złożoności lotniska oraz rodzaju działalności;</w:t>
      </w:r>
    </w:p>
    <w:p w14:paraId="45CB3355"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natężenia ruchu na lotnisku;</w:t>
      </w:r>
    </w:p>
    <w:p w14:paraId="1F7D2C1B"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czasu potrzebnego do oceny dokumentów dotyczących zmian zgłoszonych przez operatora lotniska;</w:t>
      </w:r>
    </w:p>
    <w:p w14:paraId="2011D4B0"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rozsądnych czasów reakcji dla właściwego organu, w zależności od rodzaju zmian, w celu umożliwienia mu wyrażenia sprzeciwu wobec otrzymanego powiadomienia;</w:t>
      </w:r>
    </w:p>
    <w:p w14:paraId="67192559" w14:textId="51B1B2BC"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potrzeby terminowej publikacji zmian i ich ogłoszenia za pośrednictwem systemu AIRAC;</w:t>
      </w:r>
    </w:p>
    <w:p w14:paraId="4ABAB720" w14:textId="77777777" w:rsidR="00E32CD3" w:rsidRPr="009E064B"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poprzedniego sposobu postępowania operatora lotniska, oraz</w:t>
      </w:r>
    </w:p>
    <w:p w14:paraId="781020C3" w14:textId="48680A11" w:rsidR="007B1601" w:rsidRDefault="00E32CD3"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skuteczności systemu zarządzania bezpieczeństwem operatora lotniska.</w:t>
      </w:r>
    </w:p>
    <w:p w14:paraId="5A571B58" w14:textId="77777777" w:rsidR="007B1601" w:rsidRDefault="007B1601">
      <w:pPr>
        <w:spacing w:after="0"/>
        <w:jc w:val="left"/>
        <w:rPr>
          <w:rFonts w:asciiTheme="minorHAnsi" w:eastAsia="Calibri" w:hAnsiTheme="minorHAnsi" w:cstheme="minorHAnsi"/>
        </w:rPr>
      </w:pPr>
      <w:r>
        <w:rPr>
          <w:rFonts w:asciiTheme="minorHAnsi" w:eastAsia="Calibri" w:hAnsiTheme="minorHAnsi" w:cstheme="minorHAnsi"/>
        </w:rPr>
        <w:br w:type="page"/>
      </w:r>
    </w:p>
    <w:p w14:paraId="1DC5C663" w14:textId="5D790E5A" w:rsidR="00DC7DA6" w:rsidRPr="009E064B" w:rsidRDefault="00DE05DC" w:rsidP="00B06A9A">
      <w:pPr>
        <w:pStyle w:val="Nagwek3"/>
      </w:pPr>
      <w:bookmarkStart w:id="199" w:name="_ADR.AR.C.040__"/>
      <w:bookmarkStart w:id="200" w:name="_Toc12532621"/>
      <w:bookmarkEnd w:id="199"/>
      <w:r w:rsidRPr="009E064B">
        <w:t xml:space="preserve">ADR.AR.C.040 </w:t>
      </w:r>
      <w:r w:rsidR="004D6FC2" w:rsidRPr="009E064B">
        <w:t xml:space="preserve">    </w:t>
      </w:r>
      <w:r w:rsidRPr="009E064B">
        <w:t>Zmiany</w:t>
      </w:r>
      <w:bookmarkEnd w:id="200"/>
    </w:p>
    <w:p w14:paraId="47588D05" w14:textId="50DCB572"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B26D67A" w14:textId="4451E29E" w:rsidR="00DC7DA6" w:rsidRPr="009E064B" w:rsidRDefault="00B26CE2"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Po otrzymaniu wniosku o dokonanie </w:t>
      </w:r>
      <w:r w:rsidR="009A7BD8" w:rsidRPr="009E064B">
        <w:rPr>
          <w:rFonts w:asciiTheme="minorHAnsi" w:hAnsiTheme="minorHAnsi" w:cstheme="minorHAnsi"/>
          <w:sz w:val="22"/>
          <w:szCs w:val="20"/>
        </w:rPr>
        <w:t xml:space="preserve">zmiany </w:t>
      </w:r>
      <w:r w:rsidR="00DE05DC" w:rsidRPr="009E064B">
        <w:rPr>
          <w:rFonts w:asciiTheme="minorHAnsi" w:hAnsiTheme="minorHAnsi" w:cstheme="minorHAnsi"/>
          <w:sz w:val="22"/>
          <w:szCs w:val="20"/>
        </w:rPr>
        <w:t xml:space="preserve">wymagającej wcześniejszego zatwierdzenia, zgodnie z </w:t>
      </w:r>
      <w:hyperlink w:anchor="_ADR.OR.B.040__" w:history="1">
        <w:r w:rsidR="00DE05DC" w:rsidRPr="009E064B">
          <w:rPr>
            <w:rStyle w:val="Hipercze"/>
            <w:rFonts w:asciiTheme="minorHAnsi" w:hAnsiTheme="minorHAnsi" w:cstheme="minorHAnsi"/>
            <w:sz w:val="22"/>
            <w:szCs w:val="20"/>
          </w:rPr>
          <w:t>ADR.OR.B.40</w:t>
        </w:r>
      </w:hyperlink>
      <w:r w:rsidR="00DE05DC" w:rsidRPr="009E064B">
        <w:rPr>
          <w:rFonts w:asciiTheme="minorHAnsi" w:hAnsiTheme="minorHAnsi" w:cstheme="minorHAnsi"/>
          <w:sz w:val="22"/>
          <w:szCs w:val="20"/>
        </w:rPr>
        <w:t>, właściwy organ ocenia ten wniosek oraz, w odpowiednich przypadkach, powiadamia operatora lotniska o:</w:t>
      </w:r>
    </w:p>
    <w:p w14:paraId="0BFEE21C" w14:textId="41B214A1" w:rsidR="00DC7DA6" w:rsidRPr="009E064B" w:rsidRDefault="00B26CE2"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55A7B" w:rsidRPr="009E064B">
        <w:rPr>
          <w:rFonts w:asciiTheme="minorHAnsi" w:eastAsia="Times New Roman" w:hAnsiTheme="minorHAnsi" w:cstheme="minorHAnsi"/>
          <w:szCs w:val="20"/>
        </w:rPr>
        <w:t xml:space="preserve">1)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stosownych specyfikacjach certyfikacyjnych wydanych przez Agencję, które mają zastosowanie do proponowanej zmiany i które obowiązują na dzień złożenia wniosku, chyba że:</w:t>
      </w:r>
    </w:p>
    <w:p w14:paraId="4C351334" w14:textId="710241AE" w:rsidR="00DC7DA6" w:rsidRPr="009E064B" w:rsidRDefault="00B26CE2" w:rsidP="00B06A9A">
      <w:pPr>
        <w:pStyle w:val="Tekstpodstawowy"/>
        <w:tabs>
          <w:tab w:val="left" w:pos="1418"/>
        </w:tabs>
        <w:ind w:left="1418" w:right="-2" w:hanging="425"/>
        <w:rPr>
          <w:rFonts w:asciiTheme="minorHAnsi" w:hAnsiTheme="minorHAnsi" w:cstheme="minorHAnsi"/>
          <w:sz w:val="22"/>
          <w:szCs w:val="22"/>
        </w:rPr>
      </w:pPr>
      <w:r w:rsidRPr="009E064B">
        <w:rPr>
          <w:rFonts w:asciiTheme="minorHAnsi" w:hAnsiTheme="minorHAnsi" w:cstheme="minorHAnsi"/>
          <w:sz w:val="22"/>
          <w:szCs w:val="22"/>
        </w:rPr>
        <w:t>(</w:t>
      </w:r>
      <w:r w:rsidR="00C55A7B" w:rsidRPr="009E064B">
        <w:rPr>
          <w:rFonts w:asciiTheme="minorHAnsi" w:hAnsiTheme="minorHAnsi" w:cstheme="minorHAnsi"/>
          <w:sz w:val="22"/>
          <w:szCs w:val="22"/>
        </w:rPr>
        <w:t xml:space="preserve">a) </w:t>
      </w:r>
      <w:r w:rsidR="00483D7A" w:rsidRPr="009E064B">
        <w:rPr>
          <w:rFonts w:asciiTheme="minorHAnsi" w:hAnsiTheme="minorHAnsi" w:cstheme="minorHAnsi"/>
          <w:sz w:val="22"/>
          <w:szCs w:val="22"/>
        </w:rPr>
        <w:tab/>
      </w:r>
      <w:r w:rsidR="00DE05DC" w:rsidRPr="009E064B">
        <w:rPr>
          <w:rFonts w:asciiTheme="minorHAnsi" w:hAnsiTheme="minorHAnsi" w:cstheme="minorHAnsi"/>
          <w:sz w:val="22"/>
          <w:szCs w:val="22"/>
        </w:rPr>
        <w:t>wnioskodawca wybierze zgodność z późniejszymi obowiązującymi zmianami; lub</w:t>
      </w:r>
    </w:p>
    <w:p w14:paraId="2B2E9339" w14:textId="2E84E09D" w:rsidR="00DC7DA6" w:rsidRPr="009E064B" w:rsidRDefault="00B26CE2" w:rsidP="00B06A9A">
      <w:pPr>
        <w:pStyle w:val="Tekstpodstawowy"/>
        <w:tabs>
          <w:tab w:val="left" w:pos="1783"/>
        </w:tabs>
        <w:ind w:left="1418" w:right="-2" w:hanging="425"/>
        <w:rPr>
          <w:rFonts w:asciiTheme="minorHAnsi" w:hAnsiTheme="minorHAnsi" w:cstheme="minorHAnsi"/>
          <w:sz w:val="22"/>
          <w:szCs w:val="22"/>
        </w:rPr>
      </w:pPr>
      <w:r w:rsidRPr="009E064B">
        <w:rPr>
          <w:rFonts w:asciiTheme="minorHAnsi" w:hAnsiTheme="minorHAnsi" w:cstheme="minorHAnsi"/>
          <w:sz w:val="22"/>
          <w:szCs w:val="22"/>
        </w:rPr>
        <w:t>(</w:t>
      </w:r>
      <w:r w:rsidR="00C55A7B" w:rsidRPr="009E064B">
        <w:rPr>
          <w:rFonts w:asciiTheme="minorHAnsi" w:hAnsiTheme="minorHAnsi" w:cstheme="minorHAnsi"/>
          <w:sz w:val="22"/>
          <w:szCs w:val="22"/>
        </w:rPr>
        <w:t xml:space="preserve">b) </w:t>
      </w:r>
      <w:r w:rsidR="00483D7A" w:rsidRPr="009E064B">
        <w:rPr>
          <w:rFonts w:asciiTheme="minorHAnsi" w:hAnsiTheme="minorHAnsi" w:cstheme="minorHAnsi"/>
          <w:sz w:val="22"/>
          <w:szCs w:val="22"/>
        </w:rPr>
        <w:tab/>
      </w:r>
      <w:r w:rsidR="00DE05DC" w:rsidRPr="009E064B">
        <w:rPr>
          <w:rFonts w:asciiTheme="minorHAnsi" w:hAnsiTheme="minorHAnsi" w:cstheme="minorHAnsi"/>
          <w:sz w:val="22"/>
          <w:szCs w:val="22"/>
        </w:rPr>
        <w:t>właściwy organ uzna, że zgodność z takimi późniejszymi obowiązującymi zmianami jest niezbędna;</w:t>
      </w:r>
    </w:p>
    <w:p w14:paraId="34D2C9AD" w14:textId="0F3D53AB" w:rsidR="00DC7DA6" w:rsidRPr="009E064B" w:rsidRDefault="00010991" w:rsidP="00B06A9A">
      <w:pPr>
        <w:tabs>
          <w:tab w:val="left" w:pos="993"/>
        </w:tabs>
        <w:ind w:left="993" w:right="-2" w:hanging="425"/>
        <w:rPr>
          <w:rFonts w:asciiTheme="minorHAnsi" w:eastAsia="Times New Roman" w:hAnsiTheme="minorHAnsi" w:cstheme="minorHAnsi"/>
        </w:rPr>
      </w:pPr>
      <w:r w:rsidRPr="009E064B">
        <w:rPr>
          <w:rFonts w:asciiTheme="minorHAnsi" w:eastAsia="Times New Roman" w:hAnsiTheme="minorHAnsi" w:cstheme="minorHAnsi"/>
        </w:rPr>
        <w:t>(</w:t>
      </w:r>
      <w:r w:rsidR="00C55A7B" w:rsidRPr="009E064B">
        <w:rPr>
          <w:rFonts w:asciiTheme="minorHAnsi" w:eastAsia="Times New Roman" w:hAnsiTheme="minorHAnsi" w:cstheme="minorHAnsi"/>
        </w:rPr>
        <w:t xml:space="preserve">2) </w:t>
      </w:r>
      <w:r w:rsidR="00483D7A" w:rsidRPr="009E064B">
        <w:rPr>
          <w:rFonts w:asciiTheme="minorHAnsi" w:eastAsia="Times New Roman" w:hAnsiTheme="minorHAnsi" w:cstheme="minorHAnsi"/>
        </w:rPr>
        <w:tab/>
      </w:r>
      <w:r w:rsidR="00DE05DC" w:rsidRPr="009E064B">
        <w:rPr>
          <w:rFonts w:asciiTheme="minorHAnsi" w:eastAsia="Times New Roman" w:hAnsiTheme="minorHAnsi" w:cstheme="minorHAnsi"/>
        </w:rPr>
        <w:t>wszelkich pozosta</w:t>
      </w:r>
      <w:r w:rsidR="009A7BD8" w:rsidRPr="009E064B">
        <w:rPr>
          <w:rFonts w:asciiTheme="minorHAnsi" w:eastAsia="Times New Roman" w:hAnsiTheme="minorHAnsi" w:cstheme="minorHAnsi"/>
        </w:rPr>
        <w:t xml:space="preserve">łych </w:t>
      </w:r>
      <w:r w:rsidR="00DE05DC" w:rsidRPr="009E064B">
        <w:rPr>
          <w:rFonts w:asciiTheme="minorHAnsi" w:eastAsia="Times New Roman" w:hAnsiTheme="minorHAnsi" w:cstheme="minorHAnsi"/>
        </w:rPr>
        <w:t>specyfikacjach certyfikacyjnych wydanych przez Agencję, co do których właściwy organ uzna, że są bezpośrednio związane z proponowaną zmianą;</w:t>
      </w:r>
    </w:p>
    <w:p w14:paraId="158FAEC4" w14:textId="1CD6CA3A" w:rsidR="00DC7DA6" w:rsidRPr="009E064B" w:rsidRDefault="00010991" w:rsidP="00B06A9A">
      <w:pPr>
        <w:tabs>
          <w:tab w:val="left" w:pos="993"/>
        </w:tabs>
        <w:ind w:left="993" w:right="-2" w:hanging="425"/>
        <w:rPr>
          <w:rFonts w:asciiTheme="minorHAnsi" w:eastAsia="Times New Roman" w:hAnsiTheme="minorHAnsi" w:cstheme="minorHAnsi"/>
        </w:rPr>
      </w:pPr>
      <w:r w:rsidRPr="009E064B">
        <w:rPr>
          <w:rFonts w:asciiTheme="minorHAnsi" w:eastAsia="Times New Roman" w:hAnsiTheme="minorHAnsi" w:cstheme="minorHAnsi"/>
        </w:rPr>
        <w:t>(</w:t>
      </w:r>
      <w:r w:rsidR="00C55A7B" w:rsidRPr="009E064B">
        <w:rPr>
          <w:rFonts w:asciiTheme="minorHAnsi" w:eastAsia="Times New Roman" w:hAnsiTheme="minorHAnsi" w:cstheme="minorHAnsi"/>
        </w:rPr>
        <w:t xml:space="preserve">3) </w:t>
      </w:r>
      <w:r w:rsidR="00483D7A" w:rsidRPr="009E064B">
        <w:rPr>
          <w:rFonts w:asciiTheme="minorHAnsi" w:eastAsia="Times New Roman" w:hAnsiTheme="minorHAnsi" w:cstheme="minorHAnsi"/>
        </w:rPr>
        <w:tab/>
      </w:r>
      <w:r w:rsidR="00DE05DC" w:rsidRPr="009E064B">
        <w:rPr>
          <w:rFonts w:asciiTheme="minorHAnsi" w:eastAsia="Times New Roman" w:hAnsiTheme="minorHAnsi" w:cstheme="minorHAnsi"/>
        </w:rPr>
        <w:t xml:space="preserve">wszelkich warunkach specjalnych, a także ich zmianach, określonych przez właściwy organ zgodnie z </w:t>
      </w:r>
      <w:hyperlink w:anchor="_ADR.AR.C.025__" w:history="1">
        <w:r w:rsidR="00DE05DC" w:rsidRPr="009E064B">
          <w:rPr>
            <w:rStyle w:val="Hipercze"/>
            <w:rFonts w:asciiTheme="minorHAnsi" w:eastAsia="Times New Roman" w:hAnsiTheme="minorHAnsi" w:cstheme="minorHAnsi"/>
          </w:rPr>
          <w:t>ADR.AR.C.025</w:t>
        </w:r>
      </w:hyperlink>
      <w:r w:rsidR="00DE05DC" w:rsidRPr="009E064B">
        <w:rPr>
          <w:rFonts w:asciiTheme="minorHAnsi" w:eastAsia="Times New Roman" w:hAnsiTheme="minorHAnsi" w:cstheme="minorHAnsi"/>
        </w:rPr>
        <w:t>, które właściwy organ uzna za niezbędne; oraz</w:t>
      </w:r>
    </w:p>
    <w:p w14:paraId="44306287" w14:textId="139B6D29" w:rsidR="00DC7DA6" w:rsidRPr="009E064B" w:rsidRDefault="00010991" w:rsidP="00B06A9A">
      <w:pPr>
        <w:tabs>
          <w:tab w:val="left" w:pos="993"/>
        </w:tabs>
        <w:ind w:left="993" w:right="-2" w:hanging="425"/>
        <w:rPr>
          <w:rFonts w:asciiTheme="minorHAnsi" w:eastAsia="Times New Roman" w:hAnsiTheme="minorHAnsi" w:cstheme="minorHAnsi"/>
        </w:rPr>
      </w:pPr>
      <w:r w:rsidRPr="009E064B">
        <w:rPr>
          <w:rFonts w:asciiTheme="minorHAnsi" w:eastAsia="Times New Roman" w:hAnsiTheme="minorHAnsi" w:cstheme="minorHAnsi"/>
        </w:rPr>
        <w:t>(</w:t>
      </w:r>
      <w:r w:rsidR="00C55A7B" w:rsidRPr="009E064B">
        <w:rPr>
          <w:rFonts w:asciiTheme="minorHAnsi" w:eastAsia="Times New Roman" w:hAnsiTheme="minorHAnsi" w:cstheme="minorHAnsi"/>
        </w:rPr>
        <w:t xml:space="preserve">4) </w:t>
      </w:r>
      <w:r w:rsidR="00483D7A" w:rsidRPr="009E064B">
        <w:rPr>
          <w:rFonts w:asciiTheme="minorHAnsi" w:eastAsia="Times New Roman" w:hAnsiTheme="minorHAnsi" w:cstheme="minorHAnsi"/>
        </w:rPr>
        <w:tab/>
      </w:r>
      <w:r w:rsidR="00DE05DC" w:rsidRPr="009E064B">
        <w:rPr>
          <w:rFonts w:asciiTheme="minorHAnsi" w:eastAsia="Times New Roman" w:hAnsiTheme="minorHAnsi" w:cstheme="minorHAnsi"/>
        </w:rPr>
        <w:t>zmienionej podstawie certyfikacji, jeżeli proponowana zmiana ma na nią wpływ.</w:t>
      </w:r>
    </w:p>
    <w:p w14:paraId="0F40C045" w14:textId="59D0C60F"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b)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Właściwy organ zatwierdza zmianę, jeżeli uzna, że operator lotniska wykazał w </w:t>
      </w:r>
      <w:r w:rsidR="00BC7E14" w:rsidRPr="009E064B">
        <w:rPr>
          <w:rFonts w:asciiTheme="minorHAnsi" w:hAnsiTheme="minorHAnsi" w:cstheme="minorHAnsi"/>
          <w:sz w:val="22"/>
          <w:szCs w:val="20"/>
        </w:rPr>
        <w:t xml:space="preserve">zadowalający sposób zgodność z </w:t>
      </w:r>
      <w:r w:rsidR="00DE05DC" w:rsidRPr="009E064B">
        <w:rPr>
          <w:rFonts w:asciiTheme="minorHAnsi" w:hAnsiTheme="minorHAnsi" w:cstheme="minorHAnsi"/>
          <w:sz w:val="22"/>
          <w:szCs w:val="20"/>
        </w:rPr>
        <w:t xml:space="preserve">wymaganiami określonymi w </w:t>
      </w:r>
      <w:hyperlink w:anchor="_ADR.OR.B.040__" w:history="1">
        <w:r w:rsidR="00DE05DC" w:rsidRPr="009E064B">
          <w:rPr>
            <w:rStyle w:val="Hipercze"/>
            <w:rFonts w:asciiTheme="minorHAnsi" w:hAnsiTheme="minorHAnsi" w:cstheme="minorHAnsi"/>
            <w:sz w:val="22"/>
            <w:szCs w:val="20"/>
          </w:rPr>
          <w:t>ADR.OR.B.040</w:t>
        </w:r>
      </w:hyperlink>
      <w:r w:rsidR="00DE05DC" w:rsidRPr="009E064B">
        <w:rPr>
          <w:rFonts w:asciiTheme="minorHAnsi" w:hAnsiTheme="minorHAnsi" w:cstheme="minorHAnsi"/>
          <w:sz w:val="22"/>
          <w:szCs w:val="20"/>
        </w:rPr>
        <w:t xml:space="preserve"> oraz – w stosownych przypadkach – z </w:t>
      </w:r>
      <w:hyperlink w:anchor="_ADR.OR.E.005__" w:history="1">
        <w:r w:rsidR="00DE05DC" w:rsidRPr="009E064B">
          <w:rPr>
            <w:rStyle w:val="Hipercze"/>
            <w:rFonts w:asciiTheme="minorHAnsi" w:hAnsiTheme="minorHAnsi" w:cstheme="minorHAnsi"/>
            <w:sz w:val="22"/>
            <w:szCs w:val="20"/>
          </w:rPr>
          <w:t>ADR.OR.E.005</w:t>
        </w:r>
      </w:hyperlink>
      <w:r w:rsidR="00DE05DC" w:rsidRPr="009E064B">
        <w:rPr>
          <w:rFonts w:asciiTheme="minorHAnsi" w:hAnsiTheme="minorHAnsi" w:cstheme="minorHAnsi"/>
          <w:sz w:val="22"/>
          <w:szCs w:val="20"/>
        </w:rPr>
        <w:t>.</w:t>
      </w:r>
    </w:p>
    <w:p w14:paraId="421CC7C5" w14:textId="48C29736"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c)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Jeżeli proponowana zmiana ma wpływ na warunki certyfikatu, właściwy organ zmienia je odpowiednio.</w:t>
      </w:r>
    </w:p>
    <w:p w14:paraId="6528ACF3" w14:textId="1F63C590"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d)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zatwierdza wszystkie warunki, zgodnie z którymi</w:t>
      </w:r>
      <w:r w:rsidR="00846BCB" w:rsidRPr="009E064B">
        <w:rPr>
          <w:rFonts w:asciiTheme="minorHAnsi" w:hAnsiTheme="minorHAnsi" w:cstheme="minorHAnsi"/>
          <w:sz w:val="22"/>
          <w:szCs w:val="20"/>
        </w:rPr>
        <w:t xml:space="preserve"> operator lotniska ma działać w </w:t>
      </w:r>
      <w:r w:rsidR="00DE05DC" w:rsidRPr="009E064B">
        <w:rPr>
          <w:rFonts w:asciiTheme="minorHAnsi" w:hAnsiTheme="minorHAnsi" w:cstheme="minorHAnsi"/>
          <w:sz w:val="22"/>
          <w:szCs w:val="20"/>
        </w:rPr>
        <w:t>okresie wprowadzania zmiany.</w:t>
      </w:r>
    </w:p>
    <w:p w14:paraId="647FE50E" w14:textId="5F17F5AE" w:rsidR="00DC7DA6" w:rsidRPr="009E064B" w:rsidRDefault="00010991" w:rsidP="00EB5F03">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e)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Bez uszczerbku dla dodatkowych środków egzekucyjnych, w przypadku gdy operator lotniska – bez uprzedniego zatwierdzenia od właściwego organu – wprowadzi zmiany, które takiego zatwierdzenia wymagają zgodnie z lit. </w:t>
      </w:r>
      <w:r w:rsidR="0019788A" w:rsidRPr="009E064B">
        <w:rPr>
          <w:rFonts w:asciiTheme="minorHAnsi" w:hAnsiTheme="minorHAnsi" w:cstheme="minorHAnsi"/>
          <w:sz w:val="22"/>
          <w:szCs w:val="20"/>
        </w:rPr>
        <w:t>(</w:t>
      </w:r>
      <w:r w:rsidR="00DE05DC" w:rsidRPr="009E064B">
        <w:rPr>
          <w:rFonts w:asciiTheme="minorHAnsi" w:hAnsiTheme="minorHAnsi" w:cstheme="minorHAnsi"/>
          <w:sz w:val="22"/>
          <w:szCs w:val="20"/>
        </w:rPr>
        <w:t>a), właściwy organ uwzględnia konieczność zawieszenia, ograniczenia lub cofnięcia certyfikatu.</w:t>
      </w:r>
    </w:p>
    <w:p w14:paraId="6018B0BA" w14:textId="77777777" w:rsidR="003A0C53" w:rsidRPr="009E064B" w:rsidRDefault="003A0C53" w:rsidP="00EB5F03">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198330D1" w14:textId="772FFAD2"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55A7B" w:rsidRPr="009E064B">
        <w:rPr>
          <w:rFonts w:asciiTheme="minorHAnsi" w:hAnsiTheme="minorHAnsi" w:cstheme="minorHAnsi"/>
          <w:sz w:val="22"/>
          <w:szCs w:val="20"/>
        </w:rPr>
        <w:t xml:space="preserve">f)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 odniesieniu do zmian niewymagających wcześniejszego zatwierdzenia właściwy </w:t>
      </w:r>
      <w:r w:rsidR="008A3783" w:rsidRPr="009E064B">
        <w:rPr>
          <w:rFonts w:asciiTheme="minorHAnsi" w:hAnsiTheme="minorHAnsi" w:cstheme="minorHAnsi"/>
          <w:sz w:val="22"/>
          <w:szCs w:val="20"/>
        </w:rPr>
        <w:t>organ ocenia informacje przeka</w:t>
      </w:r>
      <w:r w:rsidR="00DE05DC" w:rsidRPr="009E064B">
        <w:rPr>
          <w:rFonts w:asciiTheme="minorHAnsi" w:hAnsiTheme="minorHAnsi" w:cstheme="minorHAnsi"/>
          <w:sz w:val="22"/>
          <w:szCs w:val="20"/>
        </w:rPr>
        <w:t>zane w powiadomieniu przesłanym prz</w:t>
      </w:r>
      <w:r w:rsidR="00846BCB" w:rsidRPr="009E064B">
        <w:rPr>
          <w:rFonts w:asciiTheme="minorHAnsi" w:hAnsiTheme="minorHAnsi" w:cstheme="minorHAnsi"/>
          <w:sz w:val="22"/>
          <w:szCs w:val="20"/>
        </w:rPr>
        <w:t>ez operatora lotniska zgodnie z </w:t>
      </w:r>
      <w:hyperlink w:anchor="_ADR.OR.B.040__" w:history="1">
        <w:r w:rsidR="00DE05DC" w:rsidRPr="009E064B">
          <w:rPr>
            <w:rStyle w:val="Hipercze"/>
            <w:rFonts w:asciiTheme="minorHAnsi" w:hAnsiTheme="minorHAnsi" w:cstheme="minorHAnsi"/>
            <w:sz w:val="22"/>
            <w:szCs w:val="20"/>
          </w:rPr>
          <w:t>ADR.OR.B.040</w:t>
        </w:r>
      </w:hyperlink>
      <w:r w:rsidR="00DE05DC" w:rsidRPr="009E064B">
        <w:rPr>
          <w:rFonts w:asciiTheme="minorHAnsi" w:hAnsiTheme="minorHAnsi" w:cstheme="minorHAnsi"/>
          <w:sz w:val="22"/>
          <w:szCs w:val="20"/>
        </w:rPr>
        <w:t xml:space="preserve"> lit</w:t>
      </w:r>
      <w:r w:rsidR="00BC7E14" w:rsidRPr="009E064B">
        <w:rPr>
          <w:rFonts w:asciiTheme="minorHAnsi" w:hAnsiTheme="minorHAnsi" w:cstheme="minorHAnsi"/>
          <w:sz w:val="22"/>
          <w:szCs w:val="20"/>
        </w:rPr>
        <w:t xml:space="preserve">. </w:t>
      </w:r>
      <w:r w:rsidR="00B26CE2" w:rsidRPr="009E064B">
        <w:rPr>
          <w:rFonts w:asciiTheme="minorHAnsi" w:hAnsiTheme="minorHAnsi" w:cstheme="minorHAnsi"/>
          <w:sz w:val="22"/>
          <w:szCs w:val="20"/>
        </w:rPr>
        <w:t>(</w:t>
      </w:r>
      <w:r w:rsidR="00BC7E14" w:rsidRPr="009E064B">
        <w:rPr>
          <w:rFonts w:asciiTheme="minorHAnsi" w:hAnsiTheme="minorHAnsi" w:cstheme="minorHAnsi"/>
          <w:sz w:val="22"/>
          <w:szCs w:val="20"/>
        </w:rPr>
        <w:t xml:space="preserve">d) w celu sprawdzenia, czy są w odpowiedni sposób zarządzane oraz czy </w:t>
      </w:r>
      <w:r w:rsidR="00DE05DC" w:rsidRPr="009E064B">
        <w:rPr>
          <w:rFonts w:asciiTheme="minorHAnsi" w:hAnsiTheme="minorHAnsi" w:cstheme="minorHAnsi"/>
          <w:sz w:val="22"/>
          <w:szCs w:val="20"/>
        </w:rPr>
        <w:t>spełni</w:t>
      </w:r>
      <w:r w:rsidR="00BC7E14" w:rsidRPr="009E064B">
        <w:rPr>
          <w:rFonts w:asciiTheme="minorHAnsi" w:hAnsiTheme="minorHAnsi" w:cstheme="minorHAnsi"/>
          <w:sz w:val="22"/>
          <w:szCs w:val="20"/>
        </w:rPr>
        <w:t>ają</w:t>
      </w:r>
      <w:r w:rsidR="00DE05DC" w:rsidRPr="009E064B">
        <w:rPr>
          <w:rFonts w:asciiTheme="minorHAnsi" w:hAnsiTheme="minorHAnsi" w:cstheme="minorHAnsi"/>
          <w:sz w:val="22"/>
          <w:szCs w:val="20"/>
        </w:rPr>
        <w:t xml:space="preserve"> specyfikacje certy</w:t>
      </w:r>
      <w:r w:rsidR="00BC7E14" w:rsidRPr="009E064B">
        <w:rPr>
          <w:rFonts w:asciiTheme="minorHAnsi" w:hAnsiTheme="minorHAnsi" w:cstheme="minorHAnsi"/>
          <w:sz w:val="22"/>
          <w:szCs w:val="20"/>
        </w:rPr>
        <w:t xml:space="preserve">fikacyjne i inne odpowiednie </w:t>
      </w:r>
      <w:r w:rsidR="00DE05DC" w:rsidRPr="009E064B">
        <w:rPr>
          <w:rFonts w:asciiTheme="minorHAnsi" w:hAnsiTheme="minorHAnsi" w:cstheme="minorHAnsi"/>
          <w:sz w:val="22"/>
          <w:szCs w:val="20"/>
        </w:rPr>
        <w:t>wymagania mające zastosowanie do danej zmiany. W przypadku niespełnienia wymagań właściwy organ:</w:t>
      </w:r>
    </w:p>
    <w:p w14:paraId="58F47686" w14:textId="15729143" w:rsidR="00DC7DA6" w:rsidRPr="009E064B" w:rsidRDefault="00A8544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powiadamia operatora lotniska o niezgodnoś</w:t>
      </w:r>
      <w:r w:rsidR="008C654E" w:rsidRPr="009E064B">
        <w:rPr>
          <w:rFonts w:asciiTheme="minorHAnsi" w:eastAsia="Times New Roman" w:hAnsiTheme="minorHAnsi" w:cstheme="minorHAnsi"/>
          <w:szCs w:val="20"/>
        </w:rPr>
        <w:t>ci z wymaganiami i zwraca się o </w:t>
      </w:r>
      <w:r w:rsidR="00DE05DC" w:rsidRPr="009E064B">
        <w:rPr>
          <w:rFonts w:asciiTheme="minorHAnsi" w:eastAsia="Times New Roman" w:hAnsiTheme="minorHAnsi" w:cstheme="minorHAnsi"/>
          <w:szCs w:val="20"/>
        </w:rPr>
        <w:t>wprowadzenie dalszych zmian; oraz</w:t>
      </w:r>
    </w:p>
    <w:p w14:paraId="3573E027" w14:textId="62ACD0F4" w:rsidR="00B26CE2" w:rsidRPr="009E064B" w:rsidRDefault="00A8544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BC7E14"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 przypadku nieprawidłowości poziomu 1 lub 2 postępuje zgodnie z </w:t>
      </w:r>
      <w:hyperlink w:anchor="_ADR.AR.C.055__" w:history="1">
        <w:r w:rsidR="00DE05DC" w:rsidRPr="009E064B">
          <w:rPr>
            <w:rStyle w:val="Hipercze"/>
            <w:rFonts w:asciiTheme="minorHAnsi" w:eastAsia="Times New Roman" w:hAnsiTheme="minorHAnsi" w:cstheme="minorHAnsi"/>
            <w:szCs w:val="20"/>
          </w:rPr>
          <w:t>ADR.AR.C.055</w:t>
        </w:r>
      </w:hyperlink>
      <w:r w:rsidR="00DE05DC" w:rsidRPr="009E064B">
        <w:rPr>
          <w:rFonts w:asciiTheme="minorHAnsi" w:eastAsia="Times New Roman" w:hAnsiTheme="minorHAnsi" w:cstheme="minorHAnsi"/>
          <w:szCs w:val="20"/>
        </w:rPr>
        <w:t>.</w:t>
      </w:r>
    </w:p>
    <w:p w14:paraId="396AFA1B" w14:textId="7FA03E9F" w:rsidR="00490EF1" w:rsidRPr="009E064B" w:rsidRDefault="00490EF1" w:rsidP="00133B99">
      <w:pPr>
        <w:pStyle w:val="Nagwek5"/>
      </w:pPr>
      <w:bookmarkStart w:id="201" w:name="_Toc492024557"/>
      <w:bookmarkStart w:id="202" w:name="_Toc12532622"/>
      <w:r w:rsidRPr="009E064B">
        <w:t xml:space="preserve">AMC1 ADR.AR.C.040(a)    </w:t>
      </w:r>
      <w:r w:rsidR="004D6FC2" w:rsidRPr="009E064B">
        <w:t xml:space="preserve"> </w:t>
      </w:r>
      <w:r w:rsidRPr="009E064B">
        <w:t>Zmiany</w:t>
      </w:r>
      <w:bookmarkEnd w:id="201"/>
      <w:bookmarkEnd w:id="202"/>
    </w:p>
    <w:p w14:paraId="5809B1A7" w14:textId="175E4FE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6F13754" w14:textId="77777777" w:rsidR="00490EF1" w:rsidRPr="009E064B" w:rsidRDefault="00490EF1" w:rsidP="00846BCB">
      <w:pPr>
        <w:widowControl/>
        <w:spacing w:before="120"/>
        <w:rPr>
          <w:rFonts w:asciiTheme="minorHAnsi" w:eastAsia="Calibri" w:hAnsiTheme="minorHAnsi" w:cstheme="minorHAnsi"/>
        </w:rPr>
      </w:pPr>
      <w:r w:rsidRPr="009E064B">
        <w:rPr>
          <w:rFonts w:asciiTheme="minorHAnsi" w:eastAsia="Calibri" w:hAnsiTheme="minorHAnsi" w:cstheme="minorHAnsi"/>
        </w:rPr>
        <w:t>OBOWIĄZUJĄCE SPECYFIKACJE CERTYFIKACYJNE W ODNIESIENIU DO ZMIAN</w:t>
      </w:r>
    </w:p>
    <w:p w14:paraId="6EE434F4"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Specyfikacje certyfikacyjne, których właściwy organ powinien użyć do oceny wniosku o zmianę lub powiadomienia o zmianie, powinny być tymi, które obowiązywały w dniu otrzymania od operatora lotniska powiadomienia (wniosku) o danej zmianie.</w:t>
      </w:r>
    </w:p>
    <w:p w14:paraId="43D0719F" w14:textId="67A83C81"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Niezależnie od postanowień </w:t>
      </w:r>
      <w:r w:rsidR="0019788A" w:rsidRPr="009E064B">
        <w:rPr>
          <w:rFonts w:asciiTheme="minorHAnsi" w:eastAsia="Calibri" w:hAnsiTheme="minorHAnsi" w:cstheme="minorHAnsi"/>
        </w:rPr>
        <w:t>w lit. </w:t>
      </w:r>
      <w:r w:rsidRPr="009E064B">
        <w:rPr>
          <w:rFonts w:asciiTheme="minorHAnsi" w:eastAsia="Calibri" w:hAnsiTheme="minorHAnsi" w:cstheme="minorHAnsi"/>
        </w:rPr>
        <w:t>(a) powyżej, w każdym momencie procesu operator lotniska może zażądać stosowania specyfikacji certyfikacyjnych, które weszły w życie po złożeniu wniosku lub powiadomienia o zmianie. W takich przypadkach właściwy organ powinien również zbadać, czy konieczne jest powiadomienie operatora lotniska o innych specyfikacjach certyfikacyjnych, które również weszły w życie po dniu złożenia przez operatora lotniska wniosku lub powiadomienia o zmianie, a które w opinii właściwego org</w:t>
      </w:r>
      <w:r w:rsidR="00846BCB" w:rsidRPr="009E064B">
        <w:rPr>
          <w:rFonts w:asciiTheme="minorHAnsi" w:eastAsia="Calibri" w:hAnsiTheme="minorHAnsi" w:cstheme="minorHAnsi"/>
        </w:rPr>
        <w:t>anu, są bezpośrednio związane z </w:t>
      </w:r>
      <w:r w:rsidRPr="009E064B">
        <w:rPr>
          <w:rFonts w:asciiTheme="minorHAnsi" w:eastAsia="Calibri" w:hAnsiTheme="minorHAnsi" w:cstheme="minorHAnsi"/>
        </w:rPr>
        <w:t>tymi, które już wcześniej zidentyfikowano, jako mające wpływ na zmiany.</w:t>
      </w:r>
    </w:p>
    <w:p w14:paraId="2EA3B9B4" w14:textId="717597FE"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Niezależnie od postanowień </w:t>
      </w:r>
      <w:r w:rsidR="0019788A" w:rsidRPr="009E064B">
        <w:rPr>
          <w:rFonts w:asciiTheme="minorHAnsi" w:eastAsia="Calibri" w:hAnsiTheme="minorHAnsi" w:cstheme="minorHAnsi"/>
        </w:rPr>
        <w:t>w lit. </w:t>
      </w:r>
      <w:r w:rsidRPr="009E064B">
        <w:rPr>
          <w:rFonts w:asciiTheme="minorHAnsi" w:eastAsia="Calibri" w:hAnsiTheme="minorHAnsi" w:cstheme="minorHAnsi"/>
        </w:rPr>
        <w:t>(a) i (b) powyżej, właściwy organ może, w dowolnym momencie po złożeniu wniosku lub powiadomienia o zmianie przez operatora lotniska, zdecydować się na powiadomienie operatora lotniska o jakichkolwiek specyfikacjach certyfikacyjnych, które uzna za niezbędne dla proponowanej zmiany.</w:t>
      </w:r>
    </w:p>
    <w:p w14:paraId="5A17F92B" w14:textId="42C201B2" w:rsidR="00490EF1" w:rsidRPr="009E064B" w:rsidRDefault="00490EF1" w:rsidP="00133B99">
      <w:pPr>
        <w:pStyle w:val="Nagwek5"/>
      </w:pPr>
      <w:bookmarkStart w:id="203" w:name="_Toc492024558"/>
      <w:bookmarkStart w:id="204" w:name="_Toc12532623"/>
      <w:r w:rsidRPr="009E064B">
        <w:t xml:space="preserve">AMC2 ADR.AR.C.040(a)    </w:t>
      </w:r>
      <w:r w:rsidR="004D6FC2" w:rsidRPr="009E064B">
        <w:t xml:space="preserve"> </w:t>
      </w:r>
      <w:r w:rsidRPr="009E064B">
        <w:t>Zmiany</w:t>
      </w:r>
      <w:bookmarkEnd w:id="203"/>
      <w:bookmarkEnd w:id="204"/>
    </w:p>
    <w:p w14:paraId="64BECB19" w14:textId="1370C4B3"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6826E2E"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ZMIANY WYMAGAJĄCE UPRZEDNIEGO ZATWIERDZENIA</w:t>
      </w:r>
    </w:p>
    <w:p w14:paraId="54C983FF"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 otrzymaniu wniosku o proponowanej zmianie, która wymaga uprzedniego zatwierdzenia, właściwy organ, w odpowiednim czasie, powinien:</w:t>
      </w:r>
    </w:p>
    <w:p w14:paraId="51D9AAB2" w14:textId="17B833A8"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ocenić proponowaną zmianę pod kątem zgodności z podstawą certyfikacji oraz obowiązującymi wymogami </w:t>
      </w:r>
      <w:hyperlink w:anchor="_ZAŁĄCZNIK_III_—" w:history="1">
        <w:r w:rsidR="00F809D7" w:rsidRPr="009E064B">
          <w:rPr>
            <w:rStyle w:val="Hipercze"/>
            <w:rFonts w:asciiTheme="minorHAnsi" w:eastAsia="Calibri" w:hAnsiTheme="minorHAnsi" w:cstheme="minorHAnsi"/>
            <w:szCs w:val="18"/>
          </w:rPr>
          <w:t>Części ADR.OR</w:t>
        </w:r>
      </w:hyperlink>
      <w:r w:rsidR="00F809D7" w:rsidRPr="009E064B">
        <w:rPr>
          <w:rFonts w:asciiTheme="minorHAnsi" w:eastAsia="Calibri" w:hAnsiTheme="minorHAnsi" w:cstheme="minorHAnsi"/>
          <w:szCs w:val="18"/>
        </w:rPr>
        <w:t>,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 jak również wszelkimi innymi mającymi zastosowanie przepisami;</w:t>
      </w:r>
    </w:p>
    <w:p w14:paraId="26765F6F"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ocenić, czy operator lotniska zidentyfikował wszystkie mające zastosowanie specyfikacje certyfikacyjne, mające zastosowanie wymagania Części ADR.OR, Części ADR.OPS lub inne mające zastosowanie wymogi, które odnoszą się lub są związane ze zmianami, a także wszelkie propozycje wnioskodawcy w zakresie wykazania równoważnego poziomu bezpieczeństwa;</w:t>
      </w:r>
    </w:p>
    <w:p w14:paraId="2637E6F7" w14:textId="0327D6DF"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ocenić działania zaproponowane przez operatora lotnisk</w:t>
      </w:r>
      <w:r w:rsidR="00846BCB" w:rsidRPr="009E064B">
        <w:rPr>
          <w:rFonts w:asciiTheme="minorHAnsi" w:eastAsia="Calibri" w:hAnsiTheme="minorHAnsi" w:cstheme="minorHAnsi"/>
        </w:rPr>
        <w:t>a, w celu wykazania zgodności z </w:t>
      </w:r>
      <w:r w:rsidR="0019788A" w:rsidRPr="009E064B">
        <w:rPr>
          <w:rFonts w:asciiTheme="minorHAnsi" w:eastAsia="Calibri" w:hAnsiTheme="minorHAnsi" w:cstheme="minorHAnsi"/>
        </w:rPr>
        <w:t>lit. </w:t>
      </w:r>
      <w:r w:rsidRPr="009E064B">
        <w:rPr>
          <w:rFonts w:asciiTheme="minorHAnsi" w:eastAsia="Calibri" w:hAnsiTheme="minorHAnsi" w:cstheme="minorHAnsi"/>
        </w:rPr>
        <w:t>(1) i (2) powyżej;</w:t>
      </w:r>
    </w:p>
    <w:p w14:paraId="49A449B4"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dokonać przeglądu i oceny treści proponowanych zmian do instrukcji operacyjnej lotniska; oraz</w:t>
      </w:r>
    </w:p>
    <w:p w14:paraId="3EAC4C2B" w14:textId="22890C30"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 xml:space="preserve">zbadać i ocenić ocenę bezpieczeństwa, która została przedstawiona przez operatora lotniska, zgodnie z </w:t>
      </w:r>
      <w:hyperlink w:anchor="_GM3_ADR.AR.C.035(a)_" w:history="1">
        <w:r w:rsidRPr="009E064B">
          <w:rPr>
            <w:rStyle w:val="Hipercze"/>
            <w:rFonts w:asciiTheme="minorHAnsi" w:eastAsia="Calibri" w:hAnsiTheme="minorHAnsi" w:cstheme="minorHAnsi"/>
          </w:rPr>
          <w:t>GM3.ADR.AR.C.035(a)</w:t>
        </w:r>
      </w:hyperlink>
      <w:r w:rsidRPr="009E064B">
        <w:rPr>
          <w:rFonts w:asciiTheme="minorHAnsi" w:eastAsia="Calibri" w:hAnsiTheme="minorHAnsi" w:cstheme="minorHAnsi"/>
        </w:rPr>
        <w:t xml:space="preserve"> i sprawdzić jej zgodność z </w:t>
      </w:r>
      <w:hyperlink w:anchor="_ADR.OR.B.040__" w:history="1">
        <w:r w:rsidRPr="009E064B">
          <w:rPr>
            <w:rStyle w:val="Hipercze"/>
            <w:rFonts w:asciiTheme="minorHAnsi" w:eastAsia="Calibri" w:hAnsiTheme="minorHAnsi" w:cstheme="minorHAnsi"/>
          </w:rPr>
          <w:t>ADR.OR.B.040</w:t>
        </w:r>
      </w:hyperlink>
      <w:r w:rsidR="00B26CE2" w:rsidRPr="009E064B">
        <w:rPr>
          <w:rFonts w:asciiTheme="minorHAnsi" w:eastAsia="Calibri" w:hAnsiTheme="minorHAnsi" w:cstheme="minorHAnsi"/>
        </w:rPr>
        <w:t xml:space="preserve"> lit. </w:t>
      </w:r>
      <w:r w:rsidRPr="009E064B">
        <w:rPr>
          <w:rFonts w:asciiTheme="minorHAnsi" w:eastAsia="Calibri" w:hAnsiTheme="minorHAnsi" w:cstheme="minorHAnsi"/>
        </w:rPr>
        <w:t>(f).</w:t>
      </w:r>
    </w:p>
    <w:p w14:paraId="72F2D5ED"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Właściwy organ powinien także określić, w odpowiednim czasie:</w:t>
      </w:r>
    </w:p>
    <w:p w14:paraId="6905C9CD"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czy proponowana zmiana jest bezpośrednio związana z jakimikolwiek innymi specyfikacjami certyfikacyjnymi, które zostały ujęte w podstawie certyfikacji. Jeżeli właściwy organ stwierdzi, że taki związek istnieje, to powinien zamieścić te specyfikacje certyfikacyjne wśród tych, o których ma być poinformowany wnioskodawca; oraz</w:t>
      </w:r>
    </w:p>
    <w:p w14:paraId="1E1B9C1C"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czy proponowana zmiana należy do tych, dla których wymagane są warunki specjalne, lub wymagana jest zmiana istniejących warunków specjalnych.</w:t>
      </w:r>
    </w:p>
    <w:p w14:paraId="2440A176"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Właściwy organ powinien udokumentować i w odpowiednim czasie, powiadomić operatora lotniska na piśmie, o:</w:t>
      </w:r>
    </w:p>
    <w:p w14:paraId="5E7EE3B0" w14:textId="50E89624"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specyfikacjach certyfikacyjnych, które zostały uznane przez ten organ, jako mające zastosowanie zgodnie z </w:t>
      </w:r>
      <w:r w:rsidR="0019788A" w:rsidRPr="009E064B">
        <w:rPr>
          <w:rFonts w:asciiTheme="minorHAnsi" w:eastAsia="Calibri" w:hAnsiTheme="minorHAnsi" w:cstheme="minorHAnsi"/>
        </w:rPr>
        <w:t>lit. </w:t>
      </w:r>
      <w:r w:rsidRPr="009E064B">
        <w:rPr>
          <w:rFonts w:asciiTheme="minorHAnsi" w:eastAsia="Calibri" w:hAnsiTheme="minorHAnsi" w:cstheme="minorHAnsi"/>
        </w:rPr>
        <w:t>(a) i (b) powyżej;</w:t>
      </w:r>
    </w:p>
    <w:p w14:paraId="44F1BD24"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wszelkich przepisach, dla których właściwy organ wyraża zgodę, aby wnioskodawca wykazał równoważny poziom bezpieczeństwa; oraz</w:t>
      </w:r>
    </w:p>
    <w:p w14:paraId="08F1DEA1"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wszelkich warunkach specjalnych lub zmianach dotyczących warunków specjalnych, jakie uzna za niezbędne.</w:t>
      </w:r>
    </w:p>
    <w:p w14:paraId="41F68414" w14:textId="0E31796B"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Wszelkie późniejsze zmiany dotyczące elementów wymienionych w </w:t>
      </w:r>
      <w:r w:rsidR="0019788A" w:rsidRPr="009E064B">
        <w:rPr>
          <w:rFonts w:asciiTheme="minorHAnsi" w:eastAsia="Calibri" w:hAnsiTheme="minorHAnsi" w:cstheme="minorHAnsi"/>
        </w:rPr>
        <w:t>lit. </w:t>
      </w:r>
      <w:r w:rsidRPr="009E064B">
        <w:rPr>
          <w:rFonts w:asciiTheme="minorHAnsi" w:eastAsia="Calibri" w:hAnsiTheme="minorHAnsi" w:cstheme="minorHAnsi"/>
        </w:rPr>
        <w:t>(c) powinny być udokumentowane i zgłoszone operatorowi lotniska, w formie pisemnej, w odpowiednim czasie.</w:t>
      </w:r>
    </w:p>
    <w:p w14:paraId="2935D8F2"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Właściwy organ powinien, w odpowiednim czasie, dokonać sprawdzenia zgodności operatora lotniska i w zależności od zmian, zbadać potrzebę nałożenia pewnych warunków dotyczących funkcjonowania lotniska podczas danej zmiany.</w:t>
      </w:r>
    </w:p>
    <w:p w14:paraId="11D0820D" w14:textId="15F36AD6"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Powiadamiając operatora lotniska zgodnie z </w:t>
      </w:r>
      <w:r w:rsidR="0019788A" w:rsidRPr="009E064B">
        <w:rPr>
          <w:rFonts w:asciiTheme="minorHAnsi" w:eastAsia="Calibri" w:hAnsiTheme="minorHAnsi" w:cstheme="minorHAnsi"/>
        </w:rPr>
        <w:t>lit. </w:t>
      </w:r>
      <w:r w:rsidRPr="009E064B">
        <w:rPr>
          <w:rFonts w:asciiTheme="minorHAnsi" w:eastAsia="Calibri" w:hAnsiTheme="minorHAnsi" w:cstheme="minorHAnsi"/>
        </w:rPr>
        <w:t>(c) lub (d), właściwy organ powinien również poinformować go o prawie do odwołania, zgodnie z przepisami obowiązującymi w prawie krajowym.</w:t>
      </w:r>
    </w:p>
    <w:p w14:paraId="0719E0CD" w14:textId="2FF4599D" w:rsidR="00490EF1" w:rsidRPr="009E064B" w:rsidRDefault="00490EF1" w:rsidP="00133B99">
      <w:pPr>
        <w:pStyle w:val="Nagwek5"/>
      </w:pPr>
      <w:bookmarkStart w:id="205" w:name="_Toc492024559"/>
      <w:bookmarkStart w:id="206" w:name="_Toc12532624"/>
      <w:r w:rsidRPr="009E064B">
        <w:t xml:space="preserve">AMC1 ADR.AR.C.040(a);(f)    </w:t>
      </w:r>
      <w:r w:rsidR="004D6FC2" w:rsidRPr="009E064B">
        <w:t xml:space="preserve"> </w:t>
      </w:r>
      <w:r w:rsidRPr="009E064B">
        <w:t>Zmiany</w:t>
      </w:r>
      <w:bookmarkEnd w:id="205"/>
      <w:bookmarkEnd w:id="206"/>
    </w:p>
    <w:p w14:paraId="06D1D52B" w14:textId="31F4A6CB"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AEB8B0B" w14:textId="22FF5AD0" w:rsidR="00490EF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7941F637" w14:textId="05F6C9C4"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Zmiany osób wyznaczonych: właściwy organ powinien być informowany o wszelkich zmianach dotyczących osób wyznaczonych (patrz </w:t>
      </w:r>
      <w:hyperlink w:anchor="_ADR.OR.D.015__" w:history="1">
        <w:r w:rsidRPr="009E064B">
          <w:rPr>
            <w:rStyle w:val="Hipercze"/>
            <w:rFonts w:asciiTheme="minorHAnsi" w:eastAsia="Calibri" w:hAnsiTheme="minorHAnsi" w:cstheme="minorHAnsi"/>
          </w:rPr>
          <w:t>ADR.OR.D.015</w:t>
        </w:r>
      </w:hyperlink>
      <w:r w:rsidRPr="009E064B">
        <w:rPr>
          <w:rFonts w:asciiTheme="minorHAnsi" w:eastAsia="Calibri" w:hAnsiTheme="minorHAnsi" w:cstheme="minorHAnsi"/>
        </w:rPr>
        <w:t>), które mogą mieć wpływ na certyfikat lub związane z nim warunki zatwierdzenia. Gdy operator lotniska przedłoży nazwisko kandydata jako osoby wyznaczonej, właściwy organ, przed podjęciem decyzji na jego/jej akceptację, powinien ocenić jego/jej kwalifikacje i może przeprowadzić rozmowę z kandydatem lub poprosić o przedstawienie dodatkowych dowodów na potwierdzenie je</w:t>
      </w:r>
      <w:r w:rsidR="00B26CE2" w:rsidRPr="009E064B">
        <w:rPr>
          <w:rFonts w:asciiTheme="minorHAnsi" w:eastAsia="Calibri" w:hAnsiTheme="minorHAnsi" w:cstheme="minorHAnsi"/>
        </w:rPr>
        <w:t xml:space="preserve">go/jej predyspozycji (patrz </w:t>
      </w:r>
      <w:hyperlink w:anchor="_GM1_ADR.AR.C.035(a)_" w:history="1">
        <w:r w:rsidR="00B26CE2" w:rsidRPr="009E064B">
          <w:rPr>
            <w:rStyle w:val="Hipercze"/>
            <w:rFonts w:asciiTheme="minorHAnsi" w:eastAsia="Calibri" w:hAnsiTheme="minorHAnsi" w:cstheme="minorHAnsi"/>
          </w:rPr>
          <w:t>GM1 </w:t>
        </w:r>
        <w:r w:rsidRPr="009E064B">
          <w:rPr>
            <w:rStyle w:val="Hipercze"/>
            <w:rFonts w:asciiTheme="minorHAnsi" w:eastAsia="Calibri" w:hAnsiTheme="minorHAnsi" w:cstheme="minorHAnsi"/>
          </w:rPr>
          <w:t>ADR.AR.C.035(a)</w:t>
        </w:r>
      </w:hyperlink>
      <w:r w:rsidRPr="009E064B">
        <w:rPr>
          <w:rFonts w:asciiTheme="minorHAnsi" w:eastAsia="Calibri" w:hAnsiTheme="minorHAnsi" w:cstheme="minorHAnsi"/>
        </w:rPr>
        <w:t>).</w:t>
      </w:r>
    </w:p>
    <w:p w14:paraId="728F9849"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Właściwy organ powinien otrzymać od operatora lotniska każdą zmianę dotyczącą dokumentacji systemu zarządzania, z uwzględnieniem zmian, które nie wymagają uprzedniego zatwierdzenia przez właściwy organ. Udokumentowane i systematyczne podejście powinno być stosowane do utrzymywania informacji o tym, kiedy zmiana została przyjęta przez właściwy organ i kiedy została przez niego zatwierdzona.</w:t>
      </w:r>
    </w:p>
    <w:p w14:paraId="09D20F8D"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Gdy zmiana wymaga zatwierdzenia przez właściwy organ, to w przypadku pozytywnej oceny, właściwy organ powinien wydać jej zatwierdzenie na piśmie. Jeżeli zmiana nie wymaga uprzedniego zatwierdzenia, to właściwy organ powinien potwierdzić jej otrzymanie na piśmie, w terminie określonym w obowiązujących przepisach krajowych.</w:t>
      </w:r>
    </w:p>
    <w:p w14:paraId="5AAB3E68" w14:textId="40F11BD6" w:rsidR="00B26CE2"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 przypadku zmian wymagających uprzedniego zatwierdzenia, w celu sprawdzenia zgodności operatora lotniska z obowiązującymi wymogami, właściwy organ powinien rozważyć potrzebę przeprowadzenia audytu operatora, ograniczonego do zakresu zmian. Jeśli jest to wymagane dla potrzeb weryfikacji, to audyt powinien zawierać dodatkowe rozmowy oraz inspekcje przeprowadzane w obiektach operatora lotniska.</w:t>
      </w:r>
    </w:p>
    <w:p w14:paraId="7685FFBC" w14:textId="7C8D498A" w:rsidR="00490EF1" w:rsidRPr="009E064B" w:rsidRDefault="00490EF1" w:rsidP="00133B99">
      <w:pPr>
        <w:pStyle w:val="Nagwek6"/>
      </w:pPr>
      <w:bookmarkStart w:id="207" w:name="_Toc492024560"/>
      <w:bookmarkStart w:id="208" w:name="_Toc12532625"/>
      <w:r w:rsidRPr="009E064B">
        <w:t xml:space="preserve">GM1 ADR.AR.C.040(c)    </w:t>
      </w:r>
      <w:r w:rsidR="004D6FC2" w:rsidRPr="009E064B">
        <w:t xml:space="preserve"> </w:t>
      </w:r>
      <w:r w:rsidRPr="009E064B">
        <w:t>Zmiany</w:t>
      </w:r>
      <w:bookmarkEnd w:id="207"/>
      <w:bookmarkEnd w:id="208"/>
    </w:p>
    <w:p w14:paraId="0DB0B4FA" w14:textId="3944E6C5"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F1BA107"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ZMIANY DO WARUNKÓW CERTYFIKATU</w:t>
      </w:r>
    </w:p>
    <w:p w14:paraId="3D2D54BB" w14:textId="47351936" w:rsidR="007B5AE5" w:rsidRDefault="00490EF1" w:rsidP="007B5AE5">
      <w:pPr>
        <w:widowControl/>
        <w:rPr>
          <w:rFonts w:asciiTheme="minorHAnsi" w:eastAsia="Calibri" w:hAnsiTheme="minorHAnsi" w:cstheme="minorHAnsi"/>
        </w:rPr>
      </w:pPr>
      <w:r w:rsidRPr="009E064B">
        <w:rPr>
          <w:rFonts w:asciiTheme="minorHAnsi" w:eastAsia="Calibri" w:hAnsiTheme="minorHAnsi" w:cstheme="minorHAnsi"/>
        </w:rPr>
        <w:t>Właściwy organ powinien zmienić certyfikat przy każdej zmianie, która wpływa na warunki tego certyfikatu, niezależnie od jej wielkości.</w:t>
      </w:r>
      <w:r w:rsidR="007B5AE5">
        <w:rPr>
          <w:rFonts w:asciiTheme="minorHAnsi" w:eastAsia="Calibri" w:hAnsiTheme="minorHAnsi" w:cstheme="minorHAnsi"/>
        </w:rPr>
        <w:t xml:space="preserve"> </w:t>
      </w:r>
      <w:r w:rsidR="007B5AE5">
        <w:rPr>
          <w:rFonts w:asciiTheme="minorHAnsi" w:eastAsia="Calibri" w:hAnsiTheme="minorHAnsi" w:cstheme="minorHAnsi"/>
        </w:rPr>
        <w:br w:type="page"/>
      </w:r>
    </w:p>
    <w:p w14:paraId="21FCCB37" w14:textId="7604EFDB" w:rsidR="00490EF1" w:rsidRPr="009E064B" w:rsidRDefault="00490EF1" w:rsidP="00133B99">
      <w:pPr>
        <w:pStyle w:val="Nagwek6"/>
      </w:pPr>
      <w:bookmarkStart w:id="209" w:name="_Toc492024561"/>
      <w:bookmarkStart w:id="210" w:name="_Toc12532626"/>
      <w:r w:rsidRPr="009E064B">
        <w:t xml:space="preserve">GM1 ADR.AR.C.040(d)    </w:t>
      </w:r>
      <w:r w:rsidR="004D6FC2" w:rsidRPr="009E064B">
        <w:t xml:space="preserve"> </w:t>
      </w:r>
      <w:r w:rsidRPr="009E064B">
        <w:t>Zmiany</w:t>
      </w:r>
      <w:bookmarkEnd w:id="209"/>
      <w:bookmarkEnd w:id="210"/>
    </w:p>
    <w:p w14:paraId="7A0CB5D9" w14:textId="50742C32"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4A940DD"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WARUNKI PROWADZENIA DZIAŁALNOŚCI W CZASIE WPROWADZANIA ZMIANY</w:t>
      </w:r>
    </w:p>
    <w:p w14:paraId="7C2A4203"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Warunki lub ograniczenia, zgodnie z którymi operator lotniska może prowadzić działalność podczas wprowadzania zmiany powinny być zatwierdzone przez właściwy organ, zazwyczaj jednak powinny one być wynikiem współpracy pomiędzy operatorem a organem po sugestii operatora lotniska.</w:t>
      </w:r>
    </w:p>
    <w:p w14:paraId="7C336439" w14:textId="4325C92C" w:rsidR="00DC7DA6" w:rsidRPr="009E064B" w:rsidRDefault="00DE05DC" w:rsidP="00B06A9A">
      <w:pPr>
        <w:pStyle w:val="Nagwek3"/>
      </w:pPr>
      <w:bookmarkStart w:id="211" w:name="_ADR.AR.C.050__"/>
      <w:bookmarkStart w:id="212" w:name="_Toc12532627"/>
      <w:bookmarkEnd w:id="211"/>
      <w:r w:rsidRPr="009E064B">
        <w:t xml:space="preserve">ADR.AR.C.050 </w:t>
      </w:r>
      <w:r w:rsidR="004D6FC2" w:rsidRPr="009E064B">
        <w:t xml:space="preserve">    </w:t>
      </w:r>
      <w:r w:rsidRPr="009E064B">
        <w:t>Deklaracje instytucji zapewniających służbę zarządzania płytą postojową</w:t>
      </w:r>
      <w:bookmarkEnd w:id="212"/>
    </w:p>
    <w:p w14:paraId="5A98D7B7" w14:textId="2186620F"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4986ECF" w14:textId="79A6CC77" w:rsidR="00DC7DA6" w:rsidRPr="009E064B" w:rsidRDefault="00010991"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A8544B" w:rsidRPr="009E064B">
        <w:rPr>
          <w:rFonts w:asciiTheme="minorHAnsi" w:hAnsiTheme="minorHAnsi" w:cstheme="minorHAnsi"/>
          <w:sz w:val="22"/>
          <w:szCs w:val="22"/>
        </w:rPr>
        <w:t xml:space="preserve">a) </w:t>
      </w:r>
      <w:r w:rsidR="00C36D6C"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Po otrzymaniu deklaracji </w:t>
      </w:r>
      <w:r w:rsidR="00B506DE" w:rsidRPr="009E064B">
        <w:rPr>
          <w:rFonts w:asciiTheme="minorHAnsi" w:hAnsiTheme="minorHAnsi" w:cstheme="minorHAnsi"/>
          <w:sz w:val="22"/>
          <w:szCs w:val="22"/>
        </w:rPr>
        <w:t xml:space="preserve">od </w:t>
      </w:r>
      <w:r w:rsidR="00DE05DC" w:rsidRPr="009E064B">
        <w:rPr>
          <w:rFonts w:asciiTheme="minorHAnsi" w:hAnsiTheme="minorHAnsi" w:cstheme="minorHAnsi"/>
          <w:sz w:val="22"/>
          <w:szCs w:val="22"/>
        </w:rPr>
        <w:t>instytucji zapewniającej służbę zarządzania płytą postojową, która zamierza świadczyć tego typu usługi na danym lotnisku, właściwy organ sprawdza, czy deklaracja zawiera wszystkie informacje wymagane na mocy części ADR.OR i potwierdza tej organizacji odbiór jej deklaracji.</w:t>
      </w:r>
    </w:p>
    <w:p w14:paraId="56DFC12E" w14:textId="00471467" w:rsidR="00DC7DA6" w:rsidRPr="009E064B" w:rsidRDefault="00010991"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A8544B" w:rsidRPr="009E064B">
        <w:rPr>
          <w:rFonts w:asciiTheme="minorHAnsi" w:hAnsiTheme="minorHAnsi" w:cstheme="minorHAnsi"/>
          <w:sz w:val="22"/>
          <w:szCs w:val="22"/>
        </w:rPr>
        <w:t xml:space="preserve">b) </w:t>
      </w:r>
      <w:r w:rsidR="00C36D6C"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Jeżeli deklaracja nie zawiera wymaganych informacji lub zawiera informacje wskazujące na niespełnienie stosownych wymagań, właściwy organ powiadamia </w:t>
      </w:r>
      <w:r w:rsidR="00B506DE" w:rsidRPr="009E064B">
        <w:rPr>
          <w:rFonts w:asciiTheme="minorHAnsi" w:hAnsiTheme="minorHAnsi" w:cstheme="minorHAnsi"/>
          <w:sz w:val="22"/>
          <w:szCs w:val="22"/>
        </w:rPr>
        <w:t xml:space="preserve">o </w:t>
      </w:r>
      <w:r w:rsidR="00846BCB" w:rsidRPr="009E064B">
        <w:rPr>
          <w:rFonts w:asciiTheme="minorHAnsi" w:hAnsiTheme="minorHAnsi" w:cstheme="minorHAnsi"/>
          <w:sz w:val="22"/>
          <w:szCs w:val="22"/>
        </w:rPr>
        <w:t>tym operatora lotniska i </w:t>
      </w:r>
      <w:r w:rsidR="00DE05DC" w:rsidRPr="009E064B">
        <w:rPr>
          <w:rFonts w:asciiTheme="minorHAnsi" w:hAnsiTheme="minorHAnsi" w:cstheme="minorHAnsi"/>
          <w:sz w:val="22"/>
          <w:szCs w:val="22"/>
        </w:rPr>
        <w:t>instytucję zapewniającą służbę zarządzania płytą postojową oraz zwraca się o udzielenie dalszych informacji. W razie konieczności właściwy organ przeprowadza inspekcję instytucji zapewniającej służbę zarządzania płytą postojową oraz operatora lotniska. W przypadku potwierdzenia faktu niespełnienia wymagań właściwy organ podejmuje dzi</w:t>
      </w:r>
      <w:r w:rsidR="00846BCB" w:rsidRPr="009E064B">
        <w:rPr>
          <w:rFonts w:asciiTheme="minorHAnsi" w:hAnsiTheme="minorHAnsi" w:cstheme="minorHAnsi"/>
          <w:sz w:val="22"/>
          <w:szCs w:val="22"/>
        </w:rPr>
        <w:t>ałania określone w </w:t>
      </w:r>
      <w:hyperlink w:anchor="_ADR.AR.C.055__" w:history="1">
        <w:r w:rsidR="00DE05DC" w:rsidRPr="009E064B">
          <w:rPr>
            <w:rStyle w:val="Hipercze"/>
            <w:rFonts w:asciiTheme="minorHAnsi" w:hAnsiTheme="minorHAnsi" w:cstheme="minorHAnsi"/>
            <w:sz w:val="22"/>
            <w:szCs w:val="22"/>
          </w:rPr>
          <w:t>ADR.AR.C.055</w:t>
        </w:r>
      </w:hyperlink>
      <w:r w:rsidR="00DE05DC" w:rsidRPr="009E064B">
        <w:rPr>
          <w:rFonts w:asciiTheme="minorHAnsi" w:hAnsiTheme="minorHAnsi" w:cstheme="minorHAnsi"/>
          <w:sz w:val="22"/>
          <w:szCs w:val="22"/>
        </w:rPr>
        <w:t>.</w:t>
      </w:r>
    </w:p>
    <w:p w14:paraId="6102F493" w14:textId="63D07C97" w:rsidR="00DC7DA6" w:rsidRPr="009E064B" w:rsidRDefault="00010991"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A8544B" w:rsidRPr="009E064B">
        <w:rPr>
          <w:rFonts w:asciiTheme="minorHAnsi" w:hAnsiTheme="minorHAnsi" w:cstheme="minorHAnsi"/>
          <w:sz w:val="22"/>
          <w:szCs w:val="22"/>
        </w:rPr>
        <w:t xml:space="preserve">c) </w:t>
      </w:r>
      <w:r w:rsidR="00483D7A" w:rsidRPr="009E064B">
        <w:rPr>
          <w:rFonts w:asciiTheme="minorHAnsi" w:hAnsiTheme="minorHAnsi" w:cstheme="minorHAnsi"/>
          <w:sz w:val="22"/>
          <w:szCs w:val="22"/>
        </w:rPr>
        <w:tab/>
      </w:r>
      <w:r w:rsidR="00DE05DC" w:rsidRPr="009E064B">
        <w:rPr>
          <w:rFonts w:asciiTheme="minorHAnsi" w:hAnsiTheme="minorHAnsi" w:cstheme="minorHAnsi"/>
          <w:sz w:val="22"/>
          <w:szCs w:val="22"/>
        </w:rPr>
        <w:t>Właściwy organ prowadzi rejestr deklaracji złożonych przez znajdujące się pod jego nadzorem instytucje zapewniające służbę zarządzania płytą postojową.</w:t>
      </w:r>
    </w:p>
    <w:p w14:paraId="496D96B3" w14:textId="04D96F3A" w:rsidR="00490EF1" w:rsidRPr="009E064B" w:rsidRDefault="00490EF1" w:rsidP="00133B99">
      <w:pPr>
        <w:pStyle w:val="Nagwek6"/>
      </w:pPr>
      <w:bookmarkStart w:id="213" w:name="_Toc492024562"/>
      <w:bookmarkStart w:id="214" w:name="_Toc12532628"/>
      <w:r w:rsidRPr="009E064B">
        <w:t>GM1 ADR.AR.C.050     Deklaracja instytucji zapewniającej służbę zarządzania płytą postojową</w:t>
      </w:r>
      <w:bookmarkEnd w:id="213"/>
      <w:bookmarkEnd w:id="214"/>
    </w:p>
    <w:p w14:paraId="0C3B2F11" w14:textId="64A5AF02"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5895114"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WERYFIKACJA ZGODNOŚCI – DEKLARACJE</w:t>
      </w:r>
    </w:p>
    <w:p w14:paraId="0FF8450F" w14:textId="64CCBB8D"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 xml:space="preserve">Weryfikacja dokonana przez właściwy organ po otrzymaniu deklaracji niekoniecznie pociąga za sobą konieczność przeprowadzenia inspekcji. Głównym celem jest sprawdzenie, czy </w:t>
      </w:r>
      <w:r w:rsidR="00846BCB" w:rsidRPr="009E064B">
        <w:rPr>
          <w:rFonts w:asciiTheme="minorHAnsi" w:eastAsia="Calibri" w:hAnsiTheme="minorHAnsi" w:cstheme="minorHAnsi"/>
        </w:rPr>
        <w:t>to, co zawarto w </w:t>
      </w:r>
      <w:r w:rsidRPr="009E064B">
        <w:rPr>
          <w:rFonts w:asciiTheme="minorHAnsi" w:eastAsia="Calibri" w:hAnsiTheme="minorHAnsi" w:cstheme="minorHAnsi"/>
        </w:rPr>
        <w:t>deklaracji jest zgodne z obowiązującymi wymogami.</w:t>
      </w:r>
    </w:p>
    <w:p w14:paraId="427E0D4B" w14:textId="7DFB9A21" w:rsidR="00DC7DA6" w:rsidRPr="009E064B" w:rsidRDefault="004D6FC2" w:rsidP="00B06A9A">
      <w:pPr>
        <w:pStyle w:val="Nagwek3"/>
      </w:pPr>
      <w:bookmarkStart w:id="215" w:name="_ADR.AR.C.055__"/>
      <w:bookmarkStart w:id="216" w:name="_Toc12532629"/>
      <w:bookmarkEnd w:id="215"/>
      <w:r w:rsidRPr="009E064B">
        <w:t xml:space="preserve">ADR.AR.C.055     </w:t>
      </w:r>
      <w:r w:rsidR="00DE05DC" w:rsidRPr="009E064B">
        <w:t>Nieprawidłowości, uwagi, działania naprawcze i środki egzekucyjne</w:t>
      </w:r>
      <w:bookmarkEnd w:id="216"/>
    </w:p>
    <w:p w14:paraId="78D0BC9A" w14:textId="41B0D57A"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7AE04F49" w14:textId="0C5B728D"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A8544B" w:rsidRPr="009E064B">
        <w:rPr>
          <w:rFonts w:asciiTheme="minorHAnsi" w:hAnsiTheme="minorHAnsi" w:cstheme="minorHAnsi"/>
          <w:sz w:val="22"/>
          <w:szCs w:val="20"/>
        </w:rPr>
        <w:t xml:space="preserve">a)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 celu sprawowania nadzoru zgodnie z </w:t>
      </w:r>
      <w:hyperlink w:anchor="_ADR.AR.C.005__" w:history="1">
        <w:r w:rsidR="00DE05DC" w:rsidRPr="009E064B">
          <w:rPr>
            <w:rStyle w:val="Hipercze"/>
            <w:rFonts w:asciiTheme="minorHAnsi" w:hAnsiTheme="minorHAnsi" w:cstheme="minorHAnsi"/>
            <w:sz w:val="22"/>
            <w:szCs w:val="20"/>
          </w:rPr>
          <w:t>ADR.AR.C.005</w:t>
        </w:r>
      </w:hyperlink>
      <w:r w:rsidR="00DE05DC" w:rsidRPr="009E064B">
        <w:rPr>
          <w:rFonts w:asciiTheme="minorHAnsi" w:hAnsiTheme="minorHAnsi" w:cstheme="minorHAnsi"/>
          <w:sz w:val="22"/>
          <w:szCs w:val="20"/>
        </w:rPr>
        <w:t xml:space="preserve"> lit. </w:t>
      </w:r>
      <w:r w:rsidR="00B26CE2"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a) właściwy organ musi </w:t>
      </w:r>
      <w:r w:rsidR="008A3783" w:rsidRPr="009E064B">
        <w:rPr>
          <w:rFonts w:asciiTheme="minorHAnsi" w:hAnsiTheme="minorHAnsi" w:cstheme="minorHAnsi"/>
          <w:sz w:val="22"/>
          <w:szCs w:val="20"/>
        </w:rPr>
        <w:t>posiadać system analizy niepra</w:t>
      </w:r>
      <w:r w:rsidR="00DE05DC" w:rsidRPr="009E064B">
        <w:rPr>
          <w:rFonts w:asciiTheme="minorHAnsi" w:hAnsiTheme="minorHAnsi" w:cstheme="minorHAnsi"/>
          <w:sz w:val="22"/>
          <w:szCs w:val="20"/>
        </w:rPr>
        <w:t>widłowości pod kątem ich znaczenia dla bezpieczeństwa.</w:t>
      </w:r>
    </w:p>
    <w:p w14:paraId="36E0B006" w14:textId="7810565E" w:rsidR="00846BCB" w:rsidRPr="009E064B" w:rsidRDefault="00010991" w:rsidP="00846BCB">
      <w:pPr>
        <w:pStyle w:val="Tekstpodstawowy"/>
        <w:tabs>
          <w:tab w:val="left" w:pos="567"/>
        </w:tabs>
        <w:ind w:left="567" w:right="-2" w:hanging="567"/>
        <w:rPr>
          <w:rFonts w:asciiTheme="minorHAnsi" w:hAnsiTheme="minorHAnsi" w:cstheme="minorHAnsi"/>
          <w:szCs w:val="20"/>
        </w:rPr>
      </w:pPr>
      <w:r w:rsidRPr="009E064B">
        <w:rPr>
          <w:rFonts w:asciiTheme="minorHAnsi" w:hAnsiTheme="minorHAnsi" w:cstheme="minorHAnsi"/>
          <w:sz w:val="22"/>
          <w:szCs w:val="20"/>
        </w:rPr>
        <w:t>(</w:t>
      </w:r>
      <w:r w:rsidR="00A8544B" w:rsidRPr="009E064B">
        <w:rPr>
          <w:rFonts w:asciiTheme="minorHAnsi" w:hAnsiTheme="minorHAnsi" w:cstheme="minorHAnsi"/>
          <w:sz w:val="22"/>
          <w:szCs w:val="20"/>
        </w:rPr>
        <w:t xml:space="preserve">b)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Właściwy organ stwierdza nieprawidłowość poziomu 1 w przypadku odnotowania istotnej niezgodności z podstawą certyfikacji lotniska, stosownymi wymaganiami rozporządzenia (WE) nr 216/2008 i jego przepisów wykonawczych, a także z procedurami i instrukcjami operatora lotniska lub instytucji zapewniającej </w:t>
      </w:r>
      <w:r w:rsidR="008A3783" w:rsidRPr="009E064B">
        <w:rPr>
          <w:rFonts w:asciiTheme="minorHAnsi" w:hAnsiTheme="minorHAnsi" w:cstheme="minorHAnsi"/>
          <w:sz w:val="22"/>
          <w:szCs w:val="20"/>
        </w:rPr>
        <w:t>służbę zarządzania płytą posto</w:t>
      </w:r>
      <w:r w:rsidR="00DE05DC" w:rsidRPr="009E064B">
        <w:rPr>
          <w:rFonts w:asciiTheme="minorHAnsi" w:hAnsiTheme="minorHAnsi" w:cstheme="minorHAnsi"/>
          <w:sz w:val="22"/>
          <w:szCs w:val="20"/>
        </w:rPr>
        <w:t>jową, warunkami certyfikatu lub certyfikatem, bądź z treścią złożonej deklaracji, która zmniejsza lub poważnie zagraża bezpieczeństwu.</w:t>
      </w:r>
      <w:r w:rsidR="00846BCB" w:rsidRPr="009E064B">
        <w:rPr>
          <w:rFonts w:asciiTheme="minorHAnsi" w:hAnsiTheme="minorHAnsi" w:cstheme="minorHAnsi"/>
          <w:sz w:val="22"/>
          <w:szCs w:val="20"/>
        </w:rPr>
        <w:t xml:space="preserve"> </w:t>
      </w:r>
    </w:p>
    <w:p w14:paraId="0578C721" w14:textId="242EEA56" w:rsidR="00DC7DA6" w:rsidRPr="009E064B" w:rsidRDefault="00DE05DC" w:rsidP="00B06A9A">
      <w:pPr>
        <w:pStyle w:val="Tekstpodstawowy"/>
        <w:tabs>
          <w:tab w:val="left" w:pos="567"/>
        </w:tabs>
        <w:ind w:left="567" w:right="-2" w:firstLine="0"/>
        <w:rPr>
          <w:rFonts w:asciiTheme="minorHAnsi" w:hAnsiTheme="minorHAnsi" w:cstheme="minorHAnsi"/>
          <w:sz w:val="22"/>
          <w:szCs w:val="20"/>
        </w:rPr>
      </w:pPr>
      <w:r w:rsidRPr="009E064B">
        <w:rPr>
          <w:rFonts w:asciiTheme="minorHAnsi" w:hAnsiTheme="minorHAnsi" w:cstheme="minorHAnsi"/>
          <w:sz w:val="22"/>
          <w:szCs w:val="20"/>
        </w:rPr>
        <w:t xml:space="preserve">Do nieprawidłowości poziomu </w:t>
      </w:r>
      <w:r w:rsidR="00483D7A" w:rsidRPr="009E064B">
        <w:rPr>
          <w:rFonts w:asciiTheme="minorHAnsi" w:hAnsiTheme="minorHAnsi" w:cstheme="minorHAnsi"/>
          <w:sz w:val="22"/>
          <w:szCs w:val="20"/>
        </w:rPr>
        <w:t xml:space="preserve">1 </w:t>
      </w:r>
      <w:r w:rsidRPr="009E064B">
        <w:rPr>
          <w:rFonts w:asciiTheme="minorHAnsi" w:hAnsiTheme="minorHAnsi" w:cstheme="minorHAnsi"/>
          <w:sz w:val="22"/>
          <w:szCs w:val="20"/>
        </w:rPr>
        <w:t>należą:</w:t>
      </w:r>
    </w:p>
    <w:p w14:paraId="057C0260" w14:textId="363B00E9"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1)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nieprzyznanie właściwemu organowi dostępu do lotniska i obiektów operatora lotniska lub instytucji zapewniającej służbę zarządzani</w:t>
      </w:r>
      <w:r w:rsidR="008C654E" w:rsidRPr="009E064B">
        <w:rPr>
          <w:rFonts w:asciiTheme="minorHAnsi" w:eastAsia="Times New Roman" w:hAnsiTheme="minorHAnsi" w:cstheme="minorHAnsi"/>
          <w:szCs w:val="20"/>
        </w:rPr>
        <w:t>a płytą postojową określonych w </w:t>
      </w:r>
      <w:hyperlink w:anchor="_ADR.OR.C.015__" w:history="1">
        <w:r w:rsidR="00DE05DC" w:rsidRPr="009E064B">
          <w:rPr>
            <w:rStyle w:val="Hipercze"/>
            <w:rFonts w:asciiTheme="minorHAnsi" w:eastAsia="Times New Roman" w:hAnsiTheme="minorHAnsi" w:cstheme="minorHAnsi"/>
            <w:szCs w:val="20"/>
          </w:rPr>
          <w:t>ADR.OR</w:t>
        </w:r>
        <w:r w:rsidR="007F509D" w:rsidRPr="009E064B">
          <w:rPr>
            <w:rStyle w:val="Hipercze"/>
            <w:rFonts w:asciiTheme="minorHAnsi" w:eastAsia="Times New Roman" w:hAnsiTheme="minorHAnsi" w:cstheme="minorHAnsi"/>
            <w:szCs w:val="20"/>
          </w:rPr>
          <w:t>.C.015</w:t>
        </w:r>
      </w:hyperlink>
      <w:r w:rsidR="007F509D" w:rsidRPr="009E064B">
        <w:rPr>
          <w:rFonts w:asciiTheme="minorHAnsi" w:eastAsia="Times New Roman" w:hAnsiTheme="minorHAnsi" w:cstheme="minorHAnsi"/>
          <w:szCs w:val="20"/>
        </w:rPr>
        <w:t xml:space="preserve"> podczas zwykłych godzin pracy i po dwóch pisemnych </w:t>
      </w:r>
      <w:r w:rsidR="00DE05DC" w:rsidRPr="009E064B">
        <w:rPr>
          <w:rFonts w:asciiTheme="minorHAnsi" w:eastAsia="Times New Roman" w:hAnsiTheme="minorHAnsi" w:cstheme="minorHAnsi"/>
          <w:szCs w:val="20"/>
        </w:rPr>
        <w:t>żądaniach;</w:t>
      </w:r>
    </w:p>
    <w:p w14:paraId="0173D7FF" w14:textId="6F0D7517"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2)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uzyskanie lub utrzymanie ważności certyfikatu dzięki sfałszowaniu przedkładanej dokumentacji dowodowej;</w:t>
      </w:r>
    </w:p>
    <w:p w14:paraId="5432112D" w14:textId="5484AC87"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3)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przypadki udowodnionego nadużycia lub nielegalnego wykorzystania certyfikatu; oraz</w:t>
      </w:r>
    </w:p>
    <w:p w14:paraId="1FC9C664" w14:textId="78CFE0DD"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4)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brak kierownika odpowiedzialnego.</w:t>
      </w:r>
    </w:p>
    <w:p w14:paraId="1ACC9D82" w14:textId="59AABE4D"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A8544B" w:rsidRPr="009E064B">
        <w:rPr>
          <w:rFonts w:asciiTheme="minorHAnsi" w:hAnsiTheme="minorHAnsi" w:cstheme="minorHAnsi"/>
          <w:sz w:val="22"/>
          <w:szCs w:val="20"/>
        </w:rPr>
        <w:t xml:space="preserve">c)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stwierdza nieprawidłowość poziomu 2 w przypadku odnotowania niezgodności z podstawą certyfikacji lotniska, stosownymi wymaganiami ro</w:t>
      </w:r>
      <w:r w:rsidR="00846BCB" w:rsidRPr="009E064B">
        <w:rPr>
          <w:rFonts w:asciiTheme="minorHAnsi" w:hAnsiTheme="minorHAnsi" w:cstheme="minorHAnsi"/>
          <w:sz w:val="22"/>
          <w:szCs w:val="20"/>
        </w:rPr>
        <w:t>zporządzenia (WE) nr 216/2008 i </w:t>
      </w:r>
      <w:r w:rsidR="00DE05DC" w:rsidRPr="009E064B">
        <w:rPr>
          <w:rFonts w:asciiTheme="minorHAnsi" w:hAnsiTheme="minorHAnsi" w:cstheme="minorHAnsi"/>
          <w:sz w:val="22"/>
          <w:szCs w:val="20"/>
        </w:rPr>
        <w:t>jego przepisów wykonawczych, a także z procedurami i instrukcjami ope</w:t>
      </w:r>
      <w:r w:rsidR="006C0F5A" w:rsidRPr="009E064B">
        <w:rPr>
          <w:rFonts w:asciiTheme="minorHAnsi" w:hAnsiTheme="minorHAnsi" w:cstheme="minorHAnsi"/>
          <w:sz w:val="22"/>
          <w:szCs w:val="20"/>
        </w:rPr>
        <w:t xml:space="preserve">ratora lotniska lub instytucji </w:t>
      </w:r>
      <w:r w:rsidR="00DE05DC" w:rsidRPr="009E064B">
        <w:rPr>
          <w:rFonts w:asciiTheme="minorHAnsi" w:hAnsiTheme="minorHAnsi" w:cstheme="minorHAnsi"/>
          <w:sz w:val="22"/>
          <w:szCs w:val="20"/>
        </w:rPr>
        <w:t>zape</w:t>
      </w:r>
      <w:r w:rsidR="006C0F5A" w:rsidRPr="009E064B">
        <w:rPr>
          <w:rFonts w:asciiTheme="minorHAnsi" w:hAnsiTheme="minorHAnsi" w:cstheme="minorHAnsi"/>
          <w:sz w:val="22"/>
          <w:szCs w:val="20"/>
        </w:rPr>
        <w:t xml:space="preserve">wniającej służbę zarządzania płytą </w:t>
      </w:r>
      <w:r w:rsidR="00DE05DC" w:rsidRPr="009E064B">
        <w:rPr>
          <w:rFonts w:asciiTheme="minorHAnsi" w:hAnsiTheme="minorHAnsi" w:cstheme="minorHAnsi"/>
          <w:sz w:val="22"/>
          <w:szCs w:val="20"/>
        </w:rPr>
        <w:t xml:space="preserve">postojową, warunkami certyfikatu lub certyfikatem bądź z treścią złożonej deklaracji, która mogłaby zmniejszać bezpieczeństwo </w:t>
      </w:r>
      <w:r w:rsidR="006C0F5A" w:rsidRPr="009E064B">
        <w:rPr>
          <w:rFonts w:asciiTheme="minorHAnsi" w:hAnsiTheme="minorHAnsi" w:cstheme="minorHAnsi"/>
          <w:sz w:val="22"/>
          <w:szCs w:val="20"/>
        </w:rPr>
        <w:t xml:space="preserve">lotu lub potencjalnie zagrażać </w:t>
      </w:r>
      <w:r w:rsidR="00DE05DC" w:rsidRPr="009E064B">
        <w:rPr>
          <w:rFonts w:asciiTheme="minorHAnsi" w:hAnsiTheme="minorHAnsi" w:cstheme="minorHAnsi"/>
          <w:sz w:val="22"/>
          <w:szCs w:val="20"/>
        </w:rPr>
        <w:t>temu bezpieczeństwu.</w:t>
      </w:r>
    </w:p>
    <w:p w14:paraId="36C33A07" w14:textId="5A21936D" w:rsidR="00DC7DA6" w:rsidRPr="009E064B" w:rsidRDefault="00010991"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A8544B" w:rsidRPr="009E064B">
        <w:rPr>
          <w:rFonts w:asciiTheme="minorHAnsi" w:hAnsiTheme="minorHAnsi" w:cstheme="minorHAnsi"/>
          <w:sz w:val="22"/>
          <w:szCs w:val="20"/>
        </w:rPr>
        <w:t xml:space="preserve">d) </w:t>
      </w:r>
      <w:r w:rsidR="00C36D6C"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 stwierdzenia nieprawidłowości podczas nadzoru lub w inny sposób właściwy organ, bez uszczerbku dla dodatkowych działań wymaganych na mocy rozporządzenia (WE</w:t>
      </w:r>
      <w:r w:rsidR="00846BCB" w:rsidRPr="009E064B">
        <w:rPr>
          <w:rFonts w:asciiTheme="minorHAnsi" w:hAnsiTheme="minorHAnsi" w:cstheme="minorHAnsi"/>
          <w:sz w:val="22"/>
          <w:szCs w:val="20"/>
        </w:rPr>
        <w:t>) nr </w:t>
      </w:r>
      <w:r w:rsidR="005C6FAE" w:rsidRPr="009E064B">
        <w:rPr>
          <w:rFonts w:asciiTheme="minorHAnsi" w:hAnsiTheme="minorHAnsi" w:cstheme="minorHAnsi"/>
          <w:sz w:val="22"/>
          <w:szCs w:val="20"/>
        </w:rPr>
        <w:t xml:space="preserve">216/2008 i jego przepisów </w:t>
      </w:r>
      <w:r w:rsidR="00DE05DC" w:rsidRPr="009E064B">
        <w:rPr>
          <w:rFonts w:asciiTheme="minorHAnsi" w:hAnsiTheme="minorHAnsi" w:cstheme="minorHAnsi"/>
          <w:sz w:val="22"/>
          <w:szCs w:val="20"/>
        </w:rPr>
        <w:t>wykonawczych, informuje na piśmie operatora lotniska lub instytucję zapewniającą służbę zarządzania płytą postojową o tej nieprawidłowości i zwraca się o podjęcie działań naprawczych w celu wyeliminowania stwierdzonej niezgodności.</w:t>
      </w:r>
    </w:p>
    <w:p w14:paraId="7A95E20D" w14:textId="1EEC3B71"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1)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odniesieniu do nieprawidłowości poziomu 1 właściwy organ podejmuje natychmiastowe odpowiednie działania w celu zakazania lub ograniczenia działalności oraz – w stosownych przypadkach – w celu cofnięcia certyfikatu lub wyrejestrowania deklaracji, bądź w celu ograniczenia lub zawieszenia</w:t>
      </w:r>
      <w:r w:rsidR="00807884" w:rsidRPr="009E064B">
        <w:rPr>
          <w:rFonts w:asciiTheme="minorHAnsi" w:eastAsia="Times New Roman" w:hAnsiTheme="minorHAnsi" w:cstheme="minorHAnsi"/>
          <w:szCs w:val="20"/>
        </w:rPr>
        <w:t xml:space="preserve"> certyfikatu bądź deklaracji w całości lub w </w:t>
      </w:r>
      <w:r w:rsidR="00DE05DC" w:rsidRPr="009E064B">
        <w:rPr>
          <w:rFonts w:asciiTheme="minorHAnsi" w:eastAsia="Times New Roman" w:hAnsiTheme="minorHAnsi" w:cstheme="minorHAnsi"/>
          <w:szCs w:val="20"/>
        </w:rPr>
        <w:t>części (w zależności od zakresu nieprawidłowości) do chwili podjęcia przez operatora lotniska lub instytucję zap</w:t>
      </w:r>
      <w:r w:rsidR="007F509D" w:rsidRPr="009E064B">
        <w:rPr>
          <w:rFonts w:asciiTheme="minorHAnsi" w:eastAsia="Times New Roman" w:hAnsiTheme="minorHAnsi" w:cstheme="minorHAnsi"/>
          <w:szCs w:val="20"/>
        </w:rPr>
        <w:t xml:space="preserve">ewniającą służbę </w:t>
      </w:r>
      <w:r w:rsidR="00807884" w:rsidRPr="009E064B">
        <w:rPr>
          <w:rFonts w:asciiTheme="minorHAnsi" w:eastAsia="Times New Roman" w:hAnsiTheme="minorHAnsi" w:cstheme="minorHAnsi"/>
          <w:szCs w:val="20"/>
        </w:rPr>
        <w:t xml:space="preserve">zarządzania </w:t>
      </w:r>
      <w:r w:rsidR="00DE05DC" w:rsidRPr="009E064B">
        <w:rPr>
          <w:rFonts w:asciiTheme="minorHAnsi" w:eastAsia="Times New Roman" w:hAnsiTheme="minorHAnsi" w:cstheme="minorHAnsi"/>
          <w:szCs w:val="20"/>
        </w:rPr>
        <w:t>pł</w:t>
      </w:r>
      <w:r w:rsidR="00807884" w:rsidRPr="009E064B">
        <w:rPr>
          <w:rFonts w:asciiTheme="minorHAnsi" w:eastAsia="Times New Roman" w:hAnsiTheme="minorHAnsi" w:cstheme="minorHAnsi"/>
          <w:szCs w:val="20"/>
        </w:rPr>
        <w:t xml:space="preserve">ytą postojową skutecznych działań </w:t>
      </w:r>
      <w:r w:rsidR="00DE05DC" w:rsidRPr="009E064B">
        <w:rPr>
          <w:rFonts w:asciiTheme="minorHAnsi" w:eastAsia="Times New Roman" w:hAnsiTheme="minorHAnsi" w:cstheme="minorHAnsi"/>
          <w:szCs w:val="20"/>
        </w:rPr>
        <w:t>naprawczych.</w:t>
      </w:r>
    </w:p>
    <w:p w14:paraId="630DFFD0" w14:textId="29DFF4B7"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2)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przypadku stwierdzenia nieprawidłowości poziomu 2 właściwy organ:</w:t>
      </w:r>
    </w:p>
    <w:p w14:paraId="2B1BA867" w14:textId="498C757A" w:rsidR="00DC7DA6" w:rsidRPr="009E064B" w:rsidRDefault="00010991"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a)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wyznacza operatorowi lotniska lub instytucji zapewniającej służbę zarządzania płytą postojową odpowiedni do charakteru nieprawidłowości czas na przeprowadzenie działań naprawczych przewidzianych w planie działania; oraz</w:t>
      </w:r>
    </w:p>
    <w:p w14:paraId="5F184917" w14:textId="4900E2C8" w:rsidR="00DC7DA6" w:rsidRPr="009E064B" w:rsidRDefault="00010991"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b)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ocenia działanie naprawcze i plan jego wdrożenia, zaproponowane przez operatora lotniska lub instytucję zapewniającą służbę zarządzania płytą postojową, a następnie – jeżeli w wyniku oceny uzna, że są one wystarczające do usunięcia niezgodności – zatwierdza je.</w:t>
      </w:r>
    </w:p>
    <w:p w14:paraId="41B8D0BF" w14:textId="2B73F232"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3) </w:t>
      </w:r>
      <w:r w:rsidR="00C36D6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przypadku</w:t>
      </w:r>
      <w:r w:rsidR="007F509D"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 xml:space="preserve"> gdy operator lotniska lub instytucja zapewniająca służbę zarządzania płytą postojową nie przedłoży możliwego do zaakceptowania planu działań naprawczych lub nie przeprowadzi działania naprawczego w terminie zaakceptowanym lub przedłużonym przez właściwy organ, status nieprawidłowości podnosi się do poziomu 1 i podejmuje się działania określone w lit. </w:t>
      </w:r>
      <w:r w:rsidR="00E857F8"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d) pkt 1.</w:t>
      </w:r>
    </w:p>
    <w:p w14:paraId="6A2CFD9C" w14:textId="109D3A6F" w:rsidR="00DC7DA6" w:rsidRPr="009E064B" w:rsidRDefault="00010991"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A8544B" w:rsidRPr="009E064B">
        <w:rPr>
          <w:rFonts w:asciiTheme="minorHAnsi" w:eastAsia="Times New Roman" w:hAnsiTheme="minorHAnsi" w:cstheme="minorHAnsi"/>
          <w:szCs w:val="20"/>
        </w:rPr>
        <w:t xml:space="preserve">4) </w:t>
      </w:r>
      <w:r w:rsidR="00483D7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rejestruje wszelkie stwierdzone przez s</w:t>
      </w:r>
      <w:r w:rsidR="00846BCB" w:rsidRPr="009E064B">
        <w:rPr>
          <w:rFonts w:asciiTheme="minorHAnsi" w:eastAsia="Times New Roman" w:hAnsiTheme="minorHAnsi" w:cstheme="minorHAnsi"/>
          <w:szCs w:val="20"/>
        </w:rPr>
        <w:t>iebie nieprawidłowości oraz – w </w:t>
      </w:r>
      <w:r w:rsidR="00DE05DC" w:rsidRPr="009E064B">
        <w:rPr>
          <w:rFonts w:asciiTheme="minorHAnsi" w:eastAsia="Times New Roman" w:hAnsiTheme="minorHAnsi" w:cstheme="minorHAnsi"/>
          <w:szCs w:val="20"/>
        </w:rPr>
        <w:t>stosownych przypadkach – zastosowane środki egzekucyjne, a także działania naprawcze oraz datę zakończenia działań związanych z nieprawidłowościami.</w:t>
      </w:r>
    </w:p>
    <w:p w14:paraId="619484C5" w14:textId="0A51F019" w:rsidR="007B5AE5" w:rsidRDefault="00010991" w:rsidP="007B5AE5">
      <w:pPr>
        <w:pStyle w:val="Tekstpodstawowy"/>
        <w:tabs>
          <w:tab w:val="left" w:pos="567"/>
        </w:tabs>
        <w:ind w:left="567" w:right="-2" w:hanging="567"/>
        <w:rPr>
          <w:rFonts w:asciiTheme="minorHAnsi" w:hAnsiTheme="minorHAnsi" w:cstheme="minorHAnsi"/>
          <w:szCs w:val="20"/>
        </w:rPr>
      </w:pPr>
      <w:r w:rsidRPr="009E064B">
        <w:rPr>
          <w:rFonts w:asciiTheme="minorHAnsi" w:hAnsiTheme="minorHAnsi" w:cstheme="minorHAnsi"/>
          <w:sz w:val="22"/>
          <w:szCs w:val="20"/>
        </w:rPr>
        <w:t>(</w:t>
      </w:r>
      <w:r w:rsidR="00A8544B" w:rsidRPr="009E064B">
        <w:rPr>
          <w:rFonts w:asciiTheme="minorHAnsi" w:hAnsiTheme="minorHAnsi" w:cstheme="minorHAnsi"/>
          <w:sz w:val="22"/>
          <w:szCs w:val="20"/>
        </w:rPr>
        <w:t xml:space="preserve">e) </w:t>
      </w:r>
      <w:r w:rsidR="00483D7A"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przypadkach niewymagających stwierdzenia nieprawidłowości na poziomie 1 lub poziomie 2 właściwy organ może wydawać uwagi.</w:t>
      </w:r>
      <w:r w:rsidR="007B5AE5">
        <w:rPr>
          <w:rFonts w:asciiTheme="minorHAnsi" w:hAnsiTheme="minorHAnsi" w:cstheme="minorHAnsi"/>
          <w:sz w:val="22"/>
          <w:szCs w:val="20"/>
        </w:rPr>
        <w:t xml:space="preserve"> </w:t>
      </w:r>
      <w:r w:rsidR="007B5AE5">
        <w:rPr>
          <w:rFonts w:asciiTheme="minorHAnsi" w:hAnsiTheme="minorHAnsi" w:cstheme="minorHAnsi"/>
          <w:sz w:val="22"/>
          <w:szCs w:val="20"/>
        </w:rPr>
        <w:br w:type="page"/>
      </w:r>
    </w:p>
    <w:p w14:paraId="32A4805C" w14:textId="7E54E792" w:rsidR="00490EF1" w:rsidRPr="009E064B" w:rsidRDefault="00490EF1" w:rsidP="00133B99">
      <w:pPr>
        <w:pStyle w:val="Nagwek6"/>
      </w:pPr>
      <w:bookmarkStart w:id="217" w:name="_Toc492024563"/>
      <w:bookmarkStart w:id="218" w:name="_Toc12532630"/>
      <w:r w:rsidRPr="009E064B">
        <w:t xml:space="preserve">GM1 ADR.AR.C.055    </w:t>
      </w:r>
      <w:r w:rsidR="004D6FC2" w:rsidRPr="009E064B">
        <w:t xml:space="preserve"> </w:t>
      </w:r>
      <w:r w:rsidRPr="009E064B">
        <w:t>Nieprawidłowości, uwagi, działania naprawcze i środki egzekucyjne</w:t>
      </w:r>
      <w:bookmarkEnd w:id="217"/>
      <w:bookmarkEnd w:id="218"/>
    </w:p>
    <w:p w14:paraId="6BDD2A4D" w14:textId="1DDF3D7C"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EACC6DB"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ŚRODKI EGZEKUCYJNE – KARY PIENIĘŻNE</w:t>
      </w:r>
    </w:p>
    <w:p w14:paraId="65559533" w14:textId="0413692F" w:rsidR="001B6738"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Właściwy organ może dodatkowo, w zależności od charakteru i powtarzalności nieprawidłowości lub poziomu realizacji działań naprawczych, nakładać, odpowiednio, kary finansowe, które są skuteczne, proporcjonalne i odstraszające.</w:t>
      </w:r>
    </w:p>
    <w:p w14:paraId="1F49B6F9" w14:textId="362718FE" w:rsidR="00490EF1" w:rsidRPr="009E064B" w:rsidRDefault="00490EF1" w:rsidP="00133B99">
      <w:pPr>
        <w:pStyle w:val="Nagwek6"/>
      </w:pPr>
      <w:bookmarkStart w:id="219" w:name="_Toc492024564"/>
      <w:bookmarkStart w:id="220" w:name="_Toc12532631"/>
      <w:r w:rsidRPr="009E064B">
        <w:t xml:space="preserve">GM2 ADR.AR.C.055    </w:t>
      </w:r>
      <w:r w:rsidR="004D6FC2" w:rsidRPr="009E064B">
        <w:t xml:space="preserve"> </w:t>
      </w:r>
      <w:r w:rsidRPr="009E064B">
        <w:t>Nieprawidłowości, uwagi, działania naprawcze i środki egzekucyjne</w:t>
      </w:r>
      <w:bookmarkEnd w:id="219"/>
      <w:bookmarkEnd w:id="220"/>
    </w:p>
    <w:p w14:paraId="69FD2215" w14:textId="5E274AA1"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F115F3D"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SZKOLENIE</w:t>
      </w:r>
    </w:p>
    <w:p w14:paraId="487F784F"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 przypadku nieprawidłowości poziomu 1, w zależności od charakteru nieprawidłowości, może być konieczne zapewnienie przez właściwy organ, że dalsze szkolenie będzie prowadzone przez operatora lotniska lub przez instytucję zapewniającą służbę zarządzania płytą postojową i audytowane przez właściwy organ, zanim działalność zostanie wznowiona.</w:t>
      </w:r>
    </w:p>
    <w:p w14:paraId="5D373DAC" w14:textId="280D2F6E" w:rsidR="00490EF1" w:rsidRPr="009E064B" w:rsidRDefault="00490EF1" w:rsidP="00133B99">
      <w:pPr>
        <w:pStyle w:val="Nagwek6"/>
      </w:pPr>
      <w:bookmarkStart w:id="221" w:name="_Toc492024565"/>
      <w:bookmarkStart w:id="222" w:name="_Toc12532632"/>
      <w:r w:rsidRPr="009E064B">
        <w:t xml:space="preserve">GM3 ADR.AR.C.055    </w:t>
      </w:r>
      <w:r w:rsidR="004D6FC2" w:rsidRPr="009E064B">
        <w:t xml:space="preserve"> </w:t>
      </w:r>
      <w:r w:rsidRPr="009E064B">
        <w:t>Nieprawidłowości, uwagi, działania naprawcze i środki egzekucyjne</w:t>
      </w:r>
      <w:bookmarkEnd w:id="221"/>
      <w:bookmarkEnd w:id="222"/>
    </w:p>
    <w:p w14:paraId="2B45DA8F" w14:textId="703F103E"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1DE6915"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KATEGORIE NIEPRAWIDŁOWOŚCI — UDOKUMENTOWANE DOWODY</w:t>
      </w:r>
    </w:p>
    <w:p w14:paraId="3C7208E5"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Przykłady dokumentacji dowodowej obejmują, ale nie ograniczają się do:</w:t>
      </w:r>
    </w:p>
    <w:p w14:paraId="7DCC10DB"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instrukcji operacyjnej lotniska lub instrukcji obsługi wyposażenia;</w:t>
      </w:r>
    </w:p>
    <w:p w14:paraId="18AF8F55"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umów lub innych rodzajów uzgodnień;</w:t>
      </w:r>
    </w:p>
    <w:p w14:paraId="221A6767"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dokumentacji szkolenia, kwalifikacji lub dokumentacji medycznej;</w:t>
      </w:r>
    </w:p>
    <w:p w14:paraId="69FDA4BF"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raportów z inspekcji;</w:t>
      </w:r>
    </w:p>
    <w:p w14:paraId="42A6146B"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wyników badań lub ćwiczeń;</w:t>
      </w:r>
    </w:p>
    <w:p w14:paraId="786A2F53"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wyników audytu wewnętrznego;</w:t>
      </w:r>
    </w:p>
    <w:p w14:paraId="1CA676EB"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dokumentacji utrzymania i obsługi technicznej; oraz</w:t>
      </w:r>
    </w:p>
    <w:p w14:paraId="392CE146"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innych podobnych materiałów, które muszą być utrzymywane przez operatora lotniska lub przez instytucję zapewniającą służbę zarządzania płytą postojową.</w:t>
      </w:r>
    </w:p>
    <w:p w14:paraId="09CB1459" w14:textId="77777777" w:rsidR="00B506DE" w:rsidRPr="009E064B" w:rsidRDefault="00B506DE" w:rsidP="00B06A9A">
      <w:pPr>
        <w:pStyle w:val="Tekstpodstawowy"/>
        <w:tabs>
          <w:tab w:val="left" w:pos="1349"/>
        </w:tabs>
        <w:ind w:left="0" w:right="-2" w:hanging="20"/>
        <w:rPr>
          <w:rFonts w:asciiTheme="minorHAnsi" w:hAnsiTheme="minorHAnsi" w:cstheme="minorHAnsi"/>
          <w:sz w:val="20"/>
          <w:szCs w:val="20"/>
        </w:rPr>
      </w:pPr>
    </w:p>
    <w:p w14:paraId="4ED84C9C" w14:textId="77777777" w:rsidR="00DB0DD7" w:rsidRPr="009E064B" w:rsidRDefault="00DB0DD7" w:rsidP="00B06A9A">
      <w:pPr>
        <w:pStyle w:val="Tekstpodstawowy"/>
        <w:tabs>
          <w:tab w:val="left" w:pos="1349"/>
        </w:tabs>
        <w:ind w:left="0" w:right="-2" w:hanging="20"/>
        <w:rPr>
          <w:rFonts w:asciiTheme="minorHAnsi" w:hAnsiTheme="minorHAnsi" w:cstheme="minorHAnsi"/>
          <w:sz w:val="20"/>
          <w:szCs w:val="20"/>
        </w:rPr>
        <w:sectPr w:rsidR="00DB0DD7" w:rsidRPr="009E064B" w:rsidSect="00674099">
          <w:headerReference w:type="default" r:id="rId53"/>
          <w:headerReference w:type="first" r:id="rId54"/>
          <w:pgSz w:w="11906" w:h="16840" w:code="9"/>
          <w:pgMar w:top="1701" w:right="1418" w:bottom="1418" w:left="1418" w:header="567" w:footer="454" w:gutter="0"/>
          <w:cols w:space="708"/>
          <w:titlePg/>
        </w:sectPr>
      </w:pPr>
    </w:p>
    <w:p w14:paraId="2325D927" w14:textId="77777777" w:rsidR="00DB0DD7" w:rsidRPr="009E064B" w:rsidRDefault="00DB0DD7" w:rsidP="00B06A9A">
      <w:pPr>
        <w:pStyle w:val="Tekstpodstawowy"/>
        <w:tabs>
          <w:tab w:val="left" w:pos="1349"/>
        </w:tabs>
        <w:ind w:left="0" w:right="-2" w:hanging="20"/>
        <w:rPr>
          <w:rFonts w:asciiTheme="minorHAnsi" w:hAnsiTheme="minorHAnsi" w:cstheme="minorHAnsi"/>
          <w:sz w:val="20"/>
          <w:szCs w:val="20"/>
        </w:rPr>
      </w:pPr>
    </w:p>
    <w:p w14:paraId="7E087565" w14:textId="2B954265" w:rsidR="00500CF2" w:rsidRPr="009E064B" w:rsidRDefault="008C1A13" w:rsidP="00561819">
      <w:pPr>
        <w:pStyle w:val="Nagwek1"/>
      </w:pPr>
      <w:bookmarkStart w:id="223" w:name="_ZAŁĄCZNIK_III_—"/>
      <w:bookmarkStart w:id="224" w:name="_Toc12532633"/>
      <w:bookmarkEnd w:id="223"/>
      <w:r w:rsidRPr="009E064B">
        <w:t>ZAŁĄCZNIK III — CZĘŚĆ ADR.OR</w:t>
      </w:r>
      <w:bookmarkEnd w:id="224"/>
    </w:p>
    <w:p w14:paraId="258CA7CB" w14:textId="77777777" w:rsidR="00DC7DA6" w:rsidRPr="009E064B" w:rsidRDefault="008C1A13" w:rsidP="000E45A5">
      <w:pPr>
        <w:spacing w:before="240" w:after="0"/>
        <w:jc w:val="center"/>
        <w:rPr>
          <w:rFonts w:ascii="Verdana" w:hAnsi="Verdana" w:cstheme="minorHAnsi"/>
          <w:b/>
          <w:color w:val="003399"/>
          <w:sz w:val="40"/>
          <w:szCs w:val="40"/>
        </w:rPr>
      </w:pPr>
      <w:r w:rsidRPr="009E064B">
        <w:rPr>
          <w:rFonts w:ascii="Verdana" w:hAnsi="Verdana" w:cstheme="minorHAnsi"/>
          <w:b/>
          <w:color w:val="003399"/>
          <w:sz w:val="40"/>
          <w:szCs w:val="40"/>
        </w:rPr>
        <w:t>WYMAGANIA DLA ORGANIZACJI — OPERATORZY LOTNISK</w:t>
      </w:r>
    </w:p>
    <w:p w14:paraId="200DD337" w14:textId="77777777" w:rsidR="00DC7DA6" w:rsidRPr="009E064B" w:rsidRDefault="00DC7DA6" w:rsidP="00B06A9A">
      <w:pPr>
        <w:ind w:right="-2"/>
        <w:rPr>
          <w:rFonts w:asciiTheme="minorHAnsi" w:hAnsiTheme="minorHAnsi" w:cstheme="minorHAnsi"/>
          <w:szCs w:val="20"/>
        </w:rPr>
      </w:pPr>
    </w:p>
    <w:p w14:paraId="4D6CAEDC" w14:textId="08B8F583" w:rsidR="004D2EFC" w:rsidRPr="009E064B" w:rsidRDefault="004D2EFC" w:rsidP="00B06A9A">
      <w:pPr>
        <w:ind w:right="-2"/>
        <w:rPr>
          <w:rFonts w:asciiTheme="minorHAnsi" w:hAnsiTheme="minorHAnsi" w:cstheme="minorHAnsi"/>
          <w:szCs w:val="20"/>
        </w:rPr>
      </w:pPr>
    </w:p>
    <w:p w14:paraId="5D7D0B81" w14:textId="35EB9392" w:rsidR="004D2EFC" w:rsidRPr="009E064B" w:rsidRDefault="004D2EFC" w:rsidP="00020EA3">
      <w:pPr>
        <w:pStyle w:val="Nagwek2"/>
      </w:pPr>
      <w:bookmarkStart w:id="225" w:name="_Toc12532634"/>
      <w:r w:rsidRPr="009E064B">
        <w:t>PODCZĘŚĆ A — WYMAGANIA OGÓLNE (ADR.OR.A)</w:t>
      </w:r>
      <w:bookmarkEnd w:id="225"/>
    </w:p>
    <w:p w14:paraId="212F4F0C" w14:textId="77777777" w:rsidR="00DC7DA6" w:rsidRPr="009E064B" w:rsidRDefault="00DC7DA6" w:rsidP="00421474">
      <w:pPr>
        <w:spacing w:after="0"/>
        <w:rPr>
          <w:rFonts w:asciiTheme="minorHAnsi" w:hAnsiTheme="minorHAnsi" w:cstheme="minorHAnsi"/>
          <w:szCs w:val="20"/>
        </w:rPr>
      </w:pPr>
    </w:p>
    <w:p w14:paraId="2EF84A84" w14:textId="7F2B1F35" w:rsidR="00DC7DA6" w:rsidRPr="009E064B" w:rsidRDefault="00DE05DC" w:rsidP="00B06A9A">
      <w:pPr>
        <w:pStyle w:val="Nagwek3"/>
      </w:pPr>
      <w:bookmarkStart w:id="226" w:name="_Toc12532635"/>
      <w:r w:rsidRPr="009E064B">
        <w:t xml:space="preserve">ADR.OR.A.005  </w:t>
      </w:r>
      <w:r w:rsidR="00D01EBC" w:rsidRPr="009E064B">
        <w:t xml:space="preserve">   </w:t>
      </w:r>
      <w:r w:rsidRPr="009E064B">
        <w:t>Zakres</w:t>
      </w:r>
      <w:bookmarkEnd w:id="226"/>
    </w:p>
    <w:p w14:paraId="064F648D" w14:textId="62931D7B" w:rsidR="004D2EFC"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ED12A59" w14:textId="77777777" w:rsidR="00DC7DA6" w:rsidRPr="009E064B" w:rsidRDefault="00DE05DC" w:rsidP="00B06A9A">
      <w:pPr>
        <w:pStyle w:val="Tekstpodstawowy"/>
        <w:ind w:left="0" w:right="-2" w:firstLine="0"/>
        <w:rPr>
          <w:rFonts w:asciiTheme="minorHAnsi" w:hAnsiTheme="minorHAnsi" w:cstheme="minorHAnsi"/>
          <w:sz w:val="22"/>
          <w:szCs w:val="22"/>
        </w:rPr>
      </w:pPr>
      <w:r w:rsidRPr="009E064B">
        <w:rPr>
          <w:rFonts w:asciiTheme="minorHAnsi" w:hAnsiTheme="minorHAnsi" w:cstheme="minorHAnsi"/>
          <w:sz w:val="22"/>
          <w:szCs w:val="22"/>
        </w:rPr>
        <w:t>Niniejszy załącznik ustanawia wymagania obowiązujące:</w:t>
      </w:r>
    </w:p>
    <w:p w14:paraId="295269DB" w14:textId="6A42AF7B"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CA0684" w:rsidRPr="009E064B">
        <w:rPr>
          <w:rFonts w:asciiTheme="minorHAnsi" w:hAnsiTheme="minorHAnsi" w:cstheme="minorHAnsi"/>
          <w:sz w:val="22"/>
          <w:szCs w:val="22"/>
        </w:rPr>
        <w:t>a)</w:t>
      </w:r>
      <w:r w:rsidR="00CA0684"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operatorów lotnisk podlegających przepisom rozporządzenia (WE) nr 216/2008 w zakresie ich certyfikacji, zarządzania, instrukcji i innych obowiązków; oraz</w:t>
      </w:r>
    </w:p>
    <w:p w14:paraId="59B3C203" w14:textId="1B52E45E"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CA0684" w:rsidRPr="009E064B">
        <w:rPr>
          <w:rFonts w:asciiTheme="minorHAnsi" w:hAnsiTheme="minorHAnsi" w:cstheme="minorHAnsi"/>
          <w:sz w:val="22"/>
          <w:szCs w:val="22"/>
        </w:rPr>
        <w:t>b)</w:t>
      </w:r>
      <w:r w:rsidR="00CA0684" w:rsidRPr="009E064B">
        <w:rPr>
          <w:rFonts w:asciiTheme="minorHAnsi" w:hAnsiTheme="minorHAnsi" w:cstheme="minorHAnsi"/>
          <w:sz w:val="22"/>
          <w:szCs w:val="22"/>
        </w:rPr>
        <w:tab/>
      </w:r>
      <w:r w:rsidR="00DE05DC" w:rsidRPr="009E064B">
        <w:rPr>
          <w:rFonts w:asciiTheme="minorHAnsi" w:hAnsiTheme="minorHAnsi" w:cstheme="minorHAnsi"/>
          <w:sz w:val="22"/>
          <w:szCs w:val="22"/>
        </w:rPr>
        <w:t>instytucje zapewniające służbę zarządzania płytą postojową.</w:t>
      </w:r>
    </w:p>
    <w:p w14:paraId="6026C38E" w14:textId="148D9ABA" w:rsidR="00DC7DA6" w:rsidRPr="009E064B" w:rsidRDefault="00DE05DC" w:rsidP="00B06A9A">
      <w:pPr>
        <w:pStyle w:val="Nagwek3"/>
      </w:pPr>
      <w:bookmarkStart w:id="227" w:name="_Toc12532636"/>
      <w:r w:rsidRPr="009E064B">
        <w:t xml:space="preserve">ADR.OR.A.010 </w:t>
      </w:r>
      <w:r w:rsidR="00D01EBC" w:rsidRPr="009E064B">
        <w:t xml:space="preserve">    </w:t>
      </w:r>
      <w:r w:rsidRPr="009E064B">
        <w:t>Właściwy organ</w:t>
      </w:r>
      <w:bookmarkEnd w:id="227"/>
    </w:p>
    <w:p w14:paraId="4A290FF4" w14:textId="263A898A"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455D6AA" w14:textId="77777777" w:rsidR="00DC7DA6" w:rsidRPr="009E064B" w:rsidRDefault="00DE05DC" w:rsidP="00B06A9A">
      <w:pPr>
        <w:pStyle w:val="Tekstpodstawowy"/>
        <w:ind w:left="0" w:right="-2" w:firstLine="2"/>
        <w:rPr>
          <w:rFonts w:asciiTheme="minorHAnsi" w:hAnsiTheme="minorHAnsi" w:cstheme="minorHAnsi"/>
          <w:sz w:val="22"/>
          <w:szCs w:val="22"/>
        </w:rPr>
      </w:pPr>
      <w:r w:rsidRPr="009E064B">
        <w:rPr>
          <w:rFonts w:asciiTheme="minorHAnsi" w:hAnsiTheme="minorHAnsi" w:cstheme="minorHAnsi"/>
          <w:sz w:val="22"/>
          <w:szCs w:val="22"/>
        </w:rPr>
        <w:t>Na potrzeby niniejszej części właściwym organem jest instytucja wyznaczona przez państwo członkowskie, na terytorium którego</w:t>
      </w:r>
      <w:r w:rsidR="007F509D" w:rsidRPr="009E064B">
        <w:rPr>
          <w:rFonts w:asciiTheme="minorHAnsi" w:hAnsiTheme="minorHAnsi" w:cstheme="minorHAnsi"/>
          <w:sz w:val="22"/>
          <w:szCs w:val="22"/>
        </w:rPr>
        <w:t xml:space="preserve"> położone jest dane </w:t>
      </w:r>
      <w:r w:rsidRPr="009E064B">
        <w:rPr>
          <w:rFonts w:asciiTheme="minorHAnsi" w:hAnsiTheme="minorHAnsi" w:cstheme="minorHAnsi"/>
          <w:sz w:val="22"/>
          <w:szCs w:val="22"/>
        </w:rPr>
        <w:t>lotnisko.</w:t>
      </w:r>
    </w:p>
    <w:p w14:paraId="0C18F521" w14:textId="5571A650" w:rsidR="00DC7DA6" w:rsidRPr="009E064B" w:rsidRDefault="00DE05DC" w:rsidP="00B06A9A">
      <w:pPr>
        <w:pStyle w:val="Nagwek3"/>
      </w:pPr>
      <w:bookmarkStart w:id="228" w:name="_ADR.OR.A.015__"/>
      <w:bookmarkStart w:id="229" w:name="_Toc12532637"/>
      <w:bookmarkEnd w:id="228"/>
      <w:r w:rsidRPr="009E064B">
        <w:t xml:space="preserve">ADR.OR.A.015 </w:t>
      </w:r>
      <w:r w:rsidR="00D01EBC" w:rsidRPr="009E064B">
        <w:t xml:space="preserve">    </w:t>
      </w:r>
      <w:r w:rsidRPr="009E064B">
        <w:t>Sposoby spełnienia wymagań</w:t>
      </w:r>
      <w:bookmarkEnd w:id="229"/>
    </w:p>
    <w:p w14:paraId="34809D66" w14:textId="6F739D50" w:rsidR="00842D0E" w:rsidRPr="009E064B" w:rsidRDefault="00A80E78" w:rsidP="00B06A9A">
      <w:pPr>
        <w:pStyle w:val="Tekstpodstawowy"/>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523248D" w14:textId="560FA617"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CA0684" w:rsidRPr="009E064B">
        <w:rPr>
          <w:rFonts w:asciiTheme="minorHAnsi" w:hAnsiTheme="minorHAnsi" w:cstheme="minorHAnsi"/>
          <w:sz w:val="22"/>
          <w:szCs w:val="22"/>
        </w:rPr>
        <w:t>a)</w:t>
      </w:r>
      <w:r w:rsidR="001A6D9A" w:rsidRPr="009E064B">
        <w:rPr>
          <w:rFonts w:asciiTheme="minorHAnsi" w:hAnsiTheme="minorHAnsi" w:cstheme="minorHAnsi"/>
          <w:sz w:val="22"/>
          <w:szCs w:val="22"/>
        </w:rPr>
        <w:tab/>
      </w:r>
      <w:r w:rsidR="00DE05DC" w:rsidRPr="009E064B">
        <w:rPr>
          <w:rFonts w:asciiTheme="minorHAnsi" w:hAnsiTheme="minorHAnsi" w:cstheme="minorHAnsi"/>
          <w:sz w:val="22"/>
          <w:szCs w:val="22"/>
        </w:rPr>
        <w:t>W celu zapewnienia zgodności z rozporządzeniem (WE) nr 216/2008 i jego przepisami wykonawczymi operator lotniska lub instytucja zapewniająca służbę zarządzania płytą postojową może wykorzystywać sposoby spełnienia wymagań alternatywne do przyjętych przez Agencję.</w:t>
      </w:r>
    </w:p>
    <w:p w14:paraId="703E0E89" w14:textId="3163A62F"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CA0684" w:rsidRPr="009E064B">
        <w:rPr>
          <w:rFonts w:asciiTheme="minorHAnsi" w:hAnsiTheme="minorHAnsi" w:cstheme="minorHAnsi"/>
          <w:sz w:val="22"/>
          <w:szCs w:val="22"/>
        </w:rPr>
        <w:t>b)</w:t>
      </w:r>
      <w:r w:rsidR="001A6D9A"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W przypadku gdy operator lotniska lub instytucja zapewniająca służbę zarządzania płytą postojową pragnie osiągnąć zgodność z rozporządzeniem (WE) nr 216/2008 i jego przepisami wykonawczymi za pomocą sposobów </w:t>
      </w:r>
      <w:r w:rsidR="001A6D9A" w:rsidRPr="009E064B">
        <w:rPr>
          <w:rFonts w:asciiTheme="minorHAnsi" w:hAnsiTheme="minorHAnsi" w:cstheme="minorHAnsi"/>
          <w:sz w:val="22"/>
          <w:szCs w:val="22"/>
        </w:rPr>
        <w:t>alternatyw</w:t>
      </w:r>
      <w:r w:rsidR="00DE05DC" w:rsidRPr="009E064B">
        <w:rPr>
          <w:rFonts w:asciiTheme="minorHAnsi" w:hAnsiTheme="minorHAnsi" w:cstheme="minorHAnsi"/>
          <w:sz w:val="22"/>
          <w:szCs w:val="22"/>
        </w:rPr>
        <w:t xml:space="preserve">nych do akceptowalnych sposobów spełnienia wymagań (AMC) przyjętych przez Agencję, przedstawia właściwemu organowi pełny opis </w:t>
      </w:r>
      <w:r w:rsidR="001A6D9A" w:rsidRPr="009E064B">
        <w:rPr>
          <w:rFonts w:asciiTheme="minorHAnsi" w:hAnsiTheme="minorHAnsi" w:cstheme="minorHAnsi"/>
          <w:sz w:val="22"/>
          <w:szCs w:val="22"/>
        </w:rPr>
        <w:t xml:space="preserve">tych alternatywnych </w:t>
      </w:r>
      <w:r w:rsidR="00DE05DC" w:rsidRPr="009E064B">
        <w:rPr>
          <w:rFonts w:asciiTheme="minorHAnsi" w:hAnsiTheme="minorHAnsi" w:cstheme="minorHAnsi"/>
          <w:sz w:val="22"/>
          <w:szCs w:val="22"/>
        </w:rPr>
        <w:t>spos</w:t>
      </w:r>
      <w:r w:rsidR="00807884" w:rsidRPr="009E064B">
        <w:rPr>
          <w:rFonts w:asciiTheme="minorHAnsi" w:hAnsiTheme="minorHAnsi" w:cstheme="minorHAnsi"/>
          <w:sz w:val="22"/>
          <w:szCs w:val="22"/>
        </w:rPr>
        <w:t xml:space="preserve">obów spełnienia wymagań przed </w:t>
      </w:r>
      <w:r w:rsidR="007F509D" w:rsidRPr="009E064B">
        <w:rPr>
          <w:rFonts w:asciiTheme="minorHAnsi" w:hAnsiTheme="minorHAnsi" w:cstheme="minorHAnsi"/>
          <w:sz w:val="22"/>
          <w:szCs w:val="22"/>
        </w:rPr>
        <w:t xml:space="preserve">ich </w:t>
      </w:r>
      <w:r w:rsidR="003303E9" w:rsidRPr="009E064B">
        <w:rPr>
          <w:rFonts w:asciiTheme="minorHAnsi" w:hAnsiTheme="minorHAnsi" w:cstheme="minorHAnsi"/>
          <w:sz w:val="22"/>
          <w:szCs w:val="22"/>
        </w:rPr>
        <w:t xml:space="preserve">wdrożeniem. </w:t>
      </w:r>
      <w:r w:rsidR="00DE05DC" w:rsidRPr="009E064B">
        <w:rPr>
          <w:rFonts w:asciiTheme="minorHAnsi" w:hAnsiTheme="minorHAnsi" w:cstheme="minorHAnsi"/>
          <w:sz w:val="22"/>
          <w:szCs w:val="22"/>
        </w:rPr>
        <w:t>Opi</w:t>
      </w:r>
      <w:r w:rsidR="007F509D" w:rsidRPr="009E064B">
        <w:rPr>
          <w:rFonts w:asciiTheme="minorHAnsi" w:hAnsiTheme="minorHAnsi" w:cstheme="minorHAnsi"/>
          <w:sz w:val="22"/>
          <w:szCs w:val="22"/>
        </w:rPr>
        <w:t xml:space="preserve">s ten </w:t>
      </w:r>
      <w:r w:rsidR="00DE05DC" w:rsidRPr="009E064B">
        <w:rPr>
          <w:rFonts w:asciiTheme="minorHAnsi" w:hAnsiTheme="minorHAnsi" w:cstheme="minorHAnsi"/>
          <w:sz w:val="22"/>
          <w:szCs w:val="22"/>
        </w:rPr>
        <w:t>zawiera wszelkie aktualizacje instrukcji lub procedur, które mogą mieć znaczenie, a także oc</w:t>
      </w:r>
      <w:r w:rsidR="003303E9" w:rsidRPr="009E064B">
        <w:rPr>
          <w:rFonts w:asciiTheme="minorHAnsi" w:hAnsiTheme="minorHAnsi" w:cstheme="minorHAnsi"/>
          <w:sz w:val="22"/>
          <w:szCs w:val="22"/>
        </w:rPr>
        <w:t>enę wykazującą zgodność z prze</w:t>
      </w:r>
      <w:r w:rsidR="00DE05DC" w:rsidRPr="009E064B">
        <w:rPr>
          <w:rFonts w:asciiTheme="minorHAnsi" w:hAnsiTheme="minorHAnsi" w:cstheme="minorHAnsi"/>
          <w:sz w:val="22"/>
          <w:szCs w:val="22"/>
        </w:rPr>
        <w:t>pisami wykonawczymi.</w:t>
      </w:r>
    </w:p>
    <w:p w14:paraId="17C08B64" w14:textId="42BE0D60" w:rsidR="00DC7DA6" w:rsidRPr="009E064B" w:rsidRDefault="00DE05DC" w:rsidP="00B06A9A">
      <w:pPr>
        <w:tabs>
          <w:tab w:val="left" w:pos="567"/>
        </w:tabs>
        <w:ind w:left="567" w:right="-2"/>
        <w:rPr>
          <w:rFonts w:asciiTheme="minorHAnsi" w:eastAsia="Times New Roman" w:hAnsiTheme="minorHAnsi" w:cstheme="minorHAnsi"/>
        </w:rPr>
      </w:pPr>
      <w:r w:rsidRPr="009E064B">
        <w:rPr>
          <w:rFonts w:asciiTheme="minorHAnsi" w:eastAsia="Times New Roman" w:hAnsiTheme="minorHAnsi" w:cstheme="minorHAnsi"/>
        </w:rPr>
        <w:t xml:space="preserve">Operator lotniska lub instytucja zapewniająca służbę zarządzania płytą postojową może stosować alternatywne sposoby spełnienia wymagań po ich uprzednim zatwierdzeniu przez właściwy organ i po otrzymaniu powiadomienia zgodnie z </w:t>
      </w:r>
      <w:hyperlink w:anchor="_ADR.AR.A.015__" w:history="1">
        <w:r w:rsidRPr="009E064B">
          <w:rPr>
            <w:rStyle w:val="Hipercze"/>
            <w:rFonts w:asciiTheme="minorHAnsi" w:eastAsia="Times New Roman" w:hAnsiTheme="minorHAnsi" w:cstheme="minorHAnsi"/>
          </w:rPr>
          <w:t>ADR.AR.A.015</w:t>
        </w:r>
      </w:hyperlink>
      <w:r w:rsidRPr="009E064B">
        <w:rPr>
          <w:rFonts w:asciiTheme="minorHAnsi" w:eastAsia="Times New Roman" w:hAnsiTheme="minorHAnsi" w:cstheme="minorHAnsi"/>
        </w:rPr>
        <w:t xml:space="preserve"> lit. </w:t>
      </w:r>
      <w:r w:rsidR="008C654E" w:rsidRPr="009E064B">
        <w:rPr>
          <w:rFonts w:asciiTheme="minorHAnsi" w:eastAsia="Times New Roman" w:hAnsiTheme="minorHAnsi" w:cstheme="minorHAnsi"/>
        </w:rPr>
        <w:t>(</w:t>
      </w:r>
      <w:r w:rsidRPr="009E064B">
        <w:rPr>
          <w:rFonts w:asciiTheme="minorHAnsi" w:eastAsia="Times New Roman" w:hAnsiTheme="minorHAnsi" w:cstheme="minorHAnsi"/>
        </w:rPr>
        <w:t>d</w:t>
      </w:r>
      <w:r w:rsidR="008C654E" w:rsidRPr="009E064B">
        <w:rPr>
          <w:rFonts w:asciiTheme="minorHAnsi" w:eastAsia="Times New Roman" w:hAnsiTheme="minorHAnsi" w:cstheme="minorHAnsi"/>
        </w:rPr>
        <w:t>)</w:t>
      </w:r>
      <w:r w:rsidRPr="009E064B">
        <w:rPr>
          <w:rFonts w:asciiTheme="minorHAnsi" w:eastAsia="Times New Roman" w:hAnsiTheme="minorHAnsi" w:cstheme="minorHAnsi"/>
        </w:rPr>
        <w:t>.</w:t>
      </w:r>
    </w:p>
    <w:p w14:paraId="50B04B47" w14:textId="4BC66AB9"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CA0684" w:rsidRPr="009E064B">
        <w:rPr>
          <w:rFonts w:asciiTheme="minorHAnsi" w:hAnsiTheme="minorHAnsi" w:cstheme="minorHAnsi"/>
          <w:sz w:val="22"/>
          <w:szCs w:val="22"/>
        </w:rPr>
        <w:t>c)</w:t>
      </w:r>
      <w:r w:rsidR="001A6D9A" w:rsidRPr="009E064B">
        <w:rPr>
          <w:rFonts w:asciiTheme="minorHAnsi" w:hAnsiTheme="minorHAnsi" w:cstheme="minorHAnsi"/>
          <w:sz w:val="22"/>
          <w:szCs w:val="22"/>
        </w:rPr>
        <w:tab/>
      </w:r>
      <w:r w:rsidR="00DE05DC" w:rsidRPr="009E064B">
        <w:rPr>
          <w:rFonts w:asciiTheme="minorHAnsi" w:hAnsiTheme="minorHAnsi" w:cstheme="minorHAnsi"/>
          <w:sz w:val="22"/>
          <w:szCs w:val="22"/>
        </w:rPr>
        <w:t>W</w:t>
      </w:r>
      <w:r w:rsidR="001A6D9A" w:rsidRPr="009E064B">
        <w:rPr>
          <w:rFonts w:asciiTheme="minorHAnsi" w:hAnsiTheme="minorHAnsi" w:cstheme="minorHAnsi"/>
          <w:sz w:val="22"/>
          <w:szCs w:val="22"/>
        </w:rPr>
        <w:t xml:space="preserve"> </w:t>
      </w:r>
      <w:r w:rsidR="00DE05DC" w:rsidRPr="009E064B">
        <w:rPr>
          <w:rFonts w:asciiTheme="minorHAnsi" w:hAnsiTheme="minorHAnsi" w:cstheme="minorHAnsi"/>
          <w:sz w:val="22"/>
          <w:szCs w:val="22"/>
        </w:rPr>
        <w:t>przypadku</w:t>
      </w:r>
      <w:r w:rsidR="001A6D9A" w:rsidRPr="009E064B">
        <w:rPr>
          <w:rFonts w:asciiTheme="minorHAnsi" w:hAnsiTheme="minorHAnsi" w:cstheme="minorHAnsi"/>
          <w:sz w:val="22"/>
          <w:szCs w:val="22"/>
        </w:rPr>
        <w:t xml:space="preserve"> </w:t>
      </w:r>
      <w:r w:rsidR="009678CC" w:rsidRPr="009E064B">
        <w:rPr>
          <w:rFonts w:asciiTheme="minorHAnsi" w:hAnsiTheme="minorHAnsi" w:cstheme="minorHAnsi"/>
          <w:sz w:val="22"/>
          <w:szCs w:val="22"/>
        </w:rPr>
        <w:t>gdy operator lotniska sam nie zapewnia służby</w:t>
      </w:r>
      <w:r w:rsidR="00DE05DC" w:rsidRPr="009E064B">
        <w:rPr>
          <w:rFonts w:asciiTheme="minorHAnsi" w:hAnsiTheme="minorHAnsi" w:cstheme="minorHAnsi"/>
          <w:sz w:val="22"/>
          <w:szCs w:val="22"/>
        </w:rPr>
        <w:t xml:space="preserve"> zarządzania płytą postojową, wykorzystywanie </w:t>
      </w:r>
      <w:r w:rsidR="001A6D9A" w:rsidRPr="009E064B">
        <w:rPr>
          <w:rFonts w:asciiTheme="minorHAnsi" w:hAnsiTheme="minorHAnsi" w:cstheme="minorHAnsi"/>
          <w:sz w:val="22"/>
          <w:szCs w:val="22"/>
        </w:rPr>
        <w:t>alter</w:t>
      </w:r>
      <w:r w:rsidR="00DE05DC" w:rsidRPr="009E064B">
        <w:rPr>
          <w:rFonts w:asciiTheme="minorHAnsi" w:hAnsiTheme="minorHAnsi" w:cstheme="minorHAnsi"/>
          <w:sz w:val="22"/>
          <w:szCs w:val="22"/>
        </w:rPr>
        <w:t>natywnych sposobów spełnienia wymagań przez instytucje zapewniające</w:t>
      </w:r>
      <w:r w:rsidR="008C654E" w:rsidRPr="009E064B">
        <w:rPr>
          <w:rFonts w:asciiTheme="minorHAnsi" w:hAnsiTheme="minorHAnsi" w:cstheme="minorHAnsi"/>
          <w:sz w:val="22"/>
          <w:szCs w:val="22"/>
        </w:rPr>
        <w:t xml:space="preserve"> takie służby zgodnie z lit. (a) i lit. (</w:t>
      </w:r>
      <w:r w:rsidR="00DE05DC" w:rsidRPr="009E064B">
        <w:rPr>
          <w:rFonts w:asciiTheme="minorHAnsi" w:hAnsiTheme="minorHAnsi" w:cstheme="minorHAnsi"/>
          <w:sz w:val="22"/>
          <w:szCs w:val="22"/>
        </w:rPr>
        <w:t>b) również wymaga uprzedniej zgody operatora lotniska, na którym taka służba jest zapewniana.</w:t>
      </w:r>
    </w:p>
    <w:p w14:paraId="1644B55E" w14:textId="0F717B6E" w:rsidR="00490EF1" w:rsidRPr="009E064B" w:rsidRDefault="00490EF1" w:rsidP="00133B99">
      <w:pPr>
        <w:pStyle w:val="Nagwek5"/>
      </w:pPr>
      <w:bookmarkStart w:id="230" w:name="_Toc492024568"/>
      <w:bookmarkStart w:id="231" w:name="_Toc12532638"/>
      <w:r w:rsidRPr="009E064B">
        <w:t xml:space="preserve">AMC1 ADR.OR.A.015    </w:t>
      </w:r>
      <w:r w:rsidR="004D6FC2" w:rsidRPr="009E064B">
        <w:t xml:space="preserve"> </w:t>
      </w:r>
      <w:r w:rsidRPr="009E064B">
        <w:t>Sposoby spełnienia wymagań</w:t>
      </w:r>
      <w:bookmarkEnd w:id="230"/>
      <w:bookmarkEnd w:id="231"/>
    </w:p>
    <w:p w14:paraId="64EE9111" w14:textId="709AD7B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F4022AD"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WYKAZANIE ZGODNOŚCI</w:t>
      </w:r>
    </w:p>
    <w:p w14:paraId="4A7F1718" w14:textId="2BFE83D8"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 celu wykazania, że przepisy wykonawcze są spełnione, powinna być zakończona i udokumentowana ocena bezpieczeństwa (ryzyka). Wynik oceny bezpieczeństwa (ryzyka) powinien wykazać, że został osiągnięty równorzędny poziom bezpieczeństwa w st</w:t>
      </w:r>
      <w:r w:rsidR="003303E9" w:rsidRPr="009E064B">
        <w:rPr>
          <w:rFonts w:asciiTheme="minorHAnsi" w:eastAsia="Calibri" w:hAnsiTheme="minorHAnsi" w:cstheme="minorHAnsi"/>
        </w:rPr>
        <w:t>osunku do poziomu określonego w </w:t>
      </w:r>
      <w:r w:rsidRPr="009E064B">
        <w:rPr>
          <w:rFonts w:asciiTheme="minorHAnsi" w:eastAsia="Calibri" w:hAnsiTheme="minorHAnsi" w:cstheme="minorHAnsi"/>
        </w:rPr>
        <w:t>akceptowalnych sposobach spełnienia wymagań (AMC) przyjętych przez Agencję.</w:t>
      </w:r>
    </w:p>
    <w:p w14:paraId="5E14B2D5" w14:textId="77777777" w:rsidR="003303E9" w:rsidRPr="009E064B" w:rsidRDefault="003303E9" w:rsidP="00B06A9A">
      <w:pPr>
        <w:widowControl/>
        <w:rPr>
          <w:rFonts w:asciiTheme="minorHAnsi" w:eastAsia="Calibri" w:hAnsiTheme="minorHAnsi" w:cstheme="minorHAnsi"/>
        </w:rPr>
      </w:pPr>
    </w:p>
    <w:p w14:paraId="4717A0C8" w14:textId="77777777" w:rsidR="00C05A61" w:rsidRPr="009E064B" w:rsidRDefault="00C05A61" w:rsidP="00B06A9A">
      <w:pPr>
        <w:ind w:right="-2"/>
        <w:rPr>
          <w:rFonts w:asciiTheme="minorHAnsi" w:hAnsiTheme="minorHAnsi" w:cstheme="minorHAnsi"/>
        </w:rPr>
        <w:sectPr w:rsidR="00C05A61" w:rsidRPr="009E064B" w:rsidSect="00AE1280">
          <w:headerReference w:type="default" r:id="rId55"/>
          <w:headerReference w:type="first" r:id="rId56"/>
          <w:pgSz w:w="11906" w:h="16840" w:code="9"/>
          <w:pgMar w:top="1701" w:right="1418" w:bottom="1418" w:left="1418" w:header="567" w:footer="454" w:gutter="0"/>
          <w:cols w:space="708"/>
          <w:titlePg/>
        </w:sectPr>
      </w:pPr>
    </w:p>
    <w:p w14:paraId="658D03EA" w14:textId="77D27184" w:rsidR="00DC7DA6" w:rsidRPr="009E064B" w:rsidRDefault="00602D96" w:rsidP="00020EA3">
      <w:pPr>
        <w:pStyle w:val="Nagwek2"/>
      </w:pPr>
      <w:bookmarkStart w:id="232" w:name="_Toc12532639"/>
      <w:r w:rsidRPr="009E064B">
        <w:t>PODCZĘŚĆ B — CERTYFIKACJA</w:t>
      </w:r>
      <w:r w:rsidR="00DE05DC" w:rsidRPr="009E064B">
        <w:t xml:space="preserve"> (ADR.OR.B)</w:t>
      </w:r>
      <w:bookmarkEnd w:id="232"/>
    </w:p>
    <w:p w14:paraId="6DDC25A9" w14:textId="77777777" w:rsidR="00DC7DA6" w:rsidRPr="009E064B" w:rsidRDefault="00DC7DA6" w:rsidP="00C05A61">
      <w:pPr>
        <w:spacing w:after="0"/>
        <w:rPr>
          <w:rFonts w:asciiTheme="minorHAnsi" w:hAnsiTheme="minorHAnsi" w:cstheme="minorHAnsi"/>
          <w:szCs w:val="20"/>
        </w:rPr>
      </w:pPr>
    </w:p>
    <w:p w14:paraId="319DB5B0" w14:textId="6ED1D251" w:rsidR="00DC7DA6" w:rsidRPr="009E064B" w:rsidRDefault="00DE05DC" w:rsidP="00B06A9A">
      <w:pPr>
        <w:pStyle w:val="Nagwek3"/>
      </w:pPr>
      <w:bookmarkStart w:id="233" w:name="_Toc12532640"/>
      <w:r w:rsidRPr="009E064B">
        <w:t xml:space="preserve">ADR.OR.B.005 </w:t>
      </w:r>
      <w:r w:rsidR="004D6FC2" w:rsidRPr="009E064B">
        <w:t xml:space="preserve">    </w:t>
      </w:r>
      <w:r w:rsidRPr="009E064B">
        <w:t>Obowiązki lotnisk i operatorów lotnisk w zakresie certyfikacji</w:t>
      </w:r>
      <w:bookmarkEnd w:id="233"/>
    </w:p>
    <w:p w14:paraId="0A4FECFE" w14:textId="0AA66466"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7438DC3" w14:textId="0F90C519"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Przed rozpoczęci</w:t>
      </w:r>
      <w:r w:rsidR="00807884" w:rsidRPr="009E064B">
        <w:rPr>
          <w:rFonts w:asciiTheme="minorHAnsi" w:hAnsiTheme="minorHAnsi" w:cstheme="minorHAnsi"/>
          <w:sz w:val="22"/>
          <w:szCs w:val="20"/>
        </w:rPr>
        <w:t xml:space="preserve">em użytkowania lotniska lub </w:t>
      </w:r>
      <w:r w:rsidR="007F509D" w:rsidRPr="009E064B">
        <w:rPr>
          <w:rFonts w:asciiTheme="minorHAnsi" w:hAnsiTheme="minorHAnsi" w:cstheme="minorHAnsi"/>
          <w:sz w:val="22"/>
          <w:szCs w:val="20"/>
        </w:rPr>
        <w:t xml:space="preserve">w </w:t>
      </w:r>
      <w:r w:rsidRPr="009E064B">
        <w:rPr>
          <w:rFonts w:asciiTheme="minorHAnsi" w:hAnsiTheme="minorHAnsi" w:cstheme="minorHAnsi"/>
          <w:sz w:val="22"/>
          <w:szCs w:val="20"/>
        </w:rPr>
        <w:t>przypadku cofnięcia zwolnienia</w:t>
      </w:r>
      <w:r w:rsidR="003303E9" w:rsidRPr="009E064B">
        <w:rPr>
          <w:rFonts w:asciiTheme="minorHAnsi" w:hAnsiTheme="minorHAnsi" w:cstheme="minorHAnsi"/>
          <w:sz w:val="22"/>
          <w:szCs w:val="20"/>
        </w:rPr>
        <w:t xml:space="preserve"> wydanego zgodnie z </w:t>
      </w:r>
      <w:hyperlink w:anchor="_Artykuł_5_" w:history="1">
        <w:r w:rsidR="00301536" w:rsidRPr="009E064B">
          <w:rPr>
            <w:rStyle w:val="Hipercze"/>
            <w:rFonts w:asciiTheme="minorHAnsi" w:hAnsiTheme="minorHAnsi" w:cstheme="minorHAnsi"/>
            <w:sz w:val="22"/>
            <w:szCs w:val="20"/>
          </w:rPr>
          <w:t>A</w:t>
        </w:r>
        <w:r w:rsidR="00807884" w:rsidRPr="009E064B">
          <w:rPr>
            <w:rStyle w:val="Hipercze"/>
            <w:rFonts w:asciiTheme="minorHAnsi" w:hAnsiTheme="minorHAnsi" w:cstheme="minorHAnsi"/>
            <w:sz w:val="22"/>
            <w:szCs w:val="20"/>
          </w:rPr>
          <w:t>rt. 5</w:t>
        </w:r>
      </w:hyperlink>
      <w:r w:rsidR="00807884" w:rsidRPr="009E064B">
        <w:rPr>
          <w:rFonts w:asciiTheme="minorHAnsi" w:hAnsiTheme="minorHAnsi" w:cstheme="minorHAnsi"/>
          <w:sz w:val="22"/>
          <w:szCs w:val="20"/>
        </w:rPr>
        <w:t xml:space="preserve">, </w:t>
      </w:r>
      <w:r w:rsidRPr="009E064B">
        <w:rPr>
          <w:rFonts w:asciiTheme="minorHAnsi" w:hAnsiTheme="minorHAnsi" w:cstheme="minorHAnsi"/>
          <w:sz w:val="22"/>
          <w:szCs w:val="20"/>
        </w:rPr>
        <w:t>operator lotniska musi uzyskać stosowny(-e) certyfikat(-y) wydany(-e) przez właściwy organ.</w:t>
      </w:r>
    </w:p>
    <w:p w14:paraId="35A2423D" w14:textId="6955DB03" w:rsidR="00DC7DA6" w:rsidRPr="009E064B" w:rsidRDefault="00DE05DC" w:rsidP="00B06A9A">
      <w:pPr>
        <w:pStyle w:val="Nagwek3"/>
      </w:pPr>
      <w:bookmarkStart w:id="234" w:name="_ADR.OR.B.015__"/>
      <w:bookmarkStart w:id="235" w:name="_Toc12532641"/>
      <w:bookmarkEnd w:id="234"/>
      <w:r w:rsidRPr="009E064B">
        <w:t xml:space="preserve">ADR.OR.B.015 </w:t>
      </w:r>
      <w:r w:rsidR="004D6FC2" w:rsidRPr="009E064B">
        <w:t xml:space="preserve">    </w:t>
      </w:r>
      <w:r w:rsidRPr="009E064B">
        <w:t>Wniosek o wydanie certyfikatu</w:t>
      </w:r>
      <w:bookmarkEnd w:id="235"/>
    </w:p>
    <w:p w14:paraId="2CD3F42E" w14:textId="156C6065"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A4B5044" w14:textId="172FB6A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A0684" w:rsidRPr="009E064B">
        <w:rPr>
          <w:rFonts w:asciiTheme="minorHAnsi" w:hAnsiTheme="minorHAnsi" w:cstheme="minorHAnsi"/>
          <w:sz w:val="22"/>
          <w:szCs w:val="20"/>
        </w:rPr>
        <w:t xml:space="preserve">a) </w:t>
      </w:r>
      <w:r w:rsidR="001A6D9A" w:rsidRPr="009E064B">
        <w:rPr>
          <w:rFonts w:asciiTheme="minorHAnsi" w:hAnsiTheme="minorHAnsi" w:cstheme="minorHAnsi"/>
          <w:sz w:val="22"/>
          <w:szCs w:val="20"/>
        </w:rPr>
        <w:tab/>
      </w:r>
      <w:r w:rsidR="00DE05DC" w:rsidRPr="009E064B">
        <w:rPr>
          <w:rFonts w:asciiTheme="minorHAnsi" w:hAnsiTheme="minorHAnsi" w:cstheme="minorHAnsi"/>
          <w:sz w:val="22"/>
          <w:szCs w:val="20"/>
        </w:rPr>
        <w:t>Wniosek o wydanie certyfikatu jest składany w formie i w sposób ustalony przez właściwy organ.</w:t>
      </w:r>
    </w:p>
    <w:p w14:paraId="16532C74" w14:textId="1C7E6F06"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CA0684" w:rsidRPr="009E064B">
        <w:rPr>
          <w:rFonts w:asciiTheme="minorHAnsi" w:hAnsiTheme="minorHAnsi" w:cstheme="minorHAnsi"/>
          <w:sz w:val="22"/>
          <w:szCs w:val="20"/>
        </w:rPr>
        <w:t xml:space="preserve">b) </w:t>
      </w:r>
      <w:r w:rsidR="001A6D9A" w:rsidRPr="009E064B">
        <w:rPr>
          <w:rFonts w:asciiTheme="minorHAnsi" w:hAnsiTheme="minorHAnsi" w:cstheme="minorHAnsi"/>
          <w:sz w:val="22"/>
          <w:szCs w:val="20"/>
        </w:rPr>
        <w:tab/>
      </w:r>
      <w:r w:rsidR="00DE05DC" w:rsidRPr="009E064B">
        <w:rPr>
          <w:rFonts w:asciiTheme="minorHAnsi" w:hAnsiTheme="minorHAnsi" w:cstheme="minorHAnsi"/>
          <w:sz w:val="22"/>
          <w:szCs w:val="20"/>
        </w:rPr>
        <w:t>Wnioskodawca przedstawia właściwemu organowi:</w:t>
      </w:r>
    </w:p>
    <w:p w14:paraId="0FDD1943" w14:textId="3975EA8F"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1)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swoją nazwę oficjalną i handlową, adres oraz adres do korespondencji;</w:t>
      </w:r>
    </w:p>
    <w:p w14:paraId="301EDEE1" w14:textId="7BB43E5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2)</w:t>
      </w:r>
      <w:r w:rsidR="001563B5" w:rsidRPr="009E064B">
        <w:rPr>
          <w:rFonts w:asciiTheme="minorHAnsi" w:eastAsia="Times New Roman" w:hAnsiTheme="minorHAnsi" w:cstheme="minorHAnsi"/>
          <w:szCs w:val="20"/>
        </w:rPr>
        <w:t xml:space="preserve">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informacje i dane dotyczące:</w:t>
      </w:r>
    </w:p>
    <w:p w14:paraId="2B5938C7" w14:textId="77777777" w:rsidR="00DC7DA6" w:rsidRPr="009E064B" w:rsidRDefault="00CA0684"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lokalizacji lotniska;</w:t>
      </w:r>
    </w:p>
    <w:p w14:paraId="18E3F85F" w14:textId="77777777" w:rsidR="00DC7DA6" w:rsidRPr="009E064B" w:rsidRDefault="00CA0684"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(ii)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ro</w:t>
      </w:r>
      <w:r w:rsidR="005170C7" w:rsidRPr="009E064B">
        <w:rPr>
          <w:rFonts w:asciiTheme="minorHAnsi" w:eastAsia="Times New Roman" w:hAnsiTheme="minorHAnsi" w:cstheme="minorHAnsi"/>
          <w:szCs w:val="20"/>
        </w:rPr>
        <w:t xml:space="preserve">dzaju operacji prowadzonych na </w:t>
      </w:r>
      <w:r w:rsidR="00DE05DC" w:rsidRPr="009E064B">
        <w:rPr>
          <w:rFonts w:asciiTheme="minorHAnsi" w:eastAsia="Times New Roman" w:hAnsiTheme="minorHAnsi" w:cstheme="minorHAnsi"/>
          <w:szCs w:val="20"/>
        </w:rPr>
        <w:t>lotnisku; oraz</w:t>
      </w:r>
    </w:p>
    <w:p w14:paraId="7CBC1253" w14:textId="77777777" w:rsidR="00DC7DA6" w:rsidRPr="009E064B" w:rsidRDefault="001A6D9A" w:rsidP="00B06A9A">
      <w:pPr>
        <w:tabs>
          <w:tab w:val="left" w:pos="1418"/>
        </w:tabs>
        <w:ind w:left="1418"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(iii)</w:t>
      </w:r>
      <w:r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projektu i obiektów lotniska zgodnie ze stosownymi specyfikacjami</w:t>
      </w:r>
      <w:r w:rsidR="00807884" w:rsidRPr="009E064B">
        <w:rPr>
          <w:rFonts w:asciiTheme="minorHAnsi" w:eastAsia="Times New Roman" w:hAnsiTheme="minorHAnsi" w:cstheme="minorHAnsi"/>
          <w:szCs w:val="20"/>
        </w:rPr>
        <w:t xml:space="preserve"> certyfikacyjnymi ustanowionymi</w:t>
      </w:r>
      <w:r w:rsidR="00DE05DC" w:rsidRPr="009E064B">
        <w:rPr>
          <w:rFonts w:asciiTheme="minorHAnsi" w:eastAsia="Times New Roman" w:hAnsiTheme="minorHAnsi" w:cstheme="minorHAnsi"/>
          <w:szCs w:val="20"/>
        </w:rPr>
        <w:t xml:space="preserve"> przez Agencję;</w:t>
      </w:r>
    </w:p>
    <w:p w14:paraId="5617F4BC" w14:textId="4CC7CFD7"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3)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wszelkie proponowane odstępstwa od ustalonych stosownych specyfikacji certyfikacyjnych ustanowionych przez Agencję;</w:t>
      </w:r>
    </w:p>
    <w:p w14:paraId="7014B06D" w14:textId="287D5548"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4)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dokumentację pokazującą sposób spełnienia przez niego stosownych wymagań ustanowionych w rozporządzeniu (WE) nr 216/2008 i jego przepisach wykonawczych. Dokumentacja ta obejmuje procedurę zawartą w instrukcji operacyjnej lotniska, opisującą sposób zarządzania zmianami niewymagającymi uprzedniego zatwierdzenia i ich zgłaszania właściwemu organowi; późniejsze zmiany tej procedury</w:t>
      </w:r>
      <w:r w:rsidR="008F4F26" w:rsidRPr="009E064B">
        <w:rPr>
          <w:rFonts w:asciiTheme="minorHAnsi" w:eastAsia="Times New Roman" w:hAnsiTheme="minorHAnsi" w:cstheme="minorHAnsi"/>
          <w:szCs w:val="20"/>
        </w:rPr>
        <w:t xml:space="preserve"> wymagają uprzedniego zatwierdzenia</w:t>
      </w:r>
      <w:r w:rsidR="00DE05DC" w:rsidRPr="009E064B">
        <w:rPr>
          <w:rFonts w:asciiTheme="minorHAnsi" w:eastAsia="Times New Roman" w:hAnsiTheme="minorHAnsi" w:cstheme="minorHAnsi"/>
          <w:szCs w:val="20"/>
        </w:rPr>
        <w:t xml:space="preserve"> przez właściwy organ;</w:t>
      </w:r>
    </w:p>
    <w:p w14:paraId="64C14785" w14:textId="6B3D6D6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5)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dowody na adekwatność środków posiadanych przez operatora lotniska zgodnie ze stosownymi wymaganiami;</w:t>
      </w:r>
    </w:p>
    <w:p w14:paraId="65E1B851" w14:textId="2E9A850C"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6)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udokumentowane dowody pokazujące relacje miedzy wnioskodawcą i właścicielem lotniska i/lub właścicielem gruntu;</w:t>
      </w:r>
    </w:p>
    <w:p w14:paraId="1F68F70F" w14:textId="78EEF09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7)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imię i nazwisko oraz odpowiednie informacje o kierowniku odpowiedzialnym i pozostałych osobach, których wyznaczenie jest wymagane na mocy </w:t>
      </w:r>
      <w:hyperlink w:anchor="_ADR.OR.D.015__" w:history="1">
        <w:r w:rsidR="00DE05DC" w:rsidRPr="009E064B">
          <w:rPr>
            <w:rStyle w:val="Hipercze"/>
            <w:rFonts w:asciiTheme="minorHAnsi" w:eastAsia="Times New Roman" w:hAnsiTheme="minorHAnsi" w:cstheme="minorHAnsi"/>
            <w:szCs w:val="20"/>
          </w:rPr>
          <w:t>ADR.OR.D.015</w:t>
        </w:r>
      </w:hyperlink>
      <w:r w:rsidR="00DE05DC" w:rsidRPr="009E064B">
        <w:rPr>
          <w:rFonts w:asciiTheme="minorHAnsi" w:eastAsia="Times New Roman" w:hAnsiTheme="minorHAnsi" w:cstheme="minorHAnsi"/>
          <w:szCs w:val="20"/>
        </w:rPr>
        <w:t>; oraz</w:t>
      </w:r>
    </w:p>
    <w:p w14:paraId="18DAC90D" w14:textId="01913C9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CA0684" w:rsidRPr="009E064B">
        <w:rPr>
          <w:rFonts w:asciiTheme="minorHAnsi" w:eastAsia="Times New Roman" w:hAnsiTheme="minorHAnsi" w:cstheme="minorHAnsi"/>
          <w:szCs w:val="20"/>
        </w:rPr>
        <w:t xml:space="preserve">8)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kopię instrukcji operacyjnej lotniska wymaganą na mocy </w:t>
      </w:r>
      <w:hyperlink w:anchor="_ADR.OR.E.005__" w:history="1">
        <w:r w:rsidR="00DE05DC" w:rsidRPr="009E064B">
          <w:rPr>
            <w:rStyle w:val="Hipercze"/>
            <w:rFonts w:asciiTheme="minorHAnsi" w:eastAsia="Times New Roman" w:hAnsiTheme="minorHAnsi" w:cstheme="minorHAnsi"/>
            <w:szCs w:val="20"/>
          </w:rPr>
          <w:t>ADR.OR.E.005</w:t>
        </w:r>
      </w:hyperlink>
      <w:r w:rsidR="00DE05DC" w:rsidRPr="009E064B">
        <w:rPr>
          <w:rFonts w:asciiTheme="minorHAnsi" w:eastAsia="Times New Roman" w:hAnsiTheme="minorHAnsi" w:cstheme="minorHAnsi"/>
          <w:szCs w:val="20"/>
        </w:rPr>
        <w:t>.</w:t>
      </w:r>
    </w:p>
    <w:p w14:paraId="17768729" w14:textId="29B47CE6" w:rsidR="003D3A9F" w:rsidRPr="009E064B" w:rsidRDefault="00371A8B" w:rsidP="002C0858">
      <w:pPr>
        <w:pStyle w:val="Tekstpodstawowy"/>
        <w:tabs>
          <w:tab w:val="left" w:pos="567"/>
        </w:tabs>
        <w:ind w:left="567" w:right="-2" w:hanging="567"/>
        <w:rPr>
          <w:rFonts w:asciiTheme="minorHAnsi" w:hAnsiTheme="minorHAnsi" w:cstheme="minorHAnsi"/>
          <w:szCs w:val="20"/>
        </w:rPr>
      </w:pPr>
      <w:r w:rsidRPr="009E064B">
        <w:rPr>
          <w:rFonts w:asciiTheme="minorHAnsi" w:hAnsiTheme="minorHAnsi" w:cstheme="minorHAnsi"/>
          <w:sz w:val="22"/>
          <w:szCs w:val="20"/>
        </w:rPr>
        <w:t>(</w:t>
      </w:r>
      <w:r w:rsidR="00CA0684" w:rsidRPr="009E064B">
        <w:rPr>
          <w:rFonts w:asciiTheme="minorHAnsi" w:hAnsiTheme="minorHAnsi" w:cstheme="minorHAnsi"/>
          <w:sz w:val="22"/>
          <w:szCs w:val="20"/>
        </w:rPr>
        <w:t xml:space="preserve">c) </w:t>
      </w:r>
      <w:r w:rsidR="001A6D9A" w:rsidRPr="009E064B">
        <w:rPr>
          <w:rFonts w:asciiTheme="minorHAnsi" w:hAnsiTheme="minorHAnsi" w:cstheme="minorHAnsi"/>
          <w:sz w:val="22"/>
          <w:szCs w:val="20"/>
        </w:rPr>
        <w:tab/>
      </w:r>
      <w:r w:rsidR="00DE05DC" w:rsidRPr="009E064B">
        <w:rPr>
          <w:rFonts w:asciiTheme="minorHAnsi" w:hAnsiTheme="minorHAnsi" w:cstheme="minorHAnsi"/>
          <w:sz w:val="22"/>
          <w:szCs w:val="20"/>
        </w:rPr>
        <w:t>Jeżeli właściwy organ wyrazi zgodę, informacje określone w pkt</w:t>
      </w:r>
      <w:r w:rsidR="00004A22" w:rsidRPr="009E064B">
        <w:rPr>
          <w:rFonts w:asciiTheme="minorHAnsi" w:hAnsiTheme="minorHAnsi" w:cstheme="minorHAnsi"/>
          <w:sz w:val="22"/>
          <w:szCs w:val="20"/>
        </w:rPr>
        <w:t> (</w:t>
      </w:r>
      <w:r w:rsidR="00DE05DC" w:rsidRPr="009E064B">
        <w:rPr>
          <w:rFonts w:asciiTheme="minorHAnsi" w:hAnsiTheme="minorHAnsi" w:cstheme="minorHAnsi"/>
          <w:sz w:val="22"/>
          <w:szCs w:val="20"/>
        </w:rPr>
        <w:t>7</w:t>
      </w:r>
      <w:r w:rsidR="00004A22"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 i </w:t>
      </w:r>
      <w:r w:rsidR="00004A22" w:rsidRPr="009E064B">
        <w:rPr>
          <w:rFonts w:asciiTheme="minorHAnsi" w:hAnsiTheme="minorHAnsi" w:cstheme="minorHAnsi"/>
          <w:sz w:val="22"/>
          <w:szCs w:val="20"/>
        </w:rPr>
        <w:t>(</w:t>
      </w:r>
      <w:r w:rsidR="00DE05DC" w:rsidRPr="009E064B">
        <w:rPr>
          <w:rFonts w:asciiTheme="minorHAnsi" w:hAnsiTheme="minorHAnsi" w:cstheme="minorHAnsi"/>
          <w:sz w:val="22"/>
          <w:szCs w:val="20"/>
        </w:rPr>
        <w:t>8</w:t>
      </w:r>
      <w:r w:rsidR="00004A22"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 mogą zostać przedstawione na późniejszym etapie ustalonym przez właściwy organ, przy czym następuje to przed wydaniem certyfikatu.</w:t>
      </w:r>
      <w:r w:rsidR="002C0858" w:rsidRPr="009E064B">
        <w:rPr>
          <w:rFonts w:asciiTheme="minorHAnsi" w:hAnsiTheme="minorHAnsi" w:cstheme="minorHAnsi"/>
          <w:sz w:val="22"/>
          <w:szCs w:val="20"/>
        </w:rPr>
        <w:t xml:space="preserve"> </w:t>
      </w:r>
      <w:r w:rsidR="003D3A9F" w:rsidRPr="009E064B">
        <w:rPr>
          <w:rFonts w:asciiTheme="minorHAnsi" w:hAnsiTheme="minorHAnsi" w:cstheme="minorHAnsi"/>
          <w:szCs w:val="20"/>
        </w:rPr>
        <w:br w:type="page"/>
      </w:r>
    </w:p>
    <w:p w14:paraId="3050049C" w14:textId="77777777" w:rsidR="003D3A9F" w:rsidRPr="009E064B" w:rsidRDefault="003D3A9F" w:rsidP="00133B99">
      <w:pPr>
        <w:pStyle w:val="Nagwek6"/>
      </w:pPr>
      <w:bookmarkStart w:id="236" w:name="_Toc492024579"/>
      <w:bookmarkStart w:id="237" w:name="_Toc12532642"/>
      <w:r w:rsidRPr="009E064B">
        <w:t>GM1 ADR.OR.B.015     Wniosek o wydanie certyfikatu</w:t>
      </w:r>
      <w:bookmarkEnd w:id="236"/>
      <w:bookmarkEnd w:id="237"/>
    </w:p>
    <w:p w14:paraId="08CD9676" w14:textId="09A56FE3" w:rsidR="003D3A9F" w:rsidRPr="009E064B" w:rsidRDefault="00D63D4F" w:rsidP="003D3A9F">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211F2C6" w14:textId="77777777" w:rsidR="003D3A9F" w:rsidRPr="009E064B" w:rsidRDefault="003D3A9F" w:rsidP="003D3A9F">
      <w:pPr>
        <w:widowControl/>
        <w:rPr>
          <w:rFonts w:asciiTheme="minorHAnsi" w:eastAsia="Calibri" w:hAnsiTheme="minorHAnsi" w:cstheme="minorHAnsi"/>
        </w:rPr>
      </w:pPr>
      <w:r w:rsidRPr="009E064B">
        <w:rPr>
          <w:rFonts w:asciiTheme="minorHAnsi" w:eastAsia="Calibri" w:hAnsiTheme="minorHAnsi" w:cstheme="minorHAnsi"/>
        </w:rPr>
        <w:t>WSTĘPNE INFORMOWANIE</w:t>
      </w:r>
    </w:p>
    <w:p w14:paraId="159B81D4" w14:textId="77777777" w:rsidR="003D3A9F" w:rsidRPr="009E064B" w:rsidRDefault="003D3A9F" w:rsidP="003D3A9F">
      <w:pPr>
        <w:widowControl/>
        <w:rPr>
          <w:rFonts w:asciiTheme="minorHAnsi" w:eastAsia="Calibri" w:hAnsiTheme="minorHAnsi" w:cstheme="minorHAnsi"/>
        </w:rPr>
      </w:pPr>
      <w:r w:rsidRPr="009E064B">
        <w:rPr>
          <w:rFonts w:asciiTheme="minorHAnsi" w:eastAsia="Calibri" w:hAnsiTheme="minorHAnsi" w:cstheme="minorHAnsi"/>
        </w:rPr>
        <w:t>Przed złożeniem do właściwego organu wniosku o wydanie certyfikatu, wnioskodawca powinien zorganizować spotkanie z właściwym organem.</w:t>
      </w:r>
    </w:p>
    <w:p w14:paraId="09D06B13" w14:textId="77777777" w:rsidR="003D3A9F" w:rsidRPr="009E064B" w:rsidRDefault="003D3A9F" w:rsidP="003D3A9F">
      <w:pPr>
        <w:widowControl/>
        <w:rPr>
          <w:rFonts w:asciiTheme="minorHAnsi" w:eastAsia="Calibri" w:hAnsiTheme="minorHAnsi" w:cstheme="minorHAnsi"/>
        </w:rPr>
      </w:pPr>
      <w:r w:rsidRPr="009E064B">
        <w:rPr>
          <w:rFonts w:asciiTheme="minorHAnsi" w:eastAsia="Calibri" w:hAnsiTheme="minorHAnsi" w:cstheme="minorHAnsi"/>
        </w:rPr>
        <w:t>Wnioskodawca powinien również dokonać ustaleń dotyczących udziału jego kluczowych pracowników w tym spotkaniu.</w:t>
      </w:r>
    </w:p>
    <w:p w14:paraId="1BA86F34" w14:textId="77777777" w:rsidR="003D3A9F" w:rsidRPr="009E064B" w:rsidRDefault="003D3A9F" w:rsidP="003D3A9F">
      <w:pPr>
        <w:widowControl/>
        <w:rPr>
          <w:rFonts w:asciiTheme="minorHAnsi" w:eastAsia="Calibri" w:hAnsiTheme="minorHAnsi" w:cstheme="minorHAnsi"/>
        </w:rPr>
      </w:pPr>
      <w:r w:rsidRPr="009E064B">
        <w:rPr>
          <w:rFonts w:asciiTheme="minorHAnsi" w:eastAsia="Calibri" w:hAnsiTheme="minorHAnsi" w:cstheme="minorHAnsi"/>
        </w:rPr>
        <w:t>Podczas tego spotkania, wnioskodawca powinien przedstawić organowi swoje plany dotyczące lotniska.</w:t>
      </w:r>
    </w:p>
    <w:p w14:paraId="27BED351" w14:textId="77777777" w:rsidR="003D3A9F" w:rsidRPr="009E064B" w:rsidRDefault="003D3A9F" w:rsidP="003D3A9F">
      <w:pPr>
        <w:widowControl/>
        <w:rPr>
          <w:rFonts w:asciiTheme="minorHAnsi" w:eastAsia="Calibri" w:hAnsiTheme="minorHAnsi" w:cstheme="minorHAnsi"/>
        </w:rPr>
      </w:pPr>
      <w:r w:rsidRPr="009E064B">
        <w:rPr>
          <w:rFonts w:asciiTheme="minorHAnsi" w:eastAsia="Calibri" w:hAnsiTheme="minorHAnsi" w:cstheme="minorHAnsi"/>
        </w:rPr>
        <w:t>Podczas spotkania, wnioskodawca może:</w:t>
      </w:r>
    </w:p>
    <w:p w14:paraId="5EBD9175" w14:textId="77777777" w:rsidR="003D3A9F" w:rsidRPr="009E064B" w:rsidRDefault="003D3A9F" w:rsidP="003D3A9F">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być zapoznany przez właściwy organ z ogólnymi informacjami na temat obowiązujących wymagań dla lotniska;</w:t>
      </w:r>
    </w:p>
    <w:p w14:paraId="298216D6" w14:textId="77777777" w:rsidR="003D3A9F" w:rsidRPr="009E064B" w:rsidRDefault="003D3A9F" w:rsidP="003D3A9F">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otrzymać kopie obowiązujących wymagań, a także opis procedur, które będą stosowane w procesie certyfikacji; oraz</w:t>
      </w:r>
    </w:p>
    <w:p w14:paraId="7EB2E7B4" w14:textId="77777777" w:rsidR="003D3A9F" w:rsidRPr="009E064B" w:rsidRDefault="003D3A9F" w:rsidP="003D3A9F">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być powiadomiony przez właściwy organ o ewentualnych zatwierdzeniach, zezwoleniach lub decyzjach, które mogą być potrzebne do uzyskania od innych właściwych władz państwa członkowskiego.</w:t>
      </w:r>
    </w:p>
    <w:p w14:paraId="2053D161" w14:textId="7A899703" w:rsidR="00490EF1" w:rsidRPr="009E064B" w:rsidRDefault="00490EF1" w:rsidP="00133B99">
      <w:pPr>
        <w:pStyle w:val="Nagwek5"/>
      </w:pPr>
      <w:bookmarkStart w:id="238" w:name="_Toc492024570"/>
      <w:bookmarkStart w:id="239" w:name="_Toc12532643"/>
      <w:r w:rsidRPr="009E064B">
        <w:t xml:space="preserve">AMC1 ADR.OR.B.015(a) </w:t>
      </w:r>
      <w:r w:rsidR="004D6FC2" w:rsidRPr="009E064B">
        <w:t xml:space="preserve">    </w:t>
      </w:r>
      <w:r w:rsidRPr="009E064B">
        <w:t>Wniosek o wydanie certyfikatu</w:t>
      </w:r>
      <w:bookmarkEnd w:id="238"/>
      <w:bookmarkEnd w:id="239"/>
    </w:p>
    <w:p w14:paraId="4A9432A1" w14:textId="13A69BFB"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26733C4"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WNIOSEK</w:t>
      </w:r>
    </w:p>
    <w:p w14:paraId="3C39A18C"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Wniosek powinien być złożony na piśmie i podpisany przez wnioskodawcę, przy użyciu standardowego formularza określonego przez właściwy organ.</w:t>
      </w:r>
    </w:p>
    <w:p w14:paraId="09F74C4F" w14:textId="3C2783DB" w:rsidR="00490EF1" w:rsidRPr="009E064B" w:rsidRDefault="00490EF1" w:rsidP="00133B99">
      <w:pPr>
        <w:pStyle w:val="Nagwek5"/>
      </w:pPr>
      <w:bookmarkStart w:id="240" w:name="_AMC1_ADR.OR.B.015(b)(1);(2);(3);(4)"/>
      <w:bookmarkStart w:id="241" w:name="_Toc492024571"/>
      <w:bookmarkStart w:id="242" w:name="_Toc12532644"/>
      <w:bookmarkEnd w:id="240"/>
      <w:r w:rsidRPr="009E064B">
        <w:t xml:space="preserve">AMC1 ADR.OR.B.015(b)(1);(2);(3);(4) </w:t>
      </w:r>
      <w:r w:rsidR="004D6FC2" w:rsidRPr="009E064B">
        <w:t xml:space="preserve">    </w:t>
      </w:r>
      <w:r w:rsidRPr="009E064B">
        <w:t>Wniosek o wydanie certyfikatu</w:t>
      </w:r>
      <w:bookmarkEnd w:id="241"/>
      <w:bookmarkEnd w:id="242"/>
    </w:p>
    <w:p w14:paraId="6F371B02" w14:textId="6B84356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014114A"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INFORMACJE PRZEKAZYWANE WŁAŚCIWEMU ORGANOWI</w:t>
      </w:r>
    </w:p>
    <w:p w14:paraId="0CE81D93"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Wnioskodawca powinien:</w:t>
      </w:r>
    </w:p>
    <w:p w14:paraId="3FC35423"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podać swój numer telefonu i faksu oraz adres e-mail do komunikacji z właściwym organem;</w:t>
      </w:r>
    </w:p>
    <w:p w14:paraId="437FA459" w14:textId="19B83C0A"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wskazać nazwiska pracowników, z którymi właściwy organ mógłby się kontaktować w celu rozwiązania wszelkich kwestii, które mogą pojawić się w czasie o</w:t>
      </w:r>
      <w:r w:rsidR="00280803" w:rsidRPr="009E064B">
        <w:rPr>
          <w:rFonts w:asciiTheme="minorHAnsi" w:eastAsia="Calibri" w:hAnsiTheme="minorHAnsi" w:cstheme="minorHAnsi"/>
        </w:rPr>
        <w:t>ceny wniosku lub w </w:t>
      </w:r>
      <w:r w:rsidRPr="009E064B">
        <w:rPr>
          <w:rFonts w:asciiTheme="minorHAnsi" w:eastAsia="Calibri" w:hAnsiTheme="minorHAnsi" w:cstheme="minorHAnsi"/>
        </w:rPr>
        <w:t>procesie certyfikacji.</w:t>
      </w:r>
    </w:p>
    <w:p w14:paraId="12D0B7D0"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Wnioskodawca powinien dostarczyć właściwemu organowi:</w:t>
      </w:r>
    </w:p>
    <w:p w14:paraId="6C2852FE"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informacje o lokalizacji lotniska: dokładna lokalizacja lotniska powinna być przedstawiona na mapie w odpowiedniej skali akceptowanej przez właściwy organ;</w:t>
      </w:r>
    </w:p>
    <w:p w14:paraId="6204CF76"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informacje na temat rodzajów operacji wykonywanych na lotnisku, w tym:</w:t>
      </w:r>
    </w:p>
    <w:p w14:paraId="6D97BF00"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operacje w ciągu dnia i/lub w nocy oraz rodzaje podejść;</w:t>
      </w:r>
    </w:p>
    <w:p w14:paraId="71875ABC"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operacje lądowania i/lub startu na każdej z dróg startowych;</w:t>
      </w:r>
    </w:p>
    <w:p w14:paraId="70B0C253"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typy statków powietrznych, które mają być obsługiwane na lotnisku i typ statku powietrznego, który jest użyty dla potrzeb projektowania lotniska; oraz</w:t>
      </w:r>
    </w:p>
    <w:p w14:paraId="481BD6E0"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wszelkie ograniczenia co do funkcjonowania lotniska.</w:t>
      </w:r>
    </w:p>
    <w:p w14:paraId="6F0F186D"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rysunek (rysunki) przedstawiający projekt lotniska, który powinien:</w:t>
      </w:r>
    </w:p>
    <w:p w14:paraId="3129119F"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być w odpowiedniej skali, akceptowanej przez właściwy organ;</w:t>
      </w:r>
    </w:p>
    <w:p w14:paraId="0F95DCB4"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być w formie elektronicznej, jeżeli jest to akceptowane przez właściwy organ;</w:t>
      </w:r>
    </w:p>
    <w:p w14:paraId="03409400" w14:textId="77777777" w:rsidR="00490EF1" w:rsidRPr="009E064B" w:rsidRDefault="00490EF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zawierać wszystkie niezbędne informacje, w tym:</w:t>
      </w:r>
    </w:p>
    <w:p w14:paraId="5F7A76BA" w14:textId="77777777" w:rsidR="00490EF1" w:rsidRPr="009E064B" w:rsidRDefault="00490EF1"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orientację drogi startowej (dróg startowych);</w:t>
      </w:r>
    </w:p>
    <w:p w14:paraId="78299649" w14:textId="77777777" w:rsidR="00490EF1" w:rsidRPr="009E064B" w:rsidRDefault="00490EF1"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wymiary charakterystyk fizycznych lotniska;</w:t>
      </w:r>
    </w:p>
    <w:p w14:paraId="6E7761C2" w14:textId="77777777" w:rsidR="00490EF1" w:rsidRPr="009E064B" w:rsidRDefault="00490EF1"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pomoce wzrokowe i niewzrokowe;</w:t>
      </w:r>
    </w:p>
    <w:p w14:paraId="74EE3766" w14:textId="77777777" w:rsidR="00490EF1" w:rsidRPr="009E064B" w:rsidRDefault="00490EF1"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powierzchnie ograniczające przeszkody i inne powierzchnie, które mają zastosowanie; oraz</w:t>
      </w:r>
    </w:p>
    <w:p w14:paraId="71D041DB" w14:textId="77777777" w:rsidR="00490EF1" w:rsidRPr="009E064B" w:rsidRDefault="00490EF1"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urządzenia lotniskowe, instalacje i stałe wyposażenie oraz ich lokalizacja.</w:t>
      </w:r>
    </w:p>
    <w:p w14:paraId="5D7B6DDC" w14:textId="326573BC"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 xml:space="preserve">opis, wysokość i lokalizację przeszkód zgodnie z obowiązującymi wymogami dotyczącymi danych lotniczych (patrz </w:t>
      </w:r>
      <w:hyperlink w:anchor="_ADR.OPS.A.005__" w:history="1">
        <w:r w:rsidRPr="009E064B">
          <w:rPr>
            <w:rStyle w:val="Hipercze"/>
            <w:rFonts w:asciiTheme="minorHAnsi" w:eastAsia="Calibri" w:hAnsiTheme="minorHAnsi" w:cstheme="minorHAnsi"/>
          </w:rPr>
          <w:t>ADR.OPS.A.005</w:t>
        </w:r>
      </w:hyperlink>
      <w:r w:rsidRPr="009E064B">
        <w:rPr>
          <w:rFonts w:asciiTheme="minorHAnsi" w:eastAsia="Calibri" w:hAnsiTheme="minorHAnsi" w:cstheme="minorHAnsi"/>
        </w:rPr>
        <w:t xml:space="preserve"> i</w:t>
      </w:r>
      <w:r w:rsidR="001B6738" w:rsidRPr="009E064B">
        <w:rPr>
          <w:rFonts w:asciiTheme="minorHAnsi" w:eastAsia="Calibri" w:hAnsiTheme="minorHAnsi" w:cstheme="minorHAnsi"/>
        </w:rPr>
        <w:t xml:space="preserve"> </w:t>
      </w:r>
      <w:hyperlink w:anchor="_AMC1_ADR.OPS.A.005_" w:history="1">
        <w:r w:rsidRPr="009E064B">
          <w:rPr>
            <w:rStyle w:val="Hipercze"/>
            <w:rFonts w:asciiTheme="minorHAnsi" w:eastAsia="Calibri" w:hAnsiTheme="minorHAnsi" w:cstheme="minorHAnsi"/>
          </w:rPr>
          <w:t>AMC1 ADR.OPS.A.005</w:t>
        </w:r>
      </w:hyperlink>
      <w:r w:rsidRPr="009E064B">
        <w:rPr>
          <w:rFonts w:asciiTheme="minorHAnsi" w:eastAsia="Calibri" w:hAnsiTheme="minorHAnsi" w:cstheme="minorHAnsi"/>
        </w:rPr>
        <w:t>).</w:t>
      </w:r>
    </w:p>
    <w:p w14:paraId="63328223"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Wnioskodawca powinien określić specyfikacje certyfikacyjne, które mają zastosowanie do projektu proponowanego lotniska i rodzajów operacji oraz dostarczyć właściwemu organowi dowody, że proponowany projekt lotniska i operacje są zgodne z tymi specyfikacjami. W stosownych przypadkach, wnioskodawca powinien również dostarczyć właściwemu organowi:</w:t>
      </w:r>
    </w:p>
    <w:p w14:paraId="23B7642A"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specyfikacje certyfikacyjne, dla których wnioskodawca proponuje przedstawienie zgodności w inny sposób wykazując równoważny poziom bezpieczeństwa. Taka propozycja musi być akceptowana przez właściwy organ. W takich przypadkach wnioskodawca powinien również zaproponować metodę, która będzie używana w celu wykazania zgodności i osiągnięcia równoważnego poziomu bezpieczeństwa oraz złożyć wszystkie niezbędne dokumenty na poparcie tej propozycji;</w:t>
      </w:r>
    </w:p>
    <w:p w14:paraId="4D8A64DE"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każdą inną propozycję, dla której wnioskodawca zakłada, że specyfikacje certyfikacyjne wydane przez Agencję są niewystarczające lub nieodpowiednie.</w:t>
      </w:r>
    </w:p>
    <w:p w14:paraId="514C68AC" w14:textId="44503C90"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Wnioskodawca powinien dostarczyć właściwemu organowi dokumentację, aby wykazać, w jaki sposób będzie on zachowywał zgodność z mającymi zastosowanie wymogami Rozporządzenia Bazowego, Częścią ADR.OR i Częścią ADR.OPS</w:t>
      </w:r>
      <w:r w:rsidRPr="009E064B">
        <w:rPr>
          <w:rFonts w:asciiTheme="minorHAnsi" w:eastAsia="Calibri" w:hAnsiTheme="minorHAnsi" w:cstheme="minorHAnsi"/>
          <w:vertAlign w:val="superscript"/>
        </w:rPr>
        <w:footnoteReference w:id="28"/>
      </w:r>
      <w:r w:rsidRPr="009E064B">
        <w:rPr>
          <w:rFonts w:asciiTheme="minorHAnsi" w:eastAsia="Calibri" w:hAnsiTheme="minorHAnsi" w:cstheme="minorHAnsi"/>
        </w:rPr>
        <w:t xml:space="preserve"> oraz innymi mającymi zastosowanie wymogami, które są związane z projektowaniem lotniska i jego funkcjonowaniem.</w:t>
      </w:r>
    </w:p>
    <w:p w14:paraId="2A095C1D" w14:textId="77777777" w:rsidR="00B2351A" w:rsidRPr="009E064B" w:rsidRDefault="00B2351A" w:rsidP="00133B99">
      <w:pPr>
        <w:pStyle w:val="Nagwek6"/>
      </w:pPr>
      <w:bookmarkStart w:id="243" w:name="_Toc492024580"/>
      <w:bookmarkStart w:id="244" w:name="_Toc12532645"/>
      <w:r w:rsidRPr="009E064B">
        <w:t>GM1 ADR.OR.B.015(b)(2)     Wniosek o wydanie certyfikatu</w:t>
      </w:r>
      <w:bookmarkEnd w:id="243"/>
      <w:bookmarkEnd w:id="244"/>
    </w:p>
    <w:p w14:paraId="441F96E2" w14:textId="7AE968CF" w:rsidR="00B2351A" w:rsidRPr="009E064B" w:rsidRDefault="00D63D4F" w:rsidP="00B2351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AEC277C" w14:textId="77777777" w:rsidR="00B2351A" w:rsidRPr="009E064B" w:rsidRDefault="00B2351A" w:rsidP="00B2351A">
      <w:pPr>
        <w:widowControl/>
        <w:rPr>
          <w:rFonts w:asciiTheme="minorHAnsi" w:eastAsia="Calibri" w:hAnsiTheme="minorHAnsi" w:cstheme="minorHAnsi"/>
        </w:rPr>
      </w:pPr>
      <w:r w:rsidRPr="009E064B">
        <w:rPr>
          <w:rFonts w:asciiTheme="minorHAnsi" w:eastAsia="Calibri" w:hAnsiTheme="minorHAnsi" w:cstheme="minorHAnsi"/>
        </w:rPr>
        <w:t>GRANICE LOTNISKA</w:t>
      </w:r>
    </w:p>
    <w:p w14:paraId="20B3692F" w14:textId="77777777" w:rsidR="00B2351A" w:rsidRPr="009E064B" w:rsidRDefault="00B2351A" w:rsidP="00B2351A">
      <w:pPr>
        <w:widowControl/>
        <w:rPr>
          <w:rFonts w:asciiTheme="minorHAnsi" w:eastAsia="Calibri" w:hAnsiTheme="minorHAnsi" w:cstheme="minorHAnsi"/>
        </w:rPr>
      </w:pPr>
      <w:r w:rsidRPr="009E064B">
        <w:rPr>
          <w:rFonts w:asciiTheme="minorHAnsi" w:eastAsia="Calibri" w:hAnsiTheme="minorHAnsi" w:cstheme="minorHAnsi"/>
        </w:rPr>
        <w:t>Przedłożona wraz z wnioskiem mapa powinna wskazywać granicę obszaru lotniska. Powinna ona obejmować, przynajmniej, drogi startowe, drogi kołowania, płyty postojowe i związane z nimi pasy, zabezpieczenia końców drogi startowej, zabezpieczenia przerwanego startu, zabezpieczenia wydłużonego startu, lotniskowe pomoce wzrokowe, stałe wyposażenie lotniska, inne lotniskowe obszary operacyjne, obszary przyległe do pola ruchu naziemnego, itp., natomiast strefy obsługi technicznej można wykluczyć, jeżeli jest to akceptowane przez właściwy organ.</w:t>
      </w:r>
    </w:p>
    <w:p w14:paraId="1DD6FF33" w14:textId="77777777" w:rsidR="00B2351A" w:rsidRPr="009E064B" w:rsidRDefault="00B2351A" w:rsidP="00B2351A">
      <w:pPr>
        <w:widowControl/>
        <w:rPr>
          <w:rFonts w:asciiTheme="minorHAnsi" w:eastAsia="Calibri" w:hAnsiTheme="minorHAnsi" w:cstheme="minorHAnsi"/>
        </w:rPr>
      </w:pPr>
      <w:r w:rsidRPr="009E064B">
        <w:rPr>
          <w:rFonts w:asciiTheme="minorHAnsi" w:eastAsia="Calibri" w:hAnsiTheme="minorHAnsi" w:cstheme="minorHAnsi"/>
        </w:rPr>
        <w:t>Powyższej granicy lotniska nie należy mylić z granicami ustalonymi dla innych celów, takich jak ogrodzenia, granice własności gruntów wykorzystywanych przez lokalne władze planowania przestrzennego lub z tymi granicami, które są używane do wyznaczenia stref zastrzeżonych dla potrzeb ochrony.</w:t>
      </w:r>
    </w:p>
    <w:p w14:paraId="7B586805" w14:textId="58CB36F5" w:rsidR="00490EF1" w:rsidRPr="009E064B" w:rsidRDefault="00490EF1" w:rsidP="00133B99">
      <w:pPr>
        <w:pStyle w:val="Nagwek6"/>
      </w:pPr>
      <w:bookmarkStart w:id="245" w:name="_Toc492024572"/>
      <w:bookmarkStart w:id="246" w:name="_Toc12532646"/>
      <w:r w:rsidRPr="009E064B">
        <w:t xml:space="preserve">GM1 ADR.OR.B.015(b)(2)(3)(4) </w:t>
      </w:r>
      <w:r w:rsidR="004D6FC2" w:rsidRPr="009E064B">
        <w:t xml:space="preserve">    </w:t>
      </w:r>
      <w:r w:rsidRPr="009E064B">
        <w:t>Wniosek o wydanie certyfikatu</w:t>
      </w:r>
      <w:bookmarkEnd w:id="245"/>
      <w:bookmarkEnd w:id="246"/>
    </w:p>
    <w:p w14:paraId="099B8A58" w14:textId="52364292"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F1715A1"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WARUNKI METEOROLOGICZNE</w:t>
      </w:r>
    </w:p>
    <w:p w14:paraId="23A59C27"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Wnioskodawca powinien dostarczyć właściwemu organowi badanie (studium) meteorologiczne obszaru lotniska, obejmujące: temperaturę, widzialność, pułap chmur oraz warunki wiatrowe. Ponadto badanie to powinno zawierać informacje na temat warunków wiatrowych występujących przy słabej widzialności i/lub niskiej podstawie chmur na lotnisku oraz częstotliwości ich występowania, a także informacje na temat kierunku i prędkości wiatru występujących w tych warunkach.</w:t>
      </w:r>
    </w:p>
    <w:p w14:paraId="236455C4" w14:textId="2E5A5F8A" w:rsidR="00490EF1" w:rsidRPr="009E064B" w:rsidRDefault="00490EF1" w:rsidP="00133B99">
      <w:pPr>
        <w:pStyle w:val="Nagwek5"/>
      </w:pPr>
      <w:bookmarkStart w:id="247" w:name="_Toc492024573"/>
      <w:bookmarkStart w:id="248" w:name="_Toc12532647"/>
      <w:r w:rsidRPr="009E064B">
        <w:t xml:space="preserve">AMC1 ADR.OR.B.015(b)(4)    </w:t>
      </w:r>
      <w:r w:rsidR="004D6FC2" w:rsidRPr="009E064B">
        <w:t xml:space="preserve"> </w:t>
      </w:r>
      <w:r w:rsidRPr="009E064B">
        <w:t>Wniosek o wydanie certyfikatu</w:t>
      </w:r>
      <w:bookmarkEnd w:id="247"/>
      <w:bookmarkEnd w:id="248"/>
    </w:p>
    <w:p w14:paraId="5B3B129F" w14:textId="6A17016D"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446567A"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DOWODY UZGODNIEŃ ZE STRONAMI TRZECIMI</w:t>
      </w:r>
    </w:p>
    <w:p w14:paraId="19702B56"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Wnioskodawca powinien dostarczyć wszystkie niezbędne dowody dotyczące uzgodnień dokonanych ze stronami trzecimi, które świadczą lub zamierzają świadczyć usługi lub podejmują działania na lotnisku, które to działania mogą mieć wpływ na bezpieczeństwo.</w:t>
      </w:r>
    </w:p>
    <w:p w14:paraId="7F3B51BD" w14:textId="472E1984" w:rsidR="00490EF1" w:rsidRPr="009E064B" w:rsidRDefault="00490EF1" w:rsidP="00133B99">
      <w:pPr>
        <w:pStyle w:val="Nagwek5"/>
      </w:pPr>
      <w:bookmarkStart w:id="249" w:name="_Toc492024574"/>
      <w:bookmarkStart w:id="250" w:name="_Toc12532648"/>
      <w:r w:rsidRPr="009E064B">
        <w:t xml:space="preserve">AMC1 ADR.OR.B.015(b)(5)    </w:t>
      </w:r>
      <w:r w:rsidR="004D6FC2" w:rsidRPr="009E064B">
        <w:t xml:space="preserve"> </w:t>
      </w:r>
      <w:r w:rsidRPr="009E064B">
        <w:t>Wniosek o wydanie certyfikatu</w:t>
      </w:r>
      <w:bookmarkEnd w:id="249"/>
      <w:bookmarkEnd w:id="250"/>
    </w:p>
    <w:p w14:paraId="21BBB526" w14:textId="1FF344E6"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9214574"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ADEKWATNOŚĆ ŚRODKÓW</w:t>
      </w:r>
    </w:p>
    <w:p w14:paraId="4C723407" w14:textId="26876606"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r>
      <w:r w:rsidR="009B0A08" w:rsidRPr="009E064B">
        <w:rPr>
          <w:rFonts w:asciiTheme="minorHAnsi" w:eastAsia="Calibri" w:hAnsiTheme="minorHAnsi" w:cstheme="minorHAnsi"/>
        </w:rPr>
        <w:t>Wymagania ogólne</w:t>
      </w:r>
    </w:p>
    <w:p w14:paraId="5442D5EC" w14:textId="6C13E6BE"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Wnioskodawca powinien dostarczyć wszystkie niezbędne informacje potrzebne w celu wykazania właściwemu organowi, że proponowana organizacja</w:t>
      </w:r>
      <w:r w:rsidR="00280803" w:rsidRPr="009E064B">
        <w:rPr>
          <w:rFonts w:asciiTheme="minorHAnsi" w:eastAsia="Calibri" w:hAnsiTheme="minorHAnsi" w:cstheme="minorHAnsi"/>
        </w:rPr>
        <w:t xml:space="preserve"> i zarządzanie są odpowiednie i </w:t>
      </w:r>
      <w:r w:rsidRPr="009E064B">
        <w:rPr>
          <w:rFonts w:asciiTheme="minorHAnsi" w:eastAsia="Calibri" w:hAnsiTheme="minorHAnsi" w:cstheme="minorHAnsi"/>
        </w:rPr>
        <w:t>właściwie dobrane do skali i zakresu działania.</w:t>
      </w:r>
    </w:p>
    <w:p w14:paraId="23158F5C" w14:textId="77777777"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Operator lotniska powinien mieć zdolność do wywiązania się ze swoich obowiązków w zakresie bezpieczeństwa. Kierownik odpowiedzialny powinien mieć dostęp, a także upoważnienie do dysponowania niezbędnymi środkami w celu zapewnienia, że operacje są wykonywane zgodnie z obowiązującymi wymogami. Środki te obejmują, lecz nie są ograniczone do personelu, narzędzi i wyposażenia, jak również do środków finansowych.</w:t>
      </w:r>
    </w:p>
    <w:p w14:paraId="0D2980FC"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Uzgodnienia z innymi stronami</w:t>
      </w:r>
    </w:p>
    <w:p w14:paraId="0C45FEBE" w14:textId="0AC1C3AE"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Wnioskodawca powinien wskazać te usługi, które będą świadc</w:t>
      </w:r>
      <w:r w:rsidR="00280803" w:rsidRPr="009E064B">
        <w:rPr>
          <w:rFonts w:asciiTheme="minorHAnsi" w:eastAsia="Calibri" w:hAnsiTheme="minorHAnsi" w:cstheme="minorHAnsi"/>
        </w:rPr>
        <w:t>zone bezpośrednio przez niego i </w:t>
      </w:r>
      <w:r w:rsidRPr="009E064B">
        <w:rPr>
          <w:rFonts w:asciiTheme="minorHAnsi" w:eastAsia="Calibri" w:hAnsiTheme="minorHAnsi" w:cstheme="minorHAnsi"/>
        </w:rPr>
        <w:t>te, które będą świadczone przez strony trzecie, z którymi zawarto umowy w zakresie adekwatności środków.</w:t>
      </w:r>
    </w:p>
    <w:p w14:paraId="744A8587" w14:textId="15F99714" w:rsidR="00033143"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Wnioskodawca powinien również przedstawić dowody uzgodnień, jeśli strony trzecie będą uczestniczyć w świadczeniu usług. Ponadto, wnioskodawca powinien dostarczyć wszelkie istotne informacje potrzebne lub wymagane przez właściwy organ, w odniesieniu do takich stron trzecich.</w:t>
      </w:r>
    </w:p>
    <w:p w14:paraId="2325A126" w14:textId="77777777" w:rsidR="00033143" w:rsidRPr="009E064B" w:rsidRDefault="00033143">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69F18952" w14:textId="38E77D8A" w:rsidR="00490EF1" w:rsidRPr="009E064B" w:rsidRDefault="00490EF1" w:rsidP="00133B99">
      <w:pPr>
        <w:pStyle w:val="Nagwek6"/>
      </w:pPr>
      <w:bookmarkStart w:id="251" w:name="_Toc492024575"/>
      <w:bookmarkStart w:id="252" w:name="_Toc12532649"/>
      <w:r w:rsidRPr="009E064B">
        <w:t xml:space="preserve">GM1 ADR.OR.B.015(b)(5)    </w:t>
      </w:r>
      <w:r w:rsidR="004D6FC2" w:rsidRPr="009E064B">
        <w:t xml:space="preserve"> </w:t>
      </w:r>
      <w:r w:rsidRPr="009E064B">
        <w:t>Wniosek o wydanie certyfikatu</w:t>
      </w:r>
      <w:bookmarkEnd w:id="251"/>
      <w:bookmarkEnd w:id="252"/>
    </w:p>
    <w:p w14:paraId="722E0399" w14:textId="4CAA4033"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A4D0B9A"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ADEKWATNOŚĆ ŚRODKÓW</w:t>
      </w:r>
    </w:p>
    <w:p w14:paraId="28C2F913" w14:textId="448F0806"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r>
      <w:r w:rsidR="009B0A08" w:rsidRPr="009E064B">
        <w:rPr>
          <w:rFonts w:asciiTheme="minorHAnsi" w:eastAsia="Calibri" w:hAnsiTheme="minorHAnsi" w:cstheme="minorHAnsi"/>
        </w:rPr>
        <w:t>Wymagania ogólne</w:t>
      </w:r>
    </w:p>
    <w:p w14:paraId="5ADA177B" w14:textId="77777777"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Podczas demonstrowania właściwemu organowi stosowności swojej struktury organizacyjnej i zarządzania, wnioskodawca powinien w swoich analizach, wziąć pod uwagę między innymi następujące elementy:</w:t>
      </w:r>
    </w:p>
    <w:p w14:paraId="7BC3B1C1"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wielkość i złożoność lotniska;</w:t>
      </w:r>
    </w:p>
    <w:p w14:paraId="1D8744C8"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rodzaj ruchu;</w:t>
      </w:r>
    </w:p>
    <w:p w14:paraId="6966764F"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rodzaj wykonywanych operacji;</w:t>
      </w:r>
    </w:p>
    <w:p w14:paraId="1AD5A3BF"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poziom i natężenie ruchu;</w:t>
      </w:r>
    </w:p>
    <w:p w14:paraId="10F79135"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godziny pracy lotniska;</w:t>
      </w:r>
    </w:p>
    <w:p w14:paraId="048A6849"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ilość w przeliczeniu na pełne etaty (FTE) niezbędnych dla każdego rodzaju działalności;</w:t>
      </w:r>
    </w:p>
    <w:p w14:paraId="4CCF7DAE"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zasady dotyczące czynnika ludzkiego;</w:t>
      </w:r>
    </w:p>
    <w:p w14:paraId="4F1548C9"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prawo pracy; oraz</w:t>
      </w:r>
    </w:p>
    <w:p w14:paraId="7E963948"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stopień podwykonawstwa.</w:t>
      </w:r>
    </w:p>
    <w:p w14:paraId="64207F6E"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Adekwatność środków finansowych</w:t>
      </w:r>
    </w:p>
    <w:p w14:paraId="4DC59DF7" w14:textId="3CB90F61"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Wymagane środki finansowe są związane z ogólnym celem bezpiecznej eksploatacji, utrzymania i obsługi technicznej lotniska, w tym zdolności ope</w:t>
      </w:r>
      <w:r w:rsidR="008C654E" w:rsidRPr="009E064B">
        <w:rPr>
          <w:rFonts w:asciiTheme="minorHAnsi" w:eastAsia="Calibri" w:hAnsiTheme="minorHAnsi" w:cstheme="minorHAnsi"/>
        </w:rPr>
        <w:t>ratora lotniska do wdrożenia, w </w:t>
      </w:r>
      <w:r w:rsidRPr="009E064B">
        <w:rPr>
          <w:rFonts w:asciiTheme="minorHAnsi" w:eastAsia="Calibri" w:hAnsiTheme="minorHAnsi" w:cstheme="minorHAnsi"/>
        </w:rPr>
        <w:t>odpowiednim czasie, potrzebnych działań naprawczych. Informacje, które mogą być dostarczone dla właściwego organu zawierają audytowane sprawozdania finansowe z poprzedniego roku finansowego, biznes plany itp.</w:t>
      </w:r>
    </w:p>
    <w:p w14:paraId="3149E200" w14:textId="0DD7C027" w:rsidR="00490EF1" w:rsidRPr="009E064B" w:rsidRDefault="00490EF1" w:rsidP="00133B99">
      <w:pPr>
        <w:pStyle w:val="Nagwek5"/>
      </w:pPr>
      <w:bookmarkStart w:id="253" w:name="_Toc492024576"/>
      <w:bookmarkStart w:id="254" w:name="_Toc12532650"/>
      <w:r w:rsidRPr="009E064B">
        <w:t xml:space="preserve">AMC1 ADR.OR.B.015(b)(6)    </w:t>
      </w:r>
      <w:r w:rsidR="004D6FC2" w:rsidRPr="009E064B">
        <w:t xml:space="preserve"> </w:t>
      </w:r>
      <w:r w:rsidRPr="009E064B">
        <w:t>Wniosek o wydanie certyfikatu</w:t>
      </w:r>
      <w:bookmarkEnd w:id="253"/>
      <w:bookmarkEnd w:id="254"/>
    </w:p>
    <w:p w14:paraId="7A6FE899" w14:textId="3EDC0DB0"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23B242D"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RELACJE POMIĘDZY WNIOSKODAWCĄ A WŁAŚCICIELEM LOTNISKA</w:t>
      </w:r>
    </w:p>
    <w:p w14:paraId="21E7B016" w14:textId="32FA5DA4"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Wnioskodawca powinien wykazać właściwemu organowi, zgodnie z obowiązującym prawodawstwem krajowym, że jest on należycie upoważniony do podjęcia wszelkich</w:t>
      </w:r>
      <w:r w:rsidR="00280803" w:rsidRPr="009E064B">
        <w:rPr>
          <w:rFonts w:asciiTheme="minorHAnsi" w:eastAsia="Calibri" w:hAnsiTheme="minorHAnsi" w:cstheme="minorHAnsi"/>
        </w:rPr>
        <w:t xml:space="preserve"> niezbędnych działań, zgodnie z </w:t>
      </w:r>
      <w:r w:rsidRPr="009E064B">
        <w:rPr>
          <w:rFonts w:asciiTheme="minorHAnsi" w:eastAsia="Calibri" w:hAnsiTheme="minorHAnsi" w:cstheme="minorHAnsi"/>
        </w:rPr>
        <w:t>przepisami Rozporządzenia Bazowego i jego przepisów wykonawczych oraz wszelkimi innymi, mającymi zastosowanie, przepisami krajowymi i Unii Europejskiej.</w:t>
      </w:r>
    </w:p>
    <w:p w14:paraId="505AF862" w14:textId="6606B74A"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Wnioskodawca powinien również przedstawić właściwemu organowi wszystkie niezbędne informacje, zgodnie z obowiązującym prawodawstwem krajowym, w celu wykazania właściwemu organowi jego relacji z właścicielem lotniska i</w:t>
      </w:r>
      <w:r w:rsidR="00280803" w:rsidRPr="009E064B">
        <w:rPr>
          <w:rFonts w:asciiTheme="minorHAnsi" w:eastAsia="Calibri" w:hAnsiTheme="minorHAnsi" w:cstheme="minorHAnsi"/>
        </w:rPr>
        <w:t> </w:t>
      </w:r>
      <w:r w:rsidRPr="009E064B">
        <w:rPr>
          <w:rFonts w:asciiTheme="minorHAnsi" w:eastAsia="Calibri" w:hAnsiTheme="minorHAnsi" w:cstheme="minorHAnsi"/>
        </w:rPr>
        <w:t>/</w:t>
      </w:r>
      <w:r w:rsidR="00280803" w:rsidRPr="009E064B">
        <w:rPr>
          <w:rFonts w:asciiTheme="minorHAnsi" w:eastAsia="Calibri" w:hAnsiTheme="minorHAnsi" w:cstheme="minorHAnsi"/>
        </w:rPr>
        <w:t> </w:t>
      </w:r>
      <w:r w:rsidRPr="009E064B">
        <w:rPr>
          <w:rFonts w:asciiTheme="minorHAnsi" w:eastAsia="Calibri" w:hAnsiTheme="minorHAnsi" w:cstheme="minorHAnsi"/>
        </w:rPr>
        <w:t>lub właścicielem gruntu, który będzie wykorzystany dla potrzeb rozwoju lotniska.</w:t>
      </w:r>
    </w:p>
    <w:p w14:paraId="4CF7B0E0"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Dokumentacja taka powinna obejmować, lecz nie ograniczać się do kontraktów, umów leasingowych, upoważnień między zaangażowanymi osobami, itp.</w:t>
      </w:r>
    </w:p>
    <w:p w14:paraId="55496315" w14:textId="427FEFC0" w:rsidR="00490EF1" w:rsidRPr="009E064B" w:rsidRDefault="00490EF1" w:rsidP="00133B99">
      <w:pPr>
        <w:pStyle w:val="Nagwek5"/>
      </w:pPr>
      <w:bookmarkStart w:id="255" w:name="_Toc492024577"/>
      <w:bookmarkStart w:id="256" w:name="_Toc12532651"/>
      <w:r w:rsidRPr="009E064B">
        <w:t xml:space="preserve">AMC1 ADR.OR.B.015(b)(7)    </w:t>
      </w:r>
      <w:r w:rsidR="004D6FC2" w:rsidRPr="009E064B">
        <w:t xml:space="preserve"> </w:t>
      </w:r>
      <w:r w:rsidRPr="009E064B">
        <w:t>Wniosek o wydanie certyfikatu</w:t>
      </w:r>
      <w:bookmarkEnd w:id="255"/>
      <w:bookmarkEnd w:id="256"/>
    </w:p>
    <w:p w14:paraId="7B6AF112" w14:textId="29DD5EC8"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0AF3494"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PRZEKAZYWANE INFORMACJE O KADRZE ZARZĄDZAJĄCEJ</w:t>
      </w:r>
    </w:p>
    <w:p w14:paraId="6C80E11D" w14:textId="3058500C" w:rsidR="00D24A22"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Wnioskodawca powinien przekazać informacje dotyczące kwalifikacji i doświadczenia kierownika odpowiedzialnego i innych wymaganych wyznaczonych osób.</w:t>
      </w:r>
    </w:p>
    <w:p w14:paraId="2748FD17" w14:textId="148CD9F0" w:rsidR="00490EF1" w:rsidRPr="009E064B" w:rsidRDefault="00490EF1" w:rsidP="00133B99">
      <w:pPr>
        <w:pStyle w:val="Nagwek5"/>
      </w:pPr>
      <w:bookmarkStart w:id="257" w:name="_Toc492024578"/>
      <w:bookmarkStart w:id="258" w:name="_Toc12532652"/>
      <w:r w:rsidRPr="009E064B">
        <w:t xml:space="preserve">AMC1 ADR.OR.B.015(b)(9) </w:t>
      </w:r>
      <w:r w:rsidR="004D6FC2" w:rsidRPr="009E064B">
        <w:t xml:space="preserve">    </w:t>
      </w:r>
      <w:r w:rsidRPr="009E064B">
        <w:t>Wniosek o wydanie certyfikatu</w:t>
      </w:r>
      <w:bookmarkEnd w:id="257"/>
      <w:bookmarkEnd w:id="258"/>
    </w:p>
    <w:p w14:paraId="36221008" w14:textId="2B76E467" w:rsidR="004C349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3CDD0FB"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INSTRUKCJA OPERACYJNA LOTNISKA</w:t>
      </w:r>
    </w:p>
    <w:p w14:paraId="19D7115E"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Instrukcja operacyjna lotniska i jej zmiany mogą być przedkładane właściwemu organowi w formie elektronicznej, jeżeli jest to akceptowane przez właściwy organ. Jeśli instrukcja operacyjna lotniska jest przedkładana w formie elektronicznej, to jej format powinien być taki, aby umożliwiał właściwemu organowi jej przeglądanie, przechowywania i odtwarzanie.</w:t>
      </w:r>
    </w:p>
    <w:p w14:paraId="57B940C4" w14:textId="6201A74A" w:rsidR="00DC7DA6" w:rsidRPr="009E064B" w:rsidRDefault="00DE05DC" w:rsidP="00872370">
      <w:pPr>
        <w:pStyle w:val="Nagwek3"/>
      </w:pPr>
      <w:bookmarkStart w:id="259" w:name="_ADR.OR.B.025__"/>
      <w:bookmarkStart w:id="260" w:name="_Toc12532653"/>
      <w:bookmarkEnd w:id="259"/>
      <w:r w:rsidRPr="009E064B">
        <w:t xml:space="preserve">ADR.OR.B.025 </w:t>
      </w:r>
      <w:r w:rsidR="004D6FC2" w:rsidRPr="009E064B">
        <w:t xml:space="preserve">    </w:t>
      </w:r>
      <w:r w:rsidRPr="009E064B">
        <w:t>Wykazanie zgodności</w:t>
      </w:r>
      <w:bookmarkEnd w:id="260"/>
    </w:p>
    <w:p w14:paraId="78F68314" w14:textId="6752F1F8"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40F9B57" w14:textId="77777777" w:rsidR="00DC7DA6" w:rsidRPr="009E064B" w:rsidRDefault="00CA0684"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1A6D9A" w:rsidRPr="009E064B">
        <w:rPr>
          <w:rFonts w:asciiTheme="minorHAnsi" w:hAnsiTheme="minorHAnsi" w:cstheme="minorHAnsi"/>
          <w:sz w:val="22"/>
          <w:szCs w:val="20"/>
        </w:rPr>
        <w:tab/>
      </w:r>
      <w:r w:rsidR="00DE05DC" w:rsidRPr="009E064B">
        <w:rPr>
          <w:rFonts w:asciiTheme="minorHAnsi" w:hAnsiTheme="minorHAnsi" w:cstheme="minorHAnsi"/>
          <w:sz w:val="22"/>
          <w:szCs w:val="20"/>
        </w:rPr>
        <w:t>O</w:t>
      </w:r>
      <w:r w:rsidR="00FE6F4B" w:rsidRPr="009E064B">
        <w:rPr>
          <w:rFonts w:asciiTheme="minorHAnsi" w:hAnsiTheme="minorHAnsi" w:cstheme="minorHAnsi"/>
          <w:sz w:val="22"/>
          <w:szCs w:val="20"/>
        </w:rPr>
        <w:t xml:space="preserve">perator </w:t>
      </w:r>
      <w:r w:rsidR="00DE05DC" w:rsidRPr="009E064B">
        <w:rPr>
          <w:rFonts w:asciiTheme="minorHAnsi" w:hAnsiTheme="minorHAnsi" w:cstheme="minorHAnsi"/>
          <w:sz w:val="22"/>
          <w:szCs w:val="20"/>
        </w:rPr>
        <w:t>lotniska:</w:t>
      </w:r>
    </w:p>
    <w:p w14:paraId="05C722DD" w14:textId="77777777" w:rsidR="00DC7DA6" w:rsidRPr="009E064B" w:rsidRDefault="00CA0684" w:rsidP="004D6E6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wykonuje i dokumentuje wszystkie niezbędn</w:t>
      </w:r>
      <w:r w:rsidR="004B5157" w:rsidRPr="009E064B">
        <w:rPr>
          <w:rFonts w:asciiTheme="minorHAnsi" w:eastAsia="Times New Roman" w:hAnsiTheme="minorHAnsi" w:cstheme="minorHAnsi"/>
          <w:szCs w:val="20"/>
        </w:rPr>
        <w:t xml:space="preserve">e działania, inspekcje, testy, oceny bezpieczeństwa bądź ćwiczenia, a </w:t>
      </w:r>
      <w:r w:rsidR="00DE05DC" w:rsidRPr="009E064B">
        <w:rPr>
          <w:rFonts w:asciiTheme="minorHAnsi" w:eastAsia="Times New Roman" w:hAnsiTheme="minorHAnsi" w:cstheme="minorHAnsi"/>
          <w:szCs w:val="20"/>
        </w:rPr>
        <w:t>także wykazuje przed właściwym organem:</w:t>
      </w:r>
    </w:p>
    <w:p w14:paraId="43912BFC" w14:textId="04938A2B" w:rsidR="00DC7DA6" w:rsidRPr="009E064B" w:rsidRDefault="00CA0684" w:rsidP="004D6E6A">
      <w:pPr>
        <w:tabs>
          <w:tab w:val="left" w:pos="1701"/>
        </w:tabs>
        <w:ind w:left="1701"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zgodność ze zgłoszoną podstawą certyfikacji, specyfikacjami certyfikacyjnymi mającymi zastosowanie do zmiany, wszelkimi wytycznymi bezpieczeństwa (stosownie do przypadku) oraz stosownymi wymaganiami rozporządzenia </w:t>
      </w:r>
      <w:r w:rsidR="001A6D9A" w:rsidRPr="009E064B">
        <w:rPr>
          <w:rFonts w:asciiTheme="minorHAnsi" w:eastAsia="Times New Roman" w:hAnsiTheme="minorHAnsi" w:cstheme="minorHAnsi"/>
          <w:szCs w:val="20"/>
        </w:rPr>
        <w:t>(WE)</w:t>
      </w:r>
      <w:r w:rsidR="002C0858" w:rsidRPr="009E064B">
        <w:rPr>
          <w:rFonts w:asciiTheme="minorHAnsi" w:eastAsia="Times New Roman" w:hAnsiTheme="minorHAnsi" w:cstheme="minorHAnsi"/>
          <w:szCs w:val="20"/>
        </w:rPr>
        <w:t xml:space="preserve"> nr </w:t>
      </w:r>
      <w:r w:rsidR="001A6D9A" w:rsidRPr="009E064B">
        <w:rPr>
          <w:rFonts w:asciiTheme="minorHAnsi" w:eastAsia="Times New Roman" w:hAnsiTheme="minorHAnsi" w:cstheme="minorHAnsi"/>
          <w:szCs w:val="20"/>
        </w:rPr>
        <w:t>216/2008</w:t>
      </w:r>
      <w:r w:rsidR="00DE05DC" w:rsidRPr="009E064B">
        <w:rPr>
          <w:rFonts w:asciiTheme="minorHAnsi" w:eastAsia="Times New Roman" w:hAnsiTheme="minorHAnsi" w:cstheme="minorHAnsi"/>
          <w:szCs w:val="20"/>
        </w:rPr>
        <w:t xml:space="preserve"> </w:t>
      </w:r>
      <w:r w:rsidR="001A6D9A" w:rsidRPr="009E064B">
        <w:rPr>
          <w:rFonts w:asciiTheme="minorHAnsi" w:eastAsia="Times New Roman" w:hAnsiTheme="minorHAnsi" w:cstheme="minorHAnsi"/>
          <w:szCs w:val="20"/>
        </w:rPr>
        <w:t>i</w:t>
      </w:r>
      <w:r w:rsidR="00DE05DC" w:rsidRPr="009E064B">
        <w:rPr>
          <w:rFonts w:asciiTheme="minorHAnsi" w:eastAsia="Times New Roman" w:hAnsiTheme="minorHAnsi" w:cstheme="minorHAnsi"/>
          <w:szCs w:val="20"/>
        </w:rPr>
        <w:t xml:space="preserve"> jego przepisów wykonawczych;</w:t>
      </w:r>
    </w:p>
    <w:p w14:paraId="33514920" w14:textId="77777777" w:rsidR="00DC7DA6" w:rsidRPr="009E064B" w:rsidRDefault="00CA0684" w:rsidP="004D6E6A">
      <w:pPr>
        <w:tabs>
          <w:tab w:val="left" w:pos="1701"/>
        </w:tabs>
        <w:ind w:left="1701"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(ii)</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że lotnisko oraz powierzchnia ograniczają</w:t>
      </w:r>
      <w:r w:rsidR="001A6D9A" w:rsidRPr="009E064B">
        <w:rPr>
          <w:rFonts w:asciiTheme="minorHAnsi" w:eastAsia="Times New Roman" w:hAnsiTheme="minorHAnsi" w:cstheme="minorHAnsi"/>
          <w:szCs w:val="20"/>
        </w:rPr>
        <w:t>ca</w:t>
      </w:r>
      <w:r w:rsidR="00DE05DC" w:rsidRPr="009E064B">
        <w:rPr>
          <w:rFonts w:asciiTheme="minorHAnsi" w:eastAsia="Times New Roman" w:hAnsiTheme="minorHAnsi" w:cstheme="minorHAnsi"/>
          <w:szCs w:val="20"/>
        </w:rPr>
        <w:t xml:space="preserve"> </w:t>
      </w:r>
      <w:r w:rsidR="001A6D9A" w:rsidRPr="009E064B">
        <w:rPr>
          <w:rFonts w:asciiTheme="minorHAnsi" w:eastAsia="Times New Roman" w:hAnsiTheme="minorHAnsi" w:cstheme="minorHAnsi"/>
          <w:szCs w:val="20"/>
        </w:rPr>
        <w:t>przeszkody</w:t>
      </w:r>
      <w:r w:rsidR="00DE05DC" w:rsidRPr="009E064B">
        <w:rPr>
          <w:rFonts w:asciiTheme="minorHAnsi" w:eastAsia="Times New Roman" w:hAnsiTheme="minorHAnsi" w:cstheme="minorHAnsi"/>
          <w:szCs w:val="20"/>
        </w:rPr>
        <w:t xml:space="preserve"> </w:t>
      </w:r>
      <w:r w:rsidR="001A6D9A" w:rsidRPr="009E064B">
        <w:rPr>
          <w:rFonts w:asciiTheme="minorHAnsi" w:eastAsia="Times New Roman" w:hAnsiTheme="minorHAnsi" w:cstheme="minorHAnsi"/>
          <w:szCs w:val="20"/>
        </w:rPr>
        <w:t>i</w:t>
      </w:r>
      <w:r w:rsidR="00DE05DC" w:rsidRPr="009E064B">
        <w:rPr>
          <w:rFonts w:asciiTheme="minorHAnsi" w:eastAsia="Times New Roman" w:hAnsiTheme="minorHAnsi" w:cstheme="minorHAnsi"/>
          <w:szCs w:val="20"/>
        </w:rPr>
        <w:t xml:space="preserve"> </w:t>
      </w:r>
      <w:r w:rsidR="001A6D9A" w:rsidRPr="009E064B">
        <w:rPr>
          <w:rFonts w:asciiTheme="minorHAnsi" w:eastAsia="Times New Roman" w:hAnsiTheme="minorHAnsi" w:cstheme="minorHAnsi"/>
          <w:szCs w:val="20"/>
        </w:rPr>
        <w:t>powierzchnia</w:t>
      </w:r>
      <w:r w:rsidR="00DE05DC" w:rsidRPr="009E064B">
        <w:rPr>
          <w:rFonts w:asciiTheme="minorHAnsi" w:eastAsia="Times New Roman" w:hAnsiTheme="minorHAnsi" w:cstheme="minorHAnsi"/>
          <w:szCs w:val="20"/>
        </w:rPr>
        <w:t xml:space="preserve"> zabezpieczenia przeszkodowego, a także inne obszary powiązane z lotniskiem, nie posiadają cech lub właściwości, które stwarzałyby zagrożenie dla operacji; oraz</w:t>
      </w:r>
    </w:p>
    <w:p w14:paraId="506F1DA7" w14:textId="77777777" w:rsidR="00DC7DA6" w:rsidRPr="009E064B" w:rsidRDefault="00CA0684" w:rsidP="004D6E6A">
      <w:pPr>
        <w:tabs>
          <w:tab w:val="left" w:pos="1701"/>
        </w:tabs>
        <w:ind w:left="1701"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(iii)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że posiadane przez nie</w:t>
      </w:r>
      <w:r w:rsidR="00470FEB" w:rsidRPr="009E064B">
        <w:rPr>
          <w:rFonts w:asciiTheme="minorHAnsi" w:eastAsia="Times New Roman" w:hAnsiTheme="minorHAnsi" w:cstheme="minorHAnsi"/>
          <w:szCs w:val="20"/>
        </w:rPr>
        <w:t>go</w:t>
      </w:r>
      <w:r w:rsidR="00DE05DC" w:rsidRPr="009E064B">
        <w:rPr>
          <w:rFonts w:asciiTheme="minorHAnsi" w:eastAsia="Times New Roman" w:hAnsiTheme="minorHAnsi" w:cstheme="minorHAnsi"/>
          <w:szCs w:val="20"/>
        </w:rPr>
        <w:t xml:space="preserve"> procedury lotu zostały zatwierdzone.</w:t>
      </w:r>
    </w:p>
    <w:p w14:paraId="51D15F04" w14:textId="018C15EC" w:rsidR="00DC7DA6" w:rsidRPr="009E064B" w:rsidRDefault="00CA0684" w:rsidP="004D6E6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przedstawia właściwemu organowi sposoby, za pomocą których wykazano zgodność </w:t>
      </w:r>
      <w:r w:rsidR="001A6D9A" w:rsidRPr="009E064B">
        <w:rPr>
          <w:rFonts w:asciiTheme="minorHAnsi" w:eastAsia="Times New Roman" w:hAnsiTheme="minorHAnsi" w:cstheme="minorHAnsi"/>
          <w:szCs w:val="20"/>
        </w:rPr>
        <w:t>z</w:t>
      </w:r>
      <w:r w:rsidR="00280803"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przepisami; oraz</w:t>
      </w:r>
    </w:p>
    <w:p w14:paraId="68370400" w14:textId="4660522D" w:rsidR="00DC7DA6" w:rsidRPr="009E064B" w:rsidRDefault="00CA0684" w:rsidP="004D6E6A">
      <w:pPr>
        <w:tabs>
          <w:tab w:val="left" w:pos="1134"/>
        </w:tabs>
        <w:ind w:left="1134"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001A6D9A"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zgłasza właściwemu organowi zgodność z przepisem lit. </w:t>
      </w:r>
      <w:r w:rsidR="00004A22"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 xml:space="preserve">a) pkt </w:t>
      </w:r>
      <w:r w:rsidR="00004A22"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1</w:t>
      </w:r>
      <w:r w:rsidR="00004A22"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w:t>
      </w:r>
    </w:p>
    <w:p w14:paraId="21A17541" w14:textId="782A6DF7" w:rsidR="00DC7DA6" w:rsidRPr="009E064B" w:rsidRDefault="00CA0684"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1A6D9A" w:rsidRPr="009E064B">
        <w:rPr>
          <w:rFonts w:asciiTheme="minorHAnsi" w:hAnsiTheme="minorHAnsi" w:cstheme="minorHAnsi"/>
          <w:sz w:val="22"/>
          <w:szCs w:val="20"/>
        </w:rPr>
        <w:tab/>
      </w:r>
      <w:r w:rsidR="00DE05DC" w:rsidRPr="009E064B">
        <w:rPr>
          <w:rFonts w:asciiTheme="minorHAnsi" w:hAnsiTheme="minorHAnsi" w:cstheme="minorHAnsi"/>
          <w:sz w:val="22"/>
          <w:szCs w:val="20"/>
        </w:rPr>
        <w:t>Odpowiednie informacje projektowe, w tym rysunki oraz spr</w:t>
      </w:r>
      <w:r w:rsidR="002C0858" w:rsidRPr="009E064B">
        <w:rPr>
          <w:rFonts w:asciiTheme="minorHAnsi" w:hAnsiTheme="minorHAnsi" w:cstheme="minorHAnsi"/>
          <w:sz w:val="22"/>
          <w:szCs w:val="20"/>
        </w:rPr>
        <w:t>awozdania z inspekcji, testów i </w:t>
      </w:r>
      <w:r w:rsidR="00DE05DC" w:rsidRPr="009E064B">
        <w:rPr>
          <w:rFonts w:asciiTheme="minorHAnsi" w:hAnsiTheme="minorHAnsi" w:cstheme="minorHAnsi"/>
          <w:sz w:val="22"/>
          <w:szCs w:val="20"/>
        </w:rPr>
        <w:t xml:space="preserve">inne odpowiednie sprawozdania, są przechowywane przez operatora lotniska do dyspozycji właściwego organu zgodnie z przepisami </w:t>
      </w:r>
      <w:hyperlink w:anchor="_ADR.OR.D.035__" w:history="1">
        <w:r w:rsidR="00DE05DC" w:rsidRPr="009E064B">
          <w:rPr>
            <w:rStyle w:val="Hipercze"/>
            <w:rFonts w:asciiTheme="minorHAnsi" w:hAnsiTheme="minorHAnsi" w:cstheme="minorHAnsi"/>
            <w:sz w:val="22"/>
            <w:szCs w:val="20"/>
          </w:rPr>
          <w:t>ADR.OR.D.035</w:t>
        </w:r>
      </w:hyperlink>
      <w:r w:rsidR="00DE05DC" w:rsidRPr="009E064B">
        <w:rPr>
          <w:rFonts w:asciiTheme="minorHAnsi" w:hAnsiTheme="minorHAnsi" w:cstheme="minorHAnsi"/>
          <w:sz w:val="22"/>
          <w:szCs w:val="20"/>
        </w:rPr>
        <w:t xml:space="preserve"> i przedstawiane właściwemu organowi na jego żądanie.</w:t>
      </w:r>
    </w:p>
    <w:p w14:paraId="598D576A" w14:textId="77777777" w:rsidR="005E610B" w:rsidRPr="009E064B" w:rsidRDefault="005E610B" w:rsidP="00133B99">
      <w:pPr>
        <w:pStyle w:val="Nagwek5"/>
      </w:pPr>
      <w:bookmarkStart w:id="261" w:name="_Toc492024581"/>
      <w:bookmarkStart w:id="262" w:name="_Toc12532654"/>
      <w:r w:rsidRPr="009E064B">
        <w:t>AMC1 ADR.OR.B.025(a)(1)    Wykazanie zgodności</w:t>
      </w:r>
      <w:bookmarkEnd w:id="261"/>
      <w:bookmarkEnd w:id="262"/>
    </w:p>
    <w:p w14:paraId="3207EB22" w14:textId="7FDAFAFF" w:rsidR="004D6E6A" w:rsidRPr="009E064B" w:rsidRDefault="00D63D4F" w:rsidP="004D6E6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E5F551A" w14:textId="33AD64A3" w:rsidR="005E610B" w:rsidRPr="009E064B" w:rsidRDefault="005E610B" w:rsidP="004D6E6A">
      <w:pPr>
        <w:widowControl/>
        <w:spacing w:line="288" w:lineRule="auto"/>
        <w:rPr>
          <w:rFonts w:asciiTheme="minorHAnsi" w:eastAsia="Calibri" w:hAnsiTheme="minorHAnsi" w:cstheme="minorHAnsi"/>
          <w:szCs w:val="18"/>
        </w:rPr>
      </w:pPr>
      <w:r w:rsidRPr="009E064B">
        <w:rPr>
          <w:rFonts w:asciiTheme="minorHAnsi" w:eastAsia="Calibri" w:hAnsiTheme="minorHAnsi" w:cstheme="minorHAnsi"/>
          <w:szCs w:val="18"/>
        </w:rPr>
        <w:t>WYKORZYSTANIE STRONY TRZECIEJ DO WYKAZANIA ZGODNOŚCI</w:t>
      </w:r>
    </w:p>
    <w:p w14:paraId="4A5086E2" w14:textId="77777777" w:rsidR="005E610B" w:rsidRPr="009E064B" w:rsidRDefault="005E610B" w:rsidP="005E610B">
      <w:pPr>
        <w:widowControl/>
        <w:spacing w:before="120" w:line="288" w:lineRule="auto"/>
        <w:rPr>
          <w:rFonts w:asciiTheme="minorHAnsi" w:eastAsia="Calibri" w:hAnsiTheme="minorHAnsi" w:cstheme="minorHAnsi"/>
          <w:szCs w:val="18"/>
        </w:rPr>
      </w:pPr>
      <w:r w:rsidRPr="009E064B">
        <w:rPr>
          <w:rFonts w:asciiTheme="minorHAnsi" w:eastAsia="Calibri" w:hAnsiTheme="minorHAnsi" w:cstheme="minorHAnsi"/>
          <w:szCs w:val="18"/>
        </w:rPr>
        <w:t>Podczas realizacji niezbędnych działań, inspekcji, testów, ocen bezpieczeństwa lub ćwiczeń niezbędnych do wykazania zgodności, operator lotniska może również wykorzystać strony trzecie, z którymi zawarł stosowne umowy.</w:t>
      </w:r>
    </w:p>
    <w:p w14:paraId="0E536E09" w14:textId="77777777" w:rsidR="005E610B" w:rsidRPr="009E064B" w:rsidRDefault="005E610B" w:rsidP="005E610B">
      <w:pPr>
        <w:widowControl/>
        <w:spacing w:before="120" w:line="288" w:lineRule="auto"/>
        <w:rPr>
          <w:rFonts w:asciiTheme="minorHAnsi" w:eastAsia="Calibri" w:hAnsiTheme="minorHAnsi" w:cstheme="minorHAnsi"/>
          <w:szCs w:val="18"/>
        </w:rPr>
      </w:pPr>
      <w:r w:rsidRPr="009E064B">
        <w:rPr>
          <w:rFonts w:asciiTheme="minorHAnsi" w:eastAsia="Calibri" w:hAnsiTheme="minorHAnsi" w:cstheme="minorHAnsi"/>
          <w:szCs w:val="18"/>
        </w:rPr>
        <w:t>W każdym przypadku odpowiedzialność spoczywa na operatorze lotniska.</w:t>
      </w:r>
    </w:p>
    <w:p w14:paraId="71163049" w14:textId="77777777" w:rsidR="005E610B" w:rsidRPr="009E064B" w:rsidRDefault="005E610B" w:rsidP="00133B99">
      <w:pPr>
        <w:pStyle w:val="Nagwek5"/>
      </w:pPr>
      <w:bookmarkStart w:id="263" w:name="_Toc492024582"/>
      <w:bookmarkStart w:id="264" w:name="_Toc12532655"/>
      <w:r w:rsidRPr="009E064B">
        <w:t>AMC2 ADR.OR.B.025(a)(1)    Wykazanie zgodności</w:t>
      </w:r>
      <w:bookmarkEnd w:id="263"/>
      <w:bookmarkEnd w:id="264"/>
    </w:p>
    <w:p w14:paraId="6ED24B3E" w14:textId="0687ABC0" w:rsidR="004D6E6A" w:rsidRPr="009E064B" w:rsidRDefault="00D63D4F" w:rsidP="004D6E6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B475734" w14:textId="316A8924" w:rsidR="005E610B" w:rsidRPr="009E064B" w:rsidRDefault="005E610B" w:rsidP="004D6E6A">
      <w:pPr>
        <w:widowControl/>
        <w:spacing w:line="288" w:lineRule="auto"/>
        <w:rPr>
          <w:rFonts w:asciiTheme="minorHAnsi" w:eastAsia="Calibri" w:hAnsiTheme="minorHAnsi" w:cstheme="minorHAnsi"/>
          <w:szCs w:val="18"/>
        </w:rPr>
      </w:pPr>
      <w:r w:rsidRPr="009E064B">
        <w:rPr>
          <w:rFonts w:asciiTheme="minorHAnsi" w:eastAsia="Calibri" w:hAnsiTheme="minorHAnsi" w:cstheme="minorHAnsi"/>
          <w:szCs w:val="18"/>
        </w:rPr>
        <w:t>PROCEDURY LOTU</w:t>
      </w:r>
    </w:p>
    <w:p w14:paraId="7AE95B4D" w14:textId="77777777" w:rsidR="005E610B" w:rsidRPr="009E064B" w:rsidRDefault="005E610B" w:rsidP="005E610B">
      <w:pPr>
        <w:widowControl/>
        <w:spacing w:before="120" w:line="288" w:lineRule="auto"/>
        <w:rPr>
          <w:rFonts w:asciiTheme="minorHAnsi" w:eastAsia="Calibri" w:hAnsiTheme="minorHAnsi" w:cstheme="minorHAnsi"/>
          <w:szCs w:val="18"/>
        </w:rPr>
      </w:pPr>
      <w:r w:rsidRPr="009E064B">
        <w:rPr>
          <w:rFonts w:asciiTheme="minorHAnsi" w:eastAsia="Calibri" w:hAnsiTheme="minorHAnsi" w:cstheme="minorHAnsi"/>
          <w:szCs w:val="18"/>
        </w:rPr>
        <w:t>Dowód na to, że procedury lotów dla lotniska zostały zatwierdzone, zgodnie z obowiązującymi wymogami, jest uznawany, jako akceptowalny sposób spełnienia wymagań (AMC).</w:t>
      </w:r>
    </w:p>
    <w:p w14:paraId="43C4BD68" w14:textId="77777777" w:rsidR="005E610B" w:rsidRPr="009E064B" w:rsidRDefault="005E610B" w:rsidP="00133B99">
      <w:pPr>
        <w:pStyle w:val="Nagwek6"/>
      </w:pPr>
      <w:bookmarkStart w:id="265" w:name="_Toc492024583"/>
      <w:bookmarkStart w:id="266" w:name="_Toc12532656"/>
      <w:r w:rsidRPr="009E064B">
        <w:t>GM1 ADR.OR.B.025(a)(3)    Wykazanie zgodności</w:t>
      </w:r>
      <w:bookmarkEnd w:id="265"/>
      <w:bookmarkEnd w:id="266"/>
    </w:p>
    <w:p w14:paraId="666A188E" w14:textId="3444B711" w:rsidR="004D6E6A" w:rsidRPr="009E064B" w:rsidRDefault="00D63D4F" w:rsidP="004D6E6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DA326A1" w14:textId="22ED3C13" w:rsidR="005E610B" w:rsidRPr="009E064B" w:rsidRDefault="005E610B" w:rsidP="004D6E6A">
      <w:pPr>
        <w:widowControl/>
        <w:spacing w:before="120" w:after="0" w:line="288" w:lineRule="auto"/>
        <w:rPr>
          <w:rFonts w:asciiTheme="minorHAnsi" w:eastAsia="Calibri" w:hAnsiTheme="minorHAnsi" w:cstheme="minorHAnsi"/>
          <w:szCs w:val="18"/>
        </w:rPr>
      </w:pPr>
      <w:r w:rsidRPr="009E064B">
        <w:rPr>
          <w:rFonts w:asciiTheme="minorHAnsi" w:eastAsia="Calibri" w:hAnsiTheme="minorHAnsi" w:cstheme="minorHAnsi"/>
          <w:szCs w:val="18"/>
        </w:rPr>
        <w:t>WZÓR FORMULARZA DEKLARACJI ZGODNOŚCI — OPERATOR LOTNISKA</w:t>
      </w:r>
    </w:p>
    <w:p w14:paraId="270DE540" w14:textId="77777777" w:rsidR="005E610B" w:rsidRPr="009E064B" w:rsidRDefault="005E610B" w:rsidP="005E610B">
      <w:pPr>
        <w:widowControl/>
        <w:spacing w:after="0" w:line="288" w:lineRule="auto"/>
        <w:rPr>
          <w:rFonts w:asciiTheme="minorHAnsi" w:eastAsia="Calibri" w:hAnsiTheme="minorHAnsi" w:cstheme="minorHAnsi"/>
          <w:sz w:val="20"/>
          <w:szCs w:val="18"/>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9286"/>
      </w:tblGrid>
      <w:tr w:rsidR="005E610B" w:rsidRPr="009E064B" w14:paraId="52871D66" w14:textId="77777777" w:rsidTr="004D6E6A">
        <w:tc>
          <w:tcPr>
            <w:tcW w:w="5000" w:type="pct"/>
            <w:tcBorders>
              <w:top w:val="single" w:sz="4" w:space="0" w:color="auto"/>
              <w:bottom w:val="single" w:sz="4" w:space="0" w:color="auto"/>
            </w:tcBorders>
            <w:tcMar>
              <w:top w:w="28" w:type="dxa"/>
              <w:bottom w:w="28" w:type="dxa"/>
            </w:tcMar>
            <w:vAlign w:val="center"/>
          </w:tcPr>
          <w:p w14:paraId="5B209E57" w14:textId="77777777" w:rsidR="005E610B" w:rsidRPr="009E064B" w:rsidRDefault="005E610B" w:rsidP="005E610B">
            <w:pPr>
              <w:widowControl/>
              <w:spacing w:before="120" w:line="288" w:lineRule="auto"/>
              <w:jc w:val="center"/>
              <w:rPr>
                <w:rFonts w:asciiTheme="minorHAnsi" w:eastAsia="Calibri" w:hAnsiTheme="minorHAnsi" w:cstheme="minorHAnsi"/>
                <w:b/>
                <w:bCs/>
                <w:sz w:val="20"/>
                <w:szCs w:val="18"/>
              </w:rPr>
            </w:pPr>
            <w:r w:rsidRPr="009E064B">
              <w:rPr>
                <w:rFonts w:asciiTheme="minorHAnsi" w:eastAsia="Calibri" w:hAnsiTheme="minorHAnsi" w:cstheme="minorHAnsi"/>
                <w:b/>
                <w:bCs/>
                <w:sz w:val="20"/>
                <w:szCs w:val="18"/>
              </w:rPr>
              <w:t>Deklaracja zgodności operatora lotniska</w:t>
            </w:r>
          </w:p>
          <w:p w14:paraId="0D67647F" w14:textId="1815F02D" w:rsidR="005E610B" w:rsidRPr="009E064B" w:rsidRDefault="005E610B" w:rsidP="00F809D7">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Zgodnie z rozporządzeniem Komisji (UE) nr XXX/2013 ustanawiającym wymagania oraz procedury administracyjne dotyczące lotnisk zgodnie z rozporządzeniem Parlamentu Europejskiego i Rady (WE) nr</w:t>
            </w:r>
            <w:r w:rsidR="00F809D7" w:rsidRPr="009E064B">
              <w:rPr>
                <w:rFonts w:asciiTheme="minorHAnsi" w:eastAsia="Calibri" w:hAnsiTheme="minorHAnsi" w:cstheme="minorHAnsi"/>
                <w:sz w:val="20"/>
                <w:szCs w:val="18"/>
              </w:rPr>
              <w:t> </w:t>
            </w:r>
            <w:r w:rsidRPr="009E064B">
              <w:rPr>
                <w:rFonts w:asciiTheme="minorHAnsi" w:eastAsia="Calibri" w:hAnsiTheme="minorHAnsi" w:cstheme="minorHAnsi"/>
                <w:sz w:val="20"/>
                <w:szCs w:val="18"/>
              </w:rPr>
              <w:t>216/2008.</w:t>
            </w:r>
          </w:p>
        </w:tc>
      </w:tr>
      <w:tr w:rsidR="005E610B" w:rsidRPr="009E064B" w14:paraId="5225D406" w14:textId="77777777" w:rsidTr="004D6E6A">
        <w:trPr>
          <w:trHeight w:val="414"/>
        </w:trPr>
        <w:tc>
          <w:tcPr>
            <w:tcW w:w="5000" w:type="pct"/>
            <w:tcBorders>
              <w:top w:val="single" w:sz="4" w:space="0" w:color="auto"/>
              <w:bottom w:val="single" w:sz="4" w:space="0" w:color="auto"/>
            </w:tcBorders>
            <w:vAlign w:val="center"/>
          </w:tcPr>
          <w:p w14:paraId="247FB3EA"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b/>
                <w:bCs/>
                <w:sz w:val="20"/>
                <w:szCs w:val="18"/>
              </w:rPr>
              <w:t xml:space="preserve">Nazwa lotniska – Oznaczenie lokalizacji:  </w:t>
            </w:r>
            <w:r w:rsidRPr="009E064B">
              <w:rPr>
                <w:rFonts w:asciiTheme="minorHAnsi" w:eastAsia="Calibri" w:hAnsiTheme="minorHAnsi" w:cstheme="minorHAnsi"/>
                <w:sz w:val="20"/>
                <w:szCs w:val="18"/>
              </w:rPr>
              <w:t>……………………………….………………………………………….……</w:t>
            </w:r>
          </w:p>
        </w:tc>
      </w:tr>
      <w:tr w:rsidR="005E610B" w:rsidRPr="009E064B" w14:paraId="339A3236" w14:textId="77777777" w:rsidTr="005E610B">
        <w:tc>
          <w:tcPr>
            <w:tcW w:w="5000" w:type="pct"/>
            <w:tcBorders>
              <w:top w:val="single" w:sz="4" w:space="0" w:color="auto"/>
              <w:bottom w:val="single" w:sz="4" w:space="0" w:color="auto"/>
            </w:tcBorders>
          </w:tcPr>
          <w:p w14:paraId="1043D6FB"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b/>
                <w:bCs/>
                <w:sz w:val="20"/>
                <w:szCs w:val="18"/>
              </w:rPr>
              <w:t>Operator lotniska:</w:t>
            </w:r>
          </w:p>
          <w:p w14:paraId="159B04C6"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Nazwa: . ……………………………………….……………………………………………………………………………………………………</w:t>
            </w:r>
          </w:p>
          <w:p w14:paraId="7712CC22"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Siedziba lub miejsce rezydowania operatora:  ……………………………………………………………………………..…</w:t>
            </w:r>
          </w:p>
          <w:p w14:paraId="272E3B00"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Imię i nazwisko oraz dane kontaktowe kierownika odpowiedzialnego: …………………………………………</w:t>
            </w:r>
          </w:p>
        </w:tc>
      </w:tr>
      <w:tr w:rsidR="005E610B" w:rsidRPr="009E064B" w14:paraId="00148145" w14:textId="77777777" w:rsidTr="005E610B">
        <w:tc>
          <w:tcPr>
            <w:tcW w:w="5000" w:type="pct"/>
            <w:tcBorders>
              <w:top w:val="single" w:sz="4" w:space="0" w:color="auto"/>
              <w:bottom w:val="single" w:sz="4" w:space="0" w:color="auto"/>
            </w:tcBorders>
            <w:vAlign w:val="center"/>
          </w:tcPr>
          <w:p w14:paraId="3D8518D6" w14:textId="77777777" w:rsidR="005E610B" w:rsidRPr="009E064B" w:rsidRDefault="005E610B" w:rsidP="005E610B">
            <w:pPr>
              <w:widowControl/>
              <w:spacing w:before="120" w:line="288" w:lineRule="auto"/>
              <w:rPr>
                <w:rFonts w:asciiTheme="minorHAnsi" w:eastAsia="Calibri" w:hAnsiTheme="minorHAnsi" w:cstheme="minorHAnsi"/>
                <w:b/>
                <w:bCs/>
                <w:sz w:val="20"/>
                <w:szCs w:val="18"/>
              </w:rPr>
            </w:pPr>
            <w:r w:rsidRPr="009E064B">
              <w:rPr>
                <w:rFonts w:asciiTheme="minorHAnsi" w:eastAsia="Calibri" w:hAnsiTheme="minorHAnsi" w:cstheme="minorHAnsi"/>
                <w:b/>
                <w:bCs/>
                <w:sz w:val="20"/>
                <w:szCs w:val="18"/>
              </w:rPr>
              <w:t>Oświadczenie:</w:t>
            </w:r>
          </w:p>
          <w:p w14:paraId="36168DB4"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Podstawa certyfikacji jest przestrzegana, a lotnisko, jak również jego powierzchnie ograniczające przeszkody, powierzchnie zabezpieczenia przeszkodowego i inne obszary związane z lotniskiem nie posiadają cech lub charakterystyk czyniących go niebezpiecznym podczas eksploatacji.</w:t>
            </w:r>
          </w:p>
          <w:p w14:paraId="1A470291" w14:textId="77777777"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Wszyscy pracownicy są odpowiednio wykwalifikowani, kompetentni i wyszkoleni zgodnie z obowiązującymi wymogami.</w:t>
            </w:r>
          </w:p>
          <w:p w14:paraId="313A35CA" w14:textId="2D6C11D5"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 xml:space="preserve">Dokumentacja systemu zarządzania, w tym instrukcja operacyjna lotniska, jest zgodna z obowiązującymi wymogami określonymi w </w:t>
            </w:r>
            <w:hyperlink w:anchor="_ZAŁĄCZNIK_III_—" w:history="1">
              <w:r w:rsidR="00F809D7" w:rsidRPr="009E064B">
                <w:rPr>
                  <w:rStyle w:val="Hipercze"/>
                  <w:rFonts w:asciiTheme="minorHAnsi" w:eastAsia="Calibri" w:hAnsiTheme="minorHAnsi" w:cstheme="minorHAnsi"/>
                  <w:sz w:val="20"/>
                  <w:szCs w:val="20"/>
                </w:rPr>
                <w:t>Części ADR.OR</w:t>
              </w:r>
            </w:hyperlink>
            <w:r w:rsidR="00F809D7" w:rsidRPr="009E064B">
              <w:rPr>
                <w:rFonts w:asciiTheme="minorHAnsi" w:eastAsia="Calibri" w:hAnsiTheme="minorHAnsi" w:cstheme="minorHAnsi"/>
                <w:sz w:val="20"/>
                <w:szCs w:val="20"/>
              </w:rPr>
              <w:t xml:space="preserve"> i </w:t>
            </w:r>
            <w:hyperlink w:anchor="_ZAŁĄCZNIK_IV_—" w:history="1">
              <w:r w:rsidR="00F809D7" w:rsidRPr="009E064B">
                <w:rPr>
                  <w:rStyle w:val="Hipercze"/>
                  <w:rFonts w:asciiTheme="minorHAnsi" w:eastAsia="Calibri" w:hAnsiTheme="minorHAnsi" w:cstheme="minorHAnsi"/>
                  <w:sz w:val="20"/>
                  <w:szCs w:val="20"/>
                </w:rPr>
                <w:t>Części ADR.OPS</w:t>
              </w:r>
            </w:hyperlink>
            <w:r w:rsidR="00F809D7" w:rsidRPr="009E064B">
              <w:rPr>
                <w:rFonts w:asciiTheme="minorHAnsi" w:eastAsia="Calibri" w:hAnsiTheme="minorHAnsi" w:cstheme="minorHAnsi"/>
                <w:sz w:val="20"/>
                <w:szCs w:val="20"/>
              </w:rPr>
              <w:t>.</w:t>
            </w:r>
          </w:p>
          <w:p w14:paraId="212E5A4E" w14:textId="3E55B505" w:rsidR="005E610B" w:rsidRPr="009E064B" w:rsidRDefault="005E610B" w:rsidP="005E610B">
            <w:pPr>
              <w:widowControl/>
              <w:spacing w:before="120" w:line="288" w:lineRule="auto"/>
              <w:rPr>
                <w:rFonts w:asciiTheme="minorHAnsi" w:eastAsia="Calibri" w:hAnsiTheme="minorHAnsi" w:cstheme="minorHAnsi"/>
                <w:sz w:val="20"/>
                <w:szCs w:val="18"/>
              </w:rPr>
            </w:pPr>
            <w:r w:rsidRPr="009E064B">
              <w:rPr>
                <w:rFonts w:asciiTheme="minorHAnsi" w:eastAsia="Calibri" w:hAnsiTheme="minorHAnsi" w:cstheme="minorHAnsi"/>
                <w:sz w:val="20"/>
                <w:szCs w:val="18"/>
              </w:rPr>
              <w:t>Eksploatacja, utrzymanie i obsługa techniczna lotniska będą prowadzone zgodnie z wymaganiami rozporządzenia (WE) nr 216/2008 i jego przepisów wykonawczych, warunkami certyfikatu oraz procedurami i</w:t>
            </w:r>
            <w:r w:rsidR="00F809D7" w:rsidRPr="009E064B">
              <w:rPr>
                <w:rFonts w:asciiTheme="minorHAnsi" w:eastAsia="Calibri" w:hAnsiTheme="minorHAnsi" w:cstheme="minorHAnsi"/>
                <w:sz w:val="20"/>
                <w:szCs w:val="18"/>
              </w:rPr>
              <w:t> </w:t>
            </w:r>
            <w:r w:rsidRPr="009E064B">
              <w:rPr>
                <w:rFonts w:asciiTheme="minorHAnsi" w:eastAsia="Calibri" w:hAnsiTheme="minorHAnsi" w:cstheme="minorHAnsi"/>
                <w:sz w:val="20"/>
                <w:szCs w:val="18"/>
              </w:rPr>
              <w:t>instrukcjami określonymi w instrukcji operacyjnej lotniska.</w:t>
            </w:r>
          </w:p>
          <w:p w14:paraId="0A4B2699" w14:textId="77777777" w:rsidR="005E610B" w:rsidRPr="009E064B" w:rsidRDefault="005E610B" w:rsidP="005E610B">
            <w:pPr>
              <w:widowControl/>
              <w:spacing w:before="120" w:line="288" w:lineRule="auto"/>
              <w:rPr>
                <w:rFonts w:asciiTheme="minorHAnsi" w:eastAsia="Calibri" w:hAnsiTheme="minorHAnsi" w:cstheme="minorHAnsi"/>
                <w:b/>
                <w:bCs/>
                <w:sz w:val="20"/>
                <w:szCs w:val="18"/>
              </w:rPr>
            </w:pPr>
            <w:r w:rsidRPr="009E064B">
              <w:rPr>
                <w:rFonts w:asciiTheme="minorHAnsi" w:eastAsia="Calibri" w:hAnsiTheme="minorHAnsi" w:cstheme="minorHAnsi"/>
                <w:sz w:val="20"/>
                <w:szCs w:val="18"/>
              </w:rPr>
              <w:t>Operator lotniska potwierdza, że informacje przedstawione w niniejszej deklaracji są prawdziwe.</w:t>
            </w:r>
          </w:p>
        </w:tc>
      </w:tr>
      <w:tr w:rsidR="005E610B" w:rsidRPr="009E064B" w14:paraId="4FE55615" w14:textId="77777777" w:rsidTr="004D6E6A">
        <w:tc>
          <w:tcPr>
            <w:tcW w:w="5000" w:type="pct"/>
            <w:tcBorders>
              <w:top w:val="single" w:sz="4" w:space="0" w:color="auto"/>
              <w:bottom w:val="single" w:sz="4" w:space="0" w:color="auto"/>
            </w:tcBorders>
          </w:tcPr>
          <w:p w14:paraId="2DAFE4B2" w14:textId="77777777" w:rsidR="005E610B" w:rsidRPr="009E064B" w:rsidRDefault="005E610B" w:rsidP="005E610B">
            <w:pPr>
              <w:widowControl/>
              <w:spacing w:before="120" w:line="288" w:lineRule="auto"/>
              <w:rPr>
                <w:rFonts w:asciiTheme="minorHAnsi" w:eastAsia="Calibri" w:hAnsiTheme="minorHAnsi" w:cstheme="minorHAnsi"/>
                <w:b/>
                <w:bCs/>
                <w:sz w:val="20"/>
                <w:szCs w:val="18"/>
              </w:rPr>
            </w:pPr>
            <w:r w:rsidRPr="009E064B">
              <w:rPr>
                <w:rFonts w:asciiTheme="minorHAnsi" w:eastAsia="Calibri" w:hAnsiTheme="minorHAnsi" w:cstheme="minorHAnsi"/>
                <w:b/>
                <w:bCs/>
                <w:sz w:val="20"/>
                <w:szCs w:val="18"/>
              </w:rPr>
              <w:t xml:space="preserve">Data, imię i nazwisko oraz podpis kierownika odpowiedzialnego: </w:t>
            </w:r>
            <w:r w:rsidRPr="009E064B">
              <w:rPr>
                <w:rFonts w:asciiTheme="minorHAnsi" w:eastAsia="Calibri" w:hAnsiTheme="minorHAnsi" w:cstheme="minorHAnsi"/>
                <w:sz w:val="20"/>
                <w:szCs w:val="18"/>
              </w:rPr>
              <w:t>…………………………………….</w:t>
            </w:r>
          </w:p>
        </w:tc>
      </w:tr>
    </w:tbl>
    <w:p w14:paraId="39A9694C" w14:textId="77777777" w:rsidR="005E610B" w:rsidRPr="009E064B" w:rsidRDefault="005E610B" w:rsidP="004D6E6A">
      <w:pPr>
        <w:pStyle w:val="Tekstpodstawowy"/>
        <w:tabs>
          <w:tab w:val="left" w:pos="567"/>
        </w:tabs>
        <w:spacing w:after="0"/>
        <w:ind w:left="567" w:hanging="567"/>
        <w:rPr>
          <w:rFonts w:asciiTheme="minorHAnsi" w:hAnsiTheme="minorHAnsi" w:cstheme="minorHAnsi"/>
          <w:sz w:val="24"/>
          <w:szCs w:val="20"/>
        </w:rPr>
      </w:pPr>
    </w:p>
    <w:p w14:paraId="4A1BFEC0" w14:textId="2DB153E0" w:rsidR="00DC7DA6" w:rsidRPr="009E064B" w:rsidRDefault="004B5157" w:rsidP="00872370">
      <w:pPr>
        <w:pStyle w:val="Nagwek3"/>
      </w:pPr>
      <w:bookmarkStart w:id="267" w:name="_Toc12532657"/>
      <w:r w:rsidRPr="009E064B">
        <w:t xml:space="preserve">ADR.OR.B.030 </w:t>
      </w:r>
      <w:r w:rsidR="004D6FC2" w:rsidRPr="009E064B">
        <w:t xml:space="preserve">    </w:t>
      </w:r>
      <w:r w:rsidR="00DE05DC" w:rsidRPr="009E064B">
        <w:t>Warunki certyfikatu i uprawnienia posiadacza certyfikatu</w:t>
      </w:r>
      <w:bookmarkEnd w:id="267"/>
    </w:p>
    <w:p w14:paraId="2F08F82C" w14:textId="5117EB97"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6258375" w14:textId="2CD05F4D" w:rsidR="00D121EC"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Operator lotn</w:t>
      </w:r>
      <w:r w:rsidR="004D2EFC" w:rsidRPr="009E064B">
        <w:rPr>
          <w:rFonts w:asciiTheme="minorHAnsi" w:hAnsiTheme="minorHAnsi" w:cstheme="minorHAnsi"/>
          <w:sz w:val="22"/>
          <w:szCs w:val="20"/>
        </w:rPr>
        <w:t xml:space="preserve">iska przestrzega zakresu </w:t>
      </w:r>
      <w:r w:rsidRPr="009E064B">
        <w:rPr>
          <w:rFonts w:asciiTheme="minorHAnsi" w:hAnsiTheme="minorHAnsi" w:cstheme="minorHAnsi"/>
          <w:sz w:val="22"/>
          <w:szCs w:val="20"/>
        </w:rPr>
        <w:t xml:space="preserve">i </w:t>
      </w:r>
      <w:r w:rsidR="004D2EFC" w:rsidRPr="009E064B">
        <w:rPr>
          <w:rFonts w:asciiTheme="minorHAnsi" w:hAnsiTheme="minorHAnsi" w:cstheme="minorHAnsi"/>
          <w:sz w:val="22"/>
          <w:szCs w:val="20"/>
        </w:rPr>
        <w:t xml:space="preserve">uprawnień określonych w </w:t>
      </w:r>
      <w:r w:rsidRPr="009E064B">
        <w:rPr>
          <w:rFonts w:asciiTheme="minorHAnsi" w:hAnsiTheme="minorHAnsi" w:cstheme="minorHAnsi"/>
          <w:sz w:val="22"/>
          <w:szCs w:val="20"/>
        </w:rPr>
        <w:t xml:space="preserve">warunkach </w:t>
      </w:r>
      <w:r w:rsidR="004D2EFC" w:rsidRPr="009E064B">
        <w:rPr>
          <w:rFonts w:asciiTheme="minorHAnsi" w:hAnsiTheme="minorHAnsi" w:cstheme="minorHAnsi"/>
          <w:sz w:val="22"/>
          <w:szCs w:val="20"/>
        </w:rPr>
        <w:t xml:space="preserve">certyfikatu dołączonych do </w:t>
      </w:r>
      <w:r w:rsidRPr="009E064B">
        <w:rPr>
          <w:rFonts w:asciiTheme="minorHAnsi" w:hAnsiTheme="minorHAnsi" w:cstheme="minorHAnsi"/>
          <w:sz w:val="22"/>
          <w:szCs w:val="20"/>
        </w:rPr>
        <w:t>certyfikatu.</w:t>
      </w:r>
    </w:p>
    <w:p w14:paraId="118C75A0" w14:textId="77777777" w:rsidR="00D121EC" w:rsidRPr="009E064B" w:rsidRDefault="00D121EC">
      <w:pPr>
        <w:spacing w:after="0"/>
        <w:jc w:val="left"/>
        <w:rPr>
          <w:rFonts w:asciiTheme="minorHAnsi" w:eastAsia="Times New Roman" w:hAnsiTheme="minorHAnsi" w:cstheme="minorHAnsi"/>
          <w:szCs w:val="20"/>
        </w:rPr>
      </w:pPr>
      <w:r w:rsidRPr="009E064B">
        <w:rPr>
          <w:rFonts w:asciiTheme="minorHAnsi" w:hAnsiTheme="minorHAnsi" w:cstheme="minorHAnsi"/>
          <w:szCs w:val="20"/>
        </w:rPr>
        <w:br w:type="page"/>
      </w:r>
    </w:p>
    <w:p w14:paraId="6830E051" w14:textId="67D2B229" w:rsidR="00DC7DA6" w:rsidRPr="009E064B" w:rsidRDefault="004B5157" w:rsidP="00872370">
      <w:pPr>
        <w:pStyle w:val="Nagwek3"/>
      </w:pPr>
      <w:bookmarkStart w:id="268" w:name="_Toc12532658"/>
      <w:r w:rsidRPr="009E064B">
        <w:t xml:space="preserve">ADR.OR.B.035 </w:t>
      </w:r>
      <w:r w:rsidR="004D6FC2" w:rsidRPr="009E064B">
        <w:t xml:space="preserve">    </w:t>
      </w:r>
      <w:r w:rsidR="00DE05DC" w:rsidRPr="009E064B">
        <w:t>Ciągła ważność certyfikatu</w:t>
      </w:r>
      <w:bookmarkEnd w:id="268"/>
    </w:p>
    <w:p w14:paraId="361A61D6" w14:textId="1659B03F"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D28237D" w14:textId="77777777" w:rsidR="00DC7DA6" w:rsidRPr="009E064B" w:rsidRDefault="001A6D9A"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Certyfikat zachowuje ważność pod warunkiem że:</w:t>
      </w:r>
    </w:p>
    <w:p w14:paraId="77E63698" w14:textId="14F4254E" w:rsidR="00DC7DA6" w:rsidRPr="009E064B" w:rsidRDefault="00542FCA"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operator lotniska zachowuje zgodność z odpowiednimi wymaganiami rozporządzenia (WE) nr 216/2008 i jego przepisów wykonawczych, </w:t>
      </w:r>
      <w:r w:rsidR="002742CE" w:rsidRPr="009E064B">
        <w:rPr>
          <w:rFonts w:asciiTheme="minorHAnsi" w:eastAsia="Times New Roman" w:hAnsiTheme="minorHAnsi" w:cstheme="minorHAnsi"/>
          <w:szCs w:val="20"/>
        </w:rPr>
        <w:t>a lotnisko zachowuje zgodność z </w:t>
      </w:r>
      <w:r w:rsidR="00DE05DC" w:rsidRPr="009E064B">
        <w:rPr>
          <w:rFonts w:asciiTheme="minorHAnsi" w:eastAsia="Times New Roman" w:hAnsiTheme="minorHAnsi" w:cstheme="minorHAnsi"/>
          <w:szCs w:val="20"/>
        </w:rPr>
        <w:t xml:space="preserve">podstawą certyfikacji, </w:t>
      </w:r>
      <w:r w:rsidR="0041376F" w:rsidRPr="009E064B">
        <w:rPr>
          <w:rFonts w:asciiTheme="minorHAnsi" w:eastAsia="Times New Roman" w:hAnsiTheme="minorHAnsi" w:cstheme="minorHAnsi"/>
          <w:szCs w:val="20"/>
        </w:rPr>
        <w:t xml:space="preserve">z </w:t>
      </w:r>
      <w:r w:rsidR="00DE05DC" w:rsidRPr="009E064B">
        <w:rPr>
          <w:rFonts w:asciiTheme="minorHAnsi" w:eastAsia="Times New Roman" w:hAnsiTheme="minorHAnsi" w:cstheme="minorHAnsi"/>
          <w:szCs w:val="20"/>
        </w:rPr>
        <w:t xml:space="preserve">uwzględnieniem przepisów dotyczących podejmowania działań wobec wykrytych nieprawidłowości, jak określono w </w:t>
      </w:r>
      <w:hyperlink w:anchor="_ADR.OR.C.020__" w:history="1">
        <w:r w:rsidR="00DE05DC" w:rsidRPr="009E064B">
          <w:rPr>
            <w:rStyle w:val="Hipercze"/>
            <w:rFonts w:asciiTheme="minorHAnsi" w:eastAsia="Times New Roman" w:hAnsiTheme="minorHAnsi" w:cstheme="minorHAnsi"/>
            <w:szCs w:val="20"/>
          </w:rPr>
          <w:t>ADR.OR.C.020</w:t>
        </w:r>
      </w:hyperlink>
      <w:r w:rsidR="00DE05DC" w:rsidRPr="009E064B">
        <w:rPr>
          <w:rFonts w:asciiTheme="minorHAnsi" w:eastAsia="Times New Roman" w:hAnsiTheme="minorHAnsi" w:cstheme="minorHAnsi"/>
          <w:szCs w:val="20"/>
        </w:rPr>
        <w:t>;</w:t>
      </w:r>
    </w:p>
    <w:p w14:paraId="55C94A4C" w14:textId="37B4DDD2" w:rsidR="00DC7DA6" w:rsidRPr="009E064B" w:rsidRDefault="00542FCA"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właściwy organ ma przyznany dostęp do organizac</w:t>
      </w:r>
      <w:r w:rsidR="00280803" w:rsidRPr="009E064B">
        <w:rPr>
          <w:rFonts w:asciiTheme="minorHAnsi" w:eastAsia="Times New Roman" w:hAnsiTheme="minorHAnsi" w:cstheme="minorHAnsi"/>
          <w:szCs w:val="20"/>
        </w:rPr>
        <w:t>ji operatora lotniska zgodnie z </w:t>
      </w:r>
      <w:hyperlink w:anchor="_ADR.OR.C.015__" w:history="1">
        <w:r w:rsidR="00DE05DC" w:rsidRPr="009E064B">
          <w:rPr>
            <w:rStyle w:val="Hipercze"/>
            <w:rFonts w:asciiTheme="minorHAnsi" w:eastAsia="Times New Roman" w:hAnsiTheme="minorHAnsi" w:cstheme="minorHAnsi"/>
            <w:szCs w:val="20"/>
          </w:rPr>
          <w:t>ADR.OR.C.015</w:t>
        </w:r>
      </w:hyperlink>
      <w:r w:rsidR="00DE05DC" w:rsidRPr="009E064B">
        <w:rPr>
          <w:rFonts w:asciiTheme="minorHAnsi" w:eastAsia="Times New Roman" w:hAnsiTheme="minorHAnsi" w:cstheme="minorHAnsi"/>
          <w:szCs w:val="20"/>
        </w:rPr>
        <w:t xml:space="preserve"> w celu </w:t>
      </w:r>
      <w:r w:rsidR="001A6D9A" w:rsidRPr="009E064B">
        <w:rPr>
          <w:rFonts w:asciiTheme="minorHAnsi" w:eastAsia="Times New Roman" w:hAnsiTheme="minorHAnsi" w:cstheme="minorHAnsi"/>
          <w:szCs w:val="20"/>
        </w:rPr>
        <w:t>stwier</w:t>
      </w:r>
      <w:r w:rsidR="00DE05DC" w:rsidRPr="009E064B">
        <w:rPr>
          <w:rFonts w:asciiTheme="minorHAnsi" w:eastAsia="Times New Roman" w:hAnsiTheme="minorHAnsi" w:cstheme="minorHAnsi"/>
          <w:szCs w:val="20"/>
        </w:rPr>
        <w:t>dzenia ciągłej zgodności z odpowiednimi wymaganiami rozporządzenia (WE) nr 216/2008 i jego przepisów wykonawczych; oraz</w:t>
      </w:r>
    </w:p>
    <w:p w14:paraId="263420CD" w14:textId="77777777" w:rsidR="00DC7DA6" w:rsidRPr="009E064B" w:rsidRDefault="00542FCA"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certyfikat nie został zwrócony ani cofnięty.</w:t>
      </w:r>
    </w:p>
    <w:p w14:paraId="38DB0E1F" w14:textId="77777777" w:rsidR="00DC7DA6" w:rsidRPr="009E064B" w:rsidRDefault="00542FCA"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Z chwilą cofnięcia lub zwrócenia certyfikat zostaje niezwłocznie przekazany do właściwego organu.</w:t>
      </w:r>
    </w:p>
    <w:p w14:paraId="46B99733" w14:textId="7D87D0C7" w:rsidR="00DC7DA6" w:rsidRPr="009E064B" w:rsidRDefault="00DE05DC" w:rsidP="00872370">
      <w:pPr>
        <w:pStyle w:val="Nagwek3"/>
      </w:pPr>
      <w:bookmarkStart w:id="269" w:name="_Toc12532659"/>
      <w:r w:rsidRPr="009E064B">
        <w:t xml:space="preserve">ADR.OR.B.037 </w:t>
      </w:r>
      <w:r w:rsidR="004D6FC2" w:rsidRPr="009E064B">
        <w:t xml:space="preserve">    </w:t>
      </w:r>
      <w:r w:rsidRPr="009E064B">
        <w:t>Ciąg</w:t>
      </w:r>
      <w:r w:rsidR="004D6FC2" w:rsidRPr="009E064B">
        <w:t xml:space="preserve">ła ważność </w:t>
      </w:r>
      <w:r w:rsidRPr="009E064B">
        <w:t xml:space="preserve">deklaracji złożonej </w:t>
      </w:r>
      <w:r w:rsidR="004D6FC2" w:rsidRPr="009E064B">
        <w:t xml:space="preserve">przez instytucję zapewniającą </w:t>
      </w:r>
      <w:r w:rsidRPr="009E064B">
        <w:t>służb</w:t>
      </w:r>
      <w:r w:rsidR="0041376F" w:rsidRPr="009E064B">
        <w:t xml:space="preserve">ę </w:t>
      </w:r>
      <w:r w:rsidRPr="009E064B">
        <w:t>zarządzania płytą postojową</w:t>
      </w:r>
      <w:bookmarkEnd w:id="269"/>
    </w:p>
    <w:p w14:paraId="58EA547F" w14:textId="37218A64"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0B8653A" w14:textId="038B4FF3"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Deklaracja złożona przez instytucję zapewniającą służbę zarządzania płytą postojową zgod</w:t>
      </w:r>
      <w:r w:rsidR="00280803" w:rsidRPr="009E064B">
        <w:rPr>
          <w:rFonts w:asciiTheme="minorHAnsi" w:hAnsiTheme="minorHAnsi" w:cstheme="minorHAnsi"/>
          <w:sz w:val="22"/>
          <w:szCs w:val="20"/>
        </w:rPr>
        <w:t>nie z </w:t>
      </w:r>
      <w:r w:rsidRPr="009E064B">
        <w:rPr>
          <w:rFonts w:asciiTheme="minorHAnsi" w:hAnsiTheme="minorHAnsi" w:cstheme="minorHAnsi"/>
          <w:sz w:val="22"/>
          <w:szCs w:val="20"/>
        </w:rPr>
        <w:t xml:space="preserve">ADR.OR.B.060 </w:t>
      </w:r>
      <w:r w:rsidR="009B6B2C" w:rsidRPr="009E064B">
        <w:rPr>
          <w:rFonts w:asciiTheme="minorHAnsi" w:hAnsiTheme="minorHAnsi" w:cstheme="minorHAnsi"/>
          <w:sz w:val="22"/>
          <w:szCs w:val="20"/>
        </w:rPr>
        <w:t>zacho</w:t>
      </w:r>
      <w:r w:rsidRPr="009E064B">
        <w:rPr>
          <w:rFonts w:asciiTheme="minorHAnsi" w:hAnsiTheme="minorHAnsi" w:cstheme="minorHAnsi"/>
          <w:sz w:val="22"/>
          <w:szCs w:val="20"/>
        </w:rPr>
        <w:t>wuje ważność, pod warunkiem że:</w:t>
      </w:r>
    </w:p>
    <w:p w14:paraId="2D103AC9" w14:textId="77777777" w:rsidR="00DC7DA6" w:rsidRPr="009E064B" w:rsidRDefault="00542FCA"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instytucja zapewniająca służbę zarządzania płytą postojową oraz związane z tą służbą obiekty zachowują zgodność z odpowiednimi wymaganiami rozporządzenia (WE) nr 216/2008 i jego przepisów wykonawczych, z uwzględnieniem przepisów dotyczących podejmowania działań wobec wykrytych nieprawidłowości, jak określono w ADR.OR.C.020;</w:t>
      </w:r>
    </w:p>
    <w:p w14:paraId="62AC0D41"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właściwy organ ma przyznany do</w:t>
      </w:r>
      <w:r w:rsidR="004D2EFC" w:rsidRPr="009E064B">
        <w:rPr>
          <w:rFonts w:asciiTheme="minorHAnsi" w:hAnsiTheme="minorHAnsi" w:cstheme="minorHAnsi"/>
          <w:sz w:val="22"/>
          <w:szCs w:val="20"/>
        </w:rPr>
        <w:t xml:space="preserve">stęp do </w:t>
      </w:r>
      <w:r w:rsidR="00DE05DC" w:rsidRPr="009E064B">
        <w:rPr>
          <w:rFonts w:asciiTheme="minorHAnsi" w:hAnsiTheme="minorHAnsi" w:cstheme="minorHAnsi"/>
          <w:sz w:val="22"/>
          <w:szCs w:val="20"/>
        </w:rPr>
        <w:t>organizacji instytucji zapewniającej służbę zarządzania płytą po</w:t>
      </w:r>
      <w:r w:rsidR="004D2EFC" w:rsidRPr="009E064B">
        <w:rPr>
          <w:rFonts w:asciiTheme="minorHAnsi" w:hAnsiTheme="minorHAnsi" w:cstheme="minorHAnsi"/>
          <w:sz w:val="22"/>
          <w:szCs w:val="20"/>
        </w:rPr>
        <w:t xml:space="preserve">stojową zgodnie z ADR.OR.C.015 w </w:t>
      </w:r>
      <w:r w:rsidR="00DE05DC" w:rsidRPr="009E064B">
        <w:rPr>
          <w:rFonts w:asciiTheme="minorHAnsi" w:hAnsiTheme="minorHAnsi" w:cstheme="minorHAnsi"/>
          <w:sz w:val="22"/>
          <w:szCs w:val="20"/>
        </w:rPr>
        <w:t>celu stwierdzenia ci</w:t>
      </w:r>
      <w:r w:rsidR="004D2EFC" w:rsidRPr="009E064B">
        <w:rPr>
          <w:rFonts w:asciiTheme="minorHAnsi" w:hAnsiTheme="minorHAnsi" w:cstheme="minorHAnsi"/>
          <w:sz w:val="22"/>
          <w:szCs w:val="20"/>
        </w:rPr>
        <w:t xml:space="preserve">ągłej zgodności z odpowiednimi wymaganiami </w:t>
      </w:r>
      <w:r w:rsidR="00DE05DC" w:rsidRPr="009E064B">
        <w:rPr>
          <w:rFonts w:asciiTheme="minorHAnsi" w:hAnsiTheme="minorHAnsi" w:cstheme="minorHAnsi"/>
          <w:sz w:val="22"/>
          <w:szCs w:val="20"/>
        </w:rPr>
        <w:t>rozporządzenia (WE) nr 216/2008 i jego przepisów wykonawczych; oraz</w:t>
      </w:r>
    </w:p>
    <w:p w14:paraId="7D856774" w14:textId="77777777" w:rsidR="00DC7DA6" w:rsidRPr="009E064B" w:rsidRDefault="001073F5" w:rsidP="00B06A9A">
      <w:pPr>
        <w:pStyle w:val="Tekstpodstawowy"/>
        <w:tabs>
          <w:tab w:val="left" w:pos="567"/>
        </w:tabs>
        <w:ind w:left="567" w:right="-2" w:hanging="567"/>
        <w:rPr>
          <w:rFonts w:asciiTheme="minorHAnsi" w:hAnsiTheme="minorHAnsi" w:cstheme="minorHAnsi"/>
          <w:szCs w:val="20"/>
        </w:rPr>
      </w:pPr>
      <w:r w:rsidRPr="009E064B">
        <w:rPr>
          <w:rFonts w:asciiTheme="minorHAnsi" w:hAnsiTheme="minorHAnsi" w:cstheme="minorHAnsi"/>
          <w:sz w:val="22"/>
          <w:szCs w:val="20"/>
        </w:rPr>
        <w:t xml:space="preserve">c)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deklaracja nie została wycofana przez instytucję zapewniającą takie służby ani wyrejestrowana</w:t>
      </w:r>
      <w:r w:rsidR="00DE05DC" w:rsidRPr="009E064B">
        <w:rPr>
          <w:rFonts w:asciiTheme="minorHAnsi" w:hAnsiTheme="minorHAnsi" w:cstheme="minorHAnsi"/>
          <w:szCs w:val="20"/>
        </w:rPr>
        <w:t xml:space="preserve"> przez właściwy organ.</w:t>
      </w:r>
    </w:p>
    <w:p w14:paraId="01DEBC1D" w14:textId="27C11003" w:rsidR="00DC7DA6" w:rsidRPr="009E064B" w:rsidRDefault="00DE05DC" w:rsidP="00872370">
      <w:pPr>
        <w:pStyle w:val="Nagwek3"/>
      </w:pPr>
      <w:bookmarkStart w:id="270" w:name="_ADR.OR.B.040__"/>
      <w:bookmarkStart w:id="271" w:name="_Toc12532660"/>
      <w:bookmarkEnd w:id="270"/>
      <w:r w:rsidRPr="009E064B">
        <w:t xml:space="preserve">ADR.OR.B.040 </w:t>
      </w:r>
      <w:r w:rsidR="004D6FC2" w:rsidRPr="009E064B">
        <w:t xml:space="preserve">    </w:t>
      </w:r>
      <w:r w:rsidRPr="009E064B">
        <w:t>Zmiany</w:t>
      </w:r>
      <w:bookmarkEnd w:id="271"/>
    </w:p>
    <w:p w14:paraId="58E35876" w14:textId="27C8A529"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4C57BFD"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Każda zmiana:</w:t>
      </w:r>
    </w:p>
    <w:p w14:paraId="47327093" w14:textId="099325DA"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mająca wpływ na warunki certyfikatu, podstawę certyfika</w:t>
      </w:r>
      <w:r w:rsidR="00280803" w:rsidRPr="009E064B">
        <w:rPr>
          <w:rFonts w:asciiTheme="minorHAnsi" w:eastAsia="Times New Roman" w:hAnsiTheme="minorHAnsi" w:cstheme="minorHAnsi"/>
          <w:szCs w:val="20"/>
        </w:rPr>
        <w:t>cji oraz wyposażenie lotniska o </w:t>
      </w:r>
      <w:r w:rsidR="00DE05DC" w:rsidRPr="009E064B">
        <w:rPr>
          <w:rFonts w:asciiTheme="minorHAnsi" w:eastAsia="Times New Roman" w:hAnsiTheme="minorHAnsi" w:cstheme="minorHAnsi"/>
          <w:szCs w:val="20"/>
        </w:rPr>
        <w:t>kluczowym znaczeniu dla bezpieczeństwa; lub</w:t>
      </w:r>
    </w:p>
    <w:p w14:paraId="7515A52B" w14:textId="59D1A86C"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mająca znaczący wpływ na elementy systemu zarządzania wykorzystywanego pr</w:t>
      </w:r>
      <w:r w:rsidR="0093568D" w:rsidRPr="009E064B">
        <w:rPr>
          <w:rFonts w:asciiTheme="minorHAnsi" w:eastAsia="Times New Roman" w:hAnsiTheme="minorHAnsi" w:cstheme="minorHAnsi"/>
          <w:szCs w:val="20"/>
        </w:rPr>
        <w:t>zez operatora lotniska, wymaga</w:t>
      </w:r>
      <w:r w:rsidR="00DE05DC" w:rsidRPr="009E064B">
        <w:rPr>
          <w:rFonts w:asciiTheme="minorHAnsi" w:eastAsia="Times New Roman" w:hAnsiTheme="minorHAnsi" w:cstheme="minorHAnsi"/>
          <w:szCs w:val="20"/>
        </w:rPr>
        <w:t xml:space="preserve">nego na mocy </w:t>
      </w:r>
      <w:hyperlink w:anchor="_ADR.OR.D.005__" w:history="1">
        <w:r w:rsidR="00DE05DC" w:rsidRPr="009E064B">
          <w:rPr>
            <w:rStyle w:val="Hipercze"/>
            <w:rFonts w:asciiTheme="minorHAnsi" w:eastAsia="Times New Roman" w:hAnsiTheme="minorHAnsi" w:cstheme="minorHAnsi"/>
            <w:szCs w:val="20"/>
          </w:rPr>
          <w:t>ADR.OR.D.005</w:t>
        </w:r>
      </w:hyperlink>
      <w:r w:rsidR="00DE05DC" w:rsidRPr="009E064B">
        <w:rPr>
          <w:rFonts w:asciiTheme="minorHAnsi" w:eastAsia="Times New Roman" w:hAnsiTheme="minorHAnsi" w:cstheme="minorHAnsi"/>
          <w:szCs w:val="20"/>
        </w:rPr>
        <w:t xml:space="preserve"> lit. </w:t>
      </w:r>
      <w:r w:rsidR="002742CE"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b);</w:t>
      </w:r>
    </w:p>
    <w:p w14:paraId="5A6E66CB" w14:textId="77777777" w:rsidR="00DC7DA6" w:rsidRPr="009E064B" w:rsidRDefault="00DE05DC" w:rsidP="00B06A9A">
      <w:pPr>
        <w:tabs>
          <w:tab w:val="left" w:pos="567"/>
        </w:tabs>
        <w:ind w:left="567" w:right="-2"/>
        <w:rPr>
          <w:rFonts w:asciiTheme="minorHAnsi" w:hAnsiTheme="minorHAnsi" w:cstheme="minorHAnsi"/>
          <w:szCs w:val="20"/>
        </w:rPr>
      </w:pPr>
      <w:r w:rsidRPr="009E064B">
        <w:rPr>
          <w:rFonts w:asciiTheme="minorHAnsi" w:hAnsiTheme="minorHAnsi" w:cstheme="minorHAnsi"/>
          <w:szCs w:val="20"/>
        </w:rPr>
        <w:t>wymaga uprzedniego zatwierdzenia przez właściwy organ.</w:t>
      </w:r>
    </w:p>
    <w:p w14:paraId="586A6378" w14:textId="16D09A54"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W odniesieniu do innych zmian wymagających uprz</w:t>
      </w:r>
      <w:r w:rsidR="00280803" w:rsidRPr="009E064B">
        <w:rPr>
          <w:rFonts w:asciiTheme="minorHAnsi" w:hAnsiTheme="minorHAnsi" w:cstheme="minorHAnsi"/>
          <w:sz w:val="22"/>
          <w:szCs w:val="20"/>
        </w:rPr>
        <w:t>edniego zatwierdzenia zgodnie z </w:t>
      </w:r>
      <w:r w:rsidR="00DE05DC" w:rsidRPr="009E064B">
        <w:rPr>
          <w:rFonts w:asciiTheme="minorHAnsi" w:hAnsiTheme="minorHAnsi" w:cstheme="minorHAnsi"/>
          <w:sz w:val="22"/>
          <w:szCs w:val="20"/>
        </w:rPr>
        <w:t>rozporządzeniem (WE) nr 216/2008 i jego przepisami wykonawczymi operator lotniska składa wniosek i uzyskuje od właściwego organu odpowiednie zatwierdzenie.</w:t>
      </w:r>
    </w:p>
    <w:p w14:paraId="0476D7C0" w14:textId="2BF2B553"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c)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Wniosek o dokonanie zmiany zgodnie z lit.</w:t>
      </w:r>
      <w:r w:rsidR="00004A22" w:rsidRPr="009E064B">
        <w:rPr>
          <w:rFonts w:asciiTheme="minorHAnsi" w:hAnsiTheme="minorHAnsi" w:cstheme="minorHAnsi"/>
          <w:sz w:val="22"/>
          <w:szCs w:val="20"/>
        </w:rPr>
        <w:t> (</w:t>
      </w:r>
      <w:r w:rsidR="00DE05DC" w:rsidRPr="009E064B">
        <w:rPr>
          <w:rFonts w:asciiTheme="minorHAnsi" w:hAnsiTheme="minorHAnsi" w:cstheme="minorHAnsi"/>
          <w:sz w:val="22"/>
          <w:szCs w:val="20"/>
        </w:rPr>
        <w:t xml:space="preserve">a) lub lit. </w:t>
      </w:r>
      <w:r w:rsidR="00004A22" w:rsidRPr="009E064B">
        <w:rPr>
          <w:rFonts w:asciiTheme="minorHAnsi" w:hAnsiTheme="minorHAnsi" w:cstheme="minorHAnsi"/>
          <w:sz w:val="22"/>
          <w:szCs w:val="20"/>
        </w:rPr>
        <w:t>(</w:t>
      </w:r>
      <w:r w:rsidR="00DE05DC" w:rsidRPr="009E064B">
        <w:rPr>
          <w:rFonts w:asciiTheme="minorHAnsi" w:hAnsiTheme="minorHAnsi" w:cstheme="minorHAnsi"/>
          <w:sz w:val="22"/>
          <w:szCs w:val="20"/>
        </w:rPr>
        <w:t>b) składa się przed wprowadzeniem takiej zmiany, aby umożliwić właściwemu organowi s</w:t>
      </w:r>
      <w:r w:rsidR="008C654E" w:rsidRPr="009E064B">
        <w:rPr>
          <w:rFonts w:asciiTheme="minorHAnsi" w:hAnsiTheme="minorHAnsi" w:cstheme="minorHAnsi"/>
          <w:sz w:val="22"/>
          <w:szCs w:val="20"/>
        </w:rPr>
        <w:t>twierdzenie ciągłej zgodności z </w:t>
      </w:r>
      <w:r w:rsidR="00DE05DC" w:rsidRPr="009E064B">
        <w:rPr>
          <w:rFonts w:asciiTheme="minorHAnsi" w:hAnsiTheme="minorHAnsi" w:cstheme="minorHAnsi"/>
          <w:sz w:val="22"/>
          <w:szCs w:val="20"/>
        </w:rPr>
        <w:t xml:space="preserve">rozporządzeniem </w:t>
      </w:r>
      <w:r w:rsidR="00BC7E14" w:rsidRPr="009E064B">
        <w:rPr>
          <w:rFonts w:asciiTheme="minorHAnsi" w:hAnsiTheme="minorHAnsi" w:cstheme="minorHAnsi"/>
          <w:sz w:val="22"/>
          <w:szCs w:val="20"/>
        </w:rPr>
        <w:t>(WE) nr 216/2008 i jego prze</w:t>
      </w:r>
      <w:r w:rsidR="00DE05DC" w:rsidRPr="009E064B">
        <w:rPr>
          <w:rFonts w:asciiTheme="minorHAnsi" w:hAnsiTheme="minorHAnsi" w:cstheme="minorHAnsi"/>
          <w:sz w:val="22"/>
          <w:szCs w:val="20"/>
        </w:rPr>
        <w:t>pisami wykonawczymi oraz wprowadzenie ewentualnych zmian do certyfikatu i do dołączonych do niego odpowiednich warunków certyfikatu.</w:t>
      </w:r>
    </w:p>
    <w:p w14:paraId="5E3F9C77" w14:textId="173806A9" w:rsidR="00DC7DA6" w:rsidRPr="009E064B" w:rsidRDefault="00DE05DC" w:rsidP="00B06A9A">
      <w:pPr>
        <w:tabs>
          <w:tab w:val="left" w:pos="567"/>
        </w:tabs>
        <w:ind w:left="567" w:right="-2"/>
        <w:rPr>
          <w:rFonts w:asciiTheme="minorHAnsi" w:hAnsiTheme="minorHAnsi" w:cstheme="minorHAnsi"/>
          <w:szCs w:val="20"/>
        </w:rPr>
      </w:pPr>
      <w:r w:rsidRPr="009E064B">
        <w:rPr>
          <w:rFonts w:asciiTheme="minorHAnsi" w:hAnsiTheme="minorHAnsi" w:cstheme="minorHAnsi"/>
          <w:szCs w:val="20"/>
        </w:rPr>
        <w:t xml:space="preserve">Zmianę można wprowadzić tylko po otrzymaniu od właściwego organu formalnego zatwierdzenia zgodnie z </w:t>
      </w:r>
      <w:hyperlink w:anchor="_ADR.AR.C.040__" w:history="1">
        <w:r w:rsidRPr="009E064B">
          <w:rPr>
            <w:rStyle w:val="Hipercze"/>
            <w:rFonts w:asciiTheme="minorHAnsi" w:hAnsiTheme="minorHAnsi" w:cstheme="minorHAnsi"/>
            <w:szCs w:val="20"/>
          </w:rPr>
          <w:t>ADR.AR.C.040</w:t>
        </w:r>
      </w:hyperlink>
      <w:r w:rsidRPr="009E064B">
        <w:rPr>
          <w:rFonts w:asciiTheme="minorHAnsi" w:hAnsiTheme="minorHAnsi" w:cstheme="minorHAnsi"/>
          <w:szCs w:val="20"/>
        </w:rPr>
        <w:t>.</w:t>
      </w:r>
    </w:p>
    <w:p w14:paraId="49627884" w14:textId="77777777" w:rsidR="00DC7DA6" w:rsidRPr="009E064B" w:rsidRDefault="00DE05DC" w:rsidP="00B06A9A">
      <w:pPr>
        <w:tabs>
          <w:tab w:val="left" w:pos="567"/>
        </w:tabs>
        <w:ind w:left="567" w:right="-2"/>
        <w:rPr>
          <w:rFonts w:asciiTheme="minorHAnsi" w:hAnsiTheme="minorHAnsi" w:cstheme="minorHAnsi"/>
          <w:szCs w:val="20"/>
        </w:rPr>
      </w:pPr>
      <w:r w:rsidRPr="009E064B">
        <w:rPr>
          <w:rFonts w:asciiTheme="minorHAnsi" w:hAnsiTheme="minorHAnsi" w:cstheme="minorHAnsi"/>
          <w:szCs w:val="20"/>
        </w:rPr>
        <w:t>W trakcie wprowadzania zmian operator lotniska działa na warunkach zatwierdzonych przez właściwy organ.</w:t>
      </w:r>
    </w:p>
    <w:p w14:paraId="61B64062" w14:textId="42B40686"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d)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Wszelkie zmiany niewymagające uprzedniego zatwierdzenia są zarządzane i zgłaszane do właściwego organu w sposób określony w procedurze zatwierdzonej przez właściwy organ zgodnie z </w:t>
      </w:r>
      <w:hyperlink w:anchor="_ADR.AR.C.035__" w:history="1">
        <w:r w:rsidR="00DE05DC" w:rsidRPr="009E064B">
          <w:rPr>
            <w:rStyle w:val="Hipercze"/>
            <w:rFonts w:asciiTheme="minorHAnsi" w:hAnsiTheme="minorHAnsi" w:cstheme="minorHAnsi"/>
            <w:sz w:val="22"/>
            <w:szCs w:val="20"/>
          </w:rPr>
          <w:t>ADR.AR.C.035</w:t>
        </w:r>
      </w:hyperlink>
      <w:r w:rsidR="00DE05DC" w:rsidRPr="009E064B">
        <w:rPr>
          <w:rFonts w:asciiTheme="minorHAnsi" w:hAnsiTheme="minorHAnsi" w:cstheme="minorHAnsi"/>
          <w:sz w:val="22"/>
          <w:szCs w:val="20"/>
        </w:rPr>
        <w:t xml:space="preserve"> lit. </w:t>
      </w:r>
      <w:r w:rsidR="002742CE" w:rsidRPr="009E064B">
        <w:rPr>
          <w:rFonts w:asciiTheme="minorHAnsi" w:hAnsiTheme="minorHAnsi" w:cstheme="minorHAnsi"/>
          <w:sz w:val="22"/>
          <w:szCs w:val="20"/>
        </w:rPr>
        <w:t>(</w:t>
      </w:r>
      <w:r w:rsidR="00DE05DC" w:rsidRPr="009E064B">
        <w:rPr>
          <w:rFonts w:asciiTheme="minorHAnsi" w:hAnsiTheme="minorHAnsi" w:cstheme="minorHAnsi"/>
          <w:sz w:val="22"/>
          <w:szCs w:val="20"/>
        </w:rPr>
        <w:t>h).</w:t>
      </w:r>
    </w:p>
    <w:p w14:paraId="27D0E70A" w14:textId="26525652"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e)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przedstawia właściwemu organowi odpowied</w:t>
      </w:r>
      <w:r w:rsidR="00280803" w:rsidRPr="009E064B">
        <w:rPr>
          <w:rFonts w:asciiTheme="minorHAnsi" w:hAnsiTheme="minorHAnsi" w:cstheme="minorHAnsi"/>
          <w:sz w:val="22"/>
          <w:szCs w:val="20"/>
        </w:rPr>
        <w:t>nią dokumentację zgodnie z lit. </w:t>
      </w:r>
      <w:r w:rsidR="00004A22"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f) oraz </w:t>
      </w:r>
      <w:hyperlink w:anchor="_ADR.OR.E.005__" w:history="1">
        <w:r w:rsidR="00DE05DC" w:rsidRPr="009E064B">
          <w:rPr>
            <w:rStyle w:val="Hipercze"/>
            <w:rFonts w:asciiTheme="minorHAnsi" w:hAnsiTheme="minorHAnsi" w:cstheme="minorHAnsi"/>
            <w:sz w:val="22"/>
            <w:szCs w:val="20"/>
          </w:rPr>
          <w:t>ADR.OR.E.005</w:t>
        </w:r>
      </w:hyperlink>
      <w:r w:rsidR="00DE05DC" w:rsidRPr="009E064B">
        <w:rPr>
          <w:rFonts w:asciiTheme="minorHAnsi" w:hAnsiTheme="minorHAnsi" w:cstheme="minorHAnsi"/>
          <w:sz w:val="22"/>
          <w:szCs w:val="20"/>
        </w:rPr>
        <w:t>.</w:t>
      </w:r>
    </w:p>
    <w:p w14:paraId="143C32A4" w14:textId="2EAB85C0"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f) </w:t>
      </w:r>
      <w:r w:rsidR="009B6B2C"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W ramach stosowanego przez siebie systemu zarządzania, określonego w </w:t>
      </w:r>
      <w:hyperlink w:anchor="_ADR.OR.D.005__" w:history="1">
        <w:r w:rsidR="00DE05DC" w:rsidRPr="009E064B">
          <w:rPr>
            <w:rStyle w:val="Hipercze"/>
            <w:rFonts w:asciiTheme="minorHAnsi" w:hAnsiTheme="minorHAnsi" w:cstheme="minorHAnsi"/>
            <w:sz w:val="22"/>
            <w:szCs w:val="20"/>
          </w:rPr>
          <w:t>ADR.OR.D.005</w:t>
        </w:r>
      </w:hyperlink>
      <w:r w:rsidR="00DE05DC" w:rsidRPr="009E064B">
        <w:rPr>
          <w:rFonts w:asciiTheme="minorHAnsi" w:hAnsiTheme="minorHAnsi" w:cstheme="minorHAnsi"/>
          <w:sz w:val="22"/>
          <w:szCs w:val="20"/>
        </w:rPr>
        <w:t>, operator lotniska proponujący zmianę dotyczącą lotniska, bądź jego użytkowania, organizacji lub systemu zarządzania, musi:</w:t>
      </w:r>
    </w:p>
    <w:p w14:paraId="646F8668"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określić współzależności między wszystkimi zaangażowanymi stronami, a także zaplanować i przeprowadzić ocenę bezpieczeństwa w koordynacji z tymi organizacjami;</w:t>
      </w:r>
    </w:p>
    <w:p w14:paraId="258432E7"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sposób systematyczny dostosowywać założenia i środki łagodzące w stosunku do wszystkich zaangażowanych stron;</w:t>
      </w:r>
    </w:p>
    <w:p w14:paraId="5BA189B4"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zapewnić wyczerpującą ocenę zmiany, w tym wszelkich niezbędnych interakcji; oraz</w:t>
      </w:r>
    </w:p>
    <w:p w14:paraId="5F2CAAA9"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4) </w:t>
      </w:r>
      <w:r w:rsidR="009B6B2C"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zapewnić, by ocena bezpieczeństwa została poparta kompletnymi i aktualnymi</w:t>
      </w:r>
      <w:r w:rsidR="00B9208B" w:rsidRPr="009E064B">
        <w:rPr>
          <w:rFonts w:asciiTheme="minorHAnsi" w:eastAsia="Times New Roman" w:hAnsiTheme="minorHAnsi" w:cstheme="minorHAnsi"/>
          <w:szCs w:val="20"/>
        </w:rPr>
        <w:t xml:space="preserve"> argumentami, dowodami i kryte</w:t>
      </w:r>
      <w:r w:rsidR="00DE05DC" w:rsidRPr="009E064B">
        <w:rPr>
          <w:rFonts w:asciiTheme="minorHAnsi" w:eastAsia="Times New Roman" w:hAnsiTheme="minorHAnsi" w:cstheme="minorHAnsi"/>
          <w:szCs w:val="20"/>
        </w:rPr>
        <w:t>riami bezpieczeństwa, a także, by zmiana, zawsze kiedy to możliwe, służyła podniesieniu poziomu bezpieczeństwa.</w:t>
      </w:r>
    </w:p>
    <w:p w14:paraId="4F9C014A" w14:textId="6DF6A7D7" w:rsidR="00490EF1" w:rsidRPr="009E064B" w:rsidRDefault="004D6FC2" w:rsidP="00133B99">
      <w:pPr>
        <w:pStyle w:val="Nagwek5"/>
      </w:pPr>
      <w:bookmarkStart w:id="272" w:name="_Toc492024584"/>
      <w:bookmarkStart w:id="273" w:name="_Toc12532661"/>
      <w:r w:rsidRPr="009E064B">
        <w:t xml:space="preserve">AMC1 ADR.OR.B.040(a);(b)     </w:t>
      </w:r>
      <w:r w:rsidR="00490EF1" w:rsidRPr="009E064B">
        <w:t>Zmiany</w:t>
      </w:r>
      <w:bookmarkEnd w:id="272"/>
      <w:bookmarkEnd w:id="273"/>
    </w:p>
    <w:p w14:paraId="2EEA634D" w14:textId="527F2FE4"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0F05EA1"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ZMIANY WYMAGAJĄCE UPRZEDNIEGO ZATWIERDZENIA</w:t>
      </w:r>
    </w:p>
    <w:p w14:paraId="506B48A3"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Przed dokonaniem jakiejkolwiek zmiany na lotnisku lub w jego funkcjonowaniu, która wymaga uprzedniego zatwierdzenia, operator lotniska powinien złożyć wniosek do właściwego organu. Wnioskodawca powinien dostarczyć dokumentację zawierającą opis proponowanej zmiany, w którym określa:</w:t>
      </w:r>
    </w:p>
    <w:p w14:paraId="3ECE82AF" w14:textId="2499C11A"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warunki certyfikatu, i</w:t>
      </w:r>
      <w:r w:rsidR="00280803" w:rsidRPr="009E064B">
        <w:rPr>
          <w:rFonts w:asciiTheme="minorHAnsi" w:eastAsia="Calibri" w:hAnsiTheme="minorHAnsi" w:cstheme="minorHAnsi"/>
        </w:rPr>
        <w:t> </w:t>
      </w:r>
      <w:r w:rsidRPr="009E064B">
        <w:rPr>
          <w:rFonts w:asciiTheme="minorHAnsi" w:eastAsia="Calibri" w:hAnsiTheme="minorHAnsi" w:cstheme="minorHAnsi"/>
        </w:rPr>
        <w:t>/</w:t>
      </w:r>
      <w:r w:rsidR="00280803" w:rsidRPr="009E064B">
        <w:rPr>
          <w:rFonts w:asciiTheme="minorHAnsi" w:eastAsia="Calibri" w:hAnsiTheme="minorHAnsi" w:cstheme="minorHAnsi"/>
        </w:rPr>
        <w:t> </w:t>
      </w:r>
      <w:r w:rsidRPr="009E064B">
        <w:rPr>
          <w:rFonts w:asciiTheme="minorHAnsi" w:eastAsia="Calibri" w:hAnsiTheme="minorHAnsi" w:cstheme="minorHAnsi"/>
        </w:rPr>
        <w:t>lub elementy podstawy certyfikacji, i</w:t>
      </w:r>
      <w:r w:rsidR="00280803" w:rsidRPr="009E064B">
        <w:rPr>
          <w:rFonts w:asciiTheme="minorHAnsi" w:eastAsia="Calibri" w:hAnsiTheme="minorHAnsi" w:cstheme="minorHAnsi"/>
        </w:rPr>
        <w:t> </w:t>
      </w:r>
      <w:r w:rsidRPr="009E064B">
        <w:rPr>
          <w:rFonts w:asciiTheme="minorHAnsi" w:eastAsia="Calibri" w:hAnsiTheme="minorHAnsi" w:cstheme="minorHAnsi"/>
        </w:rPr>
        <w:t>/</w:t>
      </w:r>
      <w:r w:rsidR="00280803" w:rsidRPr="009E064B">
        <w:rPr>
          <w:rFonts w:asciiTheme="minorHAnsi" w:eastAsia="Calibri" w:hAnsiTheme="minorHAnsi" w:cstheme="minorHAnsi"/>
        </w:rPr>
        <w:t> </w:t>
      </w:r>
      <w:r w:rsidRPr="009E064B">
        <w:rPr>
          <w:rFonts w:asciiTheme="minorHAnsi" w:eastAsia="Calibri" w:hAnsiTheme="minorHAnsi" w:cstheme="minorHAnsi"/>
        </w:rPr>
        <w:t>lub wyposażenie lotniska mające decydujące znaczenie dla bezpieczeństwa, i</w:t>
      </w:r>
      <w:r w:rsidR="00280803" w:rsidRPr="009E064B">
        <w:rPr>
          <w:rFonts w:asciiTheme="minorHAnsi" w:eastAsia="Calibri" w:hAnsiTheme="minorHAnsi" w:cstheme="minorHAnsi"/>
        </w:rPr>
        <w:t> </w:t>
      </w:r>
      <w:r w:rsidRPr="009E064B">
        <w:rPr>
          <w:rFonts w:asciiTheme="minorHAnsi" w:eastAsia="Calibri" w:hAnsiTheme="minorHAnsi" w:cstheme="minorHAnsi"/>
        </w:rPr>
        <w:t>/</w:t>
      </w:r>
      <w:r w:rsidR="00280803" w:rsidRPr="009E064B">
        <w:rPr>
          <w:rFonts w:asciiTheme="minorHAnsi" w:eastAsia="Calibri" w:hAnsiTheme="minorHAnsi" w:cstheme="minorHAnsi"/>
        </w:rPr>
        <w:t> </w:t>
      </w:r>
      <w:r w:rsidRPr="009E064B">
        <w:rPr>
          <w:rFonts w:asciiTheme="minorHAnsi" w:eastAsia="Calibri" w:hAnsiTheme="minorHAnsi" w:cstheme="minorHAnsi"/>
        </w:rPr>
        <w:t xml:space="preserve">lub system zarządzania operatora lotniska (wymagane w </w:t>
      </w:r>
      <w:hyperlink w:anchor="_ADR.OR.D.005__" w:history="1">
        <w:r w:rsidRPr="009E064B">
          <w:rPr>
            <w:rStyle w:val="Hipercze"/>
            <w:rFonts w:asciiTheme="minorHAnsi" w:eastAsia="Calibri" w:hAnsiTheme="minorHAnsi" w:cstheme="minorHAnsi"/>
          </w:rPr>
          <w:t>ADR.OR.D.005</w:t>
        </w:r>
      </w:hyperlink>
      <w:r w:rsidR="008C654E" w:rsidRPr="009E064B">
        <w:rPr>
          <w:rFonts w:asciiTheme="minorHAnsi" w:eastAsia="Calibri" w:hAnsiTheme="minorHAnsi" w:cstheme="minorHAnsi"/>
        </w:rPr>
        <w:t xml:space="preserve"> lit. </w:t>
      </w:r>
      <w:r w:rsidRPr="009E064B">
        <w:rPr>
          <w:rFonts w:asciiTheme="minorHAnsi" w:eastAsia="Calibri" w:hAnsiTheme="minorHAnsi" w:cstheme="minorHAnsi"/>
        </w:rPr>
        <w:t>(b)) oraz te części instrukcji operacyjnej lotniska, których zmiany te dotyczą, w tym odpowiednie szczegółowe rysunki projektowe;</w:t>
      </w:r>
    </w:p>
    <w:p w14:paraId="13785BE1" w14:textId="571B6F9B"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specyfikacje certyfikacyjne, zgodnie z którymi proponowana z</w:t>
      </w:r>
      <w:r w:rsidR="00280803" w:rsidRPr="009E064B">
        <w:rPr>
          <w:rFonts w:asciiTheme="minorHAnsi" w:eastAsia="Calibri" w:hAnsiTheme="minorHAnsi" w:cstheme="minorHAnsi"/>
        </w:rPr>
        <w:t>miana została zaprojektowana, i </w:t>
      </w:r>
      <w:r w:rsidRPr="009E064B">
        <w:rPr>
          <w:rFonts w:asciiTheme="minorHAnsi" w:eastAsia="Calibri" w:hAnsiTheme="minorHAnsi" w:cstheme="minorHAnsi"/>
        </w:rPr>
        <w:t>które spełniane, w tym specyfikacje certyfikacyjne dla których wnioskodawca zamierza wykazać zgodność w inny sposób, w celu wykazania równoważnego poziomu bezpieczeństw</w:t>
      </w:r>
      <w:r w:rsidR="00280803" w:rsidRPr="009E064B">
        <w:rPr>
          <w:rFonts w:asciiTheme="minorHAnsi" w:eastAsia="Calibri" w:hAnsiTheme="minorHAnsi" w:cstheme="minorHAnsi"/>
        </w:rPr>
        <w:t>a (w </w:t>
      </w:r>
      <w:r w:rsidRPr="009E064B">
        <w:rPr>
          <w:rFonts w:asciiTheme="minorHAnsi" w:eastAsia="Calibri" w:hAnsiTheme="minorHAnsi" w:cstheme="minorHAnsi"/>
        </w:rPr>
        <w:t xml:space="preserve">takich przypadkach patrz </w:t>
      </w:r>
      <w:hyperlink w:anchor="_AMC1_ADR.OR.B.015(b)(1);(2);(3);(4)" w:history="1">
        <w:r w:rsidRPr="009E064B">
          <w:rPr>
            <w:rStyle w:val="Hipercze"/>
            <w:rFonts w:asciiTheme="minorHAnsi" w:eastAsia="Calibri" w:hAnsiTheme="minorHAnsi" w:cstheme="minorHAnsi"/>
          </w:rPr>
          <w:t>AMC1 ADR.OR.B.015(b)(1);(2);(3);(4)</w:t>
        </w:r>
      </w:hyperlink>
      <w:r w:rsidRPr="009E064B">
        <w:rPr>
          <w:rFonts w:asciiTheme="minorHAnsi" w:eastAsia="Calibri" w:hAnsiTheme="minorHAnsi" w:cstheme="minorHAnsi"/>
        </w:rPr>
        <w:t xml:space="preserve">, </w:t>
      </w:r>
      <w:r w:rsidR="008C654E" w:rsidRPr="009E064B">
        <w:rPr>
          <w:rFonts w:asciiTheme="minorHAnsi" w:eastAsia="Calibri" w:hAnsiTheme="minorHAnsi" w:cstheme="minorHAnsi"/>
        </w:rPr>
        <w:t>lit.</w:t>
      </w:r>
      <w:r w:rsidRPr="009E064B">
        <w:rPr>
          <w:rFonts w:asciiTheme="minorHAnsi" w:eastAsia="Calibri" w:hAnsiTheme="minorHAnsi" w:cstheme="minorHAnsi"/>
        </w:rPr>
        <w:t xml:space="preserve"> (c)</w:t>
      </w:r>
      <w:r w:rsidR="008C654E" w:rsidRPr="009E064B">
        <w:rPr>
          <w:rFonts w:asciiTheme="minorHAnsi" w:eastAsia="Calibri" w:hAnsiTheme="minorHAnsi" w:cstheme="minorHAnsi"/>
        </w:rPr>
        <w:t xml:space="preserve"> pkt </w:t>
      </w:r>
      <w:r w:rsidRPr="009E064B">
        <w:rPr>
          <w:rFonts w:asciiTheme="minorHAnsi" w:eastAsia="Calibri" w:hAnsiTheme="minorHAnsi" w:cstheme="minorHAnsi"/>
        </w:rPr>
        <w:t>(1));</w:t>
      </w:r>
    </w:p>
    <w:p w14:paraId="0B697439" w14:textId="6B87C91C"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wymagania</w:t>
      </w:r>
      <w:r w:rsidR="00F809D7" w:rsidRPr="009E064B">
        <w:rPr>
          <w:rFonts w:asciiTheme="minorHAnsi" w:eastAsia="Calibri" w:hAnsiTheme="minorHAnsi" w:cstheme="minorHAnsi"/>
        </w:rPr>
        <w:t xml:space="preserve"> </w:t>
      </w:r>
      <w:hyperlink w:anchor="_ZAŁĄCZNIK_III_—" w:history="1">
        <w:r w:rsidR="00F809D7" w:rsidRPr="009E064B">
          <w:rPr>
            <w:rStyle w:val="Hipercze"/>
            <w:rFonts w:asciiTheme="minorHAnsi" w:eastAsia="Calibri" w:hAnsiTheme="minorHAnsi" w:cstheme="minorHAnsi"/>
            <w:szCs w:val="18"/>
          </w:rPr>
          <w:t>Części ADR.OR</w:t>
        </w:r>
      </w:hyperlink>
      <w:r w:rsidR="00F809D7" w:rsidRPr="009E064B">
        <w:rPr>
          <w:rFonts w:asciiTheme="minorHAnsi" w:eastAsia="Calibri" w:hAnsiTheme="minorHAnsi" w:cstheme="minorHAnsi"/>
          <w:szCs w:val="18"/>
        </w:rPr>
        <w:t xml:space="preserve"> i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 xml:space="preserve"> oraz inne mające zastosowanie wymogi, które muszą być spełnione w wyniku proponowanej zmiany, w tym sposób, w jaki zgodność ma być wykazana, oraz</w:t>
      </w:r>
    </w:p>
    <w:p w14:paraId="679C6BFF" w14:textId="73E540B0" w:rsidR="00D121EC"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ocena bezpieczeństwa wymagana zgodnie z </w:t>
      </w:r>
      <w:hyperlink w:anchor="_ADR.OR.B.040__" w:history="1">
        <w:r w:rsidRPr="009E064B">
          <w:rPr>
            <w:rStyle w:val="Hipercze"/>
            <w:rFonts w:asciiTheme="minorHAnsi" w:eastAsia="Calibri" w:hAnsiTheme="minorHAnsi" w:cstheme="minorHAnsi"/>
          </w:rPr>
          <w:t>ADR.OR.B.040</w:t>
        </w:r>
      </w:hyperlink>
      <w:r w:rsidR="003B1047" w:rsidRPr="009E064B">
        <w:rPr>
          <w:rFonts w:asciiTheme="minorHAnsi" w:eastAsia="Calibri" w:hAnsiTheme="minorHAnsi" w:cstheme="minorHAnsi"/>
        </w:rPr>
        <w:t xml:space="preserve"> lit. </w:t>
      </w:r>
      <w:r w:rsidRPr="009E064B">
        <w:rPr>
          <w:rFonts w:asciiTheme="minorHAnsi" w:eastAsia="Calibri" w:hAnsiTheme="minorHAnsi" w:cstheme="minorHAnsi"/>
        </w:rPr>
        <w:t>(f).</w:t>
      </w:r>
    </w:p>
    <w:p w14:paraId="742C6EA5" w14:textId="77777777" w:rsidR="00D121EC" w:rsidRPr="009E064B" w:rsidRDefault="00D121EC">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76E805CD" w14:textId="0D13713C" w:rsidR="00490EF1" w:rsidRPr="009E064B" w:rsidRDefault="00490EF1" w:rsidP="00133B99">
      <w:pPr>
        <w:pStyle w:val="Nagwek6"/>
      </w:pPr>
      <w:bookmarkStart w:id="274" w:name="_Toc492024585"/>
      <w:bookmarkStart w:id="275" w:name="_Toc12532662"/>
      <w:r w:rsidRPr="009E064B">
        <w:t xml:space="preserve">GM1 ADR.OR.B.040(a);(b) </w:t>
      </w:r>
      <w:r w:rsidR="004D6FC2" w:rsidRPr="009E064B">
        <w:t xml:space="preserve">    </w:t>
      </w:r>
      <w:r w:rsidRPr="009E064B">
        <w:t>Zmiany</w:t>
      </w:r>
      <w:bookmarkEnd w:id="274"/>
      <w:bookmarkEnd w:id="275"/>
    </w:p>
    <w:p w14:paraId="3E338674" w14:textId="2AF23913"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9B9E914"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ZMIANY WYMAGAJĄCE UPRZEDNIEGO ZATWIERDZENIA</w:t>
      </w:r>
    </w:p>
    <w:p w14:paraId="4C2F9568"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Poniżej znajduje się lista elementów, które wymagają uprzedniego zatwierdzenia przez właściwy organ, w sposób określony w mających zastosowanie przepisach wykonawczych.</w:t>
      </w:r>
    </w:p>
    <w:p w14:paraId="58839B42" w14:textId="00218C6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Wykorzystanie alternatywnych sposobów spełnienia wymagań, zgodnie z wymogami </w:t>
      </w:r>
      <w:hyperlink w:anchor="_ADR.OR.A.015__" w:history="1">
        <w:r w:rsidRPr="009E064B">
          <w:rPr>
            <w:rStyle w:val="Hipercze"/>
            <w:rFonts w:asciiTheme="minorHAnsi" w:eastAsia="Calibri" w:hAnsiTheme="minorHAnsi" w:cstheme="minorHAnsi"/>
          </w:rPr>
          <w:t>ADR.OR.A.015</w:t>
        </w:r>
      </w:hyperlink>
      <w:r w:rsidRPr="009E064B">
        <w:rPr>
          <w:rFonts w:asciiTheme="minorHAnsi" w:eastAsia="Calibri" w:hAnsiTheme="minorHAnsi" w:cstheme="minorHAnsi"/>
        </w:rPr>
        <w:t xml:space="preserve"> - Sposoby spełnienia wymagań.</w:t>
      </w:r>
    </w:p>
    <w:p w14:paraId="4BE82312" w14:textId="0501C651"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Zmiany w zarządzaniu i procedurze powiadamiania o zmianach niewymagających uprzedniego zatwierdzenia, zgodnie z </w:t>
      </w:r>
      <w:hyperlink w:anchor="_ADR.OR.B.015__" w:history="1">
        <w:r w:rsidRPr="009E064B">
          <w:rPr>
            <w:rStyle w:val="Hipercze"/>
            <w:rFonts w:asciiTheme="minorHAnsi" w:eastAsia="Calibri" w:hAnsiTheme="minorHAnsi" w:cstheme="minorHAnsi"/>
          </w:rPr>
          <w:t>ADR.OR.B.015</w:t>
        </w:r>
      </w:hyperlink>
      <w:r w:rsidR="003B1047" w:rsidRPr="009E064B">
        <w:rPr>
          <w:rFonts w:asciiTheme="minorHAnsi" w:eastAsia="Calibri" w:hAnsiTheme="minorHAnsi" w:cstheme="minorHAnsi"/>
        </w:rPr>
        <w:t xml:space="preserve"> lit. </w:t>
      </w:r>
      <w:r w:rsidRPr="009E064B">
        <w:rPr>
          <w:rFonts w:asciiTheme="minorHAnsi" w:eastAsia="Calibri" w:hAnsiTheme="minorHAnsi" w:cstheme="minorHAnsi"/>
        </w:rPr>
        <w:t>(b)</w:t>
      </w:r>
      <w:r w:rsidR="003B1047" w:rsidRPr="009E064B">
        <w:rPr>
          <w:rFonts w:asciiTheme="minorHAnsi" w:eastAsia="Calibri" w:hAnsiTheme="minorHAnsi" w:cstheme="minorHAnsi"/>
        </w:rPr>
        <w:t xml:space="preserve"> pkt </w:t>
      </w:r>
      <w:r w:rsidRPr="009E064B">
        <w:rPr>
          <w:rFonts w:asciiTheme="minorHAnsi" w:eastAsia="Calibri" w:hAnsiTheme="minorHAnsi" w:cstheme="minorHAnsi"/>
        </w:rPr>
        <w:t>(4) – Wniosek o wydanie certyfikatu.</w:t>
      </w:r>
    </w:p>
    <w:p w14:paraId="23963931" w14:textId="3B88A2BB"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Zmiany w podstawie certyfikacji lub w warunkach certyfikatu, zgodnie z wymaganiami </w:t>
      </w:r>
      <w:hyperlink w:anchor="_ADR.OR.B.040__" w:history="1">
        <w:r w:rsidRPr="009E064B">
          <w:rPr>
            <w:rStyle w:val="Hipercze"/>
            <w:rFonts w:asciiTheme="minorHAnsi" w:eastAsia="Calibri" w:hAnsiTheme="minorHAnsi" w:cstheme="minorHAnsi"/>
          </w:rPr>
          <w:t>ADR.OR.B.040</w:t>
        </w:r>
      </w:hyperlink>
      <w:r w:rsidR="003B1047" w:rsidRPr="009E064B">
        <w:rPr>
          <w:rFonts w:asciiTheme="minorHAnsi" w:eastAsia="Calibri" w:hAnsiTheme="minorHAnsi" w:cstheme="minorHAnsi"/>
        </w:rPr>
        <w:t xml:space="preserve"> lit. </w:t>
      </w:r>
      <w:r w:rsidRPr="009E064B">
        <w:rPr>
          <w:rFonts w:asciiTheme="minorHAnsi" w:eastAsia="Calibri" w:hAnsiTheme="minorHAnsi" w:cstheme="minorHAnsi"/>
        </w:rPr>
        <w:t>(a)</w:t>
      </w:r>
      <w:r w:rsidR="003B1047" w:rsidRPr="009E064B">
        <w:rPr>
          <w:rFonts w:asciiTheme="minorHAnsi" w:eastAsia="Calibri" w:hAnsiTheme="minorHAnsi" w:cstheme="minorHAnsi"/>
        </w:rPr>
        <w:t xml:space="preserve"> pkt </w:t>
      </w:r>
      <w:r w:rsidRPr="009E064B">
        <w:rPr>
          <w:rFonts w:asciiTheme="minorHAnsi" w:eastAsia="Calibri" w:hAnsiTheme="minorHAnsi" w:cstheme="minorHAnsi"/>
        </w:rPr>
        <w:t>(1) – Zmiany.</w:t>
      </w:r>
    </w:p>
    <w:p w14:paraId="551CC37F" w14:textId="23390795"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Zmiany dotyczące wyposażenia lotniska mającego krytyczne znaczenie dla bezpieczeństwa, zgodnie z wymaganiami </w:t>
      </w:r>
      <w:hyperlink w:anchor="_ADR.OR.B.040__" w:history="1">
        <w:r w:rsidRPr="009E064B">
          <w:rPr>
            <w:rStyle w:val="Hipercze"/>
            <w:rFonts w:asciiTheme="minorHAnsi" w:eastAsia="Calibri" w:hAnsiTheme="minorHAnsi" w:cstheme="minorHAnsi"/>
          </w:rPr>
          <w:t>ADR.OR.B.040</w:t>
        </w:r>
      </w:hyperlink>
      <w:r w:rsidR="003B1047" w:rsidRPr="009E064B">
        <w:rPr>
          <w:rFonts w:asciiTheme="minorHAnsi" w:eastAsia="Calibri" w:hAnsiTheme="minorHAnsi" w:cstheme="minorHAnsi"/>
        </w:rPr>
        <w:t xml:space="preserve"> lit. </w:t>
      </w:r>
      <w:r w:rsidRPr="009E064B">
        <w:rPr>
          <w:rFonts w:asciiTheme="minorHAnsi" w:eastAsia="Calibri" w:hAnsiTheme="minorHAnsi" w:cstheme="minorHAnsi"/>
        </w:rPr>
        <w:t>(a)</w:t>
      </w:r>
      <w:r w:rsidR="003B1047" w:rsidRPr="009E064B">
        <w:rPr>
          <w:rFonts w:asciiTheme="minorHAnsi" w:eastAsia="Calibri" w:hAnsiTheme="minorHAnsi" w:cstheme="minorHAnsi"/>
        </w:rPr>
        <w:t xml:space="preserve"> pkt </w:t>
      </w:r>
      <w:r w:rsidRPr="009E064B">
        <w:rPr>
          <w:rFonts w:asciiTheme="minorHAnsi" w:eastAsia="Calibri" w:hAnsiTheme="minorHAnsi" w:cstheme="minorHAnsi"/>
        </w:rPr>
        <w:t>(1) – Zmiany.</w:t>
      </w:r>
    </w:p>
    <w:p w14:paraId="4B84CFE7" w14:textId="0880DFC4"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 xml:space="preserve">Zmiany, które znacznie wpływają na elementy systemu zarządzania operatora lotniska, zgodnie z </w:t>
      </w:r>
      <w:hyperlink w:anchor="_ADR.OR.B.040__" w:history="1">
        <w:r w:rsidRPr="009E064B">
          <w:rPr>
            <w:rStyle w:val="Hipercze"/>
            <w:rFonts w:asciiTheme="minorHAnsi" w:eastAsia="Calibri" w:hAnsiTheme="minorHAnsi" w:cstheme="minorHAnsi"/>
          </w:rPr>
          <w:t>ADR.OR.B.040</w:t>
        </w:r>
      </w:hyperlink>
      <w:r w:rsidR="00442AD8" w:rsidRPr="009E064B">
        <w:rPr>
          <w:rFonts w:asciiTheme="minorHAnsi" w:eastAsia="Calibri" w:hAnsiTheme="minorHAnsi" w:cstheme="minorHAnsi"/>
        </w:rPr>
        <w:t xml:space="preserve"> lit. </w:t>
      </w:r>
      <w:r w:rsidRPr="009E064B">
        <w:rPr>
          <w:rFonts w:asciiTheme="minorHAnsi" w:eastAsia="Calibri" w:hAnsiTheme="minorHAnsi" w:cstheme="minorHAnsi"/>
        </w:rPr>
        <w:t>(a)</w:t>
      </w:r>
      <w:r w:rsidR="00442AD8" w:rsidRPr="009E064B">
        <w:rPr>
          <w:rFonts w:asciiTheme="minorHAnsi" w:eastAsia="Calibri" w:hAnsiTheme="minorHAnsi" w:cstheme="minorHAnsi"/>
        </w:rPr>
        <w:t xml:space="preserve"> pkt </w:t>
      </w:r>
      <w:r w:rsidRPr="009E064B">
        <w:rPr>
          <w:rFonts w:asciiTheme="minorHAnsi" w:eastAsia="Calibri" w:hAnsiTheme="minorHAnsi" w:cstheme="minorHAnsi"/>
        </w:rPr>
        <w:t>(2) – Zmiany.</w:t>
      </w:r>
    </w:p>
    <w:p w14:paraId="4128B8EB" w14:textId="415E3721"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Zmiany poziomu ochrony służb ratowniczo-gaśniczych, zgodnie z wymaganiami </w:t>
      </w:r>
      <w:hyperlink w:anchor="_ADR.OPS.B.010__" w:history="1">
        <w:r w:rsidRPr="009E064B">
          <w:rPr>
            <w:rStyle w:val="Hipercze"/>
            <w:rFonts w:asciiTheme="minorHAnsi" w:eastAsia="Calibri" w:hAnsiTheme="minorHAnsi" w:cstheme="minorHAnsi"/>
          </w:rPr>
          <w:t>ADR.OPS.B.010</w:t>
        </w:r>
      </w:hyperlink>
      <w:r w:rsidR="00442AD8" w:rsidRPr="009E064B">
        <w:rPr>
          <w:rFonts w:asciiTheme="minorHAnsi" w:eastAsia="Calibri" w:hAnsiTheme="minorHAnsi" w:cstheme="minorHAnsi"/>
        </w:rPr>
        <w:t xml:space="preserve"> lit. </w:t>
      </w:r>
      <w:r w:rsidRPr="009E064B">
        <w:rPr>
          <w:rFonts w:asciiTheme="minorHAnsi" w:eastAsia="Calibri" w:hAnsiTheme="minorHAnsi" w:cstheme="minorHAnsi"/>
        </w:rPr>
        <w:t>(a)</w:t>
      </w:r>
      <w:r w:rsidR="00442AD8" w:rsidRPr="009E064B">
        <w:rPr>
          <w:rFonts w:asciiTheme="minorHAnsi" w:eastAsia="Calibri" w:hAnsiTheme="minorHAnsi" w:cstheme="minorHAnsi"/>
        </w:rPr>
        <w:t xml:space="preserve"> pkt </w:t>
      </w:r>
      <w:r w:rsidRPr="009E064B">
        <w:rPr>
          <w:rFonts w:asciiTheme="minorHAnsi" w:eastAsia="Calibri" w:hAnsiTheme="minorHAnsi" w:cstheme="minorHAnsi"/>
        </w:rPr>
        <w:t>(1)</w:t>
      </w:r>
      <w:r w:rsidR="00442AD8" w:rsidRPr="009E064B">
        <w:rPr>
          <w:rFonts w:asciiTheme="minorHAnsi" w:eastAsia="Calibri" w:hAnsiTheme="minorHAnsi" w:cstheme="minorHAnsi"/>
        </w:rPr>
        <w:t xml:space="preserve"> i </w:t>
      </w:r>
      <w:r w:rsidRPr="009E064B">
        <w:rPr>
          <w:rFonts w:asciiTheme="minorHAnsi" w:eastAsia="Calibri" w:hAnsiTheme="minorHAnsi" w:cstheme="minorHAnsi"/>
        </w:rPr>
        <w:t>(2) – Służby ratowniczo-gaśnicze.</w:t>
      </w:r>
    </w:p>
    <w:p w14:paraId="524AEDB4" w14:textId="6A114B65"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 xml:space="preserve">Zmiany procedur operacji w ograniczonej widzialności, zgodnie z wymogami </w:t>
      </w:r>
      <w:hyperlink w:anchor="_ADR.OPS.B.045__" w:history="1">
        <w:r w:rsidRPr="009E064B">
          <w:rPr>
            <w:rStyle w:val="Hipercze"/>
            <w:rFonts w:asciiTheme="minorHAnsi" w:eastAsia="Calibri" w:hAnsiTheme="minorHAnsi" w:cstheme="minorHAnsi"/>
          </w:rPr>
          <w:t>ADR.OPS.B.045</w:t>
        </w:r>
      </w:hyperlink>
      <w:r w:rsidR="00442AD8" w:rsidRPr="009E064B">
        <w:rPr>
          <w:rFonts w:asciiTheme="minorHAnsi" w:eastAsia="Calibri" w:hAnsiTheme="minorHAnsi" w:cstheme="minorHAnsi"/>
        </w:rPr>
        <w:t xml:space="preserve"> lit. </w:t>
      </w:r>
      <w:r w:rsidRPr="009E064B">
        <w:rPr>
          <w:rFonts w:asciiTheme="minorHAnsi" w:eastAsia="Calibri" w:hAnsiTheme="minorHAnsi" w:cstheme="minorHAnsi"/>
        </w:rPr>
        <w:t>(b) – Operacje w ograniczonej widzialności.</w:t>
      </w:r>
    </w:p>
    <w:p w14:paraId="1F8E0688" w14:textId="233D01FB"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 xml:space="preserve">Eksploatacja statków powietrznych o wyższej literze kodu, zgodnie z wymaganiami </w:t>
      </w:r>
      <w:hyperlink w:anchor="_ADR.OPS.B.090__" w:history="1">
        <w:r w:rsidRPr="009E064B">
          <w:rPr>
            <w:rStyle w:val="Hipercze"/>
            <w:rFonts w:asciiTheme="minorHAnsi" w:eastAsia="Calibri" w:hAnsiTheme="minorHAnsi" w:cstheme="minorHAnsi"/>
          </w:rPr>
          <w:t>ADR.OPS.B.090</w:t>
        </w:r>
      </w:hyperlink>
      <w:r w:rsidR="00442AD8" w:rsidRPr="009E064B">
        <w:rPr>
          <w:rFonts w:asciiTheme="minorHAnsi" w:eastAsia="Calibri" w:hAnsiTheme="minorHAnsi" w:cstheme="minorHAnsi"/>
        </w:rPr>
        <w:t xml:space="preserve"> lit. </w:t>
      </w:r>
      <w:r w:rsidRPr="009E064B">
        <w:rPr>
          <w:rFonts w:asciiTheme="minorHAnsi" w:eastAsia="Calibri" w:hAnsiTheme="minorHAnsi" w:cstheme="minorHAnsi"/>
        </w:rPr>
        <w:t>(a) – Użytkowanie lotniska przez statki powietrzne o wyższej literze kodu.</w:t>
      </w:r>
    </w:p>
    <w:p w14:paraId="269D57B7" w14:textId="411B735C"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 xml:space="preserve">Ponadto właściwy organ może wymagać uprzedniego zatwierdzenia zmian dotyczących jakichkolwiek przeszkód, rozbudowy i innych działań w obszarach monitorowanych przez operatora lotniska, zgodnie z </w:t>
      </w:r>
      <w:hyperlink w:anchor="_ADR.OPS.B.075__" w:history="1">
        <w:r w:rsidRPr="009E064B">
          <w:rPr>
            <w:rStyle w:val="Hipercze"/>
            <w:rFonts w:asciiTheme="minorHAnsi" w:eastAsia="Calibri" w:hAnsiTheme="minorHAnsi" w:cstheme="minorHAnsi"/>
          </w:rPr>
          <w:t>ADR.OPS.B.075</w:t>
        </w:r>
      </w:hyperlink>
      <w:r w:rsidRPr="009E064B">
        <w:rPr>
          <w:rFonts w:asciiTheme="minorHAnsi" w:eastAsia="Calibri" w:hAnsiTheme="minorHAnsi" w:cstheme="minorHAnsi"/>
        </w:rPr>
        <w:t xml:space="preserve">, które mogą stanowić </w:t>
      </w:r>
      <w:r w:rsidR="00442AD8" w:rsidRPr="009E064B">
        <w:rPr>
          <w:rFonts w:asciiTheme="minorHAnsi" w:eastAsia="Calibri" w:hAnsiTheme="minorHAnsi" w:cstheme="minorHAnsi"/>
        </w:rPr>
        <w:t xml:space="preserve">zagrożenie dla bezpieczeństwa i </w:t>
      </w:r>
      <w:r w:rsidRPr="009E064B">
        <w:rPr>
          <w:rFonts w:asciiTheme="minorHAnsi" w:eastAsia="Calibri" w:hAnsiTheme="minorHAnsi" w:cstheme="minorHAnsi"/>
        </w:rPr>
        <w:t xml:space="preserve">negatywnie wpłynąć na funkcjonowanie lotniska, zgodnie z wymaganiami </w:t>
      </w:r>
      <w:hyperlink w:anchor="_ADR.AR.C.005__" w:history="1">
        <w:r w:rsidRPr="009E064B">
          <w:rPr>
            <w:rStyle w:val="Hipercze"/>
            <w:rFonts w:asciiTheme="minorHAnsi" w:eastAsia="Calibri" w:hAnsiTheme="minorHAnsi" w:cstheme="minorHAnsi"/>
          </w:rPr>
          <w:t>ADR.AR.C.005</w:t>
        </w:r>
      </w:hyperlink>
      <w:r w:rsidR="00442AD8" w:rsidRPr="009E064B">
        <w:rPr>
          <w:rFonts w:asciiTheme="minorHAnsi" w:eastAsia="Calibri" w:hAnsiTheme="minorHAnsi" w:cstheme="minorHAnsi"/>
        </w:rPr>
        <w:t xml:space="preserve"> lit. </w:t>
      </w:r>
      <w:r w:rsidRPr="009E064B">
        <w:rPr>
          <w:rFonts w:asciiTheme="minorHAnsi" w:eastAsia="Calibri" w:hAnsiTheme="minorHAnsi" w:cstheme="minorHAnsi"/>
        </w:rPr>
        <w:t>(e).</w:t>
      </w:r>
    </w:p>
    <w:p w14:paraId="7D3AC5D1" w14:textId="2246C02A" w:rsidR="00490EF1" w:rsidRPr="009E064B" w:rsidRDefault="00490EF1" w:rsidP="00133B99">
      <w:pPr>
        <w:pStyle w:val="Nagwek6"/>
      </w:pPr>
      <w:bookmarkStart w:id="276" w:name="_GM1_ADR.OR.B.040(f)_"/>
      <w:bookmarkStart w:id="277" w:name="_Toc492024586"/>
      <w:bookmarkStart w:id="278" w:name="_Toc12532663"/>
      <w:bookmarkEnd w:id="276"/>
      <w:r w:rsidRPr="009E064B">
        <w:t xml:space="preserve">GM1 ADR.OR.B.040(f) </w:t>
      </w:r>
      <w:r w:rsidR="004D6FC2" w:rsidRPr="009E064B">
        <w:t xml:space="preserve">    </w:t>
      </w:r>
      <w:r w:rsidRPr="009E064B">
        <w:t>Zmiany</w:t>
      </w:r>
      <w:bookmarkEnd w:id="277"/>
      <w:bookmarkEnd w:id="278"/>
    </w:p>
    <w:p w14:paraId="52C3E7EC" w14:textId="1D3B64DC"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0A53275" w14:textId="77777777" w:rsidR="00490EF1" w:rsidRPr="009E064B" w:rsidRDefault="00490EF1" w:rsidP="00B06A9A">
      <w:pPr>
        <w:widowControl/>
        <w:rPr>
          <w:rFonts w:asciiTheme="minorHAnsi" w:eastAsia="Calibri" w:hAnsiTheme="minorHAnsi" w:cstheme="minorHAnsi"/>
          <w:b/>
          <w:bCs/>
        </w:rPr>
      </w:pPr>
      <w:r w:rsidRPr="009E064B">
        <w:rPr>
          <w:rFonts w:asciiTheme="minorHAnsi" w:eastAsia="Calibri" w:hAnsiTheme="minorHAnsi" w:cstheme="minorHAnsi"/>
        </w:rPr>
        <w:t>OCENA ZMIAN</w:t>
      </w:r>
    </w:p>
    <w:p w14:paraId="1C8D97A9"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Ocena bezpieczeństwa dla zmiany</w:t>
      </w:r>
    </w:p>
    <w:p w14:paraId="7EFFEA1C" w14:textId="77777777"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 xml:space="preserve">Ocena bezpieczeństwa dla zmiany powinna obejmować: </w:t>
      </w:r>
    </w:p>
    <w:p w14:paraId="3AC52B75"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identyfikację zakresu zmiany;</w:t>
      </w:r>
    </w:p>
    <w:p w14:paraId="392107F0"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identyfikację zagrożeń;</w:t>
      </w:r>
    </w:p>
    <w:p w14:paraId="433A5343"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określenie kryteriów bezpieczeństwa stosowanych do tej zmiany;</w:t>
      </w:r>
    </w:p>
    <w:p w14:paraId="2F98F959"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analizę ryzyka w odniesieniu do szkodliwych skutków lub poprawy bezpieczeństwa związanego ze zmianą;</w:t>
      </w:r>
    </w:p>
    <w:p w14:paraId="1AA2942A"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ocenę ryzyka oraz, w razie potrzeby, łagodzenie ryzyka dla zmiany w celu spełnienia obowiązujących kryteriów bezpieczeństwa;</w:t>
      </w:r>
    </w:p>
    <w:p w14:paraId="6A1AD803"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weryfikację, że zmiana jest zgodna z zakresem, który był przedmiotem oceny bezpieczeństwa, oraz spełnia kryteria bezpieczeństwa, zanim zmiana zostanie wprowadzona do stosowania, oraz</w:t>
      </w:r>
    </w:p>
    <w:p w14:paraId="22DDD33E"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określenie wymogów w zakresie monitorowania, niezbędnych do zapewnienia, że lotnisko i jego funkcjonowanie będzie nadal spełniało kryteria bezpieczeństwa po wprowadzeniu zmiany do stosowania.</w:t>
      </w:r>
    </w:p>
    <w:p w14:paraId="32FDB76F"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Zakres oceny bezpieczeństwa</w:t>
      </w:r>
    </w:p>
    <w:p w14:paraId="4A72E2DB" w14:textId="77777777" w:rsidR="00490EF1" w:rsidRPr="009E064B" w:rsidRDefault="00490EF1"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Zakres oceny bezpieczeństwa powinien zawierać następujące elementy i ich wzajemne relacje:</w:t>
      </w:r>
    </w:p>
    <w:p w14:paraId="3475DAFA"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lotnisko, jego eksploatację, zarządzanie i czynniki ludzkie ulegające zmianie;</w:t>
      </w:r>
    </w:p>
    <w:p w14:paraId="285E867C"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powiązania i wzajemne oddziaływanie pomiędzy elementami podlegającymi zmianie a resztą systemu;</w:t>
      </w:r>
    </w:p>
    <w:p w14:paraId="4D59F878"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powiązania i wzajemne oddziaływanie między elementami podlegającymi zmianie a środowiskiem, w którym mają działać, oraz</w:t>
      </w:r>
    </w:p>
    <w:p w14:paraId="0F9E00FE" w14:textId="77777777" w:rsidR="00490EF1" w:rsidRPr="009E064B" w:rsidRDefault="00490EF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pełny cykl wprowadzania zmiany od momentu jej zdefiniowania do praktycznego stosowania.</w:t>
      </w:r>
    </w:p>
    <w:p w14:paraId="3B98CB3E" w14:textId="77777777" w:rsidR="00490EF1" w:rsidRPr="009E064B" w:rsidRDefault="00490EF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Kryteria bezpieczeństwa</w:t>
      </w:r>
    </w:p>
    <w:p w14:paraId="6FB9E17D" w14:textId="77777777"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Stosowane kryteria bezpieczeństwa powinny być określone zgodnie z procedurami zarządzania zmianą zawartymi w instrukcji operacyjnej lotniska.</w:t>
      </w:r>
    </w:p>
    <w:p w14:paraId="490C5BB1" w14:textId="77777777" w:rsidR="00490EF1" w:rsidRPr="009E064B" w:rsidRDefault="00490EF1" w:rsidP="00B06A9A">
      <w:pPr>
        <w:widowControl/>
        <w:ind w:left="567"/>
        <w:rPr>
          <w:rFonts w:asciiTheme="minorHAnsi" w:eastAsia="Calibri" w:hAnsiTheme="minorHAnsi" w:cstheme="minorHAnsi"/>
        </w:rPr>
      </w:pPr>
      <w:r w:rsidRPr="009E064B">
        <w:rPr>
          <w:rFonts w:asciiTheme="minorHAnsi" w:eastAsia="Calibri" w:hAnsiTheme="minorHAnsi" w:cstheme="minorHAnsi"/>
        </w:rPr>
        <w:t>Stosowane kryteria bezpieczeństwa powinny być, w zależności od dostępności danych, określone w odniesieniu do wyraźnych ilościowych dopuszczalnych poziomów ryzyka bezpieczeństwa, uznanych standardów i/lub kodeksów postępowania, skuteczności działań w zakresie bezpieczeństwa w ramach istniejącego systemu lub podobnego systemu.</w:t>
      </w:r>
    </w:p>
    <w:p w14:paraId="7A2662B3" w14:textId="6BAF57D4" w:rsidR="00490EF1" w:rsidRPr="009E064B" w:rsidRDefault="00490EF1" w:rsidP="00133B99">
      <w:pPr>
        <w:pStyle w:val="Nagwek6"/>
      </w:pPr>
      <w:bookmarkStart w:id="279" w:name="_Toc492024587"/>
      <w:bookmarkStart w:id="280" w:name="_Toc12532664"/>
      <w:r w:rsidRPr="009E064B">
        <w:t xml:space="preserve">GM2 ADR.OR.B.040(f) </w:t>
      </w:r>
      <w:r w:rsidR="004D6FC2" w:rsidRPr="009E064B">
        <w:t xml:space="preserve">    </w:t>
      </w:r>
      <w:r w:rsidRPr="009E064B">
        <w:t>Zmiany</w:t>
      </w:r>
      <w:bookmarkEnd w:id="279"/>
      <w:bookmarkEnd w:id="280"/>
    </w:p>
    <w:p w14:paraId="2DA55F38" w14:textId="4D7C04DA"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C42BA4A"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OCENA ZMIAN – LOKALNY ZESPÓŁ DO SPRAW BEZPIECZEŃSTWA DROGI STARTOWEJ</w:t>
      </w:r>
    </w:p>
    <w:p w14:paraId="66F185A4" w14:textId="5AB5D49B"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 xml:space="preserve">Odnośnie informacji na temat roli lokalnego zespołu do spraw bezpieczeństwa drogi startowej przed wdrożeniem zmian, patrz także w </w:t>
      </w:r>
      <w:hyperlink w:anchor="_GM2_ADR.OR.D.027_" w:history="1">
        <w:r w:rsidRPr="009E064B">
          <w:rPr>
            <w:rStyle w:val="Hipercze"/>
            <w:rFonts w:asciiTheme="minorHAnsi" w:eastAsia="Calibri" w:hAnsiTheme="minorHAnsi" w:cstheme="minorHAnsi"/>
          </w:rPr>
          <w:t>GM2 ADR.OR.D.027</w:t>
        </w:r>
      </w:hyperlink>
      <w:r w:rsidRPr="009E064B">
        <w:rPr>
          <w:rFonts w:asciiTheme="minorHAnsi" w:eastAsia="Calibri" w:hAnsiTheme="minorHAnsi" w:cstheme="minorHAnsi"/>
        </w:rPr>
        <w:t>.</w:t>
      </w:r>
    </w:p>
    <w:p w14:paraId="5AA0DFD5" w14:textId="2C5E7F81" w:rsidR="00490EF1" w:rsidRPr="009E064B" w:rsidRDefault="00490EF1" w:rsidP="00133B99">
      <w:pPr>
        <w:pStyle w:val="Nagwek6"/>
      </w:pPr>
      <w:bookmarkStart w:id="281" w:name="_Toc492024588"/>
      <w:bookmarkStart w:id="282" w:name="_Toc12532665"/>
      <w:r w:rsidRPr="009E064B">
        <w:t xml:space="preserve">GM3 ADR.OR.B.040(f) </w:t>
      </w:r>
      <w:r w:rsidR="004D6FC2" w:rsidRPr="009E064B">
        <w:t xml:space="preserve">    </w:t>
      </w:r>
      <w:r w:rsidRPr="009E064B">
        <w:t>Zmiany</w:t>
      </w:r>
      <w:bookmarkEnd w:id="281"/>
      <w:bookmarkEnd w:id="282"/>
    </w:p>
    <w:p w14:paraId="68B7E6DD" w14:textId="1BA5D434"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220891E"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OCENA ZMIAN – BEZPIECZEŃSTWO DROGI STARTOWEJ</w:t>
      </w:r>
    </w:p>
    <w:p w14:paraId="6539461F"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Szczególną uwagę należy zwrócić na zmiany, które mogą mieć wpływ na bezpieczeństwo drogi startowej. Dotyczy to wprowadzenia lub zmiany procedur ograniczania lub zmniejszania hałasu.</w:t>
      </w:r>
    </w:p>
    <w:p w14:paraId="614407C6" w14:textId="7D3BF2B6" w:rsidR="00DC7DA6" w:rsidRPr="009E064B" w:rsidRDefault="00DE05DC" w:rsidP="00872370">
      <w:pPr>
        <w:pStyle w:val="Nagwek3"/>
      </w:pPr>
      <w:bookmarkStart w:id="283" w:name="_Toc12532666"/>
      <w:r w:rsidRPr="009E064B">
        <w:t xml:space="preserve">ADR.OR.B.050 </w:t>
      </w:r>
      <w:r w:rsidR="004D6FC2" w:rsidRPr="009E064B">
        <w:t xml:space="preserve">    </w:t>
      </w:r>
      <w:r w:rsidRPr="009E064B">
        <w:t>Ciągła zgodność ze specyfikacjami certyfikacyjnymi wydanymi przez Agencję</w:t>
      </w:r>
      <w:bookmarkEnd w:id="283"/>
    </w:p>
    <w:p w14:paraId="09EB2215" w14:textId="58668690"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C87295E"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Po wprowadzeniu zmian do specyfikacji certyfikacyjnych ustanowionych przez Agencję operator lotniska:</w:t>
      </w:r>
    </w:p>
    <w:p w14:paraId="084AB54C"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przeprowadza przegląd w celu ustalenia wszelkich specyfikacji certyfikacyjnych mających zastosowanie do danego lotniska; oraz</w:t>
      </w:r>
    </w:p>
    <w:p w14:paraId="3519D64A" w14:textId="3340064E"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t xml:space="preserve">w </w:t>
      </w:r>
      <w:r w:rsidR="00DE05DC" w:rsidRPr="009E064B">
        <w:rPr>
          <w:rFonts w:asciiTheme="minorHAnsi" w:hAnsiTheme="minorHAnsi" w:cstheme="minorHAnsi"/>
          <w:sz w:val="22"/>
          <w:szCs w:val="20"/>
        </w:rPr>
        <w:t>odpowiednich przypadkach, ini</w:t>
      </w:r>
      <w:r w:rsidR="00BF2E35" w:rsidRPr="009E064B">
        <w:rPr>
          <w:rFonts w:asciiTheme="minorHAnsi" w:hAnsiTheme="minorHAnsi" w:cstheme="minorHAnsi"/>
          <w:sz w:val="22"/>
          <w:szCs w:val="20"/>
        </w:rPr>
        <w:t xml:space="preserve">cjuje proces zmian zgodnie z </w:t>
      </w:r>
      <w:hyperlink w:anchor="_ADR.OR.B.040__" w:history="1">
        <w:r w:rsidR="00DE05DC" w:rsidRPr="009E064B">
          <w:rPr>
            <w:rStyle w:val="Hipercze"/>
            <w:rFonts w:asciiTheme="minorHAnsi" w:hAnsiTheme="minorHAnsi" w:cstheme="minorHAnsi"/>
            <w:sz w:val="22"/>
            <w:szCs w:val="20"/>
          </w:rPr>
          <w:t>ADR.OR.B.040</w:t>
        </w:r>
      </w:hyperlink>
      <w:r w:rsidR="0041376F" w:rsidRPr="009E064B">
        <w:rPr>
          <w:rFonts w:asciiTheme="minorHAnsi" w:hAnsiTheme="minorHAnsi" w:cstheme="minorHAnsi"/>
          <w:sz w:val="22"/>
          <w:szCs w:val="20"/>
        </w:rPr>
        <w:t xml:space="preserve"> </w:t>
      </w:r>
      <w:r w:rsidR="00BF2E35" w:rsidRPr="009E064B">
        <w:rPr>
          <w:rFonts w:asciiTheme="minorHAnsi" w:hAnsiTheme="minorHAnsi" w:cstheme="minorHAnsi"/>
          <w:sz w:val="22"/>
          <w:szCs w:val="20"/>
        </w:rPr>
        <w:t xml:space="preserve">i wprowadza niezbędne zmiany </w:t>
      </w:r>
      <w:r w:rsidR="00DE05DC" w:rsidRPr="009E064B">
        <w:rPr>
          <w:rFonts w:asciiTheme="minorHAnsi" w:hAnsiTheme="minorHAnsi" w:cstheme="minorHAnsi"/>
          <w:sz w:val="22"/>
          <w:szCs w:val="20"/>
        </w:rPr>
        <w:t>na lotnisku.</w:t>
      </w:r>
    </w:p>
    <w:p w14:paraId="3B3E98C5" w14:textId="100C739A" w:rsidR="00DC7DA6" w:rsidRPr="009E064B" w:rsidRDefault="00DE05DC" w:rsidP="00872370">
      <w:pPr>
        <w:pStyle w:val="Nagwek3"/>
      </w:pPr>
      <w:bookmarkStart w:id="284" w:name="_ADR.OR.B.060__"/>
      <w:bookmarkStart w:id="285" w:name="_Toc12532667"/>
      <w:bookmarkEnd w:id="284"/>
      <w:r w:rsidRPr="009E064B">
        <w:t xml:space="preserve">ADR.OR.B.060 </w:t>
      </w:r>
      <w:r w:rsidR="004D6FC2" w:rsidRPr="009E064B">
        <w:t xml:space="preserve">    </w:t>
      </w:r>
      <w:r w:rsidRPr="009E064B">
        <w:t>Deklaracja składana przez instytucję zapewniającą służbę zarządzania płytą postojową</w:t>
      </w:r>
      <w:bookmarkEnd w:id="285"/>
    </w:p>
    <w:p w14:paraId="6B7786C5" w14:textId="037E335C"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37A1F29" w14:textId="40B108F4"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Instytucje zapewniające służbę zarządzania płytą postojową, które otrzymały pozwolenie na deklarowanie swoich zdolności i</w:t>
      </w:r>
      <w:r w:rsidR="001A43E2" w:rsidRPr="009E064B">
        <w:rPr>
          <w:rFonts w:asciiTheme="minorHAnsi" w:hAnsiTheme="minorHAnsi" w:cstheme="minorHAnsi"/>
          <w:sz w:val="22"/>
          <w:szCs w:val="20"/>
        </w:rPr>
        <w:t xml:space="preserve"> środków w zakresie rea</w:t>
      </w:r>
      <w:r w:rsidR="00280803" w:rsidRPr="009E064B">
        <w:rPr>
          <w:rFonts w:asciiTheme="minorHAnsi" w:hAnsiTheme="minorHAnsi" w:cstheme="minorHAnsi"/>
          <w:sz w:val="22"/>
          <w:szCs w:val="20"/>
        </w:rPr>
        <w:t>lizacji obowiązków związanych z </w:t>
      </w:r>
      <w:r w:rsidR="001A43E2" w:rsidRPr="009E064B">
        <w:rPr>
          <w:rFonts w:asciiTheme="minorHAnsi" w:hAnsiTheme="minorHAnsi" w:cstheme="minorHAnsi"/>
          <w:sz w:val="22"/>
          <w:szCs w:val="20"/>
        </w:rPr>
        <w:t xml:space="preserve">zapewnianiem takich służb, po </w:t>
      </w:r>
      <w:r w:rsidR="00DE05DC" w:rsidRPr="009E064B">
        <w:rPr>
          <w:rFonts w:asciiTheme="minorHAnsi" w:hAnsiTheme="minorHAnsi" w:cstheme="minorHAnsi"/>
          <w:sz w:val="22"/>
          <w:szCs w:val="20"/>
        </w:rPr>
        <w:t>zawarciu</w:t>
      </w:r>
      <w:r w:rsidR="001A43E2" w:rsidRPr="009E064B">
        <w:rPr>
          <w:rFonts w:asciiTheme="minorHAnsi" w:hAnsiTheme="minorHAnsi" w:cstheme="minorHAnsi"/>
          <w:sz w:val="22"/>
          <w:szCs w:val="20"/>
        </w:rPr>
        <w:t xml:space="preserve"> umowy z operatorem lotniska o </w:t>
      </w:r>
      <w:r w:rsidR="00DE05DC" w:rsidRPr="009E064B">
        <w:rPr>
          <w:rFonts w:asciiTheme="minorHAnsi" w:hAnsiTheme="minorHAnsi" w:cstheme="minorHAnsi"/>
          <w:sz w:val="22"/>
          <w:szCs w:val="20"/>
        </w:rPr>
        <w:t>świadczenie tego rodzaju służb na lotnisku, muszą:</w:t>
      </w:r>
    </w:p>
    <w:p w14:paraId="5F0A61CD"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przedstawić właściwemu organowi, na formularzu przygotowanym przez ten organ, wszelkie odpowiednie informacje i zadeklarować zgodność z wszelkimi stosownymi wymaganiami rozporządzenia (WE) nr 216/2008 i jego przepisów wykonawczych;</w:t>
      </w:r>
    </w:p>
    <w:p w14:paraId="2C56E39E" w14:textId="395BF4EE"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przedstawić właściwemu organowi wykaz wykorzystywanych przez siebie alternatywnych sposobów spełnienia wymagań, zgodnie z </w:t>
      </w:r>
      <w:hyperlink w:anchor="_ADR.OR.A.015__" w:history="1">
        <w:r w:rsidR="00DE05DC" w:rsidRPr="009E064B">
          <w:rPr>
            <w:rStyle w:val="Hipercze"/>
            <w:rFonts w:asciiTheme="minorHAnsi" w:eastAsia="Times New Roman" w:hAnsiTheme="minorHAnsi" w:cstheme="minorHAnsi"/>
            <w:szCs w:val="20"/>
          </w:rPr>
          <w:t>ADR.OR.A.015</w:t>
        </w:r>
      </w:hyperlink>
      <w:r w:rsidR="00DE05DC" w:rsidRPr="009E064B">
        <w:rPr>
          <w:rFonts w:asciiTheme="minorHAnsi" w:eastAsia="Times New Roman" w:hAnsiTheme="minorHAnsi" w:cstheme="minorHAnsi"/>
          <w:szCs w:val="20"/>
        </w:rPr>
        <w:t xml:space="preserve"> lit. </w:t>
      </w:r>
      <w:r w:rsidR="00D72D9C"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b);</w:t>
      </w:r>
    </w:p>
    <w:p w14:paraId="1C66FEB1" w14:textId="576CDC8D"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zachować zgodność ze stosownymi wymaganiam</w:t>
      </w:r>
      <w:r w:rsidR="00280803" w:rsidRPr="009E064B">
        <w:rPr>
          <w:rFonts w:asciiTheme="minorHAnsi" w:eastAsia="Times New Roman" w:hAnsiTheme="minorHAnsi" w:cstheme="minorHAnsi"/>
          <w:szCs w:val="20"/>
        </w:rPr>
        <w:t>i i informacjami przekazanymi w </w:t>
      </w:r>
      <w:r w:rsidR="00DE05DC" w:rsidRPr="009E064B">
        <w:rPr>
          <w:rFonts w:asciiTheme="minorHAnsi" w:eastAsia="Times New Roman" w:hAnsiTheme="minorHAnsi" w:cstheme="minorHAnsi"/>
          <w:szCs w:val="20"/>
        </w:rPr>
        <w:t>deklaracji;</w:t>
      </w:r>
    </w:p>
    <w:p w14:paraId="36457B0F"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powiadomić właściwy organ o wszelkich zmianach w złożonej deklaracji lub wykorzystywanych przez siebi</w:t>
      </w:r>
      <w:r w:rsidR="00BF2E35" w:rsidRPr="009E064B">
        <w:rPr>
          <w:rFonts w:asciiTheme="minorHAnsi" w:eastAsia="Times New Roman" w:hAnsiTheme="minorHAnsi" w:cstheme="minorHAnsi"/>
          <w:szCs w:val="20"/>
        </w:rPr>
        <w:t xml:space="preserve">e sposobach spełnienia wymagań </w:t>
      </w:r>
      <w:r w:rsidR="00DE05DC" w:rsidRPr="009E064B">
        <w:rPr>
          <w:rFonts w:asciiTheme="minorHAnsi" w:eastAsia="Times New Roman" w:hAnsiTheme="minorHAnsi" w:cstheme="minorHAnsi"/>
          <w:szCs w:val="20"/>
        </w:rPr>
        <w:t>poprzez złożenie poprawionej deklaracji; oraz</w:t>
      </w:r>
    </w:p>
    <w:p w14:paraId="228EAF1D"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5)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świadczyć swoje usługi zgodnie z instrukcją operacyjną lotniska i przestrzegać wszystkich zawartych w niej odpowiednich przepisów.</w:t>
      </w:r>
    </w:p>
    <w:p w14:paraId="56E0BC02"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t>Przed zaprzestaniem świadczenia tego rodzaju usługi instytucja zapewniająca służbę zarządzania płytą</w:t>
      </w:r>
      <w:r w:rsidR="00DE05DC" w:rsidRPr="009E064B">
        <w:rPr>
          <w:rFonts w:asciiTheme="minorHAnsi" w:hAnsiTheme="minorHAnsi" w:cstheme="minorHAnsi"/>
          <w:sz w:val="22"/>
          <w:szCs w:val="20"/>
        </w:rPr>
        <w:t xml:space="preserve"> postojową powiadamia właściwy organ i operatora lotniska.</w:t>
      </w:r>
    </w:p>
    <w:p w14:paraId="069975B7" w14:textId="10CA5C2E" w:rsidR="00490EF1" w:rsidRPr="009E064B" w:rsidRDefault="004D6FC2" w:rsidP="00133B99">
      <w:pPr>
        <w:pStyle w:val="Nagwek6"/>
      </w:pPr>
      <w:bookmarkStart w:id="286" w:name="_Toc492024589"/>
      <w:bookmarkStart w:id="287" w:name="_Toc12532668"/>
      <w:r w:rsidRPr="009E064B">
        <w:t xml:space="preserve">GM1 ADR.OR.B.060     </w:t>
      </w:r>
      <w:r w:rsidR="00490EF1" w:rsidRPr="009E064B">
        <w:t>Deklaracja składana przez instytucję zapewniającą służbę zarządzania płytą postojową</w:t>
      </w:r>
      <w:bookmarkEnd w:id="286"/>
      <w:bookmarkEnd w:id="287"/>
    </w:p>
    <w:p w14:paraId="4845B0EA" w14:textId="4C7BA846"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4A0ED21" w14:textId="77777777" w:rsidR="00490EF1" w:rsidRPr="009E064B" w:rsidRDefault="00490EF1" w:rsidP="00280803">
      <w:pPr>
        <w:widowControl/>
        <w:spacing w:before="120"/>
        <w:jc w:val="left"/>
        <w:rPr>
          <w:rFonts w:asciiTheme="minorHAnsi" w:eastAsia="Calibri" w:hAnsiTheme="minorHAnsi" w:cstheme="minorHAnsi"/>
        </w:rPr>
      </w:pPr>
      <w:r w:rsidRPr="009E064B">
        <w:rPr>
          <w:rFonts w:asciiTheme="minorHAnsi" w:eastAsia="Calibri" w:hAnsiTheme="minorHAnsi" w:cstheme="minorHAnsi"/>
        </w:rPr>
        <w:t xml:space="preserve">WZÓR FORMULARZA DEKLARACJI ZGODNOŚCI </w:t>
      </w:r>
      <w:r w:rsidRPr="009E064B">
        <w:rPr>
          <w:rFonts w:asciiTheme="minorHAnsi" w:eastAsia="Calibri" w:hAnsiTheme="minorHAnsi" w:cstheme="minorHAnsi"/>
          <w:i/>
          <w:iCs/>
        </w:rPr>
        <w:t>―</w:t>
      </w:r>
      <w:r w:rsidRPr="009E064B">
        <w:rPr>
          <w:rFonts w:asciiTheme="minorHAnsi" w:eastAsia="Calibri" w:hAnsiTheme="minorHAnsi" w:cstheme="minorHAnsi"/>
        </w:rPr>
        <w:t xml:space="preserve"> INSTYTUCJA ZAPEWNIAJĄCA SŁUŻBĘ ZARZĄDZANIA PŁYTĄ POSTOJOWĄ</w:t>
      </w:r>
    </w:p>
    <w:p w14:paraId="1CB5E8F3" w14:textId="77777777" w:rsidR="00490EF1" w:rsidRPr="009E064B" w:rsidRDefault="00490EF1" w:rsidP="00C46BE1">
      <w:pPr>
        <w:widowControl/>
        <w:spacing w:after="0"/>
        <w:rPr>
          <w:rFonts w:asciiTheme="minorHAnsi" w:eastAsia="Calibri" w:hAnsiTheme="minorHAnsi" w:cstheme="minorHAnsi"/>
          <w:sz w:val="18"/>
          <w:szCs w:val="18"/>
        </w:rPr>
      </w:pPr>
    </w:p>
    <w:tbl>
      <w:tblPr>
        <w:tblW w:w="5000" w:type="pct"/>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9286"/>
      </w:tblGrid>
      <w:tr w:rsidR="00490EF1" w:rsidRPr="009E064B" w14:paraId="40A18EE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9B68394" w14:textId="21778E9F" w:rsidR="00490EF1" w:rsidRPr="009E064B" w:rsidRDefault="00490EF1" w:rsidP="00D121EC">
            <w:pPr>
              <w:widowControl/>
              <w:spacing w:after="0"/>
              <w:jc w:val="center"/>
              <w:rPr>
                <w:rFonts w:asciiTheme="minorHAnsi" w:eastAsia="Calibri" w:hAnsiTheme="minorHAnsi" w:cstheme="minorHAnsi"/>
                <w:b/>
                <w:bCs/>
                <w:sz w:val="20"/>
                <w:szCs w:val="18"/>
              </w:rPr>
            </w:pPr>
            <w:r w:rsidRPr="009E064B">
              <w:rPr>
                <w:rFonts w:asciiTheme="minorHAnsi" w:eastAsia="Calibri" w:hAnsiTheme="minorHAnsi" w:cstheme="minorHAnsi"/>
                <w:b/>
                <w:bCs/>
                <w:sz w:val="20"/>
                <w:szCs w:val="18"/>
              </w:rPr>
              <w:t>Deklaracja zgodności</w:t>
            </w:r>
            <w:r w:rsidR="003F031F" w:rsidRPr="009E064B">
              <w:rPr>
                <w:rFonts w:asciiTheme="minorHAnsi" w:eastAsia="Calibri" w:hAnsiTheme="minorHAnsi" w:cstheme="minorHAnsi"/>
                <w:b/>
                <w:bCs/>
                <w:sz w:val="20"/>
                <w:szCs w:val="18"/>
              </w:rPr>
              <w:t xml:space="preserve"> </w:t>
            </w:r>
            <w:r w:rsidRPr="009E064B">
              <w:rPr>
                <w:rFonts w:asciiTheme="minorHAnsi" w:eastAsia="Calibri" w:hAnsiTheme="minorHAnsi" w:cstheme="minorHAnsi"/>
                <w:b/>
                <w:bCs/>
                <w:sz w:val="20"/>
                <w:szCs w:val="18"/>
              </w:rPr>
              <w:t>instytucji zapewniającej służbę zarządzania płytą postojową</w:t>
            </w:r>
          </w:p>
          <w:p w14:paraId="39E27B50" w14:textId="58512BFA"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Zgodnie z rozporządzeniem Komisji (UE) nr XXX/2013 ustanawiającym wymagania oraz procedury administracyjne dotyczące lotnisk zgodnie z rozporządzeniem Parlam</w:t>
            </w:r>
            <w:r w:rsidR="00D121EC" w:rsidRPr="009E064B">
              <w:rPr>
                <w:rFonts w:asciiTheme="minorHAnsi" w:eastAsia="Calibri" w:hAnsiTheme="minorHAnsi" w:cstheme="minorHAnsi"/>
                <w:sz w:val="20"/>
                <w:szCs w:val="18"/>
              </w:rPr>
              <w:t>e</w:t>
            </w:r>
            <w:r w:rsidR="00A80E78" w:rsidRPr="009E064B">
              <w:rPr>
                <w:rFonts w:asciiTheme="minorHAnsi" w:eastAsia="Calibri" w:hAnsiTheme="minorHAnsi" w:cstheme="minorHAnsi"/>
                <w:sz w:val="20"/>
                <w:szCs w:val="18"/>
              </w:rPr>
              <w:t xml:space="preserve">ntu Europejskiego i Rady (WE) </w:t>
            </w:r>
            <w:r w:rsidR="00A80E78" w:rsidRPr="009E064B">
              <w:rPr>
                <w:rFonts w:asciiTheme="minorHAnsi" w:eastAsia="Calibri" w:hAnsiTheme="minorHAnsi" w:cstheme="minorHAnsi"/>
                <w:sz w:val="20"/>
                <w:szCs w:val="18"/>
              </w:rPr>
              <w:br/>
              <w:t>n</w:t>
            </w:r>
            <w:r w:rsidRPr="009E064B">
              <w:rPr>
                <w:rFonts w:asciiTheme="minorHAnsi" w:eastAsia="Calibri" w:hAnsiTheme="minorHAnsi" w:cstheme="minorHAnsi"/>
                <w:sz w:val="20"/>
                <w:szCs w:val="18"/>
              </w:rPr>
              <w:t>r 216/2008.</w:t>
            </w:r>
          </w:p>
        </w:tc>
      </w:tr>
      <w:tr w:rsidR="00490EF1" w:rsidRPr="009E064B" w14:paraId="54D78591" w14:textId="77777777" w:rsidTr="00D121EC">
        <w:tc>
          <w:tcPr>
            <w:tcW w:w="5000" w:type="pct"/>
            <w:tcBorders>
              <w:top w:val="single" w:sz="4" w:space="0" w:color="auto"/>
              <w:bottom w:val="single" w:sz="4" w:space="0" w:color="auto"/>
            </w:tcBorders>
            <w:shd w:val="clear" w:color="auto" w:fill="auto"/>
            <w:tcMar>
              <w:top w:w="85" w:type="dxa"/>
              <w:bottom w:w="85" w:type="dxa"/>
            </w:tcMar>
          </w:tcPr>
          <w:p w14:paraId="10F3B113" w14:textId="77777777" w:rsidR="00490EF1" w:rsidRPr="009E064B" w:rsidRDefault="00490EF1" w:rsidP="00D121EC">
            <w:pPr>
              <w:widowControl/>
              <w:spacing w:after="0"/>
              <w:jc w:val="left"/>
              <w:rPr>
                <w:rFonts w:asciiTheme="minorHAnsi" w:eastAsia="Calibri" w:hAnsiTheme="minorHAnsi" w:cstheme="minorHAnsi"/>
                <w:sz w:val="20"/>
                <w:szCs w:val="18"/>
              </w:rPr>
            </w:pPr>
            <w:r w:rsidRPr="009E064B">
              <w:rPr>
                <w:rFonts w:asciiTheme="minorHAnsi" w:eastAsia="Calibri" w:hAnsiTheme="minorHAnsi" w:cstheme="minorHAnsi"/>
                <w:b/>
                <w:sz w:val="20"/>
                <w:szCs w:val="18"/>
              </w:rPr>
              <w:t>Instytucja zapewniająca służbę zarządzania płytą postojową</w:t>
            </w:r>
            <w:r w:rsidRPr="009E064B">
              <w:rPr>
                <w:rFonts w:asciiTheme="minorHAnsi" w:eastAsia="Calibri" w:hAnsiTheme="minorHAnsi" w:cstheme="minorHAnsi"/>
                <w:sz w:val="20"/>
                <w:szCs w:val="18"/>
              </w:rPr>
              <w:t>:</w:t>
            </w:r>
          </w:p>
          <w:p w14:paraId="6FDCDD1F" w14:textId="3BEC190F" w:rsidR="00490EF1" w:rsidRPr="009E064B" w:rsidRDefault="00490EF1" w:rsidP="00D121EC">
            <w:pPr>
              <w:widowControl/>
              <w:spacing w:after="0"/>
              <w:jc w:val="left"/>
              <w:rPr>
                <w:rFonts w:asciiTheme="minorHAnsi" w:eastAsia="Calibri" w:hAnsiTheme="minorHAnsi" w:cstheme="minorHAnsi"/>
                <w:sz w:val="20"/>
                <w:szCs w:val="18"/>
              </w:rPr>
            </w:pPr>
            <w:r w:rsidRPr="009E064B">
              <w:rPr>
                <w:rFonts w:asciiTheme="minorHAnsi" w:eastAsia="Calibri" w:hAnsiTheme="minorHAnsi" w:cstheme="minorHAnsi"/>
                <w:sz w:val="20"/>
                <w:szCs w:val="18"/>
              </w:rPr>
              <w:t>Nazwa i adres instytucji:  ………………………………………………………………………………………</w:t>
            </w:r>
            <w:r w:rsidR="00280803"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p>
          <w:p w14:paraId="071BE973" w14:textId="7FA52E31" w:rsidR="00490EF1" w:rsidRPr="009E064B" w:rsidRDefault="00490EF1" w:rsidP="00D121EC">
            <w:pPr>
              <w:widowControl/>
              <w:spacing w:after="0"/>
              <w:jc w:val="left"/>
              <w:rPr>
                <w:rFonts w:asciiTheme="minorHAnsi" w:eastAsia="Calibri" w:hAnsiTheme="minorHAnsi" w:cstheme="minorHAnsi"/>
                <w:sz w:val="20"/>
                <w:szCs w:val="18"/>
              </w:rPr>
            </w:pPr>
            <w:r w:rsidRPr="009E064B">
              <w:rPr>
                <w:rFonts w:asciiTheme="minorHAnsi" w:eastAsia="Calibri" w:hAnsiTheme="minorHAnsi" w:cstheme="minorHAnsi"/>
                <w:sz w:val="20"/>
                <w:szCs w:val="18"/>
              </w:rPr>
              <w:t>Imię i nazwisko oraz dane kontaktowe kierownika odpowiedzialnego: ……………………………………</w:t>
            </w:r>
            <w:r w:rsidR="00280803"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p>
        </w:tc>
      </w:tr>
      <w:tr w:rsidR="00490EF1" w:rsidRPr="009E064B" w14:paraId="0F21DE58"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B2BECA1" w14:textId="15A1B1E3" w:rsidR="00490EF1" w:rsidRPr="009E064B" w:rsidRDefault="00490EF1" w:rsidP="00D121EC">
            <w:pPr>
              <w:widowControl/>
              <w:spacing w:after="0"/>
              <w:jc w:val="left"/>
              <w:rPr>
                <w:rFonts w:asciiTheme="minorHAnsi" w:eastAsia="Calibri" w:hAnsiTheme="minorHAnsi" w:cstheme="minorHAnsi"/>
                <w:sz w:val="20"/>
                <w:szCs w:val="18"/>
              </w:rPr>
            </w:pPr>
            <w:r w:rsidRPr="009E064B">
              <w:rPr>
                <w:rFonts w:asciiTheme="minorHAnsi" w:eastAsia="Calibri" w:hAnsiTheme="minorHAnsi" w:cstheme="minorHAnsi"/>
                <w:sz w:val="20"/>
                <w:szCs w:val="18"/>
              </w:rPr>
              <w:t xml:space="preserve">Data rozpoczęcia działalności: </w:t>
            </w:r>
            <w:r w:rsidR="00C46BE1" w:rsidRPr="009E064B">
              <w:rPr>
                <w:rFonts w:asciiTheme="minorHAnsi" w:eastAsia="Calibri" w:hAnsiTheme="minorHAnsi" w:cstheme="minorHAnsi"/>
                <w:sz w:val="20"/>
                <w:szCs w:val="18"/>
              </w:rPr>
              <w:t xml:space="preserve"> </w:t>
            </w:r>
            <w:r w:rsidR="00280803"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r w:rsidR="00280803"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r w:rsidR="00C73CC4"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p>
        </w:tc>
      </w:tr>
      <w:tr w:rsidR="00490EF1" w:rsidRPr="009E064B" w14:paraId="4E787A50" w14:textId="77777777" w:rsidTr="00D121EC">
        <w:trPr>
          <w:trHeight w:val="346"/>
        </w:trPr>
        <w:tc>
          <w:tcPr>
            <w:tcW w:w="5000" w:type="pct"/>
            <w:tcBorders>
              <w:top w:val="single" w:sz="4" w:space="0" w:color="auto"/>
              <w:bottom w:val="single" w:sz="4" w:space="0" w:color="auto"/>
            </w:tcBorders>
            <w:shd w:val="clear" w:color="auto" w:fill="auto"/>
            <w:tcMar>
              <w:top w:w="85" w:type="dxa"/>
              <w:bottom w:w="85" w:type="dxa"/>
            </w:tcMar>
            <w:vAlign w:val="center"/>
          </w:tcPr>
          <w:p w14:paraId="215B8134" w14:textId="71F85E56" w:rsidR="00490EF1" w:rsidRPr="009E064B" w:rsidRDefault="00490EF1" w:rsidP="00D121EC">
            <w:pPr>
              <w:widowControl/>
              <w:spacing w:after="0"/>
              <w:jc w:val="left"/>
              <w:rPr>
                <w:rFonts w:asciiTheme="minorHAnsi" w:eastAsia="Calibri" w:hAnsiTheme="minorHAnsi" w:cstheme="minorHAnsi"/>
                <w:sz w:val="20"/>
                <w:szCs w:val="18"/>
              </w:rPr>
            </w:pPr>
            <w:r w:rsidRPr="009E064B">
              <w:rPr>
                <w:rFonts w:asciiTheme="minorHAnsi" w:eastAsia="Calibri" w:hAnsiTheme="minorHAnsi" w:cstheme="minorHAnsi"/>
                <w:sz w:val="20"/>
                <w:szCs w:val="18"/>
              </w:rPr>
              <w:t xml:space="preserve">Lotnisko(a), na którym(ch) zapewniana jest </w:t>
            </w:r>
            <w:r w:rsidRPr="009E064B">
              <w:rPr>
                <w:rFonts w:asciiTheme="minorHAnsi" w:eastAsia="Calibri" w:hAnsiTheme="minorHAnsi" w:cstheme="minorHAnsi"/>
                <w:sz w:val="20"/>
                <w:szCs w:val="18"/>
              </w:rPr>
              <w:br/>
              <w:t>służba zarządzania płytą postojową: …………………………......................................</w:t>
            </w:r>
            <w:r w:rsidR="00280803" w:rsidRPr="009E064B">
              <w:rPr>
                <w:rFonts w:asciiTheme="minorHAnsi" w:eastAsia="Calibri" w:hAnsiTheme="minorHAnsi" w:cstheme="minorHAnsi"/>
                <w:sz w:val="20"/>
                <w:szCs w:val="18"/>
              </w:rPr>
              <w:t>........</w:t>
            </w:r>
            <w:r w:rsidRPr="009E064B">
              <w:rPr>
                <w:rFonts w:asciiTheme="minorHAnsi" w:eastAsia="Calibri" w:hAnsiTheme="minorHAnsi" w:cstheme="minorHAnsi"/>
                <w:sz w:val="20"/>
                <w:szCs w:val="18"/>
              </w:rPr>
              <w:t>......................</w:t>
            </w:r>
          </w:p>
        </w:tc>
      </w:tr>
      <w:tr w:rsidR="00490EF1" w:rsidRPr="009E064B" w14:paraId="36838486"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7EF92168" w14:textId="1EB8D929" w:rsidR="00490EF1" w:rsidRPr="009E064B" w:rsidRDefault="00490EF1" w:rsidP="00F809D7">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 xml:space="preserve">Obowiązujące wymagania określone w </w:t>
            </w:r>
            <w:r w:rsidR="00F809D7" w:rsidRPr="009E064B">
              <w:rPr>
                <w:rFonts w:asciiTheme="minorHAnsi" w:eastAsia="Calibri" w:hAnsiTheme="minorHAnsi" w:cstheme="minorHAnsi"/>
                <w:sz w:val="20"/>
                <w:szCs w:val="20"/>
              </w:rPr>
              <w:t>Części ADR.OPS</w:t>
            </w:r>
            <w:r w:rsidRPr="009E064B">
              <w:rPr>
                <w:rFonts w:asciiTheme="minorHAnsi" w:eastAsia="Calibri" w:hAnsiTheme="minorHAnsi" w:cstheme="minorHAnsi"/>
                <w:sz w:val="20"/>
                <w:szCs w:val="18"/>
              </w:rPr>
              <w:t xml:space="preserve"> dotyczące zapewniania służby zarządzania płytą postojową są udokumentowane i znajdują odzwierciedlenie w instrukcji operacyjnej lotniska. </w:t>
            </w:r>
          </w:p>
        </w:tc>
      </w:tr>
      <w:tr w:rsidR="00490EF1" w:rsidRPr="009E064B" w14:paraId="399AEB94"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E7FD853" w14:textId="33AF1734"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Załącznikiem do niniejszej deklaracji jest lista alternatywnych sposobów spełnienia wymagań z odniesieniami do AMC, które zastępują, zgodnie z ADR.OR.A.015</w:t>
            </w:r>
            <w:r w:rsidR="008D34F8" w:rsidRPr="009E064B">
              <w:rPr>
                <w:rFonts w:asciiTheme="minorHAnsi" w:eastAsia="Calibri" w:hAnsiTheme="minorHAnsi" w:cstheme="minorHAnsi"/>
                <w:sz w:val="20"/>
                <w:szCs w:val="18"/>
              </w:rPr>
              <w:t xml:space="preserve"> lit.</w:t>
            </w:r>
            <w:r w:rsidRPr="009E064B">
              <w:rPr>
                <w:rFonts w:asciiTheme="minorHAnsi" w:eastAsia="Calibri" w:hAnsiTheme="minorHAnsi" w:cstheme="minorHAnsi"/>
                <w:sz w:val="20"/>
                <w:szCs w:val="18"/>
              </w:rPr>
              <w:t xml:space="preserve"> (c).</w:t>
            </w:r>
          </w:p>
        </w:tc>
      </w:tr>
      <w:tr w:rsidR="00490EF1" w:rsidRPr="009E064B" w14:paraId="16BEB45E"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74C5753"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Służba ta zapewniana jest zgodnie z treścią stosownej instrukcji operacyjnej lotniska.</w:t>
            </w:r>
          </w:p>
        </w:tc>
      </w:tr>
      <w:tr w:rsidR="00490EF1" w:rsidRPr="009E064B" w14:paraId="5FC56B43"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2D1A29E1"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Personel instytucji zapewniającej służbę zarządzania płytą postojową, ukończył niezbędne szkolenie wstępne i szkolenie okresowe w celu zapewnienia stałego poziomu kompetencji.</w:t>
            </w:r>
          </w:p>
        </w:tc>
      </w:tr>
      <w:tr w:rsidR="00490EF1" w:rsidRPr="009E064B" w14:paraId="0285F527"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33B0D0F7"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 xml:space="preserve">(Jeśli dotyczy) Operator wdrożył i wykazał zgodność z oficjalnie uznaną normą przemysłową. </w:t>
            </w:r>
          </w:p>
          <w:p w14:paraId="214D7597"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Odniesienie do normy:  ……………………………...............................................................................</w:t>
            </w:r>
          </w:p>
          <w:p w14:paraId="33A4DDE0"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Jednostka certyfikująca:  …………………………….............................................................................</w:t>
            </w:r>
          </w:p>
          <w:p w14:paraId="56E0A0CE"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Data ostatniego audytu potwierdzającego zgodność:</w:t>
            </w:r>
          </w:p>
        </w:tc>
      </w:tr>
      <w:tr w:rsidR="00490EF1" w:rsidRPr="009E064B" w14:paraId="5C7B9429"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81A8560"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Wszelkie zmiany dotyczące działalności, które mają wpływ na informacje przedstawione w tej deklaracji zostaną zgłoszone do właściwego organu.</w:t>
            </w:r>
          </w:p>
        </w:tc>
      </w:tr>
      <w:tr w:rsidR="00490EF1" w:rsidRPr="009E064B" w14:paraId="0819F77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0BEFC309"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Niniejszym potwierdzam, że informacje przedstawione w tej deklaracji są prawdziwe.</w:t>
            </w:r>
          </w:p>
        </w:tc>
      </w:tr>
      <w:tr w:rsidR="00490EF1" w:rsidRPr="009E064B" w14:paraId="40242A15" w14:textId="77777777" w:rsidTr="00D121EC">
        <w:tc>
          <w:tcPr>
            <w:tcW w:w="5000" w:type="pct"/>
            <w:tcBorders>
              <w:top w:val="single" w:sz="4" w:space="0" w:color="auto"/>
              <w:bottom w:val="single" w:sz="4" w:space="0" w:color="auto"/>
            </w:tcBorders>
            <w:shd w:val="clear" w:color="auto" w:fill="auto"/>
            <w:tcMar>
              <w:top w:w="85" w:type="dxa"/>
              <w:bottom w:w="85" w:type="dxa"/>
            </w:tcMar>
            <w:vAlign w:val="center"/>
          </w:tcPr>
          <w:p w14:paraId="6736E60B" w14:textId="77777777" w:rsidR="00490EF1" w:rsidRPr="009E064B" w:rsidRDefault="00490EF1" w:rsidP="00D121EC">
            <w:pPr>
              <w:widowControl/>
              <w:spacing w:after="0"/>
              <w:rPr>
                <w:rFonts w:asciiTheme="minorHAnsi" w:eastAsia="Calibri" w:hAnsiTheme="minorHAnsi" w:cstheme="minorHAnsi"/>
                <w:sz w:val="20"/>
                <w:szCs w:val="18"/>
              </w:rPr>
            </w:pPr>
            <w:r w:rsidRPr="009E064B">
              <w:rPr>
                <w:rFonts w:asciiTheme="minorHAnsi" w:eastAsia="Calibri" w:hAnsiTheme="minorHAnsi" w:cstheme="minorHAnsi"/>
                <w:sz w:val="20"/>
                <w:szCs w:val="18"/>
              </w:rPr>
              <w:t>Data i podpis kierownika odpowiedzialnego:</w:t>
            </w:r>
          </w:p>
        </w:tc>
      </w:tr>
    </w:tbl>
    <w:p w14:paraId="466F4BA8" w14:textId="77777777" w:rsidR="00490EF1" w:rsidRPr="009E064B" w:rsidRDefault="00490EF1" w:rsidP="00C46BE1">
      <w:pPr>
        <w:widowControl/>
        <w:spacing w:after="0"/>
        <w:rPr>
          <w:rFonts w:asciiTheme="minorHAnsi" w:eastAsia="Calibri" w:hAnsiTheme="minorHAnsi" w:cstheme="minorHAnsi"/>
          <w:sz w:val="18"/>
          <w:szCs w:val="18"/>
        </w:rPr>
      </w:pPr>
    </w:p>
    <w:p w14:paraId="36B658AE" w14:textId="71F15834" w:rsidR="00DC7DA6" w:rsidRPr="009E064B" w:rsidRDefault="00DE05DC" w:rsidP="00872370">
      <w:pPr>
        <w:pStyle w:val="Nagwek3"/>
      </w:pPr>
      <w:bookmarkStart w:id="288" w:name="_Toc12532669"/>
      <w:r w:rsidRPr="009E064B">
        <w:t xml:space="preserve">ADR.OR.B.065 </w:t>
      </w:r>
      <w:r w:rsidR="004D6FC2" w:rsidRPr="009E064B">
        <w:t xml:space="preserve">    </w:t>
      </w:r>
      <w:r w:rsidRPr="009E064B">
        <w:t>Zakończenie użytkowania lotniska</w:t>
      </w:r>
      <w:bookmarkEnd w:id="288"/>
    </w:p>
    <w:p w14:paraId="0C74CD3A" w14:textId="7635B628"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77F1DE84"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Operator zamierzający zakończyć użytkowanie lotniska:</w:t>
      </w:r>
    </w:p>
    <w:p w14:paraId="14F273DA"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niezwłocznie powiadamia o tym właściwy organ;</w:t>
      </w:r>
    </w:p>
    <w:p w14:paraId="34533C73"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informuje o tym odpowiednią instytucję zapewniającą służby informacji lotniczej;</w:t>
      </w:r>
    </w:p>
    <w:p w14:paraId="7842E1D7"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 dniem zakończenia użytkowania zwraca certyfikat właściwemu organowi; oraz</w:t>
      </w:r>
    </w:p>
    <w:p w14:paraId="38DEDBAF" w14:textId="77777777" w:rsidR="00DC7DA6" w:rsidRPr="009E064B" w:rsidRDefault="001073F5"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zapewnia, by podjęto odpowiednie działania uniemożliwiające niezamierzone użycie lotniska przez statki powietrzne, chyba że właściwy organ dopuścił to lotnisko do użytkowania w innych celach.</w:t>
      </w:r>
    </w:p>
    <w:p w14:paraId="589E95AD" w14:textId="15B8EEAA" w:rsidR="00490EF1" w:rsidRPr="009E064B" w:rsidRDefault="004D6FC2" w:rsidP="00133B99">
      <w:pPr>
        <w:pStyle w:val="Nagwek5"/>
      </w:pPr>
      <w:bookmarkStart w:id="289" w:name="_Toc492024590"/>
      <w:bookmarkStart w:id="290" w:name="_Toc12532670"/>
      <w:r w:rsidRPr="009E064B">
        <w:t xml:space="preserve">AMC1 ADR.OR.B.065     </w:t>
      </w:r>
      <w:r w:rsidR="00490EF1" w:rsidRPr="009E064B">
        <w:t>Zakończenie użytkowania lotniska</w:t>
      </w:r>
      <w:bookmarkEnd w:id="289"/>
      <w:bookmarkEnd w:id="290"/>
    </w:p>
    <w:p w14:paraId="56E0E42A" w14:textId="4FA733DB"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C9E02B1" w14:textId="77777777"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ZAKOŃCZENIE UŻYTKOWANIA LOTNISKA</w:t>
      </w:r>
    </w:p>
    <w:p w14:paraId="24D9F534" w14:textId="78687B5E"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W przypadku planowanego zakończenia działalności lotniska, operator lotniska powinien zawiadomić na piśmie właściwy organ i instytucję zapewniającą służbę informacji lotniczej. Zgłoszenie powinno być dokonane z takim wyprzedzeniem czasowym, aby umożliw</w:t>
      </w:r>
      <w:r w:rsidR="00C73CC4" w:rsidRPr="009E064B">
        <w:rPr>
          <w:rFonts w:asciiTheme="minorHAnsi" w:eastAsia="Calibri" w:hAnsiTheme="minorHAnsi" w:cstheme="minorHAnsi"/>
        </w:rPr>
        <w:t>ić terminową publikację zmian i </w:t>
      </w:r>
      <w:r w:rsidRPr="009E064B">
        <w:rPr>
          <w:rFonts w:asciiTheme="minorHAnsi" w:eastAsia="Calibri" w:hAnsiTheme="minorHAnsi" w:cstheme="minorHAnsi"/>
        </w:rPr>
        <w:t>powiadomienie o nich poprzez system regulacji i kontroli rozpowszechniania informacji lotniczych (AIRAC), zgodnie z odpowiednimi terminami.</w:t>
      </w:r>
    </w:p>
    <w:p w14:paraId="58A08882" w14:textId="262E41BA" w:rsidR="00490EF1" w:rsidRPr="009E064B" w:rsidRDefault="00490EF1" w:rsidP="00B06A9A">
      <w:pPr>
        <w:widowControl/>
        <w:rPr>
          <w:rFonts w:asciiTheme="minorHAnsi" w:eastAsia="Calibri" w:hAnsiTheme="minorHAnsi" w:cstheme="minorHAnsi"/>
        </w:rPr>
      </w:pPr>
      <w:r w:rsidRPr="009E064B">
        <w:rPr>
          <w:rFonts w:asciiTheme="minorHAnsi" w:eastAsia="Calibri" w:hAnsiTheme="minorHAnsi" w:cstheme="minorHAnsi"/>
        </w:rPr>
        <w:t>Po zakończeniu działalności, operator lotniska powinien ustawić oznakowanie drogi startowej wyłączonej z użytkowania, a także podjąć inne środki, które właściwy organ uzna za właściwe.</w:t>
      </w:r>
    </w:p>
    <w:p w14:paraId="579C379D" w14:textId="77777777" w:rsidR="00C05A61" w:rsidRPr="009E064B" w:rsidRDefault="00C05A61" w:rsidP="00B06A9A">
      <w:pPr>
        <w:widowControl/>
        <w:rPr>
          <w:rFonts w:asciiTheme="minorHAnsi" w:eastAsia="Calibri" w:hAnsiTheme="minorHAnsi" w:cstheme="minorHAnsi"/>
        </w:rPr>
      </w:pPr>
    </w:p>
    <w:p w14:paraId="3614C115" w14:textId="77777777" w:rsidR="00C05A61" w:rsidRPr="009E064B" w:rsidRDefault="00C05A61" w:rsidP="00B06A9A">
      <w:pPr>
        <w:tabs>
          <w:tab w:val="left" w:pos="567"/>
        </w:tabs>
        <w:ind w:left="567" w:right="-2" w:hanging="425"/>
        <w:rPr>
          <w:rFonts w:asciiTheme="minorHAnsi" w:eastAsia="Times New Roman" w:hAnsiTheme="minorHAnsi" w:cstheme="minorHAnsi"/>
        </w:rPr>
        <w:sectPr w:rsidR="00C05A61" w:rsidRPr="009E064B" w:rsidSect="00AE1280">
          <w:headerReference w:type="default" r:id="rId57"/>
          <w:headerReference w:type="first" r:id="rId58"/>
          <w:pgSz w:w="11906" w:h="16840" w:code="9"/>
          <w:pgMar w:top="1701" w:right="1418" w:bottom="1418" w:left="1418" w:header="567" w:footer="454" w:gutter="0"/>
          <w:cols w:space="708"/>
          <w:titlePg/>
        </w:sectPr>
      </w:pPr>
    </w:p>
    <w:p w14:paraId="2201BF76" w14:textId="39D44D43" w:rsidR="00DC7DA6" w:rsidRPr="009E064B" w:rsidRDefault="00DE05DC" w:rsidP="00020EA3">
      <w:pPr>
        <w:pStyle w:val="Nagwek2"/>
      </w:pPr>
      <w:bookmarkStart w:id="291" w:name="_Toc12532671"/>
      <w:r w:rsidRPr="009E064B">
        <w:t>PODCZĘŚĆ C — DODATKOWE OBOWIĄZKI OPERATORA LOTNISKA (ADR.OR.C)</w:t>
      </w:r>
      <w:bookmarkEnd w:id="291"/>
    </w:p>
    <w:p w14:paraId="381AC99D" w14:textId="77777777" w:rsidR="00E15935" w:rsidRPr="009E064B" w:rsidRDefault="00E15935" w:rsidP="00B06A9A">
      <w:pPr>
        <w:ind w:right="-2"/>
        <w:rPr>
          <w:rFonts w:asciiTheme="minorHAnsi" w:hAnsiTheme="minorHAnsi" w:cstheme="minorHAnsi"/>
          <w:szCs w:val="20"/>
        </w:rPr>
      </w:pPr>
    </w:p>
    <w:p w14:paraId="76B56B44" w14:textId="321A426E" w:rsidR="00DC7DA6" w:rsidRPr="009E064B" w:rsidRDefault="00DE05DC" w:rsidP="00B06A9A">
      <w:pPr>
        <w:pStyle w:val="Nagwek3"/>
      </w:pPr>
      <w:bookmarkStart w:id="292" w:name="_Toc12532672"/>
      <w:r w:rsidRPr="009E064B">
        <w:t xml:space="preserve">ADR.OR.C.005 </w:t>
      </w:r>
      <w:r w:rsidR="004D6FC2" w:rsidRPr="009E064B">
        <w:t xml:space="preserve">    </w:t>
      </w:r>
      <w:r w:rsidRPr="009E064B">
        <w:t>Obowiązki operatora lotniska</w:t>
      </w:r>
      <w:bookmarkEnd w:id="292"/>
    </w:p>
    <w:p w14:paraId="28E10ABD" w14:textId="38ACACD7"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C65B206" w14:textId="64CB157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odpowiada za bezpieczne użytkowanie i obsł</w:t>
      </w:r>
      <w:r w:rsidR="00C46BE1" w:rsidRPr="009E064B">
        <w:rPr>
          <w:rFonts w:asciiTheme="minorHAnsi" w:hAnsiTheme="minorHAnsi" w:cstheme="minorHAnsi"/>
          <w:sz w:val="22"/>
          <w:szCs w:val="20"/>
        </w:rPr>
        <w:t>ugę techniczną lotniska zgodnie </w:t>
      </w:r>
      <w:r w:rsidR="00DE05DC" w:rsidRPr="009E064B">
        <w:rPr>
          <w:rFonts w:asciiTheme="minorHAnsi" w:hAnsiTheme="minorHAnsi" w:cstheme="minorHAnsi"/>
          <w:sz w:val="22"/>
          <w:szCs w:val="20"/>
        </w:rPr>
        <w:t>z:</w:t>
      </w:r>
    </w:p>
    <w:p w14:paraId="446B8751" w14:textId="5E047B1B"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rozpo</w:t>
      </w:r>
      <w:r w:rsidR="00BF2E35" w:rsidRPr="009E064B">
        <w:rPr>
          <w:rFonts w:asciiTheme="minorHAnsi" w:eastAsia="Times New Roman" w:hAnsiTheme="minorHAnsi" w:cstheme="minorHAnsi"/>
          <w:szCs w:val="20"/>
        </w:rPr>
        <w:t>rządzeniem (WE) nr 216/2008 i</w:t>
      </w:r>
      <w:r w:rsidR="00DE05DC" w:rsidRPr="009E064B">
        <w:rPr>
          <w:rFonts w:asciiTheme="minorHAnsi" w:eastAsia="Times New Roman" w:hAnsiTheme="minorHAnsi" w:cstheme="minorHAnsi"/>
          <w:szCs w:val="20"/>
        </w:rPr>
        <w:t xml:space="preserve"> jego przepisami wykonawczymi;</w:t>
      </w:r>
    </w:p>
    <w:p w14:paraId="6C3300EB" w14:textId="6CF3B01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warunkami swojego certyfikatu;</w:t>
      </w:r>
    </w:p>
    <w:p w14:paraId="7BB7370C" w14:textId="5BB686A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treścią instrukcji operacyjnej lotniska; oraz</w:t>
      </w:r>
    </w:p>
    <w:p w14:paraId="3EC7B4FB" w14:textId="0458353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t xml:space="preserve">wszelkimi innymi instrukcjami dotyczącymi wyposażenia lotniska znajdującego się na lotnisku, stosownie </w:t>
      </w:r>
      <w:r w:rsidR="00DE05DC" w:rsidRPr="009E064B">
        <w:rPr>
          <w:rFonts w:asciiTheme="minorHAnsi" w:eastAsia="Times New Roman" w:hAnsiTheme="minorHAnsi" w:cstheme="minorHAnsi"/>
          <w:szCs w:val="20"/>
        </w:rPr>
        <w:t>do przypadku.</w:t>
      </w:r>
    </w:p>
    <w:p w14:paraId="0E76D123" w14:textId="46FD7D0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 bezpośrednio lub w drodze koordynacji poprzez nie</w:t>
      </w:r>
      <w:r w:rsidR="00BF2E35" w:rsidRPr="009E064B">
        <w:rPr>
          <w:rFonts w:asciiTheme="minorHAnsi" w:hAnsiTheme="minorHAnsi" w:cstheme="minorHAnsi"/>
          <w:sz w:val="22"/>
          <w:szCs w:val="20"/>
        </w:rPr>
        <w:t xml:space="preserve">zbędne mechanizmy współpracy z </w:t>
      </w:r>
      <w:r w:rsidR="00DE05DC" w:rsidRPr="009E064B">
        <w:rPr>
          <w:rFonts w:asciiTheme="minorHAnsi" w:hAnsiTheme="minorHAnsi" w:cstheme="minorHAnsi"/>
          <w:sz w:val="22"/>
          <w:szCs w:val="20"/>
        </w:rPr>
        <w:t>odpowiedzialnymi podmiotami – świadczenie następujących usług:</w:t>
      </w:r>
    </w:p>
    <w:p w14:paraId="7F41D7EB" w14:textId="05B35D47"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zapewnianie służb żeglugi powietrznej odpowiednich do natężenia ruchu i warunków operacyjnych lotniska; oraz</w:t>
      </w:r>
    </w:p>
    <w:p w14:paraId="1C055905" w14:textId="4D0E227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opracowanie i utrzymanie procedur lotu, zgodnie ze stosownymi wymaganiami.</w:t>
      </w:r>
    </w:p>
    <w:p w14:paraId="1434D808" w14:textId="324C24FD"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 koordynacji z właściwym organem, zapewnia, aby w instrukcji operacyjnej lotniska znajdowały się odpowiednie informacje dotyczące bezpieczeństwa statków powietrznych, które zostan</w:t>
      </w:r>
      <w:r w:rsidR="00BF2E35" w:rsidRPr="009E064B">
        <w:rPr>
          <w:rFonts w:asciiTheme="minorHAnsi" w:hAnsiTheme="minorHAnsi" w:cstheme="minorHAnsi"/>
          <w:sz w:val="22"/>
          <w:szCs w:val="20"/>
        </w:rPr>
        <w:t xml:space="preserve">ą opublikowane w zależności od potrzeb. Obejmują </w:t>
      </w:r>
      <w:r w:rsidR="00DE05DC" w:rsidRPr="009E064B">
        <w:rPr>
          <w:rFonts w:asciiTheme="minorHAnsi" w:hAnsiTheme="minorHAnsi" w:cstheme="minorHAnsi"/>
          <w:sz w:val="22"/>
          <w:szCs w:val="20"/>
        </w:rPr>
        <w:t>one:</w:t>
      </w:r>
    </w:p>
    <w:p w14:paraId="4A505BC2" w14:textId="2E33D2E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zwolnienia </w:t>
      </w:r>
      <w:r w:rsidR="008E0210" w:rsidRPr="009E064B">
        <w:rPr>
          <w:rFonts w:asciiTheme="minorHAnsi" w:eastAsia="Times New Roman" w:hAnsiTheme="minorHAnsi" w:cstheme="minorHAnsi"/>
          <w:szCs w:val="20"/>
        </w:rPr>
        <w:t xml:space="preserve">z </w:t>
      </w:r>
      <w:r w:rsidR="00DE05DC" w:rsidRPr="009E064B">
        <w:rPr>
          <w:rFonts w:asciiTheme="minorHAnsi" w:eastAsia="Times New Roman" w:hAnsiTheme="minorHAnsi" w:cstheme="minorHAnsi"/>
          <w:szCs w:val="20"/>
        </w:rPr>
        <w:t>przestrzegania stosownych wymagań lub odstępstwa od nich;</w:t>
      </w:r>
    </w:p>
    <w:p w14:paraId="07DD0BCE" w14:textId="152DDAD5"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przepisy, dla których właściwy organ zaakceptował rów</w:t>
      </w:r>
      <w:r w:rsidR="00C73CC4" w:rsidRPr="009E064B">
        <w:rPr>
          <w:rFonts w:asciiTheme="minorHAnsi" w:eastAsia="Times New Roman" w:hAnsiTheme="minorHAnsi" w:cstheme="minorHAnsi"/>
          <w:szCs w:val="20"/>
        </w:rPr>
        <w:t>noważny poziom bezpieczeństwa w </w:t>
      </w:r>
      <w:r w:rsidR="00DE05DC" w:rsidRPr="009E064B">
        <w:rPr>
          <w:rFonts w:asciiTheme="minorHAnsi" w:eastAsia="Times New Roman" w:hAnsiTheme="minorHAnsi" w:cstheme="minorHAnsi"/>
          <w:szCs w:val="20"/>
        </w:rPr>
        <w:t>ramach podstawy certyfikacji; oraz</w:t>
      </w:r>
    </w:p>
    <w:p w14:paraId="461A87A5" w14:textId="1B30CFBC"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warunki i ograniczenia specjalne dotyczące użytkowania lotniska.</w:t>
      </w:r>
    </w:p>
    <w:p w14:paraId="02D2AC6C" w14:textId="3A9E152C"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 wystąpienia na lotnisku stanu zagrażającego bezpieczeństwu operator lotniska podejmuje niezwłocznie wszelkie niezbędne działania w celu zapewnienia, by części lotniska stanowiące zagrożenie dla bezpieczeństwa nie były wykorzystywane przez statki powietrzne.</w:t>
      </w:r>
    </w:p>
    <w:p w14:paraId="672D58CA" w14:textId="0ECF181C" w:rsidR="00092CBF" w:rsidRPr="009E064B" w:rsidRDefault="004D6FC2" w:rsidP="00133B99">
      <w:pPr>
        <w:pStyle w:val="Nagwek5"/>
      </w:pPr>
      <w:bookmarkStart w:id="293" w:name="_Toc492024592"/>
      <w:bookmarkStart w:id="294" w:name="_Toc12532673"/>
      <w:r w:rsidRPr="009E064B">
        <w:t xml:space="preserve">AMC1 ADR.OR.C.005(c)     </w:t>
      </w:r>
      <w:r w:rsidR="00092CBF" w:rsidRPr="009E064B">
        <w:t>Obowiązki operatora lotniska</w:t>
      </w:r>
      <w:bookmarkEnd w:id="293"/>
      <w:bookmarkEnd w:id="294"/>
    </w:p>
    <w:p w14:paraId="51B42802" w14:textId="620B6DE8"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6FB16B" w14:textId="77777777" w:rsidR="00092CBF" w:rsidRPr="009E064B" w:rsidRDefault="00092CBF"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PUBLIKOWANIE INFORMACJI W ZBIORZE INFORMACJI LOTNICZYCH</w:t>
      </w:r>
    </w:p>
    <w:p w14:paraId="62F5FD6E" w14:textId="6E3B3875" w:rsidR="00D72D9C" w:rsidRPr="009E064B" w:rsidRDefault="00092CBF"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Opis przypadków dotyczących przyznanych zwolnień, odstępstw, przypadków równoważnego poziomu bezpieczeństwa, warunków specjalnych, w tym ograniczeń dotyczących użytkowania lotniska, powinien być publikowany w Zbiorze Informacji Lotniczych (AIP), po uzgodnieniu z właściwym organem.</w:t>
      </w:r>
    </w:p>
    <w:p w14:paraId="70F1D23E" w14:textId="77777777" w:rsidR="00D72D9C" w:rsidRPr="009E064B" w:rsidRDefault="00D72D9C">
      <w:pPr>
        <w:spacing w:after="0"/>
        <w:jc w:val="left"/>
        <w:rPr>
          <w:rFonts w:asciiTheme="minorHAnsi" w:eastAsia="Calibri" w:hAnsiTheme="minorHAnsi" w:cstheme="minorHAnsi"/>
          <w:szCs w:val="18"/>
        </w:rPr>
      </w:pPr>
      <w:r w:rsidRPr="009E064B">
        <w:rPr>
          <w:rFonts w:asciiTheme="minorHAnsi" w:eastAsia="Calibri" w:hAnsiTheme="minorHAnsi" w:cstheme="minorHAnsi"/>
          <w:szCs w:val="18"/>
        </w:rPr>
        <w:br w:type="page"/>
      </w:r>
    </w:p>
    <w:p w14:paraId="12086192" w14:textId="337E4E74" w:rsidR="00DC7DA6" w:rsidRPr="009E064B" w:rsidRDefault="00DE05DC" w:rsidP="00B06A9A">
      <w:pPr>
        <w:pStyle w:val="Nagwek3"/>
      </w:pPr>
      <w:bookmarkStart w:id="295" w:name="_ADR.OR.C.015__"/>
      <w:bookmarkStart w:id="296" w:name="_Toc12532674"/>
      <w:bookmarkEnd w:id="295"/>
      <w:r w:rsidRPr="009E064B">
        <w:t xml:space="preserve">ADR.OR.C.015 </w:t>
      </w:r>
      <w:r w:rsidR="008E0210" w:rsidRPr="009E064B">
        <w:t xml:space="preserve"> </w:t>
      </w:r>
      <w:r w:rsidR="004D6FC2" w:rsidRPr="009E064B">
        <w:t xml:space="preserve">   </w:t>
      </w:r>
      <w:r w:rsidRPr="009E064B">
        <w:t>Dostęp</w:t>
      </w:r>
      <w:bookmarkEnd w:id="296"/>
    </w:p>
    <w:p w14:paraId="6693D423" w14:textId="52FC5F01"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03E2219" w14:textId="77777777"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W celu ustalenia zgodności z odpowiednimi wymaganiami rozporządzenia (WE) nr 216/2008 i jego przepisów wykonawczych operator lotniska lub instytucja zapewniająca służbę zarządzania płytą postojową udostępnia wszelkim osobom upoważnionym przez właściwy organ:</w:t>
      </w:r>
    </w:p>
    <w:p w14:paraId="7AAEFBAF" w14:textId="5D9F0376"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wszystkie obiekty, dokumenty, rejestry, dane, procedury bądź pozostałe materiały mające związek z jego/jej działalnością podlegającą certyfikatowi lub deklaracji, niezależnie od tego, czy jest to działalność zlecona, czy nie; oraz</w:t>
      </w:r>
    </w:p>
    <w:p w14:paraId="25FA6A47" w14:textId="3854B4D6"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możliwość przeprowadzenia wszelkich działań, inspekcji, testów, ocen lub ćwiczeń, które właściwy organ uzna za niezbędne, lub wzięcie w nich udziału.</w:t>
      </w:r>
    </w:p>
    <w:p w14:paraId="12CBE975" w14:textId="5436865F" w:rsidR="00DC7DA6" w:rsidRPr="009E064B" w:rsidRDefault="00DE05DC" w:rsidP="00B06A9A">
      <w:pPr>
        <w:pStyle w:val="Nagwek3"/>
      </w:pPr>
      <w:bookmarkStart w:id="297" w:name="_ADR.OR.C.020__"/>
      <w:bookmarkStart w:id="298" w:name="_Toc12532675"/>
      <w:bookmarkEnd w:id="297"/>
      <w:r w:rsidRPr="009E064B">
        <w:t xml:space="preserve">ADR.OR.C.020 </w:t>
      </w:r>
      <w:r w:rsidR="008E0210" w:rsidRPr="009E064B">
        <w:t xml:space="preserve"> </w:t>
      </w:r>
      <w:r w:rsidR="004D6FC2" w:rsidRPr="009E064B">
        <w:t xml:space="preserve">   </w:t>
      </w:r>
      <w:r w:rsidRPr="009E064B">
        <w:t>Nieprawidłowości i działania naprawcze</w:t>
      </w:r>
      <w:bookmarkEnd w:id="298"/>
    </w:p>
    <w:p w14:paraId="33C7E1CE" w14:textId="14622034"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62E6D70" w14:textId="77777777" w:rsidR="00DC7DA6" w:rsidRPr="009E064B" w:rsidRDefault="00DE05DC" w:rsidP="00B06A9A">
      <w:pPr>
        <w:pStyle w:val="Tekstpodstawowy"/>
        <w:ind w:left="0" w:firstLine="2"/>
        <w:rPr>
          <w:rFonts w:asciiTheme="minorHAnsi" w:hAnsiTheme="minorHAnsi" w:cstheme="minorHAnsi"/>
          <w:sz w:val="22"/>
          <w:szCs w:val="22"/>
        </w:rPr>
      </w:pPr>
      <w:r w:rsidRPr="009E064B">
        <w:rPr>
          <w:rFonts w:asciiTheme="minorHAnsi" w:hAnsiTheme="minorHAnsi" w:cstheme="minorHAnsi"/>
          <w:sz w:val="22"/>
          <w:szCs w:val="22"/>
        </w:rPr>
        <w:t>Po otrzymaniu powiadomienia o stwierdzeniu nieprawidłowości operator lotniska lub instytucja zapewniająca służbę zarządzania płytą postojową:</w:t>
      </w:r>
    </w:p>
    <w:p w14:paraId="0E290DC0" w14:textId="24AA4FF5" w:rsidR="00DC7DA6" w:rsidRPr="009E064B" w:rsidRDefault="00371A8B" w:rsidP="00B06A9A">
      <w:pPr>
        <w:pStyle w:val="Tekstpodstawowy"/>
        <w:tabs>
          <w:tab w:val="left" w:pos="567"/>
        </w:tabs>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1073F5" w:rsidRPr="009E064B">
        <w:rPr>
          <w:rFonts w:asciiTheme="minorHAnsi" w:hAnsiTheme="minorHAnsi" w:cstheme="minorHAnsi"/>
          <w:sz w:val="22"/>
          <w:szCs w:val="22"/>
        </w:rPr>
        <w:t xml:space="preserve">a) </w:t>
      </w:r>
      <w:r w:rsidR="00BF2E35" w:rsidRPr="009E064B">
        <w:rPr>
          <w:rFonts w:asciiTheme="minorHAnsi" w:hAnsiTheme="minorHAnsi" w:cstheme="minorHAnsi"/>
          <w:sz w:val="22"/>
          <w:szCs w:val="22"/>
        </w:rPr>
        <w:tab/>
      </w:r>
      <w:r w:rsidR="00DE05DC" w:rsidRPr="009E064B">
        <w:rPr>
          <w:rFonts w:asciiTheme="minorHAnsi" w:hAnsiTheme="minorHAnsi" w:cstheme="minorHAnsi"/>
          <w:sz w:val="22"/>
          <w:szCs w:val="22"/>
        </w:rPr>
        <w:t>ustala przyczynę źródłową braku zgodności;</w:t>
      </w:r>
    </w:p>
    <w:p w14:paraId="58012ABB" w14:textId="34CA3828" w:rsidR="00DC7DA6" w:rsidRPr="009E064B" w:rsidRDefault="00371A8B" w:rsidP="00B06A9A">
      <w:pPr>
        <w:pStyle w:val="Tekstpodstawowy"/>
        <w:tabs>
          <w:tab w:val="left" w:pos="567"/>
        </w:tabs>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1073F5" w:rsidRPr="009E064B">
        <w:rPr>
          <w:rFonts w:asciiTheme="minorHAnsi" w:hAnsiTheme="minorHAnsi" w:cstheme="minorHAnsi"/>
          <w:sz w:val="22"/>
          <w:szCs w:val="22"/>
        </w:rPr>
        <w:t xml:space="preserve">b) </w:t>
      </w:r>
      <w:r w:rsidR="00BF2E35" w:rsidRPr="009E064B">
        <w:rPr>
          <w:rFonts w:asciiTheme="minorHAnsi" w:hAnsiTheme="minorHAnsi" w:cstheme="minorHAnsi"/>
          <w:sz w:val="22"/>
          <w:szCs w:val="22"/>
        </w:rPr>
        <w:tab/>
      </w:r>
      <w:r w:rsidR="00DE05DC" w:rsidRPr="009E064B">
        <w:rPr>
          <w:rFonts w:asciiTheme="minorHAnsi" w:hAnsiTheme="minorHAnsi" w:cstheme="minorHAnsi"/>
          <w:sz w:val="22"/>
          <w:szCs w:val="22"/>
        </w:rPr>
        <w:t>określa plan działań naprawczych; oraz</w:t>
      </w:r>
    </w:p>
    <w:p w14:paraId="3FD139AD" w14:textId="538F4027" w:rsidR="00DC7DA6" w:rsidRPr="009E064B" w:rsidRDefault="00371A8B" w:rsidP="00B06A9A">
      <w:pPr>
        <w:pStyle w:val="Tekstpodstawowy"/>
        <w:tabs>
          <w:tab w:val="left" w:pos="567"/>
        </w:tabs>
        <w:ind w:left="567" w:hanging="567"/>
        <w:rPr>
          <w:rFonts w:asciiTheme="minorHAnsi" w:hAnsiTheme="minorHAnsi" w:cstheme="minorHAnsi"/>
          <w:sz w:val="22"/>
          <w:szCs w:val="22"/>
        </w:rPr>
      </w:pPr>
      <w:r w:rsidRPr="009E064B">
        <w:rPr>
          <w:rFonts w:asciiTheme="minorHAnsi" w:hAnsiTheme="minorHAnsi" w:cstheme="minorHAnsi"/>
          <w:sz w:val="22"/>
          <w:szCs w:val="22"/>
        </w:rPr>
        <w:t>(</w:t>
      </w:r>
      <w:r w:rsidR="001073F5" w:rsidRPr="009E064B">
        <w:rPr>
          <w:rFonts w:asciiTheme="minorHAnsi" w:hAnsiTheme="minorHAnsi" w:cstheme="minorHAnsi"/>
          <w:sz w:val="22"/>
          <w:szCs w:val="22"/>
        </w:rPr>
        <w:t xml:space="preserve">c) </w:t>
      </w:r>
      <w:r w:rsidR="00BF2E35" w:rsidRPr="009E064B">
        <w:rPr>
          <w:rFonts w:asciiTheme="minorHAnsi" w:hAnsiTheme="minorHAnsi" w:cstheme="minorHAnsi"/>
          <w:sz w:val="22"/>
          <w:szCs w:val="22"/>
        </w:rPr>
        <w:tab/>
      </w:r>
      <w:r w:rsidR="00DE05DC" w:rsidRPr="009E064B">
        <w:rPr>
          <w:rFonts w:asciiTheme="minorHAnsi" w:hAnsiTheme="minorHAnsi" w:cstheme="minorHAnsi"/>
          <w:sz w:val="22"/>
          <w:szCs w:val="22"/>
        </w:rPr>
        <w:t>wykazuje właściwemu organowi w zadowalający sposób, że wd</w:t>
      </w:r>
      <w:r w:rsidR="00C73CC4" w:rsidRPr="009E064B">
        <w:rPr>
          <w:rFonts w:asciiTheme="minorHAnsi" w:hAnsiTheme="minorHAnsi" w:cstheme="minorHAnsi"/>
          <w:sz w:val="22"/>
          <w:szCs w:val="22"/>
        </w:rPr>
        <w:t>rożył(-a) działania naprawcze w </w:t>
      </w:r>
      <w:r w:rsidR="00DE05DC" w:rsidRPr="009E064B">
        <w:rPr>
          <w:rFonts w:asciiTheme="minorHAnsi" w:hAnsiTheme="minorHAnsi" w:cstheme="minorHAnsi"/>
          <w:sz w:val="22"/>
          <w:szCs w:val="22"/>
        </w:rPr>
        <w:t xml:space="preserve">terminie uzgodnionym z tym organem zgodnie z </w:t>
      </w:r>
      <w:hyperlink w:anchor="_ADR.AR.C.055__" w:history="1">
        <w:r w:rsidR="00DE05DC" w:rsidRPr="009E064B">
          <w:rPr>
            <w:rStyle w:val="Hipercze"/>
            <w:rFonts w:asciiTheme="minorHAnsi" w:hAnsiTheme="minorHAnsi" w:cstheme="minorHAnsi"/>
            <w:sz w:val="22"/>
            <w:szCs w:val="22"/>
          </w:rPr>
          <w:t>ADR.AR.C.055</w:t>
        </w:r>
      </w:hyperlink>
      <w:r w:rsidR="00DE05DC" w:rsidRPr="009E064B">
        <w:rPr>
          <w:rFonts w:asciiTheme="minorHAnsi" w:hAnsiTheme="minorHAnsi" w:cstheme="minorHAnsi"/>
          <w:sz w:val="22"/>
          <w:szCs w:val="22"/>
        </w:rPr>
        <w:t xml:space="preserve"> lit. </w:t>
      </w:r>
      <w:r w:rsidR="00D72D9C" w:rsidRPr="009E064B">
        <w:rPr>
          <w:rFonts w:asciiTheme="minorHAnsi" w:hAnsiTheme="minorHAnsi" w:cstheme="minorHAnsi"/>
          <w:sz w:val="22"/>
          <w:szCs w:val="22"/>
        </w:rPr>
        <w:t>(</w:t>
      </w:r>
      <w:r w:rsidR="00DE05DC" w:rsidRPr="009E064B">
        <w:rPr>
          <w:rFonts w:asciiTheme="minorHAnsi" w:hAnsiTheme="minorHAnsi" w:cstheme="minorHAnsi"/>
          <w:sz w:val="22"/>
          <w:szCs w:val="22"/>
        </w:rPr>
        <w:t>d).</w:t>
      </w:r>
    </w:p>
    <w:p w14:paraId="589E7158" w14:textId="26232192" w:rsidR="00092CBF" w:rsidRPr="009E064B" w:rsidRDefault="004D6FC2" w:rsidP="00133B99">
      <w:pPr>
        <w:pStyle w:val="Nagwek5"/>
      </w:pPr>
      <w:bookmarkStart w:id="299" w:name="_Toc492024593"/>
      <w:bookmarkStart w:id="300" w:name="_Toc12532676"/>
      <w:r w:rsidRPr="009E064B">
        <w:t xml:space="preserve">AMC1 ADR.OR.C.020(b)     </w:t>
      </w:r>
      <w:r w:rsidR="00092CBF" w:rsidRPr="009E064B">
        <w:t>Nieprawidłowości</w:t>
      </w:r>
      <w:bookmarkEnd w:id="299"/>
      <w:bookmarkEnd w:id="300"/>
    </w:p>
    <w:p w14:paraId="516F3275" w14:textId="3E5C8623"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1EF8527" w14:textId="5C68D484" w:rsidR="00092CBF" w:rsidRPr="009E064B" w:rsidRDefault="009B0A08" w:rsidP="00B06A9A">
      <w:pPr>
        <w:widowControl/>
        <w:rPr>
          <w:rFonts w:asciiTheme="minorHAnsi" w:eastAsia="Calibri" w:hAnsiTheme="minorHAnsi" w:cstheme="minorHAnsi"/>
          <w:b/>
          <w:bCs/>
        </w:rPr>
      </w:pPr>
      <w:r w:rsidRPr="009E064B">
        <w:rPr>
          <w:rFonts w:asciiTheme="minorHAnsi" w:eastAsia="Calibri" w:hAnsiTheme="minorHAnsi" w:cstheme="minorHAnsi"/>
        </w:rPr>
        <w:t>WYMAGANIA OGÓLNE</w:t>
      </w:r>
    </w:p>
    <w:p w14:paraId="4CD3EA0E"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Plan działań naprawczych określony przez operatora lotniska powinien uwzględniać skutki danej niezgodności, a także jej przyczynę źródłową.</w:t>
      </w:r>
    </w:p>
    <w:p w14:paraId="78C70076" w14:textId="31F655DF" w:rsidR="00092CBF" w:rsidRPr="009E064B" w:rsidRDefault="004D6FC2" w:rsidP="00133B99">
      <w:pPr>
        <w:pStyle w:val="Nagwek6"/>
      </w:pPr>
      <w:bookmarkStart w:id="301" w:name="_Toc492024594"/>
      <w:bookmarkStart w:id="302" w:name="_Toc12532677"/>
      <w:r w:rsidRPr="009E064B">
        <w:t xml:space="preserve">GM1 ADR.OR.C.020     </w:t>
      </w:r>
      <w:r w:rsidR="00092CBF" w:rsidRPr="009E064B">
        <w:t>Nieprawidłowości</w:t>
      </w:r>
      <w:bookmarkEnd w:id="301"/>
      <w:bookmarkEnd w:id="302"/>
    </w:p>
    <w:p w14:paraId="0569A5DB" w14:textId="185B89C8"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10C871E" w14:textId="6F44F151" w:rsidR="00092CBF" w:rsidRPr="009E064B" w:rsidRDefault="009B0A08" w:rsidP="00B06A9A">
      <w:pPr>
        <w:widowControl/>
        <w:rPr>
          <w:rFonts w:asciiTheme="minorHAnsi" w:eastAsia="Calibri" w:hAnsiTheme="minorHAnsi" w:cstheme="minorHAnsi"/>
          <w:szCs w:val="18"/>
        </w:rPr>
      </w:pPr>
      <w:r w:rsidRPr="009E064B">
        <w:rPr>
          <w:rFonts w:asciiTheme="minorHAnsi" w:eastAsia="Calibri" w:hAnsiTheme="minorHAnsi" w:cstheme="minorHAnsi"/>
          <w:szCs w:val="18"/>
        </w:rPr>
        <w:t>WYMAGANIA OGÓLNE</w:t>
      </w:r>
    </w:p>
    <w:p w14:paraId="18A86B75" w14:textId="77777777" w:rsidR="00092CBF" w:rsidRPr="009E064B" w:rsidRDefault="00092CBF"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(a) </w:t>
      </w:r>
      <w:r w:rsidRPr="009E064B">
        <w:rPr>
          <w:rFonts w:asciiTheme="minorHAnsi" w:eastAsia="Calibri" w:hAnsiTheme="minorHAnsi" w:cstheme="minorHAnsi"/>
          <w:szCs w:val="18"/>
        </w:rPr>
        <w:tab/>
        <w:t>Działanie zapobiegawcze to działanie podejmowane w celu wyeliminowania przyczyny potencjalnej niezgodności lub innej niepożądanej sytuacji, która może zaistnieć.</w:t>
      </w:r>
    </w:p>
    <w:p w14:paraId="102F2E04" w14:textId="77777777" w:rsidR="00092CBF" w:rsidRPr="009E064B" w:rsidRDefault="00092CBF"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(b) </w:t>
      </w:r>
      <w:r w:rsidRPr="009E064B">
        <w:rPr>
          <w:rFonts w:asciiTheme="minorHAnsi" w:eastAsia="Calibri" w:hAnsiTheme="minorHAnsi" w:cstheme="minorHAnsi"/>
          <w:szCs w:val="18"/>
        </w:rPr>
        <w:tab/>
        <w:t>Działanie naprawcze to działanie podejmowane w celu wyeliminowania lub złagodzenia przyczyn(y) źródłowej i zapobieżenia powtórzeniu się wykrytej niezgodności lub innego niepożądanego stanu lub sytuacji. Prawidłowe ustalenie przyczyny źródłowej powstania niezgodności jest kluczowe dla określenia skutecznych działań naprawczych w celu zapobieżenia jej ponownemu wystąpieniu.</w:t>
      </w:r>
    </w:p>
    <w:p w14:paraId="7D050001" w14:textId="212BCAA5" w:rsidR="00542EEF" w:rsidRPr="009E064B" w:rsidRDefault="00092CBF" w:rsidP="00B06A9A">
      <w:pPr>
        <w:widowControl/>
        <w:tabs>
          <w:tab w:val="left" w:pos="567"/>
        </w:tabs>
        <w:ind w:left="567" w:hanging="567"/>
        <w:rPr>
          <w:rFonts w:asciiTheme="minorHAnsi" w:eastAsia="Calibri" w:hAnsiTheme="minorHAnsi" w:cstheme="minorHAnsi"/>
          <w:szCs w:val="18"/>
        </w:rPr>
      </w:pPr>
      <w:r w:rsidRPr="009E064B">
        <w:rPr>
          <w:rFonts w:asciiTheme="minorHAnsi" w:eastAsia="Calibri" w:hAnsiTheme="minorHAnsi" w:cstheme="minorHAnsi"/>
          <w:szCs w:val="18"/>
        </w:rPr>
        <w:t xml:space="preserve">(c) </w:t>
      </w:r>
      <w:r w:rsidRPr="009E064B">
        <w:rPr>
          <w:rFonts w:asciiTheme="minorHAnsi" w:eastAsia="Calibri" w:hAnsiTheme="minorHAnsi" w:cstheme="minorHAnsi"/>
          <w:szCs w:val="18"/>
        </w:rPr>
        <w:tab/>
        <w:t>Naprawa jest działaniem mającym na celu wyeliminowanie wykrytej niezgodności.</w:t>
      </w:r>
    </w:p>
    <w:p w14:paraId="2809DA35" w14:textId="77777777" w:rsidR="00542EEF" w:rsidRPr="009E064B" w:rsidRDefault="00542EEF">
      <w:pPr>
        <w:spacing w:after="0"/>
        <w:jc w:val="left"/>
        <w:rPr>
          <w:rFonts w:asciiTheme="minorHAnsi" w:eastAsia="Calibri" w:hAnsiTheme="minorHAnsi" w:cstheme="minorHAnsi"/>
          <w:szCs w:val="18"/>
        </w:rPr>
      </w:pPr>
      <w:r w:rsidRPr="009E064B">
        <w:rPr>
          <w:rFonts w:asciiTheme="minorHAnsi" w:eastAsia="Calibri" w:hAnsiTheme="minorHAnsi" w:cstheme="minorHAnsi"/>
          <w:szCs w:val="18"/>
        </w:rPr>
        <w:br w:type="page"/>
      </w:r>
    </w:p>
    <w:p w14:paraId="43DE1B2D" w14:textId="15D86EBA" w:rsidR="00DC7DA6" w:rsidRPr="009E064B" w:rsidRDefault="00DE05DC" w:rsidP="00B06A9A">
      <w:pPr>
        <w:pStyle w:val="Nagwek3"/>
      </w:pPr>
      <w:bookmarkStart w:id="303" w:name="_Toc12532678"/>
      <w:r w:rsidRPr="009E064B">
        <w:t xml:space="preserve">ADR.OR.C.025 </w:t>
      </w:r>
      <w:r w:rsidR="004D6FC2" w:rsidRPr="009E064B">
        <w:t xml:space="preserve">    </w:t>
      </w:r>
      <w:r w:rsidR="00602E93" w:rsidRPr="009E064B">
        <w:t>Natychmiastowa reakcja na zagrożenie bezpieczeństwa – zgodność z wytycznymi bezpieczeństwa</w:t>
      </w:r>
      <w:bookmarkEnd w:id="303"/>
    </w:p>
    <w:p w14:paraId="3AC56E15" w14:textId="38D2488D"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31CE236" w14:textId="079646BB" w:rsidR="00C46BE1"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Operator lotniska lub instytucja zapewniająca służbę zarządzania płytą postojową wdraża wszelkie środki bezpieczeństwa, w tym wytyczne bezpieczeństwa, nakazane przez właściwy organ zgodnie z</w:t>
      </w:r>
      <w:r w:rsidR="00C73CC4" w:rsidRPr="009E064B">
        <w:rPr>
          <w:rFonts w:asciiTheme="minorHAnsi" w:hAnsiTheme="minorHAnsi" w:cstheme="minorHAnsi"/>
          <w:sz w:val="22"/>
          <w:szCs w:val="20"/>
        </w:rPr>
        <w:t> </w:t>
      </w:r>
      <w:hyperlink w:anchor="_ADR.AR.A.030__" w:history="1">
        <w:r w:rsidRPr="009E064B">
          <w:rPr>
            <w:rStyle w:val="Hipercze"/>
            <w:rFonts w:asciiTheme="minorHAnsi" w:hAnsiTheme="minorHAnsi" w:cstheme="minorHAnsi"/>
            <w:sz w:val="22"/>
            <w:szCs w:val="20"/>
          </w:rPr>
          <w:t>ADR.AR.A.030</w:t>
        </w:r>
      </w:hyperlink>
      <w:r w:rsidRPr="009E064B">
        <w:rPr>
          <w:rFonts w:asciiTheme="minorHAnsi" w:hAnsiTheme="minorHAnsi" w:cstheme="minorHAnsi"/>
          <w:sz w:val="22"/>
          <w:szCs w:val="20"/>
        </w:rPr>
        <w:t xml:space="preserve"> lit. </w:t>
      </w:r>
      <w:r w:rsidR="00004A22" w:rsidRPr="009E064B">
        <w:rPr>
          <w:rFonts w:asciiTheme="minorHAnsi" w:hAnsiTheme="minorHAnsi" w:cstheme="minorHAnsi"/>
          <w:sz w:val="22"/>
          <w:szCs w:val="20"/>
        </w:rPr>
        <w:t>(</w:t>
      </w:r>
      <w:r w:rsidRPr="009E064B">
        <w:rPr>
          <w:rFonts w:asciiTheme="minorHAnsi" w:hAnsiTheme="minorHAnsi" w:cstheme="minorHAnsi"/>
          <w:sz w:val="22"/>
          <w:szCs w:val="20"/>
        </w:rPr>
        <w:t xml:space="preserve">c) oraz </w:t>
      </w:r>
      <w:hyperlink w:anchor="_ADR.AR.A.040__" w:history="1">
        <w:r w:rsidRPr="009E064B">
          <w:rPr>
            <w:rStyle w:val="Hipercze"/>
            <w:rFonts w:asciiTheme="minorHAnsi" w:hAnsiTheme="minorHAnsi" w:cstheme="minorHAnsi"/>
            <w:sz w:val="22"/>
            <w:szCs w:val="20"/>
          </w:rPr>
          <w:t>ADR.AR.A.040</w:t>
        </w:r>
      </w:hyperlink>
      <w:r w:rsidRPr="009E064B">
        <w:rPr>
          <w:rFonts w:asciiTheme="minorHAnsi" w:hAnsiTheme="minorHAnsi" w:cstheme="minorHAnsi"/>
          <w:sz w:val="22"/>
          <w:szCs w:val="20"/>
        </w:rPr>
        <w:t>.</w:t>
      </w:r>
    </w:p>
    <w:p w14:paraId="461F0F81" w14:textId="1F197724" w:rsidR="00DC7DA6" w:rsidRPr="009E064B" w:rsidRDefault="00DE05DC" w:rsidP="00B06A9A">
      <w:pPr>
        <w:pStyle w:val="Nagwek3"/>
      </w:pPr>
      <w:bookmarkStart w:id="304" w:name="_Toc12532679"/>
      <w:r w:rsidRPr="009E064B">
        <w:t xml:space="preserve">ADR.OR.C.030 </w:t>
      </w:r>
      <w:r w:rsidR="008E0210" w:rsidRPr="009E064B">
        <w:t xml:space="preserve">  </w:t>
      </w:r>
      <w:r w:rsidR="004D6FC2" w:rsidRPr="009E064B">
        <w:t xml:space="preserve">  </w:t>
      </w:r>
      <w:r w:rsidRPr="009E064B">
        <w:t>Zgłaszanie zdarzeń</w:t>
      </w:r>
      <w:bookmarkEnd w:id="304"/>
    </w:p>
    <w:p w14:paraId="30A29232" w14:textId="74832314"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7CF42D5" w14:textId="0A4DE389"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i instytucja zapewniająca służbę zarządzania płytą postojową zgłaszają właściwemu organowi, a także wszelkim innym organiza</w:t>
      </w:r>
      <w:r w:rsidR="00C73CC4" w:rsidRPr="009E064B">
        <w:rPr>
          <w:rFonts w:asciiTheme="minorHAnsi" w:hAnsiTheme="minorHAnsi" w:cstheme="minorHAnsi"/>
          <w:sz w:val="22"/>
          <w:szCs w:val="20"/>
        </w:rPr>
        <w:t>cjom wymaganym przez państwo, w </w:t>
      </w:r>
      <w:r w:rsidR="00DE05DC" w:rsidRPr="009E064B">
        <w:rPr>
          <w:rFonts w:asciiTheme="minorHAnsi" w:hAnsiTheme="minorHAnsi" w:cstheme="minorHAnsi"/>
          <w:sz w:val="22"/>
          <w:szCs w:val="20"/>
        </w:rPr>
        <w:t>którym położone jest lotnisko, wszelkie wypadki, poważne incydenty oraz zdarzenia określone w rozporządzeniu Parlamentu Europejskiego i R</w:t>
      </w:r>
      <w:r w:rsidR="00D72D9C" w:rsidRPr="009E064B">
        <w:rPr>
          <w:rFonts w:asciiTheme="minorHAnsi" w:hAnsiTheme="minorHAnsi" w:cstheme="minorHAnsi"/>
          <w:sz w:val="22"/>
          <w:szCs w:val="20"/>
        </w:rPr>
        <w:t>ady (UE) nr 996/2010 (1) oraz w </w:t>
      </w:r>
      <w:r w:rsidR="00DE05DC" w:rsidRPr="009E064B">
        <w:rPr>
          <w:rFonts w:asciiTheme="minorHAnsi" w:hAnsiTheme="minorHAnsi" w:cstheme="minorHAnsi"/>
          <w:sz w:val="22"/>
          <w:szCs w:val="20"/>
        </w:rPr>
        <w:t>dyrektywie 2003/42/WE.</w:t>
      </w:r>
    </w:p>
    <w:p w14:paraId="1543C7D6" w14:textId="01F5B1AB"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Nie naruszając przepisu lit. </w:t>
      </w:r>
      <w:r w:rsidR="00D72D9C" w:rsidRPr="009E064B">
        <w:rPr>
          <w:rFonts w:asciiTheme="minorHAnsi" w:hAnsiTheme="minorHAnsi" w:cstheme="minorHAnsi"/>
          <w:sz w:val="22"/>
          <w:szCs w:val="20"/>
        </w:rPr>
        <w:t>(</w:t>
      </w:r>
      <w:r w:rsidR="00DE05DC" w:rsidRPr="009E064B">
        <w:rPr>
          <w:rFonts w:asciiTheme="minorHAnsi" w:hAnsiTheme="minorHAnsi" w:cstheme="minorHAnsi"/>
          <w:sz w:val="22"/>
          <w:szCs w:val="20"/>
        </w:rPr>
        <w:t>a), operator zgłasza właściwemu organowi i organizacjom odpowiedzialnym za projektowanie wyposażenia lotniska wszelkie awarie, usterki techniczne, przekroczenia ograniczeń technicznych, zdarzenia lub inne niezwykłe okoliczności, które zagroziły lub mogły zagrozić bezpieczeństwu, a które nie skutkowały wypadkiem ani poważnym incydentem.</w:t>
      </w:r>
    </w:p>
    <w:p w14:paraId="64562A24" w14:textId="63229E4C"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Nie naruszając przepisów rozporządzenia (UE) nr 996/2010, dyrektywy 2003/42/WE, rozporządzenia Komisji (WE) nr 1321/2007 i rozporządzenia Komisji (WE) nr 1330/2007, sprawozdania, o których mowa w lit. </w:t>
      </w:r>
      <w:r w:rsidR="00D72D9C"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a) i lit. </w:t>
      </w:r>
      <w:r w:rsidR="00D72D9C" w:rsidRPr="009E064B">
        <w:rPr>
          <w:rFonts w:asciiTheme="minorHAnsi" w:hAnsiTheme="minorHAnsi" w:cstheme="minorHAnsi"/>
          <w:sz w:val="22"/>
          <w:szCs w:val="20"/>
        </w:rPr>
        <w:t>(</w:t>
      </w:r>
      <w:r w:rsidR="00DE05DC" w:rsidRPr="009E064B">
        <w:rPr>
          <w:rFonts w:asciiTheme="minorHAnsi" w:hAnsiTheme="minorHAnsi" w:cstheme="minorHAnsi"/>
          <w:sz w:val="22"/>
          <w:szCs w:val="20"/>
        </w:rPr>
        <w:t>b), są składane w formie i w sposób ustalone przez właściwy organ i zawierają wszelkie informacje dotyczące stanu rzeczy znane operatorowi lotniska lub instytucji zapewniającej służbę zarządzania płytą postojową.</w:t>
      </w:r>
    </w:p>
    <w:p w14:paraId="589B9945" w14:textId="1CEE9EA5"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Sprawozdania są składane w najkrótszym możliwym terminie, ale w każdym razie w ciągu 72 godzin od chwili ustalenia przez operatora lotniska lub instytucję zapewniającą służbę zarządzania płytą postojową stanu, do którego</w:t>
      </w:r>
      <w:r w:rsidR="00DE79DA" w:rsidRPr="009E064B">
        <w:rPr>
          <w:rFonts w:asciiTheme="minorHAnsi" w:hAnsiTheme="minorHAnsi" w:cstheme="minorHAnsi"/>
          <w:sz w:val="22"/>
          <w:szCs w:val="20"/>
        </w:rPr>
        <w:t xml:space="preserve"> sprawozdanie się odnosi, chyba </w:t>
      </w:r>
      <w:r w:rsidR="00DE05DC" w:rsidRPr="009E064B">
        <w:rPr>
          <w:rFonts w:asciiTheme="minorHAnsi" w:hAnsiTheme="minorHAnsi" w:cstheme="minorHAnsi"/>
          <w:sz w:val="22"/>
          <w:szCs w:val="20"/>
        </w:rPr>
        <w:t>że uniemożliwiają to nadzwyczajne okoliczności.</w:t>
      </w:r>
    </w:p>
    <w:p w14:paraId="6453BF03" w14:textId="0948F01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 odpowiednich przypadkach operator lotniska lub instytucja zapewniająca służbę zarządzania płytą postojową niezwłocznie po określeniu działań, jakie zamierza podjąć w celu zapobieżenia występowaniu podobnych zdarzeń w przyszłości, przedstawia sprawozdanie uzupełniające zawierające szczegół</w:t>
      </w:r>
      <w:r w:rsidR="008E0210" w:rsidRPr="009E064B">
        <w:rPr>
          <w:rFonts w:asciiTheme="minorHAnsi" w:hAnsiTheme="minorHAnsi" w:cstheme="minorHAnsi"/>
          <w:sz w:val="22"/>
          <w:szCs w:val="20"/>
        </w:rPr>
        <w:t xml:space="preserve">y </w:t>
      </w:r>
      <w:r w:rsidR="00DE05DC" w:rsidRPr="009E064B">
        <w:rPr>
          <w:rFonts w:asciiTheme="minorHAnsi" w:hAnsiTheme="minorHAnsi" w:cstheme="minorHAnsi"/>
          <w:sz w:val="22"/>
          <w:szCs w:val="20"/>
        </w:rPr>
        <w:t>tych działań. Sprawozdanie to przedstawia się w formie i w sposób ustalone przez właściwy organ.</w:t>
      </w:r>
    </w:p>
    <w:p w14:paraId="7BD3B2D9" w14:textId="3687B9AB" w:rsidR="00092CBF" w:rsidRPr="009E064B" w:rsidRDefault="00092CBF" w:rsidP="00133B99">
      <w:pPr>
        <w:pStyle w:val="Nagwek5"/>
      </w:pPr>
      <w:bookmarkStart w:id="305" w:name="_Toc492024595"/>
      <w:bookmarkStart w:id="306" w:name="_Toc12532680"/>
      <w:r w:rsidRPr="009E064B">
        <w:t xml:space="preserve">AMC1 ADR.OR.C.030 </w:t>
      </w:r>
      <w:r w:rsidR="004D6FC2" w:rsidRPr="009E064B">
        <w:t xml:space="preserve">    </w:t>
      </w:r>
      <w:r w:rsidRPr="009E064B">
        <w:t>Zgłaszanie zdarzeń</w:t>
      </w:r>
      <w:bookmarkEnd w:id="305"/>
      <w:bookmarkEnd w:id="306"/>
    </w:p>
    <w:p w14:paraId="03812A18" w14:textId="6AAE045A"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D38868E" w14:textId="3F7B8E56" w:rsidR="00092CBF"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4C8EB307"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i instytucja zapewniająca służbę zarządzania płytą postojową powinni ustanowić procedury służące do zgłaszania zdarzeń właściwemu organowi i innej wymaganej organizacji, które zawierają:</w:t>
      </w:r>
    </w:p>
    <w:p w14:paraId="1976EB4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opis obowiązujących wymogów dotyczących zgłaszania zdarzeń;</w:t>
      </w:r>
    </w:p>
    <w:p w14:paraId="022D1DE6"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opis mechanizmu zgłaszania zdarzeń, w tym formularze zgłoszeń, środki i terminy;</w:t>
      </w:r>
    </w:p>
    <w:p w14:paraId="17E0B3E2"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personel odpowiedzialny za zgłaszanie zdarzeń, oraz</w:t>
      </w:r>
    </w:p>
    <w:p w14:paraId="35AEC3E8" w14:textId="4BCC2075" w:rsidR="00D72D9C" w:rsidRPr="009E064B" w:rsidRDefault="00092CBF" w:rsidP="00542EEF">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opis mechanizmu i obowiązki personelu dotyczące identyfikacji przyczyn źródłowych i działań, które w zależności od przypadku, mogą być potrzebne do podjęcia, aby zapobiec podobnym zdarzeniom w przyszłości.</w:t>
      </w:r>
      <w:r w:rsidR="00542EEF" w:rsidRPr="009E064B">
        <w:rPr>
          <w:rFonts w:asciiTheme="minorHAnsi" w:eastAsia="Calibri" w:hAnsiTheme="minorHAnsi" w:cstheme="minorHAnsi"/>
        </w:rPr>
        <w:t xml:space="preserve"> </w:t>
      </w:r>
    </w:p>
    <w:p w14:paraId="17971261" w14:textId="4D019710" w:rsidR="00DC7DA6" w:rsidRPr="009E064B" w:rsidRDefault="00DE05DC" w:rsidP="00B06A9A">
      <w:pPr>
        <w:pStyle w:val="Nagwek3"/>
      </w:pPr>
      <w:bookmarkStart w:id="307" w:name="_Toc12532681"/>
      <w:r w:rsidRPr="009E064B">
        <w:t xml:space="preserve">ADR.OR.C.040 </w:t>
      </w:r>
      <w:r w:rsidR="004D6FC2" w:rsidRPr="009E064B">
        <w:t xml:space="preserve">    </w:t>
      </w:r>
      <w:r w:rsidRPr="009E064B">
        <w:t>Zapobieganie pożarom</w:t>
      </w:r>
      <w:bookmarkEnd w:id="307"/>
    </w:p>
    <w:p w14:paraId="19A8D7A7" w14:textId="2BD11C57"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7D65CEEC"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Operator lotniska ustanawia procedury w celu zapobieżenia:</w:t>
      </w:r>
    </w:p>
    <w:p w14:paraId="45C028D9" w14:textId="4E30700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paleniu w obrębie pola ruchu naziemnego, innych stref operacyjnych lotniska, bądź stref lotniska, w których składowane jest paliwo lub inne materiały łatwopalne;</w:t>
      </w:r>
    </w:p>
    <w:p w14:paraId="77EBE312" w14:textId="3345F70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używaniu otwartego płomienia lub podejmowaniu jakichkolwiek działań, które mogłyby wywołać zagrożenie pożarowe w obrębie:</w:t>
      </w:r>
    </w:p>
    <w:p w14:paraId="2F732C5D"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stref lotniska, w których składowane jest paliwo lub inne materiały łatwopalne;</w:t>
      </w:r>
    </w:p>
    <w:p w14:paraId="7079CB51" w14:textId="77777777" w:rsidR="00DC7DA6" w:rsidRPr="009E064B" w:rsidRDefault="001073F5"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pola ruchu naziemnego bądź pozostałych stref operacyjnych lotniska, chyba że za zgodą operatora lotniska.</w:t>
      </w:r>
    </w:p>
    <w:p w14:paraId="0B79D2F9" w14:textId="531460FF" w:rsidR="00092CBF" w:rsidRPr="009E064B" w:rsidRDefault="00092CBF" w:rsidP="00133B99">
      <w:pPr>
        <w:pStyle w:val="Nagwek5"/>
      </w:pPr>
      <w:bookmarkStart w:id="308" w:name="_Toc492024596"/>
      <w:bookmarkStart w:id="309" w:name="_Toc12532682"/>
      <w:r w:rsidRPr="009E064B">
        <w:t xml:space="preserve">AMC1 ADR.OR.C.040 </w:t>
      </w:r>
      <w:r w:rsidR="004D6FC2" w:rsidRPr="009E064B">
        <w:t xml:space="preserve">    </w:t>
      </w:r>
      <w:r w:rsidRPr="009E064B">
        <w:t>Zapobieganie pożarom</w:t>
      </w:r>
      <w:bookmarkEnd w:id="308"/>
      <w:bookmarkEnd w:id="309"/>
    </w:p>
    <w:p w14:paraId="5B9F4756" w14:textId="26ECC89C"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880A6E1"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opracować procedury i przypisać odpowiedzialność za kontrolę palenia papierosów oraz działań, które niosą ze sobą zagrożenie pożarowe.</w:t>
      </w:r>
    </w:p>
    <w:p w14:paraId="4A8ECA26"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Ponadto, procedury te powinny obejmować przyjęcie i stosowanie środków łagodzących dopuszczających niezbędne działania (np. obsługa techniczna, itp.), które mogą wiązać się z zagrożeniem pożarowym.</w:t>
      </w:r>
    </w:p>
    <w:p w14:paraId="62EDE76C"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Takie dopuszczone działania mogą nie obejmować palenia papierosów w strefie ruchu naziemnego, innych obszarach operacyjnych lotniska, lub obszarach lotniska, na których jest składowane paliwo lub inne materiały łatwopalne.</w:t>
      </w:r>
    </w:p>
    <w:p w14:paraId="5BD40F59" w14:textId="05D13F42" w:rsidR="00DC7DA6" w:rsidRPr="009E064B" w:rsidRDefault="00DE05DC" w:rsidP="00B06A9A">
      <w:pPr>
        <w:pStyle w:val="Nagwek3"/>
      </w:pPr>
      <w:bookmarkStart w:id="310" w:name="_ADR.OR.C.045__"/>
      <w:bookmarkStart w:id="311" w:name="_Toc12532683"/>
      <w:bookmarkEnd w:id="310"/>
      <w:r w:rsidRPr="009E064B">
        <w:t xml:space="preserve">ADR.OR.C.045 </w:t>
      </w:r>
      <w:r w:rsidR="004D6FC2" w:rsidRPr="009E064B">
        <w:t xml:space="preserve">    </w:t>
      </w:r>
      <w:r w:rsidRPr="009E064B">
        <w:t>Spożywanie alkoholu, stosowanie substancji psychoaktywnych i leków</w:t>
      </w:r>
      <w:bookmarkEnd w:id="311"/>
    </w:p>
    <w:p w14:paraId="715D9F7F" w14:textId="798E0D7D"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FBCC6FF" w14:textId="1E21F25A"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ustanawia procedury dotyczące poziomu spożywania alkoholu, stosowania substancji psychoaktywnych i leków przez:</w:t>
      </w:r>
    </w:p>
    <w:p w14:paraId="782AE1DA" w14:textId="1FC25C3B"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personel zaangażowany w użytkowanie, obsługę ratowniczą i gaśniczą oraz obsługę techniczną lotniska;</w:t>
      </w:r>
    </w:p>
    <w:p w14:paraId="20275166" w14:textId="7E5918D9"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osoby poruszające się bez eskorty w polu ruchu naziemnego lub innych strefach operacyjnych lotniska.</w:t>
      </w:r>
    </w:p>
    <w:p w14:paraId="1F6A6A6F" w14:textId="175B2C62"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Procedury te obejmują wymagania, zgodnie z którymi osoby te:</w:t>
      </w:r>
    </w:p>
    <w:p w14:paraId="5081D687" w14:textId="3B1B3FBB"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nie mogą spożywać alkoholu w godzinach pracy; oraz</w:t>
      </w:r>
    </w:p>
    <w:p w14:paraId="200FC758" w14:textId="1F68CF5D"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nie mogą wykonywać żadnych obowiązków w stanie pod wpływem:</w:t>
      </w:r>
    </w:p>
    <w:p w14:paraId="185F4DB1" w14:textId="77777777" w:rsidR="00DC7DA6" w:rsidRPr="009E064B" w:rsidRDefault="001073F5" w:rsidP="00B06A9A">
      <w:pPr>
        <w:pStyle w:val="Tekstpodstawowy"/>
        <w:tabs>
          <w:tab w:val="left" w:pos="1418"/>
        </w:tabs>
        <w:ind w:left="1418" w:right="-2" w:hanging="425"/>
        <w:rPr>
          <w:rFonts w:asciiTheme="minorHAnsi" w:hAnsiTheme="minorHAnsi" w:cstheme="minorHAnsi"/>
          <w:sz w:val="22"/>
          <w:szCs w:val="20"/>
        </w:rPr>
      </w:pPr>
      <w:r w:rsidRPr="009E064B">
        <w:rPr>
          <w:rFonts w:asciiTheme="minorHAnsi" w:hAnsiTheme="minorHAnsi" w:cstheme="minorHAnsi"/>
          <w:sz w:val="22"/>
          <w:szCs w:val="20"/>
        </w:rPr>
        <w:t xml:space="preserve">(i)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alkoholu bądź wszelkich substancji psychoaktywnych; lub</w:t>
      </w:r>
    </w:p>
    <w:p w14:paraId="1B344729" w14:textId="28C7E8EE" w:rsidR="00D72D9C" w:rsidRPr="009E064B" w:rsidRDefault="001073F5" w:rsidP="00B06A9A">
      <w:pPr>
        <w:pStyle w:val="Tekstpodstawowy"/>
        <w:tabs>
          <w:tab w:val="left" w:pos="1418"/>
        </w:tabs>
        <w:ind w:left="1418" w:right="-2" w:hanging="425"/>
        <w:rPr>
          <w:rFonts w:asciiTheme="minorHAnsi" w:hAnsiTheme="minorHAnsi" w:cstheme="minorHAnsi"/>
          <w:sz w:val="22"/>
          <w:szCs w:val="20"/>
        </w:rPr>
      </w:pPr>
      <w:r w:rsidRPr="009E064B">
        <w:rPr>
          <w:rFonts w:asciiTheme="minorHAnsi" w:hAnsiTheme="minorHAnsi" w:cstheme="minorHAnsi"/>
          <w:sz w:val="22"/>
          <w:szCs w:val="20"/>
        </w:rPr>
        <w:t xml:space="preserve">(ii)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wszelkich leków mogących wpłynąć na ich sprawność w sposób niekorzystny z punktu widzenia bezpieczeństwa.</w:t>
      </w:r>
    </w:p>
    <w:p w14:paraId="183FB90C" w14:textId="77777777" w:rsidR="00D72D9C" w:rsidRPr="009E064B" w:rsidRDefault="00D72D9C">
      <w:pPr>
        <w:spacing w:after="0"/>
        <w:jc w:val="left"/>
        <w:rPr>
          <w:rFonts w:asciiTheme="minorHAnsi" w:eastAsia="Times New Roman" w:hAnsiTheme="minorHAnsi" w:cstheme="minorHAnsi"/>
          <w:sz w:val="20"/>
          <w:szCs w:val="20"/>
        </w:rPr>
      </w:pPr>
      <w:r w:rsidRPr="009E064B">
        <w:rPr>
          <w:rFonts w:asciiTheme="minorHAnsi" w:hAnsiTheme="minorHAnsi" w:cstheme="minorHAnsi"/>
          <w:sz w:val="20"/>
          <w:szCs w:val="20"/>
        </w:rPr>
        <w:br w:type="page"/>
      </w:r>
    </w:p>
    <w:p w14:paraId="3F9AAACA" w14:textId="605FF37F" w:rsidR="00092CBF" w:rsidRPr="009E064B" w:rsidRDefault="00092CBF" w:rsidP="00133B99">
      <w:pPr>
        <w:pStyle w:val="Nagwek6"/>
      </w:pPr>
      <w:bookmarkStart w:id="312" w:name="_GM1_ADR.OR.C.045_"/>
      <w:bookmarkStart w:id="313" w:name="_Toc492024597"/>
      <w:bookmarkStart w:id="314" w:name="_Toc12532684"/>
      <w:bookmarkEnd w:id="312"/>
      <w:r w:rsidRPr="009E064B">
        <w:t>GM1 ADR</w:t>
      </w:r>
      <w:r w:rsidR="004D6FC2" w:rsidRPr="009E064B">
        <w:t xml:space="preserve">.OR.C.045     </w:t>
      </w:r>
      <w:r w:rsidRPr="009E064B">
        <w:t>Spożywanie alkoholu, stosowanie substancji psychoaktywnych i leków</w:t>
      </w:r>
      <w:bookmarkEnd w:id="313"/>
      <w:bookmarkEnd w:id="314"/>
    </w:p>
    <w:p w14:paraId="2B96D862" w14:textId="0F3ACBB3"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4F7E8A3" w14:textId="4F4A914F"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Procedury, które operator lotniska powinien ustanowić w odniesieniu do poziomu spożycia alkoholu, substancji psychoaktywnych i leków są stosowane do wszystkich osób, o których mowa w </w:t>
      </w:r>
      <w:hyperlink w:anchor="_ADR.OR.C.045__" w:history="1">
        <w:r w:rsidRPr="009E064B">
          <w:rPr>
            <w:rStyle w:val="Hipercze"/>
            <w:rFonts w:asciiTheme="minorHAnsi" w:eastAsia="Calibri" w:hAnsiTheme="minorHAnsi" w:cstheme="minorHAnsi"/>
          </w:rPr>
          <w:t>ADR.OR.C.045</w:t>
        </w:r>
      </w:hyperlink>
      <w:r w:rsidR="00004A22" w:rsidRPr="009E064B">
        <w:rPr>
          <w:rFonts w:asciiTheme="minorHAnsi" w:eastAsia="Calibri" w:hAnsiTheme="minorHAnsi" w:cstheme="minorHAnsi"/>
        </w:rPr>
        <w:t xml:space="preserve"> lit.(a).</w:t>
      </w:r>
      <w:r w:rsidRPr="009E064B">
        <w:rPr>
          <w:rFonts w:asciiTheme="minorHAnsi" w:eastAsia="Calibri" w:hAnsiTheme="minorHAnsi" w:cstheme="minorHAnsi"/>
        </w:rPr>
        <w:t xml:space="preserve"> Procedury te dotyczą:</w:t>
      </w:r>
    </w:p>
    <w:p w14:paraId="45A4A88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personelu zaangażowanego w eksploatację, utrzymanie i obsługę techniczną lotniska oraz personelu służb ratowniczo-gaśniczych, niezależnie od jego relacji z operatorem lotniska (np. zatrudnionego bezpośrednio przez operatora lotniska lub przez organizacje będące podwykonawcą operatora lotniska);</w:t>
      </w:r>
    </w:p>
    <w:p w14:paraId="58E231C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osób poruszających się bez eskorty w polu ruchu naziemnego lub innych strefach operacyjnych lotniska. Ta kategoria osób obejmuje:</w:t>
      </w:r>
    </w:p>
    <w:p w14:paraId="789CD7B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osoby zatrudnione bezpośrednio przez operatora lotniska, lub przez organizacje będące podwykonawcą operatora lotniska, które nie są zaangażowane w działania ratowniczo-gaśnicze, utrzymanie i obsługę techniczną lotniska (np. personel ochrony lotniska);</w:t>
      </w:r>
    </w:p>
    <w:p w14:paraId="340B7BD1"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osoby zatrudnione przez inne organizacje (np. firmy obsługi naziemnej).</w:t>
      </w:r>
    </w:p>
    <w:p w14:paraId="3799C496" w14:textId="4C7E96FF"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Niezależnie od obowiązków organizacji, o których mowa w </w:t>
      </w:r>
      <w:r w:rsidR="00004A22" w:rsidRPr="009E064B">
        <w:rPr>
          <w:rFonts w:asciiTheme="minorHAnsi" w:eastAsia="Calibri" w:hAnsiTheme="minorHAnsi" w:cstheme="minorHAnsi"/>
        </w:rPr>
        <w:t>lit. </w:t>
      </w:r>
      <w:r w:rsidRPr="009E064B">
        <w:rPr>
          <w:rFonts w:asciiTheme="minorHAnsi" w:eastAsia="Calibri" w:hAnsiTheme="minorHAnsi" w:cstheme="minorHAnsi"/>
        </w:rPr>
        <w:t>(a)</w:t>
      </w:r>
      <w:r w:rsidR="00004A22" w:rsidRPr="009E064B">
        <w:rPr>
          <w:rFonts w:asciiTheme="minorHAnsi" w:eastAsia="Calibri" w:hAnsiTheme="minorHAnsi" w:cstheme="minorHAnsi"/>
        </w:rPr>
        <w:t xml:space="preserve"> pkt </w:t>
      </w:r>
      <w:r w:rsidRPr="009E064B">
        <w:rPr>
          <w:rFonts w:asciiTheme="minorHAnsi" w:eastAsia="Calibri" w:hAnsiTheme="minorHAnsi" w:cstheme="minorHAnsi"/>
        </w:rPr>
        <w:t>(2)</w:t>
      </w:r>
      <w:r w:rsidR="00004A22" w:rsidRPr="009E064B">
        <w:rPr>
          <w:rFonts w:asciiTheme="minorHAnsi" w:eastAsia="Calibri" w:hAnsiTheme="minorHAnsi" w:cstheme="minorHAnsi"/>
        </w:rPr>
        <w:t xml:space="preserve"> </w:t>
      </w:r>
      <w:r w:rsidR="00834C69" w:rsidRPr="009E064B">
        <w:rPr>
          <w:rFonts w:asciiTheme="minorHAnsi" w:eastAsia="Calibri" w:hAnsiTheme="minorHAnsi" w:cstheme="minorHAnsi"/>
        </w:rPr>
        <w:t xml:space="preserve">podpunkt </w:t>
      </w:r>
      <w:r w:rsidRPr="009E064B">
        <w:rPr>
          <w:rFonts w:asciiTheme="minorHAnsi" w:eastAsia="Calibri" w:hAnsiTheme="minorHAnsi" w:cstheme="minorHAnsi"/>
        </w:rPr>
        <w:t xml:space="preserve">(ii) operator lotniska powinien zapewnić, że te organizacje ustanawiają odpowiednie procedury w celu zapewnienia zgodności z przepisami </w:t>
      </w:r>
      <w:hyperlink w:anchor="_GM1_ADR.OR.C.045_" w:history="1">
        <w:r w:rsidRPr="009E064B">
          <w:rPr>
            <w:rStyle w:val="Hipercze"/>
            <w:rFonts w:asciiTheme="minorHAnsi" w:eastAsia="Calibri" w:hAnsiTheme="minorHAnsi" w:cstheme="minorHAnsi"/>
          </w:rPr>
          <w:t>ADR.OR.C.045</w:t>
        </w:r>
      </w:hyperlink>
      <w:r w:rsidRPr="009E064B">
        <w:rPr>
          <w:rFonts w:asciiTheme="minorHAnsi" w:eastAsia="Calibri" w:hAnsiTheme="minorHAnsi" w:cstheme="minorHAnsi"/>
        </w:rPr>
        <w:t xml:space="preserve"> i odpowiednimi wymogami ustanowionymi przez operatora lotniska.</w:t>
      </w:r>
    </w:p>
    <w:p w14:paraId="21178928"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Dalsze wskazówki na ten temat można znaleźć w „</w:t>
      </w:r>
      <w:r w:rsidRPr="009E064B">
        <w:rPr>
          <w:rFonts w:asciiTheme="minorHAnsi" w:eastAsia="Calibri" w:hAnsiTheme="minorHAnsi" w:cstheme="minorHAnsi"/>
          <w:i/>
        </w:rPr>
        <w:t>Podręczniku zapobiegania problematycznemu użyciu substancji psychoaktywnych w lotniczym miejscu pracy</w:t>
      </w:r>
      <w:r w:rsidRPr="009E064B">
        <w:rPr>
          <w:rFonts w:asciiTheme="minorHAnsi" w:eastAsia="Calibri" w:hAnsiTheme="minorHAnsi" w:cstheme="minorHAnsi"/>
        </w:rPr>
        <w:t>” ICAO (Doc 9654).</w:t>
      </w:r>
    </w:p>
    <w:p w14:paraId="1EF59521" w14:textId="77777777" w:rsidR="008E0210" w:rsidRPr="009E064B" w:rsidRDefault="008E0210" w:rsidP="00B06A9A">
      <w:pPr>
        <w:ind w:right="-2"/>
        <w:rPr>
          <w:rFonts w:asciiTheme="minorHAnsi" w:hAnsiTheme="minorHAnsi" w:cstheme="minorHAnsi"/>
          <w:szCs w:val="20"/>
        </w:rPr>
      </w:pPr>
    </w:p>
    <w:p w14:paraId="4296EFEC" w14:textId="77777777" w:rsidR="00C05A61" w:rsidRPr="009E064B" w:rsidRDefault="00C05A61" w:rsidP="00B06A9A">
      <w:pPr>
        <w:ind w:right="-2"/>
        <w:rPr>
          <w:rFonts w:asciiTheme="minorHAnsi" w:hAnsiTheme="minorHAnsi" w:cstheme="minorHAnsi"/>
          <w:szCs w:val="20"/>
        </w:rPr>
        <w:sectPr w:rsidR="00C05A61" w:rsidRPr="009E064B" w:rsidSect="00674099">
          <w:headerReference w:type="default" r:id="rId59"/>
          <w:headerReference w:type="first" r:id="rId60"/>
          <w:pgSz w:w="11906" w:h="16840" w:code="9"/>
          <w:pgMar w:top="1701" w:right="1418" w:bottom="1418" w:left="1418" w:header="567" w:footer="454" w:gutter="0"/>
          <w:cols w:space="708"/>
          <w:titlePg/>
        </w:sectPr>
      </w:pPr>
    </w:p>
    <w:p w14:paraId="126E1028" w14:textId="50696CF5" w:rsidR="00DC7DA6" w:rsidRPr="009E064B" w:rsidRDefault="00DE05DC" w:rsidP="00020EA3">
      <w:pPr>
        <w:pStyle w:val="Nagwek2"/>
      </w:pPr>
      <w:bookmarkStart w:id="315" w:name="_Toc12532685"/>
      <w:r w:rsidRPr="009E064B">
        <w:t>PODCZĘŚĆ D — ZARZĄDZANIE (ADR.OR.D)</w:t>
      </w:r>
      <w:bookmarkEnd w:id="315"/>
    </w:p>
    <w:p w14:paraId="236E77AB" w14:textId="77777777" w:rsidR="00E15935" w:rsidRPr="009E064B" w:rsidRDefault="00E15935" w:rsidP="00B06A9A">
      <w:pPr>
        <w:ind w:right="-2"/>
        <w:rPr>
          <w:rFonts w:asciiTheme="minorHAnsi" w:hAnsiTheme="minorHAnsi" w:cstheme="minorHAnsi"/>
          <w:szCs w:val="20"/>
        </w:rPr>
      </w:pPr>
    </w:p>
    <w:p w14:paraId="5FF1AA3E" w14:textId="74023944" w:rsidR="00DC7DA6" w:rsidRPr="009E064B" w:rsidRDefault="00DE05DC" w:rsidP="00B06A9A">
      <w:pPr>
        <w:pStyle w:val="Nagwek3"/>
      </w:pPr>
      <w:bookmarkStart w:id="316" w:name="_ADR.OR.D.005__"/>
      <w:bookmarkStart w:id="317" w:name="_Toc12532686"/>
      <w:bookmarkEnd w:id="316"/>
      <w:r w:rsidRPr="009E064B">
        <w:t xml:space="preserve">ADR.OR.D.005 </w:t>
      </w:r>
      <w:r w:rsidR="008E0210" w:rsidRPr="009E064B">
        <w:t xml:space="preserve">  </w:t>
      </w:r>
      <w:r w:rsidR="004D6FC2" w:rsidRPr="009E064B">
        <w:t xml:space="preserve">  </w:t>
      </w:r>
      <w:r w:rsidRPr="009E064B">
        <w:t>System zarządzania</w:t>
      </w:r>
      <w:bookmarkEnd w:id="317"/>
    </w:p>
    <w:p w14:paraId="551D0588" w14:textId="4CAF4493" w:rsidR="00842D0E"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E2C7155" w14:textId="77777777" w:rsidR="003A0C53" w:rsidRPr="009E064B" w:rsidRDefault="00371A8B" w:rsidP="003A0C53">
      <w:pPr>
        <w:pStyle w:val="Tekstpodstawowy"/>
        <w:tabs>
          <w:tab w:val="left" w:pos="567"/>
        </w:tabs>
        <w:ind w:left="567" w:right="-2" w:hanging="567"/>
        <w:rPr>
          <w:rFonts w:asciiTheme="minorHAnsi" w:hAnsiTheme="minorHAnsi" w:cstheme="minorHAnsi"/>
          <w:i/>
          <w:sz w:val="16"/>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Operator lotniska wdraża i utrzymuje system zarządzania zintegrowany z </w:t>
      </w:r>
      <w:r w:rsidR="004D2EFC" w:rsidRPr="009E064B">
        <w:rPr>
          <w:rFonts w:asciiTheme="minorHAnsi" w:hAnsiTheme="minorHAnsi" w:cstheme="minorHAnsi"/>
          <w:sz w:val="22"/>
          <w:szCs w:val="20"/>
        </w:rPr>
        <w:t>systemem z</w:t>
      </w:r>
      <w:r w:rsidR="00826D33" w:rsidRPr="009E064B">
        <w:rPr>
          <w:rFonts w:asciiTheme="minorHAnsi" w:hAnsiTheme="minorHAnsi" w:cstheme="minorHAnsi"/>
          <w:sz w:val="22"/>
          <w:szCs w:val="20"/>
        </w:rPr>
        <w:t xml:space="preserve">arządzania </w:t>
      </w:r>
      <w:r w:rsidR="00DE05DC" w:rsidRPr="009E064B">
        <w:rPr>
          <w:rFonts w:asciiTheme="minorHAnsi" w:hAnsiTheme="minorHAnsi" w:cstheme="minorHAnsi"/>
          <w:sz w:val="22"/>
          <w:szCs w:val="20"/>
        </w:rPr>
        <w:t>bezpieczeństwem.</w:t>
      </w:r>
      <w:r w:rsidR="003A0C53" w:rsidRPr="009E064B">
        <w:rPr>
          <w:rFonts w:asciiTheme="minorHAnsi" w:hAnsiTheme="minorHAnsi" w:cstheme="minorHAnsi"/>
          <w:i/>
          <w:sz w:val="16"/>
          <w:szCs w:val="20"/>
        </w:rPr>
        <w:t xml:space="preserve"> </w:t>
      </w:r>
    </w:p>
    <w:p w14:paraId="62672768" w14:textId="64D125F7"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System zarządzania obejmuje:</w:t>
      </w:r>
    </w:p>
    <w:p w14:paraId="2A5FB7C5" w14:textId="4FCECFDC"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wyraźnie zdefiniowany zakres obowiązków i odpowiedzialnoś</w:t>
      </w:r>
      <w:r w:rsidR="008E0210" w:rsidRPr="009E064B">
        <w:rPr>
          <w:rFonts w:asciiTheme="minorHAnsi" w:eastAsia="Times New Roman" w:hAnsiTheme="minorHAnsi" w:cstheme="minorHAnsi"/>
          <w:szCs w:val="20"/>
        </w:rPr>
        <w:t xml:space="preserve">ci </w:t>
      </w:r>
      <w:r w:rsidR="00DE05DC" w:rsidRPr="009E064B">
        <w:rPr>
          <w:rFonts w:asciiTheme="minorHAnsi" w:eastAsia="Times New Roman" w:hAnsiTheme="minorHAnsi" w:cstheme="minorHAnsi"/>
          <w:szCs w:val="20"/>
        </w:rPr>
        <w:t>w ramach struktury operatora lotniska, w tym bezpośredniej odpowiedzialności kadry kierowniczej wyższego szczebla za kwestie bezpieczeństwa;</w:t>
      </w:r>
    </w:p>
    <w:p w14:paraId="3519C520" w14:textId="042458F2" w:rsidR="00DC7DA6" w:rsidRPr="009E064B" w:rsidRDefault="00F95D4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 </w:t>
      </w:r>
      <w:r w:rsidR="00371A8B"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opis ogólnej filozofii i zasad przyjętych przez operatora lotniska w odniesieniu do bezpieczeństwa, określanych jako „polityka bezpieczeństwa”, podpisany przez kierownika odpowiedzialnego;</w:t>
      </w:r>
    </w:p>
    <w:p w14:paraId="38AC3E2F" w14:textId="422BE018" w:rsidR="00DC7DA6" w:rsidRPr="009E064B" w:rsidRDefault="00F95D4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 </w:t>
      </w:r>
      <w:r w:rsidR="00371A8B"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formalny proces zapewniający identyfikację zagrożeń operacyjnych;</w:t>
      </w:r>
    </w:p>
    <w:p w14:paraId="42DA5795" w14:textId="5C472202"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formalny proces zapewniający analizę, ocenę i łagodzenie ryzyka w zakresie bezpieczeństwa użytkowania lotniska;</w:t>
      </w:r>
    </w:p>
    <w:p w14:paraId="4D5EC60C" w14:textId="4DD52F51"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5)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działania pozwalające na weryfikację skuteczności działania organizacji operatora lotniska w dziedzinie bezpieczeństwa poprzez odniesienie do wska</w:t>
      </w:r>
      <w:r w:rsidR="00C73CC4" w:rsidRPr="009E064B">
        <w:rPr>
          <w:rFonts w:asciiTheme="minorHAnsi" w:eastAsia="Times New Roman" w:hAnsiTheme="minorHAnsi" w:cstheme="minorHAnsi"/>
          <w:szCs w:val="20"/>
        </w:rPr>
        <w:t>źników skuteczności działania w </w:t>
      </w:r>
      <w:r w:rsidR="00DE05DC" w:rsidRPr="009E064B">
        <w:rPr>
          <w:rFonts w:asciiTheme="minorHAnsi" w:eastAsia="Times New Roman" w:hAnsiTheme="minorHAnsi" w:cstheme="minorHAnsi"/>
          <w:szCs w:val="20"/>
        </w:rPr>
        <w:t>dziedzinie bezpieczeństwa oraz parametrów docelowych w zakresie bezpieczeńs</w:t>
      </w:r>
      <w:r w:rsidR="00BF2E35" w:rsidRPr="009E064B">
        <w:rPr>
          <w:rFonts w:asciiTheme="minorHAnsi" w:eastAsia="Times New Roman" w:hAnsiTheme="minorHAnsi" w:cstheme="minorHAnsi"/>
          <w:szCs w:val="20"/>
        </w:rPr>
        <w:t xml:space="preserve">twa ustanowionych dla systemu zarządzania bezpieczeństwem, a </w:t>
      </w:r>
      <w:r w:rsidR="00DE05DC" w:rsidRPr="009E064B">
        <w:rPr>
          <w:rFonts w:asciiTheme="minorHAnsi" w:eastAsia="Times New Roman" w:hAnsiTheme="minorHAnsi" w:cstheme="minorHAnsi"/>
          <w:szCs w:val="20"/>
        </w:rPr>
        <w:t>także na walidację skuteczności kontroli ryzyka w dziedzinie bezpieczeństwa;</w:t>
      </w:r>
    </w:p>
    <w:p w14:paraId="47E088CF" w14:textId="411120FC" w:rsidR="00DC7DA6" w:rsidRPr="009E064B" w:rsidRDefault="00371A8B" w:rsidP="004B5652">
      <w:pPr>
        <w:tabs>
          <w:tab w:val="left" w:pos="1134"/>
        </w:tabs>
        <w:spacing w:after="80"/>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6)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formalny proces pozwalający na:</w:t>
      </w:r>
    </w:p>
    <w:p w14:paraId="0BED4DDC" w14:textId="0FC86031" w:rsidR="00DC7DA6" w:rsidRPr="009E064B" w:rsidRDefault="001073F5" w:rsidP="004B5652">
      <w:pPr>
        <w:tabs>
          <w:tab w:val="left" w:pos="1701"/>
        </w:tabs>
        <w:ind w:left="1701" w:right="-2" w:hanging="567"/>
        <w:rPr>
          <w:rFonts w:asciiTheme="minorHAnsi" w:hAnsiTheme="minorHAnsi" w:cstheme="minorHAnsi"/>
          <w:szCs w:val="20"/>
        </w:rPr>
      </w:pPr>
      <w:r w:rsidRPr="009E064B">
        <w:rPr>
          <w:rFonts w:asciiTheme="minorHAnsi" w:hAnsiTheme="minorHAnsi" w:cstheme="minorHAnsi"/>
          <w:szCs w:val="20"/>
        </w:rPr>
        <w:t xml:space="preserve">(i) </w:t>
      </w:r>
      <w:r w:rsidR="00BF2E35" w:rsidRPr="009E064B">
        <w:rPr>
          <w:rFonts w:asciiTheme="minorHAnsi" w:hAnsiTheme="minorHAnsi" w:cstheme="minorHAnsi"/>
          <w:szCs w:val="20"/>
        </w:rPr>
        <w:tab/>
      </w:r>
      <w:r w:rsidR="00DE05DC" w:rsidRPr="009E064B">
        <w:rPr>
          <w:rFonts w:asciiTheme="minorHAnsi" w:eastAsia="Times New Roman" w:hAnsiTheme="minorHAnsi" w:cstheme="minorHAnsi"/>
          <w:szCs w:val="20"/>
        </w:rPr>
        <w:t>identyfikację</w:t>
      </w:r>
      <w:r w:rsidR="00DE05DC" w:rsidRPr="009E064B">
        <w:rPr>
          <w:rFonts w:asciiTheme="minorHAnsi" w:hAnsiTheme="minorHAnsi" w:cstheme="minorHAnsi"/>
          <w:szCs w:val="20"/>
        </w:rPr>
        <w:t xml:space="preserve"> zmian </w:t>
      </w:r>
      <w:r w:rsidR="008E0210" w:rsidRPr="009E064B">
        <w:rPr>
          <w:rFonts w:asciiTheme="minorHAnsi" w:hAnsiTheme="minorHAnsi" w:cstheme="minorHAnsi"/>
          <w:szCs w:val="20"/>
        </w:rPr>
        <w:t xml:space="preserve">w </w:t>
      </w:r>
      <w:r w:rsidR="00DE05DC" w:rsidRPr="009E064B">
        <w:rPr>
          <w:rFonts w:asciiTheme="minorHAnsi" w:hAnsiTheme="minorHAnsi" w:cstheme="minorHAnsi"/>
          <w:szCs w:val="20"/>
        </w:rPr>
        <w:t>organizacji operatora lotniska, systemie zarządzania, lotnisku lub jego użytkowaniu, które mogą mieć wpływ na u</w:t>
      </w:r>
      <w:r w:rsidR="00C73CC4" w:rsidRPr="009E064B">
        <w:rPr>
          <w:rFonts w:asciiTheme="minorHAnsi" w:hAnsiTheme="minorHAnsi" w:cstheme="minorHAnsi"/>
          <w:szCs w:val="20"/>
        </w:rPr>
        <w:t>stanowione procesy, procedury i </w:t>
      </w:r>
      <w:r w:rsidR="00DE05DC" w:rsidRPr="009E064B">
        <w:rPr>
          <w:rFonts w:asciiTheme="minorHAnsi" w:hAnsiTheme="minorHAnsi" w:cstheme="minorHAnsi"/>
          <w:szCs w:val="20"/>
        </w:rPr>
        <w:t>służby;</w:t>
      </w:r>
    </w:p>
    <w:p w14:paraId="29D0B08A" w14:textId="0F7042C9" w:rsidR="00DC7DA6" w:rsidRPr="009E064B" w:rsidRDefault="001073F5" w:rsidP="004B5652">
      <w:pPr>
        <w:tabs>
          <w:tab w:val="left" w:pos="1701"/>
        </w:tabs>
        <w:ind w:left="1701" w:right="-2" w:hanging="567"/>
        <w:rPr>
          <w:rFonts w:asciiTheme="minorHAnsi" w:hAnsiTheme="minorHAnsi" w:cstheme="minorHAnsi"/>
          <w:szCs w:val="20"/>
        </w:rPr>
      </w:pPr>
      <w:r w:rsidRPr="009E064B">
        <w:rPr>
          <w:rFonts w:asciiTheme="minorHAnsi" w:hAnsiTheme="minorHAnsi" w:cstheme="minorHAnsi"/>
          <w:szCs w:val="20"/>
        </w:rPr>
        <w:t xml:space="preserve">(ii) </w:t>
      </w:r>
      <w:r w:rsidR="00BF2E35" w:rsidRPr="009E064B">
        <w:rPr>
          <w:rFonts w:asciiTheme="minorHAnsi" w:hAnsiTheme="minorHAnsi" w:cstheme="minorHAnsi"/>
          <w:szCs w:val="20"/>
        </w:rPr>
        <w:tab/>
      </w:r>
      <w:r w:rsidR="00DE05DC" w:rsidRPr="009E064B">
        <w:rPr>
          <w:rFonts w:asciiTheme="minorHAnsi" w:eastAsia="Times New Roman" w:hAnsiTheme="minorHAnsi" w:cstheme="minorHAnsi"/>
          <w:szCs w:val="20"/>
        </w:rPr>
        <w:t>opisanie</w:t>
      </w:r>
      <w:r w:rsidR="00DE05DC" w:rsidRPr="009E064B">
        <w:rPr>
          <w:rFonts w:asciiTheme="minorHAnsi" w:hAnsiTheme="minorHAnsi" w:cstheme="minorHAnsi"/>
          <w:szCs w:val="20"/>
        </w:rPr>
        <w:t xml:space="preserve"> mechanizmów współpracy zapewni</w:t>
      </w:r>
      <w:r w:rsidR="008D34F8" w:rsidRPr="009E064B">
        <w:rPr>
          <w:rFonts w:asciiTheme="minorHAnsi" w:hAnsiTheme="minorHAnsi" w:cstheme="minorHAnsi"/>
          <w:szCs w:val="20"/>
        </w:rPr>
        <w:t>ających skuteczność działania w </w:t>
      </w:r>
      <w:r w:rsidR="00DE05DC" w:rsidRPr="009E064B">
        <w:rPr>
          <w:rFonts w:asciiTheme="minorHAnsi" w:hAnsiTheme="minorHAnsi" w:cstheme="minorHAnsi"/>
          <w:szCs w:val="20"/>
        </w:rPr>
        <w:t>dziedzinie bezpieczeństwa przed wprowadzeniem zmian; oraz</w:t>
      </w:r>
    </w:p>
    <w:p w14:paraId="461159C7" w14:textId="37291B76" w:rsidR="00DC7DA6" w:rsidRPr="009E064B" w:rsidRDefault="001073F5" w:rsidP="004B5652">
      <w:pPr>
        <w:tabs>
          <w:tab w:val="left" w:pos="1701"/>
        </w:tabs>
        <w:ind w:left="1701" w:hanging="567"/>
        <w:rPr>
          <w:rFonts w:asciiTheme="minorHAnsi" w:hAnsiTheme="minorHAnsi" w:cstheme="minorHAnsi"/>
          <w:szCs w:val="20"/>
        </w:rPr>
      </w:pPr>
      <w:r w:rsidRPr="009E064B">
        <w:rPr>
          <w:rFonts w:asciiTheme="minorHAnsi" w:hAnsiTheme="minorHAnsi" w:cstheme="minorHAnsi"/>
          <w:szCs w:val="20"/>
        </w:rPr>
        <w:t xml:space="preserve">(iii) </w:t>
      </w:r>
      <w:r w:rsidR="00BF2E35" w:rsidRPr="009E064B">
        <w:rPr>
          <w:rFonts w:asciiTheme="minorHAnsi" w:hAnsiTheme="minorHAnsi" w:cstheme="minorHAnsi"/>
          <w:szCs w:val="20"/>
        </w:rPr>
        <w:tab/>
      </w:r>
      <w:r w:rsidR="00DE05DC" w:rsidRPr="009E064B">
        <w:rPr>
          <w:rFonts w:asciiTheme="minorHAnsi" w:hAnsiTheme="minorHAnsi" w:cstheme="minorHAnsi"/>
          <w:szCs w:val="20"/>
        </w:rPr>
        <w:t xml:space="preserve">eliminowanie i modyfikację mechanizmów kontroli ryzyka, które nie są już potrzebne lub skuteczne z powodu zmian w </w:t>
      </w:r>
      <w:r w:rsidR="008E0210" w:rsidRPr="009E064B">
        <w:rPr>
          <w:rFonts w:asciiTheme="minorHAnsi" w:hAnsiTheme="minorHAnsi" w:cstheme="minorHAnsi"/>
          <w:szCs w:val="20"/>
        </w:rPr>
        <w:t xml:space="preserve">środowisku </w:t>
      </w:r>
      <w:r w:rsidR="00DE05DC" w:rsidRPr="009E064B">
        <w:rPr>
          <w:rFonts w:asciiTheme="minorHAnsi" w:hAnsiTheme="minorHAnsi" w:cstheme="minorHAnsi"/>
          <w:szCs w:val="20"/>
        </w:rPr>
        <w:t>operacyjnym;</w:t>
      </w:r>
    </w:p>
    <w:p w14:paraId="23F38C79" w14:textId="652018B5" w:rsidR="004B5652"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7)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formalny proces umożliwiające przegląd systemu zarządzania, o którym mowa w lit. </w:t>
      </w:r>
      <w:r w:rsidR="008D34F8"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a), identyfikację przyczyn niezadowalającego działania systemu zarządzania bezpieczeństwem, ustalenie implikacji takiego niezadowalającego działania dla użytkowania lotniska, a także eliminację lub łagodzenie tych przyczyn;</w:t>
      </w:r>
      <w:r w:rsidR="004B5652" w:rsidRPr="009E064B">
        <w:rPr>
          <w:rFonts w:asciiTheme="minorHAnsi" w:eastAsia="Times New Roman" w:hAnsiTheme="minorHAnsi" w:cstheme="minorHAnsi"/>
          <w:szCs w:val="20"/>
        </w:rPr>
        <w:t xml:space="preserve"> </w:t>
      </w:r>
      <w:r w:rsidR="004B5652" w:rsidRPr="009E064B">
        <w:rPr>
          <w:rFonts w:asciiTheme="minorHAnsi" w:eastAsia="Times New Roman" w:hAnsiTheme="minorHAnsi" w:cstheme="minorHAnsi"/>
          <w:szCs w:val="20"/>
        </w:rPr>
        <w:br w:type="page"/>
      </w:r>
    </w:p>
    <w:p w14:paraId="060CE272" w14:textId="0C4EDD0F"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8)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program szkolenia w zakresie bezpieczeństwa zapewniający personelowi zaangażowanemu w użytkowanie, obsługę ratowniczą i gaśniczą, a takż</w:t>
      </w:r>
      <w:r w:rsidR="00C73CC4" w:rsidRPr="009E064B">
        <w:rPr>
          <w:rFonts w:asciiTheme="minorHAnsi" w:eastAsia="Times New Roman" w:hAnsiTheme="minorHAnsi" w:cstheme="minorHAnsi"/>
          <w:szCs w:val="20"/>
        </w:rPr>
        <w:t>e obsługę techniczną lotniska i </w:t>
      </w:r>
      <w:r w:rsidR="00DE05DC" w:rsidRPr="009E064B">
        <w:rPr>
          <w:rFonts w:asciiTheme="minorHAnsi" w:eastAsia="Times New Roman" w:hAnsiTheme="minorHAnsi" w:cstheme="minorHAnsi"/>
          <w:szCs w:val="20"/>
        </w:rPr>
        <w:t>zarządzanie nim, odpowiednie przeszkolenie i kompetencje do wypeł</w:t>
      </w:r>
      <w:r w:rsidR="008E0210" w:rsidRPr="009E064B">
        <w:rPr>
          <w:rFonts w:asciiTheme="minorHAnsi" w:eastAsia="Times New Roman" w:hAnsiTheme="minorHAnsi" w:cstheme="minorHAnsi"/>
          <w:szCs w:val="20"/>
        </w:rPr>
        <w:t xml:space="preserve">niania </w:t>
      </w:r>
      <w:r w:rsidR="00DE05DC" w:rsidRPr="009E064B">
        <w:rPr>
          <w:rFonts w:asciiTheme="minorHAnsi" w:eastAsia="Times New Roman" w:hAnsiTheme="minorHAnsi" w:cstheme="minorHAnsi"/>
          <w:szCs w:val="20"/>
        </w:rPr>
        <w:t>obowiązków związanych z systemem zarzą</w:t>
      </w:r>
      <w:r w:rsidR="008E0210" w:rsidRPr="009E064B">
        <w:rPr>
          <w:rFonts w:asciiTheme="minorHAnsi" w:eastAsia="Times New Roman" w:hAnsiTheme="minorHAnsi" w:cstheme="minorHAnsi"/>
          <w:szCs w:val="20"/>
        </w:rPr>
        <w:t xml:space="preserve">dzania </w:t>
      </w:r>
      <w:r w:rsidR="00DE05DC" w:rsidRPr="009E064B">
        <w:rPr>
          <w:rFonts w:asciiTheme="minorHAnsi" w:eastAsia="Times New Roman" w:hAnsiTheme="minorHAnsi" w:cstheme="minorHAnsi"/>
          <w:szCs w:val="20"/>
        </w:rPr>
        <w:t>bezpieczeństwem;</w:t>
      </w:r>
    </w:p>
    <w:p w14:paraId="3757D9C0" w14:textId="06B89399"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9)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formalne środki służące do komunikacji w zakresie bezpieczeństwa, dzięki którym personel ma pełną świadomość funkcjonowania systemu zarządzania bezpieczeństwem, pozwalające na przekazywanie krytycznych informacji w zakresie bezpieczeństwa oraz wyjaśniające przyczyny podejmowania poszczególnych działań z zakresu bezpieczeństwa oraz wprowadzania i zmiany procedur bezpieczeństwa;</w:t>
      </w:r>
    </w:p>
    <w:p w14:paraId="40496647" w14:textId="4327E465"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10)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koordynację działania systemu zarządzania bezpi</w:t>
      </w:r>
      <w:r w:rsidRPr="009E064B">
        <w:rPr>
          <w:rFonts w:asciiTheme="minorHAnsi" w:eastAsia="Times New Roman" w:hAnsiTheme="minorHAnsi" w:cstheme="minorHAnsi"/>
          <w:szCs w:val="20"/>
        </w:rPr>
        <w:t>eczeństwem z planem działania w </w:t>
      </w:r>
      <w:r w:rsidR="00DE05DC" w:rsidRPr="009E064B">
        <w:rPr>
          <w:rFonts w:asciiTheme="minorHAnsi" w:eastAsia="Times New Roman" w:hAnsiTheme="minorHAnsi" w:cstheme="minorHAnsi"/>
          <w:szCs w:val="20"/>
        </w:rPr>
        <w:t>sytuacji zagrożenia dla lotniska, a także koordynację planu działania w sytuacji zagrożenia dla lotniska z planami działania w sytuacji zagrożenia organizacji, z którymi operator musi współdziałać podczas zapewniania służb lotniskowych; oraz</w:t>
      </w:r>
    </w:p>
    <w:p w14:paraId="5AE58F3A" w14:textId="5A769EE8" w:rsidR="00DC7DA6" w:rsidRPr="009E064B" w:rsidRDefault="00371A8B" w:rsidP="004B5652">
      <w:pPr>
        <w:tabs>
          <w:tab w:val="left" w:pos="1134"/>
        </w:tabs>
        <w:ind w:left="1134"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1073F5" w:rsidRPr="009E064B">
        <w:rPr>
          <w:rFonts w:asciiTheme="minorHAnsi" w:eastAsia="Times New Roman" w:hAnsiTheme="minorHAnsi" w:cstheme="minorHAnsi"/>
          <w:szCs w:val="20"/>
        </w:rPr>
        <w:t xml:space="preserve">11) </w:t>
      </w:r>
      <w:r w:rsidR="00BF2E35" w:rsidRPr="009E064B">
        <w:rPr>
          <w:rFonts w:asciiTheme="minorHAnsi" w:eastAsia="Times New Roman" w:hAnsiTheme="minorHAnsi" w:cstheme="minorHAnsi"/>
          <w:szCs w:val="20"/>
        </w:rPr>
        <w:tab/>
      </w:r>
      <w:r w:rsidR="008E0210" w:rsidRPr="009E064B">
        <w:rPr>
          <w:rFonts w:asciiTheme="minorHAnsi" w:eastAsia="Times New Roman" w:hAnsiTheme="minorHAnsi" w:cstheme="minorHAnsi"/>
          <w:szCs w:val="20"/>
        </w:rPr>
        <w:t>formalny</w:t>
      </w:r>
      <w:r w:rsidR="00DE05DC" w:rsidRPr="009E064B">
        <w:rPr>
          <w:rFonts w:asciiTheme="minorHAnsi" w:eastAsia="Times New Roman" w:hAnsiTheme="minorHAnsi" w:cstheme="minorHAnsi"/>
          <w:szCs w:val="20"/>
        </w:rPr>
        <w:t xml:space="preserve"> proces </w:t>
      </w:r>
      <w:r w:rsidR="008E0210" w:rsidRPr="009E064B">
        <w:rPr>
          <w:rFonts w:asciiTheme="minorHAnsi" w:eastAsia="Times New Roman" w:hAnsiTheme="minorHAnsi" w:cstheme="minorHAnsi"/>
          <w:szCs w:val="20"/>
        </w:rPr>
        <w:t>monitorowania</w:t>
      </w:r>
      <w:r w:rsidR="00DE05DC" w:rsidRPr="009E064B">
        <w:rPr>
          <w:rFonts w:asciiTheme="minorHAnsi" w:eastAsia="Times New Roman" w:hAnsiTheme="minorHAnsi" w:cstheme="minorHAnsi"/>
          <w:szCs w:val="20"/>
        </w:rPr>
        <w:t xml:space="preserve"> spełnienia przez daną organizację odpowiednich</w:t>
      </w:r>
      <w:r w:rsidR="008E0210" w:rsidRPr="009E064B">
        <w:rPr>
          <w:rFonts w:asciiTheme="minorHAnsi" w:eastAsia="Times New Roman" w:hAnsiTheme="minorHAnsi" w:cstheme="minorHAnsi"/>
          <w:szCs w:val="20"/>
        </w:rPr>
        <w:t xml:space="preserve"> </w:t>
      </w:r>
      <w:r w:rsidR="00DE05DC" w:rsidRPr="009E064B">
        <w:rPr>
          <w:rFonts w:asciiTheme="minorHAnsi" w:eastAsia="Times New Roman" w:hAnsiTheme="minorHAnsi" w:cstheme="minorHAnsi"/>
          <w:szCs w:val="20"/>
        </w:rPr>
        <w:t>wymagań.</w:t>
      </w:r>
    </w:p>
    <w:p w14:paraId="33B49151" w14:textId="0D8D5398" w:rsidR="00DC7DA6" w:rsidRPr="009E064B" w:rsidRDefault="00371A8B" w:rsidP="004B5652">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dokumentuje wszystkie kluczowe procesy systemu zarządzania.</w:t>
      </w:r>
    </w:p>
    <w:p w14:paraId="3137A3D2" w14:textId="675DC72E" w:rsidR="00DC7DA6" w:rsidRPr="009E064B" w:rsidRDefault="00371A8B" w:rsidP="004B5652">
      <w:pPr>
        <w:pStyle w:val="Tekstpodstawowy"/>
        <w:tabs>
          <w:tab w:val="left" w:pos="567"/>
        </w:tabs>
        <w:ind w:left="567"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System zarządzania musi być proporcjonalny do wielkości or</w:t>
      </w:r>
      <w:r w:rsidR="00CE4EDD" w:rsidRPr="009E064B">
        <w:rPr>
          <w:rFonts w:asciiTheme="minorHAnsi" w:hAnsiTheme="minorHAnsi" w:cstheme="minorHAnsi"/>
          <w:sz w:val="22"/>
          <w:szCs w:val="20"/>
        </w:rPr>
        <w:t>ganizacji i jej działalności, z </w:t>
      </w:r>
      <w:r w:rsidR="00DE05DC" w:rsidRPr="009E064B">
        <w:rPr>
          <w:rFonts w:asciiTheme="minorHAnsi" w:hAnsiTheme="minorHAnsi" w:cstheme="minorHAnsi"/>
          <w:sz w:val="22"/>
          <w:szCs w:val="20"/>
        </w:rPr>
        <w:t>uwzględnieniem zagrożeń i</w:t>
      </w:r>
      <w:r w:rsidR="00BF2E35" w:rsidRPr="009E064B">
        <w:rPr>
          <w:rFonts w:asciiTheme="minorHAnsi" w:hAnsiTheme="minorHAnsi" w:cstheme="minorHAnsi"/>
          <w:sz w:val="22"/>
          <w:szCs w:val="20"/>
        </w:rPr>
        <w:t xml:space="preserve"> </w:t>
      </w:r>
      <w:r w:rsidR="00DE05DC" w:rsidRPr="009E064B">
        <w:rPr>
          <w:rFonts w:asciiTheme="minorHAnsi" w:hAnsiTheme="minorHAnsi" w:cstheme="minorHAnsi"/>
          <w:sz w:val="22"/>
          <w:szCs w:val="20"/>
        </w:rPr>
        <w:t>ryzyka charakterystycznych dla tej działalności.</w:t>
      </w:r>
    </w:p>
    <w:p w14:paraId="3E948F7F" w14:textId="545B190F"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1073F5"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Jeżeli operator lotniska posiada również certyfikat umożliwiający zapewnianie służb żeglugi powietrznej, operator ten zapewnia, by system zarządzania obejmował wszystkie działania objęte zakresem posiadanych przez niego certyfikatów.</w:t>
      </w:r>
    </w:p>
    <w:p w14:paraId="6451DDAA" w14:textId="59949F87" w:rsidR="00092CBF" w:rsidRPr="009E064B" w:rsidRDefault="004D6FC2" w:rsidP="00133B99">
      <w:pPr>
        <w:pStyle w:val="Nagwek5"/>
      </w:pPr>
      <w:bookmarkStart w:id="318" w:name="_AMC1_ADR.OR.D.005(b)(1)_"/>
      <w:bookmarkStart w:id="319" w:name="_Toc492024599"/>
      <w:bookmarkStart w:id="320" w:name="_Toc12532687"/>
      <w:bookmarkEnd w:id="318"/>
      <w:r w:rsidRPr="009E064B">
        <w:t xml:space="preserve">AMC1 ADR.OR.D.005(b)(1)     </w:t>
      </w:r>
      <w:r w:rsidR="00092CBF" w:rsidRPr="009E064B">
        <w:t>System zarządzania</w:t>
      </w:r>
      <w:bookmarkEnd w:id="319"/>
      <w:bookmarkEnd w:id="320"/>
    </w:p>
    <w:p w14:paraId="33B1BD7E" w14:textId="3382FEE2"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4BF527B"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SYSTEM ZARZĄDZANIA BEZPIECZEŃSTWEM</w:t>
      </w:r>
    </w:p>
    <w:p w14:paraId="7ACC0C00" w14:textId="647687A5"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System zarządzania bezpieczeństwem operatora lotniska powinien obejmować bezpieczeństwo poprzez ustanowienie struktury organizacyjnej do zarządzania bezpieczeństwem, proporcjonalnej i odpowiedniej do wielkości operatora lotniska, oraz charakteru i rodzaju wykonywanych operacji. Struktura organizacyjna powinna zawierać Komisję ds. Przeglądu Bezpieczeństwa oraz, w zależności od jej złożoności i struktury, Biuro Zarządzania Bezpieczeństwem w cel</w:t>
      </w:r>
      <w:r w:rsidR="00033143" w:rsidRPr="009E064B">
        <w:rPr>
          <w:rFonts w:asciiTheme="minorHAnsi" w:eastAsia="Calibri" w:hAnsiTheme="minorHAnsi" w:cstheme="minorHAnsi"/>
        </w:rPr>
        <w:t>u wsparcia pracy kierownika ds. </w:t>
      </w:r>
      <w:r w:rsidRPr="009E064B">
        <w:rPr>
          <w:rFonts w:asciiTheme="minorHAnsi" w:eastAsia="Calibri" w:hAnsiTheme="minorHAnsi" w:cstheme="minorHAnsi"/>
        </w:rPr>
        <w:t xml:space="preserve">bezpieczeństwa, zgodnie z </w:t>
      </w:r>
      <w:r w:rsidR="00B06AC8" w:rsidRPr="009E064B">
        <w:rPr>
          <w:rFonts w:asciiTheme="minorHAnsi" w:eastAsia="Calibri" w:hAnsiTheme="minorHAnsi" w:cstheme="minorHAnsi"/>
        </w:rPr>
        <w:t>przepisem w lit</w:t>
      </w:r>
      <w:r w:rsidR="00B06AC8" w:rsidRPr="009E064B">
        <w:rPr>
          <w:rFonts w:asciiTheme="minorHAnsi" w:eastAsia="Calibri" w:hAnsiTheme="minorHAnsi" w:cstheme="minorHAnsi"/>
          <w:sz w:val="24"/>
        </w:rPr>
        <w:t>. </w:t>
      </w:r>
      <w:r w:rsidRPr="009E064B">
        <w:rPr>
          <w:rFonts w:asciiTheme="minorHAnsi" w:eastAsia="Calibri" w:hAnsiTheme="minorHAnsi" w:cstheme="minorHAnsi"/>
        </w:rPr>
        <w:t>(a) i (b) poniżej:</w:t>
      </w:r>
    </w:p>
    <w:p w14:paraId="00F55B9B"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Biuro Zarządzania Bezpieczeństwem</w:t>
      </w:r>
    </w:p>
    <w:p w14:paraId="5FC809AC" w14:textId="1A037402"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Kierownik ds. bezpieczeństwa (patrz </w:t>
      </w:r>
      <w:hyperlink w:anchor="_ADR.OR.D.015__" w:history="1">
        <w:r w:rsidRPr="009E064B">
          <w:rPr>
            <w:rStyle w:val="Hipercze"/>
            <w:rFonts w:asciiTheme="minorHAnsi" w:eastAsia="Calibri" w:hAnsiTheme="minorHAnsi" w:cstheme="minorHAnsi"/>
          </w:rPr>
          <w:t>ADR.OR.D.015</w:t>
        </w:r>
      </w:hyperlink>
      <w:r w:rsidRPr="009E064B">
        <w:rPr>
          <w:rFonts w:asciiTheme="minorHAnsi" w:eastAsia="Calibri" w:hAnsiTheme="minorHAnsi" w:cstheme="minorHAnsi"/>
        </w:rPr>
        <w:t xml:space="preserve"> i </w:t>
      </w:r>
      <w:hyperlink w:anchor="_AMC1_ADR.OR.D.015(c)_" w:history="1">
        <w:r w:rsidRPr="009E064B">
          <w:rPr>
            <w:rStyle w:val="Hipercze"/>
            <w:rFonts w:asciiTheme="minorHAnsi" w:eastAsia="Calibri" w:hAnsiTheme="minorHAnsi" w:cstheme="minorHAnsi"/>
          </w:rPr>
          <w:t>AMC1</w:t>
        </w:r>
        <w:r w:rsidR="008D34F8" w:rsidRPr="009E064B">
          <w:rPr>
            <w:rStyle w:val="Hipercze"/>
            <w:rFonts w:asciiTheme="minorHAnsi" w:eastAsia="Calibri" w:hAnsiTheme="minorHAnsi" w:cstheme="minorHAnsi"/>
          </w:rPr>
          <w:t> </w:t>
        </w:r>
        <w:r w:rsidRPr="009E064B">
          <w:rPr>
            <w:rStyle w:val="Hipercze"/>
            <w:rFonts w:asciiTheme="minorHAnsi" w:eastAsia="Calibri" w:hAnsiTheme="minorHAnsi" w:cstheme="minorHAnsi"/>
          </w:rPr>
          <w:t>ADR.OR.D.015(c)</w:t>
        </w:r>
      </w:hyperlink>
      <w:r w:rsidRPr="009E064B">
        <w:rPr>
          <w:rFonts w:asciiTheme="minorHAnsi" w:eastAsia="Calibri" w:hAnsiTheme="minorHAnsi" w:cstheme="minorHAnsi"/>
        </w:rPr>
        <w:t>) powinien być odpowiedzialny za działanie Biura Zarządzania Bezpieczeństwem, które powinno być niezależne i neutralne w odniesieniu do procesów i podejmowanych decyzji w sprawie świadczenia usług przez kierowników liniowych jednostek operacyjnych.</w:t>
      </w:r>
    </w:p>
    <w:p w14:paraId="1827E674"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Biuro Zarządzania Bezpieczeństwem powinno pełnić funkcję:</w:t>
      </w:r>
    </w:p>
    <w:p w14:paraId="4DC09C59"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zarządzania i nadzorowania systemu identyfikacji zagrożeń;</w:t>
      </w:r>
    </w:p>
    <w:p w14:paraId="713AE29D"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monitorowania skuteczności działań w zakresie bezpieczeństwa jednostek operacyjnych bezpośrednio zaangażowanych w operacje lotniskowe;</w:t>
      </w:r>
    </w:p>
    <w:p w14:paraId="7B148A88"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doradzania kierownictwu wyższego szczebla w sprawach zarządzania bezpieczeństwem; oraz</w:t>
      </w:r>
    </w:p>
    <w:p w14:paraId="5E137A04"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wsparcia kierowników liniowych w kwestiach zarządzania bezpieczeństwem.</w:t>
      </w:r>
    </w:p>
    <w:p w14:paraId="2C3CD9F9" w14:textId="4AF6F871"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Operator zarządzający kilkoma lotniskami powinien albo utworzyć centralne Biuro Zarządzania Bezpieczeństwem i odpowiednie wydziały</w:t>
      </w:r>
      <w:r w:rsidR="00CE4EDD" w:rsidRPr="009E064B">
        <w:rPr>
          <w:rFonts w:asciiTheme="minorHAnsi" w:eastAsia="Calibri" w:hAnsiTheme="minorHAnsi" w:cstheme="minorHAnsi"/>
        </w:rPr>
        <w:t> </w:t>
      </w:r>
      <w:r w:rsidRPr="009E064B">
        <w:rPr>
          <w:rFonts w:asciiTheme="minorHAnsi" w:eastAsia="Calibri" w:hAnsiTheme="minorHAnsi" w:cstheme="minorHAnsi"/>
        </w:rPr>
        <w:t>/</w:t>
      </w:r>
      <w:r w:rsidR="00CE4EDD" w:rsidRPr="009E064B">
        <w:rPr>
          <w:rFonts w:asciiTheme="minorHAnsi" w:eastAsia="Calibri" w:hAnsiTheme="minorHAnsi" w:cstheme="minorHAnsi"/>
        </w:rPr>
        <w:t> </w:t>
      </w:r>
      <w:r w:rsidRPr="009E064B">
        <w:rPr>
          <w:rFonts w:asciiTheme="minorHAnsi" w:eastAsia="Calibri" w:hAnsiTheme="minorHAnsi" w:cstheme="minorHAnsi"/>
        </w:rPr>
        <w:t>funkcje bezpieczeństwa na wszystkich lotniskach albo osobne Biura Zarządzania Bezpieczeństwem na każdym z lotnisk. Należy dokonać ustaleń organizacyjnych w celu zapewnienia ciągłego przepływu informacji i odpowiedniej koordynacji.</w:t>
      </w:r>
    </w:p>
    <w:p w14:paraId="3582FC3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Komisja ds. Przeglądu Bezpieczeństwa</w:t>
      </w:r>
    </w:p>
    <w:p w14:paraId="7D12FD9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Komisja ds. Przeglądu Bezpieczeństwa powinna być komisją wysokiego szczebla rozpatrującą sprawy bezpieczeństwa strategicznego leżące w zakresie odpowiedzialności kierownika odpowiedzialnego.</w:t>
      </w:r>
    </w:p>
    <w:p w14:paraId="5C972607"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Komisja ds. Przeglądu Bezpieczeństwa powinna być kierowana przez kierownika odpowiedzialnego i składać się z szefów obszarów funkcjonalnych.</w:t>
      </w:r>
    </w:p>
    <w:p w14:paraId="2D9ABFC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Komisja ds. Przeglądu Bezpieczeństwa powinna monitorować:</w:t>
      </w:r>
    </w:p>
    <w:p w14:paraId="24BBD19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skuteczność działań w zakresie bezpieczeństwa w odniesieniu do polityki i celów bezpieczeństwa;</w:t>
      </w:r>
    </w:p>
    <w:p w14:paraId="5465673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czy wszelkie działania z zakresu bezpieczeństwa są podejmowane w odpowiednim czasie, oraz</w:t>
      </w:r>
    </w:p>
    <w:p w14:paraId="5134F055"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skuteczność systemu zarządzania bezpieczeństwem w organizacji.</w:t>
      </w:r>
    </w:p>
    <w:p w14:paraId="76F4E0C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Komisja ds. Przeglądu Bezpieczeństwa powinna zapewnić, że przeznaczone są odpowiednie środki na osiągnięcie ustalonej skuteczności działań w zakresie bezpieczeństwa.</w:t>
      </w:r>
    </w:p>
    <w:p w14:paraId="2B60A58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Kierownik ds. bezpieczeństwa lub jakakolwiek inna odpowiednia osoba może uczestniczyć, w stosownych przypadkach, w spotkaniach Komisji ds. Przeglądu Bezpieczeństwa. Może on/ona przekazywać kierownikowi odpowiedzialnemu wszystkie informacje, jeśli to konieczne, aby umożliwić podejmowanie decyzji w oparciu o dane dotyczące bezpieczeństwa.</w:t>
      </w:r>
    </w:p>
    <w:p w14:paraId="35BA5D72" w14:textId="64ABBE74"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 xml:space="preserve">Operator lotniska zarządzający kilkoma lotniskami powinien albo ustanowić centralną Komisję ds. Przeglądu Bezpieczeństwa, lub oddzielne Komisje ds. Przeglądu Bezpieczeństwa na każdym z lotnisk lub dla każdej grupy lotnisk. W przypadku istnienia centralnej Komisji ds. Przeglądu Bezpieczeństwa lub grupowych Komisji ds. Przeglądu Bezpieczeństwa, operator lotniska powinien zapewnić, aby wszystkie lotniska były reprezentowane w Komisji ds. Przeglądu Bezpieczeństwa na odpowiednim poziomie zarządzania. Należy dokonać ustaleń w celu zapewnienia </w:t>
      </w:r>
      <w:r w:rsidR="00CE4EDD" w:rsidRPr="009E064B">
        <w:rPr>
          <w:rFonts w:asciiTheme="minorHAnsi" w:eastAsia="Calibri" w:hAnsiTheme="minorHAnsi" w:cstheme="minorHAnsi"/>
        </w:rPr>
        <w:t>ciągłego przepływu informacji i </w:t>
      </w:r>
      <w:r w:rsidRPr="009E064B">
        <w:rPr>
          <w:rFonts w:asciiTheme="minorHAnsi" w:eastAsia="Calibri" w:hAnsiTheme="minorHAnsi" w:cstheme="minorHAnsi"/>
        </w:rPr>
        <w:t>odpowiedniej koordynacji.</w:t>
      </w:r>
    </w:p>
    <w:p w14:paraId="499FA37F" w14:textId="3C6A270A" w:rsidR="00834C69"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W przypadku mniej złożonych organizacji/operacji lotniskowych, operator lotniska powinien wyznaczyć osobę, która pełni rolę kierownika ds. bezpieczeństwa i jest odpowiedzialna za koordynację systemu zarządzania bezpieczeństwem (patrz </w:t>
      </w:r>
      <w:hyperlink w:anchor="_ADR.AR.C.015__" w:history="1">
        <w:r w:rsidRPr="009E064B">
          <w:rPr>
            <w:rStyle w:val="Hipercze"/>
            <w:rFonts w:asciiTheme="minorHAnsi" w:eastAsia="Calibri" w:hAnsiTheme="minorHAnsi" w:cstheme="minorHAnsi"/>
          </w:rPr>
          <w:t>ADR.OR.D.015</w:t>
        </w:r>
      </w:hyperlink>
      <w:r w:rsidRPr="009E064B">
        <w:rPr>
          <w:rFonts w:asciiTheme="minorHAnsi" w:eastAsia="Calibri" w:hAnsiTheme="minorHAnsi" w:cstheme="minorHAnsi"/>
        </w:rPr>
        <w:t xml:space="preserve"> i </w:t>
      </w:r>
      <w:hyperlink w:anchor="_AMC1_ADR.OR.D.015(c)_" w:history="1">
        <w:r w:rsidRPr="009E064B">
          <w:rPr>
            <w:rStyle w:val="Hipercze"/>
            <w:rFonts w:asciiTheme="minorHAnsi" w:eastAsia="Calibri" w:hAnsiTheme="minorHAnsi" w:cstheme="minorHAnsi"/>
          </w:rPr>
          <w:t>AMC1 ADR.OR.D.015(c)</w:t>
        </w:r>
      </w:hyperlink>
      <w:r w:rsidRPr="009E064B">
        <w:rPr>
          <w:rFonts w:asciiTheme="minorHAnsi" w:eastAsia="Calibri" w:hAnsiTheme="minorHAnsi" w:cstheme="minorHAnsi"/>
        </w:rPr>
        <w:t>).</w:t>
      </w:r>
    </w:p>
    <w:p w14:paraId="0C502B1D" w14:textId="58E7E18D" w:rsidR="00092CBF" w:rsidRPr="009E064B" w:rsidRDefault="004D6FC2" w:rsidP="00133B99">
      <w:pPr>
        <w:pStyle w:val="Nagwek6"/>
      </w:pPr>
      <w:bookmarkStart w:id="321" w:name="_Toc492024600"/>
      <w:bookmarkStart w:id="322" w:name="_Toc12532688"/>
      <w:r w:rsidRPr="009E064B">
        <w:t xml:space="preserve">GM1 ADR.OR.D.005(b)(1)     </w:t>
      </w:r>
      <w:r w:rsidR="00092CBF" w:rsidRPr="009E064B">
        <w:t>System zarządzania</w:t>
      </w:r>
      <w:bookmarkEnd w:id="321"/>
      <w:bookmarkEnd w:id="322"/>
    </w:p>
    <w:p w14:paraId="7A92A131" w14:textId="144273B7"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63ED4B4" w14:textId="77777777" w:rsidR="00092CBF" w:rsidRPr="009E064B" w:rsidRDefault="00092CBF" w:rsidP="00B06A9A">
      <w:pPr>
        <w:widowControl/>
        <w:jc w:val="left"/>
        <w:rPr>
          <w:rFonts w:asciiTheme="minorHAnsi" w:eastAsia="Calibri" w:hAnsiTheme="minorHAnsi" w:cstheme="minorHAnsi"/>
        </w:rPr>
      </w:pPr>
      <w:r w:rsidRPr="009E064B">
        <w:rPr>
          <w:rFonts w:asciiTheme="minorHAnsi" w:eastAsia="Calibri" w:hAnsiTheme="minorHAnsi" w:cstheme="minorHAnsi"/>
        </w:rPr>
        <w:t>KOMISJA DS. PRZEGLĄDU BEZPIECZEŃSTWA ― GRUPA REAGOWANIA W SPRAWACH BEZPIECZEŃSTWA</w:t>
      </w:r>
    </w:p>
    <w:p w14:paraId="1372D9A1"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Komisja ds. Przeglądu Bezpieczeństwa</w:t>
      </w:r>
    </w:p>
    <w:p w14:paraId="3813BFF8" w14:textId="33B5455D"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W zależności od wielkości organizacji, rodzaju i złożoności prowadzonej działalności, obowiązki Komisji ds. Przeglądu Bezpieczeństwa mogą być zawarte w innych komisjach</w:t>
      </w:r>
      <w:r w:rsidR="00CE4EDD" w:rsidRPr="009E064B">
        <w:rPr>
          <w:rFonts w:asciiTheme="minorHAnsi" w:eastAsia="Calibri" w:hAnsiTheme="minorHAnsi" w:cstheme="minorHAnsi"/>
        </w:rPr>
        <w:t> </w:t>
      </w:r>
      <w:r w:rsidRPr="009E064B">
        <w:rPr>
          <w:rFonts w:asciiTheme="minorHAnsi" w:eastAsia="Calibri" w:hAnsiTheme="minorHAnsi" w:cstheme="minorHAnsi"/>
        </w:rPr>
        <w:t>/</w:t>
      </w:r>
      <w:r w:rsidR="00CE4EDD" w:rsidRPr="009E064B">
        <w:rPr>
          <w:rFonts w:asciiTheme="minorHAnsi" w:eastAsia="Calibri" w:hAnsiTheme="minorHAnsi" w:cstheme="minorHAnsi"/>
        </w:rPr>
        <w:t> </w:t>
      </w:r>
      <w:r w:rsidRPr="009E064B">
        <w:rPr>
          <w:rFonts w:asciiTheme="minorHAnsi" w:eastAsia="Calibri" w:hAnsiTheme="minorHAnsi" w:cstheme="minorHAnsi"/>
        </w:rPr>
        <w:t>komitetach wysokiego szczebla organizacji.</w:t>
      </w:r>
    </w:p>
    <w:p w14:paraId="68B855B2"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Grupa reagowania w sprawach bezpieczeństwa</w:t>
      </w:r>
    </w:p>
    <w:p w14:paraId="02BC8E3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Grupa reagowania w sprawach bezpieczeństwa może być utworzona, jako grupa stała, lub jako grupa powoływana ad hoc do pomocy lub działania w imieniu Komisji ds. Przeglądu Bezpieczeństwa.</w:t>
      </w:r>
    </w:p>
    <w:p w14:paraId="16A9AEAD"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 zależności od zakresu zadań i wymaganej wiedzy specjalistycznej, może być utworzona więcej niż jedna Grupa reagowania w sprawach bezpieczeństwa.</w:t>
      </w:r>
    </w:p>
    <w:p w14:paraId="069EE7A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Grupa reagowania w sprawach bezpieczeństwa powinna składać się z menedżerów, kierowników i pracowników obszarów operacyjnych, powinna składać raporty do Komisji ds. Przeglądu Bezpieczeństwa i przyjmować od niej strategiczne kierunki działania.</w:t>
      </w:r>
    </w:p>
    <w:p w14:paraId="192918F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Grupa reagowania w sprawach bezpieczeństwa powinna:</w:t>
      </w:r>
    </w:p>
    <w:p w14:paraId="58AF2015"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monitorować bezpieczeństwo operacyjne;</w:t>
      </w:r>
    </w:p>
    <w:p w14:paraId="516E9E7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rozwiązywać zidentyfikowane ryzyka (zagrożenia);</w:t>
      </w:r>
    </w:p>
    <w:p w14:paraId="1BC331F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dokonywać oceny wpływu na bezpieczeństwo służb operacyjnych;</w:t>
      </w:r>
    </w:p>
    <w:p w14:paraId="2A5FF984"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zapewnić, że działania z zakresu bezpieczeństwa są realizowane w uzgodnionych terminach.</w:t>
      </w:r>
    </w:p>
    <w:p w14:paraId="3EF4064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Grupa reagowania w sprawach bezpieczeństwa powinna dokonywać przeglądu skuteczności wcześniejszych zaleceń bezpieczeństwa i działań promujących bezpieczeństwo.</w:t>
      </w:r>
    </w:p>
    <w:p w14:paraId="32A2D7DF" w14:textId="6D7791BB" w:rsidR="00092CBF" w:rsidRPr="009E064B" w:rsidRDefault="004D6FC2" w:rsidP="00133B99">
      <w:pPr>
        <w:pStyle w:val="Nagwek6"/>
      </w:pPr>
      <w:bookmarkStart w:id="323" w:name="_Toc492024601"/>
      <w:bookmarkStart w:id="324" w:name="_Toc12532689"/>
      <w:r w:rsidRPr="009E064B">
        <w:t xml:space="preserve">GM2 ADR.OR.D.005(b)(1)     </w:t>
      </w:r>
      <w:r w:rsidR="00092CBF" w:rsidRPr="009E064B">
        <w:t>System zarządzania</w:t>
      </w:r>
      <w:bookmarkEnd w:id="323"/>
      <w:bookmarkEnd w:id="324"/>
    </w:p>
    <w:p w14:paraId="2C405151" w14:textId="6A4FB6B7"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A7C58F5" w14:textId="77777777" w:rsidR="00092CBF" w:rsidRPr="009E064B" w:rsidRDefault="00092CBF" w:rsidP="00B06A9A">
      <w:pPr>
        <w:widowControl/>
        <w:jc w:val="left"/>
        <w:rPr>
          <w:rFonts w:asciiTheme="minorHAnsi" w:eastAsia="Calibri" w:hAnsiTheme="minorHAnsi" w:cstheme="minorHAnsi"/>
        </w:rPr>
      </w:pPr>
      <w:r w:rsidRPr="009E064B">
        <w:rPr>
          <w:rFonts w:asciiTheme="minorHAnsi" w:eastAsia="Calibri" w:hAnsiTheme="minorHAnsi" w:cstheme="minorHAnsi"/>
        </w:rPr>
        <w:t>BIURO ZARZĄDZANIA BEZPIECZEŃSTWEM ― KOMISJA DS. PRZEGLĄDU BEZPIECZEŃSTWA ― GRUPA REAGOWANIA W SPRAWACH BEZPIECZEŃSTWA</w:t>
      </w:r>
    </w:p>
    <w:p w14:paraId="4F6D824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Dla Biura Zarządzania Bezpieczeństwa, Komisji ds. Przeglądu Bezpieczeństwa oraz Grupy reagowania w sprawach bezpieczeństwa mogą być używane różne nazwy.</w:t>
      </w:r>
    </w:p>
    <w:p w14:paraId="372AA386" w14:textId="50B5F3F3" w:rsidR="00092CBF" w:rsidRPr="009E064B" w:rsidRDefault="004D6FC2" w:rsidP="00133B99">
      <w:pPr>
        <w:pStyle w:val="Nagwek5"/>
      </w:pPr>
      <w:bookmarkStart w:id="325" w:name="_Toc492024602"/>
      <w:bookmarkStart w:id="326" w:name="_Toc12532690"/>
      <w:r w:rsidRPr="009E064B">
        <w:t xml:space="preserve">AMC1 ADR.OR.D.005(b)(2)     </w:t>
      </w:r>
      <w:r w:rsidR="00092CBF" w:rsidRPr="009E064B">
        <w:t>System zarządzania</w:t>
      </w:r>
      <w:bookmarkEnd w:id="325"/>
      <w:bookmarkEnd w:id="326"/>
    </w:p>
    <w:p w14:paraId="79D01016" w14:textId="618EEC96"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E0615FA"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POLITYKA BEZPIECZEŃSTWA</w:t>
      </w:r>
    </w:p>
    <w:p w14:paraId="0A85E693"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Polityka bezpieczeństwa powinna:</w:t>
      </w:r>
    </w:p>
    <w:p w14:paraId="4DEB453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być aprobowana przez kierownika odpowiedzialnego;</w:t>
      </w:r>
    </w:p>
    <w:p w14:paraId="55CAD7B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jasno określać bezpieczeństwo, jako najwyższy priorytet organizacyjny, stojący ponad naciskami handlowymi, operacyjnymi, środowiskowymi czy społecznymi;</w:t>
      </w:r>
    </w:p>
    <w:p w14:paraId="61C39DE4"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odzwierciedlać zobowiązania organizacji dotyczące bezpieczeństwa i jej proaktywnego i systematycznego zarządzania;</w:t>
      </w:r>
    </w:p>
    <w:p w14:paraId="288D1610"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być rozpowszechniana w całej organizacji z widocznym poparciem kierownika odpowiedzialnego;</w:t>
      </w:r>
    </w:p>
    <w:p w14:paraId="47941C4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zawierać zasady zgłaszania spraw związanych z bezpieczeństwem; oraz</w:t>
      </w:r>
    </w:p>
    <w:p w14:paraId="180EDAE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być okresowo przeglądana w celu zapewnienia, że jest nadal aktualna i odpowiednia dla organizacji.</w:t>
      </w:r>
    </w:p>
    <w:p w14:paraId="0CF02EA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Polityka bezpieczeństwa powinna:</w:t>
      </w:r>
    </w:p>
    <w:p w14:paraId="753A7DA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zawierać zobowiązanie do:</w:t>
      </w:r>
    </w:p>
    <w:p w14:paraId="5FF275D5"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dążenia do najwyższych standardów bezpieczeństwa;</w:t>
      </w:r>
    </w:p>
    <w:p w14:paraId="739F5F64"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przestrzegania wszystkich obowiązujących wymogów prawnych, spełniania wszystkich obowiązujących norm oraz uwzględniania najlepszych praktyk;</w:t>
      </w:r>
    </w:p>
    <w:p w14:paraId="441B789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zapewnienia odpowiednich środków;</w:t>
      </w:r>
    </w:p>
    <w:p w14:paraId="6CED0241"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wzmocnienia kwestii bezpieczeństwa, jako jednego z podstawowych obowiązków wszystkich menedżerów i pracowników;</w:t>
      </w:r>
    </w:p>
    <w:p w14:paraId="5B7C5E90"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zawierać procedury zgłaszania spraw związanych z bezpieczeństwem;</w:t>
      </w:r>
    </w:p>
    <w:p w14:paraId="4D44AA54" w14:textId="47069448"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 odniesieniu do zasady „</w:t>
      </w:r>
      <w:r w:rsidR="00033143" w:rsidRPr="009E064B">
        <w:rPr>
          <w:rFonts w:asciiTheme="minorHAnsi" w:eastAsia="Calibri" w:hAnsiTheme="minorHAnsi" w:cstheme="minorHAnsi"/>
          <w:i/>
        </w:rPr>
        <w:t xml:space="preserve">just </w:t>
      </w:r>
      <w:r w:rsidRPr="009E064B">
        <w:rPr>
          <w:rFonts w:asciiTheme="minorHAnsi" w:eastAsia="Calibri" w:hAnsiTheme="minorHAnsi" w:cstheme="minorHAnsi"/>
          <w:i/>
        </w:rPr>
        <w:t>culture</w:t>
      </w:r>
      <w:r w:rsidRPr="009E064B">
        <w:rPr>
          <w:rFonts w:asciiTheme="minorHAnsi" w:eastAsia="Calibri" w:hAnsiTheme="minorHAnsi" w:cstheme="minorHAnsi"/>
        </w:rPr>
        <w:t>”, wyraźnie wskazywać, jakie rodzaje zachowań operacyjnych są niedopuszczalne i zawierać warunki, w których postępowania dyscyplinarne nie będą miały zastosowania, oraz</w:t>
      </w:r>
    </w:p>
    <w:p w14:paraId="5E47478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być okresowo przeglądana w celu zapewnienia, że jest nadal aktualna i właściwa.</w:t>
      </w:r>
    </w:p>
    <w:p w14:paraId="6F911A21"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Kierownictwo wyższego szczebla powinno:</w:t>
      </w:r>
    </w:p>
    <w:p w14:paraId="2CA45462"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stale promować politykę bezpieczeństwa wśród wszystkich pracowników i wykazywać swoje zaangażowanie do jej realizacji;</w:t>
      </w:r>
    </w:p>
    <w:p w14:paraId="3745F8C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zapewniać niezbędne zasoby ludzkie i środki finansowe do jej wdrożenia; oraz</w:t>
      </w:r>
    </w:p>
    <w:p w14:paraId="12651D6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ustanowić cele bezpieczeństwa i standardy skuteczności działań w zakresie bezpieczeństwa.</w:t>
      </w:r>
    </w:p>
    <w:p w14:paraId="4C265DC6" w14:textId="1A476A5C" w:rsidR="00092CBF" w:rsidRPr="009E064B" w:rsidRDefault="00D46823" w:rsidP="00133B99">
      <w:pPr>
        <w:pStyle w:val="Nagwek6"/>
      </w:pPr>
      <w:bookmarkStart w:id="327" w:name="_Toc492024603"/>
      <w:bookmarkStart w:id="328" w:name="_Toc12532691"/>
      <w:r w:rsidRPr="009E064B">
        <w:t>GM</w:t>
      </w:r>
      <w:r w:rsidR="004D6FC2" w:rsidRPr="009E064B">
        <w:t xml:space="preserve">1 ADR.OR.D.005(b)(2)     </w:t>
      </w:r>
      <w:r w:rsidR="00092CBF" w:rsidRPr="009E064B">
        <w:t>System zarządzania</w:t>
      </w:r>
      <w:bookmarkEnd w:id="327"/>
      <w:bookmarkEnd w:id="328"/>
    </w:p>
    <w:p w14:paraId="76E84ED7" w14:textId="29DBDDDE"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9258D1C"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POLITYKA BEZPIECZEŃSTWA</w:t>
      </w:r>
    </w:p>
    <w:p w14:paraId="40A34084" w14:textId="494727AB"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Polityka bezpieczeństwa – </w:t>
      </w:r>
      <w:r w:rsidR="009B0A08" w:rsidRPr="009E064B">
        <w:rPr>
          <w:rFonts w:asciiTheme="minorHAnsi" w:eastAsia="Calibri" w:hAnsiTheme="minorHAnsi" w:cstheme="minorHAnsi"/>
        </w:rPr>
        <w:t>Wymagania ogólne</w:t>
      </w:r>
    </w:p>
    <w:p w14:paraId="51EEDD85" w14:textId="6ABA90FD"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Polityka bezpieczeństwa stanowi środek, przy pomocy którego operator lotniska określa swoje intencje do utrzymania oraz, w miarę możliwości, poprawy poziomów bezpieczeństwa w całym zakresie prowadzonej działalności oraz ograniczen</w:t>
      </w:r>
      <w:r w:rsidR="008D34F8" w:rsidRPr="009E064B">
        <w:rPr>
          <w:rFonts w:asciiTheme="minorHAnsi" w:eastAsia="Calibri" w:hAnsiTheme="minorHAnsi" w:cstheme="minorHAnsi"/>
        </w:rPr>
        <w:t xml:space="preserve">ia do minimum swojego udziału w </w:t>
      </w:r>
      <w:r w:rsidRPr="009E064B">
        <w:rPr>
          <w:rFonts w:asciiTheme="minorHAnsi" w:eastAsia="Calibri" w:hAnsiTheme="minorHAnsi" w:cstheme="minorHAnsi"/>
        </w:rPr>
        <w:t>ryzyku wystąpienia wypadku statku powietrznego, na ile jest to możliwe.</w:t>
      </w:r>
    </w:p>
    <w:p w14:paraId="53B521CA" w14:textId="77777777"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Polityka bezpieczeństwa powinna określać, iż celem zgłaszania spraw związanych z bezpieczeństwem oraz wewnętrznego ich badania jest poprawa bezpieczeństwa, a nie przypisywanie winy poszczególnym osobom.</w:t>
      </w:r>
    </w:p>
    <w:p w14:paraId="66DE207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Polityka bezpieczeństwa – zasada „</w:t>
      </w:r>
      <w:r w:rsidRPr="009E064B">
        <w:rPr>
          <w:rFonts w:asciiTheme="minorHAnsi" w:eastAsia="Calibri" w:hAnsiTheme="minorHAnsi" w:cstheme="minorHAnsi"/>
          <w:i/>
        </w:rPr>
        <w:t>just culture</w:t>
      </w:r>
      <w:r w:rsidRPr="009E064B">
        <w:rPr>
          <w:rFonts w:asciiTheme="minorHAnsi" w:eastAsia="Calibri" w:hAnsiTheme="minorHAnsi" w:cstheme="minorHAnsi"/>
        </w:rPr>
        <w:t>”</w:t>
      </w:r>
    </w:p>
    <w:p w14:paraId="72916101" w14:textId="77777777"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Polityka bezpieczeństwa powinna aktywnie zachęcać do efektywnego zgłaszania spraw związanych z bezpieczeństwem oraz zapewniać sprawiedliwą ochronę zgłaszających, poprzez określenie granicy między dopuszczalnymi działaniami (często niezamierzone błędy) i działaniami nie do przyjęcia (takimi jak niedbalstwo, lekkomyślność, naruszenia lub sabotaż). Kultura bezpieczeństwa lub tzw. zasada „</w:t>
      </w:r>
      <w:r w:rsidRPr="009E064B">
        <w:rPr>
          <w:rFonts w:asciiTheme="minorHAnsi" w:eastAsia="Calibri" w:hAnsiTheme="minorHAnsi" w:cstheme="minorHAnsi"/>
          <w:i/>
        </w:rPr>
        <w:t>just culture</w:t>
      </w:r>
      <w:r w:rsidRPr="009E064B">
        <w:rPr>
          <w:rFonts w:asciiTheme="minorHAnsi" w:eastAsia="Calibri" w:hAnsiTheme="minorHAnsi" w:cstheme="minorHAnsi"/>
        </w:rPr>
        <w:t>” nie może jednak wykluczać odpowiedzialności karnej za popełniony błąd (kryminalizacji błędu), która prawnie, etycznie i moralnie spoczywa w ramach suwerennych praw każdego państwa członkowskiego, pod warunkiem, że przestrzegane jest prawo Unii Europejskiej oraz postanowienia zawartych umów międzynarodowych. Postępowania sądowego i jego skutków w określonej formie, można się spodziewać w następstwie wypadku lub poważnego incydentu, zwłaszcza jeśli awaria skutkowała ofiarami śmiertelnymi lub uszkodzeniem mienia, nawet jeżeli nie stwierdzono niedbalstwa lub złego zamiaru. Potencjalny problem może zatem istnieć, jeśli dobrowolne zgłoszenia zagrożeń, które odnoszą się do ukrytych braków systemu lub jego działania, są traktowane w taki sam sposób, jak te, dotyczące postępowań w sprawie wypadków i poważnych incydentów. Intencją ochrony zgłoszeń dotyczących zagrożeń nie powinno być kwestionowanie zasadności postępowania sądowego, lub żądanie nadmiernego immunitetu. Niemniej jednak argumentacja prawna ma zazwyczaj pierwszeństwo przed każdym argumentem technicznym lub argumentem związanym z bezpieczeństwem.</w:t>
      </w:r>
    </w:p>
    <w:p w14:paraId="4E435E65" w14:textId="4B6AF121" w:rsidR="00092CBF" w:rsidRPr="009E064B" w:rsidRDefault="004D6FC2" w:rsidP="00133B99">
      <w:pPr>
        <w:pStyle w:val="Nagwek5"/>
      </w:pPr>
      <w:bookmarkStart w:id="329" w:name="_Toc492024604"/>
      <w:bookmarkStart w:id="330" w:name="_Toc12532692"/>
      <w:r w:rsidRPr="009E064B">
        <w:t xml:space="preserve">AMC1 ADR.OR.D.005(b)(3)     </w:t>
      </w:r>
      <w:r w:rsidR="00092CBF" w:rsidRPr="009E064B">
        <w:t>System zarządzania</w:t>
      </w:r>
      <w:bookmarkEnd w:id="329"/>
      <w:bookmarkEnd w:id="330"/>
    </w:p>
    <w:p w14:paraId="09892C6D" w14:textId="384FBD21"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E79FC01"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PROCES IDENTYFIKACJI ZAGROŻEŃ</w:t>
      </w:r>
    </w:p>
    <w:p w14:paraId="58C5AB39" w14:textId="1E8784C6"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Identyfikacja zagrożeń powinna być oparta na kombinacji reaktywnych, proaktywnych i przewidywalnych metod zbierania danych z zakresu bezpieczeństwa. Reaktywne, proaktywne i przewidywalne schematy identyfikacji zagrożeń powinny stanowić oficjalny środek służący do zbierania, rejestrowania, analizowania i generowania informac</w:t>
      </w:r>
      <w:r w:rsidR="00CE4EDD" w:rsidRPr="009E064B">
        <w:rPr>
          <w:rFonts w:asciiTheme="minorHAnsi" w:eastAsia="Calibri" w:hAnsiTheme="minorHAnsi" w:cstheme="minorHAnsi"/>
        </w:rPr>
        <w:t>ji zwrotnej na temat zagrożeń i </w:t>
      </w:r>
      <w:r w:rsidRPr="009E064B">
        <w:rPr>
          <w:rFonts w:asciiTheme="minorHAnsi" w:eastAsia="Calibri" w:hAnsiTheme="minorHAnsi" w:cstheme="minorHAnsi"/>
        </w:rPr>
        <w:t>powiązanego ryzyka mającego wpływ na bezpieczeństwo.</w:t>
      </w:r>
    </w:p>
    <w:p w14:paraId="3246831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Wszystkie systemy zgłaszania zdarzeń, łącznie z poufnym systemem zgłaszania zdarzeń, powinny zawierać procesy związane z otrzymywaniem informacji zwrotnej.</w:t>
      </w:r>
    </w:p>
    <w:p w14:paraId="5620244E" w14:textId="79C345FD" w:rsidR="00092CBF" w:rsidRPr="009E064B" w:rsidRDefault="004D6FC2" w:rsidP="00133B99">
      <w:pPr>
        <w:pStyle w:val="Nagwek6"/>
      </w:pPr>
      <w:bookmarkStart w:id="331" w:name="_Toc492024605"/>
      <w:bookmarkStart w:id="332" w:name="_Toc12532693"/>
      <w:r w:rsidRPr="009E064B">
        <w:t xml:space="preserve">GM1 ADR.OR.D.005(b)(3)     </w:t>
      </w:r>
      <w:r w:rsidR="00092CBF" w:rsidRPr="009E064B">
        <w:t>System zarządzania</w:t>
      </w:r>
      <w:bookmarkEnd w:id="331"/>
      <w:bookmarkEnd w:id="332"/>
    </w:p>
    <w:p w14:paraId="2A1DB674" w14:textId="4C6C8639"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0ED4C1E"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IDENTYFIKACJA ZAGROŻEŃ</w:t>
      </w:r>
    </w:p>
    <w:p w14:paraId="3A8DFBC8" w14:textId="58E12D7F"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Identyfikacja zagrożeń – </w:t>
      </w:r>
      <w:r w:rsidR="009B0A08" w:rsidRPr="009E064B">
        <w:rPr>
          <w:rFonts w:asciiTheme="minorHAnsi" w:eastAsia="Calibri" w:hAnsiTheme="minorHAnsi" w:cstheme="minorHAnsi"/>
        </w:rPr>
        <w:t>Wymagania ogólne</w:t>
      </w:r>
    </w:p>
    <w:p w14:paraId="7400FC2C"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Identyfikacja zagrożeń może obejmować następujące czynniki i procesy:</w:t>
      </w:r>
    </w:p>
    <w:p w14:paraId="64D71FFD"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czynniki projektowe, w tym projektowanie wyposażenia i zadań;</w:t>
      </w:r>
    </w:p>
    <w:p w14:paraId="2BF31E6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procedury i praktyki operacyjne, w tym ich dokumentację i listy kontrolne oraz ich walidację w rzeczywistych warunkach pracy;</w:t>
      </w:r>
    </w:p>
    <w:p w14:paraId="28E31C8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łączność, w tym środki, terminologia i język;</w:t>
      </w:r>
    </w:p>
    <w:p w14:paraId="2BCB4F1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czynniki osobowe, takie jak polityka firmy w zakresie rekrutacji, szkoleń, wynagrodzenia i przydzielania środków;</w:t>
      </w:r>
    </w:p>
    <w:p w14:paraId="31A55D6D"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czynniki organizacyjne, takie jak zgodność celów produkcyjnych z celami bezpieczeństwa, przydzielania środków, naciski operacyjne i kultura korporacyjna w zakresie bezpieczeństwa;</w:t>
      </w:r>
    </w:p>
    <w:p w14:paraId="2FFDEA0D"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czynniki środowiska pracy, takie jak hałas i wibracje otoczenia, temperatura, oświetlenie oraz dostępność sprzętu i odzieży ochronnej;</w:t>
      </w:r>
    </w:p>
    <w:p w14:paraId="3B08CB31"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czynniki nadzoru nad wymaganiami prawnymi, w tym stosowanie i egzekwowanie przepisów, certyfikacja sprzętu, personelu i procedur oraz adekwatność nadzoru;</w:t>
      </w:r>
    </w:p>
    <w:p w14:paraId="5B67E1CD"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zabezpieczenia, w tym takie czynniki, jak dostarczanie odpowiednich systemów wykrywania i ostrzegania, tolerancji błędu urządzeń i odporności urządzeń na błędy i awarie; oraz</w:t>
      </w:r>
    </w:p>
    <w:p w14:paraId="3B4E6EDB"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(ix) </w:t>
      </w:r>
      <w:r w:rsidRPr="009E064B">
        <w:rPr>
          <w:rFonts w:asciiTheme="minorHAnsi" w:eastAsia="Calibri" w:hAnsiTheme="minorHAnsi" w:cstheme="minorHAnsi"/>
        </w:rPr>
        <w:tab/>
        <w:t>możliwości człowieka, ograniczonych do warunków medycznych i fizycznych ograniczeń.</w:t>
      </w:r>
    </w:p>
    <w:p w14:paraId="4AFFAB4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 identyfikacji zagrożeń można korzystać ze źródeł wewnętrznych i zewnętrznych.</w:t>
      </w:r>
    </w:p>
    <w:p w14:paraId="4D5B06A8"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Źródła wewnętrzne:</w:t>
      </w:r>
    </w:p>
    <w:p w14:paraId="381B2D87"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systemy dobrowolnego zgłaszania zdarzeń;</w:t>
      </w:r>
    </w:p>
    <w:p w14:paraId="05AE6D5D"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przeglądy bezpieczeństwa;</w:t>
      </w:r>
    </w:p>
    <w:p w14:paraId="0FA629AF"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audyty bezpieczeństwa;</w:t>
      </w:r>
    </w:p>
    <w:p w14:paraId="7499C815"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systemy monitorowania zwykłych operacji;</w:t>
      </w:r>
    </w:p>
    <w:p w14:paraId="4A9DBF98"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analiza trendu;</w:t>
      </w:r>
    </w:p>
    <w:p w14:paraId="20CC0EB3"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informacje zwrotne procesów szkolenia; oraz</w:t>
      </w:r>
    </w:p>
    <w:p w14:paraId="4F5CB2C2"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badanie incydentów i działania następcze podejmowane na podstawie ich wyników.</w:t>
      </w:r>
    </w:p>
    <w:p w14:paraId="32428C2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Źródła zewnętrzne:</w:t>
      </w:r>
    </w:p>
    <w:p w14:paraId="3E0684B0"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raporty z wypadków;</w:t>
      </w:r>
    </w:p>
    <w:p w14:paraId="1B1D1E58"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krajowy system obowiązkowego zgłaszania zdarzeń; oraz</w:t>
      </w:r>
    </w:p>
    <w:p w14:paraId="4721D79B"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krajowy system dobrowolnego zgłaszania zdarzeń.</w:t>
      </w:r>
    </w:p>
    <w:p w14:paraId="785933A4" w14:textId="4A8CB804"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Metody wykorzystywane do identyfikacji zagrożeń zależą od środków i ograniczeń każdego konkretnego operatora lotniska oraz od wielkości i złożoności operacji. Tym niemniej identyfikacja zagrożeń, niezależnie od stopnia wdrożenia, złożoności i wielkości, jest częścią dokumentacji bezpieczeństwa operatora lotniska. W warunkach dojrzałych praktyk w zakresie zarządzania bezpieczeństwem, identyfikacja zagrożenia jest ciągłym, codziennym działaniem. Jest ona integralną częścią procesów operatora lotniska. Istnieją trzy szczególne warunki, w których należy przywiązywać szczególną uwagę do identyfikacji zagrożeń. Te trzy warunki powinny pro</w:t>
      </w:r>
      <w:r w:rsidR="00CE4EDD" w:rsidRPr="009E064B">
        <w:rPr>
          <w:rFonts w:asciiTheme="minorHAnsi" w:eastAsia="Calibri" w:hAnsiTheme="minorHAnsi" w:cstheme="minorHAnsi"/>
        </w:rPr>
        <w:t>wadzić do bardziej dogłębnych i </w:t>
      </w:r>
      <w:r w:rsidRPr="009E064B">
        <w:rPr>
          <w:rFonts w:asciiTheme="minorHAnsi" w:eastAsia="Calibri" w:hAnsiTheme="minorHAnsi" w:cstheme="minorHAnsi"/>
        </w:rPr>
        <w:t>daleko idących działań w zakresie identyfikacji zagrożeń i obejmują one:</w:t>
      </w:r>
    </w:p>
    <w:p w14:paraId="111F0EB8"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każdy przypadek, w którym operator lotniska doświadcza niewyjaśnionego wzrostu zdarzeń związanych z bezpieczeństwem lub wykroczeń prawa;</w:t>
      </w:r>
    </w:p>
    <w:p w14:paraId="6F84714C"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każdy przypadek przewidywanej istotnej zmiany operacyjnej, w tym zmiany kluczowego personelu lub innych ważnych urządzeń lub systemów, oraz</w:t>
      </w:r>
    </w:p>
    <w:p w14:paraId="46FB634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okresów przed oraz w trakcie istotnych zmian organizacyjnych, w tym szybkiego wzrostu regresu, korporacyjnych fuzji, przejęcia lub redukcji.</w:t>
      </w:r>
    </w:p>
    <w:p w14:paraId="351B64C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Do identyfikacji zagrożeń mogą być stosowane następujące narzędzia i techniki:</w:t>
      </w:r>
    </w:p>
    <w:p w14:paraId="76F691B7"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„Burza mózgów”, która choć nieusystematyzowana, to jednak ułatwia i korzystnie wpływa na dyskusję grupy ekspertów;</w:t>
      </w:r>
    </w:p>
    <w:p w14:paraId="6C410EB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Badanie zagrożeń i zdolności działania (HAZOP</w:t>
      </w:r>
      <w:r w:rsidRPr="009E064B">
        <w:rPr>
          <w:rFonts w:asciiTheme="minorHAnsi" w:eastAsia="Calibri" w:hAnsiTheme="minorHAnsi" w:cstheme="minorHAnsi"/>
          <w:vertAlign w:val="superscript"/>
        </w:rPr>
        <w:footnoteReference w:id="29"/>
      </w:r>
      <w:r w:rsidRPr="009E064B">
        <w:rPr>
          <w:rFonts w:asciiTheme="minorHAnsi" w:eastAsia="Calibri" w:hAnsiTheme="minorHAnsi" w:cstheme="minorHAnsi"/>
        </w:rPr>
        <w:t>) jest systematycznym i zorganizowanym podejściem stosującym parametry i wskazówki słowne określające odchylenie. Technika ta polega na bardzo szczegółowym opisie systemu, który jest przedmiotem badania i zwykle polega na podzieleniu systemu na dobrze zdefiniowane podsystemy oraz przepływy funkcjonalne lub procesowe pomiędzy podsystemami. Każdy element tego systemu jest następnie przedmiotem dyskusji w ramach interdyscyplinarnej grupy ekspertów, pod kątem różnych kombinacji wskazówek słownych i odchyleń;</w:t>
      </w:r>
    </w:p>
    <w:p w14:paraId="16DF7335" w14:textId="355D38C5"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 xml:space="preserve">Listy kontrolne są wykazami znanych zagrożeń lub czynników zagrożenia, które są wynikiem dotychczasowych doświadczeń. Doświadczeniami z przeszłości mogą być wcześniejsze oceny ryzyka lub podobnych systemów lub operacji, lub doświadczenia z rzeczywistych zdarzeń, które miały miejsce w przeszłości. Technika ta polega na systematycznym stosowaniu </w:t>
      </w:r>
      <w:r w:rsidR="00CE4EDD" w:rsidRPr="009E064B">
        <w:rPr>
          <w:rFonts w:asciiTheme="minorHAnsi" w:eastAsia="Calibri" w:hAnsiTheme="minorHAnsi" w:cstheme="minorHAnsi"/>
        </w:rPr>
        <w:t>odpowiedniej listy kontrolnej i </w:t>
      </w:r>
      <w:r w:rsidRPr="009E064B">
        <w:rPr>
          <w:rFonts w:asciiTheme="minorHAnsi" w:eastAsia="Calibri" w:hAnsiTheme="minorHAnsi" w:cstheme="minorHAnsi"/>
        </w:rPr>
        <w:t>rozpatrywania każdej pozycji na liście kontrolnej pod kątem jej ewentualnego zastosowania do danego systemu. Listy kontrolne powinny być zawsze zatwierdzone do stosowania przed ich użyciem;</w:t>
      </w:r>
    </w:p>
    <w:p w14:paraId="1553663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Tryby awaryjne i analiza skutków (FMEA</w:t>
      </w:r>
      <w:r w:rsidRPr="009E064B">
        <w:rPr>
          <w:rFonts w:asciiTheme="minorHAnsi" w:eastAsia="Calibri" w:hAnsiTheme="minorHAnsi" w:cstheme="minorHAnsi"/>
          <w:vertAlign w:val="superscript"/>
        </w:rPr>
        <w:footnoteReference w:id="30"/>
      </w:r>
      <w:r w:rsidRPr="009E064B">
        <w:rPr>
          <w:rFonts w:asciiTheme="minorHAnsi" w:eastAsia="Calibri" w:hAnsiTheme="minorHAnsi" w:cstheme="minorHAnsi"/>
        </w:rPr>
        <w:t>) będąca techniką „dołem do góry”, służącą do rozpatrywania sposobów, w których podstawowe składniki systemu mogą nie wykonywać swoich założeń projektowych. Technika ta opiera się na szczegółowym opisie systemu i rozważa, w jaki sposób każdy z elementów składowych systemu może nie spełniać jego założeń projektowych, oraz jakie konsekwencje może to spowodować dla całego systemu. Dla każdej składowej systemu FMEA należy rozważyć:</w:t>
      </w:r>
    </w:p>
    <w:p w14:paraId="3B84002D"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wszystkie potencjalne sposoby, gdzie element składowy może zawieść;</w:t>
      </w:r>
    </w:p>
    <w:p w14:paraId="520795CA"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skutki, jakie każda z tych awarii mogłaby mieć dla działania systemu;</w:t>
      </w:r>
    </w:p>
    <w:p w14:paraId="080A3F40"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możliwe przyczyny różnych trybów awaryjnych; oraz</w:t>
      </w:r>
    </w:p>
    <w:p w14:paraId="0C293E10"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 jaki sposób błędy te mogą być w systemie lub jego otoczeniu zmniejszone.</w:t>
      </w:r>
    </w:p>
    <w:p w14:paraId="253EAE0D" w14:textId="77777777" w:rsidR="00092CBF" w:rsidRPr="009E064B" w:rsidRDefault="00092CBF" w:rsidP="00B06A9A">
      <w:pPr>
        <w:widowControl/>
        <w:ind w:left="1701"/>
        <w:rPr>
          <w:rFonts w:asciiTheme="minorHAnsi" w:eastAsia="Calibri" w:hAnsiTheme="minorHAnsi" w:cstheme="minorHAnsi"/>
        </w:rPr>
      </w:pPr>
      <w:r w:rsidRPr="009E064B">
        <w:rPr>
          <w:rFonts w:asciiTheme="minorHAnsi" w:eastAsia="Calibri" w:hAnsiTheme="minorHAnsi" w:cstheme="minorHAnsi"/>
        </w:rPr>
        <w:t>Poziom systemu, na którym stosowana jest analiza może się różnić i jest określany przez poziom szczegółowości opisu systemu, który został w analizie wykorzystany. W zależności od charakteru i stopnia złożoności systemu, analiza może być przeprowadzona przez pojedynczego eksperta z zakresu systemu, lub przez zespół ekspertów z zakresu systemu działających w sesjach grupowych.</w:t>
      </w:r>
    </w:p>
    <w:p w14:paraId="70A7F21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metoda „co będzie, jeśli” (SWIFT</w:t>
      </w:r>
      <w:r w:rsidRPr="009E064B">
        <w:rPr>
          <w:rFonts w:asciiTheme="minorHAnsi" w:eastAsia="Calibri" w:hAnsiTheme="minorHAnsi" w:cstheme="minorHAnsi"/>
          <w:vertAlign w:val="superscript"/>
        </w:rPr>
        <w:footnoteReference w:id="31"/>
      </w:r>
      <w:r w:rsidRPr="009E064B">
        <w:rPr>
          <w:rFonts w:asciiTheme="minorHAnsi" w:eastAsia="Calibri" w:hAnsiTheme="minorHAnsi" w:cstheme="minorHAnsi"/>
        </w:rPr>
        <w:t>) jest prostą i skuteczną alternatywą metody HAZOP i wymaga interdyscyplinarnego zespołu ekspertów. Jest ona wspierana działalnością grupy burzy mózgów, lecz jest zwykle prowadzona na wyższym poziomie opisu systemu, posiadając mniej elementów podrzędnych, niż w przypadku HAZOP i zmniejszony zestaw podpowiedzi.</w:t>
      </w:r>
    </w:p>
    <w:p w14:paraId="75FEBC6F" w14:textId="2DB855BF"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Zidentyfikowane zagrożenia powinny być rejestrowane w dzienniku zagrożeń (rejestrze zagrożeń). Charakter i format takiego dziennika może się różnić, od prostej listy zagrożeń do bardziej wyrafinowanej relacyjnej bazy danych łączącej zagrożenia z czynnikami ograniczającymi, obowiązkami i działaniami. Poniższ</w:t>
      </w:r>
      <w:r w:rsidR="00CE4EDD" w:rsidRPr="009E064B">
        <w:rPr>
          <w:rFonts w:asciiTheme="minorHAnsi" w:eastAsia="Calibri" w:hAnsiTheme="minorHAnsi" w:cstheme="minorHAnsi"/>
        </w:rPr>
        <w:t>e informacje mogą być zawarte w </w:t>
      </w:r>
      <w:r w:rsidRPr="009E064B">
        <w:rPr>
          <w:rFonts w:asciiTheme="minorHAnsi" w:eastAsia="Calibri" w:hAnsiTheme="minorHAnsi" w:cstheme="minorHAnsi"/>
        </w:rPr>
        <w:t>dzienniku zagrożeń:</w:t>
      </w:r>
    </w:p>
    <w:p w14:paraId="488FE024"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niepowtarzalny numer odniesienia do każdego zagrożenia;</w:t>
      </w:r>
    </w:p>
    <w:p w14:paraId="52969B9F"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opis zagrożenia;</w:t>
      </w:r>
    </w:p>
    <w:p w14:paraId="76DCF4BB"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wskazanie potencjalnych przyczyn zagrożenia;</w:t>
      </w:r>
    </w:p>
    <w:p w14:paraId="15A59F3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jakościowa ocena możliwych rezultatów i ciężaru skutków wynikających z zagrożenia;</w:t>
      </w:r>
    </w:p>
    <w:p w14:paraId="0DD92559"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jakościowa ocena ryzyka związanego z ewentualnymi skutkami zagrożenia;</w:t>
      </w:r>
    </w:p>
    <w:p w14:paraId="5E7A753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opis istniejących mechanizmów kontroli ryzyka dla zagrożenia. Opis dodatkowych czynności, które są wymagane dla zmniejszenia zagrożeń bezpieczeństwa, jak również docelowa data zakończenia; oraz</w:t>
      </w:r>
    </w:p>
    <w:p w14:paraId="1AEE929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wskazanie obowiązków w odniesieniu do zarządzania kontrolą ryzyka.</w:t>
      </w:r>
    </w:p>
    <w:p w14:paraId="4D79C69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Ponadto, następujące informacje mogą zostać zawarte w dzienniku zagrożeń:</w:t>
      </w:r>
    </w:p>
    <w:p w14:paraId="53C4DA6F"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ilościowa ocena ryzyka związanego z ewentualnymi skutkami zagrożenia;</w:t>
      </w:r>
    </w:p>
    <w:p w14:paraId="41FCC205"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zapis rzeczywistych zdarzeń lub wydarzeń związanych z zagrożeniem, lub jego przyczyn;</w:t>
      </w:r>
    </w:p>
    <w:p w14:paraId="18AC10A9"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oświadczenie tolerancji ryzyka;</w:t>
      </w:r>
    </w:p>
    <w:p w14:paraId="1C07EAE1"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oświadczenie o formalnych wymaganiach monitorowania systemu;</w:t>
      </w:r>
    </w:p>
    <w:p w14:paraId="76CA7827"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wskazanie, w jaki sposób zagrożenie zidentyfikowano;</w:t>
      </w:r>
    </w:p>
    <w:p w14:paraId="507055C5"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właściciel zagrożenia;</w:t>
      </w:r>
    </w:p>
    <w:p w14:paraId="00974C19"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założenia; oraz</w:t>
      </w:r>
    </w:p>
    <w:p w14:paraId="474F1347"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zainteresowane osoby trzecie.</w:t>
      </w:r>
    </w:p>
    <w:p w14:paraId="3FA36D7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Identyfikacja zagrożeń – Wskaźniki</w:t>
      </w:r>
    </w:p>
    <w:p w14:paraId="7BABA8B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Wskaźniki reaktywne (wynikowe):</w:t>
      </w:r>
    </w:p>
    <w:p w14:paraId="0374C562"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Wskaźniki, które mierzą zdarzenia, które już miały miejsce i wpłynęły na poziom bezpieczeństwa.</w:t>
      </w:r>
    </w:p>
    <w:p w14:paraId="31C503F7"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Jako, że wskaźniki reaktywne odzwierciedlają jedynie awarie systemu, to ich stosowanie może prowadzić tylko do określania reaktywnej odpowiedzi. Chociaż mierzą one awarie w celu kontroli zagrożeń, to zwykle nie ujawniają, dlaczego system doznał awarii, lub czy są jakieś ukryte zagrożenia.</w:t>
      </w:r>
    </w:p>
    <w:p w14:paraId="6E35D98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Wskaźniki proaktywne (wyprzedzające):</w:t>
      </w:r>
    </w:p>
    <w:p w14:paraId="22E6A566"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Wskaźniki, które mierzą wejścia do systemu bezpieczeństwa (w ramach organizacji, sektora lub w przekroju całego systemu lotniczego) w celu zarządzania i poprawy skuteczności działań w zakresie bezpieczeństwa.</w:t>
      </w:r>
    </w:p>
    <w:p w14:paraId="05640B0E" w14:textId="56C7A326"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Wskaźniki proaktywne wskazują wprowadzane, opracowywane i dostosowywane dobre praktyki w zakresie bezpieczeństwa, które poprzez ich włączenie, dążą do ustanowienia proaktywnego środowiska bezpieczeństwa, które jest źródłem ciągłego doskonalenia. Zapewniają one przydatne informacje, gdy poziom wypadków i incydentów jest zbyt niski do identyfikacji ukrytych i potencjalnych zagroż</w:t>
      </w:r>
      <w:r w:rsidR="00D72D9C" w:rsidRPr="009E064B">
        <w:rPr>
          <w:rFonts w:asciiTheme="minorHAnsi" w:eastAsia="Calibri" w:hAnsiTheme="minorHAnsi" w:cstheme="minorHAnsi"/>
        </w:rPr>
        <w:t>eń oraz zapewniają wynikające z </w:t>
      </w:r>
      <w:r w:rsidRPr="009E064B">
        <w:rPr>
          <w:rFonts w:asciiTheme="minorHAnsi" w:eastAsia="Calibri" w:hAnsiTheme="minorHAnsi" w:cstheme="minorHAnsi"/>
        </w:rPr>
        <w:t>tego możliwości doskonalenia.</w:t>
      </w:r>
    </w:p>
    <w:p w14:paraId="6A08D91F"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Zawsze powinien istnieć związek pomiędzy wskaźnikiem proaktywnym i efektem niepożądanym (lub wskaźnikami reaktywnymi), monitorowanie których pełni funkcję ostrzegającą.</w:t>
      </w:r>
    </w:p>
    <w:p w14:paraId="707E6D9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Wskaźniki predykcyjne (zwiastuny wydarzeń):</w:t>
      </w:r>
    </w:p>
    <w:p w14:paraId="3D3E8F26"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Wskaźniki te mogą być traktowane, jako takie, które nie przejawiają się w razie wypadków lub poważnych zdarzeń. Wskazują one mniej poważne awarie systemu lub „sytuacje niebezpieczne”, które w połączeniu z innymi zdarzeniami mogą doprowadzić do wypadku lub poważnego incydentu.</w:t>
      </w:r>
    </w:p>
    <w:p w14:paraId="24066A44" w14:textId="3AE47F3C" w:rsidR="007757A9"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W dużej organizacji, dojrzały system zarządzania bezpieczeństwem powinien obejmować wszystkie powyższe środki. Jednakże, wysiłek zarządzania ryzykiem powinien być ukierunkowany na wskaźniki wyprzedzające i zwiastuny wydarzeń.</w:t>
      </w:r>
    </w:p>
    <w:p w14:paraId="6AF2031A" w14:textId="77777777" w:rsidR="007757A9" w:rsidRDefault="007757A9">
      <w:pPr>
        <w:spacing w:after="0"/>
        <w:jc w:val="left"/>
        <w:rPr>
          <w:rFonts w:asciiTheme="minorHAnsi" w:eastAsia="Calibri" w:hAnsiTheme="minorHAnsi" w:cstheme="minorHAnsi"/>
        </w:rPr>
      </w:pPr>
      <w:r>
        <w:rPr>
          <w:rFonts w:asciiTheme="minorHAnsi" w:eastAsia="Calibri" w:hAnsiTheme="minorHAnsi" w:cstheme="minorHAnsi"/>
        </w:rPr>
        <w:br w:type="page"/>
      </w:r>
    </w:p>
    <w:p w14:paraId="252774CB" w14:textId="24C69F4F" w:rsidR="00092CBF" w:rsidRPr="009E064B" w:rsidRDefault="00092CBF" w:rsidP="00133B99">
      <w:pPr>
        <w:pStyle w:val="Nagwek5"/>
      </w:pPr>
      <w:bookmarkStart w:id="333" w:name="_Toc492024606"/>
      <w:bookmarkStart w:id="334" w:name="_Toc12532694"/>
      <w:r w:rsidRPr="009E064B">
        <w:t xml:space="preserve">AMC1 ADR.OR.D.005(b)(4)    </w:t>
      </w:r>
      <w:r w:rsidR="004D6FC2" w:rsidRPr="009E064B">
        <w:t xml:space="preserve"> </w:t>
      </w:r>
      <w:r w:rsidRPr="009E064B">
        <w:t>System zarządzania</w:t>
      </w:r>
      <w:bookmarkEnd w:id="333"/>
      <w:bookmarkEnd w:id="334"/>
    </w:p>
    <w:p w14:paraId="75B84B29" w14:textId="122E5F1A"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A2865AC"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OCENA I ŁAGODZENIE RYZYKA W ZAKRESIE BEZPIECZEŃSTWA</w:t>
      </w:r>
    </w:p>
    <w:p w14:paraId="3AD1420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Powinien zostać opracowany i utrzymany formalny proces oceny bezpieczeństwa i łagodzenia ryzyka w celu zapewnienia analizy (w zakresie prawdopodobieństwa i dotkliwości zdarzeń), oceny (w zakresie możliwości tolerowania) oraz kontrolowania (w zakresie łagodzenia) ryzyka.</w:t>
      </w:r>
    </w:p>
    <w:p w14:paraId="08DF4936" w14:textId="23FD305D"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Poziom kadry kierowniczej posiadającej uprawnienia do podejmowania decyzji odnośnie możliwości tolerowania ryzyka w zakresie bezpieczeństwa, zgodnie z </w:t>
      </w:r>
      <w:r w:rsidR="000C0EEE" w:rsidRPr="009E064B">
        <w:rPr>
          <w:rFonts w:asciiTheme="minorHAnsi" w:eastAsia="Calibri" w:hAnsiTheme="minorHAnsi" w:cstheme="minorHAnsi"/>
        </w:rPr>
        <w:t>lit. </w:t>
      </w:r>
      <w:r w:rsidRPr="009E064B">
        <w:rPr>
          <w:rFonts w:asciiTheme="minorHAnsi" w:eastAsia="Calibri" w:hAnsiTheme="minorHAnsi" w:cstheme="minorHAnsi"/>
        </w:rPr>
        <w:t>(a) powyżej, powinien być określony w instrukcji operacyjnej lotniska.</w:t>
      </w:r>
    </w:p>
    <w:p w14:paraId="79084C58" w14:textId="2557E01F" w:rsidR="00092CBF" w:rsidRPr="009E064B" w:rsidRDefault="00092CBF" w:rsidP="00133B99">
      <w:pPr>
        <w:pStyle w:val="Nagwek6"/>
      </w:pPr>
      <w:bookmarkStart w:id="335" w:name="_Toc492024607"/>
      <w:bookmarkStart w:id="336" w:name="_Toc12532695"/>
      <w:r w:rsidRPr="009E064B">
        <w:t xml:space="preserve">GM1 ADR.OR.D.005(b)(4)    </w:t>
      </w:r>
      <w:r w:rsidR="004D6FC2" w:rsidRPr="009E064B">
        <w:t xml:space="preserve"> </w:t>
      </w:r>
      <w:r w:rsidRPr="009E064B">
        <w:t>System zarządzania</w:t>
      </w:r>
      <w:bookmarkEnd w:id="335"/>
      <w:bookmarkEnd w:id="336"/>
    </w:p>
    <w:p w14:paraId="4E65C0DB" w14:textId="1209E4E6"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0A4793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OCENA I ŁAGODZENIE RYZYKA W ZAKRESIE BEZPIECZEŃSTWA</w:t>
      </w:r>
    </w:p>
    <w:p w14:paraId="30C9E1EF" w14:textId="271AC78C"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Ocena bezpieczeństwa (ryzyka) jest analizą ryzyka konsekwencji zagrożeń dla bezpieczeństwa, które zostały określone. Analiza ryzyka w zakresie bezpieczeństwa rozkłada ryzyko na dwa składniki – prawdopodobieństwo wystąpienia szkodliwego zdarzenia lub warunku i dotkliwości zdarzenia lub warunku, jakie powinno wystąpić. Podejmowani</w:t>
      </w:r>
      <w:r w:rsidR="00834C69" w:rsidRPr="009E064B">
        <w:rPr>
          <w:rFonts w:asciiTheme="minorHAnsi" w:eastAsia="Calibri" w:hAnsiTheme="minorHAnsi" w:cstheme="minorHAnsi"/>
        </w:rPr>
        <w:t xml:space="preserve">e decyzji i akceptacji ryzyka w </w:t>
      </w:r>
      <w:r w:rsidRPr="009E064B">
        <w:rPr>
          <w:rFonts w:asciiTheme="minorHAnsi" w:eastAsia="Calibri" w:hAnsiTheme="minorHAnsi" w:cstheme="minorHAnsi"/>
        </w:rPr>
        <w:t>zakresie bezpieczeństwa powinny być określone przez matrycę</w:t>
      </w:r>
      <w:r w:rsidR="00834C69" w:rsidRPr="009E064B">
        <w:rPr>
          <w:rFonts w:asciiTheme="minorHAnsi" w:eastAsia="Calibri" w:hAnsiTheme="minorHAnsi" w:cstheme="minorHAnsi"/>
        </w:rPr>
        <w:t xml:space="preserve"> tolerancji ryzyka. Definicja i </w:t>
      </w:r>
      <w:r w:rsidRPr="009E064B">
        <w:rPr>
          <w:rFonts w:asciiTheme="minorHAnsi" w:eastAsia="Calibri" w:hAnsiTheme="minorHAnsi" w:cstheme="minorHAnsi"/>
        </w:rPr>
        <w:t>ostateczna konstrukcja matrycy powinna być pozostawiona do opracowania operatorowi lotniska, być udokumentowana w instrukcji operacyjnej lotniska i podlegać zatwierdzeniu przez właściwy organ.</w:t>
      </w:r>
    </w:p>
    <w:p w14:paraId="4BED49D7" w14:textId="645C7DEE" w:rsidR="00092CBF" w:rsidRPr="009E064B" w:rsidRDefault="00092CBF" w:rsidP="00133B99">
      <w:pPr>
        <w:pStyle w:val="Nagwek5"/>
      </w:pPr>
      <w:bookmarkStart w:id="337" w:name="_Toc492024608"/>
      <w:bookmarkStart w:id="338" w:name="_Toc12532696"/>
      <w:r w:rsidRPr="009E064B">
        <w:t xml:space="preserve">AMC1 ADR.OR.D.005(b)(5)    </w:t>
      </w:r>
      <w:r w:rsidR="004D6FC2" w:rsidRPr="009E064B">
        <w:t xml:space="preserve"> </w:t>
      </w:r>
      <w:r w:rsidRPr="009E064B">
        <w:t>System zarządzania</w:t>
      </w:r>
      <w:bookmarkEnd w:id="337"/>
      <w:bookmarkEnd w:id="338"/>
    </w:p>
    <w:p w14:paraId="6936A9E6" w14:textId="0BDBD284"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120D2DD"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MONITOROWANIE I POMIAR SKUTECZNOŚCI DZIAŁAŃ W ZAKRESIE BEZPIECZEŃSTWA</w:t>
      </w:r>
    </w:p>
    <w:p w14:paraId="1346613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Monitorowanie i pomiar skuteczności działań w zakresie bezpieczeństwa powinno stanowić proces, przy pomocy którego dokonywana jest weryfikacja skuteczności działań operatora lotniska w zakresie bezpieczeństwa w porównaniu z przyjętą polityką i celami bezpieczeństwa, określonym ryzykiem w zakresie bezpieczeństwa i środkami łagodzenia ryzyka.</w:t>
      </w:r>
    </w:p>
    <w:p w14:paraId="0E0C81C8"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Proces ten powinien obejmować ustanowienie wskaźników skuteczności działań w zakresie bezpieczeństwa i celów skuteczności działań w zakresie bezpieczeństwa oraz pomiaru skuteczności działań operatora lotniska w zakresie bezpieczeństwa w odniesieniu do tych wskaźników i celów.</w:t>
      </w:r>
    </w:p>
    <w:p w14:paraId="10DB805E" w14:textId="69DF7ABE" w:rsidR="00092CBF" w:rsidRPr="009E064B" w:rsidRDefault="00092CBF" w:rsidP="00133B99">
      <w:pPr>
        <w:pStyle w:val="Nagwek6"/>
      </w:pPr>
      <w:bookmarkStart w:id="339" w:name="_Toc492024609"/>
      <w:bookmarkStart w:id="340" w:name="_Toc12532697"/>
      <w:r w:rsidRPr="009E064B">
        <w:t xml:space="preserve">GM1 ADR.OR.D.005(b)(5)    </w:t>
      </w:r>
      <w:r w:rsidR="004D6FC2" w:rsidRPr="009E064B">
        <w:t xml:space="preserve"> </w:t>
      </w:r>
      <w:r w:rsidRPr="009E064B">
        <w:t>System zarządzania</w:t>
      </w:r>
      <w:bookmarkEnd w:id="339"/>
      <w:bookmarkEnd w:id="340"/>
    </w:p>
    <w:p w14:paraId="4FD85E27" w14:textId="3AC8CCB7"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AA0ED5D"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MONITOROWANIE I POMIAR SKUTECZNOŚCI DZIAŁAŃ W ZAKRESIE BEZPIECZEŃSTWA</w:t>
      </w:r>
    </w:p>
    <w:p w14:paraId="4ABED18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Proces monitorowania i pomiaru skuteczności działań w zakresie bezpieczeństwa powinien obejmować:</w:t>
      </w:r>
    </w:p>
    <w:p w14:paraId="1579834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zgłaszanie spraw związanych z bezpieczeństwem, z uwzględnieniem również statusu zgodności z obowiązującymi przepisami;</w:t>
      </w:r>
    </w:p>
    <w:p w14:paraId="71AE4D6D"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studium bezpieczeństwa, które w praktyce oznacza obszerne analizy obejmujące szeroko rozumiane względy bezpieczeństwa;</w:t>
      </w:r>
    </w:p>
    <w:p w14:paraId="46DD3A7F" w14:textId="58C284BD"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przeglądy bezpieczeństwa, w tym przeglądy trendów przeprowadzane podczas wprowadzania lub rozmieszczania nowych technologii, zmiany lub wdrażania procedur, w</w:t>
      </w:r>
      <w:r w:rsidR="00CE4EDD" w:rsidRPr="009E064B">
        <w:rPr>
          <w:rFonts w:asciiTheme="minorHAnsi" w:eastAsia="Calibri" w:hAnsiTheme="minorHAnsi" w:cstheme="minorHAnsi"/>
        </w:rPr>
        <w:t> </w:t>
      </w:r>
      <w:r w:rsidRPr="009E064B">
        <w:rPr>
          <w:rFonts w:asciiTheme="minorHAnsi" w:eastAsia="Calibri" w:hAnsiTheme="minorHAnsi" w:cstheme="minorHAnsi"/>
        </w:rPr>
        <w:t>przypadku zmian strukturalnych prowadzonej działalności, lub w celu badania wzrostu liczby incydentów lub zgłoszeń spraw związanych z bezpieczeństwem;</w:t>
      </w:r>
    </w:p>
    <w:p w14:paraId="3019E33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audyty bezpieczeństwa skupiające się na integralności systemu zarządzania operatora lotniska oraz okresowej ocenie stanu kontroli ryzyka w zakresie bezpieczeństwa;</w:t>
      </w:r>
    </w:p>
    <w:p w14:paraId="6C2DAC75"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badania bezpieczeństwa, badające poszczególne elementy lub procedury określonego działania, np. obszary problemowe lub „wąskie gardła” codziennych operacji, postrzeganie i opinie personelu operacyjnego oraz obszary budzące wątpliwości, lub w których występują kwestie sporne.;</w:t>
      </w:r>
    </w:p>
    <w:p w14:paraId="2F3E06A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wewnętrzne badanie zdarzeń i spraw związanych z bezpieczeństwem, którego zakres powinien rozciągać się do zdarzeń podlegających obowiązkowemu zgłaszaniu do właściwego organu;</w:t>
      </w:r>
    </w:p>
    <w:p w14:paraId="79922223"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Mogą być rozważane następujące ogólne aspekty/obszary:</w:t>
      </w:r>
    </w:p>
    <w:p w14:paraId="7634810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odpowiedzialność za zarządzanie działaniami operacyjnymi i ich ostateczną realizację;</w:t>
      </w:r>
    </w:p>
    <w:p w14:paraId="57464A4C"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uprawnienia do kierowania, kontroli lub zmiany procedur, jak również do podejmowania kluczowych decyzji, takich jak decyzje w sprawach akceptacji ryzyka bezpieczeństwa;</w:t>
      </w:r>
    </w:p>
    <w:p w14:paraId="3E9D2957"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procedury w zakresie działań operacyjnych;</w:t>
      </w:r>
    </w:p>
    <w:p w14:paraId="2E47BF6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kontrole, w tym sprzętu komputerowego, oprogramowania, specjalnych procedur lub kroków proceduralnych i praktyk nadzorczych mających na celu utrzymanie działań operacyjnych w określonym kierunku;</w:t>
      </w:r>
    </w:p>
    <w:p w14:paraId="1185BEBD"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wzajemne powiązania, w tym linie podziału władzy pomiędzy departamentami, linie komunikacji między pracownikami, spójność procedur i wyraźne rozgraniczenie odpowiedzialności między organizacjami, jednostkami organizacyjnymi i pracownikami;</w:t>
      </w:r>
    </w:p>
    <w:p w14:paraId="52F30B9C"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środki do zapewnienia informacji zwrotnych o procesie dla odpowiedzialnych osób, o tym, że wymagane działania są podejmowane, wymagane produkty wyjściowe są wytwarzane, oraz oczekiwane rezultaty są osiągane.</w:t>
      </w:r>
    </w:p>
    <w:p w14:paraId="51114D4B" w14:textId="75D826F2" w:rsidR="00834C69"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środki procesowe, umożliwiające dostarczenie stronom odpowiedzialnym, informacji zwrotnej, o tym, że wymagane działania zostały podjęte, wymagane rezultaty działań są w trakcie realizacji, oraz że oczekiwane rezultaty tych działań zostały osiągane.</w:t>
      </w:r>
    </w:p>
    <w:p w14:paraId="1FCF061F" w14:textId="0259BB81" w:rsidR="00092CBF" w:rsidRPr="009E064B" w:rsidRDefault="00092CBF" w:rsidP="00133B99">
      <w:pPr>
        <w:pStyle w:val="Nagwek5"/>
      </w:pPr>
      <w:bookmarkStart w:id="341" w:name="_Toc492024610"/>
      <w:bookmarkStart w:id="342" w:name="_Toc12532698"/>
      <w:r w:rsidRPr="009E064B">
        <w:t xml:space="preserve">AMC1 ADR.OR.D.005(b)(6)    </w:t>
      </w:r>
      <w:r w:rsidR="004D6FC2" w:rsidRPr="009E064B">
        <w:t xml:space="preserve"> </w:t>
      </w:r>
      <w:r w:rsidRPr="009E064B">
        <w:t>System zarządzania</w:t>
      </w:r>
      <w:bookmarkEnd w:id="341"/>
      <w:bookmarkEnd w:id="342"/>
    </w:p>
    <w:p w14:paraId="642A9EDD" w14:textId="4E85E065"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21D68B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ZARZĄDZANIE ZMIANĄ</w:t>
      </w:r>
    </w:p>
    <w:p w14:paraId="4D46111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zarządzać ryzykiem w zakresie bezpieczeństwa związanego ze zmianą. Zarządzanie zmianą powinno być procesem udokumentowanym w celu identyfikacji zewnętrznej i wewnętrznej zmiany mogącej mieć niekorzystny wpływ na bezpieczeństwo.</w:t>
      </w:r>
    </w:p>
    <w:p w14:paraId="14096696" w14:textId="08EA0E10" w:rsidR="00CE4EDD"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Zarządzanie zmianą powinno wykorzystywać istniejące procesy identyfikacji zagrożeń operatora lotniska oraz procesy oceny bezpieczeństwa (ryzyka) i łagodzenia ryzyka.</w:t>
      </w:r>
    </w:p>
    <w:p w14:paraId="47B13ED1" w14:textId="4D3BB35F" w:rsidR="00092CBF" w:rsidRPr="009E064B" w:rsidRDefault="00092CBF" w:rsidP="00133B99">
      <w:pPr>
        <w:pStyle w:val="Nagwek6"/>
      </w:pPr>
      <w:bookmarkStart w:id="343" w:name="_Toc492024611"/>
      <w:bookmarkStart w:id="344" w:name="_Toc12532699"/>
      <w:r w:rsidRPr="009E064B">
        <w:t xml:space="preserve">GM1 ADR.OR.D.005(b)(6)    </w:t>
      </w:r>
      <w:r w:rsidR="004D6FC2" w:rsidRPr="009E064B">
        <w:t xml:space="preserve"> </w:t>
      </w:r>
      <w:r w:rsidRPr="009E064B">
        <w:t>System zarządzania</w:t>
      </w:r>
      <w:bookmarkEnd w:id="343"/>
      <w:bookmarkEnd w:id="344"/>
    </w:p>
    <w:p w14:paraId="75C3A5D9" w14:textId="2ED03409" w:rsidR="00D46823"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DBE726F"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ZARZĄDZANIE ZMIANĄ</w:t>
      </w:r>
    </w:p>
    <w:p w14:paraId="3E390F3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Zmiana może wprowadzić nowe zagrożenia, wpływać na zasadność i/lub skuteczność istniejących strategii łagodzenia ryzyka bezpieczeństwa. Zmiany mogą zachodzić na zewnątrz lub wewnątrz organizacji.</w:t>
      </w:r>
    </w:p>
    <w:p w14:paraId="2E09E423"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Formalny proces zarządzania zmianą powinien brać pod uwagę następujące kwestie:</w:t>
      </w:r>
    </w:p>
    <w:p w14:paraId="4C81D1C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krytyczność systemów i działań;</w:t>
      </w:r>
    </w:p>
    <w:p w14:paraId="2B5AA36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stabilność systemów i środowisk operacyjnych; oraz</w:t>
      </w:r>
    </w:p>
    <w:p w14:paraId="4F3C736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wyniki uzyskane w przeszłości.</w:t>
      </w:r>
    </w:p>
    <w:p w14:paraId="5D23F1FC"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Opis systemu jest jedną z podstawowych czynności wstępnych w planowaniu systemu zarządzania bezpieczeństwem, w celu ustalenia analizy zagrożeń bazowych dla systemu bazowego.</w:t>
      </w:r>
    </w:p>
    <w:p w14:paraId="470739E5" w14:textId="77777777"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Jako część formalnego procesu zarządzania zmianą, opis systemu i analiza zagrożeń bazowych powinny być poddawane okresowemu przeglądowi, nawet jeśli okoliczności zmiany nie występują, w celu określenia ich ciągłej ważności.</w:t>
      </w:r>
    </w:p>
    <w:p w14:paraId="7B44EEDD" w14:textId="77777777"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Po dokonaniu zmian w systemie, operator lotniska powinien okresowo sprawdzać swój system i swoje rzeczywiste środowisko operacyjne, w celu upewnienia się, że nadal jest w pełni świadomy okoliczności, w których ma miejsce zapewnianie służb.</w:t>
      </w:r>
    </w:p>
    <w:p w14:paraId="1E8C8AF9" w14:textId="6514C81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W odniesieniu do zarządzania bezpieczeństwem i do oceny bezpieczeństwa (ryzyka) związanego ze zmianami, patrz także </w:t>
      </w:r>
      <w:hyperlink w:anchor="_ADR.OR.B.040__" w:history="1">
        <w:r w:rsidRPr="009E064B">
          <w:rPr>
            <w:rStyle w:val="Hipercze"/>
            <w:rFonts w:asciiTheme="minorHAnsi" w:eastAsia="Calibri" w:hAnsiTheme="minorHAnsi" w:cstheme="minorHAnsi"/>
          </w:rPr>
          <w:t>ADR.OR.B.040</w:t>
        </w:r>
      </w:hyperlink>
      <w:r w:rsidRPr="009E064B">
        <w:rPr>
          <w:rFonts w:asciiTheme="minorHAnsi" w:eastAsia="Calibri" w:hAnsiTheme="minorHAnsi" w:cstheme="minorHAnsi"/>
        </w:rPr>
        <w:t xml:space="preserve"> i </w:t>
      </w:r>
      <w:hyperlink w:anchor="_GM1_ADR.OR.B.040(f)_" w:history="1">
        <w:r w:rsidRPr="009E064B">
          <w:rPr>
            <w:rStyle w:val="Hipercze"/>
            <w:rFonts w:asciiTheme="minorHAnsi" w:eastAsia="Calibri" w:hAnsiTheme="minorHAnsi" w:cstheme="minorHAnsi"/>
          </w:rPr>
          <w:t>GM1 ADR.OR.B.040(f)</w:t>
        </w:r>
      </w:hyperlink>
      <w:r w:rsidRPr="009E064B">
        <w:rPr>
          <w:rFonts w:asciiTheme="minorHAnsi" w:eastAsia="Calibri" w:hAnsiTheme="minorHAnsi" w:cstheme="minorHAnsi"/>
        </w:rPr>
        <w:t>.</w:t>
      </w:r>
    </w:p>
    <w:p w14:paraId="10BC4182" w14:textId="5DDE494F" w:rsidR="00092CBF" w:rsidRPr="009E064B" w:rsidRDefault="00092CBF" w:rsidP="00133B99">
      <w:pPr>
        <w:pStyle w:val="Nagwek5"/>
      </w:pPr>
      <w:bookmarkStart w:id="345" w:name="_Toc492024612"/>
      <w:bookmarkStart w:id="346" w:name="_Toc12532700"/>
      <w:r w:rsidRPr="009E064B">
        <w:t xml:space="preserve">AMC1 ADR.OR.D.005(b)(7)    </w:t>
      </w:r>
      <w:r w:rsidR="004D6FC2" w:rsidRPr="009E064B">
        <w:t xml:space="preserve"> </w:t>
      </w:r>
      <w:r w:rsidRPr="009E064B">
        <w:t>System zarządzania</w:t>
      </w:r>
      <w:bookmarkEnd w:id="345"/>
      <w:bookmarkEnd w:id="346"/>
    </w:p>
    <w:p w14:paraId="2129E3E8" w14:textId="05D1D36E"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19004A"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CIĄGŁE DOSKONALENIE SYSTEMU ZARZĄDZANIA BEZPIECZEŃSTWEM</w:t>
      </w:r>
    </w:p>
    <w:p w14:paraId="5D2CFBE2"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stale dążyć do poprawy skuteczności działań w zakresie bezpieczeństwa. Operator lotniska powinien w tym celu rozwijać i utrzymywać odpowiedni proces formalny. Ciągła poprawa powinna być osiągnięta poprzez:</w:t>
      </w:r>
    </w:p>
    <w:p w14:paraId="21C8079D"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proaktywną i reaktywną ocenę infrastruktury, sprzętu, dokumentacji i procedur;</w:t>
      </w:r>
    </w:p>
    <w:p w14:paraId="11D8C4D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proaktywną ocenę możliwości poszczególnych osób, w celu weryfikacji wypełnienia przez te osoby obowiązków z zakresu bezpieczeństwa; oraz</w:t>
      </w:r>
    </w:p>
    <w:p w14:paraId="4404256D"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dokonywanie reaktywnych ocen w celu sprawdzenia skuteczności systemu kontroli i ograniczania ryzyka związanego z bezpieczeństwem.</w:t>
      </w:r>
    </w:p>
    <w:p w14:paraId="6E1C9EB6" w14:textId="554B98BC" w:rsidR="00092CBF" w:rsidRPr="009E064B" w:rsidRDefault="004D6FC2" w:rsidP="00133B99">
      <w:pPr>
        <w:pStyle w:val="Nagwek6"/>
      </w:pPr>
      <w:bookmarkStart w:id="347" w:name="_Toc492024613"/>
      <w:bookmarkStart w:id="348" w:name="_Toc12532701"/>
      <w:r w:rsidRPr="009E064B">
        <w:t xml:space="preserve">GM1 ADR.OR.D.005(b)(7)     </w:t>
      </w:r>
      <w:r w:rsidR="00092CBF" w:rsidRPr="009E064B">
        <w:t>System zarządzania</w:t>
      </w:r>
      <w:bookmarkEnd w:id="347"/>
      <w:bookmarkEnd w:id="348"/>
    </w:p>
    <w:p w14:paraId="5B019D55" w14:textId="26D4CBCF"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7FDB166"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CIĄGŁE DOSKONALENIE SYSTEMU ZARZĄDZANIA BEZPIECZEŃSTWEM</w:t>
      </w:r>
    </w:p>
    <w:p w14:paraId="0A8B890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Ciągłe doskonalenie systemu zarządzania bezpieczeństwem, jako część zapewnienia bezpieczeństwa, uzyskuje się poprzez stosowanie:</w:t>
      </w:r>
    </w:p>
    <w:p w14:paraId="26136A8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ocen wewnętrznych;</w:t>
      </w:r>
    </w:p>
    <w:p w14:paraId="51EB0A0C"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niezależnych audytów (wewnętrznych i zewnętrznych);</w:t>
      </w:r>
    </w:p>
    <w:p w14:paraId="40ED470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ścisłej kontroli dokumentów; oraz</w:t>
      </w:r>
    </w:p>
    <w:p w14:paraId="69C9A044"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ciągłego monitorowania działań związanych z kontrolą bezpieczeństwa i działań łagodzących.</w:t>
      </w:r>
    </w:p>
    <w:p w14:paraId="771645AA" w14:textId="44008921" w:rsidR="00092CBF" w:rsidRPr="009E064B" w:rsidRDefault="00092CBF" w:rsidP="00133B99">
      <w:pPr>
        <w:pStyle w:val="Nagwek5"/>
      </w:pPr>
      <w:bookmarkStart w:id="349" w:name="_Toc492024614"/>
      <w:bookmarkStart w:id="350" w:name="_Toc12532702"/>
      <w:r w:rsidRPr="009E064B">
        <w:t xml:space="preserve">AMC1 ADR.OR.D.005(b)(8) </w:t>
      </w:r>
      <w:r w:rsidR="004D6FC2" w:rsidRPr="009E064B">
        <w:t xml:space="preserve">    </w:t>
      </w:r>
      <w:r w:rsidRPr="009E064B">
        <w:t>System zarządzania</w:t>
      </w:r>
      <w:bookmarkEnd w:id="349"/>
      <w:bookmarkEnd w:id="350"/>
    </w:p>
    <w:p w14:paraId="2C7B795A" w14:textId="1D132200"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7EB4F6F"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SZKOLENIE W ZAKRESIE SYSTEMU ZARZĄDZANIA BEZPIECZEŃSTWEM</w:t>
      </w:r>
    </w:p>
    <w:p w14:paraId="395311B8"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ustanowić program szkolenia w zakresie systemu zarządzania bezpieczeństwem dla personelu wszystkich operacji lotniskowych, służb ratowniczo-gaśniczych i personelu obsługi technicznej włącznie z całą kadrą zarządzającą lotniskiem (np. osoby nadzorujące, zarządzające, kadra kierownicza wyższego szczebla oraz kierownik odpowiedzialny), niezależnie od ich miejsca w hierarchii organizacji operatora lotniska.</w:t>
      </w:r>
    </w:p>
    <w:p w14:paraId="42DB82C1"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Zakres oraz poziom szczegółowości szkolenia w zakresie bezpieczeństwa powinny być proporcjonalne i odpowiednie do zakresu odpowiedzialności i udziału osoby w systemie zarządzania bezpieczeństwem.</w:t>
      </w:r>
    </w:p>
    <w:p w14:paraId="7A3407D1" w14:textId="5B74683E"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Program szkolenia w zakresie systemu zarządzania bezpieczeństwem powinie</w:t>
      </w:r>
      <w:r w:rsidR="008D34F8" w:rsidRPr="009E064B">
        <w:rPr>
          <w:rFonts w:asciiTheme="minorHAnsi" w:eastAsia="Calibri" w:hAnsiTheme="minorHAnsi" w:cstheme="minorHAnsi"/>
        </w:rPr>
        <w:t xml:space="preserve">n być opracowany zgodnie z </w:t>
      </w:r>
      <w:hyperlink w:anchor="_AMC1_ADR.OR.D.017(a);(b)_" w:history="1">
        <w:r w:rsidR="008D34F8"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ADR.OR</w:t>
        </w:r>
        <w:r w:rsidR="008D34F8" w:rsidRPr="009E064B">
          <w:rPr>
            <w:rStyle w:val="Hipercze"/>
            <w:rFonts w:asciiTheme="minorHAnsi" w:eastAsia="Calibri" w:hAnsiTheme="minorHAnsi" w:cstheme="minorHAnsi"/>
          </w:rPr>
          <w:t>.D.017(a);(b)</w:t>
        </w:r>
      </w:hyperlink>
      <w:r w:rsidR="008D34F8" w:rsidRPr="009E064B">
        <w:rPr>
          <w:rFonts w:asciiTheme="minorHAnsi" w:eastAsia="Calibri" w:hAnsiTheme="minorHAnsi" w:cstheme="minorHAnsi"/>
        </w:rPr>
        <w:t xml:space="preserve"> oraz </w:t>
      </w:r>
      <w:hyperlink w:anchor="_AMC1_ADR.OPS.B.010(b);(c)_" w:history="1">
        <w:r w:rsidR="008D34F8"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ADR.OPS.B.010(b);(c)</w:t>
        </w:r>
      </w:hyperlink>
      <w:r w:rsidRPr="009E064B">
        <w:rPr>
          <w:rFonts w:asciiTheme="minorHAnsi" w:eastAsia="Calibri" w:hAnsiTheme="minorHAnsi" w:cstheme="minorHAnsi"/>
        </w:rPr>
        <w:t xml:space="preserve"> i być włączony do program szkolenia, który jest tam przewidziany.</w:t>
      </w:r>
    </w:p>
    <w:p w14:paraId="391CD7BC" w14:textId="0AB561E1" w:rsidR="00092CBF" w:rsidRPr="009E064B" w:rsidRDefault="004D6FC2" w:rsidP="00133B99">
      <w:pPr>
        <w:pStyle w:val="Nagwek6"/>
      </w:pPr>
      <w:bookmarkStart w:id="351" w:name="_Toc492024615"/>
      <w:bookmarkStart w:id="352" w:name="_Toc12532703"/>
      <w:r w:rsidRPr="009E064B">
        <w:t xml:space="preserve">GM1 ADR.OR.D.005(b)(8)     </w:t>
      </w:r>
      <w:r w:rsidR="00092CBF" w:rsidRPr="009E064B">
        <w:t>System zarządzania</w:t>
      </w:r>
      <w:bookmarkEnd w:id="351"/>
      <w:bookmarkEnd w:id="352"/>
    </w:p>
    <w:p w14:paraId="228D160C" w14:textId="3E4E252F"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993A088" w14:textId="77777777" w:rsidR="00092CBF" w:rsidRPr="009E064B" w:rsidRDefault="00092CBF" w:rsidP="00B06A9A">
      <w:pPr>
        <w:widowControl/>
        <w:jc w:val="left"/>
        <w:rPr>
          <w:rFonts w:asciiTheme="minorHAnsi" w:eastAsia="Calibri" w:hAnsiTheme="minorHAnsi" w:cstheme="minorHAnsi"/>
        </w:rPr>
      </w:pPr>
      <w:r w:rsidRPr="009E064B">
        <w:rPr>
          <w:rFonts w:asciiTheme="minorHAnsi" w:eastAsia="Calibri" w:hAnsiTheme="minorHAnsi" w:cstheme="minorHAnsi"/>
        </w:rPr>
        <w:t>WYMAGANIA DOTYCZĄCE SZKOLENIA PERSONELU W ZAKRESIE SYSTEMU ZARZĄDZANIA BEZPIECZEŃSTWEM</w:t>
      </w:r>
    </w:p>
    <w:p w14:paraId="4F82308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Personel służby operacyjnych, służb ratowniczo-gaśniczych i obsługi technicznej</w:t>
      </w:r>
    </w:p>
    <w:p w14:paraId="508CDB46" w14:textId="125DC4FD"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Szkolenie w zakresie bezpieczeństwa powinno dotyczyć zadań z zakresu bezpieczeństwa, w tym przestrzegania wsz</w:t>
      </w:r>
      <w:r w:rsidR="008D34F8" w:rsidRPr="009E064B">
        <w:rPr>
          <w:rFonts w:asciiTheme="minorHAnsi" w:eastAsia="Calibri" w:hAnsiTheme="minorHAnsi" w:cstheme="minorHAnsi"/>
        </w:rPr>
        <w:t xml:space="preserve">ystkich procedur operacyjnych i </w:t>
      </w:r>
      <w:r w:rsidRPr="009E064B">
        <w:rPr>
          <w:rFonts w:asciiTheme="minorHAnsi" w:eastAsia="Calibri" w:hAnsiTheme="minorHAnsi" w:cstheme="minorHAnsi"/>
        </w:rPr>
        <w:t>bezpieczeństwa oraz rozpoznawania i zgłaszania zagrożeń;</w:t>
      </w:r>
    </w:p>
    <w:p w14:paraId="46C4EEA9" w14:textId="78D06924"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Cele szkolenia powinny obejmować politykę bezpieczeńs</w:t>
      </w:r>
      <w:r w:rsidR="00CE4EDD" w:rsidRPr="009E064B">
        <w:rPr>
          <w:rFonts w:asciiTheme="minorHAnsi" w:eastAsia="Calibri" w:hAnsiTheme="minorHAnsi" w:cstheme="minorHAnsi"/>
        </w:rPr>
        <w:t>twa organizacji oraz podstawy i </w:t>
      </w:r>
      <w:r w:rsidRPr="009E064B">
        <w:rPr>
          <w:rFonts w:asciiTheme="minorHAnsi" w:eastAsia="Calibri" w:hAnsiTheme="minorHAnsi" w:cstheme="minorHAnsi"/>
        </w:rPr>
        <w:t>przegląd systemu zarządzania bezpieczeństwem;</w:t>
      </w:r>
    </w:p>
    <w:p w14:paraId="0C04A842"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Treść szkolenia powinna zawierać:</w:t>
      </w:r>
    </w:p>
    <w:p w14:paraId="29B79DC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definicje zagrożeń;</w:t>
      </w:r>
    </w:p>
    <w:p w14:paraId="042DB9A9"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konsekwencje i ryzyka;</w:t>
      </w:r>
    </w:p>
    <w:p w14:paraId="6938495B"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proces zarządzania ryzykiem w zakresie bezpieczeństwa, w tym zadania i obowiązki; oraz</w:t>
      </w:r>
    </w:p>
    <w:p w14:paraId="2F631468"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zgłaszanie spraw związanych z bezpieczeństwem i system(y) zgłaszania spraw związanych z bezpieczeństwa istniejące w organizacji.</w:t>
      </w:r>
    </w:p>
    <w:p w14:paraId="0712A64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Kierownicy i osoby nadzorujące</w:t>
      </w:r>
    </w:p>
    <w:p w14:paraId="71820373" w14:textId="4F9FA62C"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Szkolenie w zakresie bezpieczeństwa powinno dotyczyć zadań z zakresu bezpieczeństwa, w tym promowania SMS i angażowania pracowników</w:t>
      </w:r>
      <w:r w:rsidR="00CE4EDD" w:rsidRPr="009E064B">
        <w:rPr>
          <w:rFonts w:asciiTheme="minorHAnsi" w:eastAsia="Calibri" w:hAnsiTheme="minorHAnsi" w:cstheme="minorHAnsi"/>
        </w:rPr>
        <w:t xml:space="preserve"> operacyjnych w powiadamianie o </w:t>
      </w:r>
      <w:r w:rsidRPr="009E064B">
        <w:rPr>
          <w:rFonts w:asciiTheme="minorHAnsi" w:eastAsia="Calibri" w:hAnsiTheme="minorHAnsi" w:cstheme="minorHAnsi"/>
        </w:rPr>
        <w:t>zagrożeniach;</w:t>
      </w:r>
    </w:p>
    <w:p w14:paraId="23CB572D" w14:textId="7340BDD3"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Oprócz celów szkoleniowych ustalonych dla pracowników operacyjnych, cele szkolenia dla osób zarządzających i nadzorujących powinny zawierać szczegółową wiedzę na temat procesu bezpieczeństwa, identyfikacji zagrożeń, zarz</w:t>
      </w:r>
      <w:r w:rsidR="00CE4EDD" w:rsidRPr="009E064B">
        <w:rPr>
          <w:rFonts w:asciiTheme="minorHAnsi" w:eastAsia="Calibri" w:hAnsiTheme="minorHAnsi" w:cstheme="minorHAnsi"/>
        </w:rPr>
        <w:t>ądzania i ograniczania ryzyka w </w:t>
      </w:r>
      <w:r w:rsidRPr="009E064B">
        <w:rPr>
          <w:rFonts w:asciiTheme="minorHAnsi" w:eastAsia="Calibri" w:hAnsiTheme="minorHAnsi" w:cstheme="minorHAnsi"/>
        </w:rPr>
        <w:t>zakresie bezpieczeństwa oraz zarządzania zmianą;</w:t>
      </w:r>
    </w:p>
    <w:p w14:paraId="4ADC31B0"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Oprócz treści określonych dla personelu operacyjnego, treść szkolenia dla osób nadzorujących i kierowników powinna obejmować analizę danych z zakresu bezpieczeństwa.</w:t>
      </w:r>
    </w:p>
    <w:p w14:paraId="7C6B0CB1"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Kadra kierownicza wyższego szczebla</w:t>
      </w:r>
    </w:p>
    <w:p w14:paraId="31D2E7C0"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Szkolenie z zakresu bezpieczeństwa powinno obejmować obowiązki dotyczące bezpieczeństwa, w tym zgodne z wymaganiami krajowymi i Unii Europejskiej oraz wymaganiami bezpieczeństwa własnej organizacji, przydzielanie środków, zapewnienie efektywnej komunikacji między departamentami w zakresie bezpieczeństwa, oraz aktywną promocję systemu zarządzania bezpieczeństwem;</w:t>
      </w:r>
    </w:p>
    <w:p w14:paraId="03117790"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Poza celami szkolenia dla dwóch poprzednich grup pracowniczych, szkolenia w zakresie bezpieczeństwa powinny obejmować zapewnienie bezpieczeństwa i propagowanie bezpieczeństwa, funkcje bezpieczeństwa i obowiązki oraz ustalenia odnośnie dopuszczalnych poziomów bezpieczeństwa.</w:t>
      </w:r>
    </w:p>
    <w:p w14:paraId="5024756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Kierownik odpowiedzialny</w:t>
      </w:r>
    </w:p>
    <w:p w14:paraId="21B7C835" w14:textId="77777777" w:rsidR="00092CBF" w:rsidRPr="009E064B" w:rsidRDefault="00092CBF" w:rsidP="00B06A9A">
      <w:pPr>
        <w:widowControl/>
        <w:ind w:left="567"/>
        <w:rPr>
          <w:rFonts w:asciiTheme="minorHAnsi" w:eastAsia="Calibri" w:hAnsiTheme="minorHAnsi" w:cstheme="minorHAnsi"/>
        </w:rPr>
      </w:pPr>
      <w:r w:rsidRPr="009E064B">
        <w:rPr>
          <w:rFonts w:asciiTheme="minorHAnsi" w:eastAsia="Calibri" w:hAnsiTheme="minorHAnsi" w:cstheme="minorHAnsi"/>
        </w:rPr>
        <w:t>Szkolenie powinno zapewnić kierownikowi odpowiedzialnemu, ogólną wiedzę o systemie zarządzania bezpieczeństwem w organizacji, w tym o zadaniach i obowiązkach związanych z systemu zarządzania bezpieczeństwem, polityce i celach bezpieczeństwa, zarządzaniu ryzykiem z zakresu bezpieczeństwa i zapewnieniu bezpieczeństwa.</w:t>
      </w:r>
    </w:p>
    <w:p w14:paraId="22886C0D" w14:textId="6D4EBCC1" w:rsidR="00092CBF" w:rsidRPr="009E064B" w:rsidRDefault="00092CBF" w:rsidP="00133B99">
      <w:pPr>
        <w:pStyle w:val="Nagwek5"/>
      </w:pPr>
      <w:bookmarkStart w:id="353" w:name="_Toc492024616"/>
      <w:bookmarkStart w:id="354" w:name="_Toc12532704"/>
      <w:r w:rsidRPr="009E064B">
        <w:t xml:space="preserve">AMC1 ADR.OR.D.005(b)(9)    </w:t>
      </w:r>
      <w:r w:rsidR="004D6FC2" w:rsidRPr="009E064B">
        <w:t xml:space="preserve"> </w:t>
      </w:r>
      <w:r w:rsidRPr="009E064B">
        <w:t>System zarządzania</w:t>
      </w:r>
      <w:bookmarkEnd w:id="353"/>
      <w:bookmarkEnd w:id="354"/>
    </w:p>
    <w:p w14:paraId="66A5FD8C" w14:textId="5C3CA6EE"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8FCC10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KOMUNIKACJA W ZAKRESIE BEZPIECZEŃSTWA</w:t>
      </w:r>
    </w:p>
    <w:p w14:paraId="6384C802" w14:textId="4082AB2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komunikować cele i procedury systemu zarządzania bezpieczeństwem całemu personelowi operacyjnemu, a syste</w:t>
      </w:r>
      <w:r w:rsidR="00CE4EDD" w:rsidRPr="009E064B">
        <w:rPr>
          <w:rFonts w:asciiTheme="minorHAnsi" w:eastAsia="Calibri" w:hAnsiTheme="minorHAnsi" w:cstheme="minorHAnsi"/>
        </w:rPr>
        <w:t>m zarządzania bezpieczeństwem i </w:t>
      </w:r>
      <w:r w:rsidRPr="009E064B">
        <w:rPr>
          <w:rFonts w:asciiTheme="minorHAnsi" w:eastAsia="Calibri" w:hAnsiTheme="minorHAnsi" w:cstheme="minorHAnsi"/>
        </w:rPr>
        <w:t>jego stosowanie powinny być widoczne we wszystkich aspektach działalności.</w:t>
      </w:r>
    </w:p>
    <w:p w14:paraId="77F9D89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Komunikacja powinna przepływać pomiędzy kierownikiem ds. bezpieczeństwa a personelem operacyjnym w całej organizacji. Kierownik ds. bezpieczeństwa powinien informować o skuteczności systemu zarządzania bezpieczeństwem w organizacji za pomocą odpowiednich środków. Kierownik ds. bezpieczeństwa powinien również zapewnić, że wnioski wyciągnięte z badań, wydarzeń związanych z bezpieczeństwem, lub z innych doświadczeń związanych z bezpieczeństwem, zarówno wewnętrznych, jak i od innych organizacji, są szeroko rozpowszechniane.</w:t>
      </w:r>
    </w:p>
    <w:p w14:paraId="46F7910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Komunikacja w zakresie bezpieczeństwa powinna mieć na celu:</w:t>
      </w:r>
    </w:p>
    <w:p w14:paraId="2283371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zapewnienie, aby wszyscy pracownicy mieli pełną świadomość działania systemu zarządzania bezpieczeństwem;</w:t>
      </w:r>
    </w:p>
    <w:p w14:paraId="1EE4879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przekazywanie informacji mających decydujące znaczenie dla bezpieczeństwa;</w:t>
      </w:r>
    </w:p>
    <w:p w14:paraId="4033058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wyjaśnianie, dlaczego konkretne działania są podejmowane; oraz</w:t>
      </w:r>
    </w:p>
    <w:p w14:paraId="0067B2B6" w14:textId="6442D94E" w:rsidR="00CE4EDD"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wyjaśnianie, dlaczego procedury w zakresie bezpieczeństwa zostały wprowadzone lub zmienione.</w:t>
      </w:r>
    </w:p>
    <w:p w14:paraId="253F991B" w14:textId="119F8F9D" w:rsidR="00092CBF" w:rsidRPr="009E064B" w:rsidRDefault="00092CBF" w:rsidP="00133B99">
      <w:pPr>
        <w:pStyle w:val="Nagwek6"/>
      </w:pPr>
      <w:bookmarkStart w:id="355" w:name="_Toc492024617"/>
      <w:bookmarkStart w:id="356" w:name="_Toc12532705"/>
      <w:r w:rsidRPr="009E064B">
        <w:t xml:space="preserve">GM1 ADR.OR.D.005(b)(9)    </w:t>
      </w:r>
      <w:r w:rsidR="004D6FC2" w:rsidRPr="009E064B">
        <w:t xml:space="preserve"> </w:t>
      </w:r>
      <w:r w:rsidRPr="009E064B">
        <w:t>System zarządzania</w:t>
      </w:r>
      <w:bookmarkEnd w:id="355"/>
      <w:bookmarkEnd w:id="356"/>
    </w:p>
    <w:p w14:paraId="13E16200" w14:textId="6E33B043"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8795CE9"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KOMUNIKACJA W ZAKRESIE BEZPIECZEŃSTWA</w:t>
      </w:r>
    </w:p>
    <w:p w14:paraId="72EE385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może korzystać z następujących narzędzi do komunikowania informacji z zakresu bezpieczeństwa:</w:t>
      </w:r>
    </w:p>
    <w:p w14:paraId="37F4A924"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podręcznik systemu zarządzania bezpieczeństwem;</w:t>
      </w:r>
    </w:p>
    <w:p w14:paraId="400998D4"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procesy i procedury z zakresu bezpieczeństwa;</w:t>
      </w:r>
    </w:p>
    <w:p w14:paraId="4B38D32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biuletyny i ogłoszenia z zakresu bezpieczeństwa; oraz</w:t>
      </w:r>
    </w:p>
    <w:p w14:paraId="5E0A879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strony internetowe lub wiadomości e-mail;</w:t>
      </w:r>
    </w:p>
    <w:p w14:paraId="54FFA92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Regularne spotkania z personelem, na których omawiane są informacje, działania i procedury mogą być stosowane do komunikowania spraw związanych z bezpieczeństwem.</w:t>
      </w:r>
    </w:p>
    <w:p w14:paraId="6F0A2BF0" w14:textId="33534CA2" w:rsidR="00092CBF" w:rsidRPr="009E064B" w:rsidRDefault="00092CBF" w:rsidP="00133B99">
      <w:pPr>
        <w:pStyle w:val="Nagwek5"/>
      </w:pPr>
      <w:bookmarkStart w:id="357" w:name="_Toc492024618"/>
      <w:bookmarkStart w:id="358" w:name="_Toc12532706"/>
      <w:r w:rsidRPr="009E064B">
        <w:t xml:space="preserve">AMC1 ADR.OR.D.005(b)(10)    </w:t>
      </w:r>
      <w:r w:rsidR="004D6FC2" w:rsidRPr="009E064B">
        <w:t xml:space="preserve"> </w:t>
      </w:r>
      <w:r w:rsidRPr="009E064B">
        <w:t>System zarządzania</w:t>
      </w:r>
      <w:bookmarkEnd w:id="357"/>
      <w:bookmarkEnd w:id="358"/>
    </w:p>
    <w:p w14:paraId="74449B68" w14:textId="6AEB2EBA"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0AE37D" w14:textId="31B71B19"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KOORDYNACJA PLANU </w:t>
      </w:r>
      <w:r w:rsidR="001359B5" w:rsidRPr="009E064B">
        <w:rPr>
          <w:rFonts w:asciiTheme="minorHAnsi" w:eastAsia="Calibri" w:hAnsiTheme="minorHAnsi" w:cstheme="minorHAnsi"/>
        </w:rPr>
        <w:t>DZIAŁANIA W SYTUACJACH ZAGROŻENIA DLA LOTNISKA</w:t>
      </w:r>
    </w:p>
    <w:p w14:paraId="47C5EBE1" w14:textId="461280B2"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Koordynacja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opracowanego zgodnie z wymaganiami zawartymi w </w:t>
      </w:r>
      <w:r w:rsidR="00F809D7" w:rsidRPr="009E064B">
        <w:rPr>
          <w:rFonts w:asciiTheme="minorHAnsi" w:eastAsia="Calibri" w:hAnsiTheme="minorHAnsi" w:cstheme="minorHAnsi"/>
          <w:szCs w:val="18"/>
        </w:rPr>
        <w:t>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 z systemem zarządzania bezpieczeństwem powinna zapewnić ciągłe doskonalenie systemów i procedur zawartych w tym planie.</w:t>
      </w:r>
    </w:p>
    <w:p w14:paraId="0EF6FCCB" w14:textId="74582166" w:rsidR="00092CBF" w:rsidRPr="009E064B" w:rsidRDefault="00092CBF" w:rsidP="00133B99">
      <w:pPr>
        <w:pStyle w:val="Nagwek6"/>
      </w:pPr>
      <w:bookmarkStart w:id="359" w:name="_Toc492024619"/>
      <w:bookmarkStart w:id="360" w:name="_Toc12532707"/>
      <w:r w:rsidRPr="009E064B">
        <w:t xml:space="preserve">GM1 ADR.OR.D.005(b)(10)   </w:t>
      </w:r>
      <w:r w:rsidR="004D6FC2" w:rsidRPr="009E064B">
        <w:t xml:space="preserve"> </w:t>
      </w:r>
      <w:r w:rsidRPr="009E064B">
        <w:t xml:space="preserve"> System zarządzania</w:t>
      </w:r>
      <w:bookmarkEnd w:id="359"/>
      <w:bookmarkEnd w:id="360"/>
    </w:p>
    <w:p w14:paraId="344CBA5C" w14:textId="20C2C95D"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E962140" w14:textId="341D5BDD"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KOORDYNACJA PLANU </w:t>
      </w:r>
      <w:r w:rsidR="001359B5" w:rsidRPr="009E064B">
        <w:rPr>
          <w:rFonts w:asciiTheme="minorHAnsi" w:eastAsia="Calibri" w:hAnsiTheme="minorHAnsi" w:cstheme="minorHAnsi"/>
        </w:rPr>
        <w:t>DZIAŁANIA W SYTUACJACH ZAGROŻENIA DLA LOTNISKA</w:t>
      </w:r>
    </w:p>
    <w:p w14:paraId="60869F8A" w14:textId="218A0CFD"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Ciągłe doskonalenie systemów i procedur zawartych w planie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może być osiągane, między innymi, poprzez:</w:t>
      </w:r>
    </w:p>
    <w:p w14:paraId="27A364C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prowadzenie przeglądu odpowiednich części planu działania w sytuacjach zagrożenia po ich pełnym lub częściowym przećwiczeniu;</w:t>
      </w:r>
    </w:p>
    <w:p w14:paraId="425CD7A4"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omówienie i analizę działań w sytuacjach zagrożenia po wystąpieniu sytuacji kryzysowej; oraz</w:t>
      </w:r>
    </w:p>
    <w:p w14:paraId="7EC989C3"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opracowanie nowych procedur i systemów alarmowych w ramach planu działania w sytuacjach zagrożenia, gdy nowe zagrożenia zostaną zidentyfikowane przez system zarządzania bezpieczeństwem,</w:t>
      </w:r>
    </w:p>
    <w:p w14:paraId="14B70038" w14:textId="2DE7C0B2" w:rsidR="00834C69"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aby zapewnić, między innymi, koordynację z planami działania w sytuacjach zagrożenia innych organizacji, współdziałających z lotniskiem.</w:t>
      </w:r>
    </w:p>
    <w:p w14:paraId="4B9019EB" w14:textId="4012D797" w:rsidR="00092CBF" w:rsidRPr="009E064B" w:rsidRDefault="00092CBF" w:rsidP="00133B99">
      <w:pPr>
        <w:pStyle w:val="Nagwek5"/>
      </w:pPr>
      <w:bookmarkStart w:id="361" w:name="_Toc492024620"/>
      <w:bookmarkStart w:id="362" w:name="_Toc12532708"/>
      <w:r w:rsidRPr="009E064B">
        <w:t xml:space="preserve">AMC1 ADR.OR.D.005(b)(11)    </w:t>
      </w:r>
      <w:r w:rsidR="004D6FC2" w:rsidRPr="009E064B">
        <w:t xml:space="preserve"> </w:t>
      </w:r>
      <w:r w:rsidRPr="009E064B">
        <w:t>System zarządzania</w:t>
      </w:r>
      <w:bookmarkEnd w:id="361"/>
      <w:bookmarkEnd w:id="362"/>
    </w:p>
    <w:p w14:paraId="723F2156" w14:textId="66AC1C8F"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AEEDFB1"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MONITOROWANIE SPEŁNIENIA WYMAGAŃ</w:t>
      </w:r>
    </w:p>
    <w:p w14:paraId="39088874"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Monitorowanie spełnienia wymagań</w:t>
      </w:r>
    </w:p>
    <w:p w14:paraId="1767AD6C" w14:textId="729C3349"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Wdrożenie i stosowanie procesu monitorowania spełnienia wymagań powinno umożliwić operatorowi lotniska monitorowanie zgodności z odpowiednimi wymagan</w:t>
      </w:r>
      <w:r w:rsidR="008D34F8" w:rsidRPr="009E064B">
        <w:rPr>
          <w:rFonts w:asciiTheme="minorHAnsi" w:eastAsia="Calibri" w:hAnsiTheme="minorHAnsi" w:cstheme="minorHAnsi"/>
        </w:rPr>
        <w:t xml:space="preserve">iami niniejszej Części,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 a także wszelkich innych obowiązujących wymagań prawnych lub wymagań określonych przez operatora lotniska.</w:t>
      </w:r>
    </w:p>
    <w:p w14:paraId="7F74D58F"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Operator lotniska powinien określić podstawową strukturę monitorowania spełnienia wymagań mającą zastosowanie do prowadzonej działalności.</w:t>
      </w:r>
    </w:p>
    <w:p w14:paraId="4031BA2C"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Monitorowanie spełnienia wymagań powinno być odpowiednio wdrożone, utrzymywane i poddawane ciągłemu przeglądowi oraz, w razie potrzeby, ulepszane.</w:t>
      </w:r>
    </w:p>
    <w:p w14:paraId="4EC00120"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Monitorowanie spełnienia wymagań powinno być zorganizowane w zależności od wielkości organizacji i złożoności działań, które mają być monitorowane, w tym tych, które zostały zlecone.</w:t>
      </w:r>
    </w:p>
    <w:p w14:paraId="36F80BFB" w14:textId="77777777"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Monitorowanie spełnienia wymagań powinno obejmować system informacji zwrotnych dotyczących niezgodności, zgłaszanych do kierownika odpowiedzialnego, aby w razie potrzeby zapewnić, skuteczne wdrożenie działań naprawczych.</w:t>
      </w:r>
    </w:p>
    <w:p w14:paraId="64F0707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Operator lotniska powinien monitorować zgodność z procedurami, które opracował, w celu zapewnienia bezpieczeństwa prowadzonych działań. W ten sposób operator lotniska powinien przynajmniej, tam gdzie to stosowne, monitorować zgodność z:</w:t>
      </w:r>
    </w:p>
    <w:p w14:paraId="7717DF6B"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uprawnieniami operatora lotniska;</w:t>
      </w:r>
    </w:p>
    <w:p w14:paraId="69E309AC"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instrukcjami, dziennikami i dokumentacją;</w:t>
      </w:r>
    </w:p>
    <w:p w14:paraId="45F70ACA"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standardami szkolenia;</w:t>
      </w:r>
    </w:p>
    <w:p w14:paraId="3165B22A"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wymaganymi środkami; oraz</w:t>
      </w:r>
    </w:p>
    <w:p w14:paraId="2570B36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podręcznikami i procedurami systemu zarządzania.</w:t>
      </w:r>
    </w:p>
    <w:p w14:paraId="6F9E339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Struktura organizacyjna</w:t>
      </w:r>
    </w:p>
    <w:p w14:paraId="232E90F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 monitorowanie spełnienia wymagań powinna być odpowiedzialna osoba.</w:t>
      </w:r>
    </w:p>
    <w:p w14:paraId="4C7BE424" w14:textId="48AEC0C3" w:rsidR="00092CBF" w:rsidRPr="009E064B" w:rsidRDefault="00092CBF" w:rsidP="00B06A9A">
      <w:pPr>
        <w:widowControl/>
        <w:ind w:left="1134"/>
        <w:rPr>
          <w:rFonts w:asciiTheme="minorHAnsi" w:eastAsia="Calibri" w:hAnsiTheme="minorHAnsi" w:cstheme="minorHAnsi"/>
        </w:rPr>
      </w:pPr>
      <w:r w:rsidRPr="009E064B">
        <w:rPr>
          <w:rFonts w:asciiTheme="minorHAnsi" w:eastAsia="Calibri" w:hAnsiTheme="minorHAnsi" w:cstheme="minorHAnsi"/>
        </w:rPr>
        <w:t xml:space="preserve">Kierownik odpowiedzialny, w odniesieniu do jego/jej bezpośredniej odpowiedzialności za bezpieczeństwo, powinien zapewnić, zgodnie z </w:t>
      </w:r>
      <w:hyperlink w:anchor="_ADR.OR.D.015__" w:history="1">
        <w:r w:rsidRPr="009E064B">
          <w:rPr>
            <w:rStyle w:val="Hipercze"/>
            <w:rFonts w:asciiTheme="minorHAnsi" w:eastAsia="Calibri" w:hAnsiTheme="minorHAnsi" w:cstheme="minorHAnsi"/>
          </w:rPr>
          <w:t>ADR.</w:t>
        </w:r>
        <w:r w:rsidR="00D72D9C" w:rsidRPr="009E064B">
          <w:rPr>
            <w:rStyle w:val="Hipercze"/>
            <w:rFonts w:asciiTheme="minorHAnsi" w:eastAsia="Calibri" w:hAnsiTheme="minorHAnsi" w:cstheme="minorHAnsi"/>
          </w:rPr>
          <w:t>OR.</w:t>
        </w:r>
        <w:r w:rsidRPr="009E064B">
          <w:rPr>
            <w:rStyle w:val="Hipercze"/>
            <w:rFonts w:asciiTheme="minorHAnsi" w:eastAsia="Calibri" w:hAnsiTheme="minorHAnsi" w:cstheme="minorHAnsi"/>
          </w:rPr>
          <w:t>D.015</w:t>
        </w:r>
      </w:hyperlink>
      <w:r w:rsidR="00D72D9C" w:rsidRPr="009E064B">
        <w:rPr>
          <w:rFonts w:asciiTheme="minorHAnsi" w:eastAsia="Calibri" w:hAnsiTheme="minorHAnsi" w:cstheme="minorHAnsi"/>
        </w:rPr>
        <w:t xml:space="preserve"> lit. </w:t>
      </w:r>
      <w:r w:rsidRPr="009E064B">
        <w:rPr>
          <w:rFonts w:asciiTheme="minorHAnsi" w:eastAsia="Calibri" w:hAnsiTheme="minorHAnsi" w:cstheme="minorHAnsi"/>
        </w:rPr>
        <w:t>(a), że do monitorowania spełnienia wymagań przydzielane są wystarczające środki. W przypadku, gdy osoba odpowiedzialna za monitorowanie spełnienia wymagań działa również, jako kierownik ds. bezpieczeństwa, to kierownik odpowiedzialny powinien zapewnić, że wystarczające środki są przydzielane dla obu tych funkcji, biorąc pod uwagę wielkość operatora lotniska, a także charakter i złożoność jego działalności.</w:t>
      </w:r>
    </w:p>
    <w:p w14:paraId="47EC0A7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Niezależność monitorowania spełnienia wymagań powinna być ustalona przez zapewnienie, że audyty i inspekcje są przeprowadzane przez personel, który nie odpowiada za podlegającą kontroli działalność, procedury, itp.</w:t>
      </w:r>
    </w:p>
    <w:p w14:paraId="4559C1A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Personel zaangażowany w monitorowanie spełnienia wymagań powinien mieć dostęp do każdej części organizacji lotniska oraz każdej organizacji będącej podwykonawcą, jeśli jest to wymagane.</w:t>
      </w:r>
    </w:p>
    <w:p w14:paraId="1F6728B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Dokumentacja dotycząca monitorowanie spełniania wymagań</w:t>
      </w:r>
    </w:p>
    <w:p w14:paraId="5392CB47" w14:textId="090F2081"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Przedmiotowa dokumentacja powinna obejmować odpowiednią część</w:t>
      </w:r>
      <w:r w:rsidR="00834C69" w:rsidRPr="009E064B">
        <w:rPr>
          <w:rFonts w:asciiTheme="minorHAnsi" w:eastAsia="Calibri" w:hAnsiTheme="minorHAnsi" w:cstheme="minorHAnsi"/>
        </w:rPr>
        <w:t xml:space="preserve"> </w:t>
      </w:r>
      <w:r w:rsidRPr="009E064B">
        <w:rPr>
          <w:rFonts w:asciiTheme="minorHAnsi" w:eastAsia="Calibri" w:hAnsiTheme="minorHAnsi" w:cstheme="minorHAnsi"/>
        </w:rPr>
        <w:t>(</w:t>
      </w:r>
      <w:r w:rsidR="00834C69" w:rsidRPr="009E064B">
        <w:rPr>
          <w:rFonts w:asciiTheme="minorHAnsi" w:eastAsia="Calibri" w:hAnsiTheme="minorHAnsi" w:cstheme="minorHAnsi"/>
        </w:rPr>
        <w:t>części</w:t>
      </w:r>
      <w:r w:rsidRPr="009E064B">
        <w:rPr>
          <w:rFonts w:asciiTheme="minorHAnsi" w:eastAsia="Calibri" w:hAnsiTheme="minorHAnsi" w:cstheme="minorHAnsi"/>
        </w:rPr>
        <w:t>) dokumentacji systemu zarządzania operatora lotniska.</w:t>
      </w:r>
    </w:p>
    <w:p w14:paraId="418D3CD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Ponadto, przedmiotowa dokumentacja powinna również zawierać:</w:t>
      </w:r>
    </w:p>
    <w:p w14:paraId="62648422"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terminologię;</w:t>
      </w:r>
    </w:p>
    <w:p w14:paraId="452DFFBE"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określone standardy działania;</w:t>
      </w:r>
    </w:p>
    <w:p w14:paraId="10B8EB60"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opis organizacji operatora lotniska;</w:t>
      </w:r>
    </w:p>
    <w:p w14:paraId="212A8311"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podział obowiązków i odpowiedzialności;</w:t>
      </w:r>
    </w:p>
    <w:p w14:paraId="76F2D7B3"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procedury zapewniające zgodność z przepisami;</w:t>
      </w:r>
    </w:p>
    <w:p w14:paraId="5D49D487"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program monitorowania zgodności, odzwierciedlający:</w:t>
      </w:r>
    </w:p>
    <w:p w14:paraId="746B2B76"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harmonogram realizacji programu monitorowania spełnienia wymagań;</w:t>
      </w:r>
    </w:p>
    <w:p w14:paraId="4E6F47B3"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procedury prowadzenia audytu;</w:t>
      </w:r>
    </w:p>
    <w:p w14:paraId="1E1E855B"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procedury raportowania;</w:t>
      </w:r>
    </w:p>
    <w:p w14:paraId="13EEBA0B"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procedury działań następczych (pokontrolnych) i naprawczych; oraz</w:t>
      </w:r>
    </w:p>
    <w:p w14:paraId="4864047F" w14:textId="77777777" w:rsidR="00092CBF" w:rsidRPr="009E064B" w:rsidRDefault="00092CBF"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system dokumentowania;</w:t>
      </w:r>
    </w:p>
    <w:p w14:paraId="400D676F" w14:textId="23B962E0"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 xml:space="preserve">minimum programowe do szkolenia, o którym mowa w </w:t>
      </w:r>
      <w:r w:rsidR="00D72D9C" w:rsidRPr="009E064B">
        <w:rPr>
          <w:rFonts w:asciiTheme="minorHAnsi" w:eastAsia="Calibri" w:hAnsiTheme="minorHAnsi" w:cstheme="minorHAnsi"/>
        </w:rPr>
        <w:t xml:space="preserve">lit. </w:t>
      </w:r>
      <w:r w:rsidRPr="009E064B">
        <w:rPr>
          <w:rFonts w:asciiTheme="minorHAnsi" w:eastAsia="Calibri" w:hAnsiTheme="minorHAnsi" w:cstheme="minorHAnsi"/>
        </w:rPr>
        <w:t>(d)</w:t>
      </w:r>
      <w:r w:rsidR="00D72D9C" w:rsidRPr="009E064B">
        <w:rPr>
          <w:rFonts w:asciiTheme="minorHAnsi" w:eastAsia="Calibri" w:hAnsiTheme="minorHAnsi" w:cstheme="minorHAnsi"/>
        </w:rPr>
        <w:t xml:space="preserve"> pkt </w:t>
      </w:r>
      <w:r w:rsidRPr="009E064B">
        <w:rPr>
          <w:rFonts w:asciiTheme="minorHAnsi" w:eastAsia="Calibri" w:hAnsiTheme="minorHAnsi" w:cstheme="minorHAnsi"/>
        </w:rPr>
        <w:t>(2); oraz</w:t>
      </w:r>
    </w:p>
    <w:p w14:paraId="5D45EB5C" w14:textId="77777777" w:rsidR="00092CBF" w:rsidRPr="009E064B" w:rsidRDefault="00092CBF"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kontrolę dokumentów.</w:t>
      </w:r>
    </w:p>
    <w:p w14:paraId="5E6300B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Szkolenie</w:t>
      </w:r>
    </w:p>
    <w:p w14:paraId="171E38B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Prawidłowe i dokładne szkolenie jest niezbędne do optymalizacji spełniania wymagań przez każdego operatora lotniska. W celu osiągnięcia istotnych efektów takiego szkolenia, operator powinien zapewnić, że cały personel rozumie cele określone w dokumentacji systemu zarządzania operatora.</w:t>
      </w:r>
    </w:p>
    <w:p w14:paraId="7D731AC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Osoby odpowiedzialne za zarządzanie monitorowaniem spełnienia wymagań powinny zostać przeszkolone w zakresie tego zadania. Takie szkolenie powinno obejmować wymagania dotyczące monitorowania spełniania wymagań, instrukcje i procedury związane z tym zadaniem, techniki audytowania, raportowanie i dokumentowania.</w:t>
      </w:r>
    </w:p>
    <w:p w14:paraId="43D70AA7"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Należy zapewnić odpowiednią ilość czasu na szkolenie personelu zaangażowanego w zarządzanie spełnianiem wymagań i prowadzenie spotkań informacyjnych z pozostałym personelem.</w:t>
      </w:r>
    </w:p>
    <w:p w14:paraId="2BC071B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Przydział czasu i środków powinien opierać się na wielkości i złożoności działalności, której to dotyczy.</w:t>
      </w:r>
    </w:p>
    <w:p w14:paraId="10D7A3DF"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Monitorowanie spełnienia wymagań - planowanie audytu</w:t>
      </w:r>
    </w:p>
    <w:p w14:paraId="3BB65770" w14:textId="2CA203D9"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Powinien być zostać opracowany harmonogram audytów do przeprowadzenia w określonym przedziale kalendarzowym i okresowy cykl przeglądu dla każdego obszaru. Samo monitorowanie spełnienia wymagań powinno</w:t>
      </w:r>
      <w:r w:rsidR="00CE4EDD" w:rsidRPr="009E064B">
        <w:rPr>
          <w:rFonts w:asciiTheme="minorHAnsi" w:eastAsia="Calibri" w:hAnsiTheme="minorHAnsi" w:cstheme="minorHAnsi"/>
        </w:rPr>
        <w:t xml:space="preserve"> być poddane audytowi zgodnie z </w:t>
      </w:r>
      <w:r w:rsidRPr="009E064B">
        <w:rPr>
          <w:rFonts w:asciiTheme="minorHAnsi" w:eastAsia="Calibri" w:hAnsiTheme="minorHAnsi" w:cstheme="minorHAnsi"/>
        </w:rPr>
        <w:t>określonym harmonogramem kontroli. Harmonogram powinien umożliwiać przeprowadzenie nieplanowanych audytów, gdy zidentyfikowane są niepożądane tendencje. W celu sprawdzenia czy działania naprawcze zostały przeprowadzone, czy były one skuteczne, i czy zostały zakończone zgodnie z zasad</w:t>
      </w:r>
      <w:r w:rsidR="00CE4EDD" w:rsidRPr="009E064B">
        <w:rPr>
          <w:rFonts w:asciiTheme="minorHAnsi" w:eastAsia="Calibri" w:hAnsiTheme="minorHAnsi" w:cstheme="minorHAnsi"/>
        </w:rPr>
        <w:t>ami i procedurami określonymi w </w:t>
      </w:r>
      <w:r w:rsidRPr="009E064B">
        <w:rPr>
          <w:rFonts w:asciiTheme="minorHAnsi" w:eastAsia="Calibri" w:hAnsiTheme="minorHAnsi" w:cstheme="minorHAnsi"/>
        </w:rPr>
        <w:t xml:space="preserve">instrukcji operacyjnej lotniska, powinny być zaplanowane audyty pokontrolne (następcze). </w:t>
      </w:r>
    </w:p>
    <w:p w14:paraId="5D452AB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Lotnisko, kluczowe procesy jego systemu zarządzania, procedury oraz funkcjonowanie lotniska powinno być audytowane w ciągu pierwszych 12 miesięcy od daty wydania certyfikatu.</w:t>
      </w:r>
    </w:p>
    <w:p w14:paraId="4184B62D" w14:textId="08DA1074"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 tym, operator lotniska powinien rozważyć wyniki swojej oceny bezpieczeństwa (ryzyka) i swoich ostatnich działań monitorujących spełnienie wymagań w celu dostosowania okresu kalendarzowego, w którym powinien być przeprowadzony audyt lub seria audytów tak, aby objąć całe lotnisko, kluczowe procesy jego systemu zarządzania, procedury oraz funkcjonowanie lotniska, w sposób oraz w odstępach czasu określonych w instrukcji operacyjnej lotniska. Ten okres kalendarzowy powinien być zgodny z cyklem planowania nadzoru właściwego organu i może być, w</w:t>
      </w:r>
      <w:r w:rsidR="006D6289" w:rsidRPr="009E064B">
        <w:rPr>
          <w:rFonts w:asciiTheme="minorHAnsi" w:eastAsia="Calibri" w:hAnsiTheme="minorHAnsi" w:cstheme="minorHAnsi"/>
        </w:rPr>
        <w:t xml:space="preserve"> </w:t>
      </w:r>
      <w:r w:rsidRPr="009E064B">
        <w:rPr>
          <w:rFonts w:asciiTheme="minorHAnsi" w:eastAsia="Calibri" w:hAnsiTheme="minorHAnsi" w:cstheme="minorHAnsi"/>
        </w:rPr>
        <w:t>porozumieniu z</w:t>
      </w:r>
      <w:r w:rsidR="00D72D9C" w:rsidRPr="009E064B">
        <w:rPr>
          <w:rFonts w:asciiTheme="minorHAnsi" w:eastAsia="Calibri" w:hAnsiTheme="minorHAnsi" w:cstheme="minorHAnsi"/>
        </w:rPr>
        <w:t> </w:t>
      </w:r>
      <w:r w:rsidRPr="009E064B">
        <w:rPr>
          <w:rFonts w:asciiTheme="minorHAnsi" w:eastAsia="Calibri" w:hAnsiTheme="minorHAnsi" w:cstheme="minorHAnsi"/>
        </w:rPr>
        <w:t>właściwym organem, zwiększony do 36 miesięcy pod warunkiem, że operator lotniska nie ma żadnych nieprawidłowości poziomu 1, oraz posiada dobre wyniki w terminowym usuwaniu nieprawidłowości.</w:t>
      </w:r>
    </w:p>
    <w:p w14:paraId="1698673B" w14:textId="4109F627" w:rsidR="00092CBF" w:rsidRPr="009E064B" w:rsidRDefault="00092CBF" w:rsidP="00133B99">
      <w:pPr>
        <w:pStyle w:val="Nagwek6"/>
      </w:pPr>
      <w:bookmarkStart w:id="363" w:name="_Toc492024622"/>
      <w:bookmarkStart w:id="364" w:name="_Toc12532709"/>
      <w:r w:rsidRPr="009E064B">
        <w:t xml:space="preserve">GM1 ADR.OR.D.005(b)(11)    </w:t>
      </w:r>
      <w:r w:rsidR="004D6FC2" w:rsidRPr="009E064B">
        <w:t xml:space="preserve"> </w:t>
      </w:r>
      <w:r w:rsidRPr="009E064B">
        <w:t>System zarządzania</w:t>
      </w:r>
      <w:bookmarkEnd w:id="363"/>
      <w:bookmarkEnd w:id="364"/>
    </w:p>
    <w:p w14:paraId="6FBCFB9A" w14:textId="3939C0BD"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00D337D" w14:textId="4D1B0482"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MONITOROWANIE SPEŁNIENIA WYMAGAŃ – </w:t>
      </w:r>
      <w:r w:rsidR="009B0A08" w:rsidRPr="009E064B">
        <w:rPr>
          <w:rFonts w:asciiTheme="minorHAnsi" w:eastAsia="Calibri" w:hAnsiTheme="minorHAnsi" w:cstheme="minorHAnsi"/>
        </w:rPr>
        <w:t>WYMAGANIA OGÓLNE</w:t>
      </w:r>
    </w:p>
    <w:p w14:paraId="557D15A8" w14:textId="69A1C224"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Struktura organizacyjna monitorowania spełnienia wymagań powinna odzwierciedlać wielkość operatora lotniska, a także charakter i złożoność jego działalności. Osoba odpowiedzialna za monitorowanie spełnienia wymagań może przeprowadzić wszystkie audyty i inspekcje samodzielnie, lub wyznaczyć jednego albo więcej audytorów posiadających kompetencje w tym zakresie, j</w:t>
      </w:r>
      <w:r w:rsidR="008D34F8" w:rsidRPr="009E064B">
        <w:rPr>
          <w:rFonts w:asciiTheme="minorHAnsi" w:eastAsia="Calibri" w:hAnsiTheme="minorHAnsi" w:cstheme="minorHAnsi"/>
        </w:rPr>
        <w:t xml:space="preserve">ak określono w </w:t>
      </w:r>
      <w:hyperlink w:anchor="_AMC2_ADR.OR.D.005(b)(11)_" w:history="1">
        <w:r w:rsidR="008D34F8"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ADR.OR.D.005(b)(11)</w:t>
        </w:r>
      </w:hyperlink>
      <w:r w:rsidR="00D72D9C" w:rsidRPr="009E064B">
        <w:rPr>
          <w:rFonts w:asciiTheme="minorHAnsi" w:eastAsia="Calibri" w:hAnsiTheme="minorHAnsi" w:cstheme="minorHAnsi"/>
        </w:rPr>
        <w:t xml:space="preserve"> lit. (b)</w:t>
      </w:r>
      <w:r w:rsidR="001A1F8F" w:rsidRPr="009E064B">
        <w:rPr>
          <w:rFonts w:asciiTheme="minorHAnsi" w:eastAsia="Calibri" w:hAnsiTheme="minorHAnsi" w:cstheme="minorHAnsi"/>
        </w:rPr>
        <w:t>,</w:t>
      </w:r>
      <w:r w:rsidRPr="009E064B">
        <w:rPr>
          <w:rFonts w:asciiTheme="minorHAnsi" w:eastAsia="Calibri" w:hAnsiTheme="minorHAnsi" w:cstheme="minorHAnsi"/>
        </w:rPr>
        <w:t xml:space="preserve"> spośród personelu operatora lotniska, lub spoza lotniska. </w:t>
      </w:r>
    </w:p>
    <w:p w14:paraId="3AB4A04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Niezależnie od wybranej opcji, należy zapewnić, aby niezależność funkcji audytu nie została naruszona, w szczególności w przypadkach, gdy ci, którzy wykonują audyt lub inspekcję są również odpowiedzialni za pełnienie innych funkcji na rzecz operatora lotniska.</w:t>
      </w:r>
    </w:p>
    <w:p w14:paraId="3E7694BF"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przypadku wykorzystywania zewnętrznego personelu do prowadzenia audytów lub inspekcji z zakresu spełnienia wymagań:</w:t>
      </w:r>
    </w:p>
    <w:p w14:paraId="6635370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wszelkie takie audyty lub inspekcje są przeprowadzane pod nadzorem osoby odpowiedzialnej za monitorowanie spełnienia wymagań; oraz</w:t>
      </w:r>
    </w:p>
    <w:p w14:paraId="228C167A"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operator lotniska pozostaje odpowiedzialny za zapewnienie, że personel zewnętrzny posiada odpowiednią wiedzę, umiejętności i doświadczenie właściwe do działań podlegających audytowi lub inspekcji, w tym wiedzę i doświadczenie w monitorowaniu spełnienia wymagań.</w:t>
      </w:r>
    </w:p>
    <w:p w14:paraId="73471C7C" w14:textId="08CE9709"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ponosi ostateczną odpowiedzialność za skuteczność monitorowania spełnienia wymagań, w szczególności za skuteczne wdrożenie w</w:t>
      </w:r>
      <w:r w:rsidR="00CE4EDD" w:rsidRPr="009E064B">
        <w:rPr>
          <w:rFonts w:asciiTheme="minorHAnsi" w:eastAsia="Calibri" w:hAnsiTheme="minorHAnsi" w:cstheme="minorHAnsi"/>
        </w:rPr>
        <w:t>szystkich działań naprawczych i </w:t>
      </w:r>
      <w:r w:rsidRPr="009E064B">
        <w:rPr>
          <w:rFonts w:asciiTheme="minorHAnsi" w:eastAsia="Calibri" w:hAnsiTheme="minorHAnsi" w:cstheme="minorHAnsi"/>
        </w:rPr>
        <w:t>realizację działań następczych (pokontrolnych).</w:t>
      </w:r>
    </w:p>
    <w:p w14:paraId="5527AF42" w14:textId="77777777" w:rsidR="00A418EA" w:rsidRPr="009E064B" w:rsidRDefault="00A418EA" w:rsidP="00133B99">
      <w:pPr>
        <w:pStyle w:val="Nagwek5"/>
      </w:pPr>
      <w:bookmarkStart w:id="365" w:name="_AMC2_ADR.OR.D.005(b)(11)_"/>
      <w:bookmarkStart w:id="366" w:name="_Toc492024621"/>
      <w:bookmarkStart w:id="367" w:name="_Toc12532710"/>
      <w:bookmarkEnd w:id="365"/>
      <w:r w:rsidRPr="009E064B">
        <w:t>AMC2 ADR.OR.D.005(b)(11)     System zarządzania</w:t>
      </w:r>
      <w:bookmarkEnd w:id="366"/>
      <w:bookmarkEnd w:id="367"/>
    </w:p>
    <w:p w14:paraId="6E7B53F6" w14:textId="51333DA9" w:rsidR="00A418EA" w:rsidRPr="009E064B" w:rsidRDefault="00D63D4F" w:rsidP="00A418E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C50EE2B" w14:textId="77777777" w:rsidR="00A418EA" w:rsidRPr="009E064B" w:rsidRDefault="00A418EA" w:rsidP="00A418EA">
      <w:pPr>
        <w:widowControl/>
        <w:rPr>
          <w:rFonts w:asciiTheme="minorHAnsi" w:eastAsia="Calibri" w:hAnsiTheme="minorHAnsi" w:cstheme="minorHAnsi"/>
        </w:rPr>
      </w:pPr>
      <w:r w:rsidRPr="009E064B">
        <w:rPr>
          <w:rFonts w:asciiTheme="minorHAnsi" w:eastAsia="Calibri" w:hAnsiTheme="minorHAnsi" w:cstheme="minorHAnsi"/>
        </w:rPr>
        <w:t>ODPOWIEDZIALNOŚĆ ZA MONITOROWANIE SPEŁNIENIA WYMAGAŃ</w:t>
      </w:r>
    </w:p>
    <w:p w14:paraId="17CDAD62" w14:textId="77777777" w:rsidR="00A418EA" w:rsidRPr="009E064B" w:rsidRDefault="00A418EA" w:rsidP="00A418E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Odpowiedzialność za monitorowanie spełnienia wymagań:</w:t>
      </w:r>
    </w:p>
    <w:p w14:paraId="48814033" w14:textId="77777777"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powinna być w gestii osoby, która ma bezpośredni dostęp do kierownika odpowiedzialnego i jest przed nim odpowiedzialna;</w:t>
      </w:r>
    </w:p>
    <w:p w14:paraId="2188B5D4" w14:textId="30947F05"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 xml:space="preserve">nie powinna być w gestii jednej z osób, o których mowa w </w:t>
      </w:r>
      <w:hyperlink w:anchor="_ADR.OR.D.015__" w:history="1">
        <w:r w:rsidRPr="009E064B">
          <w:rPr>
            <w:rStyle w:val="Hipercze"/>
            <w:rFonts w:asciiTheme="minorHAnsi" w:eastAsia="Calibri" w:hAnsiTheme="minorHAnsi" w:cstheme="minorHAnsi"/>
          </w:rPr>
          <w:t>ADR.OR.D.015</w:t>
        </w:r>
      </w:hyperlink>
      <w:r w:rsidR="008D34F8" w:rsidRPr="009E064B">
        <w:rPr>
          <w:rFonts w:asciiTheme="minorHAnsi" w:eastAsia="Calibri" w:hAnsiTheme="minorHAnsi" w:cstheme="minorHAnsi"/>
        </w:rPr>
        <w:t xml:space="preserve"> lit. </w:t>
      </w:r>
      <w:r w:rsidRPr="009E064B">
        <w:rPr>
          <w:rFonts w:asciiTheme="minorHAnsi" w:eastAsia="Calibri" w:hAnsiTheme="minorHAnsi" w:cstheme="minorHAnsi"/>
        </w:rPr>
        <w:t xml:space="preserve">(b) lub </w:t>
      </w:r>
      <w:hyperlink w:anchor="_ADR.OR.D.015__" w:history="1">
        <w:r w:rsidRPr="009E064B">
          <w:rPr>
            <w:rStyle w:val="Hipercze"/>
            <w:rFonts w:asciiTheme="minorHAnsi" w:eastAsia="Calibri" w:hAnsiTheme="minorHAnsi" w:cstheme="minorHAnsi"/>
          </w:rPr>
          <w:t>ADR.OR.D.015</w:t>
        </w:r>
      </w:hyperlink>
      <w:r w:rsidR="008D34F8" w:rsidRPr="009E064B">
        <w:rPr>
          <w:rFonts w:asciiTheme="minorHAnsi" w:eastAsia="Calibri" w:hAnsiTheme="minorHAnsi" w:cstheme="minorHAnsi"/>
        </w:rPr>
        <w:t xml:space="preserve"> lit. </w:t>
      </w:r>
      <w:r w:rsidRPr="009E064B">
        <w:rPr>
          <w:rFonts w:asciiTheme="minorHAnsi" w:eastAsia="Calibri" w:hAnsiTheme="minorHAnsi" w:cstheme="minorHAnsi"/>
        </w:rPr>
        <w:t>(c), z tym, że w mniej złożonych organizacjach/operacjach lotniskowych, może to być również kierownik odpowiedzialny lub osoba, o której mowa w </w:t>
      </w:r>
      <w:hyperlink w:anchor="_ADR.OR.D.015__" w:history="1">
        <w:r w:rsidRPr="009E064B">
          <w:rPr>
            <w:rStyle w:val="Hipercze"/>
            <w:rFonts w:asciiTheme="minorHAnsi" w:eastAsia="Calibri" w:hAnsiTheme="minorHAnsi" w:cstheme="minorHAnsi"/>
          </w:rPr>
          <w:t>ADR.OR.D.015</w:t>
        </w:r>
      </w:hyperlink>
      <w:r w:rsidR="008D34F8" w:rsidRPr="009E064B">
        <w:rPr>
          <w:rFonts w:asciiTheme="minorHAnsi" w:eastAsia="Calibri" w:hAnsiTheme="minorHAnsi" w:cstheme="minorHAnsi"/>
        </w:rPr>
        <w:t xml:space="preserve"> lit. </w:t>
      </w:r>
      <w:r w:rsidRPr="009E064B">
        <w:rPr>
          <w:rFonts w:asciiTheme="minorHAnsi" w:eastAsia="Calibri" w:hAnsiTheme="minorHAnsi" w:cstheme="minorHAnsi"/>
        </w:rPr>
        <w:t>(c).</w:t>
      </w:r>
    </w:p>
    <w:p w14:paraId="14B43C91" w14:textId="77777777" w:rsidR="00A418EA" w:rsidRPr="009E064B" w:rsidRDefault="00A418EA" w:rsidP="00A418E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Osoby, którym przydzielono odpowiedzialność za monitorowanie spełnienia wymagań powinny posiadać:</w:t>
      </w:r>
    </w:p>
    <w:p w14:paraId="61844324" w14:textId="77777777"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odpowiednie doświadczenie i wiedzę z zakresu operacji lotniskowych lub utrzymania i obsługi technicznej lotniska, lub podobnego obszaru;</w:t>
      </w:r>
    </w:p>
    <w:p w14:paraId="2A10AC53" w14:textId="77777777"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odpowiednią wiedzę i doświadczenie w zakresie zarządzania bezpieczeństwem i zapewnienia jakości;</w:t>
      </w:r>
    </w:p>
    <w:p w14:paraId="5CAFA360" w14:textId="77777777"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znajomość instrukcji operacyjnej lotniska; oraz</w:t>
      </w:r>
    </w:p>
    <w:p w14:paraId="591B6EB1" w14:textId="77777777" w:rsidR="00A418EA" w:rsidRPr="009E064B" w:rsidRDefault="00A418EA" w:rsidP="00A418E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wszechstronną wiedzę na temat obowiązujących wymagań w obszarze lotnisk.</w:t>
      </w:r>
    </w:p>
    <w:p w14:paraId="0A1CBCE8" w14:textId="31438BC2" w:rsidR="00092CBF" w:rsidRPr="009E064B" w:rsidRDefault="00092CBF" w:rsidP="00133B99">
      <w:pPr>
        <w:pStyle w:val="Nagwek5"/>
      </w:pPr>
      <w:bookmarkStart w:id="368" w:name="_Toc492024623"/>
      <w:bookmarkStart w:id="369" w:name="_Toc12532711"/>
      <w:r w:rsidRPr="009E064B">
        <w:t xml:space="preserve">AMC1 ADR.OR.D.005(c)    </w:t>
      </w:r>
      <w:r w:rsidR="004D6FC2" w:rsidRPr="009E064B">
        <w:t xml:space="preserve"> </w:t>
      </w:r>
      <w:r w:rsidRPr="009E064B">
        <w:t>System zarządzania</w:t>
      </w:r>
      <w:bookmarkEnd w:id="368"/>
      <w:bookmarkEnd w:id="369"/>
    </w:p>
    <w:p w14:paraId="0B87CD80" w14:textId="607A2BC6"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3E36A55"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DOKUMENTACJA SYSTEMU ZARZĄDZANIA OPERATORA LOTNISKA</w:t>
      </w:r>
    </w:p>
    <w:p w14:paraId="76733FFA"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zapewnić, że udokumentowane kluczowe procesy systemu zarządzania obejmują proces uświadamiania personelu w zakresie ich obowiązków, jak również procedur wprowadzania zmian do tego systemu.</w:t>
      </w:r>
    </w:p>
    <w:p w14:paraId="3E6A58D3"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Dokumentacja systemu zarządzania operatora lotniska powinna, co najmniej, zawierać następujące informacje:</w:t>
      </w:r>
    </w:p>
    <w:p w14:paraId="10DE6C0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oświadczenie podpisane przez kierownika odpowiedzialnego potwierdzające, że operator lotniska będzie ciągle działać zgodnie z obowiązującymi wymaganiami i dokumentacją operatora;</w:t>
      </w:r>
    </w:p>
    <w:p w14:paraId="3FE1EB3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zakres działalności operatora lotniska;</w:t>
      </w:r>
    </w:p>
    <w:p w14:paraId="5909145D" w14:textId="47E06892"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tytuły i nazwiska osób, o których mowa w </w:t>
      </w:r>
      <w:hyperlink w:anchor="_ADR.OR.D.015__" w:history="1">
        <w:r w:rsidRPr="009E064B">
          <w:rPr>
            <w:rStyle w:val="Hipercze"/>
            <w:rFonts w:asciiTheme="minorHAnsi" w:eastAsia="Calibri" w:hAnsiTheme="minorHAnsi" w:cstheme="minorHAnsi"/>
          </w:rPr>
          <w:t>ADR.OR.D.015</w:t>
        </w:r>
      </w:hyperlink>
      <w:r w:rsidR="002703BA" w:rsidRPr="009E064B">
        <w:rPr>
          <w:rFonts w:asciiTheme="minorHAnsi" w:eastAsia="Calibri" w:hAnsiTheme="minorHAnsi" w:cstheme="minorHAnsi"/>
        </w:rPr>
        <w:t xml:space="preserve"> i </w:t>
      </w:r>
      <w:hyperlink w:anchor="_AMC2_ADR.OR.D.005(b)(11)_" w:history="1">
        <w:r w:rsidR="002703BA"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ADR.OR.D.005(b)(11)</w:t>
        </w:r>
      </w:hyperlink>
      <w:r w:rsidRPr="009E064B">
        <w:rPr>
          <w:rFonts w:asciiTheme="minorHAnsi" w:eastAsia="Calibri" w:hAnsiTheme="minorHAnsi" w:cstheme="minorHAnsi"/>
        </w:rPr>
        <w:t>;</w:t>
      </w:r>
    </w:p>
    <w:p w14:paraId="4C5F11E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schemat organizacyjny przedstawiający podział odpowiedzialności pomiędzy osobami wyznaczonymi;</w:t>
      </w:r>
    </w:p>
    <w:p w14:paraId="763E5D6C"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ogólny opis i lokalizację obiektów;</w:t>
      </w:r>
    </w:p>
    <w:p w14:paraId="5192F344"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procedury określające sposób w jaki operator lotniska zapewnia zgodność z obowiązującymi wymaganiami;</w:t>
      </w:r>
    </w:p>
    <w:p w14:paraId="0D8B5B70"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procedurę wprowadzania zmiany do dokumentacji systemu zarządzania operatora; oraz</w:t>
      </w:r>
    </w:p>
    <w:p w14:paraId="363F821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rezultaty systemu zarządzania bezpieczeństwem.</w:t>
      </w:r>
    </w:p>
    <w:p w14:paraId="3D6ECB94" w14:textId="7818BBF5" w:rsidR="00092CBF" w:rsidRPr="009E064B" w:rsidRDefault="00092CBF" w:rsidP="00133B99">
      <w:pPr>
        <w:pStyle w:val="Nagwek5"/>
      </w:pPr>
      <w:bookmarkStart w:id="370" w:name="_Toc492024624"/>
      <w:bookmarkStart w:id="371" w:name="_Toc12532712"/>
      <w:r w:rsidRPr="009E064B">
        <w:t xml:space="preserve">AMC2 ADR.OR.D.005(c)    </w:t>
      </w:r>
      <w:r w:rsidR="004D6FC2" w:rsidRPr="009E064B">
        <w:t xml:space="preserve"> </w:t>
      </w:r>
      <w:r w:rsidRPr="009E064B">
        <w:t>System zarządzania</w:t>
      </w:r>
      <w:bookmarkEnd w:id="370"/>
      <w:bookmarkEnd w:id="371"/>
    </w:p>
    <w:p w14:paraId="5E84C614" w14:textId="652ACFF7"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6AFDAE3"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PODRĘCZNIK ZARZĄDZANIA BEZPIECZEŃSTWEM OPERATORA LOTNISKA</w:t>
      </w:r>
    </w:p>
    <w:p w14:paraId="436D065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Gdy zarządzanie bezpieczeństwem jest określone w Podręczniku zarządzania bezpieczeństwem, to powinien on być głównym instrumentem komunikowania sposobu podejścia do bezpieczeństwa dla operatora lotniska. Podręcznik zarządzania bezpieczeństwem powinien dokumentować wszystkie aspekty zarządzania bezpieczeństwem, w tym politykę bezpieczeństwa, cele, procedury i poszczególne zadania bezpieczeństwa.</w:t>
      </w:r>
    </w:p>
    <w:p w14:paraId="4899033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Zawartość Podręcznika zarządzania bezpieczeństwem powinna obejmować:</w:t>
      </w:r>
    </w:p>
    <w:p w14:paraId="311CECA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zakres systemu zarządzania bezpieczeństwem;</w:t>
      </w:r>
    </w:p>
    <w:p w14:paraId="3DAFD22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politykę i cele bezpieczeństwa;</w:t>
      </w:r>
    </w:p>
    <w:p w14:paraId="1D1E1C4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(3)</w:t>
      </w:r>
      <w:r w:rsidRPr="009E064B">
        <w:rPr>
          <w:rFonts w:asciiTheme="minorHAnsi" w:eastAsia="Calibri" w:hAnsiTheme="minorHAnsi" w:cstheme="minorHAnsi"/>
        </w:rPr>
        <w:tab/>
        <w:t>zakres odpowiedzialności za bezpieczeństwo kluczowego personelu bezpieczeństwa;</w:t>
      </w:r>
    </w:p>
    <w:p w14:paraId="273092A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procedury kontroli dokumentacji;</w:t>
      </w:r>
    </w:p>
    <w:p w14:paraId="0D772B53"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proces oceny bezpieczeństwa, w tym systemy identyfikacji zagrożeń i zarządzania ryzykiem;</w:t>
      </w:r>
    </w:p>
    <w:p w14:paraId="2FC5BF0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monitorowanie wykonania i skuteczności działań na rzecz bezpieczeństwa oraz środki łagodzenia ryzyka;</w:t>
      </w:r>
    </w:p>
    <w:p w14:paraId="503E725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monitorowanie skuteczności działań w zakresie bezpieczeństwa;</w:t>
      </w:r>
    </w:p>
    <w:p w14:paraId="06B65F8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zgłaszanie spraw związanych z bezpieczeństwem (w tym zagrożeń) i ich badanie;</w:t>
      </w:r>
    </w:p>
    <w:p w14:paraId="1D7BC704"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koordynacja planowania działań w sytuacjach zagrożenia;</w:t>
      </w:r>
    </w:p>
    <w:p w14:paraId="308E996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zarządzanie zmianą (w tym zmianami organizacyjnymi w zakresie obowiązków dotyczących bezpieczeństwa);</w:t>
      </w:r>
    </w:p>
    <w:p w14:paraId="69A0D48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promowanie bezpieczeństwa; oraz</w:t>
      </w:r>
    </w:p>
    <w:p w14:paraId="5A06D28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rezultaty systemu zarządzania bezpieczeństwem.</w:t>
      </w:r>
    </w:p>
    <w:p w14:paraId="52C8674E" w14:textId="2AB8593D" w:rsidR="00092CBF" w:rsidRPr="009E064B" w:rsidRDefault="00092CBF" w:rsidP="00133B99">
      <w:pPr>
        <w:pStyle w:val="Nagwek6"/>
      </w:pPr>
      <w:bookmarkStart w:id="372" w:name="_Toc492024625"/>
      <w:bookmarkStart w:id="373" w:name="_Toc12532713"/>
      <w:r w:rsidRPr="009E064B">
        <w:t xml:space="preserve">GM1 ADR.OR.D.005(c)    </w:t>
      </w:r>
      <w:r w:rsidR="004D6FC2" w:rsidRPr="009E064B">
        <w:t xml:space="preserve"> </w:t>
      </w:r>
      <w:r w:rsidRPr="009E064B">
        <w:t>System zarządzania</w:t>
      </w:r>
      <w:bookmarkEnd w:id="372"/>
      <w:bookmarkEnd w:id="373"/>
    </w:p>
    <w:p w14:paraId="6D2FED61" w14:textId="12AC8D51"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2B29E78"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DOKUMENTACJA SYSTEMU ZARZĄDZANIA OPERATORA LOTNISKA</w:t>
      </w:r>
    </w:p>
    <w:p w14:paraId="797641B9"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Nie jest wymagane, aby duplikować informacje w wielu instrukcjach. Podręcznik zarządzania bezpieczeństwem jest uważany za część instrukcji operacyjnej lotniska.</w:t>
      </w:r>
    </w:p>
    <w:p w14:paraId="48C45822" w14:textId="55485FBF" w:rsidR="00DC7DA6" w:rsidRPr="009E064B" w:rsidRDefault="00DE05DC" w:rsidP="00B06A9A">
      <w:pPr>
        <w:pStyle w:val="Nagwek3"/>
      </w:pPr>
      <w:bookmarkStart w:id="374" w:name="_Toc12532714"/>
      <w:r w:rsidRPr="009E064B">
        <w:t xml:space="preserve">ADR.OR.D.007 </w:t>
      </w:r>
      <w:r w:rsidR="004D6FC2" w:rsidRPr="009E064B">
        <w:t xml:space="preserve">    </w:t>
      </w:r>
      <w:r w:rsidRPr="009E064B">
        <w:t>Zarządzanie danymi lotniczymi i informacjami lotniczymi</w:t>
      </w:r>
      <w:bookmarkEnd w:id="374"/>
    </w:p>
    <w:p w14:paraId="2F75E8FE" w14:textId="5F2EDDFF"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9782D8A" w14:textId="25B492B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 ramach wykorzystywanego przez siebie systemu zarządz</w:t>
      </w:r>
      <w:r w:rsidR="00031883" w:rsidRPr="009E064B">
        <w:rPr>
          <w:rFonts w:asciiTheme="minorHAnsi" w:hAnsiTheme="minorHAnsi" w:cstheme="minorHAnsi"/>
          <w:sz w:val="22"/>
          <w:szCs w:val="20"/>
        </w:rPr>
        <w:t>ania operator lotniska wdraża i </w:t>
      </w:r>
      <w:r w:rsidR="00DE05DC" w:rsidRPr="009E064B">
        <w:rPr>
          <w:rFonts w:asciiTheme="minorHAnsi" w:hAnsiTheme="minorHAnsi" w:cstheme="minorHAnsi"/>
          <w:sz w:val="22"/>
          <w:szCs w:val="20"/>
        </w:rPr>
        <w:t>utrzymuje system zarządzania jakością obejmujący:</w:t>
      </w:r>
    </w:p>
    <w:p w14:paraId="7277FC18" w14:textId="1B6C92D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działania prowadzone przez niego w zakresie danych lotniczych; oraz</w:t>
      </w:r>
    </w:p>
    <w:p w14:paraId="000F1351" w14:textId="2F499287"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działania prowadzone przez niego </w:t>
      </w:r>
      <w:r w:rsidR="008E0210" w:rsidRPr="009E064B">
        <w:rPr>
          <w:rFonts w:asciiTheme="minorHAnsi" w:eastAsia="Times New Roman" w:hAnsiTheme="minorHAnsi" w:cstheme="minorHAnsi"/>
          <w:szCs w:val="20"/>
        </w:rPr>
        <w:t xml:space="preserve">w </w:t>
      </w:r>
      <w:r w:rsidR="00DE05DC" w:rsidRPr="009E064B">
        <w:rPr>
          <w:rFonts w:asciiTheme="minorHAnsi" w:eastAsia="Times New Roman" w:hAnsiTheme="minorHAnsi" w:cstheme="minorHAnsi"/>
          <w:szCs w:val="20"/>
        </w:rPr>
        <w:t>ramach udzielania informacji lotniczych.</w:t>
      </w:r>
    </w:p>
    <w:p w14:paraId="5D64C1CC" w14:textId="348711C5"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określa procedury służące realizacji celów w zakresie zarządzania bezpieczeństwem i ochroną w odniesieniu do:</w:t>
      </w:r>
    </w:p>
    <w:p w14:paraId="7D6B91DD" w14:textId="3CC18C68"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działań w zakresie danych lotniczych; oraz</w:t>
      </w:r>
    </w:p>
    <w:p w14:paraId="22C7C233" w14:textId="68344373"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działań w ramach udzielania informacji lotniczych.</w:t>
      </w:r>
    </w:p>
    <w:p w14:paraId="6471DC31" w14:textId="5A880982" w:rsidR="00092CBF" w:rsidRPr="009E064B" w:rsidRDefault="00092CBF" w:rsidP="00133B99">
      <w:pPr>
        <w:pStyle w:val="Nagwek5"/>
      </w:pPr>
      <w:bookmarkStart w:id="375" w:name="_Toc492024626"/>
      <w:bookmarkStart w:id="376" w:name="_Toc12532715"/>
      <w:r w:rsidRPr="009E064B">
        <w:t xml:space="preserve">AMC1 ADR.OR.D.007(a)   </w:t>
      </w:r>
      <w:r w:rsidR="004D6FC2" w:rsidRPr="009E064B">
        <w:t xml:space="preserve">  </w:t>
      </w:r>
      <w:r w:rsidRPr="009E064B">
        <w:t>Zarządzanie danymi lotniczymi i informacjami lotniczymi</w:t>
      </w:r>
      <w:bookmarkEnd w:id="375"/>
      <w:bookmarkEnd w:id="376"/>
    </w:p>
    <w:p w14:paraId="7F193071" w14:textId="61C22092"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4646DCB" w14:textId="77777777" w:rsidR="00092CBF" w:rsidRPr="009E064B" w:rsidRDefault="00092CBF" w:rsidP="00031883">
      <w:pPr>
        <w:widowControl/>
        <w:spacing w:before="120"/>
        <w:jc w:val="left"/>
        <w:rPr>
          <w:rFonts w:asciiTheme="minorHAnsi" w:eastAsia="Calibri" w:hAnsiTheme="minorHAnsi" w:cstheme="minorHAnsi"/>
        </w:rPr>
      </w:pPr>
      <w:r w:rsidRPr="009E064B">
        <w:rPr>
          <w:rFonts w:asciiTheme="minorHAnsi" w:eastAsia="Calibri" w:hAnsiTheme="minorHAnsi" w:cstheme="minorHAnsi"/>
        </w:rPr>
        <w:t>SYSTEM ZARZĄDZANIA JAKOŚCIĄ DLA DZIAŁAŃ ZWIĄZANYCH Z DOSTARCZANIEM DANYCH I INFORMACJI LOTNICZYCH</w:t>
      </w:r>
    </w:p>
    <w:p w14:paraId="1BD4B946"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System zarządzania jakością wspierający powstawanie, wytwarzanie, przechowywanie, obsługę, przetwarzanie, przekazywanie i dystrybucję danych i informacji lotniczych powinien:</w:t>
      </w:r>
    </w:p>
    <w:p w14:paraId="4AD47291"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definiować politykę jakości w taki sposób, aby w jak największym stopniu zaspokoić potrzeby różnych użytkowników;</w:t>
      </w:r>
    </w:p>
    <w:p w14:paraId="533C1119" w14:textId="150C2499"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 xml:space="preserve">określać program zapewniania jakości, zawierający procedury mające za zadanie sprawdzanie, czy wszelkie operacje są prowadzone zgodnie z obowiązującymi wymaganiami, standardami i procedurami, w tym </w:t>
      </w:r>
      <w:r w:rsidR="00C46BE1" w:rsidRPr="009E064B">
        <w:rPr>
          <w:rFonts w:asciiTheme="minorHAnsi" w:eastAsia="Calibri" w:hAnsiTheme="minorHAnsi" w:cstheme="minorHAnsi"/>
        </w:rPr>
        <w:t xml:space="preserve">odpowiednimi wymaganiami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w:t>
      </w:r>
    </w:p>
    <w:p w14:paraId="4268BF8D"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dostarczać dowodów funkcjonowania systemu jakości w formie instrukcji i dokumentów monitorowania;</w:t>
      </w:r>
    </w:p>
    <w:p w14:paraId="47896B6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wyznaczać przedstawicieli kadry zarządzającej do monitorowania zgodności i adekwatności procedur, aby zapewnić bezpieczne i skuteczne praktyki operacyjne; oraz</w:t>
      </w:r>
    </w:p>
    <w:p w14:paraId="7DEA0676"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przeprowadzać przeglądy systemu zarządzania jakością na miejscu i w stosownych przypadkach, podejmować działania naprawcze.</w:t>
      </w:r>
    </w:p>
    <w:p w14:paraId="1606D7F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Certyfikat EN ISO 9001 wydany przez organizację posiadającą odpowiednią akredytację, jest uważany za akceptowalny sposób potwierdzania spełnienia wymagań.</w:t>
      </w:r>
    </w:p>
    <w:p w14:paraId="1F985615" w14:textId="3D52669E" w:rsidR="00092CBF" w:rsidRPr="009E064B" w:rsidRDefault="00092CBF" w:rsidP="00133B99">
      <w:pPr>
        <w:pStyle w:val="Nagwek6"/>
      </w:pPr>
      <w:bookmarkStart w:id="377" w:name="_Toc492024627"/>
      <w:bookmarkStart w:id="378" w:name="_Toc12532716"/>
      <w:r w:rsidRPr="009E064B">
        <w:t xml:space="preserve">GM1 ADR.OR.D.007(a)    </w:t>
      </w:r>
      <w:r w:rsidR="004D6FC2" w:rsidRPr="009E064B">
        <w:t xml:space="preserve"> </w:t>
      </w:r>
      <w:r w:rsidRPr="009E064B">
        <w:t>Zarządzanie danymi lotniczymi i informacjami lotniczymi</w:t>
      </w:r>
      <w:bookmarkEnd w:id="377"/>
      <w:bookmarkEnd w:id="378"/>
    </w:p>
    <w:p w14:paraId="322B2950" w14:textId="2C30C911"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CDCB90E" w14:textId="77777777" w:rsidR="00092CBF" w:rsidRPr="009E064B" w:rsidRDefault="00092CBF" w:rsidP="00B06A9A">
      <w:pPr>
        <w:widowControl/>
        <w:jc w:val="left"/>
        <w:rPr>
          <w:rFonts w:asciiTheme="minorHAnsi" w:eastAsia="Calibri" w:hAnsiTheme="minorHAnsi" w:cstheme="minorHAnsi"/>
        </w:rPr>
      </w:pPr>
      <w:r w:rsidRPr="009E064B">
        <w:rPr>
          <w:rFonts w:asciiTheme="minorHAnsi" w:eastAsia="Calibri" w:hAnsiTheme="minorHAnsi" w:cstheme="minorHAnsi"/>
        </w:rPr>
        <w:t>SYSTEM ZARZĄDZANIA JAKOŚCIĄ DLA DZIAŁAŃ ZWIĄZANYCH Z DOSTARCZANIEM DANYCH I INFORMACJI LOTNICZYCH</w:t>
      </w:r>
    </w:p>
    <w:p w14:paraId="7AB42380"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Operator lotniska nie musi powielać funkcji i działań w celu wywiązania się z obowiązków związanych z zarządzaniem procesem dostarczania danych lotniczych i informacji lotniczych.</w:t>
      </w:r>
    </w:p>
    <w:p w14:paraId="14928ACE" w14:textId="6A66C835" w:rsidR="007757A9" w:rsidRDefault="00092CBF" w:rsidP="007757A9">
      <w:pPr>
        <w:widowControl/>
        <w:rPr>
          <w:rFonts w:asciiTheme="minorHAnsi" w:eastAsia="Calibri" w:hAnsiTheme="minorHAnsi" w:cstheme="minorHAnsi"/>
        </w:rPr>
      </w:pPr>
      <w:r w:rsidRPr="009E064B">
        <w:rPr>
          <w:rFonts w:asciiTheme="minorHAnsi" w:eastAsia="Calibri" w:hAnsiTheme="minorHAnsi" w:cstheme="minorHAnsi"/>
        </w:rPr>
        <w:t>W tym względzie, monitorowanie zgodności może być stosowane do celów zapewnienia zgodności z odpowiednimi wymaganiami dotyczącymi zarządzania procesem dostarczania danych lotniczych i informacji lotniczych.</w:t>
      </w:r>
      <w:r w:rsidR="007757A9">
        <w:rPr>
          <w:rFonts w:asciiTheme="minorHAnsi" w:eastAsia="Calibri" w:hAnsiTheme="minorHAnsi" w:cstheme="minorHAnsi"/>
        </w:rPr>
        <w:t xml:space="preserve"> </w:t>
      </w:r>
      <w:r w:rsidR="007757A9">
        <w:rPr>
          <w:rFonts w:asciiTheme="minorHAnsi" w:eastAsia="Calibri" w:hAnsiTheme="minorHAnsi" w:cstheme="minorHAnsi"/>
        </w:rPr>
        <w:br w:type="page"/>
      </w:r>
    </w:p>
    <w:p w14:paraId="2F5A777C" w14:textId="2DDFA840" w:rsidR="00092CBF" w:rsidRPr="009E064B" w:rsidRDefault="00092CBF" w:rsidP="00133B99">
      <w:pPr>
        <w:pStyle w:val="Nagwek5"/>
      </w:pPr>
      <w:bookmarkStart w:id="379" w:name="_Toc492024628"/>
      <w:bookmarkStart w:id="380" w:name="_Toc12532717"/>
      <w:r w:rsidRPr="009E064B">
        <w:t xml:space="preserve">AMC1 ADR.OR.D.007(b)    </w:t>
      </w:r>
      <w:r w:rsidR="004D6FC2" w:rsidRPr="009E064B">
        <w:t xml:space="preserve"> </w:t>
      </w:r>
      <w:r w:rsidRPr="009E064B">
        <w:t>Zarządzanie danymi lotniczymi i informacjami lotniczymi</w:t>
      </w:r>
      <w:bookmarkEnd w:id="379"/>
      <w:bookmarkEnd w:id="380"/>
    </w:p>
    <w:p w14:paraId="3CA68F36" w14:textId="359EA24E"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CD0E92D" w14:textId="77777777" w:rsidR="00092CBF" w:rsidRPr="009E064B" w:rsidRDefault="00092CBF" w:rsidP="00B06A9A">
      <w:pPr>
        <w:widowControl/>
        <w:jc w:val="left"/>
        <w:rPr>
          <w:rFonts w:asciiTheme="minorHAnsi" w:eastAsia="Calibri" w:hAnsiTheme="minorHAnsi" w:cstheme="minorHAnsi"/>
        </w:rPr>
      </w:pPr>
      <w:r w:rsidRPr="009E064B">
        <w:rPr>
          <w:rFonts w:asciiTheme="minorHAnsi" w:eastAsia="Calibri" w:hAnsiTheme="minorHAnsi" w:cstheme="minorHAnsi"/>
        </w:rPr>
        <w:t>ZARZĄDZANIE OCHRONĄ DZIAŁALNOŚCI ZWIĄZANEJ Z DOSTARCZANIEM DANYCH I INFORMACJI LOTNICZYCH</w:t>
      </w:r>
    </w:p>
    <w:p w14:paraId="558E460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Celami zarządzania ochroną powinno być:</w:t>
      </w:r>
    </w:p>
    <w:p w14:paraId="4E215CD9" w14:textId="2DD053A6"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zapewnienie ochrony otrzymanych, wytworzonych lub w inny sposób wykorzystywanych danych lotniczych i informacji lotniczych, tak, aby były on</w:t>
      </w:r>
      <w:r w:rsidR="00031883" w:rsidRPr="009E064B">
        <w:rPr>
          <w:rFonts w:asciiTheme="minorHAnsi" w:eastAsia="Calibri" w:hAnsiTheme="minorHAnsi" w:cstheme="minorHAnsi"/>
        </w:rPr>
        <w:t>e chronione przed ingerencją, a </w:t>
      </w:r>
      <w:r w:rsidRPr="009E064B">
        <w:rPr>
          <w:rFonts w:asciiTheme="minorHAnsi" w:eastAsia="Calibri" w:hAnsiTheme="minorHAnsi" w:cstheme="minorHAnsi"/>
        </w:rPr>
        <w:t>dostęp do nich był ograniczony tylko do osób upoważnionych; oraz</w:t>
      </w:r>
    </w:p>
    <w:p w14:paraId="70F3D6A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zapewnienie, że środki zarządzania ochroną spełniają odpowiednie: krajowe, unijne lub międzynarodowe wymogi dla infrastruktury krytycznej oraz ciągłości branży oraz międzynarodowe standardy zarządzania ochroną, w tym:</w:t>
      </w:r>
    </w:p>
    <w:p w14:paraId="557EE577" w14:textId="77777777" w:rsidR="00092CBF" w:rsidRPr="009E064B" w:rsidRDefault="00092CBF" w:rsidP="00B06A9A">
      <w:pPr>
        <w:widowControl/>
        <w:tabs>
          <w:tab w:val="left" w:pos="1701"/>
        </w:tabs>
        <w:ind w:left="1701" w:hanging="567"/>
        <w:jc w:val="left"/>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ISO/IEC 17799:2005 – Technologia informatyczna – Techniki ochrony – Praktyczne zasady zarządzania bezpieczeństwem informacji;</w:t>
      </w:r>
    </w:p>
    <w:p w14:paraId="0035D895" w14:textId="77777777" w:rsidR="00092CBF" w:rsidRPr="009E064B" w:rsidRDefault="00092CBF" w:rsidP="00B06A9A">
      <w:pPr>
        <w:widowControl/>
        <w:tabs>
          <w:tab w:val="left" w:pos="1701"/>
        </w:tabs>
        <w:ind w:left="1701" w:hanging="567"/>
        <w:jc w:val="left"/>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ISO 28000:2007 – Wymagania dotyczące systemu zarządzania ochroną łańcucha dostaw.</w:t>
      </w:r>
    </w:p>
    <w:p w14:paraId="2CC2712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odniesieniu do norm ISO, właściwe świadectwa wydane przez organizację posiadającą odpowiednią akredytację, są uważane za akceptowalne sposoby potwierdzania spełnienia wymagań.</w:t>
      </w:r>
    </w:p>
    <w:p w14:paraId="3A7B67F1" w14:textId="5DE0271C" w:rsidR="00DC7DA6" w:rsidRPr="009E064B" w:rsidRDefault="00DE05DC" w:rsidP="00B06A9A">
      <w:pPr>
        <w:pStyle w:val="Nagwek3"/>
      </w:pPr>
      <w:bookmarkStart w:id="381" w:name="_Toc12532718"/>
      <w:r w:rsidRPr="009E064B">
        <w:t xml:space="preserve">ADR.OR.D.010 </w:t>
      </w:r>
      <w:r w:rsidR="004D6FC2" w:rsidRPr="009E064B">
        <w:t xml:space="preserve">    </w:t>
      </w:r>
      <w:r w:rsidRPr="009E064B">
        <w:t>Zlecone czynności</w:t>
      </w:r>
      <w:bookmarkEnd w:id="381"/>
    </w:p>
    <w:p w14:paraId="2B4F6610" w14:textId="57ABB6CE"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00B41AA" w14:textId="380C928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Zlecone czynności obejmują wszystkie czynności objęte zakresem działania operatora lotniska zgodnie z warunkami certyfikatu wykonywane przez inne organizacje, które albo same są certyfikowane do wykonywania tego typu czynności albo – w przypadku braku odpowiedniej certyfikacji – działają na mocy zatwierdzenia od operatora lotniska. Operator lotniska zapewnia, by w przypadku zlecenia lub zakupienia jakiejkolwiek części swojej działalności, zlecone bądź zakupione usługi lub wyposażenie lub system spełniały stosowne wymagania.</w:t>
      </w:r>
    </w:p>
    <w:p w14:paraId="6AE2E608" w14:textId="5FDE1502"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w:t>
      </w:r>
      <w:r w:rsidR="001A1F8F"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 gdy operator lotniska zleca prowadzenie części swojej działalności organizacji, która sama nie jest do tego certyfikowana zgodnie z przepisami niniejszej części, organizacja otrzymująca zlecenie działa na mocy zatwierdzenia udzielonego przez operatora lotniska i pod jego nadzorem. Operator lotniska zapewnia, aby właściwy organ miał dostęp do organizacji otrzymującej zlecenie w celu stwierdzenia zachowania ciągłej zgodności ze stosownymi wymaganiami.</w:t>
      </w:r>
    </w:p>
    <w:p w14:paraId="1D9FA17E" w14:textId="4C543446" w:rsidR="00092CBF" w:rsidRPr="009E064B" w:rsidRDefault="00092CBF" w:rsidP="00133B99">
      <w:pPr>
        <w:pStyle w:val="Nagwek5"/>
      </w:pPr>
      <w:bookmarkStart w:id="382" w:name="_Toc492024629"/>
      <w:bookmarkStart w:id="383" w:name="_Toc12532719"/>
      <w:r w:rsidRPr="009E064B">
        <w:t xml:space="preserve">AMC1 ADR.OR.D.010    </w:t>
      </w:r>
      <w:r w:rsidR="004D6FC2" w:rsidRPr="009E064B">
        <w:t xml:space="preserve"> </w:t>
      </w:r>
      <w:r w:rsidRPr="009E064B">
        <w:t>Zlecone czynności</w:t>
      </w:r>
      <w:bookmarkEnd w:id="382"/>
      <w:bookmarkEnd w:id="383"/>
    </w:p>
    <w:p w14:paraId="1003177F" w14:textId="4E8DA291"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1A929DE"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OBOWIĄZKI ZWIĄZANE ZE ZLECANIEM CZYNNOŚCI</w:t>
      </w:r>
    </w:p>
    <w:p w14:paraId="31B8157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może zlecić wykonanie pewnych czynności organizacjom zewnętrznym.</w:t>
      </w:r>
    </w:p>
    <w:p w14:paraId="7E1C850A"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Powinna istnieć pisemna umowa pomiędzy operatorem lotniska i organizacją, której zleca się czynności, jasno definiująca zlecone czynności i obowiązujące wymagania.</w:t>
      </w:r>
    </w:p>
    <w:p w14:paraId="2728D8C8" w14:textId="61C1F885"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Ujęte w umowie zlecone czynności związane z bezpieczeństwem, powin</w:t>
      </w:r>
      <w:r w:rsidR="00C46BE1" w:rsidRPr="009E064B">
        <w:rPr>
          <w:rFonts w:asciiTheme="minorHAnsi" w:eastAsia="Calibri" w:hAnsiTheme="minorHAnsi" w:cstheme="minorHAnsi"/>
        </w:rPr>
        <w:t>ny być uwzględnione w </w:t>
      </w:r>
      <w:r w:rsidRPr="009E064B">
        <w:rPr>
          <w:rFonts w:asciiTheme="minorHAnsi" w:eastAsia="Calibri" w:hAnsiTheme="minorHAnsi" w:cstheme="minorHAnsi"/>
        </w:rPr>
        <w:t>zarządzaniu bezpieczeństwem operatora lotniska oraz programach dotyczących monitorowania i spełnienia wymagań.</w:t>
      </w:r>
    </w:p>
    <w:p w14:paraId="651125C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powinien zapewnić, aby organizacja, której zleca się czynności posiadała, w razie potrzeby, niezbędne upoważnienia, deklaracje lub zatwierdzenia, dysponowała odpowiednimi środkami i posiadała kompetencje do wykonania zadania. W tym celu, powinien być przeprowadzony wcześniejszy audyt strony objętej umową, aby zapewnić, że spełnia ona obowiązujące wymagania oraz wymagania określone przez samego operatora lotniska.</w:t>
      </w:r>
    </w:p>
    <w:p w14:paraId="5DE33B2D" w14:textId="6A061A37" w:rsidR="00092CBF" w:rsidRPr="009E064B" w:rsidRDefault="00092CBF" w:rsidP="00133B99">
      <w:pPr>
        <w:pStyle w:val="Nagwek6"/>
      </w:pPr>
      <w:bookmarkStart w:id="384" w:name="_Toc492024630"/>
      <w:bookmarkStart w:id="385" w:name="_Toc12532720"/>
      <w:r w:rsidRPr="009E064B">
        <w:t xml:space="preserve">GM1 ADR.OR.D.010    </w:t>
      </w:r>
      <w:r w:rsidR="004D6FC2" w:rsidRPr="009E064B">
        <w:t xml:space="preserve"> </w:t>
      </w:r>
      <w:r w:rsidRPr="009E064B">
        <w:t>Zlecone czynności</w:t>
      </w:r>
      <w:bookmarkEnd w:id="384"/>
      <w:bookmarkEnd w:id="385"/>
    </w:p>
    <w:p w14:paraId="71621F29" w14:textId="637D0F3B"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C5264B9" w14:textId="3903F4F4"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 xml:space="preserve">ZAWIERANIE UMÓW – </w:t>
      </w:r>
      <w:r w:rsidR="009B0A08" w:rsidRPr="009E064B">
        <w:rPr>
          <w:rFonts w:asciiTheme="minorHAnsi" w:eastAsia="Calibri" w:hAnsiTheme="minorHAnsi" w:cstheme="minorHAnsi"/>
        </w:rPr>
        <w:t>WYMAGANIA OGÓLNE</w:t>
      </w:r>
    </w:p>
    <w:p w14:paraId="5FEEFEB9"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Czynności zlecone na rzecz organizacji zewnętrznych, w zakresie świadczenia usług mogą obejmować takie obszary, jak:</w:t>
      </w:r>
    </w:p>
    <w:p w14:paraId="6EAEE029"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utrzymanie, obsługa techniczna i wyposażenie lotniska;</w:t>
      </w:r>
    </w:p>
    <w:p w14:paraId="45DA86BF"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badania i pomiary w zakresie danych lotniczych;</w:t>
      </w:r>
    </w:p>
    <w:p w14:paraId="6B701EFB"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służba zarządzania płytą postojową;</w:t>
      </w:r>
    </w:p>
    <w:p w14:paraId="47617BF8"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szkolenia;</w:t>
      </w:r>
    </w:p>
    <w:p w14:paraId="01DDAB72"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służby ratowniczo-gaśnicze;</w:t>
      </w:r>
    </w:p>
    <w:p w14:paraId="3006D96E" w14:textId="77777777" w:rsidR="00092CBF" w:rsidRPr="009E064B" w:rsidRDefault="00092CBF"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projektowanie lotniska, itp.</w:t>
      </w:r>
    </w:p>
    <w:p w14:paraId="11D02077"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przypadku zlecenia czynności, operator lotniska powinien określić właściwe obowiązki w zakresie zarządzania w ramach swojej organizacji.</w:t>
      </w:r>
    </w:p>
    <w:p w14:paraId="787A34F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Ostateczna odpowiedzialność za produkt lub usługę świadczoną przez organizację, której zlecono czynności powinna zawsze pozostawać po stronie operatora lotniska.</w:t>
      </w:r>
    </w:p>
    <w:p w14:paraId="034FE438" w14:textId="14021F67" w:rsidR="00092CBF" w:rsidRPr="009E064B" w:rsidRDefault="00092CBF" w:rsidP="00133B99">
      <w:pPr>
        <w:pStyle w:val="Nagwek6"/>
      </w:pPr>
      <w:bookmarkStart w:id="386" w:name="_Toc492024631"/>
      <w:bookmarkStart w:id="387" w:name="_Toc12532721"/>
      <w:r w:rsidRPr="009E064B">
        <w:t xml:space="preserve">GM2 ADR.OR.D.010    </w:t>
      </w:r>
      <w:r w:rsidR="004D6FC2" w:rsidRPr="009E064B">
        <w:t xml:space="preserve"> </w:t>
      </w:r>
      <w:r w:rsidRPr="009E064B">
        <w:t>Zlecone czynności</w:t>
      </w:r>
      <w:bookmarkEnd w:id="386"/>
      <w:bookmarkEnd w:id="387"/>
    </w:p>
    <w:p w14:paraId="2AF2FA35" w14:textId="621CB9A8"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6759022" w14:textId="77777777" w:rsidR="00092CBF" w:rsidRPr="009E064B" w:rsidRDefault="00092CBF" w:rsidP="00B06A9A">
      <w:pPr>
        <w:widowControl/>
        <w:rPr>
          <w:rFonts w:asciiTheme="minorHAnsi" w:eastAsia="Calibri" w:hAnsiTheme="minorHAnsi" w:cstheme="minorHAnsi"/>
        </w:rPr>
      </w:pPr>
      <w:r w:rsidRPr="009E064B">
        <w:rPr>
          <w:rFonts w:asciiTheme="minorHAnsi" w:eastAsia="Calibri" w:hAnsiTheme="minorHAnsi" w:cstheme="minorHAnsi"/>
        </w:rPr>
        <w:t>OBOWIĄZKI ZWIĄZANE ZE ZLECENIEM CZYNNOŚCI</w:t>
      </w:r>
    </w:p>
    <w:p w14:paraId="272740C5"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Niezależnie od statusu zatwierdzenia organizacji, której zlecono czynności, zlecający operator lotniska jest odpowiedzialny za zapewnienie, aby wszystkie zlecone czynności podlegały identyfikacji zagrożeń, ocenie bezpieczeństwa (ryzyka) i łagodzeniu ryzyka, a także za monitorowaniu spełniania wymagań.</w:t>
      </w:r>
    </w:p>
    <w:p w14:paraId="27EC85EE" w14:textId="77777777" w:rsidR="00092CBF" w:rsidRPr="009E064B" w:rsidRDefault="00092CBF"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przypadku, gdy sama organizacja, której zlecono czynności jest certyfikowana w zakresie wykonywania zleconych czynności, to monitorowanie spełnienia wymagań prowadzone przez operatora lotniska powinno przynajmniej sprawdzać, czy zakres zatwierdzenia skutecznie pokrywa się z zakresem zleconych czynności i czy jest ono nadal aktualne.</w:t>
      </w:r>
    </w:p>
    <w:p w14:paraId="37DAD66D" w14:textId="393B9F8D" w:rsidR="00DC7DA6" w:rsidRPr="009E064B" w:rsidRDefault="00DE05DC" w:rsidP="00B06A9A">
      <w:pPr>
        <w:pStyle w:val="Nagwek3"/>
      </w:pPr>
      <w:bookmarkStart w:id="388" w:name="_ADR.OR.D.015__"/>
      <w:bookmarkStart w:id="389" w:name="_Toc12532722"/>
      <w:bookmarkEnd w:id="388"/>
      <w:r w:rsidRPr="009E064B">
        <w:t xml:space="preserve">ADR.OR.D.015 </w:t>
      </w:r>
      <w:r w:rsidR="004D6FC2" w:rsidRPr="009E064B">
        <w:t xml:space="preserve">    </w:t>
      </w:r>
      <w:r w:rsidRPr="009E064B">
        <w:t>Wymagania dotyczące personelu</w:t>
      </w:r>
      <w:bookmarkEnd w:id="389"/>
    </w:p>
    <w:p w14:paraId="6160DAB4" w14:textId="3D934914"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BB313B0" w14:textId="33958D85"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wyznacza kierownika odpowiedzialnego, upoważnionego do zagwarantowania sfinansowania i prze</w:t>
      </w:r>
      <w:r w:rsidR="003C4611" w:rsidRPr="009E064B">
        <w:rPr>
          <w:rFonts w:asciiTheme="minorHAnsi" w:hAnsiTheme="minorHAnsi" w:cstheme="minorHAnsi"/>
          <w:sz w:val="22"/>
          <w:szCs w:val="20"/>
        </w:rPr>
        <w:t xml:space="preserve">prowadzenia </w:t>
      </w:r>
      <w:r w:rsidR="00DE05DC" w:rsidRPr="009E064B">
        <w:rPr>
          <w:rFonts w:asciiTheme="minorHAnsi" w:hAnsiTheme="minorHAnsi" w:cstheme="minorHAnsi"/>
          <w:sz w:val="22"/>
          <w:szCs w:val="20"/>
        </w:rPr>
        <w:t xml:space="preserve">wszystkich działań zgodnie ze stosownymi </w:t>
      </w:r>
      <w:r w:rsidR="003C4611" w:rsidRPr="009E064B">
        <w:rPr>
          <w:rFonts w:asciiTheme="minorHAnsi" w:hAnsiTheme="minorHAnsi" w:cstheme="minorHAnsi"/>
          <w:sz w:val="22"/>
          <w:szCs w:val="20"/>
        </w:rPr>
        <w:t xml:space="preserve">wymaganiami. </w:t>
      </w:r>
      <w:r w:rsidR="00DE05DC" w:rsidRPr="009E064B">
        <w:rPr>
          <w:rFonts w:asciiTheme="minorHAnsi" w:hAnsiTheme="minorHAnsi" w:cstheme="minorHAnsi"/>
          <w:sz w:val="22"/>
          <w:szCs w:val="20"/>
        </w:rPr>
        <w:t>Do obowiązków kierownika odpowied</w:t>
      </w:r>
      <w:r w:rsidR="001A1F8F" w:rsidRPr="009E064B">
        <w:rPr>
          <w:rFonts w:asciiTheme="minorHAnsi" w:hAnsiTheme="minorHAnsi" w:cstheme="minorHAnsi"/>
          <w:sz w:val="22"/>
          <w:szCs w:val="20"/>
        </w:rPr>
        <w:t>zialnego należy ustanowienie i </w:t>
      </w:r>
      <w:r w:rsidR="00DE05DC" w:rsidRPr="009E064B">
        <w:rPr>
          <w:rFonts w:asciiTheme="minorHAnsi" w:hAnsiTheme="minorHAnsi" w:cstheme="minorHAnsi"/>
          <w:sz w:val="22"/>
          <w:szCs w:val="20"/>
        </w:rPr>
        <w:t>utrzymanie skutecznie funkcjonującego systemu zarządzania.</w:t>
      </w:r>
    </w:p>
    <w:p w14:paraId="00074126" w14:textId="1657514A"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wyznacza osoby odpowiedzialne za zarządzanie i nadzór nad następującymi obszarami:</w:t>
      </w:r>
    </w:p>
    <w:p w14:paraId="315B0C19" w14:textId="77777777" w:rsidR="00DC7DA6" w:rsidRPr="009E064B" w:rsidRDefault="00F664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służby operacyjne lotniska; oraz</w:t>
      </w:r>
    </w:p>
    <w:p w14:paraId="0CEBE4E4" w14:textId="77777777" w:rsidR="00DC7DA6" w:rsidRPr="009E064B" w:rsidRDefault="00F664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obsługa </w:t>
      </w:r>
      <w:r w:rsidR="003C4611" w:rsidRPr="009E064B">
        <w:rPr>
          <w:rFonts w:asciiTheme="minorHAnsi" w:eastAsia="Times New Roman" w:hAnsiTheme="minorHAnsi" w:cstheme="minorHAnsi"/>
          <w:szCs w:val="20"/>
        </w:rPr>
        <w:t xml:space="preserve">techniczna </w:t>
      </w:r>
      <w:r w:rsidR="00DE05DC" w:rsidRPr="009E064B">
        <w:rPr>
          <w:rFonts w:asciiTheme="minorHAnsi" w:eastAsia="Times New Roman" w:hAnsiTheme="minorHAnsi" w:cstheme="minorHAnsi"/>
          <w:szCs w:val="20"/>
        </w:rPr>
        <w:t>lotniska.</w:t>
      </w:r>
    </w:p>
    <w:p w14:paraId="50B8BCB8" w14:textId="2ED63E67"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wyznacza osobę lub zespół osób odpowiada</w:t>
      </w:r>
      <w:r w:rsidR="00031883" w:rsidRPr="009E064B">
        <w:rPr>
          <w:rFonts w:asciiTheme="minorHAnsi" w:hAnsiTheme="minorHAnsi" w:cstheme="minorHAnsi"/>
          <w:sz w:val="22"/>
          <w:szCs w:val="20"/>
        </w:rPr>
        <w:t>jących za stworzenie, obsługę i </w:t>
      </w:r>
      <w:r w:rsidR="00DE05DC" w:rsidRPr="009E064B">
        <w:rPr>
          <w:rFonts w:asciiTheme="minorHAnsi" w:hAnsiTheme="minorHAnsi" w:cstheme="minorHAnsi"/>
          <w:sz w:val="22"/>
          <w:szCs w:val="20"/>
        </w:rPr>
        <w:t>bieżące kierowanie systemem zarządzania bezpieczeństwem.</w:t>
      </w:r>
    </w:p>
    <w:p w14:paraId="5A2CBA08" w14:textId="0AD68C64" w:rsidR="00DC7DA6" w:rsidRPr="009E064B" w:rsidRDefault="00DE05DC" w:rsidP="00B06A9A">
      <w:pPr>
        <w:pStyle w:val="Tekstpodstawowy"/>
        <w:ind w:left="567" w:right="-2" w:firstLine="1"/>
        <w:rPr>
          <w:rFonts w:asciiTheme="minorHAnsi" w:hAnsiTheme="minorHAnsi" w:cstheme="minorHAnsi"/>
          <w:sz w:val="22"/>
          <w:szCs w:val="20"/>
        </w:rPr>
      </w:pPr>
      <w:r w:rsidRPr="009E064B">
        <w:rPr>
          <w:rFonts w:asciiTheme="minorHAnsi" w:hAnsiTheme="minorHAnsi" w:cstheme="minorHAnsi"/>
          <w:sz w:val="22"/>
          <w:szCs w:val="20"/>
        </w:rPr>
        <w:t>Takie osoby działają niezależnie od innych kierowników w organizacji, mają bezpośredni dostęp do kierownika odpowiedzialnego i kadry zarządzającej właściwej w sprawach bezpieczeństwa oraz odpowiadają przed kierownikiem odpowiedzialnym.</w:t>
      </w:r>
    </w:p>
    <w:p w14:paraId="78D2C520" w14:textId="77777777" w:rsidR="004B5652" w:rsidRPr="009E064B" w:rsidRDefault="004B5652" w:rsidP="006D6289">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00E9A0EC" w14:textId="646A1779"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musi dysponować wystarczającą ilością wykwalifikowanego personelu na potrzeby wykonywania zaplanowanych zadań i czynności zgodnie ze stosownymi wymaganiami.</w:t>
      </w:r>
    </w:p>
    <w:p w14:paraId="78BE9F18" w14:textId="77777777" w:rsidR="004B5652" w:rsidRPr="009E064B" w:rsidRDefault="004B5652" w:rsidP="006D6289">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1DCF334F" w14:textId="0006D9DA"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wyznacza wystarczającą liczbę praco</w:t>
      </w:r>
      <w:r w:rsidR="00031883" w:rsidRPr="009E064B">
        <w:rPr>
          <w:rFonts w:asciiTheme="minorHAnsi" w:hAnsiTheme="minorHAnsi" w:cstheme="minorHAnsi"/>
          <w:sz w:val="22"/>
          <w:szCs w:val="20"/>
        </w:rPr>
        <w:t>wników nadzorujących personel w </w:t>
      </w:r>
      <w:r w:rsidR="00DE05DC" w:rsidRPr="009E064B">
        <w:rPr>
          <w:rFonts w:asciiTheme="minorHAnsi" w:hAnsiTheme="minorHAnsi" w:cstheme="minorHAnsi"/>
          <w:sz w:val="22"/>
          <w:szCs w:val="20"/>
        </w:rPr>
        <w:t>zakresie wypełniania określonych zadań i obowiązków, biorąc przy tym pod uwagę swoją strukturę organizacyjną i liczbę zatrudnianych pracowników.</w:t>
      </w:r>
    </w:p>
    <w:p w14:paraId="30CDC988" w14:textId="77777777" w:rsidR="004B5652" w:rsidRPr="009E064B" w:rsidRDefault="004B5652" w:rsidP="006D6289">
      <w:pPr>
        <w:tabs>
          <w:tab w:val="left" w:pos="567"/>
        </w:tabs>
        <w:spacing w:after="40"/>
        <w:ind w:left="567" w:hanging="425"/>
        <w:jc w:val="right"/>
        <w:rPr>
          <w:rFonts w:asciiTheme="minorHAnsi" w:eastAsia="Times New Roman" w:hAnsiTheme="minorHAnsi" w:cstheme="minorHAnsi"/>
          <w:szCs w:val="20"/>
        </w:rPr>
      </w:pPr>
      <w:r w:rsidRPr="009E064B">
        <w:rPr>
          <w:rFonts w:asciiTheme="minorHAnsi" w:hAnsiTheme="minorHAnsi" w:cstheme="minorHAnsi"/>
          <w:i/>
          <w:sz w:val="16"/>
          <w:szCs w:val="20"/>
        </w:rPr>
        <w:t>Rozporządzenie (UE) nr 139/2014</w:t>
      </w:r>
    </w:p>
    <w:p w14:paraId="30F032AC" w14:textId="13EB8FB6" w:rsidR="006D6289"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f)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aby personel biorący udział w użytkowaniu i utrzymaniu lotniska oraz w zarządzaniu nim był odpowiednio przeszkolony zgodnie z programem szkolenia.</w:t>
      </w:r>
    </w:p>
    <w:p w14:paraId="09D4AEB7" w14:textId="03F0CB1A" w:rsidR="00AA7C09" w:rsidRPr="009E064B" w:rsidRDefault="00AA7C09" w:rsidP="00133B99">
      <w:pPr>
        <w:pStyle w:val="Nagwek5"/>
      </w:pPr>
      <w:bookmarkStart w:id="390" w:name="_Toc492024632"/>
      <w:bookmarkStart w:id="391" w:name="_Toc12532723"/>
      <w:r w:rsidRPr="009E064B">
        <w:t xml:space="preserve">AMC1 ADR.OR.D.015(a)    </w:t>
      </w:r>
      <w:r w:rsidR="004002F9" w:rsidRPr="009E064B">
        <w:t xml:space="preserve"> </w:t>
      </w:r>
      <w:r w:rsidRPr="009E064B">
        <w:t>Wymagania dotyczące personelu</w:t>
      </w:r>
      <w:bookmarkEnd w:id="390"/>
      <w:bookmarkEnd w:id="391"/>
    </w:p>
    <w:p w14:paraId="3F3F637B" w14:textId="1589C2BB"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DD84254"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KIEROWNIK ODPOWIEDZIALNY</w:t>
      </w:r>
    </w:p>
    <w:p w14:paraId="6C759489" w14:textId="0D35948C"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Kierownik odpowiedzialny – </w:t>
      </w:r>
      <w:r w:rsidR="009B0A08" w:rsidRPr="009E064B">
        <w:rPr>
          <w:rFonts w:asciiTheme="minorHAnsi" w:eastAsia="Calibri" w:hAnsiTheme="minorHAnsi" w:cstheme="minorHAnsi"/>
        </w:rPr>
        <w:t>Wymagania ogólne</w:t>
      </w:r>
    </w:p>
    <w:p w14:paraId="75D04E1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Kierownik odpowiedzialny powinien:</w:t>
      </w:r>
    </w:p>
    <w:p w14:paraId="534FDD95"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zapewnić, że dostępne są wszystkie środki niezbędne do funkcjonowania lotniska, zgodnie z obowiązującymi wymaganiami i instrukcją operacyjną lotniska;</w:t>
      </w:r>
    </w:p>
    <w:p w14:paraId="39F47D43"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zapewnić, że jeżeli wystąpi obniżenie poziomu środków lub zaistnieją nietypowe okoliczności, które mogą mieć wpływ na bezpieczeństwo, to wprowadzone zostanie wymagane obniżenie ilości operacji wykonywanych na lotnisku;</w:t>
      </w:r>
    </w:p>
    <w:p w14:paraId="73764EE6"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ustanowić, wdrożyć i promować politykę bezpieczeństwa; oraz</w:t>
      </w:r>
    </w:p>
    <w:p w14:paraId="1CBDCC69" w14:textId="7F8FC2CF"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zapewnić zgodność z odpowiednimi obowiązującymi wymaganiami, podstawą certyfikacji oraz systemem zarządzania bezpieczeństwem organizacji, jak również jej systemem zarządzania jakością w odniesie</w:t>
      </w:r>
      <w:r w:rsidR="00031883" w:rsidRPr="009E064B">
        <w:rPr>
          <w:rFonts w:asciiTheme="minorHAnsi" w:eastAsia="Calibri" w:hAnsiTheme="minorHAnsi" w:cstheme="minorHAnsi"/>
        </w:rPr>
        <w:t>niu do działalności związanej z </w:t>
      </w:r>
      <w:r w:rsidRPr="009E064B">
        <w:rPr>
          <w:rFonts w:asciiTheme="minorHAnsi" w:eastAsia="Calibri" w:hAnsiTheme="minorHAnsi" w:cstheme="minorHAnsi"/>
        </w:rPr>
        <w:t>dostarczaniem danych lotniczych i informacji lotniczych.</w:t>
      </w:r>
    </w:p>
    <w:p w14:paraId="38579F8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Kierownik odpowiedzialny powinien:</w:t>
      </w:r>
    </w:p>
    <w:p w14:paraId="1490C209"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posiadać odpowiedni poziom władzy w ramach organizacji operatora lotniska w celu zapewnienia, że działania są finansowane i prowadzone zgodnie ze wymaganymi standardami;</w:t>
      </w:r>
    </w:p>
    <w:p w14:paraId="107096A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znać i rozumieć dokumenty, które określają odpowiednie standardy bezpieczeństwa na lotnisku;</w:t>
      </w:r>
    </w:p>
    <w:p w14:paraId="4A4F83A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rozumieć wymagania dotyczące kompetencji kadry zarządzającej lotniskiem, aby zapewnić, że zadania są wykonywane przez kompetentne osoby;</w:t>
      </w:r>
    </w:p>
    <w:p w14:paraId="677A0CA8"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posiadać wiedzę i rozumieć zasady i praktyki w zakresie systemów zarządzania bezpieczeństwem, jakością i ochroną oraz to, jak są one stosowane w ramach organizacji;</w:t>
      </w:r>
    </w:p>
    <w:p w14:paraId="5044805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posiadać wiedzę dotyczącą roli kierownika odpowiedzialnego; oraz</w:t>
      </w:r>
    </w:p>
    <w:p w14:paraId="6EFB83D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posiadać wiedzę i zrozumieć kluczowe kwestie zarządzania ryzykiem w obrębie lotniska.</w:t>
      </w:r>
    </w:p>
    <w:p w14:paraId="41FE5FFF"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Kierownik odpowiedzialny - Delegowanie obowiązków</w:t>
      </w:r>
    </w:p>
    <w:p w14:paraId="56B581C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Od kierownika odpowiedzialnego oczekuje się wysokiego poziomu wiedzy technicznej i rozumienia, szczególnie w odniesieniu do jego/jej własnej roli w zapewnieniu i utrzymaniu odpowiednich standardów.</w:t>
      </w:r>
    </w:p>
    <w:p w14:paraId="0C411F8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 okresach nieobecności, codzienne obowiązki kierownika odpowiedzialnego mogą być delegowane, jednak ostatecznie odpowiedzialność spoczywa na kierowniku odpowiedzialnym.</w:t>
      </w:r>
    </w:p>
    <w:p w14:paraId="3962CB78"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 zależności od wielkości i złożoności działalności, kierownik odpowiedzialny może przekazać swoje obowiązki w zakresie szkolenia, poprzez mianowanie kierownika ds. szkolenia, którego obowiązkiem powinno być ustanowienie, koordynacja i realizacja programów szkoleniowych oraz prowadzenie rejestru szkolenia personelu, jak również programów sprawdzenia umiejętności.</w:t>
      </w:r>
    </w:p>
    <w:p w14:paraId="1E247D22"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W każdym przypadku odpowiedzialność, ostatecznie spoczywa na kierowniku odpowiedzialnym.</w:t>
      </w:r>
    </w:p>
    <w:p w14:paraId="78E14037" w14:textId="69E7838F" w:rsidR="00AA7C09" w:rsidRPr="009E064B" w:rsidRDefault="00AA7C09" w:rsidP="00133B99">
      <w:pPr>
        <w:pStyle w:val="Nagwek6"/>
      </w:pPr>
      <w:bookmarkStart w:id="392" w:name="_Toc492024633"/>
      <w:bookmarkStart w:id="393" w:name="_Toc12532724"/>
      <w:r w:rsidRPr="009E064B">
        <w:t xml:space="preserve">GM1 ADR.OR.D.015(a)    </w:t>
      </w:r>
      <w:r w:rsidR="004002F9" w:rsidRPr="009E064B">
        <w:t xml:space="preserve"> </w:t>
      </w:r>
      <w:r w:rsidRPr="009E064B">
        <w:t>Wymagania dotyczące personelu</w:t>
      </w:r>
      <w:bookmarkEnd w:id="392"/>
      <w:bookmarkEnd w:id="393"/>
    </w:p>
    <w:p w14:paraId="74696707" w14:textId="5E601D9E"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AA26ADC"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KIEROWNIK ODPOWIEDZIALNY</w:t>
      </w:r>
    </w:p>
    <w:p w14:paraId="13EA4261"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W zależności od wielkości, struktury i złożoności organizacji, kierownikiem odpowiedzialnym może być:</w:t>
      </w:r>
    </w:p>
    <w:p w14:paraId="1D014F8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dyrektor wykonawczy (CEO</w:t>
      </w:r>
      <w:r w:rsidRPr="009E064B">
        <w:rPr>
          <w:rFonts w:asciiTheme="minorHAnsi" w:eastAsia="Calibri" w:hAnsiTheme="minorHAnsi" w:cstheme="minorHAnsi"/>
          <w:vertAlign w:val="superscript"/>
        </w:rPr>
        <w:footnoteReference w:id="32"/>
      </w:r>
      <w:r w:rsidRPr="009E064B">
        <w:rPr>
          <w:rFonts w:asciiTheme="minorHAnsi" w:eastAsia="Calibri" w:hAnsiTheme="minorHAnsi" w:cstheme="minorHAnsi"/>
        </w:rPr>
        <w:t>);</w:t>
      </w:r>
    </w:p>
    <w:p w14:paraId="56545158"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dyrektor operacyjny (COO</w:t>
      </w:r>
      <w:r w:rsidRPr="009E064B">
        <w:rPr>
          <w:rFonts w:asciiTheme="minorHAnsi" w:eastAsia="Calibri" w:hAnsiTheme="minorHAnsi" w:cstheme="minorHAnsi"/>
          <w:vertAlign w:val="superscript"/>
        </w:rPr>
        <w:footnoteReference w:id="33"/>
      </w:r>
      <w:r w:rsidRPr="009E064B">
        <w:rPr>
          <w:rFonts w:asciiTheme="minorHAnsi" w:eastAsia="Calibri" w:hAnsiTheme="minorHAnsi" w:cstheme="minorHAnsi"/>
        </w:rPr>
        <w:t>);</w:t>
      </w:r>
    </w:p>
    <w:p w14:paraId="7BC1875D"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przewodniczący zarządu (rady) dyrektorów;</w:t>
      </w:r>
    </w:p>
    <w:p w14:paraId="4A72F84A"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wspólnik; lub</w:t>
      </w:r>
    </w:p>
    <w:p w14:paraId="37AC125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właściciel.</w:t>
      </w:r>
    </w:p>
    <w:p w14:paraId="5F476253" w14:textId="1E2487C3"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Powołanie kierownika odpowiedzialnego, któremu nadano wymagane uprawnienia i odpowiedzialność, wymaga, aby osoba ta posiadała niezbędne atrybuty do pełnienia tej funkcji. Kierownik odpowiedzialny może pełnić więcej niż jedną funkcję w organizacji. Niemniej jednak rolą kierownika odpowiedzialnego jest „zaszczepienie” bezpieczeństwa, jako podstawowej wartości organizacyjnej oraz zapewnienie, że system zarządzania bezpieczeń</w:t>
      </w:r>
      <w:r w:rsidR="00031883" w:rsidRPr="009E064B">
        <w:rPr>
          <w:rFonts w:asciiTheme="minorHAnsi" w:eastAsia="Calibri" w:hAnsiTheme="minorHAnsi" w:cstheme="minorHAnsi"/>
        </w:rPr>
        <w:t>stwem jest właściwie wdrożony i </w:t>
      </w:r>
      <w:r w:rsidRPr="009E064B">
        <w:rPr>
          <w:rFonts w:asciiTheme="minorHAnsi" w:eastAsia="Calibri" w:hAnsiTheme="minorHAnsi" w:cstheme="minorHAnsi"/>
        </w:rPr>
        <w:t>utrzymywany poprzez przydzielanie odpowiednich zadań i środków.</w:t>
      </w:r>
    </w:p>
    <w:p w14:paraId="5093ED22" w14:textId="4D20DA3D" w:rsidR="00AA7C09" w:rsidRPr="009E064B" w:rsidRDefault="00AA7C09" w:rsidP="00133B99">
      <w:pPr>
        <w:pStyle w:val="Nagwek5"/>
      </w:pPr>
      <w:bookmarkStart w:id="394" w:name="_Toc492024634"/>
      <w:bookmarkStart w:id="395" w:name="_Toc12532725"/>
      <w:r w:rsidRPr="009E064B">
        <w:t xml:space="preserve">AMC1 ADR.OR.D.015(b)    </w:t>
      </w:r>
      <w:r w:rsidR="004002F9" w:rsidRPr="009E064B">
        <w:t xml:space="preserve"> </w:t>
      </w:r>
      <w:r w:rsidRPr="009E064B">
        <w:t>Wymagania dotyczące personelu</w:t>
      </w:r>
      <w:bookmarkEnd w:id="394"/>
      <w:bookmarkEnd w:id="395"/>
    </w:p>
    <w:p w14:paraId="55FD092B" w14:textId="264E7B7B"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7558BF6"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OSOBY WYZNACZONE</w:t>
      </w:r>
    </w:p>
    <w:p w14:paraId="57E7584C" w14:textId="5247FED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r>
      <w:r w:rsidR="009B0A08" w:rsidRPr="009E064B">
        <w:rPr>
          <w:rFonts w:asciiTheme="minorHAnsi" w:eastAsia="Calibri" w:hAnsiTheme="minorHAnsi" w:cstheme="minorHAnsi"/>
        </w:rPr>
        <w:t>Wymagania ogólne</w:t>
      </w:r>
    </w:p>
    <w:p w14:paraId="6133461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Opis funkcji osób wyznaczonych, w tym ich nazwiska, a także jasno określony zakres obowiązków i ich uprawnień, powinien być zawarty w instrukcji operacyjnej lotniska. Osoby wyznaczone powinny dysponować odpowiednimi środkami dostępnymi do wykonywania swoich obowiązków.</w:t>
      </w:r>
    </w:p>
    <w:p w14:paraId="071471B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Operator lotniska powinien dokonać ustaleń, aby zapewnić odpowiednią ciągłość nadzoru w przypadku nieobecności osób wyznaczonych.</w:t>
      </w:r>
    </w:p>
    <w:p w14:paraId="365C3EE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Osoba wyznaczona przez operatora lotniska, nie powinna być wyznaczona przez innego operatora lotniska, chyba że tak uzgodniono z właściwym organem.</w:t>
      </w:r>
    </w:p>
    <w:p w14:paraId="0BE5ABD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Dla osób wyznaczonych powinno się przewidzieć wystarczającą ilość godzin pracy na wypełnienie wszystkich funkcji zarządczych, stosownie do wielkości i złożoności prowadzonej działalności.</w:t>
      </w:r>
    </w:p>
    <w:p w14:paraId="04FEFA8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Osoba wyznaczona może zajmować więcej niż jedno z wyznaczonych stanowisk, jeśli takie rozwiązanie jest odpowiednie i właściwie dobrane do organizacji operatora lotniska oraz złożoności jego działalności.</w:t>
      </w:r>
    </w:p>
    <w:p w14:paraId="44DCE9B3"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Kompetencje osób wyznaczonych</w:t>
      </w:r>
    </w:p>
    <w:p w14:paraId="69FE52C3"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Kierownik ds. operacyjnych i kierownik ds. obsługi technicznej powinni posiadać:</w:t>
      </w:r>
    </w:p>
    <w:p w14:paraId="5CBA01C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odpowiednie doświadczenie praktyczne i wiedzę specjalistyczną w zakresie operacji lotniskowych lub obsługi technicznej lotniska albo w podobnym obszarze;</w:t>
      </w:r>
    </w:p>
    <w:p w14:paraId="66E2B0D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wszechstronną wiedzę odnoście obowiązujących wymagań w danym obszarze działalności lotnisk;</w:t>
      </w:r>
    </w:p>
    <w:p w14:paraId="21A8075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odpowiedni poziom wiedzy na temat zarządzania bezpieczeństwem i jakością;</w:t>
      </w:r>
    </w:p>
    <w:p w14:paraId="462F8F5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znajomość instrukcji operacyjnej lotniska.</w:t>
      </w:r>
    </w:p>
    <w:p w14:paraId="299BEA68" w14:textId="573B45C6" w:rsidR="00AA7C09" w:rsidRPr="009E064B" w:rsidRDefault="00AA7C09" w:rsidP="00133B99">
      <w:pPr>
        <w:pStyle w:val="Nagwek6"/>
      </w:pPr>
      <w:bookmarkStart w:id="396" w:name="_Toc492024635"/>
      <w:bookmarkStart w:id="397" w:name="_Toc12532726"/>
      <w:r w:rsidRPr="009E064B">
        <w:t xml:space="preserve">GM1 ADR.OR.D.015(b)    </w:t>
      </w:r>
      <w:r w:rsidR="004002F9" w:rsidRPr="009E064B">
        <w:t xml:space="preserve"> </w:t>
      </w:r>
      <w:r w:rsidRPr="009E064B">
        <w:t>Wymagania dotyczące personelu</w:t>
      </w:r>
      <w:bookmarkEnd w:id="396"/>
      <w:bookmarkEnd w:id="397"/>
    </w:p>
    <w:p w14:paraId="5D7C68C7" w14:textId="0965D0A0"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8CC81B3"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POŁĄCZENIE OBOWIĄZKÓW OSÓB WYZNACZONYCH</w:t>
      </w:r>
    </w:p>
    <w:p w14:paraId="2898569E"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Akceptowanie, aby jedna osoba zajmowała więcej niż jedno stanowisko, ewentualnie w połączeniu z funkcją kierownika odpowiedzialnego, powinno zależeć od organizacji operatora lotniska oraz złożoności wykonywanych operacji. Dwoma głównymi obszarami zainteresowania powinny być: kompetencje i zdolności danej osoby do wypełniania przydzielonych obowiązków.</w:t>
      </w:r>
    </w:p>
    <w:p w14:paraId="773FB3C7"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zakresie kompetencji w różnych obszarach odpowiedzialności, nie powinno być żadnej różnicy w wymaganiach mających zastosowanie do osób zajmujących tylko jedno stanowisko.</w:t>
      </w:r>
    </w:p>
    <w:p w14:paraId="61E0C4F7"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Zdolność osoby do wypełniania przydzielonych obowiązków powinna przede wszystkim zależeć od złożoności organizacji operatora lotniska i jego operacji. Jednak złożoność organizacji operatora lotniska, albo jego operacje mogą uniemożliwiać lub ograniczać łączenie stanowisk.</w:t>
      </w:r>
    </w:p>
    <w:p w14:paraId="06F11253" w14:textId="05161EA7" w:rsidR="00AA7C09" w:rsidRPr="009E064B" w:rsidRDefault="00AA7C09" w:rsidP="00133B99">
      <w:pPr>
        <w:pStyle w:val="Nagwek5"/>
      </w:pPr>
      <w:bookmarkStart w:id="398" w:name="_AMC1_ADR.OR.D.015(c)_"/>
      <w:bookmarkStart w:id="399" w:name="_Toc492024636"/>
      <w:bookmarkStart w:id="400" w:name="_Toc12532727"/>
      <w:bookmarkEnd w:id="398"/>
      <w:r w:rsidRPr="009E064B">
        <w:t xml:space="preserve">AMC1 ADR.OR.D.015(c)    </w:t>
      </w:r>
      <w:r w:rsidR="004002F9" w:rsidRPr="009E064B">
        <w:t xml:space="preserve"> </w:t>
      </w:r>
      <w:r w:rsidRPr="009E064B">
        <w:t>Wymagania dotyczące personelu</w:t>
      </w:r>
      <w:bookmarkEnd w:id="399"/>
      <w:bookmarkEnd w:id="400"/>
    </w:p>
    <w:p w14:paraId="69589E6A" w14:textId="570B99A2"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C2456B"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KIEROWNIK DS. BEZPIECZEŃSTWA</w:t>
      </w:r>
    </w:p>
    <w:p w14:paraId="42EDC57B" w14:textId="60374B08"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Kierownik ds. bezpieczeństwa powinien być punktem kontaktowym i odpowiadać za rozwój, administrowanie oraz utrzymanie skutecznego systemu zarządzania bezpieczeństwem (patr</w:t>
      </w:r>
      <w:r w:rsidR="002703BA" w:rsidRPr="009E064B">
        <w:rPr>
          <w:rFonts w:asciiTheme="minorHAnsi" w:eastAsia="Calibri" w:hAnsiTheme="minorHAnsi" w:cstheme="minorHAnsi"/>
        </w:rPr>
        <w:t xml:space="preserve">z także </w:t>
      </w:r>
      <w:hyperlink w:anchor="_AMC1_ADR.OR.D.005(b)(1)_" w:history="1">
        <w:r w:rsidR="002703BA"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ADR.OR.D.005(b)(1)</w:t>
        </w:r>
      </w:hyperlink>
      <w:r w:rsidRPr="009E064B">
        <w:rPr>
          <w:rFonts w:asciiTheme="minorHAnsi" w:eastAsia="Calibri" w:hAnsiTheme="minorHAnsi" w:cstheme="minorHAnsi"/>
        </w:rPr>
        <w:t>).</w:t>
      </w:r>
    </w:p>
    <w:p w14:paraId="36BDCE9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Rolą kierownika ds. bezpieczeństwa powinno być:</w:t>
      </w:r>
    </w:p>
    <w:p w14:paraId="2AAB0E3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ułatwienie identyfikacji zagrożeń, analizy ryzyka i zarządzania;</w:t>
      </w:r>
    </w:p>
    <w:p w14:paraId="7F4DE10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monitorowanie wdrażania i funkcjonowania systemu zarządzania bezpieczeństwem, w tym podejmowanie niezbędnych działań związanych z bezpieczeństwem;</w:t>
      </w:r>
    </w:p>
    <w:p w14:paraId="69BF6D9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zarządzanie systemem zgłaszania spraw związanych z bezpieczeństwem na lotnisku;</w:t>
      </w:r>
    </w:p>
    <w:p w14:paraId="6FDCFB5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przedstawianie okresowych sprawozdań na temat skuteczności działań w dziedzinie bezpieczeństwa;</w:t>
      </w:r>
    </w:p>
    <w:p w14:paraId="0BA4557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zapewnianie utrzymania dokumentacji zarządzania bezpieczeństwem;</w:t>
      </w:r>
    </w:p>
    <w:p w14:paraId="3A6F63B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zapewnianie, aby szkolenia z zakresu zarządzania bezpieczeństwem były dostępne oraz spełniały akceptowane standardy;</w:t>
      </w:r>
    </w:p>
    <w:p w14:paraId="5E5120C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udzielanie porad w sprawach związanych z bezpieczeństwem;</w:t>
      </w:r>
    </w:p>
    <w:p w14:paraId="696315B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inicjowanie i udział w wewnętrznych badaniach zdarzeń/wypadków.</w:t>
      </w:r>
    </w:p>
    <w:p w14:paraId="1945A3EB"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Kierownik ds. bezpieczeństwa powinien posiadać:</w:t>
      </w:r>
    </w:p>
    <w:p w14:paraId="1FAE20F3"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odpowiednie doświadczenie praktyczne i wiedzę specjalistyczną w zakresie operacji lotniskowych lub obsługi technicznej lotniska albo w podobnym obszarze;</w:t>
      </w:r>
    </w:p>
    <w:p w14:paraId="7632D50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odpowiednią wiedzę z zakresu zarządzania bezpieczeństwem i jakością;</w:t>
      </w:r>
    </w:p>
    <w:p w14:paraId="17245E9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odpowiednią znajomość instrukcji operacyjnej lotniska; oraz</w:t>
      </w:r>
    </w:p>
    <w:p w14:paraId="694CAA7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wszechstronną wiedzę na temat obowiązujących wymagań w obszarze lotnisk.</w:t>
      </w:r>
    </w:p>
    <w:p w14:paraId="1C02B816" w14:textId="39B7B474" w:rsidR="002703BA" w:rsidRPr="009E064B" w:rsidRDefault="00AA7C09" w:rsidP="002703B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Kierownik ds. bezpieczeństwa nie powinien być</w:t>
      </w:r>
      <w:r w:rsidR="00371A8B" w:rsidRPr="009E064B">
        <w:rPr>
          <w:rFonts w:asciiTheme="minorHAnsi" w:eastAsia="Calibri" w:hAnsiTheme="minorHAnsi" w:cstheme="minorHAnsi"/>
        </w:rPr>
        <w:t xml:space="preserve"> jedną z osób, o których mowa w </w:t>
      </w:r>
      <w:hyperlink w:anchor="_ADR.OR.D.015__" w:history="1">
        <w:r w:rsidRPr="009E064B">
          <w:rPr>
            <w:rStyle w:val="Hipercze"/>
            <w:rFonts w:asciiTheme="minorHAnsi" w:eastAsia="Calibri" w:hAnsiTheme="minorHAnsi" w:cstheme="minorHAnsi"/>
          </w:rPr>
          <w:t>ADR.OR.D.015</w:t>
        </w:r>
      </w:hyperlink>
      <w:r w:rsidR="00371A8B" w:rsidRPr="009E064B">
        <w:rPr>
          <w:rFonts w:asciiTheme="minorHAnsi" w:eastAsia="Calibri" w:hAnsiTheme="minorHAnsi" w:cstheme="minorHAnsi"/>
        </w:rPr>
        <w:t xml:space="preserve"> </w:t>
      </w:r>
      <w:r w:rsidR="00B06AC8" w:rsidRPr="009E064B">
        <w:rPr>
          <w:rFonts w:asciiTheme="minorHAnsi" w:eastAsia="Calibri" w:hAnsiTheme="minorHAnsi" w:cstheme="minorHAnsi"/>
        </w:rPr>
        <w:t>lit. </w:t>
      </w:r>
      <w:r w:rsidRPr="009E064B">
        <w:rPr>
          <w:rFonts w:asciiTheme="minorHAnsi" w:eastAsia="Calibri" w:hAnsiTheme="minorHAnsi" w:cstheme="minorHAnsi"/>
        </w:rPr>
        <w:t xml:space="preserve">(b) lub </w:t>
      </w:r>
      <w:hyperlink w:anchor="_AMC2_ADR.OR.D.005(b)(11)_" w:history="1">
        <w:r w:rsidRPr="009E064B">
          <w:rPr>
            <w:rStyle w:val="Hipercze"/>
            <w:rFonts w:asciiTheme="minorHAnsi" w:eastAsia="Calibri" w:hAnsiTheme="minorHAnsi" w:cstheme="minorHAnsi"/>
          </w:rPr>
          <w:t>AMC2 ADR.OR.D.005(b)(11)</w:t>
        </w:r>
      </w:hyperlink>
      <w:r w:rsidRPr="009E064B">
        <w:rPr>
          <w:rFonts w:asciiTheme="minorHAnsi" w:eastAsia="Calibri" w:hAnsiTheme="minorHAnsi" w:cstheme="minorHAnsi"/>
        </w:rPr>
        <w:t xml:space="preserve">. Jednakże, w przypadku mniej złożonych organizacji/operacji lotniskowych, kierownik ds. bezpieczeństwa może być kierownikiem odpowiedzialnym, lub jedną z osób, o których mowa w </w:t>
      </w:r>
      <w:hyperlink w:anchor="_ADR.OR.D.015__" w:history="1">
        <w:r w:rsidR="001A1F8F" w:rsidRPr="009E064B">
          <w:rPr>
            <w:rStyle w:val="Hipercze"/>
            <w:rFonts w:asciiTheme="minorHAnsi" w:eastAsia="Calibri" w:hAnsiTheme="minorHAnsi" w:cstheme="minorHAnsi"/>
          </w:rPr>
          <w:t>ADR.OR.D.015</w:t>
        </w:r>
      </w:hyperlink>
      <w:r w:rsidR="00371A8B" w:rsidRPr="009E064B">
        <w:rPr>
          <w:rFonts w:asciiTheme="minorHAnsi" w:eastAsia="Calibri" w:hAnsiTheme="minorHAnsi" w:cstheme="minorHAnsi"/>
        </w:rPr>
        <w:t xml:space="preserve"> </w:t>
      </w:r>
      <w:r w:rsidR="001A1F8F" w:rsidRPr="009E064B">
        <w:rPr>
          <w:rFonts w:asciiTheme="minorHAnsi" w:eastAsia="Calibri" w:hAnsiTheme="minorHAnsi" w:cstheme="minorHAnsi"/>
        </w:rPr>
        <w:t>lit. </w:t>
      </w:r>
      <w:r w:rsidRPr="009E064B">
        <w:rPr>
          <w:rFonts w:asciiTheme="minorHAnsi" w:eastAsia="Calibri" w:hAnsiTheme="minorHAnsi" w:cstheme="minorHAnsi"/>
        </w:rPr>
        <w:t>(</w:t>
      </w:r>
      <w:r w:rsidR="001A1F8F" w:rsidRPr="009E064B">
        <w:rPr>
          <w:rFonts w:asciiTheme="minorHAnsi" w:eastAsia="Calibri" w:hAnsiTheme="minorHAnsi" w:cstheme="minorHAnsi"/>
        </w:rPr>
        <w:t>b</w:t>
      </w:r>
      <w:r w:rsidRPr="009E064B">
        <w:rPr>
          <w:rFonts w:asciiTheme="minorHAnsi" w:eastAsia="Calibri" w:hAnsiTheme="minorHAnsi" w:cstheme="minorHAnsi"/>
        </w:rPr>
        <w:t xml:space="preserve">), lub </w:t>
      </w:r>
      <w:hyperlink w:anchor="_AMC2_ADR.OR.D.005(b)(11)_" w:history="1">
        <w:r w:rsidRPr="009E064B">
          <w:rPr>
            <w:rStyle w:val="Hipercze"/>
            <w:rFonts w:asciiTheme="minorHAnsi" w:eastAsia="Calibri" w:hAnsiTheme="minorHAnsi" w:cstheme="minorHAnsi"/>
          </w:rPr>
          <w:t>AMC2 ADR.OR.D.005(b)(11)</w:t>
        </w:r>
      </w:hyperlink>
      <w:r w:rsidRPr="009E064B">
        <w:rPr>
          <w:rFonts w:asciiTheme="minorHAnsi" w:eastAsia="Calibri" w:hAnsiTheme="minorHAnsi" w:cstheme="minorHAnsi"/>
        </w:rPr>
        <w:t>, lub każdą inną osobą na odpowiednim poziomie zarządzania, pod warunkiem, że może on/ona działać niezależnie od innych kierowników w organizacji operatora lotniska i ma bezpośredni dostęp do kierownika odpowiedzialnego i do właściwego kierownictwa odpowiedzialnego za sprawy bezpieczeństwa.</w:t>
      </w:r>
      <w:r w:rsidR="002703BA" w:rsidRPr="009E064B">
        <w:rPr>
          <w:rFonts w:asciiTheme="minorHAnsi" w:eastAsia="Calibri" w:hAnsiTheme="minorHAnsi" w:cstheme="minorHAnsi"/>
        </w:rPr>
        <w:t xml:space="preserve"> </w:t>
      </w:r>
    </w:p>
    <w:p w14:paraId="3665EDEA" w14:textId="4752A9D0" w:rsidR="00AA7C09" w:rsidRPr="009E064B" w:rsidRDefault="00AA7C09" w:rsidP="00133B99">
      <w:pPr>
        <w:pStyle w:val="Nagwek5"/>
      </w:pPr>
      <w:bookmarkStart w:id="401" w:name="_Toc492024637"/>
      <w:bookmarkStart w:id="402" w:name="_Toc12532728"/>
      <w:r w:rsidRPr="009E064B">
        <w:t xml:space="preserve">AMC1 ADR.OR.D.015(d)    </w:t>
      </w:r>
      <w:r w:rsidR="004002F9" w:rsidRPr="009E064B">
        <w:t xml:space="preserve"> </w:t>
      </w:r>
      <w:r w:rsidRPr="009E064B">
        <w:t>Wymagania dotyczące personelu</w:t>
      </w:r>
      <w:bookmarkEnd w:id="401"/>
      <w:bookmarkEnd w:id="402"/>
    </w:p>
    <w:p w14:paraId="7F64F4C8" w14:textId="707CE11B"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0FA77F"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OKREŚLENIE POTRZEB I KWALIFIKACJI PERSONELU</w:t>
      </w:r>
    </w:p>
    <w:p w14:paraId="7699A34D"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określić wymagany personel do realizacji planowanych zadań.</w:t>
      </w:r>
    </w:p>
    <w:p w14:paraId="7F1ABDF3"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określić wymagane kwalifikacje dla tego personelu, zgodnie z obowiązującymi wymaganiami (oraz przepisami krajowymi i Unii Europejskiej, tam gdzie ma to zastosowanie) i zamieścić je w instrukcji operacyjnej lotniska. Powinien być wdrożony, udokumentowany system z określonymi obowiązkami, w celu identyfikowania konieczności jakichkolwiek zmian odnośnie kwalifikacji personelu.</w:t>
      </w:r>
    </w:p>
    <w:p w14:paraId="3FF61295" w14:textId="1BABBAF9" w:rsidR="00AA7C09" w:rsidRPr="009E064B" w:rsidRDefault="00AA7C09" w:rsidP="00133B99">
      <w:pPr>
        <w:pStyle w:val="Nagwek6"/>
      </w:pPr>
      <w:bookmarkStart w:id="403" w:name="_GM1_ADR.OR.D.015(d)_"/>
      <w:bookmarkStart w:id="404" w:name="_Toc492024638"/>
      <w:bookmarkStart w:id="405" w:name="_Toc12532729"/>
      <w:bookmarkEnd w:id="403"/>
      <w:r w:rsidRPr="009E064B">
        <w:t xml:space="preserve">GM1 ADR.OR.D.015(d)    </w:t>
      </w:r>
      <w:r w:rsidR="004002F9" w:rsidRPr="009E064B">
        <w:t xml:space="preserve"> </w:t>
      </w:r>
      <w:r w:rsidRPr="009E064B">
        <w:t>Wymagania dotyczące personelu</w:t>
      </w:r>
      <w:bookmarkEnd w:id="404"/>
      <w:bookmarkEnd w:id="405"/>
    </w:p>
    <w:p w14:paraId="5E33A8FB" w14:textId="1616DF86"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EE690A1"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KWALIFIKACJE PERSONELU</w:t>
      </w:r>
    </w:p>
    <w:p w14:paraId="6E475C75"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Określenie „wykwalifikowany” oznacza przydatność do określonego celu. Można to osiągnąć poprzez spełnienie warunków niezbędnych, takich jak ukończenie wymaganego szkolenia lub uzyskanie dyplomu lub stopnia naukowego, lub poprzez zdobycie odpowiedniego doświadczenia. Obejmuje to również zdolności, możliwości, wiedzę lub umiejętności, które pasują lub odpowiadają potrzebie, lub sprawiają, że ktoś kwalifikuje się do pełnienia obowiązków, sprawowania urzędu, pracy na stanowisku, korzystania z przywileju, lub statusu.</w:t>
      </w:r>
    </w:p>
    <w:p w14:paraId="42B2EAF7" w14:textId="77777777" w:rsidR="00AA7C09" w:rsidRPr="009E064B" w:rsidRDefault="00AA7C09" w:rsidP="00B06A9A">
      <w:pPr>
        <w:widowControl/>
        <w:textAlignment w:val="top"/>
        <w:rPr>
          <w:rFonts w:asciiTheme="minorHAnsi" w:eastAsia="Calibri" w:hAnsiTheme="minorHAnsi" w:cstheme="minorHAnsi"/>
        </w:rPr>
      </w:pPr>
      <w:r w:rsidRPr="009E064B">
        <w:rPr>
          <w:rFonts w:asciiTheme="minorHAnsi" w:eastAsia="Calibri" w:hAnsiTheme="minorHAnsi" w:cstheme="minorHAnsi"/>
        </w:rPr>
        <w:t>Niektóre stanowiska mogą być z natury związane z posiadaniem pewnych kwalifikacji w określonej dziedzinie (np. ratownictwo i gaszenie pożarów, inżynieria wodno-lądowa, mechanika lub elektrotechnika, biologia zwierząt, itp.). W takich przypadkach oczekuje się, że osoby zajmujące te stanowiska, będą posiadały niezbędne kwalifikacje na poziomie, który jest zgodny z obowiązującym ustawodawstwem krajowym lub Unii Europejskiej.</w:t>
      </w:r>
    </w:p>
    <w:p w14:paraId="64ECE650" w14:textId="6EA4E43B" w:rsidR="00AA7C09" w:rsidRPr="009E064B" w:rsidRDefault="00AA7C09" w:rsidP="00133B99">
      <w:pPr>
        <w:pStyle w:val="Nagwek5"/>
      </w:pPr>
      <w:bookmarkStart w:id="406" w:name="_Toc492024639"/>
      <w:bookmarkStart w:id="407" w:name="_Toc12532730"/>
      <w:r w:rsidRPr="009E064B">
        <w:t xml:space="preserve">AMC1 ADR.OR.D.015(d);(e)    </w:t>
      </w:r>
      <w:r w:rsidR="004002F9" w:rsidRPr="009E064B">
        <w:t xml:space="preserve"> </w:t>
      </w:r>
      <w:r w:rsidRPr="009E064B">
        <w:t>Wymagania dotyczące personelu</w:t>
      </w:r>
      <w:bookmarkEnd w:id="406"/>
      <w:bookmarkEnd w:id="407"/>
    </w:p>
    <w:p w14:paraId="6F4C6A12" w14:textId="51F50DEB"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18E1AAA"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DYSTRYBUCJA ZASAD I PROCEDUR</w:t>
      </w:r>
    </w:p>
    <w:p w14:paraId="23A1DBC7" w14:textId="7AEB38CF" w:rsidR="006D628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mieć wdrożony system umożliwiający dystrybucję wśród personelu, przepisów i procedur potrzebnych do wykonywania zadań i obowiązków.</w:t>
      </w:r>
    </w:p>
    <w:p w14:paraId="137929FA" w14:textId="71B64895" w:rsidR="00AA7C09" w:rsidRPr="009E064B" w:rsidRDefault="00AA7C09" w:rsidP="00133B99">
      <w:pPr>
        <w:pStyle w:val="Nagwek6"/>
      </w:pPr>
      <w:bookmarkStart w:id="408" w:name="_Toc492024640"/>
      <w:bookmarkStart w:id="409" w:name="_Toc12532731"/>
      <w:r w:rsidRPr="009E064B">
        <w:t xml:space="preserve">GM1 ADR.OR.D.015(d);(e)    </w:t>
      </w:r>
      <w:r w:rsidR="004002F9" w:rsidRPr="009E064B">
        <w:t xml:space="preserve"> </w:t>
      </w:r>
      <w:r w:rsidRPr="009E064B">
        <w:t>Wymagania dotyczące personelu</w:t>
      </w:r>
      <w:bookmarkEnd w:id="408"/>
      <w:bookmarkEnd w:id="409"/>
    </w:p>
    <w:p w14:paraId="2A4C16A4" w14:textId="3A1B11D1"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40D5B9B"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DYSTRYBUCJA ZASAD I PROCEDUR</w:t>
      </w:r>
    </w:p>
    <w:p w14:paraId="4F8034D4"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Operator lotniska może korzystać ze środków elektronicznych lub konwencjonalnych do dystrybucji przepisów i procedur dla personelu. Stosowana metoda powinna umożliwić weryfikację, czy informacja dotarła do właściwego adresata.</w:t>
      </w:r>
    </w:p>
    <w:p w14:paraId="04779BF6" w14:textId="2D68B1BB" w:rsidR="00DC7DA6" w:rsidRPr="009E064B" w:rsidRDefault="00DE05DC" w:rsidP="00B06A9A">
      <w:pPr>
        <w:pStyle w:val="Nagwek3"/>
      </w:pPr>
      <w:bookmarkStart w:id="410" w:name="_Toc12532732"/>
      <w:r w:rsidRPr="009E064B">
        <w:t>ADR.OR.D.017</w:t>
      </w:r>
      <w:r w:rsidR="004002F9" w:rsidRPr="009E064B">
        <w:t xml:space="preserve">     </w:t>
      </w:r>
      <w:r w:rsidRPr="009E064B">
        <w:t>Programy szkolenia i sprawdziany umiejętności</w:t>
      </w:r>
      <w:bookmarkEnd w:id="410"/>
    </w:p>
    <w:p w14:paraId="7BA6D1E7" w14:textId="69EE24F7"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9CF8B32" w14:textId="7BFACCCB" w:rsidR="00DC7DA6" w:rsidRPr="009E064B" w:rsidRDefault="00371A8B" w:rsidP="00DA1DC1">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A1DC1" w:rsidRPr="009E064B">
        <w:rPr>
          <w:rFonts w:asciiTheme="minorHAnsi" w:hAnsiTheme="minorHAnsi" w:cstheme="minorHAnsi"/>
          <w:sz w:val="22"/>
          <w:szCs w:val="20"/>
        </w:rPr>
        <w:t>Operator lotniska ustanawia i realizuje program szkoleniowy dla personelu zaangażowanego w użytkowanie i utrzymanie lotniska oraz w zarządzanie nim</w:t>
      </w:r>
      <w:r w:rsidR="00DE05DC" w:rsidRPr="009E064B">
        <w:rPr>
          <w:rFonts w:asciiTheme="minorHAnsi" w:hAnsiTheme="minorHAnsi" w:cstheme="minorHAnsi"/>
          <w:sz w:val="22"/>
          <w:szCs w:val="20"/>
        </w:rPr>
        <w:t>.</w:t>
      </w:r>
      <w:r w:rsidR="00F4254C" w:rsidRPr="009E064B">
        <w:rPr>
          <w:rStyle w:val="Odwoanieprzypisudolnego"/>
          <w:rFonts w:asciiTheme="minorHAnsi" w:hAnsiTheme="minorHAnsi" w:cstheme="minorHAnsi"/>
          <w:sz w:val="22"/>
          <w:szCs w:val="20"/>
        </w:rPr>
        <w:footnoteReference w:id="34"/>
      </w:r>
    </w:p>
    <w:p w14:paraId="3A1BD5CE" w14:textId="0AAFC047"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Operator </w:t>
      </w:r>
      <w:r w:rsidR="003C4611" w:rsidRPr="009E064B">
        <w:rPr>
          <w:rFonts w:asciiTheme="minorHAnsi" w:hAnsiTheme="minorHAnsi" w:cstheme="minorHAnsi"/>
          <w:sz w:val="22"/>
          <w:szCs w:val="20"/>
        </w:rPr>
        <w:t xml:space="preserve">lotniska </w:t>
      </w:r>
      <w:r w:rsidR="00DE05DC" w:rsidRPr="009E064B">
        <w:rPr>
          <w:rFonts w:asciiTheme="minorHAnsi" w:hAnsiTheme="minorHAnsi" w:cstheme="minorHAnsi"/>
          <w:sz w:val="22"/>
          <w:szCs w:val="20"/>
        </w:rPr>
        <w:t>zapewnia, aby osoby poruszają</w:t>
      </w:r>
      <w:r w:rsidR="003C4611" w:rsidRPr="009E064B">
        <w:rPr>
          <w:rFonts w:asciiTheme="minorHAnsi" w:hAnsiTheme="minorHAnsi" w:cstheme="minorHAnsi"/>
          <w:sz w:val="22"/>
          <w:szCs w:val="20"/>
        </w:rPr>
        <w:t xml:space="preserve">ce </w:t>
      </w:r>
      <w:r w:rsidR="00DE05DC" w:rsidRPr="009E064B">
        <w:rPr>
          <w:rFonts w:asciiTheme="minorHAnsi" w:hAnsiTheme="minorHAnsi" w:cstheme="minorHAnsi"/>
          <w:sz w:val="22"/>
          <w:szCs w:val="20"/>
        </w:rPr>
        <w:t>się bez eskorty w polu ruchu naziemnego lub innych strefach</w:t>
      </w:r>
      <w:r w:rsidR="00BF2E35" w:rsidRPr="009E064B">
        <w:rPr>
          <w:rFonts w:asciiTheme="minorHAnsi" w:hAnsiTheme="minorHAnsi" w:cstheme="minorHAnsi"/>
          <w:sz w:val="22"/>
          <w:szCs w:val="20"/>
        </w:rPr>
        <w:t xml:space="preserve"> operacyjnych lotniska zostały odpowiednio</w:t>
      </w:r>
      <w:r w:rsidR="00DE05DC" w:rsidRPr="009E064B">
        <w:rPr>
          <w:rFonts w:asciiTheme="minorHAnsi" w:hAnsiTheme="minorHAnsi" w:cstheme="minorHAnsi"/>
          <w:sz w:val="22"/>
          <w:szCs w:val="20"/>
        </w:rPr>
        <w:t xml:space="preserve"> przeszkolone.</w:t>
      </w:r>
    </w:p>
    <w:p w14:paraId="58E6151A" w14:textId="2FD2D0F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Operator lotniska zapewnia, aby osoby, o których mowa w lit. </w:t>
      </w:r>
      <w:r w:rsidR="001A1F8F"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a) i </w:t>
      </w:r>
      <w:r w:rsidR="001A1F8F" w:rsidRPr="009E064B">
        <w:rPr>
          <w:rFonts w:asciiTheme="minorHAnsi" w:hAnsiTheme="minorHAnsi" w:cstheme="minorHAnsi"/>
          <w:sz w:val="22"/>
          <w:szCs w:val="20"/>
        </w:rPr>
        <w:t>(</w:t>
      </w:r>
      <w:r w:rsidR="00DE05DC" w:rsidRPr="009E064B">
        <w:rPr>
          <w:rFonts w:asciiTheme="minorHAnsi" w:hAnsiTheme="minorHAnsi" w:cstheme="minorHAnsi"/>
          <w:sz w:val="22"/>
          <w:szCs w:val="20"/>
        </w:rPr>
        <w:t>b) powyżej, wykazały swoje zdolności w zakresie wykonywania powierzonych im zadań popr</w:t>
      </w:r>
      <w:r w:rsidR="00031883" w:rsidRPr="009E064B">
        <w:rPr>
          <w:rFonts w:asciiTheme="minorHAnsi" w:hAnsiTheme="minorHAnsi" w:cstheme="minorHAnsi"/>
          <w:sz w:val="22"/>
          <w:szCs w:val="20"/>
        </w:rPr>
        <w:t>zez sprawdziany umiejętności w </w:t>
      </w:r>
      <w:r w:rsidR="00BF2E35" w:rsidRPr="009E064B">
        <w:rPr>
          <w:rFonts w:asciiTheme="minorHAnsi" w:hAnsiTheme="minorHAnsi" w:cstheme="minorHAnsi"/>
          <w:sz w:val="22"/>
          <w:szCs w:val="20"/>
        </w:rPr>
        <w:t>odpowiednich odstępach</w:t>
      </w:r>
      <w:r w:rsidR="00DE05DC" w:rsidRPr="009E064B">
        <w:rPr>
          <w:rFonts w:asciiTheme="minorHAnsi" w:hAnsiTheme="minorHAnsi" w:cstheme="minorHAnsi"/>
          <w:sz w:val="22"/>
          <w:szCs w:val="20"/>
        </w:rPr>
        <w:t xml:space="preserve"> cz</w:t>
      </w:r>
      <w:r w:rsidR="00BF2E35" w:rsidRPr="009E064B">
        <w:rPr>
          <w:rFonts w:asciiTheme="minorHAnsi" w:hAnsiTheme="minorHAnsi" w:cstheme="minorHAnsi"/>
          <w:sz w:val="22"/>
          <w:szCs w:val="20"/>
        </w:rPr>
        <w:t xml:space="preserve">asu, aby zapewnić zachowanie </w:t>
      </w:r>
      <w:r w:rsidR="00DE05DC" w:rsidRPr="009E064B">
        <w:rPr>
          <w:rFonts w:asciiTheme="minorHAnsi" w:hAnsiTheme="minorHAnsi" w:cstheme="minorHAnsi"/>
          <w:sz w:val="22"/>
          <w:szCs w:val="20"/>
        </w:rPr>
        <w:t>kompetencji.</w:t>
      </w:r>
    </w:p>
    <w:p w14:paraId="0DC47B69" w14:textId="4CFA721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by:</w:t>
      </w:r>
    </w:p>
    <w:p w14:paraId="45BF3360" w14:textId="3EF7D930"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t>do realizacji programu szkolenia wyznaczeni zostali odpowiednio wykwalifikowani i</w:t>
      </w:r>
      <w:r w:rsidR="00031883" w:rsidRPr="009E064B">
        <w:rPr>
          <w:rFonts w:asciiTheme="minorHAnsi" w:eastAsia="Times New Roman" w:hAnsiTheme="minorHAnsi" w:cstheme="minorHAnsi"/>
          <w:szCs w:val="20"/>
        </w:rPr>
        <w:t> </w:t>
      </w:r>
      <w:r w:rsidR="00BF2E35" w:rsidRPr="009E064B">
        <w:rPr>
          <w:rFonts w:asciiTheme="minorHAnsi" w:eastAsia="Times New Roman" w:hAnsiTheme="minorHAnsi" w:cstheme="minorHAnsi"/>
          <w:szCs w:val="20"/>
        </w:rPr>
        <w:t xml:space="preserve">doświadczeni </w:t>
      </w:r>
      <w:r w:rsidR="007A3A38" w:rsidRPr="009E064B">
        <w:rPr>
          <w:rFonts w:asciiTheme="minorHAnsi" w:eastAsia="Times New Roman" w:hAnsiTheme="minorHAnsi" w:cstheme="minorHAnsi"/>
          <w:szCs w:val="20"/>
        </w:rPr>
        <w:t xml:space="preserve">instruktorzy i </w:t>
      </w:r>
      <w:r w:rsidR="00DE05DC" w:rsidRPr="009E064B">
        <w:rPr>
          <w:rFonts w:asciiTheme="minorHAnsi" w:eastAsia="Times New Roman" w:hAnsiTheme="minorHAnsi" w:cstheme="minorHAnsi"/>
          <w:szCs w:val="20"/>
        </w:rPr>
        <w:t>konsultanci; oraz</w:t>
      </w:r>
    </w:p>
    <w:p w14:paraId="5322C79C" w14:textId="4553D17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 prowadzenia szkoleń wykorzystywane były odpowiednie obiekty i środki.</w:t>
      </w:r>
    </w:p>
    <w:p w14:paraId="78508E6D" w14:textId="3B96AF12"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w:t>
      </w:r>
    </w:p>
    <w:p w14:paraId="4574D4DF" w14:textId="1EC72945"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prowadzi odpowiednie rejestry kwalifikacji, szkoleń i sprawdzianów umiejętności w celu wykazania zgodności z niniejszym wymaganiem;</w:t>
      </w:r>
    </w:p>
    <w:p w14:paraId="2E1750CB" w14:textId="59870CD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na żą</w:t>
      </w:r>
      <w:r w:rsidR="003C4611" w:rsidRPr="009E064B">
        <w:rPr>
          <w:rFonts w:asciiTheme="minorHAnsi" w:eastAsia="Times New Roman" w:hAnsiTheme="minorHAnsi" w:cstheme="minorHAnsi"/>
          <w:szCs w:val="20"/>
        </w:rPr>
        <w:t xml:space="preserve">danie </w:t>
      </w:r>
      <w:r w:rsidR="00DE05DC" w:rsidRPr="009E064B">
        <w:rPr>
          <w:rFonts w:asciiTheme="minorHAnsi" w:eastAsia="Times New Roman" w:hAnsiTheme="minorHAnsi" w:cstheme="minorHAnsi"/>
          <w:szCs w:val="20"/>
        </w:rPr>
        <w:t>udostępnia dany rejestr zainteresowanym pracownikom; oraz</w:t>
      </w:r>
    </w:p>
    <w:p w14:paraId="4F835728" w14:textId="2D04669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przypadku zatrudnienia danej osoby przez innego pracodawcę, udostępnia rejestr dotyczący tej osoby nowemu pracodawcy, na jego żądanie.</w:t>
      </w:r>
    </w:p>
    <w:p w14:paraId="7CB38A72" w14:textId="7CA7EB26" w:rsidR="00AA7C09" w:rsidRPr="009E064B" w:rsidRDefault="00AA7C09" w:rsidP="00133B99">
      <w:pPr>
        <w:pStyle w:val="Nagwek5"/>
      </w:pPr>
      <w:bookmarkStart w:id="411" w:name="_AMC1_ADR.OR.D.017(a);(b)_"/>
      <w:bookmarkStart w:id="412" w:name="_Toc492024641"/>
      <w:bookmarkStart w:id="413" w:name="_Toc12532733"/>
      <w:bookmarkEnd w:id="411"/>
      <w:r w:rsidRPr="009E064B">
        <w:t xml:space="preserve">AMC1 ADR.OR.D.017(a);(b)   </w:t>
      </w:r>
      <w:r w:rsidR="004002F9" w:rsidRPr="009E064B">
        <w:t xml:space="preserve"> </w:t>
      </w:r>
      <w:r w:rsidRPr="009E064B">
        <w:t xml:space="preserve"> Programy szkolenia i sprawdziany umiejętności</w:t>
      </w:r>
      <w:bookmarkEnd w:id="412"/>
      <w:bookmarkEnd w:id="413"/>
    </w:p>
    <w:p w14:paraId="0ED32D5B" w14:textId="4C791B7C"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67FABF0" w14:textId="70225990"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PROGRAM SZKOLENIA – </w:t>
      </w:r>
      <w:r w:rsidR="009B0A08" w:rsidRPr="009E064B">
        <w:rPr>
          <w:rFonts w:asciiTheme="minorHAnsi" w:eastAsia="Calibri" w:hAnsiTheme="minorHAnsi" w:cstheme="minorHAnsi"/>
        </w:rPr>
        <w:t>WYMAGANIA OGÓLNE</w:t>
      </w:r>
    </w:p>
    <w:p w14:paraId="7AF3F2A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Program szkolenia powinien obejmować cały personel:</w:t>
      </w:r>
    </w:p>
    <w:p w14:paraId="7BB0A9A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uczestniczący w operacjach lotniskowych, obsłudze technicznej i zarządzaniu lotniskiem (personel nadzorujący, kierownicy, kierownicy wyższego szczebla i kierownik odpowiedzialny); oraz</w:t>
      </w:r>
    </w:p>
    <w:p w14:paraId="436AA79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poruszający się bez eskorty w polu ruchu naziemnego i innych strefach operacyjnych lotniska, który podlega operatorowi lotniska, lub innym organizacjom, które działają lub świadczą usługi na lotnisku,</w:t>
      </w:r>
    </w:p>
    <w:p w14:paraId="6DAD3AC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niezależnie od statusu danej osoby w organizacji.</w:t>
      </w:r>
    </w:p>
    <w:p w14:paraId="29B4D117" w14:textId="71E337B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Szkolenie osób wymienionych w </w:t>
      </w:r>
      <w:r w:rsidR="00B06AC8" w:rsidRPr="009E064B">
        <w:rPr>
          <w:rFonts w:asciiTheme="minorHAnsi" w:eastAsia="Calibri" w:hAnsiTheme="minorHAnsi" w:cstheme="minorHAnsi"/>
        </w:rPr>
        <w:t>lit. </w:t>
      </w:r>
      <w:r w:rsidRPr="009E064B">
        <w:rPr>
          <w:rFonts w:asciiTheme="minorHAnsi" w:eastAsia="Calibri" w:hAnsiTheme="minorHAnsi" w:cstheme="minorHAnsi"/>
        </w:rPr>
        <w:t>(a), powinno zostać zakończone przed rozpoczęciem wykonywania obowiązków przez daną osobę, lub w stosownych przypadkach, przed umożliwieniem jej poruszania się bez eskorty w polu ruchu naziemnego i innych strefach operacyjnych lotniska.</w:t>
      </w:r>
    </w:p>
    <w:p w14:paraId="18C62F4F" w14:textId="2C055FAB"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Program szkolenia powinien zawierać szkolenie z zakresu systemu zarządzania bezpieczeństwem, którego poziom szczegółowości powinien być odpowiedni do indywidualnego zakresu obowiązków danej osoby i jej udziału w systemie zarządzania bezpieczeństwem, a także powinien uwzględniać czynniki ludzk</w:t>
      </w:r>
      <w:r w:rsidR="00031883" w:rsidRPr="009E064B">
        <w:rPr>
          <w:rFonts w:asciiTheme="minorHAnsi" w:eastAsia="Calibri" w:hAnsiTheme="minorHAnsi" w:cstheme="minorHAnsi"/>
        </w:rPr>
        <w:t>ie i organizacyjne. Dla osób, o </w:t>
      </w:r>
      <w:r w:rsidRPr="009E064B">
        <w:rPr>
          <w:rFonts w:asciiTheme="minorHAnsi" w:eastAsia="Calibri" w:hAnsiTheme="minorHAnsi" w:cstheme="minorHAnsi"/>
        </w:rPr>
        <w:t xml:space="preserve">których mowa w </w:t>
      </w:r>
      <w:r w:rsidR="001A1F8F" w:rsidRPr="009E064B">
        <w:rPr>
          <w:rFonts w:asciiTheme="minorHAnsi" w:eastAsia="Calibri" w:hAnsiTheme="minorHAnsi" w:cstheme="minorHAnsi"/>
        </w:rPr>
        <w:t>lit. </w:t>
      </w:r>
      <w:r w:rsidRPr="009E064B">
        <w:rPr>
          <w:rFonts w:asciiTheme="minorHAnsi" w:eastAsia="Calibri" w:hAnsiTheme="minorHAnsi" w:cstheme="minorHAnsi"/>
        </w:rPr>
        <w:t>(a)</w:t>
      </w:r>
      <w:r w:rsidR="001A1F8F" w:rsidRPr="009E064B">
        <w:rPr>
          <w:rFonts w:asciiTheme="minorHAnsi" w:eastAsia="Calibri" w:hAnsiTheme="minorHAnsi" w:cstheme="minorHAnsi"/>
        </w:rPr>
        <w:t xml:space="preserve"> pkt </w:t>
      </w:r>
      <w:r w:rsidRPr="009E064B">
        <w:rPr>
          <w:rFonts w:asciiTheme="minorHAnsi" w:eastAsia="Calibri" w:hAnsiTheme="minorHAnsi" w:cstheme="minorHAnsi"/>
        </w:rPr>
        <w:t>(2), zatrudnionych przez inne organizacje działające lub świadczące usługi na lotnisku, szkolenie z zakresu systemu zarządzania bezpieczeństwem może obejmować tylko niezbędne elementy (np. odpowiednie procedury, systemem zgłaszania spraw związanych z bezpieczeństwem, programy bezpieczeństwa lotniska, itp.).</w:t>
      </w:r>
    </w:p>
    <w:p w14:paraId="061195E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Program szkolenia powinien składać się z elementów takich jak:</w:t>
      </w:r>
    </w:p>
    <w:p w14:paraId="6BB0C590" w14:textId="71D0AE6A"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proces identyfikowania standardów szkoleniowych, w tym treści nauczania, częstotliwości dla każdego rodzaju szkolenia i obszaru działalności dla osób wymienionych w </w:t>
      </w:r>
      <w:r w:rsidR="001A1F8F" w:rsidRPr="009E064B">
        <w:rPr>
          <w:rFonts w:asciiTheme="minorHAnsi" w:eastAsia="Calibri" w:hAnsiTheme="minorHAnsi" w:cstheme="minorHAnsi"/>
        </w:rPr>
        <w:t>lit. </w:t>
      </w:r>
      <w:r w:rsidRPr="009E064B">
        <w:rPr>
          <w:rFonts w:asciiTheme="minorHAnsi" w:eastAsia="Calibri" w:hAnsiTheme="minorHAnsi" w:cstheme="minorHAnsi"/>
        </w:rPr>
        <w:t>(a), w tym dla instruktorów i egzaminatorów, oraz sposób zakończenia ścieżki wymaganego szkolenia;</w:t>
      </w:r>
    </w:p>
    <w:p w14:paraId="77980EC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proces walidacji, który mierzy skuteczność szkolenia;</w:t>
      </w:r>
    </w:p>
    <w:p w14:paraId="1F7D11D0"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szkolenie wstępne w zakresie przydzielonych obowiązków;</w:t>
      </w:r>
    </w:p>
    <w:p w14:paraId="1C2120B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szkolenie na stanowisku pracy, oraz</w:t>
      </w:r>
    </w:p>
    <w:p w14:paraId="3DF1099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szkolenia okresowe.</w:t>
      </w:r>
    </w:p>
    <w:p w14:paraId="630A8C8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Program szkolenia powinien określać obowiązki w zakresie szkolenia oraz zawierać procedury:</w:t>
      </w:r>
    </w:p>
    <w:p w14:paraId="26BEBFC3"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do szkolenia i sprawdzania umiejętności szkolonych;</w:t>
      </w:r>
    </w:p>
    <w:p w14:paraId="7ECF5AB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 zastosowania w przypadku, gdy personel nie osiąga lub nie utrzymuje wymaganych standardów;</w:t>
      </w:r>
    </w:p>
    <w:p w14:paraId="73D79470" w14:textId="22EC0F3E"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Treść szkolenia i treści nauczania powinny być zgodne z wymaganiami określonymi w </w:t>
      </w:r>
      <w:r w:rsidR="00F809D7" w:rsidRPr="009E064B">
        <w:rPr>
          <w:rFonts w:asciiTheme="minorHAnsi" w:eastAsia="Calibri" w:hAnsiTheme="minorHAnsi" w:cstheme="minorHAnsi"/>
          <w:szCs w:val="18"/>
        </w:rPr>
        <w:t>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w:t>
      </w:r>
    </w:p>
    <w:p w14:paraId="30668001" w14:textId="50230AA2"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Należy założyć teczkę szkolenia dla każdego pracownika, w ty</w:t>
      </w:r>
      <w:r w:rsidR="00031883" w:rsidRPr="009E064B">
        <w:rPr>
          <w:rFonts w:asciiTheme="minorHAnsi" w:eastAsia="Calibri" w:hAnsiTheme="minorHAnsi" w:cstheme="minorHAnsi"/>
        </w:rPr>
        <w:t>m dla kierownictwa, aby pomóc w </w:t>
      </w:r>
      <w:r w:rsidRPr="009E064B">
        <w:rPr>
          <w:rFonts w:asciiTheme="minorHAnsi" w:eastAsia="Calibri" w:hAnsiTheme="minorHAnsi" w:cstheme="minorHAnsi"/>
        </w:rPr>
        <w:t>identyfikacji i śledzeniu wymagań szkoleniowych dla pracowników i potwierdzeniu, że pracownicy uczestniczyli w planowanym szkoleniu.</w:t>
      </w:r>
    </w:p>
    <w:p w14:paraId="67496ED1" w14:textId="0E173A4A"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 xml:space="preserve">Informacje dotyczące </w:t>
      </w:r>
      <w:r w:rsidR="00B06AC8" w:rsidRPr="009E064B">
        <w:rPr>
          <w:rFonts w:asciiTheme="minorHAnsi" w:eastAsia="Calibri" w:hAnsiTheme="minorHAnsi" w:cstheme="minorHAnsi"/>
        </w:rPr>
        <w:t>lit. </w:t>
      </w:r>
      <w:r w:rsidRPr="009E064B">
        <w:rPr>
          <w:rFonts w:asciiTheme="minorHAnsi" w:eastAsia="Calibri" w:hAnsiTheme="minorHAnsi" w:cstheme="minorHAnsi"/>
        </w:rPr>
        <w:t>(d) i (e), w tym określonych standardów szkoleniowych oraz związanych z nimi programami nauczania i częstotliwości szkoleń, powinny być zawarte w instrukcji operacyjnej lotniska.</w:t>
      </w:r>
    </w:p>
    <w:p w14:paraId="072D3A92" w14:textId="2BAED375" w:rsidR="00AA7C09" w:rsidRPr="009E064B" w:rsidRDefault="00AA7C09" w:rsidP="00133B99">
      <w:pPr>
        <w:pStyle w:val="Nagwek5"/>
      </w:pPr>
      <w:bookmarkStart w:id="414" w:name="_AMC2_ADR.OR.D.017(a);(b)_"/>
      <w:bookmarkStart w:id="415" w:name="_Toc492024642"/>
      <w:bookmarkStart w:id="416" w:name="_Toc12532734"/>
      <w:bookmarkEnd w:id="414"/>
      <w:r w:rsidRPr="009E064B">
        <w:t xml:space="preserve">AMC2 ADR.OR.D.017(a);(b)    </w:t>
      </w:r>
      <w:r w:rsidR="004002F9" w:rsidRPr="009E064B">
        <w:t xml:space="preserve"> </w:t>
      </w:r>
      <w:r w:rsidRPr="009E064B">
        <w:t>Programy szkolenia i sprawdziany umiejętności</w:t>
      </w:r>
      <w:bookmarkEnd w:id="415"/>
      <w:bookmarkEnd w:id="416"/>
    </w:p>
    <w:p w14:paraId="6D2CA311" w14:textId="1B6BC8E5"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478AD92"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PROGRAM SZKOLENIA – SPRAWDZIANY UMIEJĘTNOŚCI SZKOLONYCH</w:t>
      </w:r>
    </w:p>
    <w:p w14:paraId="04A7B78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Sprawdziany wymagane dla każdego szkolenia powinny być wykonane metodą odpowiednią dla elementu szkolenia, który ma być skontrolowany.</w:t>
      </w:r>
    </w:p>
    <w:p w14:paraId="313932DA" w14:textId="29978726" w:rsidR="006D628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Elementy szkolenia, które wymagają indywidualnego praktycznego uczestnictwa mogą być połączone ze sprawdzianami praktycznymi.</w:t>
      </w:r>
    </w:p>
    <w:p w14:paraId="7A60A97D" w14:textId="33DED175" w:rsidR="00AA7C09" w:rsidRPr="009E064B" w:rsidRDefault="00AA7C09" w:rsidP="00133B99">
      <w:pPr>
        <w:pStyle w:val="Nagwek5"/>
      </w:pPr>
      <w:bookmarkStart w:id="417" w:name="_Toc492024643"/>
      <w:bookmarkStart w:id="418" w:name="_Toc12532735"/>
      <w:r w:rsidRPr="009E064B">
        <w:t xml:space="preserve">AMC3 ADR.OR.D.017(a);(b)    </w:t>
      </w:r>
      <w:r w:rsidR="004002F9" w:rsidRPr="009E064B">
        <w:t xml:space="preserve"> </w:t>
      </w:r>
      <w:r w:rsidRPr="009E064B">
        <w:t>Programy szkolenia i sprawdziany umiejętności</w:t>
      </w:r>
      <w:bookmarkEnd w:id="417"/>
      <w:bookmarkEnd w:id="418"/>
    </w:p>
    <w:p w14:paraId="69530782" w14:textId="57C3A924"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1540408"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PRZEPISY I PROCEDURY</w:t>
      </w:r>
    </w:p>
    <w:p w14:paraId="7F2B7FC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zapewnić, że personel jest świadomy przepisów i procedur dotyczących funkcjonowania lotniska oraz relacji wykonywanych zadań i obowiązków w odniesieniu do całokształtu działalności lotniska.</w:t>
      </w:r>
    </w:p>
    <w:p w14:paraId="42D192BD"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 (b) </w:t>
      </w:r>
      <w:r w:rsidRPr="009E064B">
        <w:rPr>
          <w:rFonts w:asciiTheme="minorHAnsi" w:eastAsia="Calibri" w:hAnsiTheme="minorHAnsi" w:cstheme="minorHAnsi"/>
        </w:rPr>
        <w:tab/>
        <w:t>Sprawdziany umiejętności powinny sprawdzić, czy pracownicy są świadomi przepisów i procedur odnoszących się do ich zadań i obowiązków.</w:t>
      </w:r>
    </w:p>
    <w:p w14:paraId="7CF74555" w14:textId="629114E7" w:rsidR="00AA7C09" w:rsidRPr="009E064B" w:rsidRDefault="00AA7C09" w:rsidP="00133B99">
      <w:pPr>
        <w:pStyle w:val="Nagwek6"/>
      </w:pPr>
      <w:bookmarkStart w:id="419" w:name="_GM1_ADR.OR.D.017(a);(b)_"/>
      <w:bookmarkStart w:id="420" w:name="_Toc492024644"/>
      <w:bookmarkStart w:id="421" w:name="_Toc12532736"/>
      <w:bookmarkEnd w:id="419"/>
      <w:r w:rsidRPr="009E064B">
        <w:t xml:space="preserve">GM1 ADR.OR.D.017(a);(b)    </w:t>
      </w:r>
      <w:r w:rsidR="004002F9" w:rsidRPr="009E064B">
        <w:t xml:space="preserve"> </w:t>
      </w:r>
      <w:r w:rsidRPr="009E064B">
        <w:t>Programy szkolenia i sprawdziany umiejętności</w:t>
      </w:r>
      <w:bookmarkEnd w:id="420"/>
      <w:bookmarkEnd w:id="421"/>
    </w:p>
    <w:p w14:paraId="352BC491" w14:textId="64DD9C66"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B20BDB9"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PROGRAM SZKOLENIA – SZKOLENIE OKRESOWE, ODŚWIEŻAJĄCE I ORAZ W ZAKRESIE RÓŻNIC</w:t>
      </w:r>
    </w:p>
    <w:p w14:paraId="621B543F"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Szkolenie okresowe</w:t>
      </w:r>
    </w:p>
    <w:p w14:paraId="4D7BE069" w14:textId="7BD2A8EC"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Szkolenie wstępne powinno być ważne przez okres nieprzekraczający 12 miesięcy. Następnie, operator lotniska powinien </w:t>
      </w:r>
      <w:r w:rsidR="001A1F8F" w:rsidRPr="009E064B">
        <w:rPr>
          <w:rFonts w:asciiTheme="minorHAnsi" w:eastAsia="Calibri" w:hAnsiTheme="minorHAnsi" w:cstheme="minorHAnsi"/>
        </w:rPr>
        <w:t>zapewnić, że osoby wymienione w  </w:t>
      </w:r>
      <w:hyperlink w:anchor="_AMC1_ADR.OR.D.017(a);(b)_" w:history="1">
        <w:r w:rsidRPr="009E064B">
          <w:rPr>
            <w:rStyle w:val="Hipercze"/>
            <w:rFonts w:asciiTheme="minorHAnsi" w:eastAsia="Calibri" w:hAnsiTheme="minorHAnsi" w:cstheme="minorHAnsi"/>
          </w:rPr>
          <w:t>AMC1 ADR.OR.D.017(a);(b)</w:t>
        </w:r>
      </w:hyperlink>
      <w:r w:rsidRPr="009E064B">
        <w:rPr>
          <w:rFonts w:asciiTheme="minorHAnsi" w:eastAsia="Calibri" w:hAnsiTheme="minorHAnsi" w:cstheme="minorHAnsi"/>
        </w:rPr>
        <w:t xml:space="preserve"> </w:t>
      </w:r>
      <w:r w:rsidR="001A1F8F" w:rsidRPr="009E064B">
        <w:rPr>
          <w:rFonts w:asciiTheme="minorHAnsi" w:eastAsia="Calibri" w:hAnsiTheme="minorHAnsi" w:cstheme="minorHAnsi"/>
        </w:rPr>
        <w:t xml:space="preserve">lit. (a), </w:t>
      </w:r>
      <w:r w:rsidRPr="009E064B">
        <w:rPr>
          <w:rFonts w:asciiTheme="minorHAnsi" w:eastAsia="Calibri" w:hAnsiTheme="minorHAnsi" w:cstheme="minorHAnsi"/>
        </w:rPr>
        <w:t>przechodz</w:t>
      </w:r>
      <w:r w:rsidR="001A1F8F" w:rsidRPr="009E064B">
        <w:rPr>
          <w:rFonts w:asciiTheme="minorHAnsi" w:eastAsia="Calibri" w:hAnsiTheme="minorHAnsi" w:cstheme="minorHAnsi"/>
        </w:rPr>
        <w:t>ą</w:t>
      </w:r>
      <w:r w:rsidRPr="009E064B">
        <w:rPr>
          <w:rFonts w:asciiTheme="minorHAnsi" w:eastAsia="Calibri" w:hAnsiTheme="minorHAnsi" w:cstheme="minorHAnsi"/>
        </w:rPr>
        <w:t xml:space="preserve"> szkolenia okresowe w odstępach nie przekraczających 12 miesięcy od zakończenia swojego początkowego szkolenia wstępnego.</w:t>
      </w:r>
    </w:p>
    <w:p w14:paraId="245CE8B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Jeśli szkolenie okresowe jest podejmowane w ciągu ostatnich 3 miesięcy kalendarzowych dwunastomiesięcznego okresu, to nowy okres ważności powinien być liczony od daty wygaśnięcia ważności szkolenia.</w:t>
      </w:r>
    </w:p>
    <w:p w14:paraId="1B58CD1D"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Szkolenia odświeżające</w:t>
      </w:r>
    </w:p>
    <w:p w14:paraId="38C18516" w14:textId="3DA6BBEC" w:rsidR="00AA7C09" w:rsidRPr="009E064B" w:rsidRDefault="00371A8B" w:rsidP="00B06A9A">
      <w:pPr>
        <w:widowControl/>
        <w:ind w:left="567"/>
        <w:rPr>
          <w:rFonts w:asciiTheme="minorHAnsi" w:eastAsia="Calibri" w:hAnsiTheme="minorHAnsi" w:cstheme="minorHAnsi"/>
        </w:rPr>
      </w:pPr>
      <w:r w:rsidRPr="009E064B">
        <w:rPr>
          <w:rFonts w:asciiTheme="minorHAnsi" w:eastAsia="Calibri" w:hAnsiTheme="minorHAnsi" w:cstheme="minorHAnsi"/>
        </w:rPr>
        <w:t xml:space="preserve">Gdy osoba wskazana w </w:t>
      </w:r>
      <w:hyperlink w:anchor="_AMC1_ADR.OR.D.017(a);(b)_" w:history="1">
        <w:r w:rsidR="00AA7C09" w:rsidRPr="009E064B">
          <w:rPr>
            <w:rStyle w:val="Hipercze"/>
            <w:rFonts w:asciiTheme="minorHAnsi" w:eastAsia="Calibri" w:hAnsiTheme="minorHAnsi" w:cstheme="minorHAnsi"/>
          </w:rPr>
          <w:t>AMC1 ADR.OR.D.017(a);(b)</w:t>
        </w:r>
      </w:hyperlink>
      <w:r w:rsidR="00AA7C09" w:rsidRPr="009E064B">
        <w:rPr>
          <w:rFonts w:asciiTheme="minorHAnsi" w:eastAsia="Calibri" w:hAnsiTheme="minorHAnsi" w:cstheme="minorHAnsi"/>
        </w:rPr>
        <w:t xml:space="preserve"> </w:t>
      </w:r>
      <w:r w:rsidR="001A1F8F" w:rsidRPr="009E064B">
        <w:rPr>
          <w:rFonts w:asciiTheme="minorHAnsi" w:eastAsia="Calibri" w:hAnsiTheme="minorHAnsi" w:cstheme="minorHAnsi"/>
        </w:rPr>
        <w:t xml:space="preserve">lit. (a), </w:t>
      </w:r>
      <w:r w:rsidR="00AA7C09" w:rsidRPr="009E064B">
        <w:rPr>
          <w:rFonts w:asciiTheme="minorHAnsi" w:eastAsia="Calibri" w:hAnsiTheme="minorHAnsi" w:cstheme="minorHAnsi"/>
        </w:rPr>
        <w:t>nie wykonuje żadnych czynności przez dłuższy okres czasu przed upływem daty ważności jego programu szkolenia wstępnego lub jego ostatniego szkolenia okresowego (w zależności od przypadku), to operator lotniska powinien zapewnić, że osoba ta odbywa odpowiednie szkolenie odświeżające zanim:</w:t>
      </w:r>
    </w:p>
    <w:p w14:paraId="731B75A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zostaną jej przydzielone obowiązki; lub</w:t>
      </w:r>
    </w:p>
    <w:p w14:paraId="7F7C9D1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uzyska, w stosownych przypadkach, zezwolenie na poruszanie się bez eskorty w polu ruchu naziemnego lub innych strefach operacyjnych lotniska.</w:t>
      </w:r>
    </w:p>
    <w:p w14:paraId="6AA47D02"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Szkolenie w zakresie różnic – ten sam operator lotniska</w:t>
      </w:r>
    </w:p>
    <w:p w14:paraId="435CB255" w14:textId="062B81D2"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Operator lotniska powinien zapewnić, że person</w:t>
      </w:r>
      <w:r w:rsidR="001A1F8F" w:rsidRPr="009E064B">
        <w:rPr>
          <w:rFonts w:asciiTheme="minorHAnsi" w:eastAsia="Calibri" w:hAnsiTheme="minorHAnsi" w:cstheme="minorHAnsi"/>
        </w:rPr>
        <w:t>el lotniska określony w  </w:t>
      </w:r>
      <w:hyperlink w:anchor="_AMC1_ADR.OR.D.017(a);(b)_" w:history="1">
        <w:r w:rsidRPr="009E064B">
          <w:rPr>
            <w:rStyle w:val="Hipercze"/>
            <w:rFonts w:asciiTheme="minorHAnsi" w:eastAsia="Calibri" w:hAnsiTheme="minorHAnsi" w:cstheme="minorHAnsi"/>
          </w:rPr>
          <w:t>AMC1 ADR.OR.D.017(a);(b)</w:t>
        </w:r>
      </w:hyperlink>
      <w:r w:rsidR="001A1F8F" w:rsidRPr="009E064B">
        <w:rPr>
          <w:rFonts w:asciiTheme="minorHAnsi" w:eastAsia="Calibri" w:hAnsiTheme="minorHAnsi" w:cstheme="minorHAnsi"/>
        </w:rPr>
        <w:t xml:space="preserve"> lit. (a),</w:t>
      </w:r>
      <w:r w:rsidRPr="009E064B">
        <w:rPr>
          <w:rFonts w:asciiTheme="minorHAnsi" w:eastAsia="Calibri" w:hAnsiTheme="minorHAnsi" w:cstheme="minorHAnsi"/>
        </w:rPr>
        <w:t xml:space="preserve"> który ukończył już</w:t>
      </w:r>
      <w:r w:rsidR="001A1F8F" w:rsidRPr="009E064B">
        <w:rPr>
          <w:rFonts w:asciiTheme="minorHAnsi" w:eastAsia="Calibri" w:hAnsiTheme="minorHAnsi" w:cstheme="minorHAnsi"/>
        </w:rPr>
        <w:t xml:space="preserve"> niezbędny program szkolenia, i </w:t>
      </w:r>
      <w:r w:rsidRPr="009E064B">
        <w:rPr>
          <w:rFonts w:asciiTheme="minorHAnsi" w:eastAsia="Calibri" w:hAnsiTheme="minorHAnsi" w:cstheme="minorHAnsi"/>
        </w:rPr>
        <w:t>któremu mają być przydzielone różne zadania, odbywa odpowiednie szkolenie, które obejmuje wszelkie różnice pomiędzy jego poprzednimi i przyszłymi obowiązkami. S</w:t>
      </w:r>
      <w:r w:rsidR="000C0EEE" w:rsidRPr="009E064B">
        <w:rPr>
          <w:rFonts w:asciiTheme="minorHAnsi" w:eastAsia="Calibri" w:hAnsiTheme="minorHAnsi" w:cstheme="minorHAnsi"/>
        </w:rPr>
        <w:t>zkolenie w </w:t>
      </w:r>
      <w:r w:rsidRPr="009E064B">
        <w:rPr>
          <w:rFonts w:asciiTheme="minorHAnsi" w:eastAsia="Calibri" w:hAnsiTheme="minorHAnsi" w:cstheme="minorHAnsi"/>
        </w:rPr>
        <w:t xml:space="preserve">zakresie różnic powinno być określane, w miarę potrzeby, na podstawie porównania </w:t>
      </w:r>
      <w:r w:rsidR="00031883" w:rsidRPr="009E064B">
        <w:rPr>
          <w:rFonts w:asciiTheme="minorHAnsi" w:eastAsia="Calibri" w:hAnsiTheme="minorHAnsi" w:cstheme="minorHAnsi"/>
        </w:rPr>
        <w:t>wymaganego programu szkolenia z </w:t>
      </w:r>
      <w:r w:rsidRPr="009E064B">
        <w:rPr>
          <w:rFonts w:asciiTheme="minorHAnsi" w:eastAsia="Calibri" w:hAnsiTheme="minorHAnsi" w:cstheme="minorHAnsi"/>
        </w:rPr>
        <w:t>programem szkolenia ukończonego przez odpowiedni personel, biorąc pod uwagę wcześniejsze szkolenia personelu, zgodnie z posiadaną dokumentacją z odbytych szkoleń.</w:t>
      </w:r>
    </w:p>
    <w:p w14:paraId="56324357"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Szkolenie w zakresie różnic - inny operator lotniska</w:t>
      </w:r>
    </w:p>
    <w:p w14:paraId="614E3FFD" w14:textId="58523B2C"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 xml:space="preserve">Kiedy personel lotniska wymieniony w </w:t>
      </w:r>
      <w:hyperlink w:anchor="_AMC1_ADR.OR.D.017(a);(b)_" w:history="1">
        <w:r w:rsidRPr="009E064B">
          <w:rPr>
            <w:rStyle w:val="Hipercze"/>
            <w:rFonts w:asciiTheme="minorHAnsi" w:eastAsia="Calibri" w:hAnsiTheme="minorHAnsi" w:cstheme="minorHAnsi"/>
          </w:rPr>
          <w:t>AMC1 ADR.OR.D.017(a);(b)</w:t>
        </w:r>
      </w:hyperlink>
      <w:r w:rsidRPr="009E064B">
        <w:rPr>
          <w:rFonts w:asciiTheme="minorHAnsi" w:eastAsia="Calibri" w:hAnsiTheme="minorHAnsi" w:cstheme="minorHAnsi"/>
        </w:rPr>
        <w:t xml:space="preserve"> </w:t>
      </w:r>
      <w:r w:rsidR="001A1F8F" w:rsidRPr="009E064B">
        <w:rPr>
          <w:rFonts w:asciiTheme="minorHAnsi" w:eastAsia="Calibri" w:hAnsiTheme="minorHAnsi" w:cstheme="minorHAnsi"/>
        </w:rPr>
        <w:t xml:space="preserve">lit. (a), </w:t>
      </w:r>
      <w:r w:rsidRPr="009E064B">
        <w:rPr>
          <w:rFonts w:asciiTheme="minorHAnsi" w:eastAsia="Calibri" w:hAnsiTheme="minorHAnsi" w:cstheme="minorHAnsi"/>
        </w:rPr>
        <w:t>który ukończył już niezbędny program szkolenia, jest zatrudniony przez innego operatora lotniska, to, w drugiej kolejności, może być ustanowione szkolenie w zakresie różnic dla tego personelu. Takie szkolenie w zakresie różnic powinno być określone, w miarę potrzeby, na podstawie porównania dotychczas ukończonego szkolenia przez odpowiednie osoby, (biorąc pod uwagę ich wcześniejsze szkolenia, zgodnie z posiadaną dokumentacją) z programem szkolenia, który jest wymagany na stanowisku, które osoba ta będzie obejmować. W żadnym przypadku, taki program w zakresie różnic nie powinien uznawać obszarów szkolenia, które są specyficzne dla lotniska.</w:t>
      </w:r>
    </w:p>
    <w:p w14:paraId="11F9AF85" w14:textId="329311BA" w:rsidR="00AA7C09" w:rsidRPr="009E064B" w:rsidRDefault="00AA7C09" w:rsidP="00133B99">
      <w:pPr>
        <w:pStyle w:val="Nagwek6"/>
      </w:pPr>
      <w:bookmarkStart w:id="422" w:name="_GM2_ADR.OR.D.017(a);(b)_"/>
      <w:bookmarkStart w:id="423" w:name="_Toc492024645"/>
      <w:bookmarkStart w:id="424" w:name="_Toc12532737"/>
      <w:bookmarkEnd w:id="422"/>
      <w:r w:rsidRPr="009E064B">
        <w:t xml:space="preserve">GM2 ADR.OR.D.017(a);(b)    </w:t>
      </w:r>
      <w:r w:rsidR="004002F9" w:rsidRPr="009E064B">
        <w:t xml:space="preserve"> </w:t>
      </w:r>
      <w:r w:rsidRPr="009E064B">
        <w:t>Programy szkolenia i sprawdziany umiejętności</w:t>
      </w:r>
      <w:bookmarkEnd w:id="423"/>
      <w:bookmarkEnd w:id="424"/>
    </w:p>
    <w:p w14:paraId="32CF364B" w14:textId="1EF96C5A"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2629ED5"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PROGRAM SZKOLENIA – SPRAWDZIANY UMIEJĘTNOŚCI SZKOLONYCH</w:t>
      </w:r>
    </w:p>
    <w:p w14:paraId="2C742513"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Metody, które należy stosować w celu sprawdzenia umiejętności szkolonych mogą obejmować:</w:t>
      </w:r>
    </w:p>
    <w:p w14:paraId="7EBF1F9E"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praktyczną demonstrację,</w:t>
      </w:r>
    </w:p>
    <w:p w14:paraId="052CE8D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ocenę z użyciem komputera,</w:t>
      </w:r>
    </w:p>
    <w:p w14:paraId="26EC232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sprawdziany ustne lub pisemne,</w:t>
      </w:r>
    </w:p>
    <w:p w14:paraId="4C0D0307" w14:textId="34EC82D4" w:rsidR="00371A8B"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lub, w stosownych przypadkach, kombinację tych metod.</w:t>
      </w:r>
    </w:p>
    <w:p w14:paraId="2A3A136A" w14:textId="0D0375F6" w:rsidR="00AA7C09" w:rsidRPr="009E064B" w:rsidRDefault="00AA7C09" w:rsidP="00133B99">
      <w:pPr>
        <w:pStyle w:val="Nagwek6"/>
      </w:pPr>
      <w:bookmarkStart w:id="425" w:name="_GM1_ADR.OR.D.017(c)_"/>
      <w:bookmarkStart w:id="426" w:name="_Toc492024646"/>
      <w:bookmarkStart w:id="427" w:name="_Toc12532738"/>
      <w:bookmarkEnd w:id="425"/>
      <w:r w:rsidRPr="009E064B">
        <w:t xml:space="preserve">GM1 ADR.OR.D.017(c)    </w:t>
      </w:r>
      <w:r w:rsidR="004002F9" w:rsidRPr="009E064B">
        <w:t xml:space="preserve"> </w:t>
      </w:r>
      <w:r w:rsidRPr="009E064B">
        <w:t>Programy szkolenia i sprawdziany umiejętności</w:t>
      </w:r>
      <w:bookmarkEnd w:id="426"/>
      <w:bookmarkEnd w:id="427"/>
    </w:p>
    <w:p w14:paraId="11078441" w14:textId="7A0F191C"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86974AC"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SPRAWDZIANY UMIEJĘTNOŚCI</w:t>
      </w:r>
    </w:p>
    <w:p w14:paraId="30ADDA21" w14:textId="3DDF2F8B"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Sprawdziany umiejętności powinny być prowadzone przez wyznaczony</w:t>
      </w:r>
      <w:r w:rsidR="00371A8B" w:rsidRPr="009E064B">
        <w:rPr>
          <w:rFonts w:asciiTheme="minorHAnsi" w:eastAsia="Calibri" w:hAnsiTheme="minorHAnsi" w:cstheme="minorHAnsi"/>
        </w:rPr>
        <w:t xml:space="preserve">ch egzaminatorów zgodnie z </w:t>
      </w:r>
      <w:hyperlink w:anchor="_AMC1_ADR.OR.D.017(d)_" w:history="1">
        <w:r w:rsidR="00371A8B"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ADR.OR.D.017(d)</w:t>
        </w:r>
      </w:hyperlink>
      <w:r w:rsidRPr="009E064B">
        <w:rPr>
          <w:rFonts w:asciiTheme="minorHAnsi" w:eastAsia="Calibri" w:hAnsiTheme="minorHAnsi" w:cstheme="minorHAnsi"/>
        </w:rPr>
        <w:t>.</w:t>
      </w:r>
    </w:p>
    <w:p w14:paraId="1895F031"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Maksymalna przerwa pomiędzy dwoma sprawdzianami umiejętności nie powinna przekraczać 24 miesięcy.</w:t>
      </w:r>
    </w:p>
    <w:p w14:paraId="4B2C5739"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Pierwszy sprawdzian umiejętności powinien zostać zakończony w ciągu dwóch lat od zakończenia programu szkolenia wstępnego.</w:t>
      </w:r>
    </w:p>
    <w:p w14:paraId="7F1B143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Program sprawdzenia umiejętności powinien obejmować proces weryfikacji, który mierzy skuteczność programu.</w:t>
      </w:r>
    </w:p>
    <w:p w14:paraId="4CE3CBD6"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Program sprawdzenia umiejętności powinien określać zakres odpowiedzialności i odpowiednie metody prowadzenia sprawdzianu, w tym procedur, które należy stosować w przypadku, gdy personel nie osiąga wymaganych standardów.</w:t>
      </w:r>
    </w:p>
    <w:p w14:paraId="3EDAFCA3" w14:textId="3B55EBDC" w:rsidR="007757A9" w:rsidRDefault="00AA7C09" w:rsidP="007757A9">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informacje dotyczące programu sprawdzenia umiejętności powinny być zawarte w instrukcji operacyjnej lotniska.</w:t>
      </w:r>
      <w:r w:rsidR="007757A9">
        <w:rPr>
          <w:rFonts w:asciiTheme="minorHAnsi" w:eastAsia="Calibri" w:hAnsiTheme="minorHAnsi" w:cstheme="minorHAnsi"/>
        </w:rPr>
        <w:t xml:space="preserve"> </w:t>
      </w:r>
      <w:r w:rsidR="007757A9">
        <w:rPr>
          <w:rFonts w:asciiTheme="minorHAnsi" w:eastAsia="Calibri" w:hAnsiTheme="minorHAnsi" w:cstheme="minorHAnsi"/>
        </w:rPr>
        <w:br w:type="page"/>
      </w:r>
    </w:p>
    <w:p w14:paraId="2809D10B" w14:textId="2DB35B5A" w:rsidR="00AA7C09" w:rsidRPr="009E064B" w:rsidRDefault="00AA7C09" w:rsidP="00133B99">
      <w:pPr>
        <w:pStyle w:val="Nagwek6"/>
      </w:pPr>
      <w:bookmarkStart w:id="428" w:name="_GM2_ADR.OR.D.017(c)_"/>
      <w:bookmarkStart w:id="429" w:name="_Toc492024647"/>
      <w:bookmarkStart w:id="430" w:name="_Toc12532739"/>
      <w:bookmarkEnd w:id="428"/>
      <w:r w:rsidRPr="009E064B">
        <w:t xml:space="preserve">GM2 ADR.OR.D.017(c)    </w:t>
      </w:r>
      <w:r w:rsidR="004002F9" w:rsidRPr="009E064B">
        <w:t xml:space="preserve"> </w:t>
      </w:r>
      <w:r w:rsidRPr="009E064B">
        <w:t>Programy szkolenia i sprawdziany umiejętności</w:t>
      </w:r>
      <w:bookmarkEnd w:id="429"/>
      <w:bookmarkEnd w:id="430"/>
    </w:p>
    <w:p w14:paraId="1BA5499F" w14:textId="74C385C2"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F061C33"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SPRAWDZIANY UMIEJĘTNOŚCI</w:t>
      </w:r>
    </w:p>
    <w:p w14:paraId="1874964A" w14:textId="690FB49A"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Celem sprawdzianu umiejętności jest ustalenie zdolności osoby do działania w sposób zadowalający, zgodny z obowiązującymi wymaganiami i treścią instrukcji operacyjnej lotniska. W</w:t>
      </w:r>
      <w:r w:rsidR="006D6289" w:rsidRPr="009E064B">
        <w:rPr>
          <w:rFonts w:asciiTheme="minorHAnsi" w:eastAsia="Calibri" w:hAnsiTheme="minorHAnsi" w:cstheme="minorHAnsi"/>
        </w:rPr>
        <w:t xml:space="preserve"> </w:t>
      </w:r>
      <w:r w:rsidRPr="009E064B">
        <w:rPr>
          <w:rFonts w:asciiTheme="minorHAnsi" w:eastAsia="Calibri" w:hAnsiTheme="minorHAnsi" w:cstheme="minorHAnsi"/>
        </w:rPr>
        <w:t>tym celu powinien zostać zidentyfikowany każdy z elementów, który powinien być objęty sprawdzianem umiejętności.</w:t>
      </w:r>
    </w:p>
    <w:p w14:paraId="4BB64C7B" w14:textId="0258AE3E"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Sprawdzian umiejętności nie musi obejmować wszystkich związanych elementów w tym samym czasie; jednakże, wszystkie elementy sprawdzianu umiejętności powinny być obj</w:t>
      </w:r>
      <w:r w:rsidR="00371A8B" w:rsidRPr="009E064B">
        <w:rPr>
          <w:rFonts w:asciiTheme="minorHAnsi" w:eastAsia="Calibri" w:hAnsiTheme="minorHAnsi" w:cstheme="minorHAnsi"/>
        </w:rPr>
        <w:t xml:space="preserve">ęte w terminie określonym w </w:t>
      </w:r>
      <w:hyperlink w:anchor="_GM1_ADR.OR.D.017(c)_" w:history="1">
        <w:r w:rsidR="00371A8B" w:rsidRPr="009E064B">
          <w:rPr>
            <w:rStyle w:val="Hipercze"/>
            <w:rFonts w:asciiTheme="minorHAnsi" w:eastAsia="Calibri" w:hAnsiTheme="minorHAnsi" w:cstheme="minorHAnsi"/>
          </w:rPr>
          <w:t>GM1 </w:t>
        </w:r>
        <w:r w:rsidRPr="009E064B">
          <w:rPr>
            <w:rStyle w:val="Hipercze"/>
            <w:rFonts w:asciiTheme="minorHAnsi" w:eastAsia="Calibri" w:hAnsiTheme="minorHAnsi" w:cstheme="minorHAnsi"/>
          </w:rPr>
          <w:t>ADR.OR.D.017(c)</w:t>
        </w:r>
      </w:hyperlink>
      <w:r w:rsidRPr="009E064B">
        <w:rPr>
          <w:rFonts w:asciiTheme="minorHAnsi" w:eastAsia="Calibri" w:hAnsiTheme="minorHAnsi" w:cstheme="minorHAnsi"/>
        </w:rPr>
        <w:t>.</w:t>
      </w:r>
    </w:p>
    <w:p w14:paraId="2BA0DBFB"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Osoba(y) podlegająca sprawdzeniu powinna być poinformowana o odpowiedniej procedurze.</w:t>
      </w:r>
    </w:p>
    <w:p w14:paraId="55240918"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Sprawdziany umiejętności mogą być prowadzone w normalnych i/lub nietypowych/awaryjnych warunkach, w zależności od sytuacji i specjalności sprawdzanej osoby.</w:t>
      </w:r>
    </w:p>
    <w:p w14:paraId="627DC08C" w14:textId="062581B4" w:rsidR="00AA7C09" w:rsidRPr="009E064B" w:rsidRDefault="00AA7C09" w:rsidP="00133B99">
      <w:pPr>
        <w:pStyle w:val="Nagwek5"/>
      </w:pPr>
      <w:bookmarkStart w:id="431" w:name="_AMC1_ADR.OR.D.017(d)_"/>
      <w:bookmarkStart w:id="432" w:name="_Toc492024648"/>
      <w:bookmarkStart w:id="433" w:name="_Toc12532740"/>
      <w:bookmarkEnd w:id="431"/>
      <w:r w:rsidRPr="009E064B">
        <w:t xml:space="preserve">AMC1 ADR.OR.D.017(d)    </w:t>
      </w:r>
      <w:r w:rsidR="004002F9" w:rsidRPr="009E064B">
        <w:t xml:space="preserve"> </w:t>
      </w:r>
      <w:r w:rsidRPr="009E064B">
        <w:t>Programy szkolenia i sprawdziany umiejętności</w:t>
      </w:r>
      <w:bookmarkEnd w:id="432"/>
      <w:bookmarkEnd w:id="433"/>
    </w:p>
    <w:p w14:paraId="0D50AB1B" w14:textId="0547B60C"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AC0E207"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INSTRUKTORZY – EGZAMINATORZY</w:t>
      </w:r>
    </w:p>
    <w:p w14:paraId="04AC21BB"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wyznaczyć instruktorów i egzaminatorów, którzy mają realizować programy szkolenia i sprawdzania umiejętności. Wyznaczony personel może także obejmować zatrudnionych na umowę zlecenie instruktorów do prowadzenia zająć z pojedynczych przedmiotów.</w:t>
      </w:r>
    </w:p>
    <w:p w14:paraId="5A96A7B9"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Operator lotniska może również wyznaczyć pracowników proponowanych przez organizacje działające lub świadczące usługi na lotnisku, do pełnienia funkcji instruktorów i egzaminatorów w celu realizacji odpowiedniej części programów szkolenia i sprawdzenia umiejętności personelu tych organizacji. W każdym przypadku odpowiedzialność za zapewnienie właściwej realizacji programu leży po stronie operatora lotniska.</w:t>
      </w:r>
    </w:p>
    <w:p w14:paraId="60AD452A"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może zakwalifikować oraz wyznaczyć osobę zarówno na instruktora jak i na egzaminatora. Jednak taka osoba nie może prowadzić ocen własnego nauczania, kursów lub materiału.</w:t>
      </w:r>
    </w:p>
    <w:p w14:paraId="724337BE"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Instruktorzy</w:t>
      </w:r>
    </w:p>
    <w:p w14:paraId="17BE6BE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Szkolenie teoretyczne powinno być prowadzone przez odpowiednio wykwalifikowanych instruktorów. Powinni oni posiadać:</w:t>
      </w:r>
    </w:p>
    <w:p w14:paraId="7F3E9518"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odpowiedni poziom i dogłębną wiedzę z dziedziny stanowiącej przedmiot szkolenia;</w:t>
      </w:r>
    </w:p>
    <w:p w14:paraId="1EEAB68D"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udokumentowaną umiejętność korzystania z odpowiednich technik instruktażowych; oraz</w:t>
      </w:r>
    </w:p>
    <w:p w14:paraId="2D6A0A6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odpowiednie doświadczenie w przedmiocie, którego ma nauczać.</w:t>
      </w:r>
    </w:p>
    <w:p w14:paraId="581CE5D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Szkolenie w zakresie umiejętności praktycznych powinno być prowadzone przez odpowiednio wykwalifikowanych instruktorów, którzy:</w:t>
      </w:r>
    </w:p>
    <w:p w14:paraId="67A9F7DD"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posiadają wiedzę teoretyczną oraz doświadczenie w pracy odpowiednie do prowadzonego szkolenia;</w:t>
      </w:r>
    </w:p>
    <w:p w14:paraId="7E96D12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wykazali się umiejętnością nauczania i korzystania z odpowiednich technik instruktażowych;</w:t>
      </w:r>
    </w:p>
    <w:p w14:paraId="7AE3506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są biegli w zakresie technik instruktażowych w obszarach, w których są planowani do prowadzenia szkolenia; oraz</w:t>
      </w:r>
    </w:p>
    <w:p w14:paraId="7D91AF3A"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przechodzą regularne szkolenia odświeżające wiedzę dla zapewnienia, że kompetencje instruktażowe są utrzymywane.</w:t>
      </w:r>
    </w:p>
    <w:p w14:paraId="58FC3C7B"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Egzaminatorzy</w:t>
      </w:r>
    </w:p>
    <w:p w14:paraId="5FA910A0"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Osoby, które są odpowiedzialne za ocenę kwalifikacji i umiejętności personelu powinni:</w:t>
      </w:r>
    </w:p>
    <w:p w14:paraId="73EFB113"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wykazać się zdolnością do oceny pracy oraz przeprowadzania testów i sprawdzianów w obszarach objętych szkoleniem;</w:t>
      </w:r>
    </w:p>
    <w:p w14:paraId="4D6915C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przechodzić regularne szkolenia odświeżające wiedzę, aby zapewnić, że standardy oceny są na bieżąco utrzymywane; oraz</w:t>
      </w:r>
    </w:p>
    <w:p w14:paraId="537507BF" w14:textId="0DB6AFAF" w:rsidR="00A50238"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spełniać wymogi w zakresie wiedzy teoretycznej odpowiedniej do prowadzonego szkolenia i mieć odpowiednie doświadczenie zawodowe w dziedzinie nauczania.</w:t>
      </w:r>
    </w:p>
    <w:p w14:paraId="4BB71AC7" w14:textId="2815337C" w:rsidR="00AA7C09" w:rsidRPr="009E064B" w:rsidRDefault="00AA7C09" w:rsidP="00133B99">
      <w:pPr>
        <w:pStyle w:val="Nagwek5"/>
      </w:pPr>
      <w:bookmarkStart w:id="434" w:name="_AMC1_ADR.OR.D.017(e)_"/>
      <w:bookmarkStart w:id="435" w:name="_Toc492024649"/>
      <w:bookmarkStart w:id="436" w:name="_Toc12532741"/>
      <w:bookmarkEnd w:id="434"/>
      <w:r w:rsidRPr="009E064B">
        <w:t xml:space="preserve">AMC1 ADR.OR.D.017(e)    </w:t>
      </w:r>
      <w:r w:rsidR="004002F9" w:rsidRPr="009E064B">
        <w:t xml:space="preserve"> </w:t>
      </w:r>
      <w:r w:rsidRPr="009E064B">
        <w:t>Programy szkolenia i sprawdziany umiejętności</w:t>
      </w:r>
      <w:bookmarkEnd w:id="435"/>
      <w:bookmarkEnd w:id="436"/>
    </w:p>
    <w:p w14:paraId="4A8B2FD1" w14:textId="1F8282CD"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8B63180"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DOKUMENTACJA PERSONELU</w:t>
      </w:r>
    </w:p>
    <w:p w14:paraId="6095EDC4" w14:textId="24E271DD"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Operator lotniska powinien stosować własny system prowadzenia rejestru (dokumentacji) (patrz </w:t>
      </w:r>
      <w:hyperlink w:anchor="_AMC1_ADR.OR.D.035_" w:history="1">
        <w:r w:rsidRPr="009E064B">
          <w:rPr>
            <w:rStyle w:val="Hipercze"/>
            <w:rFonts w:asciiTheme="minorHAnsi" w:eastAsia="Calibri" w:hAnsiTheme="minorHAnsi" w:cstheme="minorHAnsi"/>
          </w:rPr>
          <w:t>AMC1 ADR.OR.D.035</w:t>
        </w:r>
      </w:hyperlink>
      <w:r w:rsidRPr="009E064B">
        <w:rPr>
          <w:rFonts w:asciiTheme="minorHAnsi" w:eastAsia="Calibri" w:hAnsiTheme="minorHAnsi" w:cstheme="minorHAnsi"/>
        </w:rPr>
        <w:t>) w celu dokumentowania dla każdej osoby, następujących informacji:</w:t>
      </w:r>
    </w:p>
    <w:p w14:paraId="72CF521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data rozpoczęcia/zakończenia pracy (jeśli dotyczy);</w:t>
      </w:r>
    </w:p>
    <w:p w14:paraId="168E218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obszar działalności;</w:t>
      </w:r>
    </w:p>
    <w:p w14:paraId="65A9807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doświadczenie zawodowe z poprzedniej pracy;</w:t>
      </w:r>
    </w:p>
    <w:p w14:paraId="32B29DE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kwalifikacje;</w:t>
      </w:r>
    </w:p>
    <w:p w14:paraId="095FF7F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szkolenie (przed przyjęciem do pracy i późniejsze); oraz</w:t>
      </w:r>
    </w:p>
    <w:p w14:paraId="41B7904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sprawdziany umiejętności, w tym ze znajomości języka, jeśli właściwe;</w:t>
      </w:r>
    </w:p>
    <w:p w14:paraId="3A2792D8" w14:textId="782EAE64" w:rsidR="00544146"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Ostatnie zmiany powinny znaleźć odzwierciedlenie w dokumentacji personelu.</w:t>
      </w:r>
    </w:p>
    <w:p w14:paraId="1B393D24" w14:textId="71A60D2B" w:rsidR="00AA7C09" w:rsidRPr="009E064B" w:rsidRDefault="00AA7C09" w:rsidP="00133B99">
      <w:pPr>
        <w:pStyle w:val="Nagwek6"/>
      </w:pPr>
      <w:bookmarkStart w:id="437" w:name="_GM1_ADR.OR.D.017(e)_"/>
      <w:bookmarkStart w:id="438" w:name="_Toc492024650"/>
      <w:bookmarkStart w:id="439" w:name="_Toc12532742"/>
      <w:bookmarkEnd w:id="437"/>
      <w:r w:rsidRPr="009E064B">
        <w:t xml:space="preserve">GM1 ADR.OR.D.017(e)    </w:t>
      </w:r>
      <w:r w:rsidR="004002F9" w:rsidRPr="009E064B">
        <w:t xml:space="preserve"> </w:t>
      </w:r>
      <w:r w:rsidRPr="009E064B">
        <w:t>Programy szkolenia i sprawdziany umiejętności</w:t>
      </w:r>
      <w:bookmarkEnd w:id="438"/>
      <w:bookmarkEnd w:id="439"/>
    </w:p>
    <w:p w14:paraId="7DEB4B4B" w14:textId="363A9E19" w:rsidR="00F812C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6B46572"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DOKUMENTACJA SZKOLENIA PERSONELU </w:t>
      </w:r>
    </w:p>
    <w:p w14:paraId="11A4A128" w14:textId="6591C77E"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Program szkolenia – </w:t>
      </w:r>
      <w:r w:rsidR="009B0A08" w:rsidRPr="009E064B">
        <w:rPr>
          <w:rFonts w:asciiTheme="minorHAnsi" w:eastAsia="Calibri" w:hAnsiTheme="minorHAnsi" w:cstheme="minorHAnsi"/>
        </w:rPr>
        <w:t>Wymagania ogólne</w:t>
      </w:r>
    </w:p>
    <w:p w14:paraId="73C72DBB" w14:textId="49D06DC2"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Operator lotniska powinien utrzymywać dokumenty ze szkoleń,</w:t>
      </w:r>
      <w:r w:rsidR="00544DF6" w:rsidRPr="009E064B">
        <w:rPr>
          <w:rFonts w:asciiTheme="minorHAnsi" w:eastAsia="Calibri" w:hAnsiTheme="minorHAnsi" w:cstheme="minorHAnsi"/>
        </w:rPr>
        <w:t xml:space="preserve"> które zapewnił, obejmujące, co </w:t>
      </w:r>
      <w:r w:rsidRPr="009E064B">
        <w:rPr>
          <w:rFonts w:asciiTheme="minorHAnsi" w:eastAsia="Calibri" w:hAnsiTheme="minorHAnsi" w:cstheme="minorHAnsi"/>
        </w:rPr>
        <w:t>najmniej:</w:t>
      </w:r>
    </w:p>
    <w:p w14:paraId="3B32539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obszar szkolenia i zawarte w nim zagadnienia (tematy);</w:t>
      </w:r>
    </w:p>
    <w:p w14:paraId="14BDE76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nazwiska uczestników/podpisane listy uczestników;</w:t>
      </w:r>
    </w:p>
    <w:p w14:paraId="54624310"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datę i czas trwania szkolenia; oraz</w:t>
      </w:r>
    </w:p>
    <w:p w14:paraId="58B399F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nazwisko instruktora.</w:t>
      </w:r>
    </w:p>
    <w:p w14:paraId="7D25D0A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Dokumentacja szkolenia poszczególnych osób</w:t>
      </w:r>
    </w:p>
    <w:p w14:paraId="2EC2542F"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Dokumentacja szkolenia, utrzymywana dla każdej z osób powinna zawierać, co najmniej:</w:t>
      </w:r>
    </w:p>
    <w:p w14:paraId="70246DD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nazwisko szkolonego;</w:t>
      </w:r>
    </w:p>
    <w:p w14:paraId="4097622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datę(y) i czas trwania szkolenia;</w:t>
      </w:r>
    </w:p>
    <w:p w14:paraId="0A9CFB63"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miejsce, w którym szkolenie było prowadzone;</w:t>
      </w:r>
    </w:p>
    <w:p w14:paraId="4364C58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nazwę organizacji, która prowadziła szkolenie;</w:t>
      </w:r>
    </w:p>
    <w:p w14:paraId="0BFBA218"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przedmioty objęte szkoleniem i metodykę kursu;</w:t>
      </w:r>
    </w:p>
    <w:p w14:paraId="4F862D7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wszelkie uwagi zgłoszone przez instruktora, jeśli ma zastosowanie;</w:t>
      </w:r>
    </w:p>
    <w:p w14:paraId="698AF14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ocenę postępów szkolonego, jeśli ma zastosowanie; oraz</w:t>
      </w:r>
    </w:p>
    <w:p w14:paraId="12579387" w14:textId="4FC6C5DF" w:rsidR="006D628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nazwisko i podpis instruktora.</w:t>
      </w:r>
    </w:p>
    <w:p w14:paraId="44C36E3F" w14:textId="29F87C69" w:rsidR="00AA7C09" w:rsidRPr="009E064B" w:rsidRDefault="00AA7C09" w:rsidP="00133B99">
      <w:pPr>
        <w:pStyle w:val="Nagwek6"/>
      </w:pPr>
      <w:bookmarkStart w:id="440" w:name="_GM2_ADR.OR.D.017(e)_"/>
      <w:bookmarkStart w:id="441" w:name="_Toc492024651"/>
      <w:bookmarkStart w:id="442" w:name="_Toc12532743"/>
      <w:bookmarkEnd w:id="440"/>
      <w:r w:rsidRPr="009E064B">
        <w:t xml:space="preserve">GM2 ADR.OR.D.017(e)    </w:t>
      </w:r>
      <w:r w:rsidR="004002F9" w:rsidRPr="009E064B">
        <w:t xml:space="preserve"> </w:t>
      </w:r>
      <w:r w:rsidRPr="009E064B">
        <w:t>Programy szkolenia i sprawdziany umiejętności</w:t>
      </w:r>
      <w:bookmarkEnd w:id="441"/>
      <w:bookmarkEnd w:id="442"/>
    </w:p>
    <w:p w14:paraId="1ABD39A0" w14:textId="0AB0616B" w:rsidR="00544DF6" w:rsidRPr="009E064B" w:rsidRDefault="00D63D4F" w:rsidP="00544DF6">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8693650"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DOKUMENTACJA SPRAWDZIANÓW UMIEJĘTNOŚCI</w:t>
      </w:r>
    </w:p>
    <w:p w14:paraId="17556339"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Dokumentacja sprawdzianów umiejętności utrzymywana dla każdej osoby powinna zawierać, co najmniej:</w:t>
      </w:r>
    </w:p>
    <w:p w14:paraId="41CC321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nazwisko osoby podlegającej sprawdzianowi;</w:t>
      </w:r>
    </w:p>
    <w:p w14:paraId="51AB430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datę(y) i czas trwania sprawdzianu umiejętności;</w:t>
      </w:r>
    </w:p>
    <w:p w14:paraId="32380C43"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metodykę przeprowadzonego sprawdzianu;</w:t>
      </w:r>
    </w:p>
    <w:p w14:paraId="2B3B253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wszelkie uwagi zgłoszone przez egzaminatora;</w:t>
      </w:r>
    </w:p>
    <w:p w14:paraId="170F24F1"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ocenę postępów osoby podlegającej sprawdzianowi; oraz</w:t>
      </w:r>
    </w:p>
    <w:p w14:paraId="3B08FE5A" w14:textId="2982E653" w:rsidR="00371A8B"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nazwisko i podpis egzaminatora.</w:t>
      </w:r>
    </w:p>
    <w:p w14:paraId="6312A380" w14:textId="4EA2663D" w:rsidR="00DC7DA6" w:rsidRPr="009E064B" w:rsidRDefault="00DE05DC" w:rsidP="00B06A9A">
      <w:pPr>
        <w:pStyle w:val="Nagwek3"/>
      </w:pPr>
      <w:bookmarkStart w:id="443" w:name="_Toc12532744"/>
      <w:r w:rsidRPr="009E064B">
        <w:t xml:space="preserve">ADR.OR.D.020 </w:t>
      </w:r>
      <w:r w:rsidR="004002F9" w:rsidRPr="009E064B">
        <w:t xml:space="preserve">    </w:t>
      </w:r>
      <w:r w:rsidRPr="009E064B">
        <w:t>Wymagania dotyczące zaplecza</w:t>
      </w:r>
      <w:bookmarkEnd w:id="443"/>
    </w:p>
    <w:p w14:paraId="5D17596A" w14:textId="30AC82B3"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3CE1145" w14:textId="1CE0FB4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swojemu personelowi oraz personelowi zatrudnionemu przez podmioty, którym zlecił zapewnienie służb operacyjnych i obsługi technicznej na lotnisku, dostęp do adekwatnego i odpowiedniego zaplecza.</w:t>
      </w:r>
    </w:p>
    <w:p w14:paraId="73797521" w14:textId="7E140098" w:rsidR="00033143"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wyznacza, zgodnie z Instrukcjami Technicznymi, odpowiednie strefy lotniska przeznaczone do przechowywania materiałów niebezpiecznych transportowanych przez lotnisko.</w:t>
      </w:r>
    </w:p>
    <w:p w14:paraId="158F76DD" w14:textId="1B49D5CF" w:rsidR="00AA7C09" w:rsidRPr="009E064B" w:rsidRDefault="00AA7C09" w:rsidP="00133B99">
      <w:pPr>
        <w:pStyle w:val="Nagwek6"/>
      </w:pPr>
      <w:bookmarkStart w:id="444" w:name="_Toc492024652"/>
      <w:bookmarkStart w:id="445" w:name="_Toc12532745"/>
      <w:r w:rsidRPr="009E064B">
        <w:t xml:space="preserve">GM1 ADR.OR.D.020(a)    </w:t>
      </w:r>
      <w:r w:rsidR="004002F9" w:rsidRPr="009E064B">
        <w:t xml:space="preserve"> </w:t>
      </w:r>
      <w:r w:rsidRPr="009E064B">
        <w:t>Wymagania dotyczące zaplecza</w:t>
      </w:r>
      <w:bookmarkEnd w:id="444"/>
      <w:bookmarkEnd w:id="445"/>
    </w:p>
    <w:p w14:paraId="3BCFCA23" w14:textId="09126534"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D8A6FFE"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ZAPEWNIANE ZAPLECZE</w:t>
      </w:r>
    </w:p>
    <w:p w14:paraId="32F71D7E"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Aby umożliwić realizację wszystkich zadań i działań zgodnie z obowiązującymi wymaganiami, powinno być zapewnione odpowiednie zaplecze. Obejmuje ono, lecz nie ogranicza się do:</w:t>
      </w:r>
    </w:p>
    <w:p w14:paraId="4D3349C8"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odpowiednich pomieszczeń stanowisk pracy i urządzeń biurowych;</w:t>
      </w:r>
    </w:p>
    <w:p w14:paraId="43A263C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wyposażenia ochronnego dla personelu;</w:t>
      </w:r>
    </w:p>
    <w:p w14:paraId="47DADF9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urządzeń niezbędnych do inspekcji lotniska i jego wyposażenia, takich jak klinometry, urządzenia do pomiaru odległości, itp.; oraz</w:t>
      </w:r>
    </w:p>
    <w:p w14:paraId="5803F889" w14:textId="1758D6E5" w:rsidR="007757A9" w:rsidRDefault="00AA7C09" w:rsidP="007757A9">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dostępu do źródeł danych niezbędnych do rozwoju i skutecznego funkcjonowania systemu zarządzania bezpieczeństwem oraz monitorowania spełnienia wymagań lotniska.</w:t>
      </w:r>
      <w:r w:rsidR="007757A9">
        <w:rPr>
          <w:rFonts w:asciiTheme="minorHAnsi" w:eastAsia="Calibri" w:hAnsiTheme="minorHAnsi" w:cstheme="minorHAnsi"/>
        </w:rPr>
        <w:t xml:space="preserve"> </w:t>
      </w:r>
      <w:r w:rsidR="007757A9">
        <w:rPr>
          <w:rFonts w:asciiTheme="minorHAnsi" w:eastAsia="Calibri" w:hAnsiTheme="minorHAnsi" w:cstheme="minorHAnsi"/>
        </w:rPr>
        <w:br w:type="page"/>
      </w:r>
    </w:p>
    <w:p w14:paraId="2B448A56" w14:textId="59719CC4" w:rsidR="00AA7C09" w:rsidRPr="009E064B" w:rsidRDefault="00AA7C09" w:rsidP="00133B99">
      <w:pPr>
        <w:pStyle w:val="Nagwek5"/>
      </w:pPr>
      <w:bookmarkStart w:id="446" w:name="_Toc492024653"/>
      <w:bookmarkStart w:id="447" w:name="_Toc12532746"/>
      <w:r w:rsidRPr="009E064B">
        <w:t xml:space="preserve">AMC1 ADR.OR.D.020(b)    </w:t>
      </w:r>
      <w:r w:rsidR="004002F9" w:rsidRPr="009E064B">
        <w:t xml:space="preserve"> </w:t>
      </w:r>
      <w:r w:rsidRPr="009E064B">
        <w:t>Wymagania dotyczące zaplecza</w:t>
      </w:r>
      <w:bookmarkEnd w:id="446"/>
      <w:bookmarkEnd w:id="447"/>
    </w:p>
    <w:p w14:paraId="7F7BCEE5" w14:textId="7E5D4A53"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BBD163C" w14:textId="428F4C0F" w:rsidR="006D628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Wyznaczone strefy mogą się różnić i obejmować zaplecze, takie jak strefy towarowe, a nawet strefy na otwartym powietrzu. Powinny zostać wyznaczone również stanowiska postojowe dla statków powietrznych, które przewożą materiały niebezpieczne.</w:t>
      </w:r>
    </w:p>
    <w:p w14:paraId="300ADD21" w14:textId="407C7B20" w:rsidR="00DC7DA6" w:rsidRPr="009E064B" w:rsidRDefault="00DE05DC" w:rsidP="00B06A9A">
      <w:pPr>
        <w:pStyle w:val="Nagwek3"/>
      </w:pPr>
      <w:bookmarkStart w:id="448" w:name="_Toc12532747"/>
      <w:r w:rsidRPr="009E064B">
        <w:t xml:space="preserve">ADR.OR.D.025  </w:t>
      </w:r>
      <w:r w:rsidR="004002F9" w:rsidRPr="009E064B">
        <w:t xml:space="preserve">   </w:t>
      </w:r>
      <w:r w:rsidRPr="009E064B">
        <w:t>Koordynacja działań z innymi organizacjami</w:t>
      </w:r>
      <w:bookmarkEnd w:id="448"/>
    </w:p>
    <w:p w14:paraId="2BD212F5" w14:textId="1A2E6C9A"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52DFDEC" w14:textId="77777777" w:rsidR="00DC7DA6" w:rsidRPr="009E064B" w:rsidRDefault="0049185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Operator</w:t>
      </w:r>
      <w:r w:rsidR="00DE05DC" w:rsidRPr="009E064B">
        <w:rPr>
          <w:rFonts w:asciiTheme="minorHAnsi" w:hAnsiTheme="minorHAnsi" w:cstheme="minorHAnsi"/>
          <w:sz w:val="22"/>
          <w:szCs w:val="20"/>
        </w:rPr>
        <w:t xml:space="preserve"> lotniska:</w:t>
      </w:r>
    </w:p>
    <w:p w14:paraId="40731410" w14:textId="6067BD7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zapewnia, by system zarządzania lotniskiem uwzględniał</w:t>
      </w:r>
      <w:r w:rsidR="00031883" w:rsidRPr="009E064B">
        <w:rPr>
          <w:rFonts w:asciiTheme="minorHAnsi" w:hAnsiTheme="minorHAnsi" w:cstheme="minorHAnsi"/>
          <w:sz w:val="22"/>
          <w:szCs w:val="20"/>
        </w:rPr>
        <w:t xml:space="preserve"> koordynację i współdziałanie z </w:t>
      </w:r>
      <w:r w:rsidR="00DE05DC" w:rsidRPr="009E064B">
        <w:rPr>
          <w:rFonts w:asciiTheme="minorHAnsi" w:hAnsiTheme="minorHAnsi" w:cstheme="minorHAnsi"/>
          <w:sz w:val="22"/>
          <w:szCs w:val="20"/>
        </w:rPr>
        <w:t>procedurami bezpieczeństwa innych organizacji działających lub świadczących usługi na terenie lotniska; oraz</w:t>
      </w:r>
    </w:p>
    <w:p w14:paraId="19D56EAD" w14:textId="06DBFD4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zapewnia, by takie organizacje posiadały procedury bezpieczeństwa zgodne ze s</w:t>
      </w:r>
      <w:r w:rsidR="0049185C" w:rsidRPr="009E064B">
        <w:rPr>
          <w:rFonts w:asciiTheme="minorHAnsi" w:hAnsiTheme="minorHAnsi" w:cstheme="minorHAnsi"/>
          <w:sz w:val="22"/>
          <w:szCs w:val="20"/>
        </w:rPr>
        <w:t>tosownymi wymaganiami rozporzą</w:t>
      </w:r>
      <w:r w:rsidR="00DE05DC" w:rsidRPr="009E064B">
        <w:rPr>
          <w:rFonts w:asciiTheme="minorHAnsi" w:hAnsiTheme="minorHAnsi" w:cstheme="minorHAnsi"/>
          <w:sz w:val="22"/>
          <w:szCs w:val="20"/>
        </w:rPr>
        <w:t>dzenia (WE) nr 216/2008 i jeg</w:t>
      </w:r>
      <w:r w:rsidR="00031883" w:rsidRPr="009E064B">
        <w:rPr>
          <w:rFonts w:asciiTheme="minorHAnsi" w:hAnsiTheme="minorHAnsi" w:cstheme="minorHAnsi"/>
          <w:sz w:val="22"/>
          <w:szCs w:val="20"/>
        </w:rPr>
        <w:t>o przepisów wykonawczych oraz z </w:t>
      </w:r>
      <w:r w:rsidR="00DE05DC" w:rsidRPr="009E064B">
        <w:rPr>
          <w:rFonts w:asciiTheme="minorHAnsi" w:hAnsiTheme="minorHAnsi" w:cstheme="minorHAnsi"/>
          <w:sz w:val="22"/>
          <w:szCs w:val="20"/>
        </w:rPr>
        <w:t>wymaganiami określonymi w instrukcji operacyjnej lotniska.</w:t>
      </w:r>
    </w:p>
    <w:p w14:paraId="2C03938D" w14:textId="55706AA3" w:rsidR="00AA7C09" w:rsidRPr="009E064B" w:rsidRDefault="00AA7C09" w:rsidP="00133B99">
      <w:pPr>
        <w:pStyle w:val="Nagwek6"/>
      </w:pPr>
      <w:bookmarkStart w:id="449" w:name="_Toc492024654"/>
      <w:bookmarkStart w:id="450" w:name="_Toc12532748"/>
      <w:r w:rsidRPr="009E064B">
        <w:t xml:space="preserve">GM1 ADR.OR.D.025    </w:t>
      </w:r>
      <w:r w:rsidR="004002F9" w:rsidRPr="009E064B">
        <w:t xml:space="preserve"> </w:t>
      </w:r>
      <w:r w:rsidRPr="009E064B">
        <w:t>Koordynacja działań z innymi organizacjami</w:t>
      </w:r>
      <w:bookmarkEnd w:id="449"/>
      <w:bookmarkEnd w:id="450"/>
    </w:p>
    <w:p w14:paraId="2040649D" w14:textId="42568BDD"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1608D16"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KOORDYNACJA PROCEDUR BEZPIECZEŃSTWA</w:t>
      </w:r>
    </w:p>
    <w:p w14:paraId="50116BB8" w14:textId="578E9225" w:rsidR="00031883"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Koordynacja i współdziałanie z procedurami bezpieczeństwa innych właściwych organizacji, które działają na lotnisku, obejmuje, lecz nie ogranicza się do: operatorów statków powietrznych, instytucji zapewniających służby żeglugi powietrznej, instytucji zapewniających służbę zarządzania płytą postojową, dostawców usług obsługi naziemnej, </w:t>
      </w:r>
      <w:r w:rsidR="00031883" w:rsidRPr="009E064B">
        <w:rPr>
          <w:rFonts w:asciiTheme="minorHAnsi" w:eastAsia="Calibri" w:hAnsiTheme="minorHAnsi" w:cstheme="minorHAnsi"/>
        </w:rPr>
        <w:t xml:space="preserve">dostawców usług na rzecz osób o </w:t>
      </w:r>
      <w:r w:rsidRPr="009E064B">
        <w:rPr>
          <w:rFonts w:asciiTheme="minorHAnsi" w:eastAsia="Calibri" w:hAnsiTheme="minorHAnsi" w:cstheme="minorHAnsi"/>
        </w:rPr>
        <w:t>ograniczonej sprawności ruchowej, organizacji obsługi technicznej statków powietrznych, organizacji szkolenia lotniczego, władz publicznych, które działają w polu ruchu naziemnego oraz innych organizacji, które prowadzą niezależną działalność na lotnisku.</w:t>
      </w:r>
    </w:p>
    <w:p w14:paraId="475E4CCE" w14:textId="5F5B0DBF" w:rsidR="00AA7C09" w:rsidRPr="009E064B" w:rsidRDefault="00AA7C09" w:rsidP="00133B99">
      <w:pPr>
        <w:pStyle w:val="Nagwek6"/>
      </w:pPr>
      <w:bookmarkStart w:id="451" w:name="_Toc492024655"/>
      <w:bookmarkStart w:id="452" w:name="_Toc12532749"/>
      <w:r w:rsidRPr="009E064B">
        <w:t xml:space="preserve">GM2 ADR.OR.D.025    </w:t>
      </w:r>
      <w:r w:rsidR="004002F9" w:rsidRPr="009E064B">
        <w:t xml:space="preserve"> </w:t>
      </w:r>
      <w:r w:rsidRPr="009E064B">
        <w:t>Koordynacja działań z innymi organizacjami</w:t>
      </w:r>
      <w:bookmarkEnd w:id="451"/>
      <w:bookmarkEnd w:id="452"/>
    </w:p>
    <w:p w14:paraId="07B5684F" w14:textId="3F7B160D"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56F60A3"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SPEŁNIENIE WYMAGAŃ PRZEZ INNE ORGANIZACJE</w:t>
      </w:r>
    </w:p>
    <w:p w14:paraId="2CDB2110" w14:textId="2D12DEF9"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W celu zapewnienia, że organizacje działające lub zapewniające służby na lotnisku spełniają wymagania rozporządzenia (WE) nr 216/2008 i jego przepisów wykonawczych dotyczących lotnisk i</w:t>
      </w:r>
      <w:r w:rsidR="00544DF6" w:rsidRPr="009E064B">
        <w:rPr>
          <w:rFonts w:asciiTheme="minorHAnsi" w:eastAsia="Calibri" w:hAnsiTheme="minorHAnsi" w:cstheme="minorHAnsi"/>
        </w:rPr>
        <w:t> </w:t>
      </w:r>
      <w:r w:rsidRPr="009E064B">
        <w:rPr>
          <w:rFonts w:asciiTheme="minorHAnsi" w:eastAsia="Calibri" w:hAnsiTheme="minorHAnsi" w:cstheme="minorHAnsi"/>
        </w:rPr>
        <w:t>operatorów lotnisk, a także zapisów instrukcji operacyjnej lotniska, operator lotniska powinien:</w:t>
      </w:r>
    </w:p>
    <w:p w14:paraId="6D90201A"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przeprowadzać audyty i inspekcje tych organizacji w ramach monitorowania spełnienia wymagań; oraz</w:t>
      </w:r>
    </w:p>
    <w:p w14:paraId="4D2C759D"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ustanowić procedury monitorowania powiązanych działań na lotnisku.</w:t>
      </w:r>
    </w:p>
    <w:p w14:paraId="3DA8DEBA" w14:textId="795A876E" w:rsidR="00DC7DA6" w:rsidRPr="009E064B" w:rsidRDefault="00DE05DC" w:rsidP="00B06A9A">
      <w:pPr>
        <w:pStyle w:val="Nagwek3"/>
      </w:pPr>
      <w:bookmarkStart w:id="453" w:name="_Toc12532750"/>
      <w:r w:rsidRPr="009E064B">
        <w:t xml:space="preserve">ADR.OR.D.027 </w:t>
      </w:r>
      <w:r w:rsidR="004002F9" w:rsidRPr="009E064B">
        <w:t xml:space="preserve">    </w:t>
      </w:r>
      <w:r w:rsidRPr="009E064B">
        <w:t>Programy bezpieczeństwa</w:t>
      </w:r>
      <w:bookmarkEnd w:id="453"/>
    </w:p>
    <w:p w14:paraId="1275657B" w14:textId="149090C7"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CC2E657" w14:textId="77777777" w:rsidR="00DC7DA6" w:rsidRPr="009E064B" w:rsidRDefault="0049185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 xml:space="preserve">Operator </w:t>
      </w:r>
      <w:r w:rsidR="00DE05DC" w:rsidRPr="009E064B">
        <w:rPr>
          <w:rFonts w:asciiTheme="minorHAnsi" w:hAnsiTheme="minorHAnsi" w:cstheme="minorHAnsi"/>
          <w:sz w:val="22"/>
          <w:szCs w:val="20"/>
        </w:rPr>
        <w:t>lotniska:</w:t>
      </w:r>
    </w:p>
    <w:p w14:paraId="1C0B7C76" w14:textId="408F98F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ustanawia, </w:t>
      </w:r>
      <w:r w:rsidR="003C4611" w:rsidRPr="009E064B">
        <w:rPr>
          <w:rFonts w:asciiTheme="minorHAnsi" w:hAnsiTheme="minorHAnsi" w:cstheme="minorHAnsi"/>
          <w:sz w:val="22"/>
          <w:szCs w:val="20"/>
        </w:rPr>
        <w:t xml:space="preserve">prowadzi </w:t>
      </w:r>
      <w:r w:rsidR="00DE05DC" w:rsidRPr="009E064B">
        <w:rPr>
          <w:rFonts w:asciiTheme="minorHAnsi" w:hAnsiTheme="minorHAnsi" w:cstheme="minorHAnsi"/>
          <w:sz w:val="22"/>
          <w:szCs w:val="20"/>
        </w:rPr>
        <w:t>i realizuje programy promujące bezpieczeństwo oraz wymianę informacji dotyczą</w:t>
      </w:r>
      <w:r w:rsidR="003C4611" w:rsidRPr="009E064B">
        <w:rPr>
          <w:rFonts w:asciiTheme="minorHAnsi" w:hAnsiTheme="minorHAnsi" w:cstheme="minorHAnsi"/>
          <w:sz w:val="22"/>
          <w:szCs w:val="20"/>
        </w:rPr>
        <w:t xml:space="preserve">cych </w:t>
      </w:r>
      <w:r w:rsidR="00DE05DC" w:rsidRPr="009E064B">
        <w:rPr>
          <w:rFonts w:asciiTheme="minorHAnsi" w:hAnsiTheme="minorHAnsi" w:cstheme="minorHAnsi"/>
          <w:sz w:val="22"/>
          <w:szCs w:val="20"/>
        </w:rPr>
        <w:t>bezpieczeństwa; oraz</w:t>
      </w:r>
    </w:p>
    <w:p w14:paraId="7FB28112" w14:textId="3544093A" w:rsidR="006D6289"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zachęca organizacje działające lub świadczące usługi na terenie lotniska do udziału w tych programach.</w:t>
      </w:r>
    </w:p>
    <w:p w14:paraId="7E0E974E" w14:textId="5B07888B" w:rsidR="00AA7C09" w:rsidRPr="009E064B" w:rsidRDefault="00AA7C09" w:rsidP="00133B99">
      <w:pPr>
        <w:pStyle w:val="Nagwek5"/>
      </w:pPr>
      <w:bookmarkStart w:id="454" w:name="_Toc492024656"/>
      <w:bookmarkStart w:id="455" w:name="_Toc12532751"/>
      <w:r w:rsidRPr="009E064B">
        <w:t xml:space="preserve">AMC1 ADR.OR.D.027    </w:t>
      </w:r>
      <w:r w:rsidR="004002F9" w:rsidRPr="009E064B">
        <w:t xml:space="preserve"> </w:t>
      </w:r>
      <w:r w:rsidRPr="009E064B">
        <w:t>Programy bezpieczeństwa</w:t>
      </w:r>
      <w:bookmarkEnd w:id="454"/>
      <w:bookmarkEnd w:id="455"/>
      <w:r w:rsidRPr="009E064B">
        <w:t xml:space="preserve"> </w:t>
      </w:r>
    </w:p>
    <w:p w14:paraId="10CF90A3" w14:textId="485A6500"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5EC7617"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PROGRAMY BEZPIECZEŃSTWA – LOTNISKOWE KOMITETY BEZPIECZEŃSTWA</w:t>
      </w:r>
    </w:p>
    <w:p w14:paraId="5B7AFEA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w:t>
      </w:r>
    </w:p>
    <w:p w14:paraId="18887CF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organizować, koordynować i wdrażać programy promujące bezpieczeństwo na lotnisku. Takie programy powinny obejmować, lecz nie ograniczać się do:</w:t>
      </w:r>
    </w:p>
    <w:p w14:paraId="472F45A8"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bezpieczeństwa na drodze startowej, w tym zapobiegania wtargnięciom na drogę startową i wypadnięciu statku powietrznego z drogi startowej;</w:t>
      </w:r>
    </w:p>
    <w:p w14:paraId="7B9018C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bezpieczeństwa na płycie postojowej; oraz</w:t>
      </w:r>
    </w:p>
    <w:p w14:paraId="6213162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zapobiegania pojawianiu się obiektów FOD</w:t>
      </w:r>
      <w:r w:rsidRPr="009E064B">
        <w:rPr>
          <w:rFonts w:asciiTheme="minorHAnsi" w:eastAsia="Calibri" w:hAnsiTheme="minorHAnsi" w:cstheme="minorHAnsi"/>
          <w:vertAlign w:val="superscript"/>
        </w:rPr>
        <w:footnoteReference w:id="35"/>
      </w:r>
      <w:r w:rsidRPr="009E064B">
        <w:rPr>
          <w:rFonts w:asciiTheme="minorHAnsi" w:eastAsia="Calibri" w:hAnsiTheme="minorHAnsi" w:cstheme="minorHAnsi"/>
        </w:rPr>
        <w:t>;</w:t>
      </w:r>
    </w:p>
    <w:p w14:paraId="1144E4C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koordynować i wspierać wymianę informacji i wspólne dochodzenia w sprawie zdarzeń, poważnych incydentów i wypadków.</w:t>
      </w:r>
    </w:p>
    <w:p w14:paraId="1B0A6D22" w14:textId="51CFB000"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powołać, koordynować i prowadzić lokalne lotniskowe komitety bezpieczeństwa oraz lokalny zespół ds. bezpieczeństwa na drodze startowej zajmujące się bezpieczeństwem na drodze startowej płycie postojowej oraz ogólnie bezpieczeństwem operacji na tym lotnisku. Wszystkie odpowiednie organizacje działające lub zapewniające służby na lotnisku powinny uczestniczyć w takich lotniskowych k</w:t>
      </w:r>
      <w:r w:rsidR="00031883" w:rsidRPr="009E064B">
        <w:rPr>
          <w:rFonts w:asciiTheme="minorHAnsi" w:eastAsia="Calibri" w:hAnsiTheme="minorHAnsi" w:cstheme="minorHAnsi"/>
        </w:rPr>
        <w:t>omitetach bezpieczeństwa oraz w </w:t>
      </w:r>
      <w:r w:rsidRPr="009E064B">
        <w:rPr>
          <w:rFonts w:asciiTheme="minorHAnsi" w:eastAsia="Calibri" w:hAnsiTheme="minorHAnsi" w:cstheme="minorHAnsi"/>
        </w:rPr>
        <w:t>lokalnym zespole ds. bezpieczeństwa na drodze startowej.</w:t>
      </w:r>
    </w:p>
    <w:p w14:paraId="7A0970F6"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Lokalne lotniskowe komitety bezpieczeństwa oraz lokalny zespół ds. bezpieczeństwa na drodze startowej powinny zbierać się regularnie, identyfikować i przeglądać lokalne problemy związane z bezpieczeństwem i badać możliwości ich rozwiązania oraz potrzeby podjęcia działań. Sprawozdania z tych spotkań powinny być przechowywane. Procedury dotyczące funkcjonowania lokalnych lotniskowych komitetów bezpieczeństwa oraz lokalnego zespołu ds. bezpieczeństwa na drodze startowej powinny być zawarte w instrukcji operacyjnej lotniska.</w:t>
      </w:r>
    </w:p>
    <w:p w14:paraId="6AE8541D" w14:textId="4F363985" w:rsidR="00AA7C09" w:rsidRPr="009E064B" w:rsidRDefault="00AA7C09" w:rsidP="00133B99">
      <w:pPr>
        <w:pStyle w:val="Nagwek6"/>
      </w:pPr>
      <w:bookmarkStart w:id="456" w:name="_Toc492024658"/>
      <w:bookmarkStart w:id="457" w:name="_Toc12532752"/>
      <w:r w:rsidRPr="009E064B">
        <w:t xml:space="preserve">GM1 ADR.OR.D.027    </w:t>
      </w:r>
      <w:r w:rsidR="004002F9" w:rsidRPr="009E064B">
        <w:t xml:space="preserve"> </w:t>
      </w:r>
      <w:r w:rsidRPr="009E064B">
        <w:t>Programy bezpieczeństwa</w:t>
      </w:r>
      <w:bookmarkEnd w:id="456"/>
      <w:bookmarkEnd w:id="457"/>
      <w:r w:rsidRPr="009E064B">
        <w:t xml:space="preserve"> </w:t>
      </w:r>
    </w:p>
    <w:p w14:paraId="6DEFB9F8" w14:textId="1D5C234F"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0BE4C6B"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LOTNISKOWE KOMITETY BEZPIECZEŃSTWA </w:t>
      </w:r>
    </w:p>
    <w:p w14:paraId="3F8658F2" w14:textId="0ECB79E8"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Komitet ds. bezpieczeństwa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w:t>
      </w:r>
    </w:p>
    <w:p w14:paraId="200F1EF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Operator lotniska powinien ustanowić Komitet (komitety) ds. bezpieczeństwa w polu manewrowym/na płycie postojowej;</w:t>
      </w:r>
    </w:p>
    <w:p w14:paraId="7F23EEE0" w14:textId="59B3DFAA"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Komitet ds. bezpieczeństwa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 powinien pełnić funkcję doradczą dla operatora lotniska;</w:t>
      </w:r>
    </w:p>
    <w:p w14:paraId="208FFEF6" w14:textId="4DA0E065"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Kierowanie pracą Komitetu (Komitetów) ds. bezpieczeństwa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w:t>
      </w:r>
    </w:p>
    <w:p w14:paraId="4F34F94F" w14:textId="1B11B14A"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Komitet ds. bezpieczeństwa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 powinien pracować pod przewodnictwem upoważnionego pracownika operatora lotniska odpowiedzialnego za operacje lotniskowe;</w:t>
      </w:r>
    </w:p>
    <w:p w14:paraId="3E4D32A7" w14:textId="748FD981"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Kierownik ds. bezpieczeństwa operatora lotniska powinie</w:t>
      </w:r>
      <w:r w:rsidR="00544DF6" w:rsidRPr="009E064B">
        <w:rPr>
          <w:rFonts w:asciiTheme="minorHAnsi" w:eastAsia="Calibri" w:hAnsiTheme="minorHAnsi" w:cstheme="minorHAnsi"/>
        </w:rPr>
        <w:t>n pełnić funkcję sekretarza ww. </w:t>
      </w:r>
      <w:r w:rsidRPr="009E064B">
        <w:rPr>
          <w:rFonts w:asciiTheme="minorHAnsi" w:eastAsia="Calibri" w:hAnsiTheme="minorHAnsi" w:cstheme="minorHAnsi"/>
        </w:rPr>
        <w:t>komitetu.</w:t>
      </w:r>
    </w:p>
    <w:p w14:paraId="329CFA2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Skład Komitetu (komitetów) ds. bezpieczeństwa w polu manewrowym/na płycie postojowej</w:t>
      </w:r>
    </w:p>
    <w:p w14:paraId="4B364B17"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Uczestnictwo w pracach powinno obejmować, lecz nie ograniczać się do przedstawicieli:</w:t>
      </w:r>
    </w:p>
    <w:p w14:paraId="7CEB9AC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użytkowników lotniska czynnie uczestniczących w operacjach lotniczych;</w:t>
      </w:r>
    </w:p>
    <w:p w14:paraId="759DB3E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podmiotów świadczących usługi obsługi naziemnej statków powietrznych;</w:t>
      </w:r>
    </w:p>
    <w:p w14:paraId="3E0CCA8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lotniskowych służb ratowniczo-gaśniczych;</w:t>
      </w:r>
    </w:p>
    <w:p w14:paraId="0BC2ED9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operacji lotniskowych;</w:t>
      </w:r>
    </w:p>
    <w:p w14:paraId="5020C0E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lotniska zajmujących się zarządzaniem zagrożeniami ze strony zwierząt;</w:t>
      </w:r>
    </w:p>
    <w:p w14:paraId="1395F12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obsługi technicznej lotniska; oraz</w:t>
      </w:r>
    </w:p>
    <w:p w14:paraId="7A505F3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instytucji zapewniających służby żeglugi powietrznej.</w:t>
      </w:r>
    </w:p>
    <w:p w14:paraId="7860E3B1"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Zadania</w:t>
      </w:r>
    </w:p>
    <w:p w14:paraId="380BF81C"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Do zadań Komitetu ds. bezpieczeństwa w polu manewrowym/na płycie postojowej powinno należeć:</w:t>
      </w:r>
    </w:p>
    <w:p w14:paraId="3E3A18E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otrzymywanie i ocena zgłoszeń dotyczących spraw związanych z bezpieczeństwem operacyjnym;</w:t>
      </w:r>
    </w:p>
    <w:p w14:paraId="55DAEBE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otrzymywanie zgłoszeń i informacji statystycznych na temat wypadków i incydentów oraz proponowanie rozwiązań;</w:t>
      </w:r>
    </w:p>
    <w:p w14:paraId="4A98D269" w14:textId="2BFA4AD3"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doradzanie w kwestiach bezpieczeństwa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 takich jak:</w:t>
      </w:r>
    </w:p>
    <w:p w14:paraId="63CCE9A6"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promowanie dyscypliny bezpieczeństwa na płycie postojowej;</w:t>
      </w:r>
    </w:p>
    <w:p w14:paraId="472C6789"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zapobieganie pojawianiu się FOD;</w:t>
      </w:r>
    </w:p>
    <w:p w14:paraId="0D8CD1A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rozwój środków dla bezpieczeństwa operacji;</w:t>
      </w:r>
    </w:p>
    <w:p w14:paraId="6E52E5AD" w14:textId="72E0DE5C"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rozważanie działań w celu roz</w:t>
      </w:r>
      <w:r w:rsidR="00371A8B" w:rsidRPr="009E064B">
        <w:rPr>
          <w:rFonts w:asciiTheme="minorHAnsi" w:eastAsia="Calibri" w:hAnsiTheme="minorHAnsi" w:cstheme="minorHAnsi"/>
        </w:rPr>
        <w:t xml:space="preserve">wiązania problemów związanych z </w:t>
      </w:r>
      <w:r w:rsidRPr="009E064B">
        <w:rPr>
          <w:rFonts w:asciiTheme="minorHAnsi" w:eastAsia="Calibri" w:hAnsiTheme="minorHAnsi" w:cstheme="minorHAnsi"/>
        </w:rPr>
        <w:t>bezpieczeństwem w polu manewrowym</w:t>
      </w:r>
      <w:r w:rsidR="00031883" w:rsidRPr="009E064B">
        <w:rPr>
          <w:rFonts w:asciiTheme="minorHAnsi" w:eastAsia="Calibri" w:hAnsiTheme="minorHAnsi" w:cstheme="minorHAnsi"/>
        </w:rPr>
        <w:t> </w:t>
      </w:r>
      <w:r w:rsidRPr="009E064B">
        <w:rPr>
          <w:rFonts w:asciiTheme="minorHAnsi" w:eastAsia="Calibri" w:hAnsiTheme="minorHAnsi" w:cstheme="minorHAnsi"/>
        </w:rPr>
        <w:t>/</w:t>
      </w:r>
      <w:r w:rsidR="00031883" w:rsidRPr="009E064B">
        <w:rPr>
          <w:rFonts w:asciiTheme="minorHAnsi" w:eastAsia="Calibri" w:hAnsiTheme="minorHAnsi" w:cstheme="minorHAnsi"/>
        </w:rPr>
        <w:t> </w:t>
      </w:r>
      <w:r w:rsidRPr="009E064B">
        <w:rPr>
          <w:rFonts w:asciiTheme="minorHAnsi" w:eastAsia="Calibri" w:hAnsiTheme="minorHAnsi" w:cstheme="minorHAnsi"/>
        </w:rPr>
        <w:t>na płycie postojowej;</w:t>
      </w:r>
    </w:p>
    <w:p w14:paraId="7D421607"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kwestie wyposażenia na płycie postojowej;</w:t>
      </w:r>
    </w:p>
    <w:p w14:paraId="6B54183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kwestie przestrzegania zasad ruchu pojazdów;</w:t>
      </w:r>
    </w:p>
    <w:p w14:paraId="14327BDC"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nowe i/lub zaktualizowane instrukcje bezpieczeństwa;</w:t>
      </w:r>
    </w:p>
    <w:p w14:paraId="6FC6541A" w14:textId="793D81D1"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(viii) </w:t>
      </w:r>
      <w:r w:rsidRPr="009E064B">
        <w:rPr>
          <w:rFonts w:asciiTheme="minorHAnsi" w:eastAsia="Calibri" w:hAnsiTheme="minorHAnsi" w:cstheme="minorHAnsi"/>
        </w:rPr>
        <w:tab/>
        <w:t>kwestie odzieży osobistej /</w:t>
      </w:r>
      <w:r w:rsidR="00031883" w:rsidRPr="009E064B">
        <w:rPr>
          <w:rFonts w:asciiTheme="minorHAnsi" w:eastAsia="Calibri" w:hAnsiTheme="minorHAnsi" w:cstheme="minorHAnsi"/>
        </w:rPr>
        <w:t> </w:t>
      </w:r>
      <w:r w:rsidRPr="009E064B">
        <w:rPr>
          <w:rFonts w:asciiTheme="minorHAnsi" w:eastAsia="Calibri" w:hAnsiTheme="minorHAnsi" w:cstheme="minorHAnsi"/>
        </w:rPr>
        <w:t>wyposażenia ochronnego;</w:t>
      </w:r>
    </w:p>
    <w:p w14:paraId="26955797"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(ix) </w:t>
      </w:r>
      <w:r w:rsidRPr="009E064B">
        <w:rPr>
          <w:rFonts w:asciiTheme="minorHAnsi" w:eastAsia="Calibri" w:hAnsiTheme="minorHAnsi" w:cstheme="minorHAnsi"/>
        </w:rPr>
        <w:tab/>
        <w:t>metody rozwoju i wspierania inicjatyw związanych ze świadomością bezpieczeństwa na płycie postojowej,</w:t>
      </w:r>
    </w:p>
    <w:p w14:paraId="4A4E164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 </w:t>
      </w:r>
      <w:r w:rsidRPr="009E064B">
        <w:rPr>
          <w:rFonts w:asciiTheme="minorHAnsi" w:eastAsia="Calibri" w:hAnsiTheme="minorHAnsi" w:cstheme="minorHAnsi"/>
        </w:rPr>
        <w:tab/>
        <w:t>kwestie oczyszczania ze śniegu i lodu;</w:t>
      </w:r>
    </w:p>
    <w:p w14:paraId="30BA1E4D"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(xi) </w:t>
      </w:r>
      <w:r w:rsidRPr="009E064B">
        <w:rPr>
          <w:rFonts w:asciiTheme="minorHAnsi" w:eastAsia="Calibri" w:hAnsiTheme="minorHAnsi" w:cstheme="minorHAnsi"/>
        </w:rPr>
        <w:tab/>
        <w:t>proponowane prace na lotnisku;</w:t>
      </w:r>
    </w:p>
    <w:p w14:paraId="6F294EC1" w14:textId="1359338A"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(xii) </w:t>
      </w:r>
      <w:r w:rsidRPr="009E064B">
        <w:rPr>
          <w:rFonts w:asciiTheme="minorHAnsi" w:eastAsia="Calibri" w:hAnsiTheme="minorHAnsi" w:cstheme="minorHAnsi"/>
        </w:rPr>
        <w:tab/>
        <w:t>proponowane zmiany</w:t>
      </w:r>
      <w:r w:rsidR="00874142" w:rsidRPr="009E064B">
        <w:rPr>
          <w:rFonts w:asciiTheme="minorHAnsi" w:eastAsia="Calibri" w:hAnsiTheme="minorHAnsi" w:cstheme="minorHAnsi"/>
        </w:rPr>
        <w:t> </w:t>
      </w:r>
      <w:r w:rsidRPr="009E064B">
        <w:rPr>
          <w:rFonts w:asciiTheme="minorHAnsi" w:eastAsia="Calibri" w:hAnsiTheme="minorHAnsi" w:cstheme="minorHAnsi"/>
        </w:rPr>
        <w:t>/</w:t>
      </w:r>
      <w:r w:rsidR="00874142" w:rsidRPr="009E064B">
        <w:rPr>
          <w:rFonts w:asciiTheme="minorHAnsi" w:eastAsia="Calibri" w:hAnsiTheme="minorHAnsi" w:cstheme="minorHAnsi"/>
        </w:rPr>
        <w:t> </w:t>
      </w:r>
      <w:r w:rsidRPr="009E064B">
        <w:rPr>
          <w:rFonts w:asciiTheme="minorHAnsi" w:eastAsia="Calibri" w:hAnsiTheme="minorHAnsi" w:cstheme="minorHAnsi"/>
        </w:rPr>
        <w:t>rozbudowa pola ruchu naziemnego;</w:t>
      </w:r>
    </w:p>
    <w:p w14:paraId="1EBF39B4" w14:textId="6BF25F4F" w:rsidR="002C4C40"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(xiii) </w:t>
      </w:r>
      <w:r w:rsidRPr="009E064B">
        <w:rPr>
          <w:rFonts w:asciiTheme="minorHAnsi" w:eastAsia="Calibri" w:hAnsiTheme="minorHAnsi" w:cstheme="minorHAnsi"/>
        </w:rPr>
        <w:tab/>
        <w:t>standardowe procedury operacyjne, itp.</w:t>
      </w:r>
    </w:p>
    <w:p w14:paraId="4C3F49DD" w14:textId="77777777" w:rsidR="002C4C40" w:rsidRDefault="002C4C40">
      <w:pPr>
        <w:spacing w:after="0"/>
        <w:jc w:val="left"/>
        <w:rPr>
          <w:rFonts w:asciiTheme="minorHAnsi" w:eastAsia="Calibri" w:hAnsiTheme="minorHAnsi" w:cstheme="minorHAnsi"/>
        </w:rPr>
      </w:pPr>
      <w:r>
        <w:rPr>
          <w:rFonts w:asciiTheme="minorHAnsi" w:eastAsia="Calibri" w:hAnsiTheme="minorHAnsi" w:cstheme="minorHAnsi"/>
        </w:rPr>
        <w:br w:type="page"/>
      </w:r>
    </w:p>
    <w:p w14:paraId="29155DF9" w14:textId="7D998171" w:rsidR="00AA7C09" w:rsidRPr="009E064B" w:rsidRDefault="00AA7C09" w:rsidP="00133B99">
      <w:pPr>
        <w:pStyle w:val="Nagwek6"/>
      </w:pPr>
      <w:bookmarkStart w:id="458" w:name="_GM2_ADR.OR.D.027_"/>
      <w:bookmarkStart w:id="459" w:name="_Toc492024659"/>
      <w:bookmarkStart w:id="460" w:name="_Toc12532753"/>
      <w:bookmarkEnd w:id="458"/>
      <w:r w:rsidRPr="009E064B">
        <w:t xml:space="preserve">GM2 ADR.OR.D.027    </w:t>
      </w:r>
      <w:r w:rsidR="004002F9" w:rsidRPr="009E064B">
        <w:t xml:space="preserve"> </w:t>
      </w:r>
      <w:r w:rsidRPr="009E064B">
        <w:t>Programy bezpieczeństwa</w:t>
      </w:r>
      <w:bookmarkEnd w:id="459"/>
      <w:bookmarkEnd w:id="460"/>
      <w:r w:rsidRPr="009E064B">
        <w:t xml:space="preserve"> </w:t>
      </w:r>
    </w:p>
    <w:p w14:paraId="33C2DA0C" w14:textId="43526B37"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533C7DD"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LOKALNY ZESPÓŁ DS. BEZPIECZEŃSTWA NA DRODZE STARTOWEJ</w:t>
      </w:r>
    </w:p>
    <w:p w14:paraId="3E874A6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Kontekst</w:t>
      </w:r>
    </w:p>
    <w:p w14:paraId="673DC7C0"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W ramach programu bezpieczeństwa na drodze startowej operator lotniska powinien ustanowić i prowadzić lokalny zespół ds. bezpieczeństwa na drodze startowej i działać w zakresie lokalnych kwestii dotyczących bezpieczeństwa na drodze startowej, w tym zapobiegania wtargnięciom na drogę startową (w tym pomylenie drogi startowej) i wypadnięciu statku powietrznego z drogi startowej.</w:t>
      </w:r>
    </w:p>
    <w:p w14:paraId="48250065"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Wtargnięcie na drogę startową jest zdefiniowane, jako „jakiekolwiek zdarzenie na lotnisku dotyczące nieuprawnionej obecności statku powietrznego, pojazdu lub osoby na chronionej powierzchni przeznaczonej do startów i lądowań statków powietrznych</w:t>
      </w:r>
      <w:r w:rsidRPr="009E064B">
        <w:rPr>
          <w:rFonts w:asciiTheme="minorHAnsi" w:eastAsia="Calibri" w:hAnsiTheme="minorHAnsi" w:cstheme="minorHAnsi"/>
          <w:vertAlign w:val="superscript"/>
        </w:rPr>
        <w:footnoteReference w:id="36"/>
      </w:r>
      <w:r w:rsidRPr="009E064B">
        <w:rPr>
          <w:rFonts w:asciiTheme="minorHAnsi" w:eastAsia="Calibri" w:hAnsiTheme="minorHAnsi" w:cstheme="minorHAnsi"/>
        </w:rPr>
        <w:t>”.</w:t>
      </w:r>
    </w:p>
    <w:p w14:paraId="4E8CEEE5"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Wypadnięcie statku powietrznego z drogi startowej ma miejsce, gdy „statek powietrzny zjedzie na bok lub wyjedzie poza koniec powierzchni drogi startowej podczas startu lub lądowania”.</w:t>
      </w:r>
    </w:p>
    <w:p w14:paraId="0FB5969E"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Skład lokalnego zespołu ds. bezpieczeństwa na drodze startowej</w:t>
      </w:r>
    </w:p>
    <w:p w14:paraId="445FF38E" w14:textId="77777777" w:rsidR="00AA7C09" w:rsidRPr="009E064B" w:rsidRDefault="00AA7C09"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Uczestnictwo w pracach zespołu powinno obejmować przedstawicieli wszystkich zainteresowanych stron bezpośrednio zaangażowanych w operacje na drodze startowej lotniska, obejmujące, lecz nieograniczone do:</w:t>
      </w:r>
    </w:p>
    <w:p w14:paraId="300F655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operacji lotniskowych;</w:t>
      </w:r>
    </w:p>
    <w:p w14:paraId="59B0149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inżynierii i obsługi technicznej lotniska;</w:t>
      </w:r>
    </w:p>
    <w:p w14:paraId="53120DF0"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instytucji zapewniających służby żeglugi powietrznej;</w:t>
      </w:r>
    </w:p>
    <w:p w14:paraId="76AD956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operatorów statków powietrznych, wykonujących operacje na lotnisku;</w:t>
      </w:r>
    </w:p>
    <w:p w14:paraId="7C49EC8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lotniskowych służb ratowniczo-gaśniczych;</w:t>
      </w:r>
    </w:p>
    <w:p w14:paraId="3B04F6E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kierowców posiadających dostęp do wjazdu na pole manewrowe.</w:t>
      </w:r>
    </w:p>
    <w:p w14:paraId="4880C46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Rola</w:t>
      </w:r>
    </w:p>
    <w:p w14:paraId="0EFA6328"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Rolą lokalnego zespołu ds. bezpieczeństwa na drodze startowej powinno być informowanie odpowiedniego kierownictwa o potencjalnych problemach bezpieczeństwa na drodze startowej oraz rekomendowanie środków łagodzących.</w:t>
      </w:r>
    </w:p>
    <w:p w14:paraId="36BAA59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Zadania</w:t>
      </w:r>
    </w:p>
    <w:p w14:paraId="316E4959" w14:textId="77777777" w:rsidR="00AA7C09" w:rsidRPr="009E064B" w:rsidRDefault="00AA7C09" w:rsidP="00B06A9A">
      <w:pPr>
        <w:widowControl/>
        <w:ind w:left="567"/>
        <w:rPr>
          <w:rFonts w:asciiTheme="minorHAnsi" w:eastAsia="Calibri" w:hAnsiTheme="minorHAnsi" w:cstheme="minorHAnsi"/>
        </w:rPr>
      </w:pPr>
      <w:r w:rsidRPr="009E064B">
        <w:rPr>
          <w:rFonts w:asciiTheme="minorHAnsi" w:eastAsia="Calibri" w:hAnsiTheme="minorHAnsi" w:cstheme="minorHAnsi"/>
        </w:rPr>
        <w:t>Lokalny zespół ds. bezpieczeństwa na drodze startowej może wykonywać następujące zadania:</w:t>
      </w:r>
    </w:p>
    <w:p w14:paraId="6F00B27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identyfikacja potencjalnych problemów bezpieczeństwa na drodze startowej, w tym konieczność określenia miejsc niebezpiecznych lub innych obszarów problemowych na lotnisku oraz przegląd odpowiednich zapisów w AIP pod kątem ich dokładności;</w:t>
      </w:r>
    </w:p>
    <w:p w14:paraId="08CBAF51" w14:textId="086467A4"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tworzenie i prowadzenie lokalnych kampanii informacyjnych, w odpowiednich okresach, w tym na początku sezonu dużego obciążenia pracą lub przed nadzwyczajnym wydarzeniem, które koncentrują się na sprawach lokalnych, na przykład na przygotowaniu i dystrybucji lokalnych map miejsc niebezpiecznych lub innych materiałów zawierających wytyczne uważane, jako niezbędne. Lokalne kampanie informacyjne powinny być okresowo powtarzane,</w:t>
      </w:r>
      <w:r w:rsidR="00371A8B" w:rsidRPr="009E064B">
        <w:rPr>
          <w:rFonts w:asciiTheme="minorHAnsi" w:eastAsia="Calibri" w:hAnsiTheme="minorHAnsi" w:cstheme="minorHAnsi"/>
        </w:rPr>
        <w:t xml:space="preserve"> aby utrzymać zainteresowanie i </w:t>
      </w:r>
      <w:r w:rsidRPr="009E064B">
        <w:rPr>
          <w:rFonts w:asciiTheme="minorHAnsi" w:eastAsia="Calibri" w:hAnsiTheme="minorHAnsi" w:cstheme="minorHAnsi"/>
        </w:rPr>
        <w:t>świadomość operacyjną wśród odpowiedniego personelu;</w:t>
      </w:r>
    </w:p>
    <w:p w14:paraId="09116483" w14:textId="5ADCD65B"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monitorowanie liczby, rodzaju i dotkliwości wtargnięć na drogę startową; rozpowszechnianie zaleceń bezpieczeństwa dostarczonych po badaniu wypadków i incydentów lotniczych, jak również innych odpowiednich wniosków wyni</w:t>
      </w:r>
      <w:r w:rsidR="00874142" w:rsidRPr="009E064B">
        <w:rPr>
          <w:rFonts w:asciiTheme="minorHAnsi" w:eastAsia="Calibri" w:hAnsiTheme="minorHAnsi" w:cstheme="minorHAnsi"/>
        </w:rPr>
        <w:t>kających np. z </w:t>
      </w:r>
      <w:r w:rsidRPr="009E064B">
        <w:rPr>
          <w:rFonts w:asciiTheme="minorHAnsi" w:eastAsia="Calibri" w:hAnsiTheme="minorHAnsi" w:cstheme="minorHAnsi"/>
        </w:rPr>
        <w:t>doświadczenia operacyjnego i dobrych praktyk łagodzenia ryzyka; dzielenie się dobrymi praktykami w celu zapobiegania wtargnięciom na drogę startową lub wypadnięciu statku powietrznego z drogi startowej;</w:t>
      </w:r>
    </w:p>
    <w:p w14:paraId="7B499DE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pomoc w weryfikacji, czy komunikacja między kontrolerami ruchu lotniczego lub innym personelem służb ruchu lotniczego, pilotami i kierowcami pojazdów jest zadowalająca, lub czy może sugerowane są jakieś ulepszenia;</w:t>
      </w:r>
    </w:p>
    <w:p w14:paraId="523B761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regularne prowadzenie obserwacji w różnych warunkach pogodowych i oświetlenia w celu dokonania oceny, czy wszystkie wjazdy na drogę startową i pomoce wzrokowe są odpowiednie, prawidłowo zlokalizowane i zrozumiałe dla wszystkich zainteresowanych stron, bez żadnej dwuznaczności, jeśli chodzi o ich znaczenie lub identyfikowanie potencjalnych problemów związanych z projektem lotniska;</w:t>
      </w:r>
    </w:p>
    <w:p w14:paraId="4E2F369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rozumienie trudności operacyjnych personelu pracującego w innych obszarach i rekomendowanie obszarów do poprawy; podczas przeglądu procedur operacyjnych konieczne jest zapewnienie, że procedury stosowane przez różne firmy na lotnisku są zintegrowane i skuteczne, tak, aby zminimalizować ryzyko wtargnięcia na drogę startową. Należy zachować ostrożność podczas badania istniejących lub proponowanych procedur zwiększających przepustowość drogi startowej lub projektów ograniczania hałasu obejmujących systemy preferencyjne drogi startowej;</w:t>
      </w:r>
    </w:p>
    <w:p w14:paraId="044E0298" w14:textId="63DC6D92"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opracowywanie wspólnych, wstępnych i okresowych programów szkolenia i zapoznawanie całego personelu (kierowców pojazdów i innych pracowników działających w polu manewrowym, pilotów, personelu służb ruchu lotniczego) w zakresie zapobiegania wtargnięciom na drogę startową lub wy</w:t>
      </w:r>
      <w:r w:rsidR="00874142" w:rsidRPr="009E064B">
        <w:rPr>
          <w:rFonts w:asciiTheme="minorHAnsi" w:eastAsia="Calibri" w:hAnsiTheme="minorHAnsi" w:cstheme="minorHAnsi"/>
        </w:rPr>
        <w:t>padnięciu statku powietrznego z </w:t>
      </w:r>
      <w:r w:rsidRPr="009E064B">
        <w:rPr>
          <w:rFonts w:asciiTheme="minorHAnsi" w:eastAsia="Calibri" w:hAnsiTheme="minorHAnsi" w:cstheme="minorHAnsi"/>
        </w:rPr>
        <w:t>drogi startowej. Może to obejmować wizyty na polu manewrowym w celu zwiększenia świadomości na temat układu lotniska, oznakowania poziomego, znaków pionowych, usytuowania anemometrów itp., tam, gdzie uznaje się to za konieczne;</w:t>
      </w:r>
    </w:p>
    <w:p w14:paraId="3FC63C7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udzielanie porad przed wdrożeniem zmian na lotnisku, praktyk i procedur w celu określenia możliwości występowania wtargnięć na drogę startową lub wypadnięcia statku powietrznego z drogi startowej; oraz</w:t>
      </w:r>
    </w:p>
    <w:p w14:paraId="330B54E3" w14:textId="156E430B"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okresowej oceny skuteczności wdrożonych rozwiązań operacyjnych.</w:t>
      </w:r>
    </w:p>
    <w:p w14:paraId="1589F55D" w14:textId="77777777" w:rsidR="00AB7A46" w:rsidRPr="009E064B" w:rsidRDefault="00AB7A46" w:rsidP="00133B99">
      <w:pPr>
        <w:pStyle w:val="Nagwek5"/>
      </w:pPr>
      <w:bookmarkStart w:id="461" w:name="_Toc492024657"/>
      <w:bookmarkStart w:id="462" w:name="_Toc12532754"/>
      <w:r w:rsidRPr="009E064B">
        <w:t>AMC2 ADR.OR.D.027     Programy bezpieczeństwa</w:t>
      </w:r>
      <w:bookmarkEnd w:id="461"/>
      <w:bookmarkEnd w:id="462"/>
      <w:r w:rsidRPr="009E064B">
        <w:t xml:space="preserve"> </w:t>
      </w:r>
    </w:p>
    <w:p w14:paraId="68969B91" w14:textId="3192D656" w:rsidR="00AB7A46" w:rsidRPr="009E064B" w:rsidRDefault="00D63D4F" w:rsidP="00AB7A46">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4DAFF03" w14:textId="77777777" w:rsidR="00AB7A46" w:rsidRPr="009E064B" w:rsidRDefault="00AB7A46" w:rsidP="00AB7A46">
      <w:pPr>
        <w:widowControl/>
        <w:rPr>
          <w:rFonts w:asciiTheme="minorHAnsi" w:eastAsia="Calibri" w:hAnsiTheme="minorHAnsi" w:cstheme="minorHAnsi"/>
        </w:rPr>
      </w:pPr>
      <w:r w:rsidRPr="009E064B">
        <w:rPr>
          <w:rFonts w:asciiTheme="minorHAnsi" w:eastAsia="Calibri" w:hAnsiTheme="minorHAnsi" w:cstheme="minorHAnsi"/>
        </w:rPr>
        <w:t>MIEJSCA NIEBEZPIECZNE</w:t>
      </w:r>
    </w:p>
    <w:p w14:paraId="1076012A" w14:textId="687548F9" w:rsidR="002C4C40" w:rsidRDefault="00AB7A46" w:rsidP="00AB7A46">
      <w:pPr>
        <w:widowControl/>
        <w:rPr>
          <w:rFonts w:asciiTheme="minorHAnsi" w:eastAsia="Calibri" w:hAnsiTheme="minorHAnsi" w:cstheme="minorHAnsi"/>
        </w:rPr>
      </w:pPr>
      <w:r w:rsidRPr="009E064B">
        <w:rPr>
          <w:rFonts w:asciiTheme="minorHAnsi" w:eastAsia="Calibri" w:hAnsiTheme="minorHAnsi" w:cstheme="minorHAnsi"/>
        </w:rPr>
        <w:t>Po tym jak miejsca niebezpieczne na lotnisku zostały zidentyfikowane, odpowiednie strategie powinny być wdrożone w celu usunięcia zagrożenia, a gdy nie jest to od razu możliwe, do zarządzania i łagodzenia ryzyka, w tym publikacji map miejsc niebezpiecznych w Zbiorze Informacji Lotniczych.</w:t>
      </w:r>
    </w:p>
    <w:p w14:paraId="767D6AA5" w14:textId="77777777" w:rsidR="002C4C40" w:rsidRDefault="002C4C40">
      <w:pPr>
        <w:spacing w:after="0"/>
        <w:jc w:val="left"/>
        <w:rPr>
          <w:rFonts w:asciiTheme="minorHAnsi" w:eastAsia="Calibri" w:hAnsiTheme="minorHAnsi" w:cstheme="minorHAnsi"/>
        </w:rPr>
      </w:pPr>
      <w:r>
        <w:rPr>
          <w:rFonts w:asciiTheme="minorHAnsi" w:eastAsia="Calibri" w:hAnsiTheme="minorHAnsi" w:cstheme="minorHAnsi"/>
        </w:rPr>
        <w:br w:type="page"/>
      </w:r>
    </w:p>
    <w:p w14:paraId="54C45B42" w14:textId="6E19F53C" w:rsidR="00AA7C09" w:rsidRPr="009E064B" w:rsidRDefault="00AA7C09" w:rsidP="00133B99">
      <w:pPr>
        <w:pStyle w:val="Nagwek6"/>
      </w:pPr>
      <w:bookmarkStart w:id="463" w:name="_Toc492024660"/>
      <w:bookmarkStart w:id="464" w:name="_Toc12532755"/>
      <w:r w:rsidRPr="009E064B">
        <w:t xml:space="preserve">GM3 ADR.OR.D.027    </w:t>
      </w:r>
      <w:r w:rsidR="004002F9" w:rsidRPr="009E064B">
        <w:t xml:space="preserve"> </w:t>
      </w:r>
      <w:r w:rsidRPr="009E064B">
        <w:t>Programy bezpieczeństwa</w:t>
      </w:r>
      <w:bookmarkEnd w:id="463"/>
      <w:bookmarkEnd w:id="464"/>
      <w:r w:rsidRPr="009E064B">
        <w:t xml:space="preserve"> </w:t>
      </w:r>
    </w:p>
    <w:p w14:paraId="0BEDE82B" w14:textId="05C19A5A"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0F07065"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MIEJSCA NIEBEZPIECZNE</w:t>
      </w:r>
    </w:p>
    <w:p w14:paraId="6314A410"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Miejsce niebezpieczne jest zdefiniowane, jako „miejsce w polu ruchu naziemnego lotniska, w którym wystąpiły lub istnieje podwyższone ryzyko wystąpienia kolizji lub wtargnięcia na drogę startową, oraz w którym niezbędne jest zachowanie przez pilotów/kierowców wzmożonej uwagi”.</w:t>
      </w:r>
    </w:p>
    <w:p w14:paraId="29E6DDB2"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Strategie dotyczące zarządzania i łagodzenia ryzyka związanego z miejscami niebezpiecznymi, w zależności od przypadku, mogą obejmować, lecz nie ograniczają się do:</w:t>
      </w:r>
    </w:p>
    <w:p w14:paraId="18D3AE03"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kampanii informacyjnych;</w:t>
      </w:r>
    </w:p>
    <w:p w14:paraId="0BC7735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dodatkowych pomocy wzrokowych (znaki pionowe, oznakowanie poziome i system świetlny);</w:t>
      </w:r>
    </w:p>
    <w:p w14:paraId="7DA0D107"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ustanowienie alternatywnych przebiegów tras;</w:t>
      </w:r>
    </w:p>
    <w:p w14:paraId="1D80067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wprowadzenie zmian do projektu części lotniska; oraz</w:t>
      </w:r>
    </w:p>
    <w:p w14:paraId="53859026"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ograniczanie martwych pól obserwacji z wieży kontroli lotniska.</w:t>
      </w:r>
    </w:p>
    <w:p w14:paraId="45F7D81F" w14:textId="7AB07D3D"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Mapy lotniska obrazujące miejsca niebezpieczne powinny być opracowywane lokalnie, regularnie sprawdzane pod względem dokładności, zmienione w razie potrzeby, rozprowadzane lokalnie i opublikowane w AIP. Kryteria stosowane w celu ustalenia i sporządzenia mapy miejsc kryt</w:t>
      </w:r>
      <w:r w:rsidR="006D6289" w:rsidRPr="009E064B">
        <w:rPr>
          <w:rFonts w:asciiTheme="minorHAnsi" w:eastAsia="Calibri" w:hAnsiTheme="minorHAnsi" w:cstheme="minorHAnsi"/>
        </w:rPr>
        <w:t>ycznych są zawarte w PANS-ATM (R</w:t>
      </w:r>
      <w:r w:rsidRPr="009E064B">
        <w:rPr>
          <w:rFonts w:asciiTheme="minorHAnsi" w:eastAsia="Calibri" w:hAnsiTheme="minorHAnsi" w:cstheme="minorHAnsi"/>
        </w:rPr>
        <w:t xml:space="preserve">ozdział 7) oraz w Załączniku 4 </w:t>
      </w:r>
      <w:r w:rsidR="00544DF6" w:rsidRPr="009E064B">
        <w:rPr>
          <w:rFonts w:asciiTheme="minorHAnsi" w:eastAsia="Calibri" w:hAnsiTheme="minorHAnsi" w:cstheme="minorHAnsi"/>
        </w:rPr>
        <w:t>ICAO „</w:t>
      </w:r>
      <w:r w:rsidRPr="009E064B">
        <w:rPr>
          <w:rFonts w:asciiTheme="minorHAnsi" w:eastAsia="Calibri" w:hAnsiTheme="minorHAnsi" w:cstheme="minorHAnsi"/>
        </w:rPr>
        <w:t>Mapy lotnicze</w:t>
      </w:r>
      <w:r w:rsidR="00544DF6" w:rsidRPr="009E064B">
        <w:rPr>
          <w:rFonts w:asciiTheme="minorHAnsi" w:eastAsia="Calibri" w:hAnsiTheme="minorHAnsi" w:cstheme="minorHAnsi"/>
        </w:rPr>
        <w:t>”</w:t>
      </w:r>
      <w:r w:rsidR="006D6289" w:rsidRPr="009E064B">
        <w:rPr>
          <w:rFonts w:asciiTheme="minorHAnsi" w:eastAsia="Calibri" w:hAnsiTheme="minorHAnsi" w:cstheme="minorHAnsi"/>
        </w:rPr>
        <w:t xml:space="preserve"> (R</w:t>
      </w:r>
      <w:r w:rsidRPr="009E064B">
        <w:rPr>
          <w:rFonts w:asciiTheme="minorHAnsi" w:eastAsia="Calibri" w:hAnsiTheme="minorHAnsi" w:cstheme="minorHAnsi"/>
        </w:rPr>
        <w:t>ozdziały 13, 14 i 15).</w:t>
      </w:r>
    </w:p>
    <w:p w14:paraId="502B00B1" w14:textId="7D42CAF2"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Przykłady ilustrowania miejsc krytyczn</w:t>
      </w:r>
      <w:r w:rsidR="000E0B48" w:rsidRPr="009E064B">
        <w:rPr>
          <w:rFonts w:asciiTheme="minorHAnsi" w:eastAsia="Calibri" w:hAnsiTheme="minorHAnsi" w:cstheme="minorHAnsi"/>
        </w:rPr>
        <w:t>ych na mapach przedstawiono na R</w:t>
      </w:r>
      <w:r w:rsidRPr="009E064B">
        <w:rPr>
          <w:rFonts w:asciiTheme="minorHAnsi" w:eastAsia="Calibri" w:hAnsiTheme="minorHAnsi" w:cstheme="minorHAnsi"/>
        </w:rPr>
        <w:t>ysunkach 1, 2 i 3 poniżej.</w:t>
      </w:r>
    </w:p>
    <w:p w14:paraId="1CC66191" w14:textId="77777777" w:rsidR="00AA7C09" w:rsidRPr="009E064B" w:rsidRDefault="00AA7C09" w:rsidP="00B06A9A">
      <w:pPr>
        <w:widowControl/>
        <w:rPr>
          <w:rFonts w:asciiTheme="minorHAnsi" w:eastAsia="Calibri" w:hAnsiTheme="minorHAnsi" w:cstheme="minorHAnsi"/>
        </w:rPr>
      </w:pPr>
    </w:p>
    <w:p w14:paraId="0199B44C"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noProof/>
          <w:lang w:eastAsia="pl-PL"/>
        </w:rPr>
        <mc:AlternateContent>
          <mc:Choice Requires="wpc">
            <w:drawing>
              <wp:inline distT="0" distB="0" distL="0" distR="0" wp14:anchorId="1A8E64AD" wp14:editId="4A8F0141">
                <wp:extent cx="5755005" cy="7728585"/>
                <wp:effectExtent l="5080" t="0" r="2540" b="10160"/>
                <wp:docPr id="504" name="Kanwa 5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428" name="Picture 50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1355" cy="773557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1101C56" id="Kanwa 504" o:spid="_x0000_s1026" editas="canvas" style="width:453.15pt;height:608.55pt;mso-position-horizontal-relative:char;mso-position-vertical-relative:line" coordsize="57550,77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50;height:77285;visibility:visible;mso-wrap-style:square">
                  <v:fill o:detectmouseclick="t"/>
                  <v:path o:connecttype="none"/>
                </v:shape>
                <v:shape id="Picture 506" o:spid="_x0000_s1028" type="#_x0000_t75" style="position:absolute;width:57613;height:7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">
                  <v:imagedata r:id="rId62" o:title=""/>
                </v:shape>
                <w10:anchorlock/>
              </v:group>
            </w:pict>
          </mc:Fallback>
        </mc:AlternateContent>
      </w:r>
    </w:p>
    <w:p w14:paraId="00A67911" w14:textId="77777777" w:rsidR="00AA7C09" w:rsidRPr="009E064B" w:rsidRDefault="00AA7C09" w:rsidP="00874142">
      <w:pPr>
        <w:widowControl/>
        <w:spacing w:after="0"/>
        <w:rPr>
          <w:rFonts w:asciiTheme="minorHAnsi" w:eastAsia="Calibri" w:hAnsiTheme="minorHAnsi" w:cstheme="minorHAnsi"/>
        </w:rPr>
      </w:pPr>
    </w:p>
    <w:p w14:paraId="0D7F3029" w14:textId="77777777" w:rsidR="00AA7C09" w:rsidRPr="00CE4A3E" w:rsidRDefault="00AA7C09" w:rsidP="00B06A9A">
      <w:pPr>
        <w:widowControl/>
        <w:jc w:val="center"/>
        <w:rPr>
          <w:rFonts w:asciiTheme="minorHAnsi" w:eastAsia="Calibri" w:hAnsiTheme="minorHAnsi" w:cstheme="minorHAnsi"/>
          <w:b/>
          <w:sz w:val="20"/>
        </w:rPr>
      </w:pPr>
      <w:r w:rsidRPr="00CE4A3E">
        <w:rPr>
          <w:rFonts w:asciiTheme="minorHAnsi" w:eastAsia="Calibri" w:hAnsiTheme="minorHAnsi" w:cstheme="minorHAnsi"/>
          <w:b/>
          <w:sz w:val="20"/>
        </w:rPr>
        <w:t>Rysunek 1</w:t>
      </w:r>
    </w:p>
    <w:p w14:paraId="63674F99" w14:textId="49776E3F" w:rsidR="00033143" w:rsidRPr="009E064B" w:rsidRDefault="00033143">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05CD38F0" w14:textId="77777777" w:rsidR="00AA7C09" w:rsidRPr="009E064B" w:rsidRDefault="00AA7C09" w:rsidP="00B06A9A">
      <w:pPr>
        <w:widowControl/>
        <w:rPr>
          <w:rFonts w:asciiTheme="minorHAnsi" w:eastAsia="Calibri" w:hAnsiTheme="minorHAnsi" w:cstheme="minorHAnsi"/>
        </w:rPr>
      </w:pPr>
    </w:p>
    <w:p w14:paraId="0A53F495" w14:textId="77777777" w:rsidR="00AA7C09" w:rsidRPr="009E064B" w:rsidRDefault="00AA7C09" w:rsidP="00B06A9A">
      <w:pPr>
        <w:widowControl/>
        <w:rPr>
          <w:rFonts w:asciiTheme="minorHAnsi" w:eastAsia="Calibri" w:hAnsiTheme="minorHAnsi" w:cstheme="minorHAnsi"/>
        </w:rPr>
      </w:pPr>
    </w:p>
    <w:p w14:paraId="51DAACA7" w14:textId="6A726058" w:rsidR="00AA7C09" w:rsidRPr="009E064B" w:rsidRDefault="000D3962" w:rsidP="00B06A9A">
      <w:pPr>
        <w:widowControl/>
        <w:rPr>
          <w:rFonts w:asciiTheme="minorHAnsi" w:eastAsia="Calibri" w:hAnsiTheme="minorHAnsi" w:cstheme="minorHAnsi"/>
        </w:rPr>
      </w:pPr>
      <w:r w:rsidRPr="009E064B">
        <w:rPr>
          <w:noProof/>
          <w:lang w:eastAsia="pl-PL"/>
        </w:rPr>
        <w:drawing>
          <wp:inline distT="0" distB="0" distL="0" distR="0" wp14:anchorId="74FEBB26" wp14:editId="6B2FFA72">
            <wp:extent cx="5759450" cy="5412055"/>
            <wp:effectExtent l="0" t="0" r="0" b="0"/>
            <wp:docPr id="3776" name="Obraz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9450" cy="5412055"/>
                    </a:xfrm>
                    <a:prstGeom prst="rect">
                      <a:avLst/>
                    </a:prstGeom>
                    <a:noFill/>
                    <a:ln>
                      <a:noFill/>
                    </a:ln>
                  </pic:spPr>
                </pic:pic>
              </a:graphicData>
            </a:graphic>
          </wp:inline>
        </w:drawing>
      </w:r>
    </w:p>
    <w:p w14:paraId="4D1E692B" w14:textId="77777777" w:rsidR="00AA7C09" w:rsidRPr="009E064B" w:rsidRDefault="00AA7C09" w:rsidP="00B06A9A">
      <w:pPr>
        <w:widowControl/>
        <w:jc w:val="center"/>
        <w:rPr>
          <w:rFonts w:asciiTheme="minorHAnsi" w:eastAsia="Calibri" w:hAnsiTheme="minorHAnsi" w:cstheme="minorHAnsi"/>
        </w:rPr>
      </w:pPr>
    </w:p>
    <w:p w14:paraId="799DDB76" w14:textId="77777777" w:rsidR="00CE4A3E" w:rsidRDefault="00AA7C09" w:rsidP="00B06A9A">
      <w:pPr>
        <w:widowControl/>
        <w:jc w:val="center"/>
        <w:rPr>
          <w:rFonts w:asciiTheme="minorHAnsi" w:eastAsia="Calibri" w:hAnsiTheme="minorHAnsi" w:cstheme="minorHAnsi"/>
          <w:b/>
        </w:rPr>
      </w:pPr>
      <w:r w:rsidRPr="00CE4A3E">
        <w:rPr>
          <w:rFonts w:asciiTheme="minorHAnsi" w:eastAsia="Calibri" w:hAnsiTheme="minorHAnsi" w:cstheme="minorHAnsi"/>
          <w:b/>
          <w:sz w:val="20"/>
        </w:rPr>
        <w:t>Rysunek 2</w:t>
      </w:r>
    </w:p>
    <w:p w14:paraId="22B5830B" w14:textId="6777CA6E" w:rsidR="00AA7C09" w:rsidRPr="00CE4A3E" w:rsidRDefault="00AA7C09" w:rsidP="00B06A9A">
      <w:pPr>
        <w:widowControl/>
        <w:jc w:val="center"/>
        <w:rPr>
          <w:rFonts w:asciiTheme="minorHAnsi" w:eastAsia="Calibri" w:hAnsiTheme="minorHAnsi" w:cstheme="minorHAnsi"/>
          <w:b/>
        </w:rPr>
      </w:pPr>
      <w:r w:rsidRPr="00CE4A3E">
        <w:rPr>
          <w:rFonts w:asciiTheme="minorHAnsi" w:eastAsia="Calibri" w:hAnsiTheme="minorHAnsi" w:cstheme="minorHAnsi"/>
          <w:b/>
        </w:rPr>
        <w:br w:type="page"/>
      </w:r>
    </w:p>
    <w:p w14:paraId="28711078" w14:textId="23A572E8" w:rsidR="00AA7C09" w:rsidRPr="009E064B" w:rsidRDefault="00AA7C09" w:rsidP="00B06A9A">
      <w:pPr>
        <w:widowControl/>
        <w:jc w:val="left"/>
        <w:rPr>
          <w:rFonts w:asciiTheme="minorHAnsi" w:eastAsia="Calibri" w:hAnsiTheme="minorHAnsi" w:cstheme="minorHAnsi"/>
        </w:rPr>
      </w:pPr>
    </w:p>
    <w:p w14:paraId="1D35E116" w14:textId="77777777" w:rsidR="00CF4019" w:rsidRPr="009E064B" w:rsidRDefault="00CF4019" w:rsidP="00B06A9A">
      <w:pPr>
        <w:widowControl/>
        <w:jc w:val="left"/>
        <w:rPr>
          <w:rFonts w:asciiTheme="minorHAnsi" w:eastAsia="Calibri" w:hAnsiTheme="minorHAnsi" w:cstheme="minorHAnsi"/>
        </w:rPr>
      </w:pPr>
    </w:p>
    <w:p w14:paraId="14918C69" w14:textId="6BE3F746" w:rsidR="00AA7C09" w:rsidRPr="009E064B" w:rsidRDefault="004611AA" w:rsidP="00B06A9A">
      <w:pPr>
        <w:widowControl/>
        <w:jc w:val="left"/>
        <w:rPr>
          <w:rFonts w:asciiTheme="minorHAnsi" w:eastAsia="Calibri" w:hAnsiTheme="minorHAnsi" w:cstheme="minorHAnsi"/>
        </w:rPr>
      </w:pPr>
      <w:r w:rsidRPr="009E064B">
        <w:rPr>
          <w:noProof/>
          <w:lang w:eastAsia="pl-PL"/>
        </w:rPr>
        <w:drawing>
          <wp:inline distT="0" distB="0" distL="0" distR="0" wp14:anchorId="7CF7238A" wp14:editId="2AA7CD78">
            <wp:extent cx="5759450" cy="6099207"/>
            <wp:effectExtent l="0" t="0" r="0" b="0"/>
            <wp:docPr id="3777" name="Obraz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6099207"/>
                    </a:xfrm>
                    <a:prstGeom prst="rect">
                      <a:avLst/>
                    </a:prstGeom>
                    <a:noFill/>
                    <a:ln>
                      <a:noFill/>
                    </a:ln>
                  </pic:spPr>
                </pic:pic>
              </a:graphicData>
            </a:graphic>
          </wp:inline>
        </w:drawing>
      </w:r>
    </w:p>
    <w:p w14:paraId="2EC45031" w14:textId="77777777" w:rsidR="00AA7C09" w:rsidRPr="00CE4A3E" w:rsidRDefault="00AA7C09" w:rsidP="00B06A9A">
      <w:pPr>
        <w:widowControl/>
        <w:spacing w:before="240"/>
        <w:jc w:val="center"/>
        <w:rPr>
          <w:rFonts w:asciiTheme="minorHAnsi" w:eastAsia="Calibri" w:hAnsiTheme="minorHAnsi" w:cstheme="minorHAnsi"/>
          <w:b/>
        </w:rPr>
      </w:pPr>
      <w:r w:rsidRPr="00CE4A3E">
        <w:rPr>
          <w:rFonts w:asciiTheme="minorHAnsi" w:eastAsia="Calibri" w:hAnsiTheme="minorHAnsi" w:cstheme="minorHAnsi"/>
          <w:b/>
          <w:sz w:val="20"/>
        </w:rPr>
        <w:t>Rysunek 3</w:t>
      </w:r>
    </w:p>
    <w:p w14:paraId="3C453C8C" w14:textId="371EE83F" w:rsidR="005A15D7" w:rsidRPr="009E064B" w:rsidRDefault="005A15D7">
      <w:pPr>
        <w:spacing w:after="0"/>
        <w:jc w:val="left"/>
        <w:rPr>
          <w:rFonts w:asciiTheme="minorHAnsi" w:eastAsia="Times New Roman" w:hAnsiTheme="minorHAnsi" w:cstheme="minorHAnsi"/>
          <w:szCs w:val="20"/>
        </w:rPr>
      </w:pPr>
      <w:r w:rsidRPr="009E064B">
        <w:rPr>
          <w:rFonts w:asciiTheme="minorHAnsi" w:hAnsiTheme="minorHAnsi" w:cstheme="minorHAnsi"/>
          <w:szCs w:val="20"/>
        </w:rPr>
        <w:br w:type="page"/>
      </w:r>
    </w:p>
    <w:p w14:paraId="47308B0B" w14:textId="4996AA48" w:rsidR="00DC7DA6" w:rsidRPr="009E064B" w:rsidRDefault="00DE05DC" w:rsidP="00B06A9A">
      <w:pPr>
        <w:pStyle w:val="Nagwek3"/>
      </w:pPr>
      <w:bookmarkStart w:id="465" w:name="_Toc12532756"/>
      <w:r w:rsidRPr="009E064B">
        <w:t xml:space="preserve">ADR.OR.D.030 </w:t>
      </w:r>
      <w:r w:rsidR="004002F9" w:rsidRPr="009E064B">
        <w:t xml:space="preserve">    </w:t>
      </w:r>
      <w:r w:rsidRPr="009E064B">
        <w:t>System zgłaszania spraw związanych z bezpieczeństwem</w:t>
      </w:r>
      <w:bookmarkEnd w:id="465"/>
    </w:p>
    <w:p w14:paraId="2C530A13" w14:textId="68B4B467"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8B65605" w14:textId="6ED34E32"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Aby promować bezpieczeństwo na lotnisku oraz jego bezpieczne użytkowanie, operator lotniska ustanawia i wdraża system zgłaszania spraw związanych z bezpieczeństwem na potrzeby wszystkich pracownik</w:t>
      </w:r>
      <w:r w:rsidR="00DC418E" w:rsidRPr="009E064B">
        <w:rPr>
          <w:rFonts w:asciiTheme="minorHAnsi" w:hAnsiTheme="minorHAnsi" w:cstheme="minorHAnsi"/>
          <w:sz w:val="22"/>
          <w:szCs w:val="20"/>
        </w:rPr>
        <w:t>ów i organizacji działa</w:t>
      </w:r>
      <w:r w:rsidR="00DE05DC" w:rsidRPr="009E064B">
        <w:rPr>
          <w:rFonts w:asciiTheme="minorHAnsi" w:hAnsiTheme="minorHAnsi" w:cstheme="minorHAnsi"/>
          <w:sz w:val="22"/>
          <w:szCs w:val="20"/>
        </w:rPr>
        <w:t>jących lub świadczących usługi na terenie lotniska.</w:t>
      </w:r>
    </w:p>
    <w:p w14:paraId="560EAC7F" w14:textId="6A8F6E96"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Operator lotniska, zgodnie z </w:t>
      </w:r>
      <w:hyperlink w:anchor="_ADR.OR.D.005__" w:history="1">
        <w:r w:rsidR="00DE05DC" w:rsidRPr="009E064B">
          <w:rPr>
            <w:rStyle w:val="Hipercze"/>
            <w:rFonts w:asciiTheme="minorHAnsi" w:hAnsiTheme="minorHAnsi" w:cstheme="minorHAnsi"/>
            <w:sz w:val="22"/>
            <w:szCs w:val="20"/>
          </w:rPr>
          <w:t>ADR.OR.D.005</w:t>
        </w:r>
      </w:hyperlink>
      <w:r w:rsidR="00DE05DC" w:rsidRPr="009E064B">
        <w:rPr>
          <w:rFonts w:asciiTheme="minorHAnsi" w:hAnsiTheme="minorHAnsi" w:cstheme="minorHAnsi"/>
          <w:sz w:val="22"/>
          <w:szCs w:val="20"/>
        </w:rPr>
        <w:t xml:space="preserve"> lit. </w:t>
      </w:r>
      <w:r w:rsidRPr="009E064B">
        <w:rPr>
          <w:rFonts w:asciiTheme="minorHAnsi" w:hAnsiTheme="minorHAnsi" w:cstheme="minorHAnsi"/>
          <w:sz w:val="22"/>
          <w:szCs w:val="20"/>
        </w:rPr>
        <w:t>(</w:t>
      </w:r>
      <w:r w:rsidR="00DE05DC" w:rsidRPr="009E064B">
        <w:rPr>
          <w:rFonts w:asciiTheme="minorHAnsi" w:hAnsiTheme="minorHAnsi" w:cstheme="minorHAnsi"/>
          <w:sz w:val="22"/>
          <w:szCs w:val="20"/>
        </w:rPr>
        <w:t xml:space="preserve">b) pkt </w:t>
      </w:r>
      <w:r w:rsidR="00544DF6" w:rsidRPr="009E064B">
        <w:rPr>
          <w:rFonts w:asciiTheme="minorHAnsi" w:hAnsiTheme="minorHAnsi" w:cstheme="minorHAnsi"/>
          <w:sz w:val="22"/>
          <w:szCs w:val="20"/>
        </w:rPr>
        <w:t>(</w:t>
      </w:r>
      <w:r w:rsidR="00DE05DC" w:rsidRPr="009E064B">
        <w:rPr>
          <w:rFonts w:asciiTheme="minorHAnsi" w:hAnsiTheme="minorHAnsi" w:cstheme="minorHAnsi"/>
          <w:sz w:val="22"/>
          <w:szCs w:val="20"/>
        </w:rPr>
        <w:t>3</w:t>
      </w:r>
      <w:r w:rsidR="00544DF6" w:rsidRPr="009E064B">
        <w:rPr>
          <w:rFonts w:asciiTheme="minorHAnsi" w:hAnsiTheme="minorHAnsi" w:cstheme="minorHAnsi"/>
          <w:sz w:val="22"/>
          <w:szCs w:val="20"/>
        </w:rPr>
        <w:t>)</w:t>
      </w:r>
      <w:r w:rsidR="00DE05DC" w:rsidRPr="009E064B">
        <w:rPr>
          <w:rFonts w:asciiTheme="minorHAnsi" w:hAnsiTheme="minorHAnsi" w:cstheme="minorHAnsi"/>
          <w:sz w:val="22"/>
          <w:szCs w:val="20"/>
        </w:rPr>
        <w:t>, musi:</w:t>
      </w:r>
    </w:p>
    <w:p w14:paraId="0BFC6433" w14:textId="48B2B2EB"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wymagać od pracowników i organizacji, o których mowa w lit. </w:t>
      </w:r>
      <w:r w:rsidR="00544DF6"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a), używania systemu zgłaszania spraw związanych z bezpieczeństwem do celów obowiązkowego zgłaszania wszelkich wypadków, poważnych incydentów i zdarzeń; oraz</w:t>
      </w:r>
    </w:p>
    <w:p w14:paraId="6C9CA6C1" w14:textId="420566AC"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zapewnić, by system zgłaszania spraw związanych z bezpieczeństwem mógł być wykorzystywany do dobrowolnego zgłaszania wszelkich defektów, wad i zagrożeń dla bezpieczeństwa mogących mieć wpływ na bezpieczeństwo.</w:t>
      </w:r>
    </w:p>
    <w:p w14:paraId="50B63D16" w14:textId="6440AFF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3C4611" w:rsidRPr="009E064B">
        <w:rPr>
          <w:rFonts w:asciiTheme="minorHAnsi" w:hAnsiTheme="minorHAnsi" w:cstheme="minorHAnsi"/>
          <w:sz w:val="22"/>
          <w:szCs w:val="20"/>
        </w:rPr>
        <w:t xml:space="preserve">System </w:t>
      </w:r>
      <w:r w:rsidR="00DE05DC" w:rsidRPr="009E064B">
        <w:rPr>
          <w:rFonts w:asciiTheme="minorHAnsi" w:hAnsiTheme="minorHAnsi" w:cstheme="minorHAnsi"/>
          <w:sz w:val="22"/>
          <w:szCs w:val="20"/>
        </w:rPr>
        <w:t>zgłaszania spraw związanych z bezpieczeństwem musi chronić tożsamość osób zgłaszających, zachęcać do dobrowolnego przekazywania zgłoszeń i zapewniać możliwość przekazywania ich w sposób anonimowy.</w:t>
      </w:r>
    </w:p>
    <w:p w14:paraId="7A52624F" w14:textId="20ABB4FB"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49185C" w:rsidRPr="009E064B">
        <w:rPr>
          <w:rFonts w:asciiTheme="minorHAnsi" w:hAnsiTheme="minorHAnsi" w:cstheme="minorHAnsi"/>
          <w:sz w:val="22"/>
          <w:szCs w:val="20"/>
        </w:rPr>
        <w:t>Operator</w:t>
      </w:r>
      <w:r w:rsidR="00DE05DC" w:rsidRPr="009E064B">
        <w:rPr>
          <w:rFonts w:asciiTheme="minorHAnsi" w:hAnsiTheme="minorHAnsi" w:cstheme="minorHAnsi"/>
          <w:sz w:val="22"/>
          <w:szCs w:val="20"/>
        </w:rPr>
        <w:t xml:space="preserve"> lotniska:</w:t>
      </w:r>
    </w:p>
    <w:p w14:paraId="4592716D" w14:textId="764ACCA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rejestruje wszystkie zgłoszenia;</w:t>
      </w:r>
    </w:p>
    <w:p w14:paraId="1E163ED6" w14:textId="2E995FAF"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analizuje i ocenia zgłoszenia, stosownie do przypadku, w celu eliminowania niedociągnięć w zakresie bezpieczeństwa i określania trendów;</w:t>
      </w:r>
    </w:p>
    <w:p w14:paraId="56756238" w14:textId="4CF887B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zapewnia, by wszystkie organizacje działające lub zapewniające służby na terenie lotniska, które mają wpływ na poziom bezpieczeństwa, uczestniczyły w analizie tych zgłoszeń oraz by wszelkie ustalone działania naprawcze i/lub zapobiegawcze były realizowane;</w:t>
      </w:r>
    </w:p>
    <w:p w14:paraId="7045ED4F" w14:textId="757BCB8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3C4611" w:rsidRPr="009E064B">
        <w:rPr>
          <w:rFonts w:asciiTheme="minorHAnsi" w:eastAsia="Times New Roman" w:hAnsiTheme="minorHAnsi" w:cstheme="minorHAnsi"/>
          <w:szCs w:val="20"/>
        </w:rPr>
        <w:t xml:space="preserve">w stosownych </w:t>
      </w:r>
      <w:r w:rsidR="00DE05DC" w:rsidRPr="009E064B">
        <w:rPr>
          <w:rFonts w:asciiTheme="minorHAnsi" w:eastAsia="Times New Roman" w:hAnsiTheme="minorHAnsi" w:cstheme="minorHAnsi"/>
          <w:szCs w:val="20"/>
        </w:rPr>
        <w:t>przypadkach, przeprowadza dochodzenia na podstawie zgłoszeń; oraz</w:t>
      </w:r>
    </w:p>
    <w:p w14:paraId="45ADF047" w14:textId="293BD588"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5)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powstrzymuje się od przypisywania winy zgodnie z zasadami „</w:t>
      </w:r>
      <w:r w:rsidR="00DE05DC" w:rsidRPr="009E064B">
        <w:rPr>
          <w:rFonts w:asciiTheme="minorHAnsi" w:eastAsia="Times New Roman" w:hAnsiTheme="minorHAnsi" w:cstheme="minorHAnsi"/>
          <w:i/>
          <w:szCs w:val="20"/>
        </w:rPr>
        <w:t>just culture</w:t>
      </w:r>
      <w:r w:rsidR="00DE05DC" w:rsidRPr="009E064B">
        <w:rPr>
          <w:rFonts w:asciiTheme="minorHAnsi" w:eastAsia="Times New Roman" w:hAnsiTheme="minorHAnsi" w:cstheme="minorHAnsi"/>
          <w:szCs w:val="20"/>
        </w:rPr>
        <w:t>”.</w:t>
      </w:r>
    </w:p>
    <w:p w14:paraId="3CE7A1F2" w14:textId="3E70136B" w:rsidR="00AA7C09" w:rsidRPr="009E064B" w:rsidRDefault="00AA7C09" w:rsidP="00133B99">
      <w:pPr>
        <w:pStyle w:val="Nagwek5"/>
      </w:pPr>
      <w:bookmarkStart w:id="466" w:name="_Toc492024661"/>
      <w:bookmarkStart w:id="467" w:name="_Toc12532757"/>
      <w:r w:rsidRPr="009E064B">
        <w:t xml:space="preserve">AMC1 ADR.OR.D.030    </w:t>
      </w:r>
      <w:r w:rsidR="004002F9" w:rsidRPr="009E064B">
        <w:t xml:space="preserve"> </w:t>
      </w:r>
      <w:r w:rsidRPr="009E064B">
        <w:t>System zgłaszania spraw związanych z bezpieczeństwem</w:t>
      </w:r>
      <w:bookmarkEnd w:id="466"/>
      <w:bookmarkEnd w:id="467"/>
    </w:p>
    <w:p w14:paraId="1D3C85B3" w14:textId="31157B5A"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5E1F420"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SYSTEM ZGŁASZANIA SPRAW ZWIĄZANYCH Z BEZPIECZEŃSTWEM</w:t>
      </w:r>
    </w:p>
    <w:p w14:paraId="385F5022" w14:textId="068AE728"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System zgłaszania spraw związanych z bezpieczeństwem — </w:t>
      </w:r>
      <w:r w:rsidR="009B0A08" w:rsidRPr="009E064B">
        <w:rPr>
          <w:rFonts w:asciiTheme="minorHAnsi" w:eastAsia="Calibri" w:hAnsiTheme="minorHAnsi" w:cstheme="minorHAnsi"/>
        </w:rPr>
        <w:t>Wymagania ogólne</w:t>
      </w:r>
    </w:p>
    <w:p w14:paraId="3B92006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Skuteczny system zgłaszania spraw związanych z bezpieczeństwem powinien obejmować, oprócz personelu operatora lotniska, operatorów statków powietrznych, dostawców usług obsługi naziemnej, instytucje zapewniające służby żeglugi powietrznej, a także wszelkie inne organizacje działające na lotnisku, lub świadczące usługi na lotnisku.</w:t>
      </w:r>
    </w:p>
    <w:p w14:paraId="6B25E693"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System zgłaszania spraw związanych z bezpieczeństwem powinien uwzględniać możliwość dobrowolnego zgłaszania zagrożeń zidentyfikowanych przez zgłaszającego, mogących mieć potencjalne konsekwencje dla bezpieczeństwa.</w:t>
      </w:r>
    </w:p>
    <w:p w14:paraId="280B84F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Operator lotniska powinien określić, które zdarzenia podlegają obowiązkowemu zgłaszaniu.</w:t>
      </w:r>
    </w:p>
    <w:p w14:paraId="5CF909C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Operator lotniska powinien zapewnić środki i format zgłoszeń, które powinny być takie, aby spełniały obecne wymagania w zakresie zgłaszania przewidziane w obowiązujących przepisach prawa, w kontekście czasu, formatu oraz wymaganych informacji podlegających zgłaszaniu.</w:t>
      </w:r>
    </w:p>
    <w:p w14:paraId="58F87EB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System zgłaszania spraw związanych z bezpieczeństwem powinien zawierać potwierdzenie przyjęcia zgłoszenia dla zgłaszającego.</w:t>
      </w:r>
    </w:p>
    <w:p w14:paraId="50221C81" w14:textId="27FB8078"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Proces zgłaszania powinien być tak prosty, jak to moż</w:t>
      </w:r>
      <w:r w:rsidR="00874142" w:rsidRPr="009E064B">
        <w:rPr>
          <w:rFonts w:asciiTheme="minorHAnsi" w:eastAsia="Calibri" w:hAnsiTheme="minorHAnsi" w:cstheme="minorHAnsi"/>
        </w:rPr>
        <w:t>liwe i dobrze udokumentowany, w </w:t>
      </w:r>
      <w:r w:rsidRPr="009E064B">
        <w:rPr>
          <w:rFonts w:asciiTheme="minorHAnsi" w:eastAsia="Calibri" w:hAnsiTheme="minorHAnsi" w:cstheme="minorHAnsi"/>
        </w:rPr>
        <w:t>tym zawierać szczegółowe informacje określające: co, jak, gdzie, komu i kiedy zgłosić.</w:t>
      </w:r>
    </w:p>
    <w:p w14:paraId="47AC5B8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Niezależnie od pochodzenia lub sposobu składania, po odebraniu informacji należy ją przechowywać w sposób umożliwiający jej łatwe wyszukiwanie i analizę.</w:t>
      </w:r>
    </w:p>
    <w:p w14:paraId="3A401BA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Dostęp do przedłożonych zgłoszeń powinien być ograniczony do osób odpowiedzialnych za ich przechowywanie i analizę.</w:t>
      </w:r>
    </w:p>
    <w:p w14:paraId="48713500"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Powinna być zapewniona ochrona tożsamości zgłaszającego, a procedury zbierania dodatkowych informacji dla analiz lub badań ustanowione przez operatora lotniska powinny być zgodne z tą zasadą.</w:t>
      </w:r>
    </w:p>
    <w:p w14:paraId="3A0B135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System zgłaszania spraw związanych z bezpieczeństwem powinien zawierać system przekazywania informacji zwrotnej o wyniku analizy zdarzenia do osoby zgłaszającej.</w:t>
      </w:r>
    </w:p>
    <w:p w14:paraId="55F208B5"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Zgłaszanie zagrożeń związanych ze zwierzętami</w:t>
      </w:r>
    </w:p>
    <w:p w14:paraId="4144FD9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Operator lotniska powinien zapewnić, że system zgłaszania spraw związanych z bezpieczeństwem w szczególny sposób odnosi ten wymóg do wszystkich stron trzecich (operatorów statków powietrznych, mechaników statków powietrznych, kontrolerów ruchu lotniczego, oraz innego personelu służb ruchu lotniczego, itp.) oraz całego personelu lotniska w celu zgłaszania operatorowi lotniska zderzeń ze zwierzętami oraz zidentyfikowanych tego typu zagrożeń.</w:t>
      </w:r>
    </w:p>
    <w:p w14:paraId="0EC2658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Zgłoszenia takich stron trzecich powinny być dokonywane niezależnie od innych wymogów, zgodnie z którymi muszą one dokonywać takich zgłoszeń do właściwego organu, w którym znajduje się lotnisko lub kraju rejestracji statku powietrznego, którego zgłoszenie dotyczy, lub jakiegokolwiek innego właściwego organu w kontekście krajowego programu zgłaszania zdarzeń.</w:t>
      </w:r>
    </w:p>
    <w:p w14:paraId="52BD9853" w14:textId="4314C4F9" w:rsidR="00AA7C09" w:rsidRPr="009E064B" w:rsidRDefault="00AA7C09" w:rsidP="00133B99">
      <w:pPr>
        <w:pStyle w:val="Nagwek6"/>
      </w:pPr>
      <w:bookmarkStart w:id="468" w:name="_Toc492024662"/>
      <w:bookmarkStart w:id="469" w:name="_Toc12532758"/>
      <w:r w:rsidRPr="009E064B">
        <w:t xml:space="preserve">GM1 ADR.OR.D.030    </w:t>
      </w:r>
      <w:r w:rsidR="004002F9" w:rsidRPr="009E064B">
        <w:t xml:space="preserve"> </w:t>
      </w:r>
      <w:r w:rsidRPr="009E064B">
        <w:t>System zgłaszania spraw związanych z bezpieczeństwem</w:t>
      </w:r>
      <w:bookmarkEnd w:id="468"/>
      <w:bookmarkEnd w:id="469"/>
    </w:p>
    <w:p w14:paraId="4E898F67" w14:textId="185EDE72"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E4F47CD"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POTRZEBA ZGŁASZANIA SPRAW ZWIĄZANYCH Z BEZPIECZEŃSTWEM</w:t>
      </w:r>
    </w:p>
    <w:p w14:paraId="12822DB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Ogólnym celem systemu zgłaszania spraw związanych bezpieczeństwem jest wykorzystanie przekazywanych informacji w celu poprawy poziomu skuteczności działań w zakresie bezpieczeństwa na lotnisku i nie przypisywanie winy.</w:t>
      </w:r>
    </w:p>
    <w:p w14:paraId="272149D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Celami systemu zgłaszania spraw związanych z bezpieczeństwem powinno być:</w:t>
      </w:r>
    </w:p>
    <w:p w14:paraId="431B381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umożliwienie oceny, która ma być wykonana pod kątem wpływu na bezpieczeństwo każdego odpowiedniego zdarzenia, poważnego incydentu lub wypadku, w tym wcześniejszych podobnych zdarzeń, tak by mogły być wszczęte wszelkie niezbędne działania; oraz</w:t>
      </w:r>
    </w:p>
    <w:p w14:paraId="06449D69" w14:textId="5A2C536E" w:rsidR="00371A8B"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upewnienie się, że wiedza o istotnych zdarzeniach, poważnych incydentach i wypadkach jest rozpowszechniana tak, aby inne osoby i organizacje mogły się z nich uczyć.</w:t>
      </w:r>
    </w:p>
    <w:p w14:paraId="0F08A847" w14:textId="7C3E7FFB" w:rsidR="00371A8B" w:rsidRPr="009E064B" w:rsidRDefault="00371A8B">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115775B4" w14:textId="446253CA" w:rsidR="00DC7DA6" w:rsidRPr="009E064B" w:rsidRDefault="00DE05DC" w:rsidP="00B06A9A">
      <w:pPr>
        <w:pStyle w:val="Nagwek3"/>
      </w:pPr>
      <w:bookmarkStart w:id="470" w:name="_ADR.OR.D.035__"/>
      <w:bookmarkStart w:id="471" w:name="_Toc12532759"/>
      <w:bookmarkEnd w:id="470"/>
      <w:r w:rsidRPr="009E064B">
        <w:t xml:space="preserve">ADR.OR.D.035 </w:t>
      </w:r>
      <w:r w:rsidR="004002F9" w:rsidRPr="009E064B">
        <w:t xml:space="preserve">    </w:t>
      </w:r>
      <w:r w:rsidRPr="009E064B">
        <w:t>Prowadzenie rejestrów</w:t>
      </w:r>
      <w:bookmarkEnd w:id="471"/>
    </w:p>
    <w:p w14:paraId="634B227A" w14:textId="4B346F16"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47682FA" w14:textId="43A8E96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ustanawia odpowiedni system prowadzenia rejestrów, obejmujący</w:t>
      </w:r>
      <w:r w:rsidR="00BF2E35" w:rsidRPr="009E064B">
        <w:rPr>
          <w:rFonts w:asciiTheme="minorHAnsi" w:hAnsiTheme="minorHAnsi" w:cstheme="minorHAnsi"/>
          <w:sz w:val="22"/>
          <w:szCs w:val="20"/>
        </w:rPr>
        <w:t xml:space="preserve"> wszystkie jego działania podej</w:t>
      </w:r>
      <w:r w:rsidR="00DE05DC" w:rsidRPr="009E064B">
        <w:rPr>
          <w:rFonts w:asciiTheme="minorHAnsi" w:hAnsiTheme="minorHAnsi" w:cstheme="minorHAnsi"/>
          <w:sz w:val="22"/>
          <w:szCs w:val="20"/>
        </w:rPr>
        <w:t>mowa</w:t>
      </w:r>
      <w:r w:rsidR="00BF2E35" w:rsidRPr="009E064B">
        <w:rPr>
          <w:rFonts w:asciiTheme="minorHAnsi" w:hAnsiTheme="minorHAnsi" w:cstheme="minorHAnsi"/>
          <w:sz w:val="22"/>
          <w:szCs w:val="20"/>
        </w:rPr>
        <w:t xml:space="preserve">ne na podstawie rozporządzenia (WE) nr 216/2008 i </w:t>
      </w:r>
      <w:r w:rsidR="00DE05DC" w:rsidRPr="009E064B">
        <w:rPr>
          <w:rFonts w:asciiTheme="minorHAnsi" w:hAnsiTheme="minorHAnsi" w:cstheme="minorHAnsi"/>
          <w:sz w:val="22"/>
          <w:szCs w:val="20"/>
        </w:rPr>
        <w:t>jego przepisów wykonawczych.</w:t>
      </w:r>
    </w:p>
    <w:p w14:paraId="618B96CC" w14:textId="420F220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Format tych rejestrów jest określany w instrukcji operacyjnej lotniska.</w:t>
      </w:r>
    </w:p>
    <w:p w14:paraId="4324F21E" w14:textId="5999724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Rejestry przechowuje się w sposób zapewniający ochro</w:t>
      </w:r>
      <w:r w:rsidR="00874142" w:rsidRPr="009E064B">
        <w:rPr>
          <w:rFonts w:asciiTheme="minorHAnsi" w:hAnsiTheme="minorHAnsi" w:cstheme="minorHAnsi"/>
          <w:sz w:val="22"/>
          <w:szCs w:val="20"/>
        </w:rPr>
        <w:t>nę przed uszkodzeniem, zmianą i </w:t>
      </w:r>
      <w:r w:rsidR="00DE05DC" w:rsidRPr="009E064B">
        <w:rPr>
          <w:rFonts w:asciiTheme="minorHAnsi" w:hAnsiTheme="minorHAnsi" w:cstheme="minorHAnsi"/>
          <w:sz w:val="22"/>
          <w:szCs w:val="20"/>
        </w:rPr>
        <w:t>kradzieżą.</w:t>
      </w:r>
    </w:p>
    <w:p w14:paraId="7B6932D9" w14:textId="6EC22B2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Rejestry są przechowywane przez co najmniej 5 lat, z wyjątkiem poniższych dokumentów, które </w:t>
      </w:r>
      <w:r w:rsidR="003C4611" w:rsidRPr="009E064B">
        <w:rPr>
          <w:rFonts w:asciiTheme="minorHAnsi" w:hAnsiTheme="minorHAnsi" w:cstheme="minorHAnsi"/>
          <w:sz w:val="22"/>
          <w:szCs w:val="20"/>
        </w:rPr>
        <w:t xml:space="preserve">przechowuje </w:t>
      </w:r>
      <w:r w:rsidR="00DE05DC" w:rsidRPr="009E064B">
        <w:rPr>
          <w:rFonts w:asciiTheme="minorHAnsi" w:hAnsiTheme="minorHAnsi" w:cstheme="minorHAnsi"/>
          <w:sz w:val="22"/>
          <w:szCs w:val="20"/>
        </w:rPr>
        <w:t>się następująco:</w:t>
      </w:r>
    </w:p>
    <w:p w14:paraId="0DD0B9C1" w14:textId="29FDEF0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podstawa certyfikacji lotniska, wykorzystywane alternatywne sposoby spełnienia wymagań oraz aktualne certyfikaty lotniska lub operatora lotniska – przez okres ważności certyfikatu;</w:t>
      </w:r>
    </w:p>
    <w:p w14:paraId="1B72CB9A" w14:textId="0DC6B4A3"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ustalenia dotyczące mechanizmów współpracy z innymi organizacjami – przez okres obowiązywania tych mechanizmów;</w:t>
      </w:r>
    </w:p>
    <w:p w14:paraId="1DF9860C" w14:textId="1B0C785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instrukcje dotyczące wyposażenia lotniska lub systemów wykorzystywanych na lotnisku – przez okres ich wykorzystywania na lotnisku;</w:t>
      </w:r>
    </w:p>
    <w:p w14:paraId="08984F8E" w14:textId="48710150"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sprawozdania z ocen bezpieczeństwa – przez cały okres stosowania systemu</w:t>
      </w:r>
      <w:r w:rsidR="00874142"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w:t>
      </w:r>
      <w:r w:rsidR="00874142"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procedury</w:t>
      </w:r>
      <w:r w:rsidR="00874142"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w:t>
      </w:r>
      <w:r w:rsidR="00874142"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działania;</w:t>
      </w:r>
    </w:p>
    <w:p w14:paraId="5630C237" w14:textId="324C28E3"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5)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rejestry szkoleń </w:t>
      </w:r>
      <w:r w:rsidR="003C4611" w:rsidRPr="009E064B">
        <w:rPr>
          <w:rFonts w:asciiTheme="minorHAnsi" w:eastAsia="Times New Roman" w:hAnsiTheme="minorHAnsi" w:cstheme="minorHAnsi"/>
          <w:szCs w:val="20"/>
        </w:rPr>
        <w:t xml:space="preserve">personelu, </w:t>
      </w:r>
      <w:r w:rsidR="00DE05DC" w:rsidRPr="009E064B">
        <w:rPr>
          <w:rFonts w:asciiTheme="minorHAnsi" w:eastAsia="Times New Roman" w:hAnsiTheme="minorHAnsi" w:cstheme="minorHAnsi"/>
          <w:szCs w:val="20"/>
        </w:rPr>
        <w:t>kwalifikacji i badań medycznych pracowników wraz z wynikami ich sprawdzianów umiejętności, stosownie do przypadku – przez co najmniej cztery lata od zakończenia zatrudnienia, lub do czasu przeprowadzenia przez właściwy organ audytu obszarów, za które ci pracownicy są odpowiedzialni; oraz</w:t>
      </w:r>
    </w:p>
    <w:p w14:paraId="2797AAB3" w14:textId="2EC9699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6)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aktualna wersja rejestru zagrożeń.</w:t>
      </w:r>
    </w:p>
    <w:p w14:paraId="007C4C07" w14:textId="7FE50A50"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Wszystkie rejestry muszą być zgodne ze stosownymi przepisami ochrony danych.</w:t>
      </w:r>
    </w:p>
    <w:p w14:paraId="3B7D6875" w14:textId="71F17A45" w:rsidR="00AA7C09" w:rsidRPr="009E064B" w:rsidRDefault="00AA7C09" w:rsidP="00133B99">
      <w:pPr>
        <w:pStyle w:val="Nagwek5"/>
      </w:pPr>
      <w:bookmarkStart w:id="472" w:name="_AMC1_ADR.OR.D.035_"/>
      <w:bookmarkStart w:id="473" w:name="_Toc492024663"/>
      <w:bookmarkStart w:id="474" w:name="_Toc12532760"/>
      <w:bookmarkEnd w:id="472"/>
      <w:r w:rsidRPr="009E064B">
        <w:t xml:space="preserve">AMC1 ADR.OR.D.035    </w:t>
      </w:r>
      <w:r w:rsidR="004002F9" w:rsidRPr="009E064B">
        <w:t xml:space="preserve"> </w:t>
      </w:r>
      <w:r w:rsidRPr="009E064B">
        <w:t>Prowadzenie rejest</w:t>
      </w:r>
      <w:bookmarkEnd w:id="473"/>
      <w:r w:rsidR="005A15D7" w:rsidRPr="009E064B">
        <w:t>rów</w:t>
      </w:r>
      <w:bookmarkEnd w:id="474"/>
    </w:p>
    <w:p w14:paraId="551D2805" w14:textId="482EC9CC"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A95331D"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PRZECHOWYWANA DOKUMENTACJA</w:t>
      </w:r>
    </w:p>
    <w:p w14:paraId="28D6BD92"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Stosowany przez operatora lotniska system prowadzenia rejestru (dokumentacji) powinien uwzględniać odpowiednie procedury, pomieszczenia do przechowywania, wiarygodne śledzenie, wyszukiwanie i dostępność dokumentacji związanej z działalnością operatora lotniska, która podlega Rozporządzeniu Bazowemu i jego przepisom wykonawczym, przez cały okres czasu wymagany na przechowywanie.</w:t>
      </w:r>
    </w:p>
    <w:p w14:paraId="5133624E"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Dokumenty powinny być przechowywane w formie papierowej lub w formie elektronicznej lub jako połączenie obydwu form. Dokumenty przechowywane na mikrofilmach lub dyskach optycznych są również akceptowalne. Dokumenty powinny pozostawać czytelne przez cały wymagany okres przechowywania. Okres przechowywania rozpoczyna się w momencie utworzenia dokumenty lub jego ostatniej zmiany.</w:t>
      </w:r>
    </w:p>
    <w:p w14:paraId="3B4F232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Systemy papierowe powinny stosować trwały materiał, który powinien wytrzymać normalne obchodzenie się i wypełnianie. Systemy komputerowe powinny posiadać, co najmniej jeden system zapasowy, który powinien być aktualizowany w ciągu 24 godzin od nowego wpisu. Systemy komputerowe powinny posiadać zabezpieczenia przed możliwością zmiany danych przez nieupoważniony personel.</w:t>
      </w:r>
    </w:p>
    <w:p w14:paraId="660365D4" w14:textId="0EECDD8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Cały sprzęt komputerowy stosowany do zapewnienia zapasowych danych powinien być przechowywany w miejscu innym niż to zawierające dane robocze oraz w środowisku, które zapewnia, że pozostanie on w dobrym stanie. W przypadku zmiany sprzętu lub oprogramowania, szczególną uwagę należy zwrócić na zapewnienie, że wszystkie niezbędne dane są nadal dostępne, przez co najmniej cały </w:t>
      </w:r>
      <w:r w:rsidR="00816F6D" w:rsidRPr="009E064B">
        <w:rPr>
          <w:rFonts w:asciiTheme="minorHAnsi" w:eastAsia="Calibri" w:hAnsiTheme="minorHAnsi" w:cstheme="minorHAnsi"/>
        </w:rPr>
        <w:t>okres określony w odpowiedniej p</w:t>
      </w:r>
      <w:r w:rsidRPr="009E064B">
        <w:rPr>
          <w:rFonts w:asciiTheme="minorHAnsi" w:eastAsia="Calibri" w:hAnsiTheme="minorHAnsi" w:cstheme="minorHAnsi"/>
        </w:rPr>
        <w:t>odczęści. W</w:t>
      </w:r>
      <w:r w:rsidR="00371A8B" w:rsidRPr="009E064B">
        <w:rPr>
          <w:rFonts w:asciiTheme="minorHAnsi" w:eastAsia="Calibri" w:hAnsiTheme="minorHAnsi" w:cstheme="minorHAnsi"/>
        </w:rPr>
        <w:t> </w:t>
      </w:r>
      <w:r w:rsidRPr="009E064B">
        <w:rPr>
          <w:rFonts w:asciiTheme="minorHAnsi" w:eastAsia="Calibri" w:hAnsiTheme="minorHAnsi" w:cstheme="minorHAnsi"/>
        </w:rPr>
        <w:t>przypadku braku takiego wskazania, wszystkie dokumenty powinny być przechowywane przez okres, co najmniej 5 lat.</w:t>
      </w:r>
    </w:p>
    <w:p w14:paraId="2B6662BD" w14:textId="1301A1BF" w:rsidR="00AA7C09" w:rsidRPr="009E064B" w:rsidRDefault="00AA7C09" w:rsidP="00133B99">
      <w:pPr>
        <w:pStyle w:val="Nagwek5"/>
      </w:pPr>
      <w:bookmarkStart w:id="475" w:name="_Toc492024664"/>
      <w:bookmarkStart w:id="476" w:name="_Toc12532761"/>
      <w:r w:rsidRPr="009E064B">
        <w:t xml:space="preserve">AMC2 ADR.OR.D.035    </w:t>
      </w:r>
      <w:r w:rsidR="004002F9" w:rsidRPr="009E064B">
        <w:t xml:space="preserve"> </w:t>
      </w:r>
      <w:r w:rsidRPr="009E064B">
        <w:t>Prowadzenie rejestr</w:t>
      </w:r>
      <w:bookmarkEnd w:id="475"/>
      <w:r w:rsidR="005A15D7" w:rsidRPr="009E064B">
        <w:t>ów</w:t>
      </w:r>
      <w:bookmarkEnd w:id="476"/>
    </w:p>
    <w:p w14:paraId="11E6B5A5" w14:textId="0572FD18"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AD32B45"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REJESTROWANIE OPERACJI STATKÓW POWIETRZNYCH</w:t>
      </w:r>
    </w:p>
    <w:p w14:paraId="722FD5F9"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stosować system, który będzie używany do rejestrowania operacji statków powietrznych na lotnisku.</w:t>
      </w:r>
    </w:p>
    <w:p w14:paraId="30309E7B"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System taki powinien umożliwić operatorowi lotniska rejestrowanie:</w:t>
      </w:r>
    </w:p>
    <w:p w14:paraId="543C933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liczby operacji każdego typu statku powietrznego korzystającego z lotniska;</w:t>
      </w:r>
    </w:p>
    <w:p w14:paraId="32E9CB6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rodzaju każdej operacji statku powietrznego (zarobkowy przewóz lotniczy, towarowy, itp.);</w:t>
      </w:r>
    </w:p>
    <w:p w14:paraId="4E2DF1E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daty każdej operacji; oraz</w:t>
      </w:r>
    </w:p>
    <w:p w14:paraId="53A54A69"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liczby pasażerów.</w:t>
      </w:r>
    </w:p>
    <w:p w14:paraId="072479C9" w14:textId="56349B42"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Stosowany system powinien</w:t>
      </w:r>
      <w:r w:rsidR="00371A8B" w:rsidRPr="009E064B">
        <w:rPr>
          <w:rFonts w:asciiTheme="minorHAnsi" w:eastAsia="Calibri" w:hAnsiTheme="minorHAnsi" w:cstheme="minorHAnsi"/>
        </w:rPr>
        <w:t xml:space="preserve"> również spełniać przepisy </w:t>
      </w:r>
      <w:hyperlink w:anchor="_AMC1_ADR.OR.D.035_" w:history="1">
        <w:r w:rsidR="00371A8B"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ADR.OR.D.035</w:t>
        </w:r>
      </w:hyperlink>
      <w:r w:rsidRPr="009E064B">
        <w:rPr>
          <w:rFonts w:asciiTheme="minorHAnsi" w:eastAsia="Calibri" w:hAnsiTheme="minorHAnsi" w:cstheme="minorHAnsi"/>
        </w:rPr>
        <w:t>.</w:t>
      </w:r>
    </w:p>
    <w:p w14:paraId="1D60CD1E" w14:textId="3EFB51A6" w:rsidR="00AA7C09" w:rsidRPr="009E064B" w:rsidRDefault="00AA7C09" w:rsidP="00133B99">
      <w:pPr>
        <w:pStyle w:val="Nagwek6"/>
      </w:pPr>
      <w:bookmarkStart w:id="477" w:name="_Toc492024665"/>
      <w:bookmarkStart w:id="478" w:name="_Toc12532762"/>
      <w:r w:rsidRPr="009E064B">
        <w:t xml:space="preserve">GM1 ADR.OR.D.035(b)    </w:t>
      </w:r>
      <w:r w:rsidR="004002F9" w:rsidRPr="009E064B">
        <w:t xml:space="preserve"> </w:t>
      </w:r>
      <w:r w:rsidRPr="009E064B">
        <w:t>Prowadzenie rejestr</w:t>
      </w:r>
      <w:bookmarkEnd w:id="477"/>
      <w:r w:rsidR="005A15D7" w:rsidRPr="009E064B">
        <w:t>ów</w:t>
      </w:r>
      <w:bookmarkEnd w:id="478"/>
    </w:p>
    <w:p w14:paraId="25A9BB1C" w14:textId="1924BE72"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B7BF863"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DOKUMENTACJA </w:t>
      </w:r>
    </w:p>
    <w:p w14:paraId="5DF4D849"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Przechowywanie dokumentacji na mikrofilmach lub dyskach optycznych może mieć miejsce w dowolnym czasie. Dokumentacja powinna być tak czytelna jak wersja oryginalna i pozostawać w takim stanie przez cały wymagany okres przechowywania.</w:t>
      </w:r>
    </w:p>
    <w:p w14:paraId="151A5F22" w14:textId="42413B62" w:rsidR="00AA7C09" w:rsidRPr="009E064B" w:rsidRDefault="00AA7C09" w:rsidP="00B06A9A">
      <w:pPr>
        <w:widowControl/>
        <w:rPr>
          <w:rFonts w:asciiTheme="minorHAnsi" w:eastAsia="Calibri" w:hAnsiTheme="minorHAnsi" w:cstheme="minorHAnsi"/>
        </w:rPr>
      </w:pPr>
    </w:p>
    <w:p w14:paraId="5B8FF3A5" w14:textId="77777777" w:rsidR="00C05A61" w:rsidRPr="009E064B" w:rsidRDefault="00C05A61" w:rsidP="00B06A9A">
      <w:pPr>
        <w:widowControl/>
        <w:rPr>
          <w:rFonts w:asciiTheme="minorHAnsi" w:eastAsia="Calibri" w:hAnsiTheme="minorHAnsi" w:cstheme="minorHAnsi"/>
        </w:rPr>
      </w:pPr>
    </w:p>
    <w:p w14:paraId="0A620E88" w14:textId="77777777" w:rsidR="00C05A61" w:rsidRPr="009E064B" w:rsidRDefault="00C05A61" w:rsidP="00B06A9A">
      <w:pPr>
        <w:ind w:right="-2"/>
        <w:rPr>
          <w:rFonts w:asciiTheme="minorHAnsi" w:hAnsiTheme="minorHAnsi" w:cstheme="minorHAnsi"/>
          <w:szCs w:val="20"/>
        </w:rPr>
        <w:sectPr w:rsidR="00C05A61" w:rsidRPr="009E064B" w:rsidSect="00674099">
          <w:headerReference w:type="default" r:id="rId65"/>
          <w:headerReference w:type="first" r:id="rId66"/>
          <w:pgSz w:w="11906" w:h="16840" w:code="9"/>
          <w:pgMar w:top="1701" w:right="1418" w:bottom="1418" w:left="1418" w:header="567" w:footer="454" w:gutter="0"/>
          <w:cols w:space="708"/>
          <w:titlePg/>
        </w:sectPr>
      </w:pPr>
    </w:p>
    <w:p w14:paraId="37D4B543" w14:textId="6CDA7297" w:rsidR="00DC7DA6" w:rsidRPr="009E064B" w:rsidRDefault="0022785E" w:rsidP="00020EA3">
      <w:pPr>
        <w:pStyle w:val="Nagwek2"/>
      </w:pPr>
      <w:bookmarkStart w:id="479" w:name="_Toc12532763"/>
      <w:r w:rsidRPr="009E064B">
        <w:t xml:space="preserve">PODCZĘŚĆ E — </w:t>
      </w:r>
      <w:r w:rsidR="00DE05DC" w:rsidRPr="009E064B">
        <w:t>INSTRUKCJA OPERACY</w:t>
      </w:r>
      <w:r w:rsidR="00544DF6" w:rsidRPr="009E064B">
        <w:t>JNA I </w:t>
      </w:r>
      <w:r w:rsidR="00BF2E35" w:rsidRPr="009E064B">
        <w:t>DOKUMENTACJA LOTNISKA</w:t>
      </w:r>
      <w:r w:rsidR="00DC418E" w:rsidRPr="009E064B">
        <w:t xml:space="preserve"> </w:t>
      </w:r>
      <w:r w:rsidR="00DE05DC" w:rsidRPr="009E064B">
        <w:t>(ADR.OR.E)</w:t>
      </w:r>
      <w:bookmarkEnd w:id="479"/>
    </w:p>
    <w:p w14:paraId="763A8D80" w14:textId="77777777" w:rsidR="00DC7DA6" w:rsidRPr="009E064B" w:rsidRDefault="00DC7DA6" w:rsidP="00C05A61">
      <w:pPr>
        <w:spacing w:after="0"/>
        <w:rPr>
          <w:rFonts w:asciiTheme="minorHAnsi" w:hAnsiTheme="minorHAnsi" w:cstheme="minorHAnsi"/>
          <w:szCs w:val="20"/>
        </w:rPr>
      </w:pPr>
    </w:p>
    <w:p w14:paraId="3F536741" w14:textId="4BE16F95" w:rsidR="00DC7DA6" w:rsidRPr="009E064B" w:rsidRDefault="00DE05DC" w:rsidP="00B06A9A">
      <w:pPr>
        <w:pStyle w:val="Nagwek3"/>
      </w:pPr>
      <w:bookmarkStart w:id="480" w:name="_ADR.OR.E.005__"/>
      <w:bookmarkStart w:id="481" w:name="_Toc12532764"/>
      <w:bookmarkEnd w:id="480"/>
      <w:r w:rsidRPr="009E064B">
        <w:t xml:space="preserve">ADR.OR.E.005 </w:t>
      </w:r>
      <w:r w:rsidR="003C4611" w:rsidRPr="009E064B">
        <w:t xml:space="preserve"> </w:t>
      </w:r>
      <w:r w:rsidR="004002F9" w:rsidRPr="009E064B">
        <w:t xml:space="preserve">   </w:t>
      </w:r>
      <w:r w:rsidRPr="009E064B">
        <w:t>Instrukcja operacyjna lotniska</w:t>
      </w:r>
      <w:bookmarkEnd w:id="481"/>
    </w:p>
    <w:p w14:paraId="7DACF6E9" w14:textId="10901D6C"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F8941BA" w14:textId="10C9A94F"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a)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ustanawia i utrzymuje instrukcję operacyjną lotniska.</w:t>
      </w:r>
    </w:p>
    <w:p w14:paraId="7FAB6AC9" w14:textId="26BE441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b)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Treść instrukcji operacyjnej lotniska musi odzwierciedlać podstawę certyfikacji oraz wymagania określone w niniejszej </w:t>
      </w:r>
      <w:r w:rsidRPr="009E064B">
        <w:rPr>
          <w:rFonts w:asciiTheme="minorHAnsi" w:hAnsiTheme="minorHAnsi" w:cstheme="minorHAnsi"/>
          <w:sz w:val="22"/>
          <w:szCs w:val="20"/>
        </w:rPr>
        <w:t>C</w:t>
      </w:r>
      <w:r w:rsidR="00DE05DC" w:rsidRPr="009E064B">
        <w:rPr>
          <w:rFonts w:asciiTheme="minorHAnsi" w:hAnsiTheme="minorHAnsi" w:cstheme="minorHAnsi"/>
          <w:sz w:val="22"/>
          <w:szCs w:val="20"/>
        </w:rPr>
        <w:t xml:space="preserve">zęści i </w:t>
      </w:r>
      <w:hyperlink w:anchor="_ZAŁĄCZNIK_IV_—" w:history="1">
        <w:r w:rsidR="00F809D7" w:rsidRPr="009E064B">
          <w:rPr>
            <w:rStyle w:val="Hipercze"/>
            <w:rFonts w:asciiTheme="minorHAnsi" w:eastAsia="Calibri" w:hAnsiTheme="minorHAnsi" w:cstheme="minorHAnsi"/>
            <w:sz w:val="22"/>
            <w:szCs w:val="22"/>
          </w:rPr>
          <w:t>Części ADR.OPS</w:t>
        </w:r>
      </w:hyperlink>
      <w:r w:rsidR="00DE05DC" w:rsidRPr="009E064B">
        <w:rPr>
          <w:rFonts w:asciiTheme="minorHAnsi" w:hAnsiTheme="minorHAnsi" w:cstheme="minorHAnsi"/>
          <w:sz w:val="22"/>
          <w:szCs w:val="20"/>
        </w:rPr>
        <w:t>, stosownie do przypadku, i nie może być sprzeczna z warunkami certyfikatu. Instrukcja operacyjna lotniska zawiera wszelkie niezbędne informacje dotyczące bezpiecznego wykorzystania, użytkowania i obsługi technicznej lotniska, jego wyposażenia oraz powierzchni ograniczających przeszkody i powierzchni zabezpieczenia przeszkodowego, a także innych obszarów powiązanych z lotniskiem, bądź odsyła do tych informacji.</w:t>
      </w:r>
    </w:p>
    <w:p w14:paraId="6E2CA8B6" w14:textId="3F521A7C"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c)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Instrukcja operacyjna lotniska może zostać wydana w oddzielnych częściach.</w:t>
      </w:r>
    </w:p>
    <w:p w14:paraId="42514C85" w14:textId="4BCEDCFD"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d)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by wszyscy pracownicy lotniska oraz pracownicy innych odpowiednich organizacji mieli</w:t>
      </w:r>
      <w:r w:rsidR="003C4611" w:rsidRPr="009E064B">
        <w:rPr>
          <w:rFonts w:asciiTheme="minorHAnsi" w:hAnsiTheme="minorHAnsi" w:cstheme="minorHAnsi"/>
          <w:sz w:val="22"/>
          <w:szCs w:val="20"/>
        </w:rPr>
        <w:t xml:space="preserve"> </w:t>
      </w:r>
      <w:r w:rsidR="00DE05DC" w:rsidRPr="009E064B">
        <w:rPr>
          <w:rFonts w:asciiTheme="minorHAnsi" w:hAnsiTheme="minorHAnsi" w:cstheme="minorHAnsi"/>
          <w:sz w:val="22"/>
          <w:szCs w:val="20"/>
        </w:rPr>
        <w:t>łatwy dostęp do tych części instrukcji operacyjnej lotniska, które dotyczą ich zadań i obowiązków.</w:t>
      </w:r>
    </w:p>
    <w:p w14:paraId="43F174A4" w14:textId="5A00BCDC"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e)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w:t>
      </w:r>
    </w:p>
    <w:p w14:paraId="211487C1" w14:textId="695A33C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1)</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przedstawia właściwemu organowi planowane zmiany i aktualizacje instrukcji operacyjnej lotniska dotyczące pozycji wymagających uprz</w:t>
      </w:r>
      <w:r w:rsidR="00874142" w:rsidRPr="009E064B">
        <w:rPr>
          <w:rFonts w:asciiTheme="minorHAnsi" w:eastAsia="Times New Roman" w:hAnsiTheme="minorHAnsi" w:cstheme="minorHAnsi"/>
          <w:szCs w:val="20"/>
        </w:rPr>
        <w:t>edniego zatwierdzenia zgodnie z </w:t>
      </w:r>
      <w:hyperlink w:anchor="_ADR.OR.B.040__" w:history="1">
        <w:r w:rsidR="00DE05DC" w:rsidRPr="009E064B">
          <w:rPr>
            <w:rStyle w:val="Hipercze"/>
            <w:rFonts w:asciiTheme="minorHAnsi" w:eastAsia="Times New Roman" w:hAnsiTheme="minorHAnsi" w:cstheme="minorHAnsi"/>
            <w:szCs w:val="20"/>
          </w:rPr>
          <w:t>ADR.OR.B.040</w:t>
        </w:r>
      </w:hyperlink>
      <w:r w:rsidR="00DE05DC" w:rsidRPr="009E064B">
        <w:rPr>
          <w:rFonts w:asciiTheme="minorHAnsi" w:eastAsia="Times New Roman" w:hAnsiTheme="minorHAnsi" w:cstheme="minorHAnsi"/>
          <w:szCs w:val="20"/>
        </w:rPr>
        <w:t>, przed ich wejściem w życie, a także zapewnia, by nie weszły one w życie przed uzyskaniem zatwierdzenia od właściwego organu; lub</w:t>
      </w:r>
    </w:p>
    <w:p w14:paraId="2BA8B83A" w14:textId="3FF461DE"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2)</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przedstawia właściwemu organowi planowane zmiany i aktualizacje instrukcji operacyjnej lotniska przed ich wejściem w życie, jeżeli ich wprowadzenie wymaga jedynie powiadomienia właściwego organu zgodnie z </w:t>
      </w:r>
      <w:hyperlink w:anchor="_ADR.OR.B.040__" w:history="1">
        <w:r w:rsidR="00DE05DC" w:rsidRPr="009E064B">
          <w:rPr>
            <w:rStyle w:val="Hipercze"/>
            <w:rFonts w:asciiTheme="minorHAnsi" w:eastAsia="Times New Roman" w:hAnsiTheme="minorHAnsi" w:cstheme="minorHAnsi"/>
            <w:szCs w:val="20"/>
          </w:rPr>
          <w:t>ADR.OR</w:t>
        </w:r>
        <w:r w:rsidRPr="009E064B">
          <w:rPr>
            <w:rStyle w:val="Hipercze"/>
            <w:rFonts w:asciiTheme="minorHAnsi" w:eastAsia="Times New Roman" w:hAnsiTheme="minorHAnsi" w:cstheme="minorHAnsi"/>
            <w:szCs w:val="20"/>
          </w:rPr>
          <w:t>.B.040</w:t>
        </w:r>
      </w:hyperlink>
      <w:r w:rsidRPr="009E064B">
        <w:rPr>
          <w:rFonts w:asciiTheme="minorHAnsi" w:eastAsia="Times New Roman" w:hAnsiTheme="minorHAnsi" w:cstheme="minorHAnsi"/>
          <w:szCs w:val="20"/>
        </w:rPr>
        <w:t xml:space="preserve"> lit. </w:t>
      </w:r>
      <w:r w:rsidR="00544DF6"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 xml:space="preserve">d) oraz </w:t>
      </w:r>
      <w:hyperlink w:anchor="_ADR.OR.B.015__" w:history="1">
        <w:r w:rsidR="00DE05DC" w:rsidRPr="009E064B">
          <w:rPr>
            <w:rStyle w:val="Hipercze"/>
            <w:rFonts w:asciiTheme="minorHAnsi" w:eastAsia="Times New Roman" w:hAnsiTheme="minorHAnsi" w:cstheme="minorHAnsi"/>
            <w:szCs w:val="20"/>
          </w:rPr>
          <w:t>ADR.OR.B.015</w:t>
        </w:r>
      </w:hyperlink>
      <w:r w:rsidR="00DE05DC" w:rsidRPr="009E064B">
        <w:rPr>
          <w:rFonts w:asciiTheme="minorHAnsi" w:eastAsia="Times New Roman" w:hAnsiTheme="minorHAnsi" w:cstheme="minorHAnsi"/>
          <w:szCs w:val="20"/>
        </w:rPr>
        <w:t xml:space="preserve"> lit.</w:t>
      </w:r>
      <w:r w:rsidR="00845986" w:rsidRPr="009E064B">
        <w:rPr>
          <w:rFonts w:asciiTheme="minorHAnsi" w:eastAsia="Times New Roman" w:hAnsiTheme="minorHAnsi" w:cstheme="minorHAnsi"/>
          <w:szCs w:val="20"/>
        </w:rPr>
        <w:t> </w:t>
      </w:r>
      <w:r w:rsidR="00544DF6" w:rsidRPr="009E064B">
        <w:rPr>
          <w:rFonts w:asciiTheme="minorHAnsi" w:eastAsia="Times New Roman" w:hAnsiTheme="minorHAnsi" w:cstheme="minorHAnsi"/>
          <w:szCs w:val="20"/>
        </w:rPr>
        <w:t>(</w:t>
      </w:r>
      <w:r w:rsidR="00DE05DC" w:rsidRPr="009E064B">
        <w:rPr>
          <w:rFonts w:asciiTheme="minorHAnsi" w:eastAsia="Times New Roman" w:hAnsiTheme="minorHAnsi" w:cstheme="minorHAnsi"/>
          <w:szCs w:val="20"/>
        </w:rPr>
        <w:t>b).</w:t>
      </w:r>
    </w:p>
    <w:p w14:paraId="02B05CFE" w14:textId="52D114F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f) </w:t>
      </w:r>
      <w:r w:rsidR="00BF2E35" w:rsidRPr="009E064B">
        <w:rPr>
          <w:rFonts w:asciiTheme="minorHAnsi" w:hAnsiTheme="minorHAnsi" w:cstheme="minorHAnsi"/>
          <w:sz w:val="22"/>
          <w:szCs w:val="20"/>
        </w:rPr>
        <w:tab/>
      </w:r>
      <w:r w:rsidR="00845986" w:rsidRPr="009E064B">
        <w:rPr>
          <w:rFonts w:asciiTheme="minorHAnsi" w:hAnsiTheme="minorHAnsi" w:cstheme="minorHAnsi"/>
          <w:sz w:val="22"/>
          <w:szCs w:val="20"/>
        </w:rPr>
        <w:t>Niezależnie od przepisów lit. </w:t>
      </w:r>
      <w:r w:rsidR="00544DF6" w:rsidRPr="009E064B">
        <w:rPr>
          <w:rFonts w:asciiTheme="minorHAnsi" w:hAnsiTheme="minorHAnsi" w:cstheme="minorHAnsi"/>
          <w:sz w:val="22"/>
          <w:szCs w:val="20"/>
        </w:rPr>
        <w:t>(</w:t>
      </w:r>
      <w:r w:rsidR="00DE05DC" w:rsidRPr="009E064B">
        <w:rPr>
          <w:rFonts w:asciiTheme="minorHAnsi" w:hAnsiTheme="minorHAnsi" w:cstheme="minorHAnsi"/>
          <w:sz w:val="22"/>
          <w:szCs w:val="20"/>
        </w:rPr>
        <w:t>e), w przypadku gdy interes bezpieczeństwa wymaga wprowadzenia zmian lub aktualizacji, można je opublikować i stosować niezwłocznie, pod warunkiem złożenia wniosków o wydanie odpowiednich zatwierdzeń.</w:t>
      </w:r>
    </w:p>
    <w:p w14:paraId="42EC4089" w14:textId="418D4406"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g)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w:t>
      </w:r>
    </w:p>
    <w:p w14:paraId="7C748D74" w14:textId="6377666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dokonuje przeglądu treści instrukcji operacyjnej lotniska oraz zapewnia, by była ona aktualizowana </w:t>
      </w:r>
      <w:r w:rsidR="003C4611" w:rsidRPr="009E064B">
        <w:rPr>
          <w:rFonts w:asciiTheme="minorHAnsi" w:eastAsia="Times New Roman" w:hAnsiTheme="minorHAnsi" w:cstheme="minorHAnsi"/>
          <w:szCs w:val="20"/>
        </w:rPr>
        <w:t xml:space="preserve">i </w:t>
      </w:r>
      <w:r w:rsidR="00DE05DC" w:rsidRPr="009E064B">
        <w:rPr>
          <w:rFonts w:asciiTheme="minorHAnsi" w:eastAsia="Times New Roman" w:hAnsiTheme="minorHAnsi" w:cstheme="minorHAnsi"/>
          <w:szCs w:val="20"/>
        </w:rPr>
        <w:t>zmieniana stosownie do potrzeb;</w:t>
      </w:r>
    </w:p>
    <w:p w14:paraId="1E638923" w14:textId="769F8D0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uwzględnia wszystkie zmiany i aktualizacje wymagane przez właściwy organ; oraz</w:t>
      </w:r>
    </w:p>
    <w:p w14:paraId="6B90D010" w14:textId="61F20DB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informuje </w:t>
      </w:r>
      <w:r w:rsidR="003C4611" w:rsidRPr="009E064B">
        <w:rPr>
          <w:rFonts w:asciiTheme="minorHAnsi" w:eastAsia="Times New Roman" w:hAnsiTheme="minorHAnsi" w:cstheme="minorHAnsi"/>
          <w:szCs w:val="20"/>
        </w:rPr>
        <w:t xml:space="preserve">wszystkich </w:t>
      </w:r>
      <w:r w:rsidR="00DE05DC" w:rsidRPr="009E064B">
        <w:rPr>
          <w:rFonts w:asciiTheme="minorHAnsi" w:eastAsia="Times New Roman" w:hAnsiTheme="minorHAnsi" w:cstheme="minorHAnsi"/>
          <w:szCs w:val="20"/>
        </w:rPr>
        <w:t>pracowników lotniska i inne odpowiednie organizacje o zm</w:t>
      </w:r>
      <w:r w:rsidR="00BF2E35" w:rsidRPr="009E064B">
        <w:rPr>
          <w:rFonts w:asciiTheme="minorHAnsi" w:eastAsia="Times New Roman" w:hAnsiTheme="minorHAnsi" w:cstheme="minorHAnsi"/>
          <w:szCs w:val="20"/>
        </w:rPr>
        <w:t xml:space="preserve">ianach dotyczących ich zadań i </w:t>
      </w:r>
      <w:r w:rsidR="00DE05DC" w:rsidRPr="009E064B">
        <w:rPr>
          <w:rFonts w:asciiTheme="minorHAnsi" w:eastAsia="Times New Roman" w:hAnsiTheme="minorHAnsi" w:cstheme="minorHAnsi"/>
          <w:szCs w:val="20"/>
        </w:rPr>
        <w:t>obowiązków.</w:t>
      </w:r>
    </w:p>
    <w:p w14:paraId="2D8AF98A" w14:textId="1E0462DF" w:rsidR="00471AC9"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h)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by wszelkie informacje pochodzące z innych zatwierdzonych dokumentów, a także ich zmiany, były odpowiednio odzwierciedlone w instrukcji operacyjnej lotniska. Wymagan</w:t>
      </w:r>
      <w:r w:rsidR="00B9208B" w:rsidRPr="009E064B">
        <w:rPr>
          <w:rFonts w:asciiTheme="minorHAnsi" w:hAnsiTheme="minorHAnsi" w:cstheme="minorHAnsi"/>
          <w:sz w:val="22"/>
          <w:szCs w:val="20"/>
        </w:rPr>
        <w:t>ie to nie uniemożliwia opera</w:t>
      </w:r>
      <w:r w:rsidR="00DE05DC" w:rsidRPr="009E064B">
        <w:rPr>
          <w:rFonts w:asciiTheme="minorHAnsi" w:hAnsiTheme="minorHAnsi" w:cstheme="minorHAnsi"/>
          <w:sz w:val="22"/>
          <w:szCs w:val="20"/>
        </w:rPr>
        <w:t>torowi lotniska stosowania w instrukcji operacyjnej lotniska bardziej ostrożnych danych i procedur.</w:t>
      </w:r>
    </w:p>
    <w:p w14:paraId="40747159" w14:textId="77777777" w:rsidR="00471AC9" w:rsidRPr="009E064B" w:rsidRDefault="00471AC9">
      <w:pPr>
        <w:spacing w:after="0"/>
        <w:jc w:val="left"/>
        <w:rPr>
          <w:rFonts w:asciiTheme="minorHAnsi" w:eastAsia="Times New Roman" w:hAnsiTheme="minorHAnsi" w:cstheme="minorHAnsi"/>
          <w:szCs w:val="20"/>
        </w:rPr>
      </w:pPr>
      <w:r w:rsidRPr="009E064B">
        <w:rPr>
          <w:rFonts w:asciiTheme="minorHAnsi" w:hAnsiTheme="minorHAnsi" w:cstheme="minorHAnsi"/>
          <w:szCs w:val="20"/>
        </w:rPr>
        <w:br w:type="page"/>
      </w:r>
    </w:p>
    <w:p w14:paraId="4793E332" w14:textId="2951CC7F"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F6648B" w:rsidRPr="009E064B">
        <w:rPr>
          <w:rFonts w:asciiTheme="minorHAnsi" w:hAnsiTheme="minorHAnsi" w:cstheme="minorHAnsi"/>
          <w:sz w:val="22"/>
          <w:szCs w:val="20"/>
        </w:rPr>
        <w:t xml:space="preserve">i)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by:</w:t>
      </w:r>
    </w:p>
    <w:p w14:paraId="0F7FDA9F" w14:textId="421EE28D"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F6648B"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instrukcja operacyjna lotniska została sporządzona w języku, który jest do przyjęcia dla właściwego organu; oraz</w:t>
      </w:r>
    </w:p>
    <w:p w14:paraId="36F2B6FE" w14:textId="35E620D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wszyscy pracownicy byli w stanie przeczytać i zrozumieć język, w jakim zostały sporządzone te części instrukcji operacyjnej lotniska i innych dokumentów operacyjnych, które dotyczą ich zadań i obowiązków.</w:t>
      </w:r>
    </w:p>
    <w:p w14:paraId="1862EEB7" w14:textId="5886242E"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9B6B2C" w:rsidRPr="009E064B">
        <w:rPr>
          <w:rFonts w:asciiTheme="minorHAnsi" w:hAnsiTheme="minorHAnsi" w:cstheme="minorHAnsi"/>
          <w:sz w:val="22"/>
          <w:szCs w:val="20"/>
        </w:rPr>
        <w:t xml:space="preserve">j)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zapewnia, by instrukcja operacyjna lotniska:</w:t>
      </w:r>
    </w:p>
    <w:p w14:paraId="266C9E0D" w14:textId="2D26D74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B9208B" w:rsidRPr="009E064B">
        <w:rPr>
          <w:rFonts w:asciiTheme="minorHAnsi" w:eastAsia="Times New Roman" w:hAnsiTheme="minorHAnsi" w:cstheme="minorHAnsi"/>
          <w:szCs w:val="20"/>
        </w:rPr>
        <w:t xml:space="preserve">została podpisana przez </w:t>
      </w:r>
      <w:r w:rsidR="00DE05DC" w:rsidRPr="009E064B">
        <w:rPr>
          <w:rFonts w:asciiTheme="minorHAnsi" w:eastAsia="Times New Roman" w:hAnsiTheme="minorHAnsi" w:cstheme="minorHAnsi"/>
          <w:szCs w:val="20"/>
        </w:rPr>
        <w:t>kierownika odpowiedzialnego lotniska;</w:t>
      </w:r>
    </w:p>
    <w:p w14:paraId="2FF81BB6" w14:textId="461D54BF"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została wydrukowana lub sporządzona w wersji elektronicznej i była łatwa do aktualizowania;</w:t>
      </w:r>
    </w:p>
    <w:p w14:paraId="5C4BD76D" w14:textId="6E4905B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B9208B" w:rsidRPr="009E064B">
        <w:rPr>
          <w:rFonts w:asciiTheme="minorHAnsi" w:eastAsia="Times New Roman" w:hAnsiTheme="minorHAnsi" w:cstheme="minorHAnsi"/>
          <w:szCs w:val="20"/>
        </w:rPr>
        <w:t xml:space="preserve">posiadała system kontroli </w:t>
      </w:r>
      <w:r w:rsidR="00DE05DC" w:rsidRPr="009E064B">
        <w:rPr>
          <w:rFonts w:asciiTheme="minorHAnsi" w:eastAsia="Times New Roman" w:hAnsiTheme="minorHAnsi" w:cstheme="minorHAnsi"/>
          <w:szCs w:val="20"/>
        </w:rPr>
        <w:t xml:space="preserve">zmian, </w:t>
      </w:r>
      <w:r w:rsidR="00B9208B" w:rsidRPr="009E064B">
        <w:rPr>
          <w:rFonts w:asciiTheme="minorHAnsi" w:eastAsia="Times New Roman" w:hAnsiTheme="minorHAnsi" w:cstheme="minorHAnsi"/>
          <w:szCs w:val="20"/>
        </w:rPr>
        <w:t xml:space="preserve">który jest stosowany i przedstawiany w widoczny sposób w treści </w:t>
      </w:r>
      <w:r w:rsidR="00DE05DC" w:rsidRPr="009E064B">
        <w:rPr>
          <w:rFonts w:asciiTheme="minorHAnsi" w:eastAsia="Times New Roman" w:hAnsiTheme="minorHAnsi" w:cstheme="minorHAnsi"/>
          <w:szCs w:val="20"/>
        </w:rPr>
        <w:t>instrukcji operacyjnej lotniska; oraz</w:t>
      </w:r>
    </w:p>
    <w:p w14:paraId="64946748" w14:textId="026C3D2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uwzględnia</w:t>
      </w:r>
      <w:r w:rsidR="00B9208B" w:rsidRPr="009E064B">
        <w:rPr>
          <w:rFonts w:asciiTheme="minorHAnsi" w:eastAsia="Times New Roman" w:hAnsiTheme="minorHAnsi" w:cstheme="minorHAnsi"/>
          <w:szCs w:val="20"/>
        </w:rPr>
        <w:t xml:space="preserve">ła zasady czynnika ludzkiego i była zorganizowana w </w:t>
      </w:r>
      <w:r w:rsidR="00DE05DC" w:rsidRPr="009E064B">
        <w:rPr>
          <w:rFonts w:asciiTheme="minorHAnsi" w:eastAsia="Times New Roman" w:hAnsiTheme="minorHAnsi" w:cstheme="minorHAnsi"/>
          <w:szCs w:val="20"/>
        </w:rPr>
        <w:t>sposób ułatwiają</w:t>
      </w:r>
      <w:r w:rsidR="00B9208B" w:rsidRPr="009E064B">
        <w:rPr>
          <w:rFonts w:asciiTheme="minorHAnsi" w:eastAsia="Times New Roman" w:hAnsiTheme="minorHAnsi" w:cstheme="minorHAnsi"/>
          <w:szCs w:val="20"/>
        </w:rPr>
        <w:t xml:space="preserve">cy jej opracowanie, używanie i </w:t>
      </w:r>
      <w:r w:rsidR="00DE05DC" w:rsidRPr="009E064B">
        <w:rPr>
          <w:rFonts w:asciiTheme="minorHAnsi" w:eastAsia="Times New Roman" w:hAnsiTheme="minorHAnsi" w:cstheme="minorHAnsi"/>
          <w:szCs w:val="20"/>
        </w:rPr>
        <w:t>aktualizowanie.</w:t>
      </w:r>
    </w:p>
    <w:p w14:paraId="2C4B2A92" w14:textId="0D71EF2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9B6B2C" w:rsidRPr="009E064B">
        <w:rPr>
          <w:rFonts w:asciiTheme="minorHAnsi" w:hAnsiTheme="minorHAnsi" w:cstheme="minorHAnsi"/>
          <w:sz w:val="22"/>
          <w:szCs w:val="20"/>
        </w:rPr>
        <w:t xml:space="preserve">k)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Operator lotniska przechowuje na lotnisku co najmniej jeden kompletny i aktualny egzemplarz instrukcji operacyjnej lotniska i udostępnia go do wglądu właściwemu organowi.</w:t>
      </w:r>
    </w:p>
    <w:p w14:paraId="5AACEEB7" w14:textId="66EFC48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9B6B2C" w:rsidRPr="009E064B">
        <w:rPr>
          <w:rFonts w:asciiTheme="minorHAnsi" w:hAnsiTheme="minorHAnsi" w:cstheme="minorHAnsi"/>
          <w:sz w:val="22"/>
          <w:szCs w:val="20"/>
        </w:rPr>
        <w:t xml:space="preserve">l) </w:t>
      </w:r>
      <w:r w:rsidR="00BF2E35" w:rsidRPr="009E064B">
        <w:rPr>
          <w:rFonts w:asciiTheme="minorHAnsi" w:hAnsiTheme="minorHAnsi" w:cstheme="minorHAnsi"/>
          <w:sz w:val="22"/>
          <w:szCs w:val="20"/>
        </w:rPr>
        <w:tab/>
      </w:r>
      <w:r w:rsidR="00DE05DC" w:rsidRPr="009E064B">
        <w:rPr>
          <w:rFonts w:asciiTheme="minorHAnsi" w:hAnsiTheme="minorHAnsi" w:cstheme="minorHAnsi"/>
          <w:sz w:val="22"/>
          <w:szCs w:val="20"/>
        </w:rPr>
        <w:t>Treść instrukcji operacyjnej lotniska zawiera następujące elementy:</w:t>
      </w:r>
    </w:p>
    <w:p w14:paraId="374ECDDB" w14:textId="3E967624"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1) </w:t>
      </w:r>
      <w:r w:rsidR="00BF2E35" w:rsidRPr="009E064B">
        <w:rPr>
          <w:rFonts w:asciiTheme="minorHAnsi" w:eastAsia="Times New Roman" w:hAnsiTheme="minorHAnsi" w:cstheme="minorHAnsi"/>
          <w:szCs w:val="20"/>
        </w:rPr>
        <w:tab/>
      </w:r>
      <w:r w:rsidR="009B0A08" w:rsidRPr="009E064B">
        <w:rPr>
          <w:rFonts w:asciiTheme="minorHAnsi" w:eastAsia="Times New Roman" w:hAnsiTheme="minorHAnsi" w:cstheme="minorHAnsi"/>
          <w:szCs w:val="20"/>
        </w:rPr>
        <w:t>Wymagania ogólne</w:t>
      </w:r>
      <w:r w:rsidR="00DE05DC" w:rsidRPr="009E064B">
        <w:rPr>
          <w:rFonts w:asciiTheme="minorHAnsi" w:eastAsia="Times New Roman" w:hAnsiTheme="minorHAnsi" w:cstheme="minorHAnsi"/>
          <w:szCs w:val="20"/>
        </w:rPr>
        <w:t>;</w:t>
      </w:r>
    </w:p>
    <w:p w14:paraId="653C0932" w14:textId="64334CA0"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2)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informacje o systemie zarządzania lotniska oraz wymagan</w:t>
      </w:r>
      <w:r w:rsidR="00845986" w:rsidRPr="009E064B">
        <w:rPr>
          <w:rFonts w:asciiTheme="minorHAnsi" w:eastAsia="Times New Roman" w:hAnsiTheme="minorHAnsi" w:cstheme="minorHAnsi"/>
          <w:szCs w:val="20"/>
        </w:rPr>
        <w:t>iach dotyczących kwalifikacji i </w:t>
      </w:r>
      <w:r w:rsidR="00DE05DC" w:rsidRPr="009E064B">
        <w:rPr>
          <w:rFonts w:asciiTheme="minorHAnsi" w:eastAsia="Times New Roman" w:hAnsiTheme="minorHAnsi" w:cstheme="minorHAnsi"/>
          <w:szCs w:val="20"/>
        </w:rPr>
        <w:t>szkolenia;</w:t>
      </w:r>
    </w:p>
    <w:p w14:paraId="4B39BDAC" w14:textId="1F0F882B"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3)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szczegółowe dane dotyczące lotniska;</w:t>
      </w:r>
    </w:p>
    <w:p w14:paraId="012E48A7" w14:textId="31E79EA2"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4)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szczegółowe dane dotyczące lotniska podlegające obowiązkowi zgłaszania służbie informacji lotniczej; oraz</w:t>
      </w:r>
    </w:p>
    <w:p w14:paraId="67A5E7FC" w14:textId="1DBD6B7E"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9B6B2C" w:rsidRPr="009E064B">
        <w:rPr>
          <w:rFonts w:asciiTheme="minorHAnsi" w:eastAsia="Times New Roman" w:hAnsiTheme="minorHAnsi" w:cstheme="minorHAnsi"/>
          <w:szCs w:val="20"/>
        </w:rPr>
        <w:t xml:space="preserve">5) </w:t>
      </w:r>
      <w:r w:rsidR="00BF2E35"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szczegółowe dane dotyczące procedur </w:t>
      </w:r>
      <w:r w:rsidR="009B6B2C" w:rsidRPr="009E064B">
        <w:rPr>
          <w:rFonts w:asciiTheme="minorHAnsi" w:eastAsia="Times New Roman" w:hAnsiTheme="minorHAnsi" w:cstheme="minorHAnsi"/>
          <w:szCs w:val="20"/>
        </w:rPr>
        <w:t xml:space="preserve">operacyjnych </w:t>
      </w:r>
      <w:r w:rsidR="00845986" w:rsidRPr="009E064B">
        <w:rPr>
          <w:rFonts w:asciiTheme="minorHAnsi" w:eastAsia="Times New Roman" w:hAnsiTheme="minorHAnsi" w:cstheme="minorHAnsi"/>
          <w:szCs w:val="20"/>
        </w:rPr>
        <w:t>lotniska, jego wyposażenia i </w:t>
      </w:r>
      <w:r w:rsidR="00DE05DC" w:rsidRPr="009E064B">
        <w:rPr>
          <w:rFonts w:asciiTheme="minorHAnsi" w:eastAsia="Times New Roman" w:hAnsiTheme="minorHAnsi" w:cstheme="minorHAnsi"/>
          <w:szCs w:val="20"/>
        </w:rPr>
        <w:t xml:space="preserve">stosowanych środków </w:t>
      </w:r>
      <w:r w:rsidR="009B6B2C" w:rsidRPr="009E064B">
        <w:rPr>
          <w:rFonts w:asciiTheme="minorHAnsi" w:eastAsia="Times New Roman" w:hAnsiTheme="minorHAnsi" w:cstheme="minorHAnsi"/>
          <w:szCs w:val="20"/>
        </w:rPr>
        <w:t>bezpie</w:t>
      </w:r>
      <w:r w:rsidR="00DE05DC" w:rsidRPr="009E064B">
        <w:rPr>
          <w:rFonts w:asciiTheme="minorHAnsi" w:eastAsia="Times New Roman" w:hAnsiTheme="minorHAnsi" w:cstheme="minorHAnsi"/>
          <w:szCs w:val="20"/>
        </w:rPr>
        <w:t>czeństwa.</w:t>
      </w:r>
    </w:p>
    <w:p w14:paraId="45EBCEFC" w14:textId="7CA2DE44" w:rsidR="00AA7C09" w:rsidRPr="009E064B" w:rsidRDefault="00AA7C09" w:rsidP="00133B99">
      <w:pPr>
        <w:pStyle w:val="Nagwek5"/>
      </w:pPr>
      <w:bookmarkStart w:id="482" w:name="_Toc492024667"/>
      <w:bookmarkStart w:id="483" w:name="_Toc12532765"/>
      <w:r w:rsidRPr="009E064B">
        <w:t xml:space="preserve">AMC1 ADR.OR.E.005    </w:t>
      </w:r>
      <w:r w:rsidR="004002F9" w:rsidRPr="009E064B">
        <w:t xml:space="preserve"> </w:t>
      </w:r>
      <w:r w:rsidRPr="009E064B">
        <w:t>Instrukcja operacyjna lotniska</w:t>
      </w:r>
      <w:bookmarkEnd w:id="482"/>
      <w:bookmarkEnd w:id="483"/>
    </w:p>
    <w:p w14:paraId="0270715E" w14:textId="1B34F7E0"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EB9D221" w14:textId="6A9E2586" w:rsidR="00AA7C09"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29BF118F"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Instrukcje operacyjne lotnisk mogą różnić się w szczegółach w zależności od złożoności operacji oraz rodzaju lotniska.</w:t>
      </w:r>
    </w:p>
    <w:p w14:paraId="22117610"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Instrukcja operacyjna lotniska lub jej części mogą być przedstawione w dowolnej formie, także w formie elektronicznej. We wszystkich przypadkach powinna być zapewniona dostępność, użyteczność i wiarygodność.</w:t>
      </w:r>
    </w:p>
    <w:p w14:paraId="12EB18D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Instrukcja operacyjna lotniska powinna być taka, aby:</w:t>
      </w:r>
    </w:p>
    <w:p w14:paraId="6025699D"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wszystkie jej części były spójne oraz zgodne w formie i treści;</w:t>
      </w:r>
    </w:p>
    <w:p w14:paraId="1651A6F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można było łatwo dokonywać zmian, oraz</w:t>
      </w:r>
    </w:p>
    <w:p w14:paraId="55803AE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treść i status dokonywanych w niej zmian był kontrolowany i wyraźnie określony.</w:t>
      </w:r>
    </w:p>
    <w:p w14:paraId="335FDD6C"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Instrukcja operacyjna lotniska powinna zawierać opis zmiany oraz proces przeprowadzenia korekty określający:</w:t>
      </w:r>
    </w:p>
    <w:p w14:paraId="7FBE5298"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osobę(y), która może zatwierdzać zmiany lub aktualizacje;</w:t>
      </w:r>
    </w:p>
    <w:p w14:paraId="437393A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warunki tymczasowych aktualizacji i/lub natychmiastowych poprawek lub zmian wymaganych w celu zapewnienia bezpieczeństwa; oraz</w:t>
      </w:r>
    </w:p>
    <w:p w14:paraId="43F4EA1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metody, za pomocą których cały personel i organizacje są informowani o zmianach w instrukcji operacyjnej lotniska.</w:t>
      </w:r>
    </w:p>
    <w:p w14:paraId="25C5BF43" w14:textId="7B79165F"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Instrukcja operacyjna lotniska może zawierać części, lub odnosić się do innych podlegających kontroli dokumentów, takich jak instrukcja wyposażenia lotniska, które są dostępne do użytku przez personel na lotnisku.</w:t>
      </w:r>
    </w:p>
    <w:p w14:paraId="42FBEEB1" w14:textId="58502C66" w:rsidR="00DA0F9D" w:rsidRPr="009E064B" w:rsidRDefault="00DA0F9D" w:rsidP="00133B99">
      <w:pPr>
        <w:pStyle w:val="Nagwek6"/>
      </w:pPr>
      <w:bookmarkStart w:id="484" w:name="_Toc492024670"/>
      <w:bookmarkStart w:id="485" w:name="_Toc12532766"/>
      <w:r w:rsidRPr="009E064B">
        <w:t>GM1 ADR.OR.E.005     Instrukcja operacyjna lotniska</w:t>
      </w:r>
      <w:bookmarkEnd w:id="484"/>
      <w:bookmarkEnd w:id="485"/>
    </w:p>
    <w:p w14:paraId="5600D371" w14:textId="717F7042" w:rsidR="00DA0F9D" w:rsidRPr="009E064B" w:rsidRDefault="00D63D4F" w:rsidP="00DA0F9D">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8BC7967" w14:textId="77777777" w:rsidR="00DA0F9D" w:rsidRPr="009E064B" w:rsidRDefault="00DA0F9D" w:rsidP="00DA0F9D">
      <w:pPr>
        <w:widowControl/>
        <w:rPr>
          <w:rFonts w:asciiTheme="minorHAnsi" w:eastAsia="Calibri" w:hAnsiTheme="minorHAnsi" w:cstheme="minorHAnsi"/>
        </w:rPr>
      </w:pPr>
      <w:r w:rsidRPr="009E064B">
        <w:rPr>
          <w:rFonts w:asciiTheme="minorHAnsi" w:eastAsia="Calibri" w:hAnsiTheme="minorHAnsi" w:cstheme="minorHAnsi"/>
        </w:rPr>
        <w:t>INSTRUKCJA OPERACYJNA LOTNISKA</w:t>
      </w:r>
    </w:p>
    <w:p w14:paraId="718A5F13" w14:textId="77777777" w:rsidR="00DA0F9D" w:rsidRPr="009E064B" w:rsidRDefault="00DA0F9D" w:rsidP="00DA0F9D">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Forma instrukcji operacyjnej lotniska</w:t>
      </w:r>
    </w:p>
    <w:p w14:paraId="646E4314" w14:textId="77777777"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Instrukcja operacyjna lotniska jest kluczowym dokumentem zarówno dla operatora lotniska, jak również dla właściwego organu. Instrukcja ta jest dokumentem źródłowym opisującym jak infrastruktura lotniska, wyposażenie i procedury operacyjne będą bezpiecznie funkcjonować.</w:t>
      </w:r>
    </w:p>
    <w:p w14:paraId="751034BF" w14:textId="77777777"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Tak jak w przypadku procedur operacyjnych, właściwy organ będzie oczekiwał, że instrukcja operacyjna lotniska będzie dokładnym odzwierciedleniem codziennego funkcjonowania systemu zarządzania bezpieczeństwem lotniska oraz jego kultury bezpieczeństwa. Będzie musiała pokazać jak lotnisko zamierza zmierzyć skuteczność działań w zakresie bezpieczeństwa w porównaniu z zakładanym poziomem i celami bezpieczeństwa. Osoba czytająca instrukcję operacyjną lotniska powinna mieć jasno sprecyzowane, jak bezpieczeństwo na lotnisku jest rozwijane, zarządzane i utrzymywane. Wszystkie polityki bezpieczeństwa, procedury operacyjne i instrukcje powinny być zawarte w szczegółach, jeśli są istotne lub odsyłają do innych kontrolowanych, formalnie przyjętych lub uznanych publikacji.</w:t>
      </w:r>
    </w:p>
    <w:p w14:paraId="09C48577" w14:textId="4D64CF85"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Na większych lotniskach, rozmiar i złożoność operacji i związanych z nimi procedur mogą dyktować, że procedury te nie będą mogły być łatwo w</w:t>
      </w:r>
      <w:r w:rsidR="00371A8B" w:rsidRPr="009E064B">
        <w:rPr>
          <w:rFonts w:asciiTheme="minorHAnsi" w:eastAsia="Calibri" w:hAnsiTheme="minorHAnsi" w:cstheme="minorHAnsi"/>
        </w:rPr>
        <w:t>łączone do jednego dokumentu. W </w:t>
      </w:r>
      <w:r w:rsidRPr="009E064B">
        <w:rPr>
          <w:rFonts w:asciiTheme="minorHAnsi" w:eastAsia="Calibri" w:hAnsiTheme="minorHAnsi" w:cstheme="minorHAnsi"/>
        </w:rPr>
        <w:t xml:space="preserve">takich okolicznościach dopuszczalne jest, aby w instrukcji </w:t>
      </w:r>
      <w:r w:rsidR="00371A8B" w:rsidRPr="009E064B">
        <w:rPr>
          <w:rFonts w:asciiTheme="minorHAnsi" w:eastAsia="Calibri" w:hAnsiTheme="minorHAnsi" w:cstheme="minorHAnsi"/>
        </w:rPr>
        <w:t>operacyjnej lotniska określić i </w:t>
      </w:r>
      <w:r w:rsidRPr="009E064B">
        <w:rPr>
          <w:rFonts w:asciiTheme="minorHAnsi" w:eastAsia="Calibri" w:hAnsiTheme="minorHAnsi" w:cstheme="minorHAnsi"/>
        </w:rPr>
        <w:t>odnieść się do procedur, które nie są w niej zawarte. Jeśli ten system ma odnieść sukces, to konieczne jest, aby wszelkie odnośne informacje, dokumenta</w:t>
      </w:r>
      <w:r w:rsidR="00371A8B" w:rsidRPr="009E064B">
        <w:rPr>
          <w:rFonts w:asciiTheme="minorHAnsi" w:eastAsia="Calibri" w:hAnsiTheme="minorHAnsi" w:cstheme="minorHAnsi"/>
        </w:rPr>
        <w:t>cja i procedury były dostępne w </w:t>
      </w:r>
      <w:r w:rsidRPr="009E064B">
        <w:rPr>
          <w:rFonts w:asciiTheme="minorHAnsi" w:eastAsia="Calibri" w:hAnsiTheme="minorHAnsi" w:cstheme="minorHAnsi"/>
        </w:rPr>
        <w:t>razie potrzeby całemu personelowi operacyjnemu w sposób podobny do tego, w jaki dostępna jest sama instrukcja operacyjna lotniska. W tym celu, mogłaby być przydatna, skomputeryzowana baza danych zawierająca odnośne procedury i informacje. Dla wielu małych lotnisk, instrukcja operacyjna lotniska może być zarówno prosta jak i krótka, o ile obejmuje ona procedury niezbędne do prowadzenia codziennych operacji na zadowalającym poziomie. Niemniej jednak, możliwe jest przyjęcie wspólnego formatu obejmującego istotne elementy, które określają system zarządzania bezpieczeństwem.</w:t>
      </w:r>
    </w:p>
    <w:p w14:paraId="5340E64B" w14:textId="77777777" w:rsidR="00DA0F9D" w:rsidRPr="009E064B" w:rsidRDefault="00DA0F9D" w:rsidP="00DA0F9D">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Cel opracowania instrukcji operacyjnej lotniska</w:t>
      </w:r>
    </w:p>
    <w:p w14:paraId="7BCFB0B2" w14:textId="73D91F23"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Efektywna struktura zarządzania i systematyczne podejście do instrukcji operacyjnej lotniska ma zasadnicze znaczenie. Instrukcja operacyjna lotniska powinna zawierać wszystkie istotne informacje w celu opisania tej struktury w sposób zadowalając</w:t>
      </w:r>
      <w:r w:rsidR="00471AC9" w:rsidRPr="009E064B">
        <w:rPr>
          <w:rFonts w:asciiTheme="minorHAnsi" w:eastAsia="Calibri" w:hAnsiTheme="minorHAnsi" w:cstheme="minorHAnsi"/>
        </w:rPr>
        <w:t>y. Jest to jeden ze sposobów, w </w:t>
      </w:r>
      <w:r w:rsidRPr="009E064B">
        <w:rPr>
          <w:rFonts w:asciiTheme="minorHAnsi" w:eastAsia="Calibri" w:hAnsiTheme="minorHAnsi" w:cstheme="minorHAnsi"/>
        </w:rPr>
        <w:t>jaki cały personel operacyjny może być informowany o swoich obowiązkach i odpowiedzialności w zakresie bezpieczeństwa. Instrukcja operacyjna lotniska powinna opisywać infrastrukturę lotniska, usługi i udogodnienia, wszystkie procedury operacyjne oraz ograniczenia dotyczące dostępności lotniska.</w:t>
      </w:r>
    </w:p>
    <w:p w14:paraId="69BA9A9E" w14:textId="26958AC3"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Odpowiedzialność za bezpieczeństwo musi zaczynać się na samym szczycie każdej organizacji. Jednym z kluczowych elementów w tworzeniu bezpiecznych praktyk</w:t>
      </w:r>
      <w:r w:rsidR="00371A8B" w:rsidRPr="009E064B">
        <w:rPr>
          <w:rFonts w:asciiTheme="minorHAnsi" w:eastAsia="Calibri" w:hAnsiTheme="minorHAnsi" w:cstheme="minorHAnsi"/>
        </w:rPr>
        <w:t xml:space="preserve"> pracy jest podejście „z </w:t>
      </w:r>
      <w:r w:rsidRPr="009E064B">
        <w:rPr>
          <w:rFonts w:asciiTheme="minorHAnsi" w:eastAsia="Calibri" w:hAnsiTheme="minorHAnsi" w:cstheme="minorHAnsi"/>
        </w:rPr>
        <w:t>góry na dół”, gdzie wszyscy pracownicy powinni zrozumieć cele bezpieczeństwa organizacji, hierarchię służbową oraz własne obowiązki i odpowiedzialność. Kiedy stosowane zasady zarządzania bezpieczeństwem zostaną wdrożone, instrukcja operacyjna lotniska powinna zostać rozbudowana, aby jasno opisać, w jaki sposób ma być zarządzane bezpieczeństwo operacji. Czytelnik lub użytkownik instrukcji operacyjnej lotniska nigdy nie powinien mieć żadnych wątpliwości, jeśli chodzi o odpowiedzialność w zakresie bezpieczeństwa w każdej dziedzinie lu</w:t>
      </w:r>
      <w:r w:rsidR="000C0EEE" w:rsidRPr="009E064B">
        <w:rPr>
          <w:rFonts w:asciiTheme="minorHAnsi" w:eastAsia="Calibri" w:hAnsiTheme="minorHAnsi" w:cstheme="minorHAnsi"/>
        </w:rPr>
        <w:t>b opisanej działalności. Każda S</w:t>
      </w:r>
      <w:r w:rsidRPr="009E064B">
        <w:rPr>
          <w:rFonts w:asciiTheme="minorHAnsi" w:eastAsia="Calibri" w:hAnsiTheme="minorHAnsi" w:cstheme="minorHAnsi"/>
        </w:rPr>
        <w:t>ekcja powinna określać, kto posiada odpowiedzialność kierowniczą, kto posiada odpowiedzialność pracowniczą, kto ma kompetencje, a kto faktycznie wyk</w:t>
      </w:r>
      <w:r w:rsidR="000C0EEE" w:rsidRPr="009E064B">
        <w:rPr>
          <w:rFonts w:asciiTheme="minorHAnsi" w:eastAsia="Calibri" w:hAnsiTheme="minorHAnsi" w:cstheme="minorHAnsi"/>
        </w:rPr>
        <w:t>onuje zadania opisane w każdej S</w:t>
      </w:r>
      <w:r w:rsidRPr="009E064B">
        <w:rPr>
          <w:rFonts w:asciiTheme="minorHAnsi" w:eastAsia="Calibri" w:hAnsiTheme="minorHAnsi" w:cstheme="minorHAnsi"/>
        </w:rPr>
        <w:t>ekcji.</w:t>
      </w:r>
    </w:p>
    <w:p w14:paraId="36CA8647" w14:textId="77777777"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Podstawowym celem instrukcji operacyjnej lotniska powinno być przedstawienie, w jaki sposób kierownictwo będzie realizować swoje obowiązki w zakresie bezpieczeństwa. Instrukcja operacyjna lotniska określi politykę i oczekiwane standardy skuteczności działania oraz procedury, według których zostaną one osiągnięte.</w:t>
      </w:r>
    </w:p>
    <w:p w14:paraId="128E1455" w14:textId="77777777"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Operator lotniska powinien zapewnić, że:</w:t>
      </w:r>
    </w:p>
    <w:p w14:paraId="6FAEBFBE" w14:textId="77777777" w:rsidR="00DA0F9D" w:rsidRPr="009E064B" w:rsidRDefault="00DA0F9D" w:rsidP="00DA0F9D">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obowiązki operatora lotniska są jasno opisane;</w:t>
      </w:r>
    </w:p>
    <w:p w14:paraId="1DFEC513" w14:textId="77777777" w:rsidR="00DA0F9D" w:rsidRPr="009E064B" w:rsidRDefault="00DA0F9D" w:rsidP="00DA0F9D">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wymienione są zadania i działania, które mają być wykonywane przez operatora lotniska lub jego podwykonawców; oraz</w:t>
      </w:r>
    </w:p>
    <w:p w14:paraId="51DB36DA" w14:textId="77777777" w:rsidR="00DA0F9D" w:rsidRPr="009E064B" w:rsidRDefault="00DA0F9D" w:rsidP="00DA0F9D">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środki i procedury do wykonania tych zadań i działań są opisane lub dołączone wraz z niezbędnymi szczegółami w zakresie ich częstotliwości i metod pracy.</w:t>
      </w:r>
    </w:p>
    <w:p w14:paraId="61D437F0" w14:textId="77777777" w:rsidR="00DA0F9D" w:rsidRPr="009E064B" w:rsidRDefault="00DA0F9D" w:rsidP="00DA0F9D">
      <w:pPr>
        <w:widowControl/>
        <w:ind w:left="567"/>
        <w:rPr>
          <w:rFonts w:asciiTheme="minorHAnsi" w:eastAsia="Calibri" w:hAnsiTheme="minorHAnsi" w:cstheme="minorHAnsi"/>
        </w:rPr>
      </w:pPr>
      <w:r w:rsidRPr="009E064B">
        <w:rPr>
          <w:rFonts w:asciiTheme="minorHAnsi" w:eastAsia="Calibri" w:hAnsiTheme="minorHAnsi" w:cstheme="minorHAnsi"/>
        </w:rPr>
        <w:t>Tam, gdzie obowiązki są przydzielane innym zainteresowanym stronom, instrukcja operacyjna lotniska powinna jasno określać te strony.</w:t>
      </w:r>
    </w:p>
    <w:p w14:paraId="2E4742AF" w14:textId="11B40E9F" w:rsidR="00AA7C09" w:rsidRPr="009E064B" w:rsidRDefault="00AA7C09" w:rsidP="00133B99">
      <w:pPr>
        <w:pStyle w:val="Nagwek5"/>
      </w:pPr>
      <w:bookmarkStart w:id="486" w:name="_Toc492024668"/>
      <w:bookmarkStart w:id="487" w:name="_Toc12532767"/>
      <w:r w:rsidRPr="009E064B">
        <w:t xml:space="preserve">AMC2 ADR.OR.E.005(i)(2)    </w:t>
      </w:r>
      <w:r w:rsidR="004002F9" w:rsidRPr="009E064B">
        <w:t xml:space="preserve"> </w:t>
      </w:r>
      <w:r w:rsidRPr="009E064B">
        <w:t>Instrukcja operacyjna lotniska</w:t>
      </w:r>
      <w:bookmarkEnd w:id="486"/>
      <w:bookmarkEnd w:id="487"/>
    </w:p>
    <w:p w14:paraId="7ED60924" w14:textId="3E1CE428"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429948C"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JĘZYK INSTRUKCJI OPERACYJNEJ LOTNISKA</w:t>
      </w:r>
    </w:p>
    <w:p w14:paraId="7A34C368"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Przetłumaczona wersja odpowiednich części instrukcji operacyjnej lotniska jest dopuszczalnym środkiem spełnienia odpowiedniego wymagania. W każdym przypadku, osoby zamierzające skorzystać z instrukcji powinny być w stanie ją przeczytać i zrozumieć.</w:t>
      </w:r>
    </w:p>
    <w:p w14:paraId="5539530F" w14:textId="39494859" w:rsidR="00AA7C09" w:rsidRPr="009E064B" w:rsidRDefault="00AA7C09" w:rsidP="00133B99">
      <w:pPr>
        <w:pStyle w:val="Nagwek5"/>
      </w:pPr>
      <w:bookmarkStart w:id="488" w:name="_AMC3_ADR.OR.E.005_"/>
      <w:bookmarkStart w:id="489" w:name="_Toc492024669"/>
      <w:bookmarkStart w:id="490" w:name="_Toc12532768"/>
      <w:bookmarkEnd w:id="488"/>
      <w:r w:rsidRPr="009E064B">
        <w:t xml:space="preserve">AMC3 ADR.OR.E.005   </w:t>
      </w:r>
      <w:r w:rsidR="004002F9" w:rsidRPr="009E064B">
        <w:t xml:space="preserve">  </w:t>
      </w:r>
      <w:r w:rsidRPr="009E064B">
        <w:t>Instrukcja operacyjna lotniska</w:t>
      </w:r>
      <w:bookmarkEnd w:id="489"/>
      <w:bookmarkEnd w:id="490"/>
    </w:p>
    <w:p w14:paraId="13343E0B" w14:textId="76CD5DFA"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63CEC6F"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INSTRUKCJA OPERACYJNA LOTNISKA</w:t>
      </w:r>
    </w:p>
    <w:p w14:paraId="7A474041" w14:textId="77777777"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Instrukcja operacyjna lotniska powinna mieć następującą strukturę i zawierać, co najmniej następujące informacje. Jeśli element nie ma zastosowania, należy dodać oznaczenie „nie dotyczy” lub „celowo pozostawiono puste”, wraz z podaniem odpowiedniego powodu:</w:t>
      </w:r>
    </w:p>
    <w:p w14:paraId="1A78E6F7" w14:textId="6C76FC85" w:rsidR="00AA7C09" w:rsidRPr="009E064B" w:rsidRDefault="00AA7C09" w:rsidP="00B06A9A">
      <w:pPr>
        <w:widowControl/>
        <w:tabs>
          <w:tab w:val="left" w:pos="567"/>
        </w:tabs>
        <w:spacing w:before="240"/>
        <w:ind w:left="1701" w:hanging="1701"/>
        <w:jc w:val="left"/>
        <w:rPr>
          <w:rFonts w:asciiTheme="minorHAnsi" w:eastAsia="Calibri" w:hAnsiTheme="minorHAnsi" w:cstheme="minorHAnsi"/>
          <w:bCs/>
        </w:rPr>
      </w:pPr>
      <w:r w:rsidRPr="009E064B">
        <w:rPr>
          <w:rFonts w:asciiTheme="minorHAnsi" w:eastAsia="Calibri" w:hAnsiTheme="minorHAnsi" w:cstheme="minorHAnsi"/>
          <w:bCs/>
        </w:rPr>
        <w:t xml:space="preserve">A. </w:t>
      </w:r>
      <w:r w:rsidRPr="009E064B">
        <w:rPr>
          <w:rFonts w:asciiTheme="minorHAnsi" w:eastAsia="Calibri" w:hAnsiTheme="minorHAnsi" w:cstheme="minorHAnsi"/>
          <w:bCs/>
        </w:rPr>
        <w:tab/>
        <w:t>CZĘŚĆ A ―</w:t>
      </w:r>
      <w:r w:rsidRPr="009E064B">
        <w:rPr>
          <w:rFonts w:asciiTheme="minorHAnsi" w:eastAsia="Calibri" w:hAnsiTheme="minorHAnsi" w:cstheme="minorHAnsi"/>
          <w:bCs/>
        </w:rPr>
        <w:tab/>
      </w:r>
      <w:r w:rsidR="009B0A08" w:rsidRPr="009E064B">
        <w:rPr>
          <w:rFonts w:asciiTheme="minorHAnsi" w:eastAsia="Calibri" w:hAnsiTheme="minorHAnsi" w:cstheme="minorHAnsi"/>
          <w:bCs/>
        </w:rPr>
        <w:t>WYMAGANIA OGÓLNE</w:t>
      </w:r>
    </w:p>
    <w:p w14:paraId="2B415432" w14:textId="77777777" w:rsidR="00AA7C09" w:rsidRPr="009E064B" w:rsidRDefault="00AA7C09" w:rsidP="00B06A9A">
      <w:pPr>
        <w:widowControl/>
        <w:ind w:left="1134" w:hanging="567"/>
        <w:rPr>
          <w:rFonts w:asciiTheme="minorHAnsi" w:eastAsia="Calibri" w:hAnsiTheme="minorHAnsi" w:cstheme="minorHAnsi"/>
        </w:rPr>
      </w:pPr>
      <w:r w:rsidRPr="009E064B">
        <w:rPr>
          <w:rFonts w:asciiTheme="minorHAnsi" w:eastAsia="Calibri" w:hAnsiTheme="minorHAnsi" w:cstheme="minorHAnsi"/>
        </w:rPr>
        <w:t xml:space="preserve">0. </w:t>
      </w:r>
      <w:r w:rsidRPr="009E064B">
        <w:rPr>
          <w:rFonts w:asciiTheme="minorHAnsi" w:eastAsia="Calibri" w:hAnsiTheme="minorHAnsi" w:cstheme="minorHAnsi"/>
        </w:rPr>
        <w:tab/>
        <w:t>Administrowanie i nadzór nad instrukcją operacyjną lotniska, w tym:</w:t>
      </w:r>
    </w:p>
    <w:p w14:paraId="0447BA1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0.1. </w:t>
      </w:r>
      <w:r w:rsidRPr="009E064B">
        <w:rPr>
          <w:rFonts w:asciiTheme="minorHAnsi" w:eastAsia="Calibri" w:hAnsiTheme="minorHAnsi" w:cstheme="minorHAnsi"/>
        </w:rPr>
        <w:tab/>
        <w:t>Wprowadzenie:</w:t>
      </w:r>
    </w:p>
    <w:p w14:paraId="4EB9BE9F"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0.1.1. </w:t>
      </w:r>
      <w:r w:rsidRPr="009E064B">
        <w:rPr>
          <w:rFonts w:asciiTheme="minorHAnsi" w:eastAsia="Calibri" w:hAnsiTheme="minorHAnsi" w:cstheme="minorHAnsi"/>
        </w:rPr>
        <w:tab/>
        <w:t>Oświadczenie podpisane przez kierownika odpowiedzialnego, że instrukcja operacyjna lotniska spełnia wszystkie obowiązujące wymagania oraz warunki zawarte w certyfikacie;</w:t>
      </w:r>
    </w:p>
    <w:p w14:paraId="46D2A630"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0.1.2. </w:t>
      </w:r>
      <w:r w:rsidRPr="009E064B">
        <w:rPr>
          <w:rFonts w:asciiTheme="minorHAnsi" w:eastAsia="Calibri" w:hAnsiTheme="minorHAnsi" w:cstheme="minorHAnsi"/>
        </w:rPr>
        <w:tab/>
        <w:t>Oświadczenie podpisane przez kierownika odpowiedzialnego, że instrukcja operacyjna lotniska zawiera instrukcje i procedury operacyjne, które mają być stosowane przez odpowiedni personel;</w:t>
      </w:r>
    </w:p>
    <w:p w14:paraId="1A3E63C5" w14:textId="57B94064"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0.1.3. </w:t>
      </w:r>
      <w:r w:rsidRPr="009E064B">
        <w:rPr>
          <w:rFonts w:asciiTheme="minorHAnsi" w:eastAsia="Calibri" w:hAnsiTheme="minorHAnsi" w:cstheme="minorHAnsi"/>
        </w:rPr>
        <w:tab/>
        <w:t>Wykaz i krótki opis poszczególnych części,</w:t>
      </w:r>
      <w:r w:rsidR="00471AC9" w:rsidRPr="009E064B">
        <w:rPr>
          <w:rFonts w:asciiTheme="minorHAnsi" w:eastAsia="Calibri" w:hAnsiTheme="minorHAnsi" w:cstheme="minorHAnsi"/>
        </w:rPr>
        <w:t xml:space="preserve"> ich zawartości, zastosowania i </w:t>
      </w:r>
      <w:r w:rsidRPr="009E064B">
        <w:rPr>
          <w:rFonts w:asciiTheme="minorHAnsi" w:eastAsia="Calibri" w:hAnsiTheme="minorHAnsi" w:cstheme="minorHAnsi"/>
        </w:rPr>
        <w:t>użycia;</w:t>
      </w:r>
    </w:p>
    <w:p w14:paraId="6686385B"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0.1.4. </w:t>
      </w:r>
      <w:r w:rsidRPr="009E064B">
        <w:rPr>
          <w:rFonts w:asciiTheme="minorHAnsi" w:eastAsia="Calibri" w:hAnsiTheme="minorHAnsi" w:cstheme="minorHAnsi"/>
        </w:rPr>
        <w:tab/>
        <w:t>Wyjaśnienia, skróty i definicje pojęć potrzebnych do korzystania instrukcji;</w:t>
      </w:r>
    </w:p>
    <w:p w14:paraId="462CF950"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0.2.</w:t>
      </w:r>
      <w:r w:rsidRPr="009E064B">
        <w:rPr>
          <w:rFonts w:asciiTheme="minorHAnsi" w:eastAsia="Calibri" w:hAnsiTheme="minorHAnsi" w:cstheme="minorHAnsi"/>
        </w:rPr>
        <w:tab/>
        <w:t>System aktualizacji i wprowadzania zmian:</w:t>
      </w:r>
    </w:p>
    <w:p w14:paraId="46654E60"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0.2.1. </w:t>
      </w:r>
      <w:r w:rsidRPr="009E064B">
        <w:rPr>
          <w:rFonts w:asciiTheme="minorHAnsi" w:eastAsia="Calibri" w:hAnsiTheme="minorHAnsi" w:cstheme="minorHAnsi"/>
        </w:rPr>
        <w:tab/>
        <w:t>Szczegóły dotyczące osoby (osób) odpowiedzialnej za wydawanie oraz wprowadzanie zmian i aktualizacji;</w:t>
      </w:r>
    </w:p>
    <w:p w14:paraId="377C8A53"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0.2.2. </w:t>
      </w:r>
      <w:r w:rsidRPr="009E064B">
        <w:rPr>
          <w:rFonts w:asciiTheme="minorHAnsi" w:eastAsia="Calibri" w:hAnsiTheme="minorHAnsi" w:cstheme="minorHAnsi"/>
        </w:rPr>
        <w:tab/>
        <w:t>Rejestr zmian i aktualizacji z datami ich wprowadzenia oraz datami obowiązywania;</w:t>
      </w:r>
    </w:p>
    <w:p w14:paraId="3FD356A3"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0.2.3. </w:t>
      </w:r>
      <w:r w:rsidRPr="009E064B">
        <w:rPr>
          <w:rFonts w:asciiTheme="minorHAnsi" w:eastAsia="Calibri" w:hAnsiTheme="minorHAnsi" w:cstheme="minorHAnsi"/>
        </w:rPr>
        <w:tab/>
        <w:t>Oświadczenie, że dokonywanie odręcznych zmian i aktualizacji jest niedozwolone, z wyjątkiem sytuacji wymagających natychmiastowej zmiany lub aktualizacji w interesie bezpieczeństwa;</w:t>
      </w:r>
    </w:p>
    <w:p w14:paraId="29AF85CE"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0.2.4. </w:t>
      </w:r>
      <w:r w:rsidRPr="009E064B">
        <w:rPr>
          <w:rFonts w:asciiTheme="minorHAnsi" w:eastAsia="Calibri" w:hAnsiTheme="minorHAnsi" w:cstheme="minorHAnsi"/>
        </w:rPr>
        <w:tab/>
        <w:t>Opis systemu oznaczania stron lub punktów oraz dat ich obowiązywania;</w:t>
      </w:r>
    </w:p>
    <w:p w14:paraId="4DACFA77"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0.2.5. </w:t>
      </w:r>
      <w:r w:rsidRPr="009E064B">
        <w:rPr>
          <w:rFonts w:asciiTheme="minorHAnsi" w:eastAsia="Calibri" w:hAnsiTheme="minorHAnsi" w:cstheme="minorHAnsi"/>
        </w:rPr>
        <w:tab/>
        <w:t>Wykaz obowiązujących stron lub punktów;</w:t>
      </w:r>
    </w:p>
    <w:p w14:paraId="00117DC7"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0.2.6. </w:t>
      </w:r>
      <w:r w:rsidRPr="009E064B">
        <w:rPr>
          <w:rFonts w:asciiTheme="minorHAnsi" w:eastAsia="Calibri" w:hAnsiTheme="minorHAnsi" w:cstheme="minorHAnsi"/>
        </w:rPr>
        <w:tab/>
        <w:t>Sposób zaznaczania zmian (w tekście oraz, w miarę możliwości, na mapach (planach) i wykresach);</w:t>
      </w:r>
    </w:p>
    <w:p w14:paraId="3A12E6E7"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0.2.7. </w:t>
      </w:r>
      <w:r w:rsidRPr="009E064B">
        <w:rPr>
          <w:rFonts w:asciiTheme="minorHAnsi" w:eastAsia="Calibri" w:hAnsiTheme="minorHAnsi" w:cstheme="minorHAnsi"/>
        </w:rPr>
        <w:tab/>
        <w:t>Aktualizacje tymczasowe; oraz</w:t>
      </w:r>
    </w:p>
    <w:p w14:paraId="0230FAD3"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0.2.8. </w:t>
      </w:r>
      <w:r w:rsidRPr="009E064B">
        <w:rPr>
          <w:rFonts w:asciiTheme="minorHAnsi" w:eastAsia="Calibri" w:hAnsiTheme="minorHAnsi" w:cstheme="minorHAnsi"/>
        </w:rPr>
        <w:tab/>
        <w:t>Opis systemu dystrybucji i lista dystrybucyjna instrukcji operacyjnej lotniska, jej zmian i aktualizacji.</w:t>
      </w:r>
    </w:p>
    <w:p w14:paraId="2C1315AB" w14:textId="5CAFAB69" w:rsidR="00AA7C09" w:rsidRPr="009E064B" w:rsidRDefault="00AA7C09" w:rsidP="00B06A9A">
      <w:pPr>
        <w:widowControl/>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r>
      <w:r w:rsidR="009B0A08" w:rsidRPr="009E064B">
        <w:rPr>
          <w:rFonts w:asciiTheme="minorHAnsi" w:eastAsia="Calibri" w:hAnsiTheme="minorHAnsi" w:cstheme="minorHAnsi"/>
        </w:rPr>
        <w:t>Wymagania ogólne</w:t>
      </w:r>
    </w:p>
    <w:p w14:paraId="7333109F" w14:textId="40298A59" w:rsidR="00AA7C09" w:rsidRPr="009E064B" w:rsidRDefault="009B0A08"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Wymagania ogólne</w:t>
      </w:r>
      <w:r w:rsidR="00AA7C09" w:rsidRPr="009E064B">
        <w:rPr>
          <w:rFonts w:asciiTheme="minorHAnsi" w:eastAsia="Calibri" w:hAnsiTheme="minorHAnsi" w:cstheme="minorHAnsi"/>
        </w:rPr>
        <w:t>, które zawierają:</w:t>
      </w:r>
    </w:p>
    <w:p w14:paraId="091189E5"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Cel i zakres instrukcji operacyjnej lotniska;</w:t>
      </w:r>
    </w:p>
    <w:p w14:paraId="00E3B97D" w14:textId="6B84658E"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 xml:space="preserve">Wymagania prawne dla certyfikatu lotniska oraz instrukcji operacyjnej lotniska określone w </w:t>
      </w:r>
      <w:hyperlink w:anchor="_ZAŁĄCZNIK_III_—" w:history="1">
        <w:r w:rsidR="00F809D7" w:rsidRPr="009E064B">
          <w:rPr>
            <w:rStyle w:val="Hipercze"/>
            <w:rFonts w:asciiTheme="minorHAnsi" w:eastAsia="Calibri" w:hAnsiTheme="minorHAnsi" w:cstheme="minorHAnsi"/>
            <w:szCs w:val="18"/>
          </w:rPr>
          <w:t>Części ADR.OR</w:t>
        </w:r>
      </w:hyperlink>
      <w:r w:rsidRPr="009E064B">
        <w:rPr>
          <w:rFonts w:asciiTheme="minorHAnsi" w:eastAsia="Calibri" w:hAnsiTheme="minorHAnsi" w:cstheme="minorHAnsi"/>
        </w:rPr>
        <w:t>;</w:t>
      </w:r>
    </w:p>
    <w:p w14:paraId="3B4F92BA"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1.3. </w:t>
      </w:r>
      <w:r w:rsidRPr="009E064B">
        <w:rPr>
          <w:rFonts w:asciiTheme="minorHAnsi" w:eastAsia="Calibri" w:hAnsiTheme="minorHAnsi" w:cstheme="minorHAnsi"/>
        </w:rPr>
        <w:tab/>
        <w:t>Warunki korzystania z lotniska przez jego użytkowników;</w:t>
      </w:r>
    </w:p>
    <w:p w14:paraId="76BCCAC0"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1.4. </w:t>
      </w:r>
      <w:r w:rsidRPr="009E064B">
        <w:rPr>
          <w:rFonts w:asciiTheme="minorHAnsi" w:eastAsia="Calibri" w:hAnsiTheme="minorHAnsi" w:cstheme="minorHAnsi"/>
        </w:rPr>
        <w:tab/>
        <w:t>Obowiązki operatora lotniska; prawa właściwego organu i wytyczne dla personelu w sprawie ułatwiania audytów/inspekcji prowadzonych przez pracowników właściwego organu.</w:t>
      </w:r>
    </w:p>
    <w:p w14:paraId="43BB239B" w14:textId="64734B3E" w:rsidR="00AA7C09" w:rsidRPr="009E064B" w:rsidRDefault="00AA7C09" w:rsidP="00B06A9A">
      <w:pPr>
        <w:widowControl/>
        <w:tabs>
          <w:tab w:val="left" w:pos="567"/>
        </w:tabs>
        <w:spacing w:before="240"/>
        <w:ind w:left="1701" w:hanging="1701"/>
        <w:jc w:val="left"/>
        <w:rPr>
          <w:rFonts w:asciiTheme="minorHAnsi" w:eastAsia="Calibri" w:hAnsiTheme="minorHAnsi" w:cstheme="minorHAnsi"/>
          <w:bCs/>
        </w:rPr>
      </w:pPr>
      <w:r w:rsidRPr="009E064B">
        <w:rPr>
          <w:rFonts w:asciiTheme="minorHAnsi" w:eastAsia="Calibri" w:hAnsiTheme="minorHAnsi" w:cstheme="minorHAnsi"/>
          <w:bCs/>
        </w:rPr>
        <w:t xml:space="preserve">B. </w:t>
      </w:r>
      <w:r w:rsidRPr="009E064B">
        <w:rPr>
          <w:rFonts w:asciiTheme="minorHAnsi" w:eastAsia="Calibri" w:hAnsiTheme="minorHAnsi" w:cstheme="minorHAnsi"/>
          <w:bCs/>
        </w:rPr>
        <w:tab/>
        <w:t>CZĘŚĆ B ―</w:t>
      </w:r>
      <w:r w:rsidRPr="009E064B">
        <w:rPr>
          <w:rFonts w:asciiTheme="minorHAnsi" w:eastAsia="Calibri" w:hAnsiTheme="minorHAnsi" w:cstheme="minorHAnsi"/>
          <w:bCs/>
        </w:rPr>
        <w:tab/>
        <w:t>SYSTEM ZARZĄDZANIA LOTNISKA ORAZ WYMA</w:t>
      </w:r>
      <w:r w:rsidR="00471AC9" w:rsidRPr="009E064B">
        <w:rPr>
          <w:rFonts w:asciiTheme="minorHAnsi" w:eastAsia="Calibri" w:hAnsiTheme="minorHAnsi" w:cstheme="minorHAnsi"/>
          <w:bCs/>
        </w:rPr>
        <w:t>GANIA W ZAKRESIE KWALIFIKACJI I </w:t>
      </w:r>
      <w:r w:rsidRPr="009E064B">
        <w:rPr>
          <w:rFonts w:asciiTheme="minorHAnsi" w:eastAsia="Calibri" w:hAnsiTheme="minorHAnsi" w:cstheme="minorHAnsi"/>
          <w:bCs/>
        </w:rPr>
        <w:t>SZKOLENIA</w:t>
      </w:r>
    </w:p>
    <w:p w14:paraId="7D51D4E3" w14:textId="77777777" w:rsidR="00AA7C09" w:rsidRPr="009E064B" w:rsidRDefault="00AA7C09" w:rsidP="00B06A9A">
      <w:pPr>
        <w:widowControl/>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Opis systemu zarządzania zawierający:</w:t>
      </w:r>
    </w:p>
    <w:p w14:paraId="4760F1AA"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2.1. </w:t>
      </w:r>
      <w:r w:rsidRPr="009E064B">
        <w:rPr>
          <w:rFonts w:asciiTheme="minorHAnsi" w:eastAsia="Calibri" w:hAnsiTheme="minorHAnsi" w:cstheme="minorHAnsi"/>
        </w:rPr>
        <w:tab/>
        <w:t>Strukturę organizacyjną lotniska i obowiązki, w tym: opis struktury organizacyjnej, łącznie z ogólnym schematem organizacyjnym i schematami organizacyjnymi innych wydziałów. Schemat organizacyjny powinien przedstawiać zależności pomiędzy wydziałami. Na wszystkich szczeblach struktury organizacyjnej (wydziałów, sekcji, itp.) powinny być przedstawione linie podległości i zgłaszania spraw związanych z bezpieczeństwem.</w:t>
      </w:r>
    </w:p>
    <w:p w14:paraId="6D23E17E" w14:textId="77777777" w:rsidR="00AA7C09" w:rsidRPr="009E064B" w:rsidRDefault="00AA7C09" w:rsidP="00B06A9A">
      <w:pPr>
        <w:widowControl/>
        <w:tabs>
          <w:tab w:val="left" w:pos="1701"/>
        </w:tabs>
        <w:ind w:left="1701"/>
        <w:rPr>
          <w:rFonts w:asciiTheme="minorHAnsi" w:eastAsia="Calibri" w:hAnsiTheme="minorHAnsi" w:cstheme="minorHAnsi"/>
        </w:rPr>
      </w:pPr>
      <w:r w:rsidRPr="009E064B">
        <w:rPr>
          <w:rFonts w:asciiTheme="minorHAnsi" w:eastAsia="Calibri" w:hAnsiTheme="minorHAnsi" w:cstheme="minorHAnsi"/>
        </w:rPr>
        <w:t>Nazwiska, zakres uprawnień, zadania i obowiązki kierownictwa oraz osób wyznaczonych. Powinny być również uwzględnione zadania i obowiązki pozostałego personelu operacyjnego, technicznego, a także lotniskowych komitetów bezpieczeństwa oraz Lokalnego Zespołu do Spraw Bezpieczeństwa na Drodze Startowej i ich funkcjonowanie.</w:t>
      </w:r>
    </w:p>
    <w:p w14:paraId="148E9DB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2.2. </w:t>
      </w:r>
      <w:r w:rsidRPr="009E064B">
        <w:rPr>
          <w:rFonts w:asciiTheme="minorHAnsi" w:eastAsia="Calibri" w:hAnsiTheme="minorHAnsi" w:cstheme="minorHAnsi"/>
        </w:rPr>
        <w:tab/>
        <w:t>Opis systemu zarządzania bezpieczeństwem zawierający:</w:t>
      </w:r>
    </w:p>
    <w:p w14:paraId="3E44D0D7"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2.2.1. </w:t>
      </w:r>
      <w:r w:rsidRPr="009E064B">
        <w:rPr>
          <w:rFonts w:asciiTheme="minorHAnsi" w:eastAsia="Calibri" w:hAnsiTheme="minorHAnsi" w:cstheme="minorHAnsi"/>
        </w:rPr>
        <w:tab/>
        <w:t>Zakres systemu zarządzania bezpieczeństwem;</w:t>
      </w:r>
    </w:p>
    <w:p w14:paraId="710CA8C3"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2.2.2. </w:t>
      </w:r>
      <w:r w:rsidRPr="009E064B">
        <w:rPr>
          <w:rFonts w:asciiTheme="minorHAnsi" w:eastAsia="Calibri" w:hAnsiTheme="minorHAnsi" w:cstheme="minorHAnsi"/>
        </w:rPr>
        <w:tab/>
        <w:t>Politykę i cele bezpieczeństwa;</w:t>
      </w:r>
    </w:p>
    <w:p w14:paraId="0DB326D2"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2.2.3. </w:t>
      </w:r>
      <w:r w:rsidRPr="009E064B">
        <w:rPr>
          <w:rFonts w:asciiTheme="minorHAnsi" w:eastAsia="Calibri" w:hAnsiTheme="minorHAnsi" w:cstheme="minorHAnsi"/>
        </w:rPr>
        <w:tab/>
        <w:t>Obowiązki kluczowego personelu odpowiedzialnego za bezpieczeństwo;</w:t>
      </w:r>
    </w:p>
    <w:p w14:paraId="2CE50202"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2.2.4. </w:t>
      </w:r>
      <w:r w:rsidRPr="009E064B">
        <w:rPr>
          <w:rFonts w:asciiTheme="minorHAnsi" w:eastAsia="Calibri" w:hAnsiTheme="minorHAnsi" w:cstheme="minorHAnsi"/>
        </w:rPr>
        <w:tab/>
        <w:t>Procedury nadzoru nad dokumentacją;</w:t>
      </w:r>
    </w:p>
    <w:p w14:paraId="688AD7A6"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2.2.5. </w:t>
      </w:r>
      <w:r w:rsidRPr="009E064B">
        <w:rPr>
          <w:rFonts w:asciiTheme="minorHAnsi" w:eastAsia="Calibri" w:hAnsiTheme="minorHAnsi" w:cstheme="minorHAnsi"/>
        </w:rPr>
        <w:tab/>
        <w:t>Proces zarządzania ryzykiem w zakresie bezpieczeństwa, w tym identyfikacja zagrożeń i schematy oceny ryzyka;</w:t>
      </w:r>
    </w:p>
    <w:p w14:paraId="317FDBBD"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2.2.6.</w:t>
      </w:r>
      <w:r w:rsidRPr="009E064B">
        <w:rPr>
          <w:rFonts w:asciiTheme="minorHAnsi" w:eastAsia="Calibri" w:hAnsiTheme="minorHAnsi" w:cstheme="minorHAnsi"/>
        </w:rPr>
        <w:tab/>
        <w:t>Monitorowanie wykonania i skuteczności działań na rzecz bezpieczeństwa oraz środki łagodzenia ryzyka;</w:t>
      </w:r>
    </w:p>
    <w:p w14:paraId="111DB2BC"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2.2.7. </w:t>
      </w:r>
      <w:r w:rsidRPr="009E064B">
        <w:rPr>
          <w:rFonts w:asciiTheme="minorHAnsi" w:eastAsia="Calibri" w:hAnsiTheme="minorHAnsi" w:cstheme="minorHAnsi"/>
        </w:rPr>
        <w:tab/>
        <w:t>Monitorowanie skuteczności działań w zakresie bezpieczeństwa;</w:t>
      </w:r>
    </w:p>
    <w:p w14:paraId="3B5E9E4E"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2.2.8.</w:t>
      </w:r>
      <w:r w:rsidRPr="009E064B">
        <w:rPr>
          <w:rFonts w:asciiTheme="minorHAnsi" w:eastAsia="Calibri" w:hAnsiTheme="minorHAnsi" w:cstheme="minorHAnsi"/>
        </w:rPr>
        <w:tab/>
        <w:t>Zgłaszanie spraw związanych z bezpieczeństwem (w tym zgłaszanie zagrożeń) i ich badanie;</w:t>
      </w:r>
    </w:p>
    <w:p w14:paraId="37EBDF2B"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2.2.9. </w:t>
      </w:r>
      <w:r w:rsidRPr="009E064B">
        <w:rPr>
          <w:rFonts w:asciiTheme="minorHAnsi" w:eastAsia="Calibri" w:hAnsiTheme="minorHAnsi" w:cstheme="minorHAnsi"/>
        </w:rPr>
        <w:tab/>
        <w:t>Planowanie działań w sytuacji zagrożenia;</w:t>
      </w:r>
    </w:p>
    <w:p w14:paraId="6EDD3D60"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2.2.10. </w:t>
      </w:r>
      <w:r w:rsidRPr="009E064B">
        <w:rPr>
          <w:rFonts w:asciiTheme="minorHAnsi" w:eastAsia="Calibri" w:hAnsiTheme="minorHAnsi" w:cstheme="minorHAnsi"/>
        </w:rPr>
        <w:tab/>
        <w:t>Zarządzanie zmianą (w tym zmianami organizacyjnymi dotyczącymi obowiązków w zakresie bezpieczeństwa);</w:t>
      </w:r>
    </w:p>
    <w:p w14:paraId="38887407"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2.2.11. </w:t>
      </w:r>
      <w:r w:rsidRPr="009E064B">
        <w:rPr>
          <w:rFonts w:asciiTheme="minorHAnsi" w:eastAsia="Calibri" w:hAnsiTheme="minorHAnsi" w:cstheme="minorHAnsi"/>
        </w:rPr>
        <w:tab/>
        <w:t>Promowanie bezpieczeństwa; oraz</w:t>
      </w:r>
    </w:p>
    <w:p w14:paraId="65D7F699"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2.2.12. </w:t>
      </w:r>
      <w:r w:rsidRPr="009E064B">
        <w:rPr>
          <w:rFonts w:asciiTheme="minorHAnsi" w:eastAsia="Calibri" w:hAnsiTheme="minorHAnsi" w:cstheme="minorHAnsi"/>
        </w:rPr>
        <w:tab/>
        <w:t>Wyniki systemu zarządzania bezpieczeństwem.</w:t>
      </w:r>
    </w:p>
    <w:p w14:paraId="291C456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2.3. </w:t>
      </w:r>
      <w:r w:rsidRPr="009E064B">
        <w:rPr>
          <w:rFonts w:asciiTheme="minorHAnsi" w:eastAsia="Calibri" w:hAnsiTheme="minorHAnsi" w:cstheme="minorHAnsi"/>
        </w:rPr>
        <w:tab/>
        <w:t>Opis monitorowania spełnienia wymagań i powiązanych z nim procedur.</w:t>
      </w:r>
    </w:p>
    <w:p w14:paraId="3C9FDAA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2.4. </w:t>
      </w:r>
      <w:r w:rsidRPr="009E064B">
        <w:rPr>
          <w:rFonts w:asciiTheme="minorHAnsi" w:eastAsia="Calibri" w:hAnsiTheme="minorHAnsi" w:cstheme="minorHAnsi"/>
        </w:rPr>
        <w:tab/>
        <w:t>Opis systemu zarządzania jakością dla działalności związanej z dostarczaniem danych i informacji lotniczych, oraz stosowanych procedur, w tym tych, które spełniają odpowiednie cele dotyczące zarządzania bezpieczeństwem i ochroną.</w:t>
      </w:r>
    </w:p>
    <w:p w14:paraId="5B9549FC"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2.5. </w:t>
      </w:r>
      <w:r w:rsidRPr="009E064B">
        <w:rPr>
          <w:rFonts w:asciiTheme="minorHAnsi" w:eastAsia="Calibri" w:hAnsiTheme="minorHAnsi" w:cstheme="minorHAnsi"/>
        </w:rPr>
        <w:tab/>
        <w:t>Procedury zgłaszania do właściwego organu obejmujące sposób postępowania, powiadamianie i zgłaszanie wypadków, poważnych incydentów i zdarzeń. Sekcja ta powinna zawierać, co najmniej następujące elementy:</w:t>
      </w:r>
    </w:p>
    <w:p w14:paraId="09441D4B" w14:textId="77777777" w:rsidR="00AA7C09" w:rsidRPr="009E064B" w:rsidRDefault="00AA7C09"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definicję wypadku, poważnego incydentu i zdarzenia oraz odpowiedni zakres obowiązków wszystkich zaangażowanych osób;</w:t>
      </w:r>
    </w:p>
    <w:p w14:paraId="15248A6F" w14:textId="77777777" w:rsidR="00AA7C09" w:rsidRPr="009E064B" w:rsidRDefault="00AA7C09"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przykłady formularzy, które mają być używane (lub kopie samych formularzy), instrukcje ich wypełniania, adresy, na które należy je przesyłać oraz czas określony na wykonanie tych zadań;</w:t>
      </w:r>
    </w:p>
    <w:p w14:paraId="35DF830A" w14:textId="77777777" w:rsidR="00AA7C09" w:rsidRPr="009E064B" w:rsidRDefault="00AA7C09" w:rsidP="00B06A9A">
      <w:pPr>
        <w:widowControl/>
        <w:tabs>
          <w:tab w:val="left" w:pos="2268"/>
        </w:tabs>
        <w:ind w:left="2268"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procedury i uzgodnienia dotyczące zabezpieczenia dowodów, w tym nagrań, następujące po zgłoszeniu zdarzenia;</w:t>
      </w:r>
    </w:p>
    <w:p w14:paraId="5AB2F1B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2.6. </w:t>
      </w:r>
      <w:r w:rsidRPr="009E064B">
        <w:rPr>
          <w:rFonts w:asciiTheme="minorHAnsi" w:eastAsia="Calibri" w:hAnsiTheme="minorHAnsi" w:cstheme="minorHAnsi"/>
        </w:rPr>
        <w:tab/>
        <w:t>Procedury dotyczące spożywania alkoholu, substancji psychoaktywnych i leków.</w:t>
      </w:r>
    </w:p>
    <w:p w14:paraId="1DF1016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2.7. </w:t>
      </w:r>
      <w:r w:rsidRPr="009E064B">
        <w:rPr>
          <w:rFonts w:asciiTheme="minorHAnsi" w:eastAsia="Calibri" w:hAnsiTheme="minorHAnsi" w:cstheme="minorHAnsi"/>
        </w:rPr>
        <w:tab/>
        <w:t>Procedury:</w:t>
      </w:r>
    </w:p>
    <w:p w14:paraId="41D0B905"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2.7.1. </w:t>
      </w:r>
      <w:r w:rsidRPr="009E064B">
        <w:rPr>
          <w:rFonts w:asciiTheme="minorHAnsi" w:eastAsia="Calibri" w:hAnsiTheme="minorHAnsi" w:cstheme="minorHAnsi"/>
        </w:rPr>
        <w:tab/>
        <w:t>przestrzegania wytycznych w zakresie bezpieczeństwa;</w:t>
      </w:r>
    </w:p>
    <w:p w14:paraId="7F56C968"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2.7.2. </w:t>
      </w:r>
      <w:r w:rsidRPr="009E064B">
        <w:rPr>
          <w:rFonts w:asciiTheme="minorHAnsi" w:eastAsia="Calibri" w:hAnsiTheme="minorHAnsi" w:cstheme="minorHAnsi"/>
        </w:rPr>
        <w:tab/>
        <w:t>reagowania na problemy bezpieczeństwa; oraz</w:t>
      </w:r>
    </w:p>
    <w:p w14:paraId="3F799DC2"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2.7.3. </w:t>
      </w:r>
      <w:r w:rsidRPr="009E064B">
        <w:rPr>
          <w:rFonts w:asciiTheme="minorHAnsi" w:eastAsia="Calibri" w:hAnsiTheme="minorHAnsi" w:cstheme="minorHAnsi"/>
        </w:rPr>
        <w:tab/>
        <w:t>postępowania z wytycznymi w zakresie bezpieczeństwa wydanymi przez organy ds. badania zdarzeń lotniczych.</w:t>
      </w:r>
    </w:p>
    <w:p w14:paraId="37A5E26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2.8. </w:t>
      </w:r>
      <w:r w:rsidRPr="009E064B">
        <w:rPr>
          <w:rFonts w:asciiTheme="minorHAnsi" w:eastAsia="Calibri" w:hAnsiTheme="minorHAnsi" w:cstheme="minorHAnsi"/>
        </w:rPr>
        <w:tab/>
        <w:t>Opis metod i procedur rejestrowania operacji statków powietrznych, w tym operacji i typu statku powietrznego, dat oraz liczby pasażerów.</w:t>
      </w:r>
    </w:p>
    <w:p w14:paraId="71EC96AF" w14:textId="58FF16C9"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Wymagane kwalifikacj</w:t>
      </w:r>
      <w:r w:rsidR="00371A8B" w:rsidRPr="009E064B">
        <w:rPr>
          <w:rFonts w:asciiTheme="minorHAnsi" w:eastAsia="Calibri" w:hAnsiTheme="minorHAnsi" w:cstheme="minorHAnsi"/>
        </w:rPr>
        <w:t xml:space="preserve">e personelu lotniska (patrz </w:t>
      </w:r>
      <w:hyperlink w:anchor="_GM1_ADR.OR.D.015(d)_" w:history="1">
        <w:r w:rsidR="00371A8B" w:rsidRPr="009E064B">
          <w:rPr>
            <w:rStyle w:val="Hipercze"/>
            <w:rFonts w:asciiTheme="minorHAnsi" w:eastAsia="Calibri" w:hAnsiTheme="minorHAnsi" w:cstheme="minorHAnsi"/>
          </w:rPr>
          <w:t>GM1 </w:t>
        </w:r>
        <w:r w:rsidRPr="009E064B">
          <w:rPr>
            <w:rStyle w:val="Hipercze"/>
            <w:rFonts w:asciiTheme="minorHAnsi" w:eastAsia="Calibri" w:hAnsiTheme="minorHAnsi" w:cstheme="minorHAnsi"/>
          </w:rPr>
          <w:t>ADR.OR.D.015(d)</w:t>
        </w:r>
      </w:hyperlink>
      <w:r w:rsidRPr="009E064B">
        <w:rPr>
          <w:rFonts w:asciiTheme="minorHAnsi" w:eastAsia="Calibri" w:hAnsiTheme="minorHAnsi" w:cstheme="minorHAnsi"/>
        </w:rPr>
        <w:t>). Ponadto procedury dotyczące:</w:t>
      </w:r>
    </w:p>
    <w:p w14:paraId="1C5DBA07"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3.1. </w:t>
      </w:r>
      <w:r w:rsidRPr="009E064B">
        <w:rPr>
          <w:rFonts w:asciiTheme="minorHAnsi" w:eastAsia="Calibri" w:hAnsiTheme="minorHAnsi" w:cstheme="minorHAnsi"/>
        </w:rPr>
        <w:tab/>
        <w:t>programu szkolenia, w tym:</w:t>
      </w:r>
    </w:p>
    <w:p w14:paraId="52B65B29"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3.1.1. </w:t>
      </w:r>
      <w:r w:rsidRPr="009E064B">
        <w:rPr>
          <w:rFonts w:asciiTheme="minorHAnsi" w:eastAsia="Calibri" w:hAnsiTheme="minorHAnsi" w:cstheme="minorHAnsi"/>
        </w:rPr>
        <w:tab/>
        <w:t>obowiązki, częstotliwość prowadzenia, treści nauczania, oraz zidentyfikowane standardy szkoleniowe dla całego personelu uczestniczącego w operacjach lotniskowych, działaniach ratowniczo-gaśniczych, utrzymaniu i obsłudze technicznej lotniska, zarządzaniu lotniskiem, oraz osób poruszających się bez eskorty w polu ruchu naziemnego lub innych strefach operacyjnych lotniska.</w:t>
      </w:r>
    </w:p>
    <w:p w14:paraId="38D40BB6"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3.1.2. </w:t>
      </w:r>
      <w:r w:rsidRPr="009E064B">
        <w:rPr>
          <w:rFonts w:asciiTheme="minorHAnsi" w:eastAsia="Calibri" w:hAnsiTheme="minorHAnsi" w:cstheme="minorHAnsi"/>
        </w:rPr>
        <w:tab/>
        <w:t>procedury:</w:t>
      </w:r>
    </w:p>
    <w:p w14:paraId="39D21A76" w14:textId="77777777" w:rsidR="00AA7C09" w:rsidRPr="009E064B" w:rsidRDefault="00AA7C09" w:rsidP="00B06A9A">
      <w:pPr>
        <w:widowControl/>
        <w:tabs>
          <w:tab w:val="left" w:pos="3544"/>
        </w:tabs>
        <w:ind w:left="3544" w:hanging="992"/>
        <w:rPr>
          <w:rFonts w:asciiTheme="minorHAnsi" w:eastAsia="Calibri" w:hAnsiTheme="minorHAnsi" w:cstheme="minorHAnsi"/>
        </w:rPr>
      </w:pPr>
      <w:r w:rsidRPr="009E064B">
        <w:rPr>
          <w:rFonts w:asciiTheme="minorHAnsi" w:eastAsia="Calibri" w:hAnsiTheme="minorHAnsi" w:cstheme="minorHAnsi"/>
        </w:rPr>
        <w:t xml:space="preserve">3.1.2.1. </w:t>
      </w:r>
      <w:r w:rsidRPr="009E064B">
        <w:rPr>
          <w:rFonts w:asciiTheme="minorHAnsi" w:eastAsia="Calibri" w:hAnsiTheme="minorHAnsi" w:cstheme="minorHAnsi"/>
        </w:rPr>
        <w:tab/>
        <w:t>szkolenia i oceny postępów szkolonych;</w:t>
      </w:r>
    </w:p>
    <w:p w14:paraId="4C4DF66F" w14:textId="77777777" w:rsidR="00AA7C09" w:rsidRPr="009E064B" w:rsidRDefault="00AA7C09" w:rsidP="00B06A9A">
      <w:pPr>
        <w:widowControl/>
        <w:tabs>
          <w:tab w:val="left" w:pos="3544"/>
        </w:tabs>
        <w:ind w:left="3544" w:hanging="992"/>
        <w:rPr>
          <w:rFonts w:asciiTheme="minorHAnsi" w:eastAsia="Calibri" w:hAnsiTheme="minorHAnsi" w:cstheme="minorHAnsi"/>
        </w:rPr>
      </w:pPr>
      <w:r w:rsidRPr="009E064B">
        <w:rPr>
          <w:rFonts w:asciiTheme="minorHAnsi" w:eastAsia="Calibri" w:hAnsiTheme="minorHAnsi" w:cstheme="minorHAnsi"/>
        </w:rPr>
        <w:t xml:space="preserve">3.1.2.2. </w:t>
      </w:r>
      <w:r w:rsidRPr="009E064B">
        <w:rPr>
          <w:rFonts w:asciiTheme="minorHAnsi" w:eastAsia="Calibri" w:hAnsiTheme="minorHAnsi" w:cstheme="minorHAnsi"/>
        </w:rPr>
        <w:tab/>
        <w:t>które należy stosować w przypadku, gdy personel nie osiąga wymaganych standardów.</w:t>
      </w:r>
    </w:p>
    <w:p w14:paraId="65F3EACC"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3.1.3. </w:t>
      </w:r>
      <w:r w:rsidRPr="009E064B">
        <w:rPr>
          <w:rFonts w:asciiTheme="minorHAnsi" w:eastAsia="Calibri" w:hAnsiTheme="minorHAnsi" w:cstheme="minorHAnsi"/>
        </w:rPr>
        <w:tab/>
        <w:t>opis dokumentacji, która ma być przechowywana i okresy jej przechowywania.</w:t>
      </w:r>
    </w:p>
    <w:p w14:paraId="59837238"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3.2. </w:t>
      </w:r>
      <w:r w:rsidRPr="009E064B">
        <w:rPr>
          <w:rFonts w:asciiTheme="minorHAnsi" w:eastAsia="Calibri" w:hAnsiTheme="minorHAnsi" w:cstheme="minorHAnsi"/>
        </w:rPr>
        <w:tab/>
        <w:t>Program sprawdzania umiejętności, w tym obowiązki i częstotliwość sprawdzania;</w:t>
      </w:r>
    </w:p>
    <w:p w14:paraId="22C1AD94"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3.2.1. </w:t>
      </w:r>
      <w:r w:rsidRPr="009E064B">
        <w:rPr>
          <w:rFonts w:asciiTheme="minorHAnsi" w:eastAsia="Calibri" w:hAnsiTheme="minorHAnsi" w:cstheme="minorHAnsi"/>
        </w:rPr>
        <w:tab/>
        <w:t>procedury, które należy stosować w przypadku, gdy personel nie osiąga wymaganych standardów.</w:t>
      </w:r>
    </w:p>
    <w:p w14:paraId="7B2CDB6E" w14:textId="77777777" w:rsidR="00AA7C09" w:rsidRPr="009E064B" w:rsidRDefault="00AA7C09" w:rsidP="00B06A9A">
      <w:pPr>
        <w:widowControl/>
        <w:tabs>
          <w:tab w:val="left" w:pos="2552"/>
        </w:tabs>
        <w:ind w:left="2552" w:hanging="851"/>
        <w:rPr>
          <w:rFonts w:asciiTheme="minorHAnsi" w:eastAsia="Calibri" w:hAnsiTheme="minorHAnsi" w:cstheme="minorHAnsi"/>
        </w:rPr>
      </w:pPr>
      <w:r w:rsidRPr="009E064B">
        <w:rPr>
          <w:rFonts w:asciiTheme="minorHAnsi" w:eastAsia="Calibri" w:hAnsiTheme="minorHAnsi" w:cstheme="minorHAnsi"/>
        </w:rPr>
        <w:t xml:space="preserve">3.2.2. </w:t>
      </w:r>
      <w:r w:rsidRPr="009E064B">
        <w:rPr>
          <w:rFonts w:asciiTheme="minorHAnsi" w:eastAsia="Calibri" w:hAnsiTheme="minorHAnsi" w:cstheme="minorHAnsi"/>
        </w:rPr>
        <w:tab/>
        <w:t>opis dokumentacji, która ma być przechowywana i okresy jej przechowywania.</w:t>
      </w:r>
    </w:p>
    <w:p w14:paraId="02EB14E8" w14:textId="77777777" w:rsidR="00AA7C09" w:rsidRPr="009E064B" w:rsidRDefault="00AA7C09" w:rsidP="00B06A9A">
      <w:pPr>
        <w:widowControl/>
        <w:tabs>
          <w:tab w:val="left" w:pos="567"/>
        </w:tabs>
        <w:spacing w:before="240"/>
        <w:ind w:left="1701" w:hanging="1701"/>
        <w:jc w:val="left"/>
        <w:rPr>
          <w:rFonts w:asciiTheme="minorHAnsi" w:eastAsia="Calibri" w:hAnsiTheme="minorHAnsi" w:cstheme="minorHAnsi"/>
          <w:bCs/>
        </w:rPr>
      </w:pPr>
      <w:r w:rsidRPr="009E064B">
        <w:rPr>
          <w:rFonts w:asciiTheme="minorHAnsi" w:eastAsia="Calibri" w:hAnsiTheme="minorHAnsi" w:cstheme="minorHAnsi"/>
          <w:bCs/>
        </w:rPr>
        <w:t xml:space="preserve">C. </w:t>
      </w:r>
      <w:r w:rsidRPr="009E064B">
        <w:rPr>
          <w:rFonts w:asciiTheme="minorHAnsi" w:eastAsia="Calibri" w:hAnsiTheme="minorHAnsi" w:cstheme="minorHAnsi"/>
          <w:bCs/>
        </w:rPr>
        <w:tab/>
        <w:t>CZĘŚĆ C ―</w:t>
      </w:r>
      <w:r w:rsidRPr="009E064B">
        <w:rPr>
          <w:rFonts w:asciiTheme="minorHAnsi" w:eastAsia="Calibri" w:hAnsiTheme="minorHAnsi" w:cstheme="minorHAnsi"/>
          <w:bCs/>
        </w:rPr>
        <w:tab/>
        <w:t>SZCZEGÓŁOWE DANE DOTYCZĄCE LOTNISKA</w:t>
      </w:r>
    </w:p>
    <w:p w14:paraId="0F8DCB32"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Opis lotniska zawierający w szczególności następujące informacje:</w:t>
      </w:r>
    </w:p>
    <w:p w14:paraId="4DB8F88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4.1 </w:t>
      </w:r>
      <w:r w:rsidRPr="009E064B">
        <w:rPr>
          <w:rFonts w:asciiTheme="minorHAnsi" w:eastAsia="Calibri" w:hAnsiTheme="minorHAnsi" w:cstheme="minorHAnsi"/>
        </w:rPr>
        <w:tab/>
        <w:t>plan pokazujący odległość lotniska od najbliższego miasta lub innego zaludnionego obszaru;</w:t>
      </w:r>
    </w:p>
    <w:p w14:paraId="4C227EAC"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4.2. </w:t>
      </w:r>
      <w:r w:rsidRPr="009E064B">
        <w:rPr>
          <w:rFonts w:asciiTheme="minorHAnsi" w:eastAsia="Calibri" w:hAnsiTheme="minorHAnsi" w:cstheme="minorHAnsi"/>
        </w:rPr>
        <w:tab/>
        <w:t>szczegółowe mapy i wykresy lotniska pokazujące lokalizację lotniska (długość i szerokość geograficzną) i jego granice, ważne obiekty, punkt odniesienia lotniska, układ dróg startowych, dróg kołowania i płyt postojowych, lotniskowe pomoce wzrokowe i niewzrokowe oraz wskaźniki kierunku wiatru;</w:t>
      </w:r>
    </w:p>
    <w:p w14:paraId="6262787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4.3. </w:t>
      </w:r>
      <w:r w:rsidRPr="009E064B">
        <w:rPr>
          <w:rFonts w:asciiTheme="minorHAnsi" w:eastAsia="Calibri" w:hAnsiTheme="minorHAnsi" w:cstheme="minorHAnsi"/>
        </w:rPr>
        <w:tab/>
        <w:t>plan przedstawiający lokalizację wszelkich obiektów i urządzeń lotniska znajdujących się poza granicami lotniska;</w:t>
      </w:r>
    </w:p>
    <w:p w14:paraId="76B3F086"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4.4. </w:t>
      </w:r>
      <w:r w:rsidRPr="009E064B">
        <w:rPr>
          <w:rFonts w:asciiTheme="minorHAnsi" w:eastAsia="Calibri" w:hAnsiTheme="minorHAnsi" w:cstheme="minorHAnsi"/>
        </w:rPr>
        <w:tab/>
        <w:t>opis cech fizycznych lotniska, wysokość lotniska, pomoce wzrokowe i niewzrokowe, jak również informacje dotyczących temperatury odniesienia lotniska, nośności nawierzchni sztucznych, poziomu ochrony ratowniczo-gaśniczej, pomocy naziemnych i głównych przeszkód lotniczych;</w:t>
      </w:r>
    </w:p>
    <w:p w14:paraId="701F449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4.5. </w:t>
      </w:r>
      <w:r w:rsidRPr="009E064B">
        <w:rPr>
          <w:rFonts w:asciiTheme="minorHAnsi" w:eastAsia="Calibri" w:hAnsiTheme="minorHAnsi" w:cstheme="minorHAnsi"/>
        </w:rPr>
        <w:tab/>
        <w:t>opis wszelkich przypadków zwolnień lub odstępstw, równoważny poziom bezpieczeństwa, specjalne warunki i ograniczenia operacyjne; oraz</w:t>
      </w:r>
    </w:p>
    <w:p w14:paraId="7A96E45D"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4.6. opis rodzajów operacji, w zakresie prowadzenia których lotnisko jest zatwierdzone.</w:t>
      </w:r>
    </w:p>
    <w:p w14:paraId="09C3B4B5" w14:textId="77777777" w:rsidR="00AA7C09" w:rsidRPr="009E064B" w:rsidRDefault="00AA7C09" w:rsidP="00B06A9A">
      <w:pPr>
        <w:widowControl/>
        <w:tabs>
          <w:tab w:val="left" w:pos="567"/>
        </w:tabs>
        <w:spacing w:before="240"/>
        <w:ind w:left="1701" w:hanging="1701"/>
        <w:jc w:val="left"/>
        <w:rPr>
          <w:rFonts w:asciiTheme="minorHAnsi" w:eastAsia="Calibri" w:hAnsiTheme="minorHAnsi" w:cstheme="minorHAnsi"/>
          <w:bCs/>
        </w:rPr>
      </w:pPr>
      <w:r w:rsidRPr="009E064B">
        <w:rPr>
          <w:rFonts w:asciiTheme="minorHAnsi" w:eastAsia="Calibri" w:hAnsiTheme="minorHAnsi" w:cstheme="minorHAnsi"/>
          <w:bCs/>
        </w:rPr>
        <w:t xml:space="preserve">D. </w:t>
      </w:r>
      <w:r w:rsidRPr="009E064B">
        <w:rPr>
          <w:rFonts w:asciiTheme="minorHAnsi" w:eastAsia="Calibri" w:hAnsiTheme="minorHAnsi" w:cstheme="minorHAnsi"/>
          <w:bCs/>
        </w:rPr>
        <w:tab/>
        <w:t>CZĘŚĆ D ―</w:t>
      </w:r>
      <w:r w:rsidRPr="009E064B">
        <w:rPr>
          <w:rFonts w:asciiTheme="minorHAnsi" w:eastAsia="Calibri" w:hAnsiTheme="minorHAnsi" w:cstheme="minorHAnsi"/>
          <w:bCs/>
        </w:rPr>
        <w:tab/>
        <w:t>SZCZEGÓŁOWE DANE DOTYCZĄCE LOTNISKA PODLEGAJĄCE OBOWIĄZKOWI ZGŁASZANIA SŁUŻBIE INFORMACJI LOTNICZEJ</w:t>
      </w:r>
    </w:p>
    <w:p w14:paraId="33F82D0A"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Dostępna służba informacji lotniczej i procedury publikowanie informacji ogólnych, które obejmują:</w:t>
      </w:r>
    </w:p>
    <w:p w14:paraId="52E4B5B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5.1. </w:t>
      </w:r>
      <w:r w:rsidRPr="009E064B">
        <w:rPr>
          <w:rFonts w:asciiTheme="minorHAnsi" w:eastAsia="Calibri" w:hAnsiTheme="minorHAnsi" w:cstheme="minorHAnsi"/>
        </w:rPr>
        <w:tab/>
        <w:t>nazwę lotniska;</w:t>
      </w:r>
    </w:p>
    <w:p w14:paraId="2B1B381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5.2. </w:t>
      </w:r>
      <w:r w:rsidRPr="009E064B">
        <w:rPr>
          <w:rFonts w:asciiTheme="minorHAnsi" w:eastAsia="Calibri" w:hAnsiTheme="minorHAnsi" w:cstheme="minorHAnsi"/>
        </w:rPr>
        <w:tab/>
        <w:t>położenie lotniska;</w:t>
      </w:r>
    </w:p>
    <w:p w14:paraId="4E42CC2D"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5.3. </w:t>
      </w:r>
      <w:r w:rsidRPr="009E064B">
        <w:rPr>
          <w:rFonts w:asciiTheme="minorHAnsi" w:eastAsia="Calibri" w:hAnsiTheme="minorHAnsi" w:cstheme="minorHAnsi"/>
        </w:rPr>
        <w:tab/>
        <w:t>współrzędne geograficzne punktu odniesienia lotniska, określone według Światowego Systemu Geodezyjnego - 1984 (WGS-84);</w:t>
      </w:r>
    </w:p>
    <w:p w14:paraId="739FB8AE"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5.4. </w:t>
      </w:r>
      <w:r w:rsidRPr="009E064B">
        <w:rPr>
          <w:rFonts w:asciiTheme="minorHAnsi" w:eastAsia="Calibri" w:hAnsiTheme="minorHAnsi" w:cstheme="minorHAnsi"/>
        </w:rPr>
        <w:tab/>
        <w:t>wysokość lotniska i undulacja geoidy;</w:t>
      </w:r>
    </w:p>
    <w:p w14:paraId="517CDF59"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5.5. </w:t>
      </w:r>
      <w:r w:rsidRPr="009E064B">
        <w:rPr>
          <w:rFonts w:asciiTheme="minorHAnsi" w:eastAsia="Calibri" w:hAnsiTheme="minorHAnsi" w:cstheme="minorHAnsi"/>
        </w:rPr>
        <w:tab/>
        <w:t>wysokość każdego progu drogi startowej oraz undulacja geoidy, wysokość końca drogi startowej oraz wszelkich znaczących wysokich i niskich punktów wzdłuż drogi startowej, oraz najwyższa wysokość strefy przyziemienia drogi startowej z podejściem precyzyjnym;</w:t>
      </w:r>
    </w:p>
    <w:p w14:paraId="3E914827"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5.6. </w:t>
      </w:r>
      <w:r w:rsidRPr="009E064B">
        <w:rPr>
          <w:rFonts w:asciiTheme="minorHAnsi" w:eastAsia="Calibri" w:hAnsiTheme="minorHAnsi" w:cstheme="minorHAnsi"/>
        </w:rPr>
        <w:tab/>
        <w:t>temperatura odniesienia lotniska;</w:t>
      </w:r>
    </w:p>
    <w:p w14:paraId="6689CC71"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5.7. </w:t>
      </w:r>
      <w:r w:rsidRPr="009E064B">
        <w:rPr>
          <w:rFonts w:asciiTheme="minorHAnsi" w:eastAsia="Calibri" w:hAnsiTheme="minorHAnsi" w:cstheme="minorHAnsi"/>
        </w:rPr>
        <w:tab/>
        <w:t>szczegóły radiolatarni lotniskowej; oraz</w:t>
      </w:r>
    </w:p>
    <w:p w14:paraId="4F7507CE"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5.8. </w:t>
      </w:r>
      <w:r w:rsidRPr="009E064B">
        <w:rPr>
          <w:rFonts w:asciiTheme="minorHAnsi" w:eastAsia="Calibri" w:hAnsiTheme="minorHAnsi" w:cstheme="minorHAnsi"/>
        </w:rPr>
        <w:tab/>
        <w:t>nazwę operatora lotniska i dane kontaktowe (w tym numery telefonów) operatora lotniska, na które można się kontaktować w każdej chwili.</w:t>
      </w:r>
    </w:p>
    <w:p w14:paraId="57B9543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Wymiary lotniska i informacje powiązane, w tym:</w:t>
      </w:r>
    </w:p>
    <w:p w14:paraId="7BE158E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6.1. </w:t>
      </w:r>
      <w:r w:rsidRPr="009E064B">
        <w:rPr>
          <w:rFonts w:asciiTheme="minorHAnsi" w:eastAsia="Calibri" w:hAnsiTheme="minorHAnsi" w:cstheme="minorHAnsi"/>
        </w:rPr>
        <w:tab/>
        <w:t>droga startowa – rzeczywisty kierunek geograficzny, numer oznaczenia, długość, szerokość, lokalizacja przesuniętego progu, nachylenie, rodzaj nawierzchni, typ drogi startowej oraz istnienie strefy wolnej od przeszkód dla drogi startowej z podejściem precyzyjnym;</w:t>
      </w:r>
    </w:p>
    <w:p w14:paraId="0F1DD28C"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6.2. </w:t>
      </w:r>
      <w:r w:rsidRPr="009E064B">
        <w:rPr>
          <w:rFonts w:asciiTheme="minorHAnsi" w:eastAsia="Calibri" w:hAnsiTheme="minorHAnsi" w:cstheme="minorHAnsi"/>
        </w:rPr>
        <w:tab/>
        <w:t>długość, szerokość i rodzaj nawierzchni pasa, zabezpieczenie końców drogi startowej, zabezpieczenia przerwanego startu; długość, szerokość i rodzaj nawierzchni dróg kołowania; rodzaj nawierzchni płyty postojowej i stanowiska postojowe statków powietrznych; długość zabezpieczenia wydłużonego startu i profil terenu;</w:t>
      </w:r>
    </w:p>
    <w:p w14:paraId="0622F2F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6.3. </w:t>
      </w:r>
      <w:r w:rsidRPr="009E064B">
        <w:rPr>
          <w:rFonts w:asciiTheme="minorHAnsi" w:eastAsia="Calibri" w:hAnsiTheme="minorHAnsi" w:cstheme="minorHAnsi"/>
        </w:rPr>
        <w:tab/>
        <w:t>pomoce wzrokowe dla procedur podejścia, rodzaj świetlnego systemu wzrokowych wskaźników ścieżki podejścia; oznakowanie i oświetlenie dróg startowych, dróg kołowania i płyt postojowych; inne pomoce wzrokowe i pomoce kontroli ruchu naziemnego na drogach kołowania i płytach postojowych, lokalizacja i typu wzrokowego systemu dokowania; dostępność niezależnych źródeł zasilania oświetlenia;</w:t>
      </w:r>
    </w:p>
    <w:p w14:paraId="05CED63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6.4. </w:t>
      </w:r>
      <w:r w:rsidRPr="009E064B">
        <w:rPr>
          <w:rFonts w:asciiTheme="minorHAnsi" w:eastAsia="Calibri" w:hAnsiTheme="minorHAnsi" w:cstheme="minorHAnsi"/>
        </w:rPr>
        <w:tab/>
        <w:t>lokalizacja i częstotliwości radiowa lotniskowych stanowisk sprawdzania VOR;</w:t>
      </w:r>
    </w:p>
    <w:p w14:paraId="6AFD3E4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6.5. </w:t>
      </w:r>
      <w:r w:rsidRPr="009E064B">
        <w:rPr>
          <w:rFonts w:asciiTheme="minorHAnsi" w:eastAsia="Calibri" w:hAnsiTheme="minorHAnsi" w:cstheme="minorHAnsi"/>
        </w:rPr>
        <w:tab/>
        <w:t>położenie i oznaczenie standardowych tras kołowania;</w:t>
      </w:r>
    </w:p>
    <w:p w14:paraId="104AB6A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6.6. </w:t>
      </w:r>
      <w:r w:rsidRPr="009E064B">
        <w:rPr>
          <w:rFonts w:asciiTheme="minorHAnsi" w:eastAsia="Calibri" w:hAnsiTheme="minorHAnsi" w:cstheme="minorHAnsi"/>
        </w:rPr>
        <w:tab/>
        <w:t>współrzędne geograficzne każdego progu, odpowiednie punkty linii środkowej drogi kołowania, oraz stanowisk postojowych statków powietrznych;</w:t>
      </w:r>
    </w:p>
    <w:p w14:paraId="1D4F1458"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6.7. </w:t>
      </w:r>
      <w:r w:rsidRPr="009E064B">
        <w:rPr>
          <w:rFonts w:asciiTheme="minorHAnsi" w:eastAsia="Calibri" w:hAnsiTheme="minorHAnsi" w:cstheme="minorHAnsi"/>
        </w:rPr>
        <w:tab/>
        <w:t>współrzędne geograficzne oraz wysokość wierzchołków istotnych przeszkód w strefach podejścia i startu, w strefie kręgu lotniskowego oraz w otoczeniu lotniska (w formie map);</w:t>
      </w:r>
    </w:p>
    <w:p w14:paraId="7DCC335B"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6.8. </w:t>
      </w:r>
      <w:r w:rsidRPr="009E064B">
        <w:rPr>
          <w:rFonts w:asciiTheme="minorHAnsi" w:eastAsia="Calibri" w:hAnsiTheme="minorHAnsi" w:cstheme="minorHAnsi"/>
        </w:rPr>
        <w:tab/>
        <w:t>rodzaj i nośność nawierzchni sztucznej określonej przy użyciu metody liczba klasyfikacyjna statku powietrznego – liczba klasyfikacyjna nawierzchni (ACN-PCN);</w:t>
      </w:r>
    </w:p>
    <w:p w14:paraId="1DDB1D87"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6.9. </w:t>
      </w:r>
      <w:r w:rsidRPr="009E064B">
        <w:rPr>
          <w:rFonts w:asciiTheme="minorHAnsi" w:eastAsia="Calibri" w:hAnsiTheme="minorHAnsi" w:cstheme="minorHAnsi"/>
        </w:rPr>
        <w:tab/>
        <w:t>miejsca przeznaczone do sprawdzania wysokościomierzy przed lotem i ich wysokość;</w:t>
      </w:r>
    </w:p>
    <w:p w14:paraId="7A087412"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6.10. </w:t>
      </w:r>
      <w:r w:rsidRPr="009E064B">
        <w:rPr>
          <w:rFonts w:asciiTheme="minorHAnsi" w:eastAsia="Calibri" w:hAnsiTheme="minorHAnsi" w:cstheme="minorHAnsi"/>
        </w:rPr>
        <w:tab/>
        <w:t>długości deklarowane;</w:t>
      </w:r>
    </w:p>
    <w:p w14:paraId="3159C0F0"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6.11. </w:t>
      </w:r>
      <w:r w:rsidRPr="009E064B">
        <w:rPr>
          <w:rFonts w:asciiTheme="minorHAnsi" w:eastAsia="Calibri" w:hAnsiTheme="minorHAnsi" w:cstheme="minorHAnsi"/>
        </w:rPr>
        <w:tab/>
        <w:t>dane kontaktowe (numery telefonów/teleksu/faksu i adresy e-mail) z koordynatorem operacji usuwania unieruchomionych statków powietrznych, a także informacje na temat możliwości usuwania unieruchomionych statków powietrznych, wyrażone w kategoriach największego typu statku powietrznego;</w:t>
      </w:r>
    </w:p>
    <w:p w14:paraId="5B4B8E5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6.12. </w:t>
      </w:r>
      <w:r w:rsidRPr="009E064B">
        <w:rPr>
          <w:rFonts w:asciiTheme="minorHAnsi" w:eastAsia="Calibri" w:hAnsiTheme="minorHAnsi" w:cstheme="minorHAnsi"/>
        </w:rPr>
        <w:tab/>
        <w:t>poziom ochrony ratowniczo-gaśniczej; rodzaje i ilości środków gaśniczych będących normalnie dostępnych w dyspozycji lotniska; oraz</w:t>
      </w:r>
    </w:p>
    <w:p w14:paraId="7CA00FDE"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6.13. </w:t>
      </w:r>
      <w:r w:rsidRPr="009E064B">
        <w:rPr>
          <w:rFonts w:asciiTheme="minorHAnsi" w:eastAsia="Calibri" w:hAnsiTheme="minorHAnsi" w:cstheme="minorHAnsi"/>
        </w:rPr>
        <w:tab/>
        <w:t>zwolnienia lub odstępstwa od obowiązujących wymagań, przypadki równoważnego poziomu bezpieczeństwa, warunki specjalne i ograniczenia.</w:t>
      </w:r>
    </w:p>
    <w:p w14:paraId="238DB24F" w14:textId="77777777" w:rsidR="00AA7C09" w:rsidRPr="009E064B" w:rsidRDefault="00AA7C09" w:rsidP="00B06A9A">
      <w:pPr>
        <w:widowControl/>
        <w:tabs>
          <w:tab w:val="left" w:pos="567"/>
        </w:tabs>
        <w:spacing w:before="240"/>
        <w:ind w:left="1701" w:hanging="1701"/>
        <w:jc w:val="left"/>
        <w:rPr>
          <w:rFonts w:asciiTheme="minorHAnsi" w:eastAsia="Calibri" w:hAnsiTheme="minorHAnsi" w:cstheme="minorHAnsi"/>
          <w:bCs/>
        </w:rPr>
      </w:pPr>
      <w:r w:rsidRPr="009E064B">
        <w:rPr>
          <w:rFonts w:asciiTheme="minorHAnsi" w:eastAsia="Calibri" w:hAnsiTheme="minorHAnsi" w:cstheme="minorHAnsi"/>
          <w:bCs/>
        </w:rPr>
        <w:t xml:space="preserve">E. </w:t>
      </w:r>
      <w:r w:rsidRPr="009E064B">
        <w:rPr>
          <w:rFonts w:asciiTheme="minorHAnsi" w:eastAsia="Calibri" w:hAnsiTheme="minorHAnsi" w:cstheme="minorHAnsi"/>
          <w:bCs/>
        </w:rPr>
        <w:tab/>
        <w:t>CZĘŚĆ E ―</w:t>
      </w:r>
      <w:r w:rsidRPr="009E064B">
        <w:rPr>
          <w:rFonts w:asciiTheme="minorHAnsi" w:eastAsia="Calibri" w:hAnsiTheme="minorHAnsi" w:cstheme="minorHAnsi"/>
          <w:bCs/>
        </w:rPr>
        <w:tab/>
        <w:t xml:space="preserve">SZCZEGÓŁOWE DANE DOTYCZĄCE PROCEDUR OPERACYJNYCH LOTNISKA, </w:t>
      </w:r>
      <w:r w:rsidRPr="009E064B">
        <w:rPr>
          <w:rFonts w:asciiTheme="minorHAnsi" w:eastAsia="Calibri" w:hAnsiTheme="minorHAnsi" w:cstheme="minorHAnsi"/>
          <w:bCs/>
        </w:rPr>
        <w:br/>
        <w:t>JEGO WYPOSAŻENIA I STOSOWANYCH ŚRODKÓW BEZPIECZEŃSTWA.</w:t>
      </w:r>
    </w:p>
    <w:p w14:paraId="0DFE418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Lotniskowy system powiadamiania obejmuje:</w:t>
      </w:r>
    </w:p>
    <w:p w14:paraId="6E241CFF"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7.1. </w:t>
      </w:r>
      <w:r w:rsidRPr="009E064B">
        <w:rPr>
          <w:rFonts w:asciiTheme="minorHAnsi" w:eastAsia="Calibri" w:hAnsiTheme="minorHAnsi" w:cstheme="minorHAnsi"/>
        </w:rPr>
        <w:tab/>
        <w:t>Uzgodnienia i procedury zgłaszania zmian dotyczących informacji lotniskowych określonych w AIP i wnioskowanie o wydanie NOTAM, w tym zgłaszanie zmian do właściwego organu oraz rejestrowanie zgłoszeń o tych zmianach;</w:t>
      </w:r>
    </w:p>
    <w:p w14:paraId="7A795DBE"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7.2. </w:t>
      </w:r>
      <w:r w:rsidRPr="009E064B">
        <w:rPr>
          <w:rFonts w:asciiTheme="minorHAnsi" w:eastAsia="Calibri" w:hAnsiTheme="minorHAnsi" w:cstheme="minorHAnsi"/>
        </w:rPr>
        <w:tab/>
        <w:t>procedury i częstotliwość przeglądów danych lotniczych, w tym obszarów, które należy badać.</w:t>
      </w:r>
    </w:p>
    <w:p w14:paraId="1D0E2CA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Procedury dostępu do pola ruchu naziemnego lotniska, w tym:</w:t>
      </w:r>
    </w:p>
    <w:p w14:paraId="43D3A210"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8.1. </w:t>
      </w:r>
      <w:r w:rsidRPr="009E064B">
        <w:rPr>
          <w:rFonts w:asciiTheme="minorHAnsi" w:eastAsia="Calibri" w:hAnsiTheme="minorHAnsi" w:cstheme="minorHAnsi"/>
        </w:rPr>
        <w:tab/>
        <w:t>koordynacji z organami odpowiedzialnymi za ochronę;</w:t>
      </w:r>
    </w:p>
    <w:p w14:paraId="28FD1DC6"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8.2. </w:t>
      </w:r>
      <w:r w:rsidRPr="009E064B">
        <w:rPr>
          <w:rFonts w:asciiTheme="minorHAnsi" w:eastAsia="Calibri" w:hAnsiTheme="minorHAnsi" w:cstheme="minorHAnsi"/>
        </w:rPr>
        <w:tab/>
        <w:t>zapobiegania nieuprawnionemu wejściu na pole ruchu naziemnego;</w:t>
      </w:r>
    </w:p>
    <w:p w14:paraId="116C063B"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Procedury inspekcji, oceny i informowania o stanie pola ruchu naziemnego oraz innych obszarów i obiektów (w tym oceny charakterystyk tarcia drogi startowej i pomiarów głębokości wody), w tym:</w:t>
      </w:r>
    </w:p>
    <w:p w14:paraId="7837BBFA"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9.1. </w:t>
      </w:r>
      <w:r w:rsidRPr="009E064B">
        <w:rPr>
          <w:rFonts w:asciiTheme="minorHAnsi" w:eastAsia="Calibri" w:hAnsiTheme="minorHAnsi" w:cstheme="minorHAnsi"/>
        </w:rPr>
        <w:tab/>
        <w:t>ustalenia organizacyjne i środki komunikowania się z organem służb ruchu lotniczego w trakcie inspekcji;</w:t>
      </w:r>
    </w:p>
    <w:p w14:paraId="0D336F04"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9.2. </w:t>
      </w:r>
      <w:r w:rsidRPr="009E064B">
        <w:rPr>
          <w:rFonts w:asciiTheme="minorHAnsi" w:eastAsia="Calibri" w:hAnsiTheme="minorHAnsi" w:cstheme="minorHAnsi"/>
        </w:rPr>
        <w:tab/>
        <w:t>lista kontrolna inspekcji, dziennik i prowadzenie rejestru; oraz</w:t>
      </w:r>
    </w:p>
    <w:p w14:paraId="0936B669" w14:textId="77777777" w:rsidR="00AA7C09" w:rsidRPr="009E064B" w:rsidRDefault="00AA7C09"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9.3. </w:t>
      </w:r>
      <w:r w:rsidRPr="009E064B">
        <w:rPr>
          <w:rFonts w:asciiTheme="minorHAnsi" w:eastAsia="Calibri" w:hAnsiTheme="minorHAnsi" w:cstheme="minorHAnsi"/>
        </w:rPr>
        <w:tab/>
        <w:t>odstępy czasowe i terminy inspekcji, raportowanie wyników i działania następcze (pokontrolne).</w:t>
      </w:r>
    </w:p>
    <w:p w14:paraId="1300985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Procedury inspekcji oraz bieżącej i awaryjnej obsługi technicznej pomocy wzrokowych i niewzrokowych, w stosownych przypadkach, oraz systemy elektryczne lotniska, w tym:</w:t>
      </w:r>
    </w:p>
    <w:p w14:paraId="18E0EBF1"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10.1. </w:t>
      </w:r>
      <w:r w:rsidRPr="009E064B">
        <w:rPr>
          <w:rFonts w:asciiTheme="minorHAnsi" w:eastAsia="Calibri" w:hAnsiTheme="minorHAnsi" w:cstheme="minorHAnsi"/>
        </w:rPr>
        <w:tab/>
        <w:t>lista kontrolna inspekcji, dziennik i prowadzenie rejestru; oraz</w:t>
      </w:r>
    </w:p>
    <w:p w14:paraId="07C84815"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10.2. </w:t>
      </w:r>
      <w:r w:rsidRPr="009E064B">
        <w:rPr>
          <w:rFonts w:asciiTheme="minorHAnsi" w:eastAsia="Calibri" w:hAnsiTheme="minorHAnsi" w:cstheme="minorHAnsi"/>
        </w:rPr>
        <w:tab/>
        <w:t>odstępy czasowe i terminy inspekcji, wyniki raportowania i działania następcze (pokontrolne).</w:t>
      </w:r>
    </w:p>
    <w:p w14:paraId="298204B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11.</w:t>
      </w:r>
      <w:r w:rsidRPr="009E064B">
        <w:rPr>
          <w:rFonts w:asciiTheme="minorHAnsi" w:eastAsia="Calibri" w:hAnsiTheme="minorHAnsi" w:cstheme="minorHAnsi"/>
        </w:rPr>
        <w:tab/>
        <w:t>Instrukcje eksploatacji, obsługi technicznej i napraw, informacje dotyczące serwisowania, procedury rozwiązywania problemów i inspekcji wyposażenia lotniska.</w:t>
      </w:r>
    </w:p>
    <w:p w14:paraId="7BFB344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Procedury:</w:t>
      </w:r>
    </w:p>
    <w:p w14:paraId="6F1134D3" w14:textId="3D096E62"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12.1. </w:t>
      </w:r>
      <w:r w:rsidRPr="009E064B">
        <w:rPr>
          <w:rFonts w:asciiTheme="minorHAnsi" w:eastAsia="Calibri" w:hAnsiTheme="minorHAnsi" w:cstheme="minorHAnsi"/>
        </w:rPr>
        <w:tab/>
        <w:t xml:space="preserve">utrzymania pola ruchu naziemnego, w tym </w:t>
      </w:r>
      <w:r w:rsidR="004A398A">
        <w:rPr>
          <w:rFonts w:asciiTheme="minorHAnsi" w:eastAsia="Calibri" w:hAnsiTheme="minorHAnsi" w:cstheme="minorHAnsi"/>
        </w:rPr>
        <w:t>obszarów o nawierzchni sztucznej</w:t>
      </w:r>
      <w:r w:rsidRPr="009E064B">
        <w:rPr>
          <w:rFonts w:asciiTheme="minorHAnsi" w:eastAsia="Calibri" w:hAnsiTheme="minorHAnsi" w:cstheme="minorHAnsi"/>
        </w:rPr>
        <w:t>; dróg startowych i dróg kołowania</w:t>
      </w:r>
      <w:r w:rsidR="004A398A">
        <w:rPr>
          <w:rFonts w:asciiTheme="minorHAnsi" w:eastAsia="Calibri" w:hAnsiTheme="minorHAnsi" w:cstheme="minorHAnsi"/>
        </w:rPr>
        <w:t xml:space="preserve"> bez nawierzchni sztucznej</w:t>
      </w:r>
      <w:r w:rsidRPr="009E064B">
        <w:rPr>
          <w:rFonts w:asciiTheme="minorHAnsi" w:eastAsia="Calibri" w:hAnsiTheme="minorHAnsi" w:cstheme="minorHAnsi"/>
        </w:rPr>
        <w:t xml:space="preserve">, dróg startowych i pasów </w:t>
      </w:r>
      <w:r w:rsidR="004A398A">
        <w:rPr>
          <w:rFonts w:asciiTheme="minorHAnsi" w:eastAsia="Calibri" w:hAnsiTheme="minorHAnsi" w:cstheme="minorHAnsi"/>
        </w:rPr>
        <w:t xml:space="preserve">dróg </w:t>
      </w:r>
      <w:r w:rsidRPr="009E064B">
        <w:rPr>
          <w:rFonts w:asciiTheme="minorHAnsi" w:eastAsia="Calibri" w:hAnsiTheme="minorHAnsi" w:cstheme="minorHAnsi"/>
        </w:rPr>
        <w:t>startowych oraz systemu odwodnienia lotniska;</w:t>
      </w:r>
    </w:p>
    <w:p w14:paraId="022462F0"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12.2. </w:t>
      </w:r>
      <w:r w:rsidRPr="009E064B">
        <w:rPr>
          <w:rFonts w:asciiTheme="minorHAnsi" w:eastAsia="Calibri" w:hAnsiTheme="minorHAnsi" w:cstheme="minorHAnsi"/>
        </w:rPr>
        <w:tab/>
        <w:t>dla operacji z nadmiernym obciążeniem.</w:t>
      </w:r>
    </w:p>
    <w:p w14:paraId="48F4546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13. </w:t>
      </w:r>
      <w:r w:rsidRPr="009E064B">
        <w:rPr>
          <w:rFonts w:asciiTheme="minorHAnsi" w:eastAsia="Calibri" w:hAnsiTheme="minorHAnsi" w:cstheme="minorHAnsi"/>
        </w:rPr>
        <w:tab/>
        <w:t>Procedury prowadzenia prac na lotnisku, w tym:</w:t>
      </w:r>
    </w:p>
    <w:p w14:paraId="6056A446"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13.1.</w:t>
      </w:r>
      <w:r w:rsidRPr="009E064B">
        <w:rPr>
          <w:rFonts w:asciiTheme="minorHAnsi" w:eastAsia="Calibri" w:hAnsiTheme="minorHAnsi" w:cstheme="minorHAnsi"/>
        </w:rPr>
        <w:tab/>
        <w:t>koordynacji, planowania i prowadzenia prac budowlanych i prac związanych z obsługą techniczną; oraz</w:t>
      </w:r>
    </w:p>
    <w:p w14:paraId="76E8EC64"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13.2. </w:t>
      </w:r>
      <w:r w:rsidRPr="009E064B">
        <w:rPr>
          <w:rFonts w:asciiTheme="minorHAnsi" w:eastAsia="Calibri" w:hAnsiTheme="minorHAnsi" w:cstheme="minorHAnsi"/>
        </w:rPr>
        <w:tab/>
        <w:t>ustalenia organizacyjne i środki komunikowania się z organem służb ruchu lotniczego w czasie prowadzenia takich prac.</w:t>
      </w:r>
    </w:p>
    <w:p w14:paraId="60C1A5C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14. </w:t>
      </w:r>
      <w:r w:rsidRPr="009E064B">
        <w:rPr>
          <w:rFonts w:asciiTheme="minorHAnsi" w:eastAsia="Calibri" w:hAnsiTheme="minorHAnsi" w:cstheme="minorHAnsi"/>
        </w:rPr>
        <w:tab/>
        <w:t>Procedury zarządzania płytą postojową, w tym:</w:t>
      </w:r>
    </w:p>
    <w:p w14:paraId="00026B7D"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14.1. </w:t>
      </w:r>
      <w:r w:rsidRPr="009E064B">
        <w:rPr>
          <w:rFonts w:asciiTheme="minorHAnsi" w:eastAsia="Calibri" w:hAnsiTheme="minorHAnsi" w:cstheme="minorHAnsi"/>
        </w:rPr>
        <w:tab/>
        <w:t>przekazania statków powietrznych pomiędzy organem służb ruchu lotniczego a organem zarządzania płytą postojową;</w:t>
      </w:r>
    </w:p>
    <w:p w14:paraId="77E24EDB"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14.2. </w:t>
      </w:r>
      <w:r w:rsidRPr="009E064B">
        <w:rPr>
          <w:rFonts w:asciiTheme="minorHAnsi" w:eastAsia="Calibri" w:hAnsiTheme="minorHAnsi" w:cstheme="minorHAnsi"/>
        </w:rPr>
        <w:tab/>
        <w:t>przydziału stanowisk postojowych statków powietrznych;</w:t>
      </w:r>
    </w:p>
    <w:p w14:paraId="3FF82D75"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14.3. </w:t>
      </w:r>
      <w:r w:rsidRPr="009E064B">
        <w:rPr>
          <w:rFonts w:asciiTheme="minorHAnsi" w:eastAsia="Calibri" w:hAnsiTheme="minorHAnsi" w:cstheme="minorHAnsi"/>
        </w:rPr>
        <w:tab/>
        <w:t>uruchamiania silnika i wypychania statków powietrznych; oraz</w:t>
      </w:r>
    </w:p>
    <w:p w14:paraId="2EF4B98C" w14:textId="77777777" w:rsidR="00AA7C09" w:rsidRPr="009E064B" w:rsidRDefault="00AA7C09" w:rsidP="00B06A9A">
      <w:pPr>
        <w:widowControl/>
        <w:tabs>
          <w:tab w:val="left" w:pos="1843"/>
        </w:tabs>
        <w:ind w:left="1843" w:hanging="709"/>
        <w:rPr>
          <w:rFonts w:asciiTheme="minorHAnsi" w:eastAsia="Calibri" w:hAnsiTheme="minorHAnsi" w:cstheme="minorHAnsi"/>
          <w:i/>
        </w:rPr>
      </w:pPr>
      <w:r w:rsidRPr="009E064B">
        <w:rPr>
          <w:rFonts w:asciiTheme="minorHAnsi" w:eastAsia="Calibri" w:hAnsiTheme="minorHAnsi" w:cstheme="minorHAnsi"/>
        </w:rPr>
        <w:t xml:space="preserve">14.4. </w:t>
      </w:r>
      <w:r w:rsidRPr="009E064B">
        <w:rPr>
          <w:rFonts w:asciiTheme="minorHAnsi" w:eastAsia="Calibri" w:hAnsiTheme="minorHAnsi" w:cstheme="minorHAnsi"/>
        </w:rPr>
        <w:tab/>
        <w:t xml:space="preserve">koordynacji ruchu naziemnego </w:t>
      </w:r>
      <w:r w:rsidRPr="009E064B">
        <w:rPr>
          <w:rFonts w:asciiTheme="minorHAnsi" w:eastAsia="Calibri" w:hAnsiTheme="minorHAnsi" w:cstheme="minorHAnsi"/>
          <w:i/>
        </w:rPr>
        <w:t>(marshalling)</w:t>
      </w:r>
      <w:r w:rsidRPr="009E064B">
        <w:rPr>
          <w:rFonts w:asciiTheme="minorHAnsi" w:eastAsia="Calibri" w:hAnsiTheme="minorHAnsi" w:cstheme="minorHAnsi"/>
        </w:rPr>
        <w:t xml:space="preserve"> i służby pojazdów prowadzących </w:t>
      </w:r>
      <w:r w:rsidRPr="009E064B">
        <w:rPr>
          <w:rFonts w:asciiTheme="minorHAnsi" w:eastAsia="Calibri" w:hAnsiTheme="minorHAnsi" w:cstheme="minorHAnsi"/>
          <w:i/>
        </w:rPr>
        <w:t>(follow-me).</w:t>
      </w:r>
    </w:p>
    <w:p w14:paraId="7D7EF3B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15. </w:t>
      </w:r>
      <w:r w:rsidRPr="009E064B">
        <w:rPr>
          <w:rFonts w:asciiTheme="minorHAnsi" w:eastAsia="Calibri" w:hAnsiTheme="minorHAnsi" w:cstheme="minorHAnsi"/>
        </w:rPr>
        <w:tab/>
        <w:t>Procedury zarządzania bezpieczeństwem na płycie postojowej, w tym:</w:t>
      </w:r>
    </w:p>
    <w:p w14:paraId="0A59AF98"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15.1. </w:t>
      </w:r>
      <w:r w:rsidRPr="009E064B">
        <w:rPr>
          <w:rFonts w:asciiTheme="minorHAnsi" w:eastAsia="Calibri" w:hAnsiTheme="minorHAnsi" w:cstheme="minorHAnsi"/>
        </w:rPr>
        <w:tab/>
        <w:t>ochrony przed podmuchami silników odrzutowych;</w:t>
      </w:r>
    </w:p>
    <w:p w14:paraId="2DB21F87"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15.2. </w:t>
      </w:r>
      <w:r w:rsidRPr="009E064B">
        <w:rPr>
          <w:rFonts w:asciiTheme="minorHAnsi" w:eastAsia="Calibri" w:hAnsiTheme="minorHAnsi" w:cstheme="minorHAnsi"/>
        </w:rPr>
        <w:tab/>
        <w:t>egzekwowania zasad bezpieczeństwa podczas operacji tankowania statków powietrznych;</w:t>
      </w:r>
    </w:p>
    <w:p w14:paraId="2570588F"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15.3. </w:t>
      </w:r>
      <w:r w:rsidRPr="009E064B">
        <w:rPr>
          <w:rFonts w:asciiTheme="minorHAnsi" w:eastAsia="Calibri" w:hAnsiTheme="minorHAnsi" w:cstheme="minorHAnsi"/>
        </w:rPr>
        <w:tab/>
        <w:t>zapobiegania FOD, w tym sprzątanie/zamiatanie płyty postojowej; oraz</w:t>
      </w:r>
    </w:p>
    <w:p w14:paraId="6202299C"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15.4. </w:t>
      </w:r>
      <w:r w:rsidRPr="009E064B">
        <w:rPr>
          <w:rFonts w:asciiTheme="minorHAnsi" w:eastAsia="Calibri" w:hAnsiTheme="minorHAnsi" w:cstheme="minorHAnsi"/>
        </w:rPr>
        <w:tab/>
        <w:t>monitorowania spełnienia wymagań procedur bezpieczeństwa przez personel na płycie postojowej.</w:t>
      </w:r>
    </w:p>
    <w:p w14:paraId="0803205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16. </w:t>
      </w:r>
      <w:r w:rsidRPr="009E064B">
        <w:rPr>
          <w:rFonts w:asciiTheme="minorHAnsi" w:eastAsia="Calibri" w:hAnsiTheme="minorHAnsi" w:cstheme="minorHAnsi"/>
        </w:rPr>
        <w:tab/>
        <w:t>Procedury kontroli pojazdów działających w polu ruchu naziemnego lub w jego pobliżu, w tym przepisy ruchu drogowego, pierwszeństwo przejazdu, ograniczenia prędkości i sposobu jazdy, wydawanie zezwoleń na prowadzenie pojazdów oraz środki egzekwowania stosowania przepisów.</w:t>
      </w:r>
    </w:p>
    <w:p w14:paraId="7AFC54D6"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17.</w:t>
      </w:r>
      <w:r w:rsidRPr="009E064B">
        <w:rPr>
          <w:rFonts w:asciiTheme="minorHAnsi" w:eastAsia="Calibri" w:hAnsiTheme="minorHAnsi" w:cstheme="minorHAnsi"/>
        </w:rPr>
        <w:tab/>
        <w:t>Procedury zarządzania zagrożeniami ze strony zwierząt, w tym dokonywanie oceny zagrożeń ze strony zwierząt i ustalenia dotyczące wdrożenia programu kontroli zwierząt oraz sposób publikowania istotnych informacji przez służby AIS. Formularz zgłoszenia zderzenia ze zwierzętami.</w:t>
      </w:r>
    </w:p>
    <w:p w14:paraId="3D4F8E87"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18. </w:t>
      </w:r>
      <w:r w:rsidRPr="009E064B">
        <w:rPr>
          <w:rFonts w:asciiTheme="minorHAnsi" w:eastAsia="Calibri" w:hAnsiTheme="minorHAnsi" w:cstheme="minorHAnsi"/>
        </w:rPr>
        <w:tab/>
        <w:t>Procedury:</w:t>
      </w:r>
    </w:p>
    <w:p w14:paraId="301BA364"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18.1. </w:t>
      </w:r>
      <w:r w:rsidRPr="009E064B">
        <w:rPr>
          <w:rFonts w:asciiTheme="minorHAnsi" w:eastAsia="Calibri" w:hAnsiTheme="minorHAnsi" w:cstheme="minorHAnsi"/>
        </w:rPr>
        <w:tab/>
        <w:t>kontroli i monitorowania przeszkód na lotnisku i poza jego granicami, powiadamiania właściwego organu o charakterze i lokalizacji przeszkód oraz, w razie potrzeby, wszelkich później dodanych lub usuniętych przeszkód, w tym zmiany publikacji AIS; oraz</w:t>
      </w:r>
    </w:p>
    <w:p w14:paraId="2F57FEB5"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18.2. </w:t>
      </w:r>
      <w:r w:rsidRPr="009E064B">
        <w:rPr>
          <w:rFonts w:asciiTheme="minorHAnsi" w:eastAsia="Calibri" w:hAnsiTheme="minorHAnsi" w:cstheme="minorHAnsi"/>
        </w:rPr>
        <w:tab/>
        <w:t>monitorowania i ograniczania zagrożenia związanego z działalnością ludzką i korzystaniem z gruntów na lotnisku i w jego otoczeniu.</w:t>
      </w:r>
    </w:p>
    <w:p w14:paraId="5DD33540" w14:textId="77777777" w:rsidR="00AA7C09" w:rsidRPr="009E064B" w:rsidRDefault="00AA7C09" w:rsidP="00B06A9A">
      <w:pPr>
        <w:widowControl/>
        <w:tabs>
          <w:tab w:val="left" w:pos="1843"/>
        </w:tabs>
        <w:ind w:left="1843"/>
        <w:rPr>
          <w:rFonts w:asciiTheme="minorHAnsi" w:eastAsia="Calibri" w:hAnsiTheme="minorHAnsi" w:cstheme="minorHAnsi"/>
        </w:rPr>
      </w:pPr>
      <w:r w:rsidRPr="009E064B">
        <w:rPr>
          <w:rFonts w:asciiTheme="minorHAnsi" w:eastAsia="Calibri" w:hAnsiTheme="minorHAnsi" w:cstheme="minorHAnsi"/>
        </w:rPr>
        <w:t>Odpowiednie listy kontrolne do prowadzenia inspekcji, dziennik i prowadzenie rejestru; przedziały czasu pomiędzy inspekcjami i czas inspekcji; raportowanie wyników i działania następcze (pokontrolne).</w:t>
      </w:r>
    </w:p>
    <w:p w14:paraId="0AAECDB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19. </w:t>
      </w:r>
      <w:r w:rsidRPr="009E064B">
        <w:rPr>
          <w:rFonts w:asciiTheme="minorHAnsi" w:eastAsia="Calibri" w:hAnsiTheme="minorHAnsi" w:cstheme="minorHAnsi"/>
        </w:rPr>
        <w:tab/>
        <w:t>Plan działania w sytuacji zagrożenia dla lotniska, w tym:</w:t>
      </w:r>
    </w:p>
    <w:p w14:paraId="6F179E4E"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19.1. </w:t>
      </w:r>
      <w:r w:rsidRPr="009E064B">
        <w:rPr>
          <w:rFonts w:asciiTheme="minorHAnsi" w:eastAsia="Calibri" w:hAnsiTheme="minorHAnsi" w:cstheme="minorHAnsi"/>
        </w:rPr>
        <w:tab/>
        <w:t>Postępowanie w sytuacjach zagrożenia na lotnisku lub w jego otoczeniu;</w:t>
      </w:r>
    </w:p>
    <w:p w14:paraId="7820FD96"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19.2. </w:t>
      </w:r>
      <w:r w:rsidRPr="009E064B">
        <w:rPr>
          <w:rFonts w:asciiTheme="minorHAnsi" w:eastAsia="Calibri" w:hAnsiTheme="minorHAnsi" w:cstheme="minorHAnsi"/>
        </w:rPr>
        <w:tab/>
        <w:t>Sprawdzenia obiektów i wyposażenia lotniska, które mają być używane w sytuacjach zagrożenia, w tym częstotliwość ich prowadzenia; oraz</w:t>
      </w:r>
    </w:p>
    <w:p w14:paraId="24AD4906"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19.3. </w:t>
      </w:r>
      <w:r w:rsidRPr="009E064B">
        <w:rPr>
          <w:rFonts w:asciiTheme="minorHAnsi" w:eastAsia="Calibri" w:hAnsiTheme="minorHAnsi" w:cstheme="minorHAnsi"/>
        </w:rPr>
        <w:tab/>
        <w:t>Ćwiczenia sprawdzające plany działania w sytuacji zagrożenia dla lotniska, w tym częstotliwość ich prowadzenia.</w:t>
      </w:r>
    </w:p>
    <w:p w14:paraId="26D72374"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20. </w:t>
      </w:r>
      <w:r w:rsidRPr="009E064B">
        <w:rPr>
          <w:rFonts w:asciiTheme="minorHAnsi" w:eastAsia="Calibri" w:hAnsiTheme="minorHAnsi" w:cstheme="minorHAnsi"/>
        </w:rPr>
        <w:tab/>
        <w:t>Służba ratowniczo-gaśnicza, w tym opis obiektów, sprzętu, personelu i procedur w celu spełnienia wymagań przeciwpożarowych.</w:t>
      </w:r>
    </w:p>
    <w:p w14:paraId="2677DC6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21. </w:t>
      </w:r>
      <w:r w:rsidRPr="009E064B">
        <w:rPr>
          <w:rFonts w:asciiTheme="minorHAnsi" w:eastAsia="Calibri" w:hAnsiTheme="minorHAnsi" w:cstheme="minorHAnsi"/>
        </w:rPr>
        <w:tab/>
        <w:t>Plan usuwania unieruchomionych statków powietrznych, łącznie z odpowiednimi ustaleniami, sprzętem i procedurami niezbędnymi do jego realizacji.</w:t>
      </w:r>
    </w:p>
    <w:p w14:paraId="5F501FC8"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22. </w:t>
      </w:r>
      <w:r w:rsidRPr="009E064B">
        <w:rPr>
          <w:rFonts w:asciiTheme="minorHAnsi" w:eastAsia="Calibri" w:hAnsiTheme="minorHAnsi" w:cstheme="minorHAnsi"/>
        </w:rPr>
        <w:tab/>
        <w:t>Procedury zapewniające bezpieczne obchodzenie się i przechowywanie paliw i materiałów niebezpiecznych na lotnisku, w tym:</w:t>
      </w:r>
    </w:p>
    <w:p w14:paraId="1FE021DC"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22.1. </w:t>
      </w:r>
      <w:r w:rsidRPr="009E064B">
        <w:rPr>
          <w:rFonts w:asciiTheme="minorHAnsi" w:eastAsia="Calibri" w:hAnsiTheme="minorHAnsi" w:cstheme="minorHAnsi"/>
        </w:rPr>
        <w:tab/>
        <w:t>Sprzęt, powierzchnie magazynowe, dostawy, wydawanie, obsługa i środki bezpieczeństwa;</w:t>
      </w:r>
    </w:p>
    <w:p w14:paraId="747FC578" w14:textId="77777777" w:rsidR="00AA7C09" w:rsidRPr="009E064B" w:rsidRDefault="00AA7C09" w:rsidP="00B06A9A">
      <w:pPr>
        <w:widowControl/>
        <w:tabs>
          <w:tab w:val="left" w:pos="1843"/>
        </w:tabs>
        <w:ind w:left="1843" w:hanging="709"/>
        <w:rPr>
          <w:rFonts w:asciiTheme="minorHAnsi" w:eastAsia="Calibri" w:hAnsiTheme="minorHAnsi" w:cstheme="minorHAnsi"/>
        </w:rPr>
      </w:pPr>
      <w:r w:rsidRPr="009E064B">
        <w:rPr>
          <w:rFonts w:asciiTheme="minorHAnsi" w:eastAsia="Calibri" w:hAnsiTheme="minorHAnsi" w:cstheme="minorHAnsi"/>
        </w:rPr>
        <w:t xml:space="preserve">22.2. </w:t>
      </w:r>
      <w:r w:rsidRPr="009E064B">
        <w:rPr>
          <w:rFonts w:asciiTheme="minorHAnsi" w:eastAsia="Calibri" w:hAnsiTheme="minorHAnsi" w:cstheme="minorHAnsi"/>
        </w:rPr>
        <w:tab/>
        <w:t>Jakość i prawidłowe specyfikacje paliwa lotniczego; odstępy czasu pomiędzy audytami i inspekcjami, listy kontrolne, pobieranie próbek i prowadzenie rejestru.</w:t>
      </w:r>
    </w:p>
    <w:p w14:paraId="64C7708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23. </w:t>
      </w:r>
      <w:r w:rsidRPr="009E064B">
        <w:rPr>
          <w:rFonts w:asciiTheme="minorHAnsi" w:eastAsia="Calibri" w:hAnsiTheme="minorHAnsi" w:cstheme="minorHAnsi"/>
        </w:rPr>
        <w:tab/>
        <w:t>Operacje w warunkach ograniczonej widzialności: opis procedur operacyjnych, w tym koordynacji z organem służb ruchu lotniczego i organem zarządzania płytą postojową, standardowych tras kołowania, kontroli działalności oraz pomiaru i informowania o widzialności wzdłuż drogi startowej.</w:t>
      </w:r>
    </w:p>
    <w:p w14:paraId="523590B0"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24. </w:t>
      </w:r>
      <w:r w:rsidRPr="009E064B">
        <w:rPr>
          <w:rFonts w:asciiTheme="minorHAnsi" w:eastAsia="Calibri" w:hAnsiTheme="minorHAnsi" w:cstheme="minorHAnsi"/>
        </w:rPr>
        <w:tab/>
        <w:t>Procedury dla operacji w warunkach zimowych, w tym plan odśnieżania i procedur niezbędne do jego realizacji, jak również opis dostępnych środków i odpowiednich uzgodnień.</w:t>
      </w:r>
    </w:p>
    <w:p w14:paraId="6BFC8401"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25. </w:t>
      </w:r>
      <w:r w:rsidRPr="009E064B">
        <w:rPr>
          <w:rFonts w:asciiTheme="minorHAnsi" w:eastAsia="Calibri" w:hAnsiTheme="minorHAnsi" w:cstheme="minorHAnsi"/>
        </w:rPr>
        <w:tab/>
        <w:t>Procedury dla operacji w niekorzystnych warunkach pogodowych.</w:t>
      </w:r>
    </w:p>
    <w:p w14:paraId="516112EC"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26. </w:t>
      </w:r>
      <w:r w:rsidRPr="009E064B">
        <w:rPr>
          <w:rFonts w:asciiTheme="minorHAnsi" w:eastAsia="Calibri" w:hAnsiTheme="minorHAnsi" w:cstheme="minorHAnsi"/>
        </w:rPr>
        <w:tab/>
        <w:t>Procedury dla operacji nocnych.</w:t>
      </w:r>
    </w:p>
    <w:p w14:paraId="141FCB9E"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27. </w:t>
      </w:r>
      <w:r w:rsidRPr="009E064B">
        <w:rPr>
          <w:rFonts w:asciiTheme="minorHAnsi" w:eastAsia="Calibri" w:hAnsiTheme="minorHAnsi" w:cstheme="minorHAnsi"/>
        </w:rPr>
        <w:tab/>
        <w:t>Procedury ochrony radaru i innych pomocy nawigacyjnych, nadzoru nad działalnością i obsługą naziemną w pobliżu tych instalacji.</w:t>
      </w:r>
    </w:p>
    <w:p w14:paraId="22D324BF"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28. </w:t>
      </w:r>
      <w:r w:rsidRPr="009E064B">
        <w:rPr>
          <w:rFonts w:asciiTheme="minorHAnsi" w:eastAsia="Calibri" w:hAnsiTheme="minorHAnsi" w:cstheme="minorHAnsi"/>
        </w:rPr>
        <w:tab/>
        <w:t>Procedury dotyczące eksploatacji statków powietrznych o wyższej literze kodu na lotnisku, w tym dróg kołowania.</w:t>
      </w:r>
    </w:p>
    <w:p w14:paraId="19357DA5" w14:textId="77777777" w:rsidR="00AA7C09" w:rsidRPr="009E064B" w:rsidRDefault="00AA7C09"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29. </w:t>
      </w:r>
      <w:r w:rsidRPr="009E064B">
        <w:rPr>
          <w:rFonts w:asciiTheme="minorHAnsi" w:eastAsia="Calibri" w:hAnsiTheme="minorHAnsi" w:cstheme="minorHAnsi"/>
        </w:rPr>
        <w:tab/>
        <w:t>Procedury i środki dotyczące zapobiegania pożarom na lotnisku.</w:t>
      </w:r>
    </w:p>
    <w:p w14:paraId="3421D6A5" w14:textId="4C0E6AE2" w:rsidR="00AA7C09" w:rsidRPr="009E064B" w:rsidRDefault="00AA7C09"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Wszystkie procedury zawarte w instrukcji operacyjnej lotniska powinny obejmować i jasno określać role, obowiązki i dane kontaktowe personelu odpowiedzialnego lotniska oraz innych osób lub organizacji, łącznie z podwykonawcami, w tym, odp</w:t>
      </w:r>
      <w:r w:rsidR="00544DF6" w:rsidRPr="009E064B">
        <w:rPr>
          <w:rFonts w:asciiTheme="minorHAnsi" w:eastAsia="Calibri" w:hAnsiTheme="minorHAnsi" w:cstheme="minorHAnsi"/>
        </w:rPr>
        <w:t>owiednio, z właściwym organem i </w:t>
      </w:r>
      <w:r w:rsidRPr="009E064B">
        <w:rPr>
          <w:rFonts w:asciiTheme="minorHAnsi" w:eastAsia="Calibri" w:hAnsiTheme="minorHAnsi" w:cstheme="minorHAnsi"/>
        </w:rPr>
        <w:t>innymi zaangażowanymi agencjami państwowymi i uwzględniać potrzebę ustanowienia bezpośredniej komunikacji poza godzinami pracy.</w:t>
      </w:r>
    </w:p>
    <w:p w14:paraId="5AD3D4F7" w14:textId="084AC30B" w:rsidR="00AA7C09" w:rsidRPr="009E064B" w:rsidRDefault="00AA7C09" w:rsidP="00133B99">
      <w:pPr>
        <w:pStyle w:val="Nagwek6"/>
      </w:pPr>
      <w:bookmarkStart w:id="491" w:name="_Toc492024671"/>
      <w:bookmarkStart w:id="492" w:name="_Toc12532769"/>
      <w:r w:rsidRPr="009E064B">
        <w:t xml:space="preserve">GM2 ADR.OR.E.005    </w:t>
      </w:r>
      <w:r w:rsidR="004002F9" w:rsidRPr="009E064B">
        <w:t xml:space="preserve"> </w:t>
      </w:r>
      <w:r w:rsidRPr="009E064B">
        <w:t>Instrukcja operacyjna lotniska</w:t>
      </w:r>
      <w:bookmarkEnd w:id="491"/>
      <w:bookmarkEnd w:id="492"/>
    </w:p>
    <w:p w14:paraId="0B9E010B" w14:textId="5F656464"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79AB965"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ZAWARTOŚĆ</w:t>
      </w:r>
    </w:p>
    <w:p w14:paraId="15C72C97" w14:textId="0FAADC66" w:rsidR="00471AC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 xml:space="preserve">Powinien być utrzymany system numeracji opisany w </w:t>
      </w:r>
      <w:hyperlink w:anchor="_AMC3_ADR.OR.E.005_" w:history="1">
        <w:r w:rsidRPr="009E064B">
          <w:rPr>
            <w:rStyle w:val="Hipercze"/>
            <w:rFonts w:asciiTheme="minorHAnsi" w:eastAsia="Calibri" w:hAnsiTheme="minorHAnsi" w:cstheme="minorHAnsi"/>
          </w:rPr>
          <w:t>AMC3 ADR.OR.E.005</w:t>
        </w:r>
      </w:hyperlink>
      <w:r w:rsidR="000C0EEE" w:rsidRPr="009E064B">
        <w:rPr>
          <w:rFonts w:asciiTheme="minorHAnsi" w:eastAsia="Calibri" w:hAnsiTheme="minorHAnsi" w:cstheme="minorHAnsi"/>
        </w:rPr>
        <w:t>, nawet jeśli występują S</w:t>
      </w:r>
      <w:r w:rsidRPr="009E064B">
        <w:rPr>
          <w:rFonts w:asciiTheme="minorHAnsi" w:eastAsia="Calibri" w:hAnsiTheme="minorHAnsi" w:cstheme="minorHAnsi"/>
        </w:rPr>
        <w:t>ekcje, które, ze względu na charakter lotniska lub rodzaje operacji, nie mają zastosowania.</w:t>
      </w:r>
    </w:p>
    <w:p w14:paraId="3C5EC850" w14:textId="77777777" w:rsidR="00471AC9" w:rsidRPr="009E064B" w:rsidRDefault="00471AC9">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1506489E" w14:textId="2C8DC0DB" w:rsidR="00AA7C09" w:rsidRPr="009E064B" w:rsidRDefault="00AA7C09" w:rsidP="00133B99">
      <w:pPr>
        <w:pStyle w:val="Nagwek6"/>
      </w:pPr>
      <w:bookmarkStart w:id="493" w:name="_Toc492024672"/>
      <w:bookmarkStart w:id="494" w:name="_Toc12532770"/>
      <w:r w:rsidRPr="009E064B">
        <w:t xml:space="preserve">GM1 ADR.OR.E.005(j)    </w:t>
      </w:r>
      <w:r w:rsidR="004002F9" w:rsidRPr="009E064B">
        <w:t xml:space="preserve"> </w:t>
      </w:r>
      <w:r w:rsidRPr="009E064B">
        <w:t>Instrukcja operacyjna lotniska</w:t>
      </w:r>
      <w:bookmarkEnd w:id="493"/>
      <w:bookmarkEnd w:id="494"/>
    </w:p>
    <w:p w14:paraId="2D1C8BDF" w14:textId="2DA6A2EC"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B2EC5E0"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ZASADY CZYNNIKA LUDZKIEGO</w:t>
      </w:r>
    </w:p>
    <w:p w14:paraId="0C69F061" w14:textId="77777777" w:rsidR="00AA7C09" w:rsidRPr="009E064B" w:rsidRDefault="00AA7C09" w:rsidP="00B06A9A">
      <w:pPr>
        <w:widowControl/>
        <w:rPr>
          <w:rFonts w:asciiTheme="minorHAnsi" w:eastAsia="Calibri" w:hAnsiTheme="minorHAnsi" w:cstheme="minorHAnsi"/>
        </w:rPr>
      </w:pPr>
      <w:r w:rsidRPr="009E064B">
        <w:rPr>
          <w:rFonts w:asciiTheme="minorHAnsi" w:eastAsia="Calibri" w:hAnsiTheme="minorHAnsi" w:cstheme="minorHAnsi"/>
        </w:rPr>
        <w:t>Wytyczne w zakresie stosowania zasad dotyczących czynnika ludzkiego można znaleźć w „</w:t>
      </w:r>
      <w:r w:rsidRPr="009E064B">
        <w:rPr>
          <w:rFonts w:asciiTheme="minorHAnsi" w:eastAsia="Calibri" w:hAnsiTheme="minorHAnsi" w:cstheme="minorHAnsi"/>
          <w:i/>
        </w:rPr>
        <w:t>Podręczniku szkolenia w zakresie czynnika ludzkiego</w:t>
      </w:r>
      <w:r w:rsidRPr="009E064B">
        <w:rPr>
          <w:rFonts w:asciiTheme="minorHAnsi" w:eastAsia="Calibri" w:hAnsiTheme="minorHAnsi" w:cstheme="minorHAnsi"/>
        </w:rPr>
        <w:t>” ICAO Doc 9683.</w:t>
      </w:r>
    </w:p>
    <w:p w14:paraId="6CC4DD6B" w14:textId="043D00E9" w:rsidR="00874142" w:rsidRPr="009E064B" w:rsidRDefault="00874142" w:rsidP="00874142">
      <w:pPr>
        <w:pStyle w:val="Nagwek3"/>
      </w:pPr>
      <w:bookmarkStart w:id="495" w:name="_Toc12532771"/>
      <w:r w:rsidRPr="009E064B">
        <w:t>ADR.OR.E.010     Wymagania dotyczące dokumentacji</w:t>
      </w:r>
      <w:bookmarkEnd w:id="495"/>
    </w:p>
    <w:p w14:paraId="576F354D" w14:textId="6AAEC113" w:rsidR="00874142" w:rsidRPr="009E064B" w:rsidRDefault="00A80E78" w:rsidP="00874142">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605CA64F" w14:textId="06D194EC" w:rsidR="00874142" w:rsidRPr="009E064B" w:rsidRDefault="00371A8B" w:rsidP="00874142">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874142" w:rsidRPr="009E064B">
        <w:rPr>
          <w:rFonts w:asciiTheme="minorHAnsi" w:hAnsiTheme="minorHAnsi" w:cstheme="minorHAnsi"/>
          <w:sz w:val="22"/>
          <w:szCs w:val="20"/>
        </w:rPr>
        <w:t xml:space="preserve">a) </w:t>
      </w:r>
      <w:r w:rsidR="00874142" w:rsidRPr="009E064B">
        <w:rPr>
          <w:rFonts w:asciiTheme="minorHAnsi" w:hAnsiTheme="minorHAnsi" w:cstheme="minorHAnsi"/>
          <w:sz w:val="22"/>
          <w:szCs w:val="20"/>
        </w:rPr>
        <w:tab/>
        <w:t>Operator lotniska zapewnia dostępność całej pozostałej wymaganej dokumentacji i odpowiednich zmian.</w:t>
      </w:r>
    </w:p>
    <w:p w14:paraId="5D650EA5" w14:textId="314AD489" w:rsidR="00874142" w:rsidRPr="009E064B" w:rsidRDefault="00371A8B" w:rsidP="00874142">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874142" w:rsidRPr="009E064B">
        <w:rPr>
          <w:rFonts w:asciiTheme="minorHAnsi" w:hAnsiTheme="minorHAnsi" w:cstheme="minorHAnsi"/>
          <w:sz w:val="22"/>
          <w:szCs w:val="20"/>
        </w:rPr>
        <w:t xml:space="preserve">b) </w:t>
      </w:r>
      <w:r w:rsidR="00874142" w:rsidRPr="009E064B">
        <w:rPr>
          <w:rFonts w:asciiTheme="minorHAnsi" w:hAnsiTheme="minorHAnsi" w:cstheme="minorHAnsi"/>
          <w:sz w:val="22"/>
          <w:szCs w:val="20"/>
        </w:rPr>
        <w:tab/>
        <w:t>Operator lotniska musi posiadać zdolność do bezzwłocznego przekazywania instrukcji operacyjnych i innych informacji.</w:t>
      </w:r>
    </w:p>
    <w:p w14:paraId="04D3D456" w14:textId="77777777" w:rsidR="003C4611" w:rsidRPr="009E064B" w:rsidRDefault="003C4611" w:rsidP="00B06A9A">
      <w:pPr>
        <w:pStyle w:val="Tekstpodstawowy"/>
        <w:tabs>
          <w:tab w:val="left" w:pos="1342"/>
        </w:tabs>
        <w:ind w:left="0" w:right="-2" w:hanging="20"/>
        <w:rPr>
          <w:rFonts w:asciiTheme="minorHAnsi" w:hAnsiTheme="minorHAnsi" w:cstheme="minorHAnsi"/>
          <w:sz w:val="20"/>
          <w:szCs w:val="20"/>
        </w:rPr>
      </w:pPr>
    </w:p>
    <w:p w14:paraId="4D85A0A3" w14:textId="77777777" w:rsidR="00CD1F34" w:rsidRPr="009E064B" w:rsidRDefault="00CD1F34" w:rsidP="00B06A9A">
      <w:pPr>
        <w:ind w:right="-2"/>
        <w:rPr>
          <w:rFonts w:asciiTheme="minorHAnsi" w:hAnsiTheme="minorHAnsi" w:cstheme="minorHAnsi"/>
          <w:szCs w:val="20"/>
        </w:rPr>
        <w:sectPr w:rsidR="00CD1F34" w:rsidRPr="009E064B" w:rsidSect="00AE1280">
          <w:headerReference w:type="default" r:id="rId67"/>
          <w:headerReference w:type="first" r:id="rId68"/>
          <w:pgSz w:w="11906" w:h="16840" w:code="9"/>
          <w:pgMar w:top="1701" w:right="1418" w:bottom="1418" w:left="1418" w:header="567" w:footer="454" w:gutter="0"/>
          <w:cols w:space="708"/>
          <w:titlePg/>
        </w:sectPr>
      </w:pPr>
    </w:p>
    <w:p w14:paraId="1A706C4D" w14:textId="77777777" w:rsidR="00DC7DA6" w:rsidRPr="009E064B" w:rsidRDefault="00DC7DA6" w:rsidP="00B06A9A">
      <w:pPr>
        <w:ind w:right="-2"/>
        <w:rPr>
          <w:rFonts w:asciiTheme="minorHAnsi" w:hAnsiTheme="minorHAnsi" w:cstheme="minorHAnsi"/>
          <w:szCs w:val="20"/>
        </w:rPr>
      </w:pPr>
    </w:p>
    <w:p w14:paraId="65F78CB4" w14:textId="226C4706" w:rsidR="008F5C8A" w:rsidRPr="009E064B" w:rsidRDefault="008C1A13" w:rsidP="00561819">
      <w:pPr>
        <w:pStyle w:val="Nagwek1"/>
      </w:pPr>
      <w:bookmarkStart w:id="496" w:name="_ZAŁĄCZNIK_IV_—"/>
      <w:bookmarkStart w:id="497" w:name="_Toc12532772"/>
      <w:bookmarkEnd w:id="496"/>
      <w:r w:rsidRPr="009E064B">
        <w:t>ZAŁĄCZNIK IV — CZĘŚĆ ADR.OPS</w:t>
      </w:r>
      <w:bookmarkEnd w:id="497"/>
    </w:p>
    <w:p w14:paraId="64DDC136" w14:textId="77777777" w:rsidR="00DC7DA6" w:rsidRPr="009E064B" w:rsidRDefault="008C1A13" w:rsidP="000E45A5">
      <w:pPr>
        <w:spacing w:before="240" w:after="0"/>
        <w:jc w:val="center"/>
        <w:rPr>
          <w:rFonts w:ascii="Verdana" w:hAnsi="Verdana" w:cstheme="minorHAnsi"/>
          <w:b/>
          <w:color w:val="003399"/>
          <w:sz w:val="40"/>
          <w:szCs w:val="40"/>
        </w:rPr>
      </w:pPr>
      <w:r w:rsidRPr="009E064B">
        <w:rPr>
          <w:rFonts w:ascii="Verdana" w:hAnsi="Verdana" w:cstheme="minorHAnsi"/>
          <w:b/>
          <w:color w:val="003399"/>
          <w:sz w:val="40"/>
          <w:szCs w:val="40"/>
        </w:rPr>
        <w:t>WYMAGANIA OPERACYJNE – LOTNISKA</w:t>
      </w:r>
    </w:p>
    <w:p w14:paraId="2A4A1D12" w14:textId="77777777" w:rsidR="00DC7DA6" w:rsidRPr="009E064B" w:rsidRDefault="00DC7DA6" w:rsidP="00B06A9A">
      <w:pPr>
        <w:ind w:right="-2"/>
        <w:rPr>
          <w:rFonts w:asciiTheme="minorHAnsi" w:hAnsiTheme="minorHAnsi" w:cstheme="minorHAnsi"/>
          <w:szCs w:val="20"/>
        </w:rPr>
      </w:pPr>
    </w:p>
    <w:p w14:paraId="7849F6F4" w14:textId="77777777" w:rsidR="00E15935" w:rsidRPr="009E064B" w:rsidRDefault="00E15935" w:rsidP="00B06A9A">
      <w:pPr>
        <w:ind w:right="-2"/>
        <w:rPr>
          <w:rFonts w:asciiTheme="minorHAnsi" w:hAnsiTheme="minorHAnsi" w:cstheme="minorHAnsi"/>
          <w:szCs w:val="20"/>
        </w:rPr>
      </w:pPr>
    </w:p>
    <w:p w14:paraId="4893F06B" w14:textId="77777777" w:rsidR="00E15935" w:rsidRPr="009E064B" w:rsidRDefault="00E15935" w:rsidP="00B06A9A">
      <w:pPr>
        <w:pStyle w:val="Tekstpodstawowy"/>
        <w:ind w:left="0" w:right="-2" w:firstLine="0"/>
        <w:rPr>
          <w:rFonts w:asciiTheme="minorHAnsi" w:hAnsiTheme="minorHAnsi" w:cstheme="minorHAnsi"/>
          <w:sz w:val="20"/>
          <w:szCs w:val="20"/>
        </w:rPr>
      </w:pPr>
    </w:p>
    <w:p w14:paraId="6E7B036C" w14:textId="0A743037" w:rsidR="00DC7DA6" w:rsidRPr="009E064B" w:rsidRDefault="00DE05DC" w:rsidP="00020EA3">
      <w:pPr>
        <w:pStyle w:val="Nagwek2"/>
      </w:pPr>
      <w:bookmarkStart w:id="498" w:name="_Toc12532773"/>
      <w:r w:rsidRPr="009E064B">
        <w:t>PODCZĘŚĆ A — DANE DOTYCZĄCE LOTNISKA (ADR.OPS.A)</w:t>
      </w:r>
      <w:bookmarkEnd w:id="498"/>
    </w:p>
    <w:p w14:paraId="003F3C2D" w14:textId="77777777" w:rsidR="00DC7DA6" w:rsidRPr="009E064B" w:rsidRDefault="00DC7DA6" w:rsidP="00B06A9A">
      <w:pPr>
        <w:ind w:right="-2"/>
        <w:rPr>
          <w:rFonts w:asciiTheme="minorHAnsi" w:hAnsiTheme="minorHAnsi" w:cstheme="minorHAnsi"/>
          <w:szCs w:val="20"/>
        </w:rPr>
      </w:pPr>
    </w:p>
    <w:p w14:paraId="786A9F88" w14:textId="48BC13F3" w:rsidR="00DC7DA6" w:rsidRPr="009E064B" w:rsidRDefault="00DE05DC" w:rsidP="00B06A9A">
      <w:pPr>
        <w:pStyle w:val="Nagwek3"/>
      </w:pPr>
      <w:bookmarkStart w:id="499" w:name="_ADR.OPS.A.005__"/>
      <w:bookmarkStart w:id="500" w:name="_Toc12532774"/>
      <w:bookmarkEnd w:id="499"/>
      <w:r w:rsidRPr="009E064B">
        <w:t xml:space="preserve">ADR.OPS.A.005 </w:t>
      </w:r>
      <w:r w:rsidR="004002F9" w:rsidRPr="009E064B">
        <w:t xml:space="preserve">    </w:t>
      </w:r>
      <w:r w:rsidRPr="009E064B">
        <w:t>Dane dotyczące lotniska</w:t>
      </w:r>
      <w:bookmarkEnd w:id="500"/>
    </w:p>
    <w:p w14:paraId="2D771229" w14:textId="6FD2084D"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C006E35" w14:textId="77777777" w:rsidR="00DC7DA6" w:rsidRPr="009E064B" w:rsidRDefault="00DE05DC" w:rsidP="00B06A9A">
      <w:pPr>
        <w:pStyle w:val="Tekstpodstawowy"/>
        <w:ind w:left="0" w:right="-2" w:firstLine="0"/>
        <w:rPr>
          <w:rFonts w:asciiTheme="minorHAnsi" w:hAnsiTheme="minorHAnsi" w:cstheme="minorHAnsi"/>
          <w:sz w:val="22"/>
          <w:szCs w:val="22"/>
        </w:rPr>
      </w:pPr>
      <w:r w:rsidRPr="009E064B">
        <w:rPr>
          <w:rFonts w:asciiTheme="minorHAnsi" w:hAnsiTheme="minorHAnsi" w:cstheme="minorHAnsi"/>
          <w:sz w:val="22"/>
          <w:szCs w:val="22"/>
        </w:rPr>
        <w:t>Operator lotniska musi odpowiednio:</w:t>
      </w:r>
    </w:p>
    <w:p w14:paraId="4790D3C0" w14:textId="1EC86B75"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a)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określać, dokumentować i zachowywać dane dotyczące lotniska i dostępnych na nim służb;</w:t>
      </w:r>
    </w:p>
    <w:p w14:paraId="1A184731" w14:textId="09CF1943"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b)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udostępniać dane dotyczące lotniska i dostępnych na nim służb użytkownikom, odpowiednim służbom ruchu lotniczego oraz służbom informacji lotniczej.</w:t>
      </w:r>
    </w:p>
    <w:p w14:paraId="306FDF7E" w14:textId="1F395A96" w:rsidR="00B0686B" w:rsidRPr="009E064B" w:rsidRDefault="00B0686B" w:rsidP="00133B99">
      <w:pPr>
        <w:pStyle w:val="Nagwek5"/>
      </w:pPr>
      <w:bookmarkStart w:id="501" w:name="_AMC1_ADR.OPS.A.005_"/>
      <w:bookmarkStart w:id="502" w:name="_Toc492024675"/>
      <w:bookmarkStart w:id="503" w:name="_Toc12532775"/>
      <w:bookmarkEnd w:id="501"/>
      <w:r w:rsidRPr="009E064B">
        <w:t xml:space="preserve">AMC1 ADR.OPS.A.005    </w:t>
      </w:r>
      <w:r w:rsidR="004002F9" w:rsidRPr="009E064B">
        <w:t xml:space="preserve"> </w:t>
      </w:r>
      <w:r w:rsidRPr="009E064B">
        <w:t>Dane dotyczące lotniska</w:t>
      </w:r>
      <w:bookmarkEnd w:id="502"/>
      <w:bookmarkEnd w:id="503"/>
    </w:p>
    <w:p w14:paraId="4EDDC38F" w14:textId="01C9AC7A"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CA4162C"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Dane dotyczące lotniska i dostępnych służb powinny obejmować, lecz nie mogą być ograniczone do elementów wymienionych w poniższej liście:</w:t>
      </w:r>
    </w:p>
    <w:p w14:paraId="2DF36BEE"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punkt odniesienia lotniska;</w:t>
      </w:r>
    </w:p>
    <w:p w14:paraId="6E804A0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wysokość lotniska i drogi startowej;</w:t>
      </w:r>
    </w:p>
    <w:p w14:paraId="4AA59E3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temperatura odniesienia lotniska;</w:t>
      </w:r>
    </w:p>
    <w:p w14:paraId="4EB3F84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wymiary lotniska i informacje z tym związane;</w:t>
      </w:r>
    </w:p>
    <w:p w14:paraId="69479FA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(5) </w:t>
      </w:r>
      <w:r w:rsidRPr="009E064B">
        <w:rPr>
          <w:rFonts w:asciiTheme="minorHAnsi" w:hAnsiTheme="minorHAnsi" w:cstheme="minorHAnsi"/>
        </w:rPr>
        <w:tab/>
        <w:t>nośności nawierzchni sztucznych;</w:t>
      </w:r>
    </w:p>
    <w:p w14:paraId="7BC44219"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(6) </w:t>
      </w:r>
      <w:r w:rsidRPr="009E064B">
        <w:rPr>
          <w:rFonts w:asciiTheme="minorHAnsi" w:hAnsiTheme="minorHAnsi" w:cstheme="minorHAnsi"/>
        </w:rPr>
        <w:tab/>
        <w:t>miejsca przeznaczone do sprawdzania wysokościomierza przed lotem;</w:t>
      </w:r>
    </w:p>
    <w:p w14:paraId="3328AC0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(7) </w:t>
      </w:r>
      <w:r w:rsidRPr="009E064B">
        <w:rPr>
          <w:rFonts w:asciiTheme="minorHAnsi" w:hAnsiTheme="minorHAnsi" w:cstheme="minorHAnsi"/>
        </w:rPr>
        <w:tab/>
        <w:t>długości deklarowane;</w:t>
      </w:r>
    </w:p>
    <w:p w14:paraId="3A5C2E3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(8) </w:t>
      </w:r>
      <w:r w:rsidRPr="009E064B">
        <w:rPr>
          <w:rFonts w:asciiTheme="minorHAnsi" w:hAnsiTheme="minorHAnsi" w:cstheme="minorHAnsi"/>
        </w:rPr>
        <w:tab/>
        <w:t>stan pola ruchu naziemnego i związanych z nim urządzeń;</w:t>
      </w:r>
    </w:p>
    <w:p w14:paraId="7D667548"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(9) </w:t>
      </w:r>
      <w:r w:rsidRPr="009E064B">
        <w:rPr>
          <w:rFonts w:asciiTheme="minorHAnsi" w:hAnsiTheme="minorHAnsi" w:cstheme="minorHAnsi"/>
        </w:rPr>
        <w:tab/>
        <w:t>usuwanie unieruchomionych statków powietrznych;</w:t>
      </w:r>
    </w:p>
    <w:p w14:paraId="5EAE41EB"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(10) </w:t>
      </w:r>
      <w:r w:rsidRPr="009E064B">
        <w:rPr>
          <w:rFonts w:asciiTheme="minorHAnsi" w:hAnsiTheme="minorHAnsi" w:cstheme="minorHAnsi"/>
        </w:rPr>
        <w:tab/>
        <w:t>ochrona ratowniczo-gaśnicza; oraz</w:t>
      </w:r>
    </w:p>
    <w:p w14:paraId="5E23AA7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(11) </w:t>
      </w:r>
      <w:r w:rsidRPr="009E064B">
        <w:rPr>
          <w:rFonts w:asciiTheme="minorHAnsi" w:hAnsiTheme="minorHAnsi" w:cstheme="minorHAnsi"/>
        </w:rPr>
        <w:tab/>
        <w:t>system wzrokowych wskaźników ścieżki podejścia.</w:t>
      </w:r>
    </w:p>
    <w:p w14:paraId="194F65C2" w14:textId="225B430C"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Operator lotniska powinien mierzyć i zgłaszać służbie informacji lotniczej dane dotyczące przeszkód i terenu w strefie 3 i w strefie 2 (część w granicach lotniska) wyrażone w</w:t>
      </w:r>
      <w:r w:rsidR="00371A8B" w:rsidRPr="009E064B">
        <w:rPr>
          <w:rFonts w:asciiTheme="minorHAnsi" w:hAnsiTheme="minorHAnsi" w:cstheme="minorHAnsi"/>
        </w:rPr>
        <w:t xml:space="preserve"> </w:t>
      </w:r>
      <w:r w:rsidRPr="009E064B">
        <w:rPr>
          <w:rFonts w:asciiTheme="minorHAnsi" w:hAnsiTheme="minorHAnsi" w:cstheme="minorHAnsi"/>
        </w:rPr>
        <w:t>stopniach, minutach, sekundach i dziesiątych częściach sekundy. Dodatkowo, wysokość wierzchołków, rodzaj, oznakowanie i oświetlenie przeszkód (jeżeli takowe występuje) powinno być zgłaszane do służby informacji lotniczej.</w:t>
      </w:r>
    </w:p>
    <w:p w14:paraId="15FF84BE"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Dane o przeszkodach dla wszystkich przeszkód w strefie 2 (część w granicach lotniska), które zostały ocenione, jako stanowiące zagrożenie dla żeglugi powietrznej, powinny być zapewniane w wersji elektronicznej.</w:t>
      </w:r>
    </w:p>
    <w:p w14:paraId="06942885"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Elektroniczne dane o terenie i przeszkodach powinny być zapewniane dla:</w:t>
      </w:r>
    </w:p>
    <w:p w14:paraId="7CE3325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tych przeszkód w strefie 2a, które przenikają odpowiednią powierzchnię służącą do zbierania danych o przeszkodach;</w:t>
      </w:r>
    </w:p>
    <w:p w14:paraId="330ED3A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przeszkód przenikających powierzchnie identyfikacji przeszkód w strefie ścieżki lotu po starcie; oraz</w:t>
      </w:r>
    </w:p>
    <w:p w14:paraId="5ADB63CB"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przeszkód przenikających powierzchnie ograniczające przeszkody lotniska.</w:t>
      </w:r>
    </w:p>
    <w:p w14:paraId="2D905BAF"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Elektroniczne dane o terenie i przeszkodach powinny być zapewniane dla strefy 4 dla terenu i przeszkód, które przenikają odpowiednią powierzchnię służącą do zbierania danych o przeszkodach, dla wszystkich dróg startowych, dla których zostały ustanowione operacje podejścia precyzyjnego kategorii II lub III i gdzie wymagane są przez operatorów szczegółowe informacje w celu umożliwienia im oceny wpływu terenu na ustalanie wysokości decyzji przy użyciu radiowysokościomierzy.</w:t>
      </w:r>
    </w:p>
    <w:p w14:paraId="161A027F"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(f) </w:t>
      </w:r>
      <w:r w:rsidRPr="009E064B">
        <w:rPr>
          <w:rFonts w:asciiTheme="minorHAnsi" w:hAnsiTheme="minorHAnsi" w:cstheme="minorHAnsi"/>
        </w:rPr>
        <w:tab/>
        <w:t>Operator lotniska powinien dokonać uzgodnień z instytucją zapewniającą służby ruchu lotniczego i z właściwym organem w zakresie dostarczania danych o przeszkodach i terenie leżących poza granicami lotniska.</w:t>
      </w:r>
    </w:p>
    <w:p w14:paraId="7EDE8545" w14:textId="3AA9E4E0" w:rsidR="00B0686B" w:rsidRPr="009E064B" w:rsidRDefault="00B0686B" w:rsidP="00133B99">
      <w:pPr>
        <w:pStyle w:val="Nagwek6"/>
      </w:pPr>
      <w:bookmarkStart w:id="504" w:name="_GM1_ADR.OPS.A.005_"/>
      <w:bookmarkStart w:id="505" w:name="_Toc492024676"/>
      <w:bookmarkStart w:id="506" w:name="_Toc12532776"/>
      <w:bookmarkEnd w:id="504"/>
      <w:r w:rsidRPr="009E064B">
        <w:t>GM1 ADR.OPS.A</w:t>
      </w:r>
      <w:r w:rsidR="0035540A" w:rsidRPr="009E064B">
        <w:t xml:space="preserve">.005   </w:t>
      </w:r>
      <w:r w:rsidR="004002F9" w:rsidRPr="009E064B">
        <w:t xml:space="preserve"> </w:t>
      </w:r>
      <w:r w:rsidR="0035540A" w:rsidRPr="009E064B">
        <w:t xml:space="preserve"> Dane dotyczące lotniska</w:t>
      </w:r>
      <w:bookmarkEnd w:id="505"/>
      <w:bookmarkEnd w:id="506"/>
    </w:p>
    <w:p w14:paraId="39AB9EAE" w14:textId="5EF2DF13" w:rsidR="0035540A"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07F3415F"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PUNKT ODNIESIENIA LOTNISKA</w:t>
      </w:r>
    </w:p>
    <w:p w14:paraId="1A1F89EB"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Punkt odniesienia lotniska powinien być zlokalizowany w pobliżu istniejącego lub planowanego środka geometrycznego lotniska i musi pozostać tam, gdzie został pierwotnie wyznaczony.</w:t>
      </w:r>
    </w:p>
    <w:p w14:paraId="46FABCE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Położenie punktu odniesienia lotniska powinno być zmierzone i podane służbom informacji lotniczej w stopniach, minutach i sekundach.</w:t>
      </w:r>
    </w:p>
    <w:p w14:paraId="1C2D1301"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WYSOKOŚĆ LOTNISKA I DROGI STARTOWEJ</w:t>
      </w:r>
    </w:p>
    <w:p w14:paraId="083ECC3B"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Niżej wymienione elementy powinny być zmierzone i podane służbom informacji lotniczej:</w:t>
      </w:r>
    </w:p>
    <w:p w14:paraId="6C2DB61E"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Wysokość lotniska i undulacja geoidy w punkcie odniesienia lotniska z dokładnością do pół metra lub stopy;</w:t>
      </w:r>
    </w:p>
    <w:p w14:paraId="30B09011"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Dla podejść nieprecyzyjnych, wysokość i undulacja geoidy każdego progu, wysokość końców drogi startowej oraz znaczących wysoko i nisko położonych punktów pośrednich wzdłuż drogi startowej powinny być zaokrąglone do pół metra lub stopy;</w:t>
      </w:r>
    </w:p>
    <w:p w14:paraId="009396B3"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Dla drogi startowej z podejściem precyzyjnym, wysokość i undulacja geoidy progów drogi startowej, wysokość końców drogi startowej i największe wysokości strefy przyziemienia powinny być zmierzone z dokładnością do jednej czwartej metra lub stopy.</w:t>
      </w:r>
    </w:p>
    <w:p w14:paraId="3908FF2F"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TEMPERATURA ODNIESIENIA LOTNISKA</w:t>
      </w:r>
    </w:p>
    <w:p w14:paraId="293283B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Temperatura odniesienia lotniska powinna być określona dla każdego lotniska w stopniach Celsjusza.</w:t>
      </w:r>
    </w:p>
    <w:p w14:paraId="11F40064"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Temperatura odniesienia lotniska powinna być średnią temperaturą miesięczną maksymalnych dziennych temperatur najcieplejszego miesiąca roku (za najcieplejszy miesiąc uważa się miesiąc o najwyższej średniej temperaturze miesięcznej), jako średniej z okresu pięciu lat.</w:t>
      </w:r>
    </w:p>
    <w:p w14:paraId="58BFA7EF"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WYMIARY LOTNISKA I INFORMACJE Z TYM ZWIĄZANE</w:t>
      </w:r>
    </w:p>
    <w:p w14:paraId="4B9A7116"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Niżej wymienione dane muszą, odpowiednio, zostać zmierzone lub opisane dla każdego obiektu stanowiącego wyposażenie lotniska:</w:t>
      </w:r>
    </w:p>
    <w:p w14:paraId="7EF13D1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Droga startowa</w:t>
      </w:r>
    </w:p>
    <w:p w14:paraId="07C1B55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rzeczywisty kierunek geograficzny z dokładnością do jednej setnej stopnia;</w:t>
      </w:r>
    </w:p>
    <w:p w14:paraId="2D56623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numer identyfikacyjny drogi startowej;</w:t>
      </w:r>
    </w:p>
    <w:p w14:paraId="66026D68"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długość;</w:t>
      </w:r>
    </w:p>
    <w:p w14:paraId="062C2D0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szerokość;</w:t>
      </w:r>
    </w:p>
    <w:p w14:paraId="67C88E9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(5) </w:t>
      </w:r>
      <w:r w:rsidRPr="009E064B">
        <w:rPr>
          <w:rFonts w:asciiTheme="minorHAnsi" w:hAnsiTheme="minorHAnsi" w:cstheme="minorHAnsi"/>
        </w:rPr>
        <w:tab/>
        <w:t>położenie przesuniętego progu z dokładnością do pełnego metra lub stopy;</w:t>
      </w:r>
    </w:p>
    <w:p w14:paraId="1412BB9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(6) </w:t>
      </w:r>
      <w:r w:rsidRPr="009E064B">
        <w:rPr>
          <w:rFonts w:asciiTheme="minorHAnsi" w:hAnsiTheme="minorHAnsi" w:cstheme="minorHAnsi"/>
        </w:rPr>
        <w:tab/>
        <w:t>nachylenie podłużne;</w:t>
      </w:r>
    </w:p>
    <w:p w14:paraId="2DB2E14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(7) </w:t>
      </w:r>
      <w:r w:rsidRPr="009E064B">
        <w:rPr>
          <w:rFonts w:asciiTheme="minorHAnsi" w:hAnsiTheme="minorHAnsi" w:cstheme="minorHAnsi"/>
        </w:rPr>
        <w:tab/>
        <w:t>rodzaj nawierzchni;</w:t>
      </w:r>
    </w:p>
    <w:p w14:paraId="42782ED7"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(8) </w:t>
      </w:r>
      <w:r w:rsidRPr="009E064B">
        <w:rPr>
          <w:rFonts w:asciiTheme="minorHAnsi" w:hAnsiTheme="minorHAnsi" w:cstheme="minorHAnsi"/>
        </w:rPr>
        <w:tab/>
        <w:t>typ końców drogi startowej; oraz</w:t>
      </w:r>
    </w:p>
    <w:p w14:paraId="17A9B8B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(9) </w:t>
      </w:r>
      <w:r w:rsidRPr="009E064B">
        <w:rPr>
          <w:rFonts w:asciiTheme="minorHAnsi" w:hAnsiTheme="minorHAnsi" w:cstheme="minorHAnsi"/>
        </w:rPr>
        <w:tab/>
        <w:t>dla drogi startowej z podejściem precyzyjnym kategorii I, istnienie strefy wolnej od przeszkód, jeśli taka jest przewidziana.</w:t>
      </w:r>
    </w:p>
    <w:p w14:paraId="6520DAD6" w14:textId="45145118" w:rsidR="00B0686B" w:rsidRPr="009E064B" w:rsidRDefault="00371A8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Pas drogi startowej </w:t>
      </w:r>
      <w:r w:rsidR="00B0686B" w:rsidRPr="009E064B">
        <w:rPr>
          <w:rFonts w:asciiTheme="minorHAnsi" w:hAnsiTheme="minorHAnsi" w:cstheme="minorHAnsi"/>
        </w:rPr>
        <w:t>/</w:t>
      </w:r>
      <w:r w:rsidRPr="009E064B">
        <w:rPr>
          <w:rFonts w:asciiTheme="minorHAnsi" w:hAnsiTheme="minorHAnsi" w:cstheme="minorHAnsi"/>
        </w:rPr>
        <w:t> </w:t>
      </w:r>
      <w:r w:rsidR="00B0686B" w:rsidRPr="009E064B">
        <w:rPr>
          <w:rFonts w:asciiTheme="minorHAnsi" w:hAnsiTheme="minorHAnsi" w:cstheme="minorHAnsi"/>
        </w:rPr>
        <w:t>strefa bezpi</w:t>
      </w:r>
      <w:r w:rsidRPr="009E064B">
        <w:rPr>
          <w:rFonts w:asciiTheme="minorHAnsi" w:hAnsiTheme="minorHAnsi" w:cstheme="minorHAnsi"/>
        </w:rPr>
        <w:t>eczeństwa końca drogi startowej </w:t>
      </w:r>
      <w:r w:rsidR="00B0686B" w:rsidRPr="009E064B">
        <w:rPr>
          <w:rFonts w:asciiTheme="minorHAnsi" w:hAnsiTheme="minorHAnsi" w:cstheme="minorHAnsi"/>
        </w:rPr>
        <w:t>/</w:t>
      </w:r>
      <w:r w:rsidRPr="009E064B">
        <w:rPr>
          <w:rFonts w:asciiTheme="minorHAnsi" w:hAnsiTheme="minorHAnsi" w:cstheme="minorHAnsi"/>
        </w:rPr>
        <w:t> </w:t>
      </w:r>
      <w:r w:rsidR="00B0686B" w:rsidRPr="009E064B">
        <w:rPr>
          <w:rFonts w:asciiTheme="minorHAnsi" w:hAnsiTheme="minorHAnsi" w:cstheme="minorHAnsi"/>
        </w:rPr>
        <w:t>zabezpieczenie przerwanego startu</w:t>
      </w:r>
    </w:p>
    <w:p w14:paraId="38783C1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długość, szerokość z dokładnością do pełnego metra lub stopy;</w:t>
      </w:r>
    </w:p>
    <w:p w14:paraId="77A59A29"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rodzaj nawierzchni; oraz</w:t>
      </w:r>
    </w:p>
    <w:p w14:paraId="2718215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system zatrzymywania samolotów – lokalizacja (który koniec drogi startowej) i opis.</w:t>
      </w:r>
    </w:p>
    <w:p w14:paraId="63C4BA09"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Droga kołowania</w:t>
      </w:r>
    </w:p>
    <w:p w14:paraId="0D21CF87"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numer identyfikacyjny drogi kołowania;</w:t>
      </w:r>
    </w:p>
    <w:p w14:paraId="652322DE"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szerokość; oraz</w:t>
      </w:r>
    </w:p>
    <w:p w14:paraId="0FFD7AA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rodzaj nawierzchni.</w:t>
      </w:r>
    </w:p>
    <w:p w14:paraId="0A578156"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Płyta postojowa</w:t>
      </w:r>
    </w:p>
    <w:p w14:paraId="5A096ED9"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rodzaj nawierzchni; oraz</w:t>
      </w:r>
    </w:p>
    <w:p w14:paraId="36EE53E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stanowiska postojowe statków powietrznych.</w:t>
      </w:r>
    </w:p>
    <w:p w14:paraId="70165D7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Granice obszaru kontrolowanego przez służby kontroli ruchu lotniczego;</w:t>
      </w:r>
    </w:p>
    <w:p w14:paraId="250BE104"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(f) </w:t>
      </w:r>
      <w:r w:rsidRPr="009E064B">
        <w:rPr>
          <w:rFonts w:asciiTheme="minorHAnsi" w:hAnsiTheme="minorHAnsi" w:cstheme="minorHAnsi"/>
        </w:rPr>
        <w:tab/>
        <w:t>Zabezpieczenie wydłużonego startu</w:t>
      </w:r>
    </w:p>
    <w:p w14:paraId="53C42102"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długość z dokładnością do pełnego metra lub stopy;</w:t>
      </w:r>
    </w:p>
    <w:p w14:paraId="2633194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profil terenu.</w:t>
      </w:r>
    </w:p>
    <w:p w14:paraId="115E751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(g) </w:t>
      </w:r>
      <w:r w:rsidRPr="009E064B">
        <w:rPr>
          <w:rFonts w:asciiTheme="minorHAnsi" w:hAnsiTheme="minorHAnsi" w:cstheme="minorHAnsi"/>
        </w:rPr>
        <w:tab/>
        <w:t>Pomoce wzrokowe dla procedur podejścia, oznakowanie i oświetlenie dróg startowych, dróg kołowania i płyt postojowych, inne wzrokowe pomoce prowadzące i sterujące na drogach kołowania i płytach postojowych, włącznie z poprzeczkami oczekiwania i miejscami oczekiwania na drogach kołowania oraz lokalizacja i rodzaje systemów wzrokowego dokowania statków powietrznych;</w:t>
      </w:r>
    </w:p>
    <w:p w14:paraId="6FBDDBB3"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(h) </w:t>
      </w:r>
      <w:r w:rsidRPr="009E064B">
        <w:rPr>
          <w:rFonts w:asciiTheme="minorHAnsi" w:hAnsiTheme="minorHAnsi" w:cstheme="minorHAnsi"/>
        </w:rPr>
        <w:tab/>
        <w:t>Położenie i częstotliwość radiowa punktu sprawdzania VOR na lotnisku;</w:t>
      </w:r>
    </w:p>
    <w:p w14:paraId="61A249A7"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Położenie i oznaczenie standardowych tras kołowania;</w:t>
      </w:r>
    </w:p>
    <w:p w14:paraId="29F06D9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(j) </w:t>
      </w:r>
      <w:r w:rsidRPr="009E064B">
        <w:rPr>
          <w:rFonts w:asciiTheme="minorHAnsi" w:hAnsiTheme="minorHAnsi" w:cstheme="minorHAnsi"/>
        </w:rPr>
        <w:tab/>
        <w:t>Odległości z dokładnością do jednego metra lub stopy do lokalizatora i elementów ścieżki schodzenia wchodzących w skład systemu lądowania według przyrządów (ILS) lub anteny kierunku i wysokości mikrofalowego systemu lądowania (MLS) w odniesieniu do punktów skrajnych drogi startowej;</w:t>
      </w:r>
    </w:p>
    <w:p w14:paraId="07A96FEF"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(k) </w:t>
      </w:r>
      <w:r w:rsidRPr="009E064B">
        <w:rPr>
          <w:rFonts w:asciiTheme="minorHAnsi" w:hAnsiTheme="minorHAnsi" w:cstheme="minorHAnsi"/>
        </w:rPr>
        <w:tab/>
        <w:t>Współrzędne geograficzne:</w:t>
      </w:r>
    </w:p>
    <w:p w14:paraId="0A37E62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każdego progu drogi startowej;</w:t>
      </w:r>
    </w:p>
    <w:p w14:paraId="1D849D0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punktów linii środkowych odpowiednich dróg kołowania; oraz</w:t>
      </w:r>
    </w:p>
    <w:p w14:paraId="038957B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każdego stanowiska postojowego statku powietrznego;</w:t>
      </w:r>
    </w:p>
    <w:p w14:paraId="46F5A040" w14:textId="77777777" w:rsidR="00B0686B" w:rsidRPr="009E064B" w:rsidRDefault="00B0686B" w:rsidP="00B06A9A">
      <w:pPr>
        <w:ind w:left="567"/>
        <w:rPr>
          <w:rFonts w:asciiTheme="minorHAnsi" w:hAnsiTheme="minorHAnsi" w:cstheme="minorHAnsi"/>
        </w:rPr>
      </w:pPr>
      <w:r w:rsidRPr="009E064B">
        <w:rPr>
          <w:rFonts w:asciiTheme="minorHAnsi" w:hAnsiTheme="minorHAnsi" w:cstheme="minorHAnsi"/>
        </w:rPr>
        <w:t>są mierzone i zgłaszane służbom informacji lotniczej w stopniach, minutach, sekundach i setnych częściach sekundy.</w:t>
      </w:r>
    </w:p>
    <w:p w14:paraId="5811A29F"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NOŚNOŚĆ NAWIERZCHNI SZTUCZNYCH</w:t>
      </w:r>
    </w:p>
    <w:p w14:paraId="379892C4" w14:textId="2E22AEF6"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Nośność nawierzchni sztucznych przeznaczonych dla statków powietrznych, których masa na płycie postojowej (rampie) przekracza 5700 kg, powinna być podana przy pomocy metody liczby klasyfikacyjnej statku powietrznego – liczby klasyfi</w:t>
      </w:r>
      <w:r w:rsidR="00544DF6" w:rsidRPr="009E064B">
        <w:rPr>
          <w:rFonts w:asciiTheme="minorHAnsi" w:hAnsiTheme="minorHAnsi" w:cstheme="minorHAnsi"/>
        </w:rPr>
        <w:t>kacyjnej nawierzchni ACN-PCN, z </w:t>
      </w:r>
      <w:r w:rsidRPr="009E064B">
        <w:rPr>
          <w:rFonts w:asciiTheme="minorHAnsi" w:hAnsiTheme="minorHAnsi" w:cstheme="minorHAnsi"/>
        </w:rPr>
        <w:t>określeniem wszystkich następujących danych:</w:t>
      </w:r>
    </w:p>
    <w:p w14:paraId="73433D58"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liczba klasyfikacyjna nawierzchni (PCN);</w:t>
      </w:r>
    </w:p>
    <w:p w14:paraId="7595587E"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rodzaj nawierzchni dla określenia liczb metodą ACN-PCN;</w:t>
      </w:r>
    </w:p>
    <w:p w14:paraId="7D70DFF7"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kategoria nośności podłoża;</w:t>
      </w:r>
    </w:p>
    <w:p w14:paraId="6E4D1338"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maksymalna dopuszczalna kategoria ciśnienia w oponach lub maksymalna dopuszczalna wartość ciśnienia w oponach; oraz</w:t>
      </w:r>
    </w:p>
    <w:p w14:paraId="1DE73B5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(5) </w:t>
      </w:r>
      <w:r w:rsidRPr="009E064B">
        <w:rPr>
          <w:rFonts w:asciiTheme="minorHAnsi" w:hAnsiTheme="minorHAnsi" w:cstheme="minorHAnsi"/>
        </w:rPr>
        <w:tab/>
        <w:t>zastosowana metoda oceny.</w:t>
      </w:r>
    </w:p>
    <w:p w14:paraId="4ADD278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Dla celów określenia ACN, zachowanie nawierzchni sztucznej powinno być sklasyfikowane, jako równoważne nawierzchni o konstrukcji sztywnej lub podatnej;</w:t>
      </w:r>
    </w:p>
    <w:p w14:paraId="2142C149"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Informacje dla metody ACN-PCN dotyczące określania rodzaju nawierzchni sztucznej, kategorii nośności podłoża, kategorii maksymalnego dopuszczalnego ciśnienia opon i metody oceny, powinny być podane przy pomocy niżej wymienionych kodów:</w:t>
      </w:r>
    </w:p>
    <w:p w14:paraId="18FDD36E"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Rodzaj nawierzchni sztucznej dla określenia ACN-PCN:</w:t>
      </w:r>
    </w:p>
    <w:p w14:paraId="5CA4E87E"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nawierzchnia sztywna: kod R;</w:t>
      </w:r>
    </w:p>
    <w:p w14:paraId="3D781931"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nawierzchnia podatna: kod F;</w:t>
      </w:r>
    </w:p>
    <w:p w14:paraId="436B4A7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Kategoria nośności podłoża:</w:t>
      </w:r>
    </w:p>
    <w:p w14:paraId="06146CA9"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Nośność wysoka: scharakteryzowana dla nawierzchni sztywnych przez K = 150 MN/m3 i reprezentująca wszystkie wartości K powyżej 120 NM/m3, oraz scharakteryzowana dla nawierzchni podatnych przez CBR = 15 oraz reprezentująca wszystkie wartości CBR wyższe niż 13 – kod A;</w:t>
      </w:r>
    </w:p>
    <w:p w14:paraId="58993010"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Nośność średnia: scharakteryzowana dla nawierzchni sztywnych przez K = 80 MN/m3 i reprezentująca przedział wartości K od 60 MN/m3 do 120 MN/m3 oraz scharakteryzowana dla nawierzchni podatnych przez CBR = 10 i reprezentująca przedział wartości CBR od 8 do 13 – kod B.</w:t>
      </w:r>
    </w:p>
    <w:p w14:paraId="07D5B726"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Nośność niska: scharakteryzowana dla nawierzchni sztywnych przez K = 40 MN/m3 i reprezentująca przedział wartości K od 25 do 60 MN/m3 oraz scharakteryzowana dla nawierzchni podatnych przez CBR = 6 i reprezentująca przedział wartości CBR od 4 do 8 – kod C.</w:t>
      </w:r>
    </w:p>
    <w:p w14:paraId="2CDFDE69"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Nośność bardzo niska: scharakteryzowana dla nawierzchni sztywnych przez K = 20 MN/m3 i reprezentująca wszystkie wartości K mniejsze niż 25 MN/m3 oraz scharakteryzowana dla nawierzchni podatnych przez CBR = 3 i reprezentująca wszystkie wartości CBR mniejsze niż 4 – kod D;</w:t>
      </w:r>
    </w:p>
    <w:p w14:paraId="23641F1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Kategoria maksymalnego dopuszczalnego ciśnienia w oponach:</w:t>
      </w:r>
    </w:p>
    <w:p w14:paraId="53087623"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Nieograniczona: bez ograniczenia ciśnienia – kod W;</w:t>
      </w:r>
    </w:p>
    <w:p w14:paraId="06A907F1"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Wysoka: ograniczenie ciśnienia do 1,75 MPa – kod X;</w:t>
      </w:r>
    </w:p>
    <w:p w14:paraId="1DA25942"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Średnia: ograniczenie ciśnienia do 1,25 MPa – kod Y;</w:t>
      </w:r>
    </w:p>
    <w:p w14:paraId="7846EEFF"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Niska: ograniczenie ciśnienia do 0,5 MPa – kod Z;</w:t>
      </w:r>
    </w:p>
    <w:p w14:paraId="544BAB6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Metoda oceny:</w:t>
      </w:r>
    </w:p>
    <w:p w14:paraId="75FBE83B"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Ocena techniczna: oznacza specjalne badania charakterystyk nawierzchni sztucznej oraz zastosowanie badań technicznych przy ocenie zachowania się nawierzchni – kod T;</w:t>
      </w:r>
    </w:p>
    <w:p w14:paraId="5C0920C2"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Ocena odwołująca się do doświadczeń przyjmowanych statków powietrznych: oznacza znajomość określonych typów i masy statków powietrznych, jakie dana nawierzchnia przenosi w sposób zadawalający przy regularnym ruchu statków powietrznych – kod U;</w:t>
      </w:r>
    </w:p>
    <w:p w14:paraId="653AA01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Nośność nawierzchni sztucznych przeznaczonych dla statków powietrznych, których masa na płycie (rampie) jest równa lub mniejsza niż 5700 kg, powinna być określana przez podanie następujących informacji:</w:t>
      </w:r>
    </w:p>
    <w:p w14:paraId="151CAEF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maksymalnej dopuszczalnej masy statku powietrznego; oraz</w:t>
      </w:r>
    </w:p>
    <w:p w14:paraId="0870B89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maksymalnego dopuszczalnego ciśnienia w oponach.</w:t>
      </w:r>
    </w:p>
    <w:p w14:paraId="6766F6B6"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MIEJSCE PRZEZNACZONE DO SPRAWDZANIA WYSOKOŚCIOMIERZA PRZED LOTEM</w:t>
      </w:r>
    </w:p>
    <w:p w14:paraId="74138D3D"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Powinno być wyznaczone jedno lub więcej miejsc przeznaczonych do sprawdzania wysokościomierzy przed lotem.</w:t>
      </w:r>
    </w:p>
    <w:p w14:paraId="2D1E574B" w14:textId="4D0E6470"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Wysokość miejsca przeznaczonego do sprawdzania wysokościomierza przed lotem powinna być podana, jako wysokość średnia, zaokrąglona do najbliższego metra lub stopy strefy, w</w:t>
      </w:r>
      <w:r w:rsidR="00B06AC8" w:rsidRPr="009E064B">
        <w:rPr>
          <w:rFonts w:asciiTheme="minorHAnsi" w:hAnsiTheme="minorHAnsi" w:cstheme="minorHAnsi"/>
        </w:rPr>
        <w:t> </w:t>
      </w:r>
      <w:r w:rsidRPr="009E064B">
        <w:rPr>
          <w:rFonts w:asciiTheme="minorHAnsi" w:hAnsiTheme="minorHAnsi" w:cstheme="minorHAnsi"/>
        </w:rPr>
        <w:t>której to miejsce się znajduje. Wysokość jakiejkolwiek części miejsca przeznaczonego do sprawdzania wysokościomierzy przed lotem powinno mieścić, się w tolerancji 3 m (10 stóp) średniej wysokości tego miejsca.</w:t>
      </w:r>
    </w:p>
    <w:p w14:paraId="0007B516"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Miejsce przeznaczone do sprawdzania wysokościomierzy przed lotem może być zlokalizowane na płycie postojowej. Lokalizacja miejsca przeznaczonego do sprawdzania wysokościomierzy przed lotem na płycie postojowej pozwala pilotowi dokonać sprawdzenia wysokościomierza przed otrzymaniem zezwolenia na kołowanie i zwalnia go od obowiązku zatrzymania się dla dokonania tego sprawdzenia już po opuszczeniu płyty. Zwykle cała płyta może służyć za odpowiednie miejsce dla sprawdzania wysokościomierzy.</w:t>
      </w:r>
    </w:p>
    <w:p w14:paraId="42BAC27E" w14:textId="77777777" w:rsidR="00B0686B" w:rsidRPr="009E064B" w:rsidRDefault="00B0686B" w:rsidP="00537D00">
      <w:pPr>
        <w:spacing w:before="240"/>
        <w:rPr>
          <w:rFonts w:asciiTheme="minorHAnsi" w:hAnsiTheme="minorHAnsi" w:cstheme="minorHAnsi"/>
        </w:rPr>
      </w:pPr>
      <w:r w:rsidRPr="009E064B">
        <w:rPr>
          <w:rFonts w:asciiTheme="minorHAnsi" w:hAnsiTheme="minorHAnsi" w:cstheme="minorHAnsi"/>
        </w:rPr>
        <w:t>DŁUGOŚCI DEKLAROWANE</w:t>
      </w:r>
    </w:p>
    <w:p w14:paraId="11C429C7"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Niżej wymienione długości powinny być obliczone dla drogi startowej w przybliżeniu do 1 metra lub stopy i zgłoszone służbom informacji lotniczej i służbom ruchu lotniczego:</w:t>
      </w:r>
    </w:p>
    <w:p w14:paraId="2D837BC7"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rozporządzalna długość rozbiegu przy starcie (TORA);</w:t>
      </w:r>
    </w:p>
    <w:p w14:paraId="28305BE2"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rozporządzalna długość startu (TODA);</w:t>
      </w:r>
    </w:p>
    <w:p w14:paraId="6241B7B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rozporządzalna długość przerwanego startu (ASDA); oraz</w:t>
      </w:r>
    </w:p>
    <w:p w14:paraId="0E32577B"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rozporządzalna długość lądowania (LDA).</w:t>
      </w:r>
    </w:p>
    <w:p w14:paraId="3C52B54B"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Rozporządzalna długość rozbiegu przy starcie (TORA), rozporządzalna długość startu (TODA), rozporządzalna długość przerwanego startu (ASDA) oraz rozporządzalna długość lądowania (LDA) powinny być obliczone zgodnie z poniższymi zasadami (wszystkie długości deklarowane są zobrazowane dla operacji od strony od lewej do prawej):</w:t>
      </w:r>
    </w:p>
    <w:p w14:paraId="4C01CD25" w14:textId="274F3962" w:rsidR="00B0686B" w:rsidRPr="009E064B" w:rsidRDefault="00B0686B" w:rsidP="002E1C59">
      <w:pPr>
        <w:tabs>
          <w:tab w:val="left" w:pos="1134"/>
        </w:tabs>
        <w:spacing w:after="0"/>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Jeżeli droga startowa nie posiada zabezpieczenia przerwanego startu lub zabezpieczenia wydłużonego startu a próg zlokalizowany jest na krawędzi drogi startowej, to wyżej wymienione, cztery długości deklarowane zazwyczaj powinny być równe długości drogi startowej.</w:t>
      </w:r>
    </w:p>
    <w:p w14:paraId="25592E68" w14:textId="77777777" w:rsidR="002E1C59" w:rsidRPr="009E064B" w:rsidRDefault="002E1C59" w:rsidP="002E1C59">
      <w:pPr>
        <w:tabs>
          <w:tab w:val="left" w:pos="1134"/>
        </w:tabs>
        <w:spacing w:after="0"/>
        <w:ind w:left="1134" w:hanging="567"/>
        <w:rPr>
          <w:rFonts w:asciiTheme="minorHAnsi" w:hAnsiTheme="minorHAnsi" w:cstheme="minorHAnsi"/>
        </w:rPr>
      </w:pPr>
    </w:p>
    <w:p w14:paraId="2211101D" w14:textId="3DE222D7" w:rsidR="00B0686B" w:rsidRPr="009E064B" w:rsidRDefault="004611AA" w:rsidP="00B06A9A">
      <w:pPr>
        <w:ind w:left="567"/>
        <w:jc w:val="center"/>
        <w:rPr>
          <w:rFonts w:asciiTheme="minorHAnsi" w:hAnsiTheme="minorHAnsi" w:cstheme="minorHAnsi"/>
        </w:rPr>
      </w:pPr>
      <w:r w:rsidRPr="009E064B">
        <w:rPr>
          <w:noProof/>
          <w:lang w:eastAsia="pl-PL"/>
        </w:rPr>
        <w:drawing>
          <wp:inline distT="0" distB="0" distL="0" distR="0" wp14:anchorId="19637A05" wp14:editId="0282375C">
            <wp:extent cx="5759450" cy="1229724"/>
            <wp:effectExtent l="0" t="0" r="0" b="0"/>
            <wp:docPr id="3785" name="Obraz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1229724"/>
                    </a:xfrm>
                    <a:prstGeom prst="rect">
                      <a:avLst/>
                    </a:prstGeom>
                    <a:noFill/>
                    <a:ln>
                      <a:noFill/>
                    </a:ln>
                  </pic:spPr>
                </pic:pic>
              </a:graphicData>
            </a:graphic>
          </wp:inline>
        </w:drawing>
      </w:r>
    </w:p>
    <w:p w14:paraId="03A3E681" w14:textId="77777777" w:rsidR="00B0686B" w:rsidRPr="007B1601" w:rsidRDefault="00B0686B" w:rsidP="00B06A9A">
      <w:pPr>
        <w:ind w:left="567"/>
        <w:jc w:val="center"/>
        <w:rPr>
          <w:rFonts w:asciiTheme="minorHAnsi" w:hAnsiTheme="minorHAnsi" w:cstheme="minorHAnsi"/>
          <w:b/>
          <w:sz w:val="20"/>
        </w:rPr>
      </w:pPr>
      <w:r w:rsidRPr="007B1601">
        <w:rPr>
          <w:rFonts w:asciiTheme="minorHAnsi" w:hAnsiTheme="minorHAnsi" w:cstheme="minorHAnsi"/>
          <w:b/>
          <w:sz w:val="20"/>
        </w:rPr>
        <w:t>Rysunek 1</w:t>
      </w:r>
    </w:p>
    <w:p w14:paraId="41CE9EA8" w14:textId="77777777" w:rsidR="00B0686B" w:rsidRPr="009E064B" w:rsidRDefault="00B0686B" w:rsidP="00B06A9A">
      <w:pPr>
        <w:tabs>
          <w:tab w:val="left" w:pos="1134"/>
        </w:tabs>
        <w:ind w:left="1134" w:hanging="567"/>
        <w:rPr>
          <w:rFonts w:asciiTheme="minorHAnsi" w:hAnsiTheme="minorHAnsi" w:cstheme="minorHAnsi"/>
        </w:rPr>
      </w:pPr>
    </w:p>
    <w:p w14:paraId="2EA96AEC" w14:textId="425E843F" w:rsidR="00B0686B" w:rsidRPr="009E064B" w:rsidRDefault="00B0686B" w:rsidP="002E1C59">
      <w:pPr>
        <w:tabs>
          <w:tab w:val="left" w:pos="1134"/>
        </w:tabs>
        <w:spacing w:after="0"/>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Jeżeli droga startowa posiada zabezpieczenie wydłużonego startu (CWY), to wtedy TODA będzie obejmować długość zabezpieczenia wydłużonego startu.</w:t>
      </w:r>
    </w:p>
    <w:p w14:paraId="3F042FBE" w14:textId="5FD5F828" w:rsidR="004611AA" w:rsidRPr="009E064B" w:rsidRDefault="004611AA" w:rsidP="002E1C59">
      <w:pPr>
        <w:tabs>
          <w:tab w:val="left" w:pos="1134"/>
        </w:tabs>
        <w:spacing w:after="0"/>
        <w:ind w:left="1134" w:hanging="567"/>
        <w:rPr>
          <w:rFonts w:asciiTheme="minorHAnsi" w:hAnsiTheme="minorHAnsi" w:cstheme="minorHAnsi"/>
        </w:rPr>
      </w:pPr>
    </w:p>
    <w:p w14:paraId="2E9DFC23" w14:textId="77777777" w:rsidR="004611AA" w:rsidRPr="009E064B" w:rsidRDefault="004611AA" w:rsidP="002E1C59">
      <w:pPr>
        <w:tabs>
          <w:tab w:val="left" w:pos="1134"/>
        </w:tabs>
        <w:spacing w:after="0"/>
        <w:ind w:left="1134" w:hanging="567"/>
        <w:rPr>
          <w:rFonts w:asciiTheme="minorHAnsi" w:hAnsiTheme="minorHAnsi" w:cstheme="minorHAnsi"/>
        </w:rPr>
      </w:pPr>
    </w:p>
    <w:p w14:paraId="4894AC35" w14:textId="720B058D" w:rsidR="002E1C59" w:rsidRPr="009E064B" w:rsidRDefault="004611AA" w:rsidP="002E1C59">
      <w:pPr>
        <w:tabs>
          <w:tab w:val="left" w:pos="1134"/>
        </w:tabs>
        <w:spacing w:after="0"/>
        <w:ind w:left="1134" w:hanging="567"/>
        <w:rPr>
          <w:rFonts w:asciiTheme="minorHAnsi" w:hAnsiTheme="minorHAnsi" w:cstheme="minorHAnsi"/>
        </w:rPr>
      </w:pPr>
      <w:r w:rsidRPr="009E064B">
        <w:rPr>
          <w:noProof/>
          <w:lang w:eastAsia="pl-PL"/>
        </w:rPr>
        <w:drawing>
          <wp:inline distT="0" distB="0" distL="0" distR="0" wp14:anchorId="7AD2D9D9" wp14:editId="589271D4">
            <wp:extent cx="5759450" cy="1462717"/>
            <wp:effectExtent l="0" t="0" r="0" b="0"/>
            <wp:docPr id="3786" name="Obraz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1462717"/>
                    </a:xfrm>
                    <a:prstGeom prst="rect">
                      <a:avLst/>
                    </a:prstGeom>
                    <a:noFill/>
                    <a:ln>
                      <a:noFill/>
                    </a:ln>
                  </pic:spPr>
                </pic:pic>
              </a:graphicData>
            </a:graphic>
          </wp:inline>
        </w:drawing>
      </w:r>
    </w:p>
    <w:p w14:paraId="3477BC0C" w14:textId="23D7A7FC" w:rsidR="00B0686B" w:rsidRPr="009E064B" w:rsidRDefault="00B0686B" w:rsidP="004611AA">
      <w:pPr>
        <w:tabs>
          <w:tab w:val="left" w:pos="1134"/>
        </w:tabs>
        <w:spacing w:after="0"/>
        <w:ind w:left="1134" w:hanging="567"/>
        <w:rPr>
          <w:rFonts w:asciiTheme="minorHAnsi" w:hAnsiTheme="minorHAnsi" w:cstheme="minorHAnsi"/>
        </w:rPr>
      </w:pPr>
    </w:p>
    <w:p w14:paraId="7075E9CE" w14:textId="77777777" w:rsidR="00B0686B" w:rsidRPr="007B1601" w:rsidRDefault="00B0686B" w:rsidP="00B06A9A">
      <w:pPr>
        <w:ind w:left="567"/>
        <w:jc w:val="center"/>
        <w:rPr>
          <w:rFonts w:asciiTheme="minorHAnsi" w:hAnsiTheme="minorHAnsi" w:cstheme="minorHAnsi"/>
          <w:b/>
          <w:sz w:val="20"/>
        </w:rPr>
      </w:pPr>
      <w:r w:rsidRPr="007B1601">
        <w:rPr>
          <w:rFonts w:asciiTheme="minorHAnsi" w:hAnsiTheme="minorHAnsi" w:cstheme="minorHAnsi"/>
          <w:b/>
          <w:sz w:val="20"/>
        </w:rPr>
        <w:t>Rysunek 2</w:t>
      </w:r>
    </w:p>
    <w:p w14:paraId="76976EAE" w14:textId="2E2D157F" w:rsidR="002E1C59" w:rsidRPr="009E064B" w:rsidRDefault="002E1C59">
      <w:pPr>
        <w:spacing w:after="0"/>
        <w:jc w:val="left"/>
        <w:rPr>
          <w:rFonts w:asciiTheme="minorHAnsi" w:hAnsiTheme="minorHAnsi" w:cstheme="minorHAnsi"/>
        </w:rPr>
      </w:pPr>
      <w:r w:rsidRPr="009E064B">
        <w:rPr>
          <w:rFonts w:asciiTheme="minorHAnsi" w:hAnsiTheme="minorHAnsi" w:cstheme="minorHAnsi"/>
        </w:rPr>
        <w:br w:type="page"/>
      </w:r>
    </w:p>
    <w:p w14:paraId="2A7E0A5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Jeżeli droga startowa posiada zabezpieczenie przerwanego startu (SWY), to wtedy ASDA będzie obejmować długość zabezpieczenia przerwanego startu.</w:t>
      </w:r>
    </w:p>
    <w:p w14:paraId="405E77B4" w14:textId="0F0B6D7D" w:rsidR="00B0686B" w:rsidRPr="009E064B" w:rsidRDefault="00B0686B" w:rsidP="004611AA">
      <w:pPr>
        <w:ind w:left="567"/>
        <w:rPr>
          <w:rFonts w:ascii="Arial" w:hAnsi="Arial" w:cs="Arial"/>
          <w:sz w:val="16"/>
          <w:szCs w:val="16"/>
        </w:rPr>
      </w:pPr>
    </w:p>
    <w:p w14:paraId="1FA2031E" w14:textId="176D812A" w:rsidR="00A41357" w:rsidRPr="009E064B" w:rsidRDefault="00A41357" w:rsidP="00B06A9A">
      <w:pPr>
        <w:ind w:left="567"/>
        <w:jc w:val="center"/>
        <w:rPr>
          <w:rFonts w:asciiTheme="minorHAnsi" w:hAnsiTheme="minorHAnsi" w:cstheme="minorHAnsi"/>
        </w:rPr>
      </w:pPr>
      <w:r w:rsidRPr="009E064B">
        <w:rPr>
          <w:noProof/>
          <w:lang w:eastAsia="pl-PL"/>
        </w:rPr>
        <w:drawing>
          <wp:inline distT="0" distB="0" distL="0" distR="0" wp14:anchorId="4A65EC8C" wp14:editId="0525AEB5">
            <wp:extent cx="5759450" cy="1356061"/>
            <wp:effectExtent l="0" t="0" r="0" b="0"/>
            <wp:docPr id="1379" name="Obraz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1356061"/>
                    </a:xfrm>
                    <a:prstGeom prst="rect">
                      <a:avLst/>
                    </a:prstGeom>
                    <a:noFill/>
                    <a:ln>
                      <a:noFill/>
                    </a:ln>
                  </pic:spPr>
                </pic:pic>
              </a:graphicData>
            </a:graphic>
          </wp:inline>
        </w:drawing>
      </w:r>
    </w:p>
    <w:p w14:paraId="032309AA" w14:textId="77777777" w:rsidR="00B0686B" w:rsidRPr="007B1601" w:rsidRDefault="00B0686B" w:rsidP="00B06A9A">
      <w:pPr>
        <w:ind w:left="567"/>
        <w:jc w:val="center"/>
        <w:rPr>
          <w:rFonts w:asciiTheme="minorHAnsi" w:hAnsiTheme="minorHAnsi" w:cstheme="minorHAnsi"/>
          <w:b/>
          <w:sz w:val="20"/>
        </w:rPr>
      </w:pPr>
      <w:r w:rsidRPr="007B1601">
        <w:rPr>
          <w:rFonts w:asciiTheme="minorHAnsi" w:hAnsiTheme="minorHAnsi" w:cstheme="minorHAnsi"/>
          <w:b/>
          <w:sz w:val="20"/>
        </w:rPr>
        <w:t>Rysunek 3</w:t>
      </w:r>
    </w:p>
    <w:p w14:paraId="723666FE" w14:textId="77777777" w:rsidR="00B0686B" w:rsidRPr="009E064B" w:rsidRDefault="00B0686B" w:rsidP="00B06A9A">
      <w:pPr>
        <w:tabs>
          <w:tab w:val="left" w:pos="1134"/>
        </w:tabs>
        <w:ind w:left="1134" w:hanging="567"/>
        <w:rPr>
          <w:rFonts w:asciiTheme="minorHAnsi" w:hAnsiTheme="minorHAnsi" w:cstheme="minorHAnsi"/>
        </w:rPr>
      </w:pPr>
    </w:p>
    <w:p w14:paraId="2C1A0CDF" w14:textId="1D65EBC6"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Jeżeli próg drogi startowej jest przesunięty, to wtedy LDA będzie zmniejszona o</w:t>
      </w:r>
      <w:r w:rsidR="00544DF6" w:rsidRPr="009E064B">
        <w:rPr>
          <w:rFonts w:asciiTheme="minorHAnsi" w:hAnsiTheme="minorHAnsi" w:cstheme="minorHAnsi"/>
        </w:rPr>
        <w:t> </w:t>
      </w:r>
      <w:r w:rsidRPr="009E064B">
        <w:rPr>
          <w:rFonts w:asciiTheme="minorHAnsi" w:hAnsiTheme="minorHAnsi" w:cstheme="minorHAnsi"/>
        </w:rPr>
        <w:t>odległość o jaką próg został przesunięty. Przesunięty próg ma wpływ wyłącznie na LDA w przypadku podejść wykonywanych w kierunku tego progu. Pozostałe długości deklarowane dla operacji z kierunku przeciwnego nie będą zmienione.</w:t>
      </w:r>
    </w:p>
    <w:p w14:paraId="7E6C9575" w14:textId="77777777" w:rsidR="00B0686B" w:rsidRPr="009E064B" w:rsidRDefault="00B0686B" w:rsidP="002E1C59">
      <w:pPr>
        <w:tabs>
          <w:tab w:val="left" w:pos="1134"/>
        </w:tabs>
        <w:spacing w:after="0"/>
        <w:ind w:left="1134" w:hanging="567"/>
        <w:rPr>
          <w:rFonts w:asciiTheme="minorHAnsi" w:hAnsiTheme="minorHAnsi" w:cstheme="minorHAnsi"/>
        </w:rPr>
      </w:pPr>
    </w:p>
    <w:p w14:paraId="26AEB087" w14:textId="5EEA2EBC" w:rsidR="00B0686B" w:rsidRPr="009E064B" w:rsidRDefault="004611AA" w:rsidP="00B06A9A">
      <w:pPr>
        <w:tabs>
          <w:tab w:val="left" w:pos="1134"/>
        </w:tabs>
        <w:ind w:left="1134" w:hanging="567"/>
        <w:rPr>
          <w:rFonts w:asciiTheme="minorHAnsi" w:hAnsiTheme="minorHAnsi" w:cstheme="minorHAnsi"/>
        </w:rPr>
      </w:pPr>
      <w:r w:rsidRPr="009E064B">
        <w:rPr>
          <w:noProof/>
          <w:lang w:eastAsia="pl-PL"/>
        </w:rPr>
        <w:drawing>
          <wp:inline distT="0" distB="0" distL="0" distR="0" wp14:anchorId="7465FD88" wp14:editId="11AC1452">
            <wp:extent cx="5759450" cy="1304637"/>
            <wp:effectExtent l="0" t="0" r="0" b="0"/>
            <wp:docPr id="3795" name="Obraz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9450" cy="1304637"/>
                    </a:xfrm>
                    <a:prstGeom prst="rect">
                      <a:avLst/>
                    </a:prstGeom>
                    <a:noFill/>
                    <a:ln>
                      <a:noFill/>
                    </a:ln>
                  </pic:spPr>
                </pic:pic>
              </a:graphicData>
            </a:graphic>
          </wp:inline>
        </w:drawing>
      </w:r>
    </w:p>
    <w:p w14:paraId="16B6EACF" w14:textId="77777777" w:rsidR="00B0686B" w:rsidRPr="007B1601" w:rsidRDefault="00B0686B" w:rsidP="007B1601">
      <w:pPr>
        <w:ind w:left="567"/>
        <w:jc w:val="center"/>
        <w:rPr>
          <w:rFonts w:asciiTheme="minorHAnsi" w:hAnsiTheme="minorHAnsi" w:cstheme="minorHAnsi"/>
          <w:b/>
          <w:sz w:val="20"/>
        </w:rPr>
      </w:pPr>
      <w:r w:rsidRPr="007B1601">
        <w:rPr>
          <w:rFonts w:asciiTheme="minorHAnsi" w:hAnsiTheme="minorHAnsi" w:cstheme="minorHAnsi"/>
          <w:b/>
          <w:sz w:val="20"/>
        </w:rPr>
        <w:t>Rysunek 4</w:t>
      </w:r>
    </w:p>
    <w:p w14:paraId="025AD0C8" w14:textId="77777777" w:rsidR="00B0686B" w:rsidRPr="009E064B" w:rsidRDefault="00B0686B" w:rsidP="00B06A9A">
      <w:pPr>
        <w:tabs>
          <w:tab w:val="left" w:pos="1134"/>
        </w:tabs>
        <w:ind w:left="1134" w:hanging="567"/>
        <w:rPr>
          <w:rFonts w:asciiTheme="minorHAnsi" w:hAnsiTheme="minorHAnsi" w:cstheme="minorHAnsi"/>
        </w:rPr>
      </w:pPr>
    </w:p>
    <w:p w14:paraId="71084A5E" w14:textId="42A29F24" w:rsidR="00B0686B" w:rsidRPr="009E064B" w:rsidRDefault="00B0686B" w:rsidP="002E1C59">
      <w:pPr>
        <w:tabs>
          <w:tab w:val="left" w:pos="1134"/>
        </w:tabs>
        <w:spacing w:after="0"/>
        <w:ind w:left="1134" w:hanging="567"/>
        <w:rPr>
          <w:rFonts w:asciiTheme="minorHAnsi" w:hAnsiTheme="minorHAnsi" w:cstheme="minorHAnsi"/>
        </w:rPr>
      </w:pPr>
      <w:r w:rsidRPr="009E064B">
        <w:rPr>
          <w:rFonts w:asciiTheme="minorHAnsi" w:hAnsiTheme="minorHAnsi" w:cstheme="minorHAnsi"/>
        </w:rPr>
        <w:t xml:space="preserve">(5) </w:t>
      </w:r>
      <w:r w:rsidRPr="009E064B">
        <w:rPr>
          <w:rFonts w:asciiTheme="minorHAnsi" w:hAnsiTheme="minorHAnsi" w:cstheme="minorHAnsi"/>
        </w:rPr>
        <w:tab/>
        <w:t>Jeżeli droga startowa posiada więcej niż jedno zabezpieczenie wydłużonego startu, zabezpieczenie przerwanego startu lub przesunięty próg, to wtedy więcej niż jedna z długości deklarowanych zostanie zmodyfikowana. Modyfikacja powinna być przeprowad</w:t>
      </w:r>
      <w:r w:rsidR="000E0B48" w:rsidRPr="009E064B">
        <w:rPr>
          <w:rFonts w:asciiTheme="minorHAnsi" w:hAnsiTheme="minorHAnsi" w:cstheme="minorHAnsi"/>
        </w:rPr>
        <w:t xml:space="preserve">zona zgodnie z zasadami jak na Rysunkach </w:t>
      </w:r>
      <w:r w:rsidRPr="009E064B">
        <w:rPr>
          <w:rFonts w:asciiTheme="minorHAnsi" w:hAnsiTheme="minorHAnsi" w:cstheme="minorHAnsi"/>
        </w:rPr>
        <w:t>1</w:t>
      </w:r>
      <w:r w:rsidR="000E0B48" w:rsidRPr="009E064B">
        <w:rPr>
          <w:rFonts w:asciiTheme="minorHAnsi" w:hAnsiTheme="minorHAnsi" w:cstheme="minorHAnsi"/>
        </w:rPr>
        <w:t xml:space="preserve"> – </w:t>
      </w:r>
      <w:r w:rsidRPr="009E064B">
        <w:rPr>
          <w:rFonts w:asciiTheme="minorHAnsi" w:hAnsiTheme="minorHAnsi" w:cstheme="minorHAnsi"/>
        </w:rPr>
        <w:t>4.</w:t>
      </w:r>
    </w:p>
    <w:p w14:paraId="55435098" w14:textId="77777777" w:rsidR="002E1C59" w:rsidRPr="009E064B" w:rsidRDefault="002E1C59" w:rsidP="002E1C59">
      <w:pPr>
        <w:tabs>
          <w:tab w:val="left" w:pos="1134"/>
        </w:tabs>
        <w:spacing w:after="0"/>
        <w:ind w:left="1134" w:hanging="567"/>
        <w:rPr>
          <w:rFonts w:asciiTheme="minorHAnsi" w:hAnsiTheme="minorHAnsi" w:cstheme="minorHAnsi"/>
        </w:rPr>
      </w:pPr>
    </w:p>
    <w:p w14:paraId="6619DD74" w14:textId="2ADC8EC7" w:rsidR="00B0686B" w:rsidRPr="009E064B" w:rsidRDefault="004611AA" w:rsidP="00B06A9A">
      <w:pPr>
        <w:ind w:left="567"/>
        <w:rPr>
          <w:rFonts w:asciiTheme="minorHAnsi" w:hAnsiTheme="minorHAnsi" w:cstheme="minorHAnsi"/>
        </w:rPr>
      </w:pPr>
      <w:r w:rsidRPr="009E064B">
        <w:rPr>
          <w:noProof/>
          <w:lang w:eastAsia="pl-PL"/>
        </w:rPr>
        <w:drawing>
          <wp:inline distT="0" distB="0" distL="0" distR="0" wp14:anchorId="175CAA04" wp14:editId="11945AF8">
            <wp:extent cx="5759450" cy="1820144"/>
            <wp:effectExtent l="0" t="0" r="0" b="0"/>
            <wp:docPr id="3797" name="Obraz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1820144"/>
                    </a:xfrm>
                    <a:prstGeom prst="rect">
                      <a:avLst/>
                    </a:prstGeom>
                    <a:noFill/>
                    <a:ln>
                      <a:noFill/>
                    </a:ln>
                  </pic:spPr>
                </pic:pic>
              </a:graphicData>
            </a:graphic>
          </wp:inline>
        </w:drawing>
      </w:r>
    </w:p>
    <w:p w14:paraId="09518BE0" w14:textId="77777777" w:rsidR="00B0686B" w:rsidRPr="007B1601" w:rsidRDefault="00B0686B" w:rsidP="00B06A9A">
      <w:pPr>
        <w:ind w:left="567"/>
        <w:jc w:val="center"/>
        <w:rPr>
          <w:rFonts w:asciiTheme="minorHAnsi" w:hAnsiTheme="minorHAnsi" w:cstheme="minorHAnsi"/>
          <w:b/>
          <w:sz w:val="20"/>
        </w:rPr>
      </w:pPr>
      <w:r w:rsidRPr="007B1601">
        <w:rPr>
          <w:rFonts w:asciiTheme="minorHAnsi" w:hAnsiTheme="minorHAnsi" w:cstheme="minorHAnsi"/>
          <w:b/>
          <w:sz w:val="20"/>
        </w:rPr>
        <w:t>Rysunek 5</w:t>
      </w:r>
    </w:p>
    <w:p w14:paraId="186FD6F6" w14:textId="09920026" w:rsidR="002E1C59" w:rsidRPr="009E064B" w:rsidRDefault="002E1C59">
      <w:pPr>
        <w:spacing w:after="0"/>
        <w:jc w:val="left"/>
        <w:rPr>
          <w:rFonts w:asciiTheme="minorHAnsi" w:hAnsiTheme="minorHAnsi" w:cstheme="minorHAnsi"/>
        </w:rPr>
      </w:pPr>
      <w:r w:rsidRPr="009E064B">
        <w:rPr>
          <w:rFonts w:asciiTheme="minorHAnsi" w:hAnsiTheme="minorHAnsi" w:cstheme="minorHAnsi"/>
        </w:rPr>
        <w:br w:type="page"/>
      </w:r>
    </w:p>
    <w:p w14:paraId="159652E4" w14:textId="2EFD53E8" w:rsidR="00B0686B" w:rsidRPr="009E064B" w:rsidRDefault="00B0686B" w:rsidP="00BF1E20">
      <w:pPr>
        <w:tabs>
          <w:tab w:val="left" w:pos="567"/>
        </w:tabs>
        <w:spacing w:after="0"/>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Informacje dotyczące długości deklarowanych powinny b</w:t>
      </w:r>
      <w:r w:rsidR="00F36957" w:rsidRPr="009E064B">
        <w:rPr>
          <w:rFonts w:asciiTheme="minorHAnsi" w:hAnsiTheme="minorHAnsi" w:cstheme="minorHAnsi"/>
        </w:rPr>
        <w:t>yć podawane zgodnie z poniższą T</w:t>
      </w:r>
      <w:r w:rsidRPr="009E064B">
        <w:rPr>
          <w:rFonts w:asciiTheme="minorHAnsi" w:hAnsiTheme="minorHAnsi" w:cstheme="minorHAnsi"/>
        </w:rPr>
        <w:t>abelą:</w:t>
      </w:r>
    </w:p>
    <w:p w14:paraId="4788B1B7" w14:textId="77777777" w:rsidR="0043409D" w:rsidRPr="009E064B" w:rsidRDefault="0043409D" w:rsidP="00B003A7">
      <w:pPr>
        <w:tabs>
          <w:tab w:val="left" w:pos="567"/>
        </w:tabs>
        <w:ind w:left="567" w:hanging="567"/>
        <w:rPr>
          <w:rFonts w:asciiTheme="minorHAnsi" w:hAnsiTheme="minorHAnsi" w:cstheme="minorHAnsi"/>
        </w:rPr>
      </w:pPr>
    </w:p>
    <w:p w14:paraId="42F6BF28" w14:textId="1A858046" w:rsidR="00B0686B" w:rsidRPr="009E064B" w:rsidRDefault="00BF1E20" w:rsidP="00BF1E20">
      <w:pPr>
        <w:tabs>
          <w:tab w:val="left" w:pos="567"/>
        </w:tabs>
        <w:spacing w:after="0"/>
        <w:ind w:left="567" w:hanging="567"/>
        <w:rPr>
          <w:rFonts w:asciiTheme="minorHAnsi" w:hAnsiTheme="minorHAnsi" w:cstheme="minorHAnsi"/>
        </w:rPr>
      </w:pPr>
      <w:r w:rsidRPr="009E064B">
        <w:rPr>
          <w:noProof/>
          <w:lang w:eastAsia="pl-PL"/>
        </w:rPr>
        <w:drawing>
          <wp:inline distT="0" distB="0" distL="0" distR="0" wp14:anchorId="7977334D" wp14:editId="03729305">
            <wp:extent cx="5759450" cy="4592503"/>
            <wp:effectExtent l="0" t="0" r="0" b="0"/>
            <wp:docPr id="1383" name="Obraz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4592503"/>
                    </a:xfrm>
                    <a:prstGeom prst="rect">
                      <a:avLst/>
                    </a:prstGeom>
                    <a:noFill/>
                    <a:ln>
                      <a:noFill/>
                    </a:ln>
                  </pic:spPr>
                </pic:pic>
              </a:graphicData>
            </a:graphic>
          </wp:inline>
        </w:drawing>
      </w:r>
    </w:p>
    <w:p w14:paraId="44A9CE17" w14:textId="77777777" w:rsidR="00A41357" w:rsidRPr="009E064B" w:rsidRDefault="00A41357" w:rsidP="00BF1E20">
      <w:pPr>
        <w:spacing w:after="0"/>
        <w:jc w:val="center"/>
        <w:rPr>
          <w:rFonts w:asciiTheme="minorHAnsi" w:hAnsiTheme="minorHAnsi" w:cstheme="minorHAnsi"/>
        </w:rPr>
      </w:pPr>
    </w:p>
    <w:p w14:paraId="0F104291" w14:textId="768AC4B8" w:rsidR="00B0686B" w:rsidRPr="007B1601" w:rsidRDefault="00B0686B" w:rsidP="007B1601">
      <w:pPr>
        <w:ind w:left="567"/>
        <w:jc w:val="center"/>
        <w:rPr>
          <w:rFonts w:asciiTheme="minorHAnsi" w:hAnsiTheme="minorHAnsi" w:cstheme="minorHAnsi"/>
          <w:b/>
          <w:sz w:val="20"/>
        </w:rPr>
      </w:pPr>
      <w:r w:rsidRPr="007B1601">
        <w:rPr>
          <w:rFonts w:asciiTheme="minorHAnsi" w:hAnsiTheme="minorHAnsi" w:cstheme="minorHAnsi"/>
          <w:b/>
          <w:sz w:val="20"/>
        </w:rPr>
        <w:t>Rysunek 6</w:t>
      </w:r>
    </w:p>
    <w:p w14:paraId="7DD670C4" w14:textId="77777777" w:rsidR="00B0686B" w:rsidRPr="009E064B" w:rsidRDefault="00B0686B" w:rsidP="00B003A7">
      <w:pPr>
        <w:spacing w:after="0"/>
        <w:jc w:val="left"/>
        <w:rPr>
          <w:rFonts w:asciiTheme="minorHAnsi" w:hAnsiTheme="minorHAnsi" w:cstheme="minorHAnsi"/>
        </w:rPr>
      </w:pPr>
    </w:p>
    <w:p w14:paraId="26B102F8" w14:textId="77777777" w:rsidR="00B0686B" w:rsidRPr="009E064B" w:rsidRDefault="00B0686B" w:rsidP="00096164">
      <w:pPr>
        <w:spacing w:after="0"/>
        <w:jc w:val="left"/>
        <w:rPr>
          <w:rFonts w:asciiTheme="minorHAnsi" w:hAnsiTheme="minorHAnsi" w:cstheme="minorHAnsi"/>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9"/>
        <w:gridCol w:w="1668"/>
        <w:gridCol w:w="1669"/>
        <w:gridCol w:w="1670"/>
        <w:gridCol w:w="1669"/>
      </w:tblGrid>
      <w:tr w:rsidR="00151E7B" w:rsidRPr="009E064B" w14:paraId="17E21C90" w14:textId="77777777" w:rsidTr="00151E7B">
        <w:trPr>
          <w:trHeight w:val="717"/>
        </w:trPr>
        <w:tc>
          <w:tcPr>
            <w:tcW w:w="1709" w:type="dxa"/>
            <w:shd w:val="clear" w:color="auto" w:fill="auto"/>
            <w:tcMar>
              <w:top w:w="28" w:type="dxa"/>
              <w:bottom w:w="28" w:type="dxa"/>
            </w:tcMar>
            <w:vAlign w:val="center"/>
          </w:tcPr>
          <w:p w14:paraId="6FCBAFFE" w14:textId="77777777" w:rsidR="00151E7B" w:rsidRPr="009E064B" w:rsidRDefault="00151E7B" w:rsidP="002E1C59">
            <w:pPr>
              <w:spacing w:after="0"/>
              <w:jc w:val="center"/>
              <w:rPr>
                <w:rFonts w:asciiTheme="minorHAnsi" w:hAnsiTheme="minorHAnsi" w:cstheme="minorHAnsi"/>
                <w:b/>
              </w:rPr>
            </w:pPr>
            <w:r w:rsidRPr="009E064B">
              <w:rPr>
                <w:rFonts w:asciiTheme="minorHAnsi" w:hAnsiTheme="minorHAnsi" w:cstheme="minorHAnsi"/>
                <w:b/>
              </w:rPr>
              <w:t>DROGA STARTOWA</w:t>
            </w:r>
          </w:p>
        </w:tc>
        <w:tc>
          <w:tcPr>
            <w:tcW w:w="1668" w:type="dxa"/>
            <w:shd w:val="clear" w:color="auto" w:fill="auto"/>
            <w:tcMar>
              <w:top w:w="28" w:type="dxa"/>
              <w:bottom w:w="28" w:type="dxa"/>
            </w:tcMar>
            <w:vAlign w:val="center"/>
          </w:tcPr>
          <w:p w14:paraId="4C2235E4" w14:textId="77777777" w:rsidR="00151E7B" w:rsidRPr="009E064B" w:rsidRDefault="00151E7B" w:rsidP="00151E7B">
            <w:pPr>
              <w:spacing w:after="0"/>
              <w:jc w:val="center"/>
              <w:rPr>
                <w:rFonts w:asciiTheme="minorHAnsi" w:hAnsiTheme="minorHAnsi" w:cstheme="minorHAnsi"/>
                <w:b/>
              </w:rPr>
            </w:pPr>
            <w:r w:rsidRPr="009E064B">
              <w:rPr>
                <w:rFonts w:asciiTheme="minorHAnsi" w:hAnsiTheme="minorHAnsi" w:cstheme="minorHAnsi"/>
                <w:b/>
              </w:rPr>
              <w:t>TORA</w:t>
            </w:r>
          </w:p>
          <w:p w14:paraId="742BA38C" w14:textId="577A5075" w:rsidR="00151E7B" w:rsidRPr="009E064B" w:rsidRDefault="00151E7B" w:rsidP="002E1C59">
            <w:pPr>
              <w:spacing w:after="0"/>
              <w:jc w:val="center"/>
              <w:rPr>
                <w:rFonts w:asciiTheme="minorHAnsi" w:hAnsiTheme="minorHAnsi" w:cstheme="minorHAnsi"/>
                <w:b/>
              </w:rPr>
            </w:pPr>
            <w:r w:rsidRPr="009E064B">
              <w:rPr>
                <w:rFonts w:asciiTheme="minorHAnsi" w:hAnsiTheme="minorHAnsi" w:cstheme="minorHAnsi"/>
              </w:rPr>
              <w:t>(m)</w:t>
            </w:r>
          </w:p>
        </w:tc>
        <w:tc>
          <w:tcPr>
            <w:tcW w:w="1669" w:type="dxa"/>
            <w:shd w:val="clear" w:color="auto" w:fill="auto"/>
            <w:tcMar>
              <w:top w:w="28" w:type="dxa"/>
              <w:bottom w:w="28" w:type="dxa"/>
            </w:tcMar>
            <w:vAlign w:val="center"/>
          </w:tcPr>
          <w:p w14:paraId="289BF808" w14:textId="77777777" w:rsidR="00151E7B" w:rsidRPr="009E064B" w:rsidRDefault="00151E7B" w:rsidP="00151E7B">
            <w:pPr>
              <w:spacing w:after="0"/>
              <w:jc w:val="center"/>
              <w:rPr>
                <w:rFonts w:asciiTheme="minorHAnsi" w:hAnsiTheme="minorHAnsi" w:cstheme="minorHAnsi"/>
                <w:b/>
              </w:rPr>
            </w:pPr>
            <w:r w:rsidRPr="009E064B">
              <w:rPr>
                <w:rFonts w:asciiTheme="minorHAnsi" w:hAnsiTheme="minorHAnsi" w:cstheme="minorHAnsi"/>
                <w:b/>
              </w:rPr>
              <w:t>ASDA</w:t>
            </w:r>
          </w:p>
          <w:p w14:paraId="492E30DD" w14:textId="02871F21" w:rsidR="00151E7B" w:rsidRPr="009E064B" w:rsidRDefault="00151E7B" w:rsidP="002E1C59">
            <w:pPr>
              <w:spacing w:after="0"/>
              <w:jc w:val="center"/>
              <w:rPr>
                <w:rFonts w:asciiTheme="minorHAnsi" w:hAnsiTheme="minorHAnsi" w:cstheme="minorHAnsi"/>
                <w:b/>
              </w:rPr>
            </w:pPr>
            <w:r w:rsidRPr="009E064B">
              <w:rPr>
                <w:rFonts w:asciiTheme="minorHAnsi" w:hAnsiTheme="minorHAnsi" w:cstheme="minorHAnsi"/>
              </w:rPr>
              <w:t>(m)</w:t>
            </w:r>
          </w:p>
        </w:tc>
        <w:tc>
          <w:tcPr>
            <w:tcW w:w="1670" w:type="dxa"/>
            <w:shd w:val="clear" w:color="auto" w:fill="auto"/>
            <w:tcMar>
              <w:top w:w="28" w:type="dxa"/>
              <w:bottom w:w="28" w:type="dxa"/>
            </w:tcMar>
            <w:vAlign w:val="center"/>
          </w:tcPr>
          <w:p w14:paraId="2178998A" w14:textId="77777777" w:rsidR="00151E7B" w:rsidRPr="009E064B" w:rsidRDefault="00151E7B" w:rsidP="00151E7B">
            <w:pPr>
              <w:spacing w:after="0"/>
              <w:jc w:val="center"/>
              <w:rPr>
                <w:rFonts w:asciiTheme="minorHAnsi" w:hAnsiTheme="minorHAnsi" w:cstheme="minorHAnsi"/>
                <w:b/>
              </w:rPr>
            </w:pPr>
            <w:r w:rsidRPr="009E064B">
              <w:rPr>
                <w:rFonts w:asciiTheme="minorHAnsi" w:hAnsiTheme="minorHAnsi" w:cstheme="minorHAnsi"/>
                <w:b/>
              </w:rPr>
              <w:t>TODA</w:t>
            </w:r>
          </w:p>
          <w:p w14:paraId="0C1563A2" w14:textId="2AA70EE3" w:rsidR="00151E7B" w:rsidRPr="009E064B" w:rsidRDefault="00151E7B" w:rsidP="002E1C59">
            <w:pPr>
              <w:spacing w:after="0"/>
              <w:jc w:val="center"/>
              <w:rPr>
                <w:rFonts w:asciiTheme="minorHAnsi" w:hAnsiTheme="minorHAnsi" w:cstheme="minorHAnsi"/>
                <w:b/>
              </w:rPr>
            </w:pPr>
            <w:r w:rsidRPr="009E064B">
              <w:rPr>
                <w:rFonts w:asciiTheme="minorHAnsi" w:hAnsiTheme="minorHAnsi" w:cstheme="minorHAnsi"/>
              </w:rPr>
              <w:t>(m)</w:t>
            </w:r>
          </w:p>
        </w:tc>
        <w:tc>
          <w:tcPr>
            <w:tcW w:w="1669" w:type="dxa"/>
            <w:shd w:val="clear" w:color="auto" w:fill="auto"/>
            <w:tcMar>
              <w:top w:w="28" w:type="dxa"/>
              <w:bottom w:w="28" w:type="dxa"/>
            </w:tcMar>
            <w:vAlign w:val="center"/>
          </w:tcPr>
          <w:p w14:paraId="282D219A" w14:textId="77777777" w:rsidR="00151E7B" w:rsidRPr="009E064B" w:rsidRDefault="00151E7B" w:rsidP="00151E7B">
            <w:pPr>
              <w:spacing w:after="0"/>
              <w:jc w:val="center"/>
              <w:rPr>
                <w:rFonts w:asciiTheme="minorHAnsi" w:hAnsiTheme="minorHAnsi" w:cstheme="minorHAnsi"/>
                <w:b/>
              </w:rPr>
            </w:pPr>
            <w:r w:rsidRPr="009E064B">
              <w:rPr>
                <w:rFonts w:asciiTheme="minorHAnsi" w:hAnsiTheme="minorHAnsi" w:cstheme="minorHAnsi"/>
                <w:b/>
              </w:rPr>
              <w:t>LDA</w:t>
            </w:r>
          </w:p>
          <w:p w14:paraId="2B9BED0F" w14:textId="666EE038" w:rsidR="00151E7B" w:rsidRPr="009E064B" w:rsidRDefault="00151E7B" w:rsidP="002E1C59">
            <w:pPr>
              <w:spacing w:after="0"/>
              <w:jc w:val="center"/>
              <w:rPr>
                <w:rFonts w:asciiTheme="minorHAnsi" w:hAnsiTheme="minorHAnsi" w:cstheme="minorHAnsi"/>
                <w:b/>
              </w:rPr>
            </w:pPr>
            <w:r w:rsidRPr="009E064B">
              <w:rPr>
                <w:rFonts w:asciiTheme="minorHAnsi" w:hAnsiTheme="minorHAnsi" w:cstheme="minorHAnsi"/>
              </w:rPr>
              <w:t>(m)</w:t>
            </w:r>
          </w:p>
        </w:tc>
      </w:tr>
      <w:tr w:rsidR="002E1C59" w:rsidRPr="009E064B" w14:paraId="1D1E745E" w14:textId="77777777" w:rsidTr="002E1C59">
        <w:tc>
          <w:tcPr>
            <w:tcW w:w="1709" w:type="dxa"/>
            <w:shd w:val="clear" w:color="auto" w:fill="auto"/>
            <w:tcMar>
              <w:top w:w="85" w:type="dxa"/>
              <w:bottom w:w="85" w:type="dxa"/>
            </w:tcMar>
          </w:tcPr>
          <w:p w14:paraId="64675DCE" w14:textId="7334BCAD"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09</w:t>
            </w:r>
          </w:p>
        </w:tc>
        <w:tc>
          <w:tcPr>
            <w:tcW w:w="1668" w:type="dxa"/>
            <w:shd w:val="clear" w:color="auto" w:fill="auto"/>
            <w:tcMar>
              <w:top w:w="85" w:type="dxa"/>
              <w:bottom w:w="85" w:type="dxa"/>
            </w:tcMar>
          </w:tcPr>
          <w:p w14:paraId="6C869ED2" w14:textId="301EC2D7"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2 000</w:t>
            </w:r>
          </w:p>
        </w:tc>
        <w:tc>
          <w:tcPr>
            <w:tcW w:w="1669" w:type="dxa"/>
            <w:shd w:val="clear" w:color="auto" w:fill="auto"/>
            <w:tcMar>
              <w:top w:w="85" w:type="dxa"/>
              <w:bottom w:w="85" w:type="dxa"/>
            </w:tcMar>
          </w:tcPr>
          <w:p w14:paraId="0387C937" w14:textId="577826E9"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2 300</w:t>
            </w:r>
          </w:p>
        </w:tc>
        <w:tc>
          <w:tcPr>
            <w:tcW w:w="1670" w:type="dxa"/>
            <w:shd w:val="clear" w:color="auto" w:fill="auto"/>
            <w:tcMar>
              <w:top w:w="85" w:type="dxa"/>
              <w:bottom w:w="85" w:type="dxa"/>
            </w:tcMar>
          </w:tcPr>
          <w:p w14:paraId="0B3EFE41" w14:textId="359AD780"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2 580</w:t>
            </w:r>
          </w:p>
        </w:tc>
        <w:tc>
          <w:tcPr>
            <w:tcW w:w="1669" w:type="dxa"/>
            <w:shd w:val="clear" w:color="auto" w:fill="auto"/>
            <w:tcMar>
              <w:top w:w="85" w:type="dxa"/>
              <w:bottom w:w="85" w:type="dxa"/>
            </w:tcMar>
          </w:tcPr>
          <w:p w14:paraId="0AACAABB" w14:textId="1BAE8637"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1 850</w:t>
            </w:r>
          </w:p>
        </w:tc>
      </w:tr>
      <w:tr w:rsidR="002E1C59" w:rsidRPr="009E064B" w14:paraId="0E84421F" w14:textId="77777777" w:rsidTr="002E1C59">
        <w:tc>
          <w:tcPr>
            <w:tcW w:w="1709" w:type="dxa"/>
            <w:shd w:val="clear" w:color="auto" w:fill="auto"/>
            <w:tcMar>
              <w:top w:w="85" w:type="dxa"/>
              <w:bottom w:w="85" w:type="dxa"/>
            </w:tcMar>
          </w:tcPr>
          <w:p w14:paraId="7DD096EB" w14:textId="49373C6C"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27</w:t>
            </w:r>
          </w:p>
        </w:tc>
        <w:tc>
          <w:tcPr>
            <w:tcW w:w="1668" w:type="dxa"/>
            <w:shd w:val="clear" w:color="auto" w:fill="auto"/>
            <w:tcMar>
              <w:top w:w="85" w:type="dxa"/>
              <w:bottom w:w="85" w:type="dxa"/>
            </w:tcMar>
          </w:tcPr>
          <w:p w14:paraId="463AA35E" w14:textId="2725711F"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2 000</w:t>
            </w:r>
          </w:p>
        </w:tc>
        <w:tc>
          <w:tcPr>
            <w:tcW w:w="1669" w:type="dxa"/>
            <w:shd w:val="clear" w:color="auto" w:fill="auto"/>
            <w:tcMar>
              <w:top w:w="85" w:type="dxa"/>
              <w:bottom w:w="85" w:type="dxa"/>
            </w:tcMar>
          </w:tcPr>
          <w:p w14:paraId="529A1980" w14:textId="3779A824"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2 350</w:t>
            </w:r>
          </w:p>
        </w:tc>
        <w:tc>
          <w:tcPr>
            <w:tcW w:w="1670" w:type="dxa"/>
            <w:shd w:val="clear" w:color="auto" w:fill="auto"/>
            <w:tcMar>
              <w:top w:w="85" w:type="dxa"/>
              <w:bottom w:w="85" w:type="dxa"/>
            </w:tcMar>
          </w:tcPr>
          <w:p w14:paraId="7CD120DB" w14:textId="104A1974"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2 350</w:t>
            </w:r>
          </w:p>
        </w:tc>
        <w:tc>
          <w:tcPr>
            <w:tcW w:w="1669" w:type="dxa"/>
            <w:shd w:val="clear" w:color="auto" w:fill="auto"/>
            <w:tcMar>
              <w:top w:w="85" w:type="dxa"/>
              <w:bottom w:w="85" w:type="dxa"/>
            </w:tcMar>
          </w:tcPr>
          <w:p w14:paraId="7DE67E32" w14:textId="115FA381"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2 000</w:t>
            </w:r>
          </w:p>
        </w:tc>
      </w:tr>
      <w:tr w:rsidR="002E1C59" w:rsidRPr="009E064B" w14:paraId="427DE795" w14:textId="77777777" w:rsidTr="002E1C59">
        <w:tc>
          <w:tcPr>
            <w:tcW w:w="1709" w:type="dxa"/>
            <w:shd w:val="clear" w:color="auto" w:fill="auto"/>
            <w:tcMar>
              <w:top w:w="85" w:type="dxa"/>
              <w:bottom w:w="85" w:type="dxa"/>
            </w:tcMar>
          </w:tcPr>
          <w:p w14:paraId="343F0BF0" w14:textId="6715D393"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17</w:t>
            </w:r>
          </w:p>
        </w:tc>
        <w:tc>
          <w:tcPr>
            <w:tcW w:w="1668" w:type="dxa"/>
            <w:shd w:val="clear" w:color="auto" w:fill="auto"/>
            <w:tcMar>
              <w:top w:w="85" w:type="dxa"/>
              <w:bottom w:w="85" w:type="dxa"/>
            </w:tcMar>
          </w:tcPr>
          <w:p w14:paraId="71B9CFCD" w14:textId="627182E2"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NU</w:t>
            </w:r>
          </w:p>
        </w:tc>
        <w:tc>
          <w:tcPr>
            <w:tcW w:w="1669" w:type="dxa"/>
            <w:shd w:val="clear" w:color="auto" w:fill="auto"/>
            <w:tcMar>
              <w:top w:w="85" w:type="dxa"/>
              <w:bottom w:w="85" w:type="dxa"/>
            </w:tcMar>
          </w:tcPr>
          <w:p w14:paraId="0065CE9B" w14:textId="51342B58"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NU</w:t>
            </w:r>
          </w:p>
        </w:tc>
        <w:tc>
          <w:tcPr>
            <w:tcW w:w="1670" w:type="dxa"/>
            <w:shd w:val="clear" w:color="auto" w:fill="auto"/>
            <w:tcMar>
              <w:top w:w="85" w:type="dxa"/>
              <w:bottom w:w="85" w:type="dxa"/>
            </w:tcMar>
          </w:tcPr>
          <w:p w14:paraId="5CB3CFC5" w14:textId="05BF235A"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NU</w:t>
            </w:r>
          </w:p>
        </w:tc>
        <w:tc>
          <w:tcPr>
            <w:tcW w:w="1669" w:type="dxa"/>
            <w:shd w:val="clear" w:color="auto" w:fill="auto"/>
            <w:tcMar>
              <w:top w:w="85" w:type="dxa"/>
              <w:bottom w:w="85" w:type="dxa"/>
            </w:tcMar>
          </w:tcPr>
          <w:p w14:paraId="7936B2FF" w14:textId="1D105632" w:rsidR="002E1C59" w:rsidRPr="009E064B" w:rsidRDefault="002E1C59" w:rsidP="002E1C59">
            <w:pPr>
              <w:spacing w:after="0"/>
              <w:jc w:val="center"/>
              <w:rPr>
                <w:rFonts w:asciiTheme="minorHAnsi" w:hAnsiTheme="minorHAnsi" w:cstheme="minorHAnsi"/>
              </w:rPr>
            </w:pPr>
            <w:r w:rsidRPr="009E064B">
              <w:rPr>
                <w:rFonts w:asciiTheme="minorHAnsi" w:hAnsiTheme="minorHAnsi" w:cstheme="minorHAnsi"/>
              </w:rPr>
              <w:t>1 800</w:t>
            </w:r>
          </w:p>
        </w:tc>
      </w:tr>
      <w:tr w:rsidR="00B0686B" w:rsidRPr="009E064B" w14:paraId="05BFA5AA" w14:textId="77777777" w:rsidTr="002E1C59">
        <w:tc>
          <w:tcPr>
            <w:tcW w:w="1709" w:type="dxa"/>
            <w:shd w:val="clear" w:color="auto" w:fill="auto"/>
            <w:tcMar>
              <w:top w:w="85" w:type="dxa"/>
              <w:bottom w:w="85" w:type="dxa"/>
            </w:tcMar>
          </w:tcPr>
          <w:p w14:paraId="14782931" w14:textId="77777777" w:rsidR="00B0686B" w:rsidRPr="009E064B" w:rsidRDefault="00B0686B" w:rsidP="002E1C59">
            <w:pPr>
              <w:spacing w:after="0"/>
              <w:jc w:val="center"/>
              <w:rPr>
                <w:rFonts w:asciiTheme="minorHAnsi" w:hAnsiTheme="minorHAnsi" w:cstheme="minorHAnsi"/>
              </w:rPr>
            </w:pPr>
            <w:r w:rsidRPr="009E064B">
              <w:rPr>
                <w:rFonts w:asciiTheme="minorHAnsi" w:hAnsiTheme="minorHAnsi" w:cstheme="minorHAnsi"/>
              </w:rPr>
              <w:t>35</w:t>
            </w:r>
          </w:p>
        </w:tc>
        <w:tc>
          <w:tcPr>
            <w:tcW w:w="1668" w:type="dxa"/>
            <w:shd w:val="clear" w:color="auto" w:fill="auto"/>
            <w:tcMar>
              <w:top w:w="85" w:type="dxa"/>
              <w:bottom w:w="85" w:type="dxa"/>
            </w:tcMar>
          </w:tcPr>
          <w:p w14:paraId="3BFC8B17" w14:textId="77777777" w:rsidR="00B0686B" w:rsidRPr="009E064B" w:rsidRDefault="00B0686B" w:rsidP="002E1C59">
            <w:pPr>
              <w:spacing w:after="0"/>
              <w:jc w:val="center"/>
              <w:rPr>
                <w:rFonts w:asciiTheme="minorHAnsi" w:hAnsiTheme="minorHAnsi" w:cstheme="minorHAnsi"/>
              </w:rPr>
            </w:pPr>
            <w:r w:rsidRPr="009E064B">
              <w:rPr>
                <w:rFonts w:asciiTheme="minorHAnsi" w:hAnsiTheme="minorHAnsi" w:cstheme="minorHAnsi"/>
              </w:rPr>
              <w:t>1 800</w:t>
            </w:r>
          </w:p>
        </w:tc>
        <w:tc>
          <w:tcPr>
            <w:tcW w:w="1669" w:type="dxa"/>
            <w:shd w:val="clear" w:color="auto" w:fill="auto"/>
            <w:tcMar>
              <w:top w:w="85" w:type="dxa"/>
              <w:bottom w:w="85" w:type="dxa"/>
            </w:tcMar>
          </w:tcPr>
          <w:p w14:paraId="3D666CD9" w14:textId="77777777" w:rsidR="00B0686B" w:rsidRPr="009E064B" w:rsidRDefault="00B0686B" w:rsidP="002E1C59">
            <w:pPr>
              <w:spacing w:after="0"/>
              <w:jc w:val="center"/>
              <w:rPr>
                <w:rFonts w:asciiTheme="minorHAnsi" w:hAnsiTheme="minorHAnsi" w:cstheme="minorHAnsi"/>
              </w:rPr>
            </w:pPr>
            <w:r w:rsidRPr="009E064B">
              <w:rPr>
                <w:rFonts w:asciiTheme="minorHAnsi" w:hAnsiTheme="minorHAnsi" w:cstheme="minorHAnsi"/>
              </w:rPr>
              <w:t>1 800</w:t>
            </w:r>
          </w:p>
        </w:tc>
        <w:tc>
          <w:tcPr>
            <w:tcW w:w="1670" w:type="dxa"/>
            <w:shd w:val="clear" w:color="auto" w:fill="auto"/>
            <w:tcMar>
              <w:top w:w="85" w:type="dxa"/>
              <w:bottom w:w="85" w:type="dxa"/>
            </w:tcMar>
          </w:tcPr>
          <w:p w14:paraId="56334232" w14:textId="77777777" w:rsidR="00B0686B" w:rsidRPr="009E064B" w:rsidRDefault="00B0686B" w:rsidP="002E1C59">
            <w:pPr>
              <w:spacing w:after="0"/>
              <w:jc w:val="center"/>
              <w:rPr>
                <w:rFonts w:asciiTheme="minorHAnsi" w:hAnsiTheme="minorHAnsi" w:cstheme="minorHAnsi"/>
              </w:rPr>
            </w:pPr>
            <w:r w:rsidRPr="009E064B">
              <w:rPr>
                <w:rFonts w:asciiTheme="minorHAnsi" w:hAnsiTheme="minorHAnsi" w:cstheme="minorHAnsi"/>
              </w:rPr>
              <w:t>1 800</w:t>
            </w:r>
          </w:p>
        </w:tc>
        <w:tc>
          <w:tcPr>
            <w:tcW w:w="1669" w:type="dxa"/>
            <w:shd w:val="clear" w:color="auto" w:fill="auto"/>
            <w:tcMar>
              <w:top w:w="85" w:type="dxa"/>
              <w:bottom w:w="85" w:type="dxa"/>
            </w:tcMar>
          </w:tcPr>
          <w:p w14:paraId="360F586A" w14:textId="77777777" w:rsidR="00B0686B" w:rsidRPr="009E064B" w:rsidRDefault="00B0686B" w:rsidP="002E1C59">
            <w:pPr>
              <w:spacing w:after="0"/>
              <w:jc w:val="center"/>
              <w:rPr>
                <w:rFonts w:asciiTheme="minorHAnsi" w:hAnsiTheme="minorHAnsi" w:cstheme="minorHAnsi"/>
              </w:rPr>
            </w:pPr>
            <w:r w:rsidRPr="009E064B">
              <w:rPr>
                <w:rFonts w:asciiTheme="minorHAnsi" w:hAnsiTheme="minorHAnsi" w:cstheme="minorHAnsi"/>
              </w:rPr>
              <w:t>NU</w:t>
            </w:r>
          </w:p>
        </w:tc>
      </w:tr>
    </w:tbl>
    <w:p w14:paraId="2443255B" w14:textId="0C200CAC" w:rsidR="00B0686B" w:rsidRPr="009E064B" w:rsidRDefault="00B0686B" w:rsidP="00B003A7">
      <w:pPr>
        <w:tabs>
          <w:tab w:val="left" w:pos="567"/>
        </w:tabs>
        <w:spacing w:after="0"/>
        <w:ind w:left="567"/>
        <w:rPr>
          <w:rFonts w:asciiTheme="minorHAnsi" w:hAnsiTheme="minorHAnsi" w:cstheme="minorHAnsi"/>
        </w:rPr>
      </w:pPr>
    </w:p>
    <w:p w14:paraId="4492CB8C" w14:textId="55A82C49" w:rsidR="00B003A7" w:rsidRPr="007B1601" w:rsidRDefault="00B003A7" w:rsidP="007B1601">
      <w:pPr>
        <w:ind w:left="567"/>
        <w:jc w:val="center"/>
        <w:rPr>
          <w:rFonts w:asciiTheme="minorHAnsi" w:hAnsiTheme="minorHAnsi" w:cstheme="minorHAnsi"/>
          <w:b/>
          <w:sz w:val="20"/>
        </w:rPr>
      </w:pPr>
      <w:r w:rsidRPr="007B1601">
        <w:rPr>
          <w:rFonts w:asciiTheme="minorHAnsi" w:hAnsiTheme="minorHAnsi" w:cstheme="minorHAnsi"/>
          <w:b/>
          <w:sz w:val="20"/>
        </w:rPr>
        <w:t>Tabela 1</w:t>
      </w:r>
    </w:p>
    <w:p w14:paraId="02BEE19A" w14:textId="2FA732D6" w:rsidR="002E1C59" w:rsidRPr="009E064B" w:rsidRDefault="00B0686B" w:rsidP="00B003A7">
      <w:pPr>
        <w:tabs>
          <w:tab w:val="left" w:pos="567"/>
        </w:tabs>
        <w:spacing w:before="240"/>
        <w:ind w:left="567"/>
        <w:rPr>
          <w:rFonts w:asciiTheme="minorHAnsi" w:hAnsiTheme="minorHAnsi" w:cstheme="minorHAnsi"/>
        </w:rPr>
      </w:pPr>
      <w:r w:rsidRPr="009E064B">
        <w:rPr>
          <w:rFonts w:asciiTheme="minorHAnsi" w:hAnsiTheme="minorHAnsi" w:cstheme="minorHAnsi"/>
        </w:rPr>
        <w:t>Jeżeli dany kierunek drogi startowej nie jest wykorzystywany do startu lub lądowania, albo jest to zabronione ze względów operacyjnych, wówczas powinno być opublikowane wyrażenie „</w:t>
      </w:r>
      <w:r w:rsidRPr="009E064B">
        <w:rPr>
          <w:rFonts w:asciiTheme="minorHAnsi" w:hAnsiTheme="minorHAnsi" w:cstheme="minorHAnsi"/>
          <w:i/>
        </w:rPr>
        <w:t>not usable</w:t>
      </w:r>
      <w:r w:rsidRPr="009E064B">
        <w:rPr>
          <w:rFonts w:asciiTheme="minorHAnsi" w:hAnsiTheme="minorHAnsi" w:cstheme="minorHAnsi"/>
        </w:rPr>
        <w:t>” (nienadająca się do użytku) lub skrót „NU”.</w:t>
      </w:r>
      <w:r w:rsidR="00B003A7" w:rsidRPr="009E064B">
        <w:rPr>
          <w:rFonts w:asciiTheme="minorHAnsi" w:hAnsiTheme="minorHAnsi" w:cstheme="minorHAnsi"/>
        </w:rPr>
        <w:t xml:space="preserve"> </w:t>
      </w:r>
      <w:r w:rsidR="002E1C59" w:rsidRPr="009E064B">
        <w:rPr>
          <w:rFonts w:asciiTheme="minorHAnsi" w:hAnsiTheme="minorHAnsi" w:cstheme="minorHAnsi"/>
        </w:rPr>
        <w:br w:type="page"/>
      </w:r>
    </w:p>
    <w:p w14:paraId="6FE17608" w14:textId="32809D3C"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Jeżeli wykonywane są starty ze skrzyżowania, to linia odniesienia od której określane są zmniejszone długości deklarowane do startu powinna być określona przez przecięcie krawędzi do pozycji z wiatrem, jak to pokazano na rysunku poniżej:</w:t>
      </w:r>
    </w:p>
    <w:p w14:paraId="377A0DBD" w14:textId="77777777" w:rsidR="00B0686B" w:rsidRPr="009E064B" w:rsidRDefault="00B0686B" w:rsidP="00B06A9A">
      <w:pPr>
        <w:pStyle w:val="Akapitzlist"/>
        <w:ind w:left="360"/>
        <w:rPr>
          <w:rFonts w:asciiTheme="minorHAnsi" w:hAnsiTheme="minorHAnsi" w:cstheme="minorHAnsi"/>
        </w:rPr>
      </w:pPr>
    </w:p>
    <w:p w14:paraId="606DEDBD" w14:textId="77777777" w:rsidR="00B0686B" w:rsidRPr="009E064B" w:rsidRDefault="00B0686B" w:rsidP="00286050">
      <w:pPr>
        <w:ind w:left="142"/>
        <w:jc w:val="left"/>
        <w:rPr>
          <w:rFonts w:asciiTheme="minorHAnsi" w:hAnsiTheme="minorHAnsi" w:cstheme="minorHAnsi"/>
        </w:rPr>
      </w:pPr>
      <w:r w:rsidRPr="009E064B">
        <w:rPr>
          <w:rFonts w:asciiTheme="minorHAnsi" w:hAnsiTheme="minorHAnsi" w:cstheme="minorHAnsi"/>
          <w:noProof/>
          <w:lang w:eastAsia="pl-PL"/>
        </w:rPr>
        <mc:AlternateContent>
          <mc:Choice Requires="wpg">
            <w:drawing>
              <wp:anchor distT="0" distB="0" distL="114300" distR="114300" simplePos="0" relativeHeight="251653120" behindDoc="0" locked="1" layoutInCell="1" allowOverlap="1" wp14:anchorId="7992701A" wp14:editId="5D7EDFC3">
                <wp:simplePos x="0" y="0"/>
                <wp:positionH relativeFrom="column">
                  <wp:posOffset>1489075</wp:posOffset>
                </wp:positionH>
                <wp:positionV relativeFrom="paragraph">
                  <wp:posOffset>139700</wp:posOffset>
                </wp:positionV>
                <wp:extent cx="4411980" cy="803275"/>
                <wp:effectExtent l="0" t="0" r="0" b="0"/>
                <wp:wrapNone/>
                <wp:docPr id="1213"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1980" cy="803275"/>
                          <a:chOff x="3768" y="5580"/>
                          <a:chExt cx="6948" cy="1265"/>
                        </a:xfrm>
                      </wpg:grpSpPr>
                      <wps:wsp>
                        <wps:cNvPr id="1214" name="Text Box 518"/>
                        <wps:cNvSpPr txBox="1">
                          <a:spLocks noChangeArrowheads="1"/>
                        </wps:cNvSpPr>
                        <wps:spPr bwMode="auto">
                          <a:xfrm>
                            <a:off x="3768" y="5580"/>
                            <a:ext cx="2310"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2124F" w14:textId="77777777" w:rsidR="003832F2" w:rsidRPr="00151E7B" w:rsidRDefault="003832F2" w:rsidP="00850DB9">
                              <w:pPr>
                                <w:spacing w:after="0" w:line="288" w:lineRule="auto"/>
                                <w:jc w:val="center"/>
                                <w:rPr>
                                  <w:sz w:val="18"/>
                                  <w:szCs w:val="16"/>
                                </w:rPr>
                              </w:pPr>
                              <w:r w:rsidRPr="00151E7B">
                                <w:rPr>
                                  <w:sz w:val="18"/>
                                  <w:szCs w:val="16"/>
                                </w:rPr>
                                <w:t>Linia odniesienia dla</w:t>
                              </w:r>
                            </w:p>
                            <w:p w14:paraId="1EF53DFD" w14:textId="77777777" w:rsidR="003832F2" w:rsidRPr="00151E7B" w:rsidRDefault="003832F2" w:rsidP="00850DB9">
                              <w:pPr>
                                <w:spacing w:after="0" w:line="288" w:lineRule="auto"/>
                                <w:jc w:val="center"/>
                                <w:rPr>
                                  <w:sz w:val="18"/>
                                  <w:szCs w:val="16"/>
                                </w:rPr>
                              </w:pPr>
                              <w:r w:rsidRPr="00151E7B">
                                <w:rPr>
                                  <w:sz w:val="18"/>
                                  <w:szCs w:val="16"/>
                                </w:rPr>
                                <w:t>długości deklarowanych</w:t>
                              </w:r>
                            </w:p>
                          </w:txbxContent>
                        </wps:txbx>
                        <wps:bodyPr rot="0" vert="horz" wrap="square" lIns="91440" tIns="45720" rIns="91440" bIns="45720" anchor="t" anchorCtr="0" upright="1">
                          <a:noAutofit/>
                        </wps:bodyPr>
                      </wps:wsp>
                      <wps:wsp>
                        <wps:cNvPr id="1215" name="Text Box 519"/>
                        <wps:cNvSpPr txBox="1">
                          <a:spLocks noChangeArrowheads="1"/>
                        </wps:cNvSpPr>
                        <wps:spPr bwMode="auto">
                          <a:xfrm>
                            <a:off x="8406" y="6209"/>
                            <a:ext cx="2310" cy="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46C32" w14:textId="77777777" w:rsidR="003832F2" w:rsidRPr="00151E7B" w:rsidRDefault="003832F2" w:rsidP="00850DB9">
                              <w:pPr>
                                <w:spacing w:after="0" w:line="288" w:lineRule="auto"/>
                                <w:jc w:val="center"/>
                                <w:rPr>
                                  <w:sz w:val="18"/>
                                  <w:szCs w:val="16"/>
                                </w:rPr>
                              </w:pPr>
                              <w:r w:rsidRPr="00151E7B">
                                <w:rPr>
                                  <w:sz w:val="18"/>
                                  <w:szCs w:val="16"/>
                                </w:rPr>
                                <w:t>Linia odniesienia dla</w:t>
                              </w:r>
                            </w:p>
                            <w:p w14:paraId="5627999F" w14:textId="77777777" w:rsidR="003832F2" w:rsidRPr="00151E7B" w:rsidRDefault="003832F2" w:rsidP="00850DB9">
                              <w:pPr>
                                <w:spacing w:after="0" w:line="288" w:lineRule="auto"/>
                                <w:jc w:val="center"/>
                                <w:rPr>
                                  <w:sz w:val="18"/>
                                  <w:szCs w:val="16"/>
                                </w:rPr>
                              </w:pPr>
                              <w:r w:rsidRPr="00151E7B">
                                <w:rPr>
                                  <w:sz w:val="18"/>
                                  <w:szCs w:val="16"/>
                                </w:rPr>
                                <w:t>długości deklarowanych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992701A" id="Group 517" o:spid="_x0000_s1027" style="position:absolute;left:0;text-align:left;margin-left:117.25pt;margin-top:11pt;width:347.4pt;height:63.25pt;z-index:251653120" coordorigin="3768,5580" coordsize="6948,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">
                <v:shape id="Text Box 518" o:spid="_x0000_s1028" type="#_x0000_t202" style="position:absolute;left:3768;top:5580;width:231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5F32124F" w14:textId="77777777" w:rsidR="003832F2" w:rsidRPr="00151E7B" w:rsidRDefault="003832F2" w:rsidP="00850DB9">
                        <w:pPr>
                          <w:spacing w:after="0" w:line="288" w:lineRule="auto"/>
                          <w:jc w:val="center"/>
                          <w:rPr>
                            <w:sz w:val="18"/>
                            <w:szCs w:val="16"/>
                          </w:rPr>
                        </w:pPr>
                        <w:r w:rsidRPr="00151E7B">
                          <w:rPr>
                            <w:sz w:val="18"/>
                            <w:szCs w:val="16"/>
                          </w:rPr>
                          <w:t>Linia odniesienia dla</w:t>
                        </w:r>
                      </w:p>
                      <w:p w14:paraId="1EF53DFD" w14:textId="77777777" w:rsidR="003832F2" w:rsidRPr="00151E7B" w:rsidRDefault="003832F2" w:rsidP="00850DB9">
                        <w:pPr>
                          <w:spacing w:after="0" w:line="288" w:lineRule="auto"/>
                          <w:jc w:val="center"/>
                          <w:rPr>
                            <w:sz w:val="18"/>
                            <w:szCs w:val="16"/>
                          </w:rPr>
                        </w:pPr>
                        <w:r w:rsidRPr="00151E7B">
                          <w:rPr>
                            <w:sz w:val="18"/>
                            <w:szCs w:val="16"/>
                          </w:rPr>
                          <w:t>długości deklarowanych</w:t>
                        </w:r>
                      </w:p>
                    </w:txbxContent>
                  </v:textbox>
                </v:shape>
                <v:shape id="Text Box 519" o:spid="_x0000_s1029" type="#_x0000_t202" style="position:absolute;left:8406;top:6209;width:2310;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" filled="f" stroked="f">
                  <v:textbox>
                    <w:txbxContent>
                      <w:p w14:paraId="60346C32" w14:textId="77777777" w:rsidR="003832F2" w:rsidRPr="00151E7B" w:rsidRDefault="003832F2" w:rsidP="00850DB9">
                        <w:pPr>
                          <w:spacing w:after="0" w:line="288" w:lineRule="auto"/>
                          <w:jc w:val="center"/>
                          <w:rPr>
                            <w:sz w:val="18"/>
                            <w:szCs w:val="16"/>
                          </w:rPr>
                        </w:pPr>
                        <w:r w:rsidRPr="00151E7B">
                          <w:rPr>
                            <w:sz w:val="18"/>
                            <w:szCs w:val="16"/>
                          </w:rPr>
                          <w:t>Linia odniesienia dla</w:t>
                        </w:r>
                      </w:p>
                      <w:p w14:paraId="5627999F" w14:textId="77777777" w:rsidR="003832F2" w:rsidRPr="00151E7B" w:rsidRDefault="003832F2" w:rsidP="00850DB9">
                        <w:pPr>
                          <w:spacing w:after="0" w:line="288" w:lineRule="auto"/>
                          <w:jc w:val="center"/>
                          <w:rPr>
                            <w:sz w:val="18"/>
                            <w:szCs w:val="16"/>
                          </w:rPr>
                        </w:pPr>
                        <w:r w:rsidRPr="00151E7B">
                          <w:rPr>
                            <w:sz w:val="18"/>
                            <w:szCs w:val="16"/>
                          </w:rPr>
                          <w:t>długości deklarowanych</w:t>
                        </w:r>
                      </w:p>
                    </w:txbxContent>
                  </v:textbox>
                </v:shape>
                <w10:anchorlock/>
              </v:group>
            </w:pict>
          </mc:Fallback>
        </mc:AlternateContent>
      </w:r>
      <w:r w:rsidRPr="009E064B">
        <w:rPr>
          <w:rFonts w:asciiTheme="minorHAnsi" w:hAnsiTheme="minorHAnsi" w:cstheme="minorHAnsi"/>
          <w:noProof/>
          <w:lang w:eastAsia="pl-PL"/>
        </w:rPr>
        <w:drawing>
          <wp:inline distT="0" distB="0" distL="0" distR="0" wp14:anchorId="133E6FA3" wp14:editId="675B177A">
            <wp:extent cx="5535168" cy="1843405"/>
            <wp:effectExtent l="0" t="0" r="8890" b="4445"/>
            <wp:docPr id="1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75"/>
                    <a:srcRect/>
                    <a:stretch>
                      <a:fillRect/>
                    </a:stretch>
                  </pic:blipFill>
                  <pic:spPr bwMode="auto">
                    <a:xfrm>
                      <a:off x="0" y="0"/>
                      <a:ext cx="5574149" cy="1856387"/>
                    </a:xfrm>
                    <a:prstGeom prst="rect">
                      <a:avLst/>
                    </a:prstGeom>
                    <a:noFill/>
                    <a:ln w="9525">
                      <a:noFill/>
                      <a:miter lim="800000"/>
                      <a:headEnd/>
                      <a:tailEnd/>
                    </a:ln>
                  </pic:spPr>
                </pic:pic>
              </a:graphicData>
            </a:graphic>
          </wp:inline>
        </w:drawing>
      </w:r>
    </w:p>
    <w:p w14:paraId="744662F1" w14:textId="77777777" w:rsidR="00B0686B" w:rsidRPr="007B1601" w:rsidRDefault="00B0686B" w:rsidP="007B1601">
      <w:pPr>
        <w:ind w:left="567"/>
        <w:jc w:val="center"/>
        <w:rPr>
          <w:rFonts w:asciiTheme="minorHAnsi" w:hAnsiTheme="minorHAnsi" w:cstheme="minorHAnsi"/>
          <w:b/>
          <w:sz w:val="20"/>
        </w:rPr>
      </w:pPr>
      <w:r w:rsidRPr="002C4C40">
        <w:rPr>
          <w:rFonts w:asciiTheme="minorHAnsi" w:hAnsiTheme="minorHAnsi" w:cstheme="minorHAnsi"/>
          <w:b/>
          <w:sz w:val="20"/>
        </w:rPr>
        <w:t xml:space="preserve">Rysunek 7 </w:t>
      </w:r>
    </w:p>
    <w:p w14:paraId="4B4EBE59" w14:textId="77777777" w:rsidR="00B0686B" w:rsidRPr="009E064B" w:rsidRDefault="00B0686B" w:rsidP="00B06A9A">
      <w:pPr>
        <w:jc w:val="left"/>
        <w:rPr>
          <w:rFonts w:asciiTheme="minorHAnsi" w:hAnsiTheme="minorHAnsi" w:cstheme="minorHAnsi"/>
        </w:rPr>
      </w:pPr>
    </w:p>
    <w:p w14:paraId="26E92D7B"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STAN POLA RUCHU NAZIEMNEGO I URZĄDZEŃ Z NIM ZWIĄZANYCH</w:t>
      </w:r>
    </w:p>
    <w:p w14:paraId="5A8296A8"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Stan pola ruchu naziemnego i status operacyjny urządzeń z nim związanych powinien być monitorowany i raportowany w zakresie spraw o znaczeniu operacyjnym, które mają wpływ na statki powietrzne i operacje lotniskowe, i dotyczą w szczególności:</w:t>
      </w:r>
    </w:p>
    <w:p w14:paraId="5EDA961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prac budowlanych lub prac związanych z utrzymaniem i obsługą techniczną lotniska;</w:t>
      </w:r>
    </w:p>
    <w:p w14:paraId="02BD52F1"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nierówności lub uszkodzonych części nawierzchni drogi startowej, drogi kołowania lub płyty postojowej;</w:t>
      </w:r>
    </w:p>
    <w:p w14:paraId="3423A5D1"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obecności śniegu, błota pośniegowego, lodu lub szronu na drodze startowej, drodze kołowania lub płycie postojowej;</w:t>
      </w:r>
    </w:p>
    <w:p w14:paraId="569D1A9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obecności wody na drodze startowej, drodze kołowania lub płycie postojowej;</w:t>
      </w:r>
    </w:p>
    <w:p w14:paraId="641217A0"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zwałowisk lub zasp śnieżnych w pobliżu drogi startowej, drogi kołowania lub płyty postojowej;</w:t>
      </w:r>
    </w:p>
    <w:p w14:paraId="2521503C"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(f) </w:t>
      </w:r>
      <w:r w:rsidRPr="009E064B">
        <w:rPr>
          <w:rFonts w:asciiTheme="minorHAnsi" w:hAnsiTheme="minorHAnsi" w:cstheme="minorHAnsi"/>
        </w:rPr>
        <w:tab/>
        <w:t>obecności płynnych substancji chemicznych do usuwania oblodzenia lub zapobiegania oblodzeniu lub innych zanieczyszczeń na drodze startowej, drodze kołowania lub na płycie postojowej;</w:t>
      </w:r>
    </w:p>
    <w:p w14:paraId="0A0FD1FC"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(g) </w:t>
      </w:r>
      <w:r w:rsidRPr="009E064B">
        <w:rPr>
          <w:rFonts w:asciiTheme="minorHAnsi" w:hAnsiTheme="minorHAnsi" w:cstheme="minorHAnsi"/>
        </w:rPr>
        <w:tab/>
        <w:t>innych tymczasowych zagrożeń, w tym zaparkowanych statków powietrznych;</w:t>
      </w:r>
    </w:p>
    <w:p w14:paraId="1BF76F44"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(h) </w:t>
      </w:r>
      <w:r w:rsidRPr="009E064B">
        <w:rPr>
          <w:rFonts w:asciiTheme="minorHAnsi" w:hAnsiTheme="minorHAnsi" w:cstheme="minorHAnsi"/>
        </w:rPr>
        <w:tab/>
        <w:t>awarii lub nieprawidłowości działania części lub wszystkich pomocy wzrokowych lotniska;</w:t>
      </w:r>
    </w:p>
    <w:p w14:paraId="7E743873"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awarii podstawowego lub rezerwowego źródła zasilania w energię elektryczną.</w:t>
      </w:r>
    </w:p>
    <w:p w14:paraId="4BA68F2F" w14:textId="77777777" w:rsidR="00B0686B" w:rsidRPr="009E064B" w:rsidRDefault="00B0686B" w:rsidP="00B003A7">
      <w:pPr>
        <w:spacing w:before="240"/>
        <w:rPr>
          <w:rFonts w:asciiTheme="minorHAnsi" w:hAnsiTheme="minorHAnsi" w:cstheme="minorHAnsi"/>
        </w:rPr>
      </w:pPr>
      <w:r w:rsidRPr="009E064B">
        <w:rPr>
          <w:rFonts w:asciiTheme="minorHAnsi" w:hAnsiTheme="minorHAnsi" w:cstheme="minorHAnsi"/>
        </w:rPr>
        <w:t>Woda na drodze startowej</w:t>
      </w:r>
    </w:p>
    <w:p w14:paraId="4FCFDE35"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Jeżeli kiedykolwiek na drodze startowej pojawi się woda, powinno się podawać opis stanu powierzchni tej drogi przy pomocy następujących określeń:</w:t>
      </w:r>
    </w:p>
    <w:p w14:paraId="748C72D0"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WILGOTNA – powierzchnia zmieniła barwę wskutek zawilgocenia;</w:t>
      </w:r>
    </w:p>
    <w:p w14:paraId="4B1D946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MOKRA – powierzchnia jest nasiąknięta wodą, lecz nie posiada rozlewisk wody;</w:t>
      </w:r>
    </w:p>
    <w:p w14:paraId="48D39447"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STOJĄCA WODA – dla celów związanych z osiągami samolotów, droga startowa, na której ponad 25% obszaru nawierzchni drogi startowej (niezależnie od tego czy znajduje się na obszarach izolowanych czy też nie) w ramach wymaganej długości i szerokości, jaka jest wykorzystywana, pokryte jest wodą o głębokości większej niż 3 mm.</w:t>
      </w:r>
    </w:p>
    <w:p w14:paraId="77EC459A"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Informacje o tym, że droga startowa lub jej część może być śliska, gdy jest mokra, powinny być udostępnione użytkownikom lotniska.</w:t>
      </w:r>
    </w:p>
    <w:p w14:paraId="3E370EAB" w14:textId="77777777" w:rsidR="00B0686B" w:rsidRPr="009E064B" w:rsidRDefault="00B0686B" w:rsidP="00B003A7">
      <w:pPr>
        <w:spacing w:before="240"/>
        <w:rPr>
          <w:rFonts w:asciiTheme="minorHAnsi" w:hAnsiTheme="minorHAnsi" w:cstheme="minorHAnsi"/>
        </w:rPr>
      </w:pPr>
      <w:r w:rsidRPr="009E064B">
        <w:rPr>
          <w:rFonts w:asciiTheme="minorHAnsi" w:hAnsiTheme="minorHAnsi" w:cstheme="minorHAnsi"/>
        </w:rPr>
        <w:t>Śnieg, błoto pośniegowe, lód lub szron na drodze startowej</w:t>
      </w:r>
    </w:p>
    <w:p w14:paraId="613A9B59"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Kiedykolwiek droga startowa będąca w użyciu jest zanieczyszczona przez śnieg, błoto pośniegowe, lód lub szron to stan jej powinien być oceniony i raportowany. Ocena stanu nawierzchni drogi startowej powinna być powtarzana przy zmianie warunków.</w:t>
      </w:r>
    </w:p>
    <w:p w14:paraId="20668E62" w14:textId="02027570"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 xml:space="preserve">Ocenie powinny podlegać: rodzaj zanieczyszczeń, ich rozmieszczenie, a dla luźnych zanieczyszczeń, głębokość dla każdej </w:t>
      </w:r>
      <w:r w:rsidR="00B003A7" w:rsidRPr="009E064B">
        <w:rPr>
          <w:rFonts w:asciiTheme="minorHAnsi" w:hAnsiTheme="minorHAnsi" w:cstheme="minorHAnsi"/>
        </w:rPr>
        <w:t>jednej trzeciej</w:t>
      </w:r>
      <w:r w:rsidRPr="009E064B">
        <w:rPr>
          <w:rFonts w:asciiTheme="minorHAnsi" w:hAnsiTheme="minorHAnsi" w:cstheme="minorHAnsi"/>
        </w:rPr>
        <w:t xml:space="preserve"> części drogi startowej. Określenie charakterystyk tarcia nawierzchni jest pomocne w prowadzeniu oceny stanu drogi startowej, jednak należy zachować ostrożność podczas korelacji wyników uzyskanych przez urządzenia do pomiaru tarcia z osiągami statków powietrznych. Dodatkowo, w odniesieniu do zanieczyszczeń takich jak błoto pośniegowe, mokry śnieg i mokry lód, opór zanieczyszczeń wywierany na koło sprzętu pomiarowego, obok innych czynników, może powodować, że odczyty uzyskane w tych warunkach będą niewiarygodne.</w:t>
      </w:r>
    </w:p>
    <w:p w14:paraId="1971126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Ocena tarcia nawierzchni drogi startowej powinna być wykonana w formie opisowej „przewidywanego tarcia nawierzchni”. Przewidywane tarcie nawierzchni powinno zostać sklasyfikowane, jako dobre, średnie do dobrego, średnie, średnie do złego, złe, i zostać opublikowane w formie SNOWTAM</w:t>
      </w:r>
      <w:r w:rsidR="00850DB9" w:rsidRPr="009E064B">
        <w:rPr>
          <w:rFonts w:asciiTheme="minorHAnsi" w:hAnsiTheme="minorHAnsi" w:cstheme="minorHAnsi"/>
        </w:rPr>
        <w:t>,</w:t>
      </w:r>
      <w:r w:rsidRPr="009E064B">
        <w:rPr>
          <w:rFonts w:asciiTheme="minorHAnsi" w:hAnsiTheme="minorHAnsi" w:cstheme="minorHAnsi"/>
        </w:rPr>
        <w:t xml:space="preserve"> jak również przy użyciu odpowiedniej frazeologii RTF.</w:t>
      </w:r>
    </w:p>
    <w:p w14:paraId="21DBDA3A" w14:textId="5163775B" w:rsidR="00B0686B" w:rsidRPr="009E064B" w:rsidRDefault="00B0686B" w:rsidP="00BF1E20">
      <w:pPr>
        <w:tabs>
          <w:tab w:val="left" w:pos="567"/>
        </w:tabs>
        <w:spacing w:after="360"/>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Przewidywane tarcie nawierzchni, w oparciu o zmierzony współczynnik, gdy droga startowa pokryta jest ubitym śniegiem albo tylko lodem, może b</w:t>
      </w:r>
      <w:r w:rsidR="00F36957" w:rsidRPr="009E064B">
        <w:rPr>
          <w:rFonts w:asciiTheme="minorHAnsi" w:hAnsiTheme="minorHAnsi" w:cstheme="minorHAnsi"/>
        </w:rPr>
        <w:t>yć podawane zgodnie z poniższą T</w:t>
      </w:r>
      <w:r w:rsidRPr="009E064B">
        <w:rPr>
          <w:rFonts w:asciiTheme="minorHAnsi" w:hAnsiTheme="minorHAnsi" w:cstheme="minorHAnsi"/>
        </w:rPr>
        <w:t>abelą, przy czym wartości te mogą różnić się w zależności od rodzaju urządzenia do pomiaru tarcia, jak również powierzchni, która jest mierzona i przyjętej prędkości:</w:t>
      </w:r>
    </w:p>
    <w:tbl>
      <w:tblPr>
        <w:tblW w:w="453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firstRow="1" w:lastRow="0" w:firstColumn="1" w:lastColumn="0" w:noHBand="0" w:noVBand="0"/>
      </w:tblPr>
      <w:tblGrid>
        <w:gridCol w:w="3337"/>
        <w:gridCol w:w="3638"/>
        <w:gridCol w:w="1453"/>
      </w:tblGrid>
      <w:tr w:rsidR="00B0686B" w:rsidRPr="009E064B" w14:paraId="587992E5" w14:textId="77777777" w:rsidTr="00151E7B">
        <w:trPr>
          <w:jc w:val="right"/>
        </w:trPr>
        <w:tc>
          <w:tcPr>
            <w:tcW w:w="1980" w:type="pct"/>
            <w:tcMar>
              <w:top w:w="85" w:type="dxa"/>
              <w:bottom w:w="85" w:type="dxa"/>
            </w:tcMar>
            <w:vAlign w:val="center"/>
          </w:tcPr>
          <w:p w14:paraId="0A4FB0A0" w14:textId="525AD6C6" w:rsidR="00B0686B" w:rsidRPr="009E064B" w:rsidRDefault="00B0686B" w:rsidP="00151E7B">
            <w:pPr>
              <w:spacing w:after="0"/>
              <w:jc w:val="center"/>
              <w:rPr>
                <w:rFonts w:asciiTheme="minorHAnsi" w:hAnsiTheme="minorHAnsi" w:cstheme="minorHAnsi"/>
                <w:b/>
              </w:rPr>
            </w:pPr>
            <w:r w:rsidRPr="009E064B">
              <w:rPr>
                <w:rFonts w:asciiTheme="minorHAnsi" w:hAnsiTheme="minorHAnsi" w:cstheme="minorHAnsi"/>
                <w:b/>
              </w:rPr>
              <w:t>Współczynnik zmierzony (μ)</w:t>
            </w:r>
          </w:p>
        </w:tc>
        <w:tc>
          <w:tcPr>
            <w:tcW w:w="2158" w:type="pct"/>
            <w:tcMar>
              <w:top w:w="85" w:type="dxa"/>
              <w:bottom w:w="85" w:type="dxa"/>
            </w:tcMar>
            <w:vAlign w:val="center"/>
          </w:tcPr>
          <w:p w14:paraId="2E379D87"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Przewidywane tarcie nawierzchni</w:t>
            </w:r>
          </w:p>
        </w:tc>
        <w:tc>
          <w:tcPr>
            <w:tcW w:w="862" w:type="pct"/>
            <w:tcMar>
              <w:top w:w="85" w:type="dxa"/>
              <w:bottom w:w="85" w:type="dxa"/>
            </w:tcMar>
            <w:vAlign w:val="center"/>
          </w:tcPr>
          <w:p w14:paraId="26A30EC0"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Cyfra kodu</w:t>
            </w:r>
          </w:p>
        </w:tc>
      </w:tr>
      <w:tr w:rsidR="00B0686B" w:rsidRPr="009E064B" w14:paraId="7D3BCC20" w14:textId="77777777" w:rsidTr="00151E7B">
        <w:trPr>
          <w:jc w:val="right"/>
        </w:trPr>
        <w:tc>
          <w:tcPr>
            <w:tcW w:w="1980" w:type="pct"/>
            <w:tcMar>
              <w:top w:w="85" w:type="dxa"/>
              <w:bottom w:w="85" w:type="dxa"/>
            </w:tcMar>
          </w:tcPr>
          <w:p w14:paraId="4B054F68"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0.40 i więcej</w:t>
            </w:r>
          </w:p>
        </w:tc>
        <w:tc>
          <w:tcPr>
            <w:tcW w:w="2158" w:type="pct"/>
            <w:tcMar>
              <w:top w:w="85" w:type="dxa"/>
              <w:bottom w:w="85" w:type="dxa"/>
            </w:tcMar>
          </w:tcPr>
          <w:p w14:paraId="25C4180F"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Dobre</w:t>
            </w:r>
          </w:p>
        </w:tc>
        <w:tc>
          <w:tcPr>
            <w:tcW w:w="862" w:type="pct"/>
            <w:tcMar>
              <w:top w:w="85" w:type="dxa"/>
              <w:bottom w:w="85" w:type="dxa"/>
            </w:tcMar>
            <w:vAlign w:val="center"/>
          </w:tcPr>
          <w:p w14:paraId="6EDBB1AA"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5</w:t>
            </w:r>
          </w:p>
        </w:tc>
      </w:tr>
      <w:tr w:rsidR="00B0686B" w:rsidRPr="009E064B" w14:paraId="0C920DC2" w14:textId="77777777" w:rsidTr="00151E7B">
        <w:trPr>
          <w:jc w:val="right"/>
        </w:trPr>
        <w:tc>
          <w:tcPr>
            <w:tcW w:w="1980" w:type="pct"/>
            <w:tcMar>
              <w:top w:w="85" w:type="dxa"/>
              <w:bottom w:w="85" w:type="dxa"/>
            </w:tcMar>
          </w:tcPr>
          <w:p w14:paraId="7A12F41D"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0.39 do 0.36</w:t>
            </w:r>
          </w:p>
        </w:tc>
        <w:tc>
          <w:tcPr>
            <w:tcW w:w="2158" w:type="pct"/>
            <w:tcMar>
              <w:top w:w="85" w:type="dxa"/>
              <w:bottom w:w="85" w:type="dxa"/>
            </w:tcMar>
          </w:tcPr>
          <w:p w14:paraId="442BEC8E"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Średnie do dobrego</w:t>
            </w:r>
          </w:p>
        </w:tc>
        <w:tc>
          <w:tcPr>
            <w:tcW w:w="862" w:type="pct"/>
            <w:tcMar>
              <w:top w:w="85" w:type="dxa"/>
              <w:bottom w:w="85" w:type="dxa"/>
            </w:tcMar>
            <w:vAlign w:val="center"/>
          </w:tcPr>
          <w:p w14:paraId="641ECC5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4</w:t>
            </w:r>
          </w:p>
        </w:tc>
      </w:tr>
      <w:tr w:rsidR="00B0686B" w:rsidRPr="009E064B" w14:paraId="6A8D683E" w14:textId="77777777" w:rsidTr="00151E7B">
        <w:trPr>
          <w:jc w:val="right"/>
        </w:trPr>
        <w:tc>
          <w:tcPr>
            <w:tcW w:w="1980" w:type="pct"/>
            <w:tcMar>
              <w:top w:w="85" w:type="dxa"/>
              <w:bottom w:w="85" w:type="dxa"/>
            </w:tcMar>
          </w:tcPr>
          <w:p w14:paraId="5A26916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0.35 do 0.30</w:t>
            </w:r>
          </w:p>
        </w:tc>
        <w:tc>
          <w:tcPr>
            <w:tcW w:w="2158" w:type="pct"/>
            <w:tcMar>
              <w:top w:w="85" w:type="dxa"/>
              <w:bottom w:w="85" w:type="dxa"/>
            </w:tcMar>
          </w:tcPr>
          <w:p w14:paraId="14A44880"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Średnie</w:t>
            </w:r>
          </w:p>
        </w:tc>
        <w:tc>
          <w:tcPr>
            <w:tcW w:w="862" w:type="pct"/>
            <w:tcMar>
              <w:top w:w="85" w:type="dxa"/>
              <w:bottom w:w="85" w:type="dxa"/>
            </w:tcMar>
            <w:vAlign w:val="center"/>
          </w:tcPr>
          <w:p w14:paraId="7D7E1F8D"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3</w:t>
            </w:r>
          </w:p>
        </w:tc>
      </w:tr>
      <w:tr w:rsidR="00B0686B" w:rsidRPr="009E064B" w14:paraId="55EEAEE9" w14:textId="77777777" w:rsidTr="00151E7B">
        <w:trPr>
          <w:jc w:val="right"/>
        </w:trPr>
        <w:tc>
          <w:tcPr>
            <w:tcW w:w="1980" w:type="pct"/>
            <w:tcMar>
              <w:top w:w="85" w:type="dxa"/>
              <w:bottom w:w="85" w:type="dxa"/>
            </w:tcMar>
          </w:tcPr>
          <w:p w14:paraId="4DE514D3"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0.29 do 0.26</w:t>
            </w:r>
          </w:p>
        </w:tc>
        <w:tc>
          <w:tcPr>
            <w:tcW w:w="2158" w:type="pct"/>
            <w:tcMar>
              <w:top w:w="85" w:type="dxa"/>
              <w:bottom w:w="85" w:type="dxa"/>
            </w:tcMar>
          </w:tcPr>
          <w:p w14:paraId="685CB79E"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Średnie do złego</w:t>
            </w:r>
          </w:p>
        </w:tc>
        <w:tc>
          <w:tcPr>
            <w:tcW w:w="862" w:type="pct"/>
            <w:tcMar>
              <w:top w:w="85" w:type="dxa"/>
              <w:bottom w:w="85" w:type="dxa"/>
            </w:tcMar>
            <w:vAlign w:val="center"/>
          </w:tcPr>
          <w:p w14:paraId="47FD27DA"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2</w:t>
            </w:r>
          </w:p>
        </w:tc>
      </w:tr>
      <w:tr w:rsidR="00B0686B" w:rsidRPr="009E064B" w14:paraId="4B390683" w14:textId="77777777" w:rsidTr="00151E7B">
        <w:trPr>
          <w:jc w:val="right"/>
        </w:trPr>
        <w:tc>
          <w:tcPr>
            <w:tcW w:w="1980" w:type="pct"/>
            <w:tcMar>
              <w:top w:w="85" w:type="dxa"/>
              <w:bottom w:w="85" w:type="dxa"/>
            </w:tcMar>
          </w:tcPr>
          <w:p w14:paraId="40B8FCE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0.25 i poniżej</w:t>
            </w:r>
          </w:p>
        </w:tc>
        <w:tc>
          <w:tcPr>
            <w:tcW w:w="2158" w:type="pct"/>
            <w:tcMar>
              <w:top w:w="85" w:type="dxa"/>
              <w:bottom w:w="85" w:type="dxa"/>
            </w:tcMar>
          </w:tcPr>
          <w:p w14:paraId="13CA3495"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Złe</w:t>
            </w:r>
          </w:p>
        </w:tc>
        <w:tc>
          <w:tcPr>
            <w:tcW w:w="862" w:type="pct"/>
            <w:shd w:val="clear" w:color="auto" w:fill="auto"/>
            <w:tcMar>
              <w:top w:w="85" w:type="dxa"/>
              <w:bottom w:w="85" w:type="dxa"/>
            </w:tcMar>
            <w:vAlign w:val="center"/>
          </w:tcPr>
          <w:p w14:paraId="4F5000BC"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1</w:t>
            </w:r>
          </w:p>
        </w:tc>
      </w:tr>
    </w:tbl>
    <w:p w14:paraId="0D0987C3" w14:textId="77777777" w:rsidR="007B1601" w:rsidRDefault="007B1601" w:rsidP="007B1601">
      <w:pPr>
        <w:ind w:left="567"/>
        <w:jc w:val="center"/>
        <w:rPr>
          <w:rFonts w:asciiTheme="minorHAnsi" w:hAnsiTheme="minorHAnsi" w:cstheme="minorHAnsi"/>
          <w:b/>
          <w:sz w:val="20"/>
        </w:rPr>
      </w:pPr>
    </w:p>
    <w:p w14:paraId="65BB9DBD" w14:textId="53555E25" w:rsidR="00B0686B" w:rsidRPr="007B1601" w:rsidRDefault="00B0686B" w:rsidP="007B1601">
      <w:pPr>
        <w:ind w:left="567"/>
        <w:jc w:val="center"/>
        <w:rPr>
          <w:rFonts w:asciiTheme="minorHAnsi" w:hAnsiTheme="minorHAnsi" w:cstheme="minorHAnsi"/>
          <w:b/>
          <w:sz w:val="20"/>
        </w:rPr>
      </w:pPr>
      <w:r w:rsidRPr="002C4C40">
        <w:rPr>
          <w:rFonts w:asciiTheme="minorHAnsi" w:hAnsiTheme="minorHAnsi" w:cstheme="minorHAnsi"/>
          <w:b/>
          <w:sz w:val="20"/>
        </w:rPr>
        <w:t>Tabela 2</w:t>
      </w:r>
    </w:p>
    <w:p w14:paraId="699F46CE" w14:textId="77777777" w:rsidR="00B0686B" w:rsidRPr="009E064B" w:rsidRDefault="00B0686B" w:rsidP="00B06A9A">
      <w:pPr>
        <w:spacing w:after="0"/>
        <w:rPr>
          <w:rFonts w:asciiTheme="minorHAnsi" w:hAnsiTheme="minorHAnsi" w:cstheme="minorHAnsi"/>
        </w:rPr>
      </w:pPr>
    </w:p>
    <w:p w14:paraId="1E6C434D"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Informacja o ocenie warunków nawierzchni, w tym o przewidywanym tarciu nawierzchni, powinna być przekazywana dla każdej jednej trzeciej części drogi startowej. Każda z tych części została nazwana odpowiednio: A, B i C;</w:t>
      </w:r>
    </w:p>
    <w:p w14:paraId="3A5E9B1E" w14:textId="69C35F58"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Do celów przekazywania informacji służbom informacji lotniczej, Sekcja A powin</w:t>
      </w:r>
      <w:r w:rsidR="000C0EEE" w:rsidRPr="009E064B">
        <w:rPr>
          <w:rFonts w:asciiTheme="minorHAnsi" w:hAnsiTheme="minorHAnsi" w:cstheme="minorHAnsi"/>
        </w:rPr>
        <w:t>na być zawsze S</w:t>
      </w:r>
      <w:r w:rsidRPr="009E064B">
        <w:rPr>
          <w:rFonts w:asciiTheme="minorHAnsi" w:hAnsiTheme="minorHAnsi" w:cstheme="minorHAnsi"/>
        </w:rPr>
        <w:t>ekcją związaną z najniższym numerem identyfikacyjnym drogi startowej;</w:t>
      </w:r>
    </w:p>
    <w:p w14:paraId="5A71A5F0" w14:textId="7652F1F8"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Podczas przekazywania pilotowi przed lądowaniem inf</w:t>
      </w:r>
      <w:r w:rsidR="000C0EEE" w:rsidRPr="009E064B">
        <w:rPr>
          <w:rFonts w:asciiTheme="minorHAnsi" w:hAnsiTheme="minorHAnsi" w:cstheme="minorHAnsi"/>
        </w:rPr>
        <w:t>ormacji dotyczących lądowania, S</w:t>
      </w:r>
      <w:r w:rsidRPr="009E064B">
        <w:rPr>
          <w:rFonts w:asciiTheme="minorHAnsi" w:hAnsiTheme="minorHAnsi" w:cstheme="minorHAnsi"/>
        </w:rPr>
        <w:t>ekcje te powinny być identyfikowane, jako pierwsza, druga lub trzecia część drogi startowej. Jako pierwszą część drogi startowej powinno</w:t>
      </w:r>
      <w:r w:rsidR="00B003A7" w:rsidRPr="009E064B">
        <w:rPr>
          <w:rFonts w:asciiTheme="minorHAnsi" w:hAnsiTheme="minorHAnsi" w:cstheme="minorHAnsi"/>
        </w:rPr>
        <w:t xml:space="preserve"> się zawsze rozumieć pierwszą z </w:t>
      </w:r>
      <w:r w:rsidRPr="009E064B">
        <w:rPr>
          <w:rFonts w:asciiTheme="minorHAnsi" w:hAnsiTheme="minorHAnsi" w:cstheme="minorHAnsi"/>
        </w:rPr>
        <w:t>trzech części drogi startowej, widzianą z kierunku lądowania.</w:t>
      </w:r>
    </w:p>
    <w:p w14:paraId="54F7D26F" w14:textId="1C9477BF"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Oceny powinny być przeprowadzone wzdłuż dwóch linii równoległych do drogi startowej, w odległości około 3 m od jej linii środkowej lub w odległości odpowiadającej najczęstszemu jej wykorzystywaniu. Celem oceny jest określenie rodzaju, głębokości oraz wielkości pokrycia zanieczyszczeń oraz ich wpływu na przewidywane tarcie nawierzchni dla przeważających warunk</w:t>
      </w:r>
      <w:r w:rsidR="00544DF6" w:rsidRPr="009E064B">
        <w:rPr>
          <w:rFonts w:asciiTheme="minorHAnsi" w:hAnsiTheme="minorHAnsi" w:cstheme="minorHAnsi"/>
        </w:rPr>
        <w:t>ów pogodowych w odniesieniu do S</w:t>
      </w:r>
      <w:r w:rsidRPr="009E064B">
        <w:rPr>
          <w:rFonts w:asciiTheme="minorHAnsi" w:hAnsiTheme="minorHAnsi" w:cstheme="minorHAnsi"/>
        </w:rPr>
        <w:t>ekcji A, B i C.</w:t>
      </w:r>
    </w:p>
    <w:p w14:paraId="4250DBE5" w14:textId="722263FD"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W przypadkach, w których wykorzystywane jest urządzenie pomiarowe wykonujące pomiary ciągłe, wówczas otrzymuje się wartości średnie w oparciu o współczyn</w:t>
      </w:r>
      <w:r w:rsidR="00544DF6" w:rsidRPr="009E064B">
        <w:rPr>
          <w:rFonts w:asciiTheme="minorHAnsi" w:hAnsiTheme="minorHAnsi" w:cstheme="minorHAnsi"/>
        </w:rPr>
        <w:t>niki zarejestrowane dla każdej S</w:t>
      </w:r>
      <w:r w:rsidRPr="009E064B">
        <w:rPr>
          <w:rFonts w:asciiTheme="minorHAnsi" w:hAnsiTheme="minorHAnsi" w:cstheme="minorHAnsi"/>
        </w:rPr>
        <w:t>ekcji;</w:t>
      </w:r>
    </w:p>
    <w:p w14:paraId="3310A56D"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(f) </w:t>
      </w:r>
      <w:r w:rsidRPr="009E064B">
        <w:rPr>
          <w:rFonts w:asciiTheme="minorHAnsi" w:hAnsiTheme="minorHAnsi" w:cstheme="minorHAnsi"/>
        </w:rPr>
        <w:tab/>
        <w:t>W przypadku występowania oraz zgłaszania obecności śniegu, błota pośniegowego, lodu lub szronu na drodze startowej, w opisie stanu nawierzchni drogi startowej należy stosować następujące terminy:</w:t>
      </w:r>
    </w:p>
    <w:p w14:paraId="20A71A2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 xml:space="preserve">suchy śnieg </w:t>
      </w:r>
      <w:r w:rsidRPr="009E064B">
        <w:rPr>
          <w:rFonts w:asciiTheme="minorHAnsi" w:hAnsiTheme="minorHAnsi" w:cstheme="minorHAnsi"/>
          <w:i/>
        </w:rPr>
        <w:t>(dry snow)</w:t>
      </w:r>
      <w:r w:rsidRPr="009E064B">
        <w:rPr>
          <w:rFonts w:asciiTheme="minorHAnsi" w:hAnsiTheme="minorHAnsi" w:cstheme="minorHAnsi"/>
        </w:rPr>
        <w:t>;</w:t>
      </w:r>
    </w:p>
    <w:p w14:paraId="45A2C539"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mokry śnieg</w:t>
      </w:r>
      <w:r w:rsidRPr="009E064B">
        <w:rPr>
          <w:rFonts w:asciiTheme="minorHAnsi" w:hAnsiTheme="minorHAnsi" w:cstheme="minorHAnsi"/>
          <w:i/>
        </w:rPr>
        <w:t xml:space="preserve"> (wet snow)</w:t>
      </w:r>
      <w:r w:rsidRPr="009E064B">
        <w:rPr>
          <w:rFonts w:asciiTheme="minorHAnsi" w:hAnsiTheme="minorHAnsi" w:cstheme="minorHAnsi"/>
        </w:rPr>
        <w:t>;</w:t>
      </w:r>
    </w:p>
    <w:p w14:paraId="1074F600" w14:textId="77777777" w:rsidR="00B0686B" w:rsidRPr="00932998" w:rsidRDefault="00B0686B" w:rsidP="00B06A9A">
      <w:pPr>
        <w:tabs>
          <w:tab w:val="left" w:pos="1134"/>
        </w:tabs>
        <w:ind w:left="1134" w:hanging="567"/>
        <w:rPr>
          <w:rFonts w:asciiTheme="minorHAnsi" w:hAnsiTheme="minorHAnsi" w:cstheme="minorHAnsi"/>
          <w:lang w:val="en-GB"/>
        </w:rPr>
      </w:pPr>
      <w:r w:rsidRPr="00932998">
        <w:rPr>
          <w:rFonts w:asciiTheme="minorHAnsi" w:hAnsiTheme="minorHAnsi" w:cstheme="minorHAnsi"/>
          <w:lang w:val="en-GB"/>
        </w:rPr>
        <w:t xml:space="preserve">(3) </w:t>
      </w:r>
      <w:r w:rsidRPr="00932998">
        <w:rPr>
          <w:rFonts w:asciiTheme="minorHAnsi" w:hAnsiTheme="minorHAnsi" w:cstheme="minorHAnsi"/>
          <w:lang w:val="en-GB"/>
        </w:rPr>
        <w:tab/>
        <w:t xml:space="preserve">ubity śnieg </w:t>
      </w:r>
      <w:r w:rsidRPr="00932998">
        <w:rPr>
          <w:rFonts w:asciiTheme="minorHAnsi" w:hAnsiTheme="minorHAnsi" w:cstheme="minorHAnsi"/>
          <w:i/>
          <w:lang w:val="en-GB"/>
        </w:rPr>
        <w:t>(compacted snow</w:t>
      </w:r>
      <w:r w:rsidRPr="00932998">
        <w:rPr>
          <w:rFonts w:asciiTheme="minorHAnsi" w:hAnsiTheme="minorHAnsi" w:cstheme="minorHAnsi"/>
          <w:lang w:val="en-GB"/>
        </w:rPr>
        <w:t>);</w:t>
      </w:r>
    </w:p>
    <w:p w14:paraId="720E0CC1" w14:textId="77777777" w:rsidR="00B0686B" w:rsidRPr="00932998" w:rsidRDefault="00B0686B" w:rsidP="00B06A9A">
      <w:pPr>
        <w:tabs>
          <w:tab w:val="left" w:pos="1134"/>
        </w:tabs>
        <w:ind w:left="1134" w:hanging="567"/>
        <w:rPr>
          <w:rFonts w:asciiTheme="minorHAnsi" w:hAnsiTheme="minorHAnsi" w:cstheme="minorHAnsi"/>
          <w:lang w:val="en-GB"/>
        </w:rPr>
      </w:pPr>
      <w:r w:rsidRPr="00932998">
        <w:rPr>
          <w:rFonts w:asciiTheme="minorHAnsi" w:hAnsiTheme="minorHAnsi" w:cstheme="minorHAnsi"/>
          <w:lang w:val="en-GB"/>
        </w:rPr>
        <w:t xml:space="preserve">(4) </w:t>
      </w:r>
      <w:r w:rsidRPr="00932998">
        <w:rPr>
          <w:rFonts w:asciiTheme="minorHAnsi" w:hAnsiTheme="minorHAnsi" w:cstheme="minorHAnsi"/>
          <w:lang w:val="en-GB"/>
        </w:rPr>
        <w:tab/>
        <w:t xml:space="preserve">mokry ubity śnieg </w:t>
      </w:r>
      <w:r w:rsidRPr="00932998">
        <w:rPr>
          <w:rFonts w:asciiTheme="minorHAnsi" w:hAnsiTheme="minorHAnsi" w:cstheme="minorHAnsi"/>
          <w:i/>
          <w:lang w:val="en-GB"/>
        </w:rPr>
        <w:t>(wet compacted snow);</w:t>
      </w:r>
    </w:p>
    <w:p w14:paraId="200C2F2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(5) </w:t>
      </w:r>
      <w:r w:rsidRPr="009E064B">
        <w:rPr>
          <w:rFonts w:asciiTheme="minorHAnsi" w:hAnsiTheme="minorHAnsi" w:cstheme="minorHAnsi"/>
        </w:rPr>
        <w:tab/>
        <w:t xml:space="preserve">błoto pośniegowe </w:t>
      </w:r>
      <w:r w:rsidRPr="009E064B">
        <w:rPr>
          <w:rFonts w:asciiTheme="minorHAnsi" w:hAnsiTheme="minorHAnsi" w:cstheme="minorHAnsi"/>
          <w:i/>
        </w:rPr>
        <w:t>(slush)</w:t>
      </w:r>
      <w:r w:rsidRPr="009E064B">
        <w:rPr>
          <w:rFonts w:asciiTheme="minorHAnsi" w:hAnsiTheme="minorHAnsi" w:cstheme="minorHAnsi"/>
        </w:rPr>
        <w:t>;</w:t>
      </w:r>
    </w:p>
    <w:p w14:paraId="0E7948A1"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(6) </w:t>
      </w:r>
      <w:r w:rsidRPr="009E064B">
        <w:rPr>
          <w:rFonts w:asciiTheme="minorHAnsi" w:hAnsiTheme="minorHAnsi" w:cstheme="minorHAnsi"/>
        </w:rPr>
        <w:tab/>
        <w:t xml:space="preserve">lód </w:t>
      </w:r>
      <w:r w:rsidRPr="009E064B">
        <w:rPr>
          <w:rFonts w:asciiTheme="minorHAnsi" w:hAnsiTheme="minorHAnsi" w:cstheme="minorHAnsi"/>
          <w:i/>
        </w:rPr>
        <w:t>(ice)</w:t>
      </w:r>
      <w:r w:rsidRPr="009E064B">
        <w:rPr>
          <w:rFonts w:asciiTheme="minorHAnsi" w:hAnsiTheme="minorHAnsi" w:cstheme="minorHAnsi"/>
        </w:rPr>
        <w:t>;</w:t>
      </w:r>
    </w:p>
    <w:p w14:paraId="5DE4061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(7) </w:t>
      </w:r>
      <w:r w:rsidRPr="009E064B">
        <w:rPr>
          <w:rFonts w:asciiTheme="minorHAnsi" w:hAnsiTheme="minorHAnsi" w:cstheme="minorHAnsi"/>
        </w:rPr>
        <w:tab/>
        <w:t xml:space="preserve">mokry lód </w:t>
      </w:r>
      <w:r w:rsidRPr="009E064B">
        <w:rPr>
          <w:rFonts w:asciiTheme="minorHAnsi" w:hAnsiTheme="minorHAnsi" w:cstheme="minorHAnsi"/>
          <w:i/>
        </w:rPr>
        <w:t>(wet i</w:t>
      </w:r>
      <w:r w:rsidRPr="009E064B">
        <w:rPr>
          <w:rFonts w:asciiTheme="minorHAnsi" w:hAnsiTheme="minorHAnsi" w:cstheme="minorHAnsi"/>
        </w:rPr>
        <w:t>ce</w:t>
      </w:r>
      <w:r w:rsidRPr="009E064B">
        <w:rPr>
          <w:rFonts w:asciiTheme="minorHAnsi" w:hAnsiTheme="minorHAnsi" w:cstheme="minorHAnsi"/>
          <w:i/>
        </w:rPr>
        <w:t>)</w:t>
      </w:r>
      <w:r w:rsidRPr="009E064B">
        <w:rPr>
          <w:rFonts w:asciiTheme="minorHAnsi" w:hAnsiTheme="minorHAnsi" w:cstheme="minorHAnsi"/>
        </w:rPr>
        <w:t>;</w:t>
      </w:r>
    </w:p>
    <w:p w14:paraId="0FCA12F2"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(8) </w:t>
      </w:r>
      <w:r w:rsidRPr="009E064B">
        <w:rPr>
          <w:rFonts w:asciiTheme="minorHAnsi" w:hAnsiTheme="minorHAnsi" w:cstheme="minorHAnsi"/>
        </w:rPr>
        <w:tab/>
        <w:t xml:space="preserve">szron </w:t>
      </w:r>
      <w:r w:rsidRPr="009E064B">
        <w:rPr>
          <w:rFonts w:asciiTheme="minorHAnsi" w:hAnsiTheme="minorHAnsi" w:cstheme="minorHAnsi"/>
          <w:i/>
        </w:rPr>
        <w:t>(frost);</w:t>
      </w:r>
    </w:p>
    <w:p w14:paraId="5645940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(9) </w:t>
      </w:r>
      <w:r w:rsidRPr="009E064B">
        <w:rPr>
          <w:rFonts w:asciiTheme="minorHAnsi" w:hAnsiTheme="minorHAnsi" w:cstheme="minorHAnsi"/>
        </w:rPr>
        <w:tab/>
        <w:t xml:space="preserve">suchy śnieg na lodzie </w:t>
      </w:r>
      <w:r w:rsidRPr="009E064B">
        <w:rPr>
          <w:rFonts w:asciiTheme="minorHAnsi" w:hAnsiTheme="minorHAnsi" w:cstheme="minorHAnsi"/>
          <w:i/>
        </w:rPr>
        <w:t>(dry snow on ice)</w:t>
      </w:r>
      <w:r w:rsidRPr="009E064B">
        <w:rPr>
          <w:rFonts w:asciiTheme="minorHAnsi" w:hAnsiTheme="minorHAnsi" w:cstheme="minorHAnsi"/>
        </w:rPr>
        <w:t>;</w:t>
      </w:r>
    </w:p>
    <w:p w14:paraId="464D6ACC"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(10) </w:t>
      </w:r>
      <w:r w:rsidRPr="009E064B">
        <w:rPr>
          <w:rFonts w:asciiTheme="minorHAnsi" w:hAnsiTheme="minorHAnsi" w:cstheme="minorHAnsi"/>
        </w:rPr>
        <w:tab/>
        <w:t xml:space="preserve">mokry śnieg na lodzie </w:t>
      </w:r>
      <w:r w:rsidRPr="009E064B">
        <w:rPr>
          <w:rFonts w:asciiTheme="minorHAnsi" w:hAnsiTheme="minorHAnsi" w:cstheme="minorHAnsi"/>
          <w:i/>
        </w:rPr>
        <w:t>(wet snow on ice)</w:t>
      </w:r>
      <w:r w:rsidRPr="009E064B">
        <w:rPr>
          <w:rFonts w:asciiTheme="minorHAnsi" w:hAnsiTheme="minorHAnsi" w:cstheme="minorHAnsi"/>
        </w:rPr>
        <w:t>;</w:t>
      </w:r>
    </w:p>
    <w:p w14:paraId="2306F72B"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(11) </w:t>
      </w:r>
      <w:r w:rsidRPr="009E064B">
        <w:rPr>
          <w:rFonts w:asciiTheme="minorHAnsi" w:hAnsiTheme="minorHAnsi" w:cstheme="minorHAnsi"/>
        </w:rPr>
        <w:tab/>
        <w:t xml:space="preserve">poddawany działaniu środków chemicznych </w:t>
      </w:r>
      <w:r w:rsidRPr="009E064B">
        <w:rPr>
          <w:rFonts w:asciiTheme="minorHAnsi" w:hAnsiTheme="minorHAnsi" w:cstheme="minorHAnsi"/>
          <w:i/>
        </w:rPr>
        <w:t>(chemically treated)</w:t>
      </w:r>
      <w:r w:rsidRPr="009E064B">
        <w:rPr>
          <w:rFonts w:asciiTheme="minorHAnsi" w:hAnsiTheme="minorHAnsi" w:cstheme="minorHAnsi"/>
        </w:rPr>
        <w:t>;</w:t>
      </w:r>
    </w:p>
    <w:p w14:paraId="5D44E50A" w14:textId="77777777" w:rsidR="00B0686B" w:rsidRPr="009E064B" w:rsidRDefault="00044B3C"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(12) </w:t>
      </w:r>
      <w:r w:rsidRPr="009E064B">
        <w:rPr>
          <w:rFonts w:asciiTheme="minorHAnsi" w:hAnsiTheme="minorHAnsi" w:cstheme="minorHAnsi"/>
        </w:rPr>
        <w:tab/>
        <w:t xml:space="preserve">posypana piaskiem </w:t>
      </w:r>
      <w:r w:rsidR="00B0686B" w:rsidRPr="009E064B">
        <w:rPr>
          <w:rFonts w:asciiTheme="minorHAnsi" w:hAnsiTheme="minorHAnsi" w:cstheme="minorHAnsi"/>
          <w:i/>
        </w:rPr>
        <w:t>(sanded)</w:t>
      </w:r>
      <w:r w:rsidR="00B0686B" w:rsidRPr="009E064B">
        <w:rPr>
          <w:rFonts w:asciiTheme="minorHAnsi" w:hAnsiTheme="minorHAnsi" w:cstheme="minorHAnsi"/>
        </w:rPr>
        <w:t>;</w:t>
      </w:r>
    </w:p>
    <w:p w14:paraId="3713A83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ab/>
        <w:t>oraz należy podać głębokość zanieczyszczenia, jeśli to ma zastosowanie.</w:t>
      </w:r>
    </w:p>
    <w:p w14:paraId="0829424A"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USUWANIE UNIERUCHOMIONYCH STATKÓW POWIETRZNYCH</w:t>
      </w:r>
    </w:p>
    <w:p w14:paraId="31E0D179"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Dane kontaktowe (numer(y) telefonu/faksu, adresy e-mail, itp.) biura lotniskowego koordynatora operacji usuwania statków powietrznych unieruchomionych w polu ruchu naziemnego lub w jego pobliżu, powinny być udostępniane na żądanie operatora statku powietrznego.</w:t>
      </w:r>
    </w:p>
    <w:p w14:paraId="18D0D877"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Informacje dotyczące możliwości technicznych w zakresie usuwania statków powietrznych unieruchomionych w polu ruchu naziemnego lub w jego pobliżu, powinny być udostępniane.</w:t>
      </w:r>
    </w:p>
    <w:p w14:paraId="1F0D07F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Możliwości techniczne w zakresie usuwania unieruchomionych statków powietrznych mogą być określone poprzez podanie największego typu statku powietrznego, który przy pomocy posiadanego przez lotnisko sprzętu, może zostać usunięty.</w:t>
      </w:r>
    </w:p>
    <w:p w14:paraId="51F7C4E1"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RATOWNICTWO I GASZENIE POŻARÓW</w:t>
      </w:r>
    </w:p>
    <w:p w14:paraId="2948DB6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Informacje dotyczące zapewnianego na lotnisku poziomu ochrony w zakresie ratownictwa i gaszenia pożarów na lotnisku, w godzinach prowadzonych operacji, powinny być udostępniane.</w:t>
      </w:r>
    </w:p>
    <w:p w14:paraId="6B150ACD"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Poziom ochrony zapewnianej normalnie na lotnisku powinien być wyrażany poprzez kategorię służb ratowniczo i gaśniczych oraz odpowiednio do rodzaju i ilości środków gaśniczych będących normalnie w dyspozycji lotniska.</w:t>
      </w:r>
    </w:p>
    <w:p w14:paraId="214C5043"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Zmiany, jakie zachodzą w poziomie normalnie zapewnionej ochrony lotniska w zakresie ratownictwa i gaszenia pożarów, powinny być przekazywane odpowiednim organom służb ruchu lotniczego i organom służb informacji lotniczej, aby organy te mogły dostarczyć niezbędnych informacji przylatującym i odlatującym statkom powietrznym. Jeżeli poziom ochrony powróci do normy, to wyżej wymienione organy powinny być o tym odpowiednio powiadomione.</w:t>
      </w:r>
    </w:p>
    <w:p w14:paraId="07AFE280"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Zmiany poziomu ochrony w porównaniu do kategorii normalnie zapewnionej na lotnisku mogą wynikać ze zmiany ilości środków gaśniczych będących w dyspozycji, urządzeń służących do ich dostarczana lub personelu obsługującego te urządzenia, itp.</w:t>
      </w:r>
    </w:p>
    <w:p w14:paraId="0190F8E8"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Zmiana poziomu ochrony jest wyrażana przez podanie nowej kategorii służb ratowniczo gaśniczych będących dostępnych na lotnisku.</w:t>
      </w:r>
    </w:p>
    <w:p w14:paraId="31A99CCC" w14:textId="77777777" w:rsidR="00B0686B" w:rsidRPr="009E064B" w:rsidRDefault="00B0686B" w:rsidP="00B06A9A">
      <w:pPr>
        <w:spacing w:before="240"/>
        <w:rPr>
          <w:rFonts w:asciiTheme="minorHAnsi" w:hAnsiTheme="minorHAnsi" w:cstheme="minorHAnsi"/>
        </w:rPr>
      </w:pPr>
      <w:r w:rsidRPr="009E064B">
        <w:rPr>
          <w:rFonts w:asciiTheme="minorHAnsi" w:hAnsiTheme="minorHAnsi" w:cstheme="minorHAnsi"/>
        </w:rPr>
        <w:t>SYSTEMY WZROKOWYCH WSKAŹNIKÓW ŚCIEŻKI PODEJŚCIA</w:t>
      </w:r>
    </w:p>
    <w:p w14:paraId="52F100A5"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Niżej wymienione informacje dotyczące systemu wzrokowych wskaźników ścieżki podejścia, powinny być udostępniane:</w:t>
      </w:r>
    </w:p>
    <w:p w14:paraId="02B2AAAD"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numer identyfikacyjny drogi startowej;</w:t>
      </w:r>
    </w:p>
    <w:p w14:paraId="1B4A59DC"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rodzaj systemu; dla urządzeń PAPI lub APAPI, podawana jest strona drogi startowej, na której zainstalowane są światła, np. lewa lub prawa;</w:t>
      </w:r>
    </w:p>
    <w:p w14:paraId="0E660A7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tam, gdzie oś systemu nie jest równoległa do linii środkowej drogi startowej, podawany jest kąt i kierunek odchylenia (np. w prawo lub lewo);</w:t>
      </w:r>
    </w:p>
    <w:p w14:paraId="7BAB6066"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nominalny kąt (kąty) nachylenia ścieżki podejścia;</w:t>
      </w:r>
    </w:p>
    <w:p w14:paraId="789E109A"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minimalna wysokość oczu pilota nad progiem, gdy pilot odbiera sygnał(y) wzrokowy odpowiadający poprawnej pozycji statku powietrznego na ścieżce podejścia.</w:t>
      </w:r>
    </w:p>
    <w:p w14:paraId="62EFE558" w14:textId="663C3113" w:rsidR="00B0686B" w:rsidRPr="009E064B" w:rsidRDefault="00B0686B" w:rsidP="00133B99">
      <w:pPr>
        <w:pStyle w:val="Nagwek6"/>
      </w:pPr>
      <w:bookmarkStart w:id="507" w:name="_Toc492024677"/>
      <w:bookmarkStart w:id="508" w:name="_Toc12532777"/>
      <w:r w:rsidRPr="009E064B">
        <w:t xml:space="preserve">GM2 ADR.OPS.A.005(a)    </w:t>
      </w:r>
      <w:r w:rsidR="004002F9" w:rsidRPr="009E064B">
        <w:t xml:space="preserve"> </w:t>
      </w:r>
      <w:r w:rsidRPr="009E064B">
        <w:t>Dane dotyczące lotniska</w:t>
      </w:r>
      <w:bookmarkEnd w:id="507"/>
      <w:bookmarkEnd w:id="508"/>
    </w:p>
    <w:p w14:paraId="283E557C" w14:textId="03F865AB"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A623AD4"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t>WYMAGANIA DOTYCZĄCE POMIARÓW PROGÓW DROGI STARTOWEJ, DRÓG KOŁOWANIA I STANOWISK POSTOJOWYCH DLA STATKÓW POWIETRZNYCH</w:t>
      </w:r>
    </w:p>
    <w:p w14:paraId="2577CD7B"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Progi drogi startowej</w:t>
      </w:r>
    </w:p>
    <w:p w14:paraId="0012A1E8" w14:textId="6EE7A5A8"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 xml:space="preserve">Do celów pomiarowych, punkty pomiarowe progu muszą być wyznaczone tak, aby znajdowały się w geometrycznym środku drogi startowej i na początku </w:t>
      </w:r>
      <w:r w:rsidR="004A398A">
        <w:rPr>
          <w:rFonts w:asciiTheme="minorHAnsi" w:hAnsiTheme="minorHAnsi" w:cstheme="minorHAnsi"/>
        </w:rPr>
        <w:t>na</w:t>
      </w:r>
      <w:r w:rsidRPr="009E064B">
        <w:rPr>
          <w:rFonts w:asciiTheme="minorHAnsi" w:hAnsiTheme="minorHAnsi" w:cstheme="minorHAnsi"/>
        </w:rPr>
        <w:t xml:space="preserve">wierzchni </w:t>
      </w:r>
      <w:r w:rsidR="004A398A">
        <w:rPr>
          <w:rFonts w:asciiTheme="minorHAnsi" w:hAnsiTheme="minorHAnsi" w:cstheme="minorHAnsi"/>
        </w:rPr>
        <w:t>sztucznej</w:t>
      </w:r>
      <w:r w:rsidRPr="009E064B">
        <w:rPr>
          <w:rFonts w:asciiTheme="minorHAnsi" w:hAnsiTheme="minorHAnsi" w:cstheme="minorHAnsi"/>
        </w:rPr>
        <w:t>, tj. na początku tej części drogi startowej nadającej się do lądowania. Tam, gdzie progi oznaczone są odpowiednim oznakowaniem poziomym (np. przesunięte progi), należy je traktować, jako punkty progowe. Tam, gdzie dokonuje się pomiaru świateł progu, lokalizacje muszą być opisane na schemacie dołączonym do raportu. Tam, gdzie nie ma świateł progu, musi być wybrany, zgodnie z poniżej zamieszczonymi rysunkami, odpowiedni punkt do pomiaru.</w:t>
      </w:r>
    </w:p>
    <w:p w14:paraId="65D9F9ED" w14:textId="20C1643A"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 xml:space="preserve">Jeżeli droga startowa ma tylko jeden certyfikowany próg do lądowania, to musi być zmierzona pozycja końca drogi startowej. Do celów pomiarowych, pozycja końca drogi startowej (punkt wyrównania ścieżki lotu) musi być przyjęta, jako środek geometryczny drogi startowej na końcu </w:t>
      </w:r>
      <w:r w:rsidR="004A398A">
        <w:rPr>
          <w:rFonts w:asciiTheme="minorHAnsi" w:hAnsiTheme="minorHAnsi" w:cstheme="minorHAnsi"/>
        </w:rPr>
        <w:t>na</w:t>
      </w:r>
      <w:r w:rsidR="004A398A" w:rsidRPr="009E064B">
        <w:rPr>
          <w:rFonts w:asciiTheme="minorHAnsi" w:hAnsiTheme="minorHAnsi" w:cstheme="minorHAnsi"/>
        </w:rPr>
        <w:t xml:space="preserve">wierzchni </w:t>
      </w:r>
      <w:r w:rsidR="004A398A">
        <w:rPr>
          <w:rFonts w:asciiTheme="minorHAnsi" w:hAnsiTheme="minorHAnsi" w:cstheme="minorHAnsi"/>
        </w:rPr>
        <w:t>sztucznej</w:t>
      </w:r>
      <w:r w:rsidRPr="009E064B">
        <w:rPr>
          <w:rFonts w:asciiTheme="minorHAnsi" w:hAnsiTheme="minorHAnsi" w:cstheme="minorHAnsi"/>
        </w:rPr>
        <w:t>, a więc na końcu odcinka drogi startowej nadającego się do lądowania.</w:t>
      </w:r>
    </w:p>
    <w:p w14:paraId="57618B49" w14:textId="77777777" w:rsidR="00B0686B" w:rsidRPr="009E064B" w:rsidRDefault="00B0686B" w:rsidP="00B003A7">
      <w:pPr>
        <w:spacing w:after="0"/>
        <w:jc w:val="left"/>
        <w:rPr>
          <w:rFonts w:asciiTheme="minorHAnsi" w:hAnsiTheme="minorHAnsi" w:cstheme="minorHAnsi"/>
        </w:rPr>
      </w:pPr>
    </w:p>
    <w:p w14:paraId="542959D8" w14:textId="5A1A5CF9" w:rsidR="00B0686B" w:rsidRPr="009E064B" w:rsidRDefault="00903782" w:rsidP="002C4C40">
      <w:pPr>
        <w:spacing w:after="0"/>
        <w:jc w:val="left"/>
        <w:rPr>
          <w:rFonts w:asciiTheme="minorHAnsi" w:hAnsiTheme="minorHAnsi" w:cstheme="minorHAnsi"/>
        </w:rPr>
      </w:pPr>
      <w:r w:rsidRPr="009E064B">
        <w:rPr>
          <w:noProof/>
          <w:lang w:eastAsia="pl-PL"/>
        </w:rPr>
        <w:drawing>
          <wp:inline distT="0" distB="0" distL="0" distR="0" wp14:anchorId="522912E2" wp14:editId="2CA082C8">
            <wp:extent cx="5759450" cy="7411356"/>
            <wp:effectExtent l="0" t="0" r="0" b="0"/>
            <wp:docPr id="1530" name="Obraz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7411356"/>
                    </a:xfrm>
                    <a:prstGeom prst="rect">
                      <a:avLst/>
                    </a:prstGeom>
                    <a:noFill/>
                    <a:ln>
                      <a:noFill/>
                    </a:ln>
                  </pic:spPr>
                </pic:pic>
              </a:graphicData>
            </a:graphic>
          </wp:inline>
        </w:drawing>
      </w:r>
    </w:p>
    <w:p w14:paraId="516883A4" w14:textId="77777777" w:rsidR="00B0686B" w:rsidRPr="009E064B" w:rsidRDefault="00B0686B" w:rsidP="002C4C40">
      <w:pPr>
        <w:spacing w:after="0"/>
        <w:jc w:val="left"/>
        <w:rPr>
          <w:rFonts w:asciiTheme="minorHAnsi" w:hAnsiTheme="minorHAnsi" w:cstheme="minorHAnsi"/>
        </w:rPr>
      </w:pPr>
    </w:p>
    <w:p w14:paraId="318F120E" w14:textId="77777777" w:rsidR="00B0686B" w:rsidRPr="002C4C40" w:rsidRDefault="00B0686B" w:rsidP="007B1601">
      <w:pPr>
        <w:jc w:val="center"/>
        <w:rPr>
          <w:rFonts w:asciiTheme="minorHAnsi" w:hAnsiTheme="minorHAnsi" w:cstheme="minorHAnsi"/>
          <w:b/>
          <w:sz w:val="20"/>
        </w:rPr>
      </w:pPr>
      <w:r w:rsidRPr="002C4C40">
        <w:rPr>
          <w:rFonts w:asciiTheme="minorHAnsi" w:hAnsiTheme="minorHAnsi" w:cstheme="minorHAnsi"/>
          <w:b/>
          <w:sz w:val="20"/>
        </w:rPr>
        <w:t>Rysunek 1</w:t>
      </w:r>
    </w:p>
    <w:p w14:paraId="58B47701"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1E464BFD" w14:textId="77777777" w:rsidR="00B0686B" w:rsidRPr="009E064B" w:rsidRDefault="00B0686B" w:rsidP="00B06A9A">
      <w:pPr>
        <w:rPr>
          <w:rFonts w:asciiTheme="minorHAnsi" w:hAnsiTheme="minorHAnsi" w:cstheme="minorHAnsi"/>
        </w:rPr>
      </w:pPr>
    </w:p>
    <w:p w14:paraId="09DDEE99" w14:textId="3823EA4E" w:rsidR="00B0686B" w:rsidRPr="009E064B" w:rsidRDefault="00286050" w:rsidP="00B003A7">
      <w:pPr>
        <w:spacing w:after="0"/>
        <w:rPr>
          <w:rFonts w:asciiTheme="minorHAnsi" w:hAnsiTheme="minorHAnsi" w:cstheme="minorHAnsi"/>
        </w:rPr>
      </w:pPr>
      <w:r w:rsidRPr="009E064B">
        <w:rPr>
          <w:noProof/>
          <w:lang w:eastAsia="pl-PL"/>
        </w:rPr>
        <w:drawing>
          <wp:inline distT="0" distB="0" distL="0" distR="0" wp14:anchorId="1AC71DA2" wp14:editId="24C5F5DE">
            <wp:extent cx="5759450" cy="6551755"/>
            <wp:effectExtent l="0" t="0" r="0" b="0"/>
            <wp:docPr id="1532" name="Obraz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9450" cy="6551755"/>
                    </a:xfrm>
                    <a:prstGeom prst="rect">
                      <a:avLst/>
                    </a:prstGeom>
                    <a:noFill/>
                    <a:ln>
                      <a:noFill/>
                    </a:ln>
                  </pic:spPr>
                </pic:pic>
              </a:graphicData>
            </a:graphic>
          </wp:inline>
        </w:drawing>
      </w:r>
    </w:p>
    <w:p w14:paraId="6485CFDF" w14:textId="77777777" w:rsidR="00B003A7" w:rsidRPr="009E064B" w:rsidRDefault="00B003A7" w:rsidP="00B003A7">
      <w:pPr>
        <w:jc w:val="center"/>
        <w:rPr>
          <w:rFonts w:asciiTheme="minorHAnsi" w:hAnsiTheme="minorHAnsi" w:cstheme="minorHAnsi"/>
        </w:rPr>
      </w:pPr>
    </w:p>
    <w:p w14:paraId="22171436" w14:textId="3A9796ED" w:rsidR="00B0686B" w:rsidRPr="007B1601" w:rsidRDefault="00B0686B" w:rsidP="00B06A9A">
      <w:pPr>
        <w:jc w:val="center"/>
        <w:rPr>
          <w:rFonts w:asciiTheme="minorHAnsi" w:hAnsiTheme="minorHAnsi" w:cstheme="minorHAnsi"/>
          <w:b/>
          <w:sz w:val="20"/>
        </w:rPr>
      </w:pPr>
      <w:r w:rsidRPr="007B1601">
        <w:rPr>
          <w:rFonts w:asciiTheme="minorHAnsi" w:hAnsiTheme="minorHAnsi" w:cstheme="minorHAnsi"/>
          <w:b/>
          <w:sz w:val="20"/>
        </w:rPr>
        <w:t>Rysunek 2</w:t>
      </w:r>
    </w:p>
    <w:p w14:paraId="6A6F3108"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br w:type="page"/>
      </w:r>
    </w:p>
    <w:p w14:paraId="46B902CE" w14:textId="77777777" w:rsidR="00B0686B" w:rsidRPr="009E064B" w:rsidRDefault="00B0686B" w:rsidP="00B06A9A">
      <w:pPr>
        <w:rPr>
          <w:rFonts w:asciiTheme="minorHAnsi" w:hAnsiTheme="minorHAnsi" w:cstheme="minorHAnsi"/>
        </w:rPr>
      </w:pPr>
    </w:p>
    <w:p w14:paraId="42AD7F30" w14:textId="20562F88" w:rsidR="00B0686B" w:rsidRPr="009E064B" w:rsidRDefault="00302834" w:rsidP="00B06A9A">
      <w:pPr>
        <w:rPr>
          <w:rFonts w:asciiTheme="minorHAnsi" w:hAnsiTheme="minorHAnsi" w:cstheme="minorHAnsi"/>
        </w:rPr>
      </w:pPr>
      <w:r w:rsidRPr="009E064B">
        <w:rPr>
          <w:noProof/>
          <w:lang w:eastAsia="pl-PL"/>
        </w:rPr>
        <w:drawing>
          <wp:inline distT="0" distB="0" distL="0" distR="0" wp14:anchorId="5755B299" wp14:editId="59761CDD">
            <wp:extent cx="5759450" cy="7272321"/>
            <wp:effectExtent l="0" t="0" r="0" b="0"/>
            <wp:docPr id="1533" name="Obraz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7272321"/>
                    </a:xfrm>
                    <a:prstGeom prst="rect">
                      <a:avLst/>
                    </a:prstGeom>
                    <a:noFill/>
                    <a:ln>
                      <a:noFill/>
                    </a:ln>
                  </pic:spPr>
                </pic:pic>
              </a:graphicData>
            </a:graphic>
          </wp:inline>
        </w:drawing>
      </w:r>
    </w:p>
    <w:p w14:paraId="14F532ED" w14:textId="77777777" w:rsidR="00B0686B" w:rsidRPr="009E064B" w:rsidRDefault="00B0686B" w:rsidP="002C4C40">
      <w:pPr>
        <w:spacing w:after="0"/>
        <w:jc w:val="center"/>
        <w:rPr>
          <w:rFonts w:asciiTheme="minorHAnsi" w:hAnsiTheme="minorHAnsi" w:cstheme="minorHAnsi"/>
        </w:rPr>
      </w:pPr>
      <w:r w:rsidRPr="009E064B">
        <w:rPr>
          <w:rFonts w:asciiTheme="minorHAnsi" w:hAnsiTheme="minorHAnsi" w:cstheme="minorHAnsi"/>
          <w:noProof/>
          <w:lang w:eastAsia="pl-PL"/>
        </w:rPr>
        <mc:AlternateContent>
          <mc:Choice Requires="wps">
            <w:drawing>
              <wp:anchor distT="0" distB="0" distL="114300" distR="114300" simplePos="0" relativeHeight="251651072" behindDoc="0" locked="1" layoutInCell="1" allowOverlap="1" wp14:anchorId="6309F0FA" wp14:editId="233E349C">
                <wp:simplePos x="0" y="0"/>
                <wp:positionH relativeFrom="column">
                  <wp:posOffset>493395</wp:posOffset>
                </wp:positionH>
                <wp:positionV relativeFrom="paragraph">
                  <wp:posOffset>4795520</wp:posOffset>
                </wp:positionV>
                <wp:extent cx="704850" cy="318135"/>
                <wp:effectExtent l="3175" t="3810" r="0" b="1905"/>
                <wp:wrapNone/>
                <wp:docPr id="119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02684"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309F0FA" id="Text Box 510" o:spid="_x0000_s1030" type="#_x0000_t202" style="position:absolute;left:0;text-align:left;margin-left:38.85pt;margin-top:377.6pt;width:55.5pt;height:25.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dYfuwIAAMQ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" filled="f" stroked="f">
                <v:textbox>
                  <w:txbxContent>
                    <w:p w14:paraId="5F002684"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r w:rsidRPr="009E064B">
        <w:rPr>
          <w:rFonts w:asciiTheme="minorHAnsi" w:hAnsiTheme="minorHAnsi" w:cstheme="minorHAnsi"/>
          <w:noProof/>
          <w:lang w:eastAsia="pl-PL"/>
        </w:rPr>
        <mc:AlternateContent>
          <mc:Choice Requires="wps">
            <w:drawing>
              <wp:anchor distT="0" distB="0" distL="114300" distR="114300" simplePos="0" relativeHeight="251649024" behindDoc="0" locked="1" layoutInCell="1" allowOverlap="1" wp14:anchorId="21EAEFC9" wp14:editId="247514D9">
                <wp:simplePos x="0" y="0"/>
                <wp:positionH relativeFrom="column">
                  <wp:posOffset>3289300</wp:posOffset>
                </wp:positionH>
                <wp:positionV relativeFrom="paragraph">
                  <wp:posOffset>4780280</wp:posOffset>
                </wp:positionV>
                <wp:extent cx="704850" cy="318135"/>
                <wp:effectExtent l="0" t="0" r="1270" b="0"/>
                <wp:wrapNone/>
                <wp:docPr id="119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40281"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1EAEFC9" id="Text Box 509" o:spid="_x0000_s1031" type="#_x0000_t202" style="position:absolute;left:0;text-align:left;margin-left:259pt;margin-top:376.4pt;width:55.5pt;height:25.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Le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" filled="f" stroked="f">
                <v:textbox>
                  <w:txbxContent>
                    <w:p w14:paraId="5F140281"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r w:rsidRPr="009E064B">
        <w:rPr>
          <w:rFonts w:asciiTheme="minorHAnsi" w:hAnsiTheme="minorHAnsi" w:cstheme="minorHAnsi"/>
          <w:noProof/>
          <w:lang w:eastAsia="pl-PL"/>
        </w:rPr>
        <mc:AlternateContent>
          <mc:Choice Requires="wps">
            <w:drawing>
              <wp:anchor distT="0" distB="0" distL="114300" distR="114300" simplePos="0" relativeHeight="251646976" behindDoc="0" locked="1" layoutInCell="1" allowOverlap="1" wp14:anchorId="3DF5DA71" wp14:editId="3AAD89F2">
                <wp:simplePos x="0" y="0"/>
                <wp:positionH relativeFrom="column">
                  <wp:posOffset>5069205</wp:posOffset>
                </wp:positionH>
                <wp:positionV relativeFrom="paragraph">
                  <wp:posOffset>4775835</wp:posOffset>
                </wp:positionV>
                <wp:extent cx="704850" cy="318135"/>
                <wp:effectExtent l="0" t="3175" r="2540" b="2540"/>
                <wp:wrapNone/>
                <wp:docPr id="119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43A8C"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DF5DA71" id="Text Box 508" o:spid="_x0000_s1032" type="#_x0000_t202" style="position:absolute;left:0;text-align:left;margin-left:399.15pt;margin-top:376.05pt;width:55.5pt;height:2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hG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" filled="f" stroked="f">
                <v:textbox>
                  <w:txbxContent>
                    <w:p w14:paraId="2BC43A8C" w14:textId="77777777" w:rsidR="003832F2" w:rsidRPr="0070684D" w:rsidRDefault="003832F2" w:rsidP="00B0686B">
                      <w:pPr>
                        <w:rPr>
                          <w:b/>
                          <w:bCs/>
                          <w:sz w:val="12"/>
                          <w:szCs w:val="12"/>
                        </w:rPr>
                      </w:pPr>
                      <w:r w:rsidRPr="0070684D">
                        <w:rPr>
                          <w:b/>
                          <w:bCs/>
                          <w:sz w:val="12"/>
                          <w:szCs w:val="12"/>
                        </w:rPr>
                        <w:t>Położenie progu</w:t>
                      </w:r>
                      <w:r>
                        <w:rPr>
                          <w:b/>
                          <w:bCs/>
                          <w:sz w:val="12"/>
                          <w:szCs w:val="12"/>
                        </w:rPr>
                        <w:t xml:space="preserve"> do pomiaru</w:t>
                      </w:r>
                    </w:p>
                  </w:txbxContent>
                </v:textbox>
                <w10:anchorlock/>
              </v:shape>
            </w:pict>
          </mc:Fallback>
        </mc:AlternateContent>
      </w:r>
    </w:p>
    <w:p w14:paraId="1DAF6373" w14:textId="77777777" w:rsidR="00B0686B" w:rsidRPr="007B1601" w:rsidRDefault="00B0686B" w:rsidP="00B06A9A">
      <w:pPr>
        <w:jc w:val="center"/>
        <w:rPr>
          <w:rFonts w:asciiTheme="minorHAnsi" w:hAnsiTheme="minorHAnsi" w:cstheme="minorHAnsi"/>
          <w:b/>
          <w:sz w:val="20"/>
        </w:rPr>
      </w:pPr>
      <w:r w:rsidRPr="007B1601">
        <w:rPr>
          <w:rFonts w:asciiTheme="minorHAnsi" w:hAnsiTheme="minorHAnsi" w:cstheme="minorHAnsi"/>
          <w:b/>
          <w:sz w:val="20"/>
        </w:rPr>
        <w:t>Rysunek 3</w:t>
      </w:r>
    </w:p>
    <w:p w14:paraId="6C86F2D7"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1171D0B2" w14:textId="24F933DE" w:rsidR="00B0686B" w:rsidRPr="009E064B" w:rsidRDefault="00B0686B" w:rsidP="00B06A9A">
      <w:pPr>
        <w:tabs>
          <w:tab w:val="left" w:pos="709"/>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Drogi kołowania i stanowiska postojowe</w:t>
      </w:r>
      <w:r w:rsidR="00B003A7" w:rsidRPr="009E064B">
        <w:rPr>
          <w:rFonts w:asciiTheme="minorHAnsi" w:hAnsiTheme="minorHAnsi" w:cstheme="minorHAnsi"/>
        </w:rPr>
        <w:t> </w:t>
      </w:r>
      <w:r w:rsidRPr="009E064B">
        <w:rPr>
          <w:rFonts w:asciiTheme="minorHAnsi" w:hAnsiTheme="minorHAnsi" w:cstheme="minorHAnsi"/>
        </w:rPr>
        <w:t>/</w:t>
      </w:r>
      <w:r w:rsidR="00B003A7" w:rsidRPr="009E064B">
        <w:rPr>
          <w:rFonts w:asciiTheme="minorHAnsi" w:hAnsiTheme="minorHAnsi" w:cstheme="minorHAnsi"/>
        </w:rPr>
        <w:t> </w:t>
      </w:r>
      <w:r w:rsidRPr="009E064B">
        <w:rPr>
          <w:rFonts w:asciiTheme="minorHAnsi" w:hAnsiTheme="minorHAnsi" w:cstheme="minorHAnsi"/>
        </w:rPr>
        <w:t xml:space="preserve">punkty kontrolne ― </w:t>
      </w:r>
      <w:r w:rsidR="009B0A08" w:rsidRPr="009E064B">
        <w:rPr>
          <w:rFonts w:asciiTheme="minorHAnsi" w:hAnsiTheme="minorHAnsi" w:cstheme="minorHAnsi"/>
        </w:rPr>
        <w:t>Wymagania ogólne</w:t>
      </w:r>
    </w:p>
    <w:p w14:paraId="565FE4AD" w14:textId="232AD860"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 xml:space="preserve">Z wyjątkiem przypadków przewidzianych w </w:t>
      </w:r>
      <w:r w:rsidR="00B06AC8" w:rsidRPr="009E064B">
        <w:rPr>
          <w:rFonts w:asciiTheme="minorHAnsi" w:hAnsiTheme="minorHAnsi" w:cstheme="minorHAnsi"/>
        </w:rPr>
        <w:t>lit. </w:t>
      </w:r>
      <w:r w:rsidRPr="009E064B">
        <w:rPr>
          <w:rFonts w:asciiTheme="minorHAnsi" w:hAnsiTheme="minorHAnsi" w:cstheme="minorHAnsi"/>
        </w:rPr>
        <w:t xml:space="preserve">(c) </w:t>
      </w:r>
      <w:r w:rsidR="00B06AC8" w:rsidRPr="009E064B">
        <w:rPr>
          <w:rFonts w:asciiTheme="minorHAnsi" w:hAnsiTheme="minorHAnsi" w:cstheme="minorHAnsi"/>
        </w:rPr>
        <w:t>pkt </w:t>
      </w:r>
      <w:r w:rsidRPr="009E064B">
        <w:rPr>
          <w:rFonts w:asciiTheme="minorHAnsi" w:hAnsiTheme="minorHAnsi" w:cstheme="minorHAnsi"/>
        </w:rPr>
        <w:t>(1) poniżej, do celów pomiarowych środek (połowa szerokości) oznakowania linii środkowej drogi kołowania, drogi kołowania na płycie postojowej lub oznakowania linii prowadzącej na stanowisko postojowe statku powietrznego muszą być traktowane, jako dane referencyjne.</w:t>
      </w:r>
    </w:p>
    <w:p w14:paraId="37D49A8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Oznakowanie punktów rozpoczęcia i zakończenia prostych odcinków drogi kołowania, drogi kołowania na płycie postojowej i oznakowanie linii prowadzącej na stanowisko postojowe statku powietrznego muszą być zmierzone. Aby utrzymać wymaganą dokładność wzdłuż tych linii, należy dokonać pomiarów wystarczającej ilości dodatkowych punktów.</w:t>
      </w:r>
    </w:p>
    <w:p w14:paraId="723963DE" w14:textId="360E2102"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Na zakrzywionych odcinkach oznakowania drogi kołowania, drogi kołowania na płycie postojowej oraz linii prowadzącej na stanowisko postojowe statku powietrznego, musi być zmierzony początek i koniec zakrzywionego odcinka linii środkowej razem z punktem środkowym łuku i jego promieniem. W przypadku skomplikowanej krzywizny, musi być zmierzony środek i promień oraz początek i koniec k</w:t>
      </w:r>
      <w:r w:rsidR="00096164" w:rsidRPr="009E064B">
        <w:rPr>
          <w:rFonts w:asciiTheme="minorHAnsi" w:hAnsiTheme="minorHAnsi" w:cstheme="minorHAnsi"/>
        </w:rPr>
        <w:t>ażdego łuku. W przypadku, gdy w </w:t>
      </w:r>
      <w:r w:rsidRPr="009E064B">
        <w:rPr>
          <w:rFonts w:asciiTheme="minorHAnsi" w:hAnsiTheme="minorHAnsi" w:cstheme="minorHAnsi"/>
        </w:rPr>
        <w:t>danym miejscu jest to niewykonalne, należy dokonać szeregu pomiarów kolejnych punktów wzdłuż zakrzywionej części linii środkowej przy maksymalnej odległości między łukiem a cięciwą, nieprzekraczającej 0,25 m dla drogi kołowania oraz 0,10 m dla drogi kołowania na płycie postojowej i dla linii prowadząc</w:t>
      </w:r>
      <w:r w:rsidR="00B003A7" w:rsidRPr="009E064B">
        <w:rPr>
          <w:rFonts w:asciiTheme="minorHAnsi" w:hAnsiTheme="minorHAnsi" w:cstheme="minorHAnsi"/>
        </w:rPr>
        <w:t>ej na stanowisko postojowe. Aby </w:t>
      </w:r>
      <w:r w:rsidRPr="009E064B">
        <w:rPr>
          <w:rFonts w:asciiTheme="minorHAnsi" w:hAnsiTheme="minorHAnsi" w:cstheme="minorHAnsi"/>
        </w:rPr>
        <w:t>utrzymać wymaganą dokładność wzdłuż tych linii, musi być zmierzona wystarczająca ilości punktów. W czasie przetwarzania ww. danych, osoba dokonująca pomiarów musi prowadzić kontrolę graficzną punktów pomiarowych, aby zapewnić kolinearność.</w:t>
      </w:r>
    </w:p>
    <w:p w14:paraId="1EB91D48" w14:textId="77777777" w:rsidR="00B0686B" w:rsidRPr="009E064B" w:rsidRDefault="00B0686B" w:rsidP="00B06A9A">
      <w:pPr>
        <w:tabs>
          <w:tab w:val="left" w:pos="709"/>
        </w:tabs>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Drogi kołowania</w:t>
      </w:r>
    </w:p>
    <w:p w14:paraId="3EA520B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W celu umożliwienia niezakłóconego przemieszczania od linii środkowej rzeczywistej drogi startowej do linii środkowej drogi kołowania i zapewnienia wymaganej ciągłości wskazówek dla bazy danych nawigacyjnych statku powietrznego, należy dokonać rozróżnienia pomiędzy oznaczeniami na nawierzchni a rzeczywistym torem, którym statek powietrzny musi podążać. Dlatego, w celu kierowania statkiem powietrznym zajmującym lub opuszczającym drogę startową do startu lub lądowania, muszą być zmierzone niżej wymienione elementy:</w:t>
      </w:r>
    </w:p>
    <w:p w14:paraId="5FE49984" w14:textId="44280CD9"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punkt, w którym promień zakrętu, określony przez odpowiednią władzę dla każdej drogi kołowania, jest styczny do linii środkowej drogi startowej, i punkt, w</w:t>
      </w:r>
      <w:r w:rsidR="00537D00" w:rsidRPr="009E064B">
        <w:rPr>
          <w:rFonts w:asciiTheme="minorHAnsi" w:hAnsiTheme="minorHAnsi" w:cstheme="minorHAnsi"/>
        </w:rPr>
        <w:t xml:space="preserve"> </w:t>
      </w:r>
      <w:r w:rsidRPr="009E064B">
        <w:rPr>
          <w:rFonts w:asciiTheme="minorHAnsi" w:hAnsiTheme="minorHAnsi" w:cstheme="minorHAnsi"/>
        </w:rPr>
        <w:t>którym promień zakrętu łączy oznakowanie linii środkowej drogi kołowania ze styczną;</w:t>
      </w:r>
    </w:p>
    <w:p w14:paraId="5FE24E05"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punkt, który określa środek łuku; oraz</w:t>
      </w:r>
    </w:p>
    <w:p w14:paraId="07D7F355"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promień łuku.</w:t>
      </w:r>
    </w:p>
    <w:p w14:paraId="029EAB5F" w14:textId="77777777" w:rsidR="00B0686B" w:rsidRPr="009E064B" w:rsidRDefault="00B0686B" w:rsidP="00B06A9A">
      <w:pPr>
        <w:ind w:left="1134"/>
        <w:rPr>
          <w:rFonts w:asciiTheme="minorHAnsi" w:hAnsiTheme="minorHAnsi" w:cstheme="minorHAnsi"/>
        </w:rPr>
      </w:pPr>
      <w:r w:rsidRPr="009E064B">
        <w:rPr>
          <w:rFonts w:asciiTheme="minorHAnsi" w:hAnsiTheme="minorHAnsi" w:cstheme="minorHAnsi"/>
        </w:rPr>
        <w:t>W przypadku, gdy jest to niewykonalne, należy dokonać serii pomiarów kolejnych punktów wzdłuż zakrzywionego odcinka linii środkowej drogi kołowania.</w:t>
      </w:r>
    </w:p>
    <w:p w14:paraId="1C21046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W przypadku, gdy oznakowanie linii środkowej drogi kołowania znajduje się na drodze startowej, która jest częścią standardowej trasy kołowania lub linia środkowa drogi kołowania nie jest styczna do linii środkowej drogi startowej, to muszą być pomierzone następujące punkty:</w:t>
      </w:r>
    </w:p>
    <w:p w14:paraId="39B383D2"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punkt na oznakowaniu drogi kołowania, w którym droga kołowania wchodzi w drogę startową;</w:t>
      </w:r>
    </w:p>
    <w:p w14:paraId="36D4DEF0"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miejsce, w którym oznakowanie drogi kołowania odchyla się od linii prostej;</w:t>
      </w:r>
    </w:p>
    <w:p w14:paraId="1F797A40"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skrzyżowanie oznakowania linii środkowej drogi kołowania i granicy każdego „bloku”, który został opublikowany, jako część systemu kierowania i kontroli ruchu naziemnego; oraz</w:t>
      </w:r>
    </w:p>
    <w:p w14:paraId="1253B3A8"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punkt na oznakowaniu drogi kołowania, w którym droga kołowania wychodzi z drogi startowej.</w:t>
      </w:r>
    </w:p>
    <w:p w14:paraId="301FF5AB"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Przy określaniu dróg kołowania, w stosownych przypadkach, następujące punkty muszą być zmierzone w środku oznakowania każdej linii środkowej drogi kołowania:</w:t>
      </w:r>
    </w:p>
    <w:p w14:paraId="55207F74"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pośrednie miejsca oczekiwania i miejsca oczekiwania przed drogą startową (w tym te związane ze skrzyżowaniem drogi startowej z inną drogą startową, kiedy była droga startowa jest częścią standardowej trasy kołowania) i do punktów utworzonych w celu ochrony stref ochronnych pomocy radionawigacyjnych;</w:t>
      </w:r>
    </w:p>
    <w:p w14:paraId="5AC67947"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skrzyżowania oznakowań dróg kołowania;</w:t>
      </w:r>
    </w:p>
    <w:p w14:paraId="0B278777" w14:textId="15D1C70C"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skrzyżowania innych dróg kołowania, w tym dróg kołowania opisanych w</w:t>
      </w:r>
      <w:r w:rsidR="00537D00" w:rsidRPr="009E064B">
        <w:rPr>
          <w:rFonts w:asciiTheme="minorHAnsi" w:hAnsiTheme="minorHAnsi" w:cstheme="minorHAnsi"/>
        </w:rPr>
        <w:t xml:space="preserve"> </w:t>
      </w:r>
      <w:r w:rsidRPr="009E064B">
        <w:rPr>
          <w:rFonts w:asciiTheme="minorHAnsi" w:hAnsiTheme="minorHAnsi" w:cstheme="minorHAnsi"/>
        </w:rPr>
        <w:t>punkcie (c)(2) powyżej;</w:t>
      </w:r>
    </w:p>
    <w:p w14:paraId="06849E93"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skrzyżowania „bloków” określonych dla systemu kierowania i kontroli ruchu naziemnego;</w:t>
      </w:r>
    </w:p>
    <w:p w14:paraId="28C425AD"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(v) </w:t>
      </w:r>
      <w:r w:rsidRPr="009E064B">
        <w:rPr>
          <w:rFonts w:asciiTheme="minorHAnsi" w:hAnsiTheme="minorHAnsi" w:cstheme="minorHAnsi"/>
        </w:rPr>
        <w:tab/>
        <w:t>rozpoczęcia i zakończenia wyboru systemów oświetlenia dla dróg kołowania zapewnianych, jako części systemu kierowania i kontroli ruchu naziemnego, jeżeli jest inny niż w podpunkcie (iv) powyżej;</w:t>
      </w:r>
    </w:p>
    <w:p w14:paraId="07E62123" w14:textId="77777777" w:rsidR="00B0686B" w:rsidRPr="009E064B" w:rsidRDefault="00B0686B" w:rsidP="00B06A9A">
      <w:pPr>
        <w:tabs>
          <w:tab w:val="left" w:pos="709"/>
        </w:tabs>
        <w:ind w:left="567" w:hanging="567"/>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Stanowiska postojowe statków powietrznych</w:t>
      </w:r>
    </w:p>
    <w:p w14:paraId="2291F38A"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Określając stanowiska postojowe dla statków powietrznych, następujące punkty, w stosownych przypadkach, muszą być zmierzone w środku oznakowania linii prowadzącej na stanowisko postojowe statku powietrznego:</w:t>
      </w:r>
    </w:p>
    <w:p w14:paraId="5438B4F9"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linie środkowe drogi kołowania;</w:t>
      </w:r>
    </w:p>
    <w:p w14:paraId="1E838502"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linia (linie) wjazdu;</w:t>
      </w:r>
    </w:p>
    <w:p w14:paraId="36925B52"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linia łuku;</w:t>
      </w:r>
    </w:p>
    <w:p w14:paraId="27C6181B"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prosty odcinek linii łuku;</w:t>
      </w:r>
    </w:p>
    <w:p w14:paraId="759789F0"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(v) </w:t>
      </w:r>
      <w:r w:rsidRPr="009E064B">
        <w:rPr>
          <w:rFonts w:asciiTheme="minorHAnsi" w:hAnsiTheme="minorHAnsi" w:cstheme="minorHAnsi"/>
        </w:rPr>
        <w:tab/>
        <w:t>pozycja zatrzymania koła podwozia przedniego;</w:t>
      </w:r>
    </w:p>
    <w:p w14:paraId="5193BCFD"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(vi) </w:t>
      </w:r>
      <w:r w:rsidRPr="009E064B">
        <w:rPr>
          <w:rFonts w:asciiTheme="minorHAnsi" w:hAnsiTheme="minorHAnsi" w:cstheme="minorHAnsi"/>
        </w:rPr>
        <w:tab/>
        <w:t>geograficzny kurs poprzeczki wyprostowania; oraz</w:t>
      </w:r>
    </w:p>
    <w:p w14:paraId="2BC6190B"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(vii) </w:t>
      </w:r>
      <w:r w:rsidRPr="009E064B">
        <w:rPr>
          <w:rFonts w:asciiTheme="minorHAnsi" w:hAnsiTheme="minorHAnsi" w:cstheme="minorHAnsi"/>
        </w:rPr>
        <w:tab/>
        <w:t>linia wyjazdu.</w:t>
      </w:r>
    </w:p>
    <w:p w14:paraId="69BB7A62" w14:textId="0BF67A74"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W przypadku, gdy stanowiska postojowe statków powietrznych wykorzystywane są przez więcej niż jeden typu statku powietrznego i istnieją różne oznakowania linii prowadzącej, to musi być przygotowany przez mierniczego schemat pokazujący rozmieszczenie stosowanego oznakowania, wraz ze wskazaniem pomierzonych punktów. W przypadku, gdy wszystkie stanowiska na lotnisku</w:t>
      </w:r>
      <w:r w:rsidR="00371A8B" w:rsidRPr="009E064B">
        <w:rPr>
          <w:rFonts w:asciiTheme="minorHAnsi" w:hAnsiTheme="minorHAnsi" w:cstheme="minorHAnsi"/>
        </w:rPr>
        <w:t> </w:t>
      </w:r>
      <w:r w:rsidRPr="009E064B">
        <w:rPr>
          <w:rFonts w:asciiTheme="minorHAnsi" w:hAnsiTheme="minorHAnsi" w:cstheme="minorHAnsi"/>
        </w:rPr>
        <w:t>/</w:t>
      </w:r>
      <w:r w:rsidR="00371A8B" w:rsidRPr="009E064B">
        <w:rPr>
          <w:rFonts w:asciiTheme="minorHAnsi" w:hAnsiTheme="minorHAnsi" w:cstheme="minorHAnsi"/>
        </w:rPr>
        <w:t> </w:t>
      </w:r>
      <w:r w:rsidRPr="009E064B">
        <w:rPr>
          <w:rFonts w:asciiTheme="minorHAnsi" w:hAnsiTheme="minorHAnsi" w:cstheme="minorHAnsi"/>
        </w:rPr>
        <w:t>heliporcie są oznaczone w sposób jednolity, to musi być przygotowany tylko jeden taki schemat.</w:t>
      </w:r>
    </w:p>
    <w:p w14:paraId="5852F511" w14:textId="77777777" w:rsidR="00B0686B" w:rsidRPr="009E064B" w:rsidRDefault="00B0686B" w:rsidP="00B06A9A">
      <w:pPr>
        <w:tabs>
          <w:tab w:val="left" w:pos="1134"/>
        </w:tabs>
        <w:ind w:left="1134"/>
        <w:rPr>
          <w:rFonts w:asciiTheme="minorHAnsi" w:hAnsiTheme="minorHAnsi" w:cstheme="minorHAnsi"/>
        </w:rPr>
      </w:pPr>
      <w:r w:rsidRPr="009E064B">
        <w:rPr>
          <w:rFonts w:asciiTheme="minorHAnsi" w:hAnsiTheme="minorHAnsi" w:cstheme="minorHAnsi"/>
        </w:rPr>
        <w:t>Punkty, które powinny być pomierzone na drodze kołowania lub stanowisku postojowym, są przedstawione na niżej przedstawionych schematach:</w:t>
      </w:r>
    </w:p>
    <w:p w14:paraId="0190637F"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1B45BC35" w14:textId="77777777" w:rsidR="00B0686B" w:rsidRPr="009E064B" w:rsidRDefault="00B0686B" w:rsidP="00B06A9A">
      <w:pPr>
        <w:jc w:val="left"/>
        <w:rPr>
          <w:rFonts w:asciiTheme="minorHAnsi" w:hAnsiTheme="minorHAnsi" w:cstheme="minorHAnsi"/>
        </w:rPr>
      </w:pPr>
    </w:p>
    <w:p w14:paraId="5D51F227" w14:textId="5726B710" w:rsidR="00B0686B" w:rsidRPr="009E064B" w:rsidRDefault="00BF1E20" w:rsidP="00096164">
      <w:pPr>
        <w:ind w:left="426"/>
        <w:jc w:val="center"/>
        <w:rPr>
          <w:rFonts w:asciiTheme="minorHAnsi" w:hAnsiTheme="minorHAnsi" w:cstheme="minorHAnsi"/>
        </w:rPr>
      </w:pPr>
      <w:r w:rsidRPr="009E064B">
        <w:rPr>
          <w:noProof/>
          <w:lang w:eastAsia="pl-PL"/>
        </w:rPr>
        <w:drawing>
          <wp:inline distT="0" distB="0" distL="0" distR="0" wp14:anchorId="5877D806" wp14:editId="2E91DCD6">
            <wp:extent cx="5759450" cy="7184076"/>
            <wp:effectExtent l="0" t="0" r="0" b="0"/>
            <wp:docPr id="1385" name="Obraz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59450" cy="7184076"/>
                    </a:xfrm>
                    <a:prstGeom prst="rect">
                      <a:avLst/>
                    </a:prstGeom>
                    <a:noFill/>
                    <a:ln>
                      <a:noFill/>
                    </a:ln>
                  </pic:spPr>
                </pic:pic>
              </a:graphicData>
            </a:graphic>
          </wp:inline>
        </w:drawing>
      </w:r>
    </w:p>
    <w:p w14:paraId="0C049C26" w14:textId="77777777" w:rsidR="00D333EA" w:rsidRPr="009E064B" w:rsidRDefault="00D333EA" w:rsidP="00D333EA">
      <w:pPr>
        <w:spacing w:after="0"/>
        <w:jc w:val="center"/>
        <w:rPr>
          <w:rFonts w:asciiTheme="minorHAnsi" w:hAnsiTheme="minorHAnsi" w:cstheme="minorHAnsi"/>
        </w:rPr>
      </w:pPr>
    </w:p>
    <w:p w14:paraId="2BC3B0A7" w14:textId="1EE1B428" w:rsidR="00B0686B" w:rsidRPr="007B1601" w:rsidRDefault="00B0686B" w:rsidP="007B1601">
      <w:pPr>
        <w:jc w:val="center"/>
        <w:rPr>
          <w:rFonts w:asciiTheme="minorHAnsi" w:hAnsiTheme="minorHAnsi" w:cstheme="minorHAnsi"/>
          <w:b/>
          <w:sz w:val="20"/>
        </w:rPr>
      </w:pPr>
      <w:r w:rsidRPr="002C4C40">
        <w:rPr>
          <w:rFonts w:asciiTheme="minorHAnsi" w:hAnsiTheme="minorHAnsi" w:cstheme="minorHAnsi"/>
          <w:b/>
          <w:sz w:val="20"/>
        </w:rPr>
        <w:t>Rysunek 4</w:t>
      </w:r>
      <w:r w:rsidR="00D333EA" w:rsidRPr="002C4C40">
        <w:rPr>
          <w:rFonts w:asciiTheme="minorHAnsi" w:hAnsiTheme="minorHAnsi" w:cstheme="minorHAnsi"/>
          <w:b/>
          <w:sz w:val="20"/>
        </w:rPr>
        <w:t xml:space="preserve"> - Skrzyżowania drogi startowej i drogi kołowania podlegające pomiarom</w:t>
      </w:r>
    </w:p>
    <w:p w14:paraId="0D5CB6CF"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38DDE942" w14:textId="77777777" w:rsidR="00B0686B" w:rsidRPr="009E064B" w:rsidRDefault="00B0686B" w:rsidP="00B06A9A">
      <w:pPr>
        <w:rPr>
          <w:rFonts w:asciiTheme="minorHAnsi" w:hAnsiTheme="minorHAnsi" w:cstheme="minorHAnsi"/>
        </w:rPr>
      </w:pPr>
    </w:p>
    <w:p w14:paraId="344A5C73" w14:textId="1552CC32" w:rsidR="00B0686B" w:rsidRPr="009E064B" w:rsidRDefault="00670C31" w:rsidP="00D333EA">
      <w:pPr>
        <w:spacing w:after="0"/>
        <w:jc w:val="left"/>
        <w:rPr>
          <w:rFonts w:asciiTheme="minorHAnsi" w:hAnsiTheme="minorHAnsi" w:cstheme="minorHAnsi"/>
        </w:rPr>
      </w:pPr>
      <w:r w:rsidRPr="009E064B">
        <w:rPr>
          <w:noProof/>
          <w:lang w:eastAsia="pl-PL"/>
        </w:rPr>
        <w:drawing>
          <wp:inline distT="0" distB="0" distL="0" distR="0" wp14:anchorId="60BD2AB5" wp14:editId="2CD1C201">
            <wp:extent cx="5759450" cy="5286443"/>
            <wp:effectExtent l="0" t="0" r="0" b="0"/>
            <wp:docPr id="1534" name="Obraz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5286443"/>
                    </a:xfrm>
                    <a:prstGeom prst="rect">
                      <a:avLst/>
                    </a:prstGeom>
                    <a:noFill/>
                    <a:ln>
                      <a:noFill/>
                    </a:ln>
                  </pic:spPr>
                </pic:pic>
              </a:graphicData>
            </a:graphic>
          </wp:inline>
        </w:drawing>
      </w:r>
    </w:p>
    <w:p w14:paraId="03174A44" w14:textId="77777777" w:rsidR="00D333EA" w:rsidRPr="009E064B" w:rsidRDefault="00D333EA" w:rsidP="00D333EA">
      <w:pPr>
        <w:spacing w:before="240" w:after="0"/>
        <w:jc w:val="center"/>
        <w:rPr>
          <w:rFonts w:asciiTheme="minorHAnsi" w:hAnsiTheme="minorHAnsi" w:cstheme="minorHAnsi"/>
        </w:rPr>
      </w:pPr>
    </w:p>
    <w:p w14:paraId="23C96898" w14:textId="71A286B9" w:rsidR="00B0686B" w:rsidRPr="007B1601" w:rsidRDefault="00B0686B" w:rsidP="00D333EA">
      <w:pPr>
        <w:jc w:val="center"/>
        <w:rPr>
          <w:rFonts w:asciiTheme="minorHAnsi" w:hAnsiTheme="minorHAnsi" w:cstheme="minorHAnsi"/>
          <w:b/>
          <w:sz w:val="20"/>
        </w:rPr>
      </w:pPr>
      <w:r w:rsidRPr="002C4C40">
        <w:rPr>
          <w:rFonts w:asciiTheme="minorHAnsi" w:hAnsiTheme="minorHAnsi" w:cstheme="minorHAnsi"/>
          <w:b/>
          <w:sz w:val="20"/>
        </w:rPr>
        <w:t>Rysunek 5 - Skrzyżowanie drogi startowej i drogi kołowania podlegające pomiarom</w:t>
      </w:r>
    </w:p>
    <w:p w14:paraId="00BE4745" w14:textId="77777777" w:rsidR="00B0686B" w:rsidRPr="009E064B" w:rsidRDefault="00B0686B" w:rsidP="00B06A9A">
      <w:pPr>
        <w:rPr>
          <w:rFonts w:asciiTheme="minorHAnsi" w:hAnsiTheme="minorHAnsi" w:cstheme="minorHAnsi"/>
        </w:rPr>
      </w:pPr>
    </w:p>
    <w:p w14:paraId="1EC0D073" w14:textId="77777777" w:rsidR="00B0686B" w:rsidRPr="009E064B" w:rsidRDefault="00B0686B" w:rsidP="00B06A9A">
      <w:pPr>
        <w:rPr>
          <w:rFonts w:asciiTheme="minorHAnsi" w:hAnsiTheme="minorHAnsi" w:cstheme="minorHAnsi"/>
        </w:rPr>
      </w:pPr>
    </w:p>
    <w:p w14:paraId="66098FF6" w14:textId="77777777" w:rsidR="00B0686B" w:rsidRPr="009E064B" w:rsidRDefault="00B0686B" w:rsidP="00B06A9A">
      <w:pPr>
        <w:rPr>
          <w:rFonts w:asciiTheme="minorHAnsi" w:hAnsiTheme="minorHAnsi" w:cstheme="minorHAnsi"/>
        </w:rPr>
      </w:pPr>
    </w:p>
    <w:p w14:paraId="17E4C0F3" w14:textId="77777777" w:rsidR="00B0686B" w:rsidRPr="009E064B" w:rsidRDefault="00B0686B" w:rsidP="00B06A9A">
      <w:pPr>
        <w:rPr>
          <w:rFonts w:asciiTheme="minorHAnsi" w:hAnsiTheme="minorHAnsi" w:cstheme="minorHAnsi"/>
        </w:rPr>
      </w:pPr>
    </w:p>
    <w:p w14:paraId="3DCAEDB7" w14:textId="77777777" w:rsidR="00B0686B" w:rsidRPr="009E064B" w:rsidRDefault="00B0686B" w:rsidP="00B06A9A">
      <w:pPr>
        <w:jc w:val="center"/>
        <w:rPr>
          <w:rFonts w:asciiTheme="minorHAnsi" w:hAnsiTheme="minorHAnsi" w:cstheme="minorHAnsi"/>
        </w:rPr>
      </w:pPr>
    </w:p>
    <w:p w14:paraId="2D0E4B3D" w14:textId="77777777" w:rsidR="00B0686B" w:rsidRPr="009E064B" w:rsidRDefault="00B0686B" w:rsidP="00B06A9A">
      <w:pPr>
        <w:jc w:val="center"/>
        <w:rPr>
          <w:rFonts w:asciiTheme="minorHAnsi" w:hAnsiTheme="minorHAnsi" w:cstheme="minorHAnsi"/>
        </w:rPr>
      </w:pPr>
    </w:p>
    <w:p w14:paraId="1869411F" w14:textId="77777777" w:rsidR="00B0686B" w:rsidRPr="009E064B" w:rsidRDefault="00B0686B" w:rsidP="00B06A9A">
      <w:pPr>
        <w:jc w:val="center"/>
        <w:rPr>
          <w:rFonts w:asciiTheme="minorHAnsi" w:hAnsiTheme="minorHAnsi" w:cstheme="minorHAnsi"/>
        </w:rPr>
      </w:pPr>
    </w:p>
    <w:p w14:paraId="18F41390" w14:textId="77777777" w:rsidR="00B0686B" w:rsidRPr="009E064B" w:rsidRDefault="00B0686B" w:rsidP="00B06A9A">
      <w:pPr>
        <w:jc w:val="center"/>
        <w:rPr>
          <w:rFonts w:asciiTheme="minorHAnsi" w:hAnsiTheme="minorHAnsi" w:cstheme="minorHAnsi"/>
        </w:rPr>
      </w:pPr>
      <w:r w:rsidRPr="009E064B">
        <w:rPr>
          <w:rFonts w:asciiTheme="minorHAnsi" w:hAnsiTheme="minorHAnsi" w:cstheme="minorHAnsi"/>
          <w:noProof/>
          <w:lang w:eastAsia="pl-PL"/>
        </w:rPr>
        <mc:AlternateContent>
          <mc:Choice Requires="wps">
            <w:drawing>
              <wp:anchor distT="0" distB="0" distL="114300" distR="114300" simplePos="0" relativeHeight="251657216" behindDoc="0" locked="1" layoutInCell="1" allowOverlap="1" wp14:anchorId="30379311" wp14:editId="060C660D">
                <wp:simplePos x="0" y="0"/>
                <wp:positionH relativeFrom="column">
                  <wp:posOffset>2818130</wp:posOffset>
                </wp:positionH>
                <wp:positionV relativeFrom="paragraph">
                  <wp:posOffset>3206115</wp:posOffset>
                </wp:positionV>
                <wp:extent cx="700405" cy="1404620"/>
                <wp:effectExtent l="13335" t="33655" r="48260" b="9525"/>
                <wp:wrapNone/>
                <wp:docPr id="102" name="AutoShape 52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V="1">
                          <a:off x="0" y="0"/>
                          <a:ext cx="700405" cy="140462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05FF693" id="_x0000_t32" coordsize="21600,21600" o:spt="32" o:oned="t" path="m,l21600,21600e" filled="f">
                <v:path arrowok="t" fillok="f" o:connecttype="none"/>
                <o:lock v:ext="edit" shapetype="t"/>
              </v:shapetype>
              <v:shape id="AutoShape 521" o:spid="_x0000_s1026" type="#_x0000_t32" style="position:absolute;margin-left:221.9pt;margin-top:252.45pt;width:55.15pt;height:110.6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">
                <v:stroke endarrow="block" endarrowwidth="narrow" endarrowlength="short"/>
                <o:lock v:ext="edit" aspectratio="t"/>
                <w10:anchorlock/>
              </v:shape>
            </w:pict>
          </mc:Fallback>
        </mc:AlternateContent>
      </w:r>
      <w:r w:rsidRPr="009E064B">
        <w:rPr>
          <w:rFonts w:asciiTheme="minorHAnsi" w:hAnsiTheme="minorHAnsi" w:cstheme="minorHAnsi"/>
          <w:noProof/>
          <w:lang w:eastAsia="pl-PL"/>
        </w:rPr>
        <mc:AlternateContent>
          <mc:Choice Requires="wps">
            <w:drawing>
              <wp:anchor distT="0" distB="0" distL="114300" distR="114300" simplePos="0" relativeHeight="251655168" behindDoc="0" locked="1" layoutInCell="1" allowOverlap="1" wp14:anchorId="460D457E" wp14:editId="24B3B15A">
                <wp:simplePos x="0" y="0"/>
                <wp:positionH relativeFrom="column">
                  <wp:posOffset>1974850</wp:posOffset>
                </wp:positionH>
                <wp:positionV relativeFrom="paragraph">
                  <wp:posOffset>4610735</wp:posOffset>
                </wp:positionV>
                <wp:extent cx="1609725" cy="268605"/>
                <wp:effectExtent l="0" t="0" r="1270" b="0"/>
                <wp:wrapNone/>
                <wp:docPr id="101"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82E56" w14:textId="77777777" w:rsidR="003832F2" w:rsidRPr="00B32CF1" w:rsidRDefault="003832F2" w:rsidP="00B0686B">
                            <w:pPr>
                              <w:spacing w:after="0"/>
                              <w:jc w:val="center"/>
                              <w:rPr>
                                <w:sz w:val="16"/>
                                <w:szCs w:val="16"/>
                              </w:rPr>
                            </w:pPr>
                            <w:r w:rsidRPr="00B32CF1">
                              <w:rPr>
                                <w:sz w:val="16"/>
                                <w:szCs w:val="16"/>
                              </w:rPr>
                              <w:t xml:space="preserve">Oznakowanie linii </w:t>
                            </w:r>
                            <w:r>
                              <w:rPr>
                                <w:sz w:val="16"/>
                                <w:szCs w:val="16"/>
                              </w:rPr>
                              <w:t>środkowej</w:t>
                            </w:r>
                            <w:r>
                              <w:rPr>
                                <w:sz w:val="16"/>
                                <w:szCs w:val="16"/>
                              </w:rPr>
                              <w:br/>
                            </w:r>
                            <w:r w:rsidRPr="00B32CF1">
                              <w:rPr>
                                <w:sz w:val="16"/>
                                <w:szCs w:val="16"/>
                              </w:rPr>
                              <w:t xml:space="preserve"> drogi startowej</w:t>
                            </w:r>
                          </w:p>
                        </w:txbxContent>
                      </wps:txbx>
                      <wps:bodyPr rot="0" vert="horz" wrap="square" lIns="18000" tIns="10800" rIns="18000" bIns="10800" anchor="ctr"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60D457E" id="Text Box 520" o:spid="_x0000_s1033" type="#_x0000_t202" style="position:absolute;left:0;text-align:left;margin-left:155.5pt;margin-top:363.05pt;width:126.75pt;height:21.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" filled="f" stroked="f">
                <v:textbox style="mso-fit-shape-to-text:t" inset=".5mm,.3mm,.5mm,.3mm">
                  <w:txbxContent>
                    <w:p w14:paraId="42E82E56" w14:textId="77777777" w:rsidR="003832F2" w:rsidRPr="00B32CF1" w:rsidRDefault="003832F2" w:rsidP="00B0686B">
                      <w:pPr>
                        <w:spacing w:after="0"/>
                        <w:jc w:val="center"/>
                        <w:rPr>
                          <w:sz w:val="16"/>
                          <w:szCs w:val="16"/>
                        </w:rPr>
                      </w:pPr>
                      <w:r w:rsidRPr="00B32CF1">
                        <w:rPr>
                          <w:sz w:val="16"/>
                          <w:szCs w:val="16"/>
                        </w:rPr>
                        <w:t xml:space="preserve">Oznakowanie linii </w:t>
                      </w:r>
                      <w:r>
                        <w:rPr>
                          <w:sz w:val="16"/>
                          <w:szCs w:val="16"/>
                        </w:rPr>
                        <w:t>środkowej</w:t>
                      </w:r>
                      <w:r>
                        <w:rPr>
                          <w:sz w:val="16"/>
                          <w:szCs w:val="16"/>
                        </w:rPr>
                        <w:br/>
                      </w:r>
                      <w:r w:rsidRPr="00B32CF1">
                        <w:rPr>
                          <w:sz w:val="16"/>
                          <w:szCs w:val="16"/>
                        </w:rPr>
                        <w:t xml:space="preserve"> drogi startowej</w:t>
                      </w:r>
                    </w:p>
                  </w:txbxContent>
                </v:textbox>
                <w10:anchorlock/>
              </v:shape>
            </w:pict>
          </mc:Fallback>
        </mc:AlternateContent>
      </w:r>
    </w:p>
    <w:p w14:paraId="669F31DC" w14:textId="77777777" w:rsidR="00B0686B" w:rsidRPr="009E064B" w:rsidRDefault="00B0686B" w:rsidP="00B06A9A">
      <w:pPr>
        <w:jc w:val="center"/>
        <w:rPr>
          <w:rFonts w:asciiTheme="minorHAnsi" w:hAnsiTheme="minorHAnsi" w:cstheme="minorHAnsi"/>
        </w:rPr>
      </w:pPr>
    </w:p>
    <w:p w14:paraId="0448A7C2" w14:textId="77777777" w:rsidR="00B0686B" w:rsidRPr="009E064B" w:rsidRDefault="00B0686B" w:rsidP="00B06A9A">
      <w:pPr>
        <w:jc w:val="center"/>
        <w:rPr>
          <w:rFonts w:asciiTheme="minorHAnsi" w:hAnsiTheme="minorHAnsi" w:cstheme="minorHAnsi"/>
        </w:rPr>
      </w:pPr>
    </w:p>
    <w:p w14:paraId="321F45D1" w14:textId="23E00B5C" w:rsidR="00286050" w:rsidRPr="009E064B" w:rsidRDefault="00286050">
      <w:pPr>
        <w:spacing w:after="0"/>
        <w:jc w:val="left"/>
        <w:rPr>
          <w:rFonts w:asciiTheme="minorHAnsi" w:hAnsiTheme="minorHAnsi" w:cstheme="minorHAnsi"/>
        </w:rPr>
      </w:pPr>
    </w:p>
    <w:p w14:paraId="2B14F71E" w14:textId="71EE5B7D" w:rsidR="00B0686B" w:rsidRPr="009E064B" w:rsidRDefault="00B0686B" w:rsidP="00B06A9A">
      <w:pPr>
        <w:jc w:val="center"/>
        <w:rPr>
          <w:rFonts w:asciiTheme="minorHAnsi" w:hAnsiTheme="minorHAnsi" w:cstheme="minorHAnsi"/>
        </w:rPr>
      </w:pPr>
    </w:p>
    <w:p w14:paraId="6038B28F" w14:textId="2B5404C0" w:rsidR="00286050" w:rsidRPr="009E064B" w:rsidRDefault="00286050" w:rsidP="00B06A9A">
      <w:pPr>
        <w:jc w:val="center"/>
        <w:rPr>
          <w:rFonts w:asciiTheme="minorHAnsi" w:hAnsiTheme="minorHAnsi" w:cstheme="minorHAnsi"/>
        </w:rPr>
      </w:pPr>
      <w:r w:rsidRPr="009E064B">
        <w:rPr>
          <w:noProof/>
          <w:lang w:eastAsia="pl-PL"/>
        </w:rPr>
        <w:drawing>
          <wp:inline distT="0" distB="0" distL="0" distR="0" wp14:anchorId="7B11B758" wp14:editId="1CA79F1E">
            <wp:extent cx="5759450" cy="6762270"/>
            <wp:effectExtent l="0" t="0" r="0" b="0"/>
            <wp:docPr id="1531" name="Obraz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9450" cy="6762270"/>
                    </a:xfrm>
                    <a:prstGeom prst="rect">
                      <a:avLst/>
                    </a:prstGeom>
                    <a:noFill/>
                    <a:ln>
                      <a:noFill/>
                    </a:ln>
                  </pic:spPr>
                </pic:pic>
              </a:graphicData>
            </a:graphic>
          </wp:inline>
        </w:drawing>
      </w:r>
    </w:p>
    <w:p w14:paraId="0B85011F" w14:textId="77777777" w:rsidR="007B1601" w:rsidRDefault="007B1601" w:rsidP="007B1601">
      <w:pPr>
        <w:spacing w:after="0"/>
        <w:jc w:val="center"/>
        <w:rPr>
          <w:rFonts w:asciiTheme="minorHAnsi" w:hAnsiTheme="minorHAnsi" w:cstheme="minorHAnsi"/>
          <w:b/>
          <w:sz w:val="20"/>
        </w:rPr>
      </w:pPr>
    </w:p>
    <w:p w14:paraId="74C6350B" w14:textId="42993B4E" w:rsidR="00B0686B" w:rsidRPr="007B1601" w:rsidRDefault="00B0686B" w:rsidP="00B06A9A">
      <w:pPr>
        <w:jc w:val="center"/>
        <w:rPr>
          <w:rFonts w:asciiTheme="minorHAnsi" w:hAnsiTheme="minorHAnsi" w:cstheme="minorHAnsi"/>
          <w:b/>
          <w:sz w:val="20"/>
        </w:rPr>
      </w:pPr>
      <w:r w:rsidRPr="002C4C40">
        <w:rPr>
          <w:rFonts w:asciiTheme="minorHAnsi" w:hAnsiTheme="minorHAnsi" w:cstheme="minorHAnsi"/>
          <w:b/>
          <w:sz w:val="20"/>
        </w:rPr>
        <w:t>Rysunek 6 - Miejsca oczekiwania przed drogą startową podlegające pomiarom</w:t>
      </w:r>
    </w:p>
    <w:p w14:paraId="72EDEA31"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2C3E5C1A" w14:textId="77777777" w:rsidR="00B0686B" w:rsidRPr="009E064B" w:rsidRDefault="00B0686B" w:rsidP="00B06A9A">
      <w:pPr>
        <w:jc w:val="left"/>
        <w:rPr>
          <w:rFonts w:asciiTheme="minorHAnsi" w:hAnsiTheme="minorHAnsi" w:cstheme="minorHAnsi"/>
        </w:rPr>
      </w:pPr>
    </w:p>
    <w:p w14:paraId="6F60267D" w14:textId="5546F259" w:rsidR="00B0686B" w:rsidRPr="009E064B" w:rsidRDefault="00670C31" w:rsidP="00B06A9A">
      <w:pPr>
        <w:jc w:val="left"/>
        <w:rPr>
          <w:rFonts w:asciiTheme="minorHAnsi" w:hAnsiTheme="minorHAnsi" w:cstheme="minorHAnsi"/>
        </w:rPr>
      </w:pPr>
      <w:r w:rsidRPr="009E064B">
        <w:rPr>
          <w:noProof/>
          <w:lang w:eastAsia="pl-PL"/>
        </w:rPr>
        <w:drawing>
          <wp:inline distT="0" distB="0" distL="0" distR="0" wp14:anchorId="4AF47AF6" wp14:editId="658FF812">
            <wp:extent cx="5759450" cy="6820401"/>
            <wp:effectExtent l="0" t="0" r="0" b="0"/>
            <wp:docPr id="1535" name="Obraz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6820401"/>
                    </a:xfrm>
                    <a:prstGeom prst="rect">
                      <a:avLst/>
                    </a:prstGeom>
                    <a:noFill/>
                    <a:ln>
                      <a:noFill/>
                    </a:ln>
                  </pic:spPr>
                </pic:pic>
              </a:graphicData>
            </a:graphic>
          </wp:inline>
        </w:drawing>
      </w:r>
    </w:p>
    <w:p w14:paraId="56B16978" w14:textId="77777777" w:rsidR="00B0686B" w:rsidRPr="009E064B" w:rsidRDefault="00B0686B" w:rsidP="00D333EA">
      <w:pPr>
        <w:spacing w:after="0"/>
        <w:jc w:val="center"/>
        <w:rPr>
          <w:rFonts w:asciiTheme="minorHAnsi" w:hAnsiTheme="minorHAnsi" w:cstheme="minorHAnsi"/>
        </w:rPr>
      </w:pPr>
    </w:p>
    <w:p w14:paraId="6F27F556" w14:textId="77777777" w:rsidR="00B0686B" w:rsidRPr="007B1601" w:rsidRDefault="00B0686B" w:rsidP="00B06A9A">
      <w:pPr>
        <w:jc w:val="center"/>
        <w:rPr>
          <w:rFonts w:asciiTheme="minorHAnsi" w:hAnsiTheme="minorHAnsi" w:cstheme="minorHAnsi"/>
          <w:b/>
          <w:sz w:val="20"/>
        </w:rPr>
      </w:pPr>
      <w:r w:rsidRPr="002C4C40">
        <w:rPr>
          <w:rFonts w:asciiTheme="minorHAnsi" w:hAnsiTheme="minorHAnsi" w:cstheme="minorHAnsi"/>
          <w:b/>
          <w:sz w:val="20"/>
        </w:rPr>
        <w:t>Rysunek 7 – Skrzyżowanie drogi kołowania podlegające pomiarom</w:t>
      </w:r>
    </w:p>
    <w:p w14:paraId="6AFBCECA" w14:textId="77777777" w:rsidR="00B0686B" w:rsidRPr="009E064B" w:rsidRDefault="00B0686B" w:rsidP="00B06A9A">
      <w:pPr>
        <w:jc w:val="center"/>
        <w:rPr>
          <w:rFonts w:asciiTheme="minorHAnsi" w:hAnsiTheme="minorHAnsi" w:cstheme="minorHAnsi"/>
        </w:rPr>
      </w:pPr>
    </w:p>
    <w:p w14:paraId="5939009C"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7AD949CB" w14:textId="77777777" w:rsidR="00B0686B" w:rsidRPr="009E064B" w:rsidRDefault="00B0686B" w:rsidP="00B06A9A">
      <w:pPr>
        <w:jc w:val="center"/>
        <w:rPr>
          <w:rFonts w:asciiTheme="minorHAnsi" w:hAnsiTheme="minorHAnsi" w:cstheme="minorHAnsi"/>
        </w:rPr>
      </w:pPr>
    </w:p>
    <w:p w14:paraId="7CF0EAE0" w14:textId="77777777" w:rsidR="00B0686B" w:rsidRPr="009E064B" w:rsidRDefault="00B0686B" w:rsidP="00B06A9A">
      <w:pPr>
        <w:jc w:val="center"/>
        <w:rPr>
          <w:rFonts w:asciiTheme="minorHAnsi" w:hAnsiTheme="minorHAnsi" w:cstheme="minorHAnsi"/>
        </w:rPr>
      </w:pPr>
      <w:r w:rsidRPr="009E064B">
        <w:rPr>
          <w:rFonts w:asciiTheme="minorHAnsi" w:hAnsiTheme="minorHAnsi" w:cstheme="minorHAnsi"/>
          <w:noProof/>
          <w:lang w:eastAsia="pl-PL"/>
        </w:rPr>
        <mc:AlternateContent>
          <mc:Choice Requires="wpc">
            <w:drawing>
              <wp:inline distT="0" distB="0" distL="0" distR="0" wp14:anchorId="13245E78" wp14:editId="5F2CB0E4">
                <wp:extent cx="4320000" cy="2988000"/>
                <wp:effectExtent l="0" t="0" r="23495" b="22225"/>
                <wp:docPr id="1085" name="Kanwa 6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solidFill>
                          <a:prstDash val="solid"/>
                          <a:miter lim="800000"/>
                          <a:headEnd type="none" w="med" len="med"/>
                          <a:tailEnd type="none" w="med" len="med"/>
                        </a:ln>
                      </wpc:whole>
                      <wpg:wgp>
                        <wpg:cNvPr id="852" name="Group 62"/>
                        <wpg:cNvGrpSpPr>
                          <a:grpSpLocks/>
                        </wpg:cNvGrpSpPr>
                        <wpg:grpSpPr bwMode="auto">
                          <a:xfrm>
                            <a:off x="539878" y="209662"/>
                            <a:ext cx="3205795" cy="2541933"/>
                            <a:chOff x="475" y="-115"/>
                            <a:chExt cx="5342" cy="3516"/>
                          </a:xfrm>
                        </wpg:grpSpPr>
                        <wpg:grpSp>
                          <wpg:cNvPr id="853" name="Group 63"/>
                          <wpg:cNvGrpSpPr>
                            <a:grpSpLocks/>
                          </wpg:cNvGrpSpPr>
                          <wpg:grpSpPr bwMode="auto">
                            <a:xfrm>
                              <a:off x="475" y="-115"/>
                              <a:ext cx="4761" cy="3516"/>
                              <a:chOff x="475" y="-115"/>
                              <a:chExt cx="4761" cy="3516"/>
                            </a:xfrm>
                          </wpg:grpSpPr>
                          <wpg:grpSp>
                            <wpg:cNvPr id="854" name="Group 64"/>
                            <wpg:cNvGrpSpPr>
                              <a:grpSpLocks/>
                            </wpg:cNvGrpSpPr>
                            <wpg:grpSpPr bwMode="auto">
                              <a:xfrm>
                                <a:off x="475" y="-57"/>
                                <a:ext cx="4761" cy="3458"/>
                                <a:chOff x="475" y="-57"/>
                                <a:chExt cx="4761" cy="3458"/>
                              </a:xfrm>
                            </wpg:grpSpPr>
                            <wpg:grpSp>
                              <wpg:cNvPr id="855" name="Group 65"/>
                              <wpg:cNvGrpSpPr>
                                <a:grpSpLocks/>
                              </wpg:cNvGrpSpPr>
                              <wpg:grpSpPr bwMode="auto">
                                <a:xfrm>
                                  <a:off x="475" y="-57"/>
                                  <a:ext cx="4761" cy="3458"/>
                                  <a:chOff x="475" y="-57"/>
                                  <a:chExt cx="4761" cy="3458"/>
                                </a:xfrm>
                              </wpg:grpSpPr>
                              <wpg:grpSp>
                                <wpg:cNvPr id="856" name="Group 66"/>
                                <wpg:cNvGrpSpPr>
                                  <a:grpSpLocks/>
                                </wpg:cNvGrpSpPr>
                                <wpg:grpSpPr bwMode="auto">
                                  <a:xfrm>
                                    <a:off x="1829" y="-57"/>
                                    <a:ext cx="3407" cy="3458"/>
                                    <a:chOff x="1829" y="-57"/>
                                    <a:chExt cx="3407" cy="3458"/>
                                  </a:xfrm>
                                </wpg:grpSpPr>
                                <wpg:grpSp>
                                  <wpg:cNvPr id="857" name="Group 67"/>
                                  <wpg:cNvGrpSpPr>
                                    <a:grpSpLocks/>
                                  </wpg:cNvGrpSpPr>
                                  <wpg:grpSpPr bwMode="auto">
                                    <a:xfrm>
                                      <a:off x="1829" y="-57"/>
                                      <a:ext cx="3407" cy="3458"/>
                                      <a:chOff x="1829" y="-57"/>
                                      <a:chExt cx="3407" cy="3458"/>
                                    </a:xfrm>
                                  </wpg:grpSpPr>
                                  <wpg:grpSp>
                                    <wpg:cNvPr id="858" name="Group 68"/>
                                    <wpg:cNvGrpSpPr>
                                      <a:grpSpLocks/>
                                    </wpg:cNvGrpSpPr>
                                    <wpg:grpSpPr bwMode="auto">
                                      <a:xfrm>
                                        <a:off x="1829" y="-57"/>
                                        <a:ext cx="3407" cy="3458"/>
                                        <a:chOff x="1829" y="-57"/>
                                        <a:chExt cx="3407" cy="3458"/>
                                      </a:xfrm>
                                    </wpg:grpSpPr>
                                    <wpg:grpSp>
                                      <wpg:cNvPr id="859" name="Group 69"/>
                                      <wpg:cNvGrpSpPr>
                                        <a:grpSpLocks/>
                                      </wpg:cNvGrpSpPr>
                                      <wpg:grpSpPr bwMode="auto">
                                        <a:xfrm>
                                          <a:off x="1829" y="-57"/>
                                          <a:ext cx="3407" cy="3279"/>
                                          <a:chOff x="103" y="-57"/>
                                          <a:chExt cx="3407" cy="3279"/>
                                        </a:xfrm>
                                      </wpg:grpSpPr>
                                      <wpg:grpSp>
                                        <wpg:cNvPr id="860" name="Group 70"/>
                                        <wpg:cNvGrpSpPr>
                                          <a:grpSpLocks/>
                                        </wpg:cNvGrpSpPr>
                                        <wpg:grpSpPr bwMode="auto">
                                          <a:xfrm>
                                            <a:off x="103" y="-57"/>
                                            <a:ext cx="3407" cy="3279"/>
                                            <a:chOff x="103" y="-57"/>
                                            <a:chExt cx="3407" cy="3279"/>
                                          </a:xfrm>
                                        </wpg:grpSpPr>
                                        <wpg:grpSp>
                                          <wpg:cNvPr id="861" name="Group 71"/>
                                          <wpg:cNvGrpSpPr>
                                            <a:grpSpLocks/>
                                          </wpg:cNvGrpSpPr>
                                          <wpg:grpSpPr bwMode="auto">
                                            <a:xfrm>
                                              <a:off x="103" y="-57"/>
                                              <a:ext cx="3407" cy="3279"/>
                                              <a:chOff x="103" y="-57"/>
                                              <a:chExt cx="3407" cy="3279"/>
                                            </a:xfrm>
                                          </wpg:grpSpPr>
                                          <wpg:grpSp>
                                            <wpg:cNvPr id="862" name="Group 72"/>
                                            <wpg:cNvGrpSpPr>
                                              <a:grpSpLocks/>
                                            </wpg:cNvGrpSpPr>
                                            <wpg:grpSpPr bwMode="auto">
                                              <a:xfrm>
                                                <a:off x="103" y="-57"/>
                                                <a:ext cx="3407" cy="3279"/>
                                                <a:chOff x="103" y="-57"/>
                                                <a:chExt cx="3407" cy="3279"/>
                                              </a:xfrm>
                                            </wpg:grpSpPr>
                                            <pic:pic xmlns:pic="http://schemas.openxmlformats.org/drawingml/2006/picture">
                                              <pic:nvPicPr>
                                                <pic:cNvPr id="863" name="Picture 73"/>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3" y="-57"/>
                                                  <a:ext cx="3407" cy="3279"/>
                                                </a:xfrm>
                                                <a:prstGeom prst="rect">
                                                  <a:avLst/>
                                                </a:prstGeom>
                                                <a:noFill/>
                                                <a:extLst>
                                                  <a:ext uri="{909E8E84-426E-40DD-AFC4-6F175D3DCCD1}">
                                                    <a14:hiddenFill xmlns:a14="http://schemas.microsoft.com/office/drawing/2010/main">
                                                      <a:solidFill>
                                                        <a:srgbClr val="FFFFFF"/>
                                                      </a:solidFill>
                                                    </a14:hiddenFill>
                                                  </a:ext>
                                                </a:extLst>
                                              </pic:spPr>
                                            </pic:pic>
                                            <wps:wsp>
                                              <wps:cNvPr id="1056" name="AutoShape 74"/>
                                              <wps:cNvSpPr>
                                                <a:spLocks noChangeArrowheads="1"/>
                                              </wps:cNvSpPr>
                                              <wps:spPr bwMode="auto">
                                                <a:xfrm>
                                                  <a:off x="1769" y="2118"/>
                                                  <a:ext cx="71" cy="331"/>
                                                </a:xfrm>
                                                <a:prstGeom prst="triangle">
                                                  <a:avLst>
                                                    <a:gd name="adj" fmla="val 50000"/>
                                                  </a:avLst>
                                                </a:prstGeom>
                                                <a:solidFill>
                                                  <a:srgbClr val="000000"/>
                                                </a:solidFill>
                                                <a:ln w="9525">
                                                  <a:solidFill>
                                                    <a:srgbClr val="000000"/>
                                                  </a:solidFill>
                                                  <a:miter lim="800000"/>
                                                  <a:headEnd/>
                                                  <a:tailEnd/>
                                                </a:ln>
                                              </wps:spPr>
                                              <wps:bodyPr rot="0" vert="horz" wrap="square" lIns="18000" tIns="18000" rIns="18000" bIns="18000" anchor="ctr" anchorCtr="0" upright="1">
                                                <a:spAutoFit/>
                                              </wps:bodyPr>
                                            </wps:wsp>
                                          </wpg:grpSp>
                                          <wps:wsp>
                                            <wps:cNvPr id="1057" name="AutoShape 75"/>
                                            <wps:cNvSpPr>
                                              <a:spLocks noChangeArrowheads="1"/>
                                            </wps:cNvSpPr>
                                            <wps:spPr bwMode="auto">
                                              <a:xfrm>
                                                <a:off x="1759" y="2358"/>
                                                <a:ext cx="71" cy="200"/>
                                              </a:xfrm>
                                              <a:prstGeom prst="triangle">
                                                <a:avLst>
                                                  <a:gd name="adj" fmla="val 50000"/>
                                                </a:avLst>
                                              </a:prstGeom>
                                              <a:solidFill>
                                                <a:srgbClr val="FFFFFF"/>
                                              </a:solidFill>
                                              <a:ln w="9525">
                                                <a:solidFill>
                                                  <a:srgbClr val="FFFFFF"/>
                                                </a:solidFill>
                                                <a:miter lim="800000"/>
                                                <a:headEnd/>
                                                <a:tailEnd/>
                                              </a:ln>
                                            </wps:spPr>
                                            <wps:bodyPr rot="0" vert="horz" wrap="square" lIns="18000" tIns="18000" rIns="18000" bIns="18000" anchor="ctr" anchorCtr="0" upright="1">
                                              <a:spAutoFit/>
                                            </wps:bodyPr>
                                          </wps:wsp>
                                        </wpg:grpSp>
                                        <wpg:grpSp>
                                          <wpg:cNvPr id="1058" name="Group 76"/>
                                          <wpg:cNvGrpSpPr>
                                            <a:grpSpLocks/>
                                          </wpg:cNvGrpSpPr>
                                          <wpg:grpSpPr bwMode="auto">
                                            <a:xfrm>
                                              <a:off x="2091" y="2110"/>
                                              <a:ext cx="713" cy="716"/>
                                              <a:chOff x="2091" y="2110"/>
                                              <a:chExt cx="713" cy="716"/>
                                            </a:xfrm>
                                          </wpg:grpSpPr>
                                          <wpg:grpSp>
                                            <wpg:cNvPr id="1059" name="Group 77"/>
                                            <wpg:cNvGrpSpPr>
                                              <a:grpSpLocks/>
                                            </wpg:cNvGrpSpPr>
                                            <wpg:grpSpPr bwMode="auto">
                                              <a:xfrm>
                                                <a:off x="2691" y="2110"/>
                                                <a:ext cx="113" cy="113"/>
                                                <a:chOff x="2984" y="11538"/>
                                                <a:chExt cx="147" cy="147"/>
                                              </a:xfrm>
                                            </wpg:grpSpPr>
                                            <wps:wsp>
                                              <wps:cNvPr id="1060" name="AutoShape 78"/>
                                              <wps:cNvCnPr>
                                                <a:cxnSpLocks noChangeShapeType="1"/>
                                              </wps:cNvCnPr>
                                              <wps:spPr bwMode="auto">
                                                <a:xfrm>
                                                  <a:off x="3060" y="11538"/>
                                                  <a:ext cx="1" cy="147"/>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61" name="AutoShape 79"/>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062" name="AutoShape 80"/>
                                            <wps:cNvCnPr>
                                              <a:cxnSpLocks noChangeShapeType="1"/>
                                            </wps:cNvCnPr>
                                            <wps:spPr bwMode="auto">
                                              <a:xfrm rot="5400000">
                                                <a:off x="2091" y="2183"/>
                                                <a:ext cx="643" cy="643"/>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grpSp>
                                      <wpg:grpSp>
                                        <wpg:cNvPr id="1063" name="Group 81"/>
                                        <wpg:cNvGrpSpPr>
                                          <a:grpSpLocks/>
                                        </wpg:cNvGrpSpPr>
                                        <wpg:grpSpPr bwMode="auto">
                                          <a:xfrm>
                                            <a:off x="778" y="2128"/>
                                            <a:ext cx="706" cy="694"/>
                                            <a:chOff x="778" y="2128"/>
                                            <a:chExt cx="706" cy="694"/>
                                          </a:xfrm>
                                        </wpg:grpSpPr>
                                        <wps:wsp>
                                          <wps:cNvPr id="1064" name="AutoShape 82"/>
                                          <wps:cNvCnPr>
                                            <a:cxnSpLocks noChangeShapeType="1"/>
                                          </wps:cNvCnPr>
                                          <wps:spPr bwMode="auto">
                                            <a:xfrm>
                                              <a:off x="841" y="2179"/>
                                              <a:ext cx="643" cy="643"/>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1065" name="Group 83"/>
                                          <wpg:cNvGrpSpPr>
                                            <a:grpSpLocks/>
                                          </wpg:cNvGrpSpPr>
                                          <wpg:grpSpPr bwMode="auto">
                                            <a:xfrm>
                                              <a:off x="778" y="2128"/>
                                              <a:ext cx="113" cy="113"/>
                                              <a:chOff x="2984" y="11538"/>
                                              <a:chExt cx="147" cy="147"/>
                                            </a:xfrm>
                                          </wpg:grpSpPr>
                                          <wps:wsp>
                                            <wps:cNvPr id="1066" name="AutoShape 84"/>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67" name="AutoShape 85"/>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068" name="Text Box 86"/>
                                      <wps:cNvSpPr txBox="1">
                                        <a:spLocks noChangeArrowheads="1"/>
                                      </wps:cNvSpPr>
                                      <wps:spPr bwMode="auto">
                                        <a:xfrm>
                                          <a:off x="2564" y="314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EEE90" w14:textId="77777777" w:rsidR="003832F2" w:rsidRPr="00EB470F" w:rsidRDefault="003832F2" w:rsidP="00B0686B">
                                            <w:pPr>
                                              <w:spacing w:after="0"/>
                                              <w:jc w:val="center"/>
                                              <w:rPr>
                                                <w:sz w:val="20"/>
                                                <w:szCs w:val="17"/>
                                              </w:rPr>
                                            </w:pPr>
                                            <w:r w:rsidRPr="00EB470F">
                                              <w:rPr>
                                                <w:sz w:val="20"/>
                                                <w:szCs w:val="17"/>
                                              </w:rPr>
                                              <w:t>A</w:t>
                                            </w:r>
                                          </w:p>
                                        </w:txbxContent>
                                      </wps:txbx>
                                      <wps:bodyPr rot="0" vert="horz" wrap="square" lIns="16740" tIns="10044" rIns="16740" bIns="10044" anchor="ctr" anchorCtr="0" upright="1">
                                        <a:noAutofit/>
                                      </wps:bodyPr>
                                    </wps:wsp>
                                    <wps:wsp>
                                      <wps:cNvPr id="1069" name="Text Box 87"/>
                                      <wps:cNvSpPr txBox="1">
                                        <a:spLocks noChangeArrowheads="1"/>
                                      </wps:cNvSpPr>
                                      <wps:spPr bwMode="auto">
                                        <a:xfrm>
                                          <a:off x="4294" y="313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35EC0" w14:textId="77777777" w:rsidR="003832F2" w:rsidRPr="009E418F" w:rsidRDefault="003832F2" w:rsidP="00B0686B">
                                            <w:pPr>
                                              <w:spacing w:after="0"/>
                                              <w:jc w:val="center"/>
                                              <w:rPr>
                                                <w:sz w:val="17"/>
                                                <w:szCs w:val="17"/>
                                              </w:rPr>
                                            </w:pPr>
                                            <w:r w:rsidRPr="00EB470F">
                                              <w:rPr>
                                                <w:sz w:val="20"/>
                                                <w:szCs w:val="17"/>
                                              </w:rPr>
                                              <w:t>E</w:t>
                                            </w:r>
                                          </w:p>
                                        </w:txbxContent>
                                      </wps:txbx>
                                      <wps:bodyPr rot="0" vert="horz" wrap="square" lIns="16740" tIns="10044" rIns="16740" bIns="10044" anchor="ctr" anchorCtr="0" upright="1">
                                        <a:noAutofit/>
                                      </wps:bodyPr>
                                    </wps:wsp>
                                  </wpg:grpSp>
                                  <wps:wsp>
                                    <wps:cNvPr id="1070" name="Text Box 88"/>
                                    <wps:cNvSpPr txBox="1">
                                      <a:spLocks noChangeArrowheads="1"/>
                                    </wps:cNvSpPr>
                                    <wps:spPr bwMode="auto">
                                      <a:xfrm>
                                        <a:off x="2314" y="195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8F6F1" w14:textId="77777777" w:rsidR="003832F2" w:rsidRPr="00EB470F" w:rsidRDefault="003832F2" w:rsidP="00B0686B">
                                          <w:pPr>
                                            <w:spacing w:after="0"/>
                                            <w:jc w:val="center"/>
                                            <w:rPr>
                                              <w:szCs w:val="17"/>
                                            </w:rPr>
                                          </w:pPr>
                                          <w:r w:rsidRPr="00EB470F">
                                            <w:rPr>
                                              <w:szCs w:val="17"/>
                                            </w:rPr>
                                            <w:t>B</w:t>
                                          </w:r>
                                        </w:p>
                                      </w:txbxContent>
                                    </wps:txbx>
                                    <wps:bodyPr rot="0" vert="horz" wrap="square" lIns="16740" tIns="10044" rIns="16740" bIns="10044" anchor="ctr" anchorCtr="0" upright="1">
                                      <a:noAutofit/>
                                    </wps:bodyPr>
                                  </wps:wsp>
                                  <wps:wsp>
                                    <wps:cNvPr id="1071" name="Text Box 89"/>
                                    <wps:cNvSpPr txBox="1">
                                      <a:spLocks noChangeArrowheads="1"/>
                                    </wps:cNvSpPr>
                                    <wps:spPr bwMode="auto">
                                      <a:xfrm>
                                        <a:off x="3494" y="200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BFCC4" w14:textId="77777777" w:rsidR="003832F2" w:rsidRPr="00670C31" w:rsidRDefault="003832F2" w:rsidP="00B0686B">
                                          <w:pPr>
                                            <w:spacing w:after="0"/>
                                            <w:jc w:val="center"/>
                                            <w:rPr>
                                              <w:sz w:val="18"/>
                                              <w:szCs w:val="17"/>
                                            </w:rPr>
                                          </w:pPr>
                                          <w:r w:rsidRPr="00EB470F">
                                            <w:rPr>
                                              <w:sz w:val="20"/>
                                              <w:szCs w:val="17"/>
                                            </w:rPr>
                                            <w:t>C</w:t>
                                          </w:r>
                                        </w:p>
                                      </w:txbxContent>
                                    </wps:txbx>
                                    <wps:bodyPr rot="0" vert="horz" wrap="square" lIns="16740" tIns="10044" rIns="16740" bIns="10044" anchor="ctr" anchorCtr="0" upright="1">
                                      <a:noAutofit/>
                                    </wps:bodyPr>
                                  </wps:wsp>
                                </wpg:grpSp>
                                <wpg:grpSp>
                                  <wpg:cNvPr id="1072" name="Group 90"/>
                                  <wpg:cNvGrpSpPr>
                                    <a:grpSpLocks/>
                                  </wpg:cNvGrpSpPr>
                                  <wpg:grpSpPr bwMode="auto">
                                    <a:xfrm>
                                      <a:off x="2744" y="2241"/>
                                      <a:ext cx="1550" cy="291"/>
                                      <a:chOff x="2744" y="2241"/>
                                      <a:chExt cx="1550" cy="291"/>
                                    </a:xfrm>
                                  </wpg:grpSpPr>
                                  <wps:wsp>
                                    <wps:cNvPr id="1073" name="Text Box 91"/>
                                    <wps:cNvSpPr txBox="1">
                                      <a:spLocks noChangeArrowheads="1"/>
                                    </wps:cNvSpPr>
                                    <wps:spPr bwMode="auto">
                                      <a:xfrm>
                                        <a:off x="4004" y="224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A1303" w14:textId="77777777" w:rsidR="003832F2" w:rsidRPr="009E418F" w:rsidRDefault="003832F2" w:rsidP="00B0686B">
                                          <w:pPr>
                                            <w:spacing w:after="0"/>
                                            <w:jc w:val="center"/>
                                            <w:rPr>
                                              <w:sz w:val="17"/>
                                              <w:szCs w:val="17"/>
                                            </w:rPr>
                                          </w:pPr>
                                          <w:r w:rsidRPr="009E418F">
                                            <w:rPr>
                                              <w:sz w:val="17"/>
                                              <w:szCs w:val="17"/>
                                            </w:rPr>
                                            <w:t>r</w:t>
                                          </w:r>
                                        </w:p>
                                      </w:txbxContent>
                                    </wps:txbx>
                                    <wps:bodyPr rot="0" vert="horz" wrap="square" lIns="16740" tIns="10044" rIns="16740" bIns="10044" anchor="ctr" anchorCtr="0" upright="1">
                                      <a:noAutofit/>
                                    </wps:bodyPr>
                                  </wps:wsp>
                                  <wps:wsp>
                                    <wps:cNvPr id="1074" name="Text Box 92"/>
                                    <wps:cNvSpPr txBox="1">
                                      <a:spLocks noChangeArrowheads="1"/>
                                    </wps:cNvSpPr>
                                    <wps:spPr bwMode="auto">
                                      <a:xfrm>
                                        <a:off x="2744" y="227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59C98" w14:textId="77777777" w:rsidR="003832F2" w:rsidRPr="009E418F" w:rsidRDefault="003832F2" w:rsidP="00B0686B">
                                          <w:pPr>
                                            <w:spacing w:after="0"/>
                                            <w:jc w:val="center"/>
                                            <w:rPr>
                                              <w:sz w:val="17"/>
                                              <w:szCs w:val="17"/>
                                            </w:rPr>
                                          </w:pPr>
                                          <w:r w:rsidRPr="009E418F">
                                            <w:rPr>
                                              <w:sz w:val="17"/>
                                              <w:szCs w:val="17"/>
                                            </w:rPr>
                                            <w:t>r</w:t>
                                          </w:r>
                                        </w:p>
                                      </w:txbxContent>
                                    </wps:txbx>
                                    <wps:bodyPr rot="0" vert="horz" wrap="square" lIns="16740" tIns="10044" rIns="16740" bIns="10044" anchor="ctr" anchorCtr="0" upright="1">
                                      <a:noAutofit/>
                                    </wps:bodyPr>
                                  </wps:wsp>
                                </wpg:grpSp>
                              </wpg:grpSp>
                              <wpg:grpSp>
                                <wpg:cNvPr id="1075" name="Group 93"/>
                                <wpg:cNvGrpSpPr>
                                  <a:grpSpLocks/>
                                </wpg:cNvGrpSpPr>
                                <wpg:grpSpPr bwMode="auto">
                                  <a:xfrm>
                                    <a:off x="475" y="-57"/>
                                    <a:ext cx="2306" cy="414"/>
                                    <a:chOff x="475" y="-57"/>
                                    <a:chExt cx="2306" cy="414"/>
                                  </a:xfrm>
                                </wpg:grpSpPr>
                                <wps:wsp>
                                  <wps:cNvPr id="1076" name="Text Box 94"/>
                                  <wps:cNvSpPr txBox="1">
                                    <a:spLocks noChangeArrowheads="1"/>
                                  </wps:cNvSpPr>
                                  <wps:spPr bwMode="auto">
                                    <a:xfrm>
                                      <a:off x="475" y="-57"/>
                                      <a:ext cx="1644"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78BAC" w14:textId="77777777" w:rsidR="003832F2" w:rsidRPr="00670C31" w:rsidRDefault="003832F2" w:rsidP="00B0686B">
                                        <w:pPr>
                                          <w:spacing w:after="0"/>
                                          <w:rPr>
                                            <w:sz w:val="20"/>
                                            <w:szCs w:val="13"/>
                                          </w:rPr>
                                        </w:pPr>
                                        <w:r w:rsidRPr="00670C31">
                                          <w:rPr>
                                            <w:sz w:val="20"/>
                                            <w:szCs w:val="13"/>
                                          </w:rPr>
                                          <w:t>Linia zatrzymania</w:t>
                                        </w:r>
                                      </w:p>
                                    </w:txbxContent>
                                  </wps:txbx>
                                  <wps:bodyPr rot="0" vert="horz" wrap="square" lIns="16740" tIns="10044" rIns="16740" bIns="10044" anchor="ctr" anchorCtr="0" upright="1">
                                    <a:noAutofit/>
                                  </wps:bodyPr>
                                </wps:wsp>
                                <wps:wsp>
                                  <wps:cNvPr id="1077" name="AutoShape 95"/>
                                  <wps:cNvCnPr>
                                    <a:cxnSpLocks noChangeShapeType="1"/>
                                  </wps:cNvCnPr>
                                  <wps:spPr bwMode="auto">
                                    <a:xfrm>
                                      <a:off x="2035" y="74"/>
                                      <a:ext cx="746" cy="283"/>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s:wsp>
                              <wps:cNvPr id="1078" name="Text Box 96"/>
                              <wps:cNvSpPr txBox="1">
                                <a:spLocks noChangeArrowheads="1"/>
                              </wps:cNvSpPr>
                              <wps:spPr bwMode="auto">
                                <a:xfrm>
                                  <a:off x="4434" y="1951"/>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4B275" w14:textId="77777777" w:rsidR="003832F2" w:rsidRPr="00670C31" w:rsidRDefault="003832F2" w:rsidP="00B0686B">
                                    <w:pPr>
                                      <w:spacing w:after="0"/>
                                      <w:jc w:val="center"/>
                                      <w:rPr>
                                        <w:sz w:val="18"/>
                                        <w:szCs w:val="17"/>
                                      </w:rPr>
                                    </w:pPr>
                                    <w:r w:rsidRPr="00EB470F">
                                      <w:rPr>
                                        <w:sz w:val="20"/>
                                        <w:szCs w:val="17"/>
                                      </w:rPr>
                                      <w:t>D</w:t>
                                    </w:r>
                                  </w:p>
                                </w:txbxContent>
                              </wps:txbx>
                              <wps:bodyPr rot="0" vert="horz" wrap="square" lIns="16740" tIns="10044" rIns="16740" bIns="10044" anchor="ctr" anchorCtr="0" upright="1">
                                <a:noAutofit/>
                              </wps:bodyPr>
                            </wps:wsp>
                          </wpg:grpSp>
                          <wpg:grpSp>
                            <wpg:cNvPr id="1079" name="Group 97"/>
                            <wpg:cNvGrpSpPr>
                              <a:grpSpLocks/>
                            </wpg:cNvGrpSpPr>
                            <wpg:grpSpPr bwMode="auto">
                              <a:xfrm>
                                <a:off x="3372" y="-115"/>
                                <a:ext cx="522" cy="709"/>
                                <a:chOff x="3372" y="-115"/>
                                <a:chExt cx="522" cy="709"/>
                              </a:xfrm>
                            </wpg:grpSpPr>
                            <wps:wsp>
                              <wps:cNvPr id="1080" name="Text Box 98"/>
                              <wps:cNvSpPr txBox="1">
                                <a:spLocks noChangeArrowheads="1"/>
                              </wps:cNvSpPr>
                              <wps:spPr bwMode="auto">
                                <a:xfrm>
                                  <a:off x="3372" y="-115"/>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22D18" w14:textId="77777777" w:rsidR="003832F2" w:rsidRPr="00EB470F" w:rsidRDefault="003832F2" w:rsidP="00B0686B">
                                    <w:pPr>
                                      <w:spacing w:after="0"/>
                                      <w:jc w:val="center"/>
                                      <w:rPr>
                                        <w:sz w:val="18"/>
                                        <w:szCs w:val="17"/>
                                      </w:rPr>
                                    </w:pPr>
                                    <w:r w:rsidRPr="00EB470F">
                                      <w:rPr>
                                        <w:sz w:val="20"/>
                                        <w:szCs w:val="17"/>
                                      </w:rPr>
                                      <w:t>G</w:t>
                                    </w:r>
                                  </w:p>
                                </w:txbxContent>
                              </wps:txbx>
                              <wps:bodyPr rot="0" vert="horz" wrap="square" lIns="16740" tIns="10044" rIns="16740" bIns="10044" anchor="ctr" anchorCtr="0" upright="1">
                                <a:noAutofit/>
                              </wps:bodyPr>
                            </wps:wsp>
                            <wps:wsp>
                              <wps:cNvPr id="1081" name="Text Box 99"/>
                              <wps:cNvSpPr txBox="1">
                                <a:spLocks noChangeArrowheads="1"/>
                              </wps:cNvSpPr>
                              <wps:spPr bwMode="auto">
                                <a:xfrm>
                                  <a:off x="3604" y="333"/>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16F73" w14:textId="77777777" w:rsidR="003832F2" w:rsidRPr="00EB470F" w:rsidRDefault="003832F2" w:rsidP="00B0686B">
                                    <w:pPr>
                                      <w:spacing w:after="0"/>
                                      <w:jc w:val="center"/>
                                      <w:rPr>
                                        <w:sz w:val="20"/>
                                        <w:szCs w:val="17"/>
                                      </w:rPr>
                                    </w:pPr>
                                    <w:r w:rsidRPr="00EB470F">
                                      <w:rPr>
                                        <w:sz w:val="20"/>
                                        <w:szCs w:val="17"/>
                                      </w:rPr>
                                      <w:t>F</w:t>
                                    </w:r>
                                  </w:p>
                                </w:txbxContent>
                              </wps:txbx>
                              <wps:bodyPr rot="0" vert="horz" wrap="square" lIns="16740" tIns="10044" rIns="16740" bIns="10044" anchor="ctr" anchorCtr="0" upright="1">
                                <a:noAutofit/>
                              </wps:bodyPr>
                            </wps:wsp>
                          </wpg:grpSp>
                        </wpg:grpSp>
                        <wpg:grpSp>
                          <wpg:cNvPr id="1082" name="Group 100"/>
                          <wpg:cNvGrpSpPr>
                            <a:grpSpLocks/>
                          </wpg:cNvGrpSpPr>
                          <wpg:grpSpPr bwMode="auto">
                            <a:xfrm>
                              <a:off x="3539" y="863"/>
                              <a:ext cx="2278" cy="242"/>
                              <a:chOff x="3539" y="863"/>
                              <a:chExt cx="2278" cy="242"/>
                            </a:xfrm>
                          </wpg:grpSpPr>
                          <wps:wsp>
                            <wps:cNvPr id="1083" name="Text Box 101"/>
                            <wps:cNvSpPr txBox="1">
                              <a:spLocks noChangeArrowheads="1"/>
                            </wps:cNvSpPr>
                            <wps:spPr bwMode="auto">
                              <a:xfrm>
                                <a:off x="4400" y="863"/>
                                <a:ext cx="1417"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E1EAB" w14:textId="77777777" w:rsidR="003832F2" w:rsidRPr="00670C31" w:rsidRDefault="003832F2" w:rsidP="00B0686B">
                                  <w:pPr>
                                    <w:spacing w:after="0"/>
                                    <w:jc w:val="center"/>
                                    <w:rPr>
                                      <w:sz w:val="20"/>
                                      <w:szCs w:val="13"/>
                                    </w:rPr>
                                  </w:pPr>
                                  <w:r w:rsidRPr="00670C31">
                                    <w:rPr>
                                      <w:sz w:val="20"/>
                                      <w:szCs w:val="13"/>
                                    </w:rPr>
                                    <w:t>Linia wjazdu</w:t>
                                  </w:r>
                                </w:p>
                              </w:txbxContent>
                            </wps:txbx>
                            <wps:bodyPr rot="0" vert="horz" wrap="square" lIns="16740" tIns="10044" rIns="16740" bIns="10044" anchor="ctr" anchorCtr="0" upright="1">
                              <a:spAutoFit/>
                            </wps:bodyPr>
                          </wps:wsp>
                          <wps:wsp>
                            <wps:cNvPr id="1084" name="AutoShape 102"/>
                            <wps:cNvCnPr>
                              <a:cxnSpLocks noChangeShapeType="1"/>
                            </wps:cNvCnPr>
                            <wps:spPr bwMode="auto">
                              <a:xfrm rot="10800000">
                                <a:off x="3539" y="1004"/>
                                <a:ext cx="884"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245E78" id="Kanwa 60" o:spid="_x0000_s1034" editas="canvas" style="width:340.15pt;height:235.3pt;mso-position-horizontal-relative:char;mso-position-vertical-relative:line" coordsize="43199,29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">
                <v:shape id="_x0000_s1035" type="#_x0000_t75" style="position:absolute;width:43199;height:29876;visibility:visible;mso-wrap-style:square" stroked="t" strokecolor="black [3213]">
                  <v:fill o:detectmouseclick="t"/>
                  <v:path o:connecttype="none"/>
                </v:shape>
                <v:group id="Group 62" o:spid="_x0000_s1036" style="position:absolute;left:5398;top:2096;width:32058;height:25419" coordorigin="475,-115" coordsize="5342,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">
                  <v:group id="Group 63" o:spid="_x0000_s1037" style="position:absolute;left:475;top:-115;width:4761;height:3516" coordorigin="475,-115" coordsize="4761,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group id="Group 64" o:spid="_x0000_s1038" style="position:absolute;left:475;top:-57;width:4761;height:3458" coordorigin="475,-57" coordsize="476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group id="Group 65" o:spid="_x0000_s1039" style="position:absolute;left:475;top:-57;width:4761;height:3458" coordorigin="475,-57" coordsize="4761,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group id="Group 66" o:spid="_x0000_s1040"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group id="Group 67" o:spid="_x0000_s1041"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group id="Group 68" o:spid="_x0000_s1042" style="position:absolute;left:1829;top:-57;width:3407;height:3458" coordorigin="1829,-57" coordsize="3407,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group id="Group 69" o:spid="_x0000_s1043" style="position:absolute;left:1829;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group id="Group 70" o:spid="_x0000_s1044"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group id="Group 71" o:spid="_x0000_s1045"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group id="Group 72" o:spid="_x0000_s1046" style="position:absolute;left:103;top:-57;width:3407;height:3279" coordorigin="103,-57" coordsize="3407,3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shape id="Picture 73" o:spid="_x0000_s1047" type="#_x0000_t75" style="position:absolute;left:103;top:-57;width:3407;height: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">
                                        <v:imagedata r:id="rId84" o:title=""/>
                                        <o:lock v:ext="edit" aspectratio="f"/>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4" o:spid="_x0000_s1048" type="#_x0000_t5" style="position:absolute;left:1769;top:2118;width:71;height: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" fillcolor="black">
                                        <v:textbox style="mso-fit-shape-to-text:t" inset=".5mm,.5mm,.5mm,.5mm"/>
                                      </v:shape>
                                    </v:group>
                                    <v:shape id="AutoShape 75" o:spid="_x0000_s1049" type="#_x0000_t5" style="position:absolute;left:1759;top:2358;width:71;height: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" strokecolor="white">
                                      <v:textbox style="mso-fit-shape-to-text:t" inset=".5mm,.5mm,.5mm,.5mm"/>
                                    </v:shape>
                                  </v:group>
                                  <v:group id="Group 76" o:spid="_x0000_s1050" style="position:absolute;left:2091;top:2110;width:713;height:716" coordorigin="2091,2110" coordsize="71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group id="Group 77" o:spid="_x0000_s1051" style="position:absolute;left:2691;top:2110;width:113;height:113"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shape id="AutoShape 78" o:spid="_x0000_s1052"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" strokeweight="1.25pt"/>
                                      <v:shape id="AutoShape 79" o:spid="_x0000_s1053"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" strokeweight="1pt"/>
                                    </v:group>
                                    <v:shape id="AutoShape 80" o:spid="_x0000_s1054" type="#_x0000_t32" style="position:absolute;left:2091;top:2183;width:643;height:643;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" strokecolor="green" strokeweight="1pt">
                                      <v:stroke dashstyle="dash"/>
                                    </v:shape>
                                  </v:group>
                                </v:group>
                                <v:group id="Group 81" o:spid="_x0000_s1055" style="position:absolute;left:778;top:2128;width:706;height:694" coordorigin="778,2128" coordsize="70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AutoShape 82" o:spid="_x0000_s1056" type="#_x0000_t32" style="position:absolute;left:841;top:2179;width:643;height:6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" strokecolor="green" strokeweight="1pt">
                                    <v:stroke dashstyle="dash"/>
                                  </v:shape>
                                  <v:group id="Group 83" o:spid="_x0000_s1057" style="position:absolute;left:778;top:2128;width:113;height:113"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shape id="AutoShape 84" o:spid="_x0000_s1058"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" strokeweight="1pt"/>
                                    <v:shape id="AutoShape 85" o:spid="_x0000_s1059"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" strokeweight="1pt"/>
                                  </v:group>
                                </v:group>
                              </v:group>
                              <v:shape id="Text Box 86" o:spid="_x0000_s1060" type="#_x0000_t202" style="position:absolute;left:2564;top:314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" filled="f" stroked="f">
                                <v:textbox inset=".465mm,.279mm,.465mm,.279mm">
                                  <w:txbxContent>
                                    <w:p w14:paraId="3D4EEE90" w14:textId="77777777" w:rsidR="003832F2" w:rsidRPr="00EB470F" w:rsidRDefault="003832F2" w:rsidP="00B0686B">
                                      <w:pPr>
                                        <w:spacing w:after="0"/>
                                        <w:jc w:val="center"/>
                                        <w:rPr>
                                          <w:sz w:val="20"/>
                                          <w:szCs w:val="17"/>
                                        </w:rPr>
                                      </w:pPr>
                                      <w:r w:rsidRPr="00EB470F">
                                        <w:rPr>
                                          <w:sz w:val="20"/>
                                          <w:szCs w:val="17"/>
                                        </w:rPr>
                                        <w:t>A</w:t>
                                      </w:r>
                                    </w:p>
                                  </w:txbxContent>
                                </v:textbox>
                              </v:shape>
                              <v:shape id="Text Box 87" o:spid="_x0000_s1061" type="#_x0000_t202" style="position:absolute;left:4294;top:313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" filled="f" stroked="f">
                                <v:textbox inset=".465mm,.279mm,.465mm,.279mm">
                                  <w:txbxContent>
                                    <w:p w14:paraId="0D835EC0" w14:textId="77777777" w:rsidR="003832F2" w:rsidRPr="009E418F" w:rsidRDefault="003832F2" w:rsidP="00B0686B">
                                      <w:pPr>
                                        <w:spacing w:after="0"/>
                                        <w:jc w:val="center"/>
                                        <w:rPr>
                                          <w:sz w:val="17"/>
                                          <w:szCs w:val="17"/>
                                        </w:rPr>
                                      </w:pPr>
                                      <w:r w:rsidRPr="00EB470F">
                                        <w:rPr>
                                          <w:sz w:val="20"/>
                                          <w:szCs w:val="17"/>
                                        </w:rPr>
                                        <w:t>E</w:t>
                                      </w:r>
                                    </w:p>
                                  </w:txbxContent>
                                </v:textbox>
                              </v:shape>
                            </v:group>
                            <v:shape id="Text Box 88" o:spid="_x0000_s1062" type="#_x0000_t202" style="position:absolute;left:2314;top:195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" filled="f" stroked="f">
                              <v:textbox inset=".465mm,.279mm,.465mm,.279mm">
                                <w:txbxContent>
                                  <w:p w14:paraId="5A28F6F1" w14:textId="77777777" w:rsidR="003832F2" w:rsidRPr="00EB470F" w:rsidRDefault="003832F2" w:rsidP="00B0686B">
                                    <w:pPr>
                                      <w:spacing w:after="0"/>
                                      <w:jc w:val="center"/>
                                      <w:rPr>
                                        <w:szCs w:val="17"/>
                                      </w:rPr>
                                    </w:pPr>
                                    <w:r w:rsidRPr="00EB470F">
                                      <w:rPr>
                                        <w:szCs w:val="17"/>
                                      </w:rPr>
                                      <w:t>B</w:t>
                                    </w:r>
                                  </w:p>
                                </w:txbxContent>
                              </v:textbox>
                            </v:shape>
                            <v:shape id="Text Box 89" o:spid="_x0000_s1063" type="#_x0000_t202" style="position:absolute;left:3494;top:200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" filled="f" stroked="f">
                              <v:textbox inset=".465mm,.279mm,.465mm,.279mm">
                                <w:txbxContent>
                                  <w:p w14:paraId="53EBFCC4" w14:textId="77777777" w:rsidR="003832F2" w:rsidRPr="00670C31" w:rsidRDefault="003832F2" w:rsidP="00B0686B">
                                    <w:pPr>
                                      <w:spacing w:after="0"/>
                                      <w:jc w:val="center"/>
                                      <w:rPr>
                                        <w:sz w:val="18"/>
                                        <w:szCs w:val="17"/>
                                      </w:rPr>
                                    </w:pPr>
                                    <w:r w:rsidRPr="00EB470F">
                                      <w:rPr>
                                        <w:sz w:val="20"/>
                                        <w:szCs w:val="17"/>
                                      </w:rPr>
                                      <w:t>C</w:t>
                                    </w:r>
                                  </w:p>
                                </w:txbxContent>
                              </v:textbox>
                            </v:shape>
                          </v:group>
                          <v:group id="Group 90" o:spid="_x0000_s1064" style="position:absolute;left:2744;top:2241;width:1550;height:291" coordorigin="2744,2241" coordsize="155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Text Box 91" o:spid="_x0000_s1065" type="#_x0000_t202" style="position:absolute;left:4004;top:224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" filled="f" stroked="f">
                              <v:textbox inset=".465mm,.279mm,.465mm,.279mm">
                                <w:txbxContent>
                                  <w:p w14:paraId="5E4A1303" w14:textId="77777777" w:rsidR="003832F2" w:rsidRPr="009E418F" w:rsidRDefault="003832F2" w:rsidP="00B0686B">
                                    <w:pPr>
                                      <w:spacing w:after="0"/>
                                      <w:jc w:val="center"/>
                                      <w:rPr>
                                        <w:sz w:val="17"/>
                                        <w:szCs w:val="17"/>
                                      </w:rPr>
                                    </w:pPr>
                                    <w:r w:rsidRPr="009E418F">
                                      <w:rPr>
                                        <w:sz w:val="17"/>
                                        <w:szCs w:val="17"/>
                                      </w:rPr>
                                      <w:t>r</w:t>
                                    </w:r>
                                  </w:p>
                                </w:txbxContent>
                              </v:textbox>
                            </v:shape>
                            <v:shape id="Text Box 92" o:spid="_x0000_s1066" type="#_x0000_t202" style="position:absolute;left:2744;top:227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" filled="f" stroked="f">
                              <v:textbox inset=".465mm,.279mm,.465mm,.279mm">
                                <w:txbxContent>
                                  <w:p w14:paraId="50D59C98" w14:textId="77777777" w:rsidR="003832F2" w:rsidRPr="009E418F" w:rsidRDefault="003832F2" w:rsidP="00B0686B">
                                    <w:pPr>
                                      <w:spacing w:after="0"/>
                                      <w:jc w:val="center"/>
                                      <w:rPr>
                                        <w:sz w:val="17"/>
                                        <w:szCs w:val="17"/>
                                      </w:rPr>
                                    </w:pPr>
                                    <w:r w:rsidRPr="009E418F">
                                      <w:rPr>
                                        <w:sz w:val="17"/>
                                        <w:szCs w:val="17"/>
                                      </w:rPr>
                                      <w:t>r</w:t>
                                    </w:r>
                                  </w:p>
                                </w:txbxContent>
                              </v:textbox>
                            </v:shape>
                          </v:group>
                        </v:group>
                        <v:group id="Group 93" o:spid="_x0000_s1067" style="position:absolute;left:475;top:-57;width:2306;height:414" coordorigin="475,-57" coordsize="230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shape id="Text Box 94" o:spid="_x0000_s1068" type="#_x0000_t202" style="position:absolute;left:475;top:-57;width:1644;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" filled="f" stroked="f">
                            <v:textbox inset=".465mm,.279mm,.465mm,.279mm">
                              <w:txbxContent>
                                <w:p w14:paraId="50A78BAC" w14:textId="77777777" w:rsidR="003832F2" w:rsidRPr="00670C31" w:rsidRDefault="003832F2" w:rsidP="00B0686B">
                                  <w:pPr>
                                    <w:spacing w:after="0"/>
                                    <w:rPr>
                                      <w:sz w:val="20"/>
                                      <w:szCs w:val="13"/>
                                    </w:rPr>
                                  </w:pPr>
                                  <w:r w:rsidRPr="00670C31">
                                    <w:rPr>
                                      <w:sz w:val="20"/>
                                      <w:szCs w:val="13"/>
                                    </w:rPr>
                                    <w:t>Linia zatrzymania</w:t>
                                  </w:r>
                                </w:p>
                              </w:txbxContent>
                            </v:textbox>
                          </v:shape>
                          <v:shape id="AutoShape 95" o:spid="_x0000_s1069" type="#_x0000_t32" style="position:absolute;left:2035;top:74;width:746;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">
                            <v:stroke endarrow="block" endarrowwidth="narrow" endarrowlength="short"/>
                          </v:shape>
                        </v:group>
                      </v:group>
                      <v:shape id="Text Box 96" o:spid="_x0000_s1070" type="#_x0000_t202" style="position:absolute;left:4434;top:1951;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" filled="f" stroked="f">
                        <v:textbox inset=".465mm,.279mm,.465mm,.279mm">
                          <w:txbxContent>
                            <w:p w14:paraId="6FA4B275" w14:textId="77777777" w:rsidR="003832F2" w:rsidRPr="00670C31" w:rsidRDefault="003832F2" w:rsidP="00B0686B">
                              <w:pPr>
                                <w:spacing w:after="0"/>
                                <w:jc w:val="center"/>
                                <w:rPr>
                                  <w:sz w:val="18"/>
                                  <w:szCs w:val="17"/>
                                </w:rPr>
                              </w:pPr>
                              <w:r w:rsidRPr="00EB470F">
                                <w:rPr>
                                  <w:sz w:val="20"/>
                                  <w:szCs w:val="17"/>
                                </w:rPr>
                                <w:t>D</w:t>
                              </w:r>
                            </w:p>
                          </w:txbxContent>
                        </v:textbox>
                      </v:shape>
                    </v:group>
                    <v:group id="Group 97" o:spid="_x0000_s1071" style="position:absolute;left:3372;top:-115;width:522;height:709" coordorigin="3372,-115" coordsize="522,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">
                      <v:shape id="Text Box 98" o:spid="_x0000_s1072" type="#_x0000_t202" style="position:absolute;left:3372;top:-115;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" filled="f" stroked="f">
                        <v:textbox inset=".465mm,.279mm,.465mm,.279mm">
                          <w:txbxContent>
                            <w:p w14:paraId="09A22D18" w14:textId="77777777" w:rsidR="003832F2" w:rsidRPr="00EB470F" w:rsidRDefault="003832F2" w:rsidP="00B0686B">
                              <w:pPr>
                                <w:spacing w:after="0"/>
                                <w:jc w:val="center"/>
                                <w:rPr>
                                  <w:sz w:val="18"/>
                                  <w:szCs w:val="17"/>
                                </w:rPr>
                              </w:pPr>
                              <w:r w:rsidRPr="00EB470F">
                                <w:rPr>
                                  <w:sz w:val="20"/>
                                  <w:szCs w:val="17"/>
                                </w:rPr>
                                <w:t>G</w:t>
                              </w:r>
                            </w:p>
                          </w:txbxContent>
                        </v:textbox>
                      </v:shape>
                      <v:shape id="Text Box 99" o:spid="_x0000_s1073" type="#_x0000_t202" style="position:absolute;left:3604;top:333;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" filled="f" stroked="f">
                        <v:textbox inset=".465mm,.279mm,.465mm,.279mm">
                          <w:txbxContent>
                            <w:p w14:paraId="38916F73" w14:textId="77777777" w:rsidR="003832F2" w:rsidRPr="00EB470F" w:rsidRDefault="003832F2" w:rsidP="00B0686B">
                              <w:pPr>
                                <w:spacing w:after="0"/>
                                <w:jc w:val="center"/>
                                <w:rPr>
                                  <w:sz w:val="20"/>
                                  <w:szCs w:val="17"/>
                                </w:rPr>
                              </w:pPr>
                              <w:r w:rsidRPr="00EB470F">
                                <w:rPr>
                                  <w:sz w:val="20"/>
                                  <w:szCs w:val="17"/>
                                </w:rPr>
                                <w:t>F</w:t>
                              </w:r>
                            </w:p>
                          </w:txbxContent>
                        </v:textbox>
                      </v:shape>
                    </v:group>
                  </v:group>
                  <v:group id="Group 100" o:spid="_x0000_s1074" style="position:absolute;left:3539;top:863;width:2278;height:242" coordorigin="3539,863" coordsize="227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shape id="Text Box 101" o:spid="_x0000_s1075" type="#_x0000_t202" style="position:absolute;left:4400;top:863;width:1417;height: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" filled="f" stroked="f">
                      <v:textbox style="mso-fit-shape-to-text:t" inset=".465mm,.279mm,.465mm,.279mm">
                        <w:txbxContent>
                          <w:p w14:paraId="070E1EAB" w14:textId="77777777" w:rsidR="003832F2" w:rsidRPr="00670C31" w:rsidRDefault="003832F2" w:rsidP="00B0686B">
                            <w:pPr>
                              <w:spacing w:after="0"/>
                              <w:jc w:val="center"/>
                              <w:rPr>
                                <w:sz w:val="20"/>
                                <w:szCs w:val="13"/>
                              </w:rPr>
                            </w:pPr>
                            <w:r w:rsidRPr="00670C31">
                              <w:rPr>
                                <w:sz w:val="20"/>
                                <w:szCs w:val="13"/>
                              </w:rPr>
                              <w:t>Linia wjazdu</w:t>
                            </w:r>
                          </w:p>
                        </w:txbxContent>
                      </v:textbox>
                    </v:shape>
                    <v:shape id="AutoShape 102" o:spid="_x0000_s1076" type="#_x0000_t32" style="position:absolute;left:3539;top:1004;width:884;height:1;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">
                      <v:stroke endarrow="block" endarrowwidth="narrow" endarrowlength="short"/>
                    </v:shape>
                  </v:group>
                </v:group>
                <w10:anchorlock/>
              </v:group>
            </w:pict>
          </mc:Fallback>
        </mc:AlternateContent>
      </w:r>
    </w:p>
    <w:p w14:paraId="416F9693" w14:textId="187A78F4" w:rsidR="00B0686B" w:rsidRPr="009E064B" w:rsidRDefault="00B0686B" w:rsidP="00D333EA">
      <w:pPr>
        <w:spacing w:after="0"/>
        <w:jc w:val="center"/>
        <w:rPr>
          <w:rFonts w:asciiTheme="minorHAnsi" w:hAnsiTheme="minorHAnsi" w:cstheme="minorHAnsi"/>
        </w:rPr>
      </w:pPr>
    </w:p>
    <w:p w14:paraId="2D7EDB72" w14:textId="77777777" w:rsidR="004145F0" w:rsidRPr="009E064B" w:rsidRDefault="004145F0" w:rsidP="00D333EA">
      <w:pPr>
        <w:spacing w:after="0"/>
        <w:jc w:val="center"/>
        <w:rPr>
          <w:rFonts w:asciiTheme="minorHAnsi" w:hAnsiTheme="minorHAnsi" w:cstheme="minorHAnsi"/>
        </w:rPr>
      </w:pPr>
    </w:p>
    <w:p w14:paraId="70F06156" w14:textId="77777777" w:rsidR="00B0686B" w:rsidRPr="007B1601" w:rsidRDefault="00B0686B" w:rsidP="00B06A9A">
      <w:pPr>
        <w:jc w:val="center"/>
        <w:rPr>
          <w:rFonts w:asciiTheme="minorHAnsi" w:hAnsiTheme="minorHAnsi" w:cstheme="minorHAnsi"/>
          <w:b/>
          <w:sz w:val="20"/>
        </w:rPr>
      </w:pPr>
      <w:r w:rsidRPr="002C4C40">
        <w:rPr>
          <w:rFonts w:asciiTheme="minorHAnsi" w:hAnsiTheme="minorHAnsi" w:cstheme="minorHAnsi"/>
          <w:b/>
          <w:sz w:val="20"/>
        </w:rPr>
        <w:t>Rysunek 8 – Prosta linia wjazdu koła podwozia przedniego</w:t>
      </w:r>
    </w:p>
    <w:p w14:paraId="50D31B93" w14:textId="77777777" w:rsidR="00B0686B" w:rsidRPr="009E064B" w:rsidRDefault="00B0686B" w:rsidP="00B06A9A">
      <w:pPr>
        <w:jc w:val="center"/>
        <w:rPr>
          <w:rFonts w:asciiTheme="minorHAnsi" w:hAnsiTheme="minorHAnsi" w:cstheme="minorHAnsi"/>
        </w:rPr>
      </w:pPr>
    </w:p>
    <w:p w14:paraId="4DD5AFA4" w14:textId="0825FE92" w:rsidR="00B0686B" w:rsidRPr="009E064B" w:rsidRDefault="00B0686B" w:rsidP="00B06A9A">
      <w:pPr>
        <w:jc w:val="center"/>
        <w:rPr>
          <w:rFonts w:asciiTheme="minorHAnsi" w:hAnsiTheme="minorHAnsi" w:cstheme="minorHAnsi"/>
        </w:rPr>
      </w:pPr>
    </w:p>
    <w:p w14:paraId="34A3E501" w14:textId="4CA5E093" w:rsidR="00FD01A6" w:rsidRPr="009E064B" w:rsidRDefault="00FD01A6" w:rsidP="00B06A9A">
      <w:pPr>
        <w:jc w:val="center"/>
        <w:rPr>
          <w:rFonts w:asciiTheme="minorHAnsi" w:hAnsiTheme="minorHAnsi" w:cstheme="minorHAnsi"/>
        </w:rPr>
      </w:pPr>
    </w:p>
    <w:p w14:paraId="12A53BDA" w14:textId="77777777" w:rsidR="00FD01A6" w:rsidRPr="009E064B" w:rsidRDefault="00FD01A6" w:rsidP="00B06A9A">
      <w:pPr>
        <w:jc w:val="center"/>
        <w:rPr>
          <w:rFonts w:asciiTheme="minorHAns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1"/>
        <w:gridCol w:w="5312"/>
      </w:tblGrid>
      <w:tr w:rsidR="00B0686B" w:rsidRPr="009E064B" w14:paraId="5DC19B30" w14:textId="77777777" w:rsidTr="00371A8B">
        <w:trPr>
          <w:trHeight w:val="438"/>
          <w:jc w:val="center"/>
        </w:trPr>
        <w:tc>
          <w:tcPr>
            <w:tcW w:w="1311" w:type="dxa"/>
            <w:tcMar>
              <w:top w:w="57" w:type="dxa"/>
              <w:bottom w:w="57" w:type="dxa"/>
            </w:tcMar>
            <w:vAlign w:val="center"/>
          </w:tcPr>
          <w:p w14:paraId="19C00D3C"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Pozycja</w:t>
            </w:r>
          </w:p>
        </w:tc>
        <w:tc>
          <w:tcPr>
            <w:tcW w:w="5312" w:type="dxa"/>
            <w:tcMar>
              <w:top w:w="57" w:type="dxa"/>
              <w:bottom w:w="57" w:type="dxa"/>
            </w:tcMar>
            <w:vAlign w:val="center"/>
          </w:tcPr>
          <w:p w14:paraId="77C8646D"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Opis punktu podlegającego pomiarom</w:t>
            </w:r>
          </w:p>
        </w:tc>
      </w:tr>
      <w:tr w:rsidR="00B0686B" w:rsidRPr="009E064B" w14:paraId="04739D12" w14:textId="77777777" w:rsidTr="00371A8B">
        <w:trPr>
          <w:trHeight w:val="438"/>
          <w:jc w:val="center"/>
        </w:trPr>
        <w:tc>
          <w:tcPr>
            <w:tcW w:w="1311" w:type="dxa"/>
            <w:tcMar>
              <w:top w:w="57" w:type="dxa"/>
              <w:bottom w:w="57" w:type="dxa"/>
            </w:tcMar>
            <w:vAlign w:val="center"/>
          </w:tcPr>
          <w:p w14:paraId="676B685C"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A</w:t>
            </w:r>
          </w:p>
        </w:tc>
        <w:tc>
          <w:tcPr>
            <w:tcW w:w="5312" w:type="dxa"/>
            <w:tcMar>
              <w:top w:w="57" w:type="dxa"/>
              <w:bottom w:w="57" w:type="dxa"/>
            </w:tcMar>
            <w:vAlign w:val="center"/>
          </w:tcPr>
          <w:p w14:paraId="1E8F8F27"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wjazdu i środka oznakowania drogi kołowania.</w:t>
            </w:r>
          </w:p>
        </w:tc>
      </w:tr>
      <w:tr w:rsidR="00B0686B" w:rsidRPr="009E064B" w14:paraId="0065CF26" w14:textId="77777777" w:rsidTr="00371A8B">
        <w:trPr>
          <w:trHeight w:val="438"/>
          <w:jc w:val="center"/>
        </w:trPr>
        <w:tc>
          <w:tcPr>
            <w:tcW w:w="1311" w:type="dxa"/>
            <w:tcMar>
              <w:top w:w="57" w:type="dxa"/>
              <w:bottom w:w="57" w:type="dxa"/>
            </w:tcMar>
            <w:vAlign w:val="center"/>
          </w:tcPr>
          <w:p w14:paraId="625D5D1B"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B</w:t>
            </w:r>
          </w:p>
        </w:tc>
        <w:tc>
          <w:tcPr>
            <w:tcW w:w="5312" w:type="dxa"/>
            <w:tcMar>
              <w:top w:w="57" w:type="dxa"/>
              <w:bottom w:w="57" w:type="dxa"/>
            </w:tcMar>
            <w:vAlign w:val="center"/>
          </w:tcPr>
          <w:p w14:paraId="32C9BD09"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wjazdu i jego promień.</w:t>
            </w:r>
          </w:p>
        </w:tc>
      </w:tr>
      <w:tr w:rsidR="00B0686B" w:rsidRPr="009E064B" w14:paraId="6CA24374" w14:textId="77777777" w:rsidTr="00371A8B">
        <w:trPr>
          <w:trHeight w:val="438"/>
          <w:jc w:val="center"/>
        </w:trPr>
        <w:tc>
          <w:tcPr>
            <w:tcW w:w="1311" w:type="dxa"/>
            <w:tcMar>
              <w:top w:w="57" w:type="dxa"/>
              <w:bottom w:w="57" w:type="dxa"/>
            </w:tcMar>
            <w:vAlign w:val="center"/>
          </w:tcPr>
          <w:p w14:paraId="5CC8A63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C</w:t>
            </w:r>
          </w:p>
        </w:tc>
        <w:tc>
          <w:tcPr>
            <w:tcW w:w="5312" w:type="dxa"/>
            <w:tcMar>
              <w:top w:w="57" w:type="dxa"/>
              <w:bottom w:w="57" w:type="dxa"/>
            </w:tcMar>
            <w:vAlign w:val="center"/>
          </w:tcPr>
          <w:p w14:paraId="189D7BC7"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z oznakowaniem środka linii wjazdu.</w:t>
            </w:r>
          </w:p>
        </w:tc>
      </w:tr>
      <w:tr w:rsidR="00B0686B" w:rsidRPr="009E064B" w14:paraId="6F6452EE" w14:textId="77777777" w:rsidTr="00371A8B">
        <w:trPr>
          <w:trHeight w:val="438"/>
          <w:jc w:val="center"/>
        </w:trPr>
        <w:tc>
          <w:tcPr>
            <w:tcW w:w="1311" w:type="dxa"/>
            <w:tcMar>
              <w:top w:w="57" w:type="dxa"/>
              <w:bottom w:w="57" w:type="dxa"/>
            </w:tcMar>
            <w:vAlign w:val="center"/>
          </w:tcPr>
          <w:p w14:paraId="2802A1E4"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D</w:t>
            </w:r>
          </w:p>
        </w:tc>
        <w:tc>
          <w:tcPr>
            <w:tcW w:w="5312" w:type="dxa"/>
            <w:tcMar>
              <w:top w:w="57" w:type="dxa"/>
              <w:bottom w:w="57" w:type="dxa"/>
            </w:tcMar>
            <w:vAlign w:val="center"/>
          </w:tcPr>
          <w:p w14:paraId="08097F46"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wjazdu i jego promień.</w:t>
            </w:r>
          </w:p>
        </w:tc>
      </w:tr>
      <w:tr w:rsidR="00B0686B" w:rsidRPr="009E064B" w14:paraId="420AEC71" w14:textId="77777777" w:rsidTr="00371A8B">
        <w:trPr>
          <w:trHeight w:val="438"/>
          <w:jc w:val="center"/>
        </w:trPr>
        <w:tc>
          <w:tcPr>
            <w:tcW w:w="1311" w:type="dxa"/>
            <w:tcMar>
              <w:top w:w="57" w:type="dxa"/>
              <w:bottom w:w="57" w:type="dxa"/>
            </w:tcMar>
            <w:vAlign w:val="center"/>
          </w:tcPr>
          <w:p w14:paraId="76CE5EA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E</w:t>
            </w:r>
          </w:p>
        </w:tc>
        <w:tc>
          <w:tcPr>
            <w:tcW w:w="5312" w:type="dxa"/>
            <w:tcMar>
              <w:top w:w="57" w:type="dxa"/>
              <w:bottom w:w="57" w:type="dxa"/>
            </w:tcMar>
            <w:vAlign w:val="center"/>
          </w:tcPr>
          <w:p w14:paraId="66115586"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wjazdu i środka oznakowania drogi kołowania.</w:t>
            </w:r>
          </w:p>
        </w:tc>
      </w:tr>
      <w:tr w:rsidR="00B0686B" w:rsidRPr="009E064B" w14:paraId="52331F77" w14:textId="77777777" w:rsidTr="00371A8B">
        <w:trPr>
          <w:trHeight w:val="438"/>
          <w:jc w:val="center"/>
        </w:trPr>
        <w:tc>
          <w:tcPr>
            <w:tcW w:w="1311" w:type="dxa"/>
            <w:tcMar>
              <w:top w:w="57" w:type="dxa"/>
              <w:bottom w:w="57" w:type="dxa"/>
            </w:tcMar>
            <w:vAlign w:val="center"/>
          </w:tcPr>
          <w:p w14:paraId="381D811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F</w:t>
            </w:r>
          </w:p>
        </w:tc>
        <w:tc>
          <w:tcPr>
            <w:tcW w:w="5312" w:type="dxa"/>
            <w:tcMar>
              <w:top w:w="57" w:type="dxa"/>
              <w:bottom w:w="57" w:type="dxa"/>
            </w:tcMar>
            <w:vAlign w:val="center"/>
          </w:tcPr>
          <w:p w14:paraId="5EED5718"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Położenie koła podwozia przedniego zaparkowanego statku powietrznego.</w:t>
            </w:r>
          </w:p>
        </w:tc>
      </w:tr>
      <w:tr w:rsidR="00B0686B" w:rsidRPr="009E064B" w14:paraId="48E017DB" w14:textId="77777777" w:rsidTr="00371A8B">
        <w:trPr>
          <w:trHeight w:val="438"/>
          <w:jc w:val="center"/>
        </w:trPr>
        <w:tc>
          <w:tcPr>
            <w:tcW w:w="1311" w:type="dxa"/>
            <w:tcMar>
              <w:top w:w="57" w:type="dxa"/>
              <w:bottom w:w="57" w:type="dxa"/>
            </w:tcMar>
            <w:vAlign w:val="center"/>
          </w:tcPr>
          <w:p w14:paraId="0E4AF9B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G</w:t>
            </w:r>
          </w:p>
        </w:tc>
        <w:tc>
          <w:tcPr>
            <w:tcW w:w="5312" w:type="dxa"/>
            <w:tcMar>
              <w:top w:w="57" w:type="dxa"/>
              <w:bottom w:w="57" w:type="dxa"/>
            </w:tcMar>
            <w:vAlign w:val="center"/>
          </w:tcPr>
          <w:p w14:paraId="6D5AA104"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Koniec oznakowania linii wjazdu.</w:t>
            </w:r>
          </w:p>
        </w:tc>
      </w:tr>
    </w:tbl>
    <w:p w14:paraId="57FFFAB5" w14:textId="77777777" w:rsidR="00B0686B" w:rsidRPr="009E064B" w:rsidRDefault="00B0686B" w:rsidP="00B06A9A">
      <w:pPr>
        <w:jc w:val="center"/>
        <w:rPr>
          <w:rFonts w:asciiTheme="minorHAnsi" w:hAnsiTheme="minorHAnsi" w:cstheme="minorHAnsi"/>
        </w:rPr>
      </w:pPr>
    </w:p>
    <w:p w14:paraId="1241DCE8" w14:textId="77777777" w:rsidR="00B0686B" w:rsidRPr="007B1601" w:rsidRDefault="00B0686B" w:rsidP="00B06A9A">
      <w:pPr>
        <w:jc w:val="center"/>
        <w:rPr>
          <w:rFonts w:asciiTheme="minorHAnsi" w:hAnsiTheme="minorHAnsi" w:cstheme="minorHAnsi"/>
          <w:b/>
          <w:sz w:val="20"/>
        </w:rPr>
      </w:pPr>
      <w:r w:rsidRPr="002C4C40">
        <w:rPr>
          <w:rFonts w:asciiTheme="minorHAnsi" w:hAnsiTheme="minorHAnsi" w:cstheme="minorHAnsi"/>
          <w:b/>
          <w:sz w:val="20"/>
        </w:rPr>
        <w:t>Tabela 1</w:t>
      </w:r>
    </w:p>
    <w:p w14:paraId="03C45A05" w14:textId="77777777" w:rsidR="00B0686B" w:rsidRPr="009E064B" w:rsidRDefault="00B0686B" w:rsidP="00B06A9A">
      <w:pPr>
        <w:jc w:val="center"/>
        <w:rPr>
          <w:rFonts w:asciiTheme="minorHAnsi" w:hAnsiTheme="minorHAnsi" w:cstheme="minorHAnsi"/>
        </w:rPr>
      </w:pPr>
    </w:p>
    <w:p w14:paraId="1EBE2BF7" w14:textId="77777777" w:rsidR="00B0686B" w:rsidRPr="009E064B" w:rsidRDefault="00B0686B" w:rsidP="00B06A9A">
      <w:pPr>
        <w:jc w:val="center"/>
        <w:rPr>
          <w:rFonts w:asciiTheme="minorHAnsi" w:hAnsiTheme="minorHAnsi" w:cstheme="minorHAnsi"/>
        </w:rPr>
      </w:pPr>
    </w:p>
    <w:p w14:paraId="5F5CD962" w14:textId="77777777" w:rsidR="00B0686B" w:rsidRPr="009E064B" w:rsidRDefault="00B0686B" w:rsidP="00B06A9A">
      <w:pPr>
        <w:jc w:val="center"/>
        <w:rPr>
          <w:rFonts w:asciiTheme="minorHAnsi" w:hAnsiTheme="minorHAnsi" w:cstheme="minorHAnsi"/>
        </w:rPr>
      </w:pPr>
    </w:p>
    <w:p w14:paraId="080C5E12" w14:textId="77777777" w:rsidR="00B0686B" w:rsidRPr="009E064B" w:rsidRDefault="00B0686B" w:rsidP="00B06A9A">
      <w:pPr>
        <w:jc w:val="center"/>
        <w:rPr>
          <w:rFonts w:asciiTheme="minorHAnsi" w:hAnsiTheme="minorHAnsi" w:cstheme="minorHAnsi"/>
        </w:rPr>
      </w:pPr>
      <w:r w:rsidRPr="009E064B">
        <w:rPr>
          <w:rFonts w:asciiTheme="minorHAnsi" w:hAnsiTheme="minorHAnsi" w:cstheme="minorHAnsi"/>
          <w:noProof/>
          <w:lang w:eastAsia="pl-PL"/>
        </w:rPr>
        <mc:AlternateContent>
          <mc:Choice Requires="wpc">
            <w:drawing>
              <wp:inline distT="0" distB="0" distL="0" distR="0" wp14:anchorId="04D29459" wp14:editId="508AF950">
                <wp:extent cx="4678680" cy="3133090"/>
                <wp:effectExtent l="0" t="0" r="26670" b="10160"/>
                <wp:docPr id="851" name="Kanwa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g:wgp>
                        <wpg:cNvPr id="877" name="Group 856"/>
                        <wpg:cNvGrpSpPr>
                          <a:grpSpLocks/>
                        </wpg:cNvGrpSpPr>
                        <wpg:grpSpPr bwMode="auto">
                          <a:xfrm>
                            <a:off x="2312670" y="1902921"/>
                            <a:ext cx="425450" cy="324485"/>
                            <a:chOff x="5619" y="5157"/>
                            <a:chExt cx="670" cy="511"/>
                          </a:xfrm>
                        </wpg:grpSpPr>
                        <wps:wsp>
                          <wps:cNvPr id="878" name="Text Box 51"/>
                          <wps:cNvSpPr txBox="1">
                            <a:spLocks noChangeArrowheads="1"/>
                          </wps:cNvSpPr>
                          <wps:spPr bwMode="auto">
                            <a:xfrm>
                              <a:off x="6032" y="5410"/>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613DF" w14:textId="77777777" w:rsidR="003832F2" w:rsidRPr="00E923DA" w:rsidRDefault="003832F2" w:rsidP="00B0686B">
                                <w:pPr>
                                  <w:spacing w:after="0"/>
                                  <w:jc w:val="center"/>
                                </w:pPr>
                                <w:r>
                                  <w:t>r</w:t>
                                </w:r>
                              </w:p>
                            </w:txbxContent>
                          </wps:txbx>
                          <wps:bodyPr rot="0" vert="horz" wrap="square" lIns="18000" tIns="10800" rIns="18000" bIns="10800" anchor="ctr" anchorCtr="0" upright="1">
                            <a:noAutofit/>
                          </wps:bodyPr>
                        </wps:wsp>
                        <wps:wsp>
                          <wps:cNvPr id="879" name="Text Box 52"/>
                          <wps:cNvSpPr txBox="1">
                            <a:spLocks noChangeArrowheads="1"/>
                          </wps:cNvSpPr>
                          <wps:spPr bwMode="auto">
                            <a:xfrm>
                              <a:off x="5619" y="5157"/>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4D433" w14:textId="77777777" w:rsidR="003832F2" w:rsidRPr="00E923DA" w:rsidRDefault="003832F2" w:rsidP="00B0686B">
                                <w:pPr>
                                  <w:spacing w:after="0"/>
                                  <w:jc w:val="center"/>
                                </w:pPr>
                                <w:r>
                                  <w:t>r</w:t>
                                </w:r>
                              </w:p>
                            </w:txbxContent>
                          </wps:txbx>
                          <wps:bodyPr rot="0" vert="horz" wrap="square" lIns="18000" tIns="10800" rIns="18000" bIns="10800" anchor="ctr" anchorCtr="0" upright="1">
                            <a:noAutofit/>
                          </wps:bodyPr>
                        </wps:wsp>
                      </wpg:wgp>
                      <wps:wsp>
                        <wps:cNvPr id="880" name="Text Box 54"/>
                        <wps:cNvSpPr txBox="1">
                          <a:spLocks noChangeArrowheads="1"/>
                        </wps:cNvSpPr>
                        <wps:spPr bwMode="auto">
                          <a:xfrm>
                            <a:off x="3137535" y="1997536"/>
                            <a:ext cx="1631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AF852" w14:textId="77777777" w:rsidR="003832F2" w:rsidRPr="00953C1B" w:rsidRDefault="003832F2" w:rsidP="00B0686B">
                              <w:pPr>
                                <w:spacing w:after="0"/>
                                <w:jc w:val="center"/>
                              </w:pPr>
                              <w:r w:rsidRPr="00953C1B">
                                <w:t>L</w:t>
                              </w:r>
                            </w:p>
                          </w:txbxContent>
                        </wps:txbx>
                        <wps:bodyPr rot="0" vert="horz" wrap="square" lIns="18000" tIns="10800" rIns="18000" bIns="10800" anchor="ctr" anchorCtr="0" upright="1">
                          <a:noAutofit/>
                        </wps:bodyPr>
                      </wps:wsp>
                      <wpg:wgp>
                        <wpg:cNvPr id="881" name="Group 816"/>
                        <wpg:cNvGrpSpPr>
                          <a:grpSpLocks/>
                        </wpg:cNvGrpSpPr>
                        <wpg:grpSpPr bwMode="auto">
                          <a:xfrm>
                            <a:off x="588645" y="237316"/>
                            <a:ext cx="3423920" cy="2555240"/>
                            <a:chOff x="2904" y="2534"/>
                            <a:chExt cx="5392" cy="4024"/>
                          </a:xfrm>
                        </wpg:grpSpPr>
                        <wpg:grpSp>
                          <wpg:cNvPr id="882" name="Group 815"/>
                          <wpg:cNvGrpSpPr>
                            <a:grpSpLocks/>
                          </wpg:cNvGrpSpPr>
                          <wpg:grpSpPr bwMode="auto">
                            <a:xfrm>
                              <a:off x="2904" y="2534"/>
                              <a:ext cx="5392" cy="4024"/>
                              <a:chOff x="2904" y="2534"/>
                              <a:chExt cx="5392" cy="4024"/>
                            </a:xfrm>
                          </wpg:grpSpPr>
                          <wpg:grpSp>
                            <wpg:cNvPr id="883" name="Group 787"/>
                            <wpg:cNvGrpSpPr>
                              <a:grpSpLocks/>
                            </wpg:cNvGrpSpPr>
                            <wpg:grpSpPr bwMode="auto">
                              <a:xfrm>
                                <a:off x="2904" y="2626"/>
                                <a:ext cx="5392" cy="3932"/>
                                <a:chOff x="2904" y="2650"/>
                                <a:chExt cx="5392" cy="3932"/>
                              </a:xfrm>
                            </wpg:grpSpPr>
                            <wpg:grpSp>
                              <wpg:cNvPr id="884" name="Group 788"/>
                              <wpg:cNvGrpSpPr>
                                <a:grpSpLocks/>
                              </wpg:cNvGrpSpPr>
                              <wpg:grpSpPr bwMode="auto">
                                <a:xfrm>
                                  <a:off x="2904" y="2650"/>
                                  <a:ext cx="5392" cy="3757"/>
                                  <a:chOff x="2904" y="2650"/>
                                  <a:chExt cx="5392" cy="3757"/>
                                </a:xfrm>
                              </wpg:grpSpPr>
                              <wpg:grpSp>
                                <wpg:cNvPr id="885" name="Group 789"/>
                                <wpg:cNvGrpSpPr>
                                  <a:grpSpLocks/>
                                </wpg:cNvGrpSpPr>
                                <wpg:grpSpPr bwMode="auto">
                                  <a:xfrm>
                                    <a:off x="2904" y="2650"/>
                                    <a:ext cx="4800" cy="3757"/>
                                    <a:chOff x="2904" y="2650"/>
                                    <a:chExt cx="4800" cy="3757"/>
                                  </a:xfrm>
                                </wpg:grpSpPr>
                                <wpg:grpSp>
                                  <wpg:cNvPr id="886" name="Group 790"/>
                                  <wpg:cNvGrpSpPr>
                                    <a:grpSpLocks/>
                                  </wpg:cNvGrpSpPr>
                                  <wpg:grpSpPr bwMode="auto">
                                    <a:xfrm>
                                      <a:off x="4252" y="2749"/>
                                      <a:ext cx="3452" cy="3658"/>
                                      <a:chOff x="4252" y="2749"/>
                                      <a:chExt cx="3452" cy="3658"/>
                                    </a:xfrm>
                                  </wpg:grpSpPr>
                                  <pic:pic xmlns:pic="http://schemas.openxmlformats.org/drawingml/2006/picture">
                                    <pic:nvPicPr>
                                      <pic:cNvPr id="887" name="Picture 791"/>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252" y="2749"/>
                                        <a:ext cx="3452" cy="3658"/>
                                      </a:xfrm>
                                      <a:prstGeom prst="rect">
                                        <a:avLst/>
                                      </a:prstGeom>
                                      <a:noFill/>
                                      <a:extLst>
                                        <a:ext uri="{909E8E84-426E-40DD-AFC4-6F175D3DCCD1}">
                                          <a14:hiddenFill xmlns:a14="http://schemas.microsoft.com/office/drawing/2010/main">
                                            <a:solidFill>
                                              <a:srgbClr val="FFFFFF"/>
                                            </a:solidFill>
                                          </a14:hiddenFill>
                                        </a:ext>
                                      </a:extLst>
                                    </pic:spPr>
                                  </pic:pic>
                                  <wpg:grpSp>
                                    <wpg:cNvPr id="888" name="Group 792"/>
                                    <wpg:cNvGrpSpPr>
                                      <a:grpSpLocks/>
                                    </wpg:cNvGrpSpPr>
                                    <wpg:grpSpPr bwMode="auto">
                                      <a:xfrm>
                                        <a:off x="4864" y="5220"/>
                                        <a:ext cx="1426" cy="427"/>
                                        <a:chOff x="4864" y="5220"/>
                                        <a:chExt cx="1426" cy="427"/>
                                      </a:xfrm>
                                    </wpg:grpSpPr>
                                    <wps:wsp>
                                      <wps:cNvPr id="889" name="AutoShape 793"/>
                                      <wps:cNvCnPr>
                                        <a:cxnSpLocks noChangeShapeType="1"/>
                                      </wps:cNvCnPr>
                                      <wps:spPr bwMode="auto">
                                        <a:xfrm rot="19800000">
                                          <a:off x="4943" y="5220"/>
                                          <a:ext cx="1347" cy="418"/>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890" name="Group 794"/>
                                      <wpg:cNvGrpSpPr>
                                        <a:grpSpLocks/>
                                      </wpg:cNvGrpSpPr>
                                      <wpg:grpSpPr bwMode="auto">
                                        <a:xfrm>
                                          <a:off x="4864" y="5535"/>
                                          <a:ext cx="100" cy="112"/>
                                          <a:chOff x="2984" y="11538"/>
                                          <a:chExt cx="147" cy="147"/>
                                        </a:xfrm>
                                      </wpg:grpSpPr>
                                      <wps:wsp>
                                        <wps:cNvPr id="891" name="AutoShape 795"/>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92" name="AutoShape 796"/>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893" name="Group 797"/>
                                    <wpg:cNvGrpSpPr>
                                      <a:grpSpLocks/>
                                    </wpg:cNvGrpSpPr>
                                    <wpg:grpSpPr bwMode="auto">
                                      <a:xfrm>
                                        <a:off x="5609" y="5387"/>
                                        <a:ext cx="1369" cy="428"/>
                                        <a:chOff x="5609" y="5387"/>
                                        <a:chExt cx="1369" cy="428"/>
                                      </a:xfrm>
                                    </wpg:grpSpPr>
                                    <wps:wsp>
                                      <wps:cNvPr id="895" name="AutoShape 798"/>
                                      <wps:cNvCnPr>
                                        <a:cxnSpLocks noChangeShapeType="1"/>
                                      </wps:cNvCnPr>
                                      <wps:spPr bwMode="auto">
                                        <a:xfrm rot="19800000">
                                          <a:off x="5609" y="5398"/>
                                          <a:ext cx="1347" cy="417"/>
                                        </a:xfrm>
                                        <a:prstGeom prst="straightConnector1">
                                          <a:avLst/>
                                        </a:prstGeom>
                                        <a:noFill/>
                                        <a:ln w="12700">
                                          <a:solidFill>
                                            <a:srgbClr val="008000"/>
                                          </a:solidFill>
                                          <a:prstDash val="dash"/>
                                          <a:round/>
                                          <a:headEnd/>
                                          <a:tailEnd/>
                                        </a:ln>
                                        <a:extLst>
                                          <a:ext uri="{909E8E84-426E-40DD-AFC4-6F175D3DCCD1}">
                                            <a14:hiddenFill xmlns:a14="http://schemas.microsoft.com/office/drawing/2010/main">
                                              <a:noFill/>
                                            </a14:hiddenFill>
                                          </a:ext>
                                        </a:extLst>
                                      </wps:spPr>
                                      <wps:bodyPr/>
                                    </wps:wsp>
                                    <wpg:grpSp>
                                      <wpg:cNvPr id="832" name="Group 799"/>
                                      <wpg:cNvGrpSpPr>
                                        <a:grpSpLocks/>
                                      </wpg:cNvGrpSpPr>
                                      <wpg:grpSpPr bwMode="auto">
                                        <a:xfrm>
                                          <a:off x="6878" y="5387"/>
                                          <a:ext cx="100" cy="111"/>
                                          <a:chOff x="2984" y="11538"/>
                                          <a:chExt cx="147" cy="147"/>
                                        </a:xfrm>
                                      </wpg:grpSpPr>
                                      <wps:wsp>
                                        <wps:cNvPr id="833" name="AutoShape 800"/>
                                        <wps:cNvCnPr>
                                          <a:cxnSpLocks noChangeShapeType="1"/>
                                        </wps:cNvCnPr>
                                        <wps:spPr bwMode="auto">
                                          <a:xfrm>
                                            <a:off x="3060" y="11538"/>
                                            <a:ext cx="1"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4" name="AutoShape 801"/>
                                        <wps:cNvCnPr>
                                          <a:cxnSpLocks noChangeShapeType="1"/>
                                        </wps:cNvCnPr>
                                        <wps:spPr bwMode="auto">
                                          <a:xfrm rot="5400000">
                                            <a:off x="3058" y="11536"/>
                                            <a:ext cx="0" cy="14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835" name="Group 802"/>
                                  <wpg:cNvGrpSpPr>
                                    <a:grpSpLocks/>
                                  </wpg:cNvGrpSpPr>
                                  <wpg:grpSpPr bwMode="auto">
                                    <a:xfrm>
                                      <a:off x="2904" y="2650"/>
                                      <a:ext cx="2285" cy="486"/>
                                      <a:chOff x="-1376" y="-100"/>
                                      <a:chExt cx="2578" cy="491"/>
                                    </a:xfrm>
                                  </wpg:grpSpPr>
                                  <wps:wsp>
                                    <wps:cNvPr id="836" name="Text Box 803"/>
                                    <wps:cNvSpPr txBox="1">
                                      <a:spLocks noChangeArrowheads="1"/>
                                    </wps:cNvSpPr>
                                    <wps:spPr bwMode="auto">
                                      <a:xfrm>
                                        <a:off x="-1376" y="-100"/>
                                        <a:ext cx="1817"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5B427" w14:textId="77777777" w:rsidR="003832F2" w:rsidRPr="00DF1AC2" w:rsidRDefault="003832F2" w:rsidP="00B0686B">
                                          <w:pPr>
                                            <w:spacing w:after="0"/>
                                            <w:jc w:val="center"/>
                                            <w:rPr>
                                              <w:sz w:val="20"/>
                                              <w:szCs w:val="16"/>
                                            </w:rPr>
                                          </w:pPr>
                                          <w:r w:rsidRPr="00DF1AC2">
                                            <w:rPr>
                                              <w:szCs w:val="16"/>
                                            </w:rPr>
                                            <w:t>Linia zatrzymani</w:t>
                                          </w:r>
                                          <w:r w:rsidRPr="00DF1AC2">
                                            <w:rPr>
                                              <w:sz w:val="20"/>
                                              <w:szCs w:val="16"/>
                                            </w:rPr>
                                            <w:t>a</w:t>
                                          </w:r>
                                        </w:p>
                                      </w:txbxContent>
                                    </wps:txbx>
                                    <wps:bodyPr rot="0" vert="horz" wrap="square" lIns="18000" tIns="10800" rIns="18000" bIns="10800" anchor="ctr" anchorCtr="0" upright="1">
                                      <a:noAutofit/>
                                    </wps:bodyPr>
                                  </wps:wsp>
                                  <wps:wsp>
                                    <wps:cNvPr id="838" name="AutoShape 804"/>
                                    <wps:cNvCnPr>
                                      <a:cxnSpLocks noChangeShapeType="1"/>
                                    </wps:cNvCnPr>
                                    <wps:spPr bwMode="auto">
                                      <a:xfrm>
                                        <a:off x="456" y="108"/>
                                        <a:ext cx="746" cy="283"/>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839" name="Group 805"/>
                                <wpg:cNvGrpSpPr>
                                  <a:grpSpLocks/>
                                </wpg:cNvGrpSpPr>
                                <wpg:grpSpPr bwMode="auto">
                                  <a:xfrm>
                                    <a:off x="6268" y="4866"/>
                                    <a:ext cx="2028" cy="303"/>
                                    <a:chOff x="3539" y="847"/>
                                    <a:chExt cx="2288" cy="306"/>
                                  </a:xfrm>
                                </wpg:grpSpPr>
                                <wps:wsp>
                                  <wps:cNvPr id="840" name="Text Box 806"/>
                                  <wps:cNvSpPr txBox="1">
                                    <a:spLocks noChangeArrowheads="1"/>
                                  </wps:cNvSpPr>
                                  <wps:spPr bwMode="auto">
                                    <a:xfrm>
                                      <a:off x="4286" y="847"/>
                                      <a:ext cx="1541"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2F40C" w14:textId="77777777" w:rsidR="003832F2" w:rsidRPr="004755B0" w:rsidRDefault="003832F2" w:rsidP="00B0686B">
                                        <w:pPr>
                                          <w:spacing w:after="0"/>
                                          <w:jc w:val="center"/>
                                          <w:rPr>
                                            <w:sz w:val="18"/>
                                            <w:szCs w:val="14"/>
                                          </w:rPr>
                                        </w:pPr>
                                        <w:r w:rsidRPr="00DF1AC2">
                                          <w:rPr>
                                            <w:szCs w:val="14"/>
                                          </w:rPr>
                                          <w:t>Linia wjazd</w:t>
                                        </w:r>
                                        <w:r w:rsidRPr="00D333EA">
                                          <w:rPr>
                                            <w:sz w:val="20"/>
                                            <w:szCs w:val="14"/>
                                          </w:rPr>
                                          <w:t>u</w:t>
                                        </w:r>
                                      </w:p>
                                    </w:txbxContent>
                                  </wps:txbx>
                                  <wps:bodyPr rot="0" vert="horz" wrap="square" lIns="18000" tIns="10800" rIns="18000" bIns="10800" anchor="ctr" anchorCtr="0" upright="1">
                                    <a:spAutoFit/>
                                  </wps:bodyPr>
                                </wps:wsp>
                                <wps:wsp>
                                  <wps:cNvPr id="841" name="AutoShape 807"/>
                                  <wps:cNvCnPr>
                                    <a:cxnSpLocks noChangeShapeType="1"/>
                                  </wps:cNvCnPr>
                                  <wps:spPr bwMode="auto">
                                    <a:xfrm rot="10800000">
                                      <a:off x="3539" y="1004"/>
                                      <a:ext cx="884" cy="1"/>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g:grpSp>
                            </wpg:grpSp>
                            <wpg:grpSp>
                              <wpg:cNvPr id="842" name="Group 808"/>
                              <wpg:cNvGrpSpPr>
                                <a:grpSpLocks/>
                              </wpg:cNvGrpSpPr>
                              <wpg:grpSpPr bwMode="auto">
                                <a:xfrm>
                                  <a:off x="5636" y="3040"/>
                                  <a:ext cx="724" cy="3542"/>
                                  <a:chOff x="5636" y="3040"/>
                                  <a:chExt cx="724" cy="3542"/>
                                </a:xfrm>
                              </wpg:grpSpPr>
                              <wpg:grpSp>
                                <wpg:cNvPr id="843" name="Group 809"/>
                                <wpg:cNvGrpSpPr>
                                  <a:grpSpLocks/>
                                </wpg:cNvGrpSpPr>
                                <wpg:grpSpPr bwMode="auto">
                                  <a:xfrm>
                                    <a:off x="5636" y="6312"/>
                                    <a:ext cx="608" cy="270"/>
                                    <a:chOff x="1707" y="3608"/>
                                    <a:chExt cx="686" cy="273"/>
                                  </a:xfrm>
                                </wpg:grpSpPr>
                                <wps:wsp>
                                  <wps:cNvPr id="844" name="Text Box 810"/>
                                  <wps:cNvSpPr txBox="1">
                                    <a:spLocks noChangeArrowheads="1"/>
                                  </wps:cNvSpPr>
                                  <wps:spPr bwMode="auto">
                                    <a:xfrm>
                                      <a:off x="1707" y="3608"/>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7F8E8" w14:textId="77777777" w:rsidR="003832F2" w:rsidRPr="00E923DA" w:rsidRDefault="003832F2" w:rsidP="00B0686B">
                                        <w:pPr>
                                          <w:spacing w:after="0"/>
                                          <w:jc w:val="center"/>
                                        </w:pPr>
                                        <w:r>
                                          <w:t>K</w:t>
                                        </w:r>
                                      </w:p>
                                    </w:txbxContent>
                                  </wps:txbx>
                                  <wps:bodyPr rot="0" vert="horz" wrap="square" lIns="18000" tIns="10800" rIns="18000" bIns="10800" anchor="ctr" anchorCtr="0" upright="1">
                                    <a:noAutofit/>
                                  </wps:bodyPr>
                                </wps:wsp>
                                <wps:wsp>
                                  <wps:cNvPr id="845" name="Text Box 811"/>
                                  <wps:cNvSpPr txBox="1">
                                    <a:spLocks noChangeArrowheads="1"/>
                                  </wps:cNvSpPr>
                                  <wps:spPr bwMode="auto">
                                    <a:xfrm>
                                      <a:off x="2103" y="3620"/>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057AB" w14:textId="77777777" w:rsidR="003832F2" w:rsidRPr="00E923DA" w:rsidRDefault="003832F2" w:rsidP="00B0686B">
                                        <w:pPr>
                                          <w:spacing w:after="0"/>
                                          <w:jc w:val="center"/>
                                        </w:pPr>
                                        <w:r>
                                          <w:t>H</w:t>
                                        </w:r>
                                      </w:p>
                                    </w:txbxContent>
                                  </wps:txbx>
                                  <wps:bodyPr rot="0" vert="horz" wrap="square" lIns="18000" tIns="10800" rIns="18000" bIns="10800" anchor="ctr" anchorCtr="0" upright="1">
                                    <a:noAutofit/>
                                  </wps:bodyPr>
                                </wps:wsp>
                              </wpg:grpSp>
                              <wpg:grpSp>
                                <wpg:cNvPr id="846" name="Group 812"/>
                                <wpg:cNvGrpSpPr>
                                  <a:grpSpLocks/>
                                </wpg:cNvGrpSpPr>
                                <wpg:grpSpPr bwMode="auto">
                                  <a:xfrm>
                                    <a:off x="5707" y="3040"/>
                                    <a:ext cx="653" cy="1560"/>
                                    <a:chOff x="1784" y="295"/>
                                    <a:chExt cx="735" cy="1579"/>
                                  </a:xfrm>
                                </wpg:grpSpPr>
                                <wps:wsp>
                                  <wps:cNvPr id="847" name="Text Box 813"/>
                                  <wps:cNvSpPr txBox="1">
                                    <a:spLocks noChangeArrowheads="1"/>
                                  </wps:cNvSpPr>
                                  <wps:spPr bwMode="auto">
                                    <a:xfrm>
                                      <a:off x="1784" y="1613"/>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85993" w14:textId="77777777" w:rsidR="003832F2" w:rsidRPr="00E923DA" w:rsidRDefault="003832F2" w:rsidP="00B0686B">
                                        <w:pPr>
                                          <w:spacing w:after="0"/>
                                          <w:jc w:val="center"/>
                                        </w:pPr>
                                        <w:r>
                                          <w:t>J</w:t>
                                        </w:r>
                                      </w:p>
                                    </w:txbxContent>
                                  </wps:txbx>
                                  <wps:bodyPr rot="0" vert="horz" wrap="square" lIns="18000" tIns="10800" rIns="18000" bIns="10800" anchor="ctr" anchorCtr="0" upright="1">
                                    <a:noAutofit/>
                                  </wps:bodyPr>
                                </wps:wsp>
                                <wps:wsp>
                                  <wps:cNvPr id="848" name="Text Box 814"/>
                                  <wps:cNvSpPr txBox="1">
                                    <a:spLocks noChangeArrowheads="1"/>
                                  </wps:cNvSpPr>
                                  <wps:spPr bwMode="auto">
                                    <a:xfrm>
                                      <a:off x="2229" y="295"/>
                                      <a:ext cx="290"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A780F" w14:textId="77777777" w:rsidR="003832F2" w:rsidRPr="00E923DA" w:rsidRDefault="003832F2" w:rsidP="00B0686B">
                                        <w:pPr>
                                          <w:spacing w:after="0"/>
                                          <w:jc w:val="center"/>
                                        </w:pPr>
                                        <w:r>
                                          <w:t>M</w:t>
                                        </w:r>
                                      </w:p>
                                    </w:txbxContent>
                                  </wps:txbx>
                                  <wps:bodyPr rot="0" vert="horz" wrap="square" lIns="18000" tIns="10800" rIns="18000" bIns="10800" anchor="ctr" anchorCtr="0" upright="1">
                                    <a:noAutofit/>
                                  </wps:bodyPr>
                                </wps:wsp>
                              </wpg:grpSp>
                            </wpg:grpSp>
                          </wpg:grpSp>
                          <wps:wsp>
                            <wps:cNvPr id="849" name="Text Box 59"/>
                            <wps:cNvSpPr txBox="1">
                              <a:spLocks noChangeArrowheads="1"/>
                            </wps:cNvSpPr>
                            <wps:spPr bwMode="auto">
                              <a:xfrm>
                                <a:off x="5832" y="2534"/>
                                <a:ext cx="25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48C85" w14:textId="77777777" w:rsidR="003832F2" w:rsidRPr="00E923DA" w:rsidRDefault="003832F2" w:rsidP="00B0686B">
                                  <w:pPr>
                                    <w:spacing w:after="0"/>
                                    <w:jc w:val="center"/>
                                  </w:pPr>
                                  <w:r>
                                    <w:t>N</w:t>
                                  </w:r>
                                </w:p>
                              </w:txbxContent>
                            </wps:txbx>
                            <wps:bodyPr rot="0" vert="horz" wrap="square" lIns="18000" tIns="10800" rIns="18000" bIns="10800" anchor="ctr" anchorCtr="0" upright="1">
                              <a:noAutofit/>
                            </wps:bodyPr>
                          </wps:wsp>
                        </wpg:grpSp>
                        <wps:wsp>
                          <wps:cNvPr id="850" name="Text Box 55"/>
                          <wps:cNvSpPr txBox="1">
                            <a:spLocks noChangeArrowheads="1"/>
                          </wps:cNvSpPr>
                          <wps:spPr bwMode="auto">
                            <a:xfrm>
                              <a:off x="4652" y="5464"/>
                              <a:ext cx="257"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B5BDF" w14:textId="77777777" w:rsidR="003832F2" w:rsidRPr="00E923DA" w:rsidRDefault="003832F2" w:rsidP="00B0686B">
                                <w:pPr>
                                  <w:spacing w:after="0"/>
                                  <w:jc w:val="center"/>
                                </w:pPr>
                                <w:r>
                                  <w:t>I</w:t>
                                </w:r>
                              </w:p>
                            </w:txbxContent>
                          </wps:txbx>
                          <wps:bodyPr rot="0" vert="horz" wrap="square" lIns="18000" tIns="10800" rIns="18000" bIns="10800" anchor="ctr"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D29459" id="Kanwa 19" o:spid="_x0000_s1077" editas="canvas" style="width:368.4pt;height:246.7pt;mso-position-horizontal-relative:char;mso-position-vertical-relative:line" coordsize="46786,3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">
                <v:shape id="_x0000_s1078" type="#_x0000_t75" style="position:absolute;width:46786;height:31330;visibility:visible;mso-wrap-style:square" stroked="t">
                  <v:fill o:detectmouseclick="t"/>
                  <v:path o:connecttype="none"/>
                </v:shape>
                <v:group id="Group 856" o:spid="_x0000_s1079" style="position:absolute;left:23126;top:19029;width:4255;height:3245" coordorigin="5619,5157" coordsize="67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Text Box 51" o:spid="_x0000_s1080" type="#_x0000_t202" style="position:absolute;left:6032;top:5410;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" filled="f" stroked="f">
                    <v:textbox inset=".5mm,.3mm,.5mm,.3mm">
                      <w:txbxContent>
                        <w:p w14:paraId="00A613DF" w14:textId="77777777" w:rsidR="003832F2" w:rsidRPr="00E923DA" w:rsidRDefault="003832F2" w:rsidP="00B0686B">
                          <w:pPr>
                            <w:spacing w:after="0"/>
                            <w:jc w:val="center"/>
                          </w:pPr>
                          <w:r>
                            <w:t>r</w:t>
                          </w:r>
                        </w:p>
                      </w:txbxContent>
                    </v:textbox>
                  </v:shape>
                  <v:shape id="Text Box 52" o:spid="_x0000_s1081" type="#_x0000_t202" style="position:absolute;left:5619;top:5157;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" filled="f" stroked="f">
                    <v:textbox inset=".5mm,.3mm,.5mm,.3mm">
                      <w:txbxContent>
                        <w:p w14:paraId="1CD4D433" w14:textId="77777777" w:rsidR="003832F2" w:rsidRPr="00E923DA" w:rsidRDefault="003832F2" w:rsidP="00B0686B">
                          <w:pPr>
                            <w:spacing w:after="0"/>
                            <w:jc w:val="center"/>
                          </w:pPr>
                          <w:r>
                            <w:t>r</w:t>
                          </w:r>
                        </w:p>
                      </w:txbxContent>
                    </v:textbox>
                  </v:shape>
                </v:group>
                <v:shape id="Text Box 54" o:spid="_x0000_s1082" type="#_x0000_t202" style="position:absolute;left:31375;top:19975;width:1632;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" filled="f" stroked="f">
                  <v:textbox inset=".5mm,.3mm,.5mm,.3mm">
                    <w:txbxContent>
                      <w:p w14:paraId="69EAF852" w14:textId="77777777" w:rsidR="003832F2" w:rsidRPr="00953C1B" w:rsidRDefault="003832F2" w:rsidP="00B0686B">
                        <w:pPr>
                          <w:spacing w:after="0"/>
                          <w:jc w:val="center"/>
                        </w:pPr>
                        <w:r w:rsidRPr="00953C1B">
                          <w:t>L</w:t>
                        </w:r>
                      </w:p>
                    </w:txbxContent>
                  </v:textbox>
                </v:shape>
                <v:group id="Group 816" o:spid="_x0000_s1083" style="position:absolute;left:5886;top:2373;width:34239;height:25552" coordorigin="2904,2534" coordsize="5392,4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">
                  <v:group id="Group 815" o:spid="_x0000_s1084" style="position:absolute;left:2904;top:2534;width:5392;height:4024" coordorigin="2904,2534" coordsize="5392,4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group id="Group 787" o:spid="_x0000_s1085" style="position:absolute;left:2904;top:2626;width:5392;height:3932" coordorigin="2904,2650" coordsize="5392,3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group id="Group 788" o:spid="_x0000_s1086" style="position:absolute;left:2904;top:2650;width:5392;height:3757" coordorigin="2904,2650" coordsize="5392,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group id="Group 789" o:spid="_x0000_s1087" style="position:absolute;left:2904;top:2650;width:4800;height:3757" coordorigin="2904,2650" coordsize="4800,3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group id="Group 790" o:spid="_x0000_s1088" style="position:absolute;left:4252;top:2749;width:3452;height:3658" coordorigin="4252,2749" coordsize="3452,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Picture 791" o:spid="_x0000_s1089" type="#_x0000_t75" style="position:absolute;left:4252;top:2749;width:3452;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">
                              <v:imagedata r:id="rId86" o:title=""/>
                              <o:lock v:ext="edit" aspectratio="f"/>
                            </v:shape>
                            <v:group id="Group 792" o:spid="_x0000_s1090" style="position:absolute;left:4864;top:5220;width:1426;height:427" coordorigin="4864,5220" coordsize="142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AutoShape 793" o:spid="_x0000_s1091" type="#_x0000_t32" style="position:absolute;left:4943;top:5220;width:1347;height:418;rotation:-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" strokecolor="green" strokeweight="1pt">
                                <v:stroke dashstyle="dash"/>
                              </v:shape>
                              <v:group id="Group 794" o:spid="_x0000_s1092" style="position:absolute;left:4864;top:5535;width:100;height:112"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">
                                <v:shape id="AutoShape 795" o:spid="_x0000_s1093"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" strokeweight="1pt"/>
                                <v:shape id="AutoShape 796" o:spid="_x0000_s1094"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" strokeweight="1pt"/>
                              </v:group>
                            </v:group>
                            <v:group id="Group 797" o:spid="_x0000_s1095" style="position:absolute;left:5609;top:5387;width:1369;height:428" coordorigin="5609,5387" coordsize="1369,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shape id="AutoShape 798" o:spid="_x0000_s1096" type="#_x0000_t32" style="position:absolute;left:5609;top:5398;width:1347;height:417;rotation:-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" strokecolor="green" strokeweight="1pt">
                                <v:stroke dashstyle="dash"/>
                              </v:shape>
                              <v:group id="Group 799" o:spid="_x0000_s1097" style="position:absolute;left:6878;top:5387;width:100;height:111" coordorigin="2984,11538"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shape id="AutoShape 800" o:spid="_x0000_s1098" type="#_x0000_t32" style="position:absolute;left:3060;top:11538;width:1;height: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" strokeweight="1pt"/>
                                <v:shape id="AutoShape 801" o:spid="_x0000_s1099" type="#_x0000_t32" style="position:absolute;left:3058;top:11536;width:0;height:14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" strokeweight="1pt"/>
                              </v:group>
                            </v:group>
                          </v:group>
                          <v:group id="Group 802" o:spid="_x0000_s1100" style="position:absolute;left:2904;top:2650;width:2285;height:486" coordorigin="-1376,-100" coordsize="2578,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shape id="Text Box 803" o:spid="_x0000_s1101" type="#_x0000_t202" style="position:absolute;left:-1376;top:-100;width:1817;height: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" filled="f" stroked="f">
                              <v:textbox inset=".5mm,.3mm,.5mm,.3mm">
                                <w:txbxContent>
                                  <w:p w14:paraId="5CF5B427" w14:textId="77777777" w:rsidR="003832F2" w:rsidRPr="00DF1AC2" w:rsidRDefault="003832F2" w:rsidP="00B0686B">
                                    <w:pPr>
                                      <w:spacing w:after="0"/>
                                      <w:jc w:val="center"/>
                                      <w:rPr>
                                        <w:sz w:val="20"/>
                                        <w:szCs w:val="16"/>
                                      </w:rPr>
                                    </w:pPr>
                                    <w:r w:rsidRPr="00DF1AC2">
                                      <w:rPr>
                                        <w:szCs w:val="16"/>
                                      </w:rPr>
                                      <w:t>Linia zatrzymani</w:t>
                                    </w:r>
                                    <w:r w:rsidRPr="00DF1AC2">
                                      <w:rPr>
                                        <w:sz w:val="20"/>
                                        <w:szCs w:val="16"/>
                                      </w:rPr>
                                      <w:t>a</w:t>
                                    </w:r>
                                  </w:p>
                                </w:txbxContent>
                              </v:textbox>
                            </v:shape>
                            <v:shape id="AutoShape 804" o:spid="_x0000_s1102" type="#_x0000_t32" style="position:absolute;left:456;top:108;width:746;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">
                              <v:stroke endarrow="block" endarrowwidth="narrow" endarrowlength="short"/>
                            </v:shape>
                          </v:group>
                        </v:group>
                        <v:group id="Group 805" o:spid="_x0000_s1103" style="position:absolute;left:6268;top:4866;width:2028;height:303" coordorigin="3539,847" coordsize="2288,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Text Box 806" o:spid="_x0000_s1104" type="#_x0000_t202" style="position:absolute;left:4286;top:847;width:1541;height: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" filled="f" stroked="f">
                            <v:textbox style="mso-fit-shape-to-text:t" inset=".5mm,.3mm,.5mm,.3mm">
                              <w:txbxContent>
                                <w:p w14:paraId="6992F40C" w14:textId="77777777" w:rsidR="003832F2" w:rsidRPr="004755B0" w:rsidRDefault="003832F2" w:rsidP="00B0686B">
                                  <w:pPr>
                                    <w:spacing w:after="0"/>
                                    <w:jc w:val="center"/>
                                    <w:rPr>
                                      <w:sz w:val="18"/>
                                      <w:szCs w:val="14"/>
                                    </w:rPr>
                                  </w:pPr>
                                  <w:r w:rsidRPr="00DF1AC2">
                                    <w:rPr>
                                      <w:szCs w:val="14"/>
                                    </w:rPr>
                                    <w:t>Linia wjazd</w:t>
                                  </w:r>
                                  <w:r w:rsidRPr="00D333EA">
                                    <w:rPr>
                                      <w:sz w:val="20"/>
                                      <w:szCs w:val="14"/>
                                    </w:rPr>
                                    <w:t>u</w:t>
                                  </w:r>
                                </w:p>
                              </w:txbxContent>
                            </v:textbox>
                          </v:shape>
                          <v:shape id="AutoShape 807" o:spid="_x0000_s1105" type="#_x0000_t32" style="position:absolute;left:3539;top:1004;width:884;height:1;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">
                            <v:stroke endarrow="block" endarrowwidth="narrow" endarrowlength="short"/>
                          </v:shape>
                        </v:group>
                      </v:group>
                      <v:group id="Group 808" o:spid="_x0000_s1106" style="position:absolute;left:5636;top:3040;width:724;height:3542" coordorigin="5636,3040" coordsize="724,3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group id="Group 809" o:spid="_x0000_s1107" style="position:absolute;left:5636;top:6312;width:608;height:270" coordorigin="1707,3608" coordsize="68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Text Box 810" o:spid="_x0000_s1108" type="#_x0000_t202" style="position:absolute;left:1707;top:3608;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" filled="f" stroked="f">
                            <v:textbox inset=".5mm,.3mm,.5mm,.3mm">
                              <w:txbxContent>
                                <w:p w14:paraId="0D47F8E8" w14:textId="77777777" w:rsidR="003832F2" w:rsidRPr="00E923DA" w:rsidRDefault="003832F2" w:rsidP="00B0686B">
                                  <w:pPr>
                                    <w:spacing w:after="0"/>
                                    <w:jc w:val="center"/>
                                  </w:pPr>
                                  <w:r>
                                    <w:t>K</w:t>
                                  </w:r>
                                </w:p>
                              </w:txbxContent>
                            </v:textbox>
                          </v:shape>
                          <v:shape id="Text Box 811" o:spid="_x0000_s1109" type="#_x0000_t202" style="position:absolute;left:2103;top:3620;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" filled="f" stroked="f">
                            <v:textbox inset=".5mm,.3mm,.5mm,.3mm">
                              <w:txbxContent>
                                <w:p w14:paraId="1EA057AB" w14:textId="77777777" w:rsidR="003832F2" w:rsidRPr="00E923DA" w:rsidRDefault="003832F2" w:rsidP="00B0686B">
                                  <w:pPr>
                                    <w:spacing w:after="0"/>
                                    <w:jc w:val="center"/>
                                  </w:pPr>
                                  <w:r>
                                    <w:t>H</w:t>
                                  </w:r>
                                </w:p>
                              </w:txbxContent>
                            </v:textbox>
                          </v:shape>
                        </v:group>
                        <v:group id="Group 812" o:spid="_x0000_s1110" style="position:absolute;left:5707;top:3040;width:653;height:1560" coordorigin="1784,295" coordsize="735,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shape id="Text Box 813" o:spid="_x0000_s1111" type="#_x0000_t202" style="position:absolute;left:1784;top:1613;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" filled="f" stroked="f">
                            <v:textbox inset=".5mm,.3mm,.5mm,.3mm">
                              <w:txbxContent>
                                <w:p w14:paraId="7FE85993" w14:textId="77777777" w:rsidR="003832F2" w:rsidRPr="00E923DA" w:rsidRDefault="003832F2" w:rsidP="00B0686B">
                                  <w:pPr>
                                    <w:spacing w:after="0"/>
                                    <w:jc w:val="center"/>
                                  </w:pPr>
                                  <w:r>
                                    <w:t>J</w:t>
                                  </w:r>
                                </w:p>
                              </w:txbxContent>
                            </v:textbox>
                          </v:shape>
                          <v:shape id="Text Box 814" o:spid="_x0000_s1112" type="#_x0000_t202" style="position:absolute;left:2229;top:295;width:290;height: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" filled="f" stroked="f">
                            <v:textbox inset=".5mm,.3mm,.5mm,.3mm">
                              <w:txbxContent>
                                <w:p w14:paraId="080A780F" w14:textId="77777777" w:rsidR="003832F2" w:rsidRPr="00E923DA" w:rsidRDefault="003832F2" w:rsidP="00B0686B">
                                  <w:pPr>
                                    <w:spacing w:after="0"/>
                                    <w:jc w:val="center"/>
                                  </w:pPr>
                                  <w:r>
                                    <w:t>M</w:t>
                                  </w:r>
                                </w:p>
                              </w:txbxContent>
                            </v:textbox>
                          </v:shape>
                        </v:group>
                      </v:group>
                    </v:group>
                    <v:shape id="Text Box 59" o:spid="_x0000_s1113" type="#_x0000_t202" style="position:absolute;left:5832;top:2534;width:257;height: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" filled="f" stroked="f">
                      <v:textbox inset=".5mm,.3mm,.5mm,.3mm">
                        <w:txbxContent>
                          <w:p w14:paraId="3B548C85" w14:textId="77777777" w:rsidR="003832F2" w:rsidRPr="00E923DA" w:rsidRDefault="003832F2" w:rsidP="00B0686B">
                            <w:pPr>
                              <w:spacing w:after="0"/>
                              <w:jc w:val="center"/>
                            </w:pPr>
                            <w:r>
                              <w:t>N</w:t>
                            </w:r>
                          </w:p>
                        </w:txbxContent>
                      </v:textbox>
                    </v:shape>
                  </v:group>
                  <v:shape id="Text Box 55" o:spid="_x0000_s1114" type="#_x0000_t202" style="position:absolute;left:4652;top:5464;width:257;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" filled="f" stroked="f">
                    <v:textbox inset=".5mm,.3mm,.5mm,.3mm">
                      <w:txbxContent>
                        <w:p w14:paraId="465B5BDF" w14:textId="77777777" w:rsidR="003832F2" w:rsidRPr="00E923DA" w:rsidRDefault="003832F2" w:rsidP="00B0686B">
                          <w:pPr>
                            <w:spacing w:after="0"/>
                            <w:jc w:val="center"/>
                          </w:pPr>
                          <w:r>
                            <w:t>I</w:t>
                          </w:r>
                        </w:p>
                      </w:txbxContent>
                    </v:textbox>
                  </v:shape>
                </v:group>
                <w10:anchorlock/>
              </v:group>
            </w:pict>
          </mc:Fallback>
        </mc:AlternateContent>
      </w:r>
    </w:p>
    <w:p w14:paraId="5D81875E" w14:textId="77777777" w:rsidR="00B0686B" w:rsidRPr="009E064B" w:rsidRDefault="00B0686B" w:rsidP="00FD01A6">
      <w:pPr>
        <w:spacing w:after="0"/>
        <w:jc w:val="center"/>
        <w:rPr>
          <w:rFonts w:asciiTheme="minorHAnsi" w:hAnsiTheme="minorHAnsi" w:cstheme="minorHAnsi"/>
        </w:rPr>
      </w:pPr>
    </w:p>
    <w:p w14:paraId="4D330F25" w14:textId="77777777" w:rsidR="00B0686B" w:rsidRPr="002C4C40" w:rsidRDefault="00B0686B" w:rsidP="00B06A9A">
      <w:pPr>
        <w:jc w:val="center"/>
        <w:rPr>
          <w:rFonts w:asciiTheme="minorHAnsi" w:hAnsiTheme="minorHAnsi" w:cstheme="minorHAnsi"/>
          <w:b/>
          <w:sz w:val="20"/>
        </w:rPr>
      </w:pPr>
      <w:r w:rsidRPr="002C4C40">
        <w:rPr>
          <w:rFonts w:asciiTheme="minorHAnsi" w:hAnsiTheme="minorHAnsi" w:cstheme="minorHAnsi"/>
          <w:b/>
          <w:sz w:val="20"/>
        </w:rPr>
        <w:t xml:space="preserve">Rysunek 9 – Linia wjazdu z bocznym odchyleniem koła podwozia przedniego </w:t>
      </w:r>
    </w:p>
    <w:p w14:paraId="3AD8CACB" w14:textId="77777777" w:rsidR="00B0686B" w:rsidRPr="009E064B" w:rsidRDefault="00B0686B" w:rsidP="00B06A9A">
      <w:pPr>
        <w:jc w:val="center"/>
        <w:rPr>
          <w:rFonts w:asciiTheme="minorHAnsi" w:hAnsiTheme="minorHAnsi" w:cstheme="minorHAnsi"/>
        </w:rPr>
      </w:pPr>
    </w:p>
    <w:p w14:paraId="29E8AB1C" w14:textId="7800BC03" w:rsidR="00B0686B" w:rsidRPr="009E064B" w:rsidRDefault="00B0686B" w:rsidP="00B06A9A">
      <w:pPr>
        <w:jc w:val="center"/>
        <w:rPr>
          <w:rFonts w:asciiTheme="minorHAnsi" w:hAnsiTheme="minorHAnsi" w:cstheme="minorHAnsi"/>
        </w:rPr>
      </w:pPr>
    </w:p>
    <w:p w14:paraId="4F39B04E" w14:textId="77777777" w:rsidR="00FD01A6" w:rsidRPr="009E064B" w:rsidRDefault="00FD01A6" w:rsidP="00B06A9A">
      <w:pPr>
        <w:jc w:val="center"/>
        <w:rPr>
          <w:rFonts w:asciiTheme="minorHAns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2"/>
        <w:gridCol w:w="6343"/>
      </w:tblGrid>
      <w:tr w:rsidR="00B0686B" w:rsidRPr="009E064B" w14:paraId="2E4A6B10" w14:textId="77777777" w:rsidTr="00371A8B">
        <w:trPr>
          <w:jc w:val="center"/>
        </w:trPr>
        <w:tc>
          <w:tcPr>
            <w:tcW w:w="992" w:type="dxa"/>
            <w:tcMar>
              <w:top w:w="113" w:type="dxa"/>
              <w:bottom w:w="113" w:type="dxa"/>
            </w:tcMar>
            <w:vAlign w:val="center"/>
          </w:tcPr>
          <w:p w14:paraId="5DF91116"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Pozycja</w:t>
            </w:r>
          </w:p>
        </w:tc>
        <w:tc>
          <w:tcPr>
            <w:tcW w:w="6343" w:type="dxa"/>
            <w:tcMar>
              <w:top w:w="113" w:type="dxa"/>
              <w:bottom w:w="113" w:type="dxa"/>
            </w:tcMar>
            <w:vAlign w:val="center"/>
          </w:tcPr>
          <w:p w14:paraId="37115082"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Opis punktu podlegającego pomiarom</w:t>
            </w:r>
          </w:p>
        </w:tc>
      </w:tr>
      <w:tr w:rsidR="00B0686B" w:rsidRPr="009E064B" w14:paraId="7D728D3A" w14:textId="77777777" w:rsidTr="00371A8B">
        <w:trPr>
          <w:jc w:val="center"/>
        </w:trPr>
        <w:tc>
          <w:tcPr>
            <w:tcW w:w="992" w:type="dxa"/>
            <w:tcMar>
              <w:top w:w="113" w:type="dxa"/>
              <w:bottom w:w="113" w:type="dxa"/>
            </w:tcMar>
            <w:vAlign w:val="center"/>
          </w:tcPr>
          <w:p w14:paraId="77FA0480"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H</w:t>
            </w:r>
          </w:p>
        </w:tc>
        <w:tc>
          <w:tcPr>
            <w:tcW w:w="6343" w:type="dxa"/>
            <w:tcMar>
              <w:top w:w="113" w:type="dxa"/>
              <w:bottom w:w="113" w:type="dxa"/>
            </w:tcMar>
            <w:vAlign w:val="center"/>
          </w:tcPr>
          <w:p w14:paraId="4D8B8B79"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Punkt przecięcia oznakowania linii wjazdu i środka oznakowania drogi kołowania.</w:t>
            </w:r>
          </w:p>
        </w:tc>
      </w:tr>
      <w:tr w:rsidR="00B0686B" w:rsidRPr="009E064B" w14:paraId="2AD21377" w14:textId="77777777" w:rsidTr="00371A8B">
        <w:trPr>
          <w:jc w:val="center"/>
        </w:trPr>
        <w:tc>
          <w:tcPr>
            <w:tcW w:w="992" w:type="dxa"/>
            <w:tcMar>
              <w:top w:w="113" w:type="dxa"/>
              <w:bottom w:w="113" w:type="dxa"/>
            </w:tcMar>
            <w:vAlign w:val="center"/>
          </w:tcPr>
          <w:p w14:paraId="2EA0D5F8"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I</w:t>
            </w:r>
          </w:p>
        </w:tc>
        <w:tc>
          <w:tcPr>
            <w:tcW w:w="6343" w:type="dxa"/>
            <w:tcMar>
              <w:top w:w="113" w:type="dxa"/>
              <w:bottom w:w="113" w:type="dxa"/>
            </w:tcMar>
            <w:vAlign w:val="center"/>
          </w:tcPr>
          <w:p w14:paraId="6B3D5426"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Środek łuku linii wjazdu i jego promień.</w:t>
            </w:r>
          </w:p>
        </w:tc>
      </w:tr>
      <w:tr w:rsidR="00B0686B" w:rsidRPr="009E064B" w14:paraId="6E403FF1" w14:textId="77777777" w:rsidTr="00371A8B">
        <w:trPr>
          <w:jc w:val="center"/>
        </w:trPr>
        <w:tc>
          <w:tcPr>
            <w:tcW w:w="992" w:type="dxa"/>
            <w:tcMar>
              <w:top w:w="113" w:type="dxa"/>
              <w:bottom w:w="113" w:type="dxa"/>
            </w:tcMar>
            <w:vAlign w:val="center"/>
          </w:tcPr>
          <w:p w14:paraId="5841982B"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J</w:t>
            </w:r>
          </w:p>
        </w:tc>
        <w:tc>
          <w:tcPr>
            <w:tcW w:w="6343" w:type="dxa"/>
            <w:tcMar>
              <w:top w:w="113" w:type="dxa"/>
              <w:bottom w:w="113" w:type="dxa"/>
            </w:tcMar>
            <w:vAlign w:val="center"/>
          </w:tcPr>
          <w:p w14:paraId="67777E96"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Punkt początkowy odcinka prostego linii wjazdu.</w:t>
            </w:r>
          </w:p>
        </w:tc>
      </w:tr>
      <w:tr w:rsidR="00B0686B" w:rsidRPr="009E064B" w14:paraId="39B46D0D" w14:textId="77777777" w:rsidTr="00371A8B">
        <w:trPr>
          <w:jc w:val="center"/>
        </w:trPr>
        <w:tc>
          <w:tcPr>
            <w:tcW w:w="992" w:type="dxa"/>
            <w:tcMar>
              <w:top w:w="113" w:type="dxa"/>
              <w:bottom w:w="113" w:type="dxa"/>
            </w:tcMar>
            <w:vAlign w:val="center"/>
          </w:tcPr>
          <w:p w14:paraId="31E1FFA1"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K</w:t>
            </w:r>
          </w:p>
        </w:tc>
        <w:tc>
          <w:tcPr>
            <w:tcW w:w="6343" w:type="dxa"/>
            <w:tcMar>
              <w:top w:w="113" w:type="dxa"/>
              <w:bottom w:w="113" w:type="dxa"/>
            </w:tcMar>
            <w:vAlign w:val="center"/>
          </w:tcPr>
          <w:p w14:paraId="46189FBA"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Punkt przecięcia oznakowania linii wjazdu i środka oznakowania drogi kołowania.</w:t>
            </w:r>
          </w:p>
        </w:tc>
      </w:tr>
      <w:tr w:rsidR="00B0686B" w:rsidRPr="009E064B" w14:paraId="4A547815" w14:textId="77777777" w:rsidTr="00371A8B">
        <w:trPr>
          <w:jc w:val="center"/>
        </w:trPr>
        <w:tc>
          <w:tcPr>
            <w:tcW w:w="992" w:type="dxa"/>
            <w:tcMar>
              <w:top w:w="113" w:type="dxa"/>
              <w:bottom w:w="113" w:type="dxa"/>
            </w:tcMar>
            <w:vAlign w:val="center"/>
          </w:tcPr>
          <w:p w14:paraId="59C85454"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L</w:t>
            </w:r>
          </w:p>
        </w:tc>
        <w:tc>
          <w:tcPr>
            <w:tcW w:w="6343" w:type="dxa"/>
            <w:tcMar>
              <w:top w:w="113" w:type="dxa"/>
              <w:bottom w:w="113" w:type="dxa"/>
            </w:tcMar>
            <w:vAlign w:val="center"/>
          </w:tcPr>
          <w:p w14:paraId="7557F4BA"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Środek łuku linii wjazdu i jego promień.</w:t>
            </w:r>
          </w:p>
        </w:tc>
      </w:tr>
      <w:tr w:rsidR="00B0686B" w:rsidRPr="009E064B" w14:paraId="20BE08BB" w14:textId="77777777" w:rsidTr="00371A8B">
        <w:trPr>
          <w:jc w:val="center"/>
        </w:trPr>
        <w:tc>
          <w:tcPr>
            <w:tcW w:w="992" w:type="dxa"/>
            <w:tcMar>
              <w:top w:w="113" w:type="dxa"/>
              <w:bottom w:w="113" w:type="dxa"/>
            </w:tcMar>
            <w:vAlign w:val="center"/>
          </w:tcPr>
          <w:p w14:paraId="258FA8DA"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M</w:t>
            </w:r>
          </w:p>
        </w:tc>
        <w:tc>
          <w:tcPr>
            <w:tcW w:w="6343" w:type="dxa"/>
            <w:tcMar>
              <w:top w:w="113" w:type="dxa"/>
              <w:bottom w:w="113" w:type="dxa"/>
            </w:tcMar>
            <w:vAlign w:val="center"/>
          </w:tcPr>
          <w:p w14:paraId="134D8A44"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Położenie koła podwozia przedniego zaparkowanego statku powietrznego.</w:t>
            </w:r>
          </w:p>
        </w:tc>
      </w:tr>
      <w:tr w:rsidR="00B0686B" w:rsidRPr="009E064B" w14:paraId="1EC3F165" w14:textId="77777777" w:rsidTr="00371A8B">
        <w:trPr>
          <w:jc w:val="center"/>
        </w:trPr>
        <w:tc>
          <w:tcPr>
            <w:tcW w:w="992" w:type="dxa"/>
            <w:tcMar>
              <w:top w:w="113" w:type="dxa"/>
              <w:bottom w:w="113" w:type="dxa"/>
            </w:tcMar>
            <w:vAlign w:val="center"/>
          </w:tcPr>
          <w:p w14:paraId="35619FFD"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N</w:t>
            </w:r>
          </w:p>
        </w:tc>
        <w:tc>
          <w:tcPr>
            <w:tcW w:w="6343" w:type="dxa"/>
            <w:tcMar>
              <w:top w:w="113" w:type="dxa"/>
              <w:bottom w:w="113" w:type="dxa"/>
            </w:tcMar>
            <w:vAlign w:val="center"/>
          </w:tcPr>
          <w:p w14:paraId="7D436D45" w14:textId="77777777" w:rsidR="00B0686B" w:rsidRPr="009E064B" w:rsidRDefault="00B0686B" w:rsidP="00B06A9A">
            <w:pPr>
              <w:spacing w:after="0"/>
              <w:rPr>
                <w:rFonts w:asciiTheme="minorHAnsi" w:hAnsiTheme="minorHAnsi" w:cstheme="minorHAnsi"/>
              </w:rPr>
            </w:pPr>
            <w:r w:rsidRPr="009E064B">
              <w:rPr>
                <w:rFonts w:asciiTheme="minorHAnsi" w:hAnsiTheme="minorHAnsi" w:cstheme="minorHAnsi"/>
              </w:rPr>
              <w:t>Koniec oznakowania linii wjazdu.</w:t>
            </w:r>
          </w:p>
        </w:tc>
      </w:tr>
    </w:tbl>
    <w:p w14:paraId="5E1076F2" w14:textId="77777777" w:rsidR="00B0686B" w:rsidRPr="009E064B" w:rsidRDefault="00B0686B" w:rsidP="00B06A9A">
      <w:pPr>
        <w:jc w:val="center"/>
        <w:rPr>
          <w:rFonts w:asciiTheme="minorHAnsi" w:hAnsiTheme="minorHAnsi" w:cstheme="minorHAnsi"/>
        </w:rPr>
      </w:pPr>
    </w:p>
    <w:p w14:paraId="38B01827" w14:textId="77777777" w:rsidR="00B0686B" w:rsidRPr="002C4C40" w:rsidRDefault="00B0686B" w:rsidP="00B06A9A">
      <w:pPr>
        <w:jc w:val="center"/>
        <w:rPr>
          <w:rFonts w:asciiTheme="minorHAnsi" w:hAnsiTheme="minorHAnsi" w:cstheme="minorHAnsi"/>
          <w:b/>
          <w:sz w:val="20"/>
        </w:rPr>
      </w:pPr>
      <w:r w:rsidRPr="002C4C40">
        <w:rPr>
          <w:rFonts w:asciiTheme="minorHAnsi" w:hAnsiTheme="minorHAnsi" w:cstheme="minorHAnsi"/>
          <w:b/>
          <w:sz w:val="20"/>
        </w:rPr>
        <w:t>Tabela 2</w:t>
      </w:r>
    </w:p>
    <w:p w14:paraId="569B5BC5"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3F985BB7" w14:textId="5B01DDA4" w:rsidR="004145F0" w:rsidRPr="009E064B" w:rsidRDefault="004145F0" w:rsidP="00B06A9A">
      <w:pPr>
        <w:jc w:val="center"/>
        <w:rPr>
          <w:rFonts w:asciiTheme="minorHAnsi" w:hAnsiTheme="minorHAnsi" w:cstheme="minorHAnsi"/>
        </w:rPr>
      </w:pPr>
      <w:r w:rsidRPr="009E064B">
        <w:rPr>
          <w:noProof/>
          <w:lang w:eastAsia="pl-PL"/>
        </w:rPr>
        <w:drawing>
          <wp:inline distT="0" distB="0" distL="0" distR="0" wp14:anchorId="7BD7A333" wp14:editId="7E8B4DC5">
            <wp:extent cx="5759450" cy="2666412"/>
            <wp:effectExtent l="0" t="0" r="0" b="0"/>
            <wp:docPr id="1390" name="Obraz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2666412"/>
                    </a:xfrm>
                    <a:prstGeom prst="rect">
                      <a:avLst/>
                    </a:prstGeom>
                    <a:noFill/>
                    <a:ln>
                      <a:noFill/>
                    </a:ln>
                  </pic:spPr>
                </pic:pic>
              </a:graphicData>
            </a:graphic>
          </wp:inline>
        </w:drawing>
      </w:r>
    </w:p>
    <w:p w14:paraId="5C59AB37" w14:textId="7D3D9C0B" w:rsidR="00B0686B" w:rsidRPr="002C4C40" w:rsidRDefault="00B0686B" w:rsidP="00B06A9A">
      <w:pPr>
        <w:jc w:val="center"/>
        <w:rPr>
          <w:rFonts w:asciiTheme="minorHAnsi" w:hAnsiTheme="minorHAnsi" w:cstheme="minorHAnsi"/>
          <w:b/>
          <w:sz w:val="20"/>
        </w:rPr>
      </w:pPr>
      <w:r w:rsidRPr="002C4C40">
        <w:rPr>
          <w:rFonts w:asciiTheme="minorHAnsi" w:hAnsiTheme="minorHAnsi" w:cstheme="minorHAnsi"/>
          <w:b/>
          <w:sz w:val="20"/>
        </w:rPr>
        <w:t>Rysunek 10 – Proste linie wyjazdu koła podwozia przedniego</w:t>
      </w:r>
    </w:p>
    <w:p w14:paraId="770A571C" w14:textId="77777777" w:rsidR="00B0686B" w:rsidRPr="009E064B" w:rsidRDefault="00B0686B" w:rsidP="00B06A9A">
      <w:pPr>
        <w:rPr>
          <w:rFonts w:asciiTheme="minorHAnsi" w:hAnsiTheme="minorHAnsi"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bottom w:w="57" w:type="dxa"/>
        </w:tblCellMar>
        <w:tblLook w:val="00A0" w:firstRow="1" w:lastRow="0" w:firstColumn="1" w:lastColumn="0" w:noHBand="0" w:noVBand="0"/>
      </w:tblPr>
      <w:tblGrid>
        <w:gridCol w:w="1302"/>
        <w:gridCol w:w="7984"/>
      </w:tblGrid>
      <w:tr w:rsidR="00B0686B" w:rsidRPr="009E064B" w14:paraId="38C844F7" w14:textId="77777777" w:rsidTr="00AA5466">
        <w:trPr>
          <w:trHeight w:val="438"/>
          <w:jc w:val="center"/>
        </w:trPr>
        <w:tc>
          <w:tcPr>
            <w:tcW w:w="701" w:type="pct"/>
            <w:vAlign w:val="center"/>
          </w:tcPr>
          <w:p w14:paraId="62BCD038"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Pozycja</w:t>
            </w:r>
          </w:p>
        </w:tc>
        <w:tc>
          <w:tcPr>
            <w:tcW w:w="4299" w:type="pct"/>
            <w:vAlign w:val="center"/>
          </w:tcPr>
          <w:p w14:paraId="008CE8B6" w14:textId="77777777" w:rsidR="00B0686B" w:rsidRPr="009E064B" w:rsidRDefault="00B0686B" w:rsidP="00B06A9A">
            <w:pPr>
              <w:spacing w:after="0"/>
              <w:jc w:val="center"/>
              <w:rPr>
                <w:rFonts w:asciiTheme="minorHAnsi" w:hAnsiTheme="minorHAnsi" w:cstheme="minorHAnsi"/>
                <w:b/>
              </w:rPr>
            </w:pPr>
            <w:r w:rsidRPr="009E064B">
              <w:rPr>
                <w:rFonts w:asciiTheme="minorHAnsi" w:hAnsiTheme="minorHAnsi" w:cstheme="minorHAnsi"/>
                <w:b/>
              </w:rPr>
              <w:t>Opis punktu podlegającego pomiarom</w:t>
            </w:r>
          </w:p>
        </w:tc>
      </w:tr>
      <w:tr w:rsidR="00B0686B" w:rsidRPr="009E064B" w14:paraId="2BBF28FC" w14:textId="77777777" w:rsidTr="004145F0">
        <w:trPr>
          <w:jc w:val="center"/>
        </w:trPr>
        <w:tc>
          <w:tcPr>
            <w:tcW w:w="701" w:type="pct"/>
            <w:tcMar>
              <w:top w:w="57" w:type="dxa"/>
              <w:bottom w:w="57" w:type="dxa"/>
            </w:tcMar>
            <w:vAlign w:val="center"/>
          </w:tcPr>
          <w:p w14:paraId="760A901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A</w:t>
            </w:r>
          </w:p>
        </w:tc>
        <w:tc>
          <w:tcPr>
            <w:tcW w:w="4299" w:type="pct"/>
            <w:tcMar>
              <w:top w:w="57" w:type="dxa"/>
              <w:bottom w:w="57" w:type="dxa"/>
            </w:tcMar>
          </w:tcPr>
          <w:p w14:paraId="0E45EDC4"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początkowy oznakowania linii zakrętu.</w:t>
            </w:r>
          </w:p>
        </w:tc>
      </w:tr>
      <w:tr w:rsidR="00B0686B" w:rsidRPr="009E064B" w14:paraId="3CB7BEB3" w14:textId="77777777" w:rsidTr="004145F0">
        <w:trPr>
          <w:jc w:val="center"/>
        </w:trPr>
        <w:tc>
          <w:tcPr>
            <w:tcW w:w="701" w:type="pct"/>
            <w:tcMar>
              <w:top w:w="57" w:type="dxa"/>
              <w:bottom w:w="57" w:type="dxa"/>
            </w:tcMar>
            <w:vAlign w:val="center"/>
          </w:tcPr>
          <w:p w14:paraId="5F940889"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B</w:t>
            </w:r>
          </w:p>
        </w:tc>
        <w:tc>
          <w:tcPr>
            <w:tcW w:w="4299" w:type="pct"/>
            <w:tcMar>
              <w:top w:w="57" w:type="dxa"/>
              <w:bottom w:w="57" w:type="dxa"/>
            </w:tcMar>
          </w:tcPr>
          <w:p w14:paraId="4D186A6D"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zakrętu i jego promień.</w:t>
            </w:r>
          </w:p>
        </w:tc>
      </w:tr>
      <w:tr w:rsidR="00B0686B" w:rsidRPr="009E064B" w14:paraId="4F76A6D4" w14:textId="77777777" w:rsidTr="004145F0">
        <w:trPr>
          <w:jc w:val="center"/>
        </w:trPr>
        <w:tc>
          <w:tcPr>
            <w:tcW w:w="701" w:type="pct"/>
            <w:tcMar>
              <w:top w:w="57" w:type="dxa"/>
              <w:bottom w:w="57" w:type="dxa"/>
            </w:tcMar>
            <w:vAlign w:val="center"/>
          </w:tcPr>
          <w:p w14:paraId="701BB07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C</w:t>
            </w:r>
          </w:p>
        </w:tc>
        <w:tc>
          <w:tcPr>
            <w:tcW w:w="4299" w:type="pct"/>
            <w:tcMar>
              <w:top w:w="57" w:type="dxa"/>
              <w:bottom w:w="57" w:type="dxa"/>
            </w:tcMar>
          </w:tcPr>
          <w:p w14:paraId="714DC475"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przecięcia oznakowania linii zakrętu i oznakowania linii wyjazdu.</w:t>
            </w:r>
          </w:p>
        </w:tc>
      </w:tr>
      <w:tr w:rsidR="00B0686B" w:rsidRPr="009E064B" w14:paraId="575641D1" w14:textId="77777777" w:rsidTr="004145F0">
        <w:trPr>
          <w:jc w:val="center"/>
        </w:trPr>
        <w:tc>
          <w:tcPr>
            <w:tcW w:w="701" w:type="pct"/>
            <w:tcMar>
              <w:top w:w="57" w:type="dxa"/>
              <w:bottom w:w="57" w:type="dxa"/>
            </w:tcMar>
            <w:vAlign w:val="center"/>
          </w:tcPr>
          <w:p w14:paraId="15EAE344"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D</w:t>
            </w:r>
          </w:p>
        </w:tc>
        <w:tc>
          <w:tcPr>
            <w:tcW w:w="4299" w:type="pct"/>
            <w:tcMar>
              <w:top w:w="57" w:type="dxa"/>
              <w:bottom w:w="57" w:type="dxa"/>
            </w:tcMar>
          </w:tcPr>
          <w:p w14:paraId="6F1D6FC8"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wyjazdu i jego promień.</w:t>
            </w:r>
          </w:p>
        </w:tc>
      </w:tr>
      <w:tr w:rsidR="00B0686B" w:rsidRPr="009E064B" w14:paraId="00C9059F" w14:textId="77777777" w:rsidTr="004145F0">
        <w:trPr>
          <w:jc w:val="center"/>
        </w:trPr>
        <w:tc>
          <w:tcPr>
            <w:tcW w:w="701" w:type="pct"/>
            <w:tcMar>
              <w:top w:w="57" w:type="dxa"/>
              <w:bottom w:w="57" w:type="dxa"/>
            </w:tcMar>
            <w:vAlign w:val="center"/>
          </w:tcPr>
          <w:p w14:paraId="2327DA00"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E</w:t>
            </w:r>
          </w:p>
        </w:tc>
        <w:tc>
          <w:tcPr>
            <w:tcW w:w="4299" w:type="pct"/>
            <w:tcMar>
              <w:top w:w="57" w:type="dxa"/>
              <w:bottom w:w="57" w:type="dxa"/>
            </w:tcMar>
          </w:tcPr>
          <w:p w14:paraId="4AE2FB21"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65B8EA67" w14:textId="77777777" w:rsidTr="004145F0">
        <w:trPr>
          <w:jc w:val="center"/>
        </w:trPr>
        <w:tc>
          <w:tcPr>
            <w:tcW w:w="701" w:type="pct"/>
            <w:tcMar>
              <w:top w:w="57" w:type="dxa"/>
              <w:bottom w:w="57" w:type="dxa"/>
            </w:tcMar>
            <w:vAlign w:val="center"/>
          </w:tcPr>
          <w:p w14:paraId="3AE95611"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F</w:t>
            </w:r>
          </w:p>
        </w:tc>
        <w:tc>
          <w:tcPr>
            <w:tcW w:w="4299" w:type="pct"/>
            <w:tcMar>
              <w:top w:w="57" w:type="dxa"/>
              <w:bottom w:w="57" w:type="dxa"/>
            </w:tcMar>
          </w:tcPr>
          <w:p w14:paraId="24979196"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wyjazdu i jego promień.</w:t>
            </w:r>
          </w:p>
        </w:tc>
      </w:tr>
      <w:tr w:rsidR="00B0686B" w:rsidRPr="009E064B" w14:paraId="7FABCC36" w14:textId="77777777" w:rsidTr="004145F0">
        <w:trPr>
          <w:jc w:val="center"/>
        </w:trPr>
        <w:tc>
          <w:tcPr>
            <w:tcW w:w="701" w:type="pct"/>
            <w:tcMar>
              <w:top w:w="57" w:type="dxa"/>
              <w:bottom w:w="57" w:type="dxa"/>
            </w:tcMar>
            <w:vAlign w:val="center"/>
          </w:tcPr>
          <w:p w14:paraId="02055321"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G</w:t>
            </w:r>
          </w:p>
        </w:tc>
        <w:tc>
          <w:tcPr>
            <w:tcW w:w="4299" w:type="pct"/>
            <w:tcMar>
              <w:top w:w="57" w:type="dxa"/>
              <w:bottom w:w="57" w:type="dxa"/>
            </w:tcMar>
          </w:tcPr>
          <w:p w14:paraId="2152C712"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78C586CA" w14:textId="77777777" w:rsidTr="004145F0">
        <w:trPr>
          <w:jc w:val="center"/>
        </w:trPr>
        <w:tc>
          <w:tcPr>
            <w:tcW w:w="701" w:type="pct"/>
            <w:tcMar>
              <w:top w:w="57" w:type="dxa"/>
              <w:bottom w:w="57" w:type="dxa"/>
            </w:tcMar>
            <w:vAlign w:val="center"/>
          </w:tcPr>
          <w:p w14:paraId="7CC6402E"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H</w:t>
            </w:r>
          </w:p>
        </w:tc>
        <w:tc>
          <w:tcPr>
            <w:tcW w:w="4299" w:type="pct"/>
            <w:tcMar>
              <w:top w:w="57" w:type="dxa"/>
              <w:bottom w:w="57" w:type="dxa"/>
            </w:tcMar>
          </w:tcPr>
          <w:p w14:paraId="5C991B9F"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Początek linii wyjazdu.</w:t>
            </w:r>
          </w:p>
        </w:tc>
      </w:tr>
      <w:tr w:rsidR="00B0686B" w:rsidRPr="009E064B" w14:paraId="26DF55ED" w14:textId="77777777" w:rsidTr="004145F0">
        <w:trPr>
          <w:jc w:val="center"/>
        </w:trPr>
        <w:tc>
          <w:tcPr>
            <w:tcW w:w="701" w:type="pct"/>
            <w:tcMar>
              <w:top w:w="57" w:type="dxa"/>
              <w:bottom w:w="57" w:type="dxa"/>
            </w:tcMar>
            <w:vAlign w:val="center"/>
          </w:tcPr>
          <w:p w14:paraId="4CD0E00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I</w:t>
            </w:r>
          </w:p>
        </w:tc>
        <w:tc>
          <w:tcPr>
            <w:tcW w:w="4299" w:type="pct"/>
            <w:tcMar>
              <w:top w:w="57" w:type="dxa"/>
              <w:bottom w:w="57" w:type="dxa"/>
            </w:tcMar>
          </w:tcPr>
          <w:p w14:paraId="042F5512"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początkowy zakrzywionego odcinka linii wyjazdu.</w:t>
            </w:r>
          </w:p>
        </w:tc>
      </w:tr>
      <w:tr w:rsidR="00B0686B" w:rsidRPr="009E064B" w14:paraId="50A31707" w14:textId="77777777" w:rsidTr="004145F0">
        <w:trPr>
          <w:jc w:val="center"/>
        </w:trPr>
        <w:tc>
          <w:tcPr>
            <w:tcW w:w="701" w:type="pct"/>
            <w:tcMar>
              <w:top w:w="57" w:type="dxa"/>
              <w:bottom w:w="57" w:type="dxa"/>
            </w:tcMar>
            <w:vAlign w:val="center"/>
          </w:tcPr>
          <w:p w14:paraId="60F03C63"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J</w:t>
            </w:r>
          </w:p>
        </w:tc>
        <w:tc>
          <w:tcPr>
            <w:tcW w:w="4299" w:type="pct"/>
            <w:tcMar>
              <w:top w:w="57" w:type="dxa"/>
              <w:bottom w:w="57" w:type="dxa"/>
            </w:tcMar>
          </w:tcPr>
          <w:p w14:paraId="7B499341"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wyjazdu i jego promień.</w:t>
            </w:r>
          </w:p>
        </w:tc>
      </w:tr>
      <w:tr w:rsidR="00B0686B" w:rsidRPr="009E064B" w14:paraId="11D00044" w14:textId="77777777" w:rsidTr="004145F0">
        <w:trPr>
          <w:jc w:val="center"/>
        </w:trPr>
        <w:tc>
          <w:tcPr>
            <w:tcW w:w="701" w:type="pct"/>
            <w:tcMar>
              <w:top w:w="57" w:type="dxa"/>
              <w:bottom w:w="57" w:type="dxa"/>
            </w:tcMar>
            <w:vAlign w:val="center"/>
          </w:tcPr>
          <w:p w14:paraId="1BB74F79"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K</w:t>
            </w:r>
          </w:p>
        </w:tc>
        <w:tc>
          <w:tcPr>
            <w:tcW w:w="4299" w:type="pct"/>
            <w:tcMar>
              <w:top w:w="57" w:type="dxa"/>
              <w:bottom w:w="57" w:type="dxa"/>
            </w:tcMar>
          </w:tcPr>
          <w:p w14:paraId="627085F5"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17BC9738" w14:textId="77777777" w:rsidTr="004145F0">
        <w:trPr>
          <w:jc w:val="center"/>
        </w:trPr>
        <w:tc>
          <w:tcPr>
            <w:tcW w:w="701" w:type="pct"/>
            <w:tcMar>
              <w:top w:w="57" w:type="dxa"/>
              <w:bottom w:w="57" w:type="dxa"/>
            </w:tcMar>
            <w:vAlign w:val="center"/>
          </w:tcPr>
          <w:p w14:paraId="73A6F8A2"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L</w:t>
            </w:r>
          </w:p>
        </w:tc>
        <w:tc>
          <w:tcPr>
            <w:tcW w:w="4299" w:type="pct"/>
            <w:tcMar>
              <w:top w:w="57" w:type="dxa"/>
              <w:bottom w:w="57" w:type="dxa"/>
            </w:tcMar>
          </w:tcPr>
          <w:p w14:paraId="679D4713"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wyjazdu i jego promień.</w:t>
            </w:r>
          </w:p>
        </w:tc>
      </w:tr>
      <w:tr w:rsidR="00B0686B" w:rsidRPr="009E064B" w14:paraId="7C0CA540" w14:textId="77777777" w:rsidTr="004145F0">
        <w:trPr>
          <w:jc w:val="center"/>
        </w:trPr>
        <w:tc>
          <w:tcPr>
            <w:tcW w:w="701" w:type="pct"/>
            <w:tcMar>
              <w:top w:w="57" w:type="dxa"/>
              <w:bottom w:w="57" w:type="dxa"/>
            </w:tcMar>
            <w:vAlign w:val="center"/>
          </w:tcPr>
          <w:p w14:paraId="390207BA"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M</w:t>
            </w:r>
          </w:p>
        </w:tc>
        <w:tc>
          <w:tcPr>
            <w:tcW w:w="4299" w:type="pct"/>
            <w:tcMar>
              <w:top w:w="57" w:type="dxa"/>
              <w:bottom w:w="57" w:type="dxa"/>
            </w:tcMar>
          </w:tcPr>
          <w:p w14:paraId="1DEF2FE2"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56ADC42F" w14:textId="77777777" w:rsidTr="004145F0">
        <w:trPr>
          <w:jc w:val="center"/>
        </w:trPr>
        <w:tc>
          <w:tcPr>
            <w:tcW w:w="701" w:type="pct"/>
            <w:tcMar>
              <w:top w:w="57" w:type="dxa"/>
              <w:bottom w:w="57" w:type="dxa"/>
            </w:tcMar>
            <w:vAlign w:val="center"/>
          </w:tcPr>
          <w:p w14:paraId="0C2C7247"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N</w:t>
            </w:r>
          </w:p>
        </w:tc>
        <w:tc>
          <w:tcPr>
            <w:tcW w:w="4299" w:type="pct"/>
            <w:tcMar>
              <w:top w:w="57" w:type="dxa"/>
              <w:bottom w:w="57" w:type="dxa"/>
            </w:tcMar>
          </w:tcPr>
          <w:p w14:paraId="2028C22C"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5A06F375" w14:textId="77777777" w:rsidTr="004145F0">
        <w:trPr>
          <w:jc w:val="center"/>
        </w:trPr>
        <w:tc>
          <w:tcPr>
            <w:tcW w:w="701" w:type="pct"/>
            <w:tcMar>
              <w:top w:w="57" w:type="dxa"/>
              <w:bottom w:w="57" w:type="dxa"/>
            </w:tcMar>
            <w:vAlign w:val="center"/>
          </w:tcPr>
          <w:p w14:paraId="634C33BC"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O</w:t>
            </w:r>
          </w:p>
        </w:tc>
        <w:tc>
          <w:tcPr>
            <w:tcW w:w="4299" w:type="pct"/>
            <w:tcMar>
              <w:top w:w="57" w:type="dxa"/>
              <w:bottom w:w="57" w:type="dxa"/>
            </w:tcMar>
          </w:tcPr>
          <w:p w14:paraId="7D69AC61"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początkowy zakrzywionego odcinka linii wyjazdu.</w:t>
            </w:r>
          </w:p>
        </w:tc>
      </w:tr>
      <w:tr w:rsidR="00B0686B" w:rsidRPr="009E064B" w14:paraId="336ED809" w14:textId="77777777" w:rsidTr="004145F0">
        <w:trPr>
          <w:jc w:val="center"/>
        </w:trPr>
        <w:tc>
          <w:tcPr>
            <w:tcW w:w="701" w:type="pct"/>
            <w:tcMar>
              <w:top w:w="57" w:type="dxa"/>
              <w:bottom w:w="57" w:type="dxa"/>
            </w:tcMar>
            <w:vAlign w:val="center"/>
          </w:tcPr>
          <w:p w14:paraId="57B6B0D6"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P</w:t>
            </w:r>
          </w:p>
        </w:tc>
        <w:tc>
          <w:tcPr>
            <w:tcW w:w="4299" w:type="pct"/>
            <w:tcMar>
              <w:top w:w="57" w:type="dxa"/>
              <w:bottom w:w="57" w:type="dxa"/>
            </w:tcMar>
          </w:tcPr>
          <w:p w14:paraId="16AAD9B6"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Środek łuku linii wyjazdu i jego promień.</w:t>
            </w:r>
          </w:p>
        </w:tc>
      </w:tr>
      <w:tr w:rsidR="00B0686B" w:rsidRPr="009E064B" w14:paraId="6F957E1D" w14:textId="77777777" w:rsidTr="004145F0">
        <w:trPr>
          <w:jc w:val="center"/>
        </w:trPr>
        <w:tc>
          <w:tcPr>
            <w:tcW w:w="701" w:type="pct"/>
            <w:tcMar>
              <w:top w:w="57" w:type="dxa"/>
              <w:bottom w:w="57" w:type="dxa"/>
            </w:tcMar>
            <w:vAlign w:val="center"/>
          </w:tcPr>
          <w:p w14:paraId="3E629E99"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Q</w:t>
            </w:r>
          </w:p>
        </w:tc>
        <w:tc>
          <w:tcPr>
            <w:tcW w:w="4299" w:type="pct"/>
            <w:tcMar>
              <w:top w:w="57" w:type="dxa"/>
              <w:bottom w:w="57" w:type="dxa"/>
            </w:tcMar>
          </w:tcPr>
          <w:p w14:paraId="686B1870"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styczności środka oznakowania linii wyjazdu i oznakowania drogi kołowania.</w:t>
            </w:r>
          </w:p>
        </w:tc>
      </w:tr>
      <w:tr w:rsidR="00B0686B" w:rsidRPr="009E064B" w14:paraId="42B2286C" w14:textId="77777777" w:rsidTr="004145F0">
        <w:trPr>
          <w:jc w:val="center"/>
        </w:trPr>
        <w:tc>
          <w:tcPr>
            <w:tcW w:w="701" w:type="pct"/>
            <w:tcMar>
              <w:top w:w="57" w:type="dxa"/>
              <w:bottom w:w="57" w:type="dxa"/>
            </w:tcMar>
            <w:vAlign w:val="center"/>
          </w:tcPr>
          <w:p w14:paraId="55142149" w14:textId="77777777" w:rsidR="00B0686B" w:rsidRPr="009E064B" w:rsidRDefault="00B0686B" w:rsidP="00B06A9A">
            <w:pPr>
              <w:spacing w:after="0"/>
              <w:jc w:val="center"/>
              <w:rPr>
                <w:rFonts w:asciiTheme="minorHAnsi" w:hAnsiTheme="minorHAnsi" w:cstheme="minorHAnsi"/>
              </w:rPr>
            </w:pPr>
            <w:r w:rsidRPr="009E064B">
              <w:rPr>
                <w:rFonts w:asciiTheme="minorHAnsi" w:hAnsiTheme="minorHAnsi" w:cstheme="minorHAnsi"/>
              </w:rPr>
              <w:t>R</w:t>
            </w:r>
          </w:p>
        </w:tc>
        <w:tc>
          <w:tcPr>
            <w:tcW w:w="4299" w:type="pct"/>
            <w:tcMar>
              <w:top w:w="57" w:type="dxa"/>
              <w:bottom w:w="57" w:type="dxa"/>
            </w:tcMar>
          </w:tcPr>
          <w:p w14:paraId="004DC604" w14:textId="77777777" w:rsidR="00B0686B" w:rsidRPr="009E064B" w:rsidRDefault="00B0686B" w:rsidP="00B06A9A">
            <w:pPr>
              <w:spacing w:after="0"/>
              <w:jc w:val="left"/>
              <w:rPr>
                <w:rFonts w:asciiTheme="minorHAnsi" w:hAnsiTheme="minorHAnsi" w:cstheme="minorHAnsi"/>
              </w:rPr>
            </w:pPr>
            <w:r w:rsidRPr="009E064B">
              <w:rPr>
                <w:rFonts w:asciiTheme="minorHAnsi" w:hAnsiTheme="minorHAnsi" w:cstheme="minorHAnsi"/>
              </w:rPr>
              <w:t>Punkt przecięcia oznakowania linii wyjazdu i linii środkowej drogi kołowania.</w:t>
            </w:r>
          </w:p>
        </w:tc>
      </w:tr>
    </w:tbl>
    <w:p w14:paraId="47C58E14" w14:textId="77777777" w:rsidR="00B0686B" w:rsidRPr="009E064B" w:rsidRDefault="00B0686B" w:rsidP="00B06A9A">
      <w:pPr>
        <w:spacing w:after="0"/>
        <w:rPr>
          <w:rFonts w:asciiTheme="minorHAnsi" w:hAnsiTheme="minorHAnsi" w:cstheme="minorHAnsi"/>
        </w:rPr>
      </w:pPr>
    </w:p>
    <w:p w14:paraId="00E86B23" w14:textId="77777777" w:rsidR="00B0686B" w:rsidRP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Tabela 3</w:t>
      </w:r>
    </w:p>
    <w:p w14:paraId="6F62D755" w14:textId="1C82E74F" w:rsidR="00B0686B" w:rsidRPr="009E064B" w:rsidRDefault="00B0686B" w:rsidP="004145F0">
      <w:pPr>
        <w:spacing w:after="0"/>
        <w:ind w:left="426"/>
        <w:jc w:val="center"/>
        <w:rPr>
          <w:rFonts w:asciiTheme="minorHAnsi" w:hAnsiTheme="minorHAnsi" w:cstheme="minorHAnsi"/>
          <w:sz w:val="18"/>
          <w:szCs w:val="18"/>
        </w:rPr>
      </w:pPr>
    </w:p>
    <w:p w14:paraId="3DEBCBDF" w14:textId="6BD6E346" w:rsidR="00B0686B" w:rsidRPr="009E064B" w:rsidRDefault="00B0686B" w:rsidP="004145F0">
      <w:pPr>
        <w:spacing w:after="0"/>
        <w:jc w:val="center"/>
        <w:rPr>
          <w:rFonts w:asciiTheme="minorHAnsi" w:hAnsiTheme="minorHAnsi" w:cstheme="minorHAnsi"/>
        </w:rPr>
      </w:pPr>
    </w:p>
    <w:p w14:paraId="12F6C29E" w14:textId="44853EED" w:rsidR="004145F0" w:rsidRPr="009E064B" w:rsidRDefault="004145F0" w:rsidP="004145F0">
      <w:pPr>
        <w:spacing w:after="0"/>
        <w:ind w:left="567"/>
        <w:jc w:val="center"/>
        <w:rPr>
          <w:rFonts w:asciiTheme="minorHAnsi" w:hAnsiTheme="minorHAnsi" w:cstheme="minorHAnsi"/>
        </w:rPr>
      </w:pPr>
      <w:r w:rsidRPr="009E064B">
        <w:rPr>
          <w:noProof/>
          <w:lang w:eastAsia="pl-PL"/>
        </w:rPr>
        <w:drawing>
          <wp:inline distT="0" distB="0" distL="0" distR="0" wp14:anchorId="1D907BDE" wp14:editId="41338B5B">
            <wp:extent cx="5759450" cy="2498809"/>
            <wp:effectExtent l="0" t="0" r="0" b="0"/>
            <wp:docPr id="1393" name="Obraz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2498809"/>
                    </a:xfrm>
                    <a:prstGeom prst="rect">
                      <a:avLst/>
                    </a:prstGeom>
                    <a:noFill/>
                    <a:ln>
                      <a:noFill/>
                    </a:ln>
                  </pic:spPr>
                </pic:pic>
              </a:graphicData>
            </a:graphic>
          </wp:inline>
        </w:drawing>
      </w:r>
    </w:p>
    <w:p w14:paraId="7B224642" w14:textId="77777777" w:rsidR="004145F0" w:rsidRPr="009E064B" w:rsidRDefault="004145F0" w:rsidP="004145F0">
      <w:pPr>
        <w:spacing w:after="0"/>
        <w:jc w:val="center"/>
        <w:rPr>
          <w:rFonts w:asciiTheme="minorHAnsi" w:hAnsiTheme="minorHAnsi" w:cstheme="minorHAnsi"/>
        </w:rPr>
      </w:pPr>
    </w:p>
    <w:p w14:paraId="19F8EFEC" w14:textId="0520E4FC" w:rsidR="00B0686B" w:rsidRP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Rysunek 11 – Linia wyjazdu z bocznym odchyleniem koła podwozia przedniego</w:t>
      </w:r>
    </w:p>
    <w:p w14:paraId="7E18F644" w14:textId="377566E4" w:rsidR="00B0686B" w:rsidRPr="009E064B" w:rsidRDefault="00B0686B" w:rsidP="00375286">
      <w:pPr>
        <w:spacing w:after="0"/>
        <w:rPr>
          <w:rFonts w:asciiTheme="minorHAnsi" w:hAnsiTheme="minorHAnsi" w:cstheme="minorHAnsi"/>
        </w:rPr>
      </w:pPr>
    </w:p>
    <w:p w14:paraId="2DF8FE96" w14:textId="77777777" w:rsidR="00FD01A6" w:rsidRPr="009E064B" w:rsidRDefault="00FD01A6" w:rsidP="00375286">
      <w:pPr>
        <w:spacing w:after="0"/>
        <w:rPr>
          <w:rFonts w:asciiTheme="minorHAnsi" w:hAnsiTheme="minorHAnsi" w:cstheme="minorHAnsi"/>
        </w:rPr>
      </w:pPr>
    </w:p>
    <w:tbl>
      <w:tblPr>
        <w:tblW w:w="461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09"/>
        <w:gridCol w:w="7255"/>
      </w:tblGrid>
      <w:tr w:rsidR="00B0686B" w:rsidRPr="009E064B" w14:paraId="7A504164" w14:textId="77777777" w:rsidTr="00375286">
        <w:trPr>
          <w:trHeight w:val="438"/>
          <w:jc w:val="right"/>
        </w:trPr>
        <w:tc>
          <w:tcPr>
            <w:tcW w:w="764" w:type="pct"/>
            <w:vAlign w:val="center"/>
          </w:tcPr>
          <w:p w14:paraId="1EAC7E20" w14:textId="77777777" w:rsidR="00B0686B" w:rsidRPr="009E064B" w:rsidRDefault="00B0686B" w:rsidP="00B06A9A">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Pozycja</w:t>
            </w:r>
          </w:p>
        </w:tc>
        <w:tc>
          <w:tcPr>
            <w:tcW w:w="4236" w:type="pct"/>
            <w:vAlign w:val="center"/>
          </w:tcPr>
          <w:p w14:paraId="5A6F48FF" w14:textId="77777777" w:rsidR="00B0686B" w:rsidRPr="009E064B" w:rsidRDefault="00B0686B" w:rsidP="00B06A9A">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Opis punktu podlegającego pomiarom</w:t>
            </w:r>
          </w:p>
        </w:tc>
      </w:tr>
      <w:tr w:rsidR="00B0686B" w:rsidRPr="009E064B" w14:paraId="32E7CE0F" w14:textId="77777777" w:rsidTr="00375286">
        <w:trPr>
          <w:jc w:val="right"/>
        </w:trPr>
        <w:tc>
          <w:tcPr>
            <w:tcW w:w="764" w:type="pct"/>
            <w:tcMar>
              <w:top w:w="57" w:type="dxa"/>
              <w:bottom w:w="57" w:type="dxa"/>
            </w:tcMar>
            <w:vAlign w:val="center"/>
          </w:tcPr>
          <w:p w14:paraId="73E98299"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A</w:t>
            </w:r>
          </w:p>
        </w:tc>
        <w:tc>
          <w:tcPr>
            <w:tcW w:w="4236" w:type="pct"/>
            <w:tcMar>
              <w:top w:w="57" w:type="dxa"/>
              <w:bottom w:w="57" w:type="dxa"/>
            </w:tcMar>
            <w:vAlign w:val="center"/>
          </w:tcPr>
          <w:p w14:paraId="60442FBA"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oznakowania linii zakrętu.</w:t>
            </w:r>
          </w:p>
        </w:tc>
      </w:tr>
      <w:tr w:rsidR="00B0686B" w:rsidRPr="009E064B" w14:paraId="1B80261E" w14:textId="77777777" w:rsidTr="00375286">
        <w:trPr>
          <w:jc w:val="right"/>
        </w:trPr>
        <w:tc>
          <w:tcPr>
            <w:tcW w:w="764" w:type="pct"/>
            <w:tcMar>
              <w:top w:w="57" w:type="dxa"/>
              <w:bottom w:w="57" w:type="dxa"/>
            </w:tcMar>
            <w:vAlign w:val="center"/>
          </w:tcPr>
          <w:p w14:paraId="01D8E6FA"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B</w:t>
            </w:r>
          </w:p>
        </w:tc>
        <w:tc>
          <w:tcPr>
            <w:tcW w:w="4236" w:type="pct"/>
            <w:tcMar>
              <w:top w:w="57" w:type="dxa"/>
              <w:bottom w:w="57" w:type="dxa"/>
            </w:tcMar>
            <w:vAlign w:val="center"/>
          </w:tcPr>
          <w:p w14:paraId="7921A9E8"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zakrętu i jego promień.</w:t>
            </w:r>
          </w:p>
        </w:tc>
      </w:tr>
      <w:tr w:rsidR="00B0686B" w:rsidRPr="009E064B" w14:paraId="19983839" w14:textId="77777777" w:rsidTr="00375286">
        <w:trPr>
          <w:jc w:val="right"/>
        </w:trPr>
        <w:tc>
          <w:tcPr>
            <w:tcW w:w="764" w:type="pct"/>
            <w:tcMar>
              <w:top w:w="57" w:type="dxa"/>
              <w:bottom w:w="57" w:type="dxa"/>
            </w:tcMar>
            <w:vAlign w:val="center"/>
          </w:tcPr>
          <w:p w14:paraId="1E43089E"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C</w:t>
            </w:r>
          </w:p>
        </w:tc>
        <w:tc>
          <w:tcPr>
            <w:tcW w:w="4236" w:type="pct"/>
            <w:tcMar>
              <w:top w:w="57" w:type="dxa"/>
              <w:bottom w:w="57" w:type="dxa"/>
            </w:tcMar>
            <w:vAlign w:val="center"/>
          </w:tcPr>
          <w:p w14:paraId="0CAE6653"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zakrętu i oznakowania linii wyjazdu.</w:t>
            </w:r>
          </w:p>
        </w:tc>
      </w:tr>
      <w:tr w:rsidR="00B0686B" w:rsidRPr="009E064B" w14:paraId="52DA8DAA" w14:textId="77777777" w:rsidTr="00375286">
        <w:trPr>
          <w:jc w:val="right"/>
        </w:trPr>
        <w:tc>
          <w:tcPr>
            <w:tcW w:w="764" w:type="pct"/>
            <w:tcMar>
              <w:top w:w="57" w:type="dxa"/>
              <w:bottom w:w="57" w:type="dxa"/>
            </w:tcMar>
            <w:vAlign w:val="center"/>
          </w:tcPr>
          <w:p w14:paraId="7FB1B3C7"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D</w:t>
            </w:r>
          </w:p>
        </w:tc>
        <w:tc>
          <w:tcPr>
            <w:tcW w:w="4236" w:type="pct"/>
            <w:tcMar>
              <w:top w:w="57" w:type="dxa"/>
              <w:bottom w:w="57" w:type="dxa"/>
            </w:tcMar>
            <w:vAlign w:val="center"/>
          </w:tcPr>
          <w:p w14:paraId="5F4AC7A9"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końcowy oznakowania odcinka prostego linii wyjazdu.</w:t>
            </w:r>
          </w:p>
        </w:tc>
      </w:tr>
      <w:tr w:rsidR="00B0686B" w:rsidRPr="009E064B" w14:paraId="3B160EC4" w14:textId="77777777" w:rsidTr="00375286">
        <w:trPr>
          <w:jc w:val="right"/>
        </w:trPr>
        <w:tc>
          <w:tcPr>
            <w:tcW w:w="764" w:type="pct"/>
            <w:tcMar>
              <w:top w:w="57" w:type="dxa"/>
              <w:bottom w:w="57" w:type="dxa"/>
            </w:tcMar>
            <w:vAlign w:val="center"/>
          </w:tcPr>
          <w:p w14:paraId="2579827C"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E</w:t>
            </w:r>
          </w:p>
        </w:tc>
        <w:tc>
          <w:tcPr>
            <w:tcW w:w="4236" w:type="pct"/>
            <w:tcMar>
              <w:top w:w="57" w:type="dxa"/>
              <w:bottom w:w="57" w:type="dxa"/>
            </w:tcMar>
            <w:vAlign w:val="center"/>
          </w:tcPr>
          <w:p w14:paraId="418F8CB7"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0D343248" w14:textId="77777777" w:rsidTr="00375286">
        <w:trPr>
          <w:jc w:val="right"/>
        </w:trPr>
        <w:tc>
          <w:tcPr>
            <w:tcW w:w="764" w:type="pct"/>
            <w:tcMar>
              <w:top w:w="57" w:type="dxa"/>
              <w:bottom w:w="57" w:type="dxa"/>
            </w:tcMar>
            <w:vAlign w:val="center"/>
          </w:tcPr>
          <w:p w14:paraId="58413737"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F</w:t>
            </w:r>
          </w:p>
        </w:tc>
        <w:tc>
          <w:tcPr>
            <w:tcW w:w="4236" w:type="pct"/>
            <w:tcMar>
              <w:top w:w="57" w:type="dxa"/>
              <w:bottom w:w="57" w:type="dxa"/>
            </w:tcMar>
            <w:vAlign w:val="center"/>
          </w:tcPr>
          <w:p w14:paraId="58F013CB"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wyjazdu i oznakowania drogi kołowania.</w:t>
            </w:r>
          </w:p>
        </w:tc>
      </w:tr>
      <w:tr w:rsidR="00B0686B" w:rsidRPr="009E064B" w14:paraId="1D5119F1" w14:textId="77777777" w:rsidTr="00375286">
        <w:trPr>
          <w:jc w:val="right"/>
        </w:trPr>
        <w:tc>
          <w:tcPr>
            <w:tcW w:w="764" w:type="pct"/>
            <w:tcMar>
              <w:top w:w="57" w:type="dxa"/>
              <w:bottom w:w="57" w:type="dxa"/>
            </w:tcMar>
            <w:vAlign w:val="center"/>
          </w:tcPr>
          <w:p w14:paraId="2679BE56"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G</w:t>
            </w:r>
          </w:p>
        </w:tc>
        <w:tc>
          <w:tcPr>
            <w:tcW w:w="4236" w:type="pct"/>
            <w:tcMar>
              <w:top w:w="57" w:type="dxa"/>
              <w:bottom w:w="57" w:type="dxa"/>
            </w:tcMar>
            <w:vAlign w:val="center"/>
          </w:tcPr>
          <w:p w14:paraId="2787BC57"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163C4EA3" w14:textId="77777777" w:rsidTr="00375286">
        <w:trPr>
          <w:jc w:val="right"/>
        </w:trPr>
        <w:tc>
          <w:tcPr>
            <w:tcW w:w="764" w:type="pct"/>
            <w:tcMar>
              <w:top w:w="57" w:type="dxa"/>
              <w:bottom w:w="57" w:type="dxa"/>
            </w:tcMar>
            <w:vAlign w:val="center"/>
          </w:tcPr>
          <w:p w14:paraId="4B5CFF34"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H</w:t>
            </w:r>
          </w:p>
        </w:tc>
        <w:tc>
          <w:tcPr>
            <w:tcW w:w="4236" w:type="pct"/>
            <w:tcMar>
              <w:top w:w="57" w:type="dxa"/>
              <w:bottom w:w="57" w:type="dxa"/>
            </w:tcMar>
            <w:vAlign w:val="center"/>
          </w:tcPr>
          <w:p w14:paraId="49B740C3"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wyjazdu i oznakowania drogi kołowania.</w:t>
            </w:r>
          </w:p>
        </w:tc>
      </w:tr>
      <w:tr w:rsidR="00B0686B" w:rsidRPr="009E064B" w14:paraId="0143DE0E" w14:textId="77777777" w:rsidTr="00375286">
        <w:trPr>
          <w:jc w:val="right"/>
        </w:trPr>
        <w:tc>
          <w:tcPr>
            <w:tcW w:w="764" w:type="pct"/>
            <w:tcMar>
              <w:top w:w="57" w:type="dxa"/>
              <w:bottom w:w="57" w:type="dxa"/>
            </w:tcMar>
            <w:vAlign w:val="center"/>
          </w:tcPr>
          <w:p w14:paraId="22A175DE"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I</w:t>
            </w:r>
          </w:p>
        </w:tc>
        <w:tc>
          <w:tcPr>
            <w:tcW w:w="4236" w:type="pct"/>
            <w:tcMar>
              <w:top w:w="57" w:type="dxa"/>
              <w:bottom w:w="57" w:type="dxa"/>
            </w:tcMar>
            <w:vAlign w:val="center"/>
          </w:tcPr>
          <w:p w14:paraId="27339766"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Początek linii wyjazdu.</w:t>
            </w:r>
          </w:p>
        </w:tc>
      </w:tr>
      <w:tr w:rsidR="00B0686B" w:rsidRPr="009E064B" w14:paraId="00E9FE67" w14:textId="77777777" w:rsidTr="00375286">
        <w:trPr>
          <w:jc w:val="right"/>
        </w:trPr>
        <w:tc>
          <w:tcPr>
            <w:tcW w:w="764" w:type="pct"/>
            <w:tcMar>
              <w:top w:w="57" w:type="dxa"/>
              <w:bottom w:w="57" w:type="dxa"/>
            </w:tcMar>
            <w:vAlign w:val="center"/>
          </w:tcPr>
          <w:p w14:paraId="23AA62D4"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J</w:t>
            </w:r>
          </w:p>
        </w:tc>
        <w:tc>
          <w:tcPr>
            <w:tcW w:w="4236" w:type="pct"/>
            <w:tcMar>
              <w:top w:w="57" w:type="dxa"/>
              <w:bottom w:w="57" w:type="dxa"/>
            </w:tcMar>
            <w:vAlign w:val="center"/>
          </w:tcPr>
          <w:p w14:paraId="5A9E2B25"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zakrzywionego odcinka linii wyjazdu.</w:t>
            </w:r>
          </w:p>
        </w:tc>
      </w:tr>
      <w:tr w:rsidR="00B0686B" w:rsidRPr="009E064B" w14:paraId="09AC398A" w14:textId="77777777" w:rsidTr="00375286">
        <w:trPr>
          <w:jc w:val="right"/>
        </w:trPr>
        <w:tc>
          <w:tcPr>
            <w:tcW w:w="764" w:type="pct"/>
            <w:tcMar>
              <w:top w:w="57" w:type="dxa"/>
              <w:bottom w:w="57" w:type="dxa"/>
            </w:tcMar>
            <w:vAlign w:val="center"/>
          </w:tcPr>
          <w:p w14:paraId="2BD16A05"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K</w:t>
            </w:r>
          </w:p>
        </w:tc>
        <w:tc>
          <w:tcPr>
            <w:tcW w:w="4236" w:type="pct"/>
            <w:tcMar>
              <w:top w:w="57" w:type="dxa"/>
              <w:bottom w:w="57" w:type="dxa"/>
            </w:tcMar>
            <w:vAlign w:val="center"/>
          </w:tcPr>
          <w:p w14:paraId="1BDD08ED"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20283FBB" w14:textId="77777777" w:rsidTr="00375286">
        <w:trPr>
          <w:jc w:val="right"/>
        </w:trPr>
        <w:tc>
          <w:tcPr>
            <w:tcW w:w="764" w:type="pct"/>
            <w:tcMar>
              <w:top w:w="57" w:type="dxa"/>
              <w:bottom w:w="57" w:type="dxa"/>
            </w:tcMar>
            <w:vAlign w:val="center"/>
          </w:tcPr>
          <w:p w14:paraId="2F281F44"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L</w:t>
            </w:r>
          </w:p>
        </w:tc>
        <w:tc>
          <w:tcPr>
            <w:tcW w:w="4236" w:type="pct"/>
            <w:tcMar>
              <w:top w:w="57" w:type="dxa"/>
              <w:bottom w:w="57" w:type="dxa"/>
            </w:tcMar>
            <w:vAlign w:val="center"/>
          </w:tcPr>
          <w:p w14:paraId="31443168"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wyjazdu i oznakowania drogi kołowania.</w:t>
            </w:r>
          </w:p>
        </w:tc>
      </w:tr>
      <w:tr w:rsidR="00B0686B" w:rsidRPr="009E064B" w14:paraId="1A3EA329" w14:textId="77777777" w:rsidTr="00375286">
        <w:trPr>
          <w:jc w:val="right"/>
        </w:trPr>
        <w:tc>
          <w:tcPr>
            <w:tcW w:w="764" w:type="pct"/>
            <w:tcMar>
              <w:top w:w="57" w:type="dxa"/>
              <w:bottom w:w="57" w:type="dxa"/>
            </w:tcMar>
            <w:vAlign w:val="center"/>
          </w:tcPr>
          <w:p w14:paraId="4321BC11"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M</w:t>
            </w:r>
          </w:p>
        </w:tc>
        <w:tc>
          <w:tcPr>
            <w:tcW w:w="4236" w:type="pct"/>
            <w:tcMar>
              <w:top w:w="57" w:type="dxa"/>
              <w:bottom w:w="57" w:type="dxa"/>
            </w:tcMar>
            <w:vAlign w:val="center"/>
          </w:tcPr>
          <w:p w14:paraId="0038B32E"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6B47A194" w14:textId="77777777" w:rsidTr="00375286">
        <w:trPr>
          <w:jc w:val="right"/>
        </w:trPr>
        <w:tc>
          <w:tcPr>
            <w:tcW w:w="764" w:type="pct"/>
            <w:tcMar>
              <w:top w:w="57" w:type="dxa"/>
              <w:bottom w:w="57" w:type="dxa"/>
            </w:tcMar>
            <w:vAlign w:val="center"/>
          </w:tcPr>
          <w:p w14:paraId="70061F41"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N</w:t>
            </w:r>
          </w:p>
        </w:tc>
        <w:tc>
          <w:tcPr>
            <w:tcW w:w="4236" w:type="pct"/>
            <w:tcMar>
              <w:top w:w="57" w:type="dxa"/>
              <w:bottom w:w="57" w:type="dxa"/>
            </w:tcMar>
            <w:vAlign w:val="center"/>
          </w:tcPr>
          <w:p w14:paraId="35E9F423"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wyjazdu i oznakowania drogi kołowania.</w:t>
            </w:r>
          </w:p>
        </w:tc>
      </w:tr>
      <w:tr w:rsidR="00B0686B" w:rsidRPr="009E064B" w14:paraId="67A1D11E" w14:textId="77777777" w:rsidTr="00375286">
        <w:trPr>
          <w:jc w:val="right"/>
        </w:trPr>
        <w:tc>
          <w:tcPr>
            <w:tcW w:w="764" w:type="pct"/>
            <w:tcMar>
              <w:top w:w="57" w:type="dxa"/>
              <w:bottom w:w="57" w:type="dxa"/>
            </w:tcMar>
            <w:vAlign w:val="center"/>
          </w:tcPr>
          <w:p w14:paraId="360E93D1"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O</w:t>
            </w:r>
          </w:p>
        </w:tc>
        <w:tc>
          <w:tcPr>
            <w:tcW w:w="4236" w:type="pct"/>
            <w:tcMar>
              <w:top w:w="57" w:type="dxa"/>
              <w:bottom w:w="57" w:type="dxa"/>
            </w:tcMar>
            <w:vAlign w:val="center"/>
          </w:tcPr>
          <w:p w14:paraId="684985E0"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Początek linii wyjazdu.</w:t>
            </w:r>
          </w:p>
        </w:tc>
      </w:tr>
      <w:tr w:rsidR="00B0686B" w:rsidRPr="009E064B" w14:paraId="04E14940" w14:textId="77777777" w:rsidTr="00375286">
        <w:trPr>
          <w:jc w:val="right"/>
        </w:trPr>
        <w:tc>
          <w:tcPr>
            <w:tcW w:w="764" w:type="pct"/>
            <w:tcMar>
              <w:top w:w="57" w:type="dxa"/>
              <w:bottom w:w="57" w:type="dxa"/>
            </w:tcMar>
            <w:vAlign w:val="center"/>
          </w:tcPr>
          <w:p w14:paraId="45E05792"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P</w:t>
            </w:r>
          </w:p>
        </w:tc>
        <w:tc>
          <w:tcPr>
            <w:tcW w:w="4236" w:type="pct"/>
            <w:tcMar>
              <w:top w:w="57" w:type="dxa"/>
              <w:bottom w:w="57" w:type="dxa"/>
            </w:tcMar>
            <w:vAlign w:val="center"/>
          </w:tcPr>
          <w:p w14:paraId="4A8C568D"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zakrzywionego odcinka linii wyjazdu.</w:t>
            </w:r>
          </w:p>
        </w:tc>
      </w:tr>
      <w:tr w:rsidR="00B0686B" w:rsidRPr="009E064B" w14:paraId="73BB84B5" w14:textId="77777777" w:rsidTr="00375286">
        <w:trPr>
          <w:jc w:val="right"/>
        </w:trPr>
        <w:tc>
          <w:tcPr>
            <w:tcW w:w="764" w:type="pct"/>
            <w:tcMar>
              <w:top w:w="57" w:type="dxa"/>
              <w:bottom w:w="57" w:type="dxa"/>
            </w:tcMar>
            <w:vAlign w:val="center"/>
          </w:tcPr>
          <w:p w14:paraId="51C3D08D"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Q</w:t>
            </w:r>
          </w:p>
        </w:tc>
        <w:tc>
          <w:tcPr>
            <w:tcW w:w="4236" w:type="pct"/>
            <w:tcMar>
              <w:top w:w="57" w:type="dxa"/>
              <w:bottom w:w="57" w:type="dxa"/>
            </w:tcMar>
            <w:vAlign w:val="center"/>
          </w:tcPr>
          <w:p w14:paraId="602482D1"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63039C1D" w14:textId="77777777" w:rsidTr="00375286">
        <w:trPr>
          <w:trHeight w:val="234"/>
          <w:jc w:val="right"/>
        </w:trPr>
        <w:tc>
          <w:tcPr>
            <w:tcW w:w="764" w:type="pct"/>
            <w:tcMar>
              <w:top w:w="57" w:type="dxa"/>
              <w:bottom w:w="57" w:type="dxa"/>
            </w:tcMar>
            <w:vAlign w:val="center"/>
          </w:tcPr>
          <w:p w14:paraId="7BDF0C76"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R</w:t>
            </w:r>
          </w:p>
        </w:tc>
        <w:tc>
          <w:tcPr>
            <w:tcW w:w="4236" w:type="pct"/>
            <w:tcMar>
              <w:top w:w="57" w:type="dxa"/>
              <w:bottom w:w="57" w:type="dxa"/>
            </w:tcMar>
            <w:vAlign w:val="center"/>
          </w:tcPr>
          <w:p w14:paraId="36EDFCAF"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oznakowania linii wyjazdu i oznakowania drogi kołowania.</w:t>
            </w:r>
          </w:p>
        </w:tc>
      </w:tr>
    </w:tbl>
    <w:p w14:paraId="1C88FCDF" w14:textId="77777777" w:rsidR="00B0686B" w:rsidRPr="009E064B" w:rsidRDefault="00B0686B" w:rsidP="00B06A9A">
      <w:pPr>
        <w:spacing w:after="0"/>
        <w:rPr>
          <w:rFonts w:asciiTheme="minorHAnsi" w:hAnsiTheme="minorHAnsi" w:cstheme="minorHAnsi"/>
        </w:rPr>
      </w:pPr>
    </w:p>
    <w:p w14:paraId="4E59C5E9" w14:textId="77777777" w:rsidR="00B0686B" w:rsidRPr="002C4C40" w:rsidRDefault="00B0686B" w:rsidP="00B06A9A">
      <w:pPr>
        <w:jc w:val="center"/>
        <w:rPr>
          <w:rFonts w:asciiTheme="minorHAnsi" w:hAnsiTheme="minorHAnsi" w:cstheme="minorHAnsi"/>
          <w:b/>
          <w:sz w:val="20"/>
        </w:rPr>
      </w:pPr>
      <w:r w:rsidRPr="002C4C40">
        <w:rPr>
          <w:rFonts w:asciiTheme="minorHAnsi" w:hAnsiTheme="minorHAnsi" w:cstheme="minorHAnsi"/>
          <w:b/>
          <w:sz w:val="20"/>
        </w:rPr>
        <w:t>Tabela 4</w:t>
      </w:r>
    </w:p>
    <w:p w14:paraId="2E446CAA" w14:textId="77777777" w:rsidR="00375286" w:rsidRPr="009E064B" w:rsidRDefault="00375286" w:rsidP="00B06A9A">
      <w:pPr>
        <w:spacing w:after="0"/>
        <w:jc w:val="center"/>
        <w:rPr>
          <w:rFonts w:asciiTheme="minorHAnsi" w:hAnsiTheme="minorHAnsi" w:cstheme="minorHAnsi"/>
        </w:rPr>
      </w:pPr>
    </w:p>
    <w:p w14:paraId="76EB4EE9" w14:textId="7129D86B" w:rsidR="00375286" w:rsidRPr="009E064B" w:rsidRDefault="00375286" w:rsidP="00B06A9A">
      <w:pPr>
        <w:spacing w:after="0"/>
        <w:jc w:val="center"/>
        <w:rPr>
          <w:rFonts w:asciiTheme="minorHAnsi" w:hAnsiTheme="minorHAnsi" w:cstheme="minorHAnsi"/>
        </w:rPr>
      </w:pPr>
      <w:r w:rsidRPr="009E064B">
        <w:rPr>
          <w:noProof/>
          <w:lang w:eastAsia="pl-PL"/>
        </w:rPr>
        <w:drawing>
          <wp:inline distT="0" distB="0" distL="0" distR="0" wp14:anchorId="509639BF" wp14:editId="71760795">
            <wp:extent cx="5759450" cy="3359050"/>
            <wp:effectExtent l="0" t="0" r="0" b="0"/>
            <wp:docPr id="1394" name="Obraz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9450" cy="3359050"/>
                    </a:xfrm>
                    <a:prstGeom prst="rect">
                      <a:avLst/>
                    </a:prstGeom>
                    <a:noFill/>
                    <a:ln>
                      <a:noFill/>
                    </a:ln>
                  </pic:spPr>
                </pic:pic>
              </a:graphicData>
            </a:graphic>
          </wp:inline>
        </w:drawing>
      </w:r>
    </w:p>
    <w:p w14:paraId="0340E242" w14:textId="1C012223" w:rsidR="00B0686B" w:rsidRPr="002C4C40" w:rsidRDefault="00B0686B" w:rsidP="002C4C40">
      <w:pPr>
        <w:spacing w:before="120" w:after="0"/>
        <w:jc w:val="center"/>
        <w:rPr>
          <w:rFonts w:asciiTheme="minorHAnsi" w:hAnsiTheme="minorHAnsi" w:cstheme="minorHAnsi"/>
          <w:b/>
          <w:sz w:val="20"/>
        </w:rPr>
      </w:pPr>
      <w:r w:rsidRPr="002C4C40">
        <w:rPr>
          <w:rFonts w:asciiTheme="minorHAnsi" w:hAnsiTheme="minorHAnsi" w:cstheme="minorHAnsi"/>
          <w:b/>
          <w:sz w:val="20"/>
        </w:rPr>
        <w:t>Rysunek 12 – Linie zakrętów</w:t>
      </w:r>
    </w:p>
    <w:p w14:paraId="6B34B2CC" w14:textId="76A9ADCC" w:rsidR="00B0686B" w:rsidRPr="009E064B" w:rsidRDefault="00B0686B" w:rsidP="00B06A9A">
      <w:pPr>
        <w:spacing w:after="0"/>
        <w:jc w:val="center"/>
        <w:rPr>
          <w:rFonts w:asciiTheme="minorHAnsi" w:hAnsiTheme="minorHAnsi" w:cstheme="minorHAnsi"/>
        </w:rPr>
      </w:pPr>
    </w:p>
    <w:p w14:paraId="667D6C49" w14:textId="77777777" w:rsidR="00375286" w:rsidRPr="009E064B" w:rsidRDefault="00375286" w:rsidP="00B06A9A">
      <w:pPr>
        <w:spacing w:after="0"/>
        <w:jc w:val="center"/>
        <w:rPr>
          <w:rFonts w:asciiTheme="minorHAnsi" w:hAnsiTheme="minorHAnsi" w:cstheme="minorHAnsi"/>
        </w:rPr>
      </w:pPr>
    </w:p>
    <w:tbl>
      <w:tblPr>
        <w:tblW w:w="484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7"/>
        <w:gridCol w:w="7843"/>
      </w:tblGrid>
      <w:tr w:rsidR="00B0686B" w:rsidRPr="009E064B" w14:paraId="0A464EB0" w14:textId="77777777" w:rsidTr="00AA5466">
        <w:trPr>
          <w:trHeight w:val="438"/>
          <w:jc w:val="right"/>
        </w:trPr>
        <w:tc>
          <w:tcPr>
            <w:tcW w:w="643" w:type="pct"/>
            <w:vAlign w:val="center"/>
          </w:tcPr>
          <w:p w14:paraId="5FBC3E7C" w14:textId="77777777" w:rsidR="00B0686B" w:rsidRPr="009E064B" w:rsidRDefault="00B0686B" w:rsidP="00B06A9A">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Pozycja</w:t>
            </w:r>
          </w:p>
        </w:tc>
        <w:tc>
          <w:tcPr>
            <w:tcW w:w="4357" w:type="pct"/>
            <w:vAlign w:val="center"/>
          </w:tcPr>
          <w:p w14:paraId="53B60E10" w14:textId="77777777" w:rsidR="00B0686B" w:rsidRPr="009E064B" w:rsidRDefault="00B0686B" w:rsidP="00B06A9A">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Opis punktu podlegającego pomiarom</w:t>
            </w:r>
          </w:p>
        </w:tc>
      </w:tr>
      <w:tr w:rsidR="00B0686B" w:rsidRPr="009E064B" w14:paraId="36633D01" w14:textId="77777777" w:rsidTr="00375286">
        <w:trPr>
          <w:jc w:val="right"/>
        </w:trPr>
        <w:tc>
          <w:tcPr>
            <w:tcW w:w="643" w:type="pct"/>
            <w:tcMar>
              <w:top w:w="57" w:type="dxa"/>
              <w:bottom w:w="57" w:type="dxa"/>
            </w:tcMar>
            <w:vAlign w:val="center"/>
          </w:tcPr>
          <w:p w14:paraId="4645655E"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A</w:t>
            </w:r>
          </w:p>
        </w:tc>
        <w:tc>
          <w:tcPr>
            <w:tcW w:w="4357" w:type="pct"/>
            <w:tcMar>
              <w:top w:w="57" w:type="dxa"/>
              <w:bottom w:w="57" w:type="dxa"/>
            </w:tcMar>
            <w:vAlign w:val="center"/>
          </w:tcPr>
          <w:p w14:paraId="6F4EA029"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środka oznakowania linii wjazdu i środka oznakowania drogi kołowania.</w:t>
            </w:r>
          </w:p>
        </w:tc>
      </w:tr>
      <w:tr w:rsidR="00B0686B" w:rsidRPr="009E064B" w14:paraId="1DC8B115" w14:textId="77777777" w:rsidTr="00375286">
        <w:trPr>
          <w:jc w:val="right"/>
        </w:trPr>
        <w:tc>
          <w:tcPr>
            <w:tcW w:w="643" w:type="pct"/>
            <w:tcMar>
              <w:top w:w="57" w:type="dxa"/>
              <w:bottom w:w="57" w:type="dxa"/>
            </w:tcMar>
            <w:vAlign w:val="center"/>
          </w:tcPr>
          <w:p w14:paraId="18282FCC"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B</w:t>
            </w:r>
          </w:p>
        </w:tc>
        <w:tc>
          <w:tcPr>
            <w:tcW w:w="4357" w:type="pct"/>
            <w:tcMar>
              <w:top w:w="57" w:type="dxa"/>
              <w:bottom w:w="57" w:type="dxa"/>
            </w:tcMar>
            <w:vAlign w:val="center"/>
          </w:tcPr>
          <w:p w14:paraId="58BE762E"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wjazdu i jego promień.</w:t>
            </w:r>
          </w:p>
        </w:tc>
      </w:tr>
      <w:tr w:rsidR="00B0686B" w:rsidRPr="009E064B" w14:paraId="514B49E9" w14:textId="77777777" w:rsidTr="00375286">
        <w:trPr>
          <w:jc w:val="right"/>
        </w:trPr>
        <w:tc>
          <w:tcPr>
            <w:tcW w:w="643" w:type="pct"/>
            <w:tcMar>
              <w:top w:w="57" w:type="dxa"/>
              <w:bottom w:w="57" w:type="dxa"/>
            </w:tcMar>
            <w:vAlign w:val="center"/>
          </w:tcPr>
          <w:p w14:paraId="373E3B76"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C</w:t>
            </w:r>
          </w:p>
        </w:tc>
        <w:tc>
          <w:tcPr>
            <w:tcW w:w="4357" w:type="pct"/>
            <w:tcMar>
              <w:top w:w="57" w:type="dxa"/>
              <w:bottom w:w="57" w:type="dxa"/>
            </w:tcMar>
            <w:vAlign w:val="center"/>
          </w:tcPr>
          <w:p w14:paraId="697BE69F"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rozpoczęcia prostego odcinka linii wjazdu.</w:t>
            </w:r>
          </w:p>
        </w:tc>
      </w:tr>
      <w:tr w:rsidR="00B0686B" w:rsidRPr="009E064B" w14:paraId="01138C57" w14:textId="77777777" w:rsidTr="00375286">
        <w:trPr>
          <w:jc w:val="right"/>
        </w:trPr>
        <w:tc>
          <w:tcPr>
            <w:tcW w:w="643" w:type="pct"/>
            <w:tcMar>
              <w:top w:w="57" w:type="dxa"/>
              <w:bottom w:w="57" w:type="dxa"/>
            </w:tcMar>
            <w:vAlign w:val="center"/>
          </w:tcPr>
          <w:p w14:paraId="505F5BEA"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D</w:t>
            </w:r>
          </w:p>
        </w:tc>
        <w:tc>
          <w:tcPr>
            <w:tcW w:w="4357" w:type="pct"/>
            <w:tcMar>
              <w:top w:w="57" w:type="dxa"/>
              <w:bottom w:w="57" w:type="dxa"/>
            </w:tcMar>
            <w:vAlign w:val="center"/>
          </w:tcPr>
          <w:p w14:paraId="75560BE7"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przecięcia środka oznakowania linii wjazdu i środka oznakowania drogi kołowania.</w:t>
            </w:r>
          </w:p>
        </w:tc>
      </w:tr>
      <w:tr w:rsidR="00B0686B" w:rsidRPr="009E064B" w14:paraId="2E5CCD24" w14:textId="77777777" w:rsidTr="00375286">
        <w:trPr>
          <w:jc w:val="right"/>
        </w:trPr>
        <w:tc>
          <w:tcPr>
            <w:tcW w:w="643" w:type="pct"/>
            <w:tcMar>
              <w:top w:w="57" w:type="dxa"/>
              <w:bottom w:w="57" w:type="dxa"/>
            </w:tcMar>
            <w:vAlign w:val="center"/>
          </w:tcPr>
          <w:p w14:paraId="65FB9CFA"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E</w:t>
            </w:r>
          </w:p>
        </w:tc>
        <w:tc>
          <w:tcPr>
            <w:tcW w:w="4357" w:type="pct"/>
            <w:tcMar>
              <w:top w:w="57" w:type="dxa"/>
              <w:bottom w:w="57" w:type="dxa"/>
            </w:tcMar>
            <w:vAlign w:val="center"/>
          </w:tcPr>
          <w:p w14:paraId="00C20595"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wjazdu i jego promień.</w:t>
            </w:r>
          </w:p>
        </w:tc>
      </w:tr>
      <w:tr w:rsidR="00B0686B" w:rsidRPr="009E064B" w14:paraId="1C14DBB8" w14:textId="77777777" w:rsidTr="00375286">
        <w:trPr>
          <w:jc w:val="right"/>
        </w:trPr>
        <w:tc>
          <w:tcPr>
            <w:tcW w:w="643" w:type="pct"/>
            <w:tcMar>
              <w:top w:w="57" w:type="dxa"/>
              <w:bottom w:w="57" w:type="dxa"/>
            </w:tcMar>
            <w:vAlign w:val="center"/>
          </w:tcPr>
          <w:p w14:paraId="3936B7C5"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F</w:t>
            </w:r>
          </w:p>
        </w:tc>
        <w:tc>
          <w:tcPr>
            <w:tcW w:w="4357" w:type="pct"/>
            <w:tcMar>
              <w:top w:w="57" w:type="dxa"/>
              <w:bottom w:w="57" w:type="dxa"/>
            </w:tcMar>
            <w:vAlign w:val="center"/>
          </w:tcPr>
          <w:p w14:paraId="0334CFCF"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Koniec oznakowania prostego odcinka linii wjazdu/początek oznakowania linii łuku.</w:t>
            </w:r>
          </w:p>
        </w:tc>
      </w:tr>
      <w:tr w:rsidR="00B0686B" w:rsidRPr="009E064B" w14:paraId="5B3FBB16" w14:textId="77777777" w:rsidTr="00375286">
        <w:trPr>
          <w:jc w:val="right"/>
        </w:trPr>
        <w:tc>
          <w:tcPr>
            <w:tcW w:w="643" w:type="pct"/>
            <w:tcMar>
              <w:top w:w="57" w:type="dxa"/>
              <w:bottom w:w="57" w:type="dxa"/>
            </w:tcMar>
            <w:vAlign w:val="center"/>
          </w:tcPr>
          <w:p w14:paraId="673DD911"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G</w:t>
            </w:r>
          </w:p>
        </w:tc>
        <w:tc>
          <w:tcPr>
            <w:tcW w:w="4357" w:type="pct"/>
            <w:tcMar>
              <w:top w:w="57" w:type="dxa"/>
              <w:bottom w:w="57" w:type="dxa"/>
            </w:tcMar>
            <w:vAlign w:val="center"/>
          </w:tcPr>
          <w:p w14:paraId="4ABD4CFF"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zakrętu i jego promień</w:t>
            </w:r>
          </w:p>
        </w:tc>
      </w:tr>
      <w:tr w:rsidR="00B0686B" w:rsidRPr="009E064B" w14:paraId="40DA0186" w14:textId="77777777" w:rsidTr="00375286">
        <w:trPr>
          <w:jc w:val="right"/>
        </w:trPr>
        <w:tc>
          <w:tcPr>
            <w:tcW w:w="643" w:type="pct"/>
            <w:tcMar>
              <w:top w:w="57" w:type="dxa"/>
              <w:bottom w:w="57" w:type="dxa"/>
            </w:tcMar>
            <w:vAlign w:val="center"/>
          </w:tcPr>
          <w:p w14:paraId="36F91CC6"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H</w:t>
            </w:r>
          </w:p>
        </w:tc>
        <w:tc>
          <w:tcPr>
            <w:tcW w:w="4357" w:type="pct"/>
            <w:tcMar>
              <w:top w:w="57" w:type="dxa"/>
              <w:bottom w:w="57" w:type="dxa"/>
            </w:tcMar>
            <w:vAlign w:val="center"/>
          </w:tcPr>
          <w:p w14:paraId="0DD1B358"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oznakowania prostego odcinka linii zakrętu.</w:t>
            </w:r>
          </w:p>
        </w:tc>
      </w:tr>
      <w:tr w:rsidR="00B0686B" w:rsidRPr="009E064B" w14:paraId="655E5E47" w14:textId="77777777" w:rsidTr="00375286">
        <w:trPr>
          <w:jc w:val="right"/>
        </w:trPr>
        <w:tc>
          <w:tcPr>
            <w:tcW w:w="643" w:type="pct"/>
            <w:tcMar>
              <w:top w:w="57" w:type="dxa"/>
              <w:bottom w:w="57" w:type="dxa"/>
            </w:tcMar>
            <w:vAlign w:val="center"/>
          </w:tcPr>
          <w:p w14:paraId="06794142"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I</w:t>
            </w:r>
          </w:p>
        </w:tc>
        <w:tc>
          <w:tcPr>
            <w:tcW w:w="4357" w:type="pct"/>
            <w:tcMar>
              <w:top w:w="57" w:type="dxa"/>
              <w:bottom w:w="57" w:type="dxa"/>
            </w:tcMar>
            <w:vAlign w:val="center"/>
          </w:tcPr>
          <w:p w14:paraId="74C930B4"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Położenie koła podwozia przedniego zaparkowanego statku powietrznego.</w:t>
            </w:r>
          </w:p>
        </w:tc>
      </w:tr>
      <w:tr w:rsidR="00B0686B" w:rsidRPr="009E064B" w14:paraId="49C8BD1A" w14:textId="77777777" w:rsidTr="00375286">
        <w:trPr>
          <w:jc w:val="right"/>
        </w:trPr>
        <w:tc>
          <w:tcPr>
            <w:tcW w:w="643" w:type="pct"/>
            <w:tcMar>
              <w:top w:w="57" w:type="dxa"/>
              <w:bottom w:w="57" w:type="dxa"/>
            </w:tcMar>
            <w:vAlign w:val="center"/>
          </w:tcPr>
          <w:p w14:paraId="7053B16B"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J</w:t>
            </w:r>
          </w:p>
        </w:tc>
        <w:tc>
          <w:tcPr>
            <w:tcW w:w="4357" w:type="pct"/>
            <w:tcMar>
              <w:top w:w="57" w:type="dxa"/>
              <w:bottom w:w="57" w:type="dxa"/>
            </w:tcMar>
            <w:vAlign w:val="center"/>
          </w:tcPr>
          <w:p w14:paraId="55CA37BA"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końcowy oznakowania prostego odcinka linii zakrętu.</w:t>
            </w:r>
          </w:p>
        </w:tc>
      </w:tr>
      <w:tr w:rsidR="00B0686B" w:rsidRPr="009E064B" w14:paraId="312A212C" w14:textId="77777777" w:rsidTr="00375286">
        <w:trPr>
          <w:jc w:val="right"/>
        </w:trPr>
        <w:tc>
          <w:tcPr>
            <w:tcW w:w="643" w:type="pct"/>
            <w:tcMar>
              <w:top w:w="57" w:type="dxa"/>
              <w:bottom w:w="57" w:type="dxa"/>
            </w:tcMar>
            <w:vAlign w:val="center"/>
          </w:tcPr>
          <w:p w14:paraId="350B62D1"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K</w:t>
            </w:r>
          </w:p>
        </w:tc>
        <w:tc>
          <w:tcPr>
            <w:tcW w:w="4357" w:type="pct"/>
            <w:tcMar>
              <w:top w:w="57" w:type="dxa"/>
              <w:bottom w:w="57" w:type="dxa"/>
            </w:tcMar>
            <w:vAlign w:val="center"/>
          </w:tcPr>
          <w:p w14:paraId="10DAB3A3"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Rzeczywisty kierunek poprzeczki wyrównania.</w:t>
            </w:r>
          </w:p>
        </w:tc>
      </w:tr>
      <w:tr w:rsidR="00B0686B" w:rsidRPr="009E064B" w14:paraId="1EF6086B" w14:textId="77777777" w:rsidTr="00375286">
        <w:trPr>
          <w:jc w:val="right"/>
        </w:trPr>
        <w:tc>
          <w:tcPr>
            <w:tcW w:w="643" w:type="pct"/>
            <w:tcMar>
              <w:top w:w="57" w:type="dxa"/>
              <w:bottom w:w="57" w:type="dxa"/>
            </w:tcMar>
            <w:vAlign w:val="center"/>
          </w:tcPr>
          <w:p w14:paraId="38476E3A"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L</w:t>
            </w:r>
          </w:p>
        </w:tc>
        <w:tc>
          <w:tcPr>
            <w:tcW w:w="4357" w:type="pct"/>
            <w:tcMar>
              <w:top w:w="57" w:type="dxa"/>
              <w:bottom w:w="57" w:type="dxa"/>
            </w:tcMar>
            <w:vAlign w:val="center"/>
          </w:tcPr>
          <w:p w14:paraId="275C675C"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linii wyjazdu.</w:t>
            </w:r>
          </w:p>
        </w:tc>
      </w:tr>
      <w:tr w:rsidR="00B0686B" w:rsidRPr="009E064B" w14:paraId="10186B19" w14:textId="77777777" w:rsidTr="00375286">
        <w:trPr>
          <w:jc w:val="right"/>
        </w:trPr>
        <w:tc>
          <w:tcPr>
            <w:tcW w:w="643" w:type="pct"/>
            <w:tcMar>
              <w:top w:w="57" w:type="dxa"/>
              <w:bottom w:w="57" w:type="dxa"/>
            </w:tcMar>
            <w:vAlign w:val="center"/>
          </w:tcPr>
          <w:p w14:paraId="5FADBC19"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M</w:t>
            </w:r>
          </w:p>
        </w:tc>
        <w:tc>
          <w:tcPr>
            <w:tcW w:w="4357" w:type="pct"/>
            <w:tcMar>
              <w:top w:w="57" w:type="dxa"/>
              <w:bottom w:w="57" w:type="dxa"/>
            </w:tcMar>
            <w:vAlign w:val="center"/>
          </w:tcPr>
          <w:p w14:paraId="2715F302"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początkowy zakrzywionego odcinka linii wyjazdu.</w:t>
            </w:r>
          </w:p>
        </w:tc>
      </w:tr>
      <w:tr w:rsidR="00B0686B" w:rsidRPr="009E064B" w14:paraId="69ED50BD" w14:textId="77777777" w:rsidTr="00375286">
        <w:trPr>
          <w:jc w:val="right"/>
        </w:trPr>
        <w:tc>
          <w:tcPr>
            <w:tcW w:w="643" w:type="pct"/>
            <w:tcMar>
              <w:top w:w="57" w:type="dxa"/>
              <w:bottom w:w="57" w:type="dxa"/>
            </w:tcMar>
            <w:vAlign w:val="center"/>
          </w:tcPr>
          <w:p w14:paraId="13D1499E"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N</w:t>
            </w:r>
          </w:p>
        </w:tc>
        <w:tc>
          <w:tcPr>
            <w:tcW w:w="4357" w:type="pct"/>
            <w:tcMar>
              <w:top w:w="57" w:type="dxa"/>
              <w:bottom w:w="57" w:type="dxa"/>
            </w:tcMar>
            <w:vAlign w:val="center"/>
          </w:tcPr>
          <w:p w14:paraId="5F01FA54"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31E3C64F" w14:textId="77777777" w:rsidTr="00375286">
        <w:trPr>
          <w:jc w:val="right"/>
        </w:trPr>
        <w:tc>
          <w:tcPr>
            <w:tcW w:w="643" w:type="pct"/>
            <w:tcMar>
              <w:top w:w="57" w:type="dxa"/>
              <w:bottom w:w="57" w:type="dxa"/>
            </w:tcMar>
            <w:vAlign w:val="center"/>
          </w:tcPr>
          <w:p w14:paraId="503F55E6"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O</w:t>
            </w:r>
          </w:p>
        </w:tc>
        <w:tc>
          <w:tcPr>
            <w:tcW w:w="4357" w:type="pct"/>
            <w:tcMar>
              <w:top w:w="57" w:type="dxa"/>
              <w:bottom w:w="57" w:type="dxa"/>
            </w:tcMar>
            <w:vAlign w:val="center"/>
          </w:tcPr>
          <w:p w14:paraId="28CF4055"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styczności środka oznakowania linii wyjazdu i oznakowania drogi kołowania.</w:t>
            </w:r>
          </w:p>
        </w:tc>
      </w:tr>
      <w:tr w:rsidR="00B0686B" w:rsidRPr="009E064B" w14:paraId="16BF90CA" w14:textId="77777777" w:rsidTr="00375286">
        <w:trPr>
          <w:jc w:val="right"/>
        </w:trPr>
        <w:tc>
          <w:tcPr>
            <w:tcW w:w="643" w:type="pct"/>
            <w:tcMar>
              <w:top w:w="57" w:type="dxa"/>
              <w:bottom w:w="57" w:type="dxa"/>
            </w:tcMar>
            <w:vAlign w:val="center"/>
          </w:tcPr>
          <w:p w14:paraId="0A3B9ED7"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P</w:t>
            </w:r>
          </w:p>
        </w:tc>
        <w:tc>
          <w:tcPr>
            <w:tcW w:w="4357" w:type="pct"/>
            <w:tcMar>
              <w:top w:w="57" w:type="dxa"/>
              <w:bottom w:w="57" w:type="dxa"/>
            </w:tcMar>
            <w:vAlign w:val="center"/>
          </w:tcPr>
          <w:p w14:paraId="2C49654A"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Środek łuku linii wyjazdu i jego promień.</w:t>
            </w:r>
          </w:p>
        </w:tc>
      </w:tr>
      <w:tr w:rsidR="00B0686B" w:rsidRPr="009E064B" w14:paraId="0C601E64" w14:textId="77777777" w:rsidTr="00375286">
        <w:trPr>
          <w:jc w:val="right"/>
        </w:trPr>
        <w:tc>
          <w:tcPr>
            <w:tcW w:w="643" w:type="pct"/>
            <w:tcMar>
              <w:top w:w="57" w:type="dxa"/>
              <w:bottom w:w="57" w:type="dxa"/>
            </w:tcMar>
            <w:vAlign w:val="center"/>
          </w:tcPr>
          <w:p w14:paraId="4E22651B" w14:textId="77777777" w:rsidR="00B0686B" w:rsidRPr="009E064B" w:rsidRDefault="00B0686B" w:rsidP="00B06A9A">
            <w:pPr>
              <w:spacing w:after="0"/>
              <w:jc w:val="center"/>
              <w:rPr>
                <w:rFonts w:asciiTheme="minorHAnsi" w:hAnsiTheme="minorHAnsi" w:cstheme="minorHAnsi"/>
                <w:sz w:val="20"/>
                <w:szCs w:val="20"/>
              </w:rPr>
            </w:pPr>
            <w:r w:rsidRPr="009E064B">
              <w:rPr>
                <w:rFonts w:asciiTheme="minorHAnsi" w:hAnsiTheme="minorHAnsi" w:cstheme="minorHAnsi"/>
                <w:sz w:val="20"/>
                <w:szCs w:val="20"/>
              </w:rPr>
              <w:t>Q</w:t>
            </w:r>
          </w:p>
        </w:tc>
        <w:tc>
          <w:tcPr>
            <w:tcW w:w="4357" w:type="pct"/>
            <w:tcMar>
              <w:top w:w="57" w:type="dxa"/>
              <w:bottom w:w="57" w:type="dxa"/>
            </w:tcMar>
            <w:vAlign w:val="center"/>
          </w:tcPr>
          <w:p w14:paraId="188DA0D7" w14:textId="77777777" w:rsidR="00B0686B" w:rsidRPr="009E064B" w:rsidRDefault="00B0686B" w:rsidP="00B06A9A">
            <w:pPr>
              <w:spacing w:after="0"/>
              <w:rPr>
                <w:rFonts w:asciiTheme="minorHAnsi" w:hAnsiTheme="minorHAnsi" w:cstheme="minorHAnsi"/>
                <w:sz w:val="20"/>
                <w:szCs w:val="20"/>
              </w:rPr>
            </w:pPr>
            <w:r w:rsidRPr="009E064B">
              <w:rPr>
                <w:rFonts w:asciiTheme="minorHAnsi" w:hAnsiTheme="minorHAnsi" w:cstheme="minorHAnsi"/>
                <w:sz w:val="20"/>
                <w:szCs w:val="20"/>
              </w:rPr>
              <w:t>Punkt styczności środka oznakowania linii wyjazdu i oznakowania drogi kołowania.</w:t>
            </w:r>
          </w:p>
        </w:tc>
      </w:tr>
    </w:tbl>
    <w:p w14:paraId="222BF150" w14:textId="77777777" w:rsidR="002C4C40" w:rsidRDefault="00B0686B" w:rsidP="002C4C40">
      <w:pPr>
        <w:spacing w:before="240" w:after="0"/>
        <w:jc w:val="center"/>
        <w:rPr>
          <w:rFonts w:asciiTheme="minorHAnsi" w:hAnsiTheme="minorHAnsi" w:cstheme="minorHAnsi"/>
          <w:b/>
          <w:sz w:val="20"/>
        </w:rPr>
      </w:pPr>
      <w:r w:rsidRPr="002C4C40">
        <w:rPr>
          <w:rFonts w:asciiTheme="minorHAnsi" w:hAnsiTheme="minorHAnsi" w:cstheme="minorHAnsi"/>
          <w:b/>
          <w:sz w:val="20"/>
        </w:rPr>
        <w:t>Tabela 5</w:t>
      </w:r>
    </w:p>
    <w:p w14:paraId="21FF786C" w14:textId="2C9586DA" w:rsidR="00B0686B" w:rsidRPr="009E064B" w:rsidRDefault="00B0686B" w:rsidP="00133B99">
      <w:pPr>
        <w:pStyle w:val="Nagwek6"/>
      </w:pPr>
      <w:bookmarkStart w:id="509" w:name="_Toc492024678"/>
      <w:bookmarkStart w:id="510" w:name="_Toc12532778"/>
      <w:r w:rsidRPr="009E064B">
        <w:t xml:space="preserve">GM3 ADR.OPS.A.005(a)    </w:t>
      </w:r>
      <w:r w:rsidR="004002F9" w:rsidRPr="009E064B">
        <w:t xml:space="preserve"> </w:t>
      </w:r>
      <w:r w:rsidRPr="009E064B">
        <w:t>Dane dotyczące lotniska</w:t>
      </w:r>
      <w:bookmarkEnd w:id="509"/>
      <w:bookmarkEnd w:id="510"/>
    </w:p>
    <w:p w14:paraId="60BB8067" w14:textId="15C19501"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439DFF7"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URZĄDZENIA DO POMIARU TARCIA</w:t>
      </w:r>
    </w:p>
    <w:p w14:paraId="0B51B377" w14:textId="0C4A2C6B" w:rsidR="00B0686B" w:rsidRPr="009E064B" w:rsidRDefault="00B0686B" w:rsidP="00B06A9A">
      <w:pPr>
        <w:rPr>
          <w:rFonts w:asciiTheme="minorHAnsi" w:hAnsiTheme="minorHAnsi" w:cstheme="minorHAnsi"/>
        </w:rPr>
      </w:pPr>
      <w:r w:rsidRPr="009E064B">
        <w:rPr>
          <w:rFonts w:asciiTheme="minorHAnsi" w:hAnsiTheme="minorHAnsi" w:cstheme="minorHAnsi"/>
        </w:rPr>
        <w:t xml:space="preserve">Urządzenia do pomiarów ciągłych (np. </w:t>
      </w:r>
      <w:r w:rsidRPr="009E064B">
        <w:rPr>
          <w:rFonts w:asciiTheme="minorHAnsi" w:hAnsiTheme="minorHAnsi" w:cstheme="minorHAnsi"/>
          <w:i/>
        </w:rPr>
        <w:t>Skiddometer</w:t>
      </w:r>
      <w:r w:rsidRPr="009E064B">
        <w:rPr>
          <w:rFonts w:asciiTheme="minorHAnsi" w:hAnsiTheme="minorHAnsi" w:cstheme="minorHAnsi"/>
        </w:rPr>
        <w:t xml:space="preserve">, </w:t>
      </w:r>
      <w:r w:rsidRPr="009E064B">
        <w:rPr>
          <w:rFonts w:asciiTheme="minorHAnsi" w:hAnsiTheme="minorHAnsi" w:cstheme="minorHAnsi"/>
          <w:i/>
        </w:rPr>
        <w:t>Surface Friction Teste</w:t>
      </w:r>
      <w:r w:rsidRPr="009E064B">
        <w:rPr>
          <w:rFonts w:asciiTheme="minorHAnsi" w:hAnsiTheme="minorHAnsi" w:cstheme="minorHAnsi"/>
        </w:rPr>
        <w:t xml:space="preserve">r, </w:t>
      </w:r>
      <w:r w:rsidRPr="009E064B">
        <w:rPr>
          <w:rFonts w:asciiTheme="minorHAnsi" w:hAnsiTheme="minorHAnsi" w:cstheme="minorHAnsi"/>
          <w:i/>
        </w:rPr>
        <w:t>Mu-mete</w:t>
      </w:r>
      <w:r w:rsidRPr="009E064B">
        <w:rPr>
          <w:rFonts w:asciiTheme="minorHAnsi" w:hAnsiTheme="minorHAnsi" w:cstheme="minorHAnsi"/>
        </w:rPr>
        <w:t xml:space="preserve">r, </w:t>
      </w:r>
      <w:r w:rsidRPr="009E064B">
        <w:rPr>
          <w:rFonts w:asciiTheme="minorHAnsi" w:hAnsiTheme="minorHAnsi" w:cstheme="minorHAnsi"/>
          <w:i/>
        </w:rPr>
        <w:t>Runway Friction Tester</w:t>
      </w:r>
      <w:r w:rsidRPr="009E064B">
        <w:rPr>
          <w:rFonts w:asciiTheme="minorHAnsi" w:hAnsiTheme="minorHAnsi" w:cstheme="minorHAnsi"/>
        </w:rPr>
        <w:t xml:space="preserve"> lub </w:t>
      </w:r>
      <w:r w:rsidRPr="009E064B">
        <w:rPr>
          <w:rFonts w:asciiTheme="minorHAnsi" w:hAnsiTheme="minorHAnsi" w:cstheme="minorHAnsi"/>
          <w:i/>
        </w:rPr>
        <w:t>Grip Tester</w:t>
      </w:r>
      <w:r w:rsidRPr="009E064B">
        <w:rPr>
          <w:rFonts w:asciiTheme="minorHAnsi" w:hAnsiTheme="minorHAnsi" w:cstheme="minorHAnsi"/>
        </w:rPr>
        <w:t xml:space="preserve">) mogą być wykorzystywane do pomiarów wartości tarcia nawierzchni dróg startowych pokrytych ubitym śniegiem i lodem. W niektórych warunkach, np. w przypadku ubitego śniegu, lodu oraz bardzo cienkiej warstwy suchego śniegu może być wykorzystywany opóźnieniomierz </w:t>
      </w:r>
      <w:r w:rsidR="00096164" w:rsidRPr="009E064B">
        <w:rPr>
          <w:rFonts w:asciiTheme="minorHAnsi" w:hAnsiTheme="minorHAnsi" w:cstheme="minorHAnsi"/>
          <w:i/>
        </w:rPr>
        <w:t>(D</w:t>
      </w:r>
      <w:r w:rsidRPr="009E064B">
        <w:rPr>
          <w:rFonts w:asciiTheme="minorHAnsi" w:hAnsiTheme="minorHAnsi" w:cstheme="minorHAnsi"/>
          <w:i/>
        </w:rPr>
        <w:t>ecelerometer)</w:t>
      </w:r>
      <w:r w:rsidRPr="009E064B">
        <w:rPr>
          <w:rFonts w:asciiTheme="minorHAnsi" w:hAnsiTheme="minorHAnsi" w:cstheme="minorHAnsi"/>
        </w:rPr>
        <w:t xml:space="preserve"> (np. </w:t>
      </w:r>
      <w:r w:rsidRPr="009E064B">
        <w:rPr>
          <w:rFonts w:asciiTheme="minorHAnsi" w:hAnsiTheme="minorHAnsi" w:cstheme="minorHAnsi"/>
          <w:i/>
        </w:rPr>
        <w:t>Tapley Meter</w:t>
      </w:r>
      <w:r w:rsidRPr="009E064B">
        <w:rPr>
          <w:rFonts w:asciiTheme="minorHAnsi" w:hAnsiTheme="minorHAnsi" w:cstheme="minorHAnsi"/>
        </w:rPr>
        <w:t xml:space="preserve"> lub </w:t>
      </w:r>
      <w:r w:rsidRPr="009E064B">
        <w:rPr>
          <w:rFonts w:asciiTheme="minorHAnsi" w:hAnsiTheme="minorHAnsi" w:cstheme="minorHAnsi"/>
          <w:i/>
        </w:rPr>
        <w:t>Brakemeter-Dynometer</w:t>
      </w:r>
      <w:r w:rsidRPr="009E064B">
        <w:rPr>
          <w:rFonts w:asciiTheme="minorHAnsi" w:hAnsiTheme="minorHAnsi" w:cstheme="minorHAnsi"/>
        </w:rPr>
        <w:t>). Możliwe jest użytkowanie innych urządzeń pomiarowych pod warunkiem ustalenia zależności wyników pomiarów, z co najmniej jednym z powyższych urządzeń. Opóźnieniomierz nie powinien być używany w przypadku występowania luźnego śniegu lub błota pośniegowego, ponieważ jego wskazania mogą być błędne. Kombinacja pewnych zanieczyszczeń oraz temperatury powietrza/nawierzchni może również powodować błędne wskazania innych urządzeń pomiarowych.</w:t>
      </w:r>
    </w:p>
    <w:p w14:paraId="585EA090" w14:textId="79BFCE92" w:rsidR="00B0686B" w:rsidRPr="009E064B" w:rsidRDefault="00B0686B" w:rsidP="00133B99">
      <w:pPr>
        <w:pStyle w:val="Nagwek6"/>
      </w:pPr>
      <w:bookmarkStart w:id="511" w:name="_Toc492024679"/>
      <w:bookmarkStart w:id="512" w:name="_Toc12532779"/>
      <w:r w:rsidRPr="009E064B">
        <w:t xml:space="preserve">GM4 ADR.OPS.A.005(a)    </w:t>
      </w:r>
      <w:r w:rsidR="004002F9" w:rsidRPr="009E064B">
        <w:t xml:space="preserve"> </w:t>
      </w:r>
      <w:r w:rsidRPr="009E064B">
        <w:t>Dane dotyczące lotniska</w:t>
      </w:r>
      <w:bookmarkEnd w:id="511"/>
      <w:bookmarkEnd w:id="512"/>
    </w:p>
    <w:p w14:paraId="4142A754" w14:textId="7C8C7BB0"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51A1463" w14:textId="77777777" w:rsidR="00B0686B" w:rsidRPr="009E064B" w:rsidRDefault="00B0686B" w:rsidP="00B06A9A">
      <w:pPr>
        <w:rPr>
          <w:rFonts w:asciiTheme="minorHAnsi" w:hAnsiTheme="minorHAnsi" w:cstheme="minorHAnsi"/>
        </w:rPr>
      </w:pPr>
      <w:r w:rsidRPr="009E064B">
        <w:rPr>
          <w:rFonts w:asciiTheme="minorHAnsi" w:hAnsiTheme="minorHAnsi" w:cstheme="minorHAnsi"/>
        </w:rPr>
        <w:t>STREFY POKRYCIA DLA ZAPEWNIANIA DANYCH O TERENIE I PRZESZKODACH</w:t>
      </w:r>
    </w:p>
    <w:p w14:paraId="448CEFC2" w14:textId="77777777" w:rsidR="00B0686B" w:rsidRPr="009E064B" w:rsidRDefault="00B0686B" w:rsidP="00B06A9A">
      <w:pPr>
        <w:tabs>
          <w:tab w:val="left" w:pos="567"/>
        </w:tabs>
        <w:ind w:left="567" w:hanging="567"/>
        <w:rPr>
          <w:rFonts w:asciiTheme="minorHAnsi" w:hAnsiTheme="minorHAnsi" w:cstheme="minorHAnsi"/>
        </w:rPr>
      </w:pPr>
      <w:r w:rsidRPr="009E064B">
        <w:rPr>
          <w:rFonts w:asciiTheme="minorHAnsi" w:hAnsiTheme="minorHAnsi" w:cstheme="minorHAnsi"/>
        </w:rPr>
        <w:t xml:space="preserve">(a) </w:t>
      </w:r>
      <w:r w:rsidRPr="009E064B">
        <w:rPr>
          <w:rFonts w:asciiTheme="minorHAnsi" w:hAnsiTheme="minorHAnsi" w:cstheme="minorHAnsi"/>
        </w:rPr>
        <w:tab/>
        <w:t>Strefy pokrycia dla celów wprowadzania danych elektronicznych o terenie i przeszkodach powinny być określone jak poniżej:</w:t>
      </w:r>
    </w:p>
    <w:p w14:paraId="6DD6BE7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strefa 1: całe terytorium Państwa;</w:t>
      </w:r>
    </w:p>
    <w:p w14:paraId="6256B98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strefa 2: w obrębie otoczenia lotniska, podzielona w następujący sposób:</w:t>
      </w:r>
    </w:p>
    <w:p w14:paraId="341803C0"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strefa 2a: prostokątny obszar wokół drogi startowej, który zawiera pas drogi startowej wraz z jakimkolwiek istniejącym zabezpieczeniem wydłużonego startu;</w:t>
      </w:r>
    </w:p>
    <w:p w14:paraId="1854ADD3"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strefa 2b: obszar rozciągający się od końców strefy 2a w kierunku odlotu o długości 10 km i rozwarciu 15 procent w każdą stronę;</w:t>
      </w:r>
    </w:p>
    <w:p w14:paraId="039D3FAA"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strefa 2c: obszar rozciągający się poza strefę 2a i strefę 2b do odległości nie większej niż 10 km od granicy strefy 2a; oraz</w:t>
      </w:r>
    </w:p>
    <w:p w14:paraId="429FFF3A"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strefa 2d: poza strefami 2a, 2b i 2c do odległości 45 km od punktu odniesienia lotniska, lub do istniejącej granicy TMA, w zależności od tego, która jest bliższa.</w:t>
      </w:r>
    </w:p>
    <w:p w14:paraId="0F0F1CD4"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strefa 3: obszar graniczący z polem ruchu naziemnego lotniska, który rozciąga się poziomo od krawędzi drogi startowej do 90 m od linii środkowej drogi startowej i 50 m od krawędzi wszystkich innych części pola ruchu naziemnego lotniska;</w:t>
      </w:r>
    </w:p>
    <w:p w14:paraId="51D1B2C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strefa 4: obszar rozciągający się 900 m przed progiem drogi startowej i 60 m po każdej stronie przedłużenia linii środkowej drogi startowej w kierunku podejścia do drogi startowej z podejściem precyzyjnym, kategorii II lub III;</w:t>
      </w:r>
    </w:p>
    <w:p w14:paraId="74C54EBE" w14:textId="14DE6F96" w:rsidR="00B0686B" w:rsidRPr="009E064B" w:rsidRDefault="00B0686B" w:rsidP="00B06A9A">
      <w:pPr>
        <w:tabs>
          <w:tab w:val="left" w:pos="709"/>
        </w:tabs>
        <w:ind w:left="567" w:hanging="567"/>
        <w:rPr>
          <w:rFonts w:asciiTheme="minorHAnsi" w:hAnsiTheme="minorHAnsi" w:cstheme="minorHAnsi"/>
        </w:rPr>
      </w:pPr>
      <w:r w:rsidRPr="009E064B">
        <w:rPr>
          <w:rFonts w:asciiTheme="minorHAnsi" w:hAnsiTheme="minorHAnsi" w:cstheme="minorHAnsi"/>
        </w:rPr>
        <w:t xml:space="preserve">(b) </w:t>
      </w:r>
      <w:r w:rsidRPr="009E064B">
        <w:rPr>
          <w:rFonts w:asciiTheme="minorHAnsi" w:hAnsiTheme="minorHAnsi" w:cstheme="minorHAnsi"/>
        </w:rPr>
        <w:tab/>
        <w:t xml:space="preserve">Graficzne przedstawienie powierzchni terenu do zbierania danych o przeszkodach w </w:t>
      </w:r>
      <w:r w:rsidR="00512365" w:rsidRPr="009E064B">
        <w:rPr>
          <w:rFonts w:asciiTheme="minorHAnsi" w:hAnsiTheme="minorHAnsi" w:cstheme="minorHAnsi"/>
        </w:rPr>
        <w:t>strefach 1 i </w:t>
      </w:r>
      <w:r w:rsidRPr="009E064B">
        <w:rPr>
          <w:rFonts w:asciiTheme="minorHAnsi" w:hAnsiTheme="minorHAnsi" w:cstheme="minorHAnsi"/>
        </w:rPr>
        <w:t>2, pokazano na poniższym rysunku:</w:t>
      </w:r>
    </w:p>
    <w:p w14:paraId="2991B8CB"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612DB0C8" w14:textId="1FF449F6" w:rsidR="00B0686B" w:rsidRPr="009E064B" w:rsidRDefault="00047E95" w:rsidP="00047E95">
      <w:pPr>
        <w:ind w:left="709" w:right="281"/>
        <w:jc w:val="right"/>
        <w:rPr>
          <w:rFonts w:asciiTheme="minorHAnsi" w:hAnsiTheme="minorHAnsi" w:cstheme="minorHAnsi"/>
        </w:rPr>
      </w:pPr>
      <w:r w:rsidRPr="009E064B">
        <w:rPr>
          <w:noProof/>
          <w:lang w:eastAsia="pl-PL"/>
        </w:rPr>
        <w:drawing>
          <wp:inline distT="0" distB="0" distL="0" distR="0" wp14:anchorId="125D9E7A" wp14:editId="580DE40D">
            <wp:extent cx="5759450" cy="5721358"/>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9450" cy="5721358"/>
                    </a:xfrm>
                    <a:prstGeom prst="rect">
                      <a:avLst/>
                    </a:prstGeom>
                    <a:noFill/>
                    <a:ln>
                      <a:noFill/>
                    </a:ln>
                  </pic:spPr>
                </pic:pic>
              </a:graphicData>
            </a:graphic>
          </wp:inline>
        </w:drawing>
      </w:r>
    </w:p>
    <w:p w14:paraId="30E3D60E" w14:textId="2B4B79A2" w:rsidR="00B0686B" w:rsidRPr="002C4C40" w:rsidRDefault="00B0686B" w:rsidP="002C4C40">
      <w:pPr>
        <w:spacing w:after="0"/>
        <w:jc w:val="center"/>
        <w:rPr>
          <w:rFonts w:asciiTheme="minorHAnsi" w:hAnsiTheme="minorHAnsi" w:cstheme="minorHAnsi"/>
          <w:b/>
          <w:sz w:val="20"/>
        </w:rPr>
      </w:pPr>
      <w:r w:rsidRPr="002C4C40">
        <w:rPr>
          <w:rFonts w:asciiTheme="minorHAnsi" w:hAnsiTheme="minorHAnsi" w:cstheme="minorHAnsi"/>
          <w:b/>
          <w:sz w:val="20"/>
        </w:rPr>
        <w:t>Rysunek 1 – Powierzchnie, z których zbierane są dane o terenie ― strefa 1 i strefa 2</w:t>
      </w:r>
    </w:p>
    <w:p w14:paraId="64CAFB0D" w14:textId="77777777" w:rsidR="00B0686B" w:rsidRPr="009E064B" w:rsidRDefault="00B0686B" w:rsidP="00B06A9A">
      <w:pPr>
        <w:rPr>
          <w:rFonts w:asciiTheme="minorHAnsi" w:hAnsiTheme="minorHAnsi" w:cstheme="minorHAnsi"/>
        </w:rPr>
      </w:pPr>
    </w:p>
    <w:p w14:paraId="5A0E050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W obszarze o promieniu 10 km od ARP, dane o terenie powinny spełniać wymagania liczbowe dla strefy 2.</w:t>
      </w:r>
    </w:p>
    <w:p w14:paraId="66E2C4B0"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W obszarze między 10 km a granicą TMA lub w obszarze o promieniu 45 km od ARP (w zależności od tego, co jest mniejsze), dane o terenie, który przewyższa płaszczyznę poziomą na wysokości 120 m ponad najniższą wysokością drogi startowej, powinny spełniać wymagania liczbowe dla strefy 2.</w:t>
      </w:r>
    </w:p>
    <w:p w14:paraId="24A07F29" w14:textId="15B39523"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W obszarze między 10 km a granicą TMA lub w strefie o promieniu 45 km od ARP (w zależności od tego, co jest mniejsze), dane o terenie, który nie przewyższa płaszczyzny poziomej na wysokości 120 m ponad najniższą wysokością drogi startowej, powinny spełniać wymagania liczbowe dla strefy 1.</w:t>
      </w:r>
    </w:p>
    <w:p w14:paraId="3C3B1EF6"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(4) </w:t>
      </w:r>
      <w:r w:rsidRPr="009E064B">
        <w:rPr>
          <w:rFonts w:asciiTheme="minorHAnsi" w:hAnsiTheme="minorHAnsi" w:cstheme="minorHAnsi"/>
        </w:rPr>
        <w:tab/>
        <w:t>W tych częściach strefy 2, gdzie wykonywanie lotów jest zabronione z powodu bardzo wysokiego terenu lub innych lokalnych ograniczeń i/lub przepisów, dane o terenie powinny spełniać wymagania liczbowe dla strefy 1.</w:t>
      </w:r>
    </w:p>
    <w:p w14:paraId="431F9FC1" w14:textId="77777777" w:rsidR="00B0686B" w:rsidRPr="009E064B" w:rsidRDefault="00B0686B" w:rsidP="00512365">
      <w:pPr>
        <w:tabs>
          <w:tab w:val="left" w:pos="709"/>
        </w:tabs>
        <w:spacing w:after="360"/>
        <w:ind w:left="567" w:hanging="567"/>
        <w:rPr>
          <w:rFonts w:asciiTheme="minorHAnsi" w:hAnsiTheme="minorHAnsi" w:cstheme="minorHAnsi"/>
        </w:rPr>
      </w:pPr>
      <w:r w:rsidRPr="009E064B">
        <w:rPr>
          <w:rFonts w:asciiTheme="minorHAnsi" w:hAnsiTheme="minorHAnsi" w:cstheme="minorHAnsi"/>
        </w:rPr>
        <w:t xml:space="preserve">(c) </w:t>
      </w:r>
      <w:r w:rsidRPr="009E064B">
        <w:rPr>
          <w:rFonts w:asciiTheme="minorHAnsi" w:hAnsiTheme="minorHAnsi" w:cstheme="minorHAnsi"/>
        </w:rPr>
        <w:tab/>
        <w:t>Graficzne przedstawienie powierzchni terenu do zbierania danych o przeszkodach w strefach 1 i 2, pokazano na poniższym rysunku:</w:t>
      </w:r>
    </w:p>
    <w:p w14:paraId="2F408788" w14:textId="5B944C0C" w:rsidR="00B0686B" w:rsidRPr="009E064B" w:rsidRDefault="00047E95" w:rsidP="00096164">
      <w:pPr>
        <w:jc w:val="right"/>
        <w:rPr>
          <w:rFonts w:asciiTheme="minorHAnsi" w:hAnsiTheme="minorHAnsi" w:cstheme="minorHAnsi"/>
        </w:rPr>
      </w:pPr>
      <w:r w:rsidRPr="009E064B">
        <w:rPr>
          <w:rFonts w:asciiTheme="minorHAnsi" w:hAnsiTheme="minorHAnsi" w:cstheme="minorHAnsi"/>
          <w:noProof/>
          <w:lang w:eastAsia="pl-PL"/>
        </w:rPr>
        <w:drawing>
          <wp:inline distT="0" distB="0" distL="0" distR="0" wp14:anchorId="4B129C3F" wp14:editId="27F2A98E">
            <wp:extent cx="5541645" cy="7132955"/>
            <wp:effectExtent l="0" t="0" r="190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41645" cy="7132955"/>
                    </a:xfrm>
                    <a:prstGeom prst="rect">
                      <a:avLst/>
                    </a:prstGeom>
                    <a:noFill/>
                  </pic:spPr>
                </pic:pic>
              </a:graphicData>
            </a:graphic>
          </wp:inline>
        </w:drawing>
      </w:r>
    </w:p>
    <w:p w14:paraId="599C2CC5" w14:textId="77777777" w:rsidR="00B0686B" w:rsidRPr="009E064B" w:rsidRDefault="00B0686B" w:rsidP="00613B6E">
      <w:pPr>
        <w:spacing w:after="0"/>
        <w:jc w:val="center"/>
        <w:rPr>
          <w:rFonts w:asciiTheme="minorHAnsi" w:hAnsiTheme="minorHAnsi" w:cstheme="minorHAnsi"/>
        </w:rPr>
      </w:pPr>
    </w:p>
    <w:p w14:paraId="576E5C87" w14:textId="41DF296C" w:rsidR="00047E95" w:rsidRPr="002C4C40" w:rsidRDefault="00B0686B" w:rsidP="002C4C40">
      <w:pPr>
        <w:spacing w:after="0"/>
        <w:jc w:val="center"/>
        <w:rPr>
          <w:rFonts w:asciiTheme="minorHAnsi" w:hAnsiTheme="minorHAnsi" w:cstheme="minorHAnsi"/>
          <w:b/>
          <w:sz w:val="20"/>
        </w:rPr>
      </w:pPr>
      <w:r w:rsidRPr="002C4C40">
        <w:rPr>
          <w:rFonts w:asciiTheme="minorHAnsi" w:hAnsiTheme="minorHAnsi" w:cstheme="minorHAnsi"/>
          <w:b/>
          <w:sz w:val="20"/>
        </w:rPr>
        <w:t>Rysunek 2 – Powierzchnie, z których zbierane są dane o przeszkodach ― strefa 1 i strefa 2</w:t>
      </w:r>
    </w:p>
    <w:p w14:paraId="2944F80A" w14:textId="77777777" w:rsidR="00047E95" w:rsidRPr="009E064B" w:rsidRDefault="00047E95">
      <w:pPr>
        <w:spacing w:after="0"/>
        <w:jc w:val="left"/>
        <w:rPr>
          <w:rFonts w:asciiTheme="minorHAnsi" w:hAnsiTheme="minorHAnsi" w:cstheme="minorHAnsi"/>
        </w:rPr>
      </w:pPr>
      <w:r w:rsidRPr="009E064B">
        <w:rPr>
          <w:rFonts w:asciiTheme="minorHAnsi" w:hAnsiTheme="minorHAnsi" w:cstheme="minorHAnsi"/>
        </w:rPr>
        <w:br w:type="page"/>
      </w:r>
    </w:p>
    <w:p w14:paraId="2AEEF7AD"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Dane o przeszkodach powinny być zbierane i rejestrowane zgodnie z wymaganiami liczbowymi dla strefy 2;</w:t>
      </w:r>
    </w:p>
    <w:p w14:paraId="2CA06524" w14:textId="282BB9D0"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 </w:t>
      </w:r>
      <w:r w:rsidRPr="009E064B">
        <w:rPr>
          <w:rFonts w:asciiTheme="minorHAnsi" w:hAnsiTheme="minorHAnsi" w:cstheme="minorHAnsi"/>
        </w:rPr>
        <w:tab/>
        <w:t>Powierzchnia zbierania przeszkód dla st</w:t>
      </w:r>
      <w:r w:rsidR="00E140D8" w:rsidRPr="009E064B">
        <w:rPr>
          <w:rFonts w:asciiTheme="minorHAnsi" w:hAnsiTheme="minorHAnsi" w:cstheme="minorHAnsi"/>
        </w:rPr>
        <w:t>refy 2a powinna mieć wysokość 3 </w:t>
      </w:r>
      <w:r w:rsidRPr="009E064B">
        <w:rPr>
          <w:rFonts w:asciiTheme="minorHAnsi" w:hAnsiTheme="minorHAnsi" w:cstheme="minorHAnsi"/>
        </w:rPr>
        <w:t>m nad najbliższą wysokością drogi startowej mierzoną wzdłuż linii środkowej drogi startowej, a dla tych części odnoszących się do zabezpieczenia wydłużonego startu, jeśli takie istnieje, nad wysokością najbliższego końca drogi startowej;</w:t>
      </w:r>
    </w:p>
    <w:p w14:paraId="2054DFE2" w14:textId="7952604E"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 </w:t>
      </w:r>
      <w:r w:rsidRPr="009E064B">
        <w:rPr>
          <w:rFonts w:asciiTheme="minorHAnsi" w:hAnsiTheme="minorHAnsi" w:cstheme="minorHAnsi"/>
        </w:rPr>
        <w:tab/>
        <w:t>Powierzchnia zbierania przeszkód dla strefy 2b ma nachylenie 1,2%, rozciągające się od końców strefy 2a na wysokości końca drogi</w:t>
      </w:r>
      <w:r w:rsidR="00512365" w:rsidRPr="009E064B">
        <w:rPr>
          <w:rFonts w:asciiTheme="minorHAnsi" w:hAnsiTheme="minorHAnsi" w:cstheme="minorHAnsi"/>
        </w:rPr>
        <w:t xml:space="preserve"> startowej w kierunku odlotu, o </w:t>
      </w:r>
      <w:r w:rsidRPr="009E064B">
        <w:rPr>
          <w:rFonts w:asciiTheme="minorHAnsi" w:hAnsiTheme="minorHAnsi" w:cstheme="minorHAnsi"/>
        </w:rPr>
        <w:t>długości 10 km oraz 15% rozwarciu w każdą stronę;</w:t>
      </w:r>
    </w:p>
    <w:p w14:paraId="731DB7B7" w14:textId="77777777"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(iii) </w:t>
      </w:r>
      <w:r w:rsidRPr="009E064B">
        <w:rPr>
          <w:rFonts w:asciiTheme="minorHAnsi" w:hAnsiTheme="minorHAnsi" w:cstheme="minorHAnsi"/>
        </w:rPr>
        <w:tab/>
        <w:t>Powierzchnia zbierania przeszkód dla strefy 2c ma nachylenie 1,2%, rozciągające się poza strefę 2a i strefę 2b na odległość nie większą niż 10 km od granicy strefy 2a. Początkowa wysokość strefy 2c powinna być wysokością punktu strefy 2a, przy której się rozpoczyna; oraz</w:t>
      </w:r>
    </w:p>
    <w:p w14:paraId="561DE6C8" w14:textId="1FE2FF49" w:rsidR="00B0686B" w:rsidRPr="009E064B" w:rsidRDefault="00B0686B" w:rsidP="00B06A9A">
      <w:pPr>
        <w:tabs>
          <w:tab w:val="left" w:pos="1701"/>
        </w:tabs>
        <w:ind w:left="1701" w:hanging="567"/>
        <w:rPr>
          <w:rFonts w:asciiTheme="minorHAnsi" w:hAnsiTheme="minorHAnsi" w:cstheme="minorHAnsi"/>
        </w:rPr>
      </w:pPr>
      <w:r w:rsidRPr="009E064B">
        <w:rPr>
          <w:rFonts w:asciiTheme="minorHAnsi" w:hAnsiTheme="minorHAnsi" w:cstheme="minorHAnsi"/>
        </w:rPr>
        <w:t xml:space="preserve">(iv) </w:t>
      </w:r>
      <w:r w:rsidRPr="009E064B">
        <w:rPr>
          <w:rFonts w:asciiTheme="minorHAnsi" w:hAnsiTheme="minorHAnsi" w:cstheme="minorHAnsi"/>
        </w:rPr>
        <w:tab/>
        <w:t>Powierzchnia zbierania przeszkó</w:t>
      </w:r>
      <w:r w:rsidR="00E140D8" w:rsidRPr="009E064B">
        <w:rPr>
          <w:rFonts w:asciiTheme="minorHAnsi" w:hAnsiTheme="minorHAnsi" w:cstheme="minorHAnsi"/>
        </w:rPr>
        <w:t>d dla strefy 2d ma wysokość 100 </w:t>
      </w:r>
      <w:r w:rsidRPr="009E064B">
        <w:rPr>
          <w:rFonts w:asciiTheme="minorHAnsi" w:hAnsiTheme="minorHAnsi" w:cstheme="minorHAnsi"/>
        </w:rPr>
        <w:t xml:space="preserve">m nad powierzchnią terenu. </w:t>
      </w:r>
    </w:p>
    <w:p w14:paraId="542B77DF"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W tych częściach strefy 2, gdzie operacje lotnicze są zakazane ze względu na bardzo wysoki teren lub inne lokalne ograniczenia i/lub przepisy, dane o przeszkodach powinny być zbierane i rejestrowane zgodnie z wymaganiami dla strefy1;</w:t>
      </w:r>
    </w:p>
    <w:p w14:paraId="22A29176" w14:textId="1431415F"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Dane dotyczące każde</w:t>
      </w:r>
      <w:r w:rsidR="000E0B48" w:rsidRPr="009E064B">
        <w:rPr>
          <w:rFonts w:asciiTheme="minorHAnsi" w:hAnsiTheme="minorHAnsi" w:cstheme="minorHAnsi"/>
        </w:rPr>
        <w:t>j przeszkody w granicach strefy </w:t>
      </w:r>
      <w:r w:rsidRPr="009E064B">
        <w:rPr>
          <w:rFonts w:asciiTheme="minorHAnsi" w:hAnsiTheme="minorHAnsi" w:cstheme="minorHAnsi"/>
        </w:rPr>
        <w:t>1, której wysokość nad powierzchnią teren</w:t>
      </w:r>
      <w:r w:rsidR="000E0B48" w:rsidRPr="009E064B">
        <w:rPr>
          <w:rFonts w:asciiTheme="minorHAnsi" w:hAnsiTheme="minorHAnsi" w:cstheme="minorHAnsi"/>
        </w:rPr>
        <w:t>u wynosi 100 </w:t>
      </w:r>
      <w:r w:rsidRPr="009E064B">
        <w:rPr>
          <w:rFonts w:asciiTheme="minorHAnsi" w:hAnsiTheme="minorHAnsi" w:cstheme="minorHAnsi"/>
        </w:rPr>
        <w:t xml:space="preserve">m lub więcej powinny być zbierane i rejestrowane w bazie danych zgodnie z wymaganiami liczbowymi dla strefy 1 podanymi w </w:t>
      </w:r>
      <w:r w:rsidR="00F36957" w:rsidRPr="009E064B">
        <w:rPr>
          <w:rFonts w:asciiTheme="minorHAnsi" w:hAnsiTheme="minorHAnsi" w:cstheme="minorHAnsi"/>
        </w:rPr>
        <w:t>Tabeli</w:t>
      </w:r>
      <w:r w:rsidRPr="009E064B">
        <w:rPr>
          <w:rFonts w:asciiTheme="minorHAnsi" w:hAnsiTheme="minorHAnsi" w:cstheme="minorHAnsi"/>
        </w:rPr>
        <w:t xml:space="preserve"> 2.</w:t>
      </w:r>
    </w:p>
    <w:p w14:paraId="51B3217A" w14:textId="09AA6BCC" w:rsidR="00B0686B" w:rsidRPr="009E064B" w:rsidRDefault="00B0686B" w:rsidP="00B06A9A">
      <w:pPr>
        <w:tabs>
          <w:tab w:val="left" w:pos="709"/>
        </w:tabs>
        <w:ind w:left="709" w:hanging="709"/>
        <w:rPr>
          <w:rFonts w:asciiTheme="minorHAnsi" w:hAnsiTheme="minorHAnsi" w:cstheme="minorHAnsi"/>
        </w:rPr>
      </w:pPr>
      <w:r w:rsidRPr="009E064B">
        <w:rPr>
          <w:rFonts w:asciiTheme="minorHAnsi" w:hAnsiTheme="minorHAnsi" w:cstheme="minorHAnsi"/>
        </w:rPr>
        <w:t xml:space="preserve">(d) </w:t>
      </w:r>
      <w:r w:rsidRPr="009E064B">
        <w:rPr>
          <w:rFonts w:asciiTheme="minorHAnsi" w:hAnsiTheme="minorHAnsi" w:cstheme="minorHAnsi"/>
        </w:rPr>
        <w:tab/>
        <w:t>Graficzne przedstawienie powierzchni do zbierania danych o t</w:t>
      </w:r>
      <w:r w:rsidR="000E0B48" w:rsidRPr="009E064B">
        <w:rPr>
          <w:rFonts w:asciiTheme="minorHAnsi" w:hAnsiTheme="minorHAnsi" w:cstheme="minorHAnsi"/>
        </w:rPr>
        <w:t>erenie i przeszkodach w strefie </w:t>
      </w:r>
      <w:r w:rsidRPr="009E064B">
        <w:rPr>
          <w:rFonts w:asciiTheme="minorHAnsi" w:hAnsiTheme="minorHAnsi" w:cstheme="minorHAnsi"/>
        </w:rPr>
        <w:t>3, pokazano na poniższym rysunku:</w:t>
      </w:r>
    </w:p>
    <w:p w14:paraId="60181558" w14:textId="77777777" w:rsidR="00B0686B" w:rsidRPr="009E064B" w:rsidRDefault="00B0686B" w:rsidP="00B06A9A">
      <w:pPr>
        <w:rPr>
          <w:rFonts w:asciiTheme="minorHAnsi" w:hAnsiTheme="minorHAnsi" w:cstheme="minorHAnsi"/>
        </w:rPr>
      </w:pPr>
    </w:p>
    <w:p w14:paraId="16F7AA83" w14:textId="77777777" w:rsidR="00B0686B" w:rsidRPr="009E064B" w:rsidRDefault="00B0686B" w:rsidP="00B06A9A">
      <w:pPr>
        <w:jc w:val="left"/>
        <w:rPr>
          <w:rFonts w:asciiTheme="minorHAnsi" w:hAnsiTheme="minorHAnsi" w:cstheme="minorHAnsi"/>
        </w:rPr>
      </w:pPr>
      <w:r w:rsidRPr="009E064B">
        <w:rPr>
          <w:rFonts w:asciiTheme="minorHAnsi" w:hAnsiTheme="minorHAnsi" w:cstheme="minorHAnsi"/>
        </w:rPr>
        <w:br w:type="page"/>
      </w:r>
    </w:p>
    <w:p w14:paraId="36551964" w14:textId="36B4EC11" w:rsidR="00B0686B" w:rsidRPr="009E064B" w:rsidRDefault="00047E95" w:rsidP="00096164">
      <w:pPr>
        <w:ind w:right="281"/>
        <w:jc w:val="right"/>
        <w:rPr>
          <w:rFonts w:asciiTheme="minorHAnsi" w:hAnsiTheme="minorHAnsi" w:cstheme="minorHAnsi"/>
        </w:rPr>
      </w:pPr>
      <w:r w:rsidRPr="009E064B">
        <w:rPr>
          <w:rFonts w:asciiTheme="minorHAnsi" w:hAnsiTheme="minorHAnsi" w:cstheme="minorHAnsi"/>
          <w:noProof/>
          <w:lang w:eastAsia="pl-PL"/>
        </w:rPr>
        <w:drawing>
          <wp:inline distT="0" distB="0" distL="0" distR="0" wp14:anchorId="6E30A7DF" wp14:editId="235F7678">
            <wp:extent cx="4919980" cy="7273290"/>
            <wp:effectExtent l="0" t="0" r="0" b="381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9980" cy="7273290"/>
                    </a:xfrm>
                    <a:prstGeom prst="rect">
                      <a:avLst/>
                    </a:prstGeom>
                    <a:noFill/>
                  </pic:spPr>
                </pic:pic>
              </a:graphicData>
            </a:graphic>
          </wp:inline>
        </w:drawing>
      </w:r>
    </w:p>
    <w:p w14:paraId="79BBD4D6" w14:textId="77777777" w:rsidR="00B0686B" w:rsidRPr="009E064B" w:rsidRDefault="00B0686B" w:rsidP="00B06A9A">
      <w:pPr>
        <w:spacing w:after="0"/>
        <w:jc w:val="center"/>
        <w:rPr>
          <w:rFonts w:asciiTheme="minorHAnsi" w:hAnsiTheme="minorHAnsi" w:cstheme="minorHAnsi"/>
        </w:rPr>
      </w:pPr>
    </w:p>
    <w:p w14:paraId="35E108D5" w14:textId="14BB2935" w:rsidR="00B0686B" w:rsidRP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Rysunek 3 – Powierzchnia zbierania danych o terenie i przeszkodach ― strefa 3</w:t>
      </w:r>
    </w:p>
    <w:p w14:paraId="6B28A454" w14:textId="77777777" w:rsidR="00613B6E" w:rsidRPr="009E064B" w:rsidRDefault="00613B6E" w:rsidP="00B06A9A">
      <w:pPr>
        <w:jc w:val="center"/>
        <w:rPr>
          <w:rFonts w:asciiTheme="minorHAnsi" w:hAnsiTheme="minorHAnsi" w:cstheme="minorHAnsi"/>
        </w:rPr>
      </w:pPr>
    </w:p>
    <w:p w14:paraId="082E0F05"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 xml:space="preserve">Powierzchnia zbierania danych o terenie i przeszkodach rozciąga się pół metra (0,5 m) </w:t>
      </w:r>
      <w:r w:rsidRPr="009E064B">
        <w:rPr>
          <w:rFonts w:asciiTheme="minorHAnsi" w:hAnsiTheme="minorHAnsi" w:cstheme="minorHAnsi"/>
        </w:rPr>
        <w:br/>
        <w:t>powyżej płaszczyzny poziomej przechodzącej przez najbliższy punkt na polu manewrowym lotniska;</w:t>
      </w:r>
    </w:p>
    <w:p w14:paraId="6A02E5D7" w14:textId="3C9AD292"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 xml:space="preserve">Dane o terenie i przeszkodach w strefie 3 powinny spełniać wymagania liczbowe określone, odpowiednio, w </w:t>
      </w:r>
      <w:r w:rsidR="00F36957" w:rsidRPr="009E064B">
        <w:rPr>
          <w:rFonts w:asciiTheme="minorHAnsi" w:hAnsiTheme="minorHAnsi" w:cstheme="minorHAnsi"/>
        </w:rPr>
        <w:t>Tabela</w:t>
      </w:r>
      <w:r w:rsidRPr="009E064B">
        <w:rPr>
          <w:rFonts w:asciiTheme="minorHAnsi" w:hAnsiTheme="minorHAnsi" w:cstheme="minorHAnsi"/>
        </w:rPr>
        <w:t>ch 1 i 2,</w:t>
      </w:r>
    </w:p>
    <w:p w14:paraId="0C385DB3" w14:textId="76CFEC53" w:rsidR="00B0686B" w:rsidRPr="009E064B" w:rsidRDefault="00B0686B" w:rsidP="00B06A9A">
      <w:pPr>
        <w:tabs>
          <w:tab w:val="left" w:pos="709"/>
        </w:tabs>
        <w:ind w:left="567" w:hanging="567"/>
        <w:rPr>
          <w:rFonts w:asciiTheme="minorHAnsi" w:hAnsiTheme="minorHAnsi" w:cstheme="minorHAnsi"/>
        </w:rPr>
      </w:pPr>
      <w:r w:rsidRPr="009E064B">
        <w:rPr>
          <w:rFonts w:asciiTheme="minorHAnsi" w:hAnsiTheme="minorHAnsi" w:cstheme="minorHAnsi"/>
        </w:rPr>
        <w:t xml:space="preserve">(e) </w:t>
      </w:r>
      <w:r w:rsidRPr="009E064B">
        <w:rPr>
          <w:rFonts w:asciiTheme="minorHAnsi" w:hAnsiTheme="minorHAnsi" w:cstheme="minorHAnsi"/>
        </w:rPr>
        <w:tab/>
        <w:t>Graficzne przedstawienie powierzchni do zbierania danych o przeszkodach w strefie 4, pokazano na poniższym rysunku:</w:t>
      </w:r>
    </w:p>
    <w:p w14:paraId="21AA1A26" w14:textId="77777777" w:rsidR="00047E95" w:rsidRPr="009E064B" w:rsidRDefault="00047E95" w:rsidP="00047E95">
      <w:pPr>
        <w:tabs>
          <w:tab w:val="left" w:pos="709"/>
        </w:tabs>
        <w:spacing w:after="0"/>
        <w:ind w:left="567" w:hanging="567"/>
        <w:rPr>
          <w:rFonts w:asciiTheme="minorHAnsi" w:hAnsiTheme="minorHAnsi" w:cstheme="minorHAnsi"/>
        </w:rPr>
      </w:pPr>
    </w:p>
    <w:p w14:paraId="696F416A" w14:textId="3A217717" w:rsidR="00B0686B" w:rsidRPr="009E064B" w:rsidRDefault="00047E95" w:rsidP="00613B6E">
      <w:pPr>
        <w:tabs>
          <w:tab w:val="left" w:pos="709"/>
        </w:tabs>
        <w:ind w:left="567" w:hanging="567"/>
        <w:jc w:val="center"/>
        <w:rPr>
          <w:rFonts w:asciiTheme="minorHAnsi" w:hAnsiTheme="minorHAnsi" w:cstheme="minorHAnsi"/>
        </w:rPr>
      </w:pPr>
      <w:r w:rsidRPr="009E064B">
        <w:rPr>
          <w:rFonts w:asciiTheme="minorHAnsi" w:hAnsiTheme="minorHAnsi" w:cstheme="minorHAnsi"/>
          <w:noProof/>
          <w:lang w:eastAsia="pl-PL"/>
        </w:rPr>
        <w:drawing>
          <wp:inline distT="0" distB="0" distL="0" distR="0" wp14:anchorId="5F391ABB" wp14:editId="205090D1">
            <wp:extent cx="5279390" cy="707199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9390" cy="7071995"/>
                    </a:xfrm>
                    <a:prstGeom prst="rect">
                      <a:avLst/>
                    </a:prstGeom>
                    <a:noFill/>
                  </pic:spPr>
                </pic:pic>
              </a:graphicData>
            </a:graphic>
          </wp:inline>
        </w:drawing>
      </w:r>
    </w:p>
    <w:p w14:paraId="267572B7" w14:textId="4DDC3DA3" w:rsidR="00B0686B" w:rsidRPr="009E064B" w:rsidRDefault="00B0686B" w:rsidP="00047E95">
      <w:pPr>
        <w:tabs>
          <w:tab w:val="left" w:pos="709"/>
        </w:tabs>
        <w:spacing w:after="0"/>
        <w:ind w:left="567" w:right="284" w:hanging="567"/>
        <w:jc w:val="right"/>
        <w:rPr>
          <w:rFonts w:asciiTheme="minorHAnsi" w:hAnsiTheme="minorHAnsi" w:cstheme="minorHAnsi"/>
        </w:rPr>
      </w:pPr>
    </w:p>
    <w:p w14:paraId="4E70EA2B" w14:textId="158191A4" w:rsidR="00047E95" w:rsidRP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Rysunek 4 - Powierzchnia zbierania danych o terenie i przeszkodach – strefa 4</w:t>
      </w:r>
      <w:r w:rsidR="00047E95" w:rsidRPr="002C4C40">
        <w:rPr>
          <w:rFonts w:asciiTheme="minorHAnsi" w:hAnsiTheme="minorHAnsi" w:cstheme="minorHAnsi"/>
          <w:b/>
          <w:sz w:val="20"/>
        </w:rPr>
        <w:br w:type="page"/>
      </w:r>
    </w:p>
    <w:p w14:paraId="7714899F" w14:textId="77777777" w:rsidR="00613B6E" w:rsidRPr="009E064B" w:rsidRDefault="00613B6E" w:rsidP="00047E95">
      <w:pPr>
        <w:spacing w:after="0"/>
        <w:jc w:val="center"/>
        <w:rPr>
          <w:rFonts w:asciiTheme="minorHAnsi" w:hAnsiTheme="minorHAnsi" w:cstheme="minorHAnsi"/>
        </w:rPr>
      </w:pPr>
    </w:p>
    <w:p w14:paraId="225EE603" w14:textId="35AB22F9"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(1) </w:t>
      </w:r>
      <w:r w:rsidRPr="009E064B">
        <w:rPr>
          <w:rFonts w:asciiTheme="minorHAnsi" w:hAnsiTheme="minorHAnsi" w:cstheme="minorHAnsi"/>
        </w:rPr>
        <w:tab/>
        <w:t xml:space="preserve">Dane o terenie w strefie 4 powinny spełniać wymagania liczbowe określone w </w:t>
      </w:r>
      <w:r w:rsidR="00F36957" w:rsidRPr="009E064B">
        <w:rPr>
          <w:rFonts w:asciiTheme="minorHAnsi" w:hAnsiTheme="minorHAnsi" w:cstheme="minorHAnsi"/>
        </w:rPr>
        <w:t>Tabeli</w:t>
      </w:r>
      <w:r w:rsidRPr="009E064B">
        <w:rPr>
          <w:rFonts w:asciiTheme="minorHAnsi" w:hAnsiTheme="minorHAnsi" w:cstheme="minorHAnsi"/>
        </w:rPr>
        <w:t xml:space="preserve"> 1;</w:t>
      </w:r>
    </w:p>
    <w:p w14:paraId="2DAAD41D" w14:textId="7D591D82"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(2) </w:t>
      </w:r>
      <w:r w:rsidRPr="009E064B">
        <w:rPr>
          <w:rFonts w:asciiTheme="minorHAnsi" w:hAnsiTheme="minorHAnsi" w:cstheme="minorHAnsi"/>
        </w:rPr>
        <w:tab/>
        <w:t>Poziomy zakres strefy 2 obejmuje strefę 4. Bardziej szczegółowe dane o przeszkodach mogą być zbierane w strefie 4, zgodnie wy</w:t>
      </w:r>
      <w:r w:rsidR="00047E95" w:rsidRPr="009E064B">
        <w:rPr>
          <w:rFonts w:asciiTheme="minorHAnsi" w:hAnsiTheme="minorHAnsi" w:cstheme="minorHAnsi"/>
        </w:rPr>
        <w:t>maganiami liczbowymi dla strefy </w:t>
      </w:r>
      <w:r w:rsidRPr="009E064B">
        <w:rPr>
          <w:rFonts w:asciiTheme="minorHAnsi" w:hAnsiTheme="minorHAnsi" w:cstheme="minorHAnsi"/>
        </w:rPr>
        <w:t xml:space="preserve">4 określonymi w </w:t>
      </w:r>
      <w:r w:rsidR="00F36957" w:rsidRPr="009E064B">
        <w:rPr>
          <w:rFonts w:asciiTheme="minorHAnsi" w:hAnsiTheme="minorHAnsi" w:cstheme="minorHAnsi"/>
        </w:rPr>
        <w:t>Tabeli</w:t>
      </w:r>
      <w:r w:rsidRPr="009E064B">
        <w:rPr>
          <w:rFonts w:asciiTheme="minorHAnsi" w:hAnsiTheme="minorHAnsi" w:cstheme="minorHAnsi"/>
        </w:rPr>
        <w:t xml:space="preserve"> 2;</w:t>
      </w:r>
    </w:p>
    <w:p w14:paraId="0D9819E8" w14:textId="77777777" w:rsidR="00B0686B" w:rsidRPr="009E064B" w:rsidRDefault="00B0686B" w:rsidP="00B06A9A">
      <w:pPr>
        <w:tabs>
          <w:tab w:val="left" w:pos="1134"/>
        </w:tabs>
        <w:ind w:left="1134" w:hanging="567"/>
        <w:rPr>
          <w:rFonts w:asciiTheme="minorHAnsi" w:hAnsiTheme="minorHAnsi" w:cstheme="minorHAnsi"/>
        </w:rPr>
      </w:pPr>
      <w:r w:rsidRPr="009E064B">
        <w:rPr>
          <w:rFonts w:asciiTheme="minorHAnsi" w:hAnsiTheme="minorHAnsi" w:cstheme="minorHAnsi"/>
        </w:rPr>
        <w:t xml:space="preserve">(3) </w:t>
      </w:r>
      <w:r w:rsidRPr="009E064B">
        <w:rPr>
          <w:rFonts w:asciiTheme="minorHAnsi" w:hAnsiTheme="minorHAnsi" w:cstheme="minorHAnsi"/>
        </w:rPr>
        <w:tab/>
        <w:t>W przypadku, gdy teren w odległości większej niż 900 m (3000 ft) od progu drogi startowej jest górzysty lub w inny sposób znaczący, długość strefy 4 powinna być przedłużona do odległości nieprzekraczającej 2000 m (6500 ft) od progu drogi startowej.</w:t>
      </w:r>
    </w:p>
    <w:p w14:paraId="1F2683B1" w14:textId="77777777" w:rsidR="00B0686B" w:rsidRPr="009E064B" w:rsidRDefault="00B0686B" w:rsidP="00B06A9A">
      <w:pPr>
        <w:tabs>
          <w:tab w:val="left" w:pos="1134"/>
        </w:tabs>
        <w:ind w:left="1134" w:hanging="567"/>
        <w:rPr>
          <w:rFonts w:asciiTheme="minorHAnsi" w:hAnsiTheme="minorHAnsi" w:cstheme="minorHAnsi"/>
        </w:rPr>
      </w:pPr>
    </w:p>
    <w:tbl>
      <w:tblPr>
        <w:tblW w:w="4674"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0A0" w:firstRow="1" w:lastRow="0" w:firstColumn="1" w:lastColumn="0" w:noHBand="0" w:noVBand="0"/>
      </w:tblPr>
      <w:tblGrid>
        <w:gridCol w:w="2701"/>
        <w:gridCol w:w="1485"/>
        <w:gridCol w:w="1484"/>
        <w:gridCol w:w="1484"/>
        <w:gridCol w:w="1484"/>
      </w:tblGrid>
      <w:tr w:rsidR="00B0686B" w:rsidRPr="009E064B" w14:paraId="0335FE65" w14:textId="77777777" w:rsidTr="00FD01A6">
        <w:trPr>
          <w:jc w:val="right"/>
        </w:trPr>
        <w:tc>
          <w:tcPr>
            <w:tcW w:w="1563" w:type="pct"/>
            <w:tcMar>
              <w:top w:w="113" w:type="dxa"/>
              <w:left w:w="85" w:type="dxa"/>
              <w:bottom w:w="113" w:type="dxa"/>
              <w:right w:w="85" w:type="dxa"/>
            </w:tcMar>
            <w:vAlign w:val="center"/>
          </w:tcPr>
          <w:p w14:paraId="2396EFCD" w14:textId="77777777" w:rsidR="00B0686B" w:rsidRPr="009E064B" w:rsidRDefault="00B0686B" w:rsidP="00FD01A6">
            <w:pPr>
              <w:spacing w:after="0"/>
              <w:rPr>
                <w:rFonts w:asciiTheme="minorHAnsi" w:hAnsiTheme="minorHAnsi" w:cstheme="minorHAnsi"/>
              </w:rPr>
            </w:pPr>
          </w:p>
        </w:tc>
        <w:tc>
          <w:tcPr>
            <w:tcW w:w="859" w:type="pct"/>
            <w:tcMar>
              <w:top w:w="113" w:type="dxa"/>
              <w:left w:w="85" w:type="dxa"/>
              <w:bottom w:w="113" w:type="dxa"/>
              <w:right w:w="85" w:type="dxa"/>
            </w:tcMar>
            <w:vAlign w:val="center"/>
          </w:tcPr>
          <w:p w14:paraId="707A3E6C"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1</w:t>
            </w:r>
          </w:p>
        </w:tc>
        <w:tc>
          <w:tcPr>
            <w:tcW w:w="859" w:type="pct"/>
            <w:tcMar>
              <w:top w:w="113" w:type="dxa"/>
              <w:left w:w="85" w:type="dxa"/>
              <w:bottom w:w="113" w:type="dxa"/>
              <w:right w:w="85" w:type="dxa"/>
            </w:tcMar>
            <w:vAlign w:val="center"/>
          </w:tcPr>
          <w:p w14:paraId="1CB9A2DB"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2</w:t>
            </w:r>
          </w:p>
        </w:tc>
        <w:tc>
          <w:tcPr>
            <w:tcW w:w="859" w:type="pct"/>
            <w:tcMar>
              <w:top w:w="113" w:type="dxa"/>
              <w:left w:w="85" w:type="dxa"/>
              <w:bottom w:w="113" w:type="dxa"/>
              <w:right w:w="85" w:type="dxa"/>
            </w:tcMar>
            <w:vAlign w:val="center"/>
          </w:tcPr>
          <w:p w14:paraId="18A97B83"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3</w:t>
            </w:r>
          </w:p>
        </w:tc>
        <w:tc>
          <w:tcPr>
            <w:tcW w:w="859" w:type="pct"/>
            <w:tcMar>
              <w:top w:w="113" w:type="dxa"/>
              <w:left w:w="85" w:type="dxa"/>
              <w:bottom w:w="113" w:type="dxa"/>
              <w:right w:w="85" w:type="dxa"/>
            </w:tcMar>
            <w:vAlign w:val="center"/>
          </w:tcPr>
          <w:p w14:paraId="38F3FCCC"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4</w:t>
            </w:r>
          </w:p>
        </w:tc>
      </w:tr>
      <w:tr w:rsidR="00B0686B" w:rsidRPr="009E064B" w14:paraId="4E91C6DB" w14:textId="77777777" w:rsidTr="00613B6E">
        <w:trPr>
          <w:trHeight w:val="656"/>
          <w:jc w:val="right"/>
        </w:trPr>
        <w:tc>
          <w:tcPr>
            <w:tcW w:w="1563" w:type="pct"/>
            <w:tcMar>
              <w:top w:w="85" w:type="dxa"/>
              <w:left w:w="85" w:type="dxa"/>
              <w:bottom w:w="85" w:type="dxa"/>
              <w:right w:w="85" w:type="dxa"/>
            </w:tcMar>
            <w:vAlign w:val="center"/>
          </w:tcPr>
          <w:p w14:paraId="496D2BD4"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Rozdzielczość terenowa</w:t>
            </w:r>
          </w:p>
        </w:tc>
        <w:tc>
          <w:tcPr>
            <w:tcW w:w="859" w:type="pct"/>
            <w:tcMar>
              <w:top w:w="85" w:type="dxa"/>
              <w:left w:w="85" w:type="dxa"/>
              <w:bottom w:w="85" w:type="dxa"/>
              <w:right w:w="85" w:type="dxa"/>
            </w:tcMar>
            <w:vAlign w:val="center"/>
          </w:tcPr>
          <w:p w14:paraId="7C373443"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3 sekundy kątowe</w:t>
            </w:r>
          </w:p>
          <w:p w14:paraId="6CDCF3C9"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(ok. 90 m)</w:t>
            </w:r>
          </w:p>
        </w:tc>
        <w:tc>
          <w:tcPr>
            <w:tcW w:w="859" w:type="pct"/>
            <w:tcMar>
              <w:top w:w="85" w:type="dxa"/>
              <w:left w:w="85" w:type="dxa"/>
              <w:bottom w:w="85" w:type="dxa"/>
              <w:right w:w="85" w:type="dxa"/>
            </w:tcMar>
            <w:vAlign w:val="center"/>
          </w:tcPr>
          <w:p w14:paraId="73815330"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1 sekunda kątowa</w:t>
            </w:r>
          </w:p>
          <w:p w14:paraId="43614B4D"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(ok. 30 m)</w:t>
            </w:r>
          </w:p>
        </w:tc>
        <w:tc>
          <w:tcPr>
            <w:tcW w:w="859" w:type="pct"/>
            <w:tcMar>
              <w:top w:w="85" w:type="dxa"/>
              <w:left w:w="85" w:type="dxa"/>
              <w:bottom w:w="85" w:type="dxa"/>
              <w:right w:w="85" w:type="dxa"/>
            </w:tcMar>
            <w:vAlign w:val="center"/>
          </w:tcPr>
          <w:p w14:paraId="0692B459"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0,6 sekundy kątowej</w:t>
            </w:r>
          </w:p>
          <w:p w14:paraId="451D78F9"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(ok. 20 m)</w:t>
            </w:r>
          </w:p>
        </w:tc>
        <w:tc>
          <w:tcPr>
            <w:tcW w:w="859" w:type="pct"/>
            <w:tcMar>
              <w:top w:w="85" w:type="dxa"/>
              <w:left w:w="85" w:type="dxa"/>
              <w:bottom w:w="85" w:type="dxa"/>
              <w:right w:w="85" w:type="dxa"/>
            </w:tcMar>
            <w:vAlign w:val="center"/>
          </w:tcPr>
          <w:p w14:paraId="16B6BC9B"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0,3 sekundy kątowej</w:t>
            </w:r>
          </w:p>
          <w:p w14:paraId="7B6E391B"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(ok. 9 m)</w:t>
            </w:r>
          </w:p>
        </w:tc>
      </w:tr>
      <w:tr w:rsidR="00B0686B" w:rsidRPr="009E064B" w14:paraId="3829207E" w14:textId="77777777" w:rsidTr="00613B6E">
        <w:trPr>
          <w:jc w:val="right"/>
        </w:trPr>
        <w:tc>
          <w:tcPr>
            <w:tcW w:w="1563" w:type="pct"/>
            <w:tcMar>
              <w:top w:w="85" w:type="dxa"/>
              <w:left w:w="85" w:type="dxa"/>
              <w:bottom w:w="85" w:type="dxa"/>
              <w:right w:w="85" w:type="dxa"/>
            </w:tcMar>
            <w:vAlign w:val="center"/>
          </w:tcPr>
          <w:p w14:paraId="498697C0"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Dokładność pionowa</w:t>
            </w:r>
          </w:p>
        </w:tc>
        <w:tc>
          <w:tcPr>
            <w:tcW w:w="859" w:type="pct"/>
            <w:tcMar>
              <w:top w:w="85" w:type="dxa"/>
              <w:left w:w="85" w:type="dxa"/>
              <w:bottom w:w="85" w:type="dxa"/>
              <w:right w:w="85" w:type="dxa"/>
            </w:tcMar>
            <w:vAlign w:val="center"/>
          </w:tcPr>
          <w:p w14:paraId="4B787292"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30 m</w:t>
            </w:r>
          </w:p>
        </w:tc>
        <w:tc>
          <w:tcPr>
            <w:tcW w:w="859" w:type="pct"/>
            <w:tcMar>
              <w:top w:w="85" w:type="dxa"/>
              <w:left w:w="85" w:type="dxa"/>
              <w:bottom w:w="85" w:type="dxa"/>
              <w:right w:w="85" w:type="dxa"/>
            </w:tcMar>
            <w:vAlign w:val="center"/>
          </w:tcPr>
          <w:p w14:paraId="66D0325D"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3 m</w:t>
            </w:r>
          </w:p>
        </w:tc>
        <w:tc>
          <w:tcPr>
            <w:tcW w:w="859" w:type="pct"/>
            <w:tcMar>
              <w:top w:w="85" w:type="dxa"/>
              <w:left w:w="85" w:type="dxa"/>
              <w:bottom w:w="85" w:type="dxa"/>
              <w:right w:w="85" w:type="dxa"/>
            </w:tcMar>
            <w:vAlign w:val="center"/>
          </w:tcPr>
          <w:p w14:paraId="5C290621"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0,5 m</w:t>
            </w:r>
          </w:p>
        </w:tc>
        <w:tc>
          <w:tcPr>
            <w:tcW w:w="859" w:type="pct"/>
            <w:tcMar>
              <w:top w:w="85" w:type="dxa"/>
              <w:left w:w="85" w:type="dxa"/>
              <w:bottom w:w="85" w:type="dxa"/>
              <w:right w:w="85" w:type="dxa"/>
            </w:tcMar>
            <w:vAlign w:val="center"/>
          </w:tcPr>
          <w:p w14:paraId="2CDD12DB"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1 m</w:t>
            </w:r>
          </w:p>
        </w:tc>
      </w:tr>
      <w:tr w:rsidR="00B0686B" w:rsidRPr="009E064B" w14:paraId="07548054" w14:textId="77777777" w:rsidTr="00613B6E">
        <w:trPr>
          <w:jc w:val="right"/>
        </w:trPr>
        <w:tc>
          <w:tcPr>
            <w:tcW w:w="1563" w:type="pct"/>
            <w:tcMar>
              <w:top w:w="85" w:type="dxa"/>
              <w:left w:w="85" w:type="dxa"/>
              <w:bottom w:w="85" w:type="dxa"/>
              <w:right w:w="85" w:type="dxa"/>
            </w:tcMar>
            <w:vAlign w:val="center"/>
          </w:tcPr>
          <w:p w14:paraId="1CD05FD0"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Rozdzielczość pionowa</w:t>
            </w:r>
          </w:p>
        </w:tc>
        <w:tc>
          <w:tcPr>
            <w:tcW w:w="859" w:type="pct"/>
            <w:tcMar>
              <w:top w:w="85" w:type="dxa"/>
              <w:left w:w="85" w:type="dxa"/>
              <w:bottom w:w="85" w:type="dxa"/>
              <w:right w:w="85" w:type="dxa"/>
            </w:tcMar>
            <w:vAlign w:val="center"/>
          </w:tcPr>
          <w:p w14:paraId="00F8607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1 m</w:t>
            </w:r>
          </w:p>
        </w:tc>
        <w:tc>
          <w:tcPr>
            <w:tcW w:w="859" w:type="pct"/>
            <w:tcMar>
              <w:top w:w="85" w:type="dxa"/>
              <w:left w:w="85" w:type="dxa"/>
              <w:bottom w:w="85" w:type="dxa"/>
              <w:right w:w="85" w:type="dxa"/>
            </w:tcMar>
            <w:vAlign w:val="center"/>
          </w:tcPr>
          <w:p w14:paraId="53998E05"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0,1 m</w:t>
            </w:r>
          </w:p>
        </w:tc>
        <w:tc>
          <w:tcPr>
            <w:tcW w:w="859" w:type="pct"/>
            <w:tcMar>
              <w:top w:w="85" w:type="dxa"/>
              <w:left w:w="85" w:type="dxa"/>
              <w:bottom w:w="85" w:type="dxa"/>
              <w:right w:w="85" w:type="dxa"/>
            </w:tcMar>
            <w:vAlign w:val="center"/>
          </w:tcPr>
          <w:p w14:paraId="44EA390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0,01 m</w:t>
            </w:r>
          </w:p>
        </w:tc>
        <w:tc>
          <w:tcPr>
            <w:tcW w:w="859" w:type="pct"/>
            <w:tcMar>
              <w:top w:w="85" w:type="dxa"/>
              <w:left w:w="85" w:type="dxa"/>
              <w:bottom w:w="85" w:type="dxa"/>
              <w:right w:w="85" w:type="dxa"/>
            </w:tcMar>
            <w:vAlign w:val="center"/>
          </w:tcPr>
          <w:p w14:paraId="689A6D00"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0,1 m</w:t>
            </w:r>
          </w:p>
        </w:tc>
      </w:tr>
      <w:tr w:rsidR="00B0686B" w:rsidRPr="009E064B" w14:paraId="08AB168D" w14:textId="77777777" w:rsidTr="00613B6E">
        <w:trPr>
          <w:jc w:val="right"/>
        </w:trPr>
        <w:tc>
          <w:tcPr>
            <w:tcW w:w="1563" w:type="pct"/>
            <w:tcMar>
              <w:top w:w="85" w:type="dxa"/>
              <w:left w:w="85" w:type="dxa"/>
              <w:bottom w:w="85" w:type="dxa"/>
              <w:right w:w="85" w:type="dxa"/>
            </w:tcMar>
            <w:vAlign w:val="center"/>
          </w:tcPr>
          <w:p w14:paraId="4FCBDC7F"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Dokładność pozioma</w:t>
            </w:r>
          </w:p>
        </w:tc>
        <w:tc>
          <w:tcPr>
            <w:tcW w:w="859" w:type="pct"/>
            <w:tcMar>
              <w:top w:w="85" w:type="dxa"/>
              <w:left w:w="85" w:type="dxa"/>
              <w:bottom w:w="85" w:type="dxa"/>
              <w:right w:w="85" w:type="dxa"/>
            </w:tcMar>
            <w:vAlign w:val="center"/>
          </w:tcPr>
          <w:p w14:paraId="5AD6E700"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50 m</w:t>
            </w:r>
          </w:p>
        </w:tc>
        <w:tc>
          <w:tcPr>
            <w:tcW w:w="859" w:type="pct"/>
            <w:tcMar>
              <w:top w:w="85" w:type="dxa"/>
              <w:left w:w="85" w:type="dxa"/>
              <w:bottom w:w="85" w:type="dxa"/>
              <w:right w:w="85" w:type="dxa"/>
            </w:tcMar>
            <w:vAlign w:val="center"/>
          </w:tcPr>
          <w:p w14:paraId="0168D64D"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5 m</w:t>
            </w:r>
          </w:p>
        </w:tc>
        <w:tc>
          <w:tcPr>
            <w:tcW w:w="859" w:type="pct"/>
            <w:tcMar>
              <w:top w:w="85" w:type="dxa"/>
              <w:left w:w="85" w:type="dxa"/>
              <w:bottom w:w="85" w:type="dxa"/>
              <w:right w:w="85" w:type="dxa"/>
            </w:tcMar>
            <w:vAlign w:val="center"/>
          </w:tcPr>
          <w:p w14:paraId="2DF1FFA5"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0,5 m</w:t>
            </w:r>
          </w:p>
        </w:tc>
        <w:tc>
          <w:tcPr>
            <w:tcW w:w="859" w:type="pct"/>
            <w:tcMar>
              <w:top w:w="85" w:type="dxa"/>
              <w:left w:w="85" w:type="dxa"/>
              <w:bottom w:w="85" w:type="dxa"/>
              <w:right w:w="85" w:type="dxa"/>
            </w:tcMar>
            <w:vAlign w:val="center"/>
          </w:tcPr>
          <w:p w14:paraId="37E93535"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2,5 m</w:t>
            </w:r>
          </w:p>
        </w:tc>
      </w:tr>
      <w:tr w:rsidR="00B0686B" w:rsidRPr="009E064B" w14:paraId="1E92198C" w14:textId="77777777" w:rsidTr="00613B6E">
        <w:trPr>
          <w:jc w:val="right"/>
        </w:trPr>
        <w:tc>
          <w:tcPr>
            <w:tcW w:w="1563" w:type="pct"/>
            <w:tcMar>
              <w:top w:w="85" w:type="dxa"/>
              <w:left w:w="85" w:type="dxa"/>
              <w:bottom w:w="85" w:type="dxa"/>
              <w:right w:w="85" w:type="dxa"/>
            </w:tcMar>
            <w:vAlign w:val="center"/>
          </w:tcPr>
          <w:p w14:paraId="268CC464"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Poziom pewności</w:t>
            </w:r>
          </w:p>
        </w:tc>
        <w:tc>
          <w:tcPr>
            <w:tcW w:w="859" w:type="pct"/>
            <w:tcMar>
              <w:top w:w="85" w:type="dxa"/>
              <w:left w:w="85" w:type="dxa"/>
              <w:bottom w:w="85" w:type="dxa"/>
              <w:right w:w="85" w:type="dxa"/>
            </w:tcMar>
            <w:vAlign w:val="center"/>
          </w:tcPr>
          <w:p w14:paraId="0156E76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859" w:type="pct"/>
            <w:tcMar>
              <w:top w:w="85" w:type="dxa"/>
              <w:left w:w="85" w:type="dxa"/>
              <w:bottom w:w="85" w:type="dxa"/>
              <w:right w:w="85" w:type="dxa"/>
            </w:tcMar>
            <w:vAlign w:val="center"/>
          </w:tcPr>
          <w:p w14:paraId="7DF8214C"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859" w:type="pct"/>
            <w:tcMar>
              <w:top w:w="85" w:type="dxa"/>
              <w:left w:w="85" w:type="dxa"/>
              <w:bottom w:w="85" w:type="dxa"/>
              <w:right w:w="85" w:type="dxa"/>
            </w:tcMar>
            <w:vAlign w:val="center"/>
          </w:tcPr>
          <w:p w14:paraId="33225A5F"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859" w:type="pct"/>
            <w:tcMar>
              <w:top w:w="85" w:type="dxa"/>
              <w:left w:w="85" w:type="dxa"/>
              <w:bottom w:w="85" w:type="dxa"/>
              <w:right w:w="85" w:type="dxa"/>
            </w:tcMar>
            <w:vAlign w:val="center"/>
          </w:tcPr>
          <w:p w14:paraId="47F1B3F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r>
      <w:tr w:rsidR="00B0686B" w:rsidRPr="009E064B" w14:paraId="5C07DC38" w14:textId="77777777" w:rsidTr="00613B6E">
        <w:trPr>
          <w:jc w:val="right"/>
        </w:trPr>
        <w:tc>
          <w:tcPr>
            <w:tcW w:w="1563" w:type="pct"/>
            <w:tcMar>
              <w:top w:w="85" w:type="dxa"/>
              <w:left w:w="85" w:type="dxa"/>
              <w:bottom w:w="85" w:type="dxa"/>
              <w:right w:w="85" w:type="dxa"/>
            </w:tcMar>
            <w:vAlign w:val="center"/>
          </w:tcPr>
          <w:p w14:paraId="65EACB47"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Klasyfikacja danych</w:t>
            </w:r>
          </w:p>
          <w:p w14:paraId="7B853E34"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Poziom integralności</w:t>
            </w:r>
          </w:p>
        </w:tc>
        <w:tc>
          <w:tcPr>
            <w:tcW w:w="859" w:type="pct"/>
            <w:tcMar>
              <w:top w:w="85" w:type="dxa"/>
              <w:left w:w="85" w:type="dxa"/>
              <w:bottom w:w="85" w:type="dxa"/>
              <w:right w:w="85" w:type="dxa"/>
            </w:tcMar>
            <w:vAlign w:val="center"/>
          </w:tcPr>
          <w:p w14:paraId="41B041CF"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Zwykła</w:t>
            </w:r>
          </w:p>
        </w:tc>
        <w:tc>
          <w:tcPr>
            <w:tcW w:w="859" w:type="pct"/>
            <w:tcMar>
              <w:top w:w="85" w:type="dxa"/>
              <w:left w:w="85" w:type="dxa"/>
              <w:bottom w:w="85" w:type="dxa"/>
              <w:right w:w="85" w:type="dxa"/>
            </w:tcMar>
            <w:vAlign w:val="center"/>
          </w:tcPr>
          <w:p w14:paraId="21D971DA"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c>
          <w:tcPr>
            <w:tcW w:w="859" w:type="pct"/>
            <w:tcMar>
              <w:top w:w="85" w:type="dxa"/>
              <w:left w:w="85" w:type="dxa"/>
              <w:bottom w:w="85" w:type="dxa"/>
              <w:right w:w="85" w:type="dxa"/>
            </w:tcMar>
            <w:vAlign w:val="center"/>
          </w:tcPr>
          <w:p w14:paraId="2DF16EE5"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c>
          <w:tcPr>
            <w:tcW w:w="859" w:type="pct"/>
            <w:tcMar>
              <w:top w:w="85" w:type="dxa"/>
              <w:left w:w="85" w:type="dxa"/>
              <w:bottom w:w="85" w:type="dxa"/>
              <w:right w:w="85" w:type="dxa"/>
            </w:tcMar>
            <w:vAlign w:val="center"/>
          </w:tcPr>
          <w:p w14:paraId="22381199"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r>
      <w:tr w:rsidR="00B0686B" w:rsidRPr="009E064B" w14:paraId="601F34FA" w14:textId="77777777" w:rsidTr="00613B6E">
        <w:trPr>
          <w:jc w:val="right"/>
        </w:trPr>
        <w:tc>
          <w:tcPr>
            <w:tcW w:w="1563" w:type="pct"/>
            <w:tcMar>
              <w:top w:w="85" w:type="dxa"/>
              <w:left w:w="85" w:type="dxa"/>
              <w:bottom w:w="85" w:type="dxa"/>
              <w:right w:w="85" w:type="dxa"/>
            </w:tcMar>
            <w:vAlign w:val="center"/>
          </w:tcPr>
          <w:p w14:paraId="34982EAE"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Częstotliwość aktualizacji</w:t>
            </w:r>
          </w:p>
        </w:tc>
        <w:tc>
          <w:tcPr>
            <w:tcW w:w="859" w:type="pct"/>
            <w:tcMar>
              <w:top w:w="85" w:type="dxa"/>
              <w:left w:w="85" w:type="dxa"/>
              <w:bottom w:w="85" w:type="dxa"/>
              <w:right w:w="85" w:type="dxa"/>
            </w:tcMar>
            <w:vAlign w:val="center"/>
          </w:tcPr>
          <w:p w14:paraId="4D4396FC"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3504303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7CBA92AE"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859" w:type="pct"/>
            <w:tcMar>
              <w:top w:w="85" w:type="dxa"/>
              <w:left w:w="85" w:type="dxa"/>
              <w:bottom w:w="85" w:type="dxa"/>
              <w:right w:w="85" w:type="dxa"/>
            </w:tcMar>
            <w:vAlign w:val="center"/>
          </w:tcPr>
          <w:p w14:paraId="1C9A223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r>
    </w:tbl>
    <w:p w14:paraId="1C83470A" w14:textId="77777777" w:rsidR="002C4C40" w:rsidRDefault="002C4C40" w:rsidP="002C4C40">
      <w:pPr>
        <w:jc w:val="center"/>
        <w:rPr>
          <w:rFonts w:asciiTheme="minorHAnsi" w:hAnsiTheme="minorHAnsi" w:cstheme="minorHAnsi"/>
          <w:b/>
          <w:sz w:val="20"/>
        </w:rPr>
      </w:pPr>
    </w:p>
    <w:p w14:paraId="28403FFA" w14:textId="2470F567" w:rsidR="00B0686B" w:rsidRP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Tabela 1 – Wymagania liczbowe dotyczące danych o terenie</w:t>
      </w:r>
    </w:p>
    <w:p w14:paraId="43E3158A" w14:textId="57F992F2" w:rsidR="00B0686B" w:rsidRPr="009E064B" w:rsidRDefault="00B0686B" w:rsidP="002C4C40">
      <w:pPr>
        <w:spacing w:after="0"/>
        <w:rPr>
          <w:rFonts w:asciiTheme="minorHAnsi" w:hAnsiTheme="minorHAnsi" w:cstheme="minorHAnsi"/>
        </w:rPr>
      </w:pPr>
    </w:p>
    <w:p w14:paraId="1C873684" w14:textId="77777777" w:rsidR="00613B6E" w:rsidRPr="009E064B" w:rsidRDefault="00613B6E" w:rsidP="002C4C40">
      <w:pPr>
        <w:spacing w:after="0"/>
        <w:rPr>
          <w:rFonts w:asciiTheme="minorHAnsi" w:hAnsiTheme="minorHAnsi" w:cstheme="minorHAnsi"/>
        </w:rPr>
      </w:pPr>
    </w:p>
    <w:tbl>
      <w:tblPr>
        <w:tblW w:w="861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bottom w:w="85" w:type="dxa"/>
        </w:tblCellMar>
        <w:tblLook w:val="00A0" w:firstRow="1" w:lastRow="0" w:firstColumn="1" w:lastColumn="0" w:noHBand="0" w:noVBand="0"/>
      </w:tblPr>
      <w:tblGrid>
        <w:gridCol w:w="2694"/>
        <w:gridCol w:w="1479"/>
        <w:gridCol w:w="1479"/>
        <w:gridCol w:w="1479"/>
        <w:gridCol w:w="1480"/>
      </w:tblGrid>
      <w:tr w:rsidR="00B0686B" w:rsidRPr="009E064B" w14:paraId="7294B154" w14:textId="77777777" w:rsidTr="00FD01A6">
        <w:trPr>
          <w:jc w:val="right"/>
        </w:trPr>
        <w:tc>
          <w:tcPr>
            <w:tcW w:w="2694" w:type="dxa"/>
            <w:tcMar>
              <w:top w:w="113" w:type="dxa"/>
              <w:left w:w="85" w:type="dxa"/>
              <w:bottom w:w="113" w:type="dxa"/>
              <w:right w:w="85" w:type="dxa"/>
            </w:tcMar>
            <w:vAlign w:val="center"/>
          </w:tcPr>
          <w:p w14:paraId="0DE09986" w14:textId="77777777" w:rsidR="00B0686B" w:rsidRPr="009E064B" w:rsidRDefault="00B0686B" w:rsidP="00FD01A6">
            <w:pPr>
              <w:spacing w:after="0"/>
              <w:rPr>
                <w:rFonts w:asciiTheme="minorHAnsi" w:hAnsiTheme="minorHAnsi" w:cstheme="minorHAnsi"/>
              </w:rPr>
            </w:pPr>
          </w:p>
        </w:tc>
        <w:tc>
          <w:tcPr>
            <w:tcW w:w="1479" w:type="dxa"/>
            <w:tcMar>
              <w:top w:w="113" w:type="dxa"/>
              <w:left w:w="85" w:type="dxa"/>
              <w:bottom w:w="113" w:type="dxa"/>
              <w:right w:w="85" w:type="dxa"/>
            </w:tcMar>
            <w:vAlign w:val="center"/>
          </w:tcPr>
          <w:p w14:paraId="7C6E5476"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1</w:t>
            </w:r>
          </w:p>
        </w:tc>
        <w:tc>
          <w:tcPr>
            <w:tcW w:w="1479" w:type="dxa"/>
            <w:tcMar>
              <w:top w:w="113" w:type="dxa"/>
              <w:left w:w="85" w:type="dxa"/>
              <w:bottom w:w="113" w:type="dxa"/>
              <w:right w:w="85" w:type="dxa"/>
            </w:tcMar>
            <w:vAlign w:val="center"/>
          </w:tcPr>
          <w:p w14:paraId="2FAB2835"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2</w:t>
            </w:r>
          </w:p>
        </w:tc>
        <w:tc>
          <w:tcPr>
            <w:tcW w:w="1479" w:type="dxa"/>
            <w:tcMar>
              <w:top w:w="113" w:type="dxa"/>
              <w:left w:w="85" w:type="dxa"/>
              <w:bottom w:w="113" w:type="dxa"/>
              <w:right w:w="85" w:type="dxa"/>
            </w:tcMar>
            <w:vAlign w:val="center"/>
          </w:tcPr>
          <w:p w14:paraId="54323E1D"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3</w:t>
            </w:r>
          </w:p>
        </w:tc>
        <w:tc>
          <w:tcPr>
            <w:tcW w:w="1480" w:type="dxa"/>
            <w:tcMar>
              <w:top w:w="113" w:type="dxa"/>
              <w:left w:w="85" w:type="dxa"/>
              <w:bottom w:w="113" w:type="dxa"/>
              <w:right w:w="85" w:type="dxa"/>
            </w:tcMar>
            <w:vAlign w:val="center"/>
          </w:tcPr>
          <w:p w14:paraId="2685B59B" w14:textId="77777777" w:rsidR="00B0686B" w:rsidRPr="009E064B" w:rsidRDefault="00B0686B" w:rsidP="00FD01A6">
            <w:pPr>
              <w:spacing w:after="0"/>
              <w:jc w:val="center"/>
              <w:rPr>
                <w:rFonts w:asciiTheme="minorHAnsi" w:hAnsiTheme="minorHAnsi" w:cstheme="minorHAnsi"/>
                <w:b/>
                <w:bCs/>
              </w:rPr>
            </w:pPr>
            <w:r w:rsidRPr="009E064B">
              <w:rPr>
                <w:rFonts w:asciiTheme="minorHAnsi" w:hAnsiTheme="minorHAnsi" w:cstheme="minorHAnsi"/>
                <w:b/>
                <w:bCs/>
              </w:rPr>
              <w:t>Strefa 4</w:t>
            </w:r>
          </w:p>
        </w:tc>
      </w:tr>
      <w:tr w:rsidR="00B0686B" w:rsidRPr="009E064B" w14:paraId="7D89EF1F" w14:textId="77777777" w:rsidTr="00613B6E">
        <w:trPr>
          <w:jc w:val="right"/>
        </w:trPr>
        <w:tc>
          <w:tcPr>
            <w:tcW w:w="2694" w:type="dxa"/>
            <w:tcMar>
              <w:top w:w="85" w:type="dxa"/>
              <w:left w:w="85" w:type="dxa"/>
              <w:bottom w:w="85" w:type="dxa"/>
              <w:right w:w="85" w:type="dxa"/>
            </w:tcMar>
          </w:tcPr>
          <w:p w14:paraId="4D63E24B"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Dokładność pionowa</w:t>
            </w:r>
          </w:p>
        </w:tc>
        <w:tc>
          <w:tcPr>
            <w:tcW w:w="1479" w:type="dxa"/>
            <w:tcMar>
              <w:top w:w="85" w:type="dxa"/>
              <w:left w:w="85" w:type="dxa"/>
              <w:bottom w:w="85" w:type="dxa"/>
              <w:right w:w="85" w:type="dxa"/>
            </w:tcMar>
            <w:vAlign w:val="center"/>
          </w:tcPr>
          <w:p w14:paraId="0BED3DFA"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30 m</w:t>
            </w:r>
          </w:p>
        </w:tc>
        <w:tc>
          <w:tcPr>
            <w:tcW w:w="1479" w:type="dxa"/>
            <w:tcMar>
              <w:top w:w="85" w:type="dxa"/>
              <w:left w:w="85" w:type="dxa"/>
              <w:bottom w:w="85" w:type="dxa"/>
              <w:right w:w="85" w:type="dxa"/>
            </w:tcMar>
            <w:vAlign w:val="center"/>
          </w:tcPr>
          <w:p w14:paraId="276F546C"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3 m</w:t>
            </w:r>
          </w:p>
        </w:tc>
        <w:tc>
          <w:tcPr>
            <w:tcW w:w="1479" w:type="dxa"/>
            <w:tcMar>
              <w:top w:w="85" w:type="dxa"/>
              <w:left w:w="85" w:type="dxa"/>
              <w:bottom w:w="85" w:type="dxa"/>
              <w:right w:w="85" w:type="dxa"/>
            </w:tcMar>
            <w:vAlign w:val="center"/>
          </w:tcPr>
          <w:p w14:paraId="75067A57"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0,5 m</w:t>
            </w:r>
          </w:p>
        </w:tc>
        <w:tc>
          <w:tcPr>
            <w:tcW w:w="1480" w:type="dxa"/>
            <w:tcMar>
              <w:top w:w="85" w:type="dxa"/>
              <w:left w:w="85" w:type="dxa"/>
              <w:bottom w:w="85" w:type="dxa"/>
              <w:right w:w="85" w:type="dxa"/>
            </w:tcMar>
            <w:vAlign w:val="center"/>
          </w:tcPr>
          <w:p w14:paraId="149043E9"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1 m</w:t>
            </w:r>
          </w:p>
        </w:tc>
      </w:tr>
      <w:tr w:rsidR="00B0686B" w:rsidRPr="009E064B" w14:paraId="2955CAA8" w14:textId="77777777" w:rsidTr="00613B6E">
        <w:trPr>
          <w:jc w:val="right"/>
        </w:trPr>
        <w:tc>
          <w:tcPr>
            <w:tcW w:w="2694" w:type="dxa"/>
            <w:tcMar>
              <w:top w:w="85" w:type="dxa"/>
              <w:left w:w="85" w:type="dxa"/>
              <w:bottom w:w="85" w:type="dxa"/>
              <w:right w:w="85" w:type="dxa"/>
            </w:tcMar>
          </w:tcPr>
          <w:p w14:paraId="2FA78248"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Rozdzielczość pionowa</w:t>
            </w:r>
          </w:p>
        </w:tc>
        <w:tc>
          <w:tcPr>
            <w:tcW w:w="1479" w:type="dxa"/>
            <w:tcMar>
              <w:top w:w="85" w:type="dxa"/>
              <w:left w:w="85" w:type="dxa"/>
              <w:bottom w:w="85" w:type="dxa"/>
              <w:right w:w="85" w:type="dxa"/>
            </w:tcMar>
            <w:vAlign w:val="center"/>
          </w:tcPr>
          <w:p w14:paraId="483DCE1C"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1 m</w:t>
            </w:r>
          </w:p>
        </w:tc>
        <w:tc>
          <w:tcPr>
            <w:tcW w:w="1479" w:type="dxa"/>
            <w:tcMar>
              <w:top w:w="85" w:type="dxa"/>
              <w:left w:w="85" w:type="dxa"/>
              <w:bottom w:w="85" w:type="dxa"/>
              <w:right w:w="85" w:type="dxa"/>
            </w:tcMar>
            <w:vAlign w:val="center"/>
          </w:tcPr>
          <w:p w14:paraId="0618ECBB"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0,1 m</w:t>
            </w:r>
          </w:p>
        </w:tc>
        <w:tc>
          <w:tcPr>
            <w:tcW w:w="1479" w:type="dxa"/>
            <w:tcMar>
              <w:top w:w="85" w:type="dxa"/>
              <w:left w:w="85" w:type="dxa"/>
              <w:bottom w:w="85" w:type="dxa"/>
              <w:right w:w="85" w:type="dxa"/>
            </w:tcMar>
            <w:vAlign w:val="center"/>
          </w:tcPr>
          <w:p w14:paraId="053E6C4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0,01 m</w:t>
            </w:r>
          </w:p>
        </w:tc>
        <w:tc>
          <w:tcPr>
            <w:tcW w:w="1480" w:type="dxa"/>
            <w:tcMar>
              <w:top w:w="85" w:type="dxa"/>
              <w:left w:w="85" w:type="dxa"/>
              <w:bottom w:w="85" w:type="dxa"/>
              <w:right w:w="85" w:type="dxa"/>
            </w:tcMar>
            <w:vAlign w:val="center"/>
          </w:tcPr>
          <w:p w14:paraId="46CC5E9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0,1 m</w:t>
            </w:r>
          </w:p>
        </w:tc>
      </w:tr>
      <w:tr w:rsidR="00B0686B" w:rsidRPr="009E064B" w14:paraId="599EB046" w14:textId="77777777" w:rsidTr="00613B6E">
        <w:trPr>
          <w:jc w:val="right"/>
        </w:trPr>
        <w:tc>
          <w:tcPr>
            <w:tcW w:w="2694" w:type="dxa"/>
            <w:tcMar>
              <w:top w:w="85" w:type="dxa"/>
              <w:left w:w="85" w:type="dxa"/>
              <w:bottom w:w="85" w:type="dxa"/>
              <w:right w:w="85" w:type="dxa"/>
            </w:tcMar>
          </w:tcPr>
          <w:p w14:paraId="5B4C55E9"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Dokładność pozioma</w:t>
            </w:r>
          </w:p>
        </w:tc>
        <w:tc>
          <w:tcPr>
            <w:tcW w:w="1479" w:type="dxa"/>
            <w:tcMar>
              <w:top w:w="85" w:type="dxa"/>
              <w:left w:w="85" w:type="dxa"/>
              <w:bottom w:w="85" w:type="dxa"/>
              <w:right w:w="85" w:type="dxa"/>
            </w:tcMar>
            <w:vAlign w:val="center"/>
          </w:tcPr>
          <w:p w14:paraId="1A88C568"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50 m</w:t>
            </w:r>
          </w:p>
        </w:tc>
        <w:tc>
          <w:tcPr>
            <w:tcW w:w="1479" w:type="dxa"/>
            <w:tcMar>
              <w:top w:w="85" w:type="dxa"/>
              <w:left w:w="85" w:type="dxa"/>
              <w:bottom w:w="85" w:type="dxa"/>
              <w:right w:w="85" w:type="dxa"/>
            </w:tcMar>
            <w:vAlign w:val="center"/>
          </w:tcPr>
          <w:p w14:paraId="0C09E0A1"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5 m</w:t>
            </w:r>
          </w:p>
        </w:tc>
        <w:tc>
          <w:tcPr>
            <w:tcW w:w="1479" w:type="dxa"/>
            <w:tcMar>
              <w:top w:w="85" w:type="dxa"/>
              <w:left w:w="85" w:type="dxa"/>
              <w:bottom w:w="85" w:type="dxa"/>
              <w:right w:w="85" w:type="dxa"/>
            </w:tcMar>
            <w:vAlign w:val="center"/>
          </w:tcPr>
          <w:p w14:paraId="71FB3CA7"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0,5 m</w:t>
            </w:r>
          </w:p>
        </w:tc>
        <w:tc>
          <w:tcPr>
            <w:tcW w:w="1480" w:type="dxa"/>
            <w:tcMar>
              <w:top w:w="85" w:type="dxa"/>
              <w:left w:w="85" w:type="dxa"/>
              <w:bottom w:w="85" w:type="dxa"/>
              <w:right w:w="85" w:type="dxa"/>
            </w:tcMar>
            <w:vAlign w:val="center"/>
          </w:tcPr>
          <w:p w14:paraId="4E52CD6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2,5 m</w:t>
            </w:r>
          </w:p>
        </w:tc>
      </w:tr>
      <w:tr w:rsidR="00B0686B" w:rsidRPr="009E064B" w14:paraId="0AFF7BA0" w14:textId="77777777" w:rsidTr="00613B6E">
        <w:trPr>
          <w:jc w:val="right"/>
        </w:trPr>
        <w:tc>
          <w:tcPr>
            <w:tcW w:w="2694" w:type="dxa"/>
            <w:tcMar>
              <w:top w:w="85" w:type="dxa"/>
              <w:left w:w="85" w:type="dxa"/>
              <w:bottom w:w="85" w:type="dxa"/>
              <w:right w:w="85" w:type="dxa"/>
            </w:tcMar>
          </w:tcPr>
          <w:p w14:paraId="37DD4EB0"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Poziom pewności</w:t>
            </w:r>
          </w:p>
        </w:tc>
        <w:tc>
          <w:tcPr>
            <w:tcW w:w="1479" w:type="dxa"/>
            <w:tcMar>
              <w:top w:w="85" w:type="dxa"/>
              <w:left w:w="85" w:type="dxa"/>
              <w:bottom w:w="85" w:type="dxa"/>
              <w:right w:w="85" w:type="dxa"/>
            </w:tcMar>
            <w:vAlign w:val="center"/>
          </w:tcPr>
          <w:p w14:paraId="402086EF"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1479" w:type="dxa"/>
            <w:tcMar>
              <w:top w:w="85" w:type="dxa"/>
              <w:left w:w="85" w:type="dxa"/>
              <w:bottom w:w="85" w:type="dxa"/>
              <w:right w:w="85" w:type="dxa"/>
            </w:tcMar>
            <w:vAlign w:val="center"/>
          </w:tcPr>
          <w:p w14:paraId="3AE5663A"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1479" w:type="dxa"/>
            <w:tcMar>
              <w:top w:w="85" w:type="dxa"/>
              <w:left w:w="85" w:type="dxa"/>
              <w:bottom w:w="85" w:type="dxa"/>
              <w:right w:w="85" w:type="dxa"/>
            </w:tcMar>
            <w:vAlign w:val="center"/>
          </w:tcPr>
          <w:p w14:paraId="0D8F8C0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c>
          <w:tcPr>
            <w:tcW w:w="1480" w:type="dxa"/>
            <w:tcMar>
              <w:top w:w="85" w:type="dxa"/>
              <w:left w:w="85" w:type="dxa"/>
              <w:bottom w:w="85" w:type="dxa"/>
              <w:right w:w="85" w:type="dxa"/>
            </w:tcMar>
            <w:vAlign w:val="center"/>
          </w:tcPr>
          <w:p w14:paraId="56FB8A8F"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90%</w:t>
            </w:r>
          </w:p>
        </w:tc>
      </w:tr>
      <w:tr w:rsidR="00B0686B" w:rsidRPr="009E064B" w14:paraId="20B49515" w14:textId="77777777" w:rsidTr="00613B6E">
        <w:trPr>
          <w:jc w:val="right"/>
        </w:trPr>
        <w:tc>
          <w:tcPr>
            <w:tcW w:w="2694" w:type="dxa"/>
            <w:tcMar>
              <w:top w:w="85" w:type="dxa"/>
              <w:left w:w="85" w:type="dxa"/>
              <w:bottom w:w="85" w:type="dxa"/>
              <w:right w:w="85" w:type="dxa"/>
            </w:tcMar>
          </w:tcPr>
          <w:p w14:paraId="06365D47"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Klasyfikacja danych</w:t>
            </w:r>
          </w:p>
          <w:p w14:paraId="6EA53073"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Poziom integralności</w:t>
            </w:r>
          </w:p>
        </w:tc>
        <w:tc>
          <w:tcPr>
            <w:tcW w:w="1479" w:type="dxa"/>
            <w:tcMar>
              <w:top w:w="85" w:type="dxa"/>
              <w:left w:w="85" w:type="dxa"/>
              <w:bottom w:w="85" w:type="dxa"/>
              <w:right w:w="85" w:type="dxa"/>
            </w:tcMar>
            <w:vAlign w:val="center"/>
          </w:tcPr>
          <w:p w14:paraId="5240ACCE"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Zwykła</w:t>
            </w:r>
          </w:p>
        </w:tc>
        <w:tc>
          <w:tcPr>
            <w:tcW w:w="1479" w:type="dxa"/>
            <w:tcMar>
              <w:top w:w="85" w:type="dxa"/>
              <w:left w:w="85" w:type="dxa"/>
              <w:bottom w:w="85" w:type="dxa"/>
              <w:right w:w="85" w:type="dxa"/>
            </w:tcMar>
            <w:vAlign w:val="center"/>
          </w:tcPr>
          <w:p w14:paraId="16322C96"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c>
          <w:tcPr>
            <w:tcW w:w="1479" w:type="dxa"/>
            <w:tcMar>
              <w:top w:w="85" w:type="dxa"/>
              <w:left w:w="85" w:type="dxa"/>
              <w:bottom w:w="85" w:type="dxa"/>
              <w:right w:w="85" w:type="dxa"/>
            </w:tcMar>
            <w:vAlign w:val="center"/>
          </w:tcPr>
          <w:p w14:paraId="1DE5307D"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c>
          <w:tcPr>
            <w:tcW w:w="1480" w:type="dxa"/>
            <w:tcMar>
              <w:top w:w="85" w:type="dxa"/>
              <w:left w:w="85" w:type="dxa"/>
              <w:bottom w:w="85" w:type="dxa"/>
              <w:right w:w="85" w:type="dxa"/>
            </w:tcMar>
            <w:vAlign w:val="center"/>
          </w:tcPr>
          <w:p w14:paraId="7C81F583"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Ważna</w:t>
            </w:r>
          </w:p>
        </w:tc>
      </w:tr>
      <w:tr w:rsidR="00B0686B" w:rsidRPr="009E064B" w14:paraId="6BA6CB90" w14:textId="77777777" w:rsidTr="00613B6E">
        <w:trPr>
          <w:jc w:val="right"/>
        </w:trPr>
        <w:tc>
          <w:tcPr>
            <w:tcW w:w="2694" w:type="dxa"/>
            <w:tcMar>
              <w:top w:w="85" w:type="dxa"/>
              <w:left w:w="85" w:type="dxa"/>
              <w:bottom w:w="85" w:type="dxa"/>
              <w:right w:w="85" w:type="dxa"/>
            </w:tcMar>
            <w:vAlign w:val="center"/>
          </w:tcPr>
          <w:p w14:paraId="4AC80F16" w14:textId="77777777" w:rsidR="00B0686B" w:rsidRPr="009E064B" w:rsidRDefault="00B0686B" w:rsidP="00FD01A6">
            <w:pPr>
              <w:spacing w:after="0"/>
              <w:jc w:val="left"/>
              <w:rPr>
                <w:rFonts w:asciiTheme="minorHAnsi" w:hAnsiTheme="minorHAnsi" w:cstheme="minorHAnsi"/>
              </w:rPr>
            </w:pPr>
            <w:r w:rsidRPr="009E064B">
              <w:rPr>
                <w:rFonts w:asciiTheme="minorHAnsi" w:hAnsiTheme="minorHAnsi" w:cstheme="minorHAnsi"/>
              </w:rPr>
              <w:t>Częstotliwość aktualizacji</w:t>
            </w:r>
          </w:p>
        </w:tc>
        <w:tc>
          <w:tcPr>
            <w:tcW w:w="1479" w:type="dxa"/>
            <w:tcMar>
              <w:top w:w="85" w:type="dxa"/>
              <w:left w:w="85" w:type="dxa"/>
              <w:bottom w:w="85" w:type="dxa"/>
              <w:right w:w="85" w:type="dxa"/>
            </w:tcMar>
          </w:tcPr>
          <w:p w14:paraId="77F78B44"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1479" w:type="dxa"/>
            <w:tcMar>
              <w:top w:w="85" w:type="dxa"/>
              <w:left w:w="85" w:type="dxa"/>
              <w:bottom w:w="85" w:type="dxa"/>
              <w:right w:w="85" w:type="dxa"/>
            </w:tcMar>
          </w:tcPr>
          <w:p w14:paraId="6EA6AC75"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1479" w:type="dxa"/>
            <w:tcMar>
              <w:top w:w="85" w:type="dxa"/>
              <w:left w:w="85" w:type="dxa"/>
              <w:bottom w:w="85" w:type="dxa"/>
              <w:right w:w="85" w:type="dxa"/>
            </w:tcMar>
          </w:tcPr>
          <w:p w14:paraId="0B32EEFB"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c>
          <w:tcPr>
            <w:tcW w:w="1480" w:type="dxa"/>
            <w:tcMar>
              <w:top w:w="85" w:type="dxa"/>
              <w:left w:w="85" w:type="dxa"/>
              <w:bottom w:w="85" w:type="dxa"/>
              <w:right w:w="85" w:type="dxa"/>
            </w:tcMar>
          </w:tcPr>
          <w:p w14:paraId="3C06CB01" w14:textId="77777777" w:rsidR="00B0686B" w:rsidRPr="009E064B" w:rsidRDefault="00B0686B" w:rsidP="00FD01A6">
            <w:pPr>
              <w:spacing w:after="0"/>
              <w:jc w:val="center"/>
              <w:rPr>
                <w:rFonts w:asciiTheme="minorHAnsi" w:hAnsiTheme="minorHAnsi" w:cstheme="minorHAnsi"/>
              </w:rPr>
            </w:pPr>
            <w:r w:rsidRPr="009E064B">
              <w:rPr>
                <w:rFonts w:asciiTheme="minorHAnsi" w:hAnsiTheme="minorHAnsi" w:cstheme="minorHAnsi"/>
              </w:rPr>
              <w:t>zgodnie z wymaganiami</w:t>
            </w:r>
          </w:p>
        </w:tc>
      </w:tr>
    </w:tbl>
    <w:p w14:paraId="6FDB03DC" w14:textId="77777777" w:rsidR="002C4C40" w:rsidRDefault="002C4C40" w:rsidP="002C4C40">
      <w:pPr>
        <w:jc w:val="center"/>
        <w:rPr>
          <w:rFonts w:asciiTheme="minorHAnsi" w:hAnsiTheme="minorHAnsi" w:cstheme="minorHAnsi"/>
          <w:b/>
          <w:sz w:val="20"/>
        </w:rPr>
      </w:pPr>
    </w:p>
    <w:p w14:paraId="0B2AADF9" w14:textId="06DB688D" w:rsidR="002C4C40" w:rsidRDefault="00B0686B" w:rsidP="002C4C40">
      <w:pPr>
        <w:jc w:val="center"/>
        <w:rPr>
          <w:rFonts w:asciiTheme="minorHAnsi" w:hAnsiTheme="minorHAnsi" w:cstheme="minorHAnsi"/>
          <w:b/>
          <w:sz w:val="20"/>
        </w:rPr>
      </w:pPr>
      <w:r w:rsidRPr="002C4C40">
        <w:rPr>
          <w:rFonts w:asciiTheme="minorHAnsi" w:hAnsiTheme="minorHAnsi" w:cstheme="minorHAnsi"/>
          <w:b/>
          <w:sz w:val="20"/>
        </w:rPr>
        <w:t>Tabela 2 – Wymagania liczbowe dotyczące danych o przeszkodach</w:t>
      </w:r>
      <w:r w:rsidR="002C4C40">
        <w:rPr>
          <w:rFonts w:asciiTheme="minorHAnsi" w:hAnsiTheme="minorHAnsi" w:cstheme="minorHAnsi"/>
          <w:b/>
          <w:sz w:val="20"/>
        </w:rPr>
        <w:t xml:space="preserve"> </w:t>
      </w:r>
      <w:r w:rsidR="002C4C40">
        <w:rPr>
          <w:rFonts w:asciiTheme="minorHAnsi" w:hAnsiTheme="minorHAnsi" w:cstheme="minorHAnsi"/>
          <w:b/>
          <w:sz w:val="20"/>
        </w:rPr>
        <w:br w:type="page"/>
      </w:r>
    </w:p>
    <w:p w14:paraId="6AD34D3D" w14:textId="77777777" w:rsidR="00B0686B" w:rsidRPr="002C4C40" w:rsidRDefault="00B0686B" w:rsidP="002C4C40">
      <w:pPr>
        <w:jc w:val="center"/>
        <w:rPr>
          <w:rFonts w:asciiTheme="minorHAnsi" w:hAnsiTheme="minorHAnsi" w:cstheme="minorHAnsi"/>
          <w:b/>
          <w:sz w:val="20"/>
        </w:rPr>
      </w:pPr>
    </w:p>
    <w:p w14:paraId="5DDE2904" w14:textId="18FDB68E" w:rsidR="00DC7DA6" w:rsidRPr="009E064B" w:rsidRDefault="009F77C6" w:rsidP="00B06A9A">
      <w:pPr>
        <w:pStyle w:val="Nagwek3"/>
      </w:pPr>
      <w:bookmarkStart w:id="513" w:name="_Toc12532780"/>
      <w:r w:rsidRPr="009E064B">
        <w:t xml:space="preserve">ADR.OPS.A.010     </w:t>
      </w:r>
      <w:r w:rsidR="00DE05DC" w:rsidRPr="009E064B">
        <w:t>Wymagania  dotyczące  jakości  danych</w:t>
      </w:r>
      <w:bookmarkEnd w:id="513"/>
    </w:p>
    <w:p w14:paraId="2ED86DCC" w14:textId="210B8EA4"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3FF901CD" w14:textId="77777777"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Operator lotniska wdraża formalne mechanizmy współpracy z organizacjami, z którymi prowadzi wymianę danych i/lub informacji lotniczych.</w:t>
      </w:r>
    </w:p>
    <w:p w14:paraId="4EC6F561" w14:textId="6908C3D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a)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Wszystkie dane dotyczące lotniska i dostępnych na nim służb przekazywane przez operatora lotniska muszą zapewniać odpowiednią jakość i integralność.</w:t>
      </w:r>
    </w:p>
    <w:p w14:paraId="41C07742" w14:textId="104D8777"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b)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W przypadku publikacji danych dotyczących lotniska i dostępnych na nim służb operator lotniska:</w:t>
      </w:r>
    </w:p>
    <w:p w14:paraId="0FAC03D5" w14:textId="0952A5D8"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monitoruje dane dotyczące lotniska i dostępnych na nim służb pochodzące od operatora lotniska i rozpowszechniane przez odpowiednie instytucje zapewniające służby ruchu lotniczego i służby informacji lotniczej;</w:t>
      </w:r>
    </w:p>
    <w:p w14:paraId="551BC896" w14:textId="42B0F92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powiadamia odpowiednie instytucje zapewniające służby informacji lotniczej o wszelkich zmianach niezbędnych do zapewnienia prawidłowości i kompletności pochodzących od operatora lotniska danych dotyczących lotniska i dostępnych na n</w:t>
      </w:r>
      <w:r w:rsidR="00DE0098" w:rsidRPr="009E064B">
        <w:rPr>
          <w:rFonts w:asciiTheme="minorHAnsi" w:eastAsia="Times New Roman" w:hAnsiTheme="minorHAnsi" w:cstheme="minorHAnsi"/>
          <w:szCs w:val="20"/>
        </w:rPr>
        <w:t xml:space="preserve">im </w:t>
      </w:r>
      <w:r w:rsidR="00DE05DC" w:rsidRPr="009E064B">
        <w:rPr>
          <w:rFonts w:asciiTheme="minorHAnsi" w:eastAsia="Times New Roman" w:hAnsiTheme="minorHAnsi" w:cstheme="minorHAnsi"/>
          <w:szCs w:val="20"/>
        </w:rPr>
        <w:t>służb;</w:t>
      </w:r>
    </w:p>
    <w:p w14:paraId="25EB03E7" w14:textId="1A524088"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3)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powiadamia odpowiednie instytucje zapewniające służby ruchu lotniczego i służby informacji lotniczej w przypadku, gdy opublikowane dane pochodzące od operatora lotniska są nieprawidłowe lub niewłaściwe.</w:t>
      </w:r>
    </w:p>
    <w:p w14:paraId="44016D7D" w14:textId="1B79750D" w:rsidR="00B0686B" w:rsidRPr="009E064B" w:rsidRDefault="00B0686B" w:rsidP="00133B99">
      <w:pPr>
        <w:pStyle w:val="Nagwek5"/>
      </w:pPr>
      <w:bookmarkStart w:id="514" w:name="_Toc492024680"/>
      <w:bookmarkStart w:id="515" w:name="_Toc12532781"/>
      <w:r w:rsidRPr="009E064B">
        <w:t xml:space="preserve">AMC1 ADR.OPS.A.010    </w:t>
      </w:r>
      <w:r w:rsidR="004002F9" w:rsidRPr="009E064B">
        <w:t xml:space="preserve"> </w:t>
      </w:r>
      <w:r w:rsidRPr="009E064B">
        <w:t>Wymagania dotyczące jakości danych</w:t>
      </w:r>
      <w:bookmarkEnd w:id="514"/>
      <w:bookmarkEnd w:id="515"/>
    </w:p>
    <w:p w14:paraId="05D23393" w14:textId="2DEC622B"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C1135BD"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6B477B5C"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Integralność danych lotniczych powinna być utrzymywana w całym procesie ich przetwarzania od chwili ich pomiaru/przygotowania do momentu wysłania do użytkowników. Opierając się na obowiązującej klasyfikacji integralności, procedury zatwierdzania i weryfikacji powinny:</w:t>
      </w:r>
    </w:p>
    <w:p w14:paraId="3054613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dla danych zwykłych: zapewnić unikanie zniekształcenia w procesie przetwarzania danych;</w:t>
      </w:r>
    </w:p>
    <w:p w14:paraId="30238C3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dla danych ważnych: zapewnić, że zniekształcenie nie występuje na żadnym etapie całego procesu i może zawierać dodatkowe procesy, jakie są potrzebne do rozwiązania potencjalnych zagrożeń w ogólnej architekturze układu w celu dalszego zapewnienia integralności danych na tym samym poziomie; oraz</w:t>
      </w:r>
    </w:p>
    <w:p w14:paraId="5EC7347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dla danych krytycznych: zapewnić, że zniekształcenie nie występuje na żadnym etapie całego procesu i zawierać dodatkowe procedury zapewniania integralności w celu pełnego złagodzenia skutków wad stwierdzonych przez gruntowną analizę ogólnej architektury systemu, jako potencjalnych zagrożeń integralności danych.</w:t>
      </w:r>
    </w:p>
    <w:p w14:paraId="1B35415B" w14:textId="6ABC2065"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Operator lotniska powinien określić i zgłaszać dane lotnicze związane z lotniskami, zgodnie z wymogami dokładności i integralności przedstawionymi w poniższych </w:t>
      </w:r>
      <w:r w:rsidR="00F36957" w:rsidRPr="009E064B">
        <w:rPr>
          <w:rFonts w:asciiTheme="minorHAnsi" w:eastAsia="Calibri" w:hAnsiTheme="minorHAnsi" w:cstheme="minorHAnsi"/>
        </w:rPr>
        <w:t>Tabela</w:t>
      </w:r>
      <w:r w:rsidRPr="009E064B">
        <w:rPr>
          <w:rFonts w:asciiTheme="minorHAnsi" w:eastAsia="Calibri" w:hAnsiTheme="minorHAnsi" w:cstheme="minorHAnsi"/>
        </w:rPr>
        <w:t>ch:</w:t>
      </w:r>
    </w:p>
    <w:p w14:paraId="6518FE66" w14:textId="08D39899" w:rsidR="00613B6E" w:rsidRPr="009E064B" w:rsidRDefault="00613B6E">
      <w:pPr>
        <w:spacing w:after="0"/>
        <w:jc w:val="left"/>
        <w:rPr>
          <w:rFonts w:asciiTheme="minorHAnsi" w:eastAsia="Calibri" w:hAnsiTheme="minorHAnsi" w:cstheme="minorHAnsi"/>
        </w:rPr>
      </w:pPr>
      <w:r w:rsidRPr="009E064B">
        <w:rPr>
          <w:rFonts w:asciiTheme="minorHAnsi" w:eastAsia="Calibri" w:hAnsiTheme="minorHAnsi" w:cstheme="minorHAnsi"/>
        </w:rPr>
        <w:br w:type="page"/>
      </w:r>
    </w:p>
    <w:tbl>
      <w:tblPr>
        <w:tblW w:w="46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91"/>
        <w:gridCol w:w="2197"/>
        <w:gridCol w:w="1560"/>
      </w:tblGrid>
      <w:tr w:rsidR="005544B0" w:rsidRPr="009E064B" w14:paraId="213DF703" w14:textId="77777777" w:rsidTr="005544B0">
        <w:trPr>
          <w:jc w:val="center"/>
        </w:trPr>
        <w:tc>
          <w:tcPr>
            <w:tcW w:w="2828" w:type="pct"/>
            <w:tcMar>
              <w:top w:w="57" w:type="dxa"/>
              <w:left w:w="142" w:type="dxa"/>
              <w:bottom w:w="57" w:type="dxa"/>
              <w:right w:w="57" w:type="dxa"/>
            </w:tcMar>
            <w:vAlign w:val="center"/>
          </w:tcPr>
          <w:p w14:paraId="1CC18E67" w14:textId="3350C83C" w:rsidR="005544B0" w:rsidRPr="009E064B" w:rsidRDefault="005544B0"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b/>
                <w:bCs/>
              </w:rPr>
              <w:t>Szerokość i długość geograficzna</w:t>
            </w:r>
          </w:p>
        </w:tc>
        <w:tc>
          <w:tcPr>
            <w:tcW w:w="1270" w:type="pct"/>
            <w:tcMar>
              <w:top w:w="57" w:type="dxa"/>
              <w:left w:w="57" w:type="dxa"/>
              <w:bottom w:w="57" w:type="dxa"/>
              <w:right w:w="57" w:type="dxa"/>
            </w:tcMar>
            <w:vAlign w:val="center"/>
          </w:tcPr>
          <w:p w14:paraId="4880C70E" w14:textId="5C23614F" w:rsidR="005544B0" w:rsidRPr="009E064B" w:rsidRDefault="005544B0"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b/>
                <w:bCs/>
              </w:rPr>
              <w:t>Dokładność</w:t>
            </w:r>
            <w:r w:rsidRPr="009E064B">
              <w:rPr>
                <w:rFonts w:asciiTheme="minorHAnsi" w:eastAsia="Calibri" w:hAnsiTheme="minorHAnsi" w:cstheme="minorHAnsi"/>
                <w:b/>
                <w:bCs/>
              </w:rPr>
              <w:br/>
              <w:t>Rodzaj danych</w:t>
            </w:r>
          </w:p>
        </w:tc>
        <w:tc>
          <w:tcPr>
            <w:tcW w:w="902" w:type="pct"/>
            <w:tcMar>
              <w:top w:w="57" w:type="dxa"/>
              <w:left w:w="57" w:type="dxa"/>
              <w:bottom w:w="57" w:type="dxa"/>
              <w:right w:w="57" w:type="dxa"/>
            </w:tcMar>
            <w:vAlign w:val="center"/>
          </w:tcPr>
          <w:p w14:paraId="0F61426D" w14:textId="3C4C711B" w:rsidR="005544B0" w:rsidRPr="009E064B" w:rsidRDefault="005544B0"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b/>
              </w:rPr>
              <w:t>Klasyfikacja</w:t>
            </w:r>
            <w:r w:rsidRPr="009E064B">
              <w:rPr>
                <w:rFonts w:asciiTheme="minorHAnsi" w:eastAsia="Calibri" w:hAnsiTheme="minorHAnsi" w:cstheme="minorHAnsi"/>
                <w:b/>
                <w:bCs/>
              </w:rPr>
              <w:t xml:space="preserve"> </w:t>
            </w:r>
            <w:r w:rsidRPr="009E064B">
              <w:rPr>
                <w:rFonts w:asciiTheme="minorHAnsi" w:eastAsia="Calibri" w:hAnsiTheme="minorHAnsi" w:cstheme="minorHAnsi"/>
                <w:b/>
              </w:rPr>
              <w:t>integralności</w:t>
            </w:r>
          </w:p>
        </w:tc>
      </w:tr>
      <w:tr w:rsidR="00B0686B" w:rsidRPr="009E064B" w14:paraId="2F109153" w14:textId="77777777" w:rsidTr="005544B0">
        <w:trPr>
          <w:trHeight w:val="284"/>
          <w:jc w:val="center"/>
        </w:trPr>
        <w:tc>
          <w:tcPr>
            <w:tcW w:w="2828" w:type="pct"/>
            <w:tcMar>
              <w:top w:w="57" w:type="dxa"/>
              <w:left w:w="142" w:type="dxa"/>
              <w:bottom w:w="57" w:type="dxa"/>
              <w:right w:w="57" w:type="dxa"/>
            </w:tcMar>
            <w:vAlign w:val="center"/>
          </w:tcPr>
          <w:p w14:paraId="285660EA"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Punkt odniesienia lotniska.</w:t>
            </w:r>
          </w:p>
        </w:tc>
        <w:tc>
          <w:tcPr>
            <w:tcW w:w="1270" w:type="pct"/>
            <w:tcMar>
              <w:top w:w="57" w:type="dxa"/>
              <w:left w:w="57" w:type="dxa"/>
              <w:bottom w:w="57" w:type="dxa"/>
              <w:right w:w="57" w:type="dxa"/>
            </w:tcMar>
            <w:vAlign w:val="center"/>
          </w:tcPr>
          <w:p w14:paraId="2889FDF0" w14:textId="54FAD014"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30 m</w:t>
            </w:r>
            <w:r w:rsidR="005544B0" w:rsidRPr="009E064B">
              <w:rPr>
                <w:rFonts w:asciiTheme="minorHAnsi" w:eastAsia="Calibri" w:hAnsiTheme="minorHAnsi" w:cstheme="minorHAnsi"/>
              </w:rPr>
              <w:br/>
            </w:r>
            <w:r w:rsidR="00613B6E" w:rsidRPr="009E064B">
              <w:rPr>
                <w:rFonts w:asciiTheme="minorHAnsi" w:eastAsia="Calibri" w:hAnsiTheme="minorHAnsi" w:cstheme="minorHAnsi"/>
              </w:rPr>
              <w:t>(</w:t>
            </w:r>
            <w:r w:rsidRPr="009E064B">
              <w:rPr>
                <w:rFonts w:asciiTheme="minorHAnsi" w:eastAsia="Calibri" w:hAnsiTheme="minorHAnsi" w:cstheme="minorHAnsi"/>
              </w:rPr>
              <w:t>zmierzona/obliczona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50DFA6D8"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7DB4BB89" w14:textId="77777777" w:rsidTr="005544B0">
        <w:trPr>
          <w:trHeight w:val="284"/>
          <w:jc w:val="center"/>
        </w:trPr>
        <w:tc>
          <w:tcPr>
            <w:tcW w:w="2828" w:type="pct"/>
            <w:tcMar>
              <w:top w:w="57" w:type="dxa"/>
              <w:left w:w="142" w:type="dxa"/>
              <w:bottom w:w="57" w:type="dxa"/>
              <w:right w:w="57" w:type="dxa"/>
            </w:tcMar>
            <w:vAlign w:val="center"/>
          </w:tcPr>
          <w:p w14:paraId="29A3E35D"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Pomoce nawigacyjne zlokalizowane na lotnisku.</w:t>
            </w:r>
          </w:p>
        </w:tc>
        <w:tc>
          <w:tcPr>
            <w:tcW w:w="1270" w:type="pct"/>
            <w:tcMar>
              <w:top w:w="57" w:type="dxa"/>
              <w:left w:w="57" w:type="dxa"/>
              <w:bottom w:w="57" w:type="dxa"/>
              <w:right w:w="57" w:type="dxa"/>
            </w:tcMar>
            <w:vAlign w:val="center"/>
          </w:tcPr>
          <w:p w14:paraId="765CA0F2" w14:textId="39C7BC96"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_</w:t>
            </w:r>
          </w:p>
        </w:tc>
        <w:tc>
          <w:tcPr>
            <w:tcW w:w="902" w:type="pct"/>
            <w:tcMar>
              <w:top w:w="57" w:type="dxa"/>
              <w:left w:w="57" w:type="dxa"/>
              <w:bottom w:w="57" w:type="dxa"/>
              <w:right w:w="57" w:type="dxa"/>
            </w:tcMar>
            <w:vAlign w:val="center"/>
          </w:tcPr>
          <w:p w14:paraId="5A97696F"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2BB0A05D" w14:textId="77777777" w:rsidTr="005544B0">
        <w:trPr>
          <w:trHeight w:val="284"/>
          <w:jc w:val="center"/>
        </w:trPr>
        <w:tc>
          <w:tcPr>
            <w:tcW w:w="2828" w:type="pct"/>
            <w:tcMar>
              <w:top w:w="57" w:type="dxa"/>
              <w:left w:w="142" w:type="dxa"/>
              <w:bottom w:w="57" w:type="dxa"/>
              <w:right w:w="57" w:type="dxa"/>
            </w:tcMar>
            <w:vAlign w:val="center"/>
          </w:tcPr>
          <w:p w14:paraId="198B6C69"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Przeszkody w strefie 3.</w:t>
            </w:r>
          </w:p>
        </w:tc>
        <w:tc>
          <w:tcPr>
            <w:tcW w:w="1270" w:type="pct"/>
            <w:tcMar>
              <w:top w:w="57" w:type="dxa"/>
              <w:left w:w="57" w:type="dxa"/>
              <w:bottom w:w="57" w:type="dxa"/>
              <w:right w:w="57" w:type="dxa"/>
            </w:tcMar>
            <w:vAlign w:val="center"/>
          </w:tcPr>
          <w:p w14:paraId="3F2F3889" w14:textId="3FD4764E"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p>
        </w:tc>
        <w:tc>
          <w:tcPr>
            <w:tcW w:w="902" w:type="pct"/>
            <w:tcMar>
              <w:top w:w="57" w:type="dxa"/>
              <w:left w:w="57" w:type="dxa"/>
              <w:bottom w:w="57" w:type="dxa"/>
              <w:right w:w="57" w:type="dxa"/>
            </w:tcMar>
            <w:vAlign w:val="center"/>
          </w:tcPr>
          <w:p w14:paraId="1198BDA8"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2EFB50C5" w14:textId="77777777" w:rsidTr="005544B0">
        <w:trPr>
          <w:trHeight w:val="284"/>
          <w:jc w:val="center"/>
        </w:trPr>
        <w:tc>
          <w:tcPr>
            <w:tcW w:w="2828" w:type="pct"/>
            <w:tcMar>
              <w:top w:w="57" w:type="dxa"/>
              <w:left w:w="142" w:type="dxa"/>
              <w:bottom w:w="57" w:type="dxa"/>
              <w:right w:w="57" w:type="dxa"/>
            </w:tcMar>
            <w:vAlign w:val="center"/>
          </w:tcPr>
          <w:p w14:paraId="3204CA75"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Przeszkody w strefie 2 (część w granicach lotniska).</w:t>
            </w:r>
          </w:p>
        </w:tc>
        <w:tc>
          <w:tcPr>
            <w:tcW w:w="1270" w:type="pct"/>
            <w:tcMar>
              <w:top w:w="57" w:type="dxa"/>
              <w:left w:w="57" w:type="dxa"/>
              <w:bottom w:w="57" w:type="dxa"/>
              <w:right w:w="57" w:type="dxa"/>
            </w:tcMar>
            <w:vAlign w:val="center"/>
          </w:tcPr>
          <w:p w14:paraId="781F08FB" w14:textId="727DAC5A"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59A87773"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53B08F21" w14:textId="77777777" w:rsidTr="005544B0">
        <w:trPr>
          <w:trHeight w:val="284"/>
          <w:jc w:val="center"/>
        </w:trPr>
        <w:tc>
          <w:tcPr>
            <w:tcW w:w="2828" w:type="pct"/>
            <w:tcMar>
              <w:top w:w="57" w:type="dxa"/>
              <w:left w:w="142" w:type="dxa"/>
              <w:bottom w:w="57" w:type="dxa"/>
              <w:right w:w="57" w:type="dxa"/>
            </w:tcMar>
            <w:vAlign w:val="center"/>
          </w:tcPr>
          <w:p w14:paraId="7A564ECF"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Progi drogi startowej.</w:t>
            </w:r>
          </w:p>
        </w:tc>
        <w:tc>
          <w:tcPr>
            <w:tcW w:w="1270" w:type="pct"/>
            <w:tcMar>
              <w:top w:w="57" w:type="dxa"/>
              <w:left w:w="57" w:type="dxa"/>
              <w:bottom w:w="57" w:type="dxa"/>
              <w:right w:w="57" w:type="dxa"/>
            </w:tcMar>
            <w:vAlign w:val="center"/>
          </w:tcPr>
          <w:p w14:paraId="78E3DF2A" w14:textId="4F20C31C"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0,3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58F5404C"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29503A64" w14:textId="77777777" w:rsidTr="005544B0">
        <w:trPr>
          <w:trHeight w:val="284"/>
          <w:jc w:val="center"/>
        </w:trPr>
        <w:tc>
          <w:tcPr>
            <w:tcW w:w="2828" w:type="pct"/>
            <w:tcMar>
              <w:top w:w="57" w:type="dxa"/>
              <w:left w:w="142" w:type="dxa"/>
              <w:bottom w:w="57" w:type="dxa"/>
              <w:right w:w="57" w:type="dxa"/>
            </w:tcMar>
            <w:vAlign w:val="center"/>
          </w:tcPr>
          <w:p w14:paraId="376FD7EE"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Koniec drogi startowej (punkt zgrania toru lotu).</w:t>
            </w:r>
          </w:p>
        </w:tc>
        <w:tc>
          <w:tcPr>
            <w:tcW w:w="1270" w:type="pct"/>
            <w:tcMar>
              <w:top w:w="57" w:type="dxa"/>
              <w:left w:w="57" w:type="dxa"/>
              <w:bottom w:w="57" w:type="dxa"/>
              <w:right w:w="57" w:type="dxa"/>
            </w:tcMar>
            <w:vAlign w:val="center"/>
          </w:tcPr>
          <w:p w14:paraId="2EC476B3" w14:textId="2D1622BC"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613B6E" w:rsidRPr="009E064B">
              <w:rPr>
                <w:rFonts w:asciiTheme="minorHAnsi" w:eastAsia="Calibri" w:hAnsiTheme="minorHAnsi" w:cstheme="minorHAnsi"/>
              </w:rPr>
              <w:t xml:space="preserve"> (z</w:t>
            </w:r>
            <w:r w:rsidRPr="009E064B">
              <w:rPr>
                <w:rFonts w:asciiTheme="minorHAnsi" w:eastAsia="Calibri" w:hAnsiTheme="minorHAnsi" w:cstheme="minorHAnsi"/>
              </w:rPr>
              <w:t>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420A89AB"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0BB8F59B" w14:textId="77777777" w:rsidTr="005544B0">
        <w:trPr>
          <w:trHeight w:val="284"/>
          <w:jc w:val="center"/>
        </w:trPr>
        <w:tc>
          <w:tcPr>
            <w:tcW w:w="2828" w:type="pct"/>
            <w:tcMar>
              <w:top w:w="57" w:type="dxa"/>
              <w:left w:w="142" w:type="dxa"/>
              <w:bottom w:w="57" w:type="dxa"/>
              <w:right w:w="57" w:type="dxa"/>
            </w:tcMar>
            <w:vAlign w:val="center"/>
          </w:tcPr>
          <w:p w14:paraId="05DCDCEF"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Punkty linii środkowej drogi startowej.</w:t>
            </w:r>
          </w:p>
        </w:tc>
        <w:tc>
          <w:tcPr>
            <w:tcW w:w="1270" w:type="pct"/>
            <w:tcMar>
              <w:top w:w="57" w:type="dxa"/>
              <w:left w:w="57" w:type="dxa"/>
              <w:bottom w:w="57" w:type="dxa"/>
              <w:right w:w="57" w:type="dxa"/>
            </w:tcMar>
            <w:vAlign w:val="center"/>
          </w:tcPr>
          <w:p w14:paraId="79818A08" w14:textId="788BD54D"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79995E06"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7691C78A" w14:textId="77777777" w:rsidTr="005544B0">
        <w:trPr>
          <w:trHeight w:val="284"/>
          <w:jc w:val="center"/>
        </w:trPr>
        <w:tc>
          <w:tcPr>
            <w:tcW w:w="2828" w:type="pct"/>
            <w:tcMar>
              <w:top w:w="57" w:type="dxa"/>
              <w:left w:w="142" w:type="dxa"/>
              <w:bottom w:w="57" w:type="dxa"/>
              <w:right w:w="57" w:type="dxa"/>
            </w:tcMar>
            <w:vAlign w:val="center"/>
          </w:tcPr>
          <w:p w14:paraId="51B304AA"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Miejsce oczekiwania przy drodze startowej.</w:t>
            </w:r>
          </w:p>
        </w:tc>
        <w:tc>
          <w:tcPr>
            <w:tcW w:w="1270" w:type="pct"/>
            <w:tcMar>
              <w:top w:w="57" w:type="dxa"/>
              <w:left w:w="57" w:type="dxa"/>
              <w:bottom w:w="57" w:type="dxa"/>
              <w:right w:w="57" w:type="dxa"/>
            </w:tcMar>
            <w:vAlign w:val="center"/>
          </w:tcPr>
          <w:p w14:paraId="72E435C3" w14:textId="4B0BDE04"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37EF68BC"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57F5201F" w14:textId="77777777" w:rsidTr="005544B0">
        <w:trPr>
          <w:trHeight w:val="284"/>
          <w:jc w:val="center"/>
        </w:trPr>
        <w:tc>
          <w:tcPr>
            <w:tcW w:w="2828" w:type="pct"/>
            <w:tcMar>
              <w:top w:w="57" w:type="dxa"/>
              <w:left w:w="142" w:type="dxa"/>
              <w:bottom w:w="57" w:type="dxa"/>
              <w:right w:w="57" w:type="dxa"/>
            </w:tcMar>
            <w:vAlign w:val="center"/>
          </w:tcPr>
          <w:p w14:paraId="51A0F1C4"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Punkty linii środkowej drogi kołowania / linii prowadzenia przy parkowaniu.</w:t>
            </w:r>
          </w:p>
        </w:tc>
        <w:tc>
          <w:tcPr>
            <w:tcW w:w="1270" w:type="pct"/>
            <w:tcMar>
              <w:top w:w="57" w:type="dxa"/>
              <w:left w:w="57" w:type="dxa"/>
              <w:bottom w:w="57" w:type="dxa"/>
              <w:right w:w="57" w:type="dxa"/>
            </w:tcMar>
            <w:vAlign w:val="center"/>
          </w:tcPr>
          <w:p w14:paraId="78B4C82E" w14:textId="4CBCF4CE"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4A707995"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3CA6CFEA" w14:textId="77777777" w:rsidTr="005544B0">
        <w:trPr>
          <w:trHeight w:val="284"/>
          <w:jc w:val="center"/>
        </w:trPr>
        <w:tc>
          <w:tcPr>
            <w:tcW w:w="2828" w:type="pct"/>
            <w:tcMar>
              <w:top w:w="57" w:type="dxa"/>
              <w:left w:w="142" w:type="dxa"/>
              <w:bottom w:w="57" w:type="dxa"/>
              <w:right w:w="57" w:type="dxa"/>
            </w:tcMar>
            <w:vAlign w:val="center"/>
          </w:tcPr>
          <w:p w14:paraId="71DE1AAD"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Linia oznakowania skrzyżowania dróg kołowania.</w:t>
            </w:r>
          </w:p>
        </w:tc>
        <w:tc>
          <w:tcPr>
            <w:tcW w:w="1270" w:type="pct"/>
            <w:tcMar>
              <w:top w:w="57" w:type="dxa"/>
              <w:left w:w="57" w:type="dxa"/>
              <w:bottom w:w="57" w:type="dxa"/>
              <w:right w:w="57" w:type="dxa"/>
            </w:tcMar>
            <w:vAlign w:val="center"/>
          </w:tcPr>
          <w:p w14:paraId="065CC2D1" w14:textId="58D45ECB"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2FAA8B17"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2025418D" w14:textId="77777777" w:rsidTr="005544B0">
        <w:trPr>
          <w:trHeight w:val="284"/>
          <w:jc w:val="center"/>
        </w:trPr>
        <w:tc>
          <w:tcPr>
            <w:tcW w:w="2828" w:type="pct"/>
            <w:tcMar>
              <w:top w:w="57" w:type="dxa"/>
              <w:left w:w="142" w:type="dxa"/>
              <w:bottom w:w="57" w:type="dxa"/>
              <w:right w:w="57" w:type="dxa"/>
            </w:tcMar>
            <w:vAlign w:val="center"/>
          </w:tcPr>
          <w:p w14:paraId="668326B0"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Linia prowadzenia do wyjścia.</w:t>
            </w:r>
          </w:p>
        </w:tc>
        <w:tc>
          <w:tcPr>
            <w:tcW w:w="1270" w:type="pct"/>
            <w:tcMar>
              <w:top w:w="57" w:type="dxa"/>
              <w:left w:w="57" w:type="dxa"/>
              <w:bottom w:w="57" w:type="dxa"/>
              <w:right w:w="57" w:type="dxa"/>
            </w:tcMar>
            <w:vAlign w:val="center"/>
          </w:tcPr>
          <w:p w14:paraId="762C0059" w14:textId="06A3C2B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111650C5"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2A0C858C" w14:textId="77777777" w:rsidTr="005544B0">
        <w:trPr>
          <w:trHeight w:val="284"/>
          <w:jc w:val="center"/>
        </w:trPr>
        <w:tc>
          <w:tcPr>
            <w:tcW w:w="2828" w:type="pct"/>
            <w:tcMar>
              <w:top w:w="57" w:type="dxa"/>
              <w:left w:w="142" w:type="dxa"/>
              <w:bottom w:w="57" w:type="dxa"/>
              <w:right w:w="57" w:type="dxa"/>
            </w:tcMar>
            <w:vAlign w:val="center"/>
          </w:tcPr>
          <w:p w14:paraId="5050899A"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Granice płyty postojowej (wielokąt).</w:t>
            </w:r>
          </w:p>
        </w:tc>
        <w:tc>
          <w:tcPr>
            <w:tcW w:w="1270" w:type="pct"/>
            <w:tcMar>
              <w:top w:w="57" w:type="dxa"/>
              <w:left w:w="57" w:type="dxa"/>
              <w:bottom w:w="57" w:type="dxa"/>
              <w:right w:w="57" w:type="dxa"/>
            </w:tcMar>
            <w:vAlign w:val="center"/>
          </w:tcPr>
          <w:p w14:paraId="0639EC8B" w14:textId="3B8EE82B"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77343CC7"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69017B57" w14:textId="77777777" w:rsidTr="005544B0">
        <w:trPr>
          <w:trHeight w:val="284"/>
          <w:jc w:val="center"/>
        </w:trPr>
        <w:tc>
          <w:tcPr>
            <w:tcW w:w="2828" w:type="pct"/>
            <w:tcMar>
              <w:top w:w="57" w:type="dxa"/>
              <w:left w:w="142" w:type="dxa"/>
              <w:bottom w:w="57" w:type="dxa"/>
              <w:right w:w="57" w:type="dxa"/>
            </w:tcMar>
            <w:vAlign w:val="center"/>
          </w:tcPr>
          <w:p w14:paraId="3D6C0B06"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Strefa odladzania/przeciwdziałania oblodzeniu (wielokąt).</w:t>
            </w:r>
          </w:p>
        </w:tc>
        <w:tc>
          <w:tcPr>
            <w:tcW w:w="1270" w:type="pct"/>
            <w:tcMar>
              <w:top w:w="57" w:type="dxa"/>
              <w:left w:w="57" w:type="dxa"/>
              <w:bottom w:w="57" w:type="dxa"/>
              <w:right w:w="57" w:type="dxa"/>
            </w:tcMar>
            <w:vAlign w:val="center"/>
          </w:tcPr>
          <w:p w14:paraId="2D350C58" w14:textId="0EFA874F"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672747FC"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1C393FEC" w14:textId="77777777" w:rsidTr="005544B0">
        <w:trPr>
          <w:trHeight w:val="284"/>
          <w:jc w:val="center"/>
        </w:trPr>
        <w:tc>
          <w:tcPr>
            <w:tcW w:w="2828" w:type="pct"/>
            <w:tcMar>
              <w:top w:w="57" w:type="dxa"/>
              <w:left w:w="142" w:type="dxa"/>
              <w:bottom w:w="57" w:type="dxa"/>
              <w:right w:w="57" w:type="dxa"/>
            </w:tcMar>
            <w:vAlign w:val="center"/>
          </w:tcPr>
          <w:p w14:paraId="78E5AEEA" w14:textId="77777777" w:rsidR="00B0686B" w:rsidRPr="009E064B" w:rsidRDefault="00B0686B" w:rsidP="005544B0">
            <w:pPr>
              <w:widowControl/>
              <w:spacing w:before="60" w:after="60"/>
              <w:jc w:val="left"/>
              <w:rPr>
                <w:rFonts w:asciiTheme="minorHAnsi" w:eastAsia="Calibri" w:hAnsiTheme="minorHAnsi" w:cstheme="minorHAnsi"/>
              </w:rPr>
            </w:pPr>
            <w:r w:rsidRPr="009E064B">
              <w:rPr>
                <w:rFonts w:asciiTheme="minorHAnsi" w:eastAsia="Calibri" w:hAnsiTheme="minorHAnsi" w:cstheme="minorHAnsi"/>
              </w:rPr>
              <w:t>Stanowiska postojowe statków powietrznych/punkty sprawdzania INS.</w:t>
            </w:r>
          </w:p>
        </w:tc>
        <w:tc>
          <w:tcPr>
            <w:tcW w:w="1270" w:type="pct"/>
            <w:tcMar>
              <w:top w:w="57" w:type="dxa"/>
              <w:left w:w="57" w:type="dxa"/>
              <w:bottom w:w="57" w:type="dxa"/>
              <w:right w:w="57" w:type="dxa"/>
            </w:tcMar>
            <w:vAlign w:val="center"/>
          </w:tcPr>
          <w:p w14:paraId="6CC5E0FB" w14:textId="7296EC2A"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0,5 m</w:t>
            </w:r>
            <w:r w:rsidR="00613B6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613B6E" w:rsidRPr="009E064B">
              <w:rPr>
                <w:rFonts w:asciiTheme="minorHAnsi" w:eastAsia="Calibri" w:hAnsiTheme="minorHAnsi" w:cstheme="minorHAnsi"/>
              </w:rPr>
              <w:t>)</w:t>
            </w:r>
          </w:p>
        </w:tc>
        <w:tc>
          <w:tcPr>
            <w:tcW w:w="902" w:type="pct"/>
            <w:tcMar>
              <w:top w:w="57" w:type="dxa"/>
              <w:left w:w="57" w:type="dxa"/>
              <w:bottom w:w="57" w:type="dxa"/>
              <w:right w:w="57" w:type="dxa"/>
            </w:tcMar>
            <w:vAlign w:val="center"/>
          </w:tcPr>
          <w:p w14:paraId="7E54F49E"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bl>
    <w:p w14:paraId="623DBC37" w14:textId="77777777" w:rsidR="002C4C40" w:rsidRDefault="002C4C40" w:rsidP="002C4C40">
      <w:pPr>
        <w:widowControl/>
        <w:jc w:val="center"/>
        <w:rPr>
          <w:rFonts w:asciiTheme="minorHAnsi" w:hAnsiTheme="minorHAnsi" w:cstheme="minorHAnsi"/>
          <w:b/>
          <w:sz w:val="20"/>
        </w:rPr>
      </w:pPr>
    </w:p>
    <w:p w14:paraId="72793C62" w14:textId="2ED5FC53" w:rsidR="005544B0" w:rsidRPr="002C4C40" w:rsidRDefault="00B0686B" w:rsidP="002C4C40">
      <w:pPr>
        <w:widowControl/>
        <w:jc w:val="center"/>
        <w:rPr>
          <w:rFonts w:asciiTheme="minorHAnsi" w:hAnsiTheme="minorHAnsi" w:cstheme="minorHAnsi"/>
          <w:b/>
          <w:sz w:val="20"/>
        </w:rPr>
      </w:pPr>
      <w:r w:rsidRPr="002C4C40">
        <w:rPr>
          <w:rFonts w:asciiTheme="minorHAnsi" w:hAnsiTheme="minorHAnsi" w:cstheme="minorHAnsi"/>
          <w:b/>
          <w:sz w:val="20"/>
        </w:rPr>
        <w:t>Tabela 1 – Szerokość i długość geograficzna</w:t>
      </w:r>
      <w:r w:rsidR="002E1847" w:rsidRPr="002C4C40">
        <w:rPr>
          <w:rFonts w:asciiTheme="minorHAnsi" w:hAnsiTheme="minorHAnsi" w:cstheme="minorHAnsi"/>
          <w:b/>
          <w:sz w:val="20"/>
        </w:rPr>
        <w:t xml:space="preserve"> </w:t>
      </w:r>
    </w:p>
    <w:p w14:paraId="33964B71" w14:textId="5BD2E1F5" w:rsidR="005544B0" w:rsidRPr="009E064B" w:rsidRDefault="005544B0">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44336E49" w14:textId="18509368" w:rsidR="005544B0" w:rsidRPr="009E064B" w:rsidRDefault="005544B0">
      <w:pPr>
        <w:spacing w:after="0"/>
        <w:jc w:val="left"/>
        <w:rPr>
          <w:rFonts w:asciiTheme="minorHAnsi" w:eastAsia="Calibri" w:hAnsiTheme="minorHAnsi" w:cstheme="minorHAnsi"/>
        </w:rPr>
      </w:pPr>
    </w:p>
    <w:tbl>
      <w:tblPr>
        <w:tblW w:w="47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7"/>
        <w:gridCol w:w="2219"/>
        <w:gridCol w:w="1514"/>
      </w:tblGrid>
      <w:tr w:rsidR="005544B0" w:rsidRPr="009E064B" w14:paraId="451FBF19" w14:textId="77777777" w:rsidTr="005544B0">
        <w:trPr>
          <w:jc w:val="center"/>
        </w:trPr>
        <w:tc>
          <w:tcPr>
            <w:tcW w:w="2855" w:type="pct"/>
            <w:tcMar>
              <w:top w:w="28" w:type="dxa"/>
              <w:left w:w="113" w:type="dxa"/>
              <w:bottom w:w="28" w:type="dxa"/>
              <w:right w:w="57" w:type="dxa"/>
            </w:tcMar>
            <w:vAlign w:val="center"/>
          </w:tcPr>
          <w:p w14:paraId="1836BA3A" w14:textId="4148760A" w:rsidR="005544B0" w:rsidRPr="009E064B" w:rsidRDefault="005544B0"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b/>
                <w:bCs/>
                <w:sz w:val="20"/>
              </w:rPr>
              <w:t>Wysokość/wysokość bezwzględna/wysokość względna</w:t>
            </w:r>
          </w:p>
        </w:tc>
        <w:tc>
          <w:tcPr>
            <w:tcW w:w="1275" w:type="pct"/>
            <w:tcMar>
              <w:top w:w="28" w:type="dxa"/>
              <w:left w:w="57" w:type="dxa"/>
              <w:bottom w:w="28" w:type="dxa"/>
              <w:right w:w="57" w:type="dxa"/>
            </w:tcMar>
            <w:vAlign w:val="center"/>
          </w:tcPr>
          <w:p w14:paraId="0692FE91" w14:textId="69F093C5" w:rsidR="005544B0" w:rsidRPr="009E064B" w:rsidRDefault="005544B0"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b/>
                <w:bCs/>
                <w:sz w:val="20"/>
              </w:rPr>
              <w:t>Dokładność</w:t>
            </w:r>
            <w:r w:rsidRPr="009E064B">
              <w:rPr>
                <w:rFonts w:asciiTheme="minorHAnsi" w:eastAsia="Calibri" w:hAnsiTheme="minorHAnsi" w:cstheme="minorHAnsi"/>
                <w:b/>
                <w:bCs/>
                <w:sz w:val="20"/>
              </w:rPr>
              <w:br/>
              <w:t>Rodzaj danych</w:t>
            </w:r>
          </w:p>
        </w:tc>
        <w:tc>
          <w:tcPr>
            <w:tcW w:w="870" w:type="pct"/>
            <w:tcMar>
              <w:top w:w="28" w:type="dxa"/>
              <w:left w:w="57" w:type="dxa"/>
              <w:bottom w:w="28" w:type="dxa"/>
              <w:right w:w="57" w:type="dxa"/>
            </w:tcMar>
            <w:vAlign w:val="center"/>
          </w:tcPr>
          <w:p w14:paraId="503CBCB1" w14:textId="38B4B0DC" w:rsidR="005544B0" w:rsidRPr="009E064B" w:rsidRDefault="005544B0"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b/>
                <w:bCs/>
                <w:sz w:val="20"/>
              </w:rPr>
              <w:t>Klasyfikacja integralności</w:t>
            </w:r>
          </w:p>
        </w:tc>
      </w:tr>
      <w:tr w:rsidR="00B0686B" w:rsidRPr="009E064B" w14:paraId="1B1E69A6" w14:textId="77777777" w:rsidTr="005544B0">
        <w:trPr>
          <w:trHeight w:val="284"/>
          <w:jc w:val="center"/>
        </w:trPr>
        <w:tc>
          <w:tcPr>
            <w:tcW w:w="2855" w:type="pct"/>
            <w:tcMar>
              <w:top w:w="28" w:type="dxa"/>
              <w:left w:w="113" w:type="dxa"/>
              <w:bottom w:w="28" w:type="dxa"/>
              <w:right w:w="57" w:type="dxa"/>
            </w:tcMar>
            <w:vAlign w:val="center"/>
          </w:tcPr>
          <w:p w14:paraId="64EC9ABA"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Wysokość lotniska.</w:t>
            </w:r>
          </w:p>
        </w:tc>
        <w:tc>
          <w:tcPr>
            <w:tcW w:w="1275" w:type="pct"/>
            <w:tcMar>
              <w:top w:w="28" w:type="dxa"/>
              <w:left w:w="57" w:type="dxa"/>
              <w:bottom w:w="28" w:type="dxa"/>
              <w:right w:w="57" w:type="dxa"/>
            </w:tcMar>
            <w:vAlign w:val="center"/>
          </w:tcPr>
          <w:p w14:paraId="576FBA52" w14:textId="361E2B06"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0,5 m</w:t>
            </w:r>
            <w:r w:rsidR="00613B6E"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613B6E"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744BCDAD"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6BA231B2" w14:textId="77777777" w:rsidTr="005544B0">
        <w:trPr>
          <w:trHeight w:val="284"/>
          <w:jc w:val="center"/>
        </w:trPr>
        <w:tc>
          <w:tcPr>
            <w:tcW w:w="2855" w:type="pct"/>
            <w:tcMar>
              <w:top w:w="28" w:type="dxa"/>
              <w:left w:w="113" w:type="dxa"/>
              <w:bottom w:w="28" w:type="dxa"/>
              <w:right w:w="57" w:type="dxa"/>
            </w:tcMar>
            <w:vAlign w:val="center"/>
          </w:tcPr>
          <w:p w14:paraId="78C7CC42"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Undulacja geoidy WGS-84 w punkcie pomiaru wysokości lotniska.</w:t>
            </w:r>
          </w:p>
        </w:tc>
        <w:tc>
          <w:tcPr>
            <w:tcW w:w="1275" w:type="pct"/>
            <w:tcMar>
              <w:top w:w="28" w:type="dxa"/>
              <w:left w:w="57" w:type="dxa"/>
              <w:bottom w:w="28" w:type="dxa"/>
              <w:right w:w="57" w:type="dxa"/>
            </w:tcMar>
            <w:vAlign w:val="center"/>
          </w:tcPr>
          <w:p w14:paraId="62CBD5A0" w14:textId="7EB45618"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40CF4BF8"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4D4D53C9" w14:textId="77777777" w:rsidTr="005544B0">
        <w:trPr>
          <w:trHeight w:val="284"/>
          <w:jc w:val="center"/>
        </w:trPr>
        <w:tc>
          <w:tcPr>
            <w:tcW w:w="2855" w:type="pct"/>
            <w:tcMar>
              <w:top w:w="28" w:type="dxa"/>
              <w:left w:w="113" w:type="dxa"/>
              <w:bottom w:w="28" w:type="dxa"/>
              <w:right w:w="57" w:type="dxa"/>
            </w:tcMar>
            <w:vAlign w:val="center"/>
          </w:tcPr>
          <w:p w14:paraId="48597A3E"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Próg drogi startowej, podejście nieprecyzyjne.</w:t>
            </w:r>
          </w:p>
        </w:tc>
        <w:tc>
          <w:tcPr>
            <w:tcW w:w="1275" w:type="pct"/>
            <w:tcMar>
              <w:top w:w="28" w:type="dxa"/>
              <w:left w:w="57" w:type="dxa"/>
              <w:bottom w:w="28" w:type="dxa"/>
              <w:right w:w="57" w:type="dxa"/>
            </w:tcMar>
            <w:vAlign w:val="center"/>
          </w:tcPr>
          <w:p w14:paraId="1D1033A2" w14:textId="4C6748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11999DF4"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667FA473" w14:textId="77777777" w:rsidTr="005544B0">
        <w:trPr>
          <w:trHeight w:val="284"/>
          <w:jc w:val="center"/>
        </w:trPr>
        <w:tc>
          <w:tcPr>
            <w:tcW w:w="2855" w:type="pct"/>
            <w:tcMar>
              <w:top w:w="28" w:type="dxa"/>
              <w:left w:w="113" w:type="dxa"/>
              <w:bottom w:w="28" w:type="dxa"/>
              <w:right w:w="57" w:type="dxa"/>
            </w:tcMar>
            <w:vAlign w:val="center"/>
          </w:tcPr>
          <w:p w14:paraId="2A941E10"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Undulacja geoidy WGS-84 na progu drogi startowej, podejście nieprecyzyjne.</w:t>
            </w:r>
          </w:p>
        </w:tc>
        <w:tc>
          <w:tcPr>
            <w:tcW w:w="1275" w:type="pct"/>
            <w:tcMar>
              <w:top w:w="28" w:type="dxa"/>
              <w:left w:w="57" w:type="dxa"/>
              <w:bottom w:w="28" w:type="dxa"/>
              <w:right w:w="57" w:type="dxa"/>
            </w:tcMar>
            <w:vAlign w:val="center"/>
          </w:tcPr>
          <w:p w14:paraId="5A310F3B" w14:textId="46904898"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27223608"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4E356330" w14:textId="77777777" w:rsidTr="005544B0">
        <w:trPr>
          <w:trHeight w:val="284"/>
          <w:jc w:val="center"/>
        </w:trPr>
        <w:tc>
          <w:tcPr>
            <w:tcW w:w="2855" w:type="pct"/>
            <w:tcMar>
              <w:top w:w="28" w:type="dxa"/>
              <w:left w:w="113" w:type="dxa"/>
              <w:bottom w:w="28" w:type="dxa"/>
              <w:right w:w="57" w:type="dxa"/>
            </w:tcMar>
            <w:vAlign w:val="center"/>
          </w:tcPr>
          <w:p w14:paraId="49D4BDEC"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Próg drogi startowej, podejście precyzyjne.</w:t>
            </w:r>
          </w:p>
        </w:tc>
        <w:tc>
          <w:tcPr>
            <w:tcW w:w="1275" w:type="pct"/>
            <w:tcMar>
              <w:top w:w="28" w:type="dxa"/>
              <w:left w:w="57" w:type="dxa"/>
              <w:bottom w:w="28" w:type="dxa"/>
              <w:right w:w="57" w:type="dxa"/>
            </w:tcMar>
            <w:vAlign w:val="center"/>
          </w:tcPr>
          <w:p w14:paraId="2E73784D" w14:textId="54F6094A"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0,25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1EDAE2A4"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krytyczna</w:t>
            </w:r>
          </w:p>
        </w:tc>
      </w:tr>
      <w:tr w:rsidR="00B0686B" w:rsidRPr="009E064B" w14:paraId="2B2685AF" w14:textId="77777777" w:rsidTr="005544B0">
        <w:trPr>
          <w:trHeight w:val="284"/>
          <w:jc w:val="center"/>
        </w:trPr>
        <w:tc>
          <w:tcPr>
            <w:tcW w:w="2855" w:type="pct"/>
            <w:tcMar>
              <w:top w:w="28" w:type="dxa"/>
              <w:left w:w="113" w:type="dxa"/>
              <w:bottom w:w="28" w:type="dxa"/>
              <w:right w:w="57" w:type="dxa"/>
            </w:tcMar>
            <w:vAlign w:val="center"/>
          </w:tcPr>
          <w:p w14:paraId="712B1412"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Undulacja geoidy WGS-84 na progu drogi startowej, podejście precyzyjne.</w:t>
            </w:r>
          </w:p>
        </w:tc>
        <w:tc>
          <w:tcPr>
            <w:tcW w:w="1275" w:type="pct"/>
            <w:tcMar>
              <w:top w:w="28" w:type="dxa"/>
              <w:left w:w="57" w:type="dxa"/>
              <w:bottom w:w="28" w:type="dxa"/>
              <w:right w:w="57" w:type="dxa"/>
            </w:tcMar>
            <w:vAlign w:val="center"/>
          </w:tcPr>
          <w:p w14:paraId="55956EBD" w14:textId="4CC69C0C"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0,25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60C61BD4"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krytyczna</w:t>
            </w:r>
          </w:p>
        </w:tc>
      </w:tr>
      <w:tr w:rsidR="00B0686B" w:rsidRPr="009E064B" w14:paraId="2BC402E4" w14:textId="77777777" w:rsidTr="005544B0">
        <w:trPr>
          <w:trHeight w:val="284"/>
          <w:jc w:val="center"/>
        </w:trPr>
        <w:tc>
          <w:tcPr>
            <w:tcW w:w="2855" w:type="pct"/>
            <w:tcMar>
              <w:top w:w="28" w:type="dxa"/>
              <w:left w:w="113" w:type="dxa"/>
              <w:bottom w:w="28" w:type="dxa"/>
              <w:right w:w="57" w:type="dxa"/>
            </w:tcMar>
            <w:vAlign w:val="center"/>
          </w:tcPr>
          <w:p w14:paraId="7FE3531A"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Punkty linii środkowej drogi startowej.</w:t>
            </w:r>
          </w:p>
        </w:tc>
        <w:tc>
          <w:tcPr>
            <w:tcW w:w="1275" w:type="pct"/>
            <w:tcMar>
              <w:top w:w="28" w:type="dxa"/>
              <w:left w:w="57" w:type="dxa"/>
              <w:bottom w:w="28" w:type="dxa"/>
              <w:right w:w="57" w:type="dxa"/>
            </w:tcMar>
            <w:vAlign w:val="center"/>
          </w:tcPr>
          <w:p w14:paraId="1C0D196F" w14:textId="0837CE4C"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0,25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3D9582B4"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krytyczna</w:t>
            </w:r>
          </w:p>
        </w:tc>
      </w:tr>
      <w:tr w:rsidR="00B0686B" w:rsidRPr="009E064B" w14:paraId="4D8D7789" w14:textId="77777777" w:rsidTr="005544B0">
        <w:trPr>
          <w:trHeight w:val="284"/>
          <w:jc w:val="center"/>
        </w:trPr>
        <w:tc>
          <w:tcPr>
            <w:tcW w:w="2855" w:type="pct"/>
            <w:tcMar>
              <w:top w:w="28" w:type="dxa"/>
              <w:left w:w="113" w:type="dxa"/>
              <w:bottom w:w="28" w:type="dxa"/>
              <w:right w:w="57" w:type="dxa"/>
            </w:tcMar>
            <w:vAlign w:val="center"/>
          </w:tcPr>
          <w:p w14:paraId="19AFB3F4"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Punkty linii środkowej drogi kołowania/linii prowadzenia przy parkowaniu.</w:t>
            </w:r>
          </w:p>
        </w:tc>
        <w:tc>
          <w:tcPr>
            <w:tcW w:w="1275" w:type="pct"/>
            <w:tcMar>
              <w:top w:w="28" w:type="dxa"/>
              <w:left w:w="57" w:type="dxa"/>
              <w:bottom w:w="28" w:type="dxa"/>
              <w:right w:w="57" w:type="dxa"/>
            </w:tcMar>
            <w:vAlign w:val="center"/>
          </w:tcPr>
          <w:p w14:paraId="3FD559C5" w14:textId="06AC34AE"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1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76E1BFF1"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4EF5BE30" w14:textId="77777777" w:rsidTr="005544B0">
        <w:trPr>
          <w:trHeight w:val="284"/>
          <w:jc w:val="center"/>
        </w:trPr>
        <w:tc>
          <w:tcPr>
            <w:tcW w:w="2855" w:type="pct"/>
            <w:tcMar>
              <w:top w:w="28" w:type="dxa"/>
              <w:left w:w="113" w:type="dxa"/>
              <w:bottom w:w="28" w:type="dxa"/>
              <w:right w:w="57" w:type="dxa"/>
            </w:tcMar>
            <w:vAlign w:val="center"/>
          </w:tcPr>
          <w:p w14:paraId="472FADB1"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Przeszkody w strefie 2 (część w granicach lotniska).</w:t>
            </w:r>
          </w:p>
        </w:tc>
        <w:tc>
          <w:tcPr>
            <w:tcW w:w="1275" w:type="pct"/>
            <w:tcMar>
              <w:top w:w="28" w:type="dxa"/>
              <w:left w:w="57" w:type="dxa"/>
              <w:bottom w:w="28" w:type="dxa"/>
              <w:right w:w="57" w:type="dxa"/>
            </w:tcMar>
            <w:vAlign w:val="center"/>
          </w:tcPr>
          <w:p w14:paraId="7BEFFE6D" w14:textId="3E3F10A0"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3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410098E1"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10D0893F" w14:textId="77777777" w:rsidTr="005544B0">
        <w:trPr>
          <w:trHeight w:val="284"/>
          <w:jc w:val="center"/>
        </w:trPr>
        <w:tc>
          <w:tcPr>
            <w:tcW w:w="2855" w:type="pct"/>
            <w:tcMar>
              <w:top w:w="28" w:type="dxa"/>
              <w:left w:w="113" w:type="dxa"/>
              <w:bottom w:w="28" w:type="dxa"/>
              <w:right w:w="57" w:type="dxa"/>
            </w:tcMar>
            <w:vAlign w:val="center"/>
          </w:tcPr>
          <w:p w14:paraId="448E1818"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Przeszkody w strefie 3.</w:t>
            </w:r>
          </w:p>
        </w:tc>
        <w:tc>
          <w:tcPr>
            <w:tcW w:w="1275" w:type="pct"/>
            <w:tcMar>
              <w:top w:w="28" w:type="dxa"/>
              <w:left w:w="57" w:type="dxa"/>
              <w:bottom w:w="28" w:type="dxa"/>
              <w:right w:w="57" w:type="dxa"/>
            </w:tcMar>
            <w:vAlign w:val="center"/>
          </w:tcPr>
          <w:p w14:paraId="06222CAD" w14:textId="26D363E4"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0,5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68188C70"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432D9B9C" w14:textId="77777777" w:rsidTr="005544B0">
        <w:trPr>
          <w:trHeight w:val="284"/>
          <w:jc w:val="center"/>
        </w:trPr>
        <w:tc>
          <w:tcPr>
            <w:tcW w:w="2855" w:type="pct"/>
            <w:tcMar>
              <w:top w:w="28" w:type="dxa"/>
              <w:left w:w="113" w:type="dxa"/>
              <w:bottom w:w="28" w:type="dxa"/>
              <w:right w:w="57" w:type="dxa"/>
            </w:tcMar>
            <w:vAlign w:val="center"/>
          </w:tcPr>
          <w:p w14:paraId="2B2DE039" w14:textId="77777777" w:rsidR="00B0686B" w:rsidRPr="009E064B" w:rsidRDefault="00B0686B" w:rsidP="005544B0">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Radio-odległościomierz precyzyjny (DME/P).</w:t>
            </w:r>
          </w:p>
        </w:tc>
        <w:tc>
          <w:tcPr>
            <w:tcW w:w="1275" w:type="pct"/>
            <w:tcMar>
              <w:top w:w="28" w:type="dxa"/>
              <w:left w:w="57" w:type="dxa"/>
              <w:bottom w:w="28" w:type="dxa"/>
              <w:right w:w="57" w:type="dxa"/>
            </w:tcMar>
            <w:vAlign w:val="center"/>
          </w:tcPr>
          <w:p w14:paraId="01FEF93D" w14:textId="05AF3A3B"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3 m</w:t>
            </w:r>
            <w:r w:rsidR="00950E48"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950E48" w:rsidRPr="009E064B">
              <w:rPr>
                <w:rFonts w:asciiTheme="minorHAnsi" w:eastAsia="Calibri" w:hAnsiTheme="minorHAnsi" w:cstheme="minorHAnsi"/>
                <w:sz w:val="20"/>
              </w:rPr>
              <w:t>)</w:t>
            </w:r>
          </w:p>
        </w:tc>
        <w:tc>
          <w:tcPr>
            <w:tcW w:w="870" w:type="pct"/>
            <w:tcMar>
              <w:top w:w="28" w:type="dxa"/>
              <w:left w:w="57" w:type="dxa"/>
              <w:bottom w:w="28" w:type="dxa"/>
              <w:right w:w="57" w:type="dxa"/>
            </w:tcMar>
            <w:vAlign w:val="center"/>
          </w:tcPr>
          <w:p w14:paraId="2DAC39AE" w14:textId="77777777" w:rsidR="00B0686B" w:rsidRPr="009E064B" w:rsidRDefault="00B0686B" w:rsidP="005544B0">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bl>
    <w:p w14:paraId="0E1CE8EC" w14:textId="77777777" w:rsidR="002C4C40" w:rsidRDefault="002C4C40" w:rsidP="002C4C40">
      <w:pPr>
        <w:widowControl/>
        <w:jc w:val="center"/>
        <w:rPr>
          <w:rFonts w:asciiTheme="minorHAnsi" w:hAnsiTheme="minorHAnsi" w:cstheme="minorHAnsi"/>
          <w:b/>
          <w:sz w:val="20"/>
        </w:rPr>
      </w:pPr>
    </w:p>
    <w:p w14:paraId="47B78085" w14:textId="2B4EEE68" w:rsidR="00B0686B" w:rsidRPr="002C4C40" w:rsidRDefault="00B0686B" w:rsidP="002C4C40">
      <w:pPr>
        <w:widowControl/>
        <w:jc w:val="center"/>
        <w:rPr>
          <w:rFonts w:asciiTheme="minorHAnsi" w:hAnsiTheme="minorHAnsi" w:cstheme="minorHAnsi"/>
          <w:b/>
          <w:sz w:val="20"/>
        </w:rPr>
      </w:pPr>
      <w:r w:rsidRPr="002C4C40">
        <w:rPr>
          <w:rFonts w:asciiTheme="minorHAnsi" w:hAnsiTheme="minorHAnsi" w:cstheme="minorHAnsi"/>
          <w:b/>
          <w:sz w:val="20"/>
        </w:rPr>
        <w:t>Tabela 2 – Wysokość/wysokość bezwzględna/wysokość względna</w:t>
      </w:r>
    </w:p>
    <w:p w14:paraId="11D38F2E" w14:textId="77777777" w:rsidR="005544B0" w:rsidRPr="009E064B" w:rsidRDefault="005544B0" w:rsidP="00950E48">
      <w:pPr>
        <w:widowControl/>
        <w:spacing w:before="240" w:after="240"/>
        <w:jc w:val="center"/>
        <w:rPr>
          <w:rFonts w:asciiTheme="minorHAnsi" w:eastAsia="Calibr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61"/>
        <w:gridCol w:w="2126"/>
        <w:gridCol w:w="1514"/>
      </w:tblGrid>
      <w:tr w:rsidR="00B0686B" w:rsidRPr="009E064B" w14:paraId="6FCED380" w14:textId="77777777" w:rsidTr="004D72AC">
        <w:trPr>
          <w:jc w:val="center"/>
        </w:trPr>
        <w:tc>
          <w:tcPr>
            <w:tcW w:w="5061" w:type="dxa"/>
            <w:tcMar>
              <w:top w:w="28" w:type="dxa"/>
              <w:left w:w="57" w:type="dxa"/>
              <w:bottom w:w="28" w:type="dxa"/>
              <w:right w:w="57" w:type="dxa"/>
            </w:tcMar>
            <w:vAlign w:val="center"/>
          </w:tcPr>
          <w:p w14:paraId="1C3098DA" w14:textId="77777777" w:rsidR="00B0686B" w:rsidRPr="009E064B" w:rsidRDefault="00B0686B" w:rsidP="005544B0">
            <w:pPr>
              <w:widowControl/>
              <w:spacing w:before="60" w:after="60"/>
              <w:jc w:val="center"/>
              <w:rPr>
                <w:rFonts w:asciiTheme="minorHAnsi" w:eastAsia="Calibri" w:hAnsiTheme="minorHAnsi" w:cstheme="minorHAnsi"/>
                <w:b/>
                <w:bCs/>
              </w:rPr>
            </w:pPr>
            <w:r w:rsidRPr="009E064B">
              <w:rPr>
                <w:rFonts w:asciiTheme="minorHAnsi" w:eastAsia="Calibri" w:hAnsiTheme="minorHAnsi" w:cstheme="minorHAnsi"/>
                <w:b/>
                <w:bCs/>
              </w:rPr>
              <w:t>Deklinacja/deklinacja magnetyczna</w:t>
            </w:r>
          </w:p>
        </w:tc>
        <w:tc>
          <w:tcPr>
            <w:tcW w:w="2126" w:type="dxa"/>
            <w:tcMar>
              <w:top w:w="28" w:type="dxa"/>
              <w:left w:w="57" w:type="dxa"/>
              <w:bottom w:w="28" w:type="dxa"/>
              <w:right w:w="57" w:type="dxa"/>
            </w:tcMar>
            <w:vAlign w:val="center"/>
          </w:tcPr>
          <w:p w14:paraId="23FA535F" w14:textId="297ABA1B"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b/>
                <w:bCs/>
              </w:rPr>
              <w:t>Dokładność</w:t>
            </w:r>
            <w:r w:rsidR="005544B0" w:rsidRPr="009E064B">
              <w:rPr>
                <w:rFonts w:asciiTheme="minorHAnsi" w:eastAsia="Calibri" w:hAnsiTheme="minorHAnsi" w:cstheme="minorHAnsi"/>
                <w:b/>
                <w:bCs/>
              </w:rPr>
              <w:br/>
            </w:r>
            <w:r w:rsidRPr="009E064B">
              <w:rPr>
                <w:rFonts w:asciiTheme="minorHAnsi" w:eastAsia="Calibri" w:hAnsiTheme="minorHAnsi" w:cstheme="minorHAnsi"/>
                <w:b/>
                <w:bCs/>
              </w:rPr>
              <w:t>Rodzaj danych</w:t>
            </w:r>
          </w:p>
        </w:tc>
        <w:tc>
          <w:tcPr>
            <w:tcW w:w="1514" w:type="dxa"/>
            <w:tcMar>
              <w:top w:w="28" w:type="dxa"/>
              <w:left w:w="57" w:type="dxa"/>
              <w:bottom w:w="28" w:type="dxa"/>
              <w:right w:w="57" w:type="dxa"/>
            </w:tcMar>
            <w:vAlign w:val="center"/>
          </w:tcPr>
          <w:p w14:paraId="555D1A82" w14:textId="77777777" w:rsidR="00B0686B" w:rsidRPr="009E064B" w:rsidRDefault="00B0686B" w:rsidP="005544B0">
            <w:pPr>
              <w:widowControl/>
              <w:spacing w:before="60" w:after="60"/>
              <w:jc w:val="center"/>
              <w:rPr>
                <w:rFonts w:asciiTheme="minorHAnsi" w:eastAsia="Calibri" w:hAnsiTheme="minorHAnsi" w:cstheme="minorHAnsi"/>
                <w:b/>
                <w:bCs/>
              </w:rPr>
            </w:pPr>
            <w:r w:rsidRPr="009E064B">
              <w:rPr>
                <w:rFonts w:asciiTheme="minorHAnsi" w:eastAsia="Calibri" w:hAnsiTheme="minorHAnsi" w:cstheme="minorHAnsi"/>
                <w:b/>
                <w:bCs/>
              </w:rPr>
              <w:t>Klasyfikacja integralności</w:t>
            </w:r>
          </w:p>
        </w:tc>
      </w:tr>
      <w:tr w:rsidR="00B0686B" w:rsidRPr="009E064B" w14:paraId="391E881A" w14:textId="77777777" w:rsidTr="004D72AC">
        <w:trPr>
          <w:jc w:val="center"/>
        </w:trPr>
        <w:tc>
          <w:tcPr>
            <w:tcW w:w="5061" w:type="dxa"/>
            <w:tcMar>
              <w:top w:w="85" w:type="dxa"/>
              <w:left w:w="57" w:type="dxa"/>
              <w:bottom w:w="85" w:type="dxa"/>
              <w:right w:w="57" w:type="dxa"/>
            </w:tcMar>
            <w:vAlign w:val="center"/>
          </w:tcPr>
          <w:p w14:paraId="6C94D361" w14:textId="77777777" w:rsidR="00B0686B" w:rsidRPr="009E064B" w:rsidRDefault="00B0686B" w:rsidP="005544B0">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Deklinacja VHF NAVAID do technicznego zestrojenia stacji.</w:t>
            </w:r>
          </w:p>
        </w:tc>
        <w:tc>
          <w:tcPr>
            <w:tcW w:w="2126" w:type="dxa"/>
            <w:tcMar>
              <w:top w:w="85" w:type="dxa"/>
              <w:left w:w="57" w:type="dxa"/>
              <w:bottom w:w="85" w:type="dxa"/>
              <w:right w:w="57" w:type="dxa"/>
            </w:tcMar>
            <w:vAlign w:val="center"/>
          </w:tcPr>
          <w:p w14:paraId="133B68AB" w14:textId="5C50F2B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stopień</w:t>
            </w:r>
            <w:r w:rsidR="00950E48"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950E48" w:rsidRPr="009E064B">
              <w:rPr>
                <w:rFonts w:asciiTheme="minorHAnsi" w:eastAsia="Calibri" w:hAnsiTheme="minorHAnsi" w:cstheme="minorHAnsi"/>
              </w:rPr>
              <w:t>)</w:t>
            </w:r>
          </w:p>
        </w:tc>
        <w:tc>
          <w:tcPr>
            <w:tcW w:w="1514" w:type="dxa"/>
            <w:tcMar>
              <w:top w:w="85" w:type="dxa"/>
              <w:left w:w="57" w:type="dxa"/>
              <w:bottom w:w="85" w:type="dxa"/>
              <w:right w:w="57" w:type="dxa"/>
            </w:tcMar>
            <w:vAlign w:val="center"/>
          </w:tcPr>
          <w:p w14:paraId="692B31B3"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0EDB77C1" w14:textId="77777777" w:rsidTr="004D72AC">
        <w:trPr>
          <w:jc w:val="center"/>
        </w:trPr>
        <w:tc>
          <w:tcPr>
            <w:tcW w:w="5061" w:type="dxa"/>
            <w:tcMar>
              <w:top w:w="85" w:type="dxa"/>
              <w:left w:w="57" w:type="dxa"/>
              <w:bottom w:w="85" w:type="dxa"/>
              <w:right w:w="57" w:type="dxa"/>
            </w:tcMar>
            <w:vAlign w:val="center"/>
          </w:tcPr>
          <w:p w14:paraId="635832BF" w14:textId="77777777" w:rsidR="00B0686B" w:rsidRPr="009E064B" w:rsidRDefault="00B0686B" w:rsidP="005544B0">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Deklinacja magnetyczna lotniska.</w:t>
            </w:r>
          </w:p>
        </w:tc>
        <w:tc>
          <w:tcPr>
            <w:tcW w:w="2126" w:type="dxa"/>
            <w:tcMar>
              <w:top w:w="85" w:type="dxa"/>
              <w:left w:w="57" w:type="dxa"/>
              <w:bottom w:w="85" w:type="dxa"/>
              <w:right w:w="57" w:type="dxa"/>
            </w:tcMar>
            <w:vAlign w:val="center"/>
          </w:tcPr>
          <w:p w14:paraId="0F989377" w14:textId="4D6F4B8A"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stopień</w:t>
            </w:r>
            <w:r w:rsidR="00950E48"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950E48" w:rsidRPr="009E064B">
              <w:rPr>
                <w:rFonts w:asciiTheme="minorHAnsi" w:eastAsia="Calibri" w:hAnsiTheme="minorHAnsi" w:cstheme="minorHAnsi"/>
              </w:rPr>
              <w:t>)</w:t>
            </w:r>
          </w:p>
        </w:tc>
        <w:tc>
          <w:tcPr>
            <w:tcW w:w="1514" w:type="dxa"/>
            <w:tcMar>
              <w:top w:w="85" w:type="dxa"/>
              <w:left w:w="57" w:type="dxa"/>
              <w:bottom w:w="85" w:type="dxa"/>
              <w:right w:w="57" w:type="dxa"/>
            </w:tcMar>
            <w:vAlign w:val="center"/>
          </w:tcPr>
          <w:p w14:paraId="6B5DF70C"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5DBD100F" w14:textId="77777777" w:rsidTr="004D72AC">
        <w:trPr>
          <w:jc w:val="center"/>
        </w:trPr>
        <w:tc>
          <w:tcPr>
            <w:tcW w:w="5061" w:type="dxa"/>
            <w:tcMar>
              <w:top w:w="85" w:type="dxa"/>
              <w:left w:w="57" w:type="dxa"/>
              <w:bottom w:w="85" w:type="dxa"/>
              <w:right w:w="57" w:type="dxa"/>
            </w:tcMar>
            <w:vAlign w:val="center"/>
          </w:tcPr>
          <w:p w14:paraId="148DEC46" w14:textId="77777777" w:rsidR="00B0686B" w:rsidRPr="009E064B" w:rsidRDefault="00B0686B" w:rsidP="005544B0">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Deklinacja magnetyczna anteny nadajnika kierunku ILS.</w:t>
            </w:r>
          </w:p>
        </w:tc>
        <w:tc>
          <w:tcPr>
            <w:tcW w:w="2126" w:type="dxa"/>
            <w:tcMar>
              <w:top w:w="85" w:type="dxa"/>
              <w:left w:w="57" w:type="dxa"/>
              <w:bottom w:w="85" w:type="dxa"/>
              <w:right w:w="57" w:type="dxa"/>
            </w:tcMar>
            <w:vAlign w:val="center"/>
          </w:tcPr>
          <w:p w14:paraId="662946A0" w14:textId="002F5B98"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stopień</w:t>
            </w:r>
            <w:r w:rsidR="00950E48"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950E48" w:rsidRPr="009E064B">
              <w:rPr>
                <w:rFonts w:asciiTheme="minorHAnsi" w:eastAsia="Calibri" w:hAnsiTheme="minorHAnsi" w:cstheme="minorHAnsi"/>
              </w:rPr>
              <w:t>)</w:t>
            </w:r>
          </w:p>
        </w:tc>
        <w:tc>
          <w:tcPr>
            <w:tcW w:w="1514" w:type="dxa"/>
            <w:tcMar>
              <w:top w:w="85" w:type="dxa"/>
              <w:left w:w="57" w:type="dxa"/>
              <w:bottom w:w="85" w:type="dxa"/>
              <w:right w:w="57" w:type="dxa"/>
            </w:tcMar>
            <w:vAlign w:val="center"/>
          </w:tcPr>
          <w:p w14:paraId="58876867"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748938AD" w14:textId="77777777" w:rsidTr="004D72AC">
        <w:trPr>
          <w:jc w:val="center"/>
        </w:trPr>
        <w:tc>
          <w:tcPr>
            <w:tcW w:w="5061" w:type="dxa"/>
            <w:tcMar>
              <w:top w:w="85" w:type="dxa"/>
              <w:left w:w="57" w:type="dxa"/>
              <w:bottom w:w="85" w:type="dxa"/>
              <w:right w:w="57" w:type="dxa"/>
            </w:tcMar>
            <w:vAlign w:val="center"/>
          </w:tcPr>
          <w:p w14:paraId="391DE4B8" w14:textId="77777777" w:rsidR="00B0686B" w:rsidRPr="009E064B" w:rsidRDefault="00B0686B" w:rsidP="005544B0">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Deklinacja magnetyczna anteny azymutu MLS.</w:t>
            </w:r>
          </w:p>
        </w:tc>
        <w:tc>
          <w:tcPr>
            <w:tcW w:w="2126" w:type="dxa"/>
            <w:tcMar>
              <w:top w:w="85" w:type="dxa"/>
              <w:left w:w="57" w:type="dxa"/>
              <w:bottom w:w="85" w:type="dxa"/>
              <w:right w:w="57" w:type="dxa"/>
            </w:tcMar>
            <w:vAlign w:val="center"/>
          </w:tcPr>
          <w:p w14:paraId="7CFB1EA4" w14:textId="321B6749"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stopień</w:t>
            </w:r>
            <w:r w:rsidR="00950E48"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950E48" w:rsidRPr="009E064B">
              <w:rPr>
                <w:rFonts w:asciiTheme="minorHAnsi" w:eastAsia="Calibri" w:hAnsiTheme="minorHAnsi" w:cstheme="minorHAnsi"/>
              </w:rPr>
              <w:t>)</w:t>
            </w:r>
          </w:p>
        </w:tc>
        <w:tc>
          <w:tcPr>
            <w:tcW w:w="1514" w:type="dxa"/>
            <w:tcMar>
              <w:top w:w="85" w:type="dxa"/>
              <w:left w:w="57" w:type="dxa"/>
              <w:bottom w:w="85" w:type="dxa"/>
              <w:right w:w="57" w:type="dxa"/>
            </w:tcMar>
            <w:vAlign w:val="center"/>
          </w:tcPr>
          <w:p w14:paraId="48D37DAD" w14:textId="77777777" w:rsidR="00B0686B" w:rsidRPr="009E064B" w:rsidRDefault="00B0686B" w:rsidP="005544B0">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bl>
    <w:p w14:paraId="1B521212" w14:textId="77777777" w:rsidR="002C4C40" w:rsidRDefault="002C4C40" w:rsidP="002C4C40">
      <w:pPr>
        <w:widowControl/>
        <w:jc w:val="center"/>
        <w:rPr>
          <w:rFonts w:asciiTheme="minorHAnsi" w:hAnsiTheme="minorHAnsi" w:cstheme="minorHAnsi"/>
          <w:b/>
          <w:sz w:val="20"/>
        </w:rPr>
      </w:pPr>
    </w:p>
    <w:p w14:paraId="4F503517" w14:textId="47C9947B" w:rsidR="00B0686B" w:rsidRPr="002C4C40" w:rsidRDefault="00B0686B" w:rsidP="002C4C40">
      <w:pPr>
        <w:widowControl/>
        <w:jc w:val="center"/>
        <w:rPr>
          <w:rFonts w:asciiTheme="minorHAnsi" w:hAnsiTheme="minorHAnsi" w:cstheme="minorHAnsi"/>
          <w:b/>
          <w:sz w:val="20"/>
        </w:rPr>
      </w:pPr>
      <w:r w:rsidRPr="002C4C40">
        <w:rPr>
          <w:rFonts w:asciiTheme="minorHAnsi" w:hAnsiTheme="minorHAnsi" w:cstheme="minorHAnsi"/>
          <w:b/>
          <w:sz w:val="20"/>
        </w:rPr>
        <w:t>Tabela 3 – Deklinacja i deklinacja magnetyczna</w:t>
      </w:r>
    </w:p>
    <w:p w14:paraId="53119117" w14:textId="70A7A049" w:rsidR="005544B0" w:rsidRPr="009E064B" w:rsidRDefault="005544B0">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57A65C64" w14:textId="77777777" w:rsidR="00950E48" w:rsidRPr="009E064B" w:rsidRDefault="00950E48">
      <w:pPr>
        <w:spacing w:after="0"/>
        <w:jc w:val="left"/>
        <w:rPr>
          <w:rFonts w:asciiTheme="minorHAnsi" w:eastAsia="Calibri" w:hAnsiTheme="minorHAnsi"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26"/>
        <w:gridCol w:w="2882"/>
        <w:gridCol w:w="1576"/>
      </w:tblGrid>
      <w:tr w:rsidR="00B0686B" w:rsidRPr="009E064B" w14:paraId="070DFB6F" w14:textId="77777777" w:rsidTr="004D72AC">
        <w:tc>
          <w:tcPr>
            <w:tcW w:w="2572" w:type="pct"/>
            <w:tcMar>
              <w:top w:w="28" w:type="dxa"/>
              <w:left w:w="57" w:type="dxa"/>
              <w:bottom w:w="28" w:type="dxa"/>
              <w:right w:w="57" w:type="dxa"/>
            </w:tcMar>
            <w:vAlign w:val="center"/>
          </w:tcPr>
          <w:p w14:paraId="63F8021C" w14:textId="77777777" w:rsidR="00B0686B" w:rsidRPr="009E064B" w:rsidRDefault="00B0686B" w:rsidP="004D72AC">
            <w:pPr>
              <w:widowControl/>
              <w:spacing w:before="60" w:after="60"/>
              <w:jc w:val="center"/>
              <w:rPr>
                <w:rFonts w:asciiTheme="minorHAnsi" w:eastAsia="Calibri" w:hAnsiTheme="minorHAnsi" w:cstheme="minorHAnsi"/>
                <w:b/>
                <w:bCs/>
                <w:sz w:val="20"/>
              </w:rPr>
            </w:pPr>
            <w:r w:rsidRPr="009E064B">
              <w:rPr>
                <w:rFonts w:asciiTheme="minorHAnsi" w:eastAsia="Calibri" w:hAnsiTheme="minorHAnsi" w:cstheme="minorHAnsi"/>
                <w:b/>
                <w:bCs/>
                <w:sz w:val="20"/>
              </w:rPr>
              <w:t>Namiar</w:t>
            </w:r>
          </w:p>
        </w:tc>
        <w:tc>
          <w:tcPr>
            <w:tcW w:w="1569" w:type="pct"/>
            <w:tcMar>
              <w:top w:w="28" w:type="dxa"/>
              <w:left w:w="57" w:type="dxa"/>
              <w:bottom w:w="28" w:type="dxa"/>
              <w:right w:w="57" w:type="dxa"/>
            </w:tcMar>
            <w:vAlign w:val="center"/>
          </w:tcPr>
          <w:p w14:paraId="0F8A5820" w14:textId="36913423"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b/>
                <w:bCs/>
                <w:sz w:val="20"/>
              </w:rPr>
              <w:t>Dokładność</w:t>
            </w:r>
            <w:r w:rsidR="004D72AC" w:rsidRPr="009E064B">
              <w:rPr>
                <w:rFonts w:asciiTheme="minorHAnsi" w:eastAsia="Calibri" w:hAnsiTheme="minorHAnsi" w:cstheme="minorHAnsi"/>
                <w:b/>
                <w:bCs/>
                <w:sz w:val="20"/>
              </w:rPr>
              <w:br/>
            </w:r>
            <w:r w:rsidRPr="009E064B">
              <w:rPr>
                <w:rFonts w:asciiTheme="minorHAnsi" w:eastAsia="Calibri" w:hAnsiTheme="minorHAnsi" w:cstheme="minorHAnsi"/>
                <w:b/>
                <w:bCs/>
                <w:sz w:val="20"/>
              </w:rPr>
              <w:t>Rodzaj danych</w:t>
            </w:r>
          </w:p>
        </w:tc>
        <w:tc>
          <w:tcPr>
            <w:tcW w:w="858" w:type="pct"/>
            <w:tcMar>
              <w:top w:w="28" w:type="dxa"/>
              <w:left w:w="57" w:type="dxa"/>
              <w:bottom w:w="28" w:type="dxa"/>
              <w:right w:w="57" w:type="dxa"/>
            </w:tcMar>
            <w:vAlign w:val="center"/>
          </w:tcPr>
          <w:p w14:paraId="496371B5" w14:textId="77777777" w:rsidR="00B0686B" w:rsidRPr="009E064B" w:rsidRDefault="00B0686B" w:rsidP="004D72AC">
            <w:pPr>
              <w:widowControl/>
              <w:spacing w:before="60" w:after="60"/>
              <w:jc w:val="center"/>
              <w:rPr>
                <w:rFonts w:asciiTheme="minorHAnsi" w:eastAsia="Calibri" w:hAnsiTheme="minorHAnsi" w:cstheme="minorHAnsi"/>
                <w:b/>
                <w:bCs/>
                <w:sz w:val="20"/>
              </w:rPr>
            </w:pPr>
            <w:r w:rsidRPr="009E064B">
              <w:rPr>
                <w:rFonts w:asciiTheme="minorHAnsi" w:eastAsia="Calibri" w:hAnsiTheme="minorHAnsi" w:cstheme="minorHAnsi"/>
                <w:b/>
                <w:bCs/>
                <w:sz w:val="20"/>
              </w:rPr>
              <w:t>Klasyfikacja integralności</w:t>
            </w:r>
          </w:p>
        </w:tc>
      </w:tr>
      <w:tr w:rsidR="00B0686B" w:rsidRPr="009E064B" w14:paraId="21FD9E89" w14:textId="77777777" w:rsidTr="004D72AC">
        <w:tc>
          <w:tcPr>
            <w:tcW w:w="2572" w:type="pct"/>
            <w:tcMar>
              <w:top w:w="85" w:type="dxa"/>
              <w:left w:w="57" w:type="dxa"/>
              <w:bottom w:w="85" w:type="dxa"/>
              <w:right w:w="57" w:type="dxa"/>
            </w:tcMar>
            <w:vAlign w:val="center"/>
          </w:tcPr>
          <w:p w14:paraId="3E737A29" w14:textId="77777777" w:rsidR="00B0686B" w:rsidRPr="009E064B" w:rsidRDefault="00B0686B" w:rsidP="004D72AC">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Zgranie wiązki nadajnika kierunku ILS.</w:t>
            </w:r>
          </w:p>
        </w:tc>
        <w:tc>
          <w:tcPr>
            <w:tcW w:w="1569" w:type="pct"/>
            <w:tcMar>
              <w:top w:w="85" w:type="dxa"/>
              <w:left w:w="57" w:type="dxa"/>
              <w:bottom w:w="85" w:type="dxa"/>
              <w:right w:w="57" w:type="dxa"/>
            </w:tcMar>
            <w:vAlign w:val="center"/>
          </w:tcPr>
          <w:p w14:paraId="12776E5C" w14:textId="7D11DA57"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1/100 stopnia</w:t>
            </w:r>
            <w:r w:rsidR="00C62E0E"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C62E0E" w:rsidRPr="009E064B">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0AD17EE4" w14:textId="77777777"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4E18396B" w14:textId="77777777" w:rsidTr="004D72AC">
        <w:tc>
          <w:tcPr>
            <w:tcW w:w="2572" w:type="pct"/>
            <w:tcMar>
              <w:top w:w="85" w:type="dxa"/>
              <w:left w:w="57" w:type="dxa"/>
              <w:bottom w:w="85" w:type="dxa"/>
              <w:right w:w="57" w:type="dxa"/>
            </w:tcMar>
            <w:vAlign w:val="center"/>
          </w:tcPr>
          <w:p w14:paraId="19B7BFF8" w14:textId="77777777" w:rsidR="00B0686B" w:rsidRPr="009E064B" w:rsidRDefault="00B0686B" w:rsidP="004D72AC">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Zgranie zera azymutu wiązki kierunku MLS.</w:t>
            </w:r>
          </w:p>
        </w:tc>
        <w:tc>
          <w:tcPr>
            <w:tcW w:w="1569" w:type="pct"/>
            <w:tcMar>
              <w:top w:w="85" w:type="dxa"/>
              <w:left w:w="57" w:type="dxa"/>
              <w:bottom w:w="85" w:type="dxa"/>
              <w:right w:w="57" w:type="dxa"/>
            </w:tcMar>
            <w:vAlign w:val="center"/>
          </w:tcPr>
          <w:p w14:paraId="3ED44183" w14:textId="3C2A2C33"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1/100 stopnia</w:t>
            </w:r>
            <w:r w:rsidR="00C62E0E"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C62E0E" w:rsidRPr="009E064B">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6FE20CF6" w14:textId="77777777"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ważna</w:t>
            </w:r>
          </w:p>
        </w:tc>
      </w:tr>
      <w:tr w:rsidR="00B0686B" w:rsidRPr="009E064B" w14:paraId="1D23AAAC" w14:textId="77777777" w:rsidTr="004D72AC">
        <w:tc>
          <w:tcPr>
            <w:tcW w:w="2572" w:type="pct"/>
            <w:tcMar>
              <w:top w:w="85" w:type="dxa"/>
              <w:left w:w="57" w:type="dxa"/>
              <w:bottom w:w="85" w:type="dxa"/>
              <w:right w:w="57" w:type="dxa"/>
            </w:tcMar>
            <w:vAlign w:val="center"/>
          </w:tcPr>
          <w:p w14:paraId="125FA80C" w14:textId="77777777" w:rsidR="00B0686B" w:rsidRPr="009E064B" w:rsidRDefault="00B0686B" w:rsidP="004D72AC">
            <w:pPr>
              <w:widowControl/>
              <w:spacing w:before="60" w:after="60"/>
              <w:jc w:val="left"/>
              <w:rPr>
                <w:rFonts w:asciiTheme="minorHAnsi" w:eastAsia="Calibri" w:hAnsiTheme="minorHAnsi" w:cstheme="minorHAnsi"/>
                <w:sz w:val="20"/>
              </w:rPr>
            </w:pPr>
            <w:r w:rsidRPr="009E064B">
              <w:rPr>
                <w:rFonts w:asciiTheme="minorHAnsi" w:eastAsia="Calibri" w:hAnsiTheme="minorHAnsi" w:cstheme="minorHAnsi"/>
                <w:sz w:val="20"/>
              </w:rPr>
              <w:t>Rzeczywisty kierunek geograficzny drogi startowej</w:t>
            </w:r>
          </w:p>
        </w:tc>
        <w:tc>
          <w:tcPr>
            <w:tcW w:w="1569" w:type="pct"/>
            <w:tcMar>
              <w:top w:w="85" w:type="dxa"/>
              <w:left w:w="57" w:type="dxa"/>
              <w:bottom w:w="85" w:type="dxa"/>
              <w:right w:w="57" w:type="dxa"/>
            </w:tcMar>
            <w:vAlign w:val="center"/>
          </w:tcPr>
          <w:p w14:paraId="7CA434EF" w14:textId="44DE0314"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1/100 stopnia</w:t>
            </w:r>
            <w:r w:rsidR="00C62E0E" w:rsidRPr="009E064B">
              <w:rPr>
                <w:rFonts w:asciiTheme="minorHAnsi" w:eastAsia="Calibri" w:hAnsiTheme="minorHAnsi" w:cstheme="minorHAnsi"/>
                <w:sz w:val="20"/>
              </w:rPr>
              <w:t xml:space="preserve"> (</w:t>
            </w:r>
            <w:r w:rsidRPr="009E064B">
              <w:rPr>
                <w:rFonts w:asciiTheme="minorHAnsi" w:eastAsia="Calibri" w:hAnsiTheme="minorHAnsi" w:cstheme="minorHAnsi"/>
                <w:sz w:val="20"/>
              </w:rPr>
              <w:t>zmierzona</w:t>
            </w:r>
            <w:r w:rsidR="00C62E0E" w:rsidRPr="009E064B">
              <w:rPr>
                <w:rFonts w:asciiTheme="minorHAnsi" w:eastAsia="Calibri" w:hAnsiTheme="minorHAnsi" w:cstheme="minorHAnsi"/>
                <w:sz w:val="20"/>
              </w:rPr>
              <w:t>)</w:t>
            </w:r>
          </w:p>
        </w:tc>
        <w:tc>
          <w:tcPr>
            <w:tcW w:w="858" w:type="pct"/>
            <w:tcMar>
              <w:top w:w="85" w:type="dxa"/>
              <w:left w:w="57" w:type="dxa"/>
              <w:bottom w:w="85" w:type="dxa"/>
              <w:right w:w="57" w:type="dxa"/>
            </w:tcMar>
            <w:vAlign w:val="center"/>
          </w:tcPr>
          <w:p w14:paraId="428FAE6F" w14:textId="77777777" w:rsidR="00B0686B" w:rsidRPr="009E064B" w:rsidRDefault="00B0686B" w:rsidP="004D72AC">
            <w:pPr>
              <w:widowControl/>
              <w:spacing w:before="60" w:after="60"/>
              <w:jc w:val="center"/>
              <w:rPr>
                <w:rFonts w:asciiTheme="minorHAnsi" w:eastAsia="Calibri" w:hAnsiTheme="minorHAnsi" w:cstheme="minorHAnsi"/>
                <w:sz w:val="20"/>
              </w:rPr>
            </w:pPr>
            <w:r w:rsidRPr="009E064B">
              <w:rPr>
                <w:rFonts w:asciiTheme="minorHAnsi" w:eastAsia="Calibri" w:hAnsiTheme="minorHAnsi" w:cstheme="minorHAnsi"/>
                <w:sz w:val="20"/>
              </w:rPr>
              <w:t>zwykła</w:t>
            </w:r>
          </w:p>
        </w:tc>
      </w:tr>
    </w:tbl>
    <w:p w14:paraId="72670198" w14:textId="77777777" w:rsidR="002C4C40" w:rsidRDefault="002C4C40" w:rsidP="002C4C40">
      <w:pPr>
        <w:widowControl/>
        <w:jc w:val="center"/>
        <w:rPr>
          <w:rFonts w:asciiTheme="minorHAnsi" w:hAnsiTheme="minorHAnsi" w:cstheme="minorHAnsi"/>
          <w:b/>
          <w:sz w:val="20"/>
        </w:rPr>
      </w:pPr>
    </w:p>
    <w:p w14:paraId="7429334C" w14:textId="2A895AA4" w:rsidR="00FD01A6" w:rsidRPr="002C4C40" w:rsidRDefault="00B0686B" w:rsidP="002C4C40">
      <w:pPr>
        <w:widowControl/>
        <w:jc w:val="center"/>
        <w:rPr>
          <w:rFonts w:asciiTheme="minorHAnsi" w:hAnsiTheme="minorHAnsi" w:cstheme="minorHAnsi"/>
          <w:b/>
          <w:sz w:val="20"/>
        </w:rPr>
      </w:pPr>
      <w:r w:rsidRPr="002C4C40">
        <w:rPr>
          <w:rFonts w:asciiTheme="minorHAnsi" w:hAnsiTheme="minorHAnsi" w:cstheme="minorHAnsi"/>
          <w:b/>
          <w:sz w:val="20"/>
        </w:rPr>
        <w:t>Tabela 4 – Namiar</w:t>
      </w:r>
    </w:p>
    <w:p w14:paraId="3D3914C9" w14:textId="6E014BE3" w:rsidR="00B0686B" w:rsidRPr="009E064B" w:rsidRDefault="00B0686B" w:rsidP="00B06A9A">
      <w:pPr>
        <w:widowControl/>
        <w:rPr>
          <w:rFonts w:asciiTheme="minorHAnsi" w:eastAsia="Calibri" w:hAnsiTheme="minorHAnsi" w:cstheme="minorHAnsi"/>
        </w:rPr>
      </w:pPr>
    </w:p>
    <w:p w14:paraId="42C9404C" w14:textId="77777777" w:rsidR="004D72AC" w:rsidRPr="009E064B" w:rsidRDefault="004D72AC" w:rsidP="00B06A9A">
      <w:pPr>
        <w:widowControl/>
        <w:rPr>
          <w:rFonts w:asciiTheme="minorHAnsi" w:eastAsia="Calibri" w:hAnsiTheme="minorHAnsi"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7"/>
        <w:gridCol w:w="2061"/>
        <w:gridCol w:w="1576"/>
      </w:tblGrid>
      <w:tr w:rsidR="00B0686B" w:rsidRPr="009E064B" w14:paraId="455CEBDB" w14:textId="77777777" w:rsidTr="004D72AC">
        <w:tc>
          <w:tcPr>
            <w:tcW w:w="3020" w:type="pct"/>
            <w:tcMar>
              <w:top w:w="57" w:type="dxa"/>
              <w:left w:w="57" w:type="dxa"/>
              <w:bottom w:w="57" w:type="dxa"/>
              <w:right w:w="57" w:type="dxa"/>
            </w:tcMar>
            <w:vAlign w:val="center"/>
          </w:tcPr>
          <w:p w14:paraId="51DF3238" w14:textId="77777777" w:rsidR="00B0686B" w:rsidRPr="009E064B" w:rsidRDefault="00B0686B" w:rsidP="004D72AC">
            <w:pPr>
              <w:widowControl/>
              <w:spacing w:before="60" w:after="60"/>
              <w:jc w:val="center"/>
              <w:rPr>
                <w:rFonts w:asciiTheme="minorHAnsi" w:eastAsia="Calibri" w:hAnsiTheme="minorHAnsi" w:cstheme="minorHAnsi"/>
                <w:b/>
                <w:bCs/>
              </w:rPr>
            </w:pPr>
            <w:r w:rsidRPr="009E064B">
              <w:rPr>
                <w:rFonts w:asciiTheme="minorHAnsi" w:eastAsia="Calibri" w:hAnsiTheme="minorHAnsi" w:cstheme="minorHAnsi"/>
                <w:b/>
                <w:bCs/>
              </w:rPr>
              <w:t>Długość/odległość/wymiary</w:t>
            </w:r>
          </w:p>
        </w:tc>
        <w:tc>
          <w:tcPr>
            <w:tcW w:w="1122" w:type="pct"/>
            <w:tcMar>
              <w:top w:w="57" w:type="dxa"/>
              <w:left w:w="57" w:type="dxa"/>
              <w:bottom w:w="57" w:type="dxa"/>
              <w:right w:w="57" w:type="dxa"/>
            </w:tcMar>
            <w:vAlign w:val="center"/>
          </w:tcPr>
          <w:p w14:paraId="771F0522" w14:textId="6DC6189C" w:rsidR="00B0686B" w:rsidRPr="009E064B" w:rsidRDefault="00B0686B" w:rsidP="004D72AC">
            <w:pPr>
              <w:widowControl/>
              <w:spacing w:before="60" w:after="60"/>
              <w:jc w:val="center"/>
              <w:rPr>
                <w:rFonts w:asciiTheme="minorHAnsi" w:eastAsia="Calibri" w:hAnsiTheme="minorHAnsi" w:cstheme="minorHAnsi"/>
                <w:b/>
                <w:bCs/>
              </w:rPr>
            </w:pPr>
            <w:r w:rsidRPr="009E064B">
              <w:rPr>
                <w:rFonts w:asciiTheme="minorHAnsi" w:eastAsia="Calibri" w:hAnsiTheme="minorHAnsi" w:cstheme="minorHAnsi"/>
                <w:b/>
                <w:bCs/>
              </w:rPr>
              <w:t>Dokładność</w:t>
            </w:r>
            <w:r w:rsidR="004D72AC" w:rsidRPr="009E064B">
              <w:rPr>
                <w:rFonts w:asciiTheme="minorHAnsi" w:eastAsia="Calibri" w:hAnsiTheme="minorHAnsi" w:cstheme="minorHAnsi"/>
                <w:b/>
                <w:bCs/>
              </w:rPr>
              <w:br/>
            </w:r>
            <w:r w:rsidRPr="009E064B">
              <w:rPr>
                <w:rFonts w:asciiTheme="minorHAnsi" w:eastAsia="Calibri" w:hAnsiTheme="minorHAnsi" w:cstheme="minorHAnsi"/>
                <w:b/>
                <w:bCs/>
              </w:rPr>
              <w:t>Rodzaj danych</w:t>
            </w:r>
          </w:p>
        </w:tc>
        <w:tc>
          <w:tcPr>
            <w:tcW w:w="858" w:type="pct"/>
            <w:tcMar>
              <w:top w:w="57" w:type="dxa"/>
              <w:left w:w="57" w:type="dxa"/>
              <w:bottom w:w="57" w:type="dxa"/>
              <w:right w:w="57" w:type="dxa"/>
            </w:tcMar>
            <w:vAlign w:val="center"/>
          </w:tcPr>
          <w:p w14:paraId="7C14CF2D" w14:textId="77777777" w:rsidR="00B0686B" w:rsidRPr="009E064B" w:rsidRDefault="00B0686B" w:rsidP="004D72AC">
            <w:pPr>
              <w:widowControl/>
              <w:spacing w:before="60" w:after="60"/>
              <w:jc w:val="center"/>
              <w:rPr>
                <w:rFonts w:asciiTheme="minorHAnsi" w:eastAsia="Calibri" w:hAnsiTheme="minorHAnsi" w:cstheme="minorHAnsi"/>
                <w:b/>
                <w:bCs/>
              </w:rPr>
            </w:pPr>
            <w:r w:rsidRPr="009E064B">
              <w:rPr>
                <w:rFonts w:asciiTheme="minorHAnsi" w:eastAsia="Calibri" w:hAnsiTheme="minorHAnsi" w:cstheme="minorHAnsi"/>
                <w:b/>
                <w:bCs/>
              </w:rPr>
              <w:t>Klasyfikacja</w:t>
            </w:r>
            <w:r w:rsidRPr="009E064B">
              <w:rPr>
                <w:rFonts w:asciiTheme="minorHAnsi" w:eastAsia="Calibri" w:hAnsiTheme="minorHAnsi" w:cstheme="minorHAnsi"/>
              </w:rPr>
              <w:t xml:space="preserve"> </w:t>
            </w:r>
            <w:r w:rsidRPr="009E064B">
              <w:rPr>
                <w:rFonts w:asciiTheme="minorHAnsi" w:eastAsia="Calibri" w:hAnsiTheme="minorHAnsi" w:cstheme="minorHAnsi"/>
                <w:b/>
                <w:bCs/>
              </w:rPr>
              <w:t>integralności</w:t>
            </w:r>
          </w:p>
        </w:tc>
      </w:tr>
      <w:tr w:rsidR="00B0686B" w:rsidRPr="009E064B" w14:paraId="58E61B05" w14:textId="77777777" w:rsidTr="004D72AC">
        <w:tc>
          <w:tcPr>
            <w:tcW w:w="3020" w:type="pct"/>
            <w:tcMar>
              <w:top w:w="57" w:type="dxa"/>
              <w:left w:w="57" w:type="dxa"/>
              <w:bottom w:w="57" w:type="dxa"/>
              <w:right w:w="57" w:type="dxa"/>
            </w:tcMar>
            <w:vAlign w:val="center"/>
          </w:tcPr>
          <w:p w14:paraId="18D109CD"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Długość drogi startowej.</w:t>
            </w:r>
          </w:p>
        </w:tc>
        <w:tc>
          <w:tcPr>
            <w:tcW w:w="1122" w:type="pct"/>
            <w:tcMar>
              <w:top w:w="57" w:type="dxa"/>
              <w:left w:w="57" w:type="dxa"/>
              <w:bottom w:w="57" w:type="dxa"/>
              <w:right w:w="57" w:type="dxa"/>
            </w:tcMar>
            <w:vAlign w:val="center"/>
          </w:tcPr>
          <w:p w14:paraId="7489B5D5" w14:textId="429F1AF8"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(z</w:t>
            </w:r>
            <w:r w:rsidRPr="009E064B">
              <w:rPr>
                <w:rFonts w:asciiTheme="minorHAnsi" w:eastAsia="Calibri" w:hAnsiTheme="minorHAnsi" w:cstheme="minorHAnsi"/>
              </w:rPr>
              <w:t>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62119DF8"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406094AD" w14:textId="77777777" w:rsidTr="004D72AC">
        <w:tc>
          <w:tcPr>
            <w:tcW w:w="3020" w:type="pct"/>
            <w:tcMar>
              <w:top w:w="57" w:type="dxa"/>
              <w:left w:w="57" w:type="dxa"/>
              <w:bottom w:w="57" w:type="dxa"/>
              <w:right w:w="57" w:type="dxa"/>
            </w:tcMar>
            <w:vAlign w:val="center"/>
          </w:tcPr>
          <w:p w14:paraId="0EA76630"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Szerokość drogi startowej.</w:t>
            </w:r>
          </w:p>
        </w:tc>
        <w:tc>
          <w:tcPr>
            <w:tcW w:w="1122" w:type="pct"/>
            <w:tcMar>
              <w:top w:w="57" w:type="dxa"/>
              <w:left w:w="57" w:type="dxa"/>
              <w:bottom w:w="57" w:type="dxa"/>
              <w:right w:w="57" w:type="dxa"/>
            </w:tcMar>
            <w:vAlign w:val="center"/>
          </w:tcPr>
          <w:p w14:paraId="15CE1A64" w14:textId="6EF30A7E"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1ED73031"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01E2DE7D" w14:textId="77777777" w:rsidTr="004D72AC">
        <w:tc>
          <w:tcPr>
            <w:tcW w:w="3020" w:type="pct"/>
            <w:tcMar>
              <w:top w:w="57" w:type="dxa"/>
              <w:left w:w="57" w:type="dxa"/>
              <w:bottom w:w="57" w:type="dxa"/>
              <w:right w:w="57" w:type="dxa"/>
            </w:tcMar>
            <w:vAlign w:val="center"/>
          </w:tcPr>
          <w:p w14:paraId="5434989F"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przesunięcia progu.</w:t>
            </w:r>
          </w:p>
        </w:tc>
        <w:tc>
          <w:tcPr>
            <w:tcW w:w="1122" w:type="pct"/>
            <w:tcMar>
              <w:top w:w="57" w:type="dxa"/>
              <w:left w:w="57" w:type="dxa"/>
              <w:bottom w:w="57" w:type="dxa"/>
              <w:right w:w="57" w:type="dxa"/>
            </w:tcMar>
            <w:vAlign w:val="center"/>
          </w:tcPr>
          <w:p w14:paraId="45F250BA" w14:textId="02A3B19D"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7C0FB6C0"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34782ECA" w14:textId="77777777" w:rsidTr="004D72AC">
        <w:tc>
          <w:tcPr>
            <w:tcW w:w="3020" w:type="pct"/>
            <w:tcMar>
              <w:top w:w="85" w:type="dxa"/>
              <w:left w:w="57" w:type="dxa"/>
              <w:bottom w:w="85" w:type="dxa"/>
              <w:right w:w="57" w:type="dxa"/>
            </w:tcMar>
            <w:vAlign w:val="center"/>
          </w:tcPr>
          <w:p w14:paraId="777E02E6"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Długość i szerokość zabezpieczenia przerwanego startu.</w:t>
            </w:r>
          </w:p>
        </w:tc>
        <w:tc>
          <w:tcPr>
            <w:tcW w:w="1122" w:type="pct"/>
            <w:tcMar>
              <w:top w:w="85" w:type="dxa"/>
              <w:left w:w="57" w:type="dxa"/>
              <w:bottom w:w="85" w:type="dxa"/>
              <w:right w:w="57" w:type="dxa"/>
            </w:tcMar>
            <w:vAlign w:val="center"/>
          </w:tcPr>
          <w:p w14:paraId="5F985B6C" w14:textId="042C9D14"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72F82389"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373CBD40" w14:textId="77777777" w:rsidTr="004D72AC">
        <w:tc>
          <w:tcPr>
            <w:tcW w:w="3020" w:type="pct"/>
            <w:tcMar>
              <w:top w:w="85" w:type="dxa"/>
              <w:left w:w="57" w:type="dxa"/>
              <w:bottom w:w="85" w:type="dxa"/>
              <w:right w:w="57" w:type="dxa"/>
            </w:tcMar>
            <w:vAlign w:val="center"/>
          </w:tcPr>
          <w:p w14:paraId="01A7C424"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Długość i szerokość zabezpieczenia wydłużonego startu.</w:t>
            </w:r>
          </w:p>
        </w:tc>
        <w:tc>
          <w:tcPr>
            <w:tcW w:w="1122" w:type="pct"/>
            <w:tcMar>
              <w:top w:w="85" w:type="dxa"/>
              <w:left w:w="57" w:type="dxa"/>
              <w:bottom w:w="85" w:type="dxa"/>
              <w:right w:w="57" w:type="dxa"/>
            </w:tcMar>
            <w:vAlign w:val="center"/>
          </w:tcPr>
          <w:p w14:paraId="06D6BC90" w14:textId="177AEE23"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770C8AFB"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4FFEB357" w14:textId="77777777" w:rsidTr="004D72AC">
        <w:tc>
          <w:tcPr>
            <w:tcW w:w="3020" w:type="pct"/>
            <w:tcMar>
              <w:top w:w="57" w:type="dxa"/>
              <w:left w:w="57" w:type="dxa"/>
              <w:bottom w:w="57" w:type="dxa"/>
              <w:right w:w="57" w:type="dxa"/>
            </w:tcMar>
            <w:vAlign w:val="center"/>
          </w:tcPr>
          <w:p w14:paraId="30351E70"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Rozporządzalna długość lądowania.</w:t>
            </w:r>
          </w:p>
        </w:tc>
        <w:tc>
          <w:tcPr>
            <w:tcW w:w="1122" w:type="pct"/>
            <w:tcMar>
              <w:top w:w="57" w:type="dxa"/>
              <w:left w:w="57" w:type="dxa"/>
              <w:bottom w:w="57" w:type="dxa"/>
              <w:right w:w="57" w:type="dxa"/>
            </w:tcMar>
            <w:vAlign w:val="center"/>
          </w:tcPr>
          <w:p w14:paraId="49E60197" w14:textId="27652773"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p>
        </w:tc>
        <w:tc>
          <w:tcPr>
            <w:tcW w:w="858" w:type="pct"/>
            <w:tcMar>
              <w:top w:w="57" w:type="dxa"/>
              <w:left w:w="57" w:type="dxa"/>
              <w:bottom w:w="57" w:type="dxa"/>
              <w:right w:w="57" w:type="dxa"/>
            </w:tcMar>
            <w:vAlign w:val="center"/>
          </w:tcPr>
          <w:p w14:paraId="17D7E1D0"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73B10A2A" w14:textId="77777777" w:rsidTr="004D72AC">
        <w:tc>
          <w:tcPr>
            <w:tcW w:w="3020" w:type="pct"/>
            <w:tcMar>
              <w:top w:w="57" w:type="dxa"/>
              <w:left w:w="57" w:type="dxa"/>
              <w:bottom w:w="57" w:type="dxa"/>
              <w:right w:w="57" w:type="dxa"/>
            </w:tcMar>
            <w:vAlign w:val="center"/>
          </w:tcPr>
          <w:p w14:paraId="7932F515"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Rozporządzalna długość rozbiegu.</w:t>
            </w:r>
          </w:p>
        </w:tc>
        <w:tc>
          <w:tcPr>
            <w:tcW w:w="1122" w:type="pct"/>
            <w:tcMar>
              <w:top w:w="57" w:type="dxa"/>
              <w:left w:w="57" w:type="dxa"/>
              <w:bottom w:w="57" w:type="dxa"/>
              <w:right w:w="57" w:type="dxa"/>
            </w:tcMar>
            <w:vAlign w:val="center"/>
          </w:tcPr>
          <w:p w14:paraId="660186DB" w14:textId="322EE0CD"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p>
        </w:tc>
        <w:tc>
          <w:tcPr>
            <w:tcW w:w="858" w:type="pct"/>
            <w:tcMar>
              <w:top w:w="57" w:type="dxa"/>
              <w:left w:w="57" w:type="dxa"/>
              <w:bottom w:w="57" w:type="dxa"/>
              <w:right w:w="57" w:type="dxa"/>
            </w:tcMar>
            <w:vAlign w:val="center"/>
          </w:tcPr>
          <w:p w14:paraId="639F5C9E"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457FE9D9" w14:textId="77777777" w:rsidTr="004D72AC">
        <w:tc>
          <w:tcPr>
            <w:tcW w:w="3020" w:type="pct"/>
            <w:tcMar>
              <w:top w:w="57" w:type="dxa"/>
              <w:left w:w="57" w:type="dxa"/>
              <w:bottom w:w="57" w:type="dxa"/>
              <w:right w:w="57" w:type="dxa"/>
            </w:tcMar>
            <w:vAlign w:val="center"/>
          </w:tcPr>
          <w:p w14:paraId="69DFD542"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Rozporządzalna długość startu.</w:t>
            </w:r>
          </w:p>
        </w:tc>
        <w:tc>
          <w:tcPr>
            <w:tcW w:w="1122" w:type="pct"/>
            <w:tcMar>
              <w:top w:w="57" w:type="dxa"/>
              <w:left w:w="57" w:type="dxa"/>
              <w:bottom w:w="57" w:type="dxa"/>
              <w:right w:w="57" w:type="dxa"/>
            </w:tcMar>
            <w:vAlign w:val="center"/>
          </w:tcPr>
          <w:p w14:paraId="1F2881D7" w14:textId="61171DD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7009DD69"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29B259BD" w14:textId="77777777" w:rsidTr="004D72AC">
        <w:tc>
          <w:tcPr>
            <w:tcW w:w="3020" w:type="pct"/>
            <w:tcMar>
              <w:top w:w="57" w:type="dxa"/>
              <w:left w:w="57" w:type="dxa"/>
              <w:bottom w:w="57" w:type="dxa"/>
              <w:right w:w="57" w:type="dxa"/>
            </w:tcMar>
            <w:vAlign w:val="center"/>
          </w:tcPr>
          <w:p w14:paraId="573B0877"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Rozporządzalna długość przerwanego startu.</w:t>
            </w:r>
          </w:p>
        </w:tc>
        <w:tc>
          <w:tcPr>
            <w:tcW w:w="1122" w:type="pct"/>
            <w:tcMar>
              <w:top w:w="57" w:type="dxa"/>
              <w:left w:w="57" w:type="dxa"/>
              <w:bottom w:w="57" w:type="dxa"/>
              <w:right w:w="57" w:type="dxa"/>
            </w:tcMar>
            <w:vAlign w:val="center"/>
          </w:tcPr>
          <w:p w14:paraId="0FCEE3ED" w14:textId="5F6FF451"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0F0ABAF1"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krytyczna</w:t>
            </w:r>
          </w:p>
        </w:tc>
      </w:tr>
      <w:tr w:rsidR="00B0686B" w:rsidRPr="009E064B" w14:paraId="7C745E15" w14:textId="77777777" w:rsidTr="004D72AC">
        <w:tc>
          <w:tcPr>
            <w:tcW w:w="3020" w:type="pct"/>
            <w:tcMar>
              <w:top w:w="57" w:type="dxa"/>
              <w:left w:w="57" w:type="dxa"/>
              <w:bottom w:w="57" w:type="dxa"/>
              <w:right w:w="57" w:type="dxa"/>
            </w:tcMar>
            <w:vAlign w:val="center"/>
          </w:tcPr>
          <w:p w14:paraId="3A296540"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Szerokość pobocza drogi startowej.</w:t>
            </w:r>
          </w:p>
        </w:tc>
        <w:tc>
          <w:tcPr>
            <w:tcW w:w="1122" w:type="pct"/>
            <w:tcMar>
              <w:top w:w="57" w:type="dxa"/>
              <w:left w:w="57" w:type="dxa"/>
              <w:bottom w:w="57" w:type="dxa"/>
              <w:right w:w="57" w:type="dxa"/>
            </w:tcMar>
            <w:vAlign w:val="center"/>
          </w:tcPr>
          <w:p w14:paraId="5DD4C998" w14:textId="4720E47C"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4746A6A8"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1E62C127" w14:textId="77777777" w:rsidTr="004D72AC">
        <w:tc>
          <w:tcPr>
            <w:tcW w:w="3020" w:type="pct"/>
            <w:tcMar>
              <w:top w:w="57" w:type="dxa"/>
              <w:left w:w="57" w:type="dxa"/>
              <w:bottom w:w="57" w:type="dxa"/>
              <w:right w:w="57" w:type="dxa"/>
            </w:tcMar>
            <w:vAlign w:val="center"/>
          </w:tcPr>
          <w:p w14:paraId="174A50C7"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Szerokość drogi kołowania.</w:t>
            </w:r>
          </w:p>
        </w:tc>
        <w:tc>
          <w:tcPr>
            <w:tcW w:w="1122" w:type="pct"/>
            <w:tcMar>
              <w:top w:w="57" w:type="dxa"/>
              <w:left w:w="57" w:type="dxa"/>
              <w:bottom w:w="57" w:type="dxa"/>
              <w:right w:w="57" w:type="dxa"/>
            </w:tcMar>
            <w:vAlign w:val="center"/>
          </w:tcPr>
          <w:p w14:paraId="243B84C5" w14:textId="549BABAA"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1A613609"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105D50BB" w14:textId="77777777" w:rsidTr="004D72AC">
        <w:tc>
          <w:tcPr>
            <w:tcW w:w="3020" w:type="pct"/>
            <w:tcMar>
              <w:top w:w="57" w:type="dxa"/>
              <w:left w:w="57" w:type="dxa"/>
              <w:bottom w:w="57" w:type="dxa"/>
              <w:right w:w="57" w:type="dxa"/>
            </w:tcMar>
            <w:vAlign w:val="center"/>
          </w:tcPr>
          <w:p w14:paraId="4D98AC64"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Szerokość pobocza drogi kołowania.</w:t>
            </w:r>
          </w:p>
        </w:tc>
        <w:tc>
          <w:tcPr>
            <w:tcW w:w="1122" w:type="pct"/>
            <w:tcMar>
              <w:top w:w="57" w:type="dxa"/>
              <w:left w:w="57" w:type="dxa"/>
              <w:bottom w:w="57" w:type="dxa"/>
              <w:right w:w="57" w:type="dxa"/>
            </w:tcMar>
            <w:vAlign w:val="center"/>
          </w:tcPr>
          <w:p w14:paraId="0D0E75F6" w14:textId="3716C575"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1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zmierzona</w:t>
            </w:r>
            <w:r w:rsidR="00C62E0E" w:rsidRPr="009E064B">
              <w:rPr>
                <w:rFonts w:asciiTheme="minorHAnsi" w:eastAsia="Calibri" w:hAnsiTheme="minorHAnsi" w:cstheme="minorHAnsi"/>
              </w:rPr>
              <w:t>)</w:t>
            </w:r>
          </w:p>
        </w:tc>
        <w:tc>
          <w:tcPr>
            <w:tcW w:w="858" w:type="pct"/>
            <w:tcMar>
              <w:top w:w="57" w:type="dxa"/>
              <w:left w:w="57" w:type="dxa"/>
              <w:bottom w:w="57" w:type="dxa"/>
              <w:right w:w="57" w:type="dxa"/>
            </w:tcMar>
            <w:vAlign w:val="center"/>
          </w:tcPr>
          <w:p w14:paraId="7ED01908"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36E8E3C7" w14:textId="77777777" w:rsidTr="004D72AC">
        <w:tc>
          <w:tcPr>
            <w:tcW w:w="3020" w:type="pct"/>
            <w:tcMar>
              <w:top w:w="85" w:type="dxa"/>
              <w:left w:w="57" w:type="dxa"/>
              <w:bottom w:w="85" w:type="dxa"/>
              <w:right w:w="57" w:type="dxa"/>
            </w:tcMar>
            <w:vAlign w:val="center"/>
          </w:tcPr>
          <w:p w14:paraId="66EEBD1E" w14:textId="627C298F"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 xml:space="preserve">Odległość między </w:t>
            </w:r>
            <w:r w:rsidR="004D72AC" w:rsidRPr="009E064B">
              <w:rPr>
                <w:rFonts w:asciiTheme="minorHAnsi" w:eastAsia="Calibri" w:hAnsiTheme="minorHAnsi" w:cstheme="minorHAnsi"/>
              </w:rPr>
              <w:t xml:space="preserve">anteną nadajnika kierunku ILS i </w:t>
            </w:r>
            <w:r w:rsidRPr="009E064B">
              <w:rPr>
                <w:rFonts w:asciiTheme="minorHAnsi" w:eastAsia="Calibri" w:hAnsiTheme="minorHAnsi" w:cstheme="minorHAnsi"/>
              </w:rPr>
              <w:t>końcem drogi startowej.</w:t>
            </w:r>
          </w:p>
        </w:tc>
        <w:tc>
          <w:tcPr>
            <w:tcW w:w="1122" w:type="pct"/>
            <w:tcMar>
              <w:top w:w="85" w:type="dxa"/>
              <w:left w:w="57" w:type="dxa"/>
              <w:bottom w:w="85" w:type="dxa"/>
              <w:right w:w="57" w:type="dxa"/>
            </w:tcMar>
            <w:vAlign w:val="center"/>
          </w:tcPr>
          <w:p w14:paraId="1F3E5F40" w14:textId="64ED45FC"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36D8D179"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51D5C722" w14:textId="77777777" w:rsidTr="004D72AC">
        <w:tc>
          <w:tcPr>
            <w:tcW w:w="3020" w:type="pct"/>
            <w:tcMar>
              <w:top w:w="85" w:type="dxa"/>
              <w:left w:w="57" w:type="dxa"/>
              <w:bottom w:w="85" w:type="dxa"/>
              <w:right w:w="57" w:type="dxa"/>
            </w:tcMar>
            <w:vAlign w:val="center"/>
          </w:tcPr>
          <w:p w14:paraId="1F771473" w14:textId="231A1776"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 xml:space="preserve">Odległość między </w:t>
            </w:r>
            <w:r w:rsidR="004D72AC" w:rsidRPr="009E064B">
              <w:rPr>
                <w:rFonts w:asciiTheme="minorHAnsi" w:eastAsia="Calibri" w:hAnsiTheme="minorHAnsi" w:cstheme="minorHAnsi"/>
              </w:rPr>
              <w:t xml:space="preserve">anteną ścieżki schodzenia ILS i </w:t>
            </w:r>
            <w:r w:rsidRPr="009E064B">
              <w:rPr>
                <w:rFonts w:asciiTheme="minorHAnsi" w:eastAsia="Calibri" w:hAnsiTheme="minorHAnsi" w:cstheme="minorHAnsi"/>
              </w:rPr>
              <w:t>progiem drogi startowej, mierzona wzdłuż linii środkowej.</w:t>
            </w:r>
          </w:p>
        </w:tc>
        <w:tc>
          <w:tcPr>
            <w:tcW w:w="1122" w:type="pct"/>
            <w:tcMar>
              <w:top w:w="85" w:type="dxa"/>
              <w:left w:w="57" w:type="dxa"/>
              <w:bottom w:w="85" w:type="dxa"/>
              <w:right w:w="57" w:type="dxa"/>
            </w:tcMar>
            <w:vAlign w:val="center"/>
          </w:tcPr>
          <w:p w14:paraId="71C429FF" w14:textId="2BA2CE28"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0D8C1386"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41D41F19" w14:textId="77777777" w:rsidTr="004D72AC">
        <w:tc>
          <w:tcPr>
            <w:tcW w:w="3020" w:type="pct"/>
            <w:tcMar>
              <w:top w:w="85" w:type="dxa"/>
              <w:left w:w="57" w:type="dxa"/>
              <w:bottom w:w="85" w:type="dxa"/>
              <w:right w:w="57" w:type="dxa"/>
            </w:tcMar>
            <w:vAlign w:val="center"/>
          </w:tcPr>
          <w:p w14:paraId="114539D2"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między markerem ILS i progiem drogi startowej.</w:t>
            </w:r>
          </w:p>
        </w:tc>
        <w:tc>
          <w:tcPr>
            <w:tcW w:w="1122" w:type="pct"/>
            <w:tcMar>
              <w:top w:w="85" w:type="dxa"/>
              <w:left w:w="57" w:type="dxa"/>
              <w:bottom w:w="85" w:type="dxa"/>
              <w:right w:w="57" w:type="dxa"/>
            </w:tcMar>
            <w:vAlign w:val="center"/>
          </w:tcPr>
          <w:p w14:paraId="3D8D2844" w14:textId="6FD0B0C1"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6B4E9C6E"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6B2E833E" w14:textId="77777777" w:rsidTr="004D72AC">
        <w:tc>
          <w:tcPr>
            <w:tcW w:w="3020" w:type="pct"/>
            <w:tcMar>
              <w:top w:w="85" w:type="dxa"/>
              <w:left w:w="57" w:type="dxa"/>
              <w:bottom w:w="85" w:type="dxa"/>
              <w:right w:w="57" w:type="dxa"/>
            </w:tcMar>
            <w:vAlign w:val="center"/>
          </w:tcPr>
          <w:p w14:paraId="01B9D4BB" w14:textId="77777777"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między anteną ILS DME i progiem drogi startowej, mierzona wzdłuż linii środkowej.</w:t>
            </w:r>
          </w:p>
        </w:tc>
        <w:tc>
          <w:tcPr>
            <w:tcW w:w="1122" w:type="pct"/>
            <w:tcMar>
              <w:top w:w="85" w:type="dxa"/>
              <w:left w:w="57" w:type="dxa"/>
              <w:bottom w:w="85" w:type="dxa"/>
              <w:right w:w="57" w:type="dxa"/>
            </w:tcMar>
            <w:vAlign w:val="center"/>
          </w:tcPr>
          <w:p w14:paraId="3ECBBFAB" w14:textId="7A68068F"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2984EAC0"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r w:rsidR="00B0686B" w:rsidRPr="009E064B" w14:paraId="0E7E12E7" w14:textId="77777777" w:rsidTr="004D72AC">
        <w:tc>
          <w:tcPr>
            <w:tcW w:w="3020" w:type="pct"/>
            <w:tcMar>
              <w:top w:w="85" w:type="dxa"/>
              <w:left w:w="57" w:type="dxa"/>
              <w:bottom w:w="85" w:type="dxa"/>
              <w:right w:w="57" w:type="dxa"/>
            </w:tcMar>
            <w:vAlign w:val="center"/>
          </w:tcPr>
          <w:p w14:paraId="780161C9" w14:textId="152E186D"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między anteną azymutu MLS i końcem drogi</w:t>
            </w:r>
            <w:r w:rsidR="004D72AC" w:rsidRPr="009E064B">
              <w:rPr>
                <w:rFonts w:asciiTheme="minorHAnsi" w:eastAsia="Calibri" w:hAnsiTheme="minorHAnsi" w:cstheme="minorHAnsi"/>
              </w:rPr>
              <w:t xml:space="preserve"> </w:t>
            </w:r>
            <w:r w:rsidRPr="009E064B">
              <w:rPr>
                <w:rFonts w:asciiTheme="minorHAnsi" w:eastAsia="Calibri" w:hAnsiTheme="minorHAnsi" w:cstheme="minorHAnsi"/>
              </w:rPr>
              <w:t>startowej.</w:t>
            </w:r>
          </w:p>
        </w:tc>
        <w:tc>
          <w:tcPr>
            <w:tcW w:w="1122" w:type="pct"/>
            <w:tcMar>
              <w:top w:w="85" w:type="dxa"/>
              <w:left w:w="57" w:type="dxa"/>
              <w:bottom w:w="85" w:type="dxa"/>
              <w:right w:w="57" w:type="dxa"/>
            </w:tcMar>
            <w:vAlign w:val="center"/>
          </w:tcPr>
          <w:p w14:paraId="7C9E8D5D" w14:textId="4E7F5CF8"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69A232A7"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6549C03D" w14:textId="77777777" w:rsidTr="004D72AC">
        <w:tc>
          <w:tcPr>
            <w:tcW w:w="3020" w:type="pct"/>
            <w:tcMar>
              <w:top w:w="85" w:type="dxa"/>
              <w:left w:w="57" w:type="dxa"/>
              <w:bottom w:w="85" w:type="dxa"/>
              <w:right w:w="57" w:type="dxa"/>
            </w:tcMar>
            <w:vAlign w:val="center"/>
          </w:tcPr>
          <w:p w14:paraId="64591AB2" w14:textId="199C8461"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między anteną elewacji MLS i progiem drogi</w:t>
            </w:r>
            <w:r w:rsidR="004D72AC" w:rsidRPr="009E064B">
              <w:rPr>
                <w:rFonts w:asciiTheme="minorHAnsi" w:eastAsia="Calibri" w:hAnsiTheme="minorHAnsi" w:cstheme="minorHAnsi"/>
              </w:rPr>
              <w:t xml:space="preserve"> </w:t>
            </w:r>
            <w:r w:rsidRPr="009E064B">
              <w:rPr>
                <w:rFonts w:asciiTheme="minorHAnsi" w:eastAsia="Calibri" w:hAnsiTheme="minorHAnsi" w:cstheme="minorHAnsi"/>
              </w:rPr>
              <w:t>startowej, mierzona wzdłuż linii środkowej.</w:t>
            </w:r>
          </w:p>
        </w:tc>
        <w:tc>
          <w:tcPr>
            <w:tcW w:w="1122" w:type="pct"/>
            <w:tcMar>
              <w:top w:w="85" w:type="dxa"/>
              <w:left w:w="57" w:type="dxa"/>
              <w:bottom w:w="85" w:type="dxa"/>
              <w:right w:w="57" w:type="dxa"/>
            </w:tcMar>
            <w:vAlign w:val="center"/>
          </w:tcPr>
          <w:p w14:paraId="53136A28" w14:textId="0760669A"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2ADC6CE1"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zwykła</w:t>
            </w:r>
          </w:p>
        </w:tc>
      </w:tr>
      <w:tr w:rsidR="00B0686B" w:rsidRPr="009E064B" w14:paraId="0D1393FD" w14:textId="77777777" w:rsidTr="004D72AC">
        <w:tc>
          <w:tcPr>
            <w:tcW w:w="3020" w:type="pct"/>
            <w:tcMar>
              <w:top w:w="85" w:type="dxa"/>
              <w:left w:w="57" w:type="dxa"/>
              <w:bottom w:w="85" w:type="dxa"/>
              <w:right w:w="57" w:type="dxa"/>
            </w:tcMar>
            <w:vAlign w:val="center"/>
          </w:tcPr>
          <w:p w14:paraId="72039989" w14:textId="322C3DD6" w:rsidR="00B0686B" w:rsidRPr="009E064B" w:rsidRDefault="00B0686B" w:rsidP="004D72AC">
            <w:pPr>
              <w:widowControl/>
              <w:spacing w:before="60" w:after="60"/>
              <w:ind w:left="113"/>
              <w:jc w:val="left"/>
              <w:rPr>
                <w:rFonts w:asciiTheme="minorHAnsi" w:eastAsia="Calibri" w:hAnsiTheme="minorHAnsi" w:cstheme="minorHAnsi"/>
              </w:rPr>
            </w:pPr>
            <w:r w:rsidRPr="009E064B">
              <w:rPr>
                <w:rFonts w:asciiTheme="minorHAnsi" w:eastAsia="Calibri" w:hAnsiTheme="minorHAnsi" w:cstheme="minorHAnsi"/>
              </w:rPr>
              <w:t>Odległość między anteną MLS DME/P i progiem drogi</w:t>
            </w:r>
            <w:r w:rsidR="004D72AC" w:rsidRPr="009E064B">
              <w:rPr>
                <w:rFonts w:asciiTheme="minorHAnsi" w:eastAsia="Calibri" w:hAnsiTheme="minorHAnsi" w:cstheme="minorHAnsi"/>
              </w:rPr>
              <w:t xml:space="preserve"> </w:t>
            </w:r>
            <w:r w:rsidRPr="009E064B">
              <w:rPr>
                <w:rFonts w:asciiTheme="minorHAnsi" w:eastAsia="Calibri" w:hAnsiTheme="minorHAnsi" w:cstheme="minorHAnsi"/>
              </w:rPr>
              <w:t>startowej, mierzona wzdłuż linii środkowej.</w:t>
            </w:r>
          </w:p>
        </w:tc>
        <w:tc>
          <w:tcPr>
            <w:tcW w:w="1122" w:type="pct"/>
            <w:tcMar>
              <w:top w:w="85" w:type="dxa"/>
              <w:left w:w="57" w:type="dxa"/>
              <w:bottom w:w="85" w:type="dxa"/>
              <w:right w:w="57" w:type="dxa"/>
            </w:tcMar>
            <w:vAlign w:val="center"/>
          </w:tcPr>
          <w:p w14:paraId="43F5F0FF" w14:textId="68DEF672"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3 m</w:t>
            </w:r>
            <w:r w:rsidR="00C62E0E" w:rsidRPr="009E064B">
              <w:rPr>
                <w:rFonts w:asciiTheme="minorHAnsi" w:eastAsia="Calibri" w:hAnsiTheme="minorHAnsi" w:cstheme="minorHAnsi"/>
              </w:rPr>
              <w:t xml:space="preserve"> (</w:t>
            </w:r>
            <w:r w:rsidRPr="009E064B">
              <w:rPr>
                <w:rFonts w:asciiTheme="minorHAnsi" w:eastAsia="Calibri" w:hAnsiTheme="minorHAnsi" w:cstheme="minorHAnsi"/>
              </w:rPr>
              <w:t>obliczona</w:t>
            </w:r>
            <w:r w:rsidR="00C62E0E" w:rsidRPr="009E064B">
              <w:rPr>
                <w:rFonts w:asciiTheme="minorHAnsi" w:eastAsia="Calibri" w:hAnsiTheme="minorHAnsi" w:cstheme="minorHAnsi"/>
              </w:rPr>
              <w:t>)</w:t>
            </w:r>
          </w:p>
        </w:tc>
        <w:tc>
          <w:tcPr>
            <w:tcW w:w="858" w:type="pct"/>
            <w:tcMar>
              <w:top w:w="85" w:type="dxa"/>
              <w:left w:w="57" w:type="dxa"/>
              <w:bottom w:w="85" w:type="dxa"/>
              <w:right w:w="57" w:type="dxa"/>
            </w:tcMar>
            <w:vAlign w:val="center"/>
          </w:tcPr>
          <w:p w14:paraId="4D2B316A" w14:textId="77777777" w:rsidR="00B0686B" w:rsidRPr="009E064B" w:rsidRDefault="00B0686B" w:rsidP="004D72AC">
            <w:pPr>
              <w:widowControl/>
              <w:spacing w:before="60" w:after="60"/>
              <w:jc w:val="center"/>
              <w:rPr>
                <w:rFonts w:asciiTheme="minorHAnsi" w:eastAsia="Calibri" w:hAnsiTheme="minorHAnsi" w:cstheme="minorHAnsi"/>
              </w:rPr>
            </w:pPr>
            <w:r w:rsidRPr="009E064B">
              <w:rPr>
                <w:rFonts w:asciiTheme="minorHAnsi" w:eastAsia="Calibri" w:hAnsiTheme="minorHAnsi" w:cstheme="minorHAnsi"/>
              </w:rPr>
              <w:t>ważna</w:t>
            </w:r>
          </w:p>
        </w:tc>
      </w:tr>
    </w:tbl>
    <w:p w14:paraId="3E02A917" w14:textId="77777777" w:rsidR="002C4C40" w:rsidRDefault="002C4C40" w:rsidP="002C4C40">
      <w:pPr>
        <w:widowControl/>
        <w:jc w:val="center"/>
        <w:rPr>
          <w:rFonts w:asciiTheme="minorHAnsi" w:hAnsiTheme="minorHAnsi" w:cstheme="minorHAnsi"/>
          <w:b/>
          <w:sz w:val="20"/>
        </w:rPr>
      </w:pPr>
    </w:p>
    <w:p w14:paraId="43211AA4" w14:textId="55627A82" w:rsidR="00B0686B" w:rsidRPr="002C4C40" w:rsidRDefault="00B0686B" w:rsidP="002C4C40">
      <w:pPr>
        <w:widowControl/>
        <w:jc w:val="center"/>
        <w:rPr>
          <w:rFonts w:asciiTheme="minorHAnsi" w:hAnsiTheme="minorHAnsi" w:cstheme="minorHAnsi"/>
          <w:b/>
          <w:sz w:val="20"/>
        </w:rPr>
      </w:pPr>
      <w:r w:rsidRPr="002C4C40">
        <w:rPr>
          <w:rFonts w:asciiTheme="minorHAnsi" w:hAnsiTheme="minorHAnsi" w:cstheme="minorHAnsi"/>
          <w:b/>
          <w:sz w:val="20"/>
        </w:rPr>
        <w:t>Tabela 5 – Długość</w:t>
      </w:r>
      <w:r w:rsidR="002E1847" w:rsidRPr="002C4C40">
        <w:rPr>
          <w:rFonts w:asciiTheme="minorHAnsi" w:hAnsiTheme="minorHAnsi" w:cstheme="minorHAnsi"/>
          <w:b/>
          <w:sz w:val="20"/>
        </w:rPr>
        <w:t xml:space="preserve"> </w:t>
      </w:r>
      <w:r w:rsidRPr="002C4C40">
        <w:rPr>
          <w:rFonts w:asciiTheme="minorHAnsi" w:hAnsiTheme="minorHAnsi" w:cstheme="minorHAnsi"/>
          <w:b/>
          <w:sz w:val="20"/>
        </w:rPr>
        <w:t>/</w:t>
      </w:r>
      <w:r w:rsidR="002E1847" w:rsidRPr="002C4C40">
        <w:rPr>
          <w:rFonts w:asciiTheme="minorHAnsi" w:hAnsiTheme="minorHAnsi" w:cstheme="minorHAnsi"/>
          <w:b/>
          <w:sz w:val="20"/>
        </w:rPr>
        <w:t xml:space="preserve"> </w:t>
      </w:r>
      <w:r w:rsidRPr="002C4C40">
        <w:rPr>
          <w:rFonts w:asciiTheme="minorHAnsi" w:hAnsiTheme="minorHAnsi" w:cstheme="minorHAnsi"/>
          <w:b/>
          <w:sz w:val="20"/>
        </w:rPr>
        <w:t>odległość</w:t>
      </w:r>
      <w:r w:rsidR="002E1847" w:rsidRPr="002C4C40">
        <w:rPr>
          <w:rFonts w:asciiTheme="minorHAnsi" w:hAnsiTheme="minorHAnsi" w:cstheme="minorHAnsi"/>
          <w:b/>
          <w:sz w:val="20"/>
        </w:rPr>
        <w:t xml:space="preserve"> </w:t>
      </w:r>
      <w:r w:rsidRPr="002C4C40">
        <w:rPr>
          <w:rFonts w:asciiTheme="minorHAnsi" w:hAnsiTheme="minorHAnsi" w:cstheme="minorHAnsi"/>
          <w:b/>
          <w:sz w:val="20"/>
        </w:rPr>
        <w:t>/</w:t>
      </w:r>
      <w:r w:rsidR="002E1847" w:rsidRPr="002C4C40">
        <w:rPr>
          <w:rFonts w:asciiTheme="minorHAnsi" w:hAnsiTheme="minorHAnsi" w:cstheme="minorHAnsi"/>
          <w:b/>
          <w:sz w:val="20"/>
        </w:rPr>
        <w:t xml:space="preserve"> </w:t>
      </w:r>
      <w:r w:rsidRPr="002C4C40">
        <w:rPr>
          <w:rFonts w:asciiTheme="minorHAnsi" w:hAnsiTheme="minorHAnsi" w:cstheme="minorHAnsi"/>
          <w:b/>
          <w:sz w:val="20"/>
        </w:rPr>
        <w:t>wymiary</w:t>
      </w:r>
    </w:p>
    <w:p w14:paraId="6807D53A" w14:textId="77777777" w:rsidR="00B0686B" w:rsidRPr="009E064B" w:rsidRDefault="00B0686B" w:rsidP="00B06A9A">
      <w:pPr>
        <w:widowControl/>
        <w:jc w:val="center"/>
        <w:rPr>
          <w:rFonts w:asciiTheme="minorHAnsi" w:eastAsia="Calibri" w:hAnsiTheme="minorHAnsi" w:cstheme="minorHAnsi"/>
        </w:rPr>
      </w:pPr>
    </w:p>
    <w:p w14:paraId="0F8BEF22" w14:textId="7FB2FC84"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Wymagania dotyczące dokładności danych lotniczych powinny być oparte na 95% poziomie zaufania, w związku z tym rozróżnia się trzy rodzaje danych pozycyjnych: punkty zmierzone </w:t>
      </w:r>
      <w:r w:rsidR="00096164" w:rsidRPr="009E064B">
        <w:rPr>
          <w:rFonts w:asciiTheme="minorHAnsi" w:eastAsia="Calibri" w:hAnsiTheme="minorHAnsi" w:cstheme="minorHAnsi"/>
        </w:rPr>
        <w:br/>
      </w:r>
      <w:r w:rsidRPr="009E064B">
        <w:rPr>
          <w:rFonts w:asciiTheme="minorHAnsi" w:eastAsia="Calibri" w:hAnsiTheme="minorHAnsi" w:cstheme="minorHAnsi"/>
        </w:rPr>
        <w:t xml:space="preserve">(np. próg drogi startowej), punkty obliczone (matematyczne obliczenia na podstawie znanych punktów zmierzonych, punktów w przestrzeni, punktów stałych) i punkty zgłoszone </w:t>
      </w:r>
      <w:r w:rsidR="00096164" w:rsidRPr="009E064B">
        <w:rPr>
          <w:rFonts w:asciiTheme="minorHAnsi" w:eastAsia="Calibri" w:hAnsiTheme="minorHAnsi" w:cstheme="minorHAnsi"/>
        </w:rPr>
        <w:br/>
      </w:r>
      <w:r w:rsidRPr="009E064B">
        <w:rPr>
          <w:rFonts w:asciiTheme="minorHAnsi" w:eastAsia="Calibri" w:hAnsiTheme="minorHAnsi" w:cstheme="minorHAnsi"/>
        </w:rPr>
        <w:t>(np. graniczne punkty rejonu informacji i powietrznej).</w:t>
      </w:r>
    </w:p>
    <w:p w14:paraId="0661B5C2" w14:textId="7FAA938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Współrzędne geograficzne oznaczające szerokość i długość geograficzną są określane i zgłaszane organowi służb informacji lotniczej zgodnie z geodezyjnym układem odniesienia Światowego Systemu Geodezyjnego 1984 (WGS-84), ze wskazaniem tych współrzędnych geograficznych, które zostały przekształcone na współrzędne WGS-84 sposobami matematycznymi, a których dokładność pomiarów terenowych nie jest zgodna z wymaganiami zawartymi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3.</w:t>
      </w:r>
    </w:p>
    <w:p w14:paraId="6D86951C" w14:textId="2D1EB5C6"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 xml:space="preserve">Stopień dokładności pomiarów terenowych powinien być taki, aby końcowe dane nawigacyjne dla poszczególnych faz lotu we właściwym układzie odniesienia mieściły się w granicach maksymalnych odchyleń, jak podano w </w:t>
      </w:r>
      <w:r w:rsidR="00F36957" w:rsidRPr="009E064B">
        <w:rPr>
          <w:rFonts w:asciiTheme="minorHAnsi" w:eastAsia="Calibri" w:hAnsiTheme="minorHAnsi" w:cstheme="minorHAnsi"/>
        </w:rPr>
        <w:t>Tabela</w:t>
      </w:r>
      <w:r w:rsidRPr="009E064B">
        <w:rPr>
          <w:rFonts w:asciiTheme="minorHAnsi" w:eastAsia="Calibri" w:hAnsiTheme="minorHAnsi" w:cstheme="minorHAnsi"/>
        </w:rPr>
        <w:t>ch 3-7.</w:t>
      </w:r>
    </w:p>
    <w:p w14:paraId="5F1357DE" w14:textId="5BD85E3D"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W uzupełnieniu do wysokości (w odniesieniu do średniego poziomu morza) ściśle określonych</w:t>
      </w:r>
      <w:r w:rsidRPr="009E064B">
        <w:rPr>
          <w:rFonts w:asciiTheme="minorHAnsi" w:eastAsia="Calibri" w:hAnsiTheme="minorHAnsi" w:cstheme="minorHAnsi"/>
          <w:shd w:val="clear" w:color="auto" w:fill="FFFF00"/>
        </w:rPr>
        <w:t xml:space="preserve"> </w:t>
      </w:r>
      <w:r w:rsidRPr="009E064B">
        <w:rPr>
          <w:rFonts w:asciiTheme="minorHAnsi" w:eastAsia="Calibri" w:hAnsiTheme="minorHAnsi" w:cstheme="minorHAnsi"/>
        </w:rPr>
        <w:t xml:space="preserve">mierzonych naziemnych punktów lotniska, undulacja geoidy (w odniesieniu do elipsoidy </w:t>
      </w:r>
      <w:r w:rsidR="004D72AC" w:rsidRPr="009E064B">
        <w:rPr>
          <w:rFonts w:asciiTheme="minorHAnsi" w:eastAsia="Calibri" w:hAnsiTheme="minorHAnsi" w:cstheme="minorHAnsi"/>
        </w:rPr>
        <w:br/>
      </w:r>
      <w:r w:rsidRPr="009E064B">
        <w:rPr>
          <w:rFonts w:asciiTheme="minorHAnsi" w:eastAsia="Calibri" w:hAnsiTheme="minorHAnsi" w:cstheme="minorHAnsi"/>
        </w:rPr>
        <w:t xml:space="preserve">WGS-84) dla tych punktów jak zostało to przedstawione w </w:t>
      </w:r>
      <w:r w:rsidR="00F36957" w:rsidRPr="009E064B">
        <w:rPr>
          <w:rFonts w:asciiTheme="minorHAnsi" w:eastAsia="Calibri" w:hAnsiTheme="minorHAnsi" w:cstheme="minorHAnsi"/>
        </w:rPr>
        <w:t>Tabela</w:t>
      </w:r>
      <w:r w:rsidR="002E1847" w:rsidRPr="009E064B">
        <w:rPr>
          <w:rFonts w:asciiTheme="minorHAnsi" w:eastAsia="Calibri" w:hAnsiTheme="minorHAnsi" w:cstheme="minorHAnsi"/>
        </w:rPr>
        <w:t>ch 3-7, powinna być określona i </w:t>
      </w:r>
      <w:r w:rsidRPr="009E064B">
        <w:rPr>
          <w:rFonts w:asciiTheme="minorHAnsi" w:eastAsia="Calibri" w:hAnsiTheme="minorHAnsi" w:cstheme="minorHAnsi"/>
        </w:rPr>
        <w:t>zgłoszona do organów służb informacji lotniczej.</w:t>
      </w:r>
    </w:p>
    <w:p w14:paraId="041ED3DE" w14:textId="236C327B"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Ochrona elektronicznych danych lotniczych podczas ich przechowywania lub przesyłania powinna być całkowicie monitorowana za pomocą cyklicznej kontroli nadmiarowej (CRC). W celu zapewnienia poziomu integralności krytycznych i ważny</w:t>
      </w:r>
      <w:r w:rsidR="002E1847" w:rsidRPr="009E064B">
        <w:rPr>
          <w:rFonts w:asciiTheme="minorHAnsi" w:eastAsia="Calibri" w:hAnsiTheme="minorHAnsi" w:cstheme="minorHAnsi"/>
        </w:rPr>
        <w:t>ch danych lotniczych, zgodnie z </w:t>
      </w:r>
      <w:r w:rsidRPr="009E064B">
        <w:rPr>
          <w:rFonts w:asciiTheme="minorHAnsi" w:eastAsia="Calibri" w:hAnsiTheme="minorHAnsi" w:cstheme="minorHAnsi"/>
        </w:rPr>
        <w:t xml:space="preserve">klasyfikacją podaną w </w:t>
      </w:r>
      <w:r w:rsidR="004D72AC" w:rsidRPr="009E064B">
        <w:rPr>
          <w:rFonts w:asciiTheme="minorHAnsi" w:eastAsia="Calibri" w:hAnsiTheme="minorHAnsi" w:cstheme="minorHAnsi"/>
        </w:rPr>
        <w:t>lit. </w:t>
      </w:r>
      <w:r w:rsidRPr="009E064B">
        <w:rPr>
          <w:rFonts w:asciiTheme="minorHAnsi" w:eastAsia="Calibri" w:hAnsiTheme="minorHAnsi" w:cstheme="minorHAnsi"/>
        </w:rPr>
        <w:t>(a)</w:t>
      </w:r>
      <w:r w:rsidR="004D72AC" w:rsidRPr="009E064B">
        <w:rPr>
          <w:rFonts w:asciiTheme="minorHAnsi" w:eastAsia="Calibri" w:hAnsiTheme="minorHAnsi" w:cstheme="minorHAnsi"/>
        </w:rPr>
        <w:t xml:space="preserve"> pkt </w:t>
      </w:r>
      <w:r w:rsidRPr="009E064B">
        <w:rPr>
          <w:rFonts w:asciiTheme="minorHAnsi" w:eastAsia="Calibri" w:hAnsiTheme="minorHAnsi" w:cstheme="minorHAnsi"/>
        </w:rPr>
        <w:t xml:space="preserve">(1) i </w:t>
      </w:r>
      <w:r w:rsidR="004D72AC" w:rsidRPr="009E064B">
        <w:rPr>
          <w:rFonts w:asciiTheme="minorHAnsi" w:eastAsia="Calibri" w:hAnsiTheme="minorHAnsi" w:cstheme="minorHAnsi"/>
        </w:rPr>
        <w:t>lit. </w:t>
      </w:r>
      <w:r w:rsidRPr="009E064B">
        <w:rPr>
          <w:rFonts w:asciiTheme="minorHAnsi" w:eastAsia="Calibri" w:hAnsiTheme="minorHAnsi" w:cstheme="minorHAnsi"/>
        </w:rPr>
        <w:t>(a)</w:t>
      </w:r>
      <w:r w:rsidR="004D72AC" w:rsidRPr="009E064B">
        <w:rPr>
          <w:rFonts w:asciiTheme="minorHAnsi" w:eastAsia="Calibri" w:hAnsiTheme="minorHAnsi" w:cstheme="minorHAnsi"/>
        </w:rPr>
        <w:t xml:space="preserve"> pkt </w:t>
      </w:r>
      <w:r w:rsidRPr="009E064B">
        <w:rPr>
          <w:rFonts w:asciiTheme="minorHAnsi" w:eastAsia="Calibri" w:hAnsiTheme="minorHAnsi" w:cstheme="minorHAnsi"/>
        </w:rPr>
        <w:t xml:space="preserve">(2) powyżej, należy zastosować odpowiednio </w:t>
      </w:r>
      <w:r w:rsidR="00D12A54" w:rsidRPr="009E064B">
        <w:rPr>
          <w:rFonts w:asciiTheme="minorHAnsi" w:eastAsia="Calibri" w:hAnsiTheme="minorHAnsi" w:cstheme="minorHAnsi"/>
        </w:rPr>
        <w:br/>
      </w:r>
      <w:r w:rsidRPr="009E064B">
        <w:rPr>
          <w:rFonts w:asciiTheme="minorHAnsi" w:eastAsia="Calibri" w:hAnsiTheme="minorHAnsi" w:cstheme="minorHAnsi"/>
        </w:rPr>
        <w:t>32- lub 24-bitowy algorytm cyklicznej kontroli nadmiarowej (CRC).</w:t>
      </w:r>
    </w:p>
    <w:p w14:paraId="2DB29490" w14:textId="6F27F8B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 xml:space="preserve">W celu osiągnięcia ochrony poziomu integralności zwykłych danych lotniczych, zgodnie z klasyfikacją podaną w </w:t>
      </w:r>
      <w:r w:rsidR="004D72AC" w:rsidRPr="009E064B">
        <w:rPr>
          <w:rFonts w:asciiTheme="minorHAnsi" w:eastAsia="Calibri" w:hAnsiTheme="minorHAnsi" w:cstheme="minorHAnsi"/>
        </w:rPr>
        <w:t>lit. </w:t>
      </w:r>
      <w:r w:rsidRPr="009E064B">
        <w:rPr>
          <w:rFonts w:asciiTheme="minorHAnsi" w:eastAsia="Calibri" w:hAnsiTheme="minorHAnsi" w:cstheme="minorHAnsi"/>
        </w:rPr>
        <w:t>(a)</w:t>
      </w:r>
      <w:r w:rsidR="004D72AC" w:rsidRPr="009E064B">
        <w:rPr>
          <w:rFonts w:asciiTheme="minorHAnsi" w:eastAsia="Calibri" w:hAnsiTheme="minorHAnsi" w:cstheme="minorHAnsi"/>
        </w:rPr>
        <w:t xml:space="preserve"> pkt </w:t>
      </w:r>
      <w:r w:rsidRPr="009E064B">
        <w:rPr>
          <w:rFonts w:asciiTheme="minorHAnsi" w:eastAsia="Calibri" w:hAnsiTheme="minorHAnsi" w:cstheme="minorHAnsi"/>
        </w:rPr>
        <w:t>(3) powyżej, należy zastosować 16-bitowy algorytm cyklicznej kontroli nadmiarowej (CRC).</w:t>
      </w:r>
    </w:p>
    <w:p w14:paraId="36FA128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Operator lotniska powinien wdrożyć procedury w celu:</w:t>
      </w:r>
    </w:p>
    <w:p w14:paraId="32A5CA6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monitorowania danych dotyczących lotniska i dostępnych usług pochodzących od operatora lotniska, które są rozpowszechniane przez odpowiednie instytucje zapewniające służby ruchu lotniczego;</w:t>
      </w:r>
    </w:p>
    <w:p w14:paraId="1D532AA3" w14:textId="57AE9474"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powiadamiania odpowiednich służb informacji lotniczej i instytucji zapewniających służby ruchu lotniczego o wszelkich zmianach koniecznyc</w:t>
      </w:r>
      <w:r w:rsidR="002E1847" w:rsidRPr="009E064B">
        <w:rPr>
          <w:rFonts w:asciiTheme="minorHAnsi" w:eastAsia="Calibri" w:hAnsiTheme="minorHAnsi" w:cstheme="minorHAnsi"/>
        </w:rPr>
        <w:t>h do zapewnienia prawidłowych i </w:t>
      </w:r>
      <w:r w:rsidRPr="009E064B">
        <w:rPr>
          <w:rFonts w:asciiTheme="minorHAnsi" w:eastAsia="Calibri" w:hAnsiTheme="minorHAnsi" w:cstheme="minorHAnsi"/>
        </w:rPr>
        <w:t>kompletnych danych dotyczących lotniska i dostępnych na nim usług.</w:t>
      </w:r>
    </w:p>
    <w:p w14:paraId="1A9778CC" w14:textId="0830D046" w:rsidR="00B0686B" w:rsidRPr="009E064B" w:rsidRDefault="00B0686B" w:rsidP="00133B99">
      <w:pPr>
        <w:pStyle w:val="Nagwek5"/>
      </w:pPr>
      <w:bookmarkStart w:id="516" w:name="_Toc492024681"/>
      <w:bookmarkStart w:id="517" w:name="_Toc12532782"/>
      <w:r w:rsidRPr="009E064B">
        <w:t xml:space="preserve">AMC2 ADR.OPS.A.010    </w:t>
      </w:r>
      <w:r w:rsidR="004002F9" w:rsidRPr="009E064B">
        <w:t xml:space="preserve"> </w:t>
      </w:r>
      <w:r w:rsidRPr="009E064B">
        <w:t>Wymagania dotyczące jakości danych</w:t>
      </w:r>
      <w:bookmarkEnd w:id="516"/>
      <w:bookmarkEnd w:id="517"/>
    </w:p>
    <w:p w14:paraId="4001EBD2" w14:textId="7C4BC2B5"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4C0BC98"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UZGODNIENIA FORMALNE</w:t>
      </w:r>
    </w:p>
    <w:p w14:paraId="110FDCE0" w14:textId="77777777" w:rsidR="00B0686B" w:rsidRPr="009E064B" w:rsidRDefault="00B0686B"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Zaangażowane organizacje</w:t>
      </w:r>
    </w:p>
    <w:p w14:paraId="2899460F" w14:textId="77777777"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Operator lotniska powinien dokonać formalnych uzgodnień z publicznymi lub prywatnymi podmiotami, świadczącymi usługi w zakresie:</w:t>
      </w:r>
    </w:p>
    <w:p w14:paraId="1B21684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służb żeglugi powietrznej;</w:t>
      </w:r>
    </w:p>
    <w:p w14:paraId="6BA9E91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dokonywania i dostarczania danych z pomiarów;</w:t>
      </w:r>
    </w:p>
    <w:p w14:paraId="7060293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projektowania procedur;</w:t>
      </w:r>
    </w:p>
    <w:p w14:paraId="341AFC2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danych elektronicznych dotyczących terenu; oraz</w:t>
      </w:r>
    </w:p>
    <w:p w14:paraId="0A491D4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danych elektronicznych dotyczących przeszkód lotniczych,</w:t>
      </w:r>
    </w:p>
    <w:p w14:paraId="31F5A302" w14:textId="77777777"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z którymi wymienia dane lotnicze i/lub informacje lotnicze.</w:t>
      </w:r>
    </w:p>
    <w:p w14:paraId="377B589F" w14:textId="77777777" w:rsidR="00B0686B" w:rsidRPr="009E064B" w:rsidRDefault="00B0686B"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Zawartość formalnych uzgodnień</w:t>
      </w:r>
    </w:p>
    <w:p w14:paraId="12039DE3" w14:textId="77777777"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Takie formalne uzgodnienia powinny zawierać, co najmniej następujące treści:</w:t>
      </w:r>
    </w:p>
    <w:p w14:paraId="2FCCC3F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zakres danych lotniczych lub informacji lotniczych, które mają być dostarczane;</w:t>
      </w:r>
    </w:p>
    <w:p w14:paraId="5D85AA0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wymagania dotyczące dokładności, rozdzielczości i integralności dla każdego elementu udostępnianych danych;</w:t>
      </w:r>
    </w:p>
    <w:p w14:paraId="6BD982B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wymagane sposoby wykazania, że dostarczone dane są zgodne z określonymi wymaganiami;</w:t>
      </w:r>
    </w:p>
    <w:p w14:paraId="1278D06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charakter działań, jakie należy podjąć w przypadku wykrycia błędu lub niezgodności danych, w jakichkolwiek dostarczonych danych;</w:t>
      </w:r>
    </w:p>
    <w:p w14:paraId="3FE0713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następujące minimalne kryteria powiadamiania o zmianie danych:</w:t>
      </w:r>
    </w:p>
    <w:p w14:paraId="20640461"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kryteria ustalania terminowości dostarczania danych w oparciu o znaczenie zmiany dla operacji lub bezpieczeństwa;</w:t>
      </w:r>
    </w:p>
    <w:p w14:paraId="3808B5F6"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wcześniejsze powiadamianie o przewidywanych zmianach;</w:t>
      </w:r>
    </w:p>
    <w:p w14:paraId="4139651A"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środki, które mają być przyjęte dla celów powiadamiania;</w:t>
      </w:r>
    </w:p>
    <w:p w14:paraId="51E85BE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strona odpowiedzialna za dokumentowanie zmian danych;</w:t>
      </w:r>
    </w:p>
    <w:p w14:paraId="5A1A955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środki do rozwiązywania wszelkich ewentualnych niejasności spowodowanych stosowaniem różnych formatów do wymiany danych lotniczych lub informacji lotniczej;</w:t>
      </w:r>
    </w:p>
    <w:p w14:paraId="48E118E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wszelkie ograniczenia w korzystaniu z danych;</w:t>
      </w:r>
    </w:p>
    <w:p w14:paraId="7E863DD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wymagania dotyczące przedstawiania raportów jakości przez dostawców danych w celu ułatwienia weryfikacji jakości danych przez użytkowników danych;</w:t>
      </w:r>
    </w:p>
    <w:p w14:paraId="7F0084E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wymagania dotyczące metadanych; oraz</w:t>
      </w:r>
    </w:p>
    <w:p w14:paraId="28158DB6" w14:textId="7EF8D37B" w:rsidR="00096164" w:rsidRPr="009E064B" w:rsidRDefault="00B0686B" w:rsidP="00096164">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wymagania dotyczące sytuacji awaryjnych związanych z ciągłością dostarczania danych.</w:t>
      </w:r>
      <w:r w:rsidR="00096164" w:rsidRPr="009E064B">
        <w:rPr>
          <w:rFonts w:asciiTheme="minorHAnsi" w:eastAsia="Calibri" w:hAnsiTheme="minorHAnsi" w:cstheme="minorHAnsi"/>
        </w:rPr>
        <w:br/>
      </w:r>
      <w:r w:rsidR="00096164" w:rsidRPr="009E064B">
        <w:rPr>
          <w:rFonts w:asciiTheme="minorHAnsi" w:eastAsia="Calibri" w:hAnsiTheme="minorHAnsi" w:cstheme="minorHAnsi"/>
        </w:rPr>
        <w:br w:type="page"/>
      </w:r>
    </w:p>
    <w:p w14:paraId="42A5054F" w14:textId="47C9F05A" w:rsidR="00B0686B" w:rsidRPr="009E064B" w:rsidRDefault="00B0686B" w:rsidP="00133B99">
      <w:pPr>
        <w:pStyle w:val="Nagwek6"/>
      </w:pPr>
      <w:bookmarkStart w:id="518" w:name="_Toc492024682"/>
      <w:bookmarkStart w:id="519" w:name="_Toc12532783"/>
      <w:r w:rsidRPr="009E064B">
        <w:t xml:space="preserve">GM1 ADR.OPS.A.010    </w:t>
      </w:r>
      <w:r w:rsidR="004002F9" w:rsidRPr="009E064B">
        <w:t xml:space="preserve"> </w:t>
      </w:r>
      <w:r w:rsidRPr="009E064B">
        <w:t>Wymagania dotyczące jakości danych</w:t>
      </w:r>
      <w:bookmarkEnd w:id="518"/>
      <w:bookmarkEnd w:id="519"/>
    </w:p>
    <w:p w14:paraId="4FC97912" w14:textId="64B619F4"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F368B6A" w14:textId="07C76EE4" w:rsidR="00B0686B" w:rsidRPr="009E064B" w:rsidRDefault="00B0686B" w:rsidP="00B06A9A">
      <w:pPr>
        <w:ind w:right="-2"/>
        <w:rPr>
          <w:rFonts w:asciiTheme="minorHAnsi" w:eastAsia="Times New Roman" w:hAnsiTheme="minorHAnsi" w:cstheme="minorHAnsi"/>
          <w:szCs w:val="20"/>
        </w:rPr>
      </w:pPr>
      <w:r w:rsidRPr="009E064B">
        <w:rPr>
          <w:rFonts w:asciiTheme="minorHAnsi" w:eastAsia="Calibri" w:hAnsiTheme="minorHAnsi" w:cstheme="minorHAnsi"/>
        </w:rPr>
        <w:t xml:space="preserve">Informacje dotyczące przetwarzania danych i informacji lotniczych są zawarte w dokumencie RTCA </w:t>
      </w:r>
      <w:r w:rsidR="00E140D8" w:rsidRPr="009E064B">
        <w:rPr>
          <w:rFonts w:asciiTheme="minorHAnsi" w:eastAsia="Calibri" w:hAnsiTheme="minorHAnsi" w:cstheme="minorHAnsi"/>
        </w:rPr>
        <w:br/>
      </w:r>
      <w:r w:rsidRPr="009E064B">
        <w:rPr>
          <w:rFonts w:asciiTheme="minorHAnsi" w:eastAsia="Calibri" w:hAnsiTheme="minorHAnsi" w:cstheme="minorHAnsi"/>
        </w:rPr>
        <w:t xml:space="preserve">DO-200A oraz Europejskiej organizacji ds. wyposażenia lotnictwa cywilnego (EUROCAE) dokument </w:t>
      </w:r>
      <w:r w:rsidR="00E140D8" w:rsidRPr="009E064B">
        <w:rPr>
          <w:rFonts w:asciiTheme="minorHAnsi" w:eastAsia="Calibri" w:hAnsiTheme="minorHAnsi" w:cstheme="minorHAnsi"/>
        </w:rPr>
        <w:br/>
      </w:r>
      <w:r w:rsidRPr="009E064B">
        <w:rPr>
          <w:rFonts w:asciiTheme="minorHAnsi" w:eastAsia="Calibri" w:hAnsiTheme="minorHAnsi" w:cstheme="minorHAnsi"/>
        </w:rPr>
        <w:t>ED-76A - Standardy przetwarzania danych lotniczych.</w:t>
      </w:r>
    </w:p>
    <w:p w14:paraId="6A8F6694" w14:textId="5132A97C" w:rsidR="00DC7DA6" w:rsidRPr="009E064B" w:rsidRDefault="00DE05DC" w:rsidP="002E1847">
      <w:pPr>
        <w:pStyle w:val="Nagwek3"/>
        <w:ind w:left="2127" w:hanging="2127"/>
      </w:pPr>
      <w:bookmarkStart w:id="520" w:name="_Toc12532784"/>
      <w:r w:rsidRPr="009E064B">
        <w:t xml:space="preserve">ADR.OPS.A.015 </w:t>
      </w:r>
      <w:r w:rsidR="004002F9" w:rsidRPr="009E064B">
        <w:t xml:space="preserve">    </w:t>
      </w:r>
      <w:r w:rsidRPr="009E064B">
        <w:t>Koordynacja dział</w:t>
      </w:r>
      <w:r w:rsidR="007570CC" w:rsidRPr="009E064B">
        <w:t>ań między operatorami lotnisk i </w:t>
      </w:r>
      <w:r w:rsidRPr="009E064B">
        <w:t>instytucjami zapewniającymi służby informacji lotniczej</w:t>
      </w:r>
      <w:bookmarkEnd w:id="520"/>
    </w:p>
    <w:p w14:paraId="1A5F2C63" w14:textId="4C5DEAF1"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03685AA" w14:textId="60825734"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a)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W celu zapewnienia, by instytucje zapewniające służby informacji lotniczej otrzymywały informacje umożliwiające im dostarczanie aktualnych informacji przed lotem oraz zaspokajanie zapotrzebowania na informacje podczas lotu, operator lotniska wdraża mechanizmy przekazywania odpowiednim instytucjom zapewniającym służby informacji lotniczej, z jak najmniejszym opóźnieniem, następujących informacji:</w:t>
      </w:r>
    </w:p>
    <w:p w14:paraId="56B2B155" w14:textId="03584FC5"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informacje o warunkach panujących na lotnisku, usuwaniu unieruchomionych statków powietrznych, systemach ratowniczych i gaśniczych oraz systemie wzrokowych wskaźników ścieżki podejścia;</w:t>
      </w:r>
    </w:p>
    <w:p w14:paraId="2049FD45" w14:textId="6DF8DEED"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informacje o statusie operacyjnym odpowiednich urządzeń, służb i pomocy nawigacyjnych na lotnisku;</w:t>
      </w:r>
    </w:p>
    <w:p w14:paraId="51860F6A" w14:textId="7F8D2A4C"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3) </w:t>
      </w:r>
      <w:r w:rsidR="00DE0098"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wszelkie pozostałe informacje, które uznano za ważne </w:t>
      </w:r>
      <w:r w:rsidR="003C4611" w:rsidRPr="009E064B">
        <w:rPr>
          <w:rFonts w:asciiTheme="minorHAnsi" w:eastAsia="Times New Roman" w:hAnsiTheme="minorHAnsi" w:cstheme="minorHAnsi"/>
          <w:szCs w:val="20"/>
        </w:rPr>
        <w:t xml:space="preserve">z </w:t>
      </w:r>
      <w:r w:rsidR="00DE05DC" w:rsidRPr="009E064B">
        <w:rPr>
          <w:rFonts w:asciiTheme="minorHAnsi" w:eastAsia="Times New Roman" w:hAnsiTheme="minorHAnsi" w:cstheme="minorHAnsi"/>
          <w:szCs w:val="20"/>
        </w:rPr>
        <w:t>operacyjnego punktu widzenia.</w:t>
      </w:r>
    </w:p>
    <w:p w14:paraId="1F0A3D10" w14:textId="659C9DB8" w:rsidR="00DC7DA6" w:rsidRPr="009E064B" w:rsidRDefault="00371A8B" w:rsidP="00B06A9A">
      <w:pPr>
        <w:pStyle w:val="Tekstpodstawowy"/>
        <w:tabs>
          <w:tab w:val="left" w:pos="567"/>
        </w:tabs>
        <w:ind w:left="567" w:right="-2" w:hanging="567"/>
        <w:rPr>
          <w:rFonts w:asciiTheme="minorHAnsi" w:hAnsiTheme="minorHAnsi" w:cstheme="minorHAnsi"/>
          <w:sz w:val="22"/>
          <w:szCs w:val="20"/>
        </w:rPr>
      </w:pPr>
      <w:r w:rsidRPr="009E064B">
        <w:rPr>
          <w:rFonts w:asciiTheme="minorHAnsi" w:hAnsiTheme="minorHAnsi" w:cstheme="minorHAnsi"/>
          <w:sz w:val="22"/>
          <w:szCs w:val="20"/>
        </w:rPr>
        <w:t>(</w:t>
      </w:r>
      <w:r w:rsidR="00DE0098" w:rsidRPr="009E064B">
        <w:rPr>
          <w:rFonts w:asciiTheme="minorHAnsi" w:hAnsiTheme="minorHAnsi" w:cstheme="minorHAnsi"/>
          <w:sz w:val="22"/>
          <w:szCs w:val="20"/>
        </w:rPr>
        <w:t xml:space="preserve">b) </w:t>
      </w:r>
      <w:r w:rsidR="00DE0098" w:rsidRPr="009E064B">
        <w:rPr>
          <w:rFonts w:asciiTheme="minorHAnsi" w:hAnsiTheme="minorHAnsi" w:cstheme="minorHAnsi"/>
          <w:sz w:val="22"/>
          <w:szCs w:val="20"/>
        </w:rPr>
        <w:tab/>
      </w:r>
      <w:r w:rsidR="00DE05DC" w:rsidRPr="009E064B">
        <w:rPr>
          <w:rFonts w:asciiTheme="minorHAnsi" w:hAnsiTheme="minorHAnsi" w:cstheme="minorHAnsi"/>
          <w:sz w:val="22"/>
          <w:szCs w:val="20"/>
        </w:rPr>
        <w:t xml:space="preserve">Przed wprowadzeniem zmian do systemu nawigacji lotniczej operator lotniska należycie uwzględnia czas potrzebny odpowiednim służbom informacji lotniczej na przygotowanie, sporządzenie </w:t>
      </w:r>
      <w:r w:rsidR="003C4611" w:rsidRPr="009E064B">
        <w:rPr>
          <w:rFonts w:asciiTheme="minorHAnsi" w:hAnsiTheme="minorHAnsi" w:cstheme="minorHAnsi"/>
          <w:sz w:val="22"/>
          <w:szCs w:val="20"/>
        </w:rPr>
        <w:t xml:space="preserve">i </w:t>
      </w:r>
      <w:r w:rsidR="00DE05DC" w:rsidRPr="009E064B">
        <w:rPr>
          <w:rFonts w:asciiTheme="minorHAnsi" w:hAnsiTheme="minorHAnsi" w:cstheme="minorHAnsi"/>
          <w:sz w:val="22"/>
          <w:szCs w:val="20"/>
        </w:rPr>
        <w:t>wydanie odpowiednich materiałów do rozpowszechniania.</w:t>
      </w:r>
    </w:p>
    <w:p w14:paraId="66D54356" w14:textId="54341748" w:rsidR="00B0686B" w:rsidRPr="009E064B" w:rsidRDefault="004002F9" w:rsidP="00133B99">
      <w:pPr>
        <w:pStyle w:val="Nagwek5"/>
      </w:pPr>
      <w:bookmarkStart w:id="521" w:name="_Toc492024683"/>
      <w:bookmarkStart w:id="522" w:name="_Toc12532785"/>
      <w:r w:rsidRPr="009E064B">
        <w:t xml:space="preserve">AMC1 ADR.OPS.A.015     </w:t>
      </w:r>
      <w:r w:rsidR="002E1847" w:rsidRPr="009E064B">
        <w:t xml:space="preserve"> </w:t>
      </w:r>
      <w:r w:rsidR="00B0686B" w:rsidRPr="009E064B">
        <w:t xml:space="preserve">Koordynacja pomiędzy operatorem lotniska i instytucją </w:t>
      </w:r>
      <w:r w:rsidR="00673989">
        <w:br/>
        <w:t xml:space="preserve">     </w:t>
      </w:r>
      <w:r w:rsidR="00B0686B" w:rsidRPr="009E064B">
        <w:t>zapewniającą służbę informacji lotniczej</w:t>
      </w:r>
      <w:bookmarkEnd w:id="521"/>
      <w:bookmarkEnd w:id="522"/>
    </w:p>
    <w:p w14:paraId="1E8520BF" w14:textId="71C0976A"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4460571"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ZGŁASZANIE DANYCH I INFORMACJI</w:t>
      </w:r>
    </w:p>
    <w:p w14:paraId="3D4BB9E2"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zgłaszać informacje dotyczące spraw mających znaczenie operacyjne lub mające wpływ na statki powietrzne i operacje lotniskowe, w celu podejmowania odpowiednich działań, w szczególności w odniesieniu do:</w:t>
      </w:r>
    </w:p>
    <w:p w14:paraId="1D26FA6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prac budowlanych lub związanych z utrzymaniem i obsługą techniczną lotniska;</w:t>
      </w:r>
    </w:p>
    <w:p w14:paraId="7B6213F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nierównych lub uszkodzonych części nawierzchni drogi startowej, drogi kołowania lub płyty postojowej;</w:t>
      </w:r>
    </w:p>
    <w:p w14:paraId="7CA3F76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obecności śniegu, błota pośniegowego, lodu lub szronu na drodze startowej, drodze kołowania lub płycie postojowej;</w:t>
      </w:r>
    </w:p>
    <w:p w14:paraId="395788E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obecności wody na drodze startowej, drodze kołowania lub płycie postojowej;</w:t>
      </w:r>
    </w:p>
    <w:p w14:paraId="6E2B04D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zwałów śniegu lub zasp śnieżnych w pobliżu drogi startowej, drogi kołowania lub płyty postojowej;</w:t>
      </w:r>
    </w:p>
    <w:p w14:paraId="0364A10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obecności płynnych substancji chemicznych do usuwania oblodzenia lub zapobiegania oblodzeniu lub innych zanieczyszczeń na drodze startowej, drodze kołowania lub płycie postojowej;</w:t>
      </w:r>
    </w:p>
    <w:p w14:paraId="4682D1A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innych tymczasowych zagrożeń, w tym zaparkowanych statków powietrznych;</w:t>
      </w:r>
    </w:p>
    <w:p w14:paraId="23B2B9E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awarii lub nieprawidłowości działania części lub wszystkich pomocy wzrokowych lotniska; oraz</w:t>
      </w:r>
    </w:p>
    <w:p w14:paraId="1A92CDE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awarii podstawowego lub rezerwowego źródła zasilania w energię elektryczną.</w:t>
      </w:r>
    </w:p>
    <w:p w14:paraId="0CF0E6FD"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Zmiany normalnie zapewnianego na lotnisku poziomu ochrony w zakresie ratownictwa i gaszenia pożarów powinny być wyrażane przez podanie nowej kategorii ochrony dostępnej na lotnisku. Jeżeli poziom ochrony powróci do normy, to instytucje zapewniające służby ruchu lotniczego i instytucje zapewniające służby informacji lotniczej powinny być o tym odpowiednio powiadomione.</w:t>
      </w:r>
    </w:p>
    <w:p w14:paraId="10DA3EDF"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powinien przestrzegać wcześniej ustalonych, uzgodnionych na szczeblu międzynarodowym dat obowiązywania AIRAC, z uwzględnieniem dodatkowo 14 dni na przesyłkę pocztową, podczas przekazywania do służb informacji lotniczej nieprzetworzonych informacji/danych, które wpływają na opracowanie map i/lub systemy nawigacyjne oparte na komputerach i kwalifikują się do powiadamiania poprzez system regulacji i kontroli informacji lotniczych (AIRAC).</w:t>
      </w:r>
    </w:p>
    <w:p w14:paraId="1FAAA504" w14:textId="77777777" w:rsidR="00DE0098" w:rsidRPr="009E064B" w:rsidRDefault="00DE0098" w:rsidP="00B06A9A">
      <w:pPr>
        <w:ind w:right="-2"/>
        <w:rPr>
          <w:rFonts w:asciiTheme="minorHAnsi" w:hAnsiTheme="minorHAnsi" w:cstheme="minorHAnsi"/>
          <w:szCs w:val="20"/>
        </w:rPr>
      </w:pPr>
    </w:p>
    <w:p w14:paraId="20EBFD57" w14:textId="77777777" w:rsidR="00C05A61" w:rsidRPr="009E064B" w:rsidRDefault="00C05A61" w:rsidP="00B06A9A">
      <w:pPr>
        <w:ind w:right="-2"/>
        <w:rPr>
          <w:rFonts w:asciiTheme="minorHAnsi" w:hAnsiTheme="minorHAnsi" w:cstheme="minorHAnsi"/>
          <w:szCs w:val="20"/>
        </w:rPr>
        <w:sectPr w:rsidR="00C05A61" w:rsidRPr="009E064B" w:rsidSect="00E140D8">
          <w:headerReference w:type="default" r:id="rId94"/>
          <w:headerReference w:type="first" r:id="rId95"/>
          <w:pgSz w:w="11906" w:h="16840" w:code="9"/>
          <w:pgMar w:top="1701" w:right="1418" w:bottom="1418" w:left="1418" w:header="567" w:footer="454" w:gutter="0"/>
          <w:cols w:space="708"/>
          <w:titlePg/>
        </w:sectPr>
      </w:pPr>
    </w:p>
    <w:p w14:paraId="5C6FE140" w14:textId="2FE00307" w:rsidR="00DC7DA6" w:rsidRPr="009E064B" w:rsidRDefault="002D15E2" w:rsidP="00020EA3">
      <w:pPr>
        <w:pStyle w:val="Nagwek2"/>
      </w:pPr>
      <w:bookmarkStart w:id="523" w:name="_Toc12532786"/>
      <w:r w:rsidRPr="009E064B">
        <w:t>PODCZĘŚĆ B — S</w:t>
      </w:r>
      <w:r w:rsidR="004D72AC" w:rsidRPr="009E064B">
        <w:t>ŁUŻBY OPERACYJNE, WYPOSAŻENIE I </w:t>
      </w:r>
      <w:r w:rsidRPr="009E064B">
        <w:t xml:space="preserve">INSTALACJE </w:t>
      </w:r>
      <w:r w:rsidR="00DE05DC" w:rsidRPr="009E064B">
        <w:t>LOTNISKA  (ADR.OPS.B)</w:t>
      </w:r>
      <w:bookmarkEnd w:id="523"/>
    </w:p>
    <w:p w14:paraId="4B214B76" w14:textId="77777777" w:rsidR="00E15935" w:rsidRPr="009E064B" w:rsidRDefault="00E15935" w:rsidP="00B06A9A">
      <w:pPr>
        <w:ind w:right="-2"/>
        <w:rPr>
          <w:rFonts w:asciiTheme="minorHAnsi" w:hAnsiTheme="minorHAnsi" w:cstheme="minorHAnsi"/>
          <w:szCs w:val="20"/>
        </w:rPr>
      </w:pPr>
    </w:p>
    <w:p w14:paraId="5758C755" w14:textId="2CCA8151" w:rsidR="00DC7DA6" w:rsidRPr="009E064B" w:rsidRDefault="00DE05DC" w:rsidP="00B06A9A">
      <w:pPr>
        <w:pStyle w:val="Nagwek3"/>
      </w:pPr>
      <w:bookmarkStart w:id="524" w:name="_Toc12532787"/>
      <w:r w:rsidRPr="009E064B">
        <w:t xml:space="preserve">ADR.OPS.B.001 </w:t>
      </w:r>
      <w:r w:rsidR="004002F9" w:rsidRPr="009E064B">
        <w:t xml:space="preserve">    </w:t>
      </w:r>
      <w:r w:rsidRPr="009E064B">
        <w:t>Zapewnienie służb</w:t>
      </w:r>
      <w:bookmarkEnd w:id="524"/>
    </w:p>
    <w:p w14:paraId="03E3DD14" w14:textId="1FA60D0F"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7A4E988" w14:textId="6748ADDC" w:rsidR="00DC7DA6" w:rsidRPr="009E064B" w:rsidRDefault="00371A8B" w:rsidP="00B06A9A">
      <w:pPr>
        <w:pStyle w:val="Tekstpodstawowy"/>
        <w:ind w:left="0" w:right="-2" w:firstLine="2"/>
        <w:rPr>
          <w:rFonts w:asciiTheme="minorHAnsi" w:hAnsiTheme="minorHAnsi" w:cstheme="minorHAnsi"/>
          <w:sz w:val="20"/>
          <w:szCs w:val="20"/>
        </w:rPr>
      </w:pPr>
      <w:r w:rsidRPr="009E064B">
        <w:rPr>
          <w:rFonts w:asciiTheme="minorHAnsi" w:hAnsiTheme="minorHAnsi" w:cstheme="minorHAnsi"/>
          <w:sz w:val="20"/>
          <w:szCs w:val="20"/>
        </w:rPr>
        <w:t>Służby, o których mowa w Podc</w:t>
      </w:r>
      <w:r w:rsidR="00DE05DC" w:rsidRPr="009E064B">
        <w:rPr>
          <w:rFonts w:asciiTheme="minorHAnsi" w:hAnsiTheme="minorHAnsi" w:cstheme="minorHAnsi"/>
          <w:sz w:val="20"/>
          <w:szCs w:val="20"/>
        </w:rPr>
        <w:t xml:space="preserve">zęści B niniejszego </w:t>
      </w:r>
      <w:r w:rsidRPr="009E064B">
        <w:rPr>
          <w:rFonts w:asciiTheme="minorHAnsi" w:hAnsiTheme="minorHAnsi" w:cstheme="minorHAnsi"/>
          <w:sz w:val="20"/>
          <w:szCs w:val="20"/>
        </w:rPr>
        <w:t>Z</w:t>
      </w:r>
      <w:r w:rsidR="00DE05DC" w:rsidRPr="009E064B">
        <w:rPr>
          <w:rFonts w:asciiTheme="minorHAnsi" w:hAnsiTheme="minorHAnsi" w:cstheme="minorHAnsi"/>
          <w:sz w:val="20"/>
          <w:szCs w:val="20"/>
        </w:rPr>
        <w:t>ałącznika, są zapewniane na lotnisku pośrednio lub bezpośrednio przez operatora lotniska.</w:t>
      </w:r>
    </w:p>
    <w:p w14:paraId="6C9FF91E" w14:textId="5B51ACF1" w:rsidR="00B0686B" w:rsidRPr="009E064B" w:rsidRDefault="00B0686B" w:rsidP="00133B99">
      <w:pPr>
        <w:pStyle w:val="Nagwek6"/>
      </w:pPr>
      <w:bookmarkStart w:id="525" w:name="_Toc492024685"/>
      <w:bookmarkStart w:id="526" w:name="_Toc12532788"/>
      <w:r w:rsidRPr="009E064B">
        <w:t xml:space="preserve">GM1 ADR.OPS.B.001    </w:t>
      </w:r>
      <w:r w:rsidR="004002F9" w:rsidRPr="009E064B">
        <w:t xml:space="preserve"> </w:t>
      </w:r>
      <w:r w:rsidRPr="009E064B">
        <w:t>Zapewnienie służb</w:t>
      </w:r>
      <w:bookmarkEnd w:id="525"/>
      <w:bookmarkEnd w:id="526"/>
    </w:p>
    <w:p w14:paraId="5024F79F" w14:textId="1BD9053A"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53C7531"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SŁUŻBY</w:t>
      </w:r>
    </w:p>
    <w:p w14:paraId="6B6897E3" w14:textId="32DD1A5A"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Służby, o których mowa w </w:t>
      </w:r>
      <w:r w:rsidR="00371A8B" w:rsidRPr="009E064B">
        <w:rPr>
          <w:rFonts w:asciiTheme="minorHAnsi" w:eastAsia="Calibri" w:hAnsiTheme="minorHAnsi" w:cstheme="minorHAnsi"/>
        </w:rPr>
        <w:t>Podcz</w:t>
      </w:r>
      <w:r w:rsidRPr="009E064B">
        <w:rPr>
          <w:rFonts w:asciiTheme="minorHAnsi" w:eastAsia="Calibri" w:hAnsiTheme="minorHAnsi" w:cstheme="minorHAnsi"/>
        </w:rPr>
        <w:t xml:space="preserve">ęści B niniejszego </w:t>
      </w:r>
      <w:r w:rsidR="00371A8B" w:rsidRPr="009E064B">
        <w:rPr>
          <w:rFonts w:asciiTheme="minorHAnsi" w:eastAsia="Calibri" w:hAnsiTheme="minorHAnsi" w:cstheme="minorHAnsi"/>
        </w:rPr>
        <w:t>Z</w:t>
      </w:r>
      <w:r w:rsidRPr="009E064B">
        <w:rPr>
          <w:rFonts w:asciiTheme="minorHAnsi" w:eastAsia="Calibri" w:hAnsiTheme="minorHAnsi" w:cstheme="minorHAnsi"/>
        </w:rPr>
        <w:t>ałącznika, są zapewniane na lotnisku. W</w:t>
      </w:r>
      <w:r w:rsidR="00371A8B" w:rsidRPr="009E064B">
        <w:rPr>
          <w:rFonts w:asciiTheme="minorHAnsi" w:eastAsia="Calibri" w:hAnsiTheme="minorHAnsi" w:cstheme="minorHAnsi"/>
        </w:rPr>
        <w:t> </w:t>
      </w:r>
      <w:r w:rsidRPr="009E064B">
        <w:rPr>
          <w:rFonts w:asciiTheme="minorHAnsi" w:eastAsia="Calibri" w:hAnsiTheme="minorHAnsi" w:cstheme="minorHAnsi"/>
        </w:rPr>
        <w:t>niektórych przypadkach służby te nie są bezpośrednio zapewniane przez operatora lotniska, lecz przez inną organizację lub instytucję państwową albo obie naraz. Jednakże operator lotniska, będąc odpowiedzialny za funkcjonowanie lotniska powinien dokonać uzgodnień i nawiązać współpracę z</w:t>
      </w:r>
      <w:r w:rsidR="00371A8B" w:rsidRPr="009E064B">
        <w:rPr>
          <w:rFonts w:asciiTheme="minorHAnsi" w:eastAsia="Calibri" w:hAnsiTheme="minorHAnsi" w:cstheme="minorHAnsi"/>
        </w:rPr>
        <w:t> </w:t>
      </w:r>
      <w:r w:rsidRPr="009E064B">
        <w:rPr>
          <w:rFonts w:asciiTheme="minorHAnsi" w:eastAsia="Calibri" w:hAnsiTheme="minorHAnsi" w:cstheme="minorHAnsi"/>
        </w:rPr>
        <w:t>tymi organizacjami lub instytucjami, w celu zapewnienia, że służ</w:t>
      </w:r>
      <w:r w:rsidR="00371A8B" w:rsidRPr="009E064B">
        <w:rPr>
          <w:rFonts w:asciiTheme="minorHAnsi" w:eastAsia="Calibri" w:hAnsiTheme="minorHAnsi" w:cstheme="minorHAnsi"/>
        </w:rPr>
        <w:t>by te będą świadczone zgodnie z </w:t>
      </w:r>
      <w:r w:rsidRPr="009E064B">
        <w:rPr>
          <w:rFonts w:asciiTheme="minorHAnsi" w:eastAsia="Calibri" w:hAnsiTheme="minorHAnsi" w:cstheme="minorHAnsi"/>
        </w:rPr>
        <w:t>wymogami prawnymi. Opisana powyżej metoda jest zgodna z intencjami zintegrowanego systemu zarządzania bezpieczeństwem, który wspomaga operatora lotniska w osiągnięciu celu zapewnienia bezpieczeństwa podczas zapewniania służb. Realizując te działania, operator lotniska powinien wypełniać swoje obowiązki poprzez zastosowanie procedur, o których mowa powyżej, ponadto, operator lotniska nie powinien być postrzegany przez inny</w:t>
      </w:r>
      <w:r w:rsidR="00371A8B" w:rsidRPr="009E064B">
        <w:rPr>
          <w:rFonts w:asciiTheme="minorHAnsi" w:eastAsia="Calibri" w:hAnsiTheme="minorHAnsi" w:cstheme="minorHAnsi"/>
        </w:rPr>
        <w:t xml:space="preserve"> podmiot uczestniczący w </w:t>
      </w:r>
      <w:r w:rsidRPr="009E064B">
        <w:rPr>
          <w:rFonts w:asciiTheme="minorHAnsi" w:eastAsia="Calibri" w:hAnsiTheme="minorHAnsi" w:cstheme="minorHAnsi"/>
        </w:rPr>
        <w:t>porozumieniu, jako bezpośrednio odpowiedzialny za niezgodności.</w:t>
      </w:r>
    </w:p>
    <w:p w14:paraId="2697DD6C" w14:textId="28486AEF" w:rsidR="00DC7DA6" w:rsidRPr="009E064B" w:rsidRDefault="00DE05DC" w:rsidP="00B06A9A">
      <w:pPr>
        <w:pStyle w:val="Nagwek3"/>
      </w:pPr>
      <w:bookmarkStart w:id="527" w:name="_Toc12532789"/>
      <w:r w:rsidRPr="009E064B">
        <w:t xml:space="preserve">ADR.OPS.B.005 </w:t>
      </w:r>
      <w:r w:rsidR="004002F9" w:rsidRPr="009E064B">
        <w:t xml:space="preserve">    </w:t>
      </w:r>
      <w:r w:rsidRPr="009E064B">
        <w:t xml:space="preserve">Plan działania w  </w:t>
      </w:r>
      <w:r w:rsidR="00B51760" w:rsidRPr="009E064B">
        <w:t xml:space="preserve">sytuacjach </w:t>
      </w:r>
      <w:r w:rsidRPr="009E064B">
        <w:t>zagrożenia dla lotniska</w:t>
      </w:r>
      <w:bookmarkEnd w:id="527"/>
    </w:p>
    <w:p w14:paraId="2B1638C0" w14:textId="4EB0A36E"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E8BE04A" w14:textId="77777777" w:rsidR="00DC7DA6" w:rsidRPr="009E064B" w:rsidRDefault="00DE05DC" w:rsidP="00B06A9A">
      <w:pPr>
        <w:pStyle w:val="Tekstpodstawowy"/>
        <w:ind w:left="0" w:right="-2" w:firstLine="0"/>
        <w:rPr>
          <w:rFonts w:asciiTheme="minorHAnsi" w:hAnsiTheme="minorHAnsi" w:cstheme="minorHAnsi"/>
          <w:sz w:val="22"/>
          <w:szCs w:val="22"/>
        </w:rPr>
      </w:pPr>
      <w:r w:rsidRPr="009E064B">
        <w:rPr>
          <w:rFonts w:asciiTheme="minorHAnsi" w:hAnsiTheme="minorHAnsi" w:cstheme="minorHAnsi"/>
          <w:sz w:val="22"/>
          <w:szCs w:val="22"/>
        </w:rPr>
        <w:t>Operator lotniska posiada i realizuje plan działania w sytuacji zagrożenia dla lotniska, który:</w:t>
      </w:r>
    </w:p>
    <w:p w14:paraId="272835C0" w14:textId="445B7C47"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jest współmierny do operacji statków powietrznych i pozostałych działań prowadzonych na lotnisku;</w:t>
      </w:r>
    </w:p>
    <w:p w14:paraId="4CA2C970" w14:textId="04BB80DF"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umożliwia koordynację działań prowadzonych przez odpowiednie organizacje w odpowiedzi na sytuacje awaryjne występujące na lotnisku lub w jego otoczeniu; oraz</w:t>
      </w:r>
    </w:p>
    <w:p w14:paraId="1C169A7E" w14:textId="284B8CA8" w:rsidR="00DC7DA6" w:rsidRPr="009E064B" w:rsidRDefault="00371A8B" w:rsidP="00371A8B">
      <w:pPr>
        <w:tabs>
          <w:tab w:val="left" w:pos="567"/>
        </w:tabs>
        <w:ind w:left="567" w:right="-2" w:hanging="567"/>
        <w:rPr>
          <w:rFonts w:asciiTheme="minorHAnsi" w:eastAsia="Times New Roman" w:hAnsiTheme="minorHAnsi" w:cstheme="minorHAnsi"/>
        </w:rPr>
      </w:pPr>
      <w:r w:rsidRPr="009E064B">
        <w:rPr>
          <w:rFonts w:asciiTheme="minorHAnsi" w:eastAsia="Times New Roman" w:hAnsiTheme="minorHAnsi" w:cstheme="minorHAnsi"/>
        </w:rPr>
        <w:t>(</w:t>
      </w:r>
      <w:r w:rsidR="00DE0098" w:rsidRPr="009E064B">
        <w:rPr>
          <w:rFonts w:asciiTheme="minorHAnsi" w:eastAsia="Times New Roman" w:hAnsiTheme="minorHAnsi" w:cstheme="minorHAnsi"/>
        </w:rPr>
        <w:t xml:space="preserve">c) </w:t>
      </w:r>
      <w:r w:rsidR="00AF6AC7" w:rsidRPr="009E064B">
        <w:rPr>
          <w:rFonts w:asciiTheme="minorHAnsi" w:eastAsia="Times New Roman" w:hAnsiTheme="minorHAnsi" w:cstheme="minorHAnsi"/>
        </w:rPr>
        <w:tab/>
      </w:r>
      <w:r w:rsidR="00DE05DC" w:rsidRPr="009E064B">
        <w:rPr>
          <w:rFonts w:asciiTheme="minorHAnsi" w:eastAsia="Times New Roman" w:hAnsiTheme="minorHAnsi" w:cstheme="minorHAnsi"/>
        </w:rPr>
        <w:t>zawiera procedury okresowego testowania adekwatności planu i przeglądu wyników w celu poprawy jego skuteczności.</w:t>
      </w:r>
    </w:p>
    <w:p w14:paraId="2A318E38" w14:textId="1465DF8C" w:rsidR="00B0686B" w:rsidRPr="009E064B" w:rsidRDefault="00B0686B" w:rsidP="00133B99">
      <w:pPr>
        <w:pStyle w:val="Nagwek5"/>
      </w:pPr>
      <w:bookmarkStart w:id="528" w:name="_Toc492024686"/>
      <w:bookmarkStart w:id="529" w:name="_Toc12532790"/>
      <w:r w:rsidRPr="009E064B">
        <w:t xml:space="preserve">AMC1 ADR.OPS.B.005(b)   </w:t>
      </w:r>
      <w:r w:rsidR="004002F9" w:rsidRPr="009E064B">
        <w:t xml:space="preserve"> </w:t>
      </w:r>
      <w:r w:rsidRPr="009E064B">
        <w:t xml:space="preserve"> Plan działania w sytuacjach zagrożenia </w:t>
      </w:r>
      <w:r w:rsidR="001359B5" w:rsidRPr="009E064B">
        <w:t>dla</w:t>
      </w:r>
      <w:r w:rsidRPr="009E064B">
        <w:t xml:space="preserve"> lotnisk</w:t>
      </w:r>
      <w:bookmarkEnd w:id="528"/>
      <w:r w:rsidR="001359B5" w:rsidRPr="009E064B">
        <w:t>a</w:t>
      </w:r>
      <w:bookmarkEnd w:id="529"/>
    </w:p>
    <w:p w14:paraId="4A29C7E5" w14:textId="2DDF12A2"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4802B6" w14:textId="61E6C69E" w:rsidR="00B0686B"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709CB743"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zapewnić, aby plan działania w sytuacjach zagrożenia zawierał określenie gotowości i koordynacji działań z odpowiednimi specjalistycznymi służbami ratowniczymi, które powinny być przygotowane do działania w sytuacjach zagrożenia w przypadku, gdy lotnisko usytuowane jest w pobliżu zbiorników wodnych i/lub terenów bagnistych, a także, gdy znaczna liczba operacji podejścia i odlotu ma miejsce nad tymi obszarami.</w:t>
      </w:r>
    </w:p>
    <w:p w14:paraId="472F798E"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zapewnić, że przeprowadzana została ocena obszarów, nad którymi odbywają się operacje podejścia i odlotu, w odległości do 1000 m od progu drogi startowej, mająca na celu określenia możliwych opcji podjęcia działań interwencyjnych.</w:t>
      </w:r>
    </w:p>
    <w:p w14:paraId="03570BF0" w14:textId="194E0E95" w:rsidR="00B0686B" w:rsidRPr="009E064B" w:rsidRDefault="00B0686B" w:rsidP="00133B99">
      <w:pPr>
        <w:pStyle w:val="Nagwek5"/>
      </w:pPr>
      <w:bookmarkStart w:id="530" w:name="_Toc492024687"/>
      <w:bookmarkStart w:id="531" w:name="_Toc12532791"/>
      <w:r w:rsidRPr="009E064B">
        <w:t xml:space="preserve">AMC2 ADR.OPS.B.005(b)   </w:t>
      </w:r>
      <w:r w:rsidR="004002F9" w:rsidRPr="009E064B">
        <w:t xml:space="preserve"> </w:t>
      </w:r>
      <w:r w:rsidRPr="009E064B">
        <w:t xml:space="preserve"> Plan działania w sytuacjach zagrożenia </w:t>
      </w:r>
      <w:r w:rsidR="001359B5" w:rsidRPr="009E064B">
        <w:t>dla</w:t>
      </w:r>
      <w:r w:rsidRPr="009E064B">
        <w:t xml:space="preserve"> lotnisk</w:t>
      </w:r>
      <w:bookmarkEnd w:id="530"/>
      <w:r w:rsidR="001359B5" w:rsidRPr="009E064B">
        <w:t>a</w:t>
      </w:r>
      <w:bookmarkEnd w:id="531"/>
    </w:p>
    <w:p w14:paraId="3D71B760" w14:textId="2E6DA41A"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E94B8C3" w14:textId="00028CB1"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DOKUMENT: PLAN </w:t>
      </w:r>
      <w:r w:rsidR="001359B5" w:rsidRPr="009E064B">
        <w:rPr>
          <w:rFonts w:asciiTheme="minorHAnsi" w:eastAsia="Calibri" w:hAnsiTheme="minorHAnsi" w:cstheme="minorHAnsi"/>
        </w:rPr>
        <w:t>DZIAŁANIA W SYTUACJACH ZAGROŻENIA DLA LOTNISKA</w:t>
      </w:r>
    </w:p>
    <w:p w14:paraId="3A80F758" w14:textId="5EDC0D43"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Operator lotniska powinien zamieścić w planie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co najmniej:</w:t>
      </w:r>
    </w:p>
    <w:p w14:paraId="009DB10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Rodzaje sytuacji zagrożenia, dla których się go sporządza;</w:t>
      </w:r>
    </w:p>
    <w:p w14:paraId="3C9D2D03"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Organizacje zaangażowane w realizację planu oraz szczegóły uzgodnień dotyczące lotniskowych i lokalnych planów w sytuacjach zagrożenia oraz sposobów ich wspólnego ustalania;</w:t>
      </w:r>
    </w:p>
    <w:p w14:paraId="74D4B344"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 (c) </w:t>
      </w:r>
      <w:r w:rsidRPr="009E064B">
        <w:rPr>
          <w:rFonts w:asciiTheme="minorHAnsi" w:eastAsia="Calibri" w:hAnsiTheme="minorHAnsi" w:cstheme="minorHAnsi"/>
        </w:rPr>
        <w:tab/>
        <w:t>Zadania i obowiązki każdej organizacji oraz centrum operacyjne kierowania w sytuacjach zagrożenia oraz stanowiska dowodzenia dla każdego rodzaju sytuacji zagrożenia;</w:t>
      </w:r>
    </w:p>
    <w:p w14:paraId="1EEE2194"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Informacje dotyczące nazw i numerów telefonów do biur lub osób, z którymi należy się skontaktować w przypadku konkretnego zagrożenia; oraz</w:t>
      </w:r>
    </w:p>
    <w:p w14:paraId="308AF792"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Mapę lotniska i jego najbliższego otoczenia z siatką współrzędnych, obejmującą w przybliżeniu obszar w odległości do 8 km od środka lotniska.</w:t>
      </w:r>
    </w:p>
    <w:p w14:paraId="5E48567B" w14:textId="54EB986A" w:rsidR="00B0686B" w:rsidRPr="009E064B" w:rsidRDefault="00B0686B" w:rsidP="00133B99">
      <w:pPr>
        <w:pStyle w:val="Nagwek5"/>
      </w:pPr>
      <w:bookmarkStart w:id="532" w:name="_Toc492024688"/>
      <w:bookmarkStart w:id="533" w:name="_Toc12532792"/>
      <w:r w:rsidRPr="009E064B">
        <w:t xml:space="preserve">AMC1 ADR.OPS.B.005(c)    </w:t>
      </w:r>
      <w:r w:rsidR="004002F9" w:rsidRPr="009E064B">
        <w:t xml:space="preserve"> </w:t>
      </w:r>
      <w:r w:rsidRPr="009E064B">
        <w:t xml:space="preserve">Plan działania w sytuacjach zagrożenia </w:t>
      </w:r>
      <w:r w:rsidR="001359B5" w:rsidRPr="009E064B">
        <w:t>dla</w:t>
      </w:r>
      <w:r w:rsidRPr="009E064B">
        <w:t xml:space="preserve"> lotnisk</w:t>
      </w:r>
      <w:bookmarkEnd w:id="532"/>
      <w:r w:rsidR="001359B5" w:rsidRPr="009E064B">
        <w:t>a</w:t>
      </w:r>
      <w:bookmarkEnd w:id="533"/>
    </w:p>
    <w:p w14:paraId="182AA09A" w14:textId="438CC249"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65FE759" w14:textId="4AAC366E"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ĆWICZENIA W ZAKRESIE </w:t>
      </w:r>
      <w:r w:rsidR="001359B5" w:rsidRPr="009E064B">
        <w:rPr>
          <w:rFonts w:asciiTheme="minorHAnsi" w:eastAsia="Calibri" w:hAnsiTheme="minorHAnsi" w:cstheme="minorHAnsi"/>
        </w:rPr>
        <w:t>DZIAŁANIA W SYTUACJACH ZAGROŻENIA DLA LOTNISKA</w:t>
      </w:r>
    </w:p>
    <w:p w14:paraId="183B0C0A" w14:textId="22FE67D9"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Operator lotniska powinien zapewnić, że plan działania w sytuacjach zagrożenia </w:t>
      </w:r>
      <w:r w:rsidR="001359B5" w:rsidRPr="009E064B">
        <w:rPr>
          <w:rFonts w:asciiTheme="minorHAnsi" w:eastAsia="Calibri" w:hAnsiTheme="minorHAnsi" w:cstheme="minorHAnsi"/>
        </w:rPr>
        <w:t>dla</w:t>
      </w:r>
      <w:r w:rsidRPr="009E064B">
        <w:rPr>
          <w:rFonts w:asciiTheme="minorHAnsi" w:eastAsia="Calibri" w:hAnsiTheme="minorHAnsi" w:cstheme="minorHAnsi"/>
        </w:rPr>
        <w:t xml:space="preserve"> lotnisk</w:t>
      </w:r>
      <w:r w:rsidR="001359B5" w:rsidRPr="009E064B">
        <w:rPr>
          <w:rFonts w:asciiTheme="minorHAnsi" w:eastAsia="Calibri" w:hAnsiTheme="minorHAnsi" w:cstheme="minorHAnsi"/>
        </w:rPr>
        <w:t>a</w:t>
      </w:r>
      <w:r w:rsidRPr="009E064B">
        <w:rPr>
          <w:rFonts w:asciiTheme="minorHAnsi" w:eastAsia="Calibri" w:hAnsiTheme="minorHAnsi" w:cstheme="minorHAnsi"/>
        </w:rPr>
        <w:t xml:space="preserve"> jest testowany poprzez prowadzenie:</w:t>
      </w:r>
    </w:p>
    <w:p w14:paraId="2C4992C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kompleksowych ćwiczeń działania w sytuacjach zagrożenia wykonywanych nie rzadziej, niż co dwa lata; oraz</w:t>
      </w:r>
    </w:p>
    <w:p w14:paraId="1D90D082"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częściowych ćwiczeń działania w sytuacjach zagrożenia przeprowadzanych w ciągu roku po danym ćwiczeniu kompleksowym, aby zapewnić, że jakiekolwiek niedociągnięcia wykryte w czasie ćwiczenia kompleksowego zostały skorygowane</w:t>
      </w:r>
    </w:p>
    <w:p w14:paraId="579BDA80" w14:textId="51F6AEDF"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oraz wykonanie przeglądu planu po ww. ćwiczeniach, lub po każdym działaniu w rzeczywistej sytuacji zagrożenia, w celu skorygowania wszelkich nieprawidłowości, jakie wystąpiły w trakcie tych ćwiczeń </w:t>
      </w:r>
      <w:r w:rsidRPr="002C4C40">
        <w:rPr>
          <w:rFonts w:asciiTheme="minorHAnsi" w:eastAsia="Calibri" w:hAnsiTheme="minorHAnsi" w:cstheme="minorHAnsi"/>
        </w:rPr>
        <w:t>lub rzeczywist</w:t>
      </w:r>
      <w:r w:rsidR="0074652E" w:rsidRPr="002C4C40">
        <w:rPr>
          <w:rFonts w:asciiTheme="minorHAnsi" w:eastAsia="Calibri" w:hAnsiTheme="minorHAnsi" w:cstheme="minorHAnsi"/>
        </w:rPr>
        <w:t>ych działań</w:t>
      </w:r>
      <w:r w:rsidRPr="002C4C40">
        <w:rPr>
          <w:rFonts w:asciiTheme="minorHAnsi" w:eastAsia="Calibri" w:hAnsiTheme="minorHAnsi" w:cstheme="minorHAnsi"/>
        </w:rPr>
        <w:t xml:space="preserve"> ratownicz</w:t>
      </w:r>
      <w:r w:rsidR="0074652E" w:rsidRPr="002C4C40">
        <w:rPr>
          <w:rFonts w:asciiTheme="minorHAnsi" w:eastAsia="Calibri" w:hAnsiTheme="minorHAnsi" w:cstheme="minorHAnsi"/>
        </w:rPr>
        <w:t>ych</w:t>
      </w:r>
      <w:r w:rsidRPr="002C4C40">
        <w:rPr>
          <w:rFonts w:asciiTheme="minorHAnsi" w:eastAsia="Calibri" w:hAnsiTheme="minorHAnsi" w:cstheme="minorHAnsi"/>
        </w:rPr>
        <w:t>.</w:t>
      </w:r>
    </w:p>
    <w:p w14:paraId="111A4116" w14:textId="2C37B91A" w:rsidR="00B0686B" w:rsidRPr="009E064B" w:rsidRDefault="00B0686B" w:rsidP="00133B99">
      <w:pPr>
        <w:pStyle w:val="Nagwek6"/>
      </w:pPr>
      <w:bookmarkStart w:id="534" w:name="_Toc492024689"/>
      <w:bookmarkStart w:id="535" w:name="_Toc12532793"/>
      <w:r w:rsidRPr="009E064B">
        <w:t xml:space="preserve">GM1 ADR.OPS.B.005(a)    </w:t>
      </w:r>
      <w:r w:rsidR="004002F9" w:rsidRPr="009E064B">
        <w:t xml:space="preserve"> </w:t>
      </w:r>
      <w:r w:rsidRPr="009E064B">
        <w:t xml:space="preserve">Plan </w:t>
      </w:r>
      <w:r w:rsidR="001359B5" w:rsidRPr="009E064B">
        <w:t>działania w sytuacjach zagrożenia dla lotniska</w:t>
      </w:r>
      <w:bookmarkEnd w:id="534"/>
      <w:bookmarkEnd w:id="535"/>
    </w:p>
    <w:p w14:paraId="373FA1A4" w14:textId="164CA97A"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F28D058" w14:textId="6D98F7CB"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CEL PLANU </w:t>
      </w:r>
      <w:r w:rsidR="001359B5" w:rsidRPr="009E064B">
        <w:rPr>
          <w:rFonts w:asciiTheme="minorHAnsi" w:eastAsia="Calibri" w:hAnsiTheme="minorHAnsi" w:cstheme="minorHAnsi"/>
        </w:rPr>
        <w:t>DZIAŁANIA W SYTUACJACH ZAGROŻENIA DLA LOTNISKA</w:t>
      </w:r>
    </w:p>
    <w:p w14:paraId="7BCD898C" w14:textId="35199C05"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W wielu przypadkach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jest częścią krajowego lub lokalnego planu działania w sytuacjach zagrożenia, a odpowiedzialność za jego opracowanie jest przypisana do podmiotu innego; niż operator lotniska. Jednakże nie stanowi to przeszkody dla operatora lotniska do przygotowania własnego planu opisującego działania, które należy podjąć w sytuacjach zagrożenia, we współpracy z władzami, które są odpowiedzialne za krajowy lub lokalny plan działania w sytuacjach zagrożenia.</w:t>
      </w:r>
    </w:p>
    <w:p w14:paraId="1722A7F0" w14:textId="549C374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Niezależnie od tego czyim zadaniem jest opracowanie i realizacja planu działania w</w:t>
      </w:r>
      <w:r w:rsidR="002E1847" w:rsidRPr="009E064B">
        <w:rPr>
          <w:rFonts w:asciiTheme="minorHAnsi" w:eastAsia="Calibri" w:hAnsiTheme="minorHAnsi" w:cstheme="minorHAnsi"/>
        </w:rPr>
        <w:t xml:space="preserve"> </w:t>
      </w:r>
      <w:r w:rsidRPr="009E064B">
        <w:rPr>
          <w:rFonts w:asciiTheme="minorHAnsi" w:eastAsia="Calibri" w:hAnsiTheme="minorHAnsi" w:cstheme="minorHAnsi"/>
        </w:rPr>
        <w:t>sytuacjach zagrożenia obejmującego zagrożenia na lotnisku i/lub w j</w:t>
      </w:r>
      <w:r w:rsidR="002E1847" w:rsidRPr="009E064B">
        <w:rPr>
          <w:rFonts w:asciiTheme="minorHAnsi" w:eastAsia="Calibri" w:hAnsiTheme="minorHAnsi" w:cstheme="minorHAnsi"/>
        </w:rPr>
        <w:t>ego otoczeniu, plan działania w </w:t>
      </w:r>
      <w:r w:rsidRPr="009E064B">
        <w:rPr>
          <w:rFonts w:asciiTheme="minorHAnsi" w:eastAsia="Calibri" w:hAnsiTheme="minorHAnsi" w:cstheme="minorHAnsi"/>
        </w:rPr>
        <w:t>sytuacjach zagrożenia powinien zapewnić, że znajdują w nim przepisy dotyczące:</w:t>
      </w:r>
    </w:p>
    <w:p w14:paraId="27916134"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uporządkowanego i efektywnego przejścia z działań w warunkach normalnych do działań w sytuacjach zagrożenia;</w:t>
      </w:r>
    </w:p>
    <w:p w14:paraId="0F4AD884"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przekazania władzy;</w:t>
      </w:r>
    </w:p>
    <w:p w14:paraId="4561048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przydziału obowiązków w zakresie działań w sytuacjach zagrożenia;</w:t>
      </w:r>
    </w:p>
    <w:p w14:paraId="35F6F726" w14:textId="4A525386" w:rsidR="00B0686B" w:rsidRPr="002C4C40"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 xml:space="preserve">upoważnienia </w:t>
      </w:r>
      <w:r w:rsidRPr="002C4C40">
        <w:rPr>
          <w:rFonts w:asciiTheme="minorHAnsi" w:eastAsia="Calibri" w:hAnsiTheme="minorHAnsi" w:cstheme="minorHAnsi"/>
        </w:rPr>
        <w:t>kluczow</w:t>
      </w:r>
      <w:r w:rsidR="0074652E" w:rsidRPr="002C4C40">
        <w:rPr>
          <w:rFonts w:asciiTheme="minorHAnsi" w:eastAsia="Calibri" w:hAnsiTheme="minorHAnsi" w:cstheme="minorHAnsi"/>
        </w:rPr>
        <w:t>ego</w:t>
      </w:r>
      <w:r w:rsidRPr="002C4C40">
        <w:rPr>
          <w:rFonts w:asciiTheme="minorHAnsi" w:eastAsia="Calibri" w:hAnsiTheme="minorHAnsi" w:cstheme="minorHAnsi"/>
        </w:rPr>
        <w:t xml:space="preserve"> p</w:t>
      </w:r>
      <w:r w:rsidR="0074652E" w:rsidRPr="002C4C40">
        <w:rPr>
          <w:rFonts w:asciiTheme="minorHAnsi" w:eastAsia="Calibri" w:hAnsiTheme="minorHAnsi" w:cstheme="minorHAnsi"/>
        </w:rPr>
        <w:t>ersonelu</w:t>
      </w:r>
      <w:r w:rsidRPr="002C4C40">
        <w:rPr>
          <w:rFonts w:asciiTheme="minorHAnsi" w:eastAsia="Calibri" w:hAnsiTheme="minorHAnsi" w:cstheme="minorHAnsi"/>
        </w:rPr>
        <w:t xml:space="preserve"> do działań określonych w planie;</w:t>
      </w:r>
    </w:p>
    <w:p w14:paraId="5E743350" w14:textId="074F8BBD" w:rsidR="00B0686B" w:rsidRPr="009E064B"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(5) </w:t>
      </w:r>
      <w:r w:rsidRPr="002C4C40">
        <w:rPr>
          <w:rFonts w:asciiTheme="minorHAnsi" w:eastAsia="Calibri" w:hAnsiTheme="minorHAnsi" w:cstheme="minorHAnsi"/>
        </w:rPr>
        <w:tab/>
        <w:t xml:space="preserve">koordynacji działań w celu </w:t>
      </w:r>
      <w:r w:rsidR="006D4E31" w:rsidRPr="002C4C40">
        <w:rPr>
          <w:rFonts w:asciiTheme="minorHAnsi" w:eastAsia="Calibri" w:hAnsiTheme="minorHAnsi" w:cstheme="minorHAnsi"/>
        </w:rPr>
        <w:t>sprostania</w:t>
      </w:r>
      <w:r w:rsidRPr="002C4C40">
        <w:rPr>
          <w:rFonts w:asciiTheme="minorHAnsi" w:eastAsia="Calibri" w:hAnsiTheme="minorHAnsi" w:cstheme="minorHAnsi"/>
        </w:rPr>
        <w:t xml:space="preserve"> sytuacji</w:t>
      </w:r>
      <w:r w:rsidRPr="009E064B">
        <w:rPr>
          <w:rFonts w:asciiTheme="minorHAnsi" w:eastAsia="Calibri" w:hAnsiTheme="minorHAnsi" w:cstheme="minorHAnsi"/>
        </w:rPr>
        <w:t xml:space="preserve"> zagrożenia; oraz</w:t>
      </w:r>
    </w:p>
    <w:p w14:paraId="2AE15AF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bezpiecznego prowadzenia operacji lotniczych lub powrotu do normalnej działalności tak szybko, jak to możliwe.</w:t>
      </w:r>
    </w:p>
    <w:p w14:paraId="226C1DA3" w14:textId="3A159DE6" w:rsidR="00B0686B" w:rsidRPr="009E064B" w:rsidRDefault="00B0686B" w:rsidP="00133B99">
      <w:pPr>
        <w:pStyle w:val="Nagwek6"/>
      </w:pPr>
      <w:bookmarkStart w:id="536" w:name="_Toc492024690"/>
      <w:bookmarkStart w:id="537" w:name="_Toc12532794"/>
      <w:r w:rsidRPr="009E064B">
        <w:t xml:space="preserve">GM2 ADR.OPS.B.005(a)    </w:t>
      </w:r>
      <w:r w:rsidR="004002F9" w:rsidRPr="009E064B">
        <w:t xml:space="preserve"> </w:t>
      </w:r>
      <w:r w:rsidRPr="009E064B">
        <w:t xml:space="preserve">Plan </w:t>
      </w:r>
      <w:r w:rsidR="001359B5" w:rsidRPr="009E064B">
        <w:t>działania w sytuacjach zagrożenia dla lotniska</w:t>
      </w:r>
      <w:bookmarkEnd w:id="536"/>
      <w:bookmarkEnd w:id="537"/>
    </w:p>
    <w:p w14:paraId="28B9B083" w14:textId="7AAB5586"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6B55133" w14:textId="26716F60"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DOKUMENT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24F919E6" w14:textId="09AE834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opracowany przez operatora lotniska, powinien uwzględniać zasady dotyczące czynnika ludzkiego, a</w:t>
      </w:r>
      <w:r w:rsidR="002E1847" w:rsidRPr="009E064B">
        <w:rPr>
          <w:rFonts w:asciiTheme="minorHAnsi" w:eastAsia="Calibri" w:hAnsiTheme="minorHAnsi" w:cstheme="minorHAnsi"/>
        </w:rPr>
        <w:t>by zapewnić optymalną reakcję w </w:t>
      </w:r>
      <w:r w:rsidRPr="009E064B">
        <w:rPr>
          <w:rFonts w:asciiTheme="minorHAnsi" w:eastAsia="Calibri" w:hAnsiTheme="minorHAnsi" w:cstheme="minorHAnsi"/>
        </w:rPr>
        <w:t>czasie działań w sytuacjach zagrożenia.</w:t>
      </w:r>
    </w:p>
    <w:p w14:paraId="03635683" w14:textId="419306B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W celu zapewnienia, że dokument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w</w:t>
      </w:r>
      <w:r w:rsidR="00371A8B" w:rsidRPr="009E064B">
        <w:rPr>
          <w:rFonts w:asciiTheme="minorHAnsi" w:eastAsia="Calibri" w:hAnsiTheme="minorHAnsi" w:cstheme="minorHAnsi"/>
        </w:rPr>
        <w:t xml:space="preserve"> </w:t>
      </w:r>
      <w:r w:rsidRPr="009E064B">
        <w:rPr>
          <w:rFonts w:asciiTheme="minorHAnsi" w:eastAsia="Calibri" w:hAnsiTheme="minorHAnsi" w:cstheme="minorHAnsi"/>
        </w:rPr>
        <w:t>pełni spełnia swoją funkcję, powinien on zawierać:</w:t>
      </w:r>
    </w:p>
    <w:p w14:paraId="14FA9DC9" w14:textId="6C487AF0"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plany postępowania w przypadku wystąpienia zagrożenia na lotnisku lub w jego otoczeniu, w tym awarii statku powietrznego w loci</w:t>
      </w:r>
      <w:r w:rsidR="00371A8B" w:rsidRPr="009E064B">
        <w:rPr>
          <w:rFonts w:asciiTheme="minorHAnsi" w:eastAsia="Calibri" w:hAnsiTheme="minorHAnsi" w:cstheme="minorHAnsi"/>
        </w:rPr>
        <w:t xml:space="preserve">e, typowego pożaru, sabotażu, w </w:t>
      </w:r>
      <w:r w:rsidRPr="009E064B">
        <w:rPr>
          <w:rFonts w:asciiTheme="minorHAnsi" w:eastAsia="Calibri" w:hAnsiTheme="minorHAnsi" w:cstheme="minorHAnsi"/>
        </w:rPr>
        <w:t>tym zagrożeń bombowych (statku powietrznego lub struktury), bezprawnego opanowania statku powietrznego i rozważania dotyczące incydentów podczas działania w sytuacji zagrożenia i po zakończeniu tych działań;</w:t>
      </w:r>
    </w:p>
    <w:p w14:paraId="6D83D25A" w14:textId="07A4C9EA" w:rsidR="00B0686B" w:rsidRPr="002C4C40"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 xml:space="preserve">szczegóły testowania obiektów, urządzeń i wyposażenia, które ma być używane w sytuacjach zagrożenia, takich jak: centrum operacyjne działań w sytuacjach zagrożenia, ruchome </w:t>
      </w:r>
      <w:r w:rsidRPr="002C4C40">
        <w:rPr>
          <w:rFonts w:asciiTheme="minorHAnsi" w:eastAsia="Calibri" w:hAnsiTheme="minorHAnsi" w:cstheme="minorHAnsi"/>
        </w:rPr>
        <w:t xml:space="preserve">stanowisko </w:t>
      </w:r>
      <w:r w:rsidR="006D4E31" w:rsidRPr="002C4C40">
        <w:rPr>
          <w:rFonts w:asciiTheme="minorHAnsi" w:eastAsia="Calibri" w:hAnsiTheme="minorHAnsi" w:cstheme="minorHAnsi"/>
        </w:rPr>
        <w:t>kierowania</w:t>
      </w:r>
      <w:r w:rsidRPr="002C4C40">
        <w:rPr>
          <w:rFonts w:asciiTheme="minorHAnsi" w:eastAsia="Calibri" w:hAnsiTheme="minorHAnsi" w:cstheme="minorHAnsi"/>
        </w:rPr>
        <w:t xml:space="preserve">, </w:t>
      </w:r>
      <w:r w:rsidR="006D4E31" w:rsidRPr="002C4C40">
        <w:rPr>
          <w:rFonts w:asciiTheme="minorHAnsi" w:eastAsia="Calibri" w:hAnsiTheme="minorHAnsi" w:cstheme="minorHAnsi"/>
        </w:rPr>
        <w:t xml:space="preserve">pojazdy pożarnicze </w:t>
      </w:r>
      <w:r w:rsidRPr="002C4C40">
        <w:rPr>
          <w:rFonts w:asciiTheme="minorHAnsi" w:eastAsia="Calibri" w:hAnsiTheme="minorHAnsi" w:cstheme="minorHAnsi"/>
        </w:rPr>
        <w:t>i ich wyposażenie, środki łączności, zapasy artykułów do pier</w:t>
      </w:r>
      <w:r w:rsidR="00371A8B" w:rsidRPr="002C4C40">
        <w:rPr>
          <w:rFonts w:asciiTheme="minorHAnsi" w:eastAsia="Calibri" w:hAnsiTheme="minorHAnsi" w:cstheme="minorHAnsi"/>
        </w:rPr>
        <w:t>wszej pomocy medycznej, itp., w </w:t>
      </w:r>
      <w:r w:rsidRPr="002C4C40">
        <w:rPr>
          <w:rFonts w:asciiTheme="minorHAnsi" w:eastAsia="Calibri" w:hAnsiTheme="minorHAnsi" w:cstheme="minorHAnsi"/>
        </w:rPr>
        <w:t>tym częstotliwość przeprowadzenia takich testów;</w:t>
      </w:r>
    </w:p>
    <w:p w14:paraId="7529B895" w14:textId="1CBD6C76" w:rsidR="00B0686B" w:rsidRPr="002C4C40"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(3) </w:t>
      </w:r>
      <w:r w:rsidRPr="002C4C40">
        <w:rPr>
          <w:rFonts w:asciiTheme="minorHAnsi" w:eastAsia="Calibri" w:hAnsiTheme="minorHAnsi" w:cstheme="minorHAnsi"/>
        </w:rPr>
        <w:tab/>
        <w:t xml:space="preserve">szczegóły ćwiczeń sprawdzających plany </w:t>
      </w:r>
      <w:r w:rsidR="001359B5" w:rsidRPr="002C4C40">
        <w:rPr>
          <w:rFonts w:asciiTheme="minorHAnsi" w:eastAsia="Calibri" w:hAnsiTheme="minorHAnsi" w:cstheme="minorHAnsi"/>
        </w:rPr>
        <w:t>działania w sytuacjach zagrożenia dla lotniska</w:t>
      </w:r>
      <w:r w:rsidRPr="002C4C40">
        <w:rPr>
          <w:rFonts w:asciiTheme="minorHAnsi" w:eastAsia="Calibri" w:hAnsiTheme="minorHAnsi" w:cstheme="minorHAnsi"/>
        </w:rPr>
        <w:t>, w tym częstotliwość prowadzenia takich ćwiczeń;</w:t>
      </w:r>
    </w:p>
    <w:p w14:paraId="5C9B2FED" w14:textId="720F1A12" w:rsidR="00B0686B" w:rsidRPr="002C4C40"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(4) </w:t>
      </w:r>
      <w:r w:rsidRPr="002C4C40">
        <w:rPr>
          <w:rFonts w:asciiTheme="minorHAnsi" w:eastAsia="Calibri" w:hAnsiTheme="minorHAnsi" w:cstheme="minorHAnsi"/>
        </w:rPr>
        <w:tab/>
        <w:t>wykaz organizacji, agencji i przedstawicieli władz, zarówno na lotnisku jak i spoza lotniska, z określeniem ich funkcji w miejscu działań, ich nume</w:t>
      </w:r>
      <w:r w:rsidR="00371A8B" w:rsidRPr="002C4C40">
        <w:rPr>
          <w:rFonts w:asciiTheme="minorHAnsi" w:eastAsia="Calibri" w:hAnsiTheme="minorHAnsi" w:cstheme="minorHAnsi"/>
        </w:rPr>
        <w:t>ry telefonów i faksów, adresy e-</w:t>
      </w:r>
      <w:r w:rsidRPr="002C4C40">
        <w:rPr>
          <w:rFonts w:asciiTheme="minorHAnsi" w:eastAsia="Calibri" w:hAnsiTheme="minorHAnsi" w:cstheme="minorHAnsi"/>
        </w:rPr>
        <w:t>mail i adresy SITA oraz częstotliwości radiowe ich biur;</w:t>
      </w:r>
    </w:p>
    <w:p w14:paraId="488A846B" w14:textId="07CF67FD" w:rsidR="00B0686B" w:rsidRPr="002C4C40"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(5) </w:t>
      </w:r>
      <w:r w:rsidRPr="002C4C40">
        <w:rPr>
          <w:rFonts w:asciiTheme="minorHAnsi" w:eastAsia="Calibri" w:hAnsiTheme="minorHAnsi" w:cstheme="minorHAnsi"/>
        </w:rPr>
        <w:tab/>
        <w:t xml:space="preserve">powołanie komisji ds. </w:t>
      </w:r>
      <w:r w:rsidR="001359B5" w:rsidRPr="002C4C40">
        <w:rPr>
          <w:rFonts w:asciiTheme="minorHAnsi" w:eastAsia="Calibri" w:hAnsiTheme="minorHAnsi" w:cstheme="minorHAnsi"/>
        </w:rPr>
        <w:t>działania w sytuacjach zagrożenia dla lotniska</w:t>
      </w:r>
      <w:r w:rsidRPr="002C4C40">
        <w:rPr>
          <w:rFonts w:asciiTheme="minorHAnsi" w:eastAsia="Calibri" w:hAnsiTheme="minorHAnsi" w:cstheme="minorHAnsi"/>
        </w:rPr>
        <w:t xml:space="preserve"> w celu organizowania szkoleń i innych przygotowań do radzenia sobie z sytuacjami zagrożenia;</w:t>
      </w:r>
    </w:p>
    <w:p w14:paraId="0506D73D" w14:textId="7A942C61" w:rsidR="00B0686B" w:rsidRPr="009E064B"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(6) </w:t>
      </w:r>
      <w:r w:rsidRPr="002C4C40">
        <w:rPr>
          <w:rFonts w:asciiTheme="minorHAnsi" w:eastAsia="Calibri" w:hAnsiTheme="minorHAnsi" w:cstheme="minorHAnsi"/>
        </w:rPr>
        <w:tab/>
        <w:t xml:space="preserve">wyznaczenie </w:t>
      </w:r>
      <w:r w:rsidR="006D4E31" w:rsidRPr="002C4C40">
        <w:rPr>
          <w:rFonts w:asciiTheme="minorHAnsi" w:eastAsia="Calibri" w:hAnsiTheme="minorHAnsi" w:cstheme="minorHAnsi"/>
        </w:rPr>
        <w:t>kierującego</w:t>
      </w:r>
      <w:r w:rsidRPr="002C4C40">
        <w:rPr>
          <w:rFonts w:asciiTheme="minorHAnsi" w:eastAsia="Calibri" w:hAnsiTheme="minorHAnsi" w:cstheme="minorHAnsi"/>
        </w:rPr>
        <w:t xml:space="preserve"> działania</w:t>
      </w:r>
      <w:r w:rsidR="006D4E31" w:rsidRPr="002C4C40">
        <w:rPr>
          <w:rFonts w:asciiTheme="minorHAnsi" w:eastAsia="Calibri" w:hAnsiTheme="minorHAnsi" w:cstheme="minorHAnsi"/>
        </w:rPr>
        <w:t>mi ratowniczymi na miejscu zdarzenia</w:t>
      </w:r>
      <w:r w:rsidRPr="002C4C40">
        <w:rPr>
          <w:rFonts w:asciiTheme="minorHAnsi" w:eastAsia="Calibri" w:hAnsiTheme="minorHAnsi" w:cstheme="minorHAnsi"/>
        </w:rPr>
        <w:t>, który jest odpowiedzialny za całokształt działań w sytuacji zagrożenia;</w:t>
      </w:r>
      <w:r w:rsidRPr="009E064B">
        <w:rPr>
          <w:rFonts w:asciiTheme="minorHAnsi" w:eastAsia="Calibri" w:hAnsiTheme="minorHAnsi" w:cstheme="minorHAnsi"/>
        </w:rPr>
        <w:t xml:space="preserve"> oraz</w:t>
      </w:r>
    </w:p>
    <w:p w14:paraId="61CF363C" w14:textId="081003BD" w:rsidR="002E1847" w:rsidRPr="009E064B" w:rsidRDefault="00B0686B" w:rsidP="00371A8B">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szczegóły dotyczące obszarów leżących poza granicami lotniska, na których RFFS będą prowadziły działanie ratownicze oraz rozmiar i charakter tych działań.</w:t>
      </w:r>
      <w:r w:rsidR="00371A8B" w:rsidRPr="009E064B">
        <w:rPr>
          <w:rFonts w:asciiTheme="minorHAnsi" w:eastAsia="Calibri" w:hAnsiTheme="minorHAnsi" w:cstheme="minorHAnsi"/>
        </w:rPr>
        <w:t xml:space="preserve">  </w:t>
      </w:r>
      <w:r w:rsidR="002E1847" w:rsidRPr="009E064B">
        <w:rPr>
          <w:rFonts w:asciiTheme="minorHAnsi" w:eastAsia="Calibri" w:hAnsiTheme="minorHAnsi" w:cstheme="minorHAnsi"/>
        </w:rPr>
        <w:br w:type="page"/>
      </w:r>
    </w:p>
    <w:p w14:paraId="186E6502" w14:textId="00F4C8CA" w:rsidR="00B0686B" w:rsidRPr="009E064B" w:rsidRDefault="00B0686B" w:rsidP="00133B99">
      <w:pPr>
        <w:pStyle w:val="Nagwek6"/>
      </w:pPr>
      <w:bookmarkStart w:id="538" w:name="_GM3_ADR.OPS.B.005(a)_"/>
      <w:bookmarkStart w:id="539" w:name="_Toc492024691"/>
      <w:bookmarkStart w:id="540" w:name="_Toc12532795"/>
      <w:bookmarkEnd w:id="538"/>
      <w:r w:rsidRPr="009E064B">
        <w:t xml:space="preserve">GM3 ADR.OPS.B.005(a)    </w:t>
      </w:r>
      <w:r w:rsidR="004002F9" w:rsidRPr="009E064B">
        <w:t xml:space="preserve"> </w:t>
      </w:r>
      <w:r w:rsidRPr="009E064B">
        <w:t xml:space="preserve">Plan </w:t>
      </w:r>
      <w:r w:rsidR="001359B5" w:rsidRPr="009E064B">
        <w:t>działania w sytuacjach zagrożenia dla lotniska</w:t>
      </w:r>
      <w:bookmarkEnd w:id="539"/>
      <w:bookmarkEnd w:id="540"/>
    </w:p>
    <w:p w14:paraId="5E25CE93" w14:textId="2E74E64F"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B72B6DD" w14:textId="2F04E82E"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ZAWARTOŚĆ DOKUMENTU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2ADE37D8" w14:textId="5B682099"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Celem dokumentu: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jest zapewnienie wszystkich wymaganych informacji dla organizacji i personelu zaangażowanego w działania w</w:t>
      </w:r>
      <w:r w:rsidR="00371A8B" w:rsidRPr="009E064B">
        <w:rPr>
          <w:rFonts w:asciiTheme="minorHAnsi" w:eastAsia="Calibri" w:hAnsiTheme="minorHAnsi" w:cstheme="minorHAnsi"/>
        </w:rPr>
        <w:t xml:space="preserve"> </w:t>
      </w:r>
      <w:r w:rsidRPr="009E064B">
        <w:rPr>
          <w:rFonts w:asciiTheme="minorHAnsi" w:eastAsia="Calibri" w:hAnsiTheme="minorHAnsi" w:cstheme="minorHAnsi"/>
        </w:rPr>
        <w:t xml:space="preserve">sytuacjach zagrożenia. Dokument ten powinien być skonstruowany w taki sposób, aby wymagane informacje były łatwe do zidentyfikowania. W tym celu, struktura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powinna być następująca:</w:t>
      </w:r>
    </w:p>
    <w:p w14:paraId="2A11212D" w14:textId="77777777" w:rsidR="00B0686B" w:rsidRPr="009E064B" w:rsidRDefault="00B0686B" w:rsidP="00B06A9A">
      <w:pPr>
        <w:widowControl/>
        <w:spacing w:before="240"/>
        <w:ind w:left="284"/>
        <w:rPr>
          <w:rFonts w:asciiTheme="minorHAnsi" w:eastAsia="Calibri" w:hAnsiTheme="minorHAnsi" w:cstheme="minorHAnsi"/>
          <w:b/>
          <w:bCs/>
        </w:rPr>
      </w:pPr>
      <w:r w:rsidRPr="009E064B">
        <w:rPr>
          <w:rFonts w:asciiTheme="minorHAnsi" w:eastAsia="Calibri" w:hAnsiTheme="minorHAnsi" w:cstheme="minorHAnsi"/>
          <w:b/>
          <w:bCs/>
        </w:rPr>
        <w:t>Rozdział 1 – Numery telefonów alarmowych</w:t>
      </w:r>
    </w:p>
    <w:p w14:paraId="6E328EAA" w14:textId="77777777"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Niniejszy rozdział powinien być ograniczony do niezbędnych telefonów, numerów według potrzeb lotniskowych, w tym:</w:t>
      </w:r>
    </w:p>
    <w:p w14:paraId="24980F5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organu służb ruchu lotniczego;</w:t>
      </w:r>
    </w:p>
    <w:p w14:paraId="7892232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służb ratowniczo-gaśniczych (jednostek straży pożarnej);</w:t>
      </w:r>
    </w:p>
    <w:p w14:paraId="195B43C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wydziału operacji lotniskowych;</w:t>
      </w:r>
    </w:p>
    <w:p w14:paraId="5D43A3D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Policji i ochrony;</w:t>
      </w:r>
    </w:p>
    <w:p w14:paraId="06F0A58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służb medycznych:</w:t>
      </w:r>
    </w:p>
    <w:p w14:paraId="590AF7A5"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14CB5959"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582F6E18"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 – w miejsca pracy/zamieszkania;</w:t>
      </w:r>
    </w:p>
    <w:p w14:paraId="2E9F627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operatorów statków powietrznych;</w:t>
      </w:r>
    </w:p>
    <w:p w14:paraId="3392321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agencji obsługi naziemnej;</w:t>
      </w:r>
    </w:p>
    <w:p w14:paraId="0A98B703" w14:textId="25944F7A" w:rsidR="00B0686B" w:rsidRPr="002C4C40"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r>
      <w:r w:rsidR="006D4E31" w:rsidRPr="002C4C40">
        <w:rPr>
          <w:rFonts w:asciiTheme="minorHAnsi" w:eastAsia="Calibri" w:hAnsiTheme="minorHAnsi" w:cstheme="minorHAnsi"/>
        </w:rPr>
        <w:t>organów administracji rządowej</w:t>
      </w:r>
      <w:r w:rsidRPr="002C4C40">
        <w:rPr>
          <w:rFonts w:asciiTheme="minorHAnsi" w:eastAsia="Calibri" w:hAnsiTheme="minorHAnsi" w:cstheme="minorHAnsi"/>
        </w:rPr>
        <w:t>;</w:t>
      </w:r>
    </w:p>
    <w:p w14:paraId="1FB19DF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(i) </w:t>
      </w:r>
      <w:r w:rsidRPr="002C4C40">
        <w:rPr>
          <w:rFonts w:asciiTheme="minorHAnsi" w:eastAsia="Calibri" w:hAnsiTheme="minorHAnsi" w:cstheme="minorHAnsi"/>
        </w:rPr>
        <w:tab/>
        <w:t>obrony cywilnej;</w:t>
      </w:r>
    </w:p>
    <w:p w14:paraId="7C060F8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inne.</w:t>
      </w:r>
    </w:p>
    <w:p w14:paraId="0F8F99F9" w14:textId="77777777" w:rsidR="00B0686B" w:rsidRPr="009E064B" w:rsidRDefault="00B0686B" w:rsidP="00B06A9A">
      <w:pPr>
        <w:widowControl/>
        <w:spacing w:before="240"/>
        <w:ind w:left="284"/>
        <w:rPr>
          <w:rFonts w:asciiTheme="minorHAnsi" w:eastAsia="Calibri" w:hAnsiTheme="minorHAnsi" w:cstheme="minorHAnsi"/>
          <w:b/>
          <w:bCs/>
        </w:rPr>
      </w:pPr>
      <w:r w:rsidRPr="009E064B">
        <w:rPr>
          <w:rFonts w:asciiTheme="minorHAnsi" w:eastAsia="Calibri" w:hAnsiTheme="minorHAnsi" w:cstheme="minorHAnsi"/>
          <w:b/>
          <w:bCs/>
        </w:rPr>
        <w:t>Rozdział 2 – Wypadek statku powietrznego na lotnisku</w:t>
      </w:r>
    </w:p>
    <w:p w14:paraId="1312A1C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4CD50B3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służb ratowniczo-gaśniczych;</w:t>
      </w:r>
    </w:p>
    <w:p w14:paraId="241CE2A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Policji i służb ochrony;</w:t>
      </w:r>
    </w:p>
    <w:p w14:paraId="032EE83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operatora lotniska:</w:t>
      </w:r>
    </w:p>
    <w:p w14:paraId="398E985C"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eskorta pojazdów;</w:t>
      </w:r>
    </w:p>
    <w:p w14:paraId="2E77E53B"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obsługa;</w:t>
      </w:r>
    </w:p>
    <w:p w14:paraId="48A1D0D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Działania służb medycznych:</w:t>
      </w:r>
    </w:p>
    <w:p w14:paraId="02D4A73D"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33208350"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015A57BB"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01E445E1"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2D596AE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operatora statku powietrznego zaangażowane w wypadek;</w:t>
      </w:r>
    </w:p>
    <w:p w14:paraId="5A67250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Działania centrum operacyjnego działań w sytuacjach zagrożenia oraz ruchomego stanowisko dowodzenie;</w:t>
      </w:r>
    </w:p>
    <w:p w14:paraId="42044776" w14:textId="169E2BF7" w:rsidR="00B0686B" w:rsidRPr="002C4C40"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 xml:space="preserve">Działania </w:t>
      </w:r>
      <w:r w:rsidRPr="002C4C40">
        <w:rPr>
          <w:rFonts w:asciiTheme="minorHAnsi" w:eastAsia="Calibri" w:hAnsiTheme="minorHAnsi" w:cstheme="minorHAnsi"/>
        </w:rPr>
        <w:t xml:space="preserve">organów </w:t>
      </w:r>
      <w:r w:rsidR="006D4E31" w:rsidRPr="002C4C40">
        <w:rPr>
          <w:rFonts w:asciiTheme="minorHAnsi" w:eastAsia="Calibri" w:hAnsiTheme="minorHAnsi" w:cstheme="minorHAnsi"/>
        </w:rPr>
        <w:t xml:space="preserve">administracji </w:t>
      </w:r>
      <w:r w:rsidRPr="002C4C40">
        <w:rPr>
          <w:rFonts w:asciiTheme="minorHAnsi" w:eastAsia="Calibri" w:hAnsiTheme="minorHAnsi" w:cstheme="minorHAnsi"/>
        </w:rPr>
        <w:t>rządow</w:t>
      </w:r>
      <w:r w:rsidR="006D4E31" w:rsidRPr="002C4C40">
        <w:rPr>
          <w:rFonts w:asciiTheme="minorHAnsi" w:eastAsia="Calibri" w:hAnsiTheme="minorHAnsi" w:cstheme="minorHAnsi"/>
        </w:rPr>
        <w:t>ej</w:t>
      </w:r>
      <w:r w:rsidRPr="002C4C40">
        <w:rPr>
          <w:rFonts w:asciiTheme="minorHAnsi" w:eastAsia="Calibri" w:hAnsiTheme="minorHAnsi" w:cstheme="minorHAnsi"/>
        </w:rPr>
        <w:t>;</w:t>
      </w:r>
    </w:p>
    <w:p w14:paraId="393647C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2C4C40">
        <w:rPr>
          <w:rFonts w:asciiTheme="minorHAnsi" w:eastAsia="Calibri" w:hAnsiTheme="minorHAnsi" w:cstheme="minorHAnsi"/>
        </w:rPr>
        <w:t xml:space="preserve">(i) </w:t>
      </w:r>
      <w:r w:rsidRPr="002C4C40">
        <w:rPr>
          <w:rFonts w:asciiTheme="minorHAnsi" w:eastAsia="Calibri" w:hAnsiTheme="minorHAnsi" w:cstheme="minorHAnsi"/>
        </w:rPr>
        <w:tab/>
        <w:t>Sieć łączności (centrum operacyjne działań</w:t>
      </w:r>
      <w:r w:rsidRPr="009E064B">
        <w:rPr>
          <w:rFonts w:asciiTheme="minorHAnsi" w:eastAsia="Calibri" w:hAnsiTheme="minorHAnsi" w:cstheme="minorHAnsi"/>
        </w:rPr>
        <w:t xml:space="preserve"> w sytuacjach zagrożenia oraz ruchome stanowisko dowodzenia);</w:t>
      </w:r>
    </w:p>
    <w:p w14:paraId="726D0CF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Działania podejmowane przez agencje i organizacje na podstawie porozumień o wzajemnej pomocy w sytuacjach zagrożenia;</w:t>
      </w:r>
    </w:p>
    <w:p w14:paraId="5C98225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Działania władz właściwych w sprawach transportu (transport lądowy, morski, lotniczy);</w:t>
      </w:r>
    </w:p>
    <w:p w14:paraId="536B760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Działania rzecznika (ów) prasowego;</w:t>
      </w:r>
    </w:p>
    <w:p w14:paraId="5C9C748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Działania lokalnych jednostki straży pożarnej, gdy zaangażowane są ich struktury; oraz</w:t>
      </w:r>
    </w:p>
    <w:p w14:paraId="792FA53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Działania pozostałych organizacji.</w:t>
      </w:r>
    </w:p>
    <w:p w14:paraId="33E28CC5" w14:textId="77777777" w:rsidR="00B0686B" w:rsidRPr="009E064B" w:rsidRDefault="00B0686B" w:rsidP="00B06A9A">
      <w:pPr>
        <w:widowControl/>
        <w:spacing w:before="240"/>
        <w:ind w:left="284"/>
        <w:rPr>
          <w:rFonts w:asciiTheme="minorHAnsi" w:eastAsia="Calibri" w:hAnsiTheme="minorHAnsi" w:cstheme="minorHAnsi"/>
          <w:b/>
          <w:bCs/>
        </w:rPr>
      </w:pPr>
      <w:r w:rsidRPr="009E064B">
        <w:rPr>
          <w:rFonts w:asciiTheme="minorHAnsi" w:eastAsia="Calibri" w:hAnsiTheme="minorHAnsi" w:cstheme="minorHAnsi"/>
          <w:b/>
          <w:bCs/>
        </w:rPr>
        <w:t>Rozdział 3 - Wypadek statku powietrznego poza granicami lotniska</w:t>
      </w:r>
    </w:p>
    <w:p w14:paraId="153F2E3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33DCED3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służb ratowniczo-gaśniczych;</w:t>
      </w:r>
    </w:p>
    <w:p w14:paraId="3D852CC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lokalnych jednostki straży pożarnej;</w:t>
      </w:r>
    </w:p>
    <w:p w14:paraId="391380F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Policji i służb ochrony;</w:t>
      </w:r>
    </w:p>
    <w:p w14:paraId="3C4695A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Działania operatora lotniska:</w:t>
      </w:r>
    </w:p>
    <w:p w14:paraId="7AE854C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służb medycznych:</w:t>
      </w:r>
    </w:p>
    <w:p w14:paraId="3E083A38"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5CAE428B"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243BC449"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23E5ECAD"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46B57F9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Działania organizacji zaangażowanych w ramach umowy o wzajemnej pomocy w sytuacjach zagrożenia;</w:t>
      </w:r>
    </w:p>
    <w:p w14:paraId="3BED90E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Działania operatora statku powietrznego uczestniczącego w zdarzeniu;</w:t>
      </w:r>
    </w:p>
    <w:p w14:paraId="23DD238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Działania centrum operacyjnego działań w sytuacjach zagrożenia oraz ruchomego stanowiska dowodzenia;</w:t>
      </w:r>
    </w:p>
    <w:p w14:paraId="75A970B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Działania organów rządowych;</w:t>
      </w:r>
    </w:p>
    <w:p w14:paraId="0056524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Sieć łączności (centrum operacyjne działań w sytuacjach zagrożenia oraz ruchome stanowisko dowodzenia);</w:t>
      </w:r>
    </w:p>
    <w:p w14:paraId="0A9E7AE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Działania władz właściwych w sprawach transportu (transport lądowy, morski, lotniczy);</w:t>
      </w:r>
    </w:p>
    <w:p w14:paraId="7CDEC4D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Działania rzecznika (ów) prasowego;</w:t>
      </w:r>
    </w:p>
    <w:p w14:paraId="0932662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Działania innych organizacji.</w:t>
      </w:r>
    </w:p>
    <w:p w14:paraId="6D85D309" w14:textId="0EA3DA10" w:rsidR="00B0686B" w:rsidRPr="009E064B" w:rsidRDefault="004002F9" w:rsidP="00B06A9A">
      <w:pPr>
        <w:widowControl/>
        <w:tabs>
          <w:tab w:val="left" w:pos="1418"/>
        </w:tabs>
        <w:spacing w:before="240"/>
        <w:ind w:left="1418" w:hanging="1134"/>
        <w:rPr>
          <w:rFonts w:asciiTheme="minorHAnsi" w:eastAsia="Calibri" w:hAnsiTheme="minorHAnsi" w:cstheme="minorHAnsi"/>
          <w:b/>
          <w:bCs/>
        </w:rPr>
      </w:pPr>
      <w:r w:rsidRPr="009E064B">
        <w:rPr>
          <w:rFonts w:asciiTheme="minorHAnsi" w:eastAsia="Calibri" w:hAnsiTheme="minorHAnsi" w:cstheme="minorHAnsi"/>
          <w:b/>
          <w:bCs/>
        </w:rPr>
        <w:t xml:space="preserve">Rozdział 4 – </w:t>
      </w:r>
      <w:r w:rsidR="00B0686B" w:rsidRPr="009E064B">
        <w:rPr>
          <w:rFonts w:asciiTheme="minorHAnsi" w:eastAsia="Calibri" w:hAnsiTheme="minorHAnsi" w:cstheme="minorHAnsi"/>
          <w:b/>
          <w:bCs/>
        </w:rPr>
        <w:t>Awaria statku powietrznego podczas lotu (pełne za</w:t>
      </w:r>
      <w:r w:rsidR="002E1847" w:rsidRPr="009E064B">
        <w:rPr>
          <w:rFonts w:asciiTheme="minorHAnsi" w:eastAsia="Calibri" w:hAnsiTheme="minorHAnsi" w:cstheme="minorHAnsi"/>
          <w:b/>
          <w:bCs/>
        </w:rPr>
        <w:t>grożenie lub lokalne czuwanie w </w:t>
      </w:r>
      <w:r w:rsidR="00B0686B" w:rsidRPr="009E064B">
        <w:rPr>
          <w:rFonts w:asciiTheme="minorHAnsi" w:eastAsia="Calibri" w:hAnsiTheme="minorHAnsi" w:cstheme="minorHAnsi"/>
          <w:b/>
          <w:bCs/>
        </w:rPr>
        <w:t>gotowości do działania)</w:t>
      </w:r>
    </w:p>
    <w:p w14:paraId="41FDFD8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47F4D8A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lotniskowych służby ratowniczo-gaśniczych;</w:t>
      </w:r>
    </w:p>
    <w:p w14:paraId="17291F2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Policji i służby ochrony;</w:t>
      </w:r>
    </w:p>
    <w:p w14:paraId="1F9C8E0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operatora lotniska:</w:t>
      </w:r>
    </w:p>
    <w:p w14:paraId="5402911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Działania służb medycznych:</w:t>
      </w:r>
    </w:p>
    <w:p w14:paraId="01850FAD"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68B71E09"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54083655"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5A1931DF"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139B0D6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operatora statku powietrznego uczestniczącego w zdarzeniu;</w:t>
      </w:r>
    </w:p>
    <w:p w14:paraId="3E5F117F" w14:textId="11CC2AE0"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 xml:space="preserve">Działania centrum operacyjnego działań w sytuacjach zagrożenia oraz ruchomego </w:t>
      </w:r>
      <w:r w:rsidRPr="002C4C40">
        <w:rPr>
          <w:rFonts w:asciiTheme="minorHAnsi" w:eastAsia="Calibri" w:hAnsiTheme="minorHAnsi" w:cstheme="minorHAnsi"/>
        </w:rPr>
        <w:t>stanow</w:t>
      </w:r>
      <w:r w:rsidR="00E73170" w:rsidRPr="002C4C40">
        <w:rPr>
          <w:rFonts w:asciiTheme="minorHAnsi" w:eastAsia="Calibri" w:hAnsiTheme="minorHAnsi" w:cstheme="minorHAnsi"/>
        </w:rPr>
        <w:t>iska</w:t>
      </w:r>
      <w:r w:rsidRPr="002C4C40">
        <w:rPr>
          <w:rFonts w:asciiTheme="minorHAnsi" w:eastAsia="Calibri" w:hAnsiTheme="minorHAnsi" w:cstheme="minorHAnsi"/>
        </w:rPr>
        <w:t xml:space="preserve"> </w:t>
      </w:r>
      <w:r w:rsidR="00E73170" w:rsidRPr="002C4C40">
        <w:rPr>
          <w:rFonts w:asciiTheme="minorHAnsi" w:eastAsia="Calibri" w:hAnsiTheme="minorHAnsi" w:cstheme="minorHAnsi"/>
        </w:rPr>
        <w:t>kierowania</w:t>
      </w:r>
      <w:r w:rsidRPr="002C4C40">
        <w:rPr>
          <w:rFonts w:asciiTheme="minorHAnsi" w:eastAsia="Calibri" w:hAnsiTheme="minorHAnsi" w:cstheme="minorHAnsi"/>
        </w:rPr>
        <w:t>;</w:t>
      </w:r>
    </w:p>
    <w:p w14:paraId="602F1B7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Działania innych organizacji.</w:t>
      </w:r>
    </w:p>
    <w:p w14:paraId="0A3E68E6" w14:textId="77777777" w:rsidR="00B0686B" w:rsidRPr="009E064B" w:rsidRDefault="00B0686B" w:rsidP="00B06A9A">
      <w:pPr>
        <w:widowControl/>
        <w:tabs>
          <w:tab w:val="left" w:pos="1701"/>
        </w:tabs>
        <w:spacing w:before="240"/>
        <w:ind w:left="1702" w:hanging="1418"/>
        <w:rPr>
          <w:rFonts w:asciiTheme="minorHAnsi" w:eastAsia="Calibri" w:hAnsiTheme="minorHAnsi" w:cstheme="minorHAnsi"/>
          <w:b/>
          <w:bCs/>
        </w:rPr>
      </w:pPr>
      <w:r w:rsidRPr="009E064B">
        <w:rPr>
          <w:rFonts w:asciiTheme="minorHAnsi" w:eastAsia="Calibri" w:hAnsiTheme="minorHAnsi" w:cstheme="minorHAnsi"/>
          <w:b/>
          <w:bCs/>
        </w:rPr>
        <w:t>Rozdział 5 – Pożary obiektów</w:t>
      </w:r>
    </w:p>
    <w:p w14:paraId="174AF4E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31A2285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służby ratowniczo-gaśniczych (lokalne jednostki straży pożarnej);</w:t>
      </w:r>
    </w:p>
    <w:p w14:paraId="34F29D6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Policji i służb ochrony;</w:t>
      </w:r>
    </w:p>
    <w:p w14:paraId="5A8E0FD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operatora lotniska:</w:t>
      </w:r>
    </w:p>
    <w:p w14:paraId="1701F87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Ewakuacja obiektów;</w:t>
      </w:r>
    </w:p>
    <w:p w14:paraId="41A55C1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służb medycznych:</w:t>
      </w:r>
    </w:p>
    <w:p w14:paraId="7FCA07E2"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049D7825"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2816CD7A"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0DD59757"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561BAC29" w14:textId="73F691CA"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 xml:space="preserve">Działania centrum operacyjnego działań w sytuacjach zagrożenia oraz ruchomego </w:t>
      </w:r>
      <w:r w:rsidRPr="002C4C40">
        <w:rPr>
          <w:rFonts w:asciiTheme="minorHAnsi" w:eastAsia="Calibri" w:hAnsiTheme="minorHAnsi" w:cstheme="minorHAnsi"/>
        </w:rPr>
        <w:t xml:space="preserve">stanowiska </w:t>
      </w:r>
      <w:r w:rsidR="00E73170" w:rsidRPr="002C4C40">
        <w:rPr>
          <w:rFonts w:asciiTheme="minorHAnsi" w:eastAsia="Calibri" w:hAnsiTheme="minorHAnsi" w:cstheme="minorHAnsi"/>
        </w:rPr>
        <w:t>kierowania</w:t>
      </w:r>
      <w:r w:rsidRPr="002C4C40">
        <w:rPr>
          <w:rFonts w:asciiTheme="minorHAnsi" w:eastAsia="Calibri" w:hAnsiTheme="minorHAnsi" w:cstheme="minorHAnsi"/>
        </w:rPr>
        <w:t>;</w:t>
      </w:r>
    </w:p>
    <w:p w14:paraId="7EA88CA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Działania rzecznika (ów) prasowego;</w:t>
      </w:r>
    </w:p>
    <w:p w14:paraId="2328511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Działania innych organizacji.</w:t>
      </w:r>
    </w:p>
    <w:p w14:paraId="5CBA926D" w14:textId="77777777" w:rsidR="00B0686B" w:rsidRPr="009E064B" w:rsidRDefault="00B0686B" w:rsidP="00B06A9A">
      <w:pPr>
        <w:widowControl/>
        <w:tabs>
          <w:tab w:val="left" w:pos="1701"/>
        </w:tabs>
        <w:spacing w:before="240"/>
        <w:ind w:left="1702" w:hanging="1418"/>
        <w:rPr>
          <w:rFonts w:asciiTheme="minorHAnsi" w:eastAsia="Calibri" w:hAnsiTheme="minorHAnsi" w:cstheme="minorHAnsi"/>
          <w:b/>
          <w:bCs/>
        </w:rPr>
      </w:pPr>
      <w:r w:rsidRPr="009E064B">
        <w:rPr>
          <w:rFonts w:asciiTheme="minorHAnsi" w:eastAsia="Calibri" w:hAnsiTheme="minorHAnsi" w:cstheme="minorHAnsi"/>
          <w:b/>
          <w:bCs/>
        </w:rPr>
        <w:t>Rozdział 6 – Sabotaż, w tym zagrożenie bombowe (statku powietrznego lub obiektu)</w:t>
      </w:r>
    </w:p>
    <w:p w14:paraId="7C90419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4531A14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centrum operacyjnego działań w sytuacjach zagrożenia oraz ruchomego stanowiska dowodzenia;</w:t>
      </w:r>
    </w:p>
    <w:p w14:paraId="1C046BF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Policji i służb ochrony;</w:t>
      </w:r>
    </w:p>
    <w:p w14:paraId="70AEE0C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operatora lotniska:</w:t>
      </w:r>
    </w:p>
    <w:p w14:paraId="7FF1603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Działania służb ratowniczo-gaśniczych;</w:t>
      </w:r>
    </w:p>
    <w:p w14:paraId="6A062EC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służb medycznych:</w:t>
      </w:r>
    </w:p>
    <w:p w14:paraId="0A3D2C56"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67DAA0E1"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495AB613"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3807C4AE"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1D110F8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Działania operatora statku powietrznego uczestniczącego w zdarzeniu;</w:t>
      </w:r>
    </w:p>
    <w:p w14:paraId="328D1FA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Działania organów rządowych;</w:t>
      </w:r>
    </w:p>
    <w:p w14:paraId="6B044EA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Odizolowane stanowisko postojowe dla statku powietrznego;</w:t>
      </w:r>
    </w:p>
    <w:p w14:paraId="1F4AB96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Ewakuacja;</w:t>
      </w:r>
    </w:p>
    <w:p w14:paraId="10B7A91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Poszukiwania przez psy i przeszkolony personel;</w:t>
      </w:r>
    </w:p>
    <w:p w14:paraId="70DFB1A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Obchodzenie się i identyfikacja bagażu i ładunku na pokładzie statku powietrznego;</w:t>
      </w:r>
    </w:p>
    <w:p w14:paraId="50B0022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Obchodzenie się i unieszkodliwianie podejrzanego ładunku (bomby);</w:t>
      </w:r>
    </w:p>
    <w:p w14:paraId="0B4F76F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Działania rzecznika (-ów) prasowych;</w:t>
      </w:r>
    </w:p>
    <w:p w14:paraId="0293078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(o) </w:t>
      </w:r>
      <w:r w:rsidRPr="009E064B">
        <w:rPr>
          <w:rFonts w:asciiTheme="minorHAnsi" w:eastAsia="Calibri" w:hAnsiTheme="minorHAnsi" w:cstheme="minorHAnsi"/>
        </w:rPr>
        <w:tab/>
        <w:t>Działania innych organizacji.</w:t>
      </w:r>
    </w:p>
    <w:p w14:paraId="5D94387B" w14:textId="77777777" w:rsidR="00B0686B" w:rsidRPr="009E064B" w:rsidRDefault="00B0686B" w:rsidP="00B06A9A">
      <w:pPr>
        <w:widowControl/>
        <w:tabs>
          <w:tab w:val="left" w:pos="1701"/>
        </w:tabs>
        <w:spacing w:before="240"/>
        <w:ind w:left="1702" w:hanging="1418"/>
        <w:rPr>
          <w:rFonts w:asciiTheme="minorHAnsi" w:eastAsia="Calibri" w:hAnsiTheme="minorHAnsi" w:cstheme="minorHAnsi"/>
          <w:b/>
          <w:bCs/>
        </w:rPr>
      </w:pPr>
      <w:r w:rsidRPr="009E064B">
        <w:rPr>
          <w:rFonts w:asciiTheme="minorHAnsi" w:eastAsia="Calibri" w:hAnsiTheme="minorHAnsi" w:cstheme="minorHAnsi"/>
          <w:b/>
          <w:bCs/>
        </w:rPr>
        <w:t>Rozdział 7 – Bezprawne przejęcie statku powietrznego</w:t>
      </w:r>
    </w:p>
    <w:p w14:paraId="1A47A54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Działania organu służb ruchu lotniczego;</w:t>
      </w:r>
    </w:p>
    <w:p w14:paraId="499B353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Działania służb ratowniczo-gaśniczych;</w:t>
      </w:r>
    </w:p>
    <w:p w14:paraId="62550B7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Działania Policji i służb ochrony;</w:t>
      </w:r>
    </w:p>
    <w:p w14:paraId="73A6C76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Działania operatora lotniska;</w:t>
      </w:r>
    </w:p>
    <w:p w14:paraId="603D749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Działania służb medycznych:</w:t>
      </w:r>
    </w:p>
    <w:p w14:paraId="30AEB686"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szpitale;</w:t>
      </w:r>
    </w:p>
    <w:p w14:paraId="399CFB36"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karetki pogotowia;</w:t>
      </w:r>
    </w:p>
    <w:p w14:paraId="565E19DD"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lekarze;</w:t>
      </w:r>
    </w:p>
    <w:p w14:paraId="7313058E" w14:textId="77777777" w:rsidR="00B0686B" w:rsidRPr="009E064B" w:rsidRDefault="00B0686B"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personel medyczny.</w:t>
      </w:r>
    </w:p>
    <w:p w14:paraId="3BC9035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Działania statku powietrznego operatora zaangażowanego w wypadek;</w:t>
      </w:r>
    </w:p>
    <w:p w14:paraId="2992B41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Działania organów rządowych;</w:t>
      </w:r>
    </w:p>
    <w:p w14:paraId="7C14B89D"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Działania centrum operacyjnego działań w sytuacjach zagrożenia oraz ruchomego stanowiska dowodzenia;</w:t>
      </w:r>
    </w:p>
    <w:p w14:paraId="41FB577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Odizolowane stanowisko postojowe dla statku powietrznego;</w:t>
      </w:r>
    </w:p>
    <w:p w14:paraId="6256865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Działania rzecznika (-ów) prasowego;</w:t>
      </w:r>
    </w:p>
    <w:p w14:paraId="2C6D380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Działania innych organizacji.</w:t>
      </w:r>
    </w:p>
    <w:p w14:paraId="750A9497" w14:textId="77777777" w:rsidR="00B0686B" w:rsidRPr="009E064B" w:rsidRDefault="00B0686B" w:rsidP="00B06A9A">
      <w:pPr>
        <w:widowControl/>
        <w:tabs>
          <w:tab w:val="left" w:pos="1701"/>
        </w:tabs>
        <w:spacing w:before="240"/>
        <w:ind w:left="1702" w:hanging="1418"/>
        <w:rPr>
          <w:rFonts w:asciiTheme="minorHAnsi" w:eastAsia="Calibri" w:hAnsiTheme="minorHAnsi" w:cstheme="minorHAnsi"/>
          <w:b/>
          <w:bCs/>
        </w:rPr>
      </w:pPr>
      <w:r w:rsidRPr="009E064B">
        <w:rPr>
          <w:rFonts w:asciiTheme="minorHAnsi" w:eastAsia="Calibri" w:hAnsiTheme="minorHAnsi" w:cstheme="minorHAnsi"/>
          <w:b/>
          <w:bCs/>
        </w:rPr>
        <w:t>Rozdział 8 – Incydent na lotnisku</w:t>
      </w:r>
    </w:p>
    <w:p w14:paraId="31F36C54" w14:textId="09935008"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Incydent na lotnisku może wymagać jednego lub wszystkic</w:t>
      </w:r>
      <w:r w:rsidR="00096164" w:rsidRPr="009E064B">
        <w:rPr>
          <w:rFonts w:asciiTheme="minorHAnsi" w:eastAsia="Calibri" w:hAnsiTheme="minorHAnsi" w:cstheme="minorHAnsi"/>
        </w:rPr>
        <w:t>h działań opisanych w Rozdziale </w:t>
      </w:r>
      <w:r w:rsidRPr="009E064B">
        <w:rPr>
          <w:rFonts w:asciiTheme="minorHAnsi" w:eastAsia="Calibri" w:hAnsiTheme="minorHAnsi" w:cstheme="minorHAnsi"/>
        </w:rPr>
        <w:t>2 „Wypadek statku powietrznego na lotnisku”. Przykłady incydentów, które operator lotniska powinien rozważyć, mogą dotyczyć: wycieków paliwa na płycie postojowej, pomostów pasażerskich, stref składowania paliwa, zdarzeń związanych z materiałami niebezpiecznymi w strefach składowania i przeładunku towarów, zawalenia konstrukcji, kolizji pojazdów</w:t>
      </w:r>
      <w:r w:rsidR="002E1847" w:rsidRPr="009E064B">
        <w:rPr>
          <w:rFonts w:asciiTheme="minorHAnsi" w:eastAsia="Calibri" w:hAnsiTheme="minorHAnsi" w:cstheme="minorHAnsi"/>
        </w:rPr>
        <w:t> </w:t>
      </w:r>
      <w:r w:rsidRPr="009E064B">
        <w:rPr>
          <w:rFonts w:asciiTheme="minorHAnsi" w:eastAsia="Calibri" w:hAnsiTheme="minorHAnsi" w:cstheme="minorHAnsi"/>
        </w:rPr>
        <w:t>/</w:t>
      </w:r>
      <w:r w:rsidR="002E1847" w:rsidRPr="009E064B">
        <w:rPr>
          <w:rFonts w:asciiTheme="minorHAnsi" w:eastAsia="Calibri" w:hAnsiTheme="minorHAnsi" w:cstheme="minorHAnsi"/>
        </w:rPr>
        <w:t> </w:t>
      </w:r>
      <w:r w:rsidRPr="009E064B">
        <w:rPr>
          <w:rFonts w:asciiTheme="minorHAnsi" w:eastAsia="Calibri" w:hAnsiTheme="minorHAnsi" w:cstheme="minorHAnsi"/>
        </w:rPr>
        <w:t>statków powietrznych; itp.</w:t>
      </w:r>
    </w:p>
    <w:p w14:paraId="628F9593" w14:textId="540E5F0D" w:rsidR="00B0686B" w:rsidRPr="000209A8" w:rsidRDefault="00B0686B" w:rsidP="00B06A9A">
      <w:pPr>
        <w:widowControl/>
        <w:tabs>
          <w:tab w:val="left" w:pos="1701"/>
        </w:tabs>
        <w:spacing w:before="240"/>
        <w:ind w:left="1702" w:hanging="1418"/>
        <w:rPr>
          <w:rFonts w:asciiTheme="minorHAnsi" w:eastAsia="Calibri" w:hAnsiTheme="minorHAnsi" w:cstheme="minorHAnsi"/>
          <w:b/>
          <w:bCs/>
        </w:rPr>
      </w:pPr>
      <w:r w:rsidRPr="009E064B">
        <w:rPr>
          <w:rFonts w:asciiTheme="minorHAnsi" w:eastAsia="Calibri" w:hAnsiTheme="minorHAnsi" w:cstheme="minorHAnsi"/>
          <w:b/>
          <w:bCs/>
        </w:rPr>
        <w:t>Rozdział 9 –</w:t>
      </w:r>
      <w:r w:rsidR="00013074">
        <w:rPr>
          <w:rFonts w:asciiTheme="minorHAnsi" w:eastAsia="Calibri" w:hAnsiTheme="minorHAnsi" w:cstheme="minorHAnsi"/>
          <w:b/>
          <w:bCs/>
          <w:strike/>
        </w:rPr>
        <w:t xml:space="preserve"> </w:t>
      </w:r>
      <w:r w:rsidR="00E73170" w:rsidRPr="000209A8">
        <w:rPr>
          <w:rFonts w:asciiTheme="minorHAnsi" w:eastAsia="Calibri" w:hAnsiTheme="minorHAnsi" w:cstheme="minorHAnsi"/>
          <w:b/>
          <w:bCs/>
        </w:rPr>
        <w:t xml:space="preserve">Osoby funkcyjne kierujące działaniami na </w:t>
      </w:r>
      <w:r w:rsidR="00013074" w:rsidRPr="000209A8">
        <w:rPr>
          <w:rFonts w:asciiTheme="minorHAnsi" w:eastAsia="Calibri" w:hAnsiTheme="minorHAnsi" w:cstheme="minorHAnsi"/>
          <w:b/>
          <w:bCs/>
        </w:rPr>
        <w:t>miejscu</w:t>
      </w:r>
    </w:p>
    <w:p w14:paraId="396A180C" w14:textId="77777777" w:rsidR="00B0686B" w:rsidRPr="000209A8" w:rsidRDefault="00B0686B" w:rsidP="00B06A9A">
      <w:pPr>
        <w:widowControl/>
        <w:ind w:left="567"/>
        <w:rPr>
          <w:rFonts w:asciiTheme="minorHAnsi" w:eastAsia="Calibri" w:hAnsiTheme="minorHAnsi" w:cstheme="minorHAnsi"/>
        </w:rPr>
      </w:pPr>
      <w:r w:rsidRPr="000209A8">
        <w:rPr>
          <w:rFonts w:asciiTheme="minorHAnsi" w:eastAsia="Calibri" w:hAnsiTheme="minorHAnsi" w:cstheme="minorHAnsi"/>
        </w:rPr>
        <w:t>W zależności od lokalnych warunków, funkcje obejmują, lecz nie ograniczają się do poniżej, wymienionych:</w:t>
      </w:r>
    </w:p>
    <w:p w14:paraId="36295090" w14:textId="77777777" w:rsidR="00B0686B" w:rsidRPr="000209A8" w:rsidRDefault="00B0686B" w:rsidP="00B06A9A">
      <w:pPr>
        <w:widowControl/>
        <w:tabs>
          <w:tab w:val="left" w:pos="1134"/>
        </w:tabs>
        <w:ind w:left="1134" w:hanging="567"/>
        <w:rPr>
          <w:rFonts w:asciiTheme="minorHAnsi" w:eastAsia="Calibri" w:hAnsiTheme="minorHAnsi" w:cstheme="minorHAnsi"/>
        </w:rPr>
      </w:pPr>
      <w:r w:rsidRPr="000209A8">
        <w:rPr>
          <w:rFonts w:asciiTheme="minorHAnsi" w:eastAsia="Calibri" w:hAnsiTheme="minorHAnsi" w:cstheme="minorHAnsi"/>
        </w:rPr>
        <w:t xml:space="preserve">(a) </w:t>
      </w:r>
      <w:r w:rsidRPr="000209A8">
        <w:rPr>
          <w:rFonts w:asciiTheme="minorHAnsi" w:eastAsia="Calibri" w:hAnsiTheme="minorHAnsi" w:cstheme="minorHAnsi"/>
        </w:rPr>
        <w:tab/>
        <w:t>Na lotnisku:</w:t>
      </w:r>
    </w:p>
    <w:p w14:paraId="6A0473BC" w14:textId="10B95DD8"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(1) </w:t>
      </w:r>
      <w:r w:rsidRPr="000209A8">
        <w:rPr>
          <w:rFonts w:asciiTheme="minorHAnsi" w:eastAsia="Calibri" w:hAnsiTheme="minorHAnsi" w:cstheme="minorHAnsi"/>
        </w:rPr>
        <w:tab/>
      </w:r>
      <w:r w:rsidR="00E73170" w:rsidRPr="000209A8">
        <w:rPr>
          <w:rFonts w:asciiTheme="minorHAnsi" w:eastAsia="Calibri" w:hAnsiTheme="minorHAnsi" w:cstheme="minorHAnsi"/>
        </w:rPr>
        <w:t>Komendant lotniskowej służby ratowniczo- gaśniczej</w:t>
      </w:r>
      <w:r w:rsidRPr="000209A8">
        <w:rPr>
          <w:rFonts w:asciiTheme="minorHAnsi" w:eastAsia="Calibri" w:hAnsiTheme="minorHAnsi" w:cstheme="minorHAnsi"/>
        </w:rPr>
        <w:t>;</w:t>
      </w:r>
    </w:p>
    <w:p w14:paraId="47D8E1D1" w14:textId="77777777"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(2) </w:t>
      </w:r>
      <w:r w:rsidRPr="000209A8">
        <w:rPr>
          <w:rFonts w:asciiTheme="minorHAnsi" w:eastAsia="Calibri" w:hAnsiTheme="minorHAnsi" w:cstheme="minorHAnsi"/>
        </w:rPr>
        <w:tab/>
        <w:t>Władze lotniska;</w:t>
      </w:r>
    </w:p>
    <w:p w14:paraId="665BE5B1" w14:textId="5047C6F0"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(3) </w:t>
      </w:r>
      <w:r w:rsidRPr="000209A8">
        <w:rPr>
          <w:rFonts w:asciiTheme="minorHAnsi" w:eastAsia="Calibri" w:hAnsiTheme="minorHAnsi" w:cstheme="minorHAnsi"/>
        </w:rPr>
        <w:tab/>
        <w:t xml:space="preserve">Policja i </w:t>
      </w:r>
      <w:r w:rsidR="00E73170" w:rsidRPr="000209A8">
        <w:rPr>
          <w:rFonts w:asciiTheme="minorHAnsi" w:eastAsia="Calibri" w:hAnsiTheme="minorHAnsi" w:cstheme="minorHAnsi"/>
        </w:rPr>
        <w:t>służby ochrony</w:t>
      </w:r>
      <w:r w:rsidRPr="000209A8">
        <w:rPr>
          <w:rFonts w:asciiTheme="minorHAnsi" w:eastAsia="Calibri" w:hAnsiTheme="minorHAnsi" w:cstheme="minorHAnsi"/>
        </w:rPr>
        <w:t xml:space="preserve"> – oficer dowodzący; oraz</w:t>
      </w:r>
    </w:p>
    <w:p w14:paraId="6E879E2D" w14:textId="77777777"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(4) </w:t>
      </w:r>
      <w:r w:rsidRPr="000209A8">
        <w:rPr>
          <w:rFonts w:asciiTheme="minorHAnsi" w:eastAsia="Calibri" w:hAnsiTheme="minorHAnsi" w:cstheme="minorHAnsi"/>
        </w:rPr>
        <w:tab/>
        <w:t>Koordynator medyczny.</w:t>
      </w:r>
    </w:p>
    <w:p w14:paraId="63CC0D3F" w14:textId="77777777" w:rsidR="00B0686B" w:rsidRPr="000209A8" w:rsidRDefault="00B0686B" w:rsidP="00B06A9A">
      <w:pPr>
        <w:widowControl/>
        <w:tabs>
          <w:tab w:val="left" w:pos="1134"/>
        </w:tabs>
        <w:ind w:left="1134" w:hanging="567"/>
        <w:rPr>
          <w:rFonts w:asciiTheme="minorHAnsi" w:eastAsia="Calibri" w:hAnsiTheme="minorHAnsi" w:cstheme="minorHAnsi"/>
        </w:rPr>
      </w:pPr>
      <w:r w:rsidRPr="000209A8">
        <w:rPr>
          <w:rFonts w:asciiTheme="minorHAnsi" w:eastAsia="Calibri" w:hAnsiTheme="minorHAnsi" w:cstheme="minorHAnsi"/>
        </w:rPr>
        <w:t xml:space="preserve">(b) </w:t>
      </w:r>
      <w:r w:rsidRPr="000209A8">
        <w:rPr>
          <w:rFonts w:asciiTheme="minorHAnsi" w:eastAsia="Calibri" w:hAnsiTheme="minorHAnsi" w:cstheme="minorHAnsi"/>
        </w:rPr>
        <w:tab/>
        <w:t>Spoza lotniska:</w:t>
      </w:r>
    </w:p>
    <w:p w14:paraId="26250F1E" w14:textId="7BAAE8AA"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(1) </w:t>
      </w:r>
      <w:r w:rsidRPr="000209A8">
        <w:rPr>
          <w:rFonts w:asciiTheme="minorHAnsi" w:eastAsia="Calibri" w:hAnsiTheme="minorHAnsi" w:cstheme="minorHAnsi"/>
        </w:rPr>
        <w:tab/>
        <w:t xml:space="preserve">Lokalny </w:t>
      </w:r>
      <w:r w:rsidR="00E73170" w:rsidRPr="000209A8">
        <w:rPr>
          <w:rFonts w:asciiTheme="minorHAnsi" w:eastAsia="Calibri" w:hAnsiTheme="minorHAnsi" w:cstheme="minorHAnsi"/>
        </w:rPr>
        <w:t>komendant</w:t>
      </w:r>
      <w:r w:rsidRPr="000209A8">
        <w:rPr>
          <w:rFonts w:asciiTheme="minorHAnsi" w:eastAsia="Calibri" w:hAnsiTheme="minorHAnsi" w:cstheme="minorHAnsi"/>
        </w:rPr>
        <w:t xml:space="preserve"> </w:t>
      </w:r>
      <w:r w:rsidR="00E73170" w:rsidRPr="000209A8">
        <w:rPr>
          <w:rFonts w:asciiTheme="minorHAnsi" w:eastAsia="Calibri" w:hAnsiTheme="minorHAnsi" w:cstheme="minorHAnsi"/>
        </w:rPr>
        <w:t>straży</w:t>
      </w:r>
      <w:r w:rsidRPr="000209A8">
        <w:rPr>
          <w:rFonts w:asciiTheme="minorHAnsi" w:eastAsia="Calibri" w:hAnsiTheme="minorHAnsi" w:cstheme="minorHAnsi"/>
        </w:rPr>
        <w:t xml:space="preserve"> p</w:t>
      </w:r>
      <w:r w:rsidR="00E73170" w:rsidRPr="000209A8">
        <w:rPr>
          <w:rFonts w:asciiTheme="minorHAnsi" w:eastAsia="Calibri" w:hAnsiTheme="minorHAnsi" w:cstheme="minorHAnsi"/>
        </w:rPr>
        <w:t>ożarnej</w:t>
      </w:r>
      <w:r w:rsidRPr="000209A8">
        <w:rPr>
          <w:rFonts w:asciiTheme="minorHAnsi" w:eastAsia="Calibri" w:hAnsiTheme="minorHAnsi" w:cstheme="minorHAnsi"/>
        </w:rPr>
        <w:t>;</w:t>
      </w:r>
    </w:p>
    <w:p w14:paraId="76C1B495" w14:textId="2838BDCE"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(2) </w:t>
      </w:r>
      <w:r w:rsidRPr="000209A8">
        <w:rPr>
          <w:rFonts w:asciiTheme="minorHAnsi" w:eastAsia="Calibri" w:hAnsiTheme="minorHAnsi" w:cstheme="minorHAnsi"/>
        </w:rPr>
        <w:tab/>
        <w:t xml:space="preserve">Organ </w:t>
      </w:r>
      <w:r w:rsidR="00E73170" w:rsidRPr="000209A8">
        <w:rPr>
          <w:rFonts w:asciiTheme="minorHAnsi" w:eastAsia="Calibri" w:hAnsiTheme="minorHAnsi" w:cstheme="minorHAnsi"/>
        </w:rPr>
        <w:t xml:space="preserve">administracji </w:t>
      </w:r>
      <w:r w:rsidRPr="000209A8">
        <w:rPr>
          <w:rFonts w:asciiTheme="minorHAnsi" w:eastAsia="Calibri" w:hAnsiTheme="minorHAnsi" w:cstheme="minorHAnsi"/>
        </w:rPr>
        <w:t>rządow</w:t>
      </w:r>
      <w:r w:rsidR="00E73170" w:rsidRPr="000209A8">
        <w:rPr>
          <w:rFonts w:asciiTheme="minorHAnsi" w:eastAsia="Calibri" w:hAnsiTheme="minorHAnsi" w:cstheme="minorHAnsi"/>
        </w:rPr>
        <w:t>ej</w:t>
      </w:r>
      <w:r w:rsidRPr="000209A8">
        <w:rPr>
          <w:rFonts w:asciiTheme="minorHAnsi" w:eastAsia="Calibri" w:hAnsiTheme="minorHAnsi" w:cstheme="minorHAnsi"/>
        </w:rPr>
        <w:t>; oraz</w:t>
      </w:r>
    </w:p>
    <w:p w14:paraId="0039AB4C" w14:textId="290BF0D3" w:rsidR="00B0686B" w:rsidRPr="000209A8" w:rsidRDefault="00B0686B" w:rsidP="00B06A9A">
      <w:pPr>
        <w:widowControl/>
        <w:tabs>
          <w:tab w:val="left" w:pos="1701"/>
        </w:tabs>
        <w:ind w:left="1701" w:hanging="567"/>
        <w:rPr>
          <w:rFonts w:asciiTheme="minorHAnsi" w:eastAsia="Calibri" w:hAnsiTheme="minorHAnsi" w:cstheme="minorHAnsi"/>
        </w:rPr>
      </w:pPr>
      <w:r w:rsidRPr="000209A8">
        <w:rPr>
          <w:rFonts w:asciiTheme="minorHAnsi" w:eastAsia="Calibri" w:hAnsiTheme="minorHAnsi" w:cstheme="minorHAnsi"/>
        </w:rPr>
        <w:t xml:space="preserve">(3) </w:t>
      </w:r>
      <w:r w:rsidRPr="000209A8">
        <w:rPr>
          <w:rFonts w:asciiTheme="minorHAnsi" w:eastAsia="Calibri" w:hAnsiTheme="minorHAnsi" w:cstheme="minorHAnsi"/>
        </w:rPr>
        <w:tab/>
        <w:t xml:space="preserve">Policja i </w:t>
      </w:r>
      <w:r w:rsidR="00E73170" w:rsidRPr="000209A8">
        <w:rPr>
          <w:rFonts w:asciiTheme="minorHAnsi" w:eastAsia="Calibri" w:hAnsiTheme="minorHAnsi" w:cstheme="minorHAnsi"/>
        </w:rPr>
        <w:t>służby ochrony</w:t>
      </w:r>
      <w:r w:rsidRPr="000209A8">
        <w:rPr>
          <w:rFonts w:asciiTheme="minorHAnsi" w:eastAsia="Calibri" w:hAnsiTheme="minorHAnsi" w:cstheme="minorHAnsi"/>
        </w:rPr>
        <w:t xml:space="preserve"> – oficer dowodzący.</w:t>
      </w:r>
    </w:p>
    <w:p w14:paraId="3F6D3D21" w14:textId="72E930D5" w:rsidR="00B0686B" w:rsidRPr="009E064B" w:rsidRDefault="00B0686B" w:rsidP="00B06A9A">
      <w:pPr>
        <w:widowControl/>
        <w:spacing w:after="240"/>
        <w:ind w:left="567"/>
        <w:rPr>
          <w:rFonts w:asciiTheme="minorHAnsi" w:eastAsia="Calibri" w:hAnsiTheme="minorHAnsi" w:cstheme="minorHAnsi"/>
        </w:rPr>
      </w:pPr>
      <w:r w:rsidRPr="000209A8">
        <w:rPr>
          <w:rFonts w:asciiTheme="minorHAnsi" w:eastAsia="Calibri" w:hAnsiTheme="minorHAnsi" w:cstheme="minorHAnsi"/>
        </w:rPr>
        <w:t xml:space="preserve">Osoba </w:t>
      </w:r>
      <w:r w:rsidR="00013074" w:rsidRPr="000209A8">
        <w:rPr>
          <w:rFonts w:asciiTheme="minorHAnsi" w:eastAsia="Calibri" w:hAnsiTheme="minorHAnsi" w:cstheme="minorHAnsi"/>
        </w:rPr>
        <w:t>kierująca</w:t>
      </w:r>
      <w:r w:rsidRPr="000209A8">
        <w:rPr>
          <w:rFonts w:asciiTheme="minorHAnsi" w:eastAsia="Calibri" w:hAnsiTheme="minorHAnsi" w:cstheme="minorHAnsi"/>
        </w:rPr>
        <w:t xml:space="preserve"> na miejscu działań</w:t>
      </w:r>
      <w:r w:rsidRPr="009E064B">
        <w:rPr>
          <w:rFonts w:asciiTheme="minorHAnsi" w:eastAsia="Calibri" w:hAnsiTheme="minorHAnsi" w:cstheme="minorHAnsi"/>
        </w:rPr>
        <w:t xml:space="preserve"> zostanie wyznaczona zgodnie z wymaganiami uprzednio ustalonego porozumienia o wzajemnej pomocy w sytuacjach zagrożenia.</w:t>
      </w:r>
    </w:p>
    <w:p w14:paraId="5CCEEF82" w14:textId="0EA25D84" w:rsidR="00B0686B" w:rsidRPr="009E064B" w:rsidRDefault="00B0686B" w:rsidP="00133B99">
      <w:pPr>
        <w:pStyle w:val="Nagwek6"/>
      </w:pPr>
      <w:bookmarkStart w:id="541" w:name="_Toc492024692"/>
      <w:bookmarkStart w:id="542" w:name="_Toc12532796"/>
      <w:r w:rsidRPr="009E064B">
        <w:t xml:space="preserve">GM4 ADR.OPS.B.005(a)    </w:t>
      </w:r>
      <w:r w:rsidR="004002F9" w:rsidRPr="009E064B">
        <w:t xml:space="preserve"> </w:t>
      </w:r>
      <w:r w:rsidRPr="009E064B">
        <w:t xml:space="preserve">Plan </w:t>
      </w:r>
      <w:r w:rsidR="001359B5" w:rsidRPr="009E064B">
        <w:t>działania w sytuacjach zagrożenia dla lotniska</w:t>
      </w:r>
      <w:bookmarkEnd w:id="541"/>
      <w:bookmarkEnd w:id="542"/>
    </w:p>
    <w:p w14:paraId="09C73242" w14:textId="314A58A1"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9DFD443"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RODZAJE ZAGROŻEŃ</w:t>
      </w:r>
    </w:p>
    <w:p w14:paraId="5ADED05A" w14:textId="1B7250E3"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Co najmniej następujące rodzaje zagrożeń mogą być zawarte w planie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30EBE78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Zagrożenia statków powietrznych;</w:t>
      </w:r>
    </w:p>
    <w:p w14:paraId="651D45C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Incydenty z udziałem statku powietrznego na ziemi, w których wiadomo, że statek powietrzny znajdujący się na ziemi jest w sytuacji zagrożenia innej niż wypadek i wymaga obecności służb ratowniczych;</w:t>
      </w:r>
    </w:p>
    <w:p w14:paraId="2F0A140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Sabotaż, w tym zagrożenie bombowe;</w:t>
      </w:r>
    </w:p>
    <w:p w14:paraId="30AED6E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Bezprawne przejęcie statku powietrznego;</w:t>
      </w:r>
    </w:p>
    <w:p w14:paraId="3E77935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Zdarzenia związane z materiałami niebezpiecznymi;</w:t>
      </w:r>
    </w:p>
    <w:p w14:paraId="0C5C63A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Pożary budynków;</w:t>
      </w:r>
    </w:p>
    <w:p w14:paraId="4F669DA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Klęski żywiołowe; oraz</w:t>
      </w:r>
    </w:p>
    <w:p w14:paraId="2EBA25A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Zagrożenia dla zdrowia publicznego.</w:t>
      </w:r>
    </w:p>
    <w:p w14:paraId="364303F5"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Zagrożenia statków powietrznych, dla których mogą być wymagane służby, są na ogół sklasyfikowane, jako:</w:t>
      </w:r>
    </w:p>
    <w:p w14:paraId="43FB9FC0" w14:textId="002525A0"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„wypadek lotniczy”: wypadek statku powietrznego, który</w:t>
      </w:r>
      <w:r w:rsidR="002E1847" w:rsidRPr="009E064B">
        <w:rPr>
          <w:rFonts w:asciiTheme="minorHAnsi" w:eastAsia="Calibri" w:hAnsiTheme="minorHAnsi" w:cstheme="minorHAnsi"/>
        </w:rPr>
        <w:t xml:space="preserve"> miał miejsce na lotnisku lub w </w:t>
      </w:r>
      <w:r w:rsidRPr="009E064B">
        <w:rPr>
          <w:rFonts w:asciiTheme="minorHAnsi" w:eastAsia="Calibri" w:hAnsiTheme="minorHAnsi" w:cstheme="minorHAnsi"/>
        </w:rPr>
        <w:t>jego otoczeniu;</w:t>
      </w:r>
    </w:p>
    <w:p w14:paraId="272C691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„pełne zagrożenie”: gdy, zbliżający się do lotniska statek powietrzny ma lub podejrzewa się, że ma, taki problem, w którym istnieje bezpośrednie niebezpieczeństwo wypadku;</w:t>
      </w:r>
    </w:p>
    <w:p w14:paraId="6DC9214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„lokalny stan gotowości”: gdy wiadomo lub podejrzewa się, że na zbliżającym się do lotniska statku powietrznym, wystąpił pewnego rodzaju defekt, ale problem nie jest taki, jaki zwykle pociąga za sobą poważne trudności w wykonywaniu bezpiecznego lądowania.</w:t>
      </w:r>
    </w:p>
    <w:p w14:paraId="580E6CEB" w14:textId="7D8551AB" w:rsidR="00B0686B" w:rsidRPr="009E064B" w:rsidRDefault="00B0686B" w:rsidP="00133B99">
      <w:pPr>
        <w:pStyle w:val="Nagwek6"/>
      </w:pPr>
      <w:bookmarkStart w:id="543" w:name="_Toc492024693"/>
      <w:bookmarkStart w:id="544" w:name="_Toc12532797"/>
      <w:r w:rsidRPr="009E064B">
        <w:t xml:space="preserve">GM5 ADR.OPS.B.005(a)    </w:t>
      </w:r>
      <w:r w:rsidR="004002F9" w:rsidRPr="009E064B">
        <w:t xml:space="preserve"> </w:t>
      </w:r>
      <w:r w:rsidRPr="009E064B">
        <w:t xml:space="preserve">Plan </w:t>
      </w:r>
      <w:r w:rsidR="001359B5" w:rsidRPr="009E064B">
        <w:t>działania w sytuacjach zagrożenia dla lotniska</w:t>
      </w:r>
      <w:bookmarkEnd w:id="543"/>
      <w:bookmarkEnd w:id="544"/>
    </w:p>
    <w:p w14:paraId="3C756231" w14:textId="6AAC2FAE"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E44BE13"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USUWANIE UNIERUCHOMIONYCH STATKÓW POWIETRZNYCH</w:t>
      </w:r>
    </w:p>
    <w:p w14:paraId="2E3CDBA9"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ustanowić plan usuwania statków powietrznych unieruchomionych w polu ruchu naziemnego lub w jego pobliżu, i w razie potrzeby, wyznaczyć koordynatora do realizacji tego planu.</w:t>
      </w:r>
    </w:p>
    <w:p w14:paraId="6FC3A680"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Plan usuwania unieruchomionych statków powietrznych powinien być oparty na charakterystykach statków powietrznych, o których wiadomo, że normalnie wykonują operacje na lotnisku, i powinien obejmować między innymi:</w:t>
      </w:r>
    </w:p>
    <w:p w14:paraId="3FD780F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wykaz wyposażenia i personelu na lub w okolicach lotniska, które byłyby dostępne dla takiego celu; oraz</w:t>
      </w:r>
    </w:p>
    <w:p w14:paraId="497BAFB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ustalenia organizacyjne dotyczące szybkiego sprowadzenia zestawu sprzętu do usprawnienia statków powietrznych, dostępnego na innych lotniskach;</w:t>
      </w:r>
    </w:p>
    <w:p w14:paraId="290FEDF9" w14:textId="0315983E" w:rsidR="00B0686B" w:rsidRPr="009E064B" w:rsidRDefault="00B0686B" w:rsidP="00133B99">
      <w:pPr>
        <w:pStyle w:val="Nagwek6"/>
      </w:pPr>
      <w:bookmarkStart w:id="545" w:name="_Toc492024694"/>
      <w:bookmarkStart w:id="546" w:name="_Toc12532798"/>
      <w:r w:rsidRPr="009E064B">
        <w:t xml:space="preserve">GM1 ADR.OPS.B.005(b)    </w:t>
      </w:r>
      <w:r w:rsidR="004002F9" w:rsidRPr="009E064B">
        <w:t xml:space="preserve"> </w:t>
      </w:r>
      <w:r w:rsidRPr="009E064B">
        <w:t xml:space="preserve">Plan </w:t>
      </w:r>
      <w:r w:rsidR="001359B5" w:rsidRPr="009E064B">
        <w:t>działania w sytuacjach zagrożenia dla lotniska</w:t>
      </w:r>
      <w:bookmarkEnd w:id="545"/>
      <w:bookmarkEnd w:id="546"/>
    </w:p>
    <w:p w14:paraId="632926AC" w14:textId="7843E91D"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CBD7DAF"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KOORDYNACJA Z INNYMI AGENCJAMI I ORGANIZACJAMI</w:t>
      </w:r>
    </w:p>
    <w:p w14:paraId="4C8B7D50" w14:textId="2B28F4B3"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powinien określać procedury koordynacji działań różnych lotniskowych agencji, organizacji lub służb (np. obsługi naziemnej, linii lotniczych, służb ochrony) i organów publicznych znajdujących się w jego sąsiedztwie, które mogłyby być pomocne w działaniach w sytuacji zagrożenia.</w:t>
      </w:r>
    </w:p>
    <w:p w14:paraId="1E533EA1" w14:textId="77A772A4"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Jeżeli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nie jest częścią krajowego lub lokalnego planu działania w sytuacjach zagrożenia, to powinien być właściwie skoordynowany.</w:t>
      </w:r>
    </w:p>
    <w:p w14:paraId="7A9674C9"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Powinny być zawarte porozumienia o wzajemnej pomocy w sytuacjach zagrożenia w celu określenia obowiązków i/lub zobowiązań każdej zewnętrznej agencji (organizacji) uczestniczącej w działaniach w sytuacji zagrożenia. Porozumienia te powinny obejmować:</w:t>
      </w:r>
    </w:p>
    <w:p w14:paraId="790B3C1A" w14:textId="18CC6D23"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wyjaśnienie politycznych i prawnych obowiązków szeregu organizacji (np. Policji, lokalnych służb ratowniczo-gaśniczych, władz lokalnych, organów ds. badania wypadków lotniczych, itp.), które mogą być zaangażowan</w:t>
      </w:r>
      <w:r w:rsidR="00D12A54" w:rsidRPr="009E064B">
        <w:rPr>
          <w:rFonts w:asciiTheme="minorHAnsi" w:eastAsia="Calibri" w:hAnsiTheme="minorHAnsi" w:cstheme="minorHAnsi"/>
        </w:rPr>
        <w:t>e w celu uniknięcia problemów w </w:t>
      </w:r>
      <w:r w:rsidRPr="009E064B">
        <w:rPr>
          <w:rFonts w:asciiTheme="minorHAnsi" w:eastAsia="Calibri" w:hAnsiTheme="minorHAnsi" w:cstheme="minorHAnsi"/>
        </w:rPr>
        <w:t>przypadku wystąpienia zagrożenia;</w:t>
      </w:r>
    </w:p>
    <w:p w14:paraId="3F0D9FA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ustanowienie organu kierowania; tj. jednej osoby kierującej na miejscu działań (z wyznaczonymi, w razie potrzeby, zastępcami);</w:t>
      </w:r>
    </w:p>
    <w:p w14:paraId="08B31E1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określenie priorytetów w zakresie komunikacji na miejscu wypadku;</w:t>
      </w:r>
    </w:p>
    <w:p w14:paraId="5A96305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organizacja środków transportu na wypadek zagrożenia pod kierownictwem wstępnie wyznaczonego koordynatora (-ów);</w:t>
      </w:r>
    </w:p>
    <w:p w14:paraId="4EC89D1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ustalenie z góry zakresu upoważnień i zobowiązań prawnych całego współpracującego personelu do działania w warunkach zagrożenia; oraz</w:t>
      </w:r>
    </w:p>
    <w:p w14:paraId="013E88D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wstępne ustalenia dotyczące korzystania z przenośnego i ciężkiego sprzętu ratowniczego z dostępnych źródeł.</w:t>
      </w:r>
    </w:p>
    <w:p w14:paraId="57157182" w14:textId="31E55615"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 xml:space="preserve">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powinien być realizowany podobnie, bez względu na to, czy mamy do czynienia z wypadkiem/zdarzeniem na lotnisku, czy poza lotniskiem.</w:t>
      </w:r>
    </w:p>
    <w:p w14:paraId="6CB05F4B"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Znaki punktów zbornych i strzałki kierunkowe powinny być spójne i zgodne z normami krajowymi.</w:t>
      </w:r>
    </w:p>
    <w:p w14:paraId="4544A819"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Operator lotniska powinien ocenić poziom zapasów materiałów medycznych, które mają być </w:t>
      </w:r>
    </w:p>
    <w:p w14:paraId="75F197A1" w14:textId="0EF81593" w:rsidR="00B0686B" w:rsidRPr="009E064B" w:rsidRDefault="00B0686B" w:rsidP="00133B99">
      <w:pPr>
        <w:pStyle w:val="Nagwek6"/>
      </w:pPr>
      <w:bookmarkStart w:id="547" w:name="_Toc492024695"/>
      <w:bookmarkStart w:id="548" w:name="_Toc12532799"/>
      <w:r w:rsidRPr="009E064B">
        <w:t xml:space="preserve">GM2 ADR.OPS.B.005(b)    </w:t>
      </w:r>
      <w:r w:rsidR="004002F9" w:rsidRPr="009E064B">
        <w:t xml:space="preserve"> </w:t>
      </w:r>
      <w:r w:rsidRPr="009E064B">
        <w:t xml:space="preserve">Plan </w:t>
      </w:r>
      <w:r w:rsidR="001359B5" w:rsidRPr="009E064B">
        <w:t>działania w sytuacjach zagrożenia dla lotniska</w:t>
      </w:r>
      <w:bookmarkEnd w:id="547"/>
      <w:bookmarkEnd w:id="548"/>
    </w:p>
    <w:p w14:paraId="5052DF71" w14:textId="25A2030B"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652D7E2"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AGENCJE ZAANGAŻOWANE W DZIAŁANIA W SYTUACJACH ZAGROŻENIA</w:t>
      </w:r>
    </w:p>
    <w:p w14:paraId="0330A6D0"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Niżej wymienione agencje (organizacje), w zależności od rodzaju zagrożenia i lokalnych uzgodnień, mogą uczestniczyć w reakcji na zagrożenie:</w:t>
      </w:r>
    </w:p>
    <w:p w14:paraId="7C7C2564"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Na lotnisku:</w:t>
      </w:r>
    </w:p>
    <w:p w14:paraId="41B37780"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Organ kontroli ruchu lotniczego;</w:t>
      </w:r>
    </w:p>
    <w:p w14:paraId="1CFC31F5"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Służby ratowniczo-gaśnicze;</w:t>
      </w:r>
    </w:p>
    <w:p w14:paraId="12155049"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Administracja lotniska;</w:t>
      </w:r>
    </w:p>
    <w:p w14:paraId="56B5B08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Służby medyczne i sanitarne;</w:t>
      </w:r>
    </w:p>
    <w:p w14:paraId="1342D543"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Operatorzy statków powietrznych;</w:t>
      </w:r>
    </w:p>
    <w:p w14:paraId="05FC1C1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Agencje obsługi naziemnej;</w:t>
      </w:r>
    </w:p>
    <w:p w14:paraId="33CF8E4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Służby ochrony, oraz</w:t>
      </w:r>
    </w:p>
    <w:p w14:paraId="3C9127E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Policja</w:t>
      </w:r>
    </w:p>
    <w:p w14:paraId="27B4D662"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Poza lotniskiem:</w:t>
      </w:r>
    </w:p>
    <w:p w14:paraId="5F91450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Komendy straży pożarnej;</w:t>
      </w:r>
    </w:p>
    <w:p w14:paraId="63128FD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Policja;</w:t>
      </w:r>
    </w:p>
    <w:p w14:paraId="5A25D51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Władze służby zdrowia (w tym służby medyczne i sanitarne, szpitale, publiczna służba zdrowia);</w:t>
      </w:r>
    </w:p>
    <w:p w14:paraId="786CE25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Wojsko; oraz</w:t>
      </w:r>
    </w:p>
    <w:p w14:paraId="04332D2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Ochrona portów i wybrzeża, jeśli dotyczy.</w:t>
      </w:r>
    </w:p>
    <w:p w14:paraId="3A57B7B0" w14:textId="66C6BF92" w:rsidR="00B0686B" w:rsidRPr="009E064B" w:rsidRDefault="00B0686B" w:rsidP="00133B99">
      <w:pPr>
        <w:pStyle w:val="Nagwek6"/>
      </w:pPr>
      <w:bookmarkStart w:id="549" w:name="_Toc492024696"/>
      <w:bookmarkStart w:id="550" w:name="_Toc12532800"/>
      <w:r w:rsidRPr="009E064B">
        <w:t xml:space="preserve">GM3 ADR.OPS.B.005(b)    </w:t>
      </w:r>
      <w:r w:rsidR="004002F9" w:rsidRPr="009E064B">
        <w:t xml:space="preserve"> </w:t>
      </w:r>
      <w:r w:rsidRPr="009E064B">
        <w:t xml:space="preserve">Plan </w:t>
      </w:r>
      <w:r w:rsidR="001359B5" w:rsidRPr="009E064B">
        <w:t>działania w sytuacjach zagrożenia dla lotniska</w:t>
      </w:r>
      <w:bookmarkEnd w:id="549"/>
      <w:bookmarkEnd w:id="550"/>
    </w:p>
    <w:p w14:paraId="522EAD35" w14:textId="70248F2F"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3B7B506"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CENTRUM OPERACYJNE SYTUACJI ZAGROŻENIA</w:t>
      </w:r>
    </w:p>
    <w:p w14:paraId="19A8A12A"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Praktyka wykazała, że z zagrożeniami można sobie lepiej poradzić, gdy kierowanie nimi odbywa się centralnie z centrum operacyjnego sytuacji zagrożenia i ze stanowiska kierowania.</w:t>
      </w:r>
    </w:p>
    <w:p w14:paraId="753B9701" w14:textId="4BAEF508"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Centrum operacyjne sytuacji zagrożenia może stanowić integralną część służb i urządzeń lotniska i być odpowiedzialne za całościową koordynację i ogólne kierowanie działaniami w sytuacji zagrożenia. W zależności od wielkości lotniska i lokalnych procedur, może zostać ustanowione więcej niż jedno centrum operacyjne sytuacji zagrożenia, ale w planie </w:t>
      </w:r>
      <w:r w:rsidR="00D12A54" w:rsidRPr="009E064B">
        <w:rPr>
          <w:rFonts w:asciiTheme="minorHAnsi" w:eastAsia="Calibri" w:hAnsiTheme="minorHAnsi" w:cstheme="minorHAnsi"/>
        </w:rPr>
        <w:t>działania w </w:t>
      </w:r>
      <w:r w:rsidR="001359B5" w:rsidRPr="009E064B">
        <w:rPr>
          <w:rFonts w:asciiTheme="minorHAnsi" w:eastAsia="Calibri" w:hAnsiTheme="minorHAnsi" w:cstheme="minorHAnsi"/>
        </w:rPr>
        <w:t>sytuacjach zagrożenia dla lotniska</w:t>
      </w:r>
      <w:r w:rsidRPr="009E064B">
        <w:rPr>
          <w:rFonts w:asciiTheme="minorHAnsi" w:eastAsia="Calibri" w:hAnsiTheme="minorHAnsi" w:cstheme="minorHAnsi"/>
        </w:rPr>
        <w:t xml:space="preserve"> należy określić, które z nich ponosi całościową odpowiedzialność za koordynację.</w:t>
      </w:r>
    </w:p>
    <w:p w14:paraId="0A1CFDE6"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Do kierowania centrum operacyjnym sytuacji zagrożenia powinna być wyznaczona jedna osoba, i w razie potrzeby – inna osoba do kierowania stanowiskiem kierowania.</w:t>
      </w:r>
    </w:p>
    <w:p w14:paraId="15450FD6" w14:textId="248EF3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Rolą centrum operacyjnego sytuacji zagrożenia powinno być wspieranie osoby kierującej na miejscu działań w ruchomym stanowisku kierowania na okoliczność wypadków</w:t>
      </w:r>
      <w:r w:rsidR="002E1847" w:rsidRPr="009E064B">
        <w:rPr>
          <w:rFonts w:asciiTheme="minorHAnsi" w:eastAsia="Calibri" w:hAnsiTheme="minorHAnsi" w:cstheme="minorHAnsi"/>
        </w:rPr>
        <w:t> </w:t>
      </w:r>
      <w:r w:rsidRPr="009E064B">
        <w:rPr>
          <w:rFonts w:asciiTheme="minorHAnsi" w:eastAsia="Calibri" w:hAnsiTheme="minorHAnsi" w:cstheme="minorHAnsi"/>
        </w:rPr>
        <w:t>/</w:t>
      </w:r>
      <w:r w:rsidR="002E1847" w:rsidRPr="009E064B">
        <w:rPr>
          <w:rFonts w:asciiTheme="minorHAnsi" w:eastAsia="Calibri" w:hAnsiTheme="minorHAnsi" w:cstheme="minorHAnsi"/>
        </w:rPr>
        <w:t> </w:t>
      </w:r>
      <w:r w:rsidRPr="009E064B">
        <w:rPr>
          <w:rFonts w:asciiTheme="minorHAnsi" w:eastAsia="Calibri" w:hAnsiTheme="minorHAnsi" w:cstheme="minorHAnsi"/>
        </w:rPr>
        <w:t>incydentów statków powietrznych.</w:t>
      </w:r>
    </w:p>
    <w:p w14:paraId="157D4FD3"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Centrum operacyjne sytuacji zagrożenia, w zależności od odpowiednich planów ochrony i procedur lokalnych może pełnić funkcję centrum dowodzenia, koordynacji i łączności na wypadek bezprawnego przejęcia statku powietrznego i zagrożenia bombowego.</w:t>
      </w:r>
    </w:p>
    <w:p w14:paraId="036C054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Centrum operacyjne sytuacji zagrożenia powinno być operacyjnie dostępne przez 24 godziny na dobę, lub w godzinach pracy lotniska, i powinny zostać ustanowione procedury dotyczące powiadamiania jego pracowników.</w:t>
      </w:r>
    </w:p>
    <w:p w14:paraId="62135466"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Lokalizacja centrum operacyjnego sytuacji zagrożenia jest bardzo ważna dla jego skuteczności. Ustanawiając jego lokalizację należy wziąć pod uwagę dobrą widoczność na pole ruchu naziemnego, i w miarę możliwości, na odizolowane stanowisko postojowe statków.</w:t>
      </w:r>
    </w:p>
    <w:p w14:paraId="1A99C491"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Odpowiedni sprzęt i personel powinien być dostępny w celu komunikowania się z odpowiednimi organizacjami zaangażowanymi w sytuacje zagrożenia, w tym z ruchomym stanowiskiem kierowania, jeśli jest rozmieszczone. Środki łączności i urządzenia elektroniczne powinny być regularnie sprawdzane w celu wykrycia jakichkolwiek niesprawności.</w:t>
      </w:r>
    </w:p>
    <w:p w14:paraId="1816BDA7" w14:textId="5009CE62" w:rsidR="00B0686B" w:rsidRPr="009E064B" w:rsidRDefault="00B0686B" w:rsidP="00133B99">
      <w:pPr>
        <w:pStyle w:val="Nagwek6"/>
      </w:pPr>
      <w:bookmarkStart w:id="551" w:name="_Toc492024697"/>
      <w:bookmarkStart w:id="552" w:name="_Toc12532801"/>
      <w:r w:rsidRPr="009E064B">
        <w:t xml:space="preserve">GM4 ADR.OPS.B.005(b)    </w:t>
      </w:r>
      <w:r w:rsidR="004002F9" w:rsidRPr="009E064B">
        <w:t xml:space="preserve"> </w:t>
      </w:r>
      <w:r w:rsidRPr="009E064B">
        <w:t xml:space="preserve">Plan </w:t>
      </w:r>
      <w:r w:rsidR="001359B5" w:rsidRPr="009E064B">
        <w:t>działania w sytuacjach zagrożenia dla lotniska</w:t>
      </w:r>
      <w:bookmarkEnd w:id="551"/>
      <w:bookmarkEnd w:id="552"/>
    </w:p>
    <w:p w14:paraId="3B767461" w14:textId="5BCB719C"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A5B765E"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RUCHOME STANOWISKO KIEROWANIA</w:t>
      </w:r>
    </w:p>
    <w:p w14:paraId="31D8D8C7"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Stanowisko kierowania jest obiektem, który w razie potrzeby, ma możliwość szybkiego przemieszczenia się do miejsca, gdzie zaistniała sytuacja zagrożenia, oraz zapewnić tam lokalną koordynację działań agencji (organizacji) uczestniczących w operacji.</w:t>
      </w:r>
    </w:p>
    <w:p w14:paraId="670121F5"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Ruchome stanowisko kierowania, jeśli zostało ustanowione, powinno być odpowiednio wyposażone i obsadzone personelem w celu komunikowania się z odpowiednimi organizacjami zaangażowanymi w sytuacje zagrożenia, w tym z centrum operacyjnym sytuacji zagrożenia. Środki łączności i urządzenia elektroniczne powinny być regularnie sprawdzane w celu wykrycia jakichkolwiek niesprawności.</w:t>
      </w:r>
    </w:p>
    <w:p w14:paraId="3180A1C6"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 (c) </w:t>
      </w:r>
      <w:r w:rsidRPr="009E064B">
        <w:rPr>
          <w:rFonts w:asciiTheme="minorHAnsi" w:eastAsia="Calibri" w:hAnsiTheme="minorHAnsi" w:cstheme="minorHAnsi"/>
        </w:rPr>
        <w:tab/>
        <w:t>Mapy, schematy oraz inne odpowiednie wyposażenie i informacje powinny być dostępne w ruchomym stanowisku kierowania.</w:t>
      </w:r>
    </w:p>
    <w:p w14:paraId="2ECB06BE" w14:textId="3BFC7CC6" w:rsidR="00B0686B" w:rsidRPr="009E064B" w:rsidRDefault="00B0686B" w:rsidP="00133B99">
      <w:pPr>
        <w:pStyle w:val="Nagwek6"/>
      </w:pPr>
      <w:bookmarkStart w:id="553" w:name="_Toc492024698"/>
      <w:bookmarkStart w:id="554" w:name="_Toc12532802"/>
      <w:r w:rsidRPr="009E064B">
        <w:t xml:space="preserve">GM5 ADR.OPS.B.005(b)    </w:t>
      </w:r>
      <w:r w:rsidR="004002F9" w:rsidRPr="009E064B">
        <w:t xml:space="preserve"> </w:t>
      </w:r>
      <w:r w:rsidRPr="009E064B">
        <w:t xml:space="preserve">Plan </w:t>
      </w:r>
      <w:r w:rsidR="001359B5" w:rsidRPr="009E064B">
        <w:t>działania w sytuacjach zagrożenia dla lotniska</w:t>
      </w:r>
      <w:bookmarkEnd w:id="553"/>
      <w:bookmarkEnd w:id="554"/>
    </w:p>
    <w:p w14:paraId="3DCE6A62" w14:textId="3D7B3791"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2D416C2"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SYSTEMY ŁĄCZNOŚCI STOSOWANE W SYTUACJI ZAGROŻENIA</w:t>
      </w:r>
    </w:p>
    <w:p w14:paraId="0D79CC33"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Powinno się zainstalować odpowiednie systemy łączności, łączące stanowisko kierowania i centrum operacyjne w sytuacji zagrożenia (jeśli są ustanowione) ze wszystkimi innymi centrami i organizacjami biorącymi udział w działaniu ratowniczym, zgodnie z planem i konkretnymi potrzebami lotniska.</w:t>
      </w:r>
    </w:p>
    <w:p w14:paraId="149B6B17"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Wykorzystywane systemy łączności powinny zawierać wystarczającą liczbę radiowych zestawów nadawczo-odbiorczych, telefonów i innych urządzeń łączności do ustanowienia i utrzymania zasadniczych i zapasowych środków łączności;</w:t>
      </w:r>
    </w:p>
    <w:p w14:paraId="29680B6D"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Zadaniem systemów łączności jest zapewnienie zasadniczych, a w razie potrzeby, zapasowych środków do skutecznej, bezpośredniej komunikacji pomiędzy, odpowiednio:</w:t>
      </w:r>
    </w:p>
    <w:p w14:paraId="178B25A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organem ostrzegania i jednostkami ratowniczo-gaśniczymi obsługującymi lotnisko;</w:t>
      </w:r>
    </w:p>
    <w:p w14:paraId="5030FF7D" w14:textId="1B9F661C"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organem służb ruchu lotniczego, właściwym centrum</w:t>
      </w:r>
      <w:r w:rsidR="002E1847" w:rsidRPr="009E064B">
        <w:rPr>
          <w:rFonts w:asciiTheme="minorHAnsi" w:eastAsia="Calibri" w:hAnsiTheme="minorHAnsi" w:cstheme="minorHAnsi"/>
        </w:rPr>
        <w:t> </w:t>
      </w:r>
      <w:r w:rsidRPr="009E064B">
        <w:rPr>
          <w:rFonts w:asciiTheme="minorHAnsi" w:eastAsia="Calibri" w:hAnsiTheme="minorHAnsi" w:cstheme="minorHAnsi"/>
        </w:rPr>
        <w:t>/</w:t>
      </w:r>
      <w:r w:rsidR="002E1847" w:rsidRPr="009E064B">
        <w:rPr>
          <w:rFonts w:asciiTheme="minorHAnsi" w:eastAsia="Calibri" w:hAnsiTheme="minorHAnsi" w:cstheme="minorHAnsi"/>
        </w:rPr>
        <w:t> </w:t>
      </w:r>
      <w:r w:rsidRPr="009E064B">
        <w:rPr>
          <w:rFonts w:asciiTheme="minorHAnsi" w:eastAsia="Calibri" w:hAnsiTheme="minorHAnsi" w:cstheme="minorHAnsi"/>
        </w:rPr>
        <w:t>pomieszczeniem dyspozytorskim komendy straży pożarnej i załogami gaśniczymi i ratowniczymi w drodze do zagrożonego statku powietrznego i na miejscu wypadku</w:t>
      </w:r>
      <w:r w:rsidR="002E1847" w:rsidRPr="009E064B">
        <w:rPr>
          <w:rFonts w:asciiTheme="minorHAnsi" w:eastAsia="Calibri" w:hAnsiTheme="minorHAnsi" w:cstheme="minorHAnsi"/>
        </w:rPr>
        <w:t> </w:t>
      </w:r>
      <w:r w:rsidRPr="009E064B">
        <w:rPr>
          <w:rFonts w:asciiTheme="minorHAnsi" w:eastAsia="Calibri" w:hAnsiTheme="minorHAnsi" w:cstheme="minorHAnsi"/>
        </w:rPr>
        <w:t>/</w:t>
      </w:r>
      <w:r w:rsidR="002E1847" w:rsidRPr="009E064B">
        <w:rPr>
          <w:rFonts w:asciiTheme="minorHAnsi" w:eastAsia="Calibri" w:hAnsiTheme="minorHAnsi" w:cstheme="minorHAnsi"/>
        </w:rPr>
        <w:t> </w:t>
      </w:r>
      <w:r w:rsidRPr="009E064B">
        <w:rPr>
          <w:rFonts w:asciiTheme="minorHAnsi" w:eastAsia="Calibri" w:hAnsiTheme="minorHAnsi" w:cstheme="minorHAnsi"/>
        </w:rPr>
        <w:t>incydentu;</w:t>
      </w:r>
    </w:p>
    <w:p w14:paraId="02C64D9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odpowiednimi organizacjami wzajemnej pomocy znajdującymi się na lub poza lotniskiem, w tym procedury ostrzegania dla całego personelu pomocniczego planowanego do podjęcia działań; oraz</w:t>
      </w:r>
    </w:p>
    <w:p w14:paraId="0C9BFC11"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pojazdami służb ratowniczo-gaśniczych, łącznie z możliwością komunikowania się między członkami załóg każdego z tych pojazdów.</w:t>
      </w:r>
    </w:p>
    <w:p w14:paraId="5721D9F7" w14:textId="3500C2F6"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Powinien być ustanowiony system łączności w celu zapewnienia szybkiego użycia sprzętu i wyposażenia alarmowego do wypadków i incydentów mających</w:t>
      </w:r>
      <w:r w:rsidR="002E1847" w:rsidRPr="009E064B">
        <w:rPr>
          <w:rFonts w:asciiTheme="minorHAnsi" w:eastAsia="Calibri" w:hAnsiTheme="minorHAnsi" w:cstheme="minorHAnsi"/>
        </w:rPr>
        <w:t xml:space="preserve"> miejsce na terenie terminala i </w:t>
      </w:r>
      <w:r w:rsidRPr="009E064B">
        <w:rPr>
          <w:rFonts w:asciiTheme="minorHAnsi" w:eastAsia="Calibri" w:hAnsiTheme="minorHAnsi" w:cstheme="minorHAnsi"/>
        </w:rPr>
        <w:t>na płycie postojowej. Wypadki na płycie postojowej obej</w:t>
      </w:r>
      <w:r w:rsidR="00D12A54" w:rsidRPr="009E064B">
        <w:rPr>
          <w:rFonts w:asciiTheme="minorHAnsi" w:eastAsia="Calibri" w:hAnsiTheme="minorHAnsi" w:cstheme="minorHAnsi"/>
        </w:rPr>
        <w:t>mują pożar w kabinie, wycieki i </w:t>
      </w:r>
      <w:r w:rsidRPr="009E064B">
        <w:rPr>
          <w:rFonts w:asciiTheme="minorHAnsi" w:eastAsia="Calibri" w:hAnsiTheme="minorHAnsi" w:cstheme="minorHAnsi"/>
        </w:rPr>
        <w:t>pożary paliwa przy tankowaniu, kolizje statków powietrznych i pojazdów oraz zagrożenia medyczne.</w:t>
      </w:r>
    </w:p>
    <w:p w14:paraId="48B3B5A2"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Systemy łączności używane w sytuacjach zagrożenia powinny być regularnie testowane w celu sprawdzenia działania wszystkich sieci radiowych i telefonicznych.</w:t>
      </w:r>
    </w:p>
    <w:p w14:paraId="314BDB66" w14:textId="5122AD34"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Pełna i aktualna lista numerów telefonicznych do łączności między agencjami (organizacjami) powinna być dostępne dla wszystkich organizacji i osób odpowiedzialnych za plan </w:t>
      </w:r>
      <w:r w:rsidR="00096164" w:rsidRPr="009E064B">
        <w:rPr>
          <w:rFonts w:asciiTheme="minorHAnsi" w:eastAsia="Calibri" w:hAnsiTheme="minorHAnsi" w:cstheme="minorHAnsi"/>
        </w:rPr>
        <w:t>działania w </w:t>
      </w:r>
      <w:r w:rsidR="001359B5" w:rsidRPr="009E064B">
        <w:rPr>
          <w:rFonts w:asciiTheme="minorHAnsi" w:eastAsia="Calibri" w:hAnsiTheme="minorHAnsi" w:cstheme="minorHAnsi"/>
        </w:rPr>
        <w:t>sytuacjach zagrożenia dla lotniska</w:t>
      </w:r>
      <w:r w:rsidRPr="009E064B">
        <w:rPr>
          <w:rFonts w:asciiTheme="minorHAnsi" w:eastAsia="Calibri" w:hAnsiTheme="minorHAnsi" w:cstheme="minorHAnsi"/>
        </w:rPr>
        <w:t xml:space="preserve">, w celu zapewnienia szybkiego powiadamiania w przypadkach wystąpienia zagrożenia. Numery te powinny być często weryfikowane, aby zapewnić, że są prawidłowe. Zaktualizowane listy powinny być w sposób ciągły rozsyłane do wszystkich uczestników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462C9FD6" w14:textId="2DD7D247" w:rsidR="00B0686B" w:rsidRPr="009E064B" w:rsidRDefault="00B0686B" w:rsidP="00133B99">
      <w:pPr>
        <w:pStyle w:val="Nagwek6"/>
      </w:pPr>
      <w:bookmarkStart w:id="555" w:name="_Toc492024699"/>
      <w:bookmarkStart w:id="556" w:name="_Toc12532803"/>
      <w:r w:rsidRPr="009E064B">
        <w:t xml:space="preserve">GM1 ADR.OPS.B.005(c)    </w:t>
      </w:r>
      <w:r w:rsidR="004002F9" w:rsidRPr="009E064B">
        <w:t xml:space="preserve"> </w:t>
      </w:r>
      <w:r w:rsidRPr="009E064B">
        <w:t xml:space="preserve">Plan </w:t>
      </w:r>
      <w:r w:rsidR="001359B5" w:rsidRPr="009E064B">
        <w:t>działania w sytuacjach zagrożenia dla lotniska</w:t>
      </w:r>
      <w:bookmarkEnd w:id="555"/>
      <w:bookmarkEnd w:id="556"/>
    </w:p>
    <w:p w14:paraId="38FCAF08" w14:textId="152A7629"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0D39B06"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SYTUACJE ZAGROŻENIA W TRUDNYM TERENIE</w:t>
      </w:r>
    </w:p>
    <w:p w14:paraId="60EF1C34" w14:textId="526B7064"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Na tych lotniskach, które są położone w pobliżu wody i/lub obszarów bagnistych lub trudnego terenu, plan działania w sytuacjach zagrożenia powinien obejmować usta</w:t>
      </w:r>
      <w:r w:rsidR="002E1847" w:rsidRPr="009E064B">
        <w:rPr>
          <w:rFonts w:asciiTheme="minorHAnsi" w:eastAsia="Calibri" w:hAnsiTheme="minorHAnsi" w:cstheme="minorHAnsi"/>
        </w:rPr>
        <w:t>nowienie, testowanie i ocenę, w </w:t>
      </w:r>
      <w:r w:rsidRPr="009E064B">
        <w:rPr>
          <w:rFonts w:asciiTheme="minorHAnsi" w:eastAsia="Calibri" w:hAnsiTheme="minorHAnsi" w:cstheme="minorHAnsi"/>
        </w:rPr>
        <w:t>regularnych odstępach czasu, określonego działania specjalistycznych służb ratowniczych.</w:t>
      </w:r>
    </w:p>
    <w:p w14:paraId="5019EDBA" w14:textId="2827A0D1" w:rsidR="00B0686B" w:rsidRPr="009E064B" w:rsidRDefault="00B0686B" w:rsidP="00133B99">
      <w:pPr>
        <w:pStyle w:val="Nagwek6"/>
      </w:pPr>
      <w:bookmarkStart w:id="557" w:name="_Toc492024700"/>
      <w:bookmarkStart w:id="558" w:name="_Toc12532804"/>
      <w:r w:rsidRPr="009E064B">
        <w:t xml:space="preserve">GM2 ADR.OPS.B.005(c)    </w:t>
      </w:r>
      <w:r w:rsidR="004002F9" w:rsidRPr="009E064B">
        <w:t xml:space="preserve"> </w:t>
      </w:r>
      <w:r w:rsidRPr="009E064B">
        <w:t xml:space="preserve">Plan </w:t>
      </w:r>
      <w:r w:rsidR="001359B5" w:rsidRPr="009E064B">
        <w:t>działania w sytuacjach zagrożenia dla lotniska</w:t>
      </w:r>
      <w:bookmarkEnd w:id="557"/>
      <w:bookmarkEnd w:id="558"/>
    </w:p>
    <w:p w14:paraId="0DC1D58F" w14:textId="2E07A8FA"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02A9262"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ĆWICZENIA W ZAKRESIE DZIAŁANIA W SYTUACJACH ZAGROŻENIA</w:t>
      </w:r>
    </w:p>
    <w:p w14:paraId="5C3EA5B9"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Ćwiczenia kompleksowe</w:t>
      </w:r>
    </w:p>
    <w:p w14:paraId="6A68882A"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Celem ćwiczeń kompleksowych jest zapewnienie adekwatności planu do poradzenia sobie z różnymi rodzajami zagrożeń.</w:t>
      </w:r>
    </w:p>
    <w:p w14:paraId="473CAAE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Ćwiczenia kompleksowe powinny być wspierane przez wszystkie zainteresowane organy lotniska i organy społeczne.</w:t>
      </w:r>
    </w:p>
    <w:p w14:paraId="7D75D647"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Cele ćwiczenia powinny być zdefiniowane.</w:t>
      </w:r>
    </w:p>
    <w:p w14:paraId="2CAA6AFD" w14:textId="49F642A4"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Zaangażowane wydziały (komendy) i organizacje powin</w:t>
      </w:r>
      <w:r w:rsidR="002E1847" w:rsidRPr="009E064B">
        <w:rPr>
          <w:rFonts w:asciiTheme="minorHAnsi" w:eastAsia="Calibri" w:hAnsiTheme="minorHAnsi" w:cstheme="minorHAnsi"/>
        </w:rPr>
        <w:t>ny być dokładnie zaznajomione z </w:t>
      </w:r>
      <w:r w:rsidRPr="009E064B">
        <w:rPr>
          <w:rFonts w:asciiTheme="minorHAnsi" w:eastAsia="Calibri" w:hAnsiTheme="minorHAnsi" w:cstheme="minorHAnsi"/>
        </w:rPr>
        <w:t xml:space="preserve">planem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oraz opracować indywidualne plany w koordynacji z planem ogólnym.</w:t>
      </w:r>
    </w:p>
    <w:p w14:paraId="20D735DE" w14:textId="62BA9B91"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 xml:space="preserve">Ćwiczenia w zakresie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powinny odbywać się w miejscach, które zapewniają maksimum realizmu, zapewniając jednocześnie minimalne zakłócenia w prowadzonych operacjach lotniskowych. Powinny być wykorzystane różne scenariusze, zgodnie z opisanymi w dokumencie: plan </w:t>
      </w:r>
      <w:r w:rsidR="00371A8B" w:rsidRPr="009E064B">
        <w:rPr>
          <w:rFonts w:asciiTheme="minorHAnsi" w:eastAsia="Calibri" w:hAnsiTheme="minorHAnsi" w:cstheme="minorHAnsi"/>
        </w:rPr>
        <w:t>działania w </w:t>
      </w:r>
      <w:r w:rsidR="001359B5" w:rsidRPr="009E064B">
        <w:rPr>
          <w:rFonts w:asciiTheme="minorHAnsi" w:eastAsia="Calibri" w:hAnsiTheme="minorHAnsi" w:cstheme="minorHAnsi"/>
        </w:rPr>
        <w:t>sytuacjach zagrożenia dla lotniska</w:t>
      </w:r>
      <w:r w:rsidRPr="009E064B">
        <w:rPr>
          <w:rFonts w:asciiTheme="minorHAnsi" w:eastAsia="Calibri" w:hAnsiTheme="minorHAnsi" w:cstheme="minorHAnsi"/>
        </w:rPr>
        <w:t xml:space="preserve">. Ćwiczenie może się odbyć na lotnisku w ciągu dnia lub w nocy i w różnych porach roku, kiedy zmiany sezonowe mogą stanowić dodatkowe wyzwania. </w:t>
      </w:r>
      <w:r w:rsidR="002E1847" w:rsidRPr="009E064B">
        <w:rPr>
          <w:rFonts w:asciiTheme="minorHAnsi" w:eastAsia="Calibri" w:hAnsiTheme="minorHAnsi" w:cstheme="minorHAnsi"/>
        </w:rPr>
        <w:br/>
      </w:r>
      <w:r w:rsidRPr="009E064B">
        <w:rPr>
          <w:rFonts w:asciiTheme="minorHAnsi" w:eastAsia="Calibri" w:hAnsiTheme="minorHAnsi" w:cstheme="minorHAnsi"/>
        </w:rPr>
        <w:t>Aby przetestować różne scenariusze, ćwiczenia mogą odbywać się zarów</w:t>
      </w:r>
      <w:r w:rsidR="002E1847" w:rsidRPr="009E064B">
        <w:rPr>
          <w:rFonts w:asciiTheme="minorHAnsi" w:eastAsia="Calibri" w:hAnsiTheme="minorHAnsi" w:cstheme="minorHAnsi"/>
        </w:rPr>
        <w:t>no na lotnisku lub w </w:t>
      </w:r>
      <w:r w:rsidRPr="009E064B">
        <w:rPr>
          <w:rFonts w:asciiTheme="minorHAnsi" w:eastAsia="Calibri" w:hAnsiTheme="minorHAnsi" w:cstheme="minorHAnsi"/>
        </w:rPr>
        <w:t>jego pobliżu.</w:t>
      </w:r>
    </w:p>
    <w:p w14:paraId="7B3A43D6" w14:textId="416BCD5B"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 xml:space="preserve">W celu uzyskania maksymalnych korzyści z ćwiczenia kompleksowego, cały przebieg wydarzeń powinien zostać poddany przeglądowi. Powinien być zorganizowany zespół obserwatorów do przeprowadzenia analizy krytycznej składający się z członków, którzy są zaznajomieni z postępowaniem w wypadkach skutkujących masową ilością ofiar. Każdy członek zespołu obserwatorów do przeprowadzenia analizy krytycznej powinien obserwować cały przebieg ćwiczenia i wypełnić odpowiednie formularze ankiety z działań w sytuacjach zagrożenia. Po ćwiczeniu, tak szybko, jak to dogodne, powinno się odbyć spotkanie zespołu obserwatorów do przeprowadzenia analizy krytycznej, na którym członkowie zespołu mogą przedstawić swoje uwagi i zalecenia dotyczące poprawy procedur wynikających z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jak i samego dokumentu „Plan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05495FC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Po ćwiczeniu należy przeprowadzić pełną odprawę z omówieniem wyników, analizę krytyczną i inne analizy. Ważne jest, aby przedstawiciele wszystkich organizacji, które uczestniczą w ćwiczeniu, aktywnie uczestniczyli w analizie krytycznej.</w:t>
      </w:r>
    </w:p>
    <w:p w14:paraId="6AED2D70" w14:textId="3FD8B483"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Ćwiczenia częściowe w zakresie </w:t>
      </w:r>
      <w:r w:rsidR="001359B5" w:rsidRPr="009E064B">
        <w:rPr>
          <w:rFonts w:asciiTheme="minorHAnsi" w:eastAsia="Calibri" w:hAnsiTheme="minorHAnsi" w:cstheme="minorHAnsi"/>
        </w:rPr>
        <w:t>działania w sytuacjach zagrożenia dla lotniska</w:t>
      </w:r>
    </w:p>
    <w:p w14:paraId="27F5061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Celem ćwiczeń częściowych jest zapewnienie odpowiednich działań ze strony poszczególnych agencji (organizacji) uczestniczących w działaniu ratowniczym oraz sprawdzenie poszczególnych elementów planu.</w:t>
      </w:r>
    </w:p>
    <w:p w14:paraId="7DF7897A" w14:textId="39AAE9B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 xml:space="preserve">Ćwiczenia częściowe w zakresie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powinny obejmować, co najmniej, jeden organ, np. służby ratowniczo-gaśnicze, lub jednostkę medyczną, lub, w stosownych przypadkach, połączenie kilku organów.</w:t>
      </w:r>
    </w:p>
    <w:p w14:paraId="1C620775" w14:textId="6A8499FD"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 xml:space="preserve">Częściowe ćwiczenia w zakresie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powinny zapewnić, że wszelkie braki wykryte podczas ćwiczenia kompleksowego w zakresie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zostały poprawione.</w:t>
      </w:r>
    </w:p>
    <w:p w14:paraId="77C4C9F9"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Ćwiczenia teoretyczne (sztabowe)</w:t>
      </w:r>
    </w:p>
    <w:p w14:paraId="538557AE" w14:textId="77777777"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Ćwiczenia teoretyczne powinny odbywać się w regularnych odstępach czasu. Celem tych ćwiczeń powinno być sprawdzenie, czy zadania i procedury są jasne i zrozumiałe. Ćwiczenia te są dobrą okazją do przetestowania nowych lub zmienionych procedur, przed ich wdrożeniem lub realizacji przygotowań do kompleksowych ćwiczeń działania w sytuacjach zagrożenia.</w:t>
      </w:r>
    </w:p>
    <w:p w14:paraId="3D81A2BA" w14:textId="52C4FC30" w:rsidR="00DC7DA6" w:rsidRPr="009E064B" w:rsidRDefault="00DE05DC" w:rsidP="00B06A9A">
      <w:pPr>
        <w:pStyle w:val="Nagwek3"/>
      </w:pPr>
      <w:bookmarkStart w:id="559" w:name="_ADR.OPS.B.010__"/>
      <w:bookmarkStart w:id="560" w:name="_Toc12532805"/>
      <w:bookmarkEnd w:id="559"/>
      <w:r w:rsidRPr="009E064B">
        <w:t xml:space="preserve">ADR.OPS.B.010 </w:t>
      </w:r>
      <w:r w:rsidR="004002F9" w:rsidRPr="009E064B">
        <w:t xml:space="preserve">    </w:t>
      </w:r>
      <w:r w:rsidRPr="009E064B">
        <w:t>Służby ratowniczo-gaśnicze</w:t>
      </w:r>
      <w:bookmarkEnd w:id="560"/>
    </w:p>
    <w:p w14:paraId="314C7E5B" w14:textId="5480DF04"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E983928" w14:textId="2251EDF2"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Operator lotniska zapewnia, </w:t>
      </w:r>
      <w:r w:rsidR="000209A8">
        <w:rPr>
          <w:rFonts w:asciiTheme="minorHAnsi" w:hAnsiTheme="minorHAnsi" w:cstheme="minorHAnsi"/>
          <w:sz w:val="22"/>
          <w:szCs w:val="22"/>
        </w:rPr>
        <w:t>a</w:t>
      </w:r>
      <w:r w:rsidR="00DE05DC" w:rsidRPr="009E064B">
        <w:rPr>
          <w:rFonts w:asciiTheme="minorHAnsi" w:hAnsiTheme="minorHAnsi" w:cstheme="minorHAnsi"/>
          <w:sz w:val="22"/>
          <w:szCs w:val="22"/>
        </w:rPr>
        <w:t>by:</w:t>
      </w:r>
    </w:p>
    <w:p w14:paraId="10D5940B" w14:textId="7802D40A"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zapewniono służby oraz wyposażenie i obiekty ratownicze i gaśnicze;</w:t>
      </w:r>
    </w:p>
    <w:p w14:paraId="6C9D1BAC" w14:textId="1F8D6BDC" w:rsidR="00DC7DA6" w:rsidRPr="000209A8"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AF6AC7" w:rsidRPr="009E064B">
        <w:rPr>
          <w:rFonts w:asciiTheme="minorHAnsi" w:eastAsia="Times New Roman" w:hAnsiTheme="minorHAnsi" w:cstheme="minorHAnsi"/>
          <w:szCs w:val="20"/>
        </w:rPr>
        <w:tab/>
      </w:r>
      <w:r w:rsidR="00DE05DC" w:rsidRPr="000209A8">
        <w:rPr>
          <w:rFonts w:asciiTheme="minorHAnsi" w:eastAsia="Times New Roman" w:hAnsiTheme="minorHAnsi" w:cstheme="minorHAnsi"/>
          <w:szCs w:val="20"/>
        </w:rPr>
        <w:t>odpowiednie wyposażenie, środki gaśnicze i wystarczający personel były dostępne na czas;</w:t>
      </w:r>
    </w:p>
    <w:p w14:paraId="623B7FBB" w14:textId="414773DE" w:rsidR="00DC7DA6" w:rsidRPr="000209A8" w:rsidRDefault="00371A8B" w:rsidP="00B06A9A">
      <w:pPr>
        <w:tabs>
          <w:tab w:val="left" w:pos="993"/>
        </w:tabs>
        <w:ind w:left="993" w:right="-2" w:hanging="425"/>
        <w:rPr>
          <w:rFonts w:asciiTheme="minorHAnsi" w:eastAsia="Times New Roman" w:hAnsiTheme="minorHAnsi" w:cstheme="minorHAnsi"/>
          <w:szCs w:val="20"/>
        </w:rPr>
      </w:pPr>
      <w:r w:rsidRPr="000209A8">
        <w:rPr>
          <w:rFonts w:asciiTheme="minorHAnsi" w:eastAsia="Times New Roman" w:hAnsiTheme="minorHAnsi" w:cstheme="minorHAnsi"/>
          <w:szCs w:val="20"/>
        </w:rPr>
        <w:t>(</w:t>
      </w:r>
      <w:r w:rsidR="00DE0098" w:rsidRPr="000209A8">
        <w:rPr>
          <w:rFonts w:asciiTheme="minorHAnsi" w:eastAsia="Times New Roman" w:hAnsiTheme="minorHAnsi" w:cstheme="minorHAnsi"/>
          <w:szCs w:val="20"/>
        </w:rPr>
        <w:t xml:space="preserve">3) </w:t>
      </w:r>
      <w:r w:rsidR="00AF6AC7" w:rsidRPr="000209A8">
        <w:rPr>
          <w:rFonts w:asciiTheme="minorHAnsi" w:eastAsia="Times New Roman" w:hAnsiTheme="minorHAnsi" w:cstheme="minorHAnsi"/>
          <w:szCs w:val="20"/>
        </w:rPr>
        <w:tab/>
      </w:r>
      <w:r w:rsidR="00DE05DC" w:rsidRPr="000209A8">
        <w:rPr>
          <w:rFonts w:asciiTheme="minorHAnsi" w:eastAsia="Times New Roman" w:hAnsiTheme="minorHAnsi" w:cstheme="minorHAnsi"/>
          <w:szCs w:val="20"/>
        </w:rPr>
        <w:t>personel ratowniczy</w:t>
      </w:r>
      <w:r w:rsidR="005345FD">
        <w:rPr>
          <w:rFonts w:asciiTheme="minorHAnsi" w:eastAsia="Times New Roman" w:hAnsiTheme="minorHAnsi" w:cstheme="minorHAnsi"/>
          <w:szCs w:val="20"/>
        </w:rPr>
        <w:t>-</w:t>
      </w:r>
      <w:r w:rsidR="00DE05DC" w:rsidRPr="000209A8">
        <w:rPr>
          <w:rFonts w:asciiTheme="minorHAnsi" w:eastAsia="Times New Roman" w:hAnsiTheme="minorHAnsi" w:cstheme="minorHAnsi"/>
          <w:szCs w:val="20"/>
        </w:rPr>
        <w:t>gaśniczy był odpowie</w:t>
      </w:r>
      <w:r w:rsidR="002E1847" w:rsidRPr="000209A8">
        <w:rPr>
          <w:rFonts w:asciiTheme="minorHAnsi" w:eastAsia="Times New Roman" w:hAnsiTheme="minorHAnsi" w:cstheme="minorHAnsi"/>
          <w:szCs w:val="20"/>
        </w:rPr>
        <w:t>dnio przeszkolony, wyposażony i </w:t>
      </w:r>
      <w:r w:rsidR="00DE05DC" w:rsidRPr="000209A8">
        <w:rPr>
          <w:rFonts w:asciiTheme="minorHAnsi" w:eastAsia="Times New Roman" w:hAnsiTheme="minorHAnsi" w:cstheme="minorHAnsi"/>
          <w:szCs w:val="20"/>
        </w:rPr>
        <w:t>wykwalifikowany do działania w środowisku lotniska; oraz</w:t>
      </w:r>
    </w:p>
    <w:p w14:paraId="1FA018A7" w14:textId="3F4B6DB7"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0209A8">
        <w:rPr>
          <w:rFonts w:asciiTheme="minorHAnsi" w:eastAsia="Times New Roman" w:hAnsiTheme="minorHAnsi" w:cstheme="minorHAnsi"/>
          <w:szCs w:val="20"/>
        </w:rPr>
        <w:t>(</w:t>
      </w:r>
      <w:r w:rsidR="00DE0098" w:rsidRPr="000209A8">
        <w:rPr>
          <w:rFonts w:asciiTheme="minorHAnsi" w:eastAsia="Times New Roman" w:hAnsiTheme="minorHAnsi" w:cstheme="minorHAnsi"/>
          <w:szCs w:val="20"/>
        </w:rPr>
        <w:t xml:space="preserve">4) </w:t>
      </w:r>
      <w:r w:rsidR="00AF6AC7" w:rsidRPr="000209A8">
        <w:rPr>
          <w:rFonts w:asciiTheme="minorHAnsi" w:eastAsia="Times New Roman" w:hAnsiTheme="minorHAnsi" w:cstheme="minorHAnsi"/>
          <w:szCs w:val="20"/>
        </w:rPr>
        <w:tab/>
      </w:r>
      <w:r w:rsidR="00DE05DC" w:rsidRPr="000209A8">
        <w:rPr>
          <w:rFonts w:asciiTheme="minorHAnsi" w:eastAsia="Times New Roman" w:hAnsiTheme="minorHAnsi" w:cstheme="minorHAnsi"/>
          <w:szCs w:val="20"/>
        </w:rPr>
        <w:t>członkowie personelu ratowniczego</w:t>
      </w:r>
      <w:r w:rsidR="005345FD">
        <w:rPr>
          <w:rFonts w:asciiTheme="minorHAnsi" w:eastAsia="Times New Roman" w:hAnsiTheme="minorHAnsi" w:cstheme="minorHAnsi"/>
          <w:szCs w:val="20"/>
        </w:rPr>
        <w:t>-</w:t>
      </w:r>
      <w:r w:rsidR="00DE05DC" w:rsidRPr="000209A8">
        <w:rPr>
          <w:rFonts w:asciiTheme="minorHAnsi" w:eastAsia="Times New Roman" w:hAnsiTheme="minorHAnsi" w:cstheme="minorHAnsi"/>
          <w:szCs w:val="20"/>
        </w:rPr>
        <w:t xml:space="preserve">gaśniczego, od których potencjalnie wymaga się udziału w </w:t>
      </w:r>
      <w:r w:rsidR="00D41635" w:rsidRPr="000209A8">
        <w:rPr>
          <w:rFonts w:asciiTheme="minorHAnsi" w:eastAsia="Times New Roman" w:hAnsiTheme="minorHAnsi" w:cstheme="minorHAnsi"/>
          <w:szCs w:val="20"/>
        </w:rPr>
        <w:t>działaniach ratowniczych</w:t>
      </w:r>
      <w:r w:rsidR="00DE05DC" w:rsidRPr="000209A8">
        <w:rPr>
          <w:rFonts w:asciiTheme="minorHAnsi" w:eastAsia="Times New Roman" w:hAnsiTheme="minorHAnsi" w:cstheme="minorHAnsi"/>
          <w:szCs w:val="20"/>
        </w:rPr>
        <w:t xml:space="preserve"> w lotnictwie, przechodzili badania lekarskie potwierdzające stan zdrowotny umożliwiający</w:t>
      </w:r>
      <w:r w:rsidR="00DE05DC" w:rsidRPr="009E064B">
        <w:rPr>
          <w:rFonts w:asciiTheme="minorHAnsi" w:eastAsia="Times New Roman" w:hAnsiTheme="minorHAnsi" w:cstheme="minorHAnsi"/>
          <w:szCs w:val="20"/>
        </w:rPr>
        <w:t xml:space="preserve"> wykonywanie powierzonych zada</w:t>
      </w:r>
      <w:r w:rsidR="003C4611" w:rsidRPr="009E064B">
        <w:rPr>
          <w:rFonts w:asciiTheme="minorHAnsi" w:eastAsia="Times New Roman" w:hAnsiTheme="minorHAnsi" w:cstheme="minorHAnsi"/>
          <w:szCs w:val="20"/>
        </w:rPr>
        <w:t xml:space="preserve">ń, </w:t>
      </w:r>
      <w:r w:rsidRPr="009E064B">
        <w:rPr>
          <w:rFonts w:asciiTheme="minorHAnsi" w:eastAsia="Times New Roman" w:hAnsiTheme="minorHAnsi" w:cstheme="minorHAnsi"/>
          <w:szCs w:val="20"/>
        </w:rPr>
        <w:t>z </w:t>
      </w:r>
      <w:r w:rsidR="00DE05DC" w:rsidRPr="009E064B">
        <w:rPr>
          <w:rFonts w:asciiTheme="minorHAnsi" w:eastAsia="Times New Roman" w:hAnsiTheme="minorHAnsi" w:cstheme="minorHAnsi"/>
          <w:szCs w:val="20"/>
        </w:rPr>
        <w:t>uwzględnieniem rodzaju działalności.</w:t>
      </w:r>
    </w:p>
    <w:p w14:paraId="5BDE91D6" w14:textId="033427CA"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opracowuje i wdraża program szkole</w:t>
      </w:r>
      <w:r w:rsidRPr="009E064B">
        <w:rPr>
          <w:rFonts w:asciiTheme="minorHAnsi" w:hAnsiTheme="minorHAnsi" w:cstheme="minorHAnsi"/>
          <w:sz w:val="22"/>
          <w:szCs w:val="22"/>
        </w:rPr>
        <w:t>niowy dla osób zaangażowanych w </w:t>
      </w:r>
      <w:r w:rsidR="00DE05DC" w:rsidRPr="009E064B">
        <w:rPr>
          <w:rFonts w:asciiTheme="minorHAnsi" w:hAnsiTheme="minorHAnsi" w:cstheme="minorHAnsi"/>
          <w:sz w:val="22"/>
          <w:szCs w:val="22"/>
        </w:rPr>
        <w:t>służby ratowniczo-gaśnicze na lotnisku;</w:t>
      </w:r>
    </w:p>
    <w:p w14:paraId="048DB06A" w14:textId="02E72489"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c)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realizuje sprawdziany umiejętności w odpowiednich odstępach czasu, aby zapewnić zachowanie kompetencji;</w:t>
      </w:r>
    </w:p>
    <w:p w14:paraId="4AB574AD" w14:textId="78715F6E"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d)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zapewnia, by:</w:t>
      </w:r>
    </w:p>
    <w:p w14:paraId="2E49E418" w14:textId="3066F0A0"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 realizacji programu szkolenia wyznaczeni zostali odpowiednio wykwalifikowan</w:t>
      </w:r>
      <w:r w:rsidR="002E1847" w:rsidRPr="009E064B">
        <w:rPr>
          <w:rFonts w:asciiTheme="minorHAnsi" w:eastAsia="Times New Roman" w:hAnsiTheme="minorHAnsi" w:cstheme="minorHAnsi"/>
          <w:szCs w:val="20"/>
        </w:rPr>
        <w:t>i i </w:t>
      </w:r>
      <w:r w:rsidR="00AE78D6" w:rsidRPr="009E064B">
        <w:rPr>
          <w:rFonts w:asciiTheme="minorHAnsi" w:eastAsia="Times New Roman" w:hAnsiTheme="minorHAnsi" w:cstheme="minorHAnsi"/>
          <w:szCs w:val="20"/>
        </w:rPr>
        <w:t xml:space="preserve">doświadczeni instruktorzy i konsultanci; </w:t>
      </w:r>
      <w:r w:rsidR="00DE05DC" w:rsidRPr="009E064B">
        <w:rPr>
          <w:rFonts w:asciiTheme="minorHAnsi" w:eastAsia="Times New Roman" w:hAnsiTheme="minorHAnsi" w:cstheme="minorHAnsi"/>
          <w:szCs w:val="20"/>
        </w:rPr>
        <w:t>oraz</w:t>
      </w:r>
    </w:p>
    <w:p w14:paraId="63C03EFD" w14:textId="7829EB16"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do prowadzenia szkoleń wykorzystywane były odpowiednie obiekty i środki.</w:t>
      </w:r>
    </w:p>
    <w:p w14:paraId="613D5AAE" w14:textId="7B2C9756"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e) </w:t>
      </w:r>
      <w:r w:rsidR="00AF6AC7" w:rsidRPr="009E064B">
        <w:rPr>
          <w:rFonts w:asciiTheme="minorHAnsi" w:hAnsiTheme="minorHAnsi" w:cstheme="minorHAnsi"/>
          <w:sz w:val="22"/>
          <w:szCs w:val="22"/>
        </w:rPr>
        <w:tab/>
      </w:r>
      <w:r w:rsidR="00AE78D6" w:rsidRPr="009E064B">
        <w:rPr>
          <w:rFonts w:asciiTheme="minorHAnsi" w:hAnsiTheme="minorHAnsi" w:cstheme="minorHAnsi"/>
          <w:sz w:val="22"/>
          <w:szCs w:val="22"/>
        </w:rPr>
        <w:t>Operator</w:t>
      </w:r>
      <w:r w:rsidR="00DE05DC" w:rsidRPr="009E064B">
        <w:rPr>
          <w:rFonts w:asciiTheme="minorHAnsi" w:hAnsiTheme="minorHAnsi" w:cstheme="minorHAnsi"/>
          <w:sz w:val="22"/>
          <w:szCs w:val="22"/>
        </w:rPr>
        <w:t xml:space="preserve"> lotniska:</w:t>
      </w:r>
    </w:p>
    <w:p w14:paraId="09CCBF33" w14:textId="78B6B14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prowadzi odpowiednie rejestry kwalifikacji, szkoleń i sprawdzianów umiejętności w celu wykazania zgodności z niniejszym wymaganiem;</w:t>
      </w:r>
    </w:p>
    <w:p w14:paraId="0ECFAFEB" w14:textId="13BB03ED"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na żą</w:t>
      </w:r>
      <w:r w:rsidR="007D2B91" w:rsidRPr="009E064B">
        <w:rPr>
          <w:rFonts w:asciiTheme="minorHAnsi" w:eastAsia="Times New Roman" w:hAnsiTheme="minorHAnsi" w:cstheme="minorHAnsi"/>
          <w:szCs w:val="20"/>
        </w:rPr>
        <w:t xml:space="preserve">danie </w:t>
      </w:r>
      <w:r w:rsidR="00DE05DC" w:rsidRPr="009E064B">
        <w:rPr>
          <w:rFonts w:asciiTheme="minorHAnsi" w:eastAsia="Times New Roman" w:hAnsiTheme="minorHAnsi" w:cstheme="minorHAnsi"/>
          <w:szCs w:val="20"/>
        </w:rPr>
        <w:t>udostępnia dany rejestr zainteresowanym pracownikom; oraz</w:t>
      </w:r>
    </w:p>
    <w:p w14:paraId="509C7A2D" w14:textId="08925193"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3)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w przypadku zatrudnienia danej osoby przez innego pracodawcę, udostępnia rejestr dotyczący tej osoby nowemu pracodawcy, na jego żądanie.</w:t>
      </w:r>
    </w:p>
    <w:p w14:paraId="1E07E5D8" w14:textId="705029E6" w:rsidR="00DC7DA6" w:rsidRPr="009E064B" w:rsidRDefault="00371A8B" w:rsidP="00B06A9A">
      <w:pPr>
        <w:tabs>
          <w:tab w:val="left" w:pos="567"/>
        </w:tabs>
        <w:ind w:left="567" w:right="-2" w:hanging="567"/>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f)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Tymczasowe zmniejszenie poziomu ochrony zapewnianego przez lotniskowe służby ratowniczo-gaśnicze z powodu nieprzewidzianych okoliczności nie wymaga uprzedniego zatwierdzenia przez właściwy organ.</w:t>
      </w:r>
    </w:p>
    <w:p w14:paraId="30094C9D" w14:textId="6D6B3C49" w:rsidR="00B0686B" w:rsidRPr="009E064B" w:rsidRDefault="00B0686B" w:rsidP="00133B99">
      <w:pPr>
        <w:pStyle w:val="Nagwek6"/>
      </w:pPr>
      <w:bookmarkStart w:id="561" w:name="_Toc492024701"/>
      <w:bookmarkStart w:id="562" w:name="_Toc12532806"/>
      <w:r w:rsidRPr="009E064B">
        <w:rPr>
          <w:rStyle w:val="Nagwek6Znak"/>
          <w:b/>
          <w:bCs/>
          <w:shd w:val="clear" w:color="auto" w:fill="auto"/>
        </w:rPr>
        <w:t xml:space="preserve">GM1 ADR.OPS.B.010(a)(1) </w:t>
      </w:r>
      <w:r w:rsidR="004002F9" w:rsidRPr="009E064B">
        <w:rPr>
          <w:rStyle w:val="Nagwek6Znak"/>
          <w:b/>
          <w:bCs/>
          <w:shd w:val="clear" w:color="auto" w:fill="auto"/>
        </w:rPr>
        <w:t xml:space="preserve">    </w:t>
      </w:r>
      <w:r w:rsidRPr="009E064B">
        <w:rPr>
          <w:rStyle w:val="Nagwek6Znak"/>
          <w:b/>
          <w:bCs/>
          <w:shd w:val="clear" w:color="auto" w:fill="auto"/>
        </w:rPr>
        <w:t>Służby ratowniczo-gaśnicze</w:t>
      </w:r>
      <w:bookmarkEnd w:id="561"/>
      <w:bookmarkEnd w:id="562"/>
    </w:p>
    <w:p w14:paraId="6FCCDEE6" w14:textId="4D72C10B"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219022C8"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DOSTĘPNOŚĆ I ZAKRES SŁUŻB RATOWNICZO-GAŚNICZYCH</w:t>
      </w:r>
    </w:p>
    <w:p w14:paraId="319304A2" w14:textId="172B1752" w:rsidR="00371A8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 xml:space="preserve">Do zapewnienia służb ratowniczo-gaśniczych mogą być wytypowane publiczne lub prywatne organizacje, odpowiednio zlokalizowane i wyposażone. Jest pożądane, aby ekipy przeciwpożarowe tych organizacji były zlokalizowane na lotnisku, tym nie mniej, mogą być one usytuowane poza lotniskiem, o ile zachowany zostanie wymagany czas reakcji. Podstawowym celem służb ratowniczo-gaśniczych jest ratowanie życia w razie wypadku lub incydentu statku powietrznego, jaki wydarzył się na lub w bezpośrednim sąsiedztwie lotniska. Służba ratowniczo-gaśnicza jest zapewniana w celu stworzenia i utrzymania warunków do przetrwania, aby zapewnić </w:t>
      </w:r>
      <w:r w:rsidR="00096164" w:rsidRPr="009E064B">
        <w:rPr>
          <w:rFonts w:asciiTheme="minorHAnsi" w:eastAsia="Calibri" w:hAnsiTheme="minorHAnsi" w:cstheme="minorHAnsi"/>
        </w:rPr>
        <w:t>drogi ewakuacji dla pasażerów i </w:t>
      </w:r>
      <w:r w:rsidRPr="009E064B">
        <w:rPr>
          <w:rFonts w:asciiTheme="minorHAnsi" w:eastAsia="Calibri" w:hAnsiTheme="minorHAnsi" w:cstheme="minorHAnsi"/>
        </w:rPr>
        <w:t xml:space="preserve">rozpoczęcie </w:t>
      </w:r>
      <w:r w:rsidRPr="000209A8">
        <w:rPr>
          <w:rFonts w:asciiTheme="minorHAnsi" w:eastAsia="Calibri" w:hAnsiTheme="minorHAnsi" w:cstheme="minorHAnsi"/>
        </w:rPr>
        <w:t xml:space="preserve">ratowania tych osób, które są niezdolne do samodzielnej ucieczki, bez bezpośredniej pomocy. Prowadzenie </w:t>
      </w:r>
      <w:r w:rsidR="00D41635" w:rsidRPr="000209A8">
        <w:rPr>
          <w:rFonts w:asciiTheme="minorHAnsi" w:eastAsia="Calibri" w:hAnsiTheme="minorHAnsi" w:cstheme="minorHAnsi"/>
        </w:rPr>
        <w:t>działań</w:t>
      </w:r>
      <w:r w:rsidRPr="000209A8">
        <w:rPr>
          <w:rFonts w:asciiTheme="minorHAnsi" w:eastAsia="Calibri" w:hAnsiTheme="minorHAnsi" w:cstheme="minorHAnsi"/>
        </w:rPr>
        <w:t xml:space="preserve"> ratownicz</w:t>
      </w:r>
      <w:r w:rsidR="00D41635" w:rsidRPr="000209A8">
        <w:rPr>
          <w:rFonts w:asciiTheme="minorHAnsi" w:eastAsia="Calibri" w:hAnsiTheme="minorHAnsi" w:cstheme="minorHAnsi"/>
        </w:rPr>
        <w:t>ych</w:t>
      </w:r>
      <w:r w:rsidRPr="000209A8">
        <w:rPr>
          <w:rFonts w:asciiTheme="minorHAnsi" w:eastAsia="Calibri" w:hAnsiTheme="minorHAnsi" w:cstheme="minorHAnsi"/>
        </w:rPr>
        <w:t xml:space="preserve"> może wymagać wykorzystania sprzętu oraz personelu innego niż ten, który jest przede wszystkim wykorzystywany do celów ratowniczo-gaśniczych. Karetki pogotowia oraz służby medyczne nie wchodzą w zakres służb</w:t>
      </w:r>
      <w:r w:rsidRPr="009E064B">
        <w:rPr>
          <w:rFonts w:asciiTheme="minorHAnsi" w:eastAsia="Calibri" w:hAnsiTheme="minorHAnsi" w:cstheme="minorHAnsi"/>
        </w:rPr>
        <w:t xml:space="preserve"> ratown</w:t>
      </w:r>
      <w:r w:rsidR="004D72AC" w:rsidRPr="009E064B">
        <w:rPr>
          <w:rFonts w:asciiTheme="minorHAnsi" w:eastAsia="Calibri" w:hAnsiTheme="minorHAnsi" w:cstheme="minorHAnsi"/>
        </w:rPr>
        <w:t>iczo-gaśniczych jak określono w </w:t>
      </w:r>
      <w:hyperlink w:anchor="_ADR.OPS.B.010__" w:history="1">
        <w:r w:rsidRPr="009E064B">
          <w:rPr>
            <w:rStyle w:val="Hipercze"/>
            <w:rFonts w:asciiTheme="minorHAnsi" w:eastAsia="Calibri" w:hAnsiTheme="minorHAnsi" w:cstheme="minorHAnsi"/>
          </w:rPr>
          <w:t>ADR.OPS.B.010</w:t>
        </w:r>
      </w:hyperlink>
      <w:r w:rsidRPr="009E064B">
        <w:rPr>
          <w:rFonts w:asciiTheme="minorHAnsi" w:eastAsia="Calibri" w:hAnsiTheme="minorHAnsi" w:cstheme="minorHAnsi"/>
        </w:rPr>
        <w:t xml:space="preserve">. Funkcja oraz zakres obowiązków realizowany przez karetki pogotowia oraz służby medyczne w sytuacji zagrożenia powinny zostać opisane w planie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 xml:space="preserve"> (AEP) zgodnie z </w:t>
      </w:r>
      <w:hyperlink w:anchor="_GM3_ADR.OPS.B.005(a)_" w:history="1">
        <w:r w:rsidRPr="009E064B">
          <w:rPr>
            <w:rStyle w:val="Hipercze"/>
            <w:rFonts w:asciiTheme="minorHAnsi" w:eastAsia="Calibri" w:hAnsiTheme="minorHAnsi" w:cstheme="minorHAnsi"/>
          </w:rPr>
          <w:t>GM3</w:t>
        </w:r>
        <w:r w:rsidR="00371A8B" w:rsidRPr="009E064B">
          <w:rPr>
            <w:rStyle w:val="Hipercze"/>
            <w:rFonts w:asciiTheme="minorHAnsi" w:eastAsia="Calibri" w:hAnsiTheme="minorHAnsi" w:cstheme="minorHAnsi"/>
          </w:rPr>
          <w:t> </w:t>
        </w:r>
        <w:r w:rsidRPr="009E064B">
          <w:rPr>
            <w:rStyle w:val="Hipercze"/>
            <w:rFonts w:asciiTheme="minorHAnsi" w:eastAsia="Calibri" w:hAnsiTheme="minorHAnsi" w:cstheme="minorHAnsi"/>
          </w:rPr>
          <w:t>ADR.OPS.B.005(a)</w:t>
        </w:r>
      </w:hyperlink>
      <w:r w:rsidRPr="009E064B">
        <w:rPr>
          <w:rFonts w:asciiTheme="minorHAnsi" w:eastAsia="Calibri" w:hAnsiTheme="minorHAnsi" w:cstheme="minorHAnsi"/>
        </w:rPr>
        <w:t>.</w:t>
      </w:r>
    </w:p>
    <w:p w14:paraId="70259A9B" w14:textId="4F2F4E2D" w:rsidR="00B0686B" w:rsidRPr="009E064B" w:rsidRDefault="00B0686B" w:rsidP="00133B99">
      <w:pPr>
        <w:pStyle w:val="Nagwek5"/>
      </w:pPr>
      <w:bookmarkStart w:id="563" w:name="_Toc492024702"/>
      <w:bookmarkStart w:id="564" w:name="_Toc12532807"/>
      <w:r w:rsidRPr="009E064B">
        <w:t xml:space="preserve">AMC1 ADR.OPS.B.010(a)(2) </w:t>
      </w:r>
      <w:r w:rsidR="006A01C0" w:rsidRPr="009E064B">
        <w:t xml:space="preserve">    </w:t>
      </w:r>
      <w:r w:rsidRPr="009E064B">
        <w:t>Służby ratowniczo-gaśnicze</w:t>
      </w:r>
      <w:bookmarkEnd w:id="563"/>
      <w:bookmarkEnd w:id="564"/>
    </w:p>
    <w:p w14:paraId="6DA931C1" w14:textId="2789B347"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EE6A64A"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SYSTEMY ŁĄCZNOŚCI I ALARMOWANIA</w:t>
      </w:r>
    </w:p>
    <w:p w14:paraId="41860B06"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zagwarantować, że:</w:t>
      </w:r>
    </w:p>
    <w:p w14:paraId="4E61AA1D"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zapewniana jest bezpośrednia łączność pomiędzy strażnicą przeciwpożarową, a wieżą kontroli lotniska, każdą inną strażnicą oraz pojazdami ratowniczo-gaśniczymi;</w:t>
      </w:r>
    </w:p>
    <w:p w14:paraId="13C7F893"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strażnica przeciwpożarowa, wszelkie inne strażnice przeciwpożarowe znajdujące się na lotnisku oraz wieża kontroli ruchu lotniczego są wyposażone w system alarmowy sterowany ze strażnicy pozwalający na zaalarmowanie personelu służb ratowniczo-gaśniczych;</w:t>
      </w:r>
    </w:p>
    <w:p w14:paraId="7997D14D"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zapewnione są środki do łączności pomiędzy służbami ratowniczo-gaśniczymi i załogą statku powietrznego w sytuacji zagrożenia;</w:t>
      </w:r>
    </w:p>
    <w:p w14:paraId="50457620"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zapewniane są środki łączności do natychmiastowego wezwania wyznaczonego personelu niebędącego w stanie gotowości do działania;</w:t>
      </w:r>
    </w:p>
    <w:p w14:paraId="13D18CE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zapewniane są środki łączności umożliwiające dwukierunkową łączność z pojazdami ratowniczymi i gaśniczymi znajdującymi się na miejscu wypadku lotniczego;</w:t>
      </w:r>
    </w:p>
    <w:p w14:paraId="69176D9B"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łączność w czasie działań w sytuacji zagrożenia powinna być nagrywana; oraz</w:t>
      </w:r>
    </w:p>
    <w:p w14:paraId="42D4BE8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zapewniane są środki łączności między członkami załóg ratowniczych i gaśniczych.</w:t>
      </w:r>
    </w:p>
    <w:p w14:paraId="769E3E78" w14:textId="0156B253" w:rsidR="00B0686B" w:rsidRPr="009E064B" w:rsidRDefault="006A01C0" w:rsidP="00133B99">
      <w:pPr>
        <w:pStyle w:val="Nagwek5"/>
      </w:pPr>
      <w:bookmarkStart w:id="565" w:name="_AMC2_ADR.OPS.B.010(a)(2)_"/>
      <w:bookmarkStart w:id="566" w:name="_Toc492024703"/>
      <w:bookmarkStart w:id="567" w:name="_Toc12532808"/>
      <w:bookmarkEnd w:id="565"/>
      <w:r w:rsidRPr="009E064B">
        <w:t xml:space="preserve">AMC2 ADR.OPS.B.010(a)(2)     </w:t>
      </w:r>
      <w:r w:rsidR="00B0686B" w:rsidRPr="009E064B">
        <w:t>Służby ratowniczo-gaśnicze</w:t>
      </w:r>
      <w:bookmarkEnd w:id="566"/>
      <w:bookmarkEnd w:id="567"/>
    </w:p>
    <w:p w14:paraId="2FCF8458" w14:textId="101CC5B5"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4714FC75"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POZIOM OCHRONY LOTNISKOWYCH SŁUŻB RATOWNICZO-GAŚNICZYCH</w:t>
      </w:r>
    </w:p>
    <w:p w14:paraId="0B260234"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zagwarantować, że:</w:t>
      </w:r>
    </w:p>
    <w:p w14:paraId="4C2F355E"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poziom ochrony zapewnionej normalnie na lotnisku jest wyrażany poprzez kategorię służb ratowniczo-gaśniczych (kategoria RFFS</w:t>
      </w:r>
      <w:r w:rsidRPr="009E064B">
        <w:rPr>
          <w:rFonts w:asciiTheme="minorHAnsi" w:eastAsia="Calibri" w:hAnsiTheme="minorHAnsi" w:cstheme="minorHAnsi"/>
          <w:vertAlign w:val="superscript"/>
        </w:rPr>
        <w:footnoteReference w:id="37"/>
      </w:r>
      <w:r w:rsidRPr="009E064B">
        <w:rPr>
          <w:rFonts w:asciiTheme="minorHAnsi" w:eastAsia="Calibri" w:hAnsiTheme="minorHAnsi" w:cstheme="minorHAnsi"/>
        </w:rPr>
        <w:t xml:space="preserve"> lotniska) według opisu poniżej oraz odpowiednio do rodzajów, ilości i wydatku środków gaśniczych będących normalnie w dyspozycji lotniska; oraz</w:t>
      </w:r>
    </w:p>
    <w:p w14:paraId="4A1F44FE" w14:textId="7AAFB52F" w:rsidR="002E1847"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kategoria lotniska w zakresie ratowniczo-gaśni</w:t>
      </w:r>
      <w:r w:rsidR="00F36957" w:rsidRPr="009E064B">
        <w:rPr>
          <w:rFonts w:asciiTheme="minorHAnsi" w:eastAsia="Calibri" w:hAnsiTheme="minorHAnsi" w:cstheme="minorHAnsi"/>
        </w:rPr>
        <w:t>czym jest wyznaczona zgodnie z T</w:t>
      </w:r>
      <w:r w:rsidRPr="009E064B">
        <w:rPr>
          <w:rFonts w:asciiTheme="minorHAnsi" w:eastAsia="Calibri" w:hAnsiTheme="minorHAnsi" w:cstheme="minorHAnsi"/>
        </w:rPr>
        <w:t>abelą 1, na podstawie najdłuższych statków powietrznych normalnie użytkujących dane lotnisko i</w:t>
      </w:r>
      <w:r w:rsidR="00096164" w:rsidRPr="009E064B">
        <w:rPr>
          <w:rFonts w:asciiTheme="minorHAnsi" w:eastAsia="Calibri" w:hAnsiTheme="minorHAnsi" w:cstheme="minorHAnsi"/>
        </w:rPr>
        <w:t> </w:t>
      </w:r>
      <w:r w:rsidRPr="009E064B">
        <w:rPr>
          <w:rFonts w:asciiTheme="minorHAnsi" w:eastAsia="Calibri" w:hAnsiTheme="minorHAnsi" w:cstheme="minorHAnsi"/>
        </w:rPr>
        <w:t>szerokości ich kadłuba. Jeżeli po określeniu kategorii odpowiadającej całkowitej długości statku powietrznego okaże się, że szerokość kadłuba jest większa od mak</w:t>
      </w:r>
      <w:r w:rsidR="002E1847" w:rsidRPr="009E064B">
        <w:rPr>
          <w:rFonts w:asciiTheme="minorHAnsi" w:eastAsia="Calibri" w:hAnsiTheme="minorHAnsi" w:cstheme="minorHAnsi"/>
        </w:rPr>
        <w:t xml:space="preserve">symalnej szerokości wskazanej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 kolumna 3, dla danej kategorii, </w:t>
      </w:r>
      <w:r w:rsidR="002E1847" w:rsidRPr="009E064B">
        <w:rPr>
          <w:rFonts w:asciiTheme="minorHAnsi" w:eastAsia="Calibri" w:hAnsiTheme="minorHAnsi" w:cstheme="minorHAnsi"/>
        </w:rPr>
        <w:t xml:space="preserve">to statek powietrzny powinien w </w:t>
      </w:r>
      <w:r w:rsidRPr="009E064B">
        <w:rPr>
          <w:rFonts w:asciiTheme="minorHAnsi" w:eastAsia="Calibri" w:hAnsiTheme="minorHAnsi" w:cstheme="minorHAnsi"/>
        </w:rPr>
        <w:t>rzeczywistości być sklasyfikowany o jedną kategorię wyżej.</w:t>
      </w:r>
    </w:p>
    <w:p w14:paraId="57AA4E58" w14:textId="6C7638B5" w:rsidR="00B0686B" w:rsidRPr="009E064B" w:rsidRDefault="00B0686B" w:rsidP="00B06A9A">
      <w:pPr>
        <w:widowControl/>
        <w:tabs>
          <w:tab w:val="left" w:pos="567"/>
        </w:tabs>
        <w:ind w:left="1134" w:hanging="1134"/>
        <w:rPr>
          <w:rFonts w:asciiTheme="minorHAnsi" w:eastAsia="Calibri" w:hAnsiTheme="minorHAnsi" w:cstheme="minorHAnsi"/>
        </w:rPr>
      </w:pPr>
      <w:r w:rsidRPr="009E064B">
        <w:rPr>
          <w:rFonts w:asciiTheme="minorHAnsi" w:eastAsia="Calibri" w:hAnsiTheme="minorHAnsi" w:cstheme="minorHAnsi"/>
        </w:rPr>
        <w:tab/>
        <w:t>(3)</w:t>
      </w:r>
      <w:r w:rsidRPr="009E064B">
        <w:rPr>
          <w:rFonts w:asciiTheme="minorHAnsi" w:eastAsia="Calibri" w:hAnsiTheme="minorHAnsi" w:cstheme="minorHAnsi"/>
        </w:rPr>
        <w:tab/>
        <w:t>poziom ochrony ratowniczo-gaśniczej jest odpowiedni do kategorii lotniska określonej przy użyciu zasad, o których mowa w pkt (2) powyżej, za wyjątkiem sytuacji kiedy liczba operacji lotniczych (lądowanie lub start) samolotów pasażerskich w najwyższej kategorii, które zazwyczaj użytkują dane lotnisko jest mniejsza niż 700 w ciągu trzech kolejnych miesięcy o najwyższym natężeniu ruchu lotniczego w roku, poziom ochrony zapewniany zgodnie z pkt (2) powyżej może być zmniejszony nie więcej niż o jedną kategorię poniżej określonej wcześniej kategorii.</w:t>
      </w:r>
    </w:p>
    <w:p w14:paraId="3227790B" w14:textId="77777777" w:rsidR="00542EEF" w:rsidRPr="009E064B" w:rsidRDefault="00542EEF" w:rsidP="00542EEF">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Niezależnie od wymagań w lit. (a) powyżej operator lotniska może, w czasie przewidywanej zmniejszonej aktywności lotniska (np. w szczególnych okresach dnia lub roku), obniżyć poziom ochrony ratowniczo-gaśniczej zapewniany na lotnisku. W takim przypadku:</w:t>
      </w:r>
    </w:p>
    <w:p w14:paraId="2F5B7C54" w14:textId="77777777" w:rsidR="00542EEF" w:rsidRPr="009E064B" w:rsidRDefault="00542EEF" w:rsidP="00542EEF">
      <w:pPr>
        <w:widowControl/>
        <w:tabs>
          <w:tab w:val="left" w:pos="567"/>
        </w:tabs>
        <w:ind w:left="1134" w:hanging="1134"/>
        <w:rPr>
          <w:rFonts w:asciiTheme="minorHAnsi" w:eastAsia="Calibri" w:hAnsiTheme="minorHAnsi" w:cstheme="minorHAnsi"/>
        </w:rPr>
      </w:pPr>
      <w:r w:rsidRPr="009E064B">
        <w:rPr>
          <w:rFonts w:asciiTheme="minorHAnsi" w:eastAsia="Calibri" w:hAnsiTheme="minorHAnsi" w:cstheme="minorHAnsi"/>
        </w:rPr>
        <w:tab/>
        <w:t>(1)</w:t>
      </w:r>
      <w:r w:rsidRPr="009E064B">
        <w:rPr>
          <w:rFonts w:asciiTheme="minorHAnsi" w:eastAsia="Calibri" w:hAnsiTheme="minorHAnsi" w:cstheme="minorHAnsi"/>
        </w:rPr>
        <w:tab/>
        <w:t>poziom ochrony nie powinien być niższy niż poziom wymagany dla najwyższej kategorii tych samolotów, które będą użytkować dane lotnisko w okresach zmniejszonej aktywności, niezależnie od liczby operacji; oraz</w:t>
      </w:r>
    </w:p>
    <w:p w14:paraId="63BD7A7B" w14:textId="77777777" w:rsidR="00542EEF" w:rsidRPr="009E064B" w:rsidRDefault="00542EEF" w:rsidP="00542EEF">
      <w:pPr>
        <w:widowControl/>
        <w:tabs>
          <w:tab w:val="left" w:pos="567"/>
        </w:tabs>
        <w:ind w:left="1134" w:hanging="1134"/>
        <w:rPr>
          <w:rFonts w:asciiTheme="minorHAnsi" w:eastAsia="Calibri" w:hAnsiTheme="minorHAnsi" w:cstheme="minorHAnsi"/>
          <w:strike/>
        </w:rPr>
      </w:pPr>
      <w:r w:rsidRPr="009E064B">
        <w:rPr>
          <w:rFonts w:asciiTheme="minorHAnsi" w:eastAsia="Calibri" w:hAnsiTheme="minorHAnsi" w:cstheme="minorHAnsi"/>
        </w:rPr>
        <w:tab/>
        <w:t>(2)</w:t>
      </w:r>
      <w:r w:rsidRPr="009E064B">
        <w:rPr>
          <w:rFonts w:asciiTheme="minorHAnsi" w:eastAsia="Calibri" w:hAnsiTheme="minorHAnsi" w:cstheme="minorHAnsi"/>
        </w:rPr>
        <w:tab/>
        <w:t>okresy eksploatacji lotniska z obniżonym poziomem ochrony ratowniczo-gaśniczej powinny być publikowane w zbiorze informacji lotniczych (AIP) oraz w komunikatach dla pilota (NOTAM).</w:t>
      </w:r>
    </w:p>
    <w:p w14:paraId="0E6A7569" w14:textId="0B597928" w:rsidR="00542EEF" w:rsidRPr="009E064B" w:rsidRDefault="00542EEF">
      <w:pPr>
        <w:spacing w:after="0"/>
        <w:jc w:val="left"/>
        <w:rPr>
          <w:rFonts w:asciiTheme="minorHAnsi" w:eastAsia="Calibri" w:hAnsiTheme="minorHAnsi" w:cstheme="minorHAnsi"/>
        </w:rPr>
      </w:pPr>
      <w:r w:rsidRPr="009E064B">
        <w:rPr>
          <w:rFonts w:asciiTheme="minorHAnsi" w:eastAsia="Calibri" w:hAnsiTheme="minorHAnsi" w:cstheme="minorHAnsi"/>
        </w:rPr>
        <w:br w:type="page"/>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3544"/>
        <w:gridCol w:w="2268"/>
      </w:tblGrid>
      <w:tr w:rsidR="00542EEF" w:rsidRPr="009E064B" w14:paraId="3696EF60" w14:textId="77777777" w:rsidTr="00C00F71">
        <w:trPr>
          <w:trHeight w:val="438"/>
        </w:trPr>
        <w:tc>
          <w:tcPr>
            <w:tcW w:w="7655" w:type="dxa"/>
            <w:gridSpan w:val="3"/>
            <w:tcMar>
              <w:top w:w="85" w:type="dxa"/>
              <w:bottom w:w="85" w:type="dxa"/>
            </w:tcMar>
            <w:vAlign w:val="center"/>
          </w:tcPr>
          <w:p w14:paraId="3E073C09" w14:textId="77777777" w:rsidR="00542EEF" w:rsidRPr="009E064B" w:rsidRDefault="00542EEF" w:rsidP="00C00F71">
            <w:pPr>
              <w:widowControl/>
              <w:spacing w:after="0"/>
              <w:jc w:val="center"/>
              <w:rPr>
                <w:rFonts w:asciiTheme="minorHAnsi" w:eastAsia="Calibri" w:hAnsiTheme="minorHAnsi" w:cstheme="minorHAnsi"/>
                <w:b/>
                <w:bCs/>
              </w:rPr>
            </w:pPr>
            <w:r w:rsidRPr="009E064B">
              <w:rPr>
                <w:rFonts w:asciiTheme="minorHAnsi" w:eastAsia="Calibri" w:hAnsiTheme="minorHAnsi" w:cstheme="minorHAnsi"/>
                <w:b/>
                <w:bCs/>
              </w:rPr>
              <w:t>Kategoria lotniska w zakresie ratowniczo-gaśniczym</w:t>
            </w:r>
          </w:p>
        </w:tc>
      </w:tr>
      <w:tr w:rsidR="00542EEF" w:rsidRPr="009E064B" w14:paraId="13CE2D12" w14:textId="77777777" w:rsidTr="00C00F71">
        <w:trPr>
          <w:trHeight w:val="438"/>
        </w:trPr>
        <w:tc>
          <w:tcPr>
            <w:tcW w:w="1843" w:type="dxa"/>
            <w:tcMar>
              <w:top w:w="85" w:type="dxa"/>
              <w:bottom w:w="85" w:type="dxa"/>
            </w:tcMar>
            <w:vAlign w:val="center"/>
          </w:tcPr>
          <w:p w14:paraId="576A0200" w14:textId="77777777" w:rsidR="00542EEF" w:rsidRPr="009E064B" w:rsidRDefault="00542EEF" w:rsidP="00C00F71">
            <w:pPr>
              <w:widowControl/>
              <w:spacing w:after="0"/>
              <w:jc w:val="center"/>
              <w:rPr>
                <w:rFonts w:asciiTheme="minorHAnsi" w:eastAsia="Calibri" w:hAnsiTheme="minorHAnsi" w:cstheme="minorHAnsi"/>
                <w:b/>
                <w:sz w:val="20"/>
              </w:rPr>
            </w:pPr>
            <w:r w:rsidRPr="009E064B">
              <w:rPr>
                <w:rFonts w:asciiTheme="minorHAnsi" w:eastAsia="Calibri" w:hAnsiTheme="minorHAnsi" w:cstheme="minorHAnsi"/>
                <w:b/>
                <w:sz w:val="20"/>
              </w:rPr>
              <w:t>Kategoria lotniska</w:t>
            </w:r>
          </w:p>
        </w:tc>
        <w:tc>
          <w:tcPr>
            <w:tcW w:w="3544" w:type="dxa"/>
            <w:tcMar>
              <w:top w:w="85" w:type="dxa"/>
              <w:bottom w:w="85" w:type="dxa"/>
            </w:tcMar>
            <w:vAlign w:val="center"/>
          </w:tcPr>
          <w:p w14:paraId="18DBA8D2" w14:textId="77777777" w:rsidR="00542EEF" w:rsidRPr="009E064B" w:rsidRDefault="00542EEF" w:rsidP="00C00F71">
            <w:pPr>
              <w:widowControl/>
              <w:spacing w:after="0"/>
              <w:jc w:val="center"/>
              <w:rPr>
                <w:rFonts w:asciiTheme="minorHAnsi" w:eastAsia="Calibri" w:hAnsiTheme="minorHAnsi" w:cstheme="minorHAnsi"/>
                <w:b/>
                <w:sz w:val="20"/>
              </w:rPr>
            </w:pPr>
            <w:r w:rsidRPr="009E064B">
              <w:rPr>
                <w:rFonts w:asciiTheme="minorHAnsi" w:eastAsia="Calibri" w:hAnsiTheme="minorHAnsi" w:cstheme="minorHAnsi"/>
                <w:b/>
                <w:sz w:val="20"/>
              </w:rPr>
              <w:t>Całkowita długość statku powietrznego</w:t>
            </w:r>
          </w:p>
        </w:tc>
        <w:tc>
          <w:tcPr>
            <w:tcW w:w="2268" w:type="dxa"/>
            <w:tcMar>
              <w:top w:w="85" w:type="dxa"/>
              <w:bottom w:w="85" w:type="dxa"/>
            </w:tcMar>
            <w:vAlign w:val="center"/>
          </w:tcPr>
          <w:p w14:paraId="3DE84C91" w14:textId="77777777" w:rsidR="00542EEF" w:rsidRPr="009E064B" w:rsidRDefault="00542EEF" w:rsidP="00C00F71">
            <w:pPr>
              <w:widowControl/>
              <w:spacing w:after="0"/>
              <w:jc w:val="center"/>
              <w:rPr>
                <w:rFonts w:asciiTheme="minorHAnsi" w:eastAsia="Calibri" w:hAnsiTheme="minorHAnsi" w:cstheme="minorHAnsi"/>
                <w:b/>
                <w:sz w:val="20"/>
              </w:rPr>
            </w:pPr>
            <w:r w:rsidRPr="009E064B">
              <w:rPr>
                <w:rFonts w:asciiTheme="minorHAnsi" w:eastAsia="Calibri" w:hAnsiTheme="minorHAnsi" w:cstheme="minorHAnsi"/>
                <w:b/>
                <w:sz w:val="20"/>
              </w:rPr>
              <w:t>Maksymalna szerokość kadłuba</w:t>
            </w:r>
          </w:p>
        </w:tc>
      </w:tr>
      <w:tr w:rsidR="00542EEF" w:rsidRPr="009E064B" w14:paraId="42C8537D" w14:textId="77777777" w:rsidTr="00C00F71">
        <w:tc>
          <w:tcPr>
            <w:tcW w:w="1843" w:type="dxa"/>
            <w:tcMar>
              <w:top w:w="28" w:type="dxa"/>
              <w:bottom w:w="28" w:type="dxa"/>
            </w:tcMar>
            <w:vAlign w:val="center"/>
          </w:tcPr>
          <w:p w14:paraId="67A3CF92" w14:textId="77777777" w:rsidR="00542EEF" w:rsidRPr="009E064B" w:rsidRDefault="00542EEF" w:rsidP="00C00F71">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(1)</w:t>
            </w:r>
          </w:p>
        </w:tc>
        <w:tc>
          <w:tcPr>
            <w:tcW w:w="3544" w:type="dxa"/>
            <w:tcMar>
              <w:top w:w="28" w:type="dxa"/>
              <w:bottom w:w="28" w:type="dxa"/>
            </w:tcMar>
            <w:vAlign w:val="center"/>
          </w:tcPr>
          <w:p w14:paraId="125F118C" w14:textId="77777777" w:rsidR="00542EEF" w:rsidRPr="009E064B" w:rsidRDefault="00542EEF" w:rsidP="00C00F71">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(2)</w:t>
            </w:r>
          </w:p>
        </w:tc>
        <w:tc>
          <w:tcPr>
            <w:tcW w:w="2268" w:type="dxa"/>
            <w:tcMar>
              <w:top w:w="28" w:type="dxa"/>
              <w:bottom w:w="28" w:type="dxa"/>
            </w:tcMar>
            <w:vAlign w:val="center"/>
          </w:tcPr>
          <w:p w14:paraId="6430E4D9" w14:textId="77777777" w:rsidR="00542EEF" w:rsidRPr="009E064B" w:rsidRDefault="00542EEF" w:rsidP="00C00F71">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(3)</w:t>
            </w:r>
          </w:p>
        </w:tc>
      </w:tr>
      <w:tr w:rsidR="00542EEF" w:rsidRPr="009E064B" w14:paraId="54D95CBD" w14:textId="77777777" w:rsidTr="00C00F71">
        <w:tc>
          <w:tcPr>
            <w:tcW w:w="1843" w:type="dxa"/>
            <w:tcMar>
              <w:top w:w="85" w:type="dxa"/>
              <w:bottom w:w="85" w:type="dxa"/>
            </w:tcMar>
            <w:vAlign w:val="center"/>
          </w:tcPr>
          <w:p w14:paraId="1A37C984"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1</w:t>
            </w:r>
          </w:p>
        </w:tc>
        <w:tc>
          <w:tcPr>
            <w:tcW w:w="3544" w:type="dxa"/>
            <w:tcMar>
              <w:top w:w="85" w:type="dxa"/>
              <w:bottom w:w="85" w:type="dxa"/>
            </w:tcMar>
            <w:vAlign w:val="center"/>
          </w:tcPr>
          <w:p w14:paraId="693A7E07"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0 m do 9 m wyłącznie</w:t>
            </w:r>
          </w:p>
        </w:tc>
        <w:tc>
          <w:tcPr>
            <w:tcW w:w="2268" w:type="dxa"/>
            <w:tcMar>
              <w:top w:w="85" w:type="dxa"/>
              <w:bottom w:w="85" w:type="dxa"/>
            </w:tcMar>
            <w:vAlign w:val="center"/>
          </w:tcPr>
          <w:p w14:paraId="0401D1C6"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2 m</w:t>
            </w:r>
          </w:p>
        </w:tc>
      </w:tr>
      <w:tr w:rsidR="00542EEF" w:rsidRPr="009E064B" w14:paraId="7970EE0B" w14:textId="77777777" w:rsidTr="00C00F71">
        <w:tc>
          <w:tcPr>
            <w:tcW w:w="1843" w:type="dxa"/>
            <w:tcMar>
              <w:top w:w="85" w:type="dxa"/>
              <w:bottom w:w="85" w:type="dxa"/>
            </w:tcMar>
            <w:vAlign w:val="center"/>
          </w:tcPr>
          <w:p w14:paraId="31C7A743"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2</w:t>
            </w:r>
          </w:p>
        </w:tc>
        <w:tc>
          <w:tcPr>
            <w:tcW w:w="3544" w:type="dxa"/>
            <w:tcMar>
              <w:top w:w="85" w:type="dxa"/>
              <w:bottom w:w="85" w:type="dxa"/>
            </w:tcMar>
            <w:vAlign w:val="center"/>
          </w:tcPr>
          <w:p w14:paraId="53687EB2"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9 m do 12 wyłącznie</w:t>
            </w:r>
          </w:p>
        </w:tc>
        <w:tc>
          <w:tcPr>
            <w:tcW w:w="2268" w:type="dxa"/>
            <w:tcMar>
              <w:top w:w="85" w:type="dxa"/>
              <w:bottom w:w="85" w:type="dxa"/>
            </w:tcMar>
            <w:vAlign w:val="center"/>
          </w:tcPr>
          <w:p w14:paraId="6AD145D5"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2 m</w:t>
            </w:r>
          </w:p>
        </w:tc>
      </w:tr>
      <w:tr w:rsidR="00542EEF" w:rsidRPr="009E064B" w14:paraId="7C04DBB8" w14:textId="77777777" w:rsidTr="00C00F71">
        <w:tc>
          <w:tcPr>
            <w:tcW w:w="1843" w:type="dxa"/>
            <w:tcMar>
              <w:top w:w="85" w:type="dxa"/>
              <w:bottom w:w="85" w:type="dxa"/>
            </w:tcMar>
            <w:vAlign w:val="center"/>
          </w:tcPr>
          <w:p w14:paraId="7C690AF6"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3</w:t>
            </w:r>
          </w:p>
        </w:tc>
        <w:tc>
          <w:tcPr>
            <w:tcW w:w="3544" w:type="dxa"/>
            <w:tcMar>
              <w:top w:w="85" w:type="dxa"/>
              <w:bottom w:w="85" w:type="dxa"/>
            </w:tcMar>
            <w:vAlign w:val="center"/>
          </w:tcPr>
          <w:p w14:paraId="64D68004"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12 m do 18 wyłącznie</w:t>
            </w:r>
          </w:p>
        </w:tc>
        <w:tc>
          <w:tcPr>
            <w:tcW w:w="2268" w:type="dxa"/>
            <w:tcMar>
              <w:top w:w="85" w:type="dxa"/>
              <w:bottom w:w="85" w:type="dxa"/>
            </w:tcMar>
            <w:vAlign w:val="center"/>
          </w:tcPr>
          <w:p w14:paraId="13FA1503"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3 m</w:t>
            </w:r>
          </w:p>
        </w:tc>
      </w:tr>
      <w:tr w:rsidR="00542EEF" w:rsidRPr="009E064B" w14:paraId="046F4B3B" w14:textId="77777777" w:rsidTr="00C00F71">
        <w:tc>
          <w:tcPr>
            <w:tcW w:w="1843" w:type="dxa"/>
            <w:tcMar>
              <w:top w:w="85" w:type="dxa"/>
              <w:bottom w:w="85" w:type="dxa"/>
            </w:tcMar>
            <w:vAlign w:val="center"/>
          </w:tcPr>
          <w:p w14:paraId="616E148F"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4</w:t>
            </w:r>
          </w:p>
        </w:tc>
        <w:tc>
          <w:tcPr>
            <w:tcW w:w="3544" w:type="dxa"/>
            <w:tcMar>
              <w:top w:w="85" w:type="dxa"/>
              <w:bottom w:w="85" w:type="dxa"/>
            </w:tcMar>
            <w:vAlign w:val="center"/>
          </w:tcPr>
          <w:p w14:paraId="57178F62"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18 m do 24 wyłącznie</w:t>
            </w:r>
          </w:p>
        </w:tc>
        <w:tc>
          <w:tcPr>
            <w:tcW w:w="2268" w:type="dxa"/>
            <w:tcMar>
              <w:top w:w="85" w:type="dxa"/>
              <w:bottom w:w="85" w:type="dxa"/>
            </w:tcMar>
            <w:vAlign w:val="center"/>
          </w:tcPr>
          <w:p w14:paraId="3DE48FD9"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4 m</w:t>
            </w:r>
          </w:p>
        </w:tc>
      </w:tr>
      <w:tr w:rsidR="00542EEF" w:rsidRPr="009E064B" w14:paraId="7A89D662" w14:textId="77777777" w:rsidTr="00C00F71">
        <w:tc>
          <w:tcPr>
            <w:tcW w:w="1843" w:type="dxa"/>
            <w:tcMar>
              <w:top w:w="85" w:type="dxa"/>
              <w:bottom w:w="85" w:type="dxa"/>
            </w:tcMar>
            <w:vAlign w:val="center"/>
          </w:tcPr>
          <w:p w14:paraId="3CA5D047"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5</w:t>
            </w:r>
          </w:p>
        </w:tc>
        <w:tc>
          <w:tcPr>
            <w:tcW w:w="3544" w:type="dxa"/>
            <w:tcMar>
              <w:top w:w="85" w:type="dxa"/>
              <w:bottom w:w="85" w:type="dxa"/>
            </w:tcMar>
            <w:vAlign w:val="center"/>
          </w:tcPr>
          <w:p w14:paraId="40341653"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24 m do 28 wyłącznie</w:t>
            </w:r>
          </w:p>
        </w:tc>
        <w:tc>
          <w:tcPr>
            <w:tcW w:w="2268" w:type="dxa"/>
            <w:tcMar>
              <w:top w:w="85" w:type="dxa"/>
              <w:bottom w:w="85" w:type="dxa"/>
            </w:tcMar>
            <w:vAlign w:val="center"/>
          </w:tcPr>
          <w:p w14:paraId="29494286"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4 m</w:t>
            </w:r>
          </w:p>
        </w:tc>
      </w:tr>
      <w:tr w:rsidR="00542EEF" w:rsidRPr="009E064B" w14:paraId="2E8D0EFC" w14:textId="77777777" w:rsidTr="00C00F71">
        <w:tc>
          <w:tcPr>
            <w:tcW w:w="1843" w:type="dxa"/>
            <w:tcMar>
              <w:top w:w="85" w:type="dxa"/>
              <w:bottom w:w="85" w:type="dxa"/>
            </w:tcMar>
            <w:vAlign w:val="center"/>
          </w:tcPr>
          <w:p w14:paraId="14F2674A"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6</w:t>
            </w:r>
          </w:p>
        </w:tc>
        <w:tc>
          <w:tcPr>
            <w:tcW w:w="3544" w:type="dxa"/>
            <w:tcMar>
              <w:top w:w="85" w:type="dxa"/>
              <w:bottom w:w="85" w:type="dxa"/>
            </w:tcMar>
            <w:vAlign w:val="center"/>
          </w:tcPr>
          <w:p w14:paraId="327134C3"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28 m do 39 wyłącznie</w:t>
            </w:r>
          </w:p>
        </w:tc>
        <w:tc>
          <w:tcPr>
            <w:tcW w:w="2268" w:type="dxa"/>
            <w:tcMar>
              <w:top w:w="85" w:type="dxa"/>
              <w:bottom w:w="85" w:type="dxa"/>
            </w:tcMar>
            <w:vAlign w:val="center"/>
          </w:tcPr>
          <w:p w14:paraId="3C01DD21"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5 m</w:t>
            </w:r>
          </w:p>
        </w:tc>
      </w:tr>
      <w:tr w:rsidR="00542EEF" w:rsidRPr="009E064B" w14:paraId="4464DCDD" w14:textId="77777777" w:rsidTr="00C00F71">
        <w:tc>
          <w:tcPr>
            <w:tcW w:w="1843" w:type="dxa"/>
            <w:tcMar>
              <w:top w:w="85" w:type="dxa"/>
              <w:bottom w:w="85" w:type="dxa"/>
            </w:tcMar>
            <w:vAlign w:val="center"/>
          </w:tcPr>
          <w:p w14:paraId="7484A4C6"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7</w:t>
            </w:r>
          </w:p>
        </w:tc>
        <w:tc>
          <w:tcPr>
            <w:tcW w:w="3544" w:type="dxa"/>
            <w:tcMar>
              <w:top w:w="85" w:type="dxa"/>
              <w:bottom w:w="85" w:type="dxa"/>
            </w:tcMar>
            <w:vAlign w:val="center"/>
          </w:tcPr>
          <w:p w14:paraId="1FB227DC"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39 m do 49 wyłącznie</w:t>
            </w:r>
          </w:p>
        </w:tc>
        <w:tc>
          <w:tcPr>
            <w:tcW w:w="2268" w:type="dxa"/>
            <w:tcMar>
              <w:top w:w="85" w:type="dxa"/>
              <w:bottom w:w="85" w:type="dxa"/>
            </w:tcMar>
            <w:vAlign w:val="center"/>
          </w:tcPr>
          <w:p w14:paraId="10AFD401"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5 m</w:t>
            </w:r>
          </w:p>
        </w:tc>
      </w:tr>
      <w:tr w:rsidR="00542EEF" w:rsidRPr="009E064B" w14:paraId="0423FC6F" w14:textId="77777777" w:rsidTr="00C00F71">
        <w:tc>
          <w:tcPr>
            <w:tcW w:w="1843" w:type="dxa"/>
            <w:tcMar>
              <w:top w:w="85" w:type="dxa"/>
              <w:bottom w:w="85" w:type="dxa"/>
            </w:tcMar>
            <w:vAlign w:val="center"/>
          </w:tcPr>
          <w:p w14:paraId="6C79F475"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8</w:t>
            </w:r>
          </w:p>
        </w:tc>
        <w:tc>
          <w:tcPr>
            <w:tcW w:w="3544" w:type="dxa"/>
            <w:tcMar>
              <w:top w:w="85" w:type="dxa"/>
              <w:bottom w:w="85" w:type="dxa"/>
            </w:tcMar>
            <w:vAlign w:val="center"/>
          </w:tcPr>
          <w:p w14:paraId="1DA4151B"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49 m do 61wyłącznie</w:t>
            </w:r>
          </w:p>
        </w:tc>
        <w:tc>
          <w:tcPr>
            <w:tcW w:w="2268" w:type="dxa"/>
            <w:tcMar>
              <w:top w:w="85" w:type="dxa"/>
              <w:bottom w:w="85" w:type="dxa"/>
            </w:tcMar>
            <w:vAlign w:val="center"/>
          </w:tcPr>
          <w:p w14:paraId="3ACA762A"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7 m</w:t>
            </w:r>
          </w:p>
        </w:tc>
      </w:tr>
      <w:tr w:rsidR="00542EEF" w:rsidRPr="009E064B" w14:paraId="78AF0544" w14:textId="77777777" w:rsidTr="00C00F71">
        <w:tc>
          <w:tcPr>
            <w:tcW w:w="1843" w:type="dxa"/>
            <w:tcMar>
              <w:top w:w="85" w:type="dxa"/>
              <w:bottom w:w="85" w:type="dxa"/>
            </w:tcMar>
            <w:vAlign w:val="center"/>
          </w:tcPr>
          <w:p w14:paraId="7397D343"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9</w:t>
            </w:r>
          </w:p>
        </w:tc>
        <w:tc>
          <w:tcPr>
            <w:tcW w:w="3544" w:type="dxa"/>
            <w:tcMar>
              <w:top w:w="85" w:type="dxa"/>
              <w:bottom w:w="85" w:type="dxa"/>
            </w:tcMar>
            <w:vAlign w:val="center"/>
          </w:tcPr>
          <w:p w14:paraId="2290A03C"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61 m do 76 wyłącznie</w:t>
            </w:r>
          </w:p>
        </w:tc>
        <w:tc>
          <w:tcPr>
            <w:tcW w:w="2268" w:type="dxa"/>
            <w:tcMar>
              <w:top w:w="85" w:type="dxa"/>
              <w:bottom w:w="85" w:type="dxa"/>
            </w:tcMar>
            <w:vAlign w:val="center"/>
          </w:tcPr>
          <w:p w14:paraId="215FF10B"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7 m</w:t>
            </w:r>
          </w:p>
        </w:tc>
      </w:tr>
      <w:tr w:rsidR="00542EEF" w:rsidRPr="009E064B" w14:paraId="7BFC34E6" w14:textId="77777777" w:rsidTr="00C00F71">
        <w:tc>
          <w:tcPr>
            <w:tcW w:w="1843" w:type="dxa"/>
            <w:tcMar>
              <w:top w:w="85" w:type="dxa"/>
              <w:bottom w:w="85" w:type="dxa"/>
            </w:tcMar>
            <w:vAlign w:val="center"/>
          </w:tcPr>
          <w:p w14:paraId="6D69EC79"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10</w:t>
            </w:r>
          </w:p>
        </w:tc>
        <w:tc>
          <w:tcPr>
            <w:tcW w:w="3544" w:type="dxa"/>
            <w:tcMar>
              <w:top w:w="85" w:type="dxa"/>
              <w:bottom w:w="85" w:type="dxa"/>
            </w:tcMar>
            <w:vAlign w:val="center"/>
          </w:tcPr>
          <w:p w14:paraId="13A1D805"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od 76 m do 90 wyłącznie</w:t>
            </w:r>
          </w:p>
        </w:tc>
        <w:tc>
          <w:tcPr>
            <w:tcW w:w="2268" w:type="dxa"/>
            <w:tcMar>
              <w:top w:w="85" w:type="dxa"/>
              <w:bottom w:w="85" w:type="dxa"/>
            </w:tcMar>
            <w:vAlign w:val="center"/>
          </w:tcPr>
          <w:p w14:paraId="42E8E73F" w14:textId="77777777" w:rsidR="00542EEF" w:rsidRPr="009E064B" w:rsidRDefault="00542EEF" w:rsidP="000209A8">
            <w:pPr>
              <w:widowControl/>
              <w:spacing w:after="0"/>
              <w:jc w:val="center"/>
              <w:rPr>
                <w:rFonts w:asciiTheme="minorHAnsi" w:eastAsia="Calibri" w:hAnsiTheme="minorHAnsi" w:cstheme="minorHAnsi"/>
                <w:sz w:val="20"/>
              </w:rPr>
            </w:pPr>
            <w:r w:rsidRPr="009E064B">
              <w:rPr>
                <w:rFonts w:asciiTheme="minorHAnsi" w:eastAsia="Calibri" w:hAnsiTheme="minorHAnsi" w:cstheme="minorHAnsi"/>
                <w:sz w:val="20"/>
              </w:rPr>
              <w:t>8 m</w:t>
            </w:r>
          </w:p>
        </w:tc>
      </w:tr>
    </w:tbl>
    <w:p w14:paraId="40D9E151" w14:textId="77777777" w:rsidR="00542EEF" w:rsidRPr="000209A8" w:rsidRDefault="00542EEF" w:rsidP="00542EEF">
      <w:pPr>
        <w:widowControl/>
        <w:spacing w:before="240" w:after="360"/>
        <w:jc w:val="center"/>
        <w:rPr>
          <w:rFonts w:asciiTheme="minorHAnsi" w:eastAsia="Calibri" w:hAnsiTheme="minorHAnsi" w:cstheme="minorHAnsi"/>
          <w:b/>
          <w:sz w:val="20"/>
        </w:rPr>
      </w:pPr>
      <w:r w:rsidRPr="000209A8">
        <w:rPr>
          <w:rFonts w:asciiTheme="minorHAnsi" w:eastAsia="Calibri" w:hAnsiTheme="minorHAnsi" w:cstheme="minorHAnsi"/>
          <w:b/>
          <w:sz w:val="20"/>
        </w:rPr>
        <w:t>Tabela 1</w:t>
      </w:r>
    </w:p>
    <w:p w14:paraId="254DC344" w14:textId="1224F10B" w:rsidR="00371A8B" w:rsidRPr="009E064B" w:rsidRDefault="00B0686B" w:rsidP="00371A8B">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Poziom ochrony wymagany dla operacji samolotowych obejmujących wszystkie loty towarowe, loty pocztowe, rozprowadzające, próbne, związane ze </w:t>
      </w:r>
      <w:r w:rsidR="00096164" w:rsidRPr="009E064B">
        <w:rPr>
          <w:rFonts w:asciiTheme="minorHAnsi" w:eastAsia="Calibri" w:hAnsiTheme="minorHAnsi" w:cstheme="minorHAnsi"/>
        </w:rPr>
        <w:t>zmianą miejsca bazowania oraz z </w:t>
      </w:r>
      <w:r w:rsidRPr="009E064B">
        <w:rPr>
          <w:rFonts w:asciiTheme="minorHAnsi" w:eastAsia="Calibri" w:hAnsiTheme="minorHAnsi" w:cstheme="minorHAnsi"/>
        </w:rPr>
        <w:t>wycofaniem z eksploatacji, w tym z przewozem materiałów niebezpiecznych, niezależnie od liczby operacji, może być zmniejszony zgodnie z Tabelą 2 w następujący sposób:</w:t>
      </w:r>
    </w:p>
    <w:p w14:paraId="5CBD70E4" w14:textId="77777777" w:rsidR="00B0686B" w:rsidRPr="009E064B" w:rsidRDefault="00B0686B" w:rsidP="009A68AA">
      <w:pPr>
        <w:widowControl/>
        <w:tabs>
          <w:tab w:val="left" w:pos="709"/>
        </w:tabs>
        <w:spacing w:after="0"/>
        <w:ind w:left="567" w:hanging="567"/>
        <w:rPr>
          <w:rFonts w:asciiTheme="minorHAnsi" w:eastAsia="Calibri" w:hAnsiTheme="minorHAnsi" w:cstheme="minorHAnsi"/>
        </w:rPr>
      </w:pPr>
    </w:p>
    <w:tbl>
      <w:tblPr>
        <w:tblStyle w:val="Tabela-Siatka3"/>
        <w:tblW w:w="6518" w:type="dxa"/>
        <w:jc w:val="center"/>
        <w:tblLook w:val="04A0" w:firstRow="1" w:lastRow="0" w:firstColumn="1" w:lastColumn="0" w:noHBand="0" w:noVBand="1"/>
      </w:tblPr>
      <w:tblGrid>
        <w:gridCol w:w="2835"/>
        <w:gridCol w:w="3683"/>
      </w:tblGrid>
      <w:tr w:rsidR="00B0686B" w:rsidRPr="009E064B" w14:paraId="597792D7" w14:textId="77777777" w:rsidTr="000209A8">
        <w:trPr>
          <w:jc w:val="center"/>
        </w:trPr>
        <w:tc>
          <w:tcPr>
            <w:tcW w:w="2835" w:type="dxa"/>
            <w:tcMar>
              <w:top w:w="85" w:type="dxa"/>
              <w:bottom w:w="85" w:type="dxa"/>
            </w:tcMar>
            <w:vAlign w:val="center"/>
          </w:tcPr>
          <w:p w14:paraId="4A066EF8" w14:textId="77777777" w:rsidR="00B0686B" w:rsidRPr="009E064B" w:rsidRDefault="00B0686B" w:rsidP="004D72AC">
            <w:pPr>
              <w:spacing w:before="40" w:after="40"/>
              <w:jc w:val="center"/>
              <w:rPr>
                <w:rFonts w:asciiTheme="minorHAnsi" w:hAnsiTheme="minorHAnsi" w:cstheme="minorHAnsi"/>
                <w:b/>
              </w:rPr>
            </w:pPr>
            <w:r w:rsidRPr="009E064B">
              <w:rPr>
                <w:rFonts w:asciiTheme="minorHAnsi" w:hAnsiTheme="minorHAnsi" w:cstheme="minorHAnsi"/>
                <w:b/>
              </w:rPr>
              <w:t>Kategoria lotniska</w:t>
            </w:r>
          </w:p>
        </w:tc>
        <w:tc>
          <w:tcPr>
            <w:tcW w:w="3683" w:type="dxa"/>
            <w:tcMar>
              <w:top w:w="85" w:type="dxa"/>
              <w:bottom w:w="85" w:type="dxa"/>
            </w:tcMar>
            <w:vAlign w:val="center"/>
          </w:tcPr>
          <w:p w14:paraId="73DBFCA1" w14:textId="58AF53CB" w:rsidR="00B0686B" w:rsidRPr="009E064B" w:rsidRDefault="00B0686B" w:rsidP="004D72AC">
            <w:pPr>
              <w:spacing w:before="40" w:after="40"/>
              <w:jc w:val="center"/>
              <w:rPr>
                <w:rFonts w:asciiTheme="minorHAnsi" w:hAnsiTheme="minorHAnsi" w:cstheme="minorHAnsi"/>
                <w:b/>
              </w:rPr>
            </w:pPr>
            <w:r w:rsidRPr="009E064B">
              <w:rPr>
                <w:rFonts w:asciiTheme="minorHAnsi" w:hAnsiTheme="minorHAnsi" w:cstheme="minorHAnsi"/>
                <w:b/>
              </w:rPr>
              <w:t xml:space="preserve">Wymagany poziom ochrony </w:t>
            </w:r>
            <w:r w:rsidR="002E1847" w:rsidRPr="009E064B">
              <w:rPr>
                <w:rFonts w:asciiTheme="minorHAnsi" w:hAnsiTheme="minorHAnsi" w:cstheme="minorHAnsi"/>
                <w:b/>
              </w:rPr>
              <w:br/>
            </w:r>
            <w:r w:rsidRPr="009E064B">
              <w:rPr>
                <w:rFonts w:asciiTheme="minorHAnsi" w:hAnsiTheme="minorHAnsi" w:cstheme="minorHAnsi"/>
                <w:b/>
              </w:rPr>
              <w:t>ratowniczo-gaśniczej</w:t>
            </w:r>
          </w:p>
        </w:tc>
      </w:tr>
      <w:tr w:rsidR="00B0686B" w:rsidRPr="009E064B" w14:paraId="2105A0E3" w14:textId="77777777" w:rsidTr="000209A8">
        <w:trPr>
          <w:jc w:val="center"/>
        </w:trPr>
        <w:tc>
          <w:tcPr>
            <w:tcW w:w="2835" w:type="dxa"/>
            <w:tcMar>
              <w:top w:w="85" w:type="dxa"/>
              <w:bottom w:w="85" w:type="dxa"/>
            </w:tcMar>
          </w:tcPr>
          <w:p w14:paraId="5B4920BD"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1</w:t>
            </w:r>
          </w:p>
        </w:tc>
        <w:tc>
          <w:tcPr>
            <w:tcW w:w="3683" w:type="dxa"/>
            <w:tcMar>
              <w:top w:w="85" w:type="dxa"/>
              <w:bottom w:w="85" w:type="dxa"/>
            </w:tcMar>
          </w:tcPr>
          <w:p w14:paraId="1F79DC50"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1</w:t>
            </w:r>
          </w:p>
        </w:tc>
      </w:tr>
      <w:tr w:rsidR="00B0686B" w:rsidRPr="009E064B" w14:paraId="1A9D4622" w14:textId="77777777" w:rsidTr="000209A8">
        <w:trPr>
          <w:jc w:val="center"/>
        </w:trPr>
        <w:tc>
          <w:tcPr>
            <w:tcW w:w="2835" w:type="dxa"/>
            <w:tcMar>
              <w:top w:w="85" w:type="dxa"/>
              <w:bottom w:w="85" w:type="dxa"/>
            </w:tcMar>
          </w:tcPr>
          <w:p w14:paraId="6FF9E44D"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2</w:t>
            </w:r>
          </w:p>
        </w:tc>
        <w:tc>
          <w:tcPr>
            <w:tcW w:w="3683" w:type="dxa"/>
            <w:tcMar>
              <w:top w:w="85" w:type="dxa"/>
              <w:bottom w:w="85" w:type="dxa"/>
            </w:tcMar>
          </w:tcPr>
          <w:p w14:paraId="60B854E2"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2</w:t>
            </w:r>
          </w:p>
        </w:tc>
      </w:tr>
      <w:tr w:rsidR="00B0686B" w:rsidRPr="009E064B" w14:paraId="26414AE3" w14:textId="77777777" w:rsidTr="000209A8">
        <w:trPr>
          <w:jc w:val="center"/>
        </w:trPr>
        <w:tc>
          <w:tcPr>
            <w:tcW w:w="2835" w:type="dxa"/>
            <w:tcMar>
              <w:top w:w="85" w:type="dxa"/>
              <w:bottom w:w="85" w:type="dxa"/>
            </w:tcMar>
          </w:tcPr>
          <w:p w14:paraId="1E984CA3"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3</w:t>
            </w:r>
          </w:p>
        </w:tc>
        <w:tc>
          <w:tcPr>
            <w:tcW w:w="3683" w:type="dxa"/>
            <w:tcMar>
              <w:top w:w="85" w:type="dxa"/>
              <w:bottom w:w="85" w:type="dxa"/>
            </w:tcMar>
          </w:tcPr>
          <w:p w14:paraId="53C0CB3A"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3</w:t>
            </w:r>
          </w:p>
        </w:tc>
      </w:tr>
      <w:tr w:rsidR="00B0686B" w:rsidRPr="009E064B" w14:paraId="191CC7CA" w14:textId="77777777" w:rsidTr="000209A8">
        <w:trPr>
          <w:jc w:val="center"/>
        </w:trPr>
        <w:tc>
          <w:tcPr>
            <w:tcW w:w="2835" w:type="dxa"/>
            <w:tcMar>
              <w:top w:w="85" w:type="dxa"/>
              <w:bottom w:w="85" w:type="dxa"/>
            </w:tcMar>
          </w:tcPr>
          <w:p w14:paraId="31E29FA3"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4</w:t>
            </w:r>
          </w:p>
        </w:tc>
        <w:tc>
          <w:tcPr>
            <w:tcW w:w="3683" w:type="dxa"/>
            <w:tcMar>
              <w:top w:w="85" w:type="dxa"/>
              <w:bottom w:w="85" w:type="dxa"/>
            </w:tcMar>
          </w:tcPr>
          <w:p w14:paraId="5E12FA64"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4</w:t>
            </w:r>
          </w:p>
        </w:tc>
      </w:tr>
      <w:tr w:rsidR="00B0686B" w:rsidRPr="009E064B" w14:paraId="465B5202" w14:textId="77777777" w:rsidTr="000209A8">
        <w:trPr>
          <w:jc w:val="center"/>
        </w:trPr>
        <w:tc>
          <w:tcPr>
            <w:tcW w:w="2835" w:type="dxa"/>
            <w:tcMar>
              <w:top w:w="85" w:type="dxa"/>
              <w:bottom w:w="85" w:type="dxa"/>
            </w:tcMar>
          </w:tcPr>
          <w:p w14:paraId="002954B9"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5</w:t>
            </w:r>
          </w:p>
        </w:tc>
        <w:tc>
          <w:tcPr>
            <w:tcW w:w="3683" w:type="dxa"/>
            <w:tcMar>
              <w:top w:w="85" w:type="dxa"/>
              <w:bottom w:w="85" w:type="dxa"/>
            </w:tcMar>
          </w:tcPr>
          <w:p w14:paraId="4CA3E37F"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5</w:t>
            </w:r>
          </w:p>
        </w:tc>
      </w:tr>
      <w:tr w:rsidR="00B0686B" w:rsidRPr="009E064B" w14:paraId="239D90A3" w14:textId="77777777" w:rsidTr="000209A8">
        <w:trPr>
          <w:jc w:val="center"/>
        </w:trPr>
        <w:tc>
          <w:tcPr>
            <w:tcW w:w="2835" w:type="dxa"/>
            <w:tcMar>
              <w:top w:w="85" w:type="dxa"/>
              <w:bottom w:w="85" w:type="dxa"/>
            </w:tcMar>
          </w:tcPr>
          <w:p w14:paraId="3865FAE8"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6</w:t>
            </w:r>
          </w:p>
        </w:tc>
        <w:tc>
          <w:tcPr>
            <w:tcW w:w="3683" w:type="dxa"/>
            <w:tcMar>
              <w:top w:w="85" w:type="dxa"/>
              <w:bottom w:w="85" w:type="dxa"/>
            </w:tcMar>
          </w:tcPr>
          <w:p w14:paraId="3B576A80"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5</w:t>
            </w:r>
          </w:p>
        </w:tc>
      </w:tr>
      <w:tr w:rsidR="00B0686B" w:rsidRPr="009E064B" w14:paraId="4B143868" w14:textId="77777777" w:rsidTr="000209A8">
        <w:trPr>
          <w:jc w:val="center"/>
        </w:trPr>
        <w:tc>
          <w:tcPr>
            <w:tcW w:w="2835" w:type="dxa"/>
            <w:tcMar>
              <w:top w:w="85" w:type="dxa"/>
              <w:bottom w:w="85" w:type="dxa"/>
            </w:tcMar>
          </w:tcPr>
          <w:p w14:paraId="6EC27269"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7</w:t>
            </w:r>
          </w:p>
        </w:tc>
        <w:tc>
          <w:tcPr>
            <w:tcW w:w="3683" w:type="dxa"/>
            <w:tcMar>
              <w:top w:w="85" w:type="dxa"/>
              <w:bottom w:w="85" w:type="dxa"/>
            </w:tcMar>
          </w:tcPr>
          <w:p w14:paraId="34AC2500"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6</w:t>
            </w:r>
          </w:p>
        </w:tc>
      </w:tr>
      <w:tr w:rsidR="00B0686B" w:rsidRPr="009E064B" w14:paraId="3FEA97EB" w14:textId="77777777" w:rsidTr="000209A8">
        <w:trPr>
          <w:jc w:val="center"/>
        </w:trPr>
        <w:tc>
          <w:tcPr>
            <w:tcW w:w="2835" w:type="dxa"/>
            <w:tcMar>
              <w:top w:w="85" w:type="dxa"/>
              <w:bottom w:w="85" w:type="dxa"/>
            </w:tcMar>
          </w:tcPr>
          <w:p w14:paraId="61C4CB97"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8</w:t>
            </w:r>
          </w:p>
        </w:tc>
        <w:tc>
          <w:tcPr>
            <w:tcW w:w="3683" w:type="dxa"/>
            <w:tcMar>
              <w:top w:w="85" w:type="dxa"/>
              <w:bottom w:w="85" w:type="dxa"/>
            </w:tcMar>
          </w:tcPr>
          <w:p w14:paraId="55C34994"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6</w:t>
            </w:r>
          </w:p>
        </w:tc>
      </w:tr>
      <w:tr w:rsidR="00B0686B" w:rsidRPr="009E064B" w14:paraId="6D5F613E" w14:textId="77777777" w:rsidTr="000209A8">
        <w:trPr>
          <w:jc w:val="center"/>
        </w:trPr>
        <w:tc>
          <w:tcPr>
            <w:tcW w:w="2835" w:type="dxa"/>
            <w:tcMar>
              <w:top w:w="85" w:type="dxa"/>
              <w:bottom w:w="85" w:type="dxa"/>
            </w:tcMar>
          </w:tcPr>
          <w:p w14:paraId="25D2F474"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9</w:t>
            </w:r>
          </w:p>
        </w:tc>
        <w:tc>
          <w:tcPr>
            <w:tcW w:w="3683" w:type="dxa"/>
            <w:tcMar>
              <w:top w:w="85" w:type="dxa"/>
              <w:bottom w:w="85" w:type="dxa"/>
            </w:tcMar>
          </w:tcPr>
          <w:p w14:paraId="28F8D711"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7</w:t>
            </w:r>
          </w:p>
        </w:tc>
      </w:tr>
      <w:tr w:rsidR="00B0686B" w:rsidRPr="009E064B" w14:paraId="25C2CA86" w14:textId="77777777" w:rsidTr="000209A8">
        <w:trPr>
          <w:jc w:val="center"/>
        </w:trPr>
        <w:tc>
          <w:tcPr>
            <w:tcW w:w="2835" w:type="dxa"/>
            <w:tcMar>
              <w:top w:w="85" w:type="dxa"/>
              <w:bottom w:w="85" w:type="dxa"/>
            </w:tcMar>
          </w:tcPr>
          <w:p w14:paraId="7F227EF5"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10</w:t>
            </w:r>
          </w:p>
        </w:tc>
        <w:tc>
          <w:tcPr>
            <w:tcW w:w="3683" w:type="dxa"/>
            <w:tcMar>
              <w:top w:w="85" w:type="dxa"/>
              <w:bottom w:w="85" w:type="dxa"/>
            </w:tcMar>
          </w:tcPr>
          <w:p w14:paraId="696D6B85" w14:textId="77777777" w:rsidR="00B0686B" w:rsidRPr="009E064B" w:rsidRDefault="00B0686B" w:rsidP="000209A8">
            <w:pPr>
              <w:spacing w:after="0"/>
              <w:jc w:val="center"/>
              <w:rPr>
                <w:rFonts w:asciiTheme="minorHAnsi" w:hAnsiTheme="minorHAnsi" w:cstheme="minorHAnsi"/>
              </w:rPr>
            </w:pPr>
            <w:r w:rsidRPr="009E064B">
              <w:rPr>
                <w:rFonts w:asciiTheme="minorHAnsi" w:hAnsiTheme="minorHAnsi" w:cstheme="minorHAnsi"/>
              </w:rPr>
              <w:t>7</w:t>
            </w:r>
          </w:p>
        </w:tc>
      </w:tr>
    </w:tbl>
    <w:p w14:paraId="3CE03E29" w14:textId="77777777" w:rsidR="00B0686B" w:rsidRPr="000209A8" w:rsidRDefault="00B0686B" w:rsidP="004D72AC">
      <w:pPr>
        <w:widowControl/>
        <w:spacing w:before="240" w:after="360"/>
        <w:jc w:val="center"/>
        <w:rPr>
          <w:rFonts w:asciiTheme="minorHAnsi" w:eastAsia="Calibri" w:hAnsiTheme="minorHAnsi" w:cstheme="minorHAnsi"/>
          <w:b/>
          <w:sz w:val="20"/>
        </w:rPr>
      </w:pPr>
      <w:r w:rsidRPr="000209A8">
        <w:rPr>
          <w:rFonts w:asciiTheme="minorHAnsi" w:eastAsia="Calibri" w:hAnsiTheme="minorHAnsi" w:cstheme="minorHAnsi"/>
          <w:b/>
          <w:sz w:val="20"/>
        </w:rPr>
        <w:t>Tabela 2</w:t>
      </w:r>
    </w:p>
    <w:p w14:paraId="01BD8FAD"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(d)</w:t>
      </w:r>
      <w:r w:rsidRPr="009E064B">
        <w:rPr>
          <w:rFonts w:asciiTheme="minorHAnsi" w:eastAsia="Calibri" w:hAnsiTheme="minorHAnsi" w:cstheme="minorHAnsi"/>
        </w:rPr>
        <w:tab/>
        <w:t>W celu dokonania oceny czy poziom zapewnianej ochrony ratowniczo-gaśniczej jest odpowiedni do kategorii lotniska w zakresie ratowniczo-gaśniczym, operator lotniska powinien, co najmniej raz na rok, prognozować ruch lotniskowy przewidywany do obsługi na danym lotnisku w okresie następnych dwunastu miesięcy. Posiadając wiedzę o planowanych zmianach w wielkości oraz strukturze ruchu konieczne może okazać się przeprowadzenie dodatkowych ocen. W trakcie ich realizacji operator lotniska może korzystać ze wszystkich informacji udostępnionych przez operatorów samolotów jak również ze statystyk operacji lotniczych z roku poprzedzającego ocenę.</w:t>
      </w:r>
    </w:p>
    <w:p w14:paraId="603D9F16"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(e)</w:t>
      </w:r>
      <w:r w:rsidRPr="009E064B">
        <w:rPr>
          <w:rFonts w:asciiTheme="minorHAnsi" w:eastAsia="Calibri" w:hAnsiTheme="minorHAnsi" w:cstheme="minorHAnsi"/>
        </w:rPr>
        <w:tab/>
        <w:t>Nieprzewidziane okoliczności prowadzące do tymczasowego obniżenia poziomu ochrony ratowniczo-gaśniczej lotniska są uznawane za nieplanowane zdarzenia, które skutkują niedostępnością infrastruktury, sprzętu i zasobów.</w:t>
      </w:r>
    </w:p>
    <w:p w14:paraId="370CF486" w14:textId="6F92B90A" w:rsidR="004D72AC"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(f)</w:t>
      </w:r>
      <w:r w:rsidRPr="009E064B">
        <w:rPr>
          <w:rFonts w:asciiTheme="minorHAnsi" w:eastAsia="Calibri" w:hAnsiTheme="minorHAnsi" w:cstheme="minorHAnsi"/>
        </w:rPr>
        <w:tab/>
        <w:t>W przypadku lądowań awaryjnych oraz sytuacji kiedy w opinii dowódcy statku powietrznego zmiana trasy lub oczekiwanie mogą powodować poważniejsze zagrożenie, operacje samolotów, których wymagana kategoria jest wyższa aniżeli poziom ochrony zapewniany przez lotnisko, powinny być dozwolone niezależnie od dostępnego poziomu ochrony ratowniczo-gaśniczej.</w:t>
      </w:r>
    </w:p>
    <w:p w14:paraId="070D87E2" w14:textId="3433E161" w:rsidR="00B0686B" w:rsidRPr="009E064B" w:rsidRDefault="00B0686B" w:rsidP="00133B99">
      <w:pPr>
        <w:pStyle w:val="Nagwek5"/>
      </w:pPr>
      <w:bookmarkStart w:id="568" w:name="_Toc492024704"/>
      <w:bookmarkStart w:id="569" w:name="_Toc12532809"/>
      <w:r w:rsidRPr="009E064B">
        <w:t xml:space="preserve">AMC3 ADR.OPS.B.010(a)(2) </w:t>
      </w:r>
      <w:r w:rsidR="006A01C0" w:rsidRPr="009E064B">
        <w:t xml:space="preserve">    </w:t>
      </w:r>
      <w:r w:rsidRPr="009E064B">
        <w:t>Służby ratowniczo-gaśnicze</w:t>
      </w:r>
      <w:bookmarkEnd w:id="568"/>
      <w:bookmarkEnd w:id="569"/>
    </w:p>
    <w:p w14:paraId="2D229C5B" w14:textId="450E07C5"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23D50BD4"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LICZBA POJAZDÓW RATOWNICZO-GAŚNICZYCH</w:t>
      </w:r>
    </w:p>
    <w:p w14:paraId="3F33836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zapewnić, że:</w:t>
      </w:r>
    </w:p>
    <w:p w14:paraId="78952428" w14:textId="798876C4" w:rsidR="009A68AA" w:rsidRPr="009E064B" w:rsidRDefault="00B0686B" w:rsidP="009A68A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minimalna liczba pojazdów ratowniczo-gaśniczych znajdujących się na lotnisku, potrzebna do skutecznego dostarczania oraz podawania środków gaśniczych określonych dla danej kategorii lotniska</w:t>
      </w:r>
      <w:r w:rsidR="00147E9B" w:rsidRPr="009E064B">
        <w:rPr>
          <w:rFonts w:asciiTheme="minorHAnsi" w:eastAsia="Calibri" w:hAnsiTheme="minorHAnsi" w:cstheme="minorHAnsi"/>
        </w:rPr>
        <w:t>, jest zgodna z poniższą t</w:t>
      </w:r>
      <w:r w:rsidR="009A68AA" w:rsidRPr="009E064B">
        <w:rPr>
          <w:rFonts w:asciiTheme="minorHAnsi" w:eastAsia="Calibri" w:hAnsiTheme="minorHAnsi" w:cstheme="minorHAnsi"/>
        </w:rPr>
        <w:t>abelą, oraz</w:t>
      </w:r>
    </w:p>
    <w:p w14:paraId="072F3BA8" w14:textId="77777777" w:rsidR="00B0686B" w:rsidRPr="009E064B" w:rsidRDefault="00B0686B" w:rsidP="009A68AA">
      <w:pPr>
        <w:widowControl/>
        <w:tabs>
          <w:tab w:val="left" w:pos="1134"/>
        </w:tabs>
        <w:spacing w:after="0"/>
        <w:ind w:left="1134" w:hanging="567"/>
        <w:rPr>
          <w:rFonts w:asciiTheme="minorHAnsi" w:eastAsia="Calibri" w:hAnsiTheme="minorHAnsi" w:cstheme="minorHAns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81"/>
        <w:gridCol w:w="2981"/>
      </w:tblGrid>
      <w:tr w:rsidR="00B0686B" w:rsidRPr="009E064B" w14:paraId="0B12523D" w14:textId="77777777" w:rsidTr="00371A8B">
        <w:trPr>
          <w:jc w:val="center"/>
        </w:trPr>
        <w:tc>
          <w:tcPr>
            <w:tcW w:w="2981" w:type="dxa"/>
            <w:tcMar>
              <w:top w:w="85" w:type="dxa"/>
              <w:bottom w:w="85" w:type="dxa"/>
            </w:tcMar>
            <w:vAlign w:val="center"/>
          </w:tcPr>
          <w:p w14:paraId="0F33296C" w14:textId="77777777" w:rsidR="00B0686B" w:rsidRPr="009E064B" w:rsidRDefault="00B0686B" w:rsidP="004D72AC">
            <w:pPr>
              <w:widowControl/>
              <w:spacing w:before="40" w:after="40"/>
              <w:jc w:val="center"/>
              <w:rPr>
                <w:rFonts w:asciiTheme="minorHAnsi" w:eastAsia="Calibri" w:hAnsiTheme="minorHAnsi" w:cstheme="minorHAnsi"/>
                <w:b/>
              </w:rPr>
            </w:pPr>
            <w:r w:rsidRPr="009E064B">
              <w:rPr>
                <w:rFonts w:asciiTheme="minorHAnsi" w:eastAsia="Calibri" w:hAnsiTheme="minorHAnsi" w:cstheme="minorHAnsi"/>
                <w:b/>
              </w:rPr>
              <w:br w:type="page"/>
              <w:t>Kategoria lotniska</w:t>
            </w:r>
          </w:p>
        </w:tc>
        <w:tc>
          <w:tcPr>
            <w:tcW w:w="2981" w:type="dxa"/>
            <w:tcMar>
              <w:top w:w="85" w:type="dxa"/>
              <w:bottom w:w="85" w:type="dxa"/>
            </w:tcMar>
            <w:vAlign w:val="center"/>
          </w:tcPr>
          <w:p w14:paraId="38C8D14D" w14:textId="77777777" w:rsidR="00B0686B" w:rsidRPr="009E064B" w:rsidRDefault="00B0686B" w:rsidP="004D72AC">
            <w:pPr>
              <w:widowControl/>
              <w:spacing w:before="40" w:after="40"/>
              <w:jc w:val="center"/>
              <w:rPr>
                <w:rFonts w:asciiTheme="minorHAnsi" w:eastAsia="Calibri" w:hAnsiTheme="minorHAnsi" w:cstheme="minorHAnsi"/>
                <w:b/>
              </w:rPr>
            </w:pPr>
            <w:r w:rsidRPr="009E064B">
              <w:rPr>
                <w:rFonts w:asciiTheme="minorHAnsi" w:eastAsia="Calibri" w:hAnsiTheme="minorHAnsi" w:cstheme="minorHAnsi"/>
                <w:b/>
              </w:rPr>
              <w:t>Liczba pojazdów ratowniczo-gaśniczych</w:t>
            </w:r>
          </w:p>
        </w:tc>
      </w:tr>
      <w:tr w:rsidR="00B0686B" w:rsidRPr="009E064B" w14:paraId="76C54383" w14:textId="77777777" w:rsidTr="00371A8B">
        <w:trPr>
          <w:jc w:val="center"/>
        </w:trPr>
        <w:tc>
          <w:tcPr>
            <w:tcW w:w="2981" w:type="dxa"/>
            <w:tcMar>
              <w:top w:w="85" w:type="dxa"/>
              <w:bottom w:w="85" w:type="dxa"/>
            </w:tcMar>
            <w:vAlign w:val="center"/>
          </w:tcPr>
          <w:p w14:paraId="58E9AAC7"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c>
          <w:tcPr>
            <w:tcW w:w="2981" w:type="dxa"/>
            <w:tcMar>
              <w:top w:w="85" w:type="dxa"/>
              <w:bottom w:w="85" w:type="dxa"/>
            </w:tcMar>
            <w:vAlign w:val="center"/>
          </w:tcPr>
          <w:p w14:paraId="17496C1D"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r>
      <w:tr w:rsidR="00B0686B" w:rsidRPr="009E064B" w14:paraId="00E5EF3D" w14:textId="77777777" w:rsidTr="00371A8B">
        <w:trPr>
          <w:jc w:val="center"/>
        </w:trPr>
        <w:tc>
          <w:tcPr>
            <w:tcW w:w="2981" w:type="dxa"/>
            <w:tcMar>
              <w:top w:w="85" w:type="dxa"/>
              <w:bottom w:w="85" w:type="dxa"/>
            </w:tcMar>
            <w:vAlign w:val="center"/>
          </w:tcPr>
          <w:p w14:paraId="08BBF486"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2</w:t>
            </w:r>
          </w:p>
        </w:tc>
        <w:tc>
          <w:tcPr>
            <w:tcW w:w="2981" w:type="dxa"/>
            <w:tcMar>
              <w:top w:w="85" w:type="dxa"/>
              <w:bottom w:w="85" w:type="dxa"/>
            </w:tcMar>
            <w:vAlign w:val="center"/>
          </w:tcPr>
          <w:p w14:paraId="2DA07CF1"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r>
      <w:tr w:rsidR="00B0686B" w:rsidRPr="009E064B" w14:paraId="118D3184" w14:textId="77777777" w:rsidTr="00371A8B">
        <w:trPr>
          <w:jc w:val="center"/>
        </w:trPr>
        <w:tc>
          <w:tcPr>
            <w:tcW w:w="2981" w:type="dxa"/>
            <w:tcMar>
              <w:top w:w="85" w:type="dxa"/>
              <w:bottom w:w="85" w:type="dxa"/>
            </w:tcMar>
            <w:vAlign w:val="center"/>
          </w:tcPr>
          <w:p w14:paraId="1017A7CB"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3</w:t>
            </w:r>
          </w:p>
        </w:tc>
        <w:tc>
          <w:tcPr>
            <w:tcW w:w="2981" w:type="dxa"/>
            <w:tcMar>
              <w:top w:w="85" w:type="dxa"/>
              <w:bottom w:w="85" w:type="dxa"/>
            </w:tcMar>
            <w:vAlign w:val="center"/>
          </w:tcPr>
          <w:p w14:paraId="768CC5CD"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r>
      <w:tr w:rsidR="00B0686B" w:rsidRPr="009E064B" w14:paraId="22DC6993" w14:textId="77777777" w:rsidTr="00371A8B">
        <w:trPr>
          <w:jc w:val="center"/>
        </w:trPr>
        <w:tc>
          <w:tcPr>
            <w:tcW w:w="2981" w:type="dxa"/>
            <w:tcMar>
              <w:top w:w="85" w:type="dxa"/>
              <w:bottom w:w="85" w:type="dxa"/>
            </w:tcMar>
            <w:vAlign w:val="center"/>
          </w:tcPr>
          <w:p w14:paraId="70B13D56"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4</w:t>
            </w:r>
          </w:p>
        </w:tc>
        <w:tc>
          <w:tcPr>
            <w:tcW w:w="2981" w:type="dxa"/>
            <w:tcMar>
              <w:top w:w="85" w:type="dxa"/>
              <w:bottom w:w="85" w:type="dxa"/>
            </w:tcMar>
            <w:vAlign w:val="center"/>
          </w:tcPr>
          <w:p w14:paraId="5A8B08C6"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r>
      <w:tr w:rsidR="00B0686B" w:rsidRPr="009E064B" w14:paraId="36EABD2B" w14:textId="77777777" w:rsidTr="00371A8B">
        <w:trPr>
          <w:jc w:val="center"/>
        </w:trPr>
        <w:tc>
          <w:tcPr>
            <w:tcW w:w="2981" w:type="dxa"/>
            <w:tcMar>
              <w:top w:w="85" w:type="dxa"/>
              <w:bottom w:w="85" w:type="dxa"/>
            </w:tcMar>
            <w:vAlign w:val="center"/>
          </w:tcPr>
          <w:p w14:paraId="7CCAF77A"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5</w:t>
            </w:r>
          </w:p>
        </w:tc>
        <w:tc>
          <w:tcPr>
            <w:tcW w:w="2981" w:type="dxa"/>
            <w:tcMar>
              <w:top w:w="85" w:type="dxa"/>
              <w:bottom w:w="85" w:type="dxa"/>
            </w:tcMar>
            <w:vAlign w:val="center"/>
          </w:tcPr>
          <w:p w14:paraId="118503AD"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w:t>
            </w:r>
          </w:p>
        </w:tc>
      </w:tr>
      <w:tr w:rsidR="00B0686B" w:rsidRPr="009E064B" w14:paraId="46A51809" w14:textId="77777777" w:rsidTr="00371A8B">
        <w:trPr>
          <w:jc w:val="center"/>
        </w:trPr>
        <w:tc>
          <w:tcPr>
            <w:tcW w:w="2981" w:type="dxa"/>
            <w:tcMar>
              <w:top w:w="85" w:type="dxa"/>
              <w:bottom w:w="85" w:type="dxa"/>
            </w:tcMar>
            <w:vAlign w:val="center"/>
          </w:tcPr>
          <w:p w14:paraId="6667F2BC"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6</w:t>
            </w:r>
          </w:p>
        </w:tc>
        <w:tc>
          <w:tcPr>
            <w:tcW w:w="2981" w:type="dxa"/>
            <w:tcMar>
              <w:top w:w="85" w:type="dxa"/>
              <w:bottom w:w="85" w:type="dxa"/>
            </w:tcMar>
            <w:vAlign w:val="center"/>
          </w:tcPr>
          <w:p w14:paraId="3CD80784"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2</w:t>
            </w:r>
          </w:p>
        </w:tc>
      </w:tr>
      <w:tr w:rsidR="00B0686B" w:rsidRPr="009E064B" w14:paraId="2023EB67" w14:textId="77777777" w:rsidTr="00371A8B">
        <w:trPr>
          <w:jc w:val="center"/>
        </w:trPr>
        <w:tc>
          <w:tcPr>
            <w:tcW w:w="2981" w:type="dxa"/>
            <w:tcMar>
              <w:top w:w="85" w:type="dxa"/>
              <w:bottom w:w="85" w:type="dxa"/>
            </w:tcMar>
            <w:vAlign w:val="center"/>
          </w:tcPr>
          <w:p w14:paraId="4697FD3E"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7</w:t>
            </w:r>
          </w:p>
        </w:tc>
        <w:tc>
          <w:tcPr>
            <w:tcW w:w="2981" w:type="dxa"/>
            <w:tcMar>
              <w:top w:w="85" w:type="dxa"/>
              <w:bottom w:w="85" w:type="dxa"/>
            </w:tcMar>
            <w:vAlign w:val="center"/>
          </w:tcPr>
          <w:p w14:paraId="4FDB038C"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2</w:t>
            </w:r>
          </w:p>
        </w:tc>
      </w:tr>
      <w:tr w:rsidR="00B0686B" w:rsidRPr="009E064B" w14:paraId="225C6D4A" w14:textId="77777777" w:rsidTr="00371A8B">
        <w:trPr>
          <w:jc w:val="center"/>
        </w:trPr>
        <w:tc>
          <w:tcPr>
            <w:tcW w:w="2981" w:type="dxa"/>
            <w:tcMar>
              <w:top w:w="85" w:type="dxa"/>
              <w:bottom w:w="85" w:type="dxa"/>
            </w:tcMar>
            <w:vAlign w:val="center"/>
          </w:tcPr>
          <w:p w14:paraId="1D0A8438"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8</w:t>
            </w:r>
          </w:p>
        </w:tc>
        <w:tc>
          <w:tcPr>
            <w:tcW w:w="2981" w:type="dxa"/>
            <w:tcMar>
              <w:top w:w="85" w:type="dxa"/>
              <w:bottom w:w="85" w:type="dxa"/>
            </w:tcMar>
            <w:vAlign w:val="center"/>
          </w:tcPr>
          <w:p w14:paraId="377F1BDB"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3</w:t>
            </w:r>
          </w:p>
        </w:tc>
      </w:tr>
      <w:tr w:rsidR="00B0686B" w:rsidRPr="009E064B" w14:paraId="2A827C1C" w14:textId="77777777" w:rsidTr="00371A8B">
        <w:trPr>
          <w:jc w:val="center"/>
        </w:trPr>
        <w:tc>
          <w:tcPr>
            <w:tcW w:w="2981" w:type="dxa"/>
            <w:tcMar>
              <w:top w:w="85" w:type="dxa"/>
              <w:bottom w:w="85" w:type="dxa"/>
            </w:tcMar>
            <w:vAlign w:val="center"/>
          </w:tcPr>
          <w:p w14:paraId="4ED9635C"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9</w:t>
            </w:r>
          </w:p>
        </w:tc>
        <w:tc>
          <w:tcPr>
            <w:tcW w:w="2981" w:type="dxa"/>
            <w:tcMar>
              <w:top w:w="85" w:type="dxa"/>
              <w:bottom w:w="85" w:type="dxa"/>
            </w:tcMar>
            <w:vAlign w:val="center"/>
          </w:tcPr>
          <w:p w14:paraId="04C59219"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3</w:t>
            </w:r>
          </w:p>
        </w:tc>
      </w:tr>
      <w:tr w:rsidR="00B0686B" w:rsidRPr="009E064B" w14:paraId="661C8140" w14:textId="77777777" w:rsidTr="00371A8B">
        <w:trPr>
          <w:jc w:val="center"/>
        </w:trPr>
        <w:tc>
          <w:tcPr>
            <w:tcW w:w="2981" w:type="dxa"/>
            <w:tcMar>
              <w:top w:w="85" w:type="dxa"/>
              <w:bottom w:w="85" w:type="dxa"/>
            </w:tcMar>
            <w:vAlign w:val="center"/>
          </w:tcPr>
          <w:p w14:paraId="6AE00C65"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10</w:t>
            </w:r>
          </w:p>
        </w:tc>
        <w:tc>
          <w:tcPr>
            <w:tcW w:w="2981" w:type="dxa"/>
            <w:tcMar>
              <w:top w:w="85" w:type="dxa"/>
              <w:bottom w:w="85" w:type="dxa"/>
            </w:tcMar>
            <w:vAlign w:val="center"/>
          </w:tcPr>
          <w:p w14:paraId="304870CF" w14:textId="77777777" w:rsidR="00B0686B" w:rsidRPr="009E064B" w:rsidRDefault="00B0686B" w:rsidP="000209A8">
            <w:pPr>
              <w:widowControl/>
              <w:spacing w:after="0"/>
              <w:jc w:val="center"/>
              <w:rPr>
                <w:rFonts w:asciiTheme="minorHAnsi" w:eastAsia="Calibri" w:hAnsiTheme="minorHAnsi" w:cstheme="minorHAnsi"/>
              </w:rPr>
            </w:pPr>
            <w:r w:rsidRPr="009E064B">
              <w:rPr>
                <w:rFonts w:asciiTheme="minorHAnsi" w:eastAsia="Calibri" w:hAnsiTheme="minorHAnsi" w:cstheme="minorHAnsi"/>
              </w:rPr>
              <w:t>3</w:t>
            </w:r>
          </w:p>
        </w:tc>
      </w:tr>
    </w:tbl>
    <w:p w14:paraId="6E975C19" w14:textId="77777777" w:rsidR="00B0686B" w:rsidRPr="000209A8" w:rsidRDefault="00B0686B" w:rsidP="00C0606B">
      <w:pPr>
        <w:widowControl/>
        <w:spacing w:before="240" w:after="360"/>
        <w:jc w:val="center"/>
        <w:rPr>
          <w:rFonts w:asciiTheme="minorHAnsi" w:eastAsia="Calibri" w:hAnsiTheme="minorHAnsi" w:cstheme="minorHAnsi"/>
          <w:b/>
        </w:rPr>
      </w:pPr>
      <w:r w:rsidRPr="000209A8">
        <w:rPr>
          <w:rFonts w:asciiTheme="minorHAnsi" w:eastAsia="Calibri" w:hAnsiTheme="minorHAnsi" w:cstheme="minorHAnsi"/>
          <w:b/>
        </w:rPr>
        <w:t>Tabela 1</w:t>
      </w:r>
    </w:p>
    <w:p w14:paraId="3FB521D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pojazdy ratowniczo-gaśnicze są wyposażone w odpowiedni sprzęt ratowniczo-gaśniczy, współmierny do poziomu operacji statków powietrznych na lotnisku.</w:t>
      </w:r>
    </w:p>
    <w:p w14:paraId="22E03190" w14:textId="08BA0B56" w:rsidR="00C060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Jeżeli lotnisko znajduje się w pobliżu zbiorników wodnych</w:t>
      </w:r>
      <w:r w:rsidR="00371A8B" w:rsidRPr="009E064B">
        <w:rPr>
          <w:rFonts w:asciiTheme="minorHAnsi" w:eastAsia="Calibri" w:hAnsiTheme="minorHAnsi" w:cstheme="minorHAnsi"/>
        </w:rPr>
        <w:t> </w:t>
      </w:r>
      <w:r w:rsidRPr="009E064B">
        <w:rPr>
          <w:rFonts w:asciiTheme="minorHAnsi" w:eastAsia="Calibri" w:hAnsiTheme="minorHAnsi" w:cstheme="minorHAnsi"/>
        </w:rPr>
        <w:t>/</w:t>
      </w:r>
      <w:r w:rsidR="00371A8B" w:rsidRPr="009E064B">
        <w:rPr>
          <w:rFonts w:asciiTheme="minorHAnsi" w:eastAsia="Calibri" w:hAnsiTheme="minorHAnsi" w:cstheme="minorHAnsi"/>
        </w:rPr>
        <w:t> </w:t>
      </w:r>
      <w:r w:rsidRPr="009E064B">
        <w:rPr>
          <w:rFonts w:asciiTheme="minorHAnsi" w:eastAsia="Calibri" w:hAnsiTheme="minorHAnsi" w:cstheme="minorHAnsi"/>
        </w:rPr>
        <w:t>obszarów bagnistych lub w</w:t>
      </w:r>
      <w:r w:rsidR="002E1847" w:rsidRPr="009E064B">
        <w:rPr>
          <w:rFonts w:asciiTheme="minorHAnsi" w:eastAsia="Calibri" w:hAnsiTheme="minorHAnsi" w:cstheme="minorHAnsi"/>
        </w:rPr>
        <w:t xml:space="preserve"> </w:t>
      </w:r>
      <w:r w:rsidRPr="009E064B">
        <w:rPr>
          <w:rFonts w:asciiTheme="minorHAnsi" w:eastAsia="Calibri" w:hAnsiTheme="minorHAnsi" w:cstheme="minorHAnsi"/>
        </w:rPr>
        <w:t>trudno dostępnym terenie i znaczna część operacji podejścia lub</w:t>
      </w:r>
      <w:r w:rsidR="009B2994" w:rsidRPr="009E064B">
        <w:rPr>
          <w:rFonts w:asciiTheme="minorHAnsi" w:eastAsia="Calibri" w:hAnsiTheme="minorHAnsi" w:cstheme="minorHAnsi"/>
        </w:rPr>
        <w:t xml:space="preserve"> odlotu odbywa się nad nimi, to </w:t>
      </w:r>
      <w:r w:rsidRPr="009E064B">
        <w:rPr>
          <w:rFonts w:asciiTheme="minorHAnsi" w:eastAsia="Calibri" w:hAnsiTheme="minorHAnsi" w:cstheme="minorHAnsi"/>
        </w:rPr>
        <w:t>operator lotniska powinien koordynować dostępność odpowiedniego wyposażenia ratowniczego oraz służb.</w:t>
      </w:r>
    </w:p>
    <w:p w14:paraId="0DDA2FD7" w14:textId="7D1AE859" w:rsidR="00B0686B" w:rsidRPr="009E064B" w:rsidRDefault="006A01C0" w:rsidP="00133B99">
      <w:pPr>
        <w:pStyle w:val="Nagwek5"/>
      </w:pPr>
      <w:bookmarkStart w:id="570" w:name="_AMC4_ADR.OPS.B.010(a)(2)_"/>
      <w:bookmarkStart w:id="571" w:name="_Toc492024705"/>
      <w:bookmarkStart w:id="572" w:name="_Toc12532810"/>
      <w:bookmarkEnd w:id="570"/>
      <w:r w:rsidRPr="009E064B">
        <w:t xml:space="preserve">AMC4 ADR.OPS.B.010(a)(2)     </w:t>
      </w:r>
      <w:r w:rsidR="00B0686B" w:rsidRPr="009E064B">
        <w:t>Służby ratowniczo-gaśnicze</w:t>
      </w:r>
      <w:bookmarkEnd w:id="571"/>
      <w:bookmarkEnd w:id="572"/>
    </w:p>
    <w:p w14:paraId="066A0C5F" w14:textId="721BEE49"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2D695402"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ŚRODKI GAŚNICZE</w:t>
      </w:r>
    </w:p>
    <w:p w14:paraId="3CC88CBF"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zapewnić, że:</w:t>
      </w:r>
    </w:p>
    <w:p w14:paraId="74CC41D1" w14:textId="77777777" w:rsidR="00B0686B" w:rsidRPr="009E064B" w:rsidRDefault="00B0686B"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lotnisko posiada do dyspozycji zarówno główny środek gaśniczy jak i uzupełniające środki gaśnicze;</w:t>
      </w:r>
    </w:p>
    <w:p w14:paraId="5B05E53C"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główny środkiem gaśniczym jest:</w:t>
      </w:r>
    </w:p>
    <w:p w14:paraId="0C3827C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piana gaśnicza o parametrach spełniających minimalne wymagania pian gaśniczych poziomu A; lub</w:t>
      </w:r>
    </w:p>
    <w:p w14:paraId="615BF116"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piana gaśnicza o parametrach spełniających minimalne wymagania pian gaśniczych poziomu B; lub</w:t>
      </w:r>
    </w:p>
    <w:p w14:paraId="1F3CBE5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piana gaśnicza o parametrach spełniających minimalne wymagania pian gaśniczych poziomu C; lub</w:t>
      </w:r>
    </w:p>
    <w:p w14:paraId="78601322"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kombinacja powyższych środków;</w:t>
      </w:r>
    </w:p>
    <w:p w14:paraId="18CAEA47" w14:textId="44217601" w:rsidR="00B0686B" w:rsidRPr="009E064B" w:rsidRDefault="00B0686B" w:rsidP="00B06A9A">
      <w:pPr>
        <w:widowControl/>
        <w:ind w:left="567"/>
        <w:rPr>
          <w:rFonts w:asciiTheme="minorHAnsi" w:eastAsia="Calibri" w:hAnsiTheme="minorHAnsi" w:cstheme="minorHAnsi"/>
        </w:rPr>
      </w:pPr>
      <w:r w:rsidRPr="009E064B">
        <w:rPr>
          <w:rFonts w:asciiTheme="minorHAnsi" w:eastAsia="Calibri" w:hAnsiTheme="minorHAnsi" w:cstheme="minorHAnsi"/>
        </w:rPr>
        <w:t>z wyjątkiem, gdy pożądane jest, aby główny środek gaśniczy stosowany na lotniskach o</w:t>
      </w:r>
      <w:r w:rsidR="00371A8B" w:rsidRPr="009E064B">
        <w:rPr>
          <w:rFonts w:asciiTheme="minorHAnsi" w:eastAsia="Calibri" w:hAnsiTheme="minorHAnsi" w:cstheme="minorHAnsi"/>
        </w:rPr>
        <w:t> </w:t>
      </w:r>
      <w:r w:rsidRPr="009E064B">
        <w:rPr>
          <w:rFonts w:asciiTheme="minorHAnsi" w:eastAsia="Calibri" w:hAnsiTheme="minorHAnsi" w:cstheme="minorHAnsi"/>
        </w:rPr>
        <w:t>kategorii od 1 do 3 spełniał wymagania poziomu pian gaśniczych grupy B lub C</w:t>
      </w:r>
    </w:p>
    <w:p w14:paraId="3B8A6110" w14:textId="77777777" w:rsidR="00B0686B" w:rsidRPr="009E064B" w:rsidRDefault="00B0686B"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uzupełniającym środkiem gaśniczym jest proszek gaśniczy odpowiedni do gaszenia pożarów węglowodorów, lub każdy inny alternatywny środek posiadający równoważne właściwości gaśnicze;</w:t>
      </w:r>
    </w:p>
    <w:p w14:paraId="46BA704A" w14:textId="4EE6BECE" w:rsidR="00B0686B" w:rsidRPr="009E064B" w:rsidRDefault="009A68AA"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ilość</w:t>
      </w:r>
      <w:r w:rsidR="00B0686B" w:rsidRPr="009E064B">
        <w:rPr>
          <w:rFonts w:asciiTheme="minorHAnsi" w:eastAsia="Calibri" w:hAnsiTheme="minorHAnsi" w:cstheme="minorHAnsi"/>
        </w:rPr>
        <w:t xml:space="preserve"> wody do produkcji piany </w:t>
      </w:r>
      <w:r w:rsidRPr="009E064B">
        <w:rPr>
          <w:rFonts w:asciiTheme="minorHAnsi" w:eastAsia="Calibri" w:hAnsiTheme="minorHAnsi" w:cstheme="minorHAnsi"/>
        </w:rPr>
        <w:t>oraz</w:t>
      </w:r>
      <w:r w:rsidR="00B0686B" w:rsidRPr="009E064B">
        <w:rPr>
          <w:rFonts w:asciiTheme="minorHAnsi" w:eastAsia="Calibri" w:hAnsiTheme="minorHAnsi" w:cstheme="minorHAnsi"/>
        </w:rPr>
        <w:t xml:space="preserve"> środków uzupełniających</w:t>
      </w:r>
      <w:r w:rsidR="00AE0621" w:rsidRPr="009E064B">
        <w:rPr>
          <w:rFonts w:asciiTheme="minorHAnsi" w:eastAsia="Calibri" w:hAnsiTheme="minorHAnsi" w:cstheme="minorHAnsi"/>
        </w:rPr>
        <w:t xml:space="preserve"> znajdujących się na </w:t>
      </w:r>
      <w:r w:rsidR="00B0686B" w:rsidRPr="009E064B">
        <w:rPr>
          <w:rFonts w:asciiTheme="minorHAnsi" w:eastAsia="Calibri" w:hAnsiTheme="minorHAnsi" w:cstheme="minorHAnsi"/>
        </w:rPr>
        <w:t>wyposaż</w:t>
      </w:r>
      <w:r w:rsidR="00AE0621" w:rsidRPr="009E064B">
        <w:rPr>
          <w:rFonts w:asciiTheme="minorHAnsi" w:eastAsia="Calibri" w:hAnsiTheme="minorHAnsi" w:cstheme="minorHAnsi"/>
        </w:rPr>
        <w:t>eniu</w:t>
      </w:r>
      <w:r w:rsidR="00B0686B" w:rsidRPr="009E064B">
        <w:rPr>
          <w:rFonts w:asciiTheme="minorHAnsi" w:eastAsia="Calibri" w:hAnsiTheme="minorHAnsi" w:cstheme="minorHAnsi"/>
        </w:rPr>
        <w:t xml:space="preserve"> pojazd</w:t>
      </w:r>
      <w:r w:rsidR="00AE0621" w:rsidRPr="009E064B">
        <w:rPr>
          <w:rFonts w:asciiTheme="minorHAnsi" w:eastAsia="Calibri" w:hAnsiTheme="minorHAnsi" w:cstheme="minorHAnsi"/>
        </w:rPr>
        <w:t>ów</w:t>
      </w:r>
      <w:r w:rsidR="00B0686B" w:rsidRPr="009E064B">
        <w:rPr>
          <w:rFonts w:asciiTheme="minorHAnsi" w:eastAsia="Calibri" w:hAnsiTheme="minorHAnsi" w:cstheme="minorHAnsi"/>
        </w:rPr>
        <w:t xml:space="preserve"> ratowniczo-gaśnicz</w:t>
      </w:r>
      <w:r w:rsidR="00AE0621" w:rsidRPr="009E064B">
        <w:rPr>
          <w:rFonts w:asciiTheme="minorHAnsi" w:eastAsia="Calibri" w:hAnsiTheme="minorHAnsi" w:cstheme="minorHAnsi"/>
        </w:rPr>
        <w:t>ych</w:t>
      </w:r>
      <w:r w:rsidR="00B0686B" w:rsidRPr="009E064B">
        <w:rPr>
          <w:rFonts w:asciiTheme="minorHAnsi" w:eastAsia="Calibri" w:hAnsiTheme="minorHAnsi" w:cstheme="minorHAnsi"/>
        </w:rPr>
        <w:t xml:space="preserve">, </w:t>
      </w:r>
      <w:r w:rsidR="00AE0621" w:rsidRPr="009E064B">
        <w:rPr>
          <w:rFonts w:asciiTheme="minorHAnsi" w:eastAsia="Calibri" w:hAnsiTheme="minorHAnsi" w:cstheme="minorHAnsi"/>
        </w:rPr>
        <w:t xml:space="preserve">jest zgodna z określoną </w:t>
      </w:r>
      <w:r w:rsidR="00B0686B" w:rsidRPr="009E064B">
        <w:rPr>
          <w:rFonts w:asciiTheme="minorHAnsi" w:eastAsia="Calibri" w:hAnsiTheme="minorHAnsi" w:cstheme="minorHAnsi"/>
        </w:rPr>
        <w:t>kategori</w:t>
      </w:r>
      <w:r w:rsidR="00AE0621" w:rsidRPr="009E064B">
        <w:rPr>
          <w:rFonts w:asciiTheme="minorHAnsi" w:eastAsia="Calibri" w:hAnsiTheme="minorHAnsi" w:cstheme="minorHAnsi"/>
        </w:rPr>
        <w:t>ą</w:t>
      </w:r>
      <w:r w:rsidR="00B0686B" w:rsidRPr="009E064B">
        <w:rPr>
          <w:rFonts w:asciiTheme="minorHAnsi" w:eastAsia="Calibri" w:hAnsiTheme="minorHAnsi" w:cstheme="minorHAnsi"/>
        </w:rPr>
        <w:t xml:space="preserve"> lotniska</w:t>
      </w:r>
      <w:r w:rsidR="00AE0621" w:rsidRPr="009E064B">
        <w:rPr>
          <w:rFonts w:asciiTheme="minorHAnsi" w:eastAsia="Calibri" w:hAnsiTheme="minorHAnsi" w:cstheme="minorHAnsi"/>
        </w:rPr>
        <w:t xml:space="preserve"> oraz </w:t>
      </w:r>
      <w:r w:rsidR="00F36957" w:rsidRPr="009E064B">
        <w:rPr>
          <w:rFonts w:asciiTheme="minorHAnsi" w:eastAsia="Calibri" w:hAnsiTheme="minorHAnsi" w:cstheme="minorHAnsi"/>
        </w:rPr>
        <w:t>T</w:t>
      </w:r>
      <w:r w:rsidR="002E1847" w:rsidRPr="009E064B">
        <w:rPr>
          <w:rFonts w:asciiTheme="minorHAnsi" w:eastAsia="Calibri" w:hAnsiTheme="minorHAnsi" w:cstheme="minorHAnsi"/>
        </w:rPr>
        <w:t>abelą 1, z </w:t>
      </w:r>
      <w:r w:rsidR="00B0686B" w:rsidRPr="009E064B">
        <w:rPr>
          <w:rFonts w:asciiTheme="minorHAnsi" w:eastAsia="Calibri" w:hAnsiTheme="minorHAnsi" w:cstheme="minorHAnsi"/>
        </w:rPr>
        <w:t>tym wyjątkiem, że w przypadku lotnisk kategorii 1 i 2, dopuszcza się zamianę do 100% wody na uzupełniający środek gaśniczy.</w:t>
      </w:r>
    </w:p>
    <w:p w14:paraId="09184F89" w14:textId="77777777" w:rsidR="00AE0621" w:rsidRPr="009E064B" w:rsidRDefault="00AE0621" w:rsidP="00AE0621">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W przypadku zamiany środka, uznaje się, że 1 kg środka uzupełniającego odpowiada 1.0L wody do produkcji piany gaśniczej spełniającej wymagania pian gaśniczych grupy A.</w:t>
      </w:r>
    </w:p>
    <w:p w14:paraId="091528C6" w14:textId="3D068B48" w:rsidR="00C0606B" w:rsidRPr="009E064B" w:rsidRDefault="00C0606B">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3F1A2FCF" w14:textId="77777777" w:rsidR="00AE0621" w:rsidRPr="009E064B" w:rsidRDefault="00AE0621" w:rsidP="009B2994">
      <w:pPr>
        <w:widowControl/>
        <w:tabs>
          <w:tab w:val="left" w:pos="567"/>
        </w:tabs>
        <w:spacing w:after="0"/>
        <w:ind w:left="567"/>
        <w:rPr>
          <w:rFonts w:asciiTheme="minorHAnsi" w:eastAsia="Calibri" w:hAnsiTheme="minorHAnsi" w:cstheme="minorHAnsi"/>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2"/>
        <w:gridCol w:w="834"/>
        <w:gridCol w:w="1151"/>
        <w:gridCol w:w="792"/>
        <w:gridCol w:w="1192"/>
        <w:gridCol w:w="753"/>
        <w:gridCol w:w="971"/>
        <w:gridCol w:w="972"/>
        <w:gridCol w:w="973"/>
      </w:tblGrid>
      <w:tr w:rsidR="00AE0621" w:rsidRPr="009E064B" w14:paraId="795D7AB9" w14:textId="77777777" w:rsidTr="00AE0621">
        <w:trPr>
          <w:trHeight w:val="342"/>
          <w:jc w:val="right"/>
        </w:trPr>
        <w:tc>
          <w:tcPr>
            <w:tcW w:w="8630" w:type="dxa"/>
            <w:gridSpan w:val="9"/>
            <w:tcMar>
              <w:top w:w="57" w:type="dxa"/>
              <w:left w:w="28" w:type="dxa"/>
              <w:bottom w:w="57" w:type="dxa"/>
              <w:right w:w="28" w:type="dxa"/>
            </w:tcMar>
            <w:vAlign w:val="center"/>
          </w:tcPr>
          <w:p w14:paraId="1273A3BE" w14:textId="77777777" w:rsidR="00AE0621" w:rsidRPr="009E064B" w:rsidRDefault="00AE0621" w:rsidP="00C0606B">
            <w:pPr>
              <w:widowControl/>
              <w:spacing w:before="40" w:after="40"/>
              <w:jc w:val="center"/>
              <w:rPr>
                <w:rFonts w:asciiTheme="minorHAnsi" w:eastAsia="Calibri" w:hAnsiTheme="minorHAnsi" w:cstheme="minorHAnsi"/>
                <w:b/>
                <w:bCs/>
              </w:rPr>
            </w:pPr>
            <w:r w:rsidRPr="009E064B">
              <w:rPr>
                <w:rFonts w:asciiTheme="minorHAnsi" w:eastAsia="Calibri" w:hAnsiTheme="minorHAnsi" w:cstheme="minorHAnsi"/>
                <w:b/>
                <w:bCs/>
              </w:rPr>
              <w:t>Minimalne ilości stosowanych środków gaśniczych</w:t>
            </w:r>
          </w:p>
        </w:tc>
      </w:tr>
      <w:tr w:rsidR="00AE0621" w:rsidRPr="009E064B" w14:paraId="45493D11" w14:textId="77777777" w:rsidTr="00AE0621">
        <w:trPr>
          <w:jc w:val="right"/>
        </w:trPr>
        <w:tc>
          <w:tcPr>
            <w:tcW w:w="992" w:type="dxa"/>
            <w:vMerge w:val="restart"/>
            <w:tcMar>
              <w:top w:w="57" w:type="dxa"/>
              <w:left w:w="28" w:type="dxa"/>
              <w:bottom w:w="57" w:type="dxa"/>
              <w:right w:w="28" w:type="dxa"/>
            </w:tcMar>
            <w:vAlign w:val="center"/>
          </w:tcPr>
          <w:p w14:paraId="123A0F15"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Kategoria lotniska</w:t>
            </w:r>
          </w:p>
        </w:tc>
        <w:tc>
          <w:tcPr>
            <w:tcW w:w="1985" w:type="dxa"/>
            <w:gridSpan w:val="2"/>
            <w:tcMar>
              <w:top w:w="57" w:type="dxa"/>
              <w:left w:w="28" w:type="dxa"/>
              <w:bottom w:w="57" w:type="dxa"/>
              <w:right w:w="28" w:type="dxa"/>
            </w:tcMar>
            <w:vAlign w:val="center"/>
          </w:tcPr>
          <w:p w14:paraId="5861667A"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Piana o wydajności poziomu A</w:t>
            </w:r>
          </w:p>
        </w:tc>
        <w:tc>
          <w:tcPr>
            <w:tcW w:w="1984" w:type="dxa"/>
            <w:gridSpan w:val="2"/>
            <w:tcMar>
              <w:top w:w="57" w:type="dxa"/>
              <w:left w:w="28" w:type="dxa"/>
              <w:bottom w:w="57" w:type="dxa"/>
              <w:right w:w="28" w:type="dxa"/>
            </w:tcMar>
            <w:vAlign w:val="center"/>
          </w:tcPr>
          <w:p w14:paraId="2BA54BF6"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Piana o wydajności poziomu B</w:t>
            </w:r>
          </w:p>
        </w:tc>
        <w:tc>
          <w:tcPr>
            <w:tcW w:w="1724" w:type="dxa"/>
            <w:gridSpan w:val="2"/>
            <w:tcMar>
              <w:top w:w="57" w:type="dxa"/>
              <w:left w:w="28" w:type="dxa"/>
              <w:bottom w:w="57" w:type="dxa"/>
              <w:right w:w="28" w:type="dxa"/>
            </w:tcMar>
            <w:vAlign w:val="center"/>
          </w:tcPr>
          <w:p w14:paraId="7F5FD695"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Piana o wydajności poziomu C</w:t>
            </w:r>
          </w:p>
        </w:tc>
        <w:tc>
          <w:tcPr>
            <w:tcW w:w="1945" w:type="dxa"/>
            <w:gridSpan w:val="2"/>
            <w:tcMar>
              <w:top w:w="57" w:type="dxa"/>
              <w:left w:w="28" w:type="dxa"/>
              <w:bottom w:w="57" w:type="dxa"/>
              <w:right w:w="28" w:type="dxa"/>
            </w:tcMar>
            <w:vAlign w:val="center"/>
          </w:tcPr>
          <w:p w14:paraId="1AB81781"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Środki</w:t>
            </w:r>
          </w:p>
          <w:p w14:paraId="236A6FA1"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uzupełniające</w:t>
            </w:r>
          </w:p>
        </w:tc>
      </w:tr>
      <w:tr w:rsidR="00AE0621" w:rsidRPr="009E064B" w14:paraId="39C27023" w14:textId="77777777" w:rsidTr="00AE0621">
        <w:trPr>
          <w:jc w:val="right"/>
        </w:trPr>
        <w:tc>
          <w:tcPr>
            <w:tcW w:w="992" w:type="dxa"/>
            <w:vMerge/>
            <w:tcMar>
              <w:top w:w="57" w:type="dxa"/>
              <w:left w:w="28" w:type="dxa"/>
              <w:bottom w:w="113" w:type="dxa"/>
              <w:right w:w="28" w:type="dxa"/>
            </w:tcMar>
            <w:vAlign w:val="center"/>
          </w:tcPr>
          <w:p w14:paraId="25B89D41" w14:textId="77777777" w:rsidR="00AE0621" w:rsidRPr="009E064B" w:rsidRDefault="00AE0621" w:rsidP="00C0606B">
            <w:pPr>
              <w:widowControl/>
              <w:spacing w:before="40" w:after="40"/>
              <w:jc w:val="center"/>
              <w:rPr>
                <w:rFonts w:asciiTheme="minorHAnsi" w:eastAsia="Calibri" w:hAnsiTheme="minorHAnsi" w:cstheme="minorHAnsi"/>
                <w:b/>
                <w:sz w:val="20"/>
              </w:rPr>
            </w:pPr>
          </w:p>
        </w:tc>
        <w:tc>
          <w:tcPr>
            <w:tcW w:w="834" w:type="dxa"/>
            <w:tcMar>
              <w:top w:w="57" w:type="dxa"/>
              <w:left w:w="28" w:type="dxa"/>
              <w:bottom w:w="113" w:type="dxa"/>
              <w:right w:w="28" w:type="dxa"/>
            </w:tcMar>
            <w:vAlign w:val="center"/>
          </w:tcPr>
          <w:p w14:paraId="3675858E"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Woda</w:t>
            </w:r>
          </w:p>
          <w:p w14:paraId="5591623D" w14:textId="77777777" w:rsidR="00AE0621" w:rsidRPr="009E064B" w:rsidRDefault="00AE0621" w:rsidP="00C0606B">
            <w:pPr>
              <w:widowControl/>
              <w:spacing w:before="40" w:after="40"/>
              <w:jc w:val="center"/>
              <w:rPr>
                <w:rFonts w:asciiTheme="minorHAnsi" w:eastAsia="Calibri" w:hAnsiTheme="minorHAnsi" w:cstheme="minorHAnsi"/>
                <w:sz w:val="20"/>
              </w:rPr>
            </w:pPr>
            <w:r w:rsidRPr="009E064B">
              <w:rPr>
                <w:rFonts w:asciiTheme="minorHAnsi" w:eastAsia="Calibri" w:hAnsiTheme="minorHAnsi" w:cstheme="minorHAnsi"/>
                <w:sz w:val="20"/>
              </w:rPr>
              <w:t>(L)</w:t>
            </w:r>
          </w:p>
        </w:tc>
        <w:tc>
          <w:tcPr>
            <w:tcW w:w="1151" w:type="dxa"/>
            <w:tcMar>
              <w:top w:w="57" w:type="dxa"/>
              <w:left w:w="28" w:type="dxa"/>
              <w:bottom w:w="113" w:type="dxa"/>
              <w:right w:w="28" w:type="dxa"/>
            </w:tcMar>
            <w:vAlign w:val="center"/>
          </w:tcPr>
          <w:p w14:paraId="4572AD34" w14:textId="000F2358"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Wydatek roztworu piany/ minutę</w:t>
            </w:r>
          </w:p>
        </w:tc>
        <w:tc>
          <w:tcPr>
            <w:tcW w:w="792" w:type="dxa"/>
            <w:tcMar>
              <w:top w:w="57" w:type="dxa"/>
              <w:left w:w="28" w:type="dxa"/>
              <w:bottom w:w="113" w:type="dxa"/>
              <w:right w:w="28" w:type="dxa"/>
            </w:tcMar>
            <w:vAlign w:val="center"/>
          </w:tcPr>
          <w:p w14:paraId="5B6B8512"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Woda</w:t>
            </w:r>
          </w:p>
          <w:p w14:paraId="46DCF3EE" w14:textId="77777777" w:rsidR="00AE0621" w:rsidRPr="009E064B" w:rsidRDefault="00AE0621" w:rsidP="00C0606B">
            <w:pPr>
              <w:widowControl/>
              <w:spacing w:before="40" w:after="40"/>
              <w:jc w:val="center"/>
              <w:rPr>
                <w:rFonts w:asciiTheme="minorHAnsi" w:eastAsia="Calibri" w:hAnsiTheme="minorHAnsi" w:cstheme="minorHAnsi"/>
                <w:sz w:val="20"/>
              </w:rPr>
            </w:pPr>
            <w:r w:rsidRPr="009E064B">
              <w:rPr>
                <w:rFonts w:asciiTheme="minorHAnsi" w:eastAsia="Calibri" w:hAnsiTheme="minorHAnsi" w:cstheme="minorHAnsi"/>
                <w:sz w:val="20"/>
              </w:rPr>
              <w:t>(L)</w:t>
            </w:r>
          </w:p>
        </w:tc>
        <w:tc>
          <w:tcPr>
            <w:tcW w:w="1192" w:type="dxa"/>
            <w:tcMar>
              <w:top w:w="57" w:type="dxa"/>
              <w:left w:w="28" w:type="dxa"/>
              <w:bottom w:w="113" w:type="dxa"/>
              <w:right w:w="28" w:type="dxa"/>
            </w:tcMar>
            <w:vAlign w:val="center"/>
          </w:tcPr>
          <w:p w14:paraId="2586DCFC" w14:textId="1D5358EA"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Wydatek roztworu piany/ minutę</w:t>
            </w:r>
          </w:p>
        </w:tc>
        <w:tc>
          <w:tcPr>
            <w:tcW w:w="753" w:type="dxa"/>
            <w:tcMar>
              <w:top w:w="57" w:type="dxa"/>
              <w:left w:w="28" w:type="dxa"/>
              <w:bottom w:w="113" w:type="dxa"/>
              <w:right w:w="28" w:type="dxa"/>
            </w:tcMar>
            <w:vAlign w:val="center"/>
          </w:tcPr>
          <w:p w14:paraId="41D87C20"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Woda</w:t>
            </w:r>
          </w:p>
          <w:p w14:paraId="291EA387" w14:textId="77777777" w:rsidR="00AE0621" w:rsidRPr="009E064B" w:rsidRDefault="00AE0621" w:rsidP="00C0606B">
            <w:pPr>
              <w:widowControl/>
              <w:spacing w:before="40" w:after="40"/>
              <w:jc w:val="center"/>
              <w:rPr>
                <w:rFonts w:asciiTheme="minorHAnsi" w:eastAsia="Calibri" w:hAnsiTheme="minorHAnsi" w:cstheme="minorHAnsi"/>
                <w:sz w:val="20"/>
              </w:rPr>
            </w:pPr>
            <w:r w:rsidRPr="009E064B">
              <w:rPr>
                <w:rFonts w:asciiTheme="minorHAnsi" w:eastAsia="Calibri" w:hAnsiTheme="minorHAnsi" w:cstheme="minorHAnsi"/>
                <w:sz w:val="20"/>
              </w:rPr>
              <w:t>(L)</w:t>
            </w:r>
          </w:p>
        </w:tc>
        <w:tc>
          <w:tcPr>
            <w:tcW w:w="971" w:type="dxa"/>
            <w:tcMar>
              <w:top w:w="57" w:type="dxa"/>
              <w:left w:w="28" w:type="dxa"/>
              <w:bottom w:w="113" w:type="dxa"/>
              <w:right w:w="28" w:type="dxa"/>
            </w:tcMar>
            <w:vAlign w:val="center"/>
          </w:tcPr>
          <w:p w14:paraId="17744BF6" w14:textId="12CF0D65"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Wydatek roztworu piany/ minutę</w:t>
            </w:r>
          </w:p>
        </w:tc>
        <w:tc>
          <w:tcPr>
            <w:tcW w:w="972" w:type="dxa"/>
            <w:tcMar>
              <w:top w:w="57" w:type="dxa"/>
              <w:left w:w="28" w:type="dxa"/>
              <w:bottom w:w="113" w:type="dxa"/>
              <w:right w:w="28" w:type="dxa"/>
            </w:tcMar>
            <w:vAlign w:val="center"/>
          </w:tcPr>
          <w:p w14:paraId="6392CEA4"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Suche proszki chemiczne</w:t>
            </w:r>
          </w:p>
          <w:p w14:paraId="120E6537" w14:textId="77777777" w:rsidR="00AE0621" w:rsidRPr="009E064B" w:rsidRDefault="00AE0621" w:rsidP="00C0606B">
            <w:pPr>
              <w:widowControl/>
              <w:spacing w:before="40" w:after="40"/>
              <w:jc w:val="center"/>
              <w:rPr>
                <w:rFonts w:asciiTheme="minorHAnsi" w:eastAsia="Calibri" w:hAnsiTheme="minorHAnsi" w:cstheme="minorHAnsi"/>
                <w:sz w:val="20"/>
              </w:rPr>
            </w:pPr>
            <w:r w:rsidRPr="009E064B">
              <w:rPr>
                <w:rFonts w:asciiTheme="minorHAnsi" w:eastAsia="Calibri" w:hAnsiTheme="minorHAnsi" w:cstheme="minorHAnsi"/>
                <w:sz w:val="20"/>
              </w:rPr>
              <w:t>(kg)</w:t>
            </w:r>
          </w:p>
        </w:tc>
        <w:tc>
          <w:tcPr>
            <w:tcW w:w="973" w:type="dxa"/>
            <w:tcMar>
              <w:top w:w="57" w:type="dxa"/>
              <w:left w:w="28" w:type="dxa"/>
              <w:bottom w:w="113" w:type="dxa"/>
              <w:right w:w="28" w:type="dxa"/>
            </w:tcMar>
            <w:vAlign w:val="center"/>
          </w:tcPr>
          <w:p w14:paraId="4D4D9737" w14:textId="77777777" w:rsidR="00AE0621" w:rsidRPr="009E064B" w:rsidRDefault="00AE0621" w:rsidP="00C0606B">
            <w:pPr>
              <w:widowControl/>
              <w:spacing w:before="40" w:after="40"/>
              <w:jc w:val="center"/>
              <w:rPr>
                <w:rFonts w:asciiTheme="minorHAnsi" w:eastAsia="Calibri" w:hAnsiTheme="minorHAnsi" w:cstheme="minorHAnsi"/>
                <w:b/>
                <w:sz w:val="20"/>
              </w:rPr>
            </w:pPr>
            <w:r w:rsidRPr="009E064B">
              <w:rPr>
                <w:rFonts w:asciiTheme="minorHAnsi" w:eastAsia="Calibri" w:hAnsiTheme="minorHAnsi" w:cstheme="minorHAnsi"/>
                <w:b/>
                <w:sz w:val="20"/>
              </w:rPr>
              <w:t>Wydatek</w:t>
            </w:r>
          </w:p>
          <w:p w14:paraId="34AF0793" w14:textId="77777777" w:rsidR="00AE0621" w:rsidRPr="009E064B" w:rsidRDefault="00AE0621" w:rsidP="00C0606B">
            <w:pPr>
              <w:widowControl/>
              <w:spacing w:before="40" w:after="40"/>
              <w:jc w:val="center"/>
              <w:rPr>
                <w:rFonts w:asciiTheme="minorHAnsi" w:eastAsia="Calibri" w:hAnsiTheme="minorHAnsi" w:cstheme="minorHAnsi"/>
                <w:sz w:val="20"/>
              </w:rPr>
            </w:pPr>
            <w:r w:rsidRPr="009E064B">
              <w:rPr>
                <w:rFonts w:asciiTheme="minorHAnsi" w:eastAsia="Calibri" w:hAnsiTheme="minorHAnsi" w:cstheme="minorHAnsi"/>
                <w:sz w:val="20"/>
              </w:rPr>
              <w:t>(kg/sek.)</w:t>
            </w:r>
          </w:p>
        </w:tc>
      </w:tr>
      <w:tr w:rsidR="00AE0621" w:rsidRPr="009E064B" w14:paraId="60B4B566" w14:textId="77777777" w:rsidTr="00AE0621">
        <w:trPr>
          <w:jc w:val="right"/>
        </w:trPr>
        <w:tc>
          <w:tcPr>
            <w:tcW w:w="992" w:type="dxa"/>
            <w:tcMar>
              <w:top w:w="0" w:type="dxa"/>
              <w:left w:w="28" w:type="dxa"/>
              <w:bottom w:w="0" w:type="dxa"/>
              <w:right w:w="28" w:type="dxa"/>
            </w:tcMar>
            <w:vAlign w:val="center"/>
          </w:tcPr>
          <w:p w14:paraId="7354D178"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(1)</w:t>
            </w:r>
          </w:p>
        </w:tc>
        <w:tc>
          <w:tcPr>
            <w:tcW w:w="834" w:type="dxa"/>
            <w:tcMar>
              <w:top w:w="0" w:type="dxa"/>
              <w:left w:w="28" w:type="dxa"/>
              <w:bottom w:w="0" w:type="dxa"/>
              <w:right w:w="28" w:type="dxa"/>
            </w:tcMar>
            <w:vAlign w:val="center"/>
          </w:tcPr>
          <w:p w14:paraId="17F4D1DF"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(2)</w:t>
            </w:r>
          </w:p>
        </w:tc>
        <w:tc>
          <w:tcPr>
            <w:tcW w:w="1151" w:type="dxa"/>
            <w:tcMar>
              <w:top w:w="0" w:type="dxa"/>
              <w:left w:w="28" w:type="dxa"/>
              <w:bottom w:w="0" w:type="dxa"/>
              <w:right w:w="28" w:type="dxa"/>
            </w:tcMar>
            <w:vAlign w:val="center"/>
          </w:tcPr>
          <w:p w14:paraId="2624136F"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(3)</w:t>
            </w:r>
          </w:p>
        </w:tc>
        <w:tc>
          <w:tcPr>
            <w:tcW w:w="792" w:type="dxa"/>
            <w:tcMar>
              <w:top w:w="0" w:type="dxa"/>
              <w:left w:w="28" w:type="dxa"/>
              <w:bottom w:w="0" w:type="dxa"/>
              <w:right w:w="28" w:type="dxa"/>
            </w:tcMar>
            <w:vAlign w:val="center"/>
          </w:tcPr>
          <w:p w14:paraId="510A3E5F"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(4)</w:t>
            </w:r>
          </w:p>
        </w:tc>
        <w:tc>
          <w:tcPr>
            <w:tcW w:w="1192" w:type="dxa"/>
            <w:tcMar>
              <w:top w:w="0" w:type="dxa"/>
              <w:left w:w="28" w:type="dxa"/>
              <w:bottom w:w="0" w:type="dxa"/>
              <w:right w:w="28" w:type="dxa"/>
            </w:tcMar>
            <w:vAlign w:val="center"/>
          </w:tcPr>
          <w:p w14:paraId="1107B36F"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(5)</w:t>
            </w:r>
          </w:p>
        </w:tc>
        <w:tc>
          <w:tcPr>
            <w:tcW w:w="753" w:type="dxa"/>
            <w:tcMar>
              <w:top w:w="0" w:type="dxa"/>
              <w:left w:w="28" w:type="dxa"/>
              <w:bottom w:w="0" w:type="dxa"/>
              <w:right w:w="28" w:type="dxa"/>
            </w:tcMar>
            <w:vAlign w:val="center"/>
          </w:tcPr>
          <w:p w14:paraId="6F7B5288"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(6)</w:t>
            </w:r>
          </w:p>
        </w:tc>
        <w:tc>
          <w:tcPr>
            <w:tcW w:w="971" w:type="dxa"/>
            <w:tcMar>
              <w:top w:w="0" w:type="dxa"/>
              <w:left w:w="28" w:type="dxa"/>
              <w:bottom w:w="0" w:type="dxa"/>
              <w:right w:w="28" w:type="dxa"/>
            </w:tcMar>
            <w:vAlign w:val="center"/>
          </w:tcPr>
          <w:p w14:paraId="691A27DC"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(7)</w:t>
            </w:r>
          </w:p>
        </w:tc>
        <w:tc>
          <w:tcPr>
            <w:tcW w:w="972" w:type="dxa"/>
            <w:tcMar>
              <w:top w:w="0" w:type="dxa"/>
              <w:left w:w="28" w:type="dxa"/>
              <w:bottom w:w="0" w:type="dxa"/>
              <w:right w:w="28" w:type="dxa"/>
            </w:tcMar>
            <w:vAlign w:val="center"/>
          </w:tcPr>
          <w:p w14:paraId="2B7817E3"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(8)</w:t>
            </w:r>
          </w:p>
        </w:tc>
        <w:tc>
          <w:tcPr>
            <w:tcW w:w="973" w:type="dxa"/>
            <w:tcMar>
              <w:top w:w="0" w:type="dxa"/>
              <w:left w:w="28" w:type="dxa"/>
              <w:bottom w:w="0" w:type="dxa"/>
              <w:right w:w="28" w:type="dxa"/>
            </w:tcMar>
            <w:vAlign w:val="center"/>
          </w:tcPr>
          <w:p w14:paraId="393927B2" w14:textId="77777777" w:rsidR="00AE0621" w:rsidRPr="009E064B" w:rsidRDefault="00AE0621" w:rsidP="00C0606B">
            <w:pPr>
              <w:widowControl/>
              <w:spacing w:after="0"/>
              <w:jc w:val="center"/>
              <w:rPr>
                <w:rFonts w:asciiTheme="minorHAnsi" w:eastAsia="Calibri" w:hAnsiTheme="minorHAnsi" w:cstheme="minorHAnsi"/>
                <w:sz w:val="18"/>
              </w:rPr>
            </w:pPr>
            <w:r w:rsidRPr="009E064B">
              <w:rPr>
                <w:rFonts w:asciiTheme="minorHAnsi" w:eastAsia="Calibri" w:hAnsiTheme="minorHAnsi" w:cstheme="minorHAnsi"/>
                <w:sz w:val="18"/>
              </w:rPr>
              <w:t>(9)</w:t>
            </w:r>
          </w:p>
        </w:tc>
      </w:tr>
      <w:tr w:rsidR="00AE0621" w:rsidRPr="009E064B" w14:paraId="1D43A038" w14:textId="77777777" w:rsidTr="009B2994">
        <w:trPr>
          <w:jc w:val="right"/>
        </w:trPr>
        <w:tc>
          <w:tcPr>
            <w:tcW w:w="992" w:type="dxa"/>
            <w:tcMar>
              <w:top w:w="85" w:type="dxa"/>
              <w:left w:w="28" w:type="dxa"/>
              <w:bottom w:w="85" w:type="dxa"/>
              <w:right w:w="28" w:type="dxa"/>
            </w:tcMar>
            <w:vAlign w:val="center"/>
          </w:tcPr>
          <w:p w14:paraId="0F9FECD0"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w:t>
            </w:r>
          </w:p>
        </w:tc>
        <w:tc>
          <w:tcPr>
            <w:tcW w:w="834" w:type="dxa"/>
            <w:tcMar>
              <w:top w:w="85" w:type="dxa"/>
              <w:left w:w="28" w:type="dxa"/>
              <w:bottom w:w="85" w:type="dxa"/>
              <w:right w:w="28" w:type="dxa"/>
            </w:tcMar>
            <w:vAlign w:val="center"/>
          </w:tcPr>
          <w:p w14:paraId="054CAA7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350</w:t>
            </w:r>
          </w:p>
        </w:tc>
        <w:tc>
          <w:tcPr>
            <w:tcW w:w="1151" w:type="dxa"/>
            <w:tcMar>
              <w:top w:w="85" w:type="dxa"/>
              <w:left w:w="28" w:type="dxa"/>
              <w:bottom w:w="85" w:type="dxa"/>
              <w:right w:w="28" w:type="dxa"/>
            </w:tcMar>
            <w:vAlign w:val="center"/>
          </w:tcPr>
          <w:p w14:paraId="6934C5A9"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350</w:t>
            </w:r>
          </w:p>
        </w:tc>
        <w:tc>
          <w:tcPr>
            <w:tcW w:w="792" w:type="dxa"/>
            <w:tcMar>
              <w:top w:w="85" w:type="dxa"/>
              <w:left w:w="28" w:type="dxa"/>
              <w:bottom w:w="85" w:type="dxa"/>
              <w:right w:w="28" w:type="dxa"/>
            </w:tcMar>
            <w:vAlign w:val="center"/>
          </w:tcPr>
          <w:p w14:paraId="288FDF34"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230</w:t>
            </w:r>
          </w:p>
        </w:tc>
        <w:tc>
          <w:tcPr>
            <w:tcW w:w="1192" w:type="dxa"/>
            <w:tcMar>
              <w:top w:w="85" w:type="dxa"/>
              <w:left w:w="28" w:type="dxa"/>
              <w:bottom w:w="85" w:type="dxa"/>
              <w:right w:w="28" w:type="dxa"/>
            </w:tcMar>
            <w:vAlign w:val="center"/>
          </w:tcPr>
          <w:p w14:paraId="32729C9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230</w:t>
            </w:r>
          </w:p>
        </w:tc>
        <w:tc>
          <w:tcPr>
            <w:tcW w:w="753" w:type="dxa"/>
            <w:tcMar>
              <w:top w:w="85" w:type="dxa"/>
              <w:left w:w="28" w:type="dxa"/>
              <w:bottom w:w="85" w:type="dxa"/>
              <w:right w:w="28" w:type="dxa"/>
            </w:tcMar>
            <w:vAlign w:val="center"/>
          </w:tcPr>
          <w:p w14:paraId="71ED35D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160</w:t>
            </w:r>
          </w:p>
        </w:tc>
        <w:tc>
          <w:tcPr>
            <w:tcW w:w="971" w:type="dxa"/>
            <w:tcMar>
              <w:top w:w="85" w:type="dxa"/>
              <w:left w:w="28" w:type="dxa"/>
              <w:bottom w:w="85" w:type="dxa"/>
              <w:right w:w="28" w:type="dxa"/>
            </w:tcMar>
            <w:vAlign w:val="center"/>
          </w:tcPr>
          <w:p w14:paraId="3438ABF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160</w:t>
            </w:r>
          </w:p>
        </w:tc>
        <w:tc>
          <w:tcPr>
            <w:tcW w:w="972" w:type="dxa"/>
            <w:tcMar>
              <w:top w:w="85" w:type="dxa"/>
              <w:left w:w="28" w:type="dxa"/>
              <w:bottom w:w="85" w:type="dxa"/>
              <w:right w:w="28" w:type="dxa"/>
            </w:tcMar>
            <w:vAlign w:val="center"/>
          </w:tcPr>
          <w:p w14:paraId="7D2AEC09"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w:t>
            </w:r>
          </w:p>
        </w:tc>
        <w:tc>
          <w:tcPr>
            <w:tcW w:w="973" w:type="dxa"/>
            <w:tcMar>
              <w:top w:w="85" w:type="dxa"/>
              <w:left w:w="28" w:type="dxa"/>
              <w:bottom w:w="85" w:type="dxa"/>
              <w:right w:w="28" w:type="dxa"/>
            </w:tcMar>
            <w:vAlign w:val="center"/>
          </w:tcPr>
          <w:p w14:paraId="72AE216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55C52311" w14:textId="77777777" w:rsidTr="009B2994">
        <w:trPr>
          <w:jc w:val="right"/>
        </w:trPr>
        <w:tc>
          <w:tcPr>
            <w:tcW w:w="992" w:type="dxa"/>
            <w:tcMar>
              <w:top w:w="85" w:type="dxa"/>
              <w:left w:w="28" w:type="dxa"/>
              <w:bottom w:w="85" w:type="dxa"/>
              <w:right w:w="28" w:type="dxa"/>
            </w:tcMar>
            <w:vAlign w:val="center"/>
          </w:tcPr>
          <w:p w14:paraId="4666424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w:t>
            </w:r>
          </w:p>
        </w:tc>
        <w:tc>
          <w:tcPr>
            <w:tcW w:w="834" w:type="dxa"/>
            <w:tcMar>
              <w:top w:w="85" w:type="dxa"/>
              <w:left w:w="28" w:type="dxa"/>
              <w:bottom w:w="85" w:type="dxa"/>
              <w:right w:w="28" w:type="dxa"/>
            </w:tcMar>
            <w:vAlign w:val="center"/>
          </w:tcPr>
          <w:p w14:paraId="5C0AB2D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1000</w:t>
            </w:r>
          </w:p>
        </w:tc>
        <w:tc>
          <w:tcPr>
            <w:tcW w:w="1151" w:type="dxa"/>
            <w:tcMar>
              <w:top w:w="85" w:type="dxa"/>
              <w:left w:w="28" w:type="dxa"/>
              <w:bottom w:w="85" w:type="dxa"/>
              <w:right w:w="28" w:type="dxa"/>
            </w:tcMar>
            <w:vAlign w:val="center"/>
          </w:tcPr>
          <w:p w14:paraId="217C5374"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800</w:t>
            </w:r>
          </w:p>
        </w:tc>
        <w:tc>
          <w:tcPr>
            <w:tcW w:w="792" w:type="dxa"/>
            <w:tcMar>
              <w:top w:w="85" w:type="dxa"/>
              <w:left w:w="28" w:type="dxa"/>
              <w:bottom w:w="85" w:type="dxa"/>
              <w:right w:w="28" w:type="dxa"/>
            </w:tcMar>
            <w:vAlign w:val="center"/>
          </w:tcPr>
          <w:p w14:paraId="399A3F1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670</w:t>
            </w:r>
          </w:p>
        </w:tc>
        <w:tc>
          <w:tcPr>
            <w:tcW w:w="1192" w:type="dxa"/>
            <w:tcMar>
              <w:top w:w="85" w:type="dxa"/>
              <w:left w:w="28" w:type="dxa"/>
              <w:bottom w:w="85" w:type="dxa"/>
              <w:right w:w="28" w:type="dxa"/>
            </w:tcMar>
            <w:vAlign w:val="center"/>
          </w:tcPr>
          <w:p w14:paraId="6D7326C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550</w:t>
            </w:r>
          </w:p>
        </w:tc>
        <w:tc>
          <w:tcPr>
            <w:tcW w:w="753" w:type="dxa"/>
            <w:tcMar>
              <w:top w:w="85" w:type="dxa"/>
              <w:left w:w="28" w:type="dxa"/>
              <w:bottom w:w="85" w:type="dxa"/>
              <w:right w:w="28" w:type="dxa"/>
            </w:tcMar>
            <w:vAlign w:val="center"/>
          </w:tcPr>
          <w:p w14:paraId="75A4715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460</w:t>
            </w:r>
          </w:p>
        </w:tc>
        <w:tc>
          <w:tcPr>
            <w:tcW w:w="971" w:type="dxa"/>
            <w:tcMar>
              <w:top w:w="85" w:type="dxa"/>
              <w:left w:w="28" w:type="dxa"/>
              <w:bottom w:w="85" w:type="dxa"/>
              <w:right w:w="28" w:type="dxa"/>
            </w:tcMar>
            <w:vAlign w:val="center"/>
          </w:tcPr>
          <w:p w14:paraId="409C318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360</w:t>
            </w:r>
          </w:p>
        </w:tc>
        <w:tc>
          <w:tcPr>
            <w:tcW w:w="972" w:type="dxa"/>
            <w:tcMar>
              <w:top w:w="85" w:type="dxa"/>
              <w:left w:w="28" w:type="dxa"/>
              <w:bottom w:w="85" w:type="dxa"/>
              <w:right w:w="28" w:type="dxa"/>
            </w:tcMar>
            <w:vAlign w:val="center"/>
          </w:tcPr>
          <w:p w14:paraId="4324E0A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90</w:t>
            </w:r>
          </w:p>
        </w:tc>
        <w:tc>
          <w:tcPr>
            <w:tcW w:w="973" w:type="dxa"/>
            <w:tcMar>
              <w:top w:w="85" w:type="dxa"/>
              <w:left w:w="28" w:type="dxa"/>
              <w:bottom w:w="85" w:type="dxa"/>
              <w:right w:w="28" w:type="dxa"/>
            </w:tcMar>
            <w:vAlign w:val="center"/>
          </w:tcPr>
          <w:p w14:paraId="78CC6ED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4D201CC1" w14:textId="77777777" w:rsidTr="009B2994">
        <w:trPr>
          <w:jc w:val="right"/>
        </w:trPr>
        <w:tc>
          <w:tcPr>
            <w:tcW w:w="992" w:type="dxa"/>
            <w:tcMar>
              <w:top w:w="85" w:type="dxa"/>
              <w:left w:w="28" w:type="dxa"/>
              <w:bottom w:w="85" w:type="dxa"/>
              <w:right w:w="28" w:type="dxa"/>
            </w:tcMar>
            <w:vAlign w:val="center"/>
          </w:tcPr>
          <w:p w14:paraId="06DF31D9"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w:t>
            </w:r>
          </w:p>
        </w:tc>
        <w:tc>
          <w:tcPr>
            <w:tcW w:w="834" w:type="dxa"/>
            <w:tcMar>
              <w:top w:w="85" w:type="dxa"/>
              <w:left w:w="28" w:type="dxa"/>
              <w:bottom w:w="85" w:type="dxa"/>
              <w:right w:w="28" w:type="dxa"/>
            </w:tcMar>
            <w:vAlign w:val="center"/>
          </w:tcPr>
          <w:p w14:paraId="3B88102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1800</w:t>
            </w:r>
          </w:p>
        </w:tc>
        <w:tc>
          <w:tcPr>
            <w:tcW w:w="1151" w:type="dxa"/>
            <w:tcMar>
              <w:top w:w="85" w:type="dxa"/>
              <w:left w:w="28" w:type="dxa"/>
              <w:bottom w:w="85" w:type="dxa"/>
              <w:right w:w="28" w:type="dxa"/>
            </w:tcMar>
            <w:vAlign w:val="center"/>
          </w:tcPr>
          <w:p w14:paraId="6DE1469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1300</w:t>
            </w:r>
          </w:p>
        </w:tc>
        <w:tc>
          <w:tcPr>
            <w:tcW w:w="792" w:type="dxa"/>
            <w:tcMar>
              <w:top w:w="85" w:type="dxa"/>
              <w:left w:w="28" w:type="dxa"/>
              <w:bottom w:w="85" w:type="dxa"/>
              <w:right w:w="28" w:type="dxa"/>
            </w:tcMar>
            <w:vAlign w:val="center"/>
          </w:tcPr>
          <w:p w14:paraId="765F050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1200</w:t>
            </w:r>
          </w:p>
        </w:tc>
        <w:tc>
          <w:tcPr>
            <w:tcW w:w="1192" w:type="dxa"/>
            <w:tcMar>
              <w:top w:w="85" w:type="dxa"/>
              <w:left w:w="28" w:type="dxa"/>
              <w:bottom w:w="85" w:type="dxa"/>
              <w:right w:w="28" w:type="dxa"/>
            </w:tcMar>
            <w:vAlign w:val="center"/>
          </w:tcPr>
          <w:p w14:paraId="36517BB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900</w:t>
            </w:r>
          </w:p>
        </w:tc>
        <w:tc>
          <w:tcPr>
            <w:tcW w:w="753" w:type="dxa"/>
            <w:tcMar>
              <w:top w:w="85" w:type="dxa"/>
              <w:left w:w="28" w:type="dxa"/>
              <w:bottom w:w="85" w:type="dxa"/>
              <w:right w:w="28" w:type="dxa"/>
            </w:tcMar>
            <w:vAlign w:val="center"/>
          </w:tcPr>
          <w:p w14:paraId="6F032983"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820</w:t>
            </w:r>
          </w:p>
        </w:tc>
        <w:tc>
          <w:tcPr>
            <w:tcW w:w="971" w:type="dxa"/>
            <w:tcMar>
              <w:top w:w="85" w:type="dxa"/>
              <w:left w:w="28" w:type="dxa"/>
              <w:bottom w:w="85" w:type="dxa"/>
              <w:right w:w="28" w:type="dxa"/>
            </w:tcMar>
            <w:vAlign w:val="center"/>
          </w:tcPr>
          <w:p w14:paraId="675C7C3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630</w:t>
            </w:r>
          </w:p>
        </w:tc>
        <w:tc>
          <w:tcPr>
            <w:tcW w:w="972" w:type="dxa"/>
            <w:tcMar>
              <w:top w:w="85" w:type="dxa"/>
              <w:left w:w="28" w:type="dxa"/>
              <w:bottom w:w="85" w:type="dxa"/>
              <w:right w:w="28" w:type="dxa"/>
            </w:tcMar>
            <w:vAlign w:val="center"/>
          </w:tcPr>
          <w:p w14:paraId="62169DC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135</w:t>
            </w:r>
          </w:p>
        </w:tc>
        <w:tc>
          <w:tcPr>
            <w:tcW w:w="973" w:type="dxa"/>
            <w:tcMar>
              <w:top w:w="85" w:type="dxa"/>
              <w:left w:w="28" w:type="dxa"/>
              <w:bottom w:w="85" w:type="dxa"/>
              <w:right w:w="28" w:type="dxa"/>
            </w:tcMar>
            <w:vAlign w:val="center"/>
          </w:tcPr>
          <w:p w14:paraId="18B0AE6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74093C18" w14:textId="77777777" w:rsidTr="009B2994">
        <w:trPr>
          <w:jc w:val="right"/>
        </w:trPr>
        <w:tc>
          <w:tcPr>
            <w:tcW w:w="992" w:type="dxa"/>
            <w:tcMar>
              <w:top w:w="85" w:type="dxa"/>
              <w:left w:w="28" w:type="dxa"/>
              <w:bottom w:w="85" w:type="dxa"/>
              <w:right w:w="28" w:type="dxa"/>
            </w:tcMar>
            <w:vAlign w:val="center"/>
          </w:tcPr>
          <w:p w14:paraId="63FC08C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w:t>
            </w:r>
          </w:p>
        </w:tc>
        <w:tc>
          <w:tcPr>
            <w:tcW w:w="834" w:type="dxa"/>
            <w:tcMar>
              <w:top w:w="85" w:type="dxa"/>
              <w:left w:w="28" w:type="dxa"/>
              <w:bottom w:w="85" w:type="dxa"/>
              <w:right w:w="28" w:type="dxa"/>
            </w:tcMar>
            <w:vAlign w:val="center"/>
          </w:tcPr>
          <w:p w14:paraId="56EAA7D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3600</w:t>
            </w:r>
          </w:p>
        </w:tc>
        <w:tc>
          <w:tcPr>
            <w:tcW w:w="1151" w:type="dxa"/>
            <w:tcMar>
              <w:top w:w="85" w:type="dxa"/>
              <w:left w:w="28" w:type="dxa"/>
              <w:bottom w:w="85" w:type="dxa"/>
              <w:right w:w="28" w:type="dxa"/>
            </w:tcMar>
            <w:vAlign w:val="center"/>
          </w:tcPr>
          <w:p w14:paraId="0336D21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2600</w:t>
            </w:r>
          </w:p>
        </w:tc>
        <w:tc>
          <w:tcPr>
            <w:tcW w:w="792" w:type="dxa"/>
            <w:tcMar>
              <w:top w:w="85" w:type="dxa"/>
              <w:left w:w="28" w:type="dxa"/>
              <w:bottom w:w="85" w:type="dxa"/>
              <w:right w:w="28" w:type="dxa"/>
            </w:tcMar>
            <w:vAlign w:val="center"/>
          </w:tcPr>
          <w:p w14:paraId="69272335"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2400</w:t>
            </w:r>
          </w:p>
        </w:tc>
        <w:tc>
          <w:tcPr>
            <w:tcW w:w="1192" w:type="dxa"/>
            <w:tcMar>
              <w:top w:w="85" w:type="dxa"/>
              <w:left w:w="28" w:type="dxa"/>
              <w:bottom w:w="85" w:type="dxa"/>
              <w:right w:w="28" w:type="dxa"/>
            </w:tcMar>
            <w:vAlign w:val="center"/>
          </w:tcPr>
          <w:p w14:paraId="1D7E9A73"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1800</w:t>
            </w:r>
          </w:p>
        </w:tc>
        <w:tc>
          <w:tcPr>
            <w:tcW w:w="753" w:type="dxa"/>
            <w:tcMar>
              <w:top w:w="85" w:type="dxa"/>
              <w:left w:w="28" w:type="dxa"/>
              <w:bottom w:w="85" w:type="dxa"/>
              <w:right w:w="28" w:type="dxa"/>
            </w:tcMar>
            <w:vAlign w:val="center"/>
          </w:tcPr>
          <w:p w14:paraId="1CF7F15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1700</w:t>
            </w:r>
          </w:p>
        </w:tc>
        <w:tc>
          <w:tcPr>
            <w:tcW w:w="971" w:type="dxa"/>
            <w:tcMar>
              <w:top w:w="85" w:type="dxa"/>
              <w:left w:w="28" w:type="dxa"/>
              <w:bottom w:w="85" w:type="dxa"/>
              <w:right w:w="28" w:type="dxa"/>
            </w:tcMar>
            <w:vAlign w:val="center"/>
          </w:tcPr>
          <w:p w14:paraId="6EF3507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1100</w:t>
            </w:r>
          </w:p>
        </w:tc>
        <w:tc>
          <w:tcPr>
            <w:tcW w:w="972" w:type="dxa"/>
            <w:tcMar>
              <w:top w:w="85" w:type="dxa"/>
              <w:left w:w="28" w:type="dxa"/>
              <w:bottom w:w="85" w:type="dxa"/>
              <w:right w:w="28" w:type="dxa"/>
            </w:tcMar>
            <w:vAlign w:val="center"/>
          </w:tcPr>
          <w:p w14:paraId="07635468"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135</w:t>
            </w:r>
          </w:p>
        </w:tc>
        <w:tc>
          <w:tcPr>
            <w:tcW w:w="973" w:type="dxa"/>
            <w:tcMar>
              <w:top w:w="85" w:type="dxa"/>
              <w:left w:w="28" w:type="dxa"/>
              <w:bottom w:w="85" w:type="dxa"/>
              <w:right w:w="28" w:type="dxa"/>
            </w:tcMar>
            <w:vAlign w:val="center"/>
          </w:tcPr>
          <w:p w14:paraId="08A9C578"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1FAB20B2" w14:textId="77777777" w:rsidTr="009B2994">
        <w:trPr>
          <w:jc w:val="right"/>
        </w:trPr>
        <w:tc>
          <w:tcPr>
            <w:tcW w:w="992" w:type="dxa"/>
            <w:tcMar>
              <w:top w:w="85" w:type="dxa"/>
              <w:left w:w="28" w:type="dxa"/>
              <w:bottom w:w="85" w:type="dxa"/>
              <w:right w:w="28" w:type="dxa"/>
            </w:tcMar>
            <w:vAlign w:val="center"/>
          </w:tcPr>
          <w:p w14:paraId="21536B1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w:t>
            </w:r>
          </w:p>
        </w:tc>
        <w:tc>
          <w:tcPr>
            <w:tcW w:w="834" w:type="dxa"/>
            <w:tcMar>
              <w:top w:w="85" w:type="dxa"/>
              <w:left w:w="28" w:type="dxa"/>
              <w:bottom w:w="85" w:type="dxa"/>
              <w:right w:w="28" w:type="dxa"/>
            </w:tcMar>
            <w:vAlign w:val="center"/>
          </w:tcPr>
          <w:p w14:paraId="183F38E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8100</w:t>
            </w:r>
          </w:p>
        </w:tc>
        <w:tc>
          <w:tcPr>
            <w:tcW w:w="1151" w:type="dxa"/>
            <w:tcMar>
              <w:top w:w="85" w:type="dxa"/>
              <w:left w:w="28" w:type="dxa"/>
              <w:bottom w:w="85" w:type="dxa"/>
              <w:right w:w="28" w:type="dxa"/>
            </w:tcMar>
            <w:vAlign w:val="center"/>
          </w:tcPr>
          <w:p w14:paraId="4C75D113"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4500</w:t>
            </w:r>
          </w:p>
        </w:tc>
        <w:tc>
          <w:tcPr>
            <w:tcW w:w="792" w:type="dxa"/>
            <w:tcMar>
              <w:top w:w="85" w:type="dxa"/>
              <w:left w:w="28" w:type="dxa"/>
              <w:bottom w:w="85" w:type="dxa"/>
              <w:right w:w="28" w:type="dxa"/>
            </w:tcMar>
            <w:vAlign w:val="center"/>
          </w:tcPr>
          <w:p w14:paraId="5EE2AEB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5400</w:t>
            </w:r>
          </w:p>
        </w:tc>
        <w:tc>
          <w:tcPr>
            <w:tcW w:w="1192" w:type="dxa"/>
            <w:tcMar>
              <w:top w:w="85" w:type="dxa"/>
              <w:left w:w="28" w:type="dxa"/>
              <w:bottom w:w="85" w:type="dxa"/>
              <w:right w:w="28" w:type="dxa"/>
            </w:tcMar>
            <w:vAlign w:val="center"/>
          </w:tcPr>
          <w:p w14:paraId="3955F3D5"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3000</w:t>
            </w:r>
          </w:p>
        </w:tc>
        <w:tc>
          <w:tcPr>
            <w:tcW w:w="753" w:type="dxa"/>
            <w:tcMar>
              <w:top w:w="85" w:type="dxa"/>
              <w:left w:w="28" w:type="dxa"/>
              <w:bottom w:w="85" w:type="dxa"/>
              <w:right w:w="28" w:type="dxa"/>
            </w:tcMar>
            <w:vAlign w:val="center"/>
          </w:tcPr>
          <w:p w14:paraId="3177F930"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3900</w:t>
            </w:r>
          </w:p>
        </w:tc>
        <w:tc>
          <w:tcPr>
            <w:tcW w:w="971" w:type="dxa"/>
            <w:tcMar>
              <w:top w:w="85" w:type="dxa"/>
              <w:left w:w="28" w:type="dxa"/>
              <w:bottom w:w="85" w:type="dxa"/>
              <w:right w:w="28" w:type="dxa"/>
            </w:tcMar>
            <w:vAlign w:val="center"/>
          </w:tcPr>
          <w:p w14:paraId="629F72D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2200</w:t>
            </w:r>
          </w:p>
        </w:tc>
        <w:tc>
          <w:tcPr>
            <w:tcW w:w="972" w:type="dxa"/>
            <w:tcMar>
              <w:top w:w="85" w:type="dxa"/>
              <w:left w:w="28" w:type="dxa"/>
              <w:bottom w:w="85" w:type="dxa"/>
              <w:right w:w="28" w:type="dxa"/>
            </w:tcMar>
            <w:vAlign w:val="center"/>
          </w:tcPr>
          <w:p w14:paraId="1A066C9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180</w:t>
            </w:r>
          </w:p>
        </w:tc>
        <w:tc>
          <w:tcPr>
            <w:tcW w:w="973" w:type="dxa"/>
            <w:tcMar>
              <w:top w:w="85" w:type="dxa"/>
              <w:left w:w="28" w:type="dxa"/>
              <w:bottom w:w="85" w:type="dxa"/>
              <w:right w:w="28" w:type="dxa"/>
            </w:tcMar>
            <w:vAlign w:val="center"/>
          </w:tcPr>
          <w:p w14:paraId="0381A53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37C1915D" w14:textId="77777777" w:rsidTr="009B2994">
        <w:trPr>
          <w:jc w:val="right"/>
        </w:trPr>
        <w:tc>
          <w:tcPr>
            <w:tcW w:w="992" w:type="dxa"/>
            <w:tcMar>
              <w:top w:w="85" w:type="dxa"/>
              <w:left w:w="28" w:type="dxa"/>
              <w:bottom w:w="85" w:type="dxa"/>
              <w:right w:w="28" w:type="dxa"/>
            </w:tcMar>
            <w:vAlign w:val="center"/>
          </w:tcPr>
          <w:p w14:paraId="0312029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6</w:t>
            </w:r>
          </w:p>
        </w:tc>
        <w:tc>
          <w:tcPr>
            <w:tcW w:w="834" w:type="dxa"/>
            <w:tcMar>
              <w:top w:w="85" w:type="dxa"/>
              <w:left w:w="28" w:type="dxa"/>
              <w:bottom w:w="85" w:type="dxa"/>
              <w:right w:w="28" w:type="dxa"/>
            </w:tcMar>
            <w:vAlign w:val="center"/>
          </w:tcPr>
          <w:p w14:paraId="64FB127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11800</w:t>
            </w:r>
          </w:p>
        </w:tc>
        <w:tc>
          <w:tcPr>
            <w:tcW w:w="1151" w:type="dxa"/>
            <w:tcMar>
              <w:top w:w="85" w:type="dxa"/>
              <w:left w:w="28" w:type="dxa"/>
              <w:bottom w:w="85" w:type="dxa"/>
              <w:right w:w="28" w:type="dxa"/>
            </w:tcMar>
            <w:vAlign w:val="center"/>
          </w:tcPr>
          <w:p w14:paraId="0F00E389"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6000</w:t>
            </w:r>
          </w:p>
        </w:tc>
        <w:tc>
          <w:tcPr>
            <w:tcW w:w="792" w:type="dxa"/>
            <w:tcMar>
              <w:top w:w="85" w:type="dxa"/>
              <w:left w:w="28" w:type="dxa"/>
              <w:bottom w:w="85" w:type="dxa"/>
              <w:right w:w="28" w:type="dxa"/>
            </w:tcMar>
            <w:vAlign w:val="center"/>
          </w:tcPr>
          <w:p w14:paraId="3025CA00"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7900</w:t>
            </w:r>
          </w:p>
        </w:tc>
        <w:tc>
          <w:tcPr>
            <w:tcW w:w="1192" w:type="dxa"/>
            <w:tcMar>
              <w:top w:w="85" w:type="dxa"/>
              <w:left w:w="28" w:type="dxa"/>
              <w:bottom w:w="85" w:type="dxa"/>
              <w:right w:w="28" w:type="dxa"/>
            </w:tcMar>
            <w:vAlign w:val="center"/>
          </w:tcPr>
          <w:p w14:paraId="34C32390"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4000</w:t>
            </w:r>
          </w:p>
        </w:tc>
        <w:tc>
          <w:tcPr>
            <w:tcW w:w="753" w:type="dxa"/>
            <w:tcMar>
              <w:top w:w="85" w:type="dxa"/>
              <w:left w:w="28" w:type="dxa"/>
              <w:bottom w:w="85" w:type="dxa"/>
              <w:right w:w="28" w:type="dxa"/>
            </w:tcMar>
            <w:vAlign w:val="center"/>
          </w:tcPr>
          <w:p w14:paraId="3D3822A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5800</w:t>
            </w:r>
          </w:p>
        </w:tc>
        <w:tc>
          <w:tcPr>
            <w:tcW w:w="971" w:type="dxa"/>
            <w:tcMar>
              <w:top w:w="85" w:type="dxa"/>
              <w:left w:w="28" w:type="dxa"/>
              <w:bottom w:w="85" w:type="dxa"/>
              <w:right w:w="28" w:type="dxa"/>
            </w:tcMar>
            <w:vAlign w:val="center"/>
          </w:tcPr>
          <w:p w14:paraId="2D973F1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2900</w:t>
            </w:r>
          </w:p>
        </w:tc>
        <w:tc>
          <w:tcPr>
            <w:tcW w:w="972" w:type="dxa"/>
            <w:tcMar>
              <w:top w:w="85" w:type="dxa"/>
              <w:left w:w="28" w:type="dxa"/>
              <w:bottom w:w="85" w:type="dxa"/>
              <w:right w:w="28" w:type="dxa"/>
            </w:tcMar>
            <w:vAlign w:val="center"/>
          </w:tcPr>
          <w:p w14:paraId="1E5CDD1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c>
          <w:tcPr>
            <w:tcW w:w="973" w:type="dxa"/>
            <w:tcMar>
              <w:top w:w="85" w:type="dxa"/>
              <w:left w:w="28" w:type="dxa"/>
              <w:bottom w:w="85" w:type="dxa"/>
              <w:right w:w="28" w:type="dxa"/>
            </w:tcMar>
            <w:vAlign w:val="center"/>
          </w:tcPr>
          <w:p w14:paraId="6B9B16A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2B3B172D" w14:textId="77777777" w:rsidTr="009B2994">
        <w:trPr>
          <w:jc w:val="right"/>
        </w:trPr>
        <w:tc>
          <w:tcPr>
            <w:tcW w:w="992" w:type="dxa"/>
            <w:tcMar>
              <w:top w:w="85" w:type="dxa"/>
              <w:left w:w="28" w:type="dxa"/>
              <w:bottom w:w="85" w:type="dxa"/>
              <w:right w:w="28" w:type="dxa"/>
            </w:tcMar>
            <w:vAlign w:val="center"/>
          </w:tcPr>
          <w:p w14:paraId="17F25E5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7</w:t>
            </w:r>
          </w:p>
        </w:tc>
        <w:tc>
          <w:tcPr>
            <w:tcW w:w="834" w:type="dxa"/>
            <w:tcMar>
              <w:top w:w="85" w:type="dxa"/>
              <w:left w:w="28" w:type="dxa"/>
              <w:bottom w:w="85" w:type="dxa"/>
              <w:right w:w="28" w:type="dxa"/>
            </w:tcMar>
            <w:vAlign w:val="center"/>
          </w:tcPr>
          <w:p w14:paraId="481A53B3"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18200</w:t>
            </w:r>
          </w:p>
        </w:tc>
        <w:tc>
          <w:tcPr>
            <w:tcW w:w="1151" w:type="dxa"/>
            <w:tcMar>
              <w:top w:w="85" w:type="dxa"/>
              <w:left w:w="28" w:type="dxa"/>
              <w:bottom w:w="85" w:type="dxa"/>
              <w:right w:w="28" w:type="dxa"/>
            </w:tcMar>
            <w:vAlign w:val="center"/>
          </w:tcPr>
          <w:p w14:paraId="3509CBE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7900</w:t>
            </w:r>
          </w:p>
        </w:tc>
        <w:tc>
          <w:tcPr>
            <w:tcW w:w="792" w:type="dxa"/>
            <w:tcMar>
              <w:top w:w="85" w:type="dxa"/>
              <w:left w:w="28" w:type="dxa"/>
              <w:bottom w:w="85" w:type="dxa"/>
              <w:right w:w="28" w:type="dxa"/>
            </w:tcMar>
            <w:vAlign w:val="center"/>
          </w:tcPr>
          <w:p w14:paraId="53E10B0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12100</w:t>
            </w:r>
          </w:p>
        </w:tc>
        <w:tc>
          <w:tcPr>
            <w:tcW w:w="1192" w:type="dxa"/>
            <w:tcMar>
              <w:top w:w="85" w:type="dxa"/>
              <w:left w:w="28" w:type="dxa"/>
              <w:bottom w:w="85" w:type="dxa"/>
              <w:right w:w="28" w:type="dxa"/>
            </w:tcMar>
            <w:vAlign w:val="center"/>
          </w:tcPr>
          <w:p w14:paraId="7B70F3C4"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5300</w:t>
            </w:r>
          </w:p>
        </w:tc>
        <w:tc>
          <w:tcPr>
            <w:tcW w:w="753" w:type="dxa"/>
            <w:tcMar>
              <w:top w:w="85" w:type="dxa"/>
              <w:left w:w="28" w:type="dxa"/>
              <w:bottom w:w="85" w:type="dxa"/>
              <w:right w:w="28" w:type="dxa"/>
            </w:tcMar>
            <w:vAlign w:val="center"/>
          </w:tcPr>
          <w:p w14:paraId="3744997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8800</w:t>
            </w:r>
          </w:p>
        </w:tc>
        <w:tc>
          <w:tcPr>
            <w:tcW w:w="971" w:type="dxa"/>
            <w:tcMar>
              <w:top w:w="85" w:type="dxa"/>
              <w:left w:w="28" w:type="dxa"/>
              <w:bottom w:w="85" w:type="dxa"/>
              <w:right w:w="28" w:type="dxa"/>
            </w:tcMar>
            <w:vAlign w:val="center"/>
          </w:tcPr>
          <w:p w14:paraId="5DBF6BF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3800</w:t>
            </w:r>
          </w:p>
        </w:tc>
        <w:tc>
          <w:tcPr>
            <w:tcW w:w="972" w:type="dxa"/>
            <w:tcMar>
              <w:top w:w="85" w:type="dxa"/>
              <w:left w:w="28" w:type="dxa"/>
              <w:bottom w:w="85" w:type="dxa"/>
              <w:right w:w="28" w:type="dxa"/>
            </w:tcMar>
            <w:vAlign w:val="center"/>
          </w:tcPr>
          <w:p w14:paraId="139E2D3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c>
          <w:tcPr>
            <w:tcW w:w="973" w:type="dxa"/>
            <w:tcMar>
              <w:top w:w="85" w:type="dxa"/>
              <w:left w:w="28" w:type="dxa"/>
              <w:bottom w:w="85" w:type="dxa"/>
              <w:right w:w="28" w:type="dxa"/>
            </w:tcMar>
            <w:vAlign w:val="center"/>
          </w:tcPr>
          <w:p w14:paraId="36385C56"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2.25</w:t>
            </w:r>
          </w:p>
        </w:tc>
      </w:tr>
      <w:tr w:rsidR="00AE0621" w:rsidRPr="009E064B" w14:paraId="150C5B22" w14:textId="77777777" w:rsidTr="009B2994">
        <w:trPr>
          <w:jc w:val="right"/>
        </w:trPr>
        <w:tc>
          <w:tcPr>
            <w:tcW w:w="992" w:type="dxa"/>
            <w:tcMar>
              <w:top w:w="85" w:type="dxa"/>
              <w:left w:w="28" w:type="dxa"/>
              <w:bottom w:w="85" w:type="dxa"/>
              <w:right w:w="28" w:type="dxa"/>
            </w:tcMar>
            <w:vAlign w:val="center"/>
          </w:tcPr>
          <w:p w14:paraId="14F4DB36"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8</w:t>
            </w:r>
          </w:p>
        </w:tc>
        <w:tc>
          <w:tcPr>
            <w:tcW w:w="834" w:type="dxa"/>
            <w:tcMar>
              <w:top w:w="85" w:type="dxa"/>
              <w:left w:w="28" w:type="dxa"/>
              <w:bottom w:w="85" w:type="dxa"/>
              <w:right w:w="28" w:type="dxa"/>
            </w:tcMar>
            <w:vAlign w:val="center"/>
          </w:tcPr>
          <w:p w14:paraId="108A737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27300</w:t>
            </w:r>
          </w:p>
        </w:tc>
        <w:tc>
          <w:tcPr>
            <w:tcW w:w="1151" w:type="dxa"/>
            <w:tcMar>
              <w:top w:w="85" w:type="dxa"/>
              <w:left w:w="28" w:type="dxa"/>
              <w:bottom w:w="85" w:type="dxa"/>
              <w:right w:w="28" w:type="dxa"/>
            </w:tcMar>
            <w:vAlign w:val="center"/>
          </w:tcPr>
          <w:p w14:paraId="2A7D908D"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10800</w:t>
            </w:r>
          </w:p>
        </w:tc>
        <w:tc>
          <w:tcPr>
            <w:tcW w:w="792" w:type="dxa"/>
            <w:tcMar>
              <w:top w:w="85" w:type="dxa"/>
              <w:left w:w="28" w:type="dxa"/>
              <w:bottom w:w="85" w:type="dxa"/>
              <w:right w:w="28" w:type="dxa"/>
            </w:tcMar>
            <w:vAlign w:val="center"/>
          </w:tcPr>
          <w:p w14:paraId="2E1F3AA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18200</w:t>
            </w:r>
          </w:p>
        </w:tc>
        <w:tc>
          <w:tcPr>
            <w:tcW w:w="1192" w:type="dxa"/>
            <w:tcMar>
              <w:top w:w="85" w:type="dxa"/>
              <w:left w:w="28" w:type="dxa"/>
              <w:bottom w:w="85" w:type="dxa"/>
              <w:right w:w="28" w:type="dxa"/>
            </w:tcMar>
            <w:vAlign w:val="center"/>
          </w:tcPr>
          <w:p w14:paraId="7F19F2C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7200</w:t>
            </w:r>
          </w:p>
        </w:tc>
        <w:tc>
          <w:tcPr>
            <w:tcW w:w="753" w:type="dxa"/>
            <w:tcMar>
              <w:top w:w="85" w:type="dxa"/>
              <w:left w:w="28" w:type="dxa"/>
              <w:bottom w:w="85" w:type="dxa"/>
              <w:right w:w="28" w:type="dxa"/>
            </w:tcMar>
            <w:vAlign w:val="center"/>
          </w:tcPr>
          <w:p w14:paraId="2184B66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12800</w:t>
            </w:r>
          </w:p>
        </w:tc>
        <w:tc>
          <w:tcPr>
            <w:tcW w:w="971" w:type="dxa"/>
            <w:tcMar>
              <w:top w:w="85" w:type="dxa"/>
              <w:left w:w="28" w:type="dxa"/>
              <w:bottom w:w="85" w:type="dxa"/>
              <w:right w:w="28" w:type="dxa"/>
            </w:tcMar>
            <w:vAlign w:val="center"/>
          </w:tcPr>
          <w:p w14:paraId="7B5596A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5100</w:t>
            </w:r>
          </w:p>
        </w:tc>
        <w:tc>
          <w:tcPr>
            <w:tcW w:w="972" w:type="dxa"/>
            <w:tcMar>
              <w:top w:w="85" w:type="dxa"/>
              <w:left w:w="28" w:type="dxa"/>
              <w:bottom w:w="85" w:type="dxa"/>
              <w:right w:w="28" w:type="dxa"/>
            </w:tcMar>
            <w:vAlign w:val="center"/>
          </w:tcPr>
          <w:p w14:paraId="1D8188B2"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0D65CA3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w:t>
            </w:r>
          </w:p>
        </w:tc>
      </w:tr>
      <w:tr w:rsidR="00AE0621" w:rsidRPr="009E064B" w14:paraId="49CD1170" w14:textId="77777777" w:rsidTr="009B2994">
        <w:trPr>
          <w:jc w:val="right"/>
        </w:trPr>
        <w:tc>
          <w:tcPr>
            <w:tcW w:w="992" w:type="dxa"/>
            <w:tcMar>
              <w:top w:w="85" w:type="dxa"/>
              <w:left w:w="28" w:type="dxa"/>
              <w:bottom w:w="85" w:type="dxa"/>
              <w:right w:w="28" w:type="dxa"/>
            </w:tcMar>
            <w:vAlign w:val="center"/>
          </w:tcPr>
          <w:p w14:paraId="1610DA15"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9</w:t>
            </w:r>
          </w:p>
        </w:tc>
        <w:tc>
          <w:tcPr>
            <w:tcW w:w="834" w:type="dxa"/>
            <w:tcMar>
              <w:top w:w="85" w:type="dxa"/>
              <w:left w:w="28" w:type="dxa"/>
              <w:bottom w:w="85" w:type="dxa"/>
              <w:right w:w="28" w:type="dxa"/>
            </w:tcMar>
            <w:vAlign w:val="center"/>
          </w:tcPr>
          <w:p w14:paraId="1F8B09F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36400</w:t>
            </w:r>
          </w:p>
        </w:tc>
        <w:tc>
          <w:tcPr>
            <w:tcW w:w="1151" w:type="dxa"/>
            <w:tcMar>
              <w:top w:w="85" w:type="dxa"/>
              <w:left w:w="28" w:type="dxa"/>
              <w:bottom w:w="85" w:type="dxa"/>
              <w:right w:w="28" w:type="dxa"/>
            </w:tcMar>
            <w:vAlign w:val="center"/>
          </w:tcPr>
          <w:p w14:paraId="340ABE6C"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13500</w:t>
            </w:r>
          </w:p>
        </w:tc>
        <w:tc>
          <w:tcPr>
            <w:tcW w:w="792" w:type="dxa"/>
            <w:tcMar>
              <w:top w:w="85" w:type="dxa"/>
              <w:left w:w="28" w:type="dxa"/>
              <w:bottom w:w="85" w:type="dxa"/>
              <w:right w:w="28" w:type="dxa"/>
            </w:tcMar>
            <w:vAlign w:val="center"/>
          </w:tcPr>
          <w:p w14:paraId="1B37FFB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24300</w:t>
            </w:r>
          </w:p>
        </w:tc>
        <w:tc>
          <w:tcPr>
            <w:tcW w:w="1192" w:type="dxa"/>
            <w:tcMar>
              <w:top w:w="85" w:type="dxa"/>
              <w:left w:w="28" w:type="dxa"/>
              <w:bottom w:w="85" w:type="dxa"/>
              <w:right w:w="28" w:type="dxa"/>
            </w:tcMar>
            <w:vAlign w:val="center"/>
          </w:tcPr>
          <w:p w14:paraId="4E59D816"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9000</w:t>
            </w:r>
          </w:p>
        </w:tc>
        <w:tc>
          <w:tcPr>
            <w:tcW w:w="753" w:type="dxa"/>
            <w:tcMar>
              <w:top w:w="85" w:type="dxa"/>
              <w:left w:w="28" w:type="dxa"/>
              <w:bottom w:w="85" w:type="dxa"/>
              <w:right w:w="28" w:type="dxa"/>
            </w:tcMar>
            <w:vAlign w:val="center"/>
          </w:tcPr>
          <w:p w14:paraId="67C39E34"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17100</w:t>
            </w:r>
          </w:p>
        </w:tc>
        <w:tc>
          <w:tcPr>
            <w:tcW w:w="971" w:type="dxa"/>
            <w:tcMar>
              <w:top w:w="85" w:type="dxa"/>
              <w:left w:w="28" w:type="dxa"/>
              <w:bottom w:w="85" w:type="dxa"/>
              <w:right w:w="28" w:type="dxa"/>
            </w:tcMar>
            <w:vAlign w:val="center"/>
          </w:tcPr>
          <w:p w14:paraId="56992567"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6300</w:t>
            </w:r>
          </w:p>
        </w:tc>
        <w:tc>
          <w:tcPr>
            <w:tcW w:w="972" w:type="dxa"/>
            <w:tcMar>
              <w:top w:w="85" w:type="dxa"/>
              <w:left w:w="28" w:type="dxa"/>
              <w:bottom w:w="85" w:type="dxa"/>
              <w:right w:w="28" w:type="dxa"/>
            </w:tcMar>
            <w:vAlign w:val="center"/>
          </w:tcPr>
          <w:p w14:paraId="4C3CCB9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535A49C6"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w:t>
            </w:r>
          </w:p>
        </w:tc>
      </w:tr>
      <w:tr w:rsidR="00AE0621" w:rsidRPr="009E064B" w14:paraId="1BC7A643" w14:textId="77777777" w:rsidTr="009B2994">
        <w:trPr>
          <w:jc w:val="right"/>
        </w:trPr>
        <w:tc>
          <w:tcPr>
            <w:tcW w:w="992" w:type="dxa"/>
            <w:tcMar>
              <w:top w:w="85" w:type="dxa"/>
              <w:left w:w="28" w:type="dxa"/>
              <w:bottom w:w="85" w:type="dxa"/>
              <w:right w:w="28" w:type="dxa"/>
            </w:tcMar>
            <w:vAlign w:val="center"/>
          </w:tcPr>
          <w:p w14:paraId="5B22CDBA"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10</w:t>
            </w:r>
          </w:p>
        </w:tc>
        <w:tc>
          <w:tcPr>
            <w:tcW w:w="834" w:type="dxa"/>
            <w:tcMar>
              <w:top w:w="85" w:type="dxa"/>
              <w:left w:w="28" w:type="dxa"/>
              <w:bottom w:w="85" w:type="dxa"/>
              <w:right w:w="28" w:type="dxa"/>
            </w:tcMar>
            <w:vAlign w:val="center"/>
          </w:tcPr>
          <w:p w14:paraId="613B42D1"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48200</w:t>
            </w:r>
          </w:p>
        </w:tc>
        <w:tc>
          <w:tcPr>
            <w:tcW w:w="1151" w:type="dxa"/>
            <w:tcMar>
              <w:top w:w="85" w:type="dxa"/>
              <w:left w:w="28" w:type="dxa"/>
              <w:bottom w:w="85" w:type="dxa"/>
              <w:right w:w="28" w:type="dxa"/>
            </w:tcMar>
            <w:vAlign w:val="center"/>
          </w:tcPr>
          <w:p w14:paraId="397F3B7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16600</w:t>
            </w:r>
          </w:p>
        </w:tc>
        <w:tc>
          <w:tcPr>
            <w:tcW w:w="792" w:type="dxa"/>
            <w:tcMar>
              <w:top w:w="85" w:type="dxa"/>
              <w:left w:w="28" w:type="dxa"/>
              <w:bottom w:w="85" w:type="dxa"/>
              <w:right w:w="28" w:type="dxa"/>
            </w:tcMar>
            <w:vAlign w:val="center"/>
          </w:tcPr>
          <w:p w14:paraId="611A3C5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32300</w:t>
            </w:r>
          </w:p>
        </w:tc>
        <w:tc>
          <w:tcPr>
            <w:tcW w:w="1192" w:type="dxa"/>
            <w:tcMar>
              <w:top w:w="85" w:type="dxa"/>
              <w:left w:w="28" w:type="dxa"/>
              <w:bottom w:w="85" w:type="dxa"/>
              <w:right w:w="28" w:type="dxa"/>
            </w:tcMar>
            <w:vAlign w:val="center"/>
          </w:tcPr>
          <w:p w14:paraId="468ADC0F"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11200</w:t>
            </w:r>
          </w:p>
        </w:tc>
        <w:tc>
          <w:tcPr>
            <w:tcW w:w="753" w:type="dxa"/>
            <w:tcMar>
              <w:top w:w="85" w:type="dxa"/>
              <w:left w:w="28" w:type="dxa"/>
              <w:bottom w:w="85" w:type="dxa"/>
              <w:right w:w="28" w:type="dxa"/>
            </w:tcMar>
            <w:vAlign w:val="center"/>
          </w:tcPr>
          <w:p w14:paraId="5828F33B"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22800</w:t>
            </w:r>
          </w:p>
        </w:tc>
        <w:tc>
          <w:tcPr>
            <w:tcW w:w="971" w:type="dxa"/>
            <w:tcMar>
              <w:top w:w="85" w:type="dxa"/>
              <w:left w:w="28" w:type="dxa"/>
              <w:bottom w:w="85" w:type="dxa"/>
              <w:right w:w="28" w:type="dxa"/>
            </w:tcMar>
            <w:vAlign w:val="center"/>
          </w:tcPr>
          <w:p w14:paraId="3607F8B9"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7900</w:t>
            </w:r>
          </w:p>
        </w:tc>
        <w:tc>
          <w:tcPr>
            <w:tcW w:w="972" w:type="dxa"/>
            <w:tcMar>
              <w:top w:w="85" w:type="dxa"/>
              <w:left w:w="28" w:type="dxa"/>
              <w:bottom w:w="85" w:type="dxa"/>
              <w:right w:w="28" w:type="dxa"/>
            </w:tcMar>
            <w:vAlign w:val="center"/>
          </w:tcPr>
          <w:p w14:paraId="6ADDA653"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450</w:t>
            </w:r>
          </w:p>
        </w:tc>
        <w:tc>
          <w:tcPr>
            <w:tcW w:w="973" w:type="dxa"/>
            <w:tcMar>
              <w:top w:w="85" w:type="dxa"/>
              <w:left w:w="28" w:type="dxa"/>
              <w:bottom w:w="85" w:type="dxa"/>
              <w:right w:w="28" w:type="dxa"/>
            </w:tcMar>
            <w:vAlign w:val="center"/>
          </w:tcPr>
          <w:p w14:paraId="5442A52E" w14:textId="77777777" w:rsidR="00AE0621" w:rsidRPr="009E064B" w:rsidRDefault="00AE0621" w:rsidP="00C0606B">
            <w:pPr>
              <w:widowControl/>
              <w:spacing w:before="40" w:after="40"/>
              <w:jc w:val="center"/>
              <w:rPr>
                <w:rFonts w:asciiTheme="minorHAnsi" w:eastAsia="Calibri" w:hAnsiTheme="minorHAnsi" w:cstheme="minorHAnsi"/>
                <w:szCs w:val="20"/>
              </w:rPr>
            </w:pPr>
            <w:r w:rsidRPr="009E064B">
              <w:rPr>
                <w:rFonts w:asciiTheme="minorHAnsi" w:eastAsia="Calibri" w:hAnsiTheme="minorHAnsi" w:cstheme="minorHAnsi"/>
                <w:szCs w:val="20"/>
              </w:rPr>
              <w:t>4.5</w:t>
            </w:r>
          </w:p>
        </w:tc>
      </w:tr>
      <w:tr w:rsidR="00AE0621" w:rsidRPr="009E064B" w14:paraId="63503123" w14:textId="77777777" w:rsidTr="00AE0621">
        <w:trPr>
          <w:trHeight w:val="536"/>
          <w:jc w:val="right"/>
        </w:trPr>
        <w:tc>
          <w:tcPr>
            <w:tcW w:w="8630" w:type="dxa"/>
            <w:gridSpan w:val="9"/>
            <w:tcMar>
              <w:top w:w="57" w:type="dxa"/>
              <w:left w:w="28" w:type="dxa"/>
              <w:bottom w:w="57" w:type="dxa"/>
              <w:right w:w="28" w:type="dxa"/>
            </w:tcMar>
            <w:vAlign w:val="center"/>
          </w:tcPr>
          <w:p w14:paraId="554215EE" w14:textId="77777777" w:rsidR="00AE0621" w:rsidRPr="009E064B" w:rsidRDefault="00AE0621" w:rsidP="00C0606B">
            <w:pPr>
              <w:widowControl/>
              <w:spacing w:before="40" w:after="40"/>
              <w:ind w:left="774" w:hanging="708"/>
              <w:jc w:val="left"/>
              <w:rPr>
                <w:rFonts w:asciiTheme="minorHAnsi" w:eastAsia="Calibri" w:hAnsiTheme="minorHAnsi" w:cstheme="minorHAnsi"/>
              </w:rPr>
            </w:pPr>
            <w:r w:rsidRPr="009E064B">
              <w:rPr>
                <w:rFonts w:asciiTheme="minorHAnsi" w:eastAsia="Calibri" w:hAnsiTheme="minorHAnsi" w:cstheme="minorHAnsi"/>
              </w:rPr>
              <w:t>Uwaga:  Ilości wody podane w kolumnach 2, 4 i 6 oparte są na średniej całkowitej długości samolotów danej kategorii.</w:t>
            </w:r>
          </w:p>
        </w:tc>
      </w:tr>
    </w:tbl>
    <w:p w14:paraId="1C4DE877" w14:textId="77777777" w:rsidR="00AE0621" w:rsidRPr="000209A8" w:rsidRDefault="00AE0621" w:rsidP="009B2994">
      <w:pPr>
        <w:widowControl/>
        <w:spacing w:before="240" w:after="0"/>
        <w:ind w:left="357"/>
        <w:jc w:val="center"/>
        <w:rPr>
          <w:rFonts w:asciiTheme="minorHAnsi" w:eastAsia="Calibri" w:hAnsiTheme="minorHAnsi" w:cstheme="minorHAnsi"/>
          <w:b/>
        </w:rPr>
      </w:pPr>
      <w:r w:rsidRPr="000209A8">
        <w:rPr>
          <w:rFonts w:asciiTheme="minorHAnsi" w:eastAsia="Calibri" w:hAnsiTheme="minorHAnsi" w:cstheme="minorHAnsi"/>
          <w:b/>
        </w:rPr>
        <w:t>Tabela 1</w:t>
      </w:r>
    </w:p>
    <w:p w14:paraId="1EBCDDB7" w14:textId="77777777" w:rsidR="00AE0621" w:rsidRPr="009E064B" w:rsidRDefault="00AE0621" w:rsidP="00F36957">
      <w:pPr>
        <w:widowControl/>
        <w:tabs>
          <w:tab w:val="left" w:pos="567"/>
        </w:tabs>
        <w:spacing w:after="0"/>
        <w:ind w:left="567"/>
        <w:rPr>
          <w:rFonts w:asciiTheme="minorHAnsi" w:eastAsia="Calibri" w:hAnsiTheme="minorHAnsi" w:cstheme="minorHAnsi"/>
        </w:rPr>
      </w:pPr>
    </w:p>
    <w:p w14:paraId="3C7E7709" w14:textId="502E1882" w:rsidR="00B0686B" w:rsidRPr="009E064B" w:rsidRDefault="00B0686B" w:rsidP="00B06A9A">
      <w:pPr>
        <w:widowControl/>
        <w:tabs>
          <w:tab w:val="left" w:pos="567"/>
        </w:tabs>
        <w:ind w:left="567" w:firstLine="567"/>
        <w:rPr>
          <w:rFonts w:asciiTheme="minorHAnsi" w:eastAsia="Calibri" w:hAnsiTheme="minorHAnsi" w:cstheme="minorHAnsi"/>
        </w:rPr>
      </w:pPr>
      <w:r w:rsidRPr="009E064B">
        <w:rPr>
          <w:rFonts w:asciiTheme="minorHAnsi" w:eastAsia="Calibri" w:hAnsiTheme="minorHAnsi" w:cstheme="minorHAnsi"/>
        </w:rPr>
        <w:t xml:space="preserve">Uwaga 1: </w:t>
      </w:r>
      <w:r w:rsidR="00AE0621" w:rsidRPr="009E064B">
        <w:rPr>
          <w:rFonts w:asciiTheme="minorHAnsi" w:eastAsia="Calibri" w:hAnsiTheme="minorHAnsi" w:cstheme="minorHAnsi"/>
        </w:rPr>
        <w:t>Il</w:t>
      </w:r>
      <w:r w:rsidRPr="009E064B">
        <w:rPr>
          <w:rFonts w:asciiTheme="minorHAnsi" w:eastAsia="Calibri" w:hAnsiTheme="minorHAnsi" w:cstheme="minorHAnsi"/>
        </w:rPr>
        <w:t>ości wody do produkcji piany gaśniczej są oparte</w:t>
      </w:r>
      <w:r w:rsidR="00D12A54" w:rsidRPr="009E064B">
        <w:rPr>
          <w:rFonts w:asciiTheme="minorHAnsi" w:eastAsia="Calibri" w:hAnsiTheme="minorHAnsi" w:cstheme="minorHAnsi"/>
        </w:rPr>
        <w:t xml:space="preserve"> na intensywności podawania 8.2 </w:t>
      </w:r>
      <w:r w:rsidRPr="009E064B">
        <w:rPr>
          <w:rFonts w:asciiTheme="minorHAnsi" w:eastAsia="Calibri" w:hAnsiTheme="minorHAnsi" w:cstheme="minorHAnsi"/>
        </w:rPr>
        <w:t>L/min/m2 dla piany spełniającej wymagan</w:t>
      </w:r>
      <w:r w:rsidR="009B2994" w:rsidRPr="009E064B">
        <w:rPr>
          <w:rFonts w:asciiTheme="minorHAnsi" w:eastAsia="Calibri" w:hAnsiTheme="minorHAnsi" w:cstheme="minorHAnsi"/>
        </w:rPr>
        <w:t>ia pian gaśniczych grupy A, 5.5 </w:t>
      </w:r>
      <w:r w:rsidRPr="009E064B">
        <w:rPr>
          <w:rFonts w:asciiTheme="minorHAnsi" w:eastAsia="Calibri" w:hAnsiTheme="minorHAnsi" w:cstheme="minorHAnsi"/>
        </w:rPr>
        <w:t>L/min/m2 dla piany spełniającej wymagania pian gaśniczych grupy B i 3.75L/min/m2 dla piany spełniającej wymagania pian gaśniczych grupy C.</w:t>
      </w:r>
    </w:p>
    <w:p w14:paraId="5785F337" w14:textId="36E80970" w:rsidR="00F36957" w:rsidRPr="009E064B" w:rsidRDefault="00B0686B" w:rsidP="00F36957">
      <w:pPr>
        <w:widowControl/>
        <w:tabs>
          <w:tab w:val="left" w:pos="567"/>
        </w:tabs>
        <w:spacing w:after="360"/>
        <w:ind w:left="567" w:firstLine="567"/>
        <w:rPr>
          <w:rFonts w:asciiTheme="minorHAnsi" w:eastAsia="Calibri" w:hAnsiTheme="minorHAnsi" w:cstheme="minorHAnsi"/>
        </w:rPr>
      </w:pPr>
      <w:r w:rsidRPr="009E064B">
        <w:rPr>
          <w:rFonts w:asciiTheme="minorHAnsi" w:eastAsia="Calibri" w:hAnsiTheme="minorHAnsi" w:cstheme="minorHAnsi"/>
        </w:rPr>
        <w:t>Uwaga 2: Gdy stosowany jest inny środek uzupełniający to należy sprawdzić proporcje zastępowania środków.</w:t>
      </w:r>
      <w:r w:rsidR="00F36957" w:rsidRPr="009E064B">
        <w:rPr>
          <w:rFonts w:asciiTheme="minorHAnsi" w:eastAsia="Calibri" w:hAnsiTheme="minorHAnsi" w:cstheme="minorHAnsi"/>
        </w:rPr>
        <w:t xml:space="preserve"> </w:t>
      </w:r>
    </w:p>
    <w:p w14:paraId="31707428" w14:textId="77777777" w:rsidR="00B0686B" w:rsidRPr="009E064B" w:rsidRDefault="00B0686B" w:rsidP="00B06A9A">
      <w:pPr>
        <w:widowControl/>
        <w:ind w:left="567" w:hanging="567"/>
        <w:rPr>
          <w:rFonts w:asciiTheme="minorHAnsi" w:eastAsia="Calibri" w:hAnsiTheme="minorHAnsi" w:cstheme="minorHAnsi"/>
        </w:rPr>
      </w:pPr>
      <w:r w:rsidRPr="009E064B">
        <w:rPr>
          <w:rFonts w:asciiTheme="minorHAnsi" w:eastAsia="Calibri" w:hAnsiTheme="minorHAnsi" w:cstheme="minorHAnsi"/>
        </w:rPr>
        <w:t>(da)</w:t>
      </w:r>
      <w:r w:rsidRPr="009E064B">
        <w:rPr>
          <w:rFonts w:asciiTheme="minorHAnsi" w:eastAsia="Calibri" w:hAnsiTheme="minorHAnsi" w:cstheme="minorHAnsi"/>
        </w:rPr>
        <w:tab/>
        <w:t>ilość środka pianotwórczego dostarczonego oddzielnie na pojazdach do produkcji piany jest proporcjonalna do ilości zapewnianej wody oraz wybranego środka pianotwórczego;</w:t>
      </w:r>
    </w:p>
    <w:p w14:paraId="4224E00C"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ilość skoncentrowanego środka pianotwórczego powinna być wystarczająca, aby zapewnić produkcję piany gaśniczej odpowiadającej przynajmniej dwóm pełnym załadunkom roztworu pianotwórczego;</w:t>
      </w:r>
    </w:p>
    <w:p w14:paraId="1BB40B12" w14:textId="792BA35E"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jeżeli na lotnisku zapewniana jest kombinacja pian o różnym poziomie wydajności, to całkowita ilość wody przewidziana do produkcji piany gaśniczej powinna być obliczana dla każdego rodzaju piany, a rozdział tych ilości powinien być udoku</w:t>
      </w:r>
      <w:r w:rsidR="009B2994" w:rsidRPr="009E064B">
        <w:rPr>
          <w:rFonts w:asciiTheme="minorHAnsi" w:eastAsia="Calibri" w:hAnsiTheme="minorHAnsi" w:cstheme="minorHAnsi"/>
        </w:rPr>
        <w:t>mentowany dla każdego pojazdu i </w:t>
      </w:r>
      <w:r w:rsidRPr="009E064B">
        <w:rPr>
          <w:rFonts w:asciiTheme="minorHAnsi" w:eastAsia="Calibri" w:hAnsiTheme="minorHAnsi" w:cstheme="minorHAnsi"/>
        </w:rPr>
        <w:t>zastosowany do ogólnego wymagania ratowniczo-gaśniczego;</w:t>
      </w:r>
    </w:p>
    <w:p w14:paraId="65197BCB" w14:textId="3967460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 xml:space="preserve">wydatki roztworów pianotwórczych są nie mniejsze niż podane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w:t>
      </w:r>
    </w:p>
    <w:p w14:paraId="1DAEF4D0"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uzupełniające środki gaśnicze są zgodne z odpowiednimi specyfikacjami określonymi przez Międzynarodową Organizację Normalizacji (ISO);</w:t>
      </w:r>
    </w:p>
    <w:p w14:paraId="5BF28FC6" w14:textId="6E9C263E"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 xml:space="preserve">wydatki uzupełniających środków gaśniczych są nie mniejsze, niż wartości podane w </w:t>
      </w:r>
      <w:r w:rsidR="00F36957" w:rsidRPr="009E064B">
        <w:rPr>
          <w:rFonts w:asciiTheme="minorHAnsi" w:eastAsia="Calibri" w:hAnsiTheme="minorHAnsi" w:cstheme="minorHAnsi"/>
        </w:rPr>
        <w:t>Tabeli</w:t>
      </w:r>
      <w:r w:rsidRPr="009E064B">
        <w:rPr>
          <w:rFonts w:asciiTheme="minorHAnsi" w:eastAsia="Calibri" w:hAnsiTheme="minorHAnsi" w:cstheme="minorHAnsi"/>
        </w:rPr>
        <w:t> 1;</w:t>
      </w:r>
    </w:p>
    <w:p w14:paraId="03829253" w14:textId="42530BF5"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 xml:space="preserve">na lotnisku przechowuje się rezerwę skoncentrowanych środków pianotwórczych równoważną 200% tych ilości środków podanych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 umożliwiającą uzupełnianie zbiorników pojazdów. Koncentrat piany przewożony w pojazdach gaśniczych w większych ilościach niż podane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 może być zaliczany do tej rezerwy;</w:t>
      </w:r>
    </w:p>
    <w:p w14:paraId="43342323" w14:textId="523BA6A9"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 xml:space="preserve">na lotnisku przechowuje się rezerwę uzupełniających środków gaśniczych równoważną 100% tych ilości środków podanych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 umożliwiającą uzupełnianie zbiorników pojazdów oraz wystarczającą ilość gazu pędnego do użycia rezerwy uzupełniających środków gaśniczych. Uzupełniające środki gaśnicze przewożone na pojazdach pożarniczych przekraczające ilość określoną w Tabeli 1 mogą stanowić rezerwę;</w:t>
      </w:r>
    </w:p>
    <w:p w14:paraId="4234DD44"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dla lotnisk kategorii 1 i 2, które zastąpiły do 100% wody uzupełniającym środkiem gaśniczym, przechowywana jest 200% rezerwa uzupełniających środków gaśniczych;</w:t>
      </w:r>
    </w:p>
    <w:p w14:paraId="0119549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jeżeli przewiduje się dłuższe okresy przerw w dostawach uzupełniających, to ilości środków stanowiących rezerwy są zwiększone o wartości określone w ocenie ryzyka;</w:t>
      </w:r>
    </w:p>
    <w:p w14:paraId="43CF0B5C"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prowadzona jest analiza potrzeb na wodę w celu ustalenia dostępności wystarczającej ilości wody do celów gaśniczych;</w:t>
      </w:r>
    </w:p>
    <w:p w14:paraId="78F38E7A"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(o) </w:t>
      </w:r>
      <w:r w:rsidRPr="009E064B">
        <w:rPr>
          <w:rFonts w:asciiTheme="minorHAnsi" w:eastAsia="Calibri" w:hAnsiTheme="minorHAnsi" w:cstheme="minorHAnsi"/>
        </w:rPr>
        <w:tab/>
        <w:t>ilości wody oraz środka pianotwórczego są ponownie przeliczane i ilość wody oraz środka pianotwórczego do produkcji piany i wydatek roztworów pianotwórczych odpowiednio wzrasta, gdy planowane są operacje lotnicze samolotów większych niż średni rozmiar w danej kategorii;</w:t>
      </w:r>
    </w:p>
    <w:p w14:paraId="32ADE39E" w14:textId="7F12FA5D"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(oa)</w:t>
      </w:r>
      <w:r w:rsidRPr="009E064B">
        <w:rPr>
          <w:rFonts w:asciiTheme="minorHAnsi" w:eastAsia="Calibri" w:hAnsiTheme="minorHAnsi" w:cstheme="minorHAnsi"/>
        </w:rPr>
        <w:tab/>
        <w:t>jeżeli poziom ochrony zos</w:t>
      </w:r>
      <w:r w:rsidR="00371A8B" w:rsidRPr="009E064B">
        <w:rPr>
          <w:rFonts w:asciiTheme="minorHAnsi" w:eastAsia="Calibri" w:hAnsiTheme="minorHAnsi" w:cstheme="minorHAnsi"/>
        </w:rPr>
        <w:t xml:space="preserve">tał obniżony zgodnie z </w:t>
      </w:r>
      <w:hyperlink w:anchor="_AMC2_ADR.OPS.B.010(a)(2)_" w:history="1">
        <w:r w:rsidR="00371A8B"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ADR.OPS</w:t>
        </w:r>
        <w:r w:rsidR="00371A8B" w:rsidRPr="009E064B">
          <w:rPr>
            <w:rStyle w:val="Hipercze"/>
            <w:rFonts w:asciiTheme="minorHAnsi" w:eastAsia="Calibri" w:hAnsiTheme="minorHAnsi" w:cstheme="minorHAnsi"/>
          </w:rPr>
          <w:t>.B.010</w:t>
        </w:r>
        <w:r w:rsidRPr="009E064B">
          <w:rPr>
            <w:rStyle w:val="Hipercze"/>
            <w:rFonts w:asciiTheme="minorHAnsi" w:eastAsia="Calibri" w:hAnsiTheme="minorHAnsi" w:cstheme="minorHAnsi"/>
          </w:rPr>
          <w:t>(a)(2)</w:t>
        </w:r>
      </w:hyperlink>
      <w:r w:rsidRPr="009E064B">
        <w:rPr>
          <w:rFonts w:asciiTheme="minorHAnsi" w:eastAsia="Calibri" w:hAnsiTheme="minorHAnsi" w:cstheme="minorHAnsi"/>
        </w:rPr>
        <w:t>, przeliczenie ilości środków gaśniczych powinno być prowadzone w</w:t>
      </w:r>
      <w:r w:rsidR="00371A8B" w:rsidRPr="009E064B">
        <w:rPr>
          <w:rFonts w:asciiTheme="minorHAnsi" w:eastAsia="Calibri" w:hAnsiTheme="minorHAnsi" w:cstheme="minorHAnsi"/>
        </w:rPr>
        <w:t xml:space="preserve"> oparciu o największy samolot w </w:t>
      </w:r>
      <w:r w:rsidRPr="009E064B">
        <w:rPr>
          <w:rFonts w:asciiTheme="minorHAnsi" w:eastAsia="Calibri" w:hAnsiTheme="minorHAnsi" w:cstheme="minorHAnsi"/>
        </w:rPr>
        <w:t>obniżonej kategorii;</w:t>
      </w:r>
    </w:p>
    <w:p w14:paraId="540203A2" w14:textId="2EE751F6"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(ob)</w:t>
      </w:r>
      <w:r w:rsidRPr="009E064B">
        <w:rPr>
          <w:rFonts w:asciiTheme="minorHAnsi" w:eastAsia="Calibri" w:hAnsiTheme="minorHAnsi" w:cstheme="minorHAnsi"/>
        </w:rPr>
        <w:tab/>
        <w:t xml:space="preserve">w przypadku wszystkich lotów towarowych, lotów pocztowych, rozprowadzających, próbnych, związanych ze zmianą miejsca bazowania oraz z wycofaniem z eksploatacji, w tym również z przewozem materiałów niebezpiecznych, przeliczenie ilości środków gaśniczych powinno być prowadzone w oparciu o największy samolot w kategorii określonej w </w:t>
      </w:r>
      <w:r w:rsidR="00F36957" w:rsidRPr="009E064B">
        <w:rPr>
          <w:rFonts w:asciiTheme="minorHAnsi" w:eastAsia="Calibri" w:hAnsiTheme="minorHAnsi" w:cstheme="minorHAnsi"/>
        </w:rPr>
        <w:t>Tabeli</w:t>
      </w:r>
      <w:r w:rsidR="00371A8B" w:rsidRPr="009E064B">
        <w:rPr>
          <w:rFonts w:asciiTheme="minorHAnsi" w:eastAsia="Calibri" w:hAnsiTheme="minorHAnsi" w:cstheme="minorHAnsi"/>
        </w:rPr>
        <w:t> </w:t>
      </w:r>
      <w:r w:rsidR="009B2994" w:rsidRPr="009E064B">
        <w:rPr>
          <w:rFonts w:asciiTheme="minorHAnsi" w:eastAsia="Calibri" w:hAnsiTheme="minorHAnsi" w:cstheme="minorHAnsi"/>
        </w:rPr>
        <w:t>2 w </w:t>
      </w:r>
      <w:hyperlink w:anchor="_AMC2_ADR.OPS.B.010(a)(2)_" w:history="1">
        <w:r w:rsidR="00371A8B"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ADR.OPS.B.010(a)(2)</w:t>
        </w:r>
      </w:hyperlink>
      <w:r w:rsidRPr="009E064B">
        <w:rPr>
          <w:rFonts w:asciiTheme="minorHAnsi" w:eastAsia="Calibri" w:hAnsiTheme="minorHAnsi" w:cstheme="minorHAnsi"/>
        </w:rPr>
        <w:t>; oraz</w:t>
      </w:r>
    </w:p>
    <w:p w14:paraId="46FC69AF" w14:textId="08E16505" w:rsidR="00C0606B" w:rsidRPr="009E064B" w:rsidRDefault="00B0686B" w:rsidP="009B2994">
      <w:pPr>
        <w:widowControl/>
        <w:tabs>
          <w:tab w:val="left" w:pos="709"/>
        </w:tabs>
        <w:spacing w:after="0"/>
        <w:ind w:left="567" w:hanging="567"/>
        <w:rPr>
          <w:rFonts w:asciiTheme="minorHAnsi" w:eastAsia="Calibri" w:hAnsiTheme="minorHAnsi" w:cstheme="minorHAnsi"/>
        </w:rPr>
      </w:pPr>
      <w:r w:rsidRPr="009E064B">
        <w:rPr>
          <w:rFonts w:asciiTheme="minorHAnsi" w:eastAsia="Calibri" w:hAnsiTheme="minorHAnsi" w:cstheme="minorHAnsi"/>
        </w:rPr>
        <w:t xml:space="preserve">(p) </w:t>
      </w:r>
      <w:r w:rsidRPr="009E064B">
        <w:rPr>
          <w:rFonts w:asciiTheme="minorHAnsi" w:eastAsia="Calibri" w:hAnsiTheme="minorHAnsi" w:cstheme="minorHAnsi"/>
        </w:rPr>
        <w:tab/>
        <w:t>wdrożone są uzgodnienia dotyczące zarządzania środkami gaśniczymi w zakresie wyboru, przechowywania, obsługi i testowania.</w:t>
      </w:r>
      <w:r w:rsidR="00371A8B" w:rsidRPr="009E064B">
        <w:rPr>
          <w:rFonts w:asciiTheme="minorHAnsi" w:eastAsia="Calibri" w:hAnsiTheme="minorHAnsi" w:cstheme="minorHAnsi"/>
        </w:rPr>
        <w:t xml:space="preserve"> </w:t>
      </w:r>
    </w:p>
    <w:p w14:paraId="61D4BE1B" w14:textId="4B223F80" w:rsidR="00B0686B" w:rsidRPr="009E064B" w:rsidRDefault="00B0686B" w:rsidP="00133B99">
      <w:pPr>
        <w:pStyle w:val="Nagwek5"/>
      </w:pPr>
      <w:bookmarkStart w:id="573" w:name="_Toc492024706"/>
      <w:bookmarkStart w:id="574" w:name="_Toc12532811"/>
      <w:r w:rsidRPr="009E064B">
        <w:t xml:space="preserve">AMC5 ADR.OPS.B.010(a)(2)    </w:t>
      </w:r>
      <w:r w:rsidR="006A01C0" w:rsidRPr="009E064B">
        <w:t xml:space="preserve"> </w:t>
      </w:r>
      <w:r w:rsidRPr="009E064B">
        <w:t>Służby ratowniczo-gaśnicze</w:t>
      </w:r>
      <w:bookmarkEnd w:id="573"/>
      <w:bookmarkEnd w:id="574"/>
    </w:p>
    <w:p w14:paraId="398DF889" w14:textId="3DCF607F"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16847ABC"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CZAS REAKCJI</w:t>
      </w:r>
    </w:p>
    <w:p w14:paraId="73654567"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zagwarantować, że:</w:t>
      </w:r>
    </w:p>
    <w:p w14:paraId="0F2468B9" w14:textId="391104FA"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rPr>
        <w:tab/>
        <w:t>służba ratowniczo-gaśnicza osiąga czas reakcji nie przekraczający trzech minut, z celem operacyjnym nieprzekroczenia dwóch minut od momentu pierwszego wezwania służb ratowniczo gaśniczych, do jakiegokolwiek miejsca na każdej drodze startowej będącej w użyciu, przy optymalnej widzialności i stanie nawierzchni oraz jest w stanie zastosować pianę ze skutecznością zapewniającą, co najmniej 50% wydatków ś</w:t>
      </w:r>
      <w:r w:rsidR="002E1847" w:rsidRPr="009E064B">
        <w:rPr>
          <w:rFonts w:asciiTheme="minorHAnsi" w:eastAsia="Calibri" w:hAnsiTheme="minorHAnsi" w:cstheme="minorHAnsi"/>
        </w:rPr>
        <w:t>rodków gaśniczych określonych w </w:t>
      </w:r>
      <w:hyperlink w:anchor="_AMC4_ADR.OPS.B.010(a)(2)_" w:history="1">
        <w:r w:rsidR="00371A8B" w:rsidRPr="009E064B">
          <w:rPr>
            <w:rStyle w:val="Hipercze"/>
            <w:rFonts w:asciiTheme="minorHAnsi" w:eastAsia="Calibri" w:hAnsiTheme="minorHAnsi" w:cstheme="minorHAnsi"/>
          </w:rPr>
          <w:t>AMC4 </w:t>
        </w:r>
        <w:r w:rsidRPr="009E064B">
          <w:rPr>
            <w:rStyle w:val="Hipercze"/>
            <w:rFonts w:asciiTheme="minorHAnsi" w:eastAsia="Calibri" w:hAnsiTheme="minorHAnsi" w:cstheme="minorHAnsi"/>
          </w:rPr>
          <w:t>ADR.OPS.B.010</w:t>
        </w:r>
        <w:r w:rsidR="00371A8B" w:rsidRPr="009E064B">
          <w:rPr>
            <w:rStyle w:val="Hipercze"/>
          </w:rPr>
          <w:t>(a)(2)</w:t>
        </w:r>
      </w:hyperlink>
      <w:r w:rsidR="002E1847" w:rsidRPr="009E064B">
        <w:rPr>
          <w:rFonts w:asciiTheme="minorHAnsi" w:eastAsia="Calibri" w:hAnsiTheme="minorHAnsi" w:cstheme="minorHAnsi"/>
        </w:rPr>
        <w:t xml:space="preserve">, </w:t>
      </w:r>
      <w:r w:rsidR="009B2994" w:rsidRPr="009E064B">
        <w:rPr>
          <w:rFonts w:asciiTheme="minorHAnsi" w:eastAsia="Calibri" w:hAnsiTheme="minorHAnsi" w:cstheme="minorHAnsi"/>
        </w:rPr>
        <w:t xml:space="preserve">w </w:t>
      </w:r>
      <w:r w:rsidR="00F36957" w:rsidRPr="009E064B">
        <w:rPr>
          <w:rFonts w:asciiTheme="minorHAnsi" w:eastAsia="Calibri" w:hAnsiTheme="minorHAnsi" w:cstheme="minorHAnsi"/>
        </w:rPr>
        <w:t>Tabel</w:t>
      </w:r>
      <w:r w:rsidR="009B2994" w:rsidRPr="009E064B">
        <w:rPr>
          <w:rFonts w:asciiTheme="minorHAnsi" w:eastAsia="Calibri" w:hAnsiTheme="minorHAnsi" w:cstheme="minorHAnsi"/>
        </w:rPr>
        <w:t>i</w:t>
      </w:r>
      <w:r w:rsidRPr="009E064B">
        <w:rPr>
          <w:rFonts w:asciiTheme="minorHAnsi" w:eastAsia="Calibri" w:hAnsiTheme="minorHAnsi" w:cstheme="minorHAnsi"/>
        </w:rPr>
        <w:t xml:space="preserve"> 1;</w:t>
      </w:r>
    </w:p>
    <w:p w14:paraId="02D22EB1" w14:textId="4F97B7FC"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czasy reakcji dla jakiejkolwiek innej części pola manewrowego, w optymalnych warunkach widzialności i stanu nawierzchni, są skalkulowane i zamieszczone w planie </w:t>
      </w:r>
      <w:r w:rsidR="009B2994" w:rsidRPr="009E064B">
        <w:rPr>
          <w:rFonts w:asciiTheme="minorHAnsi" w:eastAsia="Calibri" w:hAnsiTheme="minorHAnsi" w:cstheme="minorHAnsi"/>
        </w:rPr>
        <w:t>działania w </w:t>
      </w:r>
      <w:r w:rsidR="001359B5" w:rsidRPr="009E064B">
        <w:rPr>
          <w:rFonts w:asciiTheme="minorHAnsi" w:eastAsia="Calibri" w:hAnsiTheme="minorHAnsi" w:cstheme="minorHAnsi"/>
        </w:rPr>
        <w:t>sytuacjach zagrożenia dla lotniska</w:t>
      </w:r>
      <w:r w:rsidRPr="009E064B">
        <w:rPr>
          <w:rFonts w:asciiTheme="minorHAnsi" w:eastAsia="Calibri" w:hAnsiTheme="minorHAnsi" w:cstheme="minorHAnsi"/>
        </w:rPr>
        <w:t>;</w:t>
      </w:r>
    </w:p>
    <w:p w14:paraId="5455F997" w14:textId="57FAF4D0"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jakikolwiek pojazd, inny niż pierwszy przybyły pojazd(y), przeznaczony do ciągłego podawania środkó</w:t>
      </w:r>
      <w:r w:rsidR="00371A8B" w:rsidRPr="009E064B">
        <w:rPr>
          <w:rFonts w:asciiTheme="minorHAnsi" w:eastAsia="Calibri" w:hAnsiTheme="minorHAnsi" w:cstheme="minorHAnsi"/>
        </w:rPr>
        <w:t xml:space="preserve">w gaśniczych określonych w </w:t>
      </w:r>
      <w:hyperlink w:anchor="_AMC4_ADR.OPS.B.010(a)(2)_" w:history="1">
        <w:r w:rsidR="00371A8B" w:rsidRPr="009E064B">
          <w:rPr>
            <w:rStyle w:val="Hipercze"/>
            <w:rFonts w:asciiTheme="minorHAnsi" w:eastAsia="Calibri" w:hAnsiTheme="minorHAnsi" w:cstheme="minorHAnsi"/>
          </w:rPr>
          <w:t>AMC4 ADR.OPS.B.010</w:t>
        </w:r>
        <w:r w:rsidR="00371A8B" w:rsidRPr="009E064B">
          <w:rPr>
            <w:rStyle w:val="Hipercze"/>
          </w:rPr>
          <w:t>(a)(2)</w:t>
        </w:r>
      </w:hyperlink>
      <w:r w:rsidRPr="009E064B">
        <w:rPr>
          <w:rFonts w:asciiTheme="minorHAnsi" w:eastAsia="Calibri" w:hAnsiTheme="minorHAnsi" w:cstheme="minorHAnsi"/>
        </w:rPr>
        <w:t xml:space="preserve"> w </w:t>
      </w:r>
      <w:r w:rsidR="00F36957" w:rsidRPr="009E064B">
        <w:rPr>
          <w:rFonts w:asciiTheme="minorHAnsi" w:eastAsia="Calibri" w:hAnsiTheme="minorHAnsi" w:cstheme="minorHAnsi"/>
        </w:rPr>
        <w:t>Tabeli</w:t>
      </w:r>
      <w:r w:rsidRPr="009E064B">
        <w:rPr>
          <w:rFonts w:asciiTheme="minorHAnsi" w:eastAsia="Calibri" w:hAnsiTheme="minorHAnsi" w:cstheme="minorHAnsi"/>
        </w:rPr>
        <w:t xml:space="preserve"> 1, przybywa na miejsce zdarzenia nie później niż 1 minutę po pierwszym przybyłym pojeździe (pojazdach); oraz</w:t>
      </w:r>
    </w:p>
    <w:p w14:paraId="0155060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dla jak najlepszego spełnienia celu operacyjnego w warunkach widzialności gorszych niż optymalne, szczególnie w warunkach operacji w warunkach ograniczonej widzialności, dla służb ratowniczo-gaśniczych zapewniane są odpowiednie wytyczne, wyposażenie i/lub procedury.</w:t>
      </w:r>
    </w:p>
    <w:p w14:paraId="35D501CD" w14:textId="7B438699" w:rsidR="00B0686B" w:rsidRPr="009E064B" w:rsidRDefault="00B0686B" w:rsidP="00133B99">
      <w:pPr>
        <w:pStyle w:val="Nagwek5"/>
      </w:pPr>
      <w:bookmarkStart w:id="575" w:name="_Toc492024707"/>
      <w:bookmarkStart w:id="576" w:name="_Toc12532812"/>
      <w:r w:rsidRPr="009E064B">
        <w:t xml:space="preserve">AMC6 ADR.OPS.B.010(a)(2)    </w:t>
      </w:r>
      <w:r w:rsidR="006A01C0" w:rsidRPr="009E064B">
        <w:t xml:space="preserve"> </w:t>
      </w:r>
      <w:r w:rsidRPr="009E064B">
        <w:t>Służby ratowniczo-gaśnicze</w:t>
      </w:r>
      <w:bookmarkEnd w:id="575"/>
      <w:bookmarkEnd w:id="576"/>
    </w:p>
    <w:p w14:paraId="47B2E559" w14:textId="64352FA9"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5155E66"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PERSONEL</w:t>
      </w:r>
    </w:p>
    <w:p w14:paraId="0FD34B72" w14:textId="5497D3B8" w:rsidR="00B0686B" w:rsidRPr="009E064B" w:rsidRDefault="00B0686B" w:rsidP="00B06A9A">
      <w:pPr>
        <w:widowControl/>
        <w:tabs>
          <w:tab w:val="left" w:pos="5699"/>
        </w:tabs>
        <w:rPr>
          <w:rFonts w:asciiTheme="minorHAnsi" w:eastAsia="Calibri" w:hAnsiTheme="minorHAnsi" w:cstheme="minorHAnsi"/>
        </w:rPr>
      </w:pPr>
      <w:r w:rsidRPr="009E064B">
        <w:rPr>
          <w:rFonts w:asciiTheme="minorHAnsi" w:eastAsia="Calibri" w:hAnsiTheme="minorHAnsi" w:cstheme="minorHAnsi"/>
        </w:rPr>
        <w:t>Operator lotni</w:t>
      </w:r>
      <w:r w:rsidR="00174189" w:rsidRPr="009E064B">
        <w:rPr>
          <w:rFonts w:asciiTheme="minorHAnsi" w:eastAsia="Calibri" w:hAnsiTheme="minorHAnsi" w:cstheme="minorHAnsi"/>
        </w:rPr>
        <w:t>ska powinien zagwarantować, że:</w:t>
      </w:r>
    </w:p>
    <w:p w14:paraId="38020678"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 czasie operacji lotniczych, i co najmniej 15 minut po ostatnim odlocie, na lotnisku powinien znajdować się określony i odpowiednio przeszkolony personel, gotowy do prowadzenia pojazdów ratowniczo-gaśniczych oraz do obsługi sprzętu z zachowaniem maksymalnej wydajności;</w:t>
      </w:r>
    </w:p>
    <w:p w14:paraId="40BEE9F5" w14:textId="2A2ECC67" w:rsidR="00B0686B" w:rsidRPr="000209A8"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personel jest tak rozlokowany, aby zapewnić minimalny czas reakcji, jak również ciągłość podawania </w:t>
      </w:r>
      <w:r w:rsidRPr="000209A8">
        <w:rPr>
          <w:rFonts w:asciiTheme="minorHAnsi" w:eastAsia="Calibri" w:hAnsiTheme="minorHAnsi" w:cstheme="minorHAnsi"/>
        </w:rPr>
        <w:t xml:space="preserve">środków gaśniczych przy określonym wydatku zwracając uwagę na to, aby personel stosował w czasie </w:t>
      </w:r>
      <w:r w:rsidR="00D41635" w:rsidRPr="000209A8">
        <w:rPr>
          <w:rFonts w:asciiTheme="minorHAnsi" w:eastAsia="Calibri" w:hAnsiTheme="minorHAnsi" w:cstheme="minorHAnsi"/>
        </w:rPr>
        <w:t>działań ratowniczych</w:t>
      </w:r>
      <w:r w:rsidRPr="000209A8">
        <w:rPr>
          <w:rFonts w:asciiTheme="minorHAnsi" w:eastAsia="Calibri" w:hAnsiTheme="minorHAnsi" w:cstheme="minorHAnsi"/>
        </w:rPr>
        <w:t xml:space="preserve"> linie szybkiego natarcia, drabiny i inny sprzęt ratownicz</w:t>
      </w:r>
      <w:r w:rsidR="005345FD">
        <w:rPr>
          <w:rFonts w:asciiTheme="minorHAnsi" w:eastAsia="Calibri" w:hAnsiTheme="minorHAnsi" w:cstheme="minorHAnsi"/>
        </w:rPr>
        <w:t>o--gaśniczy</w:t>
      </w:r>
      <w:r w:rsidRPr="000209A8">
        <w:rPr>
          <w:rFonts w:asciiTheme="minorHAnsi" w:eastAsia="Calibri" w:hAnsiTheme="minorHAnsi" w:cstheme="minorHAnsi"/>
        </w:rPr>
        <w:t xml:space="preserve"> zwykle stosowany w operacjach ratow</w:t>
      </w:r>
      <w:r w:rsidR="000849BC">
        <w:rPr>
          <w:rFonts w:asciiTheme="minorHAnsi" w:eastAsia="Calibri" w:hAnsiTheme="minorHAnsi" w:cstheme="minorHAnsi"/>
        </w:rPr>
        <w:t>niczych</w:t>
      </w:r>
      <w:r w:rsidRPr="000209A8">
        <w:rPr>
          <w:rFonts w:asciiTheme="minorHAnsi" w:eastAsia="Calibri" w:hAnsiTheme="minorHAnsi" w:cstheme="minorHAnsi"/>
        </w:rPr>
        <w:t xml:space="preserve"> i gaszenia pożar</w:t>
      </w:r>
      <w:r w:rsidR="005345FD">
        <w:rPr>
          <w:rFonts w:asciiTheme="minorHAnsi" w:eastAsia="Calibri" w:hAnsiTheme="minorHAnsi" w:cstheme="minorHAnsi"/>
        </w:rPr>
        <w:t>ów</w:t>
      </w:r>
      <w:r w:rsidRPr="000209A8">
        <w:rPr>
          <w:rFonts w:asciiTheme="minorHAnsi" w:eastAsia="Calibri" w:hAnsiTheme="minorHAnsi" w:cstheme="minorHAnsi"/>
        </w:rPr>
        <w:t xml:space="preserve"> statków powietrznych;</w:t>
      </w:r>
    </w:p>
    <w:p w14:paraId="772236F7" w14:textId="7CD5DED6" w:rsidR="00B0686B" w:rsidRPr="000209A8" w:rsidRDefault="00B0686B" w:rsidP="00B06A9A">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(c) </w:t>
      </w:r>
      <w:r w:rsidRPr="000209A8">
        <w:rPr>
          <w:rFonts w:asciiTheme="minorHAnsi" w:eastAsia="Calibri" w:hAnsiTheme="minorHAnsi" w:cstheme="minorHAnsi"/>
        </w:rPr>
        <w:tab/>
        <w:t>cały personel ratowniczo-gaśniczy posiada odzież ochronną i sprzęt ochrony dróg oddechowych, umożliwiający s</w:t>
      </w:r>
      <w:r w:rsidR="00A84BBF" w:rsidRPr="000209A8">
        <w:rPr>
          <w:rFonts w:asciiTheme="minorHAnsi" w:eastAsia="Calibri" w:hAnsiTheme="minorHAnsi" w:cstheme="minorHAnsi"/>
        </w:rPr>
        <w:t xml:space="preserve">kuteczne wykonywanie </w:t>
      </w:r>
      <w:r w:rsidR="005345FD">
        <w:rPr>
          <w:rFonts w:asciiTheme="minorHAnsi" w:eastAsia="Calibri" w:hAnsiTheme="minorHAnsi" w:cstheme="minorHAnsi"/>
        </w:rPr>
        <w:t xml:space="preserve">swoich </w:t>
      </w:r>
      <w:r w:rsidR="00A84BBF" w:rsidRPr="000209A8">
        <w:rPr>
          <w:rFonts w:asciiTheme="minorHAnsi" w:eastAsia="Calibri" w:hAnsiTheme="minorHAnsi" w:cstheme="minorHAnsi"/>
        </w:rPr>
        <w:t>obowiązków</w:t>
      </w:r>
      <w:r w:rsidRPr="000209A8">
        <w:rPr>
          <w:rFonts w:asciiTheme="minorHAnsi" w:eastAsia="Calibri" w:hAnsiTheme="minorHAnsi" w:cstheme="minorHAnsi"/>
        </w:rPr>
        <w:t>; oraz</w:t>
      </w:r>
    </w:p>
    <w:p w14:paraId="5AB15179" w14:textId="5C116164" w:rsidR="00371A8B" w:rsidRPr="009E064B" w:rsidRDefault="00B0686B" w:rsidP="00371A8B">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(d) </w:t>
      </w:r>
      <w:r w:rsidRPr="000209A8">
        <w:rPr>
          <w:rFonts w:asciiTheme="minorHAnsi" w:eastAsia="Calibri" w:hAnsiTheme="minorHAnsi" w:cstheme="minorHAnsi"/>
        </w:rPr>
        <w:tab/>
        <w:t>żadne inne zadania wykonywane przez personel ratowniczo-gaśniczy nie wpływają negatywnie na czas reakcji, lub jego bezpieczeństwo.</w:t>
      </w:r>
      <w:r w:rsidR="00371A8B" w:rsidRPr="009E064B">
        <w:rPr>
          <w:rFonts w:asciiTheme="minorHAnsi" w:eastAsia="Calibri" w:hAnsiTheme="minorHAnsi" w:cstheme="minorHAnsi"/>
        </w:rPr>
        <w:t xml:space="preserve"> </w:t>
      </w:r>
    </w:p>
    <w:p w14:paraId="7BB97FE6" w14:textId="40902BCA" w:rsidR="00B0686B" w:rsidRPr="009E064B" w:rsidRDefault="00B0686B" w:rsidP="00133B99">
      <w:pPr>
        <w:pStyle w:val="Nagwek6"/>
      </w:pPr>
      <w:bookmarkStart w:id="577" w:name="_Toc492024708"/>
      <w:bookmarkStart w:id="578" w:name="_Toc12532813"/>
      <w:r w:rsidRPr="009E064B">
        <w:t xml:space="preserve">GM1 ADR.OPS.B.010(a)(2)    </w:t>
      </w:r>
      <w:r w:rsidR="006A01C0" w:rsidRPr="009E064B">
        <w:t xml:space="preserve"> </w:t>
      </w:r>
      <w:r w:rsidRPr="009E064B">
        <w:t>Służby ratowniczo-gaśnicze</w:t>
      </w:r>
      <w:bookmarkEnd w:id="577"/>
      <w:bookmarkEnd w:id="578"/>
    </w:p>
    <w:p w14:paraId="166C9BCF" w14:textId="32355A47"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A21469"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ŁĄCZNOŚĆ I SYSTEMY ALARMOWANIA</w:t>
      </w:r>
    </w:p>
    <w:p w14:paraId="201E8432" w14:textId="4A89877D" w:rsidR="000B4068" w:rsidRPr="009E064B" w:rsidRDefault="00B0686B" w:rsidP="000B4068">
      <w:pPr>
        <w:widowControl/>
        <w:rPr>
          <w:rFonts w:asciiTheme="minorHAnsi" w:eastAsia="Calibri" w:hAnsiTheme="minorHAnsi" w:cstheme="minorHAnsi"/>
        </w:rPr>
      </w:pPr>
      <w:r w:rsidRPr="009E064B">
        <w:rPr>
          <w:rFonts w:asciiTheme="minorHAnsi" w:eastAsia="Calibri" w:hAnsiTheme="minorHAnsi" w:cstheme="minorHAnsi"/>
        </w:rPr>
        <w:t>Operator lotniska powinien badać możliwości wykorzystania środków pozwalających na bezpośrednią łączność pomiędzy służbami ratowniczo-gaśniczymi i załogą statku powietrznego w sytuacji zagrożenia. Decyzja może być oparta na zdolności personelu ratowniczo-gaśniczego do skutecznej komunikacji z załogą lotniczą, słownie lub za pomocą sygnałów ręcznych. Może być stosowany dwukierunkowy system łączności radiowej jak również sygnały ręczne opisane w Dodatku 1 do rozporządzenia wykonawczego Komisji (UE) nr 923/2012.</w:t>
      </w:r>
      <w:r w:rsidR="000B4068" w:rsidRPr="009E064B">
        <w:rPr>
          <w:rFonts w:asciiTheme="minorHAnsi" w:eastAsia="Calibri" w:hAnsiTheme="minorHAnsi" w:cstheme="minorHAnsi"/>
        </w:rPr>
        <w:t xml:space="preserve"> </w:t>
      </w:r>
      <w:r w:rsidR="000B4068" w:rsidRPr="009E064B">
        <w:rPr>
          <w:rFonts w:asciiTheme="minorHAnsi" w:eastAsia="Calibri" w:hAnsiTheme="minorHAnsi" w:cstheme="minorHAnsi"/>
        </w:rPr>
        <w:br w:type="page"/>
      </w:r>
    </w:p>
    <w:p w14:paraId="618C9E1E" w14:textId="491466E0" w:rsidR="00B0686B" w:rsidRPr="009E064B" w:rsidRDefault="00B0686B" w:rsidP="00133B99">
      <w:pPr>
        <w:pStyle w:val="Nagwek6"/>
      </w:pPr>
      <w:bookmarkStart w:id="579" w:name="_Toc492024709"/>
      <w:bookmarkStart w:id="580" w:name="_Toc12532814"/>
      <w:r w:rsidRPr="009E064B">
        <w:t xml:space="preserve">GM2 ADR.OPS.B.010(a)(2)    </w:t>
      </w:r>
      <w:r w:rsidR="006A01C0" w:rsidRPr="009E064B">
        <w:t xml:space="preserve"> </w:t>
      </w:r>
      <w:r w:rsidRPr="009E064B">
        <w:t>Służby ratowniczo-gaśnicze</w:t>
      </w:r>
      <w:bookmarkEnd w:id="579"/>
      <w:bookmarkEnd w:id="580"/>
    </w:p>
    <w:p w14:paraId="6A9ACC72" w14:textId="0C67017F"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FA232AA"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LICZBA PERSONELU RFFS</w:t>
      </w:r>
    </w:p>
    <w:p w14:paraId="1C7E8A43"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Przy określaniu liczby personelu niezbędnego do prowadzenia działań ratowniczo-gaśniczych należy przeprowadzić analizę zadań i środków, biorąc pod uwagę typy statków powietrznych korzystających z danego lotniska, dostępne pojazdy i sprzęt ratowniczo-gaśniczy, jakiekolwiek inne obowiązki nałożone na personel RFFS, itp.</w:t>
      </w:r>
    </w:p>
    <w:p w14:paraId="3D8AF266" w14:textId="5C751FDA" w:rsidR="00B0686B" w:rsidRPr="009E064B" w:rsidRDefault="00B0686B" w:rsidP="00133B99">
      <w:pPr>
        <w:pStyle w:val="Nagwek6"/>
      </w:pPr>
      <w:bookmarkStart w:id="581" w:name="_Toc492024710"/>
      <w:bookmarkStart w:id="582" w:name="_Toc12532815"/>
      <w:r w:rsidRPr="009E064B">
        <w:t xml:space="preserve">GM3 ADR.OPS.B.010(a)(2)    </w:t>
      </w:r>
      <w:r w:rsidR="006A01C0" w:rsidRPr="009E064B">
        <w:t xml:space="preserve"> </w:t>
      </w:r>
      <w:r w:rsidRPr="009E064B">
        <w:t>Służby ratowniczo-gaśnicze</w:t>
      </w:r>
      <w:bookmarkEnd w:id="581"/>
      <w:bookmarkEnd w:id="582"/>
    </w:p>
    <w:p w14:paraId="16820687" w14:textId="74B90AB1" w:rsidR="00044B3C"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54129DC"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LICZBA POJAZDÓW RFFS I WYPOSAŻENIA RATOWNICZEGO</w:t>
      </w:r>
    </w:p>
    <w:p w14:paraId="7FEF94F7" w14:textId="7B1CC861" w:rsidR="00375286"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Dla terenów, na których znajdują się zbiorniki wodne, nie jest konieczne zapewnienie specjalistycznego sprzętu przeciwpożarowego; jednakże nie oznacza to, że nie dopuszcza się jego stosowania, jeśli mógłby on znaleźć zastosowanie praktyczne, np. w strefach występowania raf lub wysp. Celem powinno być zaplanowanie i rozmieszczenie pływającego niezbędnego sprzętu do ratowania życia tak szybko, jak jest to możliwe i w takiej ilości, aby móc obsłużyć największy samolot normalnie korzystający z lotniska.</w:t>
      </w:r>
    </w:p>
    <w:p w14:paraId="2532C2D7" w14:textId="2E3E2A35" w:rsidR="00B0686B" w:rsidRPr="009E064B" w:rsidRDefault="00B0686B" w:rsidP="00133B99">
      <w:pPr>
        <w:pStyle w:val="Nagwek6"/>
      </w:pPr>
      <w:bookmarkStart w:id="583" w:name="_Toc492024711"/>
      <w:bookmarkStart w:id="584" w:name="_Toc12532816"/>
      <w:r w:rsidRPr="009E064B">
        <w:t xml:space="preserve">GM4 ADR.OPS.B.010(a)(2)    </w:t>
      </w:r>
      <w:r w:rsidR="006A01C0" w:rsidRPr="009E064B">
        <w:t xml:space="preserve"> </w:t>
      </w:r>
      <w:r w:rsidRPr="009E064B">
        <w:t>Służby ratowniczo-gaśnicze</w:t>
      </w:r>
      <w:bookmarkEnd w:id="583"/>
      <w:bookmarkEnd w:id="584"/>
    </w:p>
    <w:p w14:paraId="2769765E" w14:textId="023D088C"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13EEB9D6" w14:textId="77777777" w:rsidR="00B0686B" w:rsidRPr="009E064B" w:rsidRDefault="00B0686B"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OBNIŻENIE POZIOMU OCHRONY SŁUŻB RATOWNICZO-GAŚNICZYCH (RFFS</w:t>
      </w:r>
      <w:r w:rsidRPr="009E064B">
        <w:rPr>
          <w:rFonts w:asciiTheme="minorHAnsi" w:eastAsia="Calibri" w:hAnsiTheme="minorHAnsi" w:cstheme="minorHAnsi"/>
          <w:vertAlign w:val="superscript"/>
        </w:rPr>
        <w:footnoteReference w:id="38"/>
      </w:r>
      <w:r w:rsidRPr="009E064B">
        <w:rPr>
          <w:rFonts w:asciiTheme="minorHAnsi" w:eastAsia="Calibri" w:hAnsiTheme="minorHAnsi" w:cstheme="minorHAnsi"/>
        </w:rPr>
        <w:t>)</w:t>
      </w:r>
    </w:p>
    <w:p w14:paraId="485BF75F" w14:textId="77777777" w:rsidR="00B0686B" w:rsidRPr="009E064B" w:rsidRDefault="00B0686B" w:rsidP="00B06A9A">
      <w:pPr>
        <w:widowControl/>
        <w:tabs>
          <w:tab w:val="left" w:pos="709"/>
        </w:tabs>
        <w:rPr>
          <w:rFonts w:asciiTheme="minorHAnsi" w:eastAsia="Calibri" w:hAnsiTheme="minorHAnsi" w:cstheme="minorHAnsi"/>
        </w:rPr>
      </w:pPr>
      <w:r w:rsidRPr="009E064B">
        <w:rPr>
          <w:rFonts w:asciiTheme="minorHAnsi" w:eastAsia="Calibri" w:hAnsiTheme="minorHAnsi" w:cstheme="minorHAnsi"/>
        </w:rPr>
        <w:t>Należy opracować procedury awaryjne mające za zadanie ograniczenie potrzeby wprowadzania zmian do opublikowanego poziomu ochrony ratowniczo-gaśniczej. Może to obejmować, na przykład, opracowanie planu konserwacji dla zapewnienia mechanicznej sprawności sprzętu i pojazdów dla celów ratowniczo-gaśniczych, jak również procedur dotyczących nieplanowanej niedostępności minimalnego poziomu personelu w tym personelu nadzorującego.</w:t>
      </w:r>
    </w:p>
    <w:p w14:paraId="0B2DCCEF" w14:textId="77777777" w:rsidR="00B0686B" w:rsidRPr="009E064B" w:rsidRDefault="00B0686B" w:rsidP="00B06A9A">
      <w:pPr>
        <w:widowControl/>
        <w:tabs>
          <w:tab w:val="left" w:pos="709"/>
        </w:tabs>
        <w:rPr>
          <w:rFonts w:asciiTheme="minorHAnsi" w:eastAsia="Calibri" w:hAnsiTheme="minorHAnsi" w:cstheme="minorHAnsi"/>
        </w:rPr>
      </w:pPr>
      <w:r w:rsidRPr="009E064B">
        <w:rPr>
          <w:rFonts w:asciiTheme="minorHAnsi" w:eastAsia="Calibri" w:hAnsiTheme="minorHAnsi" w:cstheme="minorHAnsi"/>
        </w:rPr>
        <w:t>Poniższe przypadki można uznać jako nieprzewidziane okoliczności prowadzące do czasowego obniżenia poziomu ochrony ratowniczo-gaśniczej lotniska:</w:t>
      </w:r>
    </w:p>
    <w:p w14:paraId="771BA2FF"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rPr>
        <w:tab/>
        <w:t>awarie pojazdów RFFS;</w:t>
      </w:r>
    </w:p>
    <w:p w14:paraId="7A48F6FC"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(b)</w:t>
      </w:r>
      <w:r w:rsidRPr="009E064B">
        <w:rPr>
          <w:rFonts w:asciiTheme="minorHAnsi" w:eastAsia="Calibri" w:hAnsiTheme="minorHAnsi" w:cstheme="minorHAnsi"/>
        </w:rPr>
        <w:tab/>
        <w:t>braki personelu;</w:t>
      </w:r>
    </w:p>
    <w:p w14:paraId="5C38268B"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(c)</w:t>
      </w:r>
      <w:r w:rsidRPr="009E064B">
        <w:rPr>
          <w:rFonts w:asciiTheme="minorHAnsi" w:eastAsia="Calibri" w:hAnsiTheme="minorHAnsi" w:cstheme="minorHAnsi"/>
        </w:rPr>
        <w:tab/>
        <w:t>niedostępność środków gaśniczych; oraz</w:t>
      </w:r>
    </w:p>
    <w:p w14:paraId="712B8C38" w14:textId="77777777" w:rsidR="00B0686B" w:rsidRPr="009E064B" w:rsidRDefault="00B0686B"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(d)</w:t>
      </w:r>
      <w:r w:rsidRPr="009E064B">
        <w:rPr>
          <w:rFonts w:asciiTheme="minorHAnsi" w:eastAsia="Calibri" w:hAnsiTheme="minorHAnsi" w:cstheme="minorHAnsi"/>
        </w:rPr>
        <w:tab/>
        <w:t>działanie RFFS związane z wypadkiem.</w:t>
      </w:r>
    </w:p>
    <w:p w14:paraId="2EAF2580" w14:textId="456F09BA" w:rsidR="00B0686B" w:rsidRPr="009E064B" w:rsidRDefault="00B0686B" w:rsidP="00B06A9A">
      <w:pPr>
        <w:widowControl/>
        <w:tabs>
          <w:tab w:val="left" w:pos="0"/>
        </w:tabs>
        <w:rPr>
          <w:rFonts w:asciiTheme="minorHAnsi" w:eastAsia="Calibri" w:hAnsiTheme="minorHAnsi" w:cstheme="minorHAnsi"/>
        </w:rPr>
      </w:pPr>
      <w:r w:rsidRPr="009E064B">
        <w:rPr>
          <w:rFonts w:asciiTheme="minorHAnsi" w:eastAsia="Calibri" w:hAnsiTheme="minorHAnsi" w:cstheme="minorHAnsi"/>
        </w:rPr>
        <w:t xml:space="preserve">Informacje o takich zmianach, w tym o przewidywanym czasie obniżenia poziomu ochrony, powinny być przekazane bezzwłocznie do odpowiednich organów służb ruchu lotniczego (ATS) oraz do organów służb informacji lotniczej (AIS) (patrz </w:t>
      </w:r>
      <w:hyperlink w:anchor="_GM1_ADR.OPS.A.005_" w:history="1">
        <w:r w:rsidRPr="009E064B">
          <w:rPr>
            <w:rStyle w:val="Hipercze"/>
            <w:rFonts w:asciiTheme="minorHAnsi" w:eastAsia="Calibri" w:hAnsiTheme="minorHAnsi" w:cstheme="minorHAnsi"/>
          </w:rPr>
          <w:t>GM1 ADR.OPS.A.005</w:t>
        </w:r>
      </w:hyperlink>
      <w:r w:rsidRPr="009E064B">
        <w:rPr>
          <w:rFonts w:asciiTheme="minorHAnsi" w:eastAsia="Calibri" w:hAnsiTheme="minorHAnsi" w:cstheme="minorHAnsi"/>
        </w:rPr>
        <w:t xml:space="preserve"> Dane </w:t>
      </w:r>
      <w:r w:rsidR="00371A8B" w:rsidRPr="009E064B">
        <w:rPr>
          <w:rFonts w:asciiTheme="minorHAnsi" w:eastAsia="Calibri" w:hAnsiTheme="minorHAnsi" w:cstheme="minorHAnsi"/>
        </w:rPr>
        <w:t xml:space="preserve">dotyczące </w:t>
      </w:r>
      <w:r w:rsidRPr="009E064B">
        <w:rPr>
          <w:rFonts w:asciiTheme="minorHAnsi" w:eastAsia="Calibri" w:hAnsiTheme="minorHAnsi" w:cstheme="minorHAnsi"/>
        </w:rPr>
        <w:t>lotnisk</w:t>
      </w:r>
      <w:r w:rsidR="00371A8B" w:rsidRPr="009E064B">
        <w:rPr>
          <w:rFonts w:asciiTheme="minorHAnsi" w:eastAsia="Calibri" w:hAnsiTheme="minorHAnsi" w:cstheme="minorHAnsi"/>
        </w:rPr>
        <w:t>a</w:t>
      </w:r>
      <w:r w:rsidRPr="009E064B">
        <w:rPr>
          <w:rFonts w:asciiTheme="minorHAnsi" w:eastAsia="Calibri" w:hAnsiTheme="minorHAnsi" w:cstheme="minorHAnsi"/>
        </w:rPr>
        <w:t>) w celu umożliwienia tym organom przekazania niezbędnych informacji przylatującym i odlatującym statkom powietrznym.</w:t>
      </w:r>
    </w:p>
    <w:p w14:paraId="103E5B5F" w14:textId="77777777" w:rsidR="00B0686B" w:rsidRPr="009E064B" w:rsidRDefault="00B0686B" w:rsidP="00B06A9A">
      <w:pPr>
        <w:widowControl/>
        <w:tabs>
          <w:tab w:val="left" w:pos="1134"/>
          <w:tab w:val="left" w:pos="7513"/>
        </w:tabs>
        <w:rPr>
          <w:rFonts w:asciiTheme="minorHAnsi" w:eastAsia="Calibri" w:hAnsiTheme="minorHAnsi" w:cstheme="minorHAnsi"/>
        </w:rPr>
      </w:pPr>
      <w:r w:rsidRPr="009E064B">
        <w:rPr>
          <w:rFonts w:asciiTheme="minorHAnsi" w:eastAsia="Calibri" w:hAnsiTheme="minorHAnsi" w:cstheme="minorHAnsi"/>
        </w:rPr>
        <w:t>Tymczasowe obniżenie poziomu ochrony powinno być wyrażone w postaci nowej kategorii służb ratowniczo-gaśniczych zapewnianej na lotnisku. Jeżeli tymczasowe obniżenie poziomu ochrony dotyczy zasobów niewykorzystywanych do obliczenia kategorii lotniska w zakresie ratowniczo-gaśniczym (np. specjalistyczny sprzęt ratowniczy do użycia w trudnych warunkach), należy podać szczegółowe informacje na ten temat. Jeżeli tymczasowe obniżenie poziomu ochrony już nie obowiązuje, powyższe organy powinny być o tym poinformowane.</w:t>
      </w:r>
    </w:p>
    <w:p w14:paraId="43440402" w14:textId="6BF5C583" w:rsidR="00B0686B" w:rsidRPr="009E064B" w:rsidRDefault="00B0686B" w:rsidP="00133B99">
      <w:pPr>
        <w:pStyle w:val="Nagwek6"/>
        <w:rPr>
          <w:rFonts w:eastAsia="Calibri"/>
        </w:rPr>
      </w:pPr>
      <w:bookmarkStart w:id="585" w:name="_Toc12532817"/>
      <w:r w:rsidRPr="009E064B">
        <w:rPr>
          <w:rFonts w:eastAsia="Calibri"/>
        </w:rPr>
        <w:t xml:space="preserve">GM5 ADR.OPS.B.010(a)(2)     </w:t>
      </w:r>
      <w:r w:rsidR="006A01C0" w:rsidRPr="009E064B">
        <w:rPr>
          <w:rFonts w:eastAsia="Calibri"/>
        </w:rPr>
        <w:t xml:space="preserve"> </w:t>
      </w:r>
      <w:r w:rsidRPr="009E064B">
        <w:rPr>
          <w:rFonts w:eastAsia="Calibri"/>
        </w:rPr>
        <w:t>Służby ratowniczo-gaśnicze</w:t>
      </w:r>
      <w:bookmarkEnd w:id="585"/>
    </w:p>
    <w:p w14:paraId="235A98EB" w14:textId="6C09C7FB"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65A94131"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POZIOM OCHRONY RATOWNICZO-GAŚNICZEJ</w:t>
      </w:r>
    </w:p>
    <w:p w14:paraId="2936DC21" w14:textId="77777777" w:rsidR="00B0686B" w:rsidRPr="009E064B" w:rsidRDefault="00B0686B" w:rsidP="00B06A9A">
      <w:pPr>
        <w:widowControl/>
        <w:rPr>
          <w:rFonts w:asciiTheme="minorHAnsi" w:eastAsia="Calibri" w:hAnsiTheme="minorHAnsi" w:cstheme="minorHAnsi"/>
        </w:rPr>
      </w:pPr>
      <w:r w:rsidRPr="009E064B">
        <w:rPr>
          <w:rFonts w:asciiTheme="minorHAnsi" w:eastAsia="Calibri" w:hAnsiTheme="minorHAnsi" w:cstheme="minorHAnsi"/>
        </w:rPr>
        <w:t>Poniższe przykłady mają na celu przedstawienie sposobu zastosowania różnych czynników, które należy uwzględnić podczas obliczania poziomu ochrony:</w:t>
      </w:r>
    </w:p>
    <w:p w14:paraId="38A7A3F9" w14:textId="77777777" w:rsidR="009D0DC1" w:rsidRPr="009E064B" w:rsidRDefault="009D0DC1" w:rsidP="002E1847">
      <w:pPr>
        <w:widowControl/>
        <w:spacing w:before="240"/>
        <w:rPr>
          <w:rFonts w:asciiTheme="minorHAnsi" w:eastAsia="Calibri" w:hAnsiTheme="minorHAnsi" w:cstheme="minorHAnsi"/>
          <w:u w:val="single"/>
        </w:rPr>
      </w:pPr>
      <w:r w:rsidRPr="009E064B">
        <w:rPr>
          <w:rFonts w:asciiTheme="minorHAnsi" w:eastAsia="Calibri" w:hAnsiTheme="minorHAnsi" w:cstheme="minorHAnsi"/>
          <w:u w:val="single"/>
        </w:rPr>
        <w:t xml:space="preserve">Przykład nr 1 – Samoloty szerokokadłubowe </w:t>
      </w:r>
    </w:p>
    <w:p w14:paraId="124A53F6" w14:textId="03842CD5"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Jeżeli długość kadłuba samolotu wyn</w:t>
      </w:r>
      <w:r w:rsidR="00371A8B" w:rsidRPr="009E064B">
        <w:rPr>
          <w:rFonts w:asciiTheme="minorHAnsi" w:eastAsia="Calibri" w:hAnsiTheme="minorHAnsi" w:cstheme="minorHAnsi"/>
        </w:rPr>
        <w:t>osi 47.5 m, kolumna </w:t>
      </w:r>
      <w:r w:rsidRPr="009E064B">
        <w:rPr>
          <w:rFonts w:asciiTheme="minorHAnsi" w:eastAsia="Calibri" w:hAnsiTheme="minorHAnsi" w:cstheme="minorHAnsi"/>
        </w:rPr>
        <w:t xml:space="preserve">2 w </w:t>
      </w:r>
      <w:r w:rsidR="00F36957" w:rsidRPr="009E064B">
        <w:rPr>
          <w:rFonts w:asciiTheme="minorHAnsi" w:eastAsia="Calibri" w:hAnsiTheme="minorHAnsi" w:cstheme="minorHAnsi"/>
        </w:rPr>
        <w:t>Tabeli</w:t>
      </w:r>
      <w:r w:rsidR="00371A8B" w:rsidRPr="009E064B">
        <w:rPr>
          <w:rFonts w:asciiTheme="minorHAnsi" w:eastAsia="Calibri" w:hAnsiTheme="minorHAnsi" w:cstheme="minorHAnsi"/>
        </w:rPr>
        <w:t xml:space="preserve"> 1 w </w:t>
      </w:r>
      <w:hyperlink w:anchor="_AMC2_ADR.OPS.B.010(a)(2)_" w:history="1">
        <w:r w:rsidR="00371A8B"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ADR.OPS.B.010(a)(2)</w:t>
        </w:r>
      </w:hyperlink>
      <w:r w:rsidRPr="009E064B">
        <w:rPr>
          <w:rFonts w:asciiTheme="minorHAnsi" w:eastAsia="Calibri" w:hAnsiTheme="minorHAnsi" w:cstheme="minorHAnsi"/>
        </w:rPr>
        <w:t xml:space="preserve"> wskazuje kategorię 7. Niemniej jednak, przykładowy samolot ma szerokość kadłuba wynoszącą 5.5 m, dlatego </w:t>
      </w:r>
      <w:r w:rsidR="00371A8B" w:rsidRPr="009E064B">
        <w:rPr>
          <w:rFonts w:asciiTheme="minorHAnsi" w:eastAsia="Calibri" w:hAnsiTheme="minorHAnsi" w:cstheme="minorHAnsi"/>
        </w:rPr>
        <w:t xml:space="preserve">zgodnie z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xml:space="preserve"> </w:t>
      </w:r>
      <w:r w:rsidR="009B2994" w:rsidRPr="009E064B">
        <w:rPr>
          <w:rFonts w:asciiTheme="minorHAnsi" w:eastAsia="Calibri" w:hAnsiTheme="minorHAnsi" w:cstheme="minorHAnsi"/>
        </w:rPr>
        <w:t xml:space="preserve">lit. (a) pkt (2) </w:t>
      </w:r>
      <w:r w:rsidRPr="009E064B">
        <w:rPr>
          <w:rFonts w:asciiTheme="minorHAnsi" w:eastAsia="Calibri" w:hAnsiTheme="minorHAnsi" w:cstheme="minorHAnsi"/>
        </w:rPr>
        <w:t>odpowie</w:t>
      </w:r>
      <w:r w:rsidR="009B2994" w:rsidRPr="009E064B">
        <w:rPr>
          <w:rFonts w:asciiTheme="minorHAnsi" w:eastAsia="Calibri" w:hAnsiTheme="minorHAnsi" w:cstheme="minorHAnsi"/>
        </w:rPr>
        <w:t>dni poziom ochrony to kategoria </w:t>
      </w:r>
      <w:r w:rsidRPr="009E064B">
        <w:rPr>
          <w:rFonts w:asciiTheme="minorHAnsi" w:eastAsia="Calibri" w:hAnsiTheme="minorHAnsi" w:cstheme="minorHAnsi"/>
        </w:rPr>
        <w:t>8.</w:t>
      </w:r>
    </w:p>
    <w:p w14:paraId="4883C94D" w14:textId="77777777" w:rsidR="009D0DC1" w:rsidRPr="009E064B" w:rsidRDefault="009D0DC1" w:rsidP="002E1847">
      <w:pPr>
        <w:widowControl/>
        <w:spacing w:before="240"/>
        <w:rPr>
          <w:rFonts w:asciiTheme="minorHAnsi" w:eastAsia="Calibri" w:hAnsiTheme="minorHAnsi" w:cstheme="minorHAnsi"/>
          <w:u w:val="single"/>
        </w:rPr>
      </w:pPr>
      <w:r w:rsidRPr="009E064B">
        <w:rPr>
          <w:rFonts w:asciiTheme="minorHAnsi" w:eastAsia="Calibri" w:hAnsiTheme="minorHAnsi" w:cstheme="minorHAnsi"/>
          <w:u w:val="single"/>
        </w:rPr>
        <w:t>Przykład nr 2 – Długość samolotu większa niż przeciętna</w:t>
      </w:r>
    </w:p>
    <w:p w14:paraId="02CE6D03" w14:textId="77777777" w:rsidR="009D0DC1" w:rsidRPr="009E064B" w:rsidRDefault="009D0DC1" w:rsidP="00B06A9A">
      <w:pPr>
        <w:widowControl/>
        <w:spacing w:after="0"/>
        <w:rPr>
          <w:rFonts w:asciiTheme="minorHAnsi" w:eastAsia="Calibri" w:hAnsiTheme="minorHAnsi" w:cstheme="minorHAnsi"/>
        </w:rPr>
      </w:pPr>
      <w:r w:rsidRPr="009E064B">
        <w:rPr>
          <w:rFonts w:asciiTheme="minorHAnsi" w:eastAsia="Calibri" w:hAnsiTheme="minorHAnsi" w:cstheme="minorHAnsi"/>
        </w:rPr>
        <w:t>Jeżeli planowane są operacje samolotów większych od średniej wielkości w danej kategorii, ilości wody powinny być na nowo przeliczone oraz ilość wody wymaganej do produkcji piany jak również wydatek roztworu piany powinny być odpowiednio zwiększone. Przedstawiony poniżej przykład opiera się na samolocie o długości całkowitej wynoszącej 48 m oraz maksymalnej szerokości kadłuba 5 m. Ilość wody oraz wydatek roztworu piany zostały obliczone z wykorzystaniem koncepcji ICAO dotyczącej obszaru krytycznego oraz zostały zwiększone dla odzwierciedlenia większego praktycznego obszaru krytycznego.</w:t>
      </w:r>
    </w:p>
    <w:p w14:paraId="4438BDFE" w14:textId="77777777" w:rsidR="00B51760" w:rsidRPr="009E064B" w:rsidRDefault="00B51760" w:rsidP="009B2994">
      <w:pPr>
        <w:widowControl/>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553"/>
        <w:gridCol w:w="1559"/>
        <w:gridCol w:w="2410"/>
        <w:gridCol w:w="1700"/>
      </w:tblGrid>
      <w:tr w:rsidR="009D0DC1" w:rsidRPr="009E064B" w14:paraId="02396A06" w14:textId="77777777" w:rsidTr="00B51760">
        <w:trPr>
          <w:jc w:val="center"/>
        </w:trPr>
        <w:tc>
          <w:tcPr>
            <w:tcW w:w="8222" w:type="dxa"/>
            <w:gridSpan w:val="4"/>
            <w:tcMar>
              <w:top w:w="85" w:type="dxa"/>
              <w:bottom w:w="85" w:type="dxa"/>
            </w:tcMar>
            <w:vAlign w:val="center"/>
          </w:tcPr>
          <w:p w14:paraId="4FDD9211"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Minimalne ilości stosowanych środków gaśniczych (w oparciu o pianę gaśniczą o parametrach spełniających wymagania pian gaśniczych dla grupy B)</w:t>
            </w:r>
          </w:p>
        </w:tc>
      </w:tr>
      <w:tr w:rsidR="009D0DC1" w:rsidRPr="009E064B" w14:paraId="6E8E5A87" w14:textId="77777777" w:rsidTr="00C0606B">
        <w:trPr>
          <w:jc w:val="center"/>
        </w:trPr>
        <w:tc>
          <w:tcPr>
            <w:tcW w:w="2553" w:type="dxa"/>
            <w:tcMar>
              <w:top w:w="85" w:type="dxa"/>
              <w:bottom w:w="85" w:type="dxa"/>
            </w:tcMar>
            <w:vAlign w:val="center"/>
          </w:tcPr>
          <w:p w14:paraId="6FA52578" w14:textId="77777777" w:rsidR="009D0DC1" w:rsidRPr="009E064B" w:rsidRDefault="009D0DC1" w:rsidP="00C0606B">
            <w:pPr>
              <w:spacing w:before="40" w:after="40"/>
              <w:ind w:left="113"/>
              <w:jc w:val="left"/>
              <w:rPr>
                <w:rFonts w:asciiTheme="minorHAnsi" w:hAnsiTheme="minorHAnsi" w:cstheme="minorHAnsi"/>
              </w:rPr>
            </w:pPr>
            <w:r w:rsidRPr="009E064B">
              <w:rPr>
                <w:rFonts w:asciiTheme="minorHAnsi" w:hAnsiTheme="minorHAnsi" w:cstheme="minorHAnsi"/>
              </w:rPr>
              <w:t>Kategoria lotniska</w:t>
            </w:r>
          </w:p>
        </w:tc>
        <w:tc>
          <w:tcPr>
            <w:tcW w:w="1559" w:type="dxa"/>
            <w:tcMar>
              <w:top w:w="85" w:type="dxa"/>
              <w:bottom w:w="85" w:type="dxa"/>
            </w:tcMar>
            <w:vAlign w:val="center"/>
          </w:tcPr>
          <w:p w14:paraId="2D9B5CC4" w14:textId="19AF2409"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Woda</w:t>
            </w:r>
          </w:p>
          <w:p w14:paraId="3C429276"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(w litrach)</w:t>
            </w:r>
          </w:p>
        </w:tc>
        <w:tc>
          <w:tcPr>
            <w:tcW w:w="2410" w:type="dxa"/>
            <w:tcMar>
              <w:top w:w="85" w:type="dxa"/>
              <w:bottom w:w="85" w:type="dxa"/>
            </w:tcMar>
            <w:vAlign w:val="center"/>
          </w:tcPr>
          <w:p w14:paraId="60F988BD"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Wydatek roztworu piany na minutę (lt/min)</w:t>
            </w:r>
          </w:p>
        </w:tc>
        <w:tc>
          <w:tcPr>
            <w:tcW w:w="1700" w:type="dxa"/>
            <w:tcMar>
              <w:top w:w="85" w:type="dxa"/>
              <w:bottom w:w="85" w:type="dxa"/>
            </w:tcMar>
            <w:vAlign w:val="center"/>
          </w:tcPr>
          <w:p w14:paraId="5FFFACA0"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Proszek gaśniczy (kg)</w:t>
            </w:r>
          </w:p>
        </w:tc>
      </w:tr>
      <w:tr w:rsidR="009D0DC1" w:rsidRPr="009E064B" w14:paraId="2E5C4A80" w14:textId="77777777" w:rsidTr="00C0606B">
        <w:trPr>
          <w:jc w:val="center"/>
        </w:trPr>
        <w:tc>
          <w:tcPr>
            <w:tcW w:w="2553" w:type="dxa"/>
            <w:tcMar>
              <w:top w:w="85" w:type="dxa"/>
              <w:bottom w:w="85" w:type="dxa"/>
            </w:tcMar>
            <w:vAlign w:val="center"/>
          </w:tcPr>
          <w:p w14:paraId="6633D62A" w14:textId="77777777" w:rsidR="009D0DC1" w:rsidRPr="009E064B" w:rsidRDefault="009D0DC1" w:rsidP="00C0606B">
            <w:pPr>
              <w:spacing w:before="40" w:after="40"/>
              <w:ind w:left="113"/>
              <w:jc w:val="left"/>
              <w:rPr>
                <w:rFonts w:asciiTheme="minorHAnsi" w:hAnsiTheme="minorHAnsi" w:cstheme="minorHAnsi"/>
              </w:rPr>
            </w:pPr>
            <w:r w:rsidRPr="009E064B">
              <w:rPr>
                <w:rFonts w:asciiTheme="minorHAnsi" w:hAnsiTheme="minorHAnsi" w:cstheme="minorHAnsi"/>
              </w:rPr>
              <w:t>Minimalne wymagania dla kategorii 7</w:t>
            </w:r>
          </w:p>
        </w:tc>
        <w:tc>
          <w:tcPr>
            <w:tcW w:w="1559" w:type="dxa"/>
            <w:tcMar>
              <w:top w:w="85" w:type="dxa"/>
              <w:bottom w:w="85" w:type="dxa"/>
            </w:tcMar>
            <w:vAlign w:val="center"/>
          </w:tcPr>
          <w:p w14:paraId="6DAC0377"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12 100</w:t>
            </w:r>
          </w:p>
        </w:tc>
        <w:tc>
          <w:tcPr>
            <w:tcW w:w="2410" w:type="dxa"/>
            <w:tcMar>
              <w:top w:w="85" w:type="dxa"/>
              <w:bottom w:w="85" w:type="dxa"/>
            </w:tcMar>
            <w:vAlign w:val="center"/>
          </w:tcPr>
          <w:p w14:paraId="7B0DCFE2"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5 300</w:t>
            </w:r>
          </w:p>
        </w:tc>
        <w:tc>
          <w:tcPr>
            <w:tcW w:w="1700" w:type="dxa"/>
            <w:tcMar>
              <w:top w:w="85" w:type="dxa"/>
              <w:bottom w:w="85" w:type="dxa"/>
            </w:tcMar>
            <w:vAlign w:val="center"/>
          </w:tcPr>
          <w:p w14:paraId="5BED016B"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225</w:t>
            </w:r>
          </w:p>
        </w:tc>
      </w:tr>
      <w:tr w:rsidR="009D0DC1" w:rsidRPr="009E064B" w14:paraId="44C63B06" w14:textId="77777777" w:rsidTr="00C0606B">
        <w:trPr>
          <w:jc w:val="center"/>
        </w:trPr>
        <w:tc>
          <w:tcPr>
            <w:tcW w:w="2553" w:type="dxa"/>
            <w:tcMar>
              <w:top w:w="85" w:type="dxa"/>
              <w:bottom w:w="85" w:type="dxa"/>
            </w:tcMar>
            <w:vAlign w:val="center"/>
          </w:tcPr>
          <w:p w14:paraId="25A2E82B" w14:textId="77777777" w:rsidR="009D0DC1" w:rsidRPr="009E064B" w:rsidRDefault="009D0DC1" w:rsidP="00C0606B">
            <w:pPr>
              <w:spacing w:before="40" w:after="40"/>
              <w:ind w:left="113"/>
              <w:jc w:val="left"/>
              <w:rPr>
                <w:rFonts w:asciiTheme="minorHAnsi" w:hAnsiTheme="minorHAnsi" w:cstheme="minorHAnsi"/>
              </w:rPr>
            </w:pPr>
            <w:r w:rsidRPr="009E064B">
              <w:rPr>
                <w:rFonts w:asciiTheme="minorHAnsi" w:hAnsiTheme="minorHAnsi" w:cstheme="minorHAnsi"/>
              </w:rPr>
              <w:t>Wymagana ilość po przeliczeniu</w:t>
            </w:r>
          </w:p>
        </w:tc>
        <w:tc>
          <w:tcPr>
            <w:tcW w:w="1559" w:type="dxa"/>
            <w:tcMar>
              <w:top w:w="85" w:type="dxa"/>
              <w:bottom w:w="85" w:type="dxa"/>
            </w:tcMar>
            <w:vAlign w:val="center"/>
          </w:tcPr>
          <w:p w14:paraId="75B18106"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14 113</w:t>
            </w:r>
          </w:p>
        </w:tc>
        <w:tc>
          <w:tcPr>
            <w:tcW w:w="2410" w:type="dxa"/>
            <w:tcMar>
              <w:top w:w="85" w:type="dxa"/>
              <w:bottom w:w="85" w:type="dxa"/>
            </w:tcMar>
            <w:vAlign w:val="center"/>
          </w:tcPr>
          <w:p w14:paraId="35AFC75B"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6 163</w:t>
            </w:r>
          </w:p>
        </w:tc>
        <w:tc>
          <w:tcPr>
            <w:tcW w:w="1700" w:type="dxa"/>
            <w:tcMar>
              <w:top w:w="85" w:type="dxa"/>
              <w:bottom w:w="85" w:type="dxa"/>
            </w:tcMar>
            <w:vAlign w:val="center"/>
          </w:tcPr>
          <w:p w14:paraId="337FB16C" w14:textId="77777777" w:rsidR="009D0DC1" w:rsidRPr="009E064B" w:rsidRDefault="009D0DC1" w:rsidP="00C0606B">
            <w:pPr>
              <w:spacing w:before="40" w:after="40"/>
              <w:jc w:val="center"/>
              <w:rPr>
                <w:rFonts w:asciiTheme="minorHAnsi" w:hAnsiTheme="minorHAnsi" w:cstheme="minorHAnsi"/>
              </w:rPr>
            </w:pPr>
            <w:r w:rsidRPr="009E064B">
              <w:rPr>
                <w:rFonts w:asciiTheme="minorHAnsi" w:hAnsiTheme="minorHAnsi" w:cstheme="minorHAnsi"/>
              </w:rPr>
              <w:t>225</w:t>
            </w:r>
          </w:p>
        </w:tc>
      </w:tr>
    </w:tbl>
    <w:p w14:paraId="3C8DEAB9" w14:textId="3DA6EBDA" w:rsidR="00371A8B" w:rsidRPr="009E064B" w:rsidRDefault="00371A8B">
      <w:pPr>
        <w:spacing w:after="0"/>
        <w:jc w:val="left"/>
        <w:rPr>
          <w:rFonts w:asciiTheme="minorHAnsi" w:eastAsia="Calibri" w:hAnsiTheme="minorHAnsi" w:cstheme="minorHAnsi"/>
        </w:rPr>
      </w:pPr>
    </w:p>
    <w:p w14:paraId="58FBD643" w14:textId="1F20F117" w:rsidR="009D0DC1" w:rsidRPr="009E064B" w:rsidRDefault="009D0DC1" w:rsidP="009B2994">
      <w:pPr>
        <w:widowControl/>
        <w:spacing w:before="240"/>
        <w:ind w:left="1418" w:hanging="1418"/>
        <w:rPr>
          <w:rFonts w:asciiTheme="minorHAnsi" w:eastAsia="Calibri" w:hAnsiTheme="minorHAnsi" w:cstheme="minorHAnsi"/>
          <w:u w:val="single"/>
        </w:rPr>
      </w:pPr>
      <w:r w:rsidRPr="009E064B">
        <w:rPr>
          <w:rFonts w:asciiTheme="minorHAnsi" w:eastAsia="Calibri" w:hAnsiTheme="minorHAnsi" w:cstheme="minorHAnsi"/>
          <w:u w:val="single"/>
        </w:rPr>
        <w:t>Przykład nr 3 – Mniej niż 700 operacji lotniczych w ciągu trzech kolejnych miesięcy o najwyższym natężeniu ruchu lotniczego w roku</w:t>
      </w:r>
    </w:p>
    <w:p w14:paraId="751096B6" w14:textId="2684E56F" w:rsidR="002E1847" w:rsidRPr="009E064B" w:rsidRDefault="002E1847">
      <w:pPr>
        <w:spacing w:after="0"/>
        <w:jc w:val="left"/>
        <w:rPr>
          <w:rFonts w:asciiTheme="minorHAnsi" w:eastAsia="Calibri" w:hAnsiTheme="minorHAnsi" w:cstheme="minorHAnsi"/>
        </w:rPr>
      </w:pPr>
    </w:p>
    <w:p w14:paraId="5057A8C6" w14:textId="4D0434E9" w:rsidR="000B4068" w:rsidRPr="009E064B" w:rsidRDefault="009D0DC1" w:rsidP="00B06A9A">
      <w:pPr>
        <w:widowControl/>
        <w:spacing w:after="0"/>
        <w:rPr>
          <w:rFonts w:asciiTheme="minorHAnsi" w:eastAsia="Calibri" w:hAnsiTheme="minorHAnsi" w:cstheme="minorHAnsi"/>
        </w:rPr>
      </w:pPr>
      <w:r w:rsidRPr="009E064B">
        <w:rPr>
          <w:rFonts w:asciiTheme="minorHAnsi" w:eastAsia="Calibri" w:hAnsiTheme="minorHAnsi" w:cstheme="minorHAnsi"/>
        </w:rPr>
        <w:t>Przedstawione poniżej przykłady ilustrują metodę określania lotniskowego poziomu ochrony ratowniczo-gaśniczej przy uwzględnieniu liczby operacji lotniczych.</w:t>
      </w:r>
    </w:p>
    <w:p w14:paraId="356EB4C6" w14:textId="77777777" w:rsidR="000B4068" w:rsidRPr="009E064B" w:rsidRDefault="000B4068">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4DF28500" w14:textId="77777777" w:rsidR="00B51760" w:rsidRPr="009E064B" w:rsidRDefault="00B51760" w:rsidP="009B2994">
      <w:pPr>
        <w:widowControl/>
        <w:rPr>
          <w:rFonts w:asciiTheme="minorHAnsi" w:eastAsia="Calibri" w:hAnsiTheme="minorHAnsi" w:cstheme="minorHAnsi"/>
          <w:u w:val="single"/>
        </w:rPr>
      </w:pPr>
    </w:p>
    <w:tbl>
      <w:tblPr>
        <w:tblStyle w:val="Tabela-Siatka4"/>
        <w:tblW w:w="0" w:type="auto"/>
        <w:jc w:val="center"/>
        <w:tblLook w:val="04A0" w:firstRow="1" w:lastRow="0" w:firstColumn="1" w:lastColumn="0" w:noHBand="0" w:noVBand="1"/>
      </w:tblPr>
      <w:tblGrid>
        <w:gridCol w:w="2489"/>
        <w:gridCol w:w="1472"/>
        <w:gridCol w:w="1647"/>
        <w:gridCol w:w="1297"/>
        <w:gridCol w:w="1473"/>
      </w:tblGrid>
      <w:tr w:rsidR="009D0DC1" w:rsidRPr="009E064B" w14:paraId="3E95DE27" w14:textId="77777777" w:rsidTr="00C0606B">
        <w:trPr>
          <w:trHeight w:val="532"/>
          <w:jc w:val="center"/>
        </w:trPr>
        <w:tc>
          <w:tcPr>
            <w:tcW w:w="2489" w:type="dxa"/>
            <w:tcMar>
              <w:top w:w="85" w:type="dxa"/>
              <w:bottom w:w="85" w:type="dxa"/>
            </w:tcMar>
            <w:vAlign w:val="center"/>
          </w:tcPr>
          <w:p w14:paraId="6BE53F5E"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Samolot</w:t>
            </w:r>
          </w:p>
        </w:tc>
        <w:tc>
          <w:tcPr>
            <w:tcW w:w="1472" w:type="dxa"/>
            <w:tcMar>
              <w:top w:w="85" w:type="dxa"/>
              <w:bottom w:w="85" w:type="dxa"/>
            </w:tcMar>
            <w:vAlign w:val="center"/>
          </w:tcPr>
          <w:p w14:paraId="54BCE857"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Długość całkowita</w:t>
            </w:r>
          </w:p>
        </w:tc>
        <w:tc>
          <w:tcPr>
            <w:tcW w:w="1647" w:type="dxa"/>
            <w:tcMar>
              <w:top w:w="85" w:type="dxa"/>
              <w:bottom w:w="85" w:type="dxa"/>
            </w:tcMar>
            <w:vAlign w:val="center"/>
          </w:tcPr>
          <w:p w14:paraId="6E2A40B9"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Szerokość kadłuba</w:t>
            </w:r>
          </w:p>
        </w:tc>
        <w:tc>
          <w:tcPr>
            <w:tcW w:w="1297" w:type="dxa"/>
            <w:tcMar>
              <w:top w:w="85" w:type="dxa"/>
              <w:bottom w:w="85" w:type="dxa"/>
            </w:tcMar>
            <w:vAlign w:val="center"/>
          </w:tcPr>
          <w:p w14:paraId="6601E15B"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Kategoria</w:t>
            </w:r>
          </w:p>
        </w:tc>
        <w:tc>
          <w:tcPr>
            <w:tcW w:w="1473" w:type="dxa"/>
            <w:tcMar>
              <w:top w:w="85" w:type="dxa"/>
              <w:bottom w:w="85" w:type="dxa"/>
            </w:tcMar>
            <w:vAlign w:val="center"/>
          </w:tcPr>
          <w:p w14:paraId="712F4C7A"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Operacje lotnicze</w:t>
            </w:r>
          </w:p>
        </w:tc>
      </w:tr>
      <w:tr w:rsidR="009D0DC1" w:rsidRPr="009E064B" w14:paraId="46A9F204" w14:textId="77777777" w:rsidTr="00C0606B">
        <w:trPr>
          <w:jc w:val="center"/>
        </w:trPr>
        <w:tc>
          <w:tcPr>
            <w:tcW w:w="2489" w:type="dxa"/>
            <w:tcMar>
              <w:top w:w="85" w:type="dxa"/>
              <w:bottom w:w="85" w:type="dxa"/>
            </w:tcMar>
          </w:tcPr>
          <w:p w14:paraId="1678657F"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Airbus A320</w:t>
            </w:r>
          </w:p>
        </w:tc>
        <w:tc>
          <w:tcPr>
            <w:tcW w:w="1472" w:type="dxa"/>
            <w:tcMar>
              <w:top w:w="85" w:type="dxa"/>
              <w:bottom w:w="85" w:type="dxa"/>
            </w:tcMar>
          </w:tcPr>
          <w:p w14:paraId="23DA7F1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37.6 m</w:t>
            </w:r>
          </w:p>
        </w:tc>
        <w:tc>
          <w:tcPr>
            <w:tcW w:w="1647" w:type="dxa"/>
            <w:tcMar>
              <w:top w:w="85" w:type="dxa"/>
              <w:bottom w:w="85" w:type="dxa"/>
            </w:tcMar>
          </w:tcPr>
          <w:p w14:paraId="104B94C4"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4.0 m</w:t>
            </w:r>
          </w:p>
        </w:tc>
        <w:tc>
          <w:tcPr>
            <w:tcW w:w="1297" w:type="dxa"/>
            <w:tcMar>
              <w:top w:w="85" w:type="dxa"/>
              <w:bottom w:w="85" w:type="dxa"/>
            </w:tcMar>
          </w:tcPr>
          <w:p w14:paraId="3E96E823"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w:t>
            </w:r>
          </w:p>
        </w:tc>
        <w:tc>
          <w:tcPr>
            <w:tcW w:w="1473" w:type="dxa"/>
            <w:tcMar>
              <w:top w:w="85" w:type="dxa"/>
              <w:bottom w:w="85" w:type="dxa"/>
            </w:tcMar>
          </w:tcPr>
          <w:p w14:paraId="3E5464C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600</w:t>
            </w:r>
          </w:p>
        </w:tc>
      </w:tr>
      <w:tr w:rsidR="009D0DC1" w:rsidRPr="009E064B" w14:paraId="35B7DBCD" w14:textId="77777777" w:rsidTr="00C0606B">
        <w:trPr>
          <w:jc w:val="center"/>
        </w:trPr>
        <w:tc>
          <w:tcPr>
            <w:tcW w:w="2489" w:type="dxa"/>
            <w:tcMar>
              <w:top w:w="85" w:type="dxa"/>
              <w:bottom w:w="85" w:type="dxa"/>
            </w:tcMar>
          </w:tcPr>
          <w:p w14:paraId="00B65C3F"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Bombardier CRJ 900</w:t>
            </w:r>
          </w:p>
        </w:tc>
        <w:tc>
          <w:tcPr>
            <w:tcW w:w="1472" w:type="dxa"/>
            <w:tcMar>
              <w:top w:w="85" w:type="dxa"/>
              <w:bottom w:w="85" w:type="dxa"/>
            </w:tcMar>
          </w:tcPr>
          <w:p w14:paraId="6EFD99BA"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36.4 m</w:t>
            </w:r>
          </w:p>
        </w:tc>
        <w:tc>
          <w:tcPr>
            <w:tcW w:w="1647" w:type="dxa"/>
            <w:tcMar>
              <w:top w:w="85" w:type="dxa"/>
              <w:bottom w:w="85" w:type="dxa"/>
            </w:tcMar>
          </w:tcPr>
          <w:p w14:paraId="11FF614C"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2.7 m</w:t>
            </w:r>
          </w:p>
        </w:tc>
        <w:tc>
          <w:tcPr>
            <w:tcW w:w="1297" w:type="dxa"/>
            <w:tcMar>
              <w:top w:w="85" w:type="dxa"/>
              <w:bottom w:w="85" w:type="dxa"/>
            </w:tcMar>
          </w:tcPr>
          <w:p w14:paraId="0D444ED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w:t>
            </w:r>
          </w:p>
        </w:tc>
        <w:tc>
          <w:tcPr>
            <w:tcW w:w="1473" w:type="dxa"/>
            <w:tcMar>
              <w:top w:w="85" w:type="dxa"/>
              <w:bottom w:w="85" w:type="dxa"/>
            </w:tcMar>
          </w:tcPr>
          <w:p w14:paraId="10916AB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r w:rsidR="009D0DC1" w:rsidRPr="009E064B" w14:paraId="2935606A" w14:textId="77777777" w:rsidTr="00C0606B">
        <w:trPr>
          <w:jc w:val="center"/>
        </w:trPr>
        <w:tc>
          <w:tcPr>
            <w:tcW w:w="2489" w:type="dxa"/>
            <w:tcMar>
              <w:top w:w="85" w:type="dxa"/>
              <w:bottom w:w="85" w:type="dxa"/>
            </w:tcMar>
          </w:tcPr>
          <w:p w14:paraId="697821D5"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Embraer 190</w:t>
            </w:r>
          </w:p>
        </w:tc>
        <w:tc>
          <w:tcPr>
            <w:tcW w:w="1472" w:type="dxa"/>
            <w:tcMar>
              <w:top w:w="85" w:type="dxa"/>
              <w:bottom w:w="85" w:type="dxa"/>
            </w:tcMar>
          </w:tcPr>
          <w:p w14:paraId="40B6EAD4"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36.2 m</w:t>
            </w:r>
          </w:p>
        </w:tc>
        <w:tc>
          <w:tcPr>
            <w:tcW w:w="1647" w:type="dxa"/>
            <w:tcMar>
              <w:top w:w="85" w:type="dxa"/>
              <w:bottom w:w="85" w:type="dxa"/>
            </w:tcMar>
          </w:tcPr>
          <w:p w14:paraId="445BA9EC"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 m</w:t>
            </w:r>
          </w:p>
        </w:tc>
        <w:tc>
          <w:tcPr>
            <w:tcW w:w="1297" w:type="dxa"/>
            <w:tcMar>
              <w:top w:w="85" w:type="dxa"/>
              <w:bottom w:w="85" w:type="dxa"/>
            </w:tcMar>
          </w:tcPr>
          <w:p w14:paraId="0B929396"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w:t>
            </w:r>
          </w:p>
        </w:tc>
        <w:tc>
          <w:tcPr>
            <w:tcW w:w="1473" w:type="dxa"/>
            <w:tcMar>
              <w:top w:w="85" w:type="dxa"/>
              <w:bottom w:w="85" w:type="dxa"/>
            </w:tcMar>
          </w:tcPr>
          <w:p w14:paraId="11349499"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500</w:t>
            </w:r>
          </w:p>
        </w:tc>
      </w:tr>
      <w:tr w:rsidR="009D0DC1" w:rsidRPr="009E064B" w14:paraId="3D36DD56" w14:textId="77777777" w:rsidTr="00C0606B">
        <w:trPr>
          <w:jc w:val="center"/>
        </w:trPr>
        <w:tc>
          <w:tcPr>
            <w:tcW w:w="2489" w:type="dxa"/>
            <w:tcMar>
              <w:top w:w="85" w:type="dxa"/>
              <w:bottom w:w="85" w:type="dxa"/>
            </w:tcMar>
          </w:tcPr>
          <w:p w14:paraId="7FC08A23"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ATR 72</w:t>
            </w:r>
          </w:p>
        </w:tc>
        <w:tc>
          <w:tcPr>
            <w:tcW w:w="1472" w:type="dxa"/>
            <w:tcMar>
              <w:top w:w="85" w:type="dxa"/>
              <w:bottom w:w="85" w:type="dxa"/>
            </w:tcMar>
          </w:tcPr>
          <w:p w14:paraId="1880536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27.2 m</w:t>
            </w:r>
          </w:p>
        </w:tc>
        <w:tc>
          <w:tcPr>
            <w:tcW w:w="1647" w:type="dxa"/>
            <w:tcMar>
              <w:top w:w="85" w:type="dxa"/>
              <w:bottom w:w="85" w:type="dxa"/>
            </w:tcMar>
          </w:tcPr>
          <w:p w14:paraId="0E0D8066"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2.8 m</w:t>
            </w:r>
          </w:p>
        </w:tc>
        <w:tc>
          <w:tcPr>
            <w:tcW w:w="1297" w:type="dxa"/>
            <w:tcMar>
              <w:top w:w="85" w:type="dxa"/>
              <w:bottom w:w="85" w:type="dxa"/>
            </w:tcMar>
          </w:tcPr>
          <w:p w14:paraId="37038FF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5</w:t>
            </w:r>
          </w:p>
        </w:tc>
        <w:tc>
          <w:tcPr>
            <w:tcW w:w="1473" w:type="dxa"/>
            <w:tcMar>
              <w:top w:w="85" w:type="dxa"/>
              <w:bottom w:w="85" w:type="dxa"/>
            </w:tcMar>
          </w:tcPr>
          <w:p w14:paraId="1EB5BD96"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200</w:t>
            </w:r>
          </w:p>
        </w:tc>
      </w:tr>
    </w:tbl>
    <w:p w14:paraId="7CD60EC5" w14:textId="77777777" w:rsidR="009D0DC1" w:rsidRPr="009E064B" w:rsidRDefault="009D0DC1" w:rsidP="00B06A9A">
      <w:pPr>
        <w:widowControl/>
        <w:jc w:val="left"/>
        <w:rPr>
          <w:rFonts w:asciiTheme="minorHAnsi" w:eastAsia="Calibri" w:hAnsiTheme="minorHAnsi" w:cstheme="minorHAnsi"/>
        </w:rPr>
      </w:pPr>
    </w:p>
    <w:p w14:paraId="3B01964D" w14:textId="4FC3C55E" w:rsidR="009D0DC1" w:rsidRPr="009E064B" w:rsidRDefault="009D0DC1" w:rsidP="009B2994">
      <w:pPr>
        <w:widowControl/>
        <w:spacing w:after="0"/>
        <w:rPr>
          <w:rFonts w:asciiTheme="minorHAnsi" w:eastAsia="Calibri" w:hAnsiTheme="minorHAnsi" w:cstheme="minorHAnsi"/>
        </w:rPr>
      </w:pPr>
      <w:r w:rsidRPr="009E064B">
        <w:rPr>
          <w:rFonts w:asciiTheme="minorHAnsi" w:eastAsia="Calibri" w:hAnsiTheme="minorHAnsi" w:cstheme="minorHAnsi"/>
        </w:rPr>
        <w:t>Najdłuższe samoloty są klasyfikowane poprzez</w:t>
      </w:r>
      <w:r w:rsidR="00371A8B" w:rsidRPr="009E064B">
        <w:rPr>
          <w:rFonts w:asciiTheme="minorHAnsi" w:eastAsia="Calibri" w:hAnsiTheme="minorHAnsi" w:cstheme="minorHAnsi"/>
        </w:rPr>
        <w:t xml:space="preserve"> określenie, przy użyciu Tabeli </w:t>
      </w:r>
      <w:r w:rsidRPr="009E064B">
        <w:rPr>
          <w:rFonts w:asciiTheme="minorHAnsi" w:eastAsia="Calibri" w:hAnsiTheme="minorHAnsi" w:cstheme="minorHAnsi"/>
        </w:rPr>
        <w:t>1 w</w:t>
      </w:r>
      <w:r w:rsidR="009B2994" w:rsidRPr="009E064B">
        <w:rPr>
          <w:rFonts w:asciiTheme="minorHAnsi" w:eastAsia="Calibri" w:hAnsiTheme="minorHAnsi" w:cstheme="minorHAnsi"/>
        </w:rPr>
        <w:t>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ogółem więcej niż 700. W takim przypadku kategoria lotniska wynosi 6.</w:t>
      </w:r>
    </w:p>
    <w:p w14:paraId="45F8E52E" w14:textId="77777777" w:rsidR="009B2994" w:rsidRPr="009E064B" w:rsidRDefault="009B2994" w:rsidP="009B2994">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489"/>
        <w:gridCol w:w="1472"/>
        <w:gridCol w:w="1647"/>
        <w:gridCol w:w="1297"/>
        <w:gridCol w:w="1473"/>
      </w:tblGrid>
      <w:tr w:rsidR="009D0DC1" w:rsidRPr="009E064B" w14:paraId="0D0C72EA" w14:textId="77777777" w:rsidTr="00C0606B">
        <w:trPr>
          <w:trHeight w:val="532"/>
          <w:jc w:val="center"/>
        </w:trPr>
        <w:tc>
          <w:tcPr>
            <w:tcW w:w="2489" w:type="dxa"/>
            <w:tcMar>
              <w:top w:w="85" w:type="dxa"/>
              <w:bottom w:w="85" w:type="dxa"/>
            </w:tcMar>
            <w:vAlign w:val="center"/>
          </w:tcPr>
          <w:p w14:paraId="46EFCFD4"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Samolot</w:t>
            </w:r>
          </w:p>
        </w:tc>
        <w:tc>
          <w:tcPr>
            <w:tcW w:w="1472" w:type="dxa"/>
            <w:tcMar>
              <w:top w:w="85" w:type="dxa"/>
              <w:bottom w:w="85" w:type="dxa"/>
            </w:tcMar>
            <w:vAlign w:val="center"/>
          </w:tcPr>
          <w:p w14:paraId="7904D945"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Długość całkowita</w:t>
            </w:r>
          </w:p>
        </w:tc>
        <w:tc>
          <w:tcPr>
            <w:tcW w:w="1647" w:type="dxa"/>
            <w:tcMar>
              <w:top w:w="85" w:type="dxa"/>
              <w:bottom w:w="85" w:type="dxa"/>
            </w:tcMar>
            <w:vAlign w:val="center"/>
          </w:tcPr>
          <w:p w14:paraId="4A10236D"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Szerokość kadłuba</w:t>
            </w:r>
          </w:p>
        </w:tc>
        <w:tc>
          <w:tcPr>
            <w:tcW w:w="1297" w:type="dxa"/>
            <w:tcMar>
              <w:top w:w="85" w:type="dxa"/>
              <w:bottom w:w="85" w:type="dxa"/>
            </w:tcMar>
            <w:vAlign w:val="center"/>
          </w:tcPr>
          <w:p w14:paraId="682BF412"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Kategoria</w:t>
            </w:r>
          </w:p>
        </w:tc>
        <w:tc>
          <w:tcPr>
            <w:tcW w:w="1473" w:type="dxa"/>
            <w:tcMar>
              <w:top w:w="85" w:type="dxa"/>
              <w:bottom w:w="85" w:type="dxa"/>
            </w:tcMar>
            <w:vAlign w:val="center"/>
          </w:tcPr>
          <w:p w14:paraId="793F50D2"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Operacje lotnicze</w:t>
            </w:r>
          </w:p>
        </w:tc>
      </w:tr>
      <w:tr w:rsidR="009D0DC1" w:rsidRPr="009E064B" w14:paraId="4376E9FA" w14:textId="77777777" w:rsidTr="00C0606B">
        <w:trPr>
          <w:jc w:val="center"/>
        </w:trPr>
        <w:tc>
          <w:tcPr>
            <w:tcW w:w="2489" w:type="dxa"/>
            <w:tcMar>
              <w:top w:w="85" w:type="dxa"/>
              <w:bottom w:w="85" w:type="dxa"/>
            </w:tcMar>
          </w:tcPr>
          <w:p w14:paraId="31A140C4"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Airbus A350-900</w:t>
            </w:r>
          </w:p>
        </w:tc>
        <w:tc>
          <w:tcPr>
            <w:tcW w:w="1472" w:type="dxa"/>
            <w:tcMar>
              <w:top w:w="85" w:type="dxa"/>
              <w:bottom w:w="85" w:type="dxa"/>
            </w:tcMar>
          </w:tcPr>
          <w:p w14:paraId="123E7D2B"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66.8 m</w:t>
            </w:r>
          </w:p>
        </w:tc>
        <w:tc>
          <w:tcPr>
            <w:tcW w:w="1647" w:type="dxa"/>
            <w:tcMar>
              <w:top w:w="85" w:type="dxa"/>
              <w:bottom w:w="85" w:type="dxa"/>
            </w:tcMar>
          </w:tcPr>
          <w:p w14:paraId="0254858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6.0 m</w:t>
            </w:r>
          </w:p>
        </w:tc>
        <w:tc>
          <w:tcPr>
            <w:tcW w:w="1297" w:type="dxa"/>
            <w:tcMar>
              <w:top w:w="85" w:type="dxa"/>
              <w:bottom w:w="85" w:type="dxa"/>
            </w:tcMar>
          </w:tcPr>
          <w:p w14:paraId="7F94757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9</w:t>
            </w:r>
          </w:p>
        </w:tc>
        <w:tc>
          <w:tcPr>
            <w:tcW w:w="1473" w:type="dxa"/>
            <w:tcMar>
              <w:top w:w="85" w:type="dxa"/>
              <w:bottom w:w="85" w:type="dxa"/>
            </w:tcMar>
          </w:tcPr>
          <w:p w14:paraId="7D6C6BF7"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r w:rsidR="009D0DC1" w:rsidRPr="009E064B" w14:paraId="2F06F2C1" w14:textId="77777777" w:rsidTr="00C0606B">
        <w:trPr>
          <w:jc w:val="center"/>
        </w:trPr>
        <w:tc>
          <w:tcPr>
            <w:tcW w:w="2489" w:type="dxa"/>
            <w:tcMar>
              <w:top w:w="85" w:type="dxa"/>
              <w:bottom w:w="85" w:type="dxa"/>
            </w:tcMar>
          </w:tcPr>
          <w:p w14:paraId="43FAF06A"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Boeing 747-8</w:t>
            </w:r>
          </w:p>
        </w:tc>
        <w:tc>
          <w:tcPr>
            <w:tcW w:w="1472" w:type="dxa"/>
            <w:tcMar>
              <w:top w:w="85" w:type="dxa"/>
              <w:bottom w:w="85" w:type="dxa"/>
            </w:tcMar>
          </w:tcPr>
          <w:p w14:paraId="0CE5EF1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76.3 m</w:t>
            </w:r>
          </w:p>
        </w:tc>
        <w:tc>
          <w:tcPr>
            <w:tcW w:w="1647" w:type="dxa"/>
            <w:tcMar>
              <w:top w:w="85" w:type="dxa"/>
              <w:bottom w:w="85" w:type="dxa"/>
            </w:tcMar>
          </w:tcPr>
          <w:p w14:paraId="6C133F37"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6.5 m</w:t>
            </w:r>
          </w:p>
        </w:tc>
        <w:tc>
          <w:tcPr>
            <w:tcW w:w="1297" w:type="dxa"/>
            <w:tcMar>
              <w:top w:w="85" w:type="dxa"/>
              <w:bottom w:w="85" w:type="dxa"/>
            </w:tcMar>
          </w:tcPr>
          <w:p w14:paraId="396D21B5"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10</w:t>
            </w:r>
          </w:p>
        </w:tc>
        <w:tc>
          <w:tcPr>
            <w:tcW w:w="1473" w:type="dxa"/>
            <w:tcMar>
              <w:top w:w="85" w:type="dxa"/>
              <w:bottom w:w="85" w:type="dxa"/>
            </w:tcMar>
          </w:tcPr>
          <w:p w14:paraId="2AB2F8F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400</w:t>
            </w:r>
          </w:p>
        </w:tc>
      </w:tr>
      <w:tr w:rsidR="009D0DC1" w:rsidRPr="009E064B" w14:paraId="1AACED6B" w14:textId="77777777" w:rsidTr="00C0606B">
        <w:trPr>
          <w:jc w:val="center"/>
        </w:trPr>
        <w:tc>
          <w:tcPr>
            <w:tcW w:w="2489" w:type="dxa"/>
            <w:tcMar>
              <w:top w:w="85" w:type="dxa"/>
              <w:bottom w:w="85" w:type="dxa"/>
            </w:tcMar>
          </w:tcPr>
          <w:p w14:paraId="389B9EB8"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Airbus A380</w:t>
            </w:r>
          </w:p>
        </w:tc>
        <w:tc>
          <w:tcPr>
            <w:tcW w:w="1472" w:type="dxa"/>
            <w:tcMar>
              <w:top w:w="85" w:type="dxa"/>
              <w:bottom w:w="85" w:type="dxa"/>
            </w:tcMar>
          </w:tcPr>
          <w:p w14:paraId="4524D30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72.7 m</w:t>
            </w:r>
          </w:p>
        </w:tc>
        <w:tc>
          <w:tcPr>
            <w:tcW w:w="1647" w:type="dxa"/>
            <w:tcMar>
              <w:top w:w="85" w:type="dxa"/>
              <w:bottom w:w="85" w:type="dxa"/>
            </w:tcMar>
          </w:tcPr>
          <w:p w14:paraId="30C1B49A"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7.1 m</w:t>
            </w:r>
          </w:p>
        </w:tc>
        <w:tc>
          <w:tcPr>
            <w:tcW w:w="1297" w:type="dxa"/>
            <w:tcMar>
              <w:top w:w="85" w:type="dxa"/>
              <w:bottom w:w="85" w:type="dxa"/>
            </w:tcMar>
          </w:tcPr>
          <w:p w14:paraId="123A3CBC"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10</w:t>
            </w:r>
          </w:p>
        </w:tc>
        <w:tc>
          <w:tcPr>
            <w:tcW w:w="1473" w:type="dxa"/>
            <w:tcMar>
              <w:top w:w="85" w:type="dxa"/>
              <w:bottom w:w="85" w:type="dxa"/>
            </w:tcMar>
          </w:tcPr>
          <w:p w14:paraId="5F38A20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400</w:t>
            </w:r>
          </w:p>
        </w:tc>
      </w:tr>
    </w:tbl>
    <w:p w14:paraId="771CD38C" w14:textId="77777777" w:rsidR="009D0DC1" w:rsidRPr="009E064B" w:rsidRDefault="009D0DC1" w:rsidP="00B06A9A">
      <w:pPr>
        <w:widowControl/>
        <w:rPr>
          <w:rFonts w:asciiTheme="minorHAnsi" w:eastAsia="Calibri" w:hAnsiTheme="minorHAnsi" w:cstheme="minorHAnsi"/>
        </w:rPr>
      </w:pPr>
    </w:p>
    <w:p w14:paraId="27EC8C1C" w14:textId="02D0F7FF" w:rsidR="009D0DC1" w:rsidRPr="009E064B" w:rsidRDefault="009D0DC1" w:rsidP="009B2994">
      <w:pPr>
        <w:widowControl/>
        <w:spacing w:after="0"/>
        <w:rPr>
          <w:rFonts w:asciiTheme="minorHAnsi" w:eastAsia="Calibri" w:hAnsiTheme="minorHAnsi" w:cstheme="minorHAnsi"/>
        </w:rPr>
      </w:pPr>
      <w:r w:rsidRPr="009E064B">
        <w:rPr>
          <w:rFonts w:asciiTheme="minorHAnsi" w:eastAsia="Calibri" w:hAnsiTheme="minorHAnsi" w:cstheme="minorHAnsi"/>
        </w:rPr>
        <w:t>Najdłuższe samoloty są klasyfikowane poprzez</w:t>
      </w:r>
      <w:r w:rsidR="00371A8B" w:rsidRPr="009E064B">
        <w:rPr>
          <w:rFonts w:asciiTheme="minorHAnsi" w:eastAsia="Calibri" w:hAnsiTheme="minorHAnsi" w:cstheme="minorHAnsi"/>
        </w:rPr>
        <w:t xml:space="preserve"> określenie, przy użyciu Tabeli </w:t>
      </w:r>
      <w:r w:rsidR="009B2994" w:rsidRPr="009E064B">
        <w:rPr>
          <w:rFonts w:asciiTheme="minorHAnsi" w:eastAsia="Calibri" w:hAnsiTheme="minorHAnsi" w:cstheme="minorHAnsi"/>
        </w:rPr>
        <w:t>1 w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ogółem więcej niż 700. Można również zauważyć, że podczas określania kategorii odpowiadającej długości całkowitej samolotu Airbus A380, np. kategoria 9, wybrana kategoria jest faktycznie o jedną kategorię wyższa, ponieważ szerokość kadłuba samolotu jest większa od maksymalnej szerokości kadłuba dla kategorii 9. W takim przypadku kategoria lotniska wynosi 10.</w:t>
      </w:r>
    </w:p>
    <w:p w14:paraId="011A660D" w14:textId="77777777" w:rsidR="009B2994" w:rsidRPr="009E064B" w:rsidRDefault="009B2994" w:rsidP="009B2994">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122"/>
        <w:gridCol w:w="1984"/>
        <w:gridCol w:w="1843"/>
        <w:gridCol w:w="1276"/>
        <w:gridCol w:w="1153"/>
      </w:tblGrid>
      <w:tr w:rsidR="009D0DC1" w:rsidRPr="009E064B" w14:paraId="79F8745D" w14:textId="77777777" w:rsidTr="002E1847">
        <w:trPr>
          <w:trHeight w:val="532"/>
          <w:jc w:val="center"/>
        </w:trPr>
        <w:tc>
          <w:tcPr>
            <w:tcW w:w="2122" w:type="dxa"/>
            <w:tcMar>
              <w:top w:w="85" w:type="dxa"/>
              <w:bottom w:w="85" w:type="dxa"/>
            </w:tcMar>
            <w:vAlign w:val="center"/>
          </w:tcPr>
          <w:p w14:paraId="38C7D787"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Samolot</w:t>
            </w:r>
          </w:p>
        </w:tc>
        <w:tc>
          <w:tcPr>
            <w:tcW w:w="1984" w:type="dxa"/>
            <w:tcMar>
              <w:top w:w="85" w:type="dxa"/>
              <w:bottom w:w="85" w:type="dxa"/>
            </w:tcMar>
            <w:vAlign w:val="center"/>
          </w:tcPr>
          <w:p w14:paraId="65A42936"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Długość całkowita</w:t>
            </w:r>
          </w:p>
        </w:tc>
        <w:tc>
          <w:tcPr>
            <w:tcW w:w="1843" w:type="dxa"/>
            <w:tcMar>
              <w:top w:w="85" w:type="dxa"/>
              <w:bottom w:w="85" w:type="dxa"/>
            </w:tcMar>
            <w:vAlign w:val="center"/>
          </w:tcPr>
          <w:p w14:paraId="65CDEE48"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Szerokość kadłuba</w:t>
            </w:r>
          </w:p>
        </w:tc>
        <w:tc>
          <w:tcPr>
            <w:tcW w:w="1276" w:type="dxa"/>
            <w:tcMar>
              <w:top w:w="85" w:type="dxa"/>
              <w:bottom w:w="85" w:type="dxa"/>
            </w:tcMar>
            <w:vAlign w:val="center"/>
          </w:tcPr>
          <w:p w14:paraId="283B2F0D"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Kategoria</w:t>
            </w:r>
          </w:p>
        </w:tc>
        <w:tc>
          <w:tcPr>
            <w:tcW w:w="1153" w:type="dxa"/>
            <w:tcMar>
              <w:top w:w="85" w:type="dxa"/>
              <w:bottom w:w="85" w:type="dxa"/>
            </w:tcMar>
            <w:vAlign w:val="center"/>
          </w:tcPr>
          <w:p w14:paraId="0188D8F9"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Operacje lotnicze</w:t>
            </w:r>
          </w:p>
        </w:tc>
      </w:tr>
      <w:tr w:rsidR="009D0DC1" w:rsidRPr="009E064B" w14:paraId="4526E92E" w14:textId="77777777" w:rsidTr="002E1847">
        <w:trPr>
          <w:jc w:val="center"/>
        </w:trPr>
        <w:tc>
          <w:tcPr>
            <w:tcW w:w="2122" w:type="dxa"/>
            <w:tcMar>
              <w:top w:w="85" w:type="dxa"/>
              <w:bottom w:w="85" w:type="dxa"/>
            </w:tcMar>
          </w:tcPr>
          <w:p w14:paraId="4B94FE8F"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Boeing 737-900ER</w:t>
            </w:r>
          </w:p>
        </w:tc>
        <w:tc>
          <w:tcPr>
            <w:tcW w:w="1984" w:type="dxa"/>
            <w:tcMar>
              <w:top w:w="85" w:type="dxa"/>
              <w:bottom w:w="85" w:type="dxa"/>
            </w:tcMar>
          </w:tcPr>
          <w:p w14:paraId="2DF6932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42.1 m</w:t>
            </w:r>
          </w:p>
        </w:tc>
        <w:tc>
          <w:tcPr>
            <w:tcW w:w="1843" w:type="dxa"/>
            <w:tcMar>
              <w:top w:w="85" w:type="dxa"/>
              <w:bottom w:w="85" w:type="dxa"/>
            </w:tcMar>
          </w:tcPr>
          <w:p w14:paraId="677946B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3.8 m</w:t>
            </w:r>
          </w:p>
        </w:tc>
        <w:tc>
          <w:tcPr>
            <w:tcW w:w="1276" w:type="dxa"/>
            <w:tcMar>
              <w:top w:w="85" w:type="dxa"/>
              <w:bottom w:w="85" w:type="dxa"/>
            </w:tcMar>
          </w:tcPr>
          <w:p w14:paraId="329BCA9B"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w:t>
            </w:r>
          </w:p>
        </w:tc>
        <w:tc>
          <w:tcPr>
            <w:tcW w:w="1153" w:type="dxa"/>
            <w:tcMar>
              <w:top w:w="85" w:type="dxa"/>
              <w:bottom w:w="85" w:type="dxa"/>
            </w:tcMar>
          </w:tcPr>
          <w:p w14:paraId="1DB85F26"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r w:rsidR="009D0DC1" w:rsidRPr="009E064B" w14:paraId="43D0827A" w14:textId="77777777" w:rsidTr="002E1847">
        <w:trPr>
          <w:jc w:val="center"/>
        </w:trPr>
        <w:tc>
          <w:tcPr>
            <w:tcW w:w="2122" w:type="dxa"/>
            <w:tcMar>
              <w:top w:w="85" w:type="dxa"/>
              <w:bottom w:w="85" w:type="dxa"/>
            </w:tcMar>
          </w:tcPr>
          <w:p w14:paraId="00CC6248"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Bombardier CRJ 900</w:t>
            </w:r>
          </w:p>
        </w:tc>
        <w:tc>
          <w:tcPr>
            <w:tcW w:w="1984" w:type="dxa"/>
            <w:tcMar>
              <w:top w:w="85" w:type="dxa"/>
              <w:bottom w:w="85" w:type="dxa"/>
            </w:tcMar>
          </w:tcPr>
          <w:p w14:paraId="3BE30C1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36.4 m</w:t>
            </w:r>
          </w:p>
        </w:tc>
        <w:tc>
          <w:tcPr>
            <w:tcW w:w="1843" w:type="dxa"/>
            <w:tcMar>
              <w:top w:w="85" w:type="dxa"/>
              <w:bottom w:w="85" w:type="dxa"/>
            </w:tcMar>
          </w:tcPr>
          <w:p w14:paraId="1053C77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2.7 m</w:t>
            </w:r>
          </w:p>
        </w:tc>
        <w:tc>
          <w:tcPr>
            <w:tcW w:w="1276" w:type="dxa"/>
            <w:tcMar>
              <w:top w:w="85" w:type="dxa"/>
              <w:bottom w:w="85" w:type="dxa"/>
            </w:tcMar>
          </w:tcPr>
          <w:p w14:paraId="79170D5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w:t>
            </w:r>
          </w:p>
        </w:tc>
        <w:tc>
          <w:tcPr>
            <w:tcW w:w="1153" w:type="dxa"/>
            <w:tcMar>
              <w:top w:w="85" w:type="dxa"/>
              <w:bottom w:w="85" w:type="dxa"/>
            </w:tcMar>
          </w:tcPr>
          <w:p w14:paraId="0468CEC1"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500</w:t>
            </w:r>
          </w:p>
        </w:tc>
      </w:tr>
      <w:tr w:rsidR="009D0DC1" w:rsidRPr="009E064B" w14:paraId="481D4EB5" w14:textId="77777777" w:rsidTr="002E1847">
        <w:trPr>
          <w:jc w:val="center"/>
        </w:trPr>
        <w:tc>
          <w:tcPr>
            <w:tcW w:w="2122" w:type="dxa"/>
            <w:tcMar>
              <w:top w:w="85" w:type="dxa"/>
              <w:bottom w:w="85" w:type="dxa"/>
            </w:tcMar>
          </w:tcPr>
          <w:p w14:paraId="312A5D49"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Airbus A319</w:t>
            </w:r>
          </w:p>
        </w:tc>
        <w:tc>
          <w:tcPr>
            <w:tcW w:w="1984" w:type="dxa"/>
            <w:tcMar>
              <w:top w:w="85" w:type="dxa"/>
              <w:bottom w:w="85" w:type="dxa"/>
            </w:tcMar>
          </w:tcPr>
          <w:p w14:paraId="414980A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33.8 m</w:t>
            </w:r>
          </w:p>
        </w:tc>
        <w:tc>
          <w:tcPr>
            <w:tcW w:w="1843" w:type="dxa"/>
            <w:tcMar>
              <w:top w:w="85" w:type="dxa"/>
              <w:bottom w:w="85" w:type="dxa"/>
            </w:tcMar>
          </w:tcPr>
          <w:p w14:paraId="3BD8626D"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4.0 m</w:t>
            </w:r>
          </w:p>
        </w:tc>
        <w:tc>
          <w:tcPr>
            <w:tcW w:w="1276" w:type="dxa"/>
            <w:tcMar>
              <w:top w:w="85" w:type="dxa"/>
              <w:bottom w:w="85" w:type="dxa"/>
            </w:tcMar>
          </w:tcPr>
          <w:p w14:paraId="7744C37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w:t>
            </w:r>
          </w:p>
        </w:tc>
        <w:tc>
          <w:tcPr>
            <w:tcW w:w="1153" w:type="dxa"/>
            <w:tcMar>
              <w:top w:w="85" w:type="dxa"/>
              <w:bottom w:w="85" w:type="dxa"/>
            </w:tcMar>
          </w:tcPr>
          <w:p w14:paraId="240AA9B5"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bl>
    <w:p w14:paraId="27615A4F" w14:textId="77777777" w:rsidR="009D0DC1" w:rsidRPr="009E064B" w:rsidRDefault="009D0DC1" w:rsidP="00B06A9A">
      <w:pPr>
        <w:widowControl/>
        <w:rPr>
          <w:rFonts w:asciiTheme="minorHAnsi" w:eastAsia="Calibri" w:hAnsiTheme="minorHAnsi" w:cstheme="minorHAnsi"/>
        </w:rPr>
      </w:pPr>
    </w:p>
    <w:p w14:paraId="5CD25965" w14:textId="29F4083B"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Najdłuższe samoloty są klasyfikowane poprzez</w:t>
      </w:r>
      <w:r w:rsidR="00371A8B" w:rsidRPr="009E064B">
        <w:rPr>
          <w:rFonts w:asciiTheme="minorHAnsi" w:eastAsia="Calibri" w:hAnsiTheme="minorHAnsi" w:cstheme="minorHAnsi"/>
        </w:rPr>
        <w:t xml:space="preserve"> określenie, przy użyciu Tabeli </w:t>
      </w:r>
      <w:r w:rsidRPr="009E064B">
        <w:rPr>
          <w:rFonts w:asciiTheme="minorHAnsi" w:eastAsia="Calibri" w:hAnsiTheme="minorHAnsi" w:cstheme="minorHAnsi"/>
        </w:rPr>
        <w:t>1 w</w:t>
      </w:r>
      <w:r w:rsidR="009B2994" w:rsidRPr="009E064B">
        <w:rPr>
          <w:rFonts w:asciiTheme="minorHAnsi" w:eastAsia="Calibri" w:hAnsiTheme="minorHAnsi" w:cstheme="minorHAnsi"/>
        </w:rPr>
        <w:t>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w pierwszej kolejności ich długości całkowitej, a następnie szerokości kadłuba, do momentu osiągnięcia 700 operacji lotniczych. Jak widać, liczba operacji lotniczych najdłuższych samolotów o najwyższej kategorii wynosi jedynie 300. W takim przypadku minimalna kategoria dla lotniska to kategoria 6, co stanowi o jedną kategorię mniej od najdłuższego samolotu.</w:t>
      </w:r>
    </w:p>
    <w:p w14:paraId="48EA72B7" w14:textId="77777777" w:rsidR="00371A8B" w:rsidRPr="009E064B" w:rsidRDefault="00371A8B" w:rsidP="00371A8B">
      <w:pPr>
        <w:widowControl/>
        <w:spacing w:after="0"/>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348"/>
        <w:gridCol w:w="1507"/>
        <w:gridCol w:w="1611"/>
        <w:gridCol w:w="1404"/>
        <w:gridCol w:w="1508"/>
      </w:tblGrid>
      <w:tr w:rsidR="009D0DC1" w:rsidRPr="009E064B" w14:paraId="2E3D34E1" w14:textId="77777777" w:rsidTr="00C0606B">
        <w:trPr>
          <w:trHeight w:val="532"/>
          <w:jc w:val="center"/>
        </w:trPr>
        <w:tc>
          <w:tcPr>
            <w:tcW w:w="2348" w:type="dxa"/>
            <w:tcMar>
              <w:top w:w="85" w:type="dxa"/>
              <w:bottom w:w="85" w:type="dxa"/>
            </w:tcMar>
            <w:vAlign w:val="center"/>
          </w:tcPr>
          <w:p w14:paraId="0CBC6996"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Samolot</w:t>
            </w:r>
          </w:p>
        </w:tc>
        <w:tc>
          <w:tcPr>
            <w:tcW w:w="1507" w:type="dxa"/>
            <w:tcMar>
              <w:top w:w="85" w:type="dxa"/>
              <w:bottom w:w="85" w:type="dxa"/>
            </w:tcMar>
            <w:vAlign w:val="center"/>
          </w:tcPr>
          <w:p w14:paraId="332B5691"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Długość całkowita</w:t>
            </w:r>
          </w:p>
        </w:tc>
        <w:tc>
          <w:tcPr>
            <w:tcW w:w="1611" w:type="dxa"/>
            <w:tcMar>
              <w:top w:w="85" w:type="dxa"/>
              <w:bottom w:w="85" w:type="dxa"/>
            </w:tcMar>
            <w:vAlign w:val="center"/>
          </w:tcPr>
          <w:p w14:paraId="20A4BF8F"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Szerokość kadłuba</w:t>
            </w:r>
          </w:p>
        </w:tc>
        <w:tc>
          <w:tcPr>
            <w:tcW w:w="1404" w:type="dxa"/>
            <w:tcMar>
              <w:top w:w="85" w:type="dxa"/>
              <w:bottom w:w="85" w:type="dxa"/>
            </w:tcMar>
            <w:vAlign w:val="center"/>
          </w:tcPr>
          <w:p w14:paraId="6B55A458"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Kategoria</w:t>
            </w:r>
          </w:p>
        </w:tc>
        <w:tc>
          <w:tcPr>
            <w:tcW w:w="1508" w:type="dxa"/>
            <w:tcMar>
              <w:top w:w="85" w:type="dxa"/>
              <w:bottom w:w="85" w:type="dxa"/>
            </w:tcMar>
            <w:vAlign w:val="center"/>
          </w:tcPr>
          <w:p w14:paraId="4F8EA42D"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Operacje lotnicze</w:t>
            </w:r>
          </w:p>
        </w:tc>
      </w:tr>
      <w:tr w:rsidR="009D0DC1" w:rsidRPr="009E064B" w14:paraId="6156BB0D" w14:textId="77777777" w:rsidTr="00C0606B">
        <w:trPr>
          <w:jc w:val="center"/>
        </w:trPr>
        <w:tc>
          <w:tcPr>
            <w:tcW w:w="2348" w:type="dxa"/>
            <w:tcMar>
              <w:top w:w="85" w:type="dxa"/>
              <w:bottom w:w="85" w:type="dxa"/>
            </w:tcMar>
          </w:tcPr>
          <w:p w14:paraId="7D22701B"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Airbus A380</w:t>
            </w:r>
          </w:p>
        </w:tc>
        <w:tc>
          <w:tcPr>
            <w:tcW w:w="1507" w:type="dxa"/>
            <w:tcMar>
              <w:top w:w="85" w:type="dxa"/>
              <w:bottom w:w="85" w:type="dxa"/>
            </w:tcMar>
          </w:tcPr>
          <w:p w14:paraId="2D33A9E1"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73.0 m</w:t>
            </w:r>
          </w:p>
        </w:tc>
        <w:tc>
          <w:tcPr>
            <w:tcW w:w="1611" w:type="dxa"/>
            <w:tcMar>
              <w:top w:w="85" w:type="dxa"/>
              <w:bottom w:w="85" w:type="dxa"/>
            </w:tcMar>
          </w:tcPr>
          <w:p w14:paraId="3208F02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7.1 m</w:t>
            </w:r>
          </w:p>
        </w:tc>
        <w:tc>
          <w:tcPr>
            <w:tcW w:w="1404" w:type="dxa"/>
            <w:tcMar>
              <w:top w:w="85" w:type="dxa"/>
              <w:bottom w:w="85" w:type="dxa"/>
            </w:tcMar>
          </w:tcPr>
          <w:p w14:paraId="1BF1289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10</w:t>
            </w:r>
          </w:p>
        </w:tc>
        <w:tc>
          <w:tcPr>
            <w:tcW w:w="1508" w:type="dxa"/>
            <w:tcMar>
              <w:top w:w="85" w:type="dxa"/>
              <w:bottom w:w="85" w:type="dxa"/>
            </w:tcMar>
          </w:tcPr>
          <w:p w14:paraId="0DADD87C"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r w:rsidR="009D0DC1" w:rsidRPr="009E064B" w14:paraId="5E6BEA21" w14:textId="77777777" w:rsidTr="00C0606B">
        <w:trPr>
          <w:jc w:val="center"/>
        </w:trPr>
        <w:tc>
          <w:tcPr>
            <w:tcW w:w="2348" w:type="dxa"/>
            <w:tcMar>
              <w:top w:w="85" w:type="dxa"/>
              <w:bottom w:w="85" w:type="dxa"/>
            </w:tcMar>
          </w:tcPr>
          <w:p w14:paraId="5752CFCB"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Boeing 747-8</w:t>
            </w:r>
          </w:p>
        </w:tc>
        <w:tc>
          <w:tcPr>
            <w:tcW w:w="1507" w:type="dxa"/>
            <w:tcMar>
              <w:top w:w="85" w:type="dxa"/>
              <w:bottom w:w="85" w:type="dxa"/>
            </w:tcMar>
          </w:tcPr>
          <w:p w14:paraId="1EFA721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76.3 m</w:t>
            </w:r>
          </w:p>
        </w:tc>
        <w:tc>
          <w:tcPr>
            <w:tcW w:w="1611" w:type="dxa"/>
            <w:tcMar>
              <w:top w:w="85" w:type="dxa"/>
              <w:bottom w:w="85" w:type="dxa"/>
            </w:tcMar>
          </w:tcPr>
          <w:p w14:paraId="08F6CF6B"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6.5 m</w:t>
            </w:r>
          </w:p>
        </w:tc>
        <w:tc>
          <w:tcPr>
            <w:tcW w:w="1404" w:type="dxa"/>
            <w:tcMar>
              <w:top w:w="85" w:type="dxa"/>
              <w:bottom w:w="85" w:type="dxa"/>
            </w:tcMar>
          </w:tcPr>
          <w:p w14:paraId="7F7FFC2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10</w:t>
            </w:r>
          </w:p>
        </w:tc>
        <w:tc>
          <w:tcPr>
            <w:tcW w:w="1508" w:type="dxa"/>
            <w:tcMar>
              <w:top w:w="85" w:type="dxa"/>
              <w:bottom w:w="85" w:type="dxa"/>
            </w:tcMar>
          </w:tcPr>
          <w:p w14:paraId="6BF984E3"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200</w:t>
            </w:r>
          </w:p>
        </w:tc>
      </w:tr>
      <w:tr w:rsidR="009D0DC1" w:rsidRPr="009E064B" w14:paraId="04362FA7" w14:textId="77777777" w:rsidTr="00C0606B">
        <w:trPr>
          <w:jc w:val="center"/>
        </w:trPr>
        <w:tc>
          <w:tcPr>
            <w:tcW w:w="2348" w:type="dxa"/>
            <w:tcMar>
              <w:top w:w="85" w:type="dxa"/>
              <w:bottom w:w="85" w:type="dxa"/>
            </w:tcMar>
          </w:tcPr>
          <w:p w14:paraId="6D01E2F4" w14:textId="77777777" w:rsidR="009D0DC1" w:rsidRPr="009E064B" w:rsidRDefault="009D0DC1" w:rsidP="00B06A9A">
            <w:pPr>
              <w:spacing w:after="0"/>
              <w:rPr>
                <w:rFonts w:asciiTheme="minorHAnsi" w:hAnsiTheme="minorHAnsi" w:cstheme="minorHAnsi"/>
              </w:rPr>
            </w:pPr>
            <w:r w:rsidRPr="009E064B">
              <w:rPr>
                <w:rFonts w:asciiTheme="minorHAnsi" w:hAnsiTheme="minorHAnsi" w:cstheme="minorHAnsi"/>
              </w:rPr>
              <w:t>Boeing 747-400</w:t>
            </w:r>
          </w:p>
        </w:tc>
        <w:tc>
          <w:tcPr>
            <w:tcW w:w="1507" w:type="dxa"/>
            <w:tcMar>
              <w:top w:w="85" w:type="dxa"/>
              <w:bottom w:w="85" w:type="dxa"/>
            </w:tcMar>
          </w:tcPr>
          <w:p w14:paraId="7C6CAB37"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70.7 m</w:t>
            </w:r>
          </w:p>
        </w:tc>
        <w:tc>
          <w:tcPr>
            <w:tcW w:w="1611" w:type="dxa"/>
            <w:tcMar>
              <w:top w:w="85" w:type="dxa"/>
              <w:bottom w:w="85" w:type="dxa"/>
            </w:tcMar>
          </w:tcPr>
          <w:p w14:paraId="6FF1517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6.5 m</w:t>
            </w:r>
          </w:p>
        </w:tc>
        <w:tc>
          <w:tcPr>
            <w:tcW w:w="1404" w:type="dxa"/>
            <w:tcMar>
              <w:top w:w="85" w:type="dxa"/>
              <w:bottom w:w="85" w:type="dxa"/>
            </w:tcMar>
          </w:tcPr>
          <w:p w14:paraId="17D03A00"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9</w:t>
            </w:r>
          </w:p>
        </w:tc>
        <w:tc>
          <w:tcPr>
            <w:tcW w:w="1508" w:type="dxa"/>
            <w:tcMar>
              <w:top w:w="85" w:type="dxa"/>
              <w:bottom w:w="85" w:type="dxa"/>
            </w:tcMar>
          </w:tcPr>
          <w:p w14:paraId="2A4DC2C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bl>
    <w:p w14:paraId="2DCEC79A" w14:textId="77777777" w:rsidR="009D0DC1" w:rsidRPr="009E064B" w:rsidRDefault="009D0DC1" w:rsidP="00B06A9A">
      <w:pPr>
        <w:widowControl/>
        <w:rPr>
          <w:rFonts w:asciiTheme="minorHAnsi" w:eastAsia="Calibri" w:hAnsiTheme="minorHAnsi" w:cstheme="minorHAnsi"/>
        </w:rPr>
      </w:pPr>
    </w:p>
    <w:p w14:paraId="70CC1FAE" w14:textId="56CD74A9" w:rsidR="009D0DC1" w:rsidRPr="009E064B" w:rsidRDefault="009D0DC1" w:rsidP="00371A8B">
      <w:pPr>
        <w:widowControl/>
        <w:spacing w:after="0"/>
        <w:rPr>
          <w:rFonts w:asciiTheme="minorHAnsi" w:eastAsia="Calibri" w:hAnsiTheme="minorHAnsi" w:cstheme="minorHAnsi"/>
        </w:rPr>
      </w:pPr>
      <w:r w:rsidRPr="009E064B">
        <w:rPr>
          <w:rFonts w:asciiTheme="minorHAnsi" w:eastAsia="Calibri" w:hAnsiTheme="minorHAnsi" w:cstheme="minorHAnsi"/>
        </w:rPr>
        <w:t>Najdłuższe samoloty są klasyfikowane poprzez</w:t>
      </w:r>
      <w:r w:rsidR="00371A8B" w:rsidRPr="009E064B">
        <w:rPr>
          <w:rFonts w:asciiTheme="minorHAnsi" w:eastAsia="Calibri" w:hAnsiTheme="minorHAnsi" w:cstheme="minorHAnsi"/>
        </w:rPr>
        <w:t xml:space="preserve"> określenie, przy użyciu Tabeli </w:t>
      </w:r>
      <w:r w:rsidRPr="009E064B">
        <w:rPr>
          <w:rFonts w:asciiTheme="minorHAnsi" w:eastAsia="Calibri" w:hAnsiTheme="minorHAnsi" w:cstheme="minorHAnsi"/>
        </w:rPr>
        <w:t>1 w</w:t>
      </w:r>
      <w:r w:rsidR="009B2994" w:rsidRPr="009E064B">
        <w:rPr>
          <w:rFonts w:asciiTheme="minorHAnsi" w:eastAsia="Calibri" w:hAnsiTheme="minorHAnsi" w:cstheme="minorHAnsi"/>
        </w:rPr>
        <w:t>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w pierwszej kolejności ich długości całkowitej, a następnie szerokości kadłuba, do momentu osiągnięcia 700 operacji lotniczych. Jak widać, liczba operacji lotniczych najdłuższych samolotów o najwyższej kategorii wynosi jedynie 500. Można również zauważyć, że podczas określania kategorii odpowiadającej długości całkowitej samolotu Airbus A380, np. kategoria 9, wybrana kategoria jest faktycznie o jedną kategorię wyższa, ponieważ szerokość kadłuba samolotu jest większa od maksymalnej szerokości kadłuba dla kategorii 9.W takim przypadku minimalna kategoria dla lotniska to kategoria 9, co stanowi o jedną kategorię mniej od najdłuższego samolotu.</w:t>
      </w:r>
    </w:p>
    <w:p w14:paraId="0E5CFD8C" w14:textId="77777777" w:rsidR="00371A8B" w:rsidRPr="009E064B" w:rsidRDefault="00371A8B" w:rsidP="00371A8B">
      <w:pPr>
        <w:widowControl/>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277"/>
        <w:gridCol w:w="1489"/>
        <w:gridCol w:w="1629"/>
        <w:gridCol w:w="1351"/>
        <w:gridCol w:w="1490"/>
      </w:tblGrid>
      <w:tr w:rsidR="009D0DC1" w:rsidRPr="009E064B" w14:paraId="40D12772" w14:textId="77777777" w:rsidTr="00C0606B">
        <w:trPr>
          <w:trHeight w:val="532"/>
          <w:jc w:val="center"/>
        </w:trPr>
        <w:tc>
          <w:tcPr>
            <w:tcW w:w="2277" w:type="dxa"/>
            <w:tcMar>
              <w:top w:w="85" w:type="dxa"/>
              <w:bottom w:w="85" w:type="dxa"/>
            </w:tcMar>
            <w:vAlign w:val="center"/>
          </w:tcPr>
          <w:p w14:paraId="61E85404"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Samolot</w:t>
            </w:r>
          </w:p>
        </w:tc>
        <w:tc>
          <w:tcPr>
            <w:tcW w:w="1489" w:type="dxa"/>
            <w:tcMar>
              <w:top w:w="85" w:type="dxa"/>
              <w:bottom w:w="85" w:type="dxa"/>
            </w:tcMar>
            <w:vAlign w:val="center"/>
          </w:tcPr>
          <w:p w14:paraId="28EBF665"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Długość całkowita</w:t>
            </w:r>
          </w:p>
        </w:tc>
        <w:tc>
          <w:tcPr>
            <w:tcW w:w="1629" w:type="dxa"/>
            <w:tcMar>
              <w:top w:w="85" w:type="dxa"/>
              <w:bottom w:w="85" w:type="dxa"/>
            </w:tcMar>
            <w:vAlign w:val="center"/>
          </w:tcPr>
          <w:p w14:paraId="7F584B77"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Szerokość kadłuba</w:t>
            </w:r>
          </w:p>
        </w:tc>
        <w:tc>
          <w:tcPr>
            <w:tcW w:w="1351" w:type="dxa"/>
            <w:tcMar>
              <w:top w:w="85" w:type="dxa"/>
              <w:bottom w:w="85" w:type="dxa"/>
            </w:tcMar>
            <w:vAlign w:val="center"/>
          </w:tcPr>
          <w:p w14:paraId="79541F12"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Kategoria</w:t>
            </w:r>
          </w:p>
        </w:tc>
        <w:tc>
          <w:tcPr>
            <w:tcW w:w="1490" w:type="dxa"/>
            <w:tcMar>
              <w:top w:w="85" w:type="dxa"/>
              <w:bottom w:w="85" w:type="dxa"/>
            </w:tcMar>
            <w:vAlign w:val="center"/>
          </w:tcPr>
          <w:p w14:paraId="2B38E5B5" w14:textId="77777777" w:rsidR="009D0DC1" w:rsidRPr="009E064B" w:rsidRDefault="009D0DC1" w:rsidP="00B06A9A">
            <w:pPr>
              <w:spacing w:after="0"/>
              <w:jc w:val="center"/>
              <w:rPr>
                <w:rFonts w:asciiTheme="minorHAnsi" w:hAnsiTheme="minorHAnsi" w:cstheme="minorHAnsi"/>
                <w:b/>
              </w:rPr>
            </w:pPr>
            <w:r w:rsidRPr="009E064B">
              <w:rPr>
                <w:rFonts w:asciiTheme="minorHAnsi" w:hAnsiTheme="minorHAnsi" w:cstheme="minorHAnsi"/>
                <w:b/>
              </w:rPr>
              <w:t>Operacje</w:t>
            </w:r>
          </w:p>
        </w:tc>
      </w:tr>
      <w:tr w:rsidR="009D0DC1" w:rsidRPr="009E064B" w14:paraId="026C2A9B" w14:textId="77777777" w:rsidTr="00C0606B">
        <w:trPr>
          <w:jc w:val="center"/>
        </w:trPr>
        <w:tc>
          <w:tcPr>
            <w:tcW w:w="2277" w:type="dxa"/>
            <w:tcMar>
              <w:top w:w="85" w:type="dxa"/>
              <w:bottom w:w="85" w:type="dxa"/>
            </w:tcMar>
          </w:tcPr>
          <w:p w14:paraId="32E32053"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Airbus A321</w:t>
            </w:r>
          </w:p>
        </w:tc>
        <w:tc>
          <w:tcPr>
            <w:tcW w:w="1489" w:type="dxa"/>
            <w:tcMar>
              <w:top w:w="85" w:type="dxa"/>
              <w:bottom w:w="85" w:type="dxa"/>
            </w:tcMar>
          </w:tcPr>
          <w:p w14:paraId="4E5BD6C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44.5 m</w:t>
            </w:r>
          </w:p>
        </w:tc>
        <w:tc>
          <w:tcPr>
            <w:tcW w:w="1629" w:type="dxa"/>
            <w:tcMar>
              <w:top w:w="85" w:type="dxa"/>
              <w:bottom w:w="85" w:type="dxa"/>
            </w:tcMar>
          </w:tcPr>
          <w:p w14:paraId="344CA80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4.0 m</w:t>
            </w:r>
          </w:p>
        </w:tc>
        <w:tc>
          <w:tcPr>
            <w:tcW w:w="1351" w:type="dxa"/>
            <w:tcMar>
              <w:top w:w="85" w:type="dxa"/>
              <w:bottom w:w="85" w:type="dxa"/>
            </w:tcMar>
          </w:tcPr>
          <w:p w14:paraId="7BD7E74A"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7</w:t>
            </w:r>
          </w:p>
        </w:tc>
        <w:tc>
          <w:tcPr>
            <w:tcW w:w="1490" w:type="dxa"/>
            <w:tcMar>
              <w:top w:w="85" w:type="dxa"/>
              <w:bottom w:w="85" w:type="dxa"/>
            </w:tcMar>
          </w:tcPr>
          <w:p w14:paraId="24D109A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100</w:t>
            </w:r>
          </w:p>
        </w:tc>
      </w:tr>
      <w:tr w:rsidR="009D0DC1" w:rsidRPr="009E064B" w14:paraId="07A998F6" w14:textId="77777777" w:rsidTr="00C0606B">
        <w:trPr>
          <w:jc w:val="center"/>
        </w:trPr>
        <w:tc>
          <w:tcPr>
            <w:tcW w:w="2277" w:type="dxa"/>
            <w:tcMar>
              <w:top w:w="85" w:type="dxa"/>
              <w:bottom w:w="85" w:type="dxa"/>
            </w:tcMar>
          </w:tcPr>
          <w:p w14:paraId="0AAB351C"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Boeing 737-900ER</w:t>
            </w:r>
          </w:p>
        </w:tc>
        <w:tc>
          <w:tcPr>
            <w:tcW w:w="1489" w:type="dxa"/>
            <w:tcMar>
              <w:top w:w="85" w:type="dxa"/>
              <w:bottom w:w="85" w:type="dxa"/>
            </w:tcMar>
          </w:tcPr>
          <w:p w14:paraId="65211A8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42.1 m</w:t>
            </w:r>
          </w:p>
        </w:tc>
        <w:tc>
          <w:tcPr>
            <w:tcW w:w="1629" w:type="dxa"/>
            <w:tcMar>
              <w:top w:w="85" w:type="dxa"/>
              <w:bottom w:w="85" w:type="dxa"/>
            </w:tcMar>
          </w:tcPr>
          <w:p w14:paraId="4202EBEC"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3.8 m</w:t>
            </w:r>
          </w:p>
        </w:tc>
        <w:tc>
          <w:tcPr>
            <w:tcW w:w="1351" w:type="dxa"/>
            <w:tcMar>
              <w:top w:w="85" w:type="dxa"/>
              <w:bottom w:w="85" w:type="dxa"/>
            </w:tcMar>
          </w:tcPr>
          <w:p w14:paraId="05218D36" w14:textId="77777777" w:rsidR="009D0DC1" w:rsidRPr="009E064B" w:rsidRDefault="009D0DC1" w:rsidP="00B06A9A">
            <w:pPr>
              <w:tabs>
                <w:tab w:val="left" w:pos="503"/>
                <w:tab w:val="center" w:pos="585"/>
              </w:tabs>
              <w:spacing w:after="0"/>
              <w:jc w:val="center"/>
              <w:rPr>
                <w:rFonts w:asciiTheme="minorHAnsi" w:hAnsiTheme="minorHAnsi" w:cstheme="minorHAnsi"/>
              </w:rPr>
            </w:pPr>
            <w:r w:rsidRPr="009E064B">
              <w:rPr>
                <w:rFonts w:asciiTheme="minorHAnsi" w:hAnsiTheme="minorHAnsi" w:cstheme="minorHAnsi"/>
              </w:rPr>
              <w:t>7</w:t>
            </w:r>
          </w:p>
        </w:tc>
        <w:tc>
          <w:tcPr>
            <w:tcW w:w="1490" w:type="dxa"/>
            <w:tcMar>
              <w:top w:w="85" w:type="dxa"/>
              <w:bottom w:w="85" w:type="dxa"/>
            </w:tcMar>
          </w:tcPr>
          <w:p w14:paraId="7333073D"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300</w:t>
            </w:r>
          </w:p>
        </w:tc>
      </w:tr>
      <w:tr w:rsidR="009D0DC1" w:rsidRPr="009E064B" w14:paraId="2E3BB409" w14:textId="77777777" w:rsidTr="00C0606B">
        <w:trPr>
          <w:jc w:val="center"/>
        </w:trPr>
        <w:tc>
          <w:tcPr>
            <w:tcW w:w="2277" w:type="dxa"/>
            <w:tcMar>
              <w:top w:w="85" w:type="dxa"/>
              <w:bottom w:w="85" w:type="dxa"/>
            </w:tcMar>
          </w:tcPr>
          <w:p w14:paraId="105DDB21" w14:textId="77777777" w:rsidR="009D0DC1" w:rsidRPr="009E064B" w:rsidRDefault="009D0DC1" w:rsidP="00B06A9A">
            <w:pPr>
              <w:spacing w:after="0"/>
              <w:jc w:val="left"/>
              <w:rPr>
                <w:rFonts w:asciiTheme="minorHAnsi" w:hAnsiTheme="minorHAnsi" w:cstheme="minorHAnsi"/>
              </w:rPr>
            </w:pPr>
            <w:r w:rsidRPr="009E064B">
              <w:rPr>
                <w:rFonts w:asciiTheme="minorHAnsi" w:hAnsiTheme="minorHAnsi" w:cstheme="minorHAnsi"/>
              </w:rPr>
              <w:t>ATR 42</w:t>
            </w:r>
          </w:p>
        </w:tc>
        <w:tc>
          <w:tcPr>
            <w:tcW w:w="1489" w:type="dxa"/>
            <w:tcMar>
              <w:top w:w="85" w:type="dxa"/>
              <w:bottom w:w="85" w:type="dxa"/>
            </w:tcMar>
          </w:tcPr>
          <w:p w14:paraId="7BAC3895"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22.7 m</w:t>
            </w:r>
          </w:p>
        </w:tc>
        <w:tc>
          <w:tcPr>
            <w:tcW w:w="1629" w:type="dxa"/>
            <w:tcMar>
              <w:top w:w="85" w:type="dxa"/>
              <w:bottom w:w="85" w:type="dxa"/>
            </w:tcMar>
          </w:tcPr>
          <w:p w14:paraId="1903A3CB"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2.9 m</w:t>
            </w:r>
          </w:p>
        </w:tc>
        <w:tc>
          <w:tcPr>
            <w:tcW w:w="1351" w:type="dxa"/>
            <w:tcMar>
              <w:top w:w="85" w:type="dxa"/>
              <w:bottom w:w="85" w:type="dxa"/>
            </w:tcMar>
          </w:tcPr>
          <w:p w14:paraId="3BAF595F"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4</w:t>
            </w:r>
          </w:p>
        </w:tc>
        <w:tc>
          <w:tcPr>
            <w:tcW w:w="1490" w:type="dxa"/>
            <w:tcMar>
              <w:top w:w="85" w:type="dxa"/>
              <w:bottom w:w="85" w:type="dxa"/>
            </w:tcMar>
          </w:tcPr>
          <w:p w14:paraId="510454F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500</w:t>
            </w:r>
          </w:p>
        </w:tc>
      </w:tr>
    </w:tbl>
    <w:p w14:paraId="43769B3B" w14:textId="77777777" w:rsidR="009D0DC1" w:rsidRPr="009E064B" w:rsidRDefault="009D0DC1" w:rsidP="00B06A9A">
      <w:pPr>
        <w:widowControl/>
        <w:rPr>
          <w:rFonts w:asciiTheme="minorHAnsi" w:eastAsia="Calibri" w:hAnsiTheme="minorHAnsi" w:cstheme="minorHAnsi"/>
        </w:rPr>
      </w:pPr>
    </w:p>
    <w:p w14:paraId="382DF7BB" w14:textId="264C36D9"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Najdłuższe samoloty są klasyfikowane poprzez</w:t>
      </w:r>
      <w:r w:rsidR="00371A8B" w:rsidRPr="009E064B">
        <w:rPr>
          <w:rFonts w:asciiTheme="minorHAnsi" w:eastAsia="Calibri" w:hAnsiTheme="minorHAnsi" w:cstheme="minorHAnsi"/>
        </w:rPr>
        <w:t xml:space="preserve"> określenie, przy użyciu Tabeli </w:t>
      </w:r>
      <w:r w:rsidRPr="009E064B">
        <w:rPr>
          <w:rFonts w:asciiTheme="minorHAnsi" w:eastAsia="Calibri" w:hAnsiTheme="minorHAnsi" w:cstheme="minorHAnsi"/>
        </w:rPr>
        <w:t>1 w</w:t>
      </w:r>
      <w:r w:rsidR="00303B50" w:rsidRPr="009E064B">
        <w:rPr>
          <w:rFonts w:asciiTheme="minorHAnsi" w:eastAsia="Calibri" w:hAnsiTheme="minorHAnsi" w:cstheme="minorHAnsi"/>
        </w:rPr>
        <w:t>  </w:t>
      </w:r>
      <w:hyperlink w:anchor="_AMC2_ADR.OPS.B.010(a)(2)_" w:history="1">
        <w:r w:rsidR="00371A8B" w:rsidRPr="009E064B">
          <w:rPr>
            <w:rStyle w:val="Hipercze"/>
            <w:rFonts w:asciiTheme="minorHAnsi" w:eastAsia="Calibri" w:hAnsiTheme="minorHAnsi" w:cstheme="minorHAnsi"/>
          </w:rPr>
          <w:t>AMC2 ADR.OPS.B.010(a)(2)</w:t>
        </w:r>
      </w:hyperlink>
      <w:r w:rsidRPr="009E064B">
        <w:rPr>
          <w:rFonts w:asciiTheme="minorHAnsi" w:eastAsia="Calibri" w:hAnsiTheme="minorHAnsi" w:cstheme="minorHAnsi"/>
        </w:rPr>
        <w:t>, w pierwszej kolejności ich długości całkowitej, a następnie szerokości kadłuba, do momentu osiągnięcia 700 operacji lotniczych. Jak widać, ilość operacji lotniczych najdłuższych samolotów o najwyższej kategorii wynosi jedynie 400. Minimalna kategoria lotniska to kategoria 6. Niemniej jednak, nawet jeżeli istnieje stosunkowo duża różnica pomiędzy długością najdłuższego samolotu (Airbus A321) a samolotem, w przypadku którego uzyskano 700 operacji lotniczych (ATR 42), minimalna kategoria dla lotniska może zostać jedynie zmniejszona do kategorii 6.</w:t>
      </w:r>
    </w:p>
    <w:p w14:paraId="5F054A4C" w14:textId="77777777" w:rsidR="009D0DC1" w:rsidRPr="009E064B" w:rsidRDefault="009D0DC1" w:rsidP="002E1847">
      <w:pPr>
        <w:widowControl/>
        <w:spacing w:before="240"/>
        <w:rPr>
          <w:rFonts w:asciiTheme="minorHAnsi" w:eastAsia="Calibri" w:hAnsiTheme="minorHAnsi" w:cstheme="minorHAnsi"/>
          <w:u w:val="single"/>
        </w:rPr>
      </w:pPr>
      <w:r w:rsidRPr="009E064B">
        <w:rPr>
          <w:rFonts w:asciiTheme="minorHAnsi" w:eastAsia="Calibri" w:hAnsiTheme="minorHAnsi" w:cstheme="minorHAnsi"/>
          <w:u w:val="single"/>
        </w:rPr>
        <w:t>Przykład nr 4 – Przewidywane okresy zmniejszonej aktywności</w:t>
      </w:r>
    </w:p>
    <w:p w14:paraId="5454C17F" w14:textId="32A913B3" w:rsidR="00371A8B" w:rsidRPr="009E064B" w:rsidRDefault="009D0DC1" w:rsidP="00371A8B">
      <w:pPr>
        <w:widowControl/>
        <w:rPr>
          <w:rFonts w:asciiTheme="minorHAnsi" w:eastAsia="Calibri" w:hAnsiTheme="minorHAnsi" w:cstheme="minorHAnsi"/>
        </w:rPr>
      </w:pPr>
      <w:r w:rsidRPr="009E064B">
        <w:rPr>
          <w:rFonts w:asciiTheme="minorHAnsi" w:eastAsia="Calibri" w:hAnsiTheme="minorHAnsi" w:cstheme="minorHAnsi"/>
        </w:rPr>
        <w:t>Poziom ochrony nie powinien być mniejszy aniżeli poziom wymagany dla najwyższej kategorii samolotów planujących wykorzystanie lotniska w tym okresie. Jeżeli dla lotniska opublikowana została kategoria 7, ale pomiędzy godz. 23:00 a 6:00 największy użytkowany samolot posiada długość całkowitą wynoszącą 27.5 m oraz maksymalną szerokość kadłuba 3.9 m, opublikowana kategoria może być obniżona w tym przedziale czasowym do kategorii 5.</w:t>
      </w:r>
      <w:r w:rsidR="00371A8B" w:rsidRPr="009E064B">
        <w:rPr>
          <w:rFonts w:asciiTheme="minorHAnsi" w:eastAsia="Calibri" w:hAnsiTheme="minorHAnsi" w:cstheme="minorHAnsi"/>
        </w:rPr>
        <w:t xml:space="preserve">  </w:t>
      </w:r>
    </w:p>
    <w:p w14:paraId="602FD279" w14:textId="77777777" w:rsidR="009D0DC1" w:rsidRPr="009E064B" w:rsidRDefault="009D0DC1" w:rsidP="002E1847">
      <w:pPr>
        <w:widowControl/>
        <w:spacing w:before="240"/>
        <w:rPr>
          <w:rFonts w:asciiTheme="minorHAnsi" w:eastAsia="Calibri" w:hAnsiTheme="minorHAnsi" w:cstheme="minorHAnsi"/>
          <w:u w:val="single"/>
        </w:rPr>
      </w:pPr>
      <w:r w:rsidRPr="009E064B">
        <w:rPr>
          <w:rFonts w:asciiTheme="minorHAnsi" w:eastAsia="Calibri" w:hAnsiTheme="minorHAnsi" w:cstheme="minorHAnsi"/>
          <w:u w:val="single"/>
        </w:rPr>
        <w:t>Przykład nr 5 – Wszystkie operacje cargo oraz pocztowe, w tym przewóz materiałów niebezpiecznych</w:t>
      </w:r>
    </w:p>
    <w:p w14:paraId="7F03EA97" w14:textId="3F1A781D" w:rsidR="000209A8" w:rsidRDefault="009D0DC1" w:rsidP="000209A8">
      <w:pPr>
        <w:widowControl/>
        <w:rPr>
          <w:rFonts w:asciiTheme="minorHAnsi" w:eastAsia="Calibri" w:hAnsiTheme="minorHAnsi" w:cstheme="minorHAnsi"/>
        </w:rPr>
      </w:pPr>
      <w:r w:rsidRPr="009E064B">
        <w:rPr>
          <w:rFonts w:asciiTheme="minorHAnsi" w:eastAsia="Calibri" w:hAnsiTheme="minorHAnsi" w:cstheme="minorHAnsi"/>
        </w:rPr>
        <w:t>Samolot cargo jest samolotem eksploatowanym do transportu towaru łącznie z przewozem materiałów niebezpiecznych. Jeżeli samolot cargo posiada długość całkowitą wynoszącą 47.5 m oraz maksymalną szerokość kadłuba 4.2 m, zgodnie z Tabelą 1, wskazana jest kategoria 7. Ponieważ jest to samolot cargo, zgodnie z Tabelą 2, można zastosować zmianę kategorii na 6.</w:t>
      </w:r>
      <w:r w:rsidR="00371A8B" w:rsidRPr="009E064B">
        <w:rPr>
          <w:rFonts w:asciiTheme="minorHAnsi" w:eastAsia="Calibri" w:hAnsiTheme="minorHAnsi" w:cstheme="minorHAnsi"/>
        </w:rPr>
        <w:t xml:space="preserve"> </w:t>
      </w:r>
      <w:r w:rsidR="000209A8">
        <w:rPr>
          <w:rFonts w:asciiTheme="minorHAnsi" w:eastAsia="Calibri" w:hAnsiTheme="minorHAnsi" w:cstheme="minorHAnsi"/>
        </w:rPr>
        <w:br w:type="page"/>
      </w:r>
    </w:p>
    <w:p w14:paraId="4C2BAB7F" w14:textId="2B5B8E58" w:rsidR="009D0DC1" w:rsidRPr="009E064B" w:rsidRDefault="009D0DC1" w:rsidP="00133B99">
      <w:pPr>
        <w:pStyle w:val="Nagwek6"/>
        <w:rPr>
          <w:rFonts w:eastAsia="Calibri"/>
        </w:rPr>
      </w:pPr>
      <w:bookmarkStart w:id="586" w:name="_Toc12532818"/>
      <w:r w:rsidRPr="009E064B">
        <w:rPr>
          <w:rFonts w:eastAsia="Calibri"/>
        </w:rPr>
        <w:t xml:space="preserve">GM6 ADR.OPS.B.010(a)(2) </w:t>
      </w:r>
      <w:r w:rsidR="006A01C0" w:rsidRPr="009E064B">
        <w:rPr>
          <w:rFonts w:eastAsia="Calibri"/>
        </w:rPr>
        <w:t xml:space="preserve">    </w:t>
      </w:r>
      <w:r w:rsidRPr="009E064B">
        <w:rPr>
          <w:rFonts w:eastAsia="Calibri"/>
        </w:rPr>
        <w:t>Służby ratowniczo-gaśnicze</w:t>
      </w:r>
      <w:bookmarkEnd w:id="586"/>
    </w:p>
    <w:p w14:paraId="425EF8A9" w14:textId="1F543339"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507636D9"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OBSZAR KRYTYCZNY DO OBLICZANIA ILOŚCI WODY</w:t>
      </w:r>
    </w:p>
    <w:p w14:paraId="6222F94C" w14:textId="7ED1BB86"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rPr>
        <w:tab/>
        <w:t xml:space="preserve">Obszar krytyczny stanowi koncepcję związaną z ratowaniem osób pozostających na pokładzie statku powietrznego. Różni się ona od innych koncepcji w tym sensie, że zamiast próby opanowania i ugaszenia całego pożaru, obszar ten ma na celu kontrolowanie wyłącznie strefy ognia, która przylega do kadłuba samolotu. Ma to na celu </w:t>
      </w:r>
      <w:r w:rsidR="002E1847" w:rsidRPr="009E064B">
        <w:rPr>
          <w:rFonts w:asciiTheme="minorHAnsi" w:eastAsia="Calibri" w:hAnsiTheme="minorHAnsi" w:cstheme="minorHAnsi"/>
        </w:rPr>
        <w:t>ochronę integralności kadłuba i </w:t>
      </w:r>
      <w:r w:rsidRPr="009E064B">
        <w:rPr>
          <w:rFonts w:asciiTheme="minorHAnsi" w:eastAsia="Calibri" w:hAnsiTheme="minorHAnsi" w:cstheme="minorHAnsi"/>
        </w:rPr>
        <w:t>utrzymanie znośnych warunków dla osób znajdujących się w samolocie. Rozmiar obszaru kontrolowanego wymagany dla danego samolotu został określony przy użyciu eksperymentalnych metod.</w:t>
      </w:r>
    </w:p>
    <w:p w14:paraId="72C2C9F9" w14:textId="6185CD0A"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(b)</w:t>
      </w:r>
      <w:r w:rsidRPr="009E064B">
        <w:rPr>
          <w:rFonts w:asciiTheme="minorHAnsi" w:eastAsia="Calibri" w:hAnsiTheme="minorHAnsi" w:cstheme="minorHAnsi"/>
        </w:rPr>
        <w:tab/>
        <w:t>Istnieje potrzeba rozróżnienia pomiędzy teoretycznym obszarem krytycznym, w obrębie którego konieczne może być opanowanie pożaru, a praktycznym obszarem krytycznym, który stanowi faktyczne warunki mające miejsce podczas wypadku lotniczego. Teoretyczny obszar krytyczny służy jedynie klasyfikacji samolotów pod względem wielkości ewentualnego zagrożenia pożarowego, w którym mogą one się znaleźć. Termin ten nie ma na celu określania średniego, maksymalnego czy minimaln</w:t>
      </w:r>
      <w:r w:rsidR="00303B50" w:rsidRPr="009E064B">
        <w:rPr>
          <w:rFonts w:asciiTheme="minorHAnsi" w:eastAsia="Calibri" w:hAnsiTheme="minorHAnsi" w:cstheme="minorHAnsi"/>
        </w:rPr>
        <w:t>ego rozmiaru pożaru w związku z </w:t>
      </w:r>
      <w:r w:rsidRPr="009E064B">
        <w:rPr>
          <w:rFonts w:asciiTheme="minorHAnsi" w:eastAsia="Calibri" w:hAnsiTheme="minorHAnsi" w:cstheme="minorHAnsi"/>
        </w:rPr>
        <w:t>konkretnym samolotem. Teoretyczny obszar krytyczny ma kształt prostokąta, w którym jeden z boków to całkowita długość samolotu, a drugi to długość, która zmienia</w:t>
      </w:r>
      <w:r w:rsidR="00147E9B" w:rsidRPr="009E064B">
        <w:rPr>
          <w:rFonts w:asciiTheme="minorHAnsi" w:eastAsia="Calibri" w:hAnsiTheme="minorHAnsi" w:cstheme="minorHAnsi"/>
        </w:rPr>
        <w:t xml:space="preserve"> się w </w:t>
      </w:r>
      <w:r w:rsidR="002E1847" w:rsidRPr="009E064B">
        <w:rPr>
          <w:rFonts w:asciiTheme="minorHAnsi" w:eastAsia="Calibri" w:hAnsiTheme="minorHAnsi" w:cstheme="minorHAnsi"/>
        </w:rPr>
        <w:t>zależności od długości i </w:t>
      </w:r>
      <w:r w:rsidRPr="009E064B">
        <w:rPr>
          <w:rFonts w:asciiTheme="minorHAnsi" w:eastAsia="Calibri" w:hAnsiTheme="minorHAnsi" w:cstheme="minorHAnsi"/>
        </w:rPr>
        <w:t>szerokości kadłuba.</w:t>
      </w:r>
    </w:p>
    <w:p w14:paraId="35CB4ED8" w14:textId="34108687"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(c)</w:t>
      </w:r>
      <w:r w:rsidRPr="009E064B">
        <w:rPr>
          <w:rFonts w:asciiTheme="minorHAnsi" w:eastAsia="Calibri" w:hAnsiTheme="minorHAnsi" w:cstheme="minorHAnsi"/>
        </w:rPr>
        <w:tab/>
        <w:t>Na podstawie przeprowadzonych eksperymentów stwierd</w:t>
      </w:r>
      <w:r w:rsidR="002E1847" w:rsidRPr="009E064B">
        <w:rPr>
          <w:rFonts w:asciiTheme="minorHAnsi" w:eastAsia="Calibri" w:hAnsiTheme="minorHAnsi" w:cstheme="minorHAnsi"/>
        </w:rPr>
        <w:t>zono, że w przypadku samolotu o </w:t>
      </w:r>
      <w:r w:rsidRPr="009E064B">
        <w:rPr>
          <w:rFonts w:asciiTheme="minorHAnsi" w:eastAsia="Calibri" w:hAnsiTheme="minorHAnsi" w:cstheme="minorHAnsi"/>
        </w:rPr>
        <w:t>długości kadłuba równej lub większej niż 24 m, przy wietrze wynoszącym od 16 do 19 km/h wiejącym prostopadle do kadłuba, teoretyczny obszar krytyczny rozciąga się od kadłuba na odległość 24 m pod wiatr i 6 m z wiatrem. W przypadku mn</w:t>
      </w:r>
      <w:r w:rsidR="00371A8B" w:rsidRPr="009E064B">
        <w:rPr>
          <w:rFonts w:asciiTheme="minorHAnsi" w:eastAsia="Calibri" w:hAnsiTheme="minorHAnsi" w:cstheme="minorHAnsi"/>
        </w:rPr>
        <w:t>iejszych samolotów, odległość 6 </w:t>
      </w:r>
      <w:r w:rsidRPr="009E064B">
        <w:rPr>
          <w:rFonts w:asciiTheme="minorHAnsi" w:eastAsia="Calibri" w:hAnsiTheme="minorHAnsi" w:cstheme="minorHAnsi"/>
        </w:rPr>
        <w:t>m po obydwu stronach jest odpowiednia. Jednak w celu zapewnienia stopniowego wzrostu teoretycznego obszaru krytycznego, dokonywana jest zmiana kiedy długość kadłuba wynosi pomiędzy 12 m a 24 m.</w:t>
      </w:r>
    </w:p>
    <w:p w14:paraId="539C71D6" w14:textId="77777777"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(d)</w:t>
      </w:r>
      <w:r w:rsidRPr="009E064B">
        <w:rPr>
          <w:rFonts w:asciiTheme="minorHAnsi" w:eastAsia="Calibri" w:hAnsiTheme="minorHAnsi" w:cstheme="minorHAnsi"/>
        </w:rPr>
        <w:tab/>
        <w:t>Całkowitą długość samolotu uznaje się za odpowiednią do wyznaczenia teoretycznego obszaru krytycznego, ponieważ samolot musi być chroniony przed spaleniem na całej długości. Jeżeli tak nie jest, pożar może spalić poszycie i dostać się do kadłuba. Należy również zauważyć, że samoloty z usterzeniem ogonowym w kształcie litery T często posiadają w tej części kadłuba silniki oraz wyjścia.</w:t>
      </w:r>
    </w:p>
    <w:p w14:paraId="33C7EF84" w14:textId="77777777" w:rsidR="009D0DC1" w:rsidRPr="009E064B" w:rsidRDefault="009D0DC1" w:rsidP="002E1847">
      <w:pPr>
        <w:widowControl/>
        <w:spacing w:after="240"/>
        <w:rPr>
          <w:rFonts w:asciiTheme="minorHAnsi" w:eastAsia="Calibri" w:hAnsiTheme="minorHAnsi" w:cstheme="minorHAnsi"/>
        </w:rPr>
      </w:pPr>
      <w:r w:rsidRPr="009E064B">
        <w:rPr>
          <w:rFonts w:asciiTheme="minorHAnsi" w:eastAsia="Calibri" w:hAnsiTheme="minorHAnsi" w:cstheme="minorHAnsi"/>
        </w:rPr>
        <w:t>(e)</w:t>
      </w:r>
      <w:r w:rsidRPr="009E064B">
        <w:rPr>
          <w:rFonts w:asciiTheme="minorHAnsi" w:eastAsia="Calibri" w:hAnsiTheme="minorHAnsi" w:cstheme="minorHAnsi"/>
        </w:rPr>
        <w:tab/>
        <w:t>Wzór na teoretyczny obszar krytyczny A</w:t>
      </w:r>
      <w:r w:rsidRPr="009E064B">
        <w:rPr>
          <w:rFonts w:asciiTheme="minorHAnsi" w:eastAsia="Calibri" w:hAnsiTheme="minorHAnsi" w:cstheme="minorHAnsi"/>
          <w:vertAlign w:val="subscript"/>
        </w:rPr>
        <w:t xml:space="preserve">T </w:t>
      </w:r>
      <w:r w:rsidRPr="009E064B">
        <w:rPr>
          <w:rFonts w:asciiTheme="minorHAnsi" w:eastAsia="Calibri" w:hAnsiTheme="minorHAnsi" w:cstheme="minorHAnsi"/>
        </w:rPr>
        <w:t>powinien być następujący:</w:t>
      </w:r>
    </w:p>
    <w:tbl>
      <w:tblPr>
        <w:tblStyle w:val="Tabela-Siatka4"/>
        <w:tblW w:w="0" w:type="auto"/>
        <w:jc w:val="center"/>
        <w:tblLook w:val="04A0" w:firstRow="1" w:lastRow="0" w:firstColumn="1" w:lastColumn="0" w:noHBand="0" w:noVBand="1"/>
      </w:tblPr>
      <w:tblGrid>
        <w:gridCol w:w="2698"/>
        <w:gridCol w:w="3299"/>
      </w:tblGrid>
      <w:tr w:rsidR="009D0DC1" w:rsidRPr="009E064B" w14:paraId="630695F9" w14:textId="77777777" w:rsidTr="002E1847">
        <w:trPr>
          <w:jc w:val="center"/>
        </w:trPr>
        <w:tc>
          <w:tcPr>
            <w:tcW w:w="2698" w:type="dxa"/>
            <w:tcMar>
              <w:top w:w="85" w:type="dxa"/>
              <w:bottom w:w="85" w:type="dxa"/>
            </w:tcMar>
            <w:vAlign w:val="center"/>
          </w:tcPr>
          <w:p w14:paraId="183C6D74" w14:textId="77777777" w:rsidR="009D0DC1" w:rsidRPr="009E064B" w:rsidRDefault="009D0DC1" w:rsidP="00B06A9A">
            <w:pPr>
              <w:spacing w:after="0"/>
              <w:jc w:val="center"/>
              <w:rPr>
                <w:rFonts w:asciiTheme="minorHAnsi" w:hAnsiTheme="minorHAnsi" w:cstheme="minorHAnsi"/>
                <w:b/>
                <w:i/>
              </w:rPr>
            </w:pPr>
            <w:r w:rsidRPr="009E064B">
              <w:rPr>
                <w:rFonts w:asciiTheme="minorHAnsi" w:hAnsiTheme="minorHAnsi" w:cstheme="minorHAnsi"/>
                <w:b/>
                <w:i/>
              </w:rPr>
              <w:t>Długość całkowita</w:t>
            </w:r>
          </w:p>
        </w:tc>
        <w:tc>
          <w:tcPr>
            <w:tcW w:w="3299" w:type="dxa"/>
            <w:tcMar>
              <w:top w:w="85" w:type="dxa"/>
              <w:bottom w:w="85" w:type="dxa"/>
            </w:tcMar>
            <w:vAlign w:val="center"/>
          </w:tcPr>
          <w:p w14:paraId="613FAE17" w14:textId="77777777" w:rsidR="009D0DC1" w:rsidRPr="009E064B" w:rsidRDefault="009D0DC1" w:rsidP="00B06A9A">
            <w:pPr>
              <w:spacing w:after="0"/>
              <w:jc w:val="center"/>
              <w:rPr>
                <w:rFonts w:asciiTheme="minorHAnsi" w:hAnsiTheme="minorHAnsi" w:cstheme="minorHAnsi"/>
                <w:b/>
                <w:i/>
              </w:rPr>
            </w:pPr>
            <w:r w:rsidRPr="009E064B">
              <w:rPr>
                <w:rFonts w:asciiTheme="minorHAnsi" w:hAnsiTheme="minorHAnsi" w:cstheme="minorHAnsi"/>
                <w:b/>
                <w:i/>
              </w:rPr>
              <w:t>Teoretyczny obszar krytyczny</w:t>
            </w:r>
          </w:p>
        </w:tc>
      </w:tr>
      <w:tr w:rsidR="009D0DC1" w:rsidRPr="009E064B" w14:paraId="68ED8C1B" w14:textId="77777777" w:rsidTr="002E1847">
        <w:trPr>
          <w:jc w:val="center"/>
        </w:trPr>
        <w:tc>
          <w:tcPr>
            <w:tcW w:w="2698" w:type="dxa"/>
            <w:tcMar>
              <w:top w:w="85" w:type="dxa"/>
              <w:bottom w:w="85" w:type="dxa"/>
            </w:tcMar>
            <w:vAlign w:val="center"/>
          </w:tcPr>
          <w:p w14:paraId="0EB467B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 xml:space="preserve">L </w:t>
            </w:r>
            <w:r w:rsidRPr="009E064B">
              <w:rPr>
                <w:rFonts w:asciiTheme="minorHAnsi" w:hAnsiTheme="minorHAnsi" w:cstheme="minorHAnsi"/>
              </w:rPr>
              <w:sym w:font="Symbol" w:char="F03C"/>
            </w:r>
            <w:r w:rsidRPr="009E064B">
              <w:rPr>
                <w:rFonts w:asciiTheme="minorHAnsi" w:hAnsiTheme="minorHAnsi" w:cstheme="minorHAnsi"/>
              </w:rPr>
              <w:t xml:space="preserve"> 12 m</w:t>
            </w:r>
          </w:p>
        </w:tc>
        <w:tc>
          <w:tcPr>
            <w:tcW w:w="3299" w:type="dxa"/>
            <w:tcMar>
              <w:top w:w="85" w:type="dxa"/>
              <w:bottom w:w="85" w:type="dxa"/>
            </w:tcMar>
            <w:vAlign w:val="center"/>
          </w:tcPr>
          <w:p w14:paraId="39FAE344"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L x (12 m + W)</w:t>
            </w:r>
          </w:p>
        </w:tc>
      </w:tr>
      <w:tr w:rsidR="009D0DC1" w:rsidRPr="009E064B" w14:paraId="0A9E880F" w14:textId="77777777" w:rsidTr="002E1847">
        <w:trPr>
          <w:jc w:val="center"/>
        </w:trPr>
        <w:tc>
          <w:tcPr>
            <w:tcW w:w="2698" w:type="dxa"/>
            <w:tcMar>
              <w:top w:w="85" w:type="dxa"/>
              <w:bottom w:w="85" w:type="dxa"/>
            </w:tcMar>
            <w:vAlign w:val="center"/>
          </w:tcPr>
          <w:p w14:paraId="7C24D0EE"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 xml:space="preserve">12 m </w:t>
            </w:r>
            <w:r w:rsidRPr="009E064B">
              <w:rPr>
                <w:rFonts w:asciiTheme="minorHAnsi" w:hAnsiTheme="minorHAnsi" w:cstheme="minorHAnsi"/>
              </w:rPr>
              <w:sym w:font="Symbol" w:char="F0A3"/>
            </w:r>
            <w:r w:rsidRPr="009E064B">
              <w:rPr>
                <w:rFonts w:asciiTheme="minorHAnsi" w:hAnsiTheme="minorHAnsi" w:cstheme="minorHAnsi"/>
              </w:rPr>
              <w:t xml:space="preserve"> L </w:t>
            </w:r>
            <w:r w:rsidRPr="009E064B">
              <w:rPr>
                <w:rFonts w:asciiTheme="minorHAnsi" w:hAnsiTheme="minorHAnsi" w:cstheme="minorHAnsi"/>
              </w:rPr>
              <w:sym w:font="Symbol" w:char="F03C"/>
            </w:r>
            <w:r w:rsidRPr="009E064B">
              <w:rPr>
                <w:rFonts w:asciiTheme="minorHAnsi" w:hAnsiTheme="minorHAnsi" w:cstheme="minorHAnsi"/>
              </w:rPr>
              <w:t xml:space="preserve"> 18 m</w:t>
            </w:r>
          </w:p>
        </w:tc>
        <w:tc>
          <w:tcPr>
            <w:tcW w:w="3299" w:type="dxa"/>
            <w:tcMar>
              <w:top w:w="85" w:type="dxa"/>
              <w:bottom w:w="85" w:type="dxa"/>
            </w:tcMar>
            <w:vAlign w:val="center"/>
          </w:tcPr>
          <w:p w14:paraId="2B70349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L x (14 m + W)</w:t>
            </w:r>
          </w:p>
        </w:tc>
      </w:tr>
      <w:tr w:rsidR="009D0DC1" w:rsidRPr="009E064B" w14:paraId="46831514" w14:textId="77777777" w:rsidTr="002E1847">
        <w:trPr>
          <w:jc w:val="center"/>
        </w:trPr>
        <w:tc>
          <w:tcPr>
            <w:tcW w:w="2698" w:type="dxa"/>
            <w:tcMar>
              <w:top w:w="85" w:type="dxa"/>
              <w:bottom w:w="85" w:type="dxa"/>
            </w:tcMar>
            <w:vAlign w:val="center"/>
          </w:tcPr>
          <w:p w14:paraId="7ED65CF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 xml:space="preserve">18 m </w:t>
            </w:r>
            <w:r w:rsidRPr="009E064B">
              <w:rPr>
                <w:rFonts w:asciiTheme="minorHAnsi" w:hAnsiTheme="minorHAnsi" w:cstheme="minorHAnsi"/>
              </w:rPr>
              <w:sym w:font="Symbol" w:char="F0A3"/>
            </w:r>
            <w:r w:rsidRPr="009E064B">
              <w:rPr>
                <w:rFonts w:asciiTheme="minorHAnsi" w:hAnsiTheme="minorHAnsi" w:cstheme="minorHAnsi"/>
              </w:rPr>
              <w:t xml:space="preserve"> L </w:t>
            </w:r>
            <w:r w:rsidRPr="009E064B">
              <w:rPr>
                <w:rFonts w:asciiTheme="minorHAnsi" w:hAnsiTheme="minorHAnsi" w:cstheme="minorHAnsi"/>
              </w:rPr>
              <w:sym w:font="Symbol" w:char="F03C"/>
            </w:r>
            <w:r w:rsidRPr="009E064B">
              <w:rPr>
                <w:rFonts w:asciiTheme="minorHAnsi" w:hAnsiTheme="minorHAnsi" w:cstheme="minorHAnsi"/>
              </w:rPr>
              <w:t xml:space="preserve"> 24 m</w:t>
            </w:r>
          </w:p>
        </w:tc>
        <w:tc>
          <w:tcPr>
            <w:tcW w:w="3299" w:type="dxa"/>
            <w:tcMar>
              <w:top w:w="85" w:type="dxa"/>
              <w:bottom w:w="85" w:type="dxa"/>
            </w:tcMar>
            <w:vAlign w:val="center"/>
          </w:tcPr>
          <w:p w14:paraId="00B8A448"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L x (17 m + W)</w:t>
            </w:r>
          </w:p>
        </w:tc>
      </w:tr>
      <w:tr w:rsidR="009D0DC1" w:rsidRPr="009E064B" w14:paraId="5677594E" w14:textId="77777777" w:rsidTr="002E1847">
        <w:trPr>
          <w:jc w:val="center"/>
        </w:trPr>
        <w:tc>
          <w:tcPr>
            <w:tcW w:w="2698" w:type="dxa"/>
            <w:tcMar>
              <w:top w:w="85" w:type="dxa"/>
              <w:bottom w:w="85" w:type="dxa"/>
            </w:tcMar>
            <w:vAlign w:val="center"/>
          </w:tcPr>
          <w:p w14:paraId="2DCC7F94"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 xml:space="preserve">L </w:t>
            </w:r>
            <w:r w:rsidRPr="009E064B">
              <w:rPr>
                <w:rFonts w:asciiTheme="minorHAnsi" w:hAnsiTheme="minorHAnsi" w:cstheme="minorHAnsi"/>
              </w:rPr>
              <w:sym w:font="Symbol" w:char="F0B3"/>
            </w:r>
            <w:r w:rsidRPr="009E064B">
              <w:rPr>
                <w:rFonts w:asciiTheme="minorHAnsi" w:hAnsiTheme="minorHAnsi" w:cstheme="minorHAnsi"/>
              </w:rPr>
              <w:t xml:space="preserve"> 24 m</w:t>
            </w:r>
          </w:p>
        </w:tc>
        <w:tc>
          <w:tcPr>
            <w:tcW w:w="3299" w:type="dxa"/>
            <w:tcMar>
              <w:top w:w="85" w:type="dxa"/>
              <w:bottom w:w="85" w:type="dxa"/>
            </w:tcMar>
            <w:vAlign w:val="center"/>
          </w:tcPr>
          <w:p w14:paraId="19471182" w14:textId="77777777" w:rsidR="009D0DC1" w:rsidRPr="009E064B" w:rsidRDefault="009D0DC1" w:rsidP="00B06A9A">
            <w:pPr>
              <w:spacing w:after="0"/>
              <w:jc w:val="center"/>
              <w:rPr>
                <w:rFonts w:asciiTheme="minorHAnsi" w:hAnsiTheme="minorHAnsi" w:cstheme="minorHAnsi"/>
              </w:rPr>
            </w:pPr>
            <w:r w:rsidRPr="009E064B">
              <w:rPr>
                <w:rFonts w:asciiTheme="minorHAnsi" w:hAnsiTheme="minorHAnsi" w:cstheme="minorHAnsi"/>
              </w:rPr>
              <w:t>L x (30 m + W)</w:t>
            </w:r>
          </w:p>
        </w:tc>
      </w:tr>
    </w:tbl>
    <w:p w14:paraId="3BA9DE34" w14:textId="77777777" w:rsidR="009D0DC1" w:rsidRPr="009E064B" w:rsidRDefault="009D0DC1" w:rsidP="00B06A9A">
      <w:pPr>
        <w:widowControl/>
        <w:spacing w:before="240"/>
        <w:ind w:left="703" w:firstLine="6"/>
        <w:rPr>
          <w:rFonts w:asciiTheme="minorHAnsi" w:eastAsia="Calibri" w:hAnsiTheme="minorHAnsi" w:cstheme="minorHAnsi"/>
        </w:rPr>
      </w:pPr>
      <w:r w:rsidRPr="009E064B">
        <w:rPr>
          <w:rFonts w:asciiTheme="minorHAnsi" w:eastAsia="Calibri" w:hAnsiTheme="minorHAnsi" w:cstheme="minorHAnsi"/>
        </w:rPr>
        <w:t xml:space="preserve">gdzie </w:t>
      </w:r>
      <w:r w:rsidRPr="009E064B">
        <w:rPr>
          <w:rFonts w:asciiTheme="minorHAnsi" w:eastAsia="Calibri" w:hAnsiTheme="minorHAnsi" w:cstheme="minorHAnsi"/>
        </w:rPr>
        <w:tab/>
        <w:t>L to całkowita długość samolotu, a W to maksymalna szerokość kadłuba statku powietrznego.</w:t>
      </w:r>
    </w:p>
    <w:p w14:paraId="7EBE34B2" w14:textId="498E9060"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(f)</w:t>
      </w:r>
      <w:r w:rsidRPr="009E064B">
        <w:rPr>
          <w:rFonts w:asciiTheme="minorHAnsi" w:eastAsia="Calibri" w:hAnsiTheme="minorHAnsi" w:cstheme="minorHAnsi"/>
        </w:rPr>
        <w:tab/>
        <w:t>W praktyce rzadko zdarza się, że cały teoretyczny obszar kryt</w:t>
      </w:r>
      <w:r w:rsidR="002E1847" w:rsidRPr="009E064B">
        <w:rPr>
          <w:rFonts w:asciiTheme="minorHAnsi" w:eastAsia="Calibri" w:hAnsiTheme="minorHAnsi" w:cstheme="minorHAnsi"/>
        </w:rPr>
        <w:t>yczny jest narażony na pożar, a </w:t>
      </w:r>
      <w:r w:rsidRPr="009E064B">
        <w:rPr>
          <w:rFonts w:asciiTheme="minorHAnsi" w:eastAsia="Calibri" w:hAnsiTheme="minorHAnsi" w:cstheme="minorHAnsi"/>
        </w:rPr>
        <w:t>mniejszy obszar, dla którego proponuje się zapewnienie skuteczności gaśniczej, określany jest jako praktyczny obszar krytyczny. W wyniku analiz statystycznych wypadków lotniczych, określono, że praktyczny obszar krytyczny A</w:t>
      </w:r>
      <w:r w:rsidRPr="009E064B">
        <w:rPr>
          <w:rFonts w:asciiTheme="minorHAnsi" w:eastAsia="Calibri" w:hAnsiTheme="minorHAnsi" w:cstheme="minorHAnsi"/>
          <w:vertAlign w:val="subscript"/>
        </w:rPr>
        <w:t>P</w:t>
      </w:r>
      <w:r w:rsidRPr="009E064B">
        <w:rPr>
          <w:rFonts w:asciiTheme="minorHAnsi" w:eastAsia="Calibri" w:hAnsiTheme="minorHAnsi" w:cstheme="minorHAnsi"/>
        </w:rPr>
        <w:t xml:space="preserve"> wynosi w przybliżeniu dwie trzecie powierzchni teoretycznego obszaru krytycznego A</w:t>
      </w:r>
      <w:r w:rsidRPr="009E064B">
        <w:rPr>
          <w:rFonts w:asciiTheme="minorHAnsi" w:eastAsia="Calibri" w:hAnsiTheme="minorHAnsi" w:cstheme="minorHAnsi"/>
          <w:vertAlign w:val="subscript"/>
        </w:rPr>
        <w:t>T</w:t>
      </w:r>
      <w:r w:rsidRPr="009E064B">
        <w:rPr>
          <w:rFonts w:asciiTheme="minorHAnsi" w:eastAsia="Calibri" w:hAnsiTheme="minorHAnsi" w:cstheme="minorHAnsi"/>
        </w:rPr>
        <w:t>, lub</w:t>
      </w:r>
    </w:p>
    <w:p w14:paraId="61F89FA0" w14:textId="77777777" w:rsidR="009D0DC1" w:rsidRPr="009E064B" w:rsidRDefault="009D0DC1" w:rsidP="00F36957">
      <w:pPr>
        <w:widowControl/>
        <w:ind w:firstLine="705"/>
        <w:jc w:val="center"/>
        <w:rPr>
          <w:rFonts w:asciiTheme="minorHAnsi" w:eastAsia="Calibri" w:hAnsiTheme="minorHAnsi" w:cstheme="minorHAnsi"/>
          <w:vertAlign w:val="subscript"/>
        </w:rPr>
      </w:pPr>
      <w:r w:rsidRPr="009E064B">
        <w:rPr>
          <w:rFonts w:asciiTheme="minorHAnsi" w:eastAsia="Calibri" w:hAnsiTheme="minorHAnsi" w:cstheme="minorHAnsi"/>
        </w:rPr>
        <w:t>A</w:t>
      </w:r>
      <w:r w:rsidRPr="009E064B">
        <w:rPr>
          <w:rFonts w:asciiTheme="minorHAnsi" w:eastAsia="Calibri" w:hAnsiTheme="minorHAnsi" w:cstheme="minorHAnsi"/>
          <w:vertAlign w:val="subscript"/>
        </w:rPr>
        <w:t>P</w:t>
      </w:r>
      <w:r w:rsidRPr="009E064B">
        <w:rPr>
          <w:rFonts w:asciiTheme="minorHAnsi" w:eastAsia="Calibri" w:hAnsiTheme="minorHAnsi" w:cstheme="minorHAnsi"/>
        </w:rPr>
        <w:t xml:space="preserve"> = 0.667 A</w:t>
      </w:r>
      <w:r w:rsidRPr="009E064B">
        <w:rPr>
          <w:rFonts w:asciiTheme="minorHAnsi" w:eastAsia="Calibri" w:hAnsiTheme="minorHAnsi" w:cstheme="minorHAnsi"/>
          <w:vertAlign w:val="subscript"/>
        </w:rPr>
        <w:t>T</w:t>
      </w:r>
    </w:p>
    <w:p w14:paraId="1A10ACD9" w14:textId="77777777"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(g)</w:t>
      </w:r>
      <w:r w:rsidRPr="009E064B">
        <w:rPr>
          <w:rFonts w:asciiTheme="minorHAnsi" w:eastAsia="Calibri" w:hAnsiTheme="minorHAnsi" w:cstheme="minorHAnsi"/>
        </w:rPr>
        <w:tab/>
        <w:t>Ilość wody do produkcji piany gaśniczej może zostać obliczona na podstawie następującego wzoru:</w:t>
      </w:r>
    </w:p>
    <w:p w14:paraId="0CC3ADA5" w14:textId="77777777" w:rsidR="009D0DC1" w:rsidRPr="009E064B" w:rsidRDefault="009D0DC1" w:rsidP="00F36957">
      <w:pPr>
        <w:widowControl/>
        <w:ind w:firstLine="705"/>
        <w:jc w:val="center"/>
        <w:rPr>
          <w:rFonts w:asciiTheme="minorHAnsi" w:eastAsia="Calibri" w:hAnsiTheme="minorHAnsi" w:cstheme="minorHAnsi"/>
        </w:rPr>
      </w:pPr>
      <w:r w:rsidRPr="009E064B">
        <w:rPr>
          <w:rFonts w:asciiTheme="minorHAnsi" w:eastAsia="Calibri" w:hAnsiTheme="minorHAnsi" w:cstheme="minorHAnsi"/>
        </w:rPr>
        <w:t>Q = 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xml:space="preserve"> + Q</w:t>
      </w:r>
      <w:r w:rsidRPr="009E064B">
        <w:rPr>
          <w:rFonts w:asciiTheme="minorHAnsi" w:eastAsia="Calibri" w:hAnsiTheme="minorHAnsi" w:cstheme="minorHAnsi"/>
          <w:vertAlign w:val="subscript"/>
        </w:rPr>
        <w:t>2</w:t>
      </w:r>
      <w:r w:rsidRPr="009E064B">
        <w:rPr>
          <w:rFonts w:asciiTheme="minorHAnsi" w:eastAsia="Calibri" w:hAnsiTheme="minorHAnsi" w:cstheme="minorHAnsi"/>
        </w:rPr>
        <w:t>, gdzie:</w:t>
      </w:r>
    </w:p>
    <w:p w14:paraId="49E937E1" w14:textId="77777777" w:rsidR="009D0DC1" w:rsidRPr="009E064B" w:rsidRDefault="009D0DC1" w:rsidP="00B06A9A">
      <w:pPr>
        <w:widowControl/>
        <w:numPr>
          <w:ilvl w:val="0"/>
          <w:numId w:val="5"/>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Q to całkowita ilość wymaganej wody;</w:t>
      </w:r>
    </w:p>
    <w:p w14:paraId="1311A1A3" w14:textId="77777777" w:rsidR="009D0DC1" w:rsidRPr="009E064B" w:rsidRDefault="009D0DC1" w:rsidP="00B06A9A">
      <w:pPr>
        <w:widowControl/>
        <w:numPr>
          <w:ilvl w:val="0"/>
          <w:numId w:val="5"/>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xml:space="preserve"> to woda niezbędna do opanowania pożaru na powierzchni praktycznego obszaru krytycznego; oraz</w:t>
      </w:r>
    </w:p>
    <w:p w14:paraId="26729719" w14:textId="77777777" w:rsidR="009D0DC1" w:rsidRPr="009E064B" w:rsidRDefault="009D0DC1" w:rsidP="00B06A9A">
      <w:pPr>
        <w:widowControl/>
        <w:numPr>
          <w:ilvl w:val="0"/>
          <w:numId w:val="5"/>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Q</w:t>
      </w:r>
      <w:r w:rsidRPr="009E064B">
        <w:rPr>
          <w:rFonts w:asciiTheme="minorHAnsi" w:eastAsia="Calibri" w:hAnsiTheme="minorHAnsi" w:cstheme="minorHAnsi"/>
          <w:vertAlign w:val="subscript"/>
        </w:rPr>
        <w:t>2</w:t>
      </w:r>
      <w:r w:rsidRPr="009E064B">
        <w:rPr>
          <w:rFonts w:asciiTheme="minorHAnsi" w:eastAsia="Calibri" w:hAnsiTheme="minorHAnsi" w:cstheme="minorHAnsi"/>
        </w:rPr>
        <w:t xml:space="preserve"> to woda wymagana po opanowaniu pożaru oraz niezbędna do obrony i/lub całkowitego ugaszenia pożaru.</w:t>
      </w:r>
    </w:p>
    <w:p w14:paraId="151B6C5B" w14:textId="77777777" w:rsidR="009D0DC1" w:rsidRPr="009E064B" w:rsidRDefault="009D0DC1" w:rsidP="00B06A9A">
      <w:pPr>
        <w:widowControl/>
        <w:ind w:left="705" w:hanging="705"/>
        <w:rPr>
          <w:rFonts w:asciiTheme="minorHAnsi" w:eastAsia="Calibri" w:hAnsiTheme="minorHAnsi" w:cstheme="minorHAnsi"/>
        </w:rPr>
      </w:pPr>
      <w:r w:rsidRPr="009E064B">
        <w:rPr>
          <w:rFonts w:asciiTheme="minorHAnsi" w:eastAsia="Calibri" w:hAnsiTheme="minorHAnsi" w:cstheme="minorHAnsi"/>
        </w:rPr>
        <w:t>(h)</w:t>
      </w:r>
      <w:r w:rsidRPr="009E064B">
        <w:rPr>
          <w:rFonts w:asciiTheme="minorHAnsi" w:eastAsia="Calibri" w:hAnsiTheme="minorHAnsi" w:cstheme="minorHAnsi"/>
        </w:rPr>
        <w:tab/>
        <w:t>Ilość wody wymaganej do opanowania pożaru na powierzchni praktycznego obszaru krytycznego (Q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może być wyrażona przy pomocy następującego wzoru:</w:t>
      </w:r>
    </w:p>
    <w:p w14:paraId="5818A378" w14:textId="77777777" w:rsidR="009D0DC1" w:rsidRPr="009E064B" w:rsidRDefault="009D0DC1" w:rsidP="00F36957">
      <w:pPr>
        <w:widowControl/>
        <w:ind w:firstLine="705"/>
        <w:jc w:val="center"/>
        <w:rPr>
          <w:rFonts w:asciiTheme="minorHAnsi" w:eastAsia="Calibri" w:hAnsiTheme="minorHAnsi" w:cstheme="minorHAnsi"/>
        </w:rPr>
      </w:pPr>
      <w:r w:rsidRPr="009E064B">
        <w:rPr>
          <w:rFonts w:asciiTheme="minorHAnsi" w:eastAsia="Calibri" w:hAnsiTheme="minorHAnsi" w:cstheme="minorHAnsi"/>
        </w:rPr>
        <w:t>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xml:space="preserve"> = A</w:t>
      </w:r>
      <w:r w:rsidRPr="009E064B">
        <w:rPr>
          <w:rFonts w:asciiTheme="minorHAnsi" w:eastAsia="Calibri" w:hAnsiTheme="minorHAnsi" w:cstheme="minorHAnsi"/>
          <w:vertAlign w:val="subscript"/>
        </w:rPr>
        <w:t>p</w:t>
      </w:r>
      <w:r w:rsidRPr="009E064B">
        <w:rPr>
          <w:rFonts w:asciiTheme="minorHAnsi" w:eastAsia="Calibri" w:hAnsiTheme="minorHAnsi" w:cstheme="minorHAnsi"/>
        </w:rPr>
        <w:t xml:space="preserve"> x R x T, gdzie:</w:t>
      </w:r>
    </w:p>
    <w:p w14:paraId="44440637" w14:textId="77777777" w:rsidR="009D0DC1" w:rsidRPr="009E064B" w:rsidRDefault="009D0DC1" w:rsidP="00B06A9A">
      <w:pPr>
        <w:widowControl/>
        <w:numPr>
          <w:ilvl w:val="0"/>
          <w:numId w:val="6"/>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vertAlign w:val="subscript"/>
        </w:rPr>
        <w:t>p</w:t>
      </w:r>
      <w:r w:rsidRPr="009E064B">
        <w:rPr>
          <w:rFonts w:asciiTheme="minorHAnsi" w:eastAsia="Calibri" w:hAnsiTheme="minorHAnsi" w:cstheme="minorHAnsi"/>
        </w:rPr>
        <w:t xml:space="preserve"> to praktyczny obszar krytyczny;</w:t>
      </w:r>
    </w:p>
    <w:p w14:paraId="00AF3ABC" w14:textId="77777777" w:rsidR="009D0DC1" w:rsidRPr="009E064B" w:rsidRDefault="009D0DC1" w:rsidP="00B06A9A">
      <w:pPr>
        <w:widowControl/>
        <w:numPr>
          <w:ilvl w:val="0"/>
          <w:numId w:val="6"/>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R to intensywność podawania; oraz</w:t>
      </w:r>
    </w:p>
    <w:p w14:paraId="5D6CEE1A" w14:textId="77777777" w:rsidR="009D0DC1" w:rsidRPr="009E064B" w:rsidRDefault="009D0DC1" w:rsidP="00B06A9A">
      <w:pPr>
        <w:widowControl/>
        <w:numPr>
          <w:ilvl w:val="0"/>
          <w:numId w:val="6"/>
        </w:numPr>
        <w:spacing w:before="120"/>
        <w:ind w:left="1134" w:hanging="425"/>
        <w:jc w:val="left"/>
        <w:rPr>
          <w:rFonts w:asciiTheme="minorHAnsi" w:eastAsia="Calibri" w:hAnsiTheme="minorHAnsi" w:cstheme="minorHAnsi"/>
        </w:rPr>
      </w:pPr>
      <w:r w:rsidRPr="009E064B">
        <w:rPr>
          <w:rFonts w:asciiTheme="minorHAnsi" w:eastAsia="Calibri" w:hAnsiTheme="minorHAnsi" w:cstheme="minorHAnsi"/>
        </w:rPr>
        <w:t>T to czas podawania.</w:t>
      </w:r>
    </w:p>
    <w:p w14:paraId="36F730F1" w14:textId="77777777" w:rsidR="009D0DC1" w:rsidRPr="009E064B" w:rsidRDefault="009D0DC1" w:rsidP="00B06A9A">
      <w:pPr>
        <w:widowControl/>
        <w:ind w:left="709" w:hanging="709"/>
        <w:rPr>
          <w:rFonts w:asciiTheme="minorHAnsi" w:eastAsia="Calibri" w:hAnsiTheme="minorHAnsi" w:cstheme="minorHAnsi"/>
        </w:rPr>
      </w:pPr>
      <w:r w:rsidRPr="009E064B">
        <w:rPr>
          <w:rFonts w:asciiTheme="minorHAnsi" w:eastAsia="Calibri" w:hAnsiTheme="minorHAnsi" w:cstheme="minorHAnsi"/>
        </w:rPr>
        <w:t>(i)</w:t>
      </w:r>
      <w:r w:rsidRPr="009E064B">
        <w:rPr>
          <w:rFonts w:asciiTheme="minorHAnsi" w:eastAsia="Calibri" w:hAnsiTheme="minorHAnsi" w:cstheme="minorHAnsi"/>
        </w:rPr>
        <w:tab/>
        <w:t>Ilość wody wymaganej dla Q</w:t>
      </w:r>
      <w:r w:rsidRPr="009E064B">
        <w:rPr>
          <w:rFonts w:asciiTheme="minorHAnsi" w:eastAsia="Calibri" w:hAnsiTheme="minorHAnsi" w:cstheme="minorHAnsi"/>
          <w:vertAlign w:val="subscript"/>
        </w:rPr>
        <w:t xml:space="preserve">2 </w:t>
      </w:r>
      <w:r w:rsidRPr="009E064B">
        <w:rPr>
          <w:rFonts w:asciiTheme="minorHAnsi" w:eastAsia="Calibri" w:hAnsiTheme="minorHAnsi" w:cstheme="minorHAnsi"/>
        </w:rPr>
        <w:t>nie może być dokładnie obliczona, ponieważ jest ona uzależniona od szeregu zmiennych. Czynniki uznawane za najbardziej istotne to:</w:t>
      </w:r>
    </w:p>
    <w:p w14:paraId="441D5628" w14:textId="77777777" w:rsidR="009D0DC1" w:rsidRPr="009E064B" w:rsidRDefault="009D0DC1" w:rsidP="00B06A9A">
      <w:pPr>
        <w:widowControl/>
        <w:numPr>
          <w:ilvl w:val="0"/>
          <w:numId w:val="7"/>
        </w:numPr>
        <w:spacing w:before="120"/>
        <w:ind w:left="1276" w:hanging="567"/>
        <w:rPr>
          <w:rFonts w:asciiTheme="minorHAnsi" w:eastAsia="Calibri" w:hAnsiTheme="minorHAnsi" w:cstheme="minorHAnsi"/>
        </w:rPr>
      </w:pPr>
      <w:r w:rsidRPr="009E064B">
        <w:rPr>
          <w:rFonts w:asciiTheme="minorHAnsi" w:eastAsia="Calibri" w:hAnsiTheme="minorHAnsi" w:cstheme="minorHAnsi"/>
        </w:rPr>
        <w:t>maksymalna masa statku powietrznego brutto;</w:t>
      </w:r>
    </w:p>
    <w:p w14:paraId="347F16BF" w14:textId="77777777" w:rsidR="009D0DC1" w:rsidRPr="009E064B" w:rsidRDefault="009D0DC1" w:rsidP="00B06A9A">
      <w:pPr>
        <w:widowControl/>
        <w:numPr>
          <w:ilvl w:val="0"/>
          <w:numId w:val="7"/>
        </w:numPr>
        <w:spacing w:before="120"/>
        <w:ind w:left="1276" w:hanging="567"/>
        <w:rPr>
          <w:rFonts w:asciiTheme="minorHAnsi" w:eastAsia="Calibri" w:hAnsiTheme="minorHAnsi" w:cstheme="minorHAnsi"/>
        </w:rPr>
      </w:pPr>
      <w:r w:rsidRPr="009E064B">
        <w:rPr>
          <w:rFonts w:asciiTheme="minorHAnsi" w:eastAsia="Calibri" w:hAnsiTheme="minorHAnsi" w:cstheme="minorHAnsi"/>
        </w:rPr>
        <w:t>maksymalna liczba pasażerów;</w:t>
      </w:r>
    </w:p>
    <w:p w14:paraId="0A986B8A" w14:textId="77777777" w:rsidR="009D0DC1" w:rsidRPr="009E064B" w:rsidRDefault="009D0DC1" w:rsidP="00B06A9A">
      <w:pPr>
        <w:widowControl/>
        <w:numPr>
          <w:ilvl w:val="0"/>
          <w:numId w:val="7"/>
        </w:numPr>
        <w:spacing w:before="120"/>
        <w:ind w:left="1276" w:hanging="567"/>
        <w:rPr>
          <w:rFonts w:asciiTheme="minorHAnsi" w:eastAsia="Calibri" w:hAnsiTheme="minorHAnsi" w:cstheme="minorHAnsi"/>
        </w:rPr>
      </w:pPr>
      <w:r w:rsidRPr="009E064B">
        <w:rPr>
          <w:rFonts w:asciiTheme="minorHAnsi" w:eastAsia="Calibri" w:hAnsiTheme="minorHAnsi" w:cstheme="minorHAnsi"/>
        </w:rPr>
        <w:t>maksymalna ilość paliwa; oraz</w:t>
      </w:r>
    </w:p>
    <w:p w14:paraId="146251EC" w14:textId="77777777" w:rsidR="009D0DC1" w:rsidRPr="009E064B" w:rsidRDefault="009D0DC1" w:rsidP="00B06A9A">
      <w:pPr>
        <w:widowControl/>
        <w:numPr>
          <w:ilvl w:val="0"/>
          <w:numId w:val="7"/>
        </w:numPr>
        <w:spacing w:before="120"/>
        <w:ind w:left="1276" w:hanging="567"/>
        <w:rPr>
          <w:rFonts w:asciiTheme="minorHAnsi" w:eastAsia="Calibri" w:hAnsiTheme="minorHAnsi" w:cstheme="minorHAnsi"/>
        </w:rPr>
      </w:pPr>
      <w:r w:rsidRPr="009E064B">
        <w:rPr>
          <w:rFonts w:asciiTheme="minorHAnsi" w:eastAsia="Calibri" w:hAnsiTheme="minorHAnsi" w:cstheme="minorHAnsi"/>
        </w:rPr>
        <w:t>wyniki dotychczasowych doświadczeń (analiza operacji ratowniczo-gaśniczych).</w:t>
      </w:r>
    </w:p>
    <w:p w14:paraId="1AED7479" w14:textId="77777777" w:rsidR="009D0DC1" w:rsidRPr="009E064B" w:rsidRDefault="009D0DC1" w:rsidP="00B06A9A">
      <w:pPr>
        <w:widowControl/>
        <w:ind w:left="708"/>
        <w:rPr>
          <w:rFonts w:asciiTheme="minorHAnsi" w:eastAsia="Calibri" w:hAnsiTheme="minorHAnsi" w:cstheme="minorHAnsi"/>
        </w:rPr>
      </w:pPr>
      <w:r w:rsidRPr="009E064B">
        <w:rPr>
          <w:rFonts w:asciiTheme="minorHAnsi" w:eastAsia="Calibri" w:hAnsiTheme="minorHAnsi" w:cstheme="minorHAnsi"/>
        </w:rPr>
        <w:t>Czynniki te, po naniesieniu na wykres, są wykorzystywane do obliczania całkowitej ilości wody wymaganej dla każdej kategorii lotniska. Ilość wody dla Q</w:t>
      </w:r>
      <w:r w:rsidRPr="009E064B">
        <w:rPr>
          <w:rFonts w:asciiTheme="minorHAnsi" w:eastAsia="Calibri" w:hAnsiTheme="minorHAnsi" w:cstheme="minorHAnsi"/>
          <w:vertAlign w:val="subscript"/>
        </w:rPr>
        <w:t>2</w:t>
      </w:r>
      <w:r w:rsidRPr="009E064B">
        <w:rPr>
          <w:rFonts w:asciiTheme="minorHAnsi" w:eastAsia="Calibri" w:hAnsiTheme="minorHAnsi" w:cstheme="minorHAnsi"/>
        </w:rPr>
        <w:t>, jako procent 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waha się od około 0% dla lotnisk kategorii 1 do około 190% dla kategorii 10.</w:t>
      </w:r>
    </w:p>
    <w:p w14:paraId="229A001A" w14:textId="1073557E" w:rsidR="00371A8B" w:rsidRPr="009E064B" w:rsidRDefault="009D0DC1" w:rsidP="00375286">
      <w:pPr>
        <w:widowControl/>
        <w:spacing w:after="360"/>
        <w:ind w:left="703" w:hanging="703"/>
        <w:rPr>
          <w:rFonts w:asciiTheme="minorHAnsi" w:eastAsia="Calibri" w:hAnsiTheme="minorHAnsi" w:cstheme="minorHAnsi"/>
        </w:rPr>
      </w:pPr>
      <w:r w:rsidRPr="009E064B">
        <w:rPr>
          <w:rFonts w:asciiTheme="minorHAnsi" w:eastAsia="Calibri" w:hAnsiTheme="minorHAnsi" w:cstheme="minorHAnsi"/>
        </w:rPr>
        <w:t>(j)</w:t>
      </w:r>
      <w:r w:rsidRPr="009E064B">
        <w:rPr>
          <w:rFonts w:asciiTheme="minorHAnsi" w:eastAsia="Calibri" w:hAnsiTheme="minorHAnsi" w:cstheme="minorHAnsi"/>
        </w:rPr>
        <w:tab/>
        <w:t>Związek pomiędzy Q</w:t>
      </w:r>
      <w:r w:rsidRPr="009E064B">
        <w:rPr>
          <w:rFonts w:asciiTheme="minorHAnsi" w:eastAsia="Calibri" w:hAnsiTheme="minorHAnsi" w:cstheme="minorHAnsi"/>
          <w:vertAlign w:val="subscript"/>
        </w:rPr>
        <w:t>1</w:t>
      </w:r>
      <w:r w:rsidRPr="009E064B">
        <w:rPr>
          <w:rFonts w:asciiTheme="minorHAnsi" w:eastAsia="Calibri" w:hAnsiTheme="minorHAnsi" w:cstheme="minorHAnsi"/>
        </w:rPr>
        <w:t xml:space="preserve"> i Q</w:t>
      </w:r>
      <w:r w:rsidRPr="009E064B">
        <w:rPr>
          <w:rFonts w:asciiTheme="minorHAnsi" w:eastAsia="Calibri" w:hAnsiTheme="minorHAnsi" w:cstheme="minorHAnsi"/>
          <w:vertAlign w:val="subscript"/>
        </w:rPr>
        <w:t>2</w:t>
      </w:r>
      <w:r w:rsidRPr="009E064B">
        <w:rPr>
          <w:rFonts w:asciiTheme="minorHAnsi" w:eastAsia="Calibri" w:hAnsiTheme="minorHAnsi" w:cstheme="minorHAnsi"/>
        </w:rPr>
        <w:t xml:space="preserve"> dla samolotów reprezentatywnych dla każdej kategorii lotniska został przedstawiony w poniższej </w:t>
      </w:r>
      <w:r w:rsidR="00F36957" w:rsidRPr="009E064B">
        <w:rPr>
          <w:rFonts w:asciiTheme="minorHAnsi" w:eastAsia="Calibri" w:hAnsiTheme="minorHAnsi" w:cstheme="minorHAnsi"/>
        </w:rPr>
        <w:t>Tabeli</w:t>
      </w:r>
      <w:r w:rsidRPr="009E064B">
        <w:rPr>
          <w:rFonts w:asciiTheme="minorHAnsi" w:eastAsia="Calibri" w:hAnsiTheme="minorHAnsi" w:cstheme="minorHAnsi"/>
        </w:rPr>
        <w:t>.</w:t>
      </w:r>
    </w:p>
    <w:p w14:paraId="33A370C8" w14:textId="31608F3F" w:rsidR="00371A8B" w:rsidRPr="009E064B" w:rsidRDefault="00371A8B">
      <w:pPr>
        <w:spacing w:after="0"/>
        <w:jc w:val="left"/>
        <w:rPr>
          <w:rFonts w:asciiTheme="minorHAnsi" w:eastAsia="Calibri" w:hAnsiTheme="minorHAnsi" w:cstheme="minorHAnsi"/>
        </w:rPr>
      </w:pPr>
    </w:p>
    <w:tbl>
      <w:tblPr>
        <w:tblStyle w:val="Tabela-Siatka4"/>
        <w:tblW w:w="0" w:type="auto"/>
        <w:jc w:val="center"/>
        <w:tblLook w:val="04A0" w:firstRow="1" w:lastRow="0" w:firstColumn="1" w:lastColumn="0" w:noHBand="0" w:noVBand="1"/>
      </w:tblPr>
      <w:tblGrid>
        <w:gridCol w:w="2513"/>
        <w:gridCol w:w="2873"/>
      </w:tblGrid>
      <w:tr w:rsidR="009D0DC1" w:rsidRPr="009E064B" w14:paraId="3E12B4D1" w14:textId="77777777" w:rsidTr="009D0DC1">
        <w:trPr>
          <w:trHeight w:val="505"/>
          <w:jc w:val="center"/>
        </w:trPr>
        <w:tc>
          <w:tcPr>
            <w:tcW w:w="2513" w:type="dxa"/>
            <w:vAlign w:val="center"/>
          </w:tcPr>
          <w:p w14:paraId="0902BD7D" w14:textId="77777777" w:rsidR="009D0DC1" w:rsidRPr="009E064B" w:rsidRDefault="009D0DC1" w:rsidP="002E1847">
            <w:pPr>
              <w:spacing w:after="0"/>
              <w:jc w:val="center"/>
              <w:rPr>
                <w:rFonts w:asciiTheme="minorHAnsi" w:hAnsiTheme="minorHAnsi" w:cstheme="minorHAnsi"/>
                <w:b/>
              </w:rPr>
            </w:pPr>
            <w:r w:rsidRPr="009E064B">
              <w:rPr>
                <w:rFonts w:asciiTheme="minorHAnsi" w:hAnsiTheme="minorHAnsi" w:cstheme="minorHAnsi"/>
                <w:b/>
              </w:rPr>
              <w:t>Kategoria lotniska</w:t>
            </w:r>
          </w:p>
        </w:tc>
        <w:tc>
          <w:tcPr>
            <w:tcW w:w="2873" w:type="dxa"/>
            <w:vAlign w:val="center"/>
          </w:tcPr>
          <w:p w14:paraId="492C284C" w14:textId="77777777" w:rsidR="009D0DC1" w:rsidRPr="009E064B" w:rsidRDefault="009D0DC1" w:rsidP="002E1847">
            <w:pPr>
              <w:spacing w:after="0"/>
              <w:jc w:val="center"/>
              <w:rPr>
                <w:rFonts w:asciiTheme="minorHAnsi" w:hAnsiTheme="minorHAnsi" w:cstheme="minorHAnsi"/>
                <w:b/>
                <w:vertAlign w:val="subscript"/>
              </w:rPr>
            </w:pPr>
            <w:r w:rsidRPr="009E064B">
              <w:rPr>
                <w:rFonts w:asciiTheme="minorHAnsi" w:hAnsiTheme="minorHAnsi" w:cstheme="minorHAnsi"/>
                <w:b/>
              </w:rPr>
              <w:t>Q</w:t>
            </w:r>
            <w:r w:rsidRPr="009E064B">
              <w:rPr>
                <w:rFonts w:asciiTheme="minorHAnsi" w:hAnsiTheme="minorHAnsi" w:cstheme="minorHAnsi"/>
                <w:b/>
                <w:vertAlign w:val="subscript"/>
              </w:rPr>
              <w:t>2</w:t>
            </w:r>
            <w:r w:rsidRPr="009E064B">
              <w:rPr>
                <w:rFonts w:asciiTheme="minorHAnsi" w:hAnsiTheme="minorHAnsi" w:cstheme="minorHAnsi"/>
                <w:b/>
              </w:rPr>
              <w:t xml:space="preserve"> = procentowi Q</w:t>
            </w:r>
            <w:r w:rsidRPr="009E064B">
              <w:rPr>
                <w:rFonts w:asciiTheme="minorHAnsi" w:hAnsiTheme="minorHAnsi" w:cstheme="minorHAnsi"/>
                <w:b/>
                <w:vertAlign w:val="subscript"/>
              </w:rPr>
              <w:t>1</w:t>
            </w:r>
          </w:p>
        </w:tc>
      </w:tr>
      <w:tr w:rsidR="009D0DC1" w:rsidRPr="009E064B" w14:paraId="7C6861E7" w14:textId="77777777" w:rsidTr="00174189">
        <w:trPr>
          <w:jc w:val="center"/>
        </w:trPr>
        <w:tc>
          <w:tcPr>
            <w:tcW w:w="2513" w:type="dxa"/>
            <w:tcMar>
              <w:top w:w="85" w:type="dxa"/>
              <w:bottom w:w="85" w:type="dxa"/>
            </w:tcMar>
            <w:vAlign w:val="center"/>
          </w:tcPr>
          <w:p w14:paraId="6EAF7B28"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w:t>
            </w:r>
          </w:p>
        </w:tc>
        <w:tc>
          <w:tcPr>
            <w:tcW w:w="2873" w:type="dxa"/>
            <w:tcMar>
              <w:top w:w="85" w:type="dxa"/>
              <w:bottom w:w="85" w:type="dxa"/>
            </w:tcMar>
            <w:vAlign w:val="center"/>
          </w:tcPr>
          <w:p w14:paraId="5D14A770"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0 %</w:t>
            </w:r>
          </w:p>
        </w:tc>
      </w:tr>
      <w:tr w:rsidR="009D0DC1" w:rsidRPr="009E064B" w14:paraId="7C282E21" w14:textId="77777777" w:rsidTr="00174189">
        <w:trPr>
          <w:jc w:val="center"/>
        </w:trPr>
        <w:tc>
          <w:tcPr>
            <w:tcW w:w="2513" w:type="dxa"/>
            <w:tcMar>
              <w:top w:w="85" w:type="dxa"/>
              <w:bottom w:w="85" w:type="dxa"/>
            </w:tcMar>
            <w:vAlign w:val="center"/>
          </w:tcPr>
          <w:p w14:paraId="4B80E28A"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2</w:t>
            </w:r>
          </w:p>
        </w:tc>
        <w:tc>
          <w:tcPr>
            <w:tcW w:w="2873" w:type="dxa"/>
            <w:tcMar>
              <w:top w:w="85" w:type="dxa"/>
              <w:bottom w:w="85" w:type="dxa"/>
            </w:tcMar>
            <w:vAlign w:val="center"/>
          </w:tcPr>
          <w:p w14:paraId="2A7F9948"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27 %</w:t>
            </w:r>
          </w:p>
        </w:tc>
      </w:tr>
      <w:tr w:rsidR="009D0DC1" w:rsidRPr="009E064B" w14:paraId="3F74030D" w14:textId="77777777" w:rsidTr="00174189">
        <w:trPr>
          <w:jc w:val="center"/>
        </w:trPr>
        <w:tc>
          <w:tcPr>
            <w:tcW w:w="2513" w:type="dxa"/>
            <w:tcMar>
              <w:top w:w="85" w:type="dxa"/>
              <w:bottom w:w="85" w:type="dxa"/>
            </w:tcMar>
            <w:vAlign w:val="center"/>
          </w:tcPr>
          <w:p w14:paraId="2C7E9310"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3</w:t>
            </w:r>
          </w:p>
        </w:tc>
        <w:tc>
          <w:tcPr>
            <w:tcW w:w="2873" w:type="dxa"/>
            <w:tcMar>
              <w:top w:w="85" w:type="dxa"/>
              <w:bottom w:w="85" w:type="dxa"/>
            </w:tcMar>
            <w:vAlign w:val="center"/>
          </w:tcPr>
          <w:p w14:paraId="0EDC9605"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30 %</w:t>
            </w:r>
          </w:p>
        </w:tc>
      </w:tr>
      <w:tr w:rsidR="009D0DC1" w:rsidRPr="009E064B" w14:paraId="1A6ACA20" w14:textId="77777777" w:rsidTr="00174189">
        <w:trPr>
          <w:jc w:val="center"/>
        </w:trPr>
        <w:tc>
          <w:tcPr>
            <w:tcW w:w="2513" w:type="dxa"/>
            <w:tcMar>
              <w:top w:w="85" w:type="dxa"/>
              <w:bottom w:w="85" w:type="dxa"/>
            </w:tcMar>
            <w:vAlign w:val="center"/>
          </w:tcPr>
          <w:p w14:paraId="60A5DD44"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4</w:t>
            </w:r>
          </w:p>
        </w:tc>
        <w:tc>
          <w:tcPr>
            <w:tcW w:w="2873" w:type="dxa"/>
            <w:tcMar>
              <w:top w:w="85" w:type="dxa"/>
              <w:bottom w:w="85" w:type="dxa"/>
            </w:tcMar>
            <w:vAlign w:val="center"/>
          </w:tcPr>
          <w:p w14:paraId="562667D9"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58 %</w:t>
            </w:r>
          </w:p>
        </w:tc>
      </w:tr>
      <w:tr w:rsidR="009D0DC1" w:rsidRPr="009E064B" w14:paraId="245F6D2E" w14:textId="77777777" w:rsidTr="00174189">
        <w:trPr>
          <w:jc w:val="center"/>
        </w:trPr>
        <w:tc>
          <w:tcPr>
            <w:tcW w:w="2513" w:type="dxa"/>
            <w:tcMar>
              <w:top w:w="85" w:type="dxa"/>
              <w:bottom w:w="85" w:type="dxa"/>
            </w:tcMar>
            <w:vAlign w:val="center"/>
          </w:tcPr>
          <w:p w14:paraId="0DD8DC62"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5</w:t>
            </w:r>
          </w:p>
        </w:tc>
        <w:tc>
          <w:tcPr>
            <w:tcW w:w="2873" w:type="dxa"/>
            <w:tcMar>
              <w:top w:w="85" w:type="dxa"/>
              <w:bottom w:w="85" w:type="dxa"/>
            </w:tcMar>
            <w:vAlign w:val="center"/>
          </w:tcPr>
          <w:p w14:paraId="538B5C44"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75 %</w:t>
            </w:r>
          </w:p>
        </w:tc>
      </w:tr>
      <w:tr w:rsidR="009D0DC1" w:rsidRPr="009E064B" w14:paraId="3CF4FAF8" w14:textId="77777777" w:rsidTr="00174189">
        <w:trPr>
          <w:jc w:val="center"/>
        </w:trPr>
        <w:tc>
          <w:tcPr>
            <w:tcW w:w="2513" w:type="dxa"/>
            <w:tcMar>
              <w:top w:w="85" w:type="dxa"/>
              <w:bottom w:w="85" w:type="dxa"/>
            </w:tcMar>
            <w:vAlign w:val="center"/>
          </w:tcPr>
          <w:p w14:paraId="7BEC3455"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6</w:t>
            </w:r>
          </w:p>
        </w:tc>
        <w:tc>
          <w:tcPr>
            <w:tcW w:w="2873" w:type="dxa"/>
            <w:tcMar>
              <w:top w:w="85" w:type="dxa"/>
              <w:bottom w:w="85" w:type="dxa"/>
            </w:tcMar>
            <w:vAlign w:val="center"/>
          </w:tcPr>
          <w:p w14:paraId="2FA08AAE"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100 %</w:t>
            </w:r>
          </w:p>
        </w:tc>
      </w:tr>
      <w:tr w:rsidR="009D0DC1" w:rsidRPr="009E064B" w14:paraId="0A8BB884" w14:textId="77777777" w:rsidTr="00174189">
        <w:trPr>
          <w:jc w:val="center"/>
        </w:trPr>
        <w:tc>
          <w:tcPr>
            <w:tcW w:w="2513" w:type="dxa"/>
            <w:tcMar>
              <w:top w:w="85" w:type="dxa"/>
              <w:bottom w:w="85" w:type="dxa"/>
            </w:tcMar>
            <w:vAlign w:val="center"/>
          </w:tcPr>
          <w:p w14:paraId="1D4CDA0E"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7</w:t>
            </w:r>
          </w:p>
        </w:tc>
        <w:tc>
          <w:tcPr>
            <w:tcW w:w="2873" w:type="dxa"/>
            <w:tcMar>
              <w:top w:w="85" w:type="dxa"/>
              <w:bottom w:w="85" w:type="dxa"/>
            </w:tcMar>
            <w:vAlign w:val="center"/>
          </w:tcPr>
          <w:p w14:paraId="28561C63"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129 %</w:t>
            </w:r>
          </w:p>
        </w:tc>
      </w:tr>
      <w:tr w:rsidR="009D0DC1" w:rsidRPr="009E064B" w14:paraId="1003E720" w14:textId="77777777" w:rsidTr="00174189">
        <w:trPr>
          <w:jc w:val="center"/>
        </w:trPr>
        <w:tc>
          <w:tcPr>
            <w:tcW w:w="2513" w:type="dxa"/>
            <w:tcMar>
              <w:top w:w="85" w:type="dxa"/>
              <w:bottom w:w="85" w:type="dxa"/>
            </w:tcMar>
            <w:vAlign w:val="center"/>
          </w:tcPr>
          <w:p w14:paraId="2D325C6C"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8</w:t>
            </w:r>
          </w:p>
        </w:tc>
        <w:tc>
          <w:tcPr>
            <w:tcW w:w="2873" w:type="dxa"/>
            <w:tcMar>
              <w:top w:w="85" w:type="dxa"/>
              <w:bottom w:w="85" w:type="dxa"/>
            </w:tcMar>
            <w:vAlign w:val="center"/>
          </w:tcPr>
          <w:p w14:paraId="0010651E"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152 %</w:t>
            </w:r>
          </w:p>
        </w:tc>
      </w:tr>
      <w:tr w:rsidR="009D0DC1" w:rsidRPr="009E064B" w14:paraId="3EF7370C" w14:textId="77777777" w:rsidTr="00174189">
        <w:trPr>
          <w:jc w:val="center"/>
        </w:trPr>
        <w:tc>
          <w:tcPr>
            <w:tcW w:w="2513" w:type="dxa"/>
            <w:tcMar>
              <w:top w:w="85" w:type="dxa"/>
              <w:bottom w:w="85" w:type="dxa"/>
            </w:tcMar>
            <w:vAlign w:val="center"/>
          </w:tcPr>
          <w:p w14:paraId="00C66516"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9</w:t>
            </w:r>
          </w:p>
        </w:tc>
        <w:tc>
          <w:tcPr>
            <w:tcW w:w="2873" w:type="dxa"/>
            <w:tcMar>
              <w:top w:w="85" w:type="dxa"/>
              <w:bottom w:w="85" w:type="dxa"/>
            </w:tcMar>
            <w:vAlign w:val="center"/>
          </w:tcPr>
          <w:p w14:paraId="5620AF70"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170 %</w:t>
            </w:r>
          </w:p>
        </w:tc>
      </w:tr>
      <w:tr w:rsidR="009D0DC1" w:rsidRPr="009E064B" w14:paraId="42AB3008" w14:textId="77777777" w:rsidTr="00174189">
        <w:trPr>
          <w:jc w:val="center"/>
        </w:trPr>
        <w:tc>
          <w:tcPr>
            <w:tcW w:w="2513" w:type="dxa"/>
            <w:tcMar>
              <w:top w:w="85" w:type="dxa"/>
              <w:bottom w:w="85" w:type="dxa"/>
            </w:tcMar>
            <w:vAlign w:val="center"/>
          </w:tcPr>
          <w:p w14:paraId="2D078E9E"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10</w:t>
            </w:r>
          </w:p>
        </w:tc>
        <w:tc>
          <w:tcPr>
            <w:tcW w:w="2873" w:type="dxa"/>
            <w:tcMar>
              <w:top w:w="85" w:type="dxa"/>
              <w:bottom w:w="85" w:type="dxa"/>
            </w:tcMar>
            <w:vAlign w:val="center"/>
          </w:tcPr>
          <w:p w14:paraId="15F71346" w14:textId="77777777" w:rsidR="009D0DC1" w:rsidRPr="009E064B" w:rsidRDefault="009D0DC1" w:rsidP="002E1847">
            <w:pPr>
              <w:spacing w:after="0"/>
              <w:jc w:val="center"/>
              <w:rPr>
                <w:rFonts w:asciiTheme="minorHAnsi" w:hAnsiTheme="minorHAnsi" w:cstheme="minorHAnsi"/>
              </w:rPr>
            </w:pPr>
            <w:r w:rsidRPr="009E064B">
              <w:rPr>
                <w:rFonts w:asciiTheme="minorHAnsi" w:hAnsiTheme="minorHAnsi" w:cstheme="minorHAnsi"/>
              </w:rPr>
              <w:t>190 %</w:t>
            </w:r>
          </w:p>
        </w:tc>
      </w:tr>
    </w:tbl>
    <w:p w14:paraId="3C5E8750" w14:textId="77777777" w:rsidR="009D0DC1" w:rsidRPr="009E064B" w:rsidRDefault="009D0DC1" w:rsidP="00303B50">
      <w:pPr>
        <w:widowControl/>
        <w:tabs>
          <w:tab w:val="left" w:pos="1134"/>
        </w:tabs>
        <w:spacing w:after="0"/>
        <w:rPr>
          <w:rFonts w:asciiTheme="minorHAnsi" w:eastAsia="Calibri" w:hAnsiTheme="minorHAnsi" w:cstheme="minorHAnsi"/>
        </w:rPr>
      </w:pPr>
    </w:p>
    <w:p w14:paraId="1179CAD4" w14:textId="1536599D" w:rsidR="009D0DC1" w:rsidRPr="009E064B" w:rsidRDefault="009D0DC1" w:rsidP="00133B99">
      <w:pPr>
        <w:pStyle w:val="Nagwek6"/>
      </w:pPr>
      <w:bookmarkStart w:id="587" w:name="_Toc492024712"/>
      <w:bookmarkStart w:id="588" w:name="_Toc12532819"/>
      <w:r w:rsidRPr="009E064B">
        <w:t xml:space="preserve">GM1 ADR.OPS.B.010(a)(3)    </w:t>
      </w:r>
      <w:r w:rsidR="006A01C0" w:rsidRPr="009E064B">
        <w:t xml:space="preserve"> </w:t>
      </w:r>
      <w:r w:rsidRPr="009E064B">
        <w:t>Służby ratowniczo-gaśnicze</w:t>
      </w:r>
      <w:bookmarkEnd w:id="587"/>
      <w:bookmarkEnd w:id="588"/>
    </w:p>
    <w:p w14:paraId="0866D46D" w14:textId="1ED1096B"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BF00FE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SZKOLENIE PERSONELU RATOWNICZO-GAŚNICZEGO</w:t>
      </w:r>
    </w:p>
    <w:p w14:paraId="739F9EA8"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Szkolenie personelu służb ratowniczo-gaśniczych może obejmować szkolenie, w co najmniej następujących obszarach:</w:t>
      </w:r>
    </w:p>
    <w:p w14:paraId="4D968FA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informacje o lotnisku;</w:t>
      </w:r>
    </w:p>
    <w:p w14:paraId="24113CC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informacje o statkach powietrznych;</w:t>
      </w:r>
    </w:p>
    <w:p w14:paraId="4454781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bezpieczeństwo personelu ratowniczo-gaśniczego;</w:t>
      </w:r>
    </w:p>
    <w:p w14:paraId="77905BED" w14:textId="77777777" w:rsidR="009D0DC1" w:rsidRPr="000209A8"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r>
      <w:r w:rsidRPr="000209A8">
        <w:rPr>
          <w:rFonts w:asciiTheme="minorHAnsi" w:eastAsia="Calibri" w:hAnsiTheme="minorHAnsi" w:cstheme="minorHAnsi"/>
        </w:rPr>
        <w:t>systemy łączności w warunkach zagrożenia na lotnisku, w tym alarmy związane z pożarem statków powietrznych;</w:t>
      </w:r>
    </w:p>
    <w:p w14:paraId="7823952C" w14:textId="5E6623A4" w:rsidR="009D0DC1" w:rsidRPr="000209A8" w:rsidRDefault="009D0DC1" w:rsidP="00A84BBF">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(e) </w:t>
      </w:r>
      <w:r w:rsidRPr="000209A8">
        <w:rPr>
          <w:rFonts w:asciiTheme="minorHAnsi" w:eastAsia="Calibri" w:hAnsiTheme="minorHAnsi" w:cstheme="minorHAnsi"/>
        </w:rPr>
        <w:tab/>
      </w:r>
      <w:r w:rsidR="00A84BBF" w:rsidRPr="000209A8">
        <w:rPr>
          <w:rFonts w:asciiTheme="minorHAnsi" w:eastAsia="Calibri" w:hAnsiTheme="minorHAnsi" w:cstheme="minorHAnsi"/>
        </w:rPr>
        <w:t>obsługa węży strażackich, prądownic, działek wodno-pianowych i innego wyposażenia</w:t>
      </w:r>
      <w:r w:rsidRPr="000209A8">
        <w:rPr>
          <w:rFonts w:asciiTheme="minorHAnsi" w:eastAsia="Calibri" w:hAnsiTheme="minorHAnsi" w:cstheme="minorHAnsi"/>
        </w:rPr>
        <w:t>;</w:t>
      </w:r>
    </w:p>
    <w:p w14:paraId="081E9F6A" w14:textId="461A8610" w:rsidR="009D0DC1" w:rsidRPr="000209A8" w:rsidRDefault="009D0DC1" w:rsidP="00B06A9A">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(f) </w:t>
      </w:r>
      <w:r w:rsidRPr="000209A8">
        <w:rPr>
          <w:rFonts w:asciiTheme="minorHAnsi" w:eastAsia="Calibri" w:hAnsiTheme="minorHAnsi" w:cstheme="minorHAnsi"/>
        </w:rPr>
        <w:tab/>
      </w:r>
      <w:r w:rsidR="00A84BBF" w:rsidRPr="000209A8">
        <w:rPr>
          <w:rFonts w:asciiTheme="minorHAnsi" w:eastAsia="Calibri" w:hAnsiTheme="minorHAnsi" w:cstheme="minorHAnsi"/>
        </w:rPr>
        <w:t>zastosowanie odpowiednich rodzajów środków gaśniczych</w:t>
      </w:r>
      <w:r w:rsidRPr="000209A8">
        <w:rPr>
          <w:rFonts w:asciiTheme="minorHAnsi" w:eastAsia="Calibri" w:hAnsiTheme="minorHAnsi" w:cstheme="minorHAnsi"/>
        </w:rPr>
        <w:t>;</w:t>
      </w:r>
    </w:p>
    <w:p w14:paraId="19D664AD" w14:textId="77777777" w:rsidR="009D0DC1" w:rsidRPr="000209A8" w:rsidRDefault="009D0DC1" w:rsidP="00B06A9A">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(g) </w:t>
      </w:r>
      <w:r w:rsidRPr="000209A8">
        <w:rPr>
          <w:rFonts w:asciiTheme="minorHAnsi" w:eastAsia="Calibri" w:hAnsiTheme="minorHAnsi" w:cstheme="minorHAnsi"/>
        </w:rPr>
        <w:tab/>
        <w:t>pomoc przy ewakuacji statku powietrznego w sytuacji zagrożenia;</w:t>
      </w:r>
    </w:p>
    <w:p w14:paraId="50E0F90B" w14:textId="162A3968" w:rsidR="009D0DC1" w:rsidRPr="009E064B" w:rsidRDefault="009D0DC1" w:rsidP="00B06A9A">
      <w:pPr>
        <w:widowControl/>
        <w:tabs>
          <w:tab w:val="left" w:pos="709"/>
        </w:tabs>
        <w:ind w:left="567" w:hanging="567"/>
        <w:rPr>
          <w:rFonts w:asciiTheme="minorHAnsi" w:eastAsia="Calibri" w:hAnsiTheme="minorHAnsi" w:cstheme="minorHAnsi"/>
        </w:rPr>
      </w:pPr>
      <w:r w:rsidRPr="000209A8">
        <w:rPr>
          <w:rFonts w:asciiTheme="minorHAnsi" w:eastAsia="Calibri" w:hAnsiTheme="minorHAnsi" w:cstheme="minorHAnsi"/>
        </w:rPr>
        <w:t xml:space="preserve">(h) </w:t>
      </w:r>
      <w:r w:rsidRPr="000209A8">
        <w:rPr>
          <w:rFonts w:asciiTheme="minorHAnsi" w:eastAsia="Calibri" w:hAnsiTheme="minorHAnsi" w:cstheme="minorHAnsi"/>
        </w:rPr>
        <w:tab/>
      </w:r>
      <w:r w:rsidR="007A0AEB" w:rsidRPr="000209A8">
        <w:rPr>
          <w:rFonts w:asciiTheme="minorHAnsi" w:eastAsia="Calibri" w:hAnsiTheme="minorHAnsi" w:cstheme="minorHAnsi"/>
        </w:rPr>
        <w:t>taktyka</w:t>
      </w:r>
      <w:r w:rsidRPr="000209A8">
        <w:rPr>
          <w:rFonts w:asciiTheme="minorHAnsi" w:eastAsia="Calibri" w:hAnsiTheme="minorHAnsi" w:cstheme="minorHAnsi"/>
        </w:rPr>
        <w:t xml:space="preserve"> gaszenia pożarów</w:t>
      </w:r>
      <w:r w:rsidRPr="009E064B">
        <w:rPr>
          <w:rFonts w:asciiTheme="minorHAnsi" w:eastAsia="Calibri" w:hAnsiTheme="minorHAnsi" w:cstheme="minorHAnsi"/>
        </w:rPr>
        <w:t>;</w:t>
      </w:r>
    </w:p>
    <w:p w14:paraId="61BEFDA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przeznaczenie i zastosowanie typowego sprzętu ratowniczo-gaśniczego do działań ratowniczo-gaśniczych statków powietrznych;</w:t>
      </w:r>
    </w:p>
    <w:p w14:paraId="7716B82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materiały niebezpieczne;</w:t>
      </w:r>
    </w:p>
    <w:p w14:paraId="3DA395FF" w14:textId="4578C61B"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 xml:space="preserve">zapoznanie z obowiązkami strażaków w ramach przyjętego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47BE2BC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procedury ograniczonej widzialności;</w:t>
      </w:r>
    </w:p>
    <w:p w14:paraId="65A270D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możliwości człowieka, w tym koordynacja zespołowa;</w:t>
      </w:r>
    </w:p>
    <w:p w14:paraId="23CF07F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odzież ochronna i ochrona dróg oddechowych;</w:t>
      </w:r>
    </w:p>
    <w:p w14:paraId="5871B39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(o) </w:t>
      </w:r>
      <w:r w:rsidRPr="009E064B">
        <w:rPr>
          <w:rFonts w:asciiTheme="minorHAnsi" w:eastAsia="Calibri" w:hAnsiTheme="minorHAnsi" w:cstheme="minorHAnsi"/>
        </w:rPr>
        <w:tab/>
        <w:t>materiały kompozytowe; oraz</w:t>
      </w:r>
    </w:p>
    <w:p w14:paraId="1D02D94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(p) </w:t>
      </w:r>
      <w:r w:rsidRPr="009E064B">
        <w:rPr>
          <w:rFonts w:asciiTheme="minorHAnsi" w:eastAsia="Calibri" w:hAnsiTheme="minorHAnsi" w:cstheme="minorHAnsi"/>
        </w:rPr>
        <w:tab/>
        <w:t>rozpoznawanie spadochronowych balistycznych systemów ratunkowych statków powietrznych podczas operacji w warunkach zagrożenia.</w:t>
      </w:r>
    </w:p>
    <w:p w14:paraId="11557E10" w14:textId="2AD57B9B" w:rsidR="009D0DC1" w:rsidRPr="009E064B" w:rsidRDefault="009D0DC1" w:rsidP="00133B99">
      <w:pPr>
        <w:pStyle w:val="Nagwek5"/>
      </w:pPr>
      <w:bookmarkStart w:id="589" w:name="_Toc492024713"/>
      <w:bookmarkStart w:id="590" w:name="_Toc12532820"/>
      <w:r w:rsidRPr="009E064B">
        <w:t xml:space="preserve">AMC1 ADR.OPS.B.010(a)(4)    </w:t>
      </w:r>
      <w:r w:rsidR="006A01C0" w:rsidRPr="009E064B">
        <w:t xml:space="preserve"> </w:t>
      </w:r>
      <w:r w:rsidRPr="009E064B">
        <w:t>Służby ratowniczo-gaśnicze</w:t>
      </w:r>
      <w:bookmarkEnd w:id="589"/>
      <w:bookmarkEnd w:id="590"/>
    </w:p>
    <w:p w14:paraId="17D1F16C" w14:textId="01F1C6B5"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C278C4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MEDYCZNE STANDARDY PERSONELU RFFS</w:t>
      </w:r>
    </w:p>
    <w:p w14:paraId="443C9984" w14:textId="61099BDA" w:rsidR="000B4068"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zapewnić, że personel RFFS spełnia odpowiednie standardy medyczne.</w:t>
      </w:r>
    </w:p>
    <w:p w14:paraId="48ACDB74" w14:textId="77777777" w:rsidR="000B4068" w:rsidRPr="009E064B" w:rsidRDefault="000B4068">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63DA3930" w14:textId="48713DA0" w:rsidR="009D0DC1" w:rsidRPr="009E064B" w:rsidRDefault="009D0DC1" w:rsidP="00133B99">
      <w:pPr>
        <w:pStyle w:val="Nagwek5"/>
      </w:pPr>
      <w:bookmarkStart w:id="591" w:name="_AMC1_ADR.OPS.B.010(b);(c)_"/>
      <w:bookmarkStart w:id="592" w:name="_Toc492024714"/>
      <w:bookmarkStart w:id="593" w:name="_Toc12532821"/>
      <w:bookmarkEnd w:id="591"/>
      <w:r w:rsidRPr="009E064B">
        <w:t xml:space="preserve">AMC1 ADR.OPS.B.010(b);(c)    </w:t>
      </w:r>
      <w:r w:rsidR="006A01C0" w:rsidRPr="009E064B">
        <w:t xml:space="preserve"> </w:t>
      </w:r>
      <w:r w:rsidRPr="009E064B">
        <w:t>Służby ratowniczo-gaśnicze</w:t>
      </w:r>
      <w:bookmarkEnd w:id="592"/>
      <w:bookmarkEnd w:id="593"/>
    </w:p>
    <w:p w14:paraId="45D0D748" w14:textId="7270AED5"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7DFADC2" w14:textId="5C3771A8"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PROGRAM SZKOLENIA PERSONELU RFFS – </w:t>
      </w:r>
      <w:r w:rsidR="009B0A08" w:rsidRPr="009E064B">
        <w:rPr>
          <w:rFonts w:asciiTheme="minorHAnsi" w:eastAsia="Calibri" w:hAnsiTheme="minorHAnsi" w:cstheme="minorHAnsi"/>
        </w:rPr>
        <w:t>WYMAGANIA OGÓLNE</w:t>
      </w:r>
    </w:p>
    <w:p w14:paraId="5B19EC0D" w14:textId="1FF7219D"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AMC1_ADR.OR.D.017(a);(b)_" w:history="1">
        <w:r w:rsidRPr="009E064B">
          <w:rPr>
            <w:rStyle w:val="Hipercze"/>
            <w:rFonts w:asciiTheme="minorHAnsi" w:eastAsia="Calibri" w:hAnsiTheme="minorHAnsi" w:cstheme="minorHAnsi"/>
          </w:rPr>
          <w:t>AMC1 ADR.OR.D.017(a);(b)</w:t>
        </w:r>
      </w:hyperlink>
      <w:r w:rsidRPr="009E064B">
        <w:rPr>
          <w:rFonts w:asciiTheme="minorHAnsi" w:eastAsia="Calibri" w:hAnsiTheme="minorHAnsi" w:cstheme="minorHAnsi"/>
        </w:rPr>
        <w:t xml:space="preserve"> stosuje się również do programu szkolenia personelu RFFS.</w:t>
      </w:r>
    </w:p>
    <w:p w14:paraId="0C81A33D"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Dodatkowo, operator lotniska powinien zagwarantować, że:</w:t>
      </w:r>
    </w:p>
    <w:p w14:paraId="64601FF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personel służb ratowniczo-gaśniczych aktywnie uczestniczy w ćwiczeniach gaszenia pożaru „na żywo”, dostosowanych do typów statków powietrznych i rodzaju sprzętu ratowniczo-gaśniczego stosowanego na danym lotnisku, włącznie z ćwiczeniami w gaszeniu ciśnieniowego pożaru paliwa; oraz</w:t>
      </w:r>
    </w:p>
    <w:p w14:paraId="56B6570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program szkolenia personelu ratowniczo-gaśniczego zawiera szkolenia w zakresie możliwości człowieka, w tym koordynacji zespołowej.</w:t>
      </w:r>
    </w:p>
    <w:p w14:paraId="2C34EE99" w14:textId="6A00B22C" w:rsidR="009D0DC1" w:rsidRPr="009E064B" w:rsidRDefault="009D0DC1" w:rsidP="00133B99">
      <w:pPr>
        <w:pStyle w:val="Nagwek5"/>
      </w:pPr>
      <w:bookmarkStart w:id="594" w:name="_Toc492024715"/>
      <w:bookmarkStart w:id="595" w:name="_Toc12532822"/>
      <w:r w:rsidRPr="009E064B">
        <w:t xml:space="preserve">AMC2 ADR.OPS.B.010(b);(c)    </w:t>
      </w:r>
      <w:r w:rsidR="006A01C0" w:rsidRPr="009E064B">
        <w:t xml:space="preserve"> </w:t>
      </w:r>
      <w:r w:rsidRPr="009E064B">
        <w:t>Służby ratowniczo-gaśnicze</w:t>
      </w:r>
      <w:bookmarkEnd w:id="594"/>
      <w:bookmarkEnd w:id="595"/>
    </w:p>
    <w:p w14:paraId="05B23BA0" w14:textId="2316757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1A62D03"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SZKOLENIA PERSONELU RFFS – SPRAWDZIANY UMIEJĘTNOŚCI SZKOLONYCH</w:t>
      </w:r>
    </w:p>
    <w:p w14:paraId="7F19954B" w14:textId="11A8BBE8"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Sprawdzenie umiejętności szkolonego personelu RFFS p</w:t>
      </w:r>
      <w:r w:rsidR="00371A8B" w:rsidRPr="009E064B">
        <w:rPr>
          <w:rFonts w:asciiTheme="minorHAnsi" w:eastAsia="Calibri" w:hAnsiTheme="minorHAnsi" w:cstheme="minorHAnsi"/>
        </w:rPr>
        <w:t>owinno być prowadzone zgodnie z  </w:t>
      </w:r>
      <w:hyperlink w:anchor="_AMC2_ADR.OR.D.017(a);(b)_" w:history="1">
        <w:r w:rsidR="00371A8B" w:rsidRPr="009E064B">
          <w:rPr>
            <w:rStyle w:val="Hipercze"/>
            <w:rFonts w:asciiTheme="minorHAnsi" w:eastAsia="Calibri" w:hAnsiTheme="minorHAnsi" w:cstheme="minorHAnsi"/>
          </w:rPr>
          <w:t>AMC2 </w:t>
        </w:r>
        <w:r w:rsidRPr="009E064B">
          <w:rPr>
            <w:rStyle w:val="Hipercze"/>
            <w:rFonts w:asciiTheme="minorHAnsi" w:eastAsia="Calibri" w:hAnsiTheme="minorHAnsi" w:cstheme="minorHAnsi"/>
          </w:rPr>
          <w:t>ADR.OR.</w:t>
        </w:r>
        <w:r w:rsidR="00371A8B" w:rsidRPr="009E064B">
          <w:rPr>
            <w:rStyle w:val="Hipercze"/>
            <w:rFonts w:asciiTheme="minorHAnsi" w:eastAsia="Calibri" w:hAnsiTheme="minorHAnsi" w:cstheme="minorHAnsi"/>
          </w:rPr>
          <w:t>D</w:t>
        </w:r>
        <w:r w:rsidRPr="009E064B">
          <w:rPr>
            <w:rStyle w:val="Hipercze"/>
            <w:rFonts w:asciiTheme="minorHAnsi" w:eastAsia="Calibri" w:hAnsiTheme="minorHAnsi" w:cstheme="minorHAnsi"/>
          </w:rPr>
          <w:t>017(a);(b)</w:t>
        </w:r>
      </w:hyperlink>
      <w:r w:rsidRPr="009E064B">
        <w:rPr>
          <w:rFonts w:asciiTheme="minorHAnsi" w:eastAsia="Calibri" w:hAnsiTheme="minorHAnsi" w:cstheme="minorHAnsi"/>
        </w:rPr>
        <w:t>.</w:t>
      </w:r>
    </w:p>
    <w:p w14:paraId="138149D9" w14:textId="35765D8D" w:rsidR="009D0DC1" w:rsidRPr="009E064B" w:rsidRDefault="009D0DC1" w:rsidP="00133B99">
      <w:pPr>
        <w:pStyle w:val="Nagwek5"/>
      </w:pPr>
      <w:bookmarkStart w:id="596" w:name="_Toc492024716"/>
      <w:bookmarkStart w:id="597" w:name="_Toc12532823"/>
      <w:r w:rsidRPr="009E064B">
        <w:t xml:space="preserve">AMC3 ADR.OPS.B.010(b);(c)    </w:t>
      </w:r>
      <w:r w:rsidR="006A01C0" w:rsidRPr="009E064B">
        <w:t xml:space="preserve"> </w:t>
      </w:r>
      <w:r w:rsidRPr="009E064B">
        <w:t>Służby ratowniczo-gaśnicze</w:t>
      </w:r>
      <w:bookmarkEnd w:id="596"/>
      <w:bookmarkEnd w:id="597"/>
    </w:p>
    <w:p w14:paraId="61FAB703" w14:textId="13917C70"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A4BDC3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ZASADY I PROCEDURY</w:t>
      </w:r>
    </w:p>
    <w:p w14:paraId="7B4CC415" w14:textId="7915FCB4"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zapewnić, że personel ratowniczo-gaśniczy zna zasady i</w:t>
      </w:r>
      <w:r w:rsidR="000849BC">
        <w:rPr>
          <w:rFonts w:asciiTheme="minorHAnsi" w:eastAsia="Calibri" w:hAnsiTheme="minorHAnsi" w:cstheme="minorHAnsi"/>
        </w:rPr>
        <w:t xml:space="preserve"> </w:t>
      </w:r>
      <w:r w:rsidRPr="009E064B">
        <w:rPr>
          <w:rFonts w:asciiTheme="minorHAnsi" w:eastAsia="Calibri" w:hAnsiTheme="minorHAnsi" w:cstheme="minorHAnsi"/>
        </w:rPr>
        <w:t>procedury dotyczące funkcjonowania lotniska i związek jego obowiązków i zakresów odpowiedzialności z funkcjonowaniem lotniska, jako całości.</w:t>
      </w:r>
    </w:p>
    <w:p w14:paraId="4B0B551C" w14:textId="4D211932" w:rsidR="00375286"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Sprawdziany umiejętności powinny weryfikować, czy personel r</w:t>
      </w:r>
      <w:r w:rsidR="002E1847" w:rsidRPr="009E064B">
        <w:rPr>
          <w:rFonts w:asciiTheme="minorHAnsi" w:eastAsia="Calibri" w:hAnsiTheme="minorHAnsi" w:cstheme="minorHAnsi"/>
        </w:rPr>
        <w:t>atowniczo-gaśniczy zna zasady i </w:t>
      </w:r>
      <w:r w:rsidRPr="009E064B">
        <w:rPr>
          <w:rFonts w:asciiTheme="minorHAnsi" w:eastAsia="Calibri" w:hAnsiTheme="minorHAnsi" w:cstheme="minorHAnsi"/>
        </w:rPr>
        <w:t>procedury odnoszące się do ich obowiązków i zakresów odpowiedzialności.</w:t>
      </w:r>
    </w:p>
    <w:p w14:paraId="0CCCFA34" w14:textId="2DA57E47" w:rsidR="009D0DC1" w:rsidRPr="009E064B" w:rsidRDefault="009D0DC1" w:rsidP="00133B99">
      <w:pPr>
        <w:pStyle w:val="Nagwek6"/>
      </w:pPr>
      <w:bookmarkStart w:id="598" w:name="_Toc492024717"/>
      <w:bookmarkStart w:id="599" w:name="_Toc12532824"/>
      <w:r w:rsidRPr="009E064B">
        <w:t xml:space="preserve">GM1 ADR.OPS.B.010(b);(c)    </w:t>
      </w:r>
      <w:r w:rsidR="006A01C0" w:rsidRPr="009E064B">
        <w:t xml:space="preserve"> </w:t>
      </w:r>
      <w:r w:rsidRPr="009E064B">
        <w:t>Służby ratowniczo-gaśnicze</w:t>
      </w:r>
      <w:bookmarkEnd w:id="598"/>
      <w:bookmarkEnd w:id="599"/>
    </w:p>
    <w:p w14:paraId="2EA74700" w14:textId="707F90B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25BA7FC" w14:textId="50687A78"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SZKOLENIA PERSONELU RFFS – SZKOLENIE OKRESOWE, ODŚWIEŻAJĄCE I S</w:t>
      </w:r>
      <w:r w:rsidR="00174189" w:rsidRPr="009E064B">
        <w:rPr>
          <w:rFonts w:asciiTheme="minorHAnsi" w:eastAsia="Calibri" w:hAnsiTheme="minorHAnsi" w:cstheme="minorHAnsi"/>
        </w:rPr>
        <w:t>ZKOLENIE W </w:t>
      </w:r>
      <w:r w:rsidRPr="009E064B">
        <w:rPr>
          <w:rFonts w:asciiTheme="minorHAnsi" w:eastAsia="Calibri" w:hAnsiTheme="minorHAnsi" w:cstheme="minorHAnsi"/>
        </w:rPr>
        <w:t>ZAKRESIE RÓŻNIC</w:t>
      </w:r>
    </w:p>
    <w:p w14:paraId="6017011B" w14:textId="771E3278" w:rsidR="00371A8B" w:rsidRPr="009E064B" w:rsidRDefault="009D0DC1" w:rsidP="00371A8B">
      <w:pPr>
        <w:widowControl/>
        <w:rPr>
          <w:rFonts w:asciiTheme="minorHAnsi" w:eastAsia="Calibri" w:hAnsiTheme="minorHAnsi" w:cstheme="minorHAnsi"/>
        </w:rPr>
      </w:pPr>
      <w:r w:rsidRPr="009E064B">
        <w:rPr>
          <w:rFonts w:asciiTheme="minorHAnsi" w:eastAsia="Calibri" w:hAnsiTheme="minorHAnsi" w:cstheme="minorHAnsi"/>
        </w:rPr>
        <w:t xml:space="preserve">Przepisy dotyczące szkolenia okresowego, odświeżającego i szkolenia w zakresie różnic zawarte </w:t>
      </w:r>
      <w:r w:rsidR="00174189" w:rsidRPr="009E064B">
        <w:rPr>
          <w:rFonts w:asciiTheme="minorHAnsi" w:eastAsia="Calibri" w:hAnsiTheme="minorHAnsi" w:cstheme="minorHAnsi"/>
        </w:rPr>
        <w:br/>
      </w:r>
      <w:r w:rsidRPr="009E064B">
        <w:rPr>
          <w:rFonts w:asciiTheme="minorHAnsi" w:eastAsia="Calibri" w:hAnsiTheme="minorHAnsi" w:cstheme="minorHAnsi"/>
        </w:rPr>
        <w:t>w</w:t>
      </w:r>
      <w:r w:rsidR="00174189" w:rsidRPr="009E064B">
        <w:rPr>
          <w:rFonts w:asciiTheme="minorHAnsi" w:eastAsia="Calibri" w:hAnsiTheme="minorHAnsi" w:cstheme="minorHAnsi"/>
        </w:rPr>
        <w:t> </w:t>
      </w:r>
      <w:hyperlink w:anchor="_GM1_ADR.OR.D.017(a);(b)_" w:history="1">
        <w:r w:rsidRPr="009E064B">
          <w:rPr>
            <w:rStyle w:val="Hipercze"/>
            <w:rFonts w:asciiTheme="minorHAnsi" w:eastAsia="Calibri" w:hAnsiTheme="minorHAnsi" w:cstheme="minorHAnsi"/>
          </w:rPr>
          <w:t>GM1 ADR.OR.D.017(a);(b)</w:t>
        </w:r>
      </w:hyperlink>
      <w:r w:rsidRPr="009E064B">
        <w:rPr>
          <w:rFonts w:asciiTheme="minorHAnsi" w:eastAsia="Calibri" w:hAnsiTheme="minorHAnsi" w:cstheme="minorHAnsi"/>
        </w:rPr>
        <w:t>, stosuje się także do personelu służb ratowniczo-gaśniczych.</w:t>
      </w:r>
      <w:r w:rsidR="00371A8B" w:rsidRPr="009E064B">
        <w:rPr>
          <w:rFonts w:asciiTheme="minorHAnsi" w:eastAsia="Calibri" w:hAnsiTheme="minorHAnsi" w:cstheme="minorHAnsi"/>
        </w:rPr>
        <w:t xml:space="preserve"> </w:t>
      </w:r>
    </w:p>
    <w:p w14:paraId="7F721416" w14:textId="28E4CDA1" w:rsidR="009D0DC1" w:rsidRPr="009E064B" w:rsidRDefault="009D0DC1" w:rsidP="00133B99">
      <w:pPr>
        <w:pStyle w:val="Nagwek6"/>
      </w:pPr>
      <w:bookmarkStart w:id="600" w:name="_Toc492024718"/>
      <w:bookmarkStart w:id="601" w:name="_Toc12532825"/>
      <w:r w:rsidRPr="009E064B">
        <w:t xml:space="preserve">GM2 ADR.OPS.B.010(b);(c)    </w:t>
      </w:r>
      <w:r w:rsidR="006A01C0" w:rsidRPr="009E064B">
        <w:t xml:space="preserve"> </w:t>
      </w:r>
      <w:r w:rsidRPr="009E064B">
        <w:t>Służby ratowniczo-gaśnicze</w:t>
      </w:r>
      <w:bookmarkEnd w:id="600"/>
      <w:bookmarkEnd w:id="601"/>
    </w:p>
    <w:p w14:paraId="56799464" w14:textId="268BAFA3"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13E98AC"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SZKOLENIA PERSONELU RFFS – SPRAWDZIANY UMIEJĘTNOŚCI SZKOLONYCH</w:t>
      </w:r>
    </w:p>
    <w:p w14:paraId="2973B7E2" w14:textId="20D8FB15" w:rsidR="000B4068"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Metody opisane w </w:t>
      </w:r>
      <w:hyperlink w:anchor="_GM2_ADR.OR.D.017(a);(b)_" w:history="1">
        <w:r w:rsidR="00371A8B" w:rsidRPr="009E064B">
          <w:rPr>
            <w:rStyle w:val="Hipercze"/>
            <w:rFonts w:asciiTheme="minorHAnsi" w:eastAsia="Calibri" w:hAnsiTheme="minorHAnsi" w:cstheme="minorHAnsi"/>
          </w:rPr>
          <w:t>GM2 </w:t>
        </w:r>
        <w:r w:rsidRPr="009E064B">
          <w:rPr>
            <w:rStyle w:val="Hipercze"/>
            <w:rFonts w:asciiTheme="minorHAnsi" w:eastAsia="Calibri" w:hAnsiTheme="minorHAnsi" w:cstheme="minorHAnsi"/>
          </w:rPr>
          <w:t>ADR.OR.D.017(a);(b)</w:t>
        </w:r>
      </w:hyperlink>
      <w:r w:rsidRPr="009E064B">
        <w:rPr>
          <w:rFonts w:asciiTheme="minorHAnsi" w:eastAsia="Calibri" w:hAnsiTheme="minorHAnsi" w:cstheme="minorHAnsi"/>
        </w:rPr>
        <w:t>, stosuje się także do sprawdzania umiejętności szkolonego personelu służb ratowniczo-gaśniczych.</w:t>
      </w:r>
    </w:p>
    <w:p w14:paraId="3F251657" w14:textId="77777777" w:rsidR="000B4068" w:rsidRPr="009E064B" w:rsidRDefault="000B4068">
      <w:pPr>
        <w:spacing w:after="0"/>
        <w:jc w:val="left"/>
        <w:rPr>
          <w:rFonts w:asciiTheme="minorHAnsi" w:eastAsia="Calibri" w:hAnsiTheme="minorHAnsi" w:cstheme="minorHAnsi"/>
        </w:rPr>
      </w:pPr>
      <w:r w:rsidRPr="009E064B">
        <w:rPr>
          <w:rFonts w:asciiTheme="minorHAnsi" w:eastAsia="Calibri" w:hAnsiTheme="minorHAnsi" w:cstheme="minorHAnsi"/>
        </w:rPr>
        <w:br w:type="page"/>
      </w:r>
    </w:p>
    <w:p w14:paraId="576211D2" w14:textId="052543B1" w:rsidR="009D0DC1" w:rsidRPr="009E064B" w:rsidRDefault="009D0DC1" w:rsidP="00133B99">
      <w:pPr>
        <w:pStyle w:val="Nagwek6"/>
      </w:pPr>
      <w:bookmarkStart w:id="602" w:name="_Toc492024719"/>
      <w:bookmarkStart w:id="603" w:name="_Toc12532826"/>
      <w:r w:rsidRPr="009E064B">
        <w:t xml:space="preserve">GM1 ADR.OPS.B.010(c)    </w:t>
      </w:r>
      <w:r w:rsidR="006A01C0" w:rsidRPr="009E064B">
        <w:t xml:space="preserve"> </w:t>
      </w:r>
      <w:r w:rsidRPr="009E064B">
        <w:t>Służby ratowniczo-gaśnicze</w:t>
      </w:r>
      <w:bookmarkEnd w:id="602"/>
      <w:bookmarkEnd w:id="603"/>
    </w:p>
    <w:p w14:paraId="68529262" w14:textId="0F5BB517"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2C6A56C"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SPRAWDZIANY UMIEJĘTNOŚCI</w:t>
      </w:r>
    </w:p>
    <w:p w14:paraId="59C508AF" w14:textId="6FFB9491"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Sprawdziany umiejętności powinny być prowadzone przez wyznaczony</w:t>
      </w:r>
      <w:r w:rsidR="00371A8B" w:rsidRPr="009E064B">
        <w:rPr>
          <w:rFonts w:asciiTheme="minorHAnsi" w:eastAsia="Calibri" w:hAnsiTheme="minorHAnsi" w:cstheme="minorHAnsi"/>
        </w:rPr>
        <w:t xml:space="preserve">ch egzaminatorów zgodnie z </w:t>
      </w:r>
      <w:hyperlink w:anchor="_AMC1_ADR.OPS.B.010(d)_" w:history="1">
        <w:r w:rsidR="00371A8B" w:rsidRPr="009E064B">
          <w:rPr>
            <w:rStyle w:val="Hipercze"/>
            <w:rFonts w:asciiTheme="minorHAnsi" w:eastAsia="Calibri" w:hAnsiTheme="minorHAnsi" w:cstheme="minorHAnsi"/>
          </w:rPr>
          <w:t>AMC1 </w:t>
        </w:r>
        <w:r w:rsidRPr="009E064B">
          <w:rPr>
            <w:rStyle w:val="Hipercze"/>
            <w:rFonts w:asciiTheme="minorHAnsi" w:eastAsia="Calibri" w:hAnsiTheme="minorHAnsi" w:cstheme="minorHAnsi"/>
          </w:rPr>
          <w:t>ADR.OPS.B.010(d)</w:t>
        </w:r>
      </w:hyperlink>
      <w:r w:rsidRPr="009E064B">
        <w:rPr>
          <w:rFonts w:asciiTheme="minorHAnsi" w:eastAsia="Calibri" w:hAnsiTheme="minorHAnsi" w:cstheme="minorHAnsi"/>
        </w:rPr>
        <w:t>.</w:t>
      </w:r>
    </w:p>
    <w:p w14:paraId="76EB035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Maksymalna przerwa pomiędzy dwoma sprawdzianami umiejętności dla personelu ratowniczo-gaśniczego nie powinna przekraczać 12 miesięcy kalendarzowych. Pierwszy sprawdzian umiejętności powinien zostać zakończony w ciągu pierwszego roku od zakończenia programu szkolenia wstępnego.</w:t>
      </w:r>
    </w:p>
    <w:p w14:paraId="30EC957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Program sprawdzenia umiejętności powinien obejmować proces weryfikacji, który mierzy skuteczność tego programu.</w:t>
      </w:r>
    </w:p>
    <w:p w14:paraId="7F2F0D8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Program sprawdzenia umiejętności powinien określać zakres odpowiedzialności i odpowiednie metody prowadzenia sprawdzianu, w tym procedury, które należy stosować w przypadku, gdy personel nie osiąga wymaganych standardów.</w:t>
      </w:r>
    </w:p>
    <w:p w14:paraId="4B262A2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Informacje dotyczące programu sprawdzania umiejętności powinny być zawarte w instrukcji operacyjnej lotniska.</w:t>
      </w:r>
    </w:p>
    <w:p w14:paraId="122C6381" w14:textId="7FC8F6B5" w:rsidR="009D0DC1" w:rsidRPr="009E064B" w:rsidRDefault="009D0DC1" w:rsidP="00133B99">
      <w:pPr>
        <w:pStyle w:val="Nagwek6"/>
        <w:rPr>
          <w:rFonts w:eastAsia="Times New Roman"/>
        </w:rPr>
      </w:pPr>
      <w:bookmarkStart w:id="604" w:name="_Toc492024720"/>
      <w:bookmarkStart w:id="605" w:name="_Toc12532827"/>
      <w:r w:rsidRPr="009E064B">
        <w:rPr>
          <w:rFonts w:eastAsia="Times New Roman"/>
        </w:rPr>
        <w:t xml:space="preserve">GM2 ADR.OPS.B.010(c)    </w:t>
      </w:r>
      <w:r w:rsidR="006A01C0" w:rsidRPr="009E064B">
        <w:rPr>
          <w:rFonts w:eastAsia="Times New Roman"/>
        </w:rPr>
        <w:t xml:space="preserve"> </w:t>
      </w:r>
      <w:r w:rsidRPr="009E064B">
        <w:rPr>
          <w:rFonts w:eastAsia="Times New Roman"/>
        </w:rPr>
        <w:t>Służby ratowniczo-gaśnicze</w:t>
      </w:r>
      <w:bookmarkEnd w:id="604"/>
      <w:bookmarkEnd w:id="605"/>
    </w:p>
    <w:p w14:paraId="4BF201F6" w14:textId="37C40890"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E4219C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SPRAWDZIANY UMIEJĘTNOŚCI</w:t>
      </w:r>
    </w:p>
    <w:p w14:paraId="68E2BD5A" w14:textId="60F1227E" w:rsidR="009D0DC1" w:rsidRPr="009E064B" w:rsidRDefault="00371A8B" w:rsidP="00B06A9A">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GM2_ADR.OR.D.017(c)_" w:history="1">
        <w:r w:rsidRPr="009E064B">
          <w:rPr>
            <w:rStyle w:val="Hipercze"/>
            <w:rFonts w:asciiTheme="minorHAnsi" w:eastAsia="Calibri" w:hAnsiTheme="minorHAnsi" w:cstheme="minorHAnsi"/>
          </w:rPr>
          <w:t>GM2 </w:t>
        </w:r>
        <w:r w:rsidR="009D0DC1" w:rsidRPr="009E064B">
          <w:rPr>
            <w:rStyle w:val="Hipercze"/>
            <w:rFonts w:asciiTheme="minorHAnsi" w:eastAsia="Calibri" w:hAnsiTheme="minorHAnsi" w:cstheme="minorHAnsi"/>
          </w:rPr>
          <w:t>ADR.OR.D.017(c)</w:t>
        </w:r>
      </w:hyperlink>
      <w:r w:rsidR="009D0DC1" w:rsidRPr="009E064B">
        <w:rPr>
          <w:rFonts w:asciiTheme="minorHAnsi" w:eastAsia="Calibri" w:hAnsiTheme="minorHAnsi" w:cstheme="minorHAnsi"/>
        </w:rPr>
        <w:t>, stosuje się także do personelu służb ratowniczo-gaśniczych.</w:t>
      </w:r>
    </w:p>
    <w:p w14:paraId="5D872765" w14:textId="404E24C1" w:rsidR="009D0DC1" w:rsidRPr="009E064B" w:rsidRDefault="009D0DC1" w:rsidP="00133B99">
      <w:pPr>
        <w:pStyle w:val="Nagwek5"/>
      </w:pPr>
      <w:bookmarkStart w:id="606" w:name="_AMC1_ADR.OPS.B.010(d)_"/>
      <w:bookmarkStart w:id="607" w:name="_Toc492024721"/>
      <w:bookmarkStart w:id="608" w:name="_Toc12532828"/>
      <w:bookmarkEnd w:id="606"/>
      <w:r w:rsidRPr="009E064B">
        <w:t xml:space="preserve">AMC1 ADR.OPS.B.010(d)    </w:t>
      </w:r>
      <w:r w:rsidR="006A01C0" w:rsidRPr="009E064B">
        <w:t xml:space="preserve"> </w:t>
      </w:r>
      <w:r w:rsidRPr="009E064B">
        <w:t>Służby ratowniczo-gaśnicze</w:t>
      </w:r>
      <w:bookmarkEnd w:id="607"/>
      <w:bookmarkEnd w:id="608"/>
    </w:p>
    <w:p w14:paraId="24FF37A4" w14:textId="04C17CC0"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E066245"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INSTRUKTORZY – EGZAMINATORZY</w:t>
      </w:r>
    </w:p>
    <w:p w14:paraId="05F4ED27" w14:textId="141E05A6" w:rsidR="00375286"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AMC1_ADR.OR.D.017(d)_" w:history="1">
        <w:r w:rsidRPr="009E064B">
          <w:rPr>
            <w:rStyle w:val="Hipercze"/>
            <w:rFonts w:asciiTheme="minorHAnsi" w:eastAsia="Calibri" w:hAnsiTheme="minorHAnsi" w:cstheme="minorHAnsi"/>
          </w:rPr>
          <w:t>AMC1 ADR.OR.D.017(d)</w:t>
        </w:r>
      </w:hyperlink>
      <w:r w:rsidRPr="009E064B">
        <w:rPr>
          <w:rFonts w:asciiTheme="minorHAnsi" w:eastAsia="Calibri" w:hAnsiTheme="minorHAnsi" w:cstheme="minorHAnsi"/>
        </w:rPr>
        <w:t xml:space="preserve"> dla instruktorów i egzaminatorów stosuje się również do instruktorów i egzaminatorów personelu ratowniczo-gaśnicz</w:t>
      </w:r>
      <w:r w:rsidR="000849BC">
        <w:rPr>
          <w:rFonts w:asciiTheme="minorHAnsi" w:eastAsia="Calibri" w:hAnsiTheme="minorHAnsi" w:cstheme="minorHAnsi"/>
        </w:rPr>
        <w:t>ego</w:t>
      </w:r>
      <w:r w:rsidRPr="009E064B">
        <w:rPr>
          <w:rFonts w:asciiTheme="minorHAnsi" w:eastAsia="Calibri" w:hAnsiTheme="minorHAnsi" w:cstheme="minorHAnsi"/>
        </w:rPr>
        <w:t>.</w:t>
      </w:r>
    </w:p>
    <w:p w14:paraId="203A9CDA" w14:textId="4A2C1EF1" w:rsidR="009D0DC1" w:rsidRPr="009E064B" w:rsidRDefault="009D0DC1" w:rsidP="00133B99">
      <w:pPr>
        <w:pStyle w:val="Nagwek5"/>
      </w:pPr>
      <w:bookmarkStart w:id="609" w:name="_Toc492024722"/>
      <w:bookmarkStart w:id="610" w:name="_Toc12532829"/>
      <w:r w:rsidRPr="009E064B">
        <w:t xml:space="preserve">AMC1 ADR.OPS.B.010(e)    </w:t>
      </w:r>
      <w:r w:rsidR="006A01C0" w:rsidRPr="009E064B">
        <w:t xml:space="preserve"> </w:t>
      </w:r>
      <w:r w:rsidRPr="009E064B">
        <w:t>Służby ratowniczo-gaśnicze</w:t>
      </w:r>
      <w:bookmarkEnd w:id="609"/>
      <w:bookmarkEnd w:id="610"/>
    </w:p>
    <w:p w14:paraId="03A02D11" w14:textId="781BC1C3"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2ED9ECC"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DOKUMENTACJA PERSONELU RFFS</w:t>
      </w:r>
    </w:p>
    <w:p w14:paraId="1E2F0678" w14:textId="76C5F0AA" w:rsidR="00371A8B" w:rsidRPr="009E064B" w:rsidRDefault="00371A8B" w:rsidP="00371A8B">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AMC1_ADR.OR.D.017(e)_" w:history="1">
        <w:r w:rsidRPr="009E064B">
          <w:rPr>
            <w:rStyle w:val="Hipercze"/>
            <w:rFonts w:asciiTheme="minorHAnsi" w:eastAsia="Calibri" w:hAnsiTheme="minorHAnsi" w:cstheme="minorHAnsi"/>
          </w:rPr>
          <w:t>AMC1 </w:t>
        </w:r>
        <w:r w:rsidR="009D0DC1" w:rsidRPr="009E064B">
          <w:rPr>
            <w:rStyle w:val="Hipercze"/>
            <w:rFonts w:asciiTheme="minorHAnsi" w:eastAsia="Calibri" w:hAnsiTheme="minorHAnsi" w:cstheme="minorHAnsi"/>
          </w:rPr>
          <w:t>ADR.OR.D.017(e)</w:t>
        </w:r>
      </w:hyperlink>
      <w:r w:rsidR="009D0DC1" w:rsidRPr="009E064B">
        <w:rPr>
          <w:rFonts w:asciiTheme="minorHAnsi" w:eastAsia="Calibri" w:hAnsiTheme="minorHAnsi" w:cstheme="minorHAnsi"/>
        </w:rPr>
        <w:t xml:space="preserve"> mają również zastosowanie do dokumentacji personelu RFFS.</w:t>
      </w:r>
      <w:r w:rsidRPr="009E064B">
        <w:rPr>
          <w:rFonts w:asciiTheme="minorHAnsi" w:eastAsia="Calibri" w:hAnsiTheme="minorHAnsi" w:cstheme="minorHAnsi"/>
        </w:rPr>
        <w:t xml:space="preserve"> </w:t>
      </w:r>
    </w:p>
    <w:p w14:paraId="363B9E08" w14:textId="10E1C792" w:rsidR="009D0DC1" w:rsidRPr="009E064B" w:rsidRDefault="009D0DC1" w:rsidP="00133B99">
      <w:pPr>
        <w:pStyle w:val="Nagwek6"/>
      </w:pPr>
      <w:bookmarkStart w:id="611" w:name="_Toc492024723"/>
      <w:bookmarkStart w:id="612" w:name="_Toc12532830"/>
      <w:r w:rsidRPr="009E064B">
        <w:t xml:space="preserve">GM1 ADR.OPS.B.010(e)    </w:t>
      </w:r>
      <w:r w:rsidR="006A01C0" w:rsidRPr="009E064B">
        <w:t xml:space="preserve"> </w:t>
      </w:r>
      <w:r w:rsidRPr="009E064B">
        <w:t>Służby ratowniczo-gaśnicze</w:t>
      </w:r>
      <w:bookmarkEnd w:id="611"/>
      <w:bookmarkEnd w:id="612"/>
    </w:p>
    <w:p w14:paraId="282A5F7E" w14:textId="0ACB8256"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C9E1C4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PERSONEL RFFS – DOKUMENTACJA SZKOLENIOWA </w:t>
      </w:r>
    </w:p>
    <w:p w14:paraId="58B059F0" w14:textId="71C2FA52" w:rsidR="000B4068"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GM1_ADR.OR.D.017(e)_" w:history="1">
        <w:r w:rsidRPr="009E064B">
          <w:rPr>
            <w:rStyle w:val="Hipercze"/>
            <w:rFonts w:asciiTheme="minorHAnsi" w:eastAsia="Calibri" w:hAnsiTheme="minorHAnsi" w:cstheme="minorHAnsi"/>
          </w:rPr>
          <w:t>GM1 ADR.OR.D.017(e)</w:t>
        </w:r>
      </w:hyperlink>
      <w:r w:rsidRPr="009E064B">
        <w:rPr>
          <w:rFonts w:asciiTheme="minorHAnsi" w:eastAsia="Calibri" w:hAnsiTheme="minorHAnsi" w:cstheme="minorHAnsi"/>
        </w:rPr>
        <w:t xml:space="preserve"> mają również zastosowanie do dokumentacji szkolenia personelu RFFS.</w:t>
      </w:r>
    </w:p>
    <w:p w14:paraId="00772D39" w14:textId="356F37FC" w:rsidR="009D0DC1" w:rsidRPr="009E064B" w:rsidRDefault="009D0DC1" w:rsidP="00133B99">
      <w:pPr>
        <w:pStyle w:val="Nagwek6"/>
      </w:pPr>
      <w:bookmarkStart w:id="613" w:name="_Toc492024724"/>
      <w:bookmarkStart w:id="614" w:name="_Toc12532831"/>
      <w:r w:rsidRPr="009E064B">
        <w:t xml:space="preserve">GM2 ADR.OPS.B.010(e)    </w:t>
      </w:r>
      <w:r w:rsidR="006A01C0" w:rsidRPr="009E064B">
        <w:t xml:space="preserve"> </w:t>
      </w:r>
      <w:r w:rsidRPr="009E064B">
        <w:t>Służby ratowniczo-gaśnicze</w:t>
      </w:r>
      <w:bookmarkEnd w:id="613"/>
      <w:bookmarkEnd w:id="614"/>
    </w:p>
    <w:p w14:paraId="770E9FCC" w14:textId="288DA6DC"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1548E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PERSONEL RFFS – DOKUMENTACJA SPRAWDZIANÓW UMIEJĘTNOŚCI</w:t>
      </w:r>
    </w:p>
    <w:p w14:paraId="569990D1" w14:textId="78109A47" w:rsidR="002E1847"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Przepisy zawarte w </w:t>
      </w:r>
      <w:hyperlink w:anchor="_GM2_ADR.OR.D.017(e)_" w:history="1">
        <w:r w:rsidRPr="009E064B">
          <w:rPr>
            <w:rStyle w:val="Hipercze"/>
            <w:rFonts w:asciiTheme="minorHAnsi" w:eastAsia="Calibri" w:hAnsiTheme="minorHAnsi" w:cstheme="minorHAnsi"/>
          </w:rPr>
          <w:t>GM2 ADR.OR.D.017(e)</w:t>
        </w:r>
      </w:hyperlink>
      <w:r w:rsidRPr="009E064B">
        <w:rPr>
          <w:rFonts w:asciiTheme="minorHAnsi" w:eastAsia="Calibri" w:hAnsiTheme="minorHAnsi" w:cstheme="minorHAnsi"/>
        </w:rPr>
        <w:t xml:space="preserve"> mają również zastosowanie do dokumentacji sprawdzianów umiejętności personelu RFFS.</w:t>
      </w:r>
    </w:p>
    <w:p w14:paraId="5C557ACA" w14:textId="4CE8DC72" w:rsidR="00DC7DA6" w:rsidRPr="009E064B" w:rsidRDefault="00DE05DC" w:rsidP="002E1847">
      <w:pPr>
        <w:pStyle w:val="Nagwek3"/>
        <w:ind w:left="2127" w:hanging="2127"/>
      </w:pPr>
      <w:bookmarkStart w:id="615" w:name="_Toc12532832"/>
      <w:r w:rsidRPr="009E064B">
        <w:t xml:space="preserve">ADR.OPS.B.015 </w:t>
      </w:r>
      <w:r w:rsidR="006A01C0" w:rsidRPr="009E064B">
        <w:t xml:space="preserve">    </w:t>
      </w:r>
      <w:r w:rsidRPr="009E064B">
        <w:t>Monitoring i inspekcje pola ruchu naziemnego i zwią</w:t>
      </w:r>
      <w:r w:rsidR="006A01C0" w:rsidRPr="009E064B">
        <w:t>zanych z </w:t>
      </w:r>
      <w:r w:rsidRPr="009E064B">
        <w:t>nim obiektów</w:t>
      </w:r>
      <w:bookmarkEnd w:id="615"/>
    </w:p>
    <w:p w14:paraId="5654818E" w14:textId="421A2E6D"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2FB0D31" w14:textId="77777777" w:rsidR="00DC7DA6" w:rsidRPr="009E064B" w:rsidRDefault="00DE0098"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monitoruje warunki panujące w polu ruchu naziemnego i status operacyjny związanych z nim obiektów oraz przekazuje odpowiednim instytucjom zapewniającym służby ruchu lotniczego i instytucjom zapewniającym służby informacji lotniczej informacje dotyczące kwestii o znaczeniu operacyjnym, niezależnie od tego, czy mają one charakter tymczasowy, czy stały;</w:t>
      </w:r>
    </w:p>
    <w:p w14:paraId="7435B3CA" w14:textId="38FD1BF8" w:rsidR="00DC7DA6" w:rsidRPr="009E064B" w:rsidRDefault="00DE0098"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Operator lotniska przeprowadza regularne inspekcje pola </w:t>
      </w:r>
      <w:r w:rsidR="00303B50" w:rsidRPr="009E064B">
        <w:rPr>
          <w:rFonts w:asciiTheme="minorHAnsi" w:hAnsiTheme="minorHAnsi" w:cstheme="minorHAnsi"/>
          <w:sz w:val="22"/>
          <w:szCs w:val="22"/>
        </w:rPr>
        <w:t>ruchu naziemnego i związanych z </w:t>
      </w:r>
      <w:r w:rsidR="00DE05DC" w:rsidRPr="009E064B">
        <w:rPr>
          <w:rFonts w:asciiTheme="minorHAnsi" w:hAnsiTheme="minorHAnsi" w:cstheme="minorHAnsi"/>
          <w:sz w:val="22"/>
          <w:szCs w:val="22"/>
        </w:rPr>
        <w:t>nim obiektów.</w:t>
      </w:r>
    </w:p>
    <w:p w14:paraId="4B3F45EB" w14:textId="5F190E20" w:rsidR="006A01C0" w:rsidRPr="009E064B" w:rsidRDefault="002E1847" w:rsidP="00133B99">
      <w:pPr>
        <w:pStyle w:val="Nagwek5"/>
      </w:pPr>
      <w:bookmarkStart w:id="616" w:name="_Toc492024725"/>
      <w:bookmarkStart w:id="617" w:name="_Toc12532833"/>
      <w:r w:rsidRPr="009E064B">
        <w:t xml:space="preserve">AMC1 ADR.OPS.B.015    </w:t>
      </w:r>
      <w:r w:rsidR="009D0DC1" w:rsidRPr="009E064B">
        <w:t>Monitor</w:t>
      </w:r>
      <w:r w:rsidR="006A01C0" w:rsidRPr="009E064B">
        <w:t>ing</w:t>
      </w:r>
      <w:r w:rsidR="009D0DC1" w:rsidRPr="009E064B">
        <w:t xml:space="preserve"> i inspekcje pola ruchu na</w:t>
      </w:r>
      <w:r w:rsidR="00EC182D" w:rsidRPr="009E064B">
        <w:t xml:space="preserve">ziemnego </w:t>
      </w:r>
      <w:bookmarkEnd w:id="616"/>
      <w:r w:rsidR="006A01C0" w:rsidRPr="009E064B">
        <w:t xml:space="preserve">i związanych z nim </w:t>
      </w:r>
      <w:r w:rsidR="00722A65">
        <w:br/>
        <w:t xml:space="preserve">   </w:t>
      </w:r>
      <w:r w:rsidR="006A01C0" w:rsidRPr="009E064B">
        <w:t>obiektów</w:t>
      </w:r>
      <w:bookmarkEnd w:id="617"/>
    </w:p>
    <w:p w14:paraId="556A2AC0" w14:textId="6C60657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4F6F48B" w14:textId="45D675A5"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71106EC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ustanowić program monitorowania i inspekcji pola ruchu naziemnego, który jest współmierny do przewidywanego ruchu na lotnisku i ma na celu identyfikowanie wszelkich usterek lub potencjalnych zagrożeń dla bezpieczeństwa statków powietrznych lub operacji lotniskowych.</w:t>
      </w:r>
    </w:p>
    <w:p w14:paraId="1E77CDC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Inspekcje pola ruchu naziemnego obejmujące elementy, takie jak: obecność FOD, status pomocy wzrokowych, obecność zwierząt i aktualny stan nawierzchni, powinny być wykonywane codziennie, co najmniej raz gdy cyfrą kodu jest 1 lub 2, oraz co najmniej dwa razy gdy cyfrą kodu jest 3 lub 4.</w:t>
      </w:r>
    </w:p>
    <w:p w14:paraId="751DDEF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Inspekcje obejmujące inne elementy, takie jak inne systemy świetlne wymagane dla zapewnienia bezpieczeństwa operacji lotniskowych, nawierzchnie sztuczne przyległych powierzchni na ziemi, systemy odwodnienia i gromadzenia wody opadowej, ogrodzenie i inne urządzenia kontroli dostępu, środowisko pola ruchu naziemnego w granicach lotniska i poza granicami lotniska w zasięgu wzroku, powinny być przeprowadzane, co najmniej raz w tygodniu.</w:t>
      </w:r>
    </w:p>
    <w:p w14:paraId="1600D41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podczas skrajnych warunków pogodowych (nadmierne upały, mróz, okresy odwilży, po wystąpieniu znaczącej burzy itp.), powinien przeprowadzać dodatkowe inspekcje obszarów o nawierzchni sztucznej, aby sprawdzić nawiane zanieczyszczenia i szczątki, które mogłyby doprowadzić do uszkodzenia statku powietrznego lub spowodować utratę kontroli kierunku przez pilotów.</w:t>
      </w:r>
    </w:p>
    <w:p w14:paraId="38D4A50F" w14:textId="26D55392" w:rsidR="000B4068"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Operator lotniska powinien prowadzić dziennik wszystkich rutynowych i nierutynowych inspekcji pola ruchu naziemnego i związanych z nimi urządzeń.</w:t>
      </w:r>
    </w:p>
    <w:p w14:paraId="50CD0737" w14:textId="674E427D" w:rsidR="006A01C0" w:rsidRPr="009E064B" w:rsidRDefault="006A01C0" w:rsidP="00133B99">
      <w:pPr>
        <w:pStyle w:val="Nagwek5"/>
      </w:pPr>
      <w:bookmarkStart w:id="618" w:name="_Toc492024726"/>
      <w:bookmarkStart w:id="619" w:name="_Toc12532834"/>
      <w:r w:rsidRPr="009E064B">
        <w:t xml:space="preserve">AMC2 ADR.OPS.B.015    </w:t>
      </w:r>
      <w:r w:rsidR="009D0DC1" w:rsidRPr="009E064B">
        <w:t>Monitor</w:t>
      </w:r>
      <w:r w:rsidRPr="009E064B">
        <w:t>ing</w:t>
      </w:r>
      <w:r w:rsidR="009D0DC1" w:rsidRPr="009E064B">
        <w:t xml:space="preserve"> i inspekcje pola ruchu naziemnego </w:t>
      </w:r>
      <w:bookmarkEnd w:id="618"/>
      <w:r w:rsidRPr="009E064B">
        <w:t xml:space="preserve">i związanych z nim </w:t>
      </w:r>
      <w:r w:rsidR="00722A65">
        <w:br/>
        <w:t xml:space="preserve">   </w:t>
      </w:r>
      <w:r w:rsidRPr="009E064B">
        <w:t>obiektów</w:t>
      </w:r>
      <w:bookmarkEnd w:id="619"/>
    </w:p>
    <w:p w14:paraId="649AAFDB" w14:textId="765FCDF3"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D594D76"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WYMAGANIA DLA PERSONELU WYKONUJĄCEGO INSPEKCJE POLA RUCHU NAZIEMNEGO</w:t>
      </w:r>
    </w:p>
    <w:p w14:paraId="05FD66B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wyznaczyć personel odpowiedzialny za przeprowadzanie inspekcji pola ruchu naziemnego.</w:t>
      </w:r>
    </w:p>
    <w:p w14:paraId="655AFCF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zapewnić, że wszystkie pojazdy na polu manewrowym, są w kontakcie radiowym z odpowiednimi służbami ruchu lotniczego, bezpośrednio lub poprzez eskortę.</w:t>
      </w:r>
    </w:p>
    <w:p w14:paraId="6EA81C5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celu zapobiegania wtargnięciom na drogę startową operator lotniska powinien mieć wdrożone procedury prowadzenia inspekcji drogi startowej, obejmujące kierunek inspekcji drogi startowej, procedury łączności, działania w przypadku awarii łączności lub uszkodzenia pojazdu, przejazdy przez poprzeczki zatrzymania i przez drogę startową, itd.</w:t>
      </w:r>
    </w:p>
    <w:p w14:paraId="4254632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powinien zapewnić, że personel przeprowadzający inspekcje pola ruchu naziemnego został przeszkolony, w co najmniej następujących obszarach:</w:t>
      </w:r>
    </w:p>
    <w:p w14:paraId="3A6C29A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znajomość lotniska, w tym oznakowanie poziome, znaki pionowe i oświetlenie;</w:t>
      </w:r>
    </w:p>
    <w:p w14:paraId="6285DF4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Instrukcja operacyjna lotniska;</w:t>
      </w:r>
    </w:p>
    <w:p w14:paraId="44D28B51" w14:textId="575F1114"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 xml:space="preserve">Plan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5C377FE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Procedury powiadamiania NOTAM;</w:t>
      </w:r>
    </w:p>
    <w:p w14:paraId="5833E80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Zasady ruchu pojazdów na lotnisku;</w:t>
      </w:r>
    </w:p>
    <w:p w14:paraId="5A5996E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Procedury łączności radiotelefonicznej;</w:t>
      </w:r>
    </w:p>
    <w:p w14:paraId="39FF22D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Procedury i techniki prowadzenia inspekcji lotniska; oraz</w:t>
      </w:r>
    </w:p>
    <w:p w14:paraId="0BE9574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Procedury raportowania wyników inspekcji i uwag.</w:t>
      </w:r>
    </w:p>
    <w:p w14:paraId="11C6BE60" w14:textId="37663C8F" w:rsidR="009D0DC1" w:rsidRPr="009E064B" w:rsidRDefault="006A01C0" w:rsidP="00133B99">
      <w:pPr>
        <w:pStyle w:val="Nagwek6"/>
      </w:pPr>
      <w:bookmarkStart w:id="620" w:name="_Toc492024727"/>
      <w:bookmarkStart w:id="621" w:name="_Toc12532835"/>
      <w:r w:rsidRPr="009E064B">
        <w:t xml:space="preserve">GM1 ADR.OPS.B.015     </w:t>
      </w:r>
      <w:r w:rsidR="002E1847" w:rsidRPr="009E064B">
        <w:t xml:space="preserve"> </w:t>
      </w:r>
      <w:r w:rsidR="009D0DC1" w:rsidRPr="009E064B">
        <w:t>Monitor</w:t>
      </w:r>
      <w:r w:rsidRPr="009E064B">
        <w:t>ing</w:t>
      </w:r>
      <w:r w:rsidR="009D0DC1" w:rsidRPr="009E064B">
        <w:t xml:space="preserve"> i inspekcje pola ruchu naziemnego </w:t>
      </w:r>
      <w:bookmarkEnd w:id="620"/>
      <w:r w:rsidRPr="009E064B">
        <w:t xml:space="preserve">i związanych z nim </w:t>
      </w:r>
      <w:r w:rsidR="00673989">
        <w:br/>
        <w:t xml:space="preserve">  </w:t>
      </w:r>
      <w:r w:rsidRPr="009E064B">
        <w:t>obiektów</w:t>
      </w:r>
      <w:bookmarkEnd w:id="621"/>
    </w:p>
    <w:p w14:paraId="10823275" w14:textId="43AE209E"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DD67437"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INSPEKCJA NAWIERZCHNI SZTUCZNYCH I PRZYLEGAJĄCYCH DO NICH POWIERZCHNI NA ZIEMI</w:t>
      </w:r>
    </w:p>
    <w:p w14:paraId="5735474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Inspekcja obszarów o nawierzchni sztucznej</w:t>
      </w:r>
    </w:p>
    <w:p w14:paraId="31FC852D" w14:textId="77777777" w:rsidR="009D0DC1" w:rsidRPr="009E064B" w:rsidRDefault="009D0DC1" w:rsidP="00B06A9A">
      <w:pPr>
        <w:widowControl/>
        <w:ind w:left="567"/>
        <w:rPr>
          <w:rFonts w:asciiTheme="minorHAnsi" w:eastAsia="Calibri" w:hAnsiTheme="minorHAnsi" w:cstheme="minorHAnsi"/>
        </w:rPr>
      </w:pPr>
      <w:r w:rsidRPr="009E064B">
        <w:rPr>
          <w:rFonts w:asciiTheme="minorHAnsi" w:eastAsia="Calibri" w:hAnsiTheme="minorHAnsi" w:cstheme="minorHAnsi"/>
        </w:rPr>
        <w:t>Podczas inspekcji obszarów o nawierzchni sztucznej należy zwracać uwagę na:</w:t>
      </w:r>
    </w:p>
    <w:p w14:paraId="3F8DD80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ogólną czystość ze szczególnym uwzględnieniem materiałów, które w wyniku zassania, mogłyby spowodować uszkodzenie silnika. Może to obejmować zanieczyszczenia pozostałe po czynnościach związanych z utrzymaniem drogi startowej, lub nadmiar piasku pozostały po posypywaniu drogi startowej.</w:t>
      </w:r>
    </w:p>
    <w:p w14:paraId="3FA565BA" w14:textId="493220FE"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obecność zanieczyszczeń, takich jak śnieg, błoto pośniegowe, lód, mokry lód, mokry śnieg na lodzie lub szron, woda, płynne substancje chemiczne do usuwania oblodzenia lub zapobiegania oblodzeniu, błoto, kurz, piasek, popiół wulkaniczny, olej, osady z</w:t>
      </w:r>
      <w:r w:rsidR="00303B50" w:rsidRPr="009E064B">
        <w:rPr>
          <w:rFonts w:asciiTheme="minorHAnsi" w:eastAsia="Calibri" w:hAnsiTheme="minorHAnsi" w:cstheme="minorHAnsi"/>
        </w:rPr>
        <w:t xml:space="preserve"> </w:t>
      </w:r>
      <w:r w:rsidRPr="009E064B">
        <w:rPr>
          <w:rFonts w:asciiTheme="minorHAnsi" w:eastAsia="Calibri" w:hAnsiTheme="minorHAnsi" w:cstheme="minorHAnsi"/>
        </w:rPr>
        <w:t>gumy, które mogą pogarszać charakterystyki tarcia nawierzchni drogi startowej. Szczególną uwagę należy zwrócić na jednoczesną obecność śniegu, błota pośniegowego, lodu, mokrego lodu, mokrego śniegu na lodzie z płynnymi substancjami chemicznymi do usuwania oblodzenia lub zapobiegania oblodzeniu;</w:t>
      </w:r>
    </w:p>
    <w:p w14:paraId="473C5A9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objawy uszkodzenia nawierzchni sztucznej, w tym, pęknięcia i złuszczanie betonu, stan uszczelnienia spoin, pęknięć i luzów kruszywa w nawierzchniach asfaltowych, lub rozpad warstwy trącej;</w:t>
      </w:r>
    </w:p>
    <w:p w14:paraId="716C8B1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obszary zalane po deszczu, które powinny zostać zidentyfikowane i oznaczone, o ile to możliwe, w celu ułatwienia późniejszego położenia nowej nawierzchni;</w:t>
      </w:r>
    </w:p>
    <w:p w14:paraId="6C21576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uszkodzenia opraw świateł;</w:t>
      </w:r>
    </w:p>
    <w:p w14:paraId="56223D0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czystość oznakowania poziomego drogi startowej;</w:t>
      </w:r>
    </w:p>
    <w:p w14:paraId="7A8BAA6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stan i dopasowanie pokryw studzienek kanalizacyjnych; oraz</w:t>
      </w:r>
    </w:p>
    <w:p w14:paraId="5B14229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krańce drogi startowej, które powinny być inspekcjonowane pod względem istnienia znaków (śladów) wczesnego przyziemienia; uszkodzenia świateł podejścia, stożków oznaczników i świateł progu spowodowane przez gazy wylotowe silników odrzutowych; czystość i istnienie przeszkód w strefie bezpieczeństwa końca drogi startowej.</w:t>
      </w:r>
    </w:p>
    <w:p w14:paraId="2E80665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Inspekcja przylegających powierzchni na ziemi</w:t>
      </w:r>
    </w:p>
    <w:p w14:paraId="0EE386EE" w14:textId="77777777" w:rsidR="009D0DC1" w:rsidRPr="009E064B" w:rsidRDefault="009D0DC1" w:rsidP="00B06A9A">
      <w:pPr>
        <w:widowControl/>
        <w:ind w:left="567"/>
        <w:rPr>
          <w:rFonts w:asciiTheme="minorHAnsi" w:eastAsia="Calibri" w:hAnsiTheme="minorHAnsi" w:cstheme="minorHAnsi"/>
        </w:rPr>
      </w:pPr>
      <w:r w:rsidRPr="009E064B">
        <w:rPr>
          <w:rFonts w:asciiTheme="minorHAnsi" w:eastAsia="Calibri" w:hAnsiTheme="minorHAnsi" w:cstheme="minorHAnsi"/>
        </w:rPr>
        <w:t>Podczas inspekcji przylegających powierzchni na ziemi można zwracać uwagę na:</w:t>
      </w:r>
    </w:p>
    <w:p w14:paraId="49BC121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ogólny stan pokrywy roślinnej gruntu zapewniający, w szczególności, że jej wysokość nie przesłania świateł, znaków, oznaczników, itp.;</w:t>
      </w:r>
    </w:p>
    <w:p w14:paraId="4F0E7D4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wszelkie powiększające się zagłębienia powinny być zauważone i zilustrowane;</w:t>
      </w:r>
    </w:p>
    <w:p w14:paraId="79E8075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wszelkie niezgłoszone ślady kół statków powietrznych powinny być starannie zilustrowane i zgłoszone;</w:t>
      </w:r>
    </w:p>
    <w:p w14:paraId="556EA7E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stan znaków pionowych i oznaczników;</w:t>
      </w:r>
    </w:p>
    <w:p w14:paraId="112C9A0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ogólną nośność obszarów trawiastych, zwłaszcza w pobliżu nawierzchni sztucznych dla statków powietrznych;</w:t>
      </w:r>
    </w:p>
    <w:p w14:paraId="771E704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trawiaste tereny podmokłe; oraz</w:t>
      </w:r>
    </w:p>
    <w:p w14:paraId="65C5932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obiekty FOD i obecność zwierząt.</w:t>
      </w:r>
    </w:p>
    <w:p w14:paraId="67AA3C44" w14:textId="67DB4AE9" w:rsidR="009D0DC1" w:rsidRPr="009E064B" w:rsidRDefault="006A01C0" w:rsidP="00133B99">
      <w:pPr>
        <w:pStyle w:val="Nagwek6"/>
      </w:pPr>
      <w:bookmarkStart w:id="622" w:name="_Toc492024728"/>
      <w:bookmarkStart w:id="623" w:name="_Toc12532836"/>
      <w:r w:rsidRPr="009E064B">
        <w:t xml:space="preserve">GM2 ADR.OPS.B.015     </w:t>
      </w:r>
      <w:r w:rsidR="000176D7" w:rsidRPr="009E064B">
        <w:t xml:space="preserve"> </w:t>
      </w:r>
      <w:r w:rsidR="009D0DC1" w:rsidRPr="009E064B">
        <w:t>Monitor</w:t>
      </w:r>
      <w:r w:rsidRPr="009E064B">
        <w:t>ing</w:t>
      </w:r>
      <w:r w:rsidR="009D0DC1" w:rsidRPr="009E064B">
        <w:t xml:space="preserve"> i inspekcje pola ruchu naziemnego i związanych</w:t>
      </w:r>
      <w:bookmarkEnd w:id="622"/>
      <w:r w:rsidRPr="009E064B">
        <w:t xml:space="preserve"> z nim </w:t>
      </w:r>
      <w:r w:rsidR="00673989">
        <w:br/>
        <w:t xml:space="preserve">  </w:t>
      </w:r>
      <w:r w:rsidRPr="009E064B">
        <w:t>obiektów</w:t>
      </w:r>
      <w:bookmarkEnd w:id="623"/>
    </w:p>
    <w:p w14:paraId="08D6F065" w14:textId="606350D3"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8D1178D"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INSPEKCJA POMOCY WZROKOWYCH</w:t>
      </w:r>
    </w:p>
    <w:p w14:paraId="4881534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Kontrole pomocy wzrokowych z powietrza</w:t>
      </w:r>
    </w:p>
    <w:p w14:paraId="24651A45" w14:textId="6CDBD8DF" w:rsidR="009D0DC1" w:rsidRPr="009E064B" w:rsidRDefault="009D0DC1"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Kontrole systemów świateł podejścia i drogi startowej z powietrza powinny być przeprowadzane w celu zapewnienia, że wzór jest poprawny i że światła działają, gdy uruchamiany jest nowy system lub po jego głównym przeglądzie oraz co najmniej raz w</w:t>
      </w:r>
      <w:r w:rsidR="00303B50" w:rsidRPr="009E064B">
        <w:rPr>
          <w:rFonts w:asciiTheme="minorHAnsi" w:eastAsia="Calibri" w:hAnsiTheme="minorHAnsi" w:cstheme="minorHAnsi"/>
        </w:rPr>
        <w:t xml:space="preserve"> </w:t>
      </w:r>
      <w:r w:rsidRPr="009E064B">
        <w:rPr>
          <w:rFonts w:asciiTheme="minorHAnsi" w:eastAsia="Calibri" w:hAnsiTheme="minorHAnsi" w:cstheme="minorHAnsi"/>
        </w:rPr>
        <w:t>roku. Przy okazji należy również określić wszelkie mylące lub</w:t>
      </w:r>
      <w:r w:rsidR="00303B50" w:rsidRPr="009E064B">
        <w:rPr>
          <w:rFonts w:asciiTheme="minorHAnsi" w:eastAsia="Calibri" w:hAnsiTheme="minorHAnsi" w:cstheme="minorHAnsi"/>
        </w:rPr>
        <w:t xml:space="preserve"> wprowadzające w błąd światła w </w:t>
      </w:r>
      <w:r w:rsidRPr="009E064B">
        <w:rPr>
          <w:rFonts w:asciiTheme="minorHAnsi" w:eastAsia="Calibri" w:hAnsiTheme="minorHAnsi" w:cstheme="minorHAnsi"/>
        </w:rPr>
        <w:t>otoczeniu lotniska.</w:t>
      </w:r>
    </w:p>
    <w:p w14:paraId="55ADA17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Kontrole pomocy wzrokowych z ziemi</w:t>
      </w:r>
    </w:p>
    <w:p w14:paraId="0118D26A" w14:textId="486288E5" w:rsidR="000B4068" w:rsidRPr="009E064B" w:rsidRDefault="009D0DC1"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Testowanie fotometryczne świateł drogi startowej i świateł podejścia, które są dostępne dla używanego sprzętu, powinno być prowadzone w sposób celowy, nakierowany na utrzymanie wysokiego poziomu sprawności. Regularność testowania powinna być dostosowana do osiągnięcia docelowego poziomu sprawności właściwego dla testowanej usługi.</w:t>
      </w:r>
    </w:p>
    <w:p w14:paraId="304CE11C" w14:textId="2806E5ED" w:rsidR="009D0DC1" w:rsidRPr="009E064B" w:rsidRDefault="00CC6092" w:rsidP="00133B99">
      <w:pPr>
        <w:pStyle w:val="Nagwek6"/>
      </w:pPr>
      <w:bookmarkStart w:id="624" w:name="_Toc492024729"/>
      <w:bookmarkStart w:id="625" w:name="_Toc12532837"/>
      <w:r w:rsidRPr="009E064B">
        <w:t xml:space="preserve">GM3 ADR.OPS.B.015 </w:t>
      </w:r>
      <w:bookmarkEnd w:id="624"/>
      <w:r w:rsidR="006A01C0" w:rsidRPr="009E064B">
        <w:t xml:space="preserve">  </w:t>
      </w:r>
      <w:r w:rsidR="000176D7" w:rsidRPr="009E064B">
        <w:t xml:space="preserve"> </w:t>
      </w:r>
      <w:r w:rsidR="006A01C0" w:rsidRPr="009E064B">
        <w:t xml:space="preserve">  Monitoring i inspekcje pola ruchu naziemnego i związanych z nim </w:t>
      </w:r>
      <w:r w:rsidR="00722A65">
        <w:br/>
        <w:t xml:space="preserve">  </w:t>
      </w:r>
      <w:r w:rsidR="006A01C0" w:rsidRPr="009E064B">
        <w:t>obiektów</w:t>
      </w:r>
      <w:bookmarkEnd w:id="625"/>
    </w:p>
    <w:p w14:paraId="1064B649" w14:textId="29BE130C"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2B1B599"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PRZESZKODY</w:t>
      </w:r>
    </w:p>
    <w:p w14:paraId="76906AB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Wszystkie oficjalnie zatwierdzone przeszkody powinny być sprawdzane pod kątem ich odpowiedniego oświetlenia i oznakowania.</w:t>
      </w:r>
    </w:p>
    <w:p w14:paraId="6DB78823" w14:textId="1B761854" w:rsidR="000209A8" w:rsidRDefault="009D0DC1" w:rsidP="000209A8">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Wszelkie niezatwierdzone przeszkody powinny być natychmiast zgłaszane do wyznaczonych osób lub organizacji.</w:t>
      </w:r>
      <w:r w:rsidR="000209A8">
        <w:rPr>
          <w:rFonts w:asciiTheme="minorHAnsi" w:eastAsia="Calibri" w:hAnsiTheme="minorHAnsi" w:cstheme="minorHAnsi"/>
        </w:rPr>
        <w:br w:type="page"/>
      </w:r>
    </w:p>
    <w:p w14:paraId="3A8C7B24" w14:textId="147CA01B" w:rsidR="009D0DC1" w:rsidRPr="009E064B" w:rsidRDefault="006A01C0" w:rsidP="00722A65">
      <w:pPr>
        <w:pStyle w:val="Nagwek6"/>
      </w:pPr>
      <w:bookmarkStart w:id="626" w:name="_Toc492024730"/>
      <w:bookmarkStart w:id="627" w:name="_Toc12532838"/>
      <w:r w:rsidRPr="009E064B">
        <w:t xml:space="preserve">GM4 ADR.OPS.B.015     </w:t>
      </w:r>
      <w:r w:rsidR="00997443" w:rsidRPr="009E064B">
        <w:t xml:space="preserve"> </w:t>
      </w:r>
      <w:r w:rsidRPr="009E064B">
        <w:t>Monitoring i inspekcje pola ruchu naziemnego i związanych z nim</w:t>
      </w:r>
      <w:r w:rsidR="00722A65">
        <w:br/>
        <w:t xml:space="preserve"> </w:t>
      </w:r>
      <w:r w:rsidRPr="009E064B">
        <w:t xml:space="preserve"> obiektów</w:t>
      </w:r>
      <w:bookmarkEnd w:id="626"/>
      <w:bookmarkEnd w:id="627"/>
    </w:p>
    <w:p w14:paraId="3A5CD56B" w14:textId="44B3F54D"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6742C56"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DZIENNIK INSPEKCJI</w:t>
      </w:r>
    </w:p>
    <w:p w14:paraId="01D59725"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Dziennik inspekcji powinien zawierać:</w:t>
      </w:r>
    </w:p>
    <w:p w14:paraId="7A1406E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szczegółowe informacje dotyczące częstotliwości i czasu prowadzenia inspekcji;</w:t>
      </w:r>
    </w:p>
    <w:p w14:paraId="6D58FEE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nazwiska osób przeprowadzających inspekcję; oraz</w:t>
      </w:r>
    </w:p>
    <w:p w14:paraId="0A376C3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wyniki i uwagi, jeśli były.</w:t>
      </w:r>
    </w:p>
    <w:p w14:paraId="0B4019EF" w14:textId="0B380375" w:rsidR="009D0DC1" w:rsidRPr="009E064B" w:rsidRDefault="00CC6092" w:rsidP="00133B99">
      <w:pPr>
        <w:pStyle w:val="Nagwek6"/>
      </w:pPr>
      <w:bookmarkStart w:id="628" w:name="_Toc492024731"/>
      <w:bookmarkStart w:id="629" w:name="_Toc12532839"/>
      <w:r w:rsidRPr="009E064B">
        <w:t xml:space="preserve">GM5 ADR.OPS.B.015 </w:t>
      </w:r>
      <w:bookmarkEnd w:id="628"/>
      <w:r w:rsidR="006A01C0" w:rsidRPr="009E064B">
        <w:t xml:space="preserve">    </w:t>
      </w:r>
      <w:r w:rsidR="00997443" w:rsidRPr="009E064B">
        <w:t xml:space="preserve"> </w:t>
      </w:r>
      <w:r w:rsidR="006A01C0" w:rsidRPr="009E064B">
        <w:t>Monitoring i inspekcje pola ruchu naziemnego i związanych z nim</w:t>
      </w:r>
      <w:r w:rsidR="00722A65">
        <w:br/>
        <w:t xml:space="preserve"> </w:t>
      </w:r>
      <w:r w:rsidR="006A01C0" w:rsidRPr="009E064B">
        <w:t xml:space="preserve"> obiektów</w:t>
      </w:r>
      <w:bookmarkEnd w:id="629"/>
    </w:p>
    <w:p w14:paraId="352F9B06" w14:textId="20C3C1A5"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E5B0DA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DZIAŁANIA NASTĘPCZE PO INSPEKCJI</w:t>
      </w:r>
    </w:p>
    <w:p w14:paraId="062846D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Powinno się dokonać ustaleń w zakresie raportowania wyników inspekcji i podejmowania niezwłocznych działań następczych, aby zapewnić poprawę niebezpiecznych warunków. Ustalenia te mogą obejmować, w zależności od wyników lub uwag, powiadomienie służb ruchu lotniczego i służb informacji lotniczej, usuwanie FOD, kontrolę zwierząt, rejestrowanie wydarzeń dla dalszej analizy zgodnie z wymogami SMS operatora lotniska, itp.</w:t>
      </w:r>
    </w:p>
    <w:p w14:paraId="523196C4" w14:textId="79D8232D" w:rsidR="009D0DC1" w:rsidRPr="009E064B" w:rsidRDefault="00CC6092" w:rsidP="00133B99">
      <w:pPr>
        <w:pStyle w:val="Nagwek6"/>
      </w:pPr>
      <w:bookmarkStart w:id="630" w:name="_Toc492024732"/>
      <w:bookmarkStart w:id="631" w:name="_Toc12532840"/>
      <w:r w:rsidRPr="009E064B">
        <w:t xml:space="preserve">GM6 ADR.OPS.B.015 </w:t>
      </w:r>
      <w:bookmarkEnd w:id="630"/>
      <w:r w:rsidR="006A01C0" w:rsidRPr="009E064B">
        <w:t xml:space="preserve">    </w:t>
      </w:r>
      <w:r w:rsidR="00997443" w:rsidRPr="009E064B">
        <w:t xml:space="preserve"> </w:t>
      </w:r>
      <w:r w:rsidR="006A01C0" w:rsidRPr="009E064B">
        <w:t xml:space="preserve">Monitoring i inspekcje pola ruchu naziemnego i związanych z nim </w:t>
      </w:r>
      <w:r w:rsidR="00722A65">
        <w:br/>
        <w:t xml:space="preserve">  </w:t>
      </w:r>
      <w:r w:rsidR="006A01C0" w:rsidRPr="009E064B">
        <w:t>obiektów</w:t>
      </w:r>
      <w:bookmarkEnd w:id="631"/>
    </w:p>
    <w:p w14:paraId="5371CB0C" w14:textId="41AA391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F877023"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WYMAGANIA DLA PERSONELU WYKONUJĄCEGO INSPEKCJE POLA RUCHU NAZIEMNEGO</w:t>
      </w:r>
    </w:p>
    <w:p w14:paraId="19E5D45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Inspektorzy powinni stosować listy kontrolne obejmujące różne obszary inspekcji. Liście kontrolnej powinien towarzyszyć szkic lotniska, po to, aby można było zaznaczyć miejsce zaistnienia problemu w celu jego łatwej identyfikacji.</w:t>
      </w:r>
    </w:p>
    <w:p w14:paraId="210F0CF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Przed rozpoczęciem inspekcji, inspektorzy powinni przejrzeć ostatnio ukończone listy kontrolne z poprzedniego cyklu inspekcji.</w:t>
      </w:r>
    </w:p>
    <w:p w14:paraId="5970CB33" w14:textId="711311A8" w:rsidR="000B4068"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przypadku budowy lub trwających prac, inspektorzy powinni być zaznajomieni z planem bezpieczeństwa budowy lub realizacji tych prac.</w:t>
      </w:r>
    </w:p>
    <w:p w14:paraId="57304635" w14:textId="7C47CC62" w:rsidR="00DC7DA6" w:rsidRPr="009E064B" w:rsidRDefault="00DE05DC" w:rsidP="00B06A9A">
      <w:pPr>
        <w:pStyle w:val="Nagwek3"/>
      </w:pPr>
      <w:bookmarkStart w:id="632" w:name="_Toc12532841"/>
      <w:r w:rsidRPr="009E064B">
        <w:t xml:space="preserve">ADR.OPS.B.020 </w:t>
      </w:r>
      <w:r w:rsidR="006A01C0" w:rsidRPr="009E064B">
        <w:t xml:space="preserve">    </w:t>
      </w:r>
      <w:r w:rsidRPr="009E064B">
        <w:t>Zmniejszanie zagrożenia zderzeniem z dziką zwierzyną</w:t>
      </w:r>
      <w:bookmarkEnd w:id="632"/>
    </w:p>
    <w:p w14:paraId="7202418F" w14:textId="2A540008"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B99F0C7" w14:textId="77777777" w:rsidR="00DC7DA6" w:rsidRPr="009E064B" w:rsidRDefault="00DE05DC" w:rsidP="00B06A9A">
      <w:pPr>
        <w:pStyle w:val="Tekstpodstawowy"/>
        <w:ind w:left="0" w:right="-2" w:firstLine="0"/>
        <w:rPr>
          <w:rFonts w:asciiTheme="minorHAnsi" w:hAnsiTheme="minorHAnsi" w:cstheme="minorHAnsi"/>
          <w:sz w:val="22"/>
          <w:szCs w:val="20"/>
        </w:rPr>
      </w:pPr>
      <w:r w:rsidRPr="009E064B">
        <w:rPr>
          <w:rFonts w:asciiTheme="minorHAnsi" w:hAnsiTheme="minorHAnsi" w:cstheme="minorHAnsi"/>
          <w:sz w:val="22"/>
          <w:szCs w:val="20"/>
        </w:rPr>
        <w:t>Operator lotniska:</w:t>
      </w:r>
    </w:p>
    <w:p w14:paraId="3BB6D670" w14:textId="4E6450EB"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ocenia zagrożenie ze strony dzikiej zwierzyny na lotnisku i w jego otoczeniu;</w:t>
      </w:r>
    </w:p>
    <w:p w14:paraId="704D5FD9" w14:textId="798124A7"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ustanawia środki i procedury minimalizujące ryzyko kolizji między dziką zwierzyną i statkami powietrznymi na lotnisku; oraz</w:t>
      </w:r>
    </w:p>
    <w:p w14:paraId="63630DE0" w14:textId="716F8FAF" w:rsidR="000209A8"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c)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powiadamia odpowiednie organy, jeżeli ocena dotycząca dzikiej zwierzyny wskazuje na to, że warunki panujące w otoczeniu lotniska sprzyjają powstawaniu związanych z nią zagrożeń.</w:t>
      </w:r>
    </w:p>
    <w:p w14:paraId="5FE82FB2" w14:textId="77777777" w:rsidR="000209A8" w:rsidRDefault="000209A8">
      <w:pPr>
        <w:spacing w:after="0"/>
        <w:jc w:val="left"/>
        <w:rPr>
          <w:rFonts w:asciiTheme="minorHAnsi" w:eastAsia="Times New Roman" w:hAnsiTheme="minorHAnsi" w:cstheme="minorHAnsi"/>
        </w:rPr>
      </w:pPr>
      <w:r>
        <w:rPr>
          <w:rFonts w:asciiTheme="minorHAnsi" w:hAnsiTheme="minorHAnsi" w:cstheme="minorHAnsi"/>
        </w:rPr>
        <w:br w:type="page"/>
      </w:r>
    </w:p>
    <w:p w14:paraId="6A1848ED" w14:textId="2344555E" w:rsidR="009D0DC1" w:rsidRPr="009E064B" w:rsidRDefault="006A01C0" w:rsidP="00133B99">
      <w:pPr>
        <w:pStyle w:val="Nagwek5"/>
      </w:pPr>
      <w:bookmarkStart w:id="633" w:name="_Toc492024733"/>
      <w:bookmarkStart w:id="634" w:name="_Toc12532842"/>
      <w:r w:rsidRPr="009E064B">
        <w:t xml:space="preserve">AMC1 ADR.OPS.B.020     </w:t>
      </w:r>
      <w:r w:rsidR="009D0DC1" w:rsidRPr="009E064B">
        <w:t>Zmniejszanie zagroże</w:t>
      </w:r>
      <w:r w:rsidR="00E2328A" w:rsidRPr="009E064B">
        <w:t>nia</w:t>
      </w:r>
      <w:r w:rsidR="009D0DC1" w:rsidRPr="009E064B">
        <w:t xml:space="preserve"> zderzeni</w:t>
      </w:r>
      <w:r w:rsidR="00E2328A" w:rsidRPr="009E064B">
        <w:t>em z dziką zwierzyną</w:t>
      </w:r>
      <w:bookmarkEnd w:id="633"/>
      <w:bookmarkEnd w:id="634"/>
    </w:p>
    <w:p w14:paraId="40B2A448" w14:textId="2F1CC362"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055457C" w14:textId="7EF05F23"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02576C09"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w:t>
      </w:r>
    </w:p>
    <w:p w14:paraId="6ED83B6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uczestniczyć w krajowym programie zmniejszania zagrożeń zderzenia ze zwierzętami;</w:t>
      </w:r>
    </w:p>
    <w:p w14:paraId="786BF01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ustanowić procedury rejestrowania i zgłaszania do właściwych władz przypadków zderzeń statków powietrznych ze zwierzętami na lotnisku, w ścisłej współpracy z organizacjami działającymi lub zapewniającymi służby na lotnisku;</w:t>
      </w:r>
    </w:p>
    <w:p w14:paraId="5FE6246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zapewnić, że ocena zagrożeń ze strony zwierząt dokonywana jest przez kompetentnych pracowników; oraz</w:t>
      </w:r>
    </w:p>
    <w:p w14:paraId="1B0E737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ustanowić, wdrożyć i utrzymywać program zarządzania ryzykiem związanym ze zwierzętami.</w:t>
      </w:r>
    </w:p>
    <w:p w14:paraId="14711226" w14:textId="149F8C84" w:rsidR="009D0DC1" w:rsidRPr="009E064B" w:rsidRDefault="006A01C0" w:rsidP="00133B99">
      <w:pPr>
        <w:pStyle w:val="Nagwek6"/>
      </w:pPr>
      <w:bookmarkStart w:id="635" w:name="_Toc492024734"/>
      <w:bookmarkStart w:id="636" w:name="_Toc12532843"/>
      <w:r w:rsidRPr="009E064B">
        <w:t xml:space="preserve">GM1 ADR.OPS.B.020     </w:t>
      </w:r>
      <w:bookmarkEnd w:id="635"/>
      <w:r w:rsidR="00E2328A" w:rsidRPr="009E064B">
        <w:t>Zmniejszanie zagrożenia zderzeniem z dziką zwierzyną</w:t>
      </w:r>
      <w:bookmarkEnd w:id="636"/>
    </w:p>
    <w:p w14:paraId="50D1F4D3" w14:textId="7979FA6A"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1AA2543"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OCENA RYZYKA ZWIĄZANEGO ZE ZWIERZĘTAMI</w:t>
      </w:r>
    </w:p>
    <w:p w14:paraId="1764305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w:t>
      </w:r>
    </w:p>
    <w:p w14:paraId="799E570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przeprowadzać ocenę ryzyka wykorzystując dane o zderzeniach dla każdego gatunku, jak również informacje na temat obecności gatunków, liczbie osobników i ich biologii oraz regularnie je aktualizować;</w:t>
      </w:r>
    </w:p>
    <w:p w14:paraId="4A7CE1C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uwzględniać liczbę zderzeń dla każdego gatunku i dotkliwość szkód wynikających z tych zderzeń; oraz</w:t>
      </w:r>
    </w:p>
    <w:p w14:paraId="33EEB1D0" w14:textId="2BDD51F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ukierunkowywać działania na te gatunki, które występują</w:t>
      </w:r>
      <w:r w:rsidR="00997443" w:rsidRPr="009E064B">
        <w:rPr>
          <w:rFonts w:asciiTheme="minorHAnsi" w:eastAsia="Calibri" w:hAnsiTheme="minorHAnsi" w:cstheme="minorHAnsi"/>
        </w:rPr>
        <w:t xml:space="preserve"> z największą częstotliwością i </w:t>
      </w:r>
      <w:r w:rsidRPr="009E064B">
        <w:rPr>
          <w:rFonts w:asciiTheme="minorHAnsi" w:eastAsia="Calibri" w:hAnsiTheme="minorHAnsi" w:cstheme="minorHAnsi"/>
        </w:rPr>
        <w:t>powodują największe szkody.</w:t>
      </w:r>
    </w:p>
    <w:p w14:paraId="67285193" w14:textId="15A4C8CB" w:rsidR="00375286"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Ocena ryzyka związanego ze zwierzętami powinna być wykonywane przez wykwalifikowany personel.</w:t>
      </w:r>
    </w:p>
    <w:p w14:paraId="10CE6C84" w14:textId="0BDF1A67" w:rsidR="009D0DC1" w:rsidRPr="009E064B" w:rsidRDefault="006A01C0" w:rsidP="00133B99">
      <w:pPr>
        <w:pStyle w:val="Nagwek6"/>
      </w:pPr>
      <w:bookmarkStart w:id="637" w:name="_Toc492024735"/>
      <w:bookmarkStart w:id="638" w:name="_Toc12532844"/>
      <w:r w:rsidRPr="009E064B">
        <w:t xml:space="preserve">GM2 ADR.OPS.B.020     </w:t>
      </w:r>
      <w:bookmarkEnd w:id="637"/>
      <w:r w:rsidR="00E2328A" w:rsidRPr="009E064B">
        <w:t>Zmniejszanie zagrożenia zderzeniem z dziką zwierzyną</w:t>
      </w:r>
      <w:bookmarkEnd w:id="638"/>
    </w:p>
    <w:p w14:paraId="5A25BDF2" w14:textId="76A2258D"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4F4DD6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ZARZĄDZANIA RYZYKIEM ZWIĄZANYM ZE ZWIERZĘTAMI</w:t>
      </w:r>
    </w:p>
    <w:p w14:paraId="70DDC4BA"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zarządzania ryzykiem związanym ze zwierzętami może obejmować powierzchnię około 13 km (7 NM) od punktu odniesienia lotniska i powinien zawierać, co najmniej następujące elementy:</w:t>
      </w:r>
    </w:p>
    <w:p w14:paraId="06D1026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przydzielenie personelu:</w:t>
      </w:r>
    </w:p>
    <w:p w14:paraId="1B5582A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osoby, która jest odpowiedzialna za opracowanie i realizację programu ryzyka związanego ze zwierzętami;</w:t>
      </w:r>
    </w:p>
    <w:p w14:paraId="3A832A9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osoby, która nadzoruje codzienne czynności kontrolne związane ze zwierzętami i analizuje zebrane dane oraz przeprowadza ocenę ryzyka w celu opracowania i wdrożenia programu zarządzania ryzykiem związanym ze zwierzętami; oraz</w:t>
      </w:r>
    </w:p>
    <w:p w14:paraId="5505095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wykwalifikowanych i przeszkolonych pracowników, którzy wykrywają i rejestrują ptaki/zwierzęta, oceniają zagrożenia ze strony ptaków/zwierząt i przeganiają (usuwają) ptaki/zwierzęta stanowiące zagrożenie;</w:t>
      </w:r>
    </w:p>
    <w:p w14:paraId="3D433FF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proces zgłaszania, zbierania i rejestrowania danych o zidentyfikowanych uderzonych (martwych) i żyjących ptakach/zwierzętach;</w:t>
      </w:r>
    </w:p>
    <w:p w14:paraId="57F8E06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proces analizy danych i oceny zagrożenia ze strony ptaków/zwierząt w celu rozwijania środków łagodzących, proaktywnych i reaktywnych. Powinien on obejmować metodologię oceny ryzyka;</w:t>
      </w:r>
    </w:p>
    <w:p w14:paraId="01C4F5A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proces zarządzania gruntami i siedliskami, zarówno na, jaki i w otoczeniu lotniska, o ile to możliwe, w celu zmniejszenia atrakcyjności tych obszarów dla ptaków/zwierząt;</w:t>
      </w:r>
    </w:p>
    <w:p w14:paraId="7C10F0A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proces usuwania stanowiących zagrożenie ptaków/zwierząt;</w:t>
      </w:r>
    </w:p>
    <w:p w14:paraId="30ECAFC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proces współpracy z poza-lotniskowymi instytucjami i lokalnymi właścicielami gruntów, itp. w celu zapewnienia, że lotnisko jest świadome zmian, które mogą przyczynić się do stworzenia dodatkowych zagrożeń ze strony ptaków w obrębie otaczającej infrastruktury lotniska, roślinności, wykorzystania terenu i działalności (na przykład zbioru upraw, wysiewu nasion, orki, zmiany warunków gruntowych lub wodnych, polowań, itp., które mogą przyciągnąć ptaki/zwierzęta).</w:t>
      </w:r>
    </w:p>
    <w:p w14:paraId="03203AF1" w14:textId="3DBADC8A" w:rsidR="009D0DC1" w:rsidRPr="009E064B" w:rsidRDefault="00CC6092" w:rsidP="00133B99">
      <w:pPr>
        <w:pStyle w:val="Nagwek6"/>
      </w:pPr>
      <w:bookmarkStart w:id="639" w:name="_Toc492024736"/>
      <w:bookmarkStart w:id="640" w:name="_Toc12532845"/>
      <w:r w:rsidRPr="009E064B">
        <w:t xml:space="preserve">GM3 ADR.OPS.B.020 </w:t>
      </w:r>
      <w:bookmarkEnd w:id="639"/>
      <w:r w:rsidR="00E2328A" w:rsidRPr="009E064B">
        <w:t xml:space="preserve">    Zmniejszanie zagrożenia zderzeniem z dziką zwierzyną</w:t>
      </w:r>
      <w:bookmarkEnd w:id="640"/>
    </w:p>
    <w:p w14:paraId="0681D445" w14:textId="5E9A0D6B"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DB90EB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SZKOLENIE W ZAKRESIE KONTROLI ZWIERZĄT</w:t>
      </w:r>
    </w:p>
    <w:p w14:paraId="7F7592E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Personel kontroli zwierząt na lotnisku powinien odbyć formalne szkolenie przed objęciem obowiązków kontrolera zwierząt.</w:t>
      </w:r>
    </w:p>
    <w:p w14:paraId="5C918713" w14:textId="3D4F2A9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Szkolenia dla kontrolerów zwierząt na lotnisku powinny by</w:t>
      </w:r>
      <w:r w:rsidR="00997443" w:rsidRPr="009E064B">
        <w:rPr>
          <w:rFonts w:asciiTheme="minorHAnsi" w:eastAsia="Calibri" w:hAnsiTheme="minorHAnsi" w:cstheme="minorHAnsi"/>
        </w:rPr>
        <w:t>ć udokumentowane, a dokumenty z </w:t>
      </w:r>
      <w:r w:rsidRPr="009E064B">
        <w:rPr>
          <w:rFonts w:asciiTheme="minorHAnsi" w:eastAsia="Calibri" w:hAnsiTheme="minorHAnsi" w:cstheme="minorHAnsi"/>
        </w:rPr>
        <w:t>tych szkoleń powinny być zachowane dla celów okresowych przeglądów, a</w:t>
      </w:r>
      <w:r w:rsidR="00997443" w:rsidRPr="009E064B">
        <w:rPr>
          <w:rFonts w:asciiTheme="minorHAnsi" w:eastAsia="Calibri" w:hAnsiTheme="minorHAnsi" w:cstheme="minorHAnsi"/>
        </w:rPr>
        <w:t>udytów i </w:t>
      </w:r>
      <w:r w:rsidRPr="009E064B">
        <w:rPr>
          <w:rFonts w:asciiTheme="minorHAnsi" w:eastAsia="Calibri" w:hAnsiTheme="minorHAnsi" w:cstheme="minorHAnsi"/>
        </w:rPr>
        <w:t>sprawdzianów kompetencji;</w:t>
      </w:r>
    </w:p>
    <w:p w14:paraId="55F7D81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Szkolenia personelu kontroli zwierząt na lotnisku powinny być przeprowadzane przez wykwalifikowany personel lotniska zajmujący się kontrolą zwierząt lub specjalistów z udokumentowanym doświadczeniem w tej dziedzinie.</w:t>
      </w:r>
    </w:p>
    <w:p w14:paraId="202AC62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Szkolenie wstępne w zakresie kontroli zwierząt powinno przynajmniej, obejmować następujące obszary ogólne:</w:t>
      </w:r>
    </w:p>
    <w:p w14:paraId="2401669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zrozumienie natury i skali problemu zarządzania zwierzętami w lotnictwie oraz identyfikacja lokalnych zagrożeń;</w:t>
      </w:r>
    </w:p>
    <w:p w14:paraId="64C8A7A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zrozumienie krajowych i lokalnych przepisów, standardów i wytycznych związanych z programami zarządzania zwierzętami na lotnisku (wykorzystanie modeli dobrych praktyk);</w:t>
      </w:r>
    </w:p>
    <w:p w14:paraId="00D5CAB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świadomość lokalnej ekologii i biologii zwierząt, w tym (o ile dotyczy) znaczenie dobrej strategii zarządzania trawą na lotnisku oraz korzyści, jakich może ona dostarczyć dla kontroli zwierząt;</w:t>
      </w:r>
    </w:p>
    <w:p w14:paraId="24CE24F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znaczenie dokładnej identyfikacji i obserwacji zwierząt, w tym wykorzystanie przewodników po terenie;</w:t>
      </w:r>
    </w:p>
    <w:p w14:paraId="136D262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lokalne i krajowe przepisy prawa oraz przepisy dotyczące gatunków rzadkich i zagrożonych wyginięciem, gatunków podlegających specjalnej ochronie oraz odnosząca się do nich strategia operatorów lotnisk;</w:t>
      </w:r>
    </w:p>
    <w:p w14:paraId="5D5E306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zbieranie szczątków po zderzeniach ze zwierzętami oraz zasady i procedury identyfikacyjne;</w:t>
      </w:r>
    </w:p>
    <w:p w14:paraId="01749DE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długoterminowe (pasywne) środki kontroli, włącznie z zarządzaniem gruntami i siedliskami, zarówno na, jaki i w otoczeniu lotniska, w tym identyfikacja elementów przyciągających zwierzęta, strategie w zakresie roślinności, ochrona pomocy nawigacyjnych i system odwodnienia oraz praktyki zarządzania akwenami wodnymi;</w:t>
      </w:r>
    </w:p>
    <w:p w14:paraId="71DA700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krótkoterminowe (aktywne) środki taktyczne, wykorzystujące ugruntowane, skuteczne techniki usuwania, rozpraszania i kontroli zwierząt;</w:t>
      </w:r>
    </w:p>
    <w:p w14:paraId="640960F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dokumentowanie aktywności i środków kontroli zwierząt oraz procedury zgłaszania (plan zarządzania zwierzętami na lotnisku);</w:t>
      </w:r>
    </w:p>
    <w:p w14:paraId="56DAAD3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broń palna i bezpieczeństwo w terenie, w tym stosowanie środków ochrony indywidualnej; oraz</w:t>
      </w:r>
    </w:p>
    <w:p w14:paraId="1E32FE2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ocena ryzyka zderzenia ze zwierzętami i zasady zarządzania ryzykiem oraz jak te programy są zintegrowane z systemem zarządzania bezpieczeństwem lotniska.</w:t>
      </w:r>
    </w:p>
    <w:p w14:paraId="254BFCD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Personel kontroli zwierząt powinien być w pełni świadomy stanu i warunków funkcjonowania środowiska lotniskowego. Jeżeli nie jest to istotne, to personel kontroli zwierząt powinien przejść odpowiednie szkolenie obejmujące:</w:t>
      </w:r>
    </w:p>
    <w:p w14:paraId="6F2FE7E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szkolenie kierowców w strefie operacyjnej lotniska, w tym informacje o lotnisku, kontroli ruchu lotniczego, łączności, oznakowaniu poziomym, znakach pionowych, pomocach nawigacyjnych, operacjach lotniskowych i bezpieczeństwie oraz innych sprawach, które operator lotniska uzna za stosowne; oraz</w:t>
      </w:r>
    </w:p>
    <w:p w14:paraId="1BE03EF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informacje o statkach powietrznych, w tym identyfikację statków powietrznych, konstrukcje silników lotniczych oraz wpływ zderzeń ze zwierzętami na systemy statków powietrznych.</w:t>
      </w:r>
    </w:p>
    <w:p w14:paraId="04DB7C0C" w14:textId="561A64E5"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 xml:space="preserve">Należy zapewnić, aby personel kontroli zwierząt utrzymywał kompetencje do sprawowania tej funkcji. Można to osiągnąć poprzez regularne szkolenia odświeżające lub poprzez inny system monitorowania, możliwy do zaakceptowania przez właściwy organ. Utrzymanie kompetencji powinno obejmować obszary określone w </w:t>
      </w:r>
      <w:r w:rsidR="00C0606B" w:rsidRPr="009E064B">
        <w:rPr>
          <w:rFonts w:asciiTheme="minorHAnsi" w:eastAsia="Calibri" w:hAnsiTheme="minorHAnsi" w:cstheme="minorHAnsi"/>
        </w:rPr>
        <w:t>lit. </w:t>
      </w:r>
      <w:r w:rsidRPr="009E064B">
        <w:rPr>
          <w:rFonts w:asciiTheme="minorHAnsi" w:eastAsia="Calibri" w:hAnsiTheme="minorHAnsi" w:cstheme="minorHAnsi"/>
        </w:rPr>
        <w:t>(d) i (e) powyżej, oraz:</w:t>
      </w:r>
    </w:p>
    <w:p w14:paraId="7332795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przeglądy bezpieczeństwa obchodzenia się bronią palną;</w:t>
      </w:r>
    </w:p>
    <w:p w14:paraId="7265625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zmiany w środowisku lokalnym;</w:t>
      </w:r>
    </w:p>
    <w:p w14:paraId="367B2AF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zmiany w polityce zarządzania ryzykiem;</w:t>
      </w:r>
    </w:p>
    <w:p w14:paraId="2E2CA4A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ostatnie wydarzenia związane ze zwierzętami na lotnisku;</w:t>
      </w:r>
    </w:p>
    <w:p w14:paraId="01B5100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ulepszenia w zakresie środków czynnych i biernych; oraz</w:t>
      </w:r>
    </w:p>
    <w:p w14:paraId="1A34BE54" w14:textId="090259CF" w:rsidR="00371A8B"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jakiekolwiek inne sprawy, które operator lotniska uzna za stosowne.</w:t>
      </w:r>
    </w:p>
    <w:p w14:paraId="74765190" w14:textId="411AEA59" w:rsidR="009D0DC1" w:rsidRPr="009E064B" w:rsidRDefault="00CC6092" w:rsidP="00133B99">
      <w:pPr>
        <w:pStyle w:val="Nagwek6"/>
      </w:pPr>
      <w:bookmarkStart w:id="641" w:name="_Toc492024737"/>
      <w:bookmarkStart w:id="642" w:name="_Toc12532846"/>
      <w:r w:rsidRPr="009E064B">
        <w:t xml:space="preserve">GM4 ADR.OPS.B.020 </w:t>
      </w:r>
      <w:bookmarkEnd w:id="641"/>
      <w:r w:rsidR="00E2328A" w:rsidRPr="009E064B">
        <w:t xml:space="preserve">    Zmniejszanie zagrożenia zderzeniem z dziką zwierzyną</w:t>
      </w:r>
      <w:bookmarkEnd w:id="642"/>
    </w:p>
    <w:p w14:paraId="7A24093B" w14:textId="70059F0D"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3830974" w14:textId="77777777" w:rsidR="009D0DC1" w:rsidRPr="009E064B" w:rsidRDefault="009D0DC1" w:rsidP="00997443">
      <w:pPr>
        <w:widowControl/>
        <w:tabs>
          <w:tab w:val="left" w:pos="9072"/>
        </w:tabs>
        <w:spacing w:before="120"/>
        <w:ind w:right="851"/>
        <w:jc w:val="left"/>
        <w:rPr>
          <w:rFonts w:asciiTheme="minorHAnsi" w:eastAsia="Calibri" w:hAnsiTheme="minorHAnsi" w:cstheme="minorHAnsi"/>
        </w:rPr>
      </w:pPr>
      <w:r w:rsidRPr="009E064B">
        <w:rPr>
          <w:rFonts w:asciiTheme="minorHAnsi" w:eastAsia="Calibri" w:hAnsiTheme="minorHAnsi" w:cstheme="minorHAnsi"/>
        </w:rPr>
        <w:t>REJESTROWANIE I POWIADAMIANIE O ZDERZENIACH ZE ZWIERZĘTAMI ORAZ O ZAOBSERWOWANYCH ZWIERZĘTACH</w:t>
      </w:r>
    </w:p>
    <w:p w14:paraId="650E8C11" w14:textId="0FE82784"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Należy prowadzić rejestr wszystkich działań związanych ze zwierzętami lub „dziennik aktywności ptaków</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zwierząt”. Dziennik powinien zawierać, co najmniej, następujące informacje:</w:t>
      </w:r>
    </w:p>
    <w:p w14:paraId="7A205BB6" w14:textId="15BB5D9E"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ilości, gatunki i lokalizacja widzianych ptaków</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zwierząt; oraz</w:t>
      </w:r>
    </w:p>
    <w:p w14:paraId="466B58C4" w14:textId="074A8E8E"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działania podjęte w celu rozproszenia ptaków</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zwierząt oraz wyniki tych działań.</w:t>
      </w:r>
    </w:p>
    <w:p w14:paraId="1F39369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Dziennik powinien być uzupełniany w regularnych odstępach czasu przez personel kontroli zwierząt.</w:t>
      </w:r>
    </w:p>
    <w:p w14:paraId="70EFFB1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Dziennik powinien być analizowany w celu określenia, które gatunki stanowią zagrożenie, w jakich porach dnia i roku, lub w jakich warunkach pogodowych, itp.</w:t>
      </w:r>
    </w:p>
    <w:p w14:paraId="4180C96B" w14:textId="654A0882"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powinien mieć wdrożony system zbierania zgłoszeń o zderzeniach z ptakami</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zwierzętami, w ścisłej współpracy z właścicielami danych, takimi jak operatorzy statków powietrznych, instytucje zapewniające służby żeglugi powietrznej, wydziały obsługi silników lotniczych, itp.</w:t>
      </w:r>
    </w:p>
    <w:p w14:paraId="04BBF7E6" w14:textId="50924B6F" w:rsidR="00DC7DA6" w:rsidRPr="009E064B" w:rsidRDefault="00DE05DC" w:rsidP="00B06A9A">
      <w:pPr>
        <w:pStyle w:val="Nagwek3"/>
      </w:pPr>
      <w:bookmarkStart w:id="643" w:name="_Toc12532847"/>
      <w:r w:rsidRPr="009E064B">
        <w:t xml:space="preserve">ADR.OPS.B.025 </w:t>
      </w:r>
      <w:r w:rsidR="00E2328A" w:rsidRPr="009E064B">
        <w:t xml:space="preserve">    </w:t>
      </w:r>
      <w:r w:rsidRPr="009E064B">
        <w:t>Użytkowanie pojazdów</w:t>
      </w:r>
      <w:bookmarkEnd w:id="643"/>
    </w:p>
    <w:p w14:paraId="3A21E6DB" w14:textId="68686355"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1A23128" w14:textId="77777777" w:rsidR="00DC7DA6" w:rsidRPr="009E064B" w:rsidRDefault="00DE05DC" w:rsidP="00997443">
      <w:pPr>
        <w:pStyle w:val="Tekstpodstawowy"/>
        <w:tabs>
          <w:tab w:val="left" w:pos="0"/>
        </w:tabs>
        <w:ind w:left="0" w:right="-2" w:firstLine="0"/>
        <w:rPr>
          <w:rFonts w:asciiTheme="minorHAnsi" w:hAnsiTheme="minorHAnsi" w:cstheme="minorHAnsi"/>
          <w:sz w:val="22"/>
          <w:szCs w:val="22"/>
        </w:rPr>
      </w:pPr>
      <w:r w:rsidRPr="009E064B">
        <w:rPr>
          <w:rFonts w:asciiTheme="minorHAnsi" w:hAnsiTheme="minorHAnsi" w:cstheme="minorHAnsi"/>
          <w:sz w:val="22"/>
          <w:szCs w:val="22"/>
        </w:rPr>
        <w:t xml:space="preserve">Operator lotniska ustanawia i wdraża procedury szkolenia i oceny wszystkich kierowców operujących w polu ruchu </w:t>
      </w:r>
      <w:r w:rsidR="007D2B91" w:rsidRPr="009E064B">
        <w:rPr>
          <w:rFonts w:asciiTheme="minorHAnsi" w:hAnsiTheme="minorHAnsi" w:cstheme="minorHAnsi"/>
          <w:sz w:val="22"/>
          <w:szCs w:val="22"/>
        </w:rPr>
        <w:t>naziemnego,</w:t>
      </w:r>
      <w:r w:rsidRPr="009E064B">
        <w:rPr>
          <w:rFonts w:asciiTheme="minorHAnsi" w:hAnsiTheme="minorHAnsi" w:cstheme="minorHAnsi"/>
          <w:sz w:val="22"/>
          <w:szCs w:val="22"/>
        </w:rPr>
        <w:t xml:space="preserve"> a także udzielania tym kierowcom odpowiednich upoważnień.</w:t>
      </w:r>
    </w:p>
    <w:p w14:paraId="06449DF5" w14:textId="38550028" w:rsidR="009D0DC1" w:rsidRPr="009E064B" w:rsidRDefault="00E2328A" w:rsidP="00133B99">
      <w:pPr>
        <w:pStyle w:val="Nagwek5"/>
      </w:pPr>
      <w:bookmarkStart w:id="644" w:name="_Toc492024738"/>
      <w:bookmarkStart w:id="645" w:name="_Toc12532848"/>
      <w:r w:rsidRPr="009E064B">
        <w:t xml:space="preserve">AMC1 ADR.OPS.B.025     </w:t>
      </w:r>
      <w:r w:rsidR="009D0DC1" w:rsidRPr="009E064B">
        <w:t>Użytkowanie pojazdów</w:t>
      </w:r>
      <w:bookmarkEnd w:id="644"/>
      <w:bookmarkEnd w:id="645"/>
    </w:p>
    <w:p w14:paraId="116C6BFD" w14:textId="48CB756D"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777944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SZKOLENIA</w:t>
      </w:r>
    </w:p>
    <w:p w14:paraId="1180AA6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 zależności od skali i złożoności lotniska oraz indywidualnych wymagań kierowcy, program szkolenia powinien uwzględniać następujące główne obszary:</w:t>
      </w:r>
    </w:p>
    <w:p w14:paraId="101540BB" w14:textId="12FD35E4"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ogólny program szkolenia kierowców pojazdów poruszających się w strefie operacyjnej lotniska, który obejmuje bezpieczeństwo operacyjne poj</w:t>
      </w:r>
      <w:r w:rsidR="00997443" w:rsidRPr="009E064B">
        <w:rPr>
          <w:rFonts w:asciiTheme="minorHAnsi" w:eastAsia="Calibri" w:hAnsiTheme="minorHAnsi" w:cstheme="minorHAnsi"/>
        </w:rPr>
        <w:t>azdów i urządzeń działających w </w:t>
      </w:r>
      <w:r w:rsidRPr="009E064B">
        <w:rPr>
          <w:rFonts w:asciiTheme="minorHAnsi" w:eastAsia="Calibri" w:hAnsiTheme="minorHAnsi" w:cstheme="minorHAnsi"/>
        </w:rPr>
        <w:t>bezpośrednim sąsiedztwie statków powietrznych w polu ruchu naziemnego, to jest na drogach startowych, drogach kołowania, płytach postojowych, stanowiskach postojowych, drogach ruchu kołowego oraz w terenie przylegającym do pola ruchu naziemnego;</w:t>
      </w:r>
    </w:p>
    <w:p w14:paraId="1A60F23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szkolenie na konkretnym pojeździe lub urządzeniu, np. samochodzie, holowniku, podnośniku kontenerów, autokarze;</w:t>
      </w:r>
    </w:p>
    <w:p w14:paraId="14390F3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dodatkowe szkolenie, w zakresie zagrożeń związanych z drogami startowymi i drogami kołowania, oraz w zakresie używania środków łączności radiotelefonicznej i właściwego stosowania standardowej frazeologii RTF, powinno być prowadzone dla kierowców pojazdów, które mają poruszać się w polu manewrowym.</w:t>
      </w:r>
    </w:p>
    <w:p w14:paraId="6C0A2FCF" w14:textId="5B254F94" w:rsidR="000B4068"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ustanowić system wydawania zezwoleń na prowadzenie pojazdów w polu ruchu naziemnego oraz warunków ich przedłużenia.</w:t>
      </w:r>
    </w:p>
    <w:p w14:paraId="5DD90F2F" w14:textId="7283151F" w:rsidR="009D0DC1" w:rsidRPr="009E064B" w:rsidRDefault="00E2328A" w:rsidP="00133B99">
      <w:pPr>
        <w:pStyle w:val="Nagwek5"/>
      </w:pPr>
      <w:bookmarkStart w:id="646" w:name="_Toc492024739"/>
      <w:bookmarkStart w:id="647" w:name="_Toc12532849"/>
      <w:r w:rsidRPr="009E064B">
        <w:t xml:space="preserve">AMC2 ADR.OPS.B.025     </w:t>
      </w:r>
      <w:r w:rsidR="009D0DC1" w:rsidRPr="009E064B">
        <w:t>Użytkowanie pojazdów</w:t>
      </w:r>
      <w:bookmarkEnd w:id="646"/>
      <w:bookmarkEnd w:id="647"/>
    </w:p>
    <w:p w14:paraId="6B2868FF" w14:textId="03AF086A"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850E03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SZKOLENIE W ZAKRESIE PROWADZENIA POJAZDÓW W POLU RUCHU NAZIEMNEGO</w:t>
      </w:r>
    </w:p>
    <w:p w14:paraId="21B5A4D3"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Szkolenie w zakresie prowadzenia pojazdów w polu ruchu naziemnego powinno zawierać następujące elementy:</w:t>
      </w:r>
    </w:p>
    <w:p w14:paraId="5080F12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geografię lotniska;</w:t>
      </w:r>
    </w:p>
    <w:p w14:paraId="7DAFDEA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oznakowanie poziome, znaki pionowe i oświetlenie lotniska; oraz</w:t>
      </w:r>
    </w:p>
    <w:p w14:paraId="5EFD67B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operacyjne procedury radiotelefoniczne, jeśli obowiązki wymagają prowadzenia pojazdów w polu manewrowym;</w:t>
      </w:r>
    </w:p>
    <w:p w14:paraId="3A80900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terminy i wyrażenia używane w kontroli lotniska, w tym literowanie alfabetu ICAO, jeśli obowiązki wymagają komunikowania się z kontrolą lotniska;</w:t>
      </w:r>
    </w:p>
    <w:p w14:paraId="712321E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przepisy służb ruchu lotniczego, które odnoszą się do operacji naziemnych;</w:t>
      </w:r>
    </w:p>
    <w:p w14:paraId="6BD7A8C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zasady i procedury lotniskowe;</w:t>
      </w:r>
    </w:p>
    <w:p w14:paraId="4B73A83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procedury operacji w warunkach ograniczonej widzialności; oraz</w:t>
      </w:r>
    </w:p>
    <w:p w14:paraId="2F0A68C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funkcje specjalistyczne, zgodnie z potrzebami, na przykład ratownictwo i gaszenie pożarów.</w:t>
      </w:r>
    </w:p>
    <w:p w14:paraId="3D619539" w14:textId="5B2D6D34" w:rsidR="009D0DC1" w:rsidRPr="009E064B" w:rsidRDefault="00E2328A" w:rsidP="00133B99">
      <w:pPr>
        <w:pStyle w:val="Nagwek6"/>
      </w:pPr>
      <w:bookmarkStart w:id="648" w:name="_Toc492024740"/>
      <w:bookmarkStart w:id="649" w:name="_Toc12532850"/>
      <w:r w:rsidRPr="009E064B">
        <w:t xml:space="preserve">GM1 ADR.OPS.B.025     </w:t>
      </w:r>
      <w:r w:rsidR="009D0DC1" w:rsidRPr="009E064B">
        <w:t>Użytkowanie pojazdów</w:t>
      </w:r>
      <w:bookmarkEnd w:id="648"/>
      <w:bookmarkEnd w:id="649"/>
    </w:p>
    <w:p w14:paraId="63A66EC4" w14:textId="5FC8E9B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2F444DA" w14:textId="77777777" w:rsidR="009D0DC1" w:rsidRPr="009E064B" w:rsidRDefault="009D0DC1" w:rsidP="00B06A9A">
      <w:pPr>
        <w:widowControl/>
        <w:ind w:right="281"/>
        <w:jc w:val="left"/>
        <w:rPr>
          <w:rFonts w:asciiTheme="minorHAnsi" w:eastAsia="Calibri" w:hAnsiTheme="minorHAnsi" w:cstheme="minorHAnsi"/>
        </w:rPr>
      </w:pPr>
      <w:r w:rsidRPr="009E064B">
        <w:rPr>
          <w:rFonts w:asciiTheme="minorHAnsi" w:eastAsia="Calibri" w:hAnsiTheme="minorHAnsi" w:cstheme="minorHAnsi"/>
        </w:rPr>
        <w:t>PRZYZNAWANIE, ZAWIESZANIE LUB COFANIE ZEZWOLEŃ NA PROWADZENIE POJAZDÓW W STREFIE OPERACYJNEJ</w:t>
      </w:r>
    </w:p>
    <w:p w14:paraId="70020508" w14:textId="5F81EAEC"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przyznać zezwolenie na prowadzenie pojazdów w</w:t>
      </w:r>
      <w:r w:rsidR="00997443" w:rsidRPr="009E064B">
        <w:rPr>
          <w:rFonts w:asciiTheme="minorHAnsi" w:eastAsia="Calibri" w:hAnsiTheme="minorHAnsi" w:cstheme="minorHAnsi"/>
        </w:rPr>
        <w:t xml:space="preserve"> </w:t>
      </w:r>
      <w:r w:rsidRPr="009E064B">
        <w:rPr>
          <w:rFonts w:asciiTheme="minorHAnsi" w:eastAsia="Calibri" w:hAnsiTheme="minorHAnsi" w:cstheme="minorHAnsi"/>
        </w:rPr>
        <w:t>strefie operacyjnej lotniska, osobom, pod warunkiem że:</w:t>
      </w:r>
    </w:p>
    <w:p w14:paraId="1887F9B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wykonują zadania związane z prowadzeniem pojazdów w polu ruchu naziemnego;</w:t>
      </w:r>
    </w:p>
    <w:p w14:paraId="338300E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posiadają prawo jazdy wydane przez Państwo lub inne prawo jazdy uznawane przez to Państwo;</w:t>
      </w:r>
    </w:p>
    <w:p w14:paraId="43C64C3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posiadają specjalne uprawnienia w prawie jazdy wydanym przez Państwo, jeśli ich obowiązki obejmują obsługę pojazdów specjalistycznych;</w:t>
      </w:r>
    </w:p>
    <w:p w14:paraId="29670A4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spełniają wymagania zdrowotne, zgodnie z ustawodawstwem krajowym;</w:t>
      </w:r>
    </w:p>
    <w:p w14:paraId="71027BB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posiadają świadectwo radiooperatora lub przeszli specyficzne szkolenie w zakresie radiotelefonii, jeżeli ich obowiązki obejmują prowadzenie pojazdów w polu manewrowym;</w:t>
      </w:r>
    </w:p>
    <w:p w14:paraId="07511C96" w14:textId="6C1F920A"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pomyślnie ukończyli szkolenie teoretyczne dla kierowc</w:t>
      </w:r>
      <w:r w:rsidR="00A5785D" w:rsidRPr="009E064B">
        <w:rPr>
          <w:rFonts w:asciiTheme="minorHAnsi" w:eastAsia="Calibri" w:hAnsiTheme="minorHAnsi" w:cstheme="minorHAnsi"/>
        </w:rPr>
        <w:t>ów pojazdów poruszających się w </w:t>
      </w:r>
      <w:r w:rsidRPr="009E064B">
        <w:rPr>
          <w:rFonts w:asciiTheme="minorHAnsi" w:eastAsia="Calibri" w:hAnsiTheme="minorHAnsi" w:cstheme="minorHAnsi"/>
        </w:rPr>
        <w:t>strefie operacyjnej lotniska i zdali egzamin pisemny;</w:t>
      </w:r>
    </w:p>
    <w:p w14:paraId="4DC258C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pomyślnie zademonstrowali swoje kompetencjami, odpowiednio:</w:t>
      </w:r>
    </w:p>
    <w:p w14:paraId="33D452D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 eksploatacji, lub użytkowaniu sprzętu nadawczo-odbiorczego znajdującego na wyposażeniu pojazdu;</w:t>
      </w:r>
    </w:p>
    <w:p w14:paraId="737AAA57"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 zrozumieniu i przestrzeganiu procedur kontroli ruchu lotniczego i procedur lokalnych;</w:t>
      </w:r>
    </w:p>
    <w:p w14:paraId="43E5BA3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w poruszaniu się pojazdem na lotnisku; oraz</w:t>
      </w:r>
    </w:p>
    <w:p w14:paraId="5F25144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specjalnymi umiejętnościami wymaganymi dla konkretnej funkcji.</w:t>
      </w:r>
    </w:p>
    <w:p w14:paraId="2C873119" w14:textId="16ABB9DE"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Zezwolenie na prowadzenie pojazdów w strefie operacyjnej lotniska powinno być ważne przez ograniczony okres czasu, a następnie być odnawiane, pod warunkiem pomyślnego ukończenia przez kierowcę szkolenia odświeżającego, oraz spełnienia wymagań w </w:t>
      </w:r>
      <w:r w:rsidR="00303B50" w:rsidRPr="009E064B">
        <w:rPr>
          <w:rFonts w:asciiTheme="minorHAnsi" w:eastAsia="Calibri" w:hAnsiTheme="minorHAnsi" w:cstheme="minorHAnsi"/>
        </w:rPr>
        <w:t>lit. </w:t>
      </w:r>
      <w:r w:rsidRPr="009E064B">
        <w:rPr>
          <w:rFonts w:asciiTheme="minorHAnsi" w:eastAsia="Calibri" w:hAnsiTheme="minorHAnsi" w:cstheme="minorHAnsi"/>
        </w:rPr>
        <w:t>(a)</w:t>
      </w:r>
      <w:r w:rsidR="00303B50" w:rsidRPr="009E064B">
        <w:rPr>
          <w:rFonts w:asciiTheme="minorHAnsi" w:eastAsia="Calibri" w:hAnsiTheme="minorHAnsi" w:cstheme="minorHAnsi"/>
        </w:rPr>
        <w:t xml:space="preserve"> pkt </w:t>
      </w:r>
      <w:r w:rsidRPr="009E064B">
        <w:rPr>
          <w:rFonts w:asciiTheme="minorHAnsi" w:eastAsia="Calibri" w:hAnsiTheme="minorHAnsi" w:cstheme="minorHAnsi"/>
        </w:rPr>
        <w:t>(1)</w:t>
      </w:r>
      <w:r w:rsidR="00303B50" w:rsidRPr="009E064B">
        <w:rPr>
          <w:rFonts w:asciiTheme="minorHAnsi" w:eastAsia="Calibri" w:hAnsiTheme="minorHAnsi" w:cstheme="minorHAnsi"/>
        </w:rPr>
        <w:t>–(</w:t>
      </w:r>
      <w:r w:rsidRPr="009E064B">
        <w:rPr>
          <w:rFonts w:asciiTheme="minorHAnsi" w:eastAsia="Calibri" w:hAnsiTheme="minorHAnsi" w:cstheme="minorHAnsi"/>
        </w:rPr>
        <w:t>4) powyżej;</w:t>
      </w:r>
    </w:p>
    <w:p w14:paraId="59734EF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może zawiesić lub cofnąć zezwolenie na prowadzenie pojazdów w strefie operacyjnej:</w:t>
      </w:r>
    </w:p>
    <w:p w14:paraId="37AA47FB" w14:textId="1C016578"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 xml:space="preserve">gdy osoba nie spełnia wymagań określonych w </w:t>
      </w:r>
      <w:r w:rsidR="00303B50" w:rsidRPr="009E064B">
        <w:rPr>
          <w:rFonts w:asciiTheme="minorHAnsi" w:eastAsia="Calibri" w:hAnsiTheme="minorHAnsi" w:cstheme="minorHAnsi"/>
        </w:rPr>
        <w:t>lit. (a) pkt (1)–(4)</w:t>
      </w:r>
      <w:r w:rsidRPr="009E064B">
        <w:rPr>
          <w:rFonts w:asciiTheme="minorHAnsi" w:eastAsia="Calibri" w:hAnsiTheme="minorHAnsi" w:cstheme="minorHAnsi"/>
        </w:rPr>
        <w:t>;</w:t>
      </w:r>
    </w:p>
    <w:p w14:paraId="1A983CA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wielokrotnie zgłaszano, że osoba łamie przepisy ruchu drogowego obowiązujące w polu ruchu naziemnego; oraz</w:t>
      </w:r>
    </w:p>
    <w:p w14:paraId="5D5ABB2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zostało udowodnione, że osoba prowadziła pojazd pod wpływem alkoholu lub narkotyków.</w:t>
      </w:r>
    </w:p>
    <w:p w14:paraId="7CCB097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Nie jest konieczne, aby wszyscy kierowcy i operatorzy urządzeń byli szkoleni na tym samym poziomie, na przykład ci, których funkcje są ograniczone do płyty postojowej. Z tego samego powodu operator lotniska może ustanowić różne rodzaje zezwoleń, np. jedna klasa do prowadzenia pojazdów na płycie postojowej, a inna w polu manewrowym, które mogą mieć również różne okresy ważności.</w:t>
      </w:r>
    </w:p>
    <w:p w14:paraId="1436A71F" w14:textId="06B06A29" w:rsidR="009D0DC1" w:rsidRPr="009E064B" w:rsidRDefault="00E2328A" w:rsidP="00133B99">
      <w:pPr>
        <w:pStyle w:val="Nagwek6"/>
      </w:pPr>
      <w:bookmarkStart w:id="650" w:name="_Toc492024741"/>
      <w:bookmarkStart w:id="651" w:name="_Toc12532851"/>
      <w:r w:rsidRPr="009E064B">
        <w:t xml:space="preserve">GM2 ADR.OPS.B.025     </w:t>
      </w:r>
      <w:r w:rsidR="009D0DC1" w:rsidRPr="009E064B">
        <w:t>Użytkowanie pojazdów</w:t>
      </w:r>
      <w:bookmarkEnd w:id="650"/>
      <w:bookmarkEnd w:id="651"/>
    </w:p>
    <w:p w14:paraId="0FB60D08" w14:textId="57424574"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61EAB4B" w14:textId="77777777" w:rsidR="009D0DC1" w:rsidRPr="009E064B" w:rsidRDefault="009D0DC1" w:rsidP="00B06A9A">
      <w:pPr>
        <w:widowControl/>
        <w:ind w:right="281"/>
        <w:rPr>
          <w:rFonts w:asciiTheme="minorHAnsi" w:eastAsia="Calibri" w:hAnsiTheme="minorHAnsi" w:cstheme="minorHAnsi"/>
        </w:rPr>
      </w:pPr>
      <w:r w:rsidRPr="009E064B">
        <w:rPr>
          <w:rFonts w:asciiTheme="minorHAnsi" w:eastAsia="Calibri" w:hAnsiTheme="minorHAnsi" w:cstheme="minorHAnsi"/>
        </w:rPr>
        <w:t>OPRACOWANIE RAM PROGRAMOWYCH SZKOLENIA DLA KIEROWCÓW</w:t>
      </w:r>
    </w:p>
    <w:p w14:paraId="719E4FB5" w14:textId="77777777" w:rsidR="009D0DC1" w:rsidRPr="009E064B" w:rsidRDefault="00EC182D" w:rsidP="00B06A9A">
      <w:pPr>
        <w:widowControl/>
        <w:spacing w:before="240"/>
        <w:ind w:right="284"/>
        <w:rPr>
          <w:rFonts w:asciiTheme="minorHAnsi" w:eastAsia="Calibri" w:hAnsiTheme="minorHAnsi" w:cstheme="minorHAnsi"/>
          <w:b/>
        </w:rPr>
      </w:pPr>
      <w:r w:rsidRPr="009E064B">
        <w:rPr>
          <w:rFonts w:asciiTheme="minorHAnsi" w:eastAsia="Calibri" w:hAnsiTheme="minorHAnsi" w:cstheme="minorHAnsi"/>
          <w:b/>
        </w:rPr>
        <w:t>Kierowca pojazdu poruszającego się w strefie operacyjnej</w:t>
      </w:r>
    </w:p>
    <w:p w14:paraId="6164CF6F"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Przy opracowywaniu programów oraz wymagań odnośnie wiedzy dla programu szkolenia kierowców prowadzących pojazdy w strefie operacyjnej, mogą być brane pod uwagę następujące elementy:</w:t>
      </w:r>
    </w:p>
    <w:p w14:paraId="7376B8C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Zezwolenie na prowadzenie pojazdów w strefie operacyjnej</w:t>
      </w:r>
    </w:p>
    <w:p w14:paraId="2C9A9F6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organ wydający, ważność zezwolenia w odniesieniu do czasu, warunki korzystania i możliwość jego przenoszenia;</w:t>
      </w:r>
    </w:p>
    <w:p w14:paraId="42E1090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własność zezwolenia oraz kontrola i audyt wydawania zezwoleń;</w:t>
      </w:r>
    </w:p>
    <w:p w14:paraId="4E23511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lokalne procedury w zakresie wykroczeń związanych z prowadzeniem pojazdów i procedury egzekwowania przepisów; oraz</w:t>
      </w:r>
    </w:p>
    <w:p w14:paraId="3BEBB90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związek z krajowym systemem prawa jazdy.</w:t>
      </w:r>
    </w:p>
    <w:p w14:paraId="5D250B5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Krajowe ustawodawstwo i regulacje prawne</w:t>
      </w:r>
    </w:p>
    <w:p w14:paraId="713005DA" w14:textId="338618FB"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rządowe</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Państwowe przepisy odnoszące się do powszechnie wydawanych praw jazdy;</w:t>
      </w:r>
    </w:p>
    <w:p w14:paraId="5A5D7DD2" w14:textId="269DB68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wymagania Państwowe</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regionalne</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lokalne; oraz</w:t>
      </w:r>
    </w:p>
    <w:p w14:paraId="4FB0C46B" w14:textId="105C153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wymagania</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wytyczne wydane przez krajowe władze ds. bezpieczeństwa lotniczego dotyczące prowadzenia pojazdów w strefie operacyjnej.</w:t>
      </w:r>
    </w:p>
    <w:p w14:paraId="4B6C22A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Przepisy i wymagania dotyczące lotnisk</w:t>
      </w:r>
    </w:p>
    <w:p w14:paraId="0E79213B" w14:textId="0268F283"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przepisy ruchu lotniczego, procedury kontroli ruchu lotni</w:t>
      </w:r>
      <w:r w:rsidR="00997443" w:rsidRPr="009E064B">
        <w:rPr>
          <w:rFonts w:asciiTheme="minorHAnsi" w:eastAsia="Calibri" w:hAnsiTheme="minorHAnsi" w:cstheme="minorHAnsi"/>
        </w:rPr>
        <w:t>czego (ATC) dotyczące lotnisk w </w:t>
      </w:r>
      <w:r w:rsidRPr="009E064B">
        <w:rPr>
          <w:rFonts w:asciiTheme="minorHAnsi" w:eastAsia="Calibri" w:hAnsiTheme="minorHAnsi" w:cstheme="minorHAnsi"/>
        </w:rPr>
        <w:t>zakresie odnoszącym się do pojazdów, w szczególności prawa pierwszeństwa przejazdu;</w:t>
      </w:r>
    </w:p>
    <w:p w14:paraId="57FC846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szczególne regulacje prawne, wymagania i lokalne instrukcje dotyczące lotnisk;</w:t>
      </w:r>
    </w:p>
    <w:p w14:paraId="0D6FAD6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lokalne metody wykorzystywane do rozpowszechniania ogólnych informacji i wskazówek dla kierowców; oraz</w:t>
      </w:r>
    </w:p>
    <w:p w14:paraId="105BD6F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lokalne metody wykorzystywane do rozpowszechniania informacji na temat prowadzonych prac.</w:t>
      </w:r>
    </w:p>
    <w:p w14:paraId="2E52319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Obowiązki osobiste</w:t>
      </w:r>
    </w:p>
    <w:p w14:paraId="2246789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uzgodnione krajowe lub lotniskowe wymagania dotyczące sprawności psychofizycznej do prowadzenia pojazdów (standardy medyczne i zdrowotne);</w:t>
      </w:r>
    </w:p>
    <w:p w14:paraId="048C9B1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wydawanie i używanie wyposażenia do ochrony osobistej, takiego jak odzież odblaskowa i ochraniacze słuchu;</w:t>
      </w:r>
    </w:p>
    <w:p w14:paraId="212756B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ogólne standardy prowadzenia pojazdu;</w:t>
      </w:r>
    </w:p>
    <w:p w14:paraId="7D377B2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wymagania dotyczące zakazu palenia tytoniu/spożywania napojów alkoholowych w strefie operacyjnej;</w:t>
      </w:r>
    </w:p>
    <w:p w14:paraId="547BA57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obowiązki w zakresie zanieczyszczeń ciałami obcymi i wycieków paliwa/oleju; oraz</w:t>
      </w:r>
    </w:p>
    <w:p w14:paraId="26877F1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odpowiedzialność za zapewnienie, że pojazd jest odpowiedni do wykonania określonego zadania, i że jest prawidłowo wykorzystywany.</w:t>
      </w:r>
    </w:p>
    <w:p w14:paraId="3723DD1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Standardy w zakresie pojazdów</w:t>
      </w:r>
    </w:p>
    <w:p w14:paraId="75E6851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uzgodnione na lotnisku i/lub na poziomie krajowym standardy w zakresie stanu technicznego i jego utrzymania;</w:t>
      </w:r>
    </w:p>
    <w:p w14:paraId="278D92B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wymaganie eksponowania świateł przeszkodowych i znaków firmowych;</w:t>
      </w:r>
    </w:p>
    <w:p w14:paraId="7D43110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wymóg i zakres codziennych inspekcji pojazdów;</w:t>
      </w:r>
    </w:p>
    <w:p w14:paraId="10F15ED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uzgodnione lotniskowe i firmowe standardy zgłaszania usterek pojazdów i ich naprawy; oraz</w:t>
      </w:r>
    </w:p>
    <w:p w14:paraId="16D0063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lokalne wymagania dotyczące wydawania i eksponowania zezwoleń na prowadzenie pojazdu w strefie operacyjnej.</w:t>
      </w:r>
    </w:p>
    <w:p w14:paraId="458A667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Ogólny układ lotniska</w:t>
      </w:r>
    </w:p>
    <w:p w14:paraId="69897C7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ogólna geografia lokalnego lotniska;</w:t>
      </w:r>
    </w:p>
    <w:p w14:paraId="5A795CB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stosowane terminy lotnicze takie jak: droga startowa, droga kołowania, płyta postojowa, droga ruchu kołowego, skrzyżowanie, miejsca oczekiwania przed drogą startową;</w:t>
      </w:r>
    </w:p>
    <w:p w14:paraId="7CE5BC4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wszystkie lotniskowe znaki pionowe, oznakowanie poziome oraz światła dla ruchu pojazdów i statków powietrznych;</w:t>
      </w:r>
    </w:p>
    <w:p w14:paraId="1473EE2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szczegółowe odniesienie do znaków pionowych, oznakowania poziomego i świateł stosowanych w celu ochrony dróg startowych oraz obszarów krytycznych; oraz</w:t>
      </w:r>
    </w:p>
    <w:p w14:paraId="3E84B87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szczegółowe odniesienie do wszelkich procedur kontrolowanego/niekontrolowanego przekraczania dróg kołowania.</w:t>
      </w:r>
    </w:p>
    <w:p w14:paraId="04A5AD1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Zagrożenia związane z ogólnym prowadzeniem pojazdów w strefie operacyjnej</w:t>
      </w:r>
    </w:p>
    <w:p w14:paraId="62ECEDA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ograniczenia prędkości, strefy zakazane i przepisy odnośnie zakazu parkowania;</w:t>
      </w:r>
    </w:p>
    <w:p w14:paraId="36659A9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strefy niebezpieczne wokół statku powietrznego;</w:t>
      </w:r>
    </w:p>
    <w:p w14:paraId="72E7C5C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siła zasysania i odrzutu gazów wylotowych silnika, podmuchy od śmigła i helikopterów;</w:t>
      </w:r>
    </w:p>
    <w:p w14:paraId="409A5A7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tankowanie statków powietrznych;</w:t>
      </w:r>
    </w:p>
    <w:p w14:paraId="7C8DBA6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zanieczyszczenie ciałami obcymi (FOD) i wyciekami;</w:t>
      </w:r>
    </w:p>
    <w:p w14:paraId="6434270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cofanie pojazdem;</w:t>
      </w:r>
    </w:p>
    <w:p w14:paraId="3FCB1BD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piesze przemieszczanie się personelu i pasażerów po płycie postojowej;</w:t>
      </w:r>
    </w:p>
    <w:p w14:paraId="6DF7626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pomosty dla pasażerów i inne usługi takie, jak stałe naziemne źródła zasilania w energią elektryczną;</w:t>
      </w:r>
    </w:p>
    <w:p w14:paraId="4686700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ogólny proces obsługi naziemnej statku powietrznego;</w:t>
      </w:r>
    </w:p>
    <w:p w14:paraId="2E8433A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procedury awaryjnego zatrzymania i odcięcia paliwa;</w:t>
      </w:r>
    </w:p>
    <w:p w14:paraId="20BD69B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przewóz materiałów niebezpiecznych;</w:t>
      </w:r>
    </w:p>
    <w:p w14:paraId="1D8DCDE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lokalne wymagania dla pojazdu holującego;</w:t>
      </w:r>
    </w:p>
    <w:p w14:paraId="6421D04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(13) </w:t>
      </w:r>
      <w:r w:rsidRPr="009E064B">
        <w:rPr>
          <w:rFonts w:asciiTheme="minorHAnsi" w:eastAsia="Calibri" w:hAnsiTheme="minorHAnsi" w:cstheme="minorHAnsi"/>
        </w:rPr>
        <w:tab/>
        <w:t>wymagania dotyczące prowadzenia pojazdów w nocy; oraz</w:t>
      </w:r>
    </w:p>
    <w:p w14:paraId="003FB26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(14) </w:t>
      </w:r>
      <w:r w:rsidRPr="009E064B">
        <w:rPr>
          <w:rFonts w:asciiTheme="minorHAnsi" w:eastAsia="Calibri" w:hAnsiTheme="minorHAnsi" w:cstheme="minorHAnsi"/>
        </w:rPr>
        <w:tab/>
        <w:t>wymagania dotyczące prowadzenia pojazdów w niekorzystnych warunkach pogodowych, w szczególności w warunkach ograniczonej widzialności.</w:t>
      </w:r>
    </w:p>
    <w:p w14:paraId="26AAAF0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Organizacje lokalne</w:t>
      </w:r>
    </w:p>
    <w:p w14:paraId="7D0A0C3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rola operatora lotniska w tworzeniu i utrzymaniu standardów;</w:t>
      </w:r>
    </w:p>
    <w:p w14:paraId="0584872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krajowy organ ds. bezpieczeństwa lotnictwa oraz jego obowiązki;</w:t>
      </w:r>
    </w:p>
    <w:p w14:paraId="4842D5D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policja krajowa i/lub lokalna i jej udział w prowadzeniu pojazdów w strefie operacyjnej; oraz</w:t>
      </w:r>
    </w:p>
    <w:p w14:paraId="471262A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inne organy egzekwowania przepisów związanych z pojazdami, prowadzeniem pojazdów, zdrowiem i bezpieczeństwem.</w:t>
      </w:r>
    </w:p>
    <w:p w14:paraId="2760BBA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Procedury działania w sytuacjach zagrożenia</w:t>
      </w:r>
    </w:p>
    <w:p w14:paraId="450BB49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działania i obowiązki w sytuacjach zagrożenia (każdy wypadek lub poważny incydent występujący na lotnisku);</w:t>
      </w:r>
    </w:p>
    <w:p w14:paraId="6D1C8E5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działanie na okoliczność wypadku pojazdu;</w:t>
      </w:r>
    </w:p>
    <w:p w14:paraId="7B8CF53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konkretne działania w przypadku zderzenia pojazdu ze statkiem powietrznym;</w:t>
      </w:r>
    </w:p>
    <w:p w14:paraId="69A7607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działanie w przypadku wystąpienia pożaru;</w:t>
      </w:r>
    </w:p>
    <w:p w14:paraId="552DC02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działanie na okoliczność wypadku/incydentu statku powietrznego; oraz</w:t>
      </w:r>
    </w:p>
    <w:p w14:paraId="5732689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działania w przypadku odniesienia obrażeń przez osobę.</w:t>
      </w:r>
    </w:p>
    <w:p w14:paraId="43E37EC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Łączność</w:t>
      </w:r>
    </w:p>
    <w:p w14:paraId="0983D09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stosowane procedury radiowe i frazeologia, jeżeli ma zastosowanie;</w:t>
      </w:r>
    </w:p>
    <w:p w14:paraId="20E710F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sygnały świetlne stosowane przez ATC;</w:t>
      </w:r>
    </w:p>
    <w:p w14:paraId="5B81DBB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procedury dla kierowców pojazdów w przypadku zagubienia lub niepewności swojej pozycji na lotnisku;</w:t>
      </w:r>
    </w:p>
    <w:p w14:paraId="1FD615F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lokalne numery telefonów w sytuacji zagrożenia; oraz</w:t>
      </w:r>
    </w:p>
    <w:p w14:paraId="731506C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jak skontaktować się z lokalnym organem bezpieczeństwa lotniska.</w:t>
      </w:r>
    </w:p>
    <w:p w14:paraId="08B1278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Szkolenie praktyczne (zapoznanie wzrokowe)</w:t>
      </w:r>
    </w:p>
    <w:p w14:paraId="0F45506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drogi dojazdowe w strefie operacyjnej, skrzyżowania dróg kołowania, a także wszelkie ograniczenia w warunkach ograniczonej widzialności;</w:t>
      </w:r>
    </w:p>
    <w:p w14:paraId="712AB01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płyty postojowe i stanowiska postojowe;</w:t>
      </w:r>
    </w:p>
    <w:p w14:paraId="0DB294C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malowane na powierzchni oznakowanie poziome dla pojazdów i statków powietrznych;</w:t>
      </w:r>
    </w:p>
    <w:p w14:paraId="1701C30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malowane na powierzchni oznakowanie poziome wyznaczające granicę pomiędzy płytami postojowymi i drogami kołowania;</w:t>
      </w:r>
    </w:p>
    <w:p w14:paraId="39A484C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znaki pionowe, oznakowanie poziome i oświetlenie stosowane na drodze kołowania, które wskazują drogi startowe;</w:t>
      </w:r>
    </w:p>
    <w:p w14:paraId="7786322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obszary parkowania i ograniczenia;</w:t>
      </w:r>
    </w:p>
    <w:p w14:paraId="723E47D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ograniczenia prędkości i przepisy w tym zakresie; oraz</w:t>
      </w:r>
    </w:p>
    <w:p w14:paraId="5A582A3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zagrożenia podczas obracania oraz przemieszczania się statków powietrznych.</w:t>
      </w:r>
    </w:p>
    <w:p w14:paraId="0358C26C" w14:textId="77777777" w:rsidR="009D0DC1" w:rsidRPr="009E064B" w:rsidRDefault="00EC182D" w:rsidP="00B06A9A">
      <w:pPr>
        <w:widowControl/>
        <w:spacing w:before="240"/>
        <w:rPr>
          <w:rFonts w:asciiTheme="minorHAnsi" w:eastAsia="Calibri" w:hAnsiTheme="minorHAnsi" w:cstheme="minorHAnsi"/>
          <w:b/>
        </w:rPr>
      </w:pPr>
      <w:r w:rsidRPr="009E064B">
        <w:rPr>
          <w:rFonts w:asciiTheme="minorHAnsi" w:eastAsia="Calibri" w:hAnsiTheme="minorHAnsi" w:cstheme="minorHAnsi"/>
          <w:b/>
        </w:rPr>
        <w:t>Kierowca pojazdu poruszającego się na polu manewrowym</w:t>
      </w:r>
    </w:p>
    <w:p w14:paraId="7F276A6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Wszyscy kierowcy przewidziani do pracy na polu manewrowym lotniska powinni uzyskać zezwolenie na prowadzenie pojazdów w strefie operacyjnej lotniska na podstawie szkolenia obejmującego powyższy program. Każdy kierowca, który ma prowadzić pojazdy na polu manewrowym powinien również odbyć uzgodniony okres praktyki ogólnej kierowania pojazdem w strefie operacyjnej lotniska, przed przystąpieniem do szkolenia w poruszaniu się na polu manewrowym.</w:t>
      </w:r>
    </w:p>
    <w:p w14:paraId="262A8C2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Każdy kierowca powinien przejść szkolenie wstępnie i mieć zapewnione regularne szkolenia odświeżające, ze szczególnym, dodatkowym naciskiem na następujące obszary:</w:t>
      </w:r>
    </w:p>
    <w:p w14:paraId="494E67D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Regulacje prawne i wymagania w zakresie lotniska</w:t>
      </w:r>
    </w:p>
    <w:p w14:paraId="5FF27021"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przepisy kontroli ruchu lotniczego, pierwszeństwo przejazdu dla statków powietrznych;</w:t>
      </w:r>
    </w:p>
    <w:p w14:paraId="72C497B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definicja pola ruchu naziemnego, pola manewrowego, płyty postojowej, stanowiska postojowego; oraz</w:t>
      </w:r>
    </w:p>
    <w:p w14:paraId="7AFC959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metody wykorzystywane w celu rozpowszechniania informacji na temat prowadzonych prac na lotnisku.</w:t>
      </w:r>
    </w:p>
    <w:p w14:paraId="470329C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Kontrola ruchu lotniczego</w:t>
      </w:r>
    </w:p>
    <w:p w14:paraId="5F6791FC"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funkcja kontroli lotniska i rejon odpowiedzialności;</w:t>
      </w:r>
    </w:p>
    <w:p w14:paraId="23585BB2"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funkcja kontroli ruchu naziemnego i rejon odpowiedzialności;</w:t>
      </w:r>
    </w:p>
    <w:p w14:paraId="0FC28BC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procedury standardowe i na wypadek sytuacji zagrożenia stosowane przez ATC w odniesieniu do statków powietrznych;</w:t>
      </w:r>
    </w:p>
    <w:p w14:paraId="35789859" w14:textId="54351F8E"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używane częstotliwości ATC i normal</w:t>
      </w:r>
      <w:r w:rsidR="00997443" w:rsidRPr="009E064B">
        <w:rPr>
          <w:rFonts w:asciiTheme="minorHAnsi" w:eastAsia="Calibri" w:hAnsiTheme="minorHAnsi" w:cstheme="minorHAnsi"/>
        </w:rPr>
        <w:t>nie używane punkty nawiązywania </w:t>
      </w:r>
      <w:r w:rsidRPr="009E064B">
        <w:rPr>
          <w:rFonts w:asciiTheme="minorHAnsi" w:eastAsia="Calibri" w:hAnsiTheme="minorHAnsi" w:cstheme="minorHAnsi"/>
        </w:rPr>
        <w:t>/</w:t>
      </w:r>
      <w:r w:rsidR="00997443" w:rsidRPr="009E064B">
        <w:rPr>
          <w:rFonts w:asciiTheme="minorHAnsi" w:eastAsia="Calibri" w:hAnsiTheme="minorHAnsi" w:cstheme="minorHAnsi"/>
        </w:rPr>
        <w:t xml:space="preserve"> </w:t>
      </w:r>
      <w:r w:rsidRPr="009E064B">
        <w:rPr>
          <w:rFonts w:asciiTheme="minorHAnsi" w:eastAsia="Calibri" w:hAnsiTheme="minorHAnsi" w:cstheme="minorHAnsi"/>
        </w:rPr>
        <w:t>przekazania łączności przez pojazdu;</w:t>
      </w:r>
    </w:p>
    <w:p w14:paraId="6E79665F"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znaki wywoławcze ATC, znaki wywoławcze pojazdu, alfabet fonetyczny i standardowa frazeologia; oraz</w:t>
      </w:r>
    </w:p>
    <w:p w14:paraId="425934C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podział odpowiedzialności pomiędzy ATC i kontrolą płyty postojowej, jeśli dotyczy.</w:t>
      </w:r>
    </w:p>
    <w:p w14:paraId="7349E63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Obowiązki osobiste</w:t>
      </w:r>
    </w:p>
    <w:p w14:paraId="7510DF55"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zdolność do prowadzenia pojazdu ze szczególnym uwzględnieniem wzroku i percepcji kolorów;</w:t>
      </w:r>
    </w:p>
    <w:p w14:paraId="2354B1B2"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prawidłowe użycie środków ochrony indywidualnej;</w:t>
      </w:r>
    </w:p>
    <w:p w14:paraId="0331D03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obowiązki w zakresie zanieczyszczeń ciałami obcymi (FOD); oraz</w:t>
      </w:r>
    </w:p>
    <w:p w14:paraId="290D533A"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obowiązki w zakresie eskortowania innych pojazdów na polu manewrowym.</w:t>
      </w:r>
    </w:p>
    <w:p w14:paraId="7F3EA6F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Standardy w zakresie pojazdów</w:t>
      </w:r>
    </w:p>
    <w:p w14:paraId="2198733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odpowiedzialność za zapewnienie, że używany pojazd nadaje się do konkretnego celu i zadania;</w:t>
      </w:r>
    </w:p>
    <w:p w14:paraId="7088562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wymagania w zakresie codziennej inspekcji przed rozpoczęciem działań na polu manewrowym;</w:t>
      </w:r>
    </w:p>
    <w:p w14:paraId="395DDBDA"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szczególna uwaga na eksponowanie świateł przeszkodowych i głównych; oraz</w:t>
      </w:r>
    </w:p>
    <w:p w14:paraId="60C8115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sprawność wszystkich istotnych systemów łączności z ATC i z operacjami podstawowymi.</w:t>
      </w:r>
    </w:p>
    <w:p w14:paraId="764DF39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Układ Lotniska</w:t>
      </w:r>
    </w:p>
    <w:p w14:paraId="278708E1"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ze szczególnym naciskiem na znaki pionowe, oznakowanie poziome i światła stosowane na polu manewrowym;</w:t>
      </w:r>
    </w:p>
    <w:p w14:paraId="026C608E"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ze specjalnym naciskiem na znaki pionowe, oznakowanie poziome i światła stosowane w celu ochrony drogi startowej;</w:t>
      </w:r>
    </w:p>
    <w:p w14:paraId="12C0DFA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opis urządzeń niezbędnych dla nawigacji lotniczej, takich jak systemy lądowania według przyrządów (ILS);</w:t>
      </w:r>
    </w:p>
    <w:p w14:paraId="0C501E9A"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opis stref ochronnych związanych z anteną ILS;</w:t>
      </w:r>
    </w:p>
    <w:p w14:paraId="78B2AEC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opis obszarów ochronnych ILS i ich związek z miejscem oczekiwania przed drogą startową;</w:t>
      </w:r>
    </w:p>
    <w:p w14:paraId="79E79793" w14:textId="13F5798E"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opis instrumentalnego/wzrokowego pasa drogi st</w:t>
      </w:r>
      <w:r w:rsidR="00997443" w:rsidRPr="009E064B">
        <w:rPr>
          <w:rFonts w:asciiTheme="minorHAnsi" w:eastAsia="Calibri" w:hAnsiTheme="minorHAnsi" w:cstheme="minorHAnsi"/>
        </w:rPr>
        <w:t>artowej, strefa uporządkowana i </w:t>
      </w:r>
      <w:r w:rsidRPr="009E064B">
        <w:rPr>
          <w:rFonts w:asciiTheme="minorHAnsi" w:eastAsia="Calibri" w:hAnsiTheme="minorHAnsi" w:cstheme="minorHAnsi"/>
        </w:rPr>
        <w:t>zniwelowana; oraz</w:t>
      </w:r>
    </w:p>
    <w:p w14:paraId="44AEE4B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opis świateł stosowanych na polu manewrowym, ze szczególnym naciskiem na te, które związane są z operacjami w warunkach ograniczonej widzialności.</w:t>
      </w:r>
    </w:p>
    <w:p w14:paraId="0488A27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Zagrożenia związane z prowadzeniem pojazdów w polu manewrowym</w:t>
      </w:r>
    </w:p>
    <w:p w14:paraId="08CC5C6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siła zasysania i odrzutu gazów wylotowych z silnika, wiry, śmigła i operacje śmigłowców;</w:t>
      </w:r>
    </w:p>
    <w:p w14:paraId="2300F033"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wymagania dotyczące prowadzenia pojazdów w nocy;</w:t>
      </w:r>
    </w:p>
    <w:p w14:paraId="760B8AC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wymagania dotyczące operacji w warunkach ograniczonej widzialności i innych niekorzystnych warunkach pogodowych;</w:t>
      </w:r>
    </w:p>
    <w:p w14:paraId="33D7BB40"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procedury na wypadek uszkodzenia pojazdu lub radia, gdy pojazd znajduje się na polu manewrowym; oraz</w:t>
      </w:r>
    </w:p>
    <w:p w14:paraId="763760AF"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prawo pierwszeństwa przejazdu dla statku powietrznego, holowanego statku powietrznego i pojazdów ratowniczo-gaśniczych w sytuacjach zagrożenia.</w:t>
      </w:r>
    </w:p>
    <w:p w14:paraId="458522F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Procedury w sytuacjach zagrożenia</w:t>
      </w:r>
    </w:p>
    <w:p w14:paraId="1F9C4936" w14:textId="20AC99F9"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działanie na okoliczność wypadku</w:t>
      </w:r>
      <w:r w:rsidR="00A5785D" w:rsidRPr="009E064B">
        <w:rPr>
          <w:rFonts w:asciiTheme="minorHAnsi" w:eastAsia="Calibri" w:hAnsiTheme="minorHAnsi" w:cstheme="minorHAnsi"/>
        </w:rPr>
        <w:t> </w:t>
      </w:r>
      <w:r w:rsidRPr="009E064B">
        <w:rPr>
          <w:rFonts w:asciiTheme="minorHAnsi" w:eastAsia="Calibri" w:hAnsiTheme="minorHAnsi" w:cstheme="minorHAnsi"/>
        </w:rPr>
        <w:t>/</w:t>
      </w:r>
      <w:r w:rsidR="00A5785D" w:rsidRPr="009E064B">
        <w:rPr>
          <w:rFonts w:asciiTheme="minorHAnsi" w:eastAsia="Calibri" w:hAnsiTheme="minorHAnsi" w:cstheme="minorHAnsi"/>
        </w:rPr>
        <w:t> </w:t>
      </w:r>
      <w:r w:rsidRPr="009E064B">
        <w:rPr>
          <w:rFonts w:asciiTheme="minorHAnsi" w:eastAsia="Calibri" w:hAnsiTheme="minorHAnsi" w:cstheme="minorHAnsi"/>
        </w:rPr>
        <w:t>incydentu pojazdu;</w:t>
      </w:r>
    </w:p>
    <w:p w14:paraId="49B1556A" w14:textId="33F190BB"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działanie na okoliczność wypadku</w:t>
      </w:r>
      <w:r w:rsidR="00A5785D" w:rsidRPr="009E064B">
        <w:rPr>
          <w:rFonts w:asciiTheme="minorHAnsi" w:eastAsia="Calibri" w:hAnsiTheme="minorHAnsi" w:cstheme="minorHAnsi"/>
        </w:rPr>
        <w:t> </w:t>
      </w:r>
      <w:r w:rsidRPr="009E064B">
        <w:rPr>
          <w:rFonts w:asciiTheme="minorHAnsi" w:eastAsia="Calibri" w:hAnsiTheme="minorHAnsi" w:cstheme="minorHAnsi"/>
        </w:rPr>
        <w:t>/</w:t>
      </w:r>
      <w:r w:rsidR="00A5785D" w:rsidRPr="009E064B">
        <w:rPr>
          <w:rFonts w:asciiTheme="minorHAnsi" w:eastAsia="Calibri" w:hAnsiTheme="minorHAnsi" w:cstheme="minorHAnsi"/>
        </w:rPr>
        <w:t> </w:t>
      </w:r>
      <w:r w:rsidRPr="009E064B">
        <w:rPr>
          <w:rFonts w:asciiTheme="minorHAnsi" w:eastAsia="Calibri" w:hAnsiTheme="minorHAnsi" w:cstheme="minorHAnsi"/>
        </w:rPr>
        <w:t>incydentu statku powietrznego;</w:t>
      </w:r>
    </w:p>
    <w:p w14:paraId="3326913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działania, jakie należy podjąć w przypadku stwierdzenia zanieczyszczeń ciałami obcymi (FOD) lub znalezienia innych zanieczyszczeń na drogach startowych i drogach kołowania;</w:t>
      </w:r>
    </w:p>
    <w:p w14:paraId="699D85F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procedury dla kierowców pojazdów w przypadku zagubienia lub niepewności swojej pozycji; oraz</w:t>
      </w:r>
    </w:p>
    <w:p w14:paraId="5B28CA77"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lokalne numery telefonów w sytuacji zagrożenia.</w:t>
      </w:r>
    </w:p>
    <w:p w14:paraId="46EC157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Informacje o statkach powietrznych</w:t>
      </w:r>
    </w:p>
    <w:p w14:paraId="6A01499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znajomość typów statków powietrznych i umiejętność rozpoznawania wszystkich typów normalnie operujących na lotnisku;</w:t>
      </w:r>
    </w:p>
    <w:p w14:paraId="4E70A58E"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znajomość znaków wywoławczych linii lotniczych; oraz</w:t>
      </w:r>
    </w:p>
    <w:p w14:paraId="528C1CEA"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znajomość terminologii statków powietrznych odnoszącej się do silników, kadłuba, powierzchni sterowych, podwozia, oświetlenia, otworów wentylacyjnych, itp.</w:t>
      </w:r>
    </w:p>
    <w:p w14:paraId="643E1F2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Szkolenie praktyczne (zapoznanie wzrokowe)</w:t>
      </w:r>
    </w:p>
    <w:p w14:paraId="3E3E6626"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wszystkie drogi startowe (w tym drogi dojazdowe i ewakuacyjne), strefy oczekiwania, drogi kołowania i płyty postojowe;</w:t>
      </w:r>
    </w:p>
    <w:p w14:paraId="7AE19C1D"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wszystkie znaki pionowe, oznakowanie poziome i światła związane z drogami startowymi, miejsca oczekiwania, operacje CAT I, II i III;</w:t>
      </w:r>
    </w:p>
    <w:p w14:paraId="3C2EFC59"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wszystkie znaki pionowe, oznakowanie poziome i światła związane z drogami kołowania;</w:t>
      </w:r>
    </w:p>
    <w:p w14:paraId="7193A6E4"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szczegółowe oznaczenia, które wyznaczają granicę pomiędzy płytami postojowymi i polem manewrowym;</w:t>
      </w:r>
    </w:p>
    <w:p w14:paraId="48765A62"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pomoce nawigacyjne, takie jak ILS, obszar ochronny, antena, sprzęt RVR i inne urządzenia meteorologiczne;</w:t>
      </w:r>
    </w:p>
    <w:p w14:paraId="7F764E9E"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 </w:t>
      </w:r>
      <w:r w:rsidRPr="009E064B">
        <w:rPr>
          <w:rFonts w:asciiTheme="minorHAnsi" w:eastAsia="Calibri" w:hAnsiTheme="minorHAnsi" w:cstheme="minorHAnsi"/>
        </w:rPr>
        <w:tab/>
        <w:t>zagrożenia związane działaniem w pobliżu lądujących, startujących lub kołujących statków powietrznych; oraz</w:t>
      </w:r>
    </w:p>
    <w:p w14:paraId="78B30E9D" w14:textId="15E70C05"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(vii) </w:t>
      </w:r>
      <w:r w:rsidRPr="009E064B">
        <w:rPr>
          <w:rFonts w:asciiTheme="minorHAnsi" w:eastAsia="Calibri" w:hAnsiTheme="minorHAnsi" w:cstheme="minorHAnsi"/>
        </w:rPr>
        <w:tab/>
        <w:t>wszelkie stosowane lokalnie konwencje nazewnic</w:t>
      </w:r>
      <w:r w:rsidR="00A5785D" w:rsidRPr="009E064B">
        <w:rPr>
          <w:rFonts w:asciiTheme="minorHAnsi" w:eastAsia="Calibri" w:hAnsiTheme="minorHAnsi" w:cstheme="minorHAnsi"/>
        </w:rPr>
        <w:t>twa dla szczególnych obszarów i </w:t>
      </w:r>
      <w:r w:rsidRPr="009E064B">
        <w:rPr>
          <w:rFonts w:asciiTheme="minorHAnsi" w:eastAsia="Calibri" w:hAnsiTheme="minorHAnsi" w:cstheme="minorHAnsi"/>
        </w:rPr>
        <w:t>tras.</w:t>
      </w:r>
    </w:p>
    <w:p w14:paraId="084489C3" w14:textId="77777777" w:rsidR="009D0DC1" w:rsidRPr="009E064B" w:rsidRDefault="009D0DC1" w:rsidP="00B06A9A">
      <w:pPr>
        <w:widowControl/>
        <w:spacing w:before="240"/>
        <w:rPr>
          <w:rFonts w:asciiTheme="minorHAnsi" w:eastAsia="Calibri" w:hAnsiTheme="minorHAnsi" w:cstheme="minorHAnsi"/>
        </w:rPr>
      </w:pPr>
      <w:r w:rsidRPr="009E064B">
        <w:rPr>
          <w:rFonts w:asciiTheme="minorHAnsi" w:eastAsia="Calibri" w:hAnsiTheme="minorHAnsi" w:cstheme="minorHAnsi"/>
        </w:rPr>
        <w:t>RADIOTELEFONIA</w:t>
      </w:r>
    </w:p>
    <w:p w14:paraId="4865A088" w14:textId="4917936B"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Należy się spodziewać, że wszyscy kierowcy pojazdów działających na polu manewrowym będą reprezentować wysoki stopień kompetencji w zakresie korzystania z fraz</w:t>
      </w:r>
      <w:r w:rsidR="00997443" w:rsidRPr="009E064B">
        <w:rPr>
          <w:rFonts w:asciiTheme="minorHAnsi" w:eastAsia="Calibri" w:hAnsiTheme="minorHAnsi" w:cstheme="minorHAnsi"/>
        </w:rPr>
        <w:t>eologii RTF i wymagań ICAO w </w:t>
      </w:r>
      <w:r w:rsidRPr="009E064B">
        <w:rPr>
          <w:rFonts w:asciiTheme="minorHAnsi" w:eastAsia="Calibri" w:hAnsiTheme="minorHAnsi" w:cstheme="minorHAnsi"/>
        </w:rPr>
        <w:t>zakresie języka dla łączności radiotelefonicznej w relacji ziemia-powietrze. Należy położyć nacisk na następujące obszary:</w:t>
      </w:r>
    </w:p>
    <w:p w14:paraId="7DCC5F1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Hierarchia priorytetu wiadomości</w:t>
      </w:r>
    </w:p>
    <w:p w14:paraId="2467EAF7" w14:textId="77777777" w:rsidR="009D0DC1" w:rsidRPr="009E064B" w:rsidRDefault="009D0DC1"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Priorytety wiadomości, zrozumienie informacji związanych z niebezpieczeństwem, alarmowaniem, kontrolą i informowaniem.</w:t>
      </w:r>
    </w:p>
    <w:p w14:paraId="41ADCCD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Alfabet fonetyczny</w:t>
      </w:r>
    </w:p>
    <w:p w14:paraId="4398160B" w14:textId="77777777" w:rsidR="009D0DC1" w:rsidRPr="009E064B" w:rsidRDefault="009D0DC1" w:rsidP="00B06A9A">
      <w:pPr>
        <w:widowControl/>
        <w:tabs>
          <w:tab w:val="left" w:pos="567"/>
        </w:tabs>
        <w:ind w:left="567"/>
        <w:rPr>
          <w:rFonts w:asciiTheme="minorHAnsi" w:eastAsia="Calibri" w:hAnsiTheme="minorHAnsi" w:cstheme="minorHAnsi"/>
        </w:rPr>
      </w:pPr>
      <w:r w:rsidRPr="009E064B">
        <w:rPr>
          <w:rFonts w:asciiTheme="minorHAnsi" w:eastAsia="Calibri" w:hAnsiTheme="minorHAnsi" w:cstheme="minorHAnsi"/>
        </w:rPr>
        <w:t>Poprawna wymowa liter, słów i liczb.</w:t>
      </w:r>
    </w:p>
    <w:p w14:paraId="3C9277D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Standardowa frazeologia </w:t>
      </w:r>
    </w:p>
    <w:p w14:paraId="5A0C56C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nacisk na potrzebę stosowania przez kierowców standardowej frazeologii; oraz</w:t>
      </w:r>
    </w:p>
    <w:p w14:paraId="266940A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 xml:space="preserve">potrzeba zachowania ostrożności przy stosowaniu niektórych zwrotów, takich jak „wolne” </w:t>
      </w:r>
      <w:r w:rsidRPr="009E064B">
        <w:rPr>
          <w:rFonts w:asciiTheme="minorHAnsi" w:eastAsia="Calibri" w:hAnsiTheme="minorHAnsi" w:cstheme="minorHAnsi"/>
          <w:i/>
        </w:rPr>
        <w:t>(cleared</w:t>
      </w:r>
      <w:r w:rsidRPr="009E064B">
        <w:rPr>
          <w:rFonts w:asciiTheme="minorHAnsi" w:eastAsia="Calibri" w:hAnsiTheme="minorHAnsi" w:cstheme="minorHAnsi"/>
        </w:rPr>
        <w:t xml:space="preserve">) i „można” </w:t>
      </w:r>
      <w:r w:rsidRPr="009E064B">
        <w:rPr>
          <w:rFonts w:asciiTheme="minorHAnsi" w:eastAsia="Calibri" w:hAnsiTheme="minorHAnsi" w:cstheme="minorHAnsi"/>
          <w:i/>
        </w:rPr>
        <w:t>(go ahead).</w:t>
      </w:r>
    </w:p>
    <w:p w14:paraId="2EE1D08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Znaki wywoławcze statków powietrznych, ATC i pojazdów</w:t>
      </w:r>
    </w:p>
    <w:p w14:paraId="280AD6E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zrozumienie terminologii i akronimów stosowanych przez ATC i pilotów;</w:t>
      </w:r>
    </w:p>
    <w:p w14:paraId="42E2B39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znajomość znaków wywoławczych linii lotniczych stosowanych na lotnisku; oraz</w:t>
      </w:r>
    </w:p>
    <w:p w14:paraId="0E1125C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znajomość znaków wywoławczych pojazdów i że powinny one być odpowiednie do ich funkcji (np. „holownik”, „strażak”, „mechanik”) i numerowane , gdy więcej niż jeden pojazd (np. „Holownik 2”).</w:t>
      </w:r>
    </w:p>
    <w:p w14:paraId="42E3801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Procedury powtórzenia odebranej informacji</w:t>
      </w:r>
    </w:p>
    <w:p w14:paraId="2CB6A82F" w14:textId="35D4B387" w:rsidR="009D0DC1" w:rsidRPr="009E064B" w:rsidRDefault="009D0DC1" w:rsidP="00B06A9A">
      <w:pPr>
        <w:widowControl/>
        <w:ind w:left="567"/>
        <w:rPr>
          <w:rFonts w:asciiTheme="minorHAnsi" w:eastAsia="Calibri" w:hAnsiTheme="minorHAnsi" w:cstheme="minorHAnsi"/>
        </w:rPr>
      </w:pPr>
      <w:r w:rsidRPr="009E064B">
        <w:rPr>
          <w:rFonts w:asciiTheme="minorHAnsi" w:eastAsia="Calibri" w:hAnsiTheme="minorHAnsi" w:cstheme="minorHAnsi"/>
        </w:rPr>
        <w:t>Potrzeba powtarzania przez kierowców pojazdów odebranych informacji w taki sam sposób, jak piloci dla instrukcji, takich jak zezwolenie na zajęcie</w:t>
      </w:r>
      <w:r w:rsidR="00997443" w:rsidRPr="009E064B">
        <w:rPr>
          <w:rFonts w:asciiTheme="minorHAnsi" w:eastAsia="Calibri" w:hAnsiTheme="minorHAnsi" w:cstheme="minorHAnsi"/>
        </w:rPr>
        <w:t> </w:t>
      </w:r>
      <w:r w:rsidRPr="009E064B">
        <w:rPr>
          <w:rFonts w:asciiTheme="minorHAnsi" w:eastAsia="Calibri" w:hAnsiTheme="minorHAnsi" w:cstheme="minorHAnsi"/>
        </w:rPr>
        <w:t>/</w:t>
      </w:r>
      <w:r w:rsidR="00997443" w:rsidRPr="009E064B">
        <w:rPr>
          <w:rFonts w:asciiTheme="minorHAnsi" w:eastAsia="Calibri" w:hAnsiTheme="minorHAnsi" w:cstheme="minorHAnsi"/>
        </w:rPr>
        <w:t> </w:t>
      </w:r>
      <w:r w:rsidRPr="009E064B">
        <w:rPr>
          <w:rFonts w:asciiTheme="minorHAnsi" w:eastAsia="Calibri" w:hAnsiTheme="minorHAnsi" w:cstheme="minorHAnsi"/>
        </w:rPr>
        <w:t>przecięcie drogi startowej oraz w</w:t>
      </w:r>
      <w:r w:rsidR="00A5785D" w:rsidRPr="009E064B">
        <w:rPr>
          <w:rFonts w:asciiTheme="minorHAnsi" w:eastAsia="Calibri" w:hAnsiTheme="minorHAnsi" w:cstheme="minorHAnsi"/>
        </w:rPr>
        <w:t> </w:t>
      </w:r>
      <w:r w:rsidRPr="009E064B">
        <w:rPr>
          <w:rFonts w:asciiTheme="minorHAnsi" w:eastAsia="Calibri" w:hAnsiTheme="minorHAnsi" w:cstheme="minorHAnsi"/>
        </w:rPr>
        <w:t>przypadku udzielenia zezwolenia warunkowego.</w:t>
      </w:r>
    </w:p>
    <w:p w14:paraId="765EF02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Skala czytelności</w:t>
      </w:r>
    </w:p>
    <w:p w14:paraId="332F391F" w14:textId="77777777" w:rsidR="009D0DC1" w:rsidRPr="009E064B" w:rsidRDefault="009D0DC1" w:rsidP="00B06A9A">
      <w:pPr>
        <w:widowControl/>
        <w:ind w:left="567"/>
        <w:rPr>
          <w:rFonts w:asciiTheme="minorHAnsi" w:eastAsia="Calibri" w:hAnsiTheme="minorHAnsi" w:cstheme="minorHAnsi"/>
        </w:rPr>
      </w:pPr>
      <w:r w:rsidRPr="009E064B">
        <w:rPr>
          <w:rFonts w:asciiTheme="minorHAnsi" w:eastAsia="Calibri" w:hAnsiTheme="minorHAnsi" w:cstheme="minorHAnsi"/>
        </w:rPr>
        <w:t>Zrozumienie i wykorzystanie skali czytelności od 1 do 5.</w:t>
      </w:r>
    </w:p>
    <w:p w14:paraId="35AF1BF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Zagubienie lub niepewności pozycji</w:t>
      </w:r>
    </w:p>
    <w:p w14:paraId="19D104C3" w14:textId="77777777" w:rsidR="009D0DC1" w:rsidRPr="009E064B" w:rsidRDefault="009D0DC1" w:rsidP="00B06A9A">
      <w:pPr>
        <w:widowControl/>
        <w:ind w:left="567"/>
        <w:rPr>
          <w:rFonts w:asciiTheme="minorHAnsi" w:eastAsia="Calibri" w:hAnsiTheme="minorHAnsi" w:cstheme="minorHAnsi"/>
        </w:rPr>
      </w:pPr>
      <w:r w:rsidRPr="009E064B">
        <w:rPr>
          <w:rFonts w:asciiTheme="minorHAnsi" w:eastAsia="Calibri" w:hAnsiTheme="minorHAnsi" w:cstheme="minorHAnsi"/>
        </w:rPr>
        <w:t>Zrozumienie lokalnych procedur dla kierowców pojazdów na wypadek zagubienia lub niepewności swojego miejsca na polu manewrowym.</w:t>
      </w:r>
    </w:p>
    <w:p w14:paraId="02B0768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Awaria pojazdu</w:t>
      </w:r>
    </w:p>
    <w:p w14:paraId="46BEAED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procedura lokalna na okoliczność awarii pojazdu na drogach startowych i drogach kołowania; oraz</w:t>
      </w:r>
    </w:p>
    <w:p w14:paraId="1C45691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procedura powiadamiania ATC o awarii pojazdu.</w:t>
      </w:r>
    </w:p>
    <w:p w14:paraId="2DDE383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Awaria radia</w:t>
      </w:r>
    </w:p>
    <w:p w14:paraId="411F055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zrozumienie lokalnej procedury na wypadek awarii radia podczas przebywania na drodze startowej lub drodze kołowania; oraz</w:t>
      </w:r>
    </w:p>
    <w:p w14:paraId="5E1CF4B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zrozumienie sygnałów świetlnych, które mogą być wykorzystywane przez ATC do przesyłania instrukcji do pojazdów.</w:t>
      </w:r>
    </w:p>
    <w:p w14:paraId="17E59C2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Techniki nadawania i wykorzystania RTF</w:t>
      </w:r>
    </w:p>
    <w:p w14:paraId="5EA34A9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zrozumienie przyczyn prowadzenia nasłuchu przed rozpoczęciem nadawania;</w:t>
      </w:r>
    </w:p>
    <w:p w14:paraId="39709FC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stosowanie standardowej frazeologii i procedur łączności radiotelefonicznej ICAO w relacji powietrze-ziemia;</w:t>
      </w:r>
    </w:p>
    <w:p w14:paraId="30AF505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słowa i dźwięki, których należy unikać;</w:t>
      </w:r>
    </w:p>
    <w:p w14:paraId="50AAF84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prawidłowe ustawienie mikrofonu w celu uniknięcia zniekształcenia głosu;</w:t>
      </w:r>
    </w:p>
    <w:p w14:paraId="4A034BE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unikanie „urywanych” transmisji;</w:t>
      </w:r>
    </w:p>
    <w:p w14:paraId="7B83B8C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świadomość regionalnych akcentów i odmian mowy; oraz</w:t>
      </w:r>
    </w:p>
    <w:p w14:paraId="07549EA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tempo przekazywania frazeologii RTF.</w:t>
      </w:r>
    </w:p>
    <w:p w14:paraId="5457705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Radiotelefony przenośne</w:t>
      </w:r>
    </w:p>
    <w:p w14:paraId="397CB2B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prawidłowe korzystanie z radiotelefonów;</w:t>
      </w:r>
    </w:p>
    <w:p w14:paraId="7FE1B1E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skuteczny zasięg i żywotność baterii;</w:t>
      </w:r>
    </w:p>
    <w:p w14:paraId="1073FD4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zjawisko ekranowania na lotnisku; oraz</w:t>
      </w:r>
    </w:p>
    <w:p w14:paraId="4CC89CE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stosowanie odpowiednich znaków wywoławczych związanych albo z pojazdem albo z osobą.</w:t>
      </w:r>
    </w:p>
    <w:p w14:paraId="473748E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Bezpieczeństwo podczas korzystania z radia</w:t>
      </w:r>
    </w:p>
    <w:p w14:paraId="2EF434E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lokalne instrukcje dotyczące korzystania z przenośnych radioodbiorników i mikrofonów ręcznych, podczas prowadzenia pojazdu; oraz</w:t>
      </w:r>
    </w:p>
    <w:p w14:paraId="699E9F9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lokalne instrukcje dotyczące korzystania z telefonu komórkowego podczas działania w strefie operacyjnej.</w:t>
      </w:r>
    </w:p>
    <w:p w14:paraId="055C5E1D" w14:textId="77777777" w:rsidR="009D0DC1" w:rsidRPr="009E064B" w:rsidRDefault="009D0DC1" w:rsidP="00B06A9A">
      <w:pPr>
        <w:widowControl/>
        <w:spacing w:before="240"/>
        <w:rPr>
          <w:rFonts w:asciiTheme="minorHAnsi" w:eastAsia="Calibri" w:hAnsiTheme="minorHAnsi" w:cstheme="minorHAnsi"/>
        </w:rPr>
      </w:pPr>
      <w:r w:rsidRPr="009E064B">
        <w:rPr>
          <w:rFonts w:asciiTheme="minorHAnsi" w:eastAsia="Calibri" w:hAnsiTheme="minorHAnsi" w:cstheme="minorHAnsi"/>
        </w:rPr>
        <w:t>ROZWAŻANIA OGÓLNE</w:t>
      </w:r>
    </w:p>
    <w:p w14:paraId="4393293F" w14:textId="3096D26A"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Wszystkie trzy programy szkoleniowe powinny składać się z dwóch głównych części: pierwsza to część teoretyczna, która powinna obejmować stosowanie przygotowanych prezentacji, map, schematów, filmów, broszur i list kontrolnych, zgodnie z</w:t>
      </w:r>
      <w:r w:rsidR="00997443" w:rsidRPr="009E064B">
        <w:rPr>
          <w:rFonts w:asciiTheme="minorHAnsi" w:eastAsia="Calibri" w:hAnsiTheme="minorHAnsi" w:cstheme="minorHAnsi"/>
        </w:rPr>
        <w:t xml:space="preserve"> </w:t>
      </w:r>
      <w:r w:rsidRPr="009E064B">
        <w:rPr>
          <w:rFonts w:asciiTheme="minorHAnsi" w:eastAsia="Calibri" w:hAnsiTheme="minorHAnsi" w:cstheme="minorHAnsi"/>
        </w:rPr>
        <w:t>zapotrzebowaniem. Druga część powinna obejmować szkolenie praktyczne i zapoznanie wzrokowe na lotnisku z udziałem odpowiednio przeszkolonej osoby. Praktyczna część nauki będzie wymagała czasu zależnego od złożoności lotniska.</w:t>
      </w:r>
    </w:p>
    <w:p w14:paraId="7FA21DE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przypadku gdy odpowiedzialność za szkolenia kierowców pojazdów (na płycie postojowej i polu manewrowym) i szkolenia RTF jest delegowana do innego dostawcy, zarządzanie lotniskiem powinno ustanowić program audytów, jako element jego systemu zarządzania bezpieczeństwem, aby zapewnić, że uzgodnione standardy są przestrzegane.</w:t>
      </w:r>
    </w:p>
    <w:p w14:paraId="0961A30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Ramy programu szkolenia kierowców pojazdów przedstawionego powyżej stanowią tylko wytyczne i są oparte na aktualnych „dobrych praktykach”. Operator lotniska jest zobowiązany do regularnego przeglądu swoich programów szkolenia dla kierowców pojazdów w odniesieniu do programów i dokumentów dostępnych w całej branży.</w:t>
      </w:r>
    </w:p>
    <w:p w14:paraId="01B7E5F0" w14:textId="2990277A" w:rsidR="00DC7DA6" w:rsidRPr="009E064B" w:rsidRDefault="00DE05DC" w:rsidP="00B06A9A">
      <w:pPr>
        <w:pStyle w:val="Nagwek3"/>
      </w:pPr>
      <w:bookmarkStart w:id="652" w:name="_Toc12532852"/>
      <w:r w:rsidRPr="009E064B">
        <w:t xml:space="preserve">ADR.OPS.B.030 </w:t>
      </w:r>
      <w:r w:rsidR="00E2328A" w:rsidRPr="009E064B">
        <w:t xml:space="preserve">    </w:t>
      </w:r>
      <w:r w:rsidRPr="009E064B">
        <w:t>System kierowania i kontroli ruchu naziemnego</w:t>
      </w:r>
      <w:bookmarkEnd w:id="652"/>
    </w:p>
    <w:p w14:paraId="06FCE9FA" w14:textId="4966DD31"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FA8E1BB" w14:textId="77777777" w:rsidR="00DC7DA6" w:rsidRPr="009E064B" w:rsidRDefault="00DE05DC"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 xml:space="preserve">Operator lotniska zapewnia działanie lotniskowego systemu kierowania i </w:t>
      </w:r>
      <w:r w:rsidR="007D2B91" w:rsidRPr="009E064B">
        <w:rPr>
          <w:rFonts w:asciiTheme="minorHAnsi" w:hAnsiTheme="minorHAnsi" w:cstheme="minorHAnsi"/>
          <w:sz w:val="22"/>
          <w:szCs w:val="22"/>
        </w:rPr>
        <w:t xml:space="preserve">kontroli </w:t>
      </w:r>
      <w:r w:rsidRPr="009E064B">
        <w:rPr>
          <w:rFonts w:asciiTheme="minorHAnsi" w:hAnsiTheme="minorHAnsi" w:cstheme="minorHAnsi"/>
          <w:sz w:val="22"/>
          <w:szCs w:val="22"/>
        </w:rPr>
        <w:t>ruchu naziemnego.</w:t>
      </w:r>
    </w:p>
    <w:p w14:paraId="7CE89F75" w14:textId="2A28B15E" w:rsidR="009D0DC1" w:rsidRPr="009E064B" w:rsidRDefault="009D0DC1" w:rsidP="00133B99">
      <w:pPr>
        <w:pStyle w:val="Nagwek5"/>
      </w:pPr>
      <w:bookmarkStart w:id="653" w:name="_Toc492024742"/>
      <w:bookmarkStart w:id="654" w:name="_Toc12532853"/>
      <w:r w:rsidRPr="009E064B">
        <w:t xml:space="preserve">AMC1 ADR.OPS.B.030    </w:t>
      </w:r>
      <w:r w:rsidR="00E2328A" w:rsidRPr="009E064B">
        <w:t xml:space="preserve"> </w:t>
      </w:r>
      <w:r w:rsidRPr="009E064B">
        <w:t>System kierowania i kontroli ruchu naziemnego</w:t>
      </w:r>
      <w:bookmarkEnd w:id="653"/>
      <w:bookmarkEnd w:id="654"/>
    </w:p>
    <w:p w14:paraId="033A48FA" w14:textId="45E0CAC7"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E0E4542" w14:textId="279D2939"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3483D5C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System kierowania i kontroli ruchu naziemnego powinien uwzględniać:</w:t>
      </w:r>
    </w:p>
    <w:p w14:paraId="40AD64A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natężenie ruchu lotniczego;</w:t>
      </w:r>
    </w:p>
    <w:p w14:paraId="56FB0BF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warunki widzialności, w jakich wykonywane będą operacje;</w:t>
      </w:r>
    </w:p>
    <w:p w14:paraId="780716D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wymagania związane z zapewnieniem orientacji pilotów;</w:t>
      </w:r>
    </w:p>
    <w:p w14:paraId="4304FA1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złożoność układu lotniska; oraz</w:t>
      </w:r>
    </w:p>
    <w:p w14:paraId="30FB547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ruch pojazdów.</w:t>
      </w:r>
    </w:p>
    <w:p w14:paraId="34E3583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System kierowania i kontroli ruchu naziemnego powinien być zaprojektowany tak, aby pomóc w zapobieganiu nieumyślnemu wtargnięciu statku powietrznego lub pojazdu na drogę startową będącą w użyciu;</w:t>
      </w:r>
    </w:p>
    <w:p w14:paraId="10BBA4F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System powinien być zaprojektowany tak, aby pomóc w zapobieganiu kolizjom statków powietrznych oraz statków powietrznych i pojazdów lub obiektów, na każdej części pola ruchu naziemnego.</w:t>
      </w:r>
    </w:p>
    <w:p w14:paraId="09B4B56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Jeżeli system kierowania i kontroli ruchu naziemnego jest zapewniany przez selektywne przełączania poprzeczek zatrzymania i świateł linii środkowej drogi kołowania, to powinny być spełnione następujące wymagania:</w:t>
      </w:r>
    </w:p>
    <w:p w14:paraId="749F2AA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trasy kołowania, które są wskazane przez podświetlenie świateł linii środkowej drogi kołowania powinny mieć możliwość oznaczenia ich zakończenia za pomocą podświetlonej poprzeczki zatrzymania;</w:t>
      </w:r>
    </w:p>
    <w:p w14:paraId="1934D98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układy sterowania powinny być tak zaprojektowane, że gdy poprzeczka zatrzymania znajdująca się przed statkiem powietrznym jest podświetlona, to odpowiedni odcinek świateł linii środkowej drogi kołowania poza nią jest wyłączony; oraz</w:t>
      </w:r>
    </w:p>
    <w:p w14:paraId="1B8B0B1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światła linii środkowej drogi kołowania są aktywowane przed statkiem powietrznym, gdy poprzeczka zatrzymania jest wyłączona.</w:t>
      </w:r>
    </w:p>
    <w:p w14:paraId="50ED2FCE" w14:textId="41249EF4" w:rsidR="000209A8" w:rsidRDefault="009D0DC1" w:rsidP="000209A8">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Operator lotniska powinien rozwijać procedury systemu kierowania i kontroli ruchu naziemnego we współpracy z instytucją zapewniającą służby ruchu lotniczego na lotnisku.</w:t>
      </w:r>
      <w:r w:rsidR="000209A8">
        <w:rPr>
          <w:rFonts w:asciiTheme="minorHAnsi" w:eastAsia="Calibri" w:hAnsiTheme="minorHAnsi" w:cstheme="minorHAnsi"/>
        </w:rPr>
        <w:t xml:space="preserve"> </w:t>
      </w:r>
      <w:r w:rsidR="000209A8">
        <w:rPr>
          <w:rFonts w:asciiTheme="minorHAnsi" w:eastAsia="Calibri" w:hAnsiTheme="minorHAnsi" w:cstheme="minorHAnsi"/>
        </w:rPr>
        <w:br w:type="page"/>
      </w:r>
    </w:p>
    <w:p w14:paraId="6E1BAB47" w14:textId="55F69138" w:rsidR="009D0DC1" w:rsidRPr="009E064B" w:rsidRDefault="00E2328A" w:rsidP="00133B99">
      <w:pPr>
        <w:pStyle w:val="Nagwek6"/>
      </w:pPr>
      <w:bookmarkStart w:id="655" w:name="_Toc492024743"/>
      <w:bookmarkStart w:id="656" w:name="_Toc12532854"/>
      <w:r w:rsidRPr="009E064B">
        <w:t xml:space="preserve">GM1 ADR.OPS.B.030     </w:t>
      </w:r>
      <w:r w:rsidR="009D0DC1" w:rsidRPr="009E064B">
        <w:t>System kierowania i kontroli ruchu naziemnego</w:t>
      </w:r>
      <w:bookmarkEnd w:id="655"/>
      <w:bookmarkEnd w:id="656"/>
    </w:p>
    <w:p w14:paraId="3686ABB2" w14:textId="5D41A75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67758A87" w14:textId="55F68237"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2350461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System kierowania i kontroli ruchu naziemnego powinien zawierać odpowiednią kombinację pomocy wzrokowych, pomocy niewzrokowych, procedur, kontroli, regulacji, zarządzania i punktów informacyjnych. Systemy w swym zakresie rozciągają się od bardzo prostych na małych lotniskach o małym natężeniu ruchu działających w dobrych warunkach widzialności, do złożonych systemów niezbędnych na dużych lotniskach o dużym natężeniu ruchu, działających w warunkach ograniczonej widzialności. Wybrany na lotnisku system, będzie odpowiedni do środowiska operacyjnego, w którym lotnisko będzie działać.</w:t>
      </w:r>
    </w:p>
    <w:p w14:paraId="599DD38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Radar ruchu naziemnego dla pola manewrowego może być instalowany na lotnisku przeznaczonym do użytkowania w warunkach widzialności wzdłuż drogi startowej mniejszej niż 350 metrów.</w:t>
      </w:r>
    </w:p>
    <w:p w14:paraId="16C8762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Radar ruchu naziemnego dla pola manewrowego może być instalowany na lotnisku innym niż (b) powyżej, gdy natężenie ruchu i warunki pracy są takie, że regularność przepływu ruchu nie może być utrzymana przez alternatywne procedury i urządzenia.</w:t>
      </w:r>
    </w:p>
    <w:p w14:paraId="2368772E" w14:textId="0F7504EF" w:rsidR="00DC7DA6" w:rsidRPr="009E064B" w:rsidRDefault="00DE05DC" w:rsidP="00B06A9A">
      <w:pPr>
        <w:pStyle w:val="Nagwek3"/>
      </w:pPr>
      <w:bookmarkStart w:id="657" w:name="_Toc12532855"/>
      <w:r w:rsidRPr="009E064B">
        <w:t xml:space="preserve">ADR.OPS.B.035 </w:t>
      </w:r>
      <w:r w:rsidR="00E2328A" w:rsidRPr="009E064B">
        <w:t xml:space="preserve">    </w:t>
      </w:r>
      <w:r w:rsidRPr="009E064B">
        <w:t>Operacje w warunkach zimowych</w:t>
      </w:r>
      <w:bookmarkEnd w:id="657"/>
    </w:p>
    <w:p w14:paraId="79B0D31C" w14:textId="11966201"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F9FCA3E" w14:textId="77777777" w:rsidR="00DC7DA6" w:rsidRPr="009E064B" w:rsidRDefault="00DE05DC" w:rsidP="00B06A9A">
      <w:pPr>
        <w:pStyle w:val="Tekstpodstawowy"/>
        <w:tabs>
          <w:tab w:val="left" w:pos="0"/>
        </w:tabs>
        <w:ind w:left="0" w:right="-2" w:firstLine="0"/>
        <w:rPr>
          <w:rFonts w:asciiTheme="minorHAnsi" w:hAnsiTheme="minorHAnsi" w:cstheme="minorHAnsi"/>
          <w:sz w:val="22"/>
          <w:szCs w:val="22"/>
        </w:rPr>
      </w:pPr>
      <w:r w:rsidRPr="009E064B">
        <w:rPr>
          <w:rFonts w:asciiTheme="minorHAnsi" w:hAnsiTheme="minorHAnsi" w:cstheme="minorHAnsi"/>
          <w:sz w:val="22"/>
          <w:szCs w:val="22"/>
        </w:rPr>
        <w:t>Operator lo</w:t>
      </w:r>
      <w:r w:rsidR="00DC418E" w:rsidRPr="009E064B">
        <w:rPr>
          <w:rFonts w:asciiTheme="minorHAnsi" w:hAnsiTheme="minorHAnsi" w:cstheme="minorHAnsi"/>
          <w:sz w:val="22"/>
          <w:szCs w:val="22"/>
        </w:rPr>
        <w:t xml:space="preserve">tniska zapewnia ustanowienie i wdrożenie środków i </w:t>
      </w:r>
      <w:r w:rsidRPr="009E064B">
        <w:rPr>
          <w:rFonts w:asciiTheme="minorHAnsi" w:hAnsiTheme="minorHAnsi" w:cstheme="minorHAnsi"/>
          <w:sz w:val="22"/>
          <w:szCs w:val="22"/>
        </w:rPr>
        <w:t>procedur gwarantujących bezpie</w:t>
      </w:r>
      <w:r w:rsidR="00DC418E" w:rsidRPr="009E064B">
        <w:rPr>
          <w:rFonts w:asciiTheme="minorHAnsi" w:hAnsiTheme="minorHAnsi" w:cstheme="minorHAnsi"/>
          <w:sz w:val="22"/>
          <w:szCs w:val="22"/>
        </w:rPr>
        <w:t>czeństwo użytkowania lotniska w</w:t>
      </w:r>
      <w:r w:rsidRPr="009E064B">
        <w:rPr>
          <w:rFonts w:asciiTheme="minorHAnsi" w:hAnsiTheme="minorHAnsi" w:cstheme="minorHAnsi"/>
          <w:sz w:val="22"/>
          <w:szCs w:val="22"/>
        </w:rPr>
        <w:t xml:space="preserve"> warunkach zimowych.</w:t>
      </w:r>
    </w:p>
    <w:p w14:paraId="001E63C0" w14:textId="608AB3A0" w:rsidR="009D0DC1" w:rsidRPr="009E064B" w:rsidRDefault="00E2328A" w:rsidP="00133B99">
      <w:pPr>
        <w:pStyle w:val="Nagwek5"/>
      </w:pPr>
      <w:bookmarkStart w:id="658" w:name="_Toc492024744"/>
      <w:bookmarkStart w:id="659" w:name="_Toc12532856"/>
      <w:r w:rsidRPr="009E064B">
        <w:t xml:space="preserve">AMC1 ADR.OPS.B.035     </w:t>
      </w:r>
      <w:r w:rsidR="009D0DC1" w:rsidRPr="009E064B">
        <w:t>Operacje w warunkach zimowych</w:t>
      </w:r>
      <w:bookmarkEnd w:id="658"/>
      <w:bookmarkEnd w:id="659"/>
    </w:p>
    <w:p w14:paraId="28E56B35" w14:textId="472A8101"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44E9B6A" w14:textId="0CE2A12E"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56ACD420" w14:textId="5ED9F0B1"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we współpracy z instytucją zapewni</w:t>
      </w:r>
      <w:r w:rsidR="00997443" w:rsidRPr="009E064B">
        <w:rPr>
          <w:rFonts w:asciiTheme="minorHAnsi" w:eastAsia="Calibri" w:hAnsiTheme="minorHAnsi" w:cstheme="minorHAnsi"/>
        </w:rPr>
        <w:t>ającą służby ruchu lotniczego i </w:t>
      </w:r>
      <w:r w:rsidRPr="009E064B">
        <w:rPr>
          <w:rFonts w:asciiTheme="minorHAnsi" w:eastAsia="Calibri" w:hAnsiTheme="minorHAnsi" w:cstheme="minorHAnsi"/>
        </w:rPr>
        <w:t>innymi zainteresowanymi stronami, przygotować procedury utrzymania zimowego lotniska (plan odśnieżania lotniska). Procedury powinny zawierać wymagania dotyczące inspekcji, kryteria i priorytety odśnieżania, kryteria przygotowania powierzchni operacyjnych, wymagania dotyczące oznakowania zaśnieżonych powierzchni operacyjnych i metody oceny oraz zgłaszania informacji o warunkach powierzchni. Kryteria określone w procedurach utrzymania zimowego lotniska powinny być kryteriami minimalnymi dla utrzymania bezpieczeństwa operacji lotniskowych, w tym kryteria zawieszania operacji na drodze startowej.</w:t>
      </w:r>
    </w:p>
    <w:p w14:paraId="3F52A651" w14:textId="11EA6372"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Operator lotniska powinien zapewniać, że śnieg, błoto pośniegowe, lód, stojąca woda, i inne zanieczyszczenia są usuwane z powierzchni nawierzchni sztuczne</w:t>
      </w:r>
      <w:r w:rsidR="00997443" w:rsidRPr="009E064B">
        <w:rPr>
          <w:rFonts w:asciiTheme="minorHAnsi" w:eastAsia="Calibri" w:hAnsiTheme="minorHAnsi" w:cstheme="minorHAnsi"/>
        </w:rPr>
        <w:t>j drogi startowej, tak szybko i </w:t>
      </w:r>
      <w:r w:rsidRPr="009E064B">
        <w:rPr>
          <w:rFonts w:asciiTheme="minorHAnsi" w:eastAsia="Calibri" w:hAnsiTheme="minorHAnsi" w:cstheme="minorHAnsi"/>
        </w:rPr>
        <w:t>całkowicie, jak to możliwe, aby zminimalizować ich nagromadzanie.</w:t>
      </w:r>
    </w:p>
    <w:p w14:paraId="60C35155" w14:textId="001F3A84" w:rsidR="00997443"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w przypadku stosowania środków chemicznych do usuwania śniegu, błota pośniegowego, lodu i innych zanieczyszczeń z powie</w:t>
      </w:r>
      <w:r w:rsidR="00997443" w:rsidRPr="009E064B">
        <w:rPr>
          <w:rFonts w:asciiTheme="minorHAnsi" w:eastAsia="Calibri" w:hAnsiTheme="minorHAnsi" w:cstheme="minorHAnsi"/>
        </w:rPr>
        <w:t>rzchni operacyjnych, powinien w </w:t>
      </w:r>
      <w:r w:rsidRPr="009E064B">
        <w:rPr>
          <w:rFonts w:asciiTheme="minorHAnsi" w:eastAsia="Calibri" w:hAnsiTheme="minorHAnsi" w:cstheme="minorHAnsi"/>
        </w:rPr>
        <w:t>wystarczającym stopniu, unikać szkodliwego wpływu na środowisko naturalne, statki powietrzne lub nawierzchnie sztuczne.</w:t>
      </w:r>
    </w:p>
    <w:p w14:paraId="401416E6" w14:textId="33F4F1C1" w:rsidR="009D0DC1" w:rsidRPr="009E064B" w:rsidRDefault="00E2328A" w:rsidP="00133B99">
      <w:pPr>
        <w:pStyle w:val="Nagwek6"/>
      </w:pPr>
      <w:bookmarkStart w:id="660" w:name="_Toc492024745"/>
      <w:bookmarkStart w:id="661" w:name="_Toc12532857"/>
      <w:r w:rsidRPr="009E064B">
        <w:t xml:space="preserve">GM1 ADR.OPS.B.035     </w:t>
      </w:r>
      <w:r w:rsidR="009D0DC1" w:rsidRPr="009E064B">
        <w:t>Operacje w warunkach zimowych</w:t>
      </w:r>
      <w:bookmarkEnd w:id="660"/>
      <w:bookmarkEnd w:id="661"/>
    </w:p>
    <w:p w14:paraId="5DBF5A68" w14:textId="2FDDB9B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0FC345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PLAN ODŚNIEŻANIA LOTNISKA</w:t>
      </w:r>
    </w:p>
    <w:p w14:paraId="3671421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Plan odśnieżania lotniska powinien być opublikowany i dostępny dla wszystkich zainteresowanych sprawami odśnieżania.</w:t>
      </w:r>
    </w:p>
    <w:p w14:paraId="3201BE6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Szczegóły dotyczące dostępnych na lotnisku urządzeń powinny być publikowane w Zbiorze Informacji Lotniczych (AIP).</w:t>
      </w:r>
    </w:p>
    <w:p w14:paraId="07F16E6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Plan odśnieżania lotniska powinien zawierać następujące elementy:</w:t>
      </w:r>
    </w:p>
    <w:p w14:paraId="54250CC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członków komisji ds. odśnieżania z osobą odpowiedzialną za działania związane z odśnieżaniem oraz hierarchią służbową przedstawiającą podział zadań;</w:t>
      </w:r>
    </w:p>
    <w:p w14:paraId="2C672FD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sposoby komunikowania się pomiędzy służbami operacyjnymi lotniska, kontrolą ruchu lotniczego i biurem meteorologicznym;</w:t>
      </w:r>
    </w:p>
    <w:p w14:paraId="0DA2276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dostępny do odśnieżania sprzęt. Powinno to obejmować urządzenia do zgarniania, zamiatania i zdmuchiwania śniegu;</w:t>
      </w:r>
    </w:p>
    <w:p w14:paraId="20CDDF3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priorytet powierzchni do czyszczenia i ograniczenia oczyszczenia dla statków powietrznych korzystających z lotniska;</w:t>
      </w:r>
    </w:p>
    <w:p w14:paraId="14F97AE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zbieranie informacji potrzebnych do SNOWTAM i rozpowszechnianie informacji;</w:t>
      </w:r>
    </w:p>
    <w:p w14:paraId="41EBD62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wyznaczone obszary składowania lub topienia śniegu, aby uniknąć nieporozumień podczas rzeczywistych działań związanych z odśnieżaniem;</w:t>
      </w:r>
    </w:p>
    <w:p w14:paraId="0F83ED9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system ostrzegania tak, aby zagwarantować wystarczające ostrzeganie wszystkich zaangażowanych podmiotów;</w:t>
      </w:r>
    </w:p>
    <w:p w14:paraId="533E75A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(8) </w:t>
      </w:r>
      <w:r w:rsidRPr="009E064B">
        <w:rPr>
          <w:rFonts w:asciiTheme="minorHAnsi" w:eastAsia="Calibri" w:hAnsiTheme="minorHAnsi" w:cstheme="minorHAnsi"/>
        </w:rPr>
        <w:tab/>
        <w:t>dostępne zasoby ludzkie, w tym personel zapewniający utrzymanie i obsługę techniczną sprzętu dla zmian roboczych oraz procedury powiadamiania personelu;</w:t>
      </w:r>
    </w:p>
    <w:p w14:paraId="1E343933"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(9) </w:t>
      </w:r>
      <w:r w:rsidRPr="009E064B">
        <w:rPr>
          <w:rFonts w:asciiTheme="minorHAnsi" w:eastAsia="Calibri" w:hAnsiTheme="minorHAnsi" w:cstheme="minorHAnsi"/>
        </w:rPr>
        <w:tab/>
        <w:t>rozmieszczenie sprzętu i rozwiązania taktyczne, które będą stosowane;</w:t>
      </w:r>
    </w:p>
    <w:p w14:paraId="54830F7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(10) </w:t>
      </w:r>
      <w:r w:rsidRPr="009E064B">
        <w:rPr>
          <w:rFonts w:asciiTheme="minorHAnsi" w:eastAsia="Calibri" w:hAnsiTheme="minorHAnsi" w:cstheme="minorHAnsi"/>
        </w:rPr>
        <w:tab/>
        <w:t>ogólne zasady, których należy przestrzegać przy podejmowaniu decyzji, kiedy zamknąć drogi startowe dla odśnieżania i wyznaczenie personelu kierowniczego uprawnionego do podjęcia decyzji;</w:t>
      </w:r>
    </w:p>
    <w:p w14:paraId="42F58CC4"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(11) </w:t>
      </w:r>
      <w:r w:rsidRPr="009E064B">
        <w:rPr>
          <w:rFonts w:asciiTheme="minorHAnsi" w:eastAsia="Calibri" w:hAnsiTheme="minorHAnsi" w:cstheme="minorHAnsi"/>
        </w:rPr>
        <w:tab/>
        <w:t>metody oceny i powiadamiania o warunkach nawierzchni; oraz</w:t>
      </w:r>
    </w:p>
    <w:p w14:paraId="6126260D" w14:textId="3036FFE9" w:rsidR="000B4068"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(12) </w:t>
      </w:r>
      <w:r w:rsidRPr="009E064B">
        <w:rPr>
          <w:rFonts w:asciiTheme="minorHAnsi" w:eastAsia="Calibri" w:hAnsiTheme="minorHAnsi" w:cstheme="minorHAnsi"/>
        </w:rPr>
        <w:tab/>
        <w:t>kryteria zawieszenia operacji na drodze startowej.</w:t>
      </w:r>
    </w:p>
    <w:p w14:paraId="0F8E9B50" w14:textId="0EF76C71" w:rsidR="00DC7DA6" w:rsidRPr="009E064B" w:rsidRDefault="00DE05DC" w:rsidP="00B06A9A">
      <w:pPr>
        <w:pStyle w:val="Nagwek3"/>
      </w:pPr>
      <w:bookmarkStart w:id="662" w:name="_Toc12532858"/>
      <w:r w:rsidRPr="009E064B">
        <w:t xml:space="preserve">ADR.OPS.B.040 </w:t>
      </w:r>
      <w:r w:rsidR="00E2328A" w:rsidRPr="009E064B">
        <w:t xml:space="preserve">    </w:t>
      </w:r>
      <w:r w:rsidRPr="009E064B">
        <w:t>Operacje nocne</w:t>
      </w:r>
      <w:bookmarkEnd w:id="662"/>
    </w:p>
    <w:p w14:paraId="6CE916B0" w14:textId="1348D661"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5185AD8" w14:textId="77777777"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 xml:space="preserve">Operator lotniska zapewnia ustanowienie </w:t>
      </w:r>
      <w:r w:rsidR="007D2B91" w:rsidRPr="009E064B">
        <w:rPr>
          <w:rFonts w:asciiTheme="minorHAnsi" w:hAnsiTheme="minorHAnsi" w:cstheme="minorHAnsi"/>
          <w:sz w:val="22"/>
          <w:szCs w:val="20"/>
        </w:rPr>
        <w:t xml:space="preserve">i </w:t>
      </w:r>
      <w:r w:rsidRPr="009E064B">
        <w:rPr>
          <w:rFonts w:asciiTheme="minorHAnsi" w:hAnsiTheme="minorHAnsi" w:cstheme="minorHAnsi"/>
          <w:sz w:val="22"/>
          <w:szCs w:val="20"/>
        </w:rPr>
        <w:t xml:space="preserve">wdrożenie środków </w:t>
      </w:r>
      <w:r w:rsidR="007D2B91" w:rsidRPr="009E064B">
        <w:rPr>
          <w:rFonts w:asciiTheme="minorHAnsi" w:hAnsiTheme="minorHAnsi" w:cstheme="minorHAnsi"/>
          <w:sz w:val="22"/>
          <w:szCs w:val="20"/>
        </w:rPr>
        <w:t xml:space="preserve">i </w:t>
      </w:r>
      <w:r w:rsidRPr="009E064B">
        <w:rPr>
          <w:rFonts w:asciiTheme="minorHAnsi" w:hAnsiTheme="minorHAnsi" w:cstheme="minorHAnsi"/>
          <w:sz w:val="22"/>
          <w:szCs w:val="20"/>
        </w:rPr>
        <w:t>procedur gwarantujących bezpieczeństwo użytkowania lotniska podczas operacji nocnych.</w:t>
      </w:r>
    </w:p>
    <w:p w14:paraId="5261E284" w14:textId="5B4705DD" w:rsidR="009D0DC1" w:rsidRPr="009E064B" w:rsidRDefault="00E2328A" w:rsidP="00133B99">
      <w:pPr>
        <w:pStyle w:val="Nagwek5"/>
      </w:pPr>
      <w:bookmarkStart w:id="663" w:name="_Toc492024746"/>
      <w:bookmarkStart w:id="664" w:name="_Toc12532859"/>
      <w:r w:rsidRPr="009E064B">
        <w:t xml:space="preserve">AMC1 ADR.OPS.B.040     </w:t>
      </w:r>
      <w:r w:rsidR="009D0DC1" w:rsidRPr="009E064B">
        <w:t>Operacje nocne</w:t>
      </w:r>
      <w:bookmarkEnd w:id="663"/>
      <w:bookmarkEnd w:id="664"/>
    </w:p>
    <w:p w14:paraId="103BB7D3" w14:textId="13AAEA8C"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E07D345" w14:textId="6A4D048D"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6D40F20E"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w przypadku lotnisk użytkowanych w nocy, powinien, we współpracy z instytucją zapewniającą służby ruchu lotniczego, upewnić się, że zainstalowane, użytkowane i utrzymywane pomoce wzrokowe umożliwiają bezpieczne wykonywanie operacji statków powietrznych.</w:t>
      </w:r>
    </w:p>
    <w:p w14:paraId="6F92E3D1" w14:textId="55AD1364" w:rsidR="00DC7DA6" w:rsidRPr="009E064B" w:rsidRDefault="00DE05DC" w:rsidP="00B06A9A">
      <w:pPr>
        <w:pStyle w:val="Nagwek3"/>
      </w:pPr>
      <w:bookmarkStart w:id="665" w:name="_ADR.OPS.B.045__"/>
      <w:bookmarkStart w:id="666" w:name="_Toc12532860"/>
      <w:bookmarkEnd w:id="665"/>
      <w:r w:rsidRPr="009E064B">
        <w:t xml:space="preserve">ADR.OPS.B.045 </w:t>
      </w:r>
      <w:r w:rsidR="00E2328A" w:rsidRPr="009E064B">
        <w:t xml:space="preserve">    </w:t>
      </w:r>
      <w:r w:rsidRPr="009E064B">
        <w:t>Operacje przy ograniczonej widzialności</w:t>
      </w:r>
      <w:bookmarkEnd w:id="666"/>
    </w:p>
    <w:p w14:paraId="713AB5F2" w14:textId="5555225A"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7462E9D7" w14:textId="37AD853E"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zapewnia ustanowienie i wdrożenie środków i procedur gwarantujących bezpieczeństwo użytkowania lotniska w warunkach ograniczonej widzialności.</w:t>
      </w:r>
    </w:p>
    <w:p w14:paraId="11B1D0B9" w14:textId="16DD7AFC"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Procedury ograniczonej widzialności wymagają uprzedniego zatwierdzenia przez właściwy organ.</w:t>
      </w:r>
    </w:p>
    <w:p w14:paraId="6DA1072C" w14:textId="4BDED804" w:rsidR="009D0DC1" w:rsidRPr="009E064B" w:rsidRDefault="00E2328A" w:rsidP="00133B99">
      <w:pPr>
        <w:pStyle w:val="Nagwek5"/>
      </w:pPr>
      <w:bookmarkStart w:id="667" w:name="_Toc492024747"/>
      <w:bookmarkStart w:id="668" w:name="_Toc12532861"/>
      <w:r w:rsidRPr="009E064B">
        <w:t xml:space="preserve">AMC1 ADR.OPS.B.045     </w:t>
      </w:r>
      <w:r w:rsidR="009D0DC1" w:rsidRPr="009E064B">
        <w:t xml:space="preserve">Operacje </w:t>
      </w:r>
      <w:r w:rsidR="005F6768" w:rsidRPr="009E064B">
        <w:t>przy</w:t>
      </w:r>
      <w:r w:rsidR="009D0DC1" w:rsidRPr="009E064B">
        <w:t xml:space="preserve"> ograniczonej widzialności</w:t>
      </w:r>
      <w:bookmarkEnd w:id="667"/>
      <w:bookmarkEnd w:id="668"/>
    </w:p>
    <w:p w14:paraId="559D0524" w14:textId="5F3320AC"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3DB0E1F" w14:textId="549356C1"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05B97F27" w14:textId="58A6D58A"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we współpracy z instytucją zapewni</w:t>
      </w:r>
      <w:r w:rsidR="00997443" w:rsidRPr="009E064B">
        <w:rPr>
          <w:rFonts w:asciiTheme="minorHAnsi" w:eastAsia="Calibri" w:hAnsiTheme="minorHAnsi" w:cstheme="minorHAnsi"/>
        </w:rPr>
        <w:t>ającą służby ruchu lotniczego i z </w:t>
      </w:r>
      <w:r w:rsidRPr="009E064B">
        <w:rPr>
          <w:rFonts w:asciiTheme="minorHAnsi" w:eastAsia="Calibri" w:hAnsiTheme="minorHAnsi" w:cstheme="minorHAnsi"/>
        </w:rPr>
        <w:t>instytucją zapewniającą służbę zarządzania płytą postojową, jeśli jest zapewniana, ustanowić procedury dla operacji w warunkach ograniczonej widzialnośc</w:t>
      </w:r>
      <w:r w:rsidR="00E2328A" w:rsidRPr="009E064B">
        <w:rPr>
          <w:rFonts w:asciiTheme="minorHAnsi" w:eastAsia="Calibri" w:hAnsiTheme="minorHAnsi" w:cstheme="minorHAnsi"/>
        </w:rPr>
        <w:t xml:space="preserve">i, gdy są wykonywane podejścia </w:t>
      </w:r>
      <w:r w:rsidRPr="009E064B">
        <w:rPr>
          <w:rFonts w:asciiTheme="minorHAnsi" w:eastAsia="Calibri" w:hAnsiTheme="minorHAnsi" w:cstheme="minorHAnsi"/>
        </w:rPr>
        <w:t>poniżej standardu w kategorii I, innej niż standardowe w kategoria II, w kategorii II lub III oraz wykonywane są starty w warunkach ograniczonej widzialności.</w:t>
      </w:r>
    </w:p>
    <w:p w14:paraId="384F9E0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przypadku, gdy procedury ograniczonej widzialności (LVP) są wdrożone, operator lotniska powinien udostępnić służbom informacji lotniczej i/lub służbom ruchu lotniczego, według właściwości, informacje na temat statusu urządzeń lotniskowych.</w:t>
      </w:r>
    </w:p>
    <w:p w14:paraId="616D9E5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powinien ustanowić i wdrożyć procedury w celu zapewnienia, że jeżeli procedury ograniczonej widzialności (LVP) są stosowane, to obecność osób i pojazdów poruszających się na płycie postojowej jest ograniczona do niezbędnego minimum.</w:t>
      </w:r>
    </w:p>
    <w:p w14:paraId="455FA9B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procedury, które mają być ustanowione przez operatora lotniska do zapewnienia bezpieczeństwa operacji lotniskowych w warunkach ograniczonej widzialności powinny obejmować następujące zagadnienia:</w:t>
      </w:r>
    </w:p>
    <w:p w14:paraId="01FDFFD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cechy fizyczne środowiska drogi startowej, w tym obszary przed progiem, podejścia do lądowania i odlotu;</w:t>
      </w:r>
    </w:p>
    <w:p w14:paraId="084B827E"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powierzchnie ograniczające przeszkody;</w:t>
      </w:r>
    </w:p>
    <w:p w14:paraId="53D9CA8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nadzór i utrzymanie pomocy wzrokowych;</w:t>
      </w:r>
    </w:p>
    <w:p w14:paraId="653B9B1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zabezpieczenie pomocy niewzrokowych niezbędnych do procedur ograniczonej widzialności;</w:t>
      </w:r>
    </w:p>
    <w:p w14:paraId="3AB8934C"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rezerwowe źródła zasilania;</w:t>
      </w:r>
    </w:p>
    <w:p w14:paraId="55F7A65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(6) </w:t>
      </w:r>
      <w:r w:rsidRPr="009E064B">
        <w:rPr>
          <w:rFonts w:asciiTheme="minorHAnsi" w:eastAsia="Calibri" w:hAnsiTheme="minorHAnsi" w:cstheme="minorHAnsi"/>
        </w:rPr>
        <w:tab/>
        <w:t>bezpieczeństwo pola ruchu naziemnego;</w:t>
      </w:r>
    </w:p>
    <w:p w14:paraId="18B47E3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(7) </w:t>
      </w:r>
      <w:r w:rsidRPr="009E064B">
        <w:rPr>
          <w:rFonts w:asciiTheme="minorHAnsi" w:eastAsia="Calibri" w:hAnsiTheme="minorHAnsi" w:cstheme="minorHAnsi"/>
        </w:rPr>
        <w:tab/>
        <w:t>służby ratowniczo-gaśnicze.</w:t>
      </w:r>
    </w:p>
    <w:p w14:paraId="5F5AE96F" w14:textId="04FBB7FB" w:rsidR="00DC7DA6" w:rsidRPr="009E064B" w:rsidRDefault="00DE05DC" w:rsidP="00B06A9A">
      <w:pPr>
        <w:pStyle w:val="Nagwek3"/>
      </w:pPr>
      <w:bookmarkStart w:id="669" w:name="_Toc12532862"/>
      <w:r w:rsidRPr="009E064B">
        <w:t xml:space="preserve">ADR.OPS.B.050 </w:t>
      </w:r>
      <w:r w:rsidR="00E2328A" w:rsidRPr="009E064B">
        <w:t xml:space="preserve">    </w:t>
      </w:r>
      <w:r w:rsidRPr="009E064B">
        <w:t>Operacje w niekorzystnych warunkach pogodowych</w:t>
      </w:r>
      <w:bookmarkEnd w:id="669"/>
    </w:p>
    <w:p w14:paraId="3DBA1EEA" w14:textId="0F5A8312"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840DDD0" w14:textId="2695FE16" w:rsidR="00997443"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 xml:space="preserve">Operator lotniska zapewnia ustanowienie </w:t>
      </w:r>
      <w:r w:rsidR="007D2B91" w:rsidRPr="009E064B">
        <w:rPr>
          <w:rFonts w:asciiTheme="minorHAnsi" w:hAnsiTheme="minorHAnsi" w:cstheme="minorHAnsi"/>
          <w:sz w:val="22"/>
          <w:szCs w:val="20"/>
        </w:rPr>
        <w:t xml:space="preserve">i </w:t>
      </w:r>
      <w:r w:rsidRPr="009E064B">
        <w:rPr>
          <w:rFonts w:asciiTheme="minorHAnsi" w:hAnsiTheme="minorHAnsi" w:cstheme="minorHAnsi"/>
          <w:sz w:val="22"/>
          <w:szCs w:val="20"/>
        </w:rPr>
        <w:t xml:space="preserve">wdrożenie środków </w:t>
      </w:r>
      <w:r w:rsidR="007D2B91" w:rsidRPr="009E064B">
        <w:rPr>
          <w:rFonts w:asciiTheme="minorHAnsi" w:hAnsiTheme="minorHAnsi" w:cstheme="minorHAnsi"/>
          <w:sz w:val="22"/>
          <w:szCs w:val="20"/>
        </w:rPr>
        <w:t xml:space="preserve">i </w:t>
      </w:r>
      <w:r w:rsidRPr="009E064B">
        <w:rPr>
          <w:rFonts w:asciiTheme="minorHAnsi" w:hAnsiTheme="minorHAnsi" w:cstheme="minorHAnsi"/>
          <w:sz w:val="22"/>
          <w:szCs w:val="20"/>
        </w:rPr>
        <w:t>procedur gwarantujących bezpieczeństwo użytkowania lotniska w niekorzystnych warunkach pogodowych.</w:t>
      </w:r>
    </w:p>
    <w:p w14:paraId="5B8A3021" w14:textId="4EB56E92" w:rsidR="009D0DC1" w:rsidRPr="009E064B" w:rsidRDefault="00E2328A" w:rsidP="00133B99">
      <w:pPr>
        <w:pStyle w:val="Nagwek5"/>
      </w:pPr>
      <w:bookmarkStart w:id="670" w:name="_Toc492024748"/>
      <w:bookmarkStart w:id="671" w:name="_Toc12532863"/>
      <w:r w:rsidRPr="009E064B">
        <w:t xml:space="preserve">AMC1 ADR.OPS.B.050     </w:t>
      </w:r>
      <w:r w:rsidR="009D0DC1" w:rsidRPr="009E064B">
        <w:t>Operacje w niekorzystnych warunkach pogodowych</w:t>
      </w:r>
      <w:bookmarkEnd w:id="670"/>
      <w:bookmarkEnd w:id="671"/>
    </w:p>
    <w:p w14:paraId="5F654B56" w14:textId="1EF20926"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C080AEB"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PROCEDURY</w:t>
      </w:r>
    </w:p>
    <w:p w14:paraId="6B97A9B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razem ze służbami ruchu lotniczego i innymi zainteresowanymi podmiotami działającymi na lotnisku, ustanowić i wdrożyć procedury wymagane do zmniejszenia ryzyka działania lotniska w niekorzystnych warunkach pogodowych, takich jak silne wiatry, intensywne opady deszczu i burze, włącznie z zawieszeniem operacji lotniczych na drodze startowej (drogach startowych), jeżeli uzna to za konieczne.</w:t>
      </w:r>
    </w:p>
    <w:p w14:paraId="3455E0B7" w14:textId="1C1FBDF6" w:rsidR="00DC7DA6" w:rsidRPr="009E064B" w:rsidRDefault="00DE05DC" w:rsidP="00B06A9A">
      <w:pPr>
        <w:pStyle w:val="Nagwek3"/>
      </w:pPr>
      <w:bookmarkStart w:id="672" w:name="_Toc12532864"/>
      <w:r w:rsidRPr="009E064B">
        <w:t xml:space="preserve">ADR.OPS.B.055 </w:t>
      </w:r>
      <w:r w:rsidR="00E2328A" w:rsidRPr="009E064B">
        <w:t xml:space="preserve">    </w:t>
      </w:r>
      <w:r w:rsidRPr="009E064B">
        <w:t>Jakość paliwa</w:t>
      </w:r>
      <w:bookmarkEnd w:id="672"/>
    </w:p>
    <w:p w14:paraId="5D9A983B" w14:textId="10C066F2"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ECF01C7" w14:textId="032B70C8"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Operator lotniska sprawdza, czy organizacje zaangażowane w skład</w:t>
      </w:r>
      <w:r w:rsidR="00997443" w:rsidRPr="009E064B">
        <w:rPr>
          <w:rFonts w:asciiTheme="minorHAnsi" w:hAnsiTheme="minorHAnsi" w:cstheme="minorHAnsi"/>
          <w:sz w:val="22"/>
          <w:szCs w:val="20"/>
        </w:rPr>
        <w:t>owanie paliwa i zaopatrywanie w </w:t>
      </w:r>
      <w:r w:rsidRPr="009E064B">
        <w:rPr>
          <w:rFonts w:asciiTheme="minorHAnsi" w:hAnsiTheme="minorHAnsi" w:cstheme="minorHAnsi"/>
          <w:sz w:val="22"/>
          <w:szCs w:val="20"/>
        </w:rPr>
        <w:t xml:space="preserve">nie statków powietrznych posiadają procedury zapewniające, aby paliwo dostarczane statkom powietrznym było wolne od </w:t>
      </w:r>
      <w:r w:rsidR="00DE0098" w:rsidRPr="009E064B">
        <w:rPr>
          <w:rFonts w:asciiTheme="minorHAnsi" w:hAnsiTheme="minorHAnsi" w:cstheme="minorHAnsi"/>
          <w:sz w:val="22"/>
          <w:szCs w:val="20"/>
        </w:rPr>
        <w:t>zanie</w:t>
      </w:r>
      <w:r w:rsidRPr="009E064B">
        <w:rPr>
          <w:rFonts w:asciiTheme="minorHAnsi" w:hAnsiTheme="minorHAnsi" w:cstheme="minorHAnsi"/>
          <w:sz w:val="22"/>
          <w:szCs w:val="20"/>
        </w:rPr>
        <w:t>czyszczeń i posiadało prawidłowe właściwości.</w:t>
      </w:r>
    </w:p>
    <w:p w14:paraId="3683E9D0" w14:textId="39D603D8" w:rsidR="009D0DC1" w:rsidRPr="009E064B" w:rsidRDefault="00E2328A" w:rsidP="00133B99">
      <w:pPr>
        <w:pStyle w:val="Nagwek5"/>
      </w:pPr>
      <w:bookmarkStart w:id="673" w:name="_Toc492024749"/>
      <w:bookmarkStart w:id="674" w:name="_Toc12532865"/>
      <w:r w:rsidRPr="009E064B">
        <w:t xml:space="preserve">AMC1 ADR.OPS.B.055     </w:t>
      </w:r>
      <w:r w:rsidR="009D0DC1" w:rsidRPr="009E064B">
        <w:t>Jakość paliwa</w:t>
      </w:r>
      <w:bookmarkEnd w:id="673"/>
      <w:bookmarkEnd w:id="674"/>
    </w:p>
    <w:p w14:paraId="7DADA514" w14:textId="2B39D70B"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9A2EC47" w14:textId="04E53806"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4A4F0495"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sprawdzić, samodzielnie lub poprzez uzgodnienia ze stronami trzecimi, że organizacje zajmujące się przechowywaniem i dostarczaniem paliwa dla statków powietrznych, wdrażają procedury dotyczące:</w:t>
      </w:r>
    </w:p>
    <w:p w14:paraId="546FA916" w14:textId="6B86FC70"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obsługi technicznej i utrzymania instalacji i urządzeń do przechowywania i wydawania paliwa </w:t>
      </w:r>
      <w:r w:rsidR="00137CBC" w:rsidRPr="009E064B">
        <w:rPr>
          <w:rFonts w:asciiTheme="minorHAnsi" w:eastAsia="Calibri" w:hAnsiTheme="minorHAnsi" w:cstheme="minorHAnsi"/>
        </w:rPr>
        <w:t>w </w:t>
      </w:r>
      <w:r w:rsidRPr="009E064B">
        <w:rPr>
          <w:rFonts w:asciiTheme="minorHAnsi" w:eastAsia="Calibri" w:hAnsiTheme="minorHAnsi" w:cstheme="minorHAnsi"/>
        </w:rPr>
        <w:t>takich warunkach, aby nie uczynić go niezdatnym do użytku dla statkach powietrznych;</w:t>
      </w:r>
    </w:p>
    <w:p w14:paraId="5AB68C7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oznaczania takich instalacji i urządzeń w sposób odpowiedni do gatunku paliwa;</w:t>
      </w:r>
    </w:p>
    <w:p w14:paraId="28381C3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pobierania próbek paliw na odpowiednich etapach przechowywania i wydawania paliwa do samolotu, i prowadzenia rejestrów takich próbek; oraz</w:t>
      </w:r>
    </w:p>
    <w:p w14:paraId="0B9EE8B6" w14:textId="7035B4C4" w:rsidR="00C0606B"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wykorzystania odpowiednio wykwalifikowanego i przeszkolonego personelu do prac związanych z przechowywaniem, wydawaniem i innym obchodzeniem się z paliwem na lotnisku.</w:t>
      </w:r>
    </w:p>
    <w:p w14:paraId="6A523E38" w14:textId="7C385AA9" w:rsidR="009D0DC1" w:rsidRPr="009E064B" w:rsidRDefault="00E2328A" w:rsidP="00133B99">
      <w:pPr>
        <w:pStyle w:val="Nagwek6"/>
      </w:pPr>
      <w:bookmarkStart w:id="675" w:name="_Toc492024750"/>
      <w:bookmarkStart w:id="676" w:name="_Toc12532866"/>
      <w:r w:rsidRPr="009E064B">
        <w:t xml:space="preserve">GM1 ADR.OPS.B.055     </w:t>
      </w:r>
      <w:r w:rsidR="009D0DC1" w:rsidRPr="009E064B">
        <w:t>Jakość paliwa</w:t>
      </w:r>
      <w:bookmarkEnd w:id="675"/>
      <w:bookmarkEnd w:id="676"/>
    </w:p>
    <w:p w14:paraId="7029DBB5" w14:textId="2A90353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0DEA824"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ZACHOWANIE ZGODNOŚCI</w:t>
      </w:r>
    </w:p>
    <w:p w14:paraId="48E52A7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W celu zapewnienia zgodności, operator lotniska może wykorzystać:</w:t>
      </w:r>
    </w:p>
    <w:p w14:paraId="1A9A283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raporty z audytów organizacji zaangażowanych w przechowywanie i dostarczanie paliwa dla statków powietrznych, lub</w:t>
      </w:r>
    </w:p>
    <w:p w14:paraId="27048BE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odpowiednie procedury krajowe zapewniające właściwą jakość paliwa.</w:t>
      </w:r>
    </w:p>
    <w:p w14:paraId="74792923" w14:textId="2811A1AC" w:rsidR="00DC7DA6" w:rsidRPr="009E064B" w:rsidRDefault="00DE05DC" w:rsidP="00B06A9A">
      <w:pPr>
        <w:pStyle w:val="Nagwek3"/>
      </w:pPr>
      <w:bookmarkStart w:id="677" w:name="_Toc12532867"/>
      <w:r w:rsidRPr="009E064B">
        <w:t xml:space="preserve">ADR.OPS.B.065 </w:t>
      </w:r>
      <w:r w:rsidR="00E2328A" w:rsidRPr="009E064B">
        <w:t xml:space="preserve">    </w:t>
      </w:r>
      <w:r w:rsidRPr="009E064B">
        <w:t>Pomoce wzrokowe i systemy elektryczne lotniska</w:t>
      </w:r>
      <w:bookmarkEnd w:id="677"/>
    </w:p>
    <w:p w14:paraId="672C1155" w14:textId="4ABAA576"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0A1E031" w14:textId="4AB1FEA4" w:rsidR="00997443"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Operator lotniska musi posiadać procedury zape</w:t>
      </w:r>
      <w:r w:rsidR="00DF7D1B" w:rsidRPr="009E064B">
        <w:rPr>
          <w:rFonts w:asciiTheme="minorHAnsi" w:hAnsiTheme="minorHAnsi" w:cstheme="minorHAnsi"/>
          <w:sz w:val="22"/>
          <w:szCs w:val="20"/>
        </w:rPr>
        <w:t xml:space="preserve">wniające, by pomoce wzrokowe i </w:t>
      </w:r>
      <w:r w:rsidRPr="009E064B">
        <w:rPr>
          <w:rFonts w:asciiTheme="minorHAnsi" w:hAnsiTheme="minorHAnsi" w:cstheme="minorHAnsi"/>
          <w:sz w:val="22"/>
          <w:szCs w:val="20"/>
        </w:rPr>
        <w:t xml:space="preserve">systemy elektryczne lotniska </w:t>
      </w:r>
      <w:r w:rsidR="00DE0098" w:rsidRPr="009E064B">
        <w:rPr>
          <w:rFonts w:asciiTheme="minorHAnsi" w:hAnsiTheme="minorHAnsi" w:cstheme="minorHAnsi"/>
          <w:sz w:val="22"/>
          <w:szCs w:val="20"/>
        </w:rPr>
        <w:t>funk</w:t>
      </w:r>
      <w:r w:rsidRPr="009E064B">
        <w:rPr>
          <w:rFonts w:asciiTheme="minorHAnsi" w:hAnsiTheme="minorHAnsi" w:cstheme="minorHAnsi"/>
          <w:sz w:val="22"/>
          <w:szCs w:val="20"/>
        </w:rPr>
        <w:t>cjonowały zgodnie z przeznaczeniem.</w:t>
      </w:r>
    </w:p>
    <w:p w14:paraId="7D228A5E" w14:textId="709E1A67" w:rsidR="009D0DC1" w:rsidRPr="009E064B" w:rsidRDefault="00E2328A" w:rsidP="00133B99">
      <w:pPr>
        <w:pStyle w:val="Nagwek5"/>
      </w:pPr>
      <w:bookmarkStart w:id="678" w:name="_Toc492024751"/>
      <w:bookmarkStart w:id="679" w:name="_Toc12532868"/>
      <w:r w:rsidRPr="009E064B">
        <w:t xml:space="preserve">AMC1 ADR.OPS.B.065     </w:t>
      </w:r>
      <w:r w:rsidR="009D0DC1" w:rsidRPr="009E064B">
        <w:t>Pomoce wzrokowe i systemy elektryczne lotniska</w:t>
      </w:r>
      <w:bookmarkEnd w:id="678"/>
      <w:bookmarkEnd w:id="679"/>
    </w:p>
    <w:p w14:paraId="31233ECC" w14:textId="15C97B79"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02CDB52" w14:textId="4D9F1165"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43E6B00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ustanowić system monitorowania świateł naziemnych lotniska, tak aby informować instytucję zapewniającą służby ruchu lotniczego, jeśli nie jest już możliwe zapewnienie bezpieczeństwa operacji.</w:t>
      </w:r>
    </w:p>
    <w:p w14:paraId="03FB00B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 (b) </w:t>
      </w:r>
      <w:r w:rsidRPr="009E064B">
        <w:rPr>
          <w:rFonts w:asciiTheme="minorHAnsi" w:eastAsia="Calibri" w:hAnsiTheme="minorHAnsi" w:cstheme="minorHAnsi"/>
        </w:rPr>
        <w:tab/>
        <w:t>Operator lotniska powinien ustanowić procedury eksploatacji pomocy wzrokowych.</w:t>
      </w:r>
    </w:p>
    <w:p w14:paraId="4F56301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powinien ustanowić procedury udostępniania i usuwania tymczasowego oznakowania poziomego, znaków pionowych i świateł.</w:t>
      </w:r>
    </w:p>
    <w:p w14:paraId="388089A6" w14:textId="430D2C88" w:rsidR="00DC7DA6" w:rsidRPr="009E064B" w:rsidRDefault="00DE05DC" w:rsidP="00B06A9A">
      <w:pPr>
        <w:pStyle w:val="Nagwek3"/>
      </w:pPr>
      <w:bookmarkStart w:id="680" w:name="_Toc12532869"/>
      <w:r w:rsidRPr="009E064B">
        <w:t xml:space="preserve">ADR.OPS.B.070 </w:t>
      </w:r>
      <w:r w:rsidR="00E2328A" w:rsidRPr="009E064B">
        <w:t xml:space="preserve">    </w:t>
      </w:r>
      <w:r w:rsidRPr="009E064B">
        <w:t>Bezpieczeństwo prac prowadzonych na lotnisku</w:t>
      </w:r>
      <w:bookmarkEnd w:id="680"/>
    </w:p>
    <w:p w14:paraId="362D793A" w14:textId="42FCCA2D"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09906A55" w14:textId="49C3D8C2"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ustanawia i wdraża procedury zapewniające, by:</w:t>
      </w:r>
    </w:p>
    <w:p w14:paraId="044C0491" w14:textId="795F61B1"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prace prowadzone na lotnisku nie miały wpływu na bezpieczeństwo statków powietrznych; oraz</w:t>
      </w:r>
    </w:p>
    <w:p w14:paraId="7357DF4D" w14:textId="5B33AD9F"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działania związane z użytkowaniem lotniska nie miały wpływu na bezpieczeństwo prac prowadzonych na lotnisku.</w:t>
      </w:r>
    </w:p>
    <w:p w14:paraId="0D1E88C2" w14:textId="7099180A" w:rsidR="009D0DC1" w:rsidRPr="009E064B" w:rsidRDefault="00E2328A" w:rsidP="00133B99">
      <w:pPr>
        <w:pStyle w:val="Nagwek5"/>
      </w:pPr>
      <w:bookmarkStart w:id="681" w:name="_Toc415056383"/>
      <w:bookmarkStart w:id="682" w:name="_Toc492024752"/>
      <w:bookmarkStart w:id="683" w:name="_Toc12532870"/>
      <w:r w:rsidRPr="009E064B">
        <w:t xml:space="preserve">AMC1 ADR.OPS.B.070     Bezpieczeństwo </w:t>
      </w:r>
      <w:r w:rsidR="009D0DC1" w:rsidRPr="009E064B">
        <w:t>prac prowadzonych na lotnisku</w:t>
      </w:r>
      <w:bookmarkEnd w:id="681"/>
      <w:bookmarkEnd w:id="682"/>
      <w:bookmarkEnd w:id="683"/>
    </w:p>
    <w:p w14:paraId="677130A6" w14:textId="1CFAEE61"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C6436A7" w14:textId="2A816AF6"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2B91A98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Procedury powinny być dostosowane do wielkości i charakteru operacji na lotnisku.</w:t>
      </w:r>
    </w:p>
    <w:p w14:paraId="0E2108B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Prace budowlane lub związane z utrzymaniem i obsługą techniczną prowadzone w polu ruchu naziemnego lub prace mające wpływ na operacje lotniskowe powinny być planowane, ustanawiane, wdrażane lub zatwierdzane przez operatora lotniska.</w:t>
      </w:r>
    </w:p>
    <w:p w14:paraId="2459280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Zakres prac, rozmiar i okres czasu ich prowadzenia powinien być zgłoszony do zainteresowanych właściwych stron. Jeśli taka praca będzie wprowadzać ograniczenia w korzystaniu z określonej drogi startowej, to powinny być wdrożone dodatkowe środki w celu zapewnienia bezpieczeństwa.</w:t>
      </w:r>
    </w:p>
    <w:p w14:paraId="0B62826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Zadania i obowiązki dla operacji i zadań związanych ze skróceniem rozporządzalnej długości drogi startowej oraz prowadzonymi pracami (WIP) są zrozumiałe i przestrzegane.</w:t>
      </w:r>
    </w:p>
    <w:p w14:paraId="5D321AD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Operator lotniska powinien wdrożyć odpowiednie środki w celu monitorowania bezpieczeństwa operacji lotniskowych i statków powietrznych w czasie prac prowadzonych na lotnisku w taki sposób, aby, jeśli to konieczne, w odpowiednim czasie podjęto działania naprawcze dla zapewnienia bezpieczeństwa dalszych operacji.</w:t>
      </w:r>
    </w:p>
    <w:p w14:paraId="663C6705"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Operator lotniska powinien zapewnić, że teren budowy powraca do użytku operacyjnego w sposób bezpieczny i w odpowiednim czasie, poprzez:</w:t>
      </w:r>
    </w:p>
    <w:p w14:paraId="36491E8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bezpieczne i terminowe usunięcie z terenu budowy personelu, pojazdów i roślin;</w:t>
      </w:r>
    </w:p>
    <w:p w14:paraId="2E24261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sprawdzenie pod kątem sprawności operacyjnej, zgodnie z procedurami zwrotu, terenu prowadzenia prac; oraz</w:t>
      </w:r>
    </w:p>
    <w:p w14:paraId="3BD5F10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poinformowanie, zgodnie z procedurami, za pomocą odpowiednich środków łączności, odpowiednich władz lub organizacji o przywróceniu sprawności lotniska.</w:t>
      </w:r>
    </w:p>
    <w:p w14:paraId="198DA8D7" w14:textId="107A0215" w:rsidR="009D0DC1" w:rsidRPr="009E064B" w:rsidRDefault="00E2328A" w:rsidP="00133B99">
      <w:pPr>
        <w:pStyle w:val="Nagwek5"/>
      </w:pPr>
      <w:bookmarkStart w:id="684" w:name="_Toc415056384"/>
      <w:bookmarkStart w:id="685" w:name="_Toc492024753"/>
      <w:bookmarkStart w:id="686" w:name="_Toc12532871"/>
      <w:r w:rsidRPr="009E064B">
        <w:t xml:space="preserve">AMC2 ADR.OPS.B.070     Bezpieczeństwo </w:t>
      </w:r>
      <w:r w:rsidR="009D0DC1" w:rsidRPr="009E064B">
        <w:t>prac prowadzonych na lotnisku</w:t>
      </w:r>
      <w:bookmarkEnd w:id="684"/>
      <w:bookmarkEnd w:id="685"/>
      <w:bookmarkEnd w:id="686"/>
    </w:p>
    <w:p w14:paraId="6A92F228" w14:textId="7F051174"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260CF43"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REMONTY NAWIERZCHNI SZTUCZNEJ DROGI STARTOWEJ</w:t>
      </w:r>
    </w:p>
    <w:p w14:paraId="76FBF1F0"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zapewnić, że:</w:t>
      </w:r>
    </w:p>
    <w:p w14:paraId="3A7D71A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kiedy, przed zakończeniem wymiany nawierzchni na drodze startowej przywracany jest tymczasowo status operacyjny dla tej drogi, to podłużne nachylenie tymczasowej rampy, mierzone w odniesieniu do istniejącej powierzchni drogi startowej lub poprzedniej warstwy powinno wynosić:</w:t>
      </w:r>
    </w:p>
    <w:p w14:paraId="797E226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0,5 do 1,0% dla warstw do 5 cm grubości; oraz</w:t>
      </w:r>
    </w:p>
    <w:p w14:paraId="76FACA9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nie więcej niż 0,5% w przypadku warstw powyżej 5 cm grubości.</w:t>
      </w:r>
    </w:p>
    <w:p w14:paraId="0E3B08C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przed oddaniem do tymczasowego użytkowania operacyjnego remontowanej drogi startowej, należy wykonać oznakowanie linii środkowej drogi startowej, zgodnie z obowiązującymi specyfikacjami zawartymi w podstawie certyfikacji lotniska.</w:t>
      </w:r>
    </w:p>
    <w:p w14:paraId="09CB9E5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lokalizacja dowolnego tymczasowego progu powinna być oznakowana linią poprzeczną o szerokości 3,6 m.</w:t>
      </w:r>
    </w:p>
    <w:p w14:paraId="63875636" w14:textId="59CA12F5" w:rsidR="009D0DC1" w:rsidRPr="009E064B" w:rsidRDefault="00E2328A" w:rsidP="00133B99">
      <w:pPr>
        <w:pStyle w:val="Nagwek5"/>
      </w:pPr>
      <w:bookmarkStart w:id="687" w:name="_Toc415056385"/>
      <w:bookmarkStart w:id="688" w:name="_Toc492024754"/>
      <w:bookmarkStart w:id="689" w:name="_Toc12532872"/>
      <w:r w:rsidRPr="009E064B">
        <w:t xml:space="preserve">AMC3 ADR.OPS.B.070     Bezpieczeństwo </w:t>
      </w:r>
      <w:r w:rsidR="009D0DC1" w:rsidRPr="009E064B">
        <w:t>prac prowadzonych na lotnisku</w:t>
      </w:r>
      <w:bookmarkEnd w:id="687"/>
      <w:bookmarkEnd w:id="688"/>
      <w:bookmarkEnd w:id="689"/>
    </w:p>
    <w:p w14:paraId="5A033C31" w14:textId="4B2DB61A"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929173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OZNAKOWANIE I OŚWIETLENIE STREF WYŁĄCZONYCH Z UŻYTKU</w:t>
      </w:r>
    </w:p>
    <w:p w14:paraId="486B822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Operator lotniska powinien zapewnić, że: </w:t>
      </w:r>
    </w:p>
    <w:p w14:paraId="5F6CD35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wystawiane są oznaczniki strefy wyłączonej z użytkowania, gdy jakakolwiek część drogi kołowania, płyty postojowej lub zatoki oczekiwania jest niezdatna dla ruchu statków powietrznych, ale nadal istnieje możliwość, aby statek powietrzny bezpiecznie ominął tą strefę;</w:t>
      </w:r>
    </w:p>
    <w:p w14:paraId="6CF524F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na pola ruchu naziemnego użytkowanym w nocy, należy stosować światła strefy wyłączonej z użytkowania; oraz</w:t>
      </w:r>
    </w:p>
    <w:p w14:paraId="13973E6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oznaczniki i światła strefy wyłączonej z użytkowania są umieszczone w wystarczająco bliskich odstępach, aby wyraźne nakreślić strefę wyłączoną z użytkowania.</w:t>
      </w:r>
    </w:p>
    <w:p w14:paraId="2C4254E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Oznaczniki strefy wyłączonej z użytkowania powinny składać się z rzucających się w oczy, wystających urządzeń, takich jak flagi, oznaczniki stożkowe lub tablice.</w:t>
      </w:r>
    </w:p>
    <w:p w14:paraId="07C101EF" w14:textId="24CB8E90" w:rsidR="000B4068"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 xml:space="preserve">Oznaczniki strefy wyłączonej z użytkowania powinny spełniać wymagania specyfikacji opisanych w </w:t>
      </w:r>
      <w:hyperlink w:anchor="_CS_ADR-DSN.R.870_" w:history="1">
        <w:r w:rsidRPr="009E064B">
          <w:rPr>
            <w:rStyle w:val="Hipercze"/>
            <w:rFonts w:asciiTheme="minorHAnsi" w:eastAsia="Calibri" w:hAnsiTheme="minorHAnsi" w:cstheme="minorHAnsi"/>
          </w:rPr>
          <w:t>CS ADR.DSN.R.870</w:t>
        </w:r>
      </w:hyperlink>
      <w:r w:rsidRPr="009E064B">
        <w:rPr>
          <w:rFonts w:asciiTheme="minorHAnsi" w:eastAsia="Calibri" w:hAnsiTheme="minorHAnsi" w:cstheme="minorHAnsi"/>
        </w:rPr>
        <w:t>.</w:t>
      </w:r>
    </w:p>
    <w:p w14:paraId="1273EEA4" w14:textId="6228DF4F" w:rsidR="009D0DC1" w:rsidRPr="009E064B" w:rsidRDefault="00E2328A" w:rsidP="00133B99">
      <w:pPr>
        <w:pStyle w:val="Nagwek5"/>
      </w:pPr>
      <w:bookmarkStart w:id="690" w:name="_Toc492024755"/>
      <w:bookmarkStart w:id="691" w:name="_Toc12532873"/>
      <w:r w:rsidRPr="009E064B">
        <w:t xml:space="preserve">AMC4 ADR.OPS.B.070     Bezpieczeństwo </w:t>
      </w:r>
      <w:r w:rsidR="009D0DC1" w:rsidRPr="009E064B">
        <w:t>prac prowadzonych na lotnisku</w:t>
      </w:r>
      <w:bookmarkEnd w:id="690"/>
      <w:bookmarkEnd w:id="691"/>
    </w:p>
    <w:p w14:paraId="0496C1A1" w14:textId="7C1DFE49" w:rsidR="00F055F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268EEBD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ZAMKNIĘTE DROGI STARTOWE I DROGI KOŁOWANIA LUB ICH CZĘŚCI</w:t>
      </w:r>
    </w:p>
    <w:p w14:paraId="53FB8E3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Operator lotniska powinien zapewnić, że: </w:t>
      </w:r>
    </w:p>
    <w:p w14:paraId="748AF93D" w14:textId="05F144FB" w:rsidR="009D0DC1" w:rsidRPr="009E064B" w:rsidRDefault="00303B50"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 xml:space="preserve">zgodnie z wymaganiami </w:t>
      </w:r>
      <w:hyperlink w:anchor="_CS_ADR-DSN.R.855_" w:history="1">
        <w:r w:rsidRPr="009E064B">
          <w:rPr>
            <w:rStyle w:val="Hipercze"/>
            <w:rFonts w:asciiTheme="minorHAnsi" w:eastAsia="Calibri" w:hAnsiTheme="minorHAnsi" w:cstheme="minorHAnsi"/>
          </w:rPr>
          <w:t>CS </w:t>
        </w:r>
        <w:r w:rsidR="009D0DC1" w:rsidRPr="009E064B">
          <w:rPr>
            <w:rStyle w:val="Hipercze"/>
            <w:rFonts w:asciiTheme="minorHAnsi" w:eastAsia="Calibri" w:hAnsiTheme="minorHAnsi" w:cstheme="minorHAnsi"/>
          </w:rPr>
          <w:t>ADR.DSN.R.855</w:t>
        </w:r>
      </w:hyperlink>
      <w:r w:rsidRPr="009E064B">
        <w:rPr>
          <w:rFonts w:asciiTheme="minorHAnsi" w:eastAsia="Calibri" w:hAnsiTheme="minorHAnsi" w:cstheme="minorHAnsi"/>
        </w:rPr>
        <w:t xml:space="preserve"> lit. </w:t>
      </w:r>
      <w:r w:rsidR="009D0DC1" w:rsidRPr="009E064B">
        <w:rPr>
          <w:rFonts w:asciiTheme="minorHAnsi" w:eastAsia="Calibri" w:hAnsiTheme="minorHAnsi" w:cstheme="minorHAnsi"/>
        </w:rPr>
        <w:t>(c) oznakowanie zamknięcia jest ustawione na czasowo zamkniętej drodze startowej, drodze kołowania lub jej części, z wyjątkiem przypadku, gdy takie oznakowanie może być pominięte, jeśli zamknięcie d</w:t>
      </w:r>
      <w:r w:rsidR="000B77F0" w:rsidRPr="009E064B">
        <w:rPr>
          <w:rFonts w:asciiTheme="minorHAnsi" w:eastAsia="Calibri" w:hAnsiTheme="minorHAnsi" w:cstheme="minorHAnsi"/>
        </w:rPr>
        <w:t>otyczy krótkiego okresu czasu i </w:t>
      </w:r>
      <w:r w:rsidR="009D0DC1" w:rsidRPr="009E064B">
        <w:rPr>
          <w:rFonts w:asciiTheme="minorHAnsi" w:eastAsia="Calibri" w:hAnsiTheme="minorHAnsi" w:cstheme="minorHAnsi"/>
        </w:rPr>
        <w:t>służby ruchu lotniczego zapewniają odpowiednie środki ostrzegawcze;</w:t>
      </w:r>
    </w:p>
    <w:p w14:paraId="12889AA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światła na zamkniętej drodze startowej, drodze kołowania lub jej części są wyłączone z wyjątkiem przypadku, gdy jest to konieczne do obsługi technicznej; oraz</w:t>
      </w:r>
    </w:p>
    <w:p w14:paraId="1DA13443" w14:textId="7566E12A" w:rsidR="000209A8"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oprócz oznakowania zamknięcia, gdy droga startowa, droga kołowania lub jej część jest zamknięta i jest zastąpiona przez inną używaną drogę startową lub drogę kołowania w nocy, światła informujące o wyłączeniu z użytk</w:t>
      </w:r>
      <w:r w:rsidR="000B77F0" w:rsidRPr="009E064B">
        <w:rPr>
          <w:rFonts w:asciiTheme="minorHAnsi" w:eastAsia="Calibri" w:hAnsiTheme="minorHAnsi" w:cstheme="minorHAnsi"/>
        </w:rPr>
        <w:t>owania, zgodnie z wymaganiami w </w:t>
      </w:r>
      <w:r w:rsidRPr="009E064B">
        <w:rPr>
          <w:rFonts w:asciiTheme="minorHAnsi" w:eastAsia="Calibri" w:hAnsiTheme="minorHAnsi" w:cstheme="minorHAnsi"/>
        </w:rPr>
        <w:t>CS</w:t>
      </w:r>
      <w:r w:rsidR="000B77F0" w:rsidRPr="009E064B">
        <w:rPr>
          <w:rFonts w:asciiTheme="minorHAnsi" w:eastAsia="Calibri" w:hAnsiTheme="minorHAnsi" w:cstheme="minorHAnsi"/>
        </w:rPr>
        <w:t> </w:t>
      </w:r>
      <w:r w:rsidRPr="009E064B">
        <w:rPr>
          <w:rFonts w:asciiTheme="minorHAnsi" w:eastAsia="Calibri" w:hAnsiTheme="minorHAnsi" w:cstheme="minorHAnsi"/>
        </w:rPr>
        <w:t>ADR.DSN.R.870(c) powinny być rozmieszczone w poprzek wjazdu do strefy zamkniętej w odstępach nieprzekraczających 3m.</w:t>
      </w:r>
    </w:p>
    <w:p w14:paraId="06D90D09" w14:textId="77777777" w:rsidR="000209A8" w:rsidRDefault="000209A8">
      <w:pPr>
        <w:spacing w:after="0"/>
        <w:jc w:val="left"/>
        <w:rPr>
          <w:rFonts w:asciiTheme="minorHAnsi" w:eastAsia="Calibri" w:hAnsiTheme="minorHAnsi" w:cstheme="minorHAnsi"/>
        </w:rPr>
      </w:pPr>
      <w:r>
        <w:rPr>
          <w:rFonts w:asciiTheme="minorHAnsi" w:eastAsia="Calibri" w:hAnsiTheme="minorHAnsi" w:cstheme="minorHAnsi"/>
        </w:rPr>
        <w:br w:type="page"/>
      </w:r>
    </w:p>
    <w:p w14:paraId="4C5EA809" w14:textId="11D86D40" w:rsidR="009D0DC1" w:rsidRPr="009E064B" w:rsidRDefault="00CC6092" w:rsidP="00133B99">
      <w:pPr>
        <w:pStyle w:val="Nagwek6"/>
      </w:pPr>
      <w:bookmarkStart w:id="692" w:name="_Toc415056386"/>
      <w:bookmarkStart w:id="693" w:name="_Toc492024756"/>
      <w:bookmarkStart w:id="694" w:name="_Toc12532874"/>
      <w:r w:rsidRPr="009E064B">
        <w:t>GM</w:t>
      </w:r>
      <w:r w:rsidR="00E2328A" w:rsidRPr="009E064B">
        <w:t xml:space="preserve">1 ADR.OPS.B.070     Bezpieczeństwo </w:t>
      </w:r>
      <w:r w:rsidR="009D0DC1" w:rsidRPr="009E064B">
        <w:t>prac prowadzonych na lotnisku</w:t>
      </w:r>
      <w:bookmarkEnd w:id="692"/>
      <w:bookmarkEnd w:id="693"/>
      <w:bookmarkEnd w:id="694"/>
    </w:p>
    <w:p w14:paraId="666135DD" w14:textId="28B391EA"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A5C3BE6"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PRACE ZWIĄZANE Z UTRZYMANIEM I OBSŁUGĄ TECHNICZNĄ</w:t>
      </w:r>
    </w:p>
    <w:p w14:paraId="7F72AD82"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Osoby lub grupy osób wchodzące na pole ruchu naziemnego w celu wykonania prac związanych z utrzymaniem lub obsługą techniczną powinny posiadać pisemne zezwolenie wydane przez operatora lotniska.</w:t>
      </w:r>
    </w:p>
    <w:p w14:paraId="6D7754F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Wejście na pole ruchu naziemnego powinno być uzależnione od uzyskania zezwolenia od organu odpowiedzialnego za ten obszar (ATC, instytucja zarządzająca płytą postojową, operator lotniska, itp.) przy użyciu odpowiednich środków (R/T, telefon, itp.).</w:t>
      </w:r>
    </w:p>
    <w:p w14:paraId="1602F0E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Osoby wykonujące prace związane z utrzymaniem i obsługą technicznej powinny postępować zgodnie z lokalnymi przepisami dotyczącymi kontroli i eksploatacji pojazdów w polu ruchu naziemnego.</w:t>
      </w:r>
    </w:p>
    <w:p w14:paraId="09DFB24C" w14:textId="43AF197B" w:rsidR="009D0DC1" w:rsidRPr="009E064B" w:rsidRDefault="00E2328A" w:rsidP="00133B99">
      <w:pPr>
        <w:pStyle w:val="Nagwek6"/>
      </w:pPr>
      <w:bookmarkStart w:id="695" w:name="_Toc415056387"/>
      <w:bookmarkStart w:id="696" w:name="_Toc492024757"/>
      <w:bookmarkStart w:id="697" w:name="_Toc12532875"/>
      <w:r w:rsidRPr="009E064B">
        <w:t xml:space="preserve">GM2 ADR.OPS.B.070     Bezpieczeństwo </w:t>
      </w:r>
      <w:r w:rsidR="009D0DC1" w:rsidRPr="009E064B">
        <w:t>prac prowadzonych na lotnisku</w:t>
      </w:r>
      <w:bookmarkEnd w:id="695"/>
      <w:bookmarkEnd w:id="696"/>
      <w:bookmarkEnd w:id="697"/>
    </w:p>
    <w:p w14:paraId="65C7B6D1" w14:textId="5B4BDE9B"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39BD6C6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DROBNE PRACE BUDOWLANE/ZWIĄZANE Z UTRZYMANIEM I OBSŁUGĄ TECHNICZNĄ</w:t>
      </w:r>
    </w:p>
    <w:p w14:paraId="32F3BA2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Powinien być ustalony system zezwoleń na drobne prace w polu ruchu naziemnego.</w:t>
      </w:r>
    </w:p>
    <w:p w14:paraId="4B38454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Cele zezwoleń na te wykonywanie tych prac, powinny zapewnić, że:</w:t>
      </w:r>
    </w:p>
    <w:p w14:paraId="48C58A1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żadne prace w polu ruchu naziemnego, nie są prowadzone bez wiedzy personelu operatora lotniska i służb ruchu lotniczego;</w:t>
      </w:r>
    </w:p>
    <w:p w14:paraId="5D50103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dopuszczalne czasy pracy są ściśle przestrzegane; oraz</w:t>
      </w:r>
    </w:p>
    <w:p w14:paraId="6389EE3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wszystkie osoby biorące udział w pracach, są zapoznane szczegółowo z:</w:t>
      </w:r>
    </w:p>
    <w:p w14:paraId="3D8543BF"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dokładnymi obszarami, w których prace mogą być wykonane;</w:t>
      </w:r>
    </w:p>
    <w:p w14:paraId="3C84C8F5"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 </w:t>
      </w:r>
      <w:r w:rsidRPr="009E064B">
        <w:rPr>
          <w:rFonts w:asciiTheme="minorHAnsi" w:eastAsia="Calibri" w:hAnsiTheme="minorHAnsi" w:cstheme="minorHAnsi"/>
        </w:rPr>
        <w:tab/>
        <w:t>drogami, którymi należy się poruszać do i z rejonu wykonywania prac;</w:t>
      </w:r>
    </w:p>
    <w:p w14:paraId="4D1E3F49"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(iii) </w:t>
      </w:r>
      <w:r w:rsidRPr="009E064B">
        <w:rPr>
          <w:rFonts w:asciiTheme="minorHAnsi" w:eastAsia="Calibri" w:hAnsiTheme="minorHAnsi" w:cstheme="minorHAnsi"/>
        </w:rPr>
        <w:tab/>
        <w:t>procedurami łączności radio/telefonicznej, które mają być stosowane;</w:t>
      </w:r>
    </w:p>
    <w:p w14:paraId="1C6EBD05"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(iv) </w:t>
      </w:r>
      <w:r w:rsidRPr="009E064B">
        <w:rPr>
          <w:rFonts w:asciiTheme="minorHAnsi" w:eastAsia="Calibri" w:hAnsiTheme="minorHAnsi" w:cstheme="minorHAnsi"/>
        </w:rPr>
        <w:tab/>
        <w:t>środkami ostrożności, których należy przestrzegać, utrzymywanie nasłuchu i baczne rozglądanie się; oraz</w:t>
      </w:r>
    </w:p>
    <w:p w14:paraId="5F563910" w14:textId="77777777" w:rsidR="009D0DC1" w:rsidRPr="009E064B" w:rsidRDefault="009D0DC1" w:rsidP="00B06A9A">
      <w:pPr>
        <w:widowControl/>
        <w:tabs>
          <w:tab w:val="left" w:pos="1701"/>
        </w:tabs>
        <w:ind w:left="1701" w:hanging="567"/>
        <w:rPr>
          <w:rFonts w:asciiTheme="minorHAnsi" w:eastAsia="Calibri" w:hAnsiTheme="minorHAnsi" w:cstheme="minorHAnsi"/>
        </w:rPr>
      </w:pPr>
      <w:r w:rsidRPr="009E064B">
        <w:rPr>
          <w:rFonts w:asciiTheme="minorHAnsi" w:eastAsia="Calibri" w:hAnsiTheme="minorHAnsi" w:cstheme="minorHAnsi"/>
        </w:rPr>
        <w:t xml:space="preserve">(v) </w:t>
      </w:r>
      <w:r w:rsidRPr="009E064B">
        <w:rPr>
          <w:rFonts w:asciiTheme="minorHAnsi" w:eastAsia="Calibri" w:hAnsiTheme="minorHAnsi" w:cstheme="minorHAnsi"/>
        </w:rPr>
        <w:tab/>
        <w:t>procedurami powiadamiania, których należy przestrzegać po zakończeniu pracy.</w:t>
      </w:r>
    </w:p>
    <w:p w14:paraId="09D80943" w14:textId="5D7B2108" w:rsidR="000B77F0"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 zakończeniu pracy, personel operatora lotniska lub inny odpowiedni personel, powinien sprawdzić obszar prowadzonych prac, aby upewnić się, że został on pozostawiony w zadowalającym stanie.</w:t>
      </w:r>
    </w:p>
    <w:p w14:paraId="3FE7F8C7" w14:textId="51CAF30C" w:rsidR="009D0DC1" w:rsidRPr="009E064B" w:rsidRDefault="00E2328A" w:rsidP="00133B99">
      <w:pPr>
        <w:pStyle w:val="Nagwek6"/>
      </w:pPr>
      <w:bookmarkStart w:id="698" w:name="_Toc415056388"/>
      <w:bookmarkStart w:id="699" w:name="_Toc492024758"/>
      <w:bookmarkStart w:id="700" w:name="_Toc12532876"/>
      <w:r w:rsidRPr="009E064B">
        <w:t xml:space="preserve">GM3 ADR.OPS.B.070     Bezpieczeństwo </w:t>
      </w:r>
      <w:r w:rsidR="009D0DC1" w:rsidRPr="009E064B">
        <w:t>prac prowadzonych na lotnisku</w:t>
      </w:r>
      <w:bookmarkEnd w:id="698"/>
      <w:bookmarkEnd w:id="699"/>
      <w:bookmarkEnd w:id="700"/>
    </w:p>
    <w:p w14:paraId="413FAEED" w14:textId="6F9FC01E"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326A29F" w14:textId="5A5858B8" w:rsidR="009D0DC1" w:rsidRPr="009E064B" w:rsidRDefault="009D0DC1" w:rsidP="000B77F0">
      <w:pPr>
        <w:widowControl/>
        <w:spacing w:before="120"/>
        <w:rPr>
          <w:rFonts w:asciiTheme="minorHAnsi" w:eastAsia="Calibri" w:hAnsiTheme="minorHAnsi" w:cstheme="minorHAnsi"/>
        </w:rPr>
      </w:pPr>
      <w:r w:rsidRPr="009E064B">
        <w:rPr>
          <w:rFonts w:asciiTheme="minorHAnsi" w:eastAsia="Calibri" w:hAnsiTheme="minorHAnsi" w:cstheme="minorHAnsi"/>
        </w:rPr>
        <w:t>GŁÓWNE PRACE BUDOWLANE</w:t>
      </w:r>
      <w:r w:rsidR="000B77F0" w:rsidRPr="009E064B">
        <w:rPr>
          <w:rFonts w:asciiTheme="minorHAnsi" w:eastAsia="Calibri" w:hAnsiTheme="minorHAnsi" w:cstheme="minorHAnsi"/>
        </w:rPr>
        <w:t> </w:t>
      </w:r>
      <w:r w:rsidRPr="009E064B">
        <w:rPr>
          <w:rFonts w:asciiTheme="minorHAnsi" w:eastAsia="Calibri" w:hAnsiTheme="minorHAnsi" w:cstheme="minorHAnsi"/>
        </w:rPr>
        <w:t>/</w:t>
      </w:r>
      <w:r w:rsidR="000B77F0" w:rsidRPr="009E064B">
        <w:rPr>
          <w:rFonts w:asciiTheme="minorHAnsi" w:eastAsia="Calibri" w:hAnsiTheme="minorHAnsi" w:cstheme="minorHAnsi"/>
        </w:rPr>
        <w:t> </w:t>
      </w:r>
      <w:r w:rsidRPr="009E064B">
        <w:rPr>
          <w:rFonts w:asciiTheme="minorHAnsi" w:eastAsia="Calibri" w:hAnsiTheme="minorHAnsi" w:cstheme="minorHAnsi"/>
        </w:rPr>
        <w:t>ZWIĄZANE Z UTRZYMANIEM I OBSŁUGĄ TECHNICZNĄ</w:t>
      </w:r>
    </w:p>
    <w:p w14:paraId="3C39968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Przed rozpoczęciem jakichkolwiek znacznych prac w polu ruchu naziemnego, należy ustanowić grupę współdziałania składającą się z przedstawicieli operatora lotniska, służb ruchu lotniczego, służby zarządzania płytą postojową, jeżeli dotyczy, oraz przedstawicieli podwykonawców.</w:t>
      </w:r>
    </w:p>
    <w:p w14:paraId="084FF6E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Grupa może spotkać się tak często, jak uzna to za konieczne, aby dokonywać przeglądu postępów i rozważać potrzeby jakichkolwiek zmian w metodach pracy mających na celu spełnienie wymagań operacyjnych.</w:t>
      </w:r>
    </w:p>
    <w:p w14:paraId="7EBF070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 ile to możliwe, obszary prowadzenia prac powinny być oddzielone od aktywnych części pola ruchu naziemnego przez wznoszenie barier fizycznych.</w:t>
      </w:r>
    </w:p>
    <w:p w14:paraId="017D89F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Należy zwrócić uwagę na oznakowanie i oświetlenie barier.</w:t>
      </w:r>
    </w:p>
    <w:p w14:paraId="482263E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Światła dróg kołowania prowadzących do obszarów prowadzenia prac powinny być na stałe wyłączone.</w:t>
      </w:r>
    </w:p>
    <w:p w14:paraId="6A6078D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Przed rozpoczęciem prac, należy ustalić:</w:t>
      </w:r>
    </w:p>
    <w:p w14:paraId="12083A61"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godziny prowadzenia prac;</w:t>
      </w:r>
    </w:p>
    <w:p w14:paraId="60B45B2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dozwolone trasy poruszania;</w:t>
      </w:r>
    </w:p>
    <w:p w14:paraId="0219BEB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środki łączności, które należy stosować;</w:t>
      </w:r>
    </w:p>
    <w:p w14:paraId="30B51F69"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dopuszczalne wysokości pojazdów i sprzętu, oraz ograniczenia ustalone dla wysokości pracy dźwigów; oraz</w:t>
      </w:r>
    </w:p>
    <w:p w14:paraId="2F82BED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wszelkie ograniczenia, które mają być nakładane na korzystanie z urządzeń elektrycznych, które mogą powodować zakłócenia urządzeń nawigacyjnych i łączności ze statkami powietrznymi.</w:t>
      </w:r>
    </w:p>
    <w:p w14:paraId="45DFF15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Wykonawcy powinni być poinformowani o możliwych zagrożeniach dla pracowników pracujących na lotniskach, w szczególności na problem podmuchu gazów wylotowych silników odrzutowych i hałas.</w:t>
      </w:r>
    </w:p>
    <w:p w14:paraId="3B3B133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W przypadku, gdy wykonawcy pracują na obszarze nawierzchni sztucznych dla statków powietrznych, lub w ich okolicy, obszary te powinny być dokładnie sprawdzane zanim zostaną ponownie oddane do użytku statków powietrznych, ze szczególnym uwzględnieniem obecności zanieczyszczeń i ogólnej czystości powierzchni.</w:t>
      </w:r>
    </w:p>
    <w:p w14:paraId="645BFE3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W przypadku, gdy statki powietrzne stale korzystają z obszarów otwartych dla wykonawców, do zapewnienia ciągłego bezpieczeństwa pracy lotniska wymagane są kontrole w krótkich odstępach czasu.</w:t>
      </w:r>
    </w:p>
    <w:p w14:paraId="38336AE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Należy zapewnić odpowiednie oznakowanie dla wysięgników dźwigowych, gdy uważa się za wskazane użycie dodatkowych elementów odblaskowych.</w:t>
      </w:r>
    </w:p>
    <w:p w14:paraId="2798F63D"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Jeżeli prace mają być prowadzone w dłuższym czasie, to wymagana jest stała obserwacja zapewniająca, że oznakowanie i oświetlenie przeszkód i stref wyłączonych z użytkowania nie uległo degradacji poniżej dopuszczalnych granic.</w:t>
      </w:r>
    </w:p>
    <w:p w14:paraId="322B3F3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Należy rozważyć wpływ wysokich dźwigów na działanie ILS i radarów, przy udziale osób, które odpowiadają za elektroniczne pomoce do lądowania oraz podejmowanie kroków mających na celu zmniejszenie ograniczeń do minimum.</w:t>
      </w:r>
    </w:p>
    <w:p w14:paraId="40256F55" w14:textId="77D6FA3B" w:rsidR="009D0DC1" w:rsidRPr="009E064B" w:rsidRDefault="00E2328A" w:rsidP="00133B99">
      <w:pPr>
        <w:pStyle w:val="Nagwek6"/>
      </w:pPr>
      <w:bookmarkStart w:id="701" w:name="_Toc415056389"/>
      <w:bookmarkStart w:id="702" w:name="_Toc492024759"/>
      <w:bookmarkStart w:id="703" w:name="_Toc12532877"/>
      <w:r w:rsidRPr="009E064B">
        <w:t xml:space="preserve">GM4 ADR.OPS.B.070     Bezpieczeństwo </w:t>
      </w:r>
      <w:r w:rsidR="009D0DC1" w:rsidRPr="009E064B">
        <w:t>prac prowadzonych na lotnisku</w:t>
      </w:r>
      <w:bookmarkEnd w:id="701"/>
      <w:bookmarkEnd w:id="702"/>
      <w:bookmarkEnd w:id="703"/>
    </w:p>
    <w:p w14:paraId="772CF2DB" w14:textId="30AFAC95"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126DB9BE"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STOSOWANIE ŚWIATEŁ WYŁĄCZENIA Z UŻYTKOWANIA</w:t>
      </w:r>
    </w:p>
    <w:p w14:paraId="167B5D02" w14:textId="12E30FB8"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Gdy światła są używane do oznaczenia tymczasowych obszarów wyłączonych z użytkowania w nocy lub w warunkach ograniczonej widzialności, światła te wskazują potencjalnie najbardziej niebezpieczne granice tego obszaru. Należy stosować minimum cztery</w:t>
      </w:r>
      <w:r w:rsidR="00147E9B" w:rsidRPr="009E064B">
        <w:rPr>
          <w:rFonts w:asciiTheme="minorHAnsi" w:eastAsia="Calibri" w:hAnsiTheme="minorHAnsi" w:cstheme="minorHAnsi"/>
        </w:rPr>
        <w:t xml:space="preserve"> światła, z wyjątkiem obszaru w </w:t>
      </w:r>
      <w:r w:rsidRPr="009E064B">
        <w:rPr>
          <w:rFonts w:asciiTheme="minorHAnsi" w:eastAsia="Calibri" w:hAnsiTheme="minorHAnsi" w:cstheme="minorHAnsi"/>
        </w:rPr>
        <w:t xml:space="preserve">kształcie trójkąta, gdzie można zastosować trzy światła. Ilość świateł może być zwiększona, jeżeli obszar jest większy lub ma nietypową konfigurację. Na każde 7.5 m obrysu obszaru powinno przypadać, co najmniej jedno światło. Jeżeli zastosowano światła kierunkowe, wówczas powinny być one ukierunkowane tak, aby tam gdzie jest to możliwe, </w:t>
      </w:r>
      <w:r w:rsidR="00A5785D" w:rsidRPr="009E064B">
        <w:rPr>
          <w:rFonts w:asciiTheme="minorHAnsi" w:eastAsia="Calibri" w:hAnsiTheme="minorHAnsi" w:cstheme="minorHAnsi"/>
        </w:rPr>
        <w:t xml:space="preserve">wiązka światła była ustawiona w </w:t>
      </w:r>
      <w:r w:rsidR="00303B50" w:rsidRPr="009E064B">
        <w:rPr>
          <w:rFonts w:asciiTheme="minorHAnsi" w:eastAsia="Calibri" w:hAnsiTheme="minorHAnsi" w:cstheme="minorHAnsi"/>
        </w:rPr>
        <w:t>kierunku, z </w:t>
      </w:r>
      <w:r w:rsidRPr="009E064B">
        <w:rPr>
          <w:rFonts w:asciiTheme="minorHAnsi" w:eastAsia="Calibri" w:hAnsiTheme="minorHAnsi" w:cstheme="minorHAnsi"/>
        </w:rPr>
        <w:t xml:space="preserve">którego może kołować statek powietrzny lub nadjeżdżać pojazd. Jeżeli istnieje możliwość, że statki powietrzne lub pojazdy będą zbliżały się z różnych kierunków, należy rozważyć zastosowanie dodatkowych świateł lub świateł </w:t>
      </w:r>
      <w:r w:rsidR="00930B8E">
        <w:rPr>
          <w:rFonts w:asciiTheme="minorHAnsi" w:eastAsia="Calibri" w:hAnsiTheme="minorHAnsi" w:cstheme="minorHAnsi"/>
        </w:rPr>
        <w:t>dookólnych</w:t>
      </w:r>
      <w:r w:rsidRPr="009E064B">
        <w:rPr>
          <w:rFonts w:asciiTheme="minorHAnsi" w:eastAsia="Calibri" w:hAnsiTheme="minorHAnsi" w:cstheme="minorHAnsi"/>
        </w:rPr>
        <w:t xml:space="preserve"> tak, aby obszar był widoczny z</w:t>
      </w:r>
      <w:r w:rsidR="00A5785D" w:rsidRPr="009E064B">
        <w:rPr>
          <w:rFonts w:asciiTheme="minorHAnsi" w:eastAsia="Calibri" w:hAnsiTheme="minorHAnsi" w:cstheme="minorHAnsi"/>
        </w:rPr>
        <w:t xml:space="preserve"> </w:t>
      </w:r>
      <w:r w:rsidRPr="009E064B">
        <w:rPr>
          <w:rFonts w:asciiTheme="minorHAnsi" w:eastAsia="Calibri" w:hAnsiTheme="minorHAnsi" w:cstheme="minorHAnsi"/>
        </w:rPr>
        <w:t>tych kierunków. Światła obszaru wyłączonego z użytkowania powinny być łamliwe. Ich wysokość powinna być na tyle mała, aby zapewniała bezpieczną odległość między lampą a śmigłem lub gondolą silnika statku</w:t>
      </w:r>
      <w:r w:rsidR="000B77F0" w:rsidRPr="009E064B">
        <w:rPr>
          <w:rFonts w:asciiTheme="minorHAnsi" w:eastAsia="Calibri" w:hAnsiTheme="minorHAnsi" w:cstheme="minorHAnsi"/>
        </w:rPr>
        <w:t xml:space="preserve"> powietrznego o </w:t>
      </w:r>
      <w:r w:rsidRPr="009E064B">
        <w:rPr>
          <w:rFonts w:asciiTheme="minorHAnsi" w:eastAsia="Calibri" w:hAnsiTheme="minorHAnsi" w:cstheme="minorHAnsi"/>
        </w:rPr>
        <w:t>napędzie odrzutowym.</w:t>
      </w:r>
    </w:p>
    <w:p w14:paraId="15ABC4EF" w14:textId="702D9BF6" w:rsidR="009D0DC1" w:rsidRPr="009E064B" w:rsidRDefault="00E2328A" w:rsidP="00133B99">
      <w:pPr>
        <w:pStyle w:val="Nagwek6"/>
      </w:pPr>
      <w:bookmarkStart w:id="704" w:name="_Toc492024760"/>
      <w:bookmarkStart w:id="705" w:name="_Toc12532878"/>
      <w:r w:rsidRPr="009E064B">
        <w:t xml:space="preserve">GM5 ADR.OPS.B.070     Bezpieczeństwo </w:t>
      </w:r>
      <w:r w:rsidR="009D0DC1" w:rsidRPr="009E064B">
        <w:t>prac prowadzonych na lotnisku</w:t>
      </w:r>
      <w:bookmarkEnd w:id="704"/>
      <w:bookmarkEnd w:id="705"/>
    </w:p>
    <w:p w14:paraId="79AEC8EE" w14:textId="2C964484" w:rsidR="00F055F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415F56E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UŻYCIE TYMCZASOWEGO OZNAKOWANIA DROGI STARTOWEJ </w:t>
      </w:r>
    </w:p>
    <w:p w14:paraId="0196EE1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(a)</w:t>
      </w:r>
      <w:r w:rsidRPr="009E064B">
        <w:rPr>
          <w:rFonts w:asciiTheme="minorHAnsi" w:eastAsia="Calibri" w:hAnsiTheme="minorHAnsi" w:cstheme="minorHAnsi"/>
        </w:rPr>
        <w:tab/>
        <w:t>Czasami mogą wystąpić warunki, gdy nie jest możliwe zainstalowanie stałego oznakowania, na przykład podczas wymiany nawierzchni drogi startowej. Aby zapewnić wystarczające wskazówki dla samolotów, należy wziąć pod uwagę zastosowanie następującego oznakowania:</w:t>
      </w:r>
    </w:p>
    <w:p w14:paraId="16378A1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linii środkowej drogi startowej;</w:t>
      </w:r>
    </w:p>
    <w:p w14:paraId="6BBA847A"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prowadzenia do/z linii środkowej drogi startowej;</w:t>
      </w:r>
    </w:p>
    <w:p w14:paraId="6D79310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krawędzi drogi startowej;</w:t>
      </w:r>
    </w:p>
    <w:p w14:paraId="5D5A763D"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progu drogi startowej; oraz</w:t>
      </w:r>
    </w:p>
    <w:p w14:paraId="7276F1E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oznakowania strefy przyziemienia i punktu celowania.</w:t>
      </w:r>
    </w:p>
    <w:p w14:paraId="582A17E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(b)</w:t>
      </w:r>
      <w:r w:rsidRPr="009E064B">
        <w:rPr>
          <w:rFonts w:asciiTheme="minorHAnsi" w:eastAsia="Calibri" w:hAnsiTheme="minorHAnsi" w:cstheme="minorHAnsi"/>
        </w:rPr>
        <w:tab/>
        <w:t>Jeśli jest wymagane, oznakowanie linii środkowej oraz krawędzi drogi startowej, może być zastąpione oznakowaniem tymczasowym o zmniejszonej szerokości, od 0,9 m do 0,6 m.</w:t>
      </w:r>
    </w:p>
    <w:p w14:paraId="61E4111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Oznakowanie strefy przyziemienia i punktu celowania, po wymianie nawierzchni drogi startowej, powinno być pomalowane tak szybko, jak to jest możliwe.</w:t>
      </w:r>
    </w:p>
    <w:p w14:paraId="0570C28E" w14:textId="21FE9A1B" w:rsidR="000B4068"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Oznakowanie progu drogi startowej powinno być pomalowane tak szybko, jak to możliwe, przy użyciu tymczasowych materiałów zanim zostanie wykonane na stałe.</w:t>
      </w:r>
    </w:p>
    <w:p w14:paraId="51E4663A" w14:textId="670BED19" w:rsidR="00DC7DA6" w:rsidRPr="009E064B" w:rsidRDefault="00DE05DC" w:rsidP="00B06A9A">
      <w:pPr>
        <w:pStyle w:val="Nagwek3"/>
      </w:pPr>
      <w:bookmarkStart w:id="706" w:name="_ADR.OPS.B.075__"/>
      <w:bookmarkStart w:id="707" w:name="_Toc12532879"/>
      <w:bookmarkEnd w:id="706"/>
      <w:r w:rsidRPr="009E064B">
        <w:t xml:space="preserve">ADR.OPS.B.075 </w:t>
      </w:r>
      <w:r w:rsidR="00E2328A" w:rsidRPr="009E064B">
        <w:t xml:space="preserve">    </w:t>
      </w:r>
      <w:r w:rsidRPr="009E064B">
        <w:t>Zabezpieczenie lotniska</w:t>
      </w:r>
      <w:bookmarkEnd w:id="707"/>
    </w:p>
    <w:p w14:paraId="42329217" w14:textId="10AE78DF"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291B6016" w14:textId="6898A35F"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DE0098" w:rsidRPr="009E064B">
        <w:rPr>
          <w:rFonts w:asciiTheme="minorHAnsi" w:hAnsiTheme="minorHAnsi" w:cstheme="minorHAnsi"/>
          <w:sz w:val="22"/>
          <w:szCs w:val="22"/>
        </w:rPr>
        <w:tab/>
      </w:r>
      <w:r w:rsidR="00DE05DC" w:rsidRPr="009E064B">
        <w:rPr>
          <w:rFonts w:asciiTheme="minorHAnsi" w:hAnsiTheme="minorHAnsi" w:cstheme="minorHAnsi"/>
          <w:sz w:val="22"/>
          <w:szCs w:val="22"/>
        </w:rPr>
        <w:t>Na lotnisku i w jego otoczeniu operator lotniska monitoruje:</w:t>
      </w:r>
    </w:p>
    <w:p w14:paraId="1A41FCC4" w14:textId="42C061F5"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1)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powierzchnie ograniczające przeszkody i powierzchnie zabezpieczenia przeszkodowego wyznaczone zgodnie z podstawą certyfikacji, oraz inne pow</w:t>
      </w:r>
      <w:r w:rsidR="000B77F0" w:rsidRPr="009E064B">
        <w:rPr>
          <w:rFonts w:asciiTheme="minorHAnsi" w:eastAsia="Times New Roman" w:hAnsiTheme="minorHAnsi" w:cstheme="minorHAnsi"/>
          <w:szCs w:val="20"/>
        </w:rPr>
        <w:t>ierzchnie i obszary powiązane z </w:t>
      </w:r>
      <w:r w:rsidR="00DE05DC" w:rsidRPr="009E064B">
        <w:rPr>
          <w:rFonts w:asciiTheme="minorHAnsi" w:eastAsia="Times New Roman" w:hAnsiTheme="minorHAnsi" w:cstheme="minorHAnsi"/>
          <w:szCs w:val="20"/>
        </w:rPr>
        <w:t>lotniskiem, aby podejmować – w zakresie swoich kompetencji – odpowiednie działania łagodzące ryzyko związane z ingerencją w te powierzchnie i obszary;</w:t>
      </w:r>
    </w:p>
    <w:p w14:paraId="708ABDB2" w14:textId="697AC3CD"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2)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oznakowanie poziome i oświetlenie przeszkód, aby móc podejmować stosowne działania w</w:t>
      </w:r>
      <w:r w:rsidR="000B77F0" w:rsidRPr="009E064B">
        <w:rPr>
          <w:rFonts w:asciiTheme="minorHAnsi" w:eastAsia="Times New Roman" w:hAnsiTheme="minorHAnsi" w:cstheme="minorHAnsi"/>
          <w:szCs w:val="20"/>
        </w:rPr>
        <w:t> </w:t>
      </w:r>
      <w:r w:rsidR="00DE05DC" w:rsidRPr="009E064B">
        <w:rPr>
          <w:rFonts w:asciiTheme="minorHAnsi" w:eastAsia="Times New Roman" w:hAnsiTheme="minorHAnsi" w:cstheme="minorHAnsi"/>
          <w:szCs w:val="20"/>
        </w:rPr>
        <w:t>ramach swoich kompetencji; oraz</w:t>
      </w:r>
    </w:p>
    <w:p w14:paraId="159C5558" w14:textId="25B67A79" w:rsidR="00DC7DA6" w:rsidRPr="009E064B" w:rsidRDefault="00371A8B" w:rsidP="00B06A9A">
      <w:pPr>
        <w:tabs>
          <w:tab w:val="left" w:pos="993"/>
        </w:tabs>
        <w:ind w:left="993" w:right="-2" w:hanging="425"/>
        <w:rPr>
          <w:rFonts w:asciiTheme="minorHAnsi" w:eastAsia="Times New Roman" w:hAnsiTheme="minorHAnsi" w:cstheme="minorHAnsi"/>
          <w:szCs w:val="20"/>
        </w:rPr>
      </w:pPr>
      <w:r w:rsidRPr="009E064B">
        <w:rPr>
          <w:rFonts w:asciiTheme="minorHAnsi" w:eastAsia="Times New Roman" w:hAnsiTheme="minorHAnsi" w:cstheme="minorHAnsi"/>
          <w:szCs w:val="20"/>
        </w:rPr>
        <w:t>(</w:t>
      </w:r>
      <w:r w:rsidR="00DE0098" w:rsidRPr="009E064B">
        <w:rPr>
          <w:rFonts w:asciiTheme="minorHAnsi" w:eastAsia="Times New Roman" w:hAnsiTheme="minorHAnsi" w:cstheme="minorHAnsi"/>
          <w:szCs w:val="20"/>
        </w:rPr>
        <w:t xml:space="preserve">3) </w:t>
      </w:r>
      <w:r w:rsidR="00AF6AC7" w:rsidRPr="009E064B">
        <w:rPr>
          <w:rFonts w:asciiTheme="minorHAnsi" w:eastAsia="Times New Roman" w:hAnsiTheme="minorHAnsi" w:cstheme="minorHAnsi"/>
          <w:szCs w:val="20"/>
        </w:rPr>
        <w:tab/>
      </w:r>
      <w:r w:rsidR="00DE05DC" w:rsidRPr="009E064B">
        <w:rPr>
          <w:rFonts w:asciiTheme="minorHAnsi" w:eastAsia="Times New Roman" w:hAnsiTheme="minorHAnsi" w:cstheme="minorHAnsi"/>
          <w:szCs w:val="20"/>
        </w:rPr>
        <w:t xml:space="preserve">zagrożenia związane z działalnością człowieka i użytkowaniem gruntu, aby </w:t>
      </w:r>
      <w:r w:rsidR="00075ED5" w:rsidRPr="009E064B">
        <w:rPr>
          <w:rFonts w:asciiTheme="minorHAnsi" w:eastAsia="Times New Roman" w:hAnsiTheme="minorHAnsi" w:cstheme="minorHAnsi"/>
          <w:szCs w:val="20"/>
        </w:rPr>
        <w:t xml:space="preserve">podejmować stosowne działania w ramach swoich </w:t>
      </w:r>
      <w:r w:rsidR="00DE05DC" w:rsidRPr="009E064B">
        <w:rPr>
          <w:rFonts w:asciiTheme="minorHAnsi" w:eastAsia="Times New Roman" w:hAnsiTheme="minorHAnsi" w:cstheme="minorHAnsi"/>
          <w:szCs w:val="20"/>
        </w:rPr>
        <w:t>kompetencji.</w:t>
      </w:r>
    </w:p>
    <w:p w14:paraId="2982D83A" w14:textId="6485361E"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musi posiadać procedury łagodzenia ryzyka związanego z przeszkodami, wydarzeniami i działaniami w obrębie monitorowanych obszarów, które mogą mieć wpływ na bezpieczne użytkowanie statków powietrznych wykonujących operacje na lotnisku, lądujących na lotnisku lub startujących z lotniska.</w:t>
      </w:r>
    </w:p>
    <w:p w14:paraId="1BADF8F2" w14:textId="6C7F97D3" w:rsidR="009D0DC1" w:rsidRPr="009E064B" w:rsidRDefault="00E2328A" w:rsidP="00133B99">
      <w:pPr>
        <w:pStyle w:val="Nagwek5"/>
      </w:pPr>
      <w:bookmarkStart w:id="708" w:name="_Toc415056390"/>
      <w:bookmarkStart w:id="709" w:name="_Toc492024761"/>
      <w:bookmarkStart w:id="710" w:name="_Toc12532880"/>
      <w:r w:rsidRPr="009E064B">
        <w:t xml:space="preserve">AMC1 ADR.OPS.B.075     </w:t>
      </w:r>
      <w:r w:rsidR="009D0DC1" w:rsidRPr="009E064B">
        <w:t>Zabezpieczenie lotniska</w:t>
      </w:r>
      <w:bookmarkEnd w:id="708"/>
      <w:bookmarkEnd w:id="709"/>
      <w:bookmarkEnd w:id="710"/>
    </w:p>
    <w:p w14:paraId="7C342783" w14:textId="752C52A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7DCD75B" w14:textId="5C498DA7"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6E3EA72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posiadać procedury w celu monitorowania zmian w środowisku przeszkód, oznakowaniu i oświetleniu oraz związanych działalnością człowieka lub użytkowaniem gruntów na lotnisku i obszarów wokół lotniska, określone w koordynacji z właściwym organem. Zakres, granice, zadania i obowiązki w zakresie monitorowania powinny być określone w koordynacji z właściwymi instytucjami zapewniającymi służby ruchu lotniczego oraz z właściwym organem i innymi odpowiednimi organami.</w:t>
      </w:r>
    </w:p>
    <w:p w14:paraId="74A089E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Granice otoczenia lotniska, które powinny być monitorowane przez operatora lotniska są określane w koordynacji z właściwym organem i powinny obejmować obszary, które mogą być monitorowane wzrokowo w trakcie inspekcji pola manewrowego.</w:t>
      </w:r>
    </w:p>
    <w:p w14:paraId="4DD7E01A" w14:textId="72ACE683"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Operator lotniska powinien posiadać procedury łagodzenia ryzyka związanego ze zmianami na lotnisku i w jego otoczeniu, zidentyfikowanych za pomocą procedur monitorowania. Zakres, granice, zadania i obowiązki dotyczące</w:t>
      </w:r>
      <w:r w:rsidR="00A5785D" w:rsidRPr="009E064B">
        <w:rPr>
          <w:rFonts w:asciiTheme="minorHAnsi" w:eastAsia="Calibri" w:hAnsiTheme="minorHAnsi" w:cstheme="minorHAnsi"/>
        </w:rPr>
        <w:t xml:space="preserve"> łagodzenie ryzyka związanego z </w:t>
      </w:r>
      <w:r w:rsidRPr="009E064B">
        <w:rPr>
          <w:rFonts w:asciiTheme="minorHAnsi" w:eastAsia="Calibri" w:hAnsiTheme="minorHAnsi" w:cstheme="minorHAnsi"/>
        </w:rPr>
        <w:t>przeszkodami lub zagrożeniami spoza ogrodzenia lotniska, powinny być określone w</w:t>
      </w:r>
      <w:r w:rsidR="00A5785D" w:rsidRPr="009E064B">
        <w:rPr>
          <w:rFonts w:asciiTheme="minorHAnsi" w:eastAsia="Calibri" w:hAnsiTheme="minorHAnsi" w:cstheme="minorHAnsi"/>
        </w:rPr>
        <w:t xml:space="preserve"> </w:t>
      </w:r>
      <w:r w:rsidRPr="009E064B">
        <w:rPr>
          <w:rFonts w:asciiTheme="minorHAnsi" w:eastAsia="Calibri" w:hAnsiTheme="minorHAnsi" w:cstheme="minorHAnsi"/>
        </w:rPr>
        <w:t>koordynacji z właściwymi instytucjami zapewniającymi</w:t>
      </w:r>
      <w:r w:rsidR="00A5785D" w:rsidRPr="009E064B">
        <w:rPr>
          <w:rFonts w:asciiTheme="minorHAnsi" w:eastAsia="Calibri" w:hAnsiTheme="minorHAnsi" w:cstheme="minorHAnsi"/>
        </w:rPr>
        <w:t xml:space="preserve"> służby ruchu lotniczego oraz z w</w:t>
      </w:r>
      <w:r w:rsidRPr="009E064B">
        <w:rPr>
          <w:rFonts w:asciiTheme="minorHAnsi" w:eastAsia="Calibri" w:hAnsiTheme="minorHAnsi" w:cstheme="minorHAnsi"/>
        </w:rPr>
        <w:t>łaściwym organem i innymi odpowiednimi władzami.</w:t>
      </w:r>
    </w:p>
    <w:p w14:paraId="6DBD164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Ryzyko powodowane przez działalność człowieka i użytkowanie gruntów, które powinno być oceniane i łagodzone, powinno obejmować:</w:t>
      </w:r>
    </w:p>
    <w:p w14:paraId="0A0D14B7"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przeszkody i możliwość wywoływania turbulencji;</w:t>
      </w:r>
    </w:p>
    <w:p w14:paraId="32E05F76"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stosowanie niebezpiecznych, mylących lub wprowadzających w błąd świateł;</w:t>
      </w:r>
    </w:p>
    <w:p w14:paraId="64BB076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oślepianie spowodowane dużymi, wysoce odblaskowymi powierzchniami;</w:t>
      </w:r>
    </w:p>
    <w:p w14:paraId="761917CB"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źródła niewidocznego promieniowania lub obecność ruchomych lub stałych przedmiotów, które mogą zakłócać lub negatywnie wpływać na działanie łączności lotniczej, systemów nawigacji i dozorowania; oraz</w:t>
      </w:r>
    </w:p>
    <w:p w14:paraId="3BB2CB38"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(5) </w:t>
      </w:r>
      <w:r w:rsidRPr="009E064B">
        <w:rPr>
          <w:rFonts w:asciiTheme="minorHAnsi" w:eastAsia="Calibri" w:hAnsiTheme="minorHAnsi" w:cstheme="minorHAnsi"/>
        </w:rPr>
        <w:tab/>
        <w:t>nie-lotnicze światła naziemne w pobliżu lotniska, które mogą stanowić zagrożenie dla bezpieczeństwa statków powietrznych i które powinny być zgaszone, zasłonięte, lub w inny sposób zmodyfikowane, aby wyeliminować źródło zagrożenia.</w:t>
      </w:r>
    </w:p>
    <w:p w14:paraId="552B0294" w14:textId="2531B173" w:rsidR="009D0DC1" w:rsidRPr="009E064B" w:rsidRDefault="00CC6092" w:rsidP="00133B99">
      <w:pPr>
        <w:pStyle w:val="Nagwek6"/>
      </w:pPr>
      <w:bookmarkStart w:id="711" w:name="_Toc415056391"/>
      <w:bookmarkStart w:id="712" w:name="_Toc492024762"/>
      <w:bookmarkStart w:id="713" w:name="_Toc12532881"/>
      <w:r w:rsidRPr="009E064B">
        <w:t>GM1 ADR.OPS.B.075(a)(1</w:t>
      </w:r>
      <w:r w:rsidR="00E2328A" w:rsidRPr="009E064B">
        <w:t xml:space="preserve">)     </w:t>
      </w:r>
      <w:r w:rsidR="009D0DC1" w:rsidRPr="009E064B">
        <w:t>Zabezpieczenie lotniska</w:t>
      </w:r>
      <w:bookmarkEnd w:id="711"/>
      <w:bookmarkEnd w:id="712"/>
      <w:bookmarkEnd w:id="713"/>
    </w:p>
    <w:p w14:paraId="6E0EBC6F" w14:textId="4BF7ED31"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465FD1E7"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INNE POWIERZCHNIE</w:t>
      </w:r>
    </w:p>
    <w:p w14:paraId="65047431"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Inne powierzchnie związane z lotniskiem, są powierzchniami, które muszą być ustanowione, gdy prowadzone są operacje zgodnie z podręcznikiem ICAO PANS-OPS Doc 8168 </w:t>
      </w:r>
      <w:r w:rsidRPr="009E064B">
        <w:rPr>
          <w:rFonts w:asciiTheme="minorHAnsi" w:eastAsia="Calibri" w:hAnsiTheme="minorHAnsi" w:cstheme="minorHAnsi"/>
          <w:i/>
        </w:rPr>
        <w:t>„Procedury służb żeglugi powietrznej - Operacje statków powietrznych”</w:t>
      </w:r>
      <w:r w:rsidRPr="009E064B">
        <w:rPr>
          <w:rFonts w:asciiTheme="minorHAnsi" w:eastAsia="Calibri" w:hAnsiTheme="minorHAnsi" w:cstheme="minorHAnsi"/>
        </w:rPr>
        <w:t xml:space="preserve"> Tom II, przyjętym w prawie krajowym. Pojęcie „powierzchni” w tym rozumieniu nie jest używane w sposób jednolity w różnych źródłach informacji, w których mogą być stosowane również pojęcia „obszar” lub „strefa”.</w:t>
      </w:r>
    </w:p>
    <w:p w14:paraId="76EA5D81" w14:textId="470CE220" w:rsidR="009D0DC1" w:rsidRPr="009E064B" w:rsidRDefault="00E2328A" w:rsidP="00133B99">
      <w:pPr>
        <w:pStyle w:val="Nagwek6"/>
      </w:pPr>
      <w:bookmarkStart w:id="714" w:name="_Toc415056392"/>
      <w:bookmarkStart w:id="715" w:name="_Toc492024763"/>
      <w:bookmarkStart w:id="716" w:name="_Toc12532882"/>
      <w:r w:rsidRPr="009E064B">
        <w:t xml:space="preserve">GM2 ADR.OPS.B.075(a)(1)     </w:t>
      </w:r>
      <w:r w:rsidR="009D0DC1" w:rsidRPr="009E064B">
        <w:t>Zabezpieczenie lotniska</w:t>
      </w:r>
      <w:bookmarkEnd w:id="714"/>
      <w:bookmarkEnd w:id="715"/>
      <w:bookmarkEnd w:id="716"/>
    </w:p>
    <w:p w14:paraId="181218AC" w14:textId="79AEC45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9494D3D"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INNE OBSZARY, KTÓRE MAJĄ BYĆ MONITOROWANE I CHRONIONE </w:t>
      </w:r>
    </w:p>
    <w:p w14:paraId="5C24CCF7"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Łączność lotnicza, systemy nawigacji i dozorowania powinny być ustanowione i chronione zgodnie z wymaganiami Załącznika 10 ICAO.</w:t>
      </w:r>
    </w:p>
    <w:p w14:paraId="0AD7F53A" w14:textId="0527311D" w:rsidR="00DC7DA6" w:rsidRPr="009E064B" w:rsidRDefault="00C7115F" w:rsidP="00167E5E">
      <w:pPr>
        <w:pStyle w:val="Nagwek3"/>
        <w:ind w:left="2127" w:hanging="2127"/>
      </w:pPr>
      <w:bookmarkStart w:id="717" w:name="_Toc12532883"/>
      <w:r w:rsidRPr="009E064B">
        <w:t>ADR.OPS.B.080</w:t>
      </w:r>
      <w:r w:rsidR="007D2B91" w:rsidRPr="009E064B">
        <w:t xml:space="preserve"> </w:t>
      </w:r>
      <w:r w:rsidR="00E2328A" w:rsidRPr="009E064B">
        <w:t xml:space="preserve">    </w:t>
      </w:r>
      <w:r w:rsidR="00DE05DC" w:rsidRPr="009E064B">
        <w:t>Oznakowanie poziome oraz oświetlenie pojazdów i innych obiektów ruchomych</w:t>
      </w:r>
      <w:bookmarkEnd w:id="717"/>
    </w:p>
    <w:p w14:paraId="19E76F37" w14:textId="0F5A37E1"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5EA24CD9" w14:textId="32867E89"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 xml:space="preserve">Operator lotniska zapewnia, by pojazdy i inne ruchome obiekty, z wyjątkiem statków powietrznych, znajdujące się w polu ruchu naziemnego lotniska, były oznakowane i oświetlone w trakcie ich używania w </w:t>
      </w:r>
      <w:r w:rsidR="007D2B91" w:rsidRPr="009E064B">
        <w:rPr>
          <w:rFonts w:asciiTheme="minorHAnsi" w:hAnsiTheme="minorHAnsi" w:cstheme="minorHAnsi"/>
          <w:sz w:val="22"/>
          <w:szCs w:val="20"/>
        </w:rPr>
        <w:t xml:space="preserve">nocy </w:t>
      </w:r>
      <w:r w:rsidRPr="009E064B">
        <w:rPr>
          <w:rFonts w:asciiTheme="minorHAnsi" w:hAnsiTheme="minorHAnsi" w:cstheme="minorHAnsi"/>
          <w:sz w:val="22"/>
          <w:szCs w:val="20"/>
        </w:rPr>
        <w:t>lub w warunkach ograniczonej widzialności. Wyposażenie i pojazdy do obsługi statków powietrznych, które są użytkowane tylko na płycie postojowej, mogą zosta</w:t>
      </w:r>
      <w:r w:rsidR="007D2B91" w:rsidRPr="009E064B">
        <w:rPr>
          <w:rFonts w:asciiTheme="minorHAnsi" w:hAnsiTheme="minorHAnsi" w:cstheme="minorHAnsi"/>
          <w:sz w:val="22"/>
          <w:szCs w:val="20"/>
        </w:rPr>
        <w:t xml:space="preserve">ć </w:t>
      </w:r>
      <w:r w:rsidR="00AA26DB" w:rsidRPr="009E064B">
        <w:rPr>
          <w:rFonts w:asciiTheme="minorHAnsi" w:hAnsiTheme="minorHAnsi" w:cstheme="minorHAnsi"/>
          <w:sz w:val="22"/>
          <w:szCs w:val="20"/>
        </w:rPr>
        <w:t>zwolnione z </w:t>
      </w:r>
      <w:r w:rsidR="007D2B91" w:rsidRPr="009E064B">
        <w:rPr>
          <w:rFonts w:asciiTheme="minorHAnsi" w:hAnsiTheme="minorHAnsi" w:cstheme="minorHAnsi"/>
          <w:sz w:val="22"/>
          <w:szCs w:val="20"/>
        </w:rPr>
        <w:t xml:space="preserve">tego </w:t>
      </w:r>
      <w:r w:rsidRPr="009E064B">
        <w:rPr>
          <w:rFonts w:asciiTheme="minorHAnsi" w:hAnsiTheme="minorHAnsi" w:cstheme="minorHAnsi"/>
          <w:sz w:val="22"/>
          <w:szCs w:val="20"/>
        </w:rPr>
        <w:t>obowiązku.</w:t>
      </w:r>
    </w:p>
    <w:p w14:paraId="136AFFB2" w14:textId="6356F65F" w:rsidR="009D0DC1" w:rsidRPr="009E064B" w:rsidRDefault="00814960" w:rsidP="00133B99">
      <w:pPr>
        <w:pStyle w:val="Nagwek5"/>
      </w:pPr>
      <w:bookmarkStart w:id="718" w:name="_Toc415056393"/>
      <w:bookmarkStart w:id="719" w:name="_Toc492024764"/>
      <w:bookmarkStart w:id="720" w:name="_Toc12532884"/>
      <w:r w:rsidRPr="009E064B">
        <w:t xml:space="preserve">AMC1 ADR.OPS.B.080 </w:t>
      </w:r>
      <w:r w:rsidR="00167E5E" w:rsidRPr="009E064B">
        <w:t xml:space="preserve">   </w:t>
      </w:r>
      <w:r w:rsidR="00E2328A" w:rsidRPr="009E064B">
        <w:t>Oznakowanie i</w:t>
      </w:r>
      <w:r w:rsidR="009D0DC1" w:rsidRPr="009E064B">
        <w:t xml:space="preserve"> oświetlenie pojazdów i innych obiektów </w:t>
      </w:r>
      <w:r w:rsidR="00673989">
        <w:br/>
        <w:t xml:space="preserve">   </w:t>
      </w:r>
      <w:r w:rsidR="009D0DC1" w:rsidRPr="009E064B">
        <w:t>ruchomych</w:t>
      </w:r>
      <w:bookmarkEnd w:id="718"/>
      <w:bookmarkEnd w:id="719"/>
      <w:bookmarkEnd w:id="720"/>
    </w:p>
    <w:p w14:paraId="0AE0017F" w14:textId="73033FA1" w:rsidR="00F055F5"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4EA61098" w14:textId="0D2F1F93"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53D77E8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zapewnić, że wszystkie pojazdy poruszające się w polu manewrowym są oznakowane kolorami lub wyposażone we flagi.</w:t>
      </w:r>
    </w:p>
    <w:p w14:paraId="0D1E86D9"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W przypadku obiektów ruchomych oznaczanych kolorem, powinny być stosowane kolory rzucające się w oczy;</w:t>
      </w:r>
    </w:p>
    <w:p w14:paraId="6727D8F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 przypadku używania flag do oznakowania obiektów ruchomych, powinny być one umieszczone dookoła, na górze lub wokół najwyższej krawędzi obiektu. Flagi nie powinny zwiększać zagrożenia stwarzanego przez obiekt, który oznakowują.</w:t>
      </w:r>
    </w:p>
    <w:p w14:paraId="7EBB8D6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Jeśli flagi są używane do oznaczania obiektów ruchomych, nie powinny być mniejsze niż 0,9 m na każdym z boków oraz powinny mieć wzór szachownicy, przy czym bok każdego kwadratu nie może być mniejszy niż 0,3 m. Kolory wzoru powinny kontrastować każdorazowo z tłem, na którym będą widoczne. Powinny być używane zestawy kolorów: pomarańczowy – biały lub alternatywnie czerwony i biały, z wyjątkiem sytuacji, gdy takie kolory łączą się z tłem.</w:t>
      </w:r>
    </w:p>
    <w:p w14:paraId="7C2C135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Światła przeszkodowe niskiej intensywności, typu C, powinny być montowane na pojazdach i innych obiektach ruchomych z własnym napędem, z wyłączeniem statków powietrznych;</w:t>
      </w:r>
    </w:p>
    <w:p w14:paraId="41EFAF2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Światła przeszkodowe niskiej intensywności, typu D, powinny być montowane na pojazdach prowadzących „</w:t>
      </w:r>
      <w:r w:rsidRPr="009E064B">
        <w:rPr>
          <w:rFonts w:asciiTheme="minorHAnsi" w:eastAsia="Calibri" w:hAnsiTheme="minorHAnsi" w:cstheme="minorHAnsi"/>
          <w:i/>
        </w:rPr>
        <w:t>follow-me</w:t>
      </w:r>
      <w:r w:rsidRPr="009E064B">
        <w:rPr>
          <w:rFonts w:asciiTheme="minorHAnsi" w:eastAsia="Calibri" w:hAnsiTheme="minorHAnsi" w:cstheme="minorHAnsi"/>
        </w:rPr>
        <w:t>”.</w:t>
      </w:r>
    </w:p>
    <w:p w14:paraId="231E3E76" w14:textId="33499750" w:rsidR="009D0DC1" w:rsidRPr="009E064B" w:rsidRDefault="001B4DE2" w:rsidP="00133B99">
      <w:pPr>
        <w:pStyle w:val="Nagwek6"/>
      </w:pPr>
      <w:bookmarkStart w:id="721" w:name="_Toc415056394"/>
      <w:bookmarkStart w:id="722" w:name="_Toc492024765"/>
      <w:bookmarkStart w:id="723" w:name="_Toc12532885"/>
      <w:r w:rsidRPr="009E064B">
        <w:t xml:space="preserve">GM1 ADR.OPS.B.080 </w:t>
      </w:r>
      <w:r w:rsidR="00E2328A" w:rsidRPr="009E064B">
        <w:t xml:space="preserve">    </w:t>
      </w:r>
      <w:r w:rsidR="009D0DC1" w:rsidRPr="009E064B">
        <w:t>Oznakowanie i oświetlenie pojazdów i innych obiektów ruchomych</w:t>
      </w:r>
      <w:bookmarkEnd w:id="721"/>
      <w:bookmarkEnd w:id="722"/>
      <w:bookmarkEnd w:id="723"/>
    </w:p>
    <w:p w14:paraId="5A4EF48E" w14:textId="47B14DC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208D490"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STOSOWANE KOLORY</w:t>
      </w:r>
    </w:p>
    <w:p w14:paraId="20860758" w14:textId="77777777" w:rsidR="00A5785D" w:rsidRPr="009E064B" w:rsidRDefault="009D0DC1" w:rsidP="005F6768">
      <w:pPr>
        <w:widowControl/>
        <w:rPr>
          <w:rFonts w:asciiTheme="minorHAnsi" w:eastAsia="Calibri" w:hAnsiTheme="minorHAnsi" w:cstheme="minorHAnsi"/>
        </w:rPr>
      </w:pPr>
      <w:r w:rsidRPr="009E064B">
        <w:rPr>
          <w:rFonts w:asciiTheme="minorHAnsi" w:eastAsia="Calibri" w:hAnsiTheme="minorHAnsi" w:cstheme="minorHAnsi"/>
        </w:rPr>
        <w:t>Najlepiej, aby do oznaczania pojazdów ratowniczych używany był kolor czerwony lub żółtawo-zielony, a do oznaczania pojazdów innych służb lotniskowych kolor żółty.</w:t>
      </w:r>
      <w:r w:rsidR="005F6768" w:rsidRPr="009E064B">
        <w:rPr>
          <w:rFonts w:asciiTheme="minorHAnsi" w:eastAsia="Calibri" w:hAnsiTheme="minorHAnsi" w:cstheme="minorHAnsi"/>
        </w:rPr>
        <w:t xml:space="preserve"> </w:t>
      </w:r>
    </w:p>
    <w:p w14:paraId="795B965E" w14:textId="52290D6C" w:rsidR="00DC7DA6" w:rsidRPr="009E064B" w:rsidRDefault="00DE05DC" w:rsidP="00167E5E">
      <w:pPr>
        <w:pStyle w:val="Nagwek3"/>
        <w:ind w:left="2127" w:hanging="2127"/>
      </w:pPr>
      <w:bookmarkStart w:id="724" w:name="_ADR.OPS.B.090__"/>
      <w:bookmarkStart w:id="725" w:name="_Toc12532886"/>
      <w:bookmarkEnd w:id="724"/>
      <w:r w:rsidRPr="009E064B">
        <w:t xml:space="preserve">ADR.OPS.B.090 </w:t>
      </w:r>
      <w:r w:rsidR="00E2328A" w:rsidRPr="009E064B">
        <w:t xml:space="preserve">    </w:t>
      </w:r>
      <w:r w:rsidRPr="009E064B">
        <w:t>Użytkowanie lotniska przez statki powietrzne o wyższej literze kodu</w:t>
      </w:r>
      <w:bookmarkEnd w:id="725"/>
    </w:p>
    <w:p w14:paraId="49A487B0" w14:textId="127BEBAE"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7F6485F" w14:textId="2F3ECC7E"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a)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Z wyjątkiem sytuacji awaryjnych </w:t>
      </w:r>
      <w:r w:rsidR="007D2B91" w:rsidRPr="009E064B">
        <w:rPr>
          <w:rFonts w:asciiTheme="minorHAnsi" w:hAnsiTheme="minorHAnsi" w:cstheme="minorHAnsi"/>
          <w:sz w:val="22"/>
          <w:szCs w:val="22"/>
        </w:rPr>
        <w:t xml:space="preserve">z </w:t>
      </w:r>
      <w:r w:rsidR="00DE05DC" w:rsidRPr="009E064B">
        <w:rPr>
          <w:rFonts w:asciiTheme="minorHAnsi" w:hAnsiTheme="minorHAnsi" w:cstheme="minorHAnsi"/>
          <w:sz w:val="22"/>
          <w:szCs w:val="22"/>
        </w:rPr>
        <w:t xml:space="preserve">udziałem statków powietrznych, operator lotniska może, za uprzednim zatwierdzeniem udzielonym przez właściwy organ, zezwolić na użytkowanie lotniska lub jego części przez statki powietrzne o wyższej </w:t>
      </w:r>
      <w:r w:rsidR="00303B50" w:rsidRPr="009E064B">
        <w:rPr>
          <w:rFonts w:asciiTheme="minorHAnsi" w:hAnsiTheme="minorHAnsi" w:cstheme="minorHAnsi"/>
          <w:sz w:val="22"/>
          <w:szCs w:val="22"/>
        </w:rPr>
        <w:t>literze kodu niż przewidziany w </w:t>
      </w:r>
      <w:r w:rsidR="00DE05DC" w:rsidRPr="009E064B">
        <w:rPr>
          <w:rFonts w:asciiTheme="minorHAnsi" w:hAnsiTheme="minorHAnsi" w:cstheme="minorHAnsi"/>
          <w:sz w:val="22"/>
          <w:szCs w:val="22"/>
        </w:rPr>
        <w:t xml:space="preserve">charakterystyce konstrukcyjnej lotniska określonej w warunkach </w:t>
      </w:r>
      <w:r w:rsidR="007D2B91" w:rsidRPr="009E064B">
        <w:rPr>
          <w:rFonts w:asciiTheme="minorHAnsi" w:hAnsiTheme="minorHAnsi" w:cstheme="minorHAnsi"/>
          <w:sz w:val="22"/>
          <w:szCs w:val="22"/>
        </w:rPr>
        <w:t>certyfi</w:t>
      </w:r>
      <w:r w:rsidR="00DE05DC" w:rsidRPr="009E064B">
        <w:rPr>
          <w:rFonts w:asciiTheme="minorHAnsi" w:hAnsiTheme="minorHAnsi" w:cstheme="minorHAnsi"/>
          <w:sz w:val="22"/>
          <w:szCs w:val="22"/>
        </w:rPr>
        <w:t>katu.</w:t>
      </w:r>
    </w:p>
    <w:p w14:paraId="4E4351C2" w14:textId="1E74BD42" w:rsidR="000209A8"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 xml:space="preserve">Przy wykazywaniu zgodności z lit. </w:t>
      </w:r>
      <w:r w:rsidR="00303B50" w:rsidRPr="009E064B">
        <w:rPr>
          <w:rFonts w:asciiTheme="minorHAnsi" w:hAnsiTheme="minorHAnsi" w:cstheme="minorHAnsi"/>
          <w:sz w:val="22"/>
          <w:szCs w:val="22"/>
        </w:rPr>
        <w:t>(</w:t>
      </w:r>
      <w:r w:rsidR="00DE05DC" w:rsidRPr="009E064B">
        <w:rPr>
          <w:rFonts w:asciiTheme="minorHAnsi" w:hAnsiTheme="minorHAnsi" w:cstheme="minorHAnsi"/>
          <w:sz w:val="22"/>
          <w:szCs w:val="22"/>
        </w:rPr>
        <w:t xml:space="preserve">a) zastosowanie mają przepisy </w:t>
      </w:r>
      <w:hyperlink w:anchor="_ADR.OR.B.040__" w:history="1">
        <w:r w:rsidR="00DE05DC" w:rsidRPr="009E064B">
          <w:rPr>
            <w:rStyle w:val="Hipercze"/>
            <w:rFonts w:asciiTheme="minorHAnsi" w:hAnsiTheme="minorHAnsi" w:cstheme="minorHAnsi"/>
            <w:sz w:val="22"/>
            <w:szCs w:val="22"/>
          </w:rPr>
          <w:t>ADR.OR.B.040</w:t>
        </w:r>
      </w:hyperlink>
      <w:r w:rsidR="00DE05DC" w:rsidRPr="009E064B">
        <w:rPr>
          <w:rFonts w:asciiTheme="minorHAnsi" w:hAnsiTheme="minorHAnsi" w:cstheme="minorHAnsi"/>
          <w:sz w:val="22"/>
          <w:szCs w:val="22"/>
        </w:rPr>
        <w:t>.</w:t>
      </w:r>
    </w:p>
    <w:p w14:paraId="7F8D51E8" w14:textId="77777777" w:rsidR="000209A8" w:rsidRDefault="000209A8">
      <w:pPr>
        <w:spacing w:after="0"/>
        <w:jc w:val="left"/>
        <w:rPr>
          <w:rFonts w:asciiTheme="minorHAnsi" w:eastAsia="Times New Roman" w:hAnsiTheme="minorHAnsi" w:cstheme="minorHAnsi"/>
        </w:rPr>
      </w:pPr>
      <w:r>
        <w:rPr>
          <w:rFonts w:asciiTheme="minorHAnsi" w:hAnsiTheme="minorHAnsi" w:cstheme="minorHAnsi"/>
        </w:rPr>
        <w:br w:type="page"/>
      </w:r>
    </w:p>
    <w:p w14:paraId="07A452E0" w14:textId="6AE3CBBA" w:rsidR="009D0DC1" w:rsidRPr="009E064B" w:rsidRDefault="00814960" w:rsidP="00673989">
      <w:pPr>
        <w:pStyle w:val="Nagwek5"/>
      </w:pPr>
      <w:bookmarkStart w:id="726" w:name="_Toc415056395"/>
      <w:bookmarkStart w:id="727" w:name="_Toc492024766"/>
      <w:bookmarkStart w:id="728" w:name="_Toc12532887"/>
      <w:r w:rsidRPr="009E064B">
        <w:t xml:space="preserve">AMC1 ADR.OPS.B.090 </w:t>
      </w:r>
      <w:r w:rsidR="00A514F3" w:rsidRPr="009E064B">
        <w:t xml:space="preserve">    </w:t>
      </w:r>
      <w:r w:rsidR="00167E5E" w:rsidRPr="009E064B">
        <w:t xml:space="preserve"> </w:t>
      </w:r>
      <w:r w:rsidR="009D0DC1" w:rsidRPr="009E064B">
        <w:t xml:space="preserve">Użytkowanie lotniska przez statki powietrzne o wyższej literze </w:t>
      </w:r>
      <w:r w:rsidR="00673989">
        <w:br/>
        <w:t xml:space="preserve">     </w:t>
      </w:r>
      <w:r w:rsidR="009D0DC1" w:rsidRPr="009E064B">
        <w:t>kodu</w:t>
      </w:r>
      <w:bookmarkEnd w:id="726"/>
      <w:bookmarkEnd w:id="727"/>
      <w:bookmarkEnd w:id="728"/>
    </w:p>
    <w:p w14:paraId="460C1538" w14:textId="00F5778F"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896E7E0"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ELEMENTY PODLEGAJĄCE OCENIE</w:t>
      </w:r>
    </w:p>
    <w:p w14:paraId="304A50BF"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Przy ocenie możliwości eksploatacji statków powietrznych, których litera kodu jest wyższa niż litera kodu referencyjnego lotniska, operator lotniska powinien, oprócz innych kwestii, dokonać oceny wpływu charakterystyk statku powietrznego na lotnisko, jego urządzenia, wyposażenie oraz jego działanie i na odwrót </w:t>
      </w:r>
      <w:r w:rsidRPr="009E064B">
        <w:rPr>
          <w:rFonts w:asciiTheme="minorHAnsi" w:eastAsia="Calibri" w:hAnsiTheme="minorHAnsi" w:cstheme="minorHAnsi"/>
          <w:i/>
        </w:rPr>
        <w:t>(vice versa).</w:t>
      </w:r>
    </w:p>
    <w:p w14:paraId="2E087718"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Charakterystyki statków powietrznych podlegających ocenie obejmują, lecz nie ograniczają się do:</w:t>
      </w:r>
    </w:p>
    <w:p w14:paraId="15CDA70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długości kadłuba;</w:t>
      </w:r>
    </w:p>
    <w:p w14:paraId="0D8E03E0"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szerokości kadłuba;</w:t>
      </w:r>
    </w:p>
    <w:p w14:paraId="1C3768A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wysokości kadłuba;</w:t>
      </w:r>
    </w:p>
    <w:p w14:paraId="14B715C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wysokości ogona;</w:t>
      </w:r>
    </w:p>
    <w:p w14:paraId="4ECA585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rozpiętości skrzydeł;</w:t>
      </w:r>
    </w:p>
    <w:p w14:paraId="43ABE98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pionowego prześwitu końcówki skrzydła;</w:t>
      </w:r>
    </w:p>
    <w:p w14:paraId="352ADDC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widoku z kokpitu;</w:t>
      </w:r>
    </w:p>
    <w:p w14:paraId="488AC6D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odległości od położenia oczu pilota do nosa podwozia przedniego i do podwozia głównego;</w:t>
      </w:r>
    </w:p>
    <w:p w14:paraId="0EFA7AF3" w14:textId="157059D0"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(i) </w:t>
      </w:r>
      <w:r w:rsidRPr="009E064B">
        <w:rPr>
          <w:rFonts w:asciiTheme="minorHAnsi" w:eastAsia="Calibri" w:hAnsiTheme="minorHAnsi" w:cstheme="minorHAnsi"/>
        </w:rPr>
        <w:tab/>
        <w:t>rozpiętości zewnętrznych kół podwozia głównego;</w:t>
      </w:r>
    </w:p>
    <w:p w14:paraId="3A4B7E2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(j) </w:t>
      </w:r>
      <w:r w:rsidRPr="009E064B">
        <w:rPr>
          <w:rFonts w:asciiTheme="minorHAnsi" w:eastAsia="Calibri" w:hAnsiTheme="minorHAnsi" w:cstheme="minorHAnsi"/>
        </w:rPr>
        <w:tab/>
        <w:t>rozstawu osi podwozia;</w:t>
      </w:r>
    </w:p>
    <w:p w14:paraId="7D32F7F3"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(k) </w:t>
      </w:r>
      <w:r w:rsidRPr="009E064B">
        <w:rPr>
          <w:rFonts w:asciiTheme="minorHAnsi" w:eastAsia="Calibri" w:hAnsiTheme="minorHAnsi" w:cstheme="minorHAnsi"/>
        </w:rPr>
        <w:tab/>
        <w:t>systemu sterowania podwozia głównego;</w:t>
      </w:r>
    </w:p>
    <w:p w14:paraId="275F336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(l) </w:t>
      </w:r>
      <w:r w:rsidRPr="009E064B">
        <w:rPr>
          <w:rFonts w:asciiTheme="minorHAnsi" w:eastAsia="Calibri" w:hAnsiTheme="minorHAnsi" w:cstheme="minorHAnsi"/>
        </w:rPr>
        <w:tab/>
        <w:t>geometrii podwozia;</w:t>
      </w:r>
    </w:p>
    <w:p w14:paraId="0A44596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(m) </w:t>
      </w:r>
      <w:r w:rsidRPr="009E064B">
        <w:rPr>
          <w:rFonts w:asciiTheme="minorHAnsi" w:eastAsia="Calibri" w:hAnsiTheme="minorHAnsi" w:cstheme="minorHAnsi"/>
        </w:rPr>
        <w:tab/>
        <w:t>danych silnika;</w:t>
      </w:r>
    </w:p>
    <w:p w14:paraId="7B2598F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(n) </w:t>
      </w:r>
      <w:r w:rsidRPr="009E064B">
        <w:rPr>
          <w:rFonts w:asciiTheme="minorHAnsi" w:eastAsia="Calibri" w:hAnsiTheme="minorHAnsi" w:cstheme="minorHAnsi"/>
        </w:rPr>
        <w:tab/>
        <w:t>osiągów lotu; oraz</w:t>
      </w:r>
    </w:p>
    <w:p w14:paraId="6C6ABE9B" w14:textId="3DEA26AB" w:rsidR="00167E5E"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(o) </w:t>
      </w:r>
      <w:r w:rsidRPr="009E064B">
        <w:rPr>
          <w:rFonts w:asciiTheme="minorHAnsi" w:eastAsia="Calibri" w:hAnsiTheme="minorHAnsi" w:cstheme="minorHAnsi"/>
        </w:rPr>
        <w:tab/>
        <w:t>rozwoju technologii.</w:t>
      </w:r>
    </w:p>
    <w:p w14:paraId="561F3007" w14:textId="3E3DC73A" w:rsidR="009D0DC1" w:rsidRPr="009E064B" w:rsidRDefault="00A514F3" w:rsidP="00133B99">
      <w:pPr>
        <w:pStyle w:val="Nagwek6"/>
      </w:pPr>
      <w:bookmarkStart w:id="729" w:name="_Toc415056396"/>
      <w:bookmarkStart w:id="730" w:name="_Toc492024767"/>
      <w:bookmarkStart w:id="731" w:name="_Toc12532888"/>
      <w:r w:rsidRPr="009E064B">
        <w:t xml:space="preserve">GM1 ADR.OPS.B.090     </w:t>
      </w:r>
      <w:r w:rsidR="00167E5E" w:rsidRPr="009E064B">
        <w:t xml:space="preserve"> </w:t>
      </w:r>
      <w:r w:rsidR="009D0DC1" w:rsidRPr="009E064B">
        <w:t xml:space="preserve">Użytkowanie lotniska przez statki powietrzne o wyższej literze </w:t>
      </w:r>
      <w:r w:rsidR="00673989">
        <w:br/>
        <w:t xml:space="preserve">   </w:t>
      </w:r>
      <w:r w:rsidR="009D0DC1" w:rsidRPr="009E064B">
        <w:t>kodu</w:t>
      </w:r>
      <w:bookmarkEnd w:id="729"/>
      <w:bookmarkEnd w:id="730"/>
      <w:bookmarkEnd w:id="731"/>
    </w:p>
    <w:p w14:paraId="05824FCB" w14:textId="6BF7C236"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33BCAA7"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ELEMENTY PODLEGAJĄCE OCENIE</w:t>
      </w:r>
    </w:p>
    <w:p w14:paraId="57DA5371" w14:textId="07B95A94"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Dalsze wytyczne na ten temat zawarte są w okólnikach ICAO, tj. w „</w:t>
      </w:r>
      <w:r w:rsidRPr="009E064B">
        <w:rPr>
          <w:rFonts w:asciiTheme="minorHAnsi" w:eastAsia="Calibri" w:hAnsiTheme="minorHAnsi" w:cstheme="minorHAnsi"/>
          <w:i/>
        </w:rPr>
        <w:t>I</w:t>
      </w:r>
      <w:r w:rsidR="00167E5E" w:rsidRPr="009E064B">
        <w:rPr>
          <w:rFonts w:asciiTheme="minorHAnsi" w:eastAsia="Calibri" w:hAnsiTheme="minorHAnsi" w:cstheme="minorHAnsi"/>
          <w:i/>
        </w:rPr>
        <w:t>CAO Circular 305-AN/177</w:t>
      </w:r>
      <w:r w:rsidR="00167E5E" w:rsidRPr="009E064B">
        <w:rPr>
          <w:rFonts w:asciiTheme="minorHAnsi" w:eastAsia="Calibri" w:hAnsiTheme="minorHAnsi" w:cstheme="minorHAnsi"/>
        </w:rPr>
        <w:t>” oraz w </w:t>
      </w:r>
      <w:r w:rsidRPr="009E064B">
        <w:rPr>
          <w:rFonts w:asciiTheme="minorHAnsi" w:eastAsia="Calibri" w:hAnsiTheme="minorHAnsi" w:cstheme="minorHAnsi"/>
        </w:rPr>
        <w:t>„</w:t>
      </w:r>
      <w:r w:rsidRPr="009E064B">
        <w:rPr>
          <w:rFonts w:asciiTheme="minorHAnsi" w:eastAsia="Calibri" w:hAnsiTheme="minorHAnsi" w:cstheme="minorHAnsi"/>
          <w:i/>
        </w:rPr>
        <w:t>ICAO Circular 301-AN/174</w:t>
      </w:r>
      <w:r w:rsidRPr="009E064B">
        <w:rPr>
          <w:rFonts w:asciiTheme="minorHAnsi" w:eastAsia="Calibri" w:hAnsiTheme="minorHAnsi" w:cstheme="minorHAnsi"/>
        </w:rPr>
        <w:t>”.</w:t>
      </w:r>
    </w:p>
    <w:p w14:paraId="6DBFE9BE" w14:textId="1D693D1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 xml:space="preserve">W każdym razie, elementy, które muszą być brane pod uwagę przy ocenie bezpieczeństwa, są bez uszczerbku dla innych ocen, które mogą zostać przeprowadzone, zgodne z innymi obowiązującymi wymogami zawartymi w </w:t>
      </w:r>
      <w:hyperlink w:anchor="_ZAŁĄCZNIK_IV_—" w:history="1">
        <w:r w:rsidR="00F809D7" w:rsidRPr="009E064B">
          <w:rPr>
            <w:rStyle w:val="Hipercze"/>
            <w:rFonts w:asciiTheme="minorHAnsi" w:eastAsia="Calibri" w:hAnsiTheme="minorHAnsi" w:cstheme="minorHAnsi"/>
            <w:szCs w:val="18"/>
          </w:rPr>
          <w:t>Części ADR.OPS</w:t>
        </w:r>
      </w:hyperlink>
      <w:r w:rsidRPr="009E064B">
        <w:rPr>
          <w:rFonts w:asciiTheme="minorHAnsi" w:eastAsia="Calibri" w:hAnsiTheme="minorHAnsi" w:cstheme="minorHAnsi"/>
        </w:rPr>
        <w:t>.</w:t>
      </w:r>
    </w:p>
    <w:p w14:paraId="76771A1A"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Takie oceny powinny obejmować, ale nie są ograniczone do:</w:t>
      </w:r>
    </w:p>
    <w:p w14:paraId="52314FD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masy statku powietrznego, ciśnienia w oponach i wartości ACN - w odniesieniu do operacji z nadmiernym obciążeniem; oraz</w:t>
      </w:r>
    </w:p>
    <w:p w14:paraId="2289C774" w14:textId="067AAC61" w:rsidR="00626E85" w:rsidRPr="009E064B" w:rsidRDefault="009D0DC1" w:rsidP="000209A8">
      <w:pPr>
        <w:widowControl/>
        <w:tabs>
          <w:tab w:val="left" w:pos="709"/>
        </w:tabs>
        <w:ind w:left="567" w:hanging="567"/>
        <w:rPr>
          <w:rFonts w:asciiTheme="minorHAnsi" w:hAnsiTheme="minorHAnsi" w:cstheme="minorHAnsi"/>
          <w:szCs w:val="20"/>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maksymalnej pojemność przewożonych pasażerów i paliwa - w odniesieniu do zapewnianego poziomu ochrony RFFS i planu </w:t>
      </w:r>
      <w:r w:rsidR="001359B5" w:rsidRPr="009E064B">
        <w:rPr>
          <w:rFonts w:asciiTheme="minorHAnsi" w:eastAsia="Calibri" w:hAnsiTheme="minorHAnsi" w:cstheme="minorHAnsi"/>
        </w:rPr>
        <w:t>działania w sytuacjach zagrożenia dla lotniska</w:t>
      </w:r>
      <w:r w:rsidRPr="009E064B">
        <w:rPr>
          <w:rFonts w:asciiTheme="minorHAnsi" w:eastAsia="Calibri" w:hAnsiTheme="minorHAnsi" w:cstheme="minorHAnsi"/>
        </w:rPr>
        <w:t>.</w:t>
      </w:r>
    </w:p>
    <w:p w14:paraId="7FE9135B" w14:textId="77777777" w:rsidR="00C05A61" w:rsidRPr="009E064B" w:rsidRDefault="00C05A61" w:rsidP="00B06A9A">
      <w:pPr>
        <w:ind w:right="-2"/>
        <w:rPr>
          <w:rFonts w:asciiTheme="minorHAnsi" w:hAnsiTheme="minorHAnsi" w:cstheme="minorHAnsi"/>
          <w:szCs w:val="20"/>
        </w:rPr>
      </w:pPr>
    </w:p>
    <w:p w14:paraId="60513119" w14:textId="77777777" w:rsidR="00C05A61" w:rsidRPr="009E064B" w:rsidRDefault="00C05A61" w:rsidP="00B06A9A">
      <w:pPr>
        <w:ind w:right="-2"/>
        <w:rPr>
          <w:rFonts w:asciiTheme="minorHAnsi" w:hAnsiTheme="minorHAnsi" w:cstheme="minorHAnsi"/>
          <w:szCs w:val="20"/>
        </w:rPr>
        <w:sectPr w:rsidR="00C05A61" w:rsidRPr="009E064B" w:rsidSect="00AE1280">
          <w:headerReference w:type="default" r:id="rId96"/>
          <w:headerReference w:type="first" r:id="rId97"/>
          <w:pgSz w:w="11906" w:h="16840" w:code="9"/>
          <w:pgMar w:top="1701" w:right="1418" w:bottom="1418" w:left="1418" w:header="567" w:footer="454" w:gutter="0"/>
          <w:cols w:space="708"/>
          <w:titlePg/>
        </w:sectPr>
      </w:pPr>
    </w:p>
    <w:p w14:paraId="0751AACA" w14:textId="4FFEB04E" w:rsidR="00DC7DA6" w:rsidRPr="009E064B" w:rsidRDefault="00DE05DC" w:rsidP="00020EA3">
      <w:pPr>
        <w:pStyle w:val="Nagwek2"/>
      </w:pPr>
      <w:bookmarkStart w:id="732" w:name="_Toc12532889"/>
      <w:r w:rsidRPr="009E064B">
        <w:t>PODCZĘŚĆ C — OBSŁUGA TECHNICZNA LOTNISKA (ADR.OPS.C)</w:t>
      </w:r>
      <w:bookmarkEnd w:id="732"/>
    </w:p>
    <w:p w14:paraId="6311AA4C" w14:textId="77777777" w:rsidR="00DC7DA6" w:rsidRPr="009E064B" w:rsidRDefault="00DC7DA6" w:rsidP="00B06A9A">
      <w:pPr>
        <w:ind w:right="-2"/>
        <w:rPr>
          <w:rFonts w:asciiTheme="minorHAnsi" w:hAnsiTheme="minorHAnsi" w:cstheme="minorHAnsi"/>
          <w:szCs w:val="20"/>
        </w:rPr>
      </w:pPr>
    </w:p>
    <w:p w14:paraId="37BF182D" w14:textId="4FC06509" w:rsidR="00DC7DA6" w:rsidRPr="009E064B" w:rsidRDefault="00DE05DC" w:rsidP="00B06A9A">
      <w:pPr>
        <w:pStyle w:val="Nagwek3"/>
      </w:pPr>
      <w:bookmarkStart w:id="733" w:name="_Toc12532890"/>
      <w:r w:rsidRPr="009E064B">
        <w:t xml:space="preserve">ADR.OPS.C.005 </w:t>
      </w:r>
      <w:r w:rsidR="00A514F3" w:rsidRPr="009E064B">
        <w:t xml:space="preserve">    </w:t>
      </w:r>
      <w:r w:rsidRPr="009E064B">
        <w:t>Przepisy ogólne</w:t>
      </w:r>
      <w:bookmarkEnd w:id="733"/>
    </w:p>
    <w:p w14:paraId="390F45C6" w14:textId="1EE04ED2"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19F48517" w14:textId="7DF7277F" w:rsidR="00DC7DA6" w:rsidRPr="009E064B" w:rsidRDefault="00DE05DC" w:rsidP="00B06A9A">
      <w:pPr>
        <w:pStyle w:val="Tekstpodstawowy"/>
        <w:ind w:left="0" w:right="-2" w:firstLine="2"/>
        <w:rPr>
          <w:rFonts w:asciiTheme="minorHAnsi" w:hAnsiTheme="minorHAnsi" w:cstheme="minorHAnsi"/>
          <w:sz w:val="22"/>
          <w:szCs w:val="20"/>
        </w:rPr>
      </w:pPr>
      <w:r w:rsidRPr="009E064B">
        <w:rPr>
          <w:rFonts w:asciiTheme="minorHAnsi" w:hAnsiTheme="minorHAnsi" w:cstheme="minorHAnsi"/>
          <w:sz w:val="22"/>
          <w:szCs w:val="20"/>
        </w:rPr>
        <w:t xml:space="preserve">Operator lotniska ustanawia i wdraża program obsługi technicznej, obejmujący, w stosownych przypadkach, obsługę profilaktyczną, w celu utrzymania obiektów </w:t>
      </w:r>
      <w:r w:rsidR="000E0B48" w:rsidRPr="009E064B">
        <w:rPr>
          <w:rFonts w:asciiTheme="minorHAnsi" w:hAnsiTheme="minorHAnsi" w:cstheme="minorHAnsi"/>
          <w:sz w:val="22"/>
          <w:szCs w:val="20"/>
        </w:rPr>
        <w:t>lotniskowych w takim stanie, by </w:t>
      </w:r>
      <w:r w:rsidRPr="009E064B">
        <w:rPr>
          <w:rFonts w:asciiTheme="minorHAnsi" w:hAnsiTheme="minorHAnsi" w:cstheme="minorHAnsi"/>
          <w:sz w:val="22"/>
          <w:szCs w:val="20"/>
        </w:rPr>
        <w:t xml:space="preserve">spełniały zasadnicze wymagania określone w </w:t>
      </w:r>
      <w:r w:rsidR="00371A8B" w:rsidRPr="009E064B">
        <w:rPr>
          <w:rFonts w:asciiTheme="minorHAnsi" w:hAnsiTheme="minorHAnsi" w:cstheme="minorHAnsi"/>
          <w:sz w:val="22"/>
          <w:szCs w:val="20"/>
        </w:rPr>
        <w:t>Z</w:t>
      </w:r>
      <w:r w:rsidRPr="009E064B">
        <w:rPr>
          <w:rFonts w:asciiTheme="minorHAnsi" w:hAnsiTheme="minorHAnsi" w:cstheme="minorHAnsi"/>
          <w:sz w:val="22"/>
          <w:szCs w:val="20"/>
        </w:rPr>
        <w:t>ałącz</w:t>
      </w:r>
      <w:r w:rsidR="00EE2F23" w:rsidRPr="009E064B">
        <w:rPr>
          <w:rFonts w:asciiTheme="minorHAnsi" w:hAnsiTheme="minorHAnsi" w:cstheme="minorHAnsi"/>
          <w:sz w:val="22"/>
          <w:szCs w:val="20"/>
        </w:rPr>
        <w:t xml:space="preserve">niku Va do rozporządzenia (WE) </w:t>
      </w:r>
      <w:r w:rsidRPr="009E064B">
        <w:rPr>
          <w:rFonts w:asciiTheme="minorHAnsi" w:hAnsiTheme="minorHAnsi" w:cstheme="minorHAnsi"/>
          <w:sz w:val="22"/>
          <w:szCs w:val="20"/>
        </w:rPr>
        <w:t>nr 216/2008.</w:t>
      </w:r>
    </w:p>
    <w:p w14:paraId="54A273C2" w14:textId="41CD3165" w:rsidR="009D0DC1" w:rsidRPr="009E064B" w:rsidRDefault="00A514F3" w:rsidP="00133B99">
      <w:pPr>
        <w:pStyle w:val="Nagwek5"/>
      </w:pPr>
      <w:bookmarkStart w:id="734" w:name="_Toc415056398"/>
      <w:bookmarkStart w:id="735" w:name="_Toc492024769"/>
      <w:bookmarkStart w:id="736" w:name="_Toc12532891"/>
      <w:r w:rsidRPr="009E064B">
        <w:t xml:space="preserve">AMC1 ADR.OPS.C.005     </w:t>
      </w:r>
      <w:r w:rsidR="009D0DC1" w:rsidRPr="009E064B">
        <w:t>Przepisy ogólne</w:t>
      </w:r>
      <w:bookmarkEnd w:id="734"/>
      <w:bookmarkEnd w:id="735"/>
      <w:bookmarkEnd w:id="736"/>
    </w:p>
    <w:p w14:paraId="773FC05A" w14:textId="402C2583" w:rsidR="00085F7A" w:rsidRPr="009E064B" w:rsidRDefault="001F74A1" w:rsidP="00B06A9A">
      <w:pPr>
        <w:widowControl/>
        <w:jc w:val="right"/>
        <w:rPr>
          <w:rFonts w:asciiTheme="minorHAnsi" w:eastAsia="Calibri" w:hAnsiTheme="minorHAnsi" w:cstheme="minorHAnsi"/>
        </w:rPr>
      </w:pPr>
      <w:r>
        <w:rPr>
          <w:rFonts w:asciiTheme="minorHAnsi" w:hAnsiTheme="minorHAnsi" w:cstheme="minorHAnsi"/>
          <w:i/>
          <w:sz w:val="16"/>
          <w:szCs w:val="20"/>
        </w:rPr>
        <w:t>Decyzja ED 2016/009/R</w:t>
      </w:r>
    </w:p>
    <w:p w14:paraId="63C32598"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PROGRAM OBSŁUGI TECHNICZNEJ</w:t>
      </w:r>
    </w:p>
    <w:p w14:paraId="50861D72" w14:textId="5141D5F3"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Operator lotniska powinien zapewnić, że program obsługi technicznej jest ustanowion</w:t>
      </w:r>
      <w:r w:rsidR="00167E5E" w:rsidRPr="009E064B">
        <w:rPr>
          <w:rFonts w:asciiTheme="minorHAnsi" w:eastAsia="Calibri" w:hAnsiTheme="minorHAnsi" w:cstheme="minorHAnsi"/>
        </w:rPr>
        <w:t>y i wdrożony, w </w:t>
      </w:r>
      <w:r w:rsidRPr="009E064B">
        <w:rPr>
          <w:rFonts w:asciiTheme="minorHAnsi" w:eastAsia="Calibri" w:hAnsiTheme="minorHAnsi" w:cstheme="minorHAnsi"/>
        </w:rPr>
        <w:t>tym w stosownych przypadkach obsługi zapobiegawczej, w celu utr</w:t>
      </w:r>
      <w:r w:rsidR="00167E5E" w:rsidRPr="009E064B">
        <w:rPr>
          <w:rFonts w:asciiTheme="minorHAnsi" w:eastAsia="Calibri" w:hAnsiTheme="minorHAnsi" w:cstheme="minorHAnsi"/>
        </w:rPr>
        <w:t>zymania obiektów lotniskowych w </w:t>
      </w:r>
      <w:r w:rsidRPr="009E064B">
        <w:rPr>
          <w:rFonts w:asciiTheme="minorHAnsi" w:eastAsia="Calibri" w:hAnsiTheme="minorHAnsi" w:cstheme="minorHAnsi"/>
        </w:rPr>
        <w:t>stanie, który nie ma negatywnego wpływu na bezpieczeństwo operacji lotniczych. Zakres programu obsługi technicznej powinien zawierać, ale nie ograniczać się do następujących elementów:</w:t>
      </w:r>
    </w:p>
    <w:p w14:paraId="4424877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pomoce wzrokowe i inne systemy świetlne wymagane dla zapewnienia bezpieczeństwa operacji lotniskowych;</w:t>
      </w:r>
    </w:p>
    <w:p w14:paraId="486DAD08"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źródło zasilania oraz inne systemy elektryczne;</w:t>
      </w:r>
    </w:p>
    <w:p w14:paraId="3293ECB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nawierzchnie sztuczne, pozostałe powierzchnie na ziemi i systemy odwodnienia;</w:t>
      </w:r>
    </w:p>
    <w:p w14:paraId="6FECF607"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ogrodzenie i inne urządzenia kontroli dostępu;</w:t>
      </w:r>
    </w:p>
    <w:p w14:paraId="70A76AAB"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urządzenia i pojazdy, w tym urządzenia i pojazdy wykorzystywane przez służby ratowniczo-gaśnicze, które są niezbędne dla zapewnienia bezpieczeństwa operacji lotniskowych; oraz</w:t>
      </w:r>
    </w:p>
    <w:p w14:paraId="61B41356"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budynki, które są niezbędne dla zapewnienia bezpieczeństwa operacji lotniskowych.</w:t>
      </w:r>
    </w:p>
    <w:p w14:paraId="5456B5C3" w14:textId="4E55C563" w:rsidR="009D0DC1" w:rsidRPr="009E064B" w:rsidRDefault="00A514F3" w:rsidP="00133B99">
      <w:pPr>
        <w:pStyle w:val="Nagwek6"/>
      </w:pPr>
      <w:bookmarkStart w:id="737" w:name="_Toc415056399"/>
      <w:bookmarkStart w:id="738" w:name="_Toc492024770"/>
      <w:bookmarkStart w:id="739" w:name="_Toc12532892"/>
      <w:r w:rsidRPr="009E064B">
        <w:t xml:space="preserve">GM1 ADR.OPS.C.005     </w:t>
      </w:r>
      <w:r w:rsidR="009D0DC1" w:rsidRPr="009E064B">
        <w:t>Przepisy ogólne</w:t>
      </w:r>
      <w:bookmarkEnd w:id="737"/>
      <w:bookmarkEnd w:id="738"/>
      <w:bookmarkEnd w:id="739"/>
    </w:p>
    <w:p w14:paraId="1D87ECC8" w14:textId="5A5EDADC"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02938090"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CZYNNIK LUDZKI</w:t>
      </w:r>
    </w:p>
    <w:p w14:paraId="6FB7C7DC"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Podczas opracowywania i realizacji programu obsługi technicznej należy przestrzegać zasad czynnika ludzkiego.</w:t>
      </w:r>
    </w:p>
    <w:p w14:paraId="787B41ED" w14:textId="56695404" w:rsidR="00DC7DA6" w:rsidRPr="009E064B" w:rsidRDefault="00DE05DC" w:rsidP="00167E5E">
      <w:pPr>
        <w:pStyle w:val="Nagwek3"/>
        <w:tabs>
          <w:tab w:val="left" w:pos="2127"/>
        </w:tabs>
        <w:ind w:left="2127" w:hanging="2127"/>
      </w:pPr>
      <w:bookmarkStart w:id="740" w:name="_Toc12532893"/>
      <w:r w:rsidRPr="009E064B">
        <w:t xml:space="preserve">ADR.OPS.C.010 </w:t>
      </w:r>
      <w:r w:rsidR="00A514F3" w:rsidRPr="009E064B">
        <w:t xml:space="preserve">    </w:t>
      </w:r>
      <w:r w:rsidRPr="009E064B">
        <w:t>Nawierzchnie sztuczne, pozostałe powierzchnie na ziemi oraz kanalizacja</w:t>
      </w:r>
      <w:bookmarkEnd w:id="740"/>
    </w:p>
    <w:p w14:paraId="2B9D0D5F" w14:textId="49B5E259" w:rsidR="00D57044" w:rsidRPr="009E064B" w:rsidRDefault="00A80E78"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316BB1F" w14:textId="138CCCC4"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1A6D9A" w:rsidRPr="009E064B">
        <w:rPr>
          <w:rFonts w:asciiTheme="minorHAnsi" w:hAnsiTheme="minorHAnsi" w:cstheme="minorHAnsi"/>
          <w:sz w:val="22"/>
          <w:szCs w:val="22"/>
        </w:rPr>
        <w:t>a)</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 przeprowadza inspekcje powierzchni wszystkich pól r</w:t>
      </w:r>
      <w:r w:rsidR="00847272" w:rsidRPr="009E064B">
        <w:rPr>
          <w:rFonts w:asciiTheme="minorHAnsi" w:hAnsiTheme="minorHAnsi" w:cstheme="minorHAnsi"/>
          <w:sz w:val="22"/>
          <w:szCs w:val="22"/>
        </w:rPr>
        <w:t>uchu naziemnego, w </w:t>
      </w:r>
      <w:r w:rsidR="00DE05DC" w:rsidRPr="009E064B">
        <w:rPr>
          <w:rFonts w:asciiTheme="minorHAnsi" w:hAnsiTheme="minorHAnsi" w:cstheme="minorHAnsi"/>
          <w:sz w:val="22"/>
          <w:szCs w:val="22"/>
        </w:rPr>
        <w:t>tym nawierzchni sztucznych (dróg startowych, dróg kołowania i płyt postojowych), stref przyległych oraz kanalizacji, w celu regularnej oceny ich stanu w ra</w:t>
      </w:r>
      <w:r w:rsidR="00167E5E" w:rsidRPr="009E064B">
        <w:rPr>
          <w:rFonts w:asciiTheme="minorHAnsi" w:hAnsiTheme="minorHAnsi" w:cstheme="minorHAnsi"/>
          <w:sz w:val="22"/>
          <w:szCs w:val="22"/>
        </w:rPr>
        <w:t>mach programu profilaktycznej i </w:t>
      </w:r>
      <w:r w:rsidR="00DE05DC" w:rsidRPr="009E064B">
        <w:rPr>
          <w:rFonts w:asciiTheme="minorHAnsi" w:hAnsiTheme="minorHAnsi" w:cstheme="minorHAnsi"/>
          <w:sz w:val="22"/>
          <w:szCs w:val="22"/>
        </w:rPr>
        <w:t>naprawczej obsługi technicznej lotniska.</w:t>
      </w:r>
    </w:p>
    <w:p w14:paraId="5A156449" w14:textId="646C0DA4" w:rsidR="00DC7DA6" w:rsidRPr="009E064B" w:rsidRDefault="00371A8B" w:rsidP="00B06A9A">
      <w:pPr>
        <w:pStyle w:val="Tekstpodstawowy"/>
        <w:tabs>
          <w:tab w:val="left" w:pos="567"/>
        </w:tabs>
        <w:ind w:left="567" w:right="-2" w:hanging="567"/>
        <w:rPr>
          <w:rFonts w:asciiTheme="minorHAnsi" w:hAnsiTheme="minorHAnsi" w:cstheme="minorHAnsi"/>
          <w:sz w:val="22"/>
          <w:szCs w:val="22"/>
        </w:rPr>
      </w:pPr>
      <w:r w:rsidRPr="009E064B">
        <w:rPr>
          <w:rFonts w:asciiTheme="minorHAnsi" w:hAnsiTheme="minorHAnsi" w:cstheme="minorHAnsi"/>
          <w:sz w:val="22"/>
          <w:szCs w:val="22"/>
        </w:rPr>
        <w:t>(</w:t>
      </w:r>
      <w:r w:rsidR="001A6D9A" w:rsidRPr="009E064B">
        <w:rPr>
          <w:rFonts w:asciiTheme="minorHAnsi" w:hAnsiTheme="minorHAnsi" w:cstheme="minorHAnsi"/>
          <w:sz w:val="22"/>
          <w:szCs w:val="22"/>
        </w:rPr>
        <w:t xml:space="preserve">b)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Operator lotniska:</w:t>
      </w:r>
    </w:p>
    <w:p w14:paraId="01B51E10" w14:textId="2054346E" w:rsidR="00DC7DA6" w:rsidRPr="009E064B" w:rsidRDefault="00371A8B" w:rsidP="00B06A9A">
      <w:pPr>
        <w:pStyle w:val="Tekstpodstawowy"/>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1)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utrzymuje powierzchnie wszystkich pól ruchu naziemnego w sposób mający na celu uniknięcie i wyeliminowanie wszelkich wolnych obiektów/szczątków mogących spowodować uszkodzenie statku powietrznego lub zakłócić działanie jego systemów;</w:t>
      </w:r>
    </w:p>
    <w:p w14:paraId="1C4F019D" w14:textId="596C305C" w:rsidR="00DC7DA6" w:rsidRPr="009E064B" w:rsidRDefault="00371A8B" w:rsidP="00B06A9A">
      <w:pPr>
        <w:pStyle w:val="Tekstpodstawowy"/>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2)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utrzymuje powierzchnie dróg startowych, dróg kołowania i płyt postojowych w celu zapobieżenia tworzeniu się szkodliwych nieprawidłowości;</w:t>
      </w:r>
    </w:p>
    <w:p w14:paraId="1DFDA78D" w14:textId="26880F71" w:rsidR="00DC7DA6" w:rsidRPr="009E064B" w:rsidRDefault="00371A8B" w:rsidP="00B06A9A">
      <w:pPr>
        <w:pStyle w:val="Tekstpodstawowy"/>
        <w:ind w:left="993" w:right="-2" w:hanging="426"/>
        <w:rPr>
          <w:rFonts w:asciiTheme="minorHAnsi" w:hAnsiTheme="minorHAnsi" w:cstheme="minorHAnsi"/>
          <w:sz w:val="22"/>
          <w:szCs w:val="22"/>
        </w:rPr>
      </w:pPr>
      <w:r w:rsidRPr="009E064B">
        <w:rPr>
          <w:rFonts w:asciiTheme="minorHAnsi" w:hAnsiTheme="minorHAnsi" w:cstheme="minorHAnsi"/>
          <w:sz w:val="22"/>
          <w:szCs w:val="22"/>
        </w:rPr>
        <w:t>(</w:t>
      </w:r>
      <w:r w:rsidR="00DE0098" w:rsidRPr="009E064B">
        <w:rPr>
          <w:rFonts w:asciiTheme="minorHAnsi" w:hAnsiTheme="minorHAnsi" w:cstheme="minorHAnsi"/>
          <w:sz w:val="22"/>
          <w:szCs w:val="22"/>
        </w:rPr>
        <w:t xml:space="preserve">3) </w:t>
      </w:r>
      <w:r w:rsidR="00AF6AC7" w:rsidRPr="009E064B">
        <w:rPr>
          <w:rFonts w:asciiTheme="minorHAnsi" w:hAnsiTheme="minorHAnsi" w:cstheme="minorHAnsi"/>
          <w:sz w:val="22"/>
          <w:szCs w:val="22"/>
        </w:rPr>
        <w:tab/>
      </w:r>
      <w:r w:rsidR="00DE05DC" w:rsidRPr="009E064B">
        <w:rPr>
          <w:rFonts w:asciiTheme="minorHAnsi" w:hAnsiTheme="minorHAnsi" w:cstheme="minorHAnsi"/>
          <w:sz w:val="22"/>
          <w:szCs w:val="22"/>
        </w:rPr>
        <w:t>podejmuje działania z zakresu naprawczej obsługi technicznej, jeżeli tarcie zapewniane na całej długości niezanieczyszczonej drogi startowej lub jej części spada poniżej minimalnego poziomu. Częstotliwość pomiarów tarcia powinna być wystarczająca do ustalenia trendu zmian charakterystyki tarcia drogi startowej.</w:t>
      </w:r>
    </w:p>
    <w:p w14:paraId="27118997" w14:textId="5A96E29A" w:rsidR="009D0DC1" w:rsidRPr="009E064B" w:rsidRDefault="00D01EBC" w:rsidP="00133B99">
      <w:pPr>
        <w:pStyle w:val="Nagwek5"/>
      </w:pPr>
      <w:bookmarkStart w:id="741" w:name="_Toc415056400"/>
      <w:bookmarkStart w:id="742" w:name="_Toc492024771"/>
      <w:bookmarkStart w:id="743" w:name="_Toc12532894"/>
      <w:r w:rsidRPr="009E064B">
        <w:t xml:space="preserve">AMC1 ADR.OPS.C.010     </w:t>
      </w:r>
      <w:r w:rsidR="009D0DC1" w:rsidRPr="009E064B">
        <w:t>Nawierzchnie sztuczne, pozos</w:t>
      </w:r>
      <w:r w:rsidR="0025188C" w:rsidRPr="009E064B">
        <w:t xml:space="preserve">tałe powierzchnie na ziemi </w:t>
      </w:r>
      <w:r w:rsidR="00673989">
        <w:br/>
        <w:t xml:space="preserve">   </w:t>
      </w:r>
      <w:r w:rsidR="0025188C" w:rsidRPr="009E064B">
        <w:t>oraz </w:t>
      </w:r>
      <w:r w:rsidR="005F6768" w:rsidRPr="009E064B">
        <w:t>kanalizacja</w:t>
      </w:r>
      <w:bookmarkEnd w:id="741"/>
      <w:bookmarkEnd w:id="742"/>
      <w:bookmarkEnd w:id="743"/>
    </w:p>
    <w:p w14:paraId="66D836A0" w14:textId="01E79CD4" w:rsidR="00BB1E6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0FB490FD" w14:textId="639AEECA" w:rsidR="009D0DC1"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1D2AECDD" w14:textId="2BF9FB45"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utrzymać nawierzchnię sztuczną drogi startowej w takim stanie, aby zapewnić dobre charakterystyki tarcia i niskie opory toczenia. Bło</w:t>
      </w:r>
      <w:r w:rsidR="00167E5E" w:rsidRPr="009E064B">
        <w:rPr>
          <w:rFonts w:asciiTheme="minorHAnsi" w:eastAsia="Calibri" w:hAnsiTheme="minorHAnsi" w:cstheme="minorHAnsi"/>
        </w:rPr>
        <w:t>to, kurz, piasek, olej, osady z </w:t>
      </w:r>
      <w:r w:rsidRPr="009E064B">
        <w:rPr>
          <w:rFonts w:asciiTheme="minorHAnsi" w:eastAsia="Calibri" w:hAnsiTheme="minorHAnsi" w:cstheme="minorHAnsi"/>
        </w:rPr>
        <w:t>gumy i inne zanieczyszczenia powinny być usunięte całkowicie i tak szybko, jak to możliwe, aby zminimalizować ich nagromadzanie.</w:t>
      </w:r>
    </w:p>
    <w:p w14:paraId="12CDA18C"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Drogi kołowania i płyty postojowe powinny być wolne od zanieczyszczeń, w zakresie niezbędnym do umożliwienia kołowania statkom powietrznym do i z drogi startowej w użyciu.</w:t>
      </w:r>
    </w:p>
    <w:p w14:paraId="75BB215E" w14:textId="3ABDC599"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Systemy odwodnienia i systemy zbierania wody burzowej powinny być okresowo sprawdzane</w:t>
      </w:r>
      <w:r w:rsidR="00167E5E" w:rsidRPr="009E064B">
        <w:rPr>
          <w:rFonts w:asciiTheme="minorHAnsi" w:eastAsia="Calibri" w:hAnsiTheme="minorHAnsi" w:cstheme="minorHAnsi"/>
        </w:rPr>
        <w:t>, i </w:t>
      </w:r>
      <w:r w:rsidRPr="009E064B">
        <w:rPr>
          <w:rFonts w:asciiTheme="minorHAnsi" w:eastAsia="Calibri" w:hAnsiTheme="minorHAnsi" w:cstheme="minorHAnsi"/>
        </w:rPr>
        <w:t>w razie potrzeby, czyszczone lub utrzymywane w celu zapewnienia sprawnego odprowadzania wody odpływowej.</w:t>
      </w:r>
    </w:p>
    <w:p w14:paraId="26FC051E"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Operator lotniska, dla celów eksploatacji, powinien mierzyć charakterystyki tarcia nawierzchni drogi startowej przy użyciu urządzenia do pomiaru ciągłego tarcia wyposażonego w układ samo zraszający. Częstotliwość tych pomiarów powinna być wystarczająca do ustalenia tendencji charakterystyk tarcia powierzchni drogi startowej.</w:t>
      </w:r>
    </w:p>
    <w:p w14:paraId="2D5D0E04"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Operator lotniska powinien podjąć działania naprawcze, aby zapobiec obniżeniu charakterystyk tarcia dla całej drogi startowej lub jej części poniżej minimalnego poziomu tarcia określonego przez Państwo.</w:t>
      </w:r>
    </w:p>
    <w:p w14:paraId="65EF792E" w14:textId="3F5CF39B"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W przypadku, gdy tarcie na znacznej części drogi startowej znajduje się poniżej minimalnej wartości poziomu tarcia, operator lotniska powinien zgłosić taką informację, aby opublikować ją w NOTAM, określając, która część drogi startowej jest poniż</w:t>
      </w:r>
      <w:r w:rsidR="000E0B48" w:rsidRPr="009E064B">
        <w:rPr>
          <w:rFonts w:asciiTheme="minorHAnsi" w:eastAsia="Calibri" w:hAnsiTheme="minorHAnsi" w:cstheme="minorHAnsi"/>
        </w:rPr>
        <w:t>ej minimalnego poziomu tarcia i </w:t>
      </w:r>
      <w:r w:rsidRPr="009E064B">
        <w:rPr>
          <w:rFonts w:asciiTheme="minorHAnsi" w:eastAsia="Calibri" w:hAnsiTheme="minorHAnsi" w:cstheme="minorHAnsi"/>
        </w:rPr>
        <w:t>jej lokalizację na drodze startowej oraz podejmuje natychmiastowe działania naprawcze.</w:t>
      </w:r>
    </w:p>
    <w:p w14:paraId="2F08CFB9" w14:textId="75A9325B" w:rsidR="00966877"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Powierzchnia drogi startowej o nawierzchni sztucznej powinna być oceniana po wybudowaniu lub po wymianie nawierzchni w celu określenia, że właściwości tarcia powierzchni osiągają projektowe cele.</w:t>
      </w:r>
    </w:p>
    <w:p w14:paraId="0015C946" w14:textId="64BC8965" w:rsidR="009D0DC1" w:rsidRPr="009E064B" w:rsidRDefault="00167E5E" w:rsidP="00133B99">
      <w:pPr>
        <w:pStyle w:val="Nagwek6"/>
      </w:pPr>
      <w:bookmarkStart w:id="744" w:name="_Toc415056401"/>
      <w:bookmarkStart w:id="745" w:name="_Toc492024772"/>
      <w:bookmarkStart w:id="746" w:name="_Toc12532895"/>
      <w:r w:rsidRPr="009E064B">
        <w:t xml:space="preserve">GM1 ADR.OPS.C.010(b)(3)    </w:t>
      </w:r>
      <w:r w:rsidR="009D0DC1" w:rsidRPr="009E064B">
        <w:t>Nawierzchnie sztuczne, pozo</w:t>
      </w:r>
      <w:r w:rsidR="00BB1E62" w:rsidRPr="009E064B">
        <w:t xml:space="preserve">stałe powierzchnie na ziemi </w:t>
      </w:r>
      <w:r w:rsidR="00673989">
        <w:br/>
        <w:t xml:space="preserve">          </w:t>
      </w:r>
      <w:r w:rsidR="00BB1E62" w:rsidRPr="009E064B">
        <w:t>ora</w:t>
      </w:r>
      <w:r w:rsidR="003F33E7" w:rsidRPr="009E064B">
        <w:t>z</w:t>
      </w:r>
      <w:r w:rsidR="0025188C" w:rsidRPr="009E064B">
        <w:t> </w:t>
      </w:r>
      <w:r w:rsidR="005F6768" w:rsidRPr="009E064B">
        <w:t>kanalizacja</w:t>
      </w:r>
      <w:bookmarkEnd w:id="744"/>
      <w:bookmarkEnd w:id="745"/>
      <w:bookmarkEnd w:id="746"/>
    </w:p>
    <w:p w14:paraId="5ED72678" w14:textId="473D8C78"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7EEBB198" w14:textId="77777777" w:rsidR="009D0DC1" w:rsidRPr="009E064B" w:rsidRDefault="009D0DC1" w:rsidP="00B06A9A">
      <w:pPr>
        <w:widowControl/>
        <w:jc w:val="left"/>
        <w:rPr>
          <w:rFonts w:asciiTheme="minorHAnsi" w:eastAsia="Calibri" w:hAnsiTheme="minorHAnsi" w:cstheme="minorHAnsi"/>
        </w:rPr>
      </w:pPr>
      <w:r w:rsidRPr="009E064B">
        <w:rPr>
          <w:rFonts w:asciiTheme="minorHAnsi" w:eastAsia="Calibri" w:hAnsiTheme="minorHAnsi" w:cstheme="minorHAnsi"/>
        </w:rPr>
        <w:t>OKREŚLENIE CHARAKTERYSTYK TARCIA NA MOKRYCH NAWIERZCHNIACH SZTUCZNYCH</w:t>
      </w:r>
    </w:p>
    <w:p w14:paraId="33090031"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Charakterystyki tarcia na drodze startowej o nawierzchni sztucznej powinny być:</w:t>
      </w:r>
    </w:p>
    <w:p w14:paraId="7B5927E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poddane ocenie w celu weryfikacji charakterystyki tarcia nawierzchni sztucznej na nowej lub wyremontowanej drodze startowej; oraz</w:t>
      </w:r>
    </w:p>
    <w:p w14:paraId="265C8310"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poddawane okresowej ocenie w celu określenia śliskości drogi startowej o nawierzchni sztucznej;</w:t>
      </w:r>
    </w:p>
    <w:p w14:paraId="461CD4DA"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Stan nawierzchni drogi startowej o nawierzchni sztucznej jest zwykle oceniany w suchych warunkach przy użyciu urządzenia pomiarowego do pomiaru ciągłego z zastosowaniem zespołu samo-zraszającego. Ocena charakterystyki tarcia nawierzchni drogi startowej jest wykonywana na czystej nawierzchni w przypadku nowo wybudowanej drogi startowej lub po jej remoncie.</w:t>
      </w:r>
    </w:p>
    <w:p w14:paraId="5B1E9971" w14:textId="1FC88634"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(c) </w:t>
      </w:r>
      <w:r w:rsidRPr="009E064B">
        <w:rPr>
          <w:rFonts w:asciiTheme="minorHAnsi" w:eastAsia="Calibri" w:hAnsiTheme="minorHAnsi" w:cstheme="minorHAnsi"/>
        </w:rPr>
        <w:tab/>
        <w:t>Pomiary charakterystyk tarcia istniejących dróg startowych są wykonywane okresowo w celu zapobiegania przypadkom obniżenia poziomu tarcia poniżej minimalnego poziomu określonego przez Państwo. Jeżeli tarcie na jakiejkolwiek części drogi startowej okaże się niższe od tej wartości, wówczas informacja ta jest publikowana w NOTAM, określając, która część drogi startowej jest poniżej minimalnego poziomu tarcia oraz jej lokalizację na drodze startowej. Działania naprawcze muszą być rozpoczęte niezwłocznie. Pom</w:t>
      </w:r>
      <w:r w:rsidR="00167E5E" w:rsidRPr="009E064B">
        <w:rPr>
          <w:rFonts w:asciiTheme="minorHAnsi" w:eastAsia="Calibri" w:hAnsiTheme="minorHAnsi" w:cstheme="minorHAnsi"/>
        </w:rPr>
        <w:t>iary tarcia są przeprowadzane z </w:t>
      </w:r>
      <w:r w:rsidRPr="009E064B">
        <w:rPr>
          <w:rFonts w:asciiTheme="minorHAnsi" w:eastAsia="Calibri" w:hAnsiTheme="minorHAnsi" w:cstheme="minorHAnsi"/>
        </w:rPr>
        <w:t>częstotliwością umożliwiającą zidentyfikowanie dróg startowych, których nawierzchnia wymaga podjęcia specjalnych działań, zanim ich stan będzie poważny. Odstępy czasowe oraz średnia częstotliwość pomiarów uzależnione są od czynników takich jak typ statku powietrznego oraz częstotliwość użytkowania, warunki klimatyczne, rodz</w:t>
      </w:r>
      <w:r w:rsidR="00167E5E" w:rsidRPr="009E064B">
        <w:rPr>
          <w:rFonts w:asciiTheme="minorHAnsi" w:eastAsia="Calibri" w:hAnsiTheme="minorHAnsi" w:cstheme="minorHAnsi"/>
        </w:rPr>
        <w:t>aj nawierzchni oraz wymagania w </w:t>
      </w:r>
      <w:r w:rsidRPr="009E064B">
        <w:rPr>
          <w:rFonts w:asciiTheme="minorHAnsi" w:eastAsia="Calibri" w:hAnsiTheme="minorHAnsi" w:cstheme="minorHAnsi"/>
        </w:rPr>
        <w:t>zakresie utrzymania nawierzchni.</w:t>
      </w:r>
    </w:p>
    <w:p w14:paraId="3FF1739F" w14:textId="77777777"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Pomiary tarcia istniejących, nowych lub wyremontowanych dróg startowych powinny być prowadzone przy użyciu urządzenia o pomiarze ciągłym z oponą gładko bieżnikowaną. Urządzenie to powinno być wyposażone w układ samo-zraszający, umożliwiający wykonanie pomiaru charakterystyk tarcia na głębokości wody wynoszącej 1 mm.</w:t>
      </w:r>
    </w:p>
    <w:p w14:paraId="2CED5FFF" w14:textId="4FF93E6E" w:rsidR="009D0DC1" w:rsidRPr="009E064B" w:rsidRDefault="009D0DC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Jeżeli zachodzi podejrzenie, że charakterystyki tarcia drogi startowej mogą być obniżone z powodu złego odwodnienia, spowodowanego przez zbyt małe spadki nachylenia lub miejscowe zagłębienia, wtedy powinien być wykonywan</w:t>
      </w:r>
      <w:r w:rsidR="00167E5E" w:rsidRPr="009E064B">
        <w:rPr>
          <w:rFonts w:asciiTheme="minorHAnsi" w:eastAsia="Calibri" w:hAnsiTheme="minorHAnsi" w:cstheme="minorHAnsi"/>
        </w:rPr>
        <w:t>y pomiar dodatkowy, tym razem w </w:t>
      </w:r>
      <w:r w:rsidRPr="009E064B">
        <w:rPr>
          <w:rFonts w:asciiTheme="minorHAnsi" w:eastAsia="Calibri" w:hAnsiTheme="minorHAnsi" w:cstheme="minorHAnsi"/>
        </w:rPr>
        <w:t>warunkach naturalnych reprezentatywnych dla lokalnych opadów deszczu. Pomiar ten różni się od poprzednich tym, że w tym przypadku głębokość kałuż podczas deszczu będzie zwykle większa na tych częściach, które są niewłaściwie odwodnione. Wynik pomiaru, będzie więc bardziej pomocny niż przy poprzednich testach, do identyfikacji obszarów charakteryzujących się niskimi wartościami tarcia, na których może dojść do poślizgu hydrodynamicznego. Jeżeli okoliczności nie pozwalają na wykonanie pomiarów w warunkach naturalnych odpowiadających opadom deszczu, wówczas warunki takie mogą być zasymulowane.</w:t>
      </w:r>
    </w:p>
    <w:p w14:paraId="29888D2F" w14:textId="6FB9FA71"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(f) </w:t>
      </w:r>
      <w:r w:rsidRPr="009E064B">
        <w:rPr>
          <w:rFonts w:asciiTheme="minorHAnsi" w:eastAsia="Calibri" w:hAnsiTheme="minorHAnsi" w:cstheme="minorHAnsi"/>
        </w:rPr>
        <w:tab/>
        <w:t>Podczas wykonywania pomiarów tarcia przy użyciu urządzenia pomiarowego do pomiaru ciągłego z zastosowaniem zespołu samo-zraszającego, należy zwrócić uwagę, że w przeciwieństwie do warunków ubitego śniegu i lodu, w których występują bardzo niewielkie zmiany współczynnika tarcia w zależności od prędkości, na mokrej drodze startowej występuje zwykle znaczny spadek współczynnika tarcia przy wzroście prędkości. Jednakże w miarę wzrostu prędkości spadek współczynnika tarcia ma tendencję malejącą. Wśród czynników wpływających na współczynnik tarcia opon na powier</w:t>
      </w:r>
      <w:r w:rsidR="00371A8B" w:rsidRPr="009E064B">
        <w:rPr>
          <w:rFonts w:asciiTheme="minorHAnsi" w:eastAsia="Calibri" w:hAnsiTheme="minorHAnsi" w:cstheme="minorHAnsi"/>
        </w:rPr>
        <w:t>zchni drogi startowej, jednym z </w:t>
      </w:r>
      <w:r w:rsidRPr="009E064B">
        <w:rPr>
          <w:rFonts w:asciiTheme="minorHAnsi" w:eastAsia="Calibri" w:hAnsiTheme="minorHAnsi" w:cstheme="minorHAnsi"/>
        </w:rPr>
        <w:t>najważniejszych jest tekstura nawierzchni. Jeżeli droga startowa posiada dobrą makroteksturę umożliwiającą odprowadzenie wody spod opony, wówczas tarcie w mniejszym stopniu będzie zależeć od prędkości. I odwrotnie, zła makrotekstura spowoduje zwiększony spadek wartości tarcia w miarę wzrostu prędkości.</w:t>
      </w:r>
    </w:p>
    <w:p w14:paraId="769D0BDA" w14:textId="28295F86" w:rsidR="009D0DC1" w:rsidRPr="009E064B" w:rsidRDefault="009D0DC1" w:rsidP="00B06A9A">
      <w:pPr>
        <w:widowControl/>
        <w:tabs>
          <w:tab w:val="left" w:pos="709"/>
        </w:tabs>
        <w:ind w:left="567" w:hanging="567"/>
        <w:rPr>
          <w:rFonts w:asciiTheme="minorHAnsi" w:eastAsia="Calibri" w:hAnsiTheme="minorHAnsi" w:cstheme="minorHAnsi"/>
        </w:rPr>
      </w:pPr>
      <w:r w:rsidRPr="009E064B">
        <w:rPr>
          <w:rFonts w:asciiTheme="minorHAnsi" w:eastAsia="Calibri" w:hAnsiTheme="minorHAnsi" w:cstheme="minorHAnsi"/>
        </w:rPr>
        <w:t xml:space="preserve">(g) </w:t>
      </w:r>
      <w:r w:rsidRPr="009E064B">
        <w:rPr>
          <w:rFonts w:asciiTheme="minorHAnsi" w:eastAsia="Calibri" w:hAnsiTheme="minorHAnsi" w:cstheme="minorHAnsi"/>
        </w:rPr>
        <w:tab/>
        <w:t>Wartości projektowe dla nowych powierzchni drogi startowej i planowania obsługi technicznej oraz dla minimalnych poziomów tarcia nawierzchni drogi startowej w użyciu, powinny być zgodne z</w:t>
      </w:r>
      <w:r w:rsidR="006F2149" w:rsidRPr="009E064B">
        <w:rPr>
          <w:rFonts w:asciiTheme="minorHAnsi" w:eastAsia="Calibri" w:hAnsiTheme="minorHAnsi" w:cstheme="minorHAnsi"/>
        </w:rPr>
        <w:t xml:space="preserve"> poniższą t</w:t>
      </w:r>
      <w:r w:rsidRPr="009E064B">
        <w:rPr>
          <w:rFonts w:asciiTheme="minorHAnsi" w:eastAsia="Calibri" w:hAnsiTheme="minorHAnsi" w:cstheme="minorHAnsi"/>
        </w:rPr>
        <w:t>abelą:</w:t>
      </w:r>
    </w:p>
    <w:p w14:paraId="01DCAADA" w14:textId="77777777" w:rsidR="009D0DC1" w:rsidRPr="009E064B" w:rsidRDefault="009D0DC1" w:rsidP="00B06A9A">
      <w:pPr>
        <w:widowControl/>
        <w:rPr>
          <w:rFonts w:asciiTheme="minorHAnsi" w:eastAsia="Calibri" w:hAnsiTheme="minorHAnsi" w:cstheme="minorHAnsi"/>
        </w:rPr>
      </w:pPr>
    </w:p>
    <w:tbl>
      <w:tblPr>
        <w:tblW w:w="499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39"/>
        <w:gridCol w:w="566"/>
        <w:gridCol w:w="829"/>
        <w:gridCol w:w="985"/>
        <w:gridCol w:w="993"/>
        <w:gridCol w:w="1057"/>
        <w:gridCol w:w="1015"/>
        <w:gridCol w:w="924"/>
      </w:tblGrid>
      <w:tr w:rsidR="009D0DC1" w:rsidRPr="009E064B" w14:paraId="0907509C" w14:textId="77777777" w:rsidTr="00966877">
        <w:tc>
          <w:tcPr>
            <w:tcW w:w="1504" w:type="pct"/>
            <w:vMerge w:val="restart"/>
            <w:tcMar>
              <w:top w:w="113" w:type="dxa"/>
              <w:left w:w="28" w:type="dxa"/>
              <w:bottom w:w="85" w:type="dxa"/>
              <w:right w:w="28" w:type="dxa"/>
            </w:tcMar>
            <w:vAlign w:val="center"/>
          </w:tcPr>
          <w:p w14:paraId="09931C07" w14:textId="77777777" w:rsidR="009D0DC1" w:rsidRPr="009E064B" w:rsidRDefault="009D0DC1" w:rsidP="00DC6B53">
            <w:pPr>
              <w:widowControl/>
              <w:spacing w:before="40" w:after="40"/>
              <w:jc w:val="center"/>
              <w:rPr>
                <w:rFonts w:asciiTheme="minorHAnsi" w:eastAsia="Calibri" w:hAnsiTheme="minorHAnsi" w:cstheme="minorHAnsi"/>
                <w:b/>
                <w:sz w:val="20"/>
                <w:szCs w:val="20"/>
              </w:rPr>
            </w:pPr>
            <w:r w:rsidRPr="009E064B">
              <w:rPr>
                <w:rFonts w:asciiTheme="minorHAnsi" w:eastAsia="Calibri" w:hAnsiTheme="minorHAnsi" w:cstheme="minorHAnsi"/>
                <w:b/>
                <w:sz w:val="20"/>
                <w:szCs w:val="20"/>
              </w:rPr>
              <w:t>Urządzenie pomiarowe</w:t>
            </w:r>
          </w:p>
        </w:tc>
        <w:tc>
          <w:tcPr>
            <w:tcW w:w="765" w:type="pct"/>
            <w:gridSpan w:val="2"/>
            <w:tcMar>
              <w:top w:w="113" w:type="dxa"/>
              <w:left w:w="28" w:type="dxa"/>
              <w:bottom w:w="85" w:type="dxa"/>
              <w:right w:w="28" w:type="dxa"/>
            </w:tcMar>
            <w:vAlign w:val="center"/>
          </w:tcPr>
          <w:p w14:paraId="6BA7002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Opona testowa</w:t>
            </w:r>
          </w:p>
        </w:tc>
        <w:tc>
          <w:tcPr>
            <w:tcW w:w="541" w:type="pct"/>
            <w:vMerge w:val="restart"/>
            <w:tcMar>
              <w:top w:w="113" w:type="dxa"/>
              <w:left w:w="28" w:type="dxa"/>
              <w:bottom w:w="85" w:type="dxa"/>
              <w:right w:w="28" w:type="dxa"/>
            </w:tcMar>
            <w:vAlign w:val="center"/>
          </w:tcPr>
          <w:p w14:paraId="00BEA1B3" w14:textId="77777777" w:rsidR="009D0DC1" w:rsidRPr="009E064B" w:rsidRDefault="009D0DC1" w:rsidP="00DC6B53">
            <w:pPr>
              <w:widowControl/>
              <w:spacing w:before="40" w:after="40"/>
              <w:ind w:left="-29"/>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Prędkość pomiarowa</w:t>
            </w:r>
          </w:p>
          <w:p w14:paraId="2C4DEED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(km/h)</w:t>
            </w:r>
          </w:p>
        </w:tc>
        <w:tc>
          <w:tcPr>
            <w:tcW w:w="545" w:type="pct"/>
            <w:vMerge w:val="restart"/>
            <w:tcMar>
              <w:top w:w="113" w:type="dxa"/>
              <w:left w:w="28" w:type="dxa"/>
              <w:bottom w:w="85" w:type="dxa"/>
              <w:right w:w="28" w:type="dxa"/>
            </w:tcMar>
            <w:vAlign w:val="center"/>
          </w:tcPr>
          <w:p w14:paraId="44CFE13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Głębokość pomiarowa wody</w:t>
            </w:r>
          </w:p>
          <w:p w14:paraId="76006BD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(mm)</w:t>
            </w:r>
          </w:p>
        </w:tc>
        <w:tc>
          <w:tcPr>
            <w:tcW w:w="580" w:type="pct"/>
            <w:vMerge w:val="restart"/>
            <w:tcMar>
              <w:top w:w="113" w:type="dxa"/>
              <w:left w:w="28" w:type="dxa"/>
              <w:bottom w:w="85" w:type="dxa"/>
              <w:right w:w="28" w:type="dxa"/>
            </w:tcMar>
            <w:vAlign w:val="center"/>
          </w:tcPr>
          <w:p w14:paraId="0935D959"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Wartości projektowe dla nowej nawierzchni</w:t>
            </w:r>
          </w:p>
        </w:tc>
        <w:tc>
          <w:tcPr>
            <w:tcW w:w="557" w:type="pct"/>
            <w:vMerge w:val="restart"/>
            <w:tcMar>
              <w:top w:w="113" w:type="dxa"/>
              <w:left w:w="28" w:type="dxa"/>
              <w:bottom w:w="85" w:type="dxa"/>
              <w:right w:w="28" w:type="dxa"/>
            </w:tcMar>
            <w:vAlign w:val="center"/>
          </w:tcPr>
          <w:p w14:paraId="71DFCE52"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Poziom planowania obsługi technicznej</w:t>
            </w:r>
          </w:p>
        </w:tc>
        <w:tc>
          <w:tcPr>
            <w:tcW w:w="507" w:type="pct"/>
            <w:vMerge w:val="restart"/>
            <w:tcMar>
              <w:top w:w="113" w:type="dxa"/>
              <w:left w:w="28" w:type="dxa"/>
              <w:bottom w:w="85" w:type="dxa"/>
              <w:right w:w="28" w:type="dxa"/>
            </w:tcMar>
            <w:vAlign w:val="center"/>
          </w:tcPr>
          <w:p w14:paraId="31FB1953" w14:textId="465CB200" w:rsidR="009D0DC1" w:rsidRPr="009E064B" w:rsidRDefault="00966877" w:rsidP="00DC6B53">
            <w:pPr>
              <w:widowControl/>
              <w:spacing w:before="40" w:after="40"/>
              <w:ind w:left="-8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 xml:space="preserve"> </w:t>
            </w:r>
            <w:r w:rsidR="009D0DC1" w:rsidRPr="009E064B">
              <w:rPr>
                <w:rFonts w:asciiTheme="minorHAnsi" w:eastAsia="Calibri" w:hAnsiTheme="minorHAnsi" w:cstheme="minorHAnsi"/>
                <w:sz w:val="20"/>
                <w:szCs w:val="20"/>
              </w:rPr>
              <w:t>Minimalny poziom tarcia</w:t>
            </w:r>
          </w:p>
        </w:tc>
      </w:tr>
      <w:tr w:rsidR="009D0DC1" w:rsidRPr="009E064B" w14:paraId="1EF2B3B7" w14:textId="77777777" w:rsidTr="00966877">
        <w:tc>
          <w:tcPr>
            <w:tcW w:w="1504" w:type="pct"/>
            <w:vMerge/>
            <w:tcMar>
              <w:top w:w="113" w:type="dxa"/>
              <w:left w:w="28" w:type="dxa"/>
              <w:bottom w:w="85" w:type="dxa"/>
              <w:right w:w="28" w:type="dxa"/>
            </w:tcMar>
            <w:vAlign w:val="center"/>
          </w:tcPr>
          <w:p w14:paraId="78AC20C6" w14:textId="77777777" w:rsidR="009D0DC1" w:rsidRPr="009E064B" w:rsidRDefault="009D0DC1" w:rsidP="00DC6B53">
            <w:pPr>
              <w:widowControl/>
              <w:spacing w:before="40" w:after="40"/>
              <w:rPr>
                <w:rFonts w:asciiTheme="minorHAnsi" w:eastAsia="Calibri" w:hAnsiTheme="minorHAnsi" w:cstheme="minorHAnsi"/>
                <w:sz w:val="20"/>
                <w:szCs w:val="20"/>
              </w:rPr>
            </w:pPr>
          </w:p>
        </w:tc>
        <w:tc>
          <w:tcPr>
            <w:tcW w:w="311" w:type="pct"/>
            <w:tcMar>
              <w:top w:w="113" w:type="dxa"/>
              <w:left w:w="28" w:type="dxa"/>
              <w:bottom w:w="85" w:type="dxa"/>
              <w:right w:w="28" w:type="dxa"/>
            </w:tcMar>
            <w:vAlign w:val="center"/>
          </w:tcPr>
          <w:p w14:paraId="7E723D4B" w14:textId="2929D060" w:rsidR="009D0DC1" w:rsidRPr="009E064B" w:rsidRDefault="007655D0"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Typ</w:t>
            </w:r>
          </w:p>
        </w:tc>
        <w:tc>
          <w:tcPr>
            <w:tcW w:w="455" w:type="pct"/>
            <w:tcMar>
              <w:top w:w="113" w:type="dxa"/>
              <w:left w:w="28" w:type="dxa"/>
              <w:bottom w:w="85" w:type="dxa"/>
              <w:right w:w="28" w:type="dxa"/>
            </w:tcMar>
            <w:vAlign w:val="center"/>
          </w:tcPr>
          <w:p w14:paraId="7FA65FB4"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Ciśnienie</w:t>
            </w:r>
          </w:p>
          <w:p w14:paraId="2CB2672A"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(kPa)</w:t>
            </w:r>
          </w:p>
        </w:tc>
        <w:tc>
          <w:tcPr>
            <w:tcW w:w="541" w:type="pct"/>
            <w:vMerge/>
            <w:tcMar>
              <w:top w:w="113" w:type="dxa"/>
              <w:left w:w="28" w:type="dxa"/>
              <w:bottom w:w="85" w:type="dxa"/>
              <w:right w:w="28" w:type="dxa"/>
            </w:tcMar>
            <w:vAlign w:val="center"/>
          </w:tcPr>
          <w:p w14:paraId="532C89F4" w14:textId="77777777" w:rsidR="009D0DC1" w:rsidRPr="009E064B" w:rsidRDefault="009D0DC1" w:rsidP="00DC6B53">
            <w:pPr>
              <w:widowControl/>
              <w:spacing w:before="40" w:after="40"/>
              <w:jc w:val="center"/>
              <w:rPr>
                <w:rFonts w:asciiTheme="minorHAnsi" w:eastAsia="Calibri" w:hAnsiTheme="minorHAnsi" w:cstheme="minorHAnsi"/>
                <w:sz w:val="20"/>
                <w:szCs w:val="20"/>
              </w:rPr>
            </w:pPr>
          </w:p>
        </w:tc>
        <w:tc>
          <w:tcPr>
            <w:tcW w:w="545" w:type="pct"/>
            <w:vMerge/>
            <w:tcMar>
              <w:top w:w="113" w:type="dxa"/>
              <w:left w:w="28" w:type="dxa"/>
              <w:bottom w:w="85" w:type="dxa"/>
              <w:right w:w="28" w:type="dxa"/>
            </w:tcMar>
            <w:vAlign w:val="center"/>
          </w:tcPr>
          <w:p w14:paraId="6EB52B5B" w14:textId="77777777" w:rsidR="009D0DC1" w:rsidRPr="009E064B" w:rsidRDefault="009D0DC1" w:rsidP="00DC6B53">
            <w:pPr>
              <w:widowControl/>
              <w:spacing w:before="40" w:after="40"/>
              <w:jc w:val="center"/>
              <w:rPr>
                <w:rFonts w:asciiTheme="minorHAnsi" w:eastAsia="Calibri" w:hAnsiTheme="minorHAnsi" w:cstheme="minorHAnsi"/>
                <w:sz w:val="20"/>
                <w:szCs w:val="20"/>
              </w:rPr>
            </w:pPr>
          </w:p>
        </w:tc>
        <w:tc>
          <w:tcPr>
            <w:tcW w:w="580" w:type="pct"/>
            <w:vMerge/>
            <w:tcMar>
              <w:top w:w="113" w:type="dxa"/>
              <w:left w:w="28" w:type="dxa"/>
              <w:bottom w:w="85" w:type="dxa"/>
              <w:right w:w="28" w:type="dxa"/>
            </w:tcMar>
            <w:vAlign w:val="center"/>
          </w:tcPr>
          <w:p w14:paraId="374D3A78" w14:textId="77777777" w:rsidR="009D0DC1" w:rsidRPr="009E064B" w:rsidRDefault="009D0DC1" w:rsidP="00DC6B53">
            <w:pPr>
              <w:widowControl/>
              <w:spacing w:before="40" w:after="40"/>
              <w:jc w:val="center"/>
              <w:rPr>
                <w:rFonts w:asciiTheme="minorHAnsi" w:eastAsia="Calibri" w:hAnsiTheme="minorHAnsi" w:cstheme="minorHAnsi"/>
                <w:sz w:val="20"/>
                <w:szCs w:val="20"/>
              </w:rPr>
            </w:pPr>
          </w:p>
        </w:tc>
        <w:tc>
          <w:tcPr>
            <w:tcW w:w="557" w:type="pct"/>
            <w:vMerge/>
            <w:tcMar>
              <w:top w:w="113" w:type="dxa"/>
              <w:left w:w="28" w:type="dxa"/>
              <w:bottom w:w="85" w:type="dxa"/>
              <w:right w:w="28" w:type="dxa"/>
            </w:tcMar>
            <w:vAlign w:val="center"/>
          </w:tcPr>
          <w:p w14:paraId="28C8E38A" w14:textId="77777777" w:rsidR="009D0DC1" w:rsidRPr="009E064B" w:rsidRDefault="009D0DC1" w:rsidP="00DC6B53">
            <w:pPr>
              <w:widowControl/>
              <w:spacing w:before="40" w:after="40"/>
              <w:jc w:val="center"/>
              <w:rPr>
                <w:rFonts w:asciiTheme="minorHAnsi" w:eastAsia="Calibri" w:hAnsiTheme="minorHAnsi" w:cstheme="minorHAnsi"/>
                <w:sz w:val="20"/>
                <w:szCs w:val="20"/>
              </w:rPr>
            </w:pPr>
          </w:p>
        </w:tc>
        <w:tc>
          <w:tcPr>
            <w:tcW w:w="507" w:type="pct"/>
            <w:vMerge/>
            <w:tcMar>
              <w:top w:w="113" w:type="dxa"/>
              <w:left w:w="28" w:type="dxa"/>
              <w:bottom w:w="85" w:type="dxa"/>
              <w:right w:w="28" w:type="dxa"/>
            </w:tcMar>
            <w:vAlign w:val="center"/>
          </w:tcPr>
          <w:p w14:paraId="3DCDE5B9" w14:textId="77777777" w:rsidR="009D0DC1" w:rsidRPr="009E064B" w:rsidRDefault="009D0DC1" w:rsidP="00DC6B53">
            <w:pPr>
              <w:widowControl/>
              <w:spacing w:before="40" w:after="40"/>
              <w:jc w:val="center"/>
              <w:rPr>
                <w:rFonts w:asciiTheme="minorHAnsi" w:eastAsia="Calibri" w:hAnsiTheme="minorHAnsi" w:cstheme="minorHAnsi"/>
                <w:sz w:val="20"/>
                <w:szCs w:val="20"/>
              </w:rPr>
            </w:pPr>
          </w:p>
        </w:tc>
      </w:tr>
      <w:tr w:rsidR="009D0DC1" w:rsidRPr="009E064B" w14:paraId="78F65EED" w14:textId="77777777" w:rsidTr="00966877">
        <w:tc>
          <w:tcPr>
            <w:tcW w:w="1504" w:type="pct"/>
            <w:tcMar>
              <w:top w:w="113" w:type="dxa"/>
              <w:left w:w="28" w:type="dxa"/>
              <w:bottom w:w="85" w:type="dxa"/>
              <w:right w:w="28" w:type="dxa"/>
            </w:tcMar>
            <w:vAlign w:val="center"/>
          </w:tcPr>
          <w:p w14:paraId="762B2A21" w14:textId="0DEC8FF4" w:rsidR="009D0DC1" w:rsidRPr="009E064B" w:rsidRDefault="009D0DC1" w:rsidP="00DC6B53">
            <w:pPr>
              <w:widowControl/>
              <w:spacing w:before="40" w:after="40"/>
              <w:ind w:left="57"/>
              <w:jc w:val="left"/>
              <w:rPr>
                <w:rFonts w:asciiTheme="minorHAnsi" w:eastAsia="Calibri" w:hAnsiTheme="minorHAnsi" w:cstheme="minorHAnsi"/>
                <w:sz w:val="20"/>
                <w:szCs w:val="20"/>
              </w:rPr>
            </w:pPr>
            <w:r w:rsidRPr="009E064B">
              <w:rPr>
                <w:rFonts w:asciiTheme="minorHAnsi" w:eastAsia="Calibri" w:hAnsiTheme="minorHAnsi" w:cstheme="minorHAnsi"/>
                <w:sz w:val="20"/>
                <w:szCs w:val="20"/>
              </w:rPr>
              <w:t>Przyczepa:</w:t>
            </w:r>
            <w:r w:rsidR="00DC6B53" w:rsidRPr="009E064B">
              <w:rPr>
                <w:rFonts w:asciiTheme="minorHAnsi" w:eastAsia="Calibri" w:hAnsiTheme="minorHAnsi" w:cstheme="minorHAnsi"/>
                <w:sz w:val="20"/>
                <w:szCs w:val="20"/>
              </w:rPr>
              <w:t xml:space="preserve"> </w:t>
            </w:r>
            <w:r w:rsidRPr="009E064B">
              <w:rPr>
                <w:rFonts w:asciiTheme="minorHAnsi" w:eastAsia="Calibri" w:hAnsiTheme="minorHAnsi" w:cstheme="minorHAnsi"/>
                <w:sz w:val="20"/>
                <w:szCs w:val="20"/>
              </w:rPr>
              <w:t>„Mu-meter Trailer”</w:t>
            </w:r>
          </w:p>
        </w:tc>
        <w:tc>
          <w:tcPr>
            <w:tcW w:w="311" w:type="pct"/>
            <w:tcMar>
              <w:top w:w="113" w:type="dxa"/>
              <w:left w:w="28" w:type="dxa"/>
              <w:bottom w:w="85" w:type="dxa"/>
              <w:right w:w="28" w:type="dxa"/>
            </w:tcMar>
            <w:vAlign w:val="center"/>
          </w:tcPr>
          <w:p w14:paraId="70FC23A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A</w:t>
            </w:r>
          </w:p>
          <w:p w14:paraId="13EFCA3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A</w:t>
            </w:r>
          </w:p>
        </w:tc>
        <w:tc>
          <w:tcPr>
            <w:tcW w:w="455" w:type="pct"/>
            <w:tcMar>
              <w:top w:w="113" w:type="dxa"/>
              <w:left w:w="28" w:type="dxa"/>
              <w:bottom w:w="85" w:type="dxa"/>
              <w:right w:w="28" w:type="dxa"/>
            </w:tcMar>
            <w:vAlign w:val="center"/>
          </w:tcPr>
          <w:p w14:paraId="712D0A5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70</w:t>
            </w:r>
          </w:p>
          <w:p w14:paraId="67F1FF6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70</w:t>
            </w:r>
          </w:p>
        </w:tc>
        <w:tc>
          <w:tcPr>
            <w:tcW w:w="541" w:type="pct"/>
            <w:tcMar>
              <w:top w:w="113" w:type="dxa"/>
              <w:left w:w="28" w:type="dxa"/>
              <w:bottom w:w="85" w:type="dxa"/>
              <w:right w:w="28" w:type="dxa"/>
            </w:tcMar>
            <w:vAlign w:val="center"/>
          </w:tcPr>
          <w:p w14:paraId="49DFBF99"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27C63EBA"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7B613FD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5CDBB00A"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72FD56A8"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0.72</w:t>
            </w:r>
          </w:p>
          <w:p w14:paraId="7BF261D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0.66</w:t>
            </w:r>
          </w:p>
        </w:tc>
        <w:tc>
          <w:tcPr>
            <w:tcW w:w="557" w:type="pct"/>
            <w:tcMar>
              <w:top w:w="113" w:type="dxa"/>
              <w:left w:w="28" w:type="dxa"/>
              <w:bottom w:w="85" w:type="dxa"/>
              <w:right w:w="28" w:type="dxa"/>
            </w:tcMar>
            <w:vAlign w:val="center"/>
          </w:tcPr>
          <w:p w14:paraId="1CA15EC9"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0.52</w:t>
            </w:r>
          </w:p>
          <w:p w14:paraId="75BE1677"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0.38</w:t>
            </w:r>
          </w:p>
        </w:tc>
        <w:tc>
          <w:tcPr>
            <w:tcW w:w="507" w:type="pct"/>
            <w:tcMar>
              <w:top w:w="113" w:type="dxa"/>
              <w:left w:w="28" w:type="dxa"/>
              <w:bottom w:w="85" w:type="dxa"/>
              <w:right w:w="28" w:type="dxa"/>
            </w:tcMar>
            <w:vAlign w:val="center"/>
          </w:tcPr>
          <w:p w14:paraId="1870BE1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0.42</w:t>
            </w:r>
          </w:p>
          <w:p w14:paraId="3838E00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0.26</w:t>
            </w:r>
          </w:p>
        </w:tc>
      </w:tr>
      <w:tr w:rsidR="009D0DC1" w:rsidRPr="009E064B" w14:paraId="02DCD2E3" w14:textId="77777777" w:rsidTr="00966877">
        <w:tc>
          <w:tcPr>
            <w:tcW w:w="1504" w:type="pct"/>
            <w:tcMar>
              <w:top w:w="113" w:type="dxa"/>
              <w:left w:w="28" w:type="dxa"/>
              <w:bottom w:w="85" w:type="dxa"/>
              <w:right w:w="28" w:type="dxa"/>
            </w:tcMar>
            <w:vAlign w:val="center"/>
          </w:tcPr>
          <w:p w14:paraId="2C6B71A3" w14:textId="4056D8EC" w:rsidR="009D0DC1" w:rsidRPr="009E064B" w:rsidRDefault="009D0DC1" w:rsidP="00DC6B53">
            <w:pPr>
              <w:widowControl/>
              <w:spacing w:before="40" w:after="40"/>
              <w:ind w:left="57"/>
              <w:jc w:val="left"/>
              <w:rPr>
                <w:rFonts w:asciiTheme="minorHAnsi" w:eastAsia="Calibri" w:hAnsiTheme="minorHAnsi" w:cstheme="minorHAnsi"/>
                <w:sz w:val="20"/>
                <w:szCs w:val="20"/>
              </w:rPr>
            </w:pPr>
            <w:r w:rsidRPr="009E064B">
              <w:rPr>
                <w:rFonts w:asciiTheme="minorHAnsi" w:eastAsia="Calibri" w:hAnsiTheme="minorHAnsi" w:cstheme="minorHAnsi"/>
                <w:sz w:val="20"/>
                <w:szCs w:val="20"/>
              </w:rPr>
              <w:t>Przyczepa:</w:t>
            </w:r>
            <w:r w:rsidR="00DC6B53" w:rsidRPr="009E064B">
              <w:rPr>
                <w:rFonts w:asciiTheme="minorHAnsi" w:eastAsia="Calibri" w:hAnsiTheme="minorHAnsi" w:cstheme="minorHAnsi"/>
                <w:sz w:val="20"/>
                <w:szCs w:val="20"/>
              </w:rPr>
              <w:t xml:space="preserve"> </w:t>
            </w:r>
            <w:r w:rsidRPr="009E064B">
              <w:rPr>
                <w:rFonts w:asciiTheme="minorHAnsi" w:eastAsia="Calibri" w:hAnsiTheme="minorHAnsi" w:cstheme="minorHAnsi"/>
                <w:sz w:val="20"/>
                <w:szCs w:val="20"/>
              </w:rPr>
              <w:t xml:space="preserve">„Skiddometer </w:t>
            </w:r>
            <w:r w:rsidRPr="009E064B">
              <w:rPr>
                <w:rFonts w:asciiTheme="minorHAnsi" w:eastAsia="Calibri" w:hAnsiTheme="minorHAnsi" w:cstheme="minorHAnsi"/>
                <w:sz w:val="20"/>
                <w:szCs w:val="20"/>
                <w:lang w:eastAsia="pl-PL"/>
              </w:rPr>
              <w:t>railer”</w:t>
            </w:r>
          </w:p>
        </w:tc>
        <w:tc>
          <w:tcPr>
            <w:tcW w:w="311" w:type="pct"/>
            <w:tcMar>
              <w:top w:w="113" w:type="dxa"/>
              <w:left w:w="28" w:type="dxa"/>
              <w:bottom w:w="85" w:type="dxa"/>
              <w:right w:w="28" w:type="dxa"/>
            </w:tcMar>
            <w:vAlign w:val="center"/>
          </w:tcPr>
          <w:p w14:paraId="30F3490A"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p w14:paraId="0045E1C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13F313F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p w14:paraId="6F50C21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0831F342"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7F4DD20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677EAF47"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0217301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4E9D323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0.82</w:t>
            </w:r>
          </w:p>
          <w:p w14:paraId="7F9BF02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1C58CAEE"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0.60</w:t>
            </w:r>
          </w:p>
          <w:p w14:paraId="156DE04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0.47</w:t>
            </w:r>
          </w:p>
        </w:tc>
        <w:tc>
          <w:tcPr>
            <w:tcW w:w="507" w:type="pct"/>
            <w:tcMar>
              <w:top w:w="113" w:type="dxa"/>
              <w:left w:w="28" w:type="dxa"/>
              <w:bottom w:w="85" w:type="dxa"/>
              <w:right w:w="28" w:type="dxa"/>
            </w:tcMar>
            <w:vAlign w:val="center"/>
          </w:tcPr>
          <w:p w14:paraId="3342F3FE"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0.50</w:t>
            </w:r>
          </w:p>
          <w:p w14:paraId="2A972114"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0.34</w:t>
            </w:r>
          </w:p>
        </w:tc>
      </w:tr>
      <w:tr w:rsidR="009D0DC1" w:rsidRPr="009E064B" w14:paraId="5E64DDE5" w14:textId="77777777" w:rsidTr="00966877">
        <w:tc>
          <w:tcPr>
            <w:tcW w:w="1504" w:type="pct"/>
            <w:tcMar>
              <w:top w:w="113" w:type="dxa"/>
              <w:left w:w="28" w:type="dxa"/>
              <w:bottom w:w="85" w:type="dxa"/>
              <w:right w:w="28" w:type="dxa"/>
            </w:tcMar>
            <w:vAlign w:val="center"/>
          </w:tcPr>
          <w:p w14:paraId="5E9BCDC6" w14:textId="7C93AF1A" w:rsidR="009D0DC1" w:rsidRPr="00932998" w:rsidRDefault="009D0DC1" w:rsidP="00DC6B53">
            <w:pPr>
              <w:widowControl/>
              <w:spacing w:before="40" w:after="40"/>
              <w:ind w:left="57"/>
              <w:jc w:val="left"/>
              <w:rPr>
                <w:rFonts w:asciiTheme="minorHAnsi" w:eastAsia="Calibri" w:hAnsiTheme="minorHAnsi" w:cstheme="minorHAnsi"/>
                <w:sz w:val="20"/>
                <w:szCs w:val="20"/>
                <w:lang w:val="en-GB"/>
              </w:rPr>
            </w:pPr>
            <w:r w:rsidRPr="00932998">
              <w:rPr>
                <w:rFonts w:asciiTheme="minorHAnsi" w:eastAsia="Calibri" w:hAnsiTheme="minorHAnsi" w:cstheme="minorHAnsi"/>
                <w:sz w:val="20"/>
                <w:szCs w:val="20"/>
                <w:lang w:val="en-GB"/>
              </w:rPr>
              <w:t>Pojazd:</w:t>
            </w:r>
            <w:r w:rsidR="00DC6B53" w:rsidRPr="00932998">
              <w:rPr>
                <w:rFonts w:asciiTheme="minorHAnsi" w:eastAsia="Calibri" w:hAnsiTheme="minorHAnsi" w:cstheme="minorHAnsi"/>
                <w:sz w:val="20"/>
                <w:szCs w:val="20"/>
                <w:lang w:val="en-GB"/>
              </w:rPr>
              <w:t xml:space="preserve"> </w:t>
            </w:r>
            <w:r w:rsidRPr="00932998">
              <w:rPr>
                <w:rFonts w:asciiTheme="minorHAnsi" w:eastAsia="Calibri" w:hAnsiTheme="minorHAnsi" w:cstheme="minorHAnsi"/>
                <w:sz w:val="20"/>
                <w:szCs w:val="20"/>
                <w:lang w:val="en-GB"/>
              </w:rPr>
              <w:t xml:space="preserve">„Surface Friction </w:t>
            </w:r>
            <w:r w:rsidR="00DC6B53" w:rsidRPr="00932998">
              <w:rPr>
                <w:rFonts w:asciiTheme="minorHAnsi" w:eastAsia="Calibri" w:hAnsiTheme="minorHAnsi" w:cstheme="minorHAnsi"/>
                <w:sz w:val="20"/>
                <w:szCs w:val="20"/>
                <w:lang w:val="en-GB"/>
              </w:rPr>
              <w:br/>
            </w:r>
            <w:r w:rsidRPr="00932998">
              <w:rPr>
                <w:rFonts w:asciiTheme="minorHAnsi" w:eastAsia="Calibri" w:hAnsiTheme="minorHAnsi" w:cstheme="minorHAnsi"/>
                <w:sz w:val="20"/>
                <w:szCs w:val="20"/>
                <w:lang w:val="en-GB"/>
              </w:rPr>
              <w:t>Tester Vehicle”</w:t>
            </w:r>
          </w:p>
        </w:tc>
        <w:tc>
          <w:tcPr>
            <w:tcW w:w="311" w:type="pct"/>
            <w:tcMar>
              <w:top w:w="113" w:type="dxa"/>
              <w:left w:w="28" w:type="dxa"/>
              <w:bottom w:w="85" w:type="dxa"/>
              <w:right w:w="28" w:type="dxa"/>
            </w:tcMar>
            <w:vAlign w:val="center"/>
          </w:tcPr>
          <w:p w14:paraId="1A32207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p w14:paraId="1015230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15EE295A"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p w14:paraId="6CB518B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7A81249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4765195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0C8A9EF0"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3D001FB9"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48CDE16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0.82</w:t>
            </w:r>
          </w:p>
          <w:p w14:paraId="1D4E4860"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5F3B57A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0.60</w:t>
            </w:r>
          </w:p>
          <w:p w14:paraId="029F68A9"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0.47</w:t>
            </w:r>
          </w:p>
        </w:tc>
        <w:tc>
          <w:tcPr>
            <w:tcW w:w="507" w:type="pct"/>
            <w:tcMar>
              <w:top w:w="113" w:type="dxa"/>
              <w:left w:w="28" w:type="dxa"/>
              <w:bottom w:w="85" w:type="dxa"/>
              <w:right w:w="28" w:type="dxa"/>
            </w:tcMar>
            <w:vAlign w:val="center"/>
          </w:tcPr>
          <w:p w14:paraId="387EC29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0.50</w:t>
            </w:r>
          </w:p>
          <w:p w14:paraId="71FBA7E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0.34</w:t>
            </w:r>
          </w:p>
        </w:tc>
      </w:tr>
      <w:tr w:rsidR="009D0DC1" w:rsidRPr="009E064B" w14:paraId="25F84AAD" w14:textId="77777777" w:rsidTr="00966877">
        <w:tc>
          <w:tcPr>
            <w:tcW w:w="1504" w:type="pct"/>
            <w:tcMar>
              <w:top w:w="113" w:type="dxa"/>
              <w:left w:w="28" w:type="dxa"/>
              <w:bottom w:w="85" w:type="dxa"/>
              <w:right w:w="28" w:type="dxa"/>
            </w:tcMar>
            <w:vAlign w:val="center"/>
          </w:tcPr>
          <w:p w14:paraId="77DDEFAC" w14:textId="1E3F3AC1" w:rsidR="009D0DC1" w:rsidRPr="00932998" w:rsidRDefault="009D0DC1" w:rsidP="00DC6B53">
            <w:pPr>
              <w:widowControl/>
              <w:spacing w:before="40" w:after="40"/>
              <w:ind w:left="57"/>
              <w:jc w:val="left"/>
              <w:rPr>
                <w:rFonts w:asciiTheme="minorHAnsi" w:eastAsia="Calibri" w:hAnsiTheme="minorHAnsi" w:cstheme="minorHAnsi"/>
                <w:sz w:val="20"/>
                <w:szCs w:val="20"/>
                <w:lang w:val="en-GB"/>
              </w:rPr>
            </w:pPr>
            <w:r w:rsidRPr="00932998">
              <w:rPr>
                <w:rFonts w:asciiTheme="minorHAnsi" w:eastAsia="Calibri" w:hAnsiTheme="minorHAnsi" w:cstheme="minorHAnsi"/>
                <w:sz w:val="20"/>
                <w:szCs w:val="20"/>
                <w:lang w:val="en-GB"/>
              </w:rPr>
              <w:t>Pojazd:</w:t>
            </w:r>
            <w:r w:rsidR="00DC6B53" w:rsidRPr="00932998">
              <w:rPr>
                <w:rFonts w:asciiTheme="minorHAnsi" w:eastAsia="Calibri" w:hAnsiTheme="minorHAnsi" w:cstheme="minorHAnsi"/>
                <w:sz w:val="20"/>
                <w:szCs w:val="20"/>
                <w:lang w:val="en-GB"/>
              </w:rPr>
              <w:t xml:space="preserve"> </w:t>
            </w:r>
            <w:r w:rsidRPr="00932998">
              <w:rPr>
                <w:rFonts w:asciiTheme="minorHAnsi" w:eastAsia="Calibri" w:hAnsiTheme="minorHAnsi" w:cstheme="minorHAnsi"/>
                <w:sz w:val="20"/>
                <w:szCs w:val="20"/>
                <w:lang w:val="en-GB"/>
              </w:rPr>
              <w:t>„Runway Friction Tester Vehicle”</w:t>
            </w:r>
          </w:p>
        </w:tc>
        <w:tc>
          <w:tcPr>
            <w:tcW w:w="311" w:type="pct"/>
            <w:tcMar>
              <w:top w:w="113" w:type="dxa"/>
              <w:left w:w="28" w:type="dxa"/>
              <w:bottom w:w="85" w:type="dxa"/>
              <w:right w:w="28" w:type="dxa"/>
            </w:tcMar>
            <w:vAlign w:val="center"/>
          </w:tcPr>
          <w:p w14:paraId="18408F0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p w14:paraId="7FBC990C"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01484B7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p w14:paraId="4D83A92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4EFC713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458F4310"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240C839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0F22373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2EAC10C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0.82</w:t>
            </w:r>
          </w:p>
          <w:p w14:paraId="1A0C115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0.74</w:t>
            </w:r>
          </w:p>
        </w:tc>
        <w:tc>
          <w:tcPr>
            <w:tcW w:w="557" w:type="pct"/>
            <w:tcMar>
              <w:top w:w="113" w:type="dxa"/>
              <w:left w:w="28" w:type="dxa"/>
              <w:bottom w:w="85" w:type="dxa"/>
              <w:right w:w="28" w:type="dxa"/>
            </w:tcMar>
            <w:vAlign w:val="center"/>
          </w:tcPr>
          <w:p w14:paraId="5C02CE50"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0.60</w:t>
            </w:r>
          </w:p>
          <w:p w14:paraId="72B1AF5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0.54</w:t>
            </w:r>
          </w:p>
        </w:tc>
        <w:tc>
          <w:tcPr>
            <w:tcW w:w="507" w:type="pct"/>
            <w:tcMar>
              <w:top w:w="113" w:type="dxa"/>
              <w:left w:w="28" w:type="dxa"/>
              <w:bottom w:w="85" w:type="dxa"/>
              <w:right w:w="28" w:type="dxa"/>
            </w:tcMar>
            <w:vAlign w:val="center"/>
          </w:tcPr>
          <w:p w14:paraId="25A1C75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0.50</w:t>
            </w:r>
          </w:p>
          <w:p w14:paraId="4A687FB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0.41</w:t>
            </w:r>
          </w:p>
        </w:tc>
      </w:tr>
      <w:tr w:rsidR="009D0DC1" w:rsidRPr="009E064B" w14:paraId="697163CA" w14:textId="77777777" w:rsidTr="00966877">
        <w:tc>
          <w:tcPr>
            <w:tcW w:w="1504" w:type="pct"/>
            <w:tcMar>
              <w:top w:w="113" w:type="dxa"/>
              <w:left w:w="28" w:type="dxa"/>
              <w:bottom w:w="85" w:type="dxa"/>
              <w:right w:w="28" w:type="dxa"/>
            </w:tcMar>
            <w:vAlign w:val="center"/>
          </w:tcPr>
          <w:p w14:paraId="0B4F9AFB" w14:textId="0BB6EE6D" w:rsidR="009D0DC1" w:rsidRPr="00932998" w:rsidRDefault="009D0DC1" w:rsidP="00DC6B53">
            <w:pPr>
              <w:widowControl/>
              <w:spacing w:before="40" w:after="40"/>
              <w:ind w:left="57"/>
              <w:jc w:val="left"/>
              <w:rPr>
                <w:rFonts w:asciiTheme="minorHAnsi" w:eastAsia="Calibri" w:hAnsiTheme="minorHAnsi" w:cstheme="minorHAnsi"/>
                <w:sz w:val="20"/>
                <w:szCs w:val="20"/>
                <w:lang w:val="en-GB"/>
              </w:rPr>
            </w:pPr>
            <w:r w:rsidRPr="00932998">
              <w:rPr>
                <w:rFonts w:asciiTheme="minorHAnsi" w:eastAsia="Calibri" w:hAnsiTheme="minorHAnsi" w:cstheme="minorHAnsi"/>
                <w:sz w:val="20"/>
                <w:szCs w:val="20"/>
                <w:lang w:val="en-GB"/>
              </w:rPr>
              <w:t>Pojazd:</w:t>
            </w:r>
            <w:r w:rsidR="00DC6B53" w:rsidRPr="00932998">
              <w:rPr>
                <w:rFonts w:asciiTheme="minorHAnsi" w:eastAsia="Calibri" w:hAnsiTheme="minorHAnsi" w:cstheme="minorHAnsi"/>
                <w:sz w:val="20"/>
                <w:szCs w:val="20"/>
                <w:lang w:val="en-GB"/>
              </w:rPr>
              <w:t xml:space="preserve"> </w:t>
            </w:r>
            <w:r w:rsidRPr="00932998">
              <w:rPr>
                <w:rFonts w:asciiTheme="minorHAnsi" w:eastAsia="Calibri" w:hAnsiTheme="minorHAnsi" w:cstheme="minorHAnsi"/>
                <w:sz w:val="20"/>
                <w:szCs w:val="20"/>
                <w:lang w:val="en-GB"/>
              </w:rPr>
              <w:t xml:space="preserve">„TATRA Friction </w:t>
            </w:r>
            <w:r w:rsidR="00DC6B53" w:rsidRPr="00932998">
              <w:rPr>
                <w:rFonts w:asciiTheme="minorHAnsi" w:eastAsia="Calibri" w:hAnsiTheme="minorHAnsi" w:cstheme="minorHAnsi"/>
                <w:sz w:val="20"/>
                <w:szCs w:val="20"/>
                <w:lang w:val="en-GB"/>
              </w:rPr>
              <w:br/>
            </w:r>
            <w:r w:rsidRPr="00932998">
              <w:rPr>
                <w:rFonts w:asciiTheme="minorHAnsi" w:eastAsia="Calibri" w:hAnsiTheme="minorHAnsi" w:cstheme="minorHAnsi"/>
                <w:sz w:val="20"/>
                <w:szCs w:val="20"/>
                <w:lang w:val="en-GB"/>
              </w:rPr>
              <w:t>Tester Vehicle”</w:t>
            </w:r>
          </w:p>
        </w:tc>
        <w:tc>
          <w:tcPr>
            <w:tcW w:w="311" w:type="pct"/>
            <w:tcMar>
              <w:top w:w="113" w:type="dxa"/>
              <w:left w:w="28" w:type="dxa"/>
              <w:bottom w:w="85" w:type="dxa"/>
              <w:right w:w="28" w:type="dxa"/>
            </w:tcMar>
            <w:vAlign w:val="center"/>
          </w:tcPr>
          <w:p w14:paraId="07F9374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p w14:paraId="7ECA32B8"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2E08C930"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p w14:paraId="221AF228"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210</w:t>
            </w:r>
          </w:p>
        </w:tc>
        <w:tc>
          <w:tcPr>
            <w:tcW w:w="541" w:type="pct"/>
            <w:tcMar>
              <w:top w:w="113" w:type="dxa"/>
              <w:left w:w="28" w:type="dxa"/>
              <w:bottom w:w="85" w:type="dxa"/>
              <w:right w:w="28" w:type="dxa"/>
            </w:tcMar>
            <w:vAlign w:val="center"/>
          </w:tcPr>
          <w:p w14:paraId="7EC8B973"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757F7792"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361B138D"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47C9D74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2554641C"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0.76</w:t>
            </w:r>
          </w:p>
          <w:p w14:paraId="31914B2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0.67</w:t>
            </w:r>
          </w:p>
        </w:tc>
        <w:tc>
          <w:tcPr>
            <w:tcW w:w="557" w:type="pct"/>
            <w:tcMar>
              <w:top w:w="113" w:type="dxa"/>
              <w:left w:w="28" w:type="dxa"/>
              <w:bottom w:w="85" w:type="dxa"/>
              <w:right w:w="28" w:type="dxa"/>
            </w:tcMar>
            <w:vAlign w:val="center"/>
          </w:tcPr>
          <w:p w14:paraId="2DFE08B7"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0.57</w:t>
            </w:r>
          </w:p>
          <w:p w14:paraId="05A128A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0.52</w:t>
            </w:r>
          </w:p>
        </w:tc>
        <w:tc>
          <w:tcPr>
            <w:tcW w:w="507" w:type="pct"/>
            <w:tcMar>
              <w:top w:w="113" w:type="dxa"/>
              <w:left w:w="28" w:type="dxa"/>
              <w:bottom w:w="85" w:type="dxa"/>
              <w:right w:w="28" w:type="dxa"/>
            </w:tcMar>
            <w:vAlign w:val="center"/>
          </w:tcPr>
          <w:p w14:paraId="12A05B4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0.48</w:t>
            </w:r>
          </w:p>
          <w:p w14:paraId="2CDB059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0.42</w:t>
            </w:r>
          </w:p>
        </w:tc>
      </w:tr>
      <w:tr w:rsidR="009D0DC1" w:rsidRPr="009E064B" w14:paraId="3CDD96C4" w14:textId="77777777" w:rsidTr="00966877">
        <w:tc>
          <w:tcPr>
            <w:tcW w:w="1504" w:type="pct"/>
            <w:tcMar>
              <w:top w:w="113" w:type="dxa"/>
              <w:left w:w="28" w:type="dxa"/>
              <w:bottom w:w="85" w:type="dxa"/>
              <w:right w:w="28" w:type="dxa"/>
            </w:tcMar>
            <w:vAlign w:val="center"/>
          </w:tcPr>
          <w:p w14:paraId="40F83208" w14:textId="58B89ADE" w:rsidR="009D0DC1" w:rsidRPr="009E064B" w:rsidRDefault="009D0DC1" w:rsidP="00DC6B53">
            <w:pPr>
              <w:widowControl/>
              <w:spacing w:before="40" w:after="40"/>
              <w:ind w:left="57"/>
              <w:jc w:val="left"/>
              <w:rPr>
                <w:rFonts w:asciiTheme="minorHAnsi" w:eastAsia="Calibri" w:hAnsiTheme="minorHAnsi" w:cstheme="minorHAnsi"/>
                <w:sz w:val="20"/>
                <w:szCs w:val="20"/>
              </w:rPr>
            </w:pPr>
            <w:r w:rsidRPr="009E064B">
              <w:rPr>
                <w:rFonts w:asciiTheme="minorHAnsi" w:eastAsia="Calibri" w:hAnsiTheme="minorHAnsi" w:cstheme="minorHAnsi"/>
                <w:sz w:val="20"/>
                <w:szCs w:val="20"/>
              </w:rPr>
              <w:t>Przyczepa:</w:t>
            </w:r>
            <w:r w:rsidR="00DC6B53" w:rsidRPr="009E064B">
              <w:rPr>
                <w:rFonts w:asciiTheme="minorHAnsi" w:eastAsia="Calibri" w:hAnsiTheme="minorHAnsi" w:cstheme="minorHAnsi"/>
                <w:sz w:val="20"/>
                <w:szCs w:val="20"/>
              </w:rPr>
              <w:t xml:space="preserve"> </w:t>
            </w:r>
            <w:r w:rsidRPr="009E064B">
              <w:rPr>
                <w:rFonts w:asciiTheme="minorHAnsi" w:eastAsia="Calibri" w:hAnsiTheme="minorHAnsi" w:cstheme="minorHAnsi"/>
                <w:sz w:val="20"/>
                <w:szCs w:val="20"/>
              </w:rPr>
              <w:t>„Grip Tester Trailer”</w:t>
            </w:r>
          </w:p>
        </w:tc>
        <w:tc>
          <w:tcPr>
            <w:tcW w:w="311" w:type="pct"/>
            <w:tcMar>
              <w:top w:w="113" w:type="dxa"/>
              <w:left w:w="28" w:type="dxa"/>
              <w:bottom w:w="85" w:type="dxa"/>
              <w:right w:w="28" w:type="dxa"/>
            </w:tcMar>
            <w:vAlign w:val="center"/>
          </w:tcPr>
          <w:p w14:paraId="0CA4228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p w14:paraId="0FCCF1F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B</w:t>
            </w:r>
          </w:p>
        </w:tc>
        <w:tc>
          <w:tcPr>
            <w:tcW w:w="455" w:type="pct"/>
            <w:tcMar>
              <w:top w:w="113" w:type="dxa"/>
              <w:left w:w="28" w:type="dxa"/>
              <w:bottom w:w="85" w:type="dxa"/>
              <w:right w:w="28" w:type="dxa"/>
            </w:tcMar>
            <w:vAlign w:val="center"/>
          </w:tcPr>
          <w:p w14:paraId="446BDD5C"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140</w:t>
            </w:r>
          </w:p>
          <w:p w14:paraId="7917EE9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140</w:t>
            </w:r>
          </w:p>
        </w:tc>
        <w:tc>
          <w:tcPr>
            <w:tcW w:w="541" w:type="pct"/>
            <w:tcMar>
              <w:top w:w="113" w:type="dxa"/>
              <w:left w:w="28" w:type="dxa"/>
              <w:bottom w:w="85" w:type="dxa"/>
              <w:right w:w="28" w:type="dxa"/>
            </w:tcMar>
            <w:vAlign w:val="center"/>
          </w:tcPr>
          <w:p w14:paraId="2628B40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65</w:t>
            </w:r>
          </w:p>
          <w:p w14:paraId="028E572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95</w:t>
            </w:r>
          </w:p>
        </w:tc>
        <w:tc>
          <w:tcPr>
            <w:tcW w:w="545" w:type="pct"/>
            <w:tcMar>
              <w:top w:w="113" w:type="dxa"/>
              <w:left w:w="28" w:type="dxa"/>
              <w:bottom w:w="85" w:type="dxa"/>
              <w:right w:w="28" w:type="dxa"/>
            </w:tcMar>
            <w:vAlign w:val="center"/>
          </w:tcPr>
          <w:p w14:paraId="29B2C711"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p w14:paraId="4A8BA4BB"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1.0</w:t>
            </w:r>
          </w:p>
        </w:tc>
        <w:tc>
          <w:tcPr>
            <w:tcW w:w="580" w:type="pct"/>
            <w:tcMar>
              <w:top w:w="113" w:type="dxa"/>
              <w:left w:w="28" w:type="dxa"/>
              <w:bottom w:w="85" w:type="dxa"/>
              <w:right w:w="28" w:type="dxa"/>
            </w:tcMar>
            <w:vAlign w:val="center"/>
          </w:tcPr>
          <w:p w14:paraId="6A3B645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0.74</w:t>
            </w:r>
          </w:p>
          <w:p w14:paraId="03851F3F"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0.64</w:t>
            </w:r>
          </w:p>
        </w:tc>
        <w:tc>
          <w:tcPr>
            <w:tcW w:w="557" w:type="pct"/>
            <w:tcMar>
              <w:top w:w="113" w:type="dxa"/>
              <w:left w:w="28" w:type="dxa"/>
              <w:bottom w:w="85" w:type="dxa"/>
              <w:right w:w="28" w:type="dxa"/>
            </w:tcMar>
            <w:vAlign w:val="center"/>
          </w:tcPr>
          <w:p w14:paraId="250C6BDC"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0.53</w:t>
            </w:r>
          </w:p>
          <w:p w14:paraId="6892A4B2"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0.36</w:t>
            </w:r>
          </w:p>
        </w:tc>
        <w:tc>
          <w:tcPr>
            <w:tcW w:w="507" w:type="pct"/>
            <w:tcMar>
              <w:top w:w="113" w:type="dxa"/>
              <w:left w:w="28" w:type="dxa"/>
              <w:bottom w:w="85" w:type="dxa"/>
              <w:right w:w="28" w:type="dxa"/>
            </w:tcMar>
            <w:vAlign w:val="center"/>
          </w:tcPr>
          <w:p w14:paraId="5CC52F55"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0.43</w:t>
            </w:r>
          </w:p>
          <w:p w14:paraId="13B5B496" w14:textId="77777777" w:rsidR="009D0DC1" w:rsidRPr="009E064B" w:rsidRDefault="009D0DC1" w:rsidP="00DC6B53">
            <w:pPr>
              <w:widowControl/>
              <w:spacing w:before="40" w:after="40"/>
              <w:jc w:val="center"/>
              <w:rPr>
                <w:rFonts w:asciiTheme="minorHAnsi" w:eastAsia="Calibri" w:hAnsiTheme="minorHAnsi" w:cstheme="minorHAnsi"/>
                <w:sz w:val="20"/>
                <w:szCs w:val="20"/>
              </w:rPr>
            </w:pPr>
            <w:r w:rsidRPr="009E064B">
              <w:rPr>
                <w:rFonts w:asciiTheme="minorHAnsi" w:eastAsia="Calibri" w:hAnsiTheme="minorHAnsi" w:cstheme="minorHAnsi"/>
                <w:sz w:val="20"/>
                <w:szCs w:val="20"/>
              </w:rPr>
              <w:t>0.24</w:t>
            </w:r>
          </w:p>
        </w:tc>
      </w:tr>
    </w:tbl>
    <w:p w14:paraId="1BEDA07E" w14:textId="77777777" w:rsidR="009D0DC1" w:rsidRPr="007B1601" w:rsidRDefault="009D0DC1" w:rsidP="00966877">
      <w:pPr>
        <w:widowControl/>
        <w:spacing w:before="240"/>
        <w:jc w:val="center"/>
        <w:rPr>
          <w:rFonts w:asciiTheme="minorHAnsi" w:eastAsia="Calibri" w:hAnsiTheme="minorHAnsi" w:cstheme="minorHAnsi"/>
          <w:b/>
        </w:rPr>
      </w:pPr>
      <w:r w:rsidRPr="007B1601">
        <w:rPr>
          <w:rFonts w:asciiTheme="minorHAnsi" w:eastAsia="Calibri" w:hAnsiTheme="minorHAnsi" w:cstheme="minorHAnsi"/>
          <w:b/>
          <w:sz w:val="20"/>
        </w:rPr>
        <w:t>Tabela 1</w:t>
      </w:r>
    </w:p>
    <w:p w14:paraId="0632B999" w14:textId="77777777" w:rsidR="009D0DC1" w:rsidRPr="009E064B" w:rsidRDefault="009D0DC1" w:rsidP="00966877">
      <w:pPr>
        <w:widowControl/>
        <w:spacing w:after="0"/>
        <w:rPr>
          <w:rFonts w:asciiTheme="minorHAnsi" w:eastAsia="Calibri" w:hAnsiTheme="minorHAnsi" w:cstheme="minorHAnsi"/>
        </w:rPr>
      </w:pPr>
    </w:p>
    <w:p w14:paraId="6306E26B" w14:textId="7E1011A4" w:rsidR="009D0DC1" w:rsidRPr="009E064B" w:rsidRDefault="009D0DC1" w:rsidP="00966877">
      <w:pPr>
        <w:widowControl/>
        <w:tabs>
          <w:tab w:val="left" w:pos="567"/>
        </w:tabs>
        <w:spacing w:after="0"/>
        <w:ind w:left="567" w:hanging="567"/>
        <w:rPr>
          <w:rFonts w:asciiTheme="minorHAnsi" w:eastAsia="Calibri" w:hAnsiTheme="minorHAnsi" w:cstheme="minorHAnsi"/>
        </w:rPr>
      </w:pPr>
      <w:r w:rsidRPr="009E064B">
        <w:rPr>
          <w:rFonts w:asciiTheme="minorHAnsi" w:eastAsia="Calibri" w:hAnsiTheme="minorHAnsi" w:cstheme="minorHAnsi"/>
        </w:rPr>
        <w:t xml:space="preserve">(h) </w:t>
      </w:r>
      <w:r w:rsidRPr="009E064B">
        <w:rPr>
          <w:rFonts w:asciiTheme="minorHAnsi" w:eastAsia="Calibri" w:hAnsiTheme="minorHAnsi" w:cstheme="minorHAnsi"/>
        </w:rPr>
        <w:tab/>
        <w:t xml:space="preserve">Do pomiaru tarcia mogą zostać użyte inne urządzenia, pod warunkiem, że zostały skorelowane, z co najmniej jednym urządzeniem pomiarowym wymienionym w powyższej </w:t>
      </w:r>
      <w:r w:rsidR="006F2149" w:rsidRPr="009E064B">
        <w:rPr>
          <w:rFonts w:asciiTheme="minorHAnsi" w:eastAsia="Calibri" w:hAnsiTheme="minorHAnsi" w:cstheme="minorHAnsi"/>
        </w:rPr>
        <w:t>t</w:t>
      </w:r>
      <w:r w:rsidR="00F36957" w:rsidRPr="009E064B">
        <w:rPr>
          <w:rFonts w:asciiTheme="minorHAnsi" w:eastAsia="Calibri" w:hAnsiTheme="minorHAnsi" w:cstheme="minorHAnsi"/>
        </w:rPr>
        <w:t>abeli</w:t>
      </w:r>
      <w:r w:rsidRPr="009E064B">
        <w:rPr>
          <w:rFonts w:asciiTheme="minorHAnsi" w:eastAsia="Calibri" w:hAnsiTheme="minorHAnsi" w:cstheme="minorHAnsi"/>
        </w:rPr>
        <w:t>.</w:t>
      </w:r>
    </w:p>
    <w:p w14:paraId="209A4ECF" w14:textId="77777777" w:rsidR="00966877" w:rsidRPr="009E064B" w:rsidRDefault="00966877" w:rsidP="00966877">
      <w:pPr>
        <w:widowControl/>
        <w:tabs>
          <w:tab w:val="left" w:pos="567"/>
        </w:tabs>
        <w:spacing w:after="0"/>
        <w:ind w:left="567" w:hanging="567"/>
        <w:rPr>
          <w:rFonts w:asciiTheme="minorHAnsi" w:eastAsia="Calibri" w:hAnsiTheme="minorHAnsi" w:cstheme="minorHAnsi"/>
        </w:rPr>
      </w:pPr>
    </w:p>
    <w:p w14:paraId="1A2919C9" w14:textId="1685AD19" w:rsidR="009D0DC1" w:rsidRPr="009E064B" w:rsidRDefault="00966877" w:rsidP="00133B99">
      <w:pPr>
        <w:pStyle w:val="Nagwek6"/>
      </w:pPr>
      <w:bookmarkStart w:id="747" w:name="_Toc415056402"/>
      <w:bookmarkStart w:id="748" w:name="_Toc492024773"/>
      <w:bookmarkStart w:id="749" w:name="_Toc12532896"/>
      <w:r w:rsidRPr="009E064B">
        <w:t xml:space="preserve">GM2 ADR.OPS.C.010(b)(1)    </w:t>
      </w:r>
      <w:r w:rsidR="009D0DC1" w:rsidRPr="009E064B">
        <w:t xml:space="preserve">Nawierzchnie sztuczne, pozostałe powierzchnie na ziemi </w:t>
      </w:r>
      <w:r w:rsidR="00673989">
        <w:br/>
        <w:t xml:space="preserve">          </w:t>
      </w:r>
      <w:r w:rsidR="009D0DC1" w:rsidRPr="009E064B">
        <w:t>oraz</w:t>
      </w:r>
      <w:r w:rsidR="0025188C" w:rsidRPr="009E064B">
        <w:t> kanalizacj</w:t>
      </w:r>
      <w:bookmarkEnd w:id="747"/>
      <w:bookmarkEnd w:id="748"/>
      <w:r w:rsidR="0025188C" w:rsidRPr="009E064B">
        <w:t>a</w:t>
      </w:r>
      <w:bookmarkEnd w:id="749"/>
    </w:p>
    <w:p w14:paraId="35CEF19D" w14:textId="4BC60987"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5F17D359"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OPERACJE Z NADMIERNYM OBCIĄŻENIEM</w:t>
      </w:r>
    </w:p>
    <w:p w14:paraId="3013E9D4" w14:textId="55DE1649" w:rsidR="009D0DC1" w:rsidRPr="009E064B" w:rsidRDefault="009D0DC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Przeciążenie nawierzchni może być rezultatem albo przyjęcia zbyt dużych obciążeń albo zwiększonej częstotliwości przyjmowania obciążeń, albo obu tych czynników równocześnie. Obciążenia większe niż zdefiniowane (tzn. projektowane lub oszacowane) skracają żywotność nawierzchni, natomiast obciążenia mniejsze żywotność zwiększają. Z wyjątkiem znacznych nadmiernych obciążeń, nawierzchnie, pod względem strukturalnym, nie podlegają obciążeniom granicznym, powyżej których nastąpi ich gwałtowne zniszczenie. Podczas całego, projektowanego okresu eksploatacji nawierzchnie mogą przenieść określone obciążenia przy zakładanej liczbie powtórzeń. W związku z tym, przeciąż</w:t>
      </w:r>
      <w:r w:rsidR="00091B8C" w:rsidRPr="009E064B">
        <w:rPr>
          <w:rFonts w:asciiTheme="minorHAnsi" w:eastAsia="Calibri" w:hAnsiTheme="minorHAnsi" w:cstheme="minorHAnsi"/>
        </w:rPr>
        <w:t xml:space="preserve">enia chwilowe i </w:t>
      </w:r>
      <w:r w:rsidRPr="009E064B">
        <w:rPr>
          <w:rFonts w:asciiTheme="minorHAnsi" w:eastAsia="Calibri" w:hAnsiTheme="minorHAnsi" w:cstheme="minorHAnsi"/>
        </w:rPr>
        <w:t>niezbyt duże, o ile są konieczne, powodują jedynie pewne zmniejszenie planowanego okresu eksploatacji nawierzchni i stosunkowo nieznaczne przyspieszenie pogorszenia sta</w:t>
      </w:r>
      <w:r w:rsidR="00371A8B" w:rsidRPr="009E064B">
        <w:rPr>
          <w:rFonts w:asciiTheme="minorHAnsi" w:eastAsia="Calibri" w:hAnsiTheme="minorHAnsi" w:cstheme="minorHAnsi"/>
        </w:rPr>
        <w:t>nu nawierzchni. W </w:t>
      </w:r>
      <w:r w:rsidR="00091B8C" w:rsidRPr="009E064B">
        <w:rPr>
          <w:rFonts w:asciiTheme="minorHAnsi" w:eastAsia="Calibri" w:hAnsiTheme="minorHAnsi" w:cstheme="minorHAnsi"/>
        </w:rPr>
        <w:t>sytuacjach, w </w:t>
      </w:r>
      <w:r w:rsidRPr="009E064B">
        <w:rPr>
          <w:rFonts w:asciiTheme="minorHAnsi" w:eastAsia="Calibri" w:hAnsiTheme="minorHAnsi" w:cstheme="minorHAnsi"/>
        </w:rPr>
        <w:t>których wielkość przeciążeń i/lub częstotliwość ich występowania nie uzasadniają konieczności wykonania szczegółowych analiz, proponuje się przyjąć następujące kryteria dopuszczalnych przeciążeń:</w:t>
      </w:r>
    </w:p>
    <w:p w14:paraId="06FE4475"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w przypadku nawierzchni podatnych, sporadyczne operacje statków powietrznych, których ACN nie przekracza 10% zgłoszonego PCN, nie powinny wpłynąć ujemnie na nawierzchnię sztuczną;</w:t>
      </w:r>
    </w:p>
    <w:p w14:paraId="6394F93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(2) </w:t>
      </w:r>
      <w:r w:rsidRPr="009E064B">
        <w:rPr>
          <w:rFonts w:asciiTheme="minorHAnsi" w:eastAsia="Calibri" w:hAnsiTheme="minorHAnsi" w:cstheme="minorHAnsi"/>
        </w:rPr>
        <w:tab/>
        <w:t>w przypadku nawierzchni sztywnych lub złożonych, w których warstwa nawierzchni sztywnej stanowi główny element konstrukcji, sporadyczne operacje statków powietrznych, których ACN nie przekracza 5% zgłoszonego PCN, nie powinny wpłynąć ujemnie na nawierzchnię sztuczną;</w:t>
      </w:r>
    </w:p>
    <w:p w14:paraId="6528D1F2"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(3) </w:t>
      </w:r>
      <w:r w:rsidRPr="009E064B">
        <w:rPr>
          <w:rFonts w:asciiTheme="minorHAnsi" w:eastAsia="Calibri" w:hAnsiTheme="minorHAnsi" w:cstheme="minorHAnsi"/>
        </w:rPr>
        <w:tab/>
        <w:t>jeżeli konstrukcja nawierzchni nie jest znana, należy stosować ograniczenie 5%; oraz</w:t>
      </w:r>
    </w:p>
    <w:p w14:paraId="6A0B287F" w14:textId="77777777" w:rsidR="009D0DC1" w:rsidRPr="009E064B" w:rsidRDefault="009D0DC1"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(4) </w:t>
      </w:r>
      <w:r w:rsidRPr="009E064B">
        <w:rPr>
          <w:rFonts w:asciiTheme="minorHAnsi" w:eastAsia="Calibri" w:hAnsiTheme="minorHAnsi" w:cstheme="minorHAnsi"/>
        </w:rPr>
        <w:tab/>
        <w:t>roczna liczba operacji z przeciążeniem nie powinna przekraczać około 5% całkowitej ilości operacji wykonywanych na danej nawierzchni w ciągu roku.</w:t>
      </w:r>
    </w:p>
    <w:p w14:paraId="491D8C71" w14:textId="77777777" w:rsidR="009D0DC1" w:rsidRPr="009E064B" w:rsidRDefault="009D0DC1"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Operacje z przeciążeniem nie powinny być dozwolone na nawierzchniach sztucznych wykazujących oznaki osłabienia lub uszkodzenia. Ponadto, należy unikać przeciążenia podczas okresów odwilży następujących po penetracji mrozu, lub gdy nośność nawierzchni, albo jej podłoża może być osłabiona obecnością wody. Tam, gdzie prowadzone są operacje z przeciążeniem, operator lotniska powinien okresowo weryfikować kryteria dopuszczalnych operacji z przeciążeniem, ponieważ nadmierna powtarzalność przeciążeń może doprowadzić do poważnego skrócenia okresu eksploatacji nawierzchni sztucznej lub konieczności przeprowadzenia głównego remontu nawierzchni.</w:t>
      </w:r>
    </w:p>
    <w:p w14:paraId="0DA1B201" w14:textId="1DB4C60A" w:rsidR="009D0DC1" w:rsidRPr="009E064B" w:rsidRDefault="00966877" w:rsidP="00133B99">
      <w:pPr>
        <w:pStyle w:val="Nagwek6"/>
      </w:pPr>
      <w:bookmarkStart w:id="750" w:name="_Toc415056403"/>
      <w:bookmarkStart w:id="751" w:name="_Toc492024774"/>
      <w:bookmarkStart w:id="752" w:name="_Toc12532897"/>
      <w:r w:rsidRPr="009E064B">
        <w:t xml:space="preserve">GM3 ADR.OPS.C.010(b)(2)    </w:t>
      </w:r>
      <w:r w:rsidR="009D0DC1" w:rsidRPr="009E064B">
        <w:t xml:space="preserve">Nawierzchnie sztuczne, pozostałe powierzchnie na ziemi </w:t>
      </w:r>
      <w:r w:rsidR="00673989">
        <w:br/>
        <w:t xml:space="preserve">          </w:t>
      </w:r>
      <w:r w:rsidR="009D0DC1" w:rsidRPr="009E064B">
        <w:t>oraz</w:t>
      </w:r>
      <w:r w:rsidR="0025188C" w:rsidRPr="009E064B">
        <w:t> kanalizacja</w:t>
      </w:r>
      <w:bookmarkEnd w:id="750"/>
      <w:bookmarkEnd w:id="751"/>
      <w:bookmarkEnd w:id="752"/>
    </w:p>
    <w:p w14:paraId="0F3699DF" w14:textId="19DDD0EC" w:rsidR="00BB1E62"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2017/017/R</w:t>
      </w:r>
    </w:p>
    <w:p w14:paraId="3CB9BAC2" w14:textId="77777777" w:rsidR="009D0DC1" w:rsidRPr="009E064B" w:rsidRDefault="009D0DC1" w:rsidP="00B06A9A">
      <w:pPr>
        <w:widowControl/>
        <w:rPr>
          <w:rFonts w:asciiTheme="minorHAnsi" w:eastAsia="Calibri" w:hAnsiTheme="minorHAnsi" w:cstheme="minorHAnsi"/>
        </w:rPr>
      </w:pPr>
      <w:r w:rsidRPr="009E064B">
        <w:rPr>
          <w:rFonts w:asciiTheme="minorHAnsi" w:eastAsia="Calibri" w:hAnsiTheme="minorHAnsi" w:cstheme="minorHAnsi"/>
        </w:rPr>
        <w:t>RÓWNOŚĆ DROGI STARTOWEJ</w:t>
      </w:r>
    </w:p>
    <w:p w14:paraId="3C3E678A" w14:textId="34BEBB2B" w:rsidR="009D0DC1" w:rsidRPr="009E064B" w:rsidRDefault="009D0DC1" w:rsidP="00371A8B">
      <w:pPr>
        <w:widowControl/>
        <w:tabs>
          <w:tab w:val="left" w:pos="567"/>
        </w:tabs>
        <w:spacing w:after="0"/>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Operacje statków powietrznych oraz nierównomierne osiadanie podbudowy może prowadzić do zwiększenia nierówności powierzchni. Niewielkie odchylenia od powyższych tolerancji nie będą stanowić poważnych utrudnień dla statków powietrznych. Ogólnie rzecz biorąc, pojedyncze nierówności rzędu 2.5 cm do 3 cm w odległości ponad 45 m s</w:t>
      </w:r>
      <w:r w:rsidR="000E0B48" w:rsidRPr="009E064B">
        <w:rPr>
          <w:rFonts w:asciiTheme="minorHAnsi" w:eastAsia="Calibri" w:hAnsiTheme="minorHAnsi" w:cstheme="minorHAnsi"/>
        </w:rPr>
        <w:t>ą akceptowane, jak pokazano na R</w:t>
      </w:r>
      <w:r w:rsidRPr="009E064B">
        <w:rPr>
          <w:rFonts w:asciiTheme="minorHAnsi" w:eastAsia="Calibri" w:hAnsiTheme="minorHAnsi" w:cstheme="minorHAnsi"/>
        </w:rPr>
        <w:t>ysunku</w:t>
      </w:r>
      <w:r w:rsidR="000E0B48" w:rsidRPr="009E064B">
        <w:rPr>
          <w:rFonts w:asciiTheme="minorHAnsi" w:eastAsia="Calibri" w:hAnsiTheme="minorHAnsi" w:cstheme="minorHAnsi"/>
        </w:rPr>
        <w:t> </w:t>
      </w:r>
      <w:r w:rsidRPr="009E064B">
        <w:rPr>
          <w:rFonts w:asciiTheme="minorHAnsi" w:eastAsia="Calibri" w:hAnsiTheme="minorHAnsi" w:cstheme="minorHAnsi"/>
        </w:rPr>
        <w:t xml:space="preserve">1. Mimo, że maksymalne akceptowalne odchylenia zmieniają się w zależności od typu i prędkości statku powietrznego, to granice akceptowanych nierówności powierzchni mogą być oszacowane w umiarkowanym zakresie. W poniższej </w:t>
      </w:r>
      <w:r w:rsidR="000E0B48" w:rsidRPr="009E064B">
        <w:rPr>
          <w:rFonts w:asciiTheme="minorHAnsi" w:eastAsia="Calibri" w:hAnsiTheme="minorHAnsi" w:cstheme="minorHAnsi"/>
        </w:rPr>
        <w:t>t</w:t>
      </w:r>
      <w:r w:rsidR="00F36957" w:rsidRPr="009E064B">
        <w:rPr>
          <w:rFonts w:asciiTheme="minorHAnsi" w:eastAsia="Calibri" w:hAnsiTheme="minorHAnsi" w:cstheme="minorHAnsi"/>
        </w:rPr>
        <w:t>abeli</w:t>
      </w:r>
      <w:r w:rsidRPr="009E064B">
        <w:rPr>
          <w:rFonts w:asciiTheme="minorHAnsi" w:eastAsia="Calibri" w:hAnsiTheme="minorHAnsi" w:cstheme="minorHAnsi"/>
        </w:rPr>
        <w:t xml:space="preserve"> przedstawiono akceptowalne, dopuszczalne i nadmierne granice nierówności powierzchni.</w:t>
      </w:r>
    </w:p>
    <w:p w14:paraId="23A6205B" w14:textId="77777777" w:rsidR="00AD7102" w:rsidRPr="009E064B" w:rsidRDefault="00AD7102" w:rsidP="00B06A9A">
      <w:pPr>
        <w:widowControl/>
        <w:tabs>
          <w:tab w:val="left" w:pos="567"/>
        </w:tabs>
        <w:ind w:left="567" w:hanging="567"/>
        <w:rPr>
          <w:rFonts w:asciiTheme="minorHAnsi" w:eastAsia="Calibri" w:hAnsiTheme="minorHAnsi" w:cstheme="minorHAnsi"/>
        </w:rPr>
      </w:pPr>
    </w:p>
    <w:tbl>
      <w:tblPr>
        <w:tblW w:w="4656"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20"/>
        <w:gridCol w:w="768"/>
        <w:gridCol w:w="539"/>
        <w:gridCol w:w="539"/>
        <w:gridCol w:w="539"/>
        <w:gridCol w:w="539"/>
        <w:gridCol w:w="539"/>
        <w:gridCol w:w="539"/>
        <w:gridCol w:w="539"/>
        <w:gridCol w:w="537"/>
      </w:tblGrid>
      <w:tr w:rsidR="00AD7102" w:rsidRPr="009E064B" w14:paraId="1FCC45A8" w14:textId="77777777" w:rsidTr="000B4068">
        <w:trPr>
          <w:jc w:val="right"/>
        </w:trPr>
        <w:tc>
          <w:tcPr>
            <w:tcW w:w="2013" w:type="pct"/>
            <w:vMerge w:val="restart"/>
            <w:shd w:val="clear" w:color="auto" w:fill="auto"/>
            <w:tcMar>
              <w:top w:w="85" w:type="dxa"/>
              <w:left w:w="28" w:type="dxa"/>
              <w:bottom w:w="85" w:type="dxa"/>
              <w:right w:w="28" w:type="dxa"/>
            </w:tcMar>
            <w:vAlign w:val="center"/>
          </w:tcPr>
          <w:p w14:paraId="25F8C8B6"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bCs/>
                <w:sz w:val="20"/>
              </w:rPr>
            </w:pPr>
            <w:r w:rsidRPr="009E064B">
              <w:rPr>
                <w:rFonts w:asciiTheme="minorHAnsi" w:eastAsia="Calibri" w:hAnsiTheme="minorHAnsi" w:cstheme="minorHAnsi"/>
                <w:b/>
                <w:bCs/>
                <w:sz w:val="20"/>
              </w:rPr>
              <w:t xml:space="preserve">Nierówność powierzchni </w:t>
            </w:r>
          </w:p>
        </w:tc>
        <w:tc>
          <w:tcPr>
            <w:tcW w:w="2987" w:type="pct"/>
            <w:gridSpan w:val="9"/>
            <w:tcMar>
              <w:top w:w="85" w:type="dxa"/>
              <w:left w:w="28" w:type="dxa"/>
              <w:bottom w:w="85" w:type="dxa"/>
              <w:right w:w="28" w:type="dxa"/>
            </w:tcMar>
            <w:vAlign w:val="center"/>
          </w:tcPr>
          <w:p w14:paraId="5438BD8A"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b/>
                <w:bCs/>
                <w:sz w:val="20"/>
              </w:rPr>
              <w:t xml:space="preserve">Długość nierówności </w:t>
            </w:r>
            <w:r w:rsidRPr="009E064B">
              <w:rPr>
                <w:rFonts w:asciiTheme="minorHAnsi" w:eastAsia="Calibri" w:hAnsiTheme="minorHAnsi" w:cstheme="minorHAnsi"/>
                <w:bCs/>
                <w:sz w:val="20"/>
              </w:rPr>
              <w:t>(m)</w:t>
            </w:r>
          </w:p>
        </w:tc>
      </w:tr>
      <w:tr w:rsidR="00AD7102" w:rsidRPr="009E064B" w14:paraId="76F34392" w14:textId="77777777" w:rsidTr="000B4068">
        <w:trPr>
          <w:jc w:val="right"/>
        </w:trPr>
        <w:tc>
          <w:tcPr>
            <w:tcW w:w="2013" w:type="pct"/>
            <w:vMerge/>
            <w:shd w:val="clear" w:color="auto" w:fill="auto"/>
            <w:tcMar>
              <w:top w:w="85" w:type="dxa"/>
              <w:left w:w="28" w:type="dxa"/>
              <w:bottom w:w="85" w:type="dxa"/>
              <w:right w:w="28" w:type="dxa"/>
            </w:tcMar>
            <w:vAlign w:val="center"/>
          </w:tcPr>
          <w:p w14:paraId="7A98EE6F" w14:textId="77777777" w:rsidR="00AD7102" w:rsidRPr="009E064B" w:rsidRDefault="00AD7102" w:rsidP="00966877">
            <w:pPr>
              <w:widowControl/>
              <w:spacing w:after="0"/>
              <w:jc w:val="center"/>
              <w:rPr>
                <w:rFonts w:asciiTheme="minorHAnsi" w:eastAsia="Calibri" w:hAnsiTheme="minorHAnsi" w:cstheme="minorHAnsi"/>
                <w:b/>
                <w:bCs/>
                <w:sz w:val="20"/>
              </w:rPr>
            </w:pPr>
          </w:p>
        </w:tc>
        <w:tc>
          <w:tcPr>
            <w:tcW w:w="452" w:type="pct"/>
            <w:tcMar>
              <w:top w:w="85" w:type="dxa"/>
              <w:left w:w="28" w:type="dxa"/>
              <w:bottom w:w="85" w:type="dxa"/>
              <w:right w:w="28" w:type="dxa"/>
            </w:tcMar>
            <w:vAlign w:val="center"/>
          </w:tcPr>
          <w:p w14:paraId="57FFFF33"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3</w:t>
            </w:r>
          </w:p>
        </w:tc>
        <w:tc>
          <w:tcPr>
            <w:tcW w:w="317" w:type="pct"/>
            <w:tcMar>
              <w:top w:w="85" w:type="dxa"/>
              <w:left w:w="28" w:type="dxa"/>
              <w:bottom w:w="85" w:type="dxa"/>
              <w:right w:w="28" w:type="dxa"/>
            </w:tcMar>
            <w:vAlign w:val="center"/>
          </w:tcPr>
          <w:p w14:paraId="12EE3081"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6</w:t>
            </w:r>
          </w:p>
        </w:tc>
        <w:tc>
          <w:tcPr>
            <w:tcW w:w="317" w:type="pct"/>
            <w:tcMar>
              <w:top w:w="85" w:type="dxa"/>
              <w:left w:w="28" w:type="dxa"/>
              <w:bottom w:w="85" w:type="dxa"/>
              <w:right w:w="28" w:type="dxa"/>
            </w:tcMar>
            <w:vAlign w:val="center"/>
          </w:tcPr>
          <w:p w14:paraId="56C78AB2"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9</w:t>
            </w:r>
          </w:p>
        </w:tc>
        <w:tc>
          <w:tcPr>
            <w:tcW w:w="317" w:type="pct"/>
            <w:tcMar>
              <w:top w:w="85" w:type="dxa"/>
              <w:left w:w="28" w:type="dxa"/>
              <w:bottom w:w="85" w:type="dxa"/>
              <w:right w:w="28" w:type="dxa"/>
            </w:tcMar>
            <w:vAlign w:val="center"/>
          </w:tcPr>
          <w:p w14:paraId="4020B398"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12</w:t>
            </w:r>
          </w:p>
        </w:tc>
        <w:tc>
          <w:tcPr>
            <w:tcW w:w="317" w:type="pct"/>
            <w:tcMar>
              <w:top w:w="85" w:type="dxa"/>
              <w:left w:w="28" w:type="dxa"/>
              <w:bottom w:w="85" w:type="dxa"/>
              <w:right w:w="28" w:type="dxa"/>
            </w:tcMar>
            <w:vAlign w:val="center"/>
          </w:tcPr>
          <w:p w14:paraId="41969B65"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15</w:t>
            </w:r>
          </w:p>
        </w:tc>
        <w:tc>
          <w:tcPr>
            <w:tcW w:w="317" w:type="pct"/>
            <w:tcMar>
              <w:top w:w="85" w:type="dxa"/>
              <w:left w:w="28" w:type="dxa"/>
              <w:bottom w:w="85" w:type="dxa"/>
              <w:right w:w="28" w:type="dxa"/>
            </w:tcMar>
            <w:vAlign w:val="center"/>
          </w:tcPr>
          <w:p w14:paraId="49D44EFA"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20</w:t>
            </w:r>
          </w:p>
        </w:tc>
        <w:tc>
          <w:tcPr>
            <w:tcW w:w="317" w:type="pct"/>
            <w:tcMar>
              <w:top w:w="85" w:type="dxa"/>
              <w:left w:w="28" w:type="dxa"/>
              <w:bottom w:w="85" w:type="dxa"/>
              <w:right w:w="28" w:type="dxa"/>
            </w:tcMar>
            <w:vAlign w:val="center"/>
          </w:tcPr>
          <w:p w14:paraId="70E6AC20"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30</w:t>
            </w:r>
          </w:p>
        </w:tc>
        <w:tc>
          <w:tcPr>
            <w:tcW w:w="317" w:type="pct"/>
            <w:tcMar>
              <w:top w:w="85" w:type="dxa"/>
              <w:left w:w="28" w:type="dxa"/>
              <w:bottom w:w="85" w:type="dxa"/>
              <w:right w:w="28" w:type="dxa"/>
            </w:tcMar>
            <w:vAlign w:val="center"/>
          </w:tcPr>
          <w:p w14:paraId="5C6649A0"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45</w:t>
            </w:r>
          </w:p>
        </w:tc>
        <w:tc>
          <w:tcPr>
            <w:tcW w:w="315" w:type="pct"/>
            <w:tcMar>
              <w:top w:w="85" w:type="dxa"/>
              <w:left w:w="28" w:type="dxa"/>
              <w:bottom w:w="85" w:type="dxa"/>
              <w:right w:w="28" w:type="dxa"/>
            </w:tcMar>
            <w:vAlign w:val="center"/>
          </w:tcPr>
          <w:p w14:paraId="5B235EA8"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b/>
                <w:sz w:val="20"/>
              </w:rPr>
            </w:pPr>
            <w:r w:rsidRPr="009E064B">
              <w:rPr>
                <w:rFonts w:asciiTheme="minorHAnsi" w:eastAsia="Calibri" w:hAnsiTheme="minorHAnsi" w:cstheme="minorHAnsi"/>
                <w:b/>
                <w:sz w:val="20"/>
              </w:rPr>
              <w:t>60</w:t>
            </w:r>
          </w:p>
        </w:tc>
      </w:tr>
      <w:tr w:rsidR="00AD7102" w:rsidRPr="009E064B" w14:paraId="3DAC9DFD" w14:textId="77777777" w:rsidTr="000B4068">
        <w:trPr>
          <w:jc w:val="right"/>
        </w:trPr>
        <w:tc>
          <w:tcPr>
            <w:tcW w:w="2013" w:type="pct"/>
            <w:shd w:val="clear" w:color="auto" w:fill="auto"/>
            <w:tcMar>
              <w:top w:w="113" w:type="dxa"/>
              <w:left w:w="28" w:type="dxa"/>
              <w:bottom w:w="113" w:type="dxa"/>
              <w:right w:w="28" w:type="dxa"/>
            </w:tcMar>
            <w:vAlign w:val="center"/>
          </w:tcPr>
          <w:p w14:paraId="6D74317F" w14:textId="77777777" w:rsidR="00AD7102" w:rsidRPr="009E064B" w:rsidRDefault="00AD7102" w:rsidP="00966877">
            <w:pPr>
              <w:widowControl/>
              <w:tabs>
                <w:tab w:val="left" w:pos="0"/>
              </w:tabs>
              <w:spacing w:after="0"/>
              <w:ind w:left="57"/>
              <w:jc w:val="left"/>
              <w:rPr>
                <w:rFonts w:asciiTheme="minorHAnsi" w:eastAsia="Calibri" w:hAnsiTheme="minorHAnsi" w:cstheme="minorHAnsi"/>
                <w:sz w:val="20"/>
              </w:rPr>
            </w:pPr>
            <w:r w:rsidRPr="009E064B">
              <w:rPr>
                <w:rFonts w:asciiTheme="minorHAnsi" w:eastAsia="Calibri" w:hAnsiTheme="minorHAnsi" w:cstheme="minorHAnsi"/>
                <w:sz w:val="20"/>
              </w:rPr>
              <w:t>Akceptowalna wysokość nierówność powierzchni (cm)</w:t>
            </w:r>
          </w:p>
        </w:tc>
        <w:tc>
          <w:tcPr>
            <w:tcW w:w="452" w:type="pct"/>
            <w:tcMar>
              <w:top w:w="113" w:type="dxa"/>
              <w:left w:w="28" w:type="dxa"/>
              <w:bottom w:w="113" w:type="dxa"/>
              <w:right w:w="28" w:type="dxa"/>
            </w:tcMar>
            <w:vAlign w:val="center"/>
          </w:tcPr>
          <w:p w14:paraId="1D9BBFE9"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2.9</w:t>
            </w:r>
          </w:p>
        </w:tc>
        <w:tc>
          <w:tcPr>
            <w:tcW w:w="317" w:type="pct"/>
            <w:tcMar>
              <w:top w:w="113" w:type="dxa"/>
              <w:left w:w="28" w:type="dxa"/>
              <w:bottom w:w="113" w:type="dxa"/>
              <w:right w:w="28" w:type="dxa"/>
            </w:tcMar>
            <w:vAlign w:val="center"/>
          </w:tcPr>
          <w:p w14:paraId="7B1E2156"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3.8</w:t>
            </w:r>
          </w:p>
        </w:tc>
        <w:tc>
          <w:tcPr>
            <w:tcW w:w="317" w:type="pct"/>
            <w:tcMar>
              <w:top w:w="113" w:type="dxa"/>
              <w:left w:w="28" w:type="dxa"/>
              <w:bottom w:w="113" w:type="dxa"/>
              <w:right w:w="28" w:type="dxa"/>
            </w:tcMar>
            <w:vAlign w:val="center"/>
          </w:tcPr>
          <w:p w14:paraId="4DF1DC53"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4.5</w:t>
            </w:r>
          </w:p>
        </w:tc>
        <w:tc>
          <w:tcPr>
            <w:tcW w:w="317" w:type="pct"/>
            <w:tcMar>
              <w:top w:w="113" w:type="dxa"/>
              <w:left w:w="28" w:type="dxa"/>
              <w:bottom w:w="113" w:type="dxa"/>
              <w:right w:w="28" w:type="dxa"/>
            </w:tcMar>
            <w:vAlign w:val="center"/>
          </w:tcPr>
          <w:p w14:paraId="529E2E33"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5</w:t>
            </w:r>
          </w:p>
        </w:tc>
        <w:tc>
          <w:tcPr>
            <w:tcW w:w="317" w:type="pct"/>
            <w:tcMar>
              <w:top w:w="113" w:type="dxa"/>
              <w:left w:w="28" w:type="dxa"/>
              <w:bottom w:w="113" w:type="dxa"/>
              <w:right w:w="28" w:type="dxa"/>
            </w:tcMar>
            <w:vAlign w:val="center"/>
          </w:tcPr>
          <w:p w14:paraId="195F3066"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5.4</w:t>
            </w:r>
          </w:p>
        </w:tc>
        <w:tc>
          <w:tcPr>
            <w:tcW w:w="317" w:type="pct"/>
            <w:tcMar>
              <w:top w:w="113" w:type="dxa"/>
              <w:left w:w="28" w:type="dxa"/>
              <w:bottom w:w="113" w:type="dxa"/>
              <w:right w:w="28" w:type="dxa"/>
            </w:tcMar>
            <w:vAlign w:val="center"/>
          </w:tcPr>
          <w:p w14:paraId="73D072AC"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5.9</w:t>
            </w:r>
          </w:p>
        </w:tc>
        <w:tc>
          <w:tcPr>
            <w:tcW w:w="317" w:type="pct"/>
            <w:tcMar>
              <w:top w:w="113" w:type="dxa"/>
              <w:left w:w="28" w:type="dxa"/>
              <w:bottom w:w="113" w:type="dxa"/>
              <w:right w:w="28" w:type="dxa"/>
            </w:tcMar>
            <w:vAlign w:val="center"/>
          </w:tcPr>
          <w:p w14:paraId="1ECC247A"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6.5</w:t>
            </w:r>
          </w:p>
        </w:tc>
        <w:tc>
          <w:tcPr>
            <w:tcW w:w="317" w:type="pct"/>
            <w:tcMar>
              <w:top w:w="113" w:type="dxa"/>
              <w:left w:w="28" w:type="dxa"/>
              <w:bottom w:w="113" w:type="dxa"/>
              <w:right w:w="28" w:type="dxa"/>
            </w:tcMar>
            <w:vAlign w:val="center"/>
          </w:tcPr>
          <w:p w14:paraId="18A016B1"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8,5</w:t>
            </w:r>
          </w:p>
        </w:tc>
        <w:tc>
          <w:tcPr>
            <w:tcW w:w="315" w:type="pct"/>
            <w:tcMar>
              <w:top w:w="113" w:type="dxa"/>
              <w:left w:w="28" w:type="dxa"/>
              <w:bottom w:w="113" w:type="dxa"/>
              <w:right w:w="28" w:type="dxa"/>
            </w:tcMar>
            <w:vAlign w:val="center"/>
          </w:tcPr>
          <w:p w14:paraId="50934AE2"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10</w:t>
            </w:r>
          </w:p>
        </w:tc>
      </w:tr>
      <w:tr w:rsidR="00AD7102" w:rsidRPr="009E064B" w14:paraId="32B84CF0" w14:textId="77777777" w:rsidTr="000B4068">
        <w:trPr>
          <w:jc w:val="right"/>
        </w:trPr>
        <w:tc>
          <w:tcPr>
            <w:tcW w:w="2013" w:type="pct"/>
            <w:shd w:val="clear" w:color="auto" w:fill="auto"/>
            <w:tcMar>
              <w:top w:w="113" w:type="dxa"/>
              <w:left w:w="28" w:type="dxa"/>
              <w:bottom w:w="113" w:type="dxa"/>
              <w:right w:w="28" w:type="dxa"/>
            </w:tcMar>
            <w:vAlign w:val="center"/>
          </w:tcPr>
          <w:p w14:paraId="2235BD3E" w14:textId="77777777" w:rsidR="00AD7102" w:rsidRPr="009E064B" w:rsidRDefault="00AD7102" w:rsidP="00966877">
            <w:pPr>
              <w:widowControl/>
              <w:tabs>
                <w:tab w:val="left" w:pos="0"/>
              </w:tabs>
              <w:spacing w:after="0"/>
              <w:ind w:left="57"/>
              <w:jc w:val="left"/>
              <w:rPr>
                <w:rFonts w:asciiTheme="minorHAnsi" w:eastAsia="Calibri" w:hAnsiTheme="minorHAnsi" w:cstheme="minorHAnsi"/>
                <w:sz w:val="20"/>
              </w:rPr>
            </w:pPr>
            <w:r w:rsidRPr="009E064B">
              <w:rPr>
                <w:rFonts w:asciiTheme="minorHAnsi" w:eastAsia="Calibri" w:hAnsiTheme="minorHAnsi" w:cstheme="minorHAnsi"/>
                <w:sz w:val="20"/>
              </w:rPr>
              <w:t>Dopuszczalna wysokość nierówności powierzchni (cm)</w:t>
            </w:r>
          </w:p>
        </w:tc>
        <w:tc>
          <w:tcPr>
            <w:tcW w:w="452" w:type="pct"/>
            <w:tcMar>
              <w:top w:w="113" w:type="dxa"/>
              <w:left w:w="28" w:type="dxa"/>
              <w:bottom w:w="113" w:type="dxa"/>
              <w:right w:w="28" w:type="dxa"/>
            </w:tcMar>
            <w:vAlign w:val="center"/>
          </w:tcPr>
          <w:p w14:paraId="02A9AE32"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3,9</w:t>
            </w:r>
          </w:p>
        </w:tc>
        <w:tc>
          <w:tcPr>
            <w:tcW w:w="317" w:type="pct"/>
            <w:tcMar>
              <w:top w:w="113" w:type="dxa"/>
              <w:left w:w="28" w:type="dxa"/>
              <w:bottom w:w="113" w:type="dxa"/>
              <w:right w:w="28" w:type="dxa"/>
            </w:tcMar>
            <w:vAlign w:val="center"/>
          </w:tcPr>
          <w:p w14:paraId="428C7042"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5.5</w:t>
            </w:r>
          </w:p>
        </w:tc>
        <w:tc>
          <w:tcPr>
            <w:tcW w:w="317" w:type="pct"/>
            <w:tcMar>
              <w:top w:w="113" w:type="dxa"/>
              <w:left w:w="28" w:type="dxa"/>
              <w:bottom w:w="113" w:type="dxa"/>
              <w:right w:w="28" w:type="dxa"/>
            </w:tcMar>
            <w:vAlign w:val="center"/>
          </w:tcPr>
          <w:p w14:paraId="20BB6162"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6.8</w:t>
            </w:r>
          </w:p>
        </w:tc>
        <w:tc>
          <w:tcPr>
            <w:tcW w:w="317" w:type="pct"/>
            <w:tcMar>
              <w:top w:w="113" w:type="dxa"/>
              <w:left w:w="28" w:type="dxa"/>
              <w:bottom w:w="113" w:type="dxa"/>
              <w:right w:w="28" w:type="dxa"/>
            </w:tcMar>
            <w:vAlign w:val="center"/>
          </w:tcPr>
          <w:p w14:paraId="4F93A911"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7.8</w:t>
            </w:r>
          </w:p>
        </w:tc>
        <w:tc>
          <w:tcPr>
            <w:tcW w:w="317" w:type="pct"/>
            <w:tcMar>
              <w:top w:w="113" w:type="dxa"/>
              <w:left w:w="28" w:type="dxa"/>
              <w:bottom w:w="113" w:type="dxa"/>
              <w:right w:w="28" w:type="dxa"/>
            </w:tcMar>
            <w:vAlign w:val="center"/>
          </w:tcPr>
          <w:p w14:paraId="6EC9E16A"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8.6</w:t>
            </w:r>
          </w:p>
        </w:tc>
        <w:tc>
          <w:tcPr>
            <w:tcW w:w="317" w:type="pct"/>
            <w:tcMar>
              <w:top w:w="113" w:type="dxa"/>
              <w:left w:w="28" w:type="dxa"/>
              <w:bottom w:w="113" w:type="dxa"/>
              <w:right w:w="28" w:type="dxa"/>
            </w:tcMar>
            <w:vAlign w:val="center"/>
          </w:tcPr>
          <w:p w14:paraId="51D9A375"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9.6</w:t>
            </w:r>
          </w:p>
        </w:tc>
        <w:tc>
          <w:tcPr>
            <w:tcW w:w="317" w:type="pct"/>
            <w:tcMar>
              <w:top w:w="113" w:type="dxa"/>
              <w:left w:w="28" w:type="dxa"/>
              <w:bottom w:w="113" w:type="dxa"/>
              <w:right w:w="28" w:type="dxa"/>
            </w:tcMar>
            <w:vAlign w:val="center"/>
          </w:tcPr>
          <w:p w14:paraId="25609466"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11</w:t>
            </w:r>
          </w:p>
        </w:tc>
        <w:tc>
          <w:tcPr>
            <w:tcW w:w="317" w:type="pct"/>
            <w:tcMar>
              <w:top w:w="113" w:type="dxa"/>
              <w:left w:w="28" w:type="dxa"/>
              <w:bottom w:w="113" w:type="dxa"/>
              <w:right w:w="28" w:type="dxa"/>
            </w:tcMar>
            <w:vAlign w:val="center"/>
          </w:tcPr>
          <w:p w14:paraId="0529DF2E"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13.6</w:t>
            </w:r>
          </w:p>
        </w:tc>
        <w:tc>
          <w:tcPr>
            <w:tcW w:w="315" w:type="pct"/>
            <w:tcMar>
              <w:top w:w="113" w:type="dxa"/>
              <w:left w:w="28" w:type="dxa"/>
              <w:bottom w:w="113" w:type="dxa"/>
              <w:right w:w="28" w:type="dxa"/>
            </w:tcMar>
            <w:vAlign w:val="center"/>
          </w:tcPr>
          <w:p w14:paraId="32639E2F"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16</w:t>
            </w:r>
          </w:p>
        </w:tc>
      </w:tr>
      <w:tr w:rsidR="00AD7102" w:rsidRPr="009E064B" w14:paraId="1B10B8BD" w14:textId="77777777" w:rsidTr="000B4068">
        <w:trPr>
          <w:jc w:val="right"/>
        </w:trPr>
        <w:tc>
          <w:tcPr>
            <w:tcW w:w="2013" w:type="pct"/>
            <w:shd w:val="clear" w:color="auto" w:fill="auto"/>
            <w:tcMar>
              <w:top w:w="113" w:type="dxa"/>
              <w:left w:w="28" w:type="dxa"/>
              <w:bottom w:w="113" w:type="dxa"/>
              <w:right w:w="28" w:type="dxa"/>
            </w:tcMar>
            <w:vAlign w:val="center"/>
          </w:tcPr>
          <w:p w14:paraId="636C6130" w14:textId="77777777" w:rsidR="00AD7102" w:rsidRPr="009E064B" w:rsidRDefault="00AD7102" w:rsidP="00966877">
            <w:pPr>
              <w:widowControl/>
              <w:tabs>
                <w:tab w:val="left" w:pos="0"/>
              </w:tabs>
              <w:spacing w:after="0"/>
              <w:ind w:left="57"/>
              <w:jc w:val="left"/>
              <w:rPr>
                <w:rFonts w:asciiTheme="minorHAnsi" w:eastAsia="Calibri" w:hAnsiTheme="minorHAnsi" w:cstheme="minorHAnsi"/>
                <w:sz w:val="20"/>
              </w:rPr>
            </w:pPr>
            <w:r w:rsidRPr="009E064B">
              <w:rPr>
                <w:rFonts w:asciiTheme="minorHAnsi" w:eastAsia="Calibri" w:hAnsiTheme="minorHAnsi" w:cstheme="minorHAnsi"/>
                <w:sz w:val="20"/>
              </w:rPr>
              <w:t>Nadmierna wysokość nierówności powierzchni (cm)</w:t>
            </w:r>
          </w:p>
        </w:tc>
        <w:tc>
          <w:tcPr>
            <w:tcW w:w="452" w:type="pct"/>
            <w:tcMar>
              <w:top w:w="113" w:type="dxa"/>
              <w:left w:w="28" w:type="dxa"/>
              <w:bottom w:w="113" w:type="dxa"/>
              <w:right w:w="28" w:type="dxa"/>
            </w:tcMar>
            <w:vAlign w:val="center"/>
          </w:tcPr>
          <w:p w14:paraId="4FD94BA6"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5.8</w:t>
            </w:r>
          </w:p>
        </w:tc>
        <w:tc>
          <w:tcPr>
            <w:tcW w:w="317" w:type="pct"/>
            <w:tcMar>
              <w:top w:w="113" w:type="dxa"/>
              <w:left w:w="28" w:type="dxa"/>
              <w:bottom w:w="113" w:type="dxa"/>
              <w:right w:w="28" w:type="dxa"/>
            </w:tcMar>
            <w:vAlign w:val="center"/>
          </w:tcPr>
          <w:p w14:paraId="5E37F7A5"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7.6</w:t>
            </w:r>
          </w:p>
        </w:tc>
        <w:tc>
          <w:tcPr>
            <w:tcW w:w="317" w:type="pct"/>
            <w:tcMar>
              <w:top w:w="113" w:type="dxa"/>
              <w:left w:w="28" w:type="dxa"/>
              <w:bottom w:w="113" w:type="dxa"/>
              <w:right w:w="28" w:type="dxa"/>
            </w:tcMar>
            <w:vAlign w:val="center"/>
          </w:tcPr>
          <w:p w14:paraId="242454B4"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9.1</w:t>
            </w:r>
          </w:p>
        </w:tc>
        <w:tc>
          <w:tcPr>
            <w:tcW w:w="317" w:type="pct"/>
            <w:tcMar>
              <w:top w:w="113" w:type="dxa"/>
              <w:left w:w="28" w:type="dxa"/>
              <w:bottom w:w="113" w:type="dxa"/>
              <w:right w:w="28" w:type="dxa"/>
            </w:tcMar>
            <w:vAlign w:val="center"/>
          </w:tcPr>
          <w:p w14:paraId="20D2361D"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10</w:t>
            </w:r>
          </w:p>
        </w:tc>
        <w:tc>
          <w:tcPr>
            <w:tcW w:w="317" w:type="pct"/>
            <w:tcMar>
              <w:top w:w="113" w:type="dxa"/>
              <w:left w:w="28" w:type="dxa"/>
              <w:bottom w:w="113" w:type="dxa"/>
              <w:right w:w="28" w:type="dxa"/>
            </w:tcMar>
            <w:vAlign w:val="center"/>
          </w:tcPr>
          <w:p w14:paraId="3B72BD45"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10.8</w:t>
            </w:r>
          </w:p>
        </w:tc>
        <w:tc>
          <w:tcPr>
            <w:tcW w:w="317" w:type="pct"/>
            <w:tcMar>
              <w:top w:w="113" w:type="dxa"/>
              <w:left w:w="28" w:type="dxa"/>
              <w:bottom w:w="113" w:type="dxa"/>
              <w:right w:w="28" w:type="dxa"/>
            </w:tcMar>
            <w:vAlign w:val="center"/>
          </w:tcPr>
          <w:p w14:paraId="3BD3C587"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11.9</w:t>
            </w:r>
          </w:p>
        </w:tc>
        <w:tc>
          <w:tcPr>
            <w:tcW w:w="317" w:type="pct"/>
            <w:tcMar>
              <w:top w:w="113" w:type="dxa"/>
              <w:left w:w="28" w:type="dxa"/>
              <w:bottom w:w="113" w:type="dxa"/>
              <w:right w:w="28" w:type="dxa"/>
            </w:tcMar>
            <w:vAlign w:val="center"/>
          </w:tcPr>
          <w:p w14:paraId="464D8E21"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13.9</w:t>
            </w:r>
          </w:p>
        </w:tc>
        <w:tc>
          <w:tcPr>
            <w:tcW w:w="317" w:type="pct"/>
            <w:tcMar>
              <w:top w:w="113" w:type="dxa"/>
              <w:left w:w="28" w:type="dxa"/>
              <w:bottom w:w="113" w:type="dxa"/>
              <w:right w:w="28" w:type="dxa"/>
            </w:tcMar>
            <w:vAlign w:val="center"/>
          </w:tcPr>
          <w:p w14:paraId="285269C5"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17</w:t>
            </w:r>
          </w:p>
        </w:tc>
        <w:tc>
          <w:tcPr>
            <w:tcW w:w="315" w:type="pct"/>
            <w:tcMar>
              <w:top w:w="113" w:type="dxa"/>
              <w:left w:w="28" w:type="dxa"/>
              <w:bottom w:w="113" w:type="dxa"/>
              <w:right w:w="28" w:type="dxa"/>
            </w:tcMar>
            <w:vAlign w:val="center"/>
          </w:tcPr>
          <w:p w14:paraId="7CB085FA" w14:textId="77777777" w:rsidR="00AD7102" w:rsidRPr="009E064B" w:rsidRDefault="00AD7102" w:rsidP="00966877">
            <w:pPr>
              <w:widowControl/>
              <w:tabs>
                <w:tab w:val="left" w:pos="567"/>
              </w:tabs>
              <w:spacing w:after="0"/>
              <w:ind w:left="567" w:hanging="567"/>
              <w:jc w:val="center"/>
              <w:rPr>
                <w:rFonts w:asciiTheme="minorHAnsi" w:eastAsia="Calibri" w:hAnsiTheme="minorHAnsi" w:cstheme="minorHAnsi"/>
                <w:sz w:val="20"/>
              </w:rPr>
            </w:pPr>
            <w:r w:rsidRPr="009E064B">
              <w:rPr>
                <w:rFonts w:asciiTheme="minorHAnsi" w:eastAsia="Calibri" w:hAnsiTheme="minorHAnsi" w:cstheme="minorHAnsi"/>
                <w:sz w:val="20"/>
              </w:rPr>
              <w:t>20</w:t>
            </w:r>
          </w:p>
        </w:tc>
      </w:tr>
    </w:tbl>
    <w:p w14:paraId="6B8BFA4E" w14:textId="77777777" w:rsidR="00AD7102" w:rsidRPr="007B1601" w:rsidRDefault="00AD7102" w:rsidP="00371A8B">
      <w:pPr>
        <w:widowControl/>
        <w:spacing w:before="240" w:after="240"/>
        <w:jc w:val="center"/>
        <w:rPr>
          <w:rFonts w:asciiTheme="minorHAnsi" w:eastAsia="Calibri" w:hAnsiTheme="minorHAnsi" w:cstheme="minorHAnsi"/>
          <w:b/>
        </w:rPr>
      </w:pPr>
      <w:r w:rsidRPr="007B1601">
        <w:rPr>
          <w:rFonts w:asciiTheme="minorHAnsi" w:eastAsia="Calibri" w:hAnsiTheme="minorHAnsi" w:cstheme="minorHAnsi"/>
          <w:b/>
        </w:rPr>
        <w:t>Tabela 1</w:t>
      </w:r>
    </w:p>
    <w:p w14:paraId="6C2E5464" w14:textId="77777777" w:rsidR="00AD7102" w:rsidRPr="009E064B" w:rsidRDefault="00AD7102"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 xml:space="preserve">(1) </w:t>
      </w:r>
      <w:r w:rsidRPr="009E064B">
        <w:rPr>
          <w:rFonts w:asciiTheme="minorHAnsi" w:eastAsia="Calibri" w:hAnsiTheme="minorHAnsi" w:cstheme="minorHAnsi"/>
        </w:rPr>
        <w:tab/>
        <w:t>Jeśli nierówności powierzchni przekraczają wysokości określone przez krzywą – granicę akceptowanych nierówności, ale są mniejsze od wysokości zdefiniowanych przez granicę dopuszczalnych nierówności na określonej minimalnej akceptowanej długości, wskazanej w danym obszarze dopuszczalnym, to wówczas należy zaplanować czynności naprawcze. Droga startowa może nadal być użytkowana. Obszar ten jest początkiem możliwego dyskomfortu dla pasażera i pilota.</w:t>
      </w:r>
    </w:p>
    <w:p w14:paraId="48687657" w14:textId="21DD0BE1" w:rsidR="00AD7102" w:rsidRPr="009E064B" w:rsidRDefault="00091B8C"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(2)</w:t>
      </w:r>
      <w:r w:rsidR="00AD7102" w:rsidRPr="009E064B">
        <w:rPr>
          <w:rFonts w:asciiTheme="minorHAnsi" w:eastAsia="Calibri" w:hAnsiTheme="minorHAnsi" w:cstheme="minorHAnsi"/>
        </w:rPr>
        <w:tab/>
        <w:t>Jeśli nierówności powierzchni przekraczają wysokość zdefiniowaną przez krzywą – granicę dopuszczalnych nierówności, ale są mniejsze od wysokości zdefiniowanych przez krzywą – granicę nadmiernych nierówności na określonej minimalnej akcep</w:t>
      </w:r>
      <w:r w:rsidR="000E0B48" w:rsidRPr="009E064B">
        <w:rPr>
          <w:rFonts w:asciiTheme="minorHAnsi" w:eastAsia="Calibri" w:hAnsiTheme="minorHAnsi" w:cstheme="minorHAnsi"/>
        </w:rPr>
        <w:t>towanej długości, wskazanej na R</w:t>
      </w:r>
      <w:r w:rsidR="00AD7102" w:rsidRPr="009E064B">
        <w:rPr>
          <w:rFonts w:asciiTheme="minorHAnsi" w:eastAsia="Calibri" w:hAnsiTheme="minorHAnsi" w:cstheme="minorHAnsi"/>
        </w:rPr>
        <w:t>ysunku</w:t>
      </w:r>
      <w:r w:rsidR="000E0B48" w:rsidRPr="009E064B">
        <w:rPr>
          <w:rFonts w:asciiTheme="minorHAnsi" w:eastAsia="Calibri" w:hAnsiTheme="minorHAnsi" w:cstheme="minorHAnsi"/>
        </w:rPr>
        <w:t> </w:t>
      </w:r>
      <w:r w:rsidR="00AD7102" w:rsidRPr="009E064B">
        <w:rPr>
          <w:rFonts w:asciiTheme="minorHAnsi" w:eastAsia="Calibri" w:hAnsiTheme="minorHAnsi" w:cstheme="minorHAnsi"/>
        </w:rPr>
        <w:t>1 przez nadmierny obszar, konieczne jest podjęcie działań naprawczych w celu przywrócenia warunków do obszaru akceptowanego. Droga startowa może być nadal użytkowana, ale powinna zostać naprawiona w rozsądnym terminie. Obszar ten może powodować ryzyko uszkodzenia ko</w:t>
      </w:r>
      <w:r w:rsidR="00966877" w:rsidRPr="009E064B">
        <w:rPr>
          <w:rFonts w:asciiTheme="minorHAnsi" w:eastAsia="Calibri" w:hAnsiTheme="minorHAnsi" w:cstheme="minorHAnsi"/>
        </w:rPr>
        <w:t>nstrukcji statku powietrznego z </w:t>
      </w:r>
      <w:r w:rsidR="00AD7102" w:rsidRPr="009E064B">
        <w:rPr>
          <w:rFonts w:asciiTheme="minorHAnsi" w:eastAsia="Calibri" w:hAnsiTheme="minorHAnsi" w:cstheme="minorHAnsi"/>
        </w:rPr>
        <w:t>powodu pojedynczego zdarzenia lub awarii zmęczeniowej w dłuższym okresie czasu.</w:t>
      </w:r>
    </w:p>
    <w:p w14:paraId="6A90C4BD" w14:textId="059B59A2" w:rsidR="00AD7102" w:rsidRPr="009E064B" w:rsidRDefault="00AD7102" w:rsidP="00B06A9A">
      <w:pPr>
        <w:widowControl/>
        <w:tabs>
          <w:tab w:val="left" w:pos="1134"/>
        </w:tabs>
        <w:ind w:left="1134" w:hanging="567"/>
        <w:rPr>
          <w:rFonts w:asciiTheme="minorHAnsi" w:eastAsia="Calibri" w:hAnsiTheme="minorHAnsi" w:cstheme="minorHAnsi"/>
        </w:rPr>
      </w:pPr>
      <w:r w:rsidRPr="009E064B">
        <w:rPr>
          <w:rFonts w:asciiTheme="minorHAnsi" w:eastAsia="Calibri" w:hAnsiTheme="minorHAnsi" w:cstheme="minorHAnsi"/>
        </w:rPr>
        <w:t>(3)</w:t>
      </w:r>
      <w:r w:rsidRPr="009E064B">
        <w:rPr>
          <w:rFonts w:asciiTheme="minorHAnsi" w:eastAsia="Calibri" w:hAnsiTheme="minorHAnsi" w:cstheme="minorHAnsi"/>
        </w:rPr>
        <w:tab/>
        <w:t>Jeśli nierówności powierzchni przekraczają wysokość wyznaczoną przez krzywą – granicę nadmiernych nierówności na określonej minimalnej dopusz</w:t>
      </w:r>
      <w:r w:rsidR="000E0B48" w:rsidRPr="009E064B">
        <w:rPr>
          <w:rFonts w:asciiTheme="minorHAnsi" w:eastAsia="Calibri" w:hAnsiTheme="minorHAnsi" w:cstheme="minorHAnsi"/>
        </w:rPr>
        <w:t>czalnej długości, wskazanej na Rysunku </w:t>
      </w:r>
      <w:r w:rsidRPr="009E064B">
        <w:rPr>
          <w:rFonts w:asciiTheme="minorHAnsi" w:eastAsia="Calibri" w:hAnsiTheme="minorHAnsi" w:cstheme="minorHAnsi"/>
        </w:rPr>
        <w:t>1 przez niedopuszczalny obszar, wówczas część drogi startowej, w której stwierdzono nierówności, kwalifikuje się do zamknięcia. W celu przywrócenia warunków do obszaru akceptowanego wymagane jest dok</w:t>
      </w:r>
      <w:r w:rsidR="00966877" w:rsidRPr="009E064B">
        <w:rPr>
          <w:rFonts w:asciiTheme="minorHAnsi" w:eastAsia="Calibri" w:hAnsiTheme="minorHAnsi" w:cstheme="minorHAnsi"/>
        </w:rPr>
        <w:t>onanie naprawy, o czym należy w </w:t>
      </w:r>
      <w:r w:rsidRPr="009E064B">
        <w:rPr>
          <w:rFonts w:asciiTheme="minorHAnsi" w:eastAsia="Calibri" w:hAnsiTheme="minorHAnsi" w:cstheme="minorHAnsi"/>
        </w:rPr>
        <w:t>odpowiedni sposób powiadomić operatorów statków powietrznych. Obszar ten stwarza najwyższe ryzyko powstania awarii strukturalnej i należy niezwłocznie podjąć działania naprawcze.</w:t>
      </w:r>
    </w:p>
    <w:p w14:paraId="4ED87E65" w14:textId="56E76170" w:rsidR="00AD7102"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Termin „nierówność powierzchni” jest definiowany tutaj, jako pojedyncze odchylenia wysokości powierzchni, które nie leżą wzdłuż jednolitego nachylenia dane</w:t>
      </w:r>
      <w:r w:rsidR="00966877" w:rsidRPr="009E064B">
        <w:rPr>
          <w:rFonts w:asciiTheme="minorHAnsi" w:eastAsia="Calibri" w:hAnsiTheme="minorHAnsi" w:cstheme="minorHAnsi"/>
        </w:rPr>
        <w:t>go odcinka drogi startowej. Dla </w:t>
      </w:r>
      <w:r w:rsidRPr="009E064B">
        <w:rPr>
          <w:rFonts w:asciiTheme="minorHAnsi" w:eastAsia="Calibri" w:hAnsiTheme="minorHAnsi" w:cstheme="minorHAnsi"/>
        </w:rPr>
        <w:t>celów niniejszego problemu, „odcinek drogi startowej” jest tutaj definiowany, jako segment drogi startowej, na którym na całej długości przeważa nachylenie w górę, w dół, lub powierzchnia płaska. Długość tego odcinka wynosi zazwyczaj od 30 do 60 m, i może być większa, zależnie od profilu podłużnego i stanu nawierzchni.</w:t>
      </w:r>
    </w:p>
    <w:p w14:paraId="6275CC92" w14:textId="7ABDFFB3" w:rsidR="00AD7102"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(c)</w:t>
      </w:r>
      <w:r w:rsidRPr="009E064B">
        <w:rPr>
          <w:rFonts w:asciiTheme="minorHAnsi" w:eastAsia="Calibri" w:hAnsiTheme="minorHAnsi" w:cstheme="minorHAnsi"/>
        </w:rPr>
        <w:tab/>
        <w:t>Maksymalny dopuszczalny wybój typu schodkowego, taki jak ten, który może występować pomiędzy sąsiadującymi płytami, jest po prostu wysokością wyboju odpowiadającą zerowej wartości wyboju w górnym końcu tolerowanego obszaru kryteriów nieró</w:t>
      </w:r>
      <w:r w:rsidR="000E0B48" w:rsidRPr="009E064B">
        <w:rPr>
          <w:rFonts w:asciiTheme="minorHAnsi" w:eastAsia="Calibri" w:hAnsiTheme="minorHAnsi" w:cstheme="minorHAnsi"/>
        </w:rPr>
        <w:t>wności, jak pokazano na Rysunku </w:t>
      </w:r>
      <w:r w:rsidRPr="009E064B">
        <w:rPr>
          <w:rFonts w:asciiTheme="minorHAnsi" w:eastAsia="Calibri" w:hAnsiTheme="minorHAnsi" w:cstheme="minorHAnsi"/>
        </w:rPr>
        <w:t>1.</w:t>
      </w:r>
    </w:p>
    <w:p w14:paraId="5C35DBBF" w14:textId="77777777" w:rsidR="00AD7102"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(d) </w:t>
      </w:r>
      <w:r w:rsidRPr="009E064B">
        <w:rPr>
          <w:rFonts w:asciiTheme="minorHAnsi" w:eastAsia="Calibri" w:hAnsiTheme="minorHAnsi" w:cstheme="minorHAnsi"/>
        </w:rPr>
        <w:tab/>
        <w:t>Deformacja drogi startowej może z czasem prowadzić do możliwości tworzenia się kałuż. Płytkie kałuże o głębokości około 3 mm, szczególnie jeśli są zlokalizowane w miejscach, gdzie mogą występować duże prędkości lądujących samolotów, mogą wywołać poślizg hydrodynamiczny, który dalej może utrzymać się na mokrej nawierzchni już na znacznie cieńszej warstwie wody. Przedmiotem dalszych badań powinno być określenie długości oraz głębokości kałuż powodujących poślizg hydrodynamiczny. Należy oczywiście zapobiegać tworzeniu się kałuż, jeżeli zachodzi obawa, że mogą one zamarznąć.</w:t>
      </w:r>
    </w:p>
    <w:p w14:paraId="193C1F02" w14:textId="067F579F" w:rsidR="00DC6B53"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(e) </w:t>
      </w:r>
      <w:r w:rsidRPr="009E064B">
        <w:rPr>
          <w:rFonts w:asciiTheme="minorHAnsi" w:eastAsia="Calibri" w:hAnsiTheme="minorHAnsi" w:cstheme="minorHAnsi"/>
        </w:rPr>
        <w:tab/>
        <w:t>Makrotekstura i mikrotekstura są brane pod uwagę w celu uzyskania wymaganych charakterystyk tarcia nawierzchni. Zwykle wymaga to jakiejś formy specjalnej obróbki tej nawierzchni.</w:t>
      </w:r>
    </w:p>
    <w:p w14:paraId="1D15C4C0" w14:textId="77777777" w:rsidR="006F2149" w:rsidRPr="009E064B" w:rsidRDefault="006F2149" w:rsidP="006F2149">
      <w:pPr>
        <w:pStyle w:val="Nagwek3"/>
      </w:pPr>
      <w:bookmarkStart w:id="753" w:name="_Toc12532898"/>
      <w:r w:rsidRPr="009E064B">
        <w:t>ADR.OPS.C.015     Pomoce wzrokowe i systemy elektryczne</w:t>
      </w:r>
      <w:bookmarkEnd w:id="753"/>
    </w:p>
    <w:p w14:paraId="6729C99F" w14:textId="142FD6BF" w:rsidR="006F2149" w:rsidRPr="009E064B" w:rsidRDefault="00A80E78" w:rsidP="006F2149">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Rozporządzenie (UE) nr 139/2014</w:t>
      </w:r>
    </w:p>
    <w:p w14:paraId="4928CABA" w14:textId="77777777" w:rsidR="006F2149" w:rsidRPr="009E064B" w:rsidRDefault="006F2149" w:rsidP="006F2149">
      <w:pPr>
        <w:pStyle w:val="Tekstpodstawowy"/>
        <w:ind w:left="0" w:right="-2" w:firstLine="2"/>
        <w:rPr>
          <w:rFonts w:asciiTheme="minorHAnsi" w:hAnsiTheme="minorHAnsi" w:cstheme="minorHAnsi"/>
          <w:sz w:val="22"/>
          <w:szCs w:val="22"/>
        </w:rPr>
      </w:pPr>
      <w:r w:rsidRPr="009E064B">
        <w:rPr>
          <w:rFonts w:asciiTheme="minorHAnsi" w:hAnsiTheme="minorHAnsi" w:cstheme="minorHAnsi"/>
          <w:sz w:val="22"/>
          <w:szCs w:val="22"/>
        </w:rPr>
        <w:t>Operator lotniska ustanawia i zapewnia wdrożenie systemu profilaktycznej i naprawczej obsługi technicznej pomocy wzrokowych i systemów elektrycznych, aby zagwarantować dostępność i niezawodność systemu oświetlenia i oznakowania poziomego oraz spełnienie odpowiednich wymagań.</w:t>
      </w:r>
    </w:p>
    <w:p w14:paraId="3A3B0069" w14:textId="67DBAD8B" w:rsidR="00091B8C" w:rsidRPr="009E064B" w:rsidRDefault="00091B8C" w:rsidP="00034C97">
      <w:pPr>
        <w:pStyle w:val="Tekstpodstawowy"/>
        <w:spacing w:before="240" w:after="0"/>
        <w:ind w:left="0" w:firstLine="0"/>
        <w:jc w:val="right"/>
        <w:rPr>
          <w:rFonts w:asciiTheme="minorHAnsi" w:eastAsia="Calibri" w:hAnsiTheme="minorHAnsi" w:cstheme="minorHAnsi"/>
          <w:sz w:val="22"/>
          <w:szCs w:val="22"/>
        </w:rPr>
      </w:pPr>
      <w:r w:rsidRPr="009E064B">
        <w:rPr>
          <w:rFonts w:eastAsia="Calibri"/>
          <w:noProof/>
          <w:lang w:eastAsia="pl-PL"/>
        </w:rPr>
        <w:drawing>
          <wp:inline distT="0" distB="0" distL="0" distR="0" wp14:anchorId="4E6334CE" wp14:editId="4DD076BE">
            <wp:extent cx="5759450" cy="4846914"/>
            <wp:effectExtent l="0" t="0" r="0" b="0"/>
            <wp:docPr id="1395" name="Obraz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9450" cy="4846914"/>
                    </a:xfrm>
                    <a:prstGeom prst="rect">
                      <a:avLst/>
                    </a:prstGeom>
                    <a:noFill/>
                    <a:ln>
                      <a:noFill/>
                    </a:ln>
                  </pic:spPr>
                </pic:pic>
              </a:graphicData>
            </a:graphic>
          </wp:inline>
        </w:drawing>
      </w:r>
    </w:p>
    <w:p w14:paraId="2533F260" w14:textId="6CCAD23E" w:rsidR="00AD7102" w:rsidRPr="007B1601" w:rsidRDefault="00AD7102" w:rsidP="007B1601">
      <w:pPr>
        <w:pStyle w:val="Tekstpodstawowy"/>
        <w:spacing w:before="120" w:after="0"/>
        <w:ind w:left="0" w:firstLine="0"/>
        <w:jc w:val="center"/>
        <w:rPr>
          <w:rFonts w:asciiTheme="minorHAnsi" w:eastAsia="Calibri" w:hAnsiTheme="minorHAnsi" w:cstheme="minorHAnsi"/>
          <w:b/>
          <w:sz w:val="22"/>
          <w:szCs w:val="22"/>
        </w:rPr>
      </w:pPr>
      <w:r w:rsidRPr="007B1601">
        <w:rPr>
          <w:rFonts w:asciiTheme="minorHAnsi" w:eastAsia="Calibri" w:hAnsiTheme="minorHAnsi" w:cstheme="minorHAnsi"/>
          <w:b/>
          <w:sz w:val="22"/>
          <w:szCs w:val="22"/>
        </w:rPr>
        <w:t>Rysunek 1</w:t>
      </w:r>
    </w:p>
    <w:p w14:paraId="3BF095ED" w14:textId="77777777" w:rsidR="00DC6B53" w:rsidRPr="009E064B" w:rsidRDefault="00DC6B53" w:rsidP="00DC6B53">
      <w:pPr>
        <w:pStyle w:val="Tekstpodstawowy"/>
        <w:spacing w:after="0"/>
        <w:ind w:left="0" w:firstLine="0"/>
        <w:rPr>
          <w:rFonts w:asciiTheme="minorHAnsi" w:eastAsia="Calibri" w:hAnsiTheme="minorHAnsi" w:cstheme="minorHAnsi"/>
          <w:sz w:val="22"/>
          <w:szCs w:val="22"/>
        </w:rPr>
      </w:pPr>
    </w:p>
    <w:p w14:paraId="7C0418C9" w14:textId="11669460" w:rsidR="00AD7102" w:rsidRPr="009E064B" w:rsidRDefault="00A514F3" w:rsidP="00133B99">
      <w:pPr>
        <w:pStyle w:val="Nagwek5"/>
      </w:pPr>
      <w:bookmarkStart w:id="754" w:name="_Toc415056404"/>
      <w:bookmarkStart w:id="755" w:name="_Toc492024775"/>
      <w:bookmarkStart w:id="756" w:name="_Toc12532899"/>
      <w:r w:rsidRPr="009E064B">
        <w:t xml:space="preserve">AMC1 ADR.OPS.C.015     </w:t>
      </w:r>
      <w:r w:rsidR="00AD7102" w:rsidRPr="009E064B">
        <w:t>Pomoce wzrokowe i systemy elektryczne</w:t>
      </w:r>
      <w:bookmarkEnd w:id="754"/>
      <w:bookmarkEnd w:id="755"/>
      <w:bookmarkEnd w:id="756"/>
    </w:p>
    <w:p w14:paraId="4437C371" w14:textId="5FBFF3F2" w:rsidR="00EC182D" w:rsidRPr="009E064B" w:rsidRDefault="00D63D4F" w:rsidP="00B06A9A">
      <w:pPr>
        <w:pStyle w:val="Tekstpodstawowy"/>
        <w:spacing w:after="80"/>
        <w:ind w:left="23" w:firstLine="0"/>
        <w:jc w:val="right"/>
        <w:rPr>
          <w:rFonts w:asciiTheme="minorHAnsi" w:hAnsiTheme="minorHAnsi" w:cstheme="minorHAnsi"/>
          <w:i/>
          <w:sz w:val="16"/>
          <w:szCs w:val="20"/>
        </w:rPr>
      </w:pPr>
      <w:r w:rsidRPr="009E064B">
        <w:rPr>
          <w:rFonts w:asciiTheme="minorHAnsi" w:hAnsiTheme="minorHAnsi" w:cstheme="minorHAnsi"/>
          <w:i/>
          <w:sz w:val="16"/>
          <w:szCs w:val="20"/>
        </w:rPr>
        <w:t>Decyzja ED 2014/012/R</w:t>
      </w:r>
    </w:p>
    <w:p w14:paraId="2A519999" w14:textId="0897BEAD" w:rsidR="00AD7102" w:rsidRPr="009E064B" w:rsidRDefault="009B0A08" w:rsidP="00B06A9A">
      <w:pPr>
        <w:widowControl/>
        <w:rPr>
          <w:rFonts w:asciiTheme="minorHAnsi" w:eastAsia="Calibri" w:hAnsiTheme="minorHAnsi" w:cstheme="minorHAnsi"/>
        </w:rPr>
      </w:pPr>
      <w:r w:rsidRPr="009E064B">
        <w:rPr>
          <w:rFonts w:asciiTheme="minorHAnsi" w:eastAsia="Calibri" w:hAnsiTheme="minorHAnsi" w:cstheme="minorHAnsi"/>
        </w:rPr>
        <w:t>WYMAGANIA OGÓLNE</w:t>
      </w:r>
    </w:p>
    <w:p w14:paraId="177E4A5E" w14:textId="77777777" w:rsidR="00AD7102"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(a) </w:t>
      </w:r>
      <w:r w:rsidRPr="009E064B">
        <w:rPr>
          <w:rFonts w:asciiTheme="minorHAnsi" w:eastAsia="Calibri" w:hAnsiTheme="minorHAnsi" w:cstheme="minorHAnsi"/>
        </w:rPr>
        <w:tab/>
        <w:t>Operator lotniska powinien ustanowić system profilaktycznej i naprawczej obsługi technicznej i utrzymania zapewniający, że światło uważa się za niesprawne, jeżeli średnia intensywność jego głównej wiązki jest mniejsza niż 50% wartości określonej w mających zastosowanie specyfikacjach certyfikacyjnych. Dla jednostek świetlnych, których średnia intensywność głównej wiązki jest większa niż wartość przedstawiona w mających zastosowanie specyfikacjach certyfikacyjnych, wartość 50% należy odnieść do tej większej wartości.</w:t>
      </w:r>
    </w:p>
    <w:p w14:paraId="62F7AC12" w14:textId="77777777" w:rsidR="00AD7102" w:rsidRPr="009E064B" w:rsidRDefault="00AD7102" w:rsidP="00B06A9A">
      <w:pPr>
        <w:widowControl/>
        <w:tabs>
          <w:tab w:val="left" w:pos="567"/>
        </w:tabs>
        <w:ind w:left="567" w:hanging="567"/>
        <w:rPr>
          <w:rFonts w:asciiTheme="minorHAnsi" w:eastAsia="Calibri" w:hAnsiTheme="minorHAnsi" w:cstheme="minorHAnsi"/>
        </w:rPr>
      </w:pPr>
      <w:r w:rsidRPr="009E064B">
        <w:rPr>
          <w:rFonts w:asciiTheme="minorHAnsi" w:eastAsia="Calibri" w:hAnsiTheme="minorHAnsi" w:cstheme="minorHAnsi"/>
        </w:rPr>
        <w:t xml:space="preserve">(b) </w:t>
      </w:r>
      <w:r w:rsidRPr="009E064B">
        <w:rPr>
          <w:rFonts w:asciiTheme="minorHAnsi" w:eastAsia="Calibri" w:hAnsiTheme="minorHAnsi" w:cstheme="minorHAnsi"/>
        </w:rPr>
        <w:tab/>
        <w:t xml:space="preserve">Operator lotniska powinien ustanowić system profilaktycznej obsługi technicznej i utrzymania pomocy wzrokowych w celu zapewnienia niezawodnej pracy systemów świetlnych oraz systemu oznakowania. </w:t>
      </w:r>
    </w:p>
    <w:p w14:paraId="57D4E991" w14:textId="77777777" w:rsidR="00AD7102" w:rsidRPr="009E064B" w:rsidRDefault="00AD7102" w:rsidP="00B06A9A">
      <w:pPr>
        <w:widowControl/>
        <w:tabs>
          <w:tab w:val="left" w:pos="567"/>
        </w:tabs>
        <w:spacing w:before="120"/>
        <w:ind w:left="567" w:hanging="567"/>
        <w:rPr>
          <w:rFonts w:asciiTheme="minorHAnsi" w:eastAsia="Calibri" w:hAnsiTheme="minorHAnsi" w:cstheme="minorHAnsi"/>
          <w:sz w:val="18"/>
          <w:szCs w:val="18"/>
        </w:rPr>
      </w:pPr>
    </w:p>
    <w:p w14:paraId="1E114BCD" w14:textId="77777777" w:rsidR="00602D96" w:rsidRPr="009E064B" w:rsidRDefault="00602D96" w:rsidP="00B06A9A">
      <w:pPr>
        <w:widowControl/>
        <w:tabs>
          <w:tab w:val="left" w:pos="567"/>
        </w:tabs>
        <w:spacing w:before="120"/>
        <w:ind w:left="567" w:hanging="567"/>
        <w:rPr>
          <w:rFonts w:asciiTheme="minorHAnsi" w:eastAsia="Calibri" w:hAnsiTheme="minorHAnsi" w:cstheme="minorHAnsi"/>
          <w:sz w:val="18"/>
          <w:szCs w:val="18"/>
        </w:rPr>
        <w:sectPr w:rsidR="00602D96" w:rsidRPr="009E064B" w:rsidSect="00AE1280">
          <w:headerReference w:type="default" r:id="rId99"/>
          <w:headerReference w:type="first" r:id="rId100"/>
          <w:pgSz w:w="11906" w:h="16840" w:code="9"/>
          <w:pgMar w:top="1701" w:right="1418" w:bottom="1418" w:left="1418" w:header="567" w:footer="454" w:gutter="0"/>
          <w:cols w:space="708"/>
          <w:titlePg/>
        </w:sectPr>
      </w:pPr>
    </w:p>
    <w:p w14:paraId="1895AF12" w14:textId="77777777" w:rsidR="00AD7102" w:rsidRPr="009E064B" w:rsidRDefault="00AD7102" w:rsidP="00B06A9A">
      <w:pPr>
        <w:widowControl/>
        <w:tabs>
          <w:tab w:val="left" w:pos="567"/>
        </w:tabs>
        <w:spacing w:before="120"/>
        <w:ind w:left="567" w:hanging="567"/>
        <w:rPr>
          <w:rFonts w:asciiTheme="minorHAnsi" w:eastAsia="Calibri" w:hAnsiTheme="minorHAnsi" w:cstheme="minorHAnsi"/>
          <w:sz w:val="18"/>
          <w:szCs w:val="18"/>
        </w:rPr>
      </w:pPr>
    </w:p>
    <w:p w14:paraId="3E55A580" w14:textId="1E7BEDD7" w:rsidR="00F46D4B" w:rsidRPr="009E064B" w:rsidRDefault="00F46D4B" w:rsidP="00B06A9A">
      <w:pPr>
        <w:widowControl/>
        <w:tabs>
          <w:tab w:val="left" w:pos="567"/>
        </w:tabs>
        <w:spacing w:before="120"/>
        <w:ind w:left="567" w:hanging="567"/>
        <w:rPr>
          <w:rFonts w:asciiTheme="minorHAnsi" w:eastAsia="Calibri" w:hAnsiTheme="minorHAnsi" w:cstheme="minorHAnsi"/>
          <w:sz w:val="18"/>
          <w:szCs w:val="18"/>
        </w:rPr>
      </w:pPr>
    </w:p>
    <w:p w14:paraId="13601FB5" w14:textId="4C122F28" w:rsidR="00C838DA" w:rsidRPr="009E064B" w:rsidRDefault="00C838DA" w:rsidP="00B06A9A">
      <w:pPr>
        <w:widowControl/>
        <w:tabs>
          <w:tab w:val="left" w:pos="567"/>
        </w:tabs>
        <w:spacing w:before="120"/>
        <w:ind w:left="567" w:hanging="567"/>
        <w:rPr>
          <w:rFonts w:asciiTheme="minorHAnsi" w:eastAsia="Calibri" w:hAnsiTheme="minorHAnsi" w:cstheme="minorHAnsi"/>
          <w:sz w:val="18"/>
          <w:szCs w:val="18"/>
        </w:rPr>
      </w:pPr>
    </w:p>
    <w:p w14:paraId="70A7DF74" w14:textId="7C9003FE" w:rsidR="00C838DA" w:rsidRPr="009E064B" w:rsidRDefault="00C838DA" w:rsidP="00B06A9A">
      <w:pPr>
        <w:widowControl/>
        <w:tabs>
          <w:tab w:val="left" w:pos="567"/>
        </w:tabs>
        <w:spacing w:before="120"/>
        <w:ind w:left="567" w:hanging="567"/>
        <w:rPr>
          <w:rFonts w:asciiTheme="minorHAnsi" w:eastAsia="Calibri" w:hAnsiTheme="minorHAnsi" w:cstheme="minorHAnsi"/>
          <w:sz w:val="18"/>
          <w:szCs w:val="18"/>
        </w:rPr>
      </w:pPr>
    </w:p>
    <w:p w14:paraId="3BF61199" w14:textId="4A45E44F" w:rsidR="00C838DA" w:rsidRDefault="00C838DA" w:rsidP="00B06A9A">
      <w:pPr>
        <w:widowControl/>
        <w:tabs>
          <w:tab w:val="left" w:pos="567"/>
        </w:tabs>
        <w:spacing w:before="120"/>
        <w:ind w:left="567" w:hanging="567"/>
        <w:rPr>
          <w:rFonts w:asciiTheme="minorHAnsi" w:eastAsia="Calibri" w:hAnsiTheme="minorHAnsi" w:cstheme="minorHAnsi"/>
          <w:sz w:val="18"/>
          <w:szCs w:val="18"/>
        </w:rPr>
      </w:pPr>
    </w:p>
    <w:p w14:paraId="765497A4" w14:textId="77777777" w:rsidR="00673989" w:rsidRPr="009E064B" w:rsidRDefault="00673989" w:rsidP="00B06A9A">
      <w:pPr>
        <w:widowControl/>
        <w:tabs>
          <w:tab w:val="left" w:pos="567"/>
        </w:tabs>
        <w:spacing w:before="120"/>
        <w:ind w:left="567" w:hanging="567"/>
        <w:rPr>
          <w:rFonts w:asciiTheme="minorHAnsi" w:eastAsia="Calibri" w:hAnsiTheme="minorHAnsi" w:cstheme="minorHAnsi"/>
          <w:sz w:val="18"/>
          <w:szCs w:val="18"/>
        </w:rPr>
      </w:pPr>
    </w:p>
    <w:p w14:paraId="65DB4517" w14:textId="756A0150" w:rsidR="000B0BDC" w:rsidRPr="009E064B" w:rsidRDefault="000B0BDC" w:rsidP="00B06A9A">
      <w:pPr>
        <w:widowControl/>
        <w:tabs>
          <w:tab w:val="left" w:pos="567"/>
        </w:tabs>
        <w:spacing w:before="120"/>
        <w:ind w:left="567" w:hanging="567"/>
        <w:rPr>
          <w:rFonts w:asciiTheme="minorHAnsi" w:eastAsia="Calibri" w:hAnsiTheme="minorHAnsi" w:cstheme="minorHAnsi"/>
          <w:sz w:val="18"/>
          <w:szCs w:val="18"/>
        </w:rPr>
      </w:pPr>
    </w:p>
    <w:p w14:paraId="7B980BD2" w14:textId="43D39660" w:rsidR="00602D96" w:rsidRPr="009E064B" w:rsidRDefault="00602D96" w:rsidP="00561819">
      <w:pPr>
        <w:pStyle w:val="Nagwek1"/>
      </w:pPr>
      <w:bookmarkStart w:id="757" w:name="_Toc12532900"/>
      <w:r w:rsidRPr="009E064B">
        <w:t>CS-ADR-DSN</w:t>
      </w:r>
      <w:r w:rsidR="00540AEF" w:rsidRPr="009E064B">
        <w:t xml:space="preserve"> — Wydanie </w:t>
      </w:r>
      <w:r w:rsidR="00811559" w:rsidRPr="009E064B">
        <w:t>4</w:t>
      </w:r>
      <w:bookmarkEnd w:id="757"/>
    </w:p>
    <w:p w14:paraId="130A728D" w14:textId="314EF2ED" w:rsidR="00602D96" w:rsidRPr="009E064B" w:rsidRDefault="00602D96" w:rsidP="00B06A9A">
      <w:pPr>
        <w:pStyle w:val="Nagwek11"/>
        <w:ind w:right="-2"/>
        <w:outlineLvl w:val="9"/>
        <w:rPr>
          <w:rFonts w:eastAsiaTheme="minorHAnsi"/>
          <w:b w:val="0"/>
          <w:bCs w:val="0"/>
          <w:sz w:val="22"/>
          <w:szCs w:val="22"/>
        </w:rPr>
      </w:pPr>
    </w:p>
    <w:p w14:paraId="3CCA349B" w14:textId="77777777" w:rsidR="00C838DA" w:rsidRPr="009E064B" w:rsidRDefault="00C838DA" w:rsidP="00B06A9A">
      <w:pPr>
        <w:pStyle w:val="Nagwek11"/>
        <w:ind w:right="-2"/>
        <w:outlineLvl w:val="9"/>
        <w:rPr>
          <w:rFonts w:eastAsiaTheme="minorHAnsi"/>
          <w:b w:val="0"/>
          <w:bCs w:val="0"/>
          <w:sz w:val="22"/>
          <w:szCs w:val="22"/>
        </w:rPr>
      </w:pPr>
    </w:p>
    <w:p w14:paraId="3221F7E4" w14:textId="25FCAE6E" w:rsidR="00F46D4B" w:rsidRPr="009E064B" w:rsidRDefault="002C4CBB" w:rsidP="00C838DA">
      <w:pPr>
        <w:spacing w:line="288" w:lineRule="auto"/>
        <w:jc w:val="center"/>
        <w:rPr>
          <w:b/>
          <w:color w:val="003399"/>
          <w:sz w:val="32"/>
        </w:rPr>
      </w:pPr>
      <w:r w:rsidRPr="009E064B">
        <w:rPr>
          <w:b/>
          <w:color w:val="003399"/>
          <w:sz w:val="48"/>
        </w:rPr>
        <w:t>Specyfikacje C</w:t>
      </w:r>
      <w:r w:rsidR="00F46D4B" w:rsidRPr="009E064B">
        <w:rPr>
          <w:b/>
          <w:color w:val="003399"/>
          <w:sz w:val="48"/>
        </w:rPr>
        <w:t xml:space="preserve">ertyfikacyjne (CS) oraz </w:t>
      </w:r>
      <w:r w:rsidR="00C838DA" w:rsidRPr="009E064B">
        <w:rPr>
          <w:b/>
          <w:color w:val="003399"/>
          <w:sz w:val="48"/>
        </w:rPr>
        <w:br/>
      </w:r>
      <w:r w:rsidR="00F46D4B" w:rsidRPr="009E064B">
        <w:rPr>
          <w:b/>
          <w:color w:val="003399"/>
          <w:sz w:val="48"/>
        </w:rPr>
        <w:t>Materiały Zawierające Wytyczn</w:t>
      </w:r>
      <w:r w:rsidR="00C838DA" w:rsidRPr="009E064B">
        <w:rPr>
          <w:b/>
          <w:color w:val="003399"/>
          <w:sz w:val="48"/>
        </w:rPr>
        <w:t xml:space="preserve">e (GM) </w:t>
      </w:r>
      <w:r w:rsidR="00C838DA" w:rsidRPr="009E064B">
        <w:rPr>
          <w:b/>
          <w:color w:val="003399"/>
          <w:sz w:val="48"/>
        </w:rPr>
        <w:br/>
        <w:t>do Projektowania Lotnisk</w:t>
      </w:r>
    </w:p>
    <w:p w14:paraId="307F1845" w14:textId="5CC7C3D7" w:rsidR="00957AA7" w:rsidRDefault="00957AA7" w:rsidP="00673989">
      <w:pPr>
        <w:rPr>
          <w:b/>
          <w:sz w:val="24"/>
          <w:szCs w:val="24"/>
        </w:rPr>
      </w:pPr>
    </w:p>
    <w:p w14:paraId="76B0E80B" w14:textId="7F538990" w:rsidR="00673989" w:rsidRDefault="00673989" w:rsidP="00673989">
      <w:pPr>
        <w:rPr>
          <w:b/>
          <w:sz w:val="24"/>
          <w:szCs w:val="24"/>
        </w:rPr>
      </w:pPr>
    </w:p>
    <w:p w14:paraId="42D15522" w14:textId="4E78664D" w:rsidR="00673989" w:rsidRDefault="00673989" w:rsidP="00673989">
      <w:pPr>
        <w:rPr>
          <w:b/>
          <w:sz w:val="24"/>
          <w:szCs w:val="24"/>
        </w:rPr>
      </w:pPr>
    </w:p>
    <w:p w14:paraId="7BF9806B" w14:textId="77777777" w:rsidR="00673989" w:rsidRPr="009E064B" w:rsidRDefault="00673989" w:rsidP="00673989">
      <w:pPr>
        <w:rPr>
          <w:b/>
          <w:sz w:val="24"/>
          <w:szCs w:val="24"/>
        </w:rPr>
      </w:pPr>
    </w:p>
    <w:p w14:paraId="3FB4B433" w14:textId="77777777" w:rsidR="00F46D4B" w:rsidRPr="009E064B" w:rsidRDefault="00F46D4B" w:rsidP="00B06A9A">
      <w:pPr>
        <w:pStyle w:val="Nagwek11"/>
        <w:ind w:right="-2"/>
        <w:outlineLvl w:val="9"/>
        <w:rPr>
          <w:rFonts w:asciiTheme="minorHAnsi" w:hAnsiTheme="minorHAnsi" w:cstheme="minorHAnsi"/>
          <w:sz w:val="24"/>
          <w:szCs w:val="22"/>
        </w:rPr>
      </w:pPr>
    </w:p>
    <w:p w14:paraId="5557422C" w14:textId="77777777" w:rsidR="00C838DA" w:rsidRPr="009E064B" w:rsidRDefault="00C838DA" w:rsidP="00B06A9A">
      <w:pPr>
        <w:widowControl/>
        <w:tabs>
          <w:tab w:val="left" w:pos="567"/>
        </w:tabs>
        <w:spacing w:before="120"/>
        <w:ind w:left="567" w:hanging="567"/>
        <w:rPr>
          <w:rFonts w:asciiTheme="minorHAnsi" w:eastAsia="Calibri" w:hAnsiTheme="minorHAnsi" w:cstheme="minorHAnsi"/>
          <w:sz w:val="18"/>
          <w:szCs w:val="18"/>
        </w:rPr>
        <w:sectPr w:rsidR="00C838DA" w:rsidRPr="009E064B" w:rsidSect="00AE1280">
          <w:headerReference w:type="default" r:id="rId101"/>
          <w:headerReference w:type="first" r:id="rId102"/>
          <w:pgSz w:w="11906" w:h="16840" w:code="9"/>
          <w:pgMar w:top="1701" w:right="1418" w:bottom="1418" w:left="1418" w:header="567" w:footer="454" w:gutter="0"/>
          <w:cols w:space="708"/>
          <w:titlePg/>
          <w:docGrid w:linePitch="360"/>
        </w:sectPr>
      </w:pPr>
    </w:p>
    <w:p w14:paraId="1271CC44" w14:textId="1B3B8482" w:rsidR="002C5295" w:rsidRPr="009E064B" w:rsidRDefault="002C5295" w:rsidP="00B06A9A">
      <w:pPr>
        <w:widowControl/>
        <w:tabs>
          <w:tab w:val="left" w:pos="567"/>
        </w:tabs>
        <w:spacing w:before="120"/>
        <w:ind w:left="567" w:hanging="567"/>
        <w:rPr>
          <w:rFonts w:asciiTheme="minorHAnsi" w:eastAsia="Calibri" w:hAnsiTheme="minorHAnsi" w:cstheme="minorHAnsi"/>
          <w:sz w:val="18"/>
          <w:szCs w:val="18"/>
        </w:rPr>
      </w:pPr>
    </w:p>
    <w:p w14:paraId="26BDCD6F" w14:textId="0F1304B5" w:rsidR="0074170C" w:rsidRPr="009E064B" w:rsidRDefault="0074170C" w:rsidP="00D8618B">
      <w:pPr>
        <w:pStyle w:val="Nagwek2"/>
      </w:pPr>
      <w:bookmarkStart w:id="758" w:name="_Toc12532901"/>
      <w:bookmarkStart w:id="759" w:name="_Toc482886522"/>
      <w:r w:rsidRPr="009E064B">
        <w:t>Preambuła</w:t>
      </w:r>
      <w:bookmarkEnd w:id="758"/>
    </w:p>
    <w:p w14:paraId="67A83ACA" w14:textId="77777777" w:rsidR="0074170C" w:rsidRPr="009E064B" w:rsidRDefault="0074170C" w:rsidP="0074170C"/>
    <w:p w14:paraId="582A5323" w14:textId="77777777" w:rsidR="00542C09" w:rsidRPr="009E064B" w:rsidRDefault="00542C09" w:rsidP="00542C09">
      <w:bookmarkStart w:id="760" w:name="_Toc482886523"/>
      <w:bookmarkEnd w:id="759"/>
    </w:p>
    <w:p w14:paraId="58CC07A8" w14:textId="0DE653D2" w:rsidR="009E5D0A" w:rsidRPr="009E064B" w:rsidRDefault="009E5D0A" w:rsidP="009E5D0A">
      <w:pPr>
        <w:jc w:val="center"/>
        <w:rPr>
          <w:b/>
          <w:sz w:val="24"/>
        </w:rPr>
      </w:pPr>
      <w:r w:rsidRPr="009E064B">
        <w:rPr>
          <w:b/>
          <w:sz w:val="24"/>
        </w:rPr>
        <w:t xml:space="preserve">CS-ADR-DSN </w:t>
      </w:r>
      <w:r w:rsidRPr="009E064B">
        <w:rPr>
          <w:rFonts w:cs="Calibri"/>
          <w:b/>
          <w:sz w:val="24"/>
        </w:rPr>
        <w:t>—</w:t>
      </w:r>
      <w:r w:rsidRPr="009E064B">
        <w:rPr>
          <w:b/>
          <w:sz w:val="24"/>
        </w:rPr>
        <w:t xml:space="preserve"> Wydanie 4</w:t>
      </w:r>
    </w:p>
    <w:p w14:paraId="264E9EE9" w14:textId="774E40C9" w:rsidR="009E5D0A" w:rsidRPr="009E064B" w:rsidRDefault="009E5D0A" w:rsidP="009E5D0A">
      <w:pPr>
        <w:jc w:val="center"/>
      </w:pPr>
      <w:r w:rsidRPr="009E064B">
        <w:t>Data wejścia w życie określona jest w Decyzji Dyrektora Wykonawczego EASA nr 2017/021/R</w:t>
      </w:r>
    </w:p>
    <w:p w14:paraId="3133132F" w14:textId="77777777" w:rsidR="009E5D0A" w:rsidRPr="009E064B" w:rsidRDefault="009E5D0A" w:rsidP="009E5D0A">
      <w:pPr>
        <w:spacing w:after="0"/>
      </w:pPr>
    </w:p>
    <w:p w14:paraId="0F73B0F1" w14:textId="211053C8" w:rsidR="009E5D0A" w:rsidRPr="009E064B" w:rsidRDefault="009E5D0A" w:rsidP="00D8618B">
      <w:pPr>
        <w:jc w:val="left"/>
      </w:pPr>
      <w:r w:rsidRPr="009E064B">
        <w:t xml:space="preserve">Zestawienie CS i GM, które zostały zmienione w wydaniu </w:t>
      </w:r>
      <w:r w:rsidR="001563DD" w:rsidRPr="009E064B">
        <w:t>4</w:t>
      </w:r>
      <w:r w:rsidRPr="009E064B">
        <w:t>-</w:t>
      </w:r>
      <w:r w:rsidR="001563DD" w:rsidRPr="009E064B">
        <w:t>tym</w:t>
      </w:r>
      <w:r w:rsidRPr="009E064B">
        <w:t xml:space="preserve"> CS-ADR-DSN:</w:t>
      </w:r>
    </w:p>
    <w:tbl>
      <w:tblPr>
        <w:tblStyle w:val="Tabela-Siatka2"/>
        <w:tblW w:w="5000" w:type="pct"/>
        <w:tblLook w:val="04A0" w:firstRow="1" w:lastRow="0" w:firstColumn="1" w:lastColumn="0" w:noHBand="0" w:noVBand="1"/>
      </w:tblPr>
      <w:tblGrid>
        <w:gridCol w:w="1719"/>
        <w:gridCol w:w="5317"/>
        <w:gridCol w:w="2147"/>
      </w:tblGrid>
      <w:tr w:rsidR="00D8618B" w:rsidRPr="009E064B" w14:paraId="1A043479" w14:textId="77777777" w:rsidTr="00D8618B">
        <w:tc>
          <w:tcPr>
            <w:tcW w:w="936" w:type="pct"/>
            <w:shd w:val="clear" w:color="auto" w:fill="D9D9D9" w:themeFill="background1" w:themeFillShade="D9"/>
            <w:tcMar>
              <w:top w:w="28" w:type="dxa"/>
              <w:left w:w="85" w:type="dxa"/>
              <w:bottom w:w="28" w:type="dxa"/>
              <w:right w:w="28" w:type="dxa"/>
            </w:tcMar>
          </w:tcPr>
          <w:p w14:paraId="3387F9B9" w14:textId="775DD812" w:rsidR="00D8618B" w:rsidRPr="009E064B" w:rsidRDefault="00D8618B" w:rsidP="00D8618B">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Lista skrótów</w:t>
            </w:r>
          </w:p>
        </w:tc>
        <w:tc>
          <w:tcPr>
            <w:tcW w:w="2895" w:type="pct"/>
            <w:shd w:val="clear" w:color="auto" w:fill="D9D9D9" w:themeFill="background1" w:themeFillShade="D9"/>
            <w:tcMar>
              <w:top w:w="28" w:type="dxa"/>
              <w:left w:w="85" w:type="dxa"/>
              <w:bottom w:w="28" w:type="dxa"/>
              <w:right w:w="28" w:type="dxa"/>
            </w:tcMar>
          </w:tcPr>
          <w:p w14:paraId="02840AAC" w14:textId="1104D1FF" w:rsidR="00D8618B" w:rsidRPr="009E064B" w:rsidRDefault="00D8618B" w:rsidP="00D8618B">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Dotyczy</w:t>
            </w:r>
          </w:p>
        </w:tc>
        <w:tc>
          <w:tcPr>
            <w:tcW w:w="1169" w:type="pct"/>
            <w:shd w:val="clear" w:color="auto" w:fill="D9D9D9" w:themeFill="background1" w:themeFillShade="D9"/>
            <w:tcMar>
              <w:top w:w="28" w:type="dxa"/>
              <w:left w:w="85" w:type="dxa"/>
              <w:bottom w:w="28" w:type="dxa"/>
              <w:right w:w="28" w:type="dxa"/>
            </w:tcMar>
          </w:tcPr>
          <w:p w14:paraId="1E9A2182" w14:textId="3B630466" w:rsidR="00D8618B" w:rsidRPr="009E064B" w:rsidRDefault="00D8618B" w:rsidP="00D8618B">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Dodano</w:t>
            </w:r>
          </w:p>
        </w:tc>
      </w:tr>
      <w:tr w:rsidR="00D8618B" w:rsidRPr="009E064B" w14:paraId="64FA11E6" w14:textId="77777777" w:rsidTr="00D8618B">
        <w:tc>
          <w:tcPr>
            <w:tcW w:w="936" w:type="pct"/>
            <w:tcMar>
              <w:top w:w="28" w:type="dxa"/>
              <w:left w:w="85" w:type="dxa"/>
              <w:bottom w:w="28" w:type="dxa"/>
              <w:right w:w="28" w:type="dxa"/>
            </w:tcMar>
          </w:tcPr>
          <w:p w14:paraId="6457D03C"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ADR-DSN.A.002 </w:t>
            </w:r>
          </w:p>
        </w:tc>
        <w:tc>
          <w:tcPr>
            <w:tcW w:w="2895" w:type="pct"/>
            <w:tcMar>
              <w:top w:w="28" w:type="dxa"/>
              <w:left w:w="85" w:type="dxa"/>
              <w:bottom w:w="28" w:type="dxa"/>
              <w:right w:w="28" w:type="dxa"/>
            </w:tcMar>
          </w:tcPr>
          <w:p w14:paraId="17DC80F7"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Definicje</w:t>
            </w:r>
          </w:p>
        </w:tc>
        <w:tc>
          <w:tcPr>
            <w:tcW w:w="1169" w:type="pct"/>
            <w:tcMar>
              <w:top w:w="28" w:type="dxa"/>
              <w:left w:w="85" w:type="dxa"/>
              <w:bottom w:w="28" w:type="dxa"/>
              <w:right w:w="28" w:type="dxa"/>
            </w:tcMar>
          </w:tcPr>
          <w:p w14:paraId="014C3E2E" w14:textId="6188EC6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9B794A4" w14:textId="77777777" w:rsidTr="00D8618B">
        <w:tc>
          <w:tcPr>
            <w:tcW w:w="936" w:type="pct"/>
            <w:tcMar>
              <w:top w:w="28" w:type="dxa"/>
              <w:left w:w="85" w:type="dxa"/>
              <w:bottom w:w="28" w:type="dxa"/>
              <w:right w:w="28" w:type="dxa"/>
            </w:tcMar>
          </w:tcPr>
          <w:p w14:paraId="688D7E51"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ADR-DSN.A.005 </w:t>
            </w:r>
          </w:p>
        </w:tc>
        <w:tc>
          <w:tcPr>
            <w:tcW w:w="2895" w:type="pct"/>
            <w:tcMar>
              <w:top w:w="28" w:type="dxa"/>
              <w:left w:w="85" w:type="dxa"/>
              <w:bottom w:w="28" w:type="dxa"/>
              <w:right w:w="28" w:type="dxa"/>
            </w:tcMar>
          </w:tcPr>
          <w:p w14:paraId="1733E5F6"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Kod referencyjny lotniska</w:t>
            </w:r>
          </w:p>
        </w:tc>
        <w:tc>
          <w:tcPr>
            <w:tcW w:w="1169" w:type="pct"/>
            <w:tcMar>
              <w:top w:w="28" w:type="dxa"/>
              <w:left w:w="85" w:type="dxa"/>
              <w:bottom w:w="28" w:type="dxa"/>
              <w:right w:w="28" w:type="dxa"/>
            </w:tcMar>
          </w:tcPr>
          <w:p w14:paraId="3D09BD7F" w14:textId="6EFBB093"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B63E167" w14:textId="77777777" w:rsidTr="00D8618B">
        <w:tc>
          <w:tcPr>
            <w:tcW w:w="936" w:type="pct"/>
            <w:tcMar>
              <w:top w:w="28" w:type="dxa"/>
              <w:left w:w="85" w:type="dxa"/>
              <w:bottom w:w="28" w:type="dxa"/>
              <w:right w:w="28" w:type="dxa"/>
            </w:tcMar>
          </w:tcPr>
          <w:p w14:paraId="52CE39CF" w14:textId="1BD370F1"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ADR-DSN.B.045 </w:t>
            </w:r>
          </w:p>
        </w:tc>
        <w:tc>
          <w:tcPr>
            <w:tcW w:w="2895" w:type="pct"/>
            <w:tcMar>
              <w:top w:w="28" w:type="dxa"/>
              <w:left w:w="85" w:type="dxa"/>
              <w:bottom w:w="28" w:type="dxa"/>
              <w:right w:w="28" w:type="dxa"/>
            </w:tcMar>
          </w:tcPr>
          <w:p w14:paraId="4C8C990F" w14:textId="06CF5CE4"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dróg startowych</w:t>
            </w:r>
          </w:p>
        </w:tc>
        <w:tc>
          <w:tcPr>
            <w:tcW w:w="1169" w:type="pct"/>
            <w:tcMar>
              <w:top w:w="28" w:type="dxa"/>
              <w:left w:w="85" w:type="dxa"/>
              <w:bottom w:w="28" w:type="dxa"/>
              <w:right w:w="28" w:type="dxa"/>
            </w:tcMar>
          </w:tcPr>
          <w:p w14:paraId="48D8ACA4" w14:textId="41BFFF15"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575FE92" w14:textId="77777777" w:rsidTr="00D8618B">
        <w:tc>
          <w:tcPr>
            <w:tcW w:w="936" w:type="pct"/>
            <w:tcMar>
              <w:top w:w="28" w:type="dxa"/>
              <w:left w:w="85" w:type="dxa"/>
              <w:bottom w:w="28" w:type="dxa"/>
              <w:right w:w="28" w:type="dxa"/>
            </w:tcMar>
          </w:tcPr>
          <w:p w14:paraId="01CAED63" w14:textId="62C680A6"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ADR-DSN.B.095 </w:t>
            </w:r>
          </w:p>
        </w:tc>
        <w:tc>
          <w:tcPr>
            <w:tcW w:w="2895" w:type="pct"/>
            <w:tcMar>
              <w:top w:w="28" w:type="dxa"/>
              <w:left w:w="85" w:type="dxa"/>
              <w:bottom w:w="28" w:type="dxa"/>
              <w:right w:w="28" w:type="dxa"/>
            </w:tcMar>
          </w:tcPr>
          <w:p w14:paraId="61018E95" w14:textId="13C17BFA"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Płaszczyzny do zawracania na drodze startowej</w:t>
            </w:r>
          </w:p>
        </w:tc>
        <w:tc>
          <w:tcPr>
            <w:tcW w:w="1169" w:type="pct"/>
            <w:tcMar>
              <w:top w:w="28" w:type="dxa"/>
              <w:left w:w="85" w:type="dxa"/>
              <w:bottom w:w="28" w:type="dxa"/>
              <w:right w:w="28" w:type="dxa"/>
            </w:tcMar>
          </w:tcPr>
          <w:p w14:paraId="13C7DD00" w14:textId="443AB462"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0A0E690" w14:textId="77777777" w:rsidTr="00D8618B">
        <w:tc>
          <w:tcPr>
            <w:tcW w:w="936" w:type="pct"/>
            <w:shd w:val="clear" w:color="auto" w:fill="auto"/>
            <w:tcMar>
              <w:top w:w="28" w:type="dxa"/>
              <w:left w:w="85" w:type="dxa"/>
              <w:bottom w:w="28" w:type="dxa"/>
              <w:right w:w="28" w:type="dxa"/>
            </w:tcMar>
          </w:tcPr>
          <w:p w14:paraId="4AB4225F" w14:textId="01A1AA35"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ADR-DSN.B.125 </w:t>
            </w:r>
          </w:p>
        </w:tc>
        <w:tc>
          <w:tcPr>
            <w:tcW w:w="2895" w:type="pct"/>
            <w:shd w:val="clear" w:color="auto" w:fill="auto"/>
            <w:tcMar>
              <w:top w:w="28" w:type="dxa"/>
              <w:left w:w="85" w:type="dxa"/>
              <w:bottom w:w="28" w:type="dxa"/>
              <w:right w:w="28" w:type="dxa"/>
            </w:tcMar>
          </w:tcPr>
          <w:p w14:paraId="7B976FBF" w14:textId="66D294C1"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Pobocza drogi startowej</w:t>
            </w:r>
          </w:p>
        </w:tc>
        <w:tc>
          <w:tcPr>
            <w:tcW w:w="1169" w:type="pct"/>
            <w:tcMar>
              <w:top w:w="28" w:type="dxa"/>
              <w:left w:w="85" w:type="dxa"/>
              <w:bottom w:w="28" w:type="dxa"/>
              <w:right w:w="28" w:type="dxa"/>
            </w:tcMar>
          </w:tcPr>
          <w:p w14:paraId="7BA6FF66" w14:textId="504B002D"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1822F74" w14:textId="77777777" w:rsidTr="00D8618B">
        <w:tc>
          <w:tcPr>
            <w:tcW w:w="936" w:type="pct"/>
            <w:shd w:val="clear" w:color="auto" w:fill="auto"/>
            <w:tcMar>
              <w:top w:w="28" w:type="dxa"/>
              <w:left w:w="85" w:type="dxa"/>
              <w:bottom w:w="28" w:type="dxa"/>
              <w:right w:w="28" w:type="dxa"/>
            </w:tcMar>
          </w:tcPr>
          <w:p w14:paraId="166B1292"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ADR-DSN.B.135 </w:t>
            </w:r>
          </w:p>
        </w:tc>
        <w:tc>
          <w:tcPr>
            <w:tcW w:w="2895" w:type="pct"/>
            <w:shd w:val="clear" w:color="auto" w:fill="auto"/>
            <w:tcMar>
              <w:top w:w="28" w:type="dxa"/>
              <w:left w:w="85" w:type="dxa"/>
              <w:bottom w:w="28" w:type="dxa"/>
              <w:right w:w="28" w:type="dxa"/>
            </w:tcMar>
          </w:tcPr>
          <w:p w14:paraId="24B437EB" w14:textId="08821D90"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pobocza</w:t>
            </w:r>
            <w:r w:rsidR="00C10DF0" w:rsidRPr="009E064B">
              <w:rPr>
                <w:rFonts w:asciiTheme="minorHAnsi" w:hAnsiTheme="minorHAnsi" w:cstheme="minorHAnsi"/>
                <w:sz w:val="16"/>
                <w:szCs w:val="16"/>
              </w:rPr>
              <w:t xml:space="preserve"> drogi startowej</w:t>
            </w:r>
          </w:p>
        </w:tc>
        <w:tc>
          <w:tcPr>
            <w:tcW w:w="1169" w:type="pct"/>
            <w:tcMar>
              <w:top w:w="28" w:type="dxa"/>
              <w:left w:w="85" w:type="dxa"/>
              <w:bottom w:w="28" w:type="dxa"/>
              <w:right w:w="28" w:type="dxa"/>
            </w:tcMar>
          </w:tcPr>
          <w:p w14:paraId="30D1F3C9" w14:textId="3BEF84C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6D79A02" w14:textId="77777777" w:rsidTr="00D8618B">
        <w:tc>
          <w:tcPr>
            <w:tcW w:w="936" w:type="pct"/>
            <w:shd w:val="clear" w:color="auto" w:fill="auto"/>
            <w:tcMar>
              <w:top w:w="28" w:type="dxa"/>
              <w:left w:w="85" w:type="dxa"/>
              <w:bottom w:w="28" w:type="dxa"/>
              <w:right w:w="28" w:type="dxa"/>
            </w:tcMar>
          </w:tcPr>
          <w:p w14:paraId="7E1A7007" w14:textId="1F3FBC1A" w:rsidR="008C462F" w:rsidRPr="009E064B" w:rsidRDefault="008C462F" w:rsidP="008C462F">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ADR-DSN.B.140 </w:t>
            </w:r>
          </w:p>
        </w:tc>
        <w:tc>
          <w:tcPr>
            <w:tcW w:w="2895" w:type="pct"/>
            <w:shd w:val="clear" w:color="auto" w:fill="auto"/>
            <w:tcMar>
              <w:top w:w="28" w:type="dxa"/>
              <w:left w:w="85" w:type="dxa"/>
              <w:bottom w:w="28" w:type="dxa"/>
              <w:right w:w="28" w:type="dxa"/>
            </w:tcMar>
          </w:tcPr>
          <w:p w14:paraId="5748C091" w14:textId="19CC7546" w:rsidR="008C462F" w:rsidRPr="009E064B" w:rsidRDefault="008C462F" w:rsidP="008C462F">
            <w:pPr>
              <w:spacing w:after="0"/>
              <w:rPr>
                <w:rFonts w:asciiTheme="minorHAnsi" w:hAnsiTheme="minorHAnsi" w:cstheme="minorHAnsi"/>
                <w:sz w:val="16"/>
                <w:szCs w:val="16"/>
              </w:rPr>
            </w:pPr>
            <w:r w:rsidRPr="009E064B">
              <w:rPr>
                <w:rFonts w:asciiTheme="minorHAnsi" w:hAnsiTheme="minorHAnsi" w:cstheme="minorHAnsi"/>
                <w:sz w:val="16"/>
                <w:szCs w:val="16"/>
              </w:rPr>
              <w:t>Nośność</w:t>
            </w:r>
            <w:r w:rsidR="0051028F" w:rsidRPr="009E064B">
              <w:rPr>
                <w:rFonts w:asciiTheme="minorHAnsi" w:hAnsiTheme="minorHAnsi" w:cstheme="minorHAnsi"/>
                <w:sz w:val="16"/>
                <w:szCs w:val="16"/>
              </w:rPr>
              <w:t xml:space="preserve"> poboczy</w:t>
            </w:r>
            <w:r w:rsidRPr="009E064B">
              <w:rPr>
                <w:rFonts w:asciiTheme="minorHAnsi" w:hAnsiTheme="minorHAnsi" w:cstheme="minorHAnsi"/>
                <w:sz w:val="16"/>
                <w:szCs w:val="16"/>
              </w:rPr>
              <w:t xml:space="preserve"> drogi startowej</w:t>
            </w:r>
          </w:p>
        </w:tc>
        <w:tc>
          <w:tcPr>
            <w:tcW w:w="1169" w:type="pct"/>
            <w:tcMar>
              <w:top w:w="28" w:type="dxa"/>
              <w:left w:w="85" w:type="dxa"/>
              <w:bottom w:w="28" w:type="dxa"/>
              <w:right w:w="28" w:type="dxa"/>
            </w:tcMar>
          </w:tcPr>
          <w:p w14:paraId="1D10569E" w14:textId="77777777" w:rsidR="008C462F" w:rsidRPr="009E064B" w:rsidRDefault="008C462F" w:rsidP="008C462F">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2FE6395" w14:textId="77777777" w:rsidTr="00D8618B">
        <w:tc>
          <w:tcPr>
            <w:tcW w:w="936" w:type="pct"/>
            <w:tcMar>
              <w:top w:w="28" w:type="dxa"/>
              <w:left w:w="85" w:type="dxa"/>
              <w:bottom w:w="28" w:type="dxa"/>
              <w:right w:w="28" w:type="dxa"/>
            </w:tcMar>
          </w:tcPr>
          <w:p w14:paraId="7A6328EA" w14:textId="0D5EC3CB"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ADR-DSN.B.145 </w:t>
            </w:r>
          </w:p>
        </w:tc>
        <w:tc>
          <w:tcPr>
            <w:tcW w:w="2895" w:type="pct"/>
            <w:tcMar>
              <w:top w:w="28" w:type="dxa"/>
              <w:left w:w="85" w:type="dxa"/>
              <w:bottom w:w="28" w:type="dxa"/>
              <w:right w:w="28" w:type="dxa"/>
            </w:tcMar>
          </w:tcPr>
          <w:p w14:paraId="4925868E" w14:textId="06B782C1" w:rsidR="009E5D0A" w:rsidRPr="009E064B" w:rsidRDefault="0051028F"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poboczy</w:t>
            </w:r>
            <w:r w:rsidR="005B61C5" w:rsidRPr="009E064B">
              <w:rPr>
                <w:rFonts w:asciiTheme="minorHAnsi" w:hAnsiTheme="minorHAnsi" w:cstheme="minorHAnsi"/>
                <w:sz w:val="16"/>
                <w:szCs w:val="16"/>
              </w:rPr>
              <w:t xml:space="preserve"> drogi startowej</w:t>
            </w:r>
          </w:p>
        </w:tc>
        <w:tc>
          <w:tcPr>
            <w:tcW w:w="1169" w:type="pct"/>
            <w:tcMar>
              <w:top w:w="28" w:type="dxa"/>
              <w:left w:w="85" w:type="dxa"/>
              <w:bottom w:w="28" w:type="dxa"/>
              <w:right w:w="28" w:type="dxa"/>
            </w:tcMar>
          </w:tcPr>
          <w:p w14:paraId="3FA7CA08" w14:textId="3F00C44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45E37A6" w14:textId="77777777" w:rsidTr="00D8618B">
        <w:tc>
          <w:tcPr>
            <w:tcW w:w="936" w:type="pct"/>
            <w:tcMar>
              <w:top w:w="28" w:type="dxa"/>
              <w:left w:w="85" w:type="dxa"/>
              <w:bottom w:w="28" w:type="dxa"/>
              <w:right w:w="28" w:type="dxa"/>
            </w:tcMar>
          </w:tcPr>
          <w:p w14:paraId="143F1A55" w14:textId="378FF7CF"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ADR-DSN.B.150</w:t>
            </w:r>
          </w:p>
        </w:tc>
        <w:tc>
          <w:tcPr>
            <w:tcW w:w="2895" w:type="pct"/>
            <w:tcMar>
              <w:top w:w="28" w:type="dxa"/>
              <w:left w:w="85" w:type="dxa"/>
              <w:bottom w:w="28" w:type="dxa"/>
              <w:right w:w="28" w:type="dxa"/>
            </w:tcMar>
          </w:tcPr>
          <w:p w14:paraId="53E1E221" w14:textId="2D368829"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Pas drogi startowej, jaki powinien być zapewniony</w:t>
            </w:r>
          </w:p>
        </w:tc>
        <w:tc>
          <w:tcPr>
            <w:tcW w:w="1169" w:type="pct"/>
            <w:tcMar>
              <w:top w:w="28" w:type="dxa"/>
              <w:left w:w="85" w:type="dxa"/>
              <w:bottom w:w="28" w:type="dxa"/>
              <w:right w:w="28" w:type="dxa"/>
            </w:tcMar>
          </w:tcPr>
          <w:p w14:paraId="1BACEF1F" w14:textId="31971FB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0D4D2BF" w14:textId="77777777" w:rsidTr="00D8618B">
        <w:tc>
          <w:tcPr>
            <w:tcW w:w="936" w:type="pct"/>
            <w:tcMar>
              <w:top w:w="28" w:type="dxa"/>
              <w:left w:w="85" w:type="dxa"/>
              <w:bottom w:w="28" w:type="dxa"/>
              <w:right w:w="28" w:type="dxa"/>
            </w:tcMar>
          </w:tcPr>
          <w:p w14:paraId="3D89CEC5" w14:textId="30601B8F"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ADR-DSN.B.160 </w:t>
            </w:r>
          </w:p>
        </w:tc>
        <w:tc>
          <w:tcPr>
            <w:tcW w:w="2895" w:type="pct"/>
            <w:tcMar>
              <w:top w:w="28" w:type="dxa"/>
              <w:left w:w="85" w:type="dxa"/>
              <w:bottom w:w="28" w:type="dxa"/>
              <w:right w:w="28" w:type="dxa"/>
            </w:tcMar>
          </w:tcPr>
          <w:p w14:paraId="6ACE31E2" w14:textId="66C8F5B7"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pasa drogi startowej</w:t>
            </w:r>
          </w:p>
        </w:tc>
        <w:tc>
          <w:tcPr>
            <w:tcW w:w="1169" w:type="pct"/>
            <w:tcMar>
              <w:top w:w="28" w:type="dxa"/>
              <w:left w:w="85" w:type="dxa"/>
              <w:bottom w:w="28" w:type="dxa"/>
              <w:right w:w="28" w:type="dxa"/>
            </w:tcMar>
          </w:tcPr>
          <w:p w14:paraId="035C8E89" w14:textId="48E7E88B"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32344F83" w14:textId="77777777" w:rsidTr="00D8618B">
        <w:tc>
          <w:tcPr>
            <w:tcW w:w="936" w:type="pct"/>
            <w:tcMar>
              <w:top w:w="28" w:type="dxa"/>
              <w:left w:w="85" w:type="dxa"/>
              <w:bottom w:w="28" w:type="dxa"/>
              <w:right w:w="28" w:type="dxa"/>
            </w:tcMar>
          </w:tcPr>
          <w:p w14:paraId="4FA5ACF9" w14:textId="453DEA50"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ADR-DSN.B.175</w:t>
            </w:r>
          </w:p>
        </w:tc>
        <w:tc>
          <w:tcPr>
            <w:tcW w:w="2895" w:type="pct"/>
            <w:tcMar>
              <w:top w:w="28" w:type="dxa"/>
              <w:left w:w="85" w:type="dxa"/>
              <w:bottom w:w="28" w:type="dxa"/>
              <w:right w:w="28" w:type="dxa"/>
            </w:tcMar>
          </w:tcPr>
          <w:p w14:paraId="21E9A027" w14:textId="0702764C"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Wyrównanie pasa drogi startowej</w:t>
            </w:r>
          </w:p>
        </w:tc>
        <w:tc>
          <w:tcPr>
            <w:tcW w:w="1169" w:type="pct"/>
            <w:tcMar>
              <w:top w:w="28" w:type="dxa"/>
              <w:left w:w="85" w:type="dxa"/>
              <w:bottom w:w="28" w:type="dxa"/>
              <w:right w:w="28" w:type="dxa"/>
            </w:tcMar>
          </w:tcPr>
          <w:p w14:paraId="1AB1CDE3" w14:textId="0164918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B987900" w14:textId="77777777" w:rsidTr="00D8618B">
        <w:tc>
          <w:tcPr>
            <w:tcW w:w="936" w:type="pct"/>
            <w:tcMar>
              <w:top w:w="28" w:type="dxa"/>
              <w:left w:w="85" w:type="dxa"/>
              <w:bottom w:w="28" w:type="dxa"/>
              <w:right w:w="28" w:type="dxa"/>
            </w:tcMar>
          </w:tcPr>
          <w:p w14:paraId="1BDB2A76" w14:textId="71D3D69A"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ADR-DSN.D.240</w:t>
            </w:r>
          </w:p>
        </w:tc>
        <w:tc>
          <w:tcPr>
            <w:tcW w:w="2895" w:type="pct"/>
            <w:tcMar>
              <w:top w:w="28" w:type="dxa"/>
              <w:left w:w="85" w:type="dxa"/>
              <w:bottom w:w="28" w:type="dxa"/>
              <w:right w:w="28" w:type="dxa"/>
            </w:tcMar>
          </w:tcPr>
          <w:p w14:paraId="41F8AA7D" w14:textId="3CA78BB0"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Drogi kołowania – </w:t>
            </w:r>
            <w:r w:rsidR="009B0A08" w:rsidRPr="009E064B">
              <w:rPr>
                <w:rFonts w:asciiTheme="minorHAnsi" w:hAnsiTheme="minorHAnsi" w:cstheme="minorHAnsi"/>
                <w:sz w:val="16"/>
                <w:szCs w:val="16"/>
              </w:rPr>
              <w:t>Wymagania ogólne</w:t>
            </w:r>
          </w:p>
        </w:tc>
        <w:tc>
          <w:tcPr>
            <w:tcW w:w="1169" w:type="pct"/>
            <w:tcMar>
              <w:top w:w="28" w:type="dxa"/>
              <w:left w:w="85" w:type="dxa"/>
              <w:bottom w:w="28" w:type="dxa"/>
              <w:right w:w="28" w:type="dxa"/>
            </w:tcMar>
          </w:tcPr>
          <w:p w14:paraId="7BB14B08" w14:textId="4C513E43"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44C71B6" w14:textId="77777777" w:rsidTr="00D8618B">
        <w:tc>
          <w:tcPr>
            <w:tcW w:w="936" w:type="pct"/>
            <w:tcMar>
              <w:top w:w="28" w:type="dxa"/>
              <w:left w:w="85" w:type="dxa"/>
              <w:bottom w:w="28" w:type="dxa"/>
              <w:right w:w="28" w:type="dxa"/>
            </w:tcMar>
          </w:tcPr>
          <w:p w14:paraId="0366E206" w14:textId="3AC6C64F"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ADR-DSN.D.245 </w:t>
            </w:r>
          </w:p>
        </w:tc>
        <w:tc>
          <w:tcPr>
            <w:tcW w:w="2895" w:type="pct"/>
            <w:tcMar>
              <w:top w:w="28" w:type="dxa"/>
              <w:left w:w="85" w:type="dxa"/>
              <w:bottom w:w="28" w:type="dxa"/>
              <w:right w:w="28" w:type="dxa"/>
            </w:tcMar>
          </w:tcPr>
          <w:p w14:paraId="1CF9BEAC" w14:textId="6AA65305" w:rsidR="009E5D0A" w:rsidRPr="009E064B" w:rsidRDefault="0074170C"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dróg kołowania</w:t>
            </w:r>
          </w:p>
        </w:tc>
        <w:tc>
          <w:tcPr>
            <w:tcW w:w="1169" w:type="pct"/>
            <w:tcMar>
              <w:top w:w="28" w:type="dxa"/>
              <w:left w:w="85" w:type="dxa"/>
              <w:bottom w:w="28" w:type="dxa"/>
              <w:right w:w="28" w:type="dxa"/>
            </w:tcMar>
          </w:tcPr>
          <w:p w14:paraId="341492B1" w14:textId="3E680BDC"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5606A5B" w14:textId="77777777" w:rsidTr="00D8618B">
        <w:tc>
          <w:tcPr>
            <w:tcW w:w="936" w:type="pct"/>
            <w:tcMar>
              <w:top w:w="28" w:type="dxa"/>
              <w:left w:w="85" w:type="dxa"/>
              <w:bottom w:w="28" w:type="dxa"/>
              <w:right w:w="28" w:type="dxa"/>
            </w:tcMar>
          </w:tcPr>
          <w:p w14:paraId="53B30BB0" w14:textId="1FB6101A"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ADR-DSN.D.260 </w:t>
            </w:r>
          </w:p>
        </w:tc>
        <w:tc>
          <w:tcPr>
            <w:tcW w:w="2895" w:type="pct"/>
            <w:tcMar>
              <w:top w:w="28" w:type="dxa"/>
              <w:left w:w="85" w:type="dxa"/>
              <w:bottom w:w="28" w:type="dxa"/>
              <w:right w:w="28" w:type="dxa"/>
            </w:tcMar>
          </w:tcPr>
          <w:p w14:paraId="16D43E19" w14:textId="24AF4556"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Minimalne odległości separacji na drogach kołowania</w:t>
            </w:r>
          </w:p>
        </w:tc>
        <w:tc>
          <w:tcPr>
            <w:tcW w:w="1169" w:type="pct"/>
            <w:tcMar>
              <w:top w:w="28" w:type="dxa"/>
              <w:left w:w="85" w:type="dxa"/>
              <w:bottom w:w="28" w:type="dxa"/>
              <w:right w:w="28" w:type="dxa"/>
            </w:tcMar>
          </w:tcPr>
          <w:p w14:paraId="675F12C8" w14:textId="6B0B136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AD28EA6" w14:textId="77777777" w:rsidTr="00D8618B">
        <w:tc>
          <w:tcPr>
            <w:tcW w:w="936" w:type="pct"/>
            <w:tcMar>
              <w:top w:w="28" w:type="dxa"/>
              <w:left w:w="85" w:type="dxa"/>
              <w:bottom w:w="28" w:type="dxa"/>
              <w:right w:w="28" w:type="dxa"/>
            </w:tcMar>
          </w:tcPr>
          <w:p w14:paraId="1EDD0DE3" w14:textId="742DC339"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ADR-DSN.D.305</w:t>
            </w:r>
          </w:p>
        </w:tc>
        <w:tc>
          <w:tcPr>
            <w:tcW w:w="2895" w:type="pct"/>
            <w:tcMar>
              <w:top w:w="28" w:type="dxa"/>
              <w:left w:w="85" w:type="dxa"/>
              <w:bottom w:w="28" w:type="dxa"/>
              <w:right w:w="28" w:type="dxa"/>
            </w:tcMar>
          </w:tcPr>
          <w:p w14:paraId="216A755D" w14:textId="5809F018"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Pobocza drogi kołowania</w:t>
            </w:r>
          </w:p>
        </w:tc>
        <w:tc>
          <w:tcPr>
            <w:tcW w:w="1169" w:type="pct"/>
            <w:tcMar>
              <w:top w:w="28" w:type="dxa"/>
              <w:left w:w="85" w:type="dxa"/>
              <w:bottom w:w="28" w:type="dxa"/>
              <w:right w:w="28" w:type="dxa"/>
            </w:tcMar>
          </w:tcPr>
          <w:p w14:paraId="0C253799" w14:textId="038EEED2"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1F928F9" w14:textId="77777777" w:rsidTr="00D8618B">
        <w:tc>
          <w:tcPr>
            <w:tcW w:w="936" w:type="pct"/>
            <w:shd w:val="clear" w:color="auto" w:fill="auto"/>
            <w:tcMar>
              <w:top w:w="28" w:type="dxa"/>
              <w:left w:w="85" w:type="dxa"/>
              <w:bottom w:w="28" w:type="dxa"/>
              <w:right w:w="28" w:type="dxa"/>
            </w:tcMar>
          </w:tcPr>
          <w:p w14:paraId="4AB73445" w14:textId="3497B5CB"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ADR-DSN.D.325</w:t>
            </w:r>
          </w:p>
        </w:tc>
        <w:tc>
          <w:tcPr>
            <w:tcW w:w="2895" w:type="pct"/>
            <w:shd w:val="clear" w:color="auto" w:fill="auto"/>
            <w:tcMar>
              <w:top w:w="28" w:type="dxa"/>
              <w:left w:w="85" w:type="dxa"/>
              <w:bottom w:w="28" w:type="dxa"/>
              <w:right w:w="28" w:type="dxa"/>
            </w:tcMar>
          </w:tcPr>
          <w:p w14:paraId="715D1D38" w14:textId="17AD2F13" w:rsidR="009E5D0A" w:rsidRPr="009E064B" w:rsidRDefault="005B61C5"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Wyrównanie pasa drogi kołowania</w:t>
            </w:r>
          </w:p>
        </w:tc>
        <w:tc>
          <w:tcPr>
            <w:tcW w:w="1169" w:type="pct"/>
            <w:tcMar>
              <w:top w:w="28" w:type="dxa"/>
              <w:left w:w="85" w:type="dxa"/>
              <w:bottom w:w="28" w:type="dxa"/>
              <w:right w:w="28" w:type="dxa"/>
            </w:tcMar>
          </w:tcPr>
          <w:p w14:paraId="1C36EB9A" w14:textId="62CF75DE"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6E3425FF" w14:textId="77777777" w:rsidTr="00D8618B">
        <w:tc>
          <w:tcPr>
            <w:tcW w:w="936" w:type="pct"/>
            <w:shd w:val="clear" w:color="auto" w:fill="auto"/>
            <w:tcMar>
              <w:top w:w="28" w:type="dxa"/>
              <w:left w:w="85" w:type="dxa"/>
              <w:bottom w:w="28" w:type="dxa"/>
              <w:right w:w="28" w:type="dxa"/>
            </w:tcMar>
          </w:tcPr>
          <w:p w14:paraId="5445E795"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ADR-DSN.J.480 </w:t>
            </w:r>
          </w:p>
        </w:tc>
        <w:tc>
          <w:tcPr>
            <w:tcW w:w="2895" w:type="pct"/>
            <w:shd w:val="clear" w:color="auto" w:fill="auto"/>
            <w:tcMar>
              <w:top w:w="28" w:type="dxa"/>
              <w:left w:w="85" w:type="dxa"/>
              <w:bottom w:w="28" w:type="dxa"/>
              <w:right w:w="28" w:type="dxa"/>
            </w:tcMar>
          </w:tcPr>
          <w:p w14:paraId="18D21752"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z podejściem precyzyjnym</w:t>
            </w:r>
          </w:p>
        </w:tc>
        <w:tc>
          <w:tcPr>
            <w:tcW w:w="1169" w:type="pct"/>
            <w:tcMar>
              <w:top w:w="28" w:type="dxa"/>
              <w:left w:w="85" w:type="dxa"/>
              <w:bottom w:w="28" w:type="dxa"/>
              <w:right w:w="28" w:type="dxa"/>
            </w:tcMar>
          </w:tcPr>
          <w:p w14:paraId="4ED5769C" w14:textId="6A736071"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6B20DDA" w14:textId="77777777" w:rsidTr="00D8618B">
        <w:tc>
          <w:tcPr>
            <w:tcW w:w="936" w:type="pct"/>
            <w:shd w:val="clear" w:color="auto" w:fill="auto"/>
            <w:tcMar>
              <w:top w:w="28" w:type="dxa"/>
              <w:left w:w="85" w:type="dxa"/>
              <w:bottom w:w="28" w:type="dxa"/>
              <w:right w:w="28" w:type="dxa"/>
            </w:tcMar>
          </w:tcPr>
          <w:p w14:paraId="7F1BD543"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ADR-DSN.L.605 </w:t>
            </w:r>
          </w:p>
        </w:tc>
        <w:tc>
          <w:tcPr>
            <w:tcW w:w="2895" w:type="pct"/>
            <w:shd w:val="clear" w:color="auto" w:fill="auto"/>
            <w:tcMar>
              <w:top w:w="28" w:type="dxa"/>
              <w:left w:w="85" w:type="dxa"/>
              <w:bottom w:w="28" w:type="dxa"/>
              <w:right w:w="28" w:type="dxa"/>
            </w:tcMar>
          </w:tcPr>
          <w:p w14:paraId="69D15849"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nakazu</w:t>
            </w:r>
          </w:p>
        </w:tc>
        <w:tc>
          <w:tcPr>
            <w:tcW w:w="1169" w:type="pct"/>
            <w:tcMar>
              <w:top w:w="28" w:type="dxa"/>
              <w:left w:w="85" w:type="dxa"/>
              <w:bottom w:w="28" w:type="dxa"/>
              <w:right w:w="28" w:type="dxa"/>
            </w:tcMar>
          </w:tcPr>
          <w:p w14:paraId="1F34C68F" w14:textId="42BCBB7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CD616F0" w14:textId="77777777" w:rsidTr="00D8618B">
        <w:tc>
          <w:tcPr>
            <w:tcW w:w="936" w:type="pct"/>
            <w:shd w:val="clear" w:color="auto" w:fill="auto"/>
            <w:tcMar>
              <w:top w:w="28" w:type="dxa"/>
              <w:left w:w="85" w:type="dxa"/>
              <w:bottom w:w="28" w:type="dxa"/>
              <w:right w:w="28" w:type="dxa"/>
            </w:tcMar>
          </w:tcPr>
          <w:p w14:paraId="37CA3CFC"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ADR-DSN.L.610 </w:t>
            </w:r>
          </w:p>
        </w:tc>
        <w:tc>
          <w:tcPr>
            <w:tcW w:w="2895" w:type="pct"/>
            <w:shd w:val="clear" w:color="auto" w:fill="auto"/>
            <w:tcMar>
              <w:top w:w="28" w:type="dxa"/>
              <w:left w:w="85" w:type="dxa"/>
              <w:bottom w:w="28" w:type="dxa"/>
              <w:right w:w="28" w:type="dxa"/>
            </w:tcMar>
          </w:tcPr>
          <w:p w14:paraId="649272C0"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Oznakowanie informacyjne </w:t>
            </w:r>
          </w:p>
        </w:tc>
        <w:tc>
          <w:tcPr>
            <w:tcW w:w="1169" w:type="pct"/>
            <w:tcMar>
              <w:top w:w="28" w:type="dxa"/>
              <w:left w:w="85" w:type="dxa"/>
              <w:bottom w:w="28" w:type="dxa"/>
              <w:right w:w="28" w:type="dxa"/>
            </w:tcMar>
          </w:tcPr>
          <w:p w14:paraId="61491C78" w14:textId="66BCD4B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4EBFD0A" w14:textId="77777777" w:rsidTr="00D8618B">
        <w:tc>
          <w:tcPr>
            <w:tcW w:w="936" w:type="pct"/>
            <w:shd w:val="clear" w:color="auto" w:fill="auto"/>
            <w:tcMar>
              <w:top w:w="28" w:type="dxa"/>
              <w:left w:w="85" w:type="dxa"/>
              <w:bottom w:w="28" w:type="dxa"/>
              <w:right w:w="28" w:type="dxa"/>
            </w:tcMar>
          </w:tcPr>
          <w:p w14:paraId="50E62C51"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ADR-DSN.M.630 </w:t>
            </w:r>
          </w:p>
        </w:tc>
        <w:tc>
          <w:tcPr>
            <w:tcW w:w="2895" w:type="pct"/>
            <w:shd w:val="clear" w:color="auto" w:fill="auto"/>
            <w:tcMar>
              <w:top w:w="28" w:type="dxa"/>
              <w:left w:w="85" w:type="dxa"/>
              <w:bottom w:w="28" w:type="dxa"/>
              <w:right w:w="28" w:type="dxa"/>
            </w:tcMar>
          </w:tcPr>
          <w:p w14:paraId="293F0721"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w:t>
            </w:r>
          </w:p>
        </w:tc>
        <w:tc>
          <w:tcPr>
            <w:tcW w:w="1169" w:type="pct"/>
            <w:tcMar>
              <w:top w:w="28" w:type="dxa"/>
              <w:left w:w="85" w:type="dxa"/>
              <w:bottom w:w="28" w:type="dxa"/>
              <w:right w:w="28" w:type="dxa"/>
            </w:tcMar>
          </w:tcPr>
          <w:p w14:paraId="72013F72" w14:textId="4416634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66C1CDF" w14:textId="77777777" w:rsidTr="00D8618B">
        <w:tc>
          <w:tcPr>
            <w:tcW w:w="936" w:type="pct"/>
            <w:shd w:val="clear" w:color="auto" w:fill="auto"/>
            <w:tcMar>
              <w:top w:w="28" w:type="dxa"/>
              <w:left w:w="85" w:type="dxa"/>
              <w:bottom w:w="28" w:type="dxa"/>
              <w:right w:w="28" w:type="dxa"/>
            </w:tcMar>
          </w:tcPr>
          <w:p w14:paraId="5C572F97"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ADR-DSN.M.635 </w:t>
            </w:r>
          </w:p>
        </w:tc>
        <w:tc>
          <w:tcPr>
            <w:tcW w:w="2895" w:type="pct"/>
            <w:shd w:val="clear" w:color="auto" w:fill="auto"/>
            <w:tcMar>
              <w:top w:w="28" w:type="dxa"/>
              <w:left w:w="85" w:type="dxa"/>
              <w:bottom w:w="28" w:type="dxa"/>
              <w:right w:w="28" w:type="dxa"/>
            </w:tcMar>
          </w:tcPr>
          <w:p w14:paraId="17C98E39"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II i III</w:t>
            </w:r>
          </w:p>
        </w:tc>
        <w:tc>
          <w:tcPr>
            <w:tcW w:w="1169" w:type="pct"/>
            <w:tcMar>
              <w:top w:w="28" w:type="dxa"/>
              <w:left w:w="85" w:type="dxa"/>
              <w:bottom w:w="28" w:type="dxa"/>
              <w:right w:w="28" w:type="dxa"/>
            </w:tcMar>
          </w:tcPr>
          <w:p w14:paraId="2A61D66F" w14:textId="178F454B"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4B37F74" w14:textId="77777777" w:rsidTr="00D8618B">
        <w:tc>
          <w:tcPr>
            <w:tcW w:w="936" w:type="pct"/>
            <w:tcMar>
              <w:top w:w="28" w:type="dxa"/>
              <w:left w:w="85" w:type="dxa"/>
              <w:bottom w:w="28" w:type="dxa"/>
              <w:right w:w="28" w:type="dxa"/>
            </w:tcMar>
          </w:tcPr>
          <w:p w14:paraId="7C9C417E"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ADR-DSN.M.645 </w:t>
            </w:r>
          </w:p>
        </w:tc>
        <w:tc>
          <w:tcPr>
            <w:tcW w:w="2895" w:type="pct"/>
            <w:tcMar>
              <w:top w:w="28" w:type="dxa"/>
              <w:left w:w="85" w:type="dxa"/>
              <w:bottom w:w="28" w:type="dxa"/>
              <w:right w:w="28" w:type="dxa"/>
            </w:tcMar>
          </w:tcPr>
          <w:p w14:paraId="11897E9B"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Precyzyjny wskaźnik ścieżki podejścia oraz skrócony precyzyjny wskaźnik ścieżki podejścia (PAPI i APAPI)</w:t>
            </w:r>
          </w:p>
        </w:tc>
        <w:tc>
          <w:tcPr>
            <w:tcW w:w="1169" w:type="pct"/>
            <w:tcMar>
              <w:top w:w="28" w:type="dxa"/>
              <w:left w:w="85" w:type="dxa"/>
              <w:bottom w:w="28" w:type="dxa"/>
              <w:right w:w="28" w:type="dxa"/>
            </w:tcMar>
          </w:tcPr>
          <w:p w14:paraId="62CAAF49" w14:textId="0E5AEA66"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7EA1AE9" w14:textId="77777777" w:rsidTr="00D8618B">
        <w:tc>
          <w:tcPr>
            <w:tcW w:w="936" w:type="pct"/>
            <w:tcMar>
              <w:top w:w="28" w:type="dxa"/>
              <w:left w:w="85" w:type="dxa"/>
              <w:bottom w:w="28" w:type="dxa"/>
              <w:right w:w="28" w:type="dxa"/>
            </w:tcMar>
          </w:tcPr>
          <w:p w14:paraId="3E44BD8E"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ADR-DSN.M.655 </w:t>
            </w:r>
          </w:p>
        </w:tc>
        <w:tc>
          <w:tcPr>
            <w:tcW w:w="2895" w:type="pct"/>
            <w:tcMar>
              <w:top w:w="28" w:type="dxa"/>
              <w:left w:w="85" w:type="dxa"/>
              <w:bottom w:w="28" w:type="dxa"/>
              <w:right w:w="28" w:type="dxa"/>
            </w:tcMar>
          </w:tcPr>
          <w:p w14:paraId="6E28B657" w14:textId="77777777" w:rsidR="009E5D0A" w:rsidRPr="009E064B" w:rsidRDefault="009E5D0A" w:rsidP="008C462F">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Powierzchnie zabezpieczenia przeszkodowego dla PAPI i APAPI</w:t>
            </w:r>
          </w:p>
        </w:tc>
        <w:tc>
          <w:tcPr>
            <w:tcW w:w="1169" w:type="pct"/>
            <w:shd w:val="clear" w:color="auto" w:fill="auto"/>
            <w:tcMar>
              <w:top w:w="28" w:type="dxa"/>
              <w:left w:w="85" w:type="dxa"/>
              <w:bottom w:w="28" w:type="dxa"/>
              <w:right w:w="28" w:type="dxa"/>
            </w:tcMar>
          </w:tcPr>
          <w:p w14:paraId="2AE82BEE" w14:textId="6D484FAB"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C70E23C" w14:textId="77777777" w:rsidTr="00D8618B">
        <w:tc>
          <w:tcPr>
            <w:tcW w:w="936" w:type="pct"/>
            <w:tcMar>
              <w:top w:w="28" w:type="dxa"/>
              <w:left w:w="85" w:type="dxa"/>
              <w:bottom w:w="28" w:type="dxa"/>
              <w:right w:w="28" w:type="dxa"/>
            </w:tcMar>
          </w:tcPr>
          <w:p w14:paraId="5B172121" w14:textId="548559B7" w:rsidR="009E5D0A" w:rsidRPr="009E064B" w:rsidRDefault="009E5D0A" w:rsidP="007F3417">
            <w:pPr>
              <w:spacing w:after="0"/>
              <w:rPr>
                <w:rFonts w:asciiTheme="minorHAnsi" w:hAnsiTheme="minorHAnsi" w:cstheme="minorHAnsi"/>
                <w:sz w:val="16"/>
                <w:szCs w:val="16"/>
              </w:rPr>
            </w:pPr>
            <w:r w:rsidRPr="009E064B">
              <w:rPr>
                <w:rFonts w:asciiTheme="minorHAnsi" w:hAnsiTheme="minorHAnsi" w:cstheme="minorHAnsi"/>
                <w:sz w:val="16"/>
                <w:szCs w:val="16"/>
              </w:rPr>
              <w:t>CS ADR-DSN.M.66</w:t>
            </w:r>
            <w:r w:rsidR="007F3417" w:rsidRPr="009E064B">
              <w:rPr>
                <w:rFonts w:asciiTheme="minorHAnsi" w:hAnsiTheme="minorHAnsi" w:cstheme="minorHAnsi"/>
                <w:sz w:val="16"/>
                <w:szCs w:val="16"/>
              </w:rPr>
              <w:t>5</w:t>
            </w:r>
            <w:r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215EC994" w14:textId="35F0B86D" w:rsidR="009E5D0A" w:rsidRPr="009E064B" w:rsidRDefault="00D83154"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prowadzenia do drogi startowej</w:t>
            </w:r>
          </w:p>
        </w:tc>
        <w:tc>
          <w:tcPr>
            <w:tcW w:w="1169" w:type="pct"/>
            <w:shd w:val="clear" w:color="auto" w:fill="auto"/>
            <w:tcMar>
              <w:top w:w="28" w:type="dxa"/>
              <w:left w:w="85" w:type="dxa"/>
              <w:bottom w:w="28" w:type="dxa"/>
              <w:right w:w="28" w:type="dxa"/>
            </w:tcMar>
          </w:tcPr>
          <w:p w14:paraId="4C67FD65" w14:textId="3A03FD6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3D2C14D" w14:textId="77777777" w:rsidTr="00D8618B">
        <w:tc>
          <w:tcPr>
            <w:tcW w:w="936" w:type="pct"/>
            <w:tcMar>
              <w:top w:w="28" w:type="dxa"/>
              <w:left w:w="85" w:type="dxa"/>
              <w:bottom w:w="28" w:type="dxa"/>
              <w:right w:w="28" w:type="dxa"/>
            </w:tcMar>
          </w:tcPr>
          <w:p w14:paraId="189BCFD1"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ADR-DSN.M.670 </w:t>
            </w:r>
          </w:p>
        </w:tc>
        <w:tc>
          <w:tcPr>
            <w:tcW w:w="2895" w:type="pct"/>
            <w:tcMar>
              <w:top w:w="28" w:type="dxa"/>
              <w:left w:w="85" w:type="dxa"/>
              <w:bottom w:w="28" w:type="dxa"/>
              <w:right w:w="28" w:type="dxa"/>
            </w:tcMar>
          </w:tcPr>
          <w:p w14:paraId="2C80419F" w14:textId="2F6F30E0" w:rsidR="009642F6" w:rsidRPr="009E064B" w:rsidRDefault="008C462F" w:rsidP="008C462F">
            <w:pPr>
              <w:spacing w:after="0"/>
              <w:rPr>
                <w:rFonts w:asciiTheme="minorHAnsi" w:hAnsiTheme="minorHAnsi" w:cstheme="minorHAnsi"/>
                <w:sz w:val="16"/>
                <w:szCs w:val="16"/>
              </w:rPr>
            </w:pPr>
            <w:r w:rsidRPr="009E064B">
              <w:rPr>
                <w:rFonts w:asciiTheme="minorHAnsi" w:hAnsiTheme="minorHAnsi" w:cstheme="minorHAnsi"/>
                <w:sz w:val="16"/>
                <w:szCs w:val="16"/>
              </w:rPr>
              <w:t>Światła identyfikacji progu drogi startowej</w:t>
            </w:r>
          </w:p>
        </w:tc>
        <w:tc>
          <w:tcPr>
            <w:tcW w:w="1169" w:type="pct"/>
            <w:tcMar>
              <w:top w:w="28" w:type="dxa"/>
              <w:left w:w="85" w:type="dxa"/>
              <w:bottom w:w="28" w:type="dxa"/>
              <w:right w:w="28" w:type="dxa"/>
            </w:tcMar>
          </w:tcPr>
          <w:p w14:paraId="4F62292F"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634667F" w14:textId="77777777" w:rsidTr="00D8618B">
        <w:tc>
          <w:tcPr>
            <w:tcW w:w="936" w:type="pct"/>
            <w:tcMar>
              <w:top w:w="28" w:type="dxa"/>
              <w:left w:w="85" w:type="dxa"/>
              <w:bottom w:w="28" w:type="dxa"/>
              <w:right w:w="28" w:type="dxa"/>
            </w:tcMar>
          </w:tcPr>
          <w:p w14:paraId="21A3E9C5" w14:textId="2588233B" w:rsidR="009E5D0A" w:rsidRPr="009E064B" w:rsidRDefault="009642F6"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ADR-DSN.M.675</w:t>
            </w:r>
          </w:p>
        </w:tc>
        <w:tc>
          <w:tcPr>
            <w:tcW w:w="2895" w:type="pct"/>
            <w:tcMar>
              <w:top w:w="28" w:type="dxa"/>
              <w:left w:w="85" w:type="dxa"/>
              <w:bottom w:w="28" w:type="dxa"/>
              <w:right w:w="28" w:type="dxa"/>
            </w:tcMar>
          </w:tcPr>
          <w:p w14:paraId="284BF978" w14:textId="28261B36" w:rsidR="009E5D0A" w:rsidRPr="009E064B" w:rsidRDefault="00D83154"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krawędzi drogi startowej</w:t>
            </w:r>
          </w:p>
        </w:tc>
        <w:tc>
          <w:tcPr>
            <w:tcW w:w="1169" w:type="pct"/>
            <w:tcMar>
              <w:top w:w="28" w:type="dxa"/>
              <w:left w:w="85" w:type="dxa"/>
              <w:bottom w:w="28" w:type="dxa"/>
              <w:right w:w="28" w:type="dxa"/>
            </w:tcMar>
          </w:tcPr>
          <w:p w14:paraId="05AE2E57" w14:textId="116B4CC0"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7065FDA" w14:textId="77777777" w:rsidTr="00D8618B">
        <w:tc>
          <w:tcPr>
            <w:tcW w:w="936" w:type="pct"/>
            <w:tcMar>
              <w:top w:w="28" w:type="dxa"/>
              <w:left w:w="85" w:type="dxa"/>
              <w:bottom w:w="28" w:type="dxa"/>
              <w:right w:w="28" w:type="dxa"/>
            </w:tcMar>
          </w:tcPr>
          <w:p w14:paraId="234CD408"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ADR-DSN.M.680 </w:t>
            </w:r>
          </w:p>
        </w:tc>
        <w:tc>
          <w:tcPr>
            <w:tcW w:w="2895" w:type="pct"/>
            <w:tcMar>
              <w:top w:w="28" w:type="dxa"/>
              <w:left w:w="85" w:type="dxa"/>
              <w:bottom w:w="28" w:type="dxa"/>
              <w:right w:w="28" w:type="dxa"/>
            </w:tcMar>
          </w:tcPr>
          <w:p w14:paraId="556EEBBB"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progu drogi startowej oraz światła poprzeczki skrzydłowej</w:t>
            </w:r>
          </w:p>
        </w:tc>
        <w:tc>
          <w:tcPr>
            <w:tcW w:w="1169" w:type="pct"/>
            <w:tcMar>
              <w:top w:w="28" w:type="dxa"/>
              <w:left w:w="85" w:type="dxa"/>
              <w:bottom w:w="28" w:type="dxa"/>
              <w:right w:w="28" w:type="dxa"/>
            </w:tcMar>
          </w:tcPr>
          <w:p w14:paraId="1B5640F3" w14:textId="681CFE9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6770E99" w14:textId="77777777" w:rsidTr="00D8618B">
        <w:tc>
          <w:tcPr>
            <w:tcW w:w="936" w:type="pct"/>
            <w:tcMar>
              <w:top w:w="28" w:type="dxa"/>
              <w:left w:w="85" w:type="dxa"/>
              <w:bottom w:w="28" w:type="dxa"/>
              <w:right w:w="28" w:type="dxa"/>
            </w:tcMar>
          </w:tcPr>
          <w:p w14:paraId="2A98032A"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ADR-DSN.M.685 </w:t>
            </w:r>
          </w:p>
        </w:tc>
        <w:tc>
          <w:tcPr>
            <w:tcW w:w="2895" w:type="pct"/>
            <w:tcMar>
              <w:top w:w="28" w:type="dxa"/>
              <w:left w:w="85" w:type="dxa"/>
              <w:bottom w:w="28" w:type="dxa"/>
              <w:right w:w="28" w:type="dxa"/>
            </w:tcMar>
          </w:tcPr>
          <w:p w14:paraId="24BE3B59"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końca drogi startowej</w:t>
            </w:r>
          </w:p>
        </w:tc>
        <w:tc>
          <w:tcPr>
            <w:tcW w:w="1169" w:type="pct"/>
            <w:tcMar>
              <w:top w:w="28" w:type="dxa"/>
              <w:left w:w="85" w:type="dxa"/>
              <w:bottom w:w="28" w:type="dxa"/>
              <w:right w:w="28" w:type="dxa"/>
            </w:tcMar>
          </w:tcPr>
          <w:p w14:paraId="30F79E0C" w14:textId="7C38FF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968B525" w14:textId="77777777" w:rsidTr="00D8618B">
        <w:tc>
          <w:tcPr>
            <w:tcW w:w="936" w:type="pct"/>
            <w:tcMar>
              <w:top w:w="28" w:type="dxa"/>
              <w:left w:w="85" w:type="dxa"/>
              <w:bottom w:w="28" w:type="dxa"/>
              <w:right w:w="28" w:type="dxa"/>
            </w:tcMar>
          </w:tcPr>
          <w:p w14:paraId="4077CE10"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ADR-DSN.M.690 </w:t>
            </w:r>
          </w:p>
        </w:tc>
        <w:tc>
          <w:tcPr>
            <w:tcW w:w="2895" w:type="pct"/>
            <w:tcMar>
              <w:top w:w="28" w:type="dxa"/>
              <w:left w:w="85" w:type="dxa"/>
              <w:bottom w:w="28" w:type="dxa"/>
              <w:right w:w="28" w:type="dxa"/>
            </w:tcMar>
          </w:tcPr>
          <w:p w14:paraId="4F29046B" w14:textId="77777777" w:rsidR="009E5D0A" w:rsidRPr="009E064B" w:rsidRDefault="009E5D0A" w:rsidP="008C462F">
            <w:pPr>
              <w:spacing w:after="0"/>
              <w:rPr>
                <w:rFonts w:asciiTheme="minorHAnsi" w:hAnsiTheme="minorHAnsi" w:cstheme="minorHAnsi"/>
                <w:sz w:val="16"/>
                <w:szCs w:val="16"/>
              </w:rPr>
            </w:pPr>
            <w:r w:rsidRPr="009E064B">
              <w:rPr>
                <w:rFonts w:asciiTheme="minorHAnsi" w:hAnsiTheme="minorHAnsi" w:cstheme="minorHAnsi"/>
                <w:sz w:val="16"/>
                <w:szCs w:val="16"/>
              </w:rPr>
              <w:t>Światła linii środkowej drogi startowej</w:t>
            </w:r>
          </w:p>
        </w:tc>
        <w:tc>
          <w:tcPr>
            <w:tcW w:w="1169" w:type="pct"/>
            <w:tcMar>
              <w:top w:w="28" w:type="dxa"/>
              <w:left w:w="85" w:type="dxa"/>
              <w:bottom w:w="28" w:type="dxa"/>
              <w:right w:w="28" w:type="dxa"/>
            </w:tcMar>
          </w:tcPr>
          <w:p w14:paraId="739B5715" w14:textId="374668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AD8823C" w14:textId="77777777" w:rsidTr="00D8618B">
        <w:tc>
          <w:tcPr>
            <w:tcW w:w="936" w:type="pct"/>
            <w:tcMar>
              <w:top w:w="28" w:type="dxa"/>
              <w:left w:w="85" w:type="dxa"/>
              <w:bottom w:w="28" w:type="dxa"/>
              <w:right w:w="28" w:type="dxa"/>
            </w:tcMar>
          </w:tcPr>
          <w:p w14:paraId="30FA114D"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ADR-DSN.M.695 </w:t>
            </w:r>
          </w:p>
        </w:tc>
        <w:tc>
          <w:tcPr>
            <w:tcW w:w="2895" w:type="pct"/>
            <w:tcMar>
              <w:top w:w="28" w:type="dxa"/>
              <w:left w:w="85" w:type="dxa"/>
              <w:bottom w:w="28" w:type="dxa"/>
              <w:right w:w="28" w:type="dxa"/>
            </w:tcMar>
          </w:tcPr>
          <w:p w14:paraId="04768E0B" w14:textId="77777777" w:rsidR="009E5D0A" w:rsidRPr="009E064B" w:rsidRDefault="009E5D0A" w:rsidP="008C462F">
            <w:pPr>
              <w:spacing w:after="0"/>
              <w:rPr>
                <w:rFonts w:asciiTheme="minorHAnsi" w:hAnsiTheme="minorHAnsi" w:cstheme="minorHAnsi"/>
                <w:sz w:val="16"/>
                <w:szCs w:val="16"/>
              </w:rPr>
            </w:pPr>
            <w:r w:rsidRPr="009E064B">
              <w:rPr>
                <w:rFonts w:asciiTheme="minorHAnsi" w:hAnsiTheme="minorHAnsi" w:cstheme="minorHAnsi"/>
                <w:sz w:val="16"/>
                <w:szCs w:val="16"/>
              </w:rPr>
              <w:t>Światła strefy przyziemienia</w:t>
            </w:r>
          </w:p>
        </w:tc>
        <w:tc>
          <w:tcPr>
            <w:tcW w:w="1169" w:type="pct"/>
            <w:tcMar>
              <w:top w:w="28" w:type="dxa"/>
              <w:left w:w="85" w:type="dxa"/>
              <w:bottom w:w="28" w:type="dxa"/>
              <w:right w:w="28" w:type="dxa"/>
            </w:tcMar>
          </w:tcPr>
          <w:p w14:paraId="5333F205" w14:textId="47158A0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32066D8" w14:textId="77777777" w:rsidTr="00D8618B">
        <w:trPr>
          <w:trHeight w:val="18"/>
        </w:trPr>
        <w:tc>
          <w:tcPr>
            <w:tcW w:w="936" w:type="pct"/>
            <w:tcMar>
              <w:top w:w="28" w:type="dxa"/>
              <w:left w:w="85" w:type="dxa"/>
              <w:bottom w:w="28" w:type="dxa"/>
              <w:right w:w="28" w:type="dxa"/>
            </w:tcMar>
          </w:tcPr>
          <w:p w14:paraId="2F08F829"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ADR-DSN.M.696 </w:t>
            </w:r>
          </w:p>
        </w:tc>
        <w:tc>
          <w:tcPr>
            <w:tcW w:w="2895" w:type="pct"/>
            <w:tcMar>
              <w:top w:w="28" w:type="dxa"/>
              <w:left w:w="85" w:type="dxa"/>
              <w:bottom w:w="28" w:type="dxa"/>
              <w:right w:w="28" w:type="dxa"/>
            </w:tcMar>
          </w:tcPr>
          <w:p w14:paraId="062517DD" w14:textId="77777777" w:rsidR="009E5D0A" w:rsidRPr="009E064B" w:rsidRDefault="009E5D0A" w:rsidP="008C462F">
            <w:pPr>
              <w:spacing w:after="0"/>
              <w:rPr>
                <w:rFonts w:asciiTheme="minorHAnsi" w:hAnsiTheme="minorHAnsi" w:cstheme="minorHAnsi"/>
                <w:sz w:val="16"/>
                <w:szCs w:val="16"/>
              </w:rPr>
            </w:pPr>
            <w:r w:rsidRPr="009E064B">
              <w:rPr>
                <w:rFonts w:asciiTheme="minorHAnsi" w:hAnsiTheme="minorHAnsi" w:cstheme="minorHAnsi"/>
                <w:sz w:val="16"/>
                <w:szCs w:val="16"/>
              </w:rPr>
              <w:t>Proste światła strefy przyziemienia.</w:t>
            </w:r>
          </w:p>
        </w:tc>
        <w:tc>
          <w:tcPr>
            <w:tcW w:w="1169" w:type="pct"/>
            <w:tcMar>
              <w:top w:w="28" w:type="dxa"/>
              <w:left w:w="85" w:type="dxa"/>
              <w:bottom w:w="28" w:type="dxa"/>
              <w:right w:w="28" w:type="dxa"/>
            </w:tcMar>
          </w:tcPr>
          <w:p w14:paraId="58111A07" w14:textId="04907F5B"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184EEC55" w14:textId="77777777" w:rsidTr="00D8618B">
        <w:tc>
          <w:tcPr>
            <w:tcW w:w="936" w:type="pct"/>
            <w:tcMar>
              <w:top w:w="28" w:type="dxa"/>
              <w:left w:w="85" w:type="dxa"/>
              <w:bottom w:w="28" w:type="dxa"/>
              <w:right w:w="28" w:type="dxa"/>
            </w:tcMar>
          </w:tcPr>
          <w:p w14:paraId="3F17313E" w14:textId="481902DD"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CS ADR-DSN.M.700</w:t>
            </w:r>
          </w:p>
        </w:tc>
        <w:tc>
          <w:tcPr>
            <w:tcW w:w="2895" w:type="pct"/>
            <w:tcMar>
              <w:top w:w="28" w:type="dxa"/>
              <w:left w:w="85" w:type="dxa"/>
              <w:bottom w:w="28" w:type="dxa"/>
              <w:right w:w="28" w:type="dxa"/>
            </w:tcMar>
          </w:tcPr>
          <w:p w14:paraId="77C8F27C" w14:textId="0E93A36C" w:rsidR="009642F6" w:rsidRPr="009E064B" w:rsidRDefault="00D83154" w:rsidP="009642F6">
            <w:pPr>
              <w:spacing w:after="0"/>
              <w:rPr>
                <w:rFonts w:asciiTheme="minorHAnsi" w:hAnsiTheme="minorHAnsi" w:cstheme="minorHAnsi"/>
                <w:sz w:val="16"/>
                <w:szCs w:val="16"/>
              </w:rPr>
            </w:pPr>
            <w:r w:rsidRPr="009E064B">
              <w:rPr>
                <w:rFonts w:asciiTheme="minorHAnsi" w:hAnsiTheme="minorHAnsi" w:cstheme="minorHAnsi"/>
                <w:sz w:val="16"/>
                <w:szCs w:val="16"/>
              </w:rPr>
              <w:t>Światła wskazania drogi kołowania szybkiego zjazdu (RETILs)</w:t>
            </w:r>
          </w:p>
        </w:tc>
        <w:tc>
          <w:tcPr>
            <w:tcW w:w="1169" w:type="pct"/>
            <w:tcMar>
              <w:top w:w="28" w:type="dxa"/>
              <w:left w:w="85" w:type="dxa"/>
              <w:bottom w:w="28" w:type="dxa"/>
              <w:right w:w="28" w:type="dxa"/>
            </w:tcMar>
          </w:tcPr>
          <w:p w14:paraId="730B6C84"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DCE42EC" w14:textId="77777777" w:rsidTr="00D8618B">
        <w:tc>
          <w:tcPr>
            <w:tcW w:w="936" w:type="pct"/>
            <w:tcMar>
              <w:top w:w="28" w:type="dxa"/>
              <w:left w:w="85" w:type="dxa"/>
              <w:bottom w:w="28" w:type="dxa"/>
              <w:right w:w="28" w:type="dxa"/>
            </w:tcMar>
          </w:tcPr>
          <w:p w14:paraId="2D164051"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ADR-DSN.M.705 </w:t>
            </w:r>
          </w:p>
        </w:tc>
        <w:tc>
          <w:tcPr>
            <w:tcW w:w="2895" w:type="pct"/>
            <w:tcMar>
              <w:top w:w="28" w:type="dxa"/>
              <w:left w:w="85" w:type="dxa"/>
              <w:bottom w:w="28" w:type="dxa"/>
              <w:right w:w="28" w:type="dxa"/>
            </w:tcMar>
          </w:tcPr>
          <w:p w14:paraId="49AE20B8"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zabezpieczenia przerwanego startu</w:t>
            </w:r>
          </w:p>
        </w:tc>
        <w:tc>
          <w:tcPr>
            <w:tcW w:w="1169" w:type="pct"/>
            <w:tcMar>
              <w:top w:w="28" w:type="dxa"/>
              <w:left w:w="85" w:type="dxa"/>
              <w:bottom w:w="28" w:type="dxa"/>
              <w:right w:w="28" w:type="dxa"/>
            </w:tcMar>
          </w:tcPr>
          <w:p w14:paraId="3829FCA6" w14:textId="219415DC"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0DD5869" w14:textId="77777777" w:rsidTr="00D8618B">
        <w:tc>
          <w:tcPr>
            <w:tcW w:w="936" w:type="pct"/>
            <w:tcMar>
              <w:top w:w="28" w:type="dxa"/>
              <w:left w:w="85" w:type="dxa"/>
              <w:bottom w:w="28" w:type="dxa"/>
              <w:right w:w="28" w:type="dxa"/>
            </w:tcMar>
          </w:tcPr>
          <w:p w14:paraId="58A6095C" w14:textId="6C1CA28E"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ADR-DSN.M.706 </w:t>
            </w:r>
          </w:p>
        </w:tc>
        <w:tc>
          <w:tcPr>
            <w:tcW w:w="2895" w:type="pct"/>
            <w:tcMar>
              <w:top w:w="28" w:type="dxa"/>
              <w:left w:w="85" w:type="dxa"/>
              <w:bottom w:w="28" w:type="dxa"/>
              <w:right w:w="28" w:type="dxa"/>
            </w:tcMar>
          </w:tcPr>
          <w:p w14:paraId="74C1E6FC" w14:textId="76AE26A4" w:rsidR="009642F6" w:rsidRPr="009E064B" w:rsidRDefault="008C462F" w:rsidP="008C462F">
            <w:pPr>
              <w:spacing w:after="0"/>
              <w:rPr>
                <w:rFonts w:asciiTheme="minorHAnsi" w:hAnsiTheme="minorHAnsi" w:cstheme="minorHAnsi"/>
                <w:sz w:val="16"/>
                <w:szCs w:val="16"/>
              </w:rPr>
            </w:pPr>
            <w:r w:rsidRPr="009E064B">
              <w:rPr>
                <w:rFonts w:asciiTheme="minorHAnsi" w:hAnsiTheme="minorHAnsi" w:cstheme="minorHAnsi"/>
                <w:sz w:val="16"/>
                <w:szCs w:val="16"/>
              </w:rPr>
              <w:t>Światła stanu drogi startowej (RWSL)</w:t>
            </w:r>
          </w:p>
        </w:tc>
        <w:tc>
          <w:tcPr>
            <w:tcW w:w="1169" w:type="pct"/>
            <w:tcMar>
              <w:top w:w="28" w:type="dxa"/>
              <w:left w:w="85" w:type="dxa"/>
              <w:bottom w:w="28" w:type="dxa"/>
              <w:right w:w="28" w:type="dxa"/>
            </w:tcMar>
          </w:tcPr>
          <w:p w14:paraId="4DC74636" w14:textId="2AC48FE8" w:rsidR="009642F6" w:rsidRPr="009E064B" w:rsidRDefault="00AD3041" w:rsidP="00AD3041">
            <w:pPr>
              <w:spacing w:after="0"/>
              <w:rPr>
                <w:rFonts w:asciiTheme="minorHAnsi" w:hAnsiTheme="minorHAnsi" w:cstheme="minorHAnsi"/>
                <w:sz w:val="16"/>
                <w:szCs w:val="16"/>
              </w:rPr>
            </w:pPr>
            <w:r w:rsidRPr="009E064B">
              <w:rPr>
                <w:rFonts w:asciiTheme="minorHAnsi" w:hAnsiTheme="minorHAnsi" w:cstheme="minorHAnsi"/>
                <w:b/>
                <w:sz w:val="16"/>
                <w:szCs w:val="16"/>
              </w:rPr>
              <w:t>Utworzony</w:t>
            </w:r>
            <w:r w:rsidR="009642F6" w:rsidRPr="009E064B">
              <w:rPr>
                <w:rFonts w:asciiTheme="minorHAnsi" w:hAnsiTheme="minorHAnsi" w:cstheme="minorHAnsi"/>
                <w:sz w:val="16"/>
                <w:szCs w:val="16"/>
              </w:rPr>
              <w:t xml:space="preserve"> (NPA 2017-04)</w:t>
            </w:r>
          </w:p>
        </w:tc>
      </w:tr>
      <w:tr w:rsidR="00D8618B" w:rsidRPr="009E064B" w14:paraId="4610490A" w14:textId="77777777" w:rsidTr="00D8618B">
        <w:tc>
          <w:tcPr>
            <w:tcW w:w="936" w:type="pct"/>
            <w:tcMar>
              <w:top w:w="28" w:type="dxa"/>
              <w:left w:w="85" w:type="dxa"/>
              <w:bottom w:w="28" w:type="dxa"/>
              <w:right w:w="28" w:type="dxa"/>
            </w:tcMar>
          </w:tcPr>
          <w:p w14:paraId="2CEA30AD"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ADR-DSN.M.710 </w:t>
            </w:r>
          </w:p>
        </w:tc>
        <w:tc>
          <w:tcPr>
            <w:tcW w:w="2895" w:type="pct"/>
            <w:tcMar>
              <w:top w:w="28" w:type="dxa"/>
              <w:left w:w="85" w:type="dxa"/>
              <w:bottom w:w="28" w:type="dxa"/>
              <w:right w:w="28" w:type="dxa"/>
            </w:tcMar>
          </w:tcPr>
          <w:p w14:paraId="2F5A27A1"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linii środkowej drogi kołowania</w:t>
            </w:r>
          </w:p>
        </w:tc>
        <w:tc>
          <w:tcPr>
            <w:tcW w:w="1169" w:type="pct"/>
            <w:tcMar>
              <w:top w:w="28" w:type="dxa"/>
              <w:left w:w="85" w:type="dxa"/>
              <w:bottom w:w="28" w:type="dxa"/>
              <w:right w:w="28" w:type="dxa"/>
            </w:tcMar>
          </w:tcPr>
          <w:p w14:paraId="30AF099B" w14:textId="68CC331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3210D03" w14:textId="77777777" w:rsidTr="00D8618B">
        <w:tc>
          <w:tcPr>
            <w:tcW w:w="936" w:type="pct"/>
            <w:tcMar>
              <w:top w:w="28" w:type="dxa"/>
              <w:left w:w="85" w:type="dxa"/>
              <w:bottom w:w="28" w:type="dxa"/>
              <w:right w:w="28" w:type="dxa"/>
            </w:tcMar>
          </w:tcPr>
          <w:p w14:paraId="0875083C"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ADR-DSN.M.720 </w:t>
            </w:r>
          </w:p>
        </w:tc>
        <w:tc>
          <w:tcPr>
            <w:tcW w:w="2895" w:type="pct"/>
            <w:tcMar>
              <w:top w:w="28" w:type="dxa"/>
              <w:left w:w="85" w:type="dxa"/>
              <w:bottom w:w="28" w:type="dxa"/>
              <w:right w:w="28" w:type="dxa"/>
            </w:tcMar>
          </w:tcPr>
          <w:p w14:paraId="0CC99BE6"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krawędzi drogi kołowania</w:t>
            </w:r>
          </w:p>
        </w:tc>
        <w:tc>
          <w:tcPr>
            <w:tcW w:w="1169" w:type="pct"/>
            <w:tcMar>
              <w:top w:w="28" w:type="dxa"/>
              <w:left w:w="85" w:type="dxa"/>
              <w:bottom w:w="28" w:type="dxa"/>
              <w:right w:w="28" w:type="dxa"/>
            </w:tcMar>
          </w:tcPr>
          <w:p w14:paraId="2D6E7F94" w14:textId="6715D98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8B29DC8" w14:textId="77777777" w:rsidTr="00D8618B">
        <w:tc>
          <w:tcPr>
            <w:tcW w:w="936" w:type="pct"/>
            <w:tcMar>
              <w:top w:w="28" w:type="dxa"/>
              <w:left w:w="85" w:type="dxa"/>
              <w:bottom w:w="28" w:type="dxa"/>
              <w:right w:w="28" w:type="dxa"/>
            </w:tcMar>
          </w:tcPr>
          <w:p w14:paraId="25FCE111"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ADR-DSN.M.725 </w:t>
            </w:r>
          </w:p>
        </w:tc>
        <w:tc>
          <w:tcPr>
            <w:tcW w:w="2895" w:type="pct"/>
            <w:tcMar>
              <w:top w:w="28" w:type="dxa"/>
              <w:left w:w="85" w:type="dxa"/>
              <w:bottom w:w="28" w:type="dxa"/>
              <w:right w:w="28" w:type="dxa"/>
            </w:tcMar>
          </w:tcPr>
          <w:p w14:paraId="71530CC3"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płaszczyzny do zawracania na drodze startowej</w:t>
            </w:r>
          </w:p>
        </w:tc>
        <w:tc>
          <w:tcPr>
            <w:tcW w:w="1169" w:type="pct"/>
            <w:tcMar>
              <w:top w:w="28" w:type="dxa"/>
              <w:left w:w="85" w:type="dxa"/>
              <w:bottom w:w="28" w:type="dxa"/>
              <w:right w:w="28" w:type="dxa"/>
            </w:tcMar>
          </w:tcPr>
          <w:p w14:paraId="1A1D7F8A" w14:textId="6FB7586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E97B5B2" w14:textId="77777777" w:rsidTr="00D8618B">
        <w:tc>
          <w:tcPr>
            <w:tcW w:w="936" w:type="pct"/>
            <w:tcMar>
              <w:top w:w="28" w:type="dxa"/>
              <w:left w:w="85" w:type="dxa"/>
              <w:bottom w:w="28" w:type="dxa"/>
              <w:right w:w="28" w:type="dxa"/>
            </w:tcMar>
          </w:tcPr>
          <w:p w14:paraId="775BFAE3"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ADR-DSN.M.730 </w:t>
            </w:r>
          </w:p>
        </w:tc>
        <w:tc>
          <w:tcPr>
            <w:tcW w:w="2895" w:type="pct"/>
            <w:tcMar>
              <w:top w:w="28" w:type="dxa"/>
              <w:left w:w="85" w:type="dxa"/>
              <w:bottom w:w="28" w:type="dxa"/>
              <w:right w:w="28" w:type="dxa"/>
            </w:tcMar>
          </w:tcPr>
          <w:p w14:paraId="1EB4D2C6"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Poprzeczki zatrzymania</w:t>
            </w:r>
          </w:p>
        </w:tc>
        <w:tc>
          <w:tcPr>
            <w:tcW w:w="1169" w:type="pct"/>
            <w:tcMar>
              <w:top w:w="28" w:type="dxa"/>
              <w:left w:w="85" w:type="dxa"/>
              <w:bottom w:w="28" w:type="dxa"/>
              <w:right w:w="28" w:type="dxa"/>
            </w:tcMar>
          </w:tcPr>
          <w:p w14:paraId="1A06B698" w14:textId="4CB18B8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CED29D2" w14:textId="77777777" w:rsidTr="00D8618B">
        <w:tc>
          <w:tcPr>
            <w:tcW w:w="936" w:type="pct"/>
            <w:tcMar>
              <w:top w:w="28" w:type="dxa"/>
              <w:left w:w="85" w:type="dxa"/>
              <w:bottom w:w="28" w:type="dxa"/>
              <w:right w:w="28" w:type="dxa"/>
            </w:tcMar>
          </w:tcPr>
          <w:p w14:paraId="6D222449"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ADR-DSN.M.735 </w:t>
            </w:r>
          </w:p>
        </w:tc>
        <w:tc>
          <w:tcPr>
            <w:tcW w:w="2895" w:type="pct"/>
            <w:tcMar>
              <w:top w:w="28" w:type="dxa"/>
              <w:left w:w="85" w:type="dxa"/>
              <w:bottom w:w="28" w:type="dxa"/>
              <w:right w:w="28" w:type="dxa"/>
            </w:tcMar>
          </w:tcPr>
          <w:p w14:paraId="51D6EE51"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pośredniego miejsca oczekiwania</w:t>
            </w:r>
          </w:p>
        </w:tc>
        <w:tc>
          <w:tcPr>
            <w:tcW w:w="1169" w:type="pct"/>
            <w:tcMar>
              <w:top w:w="28" w:type="dxa"/>
              <w:left w:w="85" w:type="dxa"/>
              <w:bottom w:w="28" w:type="dxa"/>
              <w:right w:w="28" w:type="dxa"/>
            </w:tcMar>
          </w:tcPr>
          <w:p w14:paraId="3D81858C" w14:textId="17E05F62"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C896021" w14:textId="77777777" w:rsidTr="00D8618B">
        <w:tc>
          <w:tcPr>
            <w:tcW w:w="936" w:type="pct"/>
            <w:tcMar>
              <w:top w:w="28" w:type="dxa"/>
              <w:left w:w="85" w:type="dxa"/>
              <w:bottom w:w="28" w:type="dxa"/>
              <w:right w:w="28" w:type="dxa"/>
            </w:tcMar>
          </w:tcPr>
          <w:p w14:paraId="216A2E97"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ADR-DSN.M.740 </w:t>
            </w:r>
          </w:p>
        </w:tc>
        <w:tc>
          <w:tcPr>
            <w:tcW w:w="2895" w:type="pct"/>
            <w:tcMar>
              <w:top w:w="28" w:type="dxa"/>
              <w:left w:w="85" w:type="dxa"/>
              <w:bottom w:w="28" w:type="dxa"/>
              <w:right w:w="28" w:type="dxa"/>
            </w:tcMar>
          </w:tcPr>
          <w:p w14:paraId="018A0D68"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wyjazdu ze stanowiska do odladzania/ przeciwdziałania oblodzeniu</w:t>
            </w:r>
          </w:p>
        </w:tc>
        <w:tc>
          <w:tcPr>
            <w:tcW w:w="1169" w:type="pct"/>
            <w:tcMar>
              <w:top w:w="28" w:type="dxa"/>
              <w:left w:w="85" w:type="dxa"/>
              <w:bottom w:w="28" w:type="dxa"/>
              <w:right w:w="28" w:type="dxa"/>
            </w:tcMar>
          </w:tcPr>
          <w:p w14:paraId="28310B40" w14:textId="545AF4D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ADA96D7" w14:textId="77777777" w:rsidTr="00D8618B">
        <w:tc>
          <w:tcPr>
            <w:tcW w:w="936" w:type="pct"/>
            <w:tcMar>
              <w:top w:w="28" w:type="dxa"/>
              <w:left w:w="85" w:type="dxa"/>
              <w:bottom w:w="28" w:type="dxa"/>
              <w:right w:w="28" w:type="dxa"/>
            </w:tcMar>
          </w:tcPr>
          <w:p w14:paraId="3D39BB13"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ADR-DSN.M.745 </w:t>
            </w:r>
          </w:p>
        </w:tc>
        <w:tc>
          <w:tcPr>
            <w:tcW w:w="2895" w:type="pct"/>
            <w:tcMar>
              <w:top w:w="28" w:type="dxa"/>
              <w:left w:w="85" w:type="dxa"/>
              <w:bottom w:w="28" w:type="dxa"/>
              <w:right w:w="28" w:type="dxa"/>
            </w:tcMar>
          </w:tcPr>
          <w:p w14:paraId="6ACAAB7B"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Światła ochronne drogi startowej</w:t>
            </w:r>
          </w:p>
        </w:tc>
        <w:tc>
          <w:tcPr>
            <w:tcW w:w="1169" w:type="pct"/>
            <w:tcMar>
              <w:top w:w="28" w:type="dxa"/>
              <w:left w:w="85" w:type="dxa"/>
              <w:bottom w:w="28" w:type="dxa"/>
              <w:right w:w="28" w:type="dxa"/>
            </w:tcMar>
          </w:tcPr>
          <w:p w14:paraId="7C2176E1" w14:textId="0F49EAE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F39DB91" w14:textId="77777777" w:rsidTr="00D8618B">
        <w:tc>
          <w:tcPr>
            <w:tcW w:w="936" w:type="pct"/>
            <w:tcMar>
              <w:top w:w="28" w:type="dxa"/>
              <w:left w:w="85" w:type="dxa"/>
              <w:bottom w:w="28" w:type="dxa"/>
              <w:right w:w="28" w:type="dxa"/>
            </w:tcMar>
          </w:tcPr>
          <w:p w14:paraId="160FBB5E"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ADR-DSN.M.760 </w:t>
            </w:r>
          </w:p>
        </w:tc>
        <w:tc>
          <w:tcPr>
            <w:tcW w:w="2895" w:type="pct"/>
            <w:tcMar>
              <w:top w:w="28" w:type="dxa"/>
              <w:left w:w="85" w:type="dxa"/>
              <w:bottom w:w="28" w:type="dxa"/>
              <w:right w:w="28" w:type="dxa"/>
            </w:tcMar>
          </w:tcPr>
          <w:p w14:paraId="7493C18A"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 xml:space="preserve">Zaawansowany wzrokowy system dokowania </w:t>
            </w:r>
          </w:p>
        </w:tc>
        <w:tc>
          <w:tcPr>
            <w:tcW w:w="1169" w:type="pct"/>
            <w:tcMar>
              <w:top w:w="28" w:type="dxa"/>
              <w:left w:w="85" w:type="dxa"/>
              <w:bottom w:w="28" w:type="dxa"/>
              <w:right w:w="28" w:type="dxa"/>
            </w:tcMar>
          </w:tcPr>
          <w:p w14:paraId="6374B468" w14:textId="43F38DB4"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5B529FE" w14:textId="77777777" w:rsidTr="00D8618B">
        <w:tc>
          <w:tcPr>
            <w:tcW w:w="936" w:type="pct"/>
            <w:tcMar>
              <w:top w:w="28" w:type="dxa"/>
              <w:left w:w="85" w:type="dxa"/>
              <w:bottom w:w="28" w:type="dxa"/>
              <w:right w:w="28" w:type="dxa"/>
            </w:tcMar>
          </w:tcPr>
          <w:p w14:paraId="1CB7574A"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ADR-DSN.M.771 </w:t>
            </w:r>
          </w:p>
        </w:tc>
        <w:tc>
          <w:tcPr>
            <w:tcW w:w="2895" w:type="pct"/>
            <w:tcMar>
              <w:top w:w="28" w:type="dxa"/>
              <w:left w:w="85" w:type="dxa"/>
              <w:bottom w:w="28" w:type="dxa"/>
              <w:right w:w="28" w:type="dxa"/>
            </w:tcMar>
          </w:tcPr>
          <w:p w14:paraId="409C7325"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 xml:space="preserve">Poprzeczka zakazu wjazdu </w:t>
            </w:r>
          </w:p>
        </w:tc>
        <w:tc>
          <w:tcPr>
            <w:tcW w:w="1169" w:type="pct"/>
            <w:tcMar>
              <w:top w:w="28" w:type="dxa"/>
              <w:left w:w="85" w:type="dxa"/>
              <w:bottom w:w="28" w:type="dxa"/>
              <w:right w:w="28" w:type="dxa"/>
            </w:tcMar>
          </w:tcPr>
          <w:p w14:paraId="4CFA344C" w14:textId="2EEBB802"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7D29E1A4" w14:textId="77777777" w:rsidTr="00D8618B">
        <w:tc>
          <w:tcPr>
            <w:tcW w:w="936" w:type="pct"/>
            <w:tcMar>
              <w:top w:w="28" w:type="dxa"/>
              <w:left w:w="85" w:type="dxa"/>
              <w:bottom w:w="28" w:type="dxa"/>
              <w:right w:w="28" w:type="dxa"/>
            </w:tcMar>
          </w:tcPr>
          <w:p w14:paraId="0218BBB6"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ADR-DSN.N.775 </w:t>
            </w:r>
          </w:p>
        </w:tc>
        <w:tc>
          <w:tcPr>
            <w:tcW w:w="2895" w:type="pct"/>
            <w:tcMar>
              <w:top w:w="28" w:type="dxa"/>
              <w:left w:w="85" w:type="dxa"/>
              <w:bottom w:w="28" w:type="dxa"/>
              <w:right w:w="28" w:type="dxa"/>
            </w:tcMar>
          </w:tcPr>
          <w:p w14:paraId="09E5DEB5" w14:textId="4E7659B6" w:rsidR="009E5D0A" w:rsidRPr="009E064B" w:rsidRDefault="009B0A08" w:rsidP="0051028F">
            <w:pPr>
              <w:spacing w:after="0"/>
              <w:rPr>
                <w:rFonts w:asciiTheme="minorHAnsi" w:hAnsiTheme="minorHAnsi" w:cstheme="minorHAnsi"/>
                <w:sz w:val="16"/>
                <w:szCs w:val="16"/>
              </w:rPr>
            </w:pPr>
            <w:r w:rsidRPr="009E064B">
              <w:rPr>
                <w:rFonts w:asciiTheme="minorHAnsi" w:hAnsiTheme="minorHAnsi" w:cstheme="minorHAnsi"/>
                <w:sz w:val="16"/>
                <w:szCs w:val="16"/>
              </w:rPr>
              <w:t>Wymagania ogólne</w:t>
            </w:r>
          </w:p>
        </w:tc>
        <w:tc>
          <w:tcPr>
            <w:tcW w:w="1169" w:type="pct"/>
            <w:tcMar>
              <w:top w:w="28" w:type="dxa"/>
              <w:left w:w="85" w:type="dxa"/>
              <w:bottom w:w="28" w:type="dxa"/>
              <w:right w:w="28" w:type="dxa"/>
            </w:tcMar>
          </w:tcPr>
          <w:p w14:paraId="529D71F7" w14:textId="012693B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F9F21DF" w14:textId="77777777" w:rsidTr="00D8618B">
        <w:tc>
          <w:tcPr>
            <w:tcW w:w="936" w:type="pct"/>
            <w:tcMar>
              <w:top w:w="28" w:type="dxa"/>
              <w:left w:w="85" w:type="dxa"/>
              <w:bottom w:w="28" w:type="dxa"/>
              <w:right w:w="28" w:type="dxa"/>
            </w:tcMar>
          </w:tcPr>
          <w:p w14:paraId="4AC24817"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ADR-DSN.N.780 </w:t>
            </w:r>
          </w:p>
        </w:tc>
        <w:tc>
          <w:tcPr>
            <w:tcW w:w="2895" w:type="pct"/>
            <w:tcMar>
              <w:top w:w="28" w:type="dxa"/>
              <w:left w:w="85" w:type="dxa"/>
              <w:bottom w:w="28" w:type="dxa"/>
              <w:right w:w="28" w:type="dxa"/>
            </w:tcMar>
          </w:tcPr>
          <w:p w14:paraId="1A546968" w14:textId="77777777" w:rsidR="009E5D0A" w:rsidRPr="009E064B" w:rsidRDefault="009E5D0A" w:rsidP="0051028F">
            <w:pPr>
              <w:spacing w:after="0"/>
              <w:rPr>
                <w:rFonts w:asciiTheme="minorHAnsi" w:hAnsiTheme="minorHAnsi" w:cstheme="minorHAnsi"/>
                <w:sz w:val="16"/>
                <w:szCs w:val="16"/>
              </w:rPr>
            </w:pPr>
            <w:r w:rsidRPr="009E064B">
              <w:rPr>
                <w:rFonts w:asciiTheme="minorHAnsi" w:hAnsiTheme="minorHAnsi" w:cstheme="minorHAnsi"/>
                <w:sz w:val="16"/>
                <w:szCs w:val="16"/>
              </w:rPr>
              <w:t xml:space="preserve">Znaki nakazu </w:t>
            </w:r>
          </w:p>
        </w:tc>
        <w:tc>
          <w:tcPr>
            <w:tcW w:w="1169" w:type="pct"/>
            <w:tcMar>
              <w:top w:w="28" w:type="dxa"/>
              <w:left w:w="85" w:type="dxa"/>
              <w:bottom w:w="28" w:type="dxa"/>
              <w:right w:w="28" w:type="dxa"/>
            </w:tcMar>
          </w:tcPr>
          <w:p w14:paraId="335C8676" w14:textId="7439C25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176A504" w14:textId="77777777" w:rsidTr="00D8618B">
        <w:tc>
          <w:tcPr>
            <w:tcW w:w="936" w:type="pct"/>
            <w:tcMar>
              <w:top w:w="28" w:type="dxa"/>
              <w:left w:w="85" w:type="dxa"/>
              <w:bottom w:w="28" w:type="dxa"/>
              <w:right w:w="28" w:type="dxa"/>
            </w:tcMar>
          </w:tcPr>
          <w:p w14:paraId="2BD1CFF8"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ADR-DSN.N.785 </w:t>
            </w:r>
          </w:p>
        </w:tc>
        <w:tc>
          <w:tcPr>
            <w:tcW w:w="2895" w:type="pct"/>
            <w:tcMar>
              <w:top w:w="28" w:type="dxa"/>
              <w:left w:w="85" w:type="dxa"/>
              <w:bottom w:w="28" w:type="dxa"/>
              <w:right w:w="28" w:type="dxa"/>
            </w:tcMar>
          </w:tcPr>
          <w:p w14:paraId="2B2438A8"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 xml:space="preserve">Znaki informacyjne </w:t>
            </w:r>
          </w:p>
        </w:tc>
        <w:tc>
          <w:tcPr>
            <w:tcW w:w="1169" w:type="pct"/>
            <w:tcMar>
              <w:top w:w="28" w:type="dxa"/>
              <w:left w:w="85" w:type="dxa"/>
              <w:bottom w:w="28" w:type="dxa"/>
              <w:right w:w="28" w:type="dxa"/>
            </w:tcMar>
          </w:tcPr>
          <w:p w14:paraId="279E5D86"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74B9DE4" w14:textId="77777777" w:rsidTr="00D8618B">
        <w:tc>
          <w:tcPr>
            <w:tcW w:w="936" w:type="pct"/>
            <w:tcMar>
              <w:top w:w="28" w:type="dxa"/>
              <w:left w:w="85" w:type="dxa"/>
              <w:bottom w:w="28" w:type="dxa"/>
              <w:right w:w="28" w:type="dxa"/>
            </w:tcMar>
          </w:tcPr>
          <w:p w14:paraId="6B46D177"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ADR-DSN.N.795 </w:t>
            </w:r>
          </w:p>
        </w:tc>
        <w:tc>
          <w:tcPr>
            <w:tcW w:w="2895" w:type="pct"/>
            <w:tcMar>
              <w:top w:w="28" w:type="dxa"/>
              <w:left w:w="85" w:type="dxa"/>
              <w:bottom w:w="28" w:type="dxa"/>
              <w:right w:w="28" w:type="dxa"/>
            </w:tcMar>
          </w:tcPr>
          <w:p w14:paraId="16DEB40D" w14:textId="6607220F" w:rsidR="009642F6" w:rsidRPr="009E064B" w:rsidRDefault="00D83154" w:rsidP="009642F6">
            <w:pPr>
              <w:spacing w:after="0"/>
              <w:rPr>
                <w:rFonts w:asciiTheme="minorHAnsi" w:hAnsiTheme="minorHAnsi" w:cstheme="minorHAnsi"/>
                <w:sz w:val="16"/>
                <w:szCs w:val="16"/>
              </w:rPr>
            </w:pPr>
            <w:r w:rsidRPr="009E064B">
              <w:rPr>
                <w:rFonts w:asciiTheme="minorHAnsi" w:hAnsiTheme="minorHAnsi" w:cstheme="minorHAnsi"/>
                <w:sz w:val="16"/>
                <w:szCs w:val="16"/>
              </w:rPr>
              <w:t>Znak identyfikacji stanowiska postojowego</w:t>
            </w:r>
            <w:r w:rsidR="0051028F" w:rsidRPr="009E064B">
              <w:rPr>
                <w:rFonts w:asciiTheme="minorHAnsi" w:hAnsiTheme="minorHAnsi" w:cstheme="minorHAnsi"/>
                <w:sz w:val="16"/>
                <w:szCs w:val="16"/>
              </w:rPr>
              <w:t xml:space="preserve"> statku powietrznego</w:t>
            </w:r>
          </w:p>
        </w:tc>
        <w:tc>
          <w:tcPr>
            <w:tcW w:w="1169" w:type="pct"/>
            <w:tcMar>
              <w:top w:w="28" w:type="dxa"/>
              <w:left w:w="85" w:type="dxa"/>
              <w:bottom w:w="28" w:type="dxa"/>
              <w:right w:w="28" w:type="dxa"/>
            </w:tcMar>
          </w:tcPr>
          <w:p w14:paraId="78AE06E6" w14:textId="77777777" w:rsidR="009642F6" w:rsidRPr="009E064B" w:rsidRDefault="009642F6" w:rsidP="009642F6">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6C8EAE3" w14:textId="77777777" w:rsidTr="00D8618B">
        <w:tc>
          <w:tcPr>
            <w:tcW w:w="936" w:type="pct"/>
            <w:tcMar>
              <w:top w:w="28" w:type="dxa"/>
              <w:left w:w="85" w:type="dxa"/>
              <w:bottom w:w="28" w:type="dxa"/>
              <w:right w:w="28" w:type="dxa"/>
            </w:tcMar>
          </w:tcPr>
          <w:p w14:paraId="16E37362" w14:textId="4C17E583" w:rsidR="009E5D0A" w:rsidRPr="009E064B" w:rsidRDefault="009E5D0A" w:rsidP="009642F6">
            <w:pPr>
              <w:spacing w:after="0"/>
              <w:rPr>
                <w:rFonts w:asciiTheme="minorHAnsi" w:hAnsiTheme="minorHAnsi" w:cstheme="minorHAnsi"/>
                <w:sz w:val="16"/>
                <w:szCs w:val="16"/>
              </w:rPr>
            </w:pPr>
            <w:r w:rsidRPr="009E064B">
              <w:rPr>
                <w:rFonts w:asciiTheme="minorHAnsi" w:hAnsiTheme="minorHAnsi" w:cstheme="minorHAnsi"/>
                <w:sz w:val="16"/>
                <w:szCs w:val="16"/>
              </w:rPr>
              <w:t>C</w:t>
            </w:r>
            <w:r w:rsidR="009642F6" w:rsidRPr="009E064B">
              <w:rPr>
                <w:rFonts w:asciiTheme="minorHAnsi" w:hAnsiTheme="minorHAnsi" w:cstheme="minorHAnsi"/>
                <w:sz w:val="16"/>
                <w:szCs w:val="16"/>
              </w:rPr>
              <w:t>S ADR-DSN.N.800</w:t>
            </w:r>
          </w:p>
        </w:tc>
        <w:tc>
          <w:tcPr>
            <w:tcW w:w="2895" w:type="pct"/>
            <w:tcMar>
              <w:top w:w="28" w:type="dxa"/>
              <w:left w:w="85" w:type="dxa"/>
              <w:bottom w:w="28" w:type="dxa"/>
              <w:right w:w="28" w:type="dxa"/>
            </w:tcMar>
          </w:tcPr>
          <w:p w14:paraId="2ECE2462" w14:textId="476A8F99" w:rsidR="009E5D0A" w:rsidRPr="009E064B" w:rsidRDefault="00D83154" w:rsidP="009E5D0A">
            <w:pPr>
              <w:spacing w:after="0"/>
              <w:jc w:val="left"/>
              <w:rPr>
                <w:rFonts w:asciiTheme="minorHAnsi" w:hAnsiTheme="minorHAnsi" w:cstheme="minorHAnsi"/>
                <w:sz w:val="16"/>
                <w:szCs w:val="16"/>
                <w:highlight w:val="yellow"/>
              </w:rPr>
            </w:pPr>
            <w:r w:rsidRPr="009E064B">
              <w:rPr>
                <w:rFonts w:asciiTheme="minorHAnsi" w:hAnsiTheme="minorHAnsi" w:cstheme="minorHAnsi"/>
                <w:sz w:val="16"/>
                <w:szCs w:val="16"/>
              </w:rPr>
              <w:t>Znak miejsca oczekiwania na drodze ruchu kołowego</w:t>
            </w:r>
          </w:p>
        </w:tc>
        <w:tc>
          <w:tcPr>
            <w:tcW w:w="1169" w:type="pct"/>
            <w:tcMar>
              <w:top w:w="28" w:type="dxa"/>
              <w:left w:w="85" w:type="dxa"/>
              <w:bottom w:w="28" w:type="dxa"/>
              <w:right w:w="28" w:type="dxa"/>
            </w:tcMar>
          </w:tcPr>
          <w:p w14:paraId="35569CC4" w14:textId="7F23290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DCE08E0" w14:textId="77777777" w:rsidTr="00D8618B">
        <w:tc>
          <w:tcPr>
            <w:tcW w:w="936" w:type="pct"/>
            <w:tcMar>
              <w:top w:w="28" w:type="dxa"/>
              <w:left w:w="85" w:type="dxa"/>
              <w:bottom w:w="28" w:type="dxa"/>
              <w:right w:w="28" w:type="dxa"/>
            </w:tcMar>
          </w:tcPr>
          <w:p w14:paraId="57D1FF9F" w14:textId="7A4F737C"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ADR-DSN.Q.846</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2E486728" w14:textId="2304C098" w:rsidR="009E5D0A" w:rsidRPr="009E064B" w:rsidRDefault="00D83154"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obiektów stałych</w:t>
            </w:r>
          </w:p>
        </w:tc>
        <w:tc>
          <w:tcPr>
            <w:tcW w:w="1169" w:type="pct"/>
            <w:tcMar>
              <w:top w:w="28" w:type="dxa"/>
              <w:left w:w="85" w:type="dxa"/>
              <w:bottom w:w="28" w:type="dxa"/>
              <w:right w:w="28" w:type="dxa"/>
            </w:tcMar>
          </w:tcPr>
          <w:p w14:paraId="2AAA2EB1" w14:textId="641D14EE"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41C7F5C7" w14:textId="77777777" w:rsidTr="00D8618B">
        <w:tc>
          <w:tcPr>
            <w:tcW w:w="936" w:type="pct"/>
            <w:tcMar>
              <w:top w:w="28" w:type="dxa"/>
              <w:left w:w="85" w:type="dxa"/>
              <w:bottom w:w="28" w:type="dxa"/>
              <w:right w:w="28" w:type="dxa"/>
            </w:tcMar>
          </w:tcPr>
          <w:p w14:paraId="44376BA4" w14:textId="0003C51E"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ADR-DSN.Q.852</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1D294C7F" w14:textId="39955446" w:rsidR="009E5D0A" w:rsidRPr="009E064B" w:rsidRDefault="0051028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i oświetlenie przewodów linii napowietrznych, kabli, konstrukcji wsporczych, itp</w:t>
            </w:r>
            <w:r w:rsidR="009E5D0A" w:rsidRPr="009E064B">
              <w:rPr>
                <w:rFonts w:asciiTheme="minorHAnsi" w:hAnsiTheme="minorHAnsi" w:cstheme="minorHAnsi"/>
                <w:sz w:val="16"/>
                <w:szCs w:val="16"/>
              </w:rPr>
              <w:t>.</w:t>
            </w:r>
          </w:p>
        </w:tc>
        <w:tc>
          <w:tcPr>
            <w:tcW w:w="1169" w:type="pct"/>
            <w:tcMar>
              <w:top w:w="28" w:type="dxa"/>
              <w:left w:w="85" w:type="dxa"/>
              <w:bottom w:w="28" w:type="dxa"/>
              <w:right w:w="28" w:type="dxa"/>
            </w:tcMar>
          </w:tcPr>
          <w:p w14:paraId="5468566A" w14:textId="286798C6"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2DC78305" w14:textId="77777777" w:rsidTr="00D8618B">
        <w:tc>
          <w:tcPr>
            <w:tcW w:w="936" w:type="pct"/>
            <w:tcMar>
              <w:top w:w="28" w:type="dxa"/>
              <w:left w:w="85" w:type="dxa"/>
              <w:bottom w:w="28" w:type="dxa"/>
              <w:right w:w="28" w:type="dxa"/>
            </w:tcMar>
          </w:tcPr>
          <w:p w14:paraId="35265119"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ADR-DSN.S.880 </w:t>
            </w:r>
          </w:p>
        </w:tc>
        <w:tc>
          <w:tcPr>
            <w:tcW w:w="2895" w:type="pct"/>
            <w:tcMar>
              <w:top w:w="28" w:type="dxa"/>
              <w:left w:w="85" w:type="dxa"/>
              <w:bottom w:w="28" w:type="dxa"/>
              <w:right w:w="28" w:type="dxa"/>
            </w:tcMar>
          </w:tcPr>
          <w:p w14:paraId="1A01F178"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zasilania elektrycznego</w:t>
            </w:r>
          </w:p>
        </w:tc>
        <w:tc>
          <w:tcPr>
            <w:tcW w:w="1169" w:type="pct"/>
            <w:tcMar>
              <w:top w:w="28" w:type="dxa"/>
              <w:left w:w="85" w:type="dxa"/>
              <w:bottom w:w="28" w:type="dxa"/>
              <w:right w:w="28" w:type="dxa"/>
            </w:tcMar>
          </w:tcPr>
          <w:p w14:paraId="579943B6" w14:textId="6FB5407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A3BCE82" w14:textId="77777777" w:rsidTr="00D8618B">
        <w:tc>
          <w:tcPr>
            <w:tcW w:w="936" w:type="pct"/>
            <w:tcMar>
              <w:top w:w="28" w:type="dxa"/>
              <w:left w:w="85" w:type="dxa"/>
              <w:bottom w:w="28" w:type="dxa"/>
              <w:right w:w="28" w:type="dxa"/>
            </w:tcMar>
          </w:tcPr>
          <w:p w14:paraId="2E0DBDC1" w14:textId="112946D9"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ADR-DSN.T.921</w:t>
            </w:r>
          </w:p>
        </w:tc>
        <w:tc>
          <w:tcPr>
            <w:tcW w:w="2895" w:type="pct"/>
            <w:tcMar>
              <w:top w:w="28" w:type="dxa"/>
              <w:left w:w="85" w:type="dxa"/>
              <w:bottom w:w="28" w:type="dxa"/>
              <w:right w:w="28" w:type="dxa"/>
            </w:tcMar>
          </w:tcPr>
          <w:p w14:paraId="60355E77" w14:textId="0FADC5D1" w:rsidR="009E5D0A" w:rsidRPr="009E064B" w:rsidRDefault="00D83154"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Autonomiczny system ostrzegania o wtargnięciu  na drogę startową (ARIWS)</w:t>
            </w:r>
          </w:p>
        </w:tc>
        <w:tc>
          <w:tcPr>
            <w:tcW w:w="1169" w:type="pct"/>
            <w:tcMar>
              <w:top w:w="28" w:type="dxa"/>
              <w:left w:w="85" w:type="dxa"/>
              <w:bottom w:w="28" w:type="dxa"/>
              <w:right w:w="28" w:type="dxa"/>
            </w:tcMar>
          </w:tcPr>
          <w:p w14:paraId="7A75F4C3" w14:textId="60889354" w:rsidR="009E5D0A" w:rsidRPr="009E064B" w:rsidRDefault="00AD3041" w:rsidP="009E5D0A">
            <w:pPr>
              <w:spacing w:after="0"/>
              <w:jc w:val="left"/>
              <w:rPr>
                <w:rFonts w:asciiTheme="minorHAnsi" w:hAnsiTheme="minorHAnsi" w:cstheme="minorHAnsi"/>
                <w:sz w:val="16"/>
                <w:szCs w:val="16"/>
              </w:rPr>
            </w:pPr>
            <w:r w:rsidRPr="009E064B">
              <w:rPr>
                <w:rFonts w:asciiTheme="minorHAnsi" w:hAnsiTheme="minorHAnsi" w:cstheme="minorHAnsi"/>
                <w:b/>
                <w:sz w:val="16"/>
                <w:szCs w:val="16"/>
              </w:rPr>
              <w:t>Utworzony</w:t>
            </w:r>
            <w:r w:rsidR="009E5D0A" w:rsidRPr="009E064B">
              <w:rPr>
                <w:rFonts w:asciiTheme="minorHAnsi" w:hAnsiTheme="minorHAnsi" w:cstheme="minorHAnsi"/>
                <w:sz w:val="16"/>
                <w:szCs w:val="16"/>
              </w:rPr>
              <w:t xml:space="preserve"> (NPA 2017-04)</w:t>
            </w:r>
          </w:p>
        </w:tc>
      </w:tr>
      <w:tr w:rsidR="00D8618B" w:rsidRPr="009E064B" w14:paraId="4D6C4C4C" w14:textId="77777777" w:rsidTr="00D8618B">
        <w:tc>
          <w:tcPr>
            <w:tcW w:w="936" w:type="pct"/>
            <w:tcMar>
              <w:top w:w="28" w:type="dxa"/>
              <w:left w:w="85" w:type="dxa"/>
              <w:bottom w:w="28" w:type="dxa"/>
              <w:right w:w="28" w:type="dxa"/>
            </w:tcMar>
          </w:tcPr>
          <w:p w14:paraId="036E19D6" w14:textId="73908B3F"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CS ADR-DSN.T.925</w:t>
            </w:r>
          </w:p>
        </w:tc>
        <w:tc>
          <w:tcPr>
            <w:tcW w:w="2895" w:type="pct"/>
            <w:tcMar>
              <w:top w:w="28" w:type="dxa"/>
              <w:left w:w="85" w:type="dxa"/>
              <w:bottom w:w="28" w:type="dxa"/>
              <w:right w:w="28" w:type="dxa"/>
            </w:tcMar>
          </w:tcPr>
          <w:p w14:paraId="31E1DA98" w14:textId="4D3F57DA" w:rsidR="009E5D0A" w:rsidRPr="009E064B" w:rsidRDefault="009B0A0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Wymagania ogólne</w:t>
            </w:r>
          </w:p>
        </w:tc>
        <w:tc>
          <w:tcPr>
            <w:tcW w:w="1169" w:type="pct"/>
            <w:tcMar>
              <w:top w:w="28" w:type="dxa"/>
              <w:left w:w="85" w:type="dxa"/>
              <w:bottom w:w="28" w:type="dxa"/>
              <w:right w:w="28" w:type="dxa"/>
            </w:tcMar>
          </w:tcPr>
          <w:p w14:paraId="408BC75F" w14:textId="50EA593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2AE988F" w14:textId="77777777" w:rsidTr="00D8618B">
        <w:tc>
          <w:tcPr>
            <w:tcW w:w="936" w:type="pct"/>
            <w:tcMar>
              <w:top w:w="28" w:type="dxa"/>
              <w:left w:w="85" w:type="dxa"/>
              <w:bottom w:w="28" w:type="dxa"/>
              <w:right w:w="28" w:type="dxa"/>
            </w:tcMar>
          </w:tcPr>
          <w:p w14:paraId="4EB7CFB5" w14:textId="25CFF863" w:rsidR="009E5D0A" w:rsidRPr="009E064B" w:rsidRDefault="00BC27F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CS ADR-DSN.U.930</w:t>
            </w:r>
          </w:p>
        </w:tc>
        <w:tc>
          <w:tcPr>
            <w:tcW w:w="2895" w:type="pct"/>
            <w:tcMar>
              <w:top w:w="28" w:type="dxa"/>
              <w:left w:w="85" w:type="dxa"/>
              <w:bottom w:w="28" w:type="dxa"/>
              <w:right w:w="28" w:type="dxa"/>
            </w:tcMar>
          </w:tcPr>
          <w:p w14:paraId="7CA83342"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Kolory naziemnych świateł lotniczych</w:t>
            </w:r>
          </w:p>
        </w:tc>
        <w:tc>
          <w:tcPr>
            <w:tcW w:w="1169" w:type="pct"/>
            <w:tcMar>
              <w:top w:w="28" w:type="dxa"/>
              <w:left w:w="85" w:type="dxa"/>
              <w:bottom w:w="28" w:type="dxa"/>
              <w:right w:w="28" w:type="dxa"/>
            </w:tcMar>
          </w:tcPr>
          <w:p w14:paraId="5BC36961" w14:textId="2DBCA083"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19234D5" w14:textId="77777777" w:rsidTr="00D8618B">
        <w:tc>
          <w:tcPr>
            <w:tcW w:w="936" w:type="pct"/>
            <w:tcMar>
              <w:top w:w="28" w:type="dxa"/>
              <w:left w:w="85" w:type="dxa"/>
              <w:bottom w:w="28" w:type="dxa"/>
              <w:right w:w="28" w:type="dxa"/>
            </w:tcMar>
          </w:tcPr>
          <w:p w14:paraId="04F0BF59"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CS ADR-DSN.U.940 </w:t>
            </w:r>
          </w:p>
        </w:tc>
        <w:tc>
          <w:tcPr>
            <w:tcW w:w="2895" w:type="pct"/>
            <w:tcMar>
              <w:top w:w="28" w:type="dxa"/>
              <w:left w:w="85" w:type="dxa"/>
              <w:bottom w:w="28" w:type="dxa"/>
              <w:right w:w="28" w:type="dxa"/>
            </w:tcMar>
          </w:tcPr>
          <w:p w14:paraId="22E962EB"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Charakterystyki naziemnych świateł lotniczych</w:t>
            </w:r>
          </w:p>
        </w:tc>
        <w:tc>
          <w:tcPr>
            <w:tcW w:w="1169" w:type="pct"/>
            <w:tcMar>
              <w:top w:w="28" w:type="dxa"/>
              <w:left w:w="85" w:type="dxa"/>
              <w:bottom w:w="28" w:type="dxa"/>
              <w:right w:w="28" w:type="dxa"/>
            </w:tcMar>
          </w:tcPr>
          <w:p w14:paraId="6E84A3F1" w14:textId="16383D1B"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3717E2B" w14:textId="77777777" w:rsidTr="00D8618B">
        <w:tc>
          <w:tcPr>
            <w:tcW w:w="936" w:type="pct"/>
            <w:tcMar>
              <w:top w:w="28" w:type="dxa"/>
              <w:left w:w="85" w:type="dxa"/>
              <w:bottom w:w="28" w:type="dxa"/>
              <w:right w:w="28" w:type="dxa"/>
            </w:tcMar>
          </w:tcPr>
          <w:p w14:paraId="1101B8F5"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ADR-DSN.A.005 </w:t>
            </w:r>
          </w:p>
        </w:tc>
        <w:tc>
          <w:tcPr>
            <w:tcW w:w="2895" w:type="pct"/>
            <w:tcMar>
              <w:top w:w="28" w:type="dxa"/>
              <w:left w:w="85" w:type="dxa"/>
              <w:bottom w:w="28" w:type="dxa"/>
              <w:right w:w="28" w:type="dxa"/>
            </w:tcMar>
          </w:tcPr>
          <w:p w14:paraId="0A213FF0"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Kod referencyjny lotniska</w:t>
            </w:r>
          </w:p>
        </w:tc>
        <w:tc>
          <w:tcPr>
            <w:tcW w:w="1169" w:type="pct"/>
            <w:tcMar>
              <w:top w:w="28" w:type="dxa"/>
              <w:left w:w="85" w:type="dxa"/>
              <w:bottom w:w="28" w:type="dxa"/>
              <w:right w:w="28" w:type="dxa"/>
            </w:tcMar>
          </w:tcPr>
          <w:p w14:paraId="389E7EC1" w14:textId="0269790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643BF101" w14:textId="77777777" w:rsidTr="00D8618B">
        <w:tc>
          <w:tcPr>
            <w:tcW w:w="936" w:type="pct"/>
            <w:tcMar>
              <w:top w:w="28" w:type="dxa"/>
              <w:left w:w="85" w:type="dxa"/>
              <w:bottom w:w="28" w:type="dxa"/>
              <w:right w:w="28" w:type="dxa"/>
            </w:tcMar>
          </w:tcPr>
          <w:p w14:paraId="2401F91C"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ADR-DSN.B.015 </w:t>
            </w:r>
          </w:p>
        </w:tc>
        <w:tc>
          <w:tcPr>
            <w:tcW w:w="2895" w:type="pct"/>
            <w:tcMar>
              <w:top w:w="28" w:type="dxa"/>
              <w:left w:w="85" w:type="dxa"/>
              <w:bottom w:w="28" w:type="dxa"/>
              <w:right w:w="28" w:type="dxa"/>
            </w:tcMar>
          </w:tcPr>
          <w:p w14:paraId="7ABE7791"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Ilość, rozmieszczenie i kierunek dróg startowych</w:t>
            </w:r>
          </w:p>
        </w:tc>
        <w:tc>
          <w:tcPr>
            <w:tcW w:w="1169" w:type="pct"/>
            <w:tcMar>
              <w:top w:w="28" w:type="dxa"/>
              <w:left w:w="85" w:type="dxa"/>
              <w:bottom w:w="28" w:type="dxa"/>
              <w:right w:w="28" w:type="dxa"/>
            </w:tcMar>
          </w:tcPr>
          <w:p w14:paraId="77FDF20E" w14:textId="57DF109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4257D7A" w14:textId="77777777" w:rsidTr="00D8618B">
        <w:tc>
          <w:tcPr>
            <w:tcW w:w="936" w:type="pct"/>
            <w:tcMar>
              <w:top w:w="28" w:type="dxa"/>
              <w:left w:w="85" w:type="dxa"/>
              <w:bottom w:w="28" w:type="dxa"/>
              <w:right w:w="28" w:type="dxa"/>
            </w:tcMar>
          </w:tcPr>
          <w:p w14:paraId="6B070B74" w14:textId="4152C5BC" w:rsidR="00BC27FF" w:rsidRPr="009E064B" w:rsidRDefault="00BC27F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ADR-DSN.B.025</w:t>
            </w:r>
          </w:p>
        </w:tc>
        <w:tc>
          <w:tcPr>
            <w:tcW w:w="2895" w:type="pct"/>
            <w:tcMar>
              <w:top w:w="28" w:type="dxa"/>
              <w:left w:w="85" w:type="dxa"/>
              <w:bottom w:w="28" w:type="dxa"/>
              <w:right w:w="28" w:type="dxa"/>
            </w:tcMar>
          </w:tcPr>
          <w:p w14:paraId="084F5608" w14:textId="36C981DD" w:rsidR="00BC27FF" w:rsidRPr="009E064B" w:rsidRDefault="00D83154"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Dane, którymi należy się posługiwać</w:t>
            </w:r>
          </w:p>
        </w:tc>
        <w:tc>
          <w:tcPr>
            <w:tcW w:w="1169" w:type="pct"/>
            <w:tcMar>
              <w:top w:w="28" w:type="dxa"/>
              <w:left w:w="85" w:type="dxa"/>
              <w:bottom w:w="28" w:type="dxa"/>
              <w:right w:w="28" w:type="dxa"/>
            </w:tcMar>
          </w:tcPr>
          <w:p w14:paraId="66A4322B" w14:textId="77777777" w:rsidR="00BC27FF" w:rsidRPr="009E064B" w:rsidRDefault="00BC27FF" w:rsidP="00BC27FF">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AB2B937" w14:textId="77777777" w:rsidTr="00D8618B">
        <w:tc>
          <w:tcPr>
            <w:tcW w:w="936" w:type="pct"/>
            <w:tcMar>
              <w:top w:w="28" w:type="dxa"/>
              <w:left w:w="85" w:type="dxa"/>
              <w:bottom w:w="28" w:type="dxa"/>
              <w:right w:w="28" w:type="dxa"/>
            </w:tcMar>
          </w:tcPr>
          <w:p w14:paraId="214535C0" w14:textId="58F99BFB" w:rsidR="00BC27FF" w:rsidRPr="009E064B" w:rsidRDefault="00BC27F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ADR-DSN.B.030</w:t>
            </w:r>
          </w:p>
        </w:tc>
        <w:tc>
          <w:tcPr>
            <w:tcW w:w="2895" w:type="pct"/>
            <w:tcMar>
              <w:top w:w="28" w:type="dxa"/>
              <w:left w:w="85" w:type="dxa"/>
              <w:bottom w:w="28" w:type="dxa"/>
              <w:right w:w="28" w:type="dxa"/>
            </w:tcMar>
          </w:tcPr>
          <w:p w14:paraId="772BDBF1" w14:textId="3E6D8979" w:rsidR="00BC27FF" w:rsidRPr="009E064B" w:rsidRDefault="00D83154"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Próg drogi startowej</w:t>
            </w:r>
          </w:p>
        </w:tc>
        <w:tc>
          <w:tcPr>
            <w:tcW w:w="1169" w:type="pct"/>
            <w:tcMar>
              <w:top w:w="28" w:type="dxa"/>
              <w:left w:w="85" w:type="dxa"/>
              <w:bottom w:w="28" w:type="dxa"/>
              <w:right w:w="28" w:type="dxa"/>
            </w:tcMar>
          </w:tcPr>
          <w:p w14:paraId="68A19A8B" w14:textId="77777777" w:rsidR="00BC27FF" w:rsidRPr="009E064B" w:rsidRDefault="00BC27FF" w:rsidP="00BC27FF">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7CDEC37" w14:textId="77777777" w:rsidTr="00D8618B">
        <w:tc>
          <w:tcPr>
            <w:tcW w:w="936" w:type="pct"/>
            <w:tcMar>
              <w:top w:w="28" w:type="dxa"/>
              <w:left w:w="85" w:type="dxa"/>
              <w:bottom w:w="28" w:type="dxa"/>
              <w:right w:w="28" w:type="dxa"/>
            </w:tcMar>
          </w:tcPr>
          <w:p w14:paraId="46CA6AB6"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ADR-DSN.B.045 </w:t>
            </w:r>
          </w:p>
        </w:tc>
        <w:tc>
          <w:tcPr>
            <w:tcW w:w="2895" w:type="pct"/>
            <w:tcMar>
              <w:top w:w="28" w:type="dxa"/>
              <w:left w:w="85" w:type="dxa"/>
              <w:bottom w:w="28" w:type="dxa"/>
              <w:right w:w="28" w:type="dxa"/>
            </w:tcMar>
          </w:tcPr>
          <w:p w14:paraId="5E6C97B1"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dróg startowych</w:t>
            </w:r>
          </w:p>
        </w:tc>
        <w:tc>
          <w:tcPr>
            <w:tcW w:w="1169" w:type="pct"/>
            <w:tcMar>
              <w:top w:w="28" w:type="dxa"/>
              <w:left w:w="85" w:type="dxa"/>
              <w:bottom w:w="28" w:type="dxa"/>
              <w:right w:w="28" w:type="dxa"/>
            </w:tcMar>
          </w:tcPr>
          <w:p w14:paraId="07043766" w14:textId="1EE65CF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A341403" w14:textId="77777777" w:rsidTr="00D8618B">
        <w:tc>
          <w:tcPr>
            <w:tcW w:w="936" w:type="pct"/>
            <w:tcMar>
              <w:top w:w="28" w:type="dxa"/>
              <w:left w:w="85" w:type="dxa"/>
              <w:bottom w:w="28" w:type="dxa"/>
              <w:right w:w="28" w:type="dxa"/>
            </w:tcMar>
          </w:tcPr>
          <w:p w14:paraId="41EBE19B" w14:textId="08639959" w:rsidR="009E5D0A" w:rsidRPr="009E064B" w:rsidRDefault="00BC27F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ADR-DSN.B.060</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113AD92B" w14:textId="6BC4F421" w:rsidR="009E5D0A" w:rsidRPr="009E064B" w:rsidRDefault="00D83154"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podłużne drogi startowej</w:t>
            </w:r>
          </w:p>
        </w:tc>
        <w:tc>
          <w:tcPr>
            <w:tcW w:w="1169" w:type="pct"/>
            <w:tcMar>
              <w:top w:w="28" w:type="dxa"/>
              <w:left w:w="85" w:type="dxa"/>
              <w:bottom w:w="28" w:type="dxa"/>
              <w:right w:w="28" w:type="dxa"/>
            </w:tcMar>
          </w:tcPr>
          <w:p w14:paraId="19AA02A4" w14:textId="1BE2E467"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06EAA57D" w14:textId="77777777" w:rsidTr="00D8618B">
        <w:tc>
          <w:tcPr>
            <w:tcW w:w="936" w:type="pct"/>
            <w:tcMar>
              <w:top w:w="28" w:type="dxa"/>
              <w:left w:w="85" w:type="dxa"/>
              <w:bottom w:w="28" w:type="dxa"/>
              <w:right w:w="28" w:type="dxa"/>
            </w:tcMar>
          </w:tcPr>
          <w:p w14:paraId="2AF0870A" w14:textId="7075CE36"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G</w:t>
            </w:r>
            <w:r w:rsidR="00BC27FF" w:rsidRPr="009E064B">
              <w:rPr>
                <w:rFonts w:asciiTheme="minorHAnsi" w:hAnsiTheme="minorHAnsi" w:cstheme="minorHAnsi"/>
                <w:sz w:val="16"/>
                <w:szCs w:val="16"/>
              </w:rPr>
              <w:t>M1 ADR-DSN.B.080</w:t>
            </w:r>
          </w:p>
        </w:tc>
        <w:tc>
          <w:tcPr>
            <w:tcW w:w="2895" w:type="pct"/>
            <w:tcMar>
              <w:top w:w="28" w:type="dxa"/>
              <w:left w:w="85" w:type="dxa"/>
              <w:bottom w:w="28" w:type="dxa"/>
              <w:right w:w="28" w:type="dxa"/>
            </w:tcMar>
          </w:tcPr>
          <w:p w14:paraId="68795D34" w14:textId="772A2154" w:rsidR="009E5D0A" w:rsidRPr="009E064B" w:rsidRDefault="00D83154"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poprzeczne drogi startowej</w:t>
            </w:r>
          </w:p>
        </w:tc>
        <w:tc>
          <w:tcPr>
            <w:tcW w:w="1169" w:type="pct"/>
            <w:tcMar>
              <w:top w:w="28" w:type="dxa"/>
              <w:left w:w="85" w:type="dxa"/>
              <w:bottom w:w="28" w:type="dxa"/>
              <w:right w:w="28" w:type="dxa"/>
            </w:tcMar>
          </w:tcPr>
          <w:p w14:paraId="12F9742D" w14:textId="59D52908"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6C3022ED" w14:textId="77777777" w:rsidTr="00D8618B">
        <w:tc>
          <w:tcPr>
            <w:tcW w:w="936" w:type="pct"/>
            <w:tcMar>
              <w:top w:w="28" w:type="dxa"/>
              <w:left w:w="85" w:type="dxa"/>
              <w:bottom w:w="28" w:type="dxa"/>
              <w:right w:w="28" w:type="dxa"/>
            </w:tcMar>
          </w:tcPr>
          <w:p w14:paraId="4F20CE56"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ADR-DSN.B.O95 </w:t>
            </w:r>
          </w:p>
        </w:tc>
        <w:tc>
          <w:tcPr>
            <w:tcW w:w="2895" w:type="pct"/>
            <w:tcMar>
              <w:top w:w="28" w:type="dxa"/>
              <w:left w:w="85" w:type="dxa"/>
              <w:bottom w:w="28" w:type="dxa"/>
              <w:right w:w="28" w:type="dxa"/>
            </w:tcMar>
          </w:tcPr>
          <w:p w14:paraId="38989CF9"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Płaszczyzny do zawracania na drodze startowej</w:t>
            </w:r>
          </w:p>
        </w:tc>
        <w:tc>
          <w:tcPr>
            <w:tcW w:w="1169" w:type="pct"/>
            <w:tcMar>
              <w:top w:w="28" w:type="dxa"/>
              <w:left w:w="85" w:type="dxa"/>
              <w:bottom w:w="28" w:type="dxa"/>
              <w:right w:w="28" w:type="dxa"/>
            </w:tcMar>
          </w:tcPr>
          <w:p w14:paraId="51CACD3B" w14:textId="37FABF54"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6D689AF" w14:textId="77777777" w:rsidTr="00D8618B">
        <w:tc>
          <w:tcPr>
            <w:tcW w:w="936" w:type="pct"/>
            <w:tcMar>
              <w:top w:w="28" w:type="dxa"/>
              <w:left w:w="85" w:type="dxa"/>
              <w:bottom w:w="28" w:type="dxa"/>
              <w:right w:w="28" w:type="dxa"/>
            </w:tcMar>
          </w:tcPr>
          <w:p w14:paraId="0DB8DDC7"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ADR-DSN.B.125 </w:t>
            </w:r>
          </w:p>
        </w:tc>
        <w:tc>
          <w:tcPr>
            <w:tcW w:w="2895" w:type="pct"/>
            <w:tcMar>
              <w:top w:w="28" w:type="dxa"/>
              <w:left w:w="85" w:type="dxa"/>
              <w:bottom w:w="28" w:type="dxa"/>
              <w:right w:w="28" w:type="dxa"/>
            </w:tcMar>
          </w:tcPr>
          <w:p w14:paraId="0820E28E" w14:textId="77777777" w:rsidR="009E5D0A" w:rsidRPr="009E064B" w:rsidRDefault="009E5D0A"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Pobocza drogi startowej</w:t>
            </w:r>
          </w:p>
        </w:tc>
        <w:tc>
          <w:tcPr>
            <w:tcW w:w="1169" w:type="pct"/>
            <w:tcMar>
              <w:top w:w="28" w:type="dxa"/>
              <w:left w:w="85" w:type="dxa"/>
              <w:bottom w:w="28" w:type="dxa"/>
              <w:right w:w="28" w:type="dxa"/>
            </w:tcMar>
          </w:tcPr>
          <w:p w14:paraId="70A00B18" w14:textId="1D2E2072"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6FC8203" w14:textId="77777777" w:rsidTr="00D8618B">
        <w:tc>
          <w:tcPr>
            <w:tcW w:w="936" w:type="pct"/>
            <w:tcMar>
              <w:top w:w="28" w:type="dxa"/>
              <w:left w:w="85" w:type="dxa"/>
              <w:bottom w:w="28" w:type="dxa"/>
              <w:right w:w="28" w:type="dxa"/>
            </w:tcMar>
          </w:tcPr>
          <w:p w14:paraId="3E78FF14" w14:textId="42C84C86" w:rsidR="00BC27FF" w:rsidRPr="009E064B" w:rsidRDefault="00BC27F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ADR-DSN.B.140</w:t>
            </w:r>
          </w:p>
        </w:tc>
        <w:tc>
          <w:tcPr>
            <w:tcW w:w="2895" w:type="pct"/>
            <w:tcMar>
              <w:top w:w="28" w:type="dxa"/>
              <w:left w:w="85" w:type="dxa"/>
              <w:bottom w:w="28" w:type="dxa"/>
              <w:right w:w="28" w:type="dxa"/>
            </w:tcMar>
          </w:tcPr>
          <w:p w14:paraId="42DE7E34" w14:textId="2F48E637" w:rsidR="00BC27FF" w:rsidRPr="009E064B" w:rsidRDefault="0051028F" w:rsidP="0051028F">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poboczy drogi startowej</w:t>
            </w:r>
          </w:p>
        </w:tc>
        <w:tc>
          <w:tcPr>
            <w:tcW w:w="1169" w:type="pct"/>
            <w:tcMar>
              <w:top w:w="28" w:type="dxa"/>
              <w:left w:w="85" w:type="dxa"/>
              <w:bottom w:w="28" w:type="dxa"/>
              <w:right w:w="28" w:type="dxa"/>
            </w:tcMar>
          </w:tcPr>
          <w:p w14:paraId="6C9C65DB" w14:textId="77777777" w:rsidR="00BC27FF" w:rsidRPr="009E064B" w:rsidRDefault="00BC27FF" w:rsidP="00BC27FF">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4A6BBAC" w14:textId="77777777" w:rsidTr="00D8618B">
        <w:tc>
          <w:tcPr>
            <w:tcW w:w="936" w:type="pct"/>
            <w:tcMar>
              <w:top w:w="28" w:type="dxa"/>
              <w:left w:w="85" w:type="dxa"/>
              <w:bottom w:w="28" w:type="dxa"/>
              <w:right w:w="28" w:type="dxa"/>
            </w:tcMar>
          </w:tcPr>
          <w:p w14:paraId="63F8D710" w14:textId="77777777" w:rsidR="00BC27FF" w:rsidRPr="009E064B" w:rsidRDefault="00BC27FF" w:rsidP="00BC27FF">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ADR-DSN.B.145 </w:t>
            </w:r>
          </w:p>
        </w:tc>
        <w:tc>
          <w:tcPr>
            <w:tcW w:w="2895" w:type="pct"/>
            <w:tcMar>
              <w:top w:w="28" w:type="dxa"/>
              <w:left w:w="85" w:type="dxa"/>
              <w:bottom w:w="28" w:type="dxa"/>
              <w:right w:w="28" w:type="dxa"/>
            </w:tcMar>
          </w:tcPr>
          <w:p w14:paraId="5C5F5FAC" w14:textId="57B0DF0A" w:rsidR="00BC27FF" w:rsidRPr="009E064B" w:rsidRDefault="00D83154" w:rsidP="0051028F">
            <w:pPr>
              <w:spacing w:after="0"/>
              <w:rPr>
                <w:rFonts w:asciiTheme="minorHAnsi" w:hAnsiTheme="minorHAnsi" w:cstheme="minorHAnsi"/>
                <w:sz w:val="16"/>
                <w:szCs w:val="16"/>
              </w:rPr>
            </w:pPr>
            <w:r w:rsidRPr="009E064B">
              <w:rPr>
                <w:rFonts w:asciiTheme="minorHAnsi" w:hAnsiTheme="minorHAnsi" w:cstheme="minorHAnsi"/>
                <w:sz w:val="16"/>
                <w:szCs w:val="16"/>
              </w:rPr>
              <w:t>Powierzchnia pobocz</w:t>
            </w:r>
            <w:r w:rsidR="0051028F" w:rsidRPr="009E064B">
              <w:rPr>
                <w:rFonts w:asciiTheme="minorHAnsi" w:hAnsiTheme="minorHAnsi" w:cstheme="minorHAnsi"/>
                <w:sz w:val="16"/>
                <w:szCs w:val="16"/>
              </w:rPr>
              <w:t>y</w:t>
            </w:r>
            <w:r w:rsidRPr="009E064B">
              <w:rPr>
                <w:rFonts w:asciiTheme="minorHAnsi" w:hAnsiTheme="minorHAnsi" w:cstheme="minorHAnsi"/>
                <w:sz w:val="16"/>
                <w:szCs w:val="16"/>
              </w:rPr>
              <w:t xml:space="preserve"> drogi startowej</w:t>
            </w:r>
          </w:p>
        </w:tc>
        <w:tc>
          <w:tcPr>
            <w:tcW w:w="1169" w:type="pct"/>
            <w:tcMar>
              <w:top w:w="28" w:type="dxa"/>
              <w:left w:w="85" w:type="dxa"/>
              <w:bottom w:w="28" w:type="dxa"/>
              <w:right w:w="28" w:type="dxa"/>
            </w:tcMar>
          </w:tcPr>
          <w:p w14:paraId="51E621AD" w14:textId="77777777" w:rsidR="00BC27FF" w:rsidRPr="009E064B" w:rsidRDefault="00BC27FF" w:rsidP="00BC27FF">
            <w:pPr>
              <w:spacing w:after="0"/>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812C289" w14:textId="77777777" w:rsidTr="00D8618B">
        <w:tc>
          <w:tcPr>
            <w:tcW w:w="936" w:type="pct"/>
            <w:tcMar>
              <w:top w:w="28" w:type="dxa"/>
              <w:left w:w="85" w:type="dxa"/>
              <w:bottom w:w="28" w:type="dxa"/>
              <w:right w:w="28" w:type="dxa"/>
            </w:tcMar>
          </w:tcPr>
          <w:p w14:paraId="2F6CE30E" w14:textId="5DFADD4A"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G</w:t>
            </w:r>
            <w:r w:rsidR="00BC27FF" w:rsidRPr="009E064B">
              <w:rPr>
                <w:rFonts w:asciiTheme="minorHAnsi" w:hAnsiTheme="minorHAnsi" w:cstheme="minorHAnsi"/>
                <w:sz w:val="16"/>
                <w:szCs w:val="16"/>
              </w:rPr>
              <w:t>M1 ADR-DSN.B.150</w:t>
            </w:r>
            <w:r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7F4F59D0" w14:textId="68186B5B" w:rsidR="009E5D0A" w:rsidRPr="009E064B" w:rsidRDefault="00D83154"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Pas drogi startowej, jaki powinien być zapewniony</w:t>
            </w:r>
          </w:p>
        </w:tc>
        <w:tc>
          <w:tcPr>
            <w:tcW w:w="1169" w:type="pct"/>
            <w:tcMar>
              <w:top w:w="28" w:type="dxa"/>
              <w:left w:w="85" w:type="dxa"/>
              <w:bottom w:w="28" w:type="dxa"/>
              <w:right w:w="28" w:type="dxa"/>
            </w:tcMar>
          </w:tcPr>
          <w:p w14:paraId="22357694" w14:textId="14EF2C9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9865157" w14:textId="77777777" w:rsidTr="00D8618B">
        <w:tc>
          <w:tcPr>
            <w:tcW w:w="936" w:type="pct"/>
            <w:tcMar>
              <w:top w:w="28" w:type="dxa"/>
              <w:left w:w="85" w:type="dxa"/>
              <w:bottom w:w="28" w:type="dxa"/>
              <w:right w:w="28" w:type="dxa"/>
            </w:tcMar>
          </w:tcPr>
          <w:p w14:paraId="02BDF982"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ADR-DSN.B.165 </w:t>
            </w:r>
          </w:p>
        </w:tc>
        <w:tc>
          <w:tcPr>
            <w:tcW w:w="2895" w:type="pct"/>
            <w:tcMar>
              <w:top w:w="28" w:type="dxa"/>
              <w:left w:w="85" w:type="dxa"/>
              <w:bottom w:w="28" w:type="dxa"/>
              <w:right w:w="28" w:type="dxa"/>
            </w:tcMar>
          </w:tcPr>
          <w:p w14:paraId="4D19ADE4"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na pasie drogi startowej</w:t>
            </w:r>
          </w:p>
        </w:tc>
        <w:tc>
          <w:tcPr>
            <w:tcW w:w="1169" w:type="pct"/>
            <w:tcMar>
              <w:top w:w="28" w:type="dxa"/>
              <w:left w:w="85" w:type="dxa"/>
              <w:bottom w:w="28" w:type="dxa"/>
              <w:right w:w="28" w:type="dxa"/>
            </w:tcMar>
          </w:tcPr>
          <w:p w14:paraId="6D30F079" w14:textId="48D6AB16"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AC2AB93" w14:textId="77777777" w:rsidTr="00D8618B">
        <w:tc>
          <w:tcPr>
            <w:tcW w:w="936" w:type="pct"/>
            <w:tcMar>
              <w:top w:w="28" w:type="dxa"/>
              <w:left w:w="85" w:type="dxa"/>
              <w:bottom w:w="28" w:type="dxa"/>
              <w:right w:w="28" w:type="dxa"/>
            </w:tcMar>
          </w:tcPr>
          <w:p w14:paraId="00EB21FE"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ADR-DSN.B.175 </w:t>
            </w:r>
          </w:p>
        </w:tc>
        <w:tc>
          <w:tcPr>
            <w:tcW w:w="2895" w:type="pct"/>
            <w:tcMar>
              <w:top w:w="28" w:type="dxa"/>
              <w:left w:w="85" w:type="dxa"/>
              <w:bottom w:w="28" w:type="dxa"/>
              <w:right w:w="28" w:type="dxa"/>
            </w:tcMar>
          </w:tcPr>
          <w:p w14:paraId="5783C744"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Wyrównanie pasa drogi startowej </w:t>
            </w:r>
          </w:p>
        </w:tc>
        <w:tc>
          <w:tcPr>
            <w:tcW w:w="1169" w:type="pct"/>
            <w:tcMar>
              <w:top w:w="28" w:type="dxa"/>
              <w:left w:w="85" w:type="dxa"/>
              <w:bottom w:w="28" w:type="dxa"/>
              <w:right w:w="28" w:type="dxa"/>
            </w:tcMar>
          </w:tcPr>
          <w:p w14:paraId="75806C2B" w14:textId="54C802BC"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5873018" w14:textId="77777777" w:rsidTr="00D8618B">
        <w:tc>
          <w:tcPr>
            <w:tcW w:w="936" w:type="pct"/>
            <w:tcMar>
              <w:top w:w="28" w:type="dxa"/>
              <w:left w:w="85" w:type="dxa"/>
              <w:bottom w:w="28" w:type="dxa"/>
              <w:right w:w="28" w:type="dxa"/>
            </w:tcMar>
          </w:tcPr>
          <w:p w14:paraId="793D0D47" w14:textId="3510F011" w:rsidR="009E5D0A" w:rsidRPr="009E064B" w:rsidRDefault="009E5D0A" w:rsidP="00BC27FF">
            <w:pPr>
              <w:spacing w:after="0"/>
              <w:rPr>
                <w:rFonts w:asciiTheme="minorHAnsi" w:hAnsiTheme="minorHAnsi" w:cstheme="minorHAnsi"/>
                <w:sz w:val="16"/>
                <w:szCs w:val="16"/>
              </w:rPr>
            </w:pPr>
            <w:r w:rsidRPr="009E064B">
              <w:rPr>
                <w:rFonts w:asciiTheme="minorHAnsi" w:hAnsiTheme="minorHAnsi" w:cstheme="minorHAnsi"/>
                <w:sz w:val="16"/>
                <w:szCs w:val="16"/>
              </w:rPr>
              <w:t>GM1 ADR-DSN.B.18</w:t>
            </w:r>
            <w:r w:rsidR="00BC27FF" w:rsidRPr="009E064B">
              <w:rPr>
                <w:rFonts w:asciiTheme="minorHAnsi" w:hAnsiTheme="minorHAnsi" w:cstheme="minorHAnsi"/>
                <w:sz w:val="16"/>
                <w:szCs w:val="16"/>
              </w:rPr>
              <w:t>5</w:t>
            </w:r>
            <w:r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363345B2" w14:textId="10274451" w:rsidR="009E5D0A" w:rsidRPr="009E064B" w:rsidRDefault="00D263A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Nachylenie poprzeczne pasa drogi startowej</w:t>
            </w:r>
          </w:p>
        </w:tc>
        <w:tc>
          <w:tcPr>
            <w:tcW w:w="1169" w:type="pct"/>
            <w:tcMar>
              <w:top w:w="28" w:type="dxa"/>
              <w:left w:w="85" w:type="dxa"/>
              <w:bottom w:w="28" w:type="dxa"/>
              <w:right w:w="28" w:type="dxa"/>
            </w:tcMar>
          </w:tcPr>
          <w:p w14:paraId="68057C87" w14:textId="1A49D383"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A315B06" w14:textId="77777777" w:rsidTr="00D8618B">
        <w:tc>
          <w:tcPr>
            <w:tcW w:w="936" w:type="pct"/>
            <w:tcMar>
              <w:top w:w="28" w:type="dxa"/>
              <w:left w:w="85" w:type="dxa"/>
              <w:bottom w:w="28" w:type="dxa"/>
              <w:right w:w="28" w:type="dxa"/>
            </w:tcMar>
          </w:tcPr>
          <w:p w14:paraId="2AE5CB56"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ADR-DSN.D.240 </w:t>
            </w:r>
          </w:p>
        </w:tc>
        <w:tc>
          <w:tcPr>
            <w:tcW w:w="2895" w:type="pct"/>
            <w:tcMar>
              <w:top w:w="28" w:type="dxa"/>
              <w:left w:w="85" w:type="dxa"/>
              <w:bottom w:w="28" w:type="dxa"/>
              <w:right w:w="28" w:type="dxa"/>
            </w:tcMar>
          </w:tcPr>
          <w:p w14:paraId="4CB66454" w14:textId="123A0931"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Drogi kołowania – </w:t>
            </w:r>
            <w:r w:rsidR="009B0A08" w:rsidRPr="009E064B">
              <w:rPr>
                <w:rFonts w:asciiTheme="minorHAnsi" w:hAnsiTheme="minorHAnsi" w:cstheme="minorHAnsi"/>
                <w:sz w:val="16"/>
                <w:szCs w:val="16"/>
              </w:rPr>
              <w:t>Wymagania ogólne</w:t>
            </w:r>
          </w:p>
        </w:tc>
        <w:tc>
          <w:tcPr>
            <w:tcW w:w="1169" w:type="pct"/>
            <w:tcMar>
              <w:top w:w="28" w:type="dxa"/>
              <w:left w:w="85" w:type="dxa"/>
              <w:bottom w:w="28" w:type="dxa"/>
              <w:right w:w="28" w:type="dxa"/>
            </w:tcMar>
          </w:tcPr>
          <w:p w14:paraId="0C33CC4D" w14:textId="6FBB113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C5DE726" w14:textId="77777777" w:rsidTr="00D8618B">
        <w:tc>
          <w:tcPr>
            <w:tcW w:w="936" w:type="pct"/>
            <w:tcMar>
              <w:top w:w="28" w:type="dxa"/>
              <w:left w:w="85" w:type="dxa"/>
              <w:bottom w:w="28" w:type="dxa"/>
              <w:right w:w="28" w:type="dxa"/>
            </w:tcMar>
          </w:tcPr>
          <w:p w14:paraId="27F252B8"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ADR-DSN.D.260 </w:t>
            </w:r>
          </w:p>
        </w:tc>
        <w:tc>
          <w:tcPr>
            <w:tcW w:w="2895" w:type="pct"/>
            <w:tcMar>
              <w:top w:w="28" w:type="dxa"/>
              <w:left w:w="85" w:type="dxa"/>
              <w:bottom w:w="28" w:type="dxa"/>
              <w:right w:w="28" w:type="dxa"/>
            </w:tcMar>
          </w:tcPr>
          <w:p w14:paraId="165C314A"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Minimalne odległości separacji na drogach kołowania</w:t>
            </w:r>
          </w:p>
        </w:tc>
        <w:tc>
          <w:tcPr>
            <w:tcW w:w="1169" w:type="pct"/>
            <w:tcMar>
              <w:top w:w="28" w:type="dxa"/>
              <w:left w:w="85" w:type="dxa"/>
              <w:bottom w:w="28" w:type="dxa"/>
              <w:right w:w="28" w:type="dxa"/>
            </w:tcMar>
          </w:tcPr>
          <w:p w14:paraId="69DBB28E" w14:textId="2FC964DB"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6578438" w14:textId="77777777" w:rsidTr="00D8618B">
        <w:tc>
          <w:tcPr>
            <w:tcW w:w="936" w:type="pct"/>
            <w:tcMar>
              <w:top w:w="28" w:type="dxa"/>
              <w:left w:w="85" w:type="dxa"/>
              <w:bottom w:w="28" w:type="dxa"/>
              <w:right w:w="28" w:type="dxa"/>
            </w:tcMar>
          </w:tcPr>
          <w:p w14:paraId="2979766C" w14:textId="0C94E995" w:rsidR="009E5D0A" w:rsidRPr="009E064B" w:rsidRDefault="009E5D0A" w:rsidP="00BC27FF">
            <w:pPr>
              <w:spacing w:after="0"/>
              <w:rPr>
                <w:rFonts w:asciiTheme="minorHAnsi" w:hAnsiTheme="minorHAnsi" w:cstheme="minorHAnsi"/>
                <w:sz w:val="16"/>
                <w:szCs w:val="16"/>
              </w:rPr>
            </w:pPr>
            <w:r w:rsidRPr="009E064B">
              <w:rPr>
                <w:rFonts w:asciiTheme="minorHAnsi" w:hAnsiTheme="minorHAnsi" w:cstheme="minorHAnsi"/>
                <w:sz w:val="16"/>
                <w:szCs w:val="16"/>
              </w:rPr>
              <w:t>GM1 ADR-DSN.D.</w:t>
            </w:r>
            <w:r w:rsidR="00BC27FF" w:rsidRPr="009E064B">
              <w:rPr>
                <w:rFonts w:asciiTheme="minorHAnsi" w:hAnsiTheme="minorHAnsi" w:cstheme="minorHAnsi"/>
                <w:sz w:val="16"/>
                <w:szCs w:val="16"/>
              </w:rPr>
              <w:t>320</w:t>
            </w:r>
          </w:p>
        </w:tc>
        <w:tc>
          <w:tcPr>
            <w:tcW w:w="2895" w:type="pct"/>
            <w:tcMar>
              <w:top w:w="28" w:type="dxa"/>
              <w:left w:w="85" w:type="dxa"/>
              <w:bottom w:w="28" w:type="dxa"/>
              <w:right w:w="28" w:type="dxa"/>
            </w:tcMar>
          </w:tcPr>
          <w:p w14:paraId="33C0CA01" w14:textId="1214C59C" w:rsidR="009E5D0A" w:rsidRPr="009E064B" w:rsidRDefault="00D263A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na pasie drogi kołowania</w:t>
            </w:r>
          </w:p>
        </w:tc>
        <w:tc>
          <w:tcPr>
            <w:tcW w:w="1169" w:type="pct"/>
            <w:tcMar>
              <w:top w:w="28" w:type="dxa"/>
              <w:left w:w="85" w:type="dxa"/>
              <w:bottom w:w="28" w:type="dxa"/>
              <w:right w:w="28" w:type="dxa"/>
            </w:tcMar>
          </w:tcPr>
          <w:p w14:paraId="061247C2" w14:textId="5619FE02"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AD4CD2D" w14:textId="77777777" w:rsidTr="00D8618B">
        <w:tc>
          <w:tcPr>
            <w:tcW w:w="936" w:type="pct"/>
            <w:tcMar>
              <w:top w:w="28" w:type="dxa"/>
              <w:left w:w="85" w:type="dxa"/>
              <w:bottom w:w="28" w:type="dxa"/>
              <w:right w:w="28" w:type="dxa"/>
            </w:tcMar>
          </w:tcPr>
          <w:p w14:paraId="6678084C" w14:textId="10591F8B"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GM1 ADR-DSN.D.325</w:t>
            </w:r>
          </w:p>
        </w:tc>
        <w:tc>
          <w:tcPr>
            <w:tcW w:w="2895" w:type="pct"/>
            <w:tcMar>
              <w:top w:w="28" w:type="dxa"/>
              <w:left w:w="85" w:type="dxa"/>
              <w:bottom w:w="28" w:type="dxa"/>
              <w:right w:w="28" w:type="dxa"/>
            </w:tcMar>
          </w:tcPr>
          <w:p w14:paraId="25E32F0B" w14:textId="41457E97" w:rsidR="009E5D0A" w:rsidRPr="009E064B" w:rsidRDefault="00D263A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Wyrównanie pasa drogi kołowania</w:t>
            </w:r>
          </w:p>
        </w:tc>
        <w:tc>
          <w:tcPr>
            <w:tcW w:w="1169" w:type="pct"/>
            <w:tcMar>
              <w:top w:w="28" w:type="dxa"/>
              <w:left w:w="85" w:type="dxa"/>
              <w:bottom w:w="28" w:type="dxa"/>
              <w:right w:w="28" w:type="dxa"/>
            </w:tcMar>
          </w:tcPr>
          <w:p w14:paraId="17906DE6" w14:textId="2FE6DA1A"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10911432" w14:textId="77777777" w:rsidTr="00D8618B">
        <w:tc>
          <w:tcPr>
            <w:tcW w:w="936" w:type="pct"/>
            <w:tcMar>
              <w:top w:w="28" w:type="dxa"/>
              <w:left w:w="85" w:type="dxa"/>
              <w:bottom w:w="28" w:type="dxa"/>
              <w:right w:w="28" w:type="dxa"/>
            </w:tcMar>
          </w:tcPr>
          <w:p w14:paraId="70CFE8CC" w14:textId="6940E9BD"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GM1 ADR-DSN.D.330</w:t>
            </w:r>
          </w:p>
        </w:tc>
        <w:tc>
          <w:tcPr>
            <w:tcW w:w="2895" w:type="pct"/>
            <w:tcMar>
              <w:top w:w="28" w:type="dxa"/>
              <w:left w:w="85" w:type="dxa"/>
              <w:bottom w:w="28" w:type="dxa"/>
              <w:right w:w="28" w:type="dxa"/>
            </w:tcMar>
          </w:tcPr>
          <w:p w14:paraId="7322D5D0" w14:textId="1C516347" w:rsidR="009E5D0A" w:rsidRPr="009E064B" w:rsidRDefault="00D263A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pasów drogi kołowania</w:t>
            </w:r>
          </w:p>
        </w:tc>
        <w:tc>
          <w:tcPr>
            <w:tcW w:w="1169" w:type="pct"/>
            <w:tcMar>
              <w:top w:w="28" w:type="dxa"/>
              <w:left w:w="85" w:type="dxa"/>
              <w:bottom w:w="28" w:type="dxa"/>
              <w:right w:w="28" w:type="dxa"/>
            </w:tcMar>
          </w:tcPr>
          <w:p w14:paraId="1A718892" w14:textId="0EA6ECB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CA59FE6" w14:textId="77777777" w:rsidTr="00D8618B">
        <w:tc>
          <w:tcPr>
            <w:tcW w:w="936" w:type="pct"/>
            <w:tcMar>
              <w:top w:w="28" w:type="dxa"/>
              <w:left w:w="85" w:type="dxa"/>
              <w:bottom w:w="28" w:type="dxa"/>
              <w:right w:w="28" w:type="dxa"/>
            </w:tcMar>
          </w:tcPr>
          <w:p w14:paraId="7199308E"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ADR-DSN.E.365 </w:t>
            </w:r>
          </w:p>
        </w:tc>
        <w:tc>
          <w:tcPr>
            <w:tcW w:w="2895" w:type="pct"/>
            <w:tcMar>
              <w:top w:w="28" w:type="dxa"/>
              <w:left w:w="85" w:type="dxa"/>
              <w:bottom w:w="28" w:type="dxa"/>
              <w:right w:w="28" w:type="dxa"/>
            </w:tcMar>
          </w:tcPr>
          <w:p w14:paraId="1CE8A4E9" w14:textId="744CCF1B" w:rsidR="009E5D0A" w:rsidRPr="009E064B" w:rsidRDefault="00D263A8"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Odstępy na stanowiskach postojowych</w:t>
            </w:r>
          </w:p>
        </w:tc>
        <w:tc>
          <w:tcPr>
            <w:tcW w:w="1169" w:type="pct"/>
            <w:tcMar>
              <w:top w:w="28" w:type="dxa"/>
              <w:left w:w="85" w:type="dxa"/>
              <w:bottom w:w="28" w:type="dxa"/>
              <w:right w:w="28" w:type="dxa"/>
            </w:tcMar>
          </w:tcPr>
          <w:p w14:paraId="240B32B9" w14:textId="3D6694E5"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43C5312" w14:textId="77777777" w:rsidTr="00D8618B">
        <w:tc>
          <w:tcPr>
            <w:tcW w:w="936" w:type="pct"/>
            <w:tcMar>
              <w:top w:w="28" w:type="dxa"/>
              <w:left w:w="85" w:type="dxa"/>
              <w:bottom w:w="28" w:type="dxa"/>
              <w:right w:w="28" w:type="dxa"/>
            </w:tcMar>
          </w:tcPr>
          <w:p w14:paraId="7FDC29C5" w14:textId="6D9A4E6B"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GM1 ADR-DSN.L.54</w:t>
            </w:r>
            <w:r w:rsidR="009E5D0A" w:rsidRPr="009E064B">
              <w:rPr>
                <w:rFonts w:asciiTheme="minorHAnsi" w:hAnsiTheme="minorHAnsi" w:cstheme="minorHAnsi"/>
                <w:sz w:val="16"/>
                <w:szCs w:val="16"/>
              </w:rPr>
              <w:t xml:space="preserve">0 </w:t>
            </w:r>
          </w:p>
        </w:tc>
        <w:tc>
          <w:tcPr>
            <w:tcW w:w="2895" w:type="pct"/>
            <w:tcMar>
              <w:top w:w="28" w:type="dxa"/>
              <w:left w:w="85" w:type="dxa"/>
              <w:bottom w:w="28" w:type="dxa"/>
              <w:right w:w="28" w:type="dxa"/>
            </w:tcMar>
          </w:tcPr>
          <w:p w14:paraId="3C3B5723" w14:textId="58963D38" w:rsidR="009E5D0A" w:rsidRPr="009E064B" w:rsidRDefault="00AD3041"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punktu celowania</w:t>
            </w:r>
          </w:p>
        </w:tc>
        <w:tc>
          <w:tcPr>
            <w:tcW w:w="1169" w:type="pct"/>
            <w:tcMar>
              <w:top w:w="28" w:type="dxa"/>
              <w:left w:w="85" w:type="dxa"/>
              <w:bottom w:w="28" w:type="dxa"/>
              <w:right w:w="28" w:type="dxa"/>
            </w:tcMar>
          </w:tcPr>
          <w:p w14:paraId="4B8ABB32" w14:textId="77A8731F"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9E31FED" w14:textId="77777777" w:rsidTr="00D8618B">
        <w:tc>
          <w:tcPr>
            <w:tcW w:w="936" w:type="pct"/>
            <w:tcMar>
              <w:top w:w="28" w:type="dxa"/>
              <w:left w:w="85" w:type="dxa"/>
              <w:bottom w:w="28" w:type="dxa"/>
              <w:right w:w="28" w:type="dxa"/>
            </w:tcMar>
          </w:tcPr>
          <w:p w14:paraId="394B8E37" w14:textId="65765B22"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GM1 ADR-DSN.L.560</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229BA20F" w14:textId="72B8B4BA" w:rsidR="009E5D0A" w:rsidRPr="009E064B" w:rsidRDefault="00AD3041"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Przerwa w oznakowaniu drogi startowej</w:t>
            </w:r>
          </w:p>
        </w:tc>
        <w:tc>
          <w:tcPr>
            <w:tcW w:w="1169" w:type="pct"/>
            <w:tcMar>
              <w:top w:w="28" w:type="dxa"/>
              <w:left w:w="85" w:type="dxa"/>
              <w:bottom w:w="28" w:type="dxa"/>
              <w:right w:w="28" w:type="dxa"/>
            </w:tcMar>
          </w:tcPr>
          <w:p w14:paraId="47A4D744" w14:textId="7A15EFA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4A1C981" w14:textId="77777777" w:rsidTr="00D8618B">
        <w:tc>
          <w:tcPr>
            <w:tcW w:w="936" w:type="pct"/>
            <w:tcMar>
              <w:top w:w="28" w:type="dxa"/>
              <w:left w:w="85" w:type="dxa"/>
              <w:bottom w:w="28" w:type="dxa"/>
              <w:right w:w="28" w:type="dxa"/>
            </w:tcMar>
          </w:tcPr>
          <w:p w14:paraId="394C80DE" w14:textId="53F9EB84" w:rsidR="009E5D0A" w:rsidRPr="009E064B" w:rsidRDefault="00BC27FF" w:rsidP="009E5D0A">
            <w:pPr>
              <w:spacing w:after="0"/>
              <w:rPr>
                <w:rFonts w:asciiTheme="minorHAnsi" w:hAnsiTheme="minorHAnsi" w:cstheme="minorHAnsi"/>
                <w:sz w:val="16"/>
                <w:szCs w:val="16"/>
              </w:rPr>
            </w:pPr>
            <w:r w:rsidRPr="009E064B">
              <w:rPr>
                <w:rFonts w:asciiTheme="minorHAnsi" w:hAnsiTheme="minorHAnsi" w:cstheme="minorHAnsi"/>
                <w:sz w:val="16"/>
                <w:szCs w:val="16"/>
              </w:rPr>
              <w:t>GM1 ADR-DSN.L.565</w:t>
            </w:r>
          </w:p>
        </w:tc>
        <w:tc>
          <w:tcPr>
            <w:tcW w:w="2895" w:type="pct"/>
            <w:tcMar>
              <w:top w:w="28" w:type="dxa"/>
              <w:left w:w="85" w:type="dxa"/>
              <w:bottom w:w="28" w:type="dxa"/>
              <w:right w:w="28" w:type="dxa"/>
            </w:tcMar>
          </w:tcPr>
          <w:p w14:paraId="46F8A036" w14:textId="3B516996" w:rsidR="009E5D0A" w:rsidRPr="009E064B" w:rsidRDefault="00CA0AA3"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płaszczyzny do zawracania na drodze startowej</w:t>
            </w:r>
          </w:p>
        </w:tc>
        <w:tc>
          <w:tcPr>
            <w:tcW w:w="1169" w:type="pct"/>
            <w:tcMar>
              <w:top w:w="28" w:type="dxa"/>
              <w:left w:w="85" w:type="dxa"/>
              <w:bottom w:w="28" w:type="dxa"/>
              <w:right w:w="28" w:type="dxa"/>
            </w:tcMar>
          </w:tcPr>
          <w:p w14:paraId="4B27101B" w14:textId="1A3A25F6"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1CAE5615" w14:textId="77777777" w:rsidTr="00D8618B">
        <w:tc>
          <w:tcPr>
            <w:tcW w:w="936" w:type="pct"/>
            <w:tcMar>
              <w:top w:w="28" w:type="dxa"/>
              <w:left w:w="85" w:type="dxa"/>
              <w:bottom w:w="28" w:type="dxa"/>
              <w:right w:w="28" w:type="dxa"/>
            </w:tcMar>
          </w:tcPr>
          <w:p w14:paraId="3DBC30B5" w14:textId="440E0E76"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ADR-DSN.L.605</w:t>
            </w:r>
          </w:p>
        </w:tc>
        <w:tc>
          <w:tcPr>
            <w:tcW w:w="2895" w:type="pct"/>
            <w:tcMar>
              <w:top w:w="28" w:type="dxa"/>
              <w:left w:w="85" w:type="dxa"/>
              <w:bottom w:w="28" w:type="dxa"/>
              <w:right w:w="28" w:type="dxa"/>
            </w:tcMar>
          </w:tcPr>
          <w:p w14:paraId="77A5573C" w14:textId="28A71A85"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nakazu</w:t>
            </w:r>
          </w:p>
        </w:tc>
        <w:tc>
          <w:tcPr>
            <w:tcW w:w="1169" w:type="pct"/>
            <w:tcMar>
              <w:top w:w="28" w:type="dxa"/>
              <w:left w:w="85" w:type="dxa"/>
              <w:bottom w:w="28" w:type="dxa"/>
              <w:right w:w="28" w:type="dxa"/>
            </w:tcMar>
          </w:tcPr>
          <w:p w14:paraId="1D107D94" w14:textId="043BFF43"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678CCA96" w14:textId="77777777" w:rsidTr="00D8618B">
        <w:tc>
          <w:tcPr>
            <w:tcW w:w="936" w:type="pct"/>
            <w:tcMar>
              <w:top w:w="28" w:type="dxa"/>
              <w:left w:w="85" w:type="dxa"/>
              <w:bottom w:w="28" w:type="dxa"/>
              <w:right w:w="28" w:type="dxa"/>
            </w:tcMar>
          </w:tcPr>
          <w:p w14:paraId="18139DEE"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ADR-DSN.M.625 </w:t>
            </w:r>
          </w:p>
        </w:tc>
        <w:tc>
          <w:tcPr>
            <w:tcW w:w="2895" w:type="pct"/>
            <w:tcMar>
              <w:top w:w="28" w:type="dxa"/>
              <w:left w:w="85" w:type="dxa"/>
              <w:bottom w:w="28" w:type="dxa"/>
              <w:right w:w="28" w:type="dxa"/>
            </w:tcMar>
          </w:tcPr>
          <w:p w14:paraId="439E7BFE"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świateł podejścia</w:t>
            </w:r>
          </w:p>
        </w:tc>
        <w:tc>
          <w:tcPr>
            <w:tcW w:w="1169" w:type="pct"/>
            <w:tcMar>
              <w:top w:w="28" w:type="dxa"/>
              <w:left w:w="85" w:type="dxa"/>
              <w:bottom w:w="28" w:type="dxa"/>
              <w:right w:w="28" w:type="dxa"/>
            </w:tcMar>
          </w:tcPr>
          <w:p w14:paraId="32079285" w14:textId="6B66597B"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4E650116" w14:textId="77777777" w:rsidTr="00D8618B">
        <w:tc>
          <w:tcPr>
            <w:tcW w:w="936" w:type="pct"/>
            <w:tcMar>
              <w:top w:w="28" w:type="dxa"/>
              <w:left w:w="85" w:type="dxa"/>
              <w:bottom w:w="28" w:type="dxa"/>
              <w:right w:w="28" w:type="dxa"/>
            </w:tcMar>
          </w:tcPr>
          <w:p w14:paraId="1F44C744"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ADR-DSN.M.630 </w:t>
            </w:r>
          </w:p>
        </w:tc>
        <w:tc>
          <w:tcPr>
            <w:tcW w:w="2895" w:type="pct"/>
            <w:tcMar>
              <w:top w:w="28" w:type="dxa"/>
              <w:left w:w="85" w:type="dxa"/>
              <w:bottom w:w="28" w:type="dxa"/>
              <w:right w:w="28" w:type="dxa"/>
            </w:tcMar>
          </w:tcPr>
          <w:p w14:paraId="2C9D4F53"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w:t>
            </w:r>
          </w:p>
        </w:tc>
        <w:tc>
          <w:tcPr>
            <w:tcW w:w="1169" w:type="pct"/>
            <w:tcMar>
              <w:top w:w="28" w:type="dxa"/>
              <w:left w:w="85" w:type="dxa"/>
              <w:bottom w:w="28" w:type="dxa"/>
              <w:right w:w="28" w:type="dxa"/>
            </w:tcMar>
          </w:tcPr>
          <w:p w14:paraId="29F8F1E7" w14:textId="1436CFAA"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50A6B8A0" w14:textId="77777777" w:rsidTr="00D8618B">
        <w:tc>
          <w:tcPr>
            <w:tcW w:w="936" w:type="pct"/>
            <w:tcMar>
              <w:top w:w="28" w:type="dxa"/>
              <w:left w:w="85" w:type="dxa"/>
              <w:bottom w:w="28" w:type="dxa"/>
              <w:right w:w="28" w:type="dxa"/>
            </w:tcMar>
          </w:tcPr>
          <w:p w14:paraId="0B08B41C" w14:textId="6669DCED"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ADR-DSN.M.655</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67F25B2E" w14:textId="745C68B3"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Powierzchnie zabezpieczenia przeszkodowego dla PAPI i APAPI</w:t>
            </w:r>
          </w:p>
        </w:tc>
        <w:tc>
          <w:tcPr>
            <w:tcW w:w="1169" w:type="pct"/>
            <w:tcMar>
              <w:top w:w="28" w:type="dxa"/>
              <w:left w:w="85" w:type="dxa"/>
              <w:bottom w:w="28" w:type="dxa"/>
              <w:right w:w="28" w:type="dxa"/>
            </w:tcMar>
          </w:tcPr>
          <w:p w14:paraId="57A0D8B7" w14:textId="6A4EF05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A88BD9A" w14:textId="77777777" w:rsidTr="00D8618B">
        <w:tc>
          <w:tcPr>
            <w:tcW w:w="936" w:type="pct"/>
            <w:tcMar>
              <w:top w:w="28" w:type="dxa"/>
              <w:left w:w="85" w:type="dxa"/>
              <w:bottom w:w="28" w:type="dxa"/>
              <w:right w:w="28" w:type="dxa"/>
            </w:tcMar>
          </w:tcPr>
          <w:p w14:paraId="2705AB4B" w14:textId="34ABC175"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ADR-DSN.M.670</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1F891592" w14:textId="40C85E7A"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identyfikacji progu drogi startowej</w:t>
            </w:r>
          </w:p>
        </w:tc>
        <w:tc>
          <w:tcPr>
            <w:tcW w:w="1169" w:type="pct"/>
            <w:tcMar>
              <w:top w:w="28" w:type="dxa"/>
              <w:left w:w="85" w:type="dxa"/>
              <w:bottom w:w="28" w:type="dxa"/>
              <w:right w:w="28" w:type="dxa"/>
            </w:tcMar>
          </w:tcPr>
          <w:p w14:paraId="690D33CA" w14:textId="01E34204"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346B6D5C" w14:textId="77777777" w:rsidTr="00D8618B">
        <w:tc>
          <w:tcPr>
            <w:tcW w:w="936" w:type="pct"/>
            <w:tcMar>
              <w:top w:w="28" w:type="dxa"/>
              <w:left w:w="85" w:type="dxa"/>
              <w:bottom w:w="28" w:type="dxa"/>
              <w:right w:w="28" w:type="dxa"/>
            </w:tcMar>
          </w:tcPr>
          <w:p w14:paraId="2ADE8208" w14:textId="3733B33C"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ADR-DSN.M.690</w:t>
            </w:r>
          </w:p>
        </w:tc>
        <w:tc>
          <w:tcPr>
            <w:tcW w:w="2895" w:type="pct"/>
            <w:tcMar>
              <w:top w:w="28" w:type="dxa"/>
              <w:left w:w="85" w:type="dxa"/>
              <w:bottom w:w="28" w:type="dxa"/>
              <w:right w:w="28" w:type="dxa"/>
            </w:tcMar>
          </w:tcPr>
          <w:p w14:paraId="352F3284" w14:textId="15FE804D"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linii środkowej drogi startowej</w:t>
            </w:r>
          </w:p>
        </w:tc>
        <w:tc>
          <w:tcPr>
            <w:tcW w:w="1169" w:type="pct"/>
            <w:tcMar>
              <w:top w:w="28" w:type="dxa"/>
              <w:left w:w="85" w:type="dxa"/>
              <w:bottom w:w="28" w:type="dxa"/>
              <w:right w:w="28" w:type="dxa"/>
            </w:tcMar>
          </w:tcPr>
          <w:p w14:paraId="6EB1C1F9" w14:textId="5FEB29CD" w:rsidR="009E5D0A" w:rsidRPr="009E064B" w:rsidRDefault="003523F3"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9E5D0A" w:rsidRPr="009E064B">
              <w:rPr>
                <w:rFonts w:asciiTheme="minorHAnsi" w:hAnsiTheme="minorHAnsi" w:cstheme="minorHAnsi"/>
                <w:sz w:val="16"/>
                <w:szCs w:val="16"/>
              </w:rPr>
              <w:t xml:space="preserve"> (NPA 2017-04)</w:t>
            </w:r>
          </w:p>
        </w:tc>
      </w:tr>
      <w:tr w:rsidR="00D8618B" w:rsidRPr="009E064B" w14:paraId="6F90C765" w14:textId="77777777" w:rsidTr="00D8618B">
        <w:tc>
          <w:tcPr>
            <w:tcW w:w="936" w:type="pct"/>
            <w:tcMar>
              <w:top w:w="28" w:type="dxa"/>
              <w:left w:w="85" w:type="dxa"/>
              <w:bottom w:w="28" w:type="dxa"/>
              <w:right w:w="28" w:type="dxa"/>
            </w:tcMar>
          </w:tcPr>
          <w:p w14:paraId="184F3EA9"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ADR-DSN.M.700 </w:t>
            </w:r>
          </w:p>
        </w:tc>
        <w:tc>
          <w:tcPr>
            <w:tcW w:w="2895" w:type="pct"/>
            <w:tcMar>
              <w:top w:w="28" w:type="dxa"/>
              <w:left w:w="85" w:type="dxa"/>
              <w:bottom w:w="28" w:type="dxa"/>
              <w:right w:w="28" w:type="dxa"/>
            </w:tcMar>
          </w:tcPr>
          <w:p w14:paraId="3323A3E0" w14:textId="7E8C5999"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Światła wskazania drogi kołowania szybkiego zjazdu </w:t>
            </w:r>
            <w:r w:rsidR="00BC27FF" w:rsidRPr="009E064B">
              <w:rPr>
                <w:rFonts w:asciiTheme="minorHAnsi" w:hAnsiTheme="minorHAnsi" w:cstheme="minorHAnsi"/>
                <w:sz w:val="16"/>
                <w:szCs w:val="16"/>
              </w:rPr>
              <w:t>(RETILs)</w:t>
            </w:r>
          </w:p>
        </w:tc>
        <w:tc>
          <w:tcPr>
            <w:tcW w:w="1169" w:type="pct"/>
            <w:tcMar>
              <w:top w:w="28" w:type="dxa"/>
              <w:left w:w="85" w:type="dxa"/>
              <w:bottom w:w="28" w:type="dxa"/>
              <w:right w:w="28" w:type="dxa"/>
            </w:tcMar>
          </w:tcPr>
          <w:p w14:paraId="795290FA" w14:textId="2466DB14"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78C4D354" w14:textId="77777777" w:rsidTr="00D8618B">
        <w:tc>
          <w:tcPr>
            <w:tcW w:w="936" w:type="pct"/>
            <w:tcMar>
              <w:top w:w="28" w:type="dxa"/>
              <w:left w:w="85" w:type="dxa"/>
              <w:bottom w:w="28" w:type="dxa"/>
              <w:right w:w="28" w:type="dxa"/>
            </w:tcMar>
          </w:tcPr>
          <w:p w14:paraId="203E6235" w14:textId="0B408018"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ADR-DSN.M.706</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144A501E" w14:textId="618F7A35"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stanu drogi startowej (RWSL)</w:t>
            </w:r>
          </w:p>
        </w:tc>
        <w:tc>
          <w:tcPr>
            <w:tcW w:w="1169" w:type="pct"/>
            <w:tcMar>
              <w:top w:w="28" w:type="dxa"/>
              <w:left w:w="85" w:type="dxa"/>
              <w:bottom w:w="28" w:type="dxa"/>
              <w:right w:w="28" w:type="dxa"/>
            </w:tcMar>
          </w:tcPr>
          <w:p w14:paraId="01F03F9B" w14:textId="0192E689" w:rsidR="009E5D0A" w:rsidRPr="009E064B" w:rsidRDefault="00D51E5C" w:rsidP="009E5D0A">
            <w:pPr>
              <w:spacing w:after="0"/>
              <w:jc w:val="left"/>
              <w:rPr>
                <w:rFonts w:asciiTheme="minorHAnsi" w:hAnsiTheme="minorHAnsi" w:cstheme="minorHAnsi"/>
                <w:sz w:val="16"/>
                <w:szCs w:val="16"/>
              </w:rPr>
            </w:pPr>
            <w:r w:rsidRPr="009E064B">
              <w:rPr>
                <w:rFonts w:asciiTheme="minorHAnsi" w:hAnsiTheme="minorHAnsi" w:cstheme="minorHAnsi"/>
                <w:b/>
                <w:sz w:val="16"/>
                <w:szCs w:val="16"/>
              </w:rPr>
              <w:t>Utworzony</w:t>
            </w:r>
            <w:r w:rsidR="009E5D0A" w:rsidRPr="009E064B">
              <w:rPr>
                <w:rFonts w:asciiTheme="minorHAnsi" w:hAnsiTheme="minorHAnsi" w:cstheme="minorHAnsi"/>
                <w:sz w:val="16"/>
                <w:szCs w:val="16"/>
              </w:rPr>
              <w:t xml:space="preserve"> (NPA 2017-04)</w:t>
            </w:r>
          </w:p>
        </w:tc>
      </w:tr>
      <w:tr w:rsidR="00D8618B" w:rsidRPr="009E064B" w14:paraId="4CB7A2AA" w14:textId="77777777" w:rsidTr="00D8618B">
        <w:tc>
          <w:tcPr>
            <w:tcW w:w="936" w:type="pct"/>
            <w:tcMar>
              <w:top w:w="28" w:type="dxa"/>
              <w:left w:w="85" w:type="dxa"/>
              <w:bottom w:w="28" w:type="dxa"/>
              <w:right w:w="28" w:type="dxa"/>
            </w:tcMar>
          </w:tcPr>
          <w:p w14:paraId="31EC3C4C" w14:textId="451E2E30" w:rsidR="009E5D0A" w:rsidRPr="009E064B" w:rsidRDefault="00BC27FF"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GM1 ADR-DSN.M.750</w:t>
            </w:r>
            <w:r w:rsidR="009E5D0A"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4ED2070D" w14:textId="23FBF89E" w:rsidR="009E5D0A" w:rsidRPr="009E064B" w:rsidRDefault="00AD3041"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płyty postojowej</w:t>
            </w:r>
          </w:p>
        </w:tc>
        <w:tc>
          <w:tcPr>
            <w:tcW w:w="1169" w:type="pct"/>
            <w:tcMar>
              <w:top w:w="28" w:type="dxa"/>
              <w:left w:w="85" w:type="dxa"/>
              <w:bottom w:w="28" w:type="dxa"/>
              <w:right w:w="28" w:type="dxa"/>
            </w:tcMar>
          </w:tcPr>
          <w:p w14:paraId="6A655696" w14:textId="38BB7B60"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28312F67" w14:textId="77777777" w:rsidTr="00D8618B">
        <w:tc>
          <w:tcPr>
            <w:tcW w:w="936" w:type="pct"/>
            <w:tcMar>
              <w:top w:w="28" w:type="dxa"/>
              <w:left w:w="85" w:type="dxa"/>
              <w:bottom w:w="28" w:type="dxa"/>
              <w:right w:w="28" w:type="dxa"/>
            </w:tcMar>
          </w:tcPr>
          <w:p w14:paraId="35E384F7"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GM1 ADR-DSN.P.825 </w:t>
            </w:r>
          </w:p>
        </w:tc>
        <w:tc>
          <w:tcPr>
            <w:tcW w:w="2895" w:type="pct"/>
            <w:tcMar>
              <w:top w:w="28" w:type="dxa"/>
              <w:left w:w="85" w:type="dxa"/>
              <w:bottom w:w="28" w:type="dxa"/>
              <w:right w:w="28" w:type="dxa"/>
            </w:tcMar>
          </w:tcPr>
          <w:p w14:paraId="7470B58B" w14:textId="77777777" w:rsidR="009E5D0A" w:rsidRPr="009E064B" w:rsidRDefault="009E5D0A" w:rsidP="00CA0AA3">
            <w:pPr>
              <w:spacing w:after="0"/>
              <w:jc w:val="left"/>
              <w:rPr>
                <w:rFonts w:asciiTheme="minorHAnsi" w:hAnsiTheme="minorHAnsi" w:cstheme="minorHAnsi"/>
                <w:sz w:val="16"/>
                <w:szCs w:val="16"/>
              </w:rPr>
            </w:pPr>
            <w:r w:rsidRPr="009E064B">
              <w:rPr>
                <w:rFonts w:asciiTheme="minorHAnsi" w:hAnsiTheme="minorHAnsi" w:cstheme="minorHAnsi"/>
                <w:sz w:val="16"/>
                <w:szCs w:val="16"/>
              </w:rPr>
              <w:t>Oznaczniki krawędzi drogi kołowania</w:t>
            </w:r>
          </w:p>
        </w:tc>
        <w:tc>
          <w:tcPr>
            <w:tcW w:w="1169" w:type="pct"/>
            <w:tcMar>
              <w:top w:w="28" w:type="dxa"/>
              <w:left w:w="85" w:type="dxa"/>
              <w:bottom w:w="28" w:type="dxa"/>
              <w:right w:w="28" w:type="dxa"/>
            </w:tcMar>
          </w:tcPr>
          <w:p w14:paraId="22F19015" w14:textId="5FE385AE"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r w:rsidR="00D8618B" w:rsidRPr="009E064B" w14:paraId="0FB5DDF0" w14:textId="77777777" w:rsidTr="00D8618B">
        <w:tc>
          <w:tcPr>
            <w:tcW w:w="936" w:type="pct"/>
            <w:tcMar>
              <w:top w:w="28" w:type="dxa"/>
              <w:left w:w="85" w:type="dxa"/>
              <w:bottom w:w="28" w:type="dxa"/>
              <w:right w:w="28" w:type="dxa"/>
            </w:tcMar>
          </w:tcPr>
          <w:p w14:paraId="73CB86F2" w14:textId="50768FEA" w:rsidR="009E5D0A" w:rsidRPr="009E064B" w:rsidRDefault="009E5D0A" w:rsidP="003523F3">
            <w:pPr>
              <w:spacing w:after="0"/>
              <w:rPr>
                <w:rFonts w:asciiTheme="minorHAnsi" w:hAnsiTheme="minorHAnsi" w:cstheme="minorHAnsi"/>
                <w:sz w:val="16"/>
                <w:szCs w:val="16"/>
              </w:rPr>
            </w:pPr>
            <w:r w:rsidRPr="009E064B">
              <w:rPr>
                <w:rFonts w:asciiTheme="minorHAnsi" w:hAnsiTheme="minorHAnsi" w:cstheme="minorHAnsi"/>
                <w:sz w:val="16"/>
                <w:szCs w:val="16"/>
              </w:rPr>
              <w:t>GM1 ADR-DSN.T.92</w:t>
            </w:r>
            <w:r w:rsidR="003523F3" w:rsidRPr="009E064B">
              <w:rPr>
                <w:rFonts w:asciiTheme="minorHAnsi" w:hAnsiTheme="minorHAnsi" w:cstheme="minorHAnsi"/>
                <w:sz w:val="16"/>
                <w:szCs w:val="16"/>
              </w:rPr>
              <w:t>1</w:t>
            </w:r>
            <w:r w:rsidRPr="009E064B">
              <w:rPr>
                <w:rFonts w:asciiTheme="minorHAnsi" w:hAnsiTheme="minorHAnsi" w:cstheme="minorHAnsi"/>
                <w:sz w:val="16"/>
                <w:szCs w:val="16"/>
              </w:rPr>
              <w:t xml:space="preserve"> </w:t>
            </w:r>
          </w:p>
        </w:tc>
        <w:tc>
          <w:tcPr>
            <w:tcW w:w="2895" w:type="pct"/>
            <w:tcMar>
              <w:top w:w="28" w:type="dxa"/>
              <w:left w:w="85" w:type="dxa"/>
              <w:bottom w:w="28" w:type="dxa"/>
              <w:right w:w="28" w:type="dxa"/>
            </w:tcMar>
          </w:tcPr>
          <w:p w14:paraId="6204E201" w14:textId="02175781" w:rsidR="009E5D0A" w:rsidRPr="009E064B" w:rsidRDefault="00AD3041"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Autonomiczny system ostrzegania o wtargnięciu  na drogę startową (ARIWS)</w:t>
            </w:r>
          </w:p>
        </w:tc>
        <w:tc>
          <w:tcPr>
            <w:tcW w:w="1169" w:type="pct"/>
            <w:tcMar>
              <w:top w:w="28" w:type="dxa"/>
              <w:left w:w="85" w:type="dxa"/>
              <w:bottom w:w="28" w:type="dxa"/>
              <w:right w:w="28" w:type="dxa"/>
            </w:tcMar>
          </w:tcPr>
          <w:p w14:paraId="705F365F" w14:textId="33DCB1CE" w:rsidR="009E5D0A" w:rsidRPr="009E064B" w:rsidRDefault="00D51E5C" w:rsidP="00D51E5C">
            <w:pPr>
              <w:spacing w:after="0"/>
              <w:jc w:val="left"/>
              <w:rPr>
                <w:rFonts w:asciiTheme="minorHAnsi" w:hAnsiTheme="minorHAnsi" w:cstheme="minorHAnsi"/>
                <w:sz w:val="16"/>
                <w:szCs w:val="16"/>
              </w:rPr>
            </w:pPr>
            <w:r w:rsidRPr="009E064B">
              <w:rPr>
                <w:rFonts w:asciiTheme="minorHAnsi" w:hAnsiTheme="minorHAnsi" w:cstheme="minorHAnsi"/>
                <w:b/>
                <w:sz w:val="16"/>
                <w:szCs w:val="16"/>
              </w:rPr>
              <w:t>Utworzony</w:t>
            </w:r>
            <w:r w:rsidRPr="009E064B">
              <w:rPr>
                <w:rFonts w:asciiTheme="minorHAnsi" w:hAnsiTheme="minorHAnsi" w:cstheme="minorHAnsi"/>
                <w:sz w:val="16"/>
                <w:szCs w:val="16"/>
              </w:rPr>
              <w:t xml:space="preserve"> </w:t>
            </w:r>
            <w:r w:rsidR="009E5D0A" w:rsidRPr="009E064B">
              <w:rPr>
                <w:rFonts w:asciiTheme="minorHAnsi" w:hAnsiTheme="minorHAnsi" w:cstheme="minorHAnsi"/>
                <w:sz w:val="16"/>
                <w:szCs w:val="16"/>
              </w:rPr>
              <w:t>(NPA 2017-04)</w:t>
            </w:r>
          </w:p>
        </w:tc>
      </w:tr>
      <w:tr w:rsidR="00D8618B" w:rsidRPr="009E064B" w14:paraId="1CC84C60" w14:textId="77777777" w:rsidTr="00D8618B">
        <w:tc>
          <w:tcPr>
            <w:tcW w:w="936" w:type="pct"/>
            <w:tcMar>
              <w:top w:w="28" w:type="dxa"/>
              <w:left w:w="85" w:type="dxa"/>
              <w:bottom w:w="28" w:type="dxa"/>
              <w:right w:w="28" w:type="dxa"/>
            </w:tcMar>
          </w:tcPr>
          <w:p w14:paraId="4F100ABE" w14:textId="77777777" w:rsidR="009E5D0A" w:rsidRPr="009E064B" w:rsidRDefault="009E5D0A" w:rsidP="009E5D0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ADR-DSN.U.930 </w:t>
            </w:r>
          </w:p>
        </w:tc>
        <w:tc>
          <w:tcPr>
            <w:tcW w:w="2895" w:type="pct"/>
            <w:tcMar>
              <w:top w:w="28" w:type="dxa"/>
              <w:left w:w="85" w:type="dxa"/>
              <w:bottom w:w="28" w:type="dxa"/>
              <w:right w:w="28" w:type="dxa"/>
            </w:tcMar>
          </w:tcPr>
          <w:p w14:paraId="3578EA99" w14:textId="77777777"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Kolory naziemnych świateł lotniczych </w:t>
            </w:r>
          </w:p>
        </w:tc>
        <w:tc>
          <w:tcPr>
            <w:tcW w:w="1169" w:type="pct"/>
            <w:tcMar>
              <w:top w:w="28" w:type="dxa"/>
              <w:left w:w="85" w:type="dxa"/>
              <w:bottom w:w="28" w:type="dxa"/>
              <w:right w:w="28" w:type="dxa"/>
            </w:tcMar>
          </w:tcPr>
          <w:p w14:paraId="7ACCC5AC" w14:textId="6CE25929" w:rsidR="009E5D0A" w:rsidRPr="009E064B" w:rsidRDefault="009E5D0A" w:rsidP="009E5D0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2017-04)</w:t>
            </w:r>
          </w:p>
        </w:tc>
      </w:tr>
    </w:tbl>
    <w:p w14:paraId="466D425B" w14:textId="77777777" w:rsidR="009E5D0A" w:rsidRPr="009E064B" w:rsidRDefault="009E5D0A" w:rsidP="00CA0AA3">
      <w:pPr>
        <w:spacing w:after="0"/>
        <w:rPr>
          <w:b/>
        </w:rPr>
      </w:pPr>
    </w:p>
    <w:p w14:paraId="36C40A90" w14:textId="77777777" w:rsidR="009E5D0A" w:rsidRPr="009E064B" w:rsidRDefault="009E5D0A" w:rsidP="00CA0AA3">
      <w:pPr>
        <w:rPr>
          <w:b/>
        </w:rPr>
      </w:pPr>
    </w:p>
    <w:p w14:paraId="40127CCD" w14:textId="75FE45AE" w:rsidR="00F46D4B" w:rsidRPr="009E064B" w:rsidRDefault="00F46D4B" w:rsidP="00C838DA">
      <w:pPr>
        <w:jc w:val="center"/>
        <w:rPr>
          <w:b/>
          <w:sz w:val="24"/>
        </w:rPr>
      </w:pPr>
      <w:r w:rsidRPr="009E064B">
        <w:rPr>
          <w:b/>
          <w:sz w:val="24"/>
        </w:rPr>
        <w:t xml:space="preserve">CS-ADR-DSN </w:t>
      </w:r>
      <w:r w:rsidR="00444A6E" w:rsidRPr="009E064B">
        <w:rPr>
          <w:b/>
          <w:sz w:val="24"/>
        </w:rPr>
        <w:t>—</w:t>
      </w:r>
      <w:r w:rsidRPr="009E064B">
        <w:rPr>
          <w:b/>
          <w:sz w:val="24"/>
        </w:rPr>
        <w:t xml:space="preserve"> Wydanie 3</w:t>
      </w:r>
      <w:bookmarkEnd w:id="760"/>
    </w:p>
    <w:p w14:paraId="204AA32F" w14:textId="77777777" w:rsidR="00F46D4B" w:rsidRPr="009E064B" w:rsidRDefault="00F46D4B" w:rsidP="00542C09">
      <w:pPr>
        <w:spacing w:after="0"/>
        <w:jc w:val="center"/>
      </w:pPr>
      <w:r w:rsidRPr="009E064B">
        <w:t>Data wejścia w życie określona jest w Decyzji Dyrektora Wykonawczego EASA nr 2016/027/R</w:t>
      </w:r>
    </w:p>
    <w:p w14:paraId="6A630C53" w14:textId="77777777" w:rsidR="00F46D4B" w:rsidRPr="009E064B" w:rsidRDefault="00F46D4B" w:rsidP="00D41836">
      <w:pPr>
        <w:spacing w:after="0"/>
      </w:pPr>
    </w:p>
    <w:p w14:paraId="74DCCC94" w14:textId="241D68B2" w:rsidR="00F46D4B" w:rsidRPr="009E064B" w:rsidRDefault="00F46D4B" w:rsidP="0095494E">
      <w:pPr>
        <w:spacing w:after="240"/>
        <w:jc w:val="left"/>
      </w:pPr>
      <w:r w:rsidRPr="009E064B">
        <w:t>Zestawienie CS i GM, które zostały zmienione w wydaniu 3-cim CS-ADR-DSN:</w:t>
      </w:r>
    </w:p>
    <w:tbl>
      <w:tblPr>
        <w:tblStyle w:val="Tabela-Siatka2"/>
        <w:tblW w:w="5000" w:type="pct"/>
        <w:tblLook w:val="04A0" w:firstRow="1" w:lastRow="0" w:firstColumn="1" w:lastColumn="0" w:noHBand="0" w:noVBand="1"/>
      </w:tblPr>
      <w:tblGrid>
        <w:gridCol w:w="1594"/>
        <w:gridCol w:w="5811"/>
        <w:gridCol w:w="1881"/>
      </w:tblGrid>
      <w:tr w:rsidR="00C838DA" w:rsidRPr="009E064B" w14:paraId="59D214AA" w14:textId="77777777" w:rsidTr="00C838DA">
        <w:tc>
          <w:tcPr>
            <w:tcW w:w="858" w:type="pct"/>
            <w:shd w:val="clear" w:color="auto" w:fill="D9D9D9" w:themeFill="background1" w:themeFillShade="D9"/>
          </w:tcPr>
          <w:p w14:paraId="357C8799"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Lista skrótów</w:t>
            </w:r>
          </w:p>
        </w:tc>
        <w:tc>
          <w:tcPr>
            <w:tcW w:w="3129" w:type="pct"/>
            <w:shd w:val="clear" w:color="auto" w:fill="D9D9D9" w:themeFill="background1" w:themeFillShade="D9"/>
          </w:tcPr>
          <w:p w14:paraId="056AC40A"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Dotyczy</w:t>
            </w:r>
          </w:p>
        </w:tc>
        <w:tc>
          <w:tcPr>
            <w:tcW w:w="1013" w:type="pct"/>
            <w:shd w:val="clear" w:color="auto" w:fill="D9D9D9" w:themeFill="background1" w:themeFillShade="D9"/>
          </w:tcPr>
          <w:p w14:paraId="6BEF63BC"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Dodano</w:t>
            </w:r>
          </w:p>
        </w:tc>
      </w:tr>
      <w:tr w:rsidR="00F46D4B" w:rsidRPr="009E064B" w14:paraId="21D8B1FE" w14:textId="77777777" w:rsidTr="00CA0AA3">
        <w:tc>
          <w:tcPr>
            <w:tcW w:w="858" w:type="pct"/>
            <w:tcMar>
              <w:top w:w="28" w:type="dxa"/>
              <w:left w:w="85" w:type="dxa"/>
              <w:bottom w:w="28" w:type="dxa"/>
              <w:right w:w="28" w:type="dxa"/>
            </w:tcMar>
          </w:tcPr>
          <w:p w14:paraId="55A1305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ADR-DSN.A.002 </w:t>
            </w:r>
          </w:p>
        </w:tc>
        <w:tc>
          <w:tcPr>
            <w:tcW w:w="3129" w:type="pct"/>
            <w:tcMar>
              <w:top w:w="28" w:type="dxa"/>
              <w:left w:w="85" w:type="dxa"/>
              <w:bottom w:w="28" w:type="dxa"/>
              <w:right w:w="28" w:type="dxa"/>
            </w:tcMar>
          </w:tcPr>
          <w:p w14:paraId="23C86D1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Definicje</w:t>
            </w:r>
          </w:p>
        </w:tc>
        <w:tc>
          <w:tcPr>
            <w:tcW w:w="1013" w:type="pct"/>
            <w:tcMar>
              <w:top w:w="28" w:type="dxa"/>
              <w:left w:w="85" w:type="dxa"/>
              <w:bottom w:w="28" w:type="dxa"/>
              <w:right w:w="28" w:type="dxa"/>
            </w:tcMar>
          </w:tcPr>
          <w:p w14:paraId="5B0D21D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E228335" w14:textId="77777777" w:rsidTr="00CA0AA3">
        <w:tc>
          <w:tcPr>
            <w:tcW w:w="858" w:type="pct"/>
            <w:tcMar>
              <w:top w:w="28" w:type="dxa"/>
              <w:left w:w="85" w:type="dxa"/>
              <w:bottom w:w="28" w:type="dxa"/>
              <w:right w:w="28" w:type="dxa"/>
            </w:tcMar>
          </w:tcPr>
          <w:p w14:paraId="1131122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ADR-DSN.A.005 </w:t>
            </w:r>
          </w:p>
        </w:tc>
        <w:tc>
          <w:tcPr>
            <w:tcW w:w="3129" w:type="pct"/>
            <w:tcMar>
              <w:top w:w="28" w:type="dxa"/>
              <w:left w:w="85" w:type="dxa"/>
              <w:bottom w:w="28" w:type="dxa"/>
              <w:right w:w="28" w:type="dxa"/>
            </w:tcMar>
          </w:tcPr>
          <w:p w14:paraId="229304F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Kod referencyjny lotniska</w:t>
            </w:r>
          </w:p>
        </w:tc>
        <w:tc>
          <w:tcPr>
            <w:tcW w:w="1013" w:type="pct"/>
            <w:tcMar>
              <w:top w:w="28" w:type="dxa"/>
              <w:left w:w="85" w:type="dxa"/>
              <w:bottom w:w="28" w:type="dxa"/>
              <w:right w:w="28" w:type="dxa"/>
            </w:tcMar>
          </w:tcPr>
          <w:p w14:paraId="7D324F8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C97F2E6" w14:textId="77777777" w:rsidTr="00CA0AA3">
        <w:tc>
          <w:tcPr>
            <w:tcW w:w="858" w:type="pct"/>
            <w:tcMar>
              <w:top w:w="28" w:type="dxa"/>
              <w:left w:w="85" w:type="dxa"/>
              <w:bottom w:w="28" w:type="dxa"/>
              <w:right w:w="28" w:type="dxa"/>
            </w:tcMar>
          </w:tcPr>
          <w:p w14:paraId="5D10378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ADR-DSN.B.035 </w:t>
            </w:r>
          </w:p>
        </w:tc>
        <w:tc>
          <w:tcPr>
            <w:tcW w:w="3129" w:type="pct"/>
            <w:tcMar>
              <w:top w:w="28" w:type="dxa"/>
              <w:left w:w="85" w:type="dxa"/>
              <w:bottom w:w="28" w:type="dxa"/>
              <w:right w:w="28" w:type="dxa"/>
            </w:tcMar>
          </w:tcPr>
          <w:p w14:paraId="522F4DD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Długość drogi startowej i długości deklarowane</w:t>
            </w:r>
          </w:p>
        </w:tc>
        <w:tc>
          <w:tcPr>
            <w:tcW w:w="1013" w:type="pct"/>
            <w:tcMar>
              <w:top w:w="28" w:type="dxa"/>
              <w:left w:w="85" w:type="dxa"/>
              <w:bottom w:w="28" w:type="dxa"/>
              <w:right w:w="28" w:type="dxa"/>
            </w:tcMar>
          </w:tcPr>
          <w:p w14:paraId="7BCA57D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3C5F50D" w14:textId="77777777" w:rsidTr="00CA0AA3">
        <w:tc>
          <w:tcPr>
            <w:tcW w:w="858" w:type="pct"/>
            <w:tcMar>
              <w:top w:w="28" w:type="dxa"/>
              <w:left w:w="85" w:type="dxa"/>
              <w:bottom w:w="28" w:type="dxa"/>
              <w:right w:w="28" w:type="dxa"/>
            </w:tcMar>
          </w:tcPr>
          <w:p w14:paraId="0C4E32B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ADR-DSN.B.055 </w:t>
            </w:r>
          </w:p>
        </w:tc>
        <w:tc>
          <w:tcPr>
            <w:tcW w:w="3129" w:type="pct"/>
            <w:tcMar>
              <w:top w:w="28" w:type="dxa"/>
              <w:left w:w="85" w:type="dxa"/>
              <w:bottom w:w="28" w:type="dxa"/>
              <w:right w:w="28" w:type="dxa"/>
            </w:tcMar>
          </w:tcPr>
          <w:p w14:paraId="2EFBF25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Minimalna odległość pomiędzy równoległymi przyrządowymi drogami startowymi</w:t>
            </w:r>
          </w:p>
        </w:tc>
        <w:tc>
          <w:tcPr>
            <w:tcW w:w="1013" w:type="pct"/>
            <w:tcMar>
              <w:top w:w="28" w:type="dxa"/>
              <w:left w:w="85" w:type="dxa"/>
              <w:bottom w:w="28" w:type="dxa"/>
              <w:right w:w="28" w:type="dxa"/>
            </w:tcMar>
          </w:tcPr>
          <w:p w14:paraId="128DC4D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D14DC9C" w14:textId="77777777" w:rsidTr="00CA0AA3">
        <w:tc>
          <w:tcPr>
            <w:tcW w:w="858" w:type="pct"/>
            <w:tcMar>
              <w:top w:w="28" w:type="dxa"/>
              <w:left w:w="85" w:type="dxa"/>
              <w:bottom w:w="28" w:type="dxa"/>
              <w:right w:w="28" w:type="dxa"/>
            </w:tcMar>
          </w:tcPr>
          <w:p w14:paraId="3C56D85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ADR-DSN.B.060 </w:t>
            </w:r>
          </w:p>
        </w:tc>
        <w:tc>
          <w:tcPr>
            <w:tcW w:w="3129" w:type="pct"/>
            <w:tcMar>
              <w:top w:w="28" w:type="dxa"/>
              <w:left w:w="85" w:type="dxa"/>
              <w:bottom w:w="28" w:type="dxa"/>
              <w:right w:w="28" w:type="dxa"/>
            </w:tcMar>
          </w:tcPr>
          <w:p w14:paraId="6AB6CC5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podłużne drogi startowej</w:t>
            </w:r>
          </w:p>
        </w:tc>
        <w:tc>
          <w:tcPr>
            <w:tcW w:w="1013" w:type="pct"/>
            <w:tcMar>
              <w:top w:w="28" w:type="dxa"/>
              <w:left w:w="85" w:type="dxa"/>
              <w:bottom w:w="28" w:type="dxa"/>
              <w:right w:w="28" w:type="dxa"/>
            </w:tcMar>
          </w:tcPr>
          <w:p w14:paraId="01CAD33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5C0BB94" w14:textId="77777777" w:rsidTr="00CA0AA3">
        <w:tc>
          <w:tcPr>
            <w:tcW w:w="858" w:type="pct"/>
            <w:tcMar>
              <w:top w:w="28" w:type="dxa"/>
              <w:left w:w="85" w:type="dxa"/>
              <w:bottom w:w="28" w:type="dxa"/>
              <w:right w:w="28" w:type="dxa"/>
            </w:tcMar>
          </w:tcPr>
          <w:p w14:paraId="0460366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ADR-DSN.B.090 </w:t>
            </w:r>
          </w:p>
        </w:tc>
        <w:tc>
          <w:tcPr>
            <w:tcW w:w="3129" w:type="pct"/>
            <w:tcMar>
              <w:top w:w="28" w:type="dxa"/>
              <w:left w:w="85" w:type="dxa"/>
              <w:bottom w:w="28" w:type="dxa"/>
              <w:right w:w="28" w:type="dxa"/>
            </w:tcMar>
          </w:tcPr>
          <w:p w14:paraId="7A13BCD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Powierzchnia drogi startowej </w:t>
            </w:r>
          </w:p>
        </w:tc>
        <w:tc>
          <w:tcPr>
            <w:tcW w:w="1013" w:type="pct"/>
            <w:tcMar>
              <w:top w:w="28" w:type="dxa"/>
              <w:left w:w="85" w:type="dxa"/>
              <w:bottom w:w="28" w:type="dxa"/>
              <w:right w:w="28" w:type="dxa"/>
            </w:tcMar>
          </w:tcPr>
          <w:p w14:paraId="6240A9D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1136644" w14:textId="77777777" w:rsidTr="00CA0AA3">
        <w:tc>
          <w:tcPr>
            <w:tcW w:w="858" w:type="pct"/>
            <w:tcMar>
              <w:top w:w="28" w:type="dxa"/>
              <w:left w:w="85" w:type="dxa"/>
              <w:bottom w:w="28" w:type="dxa"/>
              <w:right w:w="28" w:type="dxa"/>
            </w:tcMar>
          </w:tcPr>
          <w:p w14:paraId="2DE8FD2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ADR-DSN.B.110 </w:t>
            </w:r>
          </w:p>
        </w:tc>
        <w:tc>
          <w:tcPr>
            <w:tcW w:w="3129" w:type="pct"/>
            <w:tcMar>
              <w:top w:w="28" w:type="dxa"/>
              <w:left w:w="85" w:type="dxa"/>
              <w:bottom w:w="28" w:type="dxa"/>
              <w:right w:w="28" w:type="dxa"/>
            </w:tcMar>
          </w:tcPr>
          <w:p w14:paraId="5E437EB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płaszczyzny do zawracania na drodze startowej</w:t>
            </w:r>
          </w:p>
        </w:tc>
        <w:tc>
          <w:tcPr>
            <w:tcW w:w="1013" w:type="pct"/>
            <w:tcMar>
              <w:top w:w="28" w:type="dxa"/>
              <w:left w:w="85" w:type="dxa"/>
              <w:bottom w:w="28" w:type="dxa"/>
              <w:right w:w="28" w:type="dxa"/>
            </w:tcMar>
          </w:tcPr>
          <w:p w14:paraId="5E61980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4FA016F" w14:textId="77777777" w:rsidTr="00CA0AA3">
        <w:tc>
          <w:tcPr>
            <w:tcW w:w="858" w:type="pct"/>
            <w:tcMar>
              <w:top w:w="28" w:type="dxa"/>
              <w:left w:w="85" w:type="dxa"/>
              <w:bottom w:w="28" w:type="dxa"/>
              <w:right w:w="28" w:type="dxa"/>
            </w:tcMar>
          </w:tcPr>
          <w:p w14:paraId="4047315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ADR-DSN.B.135 </w:t>
            </w:r>
          </w:p>
        </w:tc>
        <w:tc>
          <w:tcPr>
            <w:tcW w:w="3129" w:type="pct"/>
            <w:tcMar>
              <w:top w:w="28" w:type="dxa"/>
              <w:left w:w="85" w:type="dxa"/>
              <w:bottom w:w="28" w:type="dxa"/>
              <w:right w:w="28" w:type="dxa"/>
            </w:tcMar>
          </w:tcPr>
          <w:p w14:paraId="063CD35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pobocza</w:t>
            </w:r>
          </w:p>
        </w:tc>
        <w:tc>
          <w:tcPr>
            <w:tcW w:w="1013" w:type="pct"/>
            <w:tcMar>
              <w:top w:w="28" w:type="dxa"/>
              <w:left w:w="85" w:type="dxa"/>
              <w:bottom w:w="28" w:type="dxa"/>
              <w:right w:w="28" w:type="dxa"/>
            </w:tcMar>
          </w:tcPr>
          <w:p w14:paraId="66855AD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61CAB5B" w14:textId="77777777" w:rsidTr="00CA0AA3">
        <w:tc>
          <w:tcPr>
            <w:tcW w:w="858" w:type="pct"/>
            <w:tcMar>
              <w:top w:w="28" w:type="dxa"/>
              <w:left w:w="85" w:type="dxa"/>
              <w:bottom w:w="28" w:type="dxa"/>
              <w:right w:w="28" w:type="dxa"/>
            </w:tcMar>
          </w:tcPr>
          <w:p w14:paraId="2615BC5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ADR-DSN.B.155 </w:t>
            </w:r>
          </w:p>
        </w:tc>
        <w:tc>
          <w:tcPr>
            <w:tcW w:w="3129" w:type="pct"/>
            <w:tcMar>
              <w:top w:w="28" w:type="dxa"/>
              <w:left w:w="85" w:type="dxa"/>
              <w:bottom w:w="28" w:type="dxa"/>
              <w:right w:w="28" w:type="dxa"/>
            </w:tcMar>
          </w:tcPr>
          <w:p w14:paraId="2AE643B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Długość pasa drogi startowej</w:t>
            </w:r>
          </w:p>
        </w:tc>
        <w:tc>
          <w:tcPr>
            <w:tcW w:w="1013" w:type="pct"/>
            <w:tcMar>
              <w:top w:w="28" w:type="dxa"/>
              <w:left w:w="85" w:type="dxa"/>
              <w:bottom w:w="28" w:type="dxa"/>
              <w:right w:w="28" w:type="dxa"/>
            </w:tcMar>
          </w:tcPr>
          <w:p w14:paraId="5EC0D0F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42BE475" w14:textId="77777777" w:rsidTr="00CA0AA3">
        <w:tc>
          <w:tcPr>
            <w:tcW w:w="858" w:type="pct"/>
            <w:tcMar>
              <w:top w:w="28" w:type="dxa"/>
              <w:left w:w="85" w:type="dxa"/>
              <w:bottom w:w="28" w:type="dxa"/>
              <w:right w:w="28" w:type="dxa"/>
            </w:tcMar>
          </w:tcPr>
          <w:p w14:paraId="34E69AE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ADR-DSN.B.165 </w:t>
            </w:r>
          </w:p>
        </w:tc>
        <w:tc>
          <w:tcPr>
            <w:tcW w:w="3129" w:type="pct"/>
            <w:tcMar>
              <w:top w:w="28" w:type="dxa"/>
              <w:left w:w="85" w:type="dxa"/>
              <w:bottom w:w="28" w:type="dxa"/>
              <w:right w:w="28" w:type="dxa"/>
            </w:tcMar>
          </w:tcPr>
          <w:p w14:paraId="0DD239E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na pasie drogi startowej</w:t>
            </w:r>
          </w:p>
        </w:tc>
        <w:tc>
          <w:tcPr>
            <w:tcW w:w="1013" w:type="pct"/>
            <w:tcMar>
              <w:top w:w="28" w:type="dxa"/>
              <w:left w:w="85" w:type="dxa"/>
              <w:bottom w:w="28" w:type="dxa"/>
              <w:right w:w="28" w:type="dxa"/>
            </w:tcMar>
          </w:tcPr>
          <w:p w14:paraId="550461E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42B2946" w14:textId="77777777" w:rsidTr="00CA0AA3">
        <w:tc>
          <w:tcPr>
            <w:tcW w:w="858" w:type="pct"/>
            <w:tcMar>
              <w:top w:w="28" w:type="dxa"/>
              <w:left w:w="85" w:type="dxa"/>
              <w:bottom w:w="28" w:type="dxa"/>
              <w:right w:w="28" w:type="dxa"/>
            </w:tcMar>
          </w:tcPr>
          <w:p w14:paraId="42E82FA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ADR-DSN.B.191 </w:t>
            </w:r>
          </w:p>
        </w:tc>
        <w:tc>
          <w:tcPr>
            <w:tcW w:w="3129" w:type="pct"/>
            <w:tcMar>
              <w:top w:w="28" w:type="dxa"/>
              <w:left w:w="85" w:type="dxa"/>
              <w:bottom w:w="28" w:type="dxa"/>
              <w:right w:w="28" w:type="dxa"/>
            </w:tcMar>
          </w:tcPr>
          <w:p w14:paraId="6079CB2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Charakterystyka odwodnienia pola ruchu naziemnego i przylegających do niego obszarów</w:t>
            </w:r>
          </w:p>
        </w:tc>
        <w:tc>
          <w:tcPr>
            <w:tcW w:w="1013" w:type="pct"/>
            <w:tcMar>
              <w:top w:w="28" w:type="dxa"/>
              <w:left w:w="85" w:type="dxa"/>
              <w:bottom w:w="28" w:type="dxa"/>
              <w:right w:w="28" w:type="dxa"/>
            </w:tcMar>
          </w:tcPr>
          <w:p w14:paraId="3B735FB3" w14:textId="43AC09D8"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B4EAC78" w14:textId="77777777" w:rsidTr="00CA0AA3">
        <w:tc>
          <w:tcPr>
            <w:tcW w:w="858" w:type="pct"/>
            <w:tcMar>
              <w:top w:w="28" w:type="dxa"/>
              <w:left w:w="85" w:type="dxa"/>
              <w:bottom w:w="28" w:type="dxa"/>
              <w:right w:w="28" w:type="dxa"/>
            </w:tcMar>
          </w:tcPr>
          <w:p w14:paraId="16DB34B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ADR-DSN.B.195 </w:t>
            </w:r>
          </w:p>
        </w:tc>
        <w:tc>
          <w:tcPr>
            <w:tcW w:w="3129" w:type="pct"/>
            <w:tcMar>
              <w:top w:w="28" w:type="dxa"/>
              <w:left w:w="85" w:type="dxa"/>
              <w:bottom w:w="28" w:type="dxa"/>
              <w:right w:w="28" w:type="dxa"/>
            </w:tcMar>
          </w:tcPr>
          <w:p w14:paraId="7281A1C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Zabezpieczenie wydłużonego startu</w:t>
            </w:r>
          </w:p>
        </w:tc>
        <w:tc>
          <w:tcPr>
            <w:tcW w:w="1013" w:type="pct"/>
            <w:tcMar>
              <w:top w:w="28" w:type="dxa"/>
              <w:left w:w="85" w:type="dxa"/>
              <w:bottom w:w="28" w:type="dxa"/>
              <w:right w:w="28" w:type="dxa"/>
            </w:tcMar>
          </w:tcPr>
          <w:p w14:paraId="7229091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722811B" w14:textId="77777777" w:rsidTr="00CA0AA3">
        <w:tc>
          <w:tcPr>
            <w:tcW w:w="858" w:type="pct"/>
            <w:tcMar>
              <w:top w:w="28" w:type="dxa"/>
              <w:left w:w="85" w:type="dxa"/>
              <w:bottom w:w="28" w:type="dxa"/>
              <w:right w:w="28" w:type="dxa"/>
            </w:tcMar>
          </w:tcPr>
          <w:p w14:paraId="043B4DD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ADR-DSN.B.200 </w:t>
            </w:r>
          </w:p>
        </w:tc>
        <w:tc>
          <w:tcPr>
            <w:tcW w:w="3129" w:type="pct"/>
            <w:tcMar>
              <w:top w:w="28" w:type="dxa"/>
              <w:left w:w="85" w:type="dxa"/>
              <w:bottom w:w="28" w:type="dxa"/>
              <w:right w:w="28" w:type="dxa"/>
            </w:tcMar>
          </w:tcPr>
          <w:p w14:paraId="7225E73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Zabezpieczenie przerwanego startu.</w:t>
            </w:r>
          </w:p>
        </w:tc>
        <w:tc>
          <w:tcPr>
            <w:tcW w:w="1013" w:type="pct"/>
            <w:tcMar>
              <w:top w:w="28" w:type="dxa"/>
              <w:left w:w="85" w:type="dxa"/>
              <w:bottom w:w="28" w:type="dxa"/>
              <w:right w:w="28" w:type="dxa"/>
            </w:tcMar>
          </w:tcPr>
          <w:p w14:paraId="3323954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31F9E92" w14:textId="77777777" w:rsidTr="00CA0AA3">
        <w:tc>
          <w:tcPr>
            <w:tcW w:w="858" w:type="pct"/>
            <w:tcMar>
              <w:top w:w="28" w:type="dxa"/>
              <w:left w:w="85" w:type="dxa"/>
              <w:bottom w:w="28" w:type="dxa"/>
              <w:right w:w="28" w:type="dxa"/>
            </w:tcMar>
          </w:tcPr>
          <w:p w14:paraId="01BFF17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ADR-DSN.B.205 </w:t>
            </w:r>
          </w:p>
        </w:tc>
        <w:tc>
          <w:tcPr>
            <w:tcW w:w="3129" w:type="pct"/>
            <w:tcMar>
              <w:top w:w="28" w:type="dxa"/>
              <w:left w:w="85" w:type="dxa"/>
              <w:bottom w:w="28" w:type="dxa"/>
              <w:right w:w="28" w:type="dxa"/>
            </w:tcMar>
          </w:tcPr>
          <w:p w14:paraId="3B9FBB2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Strefa operacyjna radiowysokościomierza</w:t>
            </w:r>
          </w:p>
        </w:tc>
        <w:tc>
          <w:tcPr>
            <w:tcW w:w="1013" w:type="pct"/>
            <w:tcMar>
              <w:top w:w="28" w:type="dxa"/>
              <w:left w:w="85" w:type="dxa"/>
              <w:bottom w:w="28" w:type="dxa"/>
              <w:right w:w="28" w:type="dxa"/>
            </w:tcMar>
          </w:tcPr>
          <w:p w14:paraId="79DB74E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72A3C23" w14:textId="77777777" w:rsidTr="00CA0AA3">
        <w:tc>
          <w:tcPr>
            <w:tcW w:w="858" w:type="pct"/>
            <w:tcMar>
              <w:top w:w="28" w:type="dxa"/>
              <w:left w:w="85" w:type="dxa"/>
              <w:bottom w:w="28" w:type="dxa"/>
              <w:right w:w="28" w:type="dxa"/>
            </w:tcMar>
          </w:tcPr>
          <w:p w14:paraId="1F13482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ADR-DSN.C.210 </w:t>
            </w:r>
          </w:p>
        </w:tc>
        <w:tc>
          <w:tcPr>
            <w:tcW w:w="3129" w:type="pct"/>
            <w:tcMar>
              <w:top w:w="28" w:type="dxa"/>
              <w:left w:w="85" w:type="dxa"/>
              <w:bottom w:w="28" w:type="dxa"/>
              <w:right w:w="28" w:type="dxa"/>
            </w:tcMar>
          </w:tcPr>
          <w:p w14:paraId="41C365B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Strefa bezpieczeństwa końca drogi startowej (RESA)</w:t>
            </w:r>
          </w:p>
        </w:tc>
        <w:tc>
          <w:tcPr>
            <w:tcW w:w="1013" w:type="pct"/>
            <w:tcMar>
              <w:top w:w="28" w:type="dxa"/>
              <w:left w:w="85" w:type="dxa"/>
              <w:bottom w:w="28" w:type="dxa"/>
              <w:right w:w="28" w:type="dxa"/>
            </w:tcMar>
          </w:tcPr>
          <w:p w14:paraId="0022191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B216DBC" w14:textId="77777777" w:rsidTr="00CA0AA3">
        <w:tc>
          <w:tcPr>
            <w:tcW w:w="858" w:type="pct"/>
            <w:tcMar>
              <w:top w:w="28" w:type="dxa"/>
              <w:left w:w="85" w:type="dxa"/>
              <w:bottom w:w="28" w:type="dxa"/>
              <w:right w:w="28" w:type="dxa"/>
            </w:tcMar>
          </w:tcPr>
          <w:p w14:paraId="6A51D2F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ADR-DSN.C.215 </w:t>
            </w:r>
          </w:p>
        </w:tc>
        <w:tc>
          <w:tcPr>
            <w:tcW w:w="3129" w:type="pct"/>
            <w:tcMar>
              <w:top w:w="28" w:type="dxa"/>
              <w:left w:w="85" w:type="dxa"/>
              <w:bottom w:w="28" w:type="dxa"/>
              <w:right w:w="28" w:type="dxa"/>
            </w:tcMar>
          </w:tcPr>
          <w:p w14:paraId="60167A0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Wymiary strefy bezpieczeństwa końca drogi startowej</w:t>
            </w:r>
          </w:p>
        </w:tc>
        <w:tc>
          <w:tcPr>
            <w:tcW w:w="1013" w:type="pct"/>
            <w:tcMar>
              <w:top w:w="28" w:type="dxa"/>
              <w:left w:w="85" w:type="dxa"/>
              <w:bottom w:w="28" w:type="dxa"/>
              <w:right w:w="28" w:type="dxa"/>
            </w:tcMar>
          </w:tcPr>
          <w:p w14:paraId="5954893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55EFFA7" w14:textId="77777777" w:rsidTr="00CA0AA3">
        <w:tc>
          <w:tcPr>
            <w:tcW w:w="858" w:type="pct"/>
            <w:tcMar>
              <w:top w:w="28" w:type="dxa"/>
              <w:left w:w="85" w:type="dxa"/>
              <w:bottom w:w="28" w:type="dxa"/>
              <w:right w:w="28" w:type="dxa"/>
            </w:tcMar>
          </w:tcPr>
          <w:p w14:paraId="6C7B7BD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ADR-DSN.C.235 </w:t>
            </w:r>
          </w:p>
        </w:tc>
        <w:tc>
          <w:tcPr>
            <w:tcW w:w="3129" w:type="pct"/>
            <w:tcMar>
              <w:top w:w="28" w:type="dxa"/>
              <w:left w:w="85" w:type="dxa"/>
              <w:bottom w:w="28" w:type="dxa"/>
              <w:right w:w="28" w:type="dxa"/>
            </w:tcMar>
          </w:tcPr>
          <w:p w14:paraId="584AF04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strefy bezpieczeństwa końca drogi startowej</w:t>
            </w:r>
          </w:p>
        </w:tc>
        <w:tc>
          <w:tcPr>
            <w:tcW w:w="1013" w:type="pct"/>
            <w:tcMar>
              <w:top w:w="28" w:type="dxa"/>
              <w:left w:w="85" w:type="dxa"/>
              <w:bottom w:w="28" w:type="dxa"/>
              <w:right w:w="28" w:type="dxa"/>
            </w:tcMar>
          </w:tcPr>
          <w:p w14:paraId="4DF183ED" w14:textId="0A942823"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413F247A" w14:textId="77777777" w:rsidTr="00CA0AA3">
        <w:tc>
          <w:tcPr>
            <w:tcW w:w="858" w:type="pct"/>
            <w:tcMar>
              <w:top w:w="28" w:type="dxa"/>
              <w:left w:w="85" w:type="dxa"/>
              <w:bottom w:w="28" w:type="dxa"/>
              <w:right w:w="28" w:type="dxa"/>
            </w:tcMar>
          </w:tcPr>
          <w:p w14:paraId="68827A5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ADR-DSN.D.290 </w:t>
            </w:r>
          </w:p>
        </w:tc>
        <w:tc>
          <w:tcPr>
            <w:tcW w:w="3129" w:type="pct"/>
            <w:tcMar>
              <w:top w:w="28" w:type="dxa"/>
              <w:left w:w="85" w:type="dxa"/>
              <w:bottom w:w="28" w:type="dxa"/>
              <w:right w:w="28" w:type="dxa"/>
            </w:tcMar>
          </w:tcPr>
          <w:p w14:paraId="709D33A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drogi kołowania</w:t>
            </w:r>
          </w:p>
        </w:tc>
        <w:tc>
          <w:tcPr>
            <w:tcW w:w="1013" w:type="pct"/>
            <w:tcMar>
              <w:top w:w="28" w:type="dxa"/>
              <w:left w:w="85" w:type="dxa"/>
              <w:bottom w:w="28" w:type="dxa"/>
              <w:right w:w="28" w:type="dxa"/>
            </w:tcMar>
          </w:tcPr>
          <w:p w14:paraId="59D4514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76283D3" w14:textId="77777777" w:rsidTr="00CA0AA3">
        <w:tc>
          <w:tcPr>
            <w:tcW w:w="858" w:type="pct"/>
            <w:tcMar>
              <w:top w:w="28" w:type="dxa"/>
              <w:left w:w="85" w:type="dxa"/>
              <w:bottom w:w="28" w:type="dxa"/>
              <w:right w:w="28" w:type="dxa"/>
            </w:tcMar>
          </w:tcPr>
          <w:p w14:paraId="2E6736A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ADR-DSN.D.315 </w:t>
            </w:r>
          </w:p>
        </w:tc>
        <w:tc>
          <w:tcPr>
            <w:tcW w:w="3129" w:type="pct"/>
            <w:tcMar>
              <w:top w:w="28" w:type="dxa"/>
              <w:left w:w="85" w:type="dxa"/>
              <w:bottom w:w="28" w:type="dxa"/>
              <w:right w:w="28" w:type="dxa"/>
            </w:tcMar>
          </w:tcPr>
          <w:p w14:paraId="48A9B3A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pasa drogi kołowania</w:t>
            </w:r>
          </w:p>
        </w:tc>
        <w:tc>
          <w:tcPr>
            <w:tcW w:w="1013" w:type="pct"/>
            <w:tcMar>
              <w:top w:w="28" w:type="dxa"/>
              <w:left w:w="85" w:type="dxa"/>
              <w:bottom w:w="28" w:type="dxa"/>
              <w:right w:w="28" w:type="dxa"/>
            </w:tcMar>
          </w:tcPr>
          <w:p w14:paraId="315E3D4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50C003B" w14:textId="77777777" w:rsidTr="00CA0AA3">
        <w:tc>
          <w:tcPr>
            <w:tcW w:w="858" w:type="pct"/>
            <w:tcMar>
              <w:top w:w="28" w:type="dxa"/>
              <w:left w:w="85" w:type="dxa"/>
              <w:bottom w:w="28" w:type="dxa"/>
              <w:right w:w="28" w:type="dxa"/>
            </w:tcMar>
          </w:tcPr>
          <w:p w14:paraId="6967E8C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ADR-DSN.D.335 </w:t>
            </w:r>
          </w:p>
        </w:tc>
        <w:tc>
          <w:tcPr>
            <w:tcW w:w="3129" w:type="pct"/>
            <w:tcMar>
              <w:top w:w="28" w:type="dxa"/>
              <w:left w:w="85" w:type="dxa"/>
              <w:bottom w:w="28" w:type="dxa"/>
              <w:right w:w="28" w:type="dxa"/>
            </w:tcMar>
          </w:tcPr>
          <w:p w14:paraId="5259094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Zatoki oczekiwania, miejsca oczekiwania przed drogą startową, pośrednie miejsca oczekiwania, miejsca oczekiwania na drodze ruchu kołowego</w:t>
            </w:r>
          </w:p>
        </w:tc>
        <w:tc>
          <w:tcPr>
            <w:tcW w:w="1013" w:type="pct"/>
            <w:tcMar>
              <w:top w:w="28" w:type="dxa"/>
              <w:left w:w="85" w:type="dxa"/>
              <w:bottom w:w="28" w:type="dxa"/>
              <w:right w:w="28" w:type="dxa"/>
            </w:tcMar>
          </w:tcPr>
          <w:p w14:paraId="3CC6E35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2991B7F" w14:textId="77777777" w:rsidTr="00CA0AA3">
        <w:tc>
          <w:tcPr>
            <w:tcW w:w="858" w:type="pct"/>
            <w:tcMar>
              <w:top w:w="28" w:type="dxa"/>
              <w:left w:w="85" w:type="dxa"/>
              <w:bottom w:w="28" w:type="dxa"/>
              <w:right w:w="28" w:type="dxa"/>
            </w:tcMar>
          </w:tcPr>
          <w:p w14:paraId="2871B4C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ADR-DSN.D.340 </w:t>
            </w:r>
          </w:p>
        </w:tc>
        <w:tc>
          <w:tcPr>
            <w:tcW w:w="3129" w:type="pct"/>
            <w:tcMar>
              <w:top w:w="28" w:type="dxa"/>
              <w:left w:w="85" w:type="dxa"/>
              <w:bottom w:w="28" w:type="dxa"/>
              <w:right w:w="28" w:type="dxa"/>
            </w:tcMar>
          </w:tcPr>
          <w:p w14:paraId="2D31B60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Lokalizacja zatok oczekiwania, miejsc oczekiwania przed drogą startową, pośrednich miejsc oczekiwania oraz miejsc oczekiwania na drogach ruchu kołowego</w:t>
            </w:r>
          </w:p>
        </w:tc>
        <w:tc>
          <w:tcPr>
            <w:tcW w:w="1013" w:type="pct"/>
            <w:tcMar>
              <w:top w:w="28" w:type="dxa"/>
              <w:left w:w="85" w:type="dxa"/>
              <w:bottom w:w="28" w:type="dxa"/>
              <w:right w:w="28" w:type="dxa"/>
            </w:tcMar>
          </w:tcPr>
          <w:p w14:paraId="6720DBB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E68C530" w14:textId="77777777" w:rsidTr="00CA0AA3">
        <w:tc>
          <w:tcPr>
            <w:tcW w:w="858" w:type="pct"/>
            <w:tcMar>
              <w:top w:w="28" w:type="dxa"/>
              <w:left w:w="85" w:type="dxa"/>
              <w:bottom w:w="28" w:type="dxa"/>
              <w:right w:w="28" w:type="dxa"/>
            </w:tcMar>
          </w:tcPr>
          <w:p w14:paraId="76C0BD3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ADR-DSN.E.360 </w:t>
            </w:r>
          </w:p>
        </w:tc>
        <w:tc>
          <w:tcPr>
            <w:tcW w:w="3129" w:type="pct"/>
            <w:tcMar>
              <w:top w:w="28" w:type="dxa"/>
              <w:left w:w="85" w:type="dxa"/>
              <w:bottom w:w="28" w:type="dxa"/>
              <w:right w:w="28" w:type="dxa"/>
            </w:tcMar>
          </w:tcPr>
          <w:p w14:paraId="5B26C39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Nachylenia na płycie postojowej </w:t>
            </w:r>
          </w:p>
        </w:tc>
        <w:tc>
          <w:tcPr>
            <w:tcW w:w="1013" w:type="pct"/>
            <w:tcMar>
              <w:top w:w="28" w:type="dxa"/>
              <w:left w:w="85" w:type="dxa"/>
              <w:bottom w:w="28" w:type="dxa"/>
              <w:right w:w="28" w:type="dxa"/>
            </w:tcMar>
          </w:tcPr>
          <w:p w14:paraId="79293F2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57F5601" w14:textId="77777777" w:rsidTr="00CA0AA3">
        <w:tc>
          <w:tcPr>
            <w:tcW w:w="858" w:type="pct"/>
            <w:tcMar>
              <w:top w:w="28" w:type="dxa"/>
              <w:left w:w="85" w:type="dxa"/>
              <w:bottom w:w="28" w:type="dxa"/>
              <w:right w:w="28" w:type="dxa"/>
            </w:tcMar>
          </w:tcPr>
          <w:p w14:paraId="54618C6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ADR-DSN.E.365 </w:t>
            </w:r>
          </w:p>
        </w:tc>
        <w:tc>
          <w:tcPr>
            <w:tcW w:w="3129" w:type="pct"/>
            <w:tcMar>
              <w:top w:w="28" w:type="dxa"/>
              <w:left w:w="85" w:type="dxa"/>
              <w:bottom w:w="28" w:type="dxa"/>
              <w:right w:w="28" w:type="dxa"/>
            </w:tcMar>
          </w:tcPr>
          <w:p w14:paraId="3D53BCE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Odstępy na stanowiskach postojowych</w:t>
            </w:r>
          </w:p>
        </w:tc>
        <w:tc>
          <w:tcPr>
            <w:tcW w:w="1013" w:type="pct"/>
            <w:tcMar>
              <w:top w:w="28" w:type="dxa"/>
              <w:left w:w="85" w:type="dxa"/>
              <w:bottom w:w="28" w:type="dxa"/>
              <w:right w:w="28" w:type="dxa"/>
            </w:tcMar>
          </w:tcPr>
          <w:p w14:paraId="5081FAC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EB0B49C" w14:textId="77777777" w:rsidTr="00CA0AA3">
        <w:tc>
          <w:tcPr>
            <w:tcW w:w="858" w:type="pct"/>
            <w:tcMar>
              <w:top w:w="28" w:type="dxa"/>
              <w:left w:w="85" w:type="dxa"/>
              <w:bottom w:w="28" w:type="dxa"/>
              <w:right w:w="28" w:type="dxa"/>
            </w:tcMar>
          </w:tcPr>
          <w:p w14:paraId="21131B7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ADR-DSN.G.400 </w:t>
            </w:r>
          </w:p>
        </w:tc>
        <w:tc>
          <w:tcPr>
            <w:tcW w:w="3129" w:type="pct"/>
            <w:tcMar>
              <w:top w:w="28" w:type="dxa"/>
              <w:left w:w="85" w:type="dxa"/>
              <w:bottom w:w="28" w:type="dxa"/>
              <w:right w:w="28" w:type="dxa"/>
            </w:tcMar>
          </w:tcPr>
          <w:p w14:paraId="75105E9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Odstępy na płaszczyźnie do odladzania/przeciwdziałania oblodzeniu</w:t>
            </w:r>
          </w:p>
        </w:tc>
        <w:tc>
          <w:tcPr>
            <w:tcW w:w="1013" w:type="pct"/>
            <w:tcMar>
              <w:top w:w="28" w:type="dxa"/>
              <w:left w:w="85" w:type="dxa"/>
              <w:bottom w:w="28" w:type="dxa"/>
              <w:right w:w="28" w:type="dxa"/>
            </w:tcMar>
          </w:tcPr>
          <w:p w14:paraId="1008DA7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8EDBEB8" w14:textId="77777777" w:rsidTr="00CA0AA3">
        <w:tc>
          <w:tcPr>
            <w:tcW w:w="858" w:type="pct"/>
            <w:tcMar>
              <w:top w:w="28" w:type="dxa"/>
              <w:left w:w="85" w:type="dxa"/>
              <w:bottom w:w="28" w:type="dxa"/>
              <w:right w:w="28" w:type="dxa"/>
            </w:tcMar>
          </w:tcPr>
          <w:p w14:paraId="1C0D87C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ADR-DSN.H.420 </w:t>
            </w:r>
          </w:p>
        </w:tc>
        <w:tc>
          <w:tcPr>
            <w:tcW w:w="3129" w:type="pct"/>
            <w:tcMar>
              <w:top w:w="28" w:type="dxa"/>
              <w:left w:w="85" w:type="dxa"/>
              <w:bottom w:w="28" w:type="dxa"/>
              <w:right w:w="28" w:type="dxa"/>
            </w:tcMar>
          </w:tcPr>
          <w:p w14:paraId="4E1FE07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pozioma wewnętrzna</w:t>
            </w:r>
          </w:p>
        </w:tc>
        <w:tc>
          <w:tcPr>
            <w:tcW w:w="1013" w:type="pct"/>
            <w:tcMar>
              <w:top w:w="28" w:type="dxa"/>
              <w:left w:w="85" w:type="dxa"/>
              <w:bottom w:w="28" w:type="dxa"/>
              <w:right w:w="28" w:type="dxa"/>
            </w:tcMar>
          </w:tcPr>
          <w:p w14:paraId="37F263D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FEAEF74" w14:textId="77777777" w:rsidTr="00CA0AA3">
        <w:tc>
          <w:tcPr>
            <w:tcW w:w="858" w:type="pct"/>
            <w:tcMar>
              <w:top w:w="28" w:type="dxa"/>
              <w:left w:w="85" w:type="dxa"/>
              <w:bottom w:w="28" w:type="dxa"/>
              <w:right w:w="28" w:type="dxa"/>
            </w:tcMar>
          </w:tcPr>
          <w:p w14:paraId="03BA83D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ADR-DSN.H.445 </w:t>
            </w:r>
          </w:p>
        </w:tc>
        <w:tc>
          <w:tcPr>
            <w:tcW w:w="3129" w:type="pct"/>
            <w:tcMar>
              <w:top w:w="28" w:type="dxa"/>
              <w:left w:w="85" w:type="dxa"/>
              <w:bottom w:w="28" w:type="dxa"/>
              <w:right w:w="28" w:type="dxa"/>
            </w:tcMar>
          </w:tcPr>
          <w:p w14:paraId="2560B7A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Strefa wolna od przeszkód (OFZ) </w:t>
            </w:r>
          </w:p>
        </w:tc>
        <w:tc>
          <w:tcPr>
            <w:tcW w:w="1013" w:type="pct"/>
            <w:tcMar>
              <w:top w:w="28" w:type="dxa"/>
              <w:left w:w="85" w:type="dxa"/>
              <w:bottom w:w="28" w:type="dxa"/>
              <w:right w:w="28" w:type="dxa"/>
            </w:tcMar>
          </w:tcPr>
          <w:p w14:paraId="0A71843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5254627" w14:textId="77777777" w:rsidTr="00CA0AA3">
        <w:tc>
          <w:tcPr>
            <w:tcW w:w="858" w:type="pct"/>
            <w:tcMar>
              <w:top w:w="28" w:type="dxa"/>
              <w:left w:w="85" w:type="dxa"/>
              <w:bottom w:w="28" w:type="dxa"/>
              <w:right w:w="28" w:type="dxa"/>
            </w:tcMar>
          </w:tcPr>
          <w:p w14:paraId="32F1001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ADR-DSN.J.470 </w:t>
            </w:r>
          </w:p>
        </w:tc>
        <w:tc>
          <w:tcPr>
            <w:tcW w:w="3129" w:type="pct"/>
            <w:tcMar>
              <w:top w:w="28" w:type="dxa"/>
              <w:left w:w="85" w:type="dxa"/>
              <w:bottom w:w="28" w:type="dxa"/>
              <w:right w:w="28" w:type="dxa"/>
            </w:tcMar>
          </w:tcPr>
          <w:p w14:paraId="629C7E9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nieprzyrządowe</w:t>
            </w:r>
          </w:p>
        </w:tc>
        <w:tc>
          <w:tcPr>
            <w:tcW w:w="1013" w:type="pct"/>
            <w:tcMar>
              <w:top w:w="28" w:type="dxa"/>
              <w:left w:w="85" w:type="dxa"/>
              <w:bottom w:w="28" w:type="dxa"/>
              <w:right w:w="28" w:type="dxa"/>
            </w:tcMar>
          </w:tcPr>
          <w:p w14:paraId="28B14EB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2A9512B" w14:textId="77777777" w:rsidTr="00CA0AA3">
        <w:tc>
          <w:tcPr>
            <w:tcW w:w="858" w:type="pct"/>
            <w:tcMar>
              <w:top w:w="28" w:type="dxa"/>
              <w:left w:w="85" w:type="dxa"/>
              <w:bottom w:w="28" w:type="dxa"/>
              <w:right w:w="28" w:type="dxa"/>
            </w:tcMar>
          </w:tcPr>
          <w:p w14:paraId="72011C2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ADR-DSN.J.475 </w:t>
            </w:r>
          </w:p>
        </w:tc>
        <w:tc>
          <w:tcPr>
            <w:tcW w:w="3129" w:type="pct"/>
            <w:tcMar>
              <w:top w:w="28" w:type="dxa"/>
              <w:left w:w="85" w:type="dxa"/>
              <w:bottom w:w="28" w:type="dxa"/>
              <w:right w:w="28" w:type="dxa"/>
            </w:tcMar>
          </w:tcPr>
          <w:p w14:paraId="2FA324F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Drogi startowe z podejściem nieprecyzyjnym </w:t>
            </w:r>
          </w:p>
        </w:tc>
        <w:tc>
          <w:tcPr>
            <w:tcW w:w="1013" w:type="pct"/>
            <w:tcMar>
              <w:top w:w="28" w:type="dxa"/>
              <w:left w:w="85" w:type="dxa"/>
              <w:bottom w:w="28" w:type="dxa"/>
              <w:right w:w="28" w:type="dxa"/>
            </w:tcMar>
          </w:tcPr>
          <w:p w14:paraId="20CF101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42F3B66" w14:textId="77777777" w:rsidTr="00CA0AA3">
        <w:tc>
          <w:tcPr>
            <w:tcW w:w="858" w:type="pct"/>
            <w:tcMar>
              <w:top w:w="28" w:type="dxa"/>
              <w:left w:w="85" w:type="dxa"/>
              <w:bottom w:w="28" w:type="dxa"/>
              <w:right w:w="28" w:type="dxa"/>
            </w:tcMar>
          </w:tcPr>
          <w:p w14:paraId="749BC06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ADR-DSN.J.480 </w:t>
            </w:r>
          </w:p>
        </w:tc>
        <w:tc>
          <w:tcPr>
            <w:tcW w:w="3129" w:type="pct"/>
            <w:tcMar>
              <w:top w:w="28" w:type="dxa"/>
              <w:left w:w="85" w:type="dxa"/>
              <w:bottom w:w="28" w:type="dxa"/>
              <w:right w:w="28" w:type="dxa"/>
            </w:tcMar>
          </w:tcPr>
          <w:p w14:paraId="16310AD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z podejściem precyzyjnym</w:t>
            </w:r>
          </w:p>
        </w:tc>
        <w:tc>
          <w:tcPr>
            <w:tcW w:w="1013" w:type="pct"/>
            <w:tcMar>
              <w:top w:w="28" w:type="dxa"/>
              <w:left w:w="85" w:type="dxa"/>
              <w:bottom w:w="28" w:type="dxa"/>
              <w:right w:w="28" w:type="dxa"/>
            </w:tcMar>
          </w:tcPr>
          <w:p w14:paraId="727957E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4B8F36A" w14:textId="77777777" w:rsidTr="00CA0AA3">
        <w:tc>
          <w:tcPr>
            <w:tcW w:w="858" w:type="pct"/>
            <w:tcMar>
              <w:top w:w="28" w:type="dxa"/>
              <w:left w:w="85" w:type="dxa"/>
              <w:bottom w:w="28" w:type="dxa"/>
              <w:right w:w="28" w:type="dxa"/>
            </w:tcMar>
          </w:tcPr>
          <w:p w14:paraId="13068E4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ADR-DSN.J.485 </w:t>
            </w:r>
          </w:p>
        </w:tc>
        <w:tc>
          <w:tcPr>
            <w:tcW w:w="3129" w:type="pct"/>
            <w:tcMar>
              <w:top w:w="28" w:type="dxa"/>
              <w:left w:w="85" w:type="dxa"/>
              <w:bottom w:w="28" w:type="dxa"/>
              <w:right w:w="28" w:type="dxa"/>
            </w:tcMar>
          </w:tcPr>
          <w:p w14:paraId="7D8DD61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przeznaczone do startów.</w:t>
            </w:r>
          </w:p>
        </w:tc>
        <w:tc>
          <w:tcPr>
            <w:tcW w:w="1013" w:type="pct"/>
            <w:tcMar>
              <w:top w:w="28" w:type="dxa"/>
              <w:left w:w="85" w:type="dxa"/>
              <w:bottom w:w="28" w:type="dxa"/>
              <w:right w:w="28" w:type="dxa"/>
            </w:tcMar>
          </w:tcPr>
          <w:p w14:paraId="455A4FE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3B03B68" w14:textId="77777777" w:rsidTr="00CA0AA3">
        <w:tc>
          <w:tcPr>
            <w:tcW w:w="858" w:type="pct"/>
            <w:tcMar>
              <w:top w:w="28" w:type="dxa"/>
              <w:left w:w="85" w:type="dxa"/>
              <w:bottom w:w="28" w:type="dxa"/>
              <w:right w:w="28" w:type="dxa"/>
            </w:tcMar>
          </w:tcPr>
          <w:p w14:paraId="365F0BD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ADR-DSN.J.486 </w:t>
            </w:r>
          </w:p>
        </w:tc>
        <w:tc>
          <w:tcPr>
            <w:tcW w:w="3129" w:type="pct"/>
            <w:tcMar>
              <w:top w:w="28" w:type="dxa"/>
              <w:left w:w="85" w:type="dxa"/>
              <w:bottom w:w="28" w:type="dxa"/>
              <w:right w:w="28" w:type="dxa"/>
            </w:tcMar>
          </w:tcPr>
          <w:p w14:paraId="7755106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Inne obiekty.</w:t>
            </w:r>
          </w:p>
        </w:tc>
        <w:tc>
          <w:tcPr>
            <w:tcW w:w="1013" w:type="pct"/>
            <w:tcMar>
              <w:top w:w="28" w:type="dxa"/>
              <w:left w:w="85" w:type="dxa"/>
              <w:bottom w:w="28" w:type="dxa"/>
              <w:right w:w="28" w:type="dxa"/>
            </w:tcMar>
          </w:tcPr>
          <w:p w14:paraId="1562A06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E70EDC1" w14:textId="77777777" w:rsidTr="00CA0AA3">
        <w:tc>
          <w:tcPr>
            <w:tcW w:w="858" w:type="pct"/>
            <w:tcMar>
              <w:top w:w="28" w:type="dxa"/>
              <w:left w:w="85" w:type="dxa"/>
              <w:bottom w:w="28" w:type="dxa"/>
              <w:right w:w="28" w:type="dxa"/>
            </w:tcMar>
          </w:tcPr>
          <w:p w14:paraId="1AE3A9C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ADR-DSN.J.487 </w:t>
            </w:r>
          </w:p>
        </w:tc>
        <w:tc>
          <w:tcPr>
            <w:tcW w:w="3129" w:type="pct"/>
            <w:tcMar>
              <w:top w:w="28" w:type="dxa"/>
              <w:left w:w="85" w:type="dxa"/>
              <w:bottom w:w="28" w:type="dxa"/>
              <w:right w:w="28" w:type="dxa"/>
            </w:tcMar>
          </w:tcPr>
          <w:p w14:paraId="2AF5C69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poza powierzchniami ograniczającymi przeszkody</w:t>
            </w:r>
          </w:p>
        </w:tc>
        <w:tc>
          <w:tcPr>
            <w:tcW w:w="1013" w:type="pct"/>
            <w:tcMar>
              <w:top w:w="28" w:type="dxa"/>
              <w:left w:w="85" w:type="dxa"/>
              <w:bottom w:w="28" w:type="dxa"/>
              <w:right w:w="28" w:type="dxa"/>
            </w:tcMar>
          </w:tcPr>
          <w:p w14:paraId="31D11DCC" w14:textId="21C54275"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70A94AA9" w14:textId="77777777" w:rsidTr="00CA0AA3">
        <w:tc>
          <w:tcPr>
            <w:tcW w:w="858" w:type="pct"/>
            <w:tcMar>
              <w:top w:w="28" w:type="dxa"/>
              <w:left w:w="85" w:type="dxa"/>
              <w:bottom w:w="28" w:type="dxa"/>
              <w:right w:w="28" w:type="dxa"/>
            </w:tcMar>
          </w:tcPr>
          <w:p w14:paraId="0D5DEC5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ADR-DSN.L.525 </w:t>
            </w:r>
          </w:p>
        </w:tc>
        <w:tc>
          <w:tcPr>
            <w:tcW w:w="3129" w:type="pct"/>
            <w:tcMar>
              <w:top w:w="28" w:type="dxa"/>
              <w:left w:w="85" w:type="dxa"/>
              <w:bottom w:w="28" w:type="dxa"/>
              <w:right w:w="28" w:type="dxa"/>
            </w:tcMar>
          </w:tcPr>
          <w:p w14:paraId="6741912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identyfikacji drogi startowej</w:t>
            </w:r>
          </w:p>
        </w:tc>
        <w:tc>
          <w:tcPr>
            <w:tcW w:w="1013" w:type="pct"/>
            <w:tcMar>
              <w:top w:w="28" w:type="dxa"/>
              <w:left w:w="85" w:type="dxa"/>
              <w:bottom w:w="28" w:type="dxa"/>
              <w:right w:w="28" w:type="dxa"/>
            </w:tcMar>
          </w:tcPr>
          <w:p w14:paraId="596AC8E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0F38070" w14:textId="77777777" w:rsidTr="00CA0AA3">
        <w:tc>
          <w:tcPr>
            <w:tcW w:w="858" w:type="pct"/>
            <w:tcMar>
              <w:top w:w="28" w:type="dxa"/>
              <w:left w:w="85" w:type="dxa"/>
              <w:bottom w:w="28" w:type="dxa"/>
              <w:right w:w="28" w:type="dxa"/>
            </w:tcMar>
          </w:tcPr>
          <w:p w14:paraId="29A216F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ADR-DSN.L.530 </w:t>
            </w:r>
          </w:p>
        </w:tc>
        <w:tc>
          <w:tcPr>
            <w:tcW w:w="3129" w:type="pct"/>
            <w:tcMar>
              <w:top w:w="28" w:type="dxa"/>
              <w:left w:w="85" w:type="dxa"/>
              <w:bottom w:w="28" w:type="dxa"/>
              <w:right w:w="28" w:type="dxa"/>
            </w:tcMar>
          </w:tcPr>
          <w:p w14:paraId="4A57554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linii środkowej drogi startowej</w:t>
            </w:r>
          </w:p>
        </w:tc>
        <w:tc>
          <w:tcPr>
            <w:tcW w:w="1013" w:type="pct"/>
            <w:tcMar>
              <w:top w:w="28" w:type="dxa"/>
              <w:left w:w="85" w:type="dxa"/>
              <w:bottom w:w="28" w:type="dxa"/>
              <w:right w:w="28" w:type="dxa"/>
            </w:tcMar>
          </w:tcPr>
          <w:p w14:paraId="1370297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A6704B8" w14:textId="77777777" w:rsidTr="00CA0AA3">
        <w:tc>
          <w:tcPr>
            <w:tcW w:w="858" w:type="pct"/>
            <w:tcMar>
              <w:top w:w="28" w:type="dxa"/>
              <w:left w:w="85" w:type="dxa"/>
              <w:bottom w:w="28" w:type="dxa"/>
              <w:right w:w="28" w:type="dxa"/>
            </w:tcMar>
          </w:tcPr>
          <w:p w14:paraId="28932A1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ADR-DSN.L.535 </w:t>
            </w:r>
          </w:p>
        </w:tc>
        <w:tc>
          <w:tcPr>
            <w:tcW w:w="3129" w:type="pct"/>
            <w:tcMar>
              <w:top w:w="28" w:type="dxa"/>
              <w:left w:w="85" w:type="dxa"/>
              <w:bottom w:w="28" w:type="dxa"/>
              <w:right w:w="28" w:type="dxa"/>
            </w:tcMar>
          </w:tcPr>
          <w:p w14:paraId="30C2B9A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progu drogi startowej</w:t>
            </w:r>
          </w:p>
        </w:tc>
        <w:tc>
          <w:tcPr>
            <w:tcW w:w="1013" w:type="pct"/>
            <w:tcMar>
              <w:top w:w="28" w:type="dxa"/>
              <w:left w:w="85" w:type="dxa"/>
              <w:bottom w:w="28" w:type="dxa"/>
              <w:right w:w="28" w:type="dxa"/>
            </w:tcMar>
          </w:tcPr>
          <w:p w14:paraId="39591AD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558E4B7" w14:textId="77777777" w:rsidTr="00CA0AA3">
        <w:tc>
          <w:tcPr>
            <w:tcW w:w="858" w:type="pct"/>
            <w:tcMar>
              <w:top w:w="28" w:type="dxa"/>
              <w:left w:w="85" w:type="dxa"/>
              <w:bottom w:w="28" w:type="dxa"/>
              <w:right w:w="28" w:type="dxa"/>
            </w:tcMar>
          </w:tcPr>
          <w:p w14:paraId="4D2CC82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ADR-DSN.L.545 </w:t>
            </w:r>
          </w:p>
        </w:tc>
        <w:tc>
          <w:tcPr>
            <w:tcW w:w="3129" w:type="pct"/>
            <w:tcMar>
              <w:top w:w="28" w:type="dxa"/>
              <w:left w:w="85" w:type="dxa"/>
              <w:bottom w:w="28" w:type="dxa"/>
              <w:right w:w="28" w:type="dxa"/>
            </w:tcMar>
          </w:tcPr>
          <w:p w14:paraId="4A08758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strefy przyziemienia</w:t>
            </w:r>
          </w:p>
        </w:tc>
        <w:tc>
          <w:tcPr>
            <w:tcW w:w="1013" w:type="pct"/>
            <w:tcMar>
              <w:top w:w="28" w:type="dxa"/>
              <w:left w:w="85" w:type="dxa"/>
              <w:bottom w:w="28" w:type="dxa"/>
              <w:right w:w="28" w:type="dxa"/>
            </w:tcMar>
          </w:tcPr>
          <w:p w14:paraId="4191E70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56EBB0F" w14:textId="77777777" w:rsidTr="00CA0AA3">
        <w:tc>
          <w:tcPr>
            <w:tcW w:w="858" w:type="pct"/>
            <w:tcMar>
              <w:top w:w="28" w:type="dxa"/>
              <w:left w:w="85" w:type="dxa"/>
              <w:bottom w:w="28" w:type="dxa"/>
              <w:right w:w="28" w:type="dxa"/>
            </w:tcMar>
          </w:tcPr>
          <w:p w14:paraId="0E4B0CE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ADR-DSN.L.555 </w:t>
            </w:r>
          </w:p>
        </w:tc>
        <w:tc>
          <w:tcPr>
            <w:tcW w:w="3129" w:type="pct"/>
            <w:tcMar>
              <w:top w:w="28" w:type="dxa"/>
              <w:left w:w="85" w:type="dxa"/>
              <w:bottom w:w="28" w:type="dxa"/>
              <w:right w:w="28" w:type="dxa"/>
            </w:tcMar>
          </w:tcPr>
          <w:p w14:paraId="703B049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linii środkowej drogi kołowania</w:t>
            </w:r>
          </w:p>
        </w:tc>
        <w:tc>
          <w:tcPr>
            <w:tcW w:w="1013" w:type="pct"/>
            <w:tcMar>
              <w:top w:w="28" w:type="dxa"/>
              <w:left w:w="85" w:type="dxa"/>
              <w:bottom w:w="28" w:type="dxa"/>
              <w:right w:w="28" w:type="dxa"/>
            </w:tcMar>
          </w:tcPr>
          <w:p w14:paraId="232CB6D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F8469A3" w14:textId="77777777" w:rsidTr="00CA0AA3">
        <w:tc>
          <w:tcPr>
            <w:tcW w:w="858" w:type="pct"/>
            <w:tcMar>
              <w:top w:w="28" w:type="dxa"/>
              <w:left w:w="85" w:type="dxa"/>
              <w:bottom w:w="28" w:type="dxa"/>
              <w:right w:w="28" w:type="dxa"/>
            </w:tcMar>
          </w:tcPr>
          <w:p w14:paraId="040AF25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ADR-DSN.L.570 </w:t>
            </w:r>
          </w:p>
        </w:tc>
        <w:tc>
          <w:tcPr>
            <w:tcW w:w="3129" w:type="pct"/>
            <w:tcMar>
              <w:top w:w="28" w:type="dxa"/>
              <w:left w:w="85" w:type="dxa"/>
              <w:bottom w:w="28" w:type="dxa"/>
              <w:right w:w="28" w:type="dxa"/>
            </w:tcMar>
          </w:tcPr>
          <w:p w14:paraId="32FF967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Wzmocnione oznakowanie linii środkowej drogi kołowania</w:t>
            </w:r>
          </w:p>
        </w:tc>
        <w:tc>
          <w:tcPr>
            <w:tcW w:w="1013" w:type="pct"/>
            <w:tcMar>
              <w:top w:w="28" w:type="dxa"/>
              <w:left w:w="85" w:type="dxa"/>
              <w:bottom w:w="28" w:type="dxa"/>
              <w:right w:w="28" w:type="dxa"/>
            </w:tcMar>
          </w:tcPr>
          <w:p w14:paraId="123B7F0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C75C702" w14:textId="77777777" w:rsidTr="00CA0AA3">
        <w:tc>
          <w:tcPr>
            <w:tcW w:w="858" w:type="pct"/>
            <w:tcMar>
              <w:top w:w="28" w:type="dxa"/>
              <w:left w:w="85" w:type="dxa"/>
              <w:bottom w:w="28" w:type="dxa"/>
              <w:right w:w="28" w:type="dxa"/>
            </w:tcMar>
          </w:tcPr>
          <w:p w14:paraId="65D559F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ADR-DSN.L.575 </w:t>
            </w:r>
          </w:p>
        </w:tc>
        <w:tc>
          <w:tcPr>
            <w:tcW w:w="3129" w:type="pct"/>
            <w:tcMar>
              <w:top w:w="28" w:type="dxa"/>
              <w:left w:w="85" w:type="dxa"/>
              <w:bottom w:w="28" w:type="dxa"/>
              <w:right w:w="28" w:type="dxa"/>
            </w:tcMar>
          </w:tcPr>
          <w:p w14:paraId="44EA65E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miejsca oczekiwania przed drogą startową</w:t>
            </w:r>
          </w:p>
        </w:tc>
        <w:tc>
          <w:tcPr>
            <w:tcW w:w="1013" w:type="pct"/>
            <w:tcMar>
              <w:top w:w="28" w:type="dxa"/>
              <w:left w:w="85" w:type="dxa"/>
              <w:bottom w:w="28" w:type="dxa"/>
              <w:right w:w="28" w:type="dxa"/>
            </w:tcMar>
          </w:tcPr>
          <w:p w14:paraId="6F550A3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F54E24A" w14:textId="77777777" w:rsidTr="00CA0AA3">
        <w:tc>
          <w:tcPr>
            <w:tcW w:w="858" w:type="pct"/>
            <w:tcMar>
              <w:top w:w="28" w:type="dxa"/>
              <w:left w:w="85" w:type="dxa"/>
              <w:bottom w:w="28" w:type="dxa"/>
              <w:right w:w="28" w:type="dxa"/>
            </w:tcMar>
          </w:tcPr>
          <w:p w14:paraId="3D60684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ADR-DSN.L.580 </w:t>
            </w:r>
          </w:p>
        </w:tc>
        <w:tc>
          <w:tcPr>
            <w:tcW w:w="3129" w:type="pct"/>
            <w:tcMar>
              <w:top w:w="28" w:type="dxa"/>
              <w:left w:w="85" w:type="dxa"/>
              <w:bottom w:w="28" w:type="dxa"/>
              <w:right w:w="28" w:type="dxa"/>
            </w:tcMar>
          </w:tcPr>
          <w:p w14:paraId="368D296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pośredniego miejsca oczekiwania</w:t>
            </w:r>
          </w:p>
        </w:tc>
        <w:tc>
          <w:tcPr>
            <w:tcW w:w="1013" w:type="pct"/>
            <w:tcMar>
              <w:top w:w="28" w:type="dxa"/>
              <w:left w:w="85" w:type="dxa"/>
              <w:bottom w:w="28" w:type="dxa"/>
              <w:right w:w="28" w:type="dxa"/>
            </w:tcMar>
          </w:tcPr>
          <w:p w14:paraId="60797A4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BCD7AE9" w14:textId="77777777" w:rsidTr="00CA0AA3">
        <w:tc>
          <w:tcPr>
            <w:tcW w:w="858" w:type="pct"/>
            <w:tcMar>
              <w:top w:w="28" w:type="dxa"/>
              <w:left w:w="85" w:type="dxa"/>
              <w:bottom w:w="28" w:type="dxa"/>
              <w:right w:w="28" w:type="dxa"/>
            </w:tcMar>
          </w:tcPr>
          <w:p w14:paraId="667A0B5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ADR-DSN.L.585 </w:t>
            </w:r>
          </w:p>
        </w:tc>
        <w:tc>
          <w:tcPr>
            <w:tcW w:w="3129" w:type="pct"/>
            <w:tcMar>
              <w:top w:w="28" w:type="dxa"/>
              <w:left w:w="85" w:type="dxa"/>
              <w:bottom w:w="28" w:type="dxa"/>
              <w:right w:w="28" w:type="dxa"/>
            </w:tcMar>
          </w:tcPr>
          <w:p w14:paraId="73112BD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lotniskowego punktu sprawdzania VOR.</w:t>
            </w:r>
          </w:p>
        </w:tc>
        <w:tc>
          <w:tcPr>
            <w:tcW w:w="1013" w:type="pct"/>
            <w:tcMar>
              <w:top w:w="28" w:type="dxa"/>
              <w:left w:w="85" w:type="dxa"/>
              <w:bottom w:w="28" w:type="dxa"/>
              <w:right w:w="28" w:type="dxa"/>
            </w:tcMar>
          </w:tcPr>
          <w:p w14:paraId="74CBDC4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B2CB48A" w14:textId="77777777" w:rsidTr="00CA0AA3">
        <w:tc>
          <w:tcPr>
            <w:tcW w:w="858" w:type="pct"/>
            <w:tcMar>
              <w:top w:w="28" w:type="dxa"/>
              <w:left w:w="85" w:type="dxa"/>
              <w:bottom w:w="28" w:type="dxa"/>
              <w:right w:w="28" w:type="dxa"/>
            </w:tcMar>
          </w:tcPr>
          <w:p w14:paraId="24F119A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ADR-DSN.L.597 </w:t>
            </w:r>
          </w:p>
        </w:tc>
        <w:tc>
          <w:tcPr>
            <w:tcW w:w="3129" w:type="pct"/>
            <w:tcMar>
              <w:top w:w="28" w:type="dxa"/>
              <w:left w:w="85" w:type="dxa"/>
              <w:bottom w:w="28" w:type="dxa"/>
              <w:right w:w="28" w:type="dxa"/>
            </w:tcMar>
          </w:tcPr>
          <w:p w14:paraId="50711F4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serwisowe na płycie postojowej</w:t>
            </w:r>
          </w:p>
        </w:tc>
        <w:tc>
          <w:tcPr>
            <w:tcW w:w="1013" w:type="pct"/>
            <w:tcMar>
              <w:top w:w="28" w:type="dxa"/>
              <w:left w:w="85" w:type="dxa"/>
              <w:bottom w:w="28" w:type="dxa"/>
              <w:right w:w="28" w:type="dxa"/>
            </w:tcMar>
          </w:tcPr>
          <w:p w14:paraId="1ECA1FA5" w14:textId="5A13FB9B"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3239A859" w14:textId="77777777" w:rsidTr="00CA0AA3">
        <w:tc>
          <w:tcPr>
            <w:tcW w:w="858" w:type="pct"/>
            <w:tcMar>
              <w:top w:w="28" w:type="dxa"/>
              <w:left w:w="85" w:type="dxa"/>
              <w:bottom w:w="28" w:type="dxa"/>
              <w:right w:w="28" w:type="dxa"/>
            </w:tcMar>
          </w:tcPr>
          <w:p w14:paraId="0D16E36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ADR-DSN.L.600 </w:t>
            </w:r>
          </w:p>
        </w:tc>
        <w:tc>
          <w:tcPr>
            <w:tcW w:w="3129" w:type="pct"/>
            <w:tcMar>
              <w:top w:w="28" w:type="dxa"/>
              <w:left w:w="85" w:type="dxa"/>
              <w:bottom w:w="28" w:type="dxa"/>
              <w:right w:w="28" w:type="dxa"/>
            </w:tcMar>
          </w:tcPr>
          <w:p w14:paraId="421FCFD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miejsca oczekiwania na drodze ruchu kołowego.</w:t>
            </w:r>
          </w:p>
        </w:tc>
        <w:tc>
          <w:tcPr>
            <w:tcW w:w="1013" w:type="pct"/>
            <w:tcMar>
              <w:top w:w="28" w:type="dxa"/>
              <w:left w:w="85" w:type="dxa"/>
              <w:bottom w:w="28" w:type="dxa"/>
              <w:right w:w="28" w:type="dxa"/>
            </w:tcMar>
          </w:tcPr>
          <w:p w14:paraId="597680D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0285E98" w14:textId="77777777" w:rsidTr="00CA0AA3">
        <w:tc>
          <w:tcPr>
            <w:tcW w:w="858" w:type="pct"/>
            <w:tcMar>
              <w:top w:w="28" w:type="dxa"/>
              <w:left w:w="85" w:type="dxa"/>
              <w:bottom w:w="28" w:type="dxa"/>
              <w:right w:w="28" w:type="dxa"/>
            </w:tcMar>
          </w:tcPr>
          <w:p w14:paraId="68FC3BE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ADR-DSN.L.605 </w:t>
            </w:r>
          </w:p>
        </w:tc>
        <w:tc>
          <w:tcPr>
            <w:tcW w:w="3129" w:type="pct"/>
            <w:tcMar>
              <w:top w:w="28" w:type="dxa"/>
              <w:left w:w="85" w:type="dxa"/>
              <w:bottom w:w="28" w:type="dxa"/>
              <w:right w:w="28" w:type="dxa"/>
            </w:tcMar>
          </w:tcPr>
          <w:p w14:paraId="2F937B3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nakazu</w:t>
            </w:r>
          </w:p>
        </w:tc>
        <w:tc>
          <w:tcPr>
            <w:tcW w:w="1013" w:type="pct"/>
            <w:tcMar>
              <w:top w:w="28" w:type="dxa"/>
              <w:left w:w="85" w:type="dxa"/>
              <w:bottom w:w="28" w:type="dxa"/>
              <w:right w:w="28" w:type="dxa"/>
            </w:tcMar>
          </w:tcPr>
          <w:p w14:paraId="47E9D1F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54C8D11" w14:textId="77777777" w:rsidTr="00CA0AA3">
        <w:tc>
          <w:tcPr>
            <w:tcW w:w="858" w:type="pct"/>
            <w:tcMar>
              <w:top w:w="28" w:type="dxa"/>
              <w:left w:w="85" w:type="dxa"/>
              <w:bottom w:w="28" w:type="dxa"/>
              <w:right w:w="28" w:type="dxa"/>
            </w:tcMar>
          </w:tcPr>
          <w:p w14:paraId="57C1EF1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ADR-DSN.L.610 </w:t>
            </w:r>
          </w:p>
        </w:tc>
        <w:tc>
          <w:tcPr>
            <w:tcW w:w="3129" w:type="pct"/>
            <w:tcMar>
              <w:top w:w="28" w:type="dxa"/>
              <w:left w:w="85" w:type="dxa"/>
              <w:bottom w:w="28" w:type="dxa"/>
              <w:right w:w="28" w:type="dxa"/>
            </w:tcMar>
          </w:tcPr>
          <w:p w14:paraId="45FD572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Oznakowanie informacyjne </w:t>
            </w:r>
          </w:p>
        </w:tc>
        <w:tc>
          <w:tcPr>
            <w:tcW w:w="1013" w:type="pct"/>
            <w:tcMar>
              <w:top w:w="28" w:type="dxa"/>
              <w:left w:w="85" w:type="dxa"/>
              <w:bottom w:w="28" w:type="dxa"/>
              <w:right w:w="28" w:type="dxa"/>
            </w:tcMar>
          </w:tcPr>
          <w:p w14:paraId="2304AC2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58A97BA" w14:textId="77777777" w:rsidTr="00CA0AA3">
        <w:tc>
          <w:tcPr>
            <w:tcW w:w="858" w:type="pct"/>
            <w:tcMar>
              <w:top w:w="28" w:type="dxa"/>
              <w:left w:w="85" w:type="dxa"/>
              <w:bottom w:w="28" w:type="dxa"/>
              <w:right w:w="28" w:type="dxa"/>
            </w:tcMar>
          </w:tcPr>
          <w:p w14:paraId="64CC6A3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ADR-DSN.M.625 </w:t>
            </w:r>
          </w:p>
        </w:tc>
        <w:tc>
          <w:tcPr>
            <w:tcW w:w="3129" w:type="pct"/>
            <w:tcMar>
              <w:top w:w="28" w:type="dxa"/>
              <w:left w:w="85" w:type="dxa"/>
              <w:bottom w:w="28" w:type="dxa"/>
              <w:right w:w="28" w:type="dxa"/>
            </w:tcMar>
          </w:tcPr>
          <w:p w14:paraId="1112A94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świateł podejścia</w:t>
            </w:r>
          </w:p>
        </w:tc>
        <w:tc>
          <w:tcPr>
            <w:tcW w:w="1013" w:type="pct"/>
            <w:tcMar>
              <w:top w:w="28" w:type="dxa"/>
              <w:left w:w="85" w:type="dxa"/>
              <w:bottom w:w="28" w:type="dxa"/>
              <w:right w:w="28" w:type="dxa"/>
            </w:tcMar>
          </w:tcPr>
          <w:p w14:paraId="13F5BE1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3A03DF2" w14:textId="77777777" w:rsidTr="00CA0AA3">
        <w:tc>
          <w:tcPr>
            <w:tcW w:w="858" w:type="pct"/>
            <w:tcMar>
              <w:top w:w="28" w:type="dxa"/>
              <w:left w:w="85" w:type="dxa"/>
              <w:bottom w:w="28" w:type="dxa"/>
              <w:right w:w="28" w:type="dxa"/>
            </w:tcMar>
          </w:tcPr>
          <w:p w14:paraId="40EBA1D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ADR-DSN.M.626 </w:t>
            </w:r>
          </w:p>
        </w:tc>
        <w:tc>
          <w:tcPr>
            <w:tcW w:w="3129" w:type="pct"/>
            <w:tcMar>
              <w:top w:w="28" w:type="dxa"/>
              <w:left w:w="85" w:type="dxa"/>
              <w:bottom w:w="28" w:type="dxa"/>
              <w:right w:w="28" w:type="dxa"/>
            </w:tcMar>
          </w:tcPr>
          <w:p w14:paraId="2AABDAA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Prosty system świateł podejścia</w:t>
            </w:r>
          </w:p>
        </w:tc>
        <w:tc>
          <w:tcPr>
            <w:tcW w:w="1013" w:type="pct"/>
            <w:tcMar>
              <w:top w:w="28" w:type="dxa"/>
              <w:left w:w="85" w:type="dxa"/>
              <w:bottom w:w="28" w:type="dxa"/>
              <w:right w:w="28" w:type="dxa"/>
            </w:tcMar>
          </w:tcPr>
          <w:p w14:paraId="1DF0A2B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185AA41" w14:textId="77777777" w:rsidTr="00CA0AA3">
        <w:tc>
          <w:tcPr>
            <w:tcW w:w="858" w:type="pct"/>
            <w:tcMar>
              <w:top w:w="28" w:type="dxa"/>
              <w:left w:w="85" w:type="dxa"/>
              <w:bottom w:w="28" w:type="dxa"/>
              <w:right w:w="28" w:type="dxa"/>
            </w:tcMar>
          </w:tcPr>
          <w:p w14:paraId="25754E7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ADR-DSN.M.630 </w:t>
            </w:r>
          </w:p>
        </w:tc>
        <w:tc>
          <w:tcPr>
            <w:tcW w:w="3129" w:type="pct"/>
            <w:tcMar>
              <w:top w:w="28" w:type="dxa"/>
              <w:left w:w="85" w:type="dxa"/>
              <w:bottom w:w="28" w:type="dxa"/>
              <w:right w:w="28" w:type="dxa"/>
            </w:tcMar>
          </w:tcPr>
          <w:p w14:paraId="20503E7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w:t>
            </w:r>
          </w:p>
        </w:tc>
        <w:tc>
          <w:tcPr>
            <w:tcW w:w="1013" w:type="pct"/>
            <w:tcMar>
              <w:top w:w="28" w:type="dxa"/>
              <w:left w:w="85" w:type="dxa"/>
              <w:bottom w:w="28" w:type="dxa"/>
              <w:right w:w="28" w:type="dxa"/>
            </w:tcMar>
          </w:tcPr>
          <w:p w14:paraId="4179322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A331D52" w14:textId="77777777" w:rsidTr="00CA0AA3">
        <w:tc>
          <w:tcPr>
            <w:tcW w:w="858" w:type="pct"/>
            <w:tcMar>
              <w:top w:w="28" w:type="dxa"/>
              <w:left w:w="85" w:type="dxa"/>
              <w:bottom w:w="28" w:type="dxa"/>
              <w:right w:w="28" w:type="dxa"/>
            </w:tcMar>
          </w:tcPr>
          <w:p w14:paraId="5FE1604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ADR-DSN.M.635 </w:t>
            </w:r>
          </w:p>
        </w:tc>
        <w:tc>
          <w:tcPr>
            <w:tcW w:w="3129" w:type="pct"/>
            <w:tcMar>
              <w:top w:w="28" w:type="dxa"/>
              <w:left w:w="85" w:type="dxa"/>
              <w:bottom w:w="28" w:type="dxa"/>
              <w:right w:w="28" w:type="dxa"/>
            </w:tcMar>
          </w:tcPr>
          <w:p w14:paraId="64371D0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II i III</w:t>
            </w:r>
          </w:p>
        </w:tc>
        <w:tc>
          <w:tcPr>
            <w:tcW w:w="1013" w:type="pct"/>
            <w:tcMar>
              <w:top w:w="28" w:type="dxa"/>
              <w:left w:w="85" w:type="dxa"/>
              <w:bottom w:w="28" w:type="dxa"/>
              <w:right w:w="28" w:type="dxa"/>
            </w:tcMar>
          </w:tcPr>
          <w:p w14:paraId="3162110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E99C7ED" w14:textId="77777777" w:rsidTr="00CA0AA3">
        <w:tc>
          <w:tcPr>
            <w:tcW w:w="858" w:type="pct"/>
            <w:tcMar>
              <w:top w:w="28" w:type="dxa"/>
              <w:left w:w="85" w:type="dxa"/>
              <w:bottom w:w="28" w:type="dxa"/>
              <w:right w:w="28" w:type="dxa"/>
            </w:tcMar>
          </w:tcPr>
          <w:p w14:paraId="35F890F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ADR-DSN.M.645 </w:t>
            </w:r>
          </w:p>
        </w:tc>
        <w:tc>
          <w:tcPr>
            <w:tcW w:w="3129" w:type="pct"/>
            <w:tcMar>
              <w:top w:w="28" w:type="dxa"/>
              <w:left w:w="85" w:type="dxa"/>
              <w:bottom w:w="28" w:type="dxa"/>
              <w:right w:w="28" w:type="dxa"/>
            </w:tcMar>
          </w:tcPr>
          <w:p w14:paraId="1BDEBDE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Precyzyjny wskaźnik ścieżki podejścia oraz skrócony precyzyjny wskaźnik ścieżki podejścia (PAPI i APAPI)</w:t>
            </w:r>
          </w:p>
        </w:tc>
        <w:tc>
          <w:tcPr>
            <w:tcW w:w="1013" w:type="pct"/>
            <w:tcMar>
              <w:top w:w="28" w:type="dxa"/>
              <w:left w:w="85" w:type="dxa"/>
              <w:bottom w:w="28" w:type="dxa"/>
              <w:right w:w="28" w:type="dxa"/>
            </w:tcMar>
          </w:tcPr>
          <w:p w14:paraId="4B2752A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C83C4FC" w14:textId="77777777" w:rsidTr="00CA0AA3">
        <w:tc>
          <w:tcPr>
            <w:tcW w:w="858" w:type="pct"/>
            <w:tcMar>
              <w:top w:w="28" w:type="dxa"/>
              <w:left w:w="85" w:type="dxa"/>
              <w:bottom w:w="28" w:type="dxa"/>
              <w:right w:w="28" w:type="dxa"/>
            </w:tcMar>
          </w:tcPr>
          <w:p w14:paraId="2C9795F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ADR-DSN.M.650 </w:t>
            </w:r>
          </w:p>
        </w:tc>
        <w:tc>
          <w:tcPr>
            <w:tcW w:w="3129" w:type="pct"/>
            <w:tcMar>
              <w:top w:w="28" w:type="dxa"/>
              <w:left w:w="85" w:type="dxa"/>
              <w:bottom w:w="28" w:type="dxa"/>
              <w:right w:w="28" w:type="dxa"/>
            </w:tcMar>
          </w:tcPr>
          <w:p w14:paraId="4E61919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Nachylenie podejścia oraz ustawienie elewacji jednostek świetlnych dla PAPI i APAPI</w:t>
            </w:r>
          </w:p>
        </w:tc>
        <w:tc>
          <w:tcPr>
            <w:tcW w:w="1013" w:type="pct"/>
            <w:tcMar>
              <w:top w:w="28" w:type="dxa"/>
              <w:left w:w="85" w:type="dxa"/>
              <w:bottom w:w="28" w:type="dxa"/>
              <w:right w:w="28" w:type="dxa"/>
            </w:tcMar>
          </w:tcPr>
          <w:p w14:paraId="101ABAF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5920754" w14:textId="77777777" w:rsidTr="00CA0AA3">
        <w:tc>
          <w:tcPr>
            <w:tcW w:w="858" w:type="pct"/>
            <w:tcMar>
              <w:top w:w="28" w:type="dxa"/>
              <w:left w:w="85" w:type="dxa"/>
              <w:bottom w:w="28" w:type="dxa"/>
              <w:right w:w="28" w:type="dxa"/>
            </w:tcMar>
          </w:tcPr>
          <w:p w14:paraId="1628F24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ADR-DSN.M.655 </w:t>
            </w:r>
          </w:p>
        </w:tc>
        <w:tc>
          <w:tcPr>
            <w:tcW w:w="3129" w:type="pct"/>
            <w:tcMar>
              <w:top w:w="28" w:type="dxa"/>
              <w:left w:w="85" w:type="dxa"/>
              <w:bottom w:w="28" w:type="dxa"/>
              <w:right w:w="28" w:type="dxa"/>
            </w:tcMar>
          </w:tcPr>
          <w:p w14:paraId="3BE37C0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Powierzchnie zabezpieczenia przeszkodowego dla PAPI i APAPI</w:t>
            </w:r>
          </w:p>
        </w:tc>
        <w:tc>
          <w:tcPr>
            <w:tcW w:w="1013" w:type="pct"/>
            <w:tcMar>
              <w:top w:w="28" w:type="dxa"/>
              <w:left w:w="85" w:type="dxa"/>
              <w:bottom w:w="28" w:type="dxa"/>
              <w:right w:w="28" w:type="dxa"/>
            </w:tcMar>
          </w:tcPr>
          <w:p w14:paraId="211960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E71F113" w14:textId="77777777" w:rsidTr="00CA0AA3">
        <w:tc>
          <w:tcPr>
            <w:tcW w:w="858" w:type="pct"/>
            <w:tcMar>
              <w:top w:w="28" w:type="dxa"/>
              <w:left w:w="85" w:type="dxa"/>
              <w:bottom w:w="28" w:type="dxa"/>
              <w:right w:w="28" w:type="dxa"/>
            </w:tcMar>
          </w:tcPr>
          <w:p w14:paraId="2E3008E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ADR-DSN.M.660 </w:t>
            </w:r>
          </w:p>
        </w:tc>
        <w:tc>
          <w:tcPr>
            <w:tcW w:w="3129" w:type="pct"/>
            <w:tcMar>
              <w:top w:w="28" w:type="dxa"/>
              <w:left w:w="85" w:type="dxa"/>
              <w:bottom w:w="28" w:type="dxa"/>
              <w:right w:w="28" w:type="dxa"/>
            </w:tcMar>
          </w:tcPr>
          <w:p w14:paraId="03D2EC5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Światła prowadzenia po kręgu </w:t>
            </w:r>
          </w:p>
        </w:tc>
        <w:tc>
          <w:tcPr>
            <w:tcW w:w="1013" w:type="pct"/>
            <w:tcMar>
              <w:top w:w="28" w:type="dxa"/>
              <w:left w:w="85" w:type="dxa"/>
              <w:bottom w:w="28" w:type="dxa"/>
              <w:right w:w="28" w:type="dxa"/>
            </w:tcMar>
          </w:tcPr>
          <w:p w14:paraId="4DC0F48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50903E6" w14:textId="77777777" w:rsidTr="00CA0AA3">
        <w:tc>
          <w:tcPr>
            <w:tcW w:w="858" w:type="pct"/>
            <w:tcMar>
              <w:top w:w="28" w:type="dxa"/>
              <w:left w:w="85" w:type="dxa"/>
              <w:bottom w:w="28" w:type="dxa"/>
              <w:right w:w="28" w:type="dxa"/>
            </w:tcMar>
          </w:tcPr>
          <w:p w14:paraId="743A66C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ADR-DSN.M.675 </w:t>
            </w:r>
          </w:p>
        </w:tc>
        <w:tc>
          <w:tcPr>
            <w:tcW w:w="3129" w:type="pct"/>
            <w:tcMar>
              <w:top w:w="28" w:type="dxa"/>
              <w:left w:w="85" w:type="dxa"/>
              <w:bottom w:w="28" w:type="dxa"/>
              <w:right w:w="28" w:type="dxa"/>
            </w:tcMar>
          </w:tcPr>
          <w:p w14:paraId="7F85CA5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krawędzi drogi startowej</w:t>
            </w:r>
          </w:p>
        </w:tc>
        <w:tc>
          <w:tcPr>
            <w:tcW w:w="1013" w:type="pct"/>
            <w:tcMar>
              <w:top w:w="28" w:type="dxa"/>
              <w:left w:w="85" w:type="dxa"/>
              <w:bottom w:w="28" w:type="dxa"/>
              <w:right w:w="28" w:type="dxa"/>
            </w:tcMar>
          </w:tcPr>
          <w:p w14:paraId="4AAF602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B511134" w14:textId="77777777" w:rsidTr="00CA0AA3">
        <w:tc>
          <w:tcPr>
            <w:tcW w:w="858" w:type="pct"/>
            <w:tcMar>
              <w:top w:w="28" w:type="dxa"/>
              <w:left w:w="85" w:type="dxa"/>
              <w:bottom w:w="28" w:type="dxa"/>
              <w:right w:w="28" w:type="dxa"/>
            </w:tcMar>
          </w:tcPr>
          <w:p w14:paraId="05E763D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ADR-DSN.M.680 </w:t>
            </w:r>
          </w:p>
        </w:tc>
        <w:tc>
          <w:tcPr>
            <w:tcW w:w="3129" w:type="pct"/>
            <w:tcMar>
              <w:top w:w="28" w:type="dxa"/>
              <w:left w:w="85" w:type="dxa"/>
              <w:bottom w:w="28" w:type="dxa"/>
              <w:right w:w="28" w:type="dxa"/>
            </w:tcMar>
          </w:tcPr>
          <w:p w14:paraId="18ED644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progu drogi startowej oraz światła poprzeczki skrzydłowej</w:t>
            </w:r>
          </w:p>
        </w:tc>
        <w:tc>
          <w:tcPr>
            <w:tcW w:w="1013" w:type="pct"/>
            <w:tcMar>
              <w:top w:w="28" w:type="dxa"/>
              <w:left w:w="85" w:type="dxa"/>
              <w:bottom w:w="28" w:type="dxa"/>
              <w:right w:w="28" w:type="dxa"/>
            </w:tcMar>
          </w:tcPr>
          <w:p w14:paraId="662BD9D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BE6B462" w14:textId="77777777" w:rsidTr="00CA0AA3">
        <w:tc>
          <w:tcPr>
            <w:tcW w:w="858" w:type="pct"/>
            <w:tcMar>
              <w:top w:w="28" w:type="dxa"/>
              <w:left w:w="85" w:type="dxa"/>
              <w:bottom w:w="28" w:type="dxa"/>
              <w:right w:w="28" w:type="dxa"/>
            </w:tcMar>
          </w:tcPr>
          <w:p w14:paraId="300DDAA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ADR-DSN.M.685 </w:t>
            </w:r>
          </w:p>
        </w:tc>
        <w:tc>
          <w:tcPr>
            <w:tcW w:w="3129" w:type="pct"/>
            <w:tcMar>
              <w:top w:w="28" w:type="dxa"/>
              <w:left w:w="85" w:type="dxa"/>
              <w:bottom w:w="28" w:type="dxa"/>
              <w:right w:w="28" w:type="dxa"/>
            </w:tcMar>
          </w:tcPr>
          <w:p w14:paraId="1E89D53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końca drogi startowej</w:t>
            </w:r>
          </w:p>
        </w:tc>
        <w:tc>
          <w:tcPr>
            <w:tcW w:w="1013" w:type="pct"/>
            <w:tcMar>
              <w:top w:w="28" w:type="dxa"/>
              <w:left w:w="85" w:type="dxa"/>
              <w:bottom w:w="28" w:type="dxa"/>
              <w:right w:w="28" w:type="dxa"/>
            </w:tcMar>
          </w:tcPr>
          <w:p w14:paraId="28C580B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3947898" w14:textId="77777777" w:rsidTr="00CA0AA3">
        <w:tc>
          <w:tcPr>
            <w:tcW w:w="858" w:type="pct"/>
            <w:tcMar>
              <w:top w:w="28" w:type="dxa"/>
              <w:left w:w="85" w:type="dxa"/>
              <w:bottom w:w="28" w:type="dxa"/>
              <w:right w:w="28" w:type="dxa"/>
            </w:tcMar>
          </w:tcPr>
          <w:p w14:paraId="1CA2E24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ADR-DSN.M.690 </w:t>
            </w:r>
          </w:p>
        </w:tc>
        <w:tc>
          <w:tcPr>
            <w:tcW w:w="3129" w:type="pct"/>
            <w:tcMar>
              <w:top w:w="28" w:type="dxa"/>
              <w:left w:w="85" w:type="dxa"/>
              <w:bottom w:w="28" w:type="dxa"/>
              <w:right w:w="28" w:type="dxa"/>
            </w:tcMar>
          </w:tcPr>
          <w:p w14:paraId="2FCF8CF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linii środkowej drogi startowej</w:t>
            </w:r>
          </w:p>
        </w:tc>
        <w:tc>
          <w:tcPr>
            <w:tcW w:w="1013" w:type="pct"/>
            <w:tcMar>
              <w:top w:w="28" w:type="dxa"/>
              <w:left w:w="85" w:type="dxa"/>
              <w:bottom w:w="28" w:type="dxa"/>
              <w:right w:w="28" w:type="dxa"/>
            </w:tcMar>
          </w:tcPr>
          <w:p w14:paraId="4860C5E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BF3E123" w14:textId="77777777" w:rsidTr="00CA0AA3">
        <w:tc>
          <w:tcPr>
            <w:tcW w:w="858" w:type="pct"/>
            <w:tcMar>
              <w:top w:w="28" w:type="dxa"/>
              <w:left w:w="85" w:type="dxa"/>
              <w:bottom w:w="28" w:type="dxa"/>
              <w:right w:w="28" w:type="dxa"/>
            </w:tcMar>
          </w:tcPr>
          <w:p w14:paraId="31E344F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ADR-DSN.M.695 </w:t>
            </w:r>
          </w:p>
        </w:tc>
        <w:tc>
          <w:tcPr>
            <w:tcW w:w="3129" w:type="pct"/>
            <w:tcMar>
              <w:top w:w="28" w:type="dxa"/>
              <w:left w:w="85" w:type="dxa"/>
              <w:bottom w:w="28" w:type="dxa"/>
              <w:right w:w="28" w:type="dxa"/>
            </w:tcMar>
          </w:tcPr>
          <w:p w14:paraId="76D9D18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strefy przyziemienia</w:t>
            </w:r>
          </w:p>
        </w:tc>
        <w:tc>
          <w:tcPr>
            <w:tcW w:w="1013" w:type="pct"/>
            <w:tcMar>
              <w:top w:w="28" w:type="dxa"/>
              <w:left w:w="85" w:type="dxa"/>
              <w:bottom w:w="28" w:type="dxa"/>
              <w:right w:w="28" w:type="dxa"/>
            </w:tcMar>
          </w:tcPr>
          <w:p w14:paraId="1D49314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D6EC35C" w14:textId="77777777" w:rsidTr="00CA0AA3">
        <w:tc>
          <w:tcPr>
            <w:tcW w:w="858" w:type="pct"/>
            <w:tcMar>
              <w:top w:w="28" w:type="dxa"/>
              <w:left w:w="85" w:type="dxa"/>
              <w:bottom w:w="28" w:type="dxa"/>
              <w:right w:w="28" w:type="dxa"/>
            </w:tcMar>
          </w:tcPr>
          <w:p w14:paraId="7610B09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ADR-DSN.M.696 </w:t>
            </w:r>
          </w:p>
        </w:tc>
        <w:tc>
          <w:tcPr>
            <w:tcW w:w="3129" w:type="pct"/>
            <w:tcMar>
              <w:top w:w="28" w:type="dxa"/>
              <w:left w:w="85" w:type="dxa"/>
              <w:bottom w:w="28" w:type="dxa"/>
              <w:right w:w="28" w:type="dxa"/>
            </w:tcMar>
          </w:tcPr>
          <w:p w14:paraId="79545A0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Proste światła strefy przyziemienia.</w:t>
            </w:r>
          </w:p>
        </w:tc>
        <w:tc>
          <w:tcPr>
            <w:tcW w:w="1013" w:type="pct"/>
            <w:tcMar>
              <w:top w:w="28" w:type="dxa"/>
              <w:left w:w="85" w:type="dxa"/>
              <w:bottom w:w="28" w:type="dxa"/>
              <w:right w:w="28" w:type="dxa"/>
            </w:tcMar>
          </w:tcPr>
          <w:p w14:paraId="340E2358" w14:textId="1488F36C"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020F9B3E" w14:textId="77777777" w:rsidTr="00CA0AA3">
        <w:tc>
          <w:tcPr>
            <w:tcW w:w="858" w:type="pct"/>
            <w:tcMar>
              <w:top w:w="28" w:type="dxa"/>
              <w:left w:w="85" w:type="dxa"/>
              <w:bottom w:w="28" w:type="dxa"/>
              <w:right w:w="28" w:type="dxa"/>
            </w:tcMar>
          </w:tcPr>
          <w:p w14:paraId="3D49527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ADR-DSN.M.705 </w:t>
            </w:r>
          </w:p>
        </w:tc>
        <w:tc>
          <w:tcPr>
            <w:tcW w:w="3129" w:type="pct"/>
            <w:tcMar>
              <w:top w:w="28" w:type="dxa"/>
              <w:left w:w="85" w:type="dxa"/>
              <w:bottom w:w="28" w:type="dxa"/>
              <w:right w:w="28" w:type="dxa"/>
            </w:tcMar>
          </w:tcPr>
          <w:p w14:paraId="40EDD2A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zabezpieczenia przerwanego startu</w:t>
            </w:r>
          </w:p>
        </w:tc>
        <w:tc>
          <w:tcPr>
            <w:tcW w:w="1013" w:type="pct"/>
            <w:tcMar>
              <w:top w:w="28" w:type="dxa"/>
              <w:left w:w="85" w:type="dxa"/>
              <w:bottom w:w="28" w:type="dxa"/>
              <w:right w:w="28" w:type="dxa"/>
            </w:tcMar>
          </w:tcPr>
          <w:p w14:paraId="7EB85E8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F6CFC3C" w14:textId="77777777" w:rsidTr="00CA0AA3">
        <w:tc>
          <w:tcPr>
            <w:tcW w:w="858" w:type="pct"/>
            <w:tcMar>
              <w:top w:w="28" w:type="dxa"/>
              <w:left w:w="85" w:type="dxa"/>
              <w:bottom w:w="28" w:type="dxa"/>
              <w:right w:w="28" w:type="dxa"/>
            </w:tcMar>
          </w:tcPr>
          <w:p w14:paraId="2BC35B8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ADR-DSN.M.710 </w:t>
            </w:r>
          </w:p>
        </w:tc>
        <w:tc>
          <w:tcPr>
            <w:tcW w:w="3129" w:type="pct"/>
            <w:tcMar>
              <w:top w:w="28" w:type="dxa"/>
              <w:left w:w="85" w:type="dxa"/>
              <w:bottom w:w="28" w:type="dxa"/>
              <w:right w:w="28" w:type="dxa"/>
            </w:tcMar>
          </w:tcPr>
          <w:p w14:paraId="009B719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linii środkowej drogi kołowania</w:t>
            </w:r>
          </w:p>
        </w:tc>
        <w:tc>
          <w:tcPr>
            <w:tcW w:w="1013" w:type="pct"/>
            <w:tcMar>
              <w:top w:w="28" w:type="dxa"/>
              <w:left w:w="85" w:type="dxa"/>
              <w:bottom w:w="28" w:type="dxa"/>
              <w:right w:w="28" w:type="dxa"/>
            </w:tcMar>
          </w:tcPr>
          <w:p w14:paraId="666157A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2D7B4DD" w14:textId="77777777" w:rsidTr="00CA0AA3">
        <w:tc>
          <w:tcPr>
            <w:tcW w:w="858" w:type="pct"/>
            <w:tcMar>
              <w:top w:w="28" w:type="dxa"/>
              <w:left w:w="85" w:type="dxa"/>
              <w:bottom w:w="28" w:type="dxa"/>
              <w:right w:w="28" w:type="dxa"/>
            </w:tcMar>
          </w:tcPr>
          <w:p w14:paraId="5315692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ADR-DSN.M.715 </w:t>
            </w:r>
          </w:p>
        </w:tc>
        <w:tc>
          <w:tcPr>
            <w:tcW w:w="3129" w:type="pct"/>
            <w:tcMar>
              <w:top w:w="28" w:type="dxa"/>
              <w:left w:w="85" w:type="dxa"/>
              <w:bottom w:w="28" w:type="dxa"/>
              <w:right w:w="28" w:type="dxa"/>
            </w:tcMar>
          </w:tcPr>
          <w:p w14:paraId="7770EC5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linii środkowej drogi kołowania na drogach kołowania, drogach startowych, drogach kołowania szybkiego zjazdu lub na innych drogach kołowania przeznaczonych do zjazdu</w:t>
            </w:r>
          </w:p>
        </w:tc>
        <w:tc>
          <w:tcPr>
            <w:tcW w:w="1013" w:type="pct"/>
            <w:tcMar>
              <w:top w:w="28" w:type="dxa"/>
              <w:left w:w="85" w:type="dxa"/>
              <w:bottom w:w="28" w:type="dxa"/>
              <w:right w:w="28" w:type="dxa"/>
            </w:tcMar>
          </w:tcPr>
          <w:p w14:paraId="4226BAC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A197A74" w14:textId="77777777" w:rsidTr="00CA0AA3">
        <w:tc>
          <w:tcPr>
            <w:tcW w:w="858" w:type="pct"/>
            <w:tcMar>
              <w:top w:w="28" w:type="dxa"/>
              <w:left w:w="85" w:type="dxa"/>
              <w:bottom w:w="28" w:type="dxa"/>
              <w:right w:w="28" w:type="dxa"/>
            </w:tcMar>
          </w:tcPr>
          <w:p w14:paraId="08425CF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ADR-DSN.M.720 </w:t>
            </w:r>
          </w:p>
        </w:tc>
        <w:tc>
          <w:tcPr>
            <w:tcW w:w="3129" w:type="pct"/>
            <w:tcMar>
              <w:top w:w="28" w:type="dxa"/>
              <w:left w:w="85" w:type="dxa"/>
              <w:bottom w:w="28" w:type="dxa"/>
              <w:right w:w="28" w:type="dxa"/>
            </w:tcMar>
          </w:tcPr>
          <w:p w14:paraId="74F4A7D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krawędzi drogi kołowania</w:t>
            </w:r>
          </w:p>
        </w:tc>
        <w:tc>
          <w:tcPr>
            <w:tcW w:w="1013" w:type="pct"/>
            <w:tcMar>
              <w:top w:w="28" w:type="dxa"/>
              <w:left w:w="85" w:type="dxa"/>
              <w:bottom w:w="28" w:type="dxa"/>
              <w:right w:w="28" w:type="dxa"/>
            </w:tcMar>
          </w:tcPr>
          <w:p w14:paraId="68D90EC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B7EEA0E" w14:textId="77777777" w:rsidTr="00CA0AA3">
        <w:tc>
          <w:tcPr>
            <w:tcW w:w="858" w:type="pct"/>
            <w:tcMar>
              <w:top w:w="28" w:type="dxa"/>
              <w:left w:w="85" w:type="dxa"/>
              <w:bottom w:w="28" w:type="dxa"/>
              <w:right w:w="28" w:type="dxa"/>
            </w:tcMar>
          </w:tcPr>
          <w:p w14:paraId="6E7BA5E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ADR-DSN.M.725 </w:t>
            </w:r>
          </w:p>
        </w:tc>
        <w:tc>
          <w:tcPr>
            <w:tcW w:w="3129" w:type="pct"/>
            <w:tcMar>
              <w:top w:w="28" w:type="dxa"/>
              <w:left w:w="85" w:type="dxa"/>
              <w:bottom w:w="28" w:type="dxa"/>
              <w:right w:w="28" w:type="dxa"/>
            </w:tcMar>
          </w:tcPr>
          <w:p w14:paraId="18979E9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płaszczyzny do zawracania na drodze startowej</w:t>
            </w:r>
          </w:p>
        </w:tc>
        <w:tc>
          <w:tcPr>
            <w:tcW w:w="1013" w:type="pct"/>
            <w:tcMar>
              <w:top w:w="28" w:type="dxa"/>
              <w:left w:w="85" w:type="dxa"/>
              <w:bottom w:w="28" w:type="dxa"/>
              <w:right w:w="28" w:type="dxa"/>
            </w:tcMar>
          </w:tcPr>
          <w:p w14:paraId="0BAC492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A9B4F21" w14:textId="77777777" w:rsidTr="00CA0AA3">
        <w:tc>
          <w:tcPr>
            <w:tcW w:w="858" w:type="pct"/>
            <w:tcMar>
              <w:top w:w="28" w:type="dxa"/>
              <w:left w:w="85" w:type="dxa"/>
              <w:bottom w:w="28" w:type="dxa"/>
              <w:right w:w="28" w:type="dxa"/>
            </w:tcMar>
          </w:tcPr>
          <w:p w14:paraId="7EE5FE3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ADR-DSN.M.730 </w:t>
            </w:r>
          </w:p>
        </w:tc>
        <w:tc>
          <w:tcPr>
            <w:tcW w:w="3129" w:type="pct"/>
            <w:tcMar>
              <w:top w:w="28" w:type="dxa"/>
              <w:left w:w="85" w:type="dxa"/>
              <w:bottom w:w="28" w:type="dxa"/>
              <w:right w:w="28" w:type="dxa"/>
            </w:tcMar>
          </w:tcPr>
          <w:p w14:paraId="585669C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Poprzeczki zatrzymania</w:t>
            </w:r>
          </w:p>
        </w:tc>
        <w:tc>
          <w:tcPr>
            <w:tcW w:w="1013" w:type="pct"/>
            <w:tcMar>
              <w:top w:w="28" w:type="dxa"/>
              <w:left w:w="85" w:type="dxa"/>
              <w:bottom w:w="28" w:type="dxa"/>
              <w:right w:w="28" w:type="dxa"/>
            </w:tcMar>
          </w:tcPr>
          <w:p w14:paraId="0625FE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23B9744" w14:textId="77777777" w:rsidTr="00CA0AA3">
        <w:tc>
          <w:tcPr>
            <w:tcW w:w="858" w:type="pct"/>
            <w:tcMar>
              <w:top w:w="28" w:type="dxa"/>
              <w:left w:w="85" w:type="dxa"/>
              <w:bottom w:w="28" w:type="dxa"/>
              <w:right w:w="28" w:type="dxa"/>
            </w:tcMar>
          </w:tcPr>
          <w:p w14:paraId="3337AB0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ADR-DSN.M.735 </w:t>
            </w:r>
          </w:p>
        </w:tc>
        <w:tc>
          <w:tcPr>
            <w:tcW w:w="3129" w:type="pct"/>
            <w:tcMar>
              <w:top w:w="28" w:type="dxa"/>
              <w:left w:w="85" w:type="dxa"/>
              <w:bottom w:w="28" w:type="dxa"/>
              <w:right w:w="28" w:type="dxa"/>
            </w:tcMar>
          </w:tcPr>
          <w:p w14:paraId="79A9507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pośredniego miejsca oczekiwania</w:t>
            </w:r>
          </w:p>
        </w:tc>
        <w:tc>
          <w:tcPr>
            <w:tcW w:w="1013" w:type="pct"/>
            <w:tcMar>
              <w:top w:w="28" w:type="dxa"/>
              <w:left w:w="85" w:type="dxa"/>
              <w:bottom w:w="28" w:type="dxa"/>
              <w:right w:w="28" w:type="dxa"/>
            </w:tcMar>
          </w:tcPr>
          <w:p w14:paraId="6F8090B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82299DD" w14:textId="77777777" w:rsidTr="00CA0AA3">
        <w:tc>
          <w:tcPr>
            <w:tcW w:w="858" w:type="pct"/>
            <w:tcMar>
              <w:top w:w="28" w:type="dxa"/>
              <w:left w:w="85" w:type="dxa"/>
              <w:bottom w:w="28" w:type="dxa"/>
              <w:right w:w="28" w:type="dxa"/>
            </w:tcMar>
          </w:tcPr>
          <w:p w14:paraId="3326D1C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ADR-DSN.M.740 </w:t>
            </w:r>
          </w:p>
        </w:tc>
        <w:tc>
          <w:tcPr>
            <w:tcW w:w="3129" w:type="pct"/>
            <w:tcMar>
              <w:top w:w="28" w:type="dxa"/>
              <w:left w:w="85" w:type="dxa"/>
              <w:bottom w:w="28" w:type="dxa"/>
              <w:right w:w="28" w:type="dxa"/>
            </w:tcMar>
          </w:tcPr>
          <w:p w14:paraId="7349F94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wyjazdu ze stanowiska do odladzania/ przeciwdziałania oblodzeniu</w:t>
            </w:r>
          </w:p>
        </w:tc>
        <w:tc>
          <w:tcPr>
            <w:tcW w:w="1013" w:type="pct"/>
            <w:tcMar>
              <w:top w:w="28" w:type="dxa"/>
              <w:left w:w="85" w:type="dxa"/>
              <w:bottom w:w="28" w:type="dxa"/>
              <w:right w:w="28" w:type="dxa"/>
            </w:tcMar>
          </w:tcPr>
          <w:p w14:paraId="77EE32D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739BAAE" w14:textId="77777777" w:rsidTr="00CA0AA3">
        <w:tc>
          <w:tcPr>
            <w:tcW w:w="858" w:type="pct"/>
            <w:tcMar>
              <w:top w:w="28" w:type="dxa"/>
              <w:left w:w="85" w:type="dxa"/>
              <w:bottom w:w="28" w:type="dxa"/>
              <w:right w:w="28" w:type="dxa"/>
            </w:tcMar>
          </w:tcPr>
          <w:p w14:paraId="327568B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ADR-DSN.M.745 </w:t>
            </w:r>
          </w:p>
        </w:tc>
        <w:tc>
          <w:tcPr>
            <w:tcW w:w="3129" w:type="pct"/>
            <w:tcMar>
              <w:top w:w="28" w:type="dxa"/>
              <w:left w:w="85" w:type="dxa"/>
              <w:bottom w:w="28" w:type="dxa"/>
              <w:right w:w="28" w:type="dxa"/>
            </w:tcMar>
          </w:tcPr>
          <w:p w14:paraId="5D3ED52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ochronne drogi startowej</w:t>
            </w:r>
          </w:p>
        </w:tc>
        <w:tc>
          <w:tcPr>
            <w:tcW w:w="1013" w:type="pct"/>
            <w:tcMar>
              <w:top w:w="28" w:type="dxa"/>
              <w:left w:w="85" w:type="dxa"/>
              <w:bottom w:w="28" w:type="dxa"/>
              <w:right w:w="28" w:type="dxa"/>
            </w:tcMar>
          </w:tcPr>
          <w:p w14:paraId="4E83F42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45F5867" w14:textId="77777777" w:rsidTr="00CA0AA3">
        <w:tc>
          <w:tcPr>
            <w:tcW w:w="858" w:type="pct"/>
            <w:tcMar>
              <w:top w:w="28" w:type="dxa"/>
              <w:left w:w="85" w:type="dxa"/>
              <w:bottom w:w="28" w:type="dxa"/>
              <w:right w:w="28" w:type="dxa"/>
            </w:tcMar>
          </w:tcPr>
          <w:p w14:paraId="3CBB887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ADR-DSN.M.750 </w:t>
            </w:r>
          </w:p>
        </w:tc>
        <w:tc>
          <w:tcPr>
            <w:tcW w:w="3129" w:type="pct"/>
            <w:tcMar>
              <w:top w:w="28" w:type="dxa"/>
              <w:left w:w="85" w:type="dxa"/>
              <w:bottom w:w="28" w:type="dxa"/>
              <w:right w:w="28" w:type="dxa"/>
            </w:tcMar>
          </w:tcPr>
          <w:p w14:paraId="0170171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płyty postojowej</w:t>
            </w:r>
          </w:p>
        </w:tc>
        <w:tc>
          <w:tcPr>
            <w:tcW w:w="1013" w:type="pct"/>
            <w:tcMar>
              <w:top w:w="28" w:type="dxa"/>
              <w:left w:w="85" w:type="dxa"/>
              <w:bottom w:w="28" w:type="dxa"/>
              <w:right w:w="28" w:type="dxa"/>
            </w:tcMar>
          </w:tcPr>
          <w:p w14:paraId="4433054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3E67B97" w14:textId="77777777" w:rsidTr="00CA0AA3">
        <w:tc>
          <w:tcPr>
            <w:tcW w:w="858" w:type="pct"/>
            <w:tcMar>
              <w:top w:w="28" w:type="dxa"/>
              <w:left w:w="85" w:type="dxa"/>
              <w:bottom w:w="28" w:type="dxa"/>
              <w:right w:w="28" w:type="dxa"/>
            </w:tcMar>
          </w:tcPr>
          <w:p w14:paraId="08CF4F4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ADR-DSN.M.760 </w:t>
            </w:r>
          </w:p>
        </w:tc>
        <w:tc>
          <w:tcPr>
            <w:tcW w:w="3129" w:type="pct"/>
            <w:tcMar>
              <w:top w:w="28" w:type="dxa"/>
              <w:left w:w="85" w:type="dxa"/>
              <w:bottom w:w="28" w:type="dxa"/>
              <w:right w:w="28" w:type="dxa"/>
            </w:tcMar>
          </w:tcPr>
          <w:p w14:paraId="1420DA9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Zaawansowany wzrokowy system dokowania </w:t>
            </w:r>
          </w:p>
        </w:tc>
        <w:tc>
          <w:tcPr>
            <w:tcW w:w="1013" w:type="pct"/>
            <w:tcMar>
              <w:top w:w="28" w:type="dxa"/>
              <w:left w:w="85" w:type="dxa"/>
              <w:bottom w:w="28" w:type="dxa"/>
              <w:right w:w="28" w:type="dxa"/>
            </w:tcMar>
          </w:tcPr>
          <w:p w14:paraId="4B6F9CF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5B0B6C1" w14:textId="77777777" w:rsidTr="00CA0AA3">
        <w:tc>
          <w:tcPr>
            <w:tcW w:w="858" w:type="pct"/>
            <w:tcMar>
              <w:top w:w="28" w:type="dxa"/>
              <w:left w:w="85" w:type="dxa"/>
              <w:bottom w:w="28" w:type="dxa"/>
              <w:right w:w="28" w:type="dxa"/>
            </w:tcMar>
          </w:tcPr>
          <w:p w14:paraId="0C2015F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ADR-DSN.M.770 </w:t>
            </w:r>
          </w:p>
        </w:tc>
        <w:tc>
          <w:tcPr>
            <w:tcW w:w="3129" w:type="pct"/>
            <w:tcMar>
              <w:top w:w="28" w:type="dxa"/>
              <w:left w:w="85" w:type="dxa"/>
              <w:bottom w:w="28" w:type="dxa"/>
              <w:right w:w="28" w:type="dxa"/>
            </w:tcMar>
          </w:tcPr>
          <w:p w14:paraId="45F865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Światło miejsca oczekiwania na drodze ruchu kołowego.</w:t>
            </w:r>
          </w:p>
        </w:tc>
        <w:tc>
          <w:tcPr>
            <w:tcW w:w="1013" w:type="pct"/>
            <w:tcMar>
              <w:top w:w="28" w:type="dxa"/>
              <w:left w:w="85" w:type="dxa"/>
              <w:bottom w:w="28" w:type="dxa"/>
              <w:right w:w="28" w:type="dxa"/>
            </w:tcMar>
          </w:tcPr>
          <w:p w14:paraId="6554EA6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356E03C" w14:textId="77777777" w:rsidTr="00CA0AA3">
        <w:tc>
          <w:tcPr>
            <w:tcW w:w="858" w:type="pct"/>
            <w:tcMar>
              <w:top w:w="28" w:type="dxa"/>
              <w:left w:w="85" w:type="dxa"/>
              <w:bottom w:w="28" w:type="dxa"/>
              <w:right w:w="28" w:type="dxa"/>
            </w:tcMar>
          </w:tcPr>
          <w:p w14:paraId="675FB4F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ADR-DSN.M.771 </w:t>
            </w:r>
          </w:p>
        </w:tc>
        <w:tc>
          <w:tcPr>
            <w:tcW w:w="3129" w:type="pct"/>
            <w:tcMar>
              <w:top w:w="28" w:type="dxa"/>
              <w:left w:w="85" w:type="dxa"/>
              <w:bottom w:w="28" w:type="dxa"/>
              <w:right w:w="28" w:type="dxa"/>
            </w:tcMar>
          </w:tcPr>
          <w:p w14:paraId="5DAE8A6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Poprzeczka zakazu wjazdu </w:t>
            </w:r>
          </w:p>
        </w:tc>
        <w:tc>
          <w:tcPr>
            <w:tcW w:w="1013" w:type="pct"/>
            <w:tcMar>
              <w:top w:w="28" w:type="dxa"/>
              <w:left w:w="85" w:type="dxa"/>
              <w:bottom w:w="28" w:type="dxa"/>
              <w:right w:w="28" w:type="dxa"/>
            </w:tcMar>
          </w:tcPr>
          <w:p w14:paraId="0C005202" w14:textId="4944D894"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2C1A5A3" w14:textId="77777777" w:rsidTr="00CA0AA3">
        <w:tc>
          <w:tcPr>
            <w:tcW w:w="858" w:type="pct"/>
            <w:tcMar>
              <w:top w:w="28" w:type="dxa"/>
              <w:left w:w="85" w:type="dxa"/>
              <w:bottom w:w="28" w:type="dxa"/>
              <w:right w:w="28" w:type="dxa"/>
            </w:tcMar>
          </w:tcPr>
          <w:p w14:paraId="36E5188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ADR-DSN.N.775 </w:t>
            </w:r>
          </w:p>
        </w:tc>
        <w:tc>
          <w:tcPr>
            <w:tcW w:w="3129" w:type="pct"/>
            <w:tcMar>
              <w:top w:w="28" w:type="dxa"/>
              <w:left w:w="85" w:type="dxa"/>
              <w:bottom w:w="28" w:type="dxa"/>
              <w:right w:w="28" w:type="dxa"/>
            </w:tcMar>
          </w:tcPr>
          <w:p w14:paraId="0DEB4F8F" w14:textId="738E2E01" w:rsidR="00F46D4B" w:rsidRPr="009E064B" w:rsidRDefault="009B0A08"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Wymagania ogólne</w:t>
            </w:r>
          </w:p>
        </w:tc>
        <w:tc>
          <w:tcPr>
            <w:tcW w:w="1013" w:type="pct"/>
            <w:tcMar>
              <w:top w:w="28" w:type="dxa"/>
              <w:left w:w="85" w:type="dxa"/>
              <w:bottom w:w="28" w:type="dxa"/>
              <w:right w:w="28" w:type="dxa"/>
            </w:tcMar>
          </w:tcPr>
          <w:p w14:paraId="1757EA3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502978F" w14:textId="77777777" w:rsidTr="00CA0AA3">
        <w:tc>
          <w:tcPr>
            <w:tcW w:w="858" w:type="pct"/>
            <w:tcMar>
              <w:top w:w="28" w:type="dxa"/>
              <w:left w:w="85" w:type="dxa"/>
              <w:bottom w:w="28" w:type="dxa"/>
              <w:right w:w="28" w:type="dxa"/>
            </w:tcMar>
          </w:tcPr>
          <w:p w14:paraId="79FC2DA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ADR-DSN.N.780 </w:t>
            </w:r>
          </w:p>
        </w:tc>
        <w:tc>
          <w:tcPr>
            <w:tcW w:w="3129" w:type="pct"/>
            <w:tcMar>
              <w:top w:w="28" w:type="dxa"/>
              <w:left w:w="85" w:type="dxa"/>
              <w:bottom w:w="28" w:type="dxa"/>
              <w:right w:w="28" w:type="dxa"/>
            </w:tcMar>
          </w:tcPr>
          <w:p w14:paraId="5A6FB4B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Znaki nakazu </w:t>
            </w:r>
          </w:p>
        </w:tc>
        <w:tc>
          <w:tcPr>
            <w:tcW w:w="1013" w:type="pct"/>
            <w:tcMar>
              <w:top w:w="28" w:type="dxa"/>
              <w:left w:w="85" w:type="dxa"/>
              <w:bottom w:w="28" w:type="dxa"/>
              <w:right w:w="28" w:type="dxa"/>
            </w:tcMar>
          </w:tcPr>
          <w:p w14:paraId="0A75672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CD07725" w14:textId="77777777" w:rsidTr="00CA0AA3">
        <w:tc>
          <w:tcPr>
            <w:tcW w:w="858" w:type="pct"/>
            <w:tcMar>
              <w:top w:w="28" w:type="dxa"/>
              <w:left w:w="85" w:type="dxa"/>
              <w:bottom w:w="28" w:type="dxa"/>
              <w:right w:w="28" w:type="dxa"/>
            </w:tcMar>
          </w:tcPr>
          <w:p w14:paraId="5F7D2DB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ADR-DSN.N.785 </w:t>
            </w:r>
          </w:p>
        </w:tc>
        <w:tc>
          <w:tcPr>
            <w:tcW w:w="3129" w:type="pct"/>
            <w:tcMar>
              <w:top w:w="28" w:type="dxa"/>
              <w:left w:w="85" w:type="dxa"/>
              <w:bottom w:w="28" w:type="dxa"/>
              <w:right w:w="28" w:type="dxa"/>
            </w:tcMar>
          </w:tcPr>
          <w:p w14:paraId="60501E2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Znaki informacyjne </w:t>
            </w:r>
          </w:p>
        </w:tc>
        <w:tc>
          <w:tcPr>
            <w:tcW w:w="1013" w:type="pct"/>
            <w:tcMar>
              <w:top w:w="28" w:type="dxa"/>
              <w:left w:w="85" w:type="dxa"/>
              <w:bottom w:w="28" w:type="dxa"/>
              <w:right w:w="28" w:type="dxa"/>
            </w:tcMar>
          </w:tcPr>
          <w:p w14:paraId="7CA2638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FC0070B" w14:textId="77777777" w:rsidTr="00CA0AA3">
        <w:tc>
          <w:tcPr>
            <w:tcW w:w="858" w:type="pct"/>
            <w:tcMar>
              <w:top w:w="28" w:type="dxa"/>
              <w:left w:w="85" w:type="dxa"/>
              <w:bottom w:w="28" w:type="dxa"/>
              <w:right w:w="28" w:type="dxa"/>
            </w:tcMar>
          </w:tcPr>
          <w:p w14:paraId="6477CFA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ADR-DSN.Q.840 </w:t>
            </w:r>
          </w:p>
        </w:tc>
        <w:tc>
          <w:tcPr>
            <w:tcW w:w="3129" w:type="pct"/>
            <w:tcMar>
              <w:top w:w="28" w:type="dxa"/>
              <w:left w:w="85" w:type="dxa"/>
              <w:bottom w:w="28" w:type="dxa"/>
              <w:right w:w="28" w:type="dxa"/>
            </w:tcMar>
          </w:tcPr>
          <w:p w14:paraId="63656A2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znajdujące się w obrębie granic bocznych powierzchni ograniczających przeszkody, które muszą być oznakowane i/lub oświetlone</w:t>
            </w:r>
          </w:p>
        </w:tc>
        <w:tc>
          <w:tcPr>
            <w:tcW w:w="1013" w:type="pct"/>
            <w:tcMar>
              <w:top w:w="28" w:type="dxa"/>
              <w:left w:w="85" w:type="dxa"/>
              <w:bottom w:w="28" w:type="dxa"/>
              <w:right w:w="28" w:type="dxa"/>
            </w:tcMar>
          </w:tcPr>
          <w:p w14:paraId="44A6D82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7FE32DD" w14:textId="77777777" w:rsidTr="00CA0AA3">
        <w:tc>
          <w:tcPr>
            <w:tcW w:w="858" w:type="pct"/>
            <w:tcMar>
              <w:top w:w="28" w:type="dxa"/>
              <w:left w:w="85" w:type="dxa"/>
              <w:bottom w:w="28" w:type="dxa"/>
              <w:right w:w="28" w:type="dxa"/>
            </w:tcMar>
          </w:tcPr>
          <w:p w14:paraId="14DB22E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ADR-DSN.Q.841 </w:t>
            </w:r>
          </w:p>
        </w:tc>
        <w:tc>
          <w:tcPr>
            <w:tcW w:w="3129" w:type="pct"/>
            <w:tcMar>
              <w:top w:w="28" w:type="dxa"/>
              <w:left w:w="85" w:type="dxa"/>
              <w:bottom w:w="28" w:type="dxa"/>
              <w:right w:w="28" w:type="dxa"/>
            </w:tcMar>
          </w:tcPr>
          <w:p w14:paraId="35D63BE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znajdujące się poza granicami bocznymi powierzchni ograniczających przeszkody, które muszą być oznakowane i/lub oświetlone</w:t>
            </w:r>
          </w:p>
        </w:tc>
        <w:tc>
          <w:tcPr>
            <w:tcW w:w="1013" w:type="pct"/>
            <w:tcMar>
              <w:top w:w="28" w:type="dxa"/>
              <w:left w:w="85" w:type="dxa"/>
              <w:bottom w:w="28" w:type="dxa"/>
              <w:right w:w="28" w:type="dxa"/>
            </w:tcMar>
          </w:tcPr>
          <w:p w14:paraId="76C4D3CC" w14:textId="2BE8F4EE"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697D893D" w14:textId="77777777" w:rsidTr="00CA0AA3">
        <w:tc>
          <w:tcPr>
            <w:tcW w:w="858" w:type="pct"/>
            <w:tcMar>
              <w:top w:w="28" w:type="dxa"/>
              <w:left w:w="85" w:type="dxa"/>
              <w:bottom w:w="28" w:type="dxa"/>
              <w:right w:w="28" w:type="dxa"/>
            </w:tcMar>
          </w:tcPr>
          <w:p w14:paraId="6DF24EE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ADR-DSN.Q.845 </w:t>
            </w:r>
          </w:p>
        </w:tc>
        <w:tc>
          <w:tcPr>
            <w:tcW w:w="3129" w:type="pct"/>
            <w:tcMar>
              <w:top w:w="28" w:type="dxa"/>
              <w:left w:w="85" w:type="dxa"/>
              <w:bottom w:w="28" w:type="dxa"/>
              <w:right w:w="28" w:type="dxa"/>
            </w:tcMar>
          </w:tcPr>
          <w:p w14:paraId="03CAEA0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obiektów stałych</w:t>
            </w:r>
          </w:p>
        </w:tc>
        <w:tc>
          <w:tcPr>
            <w:tcW w:w="1013" w:type="pct"/>
            <w:tcMar>
              <w:top w:w="28" w:type="dxa"/>
              <w:left w:w="85" w:type="dxa"/>
              <w:bottom w:w="28" w:type="dxa"/>
              <w:right w:w="28" w:type="dxa"/>
            </w:tcMar>
          </w:tcPr>
          <w:p w14:paraId="1A813290" w14:textId="30F4684D"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616DCD2E" w14:textId="77777777" w:rsidTr="00CA0AA3">
        <w:tc>
          <w:tcPr>
            <w:tcW w:w="858" w:type="pct"/>
            <w:tcMar>
              <w:top w:w="28" w:type="dxa"/>
              <w:left w:w="85" w:type="dxa"/>
              <w:bottom w:w="28" w:type="dxa"/>
              <w:right w:w="28" w:type="dxa"/>
            </w:tcMar>
          </w:tcPr>
          <w:p w14:paraId="1006DB9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ADR-DSN.Q.846 </w:t>
            </w:r>
          </w:p>
        </w:tc>
        <w:tc>
          <w:tcPr>
            <w:tcW w:w="3129" w:type="pct"/>
            <w:tcMar>
              <w:top w:w="28" w:type="dxa"/>
              <w:left w:w="85" w:type="dxa"/>
              <w:bottom w:w="28" w:type="dxa"/>
              <w:right w:w="28" w:type="dxa"/>
            </w:tcMar>
          </w:tcPr>
          <w:p w14:paraId="72227E4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obiektów stałych.</w:t>
            </w:r>
          </w:p>
        </w:tc>
        <w:tc>
          <w:tcPr>
            <w:tcW w:w="1013" w:type="pct"/>
            <w:tcMar>
              <w:top w:w="28" w:type="dxa"/>
              <w:left w:w="85" w:type="dxa"/>
              <w:bottom w:w="28" w:type="dxa"/>
              <w:right w:w="28" w:type="dxa"/>
            </w:tcMar>
          </w:tcPr>
          <w:p w14:paraId="30525403" w14:textId="0992E5CF"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7361928D" w14:textId="77777777" w:rsidTr="00CA0AA3">
        <w:tc>
          <w:tcPr>
            <w:tcW w:w="858" w:type="pct"/>
            <w:tcMar>
              <w:top w:w="28" w:type="dxa"/>
              <w:left w:w="85" w:type="dxa"/>
              <w:bottom w:w="28" w:type="dxa"/>
              <w:right w:w="28" w:type="dxa"/>
            </w:tcMar>
          </w:tcPr>
          <w:p w14:paraId="4C65529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ADR-DSN.Q.847 </w:t>
            </w:r>
          </w:p>
        </w:tc>
        <w:tc>
          <w:tcPr>
            <w:tcW w:w="3129" w:type="pct"/>
            <w:tcMar>
              <w:top w:w="28" w:type="dxa"/>
              <w:left w:w="85" w:type="dxa"/>
              <w:bottom w:w="28" w:type="dxa"/>
              <w:right w:w="28" w:type="dxa"/>
            </w:tcMar>
          </w:tcPr>
          <w:p w14:paraId="661E9F3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obiektów stałych o wysokości mniejszej niż 45 m nad poziomem ziemi</w:t>
            </w:r>
          </w:p>
        </w:tc>
        <w:tc>
          <w:tcPr>
            <w:tcW w:w="1013" w:type="pct"/>
            <w:tcMar>
              <w:top w:w="28" w:type="dxa"/>
              <w:left w:w="85" w:type="dxa"/>
              <w:bottom w:w="28" w:type="dxa"/>
              <w:right w:w="28" w:type="dxa"/>
            </w:tcMar>
          </w:tcPr>
          <w:p w14:paraId="3FCE961C" w14:textId="496367A8"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0EFD23B8" w14:textId="77777777" w:rsidTr="00CA0AA3">
        <w:tc>
          <w:tcPr>
            <w:tcW w:w="858" w:type="pct"/>
            <w:tcMar>
              <w:top w:w="28" w:type="dxa"/>
              <w:left w:w="85" w:type="dxa"/>
              <w:bottom w:w="28" w:type="dxa"/>
              <w:right w:w="28" w:type="dxa"/>
            </w:tcMar>
          </w:tcPr>
          <w:p w14:paraId="0140180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ADR-DSN.Q.848 </w:t>
            </w:r>
          </w:p>
        </w:tc>
        <w:tc>
          <w:tcPr>
            <w:tcW w:w="3129" w:type="pct"/>
            <w:tcMar>
              <w:top w:w="28" w:type="dxa"/>
              <w:left w:w="85" w:type="dxa"/>
              <w:bottom w:w="28" w:type="dxa"/>
              <w:right w:w="28" w:type="dxa"/>
            </w:tcMar>
          </w:tcPr>
          <w:p w14:paraId="12E647C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Oświetlenie obiektów stałych o wysokości od 45 m do 150 m nad poziomem ziemi </w:t>
            </w:r>
          </w:p>
        </w:tc>
        <w:tc>
          <w:tcPr>
            <w:tcW w:w="1013" w:type="pct"/>
            <w:tcMar>
              <w:top w:w="28" w:type="dxa"/>
              <w:left w:w="85" w:type="dxa"/>
              <w:bottom w:w="28" w:type="dxa"/>
              <w:right w:w="28" w:type="dxa"/>
            </w:tcMar>
          </w:tcPr>
          <w:p w14:paraId="275BFCC7" w14:textId="7A6BED7D"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75AF905D" w14:textId="77777777" w:rsidTr="00CA0AA3">
        <w:tc>
          <w:tcPr>
            <w:tcW w:w="858" w:type="pct"/>
            <w:tcMar>
              <w:top w:w="28" w:type="dxa"/>
              <w:left w:w="85" w:type="dxa"/>
              <w:bottom w:w="28" w:type="dxa"/>
              <w:right w:w="28" w:type="dxa"/>
            </w:tcMar>
          </w:tcPr>
          <w:p w14:paraId="204FF54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ADR-DSN.Q.849 </w:t>
            </w:r>
          </w:p>
        </w:tc>
        <w:tc>
          <w:tcPr>
            <w:tcW w:w="3129" w:type="pct"/>
            <w:tcMar>
              <w:top w:w="28" w:type="dxa"/>
              <w:left w:w="85" w:type="dxa"/>
              <w:bottom w:w="28" w:type="dxa"/>
              <w:right w:w="28" w:type="dxa"/>
            </w:tcMar>
          </w:tcPr>
          <w:p w14:paraId="3681025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Oświetlenie obiektów stałych o wysokości 150 m i więcej nad poziomem ziemi </w:t>
            </w:r>
          </w:p>
        </w:tc>
        <w:tc>
          <w:tcPr>
            <w:tcW w:w="1013" w:type="pct"/>
            <w:tcMar>
              <w:top w:w="28" w:type="dxa"/>
              <w:left w:w="85" w:type="dxa"/>
              <w:bottom w:w="28" w:type="dxa"/>
              <w:right w:w="28" w:type="dxa"/>
            </w:tcMar>
          </w:tcPr>
          <w:p w14:paraId="0E448504" w14:textId="48AAF93C"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09003FA" w14:textId="77777777" w:rsidTr="00CA0AA3">
        <w:tc>
          <w:tcPr>
            <w:tcW w:w="858" w:type="pct"/>
            <w:tcMar>
              <w:top w:w="28" w:type="dxa"/>
              <w:left w:w="85" w:type="dxa"/>
              <w:bottom w:w="28" w:type="dxa"/>
              <w:right w:w="28" w:type="dxa"/>
            </w:tcMar>
          </w:tcPr>
          <w:p w14:paraId="6B423C8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ADR-DSN.Q.850 </w:t>
            </w:r>
          </w:p>
        </w:tc>
        <w:tc>
          <w:tcPr>
            <w:tcW w:w="3129" w:type="pct"/>
            <w:tcMar>
              <w:top w:w="28" w:type="dxa"/>
              <w:left w:w="85" w:type="dxa"/>
              <w:bottom w:w="28" w:type="dxa"/>
              <w:right w:w="28" w:type="dxa"/>
            </w:tcMar>
          </w:tcPr>
          <w:p w14:paraId="6719649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innych obiektów</w:t>
            </w:r>
          </w:p>
        </w:tc>
        <w:tc>
          <w:tcPr>
            <w:tcW w:w="1013" w:type="pct"/>
            <w:tcMar>
              <w:top w:w="28" w:type="dxa"/>
              <w:left w:w="85" w:type="dxa"/>
              <w:bottom w:w="28" w:type="dxa"/>
              <w:right w:w="28" w:type="dxa"/>
            </w:tcMar>
          </w:tcPr>
          <w:p w14:paraId="54356C7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24870C2" w14:textId="77777777" w:rsidTr="00CA0AA3">
        <w:tc>
          <w:tcPr>
            <w:tcW w:w="858" w:type="pct"/>
            <w:tcMar>
              <w:top w:w="28" w:type="dxa"/>
              <w:left w:w="85" w:type="dxa"/>
              <w:bottom w:w="28" w:type="dxa"/>
              <w:right w:w="28" w:type="dxa"/>
            </w:tcMar>
          </w:tcPr>
          <w:p w14:paraId="4FF55E5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ADR-DSN.Q.851 </w:t>
            </w:r>
          </w:p>
        </w:tc>
        <w:tc>
          <w:tcPr>
            <w:tcW w:w="3129" w:type="pct"/>
            <w:tcMar>
              <w:top w:w="28" w:type="dxa"/>
              <w:left w:w="85" w:type="dxa"/>
              <w:bottom w:w="28" w:type="dxa"/>
              <w:right w:w="28" w:type="dxa"/>
            </w:tcMar>
          </w:tcPr>
          <w:p w14:paraId="1332201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Oznakowanie i oświetlenie turbin wiatrowych </w:t>
            </w:r>
          </w:p>
        </w:tc>
        <w:tc>
          <w:tcPr>
            <w:tcW w:w="1013" w:type="pct"/>
            <w:tcMar>
              <w:top w:w="28" w:type="dxa"/>
              <w:left w:w="85" w:type="dxa"/>
              <w:bottom w:w="28" w:type="dxa"/>
              <w:right w:w="28" w:type="dxa"/>
            </w:tcMar>
          </w:tcPr>
          <w:p w14:paraId="05066B20" w14:textId="3DEE87F3"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DF712CE" w14:textId="77777777" w:rsidTr="00CA0AA3">
        <w:tc>
          <w:tcPr>
            <w:tcW w:w="858" w:type="pct"/>
            <w:tcMar>
              <w:top w:w="28" w:type="dxa"/>
              <w:left w:w="85" w:type="dxa"/>
              <w:bottom w:w="28" w:type="dxa"/>
              <w:right w:w="28" w:type="dxa"/>
            </w:tcMar>
          </w:tcPr>
          <w:p w14:paraId="101A9CE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ADR-DSN.Q.852 </w:t>
            </w:r>
          </w:p>
        </w:tc>
        <w:tc>
          <w:tcPr>
            <w:tcW w:w="3129" w:type="pct"/>
            <w:tcMar>
              <w:top w:w="28" w:type="dxa"/>
              <w:left w:w="85" w:type="dxa"/>
              <w:bottom w:w="28" w:type="dxa"/>
              <w:right w:w="28" w:type="dxa"/>
            </w:tcMar>
          </w:tcPr>
          <w:p w14:paraId="6802A01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i oświetlenie przewodów linii napowietrznych, kabli, itp. oraz konstrukcji wsporczych</w:t>
            </w:r>
          </w:p>
        </w:tc>
        <w:tc>
          <w:tcPr>
            <w:tcW w:w="1013" w:type="pct"/>
            <w:tcMar>
              <w:top w:w="28" w:type="dxa"/>
              <w:left w:w="85" w:type="dxa"/>
              <w:bottom w:w="28" w:type="dxa"/>
              <w:right w:w="28" w:type="dxa"/>
            </w:tcMar>
          </w:tcPr>
          <w:p w14:paraId="47C36499" w14:textId="3E136E4E"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5C5F262D" w14:textId="77777777" w:rsidTr="00CA0AA3">
        <w:tc>
          <w:tcPr>
            <w:tcW w:w="858" w:type="pct"/>
            <w:tcMar>
              <w:top w:w="28" w:type="dxa"/>
              <w:left w:w="85" w:type="dxa"/>
              <w:bottom w:w="28" w:type="dxa"/>
              <w:right w:w="28" w:type="dxa"/>
            </w:tcMar>
          </w:tcPr>
          <w:p w14:paraId="7A993EC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ADR-DSN.R.855 </w:t>
            </w:r>
          </w:p>
        </w:tc>
        <w:tc>
          <w:tcPr>
            <w:tcW w:w="3129" w:type="pct"/>
            <w:tcMar>
              <w:top w:w="28" w:type="dxa"/>
              <w:left w:w="85" w:type="dxa"/>
              <w:bottom w:w="28" w:type="dxa"/>
              <w:right w:w="28" w:type="dxa"/>
            </w:tcMar>
          </w:tcPr>
          <w:p w14:paraId="640A3F3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i drogi kołowania całkowicie lub częściowo zamknięte</w:t>
            </w:r>
          </w:p>
        </w:tc>
        <w:tc>
          <w:tcPr>
            <w:tcW w:w="1013" w:type="pct"/>
            <w:tcMar>
              <w:top w:w="28" w:type="dxa"/>
              <w:left w:w="85" w:type="dxa"/>
              <w:bottom w:w="28" w:type="dxa"/>
              <w:right w:w="28" w:type="dxa"/>
            </w:tcMar>
          </w:tcPr>
          <w:p w14:paraId="78291D8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7CC0EE4" w14:textId="77777777" w:rsidTr="00CA0AA3">
        <w:tc>
          <w:tcPr>
            <w:tcW w:w="858" w:type="pct"/>
            <w:tcMar>
              <w:top w:w="28" w:type="dxa"/>
              <w:left w:w="85" w:type="dxa"/>
              <w:bottom w:w="28" w:type="dxa"/>
              <w:right w:w="28" w:type="dxa"/>
            </w:tcMar>
          </w:tcPr>
          <w:p w14:paraId="49486DA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ADR-DSN.R.860 </w:t>
            </w:r>
          </w:p>
        </w:tc>
        <w:tc>
          <w:tcPr>
            <w:tcW w:w="3129" w:type="pct"/>
            <w:tcMar>
              <w:top w:w="28" w:type="dxa"/>
              <w:left w:w="85" w:type="dxa"/>
              <w:bottom w:w="28" w:type="dxa"/>
              <w:right w:w="28" w:type="dxa"/>
            </w:tcMar>
          </w:tcPr>
          <w:p w14:paraId="7AA4842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Powierzchnie nienośne</w:t>
            </w:r>
          </w:p>
        </w:tc>
        <w:tc>
          <w:tcPr>
            <w:tcW w:w="1013" w:type="pct"/>
            <w:tcMar>
              <w:top w:w="28" w:type="dxa"/>
              <w:left w:w="85" w:type="dxa"/>
              <w:bottom w:w="28" w:type="dxa"/>
              <w:right w:w="28" w:type="dxa"/>
            </w:tcMar>
          </w:tcPr>
          <w:p w14:paraId="146F95A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529C306" w14:textId="77777777" w:rsidTr="00CA0AA3">
        <w:tc>
          <w:tcPr>
            <w:tcW w:w="858" w:type="pct"/>
            <w:tcMar>
              <w:top w:w="28" w:type="dxa"/>
              <w:left w:w="85" w:type="dxa"/>
              <w:bottom w:w="28" w:type="dxa"/>
              <w:right w:w="28" w:type="dxa"/>
            </w:tcMar>
          </w:tcPr>
          <w:p w14:paraId="0A640CA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ADR-DSN.S.880 </w:t>
            </w:r>
          </w:p>
        </w:tc>
        <w:tc>
          <w:tcPr>
            <w:tcW w:w="3129" w:type="pct"/>
            <w:tcMar>
              <w:top w:w="28" w:type="dxa"/>
              <w:left w:w="85" w:type="dxa"/>
              <w:bottom w:w="28" w:type="dxa"/>
              <w:right w:w="28" w:type="dxa"/>
            </w:tcMar>
          </w:tcPr>
          <w:p w14:paraId="3B465BF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zasilania elektrycznego</w:t>
            </w:r>
          </w:p>
        </w:tc>
        <w:tc>
          <w:tcPr>
            <w:tcW w:w="1013" w:type="pct"/>
            <w:tcMar>
              <w:top w:w="28" w:type="dxa"/>
              <w:left w:w="85" w:type="dxa"/>
              <w:bottom w:w="28" w:type="dxa"/>
              <w:right w:w="28" w:type="dxa"/>
            </w:tcMar>
          </w:tcPr>
          <w:p w14:paraId="1543629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C6DD1CF" w14:textId="77777777" w:rsidTr="00CA0AA3">
        <w:tc>
          <w:tcPr>
            <w:tcW w:w="858" w:type="pct"/>
            <w:tcMar>
              <w:top w:w="28" w:type="dxa"/>
              <w:left w:w="85" w:type="dxa"/>
              <w:bottom w:w="28" w:type="dxa"/>
              <w:right w:w="28" w:type="dxa"/>
            </w:tcMar>
          </w:tcPr>
          <w:p w14:paraId="3E2B8F4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ADR-DSN.S.890 </w:t>
            </w:r>
          </w:p>
        </w:tc>
        <w:tc>
          <w:tcPr>
            <w:tcW w:w="3129" w:type="pct"/>
            <w:tcMar>
              <w:top w:w="28" w:type="dxa"/>
              <w:left w:w="85" w:type="dxa"/>
              <w:bottom w:w="28" w:type="dxa"/>
              <w:right w:w="28" w:type="dxa"/>
            </w:tcMar>
          </w:tcPr>
          <w:p w14:paraId="282559D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Monitoring</w:t>
            </w:r>
          </w:p>
        </w:tc>
        <w:tc>
          <w:tcPr>
            <w:tcW w:w="1013" w:type="pct"/>
            <w:tcMar>
              <w:top w:w="28" w:type="dxa"/>
              <w:left w:w="85" w:type="dxa"/>
              <w:bottom w:w="28" w:type="dxa"/>
              <w:right w:w="28" w:type="dxa"/>
            </w:tcMar>
          </w:tcPr>
          <w:p w14:paraId="3BF3361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34F88BE" w14:textId="77777777" w:rsidTr="00CA0AA3">
        <w:tc>
          <w:tcPr>
            <w:tcW w:w="858" w:type="pct"/>
            <w:tcMar>
              <w:top w:w="28" w:type="dxa"/>
              <w:left w:w="85" w:type="dxa"/>
              <w:bottom w:w="28" w:type="dxa"/>
              <w:right w:w="28" w:type="dxa"/>
            </w:tcMar>
          </w:tcPr>
          <w:p w14:paraId="1C16F5C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ADR-DSN.S.895 </w:t>
            </w:r>
          </w:p>
        </w:tc>
        <w:tc>
          <w:tcPr>
            <w:tcW w:w="3129" w:type="pct"/>
            <w:tcMar>
              <w:top w:w="28" w:type="dxa"/>
              <w:left w:w="85" w:type="dxa"/>
              <w:bottom w:w="28" w:type="dxa"/>
              <w:right w:w="28" w:type="dxa"/>
            </w:tcMar>
          </w:tcPr>
          <w:p w14:paraId="37DF854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Poziomy niezawodności </w:t>
            </w:r>
          </w:p>
        </w:tc>
        <w:tc>
          <w:tcPr>
            <w:tcW w:w="1013" w:type="pct"/>
            <w:tcMar>
              <w:top w:w="28" w:type="dxa"/>
              <w:left w:w="85" w:type="dxa"/>
              <w:bottom w:w="28" w:type="dxa"/>
              <w:right w:w="28" w:type="dxa"/>
            </w:tcMar>
          </w:tcPr>
          <w:p w14:paraId="150887D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453B6B2" w14:textId="77777777" w:rsidTr="00CA0AA3">
        <w:tc>
          <w:tcPr>
            <w:tcW w:w="858" w:type="pct"/>
            <w:tcMar>
              <w:top w:w="28" w:type="dxa"/>
              <w:left w:w="85" w:type="dxa"/>
              <w:bottom w:w="28" w:type="dxa"/>
              <w:right w:w="28" w:type="dxa"/>
            </w:tcMar>
          </w:tcPr>
          <w:p w14:paraId="1D3D816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ADR-DSN.T.900 </w:t>
            </w:r>
          </w:p>
        </w:tc>
        <w:tc>
          <w:tcPr>
            <w:tcW w:w="3129" w:type="pct"/>
            <w:tcMar>
              <w:top w:w="28" w:type="dxa"/>
              <w:left w:w="85" w:type="dxa"/>
              <w:bottom w:w="28" w:type="dxa"/>
              <w:right w:w="28" w:type="dxa"/>
            </w:tcMar>
          </w:tcPr>
          <w:p w14:paraId="5B99C52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Awaryjne drogi dojazdowe i drogi serwisowe</w:t>
            </w:r>
          </w:p>
        </w:tc>
        <w:tc>
          <w:tcPr>
            <w:tcW w:w="1013" w:type="pct"/>
            <w:tcMar>
              <w:top w:w="28" w:type="dxa"/>
              <w:left w:w="85" w:type="dxa"/>
              <w:bottom w:w="28" w:type="dxa"/>
              <w:right w:w="28" w:type="dxa"/>
            </w:tcMar>
          </w:tcPr>
          <w:p w14:paraId="352D424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ED5D8DF" w14:textId="77777777" w:rsidTr="00CA0AA3">
        <w:tc>
          <w:tcPr>
            <w:tcW w:w="858" w:type="pct"/>
            <w:tcMar>
              <w:top w:w="28" w:type="dxa"/>
              <w:left w:w="85" w:type="dxa"/>
              <w:bottom w:w="28" w:type="dxa"/>
              <w:right w:w="28" w:type="dxa"/>
            </w:tcMar>
          </w:tcPr>
          <w:p w14:paraId="3A94808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ADR-DSN.T.915 </w:t>
            </w:r>
          </w:p>
        </w:tc>
        <w:tc>
          <w:tcPr>
            <w:tcW w:w="3129" w:type="pct"/>
            <w:tcMar>
              <w:top w:w="28" w:type="dxa"/>
              <w:left w:w="85" w:type="dxa"/>
              <w:bottom w:w="28" w:type="dxa"/>
              <w:right w:w="28" w:type="dxa"/>
            </w:tcMar>
          </w:tcPr>
          <w:p w14:paraId="6E13F89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Rozmieszczenie urządzeń i instalacji w strefach operacyjnych</w:t>
            </w:r>
          </w:p>
        </w:tc>
        <w:tc>
          <w:tcPr>
            <w:tcW w:w="1013" w:type="pct"/>
            <w:tcMar>
              <w:top w:w="28" w:type="dxa"/>
              <w:left w:w="85" w:type="dxa"/>
              <w:bottom w:w="28" w:type="dxa"/>
              <w:right w:w="28" w:type="dxa"/>
            </w:tcMar>
          </w:tcPr>
          <w:p w14:paraId="0F3567A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9A21745" w14:textId="77777777" w:rsidTr="00CA0AA3">
        <w:tc>
          <w:tcPr>
            <w:tcW w:w="858" w:type="pct"/>
            <w:tcMar>
              <w:top w:w="28" w:type="dxa"/>
              <w:left w:w="85" w:type="dxa"/>
              <w:bottom w:w="28" w:type="dxa"/>
              <w:right w:w="28" w:type="dxa"/>
            </w:tcMar>
          </w:tcPr>
          <w:p w14:paraId="3CED91C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ADR-DSN.U.930 </w:t>
            </w:r>
          </w:p>
        </w:tc>
        <w:tc>
          <w:tcPr>
            <w:tcW w:w="3129" w:type="pct"/>
            <w:tcMar>
              <w:top w:w="28" w:type="dxa"/>
              <w:left w:w="85" w:type="dxa"/>
              <w:bottom w:w="28" w:type="dxa"/>
              <w:right w:w="28" w:type="dxa"/>
            </w:tcMar>
          </w:tcPr>
          <w:p w14:paraId="00FDF33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Kolory naziemnych świateł lotniczych</w:t>
            </w:r>
          </w:p>
        </w:tc>
        <w:tc>
          <w:tcPr>
            <w:tcW w:w="1013" w:type="pct"/>
            <w:tcMar>
              <w:top w:w="28" w:type="dxa"/>
              <w:left w:w="85" w:type="dxa"/>
              <w:bottom w:w="28" w:type="dxa"/>
              <w:right w:w="28" w:type="dxa"/>
            </w:tcMar>
          </w:tcPr>
          <w:p w14:paraId="2968EEE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8A16CC1" w14:textId="77777777" w:rsidTr="00CA0AA3">
        <w:tc>
          <w:tcPr>
            <w:tcW w:w="858" w:type="pct"/>
            <w:tcMar>
              <w:top w:w="28" w:type="dxa"/>
              <w:left w:w="85" w:type="dxa"/>
              <w:bottom w:w="28" w:type="dxa"/>
              <w:right w:w="28" w:type="dxa"/>
            </w:tcMar>
          </w:tcPr>
          <w:p w14:paraId="1A63810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ADR-DSN.U.935 </w:t>
            </w:r>
          </w:p>
        </w:tc>
        <w:tc>
          <w:tcPr>
            <w:tcW w:w="3129" w:type="pct"/>
            <w:tcMar>
              <w:top w:w="28" w:type="dxa"/>
              <w:left w:w="85" w:type="dxa"/>
              <w:bottom w:w="28" w:type="dxa"/>
              <w:right w:w="28" w:type="dxa"/>
            </w:tcMar>
          </w:tcPr>
          <w:p w14:paraId="7658D7B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Kolory oznakowania poziomego, znaków pionowych oraz tablic</w:t>
            </w:r>
          </w:p>
        </w:tc>
        <w:tc>
          <w:tcPr>
            <w:tcW w:w="1013" w:type="pct"/>
            <w:tcMar>
              <w:top w:w="28" w:type="dxa"/>
              <w:left w:w="85" w:type="dxa"/>
              <w:bottom w:w="28" w:type="dxa"/>
              <w:right w:w="28" w:type="dxa"/>
            </w:tcMar>
          </w:tcPr>
          <w:p w14:paraId="49590F0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7F4EE6B" w14:textId="77777777" w:rsidTr="00CA0AA3">
        <w:tc>
          <w:tcPr>
            <w:tcW w:w="858" w:type="pct"/>
            <w:tcMar>
              <w:top w:w="28" w:type="dxa"/>
              <w:left w:w="85" w:type="dxa"/>
              <w:bottom w:w="28" w:type="dxa"/>
              <w:right w:w="28" w:type="dxa"/>
            </w:tcMar>
          </w:tcPr>
          <w:p w14:paraId="63D62EA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ADR-DSN.U.940 </w:t>
            </w:r>
          </w:p>
        </w:tc>
        <w:tc>
          <w:tcPr>
            <w:tcW w:w="3129" w:type="pct"/>
            <w:tcMar>
              <w:top w:w="28" w:type="dxa"/>
              <w:left w:w="85" w:type="dxa"/>
              <w:bottom w:w="28" w:type="dxa"/>
              <w:right w:w="28" w:type="dxa"/>
            </w:tcMar>
          </w:tcPr>
          <w:p w14:paraId="2AC9D21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Charakterystyki naziemnych świateł lotniczych</w:t>
            </w:r>
          </w:p>
        </w:tc>
        <w:tc>
          <w:tcPr>
            <w:tcW w:w="1013" w:type="pct"/>
            <w:tcMar>
              <w:top w:w="28" w:type="dxa"/>
              <w:left w:w="85" w:type="dxa"/>
              <w:bottom w:w="28" w:type="dxa"/>
              <w:right w:w="28" w:type="dxa"/>
            </w:tcMar>
          </w:tcPr>
          <w:p w14:paraId="1B8E2A2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EA6E584" w14:textId="77777777" w:rsidTr="00CA0AA3">
        <w:tc>
          <w:tcPr>
            <w:tcW w:w="858" w:type="pct"/>
            <w:tcMar>
              <w:top w:w="28" w:type="dxa"/>
              <w:left w:w="85" w:type="dxa"/>
              <w:bottom w:w="28" w:type="dxa"/>
              <w:right w:w="28" w:type="dxa"/>
            </w:tcMar>
          </w:tcPr>
          <w:p w14:paraId="4A6B523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ADR-DSN.A.005 </w:t>
            </w:r>
          </w:p>
        </w:tc>
        <w:tc>
          <w:tcPr>
            <w:tcW w:w="3129" w:type="pct"/>
            <w:tcMar>
              <w:top w:w="28" w:type="dxa"/>
              <w:left w:w="85" w:type="dxa"/>
              <w:bottom w:w="28" w:type="dxa"/>
              <w:right w:w="28" w:type="dxa"/>
            </w:tcMar>
          </w:tcPr>
          <w:p w14:paraId="123CFB0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Kod referencyjny lotniska</w:t>
            </w:r>
          </w:p>
        </w:tc>
        <w:tc>
          <w:tcPr>
            <w:tcW w:w="1013" w:type="pct"/>
            <w:tcMar>
              <w:top w:w="28" w:type="dxa"/>
              <w:left w:w="85" w:type="dxa"/>
              <w:bottom w:w="28" w:type="dxa"/>
              <w:right w:w="28" w:type="dxa"/>
            </w:tcMar>
          </w:tcPr>
          <w:p w14:paraId="4877954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3CADA2E" w14:textId="77777777" w:rsidTr="00CA0AA3">
        <w:tc>
          <w:tcPr>
            <w:tcW w:w="858" w:type="pct"/>
            <w:tcMar>
              <w:top w:w="28" w:type="dxa"/>
              <w:left w:w="85" w:type="dxa"/>
              <w:bottom w:w="28" w:type="dxa"/>
              <w:right w:w="28" w:type="dxa"/>
            </w:tcMar>
          </w:tcPr>
          <w:p w14:paraId="53BFC42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ADR-DSN.B.015 </w:t>
            </w:r>
          </w:p>
        </w:tc>
        <w:tc>
          <w:tcPr>
            <w:tcW w:w="3129" w:type="pct"/>
            <w:tcMar>
              <w:top w:w="28" w:type="dxa"/>
              <w:left w:w="85" w:type="dxa"/>
              <w:bottom w:w="28" w:type="dxa"/>
              <w:right w:w="28" w:type="dxa"/>
            </w:tcMar>
          </w:tcPr>
          <w:p w14:paraId="7ED600A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Ilość, rozmieszczenie i kierunek dróg startowych</w:t>
            </w:r>
          </w:p>
        </w:tc>
        <w:tc>
          <w:tcPr>
            <w:tcW w:w="1013" w:type="pct"/>
            <w:tcMar>
              <w:top w:w="28" w:type="dxa"/>
              <w:left w:w="85" w:type="dxa"/>
              <w:bottom w:w="28" w:type="dxa"/>
              <w:right w:w="28" w:type="dxa"/>
            </w:tcMar>
          </w:tcPr>
          <w:p w14:paraId="72E3449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6D663FF" w14:textId="77777777" w:rsidTr="00CA0AA3">
        <w:tc>
          <w:tcPr>
            <w:tcW w:w="858" w:type="pct"/>
            <w:tcMar>
              <w:top w:w="28" w:type="dxa"/>
              <w:left w:w="85" w:type="dxa"/>
              <w:bottom w:w="28" w:type="dxa"/>
              <w:right w:w="28" w:type="dxa"/>
            </w:tcMar>
          </w:tcPr>
          <w:p w14:paraId="6820C64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ADR-DSN.B.035 </w:t>
            </w:r>
          </w:p>
        </w:tc>
        <w:tc>
          <w:tcPr>
            <w:tcW w:w="3129" w:type="pct"/>
            <w:tcMar>
              <w:top w:w="28" w:type="dxa"/>
              <w:left w:w="85" w:type="dxa"/>
              <w:bottom w:w="28" w:type="dxa"/>
              <w:right w:w="28" w:type="dxa"/>
            </w:tcMar>
          </w:tcPr>
          <w:p w14:paraId="4C63EBD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Długość drogi startowej oraz długości deklarowane </w:t>
            </w:r>
          </w:p>
        </w:tc>
        <w:tc>
          <w:tcPr>
            <w:tcW w:w="1013" w:type="pct"/>
            <w:tcMar>
              <w:top w:w="28" w:type="dxa"/>
              <w:left w:w="85" w:type="dxa"/>
              <w:bottom w:w="28" w:type="dxa"/>
              <w:right w:w="28" w:type="dxa"/>
            </w:tcMar>
          </w:tcPr>
          <w:p w14:paraId="305B3A4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BD67358" w14:textId="77777777" w:rsidTr="00CA0AA3">
        <w:tc>
          <w:tcPr>
            <w:tcW w:w="858" w:type="pct"/>
            <w:tcMar>
              <w:top w:w="28" w:type="dxa"/>
              <w:left w:w="85" w:type="dxa"/>
              <w:bottom w:w="28" w:type="dxa"/>
              <w:right w:w="28" w:type="dxa"/>
            </w:tcMar>
          </w:tcPr>
          <w:p w14:paraId="59C6F0B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ADR-DSN.B.045 </w:t>
            </w:r>
          </w:p>
        </w:tc>
        <w:tc>
          <w:tcPr>
            <w:tcW w:w="3129" w:type="pct"/>
            <w:tcMar>
              <w:top w:w="28" w:type="dxa"/>
              <w:left w:w="85" w:type="dxa"/>
              <w:bottom w:w="28" w:type="dxa"/>
              <w:right w:w="28" w:type="dxa"/>
            </w:tcMar>
          </w:tcPr>
          <w:p w14:paraId="400CCC4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Szerokość dróg startowych</w:t>
            </w:r>
          </w:p>
        </w:tc>
        <w:tc>
          <w:tcPr>
            <w:tcW w:w="1013" w:type="pct"/>
            <w:tcMar>
              <w:top w:w="28" w:type="dxa"/>
              <w:left w:w="85" w:type="dxa"/>
              <w:bottom w:w="28" w:type="dxa"/>
              <w:right w:w="28" w:type="dxa"/>
            </w:tcMar>
          </w:tcPr>
          <w:p w14:paraId="4606BEE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6F517CA" w14:textId="77777777" w:rsidTr="00CA0AA3">
        <w:tc>
          <w:tcPr>
            <w:tcW w:w="858" w:type="pct"/>
            <w:tcMar>
              <w:top w:w="28" w:type="dxa"/>
              <w:left w:w="85" w:type="dxa"/>
              <w:bottom w:w="28" w:type="dxa"/>
              <w:right w:w="28" w:type="dxa"/>
            </w:tcMar>
          </w:tcPr>
          <w:p w14:paraId="3D13BF2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ADR-DSN.B.055 </w:t>
            </w:r>
          </w:p>
        </w:tc>
        <w:tc>
          <w:tcPr>
            <w:tcW w:w="3129" w:type="pct"/>
            <w:tcMar>
              <w:top w:w="28" w:type="dxa"/>
              <w:left w:w="85" w:type="dxa"/>
              <w:bottom w:w="28" w:type="dxa"/>
              <w:right w:w="28" w:type="dxa"/>
            </w:tcMar>
          </w:tcPr>
          <w:p w14:paraId="3998056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Minimalna odległość pomiędzy równoległymi przyrządowymi drogami startowymi.</w:t>
            </w:r>
          </w:p>
        </w:tc>
        <w:tc>
          <w:tcPr>
            <w:tcW w:w="1013" w:type="pct"/>
            <w:tcMar>
              <w:top w:w="28" w:type="dxa"/>
              <w:left w:w="85" w:type="dxa"/>
              <w:bottom w:w="28" w:type="dxa"/>
              <w:right w:w="28" w:type="dxa"/>
            </w:tcMar>
          </w:tcPr>
          <w:p w14:paraId="1813B435" w14:textId="3E644D5C"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560CC588" w14:textId="77777777" w:rsidTr="00CA0AA3">
        <w:tc>
          <w:tcPr>
            <w:tcW w:w="858" w:type="pct"/>
            <w:tcMar>
              <w:top w:w="28" w:type="dxa"/>
              <w:left w:w="85" w:type="dxa"/>
              <w:bottom w:w="28" w:type="dxa"/>
              <w:right w:w="28" w:type="dxa"/>
            </w:tcMar>
          </w:tcPr>
          <w:p w14:paraId="439E859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ADR-DSN.B.070 </w:t>
            </w:r>
          </w:p>
        </w:tc>
        <w:tc>
          <w:tcPr>
            <w:tcW w:w="3129" w:type="pct"/>
            <w:tcMar>
              <w:top w:w="28" w:type="dxa"/>
              <w:left w:w="85" w:type="dxa"/>
              <w:bottom w:w="28" w:type="dxa"/>
              <w:right w:w="28" w:type="dxa"/>
            </w:tcMar>
          </w:tcPr>
          <w:p w14:paraId="33789AB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Zasięg widoczności dla nachyleń drogi startowej </w:t>
            </w:r>
          </w:p>
        </w:tc>
        <w:tc>
          <w:tcPr>
            <w:tcW w:w="1013" w:type="pct"/>
            <w:tcMar>
              <w:top w:w="28" w:type="dxa"/>
              <w:left w:w="85" w:type="dxa"/>
              <w:bottom w:w="28" w:type="dxa"/>
              <w:right w:w="28" w:type="dxa"/>
            </w:tcMar>
          </w:tcPr>
          <w:p w14:paraId="34D4780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C767765" w14:textId="77777777" w:rsidTr="00CA0AA3">
        <w:tc>
          <w:tcPr>
            <w:tcW w:w="858" w:type="pct"/>
            <w:tcMar>
              <w:top w:w="28" w:type="dxa"/>
              <w:left w:w="85" w:type="dxa"/>
              <w:bottom w:w="28" w:type="dxa"/>
              <w:right w:w="28" w:type="dxa"/>
            </w:tcMar>
          </w:tcPr>
          <w:p w14:paraId="4302E65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ADR-DSN.B.085 </w:t>
            </w:r>
          </w:p>
        </w:tc>
        <w:tc>
          <w:tcPr>
            <w:tcW w:w="3129" w:type="pct"/>
            <w:tcMar>
              <w:top w:w="28" w:type="dxa"/>
              <w:left w:w="85" w:type="dxa"/>
              <w:bottom w:w="28" w:type="dxa"/>
              <w:right w:w="28" w:type="dxa"/>
            </w:tcMar>
          </w:tcPr>
          <w:p w14:paraId="614AB18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drogi startowej</w:t>
            </w:r>
          </w:p>
        </w:tc>
        <w:tc>
          <w:tcPr>
            <w:tcW w:w="1013" w:type="pct"/>
            <w:tcMar>
              <w:top w:w="28" w:type="dxa"/>
              <w:left w:w="85" w:type="dxa"/>
              <w:bottom w:w="28" w:type="dxa"/>
              <w:right w:w="28" w:type="dxa"/>
            </w:tcMar>
          </w:tcPr>
          <w:p w14:paraId="098A5F4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60170D0" w14:textId="77777777" w:rsidTr="00CA0AA3">
        <w:tc>
          <w:tcPr>
            <w:tcW w:w="858" w:type="pct"/>
            <w:tcMar>
              <w:top w:w="28" w:type="dxa"/>
              <w:left w:w="85" w:type="dxa"/>
              <w:bottom w:w="28" w:type="dxa"/>
              <w:right w:w="28" w:type="dxa"/>
            </w:tcMar>
          </w:tcPr>
          <w:p w14:paraId="07CF2B8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ADR-DSN.B.090 </w:t>
            </w:r>
          </w:p>
        </w:tc>
        <w:tc>
          <w:tcPr>
            <w:tcW w:w="3129" w:type="pct"/>
            <w:tcMar>
              <w:top w:w="28" w:type="dxa"/>
              <w:left w:w="85" w:type="dxa"/>
              <w:bottom w:w="28" w:type="dxa"/>
              <w:right w:w="28" w:type="dxa"/>
            </w:tcMar>
          </w:tcPr>
          <w:p w14:paraId="31C642C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drogi startowej</w:t>
            </w:r>
          </w:p>
        </w:tc>
        <w:tc>
          <w:tcPr>
            <w:tcW w:w="1013" w:type="pct"/>
            <w:tcMar>
              <w:top w:w="28" w:type="dxa"/>
              <w:left w:w="85" w:type="dxa"/>
              <w:bottom w:w="28" w:type="dxa"/>
              <w:right w:w="28" w:type="dxa"/>
            </w:tcMar>
          </w:tcPr>
          <w:p w14:paraId="1DFC602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08D09C3" w14:textId="77777777" w:rsidTr="00CA0AA3">
        <w:tc>
          <w:tcPr>
            <w:tcW w:w="858" w:type="pct"/>
            <w:tcMar>
              <w:top w:w="28" w:type="dxa"/>
              <w:left w:w="85" w:type="dxa"/>
              <w:bottom w:w="28" w:type="dxa"/>
              <w:right w:w="28" w:type="dxa"/>
            </w:tcMar>
          </w:tcPr>
          <w:p w14:paraId="3051C1B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ADR-DSN.B.O95 </w:t>
            </w:r>
          </w:p>
        </w:tc>
        <w:tc>
          <w:tcPr>
            <w:tcW w:w="3129" w:type="pct"/>
            <w:tcMar>
              <w:top w:w="28" w:type="dxa"/>
              <w:left w:w="85" w:type="dxa"/>
              <w:bottom w:w="28" w:type="dxa"/>
              <w:right w:w="28" w:type="dxa"/>
            </w:tcMar>
          </w:tcPr>
          <w:p w14:paraId="4B806CF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Płaszczyzny do zawracania na drodze startowej</w:t>
            </w:r>
          </w:p>
        </w:tc>
        <w:tc>
          <w:tcPr>
            <w:tcW w:w="1013" w:type="pct"/>
            <w:tcMar>
              <w:top w:w="28" w:type="dxa"/>
              <w:left w:w="85" w:type="dxa"/>
              <w:bottom w:w="28" w:type="dxa"/>
              <w:right w:w="28" w:type="dxa"/>
            </w:tcMar>
          </w:tcPr>
          <w:p w14:paraId="18E0BBB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CF62BB0" w14:textId="77777777" w:rsidTr="00CA0AA3">
        <w:tc>
          <w:tcPr>
            <w:tcW w:w="858" w:type="pct"/>
            <w:tcMar>
              <w:top w:w="28" w:type="dxa"/>
              <w:left w:w="85" w:type="dxa"/>
              <w:bottom w:w="28" w:type="dxa"/>
              <w:right w:w="28" w:type="dxa"/>
            </w:tcMar>
          </w:tcPr>
          <w:p w14:paraId="3DBC218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ADR-DSN.B.125 </w:t>
            </w:r>
          </w:p>
        </w:tc>
        <w:tc>
          <w:tcPr>
            <w:tcW w:w="3129" w:type="pct"/>
            <w:tcMar>
              <w:top w:w="28" w:type="dxa"/>
              <w:left w:w="85" w:type="dxa"/>
              <w:bottom w:w="28" w:type="dxa"/>
              <w:right w:w="28" w:type="dxa"/>
            </w:tcMar>
          </w:tcPr>
          <w:p w14:paraId="755E3D6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Pobocza drogi startowej</w:t>
            </w:r>
          </w:p>
        </w:tc>
        <w:tc>
          <w:tcPr>
            <w:tcW w:w="1013" w:type="pct"/>
            <w:tcMar>
              <w:top w:w="28" w:type="dxa"/>
              <w:left w:w="85" w:type="dxa"/>
              <w:bottom w:w="28" w:type="dxa"/>
              <w:right w:w="28" w:type="dxa"/>
            </w:tcMar>
          </w:tcPr>
          <w:p w14:paraId="3B65D70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CEB8555" w14:textId="77777777" w:rsidTr="00CA0AA3">
        <w:tc>
          <w:tcPr>
            <w:tcW w:w="858" w:type="pct"/>
            <w:tcMar>
              <w:top w:w="28" w:type="dxa"/>
              <w:left w:w="85" w:type="dxa"/>
              <w:bottom w:w="28" w:type="dxa"/>
              <w:right w:w="28" w:type="dxa"/>
            </w:tcMar>
          </w:tcPr>
          <w:p w14:paraId="1AF6CF1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ADR-DSN.B.140 </w:t>
            </w:r>
          </w:p>
        </w:tc>
        <w:tc>
          <w:tcPr>
            <w:tcW w:w="3129" w:type="pct"/>
            <w:tcMar>
              <w:top w:w="28" w:type="dxa"/>
              <w:left w:w="85" w:type="dxa"/>
              <w:bottom w:w="28" w:type="dxa"/>
              <w:right w:w="28" w:type="dxa"/>
            </w:tcMar>
          </w:tcPr>
          <w:p w14:paraId="09744CA7" w14:textId="705C0F61" w:rsidR="00F46D4B" w:rsidRPr="009E064B" w:rsidRDefault="0051028F"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poboczy drogi startowej</w:t>
            </w:r>
          </w:p>
        </w:tc>
        <w:tc>
          <w:tcPr>
            <w:tcW w:w="1013" w:type="pct"/>
            <w:tcMar>
              <w:top w:w="28" w:type="dxa"/>
              <w:left w:w="85" w:type="dxa"/>
              <w:bottom w:w="28" w:type="dxa"/>
              <w:right w:w="28" w:type="dxa"/>
            </w:tcMar>
          </w:tcPr>
          <w:p w14:paraId="4DAD503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CAF3BA7" w14:textId="77777777" w:rsidTr="00CA0AA3">
        <w:tc>
          <w:tcPr>
            <w:tcW w:w="858" w:type="pct"/>
            <w:tcMar>
              <w:top w:w="28" w:type="dxa"/>
              <w:left w:w="85" w:type="dxa"/>
              <w:bottom w:w="28" w:type="dxa"/>
              <w:right w:w="28" w:type="dxa"/>
            </w:tcMar>
          </w:tcPr>
          <w:p w14:paraId="4266D39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ADR-DSN.B.165 </w:t>
            </w:r>
          </w:p>
        </w:tc>
        <w:tc>
          <w:tcPr>
            <w:tcW w:w="3129" w:type="pct"/>
            <w:tcMar>
              <w:top w:w="28" w:type="dxa"/>
              <w:left w:w="85" w:type="dxa"/>
              <w:bottom w:w="28" w:type="dxa"/>
              <w:right w:w="28" w:type="dxa"/>
            </w:tcMar>
          </w:tcPr>
          <w:p w14:paraId="7DCF124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na pasie drogi startowej</w:t>
            </w:r>
          </w:p>
        </w:tc>
        <w:tc>
          <w:tcPr>
            <w:tcW w:w="1013" w:type="pct"/>
            <w:tcMar>
              <w:top w:w="28" w:type="dxa"/>
              <w:left w:w="85" w:type="dxa"/>
              <w:bottom w:w="28" w:type="dxa"/>
              <w:right w:w="28" w:type="dxa"/>
            </w:tcMar>
          </w:tcPr>
          <w:p w14:paraId="0BFE0FC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26A4330" w14:textId="77777777" w:rsidTr="00CA0AA3">
        <w:tc>
          <w:tcPr>
            <w:tcW w:w="858" w:type="pct"/>
            <w:tcMar>
              <w:top w:w="28" w:type="dxa"/>
              <w:left w:w="85" w:type="dxa"/>
              <w:bottom w:w="28" w:type="dxa"/>
              <w:right w:w="28" w:type="dxa"/>
            </w:tcMar>
          </w:tcPr>
          <w:p w14:paraId="599035A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ADR-DSN.B.175 </w:t>
            </w:r>
          </w:p>
        </w:tc>
        <w:tc>
          <w:tcPr>
            <w:tcW w:w="3129" w:type="pct"/>
            <w:tcMar>
              <w:top w:w="28" w:type="dxa"/>
              <w:left w:w="85" w:type="dxa"/>
              <w:bottom w:w="28" w:type="dxa"/>
              <w:right w:w="28" w:type="dxa"/>
            </w:tcMar>
          </w:tcPr>
          <w:p w14:paraId="0C674C8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Wyrównanie pasa drogi startowej </w:t>
            </w:r>
          </w:p>
        </w:tc>
        <w:tc>
          <w:tcPr>
            <w:tcW w:w="1013" w:type="pct"/>
            <w:tcMar>
              <w:top w:w="28" w:type="dxa"/>
              <w:left w:w="85" w:type="dxa"/>
              <w:bottom w:w="28" w:type="dxa"/>
              <w:right w:w="28" w:type="dxa"/>
            </w:tcMar>
          </w:tcPr>
          <w:p w14:paraId="71EF3FA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CEE8F1A" w14:textId="77777777" w:rsidTr="00CA0AA3">
        <w:tc>
          <w:tcPr>
            <w:tcW w:w="858" w:type="pct"/>
            <w:tcMar>
              <w:top w:w="28" w:type="dxa"/>
              <w:left w:w="85" w:type="dxa"/>
              <w:bottom w:w="28" w:type="dxa"/>
              <w:right w:w="28" w:type="dxa"/>
            </w:tcMar>
          </w:tcPr>
          <w:p w14:paraId="41A0479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ADR-DSN.B.180 </w:t>
            </w:r>
          </w:p>
        </w:tc>
        <w:tc>
          <w:tcPr>
            <w:tcW w:w="3129" w:type="pct"/>
            <w:tcMar>
              <w:top w:w="28" w:type="dxa"/>
              <w:left w:w="85" w:type="dxa"/>
              <w:bottom w:w="28" w:type="dxa"/>
              <w:right w:w="28" w:type="dxa"/>
            </w:tcMar>
          </w:tcPr>
          <w:p w14:paraId="3CE7BD8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podłużne pasa drogi startowej.</w:t>
            </w:r>
          </w:p>
        </w:tc>
        <w:tc>
          <w:tcPr>
            <w:tcW w:w="1013" w:type="pct"/>
            <w:tcMar>
              <w:top w:w="28" w:type="dxa"/>
              <w:left w:w="85" w:type="dxa"/>
              <w:bottom w:w="28" w:type="dxa"/>
              <w:right w:w="28" w:type="dxa"/>
            </w:tcMar>
          </w:tcPr>
          <w:p w14:paraId="215DF78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DC1E9E3" w14:textId="77777777" w:rsidTr="00CA0AA3">
        <w:tc>
          <w:tcPr>
            <w:tcW w:w="858" w:type="pct"/>
            <w:tcMar>
              <w:top w:w="28" w:type="dxa"/>
              <w:left w:w="85" w:type="dxa"/>
              <w:bottom w:w="28" w:type="dxa"/>
              <w:right w:w="28" w:type="dxa"/>
            </w:tcMar>
          </w:tcPr>
          <w:p w14:paraId="56F498B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ADR-DSN.B.190 </w:t>
            </w:r>
          </w:p>
        </w:tc>
        <w:tc>
          <w:tcPr>
            <w:tcW w:w="3129" w:type="pct"/>
            <w:tcMar>
              <w:top w:w="28" w:type="dxa"/>
              <w:left w:w="85" w:type="dxa"/>
              <w:bottom w:w="28" w:type="dxa"/>
              <w:right w:w="28" w:type="dxa"/>
            </w:tcMar>
          </w:tcPr>
          <w:p w14:paraId="0094384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pasa drogi startowej</w:t>
            </w:r>
          </w:p>
        </w:tc>
        <w:tc>
          <w:tcPr>
            <w:tcW w:w="1013" w:type="pct"/>
            <w:tcMar>
              <w:top w:w="28" w:type="dxa"/>
              <w:left w:w="85" w:type="dxa"/>
              <w:bottom w:w="28" w:type="dxa"/>
              <w:right w:w="28" w:type="dxa"/>
            </w:tcMar>
          </w:tcPr>
          <w:p w14:paraId="5140607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14203A4" w14:textId="77777777" w:rsidTr="00CA0AA3">
        <w:tc>
          <w:tcPr>
            <w:tcW w:w="858" w:type="pct"/>
            <w:tcMar>
              <w:top w:w="28" w:type="dxa"/>
              <w:left w:w="85" w:type="dxa"/>
              <w:bottom w:w="28" w:type="dxa"/>
              <w:right w:w="28" w:type="dxa"/>
            </w:tcMar>
          </w:tcPr>
          <w:p w14:paraId="033665F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ADR-DSN.B.191 </w:t>
            </w:r>
          </w:p>
        </w:tc>
        <w:tc>
          <w:tcPr>
            <w:tcW w:w="3129" w:type="pct"/>
            <w:tcMar>
              <w:top w:w="28" w:type="dxa"/>
              <w:left w:w="85" w:type="dxa"/>
              <w:bottom w:w="28" w:type="dxa"/>
              <w:right w:w="28" w:type="dxa"/>
            </w:tcMar>
          </w:tcPr>
          <w:p w14:paraId="58F14BB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Charakterystyka odwodnienia pola ruchu naziemnego i przylegających do niego obszarów</w:t>
            </w:r>
          </w:p>
        </w:tc>
        <w:tc>
          <w:tcPr>
            <w:tcW w:w="1013" w:type="pct"/>
            <w:tcMar>
              <w:top w:w="28" w:type="dxa"/>
              <w:left w:w="85" w:type="dxa"/>
              <w:bottom w:w="28" w:type="dxa"/>
              <w:right w:w="28" w:type="dxa"/>
            </w:tcMar>
          </w:tcPr>
          <w:p w14:paraId="3BF215FB" w14:textId="64A686FA"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17D2611A" w14:textId="77777777" w:rsidTr="00CA0AA3">
        <w:tc>
          <w:tcPr>
            <w:tcW w:w="858" w:type="pct"/>
            <w:tcMar>
              <w:top w:w="28" w:type="dxa"/>
              <w:left w:w="85" w:type="dxa"/>
              <w:bottom w:w="28" w:type="dxa"/>
              <w:right w:w="28" w:type="dxa"/>
            </w:tcMar>
          </w:tcPr>
          <w:p w14:paraId="6C92930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ADR-DSN.B.200 </w:t>
            </w:r>
          </w:p>
        </w:tc>
        <w:tc>
          <w:tcPr>
            <w:tcW w:w="3129" w:type="pct"/>
            <w:tcMar>
              <w:top w:w="28" w:type="dxa"/>
              <w:left w:w="85" w:type="dxa"/>
              <w:bottom w:w="28" w:type="dxa"/>
              <w:right w:w="28" w:type="dxa"/>
            </w:tcMar>
          </w:tcPr>
          <w:p w14:paraId="4E1F555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Zabezpieczenie przerwanego startu</w:t>
            </w:r>
          </w:p>
        </w:tc>
        <w:tc>
          <w:tcPr>
            <w:tcW w:w="1013" w:type="pct"/>
            <w:tcMar>
              <w:top w:w="28" w:type="dxa"/>
              <w:left w:w="85" w:type="dxa"/>
              <w:bottom w:w="28" w:type="dxa"/>
              <w:right w:w="28" w:type="dxa"/>
            </w:tcMar>
          </w:tcPr>
          <w:p w14:paraId="23192CA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6AEC9D6" w14:textId="77777777" w:rsidTr="00CA0AA3">
        <w:tc>
          <w:tcPr>
            <w:tcW w:w="858" w:type="pct"/>
            <w:tcMar>
              <w:top w:w="28" w:type="dxa"/>
              <w:left w:w="85" w:type="dxa"/>
              <w:bottom w:w="28" w:type="dxa"/>
              <w:right w:w="28" w:type="dxa"/>
            </w:tcMar>
          </w:tcPr>
          <w:p w14:paraId="7CE3EDE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ADR-DSN.B.205 </w:t>
            </w:r>
          </w:p>
        </w:tc>
        <w:tc>
          <w:tcPr>
            <w:tcW w:w="3129" w:type="pct"/>
            <w:tcMar>
              <w:top w:w="28" w:type="dxa"/>
              <w:left w:w="85" w:type="dxa"/>
              <w:bottom w:w="28" w:type="dxa"/>
              <w:right w:w="28" w:type="dxa"/>
            </w:tcMar>
          </w:tcPr>
          <w:p w14:paraId="4F2A670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Strefa operacyjna radiowysokościomierza</w:t>
            </w:r>
          </w:p>
        </w:tc>
        <w:tc>
          <w:tcPr>
            <w:tcW w:w="1013" w:type="pct"/>
            <w:tcMar>
              <w:top w:w="28" w:type="dxa"/>
              <w:left w:w="85" w:type="dxa"/>
              <w:bottom w:w="28" w:type="dxa"/>
              <w:right w:w="28" w:type="dxa"/>
            </w:tcMar>
          </w:tcPr>
          <w:p w14:paraId="28BF1C5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E093AF9" w14:textId="77777777" w:rsidTr="00CA0AA3">
        <w:tc>
          <w:tcPr>
            <w:tcW w:w="858" w:type="pct"/>
            <w:tcMar>
              <w:top w:w="28" w:type="dxa"/>
              <w:left w:w="85" w:type="dxa"/>
              <w:bottom w:w="28" w:type="dxa"/>
              <w:right w:w="28" w:type="dxa"/>
            </w:tcMar>
          </w:tcPr>
          <w:p w14:paraId="3A81F23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ADR-DSN.C.210 </w:t>
            </w:r>
          </w:p>
        </w:tc>
        <w:tc>
          <w:tcPr>
            <w:tcW w:w="3129" w:type="pct"/>
            <w:tcMar>
              <w:top w:w="28" w:type="dxa"/>
              <w:left w:w="85" w:type="dxa"/>
              <w:bottom w:w="28" w:type="dxa"/>
              <w:right w:w="28" w:type="dxa"/>
            </w:tcMar>
          </w:tcPr>
          <w:p w14:paraId="263692F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Strefa bezpieczeństwa końca drogi startowej (RESA)</w:t>
            </w:r>
          </w:p>
        </w:tc>
        <w:tc>
          <w:tcPr>
            <w:tcW w:w="1013" w:type="pct"/>
            <w:tcMar>
              <w:top w:w="28" w:type="dxa"/>
              <w:left w:w="85" w:type="dxa"/>
              <w:bottom w:w="28" w:type="dxa"/>
              <w:right w:w="28" w:type="dxa"/>
            </w:tcMar>
          </w:tcPr>
          <w:p w14:paraId="16B08C7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AAFC0EF" w14:textId="77777777" w:rsidTr="00CA0AA3">
        <w:tc>
          <w:tcPr>
            <w:tcW w:w="858" w:type="pct"/>
            <w:tcMar>
              <w:top w:w="28" w:type="dxa"/>
              <w:left w:w="85" w:type="dxa"/>
              <w:bottom w:w="28" w:type="dxa"/>
              <w:right w:w="28" w:type="dxa"/>
            </w:tcMar>
          </w:tcPr>
          <w:p w14:paraId="13282D7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ADR-DSN.C.225 </w:t>
            </w:r>
          </w:p>
        </w:tc>
        <w:tc>
          <w:tcPr>
            <w:tcW w:w="3129" w:type="pct"/>
            <w:tcMar>
              <w:top w:w="28" w:type="dxa"/>
              <w:left w:w="85" w:type="dxa"/>
              <w:bottom w:w="28" w:type="dxa"/>
              <w:right w:w="28" w:type="dxa"/>
            </w:tcMar>
          </w:tcPr>
          <w:p w14:paraId="0764DAE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Uprzątnięcie i wyrównanie strefy bezpieczeństwa końca drogi startowej</w:t>
            </w:r>
          </w:p>
        </w:tc>
        <w:tc>
          <w:tcPr>
            <w:tcW w:w="1013" w:type="pct"/>
            <w:tcMar>
              <w:top w:w="28" w:type="dxa"/>
              <w:left w:w="85" w:type="dxa"/>
              <w:bottom w:w="28" w:type="dxa"/>
              <w:right w:w="28" w:type="dxa"/>
            </w:tcMar>
          </w:tcPr>
          <w:p w14:paraId="432E1A3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AB8D4F1" w14:textId="77777777" w:rsidTr="00CA0AA3">
        <w:tc>
          <w:tcPr>
            <w:tcW w:w="858" w:type="pct"/>
            <w:tcMar>
              <w:top w:w="28" w:type="dxa"/>
              <w:left w:w="85" w:type="dxa"/>
              <w:bottom w:w="28" w:type="dxa"/>
              <w:right w:w="28" w:type="dxa"/>
            </w:tcMar>
          </w:tcPr>
          <w:p w14:paraId="238989B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ADR-DSN.C.235 </w:t>
            </w:r>
          </w:p>
        </w:tc>
        <w:tc>
          <w:tcPr>
            <w:tcW w:w="3129" w:type="pct"/>
            <w:tcMar>
              <w:top w:w="28" w:type="dxa"/>
              <w:left w:w="85" w:type="dxa"/>
              <w:bottom w:w="28" w:type="dxa"/>
              <w:right w:w="28" w:type="dxa"/>
            </w:tcMar>
          </w:tcPr>
          <w:p w14:paraId="6E73D7E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strefy bezpieczeństwa końca drogi startowej</w:t>
            </w:r>
          </w:p>
        </w:tc>
        <w:tc>
          <w:tcPr>
            <w:tcW w:w="1013" w:type="pct"/>
            <w:tcMar>
              <w:top w:w="28" w:type="dxa"/>
              <w:left w:w="85" w:type="dxa"/>
              <w:bottom w:w="28" w:type="dxa"/>
              <w:right w:w="28" w:type="dxa"/>
            </w:tcMar>
          </w:tcPr>
          <w:p w14:paraId="6D2E0D1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8673117" w14:textId="77777777" w:rsidTr="00CA0AA3">
        <w:tc>
          <w:tcPr>
            <w:tcW w:w="858" w:type="pct"/>
            <w:tcMar>
              <w:top w:w="28" w:type="dxa"/>
              <w:left w:w="85" w:type="dxa"/>
              <w:bottom w:w="28" w:type="dxa"/>
              <w:right w:w="28" w:type="dxa"/>
            </w:tcMar>
          </w:tcPr>
          <w:p w14:paraId="3FCDF43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ADR-DSN.D.240 </w:t>
            </w:r>
          </w:p>
        </w:tc>
        <w:tc>
          <w:tcPr>
            <w:tcW w:w="3129" w:type="pct"/>
            <w:tcMar>
              <w:top w:w="28" w:type="dxa"/>
              <w:left w:w="85" w:type="dxa"/>
              <w:bottom w:w="28" w:type="dxa"/>
              <w:right w:w="28" w:type="dxa"/>
            </w:tcMar>
          </w:tcPr>
          <w:p w14:paraId="5B1E096A" w14:textId="66F49AB2"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Drogi kołowania – </w:t>
            </w:r>
            <w:r w:rsidR="009B0A08" w:rsidRPr="009E064B">
              <w:rPr>
                <w:rFonts w:asciiTheme="minorHAnsi" w:hAnsiTheme="minorHAnsi" w:cstheme="minorHAnsi"/>
                <w:sz w:val="16"/>
                <w:szCs w:val="16"/>
              </w:rPr>
              <w:t>Wymagania ogólne</w:t>
            </w:r>
          </w:p>
        </w:tc>
        <w:tc>
          <w:tcPr>
            <w:tcW w:w="1013" w:type="pct"/>
            <w:tcMar>
              <w:top w:w="28" w:type="dxa"/>
              <w:left w:w="85" w:type="dxa"/>
              <w:bottom w:w="28" w:type="dxa"/>
              <w:right w:w="28" w:type="dxa"/>
            </w:tcMar>
          </w:tcPr>
          <w:p w14:paraId="2A5C0CE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688CFFE" w14:textId="77777777" w:rsidTr="00CA0AA3">
        <w:tc>
          <w:tcPr>
            <w:tcW w:w="858" w:type="pct"/>
            <w:tcMar>
              <w:top w:w="28" w:type="dxa"/>
              <w:left w:w="85" w:type="dxa"/>
              <w:bottom w:w="28" w:type="dxa"/>
              <w:right w:w="28" w:type="dxa"/>
            </w:tcMar>
          </w:tcPr>
          <w:p w14:paraId="19D303E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ADR-DSN.D.250 </w:t>
            </w:r>
          </w:p>
        </w:tc>
        <w:tc>
          <w:tcPr>
            <w:tcW w:w="3129" w:type="pct"/>
            <w:tcMar>
              <w:top w:w="28" w:type="dxa"/>
              <w:left w:w="85" w:type="dxa"/>
              <w:bottom w:w="28" w:type="dxa"/>
              <w:right w:w="28" w:type="dxa"/>
            </w:tcMar>
          </w:tcPr>
          <w:p w14:paraId="4F4A099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Łuki na drodze kołowania</w:t>
            </w:r>
          </w:p>
        </w:tc>
        <w:tc>
          <w:tcPr>
            <w:tcW w:w="1013" w:type="pct"/>
            <w:tcMar>
              <w:top w:w="28" w:type="dxa"/>
              <w:left w:w="85" w:type="dxa"/>
              <w:bottom w:w="28" w:type="dxa"/>
              <w:right w:w="28" w:type="dxa"/>
            </w:tcMar>
          </w:tcPr>
          <w:p w14:paraId="665DC62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2A3D658" w14:textId="77777777" w:rsidTr="00CA0AA3">
        <w:tc>
          <w:tcPr>
            <w:tcW w:w="858" w:type="pct"/>
            <w:tcMar>
              <w:top w:w="28" w:type="dxa"/>
              <w:left w:w="85" w:type="dxa"/>
              <w:bottom w:w="28" w:type="dxa"/>
              <w:right w:w="28" w:type="dxa"/>
            </w:tcMar>
          </w:tcPr>
          <w:p w14:paraId="39A011B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ADR-DSN.D.255 </w:t>
            </w:r>
          </w:p>
        </w:tc>
        <w:tc>
          <w:tcPr>
            <w:tcW w:w="3129" w:type="pct"/>
            <w:tcMar>
              <w:top w:w="28" w:type="dxa"/>
              <w:left w:w="85" w:type="dxa"/>
              <w:bottom w:w="28" w:type="dxa"/>
              <w:right w:w="28" w:type="dxa"/>
            </w:tcMar>
          </w:tcPr>
          <w:p w14:paraId="4CD4C6D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Połączenia i skrzyżowania dróg kołowania</w:t>
            </w:r>
          </w:p>
        </w:tc>
        <w:tc>
          <w:tcPr>
            <w:tcW w:w="1013" w:type="pct"/>
            <w:tcMar>
              <w:top w:w="28" w:type="dxa"/>
              <w:left w:w="85" w:type="dxa"/>
              <w:bottom w:w="28" w:type="dxa"/>
              <w:right w:w="28" w:type="dxa"/>
            </w:tcMar>
          </w:tcPr>
          <w:p w14:paraId="19DDF24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D864184" w14:textId="77777777" w:rsidTr="00CA0AA3">
        <w:tc>
          <w:tcPr>
            <w:tcW w:w="858" w:type="pct"/>
            <w:tcMar>
              <w:top w:w="28" w:type="dxa"/>
              <w:left w:w="85" w:type="dxa"/>
              <w:bottom w:w="28" w:type="dxa"/>
              <w:right w:w="28" w:type="dxa"/>
            </w:tcMar>
          </w:tcPr>
          <w:p w14:paraId="1262DE4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ADR-DSN.D.260 </w:t>
            </w:r>
          </w:p>
        </w:tc>
        <w:tc>
          <w:tcPr>
            <w:tcW w:w="3129" w:type="pct"/>
            <w:tcMar>
              <w:top w:w="28" w:type="dxa"/>
              <w:left w:w="85" w:type="dxa"/>
              <w:bottom w:w="28" w:type="dxa"/>
              <w:right w:w="28" w:type="dxa"/>
            </w:tcMar>
          </w:tcPr>
          <w:p w14:paraId="75F67B2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Minimalne odległości separacji na drogach kołowania</w:t>
            </w:r>
          </w:p>
        </w:tc>
        <w:tc>
          <w:tcPr>
            <w:tcW w:w="1013" w:type="pct"/>
            <w:tcMar>
              <w:top w:w="28" w:type="dxa"/>
              <w:left w:w="85" w:type="dxa"/>
              <w:bottom w:w="28" w:type="dxa"/>
              <w:right w:w="28" w:type="dxa"/>
            </w:tcMar>
          </w:tcPr>
          <w:p w14:paraId="0BDF387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4EB6614" w14:textId="77777777" w:rsidTr="00CA0AA3">
        <w:tc>
          <w:tcPr>
            <w:tcW w:w="858" w:type="pct"/>
            <w:tcMar>
              <w:top w:w="28" w:type="dxa"/>
              <w:left w:w="85" w:type="dxa"/>
              <w:bottom w:w="28" w:type="dxa"/>
              <w:right w:w="28" w:type="dxa"/>
            </w:tcMar>
          </w:tcPr>
          <w:p w14:paraId="728C2A5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ADR-DSN.D.285 </w:t>
            </w:r>
          </w:p>
        </w:tc>
        <w:tc>
          <w:tcPr>
            <w:tcW w:w="3129" w:type="pct"/>
            <w:tcMar>
              <w:top w:w="28" w:type="dxa"/>
              <w:left w:w="85" w:type="dxa"/>
              <w:bottom w:w="28" w:type="dxa"/>
              <w:right w:w="28" w:type="dxa"/>
            </w:tcMar>
          </w:tcPr>
          <w:p w14:paraId="064106B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Nośność drogi kołowania</w:t>
            </w:r>
          </w:p>
        </w:tc>
        <w:tc>
          <w:tcPr>
            <w:tcW w:w="1013" w:type="pct"/>
            <w:tcMar>
              <w:top w:w="28" w:type="dxa"/>
              <w:left w:w="85" w:type="dxa"/>
              <w:bottom w:w="28" w:type="dxa"/>
              <w:right w:w="28" w:type="dxa"/>
            </w:tcMar>
          </w:tcPr>
          <w:p w14:paraId="07ABCD3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C00D409" w14:textId="77777777" w:rsidTr="00CA0AA3">
        <w:tc>
          <w:tcPr>
            <w:tcW w:w="858" w:type="pct"/>
            <w:tcMar>
              <w:top w:w="28" w:type="dxa"/>
              <w:left w:w="85" w:type="dxa"/>
              <w:bottom w:w="28" w:type="dxa"/>
              <w:right w:w="28" w:type="dxa"/>
            </w:tcMar>
          </w:tcPr>
          <w:p w14:paraId="35B7FD9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ADR-DSN.D.290 </w:t>
            </w:r>
          </w:p>
        </w:tc>
        <w:tc>
          <w:tcPr>
            <w:tcW w:w="3129" w:type="pct"/>
            <w:tcMar>
              <w:top w:w="28" w:type="dxa"/>
              <w:left w:w="85" w:type="dxa"/>
              <w:bottom w:w="28" w:type="dxa"/>
              <w:right w:w="28" w:type="dxa"/>
            </w:tcMar>
          </w:tcPr>
          <w:p w14:paraId="6E8821A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drogi kołowania</w:t>
            </w:r>
          </w:p>
        </w:tc>
        <w:tc>
          <w:tcPr>
            <w:tcW w:w="1013" w:type="pct"/>
            <w:tcMar>
              <w:top w:w="28" w:type="dxa"/>
              <w:left w:w="85" w:type="dxa"/>
              <w:bottom w:w="28" w:type="dxa"/>
              <w:right w:w="28" w:type="dxa"/>
            </w:tcMar>
          </w:tcPr>
          <w:p w14:paraId="77810745" w14:textId="66B82287"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6323441F" w14:textId="77777777" w:rsidTr="00CA0AA3">
        <w:tc>
          <w:tcPr>
            <w:tcW w:w="858" w:type="pct"/>
            <w:tcMar>
              <w:top w:w="28" w:type="dxa"/>
              <w:left w:w="85" w:type="dxa"/>
              <w:bottom w:w="28" w:type="dxa"/>
              <w:right w:w="28" w:type="dxa"/>
            </w:tcMar>
          </w:tcPr>
          <w:p w14:paraId="36D31B6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ADR-DSN.D.295 </w:t>
            </w:r>
          </w:p>
        </w:tc>
        <w:tc>
          <w:tcPr>
            <w:tcW w:w="3129" w:type="pct"/>
            <w:tcMar>
              <w:top w:w="28" w:type="dxa"/>
              <w:left w:w="85" w:type="dxa"/>
              <w:bottom w:w="28" w:type="dxa"/>
              <w:right w:w="28" w:type="dxa"/>
            </w:tcMar>
          </w:tcPr>
          <w:p w14:paraId="5BCE6EB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Droga kołowania szybkiego zjazdu</w:t>
            </w:r>
          </w:p>
        </w:tc>
        <w:tc>
          <w:tcPr>
            <w:tcW w:w="1013" w:type="pct"/>
            <w:tcMar>
              <w:top w:w="28" w:type="dxa"/>
              <w:left w:w="85" w:type="dxa"/>
              <w:bottom w:w="28" w:type="dxa"/>
              <w:right w:w="28" w:type="dxa"/>
            </w:tcMar>
          </w:tcPr>
          <w:p w14:paraId="1979725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49D6928" w14:textId="77777777" w:rsidTr="00CA0AA3">
        <w:tc>
          <w:tcPr>
            <w:tcW w:w="858" w:type="pct"/>
            <w:tcMar>
              <w:top w:w="28" w:type="dxa"/>
              <w:left w:w="85" w:type="dxa"/>
              <w:bottom w:w="28" w:type="dxa"/>
              <w:right w:w="28" w:type="dxa"/>
            </w:tcMar>
          </w:tcPr>
          <w:p w14:paraId="5AF94A0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ADR-DSN.D.305 </w:t>
            </w:r>
          </w:p>
        </w:tc>
        <w:tc>
          <w:tcPr>
            <w:tcW w:w="3129" w:type="pct"/>
            <w:tcMar>
              <w:top w:w="28" w:type="dxa"/>
              <w:left w:w="85" w:type="dxa"/>
              <w:bottom w:w="28" w:type="dxa"/>
              <w:right w:w="28" w:type="dxa"/>
            </w:tcMar>
          </w:tcPr>
          <w:p w14:paraId="2899D68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Pobocza drogi kołowania</w:t>
            </w:r>
          </w:p>
        </w:tc>
        <w:tc>
          <w:tcPr>
            <w:tcW w:w="1013" w:type="pct"/>
            <w:tcMar>
              <w:top w:w="28" w:type="dxa"/>
              <w:left w:w="85" w:type="dxa"/>
              <w:bottom w:w="28" w:type="dxa"/>
              <w:right w:w="28" w:type="dxa"/>
            </w:tcMar>
          </w:tcPr>
          <w:p w14:paraId="30C870D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6E31716" w14:textId="77777777" w:rsidTr="00CA0AA3">
        <w:tc>
          <w:tcPr>
            <w:tcW w:w="858" w:type="pct"/>
            <w:tcMar>
              <w:top w:w="28" w:type="dxa"/>
              <w:left w:w="85" w:type="dxa"/>
              <w:bottom w:w="28" w:type="dxa"/>
              <w:right w:w="28" w:type="dxa"/>
            </w:tcMar>
          </w:tcPr>
          <w:p w14:paraId="75D7EBD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ADR-DSN.D.310 </w:t>
            </w:r>
          </w:p>
        </w:tc>
        <w:tc>
          <w:tcPr>
            <w:tcW w:w="3129" w:type="pct"/>
            <w:tcMar>
              <w:top w:w="28" w:type="dxa"/>
              <w:left w:w="85" w:type="dxa"/>
              <w:bottom w:w="28" w:type="dxa"/>
              <w:right w:w="28" w:type="dxa"/>
            </w:tcMar>
          </w:tcPr>
          <w:p w14:paraId="777F557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Pas drogi kołowania</w:t>
            </w:r>
          </w:p>
        </w:tc>
        <w:tc>
          <w:tcPr>
            <w:tcW w:w="1013" w:type="pct"/>
            <w:tcMar>
              <w:top w:w="28" w:type="dxa"/>
              <w:left w:w="85" w:type="dxa"/>
              <w:bottom w:w="28" w:type="dxa"/>
              <w:right w:w="28" w:type="dxa"/>
            </w:tcMar>
          </w:tcPr>
          <w:p w14:paraId="6AFDD50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FF71E81" w14:textId="77777777" w:rsidTr="00CA0AA3">
        <w:tc>
          <w:tcPr>
            <w:tcW w:w="858" w:type="pct"/>
            <w:tcMar>
              <w:top w:w="28" w:type="dxa"/>
              <w:left w:w="85" w:type="dxa"/>
              <w:bottom w:w="28" w:type="dxa"/>
              <w:right w:w="28" w:type="dxa"/>
            </w:tcMar>
          </w:tcPr>
          <w:p w14:paraId="70F965D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ADR-DSN.D.335 </w:t>
            </w:r>
          </w:p>
        </w:tc>
        <w:tc>
          <w:tcPr>
            <w:tcW w:w="3129" w:type="pct"/>
            <w:tcMar>
              <w:top w:w="28" w:type="dxa"/>
              <w:left w:w="85" w:type="dxa"/>
              <w:bottom w:w="28" w:type="dxa"/>
              <w:right w:w="28" w:type="dxa"/>
            </w:tcMar>
          </w:tcPr>
          <w:p w14:paraId="2AC56B9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Zatoki oczekiwania, miejsca oczekiwania przed drogą startową, pośrednie miejsca oczekiwania, miejsca oczekiwania na drodze ruchu kołowego</w:t>
            </w:r>
          </w:p>
        </w:tc>
        <w:tc>
          <w:tcPr>
            <w:tcW w:w="1013" w:type="pct"/>
            <w:tcMar>
              <w:top w:w="28" w:type="dxa"/>
              <w:left w:w="85" w:type="dxa"/>
              <w:bottom w:w="28" w:type="dxa"/>
              <w:right w:w="28" w:type="dxa"/>
            </w:tcMar>
          </w:tcPr>
          <w:p w14:paraId="72BE0C9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C49DDAC" w14:textId="77777777" w:rsidTr="00CA0AA3">
        <w:tc>
          <w:tcPr>
            <w:tcW w:w="858" w:type="pct"/>
            <w:tcMar>
              <w:top w:w="28" w:type="dxa"/>
              <w:left w:w="85" w:type="dxa"/>
              <w:bottom w:w="28" w:type="dxa"/>
              <w:right w:w="28" w:type="dxa"/>
            </w:tcMar>
          </w:tcPr>
          <w:p w14:paraId="465A26A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ADR-DSN.D.340 </w:t>
            </w:r>
          </w:p>
        </w:tc>
        <w:tc>
          <w:tcPr>
            <w:tcW w:w="3129" w:type="pct"/>
            <w:tcMar>
              <w:top w:w="28" w:type="dxa"/>
              <w:left w:w="85" w:type="dxa"/>
              <w:bottom w:w="28" w:type="dxa"/>
              <w:right w:w="28" w:type="dxa"/>
            </w:tcMar>
          </w:tcPr>
          <w:p w14:paraId="0B8AF01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Lokalizacja zatok oczekiwania, miejsc oczekiwania przed drogą startową, pośrednich miejsc oczekiwania oraz miejsc oczekiwania na drodze ruchu kołowego</w:t>
            </w:r>
          </w:p>
        </w:tc>
        <w:tc>
          <w:tcPr>
            <w:tcW w:w="1013" w:type="pct"/>
            <w:tcMar>
              <w:top w:w="28" w:type="dxa"/>
              <w:left w:w="85" w:type="dxa"/>
              <w:bottom w:w="28" w:type="dxa"/>
              <w:right w:w="28" w:type="dxa"/>
            </w:tcMar>
          </w:tcPr>
          <w:p w14:paraId="6C29D7D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6CA9A12" w14:textId="77777777" w:rsidTr="00CA0AA3">
        <w:tc>
          <w:tcPr>
            <w:tcW w:w="858" w:type="pct"/>
            <w:tcMar>
              <w:top w:w="28" w:type="dxa"/>
              <w:left w:w="85" w:type="dxa"/>
              <w:bottom w:w="28" w:type="dxa"/>
              <w:right w:w="28" w:type="dxa"/>
            </w:tcMar>
          </w:tcPr>
          <w:p w14:paraId="58C9DA7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ADR-DSN.E.350 </w:t>
            </w:r>
          </w:p>
        </w:tc>
        <w:tc>
          <w:tcPr>
            <w:tcW w:w="3129" w:type="pct"/>
            <w:tcMar>
              <w:top w:w="28" w:type="dxa"/>
              <w:left w:w="85" w:type="dxa"/>
              <w:bottom w:w="28" w:type="dxa"/>
              <w:right w:w="28" w:type="dxa"/>
            </w:tcMar>
          </w:tcPr>
          <w:p w14:paraId="52CFC06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Wielkość płyt postojowych </w:t>
            </w:r>
          </w:p>
        </w:tc>
        <w:tc>
          <w:tcPr>
            <w:tcW w:w="1013" w:type="pct"/>
            <w:tcMar>
              <w:top w:w="28" w:type="dxa"/>
              <w:left w:w="85" w:type="dxa"/>
              <w:bottom w:w="28" w:type="dxa"/>
              <w:right w:w="28" w:type="dxa"/>
            </w:tcMar>
          </w:tcPr>
          <w:p w14:paraId="07161FB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6279955" w14:textId="77777777" w:rsidTr="00CA0AA3">
        <w:tc>
          <w:tcPr>
            <w:tcW w:w="858" w:type="pct"/>
            <w:tcMar>
              <w:top w:w="28" w:type="dxa"/>
              <w:left w:w="85" w:type="dxa"/>
              <w:bottom w:w="28" w:type="dxa"/>
              <w:right w:w="28" w:type="dxa"/>
            </w:tcMar>
          </w:tcPr>
          <w:p w14:paraId="55859D6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GM1 ADR-DSN.E.360</w:t>
            </w:r>
          </w:p>
        </w:tc>
        <w:tc>
          <w:tcPr>
            <w:tcW w:w="3129" w:type="pct"/>
            <w:tcMar>
              <w:top w:w="28" w:type="dxa"/>
              <w:left w:w="85" w:type="dxa"/>
              <w:bottom w:w="28" w:type="dxa"/>
              <w:right w:w="28" w:type="dxa"/>
            </w:tcMar>
          </w:tcPr>
          <w:p w14:paraId="01F42B7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Nachylenia płyty postojowej</w:t>
            </w:r>
          </w:p>
        </w:tc>
        <w:tc>
          <w:tcPr>
            <w:tcW w:w="1013" w:type="pct"/>
            <w:tcMar>
              <w:top w:w="28" w:type="dxa"/>
              <w:left w:w="85" w:type="dxa"/>
              <w:bottom w:w="28" w:type="dxa"/>
              <w:right w:w="28" w:type="dxa"/>
            </w:tcMar>
          </w:tcPr>
          <w:p w14:paraId="0F3382A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C560EEF" w14:textId="77777777" w:rsidTr="00CA0AA3">
        <w:tc>
          <w:tcPr>
            <w:tcW w:w="858" w:type="pct"/>
            <w:tcMar>
              <w:top w:w="28" w:type="dxa"/>
              <w:left w:w="85" w:type="dxa"/>
              <w:bottom w:w="28" w:type="dxa"/>
              <w:right w:w="28" w:type="dxa"/>
            </w:tcMar>
          </w:tcPr>
          <w:p w14:paraId="783234D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ADR-DSN.E.365 </w:t>
            </w:r>
          </w:p>
        </w:tc>
        <w:tc>
          <w:tcPr>
            <w:tcW w:w="3129" w:type="pct"/>
            <w:tcMar>
              <w:top w:w="28" w:type="dxa"/>
              <w:left w:w="85" w:type="dxa"/>
              <w:bottom w:w="28" w:type="dxa"/>
              <w:right w:w="28" w:type="dxa"/>
            </w:tcMar>
          </w:tcPr>
          <w:p w14:paraId="3922B3B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Odległości bezpieczeństwa na stanowiskach postojowych</w:t>
            </w:r>
          </w:p>
        </w:tc>
        <w:tc>
          <w:tcPr>
            <w:tcW w:w="1013" w:type="pct"/>
            <w:tcMar>
              <w:top w:w="28" w:type="dxa"/>
              <w:left w:w="85" w:type="dxa"/>
              <w:bottom w:w="28" w:type="dxa"/>
              <w:right w:w="28" w:type="dxa"/>
            </w:tcMar>
          </w:tcPr>
          <w:p w14:paraId="03562F0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B03F431" w14:textId="77777777" w:rsidTr="00CA0AA3">
        <w:tc>
          <w:tcPr>
            <w:tcW w:w="858" w:type="pct"/>
            <w:tcMar>
              <w:top w:w="28" w:type="dxa"/>
              <w:left w:w="85" w:type="dxa"/>
              <w:bottom w:w="28" w:type="dxa"/>
              <w:right w:w="28" w:type="dxa"/>
            </w:tcMar>
          </w:tcPr>
          <w:p w14:paraId="2C87AAF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ADR-DSN.G.380 </w:t>
            </w:r>
          </w:p>
        </w:tc>
        <w:tc>
          <w:tcPr>
            <w:tcW w:w="3129" w:type="pct"/>
            <w:tcMar>
              <w:top w:w="28" w:type="dxa"/>
              <w:left w:w="85" w:type="dxa"/>
              <w:bottom w:w="28" w:type="dxa"/>
              <w:right w:w="28" w:type="dxa"/>
            </w:tcMar>
          </w:tcPr>
          <w:p w14:paraId="6BB570E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Lokalizacja</w:t>
            </w:r>
          </w:p>
        </w:tc>
        <w:tc>
          <w:tcPr>
            <w:tcW w:w="1013" w:type="pct"/>
            <w:tcMar>
              <w:top w:w="28" w:type="dxa"/>
              <w:left w:w="85" w:type="dxa"/>
              <w:bottom w:w="28" w:type="dxa"/>
              <w:right w:w="28" w:type="dxa"/>
            </w:tcMar>
          </w:tcPr>
          <w:p w14:paraId="2ABA600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36944E3" w14:textId="77777777" w:rsidTr="00CA0AA3">
        <w:tc>
          <w:tcPr>
            <w:tcW w:w="858" w:type="pct"/>
            <w:tcMar>
              <w:top w:w="28" w:type="dxa"/>
              <w:left w:w="85" w:type="dxa"/>
              <w:bottom w:w="28" w:type="dxa"/>
              <w:right w:w="28" w:type="dxa"/>
            </w:tcMar>
          </w:tcPr>
          <w:p w14:paraId="71BBE65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ADR-DSN.G.385 </w:t>
            </w:r>
          </w:p>
        </w:tc>
        <w:tc>
          <w:tcPr>
            <w:tcW w:w="3129" w:type="pct"/>
            <w:tcMar>
              <w:top w:w="28" w:type="dxa"/>
              <w:left w:w="85" w:type="dxa"/>
              <w:bottom w:w="28" w:type="dxa"/>
              <w:right w:w="28" w:type="dxa"/>
            </w:tcMar>
          </w:tcPr>
          <w:p w14:paraId="5080C96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Wielkość i liczba płaszczyzn do odladzania/przeciwdziałania oblodzeniu</w:t>
            </w:r>
          </w:p>
        </w:tc>
        <w:tc>
          <w:tcPr>
            <w:tcW w:w="1013" w:type="pct"/>
            <w:tcMar>
              <w:top w:w="28" w:type="dxa"/>
              <w:left w:w="85" w:type="dxa"/>
              <w:bottom w:w="28" w:type="dxa"/>
              <w:right w:w="28" w:type="dxa"/>
            </w:tcMar>
          </w:tcPr>
          <w:p w14:paraId="77BB9C5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49A9E82" w14:textId="77777777" w:rsidTr="00CA0AA3">
        <w:tc>
          <w:tcPr>
            <w:tcW w:w="858" w:type="pct"/>
            <w:tcMar>
              <w:top w:w="28" w:type="dxa"/>
              <w:left w:w="85" w:type="dxa"/>
              <w:bottom w:w="28" w:type="dxa"/>
              <w:right w:w="28" w:type="dxa"/>
            </w:tcMar>
          </w:tcPr>
          <w:p w14:paraId="2884BAC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ADR-DSN.H.410 </w:t>
            </w:r>
          </w:p>
        </w:tc>
        <w:tc>
          <w:tcPr>
            <w:tcW w:w="3129" w:type="pct"/>
            <w:tcMar>
              <w:top w:w="28" w:type="dxa"/>
              <w:left w:w="85" w:type="dxa"/>
              <w:bottom w:w="28" w:type="dxa"/>
              <w:right w:w="28" w:type="dxa"/>
            </w:tcMar>
          </w:tcPr>
          <w:p w14:paraId="06FDC64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pozioma zewnętrzna</w:t>
            </w:r>
          </w:p>
        </w:tc>
        <w:tc>
          <w:tcPr>
            <w:tcW w:w="1013" w:type="pct"/>
            <w:tcMar>
              <w:top w:w="28" w:type="dxa"/>
              <w:left w:w="85" w:type="dxa"/>
              <w:bottom w:w="28" w:type="dxa"/>
              <w:right w:w="28" w:type="dxa"/>
            </w:tcMar>
          </w:tcPr>
          <w:p w14:paraId="50AB3EF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B1BC270" w14:textId="77777777" w:rsidTr="00CA0AA3">
        <w:tc>
          <w:tcPr>
            <w:tcW w:w="858" w:type="pct"/>
            <w:tcMar>
              <w:top w:w="28" w:type="dxa"/>
              <w:left w:w="85" w:type="dxa"/>
              <w:bottom w:w="28" w:type="dxa"/>
              <w:right w:w="28" w:type="dxa"/>
            </w:tcMar>
          </w:tcPr>
          <w:p w14:paraId="4ABFBDD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ADR-DSN.H.420 </w:t>
            </w:r>
          </w:p>
        </w:tc>
        <w:tc>
          <w:tcPr>
            <w:tcW w:w="3129" w:type="pct"/>
            <w:tcMar>
              <w:top w:w="28" w:type="dxa"/>
              <w:left w:w="85" w:type="dxa"/>
              <w:bottom w:w="28" w:type="dxa"/>
              <w:right w:w="28" w:type="dxa"/>
            </w:tcMar>
          </w:tcPr>
          <w:p w14:paraId="38E2A81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Powierzchnia pozioma wewnętrzna.</w:t>
            </w:r>
          </w:p>
        </w:tc>
        <w:tc>
          <w:tcPr>
            <w:tcW w:w="1013" w:type="pct"/>
            <w:tcMar>
              <w:top w:w="28" w:type="dxa"/>
              <w:left w:w="85" w:type="dxa"/>
              <w:bottom w:w="28" w:type="dxa"/>
              <w:right w:w="28" w:type="dxa"/>
            </w:tcMar>
          </w:tcPr>
          <w:p w14:paraId="6A56482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128C2F5" w14:textId="77777777" w:rsidTr="00CA0AA3">
        <w:tc>
          <w:tcPr>
            <w:tcW w:w="858" w:type="pct"/>
            <w:tcMar>
              <w:top w:w="28" w:type="dxa"/>
              <w:left w:w="85" w:type="dxa"/>
              <w:bottom w:w="28" w:type="dxa"/>
              <w:right w:w="28" w:type="dxa"/>
            </w:tcMar>
          </w:tcPr>
          <w:p w14:paraId="42FEFF3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ADR-DSN.H.440 </w:t>
            </w:r>
          </w:p>
        </w:tc>
        <w:tc>
          <w:tcPr>
            <w:tcW w:w="3129" w:type="pct"/>
            <w:tcMar>
              <w:top w:w="28" w:type="dxa"/>
              <w:left w:w="85" w:type="dxa"/>
              <w:bottom w:w="28" w:type="dxa"/>
              <w:right w:w="28" w:type="dxa"/>
            </w:tcMar>
          </w:tcPr>
          <w:p w14:paraId="4B924B48" w14:textId="1D670AE9" w:rsidR="00F46D4B" w:rsidRPr="009E064B" w:rsidRDefault="0095494E"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w:t>
            </w:r>
            <w:r w:rsidR="00F46D4B" w:rsidRPr="009E064B">
              <w:rPr>
                <w:rFonts w:asciiTheme="minorHAnsi" w:hAnsiTheme="minorHAnsi" w:cstheme="minorHAnsi"/>
                <w:sz w:val="16"/>
                <w:szCs w:val="16"/>
              </w:rPr>
              <w:t>brócona powierzchnia wznoszenia przy starcie</w:t>
            </w:r>
          </w:p>
        </w:tc>
        <w:tc>
          <w:tcPr>
            <w:tcW w:w="1013" w:type="pct"/>
            <w:tcMar>
              <w:top w:w="28" w:type="dxa"/>
              <w:left w:w="85" w:type="dxa"/>
              <w:bottom w:w="28" w:type="dxa"/>
              <w:right w:w="28" w:type="dxa"/>
            </w:tcMar>
          </w:tcPr>
          <w:p w14:paraId="465EE29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03A108C" w14:textId="77777777" w:rsidTr="00CA0AA3">
        <w:tc>
          <w:tcPr>
            <w:tcW w:w="858" w:type="pct"/>
            <w:tcMar>
              <w:top w:w="28" w:type="dxa"/>
              <w:left w:w="85" w:type="dxa"/>
              <w:bottom w:w="28" w:type="dxa"/>
              <w:right w:w="28" w:type="dxa"/>
            </w:tcMar>
          </w:tcPr>
          <w:p w14:paraId="53CBF8A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ADR-DSN.H.445 </w:t>
            </w:r>
          </w:p>
        </w:tc>
        <w:tc>
          <w:tcPr>
            <w:tcW w:w="3129" w:type="pct"/>
            <w:tcMar>
              <w:top w:w="28" w:type="dxa"/>
              <w:left w:w="85" w:type="dxa"/>
              <w:bottom w:w="28" w:type="dxa"/>
              <w:right w:w="28" w:type="dxa"/>
            </w:tcMar>
          </w:tcPr>
          <w:p w14:paraId="530E519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Strefa wolna od przeszkód (OFZ)</w:t>
            </w:r>
          </w:p>
        </w:tc>
        <w:tc>
          <w:tcPr>
            <w:tcW w:w="1013" w:type="pct"/>
            <w:tcMar>
              <w:top w:w="28" w:type="dxa"/>
              <w:left w:w="85" w:type="dxa"/>
              <w:bottom w:w="28" w:type="dxa"/>
              <w:right w:w="28" w:type="dxa"/>
            </w:tcMar>
          </w:tcPr>
          <w:p w14:paraId="675C050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52494CF" w14:textId="77777777" w:rsidTr="00CA0AA3">
        <w:tc>
          <w:tcPr>
            <w:tcW w:w="858" w:type="pct"/>
            <w:tcMar>
              <w:top w:w="28" w:type="dxa"/>
              <w:left w:w="85" w:type="dxa"/>
              <w:bottom w:w="28" w:type="dxa"/>
              <w:right w:w="28" w:type="dxa"/>
            </w:tcMar>
          </w:tcPr>
          <w:p w14:paraId="5E99A26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ADR-DSN.J.470 </w:t>
            </w:r>
          </w:p>
        </w:tc>
        <w:tc>
          <w:tcPr>
            <w:tcW w:w="3129" w:type="pct"/>
            <w:tcMar>
              <w:top w:w="28" w:type="dxa"/>
              <w:left w:w="85" w:type="dxa"/>
              <w:bottom w:w="28" w:type="dxa"/>
              <w:right w:w="28" w:type="dxa"/>
            </w:tcMar>
          </w:tcPr>
          <w:p w14:paraId="46F71CB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nieprzyrządowe</w:t>
            </w:r>
          </w:p>
        </w:tc>
        <w:tc>
          <w:tcPr>
            <w:tcW w:w="1013" w:type="pct"/>
            <w:tcMar>
              <w:top w:w="28" w:type="dxa"/>
              <w:left w:w="85" w:type="dxa"/>
              <w:bottom w:w="28" w:type="dxa"/>
              <w:right w:w="28" w:type="dxa"/>
            </w:tcMar>
          </w:tcPr>
          <w:p w14:paraId="111531C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3F7FC78" w14:textId="77777777" w:rsidTr="00CA0AA3">
        <w:tc>
          <w:tcPr>
            <w:tcW w:w="858" w:type="pct"/>
            <w:tcMar>
              <w:top w:w="28" w:type="dxa"/>
              <w:left w:w="85" w:type="dxa"/>
              <w:bottom w:w="28" w:type="dxa"/>
              <w:right w:w="28" w:type="dxa"/>
            </w:tcMar>
          </w:tcPr>
          <w:p w14:paraId="176DB56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ADR-DSN.J.475 </w:t>
            </w:r>
          </w:p>
        </w:tc>
        <w:tc>
          <w:tcPr>
            <w:tcW w:w="3129" w:type="pct"/>
            <w:tcMar>
              <w:top w:w="28" w:type="dxa"/>
              <w:left w:w="85" w:type="dxa"/>
              <w:bottom w:w="28" w:type="dxa"/>
              <w:right w:w="28" w:type="dxa"/>
            </w:tcMar>
          </w:tcPr>
          <w:p w14:paraId="66D4C89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z podejściem nieprecyzyjnym</w:t>
            </w:r>
          </w:p>
        </w:tc>
        <w:tc>
          <w:tcPr>
            <w:tcW w:w="1013" w:type="pct"/>
            <w:tcMar>
              <w:top w:w="28" w:type="dxa"/>
              <w:left w:w="85" w:type="dxa"/>
              <w:bottom w:w="28" w:type="dxa"/>
              <w:right w:w="28" w:type="dxa"/>
            </w:tcMar>
          </w:tcPr>
          <w:p w14:paraId="0C2148F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03F2164" w14:textId="77777777" w:rsidTr="00CA0AA3">
        <w:tc>
          <w:tcPr>
            <w:tcW w:w="858" w:type="pct"/>
            <w:tcMar>
              <w:top w:w="28" w:type="dxa"/>
              <w:left w:w="85" w:type="dxa"/>
              <w:bottom w:w="28" w:type="dxa"/>
              <w:right w:w="28" w:type="dxa"/>
            </w:tcMar>
          </w:tcPr>
          <w:p w14:paraId="0B9D8D4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ADR-DSN.J.480 </w:t>
            </w:r>
          </w:p>
        </w:tc>
        <w:tc>
          <w:tcPr>
            <w:tcW w:w="3129" w:type="pct"/>
            <w:tcMar>
              <w:top w:w="28" w:type="dxa"/>
              <w:left w:w="85" w:type="dxa"/>
              <w:bottom w:w="28" w:type="dxa"/>
              <w:right w:w="28" w:type="dxa"/>
            </w:tcMar>
          </w:tcPr>
          <w:p w14:paraId="3641455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z podejściem precyzyjnym</w:t>
            </w:r>
          </w:p>
        </w:tc>
        <w:tc>
          <w:tcPr>
            <w:tcW w:w="1013" w:type="pct"/>
            <w:tcMar>
              <w:top w:w="28" w:type="dxa"/>
              <w:left w:w="85" w:type="dxa"/>
              <w:bottom w:w="28" w:type="dxa"/>
              <w:right w:w="28" w:type="dxa"/>
            </w:tcMar>
          </w:tcPr>
          <w:p w14:paraId="010DFA1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37682AF" w14:textId="77777777" w:rsidTr="00CA0AA3">
        <w:tc>
          <w:tcPr>
            <w:tcW w:w="858" w:type="pct"/>
            <w:tcMar>
              <w:top w:w="28" w:type="dxa"/>
              <w:left w:w="85" w:type="dxa"/>
              <w:bottom w:w="28" w:type="dxa"/>
              <w:right w:w="28" w:type="dxa"/>
            </w:tcMar>
          </w:tcPr>
          <w:p w14:paraId="60F0AA2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ADR-DSN.J.485 </w:t>
            </w:r>
          </w:p>
        </w:tc>
        <w:tc>
          <w:tcPr>
            <w:tcW w:w="3129" w:type="pct"/>
            <w:tcMar>
              <w:top w:w="28" w:type="dxa"/>
              <w:left w:w="85" w:type="dxa"/>
              <w:bottom w:w="28" w:type="dxa"/>
              <w:right w:w="28" w:type="dxa"/>
            </w:tcMar>
          </w:tcPr>
          <w:p w14:paraId="0BBD9C8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Drogi startowe przeznaczone do startów</w:t>
            </w:r>
          </w:p>
        </w:tc>
        <w:tc>
          <w:tcPr>
            <w:tcW w:w="1013" w:type="pct"/>
            <w:tcMar>
              <w:top w:w="28" w:type="dxa"/>
              <w:left w:w="85" w:type="dxa"/>
              <w:bottom w:w="28" w:type="dxa"/>
              <w:right w:w="28" w:type="dxa"/>
            </w:tcMar>
          </w:tcPr>
          <w:p w14:paraId="042B12A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604811B" w14:textId="77777777" w:rsidTr="00CA0AA3">
        <w:tc>
          <w:tcPr>
            <w:tcW w:w="858" w:type="pct"/>
            <w:tcMar>
              <w:top w:w="28" w:type="dxa"/>
              <w:left w:w="85" w:type="dxa"/>
              <w:bottom w:w="28" w:type="dxa"/>
              <w:right w:w="28" w:type="dxa"/>
            </w:tcMar>
          </w:tcPr>
          <w:p w14:paraId="74801F0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ADR-DSN.J.486 </w:t>
            </w:r>
          </w:p>
        </w:tc>
        <w:tc>
          <w:tcPr>
            <w:tcW w:w="3129" w:type="pct"/>
            <w:tcMar>
              <w:top w:w="28" w:type="dxa"/>
              <w:left w:w="85" w:type="dxa"/>
              <w:bottom w:w="28" w:type="dxa"/>
              <w:right w:w="28" w:type="dxa"/>
            </w:tcMar>
          </w:tcPr>
          <w:p w14:paraId="72335D3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Inne obiekty</w:t>
            </w:r>
          </w:p>
        </w:tc>
        <w:tc>
          <w:tcPr>
            <w:tcW w:w="1013" w:type="pct"/>
            <w:tcMar>
              <w:top w:w="28" w:type="dxa"/>
              <w:left w:w="85" w:type="dxa"/>
              <w:bottom w:w="28" w:type="dxa"/>
              <w:right w:w="28" w:type="dxa"/>
            </w:tcMar>
          </w:tcPr>
          <w:p w14:paraId="378C8CDB" w14:textId="5A01EA48"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7F7A37F9" w14:textId="77777777" w:rsidTr="00CA0AA3">
        <w:tc>
          <w:tcPr>
            <w:tcW w:w="858" w:type="pct"/>
            <w:tcMar>
              <w:top w:w="28" w:type="dxa"/>
              <w:left w:w="85" w:type="dxa"/>
              <w:bottom w:w="28" w:type="dxa"/>
              <w:right w:w="28" w:type="dxa"/>
            </w:tcMar>
          </w:tcPr>
          <w:p w14:paraId="15D9B09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ADR-DSN.J.487 </w:t>
            </w:r>
          </w:p>
        </w:tc>
        <w:tc>
          <w:tcPr>
            <w:tcW w:w="3129" w:type="pct"/>
            <w:tcMar>
              <w:top w:w="28" w:type="dxa"/>
              <w:left w:w="85" w:type="dxa"/>
              <w:bottom w:w="28" w:type="dxa"/>
              <w:right w:w="28" w:type="dxa"/>
            </w:tcMar>
          </w:tcPr>
          <w:p w14:paraId="5B586B2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poza powierzchniami ograniczającymi przeszkody</w:t>
            </w:r>
          </w:p>
        </w:tc>
        <w:tc>
          <w:tcPr>
            <w:tcW w:w="1013" w:type="pct"/>
            <w:tcMar>
              <w:top w:w="28" w:type="dxa"/>
              <w:left w:w="85" w:type="dxa"/>
              <w:bottom w:w="28" w:type="dxa"/>
              <w:right w:w="28" w:type="dxa"/>
            </w:tcMar>
          </w:tcPr>
          <w:p w14:paraId="6A133F8F" w14:textId="238B134A"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73A96855" w14:textId="77777777" w:rsidTr="00CA0AA3">
        <w:tc>
          <w:tcPr>
            <w:tcW w:w="858" w:type="pct"/>
            <w:tcMar>
              <w:top w:w="28" w:type="dxa"/>
              <w:left w:w="85" w:type="dxa"/>
              <w:bottom w:w="28" w:type="dxa"/>
              <w:right w:w="28" w:type="dxa"/>
            </w:tcMar>
          </w:tcPr>
          <w:p w14:paraId="0EC2424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ADR-DSN.K.490 </w:t>
            </w:r>
          </w:p>
        </w:tc>
        <w:tc>
          <w:tcPr>
            <w:tcW w:w="3129" w:type="pct"/>
            <w:tcMar>
              <w:top w:w="28" w:type="dxa"/>
              <w:left w:w="85" w:type="dxa"/>
              <w:bottom w:w="28" w:type="dxa"/>
              <w:right w:w="28" w:type="dxa"/>
            </w:tcMar>
          </w:tcPr>
          <w:p w14:paraId="4D76146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Wskaźnik kierunku wiatru </w:t>
            </w:r>
          </w:p>
        </w:tc>
        <w:tc>
          <w:tcPr>
            <w:tcW w:w="1013" w:type="pct"/>
            <w:tcMar>
              <w:top w:w="28" w:type="dxa"/>
              <w:left w:w="85" w:type="dxa"/>
              <w:bottom w:w="28" w:type="dxa"/>
              <w:right w:w="28" w:type="dxa"/>
            </w:tcMar>
          </w:tcPr>
          <w:p w14:paraId="45F8C4F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A3B9A31" w14:textId="77777777" w:rsidTr="00CA0AA3">
        <w:tc>
          <w:tcPr>
            <w:tcW w:w="858" w:type="pct"/>
            <w:tcMar>
              <w:top w:w="28" w:type="dxa"/>
              <w:left w:w="85" w:type="dxa"/>
              <w:bottom w:w="28" w:type="dxa"/>
              <w:right w:w="28" w:type="dxa"/>
            </w:tcMar>
          </w:tcPr>
          <w:p w14:paraId="451489F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ADR-DSN.K.515 </w:t>
            </w:r>
          </w:p>
        </w:tc>
        <w:tc>
          <w:tcPr>
            <w:tcW w:w="3129" w:type="pct"/>
            <w:tcMar>
              <w:top w:w="28" w:type="dxa"/>
              <w:left w:w="85" w:type="dxa"/>
              <w:bottom w:w="28" w:type="dxa"/>
              <w:right w:w="28" w:type="dxa"/>
            </w:tcMar>
          </w:tcPr>
          <w:p w14:paraId="3FFD1FE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Charakterystyki znaków sygnałowych i pola sygnałowego</w:t>
            </w:r>
          </w:p>
        </w:tc>
        <w:tc>
          <w:tcPr>
            <w:tcW w:w="1013" w:type="pct"/>
            <w:tcMar>
              <w:top w:w="28" w:type="dxa"/>
              <w:left w:w="85" w:type="dxa"/>
              <w:bottom w:w="28" w:type="dxa"/>
              <w:right w:w="28" w:type="dxa"/>
            </w:tcMar>
          </w:tcPr>
          <w:p w14:paraId="6CBD6E4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377CB55" w14:textId="77777777" w:rsidTr="00CA0AA3">
        <w:tc>
          <w:tcPr>
            <w:tcW w:w="858" w:type="pct"/>
            <w:tcMar>
              <w:top w:w="28" w:type="dxa"/>
              <w:left w:w="85" w:type="dxa"/>
              <w:bottom w:w="28" w:type="dxa"/>
              <w:right w:w="28" w:type="dxa"/>
            </w:tcMar>
          </w:tcPr>
          <w:p w14:paraId="1B9716E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ADR-DSN.L.520 </w:t>
            </w:r>
          </w:p>
        </w:tc>
        <w:tc>
          <w:tcPr>
            <w:tcW w:w="3129" w:type="pct"/>
            <w:tcMar>
              <w:top w:w="28" w:type="dxa"/>
              <w:left w:w="85" w:type="dxa"/>
              <w:bottom w:w="28" w:type="dxa"/>
              <w:right w:w="28" w:type="dxa"/>
            </w:tcMar>
          </w:tcPr>
          <w:p w14:paraId="0E56723D" w14:textId="292452C5" w:rsidR="00F46D4B" w:rsidRPr="009E064B" w:rsidRDefault="009B0A08"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Wymagania ogólne</w:t>
            </w:r>
            <w:r w:rsidR="00F46D4B" w:rsidRPr="009E064B">
              <w:rPr>
                <w:rFonts w:asciiTheme="minorHAnsi" w:hAnsiTheme="minorHAnsi" w:cstheme="minorHAnsi"/>
                <w:sz w:val="16"/>
                <w:szCs w:val="16"/>
              </w:rPr>
              <w:t xml:space="preserve"> — Kolor i wyrazistość</w:t>
            </w:r>
          </w:p>
        </w:tc>
        <w:tc>
          <w:tcPr>
            <w:tcW w:w="1013" w:type="pct"/>
            <w:tcMar>
              <w:top w:w="28" w:type="dxa"/>
              <w:left w:w="85" w:type="dxa"/>
              <w:bottom w:w="28" w:type="dxa"/>
              <w:right w:w="28" w:type="dxa"/>
            </w:tcMar>
          </w:tcPr>
          <w:p w14:paraId="25694B3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EECE0EE" w14:textId="77777777" w:rsidTr="00CA0AA3">
        <w:tc>
          <w:tcPr>
            <w:tcW w:w="858" w:type="pct"/>
            <w:tcMar>
              <w:top w:w="28" w:type="dxa"/>
              <w:left w:w="85" w:type="dxa"/>
              <w:bottom w:w="28" w:type="dxa"/>
              <w:right w:w="28" w:type="dxa"/>
            </w:tcMar>
          </w:tcPr>
          <w:p w14:paraId="35C05ED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ADR-DSN.L.555 </w:t>
            </w:r>
          </w:p>
        </w:tc>
        <w:tc>
          <w:tcPr>
            <w:tcW w:w="3129" w:type="pct"/>
            <w:tcMar>
              <w:top w:w="28" w:type="dxa"/>
              <w:left w:w="85" w:type="dxa"/>
              <w:bottom w:w="28" w:type="dxa"/>
              <w:right w:w="28" w:type="dxa"/>
            </w:tcMar>
          </w:tcPr>
          <w:p w14:paraId="3003F5B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linii środkowej drogi kołowania.</w:t>
            </w:r>
          </w:p>
        </w:tc>
        <w:tc>
          <w:tcPr>
            <w:tcW w:w="1013" w:type="pct"/>
            <w:tcMar>
              <w:top w:w="28" w:type="dxa"/>
              <w:left w:w="85" w:type="dxa"/>
              <w:bottom w:w="28" w:type="dxa"/>
              <w:right w:w="28" w:type="dxa"/>
            </w:tcMar>
          </w:tcPr>
          <w:p w14:paraId="22F7290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4E9D003" w14:textId="77777777" w:rsidTr="00CA0AA3">
        <w:tc>
          <w:tcPr>
            <w:tcW w:w="858" w:type="pct"/>
            <w:tcMar>
              <w:top w:w="28" w:type="dxa"/>
              <w:left w:w="85" w:type="dxa"/>
              <w:bottom w:w="28" w:type="dxa"/>
              <w:right w:w="28" w:type="dxa"/>
            </w:tcMar>
          </w:tcPr>
          <w:p w14:paraId="607DF4E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ADR-DSN.L.570 </w:t>
            </w:r>
          </w:p>
        </w:tc>
        <w:tc>
          <w:tcPr>
            <w:tcW w:w="3129" w:type="pct"/>
            <w:tcMar>
              <w:top w:w="28" w:type="dxa"/>
              <w:left w:w="85" w:type="dxa"/>
              <w:bottom w:w="28" w:type="dxa"/>
              <w:right w:w="28" w:type="dxa"/>
            </w:tcMar>
          </w:tcPr>
          <w:p w14:paraId="5B2A530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Wzmocnione oznakowanie linii środkowej drogi kołowania</w:t>
            </w:r>
          </w:p>
        </w:tc>
        <w:tc>
          <w:tcPr>
            <w:tcW w:w="1013" w:type="pct"/>
            <w:tcMar>
              <w:top w:w="28" w:type="dxa"/>
              <w:left w:w="85" w:type="dxa"/>
              <w:bottom w:w="28" w:type="dxa"/>
              <w:right w:w="28" w:type="dxa"/>
            </w:tcMar>
          </w:tcPr>
          <w:p w14:paraId="01BF59E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A555C3D" w14:textId="77777777" w:rsidTr="00CA0AA3">
        <w:tc>
          <w:tcPr>
            <w:tcW w:w="858" w:type="pct"/>
            <w:tcMar>
              <w:top w:w="28" w:type="dxa"/>
              <w:left w:w="85" w:type="dxa"/>
              <w:bottom w:w="28" w:type="dxa"/>
              <w:right w:w="28" w:type="dxa"/>
            </w:tcMar>
          </w:tcPr>
          <w:p w14:paraId="38DDC0A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ADR-DSN.L.585 </w:t>
            </w:r>
          </w:p>
        </w:tc>
        <w:tc>
          <w:tcPr>
            <w:tcW w:w="3129" w:type="pct"/>
            <w:tcMar>
              <w:top w:w="28" w:type="dxa"/>
              <w:left w:w="85" w:type="dxa"/>
              <w:bottom w:w="28" w:type="dxa"/>
              <w:right w:w="28" w:type="dxa"/>
            </w:tcMar>
          </w:tcPr>
          <w:p w14:paraId="2E35CFE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lotniskowego punktu sprawdzania VOR</w:t>
            </w:r>
          </w:p>
        </w:tc>
        <w:tc>
          <w:tcPr>
            <w:tcW w:w="1013" w:type="pct"/>
            <w:tcMar>
              <w:top w:w="28" w:type="dxa"/>
              <w:left w:w="85" w:type="dxa"/>
              <w:bottom w:w="28" w:type="dxa"/>
              <w:right w:w="28" w:type="dxa"/>
            </w:tcMar>
          </w:tcPr>
          <w:p w14:paraId="61754142" w14:textId="3F49CD32"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01D8657" w14:textId="77777777" w:rsidTr="00CA0AA3">
        <w:tc>
          <w:tcPr>
            <w:tcW w:w="858" w:type="pct"/>
            <w:tcMar>
              <w:top w:w="28" w:type="dxa"/>
              <w:left w:w="85" w:type="dxa"/>
              <w:bottom w:w="28" w:type="dxa"/>
              <w:right w:w="28" w:type="dxa"/>
            </w:tcMar>
          </w:tcPr>
          <w:p w14:paraId="67C0732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GM1 ADR-DSN.L.595</w:t>
            </w:r>
          </w:p>
        </w:tc>
        <w:tc>
          <w:tcPr>
            <w:tcW w:w="3129" w:type="pct"/>
            <w:tcMar>
              <w:top w:w="28" w:type="dxa"/>
              <w:left w:w="85" w:type="dxa"/>
              <w:bottom w:w="28" w:type="dxa"/>
              <w:right w:w="28" w:type="dxa"/>
            </w:tcMar>
          </w:tcPr>
          <w:p w14:paraId="5D0E03E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Linie bezpieczeństwa na płycie postojowej</w:t>
            </w:r>
          </w:p>
        </w:tc>
        <w:tc>
          <w:tcPr>
            <w:tcW w:w="1013" w:type="pct"/>
            <w:tcMar>
              <w:top w:w="28" w:type="dxa"/>
              <w:left w:w="85" w:type="dxa"/>
              <w:bottom w:w="28" w:type="dxa"/>
              <w:right w:w="28" w:type="dxa"/>
            </w:tcMar>
          </w:tcPr>
          <w:p w14:paraId="7DB83D88" w14:textId="14C0BC93"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097FE86F" w14:textId="77777777" w:rsidTr="00CA0AA3">
        <w:tc>
          <w:tcPr>
            <w:tcW w:w="858" w:type="pct"/>
            <w:tcMar>
              <w:top w:w="28" w:type="dxa"/>
              <w:left w:w="85" w:type="dxa"/>
              <w:bottom w:w="28" w:type="dxa"/>
              <w:right w:w="28" w:type="dxa"/>
            </w:tcMar>
          </w:tcPr>
          <w:p w14:paraId="27B77BD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ADR-DSN.L.597 </w:t>
            </w:r>
          </w:p>
        </w:tc>
        <w:tc>
          <w:tcPr>
            <w:tcW w:w="3129" w:type="pct"/>
            <w:tcMar>
              <w:top w:w="28" w:type="dxa"/>
              <w:left w:w="85" w:type="dxa"/>
              <w:bottom w:w="28" w:type="dxa"/>
              <w:right w:w="28" w:type="dxa"/>
            </w:tcMar>
          </w:tcPr>
          <w:p w14:paraId="4517B95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dróg serwisowych na płycie postojowej</w:t>
            </w:r>
          </w:p>
        </w:tc>
        <w:tc>
          <w:tcPr>
            <w:tcW w:w="1013" w:type="pct"/>
            <w:tcMar>
              <w:top w:w="28" w:type="dxa"/>
              <w:left w:w="85" w:type="dxa"/>
              <w:bottom w:w="28" w:type="dxa"/>
              <w:right w:w="28" w:type="dxa"/>
            </w:tcMar>
          </w:tcPr>
          <w:p w14:paraId="3A2DC8DF" w14:textId="7BA113B6"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4B3EBFE7" w14:textId="77777777" w:rsidTr="00CA0AA3">
        <w:tc>
          <w:tcPr>
            <w:tcW w:w="858" w:type="pct"/>
            <w:tcMar>
              <w:top w:w="28" w:type="dxa"/>
              <w:left w:w="85" w:type="dxa"/>
              <w:bottom w:w="28" w:type="dxa"/>
              <w:right w:w="28" w:type="dxa"/>
            </w:tcMar>
          </w:tcPr>
          <w:p w14:paraId="0B04A08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ADR-DSN.L.600 </w:t>
            </w:r>
          </w:p>
        </w:tc>
        <w:tc>
          <w:tcPr>
            <w:tcW w:w="3129" w:type="pct"/>
            <w:tcMar>
              <w:top w:w="28" w:type="dxa"/>
              <w:left w:w="85" w:type="dxa"/>
              <w:bottom w:w="28" w:type="dxa"/>
              <w:right w:w="28" w:type="dxa"/>
            </w:tcMar>
          </w:tcPr>
          <w:p w14:paraId="4B8E0E7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poziome miejsca oczekiwania na drodze ruchu kołowego</w:t>
            </w:r>
          </w:p>
        </w:tc>
        <w:tc>
          <w:tcPr>
            <w:tcW w:w="1013" w:type="pct"/>
            <w:tcMar>
              <w:top w:w="28" w:type="dxa"/>
              <w:left w:w="85" w:type="dxa"/>
              <w:bottom w:w="28" w:type="dxa"/>
              <w:right w:w="28" w:type="dxa"/>
            </w:tcMar>
          </w:tcPr>
          <w:p w14:paraId="23CEAFE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7B7B387" w14:textId="77777777" w:rsidTr="00CA0AA3">
        <w:tc>
          <w:tcPr>
            <w:tcW w:w="858" w:type="pct"/>
            <w:tcMar>
              <w:top w:w="28" w:type="dxa"/>
              <w:left w:w="85" w:type="dxa"/>
              <w:bottom w:w="28" w:type="dxa"/>
              <w:right w:w="28" w:type="dxa"/>
            </w:tcMar>
          </w:tcPr>
          <w:p w14:paraId="4154E75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ADR-DSN.M.625 </w:t>
            </w:r>
          </w:p>
        </w:tc>
        <w:tc>
          <w:tcPr>
            <w:tcW w:w="3129" w:type="pct"/>
            <w:tcMar>
              <w:top w:w="28" w:type="dxa"/>
              <w:left w:w="85" w:type="dxa"/>
              <w:bottom w:w="28" w:type="dxa"/>
              <w:right w:w="28" w:type="dxa"/>
            </w:tcMar>
          </w:tcPr>
          <w:p w14:paraId="713C006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świateł podejścia</w:t>
            </w:r>
          </w:p>
        </w:tc>
        <w:tc>
          <w:tcPr>
            <w:tcW w:w="1013" w:type="pct"/>
            <w:tcMar>
              <w:top w:w="28" w:type="dxa"/>
              <w:left w:w="85" w:type="dxa"/>
              <w:bottom w:w="28" w:type="dxa"/>
              <w:right w:w="28" w:type="dxa"/>
            </w:tcMar>
          </w:tcPr>
          <w:p w14:paraId="25E906D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1524FC6" w14:textId="77777777" w:rsidTr="00CA0AA3">
        <w:tc>
          <w:tcPr>
            <w:tcW w:w="858" w:type="pct"/>
            <w:tcMar>
              <w:top w:w="28" w:type="dxa"/>
              <w:left w:w="85" w:type="dxa"/>
              <w:bottom w:w="28" w:type="dxa"/>
              <w:right w:w="28" w:type="dxa"/>
            </w:tcMar>
          </w:tcPr>
          <w:p w14:paraId="5D6F2AF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ADR-DSN.M.630 </w:t>
            </w:r>
          </w:p>
        </w:tc>
        <w:tc>
          <w:tcPr>
            <w:tcW w:w="3129" w:type="pct"/>
            <w:tcMar>
              <w:top w:w="28" w:type="dxa"/>
              <w:left w:w="85" w:type="dxa"/>
              <w:bottom w:w="28" w:type="dxa"/>
              <w:right w:w="28" w:type="dxa"/>
            </w:tcMar>
          </w:tcPr>
          <w:p w14:paraId="0CCF44C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w:t>
            </w:r>
          </w:p>
        </w:tc>
        <w:tc>
          <w:tcPr>
            <w:tcW w:w="1013" w:type="pct"/>
            <w:tcMar>
              <w:top w:w="28" w:type="dxa"/>
              <w:left w:w="85" w:type="dxa"/>
              <w:bottom w:w="28" w:type="dxa"/>
              <w:right w:w="28" w:type="dxa"/>
            </w:tcMar>
          </w:tcPr>
          <w:p w14:paraId="068E6F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5FF9DA5C" w14:textId="77777777" w:rsidTr="00CA0AA3">
        <w:tc>
          <w:tcPr>
            <w:tcW w:w="858" w:type="pct"/>
            <w:tcMar>
              <w:top w:w="28" w:type="dxa"/>
              <w:left w:w="85" w:type="dxa"/>
              <w:bottom w:w="28" w:type="dxa"/>
              <w:right w:w="28" w:type="dxa"/>
            </w:tcMar>
          </w:tcPr>
          <w:p w14:paraId="6DCB195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ADR-DSN.M.635 </w:t>
            </w:r>
          </w:p>
        </w:tc>
        <w:tc>
          <w:tcPr>
            <w:tcW w:w="3129" w:type="pct"/>
            <w:tcMar>
              <w:top w:w="28" w:type="dxa"/>
              <w:left w:w="85" w:type="dxa"/>
              <w:bottom w:w="28" w:type="dxa"/>
              <w:right w:w="28" w:type="dxa"/>
            </w:tcMar>
          </w:tcPr>
          <w:p w14:paraId="2399456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 świateł podejścia precyzyjnego kategorii II i III</w:t>
            </w:r>
          </w:p>
        </w:tc>
        <w:tc>
          <w:tcPr>
            <w:tcW w:w="1013" w:type="pct"/>
            <w:tcMar>
              <w:top w:w="28" w:type="dxa"/>
              <w:left w:w="85" w:type="dxa"/>
              <w:bottom w:w="28" w:type="dxa"/>
              <w:right w:w="28" w:type="dxa"/>
            </w:tcMar>
          </w:tcPr>
          <w:p w14:paraId="4A09407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F5EDCB1" w14:textId="77777777" w:rsidTr="00CA0AA3">
        <w:tc>
          <w:tcPr>
            <w:tcW w:w="858" w:type="pct"/>
            <w:tcMar>
              <w:top w:w="28" w:type="dxa"/>
              <w:left w:w="85" w:type="dxa"/>
              <w:bottom w:w="28" w:type="dxa"/>
              <w:right w:w="28" w:type="dxa"/>
            </w:tcMar>
          </w:tcPr>
          <w:p w14:paraId="0F3AD4D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ADR-DSN.M.645 </w:t>
            </w:r>
          </w:p>
        </w:tc>
        <w:tc>
          <w:tcPr>
            <w:tcW w:w="3129" w:type="pct"/>
            <w:tcMar>
              <w:top w:w="28" w:type="dxa"/>
              <w:left w:w="85" w:type="dxa"/>
              <w:bottom w:w="28" w:type="dxa"/>
              <w:right w:w="28" w:type="dxa"/>
            </w:tcMar>
          </w:tcPr>
          <w:p w14:paraId="5F02FDC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Precyzyjny wskaźnik ścieżki podejścia oraz skrócony precyzyjny wskaźnik ścieżki podejścia (PAPI i APAPI)</w:t>
            </w:r>
          </w:p>
        </w:tc>
        <w:tc>
          <w:tcPr>
            <w:tcW w:w="1013" w:type="pct"/>
            <w:tcMar>
              <w:top w:w="28" w:type="dxa"/>
              <w:left w:w="85" w:type="dxa"/>
              <w:bottom w:w="28" w:type="dxa"/>
              <w:right w:w="28" w:type="dxa"/>
            </w:tcMar>
          </w:tcPr>
          <w:p w14:paraId="10CEFA2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9FBB541" w14:textId="77777777" w:rsidTr="00CA0AA3">
        <w:tc>
          <w:tcPr>
            <w:tcW w:w="858" w:type="pct"/>
            <w:tcMar>
              <w:top w:w="28" w:type="dxa"/>
              <w:left w:w="85" w:type="dxa"/>
              <w:bottom w:w="28" w:type="dxa"/>
              <w:right w:w="28" w:type="dxa"/>
            </w:tcMar>
          </w:tcPr>
          <w:p w14:paraId="2545532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ADR-DSN.M.650 </w:t>
            </w:r>
          </w:p>
        </w:tc>
        <w:tc>
          <w:tcPr>
            <w:tcW w:w="3129" w:type="pct"/>
            <w:tcMar>
              <w:top w:w="28" w:type="dxa"/>
              <w:left w:w="85" w:type="dxa"/>
              <w:bottom w:w="28" w:type="dxa"/>
              <w:right w:w="28" w:type="dxa"/>
            </w:tcMar>
          </w:tcPr>
          <w:p w14:paraId="6F9506A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Nachylenie podejścia oraz ustawienie elewacji jednostek świetlnych</w:t>
            </w:r>
          </w:p>
        </w:tc>
        <w:tc>
          <w:tcPr>
            <w:tcW w:w="1013" w:type="pct"/>
            <w:tcMar>
              <w:top w:w="28" w:type="dxa"/>
              <w:left w:w="85" w:type="dxa"/>
              <w:bottom w:w="28" w:type="dxa"/>
              <w:right w:w="28" w:type="dxa"/>
            </w:tcMar>
          </w:tcPr>
          <w:p w14:paraId="432DAAB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BF4C749" w14:textId="77777777" w:rsidTr="00CA0AA3">
        <w:tc>
          <w:tcPr>
            <w:tcW w:w="858" w:type="pct"/>
            <w:tcMar>
              <w:top w:w="28" w:type="dxa"/>
              <w:left w:w="85" w:type="dxa"/>
              <w:bottom w:w="28" w:type="dxa"/>
              <w:right w:w="28" w:type="dxa"/>
            </w:tcMar>
          </w:tcPr>
          <w:p w14:paraId="586558FA"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ADR-DSN.M.690 </w:t>
            </w:r>
          </w:p>
        </w:tc>
        <w:tc>
          <w:tcPr>
            <w:tcW w:w="3129" w:type="pct"/>
            <w:tcMar>
              <w:top w:w="28" w:type="dxa"/>
              <w:left w:w="85" w:type="dxa"/>
              <w:bottom w:w="28" w:type="dxa"/>
              <w:right w:w="28" w:type="dxa"/>
            </w:tcMar>
          </w:tcPr>
          <w:p w14:paraId="43134AE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Światła linii środkowej drogi startowej </w:t>
            </w:r>
          </w:p>
        </w:tc>
        <w:tc>
          <w:tcPr>
            <w:tcW w:w="1013" w:type="pct"/>
            <w:tcMar>
              <w:top w:w="28" w:type="dxa"/>
              <w:left w:w="85" w:type="dxa"/>
              <w:bottom w:w="28" w:type="dxa"/>
              <w:right w:w="28" w:type="dxa"/>
            </w:tcMar>
          </w:tcPr>
          <w:p w14:paraId="562D893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BF9F562" w14:textId="77777777" w:rsidTr="00CA0AA3">
        <w:tc>
          <w:tcPr>
            <w:tcW w:w="858" w:type="pct"/>
            <w:tcMar>
              <w:top w:w="28" w:type="dxa"/>
              <w:left w:w="85" w:type="dxa"/>
              <w:bottom w:w="28" w:type="dxa"/>
              <w:right w:w="28" w:type="dxa"/>
            </w:tcMar>
          </w:tcPr>
          <w:p w14:paraId="688E14F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ADR-DSN.M.696 </w:t>
            </w:r>
          </w:p>
        </w:tc>
        <w:tc>
          <w:tcPr>
            <w:tcW w:w="3129" w:type="pct"/>
            <w:tcMar>
              <w:top w:w="28" w:type="dxa"/>
              <w:left w:w="85" w:type="dxa"/>
              <w:bottom w:w="28" w:type="dxa"/>
              <w:right w:w="28" w:type="dxa"/>
            </w:tcMar>
          </w:tcPr>
          <w:p w14:paraId="2DC7DCB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Proste światła strefy przyziemienia</w:t>
            </w:r>
          </w:p>
        </w:tc>
        <w:tc>
          <w:tcPr>
            <w:tcW w:w="1013" w:type="pct"/>
            <w:tcMar>
              <w:top w:w="28" w:type="dxa"/>
              <w:left w:w="85" w:type="dxa"/>
              <w:bottom w:w="28" w:type="dxa"/>
              <w:right w:w="28" w:type="dxa"/>
            </w:tcMar>
          </w:tcPr>
          <w:p w14:paraId="676C2CA7" w14:textId="1E919E09"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38E3D149" w14:textId="77777777" w:rsidTr="00CA0AA3">
        <w:tc>
          <w:tcPr>
            <w:tcW w:w="858" w:type="pct"/>
            <w:tcMar>
              <w:top w:w="28" w:type="dxa"/>
              <w:left w:w="85" w:type="dxa"/>
              <w:bottom w:w="28" w:type="dxa"/>
              <w:right w:w="28" w:type="dxa"/>
            </w:tcMar>
          </w:tcPr>
          <w:p w14:paraId="7F478DF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ADR-DSN.M.700 </w:t>
            </w:r>
          </w:p>
        </w:tc>
        <w:tc>
          <w:tcPr>
            <w:tcW w:w="3129" w:type="pct"/>
            <w:tcMar>
              <w:top w:w="28" w:type="dxa"/>
              <w:left w:w="85" w:type="dxa"/>
              <w:bottom w:w="28" w:type="dxa"/>
              <w:right w:w="28" w:type="dxa"/>
            </w:tcMar>
          </w:tcPr>
          <w:p w14:paraId="771DFCA4"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Światła wskazania drogi kołowania szybkiego zjazdu </w:t>
            </w:r>
          </w:p>
        </w:tc>
        <w:tc>
          <w:tcPr>
            <w:tcW w:w="1013" w:type="pct"/>
            <w:tcMar>
              <w:top w:w="28" w:type="dxa"/>
              <w:left w:w="85" w:type="dxa"/>
              <w:bottom w:w="28" w:type="dxa"/>
              <w:right w:w="28" w:type="dxa"/>
            </w:tcMar>
          </w:tcPr>
          <w:p w14:paraId="54721D8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6EF4156" w14:textId="77777777" w:rsidTr="00CA0AA3">
        <w:tc>
          <w:tcPr>
            <w:tcW w:w="858" w:type="pct"/>
            <w:tcMar>
              <w:top w:w="28" w:type="dxa"/>
              <w:left w:w="85" w:type="dxa"/>
              <w:bottom w:w="28" w:type="dxa"/>
              <w:right w:w="28" w:type="dxa"/>
            </w:tcMar>
          </w:tcPr>
          <w:p w14:paraId="16E0A00F"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ADR-DSN.M.710 </w:t>
            </w:r>
          </w:p>
        </w:tc>
        <w:tc>
          <w:tcPr>
            <w:tcW w:w="3129" w:type="pct"/>
            <w:tcMar>
              <w:top w:w="28" w:type="dxa"/>
              <w:left w:w="85" w:type="dxa"/>
              <w:bottom w:w="28" w:type="dxa"/>
              <w:right w:w="28" w:type="dxa"/>
            </w:tcMar>
          </w:tcPr>
          <w:p w14:paraId="42691E5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Światła linii środkowej drogi kołowania </w:t>
            </w:r>
          </w:p>
        </w:tc>
        <w:tc>
          <w:tcPr>
            <w:tcW w:w="1013" w:type="pct"/>
            <w:tcMar>
              <w:top w:w="28" w:type="dxa"/>
              <w:left w:w="85" w:type="dxa"/>
              <w:bottom w:w="28" w:type="dxa"/>
              <w:right w:w="28" w:type="dxa"/>
            </w:tcMar>
          </w:tcPr>
          <w:p w14:paraId="55BCCC1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CE988DE" w14:textId="77777777" w:rsidTr="00CA0AA3">
        <w:tc>
          <w:tcPr>
            <w:tcW w:w="858" w:type="pct"/>
            <w:tcMar>
              <w:top w:w="28" w:type="dxa"/>
              <w:left w:w="85" w:type="dxa"/>
              <w:bottom w:w="28" w:type="dxa"/>
              <w:right w:w="28" w:type="dxa"/>
            </w:tcMar>
          </w:tcPr>
          <w:p w14:paraId="63AA610C"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ADR-DSN.M.730 </w:t>
            </w:r>
          </w:p>
        </w:tc>
        <w:tc>
          <w:tcPr>
            <w:tcW w:w="3129" w:type="pct"/>
            <w:tcMar>
              <w:top w:w="28" w:type="dxa"/>
              <w:left w:w="85" w:type="dxa"/>
              <w:bottom w:w="28" w:type="dxa"/>
              <w:right w:w="28" w:type="dxa"/>
            </w:tcMar>
          </w:tcPr>
          <w:p w14:paraId="1A59FD47"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Poprzeczki zatrzymania</w:t>
            </w:r>
          </w:p>
        </w:tc>
        <w:tc>
          <w:tcPr>
            <w:tcW w:w="1013" w:type="pct"/>
            <w:tcMar>
              <w:top w:w="28" w:type="dxa"/>
              <w:left w:w="85" w:type="dxa"/>
              <w:bottom w:w="28" w:type="dxa"/>
              <w:right w:w="28" w:type="dxa"/>
            </w:tcMar>
          </w:tcPr>
          <w:p w14:paraId="0956403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4E7DDFA" w14:textId="77777777" w:rsidTr="00CA0AA3">
        <w:tc>
          <w:tcPr>
            <w:tcW w:w="858" w:type="pct"/>
            <w:tcMar>
              <w:top w:w="28" w:type="dxa"/>
              <w:left w:w="85" w:type="dxa"/>
              <w:bottom w:w="28" w:type="dxa"/>
              <w:right w:w="28" w:type="dxa"/>
            </w:tcMar>
          </w:tcPr>
          <w:p w14:paraId="36348A2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ADR-DSN.M.745 </w:t>
            </w:r>
          </w:p>
        </w:tc>
        <w:tc>
          <w:tcPr>
            <w:tcW w:w="3129" w:type="pct"/>
            <w:tcMar>
              <w:top w:w="28" w:type="dxa"/>
              <w:left w:w="85" w:type="dxa"/>
              <w:bottom w:w="28" w:type="dxa"/>
              <w:right w:w="28" w:type="dxa"/>
            </w:tcMar>
          </w:tcPr>
          <w:p w14:paraId="18A514B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Światła ochronne drogi startowej</w:t>
            </w:r>
          </w:p>
        </w:tc>
        <w:tc>
          <w:tcPr>
            <w:tcW w:w="1013" w:type="pct"/>
            <w:tcMar>
              <w:top w:w="28" w:type="dxa"/>
              <w:left w:w="85" w:type="dxa"/>
              <w:bottom w:w="28" w:type="dxa"/>
              <w:right w:w="28" w:type="dxa"/>
            </w:tcMar>
          </w:tcPr>
          <w:p w14:paraId="1019B2A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33FE1E5" w14:textId="77777777" w:rsidTr="00CA0AA3">
        <w:tc>
          <w:tcPr>
            <w:tcW w:w="858" w:type="pct"/>
            <w:tcMar>
              <w:top w:w="28" w:type="dxa"/>
              <w:left w:w="85" w:type="dxa"/>
              <w:bottom w:w="28" w:type="dxa"/>
              <w:right w:w="28" w:type="dxa"/>
            </w:tcMar>
          </w:tcPr>
          <w:p w14:paraId="0E3B9ED5"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ADR-DSN.M.771 </w:t>
            </w:r>
          </w:p>
        </w:tc>
        <w:tc>
          <w:tcPr>
            <w:tcW w:w="3129" w:type="pct"/>
            <w:tcMar>
              <w:top w:w="28" w:type="dxa"/>
              <w:left w:w="85" w:type="dxa"/>
              <w:bottom w:w="28" w:type="dxa"/>
              <w:right w:w="28" w:type="dxa"/>
            </w:tcMar>
          </w:tcPr>
          <w:p w14:paraId="2049112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Poprzeczka zakazu wjazdu</w:t>
            </w:r>
          </w:p>
        </w:tc>
        <w:tc>
          <w:tcPr>
            <w:tcW w:w="1013" w:type="pct"/>
            <w:tcMar>
              <w:top w:w="28" w:type="dxa"/>
              <w:left w:w="85" w:type="dxa"/>
              <w:bottom w:w="28" w:type="dxa"/>
              <w:right w:w="28" w:type="dxa"/>
            </w:tcMar>
          </w:tcPr>
          <w:p w14:paraId="2E238206" w14:textId="6BC9FB3E"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09F88AF8" w14:textId="77777777" w:rsidTr="00CA0AA3">
        <w:tc>
          <w:tcPr>
            <w:tcW w:w="858" w:type="pct"/>
            <w:tcMar>
              <w:top w:w="28" w:type="dxa"/>
              <w:left w:w="85" w:type="dxa"/>
              <w:bottom w:w="28" w:type="dxa"/>
              <w:right w:w="28" w:type="dxa"/>
            </w:tcMar>
          </w:tcPr>
          <w:p w14:paraId="64C9CD21"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ADR-DSN.N.775 </w:t>
            </w:r>
          </w:p>
        </w:tc>
        <w:tc>
          <w:tcPr>
            <w:tcW w:w="3129" w:type="pct"/>
            <w:tcMar>
              <w:top w:w="28" w:type="dxa"/>
              <w:left w:w="85" w:type="dxa"/>
              <w:bottom w:w="28" w:type="dxa"/>
              <w:right w:w="28" w:type="dxa"/>
            </w:tcMar>
          </w:tcPr>
          <w:p w14:paraId="2CCF5B02" w14:textId="0B22E093" w:rsidR="00F46D4B" w:rsidRPr="009E064B" w:rsidRDefault="009B0A08"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Wymagania ogólne</w:t>
            </w:r>
            <w:r w:rsidR="00F46D4B" w:rsidRPr="009E064B">
              <w:rPr>
                <w:rFonts w:asciiTheme="minorHAnsi" w:hAnsiTheme="minorHAnsi" w:cstheme="minorHAnsi"/>
                <w:sz w:val="16"/>
                <w:szCs w:val="16"/>
              </w:rPr>
              <w:t>.</w:t>
            </w:r>
          </w:p>
        </w:tc>
        <w:tc>
          <w:tcPr>
            <w:tcW w:w="1013" w:type="pct"/>
            <w:tcMar>
              <w:top w:w="28" w:type="dxa"/>
              <w:left w:w="85" w:type="dxa"/>
              <w:bottom w:w="28" w:type="dxa"/>
              <w:right w:w="28" w:type="dxa"/>
            </w:tcMar>
          </w:tcPr>
          <w:p w14:paraId="29E3246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761F2EAA" w14:textId="77777777" w:rsidTr="00CA0AA3">
        <w:tc>
          <w:tcPr>
            <w:tcW w:w="858" w:type="pct"/>
            <w:tcMar>
              <w:top w:w="28" w:type="dxa"/>
              <w:left w:w="85" w:type="dxa"/>
              <w:bottom w:w="28" w:type="dxa"/>
              <w:right w:w="28" w:type="dxa"/>
            </w:tcMar>
          </w:tcPr>
          <w:p w14:paraId="1EF7EFC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ADR-DSN.N.785 </w:t>
            </w:r>
          </w:p>
        </w:tc>
        <w:tc>
          <w:tcPr>
            <w:tcW w:w="3129" w:type="pct"/>
            <w:tcMar>
              <w:top w:w="28" w:type="dxa"/>
              <w:left w:w="85" w:type="dxa"/>
              <w:bottom w:w="28" w:type="dxa"/>
              <w:right w:w="28" w:type="dxa"/>
            </w:tcMar>
          </w:tcPr>
          <w:p w14:paraId="28B5D10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Znaki informacyjne </w:t>
            </w:r>
          </w:p>
        </w:tc>
        <w:tc>
          <w:tcPr>
            <w:tcW w:w="1013" w:type="pct"/>
            <w:tcMar>
              <w:top w:w="28" w:type="dxa"/>
              <w:left w:w="85" w:type="dxa"/>
              <w:bottom w:w="28" w:type="dxa"/>
              <w:right w:w="28" w:type="dxa"/>
            </w:tcMar>
          </w:tcPr>
          <w:p w14:paraId="621FB993" w14:textId="439EC349"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393AAB9C" w14:textId="77777777" w:rsidTr="00CA0AA3">
        <w:tc>
          <w:tcPr>
            <w:tcW w:w="858" w:type="pct"/>
            <w:tcMar>
              <w:top w:w="28" w:type="dxa"/>
              <w:left w:w="85" w:type="dxa"/>
              <w:bottom w:w="28" w:type="dxa"/>
              <w:right w:w="28" w:type="dxa"/>
            </w:tcMar>
          </w:tcPr>
          <w:p w14:paraId="254E300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ADR-DSN.P.820 </w:t>
            </w:r>
          </w:p>
        </w:tc>
        <w:tc>
          <w:tcPr>
            <w:tcW w:w="3129" w:type="pct"/>
            <w:tcMar>
              <w:top w:w="28" w:type="dxa"/>
              <w:left w:w="85" w:type="dxa"/>
              <w:bottom w:w="28" w:type="dxa"/>
              <w:right w:w="28" w:type="dxa"/>
            </w:tcMar>
          </w:tcPr>
          <w:p w14:paraId="4395A1E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Oznaczniki krawędzi drogi startowej pokrytej śniegiem.</w:t>
            </w:r>
          </w:p>
        </w:tc>
        <w:tc>
          <w:tcPr>
            <w:tcW w:w="1013" w:type="pct"/>
            <w:tcMar>
              <w:top w:w="28" w:type="dxa"/>
              <w:left w:w="85" w:type="dxa"/>
              <w:bottom w:w="28" w:type="dxa"/>
              <w:right w:w="28" w:type="dxa"/>
            </w:tcMar>
          </w:tcPr>
          <w:p w14:paraId="5E713CE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636B382" w14:textId="77777777" w:rsidTr="00CA0AA3">
        <w:tc>
          <w:tcPr>
            <w:tcW w:w="858" w:type="pct"/>
            <w:tcMar>
              <w:top w:w="28" w:type="dxa"/>
              <w:left w:w="85" w:type="dxa"/>
              <w:bottom w:w="28" w:type="dxa"/>
              <w:right w:w="28" w:type="dxa"/>
            </w:tcMar>
          </w:tcPr>
          <w:p w14:paraId="1AD647E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ADR-DSN.P.825 </w:t>
            </w:r>
          </w:p>
        </w:tc>
        <w:tc>
          <w:tcPr>
            <w:tcW w:w="3129" w:type="pct"/>
            <w:tcMar>
              <w:top w:w="28" w:type="dxa"/>
              <w:left w:w="85" w:type="dxa"/>
              <w:bottom w:w="28" w:type="dxa"/>
              <w:right w:w="28" w:type="dxa"/>
            </w:tcMar>
          </w:tcPr>
          <w:p w14:paraId="299146A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Oznaczniki krawędzi drogi kołowania</w:t>
            </w:r>
          </w:p>
        </w:tc>
        <w:tc>
          <w:tcPr>
            <w:tcW w:w="1013" w:type="pct"/>
            <w:tcMar>
              <w:top w:w="28" w:type="dxa"/>
              <w:left w:w="85" w:type="dxa"/>
              <w:bottom w:w="28" w:type="dxa"/>
              <w:right w:w="28" w:type="dxa"/>
            </w:tcMar>
          </w:tcPr>
          <w:p w14:paraId="4550576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8441519" w14:textId="77777777" w:rsidTr="00CA0AA3">
        <w:tc>
          <w:tcPr>
            <w:tcW w:w="858" w:type="pct"/>
            <w:tcMar>
              <w:top w:w="28" w:type="dxa"/>
              <w:left w:w="85" w:type="dxa"/>
              <w:bottom w:w="28" w:type="dxa"/>
              <w:right w:w="28" w:type="dxa"/>
            </w:tcMar>
          </w:tcPr>
          <w:p w14:paraId="6B9163E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ADR-DSN.Q.840 </w:t>
            </w:r>
          </w:p>
        </w:tc>
        <w:tc>
          <w:tcPr>
            <w:tcW w:w="3129" w:type="pct"/>
            <w:tcMar>
              <w:top w:w="28" w:type="dxa"/>
              <w:left w:w="85" w:type="dxa"/>
              <w:bottom w:w="28" w:type="dxa"/>
              <w:right w:w="28" w:type="dxa"/>
            </w:tcMar>
          </w:tcPr>
          <w:p w14:paraId="43B39C4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znajdujące się w obrębie granic bocznych powierzchni ograniczających przeszkody, które muszą być oznakowane lub oświetlone</w:t>
            </w:r>
          </w:p>
        </w:tc>
        <w:tc>
          <w:tcPr>
            <w:tcW w:w="1013" w:type="pct"/>
            <w:tcMar>
              <w:top w:w="28" w:type="dxa"/>
              <w:left w:w="85" w:type="dxa"/>
              <w:bottom w:w="28" w:type="dxa"/>
              <w:right w:w="28" w:type="dxa"/>
            </w:tcMar>
          </w:tcPr>
          <w:p w14:paraId="5C7ED1D1" w14:textId="46AF28B4"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5B9A29A2" w14:textId="77777777" w:rsidTr="00CA0AA3">
        <w:tc>
          <w:tcPr>
            <w:tcW w:w="858" w:type="pct"/>
            <w:tcMar>
              <w:top w:w="28" w:type="dxa"/>
              <w:left w:w="85" w:type="dxa"/>
              <w:bottom w:w="28" w:type="dxa"/>
              <w:right w:w="28" w:type="dxa"/>
            </w:tcMar>
          </w:tcPr>
          <w:p w14:paraId="36EA0F3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ADR-DSN.Q.841 </w:t>
            </w:r>
          </w:p>
        </w:tc>
        <w:tc>
          <w:tcPr>
            <w:tcW w:w="3129" w:type="pct"/>
            <w:tcMar>
              <w:top w:w="28" w:type="dxa"/>
              <w:left w:w="85" w:type="dxa"/>
              <w:bottom w:w="28" w:type="dxa"/>
              <w:right w:w="28" w:type="dxa"/>
            </w:tcMar>
          </w:tcPr>
          <w:p w14:paraId="4C566E1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Obiekty znajdujące się poza granicami bocznymi powierzchni ograniczających przeszkody, które muszą być oznakowane i/lub oświetlone</w:t>
            </w:r>
          </w:p>
        </w:tc>
        <w:tc>
          <w:tcPr>
            <w:tcW w:w="1013" w:type="pct"/>
            <w:tcMar>
              <w:top w:w="28" w:type="dxa"/>
              <w:left w:w="85" w:type="dxa"/>
              <w:bottom w:w="28" w:type="dxa"/>
              <w:right w:w="28" w:type="dxa"/>
            </w:tcMar>
          </w:tcPr>
          <w:p w14:paraId="2ACB7D7F" w14:textId="0B1B8A88"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441FBB99" w14:textId="77777777" w:rsidTr="00CA0AA3">
        <w:tc>
          <w:tcPr>
            <w:tcW w:w="858" w:type="pct"/>
            <w:tcMar>
              <w:top w:w="28" w:type="dxa"/>
              <w:left w:w="85" w:type="dxa"/>
              <w:bottom w:w="28" w:type="dxa"/>
              <w:right w:w="28" w:type="dxa"/>
            </w:tcMar>
          </w:tcPr>
          <w:p w14:paraId="443C040B"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ADR-DSN.Q.845 </w:t>
            </w:r>
          </w:p>
        </w:tc>
        <w:tc>
          <w:tcPr>
            <w:tcW w:w="3129" w:type="pct"/>
            <w:tcMar>
              <w:top w:w="28" w:type="dxa"/>
              <w:left w:w="85" w:type="dxa"/>
              <w:bottom w:w="28" w:type="dxa"/>
              <w:right w:w="28" w:type="dxa"/>
            </w:tcMar>
          </w:tcPr>
          <w:p w14:paraId="4D73EBD1"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obiektów stałych</w:t>
            </w:r>
          </w:p>
        </w:tc>
        <w:tc>
          <w:tcPr>
            <w:tcW w:w="1013" w:type="pct"/>
            <w:tcMar>
              <w:top w:w="28" w:type="dxa"/>
              <w:left w:w="85" w:type="dxa"/>
              <w:bottom w:w="28" w:type="dxa"/>
              <w:right w:w="28" w:type="dxa"/>
            </w:tcMar>
          </w:tcPr>
          <w:p w14:paraId="732A984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D5E0806" w14:textId="77777777" w:rsidTr="00CA0AA3">
        <w:tc>
          <w:tcPr>
            <w:tcW w:w="858" w:type="pct"/>
            <w:tcMar>
              <w:top w:w="28" w:type="dxa"/>
              <w:left w:w="85" w:type="dxa"/>
              <w:bottom w:w="28" w:type="dxa"/>
              <w:right w:w="28" w:type="dxa"/>
            </w:tcMar>
          </w:tcPr>
          <w:p w14:paraId="106CA93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ADR-DSN.Q.846 </w:t>
            </w:r>
          </w:p>
        </w:tc>
        <w:tc>
          <w:tcPr>
            <w:tcW w:w="3129" w:type="pct"/>
            <w:tcMar>
              <w:top w:w="28" w:type="dxa"/>
              <w:left w:w="85" w:type="dxa"/>
              <w:bottom w:w="28" w:type="dxa"/>
              <w:right w:w="28" w:type="dxa"/>
            </w:tcMar>
          </w:tcPr>
          <w:p w14:paraId="33A535A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obiektów stałych</w:t>
            </w:r>
          </w:p>
        </w:tc>
        <w:tc>
          <w:tcPr>
            <w:tcW w:w="1013" w:type="pct"/>
            <w:tcMar>
              <w:top w:w="28" w:type="dxa"/>
              <w:left w:w="85" w:type="dxa"/>
              <w:bottom w:w="28" w:type="dxa"/>
              <w:right w:w="28" w:type="dxa"/>
            </w:tcMar>
          </w:tcPr>
          <w:p w14:paraId="6408B6EA" w14:textId="6100010B"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65F95CD" w14:textId="77777777" w:rsidTr="00CA0AA3">
        <w:tc>
          <w:tcPr>
            <w:tcW w:w="858" w:type="pct"/>
            <w:tcMar>
              <w:top w:w="28" w:type="dxa"/>
              <w:left w:w="85" w:type="dxa"/>
              <w:bottom w:w="28" w:type="dxa"/>
              <w:right w:w="28" w:type="dxa"/>
            </w:tcMar>
          </w:tcPr>
          <w:p w14:paraId="5B669FED"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ADR-DSN.Q.847 </w:t>
            </w:r>
          </w:p>
        </w:tc>
        <w:tc>
          <w:tcPr>
            <w:tcW w:w="3129" w:type="pct"/>
            <w:tcMar>
              <w:top w:w="28" w:type="dxa"/>
              <w:left w:w="85" w:type="dxa"/>
              <w:bottom w:w="28" w:type="dxa"/>
              <w:right w:w="28" w:type="dxa"/>
            </w:tcMar>
          </w:tcPr>
          <w:p w14:paraId="0B12277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obiektów stałych o wysokości mniejszej niż 45 m nad poziomem ziemi</w:t>
            </w:r>
          </w:p>
        </w:tc>
        <w:tc>
          <w:tcPr>
            <w:tcW w:w="1013" w:type="pct"/>
            <w:tcMar>
              <w:top w:w="28" w:type="dxa"/>
              <w:left w:w="85" w:type="dxa"/>
              <w:bottom w:w="28" w:type="dxa"/>
              <w:right w:w="28" w:type="dxa"/>
            </w:tcMar>
          </w:tcPr>
          <w:p w14:paraId="52807D9B" w14:textId="7F002FCC"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2C188D1F" w14:textId="77777777" w:rsidTr="00CA0AA3">
        <w:tc>
          <w:tcPr>
            <w:tcW w:w="858" w:type="pct"/>
            <w:tcMar>
              <w:top w:w="28" w:type="dxa"/>
              <w:left w:w="85" w:type="dxa"/>
              <w:bottom w:w="28" w:type="dxa"/>
              <w:right w:w="28" w:type="dxa"/>
            </w:tcMar>
          </w:tcPr>
          <w:p w14:paraId="3C02A1E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ADR-DSN.Q.848 </w:t>
            </w:r>
          </w:p>
        </w:tc>
        <w:tc>
          <w:tcPr>
            <w:tcW w:w="3129" w:type="pct"/>
            <w:tcMar>
              <w:top w:w="28" w:type="dxa"/>
              <w:left w:w="85" w:type="dxa"/>
              <w:bottom w:w="28" w:type="dxa"/>
              <w:right w:w="28" w:type="dxa"/>
            </w:tcMar>
          </w:tcPr>
          <w:p w14:paraId="4C0AF3B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Oświetlenie obiektów stałych o wysokości od 45 m do 150 m nad poziomem ziemi </w:t>
            </w:r>
          </w:p>
        </w:tc>
        <w:tc>
          <w:tcPr>
            <w:tcW w:w="1013" w:type="pct"/>
            <w:tcMar>
              <w:top w:w="28" w:type="dxa"/>
              <w:left w:w="85" w:type="dxa"/>
              <w:bottom w:w="28" w:type="dxa"/>
              <w:right w:w="28" w:type="dxa"/>
            </w:tcMar>
          </w:tcPr>
          <w:p w14:paraId="5B35700D" w14:textId="5E39CB52"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0D49DCE3" w14:textId="77777777" w:rsidTr="00CA0AA3">
        <w:tc>
          <w:tcPr>
            <w:tcW w:w="858" w:type="pct"/>
            <w:tcMar>
              <w:top w:w="28" w:type="dxa"/>
              <w:left w:w="85" w:type="dxa"/>
              <w:bottom w:w="28" w:type="dxa"/>
              <w:right w:w="28" w:type="dxa"/>
            </w:tcMar>
          </w:tcPr>
          <w:p w14:paraId="44EAB56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ADR-DSN.Q.849 </w:t>
            </w:r>
          </w:p>
        </w:tc>
        <w:tc>
          <w:tcPr>
            <w:tcW w:w="3129" w:type="pct"/>
            <w:tcMar>
              <w:top w:w="28" w:type="dxa"/>
              <w:left w:w="85" w:type="dxa"/>
              <w:bottom w:w="28" w:type="dxa"/>
              <w:right w:w="28" w:type="dxa"/>
            </w:tcMar>
          </w:tcPr>
          <w:p w14:paraId="7B3E13C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Oświetlenie obiektów stałych o wysokości 150 m i więcej nad poziomem ziemi </w:t>
            </w:r>
          </w:p>
        </w:tc>
        <w:tc>
          <w:tcPr>
            <w:tcW w:w="1013" w:type="pct"/>
            <w:tcMar>
              <w:top w:w="28" w:type="dxa"/>
              <w:left w:w="85" w:type="dxa"/>
              <w:bottom w:w="28" w:type="dxa"/>
              <w:right w:w="28" w:type="dxa"/>
            </w:tcMar>
          </w:tcPr>
          <w:p w14:paraId="1789673A" w14:textId="4B479A2F"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1F6DD3AE" w14:textId="77777777" w:rsidTr="00CA0AA3">
        <w:tc>
          <w:tcPr>
            <w:tcW w:w="858" w:type="pct"/>
            <w:tcMar>
              <w:top w:w="28" w:type="dxa"/>
              <w:left w:w="85" w:type="dxa"/>
              <w:bottom w:w="28" w:type="dxa"/>
              <w:right w:w="28" w:type="dxa"/>
            </w:tcMar>
          </w:tcPr>
          <w:p w14:paraId="65ABA88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ADR-DSN.Q.850 </w:t>
            </w:r>
          </w:p>
        </w:tc>
        <w:tc>
          <w:tcPr>
            <w:tcW w:w="3129" w:type="pct"/>
            <w:tcMar>
              <w:top w:w="28" w:type="dxa"/>
              <w:left w:w="85" w:type="dxa"/>
              <w:bottom w:w="28" w:type="dxa"/>
              <w:right w:w="28" w:type="dxa"/>
            </w:tcMar>
          </w:tcPr>
          <w:p w14:paraId="056C7E56"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Oświetlenie innych obiektów</w:t>
            </w:r>
          </w:p>
        </w:tc>
        <w:tc>
          <w:tcPr>
            <w:tcW w:w="1013" w:type="pct"/>
            <w:tcMar>
              <w:top w:w="28" w:type="dxa"/>
              <w:left w:w="85" w:type="dxa"/>
              <w:bottom w:w="28" w:type="dxa"/>
              <w:right w:w="28" w:type="dxa"/>
            </w:tcMar>
          </w:tcPr>
          <w:p w14:paraId="2E376D6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CD8337D" w14:textId="77777777" w:rsidTr="00CA0AA3">
        <w:tc>
          <w:tcPr>
            <w:tcW w:w="858" w:type="pct"/>
            <w:tcMar>
              <w:top w:w="28" w:type="dxa"/>
              <w:left w:w="85" w:type="dxa"/>
              <w:bottom w:w="28" w:type="dxa"/>
              <w:right w:w="28" w:type="dxa"/>
            </w:tcMar>
          </w:tcPr>
          <w:p w14:paraId="535E6EF6"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ADR-DSN.Q.851 </w:t>
            </w:r>
          </w:p>
        </w:tc>
        <w:tc>
          <w:tcPr>
            <w:tcW w:w="3129" w:type="pct"/>
            <w:tcMar>
              <w:top w:w="28" w:type="dxa"/>
              <w:left w:w="85" w:type="dxa"/>
              <w:bottom w:w="28" w:type="dxa"/>
              <w:right w:w="28" w:type="dxa"/>
            </w:tcMar>
          </w:tcPr>
          <w:p w14:paraId="68D3A86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i oświetlenie turbin wiatrowych</w:t>
            </w:r>
          </w:p>
        </w:tc>
        <w:tc>
          <w:tcPr>
            <w:tcW w:w="1013" w:type="pct"/>
            <w:tcMar>
              <w:top w:w="28" w:type="dxa"/>
              <w:left w:w="85" w:type="dxa"/>
              <w:bottom w:w="28" w:type="dxa"/>
              <w:right w:w="28" w:type="dxa"/>
            </w:tcMar>
          </w:tcPr>
          <w:p w14:paraId="1AF0A435" w14:textId="437EFCEE"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5892F8AF" w14:textId="77777777" w:rsidTr="00CA0AA3">
        <w:tc>
          <w:tcPr>
            <w:tcW w:w="858" w:type="pct"/>
            <w:tcMar>
              <w:top w:w="28" w:type="dxa"/>
              <w:left w:w="85" w:type="dxa"/>
              <w:bottom w:w="28" w:type="dxa"/>
              <w:right w:w="28" w:type="dxa"/>
            </w:tcMar>
          </w:tcPr>
          <w:p w14:paraId="2D3BF8A9"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ADR-DSN.Q.852 </w:t>
            </w:r>
          </w:p>
        </w:tc>
        <w:tc>
          <w:tcPr>
            <w:tcW w:w="3129" w:type="pct"/>
            <w:tcMar>
              <w:top w:w="28" w:type="dxa"/>
              <w:left w:w="85" w:type="dxa"/>
              <w:bottom w:w="28" w:type="dxa"/>
              <w:right w:w="28" w:type="dxa"/>
            </w:tcMar>
          </w:tcPr>
          <w:p w14:paraId="70BF32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Oznakowanie i oświetlenie przewodów linii napowietrznych, kabli, itp. oraz konstrukcji wsporczych</w:t>
            </w:r>
          </w:p>
        </w:tc>
        <w:tc>
          <w:tcPr>
            <w:tcW w:w="1013" w:type="pct"/>
            <w:tcMar>
              <w:top w:w="28" w:type="dxa"/>
              <w:left w:w="85" w:type="dxa"/>
              <w:bottom w:w="28" w:type="dxa"/>
              <w:right w:w="28" w:type="dxa"/>
            </w:tcMar>
          </w:tcPr>
          <w:p w14:paraId="71FB810E" w14:textId="7155540C" w:rsidR="00F46D4B" w:rsidRPr="009E064B" w:rsidRDefault="003523F3"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w:t>
            </w:r>
            <w:r w:rsidR="00F46D4B" w:rsidRPr="009E064B">
              <w:rPr>
                <w:rFonts w:asciiTheme="minorHAnsi" w:hAnsiTheme="minorHAnsi" w:cstheme="minorHAnsi"/>
                <w:sz w:val="16"/>
                <w:szCs w:val="16"/>
              </w:rPr>
              <w:t xml:space="preserve"> (NPA 2016-04)</w:t>
            </w:r>
          </w:p>
        </w:tc>
      </w:tr>
      <w:tr w:rsidR="00F46D4B" w:rsidRPr="009E064B" w14:paraId="470E631F" w14:textId="77777777" w:rsidTr="00CA0AA3">
        <w:tc>
          <w:tcPr>
            <w:tcW w:w="858" w:type="pct"/>
            <w:tcMar>
              <w:top w:w="28" w:type="dxa"/>
              <w:left w:w="85" w:type="dxa"/>
              <w:bottom w:w="28" w:type="dxa"/>
              <w:right w:w="28" w:type="dxa"/>
            </w:tcMar>
          </w:tcPr>
          <w:p w14:paraId="195B427E"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ADR-DSN.R.860 </w:t>
            </w:r>
          </w:p>
        </w:tc>
        <w:tc>
          <w:tcPr>
            <w:tcW w:w="3129" w:type="pct"/>
            <w:tcMar>
              <w:top w:w="28" w:type="dxa"/>
              <w:left w:w="85" w:type="dxa"/>
              <w:bottom w:w="28" w:type="dxa"/>
              <w:right w:w="28" w:type="dxa"/>
            </w:tcMar>
          </w:tcPr>
          <w:p w14:paraId="5D12AB5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Powierzchnie nienośne</w:t>
            </w:r>
          </w:p>
        </w:tc>
        <w:tc>
          <w:tcPr>
            <w:tcW w:w="1013" w:type="pct"/>
            <w:tcMar>
              <w:top w:w="28" w:type="dxa"/>
              <w:left w:w="85" w:type="dxa"/>
              <w:bottom w:w="28" w:type="dxa"/>
              <w:right w:w="28" w:type="dxa"/>
            </w:tcMar>
          </w:tcPr>
          <w:p w14:paraId="30444B6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EAC7F6C" w14:textId="77777777" w:rsidTr="00CA0AA3">
        <w:tc>
          <w:tcPr>
            <w:tcW w:w="858" w:type="pct"/>
            <w:tcMar>
              <w:top w:w="28" w:type="dxa"/>
              <w:left w:w="85" w:type="dxa"/>
              <w:bottom w:w="28" w:type="dxa"/>
              <w:right w:w="28" w:type="dxa"/>
            </w:tcMar>
          </w:tcPr>
          <w:p w14:paraId="0DFD83E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ADR-DSN.S.875 </w:t>
            </w:r>
          </w:p>
        </w:tc>
        <w:tc>
          <w:tcPr>
            <w:tcW w:w="3129" w:type="pct"/>
            <w:tcMar>
              <w:top w:w="28" w:type="dxa"/>
              <w:left w:w="85" w:type="dxa"/>
              <w:bottom w:w="28" w:type="dxa"/>
              <w:right w:w="28" w:type="dxa"/>
            </w:tcMar>
          </w:tcPr>
          <w:p w14:paraId="51B97D5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zasilania elektrycznego dla urządzeń nawigacji lotniczej</w:t>
            </w:r>
          </w:p>
        </w:tc>
        <w:tc>
          <w:tcPr>
            <w:tcW w:w="1013" w:type="pct"/>
            <w:tcMar>
              <w:top w:w="28" w:type="dxa"/>
              <w:left w:w="85" w:type="dxa"/>
              <w:bottom w:w="28" w:type="dxa"/>
              <w:right w:w="28" w:type="dxa"/>
            </w:tcMar>
          </w:tcPr>
          <w:p w14:paraId="5409952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1712D63" w14:textId="77777777" w:rsidTr="00CA0AA3">
        <w:tc>
          <w:tcPr>
            <w:tcW w:w="858" w:type="pct"/>
            <w:tcMar>
              <w:top w:w="28" w:type="dxa"/>
              <w:left w:w="85" w:type="dxa"/>
              <w:bottom w:w="28" w:type="dxa"/>
              <w:right w:w="28" w:type="dxa"/>
            </w:tcMar>
          </w:tcPr>
          <w:p w14:paraId="0AA0FBD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ADR-DSN.S.880 </w:t>
            </w:r>
          </w:p>
        </w:tc>
        <w:tc>
          <w:tcPr>
            <w:tcW w:w="3129" w:type="pct"/>
            <w:tcMar>
              <w:top w:w="28" w:type="dxa"/>
              <w:left w:w="85" w:type="dxa"/>
              <w:bottom w:w="28" w:type="dxa"/>
              <w:right w:w="28" w:type="dxa"/>
            </w:tcMar>
          </w:tcPr>
          <w:p w14:paraId="5CE979D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Systemy zasilania elektrycznego</w:t>
            </w:r>
          </w:p>
        </w:tc>
        <w:tc>
          <w:tcPr>
            <w:tcW w:w="1013" w:type="pct"/>
            <w:tcMar>
              <w:top w:w="28" w:type="dxa"/>
              <w:left w:w="85" w:type="dxa"/>
              <w:bottom w:w="28" w:type="dxa"/>
              <w:right w:w="28" w:type="dxa"/>
            </w:tcMar>
          </w:tcPr>
          <w:p w14:paraId="03F4CD3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36D3A57D" w14:textId="77777777" w:rsidTr="00CA0AA3">
        <w:tc>
          <w:tcPr>
            <w:tcW w:w="858" w:type="pct"/>
            <w:tcMar>
              <w:top w:w="28" w:type="dxa"/>
              <w:left w:w="85" w:type="dxa"/>
              <w:bottom w:w="28" w:type="dxa"/>
              <w:right w:w="28" w:type="dxa"/>
            </w:tcMar>
          </w:tcPr>
          <w:p w14:paraId="4DE72593"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ADR-DSN.S.885 </w:t>
            </w:r>
          </w:p>
        </w:tc>
        <w:tc>
          <w:tcPr>
            <w:tcW w:w="3129" w:type="pct"/>
            <w:tcMar>
              <w:top w:w="28" w:type="dxa"/>
              <w:left w:w="85" w:type="dxa"/>
              <w:bottom w:w="28" w:type="dxa"/>
              <w:right w:w="28" w:type="dxa"/>
            </w:tcMar>
          </w:tcPr>
          <w:p w14:paraId="379966D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Projekt systemu.</w:t>
            </w:r>
          </w:p>
        </w:tc>
        <w:tc>
          <w:tcPr>
            <w:tcW w:w="1013" w:type="pct"/>
            <w:tcMar>
              <w:top w:w="28" w:type="dxa"/>
              <w:left w:w="85" w:type="dxa"/>
              <w:bottom w:w="28" w:type="dxa"/>
              <w:right w:w="28" w:type="dxa"/>
            </w:tcMar>
          </w:tcPr>
          <w:p w14:paraId="130B62A2"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6249A85" w14:textId="77777777" w:rsidTr="00CA0AA3">
        <w:tc>
          <w:tcPr>
            <w:tcW w:w="858" w:type="pct"/>
            <w:tcMar>
              <w:top w:w="28" w:type="dxa"/>
              <w:left w:w="85" w:type="dxa"/>
              <w:bottom w:w="28" w:type="dxa"/>
              <w:right w:w="28" w:type="dxa"/>
            </w:tcMar>
          </w:tcPr>
          <w:p w14:paraId="70806E92"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ADR-DSN.S.890 </w:t>
            </w:r>
          </w:p>
        </w:tc>
        <w:tc>
          <w:tcPr>
            <w:tcW w:w="3129" w:type="pct"/>
            <w:tcMar>
              <w:top w:w="28" w:type="dxa"/>
              <w:left w:w="85" w:type="dxa"/>
              <w:bottom w:w="28" w:type="dxa"/>
              <w:right w:w="28" w:type="dxa"/>
            </w:tcMar>
          </w:tcPr>
          <w:p w14:paraId="0A1EBFCB"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Monitoring </w:t>
            </w:r>
          </w:p>
        </w:tc>
        <w:tc>
          <w:tcPr>
            <w:tcW w:w="1013" w:type="pct"/>
            <w:tcMar>
              <w:top w:w="28" w:type="dxa"/>
              <w:left w:w="85" w:type="dxa"/>
              <w:bottom w:w="28" w:type="dxa"/>
              <w:right w:w="28" w:type="dxa"/>
            </w:tcMar>
          </w:tcPr>
          <w:p w14:paraId="58B07FD3"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075C02C6" w14:textId="77777777" w:rsidTr="00CA0AA3">
        <w:tc>
          <w:tcPr>
            <w:tcW w:w="858" w:type="pct"/>
            <w:tcMar>
              <w:top w:w="28" w:type="dxa"/>
              <w:left w:w="85" w:type="dxa"/>
              <w:bottom w:w="28" w:type="dxa"/>
              <w:right w:w="28" w:type="dxa"/>
            </w:tcMar>
          </w:tcPr>
          <w:p w14:paraId="4548A42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ADR-DSN.S.895 </w:t>
            </w:r>
          </w:p>
        </w:tc>
        <w:tc>
          <w:tcPr>
            <w:tcW w:w="3129" w:type="pct"/>
            <w:tcMar>
              <w:top w:w="28" w:type="dxa"/>
              <w:left w:w="85" w:type="dxa"/>
              <w:bottom w:w="28" w:type="dxa"/>
              <w:right w:w="28" w:type="dxa"/>
            </w:tcMar>
          </w:tcPr>
          <w:p w14:paraId="0ECD483A"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Poziomy niezawodności</w:t>
            </w:r>
          </w:p>
        </w:tc>
        <w:tc>
          <w:tcPr>
            <w:tcW w:w="1013" w:type="pct"/>
            <w:tcMar>
              <w:top w:w="28" w:type="dxa"/>
              <w:left w:w="85" w:type="dxa"/>
              <w:bottom w:w="28" w:type="dxa"/>
              <w:right w:w="28" w:type="dxa"/>
            </w:tcMar>
          </w:tcPr>
          <w:p w14:paraId="7458A26C"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8F79384" w14:textId="77777777" w:rsidTr="00CA0AA3">
        <w:tc>
          <w:tcPr>
            <w:tcW w:w="858" w:type="pct"/>
            <w:tcMar>
              <w:top w:w="28" w:type="dxa"/>
              <w:left w:w="85" w:type="dxa"/>
              <w:bottom w:w="28" w:type="dxa"/>
              <w:right w:w="28" w:type="dxa"/>
            </w:tcMar>
          </w:tcPr>
          <w:p w14:paraId="6FE30B04"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ADR-DSN.T.900 </w:t>
            </w:r>
          </w:p>
        </w:tc>
        <w:tc>
          <w:tcPr>
            <w:tcW w:w="3129" w:type="pct"/>
            <w:tcMar>
              <w:top w:w="28" w:type="dxa"/>
              <w:left w:w="85" w:type="dxa"/>
              <w:bottom w:w="28" w:type="dxa"/>
              <w:right w:w="28" w:type="dxa"/>
            </w:tcMar>
          </w:tcPr>
          <w:p w14:paraId="742A9548"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Awaryjne drogi dojazdowe oraz drogi serwisowe</w:t>
            </w:r>
          </w:p>
        </w:tc>
        <w:tc>
          <w:tcPr>
            <w:tcW w:w="1013" w:type="pct"/>
            <w:tcMar>
              <w:top w:w="28" w:type="dxa"/>
              <w:left w:w="85" w:type="dxa"/>
              <w:bottom w:w="28" w:type="dxa"/>
              <w:right w:w="28" w:type="dxa"/>
            </w:tcMar>
          </w:tcPr>
          <w:p w14:paraId="20ADDCA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441406E2" w14:textId="77777777" w:rsidTr="00CA0AA3">
        <w:tc>
          <w:tcPr>
            <w:tcW w:w="858" w:type="pct"/>
            <w:tcMar>
              <w:top w:w="28" w:type="dxa"/>
              <w:left w:w="85" w:type="dxa"/>
              <w:bottom w:w="28" w:type="dxa"/>
              <w:right w:w="28" w:type="dxa"/>
            </w:tcMar>
          </w:tcPr>
          <w:p w14:paraId="5CE31168"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ADR-DSN.T.910 </w:t>
            </w:r>
          </w:p>
        </w:tc>
        <w:tc>
          <w:tcPr>
            <w:tcW w:w="3129" w:type="pct"/>
            <w:tcMar>
              <w:top w:w="28" w:type="dxa"/>
              <w:left w:w="85" w:type="dxa"/>
              <w:bottom w:w="28" w:type="dxa"/>
              <w:right w:w="28" w:type="dxa"/>
            </w:tcMar>
          </w:tcPr>
          <w:p w14:paraId="0E1FB68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Wymagania dotyczące łamliwości</w:t>
            </w:r>
          </w:p>
        </w:tc>
        <w:tc>
          <w:tcPr>
            <w:tcW w:w="1013" w:type="pct"/>
            <w:tcMar>
              <w:top w:w="28" w:type="dxa"/>
              <w:left w:w="85" w:type="dxa"/>
              <w:bottom w:w="28" w:type="dxa"/>
              <w:right w:w="28" w:type="dxa"/>
            </w:tcMar>
          </w:tcPr>
          <w:p w14:paraId="71AAE4AF"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2C1D896B" w14:textId="77777777" w:rsidTr="00CA0AA3">
        <w:tc>
          <w:tcPr>
            <w:tcW w:w="858" w:type="pct"/>
            <w:tcMar>
              <w:top w:w="28" w:type="dxa"/>
              <w:left w:w="85" w:type="dxa"/>
              <w:bottom w:w="28" w:type="dxa"/>
              <w:right w:w="28" w:type="dxa"/>
            </w:tcMar>
          </w:tcPr>
          <w:p w14:paraId="4F58E8F0"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ADR-DSN.T.915 </w:t>
            </w:r>
          </w:p>
        </w:tc>
        <w:tc>
          <w:tcPr>
            <w:tcW w:w="3129" w:type="pct"/>
            <w:tcMar>
              <w:top w:w="28" w:type="dxa"/>
              <w:left w:w="85" w:type="dxa"/>
              <w:bottom w:w="28" w:type="dxa"/>
              <w:right w:w="28" w:type="dxa"/>
            </w:tcMar>
          </w:tcPr>
          <w:p w14:paraId="20ED1B0D"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Rozmieszczenie urządzeń i instalacji w strefach operacyjnych</w:t>
            </w:r>
          </w:p>
        </w:tc>
        <w:tc>
          <w:tcPr>
            <w:tcW w:w="1013" w:type="pct"/>
            <w:tcMar>
              <w:top w:w="28" w:type="dxa"/>
              <w:left w:w="85" w:type="dxa"/>
              <w:bottom w:w="28" w:type="dxa"/>
              <w:right w:w="28" w:type="dxa"/>
            </w:tcMar>
          </w:tcPr>
          <w:p w14:paraId="43338FB9"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17236E1A" w14:textId="77777777" w:rsidTr="00CA0AA3">
        <w:tc>
          <w:tcPr>
            <w:tcW w:w="858" w:type="pct"/>
            <w:tcMar>
              <w:top w:w="28" w:type="dxa"/>
              <w:left w:w="85" w:type="dxa"/>
              <w:bottom w:w="28" w:type="dxa"/>
              <w:right w:w="28" w:type="dxa"/>
            </w:tcMar>
          </w:tcPr>
          <w:p w14:paraId="042DA63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ADR-DSN.T.920 </w:t>
            </w:r>
          </w:p>
        </w:tc>
        <w:tc>
          <w:tcPr>
            <w:tcW w:w="3129" w:type="pct"/>
            <w:tcMar>
              <w:top w:w="28" w:type="dxa"/>
              <w:left w:w="85" w:type="dxa"/>
              <w:bottom w:w="28" w:type="dxa"/>
              <w:right w:w="28" w:type="dxa"/>
            </w:tcMar>
          </w:tcPr>
          <w:p w14:paraId="664E4560"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Ogrodzenie </w:t>
            </w:r>
          </w:p>
        </w:tc>
        <w:tc>
          <w:tcPr>
            <w:tcW w:w="1013" w:type="pct"/>
            <w:tcMar>
              <w:top w:w="28" w:type="dxa"/>
              <w:left w:w="85" w:type="dxa"/>
              <w:bottom w:w="28" w:type="dxa"/>
              <w:right w:w="28" w:type="dxa"/>
            </w:tcMar>
          </w:tcPr>
          <w:p w14:paraId="63C852F5"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r w:rsidR="00F46D4B" w:rsidRPr="009E064B" w14:paraId="6C3696DF" w14:textId="77777777" w:rsidTr="00CA0AA3">
        <w:tc>
          <w:tcPr>
            <w:tcW w:w="858" w:type="pct"/>
            <w:tcMar>
              <w:top w:w="28" w:type="dxa"/>
              <w:left w:w="85" w:type="dxa"/>
              <w:bottom w:w="28" w:type="dxa"/>
              <w:right w:w="28" w:type="dxa"/>
            </w:tcMar>
          </w:tcPr>
          <w:p w14:paraId="4543A0E7" w14:textId="77777777" w:rsidR="00F46D4B" w:rsidRPr="009E064B" w:rsidRDefault="00F46D4B" w:rsidP="00B06A9A">
            <w:pPr>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ADR-DSN.U.930 </w:t>
            </w:r>
          </w:p>
        </w:tc>
        <w:tc>
          <w:tcPr>
            <w:tcW w:w="3129" w:type="pct"/>
            <w:tcMar>
              <w:top w:w="28" w:type="dxa"/>
              <w:left w:w="85" w:type="dxa"/>
              <w:bottom w:w="28" w:type="dxa"/>
              <w:right w:w="28" w:type="dxa"/>
            </w:tcMar>
          </w:tcPr>
          <w:p w14:paraId="4E80A65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 xml:space="preserve">Kolory naziemnych świateł lotniczych </w:t>
            </w:r>
          </w:p>
        </w:tc>
        <w:tc>
          <w:tcPr>
            <w:tcW w:w="1013" w:type="pct"/>
            <w:tcMar>
              <w:top w:w="28" w:type="dxa"/>
              <w:left w:w="85" w:type="dxa"/>
              <w:bottom w:w="28" w:type="dxa"/>
              <w:right w:w="28" w:type="dxa"/>
            </w:tcMar>
          </w:tcPr>
          <w:p w14:paraId="387B45EE" w14:textId="77777777" w:rsidR="00F46D4B" w:rsidRPr="009E064B" w:rsidRDefault="00F46D4B" w:rsidP="00B06A9A">
            <w:pPr>
              <w:spacing w:after="0"/>
              <w:jc w:val="left"/>
              <w:rPr>
                <w:rFonts w:asciiTheme="minorHAnsi" w:hAnsiTheme="minorHAnsi" w:cstheme="minorHAnsi"/>
                <w:sz w:val="16"/>
                <w:szCs w:val="16"/>
              </w:rPr>
            </w:pPr>
            <w:r w:rsidRPr="009E064B">
              <w:rPr>
                <w:rFonts w:asciiTheme="minorHAnsi" w:hAnsiTheme="minorHAnsi" w:cstheme="minorHAnsi"/>
                <w:sz w:val="16"/>
                <w:szCs w:val="16"/>
              </w:rPr>
              <w:t>Zmieniony (NPA 2016-04)</w:t>
            </w:r>
          </w:p>
        </w:tc>
      </w:tr>
    </w:tbl>
    <w:p w14:paraId="079EC23D" w14:textId="2371A246" w:rsidR="00F46D4B" w:rsidRPr="009E064B" w:rsidRDefault="00F46D4B" w:rsidP="00CA0AA3">
      <w:pPr>
        <w:spacing w:after="0"/>
      </w:pPr>
    </w:p>
    <w:p w14:paraId="596B2AAC" w14:textId="77777777" w:rsidR="00D41836" w:rsidRPr="009E064B" w:rsidRDefault="00D41836" w:rsidP="00CA0AA3">
      <w:pPr>
        <w:spacing w:after="0"/>
      </w:pPr>
    </w:p>
    <w:p w14:paraId="708E4233" w14:textId="08A25A0C" w:rsidR="00F46D4B" w:rsidRPr="009E064B" w:rsidRDefault="00F46D4B" w:rsidP="00CA0AA3">
      <w:pPr>
        <w:spacing w:after="240"/>
        <w:jc w:val="center"/>
        <w:rPr>
          <w:b/>
        </w:rPr>
      </w:pPr>
      <w:bookmarkStart w:id="761" w:name="_Toc482886524"/>
      <w:r w:rsidRPr="009E064B">
        <w:rPr>
          <w:b/>
        </w:rPr>
        <w:t xml:space="preserve">CS-ADR-DSN </w:t>
      </w:r>
      <w:r w:rsidR="007B51FE" w:rsidRPr="009E064B">
        <w:rPr>
          <w:b/>
        </w:rPr>
        <w:t>Wydanie</w:t>
      </w:r>
      <w:r w:rsidRPr="009E064B">
        <w:rPr>
          <w:b/>
        </w:rPr>
        <w:t xml:space="preserve"> 2</w:t>
      </w:r>
      <w:bookmarkEnd w:id="761"/>
    </w:p>
    <w:p w14:paraId="1C8E8688" w14:textId="77777777" w:rsidR="00F46D4B" w:rsidRPr="009E064B" w:rsidRDefault="00F46D4B" w:rsidP="0095494E">
      <w:pPr>
        <w:spacing w:after="0"/>
        <w:jc w:val="center"/>
      </w:pPr>
      <w:r w:rsidRPr="009E064B">
        <w:t>Data wejścia w życie określona jest w Decyzji Dyrektora Wykonawczego EASA nr 2015/001/R</w:t>
      </w:r>
    </w:p>
    <w:p w14:paraId="22CBC761" w14:textId="77777777" w:rsidR="00F46D4B" w:rsidRPr="009E064B" w:rsidRDefault="00F46D4B" w:rsidP="00957AA7">
      <w:pPr>
        <w:spacing w:after="0"/>
      </w:pPr>
    </w:p>
    <w:p w14:paraId="7EACA203" w14:textId="67651BDF" w:rsidR="00F46D4B" w:rsidRPr="009E064B" w:rsidRDefault="00F46D4B" w:rsidP="0095494E">
      <w:pPr>
        <w:spacing w:after="240"/>
        <w:jc w:val="left"/>
      </w:pPr>
      <w:r w:rsidRPr="009E064B">
        <w:t>Zestawienie CS i GM, które zostały zmienione w wydaniu 2-gim CS-ADR-DSN:</w:t>
      </w:r>
    </w:p>
    <w:tbl>
      <w:tblPr>
        <w:tblStyle w:val="Tabela-Siatka"/>
        <w:tblW w:w="5000" w:type="pct"/>
        <w:tblLook w:val="04A0" w:firstRow="1" w:lastRow="0" w:firstColumn="1" w:lastColumn="0" w:noHBand="0" w:noVBand="1"/>
      </w:tblPr>
      <w:tblGrid>
        <w:gridCol w:w="1898"/>
        <w:gridCol w:w="5217"/>
        <w:gridCol w:w="2171"/>
      </w:tblGrid>
      <w:tr w:rsidR="00C838DA" w:rsidRPr="009E064B" w14:paraId="2D1D7E65" w14:textId="77777777" w:rsidTr="00C838DA">
        <w:tc>
          <w:tcPr>
            <w:tcW w:w="1022" w:type="pct"/>
            <w:shd w:val="clear" w:color="auto" w:fill="D9D9D9" w:themeFill="background1" w:themeFillShade="D9"/>
          </w:tcPr>
          <w:p w14:paraId="12D49A57"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Lista skrótów</w:t>
            </w:r>
          </w:p>
        </w:tc>
        <w:tc>
          <w:tcPr>
            <w:tcW w:w="2808" w:type="pct"/>
            <w:shd w:val="clear" w:color="auto" w:fill="D9D9D9" w:themeFill="background1" w:themeFillShade="D9"/>
          </w:tcPr>
          <w:p w14:paraId="0131ABA3"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Dotyczy</w:t>
            </w:r>
          </w:p>
        </w:tc>
        <w:tc>
          <w:tcPr>
            <w:tcW w:w="1169" w:type="pct"/>
            <w:shd w:val="clear" w:color="auto" w:fill="D9D9D9" w:themeFill="background1" w:themeFillShade="D9"/>
          </w:tcPr>
          <w:p w14:paraId="6992503F" w14:textId="77777777" w:rsidR="00C838DA" w:rsidRPr="009E064B" w:rsidRDefault="00C838DA" w:rsidP="00C838DA">
            <w:pPr>
              <w:spacing w:after="0"/>
              <w:jc w:val="center"/>
              <w:rPr>
                <w:rFonts w:asciiTheme="minorHAnsi" w:hAnsiTheme="minorHAnsi" w:cstheme="minorHAnsi"/>
                <w:b/>
                <w:sz w:val="18"/>
                <w:szCs w:val="16"/>
              </w:rPr>
            </w:pPr>
            <w:r w:rsidRPr="009E064B">
              <w:rPr>
                <w:rFonts w:asciiTheme="minorHAnsi" w:hAnsiTheme="minorHAnsi" w:cstheme="minorHAnsi"/>
                <w:b/>
                <w:sz w:val="18"/>
                <w:szCs w:val="16"/>
              </w:rPr>
              <w:t>Dodano</w:t>
            </w:r>
          </w:p>
        </w:tc>
      </w:tr>
      <w:tr w:rsidR="00F46D4B" w:rsidRPr="009E064B" w14:paraId="74F77081" w14:textId="77777777" w:rsidTr="00C838DA">
        <w:tc>
          <w:tcPr>
            <w:tcW w:w="1022" w:type="pct"/>
            <w:tcMar>
              <w:top w:w="28" w:type="dxa"/>
              <w:left w:w="85" w:type="dxa"/>
              <w:bottom w:w="28" w:type="dxa"/>
              <w:right w:w="28" w:type="dxa"/>
            </w:tcMar>
          </w:tcPr>
          <w:p w14:paraId="3FD03BC2"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CS ADR-DSN.D.260</w:t>
            </w:r>
          </w:p>
        </w:tc>
        <w:tc>
          <w:tcPr>
            <w:tcW w:w="2808" w:type="pct"/>
            <w:tcMar>
              <w:top w:w="28" w:type="dxa"/>
              <w:left w:w="85" w:type="dxa"/>
              <w:bottom w:w="28" w:type="dxa"/>
              <w:right w:w="28" w:type="dxa"/>
            </w:tcMar>
          </w:tcPr>
          <w:p w14:paraId="32916642"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Minimalne odległości separacji na drogach kołowania</w:t>
            </w:r>
          </w:p>
        </w:tc>
        <w:tc>
          <w:tcPr>
            <w:tcW w:w="1169" w:type="pct"/>
            <w:tcMar>
              <w:top w:w="28" w:type="dxa"/>
              <w:left w:w="85" w:type="dxa"/>
              <w:bottom w:w="28" w:type="dxa"/>
              <w:right w:w="28" w:type="dxa"/>
            </w:tcMar>
          </w:tcPr>
          <w:p w14:paraId="0F0CB138"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 xml:space="preserve">Zmieniony (NPA 2014-21) </w:t>
            </w:r>
          </w:p>
        </w:tc>
      </w:tr>
      <w:tr w:rsidR="00F46D4B" w:rsidRPr="009E064B" w14:paraId="41AE2D7D" w14:textId="77777777" w:rsidTr="00C838DA">
        <w:tc>
          <w:tcPr>
            <w:tcW w:w="1022" w:type="pct"/>
            <w:tcMar>
              <w:top w:w="28" w:type="dxa"/>
              <w:left w:w="85" w:type="dxa"/>
              <w:bottom w:w="28" w:type="dxa"/>
              <w:right w:w="28" w:type="dxa"/>
            </w:tcMar>
          </w:tcPr>
          <w:p w14:paraId="53A409C9"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ADR-DSN.G.400 </w:t>
            </w:r>
          </w:p>
        </w:tc>
        <w:tc>
          <w:tcPr>
            <w:tcW w:w="2808" w:type="pct"/>
            <w:tcMar>
              <w:top w:w="28" w:type="dxa"/>
              <w:left w:w="85" w:type="dxa"/>
              <w:bottom w:w="28" w:type="dxa"/>
              <w:right w:w="28" w:type="dxa"/>
            </w:tcMar>
          </w:tcPr>
          <w:p w14:paraId="571846D9" w14:textId="238D00DE" w:rsidR="00F46D4B" w:rsidRPr="009E064B" w:rsidRDefault="00F46D4B" w:rsidP="0095494E">
            <w:pPr>
              <w:widowControl/>
              <w:spacing w:after="0"/>
              <w:jc w:val="left"/>
              <w:rPr>
                <w:rFonts w:asciiTheme="minorHAnsi" w:hAnsiTheme="minorHAnsi" w:cstheme="minorHAnsi"/>
                <w:sz w:val="16"/>
                <w:szCs w:val="16"/>
              </w:rPr>
            </w:pPr>
            <w:r w:rsidRPr="009E064B">
              <w:rPr>
                <w:rFonts w:asciiTheme="minorHAnsi" w:hAnsiTheme="minorHAnsi" w:cstheme="minorHAnsi"/>
                <w:sz w:val="16"/>
                <w:szCs w:val="16"/>
              </w:rPr>
              <w:t>Odstępy na płaszczyźnie do odladzania</w:t>
            </w:r>
            <w:r w:rsidR="0095494E" w:rsidRPr="009E064B">
              <w:rPr>
                <w:rFonts w:asciiTheme="minorHAnsi" w:hAnsiTheme="minorHAnsi" w:cstheme="minorHAnsi"/>
                <w:sz w:val="16"/>
                <w:szCs w:val="16"/>
              </w:rPr>
              <w:t> </w:t>
            </w:r>
            <w:r w:rsidRPr="009E064B">
              <w:rPr>
                <w:rFonts w:asciiTheme="minorHAnsi" w:hAnsiTheme="minorHAnsi" w:cstheme="minorHAnsi"/>
                <w:sz w:val="16"/>
                <w:szCs w:val="16"/>
              </w:rPr>
              <w:t>/</w:t>
            </w:r>
            <w:r w:rsidR="0095494E" w:rsidRPr="009E064B">
              <w:rPr>
                <w:rFonts w:asciiTheme="minorHAnsi" w:hAnsiTheme="minorHAnsi" w:cstheme="minorHAnsi"/>
                <w:sz w:val="16"/>
                <w:szCs w:val="16"/>
              </w:rPr>
              <w:t> </w:t>
            </w:r>
            <w:r w:rsidRPr="009E064B">
              <w:rPr>
                <w:rFonts w:asciiTheme="minorHAnsi" w:hAnsiTheme="minorHAnsi" w:cstheme="minorHAnsi"/>
                <w:sz w:val="16"/>
                <w:szCs w:val="16"/>
              </w:rPr>
              <w:t>przeciwdziałania oblodzeniu</w:t>
            </w:r>
          </w:p>
        </w:tc>
        <w:tc>
          <w:tcPr>
            <w:tcW w:w="1169" w:type="pct"/>
            <w:tcMar>
              <w:top w:w="28" w:type="dxa"/>
              <w:left w:w="85" w:type="dxa"/>
              <w:bottom w:w="28" w:type="dxa"/>
              <w:right w:w="28" w:type="dxa"/>
            </w:tcMar>
          </w:tcPr>
          <w:p w14:paraId="5962E313"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Zmieniony (NPA 2014-21)</w:t>
            </w:r>
          </w:p>
        </w:tc>
      </w:tr>
      <w:tr w:rsidR="00F46D4B" w:rsidRPr="009E064B" w14:paraId="0479E545" w14:textId="77777777" w:rsidTr="00C838DA">
        <w:tc>
          <w:tcPr>
            <w:tcW w:w="1022" w:type="pct"/>
            <w:tcMar>
              <w:top w:w="28" w:type="dxa"/>
              <w:left w:w="85" w:type="dxa"/>
              <w:bottom w:w="28" w:type="dxa"/>
              <w:right w:w="28" w:type="dxa"/>
            </w:tcMar>
          </w:tcPr>
          <w:p w14:paraId="5213E93A"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 xml:space="preserve">CS ADR-DSN.T.915 </w:t>
            </w:r>
          </w:p>
        </w:tc>
        <w:tc>
          <w:tcPr>
            <w:tcW w:w="2808" w:type="pct"/>
            <w:tcMar>
              <w:top w:w="28" w:type="dxa"/>
              <w:left w:w="85" w:type="dxa"/>
              <w:bottom w:w="28" w:type="dxa"/>
              <w:right w:w="28" w:type="dxa"/>
            </w:tcMar>
          </w:tcPr>
          <w:p w14:paraId="60E74796"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Rozmieszczenie urządzeń i instalacji w strefach operacyjnych</w:t>
            </w:r>
          </w:p>
        </w:tc>
        <w:tc>
          <w:tcPr>
            <w:tcW w:w="1169" w:type="pct"/>
            <w:tcMar>
              <w:top w:w="28" w:type="dxa"/>
              <w:left w:w="85" w:type="dxa"/>
              <w:bottom w:w="28" w:type="dxa"/>
              <w:right w:w="28" w:type="dxa"/>
            </w:tcMar>
          </w:tcPr>
          <w:p w14:paraId="23B22674"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Zmieniony (NPA 2014-21)</w:t>
            </w:r>
          </w:p>
        </w:tc>
      </w:tr>
      <w:tr w:rsidR="00F46D4B" w:rsidRPr="009E064B" w14:paraId="76FE36CE" w14:textId="77777777" w:rsidTr="00C838DA">
        <w:tc>
          <w:tcPr>
            <w:tcW w:w="1022" w:type="pct"/>
            <w:tcMar>
              <w:top w:w="28" w:type="dxa"/>
              <w:left w:w="85" w:type="dxa"/>
              <w:bottom w:w="28" w:type="dxa"/>
              <w:right w:w="28" w:type="dxa"/>
            </w:tcMar>
          </w:tcPr>
          <w:p w14:paraId="535D3339"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 xml:space="preserve">GM1 ADR-DSN.D.260 </w:t>
            </w:r>
          </w:p>
        </w:tc>
        <w:tc>
          <w:tcPr>
            <w:tcW w:w="2808" w:type="pct"/>
            <w:tcMar>
              <w:top w:w="28" w:type="dxa"/>
              <w:left w:w="85" w:type="dxa"/>
              <w:bottom w:w="28" w:type="dxa"/>
              <w:right w:w="28" w:type="dxa"/>
            </w:tcMar>
          </w:tcPr>
          <w:p w14:paraId="39830386"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Minimalne odległości separacji na drogach kołowania</w:t>
            </w:r>
          </w:p>
        </w:tc>
        <w:tc>
          <w:tcPr>
            <w:tcW w:w="1169" w:type="pct"/>
            <w:tcMar>
              <w:top w:w="28" w:type="dxa"/>
              <w:left w:w="85" w:type="dxa"/>
              <w:bottom w:w="28" w:type="dxa"/>
              <w:right w:w="28" w:type="dxa"/>
            </w:tcMar>
          </w:tcPr>
          <w:p w14:paraId="722B0225" w14:textId="77777777" w:rsidR="00F46D4B" w:rsidRPr="009E064B" w:rsidRDefault="00F46D4B" w:rsidP="0095494E">
            <w:pPr>
              <w:widowControl/>
              <w:spacing w:after="0"/>
              <w:rPr>
                <w:rFonts w:asciiTheme="minorHAnsi" w:hAnsiTheme="minorHAnsi" w:cstheme="minorHAnsi"/>
                <w:sz w:val="16"/>
                <w:szCs w:val="16"/>
              </w:rPr>
            </w:pPr>
            <w:r w:rsidRPr="009E064B">
              <w:rPr>
                <w:rFonts w:asciiTheme="minorHAnsi" w:hAnsiTheme="minorHAnsi" w:cstheme="minorHAnsi"/>
                <w:sz w:val="16"/>
                <w:szCs w:val="16"/>
              </w:rPr>
              <w:t>Zmieniony (NPA 2014-21)</w:t>
            </w:r>
          </w:p>
        </w:tc>
      </w:tr>
    </w:tbl>
    <w:p w14:paraId="618C0604" w14:textId="77777777" w:rsidR="001B2374" w:rsidRPr="009E064B" w:rsidRDefault="001B2374" w:rsidP="00B06A9A"/>
    <w:p w14:paraId="53CFC16F" w14:textId="77777777" w:rsidR="00F46D4B" w:rsidRPr="009E064B" w:rsidRDefault="00F46D4B" w:rsidP="00B06A9A">
      <w:pPr>
        <w:sectPr w:rsidR="00F46D4B" w:rsidRPr="009E064B" w:rsidSect="00AE1280">
          <w:headerReference w:type="first" r:id="rId103"/>
          <w:pgSz w:w="11906" w:h="16840" w:code="9"/>
          <w:pgMar w:top="1701" w:right="1418" w:bottom="1418" w:left="1418" w:header="567" w:footer="454" w:gutter="0"/>
          <w:cols w:space="708"/>
          <w:titlePg/>
          <w:docGrid w:linePitch="360"/>
        </w:sectPr>
      </w:pPr>
    </w:p>
    <w:p w14:paraId="643CB46F" w14:textId="2CBD6D1D" w:rsidR="00F46D4B" w:rsidRPr="009E064B" w:rsidRDefault="00F46D4B" w:rsidP="00B06A9A"/>
    <w:p w14:paraId="7A0FABC1" w14:textId="041B3D83" w:rsidR="00AC725F" w:rsidRPr="009E064B" w:rsidRDefault="00AC725F" w:rsidP="00AC725F">
      <w:pPr>
        <w:pStyle w:val="Nagwek2"/>
      </w:pPr>
      <w:bookmarkStart w:id="762" w:name="_Toc12532902"/>
      <w:r w:rsidRPr="009E064B">
        <w:t>Lista skrótów</w:t>
      </w:r>
      <w:bookmarkEnd w:id="762"/>
    </w:p>
    <w:p w14:paraId="2B1699DD" w14:textId="7DA642E6" w:rsidR="00AC725F" w:rsidRPr="009E064B" w:rsidRDefault="00AC725F" w:rsidP="00AC725F">
      <w:pPr>
        <w:spacing w:before="240"/>
        <w:jc w:val="center"/>
      </w:pPr>
      <w:r w:rsidRPr="009E064B">
        <w:t>(używanych w CS-ADR-DSN)</w:t>
      </w:r>
    </w:p>
    <w:p w14:paraId="5506507E" w14:textId="77777777" w:rsidR="00AC725F" w:rsidRPr="009E064B" w:rsidRDefault="00AC725F" w:rsidP="00B06A9A"/>
    <w:tbl>
      <w:tblPr>
        <w:tblW w:w="5062" w:type="pct"/>
        <w:tblInd w:w="-113" w:type="dxa"/>
        <w:tblBorders>
          <w:top w:val="nil"/>
          <w:left w:val="nil"/>
          <w:bottom w:val="nil"/>
          <w:right w:val="nil"/>
        </w:tblBorders>
        <w:tblCellMar>
          <w:top w:w="28" w:type="dxa"/>
          <w:left w:w="85" w:type="dxa"/>
          <w:bottom w:w="28" w:type="dxa"/>
          <w:right w:w="85" w:type="dxa"/>
        </w:tblCellMar>
        <w:tblLook w:val="0000" w:firstRow="0" w:lastRow="0" w:firstColumn="0" w:lastColumn="0" w:noHBand="0" w:noVBand="0"/>
      </w:tblPr>
      <w:tblGrid>
        <w:gridCol w:w="1123"/>
        <w:gridCol w:w="4048"/>
        <w:gridCol w:w="4184"/>
      </w:tblGrid>
      <w:tr w:rsidR="00FD48AA" w:rsidRPr="009E064B" w14:paraId="7F2594D4" w14:textId="77777777" w:rsidTr="00A44F9A">
        <w:trPr>
          <w:trHeight w:val="99"/>
        </w:trPr>
        <w:tc>
          <w:tcPr>
            <w:tcW w:w="11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45C253" w14:textId="2D08D2C0" w:rsidR="00FD48AA" w:rsidRPr="009E064B" w:rsidRDefault="00FD48AA" w:rsidP="00FD48AA">
            <w:pPr>
              <w:spacing w:after="0"/>
              <w:jc w:val="center"/>
              <w:rPr>
                <w:rFonts w:asciiTheme="minorHAnsi" w:hAnsiTheme="minorHAnsi" w:cstheme="minorHAnsi"/>
                <w:color w:val="000000"/>
                <w:sz w:val="18"/>
                <w:szCs w:val="18"/>
              </w:rPr>
            </w:pPr>
            <w:r w:rsidRPr="009E064B">
              <w:rPr>
                <w:rFonts w:cs="Calibri"/>
                <w:b/>
                <w:color w:val="000000"/>
                <w:sz w:val="20"/>
                <w:szCs w:val="20"/>
              </w:rPr>
              <w:t>Skrót</w:t>
            </w:r>
          </w:p>
        </w:tc>
        <w:tc>
          <w:tcPr>
            <w:tcW w:w="3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3CA20D" w14:textId="0EA5B357" w:rsidR="00FD48AA" w:rsidRPr="00C62A31" w:rsidRDefault="00FD48AA" w:rsidP="00A44F9A">
            <w:pPr>
              <w:spacing w:after="0"/>
              <w:jc w:val="center"/>
              <w:rPr>
                <w:rFonts w:asciiTheme="minorHAnsi" w:hAnsiTheme="minorHAnsi" w:cstheme="minorHAnsi"/>
                <w:color w:val="000000"/>
                <w:sz w:val="18"/>
                <w:szCs w:val="18"/>
                <w:lang w:val="en-GB"/>
              </w:rPr>
            </w:pPr>
            <w:r w:rsidRPr="00C62A31">
              <w:rPr>
                <w:rFonts w:cs="Calibri"/>
                <w:b/>
                <w:color w:val="000000"/>
                <w:sz w:val="20"/>
                <w:szCs w:val="20"/>
                <w:lang w:val="en-GB"/>
              </w:rPr>
              <w:t>Nazwa w j</w:t>
            </w:r>
            <w:r w:rsidR="00A44F9A">
              <w:rPr>
                <w:rFonts w:cs="Calibri"/>
                <w:b/>
                <w:color w:val="000000"/>
                <w:sz w:val="20"/>
                <w:szCs w:val="20"/>
                <w:lang w:val="en-GB"/>
              </w:rPr>
              <w:t>ęzyku</w:t>
            </w:r>
            <w:r w:rsidRPr="00C62A31">
              <w:rPr>
                <w:rFonts w:cs="Calibri"/>
                <w:b/>
                <w:color w:val="000000"/>
                <w:sz w:val="20"/>
                <w:szCs w:val="20"/>
                <w:lang w:val="en-GB"/>
              </w:rPr>
              <w:t xml:space="preserve"> ang</w:t>
            </w:r>
            <w:r w:rsidR="00A44F9A">
              <w:rPr>
                <w:rFonts w:cs="Calibri"/>
                <w:b/>
                <w:color w:val="000000"/>
                <w:sz w:val="20"/>
                <w:szCs w:val="20"/>
                <w:lang w:val="en-GB"/>
              </w:rPr>
              <w:t>ielskim</w:t>
            </w:r>
          </w:p>
        </w:tc>
        <w:tc>
          <w:tcPr>
            <w:tcW w:w="410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219389" w14:textId="75B73880" w:rsidR="00FD48AA" w:rsidRPr="009E064B" w:rsidRDefault="00FD48AA" w:rsidP="00A44F9A">
            <w:pPr>
              <w:spacing w:after="0"/>
              <w:jc w:val="center"/>
              <w:rPr>
                <w:rFonts w:asciiTheme="minorHAnsi" w:hAnsiTheme="minorHAnsi" w:cstheme="minorHAnsi"/>
                <w:color w:val="000000"/>
                <w:sz w:val="18"/>
                <w:szCs w:val="18"/>
              </w:rPr>
            </w:pPr>
            <w:r w:rsidRPr="009E064B">
              <w:rPr>
                <w:rFonts w:cs="Calibri"/>
                <w:b/>
                <w:color w:val="000000"/>
                <w:sz w:val="20"/>
                <w:szCs w:val="20"/>
              </w:rPr>
              <w:t>N</w:t>
            </w:r>
            <w:r w:rsidR="00A44F9A">
              <w:rPr>
                <w:rFonts w:cs="Calibri"/>
                <w:b/>
                <w:color w:val="000000"/>
                <w:sz w:val="20"/>
                <w:szCs w:val="20"/>
              </w:rPr>
              <w:t>azwa w języku polskim</w:t>
            </w:r>
          </w:p>
        </w:tc>
      </w:tr>
      <w:tr w:rsidR="00FD48AA" w:rsidRPr="009E064B" w14:paraId="6C028E1B" w14:textId="724F964A"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B87BB67"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ACN </w:t>
            </w:r>
          </w:p>
        </w:tc>
        <w:tc>
          <w:tcPr>
            <w:tcW w:w="3969" w:type="dxa"/>
            <w:tcBorders>
              <w:top w:val="single" w:sz="4" w:space="0" w:color="auto"/>
              <w:left w:val="single" w:sz="4" w:space="0" w:color="auto"/>
              <w:bottom w:val="single" w:sz="4" w:space="0" w:color="auto"/>
              <w:right w:val="single" w:sz="4" w:space="0" w:color="auto"/>
            </w:tcBorders>
          </w:tcPr>
          <w:p w14:paraId="712D2573" w14:textId="701A3B8B"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Aircraft classification number</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2457E4E" w14:textId="1B570AF9"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Liczba klasyfikacyjna statku powietrznego</w:t>
            </w:r>
          </w:p>
        </w:tc>
      </w:tr>
      <w:tr w:rsidR="00FD48AA" w:rsidRPr="009E064B" w14:paraId="7FB7EAB8" w14:textId="6F0B660D"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912A037"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AGL </w:t>
            </w:r>
          </w:p>
        </w:tc>
        <w:tc>
          <w:tcPr>
            <w:tcW w:w="3969" w:type="dxa"/>
            <w:tcBorders>
              <w:top w:val="single" w:sz="4" w:space="0" w:color="auto"/>
              <w:left w:val="single" w:sz="4" w:space="0" w:color="auto"/>
              <w:bottom w:val="single" w:sz="4" w:space="0" w:color="auto"/>
              <w:right w:val="single" w:sz="4" w:space="0" w:color="auto"/>
            </w:tcBorders>
          </w:tcPr>
          <w:p w14:paraId="1A9921F1" w14:textId="6CA1F7DF"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Above ground level</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356FA55" w14:textId="3B670DF2" w:rsidR="00FD48AA"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Nad poziomem ziemi</w:t>
            </w:r>
          </w:p>
        </w:tc>
      </w:tr>
      <w:tr w:rsidR="00FD48AA" w:rsidRPr="009E064B" w14:paraId="00AD9745" w14:textId="5ACE6139"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DB4A2AF"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AGL </w:t>
            </w:r>
          </w:p>
        </w:tc>
        <w:tc>
          <w:tcPr>
            <w:tcW w:w="3969" w:type="dxa"/>
            <w:tcBorders>
              <w:top w:val="single" w:sz="4" w:space="0" w:color="auto"/>
              <w:left w:val="single" w:sz="4" w:space="0" w:color="auto"/>
              <w:bottom w:val="single" w:sz="4" w:space="0" w:color="auto"/>
              <w:right w:val="single" w:sz="4" w:space="0" w:color="auto"/>
            </w:tcBorders>
          </w:tcPr>
          <w:p w14:paraId="25D1E792" w14:textId="3F3F30F3"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Aeronautical ground light</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A74B973" w14:textId="0F085B6C" w:rsidR="00FD48AA" w:rsidRPr="005D070C" w:rsidRDefault="00C62A3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Naziemne światła lotnicze</w:t>
            </w:r>
          </w:p>
        </w:tc>
      </w:tr>
      <w:tr w:rsidR="00FD48AA" w:rsidRPr="009E064B" w14:paraId="447B34F5" w14:textId="2AFB404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1E90F3A2"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AIP </w:t>
            </w:r>
          </w:p>
        </w:tc>
        <w:tc>
          <w:tcPr>
            <w:tcW w:w="3969" w:type="dxa"/>
            <w:tcBorders>
              <w:top w:val="single" w:sz="4" w:space="0" w:color="auto"/>
              <w:left w:val="single" w:sz="4" w:space="0" w:color="auto"/>
              <w:bottom w:val="single" w:sz="4" w:space="0" w:color="auto"/>
              <w:right w:val="single" w:sz="4" w:space="0" w:color="auto"/>
            </w:tcBorders>
          </w:tcPr>
          <w:p w14:paraId="39DF3EDB" w14:textId="30F989C8"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Aeron</w:t>
            </w:r>
            <w:r w:rsidR="001910F1">
              <w:rPr>
                <w:rFonts w:asciiTheme="minorHAnsi" w:hAnsiTheme="minorHAnsi" w:cstheme="minorHAnsi"/>
                <w:color w:val="000000"/>
                <w:sz w:val="18"/>
                <w:szCs w:val="18"/>
                <w:lang w:val="en-GB"/>
              </w:rPr>
              <w:t>autical information publication</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3DDB2EC" w14:textId="00DC70AB"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Zbiór informacji lotniczych</w:t>
            </w:r>
          </w:p>
        </w:tc>
      </w:tr>
      <w:tr w:rsidR="00FD48AA" w:rsidRPr="009E064B" w14:paraId="7E0AF92A" w14:textId="6B25B40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5AB719F"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AIS </w:t>
            </w:r>
          </w:p>
        </w:tc>
        <w:tc>
          <w:tcPr>
            <w:tcW w:w="3969" w:type="dxa"/>
            <w:tcBorders>
              <w:top w:val="single" w:sz="4" w:space="0" w:color="auto"/>
              <w:left w:val="single" w:sz="4" w:space="0" w:color="auto"/>
              <w:bottom w:val="single" w:sz="4" w:space="0" w:color="auto"/>
              <w:right w:val="single" w:sz="4" w:space="0" w:color="auto"/>
            </w:tcBorders>
          </w:tcPr>
          <w:p w14:paraId="5D32B9B3" w14:textId="5CC87DBF"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Ae</w:t>
            </w:r>
            <w:r w:rsidR="001910F1">
              <w:rPr>
                <w:rFonts w:asciiTheme="minorHAnsi" w:hAnsiTheme="minorHAnsi" w:cstheme="minorHAnsi"/>
                <w:color w:val="000000"/>
                <w:sz w:val="18"/>
                <w:szCs w:val="18"/>
                <w:lang w:val="en-GB"/>
              </w:rPr>
              <w:t>ronautical information services</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077E4B5" w14:textId="1CB25152"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Służba informacji lotniczej</w:t>
            </w:r>
          </w:p>
        </w:tc>
      </w:tr>
      <w:tr w:rsidR="00FD48AA" w:rsidRPr="00ED2629" w14:paraId="608B63DE" w14:textId="328DB2EB"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605CB1B"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APAPI </w:t>
            </w:r>
          </w:p>
        </w:tc>
        <w:tc>
          <w:tcPr>
            <w:tcW w:w="3969" w:type="dxa"/>
            <w:tcBorders>
              <w:top w:val="single" w:sz="4" w:space="0" w:color="auto"/>
              <w:left w:val="single" w:sz="4" w:space="0" w:color="auto"/>
              <w:bottom w:val="single" w:sz="4" w:space="0" w:color="auto"/>
              <w:right w:val="single" w:sz="4" w:space="0" w:color="auto"/>
            </w:tcBorders>
          </w:tcPr>
          <w:p w14:paraId="274D6E40" w14:textId="2AAECEC5"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Abbreviated pr</w:t>
            </w:r>
            <w:r w:rsidR="001910F1">
              <w:rPr>
                <w:rFonts w:asciiTheme="minorHAnsi" w:hAnsiTheme="minorHAnsi" w:cstheme="minorHAnsi"/>
                <w:color w:val="000000"/>
                <w:sz w:val="18"/>
                <w:szCs w:val="18"/>
                <w:lang w:val="en-GB"/>
              </w:rPr>
              <w:t>ecision approach path indicator</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115BFEF" w14:textId="13197630"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Skrócony wskaźnik ścieżki podejścia precyzyjnego</w:t>
            </w:r>
          </w:p>
        </w:tc>
      </w:tr>
      <w:tr w:rsidR="00FD48AA" w:rsidRPr="009E064B" w14:paraId="1F93BE55" w14:textId="3A70F02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E831496"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ARC </w:t>
            </w:r>
          </w:p>
        </w:tc>
        <w:tc>
          <w:tcPr>
            <w:tcW w:w="3969" w:type="dxa"/>
            <w:tcBorders>
              <w:top w:val="single" w:sz="4" w:space="0" w:color="auto"/>
              <w:left w:val="single" w:sz="4" w:space="0" w:color="auto"/>
              <w:bottom w:val="single" w:sz="4" w:space="0" w:color="auto"/>
              <w:right w:val="single" w:sz="4" w:space="0" w:color="auto"/>
            </w:tcBorders>
          </w:tcPr>
          <w:p w14:paraId="65B9AFA2" w14:textId="37F9D496"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Aerodrome reference code</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19B97763" w14:textId="6AF91415" w:rsidR="00FD48AA" w:rsidRPr="005D070C" w:rsidRDefault="00C62A3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Kod referencyjny lotniska</w:t>
            </w:r>
          </w:p>
        </w:tc>
      </w:tr>
      <w:tr w:rsidR="00FD48AA" w:rsidRPr="00ED2629" w14:paraId="13A982DB" w14:textId="7B25DBE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1F98C9D"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ARIWS </w:t>
            </w:r>
          </w:p>
        </w:tc>
        <w:tc>
          <w:tcPr>
            <w:tcW w:w="3969" w:type="dxa"/>
            <w:tcBorders>
              <w:top w:val="single" w:sz="4" w:space="0" w:color="auto"/>
              <w:left w:val="single" w:sz="4" w:space="0" w:color="auto"/>
              <w:bottom w:val="single" w:sz="4" w:space="0" w:color="auto"/>
              <w:right w:val="single" w:sz="4" w:space="0" w:color="auto"/>
            </w:tcBorders>
          </w:tcPr>
          <w:p w14:paraId="5D940C52" w14:textId="531F21AC"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Autonomous r</w:t>
            </w:r>
            <w:r w:rsidR="001910F1">
              <w:rPr>
                <w:rFonts w:asciiTheme="minorHAnsi" w:hAnsiTheme="minorHAnsi" w:cstheme="minorHAnsi"/>
                <w:color w:val="000000"/>
                <w:sz w:val="18"/>
                <w:szCs w:val="18"/>
                <w:lang w:val="en-GB"/>
              </w:rPr>
              <w:t>unway incursion warning systems</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671AC3E" w14:textId="52E85971"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Autonomiczny system ostrzegania o wtargnięciach na drogę startową</w:t>
            </w:r>
          </w:p>
        </w:tc>
      </w:tr>
      <w:tr w:rsidR="00FD48AA" w:rsidRPr="009E064B" w14:paraId="2E27F6E6" w14:textId="01E9AE7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690DC69A"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ASDA </w:t>
            </w:r>
          </w:p>
        </w:tc>
        <w:tc>
          <w:tcPr>
            <w:tcW w:w="3969" w:type="dxa"/>
            <w:tcBorders>
              <w:top w:val="single" w:sz="4" w:space="0" w:color="auto"/>
              <w:left w:val="single" w:sz="4" w:space="0" w:color="auto"/>
              <w:bottom w:val="single" w:sz="4" w:space="0" w:color="auto"/>
              <w:right w:val="single" w:sz="4" w:space="0" w:color="auto"/>
            </w:tcBorders>
          </w:tcPr>
          <w:p w14:paraId="5088E0E1" w14:textId="45C79EB9"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Acc</w:t>
            </w:r>
            <w:r w:rsidR="001910F1">
              <w:rPr>
                <w:rFonts w:asciiTheme="minorHAnsi" w:hAnsiTheme="minorHAnsi" w:cstheme="minorHAnsi"/>
                <w:color w:val="000000"/>
                <w:sz w:val="18"/>
                <w:szCs w:val="18"/>
                <w:lang w:val="en-GB"/>
              </w:rPr>
              <w:t>elerate-stop distance available</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CD64937" w14:textId="0997942E"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Rozporządzalna długość przerwanego startu</w:t>
            </w:r>
          </w:p>
        </w:tc>
      </w:tr>
      <w:tr w:rsidR="00FD48AA" w:rsidRPr="001910F1" w14:paraId="68D6D1E3" w14:textId="43C3C23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E37A341"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A-SMGCS </w:t>
            </w:r>
          </w:p>
        </w:tc>
        <w:tc>
          <w:tcPr>
            <w:tcW w:w="3969" w:type="dxa"/>
            <w:tcBorders>
              <w:top w:val="single" w:sz="4" w:space="0" w:color="auto"/>
              <w:left w:val="single" w:sz="4" w:space="0" w:color="auto"/>
              <w:bottom w:val="single" w:sz="4" w:space="0" w:color="auto"/>
              <w:right w:val="single" w:sz="4" w:space="0" w:color="auto"/>
            </w:tcBorders>
          </w:tcPr>
          <w:p w14:paraId="477EDC50" w14:textId="76450BBB"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Advanced surface movem</w:t>
            </w:r>
            <w:r w:rsidR="001910F1">
              <w:rPr>
                <w:rFonts w:asciiTheme="minorHAnsi" w:hAnsiTheme="minorHAnsi" w:cstheme="minorHAnsi"/>
                <w:color w:val="000000"/>
                <w:sz w:val="18"/>
                <w:szCs w:val="18"/>
                <w:lang w:val="en-GB"/>
              </w:rPr>
              <w:t>ent guidance and control system</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7FE6C81" w14:textId="6943FA13" w:rsidR="00FD48AA" w:rsidRPr="005D070C" w:rsidRDefault="001910F1" w:rsidP="001910F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Zaawansowany system kierowania i kontroli ruchu naziemnego</w:t>
            </w:r>
          </w:p>
        </w:tc>
      </w:tr>
      <w:tr w:rsidR="00FD48AA" w:rsidRPr="009E064B" w14:paraId="36A72AAB" w14:textId="0695775E"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143ECFBA"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ATC </w:t>
            </w:r>
          </w:p>
        </w:tc>
        <w:tc>
          <w:tcPr>
            <w:tcW w:w="3969" w:type="dxa"/>
            <w:tcBorders>
              <w:top w:val="single" w:sz="4" w:space="0" w:color="auto"/>
              <w:left w:val="single" w:sz="4" w:space="0" w:color="auto"/>
              <w:bottom w:val="single" w:sz="4" w:space="0" w:color="auto"/>
              <w:right w:val="single" w:sz="4" w:space="0" w:color="auto"/>
            </w:tcBorders>
          </w:tcPr>
          <w:p w14:paraId="48B3D961" w14:textId="3E3E82CC"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Air traffic control</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F111735" w14:textId="1BC550C6"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Służba kontroli ruchu lotniczego</w:t>
            </w:r>
          </w:p>
        </w:tc>
      </w:tr>
      <w:tr w:rsidR="00FD48AA" w:rsidRPr="009E064B" w14:paraId="6560DFB2" w14:textId="3DB41FB9"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61CA016"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ATIS </w:t>
            </w:r>
          </w:p>
        </w:tc>
        <w:tc>
          <w:tcPr>
            <w:tcW w:w="3969" w:type="dxa"/>
            <w:tcBorders>
              <w:top w:val="single" w:sz="4" w:space="0" w:color="auto"/>
              <w:left w:val="single" w:sz="4" w:space="0" w:color="auto"/>
              <w:bottom w:val="single" w:sz="4" w:space="0" w:color="auto"/>
              <w:right w:val="single" w:sz="4" w:space="0" w:color="auto"/>
            </w:tcBorders>
          </w:tcPr>
          <w:p w14:paraId="53364E26" w14:textId="3BC6EF70"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Automat</w:t>
            </w:r>
            <w:r w:rsidR="001910F1">
              <w:rPr>
                <w:rFonts w:asciiTheme="minorHAnsi" w:hAnsiTheme="minorHAnsi" w:cstheme="minorHAnsi"/>
                <w:color w:val="000000"/>
                <w:sz w:val="18"/>
                <w:szCs w:val="18"/>
                <w:lang w:val="en-GB"/>
              </w:rPr>
              <w:t>ic terminal information service</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231E362" w14:textId="0BBEE168" w:rsidR="00FD48AA" w:rsidRPr="005D070C" w:rsidRDefault="001910F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Służba automatycznej informacji lotniskowej</w:t>
            </w:r>
          </w:p>
        </w:tc>
      </w:tr>
      <w:tr w:rsidR="00FD48AA" w:rsidRPr="009E064B" w14:paraId="6299668D" w14:textId="0EED050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0728BFA"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ATM </w:t>
            </w:r>
          </w:p>
        </w:tc>
        <w:tc>
          <w:tcPr>
            <w:tcW w:w="3969" w:type="dxa"/>
            <w:tcBorders>
              <w:top w:val="single" w:sz="4" w:space="0" w:color="auto"/>
              <w:left w:val="single" w:sz="4" w:space="0" w:color="auto"/>
              <w:bottom w:val="single" w:sz="4" w:space="0" w:color="auto"/>
              <w:right w:val="single" w:sz="4" w:space="0" w:color="auto"/>
            </w:tcBorders>
          </w:tcPr>
          <w:p w14:paraId="5570C744"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Air traffic management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5E618D6" w14:textId="71870A75" w:rsidR="00FD48AA" w:rsidRPr="005D070C" w:rsidRDefault="001910F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Zarządzanie ruchem lotniczym</w:t>
            </w:r>
          </w:p>
        </w:tc>
      </w:tr>
      <w:tr w:rsidR="00FD48AA" w:rsidRPr="009E064B" w14:paraId="003C9D59" w14:textId="57538DED"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20009D0"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ATS </w:t>
            </w:r>
          </w:p>
        </w:tc>
        <w:tc>
          <w:tcPr>
            <w:tcW w:w="3969" w:type="dxa"/>
            <w:tcBorders>
              <w:top w:val="single" w:sz="4" w:space="0" w:color="auto"/>
              <w:left w:val="single" w:sz="4" w:space="0" w:color="auto"/>
              <w:bottom w:val="single" w:sz="4" w:space="0" w:color="auto"/>
              <w:right w:val="single" w:sz="4" w:space="0" w:color="auto"/>
            </w:tcBorders>
          </w:tcPr>
          <w:p w14:paraId="46853B31" w14:textId="0A834D68"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Air traffic services</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B78A22D" w14:textId="528B034F"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Służby ruchu lotniczego</w:t>
            </w:r>
          </w:p>
        </w:tc>
      </w:tr>
      <w:tr w:rsidR="00FD48AA" w:rsidRPr="00D50499" w14:paraId="3AEAC445" w14:textId="1DF2737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06D0AF1"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A-VDGS </w:t>
            </w:r>
          </w:p>
        </w:tc>
        <w:tc>
          <w:tcPr>
            <w:tcW w:w="3969" w:type="dxa"/>
            <w:tcBorders>
              <w:top w:val="single" w:sz="4" w:space="0" w:color="auto"/>
              <w:left w:val="single" w:sz="4" w:space="0" w:color="auto"/>
              <w:bottom w:val="single" w:sz="4" w:space="0" w:color="auto"/>
              <w:right w:val="single" w:sz="4" w:space="0" w:color="auto"/>
            </w:tcBorders>
          </w:tcPr>
          <w:p w14:paraId="62498E73" w14:textId="0881DA7D"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Advanced</w:t>
            </w:r>
            <w:r w:rsidR="001910F1">
              <w:rPr>
                <w:rFonts w:asciiTheme="minorHAnsi" w:hAnsiTheme="minorHAnsi" w:cstheme="minorHAnsi"/>
                <w:color w:val="000000"/>
                <w:sz w:val="18"/>
                <w:szCs w:val="18"/>
                <w:lang w:val="en-GB"/>
              </w:rPr>
              <w:t xml:space="preserve"> visual docking guidance system</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9444AE8" w14:textId="7BE585D5" w:rsidR="00FD48AA" w:rsidRPr="005D070C" w:rsidRDefault="001910F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Zaawansowany wzrokowy system dokowania</w:t>
            </w:r>
          </w:p>
        </w:tc>
      </w:tr>
      <w:tr w:rsidR="00FD48AA" w:rsidRPr="009E064B" w14:paraId="6B231865" w14:textId="4BFAACB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B785385"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CBR </w:t>
            </w:r>
          </w:p>
        </w:tc>
        <w:tc>
          <w:tcPr>
            <w:tcW w:w="3969" w:type="dxa"/>
            <w:tcBorders>
              <w:top w:val="single" w:sz="4" w:space="0" w:color="auto"/>
              <w:left w:val="single" w:sz="4" w:space="0" w:color="auto"/>
              <w:bottom w:val="single" w:sz="4" w:space="0" w:color="auto"/>
              <w:right w:val="single" w:sz="4" w:space="0" w:color="auto"/>
            </w:tcBorders>
          </w:tcPr>
          <w:p w14:paraId="322907F5" w14:textId="181D82D1"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California bearing ratio</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AC04A22" w14:textId="7DBB5C0B"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Kalifornijski wskaźnik nośności</w:t>
            </w:r>
          </w:p>
        </w:tc>
      </w:tr>
      <w:tr w:rsidR="00FD48AA" w:rsidRPr="009E064B" w14:paraId="56EF1D7E" w14:textId="6DE8E4E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C6BC517"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CCR </w:t>
            </w:r>
          </w:p>
        </w:tc>
        <w:tc>
          <w:tcPr>
            <w:tcW w:w="3969" w:type="dxa"/>
            <w:tcBorders>
              <w:top w:val="single" w:sz="4" w:space="0" w:color="auto"/>
              <w:left w:val="single" w:sz="4" w:space="0" w:color="auto"/>
              <w:bottom w:val="single" w:sz="4" w:space="0" w:color="auto"/>
              <w:right w:val="single" w:sz="4" w:space="0" w:color="auto"/>
            </w:tcBorders>
          </w:tcPr>
          <w:p w14:paraId="0D74DA80" w14:textId="55F5335A"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Constant current regulators</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1AA230A3" w14:textId="506436B6"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Cykliczna kontrola nadmiarowa</w:t>
            </w:r>
          </w:p>
        </w:tc>
      </w:tr>
      <w:tr w:rsidR="00FD48AA" w:rsidRPr="00D50499" w14:paraId="225DB93D" w14:textId="5B30920A"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E4B3F12"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CIE </w:t>
            </w:r>
          </w:p>
        </w:tc>
        <w:tc>
          <w:tcPr>
            <w:tcW w:w="3969" w:type="dxa"/>
            <w:tcBorders>
              <w:top w:val="single" w:sz="4" w:space="0" w:color="auto"/>
              <w:left w:val="single" w:sz="4" w:space="0" w:color="auto"/>
              <w:bottom w:val="single" w:sz="4" w:space="0" w:color="auto"/>
              <w:right w:val="single" w:sz="4" w:space="0" w:color="auto"/>
            </w:tcBorders>
          </w:tcPr>
          <w:p w14:paraId="17BF5648"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International Commission on Illumination (Commission Internationale de l’Éclairage)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15F65A4" w14:textId="0D9678A4"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Międzynarodowa Komisja Oświetleniowa</w:t>
            </w:r>
          </w:p>
        </w:tc>
      </w:tr>
      <w:tr w:rsidR="00FD48AA" w:rsidRPr="009E064B" w14:paraId="11946F48" w14:textId="73CB46E0"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0980BAB"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CWY </w:t>
            </w:r>
          </w:p>
        </w:tc>
        <w:tc>
          <w:tcPr>
            <w:tcW w:w="3969" w:type="dxa"/>
            <w:tcBorders>
              <w:top w:val="single" w:sz="4" w:space="0" w:color="auto"/>
              <w:left w:val="single" w:sz="4" w:space="0" w:color="auto"/>
              <w:bottom w:val="single" w:sz="4" w:space="0" w:color="auto"/>
              <w:right w:val="single" w:sz="4" w:space="0" w:color="auto"/>
            </w:tcBorders>
          </w:tcPr>
          <w:p w14:paraId="64043C91" w14:textId="630D29FF"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Clearway</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86AFAC8" w14:textId="01AA80BA" w:rsidR="00FD48AA" w:rsidRPr="005D070C" w:rsidRDefault="001910F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Zabezpieczenie wydłużonego startu</w:t>
            </w:r>
          </w:p>
        </w:tc>
      </w:tr>
      <w:tr w:rsidR="00FD48AA" w:rsidRPr="009E064B" w14:paraId="48153F65" w14:textId="1B23AACB"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67DCB9E"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DH </w:t>
            </w:r>
          </w:p>
        </w:tc>
        <w:tc>
          <w:tcPr>
            <w:tcW w:w="3969" w:type="dxa"/>
            <w:tcBorders>
              <w:top w:val="single" w:sz="4" w:space="0" w:color="auto"/>
              <w:left w:val="single" w:sz="4" w:space="0" w:color="auto"/>
              <w:bottom w:val="single" w:sz="4" w:space="0" w:color="auto"/>
              <w:right w:val="single" w:sz="4" w:space="0" w:color="auto"/>
            </w:tcBorders>
          </w:tcPr>
          <w:p w14:paraId="22F91131" w14:textId="134D3182" w:rsidR="00FD48AA" w:rsidRPr="00C62A31" w:rsidRDefault="001910F1" w:rsidP="00FD48AA">
            <w:pPr>
              <w:spacing w:after="0"/>
              <w:rPr>
                <w:rFonts w:asciiTheme="minorHAnsi" w:hAnsiTheme="minorHAnsi" w:cstheme="minorHAnsi"/>
                <w:color w:val="000000"/>
                <w:sz w:val="18"/>
                <w:szCs w:val="18"/>
                <w:lang w:val="en-GB"/>
              </w:rPr>
            </w:pPr>
            <w:r>
              <w:rPr>
                <w:rFonts w:asciiTheme="minorHAnsi" w:hAnsiTheme="minorHAnsi" w:cstheme="minorHAnsi"/>
                <w:color w:val="000000"/>
                <w:sz w:val="18"/>
                <w:szCs w:val="18"/>
                <w:lang w:val="en-GB"/>
              </w:rPr>
              <w:t>Decision height</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25BE2F2" w14:textId="001B5ADB" w:rsidR="00FD48AA" w:rsidRPr="005D070C" w:rsidRDefault="001910F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Wysokość decyzji</w:t>
            </w:r>
          </w:p>
        </w:tc>
      </w:tr>
      <w:tr w:rsidR="00FD48AA" w:rsidRPr="009E064B" w14:paraId="42659040" w14:textId="5A1E366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22DE12D"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DME </w:t>
            </w:r>
          </w:p>
        </w:tc>
        <w:tc>
          <w:tcPr>
            <w:tcW w:w="3969" w:type="dxa"/>
            <w:tcBorders>
              <w:top w:val="single" w:sz="4" w:space="0" w:color="auto"/>
              <w:left w:val="single" w:sz="4" w:space="0" w:color="auto"/>
              <w:bottom w:val="single" w:sz="4" w:space="0" w:color="auto"/>
              <w:right w:val="single" w:sz="4" w:space="0" w:color="auto"/>
            </w:tcBorders>
          </w:tcPr>
          <w:p w14:paraId="6524733B"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Distance measuring equipment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419FB1D" w14:textId="79AE966F" w:rsidR="00FD48AA" w:rsidRPr="005D070C" w:rsidRDefault="00C62A31"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Radio-odległościomierz</w:t>
            </w:r>
          </w:p>
        </w:tc>
      </w:tr>
      <w:tr w:rsidR="00FD48AA" w:rsidRPr="009E064B" w14:paraId="713585DA" w14:textId="03C35E62"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D5BBDB7"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ESDU </w:t>
            </w:r>
          </w:p>
        </w:tc>
        <w:tc>
          <w:tcPr>
            <w:tcW w:w="3969" w:type="dxa"/>
            <w:tcBorders>
              <w:top w:val="single" w:sz="4" w:space="0" w:color="auto"/>
              <w:left w:val="single" w:sz="4" w:space="0" w:color="auto"/>
              <w:bottom w:val="single" w:sz="4" w:space="0" w:color="auto"/>
              <w:right w:val="single" w:sz="4" w:space="0" w:color="auto"/>
            </w:tcBorders>
          </w:tcPr>
          <w:p w14:paraId="538A06D9"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Engineering sciences data unit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90876B7" w14:textId="51514467" w:rsidR="00FD48AA" w:rsidRPr="005D070C" w:rsidRDefault="00A44F9A"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Organizację doradczą w zakresie danych nauk technicznych</w:t>
            </w:r>
          </w:p>
        </w:tc>
      </w:tr>
      <w:tr w:rsidR="00FD48AA" w:rsidRPr="009E064B" w14:paraId="37C5B861" w14:textId="54BF559F"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D5CDFED"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FOD </w:t>
            </w:r>
          </w:p>
        </w:tc>
        <w:tc>
          <w:tcPr>
            <w:tcW w:w="3969" w:type="dxa"/>
            <w:tcBorders>
              <w:top w:val="single" w:sz="4" w:space="0" w:color="auto"/>
              <w:left w:val="single" w:sz="4" w:space="0" w:color="auto"/>
              <w:bottom w:val="single" w:sz="4" w:space="0" w:color="auto"/>
              <w:right w:val="single" w:sz="4" w:space="0" w:color="auto"/>
            </w:tcBorders>
          </w:tcPr>
          <w:p w14:paraId="5F0757F2"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Foreign object debris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B449A70" w14:textId="6F15FDF8" w:rsidR="00FD48AA" w:rsidRPr="005D070C" w:rsidRDefault="00ED2629"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Przedmioty obce</w:t>
            </w:r>
          </w:p>
        </w:tc>
      </w:tr>
      <w:tr w:rsidR="00FD48AA" w:rsidRPr="009E064B" w14:paraId="27F60E5C" w14:textId="21E5A730"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73F366F"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FOV </w:t>
            </w:r>
          </w:p>
        </w:tc>
        <w:tc>
          <w:tcPr>
            <w:tcW w:w="3969" w:type="dxa"/>
            <w:tcBorders>
              <w:top w:val="single" w:sz="4" w:space="0" w:color="auto"/>
              <w:left w:val="single" w:sz="4" w:space="0" w:color="auto"/>
              <w:bottom w:val="single" w:sz="4" w:space="0" w:color="auto"/>
              <w:right w:val="single" w:sz="4" w:space="0" w:color="auto"/>
            </w:tcBorders>
          </w:tcPr>
          <w:p w14:paraId="0F1807F5"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Field of view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24B9084" w14:textId="17A7EC46" w:rsidR="00FD48AA" w:rsidRPr="005D070C" w:rsidRDefault="006B3FDC" w:rsidP="00FD48A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Pole widzenia</w:t>
            </w:r>
          </w:p>
        </w:tc>
      </w:tr>
      <w:tr w:rsidR="00FD48AA" w:rsidRPr="00583ED0" w14:paraId="251C2253" w14:textId="27F3D4A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591966C"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Hes </w:t>
            </w:r>
          </w:p>
        </w:tc>
        <w:tc>
          <w:tcPr>
            <w:tcW w:w="3969" w:type="dxa"/>
            <w:tcBorders>
              <w:top w:val="single" w:sz="4" w:space="0" w:color="auto"/>
              <w:left w:val="single" w:sz="4" w:space="0" w:color="auto"/>
              <w:bottom w:val="single" w:sz="4" w:space="0" w:color="auto"/>
              <w:right w:val="single" w:sz="4" w:space="0" w:color="auto"/>
            </w:tcBorders>
          </w:tcPr>
          <w:p w14:paraId="5D446D26"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Height of equivalent elevated sign character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0319CBA" w14:textId="3F336DF3" w:rsidR="00FD48AA" w:rsidRPr="00F8158A" w:rsidRDefault="00583ED0" w:rsidP="0035571E">
            <w:pPr>
              <w:spacing w:after="0"/>
              <w:jc w:val="left"/>
              <w:rPr>
                <w:rFonts w:asciiTheme="minorHAnsi" w:hAnsiTheme="minorHAnsi" w:cstheme="minorHAnsi"/>
                <w:color w:val="000000" w:themeColor="text1"/>
                <w:sz w:val="18"/>
                <w:szCs w:val="18"/>
              </w:rPr>
            </w:pPr>
            <w:r w:rsidRPr="00F8158A">
              <w:rPr>
                <w:rFonts w:asciiTheme="minorHAnsi" w:eastAsia="Times New Roman" w:hAnsiTheme="minorHAnsi" w:cstheme="minorHAnsi"/>
                <w:color w:val="000000" w:themeColor="text1"/>
                <w:sz w:val="18"/>
                <w:szCs w:val="18"/>
                <w:lang w:eastAsia="en-GB"/>
              </w:rPr>
              <w:t>Wysokość równoważnej czcionki znaków wyniesionych</w:t>
            </w:r>
          </w:p>
        </w:tc>
      </w:tr>
      <w:tr w:rsidR="00FD48AA" w:rsidRPr="00583ED0" w14:paraId="161C248A" w14:textId="1A5673CC"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35D839F"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Hps </w:t>
            </w:r>
          </w:p>
        </w:tc>
        <w:tc>
          <w:tcPr>
            <w:tcW w:w="3969" w:type="dxa"/>
            <w:tcBorders>
              <w:top w:val="single" w:sz="4" w:space="0" w:color="auto"/>
              <w:left w:val="single" w:sz="4" w:space="0" w:color="auto"/>
              <w:bottom w:val="single" w:sz="4" w:space="0" w:color="auto"/>
              <w:right w:val="single" w:sz="4" w:space="0" w:color="auto"/>
            </w:tcBorders>
          </w:tcPr>
          <w:p w14:paraId="758F50D0"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Height of pavement sign character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1A525FD" w14:textId="33DB3BA8" w:rsidR="00FD48AA" w:rsidRPr="00F8158A" w:rsidRDefault="00583ED0" w:rsidP="0035571E">
            <w:pPr>
              <w:spacing w:after="0"/>
              <w:jc w:val="left"/>
              <w:rPr>
                <w:rFonts w:asciiTheme="minorHAnsi" w:hAnsiTheme="minorHAnsi" w:cstheme="minorHAnsi"/>
                <w:color w:val="000000" w:themeColor="text1"/>
                <w:sz w:val="18"/>
                <w:szCs w:val="18"/>
              </w:rPr>
            </w:pPr>
            <w:r w:rsidRPr="00F8158A">
              <w:rPr>
                <w:rFonts w:asciiTheme="minorHAnsi" w:eastAsia="Times New Roman" w:hAnsiTheme="minorHAnsi" w:cstheme="minorHAnsi"/>
                <w:color w:val="000000" w:themeColor="text1"/>
                <w:sz w:val="18"/>
                <w:szCs w:val="18"/>
                <w:lang w:eastAsia="en-GB"/>
              </w:rPr>
              <w:t>Wysokość czcionki znaków nawierzchni sztucznej</w:t>
            </w:r>
          </w:p>
        </w:tc>
      </w:tr>
      <w:tr w:rsidR="00FD48AA" w:rsidRPr="009E064B" w14:paraId="35D4D176" w14:textId="37AF1C53"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0B2880A" w14:textId="77777777" w:rsidR="00FD48AA" w:rsidRPr="009E064B" w:rsidRDefault="00FD48AA" w:rsidP="00FD48AA">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ICAO </w:t>
            </w:r>
          </w:p>
        </w:tc>
        <w:tc>
          <w:tcPr>
            <w:tcW w:w="3969" w:type="dxa"/>
            <w:tcBorders>
              <w:top w:val="single" w:sz="4" w:space="0" w:color="auto"/>
              <w:left w:val="single" w:sz="4" w:space="0" w:color="auto"/>
              <w:bottom w:val="single" w:sz="4" w:space="0" w:color="auto"/>
              <w:right w:val="single" w:sz="4" w:space="0" w:color="auto"/>
            </w:tcBorders>
          </w:tcPr>
          <w:p w14:paraId="6C19D387" w14:textId="77777777" w:rsidR="00FD48AA" w:rsidRPr="00C62A31" w:rsidRDefault="00FD48AA" w:rsidP="00FD48AA">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International Civil Aviation Organization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3DE6595" w14:textId="6E86541C" w:rsidR="00FD48AA" w:rsidRPr="005D070C" w:rsidRDefault="00A44F9A" w:rsidP="0035571E">
            <w:pPr>
              <w:spacing w:after="0"/>
              <w:jc w:val="left"/>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Organizacja Międzynarodowego Lotnictwa Cywilnego</w:t>
            </w:r>
          </w:p>
        </w:tc>
      </w:tr>
      <w:tr w:rsidR="00C62A31" w:rsidRPr="009E064B" w14:paraId="2D841B4E" w14:textId="15EBEABC"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074799A"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ILS </w:t>
            </w:r>
          </w:p>
        </w:tc>
        <w:tc>
          <w:tcPr>
            <w:tcW w:w="3969" w:type="dxa"/>
            <w:tcBorders>
              <w:top w:val="single" w:sz="4" w:space="0" w:color="auto"/>
              <w:left w:val="single" w:sz="4" w:space="0" w:color="auto"/>
              <w:bottom w:val="single" w:sz="4" w:space="0" w:color="auto"/>
              <w:right w:val="single" w:sz="4" w:space="0" w:color="auto"/>
            </w:tcBorders>
          </w:tcPr>
          <w:p w14:paraId="4F69EBB3"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Instrument landing system </w:t>
            </w:r>
          </w:p>
        </w:tc>
        <w:tc>
          <w:tcPr>
            <w:tcW w:w="4102" w:type="dxa"/>
            <w:tcBorders>
              <w:top w:val="single" w:sz="4" w:space="0" w:color="auto"/>
              <w:left w:val="single" w:sz="4" w:space="0" w:color="auto"/>
              <w:bottom w:val="single" w:sz="4" w:space="0" w:color="auto"/>
              <w:right w:val="single" w:sz="4" w:space="0" w:color="auto"/>
            </w:tcBorders>
            <w:shd w:val="clear" w:color="auto" w:fill="auto"/>
            <w:vAlign w:val="center"/>
          </w:tcPr>
          <w:p w14:paraId="1698ED77" w14:textId="6780D420" w:rsidR="00C62A31" w:rsidRPr="005D070C" w:rsidRDefault="00C62A31" w:rsidP="0035571E">
            <w:pPr>
              <w:spacing w:after="0"/>
              <w:jc w:val="left"/>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 xml:space="preserve">System lądowania według wskazań przyrządów </w:t>
            </w:r>
          </w:p>
        </w:tc>
      </w:tr>
      <w:tr w:rsidR="00C62A31" w:rsidRPr="009E064B" w14:paraId="3A6970B5" w14:textId="03DAA66E"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0183AAE"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IMC </w:t>
            </w:r>
          </w:p>
        </w:tc>
        <w:tc>
          <w:tcPr>
            <w:tcW w:w="3969" w:type="dxa"/>
            <w:tcBorders>
              <w:top w:val="single" w:sz="4" w:space="0" w:color="auto"/>
              <w:left w:val="single" w:sz="4" w:space="0" w:color="auto"/>
              <w:bottom w:val="single" w:sz="4" w:space="0" w:color="auto"/>
              <w:right w:val="single" w:sz="4" w:space="0" w:color="auto"/>
            </w:tcBorders>
          </w:tcPr>
          <w:p w14:paraId="7C8FF9A7"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Instrument meteorological conditions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62F8646" w14:textId="49F9079E" w:rsidR="00C62A31" w:rsidRPr="005D070C" w:rsidRDefault="00C62A31" w:rsidP="0035571E">
            <w:pPr>
              <w:spacing w:after="0"/>
              <w:jc w:val="left"/>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Warunki meteorologiczne dla lotów według wskazań przyrządów</w:t>
            </w:r>
          </w:p>
        </w:tc>
      </w:tr>
      <w:tr w:rsidR="00C62A31" w:rsidRPr="009E064B" w14:paraId="60F204AC" w14:textId="183F341A"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A159F1A"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ISO </w:t>
            </w:r>
          </w:p>
        </w:tc>
        <w:tc>
          <w:tcPr>
            <w:tcW w:w="3969" w:type="dxa"/>
            <w:tcBorders>
              <w:top w:val="single" w:sz="4" w:space="0" w:color="auto"/>
              <w:left w:val="single" w:sz="4" w:space="0" w:color="auto"/>
              <w:bottom w:val="single" w:sz="4" w:space="0" w:color="auto"/>
              <w:right w:val="single" w:sz="4" w:space="0" w:color="auto"/>
            </w:tcBorders>
          </w:tcPr>
          <w:p w14:paraId="2A858FFF"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International Organisation for Standardisation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BBE88E9" w14:textId="156F8A43" w:rsidR="00C62A31" w:rsidRPr="005D070C" w:rsidRDefault="00A44F9A" w:rsidP="0035571E">
            <w:pPr>
              <w:spacing w:after="0"/>
              <w:jc w:val="left"/>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Międzynarodowa Organizacja Normalizacyjna</w:t>
            </w:r>
          </w:p>
        </w:tc>
      </w:tr>
      <w:tr w:rsidR="00C62A31" w:rsidRPr="009E064B" w14:paraId="17F1A03B" w14:textId="679726B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FAA2EEC"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LDA </w:t>
            </w:r>
          </w:p>
        </w:tc>
        <w:tc>
          <w:tcPr>
            <w:tcW w:w="3969" w:type="dxa"/>
            <w:tcBorders>
              <w:top w:val="single" w:sz="4" w:space="0" w:color="auto"/>
              <w:left w:val="single" w:sz="4" w:space="0" w:color="auto"/>
              <w:bottom w:val="single" w:sz="4" w:space="0" w:color="auto"/>
              <w:right w:val="single" w:sz="4" w:space="0" w:color="auto"/>
            </w:tcBorders>
          </w:tcPr>
          <w:p w14:paraId="7ED6F7E9"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Landing distance available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CB50CAE" w14:textId="7409B11E"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Rozporządzalna długość lądowania</w:t>
            </w:r>
          </w:p>
        </w:tc>
      </w:tr>
      <w:tr w:rsidR="00C62A31" w:rsidRPr="009E064B" w14:paraId="7DF681A1" w14:textId="38B42CA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B9CB134"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LED </w:t>
            </w:r>
          </w:p>
        </w:tc>
        <w:tc>
          <w:tcPr>
            <w:tcW w:w="3969" w:type="dxa"/>
            <w:tcBorders>
              <w:top w:val="single" w:sz="4" w:space="0" w:color="auto"/>
              <w:left w:val="single" w:sz="4" w:space="0" w:color="auto"/>
              <w:bottom w:val="single" w:sz="4" w:space="0" w:color="auto"/>
              <w:right w:val="single" w:sz="4" w:space="0" w:color="auto"/>
            </w:tcBorders>
          </w:tcPr>
          <w:p w14:paraId="3546F37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Light-emitting diodes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321DA68" w14:textId="645B85EF" w:rsidR="00C62A31" w:rsidRPr="005D070C" w:rsidRDefault="00583ED0"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Diody emitujące światło</w:t>
            </w:r>
          </w:p>
        </w:tc>
      </w:tr>
      <w:tr w:rsidR="00C62A31" w:rsidRPr="009E064B" w14:paraId="5FD53EED" w14:textId="74C4BC8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4D7EB2E"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LRST </w:t>
            </w:r>
          </w:p>
        </w:tc>
        <w:tc>
          <w:tcPr>
            <w:tcW w:w="3969" w:type="dxa"/>
            <w:tcBorders>
              <w:top w:val="single" w:sz="4" w:space="0" w:color="auto"/>
              <w:left w:val="single" w:sz="4" w:space="0" w:color="auto"/>
              <w:bottom w:val="single" w:sz="4" w:space="0" w:color="auto"/>
              <w:right w:val="single" w:sz="4" w:space="0" w:color="auto"/>
            </w:tcBorders>
          </w:tcPr>
          <w:p w14:paraId="1A6640EB"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Local runway safety team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A811428" w14:textId="77D90B85" w:rsidR="00C62A31" w:rsidRPr="005D070C" w:rsidRDefault="00583ED0" w:rsidP="0035571E">
            <w:pPr>
              <w:spacing w:after="0"/>
              <w:jc w:val="left"/>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Lokalny zespół do spraw bezpieczeństwa na drodze startowej</w:t>
            </w:r>
          </w:p>
        </w:tc>
      </w:tr>
      <w:tr w:rsidR="00C62A31" w:rsidRPr="009E064B" w14:paraId="2F8F902E" w14:textId="04EF1448"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12DBF5D9"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MLS </w:t>
            </w:r>
          </w:p>
        </w:tc>
        <w:tc>
          <w:tcPr>
            <w:tcW w:w="3969" w:type="dxa"/>
            <w:tcBorders>
              <w:top w:val="single" w:sz="4" w:space="0" w:color="auto"/>
              <w:left w:val="single" w:sz="4" w:space="0" w:color="auto"/>
              <w:bottom w:val="single" w:sz="4" w:space="0" w:color="auto"/>
              <w:right w:val="single" w:sz="4" w:space="0" w:color="auto"/>
            </w:tcBorders>
          </w:tcPr>
          <w:p w14:paraId="1B7340F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Microwave landing system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2E9C826" w14:textId="5F7736C2" w:rsidR="00C62A31" w:rsidRPr="009E064B" w:rsidRDefault="00C62A31" w:rsidP="00C62A31">
            <w:pPr>
              <w:spacing w:after="0"/>
              <w:rPr>
                <w:rFonts w:asciiTheme="minorHAnsi" w:hAnsiTheme="minorHAnsi" w:cstheme="minorHAnsi"/>
                <w:color w:val="000000"/>
                <w:sz w:val="18"/>
                <w:szCs w:val="18"/>
              </w:rPr>
            </w:pPr>
            <w:r w:rsidRPr="00C62A31">
              <w:rPr>
                <w:rFonts w:asciiTheme="minorHAnsi" w:hAnsiTheme="minorHAnsi" w:cstheme="minorHAnsi"/>
                <w:color w:val="000000"/>
                <w:sz w:val="18"/>
                <w:szCs w:val="18"/>
              </w:rPr>
              <w:t>Mikrofalowy system lądowania</w:t>
            </w:r>
          </w:p>
        </w:tc>
      </w:tr>
      <w:tr w:rsidR="00C62A31" w:rsidRPr="009E064B" w14:paraId="42EAB0D5" w14:textId="3DB04A4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19B0FC0"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MPD </w:t>
            </w:r>
          </w:p>
        </w:tc>
        <w:tc>
          <w:tcPr>
            <w:tcW w:w="3969" w:type="dxa"/>
            <w:tcBorders>
              <w:top w:val="single" w:sz="4" w:space="0" w:color="auto"/>
              <w:left w:val="single" w:sz="4" w:space="0" w:color="auto"/>
              <w:bottom w:val="single" w:sz="4" w:space="0" w:color="auto"/>
              <w:right w:val="single" w:sz="4" w:space="0" w:color="auto"/>
            </w:tcBorders>
          </w:tcPr>
          <w:p w14:paraId="24B806D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Mean profile depth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F1E2B8F" w14:textId="66282D21" w:rsidR="00C62A31" w:rsidRPr="005D070C" w:rsidRDefault="00583ED0" w:rsidP="00C62A31">
            <w:pPr>
              <w:spacing w:after="0"/>
              <w:rPr>
                <w:rFonts w:asciiTheme="minorHAnsi" w:hAnsiTheme="minorHAnsi" w:cstheme="minorHAnsi"/>
                <w:color w:val="000000" w:themeColor="text1"/>
                <w:sz w:val="18"/>
                <w:szCs w:val="18"/>
              </w:rPr>
            </w:pPr>
            <w:r w:rsidRPr="005D070C">
              <w:rPr>
                <w:rFonts w:asciiTheme="minorHAnsi" w:eastAsia="Times New Roman" w:hAnsiTheme="minorHAnsi" w:cstheme="minorHAnsi"/>
                <w:color w:val="000000" w:themeColor="text1"/>
                <w:sz w:val="18"/>
                <w:szCs w:val="18"/>
                <w:lang w:eastAsia="en-GB"/>
              </w:rPr>
              <w:t>Średnia głębokość profilu</w:t>
            </w:r>
          </w:p>
        </w:tc>
      </w:tr>
      <w:tr w:rsidR="00C62A31" w:rsidRPr="009E064B" w14:paraId="5FD2280B" w14:textId="3379D568"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08EAF99"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MTD </w:t>
            </w:r>
          </w:p>
        </w:tc>
        <w:tc>
          <w:tcPr>
            <w:tcW w:w="3969" w:type="dxa"/>
            <w:tcBorders>
              <w:top w:val="single" w:sz="4" w:space="0" w:color="auto"/>
              <w:left w:val="single" w:sz="4" w:space="0" w:color="auto"/>
              <w:bottom w:val="single" w:sz="4" w:space="0" w:color="auto"/>
              <w:right w:val="single" w:sz="4" w:space="0" w:color="auto"/>
            </w:tcBorders>
          </w:tcPr>
          <w:p w14:paraId="3CF360B7"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Mean texture depth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3FCC30E" w14:textId="54FE2A57" w:rsidR="00C62A31" w:rsidRPr="005D070C" w:rsidRDefault="00AD0E54" w:rsidP="00AD0E54">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Średnia grubość tekstury</w:t>
            </w:r>
          </w:p>
        </w:tc>
      </w:tr>
      <w:tr w:rsidR="00C62A31" w:rsidRPr="009E064B" w14:paraId="1CA93FDE" w14:textId="72D3ECD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1C57067D" w14:textId="4375F233" w:rsidR="00C62A31" w:rsidRPr="009E064B" w:rsidRDefault="00A44F9A" w:rsidP="00C62A31">
            <w:pPr>
              <w:spacing w:after="0"/>
              <w:rPr>
                <w:rFonts w:asciiTheme="minorHAnsi" w:hAnsiTheme="minorHAnsi" w:cstheme="minorHAnsi"/>
                <w:color w:val="000000"/>
                <w:sz w:val="18"/>
                <w:szCs w:val="18"/>
              </w:rPr>
            </w:pPr>
            <w:r>
              <w:rPr>
                <w:rFonts w:asciiTheme="minorHAnsi" w:hAnsiTheme="minorHAnsi" w:cstheme="minorHAnsi"/>
                <w:color w:val="000000"/>
                <w:sz w:val="18"/>
                <w:szCs w:val="18"/>
              </w:rPr>
              <w:t>NOTAM</w:t>
            </w:r>
          </w:p>
        </w:tc>
        <w:tc>
          <w:tcPr>
            <w:tcW w:w="3969" w:type="dxa"/>
            <w:tcBorders>
              <w:top w:val="single" w:sz="4" w:space="0" w:color="auto"/>
              <w:left w:val="single" w:sz="4" w:space="0" w:color="auto"/>
              <w:bottom w:val="single" w:sz="4" w:space="0" w:color="auto"/>
              <w:right w:val="single" w:sz="4" w:space="0" w:color="auto"/>
            </w:tcBorders>
          </w:tcPr>
          <w:p w14:paraId="51A0B0BE"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Notice to airman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731DE81" w14:textId="35A3C35E" w:rsidR="00C62A31" w:rsidRPr="005D070C" w:rsidRDefault="00AB23E4" w:rsidP="00AB23E4">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Wiadomość dla pilota</w:t>
            </w:r>
          </w:p>
        </w:tc>
      </w:tr>
      <w:tr w:rsidR="00C62A31" w:rsidRPr="009E064B" w14:paraId="15F2A9CF" w14:textId="5F31D201"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403EF22"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NU </w:t>
            </w:r>
          </w:p>
        </w:tc>
        <w:tc>
          <w:tcPr>
            <w:tcW w:w="3969" w:type="dxa"/>
            <w:tcBorders>
              <w:top w:val="single" w:sz="4" w:space="0" w:color="auto"/>
              <w:left w:val="single" w:sz="4" w:space="0" w:color="auto"/>
              <w:bottom w:val="single" w:sz="4" w:space="0" w:color="auto"/>
              <w:right w:val="single" w:sz="4" w:space="0" w:color="auto"/>
            </w:tcBorders>
          </w:tcPr>
          <w:p w14:paraId="45F9A9C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Not usable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155253B9" w14:textId="2A46DAB1"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Nienadające się do użytku</w:t>
            </w:r>
          </w:p>
        </w:tc>
      </w:tr>
      <w:tr w:rsidR="00C62A31" w:rsidRPr="009E064B" w14:paraId="1C4119A7" w14:textId="12628E2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1969295E"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OCA/H </w:t>
            </w:r>
          </w:p>
        </w:tc>
        <w:tc>
          <w:tcPr>
            <w:tcW w:w="3969" w:type="dxa"/>
            <w:tcBorders>
              <w:top w:val="single" w:sz="4" w:space="0" w:color="auto"/>
              <w:left w:val="single" w:sz="4" w:space="0" w:color="auto"/>
              <w:bottom w:val="single" w:sz="4" w:space="0" w:color="auto"/>
              <w:right w:val="single" w:sz="4" w:space="0" w:color="auto"/>
            </w:tcBorders>
          </w:tcPr>
          <w:p w14:paraId="7264B358"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Obstacle clearance altitude/ height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9F3BBD0" w14:textId="44F08C07"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Wysokość bezwzględna/względna zapewniająca minimalne przewyższenia nad przeszkodami</w:t>
            </w:r>
          </w:p>
        </w:tc>
      </w:tr>
      <w:tr w:rsidR="00C62A31" w:rsidRPr="009E064B" w14:paraId="3AA4A976" w14:textId="4679185E"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881D7B0"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OFZ </w:t>
            </w:r>
          </w:p>
        </w:tc>
        <w:tc>
          <w:tcPr>
            <w:tcW w:w="3969" w:type="dxa"/>
            <w:tcBorders>
              <w:top w:val="single" w:sz="4" w:space="0" w:color="auto"/>
              <w:left w:val="single" w:sz="4" w:space="0" w:color="auto"/>
              <w:bottom w:val="single" w:sz="4" w:space="0" w:color="auto"/>
              <w:right w:val="single" w:sz="4" w:space="0" w:color="auto"/>
            </w:tcBorders>
          </w:tcPr>
          <w:p w14:paraId="783C415E"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Obstacle-free zone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EA8A704" w14:textId="63CFE75B"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Strefa wolna od przeszkód</w:t>
            </w:r>
          </w:p>
        </w:tc>
      </w:tr>
      <w:tr w:rsidR="00C62A31" w:rsidRPr="009E064B" w14:paraId="6D9E1B7B" w14:textId="171C084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A05E683"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OLS </w:t>
            </w:r>
          </w:p>
        </w:tc>
        <w:tc>
          <w:tcPr>
            <w:tcW w:w="3969" w:type="dxa"/>
            <w:tcBorders>
              <w:top w:val="single" w:sz="4" w:space="0" w:color="auto"/>
              <w:left w:val="single" w:sz="4" w:space="0" w:color="auto"/>
              <w:bottom w:val="single" w:sz="4" w:space="0" w:color="auto"/>
              <w:right w:val="single" w:sz="4" w:space="0" w:color="auto"/>
            </w:tcBorders>
          </w:tcPr>
          <w:p w14:paraId="2F6916D8"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Obstacle limitation surface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975DAF1" w14:textId="12FBB0ED"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Powierzchnia ograniczająca przeszkody lotnicze</w:t>
            </w:r>
          </w:p>
        </w:tc>
      </w:tr>
      <w:tr w:rsidR="00C62A31" w:rsidRPr="00C62A31" w14:paraId="4794ECD7" w14:textId="295D18E8"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516477F"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OMGWS </w:t>
            </w:r>
          </w:p>
        </w:tc>
        <w:tc>
          <w:tcPr>
            <w:tcW w:w="3969" w:type="dxa"/>
            <w:tcBorders>
              <w:top w:val="single" w:sz="4" w:space="0" w:color="auto"/>
              <w:left w:val="single" w:sz="4" w:space="0" w:color="auto"/>
              <w:bottom w:val="single" w:sz="4" w:space="0" w:color="auto"/>
              <w:right w:val="single" w:sz="4" w:space="0" w:color="auto"/>
            </w:tcBorders>
          </w:tcPr>
          <w:p w14:paraId="32C19599"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Outer main gear wheel span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3914F73" w14:textId="4AD1DF07"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Zewnętrzny rozstaw kół podwozia głównego</w:t>
            </w:r>
          </w:p>
        </w:tc>
      </w:tr>
      <w:tr w:rsidR="00C62A31" w:rsidRPr="009E064B" w14:paraId="7544A1AB" w14:textId="28A1E072"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74EE147"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OPS </w:t>
            </w:r>
          </w:p>
        </w:tc>
        <w:tc>
          <w:tcPr>
            <w:tcW w:w="3969" w:type="dxa"/>
            <w:tcBorders>
              <w:top w:val="single" w:sz="4" w:space="0" w:color="auto"/>
              <w:left w:val="single" w:sz="4" w:space="0" w:color="auto"/>
              <w:bottom w:val="single" w:sz="4" w:space="0" w:color="auto"/>
              <w:right w:val="single" w:sz="4" w:space="0" w:color="auto"/>
            </w:tcBorders>
          </w:tcPr>
          <w:p w14:paraId="68252D38"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Obstacle protection surface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52C3E05" w14:textId="6614E868" w:rsidR="00C62A31" w:rsidRPr="005D070C" w:rsidRDefault="00AB23E4" w:rsidP="00AB23E4">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Powierzchnia zabezpieczenia przeszkodowego</w:t>
            </w:r>
          </w:p>
        </w:tc>
      </w:tr>
      <w:tr w:rsidR="00C62A31" w:rsidRPr="009E064B" w14:paraId="541F83A5" w14:textId="6D54200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64FB25A3"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PAPI </w:t>
            </w:r>
          </w:p>
        </w:tc>
        <w:tc>
          <w:tcPr>
            <w:tcW w:w="3969" w:type="dxa"/>
            <w:tcBorders>
              <w:top w:val="single" w:sz="4" w:space="0" w:color="auto"/>
              <w:left w:val="single" w:sz="4" w:space="0" w:color="auto"/>
              <w:bottom w:val="single" w:sz="4" w:space="0" w:color="auto"/>
              <w:right w:val="single" w:sz="4" w:space="0" w:color="auto"/>
            </w:tcBorders>
          </w:tcPr>
          <w:p w14:paraId="11DFDC9F"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Precision approach path indicator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F5DA10E" w14:textId="2B54C739"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Wskaźnik ścieżki podejścia precyzyjnego</w:t>
            </w:r>
          </w:p>
        </w:tc>
      </w:tr>
      <w:tr w:rsidR="00C62A31" w:rsidRPr="009E064B" w14:paraId="3661C033" w14:textId="55F8814F"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80A4082"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PCN </w:t>
            </w:r>
          </w:p>
        </w:tc>
        <w:tc>
          <w:tcPr>
            <w:tcW w:w="3969" w:type="dxa"/>
            <w:tcBorders>
              <w:top w:val="single" w:sz="4" w:space="0" w:color="auto"/>
              <w:left w:val="single" w:sz="4" w:space="0" w:color="auto"/>
              <w:bottom w:val="single" w:sz="4" w:space="0" w:color="auto"/>
              <w:right w:val="single" w:sz="4" w:space="0" w:color="auto"/>
            </w:tcBorders>
          </w:tcPr>
          <w:p w14:paraId="1C59A6D3"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Pavement classification number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9858AC4" w14:textId="4DC1F1AE"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Liczba klasyfikacyjna nawierzchni</w:t>
            </w:r>
          </w:p>
        </w:tc>
      </w:tr>
      <w:tr w:rsidR="00C62A31" w:rsidRPr="009E064B" w14:paraId="35F83B08" w14:textId="53295D9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F172C4F"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PBN </w:t>
            </w:r>
          </w:p>
        </w:tc>
        <w:tc>
          <w:tcPr>
            <w:tcW w:w="3969" w:type="dxa"/>
            <w:tcBorders>
              <w:top w:val="single" w:sz="4" w:space="0" w:color="auto"/>
              <w:left w:val="single" w:sz="4" w:space="0" w:color="auto"/>
              <w:bottom w:val="single" w:sz="4" w:space="0" w:color="auto"/>
              <w:right w:val="single" w:sz="4" w:space="0" w:color="auto"/>
            </w:tcBorders>
          </w:tcPr>
          <w:p w14:paraId="170BACFE"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Performance based navigation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4F84245" w14:textId="018296FD" w:rsidR="00C62A31" w:rsidRPr="005D070C" w:rsidRDefault="000B5A4A" w:rsidP="000B5A4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Nawigacja w oparciu o charakterystyki systemów</w:t>
            </w:r>
          </w:p>
        </w:tc>
      </w:tr>
      <w:tr w:rsidR="00C62A31" w:rsidRPr="009E064B" w14:paraId="114CBD94" w14:textId="731337CA"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EFD6293"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PSV </w:t>
            </w:r>
          </w:p>
        </w:tc>
        <w:tc>
          <w:tcPr>
            <w:tcW w:w="3969" w:type="dxa"/>
            <w:tcBorders>
              <w:top w:val="single" w:sz="4" w:space="0" w:color="auto"/>
              <w:left w:val="single" w:sz="4" w:space="0" w:color="auto"/>
              <w:bottom w:val="single" w:sz="4" w:space="0" w:color="auto"/>
              <w:right w:val="single" w:sz="4" w:space="0" w:color="auto"/>
            </w:tcBorders>
          </w:tcPr>
          <w:p w14:paraId="29BB4B8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Polished stone values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35041C9" w14:textId="22B1CA1C" w:rsidR="00C62A31" w:rsidRPr="005D070C" w:rsidRDefault="008F0CB0"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Wartość polerowalności kamienia</w:t>
            </w:r>
          </w:p>
        </w:tc>
      </w:tr>
      <w:tr w:rsidR="00C62A31" w:rsidRPr="009E064B" w14:paraId="7981F843" w14:textId="78F88A2B"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8119A33"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RELs </w:t>
            </w:r>
          </w:p>
        </w:tc>
        <w:tc>
          <w:tcPr>
            <w:tcW w:w="3969" w:type="dxa"/>
            <w:tcBorders>
              <w:top w:val="single" w:sz="4" w:space="0" w:color="auto"/>
              <w:left w:val="single" w:sz="4" w:space="0" w:color="auto"/>
              <w:bottom w:val="single" w:sz="4" w:space="0" w:color="auto"/>
              <w:right w:val="single" w:sz="4" w:space="0" w:color="auto"/>
            </w:tcBorders>
          </w:tcPr>
          <w:p w14:paraId="665582A6"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entrance lights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1D97EC4" w14:textId="39D79C0F" w:rsidR="00C62A31" w:rsidRPr="005D070C" w:rsidRDefault="008F0CB0"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Światła wjazdu na drogę startową</w:t>
            </w:r>
          </w:p>
        </w:tc>
      </w:tr>
      <w:tr w:rsidR="00C62A31" w:rsidRPr="009E064B" w14:paraId="685B0358" w14:textId="3FE11BD1"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A1E1A01"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RESA </w:t>
            </w:r>
          </w:p>
        </w:tc>
        <w:tc>
          <w:tcPr>
            <w:tcW w:w="3969" w:type="dxa"/>
            <w:tcBorders>
              <w:top w:val="single" w:sz="4" w:space="0" w:color="auto"/>
              <w:left w:val="single" w:sz="4" w:space="0" w:color="auto"/>
              <w:bottom w:val="single" w:sz="4" w:space="0" w:color="auto"/>
              <w:right w:val="single" w:sz="4" w:space="0" w:color="auto"/>
            </w:tcBorders>
          </w:tcPr>
          <w:p w14:paraId="3FD84EFD"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end safety area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39F4E915" w14:textId="6B79E8B7"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Strefa bezpieczeństwa końca drogi startowej</w:t>
            </w:r>
          </w:p>
        </w:tc>
      </w:tr>
      <w:tr w:rsidR="00C62A31" w:rsidRPr="009E064B" w14:paraId="6B310FB8" w14:textId="039EA166"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69C3318"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RET </w:t>
            </w:r>
          </w:p>
        </w:tc>
        <w:tc>
          <w:tcPr>
            <w:tcW w:w="3969" w:type="dxa"/>
            <w:tcBorders>
              <w:top w:val="single" w:sz="4" w:space="0" w:color="auto"/>
              <w:left w:val="single" w:sz="4" w:space="0" w:color="auto"/>
              <w:bottom w:val="single" w:sz="4" w:space="0" w:color="auto"/>
              <w:right w:val="single" w:sz="4" w:space="0" w:color="auto"/>
            </w:tcBorders>
          </w:tcPr>
          <w:p w14:paraId="3160D751"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Rapid exit taxiway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7A28691" w14:textId="21B2A72A" w:rsidR="00C62A31" w:rsidRPr="005D070C" w:rsidRDefault="000B5A4A" w:rsidP="000B5A4A">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Droga kołowania szybkiego zjazdu</w:t>
            </w:r>
          </w:p>
        </w:tc>
      </w:tr>
      <w:tr w:rsidR="00C62A31" w:rsidRPr="000B5A4A" w14:paraId="01281DD1" w14:textId="3111519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435091E"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RETILs </w:t>
            </w:r>
          </w:p>
        </w:tc>
        <w:tc>
          <w:tcPr>
            <w:tcW w:w="3969" w:type="dxa"/>
            <w:tcBorders>
              <w:top w:val="single" w:sz="4" w:space="0" w:color="auto"/>
              <w:left w:val="single" w:sz="4" w:space="0" w:color="auto"/>
              <w:bottom w:val="single" w:sz="4" w:space="0" w:color="auto"/>
              <w:right w:val="single" w:sz="4" w:space="0" w:color="auto"/>
            </w:tcBorders>
          </w:tcPr>
          <w:p w14:paraId="11ABA6BB"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Rapid exit taxiway indicator lights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07359A2" w14:textId="5B547BC8" w:rsidR="00C62A31" w:rsidRPr="005D070C" w:rsidRDefault="000B5A4A"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Światła wskazania drogi kołowania szybkiego zjazdu</w:t>
            </w:r>
          </w:p>
        </w:tc>
      </w:tr>
      <w:tr w:rsidR="00C62A31" w:rsidRPr="009E064B" w14:paraId="036C20D2" w14:textId="64425E89"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B0C9225"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RFF </w:t>
            </w:r>
          </w:p>
        </w:tc>
        <w:tc>
          <w:tcPr>
            <w:tcW w:w="3969" w:type="dxa"/>
            <w:tcBorders>
              <w:top w:val="single" w:sz="4" w:space="0" w:color="auto"/>
              <w:left w:val="single" w:sz="4" w:space="0" w:color="auto"/>
              <w:bottom w:val="single" w:sz="4" w:space="0" w:color="auto"/>
              <w:right w:val="single" w:sz="4" w:space="0" w:color="auto"/>
            </w:tcBorders>
          </w:tcPr>
          <w:p w14:paraId="2C4F90A0"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Rescue and firefighting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131A0EF" w14:textId="269644D6"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Ratownictwo i gaszenie pożarów</w:t>
            </w:r>
          </w:p>
        </w:tc>
      </w:tr>
      <w:tr w:rsidR="00C62A31" w:rsidRPr="009E064B" w14:paraId="1172BEE9" w14:textId="47F7DD18"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6633D1D5"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RFFS </w:t>
            </w:r>
          </w:p>
        </w:tc>
        <w:tc>
          <w:tcPr>
            <w:tcW w:w="3969" w:type="dxa"/>
            <w:tcBorders>
              <w:top w:val="single" w:sz="4" w:space="0" w:color="auto"/>
              <w:left w:val="single" w:sz="4" w:space="0" w:color="auto"/>
              <w:bottom w:val="single" w:sz="4" w:space="0" w:color="auto"/>
              <w:right w:val="single" w:sz="4" w:space="0" w:color="auto"/>
            </w:tcBorders>
          </w:tcPr>
          <w:p w14:paraId="6D05C566"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Rescue and firefighting services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AE9CD9E" w14:textId="4D00695A" w:rsidR="00C62A31" w:rsidRPr="005D070C" w:rsidRDefault="008F0CB0" w:rsidP="008F0CB0">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Służba ratownicza-gaśnicza</w:t>
            </w:r>
          </w:p>
        </w:tc>
      </w:tr>
      <w:tr w:rsidR="00C62A31" w:rsidRPr="009E064B" w14:paraId="0D1388D0" w14:textId="4681EF7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A12B700"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RP </w:t>
            </w:r>
          </w:p>
        </w:tc>
        <w:tc>
          <w:tcPr>
            <w:tcW w:w="3969" w:type="dxa"/>
            <w:tcBorders>
              <w:top w:val="single" w:sz="4" w:space="0" w:color="auto"/>
              <w:left w:val="single" w:sz="4" w:space="0" w:color="auto"/>
              <w:bottom w:val="single" w:sz="4" w:space="0" w:color="auto"/>
              <w:right w:val="single" w:sz="4" w:space="0" w:color="auto"/>
            </w:tcBorders>
          </w:tcPr>
          <w:p w14:paraId="3B036A58"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Reference point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1CC12CE" w14:textId="629EB99D"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Punkt odniesienia</w:t>
            </w:r>
          </w:p>
        </w:tc>
      </w:tr>
      <w:tr w:rsidR="00C62A31" w:rsidRPr="009E064B" w14:paraId="48792688" w14:textId="0CFA1E43"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1745B0B"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RVR </w:t>
            </w:r>
          </w:p>
        </w:tc>
        <w:tc>
          <w:tcPr>
            <w:tcW w:w="3969" w:type="dxa"/>
            <w:tcBorders>
              <w:top w:val="single" w:sz="4" w:space="0" w:color="auto"/>
              <w:left w:val="single" w:sz="4" w:space="0" w:color="auto"/>
              <w:bottom w:val="single" w:sz="4" w:space="0" w:color="auto"/>
              <w:right w:val="single" w:sz="4" w:space="0" w:color="auto"/>
            </w:tcBorders>
          </w:tcPr>
          <w:p w14:paraId="27D599C7"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visual range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7267B75F" w14:textId="59C89FFB"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Zasięg widzialności wzdłuż drogi startowej</w:t>
            </w:r>
          </w:p>
        </w:tc>
      </w:tr>
      <w:tr w:rsidR="00C62A31" w:rsidRPr="009E064B" w14:paraId="2FA0D96F" w14:textId="0FF2AFD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6AC814EF"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RWSL </w:t>
            </w:r>
          </w:p>
        </w:tc>
        <w:tc>
          <w:tcPr>
            <w:tcW w:w="3969" w:type="dxa"/>
            <w:tcBorders>
              <w:top w:val="single" w:sz="4" w:space="0" w:color="auto"/>
              <w:left w:val="single" w:sz="4" w:space="0" w:color="auto"/>
              <w:bottom w:val="single" w:sz="4" w:space="0" w:color="auto"/>
              <w:right w:val="single" w:sz="4" w:space="0" w:color="auto"/>
            </w:tcBorders>
          </w:tcPr>
          <w:p w14:paraId="18D7F363"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status lights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C508ADE" w14:textId="17212D39"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Światła stanu drogi startowej</w:t>
            </w:r>
          </w:p>
        </w:tc>
      </w:tr>
      <w:tr w:rsidR="00C62A31" w:rsidRPr="009E064B" w14:paraId="0C122E25" w14:textId="68EC5697"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8C24134"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RWY </w:t>
            </w:r>
          </w:p>
        </w:tc>
        <w:tc>
          <w:tcPr>
            <w:tcW w:w="3969" w:type="dxa"/>
            <w:tcBorders>
              <w:top w:val="single" w:sz="4" w:space="0" w:color="auto"/>
              <w:left w:val="single" w:sz="4" w:space="0" w:color="auto"/>
              <w:bottom w:val="single" w:sz="4" w:space="0" w:color="auto"/>
              <w:right w:val="single" w:sz="4" w:space="0" w:color="auto"/>
            </w:tcBorders>
          </w:tcPr>
          <w:p w14:paraId="5F4C4579"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DC2C715" w14:textId="47826F49"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Droga startowa</w:t>
            </w:r>
          </w:p>
        </w:tc>
      </w:tr>
      <w:tr w:rsidR="00C62A31" w:rsidRPr="001910F1" w14:paraId="045245D2" w14:textId="445C3D81"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080E63C"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SMGCS </w:t>
            </w:r>
          </w:p>
        </w:tc>
        <w:tc>
          <w:tcPr>
            <w:tcW w:w="3969" w:type="dxa"/>
            <w:tcBorders>
              <w:top w:val="single" w:sz="4" w:space="0" w:color="auto"/>
              <w:left w:val="single" w:sz="4" w:space="0" w:color="auto"/>
              <w:bottom w:val="single" w:sz="4" w:space="0" w:color="auto"/>
              <w:right w:val="single" w:sz="4" w:space="0" w:color="auto"/>
            </w:tcBorders>
          </w:tcPr>
          <w:p w14:paraId="5C0D4664"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Surface movement guidance and control system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1B065A4" w14:textId="31257CCD" w:rsidR="00C62A31" w:rsidRPr="005D070C" w:rsidRDefault="001910F1" w:rsidP="001910F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System kierowania i kontroli ruchu naziemnego</w:t>
            </w:r>
          </w:p>
        </w:tc>
      </w:tr>
      <w:tr w:rsidR="00C62A31" w:rsidRPr="009E064B" w14:paraId="2D0A0CE7" w14:textId="07380E03"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634D3472"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SWY </w:t>
            </w:r>
          </w:p>
        </w:tc>
        <w:tc>
          <w:tcPr>
            <w:tcW w:w="3969" w:type="dxa"/>
            <w:tcBorders>
              <w:top w:val="single" w:sz="4" w:space="0" w:color="auto"/>
              <w:left w:val="single" w:sz="4" w:space="0" w:color="auto"/>
              <w:bottom w:val="single" w:sz="4" w:space="0" w:color="auto"/>
              <w:right w:val="single" w:sz="4" w:space="0" w:color="auto"/>
            </w:tcBorders>
          </w:tcPr>
          <w:p w14:paraId="23E1EB3B"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Stopway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0C7E3CDE" w14:textId="746CCB9A"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Zabezpieczenie przerwanego startu</w:t>
            </w:r>
          </w:p>
        </w:tc>
      </w:tr>
      <w:tr w:rsidR="00C62A31" w:rsidRPr="009E064B" w14:paraId="315E23D8" w14:textId="61F1D7D4"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59DC4EB"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TDZ </w:t>
            </w:r>
          </w:p>
        </w:tc>
        <w:tc>
          <w:tcPr>
            <w:tcW w:w="3969" w:type="dxa"/>
            <w:tcBorders>
              <w:top w:val="single" w:sz="4" w:space="0" w:color="auto"/>
              <w:left w:val="single" w:sz="4" w:space="0" w:color="auto"/>
              <w:bottom w:val="single" w:sz="4" w:space="0" w:color="auto"/>
              <w:right w:val="single" w:sz="4" w:space="0" w:color="auto"/>
            </w:tcBorders>
          </w:tcPr>
          <w:p w14:paraId="409864C1"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Runway touchdown zone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15F1CF49" w14:textId="7FD7FCDB"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Strefa przyziemienia drogi startowej</w:t>
            </w:r>
          </w:p>
        </w:tc>
      </w:tr>
      <w:tr w:rsidR="00C62A31" w:rsidRPr="009E064B" w14:paraId="58BFB821" w14:textId="78A9F33D"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0391E63F"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THLs </w:t>
            </w:r>
          </w:p>
        </w:tc>
        <w:tc>
          <w:tcPr>
            <w:tcW w:w="3969" w:type="dxa"/>
            <w:tcBorders>
              <w:top w:val="single" w:sz="4" w:space="0" w:color="auto"/>
              <w:left w:val="single" w:sz="4" w:space="0" w:color="auto"/>
              <w:bottom w:val="single" w:sz="4" w:space="0" w:color="auto"/>
              <w:right w:val="single" w:sz="4" w:space="0" w:color="auto"/>
            </w:tcBorders>
          </w:tcPr>
          <w:p w14:paraId="0F3AAB06"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Take-off hold lights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2AE5758E" w14:textId="0F1DA6F2"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Światła oczekiwania na start</w:t>
            </w:r>
          </w:p>
        </w:tc>
      </w:tr>
      <w:tr w:rsidR="00C62A31" w:rsidRPr="009E064B" w14:paraId="5590E576" w14:textId="3FDB8EF2"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4E07B79C"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TODA </w:t>
            </w:r>
          </w:p>
        </w:tc>
        <w:tc>
          <w:tcPr>
            <w:tcW w:w="3969" w:type="dxa"/>
            <w:tcBorders>
              <w:top w:val="single" w:sz="4" w:space="0" w:color="auto"/>
              <w:left w:val="single" w:sz="4" w:space="0" w:color="auto"/>
              <w:bottom w:val="single" w:sz="4" w:space="0" w:color="auto"/>
              <w:right w:val="single" w:sz="4" w:space="0" w:color="auto"/>
            </w:tcBorders>
          </w:tcPr>
          <w:p w14:paraId="191BAB8C"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Take-off distance available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507A2E4" w14:textId="599B2D25"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Rozporządzalna długość startu</w:t>
            </w:r>
          </w:p>
        </w:tc>
      </w:tr>
      <w:tr w:rsidR="00C62A31" w:rsidRPr="009E064B" w14:paraId="0E4B4F93" w14:textId="710101E1"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32BFC446"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TORA </w:t>
            </w:r>
          </w:p>
        </w:tc>
        <w:tc>
          <w:tcPr>
            <w:tcW w:w="3969" w:type="dxa"/>
            <w:tcBorders>
              <w:top w:val="single" w:sz="4" w:space="0" w:color="auto"/>
              <w:left w:val="single" w:sz="4" w:space="0" w:color="auto"/>
              <w:bottom w:val="single" w:sz="4" w:space="0" w:color="auto"/>
              <w:right w:val="single" w:sz="4" w:space="0" w:color="auto"/>
            </w:tcBorders>
          </w:tcPr>
          <w:p w14:paraId="01D97432"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Take-off run available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EB21B02" w14:textId="41D040E0"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Rozporządzalna długość rozbiegu</w:t>
            </w:r>
          </w:p>
        </w:tc>
      </w:tr>
      <w:tr w:rsidR="00C62A31" w:rsidRPr="009E064B" w14:paraId="37071FC0" w14:textId="21C308C0"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A3870B9"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UPS </w:t>
            </w:r>
          </w:p>
        </w:tc>
        <w:tc>
          <w:tcPr>
            <w:tcW w:w="3969" w:type="dxa"/>
            <w:tcBorders>
              <w:top w:val="single" w:sz="4" w:space="0" w:color="auto"/>
              <w:left w:val="single" w:sz="4" w:space="0" w:color="auto"/>
              <w:bottom w:val="single" w:sz="4" w:space="0" w:color="auto"/>
              <w:right w:val="single" w:sz="4" w:space="0" w:color="auto"/>
            </w:tcBorders>
          </w:tcPr>
          <w:p w14:paraId="6249747F"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Uninterruptible power supply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2336C3D" w14:textId="5256E9B4" w:rsidR="00C62A31" w:rsidRPr="005D070C" w:rsidRDefault="00323E9D"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Awaryjne źródło zasilania</w:t>
            </w:r>
          </w:p>
        </w:tc>
      </w:tr>
      <w:tr w:rsidR="00C62A31" w:rsidRPr="009E064B" w14:paraId="79956F3B" w14:textId="19CC4CBC"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2759ED02"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VMC </w:t>
            </w:r>
          </w:p>
        </w:tc>
        <w:tc>
          <w:tcPr>
            <w:tcW w:w="3969" w:type="dxa"/>
            <w:tcBorders>
              <w:top w:val="single" w:sz="4" w:space="0" w:color="auto"/>
              <w:left w:val="single" w:sz="4" w:space="0" w:color="auto"/>
              <w:bottom w:val="single" w:sz="4" w:space="0" w:color="auto"/>
              <w:right w:val="single" w:sz="4" w:space="0" w:color="auto"/>
            </w:tcBorders>
          </w:tcPr>
          <w:p w14:paraId="3FE61A8D"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Visual meteorological conditions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4DA88357" w14:textId="74EF88DB"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Warunku meteorologiczne dla lotów z widocznością</w:t>
            </w:r>
          </w:p>
        </w:tc>
      </w:tr>
      <w:tr w:rsidR="00C62A31" w:rsidRPr="009E064B" w14:paraId="7724D2BC" w14:textId="54C37F8A"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74D92CBB"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VOR </w:t>
            </w:r>
          </w:p>
        </w:tc>
        <w:tc>
          <w:tcPr>
            <w:tcW w:w="3969" w:type="dxa"/>
            <w:tcBorders>
              <w:top w:val="single" w:sz="4" w:space="0" w:color="auto"/>
              <w:left w:val="single" w:sz="4" w:space="0" w:color="auto"/>
              <w:bottom w:val="single" w:sz="4" w:space="0" w:color="auto"/>
              <w:right w:val="single" w:sz="4" w:space="0" w:color="auto"/>
            </w:tcBorders>
          </w:tcPr>
          <w:p w14:paraId="4A95FD57"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VHF Omnidirectional radio range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6B00B04A" w14:textId="6AC77B02" w:rsidR="00C62A31" w:rsidRPr="005D070C" w:rsidRDefault="00C62A31"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Radiolatarnia ogólnokierunkowa VHF</w:t>
            </w:r>
          </w:p>
        </w:tc>
      </w:tr>
      <w:tr w:rsidR="00C62A31" w:rsidRPr="009E064B" w14:paraId="58A45A99" w14:textId="1477FAF3" w:rsidTr="00A44F9A">
        <w:trPr>
          <w:trHeight w:val="99"/>
        </w:trPr>
        <w:tc>
          <w:tcPr>
            <w:tcW w:w="1101" w:type="dxa"/>
            <w:tcBorders>
              <w:top w:val="single" w:sz="4" w:space="0" w:color="auto"/>
              <w:left w:val="single" w:sz="4" w:space="0" w:color="auto"/>
              <w:bottom w:val="single" w:sz="4" w:space="0" w:color="auto"/>
              <w:right w:val="single" w:sz="4" w:space="0" w:color="auto"/>
            </w:tcBorders>
          </w:tcPr>
          <w:p w14:paraId="5AB57839" w14:textId="77777777" w:rsidR="00C62A31" w:rsidRPr="009E064B" w:rsidRDefault="00C62A31" w:rsidP="00C62A3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WGS-84 </w:t>
            </w:r>
          </w:p>
        </w:tc>
        <w:tc>
          <w:tcPr>
            <w:tcW w:w="3969" w:type="dxa"/>
            <w:tcBorders>
              <w:top w:val="single" w:sz="4" w:space="0" w:color="auto"/>
              <w:left w:val="single" w:sz="4" w:space="0" w:color="auto"/>
              <w:bottom w:val="single" w:sz="4" w:space="0" w:color="auto"/>
              <w:right w:val="single" w:sz="4" w:space="0" w:color="auto"/>
            </w:tcBorders>
          </w:tcPr>
          <w:p w14:paraId="7ED1FB58" w14:textId="77777777" w:rsidR="00C62A31" w:rsidRPr="00C62A31" w:rsidRDefault="00C62A31" w:rsidP="00C62A31">
            <w:pPr>
              <w:spacing w:after="0"/>
              <w:rPr>
                <w:rFonts w:asciiTheme="minorHAnsi" w:hAnsiTheme="minorHAnsi" w:cstheme="minorHAnsi"/>
                <w:color w:val="000000"/>
                <w:sz w:val="18"/>
                <w:szCs w:val="18"/>
                <w:lang w:val="en-GB"/>
              </w:rPr>
            </w:pPr>
            <w:r w:rsidRPr="00C62A31">
              <w:rPr>
                <w:rFonts w:asciiTheme="minorHAnsi" w:hAnsiTheme="minorHAnsi" w:cstheme="minorHAnsi"/>
                <w:color w:val="000000"/>
                <w:sz w:val="18"/>
                <w:szCs w:val="18"/>
                <w:lang w:val="en-GB"/>
              </w:rPr>
              <w:t xml:space="preserve">World geodetic system – 1984 </w:t>
            </w:r>
          </w:p>
        </w:tc>
        <w:tc>
          <w:tcPr>
            <w:tcW w:w="4102" w:type="dxa"/>
            <w:tcBorders>
              <w:top w:val="single" w:sz="4" w:space="0" w:color="auto"/>
              <w:left w:val="single" w:sz="4" w:space="0" w:color="auto"/>
              <w:bottom w:val="single" w:sz="4" w:space="0" w:color="auto"/>
              <w:right w:val="single" w:sz="4" w:space="0" w:color="auto"/>
            </w:tcBorders>
            <w:shd w:val="clear" w:color="auto" w:fill="auto"/>
          </w:tcPr>
          <w:p w14:paraId="59E2FDB0" w14:textId="0D3866E9" w:rsidR="00C62A31" w:rsidRPr="005D070C" w:rsidRDefault="00583ED0" w:rsidP="00C62A31">
            <w:pPr>
              <w:spacing w:after="0"/>
              <w:rPr>
                <w:rFonts w:asciiTheme="minorHAnsi" w:hAnsiTheme="minorHAnsi" w:cstheme="minorHAnsi"/>
                <w:color w:val="000000" w:themeColor="text1"/>
                <w:sz w:val="18"/>
                <w:szCs w:val="18"/>
              </w:rPr>
            </w:pPr>
            <w:r w:rsidRPr="005D070C">
              <w:rPr>
                <w:rFonts w:asciiTheme="minorHAnsi" w:hAnsiTheme="minorHAnsi" w:cstheme="minorHAnsi"/>
                <w:color w:val="000000" w:themeColor="text1"/>
                <w:sz w:val="18"/>
                <w:szCs w:val="18"/>
              </w:rPr>
              <w:t>Światowy układ geodezyjny - 1984</w:t>
            </w:r>
          </w:p>
        </w:tc>
      </w:tr>
    </w:tbl>
    <w:p w14:paraId="3B1D253E" w14:textId="71DEE669" w:rsidR="00AC725F" w:rsidRPr="009E064B" w:rsidRDefault="00AC725F" w:rsidP="00B06A9A"/>
    <w:p w14:paraId="0F3A3D2A" w14:textId="77777777" w:rsidR="00AC725F" w:rsidRPr="009E064B" w:rsidRDefault="00AC725F" w:rsidP="00B06A9A"/>
    <w:p w14:paraId="25094E8B" w14:textId="77777777" w:rsidR="00AC725F" w:rsidRPr="009E064B" w:rsidRDefault="00AC725F" w:rsidP="00B06A9A">
      <w:pPr>
        <w:sectPr w:rsidR="00AC725F" w:rsidRPr="009E064B" w:rsidSect="00E140D8">
          <w:headerReference w:type="default" r:id="rId104"/>
          <w:footerReference w:type="default" r:id="rId105"/>
          <w:headerReference w:type="first" r:id="rId106"/>
          <w:footerReference w:type="first" r:id="rId107"/>
          <w:pgSz w:w="11906" w:h="16840" w:code="9"/>
          <w:pgMar w:top="1701" w:right="1418" w:bottom="1418" w:left="1418" w:header="567" w:footer="454" w:gutter="0"/>
          <w:cols w:space="708"/>
          <w:titlePg/>
          <w:docGrid w:linePitch="360"/>
        </w:sectPr>
      </w:pPr>
    </w:p>
    <w:p w14:paraId="65D8D048" w14:textId="722C3565" w:rsidR="00AC725F" w:rsidRPr="009E064B" w:rsidRDefault="00AC725F" w:rsidP="00B06A9A"/>
    <w:p w14:paraId="07E302DC" w14:textId="6B7AA8AD" w:rsidR="00C36D76" w:rsidRPr="009E064B" w:rsidRDefault="00C36D76" w:rsidP="00020EA3">
      <w:pPr>
        <w:pStyle w:val="Nagwek2"/>
      </w:pPr>
      <w:bookmarkStart w:id="763" w:name="_Toc12532903"/>
      <w:r w:rsidRPr="009E064B">
        <w:t xml:space="preserve">ROZDZIAŁ A </w:t>
      </w:r>
      <w:r w:rsidR="008529A2" w:rsidRPr="009E064B">
        <w:t xml:space="preserve">— </w:t>
      </w:r>
      <w:r w:rsidR="009B0A08" w:rsidRPr="009E064B">
        <w:t>WYMAGANIA</w:t>
      </w:r>
      <w:r w:rsidRPr="009E064B">
        <w:t xml:space="preserve"> OGÓLNE</w:t>
      </w:r>
      <w:bookmarkEnd w:id="763"/>
    </w:p>
    <w:p w14:paraId="6E5F7A4C" w14:textId="04ED3D92" w:rsidR="00C36D76" w:rsidRPr="009E064B" w:rsidRDefault="00C36D76" w:rsidP="00B06A9A"/>
    <w:p w14:paraId="5FE3BAD5" w14:textId="0D7E0475" w:rsidR="00C36D76" w:rsidRPr="009E064B" w:rsidRDefault="00C36D76" w:rsidP="00B06A9A">
      <w:pPr>
        <w:pStyle w:val="Nagwek4"/>
        <w:rPr>
          <w:color w:val="auto"/>
        </w:rPr>
      </w:pPr>
      <w:bookmarkStart w:id="764" w:name="_Toc482886527"/>
      <w:bookmarkStart w:id="765" w:name="_Toc12532904"/>
      <w:r w:rsidRPr="009E064B">
        <w:rPr>
          <w:color w:val="auto"/>
        </w:rPr>
        <w:t xml:space="preserve">CS ADR-DSN.A.001 </w:t>
      </w:r>
      <w:r w:rsidR="006F5BE7" w:rsidRPr="009E064B">
        <w:rPr>
          <w:color w:val="auto"/>
        </w:rPr>
        <w:t xml:space="preserve">    </w:t>
      </w:r>
      <w:r w:rsidRPr="009E064B">
        <w:rPr>
          <w:color w:val="auto"/>
        </w:rPr>
        <w:t>Zastosowanie</w:t>
      </w:r>
      <w:bookmarkEnd w:id="764"/>
      <w:bookmarkEnd w:id="765"/>
    </w:p>
    <w:p w14:paraId="3E8355B8" w14:textId="3C42BD0F" w:rsidR="006F5BE7" w:rsidRPr="009E064B" w:rsidRDefault="001F74A1" w:rsidP="006F5BE7">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2014/013/R</w:t>
      </w:r>
    </w:p>
    <w:p w14:paraId="4F7C539A" w14:textId="4F500FC8" w:rsidR="00C36D76" w:rsidRPr="009E064B" w:rsidRDefault="00C36D76" w:rsidP="00B06A9A">
      <w:pPr>
        <w:autoSpaceDE w:val="0"/>
        <w:autoSpaceDN w:val="0"/>
        <w:adjustRightInd w:val="0"/>
        <w:spacing w:after="0"/>
        <w:rPr>
          <w:rFonts w:cs="TimesNewRomanPS-BoldItalicMT"/>
          <w:bCs/>
          <w:iCs/>
          <w:szCs w:val="20"/>
        </w:rPr>
      </w:pPr>
      <w:r w:rsidRPr="009E064B">
        <w:rPr>
          <w:rFonts w:cs="TimesNewRomanPS-BoldItalicMT"/>
          <w:bCs/>
          <w:iCs/>
          <w:szCs w:val="20"/>
        </w:rPr>
        <w:t xml:space="preserve">Specyfikacje certyfikacyjne zawarte w Części 1 oraz związane z nimi materiały zawierające wytyczne zawarte w Części 2 mają zastosowanie do lotnisk objętych </w:t>
      </w:r>
      <w:r w:rsidR="00371A8B" w:rsidRPr="009E064B">
        <w:rPr>
          <w:rFonts w:cs="TimesNewRomanPS-BoldItalicMT"/>
          <w:bCs/>
          <w:iCs/>
          <w:szCs w:val="20"/>
        </w:rPr>
        <w:t>zakresem Rozporządzenia (WE) nr </w:t>
      </w:r>
      <w:r w:rsidRPr="009E064B">
        <w:rPr>
          <w:rFonts w:cs="TimesNewRomanPS-BoldItalicMT"/>
          <w:bCs/>
          <w:iCs/>
          <w:szCs w:val="20"/>
        </w:rPr>
        <w:t>216/2008 (Rozporządzenie bazowe).</w:t>
      </w:r>
    </w:p>
    <w:p w14:paraId="6FA01A07" w14:textId="521B9521" w:rsidR="00B818A5" w:rsidRPr="009E064B" w:rsidRDefault="00B818A5" w:rsidP="00133B99">
      <w:pPr>
        <w:pStyle w:val="Nagwek6"/>
      </w:pPr>
      <w:bookmarkStart w:id="766" w:name="_Toc401058882"/>
      <w:bookmarkStart w:id="767" w:name="_Toc482886751"/>
      <w:bookmarkStart w:id="768" w:name="_Toc12532905"/>
      <w:r w:rsidRPr="009E064B">
        <w:t xml:space="preserve">GM1 ADR-DSNA.001 </w:t>
      </w:r>
      <w:r w:rsidR="006F5BE7" w:rsidRPr="009E064B">
        <w:t xml:space="preserve">    </w:t>
      </w:r>
      <w:r w:rsidRPr="009E064B">
        <w:t>Zastosowanie</w:t>
      </w:r>
      <w:bookmarkEnd w:id="766"/>
      <w:bookmarkEnd w:id="767"/>
      <w:bookmarkEnd w:id="768"/>
    </w:p>
    <w:p w14:paraId="6C136BA3" w14:textId="432D01B1" w:rsidR="006F5BE7" w:rsidRPr="009E064B" w:rsidRDefault="001F74A1" w:rsidP="006F5BE7">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2014/013/R</w:t>
      </w:r>
    </w:p>
    <w:p w14:paraId="40153809" w14:textId="77777777" w:rsidR="00B818A5" w:rsidRPr="009E064B" w:rsidRDefault="00B818A5"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(a) </w:t>
      </w:r>
      <w:r w:rsidRPr="009E064B">
        <w:rPr>
          <w:rFonts w:cs="TimesNewRomanPS-BoldItalicMT"/>
          <w:bCs/>
          <w:iCs/>
          <w:szCs w:val="20"/>
        </w:rPr>
        <w:tab/>
        <w:t>Specyfikacje certyfikacyjne zawarte w Części 1 oraz związane z nimi materiały zawierające wytyczne zawarte w Części 2 mają zastosowanie do lotnisk objętych zakresem Rozporządzenia (WE) nr 216/2008 (Rozporządzenie Bazowe).</w:t>
      </w:r>
    </w:p>
    <w:p w14:paraId="091399CC" w14:textId="3FA1912F" w:rsidR="00B818A5" w:rsidRPr="009E064B" w:rsidRDefault="00B818A5"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(b) </w:t>
      </w:r>
      <w:r w:rsidRPr="009E064B">
        <w:rPr>
          <w:rFonts w:cs="TimesNewRomanPS-BoldItalicMT"/>
          <w:bCs/>
          <w:iCs/>
          <w:szCs w:val="20"/>
        </w:rPr>
        <w:tab/>
        <w:t>Na lotnisku, które objęte jest zakresem Rozporządzenia Bazowego, oraz które posiada więcej niż jedną drogę startową, co najmniej jedna droga startowa powinn</w:t>
      </w:r>
      <w:r w:rsidR="00280FF7" w:rsidRPr="009E064B">
        <w:rPr>
          <w:rFonts w:cs="TimesNewRomanPS-BoldItalicMT"/>
          <w:bCs/>
          <w:iCs/>
          <w:szCs w:val="20"/>
        </w:rPr>
        <w:t>a spełniać kryteria określone w </w:t>
      </w:r>
      <w:r w:rsidRPr="009E064B">
        <w:rPr>
          <w:rFonts w:cs="TimesNewRomanPS-BoldItalicMT"/>
          <w:bCs/>
          <w:iCs/>
          <w:szCs w:val="20"/>
        </w:rPr>
        <w:t xml:space="preserve">artykule 4 Rozporządzenia Bazowego. Takie drogi startowe mogą być drogami startowymi nieprzyrządowymi, drogami startowymi bez nawierzchni </w:t>
      </w:r>
      <w:r w:rsidR="001760C9" w:rsidRPr="009E064B">
        <w:rPr>
          <w:rFonts w:cs="TimesNewRomanPS-BoldItalicMT"/>
          <w:bCs/>
          <w:iCs/>
          <w:szCs w:val="20"/>
        </w:rPr>
        <w:t>sztucznej, drogami startowymi o </w:t>
      </w:r>
      <w:r w:rsidRPr="009E064B">
        <w:rPr>
          <w:rFonts w:cs="TimesNewRomanPS-BoldItalicMT"/>
          <w:bCs/>
          <w:iCs/>
          <w:szCs w:val="20"/>
        </w:rPr>
        <w:t>długości mniejszej niż 800 m, drogami startowymi, które nie są udostępniane do użytku publicznego lub zarobkowego transportu lotniczego. Specyf</w:t>
      </w:r>
      <w:r w:rsidR="00280FF7" w:rsidRPr="009E064B">
        <w:rPr>
          <w:rFonts w:cs="TimesNewRomanPS-BoldItalicMT"/>
          <w:bCs/>
          <w:iCs/>
          <w:szCs w:val="20"/>
        </w:rPr>
        <w:t>ikacje certyfikacyjne zawarte w </w:t>
      </w:r>
      <w:r w:rsidRPr="009E064B">
        <w:rPr>
          <w:rFonts w:cs="TimesNewRomanPS-BoldItalicMT"/>
          <w:bCs/>
          <w:iCs/>
          <w:szCs w:val="20"/>
        </w:rPr>
        <w:t>Części 1 oraz materiały zawierające wytyczne w Części 2 mają zastosowanie również dla tych dróg startowych.</w:t>
      </w:r>
    </w:p>
    <w:p w14:paraId="4FFFE97F" w14:textId="01E8D638" w:rsidR="00C36D76" w:rsidRPr="009E064B" w:rsidRDefault="00C36D76" w:rsidP="00B06A9A">
      <w:pPr>
        <w:pStyle w:val="Nagwek4"/>
        <w:rPr>
          <w:color w:val="auto"/>
        </w:rPr>
      </w:pPr>
      <w:bookmarkStart w:id="769" w:name="_Toc482886528"/>
      <w:bookmarkStart w:id="770" w:name="_Toc12532906"/>
      <w:r w:rsidRPr="009E064B">
        <w:rPr>
          <w:color w:val="auto"/>
        </w:rPr>
        <w:t xml:space="preserve">CS ADR-DSN.A.002 </w:t>
      </w:r>
      <w:r w:rsidR="006F5BE7" w:rsidRPr="009E064B">
        <w:rPr>
          <w:color w:val="auto"/>
        </w:rPr>
        <w:t xml:space="preserve">    </w:t>
      </w:r>
      <w:r w:rsidRPr="009E064B">
        <w:rPr>
          <w:color w:val="auto"/>
        </w:rPr>
        <w:t>Definicje</w:t>
      </w:r>
      <w:bookmarkEnd w:id="769"/>
      <w:bookmarkEnd w:id="770"/>
    </w:p>
    <w:p w14:paraId="27AD846E" w14:textId="6F901C0E" w:rsidR="006F5BE7" w:rsidRPr="009E064B" w:rsidRDefault="00D63D4F" w:rsidP="006F5BE7">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D8B9C1B" w14:textId="77777777" w:rsidR="00B527C7" w:rsidRPr="009E064B" w:rsidRDefault="00B527C7" w:rsidP="00B527C7">
      <w:pPr>
        <w:autoSpaceDE w:val="0"/>
        <w:autoSpaceDN w:val="0"/>
        <w:adjustRightInd w:val="0"/>
        <w:ind w:left="142" w:hanging="142"/>
        <w:rPr>
          <w:rFonts w:eastAsia="Calibri" w:cs="TimesNewRomanPS-BoldItalicMT"/>
          <w:b/>
          <w:iCs/>
          <w:szCs w:val="20"/>
        </w:rPr>
      </w:pPr>
      <w:r w:rsidRPr="009E064B">
        <w:rPr>
          <w:rFonts w:eastAsia="Calibri" w:cs="TimesNewRomanPS-BoldItalicMT"/>
          <w:b/>
          <w:iCs/>
          <w:szCs w:val="20"/>
        </w:rPr>
        <w:t xml:space="preserve">Dokładność </w:t>
      </w:r>
      <w:r w:rsidRPr="009E064B">
        <w:rPr>
          <w:rFonts w:eastAsia="Calibri" w:cs="TimesNewRomanPS-ItalicMT"/>
          <w:i/>
          <w:iCs/>
          <w:szCs w:val="20"/>
        </w:rPr>
        <w:t xml:space="preserve">(accuracy) </w:t>
      </w:r>
      <w:r w:rsidRPr="009E064B">
        <w:rPr>
          <w:rFonts w:eastAsia="Calibri" w:cs="TimesNewRomanPSMT"/>
          <w:szCs w:val="20"/>
        </w:rPr>
        <w:t>– oznacza stopień zgodności pomiędzy wartością oszacowaną lub zmierzoną i wartością rzeczywistą.</w:t>
      </w:r>
    </w:p>
    <w:p w14:paraId="4FF08E0D" w14:textId="77777777"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BoldItalicMT"/>
          <w:b/>
          <w:iCs/>
          <w:szCs w:val="20"/>
        </w:rPr>
        <w:t xml:space="preserve">Lotnisko </w:t>
      </w:r>
      <w:r w:rsidRPr="009E064B">
        <w:rPr>
          <w:rFonts w:eastAsia="Calibri" w:cs="TimesNewRomanPS-BoldItalicMT"/>
          <w:i/>
          <w:iCs/>
          <w:szCs w:val="20"/>
        </w:rPr>
        <w:t>(aerodrome)</w:t>
      </w:r>
      <w:r w:rsidRPr="009E064B">
        <w:rPr>
          <w:rFonts w:eastAsia="Calibri" w:cs="TimesNewRomanPS-BoldItalicMT"/>
          <w:b/>
          <w:iCs/>
          <w:szCs w:val="20"/>
        </w:rPr>
        <w:t xml:space="preserve"> </w:t>
      </w:r>
      <w:r w:rsidRPr="009E064B">
        <w:rPr>
          <w:rFonts w:eastAsia="Times New Roman" w:cs="Times New Roman"/>
          <w:szCs w:val="20"/>
        </w:rPr>
        <w:t>oznacza</w:t>
      </w:r>
      <w:r w:rsidRPr="009E064B">
        <w:rPr>
          <w:rFonts w:eastAsia="Times New Roman" w:cs="Times New Roman"/>
          <w:spacing w:val="23"/>
          <w:szCs w:val="20"/>
        </w:rPr>
        <w:t xml:space="preserve"> </w:t>
      </w:r>
      <w:r w:rsidRPr="009E064B">
        <w:rPr>
          <w:rFonts w:eastAsia="Times New Roman" w:cs="Times New Roman"/>
          <w:szCs w:val="20"/>
        </w:rPr>
        <w:t>wydzielony</w:t>
      </w:r>
      <w:r w:rsidRPr="009E064B">
        <w:rPr>
          <w:rFonts w:eastAsia="Times New Roman" w:cs="Times New Roman"/>
          <w:spacing w:val="18"/>
          <w:szCs w:val="20"/>
        </w:rPr>
        <w:t xml:space="preserve"> </w:t>
      </w:r>
      <w:r w:rsidRPr="009E064B">
        <w:rPr>
          <w:rFonts w:eastAsia="Times New Roman" w:cs="Times New Roman"/>
          <w:szCs w:val="20"/>
        </w:rPr>
        <w:t>obszar</w:t>
      </w:r>
      <w:r w:rsidRPr="009E064B">
        <w:rPr>
          <w:rFonts w:eastAsia="Times New Roman" w:cs="Times New Roman"/>
          <w:spacing w:val="21"/>
          <w:szCs w:val="20"/>
        </w:rPr>
        <w:t xml:space="preserve"> </w:t>
      </w:r>
      <w:r w:rsidRPr="009E064B">
        <w:rPr>
          <w:rFonts w:eastAsia="Times New Roman" w:cs="Times New Roman"/>
          <w:szCs w:val="20"/>
        </w:rPr>
        <w:t>(w</w:t>
      </w:r>
      <w:r w:rsidRPr="009E064B">
        <w:rPr>
          <w:rFonts w:eastAsia="Times New Roman" w:cs="Times New Roman"/>
          <w:spacing w:val="22"/>
          <w:szCs w:val="20"/>
        </w:rPr>
        <w:t xml:space="preserve"> </w:t>
      </w:r>
      <w:r w:rsidRPr="009E064B">
        <w:rPr>
          <w:rFonts w:eastAsia="Times New Roman" w:cs="Times New Roman"/>
          <w:szCs w:val="20"/>
        </w:rPr>
        <w:t>tym wszystkie budynki,</w:t>
      </w:r>
      <w:r w:rsidRPr="009E064B">
        <w:rPr>
          <w:rFonts w:eastAsia="Times New Roman" w:cs="Times New Roman"/>
          <w:spacing w:val="42"/>
          <w:szCs w:val="20"/>
        </w:rPr>
        <w:t xml:space="preserve"> </w:t>
      </w:r>
      <w:r w:rsidRPr="009E064B">
        <w:rPr>
          <w:rFonts w:eastAsia="Times New Roman" w:cs="Times New Roman"/>
          <w:szCs w:val="20"/>
        </w:rPr>
        <w:t>instalacje</w:t>
      </w:r>
      <w:r w:rsidRPr="009E064B">
        <w:rPr>
          <w:rFonts w:eastAsia="Times New Roman" w:cs="Times New Roman"/>
          <w:spacing w:val="40"/>
          <w:szCs w:val="20"/>
        </w:rPr>
        <w:t xml:space="preserve"> </w:t>
      </w:r>
      <w:r w:rsidRPr="009E064B">
        <w:rPr>
          <w:rFonts w:eastAsia="Times New Roman" w:cs="Times New Roman"/>
          <w:szCs w:val="20"/>
        </w:rPr>
        <w:t>i</w:t>
      </w:r>
      <w:r w:rsidRPr="009E064B">
        <w:rPr>
          <w:rFonts w:eastAsia="Times New Roman" w:cs="Times New Roman"/>
          <w:spacing w:val="1"/>
          <w:szCs w:val="20"/>
        </w:rPr>
        <w:t> </w:t>
      </w:r>
      <w:r w:rsidRPr="009E064B">
        <w:rPr>
          <w:rFonts w:eastAsia="Times New Roman" w:cs="Times New Roman"/>
          <w:szCs w:val="20"/>
        </w:rPr>
        <w:t>urz</w:t>
      </w:r>
      <w:r w:rsidRPr="009E064B">
        <w:rPr>
          <w:rFonts w:eastAsia="Times New Roman" w:cs="Times New Roman"/>
          <w:spacing w:val="-2"/>
          <w:szCs w:val="20"/>
        </w:rPr>
        <w:t>ą</w:t>
      </w:r>
      <w:r w:rsidRPr="009E064B">
        <w:rPr>
          <w:rFonts w:eastAsia="Times New Roman" w:cs="Times New Roman"/>
          <w:szCs w:val="20"/>
        </w:rPr>
        <w:t>dzenia) na</w:t>
      </w:r>
      <w:r w:rsidRPr="009E064B">
        <w:rPr>
          <w:rFonts w:eastAsia="Times New Roman" w:cs="Times New Roman"/>
          <w:spacing w:val="45"/>
          <w:szCs w:val="20"/>
        </w:rPr>
        <w:t xml:space="preserve"> </w:t>
      </w:r>
      <w:r w:rsidRPr="009E064B">
        <w:rPr>
          <w:rFonts w:eastAsia="Times New Roman" w:cs="Times New Roman"/>
          <w:szCs w:val="20"/>
        </w:rPr>
        <w:t>l</w:t>
      </w:r>
      <w:r w:rsidRPr="009E064B">
        <w:rPr>
          <w:rFonts w:eastAsia="Times New Roman" w:cs="Times New Roman"/>
          <w:spacing w:val="-2"/>
          <w:szCs w:val="20"/>
        </w:rPr>
        <w:t>ą</w:t>
      </w:r>
      <w:r w:rsidRPr="009E064B">
        <w:rPr>
          <w:rFonts w:eastAsia="Times New Roman" w:cs="Times New Roman"/>
          <w:szCs w:val="20"/>
        </w:rPr>
        <w:t>dzie,</w:t>
      </w:r>
      <w:r w:rsidRPr="009E064B">
        <w:rPr>
          <w:rFonts w:eastAsia="Times New Roman" w:cs="Times New Roman"/>
          <w:spacing w:val="43"/>
          <w:szCs w:val="20"/>
        </w:rPr>
        <w:t xml:space="preserve"> </w:t>
      </w:r>
      <w:r w:rsidRPr="009E064B">
        <w:rPr>
          <w:rFonts w:eastAsia="Times New Roman" w:cs="Times New Roman"/>
          <w:szCs w:val="20"/>
        </w:rPr>
        <w:t>na</w:t>
      </w:r>
      <w:r w:rsidRPr="009E064B">
        <w:rPr>
          <w:rFonts w:eastAsia="Times New Roman" w:cs="Times New Roman"/>
          <w:spacing w:val="43"/>
          <w:szCs w:val="20"/>
        </w:rPr>
        <w:t xml:space="preserve"> </w:t>
      </w:r>
      <w:r w:rsidRPr="009E064B">
        <w:rPr>
          <w:rFonts w:eastAsia="Times New Roman" w:cs="Times New Roman"/>
          <w:szCs w:val="20"/>
        </w:rPr>
        <w:t>wodzie,</w:t>
      </w:r>
      <w:r w:rsidRPr="009E064B">
        <w:rPr>
          <w:rFonts w:eastAsia="Times New Roman" w:cs="Times New Roman"/>
          <w:spacing w:val="43"/>
          <w:szCs w:val="20"/>
        </w:rPr>
        <w:t xml:space="preserve"> </w:t>
      </w:r>
      <w:r w:rsidRPr="009E064B">
        <w:rPr>
          <w:rFonts w:eastAsia="Times New Roman" w:cs="Times New Roman"/>
          <w:szCs w:val="20"/>
        </w:rPr>
        <w:t>na konstrukcji</w:t>
      </w:r>
      <w:r w:rsidRPr="009E064B">
        <w:rPr>
          <w:rFonts w:eastAsia="Times New Roman" w:cs="Times New Roman"/>
          <w:spacing w:val="37"/>
          <w:szCs w:val="20"/>
        </w:rPr>
        <w:t xml:space="preserve"> </w:t>
      </w:r>
      <w:r w:rsidRPr="009E064B">
        <w:rPr>
          <w:rFonts w:eastAsia="Times New Roman" w:cs="Times New Roman"/>
          <w:szCs w:val="20"/>
        </w:rPr>
        <w:t>st</w:t>
      </w:r>
      <w:r w:rsidRPr="009E064B">
        <w:rPr>
          <w:rFonts w:eastAsia="Times New Roman" w:cs="Times New Roman"/>
          <w:spacing w:val="-2"/>
          <w:szCs w:val="20"/>
        </w:rPr>
        <w:t>a</w:t>
      </w:r>
      <w:r w:rsidRPr="009E064B">
        <w:rPr>
          <w:rFonts w:eastAsia="Times New Roman" w:cs="Times New Roman"/>
          <w:szCs w:val="20"/>
        </w:rPr>
        <w:t>łej</w:t>
      </w:r>
      <w:r w:rsidRPr="009E064B">
        <w:rPr>
          <w:rFonts w:eastAsia="Times New Roman" w:cs="Times New Roman"/>
          <w:spacing w:val="39"/>
          <w:szCs w:val="20"/>
        </w:rPr>
        <w:t xml:space="preserve"> </w:t>
      </w:r>
      <w:r w:rsidRPr="009E064B">
        <w:rPr>
          <w:rFonts w:eastAsia="Times New Roman" w:cs="Times New Roman"/>
          <w:szCs w:val="20"/>
        </w:rPr>
        <w:t>albo</w:t>
      </w:r>
      <w:r w:rsidRPr="009E064B">
        <w:rPr>
          <w:rFonts w:eastAsia="Times New Roman" w:cs="Times New Roman"/>
          <w:spacing w:val="42"/>
          <w:szCs w:val="20"/>
        </w:rPr>
        <w:t xml:space="preserve"> </w:t>
      </w:r>
      <w:r w:rsidRPr="009E064B">
        <w:rPr>
          <w:rFonts w:eastAsia="Times New Roman" w:cs="Times New Roman"/>
          <w:szCs w:val="20"/>
        </w:rPr>
        <w:t>na</w:t>
      </w:r>
      <w:r w:rsidRPr="009E064B">
        <w:rPr>
          <w:rFonts w:eastAsia="Times New Roman" w:cs="Times New Roman"/>
          <w:spacing w:val="42"/>
          <w:szCs w:val="20"/>
        </w:rPr>
        <w:t xml:space="preserve"> </w:t>
      </w:r>
      <w:r w:rsidRPr="009E064B">
        <w:rPr>
          <w:rFonts w:eastAsia="Times New Roman" w:cs="Times New Roman"/>
          <w:szCs w:val="20"/>
        </w:rPr>
        <w:t>st</w:t>
      </w:r>
      <w:r w:rsidRPr="009E064B">
        <w:rPr>
          <w:rFonts w:eastAsia="Times New Roman" w:cs="Times New Roman"/>
          <w:spacing w:val="-1"/>
          <w:szCs w:val="20"/>
        </w:rPr>
        <w:t>ał</w:t>
      </w:r>
      <w:r w:rsidRPr="009E064B">
        <w:rPr>
          <w:rFonts w:eastAsia="Times New Roman" w:cs="Times New Roman"/>
          <w:szCs w:val="20"/>
        </w:rPr>
        <w:t>ej</w:t>
      </w:r>
      <w:r w:rsidRPr="009E064B">
        <w:rPr>
          <w:rFonts w:eastAsia="Times New Roman" w:cs="Times New Roman"/>
          <w:spacing w:val="39"/>
          <w:szCs w:val="20"/>
        </w:rPr>
        <w:t xml:space="preserve"> </w:t>
      </w:r>
      <w:r w:rsidRPr="009E064B">
        <w:rPr>
          <w:rFonts w:eastAsia="Times New Roman" w:cs="Times New Roman"/>
          <w:szCs w:val="20"/>
        </w:rPr>
        <w:t>lub</w:t>
      </w:r>
      <w:r w:rsidRPr="009E064B">
        <w:rPr>
          <w:rFonts w:eastAsia="Times New Roman" w:cs="Times New Roman"/>
          <w:spacing w:val="42"/>
          <w:szCs w:val="20"/>
        </w:rPr>
        <w:t xml:space="preserve"> </w:t>
      </w:r>
      <w:r w:rsidRPr="009E064B">
        <w:rPr>
          <w:rFonts w:eastAsia="Times New Roman" w:cs="Times New Roman"/>
          <w:spacing w:val="-1"/>
          <w:szCs w:val="20"/>
        </w:rPr>
        <w:t>pł</w:t>
      </w:r>
      <w:r w:rsidRPr="009E064B">
        <w:rPr>
          <w:rFonts w:eastAsia="Times New Roman" w:cs="Times New Roman"/>
          <w:szCs w:val="20"/>
        </w:rPr>
        <w:t>ywa</w:t>
      </w:r>
      <w:r w:rsidRPr="009E064B">
        <w:rPr>
          <w:rFonts w:eastAsia="Times New Roman" w:cs="Times New Roman"/>
          <w:spacing w:val="-4"/>
          <w:szCs w:val="20"/>
        </w:rPr>
        <w:t>j</w:t>
      </w:r>
      <w:r w:rsidRPr="009E064B">
        <w:rPr>
          <w:rFonts w:eastAsia="Times New Roman" w:cs="Times New Roman"/>
          <w:spacing w:val="-2"/>
          <w:szCs w:val="20"/>
        </w:rPr>
        <w:t>ą</w:t>
      </w:r>
      <w:r w:rsidRPr="009E064B">
        <w:rPr>
          <w:rFonts w:eastAsia="Times New Roman" w:cs="Times New Roman"/>
          <w:szCs w:val="20"/>
        </w:rPr>
        <w:t>cej</w:t>
      </w:r>
      <w:r w:rsidRPr="009E064B">
        <w:rPr>
          <w:rFonts w:eastAsia="Times New Roman" w:cs="Times New Roman"/>
          <w:spacing w:val="39"/>
          <w:szCs w:val="20"/>
        </w:rPr>
        <w:t xml:space="preserve"> </w:t>
      </w:r>
      <w:r w:rsidRPr="009E064B">
        <w:rPr>
          <w:rFonts w:eastAsia="Times New Roman" w:cs="Times New Roman"/>
          <w:szCs w:val="20"/>
        </w:rPr>
        <w:t>konstrukcji p</w:t>
      </w:r>
      <w:r w:rsidRPr="009E064B">
        <w:rPr>
          <w:rFonts w:eastAsia="Times New Roman" w:cs="Times New Roman"/>
          <w:spacing w:val="-2"/>
          <w:szCs w:val="20"/>
        </w:rPr>
        <w:t>e</w:t>
      </w:r>
      <w:r w:rsidRPr="009E064B">
        <w:rPr>
          <w:rFonts w:eastAsia="Times New Roman" w:cs="Times New Roman"/>
          <w:spacing w:val="-1"/>
          <w:szCs w:val="20"/>
        </w:rPr>
        <w:t>ł</w:t>
      </w:r>
      <w:r w:rsidRPr="009E064B">
        <w:rPr>
          <w:rFonts w:eastAsia="Times New Roman" w:cs="Times New Roman"/>
          <w:szCs w:val="20"/>
        </w:rPr>
        <w:t>nomorskiej,</w:t>
      </w:r>
      <w:r w:rsidRPr="009E064B">
        <w:rPr>
          <w:rFonts w:eastAsia="Times New Roman" w:cs="Times New Roman"/>
          <w:spacing w:val="18"/>
          <w:szCs w:val="20"/>
        </w:rPr>
        <w:t xml:space="preserve"> </w:t>
      </w:r>
      <w:r w:rsidRPr="009E064B">
        <w:rPr>
          <w:rFonts w:eastAsia="Times New Roman" w:cs="Times New Roman"/>
          <w:szCs w:val="20"/>
        </w:rPr>
        <w:t>w</w:t>
      </w:r>
      <w:r w:rsidRPr="009E064B">
        <w:rPr>
          <w:rFonts w:eastAsia="Times New Roman" w:cs="Times New Roman"/>
          <w:spacing w:val="23"/>
          <w:szCs w:val="20"/>
        </w:rPr>
        <w:t xml:space="preserve"> </w:t>
      </w:r>
      <w:r w:rsidRPr="009E064B">
        <w:rPr>
          <w:rFonts w:eastAsia="Times New Roman" w:cs="Times New Roman"/>
          <w:szCs w:val="20"/>
        </w:rPr>
        <w:t>c</w:t>
      </w:r>
      <w:r w:rsidRPr="009E064B">
        <w:rPr>
          <w:rFonts w:eastAsia="Times New Roman" w:cs="Times New Roman"/>
          <w:spacing w:val="-2"/>
          <w:szCs w:val="20"/>
        </w:rPr>
        <w:t>a</w:t>
      </w:r>
      <w:r w:rsidRPr="009E064B">
        <w:rPr>
          <w:rFonts w:eastAsia="Times New Roman" w:cs="Times New Roman"/>
          <w:spacing w:val="-1"/>
          <w:szCs w:val="20"/>
        </w:rPr>
        <w:t>ło</w:t>
      </w:r>
      <w:r w:rsidRPr="009E064B">
        <w:rPr>
          <w:rFonts w:eastAsia="Times New Roman" w:cs="Times New Roman"/>
          <w:spacing w:val="-2"/>
          <w:szCs w:val="20"/>
        </w:rPr>
        <w:t>ś</w:t>
      </w:r>
      <w:r w:rsidRPr="009E064B">
        <w:rPr>
          <w:rFonts w:eastAsia="Times New Roman" w:cs="Times New Roman"/>
          <w:szCs w:val="20"/>
        </w:rPr>
        <w:t>ci</w:t>
      </w:r>
      <w:r w:rsidRPr="009E064B">
        <w:rPr>
          <w:rFonts w:eastAsia="Times New Roman" w:cs="Times New Roman"/>
          <w:spacing w:val="20"/>
          <w:szCs w:val="20"/>
        </w:rPr>
        <w:t xml:space="preserve"> </w:t>
      </w:r>
      <w:r w:rsidRPr="009E064B">
        <w:rPr>
          <w:rFonts w:eastAsia="Times New Roman" w:cs="Times New Roman"/>
          <w:szCs w:val="20"/>
        </w:rPr>
        <w:t>lub</w:t>
      </w:r>
      <w:r w:rsidRPr="009E064B">
        <w:rPr>
          <w:rFonts w:eastAsia="Times New Roman" w:cs="Times New Roman"/>
          <w:spacing w:val="22"/>
          <w:szCs w:val="20"/>
        </w:rPr>
        <w:t xml:space="preserve"> </w:t>
      </w:r>
      <w:r w:rsidRPr="009E064B">
        <w:rPr>
          <w:rFonts w:eastAsia="Times New Roman" w:cs="Times New Roman"/>
          <w:szCs w:val="20"/>
        </w:rPr>
        <w:t>w</w:t>
      </w:r>
      <w:r w:rsidRPr="009E064B">
        <w:rPr>
          <w:rFonts w:eastAsia="Times New Roman" w:cs="Times New Roman"/>
          <w:spacing w:val="23"/>
          <w:szCs w:val="20"/>
        </w:rPr>
        <w:t xml:space="preserve"> </w:t>
      </w:r>
      <w:r w:rsidRPr="009E064B">
        <w:rPr>
          <w:rFonts w:eastAsia="Times New Roman" w:cs="Times New Roman"/>
          <w:szCs w:val="20"/>
        </w:rPr>
        <w:t>czę</w:t>
      </w:r>
      <w:r w:rsidRPr="009E064B">
        <w:rPr>
          <w:rFonts w:eastAsia="Times New Roman" w:cs="Times New Roman"/>
          <w:spacing w:val="-3"/>
          <w:szCs w:val="20"/>
        </w:rPr>
        <w:t>ś</w:t>
      </w:r>
      <w:r w:rsidRPr="009E064B">
        <w:rPr>
          <w:rFonts w:eastAsia="Times New Roman" w:cs="Times New Roman"/>
          <w:szCs w:val="20"/>
        </w:rPr>
        <w:t xml:space="preserve">ci przeznaczony do startu, lądowania oraz naziemnego </w:t>
      </w:r>
      <w:r w:rsidRPr="009E064B">
        <w:rPr>
          <w:rFonts w:eastAsia="Calibri" w:cs="Times New Roman"/>
          <w:szCs w:val="20"/>
        </w:rPr>
        <w:t>lub</w:t>
      </w:r>
      <w:r w:rsidRPr="009E064B">
        <w:rPr>
          <w:rFonts w:eastAsia="Times New Roman" w:cs="Times New Roman"/>
          <w:szCs w:val="20"/>
        </w:rPr>
        <w:t xml:space="preserve"> nawodnego ruchu statków powietrznych;</w:t>
      </w:r>
    </w:p>
    <w:p w14:paraId="5A86652F"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Latarnia lotniskowa </w:t>
      </w:r>
      <w:r w:rsidRPr="009E064B">
        <w:rPr>
          <w:rFonts w:eastAsia="Calibri" w:cs="TimesNewRomanPS-ItalicMT"/>
          <w:i/>
          <w:iCs/>
          <w:szCs w:val="20"/>
        </w:rPr>
        <w:t xml:space="preserve">(aerodrome beacon) </w:t>
      </w:r>
      <w:r w:rsidRPr="009E064B">
        <w:rPr>
          <w:rFonts w:eastAsia="Calibri" w:cs="TimesNewRomanPSMT"/>
          <w:szCs w:val="20"/>
        </w:rPr>
        <w:t>– oznacza latarnię lotniczą wskazująca położenie lotniska z powietrza.</w:t>
      </w:r>
    </w:p>
    <w:p w14:paraId="70E49B75"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Wysokość lotniska </w:t>
      </w:r>
      <w:r w:rsidRPr="009E064B">
        <w:rPr>
          <w:rFonts w:eastAsia="Calibri" w:cs="TimesNewRomanPS-ItalicMT"/>
          <w:i/>
          <w:iCs/>
          <w:szCs w:val="20"/>
        </w:rPr>
        <w:t xml:space="preserve">(aerodrome elevation) </w:t>
      </w:r>
      <w:r w:rsidRPr="009E064B">
        <w:rPr>
          <w:rFonts w:eastAsia="Calibri" w:cs="TimesNewRomanPSMT"/>
          <w:szCs w:val="20"/>
        </w:rPr>
        <w:t>– oznacza wysokość najwyższego punktu na polu wzlotów, mierzoną od średniego poziomu morza.</w:t>
      </w:r>
    </w:p>
    <w:p w14:paraId="0D2CBA1D"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MT"/>
          <w:b/>
          <w:szCs w:val="20"/>
        </w:rPr>
        <w:t>Wyposażenie lotniska</w:t>
      </w:r>
      <w:r w:rsidRPr="009E064B">
        <w:rPr>
          <w:rFonts w:eastAsia="Calibri" w:cs="TimesNewRomanPSMT"/>
          <w:szCs w:val="20"/>
        </w:rPr>
        <w:t xml:space="preserve"> </w:t>
      </w:r>
      <w:r w:rsidRPr="009E064B">
        <w:rPr>
          <w:rFonts w:eastAsia="Calibri" w:cs="TimesNewRomanPSMT"/>
          <w:i/>
          <w:szCs w:val="20"/>
        </w:rPr>
        <w:t>(aerodrome equipment)</w:t>
      </w:r>
      <w:r w:rsidRPr="009E064B">
        <w:rPr>
          <w:rFonts w:eastAsia="Calibri" w:cs="TimesNewRomanPSMT"/>
          <w:szCs w:val="20"/>
        </w:rPr>
        <w:t xml:space="preserve"> </w:t>
      </w:r>
      <w:r w:rsidRPr="009E064B">
        <w:rPr>
          <w:rFonts w:eastAsia="Calibri" w:cs="Times New Roman"/>
          <w:spacing w:val="-1"/>
        </w:rPr>
        <w:t xml:space="preserve">oznacza wszelkie wyposażenie, aparaturę, podzespoły, oprogramowanie lub urządzenia dodatkowe, które są używane lub </w:t>
      </w:r>
      <w:r w:rsidRPr="009E064B">
        <w:rPr>
          <w:rFonts w:eastAsia="Calibri" w:cs="TimesNewRomanPSMT"/>
          <w:szCs w:val="20"/>
        </w:rPr>
        <w:t>mają</w:t>
      </w:r>
      <w:r w:rsidRPr="009E064B">
        <w:rPr>
          <w:rFonts w:eastAsia="Calibri" w:cs="Times New Roman"/>
          <w:spacing w:val="-1"/>
        </w:rPr>
        <w:t xml:space="preserve"> zostać użyte na potrzeby operacji statków powietrznych na lotnisku;</w:t>
      </w:r>
    </w:p>
    <w:p w14:paraId="07EC9F83" w14:textId="77777777" w:rsidR="00B527C7" w:rsidRPr="009E064B" w:rsidRDefault="00B527C7" w:rsidP="00B527C7">
      <w:pPr>
        <w:autoSpaceDE w:val="0"/>
        <w:autoSpaceDN w:val="0"/>
        <w:adjustRightInd w:val="0"/>
        <w:ind w:left="142" w:hanging="142"/>
        <w:rPr>
          <w:rFonts w:eastAsia="Calibri" w:cs="TT95Co00"/>
          <w:szCs w:val="20"/>
        </w:rPr>
      </w:pPr>
      <w:r w:rsidRPr="009E064B">
        <w:rPr>
          <w:rFonts w:eastAsia="Calibri" w:cs="TT95Co00"/>
          <w:b/>
          <w:szCs w:val="20"/>
        </w:rPr>
        <w:t>Operator lotniska</w:t>
      </w:r>
      <w:r w:rsidRPr="009E064B">
        <w:rPr>
          <w:rFonts w:eastAsia="Calibri" w:cs="TT95Co00"/>
          <w:szCs w:val="20"/>
        </w:rPr>
        <w:t xml:space="preserve"> </w:t>
      </w:r>
      <w:r w:rsidRPr="009E064B">
        <w:rPr>
          <w:rFonts w:eastAsia="Calibri" w:cs="TT95Co00"/>
          <w:i/>
          <w:szCs w:val="20"/>
        </w:rPr>
        <w:t>(aerodrome operator)</w:t>
      </w:r>
      <w:r w:rsidRPr="009E064B">
        <w:rPr>
          <w:rFonts w:eastAsia="Calibri" w:cs="TT95Co00"/>
          <w:szCs w:val="20"/>
        </w:rPr>
        <w:t xml:space="preserve"> – oznacza każdą osobę prawną lub fizyczną, prowadzącą lub oferującą prowadzenie działalności, w ramach której użytkowane jest jedno lub więcej lotnisk.</w:t>
      </w:r>
    </w:p>
    <w:p w14:paraId="1BB0282D" w14:textId="77777777" w:rsidR="00B527C7" w:rsidRPr="009E064B" w:rsidRDefault="00B527C7" w:rsidP="00B527C7">
      <w:pPr>
        <w:rPr>
          <w:rFonts w:eastAsia="Calibri" w:cs="Times New Roman"/>
          <w:szCs w:val="20"/>
        </w:rPr>
      </w:pPr>
      <w:r w:rsidRPr="009E064B">
        <w:rPr>
          <w:rFonts w:eastAsia="Calibri" w:cs="Times New Roman"/>
          <w:b/>
          <w:iCs/>
          <w:szCs w:val="20"/>
        </w:rPr>
        <w:t>Poziom natężenia ruchu na lotnisku</w:t>
      </w:r>
      <w:r w:rsidRPr="009E064B">
        <w:rPr>
          <w:rFonts w:eastAsia="Calibri" w:cs="Times New Roman"/>
          <w:b/>
          <w:i/>
          <w:iCs/>
          <w:szCs w:val="20"/>
        </w:rPr>
        <w:t xml:space="preserve"> </w:t>
      </w:r>
      <w:r w:rsidRPr="009E064B">
        <w:rPr>
          <w:rFonts w:eastAsia="Calibri" w:cs="Times New Roman"/>
          <w:i/>
          <w:iCs/>
          <w:szCs w:val="20"/>
        </w:rPr>
        <w:t>(aerodrome traffic density):</w:t>
      </w:r>
    </w:p>
    <w:p w14:paraId="50021A0B" w14:textId="77777777" w:rsidR="00B527C7" w:rsidRPr="009E064B" w:rsidRDefault="00B527C7" w:rsidP="00B527C7">
      <w:pPr>
        <w:ind w:left="567" w:hanging="425"/>
        <w:rPr>
          <w:rFonts w:eastAsia="Calibri" w:cs="Times New Roman"/>
          <w:szCs w:val="20"/>
        </w:rPr>
      </w:pPr>
      <w:r w:rsidRPr="009E064B">
        <w:rPr>
          <w:rFonts w:eastAsia="Calibri" w:cs="Times New Roman"/>
          <w:iCs/>
          <w:szCs w:val="20"/>
        </w:rPr>
        <w:t>a)</w:t>
      </w:r>
      <w:r w:rsidRPr="009E064B">
        <w:rPr>
          <w:rFonts w:eastAsia="Calibri" w:cs="Times New Roman"/>
          <w:iCs/>
          <w:szCs w:val="20"/>
        </w:rPr>
        <w:tab/>
        <w:t xml:space="preserve">Mały </w:t>
      </w:r>
      <w:r w:rsidRPr="009E064B">
        <w:rPr>
          <w:rFonts w:eastAsia="Calibri" w:cs="Times New Roman"/>
          <w:i/>
          <w:iCs/>
          <w:szCs w:val="20"/>
        </w:rPr>
        <w:t>–</w:t>
      </w:r>
      <w:r w:rsidRPr="009E064B">
        <w:rPr>
          <w:rFonts w:eastAsia="Calibri" w:cs="Times New Roman"/>
          <w:iCs/>
          <w:szCs w:val="20"/>
        </w:rPr>
        <w:t xml:space="preserve"> </w:t>
      </w:r>
      <w:r w:rsidRPr="009E064B">
        <w:rPr>
          <w:rFonts w:eastAsia="Calibri" w:cs="Times New Roman"/>
          <w:szCs w:val="20"/>
        </w:rPr>
        <w:t>kiedy liczba operacji lotniczych podczas przeciętnej godziny szczytu nie jest większa niż 15 dla jednej drogi startowej lub wynosi mniej niż 20 dla całego lotniska.</w:t>
      </w:r>
    </w:p>
    <w:p w14:paraId="7BADEDB6" w14:textId="77777777" w:rsidR="00B527C7" w:rsidRPr="009E064B" w:rsidRDefault="00B527C7" w:rsidP="00B527C7">
      <w:pPr>
        <w:ind w:left="567" w:hanging="425"/>
        <w:rPr>
          <w:rFonts w:eastAsia="Calibri" w:cs="Times New Roman"/>
          <w:szCs w:val="20"/>
        </w:rPr>
      </w:pPr>
      <w:r w:rsidRPr="009E064B">
        <w:rPr>
          <w:rFonts w:eastAsia="Calibri" w:cs="Times New Roman"/>
          <w:iCs/>
          <w:szCs w:val="20"/>
        </w:rPr>
        <w:t>b)</w:t>
      </w:r>
      <w:r w:rsidRPr="009E064B">
        <w:rPr>
          <w:rFonts w:eastAsia="Calibri" w:cs="Times New Roman"/>
          <w:iCs/>
          <w:szCs w:val="20"/>
        </w:rPr>
        <w:tab/>
        <w:t xml:space="preserve">Średni </w:t>
      </w:r>
      <w:r w:rsidRPr="009E064B">
        <w:rPr>
          <w:rFonts w:eastAsia="Calibri" w:cs="Times New Roman"/>
          <w:i/>
          <w:iCs/>
          <w:szCs w:val="20"/>
        </w:rPr>
        <w:t xml:space="preserve">– </w:t>
      </w:r>
      <w:r w:rsidRPr="009E064B">
        <w:rPr>
          <w:rFonts w:eastAsia="Calibri" w:cs="Times New Roman"/>
          <w:szCs w:val="20"/>
        </w:rPr>
        <w:t xml:space="preserve">kiedy liczba operacji lotniczych podczas przeciętnej godziny szczytu wynosi od 16 do 25 dla jednej drogi startowej lub mieści się pomiędzy </w:t>
      </w:r>
      <w:smartTag w:uri="urn:schemas-microsoft-com:office:smarttags" w:element="metricconverter">
        <w:smartTagPr>
          <w:attr w:name="ProductID" w:val="20 a"/>
        </w:smartTagPr>
        <w:r w:rsidRPr="009E064B">
          <w:rPr>
            <w:rFonts w:eastAsia="Calibri" w:cs="Times New Roman"/>
            <w:szCs w:val="20"/>
          </w:rPr>
          <w:t>20 a</w:t>
        </w:r>
      </w:smartTag>
      <w:r w:rsidRPr="009E064B">
        <w:rPr>
          <w:rFonts w:eastAsia="Calibri" w:cs="Times New Roman"/>
          <w:szCs w:val="20"/>
        </w:rPr>
        <w:t xml:space="preserve"> 35 dla całego lotniska.</w:t>
      </w:r>
    </w:p>
    <w:p w14:paraId="5A855787" w14:textId="77777777" w:rsidR="00B527C7" w:rsidRPr="009E064B" w:rsidRDefault="00B527C7" w:rsidP="00B527C7">
      <w:pPr>
        <w:ind w:left="567" w:hanging="425"/>
        <w:rPr>
          <w:rFonts w:eastAsia="Calibri" w:cs="Times New Roman"/>
          <w:szCs w:val="20"/>
        </w:rPr>
      </w:pPr>
      <w:r w:rsidRPr="009E064B">
        <w:rPr>
          <w:rFonts w:eastAsia="Calibri" w:cs="Times New Roman"/>
          <w:iCs/>
          <w:szCs w:val="20"/>
        </w:rPr>
        <w:t>c)</w:t>
      </w:r>
      <w:r w:rsidRPr="009E064B">
        <w:rPr>
          <w:rFonts w:eastAsia="Calibri" w:cs="Times New Roman"/>
          <w:iCs/>
          <w:szCs w:val="20"/>
        </w:rPr>
        <w:tab/>
        <w:t xml:space="preserve">Duży </w:t>
      </w:r>
      <w:r w:rsidRPr="009E064B">
        <w:rPr>
          <w:rFonts w:eastAsia="Calibri" w:cs="Times New Roman"/>
          <w:i/>
          <w:iCs/>
          <w:szCs w:val="20"/>
        </w:rPr>
        <w:t>–</w:t>
      </w:r>
      <w:r w:rsidRPr="009E064B">
        <w:rPr>
          <w:rFonts w:eastAsia="Calibri" w:cs="Times New Roman"/>
          <w:iCs/>
          <w:szCs w:val="20"/>
        </w:rPr>
        <w:t xml:space="preserve"> kiedy</w:t>
      </w:r>
      <w:r w:rsidRPr="009E064B">
        <w:rPr>
          <w:rFonts w:eastAsia="Calibri" w:cs="Times New Roman"/>
          <w:szCs w:val="20"/>
        </w:rPr>
        <w:t xml:space="preserve"> liczba operacji lotniczych podczas przeciętnej godziny szczytu wynosi 26 lub więcej dla jednej drogi startowej lub przekracza 35 dla całego lotniska.</w:t>
      </w:r>
    </w:p>
    <w:p w14:paraId="487BABFC"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Latarnia lotnicza </w:t>
      </w:r>
      <w:r w:rsidRPr="009E064B">
        <w:rPr>
          <w:rFonts w:eastAsia="Calibri" w:cs="TimesNewRomanPS-ItalicMT"/>
          <w:i/>
          <w:iCs/>
          <w:szCs w:val="20"/>
        </w:rPr>
        <w:t xml:space="preserve">(aeronautical beacon) </w:t>
      </w:r>
      <w:r w:rsidRPr="009E064B">
        <w:rPr>
          <w:rFonts w:eastAsia="Calibri" w:cs="TimesNewRomanPSMT"/>
          <w:szCs w:val="20"/>
        </w:rPr>
        <w:t>– oznacza naziemne światło lotnicze widoczne ze wszystkich kierunków, którego celem jest wskazanie, w sposób ciągły lub nieregularny (przerywany), określonego punktu na powierzchni ziemi.</w:t>
      </w:r>
    </w:p>
    <w:p w14:paraId="4B81C97F"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MT"/>
          <w:b/>
          <w:szCs w:val="20"/>
        </w:rPr>
        <w:t>Lotnicze światło naziemne</w:t>
      </w:r>
      <w:r w:rsidRPr="009E064B">
        <w:rPr>
          <w:rFonts w:eastAsia="Calibri" w:cs="TimesNewRomanPSMT"/>
          <w:szCs w:val="20"/>
        </w:rPr>
        <w:t xml:space="preserve"> </w:t>
      </w:r>
      <w:r w:rsidRPr="009E064B">
        <w:rPr>
          <w:rFonts w:eastAsia="Calibri" w:cs="TimesNewRomanPSMT"/>
          <w:i/>
          <w:szCs w:val="20"/>
        </w:rPr>
        <w:t>(aeronautical ground light)</w:t>
      </w:r>
      <w:r w:rsidRPr="009E064B">
        <w:rPr>
          <w:rFonts w:eastAsia="Calibri" w:cs="TimesNewRomanPSMT"/>
          <w:szCs w:val="20"/>
        </w:rPr>
        <w:t xml:space="preserve"> oznacza</w:t>
      </w:r>
      <w:r w:rsidRPr="009E064B">
        <w:rPr>
          <w:rFonts w:eastAsia="Calibri" w:cs="Times New Roman"/>
          <w:szCs w:val="20"/>
        </w:rPr>
        <w:t xml:space="preserve"> jakiekolwiek światło</w:t>
      </w:r>
      <w:r w:rsidRPr="009E064B">
        <w:rPr>
          <w:rFonts w:eastAsia="Calibri" w:cs="Times New Roman"/>
        </w:rPr>
        <w:t xml:space="preserve"> </w:t>
      </w:r>
      <w:r w:rsidRPr="009E064B">
        <w:rPr>
          <w:rFonts w:eastAsia="Calibri" w:cs="Times New Roman"/>
          <w:szCs w:val="20"/>
        </w:rPr>
        <w:t xml:space="preserve">przeznaczone specjalnie jako pomoc dla nawigacji lotniczej za </w:t>
      </w:r>
      <w:r w:rsidRPr="009E064B">
        <w:rPr>
          <w:rFonts w:eastAsia="Calibri" w:cs="TimesNewRomanPSMT"/>
          <w:szCs w:val="20"/>
        </w:rPr>
        <w:t>wyjątkiem</w:t>
      </w:r>
      <w:r w:rsidRPr="009E064B">
        <w:rPr>
          <w:rFonts w:eastAsia="Calibri" w:cs="Times New Roman"/>
          <w:szCs w:val="20"/>
        </w:rPr>
        <w:t xml:space="preserve"> świateł znajdujących się na statku powietrznym.</w:t>
      </w:r>
    </w:p>
    <w:p w14:paraId="4D1BFD01" w14:textId="77777777" w:rsidR="00B527C7" w:rsidRPr="009E064B" w:rsidRDefault="00B527C7" w:rsidP="00B527C7">
      <w:pPr>
        <w:tabs>
          <w:tab w:val="left" w:pos="-1843"/>
        </w:tabs>
        <w:ind w:left="142" w:hanging="142"/>
        <w:rPr>
          <w:rFonts w:eastAsia="Times New Roman" w:cs="Times New Roman"/>
          <w:szCs w:val="20"/>
        </w:rPr>
      </w:pPr>
      <w:r w:rsidRPr="009E064B">
        <w:rPr>
          <w:rFonts w:eastAsia="Calibri" w:cs="TimesNewRomanPSMT"/>
          <w:b/>
          <w:szCs w:val="20"/>
        </w:rPr>
        <w:t>Samolot</w:t>
      </w:r>
      <w:r w:rsidRPr="009E064B">
        <w:rPr>
          <w:rFonts w:eastAsia="Calibri" w:cs="TimesNewRomanPSMT"/>
          <w:szCs w:val="20"/>
        </w:rPr>
        <w:t> </w:t>
      </w:r>
      <w:r w:rsidRPr="009E064B">
        <w:rPr>
          <w:rFonts w:eastAsia="Calibri" w:cs="TimesNewRomanPSMT"/>
          <w:i/>
          <w:szCs w:val="20"/>
        </w:rPr>
        <w:t>(aeroplane) </w:t>
      </w:r>
      <w:r w:rsidRPr="009E064B">
        <w:rPr>
          <w:rFonts w:eastAsia="Calibri" w:cs="TimesNewRomanPSMT"/>
          <w:szCs w:val="20"/>
        </w:rPr>
        <w:t>– </w:t>
      </w:r>
      <w:r w:rsidRPr="009E064B">
        <w:rPr>
          <w:rFonts w:eastAsia="Times New Roman" w:cs="Times New Roman"/>
          <w:szCs w:val="20"/>
        </w:rPr>
        <w:t>oznacza</w:t>
      </w:r>
      <w:r w:rsidRPr="009E064B">
        <w:rPr>
          <w:rFonts w:eastAsia="Times New Roman" w:cs="Times New Roman"/>
          <w:spacing w:val="43"/>
          <w:szCs w:val="20"/>
        </w:rPr>
        <w:t xml:space="preserve"> </w:t>
      </w:r>
      <w:r w:rsidRPr="009E064B">
        <w:rPr>
          <w:rFonts w:eastAsia="Times New Roman" w:cs="Times New Roman"/>
          <w:szCs w:val="20"/>
        </w:rPr>
        <w:t>statek</w:t>
      </w:r>
      <w:r w:rsidRPr="009E064B">
        <w:rPr>
          <w:rFonts w:eastAsia="Times New Roman" w:cs="Times New Roman"/>
          <w:spacing w:val="43"/>
          <w:szCs w:val="20"/>
        </w:rPr>
        <w:t xml:space="preserve"> </w:t>
      </w:r>
      <w:r w:rsidRPr="009E064B">
        <w:rPr>
          <w:rFonts w:eastAsia="Times New Roman" w:cs="Times New Roman"/>
          <w:szCs w:val="20"/>
        </w:rPr>
        <w:t>powietrzny</w:t>
      </w:r>
      <w:r w:rsidRPr="009E064B">
        <w:rPr>
          <w:rFonts w:eastAsia="Times New Roman" w:cs="Times New Roman"/>
          <w:spacing w:val="41"/>
          <w:szCs w:val="20"/>
        </w:rPr>
        <w:t xml:space="preserve"> </w:t>
      </w:r>
      <w:r w:rsidRPr="009E064B">
        <w:rPr>
          <w:rFonts w:eastAsia="Times New Roman" w:cs="Times New Roman"/>
          <w:szCs w:val="20"/>
        </w:rPr>
        <w:t>o</w:t>
      </w:r>
      <w:r w:rsidRPr="009E064B">
        <w:rPr>
          <w:rFonts w:eastAsia="Times New Roman" w:cs="Times New Roman"/>
          <w:spacing w:val="1"/>
          <w:szCs w:val="20"/>
        </w:rPr>
        <w:t xml:space="preserve"> </w:t>
      </w:r>
      <w:r w:rsidRPr="009E064B">
        <w:rPr>
          <w:rFonts w:eastAsia="Times New Roman" w:cs="Times New Roman"/>
          <w:szCs w:val="20"/>
        </w:rPr>
        <w:t>w</w:t>
      </w:r>
      <w:r w:rsidRPr="009E064B">
        <w:rPr>
          <w:rFonts w:eastAsia="Times New Roman" w:cs="Times New Roman"/>
          <w:spacing w:val="-1"/>
          <w:szCs w:val="20"/>
        </w:rPr>
        <w:t>ł</w:t>
      </w:r>
      <w:r w:rsidRPr="009E064B">
        <w:rPr>
          <w:rFonts w:eastAsia="Times New Roman" w:cs="Times New Roman"/>
          <w:szCs w:val="20"/>
        </w:rPr>
        <w:t>asnym</w:t>
      </w:r>
      <w:r w:rsidRPr="009E064B">
        <w:rPr>
          <w:rFonts w:eastAsia="Times New Roman" w:cs="Times New Roman"/>
          <w:spacing w:val="43"/>
          <w:szCs w:val="20"/>
        </w:rPr>
        <w:t xml:space="preserve"> </w:t>
      </w:r>
      <w:r w:rsidRPr="009E064B">
        <w:rPr>
          <w:rFonts w:eastAsia="Times New Roman" w:cs="Times New Roman"/>
          <w:szCs w:val="20"/>
        </w:rPr>
        <w:t>na</w:t>
      </w:r>
      <w:r w:rsidRPr="009E064B">
        <w:rPr>
          <w:rFonts w:eastAsia="Times New Roman" w:cs="Times New Roman"/>
          <w:spacing w:val="-1"/>
          <w:szCs w:val="20"/>
        </w:rPr>
        <w:t>p</w:t>
      </w:r>
      <w:r w:rsidRPr="009E064B">
        <w:rPr>
          <w:rFonts w:eastAsia="Times New Roman" w:cs="Times New Roman"/>
          <w:spacing w:val="-2"/>
          <w:szCs w:val="20"/>
        </w:rPr>
        <w:t>ę</w:t>
      </w:r>
      <w:r w:rsidRPr="009E064B">
        <w:rPr>
          <w:rFonts w:eastAsia="Times New Roman" w:cs="Times New Roman"/>
          <w:szCs w:val="20"/>
        </w:rPr>
        <w:t>dzie silnikowym, c</w:t>
      </w:r>
      <w:r w:rsidRPr="009E064B">
        <w:rPr>
          <w:rFonts w:eastAsia="Times New Roman" w:cs="Times New Roman"/>
          <w:spacing w:val="-2"/>
          <w:szCs w:val="20"/>
        </w:rPr>
        <w:t>i</w:t>
      </w:r>
      <w:r w:rsidRPr="009E064B">
        <w:rPr>
          <w:rFonts w:eastAsia="Times New Roman" w:cs="Times New Roman"/>
          <w:szCs w:val="20"/>
        </w:rPr>
        <w:t>ę</w:t>
      </w:r>
      <w:r w:rsidRPr="009E064B">
        <w:rPr>
          <w:rFonts w:eastAsia="Times New Roman" w:cs="Times New Roman"/>
          <w:spacing w:val="-1"/>
          <w:szCs w:val="20"/>
        </w:rPr>
        <w:t>ż</w:t>
      </w:r>
      <w:r w:rsidRPr="009E064B">
        <w:rPr>
          <w:rFonts w:eastAsia="Times New Roman" w:cs="Times New Roman"/>
          <w:szCs w:val="20"/>
        </w:rPr>
        <w:t>szy od powietrza, uzysku</w:t>
      </w:r>
      <w:r w:rsidRPr="009E064B">
        <w:rPr>
          <w:rFonts w:eastAsia="Times New Roman" w:cs="Times New Roman"/>
          <w:spacing w:val="-3"/>
          <w:szCs w:val="20"/>
        </w:rPr>
        <w:t>j</w:t>
      </w:r>
      <w:r w:rsidRPr="009E064B">
        <w:rPr>
          <w:rFonts w:eastAsia="Times New Roman" w:cs="Times New Roman"/>
          <w:spacing w:val="-1"/>
          <w:szCs w:val="20"/>
        </w:rPr>
        <w:t>ą</w:t>
      </w:r>
      <w:r w:rsidRPr="009E064B">
        <w:rPr>
          <w:rFonts w:eastAsia="Times New Roman" w:cs="Times New Roman"/>
          <w:szCs w:val="20"/>
        </w:rPr>
        <w:t>cy swo</w:t>
      </w:r>
      <w:r w:rsidRPr="009E064B">
        <w:rPr>
          <w:rFonts w:eastAsia="Times New Roman" w:cs="Times New Roman"/>
          <w:spacing w:val="-2"/>
          <w:szCs w:val="20"/>
        </w:rPr>
        <w:t>j</w:t>
      </w:r>
      <w:r w:rsidRPr="009E064B">
        <w:rPr>
          <w:rFonts w:eastAsia="Times New Roman" w:cs="Times New Roman"/>
          <w:szCs w:val="20"/>
        </w:rPr>
        <w:t>ą s</w:t>
      </w:r>
      <w:r w:rsidRPr="009E064B">
        <w:rPr>
          <w:rFonts w:eastAsia="Times New Roman" w:cs="Times New Roman"/>
          <w:spacing w:val="-2"/>
          <w:szCs w:val="20"/>
        </w:rPr>
        <w:t>i</w:t>
      </w:r>
      <w:r w:rsidRPr="009E064B">
        <w:rPr>
          <w:rFonts w:eastAsia="Times New Roman" w:cs="Times New Roman"/>
          <w:szCs w:val="20"/>
        </w:rPr>
        <w:t>łę no</w:t>
      </w:r>
      <w:r w:rsidRPr="009E064B">
        <w:rPr>
          <w:rFonts w:eastAsia="Times New Roman" w:cs="Times New Roman"/>
          <w:spacing w:val="-2"/>
          <w:szCs w:val="20"/>
        </w:rPr>
        <w:t>ś</w:t>
      </w:r>
      <w:r w:rsidRPr="009E064B">
        <w:rPr>
          <w:rFonts w:eastAsia="Times New Roman" w:cs="Times New Roman"/>
          <w:szCs w:val="20"/>
        </w:rPr>
        <w:t>ną</w:t>
      </w:r>
      <w:r w:rsidRPr="009E064B">
        <w:rPr>
          <w:rFonts w:eastAsia="Times New Roman" w:cs="Times New Roman"/>
          <w:spacing w:val="34"/>
          <w:szCs w:val="20"/>
        </w:rPr>
        <w:t xml:space="preserve"> </w:t>
      </w:r>
      <w:r w:rsidRPr="009E064B">
        <w:rPr>
          <w:rFonts w:eastAsia="Times New Roman" w:cs="Times New Roman"/>
          <w:szCs w:val="20"/>
        </w:rPr>
        <w:t>w</w:t>
      </w:r>
      <w:r w:rsidRPr="009E064B">
        <w:rPr>
          <w:rFonts w:eastAsia="Times New Roman" w:cs="Times New Roman"/>
          <w:spacing w:val="37"/>
          <w:szCs w:val="20"/>
        </w:rPr>
        <w:t xml:space="preserve"> </w:t>
      </w:r>
      <w:r w:rsidRPr="009E064B">
        <w:rPr>
          <w:rFonts w:eastAsia="Times New Roman" w:cs="Times New Roman"/>
          <w:szCs w:val="20"/>
        </w:rPr>
        <w:t>locie</w:t>
      </w:r>
      <w:r w:rsidRPr="009E064B">
        <w:rPr>
          <w:rFonts w:eastAsia="Times New Roman" w:cs="Times New Roman"/>
          <w:spacing w:val="34"/>
          <w:szCs w:val="20"/>
        </w:rPr>
        <w:t xml:space="preserve"> </w:t>
      </w:r>
      <w:r w:rsidRPr="009E064B">
        <w:rPr>
          <w:rFonts w:eastAsia="Times New Roman" w:cs="Times New Roman"/>
          <w:spacing w:val="-2"/>
          <w:szCs w:val="20"/>
        </w:rPr>
        <w:t>g</w:t>
      </w:r>
      <w:r w:rsidRPr="009E064B">
        <w:rPr>
          <w:rFonts w:eastAsia="Times New Roman" w:cs="Times New Roman"/>
          <w:spacing w:val="-1"/>
          <w:szCs w:val="20"/>
        </w:rPr>
        <w:t>ł</w:t>
      </w:r>
      <w:r w:rsidRPr="009E064B">
        <w:rPr>
          <w:rFonts w:eastAsia="Times New Roman" w:cs="Times New Roman"/>
          <w:szCs w:val="20"/>
        </w:rPr>
        <w:t>ównie</w:t>
      </w:r>
      <w:r w:rsidRPr="009E064B">
        <w:rPr>
          <w:rFonts w:eastAsia="Times New Roman" w:cs="Times New Roman"/>
          <w:spacing w:val="35"/>
          <w:szCs w:val="20"/>
        </w:rPr>
        <w:t xml:space="preserve"> </w:t>
      </w:r>
      <w:r w:rsidRPr="009E064B">
        <w:rPr>
          <w:rFonts w:eastAsia="Times New Roman" w:cs="Times New Roman"/>
          <w:szCs w:val="20"/>
        </w:rPr>
        <w:t>na</w:t>
      </w:r>
      <w:r w:rsidRPr="009E064B">
        <w:rPr>
          <w:rFonts w:eastAsia="Times New Roman" w:cs="Times New Roman"/>
          <w:spacing w:val="33"/>
          <w:szCs w:val="20"/>
        </w:rPr>
        <w:t xml:space="preserve"> </w:t>
      </w:r>
      <w:r w:rsidRPr="009E064B">
        <w:rPr>
          <w:rFonts w:eastAsia="Times New Roman" w:cs="Times New Roman"/>
          <w:szCs w:val="20"/>
        </w:rPr>
        <w:t>skutek</w:t>
      </w:r>
      <w:r w:rsidRPr="009E064B">
        <w:rPr>
          <w:rFonts w:eastAsia="Times New Roman" w:cs="Times New Roman"/>
          <w:spacing w:val="34"/>
          <w:szCs w:val="20"/>
        </w:rPr>
        <w:t xml:space="preserve"> </w:t>
      </w:r>
      <w:r w:rsidRPr="009E064B">
        <w:rPr>
          <w:rFonts w:eastAsia="Times New Roman" w:cs="Times New Roman"/>
          <w:szCs w:val="20"/>
        </w:rPr>
        <w:t>oddzia</w:t>
      </w:r>
      <w:r w:rsidRPr="009E064B">
        <w:rPr>
          <w:rFonts w:eastAsia="Times New Roman" w:cs="Times New Roman"/>
          <w:spacing w:val="-1"/>
          <w:szCs w:val="20"/>
        </w:rPr>
        <w:t>ł</w:t>
      </w:r>
      <w:r w:rsidRPr="009E064B">
        <w:rPr>
          <w:rFonts w:eastAsia="Times New Roman" w:cs="Times New Roman"/>
          <w:szCs w:val="20"/>
        </w:rPr>
        <w:t>ywania</w:t>
      </w:r>
      <w:r w:rsidRPr="009E064B">
        <w:rPr>
          <w:rFonts w:eastAsia="Times New Roman" w:cs="Times New Roman"/>
          <w:spacing w:val="32"/>
          <w:szCs w:val="20"/>
        </w:rPr>
        <w:t xml:space="preserve"> </w:t>
      </w:r>
      <w:r w:rsidRPr="009E064B">
        <w:rPr>
          <w:rFonts w:eastAsia="Times New Roman" w:cs="Times New Roman"/>
          <w:szCs w:val="20"/>
        </w:rPr>
        <w:t>aerodynamicznego</w:t>
      </w:r>
      <w:r w:rsidRPr="009E064B">
        <w:rPr>
          <w:rFonts w:eastAsia="Times New Roman" w:cs="Times New Roman"/>
          <w:spacing w:val="43"/>
          <w:szCs w:val="20"/>
        </w:rPr>
        <w:t xml:space="preserve"> </w:t>
      </w:r>
      <w:r w:rsidRPr="009E064B">
        <w:rPr>
          <w:rFonts w:eastAsia="Times New Roman" w:cs="Times New Roman"/>
          <w:szCs w:val="20"/>
        </w:rPr>
        <w:t>na</w:t>
      </w:r>
      <w:r w:rsidRPr="009E064B">
        <w:rPr>
          <w:rFonts w:eastAsia="Times New Roman" w:cs="Times New Roman"/>
          <w:spacing w:val="43"/>
          <w:szCs w:val="20"/>
        </w:rPr>
        <w:t xml:space="preserve"> </w:t>
      </w:r>
      <w:r w:rsidRPr="009E064B">
        <w:rPr>
          <w:rFonts w:eastAsia="Times New Roman" w:cs="Times New Roman"/>
          <w:szCs w:val="20"/>
        </w:rPr>
        <w:t>powierzchnie,</w:t>
      </w:r>
      <w:r w:rsidRPr="009E064B">
        <w:rPr>
          <w:rFonts w:eastAsia="Times New Roman" w:cs="Times New Roman"/>
          <w:spacing w:val="39"/>
          <w:szCs w:val="20"/>
        </w:rPr>
        <w:t xml:space="preserve"> </w:t>
      </w:r>
      <w:r w:rsidRPr="009E064B">
        <w:rPr>
          <w:rFonts w:eastAsia="Times New Roman" w:cs="Times New Roman"/>
          <w:szCs w:val="20"/>
        </w:rPr>
        <w:t>które</w:t>
      </w:r>
      <w:r w:rsidRPr="009E064B">
        <w:rPr>
          <w:rFonts w:eastAsia="Times New Roman" w:cs="Times New Roman"/>
          <w:spacing w:val="43"/>
          <w:szCs w:val="20"/>
        </w:rPr>
        <w:t xml:space="preserve"> </w:t>
      </w:r>
      <w:r w:rsidRPr="009E064B">
        <w:rPr>
          <w:rFonts w:eastAsia="Times New Roman" w:cs="Times New Roman"/>
          <w:szCs w:val="20"/>
        </w:rPr>
        <w:t>pozosta</w:t>
      </w:r>
      <w:r w:rsidRPr="009E064B">
        <w:rPr>
          <w:rFonts w:eastAsia="Times New Roman" w:cs="Times New Roman"/>
          <w:spacing w:val="-1"/>
          <w:szCs w:val="20"/>
        </w:rPr>
        <w:t>j</w:t>
      </w:r>
      <w:r w:rsidRPr="009E064B">
        <w:rPr>
          <w:rFonts w:eastAsia="Times New Roman" w:cs="Times New Roman"/>
          <w:szCs w:val="20"/>
        </w:rPr>
        <w:t>ą</w:t>
      </w:r>
      <w:r w:rsidRPr="009E064B">
        <w:rPr>
          <w:rFonts w:eastAsia="Times New Roman" w:cs="Times New Roman"/>
          <w:spacing w:val="44"/>
          <w:szCs w:val="20"/>
        </w:rPr>
        <w:t xml:space="preserve"> </w:t>
      </w:r>
      <w:r w:rsidRPr="009E064B">
        <w:rPr>
          <w:rFonts w:eastAsia="Times New Roman" w:cs="Times New Roman"/>
          <w:szCs w:val="20"/>
        </w:rPr>
        <w:t>nieruchome</w:t>
      </w:r>
      <w:r w:rsidRPr="009E064B">
        <w:rPr>
          <w:rFonts w:eastAsia="Times New Roman" w:cs="Times New Roman"/>
          <w:spacing w:val="9"/>
          <w:szCs w:val="20"/>
        </w:rPr>
        <w:t xml:space="preserve"> </w:t>
      </w:r>
      <w:r w:rsidRPr="009E064B">
        <w:rPr>
          <w:rFonts w:eastAsia="Times New Roman" w:cs="Times New Roman"/>
          <w:szCs w:val="20"/>
        </w:rPr>
        <w:t>w okr</w:t>
      </w:r>
      <w:r w:rsidRPr="009E064B">
        <w:rPr>
          <w:rFonts w:eastAsia="Times New Roman" w:cs="Times New Roman"/>
          <w:spacing w:val="-1"/>
          <w:szCs w:val="20"/>
        </w:rPr>
        <w:t>e</w:t>
      </w:r>
      <w:r w:rsidRPr="009E064B">
        <w:rPr>
          <w:rFonts w:eastAsia="Times New Roman" w:cs="Times New Roman"/>
          <w:spacing w:val="-2"/>
          <w:szCs w:val="20"/>
        </w:rPr>
        <w:t>ś</w:t>
      </w:r>
      <w:r w:rsidRPr="009E064B">
        <w:rPr>
          <w:rFonts w:eastAsia="Times New Roman" w:cs="Times New Roman"/>
          <w:szCs w:val="20"/>
        </w:rPr>
        <w:t>lonych warunkach lotu;</w:t>
      </w:r>
    </w:p>
    <w:p w14:paraId="45C5F078" w14:textId="2A2623C5" w:rsidR="00B527C7" w:rsidRPr="009E064B" w:rsidRDefault="00B527C7" w:rsidP="00B527C7">
      <w:pPr>
        <w:autoSpaceDE w:val="0"/>
        <w:autoSpaceDN w:val="0"/>
        <w:adjustRightInd w:val="0"/>
        <w:ind w:left="142" w:hanging="142"/>
        <w:rPr>
          <w:rFonts w:eastAsia="Calibri" w:cs="Times New Roman"/>
        </w:rPr>
      </w:pPr>
      <w:r w:rsidRPr="009E064B">
        <w:rPr>
          <w:rFonts w:eastAsia="Calibri" w:cs="Times New Roman"/>
          <w:b/>
          <w:iCs/>
        </w:rPr>
        <w:t>Referencyjna długość pola do startu samolotu</w:t>
      </w:r>
      <w:r w:rsidRPr="009E064B">
        <w:rPr>
          <w:rFonts w:eastAsia="Calibri" w:cs="Times New Roman"/>
          <w:b/>
          <w:i/>
          <w:iCs/>
        </w:rPr>
        <w:t xml:space="preserve"> </w:t>
      </w:r>
      <w:r w:rsidRPr="009E064B">
        <w:rPr>
          <w:rFonts w:eastAsia="Calibri" w:cs="Times New Roman"/>
          <w:i/>
          <w:iCs/>
        </w:rPr>
        <w:t xml:space="preserve">(aeroplane reference field length) – </w:t>
      </w:r>
      <w:r w:rsidRPr="009E064B">
        <w:rPr>
          <w:rFonts w:eastAsia="Calibri" w:cs="TimesNewRomanPSMT"/>
          <w:szCs w:val="20"/>
        </w:rPr>
        <w:t>oznacza minimalną</w:t>
      </w:r>
      <w:r w:rsidRPr="009E064B">
        <w:rPr>
          <w:rFonts w:eastAsia="Calibri" w:cs="Times New Roman"/>
        </w:rPr>
        <w:t xml:space="preserve"> </w:t>
      </w:r>
      <w:r w:rsidRPr="009E064B">
        <w:rPr>
          <w:rFonts w:eastAsia="Calibri" w:cs="TimesNewRomanPSMT"/>
          <w:szCs w:val="20"/>
        </w:rPr>
        <w:t>długość</w:t>
      </w:r>
      <w:r w:rsidRPr="009E064B">
        <w:rPr>
          <w:rFonts w:eastAsia="Calibri" w:cs="Times New Roman"/>
        </w:rPr>
        <w:t xml:space="preserve"> pola wymaganego do startu samolotu przy maksymalnej, certyfikowanej masie startowej, na poziomie morza, w warunkach atmosfery wzorcowej, przy bezwietrznej pogodzie i na poziomej drodze startowej, która to długość określona jest w instrukcji technicznej samolotu wymaganej przez organ certyfikujący lub w danych dostarczonych przez producenta samolotu. Długość pola do startu, w stosownych przypadkach oznacza określoną (zrównoważoną) długość obszaru dla samolotów, lub w innych przypadkach </w:t>
      </w:r>
      <w:r w:rsidRPr="009E064B">
        <w:rPr>
          <w:rFonts w:eastAsia="Calibri" w:cs="Times New Roman"/>
          <w:i/>
          <w:iCs/>
        </w:rPr>
        <w:t>–</w:t>
      </w:r>
      <w:r w:rsidRPr="009E064B">
        <w:rPr>
          <w:rFonts w:eastAsia="Calibri" w:cs="Times New Roman"/>
        </w:rPr>
        <w:t xml:space="preserve"> dystans do startu.</w:t>
      </w:r>
    </w:p>
    <w:p w14:paraId="629914BB" w14:textId="1D10DD7B" w:rsidR="00700AF7" w:rsidRPr="000412BF" w:rsidRDefault="00700AF7" w:rsidP="00700AF7">
      <w:pPr>
        <w:tabs>
          <w:tab w:val="left" w:pos="-1843"/>
        </w:tabs>
        <w:spacing w:before="200"/>
        <w:ind w:left="284" w:hanging="284"/>
      </w:pPr>
      <w:r w:rsidRPr="000412BF">
        <w:rPr>
          <w:b/>
        </w:rPr>
        <w:t xml:space="preserve">System zatrzymywania samolotów </w:t>
      </w:r>
      <w:r w:rsidRPr="000412BF">
        <w:rPr>
          <w:i/>
        </w:rPr>
        <w:t>(Arresting system)</w:t>
      </w:r>
      <w:r w:rsidRPr="000412BF">
        <w:rPr>
          <w:rFonts w:eastAsia="Calibri" w:cs="TimesNewRomanPSMT"/>
          <w:szCs w:val="20"/>
        </w:rPr>
        <w:t xml:space="preserve"> – oznacza s</w:t>
      </w:r>
      <w:r w:rsidRPr="000412BF">
        <w:t>ystem zaprojektowany w celu zmniejszenia prędkości samolotu, który przekroczył koniec drogi startowej.</w:t>
      </w:r>
    </w:p>
    <w:p w14:paraId="25BD4558" w14:textId="3E029FD7" w:rsidR="00700AF7" w:rsidRPr="000412BF" w:rsidRDefault="00700AF7" w:rsidP="00700AF7">
      <w:pPr>
        <w:tabs>
          <w:tab w:val="left" w:pos="-1843"/>
        </w:tabs>
        <w:spacing w:before="200"/>
        <w:ind w:left="284" w:hanging="284"/>
      </w:pPr>
      <w:r w:rsidRPr="000412BF">
        <w:rPr>
          <w:b/>
        </w:rPr>
        <w:t xml:space="preserve">Autonomiczny system ostrzegania o wtargnięciach na drogę startową </w:t>
      </w:r>
      <w:r w:rsidRPr="000412BF">
        <w:rPr>
          <w:i/>
        </w:rPr>
        <w:t xml:space="preserve">(Autonomous runway incursion warning system </w:t>
      </w:r>
      <w:r w:rsidRPr="000412BF">
        <w:rPr>
          <w:bCs/>
          <w:i/>
          <w:iCs/>
        </w:rPr>
        <w:t xml:space="preserve">– </w:t>
      </w:r>
      <w:r w:rsidRPr="000412BF">
        <w:rPr>
          <w:i/>
        </w:rPr>
        <w:t>ARIWS)</w:t>
      </w:r>
      <w:r w:rsidRPr="000412BF">
        <w:rPr>
          <w:rFonts w:eastAsia="Calibri" w:cs="TimesNewRomanPSMT"/>
          <w:szCs w:val="20"/>
        </w:rPr>
        <w:t xml:space="preserve"> – oznacza s</w:t>
      </w:r>
      <w:r w:rsidRPr="000412BF">
        <w:t>ystem, który zapewnia</w:t>
      </w:r>
      <w:r w:rsidRPr="000412BF">
        <w:rPr>
          <w:i/>
        </w:rPr>
        <w:t xml:space="preserve"> </w:t>
      </w:r>
      <w:r w:rsidRPr="000412BF">
        <w:t>autonomiczne wykrywanie potencjalnego nieuprawnionego wtargnięcia na drogę startową lub zajętości aktywnej drogi startowej oraz przekazuje bezpośrednie ostrzeżenie załodze statku powietrznego lub kierowcy pojazdu.</w:t>
      </w:r>
    </w:p>
    <w:p w14:paraId="55A71504" w14:textId="52B785DB"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T95Do00"/>
          <w:b/>
          <w:szCs w:val="20"/>
        </w:rPr>
        <w:t xml:space="preserve">Statek powietrzny </w:t>
      </w:r>
      <w:r w:rsidRPr="009E064B">
        <w:rPr>
          <w:rFonts w:eastAsia="Calibri" w:cs="TT95Do00"/>
          <w:i/>
          <w:szCs w:val="20"/>
        </w:rPr>
        <w:t>(aircraft)</w:t>
      </w:r>
      <w:r w:rsidRPr="009E064B">
        <w:rPr>
          <w:rFonts w:eastAsia="Calibri" w:cs="TT95Do00"/>
          <w:szCs w:val="20"/>
        </w:rPr>
        <w:t xml:space="preserve"> </w:t>
      </w:r>
      <w:r w:rsidR="00700AF7" w:rsidRPr="009E064B">
        <w:rPr>
          <w:rFonts w:eastAsia="Calibri" w:cs="TimesNewRomanPSMT"/>
          <w:szCs w:val="20"/>
        </w:rPr>
        <w:t xml:space="preserve">– </w:t>
      </w:r>
      <w:r w:rsidRPr="009E064B">
        <w:rPr>
          <w:rFonts w:eastAsia="Times New Roman" w:cs="Times New Roman"/>
          <w:szCs w:val="20"/>
        </w:rPr>
        <w:t>oznacza urz</w:t>
      </w:r>
      <w:r w:rsidRPr="009E064B">
        <w:rPr>
          <w:rFonts w:eastAsia="Times New Roman" w:cs="Times New Roman"/>
          <w:spacing w:val="-1"/>
          <w:szCs w:val="20"/>
        </w:rPr>
        <w:t>ą</w:t>
      </w:r>
      <w:r w:rsidRPr="009E064B">
        <w:rPr>
          <w:rFonts w:eastAsia="Times New Roman" w:cs="Times New Roman"/>
          <w:szCs w:val="20"/>
        </w:rPr>
        <w:t>dzenie, które może utrzym</w:t>
      </w:r>
      <w:r w:rsidRPr="009E064B">
        <w:rPr>
          <w:rFonts w:eastAsia="Times New Roman" w:cs="Times New Roman"/>
          <w:spacing w:val="-3"/>
          <w:szCs w:val="20"/>
        </w:rPr>
        <w:t>a</w:t>
      </w:r>
      <w:r w:rsidRPr="009E064B">
        <w:rPr>
          <w:rFonts w:eastAsia="Times New Roman" w:cs="Times New Roman"/>
          <w:szCs w:val="20"/>
        </w:rPr>
        <w:t>ć</w:t>
      </w:r>
      <w:r w:rsidRPr="009E064B">
        <w:rPr>
          <w:rFonts w:eastAsia="Times New Roman" w:cs="Times New Roman"/>
          <w:spacing w:val="36"/>
          <w:szCs w:val="20"/>
        </w:rPr>
        <w:t xml:space="preserve"> </w:t>
      </w:r>
      <w:r w:rsidRPr="009E064B">
        <w:rPr>
          <w:rFonts w:eastAsia="Times New Roman" w:cs="Times New Roman"/>
          <w:szCs w:val="20"/>
        </w:rPr>
        <w:t>s</w:t>
      </w:r>
      <w:r w:rsidRPr="009E064B">
        <w:rPr>
          <w:rFonts w:eastAsia="Times New Roman" w:cs="Times New Roman"/>
          <w:spacing w:val="-3"/>
          <w:szCs w:val="20"/>
        </w:rPr>
        <w:t>i</w:t>
      </w:r>
      <w:r w:rsidRPr="009E064B">
        <w:rPr>
          <w:rFonts w:eastAsia="Times New Roman" w:cs="Times New Roman"/>
          <w:szCs w:val="20"/>
        </w:rPr>
        <w:t>ę w powietrzu</w:t>
      </w:r>
      <w:r w:rsidRPr="009E064B">
        <w:rPr>
          <w:rFonts w:eastAsia="Times New Roman" w:cs="Times New Roman"/>
          <w:spacing w:val="34"/>
          <w:szCs w:val="20"/>
        </w:rPr>
        <w:t xml:space="preserve"> </w:t>
      </w:r>
      <w:r w:rsidRPr="009E064B">
        <w:rPr>
          <w:rFonts w:eastAsia="Times New Roman" w:cs="Times New Roman"/>
          <w:szCs w:val="20"/>
        </w:rPr>
        <w:t>w wyniku oddzia</w:t>
      </w:r>
      <w:r w:rsidRPr="009E064B">
        <w:rPr>
          <w:rFonts w:eastAsia="Times New Roman" w:cs="Times New Roman"/>
          <w:spacing w:val="-1"/>
          <w:szCs w:val="20"/>
        </w:rPr>
        <w:t>ł</w:t>
      </w:r>
      <w:r w:rsidRPr="009E064B">
        <w:rPr>
          <w:rFonts w:eastAsia="Times New Roman" w:cs="Times New Roman"/>
          <w:szCs w:val="20"/>
        </w:rPr>
        <w:t>ywania powietrza</w:t>
      </w:r>
      <w:r w:rsidRPr="009E064B">
        <w:rPr>
          <w:rFonts w:eastAsia="Times New Roman" w:cs="Times New Roman"/>
          <w:spacing w:val="37"/>
          <w:szCs w:val="20"/>
        </w:rPr>
        <w:t xml:space="preserve"> </w:t>
      </w:r>
      <w:r w:rsidRPr="009E064B">
        <w:rPr>
          <w:rFonts w:eastAsia="Times New Roman" w:cs="Times New Roman"/>
          <w:szCs w:val="20"/>
        </w:rPr>
        <w:t>innego</w:t>
      </w:r>
      <w:r w:rsidRPr="009E064B">
        <w:rPr>
          <w:rFonts w:eastAsia="Times New Roman" w:cs="Times New Roman"/>
          <w:spacing w:val="41"/>
          <w:szCs w:val="20"/>
        </w:rPr>
        <w:t xml:space="preserve"> </w:t>
      </w:r>
      <w:r w:rsidRPr="009E064B">
        <w:rPr>
          <w:rFonts w:eastAsia="Times New Roman" w:cs="Times New Roman"/>
          <w:szCs w:val="20"/>
        </w:rPr>
        <w:t>niż</w:t>
      </w:r>
      <w:r w:rsidRPr="009E064B">
        <w:rPr>
          <w:rFonts w:eastAsia="Times New Roman" w:cs="Times New Roman"/>
          <w:spacing w:val="42"/>
          <w:szCs w:val="20"/>
        </w:rPr>
        <w:t xml:space="preserve"> </w:t>
      </w:r>
      <w:r w:rsidRPr="009E064B">
        <w:rPr>
          <w:rFonts w:eastAsia="Times New Roman" w:cs="Times New Roman"/>
          <w:szCs w:val="20"/>
        </w:rPr>
        <w:t>oddzi</w:t>
      </w:r>
      <w:r w:rsidRPr="009E064B">
        <w:rPr>
          <w:rFonts w:eastAsia="Times New Roman" w:cs="Times New Roman"/>
          <w:spacing w:val="-1"/>
          <w:szCs w:val="20"/>
        </w:rPr>
        <w:t>ał</w:t>
      </w:r>
      <w:r w:rsidRPr="009E064B">
        <w:rPr>
          <w:rFonts w:eastAsia="Times New Roman" w:cs="Times New Roman"/>
          <w:szCs w:val="20"/>
        </w:rPr>
        <w:t>ywanie</w:t>
      </w:r>
      <w:r w:rsidRPr="009E064B">
        <w:rPr>
          <w:rFonts w:eastAsia="Times New Roman" w:cs="Times New Roman"/>
          <w:spacing w:val="37"/>
          <w:szCs w:val="20"/>
        </w:rPr>
        <w:t xml:space="preserve"> </w:t>
      </w:r>
      <w:r w:rsidRPr="009E064B">
        <w:rPr>
          <w:rFonts w:eastAsia="Times New Roman" w:cs="Times New Roman"/>
          <w:szCs w:val="20"/>
        </w:rPr>
        <w:t>powietrza</w:t>
      </w:r>
      <w:r w:rsidRPr="009E064B">
        <w:rPr>
          <w:rFonts w:eastAsia="Times New Roman" w:cs="Times New Roman"/>
          <w:spacing w:val="38"/>
          <w:szCs w:val="20"/>
        </w:rPr>
        <w:t xml:space="preserve"> </w:t>
      </w:r>
      <w:r w:rsidRPr="009E064B">
        <w:rPr>
          <w:rFonts w:eastAsia="Times New Roman" w:cs="Times New Roman"/>
          <w:szCs w:val="20"/>
        </w:rPr>
        <w:t>odbitego</w:t>
      </w:r>
      <w:r w:rsidRPr="009E064B">
        <w:rPr>
          <w:rFonts w:eastAsia="Times New Roman" w:cs="Times New Roman"/>
          <w:spacing w:val="8"/>
          <w:szCs w:val="20"/>
        </w:rPr>
        <w:t xml:space="preserve"> </w:t>
      </w:r>
      <w:r w:rsidRPr="009E064B">
        <w:rPr>
          <w:rFonts w:eastAsia="Times New Roman" w:cs="Times New Roman"/>
          <w:szCs w:val="20"/>
        </w:rPr>
        <w:t xml:space="preserve">od </w:t>
      </w:r>
      <w:r w:rsidRPr="009E064B">
        <w:rPr>
          <w:rFonts w:eastAsia="Times New Roman" w:cs="Times New Roman"/>
          <w:spacing w:val="-18"/>
          <w:szCs w:val="20"/>
        </w:rPr>
        <w:t xml:space="preserve"> </w:t>
      </w:r>
      <w:r w:rsidRPr="009E064B">
        <w:rPr>
          <w:rFonts w:eastAsia="Times New Roman" w:cs="Times New Roman"/>
          <w:szCs w:val="20"/>
        </w:rPr>
        <w:t>powierzchni</w:t>
      </w:r>
      <w:r w:rsidRPr="009E064B">
        <w:rPr>
          <w:rFonts w:eastAsia="Times New Roman" w:cs="Times New Roman"/>
          <w:spacing w:val="6"/>
          <w:szCs w:val="20"/>
        </w:rPr>
        <w:t xml:space="preserve"> </w:t>
      </w:r>
      <w:r w:rsidRPr="009E064B">
        <w:rPr>
          <w:rFonts w:eastAsia="Times New Roman" w:cs="Times New Roman"/>
          <w:szCs w:val="20"/>
        </w:rPr>
        <w:t>ziemi;</w:t>
      </w:r>
    </w:p>
    <w:p w14:paraId="05DE2A1A"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Liczba klasyfikacyjna statku powietrznego </w:t>
      </w:r>
      <w:r w:rsidRPr="009E064B">
        <w:rPr>
          <w:rFonts w:eastAsia="Calibri" w:cs="TimesNewRomanPS-ItalicMT"/>
          <w:i/>
          <w:iCs/>
          <w:szCs w:val="20"/>
        </w:rPr>
        <w:t>(aircraft classification number - ACN)</w:t>
      </w:r>
      <w:r w:rsidRPr="009E064B">
        <w:rPr>
          <w:rFonts w:eastAsia="Calibri" w:cs="TimesNewRomanPS-ItalicMT"/>
          <w:iCs/>
          <w:szCs w:val="20"/>
        </w:rPr>
        <w:t xml:space="preserve"> </w:t>
      </w:r>
      <w:r w:rsidRPr="009E064B">
        <w:rPr>
          <w:rFonts w:eastAsia="Calibri" w:cs="TimesNewRomanPSMT"/>
          <w:szCs w:val="20"/>
        </w:rPr>
        <w:t>– oznacza wartość opisującą oddziaływanie statku powietrznego na nawierzchnię przy określonych, znormalizowanych kategoriach podłoża.</w:t>
      </w:r>
    </w:p>
    <w:p w14:paraId="3701CD49"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Stanowisko postojowe statku powietrznego </w:t>
      </w:r>
      <w:r w:rsidRPr="009E064B">
        <w:rPr>
          <w:rFonts w:eastAsia="Calibri" w:cs="TimesNewRomanPS-ItalicMT"/>
          <w:i/>
          <w:iCs/>
          <w:szCs w:val="20"/>
        </w:rPr>
        <w:t>(aircraft stand)</w:t>
      </w:r>
      <w:r w:rsidRPr="009E064B">
        <w:rPr>
          <w:rFonts w:eastAsia="Calibri" w:cs="TimesNewRomanPS-ItalicMT"/>
          <w:iCs/>
          <w:szCs w:val="20"/>
        </w:rPr>
        <w:t xml:space="preserve"> </w:t>
      </w:r>
      <w:r w:rsidRPr="009E064B">
        <w:rPr>
          <w:rFonts w:eastAsia="Calibri" w:cs="TimesNewRomanPSMT"/>
          <w:szCs w:val="20"/>
        </w:rPr>
        <w:t xml:space="preserve">– oznacza miejsce na płycie </w:t>
      </w:r>
      <w:r w:rsidRPr="009E064B">
        <w:rPr>
          <w:rFonts w:eastAsia="Calibri" w:cs="TimesNewRomanPS-ItalicMT"/>
          <w:iCs/>
          <w:szCs w:val="20"/>
        </w:rPr>
        <w:t xml:space="preserve">postojowej </w:t>
      </w:r>
      <w:r w:rsidRPr="009E064B">
        <w:rPr>
          <w:rFonts w:eastAsia="Calibri" w:cs="TimesNewRomanPSMT"/>
          <w:szCs w:val="20"/>
        </w:rPr>
        <w:t>wyznaczone do postoju statku powietrznego.</w:t>
      </w:r>
    </w:p>
    <w:p w14:paraId="5B2D38F1"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Droga kołowania na stanowisko postojowe </w:t>
      </w:r>
      <w:r w:rsidRPr="009E064B">
        <w:rPr>
          <w:rFonts w:eastAsia="Calibri" w:cs="TimesNewRomanPS-BoldItalicMT"/>
          <w:i/>
          <w:iCs/>
          <w:szCs w:val="20"/>
        </w:rPr>
        <w:t>(aircraft stand taxi lane)</w:t>
      </w:r>
      <w:r w:rsidRPr="009E064B">
        <w:rPr>
          <w:rFonts w:eastAsia="Calibri" w:cs="TimesNewRomanPS-BoldItalicMT"/>
          <w:b/>
          <w:iCs/>
          <w:szCs w:val="20"/>
        </w:rPr>
        <w:t xml:space="preserve"> </w:t>
      </w:r>
      <w:r w:rsidRPr="009E064B">
        <w:rPr>
          <w:rFonts w:eastAsia="Calibri" w:cs="TimesNewRomanPS-BoldItalicMT"/>
          <w:iCs/>
          <w:szCs w:val="20"/>
        </w:rPr>
        <w:t xml:space="preserve">– </w:t>
      </w:r>
      <w:r w:rsidRPr="009E064B">
        <w:rPr>
          <w:rFonts w:eastAsia="Calibri" w:cs="Times New Roman"/>
          <w:spacing w:val="-1"/>
        </w:rPr>
        <w:t>oznacza część płyty postojowej, wyznaczoną, jako droga kołowania i przeznaczoną wyłącznie do zapewnienia dostępu do stanowisk postojowych;</w:t>
      </w:r>
    </w:p>
    <w:p w14:paraId="70EE6411" w14:textId="77777777"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BoldItalicMT"/>
          <w:b/>
          <w:iCs/>
          <w:szCs w:val="20"/>
        </w:rPr>
        <w:t xml:space="preserve">Płyta postojowa </w:t>
      </w:r>
      <w:r w:rsidRPr="009E064B">
        <w:rPr>
          <w:rFonts w:eastAsia="Calibri" w:cs="TimesNewRomanPS-ItalicMT"/>
          <w:i/>
          <w:iCs/>
          <w:szCs w:val="20"/>
        </w:rPr>
        <w:t xml:space="preserve">(apron) </w:t>
      </w:r>
      <w:r w:rsidRPr="009E064B">
        <w:rPr>
          <w:rFonts w:eastAsia="Times New Roman" w:cs="Times New Roman"/>
          <w:szCs w:val="20"/>
        </w:rPr>
        <w:t>oznacza</w:t>
      </w:r>
      <w:r w:rsidRPr="009E064B">
        <w:rPr>
          <w:rFonts w:eastAsia="Times New Roman" w:cs="Times New Roman"/>
          <w:spacing w:val="18"/>
          <w:szCs w:val="20"/>
        </w:rPr>
        <w:t xml:space="preserve"> </w:t>
      </w:r>
      <w:r w:rsidRPr="009E064B">
        <w:rPr>
          <w:rFonts w:eastAsia="Times New Roman" w:cs="Times New Roman"/>
          <w:szCs w:val="20"/>
        </w:rPr>
        <w:t>okr</w:t>
      </w:r>
      <w:r w:rsidRPr="009E064B">
        <w:rPr>
          <w:rFonts w:eastAsia="Times New Roman" w:cs="Times New Roman"/>
          <w:spacing w:val="-1"/>
          <w:szCs w:val="20"/>
        </w:rPr>
        <w:t>e</w:t>
      </w:r>
      <w:r w:rsidRPr="009E064B">
        <w:rPr>
          <w:rFonts w:eastAsia="Times New Roman" w:cs="Times New Roman"/>
          <w:spacing w:val="-2"/>
          <w:szCs w:val="20"/>
        </w:rPr>
        <w:t>ś</w:t>
      </w:r>
      <w:r w:rsidRPr="009E064B">
        <w:rPr>
          <w:rFonts w:eastAsia="Times New Roman" w:cs="Times New Roman"/>
          <w:szCs w:val="20"/>
        </w:rPr>
        <w:t>lony</w:t>
      </w:r>
      <w:r w:rsidRPr="009E064B">
        <w:rPr>
          <w:rFonts w:eastAsia="Times New Roman" w:cs="Times New Roman"/>
          <w:spacing w:val="18"/>
          <w:szCs w:val="20"/>
        </w:rPr>
        <w:t xml:space="preserve"> </w:t>
      </w:r>
      <w:r w:rsidRPr="009E064B">
        <w:rPr>
          <w:rFonts w:eastAsia="Times New Roman" w:cs="Times New Roman"/>
          <w:szCs w:val="20"/>
        </w:rPr>
        <w:t>obszar</w:t>
      </w:r>
      <w:r w:rsidRPr="009E064B">
        <w:rPr>
          <w:rFonts w:eastAsia="Times New Roman" w:cs="Times New Roman"/>
          <w:spacing w:val="17"/>
          <w:szCs w:val="20"/>
        </w:rPr>
        <w:t xml:space="preserve"> </w:t>
      </w:r>
      <w:r w:rsidRPr="009E064B">
        <w:rPr>
          <w:rFonts w:eastAsia="Times New Roman" w:cs="Times New Roman"/>
          <w:szCs w:val="20"/>
        </w:rPr>
        <w:t>wydzielony</w:t>
      </w:r>
      <w:r w:rsidRPr="009E064B">
        <w:rPr>
          <w:rFonts w:eastAsia="Times New Roman" w:cs="Times New Roman"/>
          <w:spacing w:val="17"/>
          <w:szCs w:val="20"/>
        </w:rPr>
        <w:t xml:space="preserve"> </w:t>
      </w:r>
      <w:r w:rsidRPr="009E064B">
        <w:rPr>
          <w:rFonts w:eastAsia="Times New Roman" w:cs="Times New Roman"/>
          <w:szCs w:val="20"/>
        </w:rPr>
        <w:t>dla postoju</w:t>
      </w:r>
      <w:r w:rsidRPr="009E064B">
        <w:rPr>
          <w:rFonts w:eastAsia="Times New Roman" w:cs="Times New Roman"/>
          <w:spacing w:val="25"/>
          <w:szCs w:val="20"/>
        </w:rPr>
        <w:t xml:space="preserve"> </w:t>
      </w:r>
      <w:r w:rsidRPr="009E064B">
        <w:rPr>
          <w:rFonts w:eastAsia="Times New Roman" w:cs="Times New Roman"/>
          <w:szCs w:val="20"/>
        </w:rPr>
        <w:t>statków</w:t>
      </w:r>
      <w:r w:rsidRPr="009E064B">
        <w:rPr>
          <w:rFonts w:eastAsia="Times New Roman" w:cs="Times New Roman"/>
          <w:spacing w:val="25"/>
          <w:szCs w:val="20"/>
        </w:rPr>
        <w:t xml:space="preserve"> </w:t>
      </w:r>
      <w:r w:rsidRPr="009E064B">
        <w:rPr>
          <w:rFonts w:eastAsia="Times New Roman" w:cs="Times New Roman"/>
          <w:szCs w:val="20"/>
        </w:rPr>
        <w:t>powietrznych,</w:t>
      </w:r>
      <w:r w:rsidRPr="009E064B">
        <w:rPr>
          <w:rFonts w:eastAsia="Times New Roman" w:cs="Times New Roman"/>
          <w:spacing w:val="23"/>
          <w:szCs w:val="20"/>
        </w:rPr>
        <w:t xml:space="preserve"> </w:t>
      </w:r>
      <w:r w:rsidRPr="009E064B">
        <w:rPr>
          <w:rFonts w:eastAsia="Times New Roman" w:cs="Times New Roman"/>
          <w:szCs w:val="20"/>
        </w:rPr>
        <w:t>na</w:t>
      </w:r>
      <w:r w:rsidRPr="009E064B">
        <w:rPr>
          <w:rFonts w:eastAsia="Times New Roman" w:cs="Times New Roman"/>
          <w:spacing w:val="28"/>
          <w:szCs w:val="20"/>
        </w:rPr>
        <w:t xml:space="preserve"> </w:t>
      </w:r>
      <w:r w:rsidRPr="009E064B">
        <w:rPr>
          <w:rFonts w:eastAsia="Times New Roman" w:cs="Times New Roman"/>
          <w:szCs w:val="20"/>
        </w:rPr>
        <w:t>którym</w:t>
      </w:r>
      <w:r w:rsidRPr="009E064B">
        <w:rPr>
          <w:rFonts w:eastAsia="Times New Roman" w:cs="Times New Roman"/>
          <w:spacing w:val="27"/>
          <w:szCs w:val="20"/>
        </w:rPr>
        <w:t xml:space="preserve"> </w:t>
      </w:r>
      <w:r w:rsidRPr="009E064B">
        <w:rPr>
          <w:rFonts w:eastAsia="Times New Roman" w:cs="Times New Roman"/>
          <w:szCs w:val="20"/>
        </w:rPr>
        <w:t>odbywa</w:t>
      </w:r>
      <w:r w:rsidRPr="009E064B">
        <w:rPr>
          <w:rFonts w:eastAsia="Times New Roman" w:cs="Times New Roman"/>
          <w:spacing w:val="27"/>
          <w:szCs w:val="20"/>
        </w:rPr>
        <w:t xml:space="preserve"> </w:t>
      </w:r>
      <w:r w:rsidRPr="009E064B">
        <w:rPr>
          <w:rFonts w:eastAsia="Times New Roman" w:cs="Times New Roman"/>
          <w:szCs w:val="20"/>
        </w:rPr>
        <w:t>s</w:t>
      </w:r>
      <w:r w:rsidRPr="009E064B">
        <w:rPr>
          <w:rFonts w:eastAsia="Times New Roman" w:cs="Times New Roman"/>
          <w:spacing w:val="-2"/>
          <w:szCs w:val="20"/>
        </w:rPr>
        <w:t>i</w:t>
      </w:r>
      <w:r w:rsidRPr="009E064B">
        <w:rPr>
          <w:rFonts w:eastAsia="Times New Roman" w:cs="Times New Roman"/>
          <w:szCs w:val="20"/>
        </w:rPr>
        <w:t>ę</w:t>
      </w:r>
      <w:r w:rsidRPr="009E064B">
        <w:rPr>
          <w:rFonts w:eastAsia="Times New Roman" w:cs="Times New Roman"/>
          <w:spacing w:val="27"/>
          <w:szCs w:val="20"/>
        </w:rPr>
        <w:t xml:space="preserve"> </w:t>
      </w:r>
      <w:r w:rsidRPr="009E064B">
        <w:rPr>
          <w:rFonts w:eastAsia="Times New Roman" w:cs="Times New Roman"/>
          <w:szCs w:val="20"/>
        </w:rPr>
        <w:t>wsiadanie</w:t>
      </w:r>
      <w:r w:rsidRPr="009E064B">
        <w:rPr>
          <w:rFonts w:eastAsia="Times New Roman" w:cs="Times New Roman"/>
          <w:spacing w:val="32"/>
          <w:szCs w:val="20"/>
        </w:rPr>
        <w:t xml:space="preserve"> </w:t>
      </w:r>
      <w:r w:rsidRPr="009E064B">
        <w:rPr>
          <w:rFonts w:eastAsia="Times New Roman" w:cs="Times New Roman"/>
          <w:szCs w:val="20"/>
        </w:rPr>
        <w:t>lub</w:t>
      </w:r>
      <w:r w:rsidRPr="009E064B">
        <w:rPr>
          <w:rFonts w:eastAsia="Times New Roman" w:cs="Times New Roman"/>
          <w:spacing w:val="34"/>
          <w:szCs w:val="20"/>
        </w:rPr>
        <w:t xml:space="preserve"> </w:t>
      </w:r>
      <w:r w:rsidRPr="009E064B">
        <w:rPr>
          <w:rFonts w:eastAsia="Times New Roman" w:cs="Times New Roman"/>
          <w:szCs w:val="20"/>
        </w:rPr>
        <w:t>wysiadanie</w:t>
      </w:r>
      <w:r w:rsidRPr="009E064B">
        <w:rPr>
          <w:rFonts w:eastAsia="Times New Roman" w:cs="Times New Roman"/>
          <w:spacing w:val="29"/>
          <w:szCs w:val="20"/>
        </w:rPr>
        <w:t xml:space="preserve"> </w:t>
      </w:r>
      <w:r w:rsidRPr="009E064B">
        <w:rPr>
          <w:rFonts w:eastAsia="Times New Roman" w:cs="Times New Roman"/>
          <w:szCs w:val="20"/>
        </w:rPr>
        <w:t>pas</w:t>
      </w:r>
      <w:r w:rsidRPr="009E064B">
        <w:rPr>
          <w:rFonts w:eastAsia="Times New Roman" w:cs="Times New Roman"/>
          <w:spacing w:val="-3"/>
          <w:szCs w:val="20"/>
        </w:rPr>
        <w:t>a</w:t>
      </w:r>
      <w:r w:rsidRPr="009E064B">
        <w:rPr>
          <w:rFonts w:eastAsia="Times New Roman" w:cs="Times New Roman"/>
          <w:szCs w:val="20"/>
        </w:rPr>
        <w:t>żerów,</w:t>
      </w:r>
      <w:r w:rsidRPr="009E064B">
        <w:rPr>
          <w:rFonts w:eastAsia="Times New Roman" w:cs="Times New Roman"/>
          <w:spacing w:val="32"/>
          <w:szCs w:val="20"/>
        </w:rPr>
        <w:t xml:space="preserve"> </w:t>
      </w:r>
      <w:r w:rsidRPr="009E064B">
        <w:rPr>
          <w:rFonts w:eastAsia="Times New Roman" w:cs="Times New Roman"/>
          <w:szCs w:val="20"/>
        </w:rPr>
        <w:t>za</w:t>
      </w:r>
      <w:r w:rsidRPr="009E064B">
        <w:rPr>
          <w:rFonts w:eastAsia="Times New Roman" w:cs="Times New Roman"/>
          <w:spacing w:val="-1"/>
          <w:szCs w:val="20"/>
        </w:rPr>
        <w:t>ł</w:t>
      </w:r>
      <w:r w:rsidRPr="009E064B">
        <w:rPr>
          <w:rFonts w:eastAsia="Times New Roman" w:cs="Times New Roman"/>
          <w:szCs w:val="20"/>
        </w:rPr>
        <w:t>adunek</w:t>
      </w:r>
      <w:r w:rsidRPr="009E064B">
        <w:rPr>
          <w:rFonts w:eastAsia="Times New Roman" w:cs="Times New Roman"/>
          <w:spacing w:val="33"/>
          <w:szCs w:val="20"/>
        </w:rPr>
        <w:t xml:space="preserve"> i </w:t>
      </w:r>
      <w:r w:rsidRPr="009E064B">
        <w:rPr>
          <w:rFonts w:eastAsia="Times New Roman" w:cs="Times New Roman"/>
          <w:szCs w:val="20"/>
        </w:rPr>
        <w:t>wy</w:t>
      </w:r>
      <w:r w:rsidRPr="009E064B">
        <w:rPr>
          <w:rFonts w:eastAsia="Times New Roman" w:cs="Times New Roman"/>
          <w:spacing w:val="-1"/>
          <w:szCs w:val="20"/>
        </w:rPr>
        <w:t>ł</w:t>
      </w:r>
      <w:r w:rsidRPr="009E064B">
        <w:rPr>
          <w:rFonts w:eastAsia="Times New Roman" w:cs="Times New Roman"/>
          <w:szCs w:val="20"/>
        </w:rPr>
        <w:t>adunek towarów lub poczty,</w:t>
      </w:r>
      <w:r w:rsidRPr="009E064B">
        <w:rPr>
          <w:rFonts w:eastAsia="Times New Roman" w:cs="Times New Roman"/>
          <w:spacing w:val="17"/>
          <w:szCs w:val="20"/>
        </w:rPr>
        <w:t xml:space="preserve"> </w:t>
      </w:r>
      <w:r w:rsidRPr="009E064B">
        <w:rPr>
          <w:rFonts w:eastAsia="Times New Roman" w:cs="Times New Roman"/>
          <w:szCs w:val="20"/>
        </w:rPr>
        <w:t>tankowanie,</w:t>
      </w:r>
      <w:r w:rsidRPr="009E064B">
        <w:rPr>
          <w:rFonts w:eastAsia="Times New Roman" w:cs="Times New Roman"/>
          <w:spacing w:val="18"/>
          <w:szCs w:val="20"/>
        </w:rPr>
        <w:t xml:space="preserve"> </w:t>
      </w:r>
      <w:r w:rsidRPr="009E064B">
        <w:rPr>
          <w:rFonts w:eastAsia="Times New Roman" w:cs="Times New Roman"/>
          <w:szCs w:val="20"/>
        </w:rPr>
        <w:t>parkowanie</w:t>
      </w:r>
      <w:r w:rsidRPr="009E064B">
        <w:rPr>
          <w:rFonts w:eastAsia="Times New Roman" w:cs="Times New Roman"/>
          <w:spacing w:val="9"/>
          <w:szCs w:val="20"/>
        </w:rPr>
        <w:t xml:space="preserve"> </w:t>
      </w:r>
      <w:r w:rsidRPr="009E064B">
        <w:rPr>
          <w:rFonts w:eastAsia="Times New Roman" w:cs="Times New Roman"/>
          <w:szCs w:val="20"/>
        </w:rPr>
        <w:t>lub obs</w:t>
      </w:r>
      <w:r w:rsidRPr="009E064B">
        <w:rPr>
          <w:rFonts w:eastAsia="Times New Roman" w:cs="Times New Roman"/>
          <w:spacing w:val="-1"/>
          <w:szCs w:val="20"/>
        </w:rPr>
        <w:t>ł</w:t>
      </w:r>
      <w:r w:rsidRPr="009E064B">
        <w:rPr>
          <w:rFonts w:eastAsia="Times New Roman" w:cs="Times New Roman"/>
          <w:szCs w:val="20"/>
        </w:rPr>
        <w:t>ugę techniczną samolotu;</w:t>
      </w:r>
    </w:p>
    <w:p w14:paraId="0481DD4F" w14:textId="77777777" w:rsidR="00B527C7" w:rsidRPr="009E064B" w:rsidRDefault="00B527C7" w:rsidP="00B527C7">
      <w:pPr>
        <w:autoSpaceDE w:val="0"/>
        <w:autoSpaceDN w:val="0"/>
        <w:adjustRightInd w:val="0"/>
        <w:ind w:left="142" w:hanging="142"/>
        <w:rPr>
          <w:rFonts w:eastAsia="Calibri" w:cs="TimesNewRomanPS-BoldItalicMT"/>
          <w:iCs/>
          <w:szCs w:val="20"/>
        </w:rPr>
      </w:pPr>
      <w:r w:rsidRPr="009E064B">
        <w:rPr>
          <w:rFonts w:eastAsia="Calibri" w:cs="TimesNewRomanPS-BoldItalicMT"/>
          <w:b/>
          <w:iCs/>
          <w:szCs w:val="20"/>
        </w:rPr>
        <w:t>Droga serwisowa na płycie postojowej</w:t>
      </w:r>
      <w:r w:rsidRPr="009E064B">
        <w:rPr>
          <w:rFonts w:eastAsia="Calibri" w:cs="TimesNewRomanPS-BoldItalicMT"/>
          <w:iCs/>
          <w:szCs w:val="20"/>
        </w:rPr>
        <w:t xml:space="preserve"> </w:t>
      </w:r>
      <w:r w:rsidRPr="009E064B">
        <w:rPr>
          <w:rFonts w:eastAsia="Calibri" w:cs="TimesNewRomanPS-BoldItalicMT"/>
          <w:i/>
          <w:iCs/>
          <w:szCs w:val="20"/>
        </w:rPr>
        <w:t>(apron service road)</w:t>
      </w:r>
      <w:r w:rsidRPr="009E064B">
        <w:rPr>
          <w:rFonts w:eastAsia="Calibri" w:cs="TimesNewRomanPS-BoldItalicMT"/>
          <w:iCs/>
          <w:szCs w:val="20"/>
        </w:rPr>
        <w:t xml:space="preserve"> – oznacza drogę znajdującą się na </w:t>
      </w:r>
      <w:r w:rsidRPr="009E064B">
        <w:rPr>
          <w:rFonts w:eastAsia="Calibri" w:cs="Times New Roman"/>
          <w:spacing w:val="-1"/>
        </w:rPr>
        <w:t>płycie</w:t>
      </w:r>
      <w:r w:rsidRPr="009E064B">
        <w:rPr>
          <w:rFonts w:eastAsia="Calibri" w:cs="TimesNewRomanPS-BoldItalicMT"/>
          <w:iCs/>
          <w:szCs w:val="20"/>
        </w:rPr>
        <w:t xml:space="preserve"> postojowej lub przylegającą do niej, która przeznaczona jest wyłącznie do użytku dla pojazdów.</w:t>
      </w:r>
    </w:p>
    <w:p w14:paraId="0513E05E"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Płytowa droga kołowania </w:t>
      </w:r>
      <w:r w:rsidRPr="009E064B">
        <w:rPr>
          <w:rFonts w:eastAsia="Calibri" w:cs="TimesNewRomanPS-BoldItalicMT"/>
          <w:i/>
          <w:iCs/>
        </w:rPr>
        <w:t>(a</w:t>
      </w:r>
      <w:r w:rsidRPr="009E064B">
        <w:rPr>
          <w:rFonts w:eastAsia="Calibri" w:cs="TimesNewRomanPS-BoldItalicMT"/>
          <w:i/>
          <w:iCs/>
          <w:szCs w:val="20"/>
        </w:rPr>
        <w:t>pron taxiway)</w:t>
      </w:r>
      <w:r w:rsidRPr="009E064B">
        <w:rPr>
          <w:rFonts w:eastAsia="Calibri" w:cs="Times New Roman"/>
          <w:spacing w:val="-1"/>
        </w:rPr>
        <w:t xml:space="preserve"> oznacza część systemu dróg kołowania </w:t>
      </w:r>
      <w:r w:rsidRPr="009E064B">
        <w:rPr>
          <w:rFonts w:eastAsia="Times New Roman" w:cs="Times New Roman"/>
          <w:szCs w:val="20"/>
        </w:rPr>
        <w:t>zlokalizowaną</w:t>
      </w:r>
      <w:r w:rsidRPr="009E064B">
        <w:rPr>
          <w:rFonts w:eastAsia="Calibri" w:cs="Times New Roman"/>
          <w:spacing w:val="-1"/>
        </w:rPr>
        <w:t xml:space="preserve"> na płycie postojowej i przeznaczoną do zapewnienia trasy kołowania przez tę płytę;</w:t>
      </w:r>
    </w:p>
    <w:p w14:paraId="66932042"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iCs/>
          <w:szCs w:val="20"/>
        </w:rPr>
        <w:t xml:space="preserve">Przerwane lądowanie </w:t>
      </w:r>
      <w:r w:rsidRPr="009E064B">
        <w:rPr>
          <w:rFonts w:eastAsia="Calibri" w:cs="Times New Roman"/>
          <w:i/>
          <w:iCs/>
          <w:szCs w:val="20"/>
        </w:rPr>
        <w:t>(balked landing)</w:t>
      </w:r>
      <w:r w:rsidRPr="009E064B">
        <w:rPr>
          <w:rFonts w:eastAsia="Calibri" w:cs="Times New Roman"/>
          <w:iCs/>
          <w:szCs w:val="20"/>
        </w:rPr>
        <w:t xml:space="preserve"> </w:t>
      </w:r>
      <w:r w:rsidRPr="009E064B">
        <w:rPr>
          <w:rFonts w:eastAsia="Calibri" w:cs="Times New Roman"/>
          <w:szCs w:val="20"/>
        </w:rPr>
        <w:t xml:space="preserve">– oznacza manewr lądowania, który został niespodziewania przerwany, w jakimkolwiek punkcie poniżej wysokości bezwzględnej/względnej </w:t>
      </w:r>
      <w:r w:rsidRPr="009E064B">
        <w:rPr>
          <w:rFonts w:eastAsia="Calibri" w:cs="TimesNewRomanPSMT"/>
          <w:szCs w:val="20"/>
        </w:rPr>
        <w:t>zapewniającej</w:t>
      </w:r>
      <w:r w:rsidRPr="009E064B">
        <w:rPr>
          <w:rFonts w:eastAsia="Calibri" w:cs="Times New Roman"/>
          <w:szCs w:val="20"/>
        </w:rPr>
        <w:t xml:space="preserve"> minimalne przewyższenie nad przeszkodą (OCA/H).</w:t>
      </w:r>
    </w:p>
    <w:p w14:paraId="354960F7"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Baretka </w:t>
      </w:r>
      <w:r w:rsidRPr="009E064B">
        <w:rPr>
          <w:rFonts w:eastAsia="Calibri" w:cs="TimesNewRomanPS-ItalicMT"/>
          <w:i/>
          <w:iCs/>
          <w:szCs w:val="20"/>
        </w:rPr>
        <w:t>(barrette)</w:t>
      </w:r>
      <w:r w:rsidRPr="009E064B">
        <w:rPr>
          <w:rFonts w:eastAsia="Calibri" w:cs="TimesNewRomanPS-ItalicMT"/>
          <w:iCs/>
          <w:szCs w:val="20"/>
        </w:rPr>
        <w:t xml:space="preserve"> </w:t>
      </w:r>
      <w:r w:rsidRPr="009E064B">
        <w:rPr>
          <w:rFonts w:eastAsia="Calibri" w:cs="TimesNewRomanPSMT"/>
          <w:szCs w:val="20"/>
        </w:rPr>
        <w:t>– oznacza zespół trzech lub więcej lotniczych świateł naziemnych, umieszczonych obok siebie w linii prostej, z większej odległości widzianych, jako krótka linia świetlna.</w:t>
      </w:r>
    </w:p>
    <w:p w14:paraId="022EE262" w14:textId="7ECE2B8C"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MT"/>
          <w:b/>
          <w:szCs w:val="20"/>
        </w:rPr>
        <w:t xml:space="preserve">Specyfikacje certyfikacyjne </w:t>
      </w:r>
      <w:r w:rsidRPr="009E064B">
        <w:rPr>
          <w:rFonts w:eastAsia="Calibri" w:cs="TimesNewRomanPSMT"/>
          <w:i/>
          <w:szCs w:val="20"/>
        </w:rPr>
        <w:t>(certification specifications)</w:t>
      </w:r>
      <w:r w:rsidRPr="009E064B">
        <w:rPr>
          <w:rFonts w:eastAsia="Calibri" w:cs="TimesNewRomanPSMT"/>
          <w:szCs w:val="20"/>
        </w:rPr>
        <w:t xml:space="preserve"> </w:t>
      </w:r>
      <w:r w:rsidRPr="009E064B">
        <w:rPr>
          <w:rFonts w:eastAsia="Times New Roman" w:cs="Times New Roman"/>
          <w:szCs w:val="20"/>
        </w:rPr>
        <w:t>oznaczają</w:t>
      </w:r>
      <w:r w:rsidRPr="009E064B">
        <w:rPr>
          <w:rFonts w:eastAsia="Times New Roman" w:cs="Times New Roman"/>
          <w:spacing w:val="37"/>
          <w:szCs w:val="20"/>
        </w:rPr>
        <w:t xml:space="preserve"> </w:t>
      </w:r>
      <w:r w:rsidRPr="009E064B">
        <w:rPr>
          <w:rFonts w:eastAsia="Times New Roman" w:cs="Times New Roman"/>
          <w:szCs w:val="20"/>
        </w:rPr>
        <w:t>normy</w:t>
      </w:r>
      <w:r w:rsidRPr="009E064B">
        <w:rPr>
          <w:rFonts w:eastAsia="Times New Roman" w:cs="Times New Roman"/>
          <w:spacing w:val="39"/>
          <w:szCs w:val="20"/>
        </w:rPr>
        <w:t xml:space="preserve"> </w:t>
      </w:r>
      <w:r w:rsidRPr="009E064B">
        <w:rPr>
          <w:rFonts w:eastAsia="Times New Roman" w:cs="Times New Roman"/>
          <w:szCs w:val="20"/>
        </w:rPr>
        <w:t>techniczne przy</w:t>
      </w:r>
      <w:r w:rsidRPr="009E064B">
        <w:rPr>
          <w:rFonts w:eastAsia="Times New Roman" w:cs="Times New Roman"/>
          <w:spacing w:val="-5"/>
          <w:szCs w:val="20"/>
        </w:rPr>
        <w:t>j</w:t>
      </w:r>
      <w:r w:rsidRPr="009E064B">
        <w:rPr>
          <w:rFonts w:eastAsia="Times New Roman" w:cs="Times New Roman"/>
          <w:spacing w:val="-2"/>
          <w:szCs w:val="20"/>
        </w:rPr>
        <w:t>ę</w:t>
      </w:r>
      <w:r w:rsidRPr="009E064B">
        <w:rPr>
          <w:rFonts w:eastAsia="Times New Roman" w:cs="Times New Roman"/>
          <w:szCs w:val="20"/>
        </w:rPr>
        <w:t>te</w:t>
      </w:r>
      <w:r w:rsidRPr="009E064B">
        <w:rPr>
          <w:rFonts w:eastAsia="Times New Roman" w:cs="Times New Roman"/>
          <w:spacing w:val="8"/>
          <w:szCs w:val="20"/>
        </w:rPr>
        <w:t xml:space="preserve"> </w:t>
      </w:r>
      <w:r w:rsidRPr="009E064B">
        <w:rPr>
          <w:rFonts w:eastAsia="Times New Roman" w:cs="Times New Roman"/>
          <w:szCs w:val="20"/>
        </w:rPr>
        <w:t>przez</w:t>
      </w:r>
      <w:r w:rsidRPr="009E064B">
        <w:rPr>
          <w:rFonts w:eastAsia="Times New Roman" w:cs="Times New Roman"/>
          <w:spacing w:val="9"/>
          <w:szCs w:val="20"/>
        </w:rPr>
        <w:t xml:space="preserve"> </w:t>
      </w:r>
      <w:r w:rsidRPr="009E064B">
        <w:rPr>
          <w:rFonts w:eastAsia="Times New Roman" w:cs="Times New Roman"/>
          <w:szCs w:val="20"/>
        </w:rPr>
        <w:t>Agenc</w:t>
      </w:r>
      <w:r w:rsidRPr="009E064B">
        <w:rPr>
          <w:rFonts w:eastAsia="Times New Roman" w:cs="Times New Roman"/>
          <w:spacing w:val="-3"/>
          <w:szCs w:val="20"/>
        </w:rPr>
        <w:t>j</w:t>
      </w:r>
      <w:r w:rsidRPr="009E064B">
        <w:rPr>
          <w:rFonts w:eastAsia="Times New Roman" w:cs="Times New Roman"/>
          <w:spacing w:val="-2"/>
          <w:szCs w:val="20"/>
        </w:rPr>
        <w:t>ę</w:t>
      </w:r>
      <w:r w:rsidRPr="009E064B">
        <w:rPr>
          <w:rFonts w:eastAsia="Times New Roman" w:cs="Times New Roman"/>
          <w:szCs w:val="20"/>
        </w:rPr>
        <w:t>,</w:t>
      </w:r>
      <w:r w:rsidRPr="009E064B">
        <w:rPr>
          <w:rFonts w:eastAsia="Times New Roman" w:cs="Times New Roman"/>
          <w:spacing w:val="8"/>
          <w:szCs w:val="20"/>
        </w:rPr>
        <w:t xml:space="preserve"> </w:t>
      </w:r>
      <w:r w:rsidRPr="009E064B">
        <w:rPr>
          <w:rFonts w:eastAsia="Times New Roman" w:cs="Times New Roman"/>
          <w:szCs w:val="20"/>
        </w:rPr>
        <w:t>które</w:t>
      </w:r>
      <w:r w:rsidRPr="009E064B">
        <w:rPr>
          <w:rFonts w:eastAsia="Times New Roman" w:cs="Times New Roman"/>
          <w:spacing w:val="8"/>
          <w:szCs w:val="20"/>
        </w:rPr>
        <w:t xml:space="preserve"> </w:t>
      </w:r>
      <w:r w:rsidRPr="009E064B">
        <w:rPr>
          <w:rFonts w:eastAsia="Times New Roman" w:cs="Times New Roman"/>
          <w:szCs w:val="20"/>
        </w:rPr>
        <w:t>wskazu</w:t>
      </w:r>
      <w:r w:rsidRPr="009E064B">
        <w:rPr>
          <w:rFonts w:eastAsia="Times New Roman" w:cs="Times New Roman"/>
          <w:spacing w:val="-4"/>
          <w:szCs w:val="20"/>
        </w:rPr>
        <w:t>j</w:t>
      </w:r>
      <w:r w:rsidRPr="009E064B">
        <w:rPr>
          <w:rFonts w:eastAsia="Times New Roman" w:cs="Times New Roman"/>
          <w:szCs w:val="20"/>
        </w:rPr>
        <w:t>ą</w:t>
      </w:r>
      <w:r w:rsidRPr="009E064B">
        <w:rPr>
          <w:rFonts w:eastAsia="Times New Roman" w:cs="Times New Roman"/>
          <w:spacing w:val="8"/>
          <w:szCs w:val="20"/>
        </w:rPr>
        <w:t xml:space="preserve"> </w:t>
      </w:r>
      <w:r w:rsidRPr="009E064B">
        <w:rPr>
          <w:rFonts w:eastAsia="Times New Roman" w:cs="Times New Roman"/>
          <w:szCs w:val="20"/>
        </w:rPr>
        <w:t>sposoby</w:t>
      </w:r>
      <w:r w:rsidRPr="009E064B">
        <w:rPr>
          <w:rFonts w:eastAsia="Times New Roman" w:cs="Times New Roman"/>
          <w:spacing w:val="9"/>
          <w:szCs w:val="20"/>
        </w:rPr>
        <w:t xml:space="preserve"> </w:t>
      </w:r>
      <w:r w:rsidRPr="009E064B">
        <w:rPr>
          <w:rFonts w:eastAsia="Times New Roman" w:cs="Times New Roman"/>
          <w:szCs w:val="20"/>
        </w:rPr>
        <w:t>wykazania zgodn</w:t>
      </w:r>
      <w:r w:rsidRPr="009E064B">
        <w:rPr>
          <w:rFonts w:eastAsia="Times New Roman" w:cs="Times New Roman"/>
          <w:spacing w:val="1"/>
          <w:szCs w:val="20"/>
        </w:rPr>
        <w:t>o</w:t>
      </w:r>
      <w:r w:rsidRPr="009E064B">
        <w:rPr>
          <w:rFonts w:eastAsia="Times New Roman" w:cs="Times New Roman"/>
          <w:spacing w:val="-2"/>
          <w:szCs w:val="20"/>
        </w:rPr>
        <w:t>ś</w:t>
      </w:r>
      <w:r w:rsidRPr="009E064B">
        <w:rPr>
          <w:rFonts w:eastAsia="Times New Roman" w:cs="Times New Roman"/>
          <w:szCs w:val="20"/>
        </w:rPr>
        <w:t>ci</w:t>
      </w:r>
      <w:r w:rsidRPr="009E064B">
        <w:rPr>
          <w:rFonts w:eastAsia="Times New Roman" w:cs="Times New Roman"/>
          <w:spacing w:val="46"/>
          <w:szCs w:val="20"/>
        </w:rPr>
        <w:t xml:space="preserve"> </w:t>
      </w:r>
      <w:r w:rsidRPr="009E064B">
        <w:rPr>
          <w:rFonts w:eastAsia="Times New Roman" w:cs="Times New Roman"/>
          <w:szCs w:val="20"/>
        </w:rPr>
        <w:t>z</w:t>
      </w:r>
      <w:r w:rsidRPr="009E064B">
        <w:rPr>
          <w:rFonts w:eastAsia="Times New Roman" w:cs="Times New Roman"/>
          <w:spacing w:val="1"/>
          <w:szCs w:val="20"/>
        </w:rPr>
        <w:t xml:space="preserve"> </w:t>
      </w:r>
      <w:r w:rsidRPr="009E064B">
        <w:rPr>
          <w:rFonts w:eastAsia="Times New Roman" w:cs="Times New Roman"/>
          <w:szCs w:val="20"/>
        </w:rPr>
        <w:t>rozporz</w:t>
      </w:r>
      <w:r w:rsidRPr="009E064B">
        <w:rPr>
          <w:rFonts w:eastAsia="Times New Roman" w:cs="Times New Roman"/>
          <w:spacing w:val="-2"/>
          <w:szCs w:val="20"/>
        </w:rPr>
        <w:t>ą</w:t>
      </w:r>
      <w:r w:rsidRPr="009E064B">
        <w:rPr>
          <w:rFonts w:eastAsia="Times New Roman" w:cs="Times New Roman"/>
          <w:szCs w:val="20"/>
        </w:rPr>
        <w:t>dzeniem (WE)</w:t>
      </w:r>
      <w:r w:rsidRPr="009E064B">
        <w:rPr>
          <w:rFonts w:eastAsia="Times New Roman" w:cs="Times New Roman"/>
          <w:spacing w:val="2"/>
          <w:szCs w:val="20"/>
        </w:rPr>
        <w:t xml:space="preserve"> </w:t>
      </w:r>
      <w:r w:rsidRPr="009E064B">
        <w:rPr>
          <w:rFonts w:eastAsia="Times New Roman" w:cs="Times New Roman"/>
          <w:szCs w:val="20"/>
        </w:rPr>
        <w:t>nr 216/2008</w:t>
      </w:r>
      <w:r w:rsidRPr="009E064B">
        <w:rPr>
          <w:rFonts w:eastAsia="Times New Roman" w:cs="Times New Roman"/>
          <w:spacing w:val="3"/>
          <w:szCs w:val="20"/>
        </w:rPr>
        <w:t xml:space="preserve"> </w:t>
      </w:r>
      <w:r w:rsidRPr="009E064B">
        <w:rPr>
          <w:rFonts w:eastAsia="Times New Roman" w:cs="Times New Roman"/>
          <w:szCs w:val="20"/>
        </w:rPr>
        <w:t>i jego przepisami</w:t>
      </w:r>
      <w:r w:rsidRPr="009E064B">
        <w:rPr>
          <w:rFonts w:eastAsia="Times New Roman" w:cs="Times New Roman"/>
          <w:spacing w:val="19"/>
          <w:szCs w:val="20"/>
        </w:rPr>
        <w:t xml:space="preserve"> </w:t>
      </w:r>
      <w:r w:rsidRPr="009E064B">
        <w:rPr>
          <w:rFonts w:eastAsia="Times New Roman" w:cs="Times New Roman"/>
          <w:szCs w:val="20"/>
        </w:rPr>
        <w:t>wykonawczymi</w:t>
      </w:r>
      <w:r w:rsidRPr="009E064B">
        <w:rPr>
          <w:rFonts w:eastAsia="Times New Roman" w:cs="Times New Roman"/>
          <w:spacing w:val="22"/>
          <w:szCs w:val="20"/>
        </w:rPr>
        <w:t xml:space="preserve"> </w:t>
      </w:r>
      <w:r w:rsidRPr="009E064B">
        <w:rPr>
          <w:rFonts w:eastAsia="Times New Roman" w:cs="Times New Roman"/>
          <w:szCs w:val="20"/>
        </w:rPr>
        <w:t>i</w:t>
      </w:r>
      <w:r w:rsidRPr="009E064B">
        <w:rPr>
          <w:rFonts w:eastAsia="Times New Roman" w:cs="Times New Roman"/>
          <w:spacing w:val="24"/>
          <w:szCs w:val="20"/>
        </w:rPr>
        <w:t xml:space="preserve"> </w:t>
      </w:r>
      <w:r w:rsidRPr="009E064B">
        <w:rPr>
          <w:rFonts w:eastAsia="Times New Roman" w:cs="Times New Roman"/>
          <w:szCs w:val="20"/>
        </w:rPr>
        <w:t>które</w:t>
      </w:r>
      <w:r w:rsidRPr="009E064B">
        <w:rPr>
          <w:rFonts w:eastAsia="Times New Roman" w:cs="Times New Roman"/>
          <w:spacing w:val="23"/>
          <w:szCs w:val="20"/>
        </w:rPr>
        <w:t xml:space="preserve"> </w:t>
      </w:r>
      <w:r w:rsidRPr="009E064B">
        <w:rPr>
          <w:rFonts w:eastAsia="Times New Roman" w:cs="Times New Roman"/>
          <w:szCs w:val="20"/>
        </w:rPr>
        <w:t>mo</w:t>
      </w:r>
      <w:r w:rsidRPr="009E064B">
        <w:rPr>
          <w:rFonts w:eastAsia="Times New Roman" w:cs="Times New Roman"/>
          <w:spacing w:val="1"/>
          <w:szCs w:val="20"/>
        </w:rPr>
        <w:t>g</w:t>
      </w:r>
      <w:r w:rsidRPr="009E064B">
        <w:rPr>
          <w:rFonts w:eastAsia="Times New Roman" w:cs="Times New Roman"/>
          <w:szCs w:val="20"/>
        </w:rPr>
        <w:t>ą</w:t>
      </w:r>
      <w:r w:rsidRPr="009E064B">
        <w:rPr>
          <w:rFonts w:eastAsia="Times New Roman" w:cs="Times New Roman"/>
          <w:spacing w:val="23"/>
          <w:szCs w:val="20"/>
        </w:rPr>
        <w:t xml:space="preserve"> </w:t>
      </w:r>
      <w:r w:rsidRPr="009E064B">
        <w:rPr>
          <w:rFonts w:eastAsia="Times New Roman" w:cs="Times New Roman"/>
          <w:szCs w:val="20"/>
        </w:rPr>
        <w:t>b</w:t>
      </w:r>
      <w:r w:rsidRPr="009E064B">
        <w:rPr>
          <w:rFonts w:eastAsia="Times New Roman" w:cs="Times New Roman"/>
          <w:spacing w:val="-2"/>
          <w:szCs w:val="20"/>
        </w:rPr>
        <w:t>y</w:t>
      </w:r>
      <w:r w:rsidRPr="009E064B">
        <w:rPr>
          <w:rFonts w:eastAsia="Times New Roman" w:cs="Times New Roman"/>
          <w:szCs w:val="20"/>
        </w:rPr>
        <w:t>ć</w:t>
      </w:r>
      <w:r w:rsidRPr="009E064B">
        <w:rPr>
          <w:rFonts w:eastAsia="Times New Roman" w:cs="Times New Roman"/>
          <w:spacing w:val="23"/>
          <w:szCs w:val="20"/>
        </w:rPr>
        <w:t xml:space="preserve"> </w:t>
      </w:r>
      <w:r w:rsidRPr="009E064B">
        <w:rPr>
          <w:rFonts w:eastAsia="Times New Roman" w:cs="Times New Roman"/>
          <w:szCs w:val="20"/>
        </w:rPr>
        <w:t>wykorzystywane</w:t>
      </w:r>
      <w:r w:rsidRPr="009E064B">
        <w:rPr>
          <w:rFonts w:eastAsia="Times New Roman" w:cs="Times New Roman"/>
          <w:spacing w:val="-2"/>
          <w:szCs w:val="20"/>
        </w:rPr>
        <w:t xml:space="preserve"> </w:t>
      </w:r>
      <w:r w:rsidRPr="009E064B">
        <w:rPr>
          <w:rFonts w:eastAsia="Times New Roman" w:cs="Times New Roman"/>
          <w:szCs w:val="20"/>
        </w:rPr>
        <w:t>przez</w:t>
      </w:r>
      <w:r w:rsidRPr="009E064B">
        <w:rPr>
          <w:rFonts w:eastAsia="Times New Roman" w:cs="Times New Roman"/>
          <w:spacing w:val="-1"/>
          <w:szCs w:val="20"/>
        </w:rPr>
        <w:t xml:space="preserve"> </w:t>
      </w:r>
      <w:r w:rsidRPr="009E064B">
        <w:rPr>
          <w:rFonts w:eastAsia="Times New Roman" w:cs="Times New Roman"/>
          <w:szCs w:val="20"/>
        </w:rPr>
        <w:t>organizac</w:t>
      </w:r>
      <w:r w:rsidRPr="009E064B">
        <w:rPr>
          <w:rFonts w:eastAsia="Times New Roman" w:cs="Times New Roman"/>
          <w:spacing w:val="-4"/>
          <w:szCs w:val="20"/>
        </w:rPr>
        <w:t>j</w:t>
      </w:r>
      <w:r w:rsidRPr="009E064B">
        <w:rPr>
          <w:rFonts w:eastAsia="Times New Roman" w:cs="Times New Roman"/>
          <w:szCs w:val="20"/>
        </w:rPr>
        <w:t>ę</w:t>
      </w:r>
      <w:r w:rsidRPr="009E064B">
        <w:rPr>
          <w:rFonts w:eastAsia="Times New Roman" w:cs="Times New Roman"/>
          <w:spacing w:val="-1"/>
          <w:szCs w:val="20"/>
        </w:rPr>
        <w:t xml:space="preserve"> </w:t>
      </w:r>
      <w:r w:rsidRPr="009E064B">
        <w:rPr>
          <w:rFonts w:eastAsia="Times New Roman" w:cs="Times New Roman"/>
          <w:szCs w:val="20"/>
        </w:rPr>
        <w:t>do celów</w:t>
      </w:r>
      <w:r w:rsidRPr="009E064B">
        <w:rPr>
          <w:rFonts w:eastAsia="Times New Roman" w:cs="Times New Roman"/>
          <w:spacing w:val="-2"/>
          <w:szCs w:val="20"/>
        </w:rPr>
        <w:t xml:space="preserve"> </w:t>
      </w:r>
      <w:r w:rsidRPr="009E064B">
        <w:rPr>
          <w:rFonts w:eastAsia="Times New Roman" w:cs="Times New Roman"/>
          <w:szCs w:val="20"/>
        </w:rPr>
        <w:t>certyfikacji;</w:t>
      </w:r>
    </w:p>
    <w:p w14:paraId="5BAF8132"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Zabezpieczenie wydłużonego startu </w:t>
      </w:r>
      <w:r w:rsidRPr="009E064B">
        <w:rPr>
          <w:rFonts w:eastAsia="Calibri" w:cs="TimesNewRomanPS-ItalicMT"/>
          <w:i/>
          <w:iCs/>
          <w:szCs w:val="20"/>
        </w:rPr>
        <w:t>(clearway)</w:t>
      </w:r>
      <w:r w:rsidRPr="009E064B">
        <w:rPr>
          <w:rFonts w:eastAsia="Calibri" w:cs="TimesNewRomanPS-ItalicMT"/>
          <w:iCs/>
          <w:szCs w:val="20"/>
        </w:rPr>
        <w:t xml:space="preserve"> </w:t>
      </w:r>
      <w:r w:rsidRPr="009E064B">
        <w:rPr>
          <w:rFonts w:eastAsia="Calibri" w:cs="Times New Roman"/>
          <w:spacing w:val="-1"/>
        </w:rPr>
        <w:t xml:space="preserve">oznacza określony prostokątny obszar na lądzie lub na wodzie, pozostający pod kontrolą właściwego podmiotu, wybrany lub przygotowany, jako odpowiedni obszar, nad którym samolot może wykonać część fazy </w:t>
      </w:r>
      <w:r w:rsidRPr="009E064B">
        <w:rPr>
          <w:rFonts w:eastAsia="Calibri" w:cs="TimesNewRomanPSMT"/>
          <w:szCs w:val="20"/>
        </w:rPr>
        <w:t>początkowego</w:t>
      </w:r>
      <w:r w:rsidRPr="009E064B">
        <w:rPr>
          <w:rFonts w:eastAsia="Calibri" w:cs="Times New Roman"/>
          <w:spacing w:val="-1"/>
        </w:rPr>
        <w:t xml:space="preserve"> wznoszenia do określonej wysokości względnej;</w:t>
      </w:r>
    </w:p>
    <w:p w14:paraId="76FC52D3"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MT"/>
          <w:b/>
          <w:szCs w:val="20"/>
        </w:rPr>
        <w:t xml:space="preserve">Strefa krytyczna </w:t>
      </w:r>
      <w:r w:rsidRPr="009E064B">
        <w:rPr>
          <w:rFonts w:eastAsia="Calibri" w:cs="TimesNewRomanPSMT"/>
          <w:i/>
          <w:szCs w:val="20"/>
        </w:rPr>
        <w:t xml:space="preserve">(critical area) </w:t>
      </w:r>
      <w:r w:rsidRPr="009E064B">
        <w:rPr>
          <w:rFonts w:eastAsia="Calibri" w:cs="TimesNewRomanPSMT"/>
          <w:b/>
          <w:szCs w:val="20"/>
        </w:rPr>
        <w:t>-</w:t>
      </w:r>
      <w:r w:rsidRPr="009E064B">
        <w:rPr>
          <w:rFonts w:eastAsia="Calibri" w:cs="TimesNewRomanPSMT"/>
          <w:szCs w:val="20"/>
        </w:rPr>
        <w:t xml:space="preserve"> oznacza</w:t>
      </w:r>
      <w:r w:rsidRPr="009E064B">
        <w:rPr>
          <w:rFonts w:eastAsia="Calibri" w:cs="Times New Roman"/>
          <w:szCs w:val="20"/>
        </w:rPr>
        <w:t xml:space="preserve"> strefę o określonych wymiarach </w:t>
      </w:r>
      <w:r w:rsidRPr="009E064B">
        <w:rPr>
          <w:rFonts w:eastAsia="Calibri" w:cs="TimesNewRomanPSMT"/>
          <w:szCs w:val="20"/>
        </w:rPr>
        <w:t>rozciągającą</w:t>
      </w:r>
      <w:r w:rsidRPr="009E064B">
        <w:rPr>
          <w:rFonts w:eastAsia="Calibri" w:cs="Times New Roman"/>
          <w:szCs w:val="20"/>
        </w:rPr>
        <w:t xml:space="preserve"> się nad wyposażeniem naziemnym podejścia przyrządowego precyzyjnego, w granicach którego obecność pojazdów lub statków powietrznych powoduje niedopuszczalne zakłócenia sygnałów prowadzenia.</w:t>
      </w:r>
    </w:p>
    <w:p w14:paraId="49025C91"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Układ odniesienia </w:t>
      </w:r>
      <w:r w:rsidRPr="009E064B">
        <w:rPr>
          <w:rFonts w:eastAsia="Calibri" w:cs="TimesNewRomanPS-ItalicMT"/>
          <w:i/>
          <w:iCs/>
          <w:szCs w:val="20"/>
        </w:rPr>
        <w:t>(datum)</w:t>
      </w:r>
      <w:r w:rsidRPr="009E064B">
        <w:rPr>
          <w:rFonts w:eastAsia="Calibri" w:cs="TimesNewRomanPS-ItalicMT"/>
          <w:iCs/>
          <w:szCs w:val="20"/>
        </w:rPr>
        <w:t xml:space="preserve"> – </w:t>
      </w:r>
      <w:r w:rsidRPr="009E064B">
        <w:rPr>
          <w:rFonts w:eastAsia="Calibri" w:cs="TimesNewRomanPSMT"/>
          <w:szCs w:val="20"/>
        </w:rPr>
        <w:t>oznacza każdą wielkość lub zbiór wielkości, które mogą służyć jako odniesienie lub podstawa do obliczenia innych wielkości (ISO 19104).</w:t>
      </w:r>
    </w:p>
    <w:p w14:paraId="7AA60083" w14:textId="77777777" w:rsidR="00B527C7" w:rsidRPr="009E064B" w:rsidRDefault="00B527C7" w:rsidP="00B527C7">
      <w:pPr>
        <w:autoSpaceDE w:val="0"/>
        <w:autoSpaceDN w:val="0"/>
        <w:adjustRightInd w:val="0"/>
        <w:rPr>
          <w:rFonts w:eastAsia="Calibri" w:cs="TimesNewRomanPS-ItalicMT"/>
          <w:iCs/>
          <w:szCs w:val="20"/>
        </w:rPr>
      </w:pPr>
      <w:r w:rsidRPr="009E064B">
        <w:rPr>
          <w:rFonts w:eastAsia="Calibri" w:cs="TimesNewRomanPS-BoldItalicMT"/>
          <w:b/>
          <w:iCs/>
          <w:szCs w:val="20"/>
        </w:rPr>
        <w:t xml:space="preserve">Długości deklarowane </w:t>
      </w:r>
      <w:r w:rsidRPr="009E064B">
        <w:rPr>
          <w:rFonts w:eastAsia="Calibri" w:cs="TimesNewRomanPS-ItalicMT"/>
          <w:i/>
          <w:iCs/>
          <w:szCs w:val="20"/>
        </w:rPr>
        <w:t>(declared distances)</w:t>
      </w:r>
      <w:r w:rsidRPr="009E064B">
        <w:rPr>
          <w:rFonts w:eastAsia="Calibri" w:cs="TimesNewRomanPSMT"/>
          <w:i/>
          <w:szCs w:val="20"/>
        </w:rPr>
        <w:t>:</w:t>
      </w:r>
    </w:p>
    <w:p w14:paraId="4D6E99A0"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MT"/>
          <w:szCs w:val="20"/>
        </w:rPr>
        <w:t xml:space="preserve">Rozporządzalna długość rozbiegu przy starcie </w:t>
      </w:r>
      <w:r w:rsidRPr="009E064B">
        <w:rPr>
          <w:rFonts w:eastAsia="Calibri" w:cs="TimesNewRomanPSMT"/>
          <w:i/>
          <w:szCs w:val="20"/>
        </w:rPr>
        <w:t xml:space="preserve">(take-off run available – TORA) </w:t>
      </w:r>
      <w:r w:rsidRPr="009E064B">
        <w:rPr>
          <w:rFonts w:eastAsia="Calibri" w:cs="TimesNewRomanPSMT"/>
          <w:szCs w:val="20"/>
        </w:rPr>
        <w:t>– oznacza długość drogi startowej deklarowaną, jako odpowiednia do rozbiegu startującego samolotu.</w:t>
      </w:r>
    </w:p>
    <w:p w14:paraId="270868AB"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BoldItalicMT"/>
          <w:iCs/>
          <w:szCs w:val="20"/>
        </w:rPr>
        <w:t>Rozporządzalna długość startu</w:t>
      </w:r>
      <w:r w:rsidRPr="009E064B">
        <w:rPr>
          <w:rFonts w:eastAsia="Calibri" w:cs="TimesNewRomanPS-BoldItalicMT"/>
          <w:b/>
          <w:iCs/>
          <w:szCs w:val="20"/>
        </w:rPr>
        <w:t xml:space="preserve"> </w:t>
      </w:r>
      <w:r w:rsidRPr="009E064B">
        <w:rPr>
          <w:rFonts w:eastAsia="Calibri" w:cs="Times New Roman"/>
          <w:i/>
          <w:spacing w:val="-2"/>
          <w:szCs w:val="20"/>
        </w:rPr>
        <w:t>(take-of</w:t>
      </w:r>
      <w:r w:rsidRPr="009E064B">
        <w:rPr>
          <w:rFonts w:eastAsia="Calibri" w:cs="Times New Roman"/>
          <w:i/>
          <w:szCs w:val="20"/>
        </w:rPr>
        <w:t>f</w:t>
      </w:r>
      <w:r w:rsidRPr="009E064B">
        <w:rPr>
          <w:rFonts w:eastAsia="Calibri" w:cs="Times New Roman"/>
          <w:i/>
          <w:spacing w:val="25"/>
          <w:szCs w:val="20"/>
        </w:rPr>
        <w:t xml:space="preserve"> </w:t>
      </w:r>
      <w:r w:rsidRPr="009E064B">
        <w:rPr>
          <w:rFonts w:eastAsia="Calibri" w:cs="Times New Roman"/>
          <w:i/>
          <w:spacing w:val="-1"/>
          <w:szCs w:val="20"/>
        </w:rPr>
        <w:t>distanc</w:t>
      </w:r>
      <w:r w:rsidRPr="009E064B">
        <w:rPr>
          <w:rFonts w:eastAsia="Calibri" w:cs="Times New Roman"/>
          <w:i/>
          <w:szCs w:val="20"/>
        </w:rPr>
        <w:t>e</w:t>
      </w:r>
      <w:r w:rsidRPr="009E064B">
        <w:rPr>
          <w:rFonts w:eastAsia="Calibri" w:cs="Times New Roman"/>
          <w:i/>
          <w:spacing w:val="23"/>
          <w:szCs w:val="20"/>
        </w:rPr>
        <w:t xml:space="preserve"> </w:t>
      </w:r>
      <w:r w:rsidRPr="009E064B">
        <w:rPr>
          <w:rFonts w:eastAsia="Calibri" w:cs="Times New Roman"/>
          <w:i/>
          <w:spacing w:val="-2"/>
          <w:szCs w:val="20"/>
        </w:rPr>
        <w:t>availabl</w:t>
      </w:r>
      <w:r w:rsidRPr="009E064B">
        <w:rPr>
          <w:rFonts w:eastAsia="Calibri" w:cs="Times New Roman"/>
          <w:i/>
          <w:szCs w:val="20"/>
        </w:rPr>
        <w:t>e</w:t>
      </w:r>
      <w:r w:rsidRPr="009E064B">
        <w:rPr>
          <w:rFonts w:eastAsia="Calibri" w:cs="Times New Roman"/>
          <w:i/>
          <w:spacing w:val="22"/>
          <w:szCs w:val="20"/>
        </w:rPr>
        <w:t xml:space="preserve"> </w:t>
      </w:r>
      <w:r w:rsidRPr="009E064B">
        <w:rPr>
          <w:rFonts w:eastAsia="Calibri" w:cs="Times New Roman"/>
          <w:i/>
          <w:szCs w:val="20"/>
        </w:rPr>
        <w:t>–</w:t>
      </w:r>
      <w:r w:rsidRPr="009E064B">
        <w:rPr>
          <w:rFonts w:eastAsia="Calibri" w:cs="Times New Roman"/>
          <w:i/>
          <w:spacing w:val="26"/>
          <w:szCs w:val="20"/>
        </w:rPr>
        <w:t xml:space="preserve"> </w:t>
      </w:r>
      <w:r w:rsidRPr="009E064B">
        <w:rPr>
          <w:rFonts w:eastAsia="Calibri" w:cs="Times New Roman"/>
          <w:i/>
          <w:spacing w:val="-2"/>
          <w:szCs w:val="20"/>
        </w:rPr>
        <w:t>TODA</w:t>
      </w:r>
      <w:r w:rsidRPr="009E064B">
        <w:rPr>
          <w:rFonts w:eastAsia="Calibri" w:cs="Times New Roman"/>
          <w:i/>
          <w:spacing w:val="-3"/>
          <w:szCs w:val="20"/>
        </w:rPr>
        <w:t>)</w:t>
      </w:r>
      <w:r w:rsidRPr="009E064B">
        <w:rPr>
          <w:rFonts w:eastAsia="Calibri" w:cs="Times New Roman"/>
          <w:spacing w:val="-3"/>
          <w:szCs w:val="20"/>
        </w:rPr>
        <w:t xml:space="preserve"> </w:t>
      </w:r>
      <w:r w:rsidRPr="009E064B">
        <w:rPr>
          <w:rFonts w:eastAsia="Calibri" w:cs="TimesNewRomanPSMT"/>
          <w:szCs w:val="20"/>
        </w:rPr>
        <w:t>– oznacza długość drogi startowej deklarowaną, jako odpowiednia do rozbiegu startującego samolotu, powiększoną o zabezpieczenie wydłużonego startu, jeśli jest stosowane.</w:t>
      </w:r>
    </w:p>
    <w:p w14:paraId="08A41DEC" w14:textId="77777777" w:rsidR="00B527C7" w:rsidRPr="009E064B" w:rsidRDefault="00B527C7" w:rsidP="00B527C7">
      <w:pPr>
        <w:numPr>
          <w:ilvl w:val="0"/>
          <w:numId w:val="8"/>
        </w:numPr>
        <w:autoSpaceDE w:val="0"/>
        <w:autoSpaceDN w:val="0"/>
        <w:adjustRightInd w:val="0"/>
        <w:ind w:left="567" w:hanging="425"/>
        <w:rPr>
          <w:rFonts w:eastAsia="Calibri" w:cs="TimesNewRomanPSMT"/>
          <w:szCs w:val="20"/>
        </w:rPr>
      </w:pPr>
      <w:r w:rsidRPr="009E064B">
        <w:rPr>
          <w:rFonts w:eastAsia="Calibri" w:cs="TimesNewRomanPS-BoldItalicMT"/>
          <w:iCs/>
          <w:szCs w:val="20"/>
        </w:rPr>
        <w:t>Rozporządzalna długość przerwanego startu</w:t>
      </w:r>
      <w:r w:rsidRPr="009E064B">
        <w:rPr>
          <w:rFonts w:eastAsia="Calibri" w:cs="TimesNewRomanPS-BoldItalicMT"/>
          <w:b/>
          <w:iCs/>
          <w:szCs w:val="20"/>
        </w:rPr>
        <w:t xml:space="preserve"> </w:t>
      </w:r>
      <w:r w:rsidRPr="009E064B">
        <w:rPr>
          <w:rFonts w:eastAsia="Calibri" w:cs="Times New Roman"/>
          <w:i/>
          <w:spacing w:val="-1"/>
          <w:szCs w:val="20"/>
        </w:rPr>
        <w:t>(accelerate-sto</w:t>
      </w:r>
      <w:r w:rsidRPr="009E064B">
        <w:rPr>
          <w:rFonts w:eastAsia="Calibri" w:cs="Times New Roman"/>
          <w:i/>
          <w:szCs w:val="20"/>
        </w:rPr>
        <w:t>p</w:t>
      </w:r>
      <w:r w:rsidRPr="009E064B">
        <w:rPr>
          <w:rFonts w:eastAsia="Calibri" w:cs="Times New Roman"/>
          <w:i/>
          <w:spacing w:val="22"/>
          <w:szCs w:val="20"/>
        </w:rPr>
        <w:t xml:space="preserve"> </w:t>
      </w:r>
      <w:r w:rsidRPr="009E064B">
        <w:rPr>
          <w:rFonts w:eastAsia="Calibri" w:cs="Times New Roman"/>
          <w:i/>
          <w:spacing w:val="-1"/>
          <w:szCs w:val="20"/>
        </w:rPr>
        <w:t>distanc</w:t>
      </w:r>
      <w:r w:rsidRPr="009E064B">
        <w:rPr>
          <w:rFonts w:eastAsia="Calibri" w:cs="Times New Roman"/>
          <w:i/>
          <w:szCs w:val="20"/>
        </w:rPr>
        <w:t>e</w:t>
      </w:r>
      <w:r w:rsidRPr="009E064B">
        <w:rPr>
          <w:rFonts w:eastAsia="Calibri" w:cs="Times New Roman"/>
          <w:i/>
          <w:spacing w:val="24"/>
          <w:szCs w:val="20"/>
        </w:rPr>
        <w:t xml:space="preserve"> </w:t>
      </w:r>
      <w:r w:rsidRPr="009E064B">
        <w:rPr>
          <w:rFonts w:eastAsia="Calibri" w:cs="Times New Roman"/>
          <w:i/>
          <w:spacing w:val="-2"/>
          <w:szCs w:val="20"/>
        </w:rPr>
        <w:t>availabl</w:t>
      </w:r>
      <w:r w:rsidRPr="009E064B">
        <w:rPr>
          <w:rFonts w:eastAsia="Calibri" w:cs="Times New Roman"/>
          <w:i/>
          <w:szCs w:val="20"/>
        </w:rPr>
        <w:t>e</w:t>
      </w:r>
      <w:r w:rsidRPr="009E064B">
        <w:rPr>
          <w:rFonts w:eastAsia="Calibri" w:cs="Times New Roman"/>
          <w:spacing w:val="24"/>
          <w:szCs w:val="20"/>
        </w:rPr>
        <w:t xml:space="preserve"> </w:t>
      </w:r>
      <w:r w:rsidRPr="009E064B">
        <w:rPr>
          <w:rFonts w:eastAsia="Calibri" w:cs="Times New Roman"/>
          <w:i/>
          <w:szCs w:val="20"/>
        </w:rPr>
        <w:t>–</w:t>
      </w:r>
      <w:r w:rsidRPr="009E064B">
        <w:rPr>
          <w:rFonts w:eastAsia="Calibri" w:cs="Times New Roman"/>
          <w:i/>
          <w:spacing w:val="27"/>
          <w:szCs w:val="20"/>
        </w:rPr>
        <w:t xml:space="preserve"> </w:t>
      </w:r>
      <w:r w:rsidRPr="009E064B">
        <w:rPr>
          <w:rFonts w:eastAsia="Calibri" w:cs="Times New Roman"/>
          <w:i/>
          <w:spacing w:val="-2"/>
          <w:szCs w:val="20"/>
        </w:rPr>
        <w:t xml:space="preserve">ASDA) </w:t>
      </w:r>
      <w:r w:rsidRPr="009E064B">
        <w:rPr>
          <w:rFonts w:eastAsia="Calibri" w:cs="Times New Roman"/>
          <w:spacing w:val="-2"/>
          <w:szCs w:val="20"/>
        </w:rPr>
        <w:t xml:space="preserve">oznacza </w:t>
      </w:r>
      <w:r w:rsidRPr="009E064B">
        <w:rPr>
          <w:rFonts w:eastAsia="Calibri" w:cs="TimesNewRomanPSMT"/>
          <w:szCs w:val="20"/>
        </w:rPr>
        <w:t>rozporządzalną długość rozbiegu przy starcie powiększoną o zabezpieczenie przerwanego startu, jeśli jest stosowane.</w:t>
      </w:r>
    </w:p>
    <w:p w14:paraId="1B1CAA3F"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BoldItalicMT"/>
          <w:iCs/>
          <w:szCs w:val="20"/>
        </w:rPr>
        <w:t>Rozporządzalna długość lądowania</w:t>
      </w:r>
      <w:r w:rsidRPr="009E064B">
        <w:rPr>
          <w:rFonts w:eastAsia="Calibri" w:cs="TimesNewRomanPS-BoldItalicMT"/>
          <w:b/>
          <w:iCs/>
          <w:szCs w:val="20"/>
        </w:rPr>
        <w:t xml:space="preserve"> </w:t>
      </w:r>
      <w:r w:rsidRPr="009E064B">
        <w:rPr>
          <w:rFonts w:eastAsia="Calibri" w:cs="Times New Roman"/>
          <w:i/>
          <w:spacing w:val="-1"/>
          <w:szCs w:val="20"/>
        </w:rPr>
        <w:t>(landin</w:t>
      </w:r>
      <w:r w:rsidRPr="009E064B">
        <w:rPr>
          <w:rFonts w:eastAsia="Calibri" w:cs="Times New Roman"/>
          <w:i/>
          <w:szCs w:val="20"/>
        </w:rPr>
        <w:t>g</w:t>
      </w:r>
      <w:r w:rsidRPr="009E064B">
        <w:rPr>
          <w:rFonts w:eastAsia="Calibri" w:cs="Times New Roman"/>
          <w:i/>
          <w:spacing w:val="22"/>
          <w:szCs w:val="20"/>
        </w:rPr>
        <w:t xml:space="preserve"> </w:t>
      </w:r>
      <w:r w:rsidRPr="009E064B">
        <w:rPr>
          <w:rFonts w:eastAsia="Calibri" w:cs="Times New Roman"/>
          <w:i/>
          <w:spacing w:val="-1"/>
          <w:szCs w:val="20"/>
        </w:rPr>
        <w:t>distanc</w:t>
      </w:r>
      <w:r w:rsidRPr="009E064B">
        <w:rPr>
          <w:rFonts w:eastAsia="Calibri" w:cs="Times New Roman"/>
          <w:i/>
          <w:szCs w:val="20"/>
        </w:rPr>
        <w:t>e</w:t>
      </w:r>
      <w:r w:rsidRPr="009E064B">
        <w:rPr>
          <w:rFonts w:eastAsia="Calibri" w:cs="Times New Roman"/>
          <w:i/>
          <w:spacing w:val="20"/>
          <w:szCs w:val="20"/>
        </w:rPr>
        <w:t xml:space="preserve"> </w:t>
      </w:r>
      <w:r w:rsidRPr="009E064B">
        <w:rPr>
          <w:rFonts w:eastAsia="Calibri" w:cs="Times New Roman"/>
          <w:i/>
          <w:spacing w:val="-2"/>
          <w:szCs w:val="20"/>
        </w:rPr>
        <w:t>availabl</w:t>
      </w:r>
      <w:r w:rsidRPr="009E064B">
        <w:rPr>
          <w:rFonts w:eastAsia="Calibri" w:cs="Times New Roman"/>
          <w:i/>
          <w:szCs w:val="20"/>
        </w:rPr>
        <w:t>e</w:t>
      </w:r>
      <w:r w:rsidRPr="009E064B">
        <w:rPr>
          <w:rFonts w:eastAsia="Calibri" w:cs="Times New Roman"/>
          <w:i/>
          <w:spacing w:val="19"/>
          <w:szCs w:val="20"/>
        </w:rPr>
        <w:t xml:space="preserve"> </w:t>
      </w:r>
      <w:r w:rsidRPr="009E064B">
        <w:rPr>
          <w:rFonts w:eastAsia="Calibri" w:cs="Times New Roman"/>
          <w:i/>
          <w:szCs w:val="20"/>
        </w:rPr>
        <w:t>–</w:t>
      </w:r>
      <w:r w:rsidRPr="009E064B">
        <w:rPr>
          <w:rFonts w:eastAsia="Calibri" w:cs="Times New Roman"/>
          <w:i/>
          <w:spacing w:val="21"/>
          <w:szCs w:val="20"/>
        </w:rPr>
        <w:t xml:space="preserve"> </w:t>
      </w:r>
      <w:r w:rsidRPr="009E064B">
        <w:rPr>
          <w:rFonts w:eastAsia="Calibri" w:cs="Times New Roman"/>
          <w:i/>
          <w:spacing w:val="-2"/>
          <w:szCs w:val="20"/>
        </w:rPr>
        <w:t>LDA)</w:t>
      </w:r>
      <w:r w:rsidRPr="009E064B">
        <w:rPr>
          <w:rFonts w:eastAsia="Calibri" w:cs="Times New Roman"/>
          <w:spacing w:val="-2"/>
          <w:szCs w:val="20"/>
        </w:rPr>
        <w:t xml:space="preserve"> </w:t>
      </w:r>
      <w:r w:rsidRPr="009E064B">
        <w:rPr>
          <w:rFonts w:eastAsia="Calibri" w:cs="TimesNewRomanPSMT"/>
          <w:szCs w:val="20"/>
        </w:rPr>
        <w:t>– oznacza długość drogi startowej deklarowaną, jako odpowiednia do lądowania samolotu.</w:t>
      </w:r>
    </w:p>
    <w:p w14:paraId="35BBFF9D"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Stanowisko do odladzania / przeciwdziałania oblodzeniu </w:t>
      </w:r>
      <w:r w:rsidRPr="009E064B">
        <w:rPr>
          <w:rFonts w:eastAsia="Calibri" w:cs="TimesNewRomanPS-ItalicMT"/>
          <w:i/>
          <w:iCs/>
          <w:szCs w:val="20"/>
        </w:rPr>
        <w:t>(de-icing / anti-icing facility)</w:t>
      </w:r>
      <w:r w:rsidRPr="009E064B">
        <w:rPr>
          <w:rFonts w:eastAsia="Calibri" w:cs="TimesNewRomanPS-ItalicMT"/>
          <w:iCs/>
          <w:szCs w:val="20"/>
        </w:rPr>
        <w:t xml:space="preserve"> </w:t>
      </w:r>
      <w:r w:rsidRPr="009E064B">
        <w:rPr>
          <w:rFonts w:eastAsia="Calibri" w:cs="TimesNewRomanPSMT"/>
          <w:szCs w:val="20"/>
        </w:rPr>
        <w:t>– oznacza miejsce, gdzie z powierzchni samolotu usuwany jest szron, lód i śnieg (odladzanie), lub gdzie na czyste powierzchnie samolotu nanosi się substancję ochronną (przeciwdziałanie oblodzeniu), która zapobiega przez pewien czas tworzeniu się szronu i lodu lub gromadzeniu się śniegu lub błota śniegowego.</w:t>
      </w:r>
    </w:p>
    <w:p w14:paraId="084A03E1"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Płaszczyzna do odladzania / przeciwdziałania oblodzeniu </w:t>
      </w:r>
      <w:r w:rsidRPr="009E064B">
        <w:rPr>
          <w:rFonts w:eastAsia="Calibri" w:cs="TimesNewRomanPS-ItalicMT"/>
          <w:i/>
          <w:iCs/>
          <w:szCs w:val="20"/>
        </w:rPr>
        <w:t>(de-icing / anti-icing pad)</w:t>
      </w:r>
      <w:r w:rsidRPr="009E064B">
        <w:rPr>
          <w:rFonts w:eastAsia="Calibri" w:cs="TimesNewRomanPS-ItalicMT"/>
          <w:iCs/>
          <w:szCs w:val="20"/>
        </w:rPr>
        <w:t xml:space="preserve"> </w:t>
      </w:r>
      <w:r w:rsidRPr="009E064B">
        <w:rPr>
          <w:rFonts w:eastAsia="Calibri" w:cs="TimesNewRomanPSMT"/>
          <w:szCs w:val="20"/>
        </w:rPr>
        <w:t>– oznacza strefę obejmującą powierzchnię wewnętrzną przeznaczoną do parkowania statku powietrznego w celu odladzania / przeciwdziałania oblodzeniu oraz powierzchnię zewnętrzną przeznaczoną dla dwóch lub więcej zestawów urządzeń służących do odladzania/przeciwdziałania oblodzeniu.</w:t>
      </w:r>
    </w:p>
    <w:p w14:paraId="1A837A0D"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Zależne równoległe podejścia </w:t>
      </w:r>
      <w:r w:rsidRPr="009E064B">
        <w:rPr>
          <w:rFonts w:eastAsia="Calibri" w:cs="TimesNewRomanPS-ItalicMT"/>
          <w:i/>
          <w:iCs/>
          <w:szCs w:val="20"/>
        </w:rPr>
        <w:t>(dependent parallel approaches)</w:t>
      </w:r>
      <w:r w:rsidRPr="009E064B">
        <w:rPr>
          <w:rFonts w:eastAsia="Calibri" w:cs="TimesNewRomanPS-ItalicMT"/>
          <w:iCs/>
          <w:szCs w:val="20"/>
        </w:rPr>
        <w:t xml:space="preserve"> </w:t>
      </w:r>
      <w:r w:rsidRPr="009E064B">
        <w:rPr>
          <w:rFonts w:eastAsia="Calibri" w:cs="TimesNewRomanPSMT"/>
          <w:szCs w:val="20"/>
        </w:rPr>
        <w:t>– oznacza jednoczesne podejścia do równoległych lub prawie równoległych przyrządowych dróg startowych, gdy są ustanowione minima separacji radarowej między statkami powietrznymi znajdującymi się na przedłużonych osiach tych dróg startowych.</w:t>
      </w:r>
    </w:p>
    <w:p w14:paraId="40EDF7C0"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Próg przesunięty </w:t>
      </w:r>
      <w:r w:rsidRPr="009E064B">
        <w:rPr>
          <w:rFonts w:eastAsia="Calibri" w:cs="TimesNewRomanPS-ItalicMT"/>
          <w:i/>
          <w:iCs/>
          <w:szCs w:val="20"/>
        </w:rPr>
        <w:t>(displaced threshold)</w:t>
      </w:r>
      <w:r w:rsidRPr="009E064B">
        <w:rPr>
          <w:rFonts w:eastAsia="Calibri" w:cs="TimesNewRomanPS-ItalicMT"/>
          <w:iCs/>
          <w:szCs w:val="20"/>
        </w:rPr>
        <w:t xml:space="preserve"> </w:t>
      </w:r>
      <w:r w:rsidRPr="009E064B">
        <w:rPr>
          <w:rFonts w:eastAsia="Calibri" w:cs="TimesNewRomanPSMT"/>
          <w:szCs w:val="20"/>
        </w:rPr>
        <w:t>– oznacza próg, który nie jest zlokalizowany na początku drogi startowej.</w:t>
      </w:r>
    </w:p>
    <w:p w14:paraId="04464EFB" w14:textId="3B9F4EB1"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Światło stałe </w:t>
      </w:r>
      <w:r w:rsidRPr="009E064B">
        <w:rPr>
          <w:rFonts w:eastAsia="Calibri" w:cs="TimesNewRomanPS-ItalicMT"/>
          <w:i/>
          <w:iCs/>
          <w:szCs w:val="20"/>
        </w:rPr>
        <w:t>(fixed light)</w:t>
      </w:r>
      <w:r w:rsidRPr="009E064B">
        <w:rPr>
          <w:rFonts w:eastAsia="Calibri" w:cs="TimesNewRomanPS-ItalicMT"/>
          <w:iCs/>
          <w:szCs w:val="20"/>
        </w:rPr>
        <w:t xml:space="preserve"> </w:t>
      </w:r>
      <w:r w:rsidRPr="009E064B">
        <w:rPr>
          <w:rFonts w:eastAsia="Calibri" w:cs="TimesNewRomanPSMT"/>
          <w:szCs w:val="20"/>
        </w:rPr>
        <w:t>– oznacza światło o niezmiennej intensywności, gdy jest obserwowane ze stałego punktu.</w:t>
      </w:r>
    </w:p>
    <w:p w14:paraId="5BB8C031" w14:textId="764B09AA" w:rsidR="00700AF7" w:rsidRPr="000412BF" w:rsidRDefault="00700AF7" w:rsidP="0084552B">
      <w:pPr>
        <w:autoSpaceDE w:val="0"/>
        <w:autoSpaceDN w:val="0"/>
        <w:adjustRightInd w:val="0"/>
        <w:ind w:left="142" w:hanging="142"/>
      </w:pPr>
      <w:r w:rsidRPr="000412BF">
        <w:rPr>
          <w:b/>
        </w:rPr>
        <w:t>Przedmiot obcy</w:t>
      </w:r>
      <w:r w:rsidRPr="000412BF">
        <w:t xml:space="preserve"> </w:t>
      </w:r>
      <w:r w:rsidRPr="000412BF">
        <w:rPr>
          <w:i/>
        </w:rPr>
        <w:t xml:space="preserve">(Foreign Object Debris </w:t>
      </w:r>
      <w:r w:rsidRPr="000412BF">
        <w:sym w:font="Symbol" w:char="F02D"/>
      </w:r>
      <w:r w:rsidRPr="000412BF">
        <w:rPr>
          <w:i/>
        </w:rPr>
        <w:t xml:space="preserve"> FOD) </w:t>
      </w:r>
      <w:r w:rsidRPr="000412BF">
        <w:rPr>
          <w:rFonts w:eastAsia="Calibri" w:cs="TimesNewRomanPSMT"/>
          <w:szCs w:val="20"/>
        </w:rPr>
        <w:t>– oznacza n</w:t>
      </w:r>
      <w:r w:rsidRPr="000412BF">
        <w:t xml:space="preserve">ieożywiony przedmiot znajdujący się w polu ruchu naziemnego, który nie </w:t>
      </w:r>
      <w:r w:rsidR="00FB6A36" w:rsidRPr="000412BF">
        <w:t>ma</w:t>
      </w:r>
      <w:r w:rsidRPr="000412BF">
        <w:t xml:space="preserve"> żadnej funkcji operacyjnej lub lotnic</w:t>
      </w:r>
      <w:r w:rsidR="00FB6A36" w:rsidRPr="000412BF">
        <w:t xml:space="preserve">zej, a który posiada potencjał mogący </w:t>
      </w:r>
      <w:r w:rsidRPr="000412BF">
        <w:t>stanow</w:t>
      </w:r>
      <w:r w:rsidR="00FB6A36" w:rsidRPr="000412BF">
        <w:t>ić</w:t>
      </w:r>
      <w:r w:rsidRPr="000412BF">
        <w:t xml:space="preserve"> zagrożenie dla operacji lotniczych.</w:t>
      </w:r>
    </w:p>
    <w:p w14:paraId="18509893"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MT"/>
          <w:b/>
          <w:szCs w:val="20"/>
        </w:rPr>
        <w:t>Łamliwość</w:t>
      </w:r>
      <w:r w:rsidRPr="009E064B">
        <w:rPr>
          <w:rFonts w:eastAsia="Calibri" w:cs="TimesNewRomanPSMT"/>
          <w:szCs w:val="20"/>
        </w:rPr>
        <w:t xml:space="preserve"> </w:t>
      </w:r>
      <w:r w:rsidRPr="009E064B">
        <w:rPr>
          <w:rFonts w:eastAsia="Calibri" w:cs="TimesNewRomanPSMT"/>
          <w:i/>
          <w:szCs w:val="20"/>
        </w:rPr>
        <w:t>(frangibility)</w:t>
      </w:r>
      <w:r w:rsidRPr="009E064B">
        <w:rPr>
          <w:rFonts w:eastAsia="Calibri" w:cs="TimesNewRomanPSMT"/>
          <w:szCs w:val="20"/>
        </w:rPr>
        <w:t xml:space="preserve"> – oznacza</w:t>
      </w:r>
      <w:r w:rsidRPr="009E064B">
        <w:rPr>
          <w:rFonts w:eastAsia="Calibri" w:cs="Arial"/>
          <w:szCs w:val="20"/>
        </w:rPr>
        <w:t xml:space="preserve"> zdolność </w:t>
      </w:r>
      <w:r w:rsidRPr="009E064B">
        <w:rPr>
          <w:rFonts w:eastAsia="Calibri" w:cs="Arial"/>
        </w:rPr>
        <w:t>obiektu</w:t>
      </w:r>
      <w:r w:rsidRPr="009E064B">
        <w:rPr>
          <w:rFonts w:eastAsia="Calibri" w:cs="Arial"/>
          <w:szCs w:val="20"/>
        </w:rPr>
        <w:t xml:space="preserve"> </w:t>
      </w:r>
      <w:r w:rsidRPr="009E064B">
        <w:rPr>
          <w:rFonts w:eastAsia="Calibri" w:cs="Arial"/>
        </w:rPr>
        <w:t>do</w:t>
      </w:r>
      <w:r w:rsidRPr="009E064B">
        <w:rPr>
          <w:rFonts w:eastAsia="Calibri" w:cs="Arial"/>
          <w:szCs w:val="20"/>
        </w:rPr>
        <w:t xml:space="preserve"> </w:t>
      </w:r>
      <w:r w:rsidRPr="009E064B">
        <w:rPr>
          <w:rFonts w:eastAsia="Calibri" w:cs="Arial"/>
        </w:rPr>
        <w:t>utrzymania</w:t>
      </w:r>
      <w:r w:rsidRPr="009E064B">
        <w:rPr>
          <w:rFonts w:eastAsia="Calibri" w:cs="Arial"/>
          <w:szCs w:val="20"/>
        </w:rPr>
        <w:t xml:space="preserve"> </w:t>
      </w:r>
      <w:r w:rsidRPr="009E064B">
        <w:rPr>
          <w:rFonts w:eastAsia="Calibri" w:cs="Arial"/>
        </w:rPr>
        <w:t>swojej integralności</w:t>
      </w:r>
      <w:r w:rsidRPr="009E064B">
        <w:rPr>
          <w:rFonts w:eastAsia="Calibri" w:cs="Arial"/>
          <w:szCs w:val="20"/>
        </w:rPr>
        <w:t xml:space="preserve"> </w:t>
      </w:r>
      <w:r w:rsidRPr="009E064B">
        <w:rPr>
          <w:rFonts w:eastAsia="Calibri" w:cs="Arial"/>
        </w:rPr>
        <w:t>strukturalnej</w:t>
      </w:r>
      <w:r w:rsidRPr="009E064B">
        <w:rPr>
          <w:rFonts w:eastAsia="Calibri" w:cs="Arial"/>
          <w:szCs w:val="20"/>
        </w:rPr>
        <w:t xml:space="preserve"> </w:t>
      </w:r>
      <w:r w:rsidRPr="009E064B">
        <w:rPr>
          <w:rFonts w:eastAsia="Calibri" w:cs="Arial"/>
        </w:rPr>
        <w:t>i sztywności</w:t>
      </w:r>
      <w:r w:rsidRPr="009E064B">
        <w:rPr>
          <w:rFonts w:eastAsia="Calibri" w:cs="Arial"/>
          <w:szCs w:val="20"/>
        </w:rPr>
        <w:t xml:space="preserve"> </w:t>
      </w:r>
      <w:r w:rsidRPr="009E064B">
        <w:rPr>
          <w:rFonts w:eastAsia="Calibri" w:cs="Arial"/>
        </w:rPr>
        <w:t>do określonego</w:t>
      </w:r>
      <w:r w:rsidRPr="009E064B">
        <w:rPr>
          <w:rFonts w:eastAsia="Calibri" w:cs="Arial"/>
          <w:szCs w:val="20"/>
        </w:rPr>
        <w:t xml:space="preserve"> </w:t>
      </w:r>
      <w:r w:rsidRPr="009E064B">
        <w:rPr>
          <w:rFonts w:eastAsia="Calibri" w:cs="Arial"/>
        </w:rPr>
        <w:t>maksymalnego obciążenia</w:t>
      </w:r>
      <w:r w:rsidRPr="009E064B">
        <w:rPr>
          <w:rFonts w:eastAsia="Calibri" w:cs="Arial"/>
          <w:szCs w:val="20"/>
        </w:rPr>
        <w:t xml:space="preserve">, który w przypadku nadmiernego </w:t>
      </w:r>
      <w:r w:rsidRPr="009E064B">
        <w:rPr>
          <w:rFonts w:eastAsia="Calibri" w:cs="Arial"/>
        </w:rPr>
        <w:t>obciążenia</w:t>
      </w:r>
      <w:r w:rsidRPr="009E064B">
        <w:rPr>
          <w:rFonts w:eastAsia="Calibri" w:cs="Arial"/>
          <w:szCs w:val="20"/>
        </w:rPr>
        <w:t xml:space="preserve"> </w:t>
      </w:r>
      <w:r w:rsidRPr="009E064B">
        <w:rPr>
          <w:rFonts w:eastAsia="Calibri" w:cs="Arial"/>
        </w:rPr>
        <w:t>lub</w:t>
      </w:r>
      <w:r w:rsidRPr="009E064B">
        <w:rPr>
          <w:rFonts w:eastAsia="Calibri" w:cs="Arial"/>
          <w:szCs w:val="20"/>
        </w:rPr>
        <w:t xml:space="preserve"> </w:t>
      </w:r>
      <w:r w:rsidRPr="009E064B">
        <w:rPr>
          <w:rFonts w:eastAsia="Calibri" w:cs="Arial"/>
        </w:rPr>
        <w:t>uderzenia</w:t>
      </w:r>
      <w:r w:rsidRPr="009E064B">
        <w:rPr>
          <w:rFonts w:eastAsia="Calibri" w:cs="Arial"/>
          <w:szCs w:val="20"/>
        </w:rPr>
        <w:t xml:space="preserve"> </w:t>
      </w:r>
      <w:r w:rsidRPr="009E064B">
        <w:rPr>
          <w:rFonts w:eastAsia="Calibri" w:cs="Arial"/>
        </w:rPr>
        <w:t>samolotu</w:t>
      </w:r>
      <w:r w:rsidRPr="009E064B">
        <w:rPr>
          <w:rFonts w:eastAsia="Calibri" w:cs="Arial"/>
          <w:szCs w:val="20"/>
        </w:rPr>
        <w:t xml:space="preserve"> ulega </w:t>
      </w:r>
      <w:r w:rsidRPr="009E064B">
        <w:rPr>
          <w:rFonts w:eastAsia="Calibri" w:cs="Arial"/>
        </w:rPr>
        <w:t>złamaniu</w:t>
      </w:r>
      <w:r w:rsidRPr="009E064B">
        <w:rPr>
          <w:rFonts w:eastAsia="Calibri" w:cs="Arial"/>
          <w:szCs w:val="20"/>
        </w:rPr>
        <w:t xml:space="preserve"> lub </w:t>
      </w:r>
      <w:r w:rsidRPr="009E064B">
        <w:rPr>
          <w:rFonts w:eastAsia="Calibri" w:cs="Arial"/>
        </w:rPr>
        <w:t>odkształceniu</w:t>
      </w:r>
      <w:r w:rsidRPr="009E064B">
        <w:rPr>
          <w:rFonts w:eastAsia="Calibri" w:cs="Arial"/>
          <w:szCs w:val="20"/>
        </w:rPr>
        <w:t xml:space="preserve"> w </w:t>
      </w:r>
      <w:r w:rsidRPr="009E064B">
        <w:rPr>
          <w:rFonts w:eastAsia="Calibri" w:cs="TimesNewRomanPSMT"/>
          <w:szCs w:val="20"/>
        </w:rPr>
        <w:t>sposób</w:t>
      </w:r>
      <w:r w:rsidRPr="009E064B">
        <w:rPr>
          <w:rFonts w:eastAsia="Calibri" w:cs="Arial"/>
        </w:rPr>
        <w:t xml:space="preserve"> powodujący minimalne</w:t>
      </w:r>
      <w:r w:rsidRPr="009E064B">
        <w:rPr>
          <w:rFonts w:eastAsia="Calibri" w:cs="Arial"/>
          <w:szCs w:val="20"/>
        </w:rPr>
        <w:t xml:space="preserve"> </w:t>
      </w:r>
      <w:r w:rsidRPr="009E064B">
        <w:rPr>
          <w:rFonts w:eastAsia="Calibri" w:cs="Arial"/>
        </w:rPr>
        <w:t>zagrożenie</w:t>
      </w:r>
      <w:r w:rsidRPr="009E064B">
        <w:rPr>
          <w:rFonts w:eastAsia="Calibri" w:cs="Arial"/>
          <w:szCs w:val="20"/>
        </w:rPr>
        <w:t xml:space="preserve"> </w:t>
      </w:r>
      <w:r w:rsidRPr="009E064B">
        <w:rPr>
          <w:rFonts w:eastAsia="Calibri" w:cs="Arial"/>
        </w:rPr>
        <w:t>do</w:t>
      </w:r>
      <w:r w:rsidRPr="009E064B">
        <w:rPr>
          <w:rFonts w:eastAsia="Calibri" w:cs="Arial"/>
          <w:szCs w:val="20"/>
        </w:rPr>
        <w:t xml:space="preserve"> </w:t>
      </w:r>
      <w:r w:rsidRPr="009E064B">
        <w:rPr>
          <w:rFonts w:eastAsia="Calibri" w:cs="Arial"/>
        </w:rPr>
        <w:t>samolotu.</w:t>
      </w:r>
    </w:p>
    <w:p w14:paraId="66FA0B61"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Obiekt łamliwy </w:t>
      </w:r>
      <w:r w:rsidRPr="009E064B">
        <w:rPr>
          <w:rFonts w:eastAsia="Calibri" w:cs="TimesNewRomanPS-ItalicMT"/>
          <w:i/>
          <w:iCs/>
          <w:szCs w:val="20"/>
        </w:rPr>
        <w:t>(frangible object)</w:t>
      </w:r>
      <w:r w:rsidRPr="009E064B">
        <w:rPr>
          <w:rFonts w:eastAsia="Calibri" w:cs="TimesNewRomanPS-ItalicMT"/>
          <w:iCs/>
          <w:szCs w:val="20"/>
        </w:rPr>
        <w:t xml:space="preserve"> </w:t>
      </w:r>
      <w:r w:rsidRPr="009E064B">
        <w:rPr>
          <w:rFonts w:eastAsia="Calibri" w:cs="TimesNewRomanPSMT"/>
          <w:szCs w:val="20"/>
        </w:rPr>
        <w:t>– oznacza obiekt o małej masie, który po uderzeniu powinien się złamać lub odkształcić w sposób powodujący minimalne ryzyko uszkodzenia dla statku powietrznego.</w:t>
      </w:r>
    </w:p>
    <w:p w14:paraId="2193691F" w14:textId="77777777" w:rsidR="00B527C7" w:rsidRPr="009E064B" w:rsidRDefault="00B527C7" w:rsidP="00B527C7">
      <w:pPr>
        <w:autoSpaceDE w:val="0"/>
        <w:autoSpaceDN w:val="0"/>
        <w:adjustRightInd w:val="0"/>
        <w:ind w:left="142" w:hanging="142"/>
        <w:rPr>
          <w:rFonts w:eastAsia="Calibri" w:cs="TimesNewRomanPS-BoldItalicMT"/>
          <w:iCs/>
          <w:szCs w:val="20"/>
        </w:rPr>
      </w:pPr>
      <w:r w:rsidRPr="009E064B">
        <w:rPr>
          <w:rFonts w:eastAsia="Calibri" w:cs="TimesNewRomanPS-BoldItalicMT"/>
          <w:b/>
          <w:iCs/>
          <w:szCs w:val="20"/>
        </w:rPr>
        <w:t xml:space="preserve">Powierzchnia wyrównana </w:t>
      </w:r>
      <w:r w:rsidRPr="009E064B">
        <w:rPr>
          <w:rFonts w:eastAsia="Calibri" w:cs="TimesNewRomanPS-BoldItalicMT"/>
          <w:i/>
          <w:iCs/>
          <w:szCs w:val="20"/>
        </w:rPr>
        <w:t>(graded area)</w:t>
      </w:r>
      <w:r w:rsidRPr="009E064B">
        <w:rPr>
          <w:rFonts w:eastAsia="Calibri" w:cs="TimesNewRomanPS-BoldItalicMT"/>
          <w:iCs/>
          <w:szCs w:val="20"/>
        </w:rPr>
        <w:t xml:space="preserve"> – </w:t>
      </w:r>
      <w:r w:rsidRPr="009E064B">
        <w:rPr>
          <w:rFonts w:eastAsia="Calibri" w:cs="TimesNewRomanPSMT"/>
          <w:szCs w:val="20"/>
        </w:rPr>
        <w:t>oznacza</w:t>
      </w:r>
      <w:r w:rsidRPr="009E064B">
        <w:rPr>
          <w:rFonts w:eastAsia="Calibri" w:cs="TimesNewRomanPS-BoldItalicMT"/>
          <w:iCs/>
          <w:szCs w:val="20"/>
        </w:rPr>
        <w:t xml:space="preserve"> część pasa drogi startowej </w:t>
      </w:r>
      <w:r w:rsidRPr="009E064B">
        <w:rPr>
          <w:rFonts w:eastAsia="Calibri" w:cs="TimesNewRomanPSMT"/>
          <w:szCs w:val="20"/>
        </w:rPr>
        <w:t>oczyszczoną</w:t>
      </w:r>
      <w:r w:rsidRPr="009E064B">
        <w:rPr>
          <w:rFonts w:eastAsia="Calibri" w:cs="TimesNewRomanPS-BoldItalicMT"/>
          <w:iCs/>
          <w:szCs w:val="20"/>
        </w:rPr>
        <w:t xml:space="preserve"> z wszelkich przeszkód za wyjątkiem określonych przedmiotów oraz wyrównaną w celu zmniejszenia ryzyka uszkodzenia statku powietrznego w przypadku zjechania z drogi startowej.</w:t>
      </w:r>
    </w:p>
    <w:p w14:paraId="2F349EC8"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Latarnia ostrzegawcza </w:t>
      </w:r>
      <w:r w:rsidRPr="009E064B">
        <w:rPr>
          <w:rFonts w:eastAsia="Calibri" w:cs="TimesNewRomanPS-ItalicMT"/>
          <w:i/>
          <w:iCs/>
          <w:szCs w:val="20"/>
        </w:rPr>
        <w:t>(hazard beacon</w:t>
      </w:r>
      <w:r w:rsidRPr="009E064B">
        <w:rPr>
          <w:rFonts w:eastAsia="Calibri" w:cs="TimesNewRomanPS-ItalicMT"/>
          <w:iCs/>
          <w:szCs w:val="20"/>
        </w:rPr>
        <w:t xml:space="preserve">) </w:t>
      </w:r>
      <w:r w:rsidRPr="009E064B">
        <w:rPr>
          <w:rFonts w:eastAsia="Calibri" w:cs="TimesNewRomanPSMT"/>
          <w:szCs w:val="20"/>
        </w:rPr>
        <w:t>– oznacza latarnię lotniczą służąca do wskazywania niebezpieczeństwa dla nawigacji lotniczej.</w:t>
      </w:r>
    </w:p>
    <w:p w14:paraId="10BC344D"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Zatoka oczekiwania </w:t>
      </w:r>
      <w:r w:rsidRPr="009E064B">
        <w:rPr>
          <w:rFonts w:eastAsia="Calibri" w:cs="TimesNewRomanPS-ItalicMT"/>
          <w:i/>
          <w:iCs/>
          <w:szCs w:val="20"/>
        </w:rPr>
        <w:t xml:space="preserve">(holding bay) </w:t>
      </w:r>
      <w:r w:rsidRPr="009E064B">
        <w:rPr>
          <w:rFonts w:eastAsia="Calibri" w:cs="TimesNewRomanPSMT"/>
          <w:szCs w:val="20"/>
        </w:rPr>
        <w:t>– oznacza wyznaczoną powierzchnię, na której statek powietrzny może być zatrzymany lub wyminięty, zapewniająca efektywny ruch naziemny statków powietrznych.</w:t>
      </w:r>
    </w:p>
    <w:p w14:paraId="1F2F390E"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Czas ochronny </w:t>
      </w:r>
      <w:r w:rsidRPr="009E064B">
        <w:rPr>
          <w:rFonts w:eastAsia="Calibri" w:cs="TimesNewRomanPS-ItalicMT"/>
          <w:i/>
          <w:iCs/>
          <w:szCs w:val="20"/>
        </w:rPr>
        <w:t>(holdover time)</w:t>
      </w:r>
      <w:r w:rsidRPr="009E064B">
        <w:rPr>
          <w:rFonts w:eastAsia="Calibri" w:cs="TimesNewRomanPS-ItalicMT"/>
          <w:iCs/>
          <w:szCs w:val="20"/>
        </w:rPr>
        <w:t xml:space="preserve"> </w:t>
      </w:r>
      <w:r w:rsidRPr="009E064B">
        <w:rPr>
          <w:rFonts w:eastAsia="Calibri" w:cs="TimesNewRomanPSMT"/>
          <w:szCs w:val="20"/>
        </w:rPr>
        <w:t>– oznacza szacowany czas, gdy płyn przeciwdziałający oblodzeniu będzie zapobiegał osadzaniu się lodu i szronu oraz gromadzeniu się śniegu na pokrytych nim powierzchniach samolotu.</w:t>
      </w:r>
    </w:p>
    <w:p w14:paraId="71AC81B5"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iCs/>
          <w:szCs w:val="20"/>
        </w:rPr>
        <w:t xml:space="preserve">Punkt niebezpieczny </w:t>
      </w:r>
      <w:r w:rsidRPr="009E064B">
        <w:rPr>
          <w:rFonts w:eastAsia="Calibri" w:cs="Times New Roman"/>
          <w:i/>
          <w:iCs/>
          <w:szCs w:val="20"/>
        </w:rPr>
        <w:t>(hot spot).</w:t>
      </w:r>
      <w:r w:rsidRPr="009E064B">
        <w:rPr>
          <w:rFonts w:eastAsia="Calibri" w:cs="Times New Roman"/>
          <w:b/>
          <w:iCs/>
          <w:szCs w:val="20"/>
        </w:rPr>
        <w:t xml:space="preserve"> </w:t>
      </w:r>
      <w:r w:rsidRPr="009E064B">
        <w:rPr>
          <w:rFonts w:eastAsia="Calibri" w:cs="TimesNewRomanPSMT"/>
          <w:szCs w:val="20"/>
        </w:rPr>
        <w:t>Miejsce</w:t>
      </w:r>
      <w:r w:rsidRPr="009E064B">
        <w:rPr>
          <w:rFonts w:eastAsia="Calibri" w:cs="Times New Roman"/>
          <w:iCs/>
          <w:szCs w:val="20"/>
        </w:rPr>
        <w:t xml:space="preserve"> na polu ruchu naziemnego lotniska, w którym w przeszłości miały</w:t>
      </w:r>
      <w:r w:rsidRPr="009E064B">
        <w:rPr>
          <w:rFonts w:eastAsia="Calibri" w:cs="Times New Roman"/>
          <w:szCs w:val="20"/>
        </w:rPr>
        <w:t xml:space="preserve"> miejsce kolizje lub wtargnięcie na drogę startową lub gdzie istnieje potencjalne ryzyko ich wystąpienia, dlatego od pilotów i kierowców pojazdów wymaga się zachowania w tym miejscu szczególnej ostrożności.</w:t>
      </w:r>
    </w:p>
    <w:p w14:paraId="01F902BB"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Latarnia identyfikacji lotniska </w:t>
      </w:r>
      <w:r w:rsidRPr="009E064B">
        <w:rPr>
          <w:rFonts w:eastAsia="Calibri" w:cs="TimesNewRomanPS-ItalicMT"/>
          <w:i/>
          <w:iCs/>
          <w:szCs w:val="20"/>
        </w:rPr>
        <w:t>(identification beacon)</w:t>
      </w:r>
      <w:r w:rsidRPr="009E064B">
        <w:rPr>
          <w:rFonts w:eastAsia="Calibri" w:cs="TimesNewRomanPS-ItalicMT"/>
          <w:iCs/>
          <w:szCs w:val="20"/>
        </w:rPr>
        <w:t xml:space="preserve"> </w:t>
      </w:r>
      <w:r w:rsidRPr="009E064B">
        <w:rPr>
          <w:rFonts w:eastAsia="Calibri" w:cs="TimesNewRomanPSMT"/>
          <w:szCs w:val="20"/>
        </w:rPr>
        <w:t>– oznacza latarnię lotniczą, wysyłającą zakodowany sygnał, dzięki któremu można dokonać identyfikacji określonego punktu.</w:t>
      </w:r>
    </w:p>
    <w:p w14:paraId="48EA6AB8"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Niezależne równoległe podejścia </w:t>
      </w:r>
      <w:r w:rsidRPr="009E064B">
        <w:rPr>
          <w:rFonts w:eastAsia="Calibri" w:cs="TimesNewRomanPS-ItalicMT"/>
          <w:i/>
          <w:iCs/>
          <w:szCs w:val="20"/>
        </w:rPr>
        <w:t>(independent parallel approaches)</w:t>
      </w:r>
      <w:r w:rsidRPr="009E064B">
        <w:rPr>
          <w:rFonts w:eastAsia="Calibri" w:cs="TimesNewRomanPS-ItalicMT"/>
          <w:iCs/>
          <w:szCs w:val="20"/>
        </w:rPr>
        <w:t xml:space="preserve"> </w:t>
      </w:r>
      <w:r w:rsidRPr="009E064B">
        <w:rPr>
          <w:rFonts w:eastAsia="Calibri" w:cs="TimesNewRomanPSMT"/>
          <w:szCs w:val="20"/>
        </w:rPr>
        <w:t>– oznacza równoczesne podejścia na równoległych lub prawie równoległych przyrządowych drogach startowych, dla których nie została określona radarowa minimalna separacja pomiędzy statkami powietrznymi, na przedłużeniu linii środkowych tych dróg startowych.</w:t>
      </w:r>
    </w:p>
    <w:p w14:paraId="640CE3D2"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Niezależne równoległe odloty </w:t>
      </w:r>
      <w:r w:rsidRPr="009E064B">
        <w:rPr>
          <w:rFonts w:eastAsia="Calibri" w:cs="TimesNewRomanPS-ItalicMT"/>
          <w:i/>
          <w:iCs/>
          <w:szCs w:val="20"/>
        </w:rPr>
        <w:t>(independent parallel departures)</w:t>
      </w:r>
      <w:r w:rsidRPr="009E064B">
        <w:rPr>
          <w:rFonts w:eastAsia="Calibri" w:cs="TimesNewRomanPS-ItalicMT"/>
          <w:iCs/>
          <w:szCs w:val="20"/>
        </w:rPr>
        <w:t xml:space="preserve"> </w:t>
      </w:r>
      <w:r w:rsidRPr="009E064B">
        <w:rPr>
          <w:rFonts w:eastAsia="Calibri" w:cs="TimesNewRomanPSMT"/>
          <w:szCs w:val="20"/>
        </w:rPr>
        <w:t>– oznacza równoczesne odloty z równoległych lub prawie równoległych przyrządowych dróg startowych.</w:t>
      </w:r>
    </w:p>
    <w:p w14:paraId="5D8CCB00"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Droga startowa przyrządowa </w:t>
      </w:r>
      <w:r w:rsidRPr="009E064B">
        <w:rPr>
          <w:rFonts w:eastAsia="Calibri" w:cs="TimesNewRomanPS-ItalicMT"/>
          <w:i/>
          <w:iCs/>
          <w:szCs w:val="20"/>
        </w:rPr>
        <w:t xml:space="preserve">(instrument runway) </w:t>
      </w:r>
      <w:r w:rsidRPr="009E064B">
        <w:rPr>
          <w:rFonts w:eastAsia="Calibri" w:cs="Times New Roman"/>
          <w:spacing w:val="-1"/>
        </w:rPr>
        <w:t xml:space="preserve">oznacza jeden z następujących </w:t>
      </w:r>
      <w:r w:rsidRPr="009E064B">
        <w:rPr>
          <w:rFonts w:eastAsia="Calibri" w:cs="TimesNewRomanPSMT"/>
          <w:szCs w:val="20"/>
        </w:rPr>
        <w:t>rodzajów</w:t>
      </w:r>
      <w:r w:rsidRPr="009E064B">
        <w:rPr>
          <w:rFonts w:eastAsia="Calibri" w:cs="Times New Roman"/>
          <w:spacing w:val="-1"/>
        </w:rPr>
        <w:t xml:space="preserve"> dróg startowych przeznaczonych dla statków powietrznych wykonujących operacje z wykorzystaniem procedur podejścia według wskazań przyrządów:</w:t>
      </w:r>
    </w:p>
    <w:p w14:paraId="7D54A56C" w14:textId="77777777" w:rsidR="00B527C7" w:rsidRPr="009E064B" w:rsidRDefault="00B527C7" w:rsidP="00B527C7">
      <w:pPr>
        <w:tabs>
          <w:tab w:val="left" w:pos="567"/>
        </w:tabs>
        <w:autoSpaceDE w:val="0"/>
        <w:autoSpaceDN w:val="0"/>
        <w:adjustRightInd w:val="0"/>
        <w:ind w:left="567" w:hanging="426"/>
        <w:rPr>
          <w:rFonts w:eastAsia="Calibri" w:cs="TimesNewRomanPSMT"/>
          <w:szCs w:val="20"/>
        </w:rPr>
      </w:pPr>
      <w:r w:rsidRPr="009E064B">
        <w:rPr>
          <w:rFonts w:eastAsia="Calibri" w:cs="TimesNewRomanPSMT"/>
          <w:szCs w:val="20"/>
        </w:rPr>
        <w:t>1.</w:t>
      </w:r>
      <w:r w:rsidRPr="009E064B">
        <w:rPr>
          <w:rFonts w:eastAsia="Calibri" w:cs="TimesNewRomanPSMT"/>
          <w:szCs w:val="20"/>
        </w:rPr>
        <w:tab/>
        <w:t>Droga startowa z podejściem nieprecyzyjnym: droga startowa przyrządowa wykorzystująca pomoce wzrokowe i instrumentalne zapewniające przynajmniej prowadzenie kierunkowe odpowiednie do podejścia do lądowania z prostej.</w:t>
      </w:r>
    </w:p>
    <w:p w14:paraId="335B2C0D" w14:textId="77777777" w:rsidR="00B527C7" w:rsidRPr="009E064B" w:rsidRDefault="00B527C7" w:rsidP="00B527C7">
      <w:pPr>
        <w:tabs>
          <w:tab w:val="left" w:pos="567"/>
        </w:tabs>
        <w:autoSpaceDE w:val="0"/>
        <w:autoSpaceDN w:val="0"/>
        <w:adjustRightInd w:val="0"/>
        <w:ind w:left="567" w:hanging="426"/>
        <w:rPr>
          <w:rFonts w:eastAsia="Calibri" w:cs="TimesNewRomanPSMT"/>
          <w:szCs w:val="20"/>
        </w:rPr>
      </w:pPr>
      <w:r w:rsidRPr="009E064B">
        <w:rPr>
          <w:rFonts w:eastAsia="Calibri" w:cs="TimesNewRomanPSMT"/>
          <w:szCs w:val="20"/>
        </w:rPr>
        <w:t>2.</w:t>
      </w:r>
      <w:r w:rsidRPr="009E064B">
        <w:rPr>
          <w:rFonts w:eastAsia="Calibri" w:cs="TimesNewRomanPSMT"/>
          <w:szCs w:val="20"/>
        </w:rPr>
        <w:tab/>
        <w:t>Droga startowa z podejściem precyzyjnym kategorii I: droga startowa przyrządowa wykorzystująca pomoce instrumentalne i wzrokowe, przeznaczona do operacji z wysokością względną decyzji (DH) nie mniejszą niż 60 m (200 stóp) oraz widzialnością nie mniejszą niż 800 m albo widzialnością wzdłuż drogi startowej (RVR) nie mniejszą niż 550 m.</w:t>
      </w:r>
    </w:p>
    <w:p w14:paraId="4BB5C677" w14:textId="77777777" w:rsidR="00B527C7" w:rsidRPr="009E064B" w:rsidRDefault="00B527C7" w:rsidP="00B527C7">
      <w:pPr>
        <w:tabs>
          <w:tab w:val="left" w:pos="567"/>
        </w:tabs>
        <w:autoSpaceDE w:val="0"/>
        <w:autoSpaceDN w:val="0"/>
        <w:adjustRightInd w:val="0"/>
        <w:ind w:left="567" w:hanging="426"/>
        <w:rPr>
          <w:rFonts w:eastAsia="Calibri" w:cs="TimesNewRomanPSMT"/>
          <w:szCs w:val="20"/>
        </w:rPr>
      </w:pPr>
      <w:r w:rsidRPr="009E064B">
        <w:rPr>
          <w:rFonts w:eastAsia="Calibri" w:cs="TimesNewRomanPSMT"/>
          <w:szCs w:val="20"/>
        </w:rPr>
        <w:t>3.</w:t>
      </w:r>
      <w:r w:rsidRPr="009E064B">
        <w:rPr>
          <w:rFonts w:eastAsia="Calibri" w:cs="TimesNewRomanPSMT"/>
          <w:szCs w:val="20"/>
        </w:rPr>
        <w:tab/>
        <w:t>Droga startowa z podejściem precyzyjnym kategorii II: droga startowa przyrządowa wykorzystująca pomoce instrumentalne i wzrokowe, przeznaczona do operacji z wysokością względną decyzji (DH) mniejszą niż 60 m (200 stóp), ale nie mniejszą niż 30 m (100 stóp), oraz widzialnością wzdłuż drogi startowej (RVR) nie mniejszą niż 300 m.</w:t>
      </w:r>
    </w:p>
    <w:p w14:paraId="178B919C" w14:textId="77777777" w:rsidR="00B527C7" w:rsidRPr="009E064B" w:rsidRDefault="00B527C7" w:rsidP="00B527C7">
      <w:pPr>
        <w:tabs>
          <w:tab w:val="left" w:pos="567"/>
        </w:tabs>
        <w:autoSpaceDE w:val="0"/>
        <w:autoSpaceDN w:val="0"/>
        <w:adjustRightInd w:val="0"/>
        <w:ind w:left="567" w:hanging="426"/>
        <w:rPr>
          <w:rFonts w:eastAsia="Calibri" w:cs="TimesNewRomanPSMT"/>
          <w:szCs w:val="20"/>
        </w:rPr>
      </w:pPr>
      <w:r w:rsidRPr="009E064B">
        <w:rPr>
          <w:rFonts w:eastAsia="Calibri" w:cs="TimesNewRomanPSMT"/>
          <w:szCs w:val="20"/>
        </w:rPr>
        <w:t>4.</w:t>
      </w:r>
      <w:r w:rsidRPr="009E064B">
        <w:rPr>
          <w:rFonts w:eastAsia="Calibri" w:cs="TimesNewRomanPSMT"/>
          <w:szCs w:val="20"/>
        </w:rPr>
        <w:tab/>
        <w:t>Droga startowa z podejściem precyzyjnym kategorii III: droga startowa przyrządowa wykorzystująca pomoce instrumentalne i wzrokowe do i wzdłuż powierzchni drogi startowej oraz:</w:t>
      </w:r>
    </w:p>
    <w:p w14:paraId="605DC0FF" w14:textId="77777777" w:rsidR="00B527C7" w:rsidRPr="009E064B" w:rsidRDefault="00B527C7" w:rsidP="00B527C7">
      <w:pPr>
        <w:tabs>
          <w:tab w:val="left" w:pos="993"/>
        </w:tabs>
        <w:autoSpaceDE w:val="0"/>
        <w:autoSpaceDN w:val="0"/>
        <w:adjustRightInd w:val="0"/>
        <w:ind w:left="993" w:hanging="426"/>
        <w:rPr>
          <w:rFonts w:eastAsia="Calibri" w:cs="Times New Roman"/>
          <w:szCs w:val="20"/>
        </w:rPr>
      </w:pPr>
      <w:r w:rsidRPr="009E064B">
        <w:rPr>
          <w:rFonts w:eastAsia="Calibri" w:cs="TimesNewRomanPSMT"/>
          <w:szCs w:val="20"/>
        </w:rPr>
        <w:t>A.</w:t>
      </w:r>
      <w:r w:rsidRPr="009E064B">
        <w:rPr>
          <w:rFonts w:eastAsia="Calibri" w:cs="TimesNewRomanPSMT"/>
          <w:szCs w:val="20"/>
        </w:rPr>
        <w:tab/>
        <w:t>przeznaczona</w:t>
      </w:r>
      <w:r w:rsidRPr="009E064B">
        <w:rPr>
          <w:rFonts w:eastAsia="Calibri" w:cs="Times New Roman"/>
          <w:spacing w:val="11"/>
          <w:szCs w:val="20"/>
        </w:rPr>
        <w:t xml:space="preserve"> </w:t>
      </w:r>
      <w:r w:rsidRPr="009E064B">
        <w:rPr>
          <w:rFonts w:eastAsia="Calibri" w:cs="Times New Roman"/>
          <w:szCs w:val="20"/>
        </w:rPr>
        <w:t>do</w:t>
      </w:r>
      <w:r w:rsidRPr="009E064B">
        <w:rPr>
          <w:rFonts w:eastAsia="Calibri" w:cs="Times New Roman"/>
          <w:spacing w:val="12"/>
          <w:szCs w:val="20"/>
        </w:rPr>
        <w:t xml:space="preserve"> </w:t>
      </w:r>
      <w:r w:rsidRPr="009E064B">
        <w:rPr>
          <w:rFonts w:eastAsia="Calibri" w:cs="Times New Roman"/>
          <w:szCs w:val="20"/>
        </w:rPr>
        <w:t>operacji</w:t>
      </w:r>
      <w:r w:rsidRPr="009E064B">
        <w:rPr>
          <w:rFonts w:eastAsia="Calibri" w:cs="Times New Roman"/>
          <w:spacing w:val="5"/>
          <w:szCs w:val="20"/>
        </w:rPr>
        <w:t xml:space="preserve"> </w:t>
      </w:r>
      <w:r w:rsidRPr="009E064B">
        <w:rPr>
          <w:rFonts w:eastAsia="Calibri" w:cs="Times New Roman"/>
          <w:szCs w:val="20"/>
        </w:rPr>
        <w:t>z</w:t>
      </w:r>
      <w:r w:rsidRPr="009E064B">
        <w:rPr>
          <w:rFonts w:eastAsia="Calibri" w:cs="Times New Roman"/>
          <w:spacing w:val="13"/>
          <w:szCs w:val="20"/>
        </w:rPr>
        <w:t xml:space="preserve"> </w:t>
      </w:r>
      <w:r w:rsidRPr="009E064B">
        <w:rPr>
          <w:rFonts w:eastAsia="Calibri" w:cs="Times New Roman"/>
          <w:szCs w:val="20"/>
        </w:rPr>
        <w:t>wysok</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w:t>
      </w:r>
      <w:r w:rsidRPr="009E064B">
        <w:rPr>
          <w:rFonts w:eastAsia="Calibri" w:cs="Times New Roman"/>
          <w:spacing w:val="-3"/>
          <w:szCs w:val="20"/>
        </w:rPr>
        <w:t>i</w:t>
      </w:r>
      <w:r w:rsidRPr="009E064B">
        <w:rPr>
          <w:rFonts w:eastAsia="Calibri" w:cs="Times New Roman"/>
          <w:szCs w:val="20"/>
        </w:rPr>
        <w:t>ą</w:t>
      </w:r>
      <w:r w:rsidRPr="009E064B">
        <w:rPr>
          <w:rFonts w:eastAsia="Calibri" w:cs="Times New Roman"/>
          <w:spacing w:val="11"/>
          <w:szCs w:val="20"/>
        </w:rPr>
        <w:t xml:space="preserve"> </w:t>
      </w:r>
      <w:r w:rsidRPr="009E064B">
        <w:rPr>
          <w:rFonts w:eastAsia="Calibri" w:cs="Times New Roman"/>
          <w:szCs w:val="20"/>
        </w:rPr>
        <w:t>wzg</w:t>
      </w:r>
      <w:r w:rsidRPr="009E064B">
        <w:rPr>
          <w:rFonts w:eastAsia="Calibri" w:cs="Times New Roman"/>
          <w:spacing w:val="-1"/>
          <w:szCs w:val="20"/>
        </w:rPr>
        <w:t>l</w:t>
      </w:r>
      <w:r w:rsidRPr="009E064B">
        <w:rPr>
          <w:rFonts w:eastAsia="Calibri" w:cs="Times New Roman"/>
          <w:spacing w:val="-2"/>
          <w:szCs w:val="20"/>
        </w:rPr>
        <w:t>ę</w:t>
      </w:r>
      <w:r w:rsidRPr="009E064B">
        <w:rPr>
          <w:rFonts w:eastAsia="Calibri" w:cs="Times New Roman"/>
          <w:szCs w:val="20"/>
        </w:rPr>
        <w:t>dną</w:t>
      </w:r>
      <w:r w:rsidRPr="009E064B">
        <w:rPr>
          <w:rFonts w:eastAsia="Calibri" w:cs="Times New Roman"/>
          <w:spacing w:val="10"/>
          <w:szCs w:val="20"/>
        </w:rPr>
        <w:t xml:space="preserve"> </w:t>
      </w:r>
      <w:r w:rsidRPr="009E064B">
        <w:rPr>
          <w:rFonts w:eastAsia="Calibri" w:cs="Times New Roman"/>
          <w:szCs w:val="20"/>
        </w:rPr>
        <w:t>decyzji</w:t>
      </w:r>
      <w:r w:rsidRPr="009E064B">
        <w:rPr>
          <w:rFonts w:eastAsia="Calibri" w:cs="Times New Roman"/>
          <w:spacing w:val="9"/>
          <w:szCs w:val="20"/>
        </w:rPr>
        <w:t xml:space="preserve"> </w:t>
      </w:r>
      <w:r w:rsidRPr="009E064B">
        <w:rPr>
          <w:rFonts w:eastAsia="Calibri" w:cs="Times New Roman"/>
          <w:szCs w:val="20"/>
        </w:rPr>
        <w:t>(DH)</w:t>
      </w:r>
      <w:r w:rsidRPr="009E064B">
        <w:rPr>
          <w:rFonts w:eastAsia="Calibri" w:cs="Times New Roman"/>
          <w:spacing w:val="11"/>
          <w:szCs w:val="20"/>
        </w:rPr>
        <w:t xml:space="preserve"> </w:t>
      </w:r>
      <w:r w:rsidRPr="009E064B">
        <w:rPr>
          <w:rFonts w:eastAsia="Calibri" w:cs="Times New Roman"/>
          <w:szCs w:val="20"/>
        </w:rPr>
        <w:t>mniejs</w:t>
      </w:r>
      <w:r w:rsidRPr="009E064B">
        <w:rPr>
          <w:rFonts w:eastAsia="Calibri" w:cs="Times New Roman"/>
          <w:spacing w:val="-1"/>
          <w:szCs w:val="20"/>
        </w:rPr>
        <w:t>z</w:t>
      </w:r>
      <w:r w:rsidRPr="009E064B">
        <w:rPr>
          <w:rFonts w:eastAsia="Calibri" w:cs="Times New Roman"/>
          <w:szCs w:val="20"/>
        </w:rPr>
        <w:t>ą</w:t>
      </w:r>
      <w:r w:rsidRPr="009E064B">
        <w:rPr>
          <w:rFonts w:eastAsia="Calibri" w:cs="Times New Roman"/>
          <w:spacing w:val="11"/>
          <w:szCs w:val="20"/>
        </w:rPr>
        <w:t xml:space="preserve"> </w:t>
      </w:r>
      <w:r w:rsidRPr="009E064B">
        <w:rPr>
          <w:rFonts w:eastAsia="Calibri" w:cs="Times New Roman"/>
          <w:szCs w:val="20"/>
        </w:rPr>
        <w:t>n</w:t>
      </w:r>
      <w:r w:rsidRPr="009E064B">
        <w:rPr>
          <w:rFonts w:eastAsia="Calibri" w:cs="Times New Roman"/>
          <w:spacing w:val="-1"/>
          <w:szCs w:val="20"/>
        </w:rPr>
        <w:t>i</w:t>
      </w:r>
      <w:r w:rsidRPr="009E064B">
        <w:rPr>
          <w:rFonts w:eastAsia="Calibri" w:cs="Times New Roman"/>
          <w:szCs w:val="20"/>
        </w:rPr>
        <w:t>ż</w:t>
      </w:r>
      <w:r w:rsidRPr="009E064B">
        <w:rPr>
          <w:rFonts w:eastAsia="Calibri" w:cs="Times New Roman"/>
          <w:spacing w:val="12"/>
          <w:szCs w:val="20"/>
        </w:rPr>
        <w:t xml:space="preserve"> </w:t>
      </w:r>
      <w:r w:rsidRPr="009E064B">
        <w:rPr>
          <w:rFonts w:eastAsia="Calibri" w:cs="Times New Roman"/>
          <w:szCs w:val="20"/>
        </w:rPr>
        <w:t>30</w:t>
      </w:r>
      <w:r w:rsidRPr="009E064B">
        <w:rPr>
          <w:rFonts w:eastAsia="Calibri" w:cs="Times New Roman"/>
          <w:spacing w:val="5"/>
          <w:szCs w:val="20"/>
        </w:rPr>
        <w:t> </w:t>
      </w:r>
      <w:r w:rsidRPr="009E064B">
        <w:rPr>
          <w:rFonts w:eastAsia="Calibri" w:cs="Times New Roman"/>
          <w:szCs w:val="20"/>
        </w:rPr>
        <w:t>m</w:t>
      </w:r>
      <w:r w:rsidRPr="009E064B">
        <w:rPr>
          <w:rFonts w:eastAsia="Calibri" w:cs="Times New Roman"/>
          <w:spacing w:val="12"/>
          <w:szCs w:val="20"/>
        </w:rPr>
        <w:t xml:space="preserve"> </w:t>
      </w:r>
      <w:r w:rsidRPr="009E064B">
        <w:rPr>
          <w:rFonts w:eastAsia="Calibri" w:cs="Times New Roman"/>
          <w:szCs w:val="20"/>
        </w:rPr>
        <w:t>(100</w:t>
      </w:r>
      <w:r w:rsidRPr="009E064B">
        <w:rPr>
          <w:rFonts w:eastAsia="Calibri" w:cs="Times New Roman"/>
          <w:spacing w:val="12"/>
          <w:szCs w:val="20"/>
        </w:rPr>
        <w:t> </w:t>
      </w:r>
      <w:r w:rsidRPr="009E064B">
        <w:rPr>
          <w:rFonts w:eastAsia="Calibri" w:cs="Times New Roman"/>
          <w:szCs w:val="20"/>
        </w:rPr>
        <w:t>stóp),</w:t>
      </w:r>
      <w:r w:rsidRPr="009E064B">
        <w:rPr>
          <w:rFonts w:eastAsia="Calibri" w:cs="Times New Roman"/>
          <w:spacing w:val="10"/>
          <w:szCs w:val="20"/>
        </w:rPr>
        <w:t xml:space="preserve"> </w:t>
      </w:r>
      <w:r w:rsidRPr="009E064B">
        <w:rPr>
          <w:rFonts w:eastAsia="Calibri" w:cs="Times New Roman"/>
          <w:szCs w:val="20"/>
        </w:rPr>
        <w:t>b</w:t>
      </w:r>
      <w:r w:rsidRPr="009E064B">
        <w:rPr>
          <w:rFonts w:eastAsia="Calibri" w:cs="Times New Roman"/>
          <w:spacing w:val="-1"/>
          <w:szCs w:val="20"/>
        </w:rPr>
        <w:t>ąd</w:t>
      </w:r>
      <w:r w:rsidRPr="009E064B">
        <w:rPr>
          <w:rFonts w:eastAsia="Calibri" w:cs="Times New Roman"/>
          <w:szCs w:val="20"/>
        </w:rPr>
        <w:t>ź</w:t>
      </w:r>
      <w:r w:rsidRPr="009E064B">
        <w:rPr>
          <w:rFonts w:eastAsia="Calibri" w:cs="Times New Roman"/>
          <w:spacing w:val="12"/>
          <w:szCs w:val="20"/>
        </w:rPr>
        <w:t xml:space="preserve"> </w:t>
      </w:r>
      <w:r w:rsidRPr="009E064B">
        <w:rPr>
          <w:rFonts w:eastAsia="Calibri" w:cs="Times New Roman"/>
          <w:szCs w:val="20"/>
        </w:rPr>
        <w:t>bez wysok</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ci</w:t>
      </w:r>
      <w:r w:rsidRPr="009E064B">
        <w:rPr>
          <w:rFonts w:eastAsia="Calibri" w:cs="Times New Roman"/>
          <w:spacing w:val="38"/>
          <w:szCs w:val="20"/>
        </w:rPr>
        <w:t xml:space="preserve"> </w:t>
      </w:r>
      <w:r w:rsidRPr="009E064B">
        <w:rPr>
          <w:rFonts w:eastAsia="Calibri" w:cs="Times New Roman"/>
          <w:szCs w:val="20"/>
        </w:rPr>
        <w:t>decyzji</w:t>
      </w:r>
      <w:r w:rsidRPr="009E064B">
        <w:rPr>
          <w:rFonts w:eastAsia="Calibri" w:cs="Times New Roman"/>
          <w:spacing w:val="36"/>
          <w:szCs w:val="20"/>
        </w:rPr>
        <w:t xml:space="preserve"> </w:t>
      </w:r>
      <w:r w:rsidRPr="009E064B">
        <w:rPr>
          <w:rFonts w:eastAsia="Calibri" w:cs="Times New Roman"/>
          <w:szCs w:val="20"/>
        </w:rPr>
        <w:t>wzgl</w:t>
      </w:r>
      <w:r w:rsidRPr="009E064B">
        <w:rPr>
          <w:rFonts w:eastAsia="Calibri" w:cs="Times New Roman"/>
          <w:spacing w:val="-2"/>
          <w:szCs w:val="20"/>
        </w:rPr>
        <w:t>ę</w:t>
      </w:r>
      <w:r w:rsidRPr="009E064B">
        <w:rPr>
          <w:rFonts w:eastAsia="Calibri" w:cs="Times New Roman"/>
          <w:szCs w:val="20"/>
        </w:rPr>
        <w:t>dnej</w:t>
      </w:r>
      <w:r w:rsidRPr="009E064B">
        <w:rPr>
          <w:rFonts w:eastAsia="Calibri" w:cs="Times New Roman"/>
          <w:spacing w:val="38"/>
          <w:szCs w:val="20"/>
        </w:rPr>
        <w:t xml:space="preserve"> </w:t>
      </w:r>
      <w:r w:rsidRPr="009E064B">
        <w:rPr>
          <w:rFonts w:eastAsia="Calibri" w:cs="Times New Roman"/>
          <w:szCs w:val="20"/>
        </w:rPr>
        <w:t>i z widzialn</w:t>
      </w:r>
      <w:r w:rsidRPr="009E064B">
        <w:rPr>
          <w:rFonts w:eastAsia="Calibri" w:cs="Times New Roman"/>
          <w:spacing w:val="-2"/>
          <w:szCs w:val="20"/>
        </w:rPr>
        <w:t>oś</w:t>
      </w:r>
      <w:r w:rsidRPr="009E064B">
        <w:rPr>
          <w:rFonts w:eastAsia="Calibri" w:cs="Times New Roman"/>
          <w:szCs w:val="20"/>
        </w:rPr>
        <w:t>c</w:t>
      </w:r>
      <w:r w:rsidRPr="009E064B">
        <w:rPr>
          <w:rFonts w:eastAsia="Calibri" w:cs="Times New Roman"/>
          <w:spacing w:val="-3"/>
          <w:szCs w:val="20"/>
        </w:rPr>
        <w:t>i</w:t>
      </w:r>
      <w:r w:rsidRPr="009E064B">
        <w:rPr>
          <w:rFonts w:eastAsia="Calibri" w:cs="Times New Roman"/>
          <w:szCs w:val="20"/>
        </w:rPr>
        <w:t>ą</w:t>
      </w:r>
      <w:r w:rsidRPr="009E064B">
        <w:rPr>
          <w:rFonts w:eastAsia="Calibri" w:cs="Times New Roman"/>
          <w:spacing w:val="39"/>
          <w:szCs w:val="20"/>
        </w:rPr>
        <w:t xml:space="preserve"> </w:t>
      </w:r>
      <w:r w:rsidRPr="009E064B">
        <w:rPr>
          <w:rFonts w:eastAsia="Calibri" w:cs="Times New Roman"/>
          <w:szCs w:val="20"/>
        </w:rPr>
        <w:t>wz</w:t>
      </w:r>
      <w:r w:rsidRPr="009E064B">
        <w:rPr>
          <w:rFonts w:eastAsia="Calibri" w:cs="Times New Roman"/>
          <w:spacing w:val="-1"/>
          <w:szCs w:val="20"/>
        </w:rPr>
        <w:t>dłu</w:t>
      </w:r>
      <w:r w:rsidRPr="009E064B">
        <w:rPr>
          <w:rFonts w:eastAsia="Calibri" w:cs="Times New Roman"/>
          <w:szCs w:val="20"/>
        </w:rPr>
        <w:t>ż drogi</w:t>
      </w:r>
      <w:r w:rsidRPr="009E064B">
        <w:rPr>
          <w:rFonts w:eastAsia="Calibri" w:cs="Times New Roman"/>
          <w:spacing w:val="37"/>
          <w:szCs w:val="20"/>
        </w:rPr>
        <w:t xml:space="preserve"> </w:t>
      </w:r>
      <w:r w:rsidRPr="009E064B">
        <w:rPr>
          <w:rFonts w:eastAsia="Calibri" w:cs="Times New Roman"/>
          <w:szCs w:val="20"/>
        </w:rPr>
        <w:t>startowej</w:t>
      </w:r>
      <w:r w:rsidRPr="009E064B">
        <w:rPr>
          <w:rFonts w:eastAsia="Calibri" w:cs="Times New Roman"/>
          <w:spacing w:val="36"/>
          <w:szCs w:val="20"/>
        </w:rPr>
        <w:t xml:space="preserve"> </w:t>
      </w:r>
      <w:r w:rsidRPr="009E064B">
        <w:rPr>
          <w:rFonts w:eastAsia="Calibri" w:cs="Times New Roman"/>
          <w:szCs w:val="20"/>
        </w:rPr>
        <w:t>(RVR)</w:t>
      </w:r>
      <w:r w:rsidRPr="009E064B">
        <w:rPr>
          <w:rFonts w:eastAsia="Calibri" w:cs="Times New Roman"/>
          <w:spacing w:val="39"/>
          <w:szCs w:val="20"/>
        </w:rPr>
        <w:t xml:space="preserve"> </w:t>
      </w:r>
      <w:r w:rsidRPr="009E064B">
        <w:rPr>
          <w:rFonts w:eastAsia="Calibri" w:cs="Times New Roman"/>
          <w:szCs w:val="20"/>
        </w:rPr>
        <w:t>nie</w:t>
      </w:r>
      <w:r w:rsidRPr="009E064B">
        <w:rPr>
          <w:rFonts w:eastAsia="Calibri" w:cs="Times New Roman"/>
          <w:spacing w:val="38"/>
          <w:szCs w:val="20"/>
        </w:rPr>
        <w:t xml:space="preserve"> </w:t>
      </w:r>
      <w:r w:rsidRPr="009E064B">
        <w:rPr>
          <w:rFonts w:eastAsia="Calibri" w:cs="Times New Roman"/>
          <w:szCs w:val="20"/>
        </w:rPr>
        <w:t>mniejszą</w:t>
      </w:r>
      <w:r w:rsidRPr="009E064B">
        <w:rPr>
          <w:rFonts w:eastAsia="Calibri" w:cs="Times New Roman"/>
          <w:spacing w:val="38"/>
          <w:szCs w:val="20"/>
        </w:rPr>
        <w:t xml:space="preserve"> </w:t>
      </w:r>
      <w:r w:rsidRPr="009E064B">
        <w:rPr>
          <w:rFonts w:eastAsia="Calibri" w:cs="Times New Roman"/>
          <w:szCs w:val="20"/>
        </w:rPr>
        <w:t>niż</w:t>
      </w:r>
      <w:r w:rsidRPr="009E064B">
        <w:rPr>
          <w:rFonts w:eastAsia="Calibri" w:cs="Times New Roman"/>
          <w:spacing w:val="39"/>
          <w:szCs w:val="20"/>
        </w:rPr>
        <w:t xml:space="preserve"> </w:t>
      </w:r>
      <w:r w:rsidRPr="009E064B">
        <w:rPr>
          <w:rFonts w:eastAsia="Calibri" w:cs="Times New Roman"/>
          <w:szCs w:val="20"/>
        </w:rPr>
        <w:t>175</w:t>
      </w:r>
      <w:r w:rsidRPr="009E064B">
        <w:rPr>
          <w:rFonts w:eastAsia="Calibri" w:cs="Times New Roman"/>
          <w:spacing w:val="4"/>
          <w:szCs w:val="20"/>
        </w:rPr>
        <w:t xml:space="preserve"> </w:t>
      </w:r>
      <w:r w:rsidRPr="009E064B">
        <w:rPr>
          <w:rFonts w:eastAsia="Calibri" w:cs="Times New Roman"/>
          <w:szCs w:val="20"/>
        </w:rPr>
        <w:t>m;</w:t>
      </w:r>
      <w:r w:rsidRPr="009E064B">
        <w:rPr>
          <w:rFonts w:eastAsia="Calibri" w:cs="Times New Roman"/>
          <w:spacing w:val="39"/>
          <w:szCs w:val="20"/>
        </w:rPr>
        <w:t xml:space="preserve"> </w:t>
      </w:r>
      <w:r w:rsidRPr="009E064B">
        <w:rPr>
          <w:rFonts w:eastAsia="Calibri" w:cs="Times New Roman"/>
          <w:szCs w:val="20"/>
        </w:rPr>
        <w:t>lub</w:t>
      </w:r>
    </w:p>
    <w:p w14:paraId="07C1E0BD" w14:textId="77777777" w:rsidR="00B527C7" w:rsidRPr="009E064B" w:rsidRDefault="00B527C7" w:rsidP="00B527C7">
      <w:pPr>
        <w:tabs>
          <w:tab w:val="left" w:pos="993"/>
        </w:tabs>
        <w:autoSpaceDE w:val="0"/>
        <w:autoSpaceDN w:val="0"/>
        <w:adjustRightInd w:val="0"/>
        <w:ind w:left="993" w:hanging="426"/>
        <w:rPr>
          <w:rFonts w:eastAsia="Calibri" w:cs="Times New Roman"/>
          <w:szCs w:val="20"/>
        </w:rPr>
      </w:pPr>
      <w:r w:rsidRPr="009E064B">
        <w:rPr>
          <w:rFonts w:eastAsia="Calibri" w:cs="TimesNewRomanPSMT"/>
          <w:szCs w:val="20"/>
        </w:rPr>
        <w:t>B.</w:t>
      </w:r>
      <w:r w:rsidRPr="009E064B">
        <w:rPr>
          <w:rFonts w:eastAsia="Calibri" w:cs="TimesNewRomanPSMT"/>
          <w:szCs w:val="20"/>
        </w:rPr>
        <w:tab/>
        <w:t>przeznaczona</w:t>
      </w:r>
      <w:r w:rsidRPr="009E064B">
        <w:rPr>
          <w:rFonts w:eastAsia="Calibri" w:cs="Times New Roman"/>
          <w:spacing w:val="16"/>
          <w:szCs w:val="20"/>
        </w:rPr>
        <w:t xml:space="preserve"> </w:t>
      </w:r>
      <w:r w:rsidRPr="009E064B">
        <w:rPr>
          <w:rFonts w:eastAsia="Calibri" w:cs="Times New Roman"/>
          <w:szCs w:val="20"/>
        </w:rPr>
        <w:t>do</w:t>
      </w:r>
      <w:r w:rsidRPr="009E064B">
        <w:rPr>
          <w:rFonts w:eastAsia="Calibri" w:cs="Times New Roman"/>
          <w:spacing w:val="17"/>
          <w:szCs w:val="20"/>
        </w:rPr>
        <w:t xml:space="preserve"> </w:t>
      </w:r>
      <w:r w:rsidRPr="009E064B">
        <w:rPr>
          <w:rFonts w:eastAsia="Calibri" w:cs="Times New Roman"/>
          <w:szCs w:val="20"/>
        </w:rPr>
        <w:t>operacji</w:t>
      </w:r>
      <w:r w:rsidRPr="009E064B">
        <w:rPr>
          <w:rFonts w:eastAsia="Calibri" w:cs="Times New Roman"/>
          <w:spacing w:val="13"/>
          <w:szCs w:val="20"/>
        </w:rPr>
        <w:t xml:space="preserve"> </w:t>
      </w:r>
      <w:r w:rsidRPr="009E064B">
        <w:rPr>
          <w:rFonts w:eastAsia="Calibri" w:cs="Times New Roman"/>
          <w:szCs w:val="20"/>
        </w:rPr>
        <w:t>z</w:t>
      </w:r>
      <w:r w:rsidRPr="009E064B">
        <w:rPr>
          <w:rFonts w:eastAsia="Calibri" w:cs="Times New Roman"/>
          <w:spacing w:val="19"/>
          <w:szCs w:val="20"/>
        </w:rPr>
        <w:t xml:space="preserve"> </w:t>
      </w:r>
      <w:r w:rsidRPr="009E064B">
        <w:rPr>
          <w:rFonts w:eastAsia="Calibri" w:cs="Times New Roman"/>
          <w:szCs w:val="20"/>
        </w:rPr>
        <w:t>wysok</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w:t>
      </w:r>
      <w:r w:rsidRPr="009E064B">
        <w:rPr>
          <w:rFonts w:eastAsia="Calibri" w:cs="Times New Roman"/>
          <w:spacing w:val="-3"/>
          <w:szCs w:val="20"/>
        </w:rPr>
        <w:t>i</w:t>
      </w:r>
      <w:r w:rsidRPr="009E064B">
        <w:rPr>
          <w:rFonts w:eastAsia="Calibri" w:cs="Times New Roman"/>
          <w:szCs w:val="20"/>
        </w:rPr>
        <w:t>ą</w:t>
      </w:r>
      <w:r w:rsidRPr="009E064B">
        <w:rPr>
          <w:rFonts w:eastAsia="Calibri" w:cs="Times New Roman"/>
          <w:spacing w:val="17"/>
          <w:szCs w:val="20"/>
        </w:rPr>
        <w:t xml:space="preserve"> </w:t>
      </w:r>
      <w:r w:rsidRPr="009E064B">
        <w:rPr>
          <w:rFonts w:eastAsia="Calibri" w:cs="Times New Roman"/>
          <w:szCs w:val="20"/>
        </w:rPr>
        <w:t>wzgl</w:t>
      </w:r>
      <w:r w:rsidRPr="009E064B">
        <w:rPr>
          <w:rFonts w:eastAsia="Calibri" w:cs="Times New Roman"/>
          <w:spacing w:val="-2"/>
          <w:szCs w:val="20"/>
        </w:rPr>
        <w:t>ę</w:t>
      </w:r>
      <w:r w:rsidRPr="009E064B">
        <w:rPr>
          <w:rFonts w:eastAsia="Calibri" w:cs="Times New Roman"/>
          <w:szCs w:val="20"/>
        </w:rPr>
        <w:t>dną</w:t>
      </w:r>
      <w:r w:rsidRPr="009E064B">
        <w:rPr>
          <w:rFonts w:eastAsia="Calibri" w:cs="Times New Roman"/>
          <w:spacing w:val="16"/>
          <w:szCs w:val="20"/>
        </w:rPr>
        <w:t xml:space="preserve"> </w:t>
      </w:r>
      <w:r w:rsidRPr="009E064B">
        <w:rPr>
          <w:rFonts w:eastAsia="Calibri" w:cs="Times New Roman"/>
          <w:szCs w:val="20"/>
        </w:rPr>
        <w:t>decyzji</w:t>
      </w:r>
      <w:r w:rsidRPr="009E064B">
        <w:rPr>
          <w:rFonts w:eastAsia="Calibri" w:cs="Times New Roman"/>
          <w:spacing w:val="13"/>
          <w:szCs w:val="20"/>
        </w:rPr>
        <w:t xml:space="preserve"> </w:t>
      </w:r>
      <w:r w:rsidRPr="009E064B">
        <w:rPr>
          <w:rFonts w:eastAsia="Calibri" w:cs="Times New Roman"/>
          <w:szCs w:val="20"/>
        </w:rPr>
        <w:t>(DH)</w:t>
      </w:r>
      <w:r w:rsidRPr="009E064B">
        <w:rPr>
          <w:rFonts w:eastAsia="Calibri" w:cs="Times New Roman"/>
          <w:spacing w:val="17"/>
          <w:szCs w:val="20"/>
        </w:rPr>
        <w:t xml:space="preserve"> </w:t>
      </w:r>
      <w:r w:rsidRPr="009E064B">
        <w:rPr>
          <w:rFonts w:eastAsia="Calibri" w:cs="Times New Roman"/>
          <w:szCs w:val="20"/>
        </w:rPr>
        <w:t>mniejszą</w:t>
      </w:r>
      <w:r w:rsidRPr="009E064B">
        <w:rPr>
          <w:rFonts w:eastAsia="Calibri" w:cs="Times New Roman"/>
          <w:spacing w:val="16"/>
          <w:szCs w:val="20"/>
        </w:rPr>
        <w:t xml:space="preserve"> </w:t>
      </w:r>
      <w:r w:rsidRPr="009E064B">
        <w:rPr>
          <w:rFonts w:eastAsia="Calibri" w:cs="Times New Roman"/>
          <w:szCs w:val="20"/>
        </w:rPr>
        <w:t>n</w:t>
      </w:r>
      <w:r w:rsidRPr="009E064B">
        <w:rPr>
          <w:rFonts w:eastAsia="Calibri" w:cs="Times New Roman"/>
          <w:spacing w:val="-1"/>
          <w:szCs w:val="20"/>
        </w:rPr>
        <w:t>i</w:t>
      </w:r>
      <w:r w:rsidRPr="009E064B">
        <w:rPr>
          <w:rFonts w:eastAsia="Calibri" w:cs="Times New Roman"/>
          <w:szCs w:val="20"/>
        </w:rPr>
        <w:t>ż</w:t>
      </w:r>
      <w:r w:rsidRPr="009E064B">
        <w:rPr>
          <w:rFonts w:eastAsia="Calibri" w:cs="Times New Roman"/>
          <w:spacing w:val="19"/>
          <w:szCs w:val="20"/>
        </w:rPr>
        <w:t xml:space="preserve"> </w:t>
      </w:r>
      <w:r w:rsidRPr="009E064B">
        <w:rPr>
          <w:rFonts w:eastAsia="Calibri" w:cs="Times New Roman"/>
          <w:szCs w:val="20"/>
        </w:rPr>
        <w:t>15 m</w:t>
      </w:r>
      <w:r w:rsidRPr="009E064B">
        <w:rPr>
          <w:rFonts w:eastAsia="Calibri" w:cs="Times New Roman"/>
          <w:spacing w:val="18"/>
          <w:szCs w:val="20"/>
        </w:rPr>
        <w:t xml:space="preserve"> </w:t>
      </w:r>
      <w:r w:rsidRPr="009E064B">
        <w:rPr>
          <w:rFonts w:eastAsia="Calibri" w:cs="Times New Roman"/>
          <w:szCs w:val="20"/>
        </w:rPr>
        <w:t>(50</w:t>
      </w:r>
      <w:r w:rsidRPr="009E064B">
        <w:rPr>
          <w:rFonts w:eastAsia="Calibri" w:cs="Times New Roman"/>
          <w:spacing w:val="19"/>
          <w:szCs w:val="20"/>
        </w:rPr>
        <w:t> </w:t>
      </w:r>
      <w:r w:rsidRPr="009E064B">
        <w:rPr>
          <w:rFonts w:eastAsia="Calibri" w:cs="Times New Roman"/>
          <w:szCs w:val="20"/>
        </w:rPr>
        <w:t>stóp),</w:t>
      </w:r>
      <w:r w:rsidRPr="009E064B">
        <w:rPr>
          <w:rFonts w:eastAsia="Calibri" w:cs="Times New Roman"/>
          <w:spacing w:val="16"/>
          <w:szCs w:val="20"/>
        </w:rPr>
        <w:t xml:space="preserve"> </w:t>
      </w:r>
      <w:r w:rsidRPr="009E064B">
        <w:rPr>
          <w:rFonts w:eastAsia="Calibri" w:cs="Times New Roman"/>
          <w:szCs w:val="20"/>
        </w:rPr>
        <w:t>b</w:t>
      </w:r>
      <w:r w:rsidRPr="009E064B">
        <w:rPr>
          <w:rFonts w:eastAsia="Calibri" w:cs="Times New Roman"/>
          <w:spacing w:val="-1"/>
          <w:szCs w:val="20"/>
        </w:rPr>
        <w:t>ąd</w:t>
      </w:r>
      <w:r w:rsidRPr="009E064B">
        <w:rPr>
          <w:rFonts w:eastAsia="Calibri" w:cs="Times New Roman"/>
          <w:szCs w:val="20"/>
        </w:rPr>
        <w:t>ź</w:t>
      </w:r>
      <w:r w:rsidRPr="009E064B">
        <w:rPr>
          <w:rFonts w:eastAsia="Calibri" w:cs="Times New Roman"/>
          <w:spacing w:val="18"/>
          <w:szCs w:val="20"/>
        </w:rPr>
        <w:t xml:space="preserve"> </w:t>
      </w:r>
      <w:r w:rsidRPr="009E064B">
        <w:rPr>
          <w:rFonts w:eastAsia="Calibri" w:cs="Times New Roman"/>
          <w:szCs w:val="20"/>
        </w:rPr>
        <w:t>bez wysok</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ci</w:t>
      </w:r>
      <w:r w:rsidRPr="009E064B">
        <w:rPr>
          <w:rFonts w:eastAsia="Calibri" w:cs="Times New Roman"/>
          <w:spacing w:val="40"/>
          <w:szCs w:val="20"/>
        </w:rPr>
        <w:t xml:space="preserve"> </w:t>
      </w:r>
      <w:r w:rsidRPr="009E064B">
        <w:rPr>
          <w:rFonts w:eastAsia="Calibri" w:cs="Times New Roman"/>
          <w:szCs w:val="20"/>
        </w:rPr>
        <w:t>wzg</w:t>
      </w:r>
      <w:r w:rsidRPr="009E064B">
        <w:rPr>
          <w:rFonts w:eastAsia="Calibri" w:cs="Times New Roman"/>
          <w:spacing w:val="-1"/>
          <w:szCs w:val="20"/>
        </w:rPr>
        <w:t>l</w:t>
      </w:r>
      <w:r w:rsidRPr="009E064B">
        <w:rPr>
          <w:rFonts w:eastAsia="Calibri" w:cs="Times New Roman"/>
          <w:spacing w:val="-2"/>
          <w:szCs w:val="20"/>
        </w:rPr>
        <w:t>ę</w:t>
      </w:r>
      <w:r w:rsidRPr="009E064B">
        <w:rPr>
          <w:rFonts w:eastAsia="Calibri" w:cs="Times New Roman"/>
          <w:szCs w:val="20"/>
        </w:rPr>
        <w:t>dnej decyzji</w:t>
      </w:r>
      <w:r w:rsidRPr="009E064B">
        <w:rPr>
          <w:rFonts w:eastAsia="Calibri" w:cs="Times New Roman"/>
          <w:spacing w:val="38"/>
          <w:szCs w:val="20"/>
        </w:rPr>
        <w:t xml:space="preserve"> </w:t>
      </w:r>
      <w:r w:rsidRPr="009E064B">
        <w:rPr>
          <w:rFonts w:eastAsia="Calibri" w:cs="Times New Roman"/>
          <w:szCs w:val="20"/>
        </w:rPr>
        <w:t>i</w:t>
      </w:r>
      <w:r w:rsidRPr="009E064B">
        <w:rPr>
          <w:rFonts w:eastAsia="Calibri" w:cs="Times New Roman"/>
          <w:spacing w:val="2"/>
          <w:szCs w:val="20"/>
        </w:rPr>
        <w:t xml:space="preserve"> </w:t>
      </w:r>
      <w:r w:rsidRPr="009E064B">
        <w:rPr>
          <w:rFonts w:eastAsia="Calibri" w:cs="Times New Roman"/>
          <w:szCs w:val="20"/>
        </w:rPr>
        <w:t>z widzialno</w:t>
      </w:r>
      <w:r w:rsidRPr="009E064B">
        <w:rPr>
          <w:rFonts w:eastAsia="Calibri" w:cs="Times New Roman"/>
          <w:spacing w:val="-2"/>
          <w:szCs w:val="20"/>
        </w:rPr>
        <w:t>ś</w:t>
      </w:r>
      <w:r w:rsidRPr="009E064B">
        <w:rPr>
          <w:rFonts w:eastAsia="Calibri" w:cs="Times New Roman"/>
          <w:szCs w:val="20"/>
        </w:rPr>
        <w:t>c</w:t>
      </w:r>
      <w:r w:rsidRPr="009E064B">
        <w:rPr>
          <w:rFonts w:eastAsia="Calibri" w:cs="Times New Roman"/>
          <w:spacing w:val="-3"/>
          <w:szCs w:val="20"/>
        </w:rPr>
        <w:t>i</w:t>
      </w:r>
      <w:r w:rsidRPr="009E064B">
        <w:rPr>
          <w:rFonts w:eastAsia="Calibri" w:cs="Times New Roman"/>
          <w:szCs w:val="20"/>
        </w:rPr>
        <w:t>ą wz</w:t>
      </w:r>
      <w:r w:rsidRPr="009E064B">
        <w:rPr>
          <w:rFonts w:eastAsia="Calibri" w:cs="Times New Roman"/>
          <w:spacing w:val="-1"/>
          <w:szCs w:val="20"/>
        </w:rPr>
        <w:t>dł</w:t>
      </w:r>
      <w:r w:rsidRPr="009E064B">
        <w:rPr>
          <w:rFonts w:eastAsia="Calibri" w:cs="Times New Roman"/>
          <w:szCs w:val="20"/>
        </w:rPr>
        <w:t>uż drogi startowej</w:t>
      </w:r>
      <w:r w:rsidRPr="009E064B">
        <w:rPr>
          <w:rFonts w:eastAsia="Calibri" w:cs="Times New Roman"/>
          <w:spacing w:val="37"/>
          <w:szCs w:val="20"/>
        </w:rPr>
        <w:t xml:space="preserve"> </w:t>
      </w:r>
      <w:r w:rsidRPr="009E064B">
        <w:rPr>
          <w:rFonts w:eastAsia="Calibri" w:cs="Times New Roman"/>
          <w:szCs w:val="20"/>
        </w:rPr>
        <w:t>(RVR) mniejs</w:t>
      </w:r>
      <w:r w:rsidRPr="009E064B">
        <w:rPr>
          <w:rFonts w:eastAsia="Calibri" w:cs="Times New Roman"/>
          <w:spacing w:val="-1"/>
          <w:szCs w:val="20"/>
        </w:rPr>
        <w:t>z</w:t>
      </w:r>
      <w:r w:rsidRPr="009E064B">
        <w:rPr>
          <w:rFonts w:eastAsia="Calibri" w:cs="Times New Roman"/>
          <w:szCs w:val="20"/>
        </w:rPr>
        <w:t>ą n</w:t>
      </w:r>
      <w:r w:rsidRPr="009E064B">
        <w:rPr>
          <w:rFonts w:eastAsia="Calibri" w:cs="Times New Roman"/>
          <w:spacing w:val="-1"/>
          <w:szCs w:val="20"/>
        </w:rPr>
        <w:t>i</w:t>
      </w:r>
      <w:r w:rsidRPr="009E064B">
        <w:rPr>
          <w:rFonts w:eastAsia="Calibri" w:cs="Times New Roman"/>
          <w:szCs w:val="20"/>
        </w:rPr>
        <w:t>ż</w:t>
      </w:r>
      <w:r w:rsidRPr="009E064B">
        <w:rPr>
          <w:rFonts w:eastAsia="Calibri" w:cs="Times New Roman"/>
          <w:spacing w:val="2"/>
          <w:szCs w:val="20"/>
        </w:rPr>
        <w:t xml:space="preserve"> </w:t>
      </w:r>
      <w:r w:rsidRPr="009E064B">
        <w:rPr>
          <w:rFonts w:eastAsia="Calibri" w:cs="Times New Roman"/>
          <w:szCs w:val="20"/>
        </w:rPr>
        <w:t>175</w:t>
      </w:r>
      <w:r w:rsidRPr="009E064B">
        <w:rPr>
          <w:rFonts w:eastAsia="Calibri" w:cs="Times New Roman"/>
          <w:spacing w:val="4"/>
          <w:szCs w:val="20"/>
        </w:rPr>
        <w:t xml:space="preserve"> </w:t>
      </w:r>
      <w:r w:rsidRPr="009E064B">
        <w:rPr>
          <w:rFonts w:eastAsia="Calibri" w:cs="Times New Roman"/>
          <w:szCs w:val="20"/>
        </w:rPr>
        <w:t>m,</w:t>
      </w:r>
      <w:r w:rsidRPr="009E064B">
        <w:rPr>
          <w:rFonts w:eastAsia="Calibri" w:cs="Times New Roman"/>
          <w:spacing w:val="39"/>
          <w:szCs w:val="20"/>
        </w:rPr>
        <w:t xml:space="preserve"> </w:t>
      </w:r>
      <w:r w:rsidRPr="009E064B">
        <w:rPr>
          <w:rFonts w:eastAsia="Calibri" w:cs="Times New Roman"/>
          <w:szCs w:val="20"/>
        </w:rPr>
        <w:t>ale</w:t>
      </w:r>
      <w:r w:rsidRPr="009E064B">
        <w:rPr>
          <w:rFonts w:eastAsia="Calibri" w:cs="Times New Roman"/>
          <w:spacing w:val="39"/>
          <w:szCs w:val="20"/>
        </w:rPr>
        <w:t xml:space="preserve"> </w:t>
      </w:r>
      <w:r w:rsidRPr="009E064B">
        <w:rPr>
          <w:rFonts w:eastAsia="Calibri" w:cs="Times New Roman"/>
          <w:szCs w:val="20"/>
        </w:rPr>
        <w:t>nie mniejs</w:t>
      </w:r>
      <w:r w:rsidRPr="009E064B">
        <w:rPr>
          <w:rFonts w:eastAsia="Calibri" w:cs="Times New Roman"/>
          <w:spacing w:val="-1"/>
          <w:szCs w:val="20"/>
        </w:rPr>
        <w:t>z</w:t>
      </w:r>
      <w:r w:rsidRPr="009E064B">
        <w:rPr>
          <w:rFonts w:eastAsia="Calibri" w:cs="Times New Roman"/>
          <w:szCs w:val="20"/>
        </w:rPr>
        <w:t>ą</w:t>
      </w:r>
      <w:r w:rsidRPr="009E064B">
        <w:rPr>
          <w:rFonts w:eastAsia="Calibri" w:cs="Times New Roman"/>
          <w:spacing w:val="36"/>
          <w:szCs w:val="20"/>
        </w:rPr>
        <w:t xml:space="preserve"> </w:t>
      </w:r>
      <w:r w:rsidRPr="009E064B">
        <w:rPr>
          <w:rFonts w:eastAsia="Calibri" w:cs="Times New Roman"/>
          <w:szCs w:val="20"/>
        </w:rPr>
        <w:t>n</w:t>
      </w:r>
      <w:r w:rsidRPr="009E064B">
        <w:rPr>
          <w:rFonts w:eastAsia="Calibri" w:cs="Times New Roman"/>
          <w:spacing w:val="-1"/>
          <w:szCs w:val="20"/>
        </w:rPr>
        <w:t>i</w:t>
      </w:r>
      <w:r w:rsidRPr="009E064B">
        <w:rPr>
          <w:rFonts w:eastAsia="Calibri" w:cs="Times New Roman"/>
          <w:szCs w:val="20"/>
        </w:rPr>
        <w:t>ż</w:t>
      </w:r>
      <w:r w:rsidRPr="009E064B">
        <w:rPr>
          <w:rFonts w:eastAsia="Calibri" w:cs="Times New Roman"/>
          <w:spacing w:val="38"/>
          <w:szCs w:val="20"/>
        </w:rPr>
        <w:t xml:space="preserve"> </w:t>
      </w:r>
      <w:r w:rsidRPr="009E064B">
        <w:rPr>
          <w:rFonts w:eastAsia="Calibri" w:cs="Times New Roman"/>
          <w:szCs w:val="20"/>
        </w:rPr>
        <w:t>50</w:t>
      </w:r>
      <w:r w:rsidRPr="009E064B">
        <w:rPr>
          <w:rFonts w:eastAsia="Calibri" w:cs="Times New Roman"/>
          <w:spacing w:val="8"/>
          <w:szCs w:val="20"/>
        </w:rPr>
        <w:t xml:space="preserve"> </w:t>
      </w:r>
      <w:r w:rsidRPr="009E064B">
        <w:rPr>
          <w:rFonts w:eastAsia="Calibri" w:cs="Times New Roman"/>
          <w:szCs w:val="20"/>
        </w:rPr>
        <w:t>m;</w:t>
      </w:r>
      <w:r w:rsidRPr="009E064B">
        <w:rPr>
          <w:rFonts w:eastAsia="Calibri" w:cs="Times New Roman"/>
          <w:spacing w:val="35"/>
          <w:szCs w:val="20"/>
        </w:rPr>
        <w:t xml:space="preserve"> </w:t>
      </w:r>
      <w:r w:rsidRPr="009E064B">
        <w:rPr>
          <w:rFonts w:eastAsia="Calibri" w:cs="Times New Roman"/>
          <w:szCs w:val="20"/>
        </w:rPr>
        <w:t>lub</w:t>
      </w:r>
    </w:p>
    <w:p w14:paraId="33D76DEE" w14:textId="77777777" w:rsidR="00B527C7" w:rsidRPr="009E064B" w:rsidRDefault="00B527C7" w:rsidP="00B527C7">
      <w:pPr>
        <w:tabs>
          <w:tab w:val="left" w:pos="993"/>
        </w:tabs>
        <w:autoSpaceDE w:val="0"/>
        <w:autoSpaceDN w:val="0"/>
        <w:adjustRightInd w:val="0"/>
        <w:ind w:left="992" w:hanging="425"/>
        <w:rPr>
          <w:rFonts w:eastAsia="Calibri" w:cs="Times New Roman"/>
          <w:szCs w:val="20"/>
        </w:rPr>
      </w:pPr>
      <w:r w:rsidRPr="009E064B">
        <w:rPr>
          <w:rFonts w:eastAsia="Calibri" w:cs="Times New Roman"/>
          <w:szCs w:val="20"/>
        </w:rPr>
        <w:t>C.</w:t>
      </w:r>
      <w:r w:rsidRPr="009E064B">
        <w:rPr>
          <w:rFonts w:eastAsia="Calibri" w:cs="Times New Roman"/>
          <w:szCs w:val="20"/>
        </w:rPr>
        <w:tab/>
        <w:t>przeznaczona</w:t>
      </w:r>
      <w:r w:rsidRPr="009E064B">
        <w:rPr>
          <w:rFonts w:eastAsia="Calibri" w:cs="Times New Roman"/>
          <w:spacing w:val="17"/>
          <w:szCs w:val="20"/>
        </w:rPr>
        <w:t xml:space="preserve"> </w:t>
      </w:r>
      <w:r w:rsidRPr="009E064B">
        <w:rPr>
          <w:rFonts w:eastAsia="Calibri" w:cs="Times New Roman"/>
          <w:szCs w:val="20"/>
        </w:rPr>
        <w:t>do</w:t>
      </w:r>
      <w:r w:rsidRPr="009E064B">
        <w:rPr>
          <w:rFonts w:eastAsia="Calibri" w:cs="Times New Roman"/>
          <w:spacing w:val="19"/>
          <w:szCs w:val="20"/>
        </w:rPr>
        <w:t xml:space="preserve"> </w:t>
      </w:r>
      <w:r w:rsidRPr="009E064B">
        <w:rPr>
          <w:rFonts w:eastAsia="Calibri" w:cs="Times New Roman"/>
          <w:szCs w:val="20"/>
        </w:rPr>
        <w:t>operacji</w:t>
      </w:r>
      <w:r w:rsidRPr="009E064B">
        <w:rPr>
          <w:rFonts w:eastAsia="Calibri" w:cs="Times New Roman"/>
          <w:spacing w:val="12"/>
          <w:szCs w:val="20"/>
        </w:rPr>
        <w:t xml:space="preserve"> </w:t>
      </w:r>
      <w:r w:rsidRPr="009E064B">
        <w:rPr>
          <w:rFonts w:eastAsia="Calibri" w:cs="Times New Roman"/>
          <w:szCs w:val="20"/>
        </w:rPr>
        <w:t>bez</w:t>
      </w:r>
      <w:r w:rsidRPr="009E064B">
        <w:rPr>
          <w:rFonts w:eastAsia="Calibri" w:cs="Times New Roman"/>
          <w:spacing w:val="18"/>
          <w:szCs w:val="20"/>
        </w:rPr>
        <w:t xml:space="preserve"> </w:t>
      </w:r>
      <w:r w:rsidRPr="009E064B">
        <w:rPr>
          <w:rFonts w:eastAsia="Calibri" w:cs="Times New Roman"/>
          <w:szCs w:val="20"/>
        </w:rPr>
        <w:t>ogranicz</w:t>
      </w:r>
      <w:r w:rsidRPr="009E064B">
        <w:rPr>
          <w:rFonts w:eastAsia="Calibri" w:cs="Times New Roman"/>
          <w:spacing w:val="-1"/>
          <w:szCs w:val="20"/>
        </w:rPr>
        <w:t>e</w:t>
      </w:r>
      <w:r w:rsidRPr="009E064B">
        <w:rPr>
          <w:rFonts w:eastAsia="Calibri" w:cs="Times New Roman"/>
          <w:szCs w:val="20"/>
        </w:rPr>
        <w:t>ń</w:t>
      </w:r>
      <w:r w:rsidRPr="009E064B">
        <w:rPr>
          <w:rFonts w:eastAsia="Calibri" w:cs="Times New Roman"/>
          <w:spacing w:val="19"/>
          <w:szCs w:val="20"/>
        </w:rPr>
        <w:t xml:space="preserve"> </w:t>
      </w:r>
      <w:r w:rsidRPr="009E064B">
        <w:rPr>
          <w:rFonts w:eastAsia="Calibri" w:cs="Times New Roman"/>
          <w:szCs w:val="20"/>
        </w:rPr>
        <w:t>dotyc</w:t>
      </w:r>
      <w:r w:rsidRPr="009E064B">
        <w:rPr>
          <w:rFonts w:eastAsia="Calibri" w:cs="Times New Roman"/>
          <w:spacing w:val="-1"/>
          <w:szCs w:val="20"/>
        </w:rPr>
        <w:t>z</w:t>
      </w:r>
      <w:r w:rsidRPr="009E064B">
        <w:rPr>
          <w:rFonts w:eastAsia="Calibri" w:cs="Times New Roman"/>
          <w:spacing w:val="-2"/>
          <w:szCs w:val="20"/>
        </w:rPr>
        <w:t>ą</w:t>
      </w:r>
      <w:r w:rsidRPr="009E064B">
        <w:rPr>
          <w:rFonts w:eastAsia="Calibri" w:cs="Times New Roman"/>
          <w:szCs w:val="20"/>
        </w:rPr>
        <w:t>cych</w:t>
      </w:r>
      <w:r w:rsidRPr="009E064B">
        <w:rPr>
          <w:rFonts w:eastAsia="Calibri" w:cs="Times New Roman"/>
          <w:spacing w:val="15"/>
          <w:szCs w:val="20"/>
        </w:rPr>
        <w:t xml:space="preserve"> </w:t>
      </w:r>
      <w:r w:rsidRPr="009E064B">
        <w:rPr>
          <w:rFonts w:eastAsia="Calibri" w:cs="Times New Roman"/>
          <w:szCs w:val="20"/>
        </w:rPr>
        <w:t>wysok</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ci</w:t>
      </w:r>
      <w:r w:rsidRPr="009E064B">
        <w:rPr>
          <w:rFonts w:eastAsia="Calibri" w:cs="Times New Roman"/>
          <w:spacing w:val="18"/>
          <w:szCs w:val="20"/>
        </w:rPr>
        <w:t xml:space="preserve"> </w:t>
      </w:r>
      <w:r w:rsidRPr="009E064B">
        <w:rPr>
          <w:rFonts w:eastAsia="Calibri" w:cs="Times New Roman"/>
          <w:szCs w:val="20"/>
        </w:rPr>
        <w:t>wzg</w:t>
      </w:r>
      <w:r w:rsidRPr="009E064B">
        <w:rPr>
          <w:rFonts w:eastAsia="Calibri" w:cs="Times New Roman"/>
          <w:spacing w:val="-1"/>
          <w:szCs w:val="20"/>
        </w:rPr>
        <w:t>l</w:t>
      </w:r>
      <w:r w:rsidRPr="009E064B">
        <w:rPr>
          <w:rFonts w:eastAsia="Calibri" w:cs="Times New Roman"/>
          <w:spacing w:val="-2"/>
          <w:szCs w:val="20"/>
        </w:rPr>
        <w:t>ę</w:t>
      </w:r>
      <w:r w:rsidRPr="009E064B">
        <w:rPr>
          <w:rFonts w:eastAsia="Calibri" w:cs="Times New Roman"/>
          <w:szCs w:val="20"/>
        </w:rPr>
        <w:t>dnej</w:t>
      </w:r>
      <w:r w:rsidRPr="009E064B">
        <w:rPr>
          <w:rFonts w:eastAsia="Calibri" w:cs="Times New Roman"/>
          <w:spacing w:val="16"/>
          <w:szCs w:val="20"/>
        </w:rPr>
        <w:t xml:space="preserve"> </w:t>
      </w:r>
      <w:r w:rsidRPr="009E064B">
        <w:rPr>
          <w:rFonts w:eastAsia="Calibri" w:cs="Times New Roman"/>
          <w:szCs w:val="20"/>
        </w:rPr>
        <w:t>decyzji</w:t>
      </w:r>
      <w:r w:rsidRPr="009E064B">
        <w:rPr>
          <w:rFonts w:eastAsia="Calibri" w:cs="Times New Roman"/>
          <w:spacing w:val="16"/>
          <w:szCs w:val="20"/>
        </w:rPr>
        <w:t xml:space="preserve"> </w:t>
      </w:r>
      <w:r w:rsidRPr="009E064B">
        <w:rPr>
          <w:rFonts w:eastAsia="Calibri" w:cs="Times New Roman"/>
          <w:szCs w:val="20"/>
        </w:rPr>
        <w:t>(DH)</w:t>
      </w:r>
      <w:r w:rsidRPr="009E064B">
        <w:rPr>
          <w:rFonts w:eastAsia="Calibri" w:cs="Times New Roman"/>
          <w:spacing w:val="18"/>
          <w:szCs w:val="20"/>
        </w:rPr>
        <w:t xml:space="preserve"> </w:t>
      </w:r>
      <w:r w:rsidRPr="009E064B">
        <w:rPr>
          <w:rFonts w:eastAsia="Calibri" w:cs="Times New Roman"/>
          <w:szCs w:val="20"/>
        </w:rPr>
        <w:t>i widzialn</w:t>
      </w:r>
      <w:r w:rsidRPr="009E064B">
        <w:rPr>
          <w:rFonts w:eastAsia="Calibri" w:cs="Times New Roman"/>
          <w:spacing w:val="-1"/>
          <w:szCs w:val="20"/>
        </w:rPr>
        <w:t>o</w:t>
      </w:r>
      <w:r w:rsidRPr="009E064B">
        <w:rPr>
          <w:rFonts w:eastAsia="Calibri" w:cs="Times New Roman"/>
          <w:spacing w:val="-2"/>
          <w:szCs w:val="20"/>
        </w:rPr>
        <w:t>ś</w:t>
      </w:r>
      <w:r w:rsidRPr="009E064B">
        <w:rPr>
          <w:rFonts w:eastAsia="Calibri" w:cs="Times New Roman"/>
          <w:szCs w:val="20"/>
        </w:rPr>
        <w:t>ci wzd</w:t>
      </w:r>
      <w:r w:rsidRPr="009E064B">
        <w:rPr>
          <w:rFonts w:eastAsia="Calibri" w:cs="Times New Roman"/>
          <w:spacing w:val="-1"/>
          <w:szCs w:val="20"/>
        </w:rPr>
        <w:t>łu</w:t>
      </w:r>
      <w:r w:rsidRPr="009E064B">
        <w:rPr>
          <w:rFonts w:eastAsia="Calibri" w:cs="Times New Roman"/>
          <w:szCs w:val="20"/>
        </w:rPr>
        <w:t>ż</w:t>
      </w:r>
      <w:r w:rsidRPr="009E064B">
        <w:rPr>
          <w:rFonts w:eastAsia="Calibri" w:cs="Times New Roman"/>
          <w:spacing w:val="15"/>
          <w:szCs w:val="20"/>
        </w:rPr>
        <w:t xml:space="preserve"> </w:t>
      </w:r>
      <w:r w:rsidRPr="009E064B">
        <w:rPr>
          <w:rFonts w:eastAsia="Calibri" w:cs="Times New Roman"/>
          <w:szCs w:val="20"/>
        </w:rPr>
        <w:t>drogi</w:t>
      </w:r>
      <w:r w:rsidRPr="009E064B">
        <w:rPr>
          <w:rFonts w:eastAsia="Calibri" w:cs="Times New Roman"/>
          <w:spacing w:val="13"/>
          <w:szCs w:val="20"/>
        </w:rPr>
        <w:t xml:space="preserve"> </w:t>
      </w:r>
      <w:r w:rsidRPr="009E064B">
        <w:rPr>
          <w:rFonts w:eastAsia="Calibri" w:cs="Times New Roman"/>
          <w:szCs w:val="20"/>
        </w:rPr>
        <w:t>startowej</w:t>
      </w:r>
      <w:r w:rsidRPr="009E064B">
        <w:rPr>
          <w:rFonts w:eastAsia="Calibri" w:cs="Times New Roman"/>
          <w:spacing w:val="12"/>
          <w:szCs w:val="20"/>
        </w:rPr>
        <w:t xml:space="preserve"> </w:t>
      </w:r>
      <w:r w:rsidRPr="009E064B">
        <w:rPr>
          <w:rFonts w:eastAsia="Calibri" w:cs="Times New Roman"/>
          <w:szCs w:val="20"/>
        </w:rPr>
        <w:t>(RVR);</w:t>
      </w:r>
    </w:p>
    <w:p w14:paraId="6AA110EF"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Pośrednie miejsce oczekiwania </w:t>
      </w:r>
      <w:r w:rsidRPr="009E064B">
        <w:rPr>
          <w:rFonts w:eastAsia="Calibri" w:cs="TimesNewRomanPS-ItalicMT"/>
          <w:i/>
          <w:iCs/>
          <w:szCs w:val="20"/>
        </w:rPr>
        <w:t>(intermediate holding position)</w:t>
      </w:r>
      <w:r w:rsidRPr="009E064B">
        <w:rPr>
          <w:rFonts w:eastAsia="Calibri" w:cs="TimesNewRomanPS-ItalicMT"/>
          <w:iCs/>
          <w:szCs w:val="20"/>
        </w:rPr>
        <w:t xml:space="preserve"> </w:t>
      </w:r>
      <w:r w:rsidRPr="009E064B">
        <w:rPr>
          <w:rFonts w:eastAsia="Calibri" w:cs="TimesNewRomanPSMT"/>
          <w:szCs w:val="20"/>
        </w:rPr>
        <w:t>– oznacza wyznaczone miejsce objęte kontrolą ruchu, gdzie kołujący statek powietrzny oraz inne pojazdy powinny się zatrzymać i oczekiwać na pozwolenie dalszego poruszania się, wydawane przez właściwy organ kontroli ruchu lotniczego.</w:t>
      </w:r>
    </w:p>
    <w:p w14:paraId="401399FC" w14:textId="77777777" w:rsidR="00B527C7" w:rsidRPr="009E064B" w:rsidRDefault="00B527C7" w:rsidP="00B527C7">
      <w:pPr>
        <w:autoSpaceDE w:val="0"/>
        <w:autoSpaceDN w:val="0"/>
        <w:adjustRightInd w:val="0"/>
        <w:ind w:left="142" w:hanging="142"/>
        <w:rPr>
          <w:rFonts w:eastAsia="Calibri" w:cs="TimesNewRomanPSMT"/>
          <w:b/>
          <w:szCs w:val="20"/>
        </w:rPr>
      </w:pPr>
      <w:r w:rsidRPr="009E064B">
        <w:rPr>
          <w:rFonts w:eastAsia="Calibri" w:cs="TimesNewRomanPSMT"/>
          <w:b/>
          <w:szCs w:val="20"/>
        </w:rPr>
        <w:t xml:space="preserve">Odizolowane stanowisko postoju statku powietrznego </w:t>
      </w:r>
      <w:r w:rsidRPr="009E064B">
        <w:rPr>
          <w:rFonts w:eastAsia="Calibri" w:cs="TimesNewRomanPSMT"/>
          <w:i/>
          <w:szCs w:val="20"/>
        </w:rPr>
        <w:t>(isolated aircraft parking position)</w:t>
      </w:r>
      <w:r w:rsidRPr="009E064B">
        <w:rPr>
          <w:rFonts w:eastAsia="Calibri" w:cs="TimesNewRomanPSMT"/>
          <w:szCs w:val="20"/>
        </w:rPr>
        <w:t xml:space="preserve"> – oznacza obszar odpowiedni do postoju statku powietrznego, o którym wiadomo lub podejrzewa się, że może być obiektem bezprawnej ingerencji, lub z innych przyczyn wymagający odizolowania od normalnej działalności lotniska.</w:t>
      </w:r>
    </w:p>
    <w:p w14:paraId="4B07275F"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Pole wzlotów </w:t>
      </w:r>
      <w:r w:rsidRPr="009E064B">
        <w:rPr>
          <w:rFonts w:eastAsia="Calibri" w:cs="TimesNewRomanPS-ItalicMT"/>
          <w:i/>
          <w:iCs/>
          <w:szCs w:val="20"/>
        </w:rPr>
        <w:t>(landing area)</w:t>
      </w:r>
      <w:r w:rsidRPr="009E064B">
        <w:rPr>
          <w:rFonts w:eastAsia="Calibri" w:cs="TimesNewRomanPS-ItalicMT"/>
          <w:iCs/>
          <w:szCs w:val="20"/>
        </w:rPr>
        <w:t xml:space="preserve"> </w:t>
      </w:r>
      <w:r w:rsidRPr="009E064B">
        <w:rPr>
          <w:rFonts w:eastAsia="Calibri" w:cs="TimesNewRomanPSMT"/>
          <w:szCs w:val="20"/>
        </w:rPr>
        <w:t>– oznacza część pola ruchu naziemnego, przeznaczoną do startu i lądowania statków powietrznych.</w:t>
      </w:r>
    </w:p>
    <w:p w14:paraId="6C7E44A5"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Wskaźnik kierunku lądowania</w:t>
      </w:r>
      <w:r w:rsidRPr="009E064B">
        <w:rPr>
          <w:rFonts w:eastAsia="Calibri" w:cs="TimesNewRomanPS-BoldItalicMT"/>
          <w:iCs/>
          <w:szCs w:val="20"/>
        </w:rPr>
        <w:t xml:space="preserve"> </w:t>
      </w:r>
      <w:r w:rsidRPr="009E064B">
        <w:rPr>
          <w:rFonts w:eastAsia="Calibri" w:cs="TimesNewRomanPS-ItalicMT"/>
          <w:i/>
          <w:iCs/>
          <w:szCs w:val="20"/>
        </w:rPr>
        <w:t>(landing direction indicator)</w:t>
      </w:r>
      <w:r w:rsidRPr="009E064B">
        <w:rPr>
          <w:rFonts w:eastAsia="Calibri" w:cs="TimesNewRomanPS-ItalicMT"/>
          <w:iCs/>
          <w:szCs w:val="20"/>
        </w:rPr>
        <w:t xml:space="preserve"> </w:t>
      </w:r>
      <w:r w:rsidRPr="009E064B">
        <w:rPr>
          <w:rFonts w:eastAsia="Calibri" w:cs="TimesNewRomanPSMT"/>
          <w:szCs w:val="20"/>
        </w:rPr>
        <w:t>– oznacza pomoc wzrokową wskazującą aktualnie wyznaczony kierunek lądowania i startu.</w:t>
      </w:r>
    </w:p>
    <w:p w14:paraId="431C65AD"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Pole manewrowe </w:t>
      </w:r>
      <w:r w:rsidRPr="009E064B">
        <w:rPr>
          <w:rFonts w:eastAsia="Calibri" w:cs="TimesNewRomanPS-ItalicMT"/>
          <w:i/>
          <w:iCs/>
          <w:szCs w:val="20"/>
        </w:rPr>
        <w:t>(manoeuvring area)</w:t>
      </w:r>
      <w:r w:rsidRPr="009E064B">
        <w:rPr>
          <w:rFonts w:eastAsia="Calibri" w:cs="TimesNewRomanPS-ItalicMT"/>
          <w:iCs/>
          <w:szCs w:val="20"/>
        </w:rPr>
        <w:t xml:space="preserve"> </w:t>
      </w:r>
      <w:r w:rsidRPr="009E064B">
        <w:rPr>
          <w:rFonts w:eastAsia="Calibri" w:cs="Times New Roman"/>
          <w:spacing w:val="-1"/>
        </w:rPr>
        <w:t xml:space="preserve">oznacza część lotniska, z wyłączeniem płyt </w:t>
      </w:r>
      <w:r w:rsidRPr="009E064B">
        <w:rPr>
          <w:rFonts w:eastAsia="Calibri" w:cs="TimesNewRomanPSMT"/>
        </w:rPr>
        <w:t>postojowych</w:t>
      </w:r>
      <w:r w:rsidRPr="009E064B">
        <w:rPr>
          <w:rFonts w:eastAsia="Calibri" w:cs="Times New Roman"/>
          <w:spacing w:val="-1"/>
        </w:rPr>
        <w:t>, przeznaczoną do startu, lądowania i kołowania statków powietrznych;</w:t>
      </w:r>
    </w:p>
    <w:p w14:paraId="337581E1"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Oznacznik </w:t>
      </w:r>
      <w:r w:rsidRPr="009E064B">
        <w:rPr>
          <w:rFonts w:eastAsia="Calibri" w:cs="TimesNewRomanPS-ItalicMT"/>
          <w:i/>
          <w:iCs/>
          <w:szCs w:val="20"/>
        </w:rPr>
        <w:t>(marker)</w:t>
      </w:r>
      <w:r w:rsidRPr="009E064B">
        <w:rPr>
          <w:rFonts w:eastAsia="Calibri" w:cs="TimesNewRomanPS-ItalicMT"/>
          <w:iCs/>
          <w:szCs w:val="20"/>
        </w:rPr>
        <w:t xml:space="preserve"> </w:t>
      </w:r>
      <w:r w:rsidRPr="009E064B">
        <w:rPr>
          <w:rFonts w:eastAsia="Calibri" w:cs="Times New Roman"/>
          <w:spacing w:val="-1"/>
        </w:rPr>
        <w:t xml:space="preserve">oznacza obiekt umieszczony w widocznym miejscu powyżej poziomu </w:t>
      </w:r>
      <w:r w:rsidRPr="009E064B">
        <w:rPr>
          <w:rFonts w:eastAsia="Calibri" w:cs="TT95Co00"/>
          <w:szCs w:val="20"/>
        </w:rPr>
        <w:t>terenu</w:t>
      </w:r>
      <w:r w:rsidRPr="009E064B">
        <w:rPr>
          <w:rFonts w:eastAsia="Calibri" w:cs="Times New Roman"/>
          <w:spacing w:val="-1"/>
        </w:rPr>
        <w:t xml:space="preserve"> w celu oznaczenia przeszkody lub wskazania granicy;</w:t>
      </w:r>
    </w:p>
    <w:p w14:paraId="3E045B05"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Oznakowanie poziome </w:t>
      </w:r>
      <w:r w:rsidRPr="009E064B">
        <w:rPr>
          <w:rFonts w:eastAsia="Calibri" w:cs="TimesNewRomanPS-ItalicMT"/>
          <w:i/>
          <w:iCs/>
          <w:szCs w:val="20"/>
        </w:rPr>
        <w:t>(marking)</w:t>
      </w:r>
      <w:r w:rsidRPr="009E064B">
        <w:rPr>
          <w:rFonts w:eastAsia="Calibri" w:cs="TimesNewRomanPS-ItalicMT"/>
          <w:iCs/>
          <w:szCs w:val="20"/>
        </w:rPr>
        <w:t xml:space="preserve"> </w:t>
      </w:r>
      <w:r w:rsidRPr="009E064B">
        <w:rPr>
          <w:rFonts w:eastAsia="Calibri" w:cs="Times New Roman"/>
          <w:spacing w:val="-1"/>
        </w:rPr>
        <w:t xml:space="preserve">oznacza symbol lub grupę symboli umieszczonych w widoczny sposób na powierzchni pola ruchu naziemnego w celu przekazania informacji </w:t>
      </w:r>
      <w:r w:rsidRPr="009E064B">
        <w:rPr>
          <w:rFonts w:eastAsia="Calibri" w:cs="TT95Co00"/>
          <w:szCs w:val="20"/>
        </w:rPr>
        <w:t>lotniczych</w:t>
      </w:r>
      <w:r w:rsidRPr="009E064B">
        <w:rPr>
          <w:rFonts w:eastAsia="Calibri" w:cs="Times New Roman"/>
          <w:spacing w:val="-1"/>
        </w:rPr>
        <w:t>;</w:t>
      </w:r>
    </w:p>
    <w:p w14:paraId="4824B731"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Pole ruchu naziemnego </w:t>
      </w:r>
      <w:r w:rsidRPr="009E064B">
        <w:rPr>
          <w:rFonts w:eastAsia="Calibri" w:cs="TimesNewRomanPS-ItalicMT"/>
          <w:i/>
          <w:iCs/>
          <w:szCs w:val="20"/>
        </w:rPr>
        <w:t xml:space="preserve">(movement area) </w:t>
      </w:r>
      <w:r w:rsidRPr="009E064B">
        <w:rPr>
          <w:rFonts w:eastAsia="Calibri" w:cs="Times New Roman"/>
          <w:spacing w:val="-1"/>
        </w:rPr>
        <w:t xml:space="preserve">oznacza część lotniska przeznaczoną do </w:t>
      </w:r>
      <w:r w:rsidRPr="009E064B">
        <w:rPr>
          <w:rFonts w:eastAsia="Calibri" w:cs="TimesNewRomanPSMT"/>
          <w:szCs w:val="20"/>
        </w:rPr>
        <w:t>startu</w:t>
      </w:r>
      <w:r w:rsidRPr="009E064B">
        <w:rPr>
          <w:rFonts w:eastAsia="Calibri" w:cs="Times New Roman"/>
          <w:spacing w:val="-1"/>
        </w:rPr>
        <w:t>, lądowania i kołowania statków powietrznych, składającą się z pola manewrowego i płyty postojowej (płyt postojowych);</w:t>
      </w:r>
    </w:p>
    <w:p w14:paraId="4394AD9D"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Droga startowa nieprzyrządowa </w:t>
      </w:r>
      <w:r w:rsidRPr="009E064B">
        <w:rPr>
          <w:rFonts w:eastAsia="Calibri" w:cs="TimesNewRomanPS-ItalicMT"/>
          <w:i/>
          <w:iCs/>
          <w:szCs w:val="20"/>
        </w:rPr>
        <w:t>(non-instrument runway)</w:t>
      </w:r>
      <w:r w:rsidRPr="009E064B">
        <w:rPr>
          <w:rFonts w:eastAsia="Calibri" w:cs="TimesNewRomanPS-ItalicMT"/>
          <w:iCs/>
          <w:szCs w:val="20"/>
        </w:rPr>
        <w:t xml:space="preserve"> </w:t>
      </w:r>
      <w:r w:rsidRPr="009E064B">
        <w:rPr>
          <w:rFonts w:eastAsia="Calibri" w:cs="Times New Roman"/>
          <w:spacing w:val="-1"/>
        </w:rPr>
        <w:t xml:space="preserve">oznacza drogę startową </w:t>
      </w:r>
      <w:r w:rsidRPr="009E064B">
        <w:rPr>
          <w:rFonts w:eastAsia="Calibri" w:cs="TimesNewRomanPSMT"/>
          <w:szCs w:val="20"/>
        </w:rPr>
        <w:t>przeznaczoną</w:t>
      </w:r>
      <w:r w:rsidRPr="009E064B">
        <w:rPr>
          <w:rFonts w:eastAsia="Calibri" w:cs="Times New Roman"/>
          <w:spacing w:val="-1"/>
        </w:rPr>
        <w:t xml:space="preserve"> dla statków powietrznych wykonujących operacje z wykorzystaniem procedur podejścia z widocznością;</w:t>
      </w:r>
    </w:p>
    <w:p w14:paraId="39D53F92" w14:textId="77777777"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BoldItalicMT"/>
          <w:b/>
          <w:iCs/>
          <w:szCs w:val="20"/>
        </w:rPr>
        <w:t xml:space="preserve">Przeszkoda </w:t>
      </w:r>
      <w:r w:rsidRPr="009E064B">
        <w:rPr>
          <w:rFonts w:eastAsia="Calibri" w:cs="TimesNewRomanPS-ItalicMT"/>
          <w:i/>
          <w:iCs/>
          <w:szCs w:val="20"/>
        </w:rPr>
        <w:t>(obstacle)</w:t>
      </w:r>
      <w:r w:rsidRPr="009E064B">
        <w:rPr>
          <w:rFonts w:eastAsia="Calibri" w:cs="TimesNewRomanPS-ItalicMT"/>
          <w:iCs/>
          <w:szCs w:val="20"/>
        </w:rPr>
        <w:t xml:space="preserve"> </w:t>
      </w:r>
      <w:r w:rsidRPr="009E064B">
        <w:rPr>
          <w:rFonts w:eastAsia="Times New Roman" w:cs="Times New Roman"/>
          <w:szCs w:val="20"/>
        </w:rPr>
        <w:t>oznacza wszystkie sta</w:t>
      </w:r>
      <w:r w:rsidRPr="009E064B">
        <w:rPr>
          <w:rFonts w:eastAsia="Times New Roman" w:cs="Times New Roman"/>
          <w:spacing w:val="-1"/>
          <w:szCs w:val="20"/>
        </w:rPr>
        <w:t>ł</w:t>
      </w:r>
      <w:r w:rsidRPr="009E064B">
        <w:rPr>
          <w:rFonts w:eastAsia="Times New Roman" w:cs="Times New Roman"/>
          <w:szCs w:val="20"/>
        </w:rPr>
        <w:t>e (o charakterze czasowym</w:t>
      </w:r>
      <w:r w:rsidRPr="009E064B">
        <w:rPr>
          <w:rFonts w:eastAsia="Times New Roman" w:cs="Times New Roman"/>
          <w:spacing w:val="26"/>
          <w:szCs w:val="20"/>
        </w:rPr>
        <w:t xml:space="preserve"> </w:t>
      </w:r>
      <w:r w:rsidRPr="009E064B">
        <w:rPr>
          <w:rFonts w:eastAsia="Times New Roman" w:cs="Times New Roman"/>
          <w:szCs w:val="20"/>
        </w:rPr>
        <w:t>lub</w:t>
      </w:r>
      <w:r w:rsidRPr="009E064B">
        <w:rPr>
          <w:rFonts w:eastAsia="Times New Roman" w:cs="Times New Roman"/>
          <w:spacing w:val="27"/>
          <w:szCs w:val="20"/>
        </w:rPr>
        <w:t xml:space="preserve"> </w:t>
      </w:r>
      <w:r w:rsidRPr="009E064B">
        <w:rPr>
          <w:rFonts w:eastAsia="Times New Roman" w:cs="Times New Roman"/>
          <w:szCs w:val="20"/>
        </w:rPr>
        <w:t>trw</w:t>
      </w:r>
      <w:r w:rsidRPr="009E064B">
        <w:rPr>
          <w:rFonts w:eastAsia="Times New Roman" w:cs="Times New Roman"/>
          <w:spacing w:val="-3"/>
          <w:szCs w:val="20"/>
        </w:rPr>
        <w:t>a</w:t>
      </w:r>
      <w:r w:rsidRPr="009E064B">
        <w:rPr>
          <w:rFonts w:eastAsia="Times New Roman" w:cs="Times New Roman"/>
          <w:spacing w:val="-1"/>
          <w:szCs w:val="20"/>
        </w:rPr>
        <w:t>ł</w:t>
      </w:r>
      <w:r w:rsidRPr="009E064B">
        <w:rPr>
          <w:rFonts w:eastAsia="Times New Roman" w:cs="Times New Roman"/>
          <w:szCs w:val="20"/>
        </w:rPr>
        <w:t>ym)</w:t>
      </w:r>
      <w:r w:rsidRPr="009E064B">
        <w:rPr>
          <w:rFonts w:eastAsia="Times New Roman" w:cs="Times New Roman"/>
          <w:spacing w:val="27"/>
          <w:szCs w:val="20"/>
        </w:rPr>
        <w:t xml:space="preserve"> </w:t>
      </w:r>
      <w:r w:rsidRPr="009E064B">
        <w:rPr>
          <w:rFonts w:eastAsia="Times New Roman" w:cs="Times New Roman"/>
          <w:szCs w:val="20"/>
        </w:rPr>
        <w:t>i</w:t>
      </w:r>
      <w:r w:rsidRPr="009E064B">
        <w:rPr>
          <w:rFonts w:eastAsia="Times New Roman" w:cs="Times New Roman"/>
          <w:spacing w:val="29"/>
          <w:szCs w:val="20"/>
        </w:rPr>
        <w:t xml:space="preserve"> </w:t>
      </w:r>
      <w:r w:rsidRPr="009E064B">
        <w:rPr>
          <w:rFonts w:eastAsia="Times New Roman" w:cs="Times New Roman"/>
          <w:szCs w:val="20"/>
        </w:rPr>
        <w:t>ruchome</w:t>
      </w:r>
      <w:r w:rsidRPr="009E064B">
        <w:rPr>
          <w:rFonts w:eastAsia="Times New Roman" w:cs="Times New Roman"/>
          <w:spacing w:val="24"/>
          <w:szCs w:val="20"/>
        </w:rPr>
        <w:t xml:space="preserve"> </w:t>
      </w:r>
      <w:r w:rsidRPr="009E064B">
        <w:rPr>
          <w:rFonts w:eastAsia="Calibri" w:cs="Times New Roman"/>
        </w:rPr>
        <w:t>obiekty</w:t>
      </w:r>
      <w:r w:rsidRPr="009E064B">
        <w:rPr>
          <w:rFonts w:eastAsia="Times New Roman" w:cs="Times New Roman"/>
          <w:spacing w:val="28"/>
          <w:szCs w:val="20"/>
        </w:rPr>
        <w:t xml:space="preserve"> </w:t>
      </w:r>
      <w:r w:rsidRPr="009E064B">
        <w:rPr>
          <w:rFonts w:eastAsia="Times New Roman" w:cs="Times New Roman"/>
          <w:szCs w:val="20"/>
        </w:rPr>
        <w:t>albo</w:t>
      </w:r>
      <w:r w:rsidRPr="009E064B">
        <w:rPr>
          <w:rFonts w:eastAsia="Times New Roman" w:cs="Times New Roman"/>
          <w:spacing w:val="27"/>
          <w:szCs w:val="20"/>
        </w:rPr>
        <w:t xml:space="preserve"> </w:t>
      </w:r>
      <w:r w:rsidRPr="009E064B">
        <w:rPr>
          <w:rFonts w:eastAsia="Times New Roman" w:cs="Times New Roman"/>
          <w:szCs w:val="20"/>
        </w:rPr>
        <w:t>ich</w:t>
      </w:r>
      <w:r w:rsidRPr="009E064B">
        <w:rPr>
          <w:rFonts w:eastAsia="Times New Roman" w:cs="Times New Roman"/>
          <w:spacing w:val="26"/>
          <w:szCs w:val="20"/>
        </w:rPr>
        <w:t xml:space="preserve"> </w:t>
      </w:r>
      <w:r w:rsidRPr="009E064B">
        <w:rPr>
          <w:rFonts w:eastAsia="Times New Roman" w:cs="Times New Roman"/>
          <w:szCs w:val="20"/>
        </w:rPr>
        <w:t>czę</w:t>
      </w:r>
      <w:r w:rsidRPr="009E064B">
        <w:rPr>
          <w:rFonts w:eastAsia="Times New Roman" w:cs="Times New Roman"/>
          <w:spacing w:val="-3"/>
          <w:szCs w:val="20"/>
        </w:rPr>
        <w:t>ś</w:t>
      </w:r>
      <w:r w:rsidRPr="009E064B">
        <w:rPr>
          <w:rFonts w:eastAsia="Times New Roman" w:cs="Times New Roman"/>
          <w:szCs w:val="20"/>
        </w:rPr>
        <w:t>ci, które:</w:t>
      </w:r>
    </w:p>
    <w:p w14:paraId="44F48E38" w14:textId="77777777" w:rsidR="00B527C7" w:rsidRPr="009E064B" w:rsidRDefault="00B527C7" w:rsidP="00B527C7">
      <w:pPr>
        <w:numPr>
          <w:ilvl w:val="0"/>
          <w:numId w:val="12"/>
        </w:numPr>
        <w:tabs>
          <w:tab w:val="left" w:pos="567"/>
        </w:tabs>
        <w:ind w:left="567" w:right="-2" w:hanging="436"/>
        <w:rPr>
          <w:rFonts w:eastAsia="Times New Roman" w:cs="Times New Roman"/>
          <w:szCs w:val="20"/>
        </w:rPr>
      </w:pPr>
      <w:r w:rsidRPr="009E064B">
        <w:rPr>
          <w:rFonts w:eastAsia="Times New Roman" w:cs="Times New Roman"/>
          <w:szCs w:val="20"/>
        </w:rPr>
        <w:t>znajdu</w:t>
      </w:r>
      <w:r w:rsidRPr="009E064B">
        <w:rPr>
          <w:rFonts w:eastAsia="Times New Roman" w:cs="Times New Roman"/>
          <w:spacing w:val="-4"/>
          <w:szCs w:val="20"/>
        </w:rPr>
        <w:t>j</w:t>
      </w:r>
      <w:r w:rsidRPr="009E064B">
        <w:rPr>
          <w:rFonts w:eastAsia="Times New Roman" w:cs="Times New Roman"/>
          <w:szCs w:val="20"/>
        </w:rPr>
        <w:t>ą</w:t>
      </w:r>
      <w:r w:rsidRPr="009E064B">
        <w:rPr>
          <w:rFonts w:eastAsia="Times New Roman" w:cs="Times New Roman"/>
          <w:spacing w:val="14"/>
          <w:szCs w:val="20"/>
        </w:rPr>
        <w:t xml:space="preserve"> </w:t>
      </w:r>
      <w:r w:rsidRPr="009E064B">
        <w:rPr>
          <w:rFonts w:eastAsia="Times New Roman" w:cs="Times New Roman"/>
          <w:szCs w:val="20"/>
        </w:rPr>
        <w:t>s</w:t>
      </w:r>
      <w:r w:rsidRPr="009E064B">
        <w:rPr>
          <w:rFonts w:eastAsia="Times New Roman" w:cs="Times New Roman"/>
          <w:spacing w:val="-2"/>
          <w:szCs w:val="20"/>
        </w:rPr>
        <w:t>i</w:t>
      </w:r>
      <w:r w:rsidRPr="009E064B">
        <w:rPr>
          <w:rFonts w:eastAsia="Times New Roman" w:cs="Times New Roman"/>
          <w:szCs w:val="20"/>
        </w:rPr>
        <w:t>ę</w:t>
      </w:r>
      <w:r w:rsidRPr="009E064B">
        <w:rPr>
          <w:rFonts w:eastAsia="Times New Roman" w:cs="Times New Roman"/>
          <w:spacing w:val="13"/>
          <w:szCs w:val="20"/>
        </w:rPr>
        <w:t xml:space="preserve"> </w:t>
      </w:r>
      <w:r w:rsidRPr="009E064B">
        <w:rPr>
          <w:rFonts w:eastAsia="Times New Roman" w:cs="Times New Roman"/>
          <w:szCs w:val="20"/>
        </w:rPr>
        <w:t>w</w:t>
      </w:r>
      <w:r w:rsidRPr="009E064B">
        <w:rPr>
          <w:rFonts w:eastAsia="Times New Roman" w:cs="Times New Roman"/>
          <w:spacing w:val="15"/>
          <w:szCs w:val="20"/>
        </w:rPr>
        <w:t xml:space="preserve"> </w:t>
      </w:r>
      <w:r w:rsidRPr="009E064B">
        <w:rPr>
          <w:rFonts w:eastAsia="Times New Roman" w:cs="Times New Roman"/>
          <w:szCs w:val="20"/>
        </w:rPr>
        <w:t>strefie</w:t>
      </w:r>
      <w:r w:rsidRPr="009E064B">
        <w:rPr>
          <w:rFonts w:eastAsia="Times New Roman" w:cs="Times New Roman"/>
          <w:spacing w:val="12"/>
          <w:szCs w:val="20"/>
        </w:rPr>
        <w:t xml:space="preserve"> </w:t>
      </w:r>
      <w:r w:rsidRPr="009E064B">
        <w:rPr>
          <w:rFonts w:eastAsia="Times New Roman" w:cs="Times New Roman"/>
          <w:szCs w:val="20"/>
        </w:rPr>
        <w:t>przeznaczonej</w:t>
      </w:r>
      <w:r w:rsidRPr="009E064B">
        <w:rPr>
          <w:rFonts w:eastAsia="Times New Roman" w:cs="Times New Roman"/>
          <w:spacing w:val="14"/>
          <w:szCs w:val="20"/>
        </w:rPr>
        <w:t xml:space="preserve"> </w:t>
      </w:r>
      <w:r w:rsidRPr="009E064B">
        <w:rPr>
          <w:rFonts w:eastAsia="Times New Roman" w:cs="Times New Roman"/>
          <w:szCs w:val="20"/>
        </w:rPr>
        <w:t>dla</w:t>
      </w:r>
      <w:r w:rsidRPr="009E064B">
        <w:rPr>
          <w:rFonts w:eastAsia="Times New Roman" w:cs="Times New Roman"/>
          <w:spacing w:val="14"/>
          <w:szCs w:val="20"/>
        </w:rPr>
        <w:t xml:space="preserve"> </w:t>
      </w:r>
      <w:r w:rsidRPr="009E064B">
        <w:rPr>
          <w:rFonts w:eastAsia="Times New Roman" w:cs="Times New Roman"/>
          <w:szCs w:val="20"/>
        </w:rPr>
        <w:t>ruchu</w:t>
      </w:r>
      <w:r w:rsidRPr="009E064B">
        <w:rPr>
          <w:rFonts w:eastAsia="Times New Roman" w:cs="Times New Roman"/>
          <w:spacing w:val="11"/>
          <w:szCs w:val="20"/>
        </w:rPr>
        <w:t xml:space="preserve"> </w:t>
      </w:r>
      <w:r w:rsidRPr="009E064B">
        <w:rPr>
          <w:rFonts w:eastAsia="Times New Roman" w:cs="Times New Roman"/>
          <w:szCs w:val="20"/>
        </w:rPr>
        <w:t>nazie</w:t>
      </w:r>
      <w:r w:rsidRPr="009E064B">
        <w:rPr>
          <w:rFonts w:eastAsia="Times New Roman" w:cs="Times New Roman"/>
          <w:spacing w:val="1"/>
          <w:szCs w:val="20"/>
        </w:rPr>
        <w:t>m</w:t>
      </w:r>
      <w:r w:rsidRPr="009E064B">
        <w:rPr>
          <w:rFonts w:eastAsia="Times New Roman" w:cs="Times New Roman"/>
          <w:szCs w:val="20"/>
        </w:rPr>
        <w:t>nego</w:t>
      </w:r>
      <w:r w:rsidRPr="009E064B">
        <w:rPr>
          <w:rFonts w:eastAsia="Times New Roman" w:cs="Times New Roman"/>
          <w:spacing w:val="13"/>
          <w:szCs w:val="20"/>
        </w:rPr>
        <w:t xml:space="preserve"> </w:t>
      </w:r>
      <w:r w:rsidRPr="009E064B">
        <w:rPr>
          <w:rFonts w:eastAsia="Times New Roman" w:cs="Times New Roman"/>
          <w:szCs w:val="20"/>
        </w:rPr>
        <w:t>statku</w:t>
      </w:r>
      <w:r w:rsidRPr="009E064B">
        <w:rPr>
          <w:rFonts w:eastAsia="Times New Roman" w:cs="Times New Roman"/>
          <w:spacing w:val="13"/>
          <w:szCs w:val="20"/>
        </w:rPr>
        <w:t xml:space="preserve"> </w:t>
      </w:r>
      <w:r w:rsidRPr="009E064B">
        <w:rPr>
          <w:rFonts w:eastAsia="Times New Roman" w:cs="Times New Roman"/>
          <w:szCs w:val="20"/>
        </w:rPr>
        <w:t>powietrznego,</w:t>
      </w:r>
      <w:r w:rsidRPr="009E064B">
        <w:rPr>
          <w:rFonts w:eastAsia="Times New Roman" w:cs="Times New Roman"/>
          <w:spacing w:val="11"/>
          <w:szCs w:val="20"/>
        </w:rPr>
        <w:t xml:space="preserve"> </w:t>
      </w:r>
      <w:r w:rsidRPr="009E064B">
        <w:rPr>
          <w:rFonts w:eastAsia="Times New Roman" w:cs="Times New Roman"/>
          <w:szCs w:val="20"/>
        </w:rPr>
        <w:t>lub</w:t>
      </w:r>
    </w:p>
    <w:p w14:paraId="7500CD70" w14:textId="77777777" w:rsidR="00B527C7" w:rsidRPr="009E064B" w:rsidRDefault="00B527C7" w:rsidP="00B527C7">
      <w:pPr>
        <w:numPr>
          <w:ilvl w:val="0"/>
          <w:numId w:val="12"/>
        </w:numPr>
        <w:tabs>
          <w:tab w:val="left" w:pos="567"/>
        </w:tabs>
        <w:ind w:left="567" w:right="-2" w:hanging="436"/>
        <w:rPr>
          <w:rFonts w:eastAsia="Times New Roman" w:cs="Times New Roman"/>
          <w:szCs w:val="20"/>
        </w:rPr>
      </w:pPr>
      <w:r w:rsidRPr="009E064B">
        <w:rPr>
          <w:rFonts w:eastAsia="Times New Roman" w:cs="Times New Roman"/>
          <w:szCs w:val="20"/>
        </w:rPr>
        <w:t>przekracza</w:t>
      </w:r>
      <w:r w:rsidRPr="009E064B">
        <w:rPr>
          <w:rFonts w:eastAsia="Times New Roman" w:cs="Times New Roman"/>
          <w:spacing w:val="-6"/>
          <w:szCs w:val="20"/>
        </w:rPr>
        <w:t>j</w:t>
      </w:r>
      <w:r w:rsidRPr="009E064B">
        <w:rPr>
          <w:rFonts w:eastAsia="Times New Roman" w:cs="Times New Roman"/>
          <w:szCs w:val="20"/>
        </w:rPr>
        <w:t>ą</w:t>
      </w:r>
      <w:r w:rsidRPr="009E064B">
        <w:rPr>
          <w:rFonts w:eastAsia="Times New Roman" w:cs="Times New Roman"/>
          <w:spacing w:val="29"/>
          <w:szCs w:val="20"/>
        </w:rPr>
        <w:t xml:space="preserve"> </w:t>
      </w:r>
      <w:r w:rsidRPr="009E064B">
        <w:rPr>
          <w:rFonts w:eastAsia="Times New Roman" w:cs="Times New Roman"/>
          <w:szCs w:val="20"/>
        </w:rPr>
        <w:t>okr</w:t>
      </w:r>
      <w:r w:rsidRPr="009E064B">
        <w:rPr>
          <w:rFonts w:eastAsia="Times New Roman" w:cs="Times New Roman"/>
          <w:spacing w:val="-1"/>
          <w:szCs w:val="20"/>
        </w:rPr>
        <w:t>e</w:t>
      </w:r>
      <w:r w:rsidRPr="009E064B">
        <w:rPr>
          <w:rFonts w:eastAsia="Times New Roman" w:cs="Times New Roman"/>
          <w:spacing w:val="-2"/>
          <w:szCs w:val="20"/>
        </w:rPr>
        <w:t>ś</w:t>
      </w:r>
      <w:r w:rsidRPr="009E064B">
        <w:rPr>
          <w:rFonts w:eastAsia="Times New Roman" w:cs="Times New Roman"/>
          <w:szCs w:val="20"/>
        </w:rPr>
        <w:t>loną</w:t>
      </w:r>
      <w:r w:rsidRPr="009E064B">
        <w:rPr>
          <w:rFonts w:eastAsia="Times New Roman" w:cs="Times New Roman"/>
          <w:spacing w:val="30"/>
          <w:szCs w:val="20"/>
        </w:rPr>
        <w:t xml:space="preserve"> </w:t>
      </w:r>
      <w:r w:rsidRPr="009E064B">
        <w:rPr>
          <w:rFonts w:eastAsia="Times New Roman" w:cs="Times New Roman"/>
          <w:szCs w:val="20"/>
        </w:rPr>
        <w:t>powierzchn</w:t>
      </w:r>
      <w:r w:rsidRPr="009E064B">
        <w:rPr>
          <w:rFonts w:eastAsia="Times New Roman" w:cs="Times New Roman"/>
          <w:spacing w:val="-5"/>
          <w:szCs w:val="20"/>
        </w:rPr>
        <w:t>i</w:t>
      </w:r>
      <w:r w:rsidRPr="009E064B">
        <w:rPr>
          <w:rFonts w:eastAsia="Times New Roman" w:cs="Times New Roman"/>
          <w:szCs w:val="20"/>
        </w:rPr>
        <w:t>ę</w:t>
      </w:r>
      <w:r w:rsidRPr="009E064B">
        <w:rPr>
          <w:rFonts w:eastAsia="Times New Roman" w:cs="Times New Roman"/>
          <w:spacing w:val="30"/>
          <w:szCs w:val="20"/>
        </w:rPr>
        <w:t xml:space="preserve"> </w:t>
      </w:r>
      <w:r w:rsidRPr="009E064B">
        <w:rPr>
          <w:rFonts w:eastAsia="Times New Roman" w:cs="Times New Roman"/>
          <w:szCs w:val="20"/>
        </w:rPr>
        <w:t>przeznaczoną</w:t>
      </w:r>
      <w:r w:rsidRPr="009E064B">
        <w:rPr>
          <w:rFonts w:eastAsia="Times New Roman" w:cs="Times New Roman"/>
          <w:spacing w:val="30"/>
          <w:szCs w:val="20"/>
        </w:rPr>
        <w:t xml:space="preserve"> </w:t>
      </w:r>
      <w:r w:rsidRPr="009E064B">
        <w:rPr>
          <w:rFonts w:eastAsia="Times New Roman" w:cs="Times New Roman"/>
          <w:szCs w:val="20"/>
        </w:rPr>
        <w:t>do ochrony</w:t>
      </w:r>
      <w:r w:rsidRPr="009E064B">
        <w:rPr>
          <w:rFonts w:eastAsia="Times New Roman" w:cs="Times New Roman"/>
          <w:spacing w:val="12"/>
          <w:szCs w:val="20"/>
        </w:rPr>
        <w:t xml:space="preserve"> </w:t>
      </w:r>
      <w:r w:rsidRPr="009E064B">
        <w:rPr>
          <w:rFonts w:eastAsia="Times New Roman" w:cs="Times New Roman"/>
          <w:szCs w:val="20"/>
        </w:rPr>
        <w:t>statku</w:t>
      </w:r>
      <w:r w:rsidRPr="009E064B">
        <w:rPr>
          <w:rFonts w:eastAsia="Times New Roman" w:cs="Times New Roman"/>
          <w:spacing w:val="13"/>
          <w:szCs w:val="20"/>
        </w:rPr>
        <w:t xml:space="preserve"> </w:t>
      </w:r>
      <w:r w:rsidRPr="009E064B">
        <w:rPr>
          <w:rFonts w:eastAsia="Times New Roman" w:cs="Times New Roman"/>
          <w:szCs w:val="20"/>
        </w:rPr>
        <w:t>powietrznego</w:t>
      </w:r>
      <w:r w:rsidRPr="009E064B">
        <w:rPr>
          <w:rFonts w:eastAsia="Times New Roman" w:cs="Times New Roman"/>
          <w:spacing w:val="14"/>
          <w:szCs w:val="20"/>
        </w:rPr>
        <w:t xml:space="preserve"> </w:t>
      </w:r>
      <w:r w:rsidRPr="009E064B">
        <w:rPr>
          <w:rFonts w:eastAsia="Times New Roman" w:cs="Times New Roman"/>
          <w:szCs w:val="20"/>
        </w:rPr>
        <w:t>w</w:t>
      </w:r>
      <w:r w:rsidRPr="009E064B">
        <w:rPr>
          <w:rFonts w:eastAsia="Times New Roman" w:cs="Times New Roman"/>
          <w:spacing w:val="16"/>
          <w:szCs w:val="20"/>
        </w:rPr>
        <w:t xml:space="preserve"> </w:t>
      </w:r>
      <w:r w:rsidRPr="009E064B">
        <w:rPr>
          <w:rFonts w:eastAsia="Times New Roman" w:cs="Times New Roman"/>
          <w:szCs w:val="20"/>
        </w:rPr>
        <w:t>locie,</w:t>
      </w:r>
      <w:r w:rsidRPr="009E064B">
        <w:rPr>
          <w:rFonts w:eastAsia="Times New Roman" w:cs="Times New Roman"/>
          <w:spacing w:val="12"/>
          <w:szCs w:val="20"/>
        </w:rPr>
        <w:t xml:space="preserve"> </w:t>
      </w:r>
      <w:r w:rsidRPr="009E064B">
        <w:rPr>
          <w:rFonts w:eastAsia="Times New Roman" w:cs="Times New Roman"/>
          <w:szCs w:val="20"/>
        </w:rPr>
        <w:t>lub</w:t>
      </w:r>
    </w:p>
    <w:p w14:paraId="3AD62C63" w14:textId="77777777" w:rsidR="00B527C7" w:rsidRPr="009E064B" w:rsidRDefault="00B527C7" w:rsidP="00B527C7">
      <w:pPr>
        <w:numPr>
          <w:ilvl w:val="0"/>
          <w:numId w:val="12"/>
        </w:numPr>
        <w:tabs>
          <w:tab w:val="left" w:pos="567"/>
        </w:tabs>
        <w:ind w:left="567" w:hanging="437"/>
        <w:rPr>
          <w:rFonts w:eastAsia="Times New Roman" w:cs="Times New Roman"/>
          <w:szCs w:val="20"/>
        </w:rPr>
      </w:pPr>
      <w:r w:rsidRPr="009E064B">
        <w:rPr>
          <w:rFonts w:eastAsia="Times New Roman" w:cs="Times New Roman"/>
          <w:szCs w:val="20"/>
        </w:rPr>
        <w:t>znajdu</w:t>
      </w:r>
      <w:r w:rsidRPr="009E064B">
        <w:rPr>
          <w:rFonts w:eastAsia="Times New Roman" w:cs="Times New Roman"/>
          <w:spacing w:val="-3"/>
          <w:szCs w:val="20"/>
        </w:rPr>
        <w:t>j</w:t>
      </w:r>
      <w:r w:rsidRPr="009E064B">
        <w:rPr>
          <w:rFonts w:eastAsia="Times New Roman" w:cs="Times New Roman"/>
          <w:szCs w:val="20"/>
        </w:rPr>
        <w:t>ą</w:t>
      </w:r>
      <w:r w:rsidRPr="009E064B">
        <w:rPr>
          <w:rFonts w:eastAsia="Times New Roman" w:cs="Times New Roman"/>
          <w:spacing w:val="38"/>
          <w:szCs w:val="20"/>
        </w:rPr>
        <w:t xml:space="preserve"> </w:t>
      </w:r>
      <w:r w:rsidRPr="009E064B">
        <w:rPr>
          <w:rFonts w:eastAsia="Times New Roman" w:cs="Times New Roman"/>
          <w:szCs w:val="20"/>
        </w:rPr>
        <w:t>s</w:t>
      </w:r>
      <w:r w:rsidRPr="009E064B">
        <w:rPr>
          <w:rFonts w:eastAsia="Times New Roman" w:cs="Times New Roman"/>
          <w:spacing w:val="-3"/>
          <w:szCs w:val="20"/>
        </w:rPr>
        <w:t>i</w:t>
      </w:r>
      <w:r w:rsidRPr="009E064B">
        <w:rPr>
          <w:rFonts w:eastAsia="Times New Roman" w:cs="Times New Roman"/>
          <w:szCs w:val="20"/>
        </w:rPr>
        <w:t>ę</w:t>
      </w:r>
      <w:r w:rsidRPr="009E064B">
        <w:rPr>
          <w:rFonts w:eastAsia="Times New Roman" w:cs="Times New Roman"/>
          <w:spacing w:val="38"/>
          <w:szCs w:val="20"/>
        </w:rPr>
        <w:t xml:space="preserve"> </w:t>
      </w:r>
      <w:r w:rsidRPr="009E064B">
        <w:rPr>
          <w:rFonts w:eastAsia="Times New Roman" w:cs="Times New Roman"/>
          <w:szCs w:val="20"/>
        </w:rPr>
        <w:t>poza</w:t>
      </w:r>
      <w:r w:rsidRPr="009E064B">
        <w:rPr>
          <w:rFonts w:eastAsia="Times New Roman" w:cs="Times New Roman"/>
          <w:spacing w:val="38"/>
          <w:szCs w:val="20"/>
        </w:rPr>
        <w:t xml:space="preserve"> </w:t>
      </w:r>
      <w:r w:rsidRPr="009E064B">
        <w:rPr>
          <w:rFonts w:eastAsia="Times New Roman" w:cs="Times New Roman"/>
          <w:szCs w:val="20"/>
        </w:rPr>
        <w:t>tymi</w:t>
      </w:r>
      <w:r w:rsidRPr="009E064B">
        <w:rPr>
          <w:rFonts w:eastAsia="Times New Roman" w:cs="Times New Roman"/>
          <w:spacing w:val="39"/>
          <w:szCs w:val="20"/>
        </w:rPr>
        <w:t xml:space="preserve"> </w:t>
      </w:r>
      <w:r w:rsidRPr="009E064B">
        <w:rPr>
          <w:rFonts w:eastAsia="Times New Roman" w:cs="Times New Roman"/>
          <w:szCs w:val="20"/>
        </w:rPr>
        <w:t>okr</w:t>
      </w:r>
      <w:r w:rsidRPr="009E064B">
        <w:rPr>
          <w:rFonts w:eastAsia="Times New Roman" w:cs="Times New Roman"/>
          <w:spacing w:val="-2"/>
          <w:szCs w:val="20"/>
        </w:rPr>
        <w:t>eś</w:t>
      </w:r>
      <w:r w:rsidRPr="009E064B">
        <w:rPr>
          <w:rFonts w:eastAsia="Times New Roman" w:cs="Times New Roman"/>
          <w:szCs w:val="20"/>
        </w:rPr>
        <w:t>lonymi</w:t>
      </w:r>
      <w:r w:rsidRPr="009E064B">
        <w:rPr>
          <w:rFonts w:eastAsia="Times New Roman" w:cs="Times New Roman"/>
          <w:spacing w:val="38"/>
          <w:szCs w:val="20"/>
        </w:rPr>
        <w:t xml:space="preserve"> </w:t>
      </w:r>
      <w:r w:rsidRPr="009E064B">
        <w:rPr>
          <w:rFonts w:eastAsia="Times New Roman" w:cs="Times New Roman"/>
          <w:szCs w:val="20"/>
        </w:rPr>
        <w:t>powierzchniami</w:t>
      </w:r>
      <w:r w:rsidRPr="009E064B">
        <w:rPr>
          <w:rFonts w:eastAsia="Times New Roman" w:cs="Times New Roman"/>
          <w:spacing w:val="6"/>
          <w:szCs w:val="20"/>
        </w:rPr>
        <w:t xml:space="preserve"> </w:t>
      </w:r>
      <w:r w:rsidRPr="009E064B">
        <w:rPr>
          <w:rFonts w:eastAsia="Times New Roman" w:cs="Times New Roman"/>
          <w:szCs w:val="20"/>
        </w:rPr>
        <w:t>i zost</w:t>
      </w:r>
      <w:r w:rsidRPr="009E064B">
        <w:rPr>
          <w:rFonts w:eastAsia="Times New Roman" w:cs="Times New Roman"/>
          <w:spacing w:val="-1"/>
          <w:szCs w:val="20"/>
        </w:rPr>
        <w:t>ał</w:t>
      </w:r>
      <w:r w:rsidRPr="009E064B">
        <w:rPr>
          <w:rFonts w:eastAsia="Times New Roman" w:cs="Times New Roman"/>
          <w:szCs w:val="20"/>
        </w:rPr>
        <w:t>y ocenione,</w:t>
      </w:r>
      <w:r w:rsidRPr="009E064B">
        <w:rPr>
          <w:rFonts w:eastAsia="Times New Roman" w:cs="Times New Roman"/>
          <w:spacing w:val="9"/>
          <w:szCs w:val="20"/>
        </w:rPr>
        <w:t xml:space="preserve"> </w:t>
      </w:r>
      <w:r w:rsidRPr="009E064B">
        <w:rPr>
          <w:rFonts w:eastAsia="Times New Roman" w:cs="Times New Roman"/>
          <w:szCs w:val="20"/>
        </w:rPr>
        <w:t>jako stanow</w:t>
      </w:r>
      <w:r w:rsidRPr="009E064B">
        <w:rPr>
          <w:rFonts w:eastAsia="Times New Roman" w:cs="Times New Roman"/>
          <w:spacing w:val="-1"/>
          <w:szCs w:val="20"/>
        </w:rPr>
        <w:t>i</w:t>
      </w:r>
      <w:r w:rsidRPr="009E064B">
        <w:rPr>
          <w:rFonts w:eastAsia="Times New Roman" w:cs="Times New Roman"/>
          <w:spacing w:val="-2"/>
          <w:szCs w:val="20"/>
        </w:rPr>
        <w:t>ą</w:t>
      </w:r>
      <w:r w:rsidRPr="009E064B">
        <w:rPr>
          <w:rFonts w:eastAsia="Times New Roman" w:cs="Times New Roman"/>
          <w:szCs w:val="20"/>
        </w:rPr>
        <w:t>ce zagr</w:t>
      </w:r>
      <w:r w:rsidRPr="009E064B">
        <w:rPr>
          <w:rFonts w:eastAsia="Times New Roman" w:cs="Times New Roman"/>
          <w:spacing w:val="-1"/>
          <w:szCs w:val="20"/>
        </w:rPr>
        <w:t>o</w:t>
      </w:r>
      <w:r w:rsidRPr="009E064B">
        <w:rPr>
          <w:rFonts w:eastAsia="Times New Roman" w:cs="Times New Roman"/>
          <w:szCs w:val="20"/>
        </w:rPr>
        <w:t xml:space="preserve">żenie dla </w:t>
      </w:r>
      <w:r w:rsidRPr="009E064B">
        <w:rPr>
          <w:rFonts w:eastAsia="Times New Roman" w:cs="Times New Roman"/>
          <w:spacing w:val="-1"/>
          <w:szCs w:val="20"/>
        </w:rPr>
        <w:t>ż</w:t>
      </w:r>
      <w:r w:rsidRPr="009E064B">
        <w:rPr>
          <w:rFonts w:eastAsia="Times New Roman" w:cs="Times New Roman"/>
          <w:szCs w:val="20"/>
        </w:rPr>
        <w:t>eglugi</w:t>
      </w:r>
      <w:r w:rsidRPr="009E064B">
        <w:rPr>
          <w:rFonts w:eastAsia="Times New Roman" w:cs="Times New Roman"/>
          <w:spacing w:val="43"/>
          <w:szCs w:val="20"/>
        </w:rPr>
        <w:t xml:space="preserve"> </w:t>
      </w:r>
      <w:r w:rsidRPr="009E064B">
        <w:rPr>
          <w:rFonts w:eastAsia="Times New Roman" w:cs="Times New Roman"/>
          <w:szCs w:val="20"/>
        </w:rPr>
        <w:t>powietrznej;</w:t>
      </w:r>
    </w:p>
    <w:p w14:paraId="45719E9E"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Strefa wolna od przeszkód </w:t>
      </w:r>
      <w:r w:rsidRPr="009E064B">
        <w:rPr>
          <w:rFonts w:eastAsia="Calibri" w:cs="TimesNewRomanPS-ItalicMT"/>
          <w:i/>
          <w:iCs/>
          <w:szCs w:val="20"/>
        </w:rPr>
        <w:t>(obstacle free zone - OFZ)</w:t>
      </w:r>
      <w:r w:rsidRPr="009E064B">
        <w:rPr>
          <w:rFonts w:eastAsia="Calibri" w:cs="TimesNewRomanPS-ItalicMT"/>
          <w:iCs/>
          <w:szCs w:val="20"/>
        </w:rPr>
        <w:t xml:space="preserve"> </w:t>
      </w:r>
      <w:r w:rsidRPr="009E064B">
        <w:rPr>
          <w:rFonts w:eastAsia="Calibri" w:cs="TimesNewRomanPSMT"/>
          <w:szCs w:val="20"/>
        </w:rPr>
        <w:t xml:space="preserve">– oznacza przestrzeń powietrzną znajdującą się powyżej powierzchni podejścia wewnętrznej, powierzchni przejściowych wewnętrznych, powierzchni przerwanego lądowania oraz tej części pasa drogi startowej ograniczonej przez te powierzchnie, w której nie występuje żadna przeszkoda stała z </w:t>
      </w:r>
      <w:r w:rsidRPr="009E064B">
        <w:rPr>
          <w:rFonts w:eastAsia="Calibri" w:cs="Times New Roman"/>
          <w:szCs w:val="20"/>
        </w:rPr>
        <w:t>wyjątkiem obiektów lekkich i łamliwych, niezbędnych dla celów nawigacji lotniczej.</w:t>
      </w:r>
    </w:p>
    <w:p w14:paraId="32DEE645" w14:textId="77777777"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MT"/>
          <w:b/>
          <w:szCs w:val="20"/>
        </w:rPr>
        <w:t>Powierzchnia ograniczająca przeszkody</w:t>
      </w:r>
      <w:r w:rsidRPr="009E064B">
        <w:rPr>
          <w:rFonts w:eastAsia="Calibri" w:cs="TimesNewRomanPSMT"/>
          <w:szCs w:val="20"/>
        </w:rPr>
        <w:t xml:space="preserve"> </w:t>
      </w:r>
      <w:r w:rsidRPr="009E064B">
        <w:rPr>
          <w:rFonts w:eastAsia="Calibri" w:cs="TimesNewRomanPSMT"/>
          <w:i/>
          <w:szCs w:val="20"/>
        </w:rPr>
        <w:t>(obstacle limitation surface)</w:t>
      </w:r>
      <w:r w:rsidRPr="009E064B">
        <w:rPr>
          <w:rFonts w:eastAsia="Calibri" w:cs="TimesNewRomanPSMT"/>
          <w:szCs w:val="20"/>
        </w:rPr>
        <w:t xml:space="preserve"> </w:t>
      </w:r>
      <w:r w:rsidRPr="009E064B">
        <w:rPr>
          <w:rFonts w:eastAsia="Times New Roman" w:cs="Times New Roman"/>
          <w:szCs w:val="20"/>
        </w:rPr>
        <w:t xml:space="preserve">oznacza </w:t>
      </w:r>
      <w:r w:rsidRPr="009E064B">
        <w:rPr>
          <w:rFonts w:eastAsia="Calibri" w:cs="TimesNewRomanPSMT"/>
          <w:szCs w:val="20"/>
        </w:rPr>
        <w:t>powierzchn</w:t>
      </w:r>
      <w:r w:rsidRPr="009E064B">
        <w:rPr>
          <w:rFonts w:eastAsia="Calibri" w:cs="TimesNewRomanPSMT"/>
          <w:spacing w:val="-4"/>
          <w:szCs w:val="20"/>
        </w:rPr>
        <w:t>i</w:t>
      </w:r>
      <w:r w:rsidRPr="009E064B">
        <w:rPr>
          <w:rFonts w:eastAsia="Calibri" w:cs="TimesNewRomanPSMT"/>
          <w:szCs w:val="20"/>
        </w:rPr>
        <w:t>ę</w:t>
      </w:r>
      <w:r w:rsidRPr="009E064B">
        <w:rPr>
          <w:rFonts w:eastAsia="Times New Roman" w:cs="Times New Roman"/>
          <w:szCs w:val="20"/>
        </w:rPr>
        <w:t xml:space="preserve"> wyznacza</w:t>
      </w:r>
      <w:r w:rsidRPr="009E064B">
        <w:rPr>
          <w:rFonts w:eastAsia="Times New Roman" w:cs="Times New Roman"/>
          <w:spacing w:val="-3"/>
          <w:szCs w:val="20"/>
        </w:rPr>
        <w:t>j</w:t>
      </w:r>
      <w:r w:rsidRPr="009E064B">
        <w:rPr>
          <w:rFonts w:eastAsia="Times New Roman" w:cs="Times New Roman"/>
          <w:spacing w:val="-2"/>
          <w:szCs w:val="20"/>
        </w:rPr>
        <w:t>ą</w:t>
      </w:r>
      <w:r w:rsidRPr="009E064B">
        <w:rPr>
          <w:rFonts w:eastAsia="Times New Roman" w:cs="Times New Roman"/>
          <w:spacing w:val="-1"/>
          <w:szCs w:val="20"/>
        </w:rPr>
        <w:t>c</w:t>
      </w:r>
      <w:r w:rsidRPr="009E064B">
        <w:rPr>
          <w:rFonts w:eastAsia="Times New Roman" w:cs="Times New Roman"/>
          <w:szCs w:val="20"/>
        </w:rPr>
        <w:t>ą granice,</w:t>
      </w:r>
      <w:r w:rsidRPr="009E064B">
        <w:rPr>
          <w:rFonts w:eastAsia="Times New Roman" w:cs="Times New Roman"/>
          <w:spacing w:val="3"/>
          <w:szCs w:val="20"/>
        </w:rPr>
        <w:t xml:space="preserve"> </w:t>
      </w:r>
      <w:r w:rsidRPr="009E064B">
        <w:rPr>
          <w:rFonts w:eastAsia="Times New Roman" w:cs="Times New Roman"/>
          <w:szCs w:val="20"/>
        </w:rPr>
        <w:t>w ramach których obiekty</w:t>
      </w:r>
      <w:r w:rsidRPr="009E064B">
        <w:rPr>
          <w:rFonts w:eastAsia="Times New Roman" w:cs="Times New Roman"/>
          <w:spacing w:val="42"/>
          <w:szCs w:val="20"/>
        </w:rPr>
        <w:t xml:space="preserve"> </w:t>
      </w:r>
      <w:r w:rsidRPr="009E064B">
        <w:rPr>
          <w:rFonts w:eastAsia="Times New Roman" w:cs="Times New Roman"/>
          <w:szCs w:val="20"/>
        </w:rPr>
        <w:t>mogą</w:t>
      </w:r>
      <w:r w:rsidRPr="009E064B">
        <w:rPr>
          <w:rFonts w:eastAsia="Times New Roman" w:cs="Times New Roman"/>
          <w:spacing w:val="43"/>
          <w:szCs w:val="20"/>
        </w:rPr>
        <w:t xml:space="preserve"> </w:t>
      </w:r>
      <w:r w:rsidRPr="009E064B">
        <w:rPr>
          <w:rFonts w:eastAsia="Times New Roman" w:cs="Times New Roman"/>
          <w:szCs w:val="20"/>
        </w:rPr>
        <w:t>wystaw</w:t>
      </w:r>
      <w:r w:rsidRPr="009E064B">
        <w:rPr>
          <w:rFonts w:eastAsia="Times New Roman" w:cs="Times New Roman"/>
          <w:spacing w:val="-4"/>
          <w:szCs w:val="20"/>
        </w:rPr>
        <w:t>a</w:t>
      </w:r>
      <w:r w:rsidRPr="009E064B">
        <w:rPr>
          <w:rFonts w:eastAsia="Times New Roman" w:cs="Times New Roman"/>
          <w:szCs w:val="20"/>
        </w:rPr>
        <w:t>ć</w:t>
      </w:r>
      <w:r w:rsidRPr="009E064B">
        <w:rPr>
          <w:rFonts w:eastAsia="Times New Roman" w:cs="Times New Roman"/>
          <w:spacing w:val="43"/>
          <w:szCs w:val="20"/>
        </w:rPr>
        <w:t xml:space="preserve"> </w:t>
      </w:r>
      <w:r w:rsidRPr="009E064B">
        <w:rPr>
          <w:rFonts w:eastAsia="Times New Roman" w:cs="Times New Roman"/>
          <w:szCs w:val="20"/>
        </w:rPr>
        <w:t>w przestrzeni</w:t>
      </w:r>
      <w:r w:rsidRPr="009E064B">
        <w:rPr>
          <w:rFonts w:eastAsia="Times New Roman" w:cs="Times New Roman"/>
          <w:spacing w:val="42"/>
          <w:szCs w:val="20"/>
        </w:rPr>
        <w:t xml:space="preserve"> </w:t>
      </w:r>
      <w:r w:rsidRPr="009E064B">
        <w:rPr>
          <w:rFonts w:eastAsia="Times New Roman" w:cs="Times New Roman"/>
          <w:szCs w:val="20"/>
        </w:rPr>
        <w:t>powietrznej;</w:t>
      </w:r>
    </w:p>
    <w:p w14:paraId="2C34BADC" w14:textId="77777777" w:rsidR="00B527C7" w:rsidRPr="009E064B" w:rsidRDefault="00B527C7" w:rsidP="00B527C7">
      <w:pPr>
        <w:autoSpaceDE w:val="0"/>
        <w:autoSpaceDN w:val="0"/>
        <w:adjustRightInd w:val="0"/>
        <w:ind w:left="142" w:hanging="142"/>
        <w:rPr>
          <w:rFonts w:eastAsia="Times New Roman" w:cs="Times New Roman"/>
          <w:szCs w:val="20"/>
        </w:rPr>
      </w:pPr>
      <w:r w:rsidRPr="009E064B">
        <w:rPr>
          <w:rFonts w:eastAsia="Calibri" w:cs="TimesNewRomanPSMT"/>
          <w:b/>
          <w:szCs w:val="20"/>
        </w:rPr>
        <w:t>Powierzchnia zabezpieczenia przeszkodowego</w:t>
      </w:r>
      <w:r w:rsidRPr="009E064B">
        <w:rPr>
          <w:rFonts w:eastAsia="Calibri" w:cs="TimesNewRomanPSMT"/>
          <w:szCs w:val="20"/>
        </w:rPr>
        <w:t xml:space="preserve"> </w:t>
      </w:r>
      <w:r w:rsidRPr="009E064B">
        <w:rPr>
          <w:rFonts w:eastAsia="Calibri" w:cs="TimesNewRomanPSMT"/>
          <w:i/>
          <w:szCs w:val="20"/>
        </w:rPr>
        <w:t>(obstacle protection surface</w:t>
      </w:r>
      <w:r w:rsidRPr="009E064B">
        <w:rPr>
          <w:rFonts w:eastAsia="Times New Roman" w:cs="Times New Roman"/>
          <w:spacing w:val="-1"/>
          <w:szCs w:val="20"/>
        </w:rPr>
        <w:t xml:space="preserve">) oznacza </w:t>
      </w:r>
      <w:r w:rsidRPr="009E064B">
        <w:rPr>
          <w:rFonts w:eastAsia="Times New Roman" w:cs="Times New Roman"/>
          <w:szCs w:val="20"/>
        </w:rPr>
        <w:t>powierzchn</w:t>
      </w:r>
      <w:r w:rsidRPr="009E064B">
        <w:rPr>
          <w:rFonts w:eastAsia="Times New Roman" w:cs="Times New Roman"/>
          <w:spacing w:val="-4"/>
          <w:szCs w:val="20"/>
        </w:rPr>
        <w:t>i</w:t>
      </w:r>
      <w:r w:rsidRPr="009E064B">
        <w:rPr>
          <w:rFonts w:eastAsia="Times New Roman" w:cs="Times New Roman"/>
          <w:szCs w:val="20"/>
        </w:rPr>
        <w:t>ę</w:t>
      </w:r>
      <w:r w:rsidRPr="009E064B">
        <w:rPr>
          <w:rFonts w:eastAsia="Times New Roman" w:cs="Times New Roman"/>
          <w:spacing w:val="29"/>
          <w:szCs w:val="20"/>
        </w:rPr>
        <w:t xml:space="preserve"> </w:t>
      </w:r>
      <w:r w:rsidRPr="009E064B">
        <w:rPr>
          <w:rFonts w:eastAsia="Times New Roman" w:cs="Times New Roman"/>
          <w:szCs w:val="20"/>
        </w:rPr>
        <w:t>ustanowio</w:t>
      </w:r>
      <w:r w:rsidRPr="009E064B">
        <w:rPr>
          <w:rFonts w:eastAsia="Times New Roman" w:cs="Times New Roman"/>
          <w:spacing w:val="-1"/>
          <w:szCs w:val="20"/>
        </w:rPr>
        <w:t>n</w:t>
      </w:r>
      <w:r w:rsidRPr="009E064B">
        <w:rPr>
          <w:rFonts w:eastAsia="Times New Roman" w:cs="Times New Roman"/>
          <w:szCs w:val="20"/>
        </w:rPr>
        <w:t>ą</w:t>
      </w:r>
      <w:r w:rsidRPr="009E064B">
        <w:rPr>
          <w:rFonts w:eastAsia="Times New Roman" w:cs="Times New Roman"/>
          <w:spacing w:val="29"/>
          <w:szCs w:val="20"/>
        </w:rPr>
        <w:t xml:space="preserve"> </w:t>
      </w:r>
      <w:r w:rsidRPr="009E064B">
        <w:rPr>
          <w:rFonts w:eastAsia="Times New Roman" w:cs="Times New Roman"/>
          <w:szCs w:val="20"/>
        </w:rPr>
        <w:t>na potrzeby</w:t>
      </w:r>
      <w:r w:rsidRPr="009E064B">
        <w:rPr>
          <w:rFonts w:eastAsia="Times New Roman" w:cs="Times New Roman"/>
          <w:spacing w:val="27"/>
          <w:szCs w:val="20"/>
        </w:rPr>
        <w:t xml:space="preserve"> </w:t>
      </w:r>
      <w:r w:rsidRPr="009E064B">
        <w:rPr>
          <w:rFonts w:eastAsia="Times New Roman" w:cs="Times New Roman"/>
          <w:szCs w:val="20"/>
        </w:rPr>
        <w:t>systemu</w:t>
      </w:r>
      <w:r w:rsidRPr="009E064B">
        <w:rPr>
          <w:rFonts w:eastAsia="Times New Roman" w:cs="Times New Roman"/>
          <w:spacing w:val="27"/>
          <w:szCs w:val="20"/>
        </w:rPr>
        <w:t xml:space="preserve"> </w:t>
      </w:r>
      <w:r w:rsidRPr="009E064B">
        <w:rPr>
          <w:rFonts w:eastAsia="Times New Roman" w:cs="Times New Roman"/>
          <w:szCs w:val="20"/>
        </w:rPr>
        <w:t>wzrokowych</w:t>
      </w:r>
      <w:r w:rsidRPr="009E064B">
        <w:rPr>
          <w:rFonts w:eastAsia="Times New Roman" w:cs="Times New Roman"/>
          <w:spacing w:val="26"/>
          <w:szCs w:val="20"/>
        </w:rPr>
        <w:t xml:space="preserve"> </w:t>
      </w:r>
      <w:r w:rsidRPr="009E064B">
        <w:rPr>
          <w:rFonts w:eastAsia="Times New Roman" w:cs="Times New Roman"/>
          <w:szCs w:val="20"/>
        </w:rPr>
        <w:t>wsk</w:t>
      </w:r>
      <w:r w:rsidRPr="009E064B">
        <w:rPr>
          <w:rFonts w:eastAsia="Times New Roman" w:cs="Times New Roman"/>
          <w:spacing w:val="-2"/>
          <w:szCs w:val="20"/>
        </w:rPr>
        <w:t>a</w:t>
      </w:r>
      <w:r w:rsidRPr="009E064B">
        <w:rPr>
          <w:rFonts w:eastAsia="Times New Roman" w:cs="Times New Roman"/>
          <w:spacing w:val="-1"/>
          <w:szCs w:val="20"/>
        </w:rPr>
        <w:t>ź</w:t>
      </w:r>
      <w:r w:rsidRPr="009E064B">
        <w:rPr>
          <w:rFonts w:eastAsia="Times New Roman" w:cs="Times New Roman"/>
          <w:szCs w:val="20"/>
        </w:rPr>
        <w:t>ników</w:t>
      </w:r>
      <w:r w:rsidRPr="009E064B">
        <w:rPr>
          <w:rFonts w:eastAsia="Times New Roman" w:cs="Times New Roman"/>
          <w:spacing w:val="29"/>
          <w:szCs w:val="20"/>
        </w:rPr>
        <w:t xml:space="preserve"> </w:t>
      </w:r>
      <w:r w:rsidRPr="009E064B">
        <w:rPr>
          <w:rFonts w:eastAsia="Times New Roman" w:cs="Times New Roman"/>
          <w:spacing w:val="-2"/>
          <w:szCs w:val="20"/>
        </w:rPr>
        <w:t>ś</w:t>
      </w:r>
      <w:r w:rsidRPr="009E064B">
        <w:rPr>
          <w:rFonts w:eastAsia="Times New Roman" w:cs="Times New Roman"/>
          <w:szCs w:val="20"/>
        </w:rPr>
        <w:t>ci</w:t>
      </w:r>
      <w:r w:rsidRPr="009E064B">
        <w:rPr>
          <w:rFonts w:eastAsia="Times New Roman" w:cs="Times New Roman"/>
          <w:spacing w:val="-3"/>
          <w:szCs w:val="20"/>
        </w:rPr>
        <w:t>e</w:t>
      </w:r>
      <w:r w:rsidRPr="009E064B">
        <w:rPr>
          <w:rFonts w:eastAsia="Times New Roman" w:cs="Times New Roman"/>
          <w:szCs w:val="20"/>
        </w:rPr>
        <w:t>żki</w:t>
      </w:r>
      <w:r w:rsidRPr="009E064B">
        <w:rPr>
          <w:rFonts w:eastAsia="Times New Roman" w:cs="Times New Roman"/>
          <w:spacing w:val="29"/>
          <w:szCs w:val="20"/>
        </w:rPr>
        <w:t xml:space="preserve"> </w:t>
      </w:r>
      <w:r w:rsidRPr="009E064B">
        <w:rPr>
          <w:rFonts w:eastAsia="Calibri" w:cs="Times New Roman"/>
          <w:szCs w:val="20"/>
        </w:rPr>
        <w:t>pode</w:t>
      </w:r>
      <w:r w:rsidRPr="009E064B">
        <w:rPr>
          <w:rFonts w:eastAsia="Calibri" w:cs="Times New Roman"/>
          <w:spacing w:val="-2"/>
          <w:szCs w:val="20"/>
        </w:rPr>
        <w:t>jś</w:t>
      </w:r>
      <w:r w:rsidRPr="009E064B">
        <w:rPr>
          <w:rFonts w:eastAsia="Calibri" w:cs="Times New Roman"/>
          <w:szCs w:val="20"/>
        </w:rPr>
        <w:t>cia</w:t>
      </w:r>
      <w:r w:rsidRPr="009E064B">
        <w:rPr>
          <w:rFonts w:eastAsia="Times New Roman" w:cs="Times New Roman"/>
          <w:szCs w:val="20"/>
        </w:rPr>
        <w:t>,</w:t>
      </w:r>
      <w:r w:rsidRPr="009E064B">
        <w:rPr>
          <w:rFonts w:eastAsia="Times New Roman" w:cs="Times New Roman"/>
          <w:spacing w:val="26"/>
          <w:szCs w:val="20"/>
        </w:rPr>
        <w:t xml:space="preserve"> </w:t>
      </w:r>
      <w:r w:rsidRPr="009E064B">
        <w:rPr>
          <w:rFonts w:eastAsia="Times New Roman" w:cs="Times New Roman"/>
          <w:szCs w:val="20"/>
        </w:rPr>
        <w:t>pow</w:t>
      </w:r>
      <w:r w:rsidRPr="009E064B">
        <w:rPr>
          <w:rFonts w:eastAsia="Times New Roman" w:cs="Times New Roman"/>
          <w:spacing w:val="-2"/>
          <w:szCs w:val="20"/>
        </w:rPr>
        <w:t>y</w:t>
      </w:r>
      <w:r w:rsidRPr="009E064B">
        <w:rPr>
          <w:rFonts w:eastAsia="Times New Roman" w:cs="Times New Roman"/>
          <w:szCs w:val="20"/>
        </w:rPr>
        <w:t>żej</w:t>
      </w:r>
      <w:r w:rsidRPr="009E064B">
        <w:rPr>
          <w:rFonts w:eastAsia="Times New Roman" w:cs="Times New Roman"/>
          <w:spacing w:val="28"/>
          <w:szCs w:val="20"/>
        </w:rPr>
        <w:t xml:space="preserve"> </w:t>
      </w:r>
      <w:r w:rsidRPr="009E064B">
        <w:rPr>
          <w:rFonts w:eastAsia="Times New Roman" w:cs="Times New Roman"/>
          <w:szCs w:val="20"/>
        </w:rPr>
        <w:t>której</w:t>
      </w:r>
      <w:r w:rsidRPr="009E064B">
        <w:rPr>
          <w:rFonts w:eastAsia="Times New Roman" w:cs="Times New Roman"/>
          <w:spacing w:val="27"/>
          <w:szCs w:val="20"/>
        </w:rPr>
        <w:t xml:space="preserve"> </w:t>
      </w:r>
      <w:r w:rsidRPr="009E064B">
        <w:rPr>
          <w:rFonts w:eastAsia="Times New Roman" w:cs="Times New Roman"/>
          <w:szCs w:val="20"/>
        </w:rPr>
        <w:t>nie dopuszcza s</w:t>
      </w:r>
      <w:r w:rsidRPr="009E064B">
        <w:rPr>
          <w:rFonts w:eastAsia="Times New Roman" w:cs="Times New Roman"/>
          <w:spacing w:val="-2"/>
          <w:szCs w:val="20"/>
        </w:rPr>
        <w:t>i</w:t>
      </w:r>
      <w:r w:rsidRPr="009E064B">
        <w:rPr>
          <w:rFonts w:eastAsia="Times New Roman" w:cs="Times New Roman"/>
          <w:szCs w:val="20"/>
        </w:rPr>
        <w:t>ę obecno</w:t>
      </w:r>
      <w:r w:rsidRPr="009E064B">
        <w:rPr>
          <w:rFonts w:eastAsia="Times New Roman" w:cs="Times New Roman"/>
          <w:spacing w:val="-2"/>
          <w:szCs w:val="20"/>
        </w:rPr>
        <w:t>ś</w:t>
      </w:r>
      <w:r w:rsidRPr="009E064B">
        <w:rPr>
          <w:rFonts w:eastAsia="Times New Roman" w:cs="Times New Roman"/>
          <w:szCs w:val="20"/>
        </w:rPr>
        <w:t>ci obiektów</w:t>
      </w:r>
      <w:r w:rsidRPr="009E064B">
        <w:rPr>
          <w:rFonts w:eastAsia="Times New Roman" w:cs="Times New Roman"/>
          <w:spacing w:val="4"/>
          <w:szCs w:val="20"/>
        </w:rPr>
        <w:t xml:space="preserve"> </w:t>
      </w:r>
      <w:r w:rsidRPr="009E064B">
        <w:rPr>
          <w:rFonts w:eastAsia="Times New Roman" w:cs="Times New Roman"/>
          <w:szCs w:val="20"/>
        </w:rPr>
        <w:t>ani rozbudowy</w:t>
      </w:r>
      <w:r w:rsidRPr="009E064B">
        <w:rPr>
          <w:rFonts w:eastAsia="Times New Roman" w:cs="Times New Roman"/>
          <w:spacing w:val="4"/>
          <w:szCs w:val="20"/>
        </w:rPr>
        <w:t xml:space="preserve"> </w:t>
      </w:r>
      <w:r w:rsidRPr="009E064B">
        <w:rPr>
          <w:rFonts w:eastAsia="Times New Roman" w:cs="Times New Roman"/>
          <w:szCs w:val="20"/>
        </w:rPr>
        <w:t>istnie</w:t>
      </w:r>
      <w:r w:rsidRPr="009E064B">
        <w:rPr>
          <w:rFonts w:eastAsia="Times New Roman" w:cs="Times New Roman"/>
          <w:spacing w:val="-2"/>
          <w:szCs w:val="20"/>
        </w:rPr>
        <w:t>j</w:t>
      </w:r>
      <w:r w:rsidRPr="009E064B">
        <w:rPr>
          <w:rFonts w:eastAsia="Times New Roman" w:cs="Times New Roman"/>
          <w:spacing w:val="-1"/>
          <w:szCs w:val="20"/>
        </w:rPr>
        <w:t>ą</w:t>
      </w:r>
      <w:r w:rsidRPr="009E064B">
        <w:rPr>
          <w:rFonts w:eastAsia="Times New Roman" w:cs="Times New Roman"/>
          <w:szCs w:val="20"/>
        </w:rPr>
        <w:t>cych</w:t>
      </w:r>
      <w:r w:rsidRPr="009E064B">
        <w:rPr>
          <w:rFonts w:eastAsia="Times New Roman" w:cs="Times New Roman"/>
          <w:spacing w:val="24"/>
          <w:szCs w:val="20"/>
        </w:rPr>
        <w:t xml:space="preserve"> </w:t>
      </w:r>
      <w:r w:rsidRPr="009E064B">
        <w:rPr>
          <w:rFonts w:eastAsia="Times New Roman" w:cs="Times New Roman"/>
          <w:szCs w:val="20"/>
        </w:rPr>
        <w:t>obiektów,</w:t>
      </w:r>
      <w:r w:rsidRPr="009E064B">
        <w:rPr>
          <w:rFonts w:eastAsia="Times New Roman" w:cs="Times New Roman"/>
          <w:spacing w:val="26"/>
          <w:szCs w:val="20"/>
        </w:rPr>
        <w:t xml:space="preserve"> </w:t>
      </w:r>
      <w:r w:rsidRPr="009E064B">
        <w:rPr>
          <w:rFonts w:eastAsia="Times New Roman" w:cs="Times New Roman"/>
          <w:szCs w:val="20"/>
        </w:rPr>
        <w:t>z</w:t>
      </w:r>
      <w:r w:rsidRPr="009E064B">
        <w:rPr>
          <w:rFonts w:eastAsia="Times New Roman" w:cs="Times New Roman"/>
          <w:spacing w:val="30"/>
          <w:szCs w:val="20"/>
        </w:rPr>
        <w:t> </w:t>
      </w:r>
      <w:r w:rsidRPr="009E064B">
        <w:rPr>
          <w:rFonts w:eastAsia="Times New Roman" w:cs="Times New Roman"/>
          <w:szCs w:val="20"/>
        </w:rPr>
        <w:t>wy</w:t>
      </w:r>
      <w:r w:rsidRPr="009E064B">
        <w:rPr>
          <w:rFonts w:eastAsia="Times New Roman" w:cs="Times New Roman"/>
          <w:spacing w:val="-4"/>
          <w:szCs w:val="20"/>
        </w:rPr>
        <w:t>j</w:t>
      </w:r>
      <w:r w:rsidRPr="009E064B">
        <w:rPr>
          <w:rFonts w:eastAsia="Times New Roman" w:cs="Times New Roman"/>
          <w:spacing w:val="-1"/>
          <w:szCs w:val="20"/>
        </w:rPr>
        <w:t>ą</w:t>
      </w:r>
      <w:r w:rsidRPr="009E064B">
        <w:rPr>
          <w:rFonts w:eastAsia="Times New Roman" w:cs="Times New Roman"/>
          <w:szCs w:val="20"/>
        </w:rPr>
        <w:t>tkiem</w:t>
      </w:r>
      <w:r w:rsidRPr="009E064B">
        <w:rPr>
          <w:rFonts w:eastAsia="Times New Roman" w:cs="Times New Roman"/>
          <w:spacing w:val="27"/>
          <w:szCs w:val="20"/>
        </w:rPr>
        <w:t xml:space="preserve"> </w:t>
      </w:r>
      <w:r w:rsidRPr="009E064B">
        <w:rPr>
          <w:rFonts w:eastAsia="Times New Roman" w:cs="Times New Roman"/>
          <w:szCs w:val="20"/>
        </w:rPr>
        <w:t>sytuacji,</w:t>
      </w:r>
      <w:r w:rsidRPr="009E064B">
        <w:rPr>
          <w:rFonts w:eastAsia="Times New Roman" w:cs="Times New Roman"/>
          <w:spacing w:val="20"/>
          <w:szCs w:val="20"/>
        </w:rPr>
        <w:t xml:space="preserve"> </w:t>
      </w:r>
      <w:r w:rsidRPr="009E064B">
        <w:rPr>
          <w:rFonts w:eastAsia="Times New Roman" w:cs="Times New Roman"/>
          <w:szCs w:val="20"/>
        </w:rPr>
        <w:t>w</w:t>
      </w:r>
      <w:r w:rsidRPr="009E064B">
        <w:rPr>
          <w:rFonts w:eastAsia="Times New Roman" w:cs="Times New Roman"/>
          <w:spacing w:val="30"/>
          <w:szCs w:val="20"/>
        </w:rPr>
        <w:t> </w:t>
      </w:r>
      <w:r w:rsidRPr="009E064B">
        <w:rPr>
          <w:rFonts w:eastAsia="Times New Roman" w:cs="Times New Roman"/>
          <w:szCs w:val="20"/>
        </w:rPr>
        <w:t>których</w:t>
      </w:r>
      <w:r w:rsidRPr="009E064B">
        <w:rPr>
          <w:rFonts w:eastAsia="Times New Roman" w:cs="Times New Roman"/>
          <w:spacing w:val="23"/>
          <w:szCs w:val="20"/>
        </w:rPr>
        <w:t xml:space="preserve"> </w:t>
      </w:r>
      <w:r w:rsidRPr="009E064B">
        <w:rPr>
          <w:rFonts w:eastAsia="Times New Roman" w:cs="Times New Roman"/>
          <w:szCs w:val="20"/>
        </w:rPr>
        <w:t>–</w:t>
      </w:r>
      <w:r w:rsidRPr="009E064B">
        <w:rPr>
          <w:rFonts w:eastAsia="Times New Roman" w:cs="Times New Roman"/>
          <w:spacing w:val="27"/>
          <w:szCs w:val="20"/>
        </w:rPr>
        <w:t xml:space="preserve"> </w:t>
      </w:r>
      <w:r w:rsidRPr="009E064B">
        <w:rPr>
          <w:rFonts w:eastAsia="Times New Roman" w:cs="Times New Roman"/>
          <w:szCs w:val="20"/>
        </w:rPr>
        <w:t xml:space="preserve">zdaniem </w:t>
      </w:r>
      <w:r w:rsidRPr="009E064B">
        <w:rPr>
          <w:rFonts w:eastAsia="Times New Roman" w:cs="Times New Roman"/>
          <w:spacing w:val="-1"/>
          <w:szCs w:val="20"/>
        </w:rPr>
        <w:t>wła</w:t>
      </w:r>
      <w:r w:rsidRPr="009E064B">
        <w:rPr>
          <w:rFonts w:eastAsia="Times New Roman" w:cs="Times New Roman"/>
          <w:spacing w:val="-2"/>
          <w:szCs w:val="20"/>
        </w:rPr>
        <w:t>ś</w:t>
      </w:r>
      <w:r w:rsidRPr="009E064B">
        <w:rPr>
          <w:rFonts w:eastAsia="Times New Roman" w:cs="Times New Roman"/>
          <w:szCs w:val="20"/>
        </w:rPr>
        <w:t>ciwego</w:t>
      </w:r>
      <w:r w:rsidRPr="009E064B">
        <w:rPr>
          <w:rFonts w:eastAsia="Times New Roman" w:cs="Times New Roman"/>
          <w:spacing w:val="36"/>
          <w:szCs w:val="20"/>
        </w:rPr>
        <w:t xml:space="preserve"> </w:t>
      </w:r>
      <w:r w:rsidRPr="009E064B">
        <w:rPr>
          <w:rFonts w:eastAsia="Times New Roman" w:cs="Times New Roman"/>
          <w:szCs w:val="20"/>
        </w:rPr>
        <w:t>organu</w:t>
      </w:r>
      <w:r w:rsidRPr="009E064B">
        <w:rPr>
          <w:rFonts w:eastAsia="Times New Roman" w:cs="Times New Roman"/>
          <w:spacing w:val="36"/>
          <w:szCs w:val="20"/>
        </w:rPr>
        <w:t xml:space="preserve"> </w:t>
      </w:r>
      <w:r w:rsidRPr="009E064B">
        <w:rPr>
          <w:rFonts w:eastAsia="Times New Roman" w:cs="Times New Roman"/>
          <w:szCs w:val="20"/>
        </w:rPr>
        <w:t>–</w:t>
      </w:r>
      <w:r w:rsidRPr="009E064B">
        <w:rPr>
          <w:rFonts w:eastAsia="Times New Roman" w:cs="Times New Roman"/>
          <w:spacing w:val="38"/>
          <w:szCs w:val="20"/>
        </w:rPr>
        <w:t xml:space="preserve"> </w:t>
      </w:r>
      <w:r w:rsidRPr="009E064B">
        <w:rPr>
          <w:rFonts w:eastAsia="Times New Roman" w:cs="Times New Roman"/>
          <w:szCs w:val="20"/>
        </w:rPr>
        <w:t>nowy</w:t>
      </w:r>
      <w:r w:rsidRPr="009E064B">
        <w:rPr>
          <w:rFonts w:eastAsia="Times New Roman" w:cs="Times New Roman"/>
          <w:spacing w:val="39"/>
          <w:szCs w:val="20"/>
        </w:rPr>
        <w:t xml:space="preserve"> </w:t>
      </w:r>
      <w:r w:rsidRPr="009E064B">
        <w:rPr>
          <w:rFonts w:eastAsia="Times New Roman" w:cs="Times New Roman"/>
          <w:szCs w:val="20"/>
        </w:rPr>
        <w:t>obiekt</w:t>
      </w:r>
      <w:r w:rsidRPr="009E064B">
        <w:rPr>
          <w:rFonts w:eastAsia="Times New Roman" w:cs="Times New Roman"/>
          <w:spacing w:val="37"/>
          <w:szCs w:val="20"/>
        </w:rPr>
        <w:t xml:space="preserve"> </w:t>
      </w:r>
      <w:r w:rsidRPr="009E064B">
        <w:rPr>
          <w:rFonts w:eastAsia="Times New Roman" w:cs="Times New Roman"/>
          <w:szCs w:val="20"/>
        </w:rPr>
        <w:t>lub</w:t>
      </w:r>
      <w:r w:rsidRPr="009E064B">
        <w:rPr>
          <w:rFonts w:eastAsia="Times New Roman" w:cs="Times New Roman"/>
          <w:spacing w:val="39"/>
          <w:szCs w:val="20"/>
        </w:rPr>
        <w:t xml:space="preserve"> </w:t>
      </w:r>
      <w:r w:rsidRPr="009E064B">
        <w:rPr>
          <w:rFonts w:eastAsia="Times New Roman" w:cs="Times New Roman"/>
          <w:szCs w:val="20"/>
        </w:rPr>
        <w:t>rozbudowa</w:t>
      </w:r>
      <w:r w:rsidRPr="009E064B">
        <w:rPr>
          <w:rFonts w:eastAsia="Times New Roman" w:cs="Times New Roman"/>
          <w:spacing w:val="36"/>
          <w:szCs w:val="20"/>
        </w:rPr>
        <w:t xml:space="preserve"> </w:t>
      </w:r>
      <w:r w:rsidRPr="009E064B">
        <w:rPr>
          <w:rFonts w:eastAsia="Times New Roman" w:cs="Times New Roman"/>
          <w:szCs w:val="20"/>
        </w:rPr>
        <w:t>obiektu b</w:t>
      </w:r>
      <w:r w:rsidRPr="009E064B">
        <w:rPr>
          <w:rFonts w:eastAsia="Times New Roman" w:cs="Times New Roman"/>
          <w:spacing w:val="-1"/>
          <w:szCs w:val="20"/>
        </w:rPr>
        <w:t>ył</w:t>
      </w:r>
      <w:r w:rsidRPr="009E064B">
        <w:rPr>
          <w:rFonts w:eastAsia="Times New Roman" w:cs="Times New Roman"/>
          <w:szCs w:val="20"/>
        </w:rPr>
        <w:t>yby</w:t>
      </w:r>
      <w:r w:rsidRPr="009E064B">
        <w:rPr>
          <w:rFonts w:eastAsia="Times New Roman" w:cs="Times New Roman"/>
          <w:spacing w:val="41"/>
          <w:szCs w:val="20"/>
        </w:rPr>
        <w:t xml:space="preserve"> </w:t>
      </w:r>
      <w:r w:rsidRPr="009E064B">
        <w:rPr>
          <w:rFonts w:eastAsia="Times New Roman" w:cs="Times New Roman"/>
          <w:szCs w:val="20"/>
        </w:rPr>
        <w:t>zas</w:t>
      </w:r>
      <w:r w:rsidRPr="009E064B">
        <w:rPr>
          <w:rFonts w:eastAsia="Times New Roman" w:cs="Times New Roman"/>
          <w:spacing w:val="-1"/>
          <w:szCs w:val="20"/>
        </w:rPr>
        <w:t>ł</w:t>
      </w:r>
      <w:r w:rsidRPr="009E064B">
        <w:rPr>
          <w:rFonts w:eastAsia="Times New Roman" w:cs="Times New Roman"/>
          <w:szCs w:val="20"/>
        </w:rPr>
        <w:t>oni</w:t>
      </w:r>
      <w:r w:rsidRPr="009E064B">
        <w:rPr>
          <w:rFonts w:eastAsia="Times New Roman" w:cs="Times New Roman"/>
          <w:spacing w:val="-2"/>
          <w:szCs w:val="20"/>
        </w:rPr>
        <w:t>ę</w:t>
      </w:r>
      <w:r w:rsidRPr="009E064B">
        <w:rPr>
          <w:rFonts w:eastAsia="Times New Roman" w:cs="Times New Roman"/>
          <w:szCs w:val="20"/>
        </w:rPr>
        <w:t>te</w:t>
      </w:r>
      <w:r w:rsidRPr="009E064B">
        <w:rPr>
          <w:rFonts w:eastAsia="Times New Roman" w:cs="Times New Roman"/>
          <w:spacing w:val="42"/>
          <w:szCs w:val="20"/>
        </w:rPr>
        <w:t xml:space="preserve"> </w:t>
      </w:r>
      <w:r w:rsidRPr="009E064B">
        <w:rPr>
          <w:rFonts w:eastAsia="Times New Roman" w:cs="Times New Roman"/>
          <w:szCs w:val="20"/>
        </w:rPr>
        <w:t>przez</w:t>
      </w:r>
      <w:r w:rsidRPr="009E064B">
        <w:rPr>
          <w:rFonts w:eastAsia="Times New Roman" w:cs="Times New Roman"/>
          <w:spacing w:val="43"/>
          <w:szCs w:val="20"/>
        </w:rPr>
        <w:t xml:space="preserve"> </w:t>
      </w:r>
      <w:r w:rsidRPr="009E064B">
        <w:rPr>
          <w:rFonts w:eastAsia="Times New Roman" w:cs="Times New Roman"/>
          <w:szCs w:val="20"/>
        </w:rPr>
        <w:t>istnie</w:t>
      </w:r>
      <w:r w:rsidRPr="009E064B">
        <w:rPr>
          <w:rFonts w:eastAsia="Times New Roman" w:cs="Times New Roman"/>
          <w:spacing w:val="-2"/>
          <w:szCs w:val="20"/>
        </w:rPr>
        <w:t>ją</w:t>
      </w:r>
      <w:r w:rsidRPr="009E064B">
        <w:rPr>
          <w:rFonts w:eastAsia="Times New Roman" w:cs="Times New Roman"/>
          <w:szCs w:val="20"/>
        </w:rPr>
        <w:t>cy</w:t>
      </w:r>
      <w:r w:rsidRPr="009E064B">
        <w:rPr>
          <w:rFonts w:eastAsia="Times New Roman" w:cs="Times New Roman"/>
          <w:spacing w:val="41"/>
          <w:szCs w:val="20"/>
        </w:rPr>
        <w:t xml:space="preserve"> </w:t>
      </w:r>
      <w:r w:rsidRPr="009E064B">
        <w:rPr>
          <w:rFonts w:eastAsia="Times New Roman" w:cs="Times New Roman"/>
          <w:szCs w:val="20"/>
        </w:rPr>
        <w:t>nieruchomy</w:t>
      </w:r>
      <w:r w:rsidRPr="009E064B">
        <w:rPr>
          <w:rFonts w:eastAsia="Times New Roman" w:cs="Times New Roman"/>
          <w:spacing w:val="41"/>
          <w:szCs w:val="20"/>
        </w:rPr>
        <w:t xml:space="preserve"> </w:t>
      </w:r>
      <w:r w:rsidRPr="009E064B">
        <w:rPr>
          <w:rFonts w:eastAsia="Times New Roman" w:cs="Times New Roman"/>
          <w:szCs w:val="20"/>
        </w:rPr>
        <w:t>obiekt.</w:t>
      </w:r>
    </w:p>
    <w:p w14:paraId="7DF162EF" w14:textId="6DE3CB7A" w:rsidR="00B527C7" w:rsidRPr="000412BF" w:rsidRDefault="00B527C7" w:rsidP="00B527C7">
      <w:pPr>
        <w:autoSpaceDE w:val="0"/>
        <w:autoSpaceDN w:val="0"/>
        <w:adjustRightInd w:val="0"/>
        <w:ind w:left="142" w:hanging="142"/>
        <w:rPr>
          <w:rFonts w:eastAsia="Calibri" w:cs="TT95Co00"/>
          <w:szCs w:val="20"/>
        </w:rPr>
      </w:pPr>
      <w:r w:rsidRPr="009E064B">
        <w:rPr>
          <w:rFonts w:eastAsia="Calibri" w:cs="TT95Do00"/>
          <w:b/>
          <w:szCs w:val="20"/>
        </w:rPr>
        <w:t xml:space="preserve">Operator </w:t>
      </w:r>
      <w:r w:rsidRPr="009E064B">
        <w:rPr>
          <w:rFonts w:eastAsia="Calibri" w:cs="TT95Do00"/>
          <w:i/>
          <w:szCs w:val="20"/>
        </w:rPr>
        <w:t>(operator)</w:t>
      </w:r>
      <w:r w:rsidRPr="009E064B">
        <w:rPr>
          <w:rFonts w:eastAsia="Calibri" w:cs="TimesNewRomanPSMT"/>
          <w:szCs w:val="20"/>
        </w:rPr>
        <w:t xml:space="preserve"> –</w:t>
      </w:r>
      <w:r w:rsidRPr="009E064B">
        <w:rPr>
          <w:rFonts w:eastAsia="Calibri" w:cs="TT95Co00"/>
          <w:szCs w:val="20"/>
        </w:rPr>
        <w:t xml:space="preserve"> </w:t>
      </w:r>
      <w:r w:rsidRPr="009E064B">
        <w:rPr>
          <w:rFonts w:eastAsia="Calibri" w:cs="TimesNewRomanPSMT"/>
          <w:szCs w:val="20"/>
        </w:rPr>
        <w:t>oznacza</w:t>
      </w:r>
      <w:r w:rsidRPr="009E064B">
        <w:rPr>
          <w:rFonts w:eastAsia="Calibri" w:cs="TT95Co00"/>
          <w:szCs w:val="20"/>
        </w:rPr>
        <w:t xml:space="preserve"> każdą osobę prawną lub fizyczną prowadzącą lub oferującą prowadzenie działalności, w ramach której użytkowany jest jeden lub więcej statków powietrznych </w:t>
      </w:r>
      <w:r w:rsidRPr="000412BF">
        <w:rPr>
          <w:rFonts w:eastAsia="Calibri" w:cs="TT95Co00"/>
          <w:szCs w:val="20"/>
        </w:rPr>
        <w:t>albo jedno lub więcej lotnisk.</w:t>
      </w:r>
    </w:p>
    <w:p w14:paraId="1DA26E46" w14:textId="4DD3C1FD" w:rsidR="00700AF7" w:rsidRPr="000412BF" w:rsidRDefault="00700AF7" w:rsidP="00700AF7">
      <w:pPr>
        <w:autoSpaceDE w:val="0"/>
        <w:autoSpaceDN w:val="0"/>
        <w:adjustRightInd w:val="0"/>
        <w:ind w:left="142" w:hanging="142"/>
        <w:rPr>
          <w:rFonts w:eastAsia="Calibri" w:cs="TT95Co00"/>
          <w:szCs w:val="20"/>
        </w:rPr>
      </w:pPr>
      <w:r w:rsidRPr="000412BF">
        <w:rPr>
          <w:rFonts w:eastAsia="Calibri" w:cs="TT95Co00"/>
          <w:b/>
          <w:szCs w:val="20"/>
        </w:rPr>
        <w:t>Zewnętrzny rozstaw kół podwozia głównego</w:t>
      </w:r>
      <w:r w:rsidRPr="000412BF">
        <w:rPr>
          <w:rFonts w:eastAsia="Calibri" w:cs="TT95Co00"/>
          <w:szCs w:val="20"/>
        </w:rPr>
        <w:t xml:space="preserve"> </w:t>
      </w:r>
      <w:r w:rsidRPr="000412BF">
        <w:rPr>
          <w:rFonts w:eastAsia="Calibri" w:cs="TT95Co00"/>
          <w:i/>
          <w:szCs w:val="20"/>
        </w:rPr>
        <w:t>(outer main gear wheel span - OMGWS)</w:t>
      </w:r>
      <w:r w:rsidRPr="000412BF">
        <w:rPr>
          <w:rFonts w:eastAsia="Calibri" w:cs="TT95Co00"/>
          <w:szCs w:val="20"/>
        </w:rPr>
        <w:t xml:space="preserve"> </w:t>
      </w:r>
      <w:r w:rsidRPr="000412BF">
        <w:rPr>
          <w:rFonts w:eastAsia="Calibri" w:cs="Times New Roman"/>
          <w:szCs w:val="20"/>
        </w:rPr>
        <w:t xml:space="preserve">– </w:t>
      </w:r>
      <w:r w:rsidRPr="000412BF">
        <w:rPr>
          <w:rFonts w:eastAsia="Calibri" w:cs="TT95Co00"/>
          <w:szCs w:val="20"/>
        </w:rPr>
        <w:t>oznacza odległość między zewnętrznymi krawędziami kół podwozia głównego.</w:t>
      </w:r>
    </w:p>
    <w:p w14:paraId="306D62F0"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szCs w:val="20"/>
        </w:rPr>
        <w:t>Droga startowa o nawierzchni sztucznej</w:t>
      </w:r>
      <w:r w:rsidRPr="009E064B">
        <w:rPr>
          <w:rFonts w:eastAsia="Calibri" w:cs="Times New Roman"/>
          <w:szCs w:val="20"/>
        </w:rPr>
        <w:t xml:space="preserve"> </w:t>
      </w:r>
      <w:r w:rsidRPr="009E064B">
        <w:rPr>
          <w:rFonts w:eastAsia="Calibri" w:cs="Times New Roman"/>
          <w:i/>
          <w:szCs w:val="20"/>
        </w:rPr>
        <w:t>(paved runway)</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drogę startową posiadającą nawierzchnię</w:t>
      </w:r>
      <w:r w:rsidRPr="009E064B">
        <w:rPr>
          <w:rFonts w:eastAsia="Calibri" w:cs="TimesNewRomanPSMT"/>
          <w:szCs w:val="20"/>
        </w:rPr>
        <w:t xml:space="preserve"> twardą, zbudowaną </w:t>
      </w:r>
      <w:r w:rsidRPr="009E064B">
        <w:rPr>
          <w:rFonts w:eastAsia="Calibri" w:cs="Times New Roman"/>
          <w:szCs w:val="20"/>
        </w:rPr>
        <w:t>z zaprojektowanych, fabrycznie wykonanych i połączonych ze sobą materiałów, która jest wytrzymała oraz elastyczna lub sztywna.</w:t>
      </w:r>
    </w:p>
    <w:p w14:paraId="6F794B41"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Liczba klasyfikacyjna nawierzchni </w:t>
      </w:r>
      <w:r w:rsidRPr="009E064B">
        <w:rPr>
          <w:rFonts w:eastAsia="Calibri" w:cs="TimesNewRomanPS-ItalicMT"/>
          <w:i/>
          <w:iCs/>
          <w:szCs w:val="20"/>
        </w:rPr>
        <w:t>(pavement classification number - PCN)</w:t>
      </w:r>
      <w:r w:rsidRPr="009E064B">
        <w:rPr>
          <w:rFonts w:eastAsia="Calibri" w:cs="TimesNewRomanPS-ItalicMT"/>
          <w:iCs/>
          <w:szCs w:val="20"/>
        </w:rPr>
        <w:t xml:space="preserve"> </w:t>
      </w:r>
      <w:r w:rsidRPr="009E064B">
        <w:rPr>
          <w:rFonts w:eastAsia="Calibri" w:cs="TimesNewRomanPSMT"/>
          <w:szCs w:val="20"/>
        </w:rPr>
        <w:t>– oznacza wartość określająca nośność nawierzchni, odpowiadającą nieograniczonemu użytkowaniu.</w:t>
      </w:r>
    </w:p>
    <w:p w14:paraId="1B48F40D" w14:textId="7F7986A2" w:rsidR="00B527C7" w:rsidRPr="009E064B" w:rsidRDefault="00B527C7" w:rsidP="00B527C7">
      <w:pPr>
        <w:autoSpaceDE w:val="0"/>
        <w:autoSpaceDN w:val="0"/>
        <w:adjustRightInd w:val="0"/>
        <w:ind w:left="142" w:hanging="142"/>
        <w:rPr>
          <w:rFonts w:eastAsia="Calibri" w:cs="TimesNewRomanPS-ItalicMT"/>
          <w:iCs/>
          <w:szCs w:val="20"/>
        </w:rPr>
      </w:pPr>
      <w:r w:rsidRPr="009E064B">
        <w:rPr>
          <w:rFonts w:eastAsia="Calibri" w:cs="TimesNewRomanPS-BoldItalicMT"/>
          <w:b/>
          <w:iCs/>
          <w:szCs w:val="20"/>
        </w:rPr>
        <w:t>Droga startowa z podejściem precyzyjnym</w:t>
      </w:r>
      <w:r w:rsidRPr="009E064B">
        <w:rPr>
          <w:rFonts w:eastAsia="Calibri" w:cs="TimesNewRomanPS-BoldItalicMT"/>
          <w:b/>
          <w:i/>
          <w:iCs/>
          <w:szCs w:val="20"/>
        </w:rPr>
        <w:t xml:space="preserve"> </w:t>
      </w:r>
      <w:r w:rsidRPr="009E064B">
        <w:rPr>
          <w:rFonts w:eastAsia="Calibri" w:cs="TimesNewRomanPS-ItalicMT"/>
          <w:i/>
          <w:iCs/>
          <w:szCs w:val="20"/>
        </w:rPr>
        <w:t>(precision approach runway)</w:t>
      </w:r>
      <w:r w:rsidRPr="009E064B">
        <w:rPr>
          <w:rFonts w:eastAsia="Calibri" w:cs="TimesNewRomanPS-ItalicMT"/>
          <w:iCs/>
          <w:szCs w:val="20"/>
        </w:rPr>
        <w:t xml:space="preserve"> </w:t>
      </w:r>
      <w:r w:rsidRPr="009E064B">
        <w:rPr>
          <w:rFonts w:eastAsia="Calibri" w:cs="TimesNewRomanPSMT"/>
          <w:szCs w:val="20"/>
        </w:rPr>
        <w:t xml:space="preserve">– patrz </w:t>
      </w:r>
      <w:r w:rsidRPr="009E064B">
        <w:rPr>
          <w:rFonts w:eastAsia="Calibri" w:cs="TimesNewRomanPS-ItalicMT"/>
          <w:iCs/>
          <w:szCs w:val="20"/>
        </w:rPr>
        <w:t>droga startowa przyrządowa.</w:t>
      </w:r>
    </w:p>
    <w:p w14:paraId="58C75EE1"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Główna droga startowa</w:t>
      </w:r>
      <w:r w:rsidRPr="009E064B">
        <w:rPr>
          <w:rFonts w:eastAsia="Calibri" w:cs="TimesNewRomanPS-ItalicMT"/>
          <w:iCs/>
          <w:szCs w:val="20"/>
        </w:rPr>
        <w:t xml:space="preserve"> </w:t>
      </w:r>
      <w:r w:rsidRPr="009E064B">
        <w:rPr>
          <w:rFonts w:eastAsia="Calibri" w:cs="TimesNewRomanPS-ItalicMT"/>
          <w:i/>
          <w:iCs/>
          <w:szCs w:val="20"/>
        </w:rPr>
        <w:t>(primary runway(s))</w:t>
      </w:r>
      <w:r w:rsidRPr="009E064B">
        <w:rPr>
          <w:rFonts w:eastAsia="Calibri" w:cs="TimesNewRomanPS-ItalicMT"/>
          <w:iCs/>
          <w:szCs w:val="20"/>
        </w:rPr>
        <w:t xml:space="preserve"> </w:t>
      </w:r>
      <w:r w:rsidRPr="009E064B">
        <w:rPr>
          <w:rFonts w:eastAsia="Calibri" w:cs="TimesNewRomanPSMT"/>
          <w:szCs w:val="20"/>
        </w:rPr>
        <w:t>– oznacza drogę (drogi) startową preferowaną w stosunku do innych dróg startowych w sytuacji, w której warunki na to pozwalają.</w:t>
      </w:r>
    </w:p>
    <w:p w14:paraId="211DFC0F" w14:textId="77777777" w:rsidR="00B07A35" w:rsidRPr="009E064B" w:rsidRDefault="00B07A35" w:rsidP="00B07A35">
      <w:pPr>
        <w:autoSpaceDE w:val="0"/>
        <w:autoSpaceDN w:val="0"/>
        <w:adjustRightInd w:val="0"/>
        <w:ind w:left="142" w:hanging="142"/>
        <w:rPr>
          <w:rFonts w:eastAsia="Calibri" w:cs="TimesNewRomanPSMT"/>
          <w:b/>
          <w:szCs w:val="20"/>
        </w:rPr>
      </w:pPr>
      <w:r w:rsidRPr="009E064B">
        <w:rPr>
          <w:rFonts w:eastAsia="Calibri" w:cs="TimesNewRomanPSMT"/>
          <w:b/>
          <w:szCs w:val="20"/>
        </w:rPr>
        <w:t>Droga</w:t>
      </w:r>
      <w:r w:rsidRPr="009E064B">
        <w:rPr>
          <w:rFonts w:asciiTheme="minorHAnsi" w:hAnsiTheme="minorHAnsi" w:cstheme="minorHAnsi"/>
          <w:b/>
        </w:rPr>
        <w:t xml:space="preserve"> kołowania szybkiego zjazdu</w:t>
      </w:r>
      <w:r w:rsidRPr="009E064B">
        <w:rPr>
          <w:rFonts w:asciiTheme="minorHAnsi" w:hAnsiTheme="minorHAnsi" w:cstheme="minorHAnsi"/>
        </w:rPr>
        <w:t xml:space="preserve">” </w:t>
      </w:r>
      <w:r w:rsidRPr="009E064B">
        <w:rPr>
          <w:rFonts w:asciiTheme="minorHAnsi" w:hAnsiTheme="minorHAnsi" w:cstheme="minorHAnsi"/>
          <w:i/>
        </w:rPr>
        <w:t>(</w:t>
      </w:r>
      <w:r w:rsidRPr="009E064B">
        <w:rPr>
          <w:i/>
        </w:rPr>
        <w:t>rapid exit taxiway)</w:t>
      </w:r>
      <w:r w:rsidRPr="009E064B">
        <w:t xml:space="preserve"> </w:t>
      </w:r>
      <w:r w:rsidRPr="009E064B">
        <w:rPr>
          <w:rFonts w:asciiTheme="minorHAnsi" w:hAnsiTheme="minorHAnsi" w:cstheme="minorHAnsi"/>
        </w:rPr>
        <w:t>oznacza drogę kołowania połączoną pod kątem ostrym z drogą startową, tak aby umożliwić lądującym samolotom opuszczenie drogi startowej przy prędkościach większych niż osiągane na innych drogach kołowania przeznaczonych do zjazdu, zmniejszając dzięki temu do minimum czas zajmowania drogi startowej;</w:t>
      </w:r>
    </w:p>
    <w:p w14:paraId="6B0C9FBD"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Droga </w:t>
      </w:r>
      <w:r w:rsidRPr="009E064B">
        <w:rPr>
          <w:rFonts w:eastAsia="Calibri" w:cs="TimesNewRomanPS-ItalicMT"/>
          <w:i/>
          <w:iCs/>
          <w:szCs w:val="20"/>
        </w:rPr>
        <w:t>(road)</w:t>
      </w:r>
      <w:r w:rsidRPr="009E064B">
        <w:rPr>
          <w:rFonts w:eastAsia="Calibri" w:cs="TimesNewRomanPS-ItalicMT"/>
          <w:iCs/>
          <w:szCs w:val="20"/>
        </w:rPr>
        <w:t xml:space="preserve"> </w:t>
      </w:r>
      <w:r w:rsidRPr="009E064B">
        <w:rPr>
          <w:rFonts w:eastAsia="Calibri" w:cs="TimesNewRomanPSMT"/>
          <w:szCs w:val="20"/>
        </w:rPr>
        <w:t>– oznacza trasę wytyczoną na powierzchni pola ruchu naziemnego, która przeznaczona jest wyłącznie dla ruchu pojazdów kołowych.</w:t>
      </w:r>
    </w:p>
    <w:p w14:paraId="5E58FEA2"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Miejsce oczekiwania na drodze ruchu kołowego </w:t>
      </w:r>
      <w:r w:rsidRPr="009E064B">
        <w:rPr>
          <w:rFonts w:eastAsia="Calibri" w:cs="TimesNewRomanPS-ItalicMT"/>
          <w:i/>
          <w:iCs/>
          <w:szCs w:val="20"/>
        </w:rPr>
        <w:t>(road-holding position)</w:t>
      </w:r>
      <w:r w:rsidRPr="009E064B">
        <w:rPr>
          <w:rFonts w:eastAsia="Calibri" w:cs="TimesNewRomanPS-ItalicMT"/>
          <w:iCs/>
          <w:szCs w:val="20"/>
        </w:rPr>
        <w:t xml:space="preserve"> </w:t>
      </w:r>
      <w:r w:rsidRPr="009E064B">
        <w:rPr>
          <w:rFonts w:eastAsia="Calibri" w:cs="TimesNewRomanPSMT"/>
          <w:szCs w:val="20"/>
        </w:rPr>
        <w:t>– oznacza wyznaczone miejsce, w którym może być wymagane zatrzymywanie się pojazdów samochodowych.</w:t>
      </w:r>
    </w:p>
    <w:p w14:paraId="172D7920"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Droga startowa </w:t>
      </w:r>
      <w:r w:rsidRPr="009E064B">
        <w:rPr>
          <w:rFonts w:eastAsia="Calibri" w:cs="TimesNewRomanPS-ItalicMT"/>
          <w:i/>
          <w:iCs/>
          <w:szCs w:val="20"/>
        </w:rPr>
        <w:t>(runway)</w:t>
      </w:r>
      <w:r w:rsidRPr="009E064B">
        <w:rPr>
          <w:rFonts w:eastAsia="Calibri" w:cs="TimesNewRomanPS-ItalicMT"/>
          <w:iCs/>
          <w:szCs w:val="20"/>
        </w:rPr>
        <w:t xml:space="preserve"> </w:t>
      </w:r>
      <w:r w:rsidRPr="009E064B">
        <w:rPr>
          <w:rFonts w:eastAsia="Calibri" w:cs="TimesNewRomanPSMT"/>
          <w:szCs w:val="20"/>
        </w:rPr>
        <w:t xml:space="preserve">– </w:t>
      </w:r>
      <w:r w:rsidRPr="009E064B">
        <w:rPr>
          <w:rFonts w:eastAsia="Calibri" w:cs="Times New Roman"/>
          <w:spacing w:val="-1"/>
        </w:rPr>
        <w:t>oznacza określony prostokątny obszar wyznaczony na lotnisku lądowym, przygotowany do startu i lądowania statków powietrznych;</w:t>
      </w:r>
    </w:p>
    <w:p w14:paraId="468C8629"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iCs/>
        </w:rPr>
        <w:t>Strefa bezpieczeństwa końca drogi startowej</w:t>
      </w:r>
      <w:r w:rsidRPr="009E064B">
        <w:rPr>
          <w:rFonts w:eastAsia="Calibri" w:cs="Times New Roman"/>
          <w:b/>
          <w:i/>
          <w:iCs/>
        </w:rPr>
        <w:t xml:space="preserve"> </w:t>
      </w:r>
      <w:r w:rsidRPr="009E064B">
        <w:rPr>
          <w:rFonts w:eastAsia="Calibri" w:cs="TimesNewRomanPS-ItalicMT"/>
          <w:i/>
          <w:iCs/>
          <w:szCs w:val="20"/>
        </w:rPr>
        <w:t>(runway end safety area – RESA)</w:t>
      </w:r>
      <w:r w:rsidRPr="009E064B">
        <w:rPr>
          <w:rFonts w:eastAsia="Calibri" w:cs="TimesNewRomanPS-ItalicMT"/>
          <w:iCs/>
          <w:szCs w:val="20"/>
        </w:rPr>
        <w:t xml:space="preserve"> </w:t>
      </w:r>
      <w:r w:rsidRPr="009E064B">
        <w:rPr>
          <w:rFonts w:eastAsia="Calibri" w:cs="TimesNewRomanPSMT"/>
          <w:szCs w:val="20"/>
        </w:rPr>
        <w:t>– oznacza powierzchnię przylegającą do końca pasa drogi startowej i rozciągającą się symetrycznie wokół przedłużenia linii środkowej tej drogi, mającą głównie na celu zmniejszenie ryzyka uszkodzenia samolotu, który przyziemił zbyt wcześnie lub wyjechał poza drogę startową.</w:t>
      </w:r>
    </w:p>
    <w:p w14:paraId="18039BF4"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Światła ochronne drogi startowej </w:t>
      </w:r>
      <w:r w:rsidRPr="009E064B">
        <w:rPr>
          <w:rFonts w:eastAsia="Calibri" w:cs="TimesNewRomanPS-ItalicMT"/>
          <w:i/>
          <w:iCs/>
          <w:szCs w:val="20"/>
        </w:rPr>
        <w:t>(runway guard lights)</w:t>
      </w:r>
      <w:r w:rsidRPr="009E064B">
        <w:rPr>
          <w:rFonts w:eastAsia="Calibri" w:cs="TimesNewRomanPS-ItalicMT"/>
          <w:iCs/>
          <w:szCs w:val="20"/>
        </w:rPr>
        <w:t xml:space="preserve"> </w:t>
      </w:r>
      <w:r w:rsidRPr="009E064B">
        <w:rPr>
          <w:rFonts w:eastAsia="Calibri" w:cs="TimesNewRomanPSMT"/>
          <w:szCs w:val="20"/>
        </w:rPr>
        <w:t>– oznaczają system świateł, którego zadaniem jest ostrzeganie pilotów lub kierowców pojazdów, że zbliżają się do drogi startowej będącej w użyciu.</w:t>
      </w:r>
    </w:p>
    <w:p w14:paraId="5D8296F0"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Miejsce oczekiwania przed drogą startową </w:t>
      </w:r>
      <w:r w:rsidRPr="009E064B">
        <w:rPr>
          <w:rFonts w:eastAsia="Calibri" w:cs="TimesNewRomanPS-ItalicMT"/>
          <w:i/>
          <w:iCs/>
          <w:szCs w:val="20"/>
        </w:rPr>
        <w:t>(runway-holding position)</w:t>
      </w:r>
      <w:r w:rsidRPr="009E064B">
        <w:rPr>
          <w:rFonts w:eastAsia="Calibri" w:cs="TimesNewRomanPS-ItalicMT"/>
          <w:iCs/>
          <w:szCs w:val="20"/>
        </w:rPr>
        <w:t xml:space="preserve"> </w:t>
      </w:r>
      <w:r w:rsidRPr="009E064B">
        <w:rPr>
          <w:rFonts w:eastAsia="Calibri" w:cs="TimesNewRomanPSMT"/>
          <w:szCs w:val="20"/>
        </w:rPr>
        <w:t>– oznacza wyznaczone miejsce w celu zabezpieczenia drogi startowej, powierzchni ograniczającej przeszkody lub strefy ochronnej ILS/MLS</w:t>
      </w:r>
      <w:r w:rsidRPr="009E064B">
        <w:rPr>
          <w:rFonts w:eastAsia="Calibri" w:cs="TimesNewRomanPSMT"/>
          <w:szCs w:val="20"/>
          <w:vertAlign w:val="superscript"/>
        </w:rPr>
        <w:footnoteReference w:id="39"/>
      </w:r>
      <w:r w:rsidRPr="009E064B">
        <w:rPr>
          <w:rFonts w:eastAsia="Calibri" w:cs="TimesNewRomanPSMT"/>
          <w:szCs w:val="20"/>
        </w:rPr>
        <w:t>, gdzie kołujący statek powietrzny lub poruszający się pojazd musi zatrzymać się i oczekiwać na wydanie zezwolenia przez wieżę kontroli lotniska.</w:t>
      </w:r>
    </w:p>
    <w:p w14:paraId="75E550F9"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Pas drogi startowej </w:t>
      </w:r>
      <w:r w:rsidRPr="009E064B">
        <w:rPr>
          <w:rFonts w:eastAsia="Calibri" w:cs="TimesNewRomanPS-ItalicMT"/>
          <w:i/>
          <w:iCs/>
          <w:szCs w:val="20"/>
        </w:rPr>
        <w:t xml:space="preserve">(runway strip) </w:t>
      </w:r>
      <w:r w:rsidRPr="009E064B">
        <w:rPr>
          <w:rFonts w:eastAsia="Calibri" w:cs="TimesNewRomanPSMT"/>
          <w:szCs w:val="20"/>
        </w:rPr>
        <w:t>– oznacza powierzchnię obejmującą drogę startową i ewentualne zabezpieczenie przerwanego startu, przeznaczoną do:</w:t>
      </w:r>
    </w:p>
    <w:p w14:paraId="79604DD9"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BoldItalicMT"/>
          <w:iCs/>
          <w:szCs w:val="20"/>
        </w:rPr>
        <w:t>zmniejszenia</w:t>
      </w:r>
      <w:r w:rsidRPr="009E064B">
        <w:rPr>
          <w:rFonts w:eastAsia="Calibri" w:cs="TimesNewRomanPSMT"/>
          <w:szCs w:val="20"/>
        </w:rPr>
        <w:t xml:space="preserve"> ryzyka uszkodzenia statku powietrznego w przypadku zjazdu statku powietrznego z drogi startowej, </w:t>
      </w:r>
    </w:p>
    <w:p w14:paraId="7E978586" w14:textId="77777777" w:rsidR="00B527C7" w:rsidRPr="009E064B" w:rsidRDefault="00B527C7" w:rsidP="00B527C7">
      <w:pPr>
        <w:numPr>
          <w:ilvl w:val="0"/>
          <w:numId w:val="8"/>
        </w:numPr>
        <w:tabs>
          <w:tab w:val="left" w:pos="567"/>
        </w:tabs>
        <w:autoSpaceDE w:val="0"/>
        <w:autoSpaceDN w:val="0"/>
        <w:adjustRightInd w:val="0"/>
        <w:ind w:left="567" w:hanging="425"/>
        <w:jc w:val="left"/>
        <w:rPr>
          <w:rFonts w:eastAsia="Calibri" w:cs="TimesNewRomanPSMT"/>
          <w:szCs w:val="20"/>
        </w:rPr>
      </w:pPr>
      <w:r w:rsidRPr="009E064B">
        <w:rPr>
          <w:rFonts w:eastAsia="Calibri" w:cs="TimesNewRomanPS-BoldItalicMT"/>
          <w:iCs/>
          <w:szCs w:val="20"/>
        </w:rPr>
        <w:t>zapewnienia</w:t>
      </w:r>
      <w:r w:rsidRPr="009E064B">
        <w:rPr>
          <w:rFonts w:eastAsia="Calibri" w:cs="TimesNewRomanPSMT"/>
          <w:szCs w:val="20"/>
        </w:rPr>
        <w:t xml:space="preserve"> bezpieczeństwa statku powietrznego przelatującego nad tą powierzchnią w czasie operacji startu lub lądowania. </w:t>
      </w:r>
    </w:p>
    <w:p w14:paraId="15EA6416"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szCs w:val="20"/>
        </w:rPr>
        <w:t>Płaszczyzna do zawracania na drodze startowej</w:t>
      </w:r>
      <w:r w:rsidRPr="009E064B">
        <w:rPr>
          <w:rFonts w:eastAsia="Calibri" w:cs="Times New Roman"/>
          <w:szCs w:val="20"/>
        </w:rPr>
        <w:t xml:space="preserve"> </w:t>
      </w:r>
      <w:r w:rsidRPr="009E064B">
        <w:rPr>
          <w:rFonts w:eastAsia="Calibri" w:cs="Times New Roman"/>
          <w:i/>
          <w:szCs w:val="20"/>
        </w:rPr>
        <w:t>(runway turn pad)</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w:t>
      </w:r>
      <w:r w:rsidRPr="009E064B">
        <w:rPr>
          <w:rFonts w:eastAsia="Calibri" w:cs="TimesNewRomanPSMT"/>
          <w:szCs w:val="20"/>
        </w:rPr>
        <w:t>określoną</w:t>
      </w:r>
      <w:r w:rsidRPr="009E064B">
        <w:rPr>
          <w:rFonts w:eastAsia="Calibri" w:cs="Times New Roman"/>
          <w:szCs w:val="20"/>
        </w:rPr>
        <w:t xml:space="preserve"> powierzchnię na lotnisku lądowym, która przylega do drogi startowej i przeznaczona jest do wykonania przez statek powietrzny zwrotu o 180° na tej drodze startowej.</w:t>
      </w:r>
    </w:p>
    <w:p w14:paraId="5C0E63F3"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szCs w:val="20"/>
        </w:rPr>
        <w:t>Typ drogi startowej</w:t>
      </w:r>
      <w:r w:rsidRPr="009E064B">
        <w:rPr>
          <w:rFonts w:eastAsia="Calibri" w:cs="Times New Roman"/>
          <w:szCs w:val="20"/>
        </w:rPr>
        <w:t xml:space="preserve"> </w:t>
      </w:r>
      <w:r w:rsidRPr="009E064B">
        <w:rPr>
          <w:rFonts w:eastAsia="Calibri" w:cs="Times New Roman"/>
          <w:i/>
          <w:szCs w:val="20"/>
        </w:rPr>
        <w:t>(runway type)</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drogę startową przyrządową lub drogę </w:t>
      </w:r>
      <w:r w:rsidRPr="009E064B">
        <w:rPr>
          <w:rFonts w:eastAsia="Calibri" w:cs="TimesNewRomanPSMT"/>
          <w:szCs w:val="20"/>
        </w:rPr>
        <w:t>startową</w:t>
      </w:r>
      <w:r w:rsidRPr="009E064B">
        <w:rPr>
          <w:rFonts w:eastAsia="Calibri" w:cs="Times New Roman"/>
          <w:szCs w:val="20"/>
        </w:rPr>
        <w:t xml:space="preserve"> nieprzyrządową.</w:t>
      </w:r>
    </w:p>
    <w:p w14:paraId="2F1D57D1"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Zasięg widzialności wzdłuż drogi startowej </w:t>
      </w:r>
      <w:r w:rsidRPr="009E064B">
        <w:rPr>
          <w:rFonts w:eastAsia="Calibri" w:cs="TimesNewRomanPS-ItalicMT"/>
          <w:i/>
          <w:iCs/>
          <w:szCs w:val="20"/>
        </w:rPr>
        <w:t>(runway visual range – RVR)</w:t>
      </w:r>
      <w:r w:rsidRPr="009E064B">
        <w:rPr>
          <w:rFonts w:eastAsia="Calibri" w:cs="TimesNewRomanPS-ItalicMT"/>
          <w:iCs/>
          <w:szCs w:val="20"/>
        </w:rPr>
        <w:t xml:space="preserve"> </w:t>
      </w:r>
      <w:r w:rsidRPr="009E064B">
        <w:rPr>
          <w:rFonts w:eastAsia="Calibri" w:cs="TimesNewRomanPSMT"/>
          <w:szCs w:val="20"/>
        </w:rPr>
        <w:t>– oznacza odległość, w jakiej pilot statku powietrznego, znajdującego się na linii środkowej drogi startowej, może zobaczyć oznakowanie poziome nawierzchni drogi startowej lub światła wyznaczające tą drogę albo światła linii środkowej tej drogi startowej.</w:t>
      </w:r>
    </w:p>
    <w:p w14:paraId="13BEAE0B"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szCs w:val="20"/>
        </w:rPr>
        <w:t>Strefa wrażliwa</w:t>
      </w:r>
      <w:r w:rsidRPr="009E064B">
        <w:rPr>
          <w:rFonts w:eastAsia="Calibri" w:cs="Times New Roman"/>
          <w:szCs w:val="20"/>
        </w:rPr>
        <w:t xml:space="preserve"> </w:t>
      </w:r>
      <w:r w:rsidRPr="009E064B">
        <w:rPr>
          <w:rFonts w:eastAsia="Calibri" w:cs="Times New Roman"/>
          <w:i/>
          <w:szCs w:val="20"/>
        </w:rPr>
        <w:t>(sensitive area)</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strefę rozciągająca się poza strefę krytyczną, w której parkowanie i/lub ruch statków powietrznych lub pojazdów wpływa na sygnał kierowania do tego stopnia, że może to być uznane za niedopuszczalne dla statków powietrznych wykorzystujących ten sygnał.</w:t>
      </w:r>
    </w:p>
    <w:p w14:paraId="1527898E" w14:textId="77777777" w:rsidR="00B527C7" w:rsidRPr="009E064B" w:rsidRDefault="00B527C7" w:rsidP="00B527C7">
      <w:pPr>
        <w:autoSpaceDE w:val="0"/>
        <w:autoSpaceDN w:val="0"/>
        <w:adjustRightInd w:val="0"/>
        <w:ind w:left="142" w:hanging="142"/>
        <w:rPr>
          <w:rFonts w:eastAsia="Calibri" w:cs="TimesNewRomanPSMT"/>
        </w:rPr>
      </w:pPr>
      <w:r w:rsidRPr="009E064B">
        <w:rPr>
          <w:rFonts w:eastAsia="Calibri" w:cs="TimesNewRomanPS-BoldItalicMT"/>
          <w:b/>
          <w:iCs/>
          <w:szCs w:val="20"/>
        </w:rPr>
        <w:t xml:space="preserve">Pobocze </w:t>
      </w:r>
      <w:r w:rsidRPr="009E064B">
        <w:rPr>
          <w:rFonts w:eastAsia="Calibri" w:cs="TimesNewRomanPS-ItalicMT"/>
          <w:i/>
          <w:iCs/>
          <w:szCs w:val="20"/>
        </w:rPr>
        <w:t>(shoulder)</w:t>
      </w:r>
      <w:r w:rsidRPr="009E064B">
        <w:rPr>
          <w:rFonts w:eastAsia="Calibri" w:cs="TimesNewRomanPS-ItalicMT"/>
          <w:iCs/>
          <w:szCs w:val="20"/>
        </w:rPr>
        <w:t xml:space="preserve"> </w:t>
      </w:r>
      <w:r w:rsidRPr="009E064B">
        <w:rPr>
          <w:rFonts w:eastAsia="Calibri" w:cs="TimesNewRomanPSMT"/>
          <w:szCs w:val="20"/>
        </w:rPr>
        <w:t xml:space="preserve">– </w:t>
      </w:r>
      <w:r w:rsidRPr="009E064B">
        <w:rPr>
          <w:rFonts w:eastAsia="Calibri" w:cs="TimesNewRomanPSMT"/>
        </w:rPr>
        <w:t>oznacza obszar przylegający do nawierzchni sztucznej i przygotowany jako przejście pomiędzy nawierzchnią sztuczną i przylegającą do niej powierzchnią.</w:t>
      </w:r>
    </w:p>
    <w:p w14:paraId="28D4D0D9" w14:textId="77777777" w:rsidR="00B527C7" w:rsidRPr="009E064B" w:rsidRDefault="00B527C7" w:rsidP="00B527C7">
      <w:pPr>
        <w:rPr>
          <w:rFonts w:eastAsia="Calibri" w:cs="Times New Roman"/>
          <w:szCs w:val="20"/>
        </w:rPr>
      </w:pPr>
      <w:r w:rsidRPr="009E064B">
        <w:rPr>
          <w:rFonts w:eastAsia="Calibri" w:cs="TimesNewRomanPS-BoldItalicMT"/>
          <w:b/>
          <w:iCs/>
          <w:szCs w:val="20"/>
        </w:rPr>
        <w:t>Znak pionowy</w:t>
      </w:r>
      <w:r w:rsidRPr="009E064B">
        <w:rPr>
          <w:rFonts w:eastAsia="Calibri" w:cs="TimesNewRomanPS-BoldItalicMT"/>
          <w:b/>
          <w:i/>
          <w:iCs/>
          <w:szCs w:val="20"/>
        </w:rPr>
        <w:t xml:space="preserve"> </w:t>
      </w:r>
      <w:r w:rsidRPr="009E064B">
        <w:rPr>
          <w:rFonts w:eastAsia="Calibri" w:cs="TimesNewRomanPS-ItalicMT"/>
          <w:i/>
          <w:iCs/>
          <w:szCs w:val="20"/>
        </w:rPr>
        <w:t>(sign)</w:t>
      </w:r>
      <w:r w:rsidRPr="009E064B">
        <w:rPr>
          <w:rFonts w:eastAsia="Calibri" w:cs="TimesNewRomanPSMT"/>
          <w:szCs w:val="20"/>
        </w:rPr>
        <w:t>:</w:t>
      </w:r>
    </w:p>
    <w:p w14:paraId="075CDA85"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ItalicMT"/>
          <w:iCs/>
          <w:szCs w:val="20"/>
        </w:rPr>
        <w:t xml:space="preserve">Znak ze stałą informacją </w:t>
      </w:r>
      <w:r w:rsidRPr="009E064B">
        <w:rPr>
          <w:rFonts w:eastAsia="Calibri" w:cs="TimesNewRomanPS-ItalicMT"/>
          <w:i/>
          <w:iCs/>
          <w:szCs w:val="20"/>
        </w:rPr>
        <w:t>(fixed message sign)</w:t>
      </w:r>
      <w:r w:rsidRPr="009E064B">
        <w:rPr>
          <w:rFonts w:eastAsia="Calibri" w:cs="TimesNewRomanPS-ItalicMT"/>
          <w:iCs/>
          <w:szCs w:val="20"/>
        </w:rPr>
        <w:t xml:space="preserve"> </w:t>
      </w:r>
      <w:r w:rsidRPr="009E064B">
        <w:rPr>
          <w:rFonts w:eastAsia="Calibri" w:cs="TimesNewRomanPSMT"/>
          <w:szCs w:val="20"/>
        </w:rPr>
        <w:t>– oznacza znak przedstawiający jedną wiadomość.</w:t>
      </w:r>
    </w:p>
    <w:p w14:paraId="1037D0F3"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9E064B">
        <w:rPr>
          <w:rFonts w:eastAsia="Calibri" w:cs="TimesNewRomanPS-ItalicMT"/>
          <w:iCs/>
          <w:szCs w:val="20"/>
        </w:rPr>
        <w:t>Znak ze zmienną informacją</w:t>
      </w:r>
      <w:r w:rsidRPr="009E064B">
        <w:rPr>
          <w:rFonts w:eastAsia="Calibri" w:cs="TimesNewRomanPSMT"/>
          <w:szCs w:val="20"/>
        </w:rPr>
        <w:t xml:space="preserve"> </w:t>
      </w:r>
      <w:r w:rsidRPr="009E064B">
        <w:rPr>
          <w:rFonts w:eastAsia="Calibri" w:cs="TimesNewRomanPSMT"/>
          <w:i/>
          <w:szCs w:val="20"/>
        </w:rPr>
        <w:t>(variable message sign)</w:t>
      </w:r>
      <w:r w:rsidRPr="009E064B">
        <w:rPr>
          <w:rFonts w:eastAsia="Calibri" w:cs="TimesNewRomanPSMT"/>
          <w:szCs w:val="20"/>
        </w:rPr>
        <w:t xml:space="preserve"> – oznacza znak umożliwiający przedstawienie wielu określonych wcześniej wiadomości lub niepokazujący żadnej wiadomości, w zależności od potrzeb.</w:t>
      </w:r>
    </w:p>
    <w:p w14:paraId="4857A955"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Pole sygnałowe </w:t>
      </w:r>
      <w:r w:rsidRPr="009E064B">
        <w:rPr>
          <w:rFonts w:eastAsia="Calibri" w:cs="TimesNewRomanPS-ItalicMT"/>
          <w:i/>
          <w:iCs/>
          <w:szCs w:val="20"/>
        </w:rPr>
        <w:t>(signal area)</w:t>
      </w:r>
      <w:r w:rsidRPr="009E064B">
        <w:rPr>
          <w:rFonts w:eastAsia="Calibri" w:cs="TimesNewRomanPS-ItalicMT"/>
          <w:iCs/>
          <w:szCs w:val="20"/>
        </w:rPr>
        <w:t xml:space="preserve"> </w:t>
      </w:r>
      <w:r w:rsidRPr="009E064B">
        <w:rPr>
          <w:rFonts w:eastAsia="Calibri" w:cs="TimesNewRomanPSMT"/>
          <w:szCs w:val="20"/>
        </w:rPr>
        <w:t>– oznacza powierzchnię na lotnisku, na której wykładane są sygnały naziemne.</w:t>
      </w:r>
    </w:p>
    <w:p w14:paraId="6607FE6A"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Topniejący śnieg </w:t>
      </w:r>
      <w:r w:rsidRPr="009E064B">
        <w:rPr>
          <w:rFonts w:eastAsia="Calibri" w:cs="TimesNewRomanPS-ItalicMT"/>
          <w:i/>
          <w:iCs/>
          <w:szCs w:val="20"/>
        </w:rPr>
        <w:t>(slush)</w:t>
      </w:r>
      <w:r w:rsidRPr="009E064B">
        <w:rPr>
          <w:rFonts w:eastAsia="Calibri" w:cs="TimesNewRomanPS-ItalicMT"/>
          <w:iCs/>
          <w:szCs w:val="20"/>
        </w:rPr>
        <w:t xml:space="preserve"> </w:t>
      </w:r>
      <w:r w:rsidRPr="009E064B">
        <w:rPr>
          <w:rFonts w:eastAsia="Calibri" w:cs="TimesNewRomanPSMT"/>
          <w:szCs w:val="20"/>
        </w:rPr>
        <w:t>– oznacza śnieg nasycony wodą, który uderzony z góry obcasem lub czubkiem buta rozbryzguje się. Ciężar właściwy od 0,5 do 0,8.</w:t>
      </w:r>
    </w:p>
    <w:p w14:paraId="5BB80EDC" w14:textId="77777777" w:rsidR="00B527C7" w:rsidRPr="009E064B" w:rsidRDefault="00B527C7" w:rsidP="00B527C7">
      <w:pPr>
        <w:autoSpaceDE w:val="0"/>
        <w:autoSpaceDN w:val="0"/>
        <w:adjustRightInd w:val="0"/>
        <w:rPr>
          <w:rFonts w:eastAsia="Calibri" w:cs="TimesNewRomanPS-ItalicMT"/>
          <w:iCs/>
          <w:szCs w:val="20"/>
        </w:rPr>
      </w:pPr>
      <w:r w:rsidRPr="009E064B">
        <w:rPr>
          <w:rFonts w:eastAsia="Calibri" w:cs="TimesNewRomanPS-BoldItalicMT"/>
          <w:b/>
          <w:iCs/>
          <w:szCs w:val="20"/>
        </w:rPr>
        <w:t>Śnieg [na ziemi]</w:t>
      </w:r>
      <w:r w:rsidRPr="009E064B">
        <w:rPr>
          <w:rFonts w:eastAsia="Calibri" w:cs="TimesNewRomanPS-BoldItalicMT"/>
          <w:iCs/>
          <w:szCs w:val="20"/>
        </w:rPr>
        <w:t xml:space="preserve"> </w:t>
      </w:r>
      <w:r w:rsidRPr="009E064B">
        <w:rPr>
          <w:rFonts w:eastAsia="Calibri" w:cs="TimesNewRomanPS-ItalicMT"/>
          <w:i/>
          <w:iCs/>
          <w:szCs w:val="20"/>
        </w:rPr>
        <w:t>(snow [on the ground]):</w:t>
      </w:r>
    </w:p>
    <w:p w14:paraId="3F1EEC68"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BoldItalicMT"/>
          <w:iCs/>
          <w:szCs w:val="20"/>
        </w:rPr>
        <w:t>Śnieg</w:t>
      </w:r>
      <w:r w:rsidRPr="009E064B">
        <w:rPr>
          <w:rFonts w:eastAsia="Calibri" w:cs="TimesNewRomanPS-ItalicMT"/>
          <w:iCs/>
          <w:szCs w:val="20"/>
        </w:rPr>
        <w:t xml:space="preserve"> suchy </w:t>
      </w:r>
      <w:r w:rsidRPr="009E064B">
        <w:rPr>
          <w:rFonts w:eastAsia="Calibri" w:cs="TimesNewRomanPS-ItalicMT"/>
          <w:i/>
          <w:iCs/>
          <w:szCs w:val="20"/>
        </w:rPr>
        <w:t>(</w:t>
      </w:r>
      <w:r w:rsidRPr="009E064B">
        <w:rPr>
          <w:rFonts w:eastAsia="Calibri" w:cs="Times New Roman"/>
          <w:i/>
          <w:szCs w:val="20"/>
        </w:rPr>
        <w:t>dry snow)</w:t>
      </w:r>
      <w:r w:rsidRPr="009E064B">
        <w:rPr>
          <w:rFonts w:eastAsia="Calibri" w:cs="Times New Roman"/>
          <w:szCs w:val="20"/>
        </w:rPr>
        <w:t xml:space="preserve"> </w:t>
      </w:r>
      <w:r w:rsidRPr="009E064B">
        <w:rPr>
          <w:rFonts w:eastAsia="Calibri" w:cs="TimesNewRomanPSMT"/>
          <w:szCs w:val="20"/>
        </w:rPr>
        <w:t>oznacza śnieg, który może być zwiany, gdy leży luźno lub gdy po ściśnięciu w dłoni i po zwolnieniu ucisku rozpada się. Ciężar właściwy mniejszy niż 0,35.</w:t>
      </w:r>
    </w:p>
    <w:p w14:paraId="20602D7F"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NewRomanPSMT"/>
          <w:szCs w:val="20"/>
        </w:rPr>
      </w:pPr>
      <w:r w:rsidRPr="009E064B">
        <w:rPr>
          <w:rFonts w:eastAsia="Calibri" w:cs="TimesNewRomanPS-BoldItalicMT"/>
          <w:iCs/>
          <w:szCs w:val="20"/>
        </w:rPr>
        <w:t>Śnieg</w:t>
      </w:r>
      <w:r w:rsidRPr="009E064B">
        <w:rPr>
          <w:rFonts w:eastAsia="Calibri" w:cs="TimesNewRomanPS-ItalicMT"/>
          <w:iCs/>
          <w:szCs w:val="20"/>
        </w:rPr>
        <w:t xml:space="preserve"> mokry</w:t>
      </w:r>
      <w:r w:rsidRPr="009E064B">
        <w:rPr>
          <w:rFonts w:eastAsia="Calibri" w:cs="TimesNewRomanPS-ItalicMT"/>
          <w:i/>
          <w:iCs/>
          <w:szCs w:val="20"/>
        </w:rPr>
        <w:t xml:space="preserve"> (</w:t>
      </w:r>
      <w:r w:rsidRPr="009E064B">
        <w:rPr>
          <w:rFonts w:eastAsia="Calibri" w:cs="Times New Roman"/>
          <w:i/>
          <w:szCs w:val="20"/>
        </w:rPr>
        <w:t>wet snow)</w:t>
      </w:r>
      <w:r w:rsidRPr="009E064B">
        <w:rPr>
          <w:rFonts w:eastAsia="Calibri" w:cs="Times New Roman"/>
          <w:szCs w:val="20"/>
        </w:rPr>
        <w:t xml:space="preserve"> </w:t>
      </w:r>
      <w:r w:rsidRPr="009E064B">
        <w:rPr>
          <w:rFonts w:eastAsia="Calibri" w:cs="TimesNewRomanPSMT"/>
          <w:szCs w:val="20"/>
        </w:rPr>
        <w:t>oznacza śnieg, który ściśnięty w dłoni zlepia się oraz tworzy lub ma tendencję do tworzenia bryły. Ciężar właściwy od 0,35 do 0,50 wyłącznie.</w:t>
      </w:r>
    </w:p>
    <w:p w14:paraId="24BE2134"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9E064B">
        <w:rPr>
          <w:rFonts w:eastAsia="Calibri" w:cs="TimesNewRomanPS-BoldItalicMT"/>
          <w:iCs/>
          <w:szCs w:val="20"/>
        </w:rPr>
        <w:t>Śnieg</w:t>
      </w:r>
      <w:r w:rsidRPr="009E064B">
        <w:rPr>
          <w:rFonts w:eastAsia="Calibri" w:cs="TimesNewRomanPS-ItalicMT"/>
          <w:iCs/>
          <w:szCs w:val="20"/>
        </w:rPr>
        <w:t xml:space="preserve"> ubity</w:t>
      </w:r>
      <w:r w:rsidRPr="009E064B">
        <w:rPr>
          <w:rFonts w:eastAsia="Calibri" w:cs="TimesNewRomanPS-ItalicMT"/>
          <w:i/>
          <w:iCs/>
          <w:szCs w:val="20"/>
        </w:rPr>
        <w:t xml:space="preserve"> (</w:t>
      </w:r>
      <w:r w:rsidRPr="009E064B">
        <w:rPr>
          <w:rFonts w:eastAsia="Calibri" w:cs="Times New Roman"/>
          <w:i/>
          <w:szCs w:val="20"/>
        </w:rPr>
        <w:t>compacted snow)</w:t>
      </w:r>
      <w:r w:rsidRPr="009E064B">
        <w:rPr>
          <w:rFonts w:eastAsia="Calibri" w:cs="Times New Roman"/>
          <w:szCs w:val="20"/>
        </w:rPr>
        <w:t xml:space="preserve"> </w:t>
      </w:r>
      <w:r w:rsidRPr="009E064B">
        <w:rPr>
          <w:rFonts w:eastAsia="Calibri" w:cs="TimesNewRomanPSMT"/>
          <w:szCs w:val="20"/>
        </w:rPr>
        <w:t xml:space="preserve">oznacza śnieg, zagęszczony w jednolitą masę niepoddającą się dalszemu zagęszczaniu i który przy podnoszeniu zlepia się lub rozkrusza na kawałki. Ciężar </w:t>
      </w:r>
    </w:p>
    <w:p w14:paraId="2D0C86FB" w14:textId="77777777" w:rsidR="00B527C7" w:rsidRPr="009E064B" w:rsidRDefault="00B527C7" w:rsidP="00B527C7">
      <w:pPr>
        <w:numPr>
          <w:ilvl w:val="0"/>
          <w:numId w:val="8"/>
        </w:numPr>
        <w:tabs>
          <w:tab w:val="left" w:pos="567"/>
        </w:tabs>
        <w:autoSpaceDE w:val="0"/>
        <w:autoSpaceDN w:val="0"/>
        <w:adjustRightInd w:val="0"/>
        <w:ind w:left="567" w:hanging="425"/>
        <w:rPr>
          <w:rFonts w:eastAsia="Calibri" w:cs="Times New Roman"/>
          <w:szCs w:val="20"/>
        </w:rPr>
      </w:pPr>
      <w:r w:rsidRPr="009E064B">
        <w:rPr>
          <w:rFonts w:eastAsia="Calibri" w:cs="TimesNewRomanPSMT"/>
          <w:szCs w:val="20"/>
        </w:rPr>
        <w:t>właściwy 0,50 i powyżej</w:t>
      </w:r>
      <w:r w:rsidRPr="009E064B">
        <w:rPr>
          <w:rFonts w:eastAsia="Calibri" w:cs="TimesNewRomanPS-ItalicMT"/>
          <w:i/>
          <w:iCs/>
          <w:szCs w:val="20"/>
        </w:rPr>
        <w:t>.</w:t>
      </w:r>
    </w:p>
    <w:p w14:paraId="54A322C6"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Zabezpieczenie przerwanego startu </w:t>
      </w:r>
      <w:r w:rsidRPr="009E064B">
        <w:rPr>
          <w:rFonts w:eastAsia="Calibri" w:cs="TimesNewRomanPS-ItalicMT"/>
          <w:i/>
          <w:iCs/>
          <w:szCs w:val="20"/>
        </w:rPr>
        <w:t>(stopway)</w:t>
      </w:r>
      <w:r w:rsidRPr="009E064B">
        <w:rPr>
          <w:rFonts w:eastAsia="Calibri" w:cs="TimesNewRomanPSMT"/>
          <w:szCs w:val="20"/>
        </w:rPr>
        <w:t xml:space="preserve"> </w:t>
      </w:r>
      <w:r w:rsidRPr="009E064B">
        <w:rPr>
          <w:rFonts w:eastAsia="Calibri" w:cs="Times New Roman"/>
          <w:spacing w:val="-1"/>
        </w:rPr>
        <w:t xml:space="preserve">oznacza określony prostokątny obszar na lądzie na końcu rozporządzalnej długości rozbiegu przy starcie, przygotowany, jako </w:t>
      </w:r>
      <w:r w:rsidRPr="009E064B">
        <w:rPr>
          <w:rFonts w:eastAsia="Calibri" w:cs="TimesNewRomanPSMT"/>
          <w:szCs w:val="20"/>
        </w:rPr>
        <w:t>odpowiedni</w:t>
      </w:r>
      <w:r w:rsidRPr="009E064B">
        <w:rPr>
          <w:rFonts w:eastAsia="Calibri" w:cs="Times New Roman"/>
          <w:spacing w:val="-1"/>
        </w:rPr>
        <w:t xml:space="preserve"> obszar, na którym statek powietrzny może się zatrzymać w przypadku przerwanego startu;</w:t>
      </w:r>
    </w:p>
    <w:p w14:paraId="1179ECBC"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 New Roman"/>
          <w:b/>
          <w:szCs w:val="20"/>
        </w:rPr>
        <w:t>Tarcie nawierzchni</w:t>
      </w:r>
      <w:r w:rsidRPr="009E064B">
        <w:rPr>
          <w:rFonts w:eastAsia="Calibri" w:cs="Times New Roman"/>
          <w:szCs w:val="20"/>
        </w:rPr>
        <w:t xml:space="preserve"> </w:t>
      </w:r>
      <w:r w:rsidRPr="009E064B">
        <w:rPr>
          <w:rFonts w:eastAsia="Calibri" w:cs="Times New Roman"/>
          <w:i/>
          <w:szCs w:val="20"/>
        </w:rPr>
        <w:t>(surface friction)</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opór stawiany ruchowi jednego ciała wobec powierzchni, z którą pozostaje w kontakcie.</w:t>
      </w:r>
    </w:p>
    <w:p w14:paraId="0D7BA3DE"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Czas przełączenia </w:t>
      </w:r>
      <w:r w:rsidRPr="009E064B">
        <w:rPr>
          <w:rFonts w:eastAsia="Calibri" w:cs="TimesNewRomanPS-ItalicMT"/>
          <w:i/>
          <w:iCs/>
          <w:szCs w:val="20"/>
        </w:rPr>
        <w:t xml:space="preserve">(switch-over time </w:t>
      </w:r>
      <w:r w:rsidRPr="009E064B">
        <w:rPr>
          <w:rFonts w:eastAsia="Calibri" w:cs="TimesNewRomanPSMT"/>
          <w:szCs w:val="20"/>
        </w:rPr>
        <w:t>–</w:t>
      </w:r>
      <w:r w:rsidRPr="009E064B">
        <w:rPr>
          <w:rFonts w:eastAsia="Calibri" w:cs="TimesNewRomanPS-ItalicMT"/>
          <w:i/>
          <w:iCs/>
          <w:szCs w:val="20"/>
        </w:rPr>
        <w:t xml:space="preserve"> light)</w:t>
      </w:r>
      <w:r w:rsidRPr="009E064B">
        <w:rPr>
          <w:rFonts w:eastAsia="Calibri" w:cs="TimesNewRomanPS-ItalicMT"/>
          <w:iCs/>
          <w:szCs w:val="20"/>
        </w:rPr>
        <w:t xml:space="preserve"> </w:t>
      </w:r>
      <w:r w:rsidRPr="009E064B">
        <w:rPr>
          <w:rFonts w:eastAsia="Calibri" w:cs="TimesNewRomanPSMT"/>
          <w:szCs w:val="20"/>
        </w:rPr>
        <w:t>– oznacza czas wymagany dla przywrócenia wartości 50% faktycznej intensywności świetlnej na danym kierunku od momentu jej spadku poniżej 50% przy przełączeniu źródeł zasilania, gdy światło świeci z intensywnością 25% lub więcej.</w:t>
      </w:r>
    </w:p>
    <w:p w14:paraId="5B4A3EA2"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Droga startowa przeznaczona do startów </w:t>
      </w:r>
      <w:r w:rsidRPr="009E064B">
        <w:rPr>
          <w:rFonts w:eastAsia="Calibri" w:cs="TimesNewRomanPS-ItalicMT"/>
          <w:i/>
          <w:iCs/>
          <w:szCs w:val="20"/>
        </w:rPr>
        <w:t>(take-off runway)</w:t>
      </w:r>
      <w:r w:rsidRPr="009E064B">
        <w:rPr>
          <w:rFonts w:eastAsia="Calibri" w:cs="TimesNewRomanPS-ItalicMT"/>
          <w:iCs/>
          <w:szCs w:val="20"/>
        </w:rPr>
        <w:t xml:space="preserve"> </w:t>
      </w:r>
      <w:r w:rsidRPr="009E064B">
        <w:rPr>
          <w:rFonts w:eastAsia="Calibri" w:cs="TimesNewRomanPSMT"/>
          <w:szCs w:val="20"/>
        </w:rPr>
        <w:t>– oznacza drogę startową przeznaczona wyłącznie do operacji startu.</w:t>
      </w:r>
    </w:p>
    <w:p w14:paraId="4A51B587"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NewRomanPS-BoldItalicMT"/>
          <w:b/>
          <w:iCs/>
          <w:szCs w:val="20"/>
        </w:rPr>
        <w:t xml:space="preserve">Droga kołowania </w:t>
      </w:r>
      <w:r w:rsidRPr="009E064B">
        <w:rPr>
          <w:rFonts w:eastAsia="Calibri" w:cs="TimesNewRomanPS-ItalicMT"/>
          <w:i/>
          <w:iCs/>
          <w:szCs w:val="20"/>
        </w:rPr>
        <w:t xml:space="preserve">(taxiway) </w:t>
      </w:r>
      <w:r w:rsidRPr="009E064B">
        <w:rPr>
          <w:rFonts w:eastAsia="Calibri" w:cs="TimesNewRomanPSMT"/>
          <w:szCs w:val="20"/>
        </w:rPr>
        <w:t xml:space="preserve">– </w:t>
      </w:r>
      <w:r w:rsidRPr="009E064B">
        <w:rPr>
          <w:rFonts w:eastAsia="Calibri" w:cs="Times New Roman"/>
          <w:spacing w:val="-1"/>
        </w:rPr>
        <w:t xml:space="preserve">oznacza określoną drogę na lotnisku lądowym, </w:t>
      </w:r>
      <w:r w:rsidRPr="009E064B">
        <w:rPr>
          <w:rFonts w:eastAsia="Calibri" w:cs="TimesNewRomanPSMT"/>
          <w:szCs w:val="20"/>
        </w:rPr>
        <w:t>wyznaczoną</w:t>
      </w:r>
      <w:r w:rsidRPr="009E064B">
        <w:rPr>
          <w:rFonts w:eastAsia="Calibri" w:cs="Times New Roman"/>
          <w:spacing w:val="-1"/>
        </w:rPr>
        <w:t xml:space="preserve"> do kołowania statków powietrznych i zapewniającą połączenie między poszczególnymi częściami lotniska, która obejmuje:</w:t>
      </w:r>
    </w:p>
    <w:p w14:paraId="3BADCC5E" w14:textId="77777777" w:rsidR="00B527C7" w:rsidRPr="009E064B" w:rsidRDefault="00B527C7" w:rsidP="00B527C7">
      <w:pPr>
        <w:numPr>
          <w:ilvl w:val="0"/>
          <w:numId w:val="9"/>
        </w:numPr>
        <w:autoSpaceDE w:val="0"/>
        <w:autoSpaceDN w:val="0"/>
        <w:adjustRightInd w:val="0"/>
        <w:ind w:left="567" w:hanging="425"/>
        <w:rPr>
          <w:rFonts w:eastAsia="Calibri" w:cs="Times New Roman"/>
        </w:rPr>
      </w:pPr>
      <w:r w:rsidRPr="009E064B">
        <w:rPr>
          <w:rFonts w:eastAsia="Calibri" w:cs="Times New Roman"/>
        </w:rPr>
        <w:t>drogę kołowania na stanowisko postojowe,</w:t>
      </w:r>
    </w:p>
    <w:p w14:paraId="15860133" w14:textId="77777777" w:rsidR="00B527C7" w:rsidRPr="009E064B" w:rsidRDefault="00B527C7" w:rsidP="00B527C7">
      <w:pPr>
        <w:numPr>
          <w:ilvl w:val="0"/>
          <w:numId w:val="9"/>
        </w:numPr>
        <w:autoSpaceDE w:val="0"/>
        <w:autoSpaceDN w:val="0"/>
        <w:adjustRightInd w:val="0"/>
        <w:ind w:left="567" w:hanging="425"/>
        <w:rPr>
          <w:rFonts w:eastAsia="Calibri" w:cs="Times New Roman"/>
        </w:rPr>
      </w:pPr>
      <w:r w:rsidRPr="009E064B">
        <w:rPr>
          <w:rFonts w:eastAsia="Calibri" w:cs="Times New Roman"/>
        </w:rPr>
        <w:t>płytową drogę kołowania,</w:t>
      </w:r>
    </w:p>
    <w:p w14:paraId="50E8CD34" w14:textId="77777777" w:rsidR="00B527C7" w:rsidRPr="009E064B" w:rsidRDefault="00B527C7" w:rsidP="00B527C7">
      <w:pPr>
        <w:numPr>
          <w:ilvl w:val="0"/>
          <w:numId w:val="9"/>
        </w:numPr>
        <w:autoSpaceDE w:val="0"/>
        <w:autoSpaceDN w:val="0"/>
        <w:adjustRightInd w:val="0"/>
        <w:ind w:left="567" w:hanging="425"/>
        <w:rPr>
          <w:rFonts w:eastAsia="Calibri" w:cs="Times New Roman"/>
        </w:rPr>
      </w:pPr>
      <w:r w:rsidRPr="009E064B">
        <w:rPr>
          <w:rFonts w:eastAsia="Calibri" w:cs="Times New Roman"/>
        </w:rPr>
        <w:t>drogę kołowania szybkiego zjazdu;</w:t>
      </w:r>
    </w:p>
    <w:p w14:paraId="0E152F44"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Skrzyżowanie dróg kołowania </w:t>
      </w:r>
      <w:r w:rsidRPr="009E064B">
        <w:rPr>
          <w:rFonts w:eastAsia="Calibri" w:cs="TimesNewRomanPS-ItalicMT"/>
          <w:i/>
          <w:iCs/>
          <w:szCs w:val="20"/>
        </w:rPr>
        <w:t>(taxiway intersection)</w:t>
      </w:r>
      <w:r w:rsidRPr="009E064B">
        <w:rPr>
          <w:rFonts w:eastAsia="Calibri" w:cs="TimesNewRomanPS-ItalicMT"/>
          <w:iCs/>
          <w:szCs w:val="20"/>
        </w:rPr>
        <w:t xml:space="preserve"> </w:t>
      </w:r>
      <w:r w:rsidRPr="009E064B">
        <w:rPr>
          <w:rFonts w:eastAsia="Calibri" w:cs="TimesNewRomanPSMT"/>
          <w:szCs w:val="20"/>
        </w:rPr>
        <w:t>– oznacza skrzyżowanie dwóch lub więcej dróg kołowania.</w:t>
      </w:r>
    </w:p>
    <w:p w14:paraId="5DC30257"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Pas drogi kołowania </w:t>
      </w:r>
      <w:r w:rsidRPr="009E064B">
        <w:rPr>
          <w:rFonts w:eastAsia="Calibri" w:cs="TimesNewRomanPS-ItalicMT"/>
          <w:i/>
          <w:iCs/>
          <w:szCs w:val="20"/>
        </w:rPr>
        <w:t>(taxiway strip)</w:t>
      </w:r>
      <w:r w:rsidRPr="009E064B">
        <w:rPr>
          <w:rFonts w:eastAsia="Calibri" w:cs="TimesNewRomanPS-ItalicMT"/>
          <w:iCs/>
          <w:szCs w:val="20"/>
        </w:rPr>
        <w:t xml:space="preserve"> </w:t>
      </w:r>
      <w:r w:rsidRPr="009E064B">
        <w:rPr>
          <w:rFonts w:eastAsia="Calibri" w:cs="TimesNewRomanPSMT"/>
          <w:szCs w:val="20"/>
        </w:rPr>
        <w:t>– oznacza powierzchnię obejmującą drogę kołowania, przeznaczoną do ochrony statków powietrznych kołujących po tej drodze i ograniczenia ryzyka uszkodzenia statku powietrznego, który przypadkowo zjechałby z drogi kołowania.</w:t>
      </w:r>
    </w:p>
    <w:p w14:paraId="1D3DBE1E" w14:textId="77777777" w:rsidR="00B527C7" w:rsidRPr="009E064B" w:rsidRDefault="00B527C7" w:rsidP="00B527C7">
      <w:pPr>
        <w:autoSpaceDE w:val="0"/>
        <w:autoSpaceDN w:val="0"/>
        <w:adjustRightInd w:val="0"/>
        <w:ind w:left="142" w:hanging="142"/>
        <w:rPr>
          <w:rFonts w:eastAsia="Calibri" w:cs="TimesNewRomanPSMT"/>
          <w:szCs w:val="20"/>
        </w:rPr>
      </w:pPr>
      <w:r w:rsidRPr="009E064B">
        <w:rPr>
          <w:rFonts w:eastAsia="Calibri" w:cs="TimesNewRomanPS-BoldItalicMT"/>
          <w:b/>
          <w:iCs/>
          <w:szCs w:val="20"/>
        </w:rPr>
        <w:t xml:space="preserve">Próg </w:t>
      </w:r>
      <w:r w:rsidRPr="009E064B">
        <w:rPr>
          <w:rFonts w:eastAsia="Calibri" w:cs="TimesNewRomanPS-ItalicMT"/>
          <w:i/>
          <w:iCs/>
          <w:szCs w:val="20"/>
        </w:rPr>
        <w:t xml:space="preserve">(threshold) </w:t>
      </w:r>
      <w:r w:rsidRPr="009E064B">
        <w:rPr>
          <w:rFonts w:eastAsia="Calibri" w:cs="TimesNewRomanPSMT"/>
          <w:szCs w:val="20"/>
        </w:rPr>
        <w:t>– oznacza początek części drogi startowej wykorzystywanej do lądowania.</w:t>
      </w:r>
    </w:p>
    <w:p w14:paraId="64B337B3"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BoldItalicMT"/>
          <w:b/>
          <w:iCs/>
          <w:szCs w:val="20"/>
        </w:rPr>
        <w:t xml:space="preserve">Strefa przyziemienia </w:t>
      </w:r>
      <w:r w:rsidRPr="009E064B">
        <w:rPr>
          <w:rFonts w:eastAsia="Calibri" w:cs="TimesNewRomanPS-ItalicMT"/>
          <w:i/>
          <w:iCs/>
          <w:szCs w:val="20"/>
        </w:rPr>
        <w:t>(touchdown zone)</w:t>
      </w:r>
      <w:r w:rsidRPr="009E064B">
        <w:rPr>
          <w:rFonts w:eastAsia="Calibri" w:cs="TimesNewRomanPS-ItalicMT"/>
          <w:iCs/>
          <w:szCs w:val="20"/>
        </w:rPr>
        <w:t xml:space="preserve"> </w:t>
      </w:r>
      <w:r w:rsidRPr="009E064B">
        <w:rPr>
          <w:rFonts w:eastAsia="Calibri" w:cs="TimesNewRomanPSMT"/>
          <w:szCs w:val="20"/>
        </w:rPr>
        <w:t>– oznacza część drogi startowej położoną za progiem, która przeznaczona jest do pierwszego zetknięcia się lądujących statków powietrznych z nawierzchnią drogi startowej.</w:t>
      </w:r>
    </w:p>
    <w:p w14:paraId="4A6CADB6" w14:textId="77777777" w:rsidR="00B527C7" w:rsidRPr="009E064B" w:rsidRDefault="00B527C7" w:rsidP="00B527C7">
      <w:pPr>
        <w:autoSpaceDE w:val="0"/>
        <w:autoSpaceDN w:val="0"/>
        <w:adjustRightInd w:val="0"/>
        <w:ind w:left="142" w:hanging="142"/>
        <w:rPr>
          <w:rFonts w:eastAsia="Calibri" w:cs="Times New Roman"/>
          <w:spacing w:val="-1"/>
        </w:rPr>
      </w:pPr>
      <w:r w:rsidRPr="009E064B">
        <w:rPr>
          <w:rFonts w:eastAsia="Calibri" w:cs="Times New Roman"/>
          <w:b/>
          <w:szCs w:val="20"/>
        </w:rPr>
        <w:t>Pomoce wzrokowe</w:t>
      </w:r>
      <w:r w:rsidRPr="009E064B">
        <w:rPr>
          <w:rFonts w:eastAsia="Calibri" w:cs="Times New Roman"/>
          <w:szCs w:val="20"/>
        </w:rPr>
        <w:t xml:space="preserve"> </w:t>
      </w:r>
      <w:r w:rsidRPr="009E064B">
        <w:rPr>
          <w:rFonts w:eastAsia="Calibri" w:cs="Times New Roman"/>
          <w:i/>
          <w:szCs w:val="20"/>
        </w:rPr>
        <w:t>(visual aids)</w:t>
      </w:r>
      <w:r w:rsidRPr="009E064B">
        <w:rPr>
          <w:rFonts w:eastAsia="Calibri" w:cs="Times New Roman"/>
          <w:szCs w:val="20"/>
        </w:rPr>
        <w:t xml:space="preserve"> </w:t>
      </w:r>
      <w:r w:rsidRPr="009E064B">
        <w:rPr>
          <w:rFonts w:eastAsia="Calibri" w:cs="Times New Roman"/>
          <w:spacing w:val="-1"/>
        </w:rPr>
        <w:t xml:space="preserve">oznaczają wskaźniki i urządzenia sygnalizacyjne, </w:t>
      </w:r>
      <w:r w:rsidRPr="009E064B">
        <w:rPr>
          <w:rFonts w:eastAsia="Calibri" w:cs="TimesNewRomanPSMT"/>
          <w:szCs w:val="20"/>
        </w:rPr>
        <w:t>oznakowanie</w:t>
      </w:r>
      <w:r w:rsidRPr="009E064B">
        <w:rPr>
          <w:rFonts w:eastAsia="Calibri" w:cs="Times New Roman"/>
          <w:spacing w:val="-1"/>
        </w:rPr>
        <w:t xml:space="preserve"> poziome, światła, znaki pionowe i oznaczniki lub ich połączenie.</w:t>
      </w:r>
    </w:p>
    <w:p w14:paraId="4650F73C" w14:textId="77777777" w:rsidR="00B527C7" w:rsidRPr="009E064B" w:rsidRDefault="00B527C7" w:rsidP="00B527C7">
      <w:pPr>
        <w:autoSpaceDE w:val="0"/>
        <w:autoSpaceDN w:val="0"/>
        <w:adjustRightInd w:val="0"/>
        <w:ind w:left="142" w:hanging="142"/>
        <w:rPr>
          <w:rFonts w:eastAsia="Calibri" w:cs="Times New Roman"/>
          <w:szCs w:val="20"/>
        </w:rPr>
      </w:pPr>
      <w:r w:rsidRPr="009E064B">
        <w:rPr>
          <w:rFonts w:eastAsia="Calibri" w:cs="TimesNewRomanPSMT"/>
          <w:b/>
          <w:szCs w:val="20"/>
        </w:rPr>
        <w:t>System wzrokowego wskaźnika ścieżki podejścia</w:t>
      </w:r>
      <w:r w:rsidRPr="009E064B">
        <w:rPr>
          <w:rFonts w:eastAsia="Calibri" w:cs="Times New Roman"/>
          <w:szCs w:val="20"/>
        </w:rPr>
        <w:t xml:space="preserve"> </w:t>
      </w:r>
      <w:r w:rsidRPr="009E064B">
        <w:rPr>
          <w:rFonts w:eastAsia="Calibri" w:cs="Times New Roman"/>
          <w:i/>
          <w:szCs w:val="20"/>
        </w:rPr>
        <w:t xml:space="preserve">(visual approach slope indication </w:t>
      </w:r>
      <w:r w:rsidRPr="009E064B">
        <w:rPr>
          <w:rFonts w:eastAsia="Calibri" w:cs="TimesNewRomanPSMT"/>
          <w:i/>
          <w:szCs w:val="20"/>
        </w:rPr>
        <w:t>system</w:t>
      </w:r>
      <w:r w:rsidRPr="009E064B">
        <w:rPr>
          <w:rFonts w:eastAsia="Calibri" w:cs="Times New Roman"/>
          <w:i/>
          <w:szCs w:val="20"/>
        </w:rPr>
        <w:t>)</w:t>
      </w:r>
      <w:r w:rsidRPr="009E064B">
        <w:rPr>
          <w:rFonts w:eastAsia="Calibri" w:cs="Times New Roman"/>
          <w:szCs w:val="20"/>
        </w:rPr>
        <w:t xml:space="preserve"> – </w:t>
      </w:r>
      <w:r w:rsidRPr="009E064B">
        <w:rPr>
          <w:rFonts w:eastAsia="Calibri" w:cs="TimesNewRomanPSMT"/>
          <w:szCs w:val="20"/>
        </w:rPr>
        <w:t>oznacza</w:t>
      </w:r>
      <w:r w:rsidRPr="009E064B">
        <w:rPr>
          <w:rFonts w:eastAsia="Calibri" w:cs="Times New Roman"/>
          <w:szCs w:val="20"/>
        </w:rPr>
        <w:t xml:space="preserve"> system świateł zainstalowanych w taki sposób, aby zapewnić informacje kierowania przy zniżaniu z widocznością podczas podejścia do drogi startowej.</w:t>
      </w:r>
    </w:p>
    <w:p w14:paraId="2B2983A7" w14:textId="77777777" w:rsidR="00B527C7" w:rsidRPr="009E064B" w:rsidRDefault="00B527C7" w:rsidP="006C24CC">
      <w:pPr>
        <w:spacing w:before="120" w:after="0"/>
        <w:ind w:left="23" w:hanging="23"/>
        <w:rPr>
          <w:rFonts w:eastAsia="Times New Roman" w:cs="Calibri"/>
          <w:i/>
          <w:sz w:val="16"/>
          <w:szCs w:val="16"/>
        </w:rPr>
      </w:pPr>
      <w:r w:rsidRPr="009E064B">
        <w:rPr>
          <w:rFonts w:eastAsia="Times New Roman" w:cs="Calibri"/>
          <w:i/>
          <w:sz w:val="16"/>
          <w:szCs w:val="16"/>
        </w:rPr>
        <w:t>[Wydanie: ADR-DSN/3]</w:t>
      </w:r>
    </w:p>
    <w:p w14:paraId="2EB87D89" w14:textId="0D4F4C80" w:rsidR="00605746" w:rsidRPr="009E064B" w:rsidRDefault="00542C09" w:rsidP="008960B1">
      <w:pPr>
        <w:pStyle w:val="Tekstpodstawowy"/>
        <w:spacing w:before="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E82688F" w14:textId="080002D7" w:rsidR="00B818A5" w:rsidRPr="009E064B" w:rsidRDefault="00B818A5" w:rsidP="00133B99">
      <w:pPr>
        <w:pStyle w:val="Nagwek6"/>
      </w:pPr>
      <w:bookmarkStart w:id="771" w:name="_Toc401058883"/>
      <w:bookmarkStart w:id="772" w:name="_Toc482886752"/>
      <w:bookmarkStart w:id="773" w:name="_Toc12532907"/>
      <w:r w:rsidRPr="009E064B">
        <w:t xml:space="preserve">GM1 ADR-DSN.A.002 </w:t>
      </w:r>
      <w:r w:rsidR="006F5BE7" w:rsidRPr="009E064B">
        <w:t xml:space="preserve">    </w:t>
      </w:r>
      <w:r w:rsidRPr="009E064B">
        <w:t>Definicje</w:t>
      </w:r>
      <w:bookmarkEnd w:id="771"/>
      <w:bookmarkEnd w:id="772"/>
      <w:bookmarkEnd w:id="773"/>
    </w:p>
    <w:p w14:paraId="7BF20A51" w14:textId="7EBB886E" w:rsidR="006F5BE7" w:rsidRPr="009E064B" w:rsidRDefault="001F74A1" w:rsidP="006F5BE7">
      <w:pPr>
        <w:spacing w:after="80"/>
        <w:ind w:left="23"/>
        <w:jc w:val="right"/>
        <w:rPr>
          <w:rFonts w:eastAsia="Times New Roman" w:cs="Calibri"/>
          <w:i/>
          <w:color w:val="1A171C"/>
          <w:sz w:val="16"/>
          <w:szCs w:val="20"/>
        </w:rPr>
      </w:pPr>
      <w:r>
        <w:rPr>
          <w:rFonts w:eastAsia="Times New Roman" w:cs="Calibri"/>
          <w:i/>
          <w:color w:val="1A171C"/>
          <w:sz w:val="16"/>
          <w:szCs w:val="20"/>
        </w:rPr>
        <w:t>Decyzja ED 2014/013/R</w:t>
      </w:r>
    </w:p>
    <w:p w14:paraId="0F82B380" w14:textId="4EBEBF06" w:rsidR="00605746" w:rsidRPr="009E064B" w:rsidRDefault="00B818A5" w:rsidP="00280FF7">
      <w:pPr>
        <w:rPr>
          <w:rFonts w:cs="Times New Roman"/>
          <w:szCs w:val="20"/>
        </w:rPr>
      </w:pPr>
      <w:r w:rsidRPr="009E064B">
        <w:rPr>
          <w:rFonts w:cs="Times New Roman"/>
          <w:szCs w:val="20"/>
        </w:rPr>
        <w:t>Celowo pozostawiono puste.</w:t>
      </w:r>
    </w:p>
    <w:p w14:paraId="06B32352" w14:textId="77777777" w:rsidR="00605746" w:rsidRPr="009E064B" w:rsidRDefault="00605746">
      <w:pPr>
        <w:spacing w:after="0"/>
        <w:jc w:val="left"/>
        <w:rPr>
          <w:rFonts w:cs="Times New Roman"/>
          <w:szCs w:val="20"/>
        </w:rPr>
      </w:pPr>
      <w:r w:rsidRPr="009E064B">
        <w:rPr>
          <w:rFonts w:cs="Times New Roman"/>
          <w:szCs w:val="20"/>
        </w:rPr>
        <w:br w:type="page"/>
      </w:r>
    </w:p>
    <w:p w14:paraId="242CE289" w14:textId="6179BD01" w:rsidR="00C36D76" w:rsidRPr="009E064B" w:rsidRDefault="00C36D76" w:rsidP="00B06A9A">
      <w:pPr>
        <w:pStyle w:val="Nagwek4"/>
        <w:rPr>
          <w:color w:val="auto"/>
        </w:rPr>
      </w:pPr>
      <w:bookmarkStart w:id="774" w:name="_Toc482886529"/>
      <w:bookmarkStart w:id="775" w:name="_Toc12532908"/>
      <w:r w:rsidRPr="009E064B">
        <w:rPr>
          <w:color w:val="auto"/>
        </w:rPr>
        <w:t>CS A</w:t>
      </w:r>
      <w:r w:rsidR="001F134F" w:rsidRPr="009E064B">
        <w:rPr>
          <w:color w:val="auto"/>
        </w:rPr>
        <w:t xml:space="preserve">DR-DSN.A.005     </w:t>
      </w:r>
      <w:r w:rsidRPr="009E064B">
        <w:rPr>
          <w:color w:val="auto"/>
        </w:rPr>
        <w:t>Kod referencyjny lotniska</w:t>
      </w:r>
      <w:bookmarkEnd w:id="774"/>
      <w:r w:rsidR="00700AF7" w:rsidRPr="009E064B">
        <w:rPr>
          <w:color w:val="auto"/>
        </w:rPr>
        <w:t xml:space="preserve"> (ARC)</w:t>
      </w:r>
      <w:bookmarkEnd w:id="775"/>
    </w:p>
    <w:p w14:paraId="68FB5B9D" w14:textId="1A4F2808" w:rsidR="006F5BE7" w:rsidRPr="009E064B" w:rsidRDefault="00D63D4F" w:rsidP="006F5BE7">
      <w:pPr>
        <w:autoSpaceDE w:val="0"/>
        <w:autoSpaceDN w:val="0"/>
        <w:adjustRightInd w:val="0"/>
        <w:ind w:left="567" w:hanging="567"/>
        <w:jc w:val="right"/>
        <w:rPr>
          <w:rFonts w:cs="Times New Roman"/>
          <w:szCs w:val="20"/>
        </w:rPr>
      </w:pPr>
      <w:r w:rsidRPr="009E064B">
        <w:rPr>
          <w:rFonts w:eastAsia="Calibri" w:cs="Calibri"/>
          <w:bCs/>
          <w:i/>
          <w:color w:val="1A171C"/>
          <w:sz w:val="16"/>
          <w:szCs w:val="20"/>
        </w:rPr>
        <w:t>Decyzja ED 2016/027/R</w:t>
      </w:r>
    </w:p>
    <w:p w14:paraId="0DF67892" w14:textId="77777777" w:rsidR="00C36D76" w:rsidRPr="009E064B" w:rsidRDefault="00C36D76" w:rsidP="00B06A9A">
      <w:pPr>
        <w:autoSpaceDE w:val="0"/>
        <w:autoSpaceDN w:val="0"/>
        <w:adjustRightInd w:val="0"/>
        <w:ind w:left="567" w:hanging="567"/>
        <w:rPr>
          <w:rFonts w:cs="Times New Roman"/>
          <w:szCs w:val="20"/>
        </w:rPr>
      </w:pPr>
      <w:r w:rsidRPr="009E064B">
        <w:rPr>
          <w:rFonts w:cs="Times New Roman"/>
          <w:szCs w:val="20"/>
        </w:rPr>
        <w:t xml:space="preserve">(a) </w:t>
      </w:r>
      <w:r w:rsidRPr="009E064B">
        <w:rPr>
          <w:rFonts w:cs="Times New Roman"/>
          <w:szCs w:val="20"/>
        </w:rPr>
        <w:tab/>
        <w:t>Kod referencyjny lotniska, składający się z cyfry i litery kodu, jest wybierany dla celów planowania użytkowania lotniska i powinien być określony zgodnie z charakterystyką samolotu, dla którego wyposażenie lotniskowe jest przeznaczone.</w:t>
      </w:r>
    </w:p>
    <w:p w14:paraId="437C270C" w14:textId="77777777" w:rsidR="00C36D76" w:rsidRPr="009E064B" w:rsidRDefault="00C36D76" w:rsidP="00B06A9A">
      <w:pPr>
        <w:autoSpaceDE w:val="0"/>
        <w:autoSpaceDN w:val="0"/>
        <w:adjustRightInd w:val="0"/>
        <w:ind w:left="567" w:hanging="567"/>
        <w:rPr>
          <w:rFonts w:cs="Times New Roman"/>
          <w:szCs w:val="20"/>
        </w:rPr>
      </w:pPr>
      <w:r w:rsidRPr="009E064B">
        <w:rPr>
          <w:rFonts w:cs="Times New Roman"/>
          <w:szCs w:val="20"/>
        </w:rPr>
        <w:t xml:space="preserve">(b) </w:t>
      </w:r>
      <w:r w:rsidRPr="009E064B">
        <w:rPr>
          <w:rFonts w:cs="Times New Roman"/>
          <w:szCs w:val="20"/>
        </w:rPr>
        <w:tab/>
        <w:t>Znaczenie cyfr i liter kodu referencyjnego lotniska określa Tabela A-1.</w:t>
      </w:r>
    </w:p>
    <w:p w14:paraId="0CF2BF12" w14:textId="7AA0637D" w:rsidR="00C36D76" w:rsidRPr="000412BF" w:rsidRDefault="00C36D76" w:rsidP="00B06A9A">
      <w:pPr>
        <w:autoSpaceDE w:val="0"/>
        <w:autoSpaceDN w:val="0"/>
        <w:adjustRightInd w:val="0"/>
        <w:ind w:left="567" w:hanging="567"/>
        <w:rPr>
          <w:rFonts w:cs="Times New Roman"/>
          <w:szCs w:val="20"/>
        </w:rPr>
      </w:pPr>
      <w:r w:rsidRPr="009E064B">
        <w:rPr>
          <w:rFonts w:cs="Times New Roman"/>
          <w:szCs w:val="20"/>
        </w:rPr>
        <w:t xml:space="preserve">(c) </w:t>
      </w:r>
      <w:r w:rsidRPr="009E064B">
        <w:rPr>
          <w:rFonts w:cs="Times New Roman"/>
          <w:szCs w:val="20"/>
        </w:rPr>
        <w:tab/>
      </w:r>
      <w:r w:rsidRPr="000412BF">
        <w:rPr>
          <w:rFonts w:cs="Times New Roman"/>
          <w:szCs w:val="20"/>
        </w:rPr>
        <w:t>Cyfra kodu odpowiadająca elementowi pierwszemu powinna</w:t>
      </w:r>
      <w:r w:rsidR="00371A8B" w:rsidRPr="000412BF">
        <w:rPr>
          <w:rFonts w:cs="Times New Roman"/>
          <w:szCs w:val="20"/>
        </w:rPr>
        <w:t xml:space="preserve"> być ustalona zgodnie </w:t>
      </w:r>
      <w:r w:rsidR="000719AD" w:rsidRPr="000412BF">
        <w:rPr>
          <w:rFonts w:cs="Times New Roman"/>
          <w:szCs w:val="20"/>
        </w:rPr>
        <w:t xml:space="preserve">z </w:t>
      </w:r>
      <w:r w:rsidRPr="000412BF">
        <w:rPr>
          <w:rFonts w:cs="Times New Roman"/>
          <w:szCs w:val="20"/>
        </w:rPr>
        <w:t>Tabel</w:t>
      </w:r>
      <w:r w:rsidR="00A44F24" w:rsidRPr="000412BF">
        <w:rPr>
          <w:rFonts w:cs="Times New Roman"/>
          <w:szCs w:val="20"/>
        </w:rPr>
        <w:t>ą</w:t>
      </w:r>
      <w:r w:rsidRPr="000412BF">
        <w:rPr>
          <w:rFonts w:cs="Times New Roman"/>
          <w:szCs w:val="20"/>
        </w:rPr>
        <w:t xml:space="preserve"> A-1</w:t>
      </w:r>
      <w:r w:rsidR="00A16829" w:rsidRPr="000412BF">
        <w:rPr>
          <w:rFonts w:cs="Times New Roman"/>
          <w:szCs w:val="20"/>
        </w:rPr>
        <w:t>,</w:t>
      </w:r>
      <w:r w:rsidRPr="000412BF">
        <w:rPr>
          <w:rFonts w:cs="Times New Roman"/>
          <w:szCs w:val="20"/>
        </w:rPr>
        <w:t xml:space="preserve"> poprzez wybranie cyfry odpowiadającej największej długości referencyjnej startu samolotu, dla których droga startowa jest przeznaczona. </w:t>
      </w:r>
      <w:r w:rsidRPr="000412BF">
        <w:rPr>
          <w:rFonts w:eastAsia="Times New Roman,Italic" w:cs="Times New Roman,Italic"/>
          <w:iCs/>
          <w:szCs w:val="20"/>
        </w:rPr>
        <w:t>Referencyjna długość pola do startu samolotu została zdefiniowana wyłącznie w kontekście wyboru cyfry kodu; parametr ten nie ma znaczenia dla rzeczywistej długości drogi startowej.</w:t>
      </w:r>
    </w:p>
    <w:p w14:paraId="5798C27F" w14:textId="2B86DB89" w:rsidR="00C36D76" w:rsidRPr="000412BF" w:rsidRDefault="00C36D76" w:rsidP="00B06A9A">
      <w:pPr>
        <w:autoSpaceDE w:val="0"/>
        <w:autoSpaceDN w:val="0"/>
        <w:adjustRightInd w:val="0"/>
        <w:ind w:left="567" w:hanging="567"/>
        <w:rPr>
          <w:rFonts w:cs="Times New Roman"/>
          <w:szCs w:val="20"/>
        </w:rPr>
      </w:pPr>
      <w:r w:rsidRPr="000412BF">
        <w:rPr>
          <w:rFonts w:cs="Times New Roman"/>
          <w:szCs w:val="20"/>
        </w:rPr>
        <w:t xml:space="preserve">(d) </w:t>
      </w:r>
      <w:r w:rsidRPr="000412BF">
        <w:rPr>
          <w:rFonts w:cs="Times New Roman"/>
          <w:szCs w:val="20"/>
        </w:rPr>
        <w:tab/>
        <w:t>Litera kodu odpowiadająca elementowi drugiemu powinna</w:t>
      </w:r>
      <w:r w:rsidR="00034C97" w:rsidRPr="000412BF">
        <w:rPr>
          <w:rFonts w:cs="Times New Roman"/>
          <w:szCs w:val="20"/>
        </w:rPr>
        <w:t xml:space="preserve"> być ustalona zgodnie z </w:t>
      </w:r>
      <w:r w:rsidRPr="000412BF">
        <w:rPr>
          <w:rFonts w:cs="Times New Roman"/>
          <w:szCs w:val="20"/>
        </w:rPr>
        <w:t>Tabel</w:t>
      </w:r>
      <w:r w:rsidR="00A44F24" w:rsidRPr="000412BF">
        <w:rPr>
          <w:rFonts w:cs="Times New Roman"/>
          <w:szCs w:val="20"/>
        </w:rPr>
        <w:t>ą</w:t>
      </w:r>
      <w:r w:rsidRPr="000412BF">
        <w:rPr>
          <w:rFonts w:cs="Times New Roman"/>
          <w:szCs w:val="20"/>
        </w:rPr>
        <w:t xml:space="preserve"> A-1</w:t>
      </w:r>
      <w:r w:rsidR="00A16829" w:rsidRPr="000412BF">
        <w:rPr>
          <w:rFonts w:cs="Times New Roman"/>
          <w:szCs w:val="20"/>
        </w:rPr>
        <w:t>,</w:t>
      </w:r>
      <w:r w:rsidRPr="000412BF">
        <w:rPr>
          <w:rFonts w:cs="Times New Roman"/>
          <w:szCs w:val="20"/>
        </w:rPr>
        <w:t xml:space="preserve"> poprzez wybranie litery kodu odpowiadającej najw</w:t>
      </w:r>
      <w:r w:rsidR="00A44F24" w:rsidRPr="000412BF">
        <w:rPr>
          <w:rFonts w:cs="Times New Roman"/>
          <w:szCs w:val="20"/>
        </w:rPr>
        <w:t>iększej</w:t>
      </w:r>
      <w:r w:rsidRPr="000412BF">
        <w:rPr>
          <w:rFonts w:cs="Times New Roman"/>
          <w:szCs w:val="20"/>
        </w:rPr>
        <w:t xml:space="preserve"> rozpiętości </w:t>
      </w:r>
      <w:r w:rsidR="00A44F24" w:rsidRPr="000412BF">
        <w:rPr>
          <w:rFonts w:cs="Times New Roman"/>
          <w:szCs w:val="20"/>
        </w:rPr>
        <w:t xml:space="preserve">skrzydeł </w:t>
      </w:r>
      <w:r w:rsidRPr="000412BF">
        <w:rPr>
          <w:rFonts w:cs="Times New Roman"/>
          <w:szCs w:val="20"/>
        </w:rPr>
        <w:t>samolotów, dla których dany obiekt jest przeznaczony.</w:t>
      </w:r>
    </w:p>
    <w:p w14:paraId="1A6A5B61" w14:textId="77777777" w:rsidR="00C36D76" w:rsidRPr="000412BF" w:rsidRDefault="00C36D76" w:rsidP="00B06A9A">
      <w:pPr>
        <w:spacing w:after="0"/>
        <w:rPr>
          <w:szCs w:val="20"/>
        </w:rPr>
      </w:pPr>
    </w:p>
    <w:tbl>
      <w:tblPr>
        <w:tblW w:w="4692"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40" w:type="dxa"/>
          <w:bottom w:w="57" w:type="dxa"/>
          <w:right w:w="40" w:type="dxa"/>
        </w:tblCellMar>
        <w:tblLook w:val="0000" w:firstRow="0" w:lastRow="0" w:firstColumn="0" w:lastColumn="0" w:noHBand="0" w:noVBand="0"/>
      </w:tblPr>
      <w:tblGrid>
        <w:gridCol w:w="2589"/>
        <w:gridCol w:w="6029"/>
      </w:tblGrid>
      <w:tr w:rsidR="006F3275" w:rsidRPr="000412BF" w14:paraId="028AFD55" w14:textId="77777777" w:rsidTr="00A16829">
        <w:tc>
          <w:tcPr>
            <w:tcW w:w="5000" w:type="pct"/>
            <w:gridSpan w:val="2"/>
            <w:shd w:val="clear" w:color="auto" w:fill="FFFFFF"/>
            <w:tcMar>
              <w:top w:w="57" w:type="dxa"/>
              <w:left w:w="57" w:type="dxa"/>
              <w:bottom w:w="57" w:type="dxa"/>
              <w:right w:w="57" w:type="dxa"/>
            </w:tcMar>
            <w:vAlign w:val="center"/>
          </w:tcPr>
          <w:p w14:paraId="72B41B5F" w14:textId="77777777" w:rsidR="006F3275" w:rsidRPr="000412BF" w:rsidRDefault="006F3275" w:rsidP="00334D65">
            <w:pPr>
              <w:spacing w:after="0"/>
              <w:jc w:val="center"/>
              <w:rPr>
                <w:b/>
                <w:szCs w:val="18"/>
              </w:rPr>
            </w:pPr>
            <w:r w:rsidRPr="000412BF">
              <w:rPr>
                <w:b/>
                <w:szCs w:val="18"/>
              </w:rPr>
              <w:t>Pierwszy element kodu</w:t>
            </w:r>
          </w:p>
        </w:tc>
      </w:tr>
      <w:tr w:rsidR="006F3275" w:rsidRPr="000412BF" w14:paraId="34EAC823" w14:textId="77777777" w:rsidTr="00A16829">
        <w:tc>
          <w:tcPr>
            <w:tcW w:w="1502" w:type="pct"/>
            <w:shd w:val="clear" w:color="auto" w:fill="FFFFFF"/>
            <w:tcMar>
              <w:top w:w="57" w:type="dxa"/>
              <w:left w:w="57" w:type="dxa"/>
              <w:bottom w:w="57" w:type="dxa"/>
              <w:right w:w="57" w:type="dxa"/>
            </w:tcMar>
            <w:vAlign w:val="center"/>
          </w:tcPr>
          <w:p w14:paraId="2925560F" w14:textId="77777777" w:rsidR="006F3275" w:rsidRPr="000412BF" w:rsidRDefault="006F3275" w:rsidP="00334D65">
            <w:pPr>
              <w:spacing w:after="0"/>
              <w:jc w:val="center"/>
              <w:rPr>
                <w:szCs w:val="18"/>
              </w:rPr>
            </w:pPr>
            <w:r w:rsidRPr="000412BF">
              <w:rPr>
                <w:szCs w:val="18"/>
              </w:rPr>
              <w:t>Cyfra kodu</w:t>
            </w:r>
          </w:p>
        </w:tc>
        <w:tc>
          <w:tcPr>
            <w:tcW w:w="3498" w:type="pct"/>
            <w:tcMar>
              <w:top w:w="57" w:type="dxa"/>
              <w:left w:w="57" w:type="dxa"/>
              <w:bottom w:w="57" w:type="dxa"/>
              <w:right w:w="57" w:type="dxa"/>
            </w:tcMar>
            <w:vAlign w:val="center"/>
          </w:tcPr>
          <w:p w14:paraId="18634F6D" w14:textId="77777777" w:rsidR="006F3275" w:rsidRPr="000412BF" w:rsidRDefault="006F3275" w:rsidP="00334D65">
            <w:pPr>
              <w:spacing w:after="0"/>
              <w:jc w:val="center"/>
              <w:rPr>
                <w:szCs w:val="18"/>
              </w:rPr>
            </w:pPr>
            <w:r w:rsidRPr="000412BF">
              <w:rPr>
                <w:szCs w:val="18"/>
              </w:rPr>
              <w:t>Referencyjna długość pola do startu samolotu</w:t>
            </w:r>
          </w:p>
        </w:tc>
      </w:tr>
      <w:tr w:rsidR="000719AD" w:rsidRPr="000412BF" w14:paraId="3C59309E" w14:textId="77777777" w:rsidTr="00A16829">
        <w:trPr>
          <w:trHeight w:val="340"/>
        </w:trPr>
        <w:tc>
          <w:tcPr>
            <w:tcW w:w="1502" w:type="pct"/>
            <w:shd w:val="clear" w:color="auto" w:fill="FFFFFF"/>
            <w:tcMar>
              <w:top w:w="85" w:type="dxa"/>
              <w:left w:w="57" w:type="dxa"/>
              <w:bottom w:w="85" w:type="dxa"/>
              <w:right w:w="57" w:type="dxa"/>
            </w:tcMar>
            <w:vAlign w:val="center"/>
          </w:tcPr>
          <w:p w14:paraId="2E0CC1C1" w14:textId="77777777" w:rsidR="006F3275" w:rsidRPr="000412BF" w:rsidRDefault="006F3275" w:rsidP="00334D65">
            <w:pPr>
              <w:spacing w:after="0"/>
              <w:jc w:val="center"/>
              <w:rPr>
                <w:b/>
                <w:szCs w:val="18"/>
              </w:rPr>
            </w:pPr>
            <w:r w:rsidRPr="000412BF">
              <w:rPr>
                <w:b/>
                <w:szCs w:val="18"/>
              </w:rPr>
              <w:t>1</w:t>
            </w:r>
          </w:p>
        </w:tc>
        <w:tc>
          <w:tcPr>
            <w:tcW w:w="3498" w:type="pct"/>
            <w:shd w:val="clear" w:color="auto" w:fill="FFFFFF"/>
            <w:tcMar>
              <w:top w:w="85" w:type="dxa"/>
              <w:left w:w="57" w:type="dxa"/>
              <w:bottom w:w="85" w:type="dxa"/>
              <w:right w:w="57" w:type="dxa"/>
            </w:tcMar>
            <w:vAlign w:val="center"/>
          </w:tcPr>
          <w:p w14:paraId="3A71D730" w14:textId="77777777" w:rsidR="006F3275" w:rsidRPr="000412BF" w:rsidRDefault="006F3275" w:rsidP="00334D65">
            <w:pPr>
              <w:spacing w:after="0"/>
              <w:jc w:val="center"/>
              <w:rPr>
                <w:szCs w:val="18"/>
              </w:rPr>
            </w:pPr>
            <w:r w:rsidRPr="000412BF">
              <w:rPr>
                <w:szCs w:val="18"/>
              </w:rPr>
              <w:t xml:space="preserve">Mniej niż </w:t>
            </w:r>
            <w:smartTag w:uri="urn:schemas-microsoft-com:office:smarttags" w:element="metricconverter">
              <w:smartTagPr>
                <w:attr w:name="ProductID" w:val="800 m"/>
              </w:smartTagPr>
              <w:r w:rsidRPr="000412BF">
                <w:rPr>
                  <w:szCs w:val="18"/>
                </w:rPr>
                <w:t>800 m</w:t>
              </w:r>
            </w:smartTag>
          </w:p>
        </w:tc>
      </w:tr>
      <w:tr w:rsidR="000719AD" w:rsidRPr="000412BF" w14:paraId="517AAEF8" w14:textId="77777777" w:rsidTr="00A16829">
        <w:trPr>
          <w:trHeight w:val="340"/>
        </w:trPr>
        <w:tc>
          <w:tcPr>
            <w:tcW w:w="1502" w:type="pct"/>
            <w:shd w:val="clear" w:color="auto" w:fill="FFFFFF"/>
            <w:tcMar>
              <w:top w:w="85" w:type="dxa"/>
              <w:left w:w="57" w:type="dxa"/>
              <w:bottom w:w="85" w:type="dxa"/>
              <w:right w:w="57" w:type="dxa"/>
            </w:tcMar>
            <w:vAlign w:val="center"/>
          </w:tcPr>
          <w:p w14:paraId="44AAF19E" w14:textId="77777777" w:rsidR="006F3275" w:rsidRPr="000412BF" w:rsidRDefault="006F3275" w:rsidP="00334D65">
            <w:pPr>
              <w:spacing w:after="0"/>
              <w:jc w:val="center"/>
              <w:rPr>
                <w:b/>
                <w:szCs w:val="18"/>
              </w:rPr>
            </w:pPr>
            <w:r w:rsidRPr="000412BF">
              <w:rPr>
                <w:b/>
                <w:szCs w:val="18"/>
              </w:rPr>
              <w:t>2</w:t>
            </w:r>
          </w:p>
        </w:tc>
        <w:tc>
          <w:tcPr>
            <w:tcW w:w="3498" w:type="pct"/>
            <w:shd w:val="clear" w:color="auto" w:fill="FFFFFF"/>
            <w:tcMar>
              <w:top w:w="85" w:type="dxa"/>
              <w:left w:w="57" w:type="dxa"/>
              <w:bottom w:w="85" w:type="dxa"/>
              <w:right w:w="57" w:type="dxa"/>
            </w:tcMar>
            <w:vAlign w:val="center"/>
          </w:tcPr>
          <w:p w14:paraId="6D041A87"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800 m"/>
              </w:smartTagPr>
              <w:r w:rsidRPr="000412BF">
                <w:rPr>
                  <w:szCs w:val="18"/>
                </w:rPr>
                <w:t>800 m</w:t>
              </w:r>
            </w:smartTag>
            <w:r w:rsidRPr="000412BF">
              <w:rPr>
                <w:szCs w:val="18"/>
              </w:rPr>
              <w:t xml:space="preserve"> do </w:t>
            </w:r>
            <w:smartTag w:uri="urn:schemas-microsoft-com:office:smarttags" w:element="metricconverter">
              <w:smartTagPr>
                <w:attr w:name="ProductID" w:val="1200 m"/>
              </w:smartTagPr>
              <w:r w:rsidRPr="000412BF">
                <w:rPr>
                  <w:szCs w:val="18"/>
                </w:rPr>
                <w:t xml:space="preserve">1200 m </w:t>
              </w:r>
            </w:smartTag>
            <w:r w:rsidRPr="000412BF">
              <w:rPr>
                <w:szCs w:val="18"/>
              </w:rPr>
              <w:t xml:space="preserve">(bez wartości </w:t>
            </w:r>
            <w:smartTag w:uri="urn:schemas-microsoft-com:office:smarttags" w:element="metricconverter">
              <w:smartTagPr>
                <w:attr w:name="ProductID" w:val="1200 m"/>
              </w:smartTagPr>
              <w:r w:rsidRPr="000412BF">
                <w:rPr>
                  <w:szCs w:val="18"/>
                </w:rPr>
                <w:t>1200 m</w:t>
              </w:r>
            </w:smartTag>
            <w:r w:rsidRPr="000412BF">
              <w:rPr>
                <w:szCs w:val="18"/>
              </w:rPr>
              <w:t>)</w:t>
            </w:r>
          </w:p>
        </w:tc>
      </w:tr>
      <w:tr w:rsidR="000719AD" w:rsidRPr="000412BF" w14:paraId="2C40DE47" w14:textId="77777777" w:rsidTr="00A16829">
        <w:trPr>
          <w:trHeight w:val="340"/>
        </w:trPr>
        <w:tc>
          <w:tcPr>
            <w:tcW w:w="1502" w:type="pct"/>
            <w:shd w:val="clear" w:color="auto" w:fill="FFFFFF"/>
            <w:tcMar>
              <w:top w:w="85" w:type="dxa"/>
              <w:left w:w="57" w:type="dxa"/>
              <w:bottom w:w="85" w:type="dxa"/>
              <w:right w:w="57" w:type="dxa"/>
            </w:tcMar>
            <w:vAlign w:val="center"/>
          </w:tcPr>
          <w:p w14:paraId="6A9738BB" w14:textId="77777777" w:rsidR="006F3275" w:rsidRPr="000412BF" w:rsidRDefault="006F3275" w:rsidP="00334D65">
            <w:pPr>
              <w:spacing w:after="0"/>
              <w:jc w:val="center"/>
              <w:rPr>
                <w:b/>
                <w:szCs w:val="18"/>
              </w:rPr>
            </w:pPr>
            <w:r w:rsidRPr="000412BF">
              <w:rPr>
                <w:b/>
                <w:szCs w:val="18"/>
              </w:rPr>
              <w:t>3</w:t>
            </w:r>
          </w:p>
        </w:tc>
        <w:tc>
          <w:tcPr>
            <w:tcW w:w="3498" w:type="pct"/>
            <w:shd w:val="clear" w:color="auto" w:fill="FFFFFF"/>
            <w:tcMar>
              <w:top w:w="85" w:type="dxa"/>
              <w:left w:w="57" w:type="dxa"/>
              <w:bottom w:w="85" w:type="dxa"/>
              <w:right w:w="57" w:type="dxa"/>
            </w:tcMar>
            <w:vAlign w:val="center"/>
          </w:tcPr>
          <w:p w14:paraId="46685991"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1200 m"/>
              </w:smartTagPr>
              <w:r w:rsidRPr="000412BF">
                <w:rPr>
                  <w:szCs w:val="18"/>
                </w:rPr>
                <w:t>1200 m</w:t>
              </w:r>
            </w:smartTag>
            <w:r w:rsidRPr="000412BF">
              <w:rPr>
                <w:szCs w:val="18"/>
              </w:rPr>
              <w:t xml:space="preserve"> do </w:t>
            </w:r>
            <w:smartTag w:uri="urn:schemas-microsoft-com:office:smarttags" w:element="metricconverter">
              <w:smartTagPr>
                <w:attr w:name="ProductID" w:val="1800 m"/>
              </w:smartTagPr>
              <w:r w:rsidRPr="000412BF">
                <w:rPr>
                  <w:szCs w:val="18"/>
                </w:rPr>
                <w:t xml:space="preserve">1800 m </w:t>
              </w:r>
            </w:smartTag>
            <w:r w:rsidRPr="000412BF">
              <w:rPr>
                <w:szCs w:val="18"/>
              </w:rPr>
              <w:t xml:space="preserve">(bez wartości </w:t>
            </w:r>
            <w:smartTag w:uri="urn:schemas-microsoft-com:office:smarttags" w:element="metricconverter">
              <w:smartTagPr>
                <w:attr w:name="ProductID" w:val="1800 m"/>
              </w:smartTagPr>
              <w:r w:rsidRPr="000412BF">
                <w:rPr>
                  <w:szCs w:val="18"/>
                </w:rPr>
                <w:t>1800 m</w:t>
              </w:r>
            </w:smartTag>
            <w:r w:rsidRPr="000412BF">
              <w:rPr>
                <w:szCs w:val="18"/>
              </w:rPr>
              <w:t>)</w:t>
            </w:r>
          </w:p>
        </w:tc>
      </w:tr>
      <w:tr w:rsidR="000719AD" w:rsidRPr="000412BF" w14:paraId="22F5ECC4" w14:textId="77777777" w:rsidTr="00A16829">
        <w:trPr>
          <w:trHeight w:val="340"/>
        </w:trPr>
        <w:tc>
          <w:tcPr>
            <w:tcW w:w="1502" w:type="pct"/>
            <w:shd w:val="clear" w:color="auto" w:fill="FFFFFF"/>
            <w:tcMar>
              <w:top w:w="85" w:type="dxa"/>
              <w:left w:w="57" w:type="dxa"/>
              <w:bottom w:w="85" w:type="dxa"/>
              <w:right w:w="57" w:type="dxa"/>
            </w:tcMar>
            <w:vAlign w:val="center"/>
          </w:tcPr>
          <w:p w14:paraId="4F9C1206" w14:textId="77777777" w:rsidR="006F3275" w:rsidRPr="000412BF" w:rsidRDefault="006F3275" w:rsidP="00334D65">
            <w:pPr>
              <w:spacing w:after="0"/>
              <w:jc w:val="center"/>
              <w:rPr>
                <w:b/>
                <w:szCs w:val="18"/>
              </w:rPr>
            </w:pPr>
            <w:r w:rsidRPr="000412BF">
              <w:rPr>
                <w:b/>
                <w:szCs w:val="18"/>
              </w:rPr>
              <w:t>4</w:t>
            </w:r>
          </w:p>
        </w:tc>
        <w:tc>
          <w:tcPr>
            <w:tcW w:w="3498" w:type="pct"/>
            <w:shd w:val="clear" w:color="auto" w:fill="FFFFFF"/>
            <w:tcMar>
              <w:top w:w="85" w:type="dxa"/>
              <w:left w:w="57" w:type="dxa"/>
              <w:bottom w:w="85" w:type="dxa"/>
              <w:right w:w="57" w:type="dxa"/>
            </w:tcMar>
            <w:vAlign w:val="center"/>
          </w:tcPr>
          <w:p w14:paraId="316C4DEB" w14:textId="77777777" w:rsidR="006F3275" w:rsidRPr="000412BF" w:rsidRDefault="006F3275" w:rsidP="00334D65">
            <w:pPr>
              <w:spacing w:after="0"/>
              <w:jc w:val="center"/>
              <w:rPr>
                <w:szCs w:val="18"/>
              </w:rPr>
            </w:pPr>
            <w:smartTag w:uri="urn:schemas-microsoft-com:office:smarttags" w:element="metricconverter">
              <w:smartTagPr>
                <w:attr w:name="ProductID" w:val="1800 m"/>
              </w:smartTagPr>
              <w:r w:rsidRPr="000412BF">
                <w:rPr>
                  <w:szCs w:val="18"/>
                </w:rPr>
                <w:t>1800 m</w:t>
              </w:r>
            </w:smartTag>
            <w:r w:rsidRPr="000412BF">
              <w:rPr>
                <w:szCs w:val="18"/>
              </w:rPr>
              <w:t xml:space="preserve"> i więcej</w:t>
            </w:r>
          </w:p>
        </w:tc>
      </w:tr>
    </w:tbl>
    <w:p w14:paraId="6F1EBC08" w14:textId="30C1E281" w:rsidR="00C36D76" w:rsidRPr="000412BF" w:rsidRDefault="00C36D76" w:rsidP="00B06A9A">
      <w:pPr>
        <w:spacing w:after="0"/>
        <w:rPr>
          <w:szCs w:val="20"/>
        </w:rPr>
      </w:pPr>
    </w:p>
    <w:p w14:paraId="191B4C27" w14:textId="77777777" w:rsidR="0084552B" w:rsidRPr="000412BF" w:rsidRDefault="0084552B" w:rsidP="00B06A9A">
      <w:pPr>
        <w:spacing w:after="0"/>
        <w:rPr>
          <w:szCs w:val="20"/>
        </w:rPr>
      </w:pPr>
    </w:p>
    <w:p w14:paraId="0FDBCD21" w14:textId="77777777" w:rsidR="006F3275" w:rsidRPr="000412BF" w:rsidRDefault="006F3275" w:rsidP="00B06A9A">
      <w:pPr>
        <w:spacing w:after="0"/>
        <w:rPr>
          <w:szCs w:val="20"/>
        </w:rPr>
      </w:pPr>
    </w:p>
    <w:tbl>
      <w:tblPr>
        <w:tblW w:w="4691" w:type="pct"/>
        <w:tblInd w:w="5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57" w:type="dxa"/>
          <w:left w:w="40" w:type="dxa"/>
          <w:bottom w:w="57" w:type="dxa"/>
          <w:right w:w="40" w:type="dxa"/>
        </w:tblCellMar>
        <w:tblLook w:val="0000" w:firstRow="0" w:lastRow="0" w:firstColumn="0" w:lastColumn="0" w:noHBand="0" w:noVBand="0"/>
      </w:tblPr>
      <w:tblGrid>
        <w:gridCol w:w="2588"/>
        <w:gridCol w:w="6028"/>
      </w:tblGrid>
      <w:tr w:rsidR="006F3275" w:rsidRPr="000412BF" w14:paraId="03DC1FFA" w14:textId="77777777" w:rsidTr="00A16829">
        <w:trPr>
          <w:trHeight w:hRule="exact" w:val="454"/>
        </w:trPr>
        <w:tc>
          <w:tcPr>
            <w:tcW w:w="5000" w:type="pct"/>
            <w:gridSpan w:val="2"/>
            <w:shd w:val="clear" w:color="auto" w:fill="FFFFFF"/>
            <w:tcMar>
              <w:top w:w="57" w:type="dxa"/>
              <w:left w:w="57" w:type="dxa"/>
              <w:bottom w:w="57" w:type="dxa"/>
              <w:right w:w="57" w:type="dxa"/>
            </w:tcMar>
            <w:vAlign w:val="center"/>
          </w:tcPr>
          <w:p w14:paraId="60785830" w14:textId="77777777" w:rsidR="006F3275" w:rsidRPr="000412BF" w:rsidRDefault="006F3275" w:rsidP="00334D65">
            <w:pPr>
              <w:spacing w:after="0"/>
              <w:jc w:val="center"/>
              <w:rPr>
                <w:b/>
                <w:szCs w:val="18"/>
              </w:rPr>
            </w:pPr>
            <w:r w:rsidRPr="000412BF">
              <w:rPr>
                <w:b/>
                <w:szCs w:val="18"/>
              </w:rPr>
              <w:t>Drugi element kodu</w:t>
            </w:r>
          </w:p>
        </w:tc>
      </w:tr>
      <w:tr w:rsidR="006F3275" w:rsidRPr="000412BF" w14:paraId="42B9C1A6" w14:textId="77777777" w:rsidTr="00A16829">
        <w:tc>
          <w:tcPr>
            <w:tcW w:w="1502" w:type="pct"/>
            <w:shd w:val="clear" w:color="auto" w:fill="FFFFFF"/>
            <w:tcMar>
              <w:top w:w="57" w:type="dxa"/>
              <w:left w:w="57" w:type="dxa"/>
              <w:bottom w:w="57" w:type="dxa"/>
              <w:right w:w="57" w:type="dxa"/>
            </w:tcMar>
            <w:vAlign w:val="center"/>
          </w:tcPr>
          <w:p w14:paraId="2EC37AEF" w14:textId="77777777" w:rsidR="006F3275" w:rsidRPr="000412BF" w:rsidRDefault="006F3275" w:rsidP="00334D65">
            <w:pPr>
              <w:spacing w:after="0"/>
              <w:jc w:val="center"/>
              <w:rPr>
                <w:szCs w:val="18"/>
              </w:rPr>
            </w:pPr>
            <w:r w:rsidRPr="000412BF">
              <w:rPr>
                <w:szCs w:val="18"/>
              </w:rPr>
              <w:t>Litera kodu</w:t>
            </w:r>
          </w:p>
        </w:tc>
        <w:tc>
          <w:tcPr>
            <w:tcW w:w="3498" w:type="pct"/>
            <w:shd w:val="clear" w:color="auto" w:fill="FFFFFF"/>
            <w:tcMar>
              <w:top w:w="57" w:type="dxa"/>
              <w:left w:w="57" w:type="dxa"/>
              <w:bottom w:w="57" w:type="dxa"/>
              <w:right w:w="57" w:type="dxa"/>
            </w:tcMar>
            <w:vAlign w:val="center"/>
          </w:tcPr>
          <w:p w14:paraId="1C4FF6BF" w14:textId="77777777" w:rsidR="006F3275" w:rsidRPr="000412BF" w:rsidRDefault="006F3275" w:rsidP="00334D65">
            <w:pPr>
              <w:spacing w:after="0"/>
              <w:jc w:val="center"/>
              <w:rPr>
                <w:szCs w:val="18"/>
              </w:rPr>
            </w:pPr>
            <w:r w:rsidRPr="000412BF">
              <w:rPr>
                <w:szCs w:val="18"/>
              </w:rPr>
              <w:t>Rozpiętość skrzydeł</w:t>
            </w:r>
          </w:p>
        </w:tc>
      </w:tr>
      <w:tr w:rsidR="000719AD" w:rsidRPr="000412BF" w14:paraId="3AE78569" w14:textId="77777777" w:rsidTr="00A16829">
        <w:trPr>
          <w:trHeight w:val="340"/>
        </w:trPr>
        <w:tc>
          <w:tcPr>
            <w:tcW w:w="1502" w:type="pct"/>
            <w:shd w:val="clear" w:color="auto" w:fill="FFFFFF"/>
            <w:tcMar>
              <w:top w:w="57" w:type="dxa"/>
              <w:left w:w="57" w:type="dxa"/>
              <w:bottom w:w="57" w:type="dxa"/>
              <w:right w:w="57" w:type="dxa"/>
            </w:tcMar>
            <w:vAlign w:val="center"/>
          </w:tcPr>
          <w:p w14:paraId="6B46C2FC" w14:textId="77777777" w:rsidR="006F3275" w:rsidRPr="000412BF" w:rsidRDefault="006F3275" w:rsidP="00334D65">
            <w:pPr>
              <w:spacing w:after="0"/>
              <w:jc w:val="center"/>
              <w:rPr>
                <w:b/>
                <w:szCs w:val="18"/>
              </w:rPr>
            </w:pPr>
            <w:r w:rsidRPr="000412BF">
              <w:rPr>
                <w:b/>
                <w:szCs w:val="18"/>
              </w:rPr>
              <w:t>A</w:t>
            </w:r>
          </w:p>
        </w:tc>
        <w:tc>
          <w:tcPr>
            <w:tcW w:w="3498" w:type="pct"/>
            <w:shd w:val="clear" w:color="auto" w:fill="FFFFFF"/>
            <w:tcMar>
              <w:top w:w="57" w:type="dxa"/>
              <w:left w:w="57" w:type="dxa"/>
              <w:bottom w:w="57" w:type="dxa"/>
              <w:right w:w="57" w:type="dxa"/>
            </w:tcMar>
            <w:vAlign w:val="center"/>
          </w:tcPr>
          <w:p w14:paraId="14B33AE8" w14:textId="77777777" w:rsidR="006F3275" w:rsidRPr="000412BF" w:rsidRDefault="006F3275" w:rsidP="00334D65">
            <w:pPr>
              <w:spacing w:after="0"/>
              <w:jc w:val="center"/>
              <w:rPr>
                <w:szCs w:val="18"/>
              </w:rPr>
            </w:pPr>
            <w:r w:rsidRPr="000412BF">
              <w:rPr>
                <w:szCs w:val="18"/>
              </w:rPr>
              <w:t xml:space="preserve">do </w:t>
            </w:r>
            <w:smartTag w:uri="urn:schemas-microsoft-com:office:smarttags" w:element="metricconverter">
              <w:smartTagPr>
                <w:attr w:name="ProductID" w:val="15 m"/>
              </w:smartTagPr>
              <w:r w:rsidRPr="000412BF">
                <w:rPr>
                  <w:szCs w:val="18"/>
                </w:rPr>
                <w:t xml:space="preserve">15 m </w:t>
              </w:r>
            </w:smartTag>
            <w:r w:rsidRPr="000412BF">
              <w:rPr>
                <w:szCs w:val="18"/>
              </w:rPr>
              <w:t xml:space="preserve">(bez wartości </w:t>
            </w:r>
            <w:smartTag w:uri="urn:schemas-microsoft-com:office:smarttags" w:element="metricconverter">
              <w:smartTagPr>
                <w:attr w:name="ProductID" w:val="15 m"/>
              </w:smartTagPr>
              <w:r w:rsidRPr="000412BF">
                <w:rPr>
                  <w:szCs w:val="18"/>
                </w:rPr>
                <w:t>15 m</w:t>
              </w:r>
            </w:smartTag>
            <w:r w:rsidRPr="000412BF">
              <w:rPr>
                <w:szCs w:val="18"/>
              </w:rPr>
              <w:t>)</w:t>
            </w:r>
          </w:p>
        </w:tc>
      </w:tr>
      <w:tr w:rsidR="000719AD" w:rsidRPr="000412BF" w14:paraId="43EE50A1" w14:textId="77777777" w:rsidTr="00A16829">
        <w:trPr>
          <w:trHeight w:val="340"/>
        </w:trPr>
        <w:tc>
          <w:tcPr>
            <w:tcW w:w="1502" w:type="pct"/>
            <w:shd w:val="clear" w:color="auto" w:fill="FFFFFF"/>
            <w:tcMar>
              <w:top w:w="57" w:type="dxa"/>
              <w:left w:w="57" w:type="dxa"/>
              <w:bottom w:w="57" w:type="dxa"/>
              <w:right w:w="57" w:type="dxa"/>
            </w:tcMar>
            <w:vAlign w:val="center"/>
          </w:tcPr>
          <w:p w14:paraId="5EF5F0A6" w14:textId="77777777" w:rsidR="006F3275" w:rsidRPr="000412BF" w:rsidRDefault="006F3275" w:rsidP="00334D65">
            <w:pPr>
              <w:spacing w:after="0"/>
              <w:jc w:val="center"/>
              <w:rPr>
                <w:b/>
                <w:szCs w:val="18"/>
              </w:rPr>
            </w:pPr>
            <w:r w:rsidRPr="000412BF">
              <w:rPr>
                <w:b/>
                <w:szCs w:val="18"/>
              </w:rPr>
              <w:t>B</w:t>
            </w:r>
          </w:p>
        </w:tc>
        <w:tc>
          <w:tcPr>
            <w:tcW w:w="3498" w:type="pct"/>
            <w:shd w:val="clear" w:color="auto" w:fill="FFFFFF"/>
            <w:tcMar>
              <w:top w:w="57" w:type="dxa"/>
              <w:left w:w="57" w:type="dxa"/>
              <w:bottom w:w="57" w:type="dxa"/>
              <w:right w:w="57" w:type="dxa"/>
            </w:tcMar>
            <w:vAlign w:val="center"/>
          </w:tcPr>
          <w:p w14:paraId="1C1DF28A"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15 m"/>
              </w:smartTagPr>
              <w:r w:rsidRPr="000412BF">
                <w:rPr>
                  <w:szCs w:val="18"/>
                </w:rPr>
                <w:t>15 m</w:t>
              </w:r>
            </w:smartTag>
            <w:r w:rsidRPr="000412BF">
              <w:rPr>
                <w:szCs w:val="18"/>
              </w:rPr>
              <w:t xml:space="preserve"> do </w:t>
            </w:r>
            <w:smartTag w:uri="urn:schemas-microsoft-com:office:smarttags" w:element="metricconverter">
              <w:smartTagPr>
                <w:attr w:name="ProductID" w:val="24 m"/>
              </w:smartTagPr>
              <w:r w:rsidRPr="000412BF">
                <w:rPr>
                  <w:szCs w:val="18"/>
                </w:rPr>
                <w:t xml:space="preserve">24 m </w:t>
              </w:r>
            </w:smartTag>
            <w:r w:rsidRPr="000412BF">
              <w:rPr>
                <w:szCs w:val="18"/>
              </w:rPr>
              <w:t xml:space="preserve">(bez wartości </w:t>
            </w:r>
            <w:smartTag w:uri="urn:schemas-microsoft-com:office:smarttags" w:element="metricconverter">
              <w:smartTagPr>
                <w:attr w:name="ProductID" w:val="24 m"/>
              </w:smartTagPr>
              <w:r w:rsidRPr="000412BF">
                <w:rPr>
                  <w:szCs w:val="18"/>
                </w:rPr>
                <w:t>24 m</w:t>
              </w:r>
            </w:smartTag>
            <w:r w:rsidRPr="000412BF">
              <w:rPr>
                <w:szCs w:val="18"/>
              </w:rPr>
              <w:t>)</w:t>
            </w:r>
          </w:p>
        </w:tc>
      </w:tr>
      <w:tr w:rsidR="000719AD" w:rsidRPr="000412BF" w14:paraId="5373933B" w14:textId="77777777" w:rsidTr="00A16829">
        <w:trPr>
          <w:trHeight w:val="340"/>
        </w:trPr>
        <w:tc>
          <w:tcPr>
            <w:tcW w:w="1502" w:type="pct"/>
            <w:shd w:val="clear" w:color="auto" w:fill="FFFFFF"/>
            <w:tcMar>
              <w:top w:w="57" w:type="dxa"/>
              <w:left w:w="57" w:type="dxa"/>
              <w:bottom w:w="57" w:type="dxa"/>
              <w:right w:w="57" w:type="dxa"/>
            </w:tcMar>
            <w:vAlign w:val="center"/>
          </w:tcPr>
          <w:p w14:paraId="289808AE" w14:textId="77777777" w:rsidR="006F3275" w:rsidRPr="000412BF" w:rsidRDefault="006F3275" w:rsidP="00334D65">
            <w:pPr>
              <w:spacing w:after="0"/>
              <w:jc w:val="center"/>
              <w:rPr>
                <w:b/>
                <w:szCs w:val="18"/>
              </w:rPr>
            </w:pPr>
            <w:r w:rsidRPr="000412BF">
              <w:rPr>
                <w:b/>
                <w:szCs w:val="18"/>
              </w:rPr>
              <w:t>C</w:t>
            </w:r>
          </w:p>
        </w:tc>
        <w:tc>
          <w:tcPr>
            <w:tcW w:w="3498" w:type="pct"/>
            <w:shd w:val="clear" w:color="auto" w:fill="FFFFFF"/>
            <w:tcMar>
              <w:top w:w="57" w:type="dxa"/>
              <w:left w:w="57" w:type="dxa"/>
              <w:bottom w:w="57" w:type="dxa"/>
              <w:right w:w="57" w:type="dxa"/>
            </w:tcMar>
            <w:vAlign w:val="center"/>
          </w:tcPr>
          <w:p w14:paraId="6B91CD08"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24 m"/>
              </w:smartTagPr>
              <w:r w:rsidRPr="000412BF">
                <w:rPr>
                  <w:szCs w:val="18"/>
                </w:rPr>
                <w:t>24 m</w:t>
              </w:r>
            </w:smartTag>
            <w:r w:rsidRPr="000412BF">
              <w:rPr>
                <w:szCs w:val="18"/>
              </w:rPr>
              <w:t xml:space="preserve"> do </w:t>
            </w:r>
            <w:smartTag w:uri="urn:schemas-microsoft-com:office:smarttags" w:element="metricconverter">
              <w:smartTagPr>
                <w:attr w:name="ProductID" w:val="36 m"/>
              </w:smartTagPr>
              <w:r w:rsidRPr="000412BF">
                <w:rPr>
                  <w:szCs w:val="18"/>
                </w:rPr>
                <w:t xml:space="preserve">36 m </w:t>
              </w:r>
            </w:smartTag>
            <w:r w:rsidRPr="000412BF">
              <w:rPr>
                <w:szCs w:val="18"/>
              </w:rPr>
              <w:t xml:space="preserve">(bez wartości </w:t>
            </w:r>
            <w:smartTag w:uri="urn:schemas-microsoft-com:office:smarttags" w:element="metricconverter">
              <w:smartTagPr>
                <w:attr w:name="ProductID" w:val="36 m"/>
              </w:smartTagPr>
              <w:r w:rsidRPr="000412BF">
                <w:rPr>
                  <w:szCs w:val="18"/>
                </w:rPr>
                <w:t>36 m</w:t>
              </w:r>
            </w:smartTag>
            <w:r w:rsidRPr="000412BF">
              <w:rPr>
                <w:szCs w:val="18"/>
              </w:rPr>
              <w:t>)</w:t>
            </w:r>
          </w:p>
        </w:tc>
      </w:tr>
      <w:tr w:rsidR="000719AD" w:rsidRPr="000412BF" w14:paraId="2847DEB9" w14:textId="77777777" w:rsidTr="00A16829">
        <w:trPr>
          <w:trHeight w:val="340"/>
        </w:trPr>
        <w:tc>
          <w:tcPr>
            <w:tcW w:w="1502" w:type="pct"/>
            <w:shd w:val="clear" w:color="auto" w:fill="FFFFFF"/>
            <w:tcMar>
              <w:top w:w="57" w:type="dxa"/>
              <w:left w:w="57" w:type="dxa"/>
              <w:bottom w:w="57" w:type="dxa"/>
              <w:right w:w="57" w:type="dxa"/>
            </w:tcMar>
            <w:vAlign w:val="center"/>
          </w:tcPr>
          <w:p w14:paraId="13E42ADC" w14:textId="77777777" w:rsidR="006F3275" w:rsidRPr="000412BF" w:rsidRDefault="006F3275" w:rsidP="00334D65">
            <w:pPr>
              <w:spacing w:after="0"/>
              <w:jc w:val="center"/>
              <w:rPr>
                <w:b/>
                <w:szCs w:val="18"/>
              </w:rPr>
            </w:pPr>
            <w:r w:rsidRPr="000412BF">
              <w:rPr>
                <w:b/>
                <w:szCs w:val="18"/>
              </w:rPr>
              <w:t>D</w:t>
            </w:r>
          </w:p>
        </w:tc>
        <w:tc>
          <w:tcPr>
            <w:tcW w:w="3498" w:type="pct"/>
            <w:shd w:val="clear" w:color="auto" w:fill="FFFFFF"/>
            <w:tcMar>
              <w:top w:w="57" w:type="dxa"/>
              <w:left w:w="57" w:type="dxa"/>
              <w:bottom w:w="57" w:type="dxa"/>
              <w:right w:w="57" w:type="dxa"/>
            </w:tcMar>
            <w:vAlign w:val="center"/>
          </w:tcPr>
          <w:p w14:paraId="334CE708"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36 m"/>
              </w:smartTagPr>
              <w:r w:rsidRPr="000412BF">
                <w:rPr>
                  <w:szCs w:val="18"/>
                </w:rPr>
                <w:t>36 m</w:t>
              </w:r>
            </w:smartTag>
            <w:r w:rsidRPr="000412BF">
              <w:rPr>
                <w:szCs w:val="18"/>
              </w:rPr>
              <w:t xml:space="preserve"> do </w:t>
            </w:r>
            <w:smartTag w:uri="urn:schemas-microsoft-com:office:smarttags" w:element="metricconverter">
              <w:smartTagPr>
                <w:attr w:name="ProductID" w:val="52 m"/>
              </w:smartTagPr>
              <w:r w:rsidRPr="000412BF">
                <w:rPr>
                  <w:szCs w:val="18"/>
                </w:rPr>
                <w:t xml:space="preserve">52 m </w:t>
              </w:r>
            </w:smartTag>
            <w:r w:rsidRPr="000412BF">
              <w:rPr>
                <w:szCs w:val="18"/>
              </w:rPr>
              <w:t xml:space="preserve">(bez wartości </w:t>
            </w:r>
            <w:smartTag w:uri="urn:schemas-microsoft-com:office:smarttags" w:element="metricconverter">
              <w:smartTagPr>
                <w:attr w:name="ProductID" w:val="52 m"/>
              </w:smartTagPr>
              <w:r w:rsidRPr="000412BF">
                <w:rPr>
                  <w:szCs w:val="18"/>
                </w:rPr>
                <w:t>52 m</w:t>
              </w:r>
            </w:smartTag>
            <w:r w:rsidRPr="000412BF">
              <w:rPr>
                <w:szCs w:val="18"/>
              </w:rPr>
              <w:t>)</w:t>
            </w:r>
          </w:p>
        </w:tc>
      </w:tr>
      <w:tr w:rsidR="000719AD" w:rsidRPr="000412BF" w14:paraId="31FEA69C" w14:textId="77777777" w:rsidTr="00A16829">
        <w:trPr>
          <w:trHeight w:val="340"/>
        </w:trPr>
        <w:tc>
          <w:tcPr>
            <w:tcW w:w="1502" w:type="pct"/>
            <w:shd w:val="clear" w:color="auto" w:fill="FFFFFF"/>
            <w:tcMar>
              <w:top w:w="57" w:type="dxa"/>
              <w:left w:w="57" w:type="dxa"/>
              <w:bottom w:w="57" w:type="dxa"/>
              <w:right w:w="57" w:type="dxa"/>
            </w:tcMar>
            <w:vAlign w:val="center"/>
          </w:tcPr>
          <w:p w14:paraId="68381740" w14:textId="77777777" w:rsidR="006F3275" w:rsidRPr="000412BF" w:rsidRDefault="006F3275" w:rsidP="00334D65">
            <w:pPr>
              <w:spacing w:after="0"/>
              <w:jc w:val="center"/>
              <w:rPr>
                <w:b/>
                <w:szCs w:val="18"/>
              </w:rPr>
            </w:pPr>
            <w:r w:rsidRPr="000412BF">
              <w:rPr>
                <w:b/>
                <w:szCs w:val="18"/>
              </w:rPr>
              <w:t>E</w:t>
            </w:r>
          </w:p>
        </w:tc>
        <w:tc>
          <w:tcPr>
            <w:tcW w:w="3498" w:type="pct"/>
            <w:shd w:val="clear" w:color="auto" w:fill="FFFFFF"/>
            <w:tcMar>
              <w:top w:w="57" w:type="dxa"/>
              <w:left w:w="57" w:type="dxa"/>
              <w:bottom w:w="57" w:type="dxa"/>
              <w:right w:w="57" w:type="dxa"/>
            </w:tcMar>
            <w:vAlign w:val="center"/>
          </w:tcPr>
          <w:p w14:paraId="4AE0ED5B"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52 m"/>
              </w:smartTagPr>
              <w:r w:rsidRPr="000412BF">
                <w:rPr>
                  <w:szCs w:val="18"/>
                </w:rPr>
                <w:t>52 m</w:t>
              </w:r>
            </w:smartTag>
            <w:r w:rsidRPr="000412BF">
              <w:rPr>
                <w:szCs w:val="18"/>
              </w:rPr>
              <w:t xml:space="preserve"> do </w:t>
            </w:r>
            <w:smartTag w:uri="urn:schemas-microsoft-com:office:smarttags" w:element="metricconverter">
              <w:smartTagPr>
                <w:attr w:name="ProductID" w:val="65 m"/>
              </w:smartTagPr>
              <w:r w:rsidRPr="000412BF">
                <w:rPr>
                  <w:szCs w:val="18"/>
                </w:rPr>
                <w:t xml:space="preserve">65 m </w:t>
              </w:r>
            </w:smartTag>
            <w:r w:rsidRPr="000412BF">
              <w:rPr>
                <w:szCs w:val="18"/>
              </w:rPr>
              <w:t xml:space="preserve">(bez wartości </w:t>
            </w:r>
            <w:smartTag w:uri="urn:schemas-microsoft-com:office:smarttags" w:element="metricconverter">
              <w:smartTagPr>
                <w:attr w:name="ProductID" w:val="65 m"/>
              </w:smartTagPr>
              <w:r w:rsidRPr="000412BF">
                <w:rPr>
                  <w:szCs w:val="18"/>
                </w:rPr>
                <w:t>65 m</w:t>
              </w:r>
            </w:smartTag>
            <w:r w:rsidRPr="000412BF">
              <w:rPr>
                <w:szCs w:val="18"/>
              </w:rPr>
              <w:t>)</w:t>
            </w:r>
          </w:p>
        </w:tc>
      </w:tr>
      <w:tr w:rsidR="000719AD" w:rsidRPr="000412BF" w14:paraId="694DB64F" w14:textId="77777777" w:rsidTr="00A16829">
        <w:trPr>
          <w:trHeight w:val="340"/>
        </w:trPr>
        <w:tc>
          <w:tcPr>
            <w:tcW w:w="1502" w:type="pct"/>
            <w:shd w:val="clear" w:color="auto" w:fill="FFFFFF"/>
            <w:tcMar>
              <w:top w:w="57" w:type="dxa"/>
              <w:left w:w="57" w:type="dxa"/>
              <w:bottom w:w="57" w:type="dxa"/>
              <w:right w:w="57" w:type="dxa"/>
            </w:tcMar>
            <w:vAlign w:val="center"/>
          </w:tcPr>
          <w:p w14:paraId="114A6D64" w14:textId="77777777" w:rsidR="006F3275" w:rsidRPr="000412BF" w:rsidRDefault="006F3275" w:rsidP="00334D65">
            <w:pPr>
              <w:spacing w:after="0"/>
              <w:jc w:val="center"/>
              <w:rPr>
                <w:b/>
                <w:szCs w:val="18"/>
              </w:rPr>
            </w:pPr>
            <w:r w:rsidRPr="000412BF">
              <w:rPr>
                <w:b/>
                <w:szCs w:val="18"/>
              </w:rPr>
              <w:t>F</w:t>
            </w:r>
          </w:p>
        </w:tc>
        <w:tc>
          <w:tcPr>
            <w:tcW w:w="3498" w:type="pct"/>
            <w:shd w:val="clear" w:color="auto" w:fill="FFFFFF"/>
            <w:tcMar>
              <w:top w:w="57" w:type="dxa"/>
              <w:left w:w="57" w:type="dxa"/>
              <w:bottom w:w="57" w:type="dxa"/>
              <w:right w:w="57" w:type="dxa"/>
            </w:tcMar>
            <w:vAlign w:val="center"/>
          </w:tcPr>
          <w:p w14:paraId="6F534A13" w14:textId="77777777" w:rsidR="006F3275" w:rsidRPr="000412BF" w:rsidRDefault="006F3275" w:rsidP="00334D65">
            <w:pPr>
              <w:spacing w:after="0"/>
              <w:jc w:val="center"/>
              <w:rPr>
                <w:szCs w:val="18"/>
              </w:rPr>
            </w:pPr>
            <w:r w:rsidRPr="000412BF">
              <w:rPr>
                <w:szCs w:val="18"/>
              </w:rPr>
              <w:t xml:space="preserve">od </w:t>
            </w:r>
            <w:smartTag w:uri="urn:schemas-microsoft-com:office:smarttags" w:element="metricconverter">
              <w:smartTagPr>
                <w:attr w:name="ProductID" w:val="65 m"/>
              </w:smartTagPr>
              <w:r w:rsidRPr="000412BF">
                <w:rPr>
                  <w:szCs w:val="18"/>
                </w:rPr>
                <w:t>65 m</w:t>
              </w:r>
            </w:smartTag>
            <w:r w:rsidRPr="000412BF">
              <w:rPr>
                <w:szCs w:val="18"/>
              </w:rPr>
              <w:t xml:space="preserve"> do </w:t>
            </w:r>
            <w:smartTag w:uri="urn:schemas-microsoft-com:office:smarttags" w:element="metricconverter">
              <w:smartTagPr>
                <w:attr w:name="ProductID" w:val="80 m"/>
              </w:smartTagPr>
              <w:r w:rsidRPr="000412BF">
                <w:rPr>
                  <w:szCs w:val="18"/>
                </w:rPr>
                <w:t xml:space="preserve">80 m </w:t>
              </w:r>
            </w:smartTag>
            <w:r w:rsidRPr="000412BF">
              <w:rPr>
                <w:szCs w:val="18"/>
              </w:rPr>
              <w:t xml:space="preserve">(bez wartości </w:t>
            </w:r>
            <w:smartTag w:uri="urn:schemas-microsoft-com:office:smarttags" w:element="metricconverter">
              <w:smartTagPr>
                <w:attr w:name="ProductID" w:val="80 m"/>
              </w:smartTagPr>
              <w:r w:rsidRPr="000412BF">
                <w:rPr>
                  <w:szCs w:val="18"/>
                </w:rPr>
                <w:t>80 m</w:t>
              </w:r>
            </w:smartTag>
            <w:r w:rsidRPr="000412BF">
              <w:rPr>
                <w:szCs w:val="18"/>
              </w:rPr>
              <w:t>)</w:t>
            </w:r>
          </w:p>
        </w:tc>
      </w:tr>
    </w:tbl>
    <w:p w14:paraId="3484D94C" w14:textId="77777777" w:rsidR="006F3275" w:rsidRPr="000412BF" w:rsidRDefault="006F3275" w:rsidP="00B06A9A">
      <w:pPr>
        <w:spacing w:after="0"/>
        <w:rPr>
          <w:szCs w:val="20"/>
        </w:rPr>
      </w:pPr>
    </w:p>
    <w:p w14:paraId="09208329" w14:textId="77777777" w:rsidR="00C36D76" w:rsidRPr="005D070C" w:rsidRDefault="00C36D76" w:rsidP="00B06A9A">
      <w:pPr>
        <w:spacing w:after="0"/>
        <w:jc w:val="center"/>
        <w:rPr>
          <w:rFonts w:cs="Times New Roman"/>
          <w:b/>
          <w:szCs w:val="20"/>
        </w:rPr>
      </w:pPr>
      <w:r w:rsidRPr="005D070C">
        <w:rPr>
          <w:rFonts w:eastAsia="Times New Roman,Bold" w:cs="Times New Roman,Bold"/>
          <w:b/>
          <w:bCs/>
          <w:sz w:val="20"/>
          <w:szCs w:val="20"/>
        </w:rPr>
        <w:t>Tabela A-1.   Kod referencyjny lotniska</w:t>
      </w:r>
    </w:p>
    <w:p w14:paraId="22F13BD4" w14:textId="216EFF9D" w:rsidR="00C00F71"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7C04D16" w14:textId="77777777" w:rsidR="00542C09" w:rsidRPr="009E064B" w:rsidRDefault="00542C09" w:rsidP="00A16829">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1C5A429" w14:textId="3CD43F76" w:rsidR="000719AD" w:rsidRPr="009E064B" w:rsidRDefault="000719AD">
      <w:pPr>
        <w:spacing w:after="0"/>
        <w:jc w:val="left"/>
        <w:rPr>
          <w:rFonts w:asciiTheme="minorHAnsi" w:eastAsia="Times New Roman" w:hAnsiTheme="minorHAnsi" w:cstheme="minorHAnsi"/>
          <w:i/>
          <w:sz w:val="16"/>
          <w:szCs w:val="16"/>
        </w:rPr>
      </w:pPr>
      <w:r w:rsidRPr="009E064B">
        <w:rPr>
          <w:rFonts w:asciiTheme="minorHAnsi" w:eastAsia="Times New Roman" w:hAnsiTheme="minorHAnsi" w:cstheme="minorHAnsi"/>
          <w:i/>
          <w:sz w:val="16"/>
          <w:szCs w:val="16"/>
        </w:rPr>
        <w:br w:type="page"/>
      </w:r>
    </w:p>
    <w:p w14:paraId="1B90EBFD" w14:textId="4F0DD326" w:rsidR="00514C9D" w:rsidRPr="009E064B" w:rsidRDefault="001F134F" w:rsidP="00133B99">
      <w:pPr>
        <w:pStyle w:val="Nagwek6"/>
      </w:pPr>
      <w:bookmarkStart w:id="776" w:name="_Toc401058884"/>
      <w:bookmarkStart w:id="777" w:name="_Toc482886753"/>
      <w:bookmarkStart w:id="778" w:name="_Toc12532909"/>
      <w:bookmarkStart w:id="779" w:name="_Toc482886530"/>
      <w:r w:rsidRPr="009E064B">
        <w:t xml:space="preserve">GM1 ADR-DSN.A.005     </w:t>
      </w:r>
      <w:r w:rsidR="00514C9D" w:rsidRPr="009E064B">
        <w:t>Kod referencyjny lotniska</w:t>
      </w:r>
      <w:bookmarkEnd w:id="776"/>
      <w:bookmarkEnd w:id="777"/>
      <w:r w:rsidR="00905BFB" w:rsidRPr="009E064B">
        <w:t xml:space="preserve"> (ARC)</w:t>
      </w:r>
      <w:bookmarkEnd w:id="778"/>
    </w:p>
    <w:p w14:paraId="21BA16B0" w14:textId="6F809C10" w:rsidR="006F5BE7" w:rsidRPr="009E064B" w:rsidRDefault="00D63D4F" w:rsidP="006F5BE7">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7B05263D" w14:textId="5B8DB257" w:rsidR="00514C9D" w:rsidRPr="009E064B" w:rsidRDefault="00514C9D" w:rsidP="00B06A9A">
      <w:pPr>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Kod referencyjny lotniska pozwala w prosty sposób ustalić współzależność pomiędzy licznymi warunkami technicznymi dotyczącymi charakterystyki lotniska, w celu określenia odpowiedniego wyposażenia samolotów, które będą korzystać z danego lotniska. Kod referencyjny nie służy do ustalenia długości drogi startowe</w:t>
      </w:r>
      <w:r w:rsidR="00DC6B53" w:rsidRPr="009E064B">
        <w:rPr>
          <w:rFonts w:eastAsia="Times New Roman,Italic" w:cs="Times New Roman,Italic"/>
          <w:iCs/>
          <w:szCs w:val="20"/>
        </w:rPr>
        <w:t>j lub nośności nawierzchni. Kod </w:t>
      </w:r>
      <w:r w:rsidRPr="009E064B">
        <w:rPr>
          <w:rFonts w:eastAsia="Times New Roman,Italic" w:cs="Times New Roman,Italic"/>
          <w:iCs/>
          <w:szCs w:val="20"/>
        </w:rPr>
        <w:t>referencyjny składa się z dwóch elementów związanych z charakterystykami osiągów i wymiarami samolotu.</w:t>
      </w:r>
    </w:p>
    <w:p w14:paraId="0F98FD3B" w14:textId="469B010B" w:rsidR="00514C9D" w:rsidRPr="009E064B" w:rsidRDefault="00514C9D" w:rsidP="00B06A9A">
      <w:pPr>
        <w:autoSpaceDE w:val="0"/>
        <w:autoSpaceDN w:val="0"/>
        <w:adjustRightInd w:val="0"/>
        <w:ind w:left="567" w:hanging="567"/>
        <w:rPr>
          <w:rFonts w:eastAsia="Times New Roman,Italic" w:cs="Times New Roman,Italic"/>
          <w:iCs/>
          <w:szCs w:val="20"/>
        </w:rPr>
      </w:pPr>
      <w:r w:rsidRPr="000412BF">
        <w:rPr>
          <w:rFonts w:cs="TimesNewRomanPS-BoldItalicMT"/>
          <w:bCs/>
          <w:iCs/>
          <w:szCs w:val="20"/>
        </w:rPr>
        <w:t xml:space="preserve">(b) </w:t>
      </w:r>
      <w:r w:rsidRPr="000412BF">
        <w:rPr>
          <w:rFonts w:cs="TimesNewRomanPS-BoldItalicMT"/>
          <w:bCs/>
          <w:iCs/>
          <w:szCs w:val="20"/>
        </w:rPr>
        <w:tab/>
      </w:r>
      <w:r w:rsidRPr="000412BF">
        <w:rPr>
          <w:rFonts w:eastAsia="Times New Roman,Italic" w:cs="Times New Roman,Italic"/>
          <w:iCs/>
          <w:szCs w:val="20"/>
        </w:rPr>
        <w:t>Pierwszym elementem kodu jest cyfra oparta na wymaganej przez samolot referencyjnej długości do startu, drugim elementem jest litera oparta na rozpiętości skrzydeł samolotu</w:t>
      </w:r>
      <w:r w:rsidR="006A035F" w:rsidRPr="000412BF">
        <w:rPr>
          <w:rFonts w:eastAsia="Times New Roman,Italic" w:cs="Times New Roman,Italic"/>
          <w:iCs/>
          <w:szCs w:val="20"/>
        </w:rPr>
        <w:t xml:space="preserve">. </w:t>
      </w:r>
      <w:r w:rsidRPr="000412BF">
        <w:rPr>
          <w:rFonts w:eastAsia="Times New Roman,Italic" w:cs="Times New Roman,Italic"/>
          <w:iCs/>
          <w:szCs w:val="20"/>
        </w:rPr>
        <w:t xml:space="preserve">Litera lub cyfra kodu dotycząca danego elementu wybrana dla celów projektowych odnosi się do </w:t>
      </w:r>
      <w:r w:rsidRPr="009E064B">
        <w:rPr>
          <w:rFonts w:eastAsia="Times New Roman,Italic" w:cs="Times New Roman,Italic"/>
          <w:iCs/>
          <w:szCs w:val="20"/>
        </w:rPr>
        <w:t>charakterystyk samolotu krytycznego, dla którego dane wyposażenie jest przewidywane. Stosując specyfikacje certyfikacyjne CS-ADR-DSN, najpierw należy ustalić, jakie samoloty będą korzystać z danego lotniska, a potem określić dwa elementy kodu.</w:t>
      </w:r>
    </w:p>
    <w:p w14:paraId="7B3778B4" w14:textId="51F322B8" w:rsidR="00514C9D" w:rsidRPr="009E064B" w:rsidRDefault="00514C9D" w:rsidP="00B06A9A">
      <w:pPr>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Oprócz</w:t>
      </w:r>
      <w:r w:rsidRPr="009E064B">
        <w:rPr>
          <w:rFonts w:cs="Times New Roman"/>
          <w:szCs w:val="20"/>
        </w:rPr>
        <w:t xml:space="preserve"> kodu referencyjnego, inne charakterystyki statku powietrznego, takie jak długość statku powietrznego i wysokość ogona mogą mieć również wpływ na projektowanie lotniska. Ponadto, niektóre charakterystyki danego elementu infrastruktury odnoszą się bezpośrednio do jednego z elementów kodu (rozpiętość skrzydeł lub całkowity rozstaw zewnętrznych </w:t>
      </w:r>
      <w:r w:rsidR="00FB199F" w:rsidRPr="009E064B">
        <w:rPr>
          <w:rFonts w:cs="Times New Roman"/>
          <w:szCs w:val="20"/>
        </w:rPr>
        <w:t xml:space="preserve">kół </w:t>
      </w:r>
      <w:r w:rsidRPr="009E064B">
        <w:rPr>
          <w:rFonts w:cs="Times New Roman"/>
          <w:szCs w:val="20"/>
        </w:rPr>
        <w:t>podwozi</w:t>
      </w:r>
      <w:r w:rsidR="00FB199F" w:rsidRPr="009E064B">
        <w:rPr>
          <w:rFonts w:cs="Times New Roman"/>
          <w:szCs w:val="20"/>
        </w:rPr>
        <w:t>a</w:t>
      </w:r>
      <w:r w:rsidRPr="009E064B">
        <w:rPr>
          <w:rFonts w:cs="Times New Roman"/>
          <w:szCs w:val="20"/>
        </w:rPr>
        <w:t xml:space="preserve"> główn</w:t>
      </w:r>
      <w:r w:rsidR="00FB199F" w:rsidRPr="009E064B">
        <w:rPr>
          <w:rFonts w:cs="Times New Roman"/>
          <w:szCs w:val="20"/>
        </w:rPr>
        <w:t>ego</w:t>
      </w:r>
      <w:r w:rsidRPr="009E064B">
        <w:rPr>
          <w:rFonts w:cs="Times New Roman"/>
          <w:szCs w:val="20"/>
        </w:rPr>
        <w:t>), ale nie są uzależnione od innych. Projektant lotniska powinien uwzględniać wszystkie wzajemne zależności pomiędzy charakterystykami statków powietrznych oraz charakterystykami lotniska i elementami infrastruktury.</w:t>
      </w:r>
    </w:p>
    <w:p w14:paraId="1A1E7B0B" w14:textId="77777777" w:rsidR="00514C9D" w:rsidRPr="009E064B" w:rsidRDefault="00514C9D" w:rsidP="00B06A9A">
      <w:pPr>
        <w:autoSpaceDE w:val="0"/>
        <w:autoSpaceDN w:val="0"/>
        <w:adjustRightInd w:val="0"/>
        <w:ind w:left="567" w:hanging="567"/>
        <w:rPr>
          <w:rFonts w:cs="Times New Roman"/>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 New Roman"/>
          <w:szCs w:val="20"/>
        </w:rPr>
        <w:t>Warunki techniczne wynikające z kodu referencyjnego lotniska nie mają na celu ograniczania, bądź regulowania operacji statku powietrznego.</w:t>
      </w:r>
    </w:p>
    <w:p w14:paraId="1E630CF8" w14:textId="77777777" w:rsidR="00514C9D" w:rsidRPr="009E064B" w:rsidRDefault="00514C9D" w:rsidP="00B06A9A">
      <w:pPr>
        <w:autoSpaceDE w:val="0"/>
        <w:autoSpaceDN w:val="0"/>
        <w:adjustRightInd w:val="0"/>
        <w:ind w:left="567" w:hanging="567"/>
        <w:rPr>
          <w:rFonts w:cs="Times New Roman"/>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 New Roman"/>
          <w:szCs w:val="20"/>
        </w:rPr>
        <w:t>Uznaje się, że nie wszystkie obszary związane z lotniskiem muszą odpowiadać samolotowi krytycznemu, który określony jest kodem referencyjnym lotniska. Elementy infrastruktury lotniskowej, które nie spełniają wymagań kodu referencyjnego lotniska dla projektowanego samolotu powinny być oznaczone odpowiednią literą kodu w odniesieniu do jego wymiarów. Ograniczenia powinny być identyfikowane do dozwolonych wymiarów statku powietrznego lub ograniczeń operacyjnych. Załącznik 14 ICAO nie zapewnia wystarczającej elastyczności dla infrastruktury przeznaczonej dla statków powietrznych o różnej wielkości. Odnosi się tylko do „projektowanego statku powietrznego”. Umożliwia to odzwierciedlenie wszystkich obszarów lotniska w kodzie referencyjnym lotniska.</w:t>
      </w:r>
    </w:p>
    <w:p w14:paraId="58F553DE" w14:textId="187F2038" w:rsidR="00514C9D" w:rsidRPr="000412BF" w:rsidRDefault="00514C9D" w:rsidP="00B06A9A">
      <w:pPr>
        <w:autoSpaceDE w:val="0"/>
        <w:autoSpaceDN w:val="0"/>
        <w:adjustRightInd w:val="0"/>
        <w:ind w:left="567" w:hanging="567"/>
        <w:rPr>
          <w:rFonts w:cs="Times New Roman"/>
          <w:szCs w:val="20"/>
        </w:rPr>
      </w:pPr>
      <w:r w:rsidRPr="000412BF">
        <w:rPr>
          <w:rFonts w:cs="Times New Roman"/>
          <w:szCs w:val="20"/>
        </w:rPr>
        <w:t>(f)</w:t>
      </w:r>
      <w:r w:rsidRPr="000412BF">
        <w:rPr>
          <w:rFonts w:cs="Times New Roman"/>
          <w:szCs w:val="20"/>
        </w:rPr>
        <w:tab/>
        <w:t xml:space="preserve">Dalsze wytyczne dotyczące kodu referencyjnego lotniska </w:t>
      </w:r>
      <w:r w:rsidR="00645CC7" w:rsidRPr="000412BF">
        <w:rPr>
          <w:rFonts w:cs="Times New Roman"/>
          <w:szCs w:val="20"/>
        </w:rPr>
        <w:t>oraz planowania operacji samolotów o</w:t>
      </w:r>
      <w:r w:rsidR="00BE6DA3" w:rsidRPr="000412BF">
        <w:rPr>
          <w:rFonts w:cs="Times New Roman"/>
          <w:szCs w:val="20"/>
        </w:rPr>
        <w:t> </w:t>
      </w:r>
      <w:r w:rsidR="00645CC7" w:rsidRPr="000412BF">
        <w:rPr>
          <w:rFonts w:cs="Times New Roman"/>
          <w:szCs w:val="20"/>
        </w:rPr>
        <w:t xml:space="preserve">rozpiętości skrzydeł ponad 80 m </w:t>
      </w:r>
      <w:r w:rsidRPr="000412BF">
        <w:rPr>
          <w:rFonts w:cs="Times New Roman"/>
          <w:szCs w:val="20"/>
        </w:rPr>
        <w:t xml:space="preserve">są podane w </w:t>
      </w:r>
      <w:r w:rsidRPr="000412BF">
        <w:rPr>
          <w:rFonts w:cs="Times New Roman"/>
          <w:i/>
          <w:szCs w:val="20"/>
        </w:rPr>
        <w:t>„Podręczniku projektowania lotnisk</w:t>
      </w:r>
      <w:r w:rsidRPr="000412BF">
        <w:rPr>
          <w:rFonts w:cs="Times New Roman"/>
          <w:szCs w:val="20"/>
        </w:rPr>
        <w:t>” ICAO Doc 9157 Część I „</w:t>
      </w:r>
      <w:r w:rsidRPr="000412BF">
        <w:rPr>
          <w:rFonts w:cs="Times New Roman"/>
          <w:i/>
          <w:szCs w:val="20"/>
        </w:rPr>
        <w:t>Drogi startow</w:t>
      </w:r>
      <w:r w:rsidRPr="000412BF">
        <w:rPr>
          <w:rFonts w:cs="Times New Roman"/>
          <w:szCs w:val="20"/>
        </w:rPr>
        <w:t>e”</w:t>
      </w:r>
      <w:r w:rsidR="00645CC7" w:rsidRPr="000412BF">
        <w:rPr>
          <w:rFonts w:cs="Times New Roman"/>
          <w:szCs w:val="20"/>
        </w:rPr>
        <w:t xml:space="preserve"> </w:t>
      </w:r>
      <w:r w:rsidR="00A16829" w:rsidRPr="000412BF">
        <w:rPr>
          <w:rFonts w:cs="Times New Roman"/>
          <w:szCs w:val="20"/>
        </w:rPr>
        <w:t>oraz Część II</w:t>
      </w:r>
      <w:r w:rsidR="00645CC7" w:rsidRPr="000412BF">
        <w:rPr>
          <w:rFonts w:cs="Times New Roman"/>
          <w:szCs w:val="20"/>
        </w:rPr>
        <w:t xml:space="preserve"> „</w:t>
      </w:r>
      <w:r w:rsidR="00645CC7" w:rsidRPr="000412BF">
        <w:rPr>
          <w:i/>
        </w:rPr>
        <w:t>Drogi kołowania, płyty postojowe i zatoki oczekiwania”</w:t>
      </w:r>
      <w:r w:rsidRPr="000412BF">
        <w:rPr>
          <w:rFonts w:cs="Times New Roman"/>
          <w:szCs w:val="20"/>
        </w:rPr>
        <w:t>.</w:t>
      </w:r>
    </w:p>
    <w:p w14:paraId="3032AC0F" w14:textId="174F3BCD" w:rsidR="00645CC7" w:rsidRPr="000412BF" w:rsidRDefault="00645CC7" w:rsidP="00B06A9A">
      <w:pPr>
        <w:autoSpaceDE w:val="0"/>
        <w:autoSpaceDN w:val="0"/>
        <w:adjustRightInd w:val="0"/>
        <w:ind w:left="567" w:hanging="567"/>
        <w:rPr>
          <w:rFonts w:cs="Times New Roman"/>
          <w:szCs w:val="20"/>
        </w:rPr>
      </w:pPr>
      <w:r w:rsidRPr="000412BF">
        <w:rPr>
          <w:rFonts w:cs="Times New Roman"/>
          <w:szCs w:val="20"/>
        </w:rPr>
        <w:tab/>
        <w:t>Dodatkowe wytyczne na temat określania długości drogi startowej są podane w „</w:t>
      </w:r>
      <w:r w:rsidRPr="000412BF">
        <w:rPr>
          <w:rFonts w:cs="Times New Roman"/>
          <w:i/>
          <w:szCs w:val="20"/>
        </w:rPr>
        <w:t>Podręczniku projektowania lotnisk</w:t>
      </w:r>
      <w:r w:rsidRPr="000412BF">
        <w:rPr>
          <w:rFonts w:cs="Times New Roman"/>
          <w:szCs w:val="20"/>
        </w:rPr>
        <w:t>” ICAO Doc 9157 Część I „</w:t>
      </w:r>
      <w:r w:rsidRPr="000412BF">
        <w:rPr>
          <w:rFonts w:cs="Times New Roman"/>
          <w:i/>
          <w:szCs w:val="20"/>
        </w:rPr>
        <w:t>Drogi startowe</w:t>
      </w:r>
      <w:r w:rsidRPr="000412BF">
        <w:rPr>
          <w:rFonts w:cs="Times New Roman"/>
          <w:szCs w:val="20"/>
        </w:rPr>
        <w:t>”.</w:t>
      </w:r>
    </w:p>
    <w:p w14:paraId="55B5F04D" w14:textId="317015A2" w:rsidR="00645CC7" w:rsidRPr="000412BF" w:rsidRDefault="00645CC7" w:rsidP="00B06A9A">
      <w:pPr>
        <w:autoSpaceDE w:val="0"/>
        <w:autoSpaceDN w:val="0"/>
        <w:adjustRightInd w:val="0"/>
        <w:ind w:left="567" w:hanging="567"/>
        <w:rPr>
          <w:rFonts w:cs="Times New Roman"/>
          <w:szCs w:val="20"/>
        </w:rPr>
      </w:pPr>
      <w:r w:rsidRPr="000412BF">
        <w:rPr>
          <w:rFonts w:cs="Times New Roman"/>
          <w:szCs w:val="20"/>
        </w:rPr>
        <w:tab/>
        <w:t>Uwaga: Odniesienia do dokumentów ICAO przedstawione</w:t>
      </w:r>
      <w:r w:rsidR="00BE6DA3" w:rsidRPr="000412BF">
        <w:rPr>
          <w:rFonts w:cs="Times New Roman"/>
          <w:szCs w:val="20"/>
        </w:rPr>
        <w:t xml:space="preserve"> w CS-ADR-DSN są zamieszczane w </w:t>
      </w:r>
      <w:r w:rsidRPr="000412BF">
        <w:rPr>
          <w:rFonts w:cs="Times New Roman"/>
          <w:szCs w:val="20"/>
        </w:rPr>
        <w:t>celu wskazania dodatkowych wytycznych. Zmiany w CS-ADR-DSN dotyczące kodu referencyjnego lotniska nie zostały jeszcze w pełni odzwierciedlone w tych dokumentach.</w:t>
      </w:r>
    </w:p>
    <w:p w14:paraId="569F5A51" w14:textId="1699F84E" w:rsidR="00514C9D" w:rsidRPr="000412BF" w:rsidRDefault="00514C9D" w:rsidP="00CB5D1B">
      <w:pPr>
        <w:pStyle w:val="Tekstpodstawowy"/>
        <w:spacing w:before="240" w:after="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ADR-DSN/3]</w:t>
      </w:r>
    </w:p>
    <w:p w14:paraId="62CB39BC" w14:textId="50EF5D57" w:rsidR="001A686D" w:rsidRPr="000412BF" w:rsidRDefault="001A686D" w:rsidP="00CB5D1B">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9DCB18B" w14:textId="77777777" w:rsidR="001A686D" w:rsidRPr="000412BF" w:rsidRDefault="001A686D">
      <w:pPr>
        <w:spacing w:after="0"/>
        <w:jc w:val="left"/>
        <w:rPr>
          <w:rFonts w:asciiTheme="minorHAnsi" w:eastAsia="Times New Roman" w:hAnsiTheme="minorHAnsi" w:cstheme="minorHAnsi"/>
          <w:i/>
          <w:sz w:val="16"/>
          <w:szCs w:val="16"/>
        </w:rPr>
      </w:pPr>
      <w:r w:rsidRPr="000412BF">
        <w:rPr>
          <w:rFonts w:asciiTheme="minorHAnsi" w:hAnsiTheme="minorHAnsi" w:cstheme="minorHAnsi"/>
          <w:i/>
          <w:sz w:val="16"/>
          <w:szCs w:val="16"/>
        </w:rPr>
        <w:br w:type="page"/>
      </w:r>
    </w:p>
    <w:p w14:paraId="78E9629F" w14:textId="79796978" w:rsidR="00C36D76" w:rsidRPr="009E064B" w:rsidRDefault="00C36D76" w:rsidP="00B06A9A">
      <w:pPr>
        <w:pStyle w:val="Nagwek4"/>
        <w:rPr>
          <w:color w:val="auto"/>
        </w:rPr>
      </w:pPr>
      <w:bookmarkStart w:id="780" w:name="_Toc12532910"/>
      <w:r w:rsidRPr="009E064B">
        <w:rPr>
          <w:color w:val="auto"/>
        </w:rPr>
        <w:t>CS ADR-DSN.A.010</w:t>
      </w:r>
      <w:bookmarkEnd w:id="779"/>
      <w:bookmarkEnd w:id="780"/>
    </w:p>
    <w:p w14:paraId="62CD7157" w14:textId="01A8977A"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C79576A" w14:textId="29639008" w:rsidR="00C36D76" w:rsidRPr="009E064B" w:rsidRDefault="00C36D76" w:rsidP="00B06A9A">
      <w:pPr>
        <w:rPr>
          <w:rFonts w:cs="Times New Roman"/>
          <w:szCs w:val="20"/>
        </w:rPr>
      </w:pPr>
      <w:r w:rsidRPr="009E064B">
        <w:rPr>
          <w:rFonts w:cs="Times New Roman"/>
          <w:szCs w:val="20"/>
        </w:rPr>
        <w:t>Celowo pozostawiono puste.</w:t>
      </w:r>
    </w:p>
    <w:p w14:paraId="461B357B" w14:textId="1D3F0043" w:rsidR="00514C9D" w:rsidRPr="009E064B" w:rsidRDefault="00514C9D" w:rsidP="00133B99">
      <w:pPr>
        <w:pStyle w:val="Nagwek6"/>
      </w:pPr>
      <w:bookmarkStart w:id="781" w:name="_Toc401058885"/>
      <w:bookmarkStart w:id="782" w:name="_Toc482886754"/>
      <w:bookmarkStart w:id="783" w:name="_Toc12532911"/>
      <w:r w:rsidRPr="009E064B">
        <w:t>GM1 ADR-DSN.A.010</w:t>
      </w:r>
      <w:bookmarkEnd w:id="781"/>
      <w:bookmarkEnd w:id="782"/>
      <w:bookmarkEnd w:id="783"/>
    </w:p>
    <w:p w14:paraId="59A9F4DC" w14:textId="2407036E"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186F2A93" w14:textId="6B1FD982" w:rsidR="00514C9D" w:rsidRPr="009E064B" w:rsidRDefault="00514C9D" w:rsidP="00B06A9A">
      <w:pPr>
        <w:rPr>
          <w:szCs w:val="20"/>
        </w:rPr>
      </w:pPr>
      <w:r w:rsidRPr="009E064B">
        <w:rPr>
          <w:rFonts w:cs="Times New Roman"/>
          <w:szCs w:val="20"/>
        </w:rPr>
        <w:t>Celowo pozostawiono puste.</w:t>
      </w:r>
      <w:r w:rsidR="00605746" w:rsidRPr="009E064B">
        <w:rPr>
          <w:rFonts w:cs="Times New Roman"/>
          <w:szCs w:val="20"/>
        </w:rPr>
        <w:t xml:space="preserve">   </w:t>
      </w:r>
    </w:p>
    <w:p w14:paraId="7BC10CAF" w14:textId="77777777" w:rsidR="00C36D76" w:rsidRPr="009E064B" w:rsidRDefault="00C36D76" w:rsidP="00B06A9A">
      <w:pPr>
        <w:spacing w:after="0"/>
        <w:rPr>
          <w:szCs w:val="20"/>
        </w:rPr>
        <w:sectPr w:rsidR="00C36D76" w:rsidRPr="009E064B" w:rsidSect="00E140D8">
          <w:headerReference w:type="default" r:id="rId108"/>
          <w:headerReference w:type="first" r:id="rId109"/>
          <w:pgSz w:w="11906" w:h="16840" w:code="9"/>
          <w:pgMar w:top="1701" w:right="1418" w:bottom="1418" w:left="1418" w:header="567" w:footer="454" w:gutter="0"/>
          <w:cols w:space="708"/>
          <w:titlePg/>
          <w:docGrid w:linePitch="360"/>
        </w:sectPr>
      </w:pPr>
    </w:p>
    <w:p w14:paraId="6D189870" w14:textId="77777777" w:rsidR="008441EB" w:rsidRPr="009E064B" w:rsidRDefault="008441EB" w:rsidP="008441EB">
      <w:bookmarkStart w:id="784" w:name="_Toc382725600"/>
      <w:bookmarkStart w:id="785" w:name="_Toc482886531"/>
    </w:p>
    <w:p w14:paraId="6FF57D89" w14:textId="669E9720" w:rsidR="00C36D76" w:rsidRPr="009E064B" w:rsidRDefault="00C36D76" w:rsidP="00020EA3">
      <w:pPr>
        <w:pStyle w:val="Nagwek2"/>
      </w:pPr>
      <w:bookmarkStart w:id="786" w:name="_Toc12532912"/>
      <w:r w:rsidRPr="009E064B">
        <w:t xml:space="preserve">ROZDZIAŁ B </w:t>
      </w:r>
      <w:r w:rsidR="008529A2" w:rsidRPr="009E064B">
        <w:t xml:space="preserve">— </w:t>
      </w:r>
      <w:r w:rsidRPr="009E064B">
        <w:t>DROGI STARTOWE</w:t>
      </w:r>
      <w:bookmarkEnd w:id="784"/>
      <w:bookmarkEnd w:id="785"/>
      <w:bookmarkEnd w:id="786"/>
    </w:p>
    <w:p w14:paraId="11A06309" w14:textId="5B9482C9" w:rsidR="008441EB" w:rsidRPr="009E064B" w:rsidRDefault="008441EB" w:rsidP="0079018A"/>
    <w:p w14:paraId="5A3EC2C4" w14:textId="3FBA89A7" w:rsidR="00C36D76" w:rsidRPr="009E064B" w:rsidRDefault="001F134F" w:rsidP="00B06A9A">
      <w:pPr>
        <w:pStyle w:val="Nagwek4"/>
        <w:rPr>
          <w:color w:val="auto"/>
        </w:rPr>
      </w:pPr>
      <w:bookmarkStart w:id="787" w:name="_Toc482886532"/>
      <w:bookmarkStart w:id="788" w:name="_Toc12532913"/>
      <w:r w:rsidRPr="009E064B">
        <w:rPr>
          <w:color w:val="auto"/>
        </w:rPr>
        <w:t xml:space="preserve">CS ADR-DSN.B.015     </w:t>
      </w:r>
      <w:r w:rsidR="00C36D76" w:rsidRPr="009E064B">
        <w:rPr>
          <w:color w:val="auto"/>
        </w:rPr>
        <w:t>Ilość, rozmieszczenie i kierunek dróg startowych</w:t>
      </w:r>
      <w:bookmarkEnd w:id="787"/>
      <w:bookmarkEnd w:id="788"/>
    </w:p>
    <w:p w14:paraId="0B395004" w14:textId="67BB8BD0"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34C2C22E" w14:textId="3B8CC1C9" w:rsidR="00C36D76" w:rsidRPr="009E064B" w:rsidRDefault="00C36D76" w:rsidP="00B06A9A">
      <w:pPr>
        <w:spacing w:after="0"/>
        <w:rPr>
          <w:szCs w:val="20"/>
        </w:rPr>
      </w:pPr>
      <w:r w:rsidRPr="009E064B">
        <w:rPr>
          <w:szCs w:val="20"/>
        </w:rPr>
        <w:t>Ilość i rozmieszczenie dróg startowych na lotnisku powinny być takie, aby zapewnić optymalne wykorzystanie lotniska, biorąc pod uwagą fakt, aby bezpieczeństwo nie było zagrożone.</w:t>
      </w:r>
    </w:p>
    <w:p w14:paraId="2EA0248C" w14:textId="0FBDD3DE" w:rsidR="001A44D6" w:rsidRPr="009E064B" w:rsidRDefault="001F134F" w:rsidP="00133B99">
      <w:pPr>
        <w:pStyle w:val="Nagwek6"/>
      </w:pPr>
      <w:bookmarkStart w:id="789" w:name="_GM1_ADR-DSN.B.015_"/>
      <w:bookmarkStart w:id="790" w:name="_Toc401058887"/>
      <w:bookmarkStart w:id="791" w:name="_Toc482886756"/>
      <w:bookmarkStart w:id="792" w:name="_Toc12532914"/>
      <w:bookmarkStart w:id="793" w:name="_Toc482886533"/>
      <w:bookmarkEnd w:id="789"/>
      <w:r w:rsidRPr="009E064B">
        <w:t xml:space="preserve">GM1 ADR-DSN.B.015     </w:t>
      </w:r>
      <w:r w:rsidR="001A44D6" w:rsidRPr="009E064B">
        <w:t>Ilość, rozmieszczenie i kierunek dróg startowych</w:t>
      </w:r>
      <w:bookmarkEnd w:id="790"/>
      <w:bookmarkEnd w:id="791"/>
      <w:bookmarkEnd w:id="792"/>
    </w:p>
    <w:p w14:paraId="50A6CD6C" w14:textId="5631E0C7"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2A239BC7"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W praktyce ilość i kierunki dróg startowych lotniska powinny być takie, aby wskaźnik używalności lotniska dla samolotów, dla których dane lotnisko jest przeznaczone, nie był niższy niż 95%.</w:t>
      </w:r>
    </w:p>
    <w:p w14:paraId="331BD837"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Na ustalenie kierunków, rozmieszczenie i ilość dróg startowych wpływa wiele czynników:</w:t>
      </w:r>
    </w:p>
    <w:p w14:paraId="4E42954A" w14:textId="77777777"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Występowanie wiatrów (dla ograniczenia wiatru bocznego mogącego mieć wpływ na drogi startowe);</w:t>
      </w:r>
    </w:p>
    <w:p w14:paraId="6B661385"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Dane statystyczne dotyczące wiatru wykorzystywane do obliczenia wskaźnika używalności są zwykle dostępne w odniesieniu do prędkości i kierunku, a dokładność uzyskanych wyników uzależniona jest w dużej mierze od zakładanego rozkładu obserwacji w ramach tych wartości. Z uwagi na brak pewnych informacji, co do rzeczywistego rozkładu, zwykle zakłada się równomierny rozkład, ponieważ w związku z najbardziej korzystnymi kierunkami drogi startowej, zwykle daje on nieco konserwatywny wskaźnik używalności.</w:t>
      </w:r>
    </w:p>
    <w:p w14:paraId="4607B4C6" w14:textId="6711A718"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Maksymalna dopuszczalna wartość składowej bocznej wiat</w:t>
      </w:r>
      <w:r w:rsidR="00DD355B" w:rsidRPr="009E064B">
        <w:rPr>
          <w:szCs w:val="20"/>
        </w:rPr>
        <w:t>ru, o której mowa w </w:t>
      </w:r>
      <w:hyperlink w:anchor="_GM1_ADR-DSN.B.020_" w:history="1">
        <w:r w:rsidR="00DD355B" w:rsidRPr="009E064B">
          <w:rPr>
            <w:rStyle w:val="Hipercze"/>
            <w:szCs w:val="20"/>
          </w:rPr>
          <w:t>GM1 </w:t>
        </w:r>
        <w:r w:rsidRPr="009E064B">
          <w:rPr>
            <w:rStyle w:val="Hipercze"/>
            <w:szCs w:val="20"/>
          </w:rPr>
          <w:t>ADR-DSN.B.020</w:t>
        </w:r>
      </w:hyperlink>
      <w:r w:rsidRPr="009E064B">
        <w:rPr>
          <w:szCs w:val="20"/>
        </w:rPr>
        <w:t>, odnosi się do normalnych warunków. Niektóre czynniki mogą wymagać, aby na konkretnym lotnisku uwzględnić zmniejszenie tych maksymalnych wartości. Obejmują one:</w:t>
      </w:r>
    </w:p>
    <w:p w14:paraId="30AEF9A8" w14:textId="080C1D2F"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duże zróżnicowanie, jakie może występować w zakresie charakterystyk pilotażowych oraz maksymalnej dopuszczalnej wartości składowej bocznej wiatru wśród różnych typów samolotów (w </w:t>
      </w:r>
      <w:r w:rsidR="00280FF7" w:rsidRPr="009E064B">
        <w:rPr>
          <w:szCs w:val="20"/>
        </w:rPr>
        <w:t>tym również przyszłych typów) w </w:t>
      </w:r>
      <w:r w:rsidRPr="009E064B">
        <w:rPr>
          <w:szCs w:val="20"/>
        </w:rPr>
        <w:t xml:space="preserve">ramach każdej z trzech grup, o których mowa w </w:t>
      </w:r>
      <w:hyperlink w:anchor="_GM1_ADR-DSN.B.020_" w:history="1">
        <w:r w:rsidR="00DD355B" w:rsidRPr="009E064B">
          <w:rPr>
            <w:rStyle w:val="Hipercze"/>
            <w:szCs w:val="20"/>
          </w:rPr>
          <w:t>GM1 </w:t>
        </w:r>
        <w:r w:rsidRPr="009E064B">
          <w:rPr>
            <w:rStyle w:val="Hipercze"/>
            <w:szCs w:val="20"/>
          </w:rPr>
          <w:t>ADR-DSN.B.020</w:t>
        </w:r>
      </w:hyperlink>
      <w:r w:rsidRPr="009E064B">
        <w:rPr>
          <w:szCs w:val="20"/>
        </w:rPr>
        <w:t>;</w:t>
      </w:r>
    </w:p>
    <w:p w14:paraId="43AC60D2"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częstość występowania oraz charakter porywów;</w:t>
      </w:r>
    </w:p>
    <w:p w14:paraId="470B3A5F"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częstość występowania oraz charakter turbulencji;</w:t>
      </w:r>
    </w:p>
    <w:p w14:paraId="14CB1F70"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dostępność pomocniczej drogi startowej;</w:t>
      </w:r>
    </w:p>
    <w:p w14:paraId="4F81C5C2"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szerokość dróg startowych;</w:t>
      </w:r>
    </w:p>
    <w:p w14:paraId="408C748D"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szCs w:val="20"/>
        </w:rPr>
        <w:t>warunki nawierzchni drogi startowej – woda, śnieg i lód na drodze startowej zmniejszają dopuszczalną wartość składowej bocznej wiatru; oraz</w:t>
      </w:r>
    </w:p>
    <w:p w14:paraId="67600D3A" w14:textId="77777777" w:rsidR="001A44D6" w:rsidRPr="009E064B" w:rsidRDefault="001A44D6" w:rsidP="00B06A9A">
      <w:pPr>
        <w:tabs>
          <w:tab w:val="left" w:pos="2268"/>
        </w:tabs>
        <w:autoSpaceDE w:val="0"/>
        <w:autoSpaceDN w:val="0"/>
        <w:adjustRightInd w:val="0"/>
        <w:ind w:left="2268" w:hanging="567"/>
        <w:rPr>
          <w:szCs w:val="20"/>
        </w:rPr>
      </w:pPr>
      <w:r w:rsidRPr="009E064B">
        <w:rPr>
          <w:rFonts w:cs="TimesNewRomanPS-BoldItalicMT"/>
          <w:bCs/>
          <w:iCs/>
          <w:szCs w:val="20"/>
        </w:rPr>
        <w:t xml:space="preserve">G. </w:t>
      </w:r>
      <w:r w:rsidRPr="009E064B">
        <w:rPr>
          <w:rFonts w:cs="TimesNewRomanPS-BoldItalicMT"/>
          <w:bCs/>
          <w:iCs/>
          <w:szCs w:val="20"/>
        </w:rPr>
        <w:tab/>
      </w:r>
      <w:r w:rsidRPr="009E064B">
        <w:rPr>
          <w:szCs w:val="20"/>
        </w:rPr>
        <w:t>siłę wiatru związane z ograniczeniem elementu składowej bocznej wiatru.</w:t>
      </w:r>
    </w:p>
    <w:p w14:paraId="6AE85943" w14:textId="32B499BE"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Potrzeba ułatwień w zapewnieniu podejść zgodnych ze specyfikacjami powierzchni podejścia, zapewniając, że przeszkody w tych obszarach lub inne czynniki nie powinny ograniczać operacji samolotów, dla których przeznaczona jest droga startowa. Może to dotyczyć indywidualnych przeszkód lub lokalnych uwarunkowań geograficznych (np.</w:t>
      </w:r>
      <w:r w:rsidR="00034C97" w:rsidRPr="009E064B">
        <w:rPr>
          <w:szCs w:val="20"/>
        </w:rPr>
        <w:t> </w:t>
      </w:r>
      <w:r w:rsidRPr="009E064B">
        <w:rPr>
          <w:szCs w:val="20"/>
        </w:rPr>
        <w:t>wysoki teren).</w:t>
      </w:r>
    </w:p>
    <w:p w14:paraId="6EB54E75" w14:textId="77777777"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Potrzeba ograniczenia zakłóceń na obszarach zatwierdzonych do użytku mieszkalnego oraz na innych obszarach wrażliwych na hałas znajdujących się w pobliżu lotniska.</w:t>
      </w:r>
    </w:p>
    <w:p w14:paraId="3C8FC6BB" w14:textId="5BC62CAD"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Potrzeba uniknięcia oddziaływania turbulencji na budynki z</w:t>
      </w:r>
      <w:r w:rsidR="00280FF7" w:rsidRPr="009E064B">
        <w:rPr>
          <w:szCs w:val="20"/>
        </w:rPr>
        <w:t>najdujące się na lotnisku lub w </w:t>
      </w:r>
      <w:r w:rsidRPr="009E064B">
        <w:rPr>
          <w:szCs w:val="20"/>
        </w:rPr>
        <w:t>jego pobliżu.</w:t>
      </w:r>
    </w:p>
    <w:p w14:paraId="72C7C0E2" w14:textId="411B4884"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(5) </w:t>
      </w:r>
      <w:r w:rsidRPr="009E064B">
        <w:rPr>
          <w:rFonts w:cs="TimesNewRomanPS-BoldItalicMT"/>
          <w:bCs/>
          <w:iCs/>
          <w:szCs w:val="20"/>
        </w:rPr>
        <w:tab/>
      </w:r>
      <w:r w:rsidRPr="009E064B">
        <w:rPr>
          <w:szCs w:val="20"/>
        </w:rPr>
        <w:t>Rodzaj operacji: Należy zwrócić szczególną uwagę czy l</w:t>
      </w:r>
      <w:r w:rsidR="00DF1AC2" w:rsidRPr="009E064B">
        <w:rPr>
          <w:szCs w:val="20"/>
        </w:rPr>
        <w:t>otnisko będzie wykorzystywane w </w:t>
      </w:r>
      <w:r w:rsidRPr="009E064B">
        <w:rPr>
          <w:szCs w:val="20"/>
        </w:rPr>
        <w:t>każdych warunkach meteorologicznych czy tylko w warunkach do lotów z widocznością (VMC), oraz czy jest ono przeznaczone do wykorzystania w</w:t>
      </w:r>
      <w:r w:rsidR="00280FF7" w:rsidRPr="009E064B">
        <w:rPr>
          <w:szCs w:val="20"/>
        </w:rPr>
        <w:t xml:space="preserve"> ciągu dnia i nocy, czy tylko w </w:t>
      </w:r>
      <w:r w:rsidRPr="009E064B">
        <w:rPr>
          <w:szCs w:val="20"/>
        </w:rPr>
        <w:t>ciągu dnia.</w:t>
      </w:r>
    </w:p>
    <w:p w14:paraId="743F8CD8" w14:textId="74E306EC"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(6) </w:t>
      </w:r>
      <w:r w:rsidRPr="009E064B">
        <w:rPr>
          <w:rFonts w:cs="TimesNewRomanPS-BoldItalicMT"/>
          <w:bCs/>
          <w:iCs/>
          <w:szCs w:val="20"/>
        </w:rPr>
        <w:tab/>
      </w:r>
      <w:r w:rsidRPr="009E064B">
        <w:rPr>
          <w:szCs w:val="20"/>
        </w:rPr>
        <w:t>Topografia terenu lotniska, jego podejścia do lądowania oraz otoczenie, w</w:t>
      </w:r>
      <w:r w:rsidR="000A32AB" w:rsidRPr="009E064B">
        <w:rPr>
          <w:szCs w:val="20"/>
        </w:rPr>
        <w:t xml:space="preserve"> </w:t>
      </w:r>
      <w:r w:rsidRPr="009E064B">
        <w:rPr>
          <w:szCs w:val="20"/>
        </w:rPr>
        <w:t>szczególności:</w:t>
      </w:r>
    </w:p>
    <w:p w14:paraId="450B264A"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zgodność z powierzchniami ograniczającymi przeszkody;</w:t>
      </w:r>
    </w:p>
    <w:p w14:paraId="57C8CD68"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obecne i przyszłe wykorzystanie ziemi. Kierunek oraz układ powinny być wybrane w taki sposób, aby w maksymalnym możliwym stopniu chronić obszary szczególnie wrażliwe, takie jak obszary mieszkalne, szkoły, szpitale, przed dyskomfortem powodowanym przez hałas statków powietrznych. Szczegółowe informacje na ten temat zawarte są w „</w:t>
      </w:r>
      <w:r w:rsidRPr="009E064B">
        <w:rPr>
          <w:i/>
          <w:szCs w:val="20"/>
        </w:rPr>
        <w:t>Podręczniku planowania portu lotniczego</w:t>
      </w:r>
      <w:r w:rsidRPr="009E064B">
        <w:rPr>
          <w:szCs w:val="20"/>
        </w:rPr>
        <w:t>” ICAO Doc 9184, Część 2 „</w:t>
      </w:r>
      <w:r w:rsidRPr="009E064B">
        <w:rPr>
          <w:i/>
          <w:szCs w:val="20"/>
        </w:rPr>
        <w:t>Wykorzystanie ziemi oraz kontrola środowiskowa</w:t>
      </w:r>
      <w:r w:rsidRPr="009E064B">
        <w:rPr>
          <w:szCs w:val="20"/>
        </w:rPr>
        <w:t>”, oraz w podręczniku ICAO Doc 9829 „</w:t>
      </w:r>
      <w:r w:rsidRPr="009E064B">
        <w:rPr>
          <w:i/>
          <w:szCs w:val="20"/>
        </w:rPr>
        <w:t>Wytyczne na temat zrównoważonego podejścia do zarządzania hałasem statków powietrznych</w:t>
      </w:r>
      <w:r w:rsidRPr="009E064B">
        <w:rPr>
          <w:szCs w:val="20"/>
        </w:rPr>
        <w:t>”.</w:t>
      </w:r>
    </w:p>
    <w:p w14:paraId="4D7CF788"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(iii) </w:t>
      </w:r>
      <w:r w:rsidRPr="009E064B">
        <w:rPr>
          <w:rFonts w:cs="TimesNewRomanPS-BoldItalicMT"/>
          <w:bCs/>
          <w:iCs/>
          <w:szCs w:val="20"/>
        </w:rPr>
        <w:tab/>
      </w:r>
      <w:r w:rsidRPr="009E064B">
        <w:rPr>
          <w:szCs w:val="20"/>
        </w:rPr>
        <w:t>obecne i planowane długości dróg startowych;</w:t>
      </w:r>
    </w:p>
    <w:p w14:paraId="4E30F3B2"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(iv) </w:t>
      </w:r>
      <w:r w:rsidRPr="009E064B">
        <w:rPr>
          <w:rFonts w:cs="TimesNewRomanPS-BoldItalicMT"/>
          <w:bCs/>
          <w:iCs/>
          <w:szCs w:val="20"/>
        </w:rPr>
        <w:tab/>
      </w:r>
      <w:r w:rsidRPr="009E064B">
        <w:rPr>
          <w:szCs w:val="20"/>
        </w:rPr>
        <w:t>koszty budowlane; oraz</w:t>
      </w:r>
    </w:p>
    <w:p w14:paraId="4701E4F5"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(v) </w:t>
      </w:r>
      <w:r w:rsidRPr="009E064B">
        <w:rPr>
          <w:rFonts w:cs="TimesNewRomanPS-BoldItalicMT"/>
          <w:bCs/>
          <w:iCs/>
          <w:szCs w:val="20"/>
        </w:rPr>
        <w:tab/>
      </w:r>
      <w:r w:rsidRPr="009E064B">
        <w:rPr>
          <w:szCs w:val="20"/>
        </w:rPr>
        <w:t>możliwość instalacji odpowiednich pomocy niewzrokowych i wzrokowych dla podejścia do lądowania.</w:t>
      </w:r>
    </w:p>
    <w:p w14:paraId="2EB9570F" w14:textId="77777777"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(7) </w:t>
      </w:r>
      <w:r w:rsidRPr="009E064B">
        <w:rPr>
          <w:rFonts w:cs="TimesNewRomanPS-BoldItalicMT"/>
          <w:bCs/>
          <w:iCs/>
          <w:szCs w:val="20"/>
        </w:rPr>
        <w:tab/>
      </w:r>
      <w:r w:rsidRPr="009E064B">
        <w:rPr>
          <w:szCs w:val="20"/>
        </w:rPr>
        <w:t>Ruch lotniczy w sąsiedztwie lotniska, w szczególności:</w:t>
      </w:r>
    </w:p>
    <w:p w14:paraId="174D9BF0"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bliskość innych lotnisk lub tras ATS;</w:t>
      </w:r>
    </w:p>
    <w:p w14:paraId="17641697"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natężenie ruchu; oraz</w:t>
      </w:r>
    </w:p>
    <w:p w14:paraId="75C34E82" w14:textId="77777777" w:rsidR="001A44D6" w:rsidRPr="009E064B" w:rsidRDefault="001A44D6"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(iii) </w:t>
      </w:r>
      <w:r w:rsidRPr="009E064B">
        <w:rPr>
          <w:rFonts w:cs="TimesNewRomanPS-BoldItalicMT"/>
          <w:bCs/>
          <w:iCs/>
          <w:szCs w:val="20"/>
        </w:rPr>
        <w:tab/>
      </w:r>
      <w:r w:rsidRPr="009E064B">
        <w:rPr>
          <w:szCs w:val="20"/>
        </w:rPr>
        <w:t>kontrola ruchu lotniczego oraz procedury nieudanego podejścia do lądowania.</w:t>
      </w:r>
    </w:p>
    <w:p w14:paraId="60A7BF25"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Ilość dróg startowych do zapewnienia w każdym kierunku uzależniona jest od ilości operacji statków powietrznych.</w:t>
      </w:r>
    </w:p>
    <w:p w14:paraId="1E5CDA44"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Niezależnie od czynników, które wpływają na kierunek drogi startowej, rozmieszczenie i kierunek dróg startowych na lotnisku, na ile to możliwe, powinny one być takie, aby zapewnić optymalny poziom bezpieczeństwa.</w:t>
      </w:r>
    </w:p>
    <w:p w14:paraId="6B2E24CA" w14:textId="4C22AF6E" w:rsidR="001A44D6" w:rsidRPr="000412BF"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Ważnym czynnikiem jest omówiony poniżej wskaźnik używalności, który ustalany jest w zależności od występowania wiatrów. Innym ważnym czynnikiem jest lokalizacja drogi startowej, od której zależy opracowanie procedur podejścia zgodnie ze specyfikacjami dotyczącymi powier</w:t>
      </w:r>
      <w:r w:rsidR="00DD355B" w:rsidRPr="009E064B">
        <w:rPr>
          <w:rFonts w:eastAsia="Times New Roman,Italic" w:cs="Times New Roman,Italic"/>
          <w:iCs/>
          <w:szCs w:val="20"/>
        </w:rPr>
        <w:t xml:space="preserve">zchni podejścia zawartymi w </w:t>
      </w:r>
      <w:hyperlink w:anchor="_GM1_ADR-DSN.H.425_" w:history="1">
        <w:r w:rsidR="00DD355B" w:rsidRPr="009E064B">
          <w:rPr>
            <w:rStyle w:val="Hipercze"/>
            <w:rFonts w:eastAsia="Times New Roman,Italic" w:cs="Times New Roman,Italic"/>
            <w:iCs/>
            <w:color w:val="0000CC"/>
            <w:szCs w:val="20"/>
          </w:rPr>
          <w:t>CS1 </w:t>
        </w:r>
        <w:r w:rsidRPr="009E064B">
          <w:rPr>
            <w:rStyle w:val="Hipercze"/>
            <w:rFonts w:eastAsia="Times New Roman,Italic" w:cs="Times New Roman,Italic"/>
            <w:iCs/>
            <w:color w:val="0000CC"/>
            <w:szCs w:val="20"/>
          </w:rPr>
          <w:t>ADR-DSN.H.425</w:t>
        </w:r>
      </w:hyperlink>
      <w:r w:rsidRPr="009E064B">
        <w:rPr>
          <w:rFonts w:eastAsia="Times New Roman,Italic" w:cs="Times New Roman,Italic"/>
          <w:iCs/>
          <w:szCs w:val="20"/>
        </w:rPr>
        <w:t>. Dalsze wytyczne dotyczące tych i innych czynników zawarte są w Załączniku 14 ICAO, Załącznik</w:t>
      </w:r>
      <w:r w:rsidR="00DC6B53" w:rsidRPr="009E064B">
        <w:rPr>
          <w:rFonts w:eastAsia="Times New Roman,Italic" w:cs="Times New Roman,Italic"/>
          <w:iCs/>
          <w:szCs w:val="20"/>
        </w:rPr>
        <w:t> A, Sekcja 1. Przy </w:t>
      </w:r>
      <w:r w:rsidRPr="009E064B">
        <w:rPr>
          <w:rFonts w:eastAsia="Times New Roman,Italic" w:cs="Times New Roman,Italic"/>
          <w:iCs/>
          <w:szCs w:val="20"/>
        </w:rPr>
        <w:t xml:space="preserve">ustalaniu lokalizacji nowej przyrządowej drogi startowej, należy zwrócić szczególną uwagę na strefy, nad którymi mają przelatywać statki powietrzne podczas wykonywania procedur podejścia według wskazań przyrządów lub procedur nieudanego podejścia w taki sposób, aby </w:t>
      </w:r>
      <w:r w:rsidRPr="000412BF">
        <w:rPr>
          <w:rFonts w:eastAsia="Times New Roman,Italic" w:cs="Times New Roman,Italic"/>
          <w:iCs/>
          <w:szCs w:val="20"/>
        </w:rPr>
        <w:t>nie ograniczyć zakresu operacji lotniczych, dla których droga startowa jest przeznaczona.</w:t>
      </w:r>
    </w:p>
    <w:p w14:paraId="66F38CF7" w14:textId="49811DD1" w:rsidR="00645CC7" w:rsidRPr="000412BF" w:rsidRDefault="00C1609D" w:rsidP="00C1609D">
      <w:pPr>
        <w:tabs>
          <w:tab w:val="left" w:pos="567"/>
        </w:tabs>
        <w:autoSpaceDE w:val="0"/>
        <w:autoSpaceDN w:val="0"/>
        <w:adjustRightInd w:val="0"/>
        <w:ind w:left="567" w:hanging="567"/>
        <w:rPr>
          <w:rFonts w:eastAsia="Times New Roman,Italic" w:cs="Times New Roman,Italic"/>
          <w:iCs/>
          <w:szCs w:val="20"/>
        </w:rPr>
      </w:pPr>
      <w:r w:rsidRPr="000412BF">
        <w:rPr>
          <w:rFonts w:eastAsia="Times New Roman,Italic" w:cs="Times New Roman,Italic"/>
          <w:iCs/>
          <w:szCs w:val="20"/>
        </w:rPr>
        <w:t>(f)</w:t>
      </w:r>
      <w:r w:rsidRPr="000412BF">
        <w:rPr>
          <w:rFonts w:eastAsia="Times New Roman,Italic" w:cs="Times New Roman,Italic"/>
          <w:iCs/>
          <w:szCs w:val="20"/>
        </w:rPr>
        <w:tab/>
      </w:r>
      <w:r w:rsidR="00327A2B" w:rsidRPr="000412BF">
        <w:rPr>
          <w:rFonts w:eastAsia="Times New Roman,Italic" w:cs="Times New Roman,Italic"/>
          <w:iCs/>
          <w:szCs w:val="20"/>
        </w:rPr>
        <w:t xml:space="preserve">Wybór danych cząstkowych do obliczania współczynnika używalności powinien być oparty na wiarygodnych danych statystycznych dotyczących występowania i kierunków wiatrów. Dane te powinny obejmować możliwie najdłuższy okres, najlepiej, co </w:t>
      </w:r>
      <w:r w:rsidR="00BE6DA3" w:rsidRPr="000412BF">
        <w:rPr>
          <w:rFonts w:eastAsia="Times New Roman,Italic" w:cs="Times New Roman,Italic"/>
          <w:iCs/>
          <w:szCs w:val="20"/>
        </w:rPr>
        <w:t>najmniej pięcioletni. Obserwacje</w:t>
      </w:r>
      <w:r w:rsidR="00327A2B" w:rsidRPr="000412BF">
        <w:rPr>
          <w:rFonts w:eastAsia="Times New Roman,Italic" w:cs="Times New Roman,Italic"/>
          <w:iCs/>
          <w:szCs w:val="20"/>
        </w:rPr>
        <w:t xml:space="preserve"> powinn</w:t>
      </w:r>
      <w:r w:rsidR="00BE6DA3" w:rsidRPr="000412BF">
        <w:rPr>
          <w:rFonts w:eastAsia="Times New Roman,Italic" w:cs="Times New Roman,Italic"/>
          <w:iCs/>
          <w:szCs w:val="20"/>
        </w:rPr>
        <w:t xml:space="preserve">y być prowadzone </w:t>
      </w:r>
      <w:r w:rsidR="00327A2B" w:rsidRPr="000412BF">
        <w:rPr>
          <w:rFonts w:eastAsia="Times New Roman,Italic" w:cs="Times New Roman,Italic"/>
          <w:iCs/>
          <w:szCs w:val="20"/>
        </w:rPr>
        <w:t>co najmniej osiem razy dziennie,</w:t>
      </w:r>
      <w:r w:rsidR="006A035F" w:rsidRPr="000412BF">
        <w:rPr>
          <w:rFonts w:eastAsia="Times New Roman,Italic" w:cs="Times New Roman,Italic"/>
          <w:iCs/>
          <w:szCs w:val="20"/>
        </w:rPr>
        <w:t xml:space="preserve"> w równych odstępach czasu</w:t>
      </w:r>
      <w:r w:rsidR="00645CC7" w:rsidRPr="000412BF">
        <w:rPr>
          <w:rFonts w:eastAsia="Times New Roman,Italic" w:cs="Times New Roman,Italic"/>
          <w:iCs/>
          <w:szCs w:val="20"/>
        </w:rPr>
        <w:t>.</w:t>
      </w:r>
    </w:p>
    <w:p w14:paraId="64463B2A" w14:textId="2A22B75B"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E407447" w14:textId="77777777" w:rsidR="001A686D" w:rsidRPr="000412BF" w:rsidRDefault="001A686D" w:rsidP="00A16829">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55895BE" w14:textId="094D6D72" w:rsidR="00C36D76" w:rsidRPr="009E064B" w:rsidRDefault="001F134F" w:rsidP="001F134F">
      <w:pPr>
        <w:pStyle w:val="Nagwek4"/>
        <w:tabs>
          <w:tab w:val="clear" w:pos="2694"/>
          <w:tab w:val="left" w:pos="2552"/>
        </w:tabs>
        <w:ind w:left="2552" w:hanging="2552"/>
        <w:rPr>
          <w:color w:val="auto"/>
        </w:rPr>
      </w:pPr>
      <w:bookmarkStart w:id="794" w:name="_Toc12532915"/>
      <w:r w:rsidRPr="009E064B">
        <w:rPr>
          <w:color w:val="auto"/>
        </w:rPr>
        <w:t xml:space="preserve">CS ADR-DSN.B.020      </w:t>
      </w:r>
      <w:r w:rsidR="00C36D76" w:rsidRPr="009E064B">
        <w:rPr>
          <w:color w:val="auto"/>
        </w:rPr>
        <w:t>Wybór maksymalnej dopuszczalnej wartości składowej bocznej wiatru</w:t>
      </w:r>
      <w:bookmarkEnd w:id="793"/>
      <w:bookmarkEnd w:id="794"/>
    </w:p>
    <w:p w14:paraId="2F805A19" w14:textId="1ECB09EC"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627591E8" w14:textId="41DC6A15" w:rsidR="00C36D76" w:rsidRPr="009E064B" w:rsidRDefault="00C36D76" w:rsidP="00B06A9A">
      <w:pPr>
        <w:autoSpaceDE w:val="0"/>
        <w:autoSpaceDN w:val="0"/>
        <w:adjustRightInd w:val="0"/>
        <w:rPr>
          <w:b/>
          <w:szCs w:val="20"/>
        </w:rPr>
      </w:pPr>
      <w:r w:rsidRPr="009E064B">
        <w:rPr>
          <w:rFonts w:cs="Times New Roman"/>
          <w:szCs w:val="20"/>
        </w:rPr>
        <w:t>Celowo pozostawiono puste</w:t>
      </w:r>
    </w:p>
    <w:p w14:paraId="536B6319" w14:textId="387268A1" w:rsidR="001A44D6" w:rsidRPr="009E064B" w:rsidRDefault="001F134F" w:rsidP="00133B99">
      <w:pPr>
        <w:pStyle w:val="Nagwek6"/>
      </w:pPr>
      <w:bookmarkStart w:id="795" w:name="_GM1_ADR-DSN.B.020_"/>
      <w:bookmarkStart w:id="796" w:name="_Toc401058888"/>
      <w:bookmarkStart w:id="797" w:name="_Toc482886757"/>
      <w:bookmarkStart w:id="798" w:name="_Toc12532916"/>
      <w:bookmarkStart w:id="799" w:name="_Toc482886534"/>
      <w:bookmarkEnd w:id="795"/>
      <w:r w:rsidRPr="009E064B">
        <w:t xml:space="preserve">GM1 ADR-DSN.B.020     </w:t>
      </w:r>
      <w:r w:rsidR="001A44D6" w:rsidRPr="009E064B">
        <w:t>Wybór maksymalnej dopuszczalnej wartości składowej bocznej wiatru</w:t>
      </w:r>
      <w:bookmarkEnd w:id="796"/>
      <w:bookmarkEnd w:id="797"/>
      <w:bookmarkEnd w:id="798"/>
    </w:p>
    <w:p w14:paraId="1E74B4C0" w14:textId="668F8D9F"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0AADC83B" w14:textId="785B2812"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Uwzględniając warunki za</w:t>
      </w:r>
      <w:r w:rsidR="000A32AB" w:rsidRPr="009E064B">
        <w:rPr>
          <w:rFonts w:eastAsia="Times New Roman,Italic" w:cs="Times New Roman,Italic"/>
          <w:iCs/>
          <w:szCs w:val="20"/>
        </w:rPr>
        <w:t xml:space="preserve">warte w </w:t>
      </w:r>
      <w:hyperlink w:anchor="_GM1_ADR-DSN.B.015_" w:history="1">
        <w:r w:rsidR="000A32AB" w:rsidRPr="009E064B">
          <w:rPr>
            <w:rStyle w:val="Hipercze"/>
            <w:rFonts w:eastAsia="Times New Roman,Italic" w:cs="Times New Roman,Italic"/>
            <w:iCs/>
            <w:szCs w:val="20"/>
          </w:rPr>
          <w:t>GM1 </w:t>
        </w:r>
        <w:r w:rsidRPr="009E064B">
          <w:rPr>
            <w:rStyle w:val="Hipercze"/>
            <w:rFonts w:eastAsia="Times New Roman,Italic" w:cs="Times New Roman,Italic"/>
            <w:iCs/>
            <w:szCs w:val="20"/>
          </w:rPr>
          <w:t>ADR-DSN</w:t>
        </w:r>
        <w:r w:rsidR="00DD355B" w:rsidRPr="009E064B">
          <w:rPr>
            <w:rStyle w:val="Hipercze"/>
            <w:rFonts w:eastAsia="Times New Roman,Italic" w:cs="Times New Roman,Italic"/>
            <w:iCs/>
            <w:szCs w:val="20"/>
          </w:rPr>
          <w:t>.B.015</w:t>
        </w:r>
      </w:hyperlink>
      <w:r w:rsidR="00DD355B" w:rsidRPr="009E064B">
        <w:rPr>
          <w:rFonts w:eastAsia="Times New Roman,Italic" w:cs="Times New Roman,Italic"/>
          <w:iCs/>
          <w:szCs w:val="20"/>
        </w:rPr>
        <w:t xml:space="preserve"> </w:t>
      </w:r>
      <w:r w:rsidR="00DC6B53" w:rsidRPr="009E064B">
        <w:rPr>
          <w:rFonts w:eastAsia="Times New Roman,Italic" w:cs="Times New Roman,Italic"/>
          <w:iCs/>
          <w:szCs w:val="20"/>
        </w:rPr>
        <w:t>lit. </w:t>
      </w:r>
      <w:r w:rsidRPr="009E064B">
        <w:rPr>
          <w:rFonts w:eastAsia="Times New Roman,Italic" w:cs="Times New Roman,Italic"/>
          <w:iCs/>
          <w:szCs w:val="20"/>
        </w:rPr>
        <w:t>(a)</w:t>
      </w:r>
      <w:r w:rsidR="000A32AB" w:rsidRPr="009E064B">
        <w:rPr>
          <w:rFonts w:eastAsia="Times New Roman,Italic" w:cs="Times New Roman,Italic"/>
          <w:iCs/>
          <w:szCs w:val="20"/>
        </w:rPr>
        <w:t xml:space="preserve"> należy przyjąć założenie, że w </w:t>
      </w:r>
      <w:r w:rsidRPr="009E064B">
        <w:rPr>
          <w:rFonts w:eastAsia="Times New Roman,Italic" w:cs="Times New Roman,Italic"/>
          <w:iCs/>
          <w:szCs w:val="20"/>
        </w:rPr>
        <w:t>normalnych okolicznościach zawieszone będą starty i lądowania, jeżeli wartość składowej bocznej wiatru przekracza:</w:t>
      </w:r>
    </w:p>
    <w:p w14:paraId="47E72C17" w14:textId="77777777"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37 km/godz. (20 węzłów) dla samolotów, dla których referencyjna długość startu jest większa lub równa 1500 m, z wyjątkiem sytuacji, gdy z pewną częstotliwością występuje mała skuteczność hamowania, wynikająca z niewystarczającego podłużnego współczynnika tarcia – zaleca się wówczas przyjmować za graniczną wartość składową boczną wiatru równą 24 km/godz. (13 węzłów);</w:t>
      </w:r>
    </w:p>
    <w:p w14:paraId="0A935217" w14:textId="3524193E"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24 km/godz. (13 węzłów) dla samolotów, dla których referencyjna długość startu mieści się pomiędzy 1200 m a 1500 m (</w:t>
      </w:r>
      <w:r w:rsidR="008960B1" w:rsidRPr="009E064B">
        <w:rPr>
          <w:rFonts w:eastAsia="Times New Roman,Italic" w:cs="Times New Roman,Italic"/>
          <w:iCs/>
          <w:szCs w:val="20"/>
        </w:rPr>
        <w:t>bez</w:t>
      </w:r>
      <w:r w:rsidRPr="009E064B">
        <w:rPr>
          <w:rFonts w:eastAsia="Times New Roman,Italic" w:cs="Times New Roman,Italic"/>
          <w:iCs/>
          <w:szCs w:val="20"/>
        </w:rPr>
        <w:t xml:space="preserve"> wartości 1500 m);</w:t>
      </w:r>
    </w:p>
    <w:p w14:paraId="50C0E6C4" w14:textId="77777777" w:rsidR="001A44D6" w:rsidRPr="009E064B" w:rsidRDefault="001A44D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Italic" w:cs="Times New Roman,Italic"/>
          <w:iCs/>
          <w:szCs w:val="20"/>
        </w:rPr>
        <w:t>19 km/godz. (10 węzłów) dla samolotów, dla których referencyjna długość startu jest mniejsza niż 1200 m.</w:t>
      </w:r>
    </w:p>
    <w:p w14:paraId="1361BFB4" w14:textId="2DA7DADE" w:rsidR="00C36D76" w:rsidRPr="009E064B" w:rsidRDefault="00786A40" w:rsidP="00B06A9A">
      <w:pPr>
        <w:pStyle w:val="Nagwek4"/>
        <w:rPr>
          <w:color w:val="auto"/>
        </w:rPr>
      </w:pPr>
      <w:bookmarkStart w:id="800" w:name="_Toc12532917"/>
      <w:r w:rsidRPr="009E064B">
        <w:rPr>
          <w:color w:val="auto"/>
        </w:rPr>
        <w:t xml:space="preserve">CS ADR-DSN.B.025     </w:t>
      </w:r>
      <w:r w:rsidR="00C36D76" w:rsidRPr="009E064B">
        <w:rPr>
          <w:color w:val="auto"/>
        </w:rPr>
        <w:t>Dane, którymi należy się posługiwać</w:t>
      </w:r>
      <w:bookmarkEnd w:id="799"/>
      <w:bookmarkEnd w:id="800"/>
    </w:p>
    <w:p w14:paraId="69E0B886" w14:textId="7C96A4A2"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8040F58" w14:textId="70963D5B" w:rsidR="00C36D76" w:rsidRPr="009E064B" w:rsidRDefault="00C36D76" w:rsidP="00B06A9A">
      <w:pPr>
        <w:autoSpaceDE w:val="0"/>
        <w:autoSpaceDN w:val="0"/>
        <w:adjustRightInd w:val="0"/>
        <w:rPr>
          <w:szCs w:val="20"/>
        </w:rPr>
      </w:pPr>
      <w:r w:rsidRPr="009E064B">
        <w:rPr>
          <w:szCs w:val="20"/>
        </w:rPr>
        <w:t>Celowo pozostawione puste</w:t>
      </w:r>
    </w:p>
    <w:p w14:paraId="3ECD6A3A" w14:textId="32EABCC3" w:rsidR="001A44D6" w:rsidRPr="009E064B" w:rsidRDefault="00786A40" w:rsidP="00133B99">
      <w:pPr>
        <w:pStyle w:val="Nagwek6"/>
      </w:pPr>
      <w:bookmarkStart w:id="801" w:name="_Toc401058889"/>
      <w:bookmarkStart w:id="802" w:name="_Toc482886758"/>
      <w:bookmarkStart w:id="803" w:name="_Toc12532918"/>
      <w:bookmarkStart w:id="804" w:name="_Toc482886535"/>
      <w:r w:rsidRPr="009E064B">
        <w:t xml:space="preserve">GM1 ADR-DSN.B.025     </w:t>
      </w:r>
      <w:r w:rsidR="001A44D6" w:rsidRPr="009E064B">
        <w:t>Dane, którymi należy się posługiwać</w:t>
      </w:r>
      <w:bookmarkEnd w:id="801"/>
      <w:bookmarkEnd w:id="802"/>
      <w:bookmarkEnd w:id="803"/>
    </w:p>
    <w:p w14:paraId="38288C19" w14:textId="6C8133B2"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F8AC985" w14:textId="5B87B030" w:rsidR="001A44D6" w:rsidRPr="005D070C" w:rsidRDefault="00327A2B" w:rsidP="00B06A9A">
      <w:pPr>
        <w:autoSpaceDE w:val="0"/>
        <w:autoSpaceDN w:val="0"/>
        <w:adjustRightInd w:val="0"/>
        <w:rPr>
          <w:color w:val="000000" w:themeColor="text1"/>
          <w:szCs w:val="20"/>
        </w:rPr>
      </w:pPr>
      <w:r w:rsidRPr="005D070C">
        <w:rPr>
          <w:color w:val="000000" w:themeColor="text1"/>
          <w:szCs w:val="20"/>
        </w:rPr>
        <w:t>Celowo pozostawione puste</w:t>
      </w:r>
    </w:p>
    <w:p w14:paraId="0F78E5B8" w14:textId="77777777" w:rsidR="008960B1" w:rsidRPr="009E064B" w:rsidRDefault="008960B1" w:rsidP="008960B1">
      <w:pPr>
        <w:pStyle w:val="Tekstpodstawowy"/>
        <w:spacing w:before="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A61B15B" w14:textId="1EE05A52" w:rsidR="00C36D76" w:rsidRPr="009E064B" w:rsidRDefault="00786A40" w:rsidP="00B06A9A">
      <w:pPr>
        <w:pStyle w:val="Nagwek4"/>
        <w:rPr>
          <w:color w:val="auto"/>
        </w:rPr>
      </w:pPr>
      <w:bookmarkStart w:id="805" w:name="_Toc12532919"/>
      <w:r w:rsidRPr="009E064B">
        <w:rPr>
          <w:color w:val="auto"/>
        </w:rPr>
        <w:t xml:space="preserve">CS ADR-DSN.B.030     </w:t>
      </w:r>
      <w:r w:rsidR="00C36D76" w:rsidRPr="009E064B">
        <w:rPr>
          <w:color w:val="auto"/>
        </w:rPr>
        <w:t>Próg drogi startowej</w:t>
      </w:r>
      <w:bookmarkEnd w:id="804"/>
      <w:bookmarkEnd w:id="805"/>
    </w:p>
    <w:p w14:paraId="4F7F2DBA" w14:textId="46531274"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10DDD930" w14:textId="2BA8F17D"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Na drodze startowej powinien być zapewniony próg.</w:t>
      </w:r>
    </w:p>
    <w:p w14:paraId="29E1B3E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Próg nie musi być zapewniany na drodze startowej przeznaczonej wyłącznie do startów.</w:t>
      </w:r>
    </w:p>
    <w:p w14:paraId="52C02206"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MT"/>
          <w:szCs w:val="20"/>
        </w:rPr>
        <w:t xml:space="preserve">Próg powinien być zlokalizowany </w:t>
      </w:r>
      <w:r w:rsidRPr="009E064B">
        <w:rPr>
          <w:rFonts w:cs="TimesNewRomanPS-ItalicMT"/>
          <w:iCs/>
          <w:szCs w:val="20"/>
        </w:rPr>
        <w:t>na krańcu drogi startowej, z wyjątkiem przypadków, gdy uwarunkowania operacyjne uzasadniają wybór innej lokalizacji progu.</w:t>
      </w:r>
    </w:p>
    <w:p w14:paraId="2FE63059"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Jeżeli</w:t>
      </w:r>
      <w:r w:rsidRPr="009E064B">
        <w:rPr>
          <w:rFonts w:cs="TimesNewRomanPS-ItalicMT"/>
          <w:iCs/>
          <w:szCs w:val="20"/>
        </w:rPr>
        <w:t xml:space="preserve"> niezbędnym jest przesunięcie progu drogi startowej tymczasowo lub na stałe, należy brać pod uwagą różne czynniki, które mogą wpływać na lokalizację progu.</w:t>
      </w:r>
    </w:p>
    <w:p w14:paraId="2CD99CF3" w14:textId="77777777" w:rsidR="00C36D76" w:rsidRPr="009E064B" w:rsidRDefault="00C36D76" w:rsidP="00B06A9A">
      <w:pPr>
        <w:tabs>
          <w:tab w:val="left" w:pos="567"/>
        </w:tabs>
        <w:spacing w:after="0"/>
        <w:ind w:left="567" w:hanging="567"/>
        <w:rPr>
          <w:szCs w:val="20"/>
        </w:rPr>
      </w:pPr>
      <w:r w:rsidRPr="009E064B">
        <w:rPr>
          <w:rFonts w:cs="Times New Roman"/>
          <w:szCs w:val="20"/>
        </w:rPr>
        <w:t xml:space="preserve">(e) </w:t>
      </w:r>
      <w:r w:rsidRPr="009E064B">
        <w:rPr>
          <w:rFonts w:cs="Times New Roman"/>
          <w:szCs w:val="20"/>
        </w:rPr>
        <w:tab/>
      </w:r>
      <w:r w:rsidRPr="009E064B">
        <w:rPr>
          <w:szCs w:val="20"/>
        </w:rPr>
        <w:t>Jeżeli próg drogi startowej jest przesunięty, jego lokalizacja powinna być mierzona od wewnętrznej krawędzi oznakowania progu (linii biegnącej w poprzek drogi startowej).</w:t>
      </w:r>
    </w:p>
    <w:p w14:paraId="3366EF38" w14:textId="33731D6F" w:rsidR="001A44D6" w:rsidRPr="009E064B" w:rsidRDefault="00786A40" w:rsidP="00133B99">
      <w:pPr>
        <w:pStyle w:val="Nagwek6"/>
      </w:pPr>
      <w:bookmarkStart w:id="806" w:name="_Toc401058890"/>
      <w:bookmarkStart w:id="807" w:name="_Toc482886759"/>
      <w:bookmarkStart w:id="808" w:name="_Toc12532920"/>
      <w:bookmarkStart w:id="809" w:name="_Toc482886536"/>
      <w:r w:rsidRPr="009E064B">
        <w:t xml:space="preserve">GM1 ADR-DSN.B.030     </w:t>
      </w:r>
      <w:r w:rsidR="001A44D6" w:rsidRPr="009E064B">
        <w:t>Próg drogi startowej</w:t>
      </w:r>
      <w:bookmarkEnd w:id="806"/>
      <w:bookmarkEnd w:id="807"/>
      <w:bookmarkEnd w:id="808"/>
    </w:p>
    <w:p w14:paraId="1C51D945" w14:textId="0C6A9D7F"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0EF40220" w14:textId="5EF07B46"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Dodatkowy dystans powinien być zapewniony w celu spełnienia wymagań strefy bezpieczeństwa końca drogi startowej.</w:t>
      </w:r>
    </w:p>
    <w:p w14:paraId="420243BE" w14:textId="77777777"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Jeżeli przesunięcie progu wynika ze stanu drogi startowej uniemożliwiającego jej użycie, należy zapewnić uporządkowaną i zniwelowaną strefę o długości, co najmniej 60 m pomiędzy strefą nie nadającą się do użytku a przesuniętym progiem.</w:t>
      </w:r>
    </w:p>
    <w:p w14:paraId="6BED99C0" w14:textId="77777777"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Materiały zawierające wytyczne na temat wymagań pomiarowych dla lotnisk zawarte są w „</w:t>
      </w:r>
      <w:r w:rsidRPr="009E064B">
        <w:rPr>
          <w:rFonts w:eastAsia="Times New Roman,Italic" w:cs="Times New Roman,Italic"/>
          <w:i/>
          <w:iCs/>
          <w:szCs w:val="20"/>
        </w:rPr>
        <w:t>Podręczniku – Światowy Układ Geodezyjny – 1984 (WGS-84)</w:t>
      </w:r>
      <w:r w:rsidRPr="009E064B">
        <w:rPr>
          <w:rFonts w:eastAsia="Times New Roman,Italic" w:cs="Times New Roman,Italic"/>
          <w:iCs/>
          <w:szCs w:val="20"/>
        </w:rPr>
        <w:t>”, w szczególności w części 5.3. Niemniej jednak, wytyczne te nie definiują w sposób precyzyjny punktów pomiarowych dla krawędzi drogi startowej lub dla progu drogi startowej, ponieważ w obydwu przypadkach, punkt pomiaru nie jest środkiem oznakowania poziomego wykonanego przy użyciu odpowiedniej farby.</w:t>
      </w:r>
    </w:p>
    <w:p w14:paraId="153050C4" w14:textId="77777777"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(d) </w:t>
      </w:r>
      <w:r w:rsidRPr="009E064B">
        <w:rPr>
          <w:rFonts w:cs="TimesNewRomanPS-BoldItalicMT"/>
          <w:bCs/>
          <w:iCs/>
          <w:szCs w:val="20"/>
        </w:rPr>
        <w:tab/>
        <w:t>Lokalizacja</w:t>
      </w:r>
      <w:r w:rsidRPr="009E064B">
        <w:rPr>
          <w:rFonts w:eastAsia="Times New Roman,Italic" w:cs="Times New Roman,Italic"/>
          <w:iCs/>
          <w:szCs w:val="20"/>
        </w:rPr>
        <w:t xml:space="preserve"> progu drogi startowej:</w:t>
      </w:r>
    </w:p>
    <w:p w14:paraId="799725F9" w14:textId="2452B3B2" w:rsidR="001A44D6" w:rsidRPr="009E064B" w:rsidRDefault="001A44D6"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 xml:space="preserve">Próg drogi startowej jest zwykle umieszczany na krańcu drogi startowej, jeśli nie znajdują się tam przeszkody wystające ponad powierzchnię podejścia. W niektórych przypadkach jednak, z uwagi na uwarunkowania lokalnie, konieczne może okazać się przesunięcie progu drogi startowej na stałe (patrz poniżej). </w:t>
      </w:r>
      <w:r w:rsidRPr="009E064B">
        <w:rPr>
          <w:rFonts w:cs="Times New Roman"/>
          <w:szCs w:val="20"/>
        </w:rPr>
        <w:t>Analizując możliwość zlokalizowania progu należy uwzględnić wysokość punktu odniesienia systemu ILS i/lub punktu odniesienia podejścia MLS oraz pionowe zabezpieczenie przelotu nad przeszkodami. Wymagania dotyczące wysokości punktu odniesienia systemu ILS oraz punktu odniesienia podejścia MLS określono w Załączniku 10 ICAO, Tom I.</w:t>
      </w:r>
    </w:p>
    <w:p w14:paraId="3698B931" w14:textId="77777777"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(2)</w:t>
      </w:r>
      <w:r w:rsidRPr="009E064B">
        <w:rPr>
          <w:rFonts w:eastAsia="Times New Roman,Italic" w:cs="Times New Roman,Italic"/>
          <w:iCs/>
          <w:szCs w:val="20"/>
        </w:rPr>
        <w:t xml:space="preserve"> </w:t>
      </w:r>
      <w:r w:rsidRPr="009E064B">
        <w:rPr>
          <w:rFonts w:eastAsia="Times New Roman,Italic" w:cs="Times New Roman,Italic"/>
          <w:iCs/>
          <w:szCs w:val="20"/>
        </w:rPr>
        <w:tab/>
      </w:r>
      <w:r w:rsidRPr="009E064B">
        <w:rPr>
          <w:rFonts w:cs="Times New Roman"/>
          <w:szCs w:val="20"/>
        </w:rPr>
        <w:t xml:space="preserve">Przy sprawdzaniu, czy jakiś obiekt nie wystaje ponad powierzchnię podejścia </w:t>
      </w:r>
      <w:r w:rsidRPr="009E064B">
        <w:rPr>
          <w:rFonts w:eastAsia="Times New Roman,Italic" w:cs="Times New Roman,Italic"/>
          <w:iCs/>
          <w:szCs w:val="20"/>
        </w:rPr>
        <w:t>należy</w:t>
      </w:r>
      <w:r w:rsidRPr="009E064B">
        <w:rPr>
          <w:rFonts w:cs="Times New Roman"/>
          <w:szCs w:val="20"/>
        </w:rPr>
        <w:t xml:space="preserve"> również brać pod uwagę obiekty ruchome (pojazdy na drogach, pociągi, itp.), co najmniej w części podejścia rozciągającej się na odległość 1200 m od progu i na szerokość całkowitą równą, co najmniej 150 m.</w:t>
      </w:r>
    </w:p>
    <w:p w14:paraId="1C0570D5" w14:textId="77777777" w:rsidR="001A44D6" w:rsidRPr="009E064B" w:rsidRDefault="001A44D6" w:rsidP="00B06A9A">
      <w:pPr>
        <w:tabs>
          <w:tab w:val="left" w:pos="567"/>
        </w:tabs>
        <w:autoSpaceDE w:val="0"/>
        <w:autoSpaceDN w:val="0"/>
        <w:adjustRightInd w:val="0"/>
        <w:ind w:left="567" w:hanging="567"/>
        <w:rPr>
          <w:rFonts w:eastAsia="Times New Roman,Bold" w:cs="Times New Roman,Bold"/>
          <w:b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Próg</w:t>
      </w:r>
      <w:r w:rsidRPr="009E064B">
        <w:rPr>
          <w:rFonts w:eastAsia="Times New Roman,Bold" w:cs="Times New Roman,Bold"/>
          <w:bCs/>
          <w:szCs w:val="20"/>
        </w:rPr>
        <w:t xml:space="preserve"> przesunięty</w:t>
      </w:r>
    </w:p>
    <w:p w14:paraId="17C661AA" w14:textId="77777777" w:rsidR="001A44D6" w:rsidRPr="009E064B" w:rsidRDefault="001A44D6" w:rsidP="00B06A9A">
      <w:pPr>
        <w:tabs>
          <w:tab w:val="left" w:pos="1134"/>
        </w:tabs>
        <w:autoSpaceDE w:val="0"/>
        <w:autoSpaceDN w:val="0"/>
        <w:adjustRightInd w:val="0"/>
        <w:ind w:left="1134" w:hanging="567"/>
        <w:rPr>
          <w:rFonts w:eastAsia="Times New Roman,Bold"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Bold" w:cs="Times New Roman"/>
          <w:szCs w:val="20"/>
        </w:rPr>
        <w:t>Jeżeli obiekt wystający ponad powierzchnię podejścia nie może być usunięty, wówczas należy rozważyć przesunięcie progu drogi startowej na stałe.</w:t>
      </w:r>
    </w:p>
    <w:p w14:paraId="309D78C5" w14:textId="77777777" w:rsidR="001A44D6" w:rsidRPr="009E064B" w:rsidRDefault="001A44D6" w:rsidP="00B06A9A">
      <w:pPr>
        <w:tabs>
          <w:tab w:val="left" w:pos="1134"/>
        </w:tabs>
        <w:autoSpaceDE w:val="0"/>
        <w:autoSpaceDN w:val="0"/>
        <w:adjustRightInd w:val="0"/>
        <w:ind w:left="1134" w:hanging="567"/>
        <w:rPr>
          <w:rFonts w:eastAsia="Times New Roman,Bold"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Bold" w:cs="Times New Roman"/>
          <w:szCs w:val="20"/>
        </w:rPr>
        <w:t>W celu spełnienia wymogów w zakresie ograniczenia przeszkód określonych w specyfikacjach certyfikacyjnych w Części 1, Rozdział H, idealnym rozwiązaniem byłoby przesunięcie progu w kierunku środka drogi startowej na taką odległość, przy której powierzchnia podejścia byłaby wolna od przeszkód.</w:t>
      </w:r>
    </w:p>
    <w:p w14:paraId="242EF862" w14:textId="0D42D52C" w:rsidR="001A44D6" w:rsidRPr="009E064B" w:rsidRDefault="001A44D6" w:rsidP="00B06A9A">
      <w:pPr>
        <w:tabs>
          <w:tab w:val="left" w:pos="1134"/>
        </w:tabs>
        <w:autoSpaceDE w:val="0"/>
        <w:autoSpaceDN w:val="0"/>
        <w:adjustRightInd w:val="0"/>
        <w:ind w:left="1134" w:hanging="567"/>
        <w:rPr>
          <w:rFonts w:eastAsia="Times New Roman,Bold" w:cs="Times New Roman"/>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Bold" w:cs="Times New Roman"/>
          <w:szCs w:val="20"/>
        </w:rPr>
        <w:t>Jednak przesunięcie progu od końca drogi startowej nieuchronnie spowoduje skrócenie rozporządzalnej długości lądowania (LDA), które może mieć większe znaczenie operacyjne, niż obecność przeszkód wystających ponad powierzchnię podejścia, wyposażonych w dzienne i nocne oznakowanie przeszko</w:t>
      </w:r>
      <w:r w:rsidR="00280FF7" w:rsidRPr="009E064B">
        <w:rPr>
          <w:rFonts w:eastAsia="Times New Roman,Bold" w:cs="Times New Roman"/>
          <w:szCs w:val="20"/>
        </w:rPr>
        <w:t>dowe. Przed podjęciem decyzji o </w:t>
      </w:r>
      <w:r w:rsidRPr="009E064B">
        <w:rPr>
          <w:rFonts w:eastAsia="Times New Roman,Bold" w:cs="Times New Roman"/>
          <w:szCs w:val="20"/>
        </w:rPr>
        <w:t>przesunięciu progu i określeniu wielkości tego przesunięcia, należy uwzględnić zachowanie optymalnej równowagi pomiędzy powierzchniami podejścia wolnymi od przeszkód, a wymaganą długością drogi lądowania. Przy podejmowaniu decyzji należy brać pod uwagę typy samolotów, dla których droga startowa jest przeznaczona, warunki ograniczonej widzialności oraz podstawę chmur, przy jakiej droga startowa będzie użytkowana, lokalizację przeszkód lotniczych w odniesieniu do progu oraz przedłużenia linii środkowej drogi startowej oraz, w przypadku drogi startowej z podejściem precyzyjnym, znaczenie przeszkód do określenia minimalnego odstępu przewyższenia ponad przeszkodami.</w:t>
      </w:r>
    </w:p>
    <w:p w14:paraId="38FB80C6" w14:textId="11625BA2"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Times New Roman,Bold" w:cs="Times New Roman"/>
          <w:szCs w:val="20"/>
        </w:rPr>
        <w:t>Niezależnie od rozporządzalnej długości lądowania, próg powinien być zlokalizowany w taki sposób, aby nachylenie powierzchni wolnej od przeszkód w kierunku progu nie było bardziej strome niż 3.3%, w przypadku dróg startow</w:t>
      </w:r>
      <w:r w:rsidR="00280FF7" w:rsidRPr="009E064B">
        <w:rPr>
          <w:rFonts w:eastAsia="Times New Roman,Bold" w:cs="Times New Roman"/>
          <w:szCs w:val="20"/>
        </w:rPr>
        <w:t>ych o cyfrze kodu 4, oraz 5%, w </w:t>
      </w:r>
      <w:r w:rsidRPr="009E064B">
        <w:rPr>
          <w:rFonts w:eastAsia="Times New Roman,Bold" w:cs="Times New Roman"/>
          <w:szCs w:val="20"/>
        </w:rPr>
        <w:t>przypadku dróg startowych o cyfrze kodu 3.</w:t>
      </w:r>
    </w:p>
    <w:p w14:paraId="2387F61C" w14:textId="21E5731B" w:rsidR="001A44D6" w:rsidRPr="000412BF" w:rsidRDefault="001A44D6"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(5) </w:t>
      </w:r>
      <w:r w:rsidRPr="009E064B">
        <w:rPr>
          <w:rFonts w:cs="TimesNewRomanPS-BoldItalicMT"/>
          <w:bCs/>
          <w:iCs/>
          <w:szCs w:val="20"/>
        </w:rPr>
        <w:tab/>
      </w:r>
      <w:r w:rsidRPr="009E064B">
        <w:rPr>
          <w:rFonts w:cs="Times New Roman"/>
          <w:szCs w:val="20"/>
        </w:rPr>
        <w:t xml:space="preserve">W przypadku progu zlokalizowanego zgodnie z kryteriami dla obszarów wolnych od </w:t>
      </w:r>
      <w:r w:rsidRPr="009E064B">
        <w:rPr>
          <w:rFonts w:eastAsia="Times New Roman,Bold" w:cs="Times New Roman"/>
          <w:szCs w:val="20"/>
        </w:rPr>
        <w:t>przeszkód,</w:t>
      </w:r>
      <w:r w:rsidRPr="009E064B">
        <w:rPr>
          <w:rFonts w:cs="Times New Roman"/>
          <w:szCs w:val="20"/>
        </w:rPr>
        <w:t xml:space="preserve"> określonymi w poprzednim punkcie, należy wykonać oznakowania przeszkód w odniesieniu do przesuniętego progu zgodnie z wymogami oznakowania przeszkód podanymi </w:t>
      </w:r>
      <w:r w:rsidRPr="000412BF">
        <w:rPr>
          <w:rFonts w:cs="Times New Roman"/>
          <w:szCs w:val="20"/>
        </w:rPr>
        <w:t xml:space="preserve">w Rozdziale </w:t>
      </w:r>
      <w:r w:rsidR="009449A9" w:rsidRPr="000412BF">
        <w:rPr>
          <w:rFonts w:cs="Times New Roman"/>
          <w:szCs w:val="20"/>
        </w:rPr>
        <w:t>Q</w:t>
      </w:r>
      <w:r w:rsidRPr="000412BF">
        <w:rPr>
          <w:rFonts w:cs="Times New Roman"/>
          <w:szCs w:val="20"/>
        </w:rPr>
        <w:t>.</w:t>
      </w:r>
    </w:p>
    <w:p w14:paraId="31F96345" w14:textId="552419F7" w:rsidR="001A44D6" w:rsidRPr="009E064B" w:rsidRDefault="001A44D6"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(6) </w:t>
      </w:r>
      <w:r w:rsidRPr="009E064B">
        <w:rPr>
          <w:rFonts w:cs="TimesNewRomanPS-BoldItalicMT"/>
          <w:bCs/>
          <w:iCs/>
          <w:szCs w:val="20"/>
        </w:rPr>
        <w:tab/>
      </w:r>
      <w:r w:rsidRPr="009E064B">
        <w:rPr>
          <w:rFonts w:cs="Times New Roman"/>
          <w:szCs w:val="20"/>
        </w:rPr>
        <w:t xml:space="preserve">W zależności od długości przesunięcia progu, zasięg widzialności wzdłuż drogi </w:t>
      </w:r>
      <w:r w:rsidRPr="009E064B">
        <w:rPr>
          <w:rFonts w:eastAsia="Times New Roman,Bold" w:cs="Times New Roman"/>
          <w:szCs w:val="20"/>
        </w:rPr>
        <w:t>startowej</w:t>
      </w:r>
      <w:r w:rsidRPr="009E064B">
        <w:rPr>
          <w:rFonts w:cs="Times New Roman"/>
          <w:szCs w:val="20"/>
        </w:rPr>
        <w:t xml:space="preserve"> (RVR) na przesuniętym progu może różnić się od tego na początku tej drogi startowej dla startów. Zastosowanie czerwonych świateł </w:t>
      </w:r>
      <w:r w:rsidR="00280FF7" w:rsidRPr="009E064B">
        <w:rPr>
          <w:rFonts w:cs="Times New Roman"/>
          <w:szCs w:val="20"/>
        </w:rPr>
        <w:t>krawędziowych drogi startowej o </w:t>
      </w:r>
      <w:r w:rsidRPr="009E064B">
        <w:rPr>
          <w:rFonts w:cs="Times New Roman"/>
          <w:szCs w:val="20"/>
        </w:rPr>
        <w:t>intensywności fotometrycznej mniejszej niż wartość nominalna 10 000 cd dla białych świateł zwiększa to zjawisko.</w:t>
      </w:r>
    </w:p>
    <w:p w14:paraId="47621267" w14:textId="713DFC91" w:rsidR="00C36D76" w:rsidRPr="009E064B" w:rsidRDefault="002C3C20" w:rsidP="00B06A9A">
      <w:pPr>
        <w:pStyle w:val="Nagwek4"/>
        <w:rPr>
          <w:color w:val="auto"/>
        </w:rPr>
      </w:pPr>
      <w:bookmarkStart w:id="810" w:name="_Toc12532921"/>
      <w:r w:rsidRPr="009E064B">
        <w:rPr>
          <w:color w:val="auto"/>
        </w:rPr>
        <w:t xml:space="preserve">CS ADR-DSN.B.035     </w:t>
      </w:r>
      <w:r w:rsidR="00C36D76" w:rsidRPr="009E064B">
        <w:rPr>
          <w:color w:val="auto"/>
        </w:rPr>
        <w:t>Długość drogi startowej i długości deklarowane</w:t>
      </w:r>
      <w:bookmarkEnd w:id="809"/>
      <w:bookmarkEnd w:id="810"/>
    </w:p>
    <w:p w14:paraId="1868C613" w14:textId="6623CF55"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0683736A" w14:textId="77777777"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Długość drogi startowej powinna zapewniać długości deklarowane odpowiednie dla spełnienia wymagań operacyjnych w odniesieniu do statków powietrznych, do obsługi których przeznaczona jest droga startowa.</w:t>
      </w:r>
    </w:p>
    <w:p w14:paraId="7BEF58EF"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Dla każdej drogi startowej następujące odległości powinny być obliczone do najbliższego metra:</w:t>
      </w:r>
    </w:p>
    <w:p w14:paraId="2833C83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BoldItalicMT"/>
          <w:bCs/>
          <w:iCs/>
          <w:szCs w:val="20"/>
        </w:rPr>
        <w:t>rozporządzalna długość rozbiegu</w:t>
      </w:r>
      <w:r w:rsidRPr="009E064B">
        <w:rPr>
          <w:rFonts w:cs="TimesNewRomanPS-BoldItalicMT"/>
          <w:b/>
          <w:bCs/>
          <w:iCs/>
          <w:szCs w:val="20"/>
        </w:rPr>
        <w:t xml:space="preserve"> </w:t>
      </w:r>
      <w:r w:rsidRPr="009E064B">
        <w:rPr>
          <w:rFonts w:cs="TimesNewRomanPS-ItalicMT"/>
          <w:iCs/>
          <w:szCs w:val="20"/>
        </w:rPr>
        <w:t>(TORA);</w:t>
      </w:r>
    </w:p>
    <w:p w14:paraId="659444A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BoldItalicMT"/>
          <w:bCs/>
          <w:iCs/>
          <w:szCs w:val="20"/>
        </w:rPr>
        <w:t>rozporządzalna długość startu</w:t>
      </w:r>
      <w:r w:rsidRPr="009E064B">
        <w:rPr>
          <w:rFonts w:cs="TimesNewRomanPS-BoldItalicMT"/>
          <w:b/>
          <w:bCs/>
          <w:iCs/>
          <w:szCs w:val="20"/>
        </w:rPr>
        <w:t xml:space="preserve"> </w:t>
      </w:r>
      <w:r w:rsidRPr="009E064B">
        <w:rPr>
          <w:rFonts w:cs="TimesNewRomanPS-ItalicMT"/>
          <w:iCs/>
          <w:szCs w:val="20"/>
        </w:rPr>
        <w:t>(TODA);</w:t>
      </w:r>
    </w:p>
    <w:p w14:paraId="041A019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BoldItalicMT"/>
          <w:bCs/>
          <w:iCs/>
          <w:szCs w:val="20"/>
        </w:rPr>
        <w:t>rozporządzalna długość przerwanego startu</w:t>
      </w:r>
      <w:r w:rsidRPr="009E064B">
        <w:rPr>
          <w:rFonts w:cs="TimesNewRomanPS-BoldItalicMT"/>
          <w:b/>
          <w:bCs/>
          <w:iCs/>
          <w:szCs w:val="20"/>
        </w:rPr>
        <w:t xml:space="preserve"> </w:t>
      </w:r>
      <w:r w:rsidRPr="009E064B">
        <w:rPr>
          <w:rFonts w:cs="TimesNewRomanPS-ItalicMT"/>
          <w:iCs/>
          <w:szCs w:val="20"/>
        </w:rPr>
        <w:t>(ASDA; oraz</w:t>
      </w:r>
    </w:p>
    <w:p w14:paraId="74BB2E81"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BoldItalicMT"/>
          <w:bCs/>
          <w:iCs/>
          <w:szCs w:val="20"/>
        </w:rPr>
        <w:t>rozporządzalna długość lądowania</w:t>
      </w:r>
      <w:r w:rsidRPr="009E064B">
        <w:rPr>
          <w:rFonts w:cs="TimesNewRomanPS-BoldItalicMT"/>
          <w:b/>
          <w:bCs/>
          <w:iCs/>
          <w:szCs w:val="20"/>
        </w:rPr>
        <w:t xml:space="preserve"> </w:t>
      </w:r>
      <w:r w:rsidRPr="009E064B">
        <w:rPr>
          <w:rFonts w:cs="TimesNewRomanPS-ItalicMT"/>
          <w:iCs/>
          <w:szCs w:val="20"/>
        </w:rPr>
        <w:t>(LDA).</w:t>
      </w:r>
    </w:p>
    <w:p w14:paraId="4BF3FD5A" w14:textId="2B2F3555" w:rsidR="00C36D76" w:rsidRPr="009E064B" w:rsidRDefault="00C36D76" w:rsidP="00B06A9A">
      <w:pPr>
        <w:tabs>
          <w:tab w:val="left" w:pos="567"/>
        </w:tabs>
        <w:spacing w:after="0"/>
        <w:ind w:left="567" w:hanging="567"/>
        <w:rPr>
          <w:szCs w:val="20"/>
        </w:rPr>
      </w:pPr>
      <w:r w:rsidRPr="009E064B">
        <w:rPr>
          <w:rFonts w:cs="Times New Roman"/>
          <w:szCs w:val="20"/>
        </w:rPr>
        <w:t xml:space="preserve">(c) </w:t>
      </w:r>
      <w:r w:rsidRPr="009E064B">
        <w:rPr>
          <w:rFonts w:cs="Times New Roman"/>
          <w:szCs w:val="20"/>
        </w:rPr>
        <w:tab/>
      </w:r>
      <w:r w:rsidRPr="009E064B">
        <w:rPr>
          <w:szCs w:val="20"/>
        </w:rPr>
        <w:t xml:space="preserve">Długość drogi startowej mierzona jest od początku nawierzchni </w:t>
      </w:r>
      <w:r w:rsidR="00DF1AC2" w:rsidRPr="009E064B">
        <w:rPr>
          <w:szCs w:val="20"/>
        </w:rPr>
        <w:t>sztucznej drogi startowej lub w </w:t>
      </w:r>
      <w:r w:rsidRPr="009E064B">
        <w:rPr>
          <w:szCs w:val="20"/>
        </w:rPr>
        <w:t>przypadku oznaczenia linii poprzecznej dla przesuniętego progu, od wewnętrznej krawędzi linii poprzecznej biegnącej w poprzek drogi startowej.</w:t>
      </w:r>
    </w:p>
    <w:p w14:paraId="6A4B5483" w14:textId="77777777"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6F6183A" w14:textId="74740B77" w:rsidR="001A44D6" w:rsidRPr="009E064B" w:rsidRDefault="00786A40" w:rsidP="00133B99">
      <w:pPr>
        <w:pStyle w:val="Nagwek6"/>
      </w:pPr>
      <w:bookmarkStart w:id="811" w:name="_GM1_ADR-DSN.B.035_"/>
      <w:bookmarkStart w:id="812" w:name="_Toc401058891"/>
      <w:bookmarkStart w:id="813" w:name="_Toc482886760"/>
      <w:bookmarkStart w:id="814" w:name="_Toc12532922"/>
      <w:bookmarkStart w:id="815" w:name="_Toc482886537"/>
      <w:bookmarkEnd w:id="811"/>
      <w:r w:rsidRPr="009E064B">
        <w:t xml:space="preserve">GM1 ADR-DSN.B.035     </w:t>
      </w:r>
      <w:r w:rsidR="001A44D6" w:rsidRPr="009E064B">
        <w:t>Długość drogi startowej oraz długości</w:t>
      </w:r>
      <w:bookmarkEnd w:id="812"/>
      <w:r w:rsidR="001A44D6" w:rsidRPr="009E064B">
        <w:t xml:space="preserve"> deklarowane</w:t>
      </w:r>
      <w:bookmarkEnd w:id="813"/>
      <w:bookmarkEnd w:id="814"/>
    </w:p>
    <w:p w14:paraId="0A0C65D4" w14:textId="7A0E1A81"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18AB3A0E" w14:textId="77777777"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Długość drogi startowej:</w:t>
      </w:r>
    </w:p>
    <w:p w14:paraId="7BDEDBDC" w14:textId="77777777"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Niniejsza specyfikacja nie koniecznie oznacza, że droga startowa będzie eksploatowana przez samolot krytyczny o maksymalnym ciężarze.</w:t>
      </w:r>
    </w:p>
    <w:p w14:paraId="2FA590A4" w14:textId="77777777"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Przy ustalaniu długości drogi startowej należy brać pod uwagę wymagania operacji startu i lądowania oraz należy uwzględnić konieczność wykonywania operacji lotniczych w obu kierunkach drogi startowej.</w:t>
      </w:r>
    </w:p>
    <w:p w14:paraId="7DAAB805" w14:textId="77777777"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Italic" w:cs="Times New Roman,Italic"/>
          <w:iCs/>
          <w:szCs w:val="20"/>
        </w:rPr>
        <w:t>Warunki lokalne, które powinny być wzięte pod uwagę, obejmują wysokość lotniska, temperaturę powietrza, nachylenie drogi startowej, wilgotność i charakterystyki nawierzchni drogi startowej.</w:t>
      </w:r>
    </w:p>
    <w:p w14:paraId="19628CDB" w14:textId="7009FD12" w:rsidR="001A44D6" w:rsidRPr="009E064B" w:rsidRDefault="001A44D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Times New Roman,Italic" w:cs="Times New Roman,Italic"/>
          <w:iCs/>
          <w:szCs w:val="20"/>
        </w:rPr>
        <w:t>Jeżeli nie dysponuje się danymi osiągów statków powietrznych, dla których przeznaczona jest droga startowa, to wytyczne dotyczące wyznaczania rzeczywistej długości głównej drogi startowej przy stosowaniu ogólnych współczynnik</w:t>
      </w:r>
      <w:r w:rsidR="00280FF7" w:rsidRPr="009E064B">
        <w:rPr>
          <w:rFonts w:eastAsia="Times New Roman,Italic" w:cs="Times New Roman,Italic"/>
          <w:iCs/>
          <w:szCs w:val="20"/>
        </w:rPr>
        <w:t>ów poprawkowych, znajdują się w </w:t>
      </w:r>
      <w:r w:rsidRPr="009E064B">
        <w:rPr>
          <w:rFonts w:eastAsia="Times New Roman,Italic" w:cs="Times New Roman,Italic"/>
          <w:iCs/>
          <w:szCs w:val="20"/>
        </w:rPr>
        <w:t>„</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1 „</w:t>
      </w:r>
      <w:r w:rsidRPr="009E064B">
        <w:rPr>
          <w:rFonts w:eastAsia="Times New Roman,Italic" w:cs="Times New Roman,Italic"/>
          <w:i/>
          <w:iCs/>
          <w:szCs w:val="20"/>
        </w:rPr>
        <w:t>Drogi startowe</w:t>
      </w:r>
      <w:r w:rsidRPr="009E064B">
        <w:rPr>
          <w:rFonts w:eastAsia="Times New Roman,Italic" w:cs="Times New Roman,Italic"/>
          <w:iCs/>
          <w:szCs w:val="20"/>
        </w:rPr>
        <w:t>”.</w:t>
      </w:r>
    </w:p>
    <w:p w14:paraId="4A3E8B2F" w14:textId="77777777" w:rsidR="00DC6B53" w:rsidRPr="009E064B" w:rsidRDefault="00DC6B53" w:rsidP="009D084D">
      <w:pPr>
        <w:tabs>
          <w:tab w:val="left" w:pos="1134"/>
        </w:tabs>
        <w:autoSpaceDE w:val="0"/>
        <w:autoSpaceDN w:val="0"/>
        <w:adjustRightInd w:val="0"/>
        <w:spacing w:after="0"/>
        <w:ind w:left="1134" w:hanging="567"/>
        <w:rPr>
          <w:rFonts w:eastAsia="Times New Roman,Italic" w:cs="Times New Roman,Italic"/>
          <w:iCs/>
          <w:szCs w:val="20"/>
        </w:rPr>
      </w:pPr>
    </w:p>
    <w:p w14:paraId="551F416A" w14:textId="77777777" w:rsidR="001A44D6" w:rsidRPr="009E064B" w:rsidRDefault="001A44D6" w:rsidP="00DC6B53">
      <w:pPr>
        <w:autoSpaceDE w:val="0"/>
        <w:autoSpaceDN w:val="0"/>
        <w:adjustRightInd w:val="0"/>
        <w:jc w:val="center"/>
        <w:rPr>
          <w:szCs w:val="20"/>
        </w:rPr>
      </w:pPr>
      <w:r w:rsidRPr="009E064B">
        <w:rPr>
          <w:noProof/>
          <w:szCs w:val="20"/>
          <w:lang w:eastAsia="pl-PL"/>
        </w:rPr>
        <w:drawing>
          <wp:inline distT="0" distB="0" distL="0" distR="0" wp14:anchorId="7558B7AF" wp14:editId="5168488A">
            <wp:extent cx="5715000" cy="7361791"/>
            <wp:effectExtent l="0" t="0" r="0" b="0"/>
            <wp:docPr id="232" name="Obraz 99" descr="ATT A-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9" descr="ATT A-4m"/>
                    <pic:cNvPicPr>
                      <a:picLocks noChangeAspect="1" noChangeArrowheads="1"/>
                    </pic:cNvPicPr>
                  </pic:nvPicPr>
                  <pic:blipFill>
                    <a:blip r:embed="rId110" cstate="print"/>
                    <a:srcRect/>
                    <a:stretch>
                      <a:fillRect/>
                    </a:stretch>
                  </pic:blipFill>
                  <pic:spPr bwMode="auto">
                    <a:xfrm>
                      <a:off x="0" y="0"/>
                      <a:ext cx="5721451" cy="7370101"/>
                    </a:xfrm>
                    <a:prstGeom prst="rect">
                      <a:avLst/>
                    </a:prstGeom>
                    <a:noFill/>
                    <a:ln w="9525">
                      <a:noFill/>
                      <a:miter lim="800000"/>
                      <a:headEnd/>
                      <a:tailEnd/>
                    </a:ln>
                  </pic:spPr>
                </pic:pic>
              </a:graphicData>
            </a:graphic>
          </wp:inline>
        </w:drawing>
      </w:r>
    </w:p>
    <w:p w14:paraId="2B1D73F3" w14:textId="2E30A27D" w:rsidR="001A44D6" w:rsidRPr="005D070C" w:rsidRDefault="001A44D6" w:rsidP="00DC6B53">
      <w:pPr>
        <w:spacing w:before="120"/>
        <w:jc w:val="center"/>
        <w:rPr>
          <w:b/>
        </w:rPr>
      </w:pPr>
      <w:r w:rsidRPr="005D070C">
        <w:rPr>
          <w:b/>
          <w:sz w:val="20"/>
        </w:rPr>
        <w:t xml:space="preserve">Rysunek GM-B-1. </w:t>
      </w:r>
      <w:r w:rsidR="005D070C">
        <w:rPr>
          <w:b/>
          <w:sz w:val="20"/>
        </w:rPr>
        <w:t xml:space="preserve">  </w:t>
      </w:r>
      <w:r w:rsidRPr="005D070C">
        <w:rPr>
          <w:b/>
          <w:sz w:val="20"/>
        </w:rPr>
        <w:t>Ilustracja długości deklarowanych</w:t>
      </w:r>
    </w:p>
    <w:p w14:paraId="71FA842A" w14:textId="6F745D38" w:rsidR="00C206FA" w:rsidRPr="009E064B" w:rsidRDefault="00C206FA">
      <w:pPr>
        <w:spacing w:after="0"/>
        <w:jc w:val="left"/>
      </w:pPr>
    </w:p>
    <w:p w14:paraId="1D4E34C6" w14:textId="046D1663" w:rsidR="00C206FA" w:rsidRPr="009E064B" w:rsidRDefault="00C206FA" w:rsidP="000A32AB">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Times New Roman,Italic" w:cs="Times New Roman,Italic"/>
          <w:iCs/>
          <w:szCs w:val="20"/>
        </w:rPr>
        <w:t xml:space="preserve">Z wyjątkiem zapisów zawartych w </w:t>
      </w:r>
      <w:hyperlink w:anchor="_GM1_ADR-DSN.B.040_" w:history="1">
        <w:r w:rsidRPr="009E064B">
          <w:rPr>
            <w:rStyle w:val="Hipercze"/>
            <w:rFonts w:eastAsia="Times New Roman,Italic" w:cs="Times New Roman,Italic"/>
            <w:iCs/>
            <w:szCs w:val="20"/>
          </w:rPr>
          <w:t>GM1 ADR-DSN.B.040</w:t>
        </w:r>
      </w:hyperlink>
      <w:r w:rsidRPr="009E064B">
        <w:rPr>
          <w:rFonts w:eastAsia="Times New Roman,Italic" w:cs="Times New Roman,Italic"/>
          <w:iCs/>
          <w:szCs w:val="20"/>
        </w:rPr>
        <w:t>, rzeczywista długość głównej drogi startowej powinna być wystarczająca, aby spełnić wymagania operacyjne samolotów, dla których dana droga startowa jest przeznaczona. Długość ta nie powinna być mniejsza od najkrótszej długości otrzymanej przez zastosowanie poprawki na operacje wykonywane w warunkach lokalnych oraz charakterystyki osiągów odpowiednich samolotów.</w:t>
      </w:r>
    </w:p>
    <w:p w14:paraId="23F5EF18" w14:textId="2FE22912" w:rsidR="00C36D76" w:rsidRPr="009E064B" w:rsidRDefault="00786A40" w:rsidP="008D30F4">
      <w:pPr>
        <w:pStyle w:val="Nagwek4"/>
      </w:pPr>
      <w:bookmarkStart w:id="816" w:name="_Toc12532923"/>
      <w:r w:rsidRPr="009E064B">
        <w:t xml:space="preserve">CS ADR-DSN.B.040      </w:t>
      </w:r>
      <w:r w:rsidR="00C36D76" w:rsidRPr="009E064B">
        <w:t>Drogi startowe z zabezpieczeniem przerwanego startu lub zabezpieczeniem wydłużonego startu</w:t>
      </w:r>
      <w:bookmarkEnd w:id="815"/>
      <w:bookmarkEnd w:id="816"/>
    </w:p>
    <w:p w14:paraId="0B5BBEB5" w14:textId="41835606" w:rsidR="001F134F" w:rsidRPr="009E064B" w:rsidRDefault="001F74A1" w:rsidP="000A32AB">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CE23FF1" w14:textId="571DC8B7" w:rsidR="00C36D76" w:rsidRPr="009E064B" w:rsidRDefault="00C36D76" w:rsidP="000A32AB">
      <w:pPr>
        <w:spacing w:after="0"/>
        <w:rPr>
          <w:szCs w:val="20"/>
        </w:rPr>
      </w:pPr>
      <w:r w:rsidRPr="009E064B">
        <w:rPr>
          <w:szCs w:val="20"/>
        </w:rPr>
        <w:t>Długość zabezpieczenia przerwanego startu lub zabezpieczenia wydłużonego startu, jeżeli jest zapewniane, powinna być odpowiednia, aby spełniać wymagania operacyjne statków powietrznych, do obsługi których przeznaczona jest droga startowa.</w:t>
      </w:r>
    </w:p>
    <w:p w14:paraId="52E321BB" w14:textId="4DCCE133" w:rsidR="008D30F4" w:rsidRPr="009E064B" w:rsidRDefault="008D30F4" w:rsidP="00133B99">
      <w:pPr>
        <w:pStyle w:val="Nagwek6"/>
      </w:pPr>
      <w:bookmarkStart w:id="817" w:name="_GM1_ADR-DSN.B.040_"/>
      <w:bookmarkStart w:id="818" w:name="_Toc401058892"/>
      <w:bookmarkStart w:id="819" w:name="_Toc482886761"/>
      <w:bookmarkStart w:id="820" w:name="_Toc12532924"/>
      <w:bookmarkStart w:id="821" w:name="_Toc482886538"/>
      <w:bookmarkEnd w:id="817"/>
      <w:r w:rsidRPr="009E064B">
        <w:t xml:space="preserve">GM1 ADR-DSN.B.040     Drogi startowe z zabezpieczeniem przerwanego startu lub </w:t>
      </w:r>
      <w:r w:rsidR="002667FC" w:rsidRPr="009E064B">
        <w:br/>
        <w:t xml:space="preserve">    </w:t>
      </w:r>
      <w:r w:rsidRPr="009E064B">
        <w:t>zabezpieczeniem wydłużonego startu</w:t>
      </w:r>
      <w:bookmarkEnd w:id="818"/>
      <w:bookmarkEnd w:id="819"/>
      <w:bookmarkEnd w:id="820"/>
    </w:p>
    <w:p w14:paraId="66E890C7" w14:textId="6958D361" w:rsidR="001F134F" w:rsidRPr="009E064B" w:rsidRDefault="001F74A1" w:rsidP="000A32AB">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0E71D057" w14:textId="066EAF6E" w:rsidR="001A44D6" w:rsidRPr="009E064B" w:rsidRDefault="001A44D6" w:rsidP="000A32AB">
      <w:pPr>
        <w:autoSpaceDE w:val="0"/>
        <w:autoSpaceDN w:val="0"/>
        <w:adjustRightInd w:val="0"/>
        <w:rPr>
          <w:rFonts w:eastAsia="Times New Roman,Italic" w:cs="Times New Roman,Italic"/>
          <w:iCs/>
          <w:szCs w:val="20"/>
        </w:rPr>
      </w:pPr>
      <w:r w:rsidRPr="009E064B">
        <w:rPr>
          <w:rFonts w:eastAsia="Times New Roman,Italic" w:cs="Times New Roman,Italic"/>
          <w:iCs/>
          <w:szCs w:val="20"/>
        </w:rPr>
        <w:t>Jeżeli droga startowa jest połączona z zabezpieczeniem przerwanego startu lub z zabezpieczeniem wydłużonego startu, rzeczywista długość drogi startowej mnie</w:t>
      </w:r>
      <w:r w:rsidR="008D30F4" w:rsidRPr="009E064B">
        <w:rPr>
          <w:rFonts w:eastAsia="Times New Roman,Italic" w:cs="Times New Roman,Italic"/>
          <w:iCs/>
          <w:szCs w:val="20"/>
        </w:rPr>
        <w:t xml:space="preserve">jsza niż długość, jaka wynika z </w:t>
      </w:r>
      <w:r w:rsidRPr="009E064B">
        <w:rPr>
          <w:rFonts w:eastAsia="Times New Roman,Italic" w:cs="Times New Roman,Italic"/>
          <w:iCs/>
          <w:szCs w:val="20"/>
        </w:rPr>
        <w:t xml:space="preserve">zapisów zawartych </w:t>
      </w:r>
      <w:r w:rsidR="009D084D" w:rsidRPr="009E064B">
        <w:rPr>
          <w:rFonts w:eastAsia="Times New Roman,Italic" w:cs="Times New Roman,Italic"/>
          <w:iCs/>
          <w:szCs w:val="20"/>
        </w:rPr>
        <w:t>w</w:t>
      </w:r>
      <w:r w:rsidRPr="009E064B">
        <w:rPr>
          <w:rFonts w:eastAsia="Times New Roman,Italic" w:cs="Times New Roman,Italic"/>
          <w:iCs/>
          <w:szCs w:val="20"/>
        </w:rPr>
        <w:t xml:space="preserve"> </w:t>
      </w:r>
      <w:hyperlink w:anchor="_GM1_ADR-DSN.B.035_" w:history="1">
        <w:r w:rsidRPr="009E064B">
          <w:rPr>
            <w:rStyle w:val="Hipercze"/>
            <w:rFonts w:eastAsia="Times New Roman,Italic" w:cs="Times New Roman,Italic"/>
            <w:iCs/>
            <w:szCs w:val="20"/>
          </w:rPr>
          <w:t>GM1 ADR-DSN.B.035</w:t>
        </w:r>
      </w:hyperlink>
      <w:r w:rsidRPr="009E064B">
        <w:rPr>
          <w:rFonts w:eastAsia="Times New Roman,Italic" w:cs="Times New Roman,Italic"/>
          <w:iCs/>
          <w:szCs w:val="20"/>
        </w:rPr>
        <w:t>, może być uznana za wystarczającą, ale w</w:t>
      </w:r>
      <w:r w:rsidR="008D30F4" w:rsidRPr="009E064B">
        <w:rPr>
          <w:rFonts w:eastAsia="Times New Roman,Italic" w:cs="Times New Roman,Italic"/>
          <w:iCs/>
          <w:szCs w:val="20"/>
        </w:rPr>
        <w:t xml:space="preserve"> </w:t>
      </w:r>
      <w:r w:rsidRPr="009E064B">
        <w:rPr>
          <w:rFonts w:eastAsia="Times New Roman,Italic" w:cs="Times New Roman,Italic"/>
          <w:iCs/>
          <w:szCs w:val="20"/>
        </w:rPr>
        <w:t>takim przypadku każda kombinacja: droga startowa − zabezpieczanie przerwanego startu lub zabezpieczenie wydłużonego startu, powinna pozwalać na dostosowanie się do</w:t>
      </w:r>
      <w:r w:rsidR="006F2149" w:rsidRPr="009E064B">
        <w:rPr>
          <w:rFonts w:eastAsia="Times New Roman,Italic" w:cs="Times New Roman,Italic"/>
          <w:iCs/>
          <w:szCs w:val="20"/>
        </w:rPr>
        <w:t xml:space="preserve"> wymagań operacyjnych startów i </w:t>
      </w:r>
      <w:r w:rsidRPr="009E064B">
        <w:rPr>
          <w:rFonts w:eastAsia="Times New Roman,Italic" w:cs="Times New Roman,Italic"/>
          <w:iCs/>
          <w:szCs w:val="20"/>
        </w:rPr>
        <w:t>lądowań tych samolotów, dla których ta droga jest przeznaczona.</w:t>
      </w:r>
    </w:p>
    <w:p w14:paraId="3F524883" w14:textId="77777777"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2B4AF31" w14:textId="3992F9CE" w:rsidR="00C36D76" w:rsidRPr="009E064B" w:rsidRDefault="00C36D76" w:rsidP="008D30F4">
      <w:pPr>
        <w:pStyle w:val="Nagwek4"/>
      </w:pPr>
      <w:bookmarkStart w:id="822" w:name="_Toc12532925"/>
      <w:r w:rsidRPr="009E064B">
        <w:t>CS A</w:t>
      </w:r>
      <w:r w:rsidR="00786A40" w:rsidRPr="009E064B">
        <w:t xml:space="preserve">DR-DSN.B.045     </w:t>
      </w:r>
      <w:r w:rsidRPr="009E064B">
        <w:t>Szerokość dróg startowych</w:t>
      </w:r>
      <w:bookmarkEnd w:id="821"/>
      <w:bookmarkEnd w:id="822"/>
    </w:p>
    <w:p w14:paraId="22FE60BE" w14:textId="77BA483A" w:rsidR="001F134F" w:rsidRPr="009E064B" w:rsidRDefault="001F74A1" w:rsidP="000A32AB">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78B1D053" w14:textId="679EC413" w:rsidR="00C36D76" w:rsidRPr="009E064B" w:rsidRDefault="00C36D76" w:rsidP="000A32AB">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Szerokość drogi startowej nie powinna być mniejsza od wymiarów podanych w Tabeli B-1.</w:t>
      </w:r>
    </w:p>
    <w:p w14:paraId="58920513" w14:textId="77777777" w:rsidR="00C36D76" w:rsidRPr="000412BF" w:rsidRDefault="00C36D76" w:rsidP="000A32AB">
      <w:pPr>
        <w:spacing w:after="0"/>
        <w:rPr>
          <w:szCs w:val="20"/>
        </w:rPr>
      </w:pPr>
    </w:p>
    <w:tbl>
      <w:tblPr>
        <w:tblW w:w="46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163"/>
        <w:gridCol w:w="1866"/>
        <w:gridCol w:w="1867"/>
        <w:gridCol w:w="1866"/>
        <w:gridCol w:w="1867"/>
      </w:tblGrid>
      <w:tr w:rsidR="00C1609D" w:rsidRPr="000412BF" w14:paraId="62A157A5" w14:textId="77777777" w:rsidTr="00B969F8">
        <w:trPr>
          <w:jc w:val="right"/>
        </w:trPr>
        <w:tc>
          <w:tcPr>
            <w:tcW w:w="674" w:type="pct"/>
            <w:vMerge w:val="restart"/>
            <w:tcMar>
              <w:top w:w="85" w:type="dxa"/>
              <w:left w:w="57" w:type="dxa"/>
              <w:bottom w:w="85" w:type="dxa"/>
              <w:right w:w="57" w:type="dxa"/>
            </w:tcMar>
            <w:vAlign w:val="center"/>
          </w:tcPr>
          <w:p w14:paraId="63C8FDE0" w14:textId="29AB62D0" w:rsidR="001C6710" w:rsidRPr="000412BF" w:rsidRDefault="001C6710" w:rsidP="00B969F8">
            <w:pPr>
              <w:spacing w:after="0"/>
              <w:jc w:val="center"/>
              <w:rPr>
                <w:b/>
              </w:rPr>
            </w:pPr>
            <w:r w:rsidRPr="000412BF">
              <w:rPr>
                <w:b/>
              </w:rPr>
              <w:t xml:space="preserve">Cyfra </w:t>
            </w:r>
            <w:r w:rsidR="00B969F8" w:rsidRPr="000412BF">
              <w:rPr>
                <w:b/>
              </w:rPr>
              <w:br/>
            </w:r>
            <w:r w:rsidRPr="000412BF">
              <w:rPr>
                <w:b/>
              </w:rPr>
              <w:t>kodu</w:t>
            </w:r>
          </w:p>
        </w:tc>
        <w:tc>
          <w:tcPr>
            <w:tcW w:w="4326" w:type="pct"/>
            <w:gridSpan w:val="4"/>
            <w:tcMar>
              <w:top w:w="85" w:type="dxa"/>
              <w:left w:w="57" w:type="dxa"/>
              <w:bottom w:w="85" w:type="dxa"/>
              <w:right w:w="57" w:type="dxa"/>
            </w:tcMar>
            <w:vAlign w:val="center"/>
          </w:tcPr>
          <w:p w14:paraId="30C076FB" w14:textId="7F81821C" w:rsidR="001C6710" w:rsidRPr="000412BF" w:rsidRDefault="001C6710" w:rsidP="000D78F5">
            <w:pPr>
              <w:spacing w:after="0"/>
              <w:jc w:val="center"/>
              <w:rPr>
                <w:b/>
              </w:rPr>
            </w:pPr>
            <w:r w:rsidRPr="000412BF">
              <w:rPr>
                <w:b/>
                <w:szCs w:val="18"/>
              </w:rPr>
              <w:t xml:space="preserve">Całkowity rozstaw zewnętrznych </w:t>
            </w:r>
            <w:r w:rsidR="00FB199F" w:rsidRPr="000412BF">
              <w:rPr>
                <w:b/>
                <w:szCs w:val="18"/>
              </w:rPr>
              <w:t xml:space="preserve">kół </w:t>
            </w:r>
            <w:r w:rsidRPr="000412BF">
              <w:rPr>
                <w:b/>
                <w:szCs w:val="18"/>
              </w:rPr>
              <w:t>podwozia głównego (OMGWS)</w:t>
            </w:r>
          </w:p>
        </w:tc>
      </w:tr>
      <w:tr w:rsidR="00B969F8" w:rsidRPr="000412BF" w14:paraId="161EC742" w14:textId="77777777" w:rsidTr="00B969F8">
        <w:trPr>
          <w:jc w:val="right"/>
        </w:trPr>
        <w:tc>
          <w:tcPr>
            <w:tcW w:w="674" w:type="pct"/>
            <w:vMerge/>
            <w:tcMar>
              <w:top w:w="85" w:type="dxa"/>
              <w:left w:w="57" w:type="dxa"/>
              <w:bottom w:w="85" w:type="dxa"/>
              <w:right w:w="57" w:type="dxa"/>
            </w:tcMar>
            <w:vAlign w:val="center"/>
          </w:tcPr>
          <w:p w14:paraId="62AC3453" w14:textId="77777777" w:rsidR="001C6710" w:rsidRPr="000412BF" w:rsidRDefault="001C6710" w:rsidP="00334D65">
            <w:pPr>
              <w:spacing w:after="0"/>
              <w:ind w:right="43"/>
              <w:jc w:val="center"/>
            </w:pPr>
          </w:p>
        </w:tc>
        <w:tc>
          <w:tcPr>
            <w:tcW w:w="1081" w:type="pct"/>
            <w:tcMar>
              <w:top w:w="85" w:type="dxa"/>
              <w:left w:w="57" w:type="dxa"/>
              <w:bottom w:w="85" w:type="dxa"/>
              <w:right w:w="57" w:type="dxa"/>
            </w:tcMar>
            <w:vAlign w:val="center"/>
          </w:tcPr>
          <w:p w14:paraId="036036C3" w14:textId="77777777" w:rsidR="001C6710" w:rsidRPr="000412BF" w:rsidRDefault="001C6710" w:rsidP="00334D65">
            <w:pPr>
              <w:spacing w:after="0" w:line="276" w:lineRule="auto"/>
              <w:jc w:val="center"/>
              <w:rPr>
                <w:szCs w:val="18"/>
              </w:rPr>
            </w:pPr>
            <w:r w:rsidRPr="000412BF">
              <w:rPr>
                <w:szCs w:val="18"/>
              </w:rPr>
              <w:t xml:space="preserve">do </w:t>
            </w:r>
            <w:smartTag w:uri="urn:schemas-microsoft-com:office:smarttags" w:element="metricconverter">
              <w:smartTagPr>
                <w:attr w:name="ProductID" w:val="4.5 m"/>
              </w:smartTagPr>
              <w:r w:rsidRPr="000412BF">
                <w:rPr>
                  <w:szCs w:val="18"/>
                </w:rPr>
                <w:t>4.5 m</w:t>
              </w:r>
            </w:smartTag>
          </w:p>
          <w:p w14:paraId="1D218BD1" w14:textId="77777777" w:rsidR="001C6710" w:rsidRPr="000412BF" w:rsidRDefault="001C6710" w:rsidP="00C1609D">
            <w:pPr>
              <w:spacing w:after="0"/>
              <w:ind w:left="-58" w:right="-55"/>
              <w:jc w:val="center"/>
              <w:rPr>
                <w:b/>
              </w:rPr>
            </w:pPr>
            <w:r w:rsidRPr="000412BF">
              <w:rPr>
                <w:szCs w:val="18"/>
              </w:rPr>
              <w:t xml:space="preserve">(bez wartości </w:t>
            </w:r>
            <w:smartTag w:uri="urn:schemas-microsoft-com:office:smarttags" w:element="metricconverter">
              <w:smartTagPr>
                <w:attr w:name="ProductID" w:val="4.5 m"/>
              </w:smartTagPr>
              <w:r w:rsidRPr="000412BF">
                <w:rPr>
                  <w:szCs w:val="18"/>
                </w:rPr>
                <w:t>4.5 m</w:t>
              </w:r>
            </w:smartTag>
            <w:r w:rsidRPr="000412BF">
              <w:rPr>
                <w:szCs w:val="18"/>
              </w:rPr>
              <w:t>)</w:t>
            </w:r>
          </w:p>
        </w:tc>
        <w:tc>
          <w:tcPr>
            <w:tcW w:w="1082" w:type="pct"/>
            <w:tcMar>
              <w:top w:w="85" w:type="dxa"/>
              <w:left w:w="57" w:type="dxa"/>
              <w:bottom w:w="85" w:type="dxa"/>
              <w:right w:w="57" w:type="dxa"/>
            </w:tcMar>
            <w:vAlign w:val="center"/>
          </w:tcPr>
          <w:p w14:paraId="2AFD9483" w14:textId="77777777" w:rsidR="001C6710" w:rsidRPr="000412BF" w:rsidRDefault="001C6710" w:rsidP="00334D65">
            <w:pPr>
              <w:spacing w:after="0" w:line="276" w:lineRule="auto"/>
              <w:jc w:val="center"/>
              <w:rPr>
                <w:szCs w:val="18"/>
              </w:rPr>
            </w:pPr>
            <w:r w:rsidRPr="000412BF">
              <w:rPr>
                <w:szCs w:val="18"/>
              </w:rPr>
              <w:t xml:space="preserve">od </w:t>
            </w:r>
            <w:smartTag w:uri="urn:schemas-microsoft-com:office:smarttags" w:element="metricconverter">
              <w:smartTagPr>
                <w:attr w:name="ProductID" w:val="4.5 m"/>
              </w:smartTagPr>
              <w:r w:rsidRPr="000412BF">
                <w:rPr>
                  <w:szCs w:val="18"/>
                </w:rPr>
                <w:t>4.5 m</w:t>
              </w:r>
            </w:smartTag>
            <w:r w:rsidRPr="000412BF">
              <w:rPr>
                <w:szCs w:val="18"/>
              </w:rPr>
              <w:t xml:space="preserve"> do </w:t>
            </w:r>
            <w:smartTag w:uri="urn:schemas-microsoft-com:office:smarttags" w:element="metricconverter">
              <w:smartTagPr>
                <w:attr w:name="ProductID" w:val="6 m"/>
              </w:smartTagPr>
              <w:r w:rsidRPr="000412BF">
                <w:rPr>
                  <w:szCs w:val="18"/>
                </w:rPr>
                <w:t>6 m</w:t>
              </w:r>
            </w:smartTag>
          </w:p>
          <w:p w14:paraId="5D373949" w14:textId="77777777" w:rsidR="001C6710" w:rsidRPr="000412BF" w:rsidRDefault="001C6710" w:rsidP="00334D65">
            <w:pPr>
              <w:spacing w:after="0"/>
              <w:jc w:val="center"/>
              <w:rPr>
                <w:b/>
              </w:rPr>
            </w:pPr>
            <w:r w:rsidRPr="000412BF">
              <w:rPr>
                <w:szCs w:val="18"/>
              </w:rPr>
              <w:t xml:space="preserve">(bez wartości </w:t>
            </w:r>
            <w:smartTag w:uri="urn:schemas-microsoft-com:office:smarttags" w:element="metricconverter">
              <w:smartTagPr>
                <w:attr w:name="ProductID" w:val="6 m"/>
              </w:smartTagPr>
              <w:r w:rsidRPr="000412BF">
                <w:rPr>
                  <w:szCs w:val="18"/>
                </w:rPr>
                <w:t>6 m)</w:t>
              </w:r>
            </w:smartTag>
          </w:p>
        </w:tc>
        <w:tc>
          <w:tcPr>
            <w:tcW w:w="1081" w:type="pct"/>
            <w:tcMar>
              <w:top w:w="85" w:type="dxa"/>
              <w:left w:w="57" w:type="dxa"/>
              <w:bottom w:w="85" w:type="dxa"/>
              <w:right w:w="57" w:type="dxa"/>
            </w:tcMar>
            <w:vAlign w:val="center"/>
          </w:tcPr>
          <w:p w14:paraId="2A9D7B3D" w14:textId="77777777" w:rsidR="001C6710" w:rsidRPr="000412BF" w:rsidRDefault="001C6710" w:rsidP="00334D65">
            <w:pPr>
              <w:spacing w:after="0" w:line="276" w:lineRule="auto"/>
              <w:jc w:val="center"/>
              <w:rPr>
                <w:szCs w:val="18"/>
              </w:rPr>
            </w:pPr>
            <w:r w:rsidRPr="000412BF">
              <w:rPr>
                <w:szCs w:val="18"/>
              </w:rPr>
              <w:t xml:space="preserve">od </w:t>
            </w:r>
            <w:smartTag w:uri="urn:schemas-microsoft-com:office:smarttags" w:element="metricconverter">
              <w:smartTagPr>
                <w:attr w:name="ProductID" w:val="6 m"/>
              </w:smartTagPr>
              <w:r w:rsidRPr="000412BF">
                <w:rPr>
                  <w:szCs w:val="18"/>
                </w:rPr>
                <w:t>6 m</w:t>
              </w:r>
            </w:smartTag>
            <w:r w:rsidRPr="000412BF">
              <w:rPr>
                <w:szCs w:val="18"/>
              </w:rPr>
              <w:t xml:space="preserve"> do </w:t>
            </w:r>
            <w:smartTag w:uri="urn:schemas-microsoft-com:office:smarttags" w:element="metricconverter">
              <w:smartTagPr>
                <w:attr w:name="ProductID" w:val="9 m"/>
              </w:smartTagPr>
              <w:r w:rsidRPr="000412BF">
                <w:rPr>
                  <w:szCs w:val="18"/>
                </w:rPr>
                <w:t>9 m</w:t>
              </w:r>
            </w:smartTag>
          </w:p>
          <w:p w14:paraId="768DA534" w14:textId="77777777" w:rsidR="001C6710" w:rsidRPr="000412BF" w:rsidRDefault="001C6710" w:rsidP="00334D65">
            <w:pPr>
              <w:spacing w:after="0"/>
              <w:jc w:val="center"/>
              <w:rPr>
                <w:b/>
              </w:rPr>
            </w:pPr>
            <w:r w:rsidRPr="000412BF">
              <w:rPr>
                <w:szCs w:val="18"/>
              </w:rPr>
              <w:t xml:space="preserve">(bez wartości </w:t>
            </w:r>
            <w:smartTag w:uri="urn:schemas-microsoft-com:office:smarttags" w:element="metricconverter">
              <w:smartTagPr>
                <w:attr w:name="ProductID" w:val="9 m"/>
              </w:smartTagPr>
              <w:r w:rsidRPr="000412BF">
                <w:rPr>
                  <w:szCs w:val="18"/>
                </w:rPr>
                <w:t>9 m</w:t>
              </w:r>
            </w:smartTag>
            <w:r w:rsidRPr="000412BF">
              <w:rPr>
                <w:szCs w:val="18"/>
              </w:rPr>
              <w:t>)</w:t>
            </w:r>
          </w:p>
        </w:tc>
        <w:tc>
          <w:tcPr>
            <w:tcW w:w="1082" w:type="pct"/>
            <w:tcMar>
              <w:top w:w="85" w:type="dxa"/>
              <w:left w:w="57" w:type="dxa"/>
              <w:bottom w:w="85" w:type="dxa"/>
              <w:right w:w="57" w:type="dxa"/>
            </w:tcMar>
            <w:vAlign w:val="center"/>
          </w:tcPr>
          <w:p w14:paraId="3307B81F" w14:textId="298DBF65" w:rsidR="001C6710" w:rsidRPr="000412BF" w:rsidRDefault="001C6710" w:rsidP="00334D65">
            <w:pPr>
              <w:spacing w:after="0" w:line="276" w:lineRule="auto"/>
              <w:jc w:val="center"/>
              <w:rPr>
                <w:szCs w:val="18"/>
              </w:rPr>
            </w:pPr>
            <w:r w:rsidRPr="000412BF">
              <w:rPr>
                <w:szCs w:val="18"/>
              </w:rPr>
              <w:t xml:space="preserve">od </w:t>
            </w:r>
            <w:smartTag w:uri="urn:schemas-microsoft-com:office:smarttags" w:element="metricconverter">
              <w:smartTagPr>
                <w:attr w:name="ProductID" w:val="9 m"/>
              </w:smartTagPr>
              <w:r w:rsidRPr="000412BF">
                <w:rPr>
                  <w:szCs w:val="18"/>
                </w:rPr>
                <w:t>9 m</w:t>
              </w:r>
            </w:smartTag>
            <w:r w:rsidR="00BE6DA3" w:rsidRPr="000412BF">
              <w:rPr>
                <w:szCs w:val="18"/>
              </w:rPr>
              <w:t xml:space="preserve"> do 15</w:t>
            </w:r>
            <w:r w:rsidRPr="000412BF">
              <w:rPr>
                <w:szCs w:val="18"/>
              </w:rPr>
              <w:t xml:space="preserve"> m</w:t>
            </w:r>
          </w:p>
          <w:p w14:paraId="4A2F5D65" w14:textId="0DB73843" w:rsidR="001C6710" w:rsidRPr="000412BF" w:rsidRDefault="00BE6DA3" w:rsidP="00C1609D">
            <w:pPr>
              <w:spacing w:after="0"/>
              <w:ind w:left="-53"/>
              <w:jc w:val="center"/>
              <w:rPr>
                <w:b/>
              </w:rPr>
            </w:pPr>
            <w:r w:rsidRPr="000412BF">
              <w:rPr>
                <w:szCs w:val="18"/>
              </w:rPr>
              <w:t>(bez wartości 15</w:t>
            </w:r>
            <w:r w:rsidR="001C6710" w:rsidRPr="000412BF">
              <w:rPr>
                <w:szCs w:val="18"/>
              </w:rPr>
              <w:t xml:space="preserve"> m)</w:t>
            </w:r>
          </w:p>
        </w:tc>
      </w:tr>
      <w:tr w:rsidR="00B969F8" w:rsidRPr="000412BF" w14:paraId="63D81614" w14:textId="77777777" w:rsidTr="00B969F8">
        <w:trPr>
          <w:jc w:val="right"/>
        </w:trPr>
        <w:tc>
          <w:tcPr>
            <w:tcW w:w="674" w:type="pct"/>
            <w:tcMar>
              <w:top w:w="85" w:type="dxa"/>
              <w:left w:w="57" w:type="dxa"/>
              <w:bottom w:w="85" w:type="dxa"/>
              <w:right w:w="57" w:type="dxa"/>
            </w:tcMar>
            <w:vAlign w:val="center"/>
          </w:tcPr>
          <w:p w14:paraId="35CEE11B" w14:textId="77777777" w:rsidR="001C6710" w:rsidRPr="000412BF" w:rsidRDefault="001C6710" w:rsidP="00334D65">
            <w:pPr>
              <w:spacing w:after="0"/>
              <w:jc w:val="center"/>
              <w:rPr>
                <w:vertAlign w:val="superscript"/>
              </w:rPr>
            </w:pPr>
            <w:r w:rsidRPr="000412BF">
              <w:rPr>
                <w:b/>
              </w:rPr>
              <w:t>1</w:t>
            </w:r>
            <w:r w:rsidRPr="000412BF">
              <w:rPr>
                <w:szCs w:val="24"/>
                <w:vertAlign w:val="superscript"/>
              </w:rPr>
              <w:t>a</w:t>
            </w:r>
          </w:p>
        </w:tc>
        <w:tc>
          <w:tcPr>
            <w:tcW w:w="1081" w:type="pct"/>
            <w:tcMar>
              <w:top w:w="85" w:type="dxa"/>
              <w:left w:w="57" w:type="dxa"/>
              <w:bottom w:w="85" w:type="dxa"/>
              <w:right w:w="57" w:type="dxa"/>
            </w:tcMar>
            <w:vAlign w:val="center"/>
          </w:tcPr>
          <w:p w14:paraId="5C9E9024" w14:textId="77777777" w:rsidR="001C6710" w:rsidRPr="000412BF" w:rsidRDefault="001C6710" w:rsidP="00334D65">
            <w:pPr>
              <w:spacing w:after="0"/>
              <w:jc w:val="center"/>
            </w:pPr>
            <w:smartTag w:uri="urn:schemas-microsoft-com:office:smarttags" w:element="metricconverter">
              <w:smartTagPr>
                <w:attr w:name="ProductID" w:val="18 m"/>
              </w:smartTagPr>
              <w:r w:rsidRPr="000412BF">
                <w:t>18 m</w:t>
              </w:r>
            </w:smartTag>
          </w:p>
        </w:tc>
        <w:tc>
          <w:tcPr>
            <w:tcW w:w="1082" w:type="pct"/>
            <w:tcMar>
              <w:top w:w="85" w:type="dxa"/>
              <w:left w:w="57" w:type="dxa"/>
              <w:bottom w:w="85" w:type="dxa"/>
              <w:right w:w="57" w:type="dxa"/>
            </w:tcMar>
            <w:vAlign w:val="center"/>
          </w:tcPr>
          <w:p w14:paraId="4A0C8BEB" w14:textId="77777777" w:rsidR="001C6710" w:rsidRPr="000412BF" w:rsidRDefault="001C6710" w:rsidP="00334D65">
            <w:pPr>
              <w:spacing w:after="0"/>
              <w:jc w:val="center"/>
            </w:pPr>
            <w:smartTag w:uri="urn:schemas-microsoft-com:office:smarttags" w:element="metricconverter">
              <w:smartTagPr>
                <w:attr w:name="ProductID" w:val="18 m"/>
              </w:smartTagPr>
              <w:r w:rsidRPr="000412BF">
                <w:t>18 m</w:t>
              </w:r>
            </w:smartTag>
          </w:p>
        </w:tc>
        <w:tc>
          <w:tcPr>
            <w:tcW w:w="1081" w:type="pct"/>
            <w:tcMar>
              <w:top w:w="85" w:type="dxa"/>
              <w:left w:w="57" w:type="dxa"/>
              <w:bottom w:w="85" w:type="dxa"/>
              <w:right w:w="57" w:type="dxa"/>
            </w:tcMar>
            <w:vAlign w:val="center"/>
          </w:tcPr>
          <w:p w14:paraId="5E60A437" w14:textId="77777777" w:rsidR="001C6710" w:rsidRPr="000412BF" w:rsidRDefault="001C6710" w:rsidP="00334D65">
            <w:pPr>
              <w:spacing w:after="0"/>
              <w:jc w:val="center"/>
            </w:pPr>
            <w:smartTag w:uri="urn:schemas-microsoft-com:office:smarttags" w:element="metricconverter">
              <w:smartTagPr>
                <w:attr w:name="ProductID" w:val="23 m"/>
              </w:smartTagPr>
              <w:r w:rsidRPr="000412BF">
                <w:t>23 m</w:t>
              </w:r>
            </w:smartTag>
          </w:p>
        </w:tc>
        <w:tc>
          <w:tcPr>
            <w:tcW w:w="1082" w:type="pct"/>
            <w:tcMar>
              <w:top w:w="85" w:type="dxa"/>
              <w:left w:w="57" w:type="dxa"/>
              <w:bottom w:w="85" w:type="dxa"/>
              <w:right w:w="57" w:type="dxa"/>
            </w:tcMar>
            <w:vAlign w:val="center"/>
          </w:tcPr>
          <w:p w14:paraId="3C88B6C2" w14:textId="77777777" w:rsidR="001C6710" w:rsidRPr="000412BF" w:rsidRDefault="001C6710" w:rsidP="00334D65">
            <w:pPr>
              <w:spacing w:after="0"/>
              <w:jc w:val="center"/>
            </w:pPr>
            <w:r w:rsidRPr="000412BF">
              <w:t>−</w:t>
            </w:r>
          </w:p>
        </w:tc>
      </w:tr>
      <w:tr w:rsidR="00B969F8" w:rsidRPr="000412BF" w14:paraId="5EB552CF" w14:textId="77777777" w:rsidTr="00B969F8">
        <w:trPr>
          <w:jc w:val="right"/>
        </w:trPr>
        <w:tc>
          <w:tcPr>
            <w:tcW w:w="674" w:type="pct"/>
            <w:tcMar>
              <w:top w:w="85" w:type="dxa"/>
              <w:left w:w="57" w:type="dxa"/>
              <w:bottom w:w="85" w:type="dxa"/>
              <w:right w:w="57" w:type="dxa"/>
            </w:tcMar>
            <w:vAlign w:val="center"/>
          </w:tcPr>
          <w:p w14:paraId="73D3E2CA" w14:textId="77777777" w:rsidR="001C6710" w:rsidRPr="000412BF" w:rsidRDefault="001C6710" w:rsidP="00334D65">
            <w:pPr>
              <w:spacing w:after="0"/>
              <w:jc w:val="center"/>
            </w:pPr>
            <w:r w:rsidRPr="000412BF">
              <w:rPr>
                <w:b/>
              </w:rPr>
              <w:t>2</w:t>
            </w:r>
            <w:r w:rsidRPr="000412BF">
              <w:rPr>
                <w:szCs w:val="24"/>
                <w:vertAlign w:val="superscript"/>
              </w:rPr>
              <w:t>a</w:t>
            </w:r>
          </w:p>
        </w:tc>
        <w:tc>
          <w:tcPr>
            <w:tcW w:w="1081" w:type="pct"/>
            <w:tcMar>
              <w:top w:w="85" w:type="dxa"/>
              <w:left w:w="57" w:type="dxa"/>
              <w:bottom w:w="85" w:type="dxa"/>
              <w:right w:w="57" w:type="dxa"/>
            </w:tcMar>
            <w:vAlign w:val="center"/>
          </w:tcPr>
          <w:p w14:paraId="22B0644F" w14:textId="77777777" w:rsidR="001C6710" w:rsidRPr="000412BF" w:rsidRDefault="001C6710" w:rsidP="00334D65">
            <w:pPr>
              <w:spacing w:after="0"/>
              <w:jc w:val="center"/>
            </w:pPr>
            <w:smartTag w:uri="urn:schemas-microsoft-com:office:smarttags" w:element="metricconverter">
              <w:smartTagPr>
                <w:attr w:name="ProductID" w:val="23 m"/>
              </w:smartTagPr>
              <w:r w:rsidRPr="000412BF">
                <w:t>23 m</w:t>
              </w:r>
            </w:smartTag>
          </w:p>
        </w:tc>
        <w:tc>
          <w:tcPr>
            <w:tcW w:w="1082" w:type="pct"/>
            <w:tcMar>
              <w:top w:w="85" w:type="dxa"/>
              <w:left w:w="57" w:type="dxa"/>
              <w:bottom w:w="85" w:type="dxa"/>
              <w:right w:w="57" w:type="dxa"/>
            </w:tcMar>
            <w:vAlign w:val="center"/>
          </w:tcPr>
          <w:p w14:paraId="6404E72A" w14:textId="77777777" w:rsidR="001C6710" w:rsidRPr="000412BF" w:rsidRDefault="001C6710" w:rsidP="00334D65">
            <w:pPr>
              <w:spacing w:after="0"/>
              <w:jc w:val="center"/>
            </w:pPr>
            <w:smartTag w:uri="urn:schemas-microsoft-com:office:smarttags" w:element="metricconverter">
              <w:smartTagPr>
                <w:attr w:name="ProductID" w:val="23 m"/>
              </w:smartTagPr>
              <w:r w:rsidRPr="000412BF">
                <w:t>23 m</w:t>
              </w:r>
            </w:smartTag>
          </w:p>
        </w:tc>
        <w:tc>
          <w:tcPr>
            <w:tcW w:w="1081" w:type="pct"/>
            <w:tcMar>
              <w:top w:w="85" w:type="dxa"/>
              <w:left w:w="57" w:type="dxa"/>
              <w:bottom w:w="85" w:type="dxa"/>
              <w:right w:w="57" w:type="dxa"/>
            </w:tcMar>
            <w:vAlign w:val="center"/>
          </w:tcPr>
          <w:p w14:paraId="2B252681" w14:textId="77777777" w:rsidR="001C6710" w:rsidRPr="000412BF" w:rsidRDefault="001C6710" w:rsidP="00334D65">
            <w:pPr>
              <w:spacing w:after="0"/>
              <w:jc w:val="center"/>
            </w:pPr>
            <w:smartTag w:uri="urn:schemas-microsoft-com:office:smarttags" w:element="metricconverter">
              <w:smartTagPr>
                <w:attr w:name="ProductID" w:val="30 m"/>
              </w:smartTagPr>
              <w:r w:rsidRPr="000412BF">
                <w:t>30 m</w:t>
              </w:r>
            </w:smartTag>
          </w:p>
        </w:tc>
        <w:tc>
          <w:tcPr>
            <w:tcW w:w="1082" w:type="pct"/>
            <w:tcMar>
              <w:top w:w="85" w:type="dxa"/>
              <w:left w:w="57" w:type="dxa"/>
              <w:bottom w:w="85" w:type="dxa"/>
              <w:right w:w="57" w:type="dxa"/>
            </w:tcMar>
            <w:vAlign w:val="center"/>
          </w:tcPr>
          <w:p w14:paraId="4B42DA16" w14:textId="77777777" w:rsidR="001C6710" w:rsidRPr="000412BF" w:rsidRDefault="001C6710" w:rsidP="00334D65">
            <w:pPr>
              <w:spacing w:after="0"/>
              <w:jc w:val="center"/>
            </w:pPr>
            <w:r w:rsidRPr="000412BF">
              <w:t>−</w:t>
            </w:r>
          </w:p>
        </w:tc>
      </w:tr>
      <w:tr w:rsidR="00B969F8" w:rsidRPr="000412BF" w14:paraId="70B9021A" w14:textId="77777777" w:rsidTr="00B969F8">
        <w:trPr>
          <w:jc w:val="right"/>
        </w:trPr>
        <w:tc>
          <w:tcPr>
            <w:tcW w:w="674" w:type="pct"/>
            <w:tcMar>
              <w:top w:w="85" w:type="dxa"/>
              <w:left w:w="57" w:type="dxa"/>
              <w:bottom w:w="85" w:type="dxa"/>
              <w:right w:w="57" w:type="dxa"/>
            </w:tcMar>
            <w:vAlign w:val="center"/>
          </w:tcPr>
          <w:p w14:paraId="6D36C0B7" w14:textId="77777777" w:rsidR="001C6710" w:rsidRPr="000412BF" w:rsidRDefault="001C6710" w:rsidP="00334D65">
            <w:pPr>
              <w:spacing w:after="0"/>
              <w:jc w:val="center"/>
              <w:rPr>
                <w:b/>
              </w:rPr>
            </w:pPr>
            <w:r w:rsidRPr="000412BF">
              <w:rPr>
                <w:b/>
              </w:rPr>
              <w:t>3</w:t>
            </w:r>
          </w:p>
        </w:tc>
        <w:tc>
          <w:tcPr>
            <w:tcW w:w="1081" w:type="pct"/>
            <w:tcMar>
              <w:top w:w="85" w:type="dxa"/>
              <w:left w:w="57" w:type="dxa"/>
              <w:bottom w:w="85" w:type="dxa"/>
              <w:right w:w="57" w:type="dxa"/>
            </w:tcMar>
            <w:vAlign w:val="center"/>
          </w:tcPr>
          <w:p w14:paraId="688C0D6F" w14:textId="77777777" w:rsidR="001C6710" w:rsidRPr="000412BF" w:rsidRDefault="001C6710" w:rsidP="00334D65">
            <w:pPr>
              <w:spacing w:after="0"/>
              <w:jc w:val="center"/>
            </w:pPr>
            <w:smartTag w:uri="urn:schemas-microsoft-com:office:smarttags" w:element="metricconverter">
              <w:smartTagPr>
                <w:attr w:name="ProductID" w:val="30 m"/>
              </w:smartTagPr>
              <w:r w:rsidRPr="000412BF">
                <w:t>30 m</w:t>
              </w:r>
            </w:smartTag>
          </w:p>
        </w:tc>
        <w:tc>
          <w:tcPr>
            <w:tcW w:w="1082" w:type="pct"/>
            <w:tcMar>
              <w:top w:w="85" w:type="dxa"/>
              <w:left w:w="57" w:type="dxa"/>
              <w:bottom w:w="85" w:type="dxa"/>
              <w:right w:w="57" w:type="dxa"/>
            </w:tcMar>
            <w:vAlign w:val="center"/>
          </w:tcPr>
          <w:p w14:paraId="5FEC5D53" w14:textId="77777777" w:rsidR="001C6710" w:rsidRPr="000412BF" w:rsidRDefault="001C6710" w:rsidP="00334D65">
            <w:pPr>
              <w:spacing w:after="0"/>
              <w:jc w:val="center"/>
            </w:pPr>
            <w:smartTag w:uri="urn:schemas-microsoft-com:office:smarttags" w:element="metricconverter">
              <w:smartTagPr>
                <w:attr w:name="ProductID" w:val="30 m"/>
              </w:smartTagPr>
              <w:r w:rsidRPr="000412BF">
                <w:t>30 m</w:t>
              </w:r>
            </w:smartTag>
          </w:p>
        </w:tc>
        <w:tc>
          <w:tcPr>
            <w:tcW w:w="1081" w:type="pct"/>
            <w:tcMar>
              <w:top w:w="85" w:type="dxa"/>
              <w:left w:w="57" w:type="dxa"/>
              <w:bottom w:w="85" w:type="dxa"/>
              <w:right w:w="57" w:type="dxa"/>
            </w:tcMar>
            <w:vAlign w:val="center"/>
          </w:tcPr>
          <w:p w14:paraId="09C5189D" w14:textId="77777777" w:rsidR="001C6710" w:rsidRPr="000412BF" w:rsidRDefault="001C6710" w:rsidP="00334D65">
            <w:pPr>
              <w:spacing w:after="0"/>
              <w:jc w:val="center"/>
            </w:pPr>
            <w:smartTag w:uri="urn:schemas-microsoft-com:office:smarttags" w:element="metricconverter">
              <w:smartTagPr>
                <w:attr w:name="ProductID" w:val="30 m"/>
              </w:smartTagPr>
              <w:r w:rsidRPr="000412BF">
                <w:t>30 m</w:t>
              </w:r>
            </w:smartTag>
          </w:p>
        </w:tc>
        <w:tc>
          <w:tcPr>
            <w:tcW w:w="1082" w:type="pct"/>
            <w:tcMar>
              <w:top w:w="85" w:type="dxa"/>
              <w:left w:w="57" w:type="dxa"/>
              <w:bottom w:w="85" w:type="dxa"/>
              <w:right w:w="57" w:type="dxa"/>
            </w:tcMar>
            <w:vAlign w:val="center"/>
          </w:tcPr>
          <w:p w14:paraId="694E023E" w14:textId="77777777" w:rsidR="001C6710" w:rsidRPr="000412BF" w:rsidRDefault="001C6710" w:rsidP="00334D65">
            <w:pPr>
              <w:spacing w:after="0"/>
              <w:jc w:val="center"/>
            </w:pPr>
            <w:smartTag w:uri="urn:schemas-microsoft-com:office:smarttags" w:element="metricconverter">
              <w:smartTagPr>
                <w:attr w:name="ProductID" w:val="45 m"/>
              </w:smartTagPr>
              <w:r w:rsidRPr="000412BF">
                <w:t>45 m</w:t>
              </w:r>
            </w:smartTag>
          </w:p>
        </w:tc>
      </w:tr>
      <w:tr w:rsidR="00B969F8" w:rsidRPr="000412BF" w14:paraId="61283060" w14:textId="77777777" w:rsidTr="00B969F8">
        <w:trPr>
          <w:jc w:val="right"/>
        </w:trPr>
        <w:tc>
          <w:tcPr>
            <w:tcW w:w="674" w:type="pct"/>
            <w:tcMar>
              <w:top w:w="85" w:type="dxa"/>
              <w:left w:w="57" w:type="dxa"/>
              <w:bottom w:w="85" w:type="dxa"/>
              <w:right w:w="57" w:type="dxa"/>
            </w:tcMar>
            <w:vAlign w:val="center"/>
          </w:tcPr>
          <w:p w14:paraId="049289C6" w14:textId="77777777" w:rsidR="001C6710" w:rsidRPr="000412BF" w:rsidRDefault="001C6710" w:rsidP="00334D65">
            <w:pPr>
              <w:spacing w:after="0"/>
              <w:jc w:val="center"/>
              <w:rPr>
                <w:b/>
              </w:rPr>
            </w:pPr>
            <w:r w:rsidRPr="000412BF">
              <w:rPr>
                <w:b/>
              </w:rPr>
              <w:t>4</w:t>
            </w:r>
          </w:p>
        </w:tc>
        <w:tc>
          <w:tcPr>
            <w:tcW w:w="1081" w:type="pct"/>
            <w:tcMar>
              <w:top w:w="85" w:type="dxa"/>
              <w:left w:w="57" w:type="dxa"/>
              <w:bottom w:w="85" w:type="dxa"/>
              <w:right w:w="57" w:type="dxa"/>
            </w:tcMar>
            <w:vAlign w:val="center"/>
          </w:tcPr>
          <w:p w14:paraId="04BC1AD2" w14:textId="77777777" w:rsidR="001C6710" w:rsidRPr="000412BF" w:rsidRDefault="001C6710" w:rsidP="00334D65">
            <w:pPr>
              <w:spacing w:after="0"/>
              <w:jc w:val="center"/>
            </w:pPr>
            <w:r w:rsidRPr="000412BF">
              <w:t>−</w:t>
            </w:r>
          </w:p>
        </w:tc>
        <w:tc>
          <w:tcPr>
            <w:tcW w:w="1082" w:type="pct"/>
            <w:tcMar>
              <w:top w:w="85" w:type="dxa"/>
              <w:left w:w="57" w:type="dxa"/>
              <w:bottom w:w="85" w:type="dxa"/>
              <w:right w:w="57" w:type="dxa"/>
            </w:tcMar>
            <w:vAlign w:val="center"/>
          </w:tcPr>
          <w:p w14:paraId="3F5D8C02" w14:textId="77777777" w:rsidR="001C6710" w:rsidRPr="000412BF" w:rsidRDefault="001C6710" w:rsidP="00334D65">
            <w:pPr>
              <w:spacing w:after="0"/>
              <w:jc w:val="center"/>
            </w:pPr>
            <w:r w:rsidRPr="000412BF">
              <w:t>−</w:t>
            </w:r>
          </w:p>
        </w:tc>
        <w:tc>
          <w:tcPr>
            <w:tcW w:w="1081" w:type="pct"/>
            <w:tcMar>
              <w:top w:w="85" w:type="dxa"/>
              <w:left w:w="57" w:type="dxa"/>
              <w:bottom w:w="85" w:type="dxa"/>
              <w:right w:w="57" w:type="dxa"/>
            </w:tcMar>
            <w:vAlign w:val="center"/>
          </w:tcPr>
          <w:p w14:paraId="02D0F887" w14:textId="77777777" w:rsidR="001C6710" w:rsidRPr="000412BF" w:rsidRDefault="001C6710" w:rsidP="00334D65">
            <w:pPr>
              <w:spacing w:after="0"/>
              <w:jc w:val="center"/>
            </w:pPr>
            <w:smartTag w:uri="urn:schemas-microsoft-com:office:smarttags" w:element="metricconverter">
              <w:smartTagPr>
                <w:attr w:name="ProductID" w:val="45 m"/>
              </w:smartTagPr>
              <w:r w:rsidRPr="000412BF">
                <w:t>45 m</w:t>
              </w:r>
            </w:smartTag>
          </w:p>
        </w:tc>
        <w:tc>
          <w:tcPr>
            <w:tcW w:w="1082" w:type="pct"/>
            <w:tcMar>
              <w:top w:w="85" w:type="dxa"/>
              <w:left w:w="57" w:type="dxa"/>
              <w:bottom w:w="85" w:type="dxa"/>
              <w:right w:w="57" w:type="dxa"/>
            </w:tcMar>
            <w:vAlign w:val="center"/>
          </w:tcPr>
          <w:p w14:paraId="25DB17AE" w14:textId="77777777" w:rsidR="001C6710" w:rsidRPr="000412BF" w:rsidRDefault="001C6710" w:rsidP="00334D65">
            <w:pPr>
              <w:spacing w:after="0"/>
              <w:jc w:val="center"/>
            </w:pPr>
            <w:smartTag w:uri="urn:schemas-microsoft-com:office:smarttags" w:element="metricconverter">
              <w:smartTagPr>
                <w:attr w:name="ProductID" w:val="45 m"/>
              </w:smartTagPr>
              <w:r w:rsidRPr="000412BF">
                <w:t>45 m</w:t>
              </w:r>
            </w:smartTag>
          </w:p>
        </w:tc>
      </w:tr>
      <w:tr w:rsidR="00C1609D" w:rsidRPr="000412BF" w14:paraId="42E17AEE" w14:textId="77777777" w:rsidTr="00B969F8">
        <w:trPr>
          <w:jc w:val="right"/>
        </w:trPr>
        <w:tc>
          <w:tcPr>
            <w:tcW w:w="5000" w:type="pct"/>
            <w:gridSpan w:val="5"/>
            <w:tcMar>
              <w:top w:w="85" w:type="dxa"/>
              <w:left w:w="57" w:type="dxa"/>
              <w:bottom w:w="85" w:type="dxa"/>
              <w:right w:w="57" w:type="dxa"/>
            </w:tcMar>
            <w:vAlign w:val="center"/>
          </w:tcPr>
          <w:p w14:paraId="5DD4AC43" w14:textId="77777777" w:rsidR="001C6710" w:rsidRPr="000412BF" w:rsidRDefault="001C6710" w:rsidP="00334D65">
            <w:pPr>
              <w:tabs>
                <w:tab w:val="left" w:pos="177"/>
              </w:tabs>
              <w:spacing w:after="0"/>
              <w:ind w:left="177" w:hanging="177"/>
              <w:jc w:val="left"/>
              <w:rPr>
                <w:i/>
                <w:iCs/>
              </w:rPr>
            </w:pPr>
            <w:r w:rsidRPr="000412BF">
              <w:rPr>
                <w:i/>
                <w:iCs/>
                <w:sz w:val="28"/>
                <w:vertAlign w:val="superscript"/>
              </w:rPr>
              <w:t>a</w:t>
            </w:r>
            <w:r w:rsidRPr="000412BF">
              <w:rPr>
                <w:i/>
                <w:iCs/>
                <w:sz w:val="28"/>
              </w:rPr>
              <w:t xml:space="preserve">  </w:t>
            </w:r>
            <w:r w:rsidRPr="000412BF">
              <w:rPr>
                <w:i/>
                <w:iCs/>
                <w:sz w:val="20"/>
                <w:szCs w:val="18"/>
              </w:rPr>
              <w:t xml:space="preserve">Szerokość drogi startowej z podejściem precyzyjnym nie powinna być mniejsza niż </w:t>
            </w:r>
            <w:smartTag w:uri="urn:schemas-microsoft-com:office:smarttags" w:element="metricconverter">
              <w:smartTagPr>
                <w:attr w:name="ProductID" w:val="30 m"/>
              </w:smartTagPr>
              <w:r w:rsidRPr="000412BF">
                <w:rPr>
                  <w:i/>
                  <w:iCs/>
                  <w:sz w:val="20"/>
                  <w:szCs w:val="18"/>
                </w:rPr>
                <w:t>30 m</w:t>
              </w:r>
            </w:smartTag>
            <w:r w:rsidRPr="000412BF">
              <w:rPr>
                <w:i/>
                <w:iCs/>
                <w:sz w:val="20"/>
                <w:szCs w:val="18"/>
              </w:rPr>
              <w:t>, jeżeli cyfra kodu wynosi 1 lub 2.</w:t>
            </w:r>
          </w:p>
        </w:tc>
      </w:tr>
    </w:tbl>
    <w:p w14:paraId="144D3B27" w14:textId="77777777" w:rsidR="001C6710" w:rsidRPr="000412BF" w:rsidRDefault="001C6710" w:rsidP="00B06A9A">
      <w:pPr>
        <w:spacing w:after="0"/>
        <w:rPr>
          <w:szCs w:val="20"/>
        </w:rPr>
      </w:pPr>
    </w:p>
    <w:p w14:paraId="006B4E78" w14:textId="77777777" w:rsidR="00C36D76" w:rsidRPr="005D070C" w:rsidRDefault="00C36D76" w:rsidP="00B06A9A">
      <w:pPr>
        <w:tabs>
          <w:tab w:val="left" w:pos="567"/>
        </w:tabs>
        <w:autoSpaceDE w:val="0"/>
        <w:autoSpaceDN w:val="0"/>
        <w:adjustRightInd w:val="0"/>
        <w:ind w:left="567" w:hanging="567"/>
        <w:jc w:val="center"/>
        <w:rPr>
          <w:rFonts w:cs="Times New Roman"/>
          <w:b/>
          <w:szCs w:val="20"/>
        </w:rPr>
      </w:pPr>
      <w:r w:rsidRPr="005D070C">
        <w:rPr>
          <w:rFonts w:cs="Times New Roman"/>
          <w:b/>
          <w:sz w:val="20"/>
          <w:szCs w:val="20"/>
        </w:rPr>
        <w:t>Tabela B-1.  Szerokość drogi startowej</w:t>
      </w:r>
    </w:p>
    <w:p w14:paraId="2FADEF31" w14:textId="77777777" w:rsidR="00C36D76" w:rsidRPr="009E064B" w:rsidRDefault="00C36D76" w:rsidP="00C206FA">
      <w:pPr>
        <w:spacing w:after="0"/>
        <w:rPr>
          <w:szCs w:val="20"/>
        </w:rPr>
      </w:pPr>
    </w:p>
    <w:p w14:paraId="3EBDFAFA" w14:textId="5C4F5656" w:rsidR="00B969F8"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szCs w:val="20"/>
        </w:rPr>
        <w:t>Szerokość drogi startowej powinna być mierzona od zewnętrznej krawędzi oznakowania linii bocznej drogi startowej, jeżeli jest zapewniana, lub od krawędzi drogi startowej.</w:t>
      </w:r>
    </w:p>
    <w:p w14:paraId="52F5C0EB" w14:textId="77777777" w:rsidR="00542C09" w:rsidRPr="009E064B" w:rsidRDefault="00542C09" w:rsidP="008960B1">
      <w:pPr>
        <w:pStyle w:val="Tekstpodstawowy"/>
        <w:spacing w:before="60"/>
        <w:ind w:hanging="20"/>
        <w:rPr>
          <w:rFonts w:asciiTheme="minorHAnsi" w:hAnsiTheme="minorHAnsi" w:cstheme="minorHAnsi"/>
          <w:i/>
          <w:sz w:val="16"/>
          <w:szCs w:val="16"/>
        </w:rPr>
      </w:pPr>
      <w:bookmarkStart w:id="823" w:name="_Toc401058893"/>
      <w:bookmarkStart w:id="824" w:name="_Toc482886762"/>
      <w:bookmarkStart w:id="825" w:name="_Toc482886539"/>
      <w:r w:rsidRPr="000412BF">
        <w:rPr>
          <w:rFonts w:asciiTheme="minorHAnsi" w:hAnsiTheme="minorHAnsi" w:cstheme="minorHAnsi"/>
          <w:i/>
          <w:sz w:val="16"/>
          <w:szCs w:val="16"/>
        </w:rPr>
        <w:t>[Wydanie: ADR-DSN/4]</w:t>
      </w:r>
    </w:p>
    <w:p w14:paraId="19521570" w14:textId="71D712E9" w:rsidR="001A44D6" w:rsidRPr="009E064B" w:rsidRDefault="00786A40" w:rsidP="00133B99">
      <w:pPr>
        <w:pStyle w:val="Nagwek6"/>
      </w:pPr>
      <w:bookmarkStart w:id="826" w:name="_Toc12532926"/>
      <w:r w:rsidRPr="009E064B">
        <w:t xml:space="preserve">GM1 ADR-DSN.B.045     </w:t>
      </w:r>
      <w:r w:rsidR="001A44D6" w:rsidRPr="009E064B">
        <w:t>Szerokość dróg startowych</w:t>
      </w:r>
      <w:bookmarkEnd w:id="823"/>
      <w:bookmarkEnd w:id="824"/>
      <w:bookmarkEnd w:id="826"/>
    </w:p>
    <w:p w14:paraId="7D0D25ED" w14:textId="7447EB97"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7C74F6CC" w14:textId="55B42218"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0412BF">
        <w:rPr>
          <w:rFonts w:eastAsia="Times New Roman,Italic" w:cs="Times New Roman,Italic"/>
          <w:iCs/>
          <w:szCs w:val="20"/>
        </w:rPr>
        <w:t xml:space="preserve">Zestawienie cyfr kodu </w:t>
      </w:r>
      <w:r w:rsidR="00327A2B" w:rsidRPr="000412BF">
        <w:rPr>
          <w:rFonts w:eastAsia="Times New Roman,Italic" w:cs="Times New Roman,Italic"/>
          <w:iCs/>
          <w:szCs w:val="20"/>
        </w:rPr>
        <w:t>i całkowit</w:t>
      </w:r>
      <w:r w:rsidR="00654D6D" w:rsidRPr="000412BF">
        <w:rPr>
          <w:rFonts w:eastAsia="Times New Roman,Italic" w:cs="Times New Roman,Italic"/>
          <w:iCs/>
          <w:szCs w:val="20"/>
        </w:rPr>
        <w:t>ych</w:t>
      </w:r>
      <w:r w:rsidR="00327A2B" w:rsidRPr="000412BF">
        <w:rPr>
          <w:rFonts w:eastAsia="Times New Roman,Italic" w:cs="Times New Roman,Italic"/>
          <w:iCs/>
          <w:szCs w:val="20"/>
        </w:rPr>
        <w:t xml:space="preserve"> rozstaw</w:t>
      </w:r>
      <w:r w:rsidR="00654D6D" w:rsidRPr="000412BF">
        <w:rPr>
          <w:rFonts w:eastAsia="Times New Roman,Italic" w:cs="Times New Roman,Italic"/>
          <w:iCs/>
          <w:szCs w:val="20"/>
        </w:rPr>
        <w:t>ów</w:t>
      </w:r>
      <w:r w:rsidR="00327A2B" w:rsidRPr="000412BF">
        <w:rPr>
          <w:rFonts w:eastAsia="Times New Roman,Italic" w:cs="Times New Roman,Italic"/>
          <w:iCs/>
          <w:szCs w:val="20"/>
        </w:rPr>
        <w:t xml:space="preserve"> zewnętrznych kół podwozia głównego (OMGWS) dla których </w:t>
      </w:r>
      <w:r w:rsidR="00654D6D" w:rsidRPr="000412BF">
        <w:rPr>
          <w:rFonts w:eastAsia="Times New Roman,Italic" w:cs="Times New Roman,Italic"/>
          <w:iCs/>
          <w:szCs w:val="20"/>
        </w:rPr>
        <w:t>określono szerokości, opracowano</w:t>
      </w:r>
      <w:r w:rsidRPr="000412BF">
        <w:rPr>
          <w:rFonts w:eastAsia="Times New Roman,Italic" w:cs="Times New Roman,Italic"/>
          <w:iCs/>
          <w:szCs w:val="20"/>
        </w:rPr>
        <w:t xml:space="preserve"> w oparciu o charakterystyki typowych </w:t>
      </w:r>
      <w:r w:rsidRPr="009E064B">
        <w:rPr>
          <w:rFonts w:eastAsia="Times New Roman,Italic" w:cs="Times New Roman,Italic"/>
          <w:iCs/>
          <w:szCs w:val="20"/>
        </w:rPr>
        <w:t>samolotów.</w:t>
      </w:r>
    </w:p>
    <w:p w14:paraId="2E2CDA22" w14:textId="1DD3563B"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Czynniki wpływające na szerokość drogi startowej zawarte są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1 „</w:t>
      </w:r>
      <w:r w:rsidRPr="009E064B">
        <w:rPr>
          <w:rFonts w:eastAsia="Times New Roman,Italic" w:cs="Times New Roman,Italic"/>
          <w:i/>
          <w:iCs/>
          <w:szCs w:val="20"/>
        </w:rPr>
        <w:t>Drogi startowe</w:t>
      </w:r>
      <w:r w:rsidRPr="009E064B">
        <w:rPr>
          <w:rFonts w:eastAsia="Times New Roman,Italic" w:cs="Times New Roman,Italic"/>
          <w:iCs/>
          <w:szCs w:val="20"/>
        </w:rPr>
        <w:t>”.</w:t>
      </w:r>
    </w:p>
    <w:p w14:paraId="4F9FCFBA" w14:textId="4F2262B0" w:rsidR="00654D6D" w:rsidRPr="000412BF" w:rsidRDefault="00654D6D" w:rsidP="00B06A9A">
      <w:pPr>
        <w:tabs>
          <w:tab w:val="left" w:pos="567"/>
        </w:tabs>
        <w:autoSpaceDE w:val="0"/>
        <w:autoSpaceDN w:val="0"/>
        <w:adjustRightInd w:val="0"/>
        <w:ind w:left="567" w:hanging="567"/>
        <w:rPr>
          <w:szCs w:val="20"/>
        </w:rPr>
      </w:pPr>
      <w:r w:rsidRPr="000412BF">
        <w:rPr>
          <w:rFonts w:eastAsia="Times New Roman,Italic" w:cs="Times New Roman,Italic"/>
          <w:iCs/>
          <w:szCs w:val="20"/>
        </w:rPr>
        <w:t>(c)</w:t>
      </w:r>
      <w:r w:rsidRPr="000412BF">
        <w:rPr>
          <w:rFonts w:eastAsia="Times New Roman,Italic" w:cs="Times New Roman,Italic"/>
          <w:iCs/>
          <w:szCs w:val="20"/>
        </w:rPr>
        <w:tab/>
        <w:t xml:space="preserve">Patrz specyfikacje certyfikacyjne od </w:t>
      </w:r>
      <w:hyperlink w:anchor="_CS_ADR-DSN.B.125_" w:history="1">
        <w:r w:rsidRPr="009E064B">
          <w:rPr>
            <w:rStyle w:val="Hipercze"/>
            <w:rFonts w:eastAsia="Times New Roman,Italic" w:cs="Times New Roman,Italic"/>
            <w:iCs/>
            <w:szCs w:val="20"/>
          </w:rPr>
          <w:t>CS ADR-DSN.B.125</w:t>
        </w:r>
      </w:hyperlink>
      <w:r w:rsidRPr="000412BF">
        <w:rPr>
          <w:rFonts w:eastAsia="Times New Roman,Italic" w:cs="Times New Roman,Italic"/>
          <w:iCs/>
          <w:szCs w:val="20"/>
        </w:rPr>
        <w:t xml:space="preserve"> do </w:t>
      </w:r>
      <w:hyperlink w:anchor="_CS_ADR-DSN.B.145_" w:history="1">
        <w:r w:rsidRPr="009E064B">
          <w:rPr>
            <w:rStyle w:val="Hipercze"/>
            <w:rFonts w:eastAsia="Times New Roman,Italic" w:cs="Times New Roman,Italic"/>
            <w:iCs/>
            <w:szCs w:val="20"/>
          </w:rPr>
          <w:t>CS ADR-DSN.B.145</w:t>
        </w:r>
      </w:hyperlink>
      <w:r w:rsidRPr="000412BF">
        <w:rPr>
          <w:rFonts w:eastAsia="Times New Roman,Italic" w:cs="Times New Roman,Italic"/>
          <w:iCs/>
          <w:szCs w:val="20"/>
        </w:rPr>
        <w:t xml:space="preserve"> dotyczące zapewniania pasów drogi startowej, w szczególności dla samolotów kodu F z czterema (lub więcej) silnikami.</w:t>
      </w:r>
    </w:p>
    <w:p w14:paraId="09B92518" w14:textId="473B387E"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ED81820" w14:textId="77777777" w:rsidR="008960B1" w:rsidRPr="009E064B" w:rsidRDefault="008960B1" w:rsidP="00C32E80">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ED0BBEC" w14:textId="71F19975" w:rsidR="00C36D76" w:rsidRPr="009E064B" w:rsidRDefault="00786A40" w:rsidP="00786A40">
      <w:pPr>
        <w:pStyle w:val="Nagwek4"/>
        <w:tabs>
          <w:tab w:val="clear" w:pos="2694"/>
          <w:tab w:val="left" w:pos="2552"/>
        </w:tabs>
        <w:ind w:left="2552" w:hanging="2552"/>
        <w:rPr>
          <w:color w:val="auto"/>
        </w:rPr>
      </w:pPr>
      <w:bookmarkStart w:id="827" w:name="_Toc12532927"/>
      <w:r w:rsidRPr="009E064B">
        <w:rPr>
          <w:color w:val="auto"/>
        </w:rPr>
        <w:t xml:space="preserve">CS ADR-DSN.B.050      </w:t>
      </w:r>
      <w:r w:rsidR="00C36D76" w:rsidRPr="009E064B">
        <w:rPr>
          <w:color w:val="auto"/>
        </w:rPr>
        <w:t>Minimalna odległość pomiędzy równoległymi nieprzyrządowymi drogami startowymi</w:t>
      </w:r>
      <w:bookmarkEnd w:id="825"/>
      <w:bookmarkEnd w:id="827"/>
    </w:p>
    <w:p w14:paraId="30699E9A" w14:textId="6AFE8FB1"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48C61B09" w14:textId="70070A48"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Gdy przewidywane jest równoczesne użytkowanie równoległych nieprzyrządowych dróg startowych, minimalna odległość pomiędzy ich liniami środkowymi powinna wynosić:</w:t>
      </w:r>
    </w:p>
    <w:p w14:paraId="7307FAFD"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210 m, jeżeli wyższa cyfra kodu wynosi 3 lub 4;</w:t>
      </w:r>
    </w:p>
    <w:p w14:paraId="1434AA22"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150 m, jeżeli wyższa cyfra kodu wynosi 2; oraz</w:t>
      </w:r>
    </w:p>
    <w:p w14:paraId="436F9552" w14:textId="77777777" w:rsidR="00C36D76" w:rsidRPr="009E064B" w:rsidRDefault="00C36D76" w:rsidP="00B06A9A">
      <w:pPr>
        <w:tabs>
          <w:tab w:val="left" w:pos="1134"/>
        </w:tabs>
        <w:autoSpaceDE w:val="0"/>
        <w:autoSpaceDN w:val="0"/>
        <w:adjustRightInd w:val="0"/>
        <w:spacing w:after="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120 m, jeżeli wyższa cyfra kodu wynosi 1.</w:t>
      </w:r>
    </w:p>
    <w:p w14:paraId="2AC042C2" w14:textId="03131127" w:rsidR="001A44D6" w:rsidRPr="009E064B" w:rsidRDefault="00786A40" w:rsidP="00133B99">
      <w:pPr>
        <w:pStyle w:val="Nagwek6"/>
      </w:pPr>
      <w:bookmarkStart w:id="828" w:name="_Toc482886763"/>
      <w:bookmarkStart w:id="829" w:name="_Toc12532928"/>
      <w:r w:rsidRPr="009E064B">
        <w:t xml:space="preserve">GM1 ADR-DSN.B.050     </w:t>
      </w:r>
      <w:r w:rsidR="001A44D6" w:rsidRPr="009E064B">
        <w:t>Minimalna odległość pomiędzy równoległymi nieprzyrządowymi drogami startowymi</w:t>
      </w:r>
      <w:bookmarkEnd w:id="828"/>
      <w:bookmarkEnd w:id="829"/>
    </w:p>
    <w:p w14:paraId="0B5BD505" w14:textId="4956FA0B"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CCDC965" w14:textId="523671CC"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Z wyjątkiem niezależnych równoległych podejść do lądowania, komb</w:t>
      </w:r>
      <w:r w:rsidR="001F134F" w:rsidRPr="009E064B">
        <w:rPr>
          <w:rFonts w:eastAsia="Times New Roman,Italic" w:cs="Times New Roman,Italic"/>
          <w:iCs/>
          <w:szCs w:val="20"/>
        </w:rPr>
        <w:t xml:space="preserve">inacja minimalnych odległości i </w:t>
      </w:r>
      <w:r w:rsidRPr="009E064B">
        <w:rPr>
          <w:rFonts w:eastAsia="Times New Roman,Italic" w:cs="Times New Roman,Italic"/>
          <w:iCs/>
          <w:szCs w:val="20"/>
        </w:rPr>
        <w:t>związanych z nimi warunków innych niż te, które o</w:t>
      </w:r>
      <w:r w:rsidR="000412BF">
        <w:rPr>
          <w:rFonts w:eastAsia="Times New Roman,Italic" w:cs="Times New Roman,Italic"/>
          <w:iCs/>
          <w:szCs w:val="20"/>
        </w:rPr>
        <w:t>kreślono w podręczniku ICAO Doc </w:t>
      </w:r>
      <w:r w:rsidRPr="009E064B">
        <w:rPr>
          <w:rFonts w:eastAsia="Times New Roman,Italic" w:cs="Times New Roman,Italic"/>
          <w:iCs/>
          <w:szCs w:val="20"/>
        </w:rPr>
        <w:t>4444 „</w:t>
      </w:r>
      <w:r w:rsidRPr="009E064B">
        <w:rPr>
          <w:rFonts w:eastAsia="Times New Roman,Italic" w:cs="Times New Roman,Italic"/>
          <w:i/>
          <w:iCs/>
          <w:szCs w:val="20"/>
        </w:rPr>
        <w:t>Procedury służb żeglugi powietrznej – zarządzanie ruchem lotniczym (PANS-ATM)</w:t>
      </w:r>
      <w:r w:rsidRPr="009E064B">
        <w:rPr>
          <w:rFonts w:eastAsia="Times New Roman,Italic" w:cs="Times New Roman,Italic"/>
          <w:iCs/>
          <w:szCs w:val="20"/>
        </w:rPr>
        <w:t>”, może być stosowana, gdy zostanie uznane, że kombinacja taka nie wpłynie ujemnie na bezpieczeństwo operacji lotniczych.</w:t>
      </w:r>
    </w:p>
    <w:p w14:paraId="6DB3F504" w14:textId="6E3A356D"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Procedury określania kategorii turbulencji śladu aerodynamicznego statku powietrznego oraz minimów separacji turbulencji śladu aerodynamicznego za</w:t>
      </w:r>
      <w:r w:rsidR="000412BF">
        <w:rPr>
          <w:rFonts w:eastAsia="Times New Roman,Italic" w:cs="Times New Roman,Italic"/>
          <w:iCs/>
          <w:szCs w:val="20"/>
        </w:rPr>
        <w:t>warte są w podręczniku ICAO Doc </w:t>
      </w:r>
      <w:r w:rsidRPr="009E064B">
        <w:rPr>
          <w:rFonts w:eastAsia="Times New Roman,Italic" w:cs="Times New Roman,Italic"/>
          <w:iCs/>
          <w:szCs w:val="20"/>
        </w:rPr>
        <w:t xml:space="preserve">4444 </w:t>
      </w:r>
      <w:r w:rsidRPr="009E064B">
        <w:rPr>
          <w:rFonts w:eastAsia="Times New Roman,Italic" w:cs="Times New Roman,Italic"/>
          <w:i/>
          <w:iCs/>
          <w:szCs w:val="20"/>
        </w:rPr>
        <w:t>(PANS-ATM)</w:t>
      </w:r>
      <w:r w:rsidRPr="009E064B">
        <w:rPr>
          <w:rFonts w:eastAsia="Times New Roman,Italic" w:cs="Times New Roman,Italic"/>
          <w:iCs/>
          <w:szCs w:val="20"/>
        </w:rPr>
        <w:t>, odpowiednio w Rozdziale 4 p</w:t>
      </w:r>
      <w:r w:rsidR="009D084D" w:rsidRPr="009E064B">
        <w:rPr>
          <w:rFonts w:eastAsia="Times New Roman,Italic" w:cs="Times New Roman,Italic"/>
          <w:iCs/>
          <w:szCs w:val="20"/>
        </w:rPr>
        <w:t>kt</w:t>
      </w:r>
      <w:r w:rsidRPr="009E064B">
        <w:rPr>
          <w:rFonts w:eastAsia="Times New Roman,Italic" w:cs="Times New Roman,Italic"/>
          <w:iCs/>
          <w:szCs w:val="20"/>
        </w:rPr>
        <w:t xml:space="preserve"> 4.9 i w Rozdziale 5 p</w:t>
      </w:r>
      <w:r w:rsidR="009D084D" w:rsidRPr="009E064B">
        <w:rPr>
          <w:rFonts w:eastAsia="Times New Roman,Italic" w:cs="Times New Roman,Italic"/>
          <w:iCs/>
          <w:szCs w:val="20"/>
        </w:rPr>
        <w:t>k</w:t>
      </w:r>
      <w:r w:rsidRPr="009E064B">
        <w:rPr>
          <w:rFonts w:eastAsia="Times New Roman,Italic" w:cs="Times New Roman,Italic"/>
          <w:iCs/>
          <w:szCs w:val="20"/>
        </w:rPr>
        <w:t>t 5.8.</w:t>
      </w:r>
    </w:p>
    <w:p w14:paraId="39D414FD" w14:textId="1622AC54" w:rsidR="00C36D76" w:rsidRPr="009E064B" w:rsidRDefault="00AF3F33" w:rsidP="00AF3F33">
      <w:pPr>
        <w:pStyle w:val="Nagwek4"/>
        <w:tabs>
          <w:tab w:val="clear" w:pos="2694"/>
          <w:tab w:val="left" w:pos="2552"/>
        </w:tabs>
        <w:ind w:left="2552" w:hanging="2552"/>
        <w:rPr>
          <w:color w:val="auto"/>
        </w:rPr>
      </w:pPr>
      <w:bookmarkStart w:id="830" w:name="_Toc482886540"/>
      <w:bookmarkStart w:id="831" w:name="_Toc12532929"/>
      <w:r w:rsidRPr="009E064B">
        <w:rPr>
          <w:color w:val="auto"/>
        </w:rPr>
        <w:t xml:space="preserve">CS ADR-DSN.B.055      </w:t>
      </w:r>
      <w:r w:rsidR="00C36D76" w:rsidRPr="009E064B">
        <w:rPr>
          <w:color w:val="auto"/>
        </w:rPr>
        <w:t>Minimalna odległość pomiędzy równoległymi przyrządowymi drogami startowymi</w:t>
      </w:r>
      <w:bookmarkEnd w:id="830"/>
      <w:bookmarkEnd w:id="831"/>
    </w:p>
    <w:p w14:paraId="18361145" w14:textId="4ED0424D" w:rsidR="002C3C20" w:rsidRPr="009E064B" w:rsidRDefault="00D63D4F" w:rsidP="002C3C20">
      <w:pPr>
        <w:tabs>
          <w:tab w:val="left" w:pos="567"/>
        </w:tabs>
        <w:autoSpaceDE w:val="0"/>
        <w:autoSpaceDN w:val="0"/>
        <w:adjustRightInd w:val="0"/>
        <w:ind w:left="567" w:hanging="567"/>
        <w:jc w:val="right"/>
        <w:rPr>
          <w:rFonts w:cs="Times New Roman"/>
          <w:szCs w:val="20"/>
        </w:rPr>
      </w:pPr>
      <w:r w:rsidRPr="009E064B">
        <w:rPr>
          <w:rFonts w:eastAsia="Calibri" w:cs="Calibri"/>
          <w:bCs/>
          <w:i/>
          <w:color w:val="1A171C"/>
          <w:sz w:val="16"/>
          <w:szCs w:val="20"/>
        </w:rPr>
        <w:t>Decyzja ED 2016/027/R</w:t>
      </w:r>
    </w:p>
    <w:p w14:paraId="6D4131FF"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Gdy przewidywane jest równoczesne użytkowanie równoległych przyrządowych dróg startowych, minimalna odległość pomiędzy ich liniami środkowymi powinna wynosić:</w:t>
      </w:r>
    </w:p>
    <w:p w14:paraId="7927EAB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1035 m dla podejść równoległych niezależnych;</w:t>
      </w:r>
    </w:p>
    <w:p w14:paraId="0B652C1B"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915 m dla podejść równoległych zależnych;</w:t>
      </w:r>
    </w:p>
    <w:p w14:paraId="4359BA6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760 m dla odlotów równoległych niezależnych; oraz</w:t>
      </w:r>
    </w:p>
    <w:p w14:paraId="645032B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760 m dla rozdzielonych równoległych operacji lotniczych;</w:t>
      </w:r>
    </w:p>
    <w:p w14:paraId="73B78780" w14:textId="7B579036"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szCs w:val="20"/>
        </w:rPr>
        <w:t xml:space="preserve">Oprócz zapisów w </w:t>
      </w:r>
      <w:r w:rsidR="009D084D" w:rsidRPr="009E064B">
        <w:rPr>
          <w:szCs w:val="20"/>
        </w:rPr>
        <w:t>lit. </w:t>
      </w:r>
      <w:r w:rsidRPr="009E064B">
        <w:rPr>
          <w:szCs w:val="20"/>
        </w:rPr>
        <w:t xml:space="preserve">(a) powyżej, </w:t>
      </w:r>
      <w:r w:rsidRPr="009E064B">
        <w:rPr>
          <w:rFonts w:cs="TimesNewRomanPS-ItalicMT"/>
          <w:iCs/>
          <w:szCs w:val="20"/>
        </w:rPr>
        <w:t>w przypadku rozdzielonych równoległych operacji lotniczych, podana minimalna odległość:</w:t>
      </w:r>
    </w:p>
    <w:p w14:paraId="62D6299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t>może</w:t>
      </w:r>
      <w:r w:rsidRPr="009E064B">
        <w:rPr>
          <w:rFonts w:cs="Times New Roman"/>
          <w:iCs/>
          <w:szCs w:val="20"/>
        </w:rPr>
        <w:t xml:space="preserve"> być </w:t>
      </w:r>
      <w:r w:rsidRPr="009E064B">
        <w:rPr>
          <w:rFonts w:cs="TimesNewRomanPS-ItalicMT"/>
          <w:iCs/>
          <w:szCs w:val="20"/>
        </w:rPr>
        <w:t>zmniejszona o 30 m na każde 150 m przesunięcia drogi startowej wykorzystywanej do lądowania w kierunku nadlatującego statku powietrznego, do minimum 300 m; oraz</w:t>
      </w:r>
    </w:p>
    <w:p w14:paraId="4D067BD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 New Roman"/>
          <w:iCs/>
          <w:szCs w:val="20"/>
        </w:rPr>
        <w:t xml:space="preserve">powinna być </w:t>
      </w:r>
      <w:r w:rsidRPr="009E064B">
        <w:rPr>
          <w:rFonts w:cs="TimesNewRomanPS-ItalicMT"/>
          <w:iCs/>
          <w:szCs w:val="20"/>
        </w:rPr>
        <w:t>zwiększona o 30 m na każde 150 m przesunięcia drogi startowej wykorzystywanej do lądowania w kierunku przeciwnym do nadlatującego statku powietrznego.</w:t>
      </w:r>
    </w:p>
    <w:p w14:paraId="0CCAD0B6"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(c) </w:t>
      </w:r>
      <w:r w:rsidRPr="009E064B">
        <w:rPr>
          <w:rFonts w:cs="Times New Roman"/>
          <w:szCs w:val="20"/>
        </w:rPr>
        <w:tab/>
      </w:r>
      <w:r w:rsidRPr="009E064B">
        <w:rPr>
          <w:szCs w:val="20"/>
        </w:rPr>
        <w:t>Inne kombinacje odległości minimalnych powinny być stosowane z uwzględnieniem ATM</w:t>
      </w:r>
      <w:r w:rsidRPr="009E064B">
        <w:rPr>
          <w:rStyle w:val="Odwoanieprzypisudolnego"/>
          <w:szCs w:val="20"/>
        </w:rPr>
        <w:footnoteReference w:id="40"/>
      </w:r>
      <w:r w:rsidRPr="009E064B">
        <w:rPr>
          <w:szCs w:val="20"/>
        </w:rPr>
        <w:t xml:space="preserve"> i aspektów operacyjnych.</w:t>
      </w:r>
    </w:p>
    <w:p w14:paraId="5BB5A08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1DBF651" w14:textId="77777777" w:rsidR="001A44D6" w:rsidRPr="009E064B" w:rsidRDefault="001A44D6" w:rsidP="00133B99">
      <w:pPr>
        <w:pStyle w:val="Nagwek6"/>
      </w:pPr>
      <w:bookmarkStart w:id="832" w:name="_Toc401058895"/>
      <w:bookmarkStart w:id="833" w:name="_Toc482886764"/>
      <w:bookmarkStart w:id="834" w:name="_Toc12532930"/>
      <w:bookmarkStart w:id="835" w:name="_Toc482886541"/>
      <w:r w:rsidRPr="009E064B">
        <w:t xml:space="preserve">GM1 ADR-DSN.B.055 </w:t>
      </w:r>
      <w:r w:rsidR="002C3C20" w:rsidRPr="009E064B">
        <w:t xml:space="preserve">    </w:t>
      </w:r>
      <w:r w:rsidRPr="009E064B">
        <w:t>Minimalna odległość pomiędzy równoległymi przyrządowymi drogami startowymi</w:t>
      </w:r>
      <w:bookmarkEnd w:id="832"/>
      <w:bookmarkEnd w:id="833"/>
      <w:bookmarkEnd w:id="834"/>
    </w:p>
    <w:p w14:paraId="4E855FC3" w14:textId="46ADB840" w:rsidR="002C3C20" w:rsidRPr="009E064B" w:rsidRDefault="00D63D4F" w:rsidP="002C3C20">
      <w:pPr>
        <w:jc w:val="right"/>
      </w:pPr>
      <w:r w:rsidRPr="009E064B">
        <w:rPr>
          <w:rFonts w:eastAsia="Calibri" w:cs="Calibri"/>
          <w:bCs/>
          <w:i/>
          <w:color w:val="1A171C"/>
          <w:sz w:val="16"/>
          <w:szCs w:val="20"/>
        </w:rPr>
        <w:t>Decyzja ED 2016/027/R</w:t>
      </w:r>
    </w:p>
    <w:p w14:paraId="6DB7899D" w14:textId="52E6C2EC" w:rsidR="001A44D6" w:rsidRPr="009E064B" w:rsidRDefault="001A44D6" w:rsidP="00B06A9A">
      <w:pPr>
        <w:autoSpaceDE w:val="0"/>
        <w:autoSpaceDN w:val="0"/>
        <w:adjustRightInd w:val="0"/>
        <w:rPr>
          <w:rFonts w:cs="Times New Roman"/>
          <w:iCs/>
          <w:szCs w:val="20"/>
        </w:rPr>
      </w:pPr>
      <w:r w:rsidRPr="009E064B">
        <w:rPr>
          <w:rFonts w:cs="Times New Roman"/>
          <w:iCs/>
          <w:szCs w:val="20"/>
        </w:rPr>
        <w:t>Procedury i wymagane urządzenia dla operacji lotniczych wykonywanych równocześnie na równoległych lub prawie równoległych przyrządowych drogach startowych są zawarte w publikacji „PANS-ATM” (Doc 4444), Rozdział 6 oraz „PANS-OPS” (Doc 8168) Tom I, Czę</w:t>
      </w:r>
      <w:r w:rsidR="000412BF">
        <w:rPr>
          <w:rFonts w:cs="Times New Roman"/>
          <w:iCs/>
          <w:szCs w:val="20"/>
        </w:rPr>
        <w:t>ść III, Sekcja 2; Tom II, Część </w:t>
      </w:r>
      <w:r w:rsidRPr="009E064B">
        <w:rPr>
          <w:rFonts w:cs="Times New Roman"/>
          <w:iCs/>
          <w:szCs w:val="20"/>
        </w:rPr>
        <w:t xml:space="preserve">I, Sekcja 3; Część II, Sekcja 1 i Część III, Sekcja </w:t>
      </w:r>
      <w:smartTag w:uri="urn:schemas-microsoft-com:office:smarttags" w:element="metricconverter">
        <w:smartTagPr>
          <w:attr w:name="ProductID" w:val="3, a"/>
        </w:smartTagPr>
        <w:r w:rsidRPr="009E064B">
          <w:rPr>
            <w:rFonts w:cs="Times New Roman"/>
            <w:iCs/>
            <w:szCs w:val="20"/>
          </w:rPr>
          <w:t>3, a</w:t>
        </w:r>
      </w:smartTag>
      <w:r w:rsidRPr="009E064B">
        <w:rPr>
          <w:rFonts w:cs="Times New Roman"/>
          <w:iCs/>
          <w:szCs w:val="20"/>
        </w:rPr>
        <w:t xml:space="preserve"> także</w:t>
      </w:r>
      <w:r w:rsidR="006F2149" w:rsidRPr="009E064B">
        <w:rPr>
          <w:rFonts w:cs="Times New Roman"/>
          <w:iCs/>
          <w:szCs w:val="20"/>
        </w:rPr>
        <w:t xml:space="preserve"> odpowiednie wytyczne zawarto w </w:t>
      </w:r>
      <w:r w:rsidRPr="009E064B">
        <w:rPr>
          <w:rFonts w:cs="Times New Roman"/>
          <w:iCs/>
          <w:szCs w:val="20"/>
        </w:rPr>
        <w:t>„Podręczniku równoczesnych operacji lotniczych na równoległych lub prawie równoległych przyrządowych drogach startowych” (Doc 9643</w:t>
      </w:r>
      <w:r w:rsidRPr="009E064B">
        <w:rPr>
          <w:rStyle w:val="Odwoanieprzypisudolnego"/>
          <w:rFonts w:cs="Times New Roman"/>
          <w:iCs/>
          <w:szCs w:val="20"/>
        </w:rPr>
        <w:footnoteReference w:id="41"/>
      </w:r>
      <w:r w:rsidRPr="009E064B">
        <w:rPr>
          <w:rFonts w:cs="Times New Roman"/>
          <w:iCs/>
          <w:szCs w:val="20"/>
        </w:rPr>
        <w:t>).</w:t>
      </w:r>
    </w:p>
    <w:p w14:paraId="35273AB5" w14:textId="77777777"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B218739" w14:textId="6F00B5E4" w:rsidR="00C36D76" w:rsidRPr="009E064B" w:rsidRDefault="002C3C20" w:rsidP="00B06A9A">
      <w:pPr>
        <w:pStyle w:val="Nagwek4"/>
        <w:rPr>
          <w:color w:val="auto"/>
        </w:rPr>
      </w:pPr>
      <w:bookmarkStart w:id="836" w:name="_CS_ADR-DSN.B.060_"/>
      <w:bookmarkStart w:id="837" w:name="_Toc12532931"/>
      <w:bookmarkEnd w:id="836"/>
      <w:r w:rsidRPr="009E064B">
        <w:rPr>
          <w:color w:val="auto"/>
        </w:rPr>
        <w:t xml:space="preserve">CS ADR-DSN.B.060     </w:t>
      </w:r>
      <w:r w:rsidR="00C36D76" w:rsidRPr="009E064B">
        <w:rPr>
          <w:color w:val="auto"/>
        </w:rPr>
        <w:t>Nachylenia podłużne drogi startowej</w:t>
      </w:r>
      <w:bookmarkEnd w:id="835"/>
      <w:bookmarkEnd w:id="837"/>
    </w:p>
    <w:p w14:paraId="304D7B3C" w14:textId="4AE162FB" w:rsidR="002C3C20" w:rsidRPr="009E064B" w:rsidRDefault="00D63D4F" w:rsidP="002C3C20">
      <w:pPr>
        <w:autoSpaceDE w:val="0"/>
        <w:autoSpaceDN w:val="0"/>
        <w:adjustRightInd w:val="0"/>
        <w:ind w:left="567" w:hanging="567"/>
        <w:jc w:val="right"/>
        <w:rPr>
          <w:rFonts w:cs="Times New Roman"/>
          <w:szCs w:val="20"/>
        </w:rPr>
      </w:pPr>
      <w:r w:rsidRPr="009E064B">
        <w:rPr>
          <w:rFonts w:eastAsia="Calibri" w:cs="Calibri"/>
          <w:bCs/>
          <w:i/>
          <w:color w:val="1A171C"/>
          <w:sz w:val="16"/>
          <w:szCs w:val="20"/>
        </w:rPr>
        <w:t>Decyzja ED 2016/027/R</w:t>
      </w:r>
    </w:p>
    <w:p w14:paraId="277D8B5C" w14:textId="77777777" w:rsidR="00C36D76" w:rsidRPr="009E064B" w:rsidRDefault="00C36D76" w:rsidP="00B06A9A">
      <w:pPr>
        <w:autoSpaceDE w:val="0"/>
        <w:autoSpaceDN w:val="0"/>
        <w:adjustRightInd w:val="0"/>
        <w:ind w:left="567" w:hanging="567"/>
      </w:pPr>
      <w:r w:rsidRPr="009E064B">
        <w:rPr>
          <w:rFonts w:cs="Times New Roman"/>
          <w:szCs w:val="20"/>
        </w:rPr>
        <w:t xml:space="preserve">(a) </w:t>
      </w:r>
      <w:r w:rsidRPr="009E064B">
        <w:rPr>
          <w:rFonts w:cs="Times New Roman"/>
          <w:szCs w:val="20"/>
        </w:rPr>
        <w:tab/>
      </w:r>
      <w:r w:rsidRPr="009E064B">
        <w:rPr>
          <w:szCs w:val="20"/>
        </w:rPr>
        <w:t>Celem bezpieczeństwa ograniczenia nachyleń podłużnych drogi startowej jest zapewnienie ustabilizowanego i bezpiecznego użytkowania drogi startowej przez statek powietrzny.</w:t>
      </w:r>
    </w:p>
    <w:p w14:paraId="165804BE" w14:textId="77777777"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Nachylenie otrzymane poprzez podzielenie różnicy pomiędzy najwyższą i najniższą wysokością wzdłuż linii środkowej drogi startowej przez długość tej drogi startowej nie powinno przekraczać:</w:t>
      </w:r>
    </w:p>
    <w:p w14:paraId="49BAA8F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 gdy cyfra kodu wynosi 3 lub 4, oraz</w:t>
      </w:r>
    </w:p>
    <w:p w14:paraId="18F0F19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2%, gdy cyfra kodu wynosi 1 lub 2</w:t>
      </w:r>
      <w:r w:rsidRPr="009E064B">
        <w:rPr>
          <w:rFonts w:cs="TimesNewRomanPSMT"/>
          <w:szCs w:val="20"/>
        </w:rPr>
        <w:t>.</w:t>
      </w:r>
    </w:p>
    <w:p w14:paraId="6E6FCF04" w14:textId="77777777"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Nachylenie podłużne żadnej części drogi startowej nie powinno przekraczać:</w:t>
      </w:r>
    </w:p>
    <w:p w14:paraId="5265C50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1.25 %, gdy cyfra kodu wynosi 4, z wyjątkiem pierwszej i ostatniej ćwiartki długości drogi startowej, gdzie nachylenie podłużne nie powinno przekraczać 0,8%;</w:t>
      </w:r>
    </w:p>
    <w:p w14:paraId="2543E7F9"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1.5 %, gdy cyfra kodu wynosi 3, z wyjątkiem pierwszej i ostatniej ćwiartki długości drogi startowej z podejściem precyzyjnym kategorii II lub III, gdzie nachylenie podłużne nie powinno przekraczać 0,8%;</w:t>
      </w:r>
    </w:p>
    <w:p w14:paraId="3926F3CE" w14:textId="77777777" w:rsidR="00C36D76" w:rsidRPr="009E064B" w:rsidRDefault="00C36D76" w:rsidP="00B06A9A">
      <w:pPr>
        <w:tabs>
          <w:tab w:val="left" w:pos="1134"/>
        </w:tabs>
        <w:autoSpaceDE w:val="0"/>
        <w:autoSpaceDN w:val="0"/>
        <w:adjustRightInd w:val="0"/>
        <w:spacing w:after="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2 %, gdy cyfra kodu wynosi 1 lub 2.</w:t>
      </w:r>
    </w:p>
    <w:p w14:paraId="2663F017"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2FE7C6B" w14:textId="29395375" w:rsidR="001A44D6" w:rsidRPr="009E064B" w:rsidRDefault="00AF3F33" w:rsidP="00133B99">
      <w:pPr>
        <w:pStyle w:val="Nagwek6"/>
      </w:pPr>
      <w:bookmarkStart w:id="838" w:name="_Toc401058896"/>
      <w:bookmarkStart w:id="839" w:name="_Toc482886765"/>
      <w:bookmarkStart w:id="840" w:name="_Toc12532932"/>
      <w:bookmarkStart w:id="841" w:name="_Toc482886542"/>
      <w:r w:rsidRPr="009E064B">
        <w:t xml:space="preserve">GM1 ADR-DSN.B.060     </w:t>
      </w:r>
      <w:r w:rsidR="001A44D6" w:rsidRPr="009E064B">
        <w:t>Nachylenia podłużne drogi startowej</w:t>
      </w:r>
      <w:bookmarkEnd w:id="838"/>
      <w:bookmarkEnd w:id="839"/>
      <w:bookmarkEnd w:id="840"/>
    </w:p>
    <w:p w14:paraId="47D31915" w14:textId="3750B1C3"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5F7637CD" w14:textId="7D412309" w:rsidR="001A44D6" w:rsidRPr="000412BF" w:rsidRDefault="001A44D6" w:rsidP="00B06A9A">
      <w:pPr>
        <w:autoSpaceDE w:val="0"/>
        <w:autoSpaceDN w:val="0"/>
        <w:adjustRightInd w:val="0"/>
        <w:rPr>
          <w:rFonts w:eastAsia="Times New Roman,Italic" w:cs="Times New Roman,Italic"/>
          <w:iCs/>
          <w:szCs w:val="20"/>
        </w:rPr>
      </w:pPr>
      <w:r w:rsidRPr="000412BF">
        <w:rPr>
          <w:rFonts w:eastAsia="Times New Roman,Italic" w:cs="Times New Roman,Italic"/>
          <w:iCs/>
          <w:szCs w:val="20"/>
        </w:rPr>
        <w:t>Nachylenia powinny być zaprojektowane w taki sposób, aby ograniczyć do minimum wpływ na statki powietrzne oraz aby nie utrudniać wykonywania operacji statków powietrznych. W przypadku dróg startowych z podej</w:t>
      </w:r>
      <w:r w:rsidR="00034C97" w:rsidRPr="000412BF">
        <w:rPr>
          <w:rFonts w:eastAsia="Times New Roman,Italic" w:cs="Times New Roman,Italic"/>
          <w:iCs/>
          <w:szCs w:val="20"/>
        </w:rPr>
        <w:t>ściem precyzyjnym, nachylenia w </w:t>
      </w:r>
      <w:r w:rsidRPr="000412BF">
        <w:rPr>
          <w:rFonts w:eastAsia="Times New Roman,Italic" w:cs="Times New Roman,Italic"/>
          <w:iCs/>
          <w:szCs w:val="20"/>
        </w:rPr>
        <w:t>określonym obszarze od końca drogi startowej, łącznie ze strefą przyziemienia, powinny być zaprojektowane w taki sposób, aby odpowiadały one charakterystyce wymaganej dla takiego typu podejścia.</w:t>
      </w:r>
    </w:p>
    <w:p w14:paraId="2E4F12D8" w14:textId="77777777" w:rsidR="008960B1" w:rsidRPr="009E064B" w:rsidRDefault="008960B1" w:rsidP="008960B1">
      <w:pPr>
        <w:pStyle w:val="Tekstpodstawowy"/>
        <w:spacing w:before="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547A92F" w14:textId="09549A0C" w:rsidR="00C36D76" w:rsidRPr="009E064B" w:rsidRDefault="00AF3F33" w:rsidP="00B06A9A">
      <w:pPr>
        <w:pStyle w:val="Nagwek4"/>
        <w:rPr>
          <w:color w:val="auto"/>
        </w:rPr>
      </w:pPr>
      <w:bookmarkStart w:id="842" w:name="_Toc12532933"/>
      <w:r w:rsidRPr="009E064B">
        <w:rPr>
          <w:color w:val="auto"/>
        </w:rPr>
        <w:t xml:space="preserve">CS ADR-DSN.B.065     </w:t>
      </w:r>
      <w:r w:rsidR="00C36D76" w:rsidRPr="009E064B">
        <w:rPr>
          <w:color w:val="auto"/>
        </w:rPr>
        <w:t>Zmiany nachylenia podłużnego drogi startowej</w:t>
      </w:r>
      <w:bookmarkEnd w:id="841"/>
      <w:bookmarkEnd w:id="842"/>
    </w:p>
    <w:p w14:paraId="5513DC90" w14:textId="2F9F7A4D"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393257A0" w14:textId="26DA7740"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ograniczenia zmian nachylenia podłużnego drogi startowej jest zapobieganie uszkodzeniom statku powietrznego oraz umożliwienie bezpiecznego użytkowania drogi startowej przez statek powietrzny.</w:t>
      </w:r>
    </w:p>
    <w:p w14:paraId="5B587003" w14:textId="77777777"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Tam, gdzie nie można uniknąć zmian nachylenia, zmiana nachylenia między dwoma kolejnymi nachyleniami nie powinna przekraczać:</w:t>
      </w:r>
    </w:p>
    <w:p w14:paraId="6ACE099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1.5%, gdy cyfra kodu wynosi 3 lub 4; oraz</w:t>
      </w:r>
    </w:p>
    <w:p w14:paraId="7D52D24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2 %, gdy cyfra kodu wynosi 1 lub 2</w:t>
      </w:r>
    </w:p>
    <w:p w14:paraId="6D59C156" w14:textId="77777777"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Przejście z jednego nachylenia do drugiego powinno być wykonane płaszczyzną zakrzywioną, której stopień zmiany nachylenia nie przekracza:</w:t>
      </w:r>
    </w:p>
    <w:p w14:paraId="275AEE7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0.1% na 30 m (minimalny promień krzywizny równy 30 000 m), gdy cyfra kodu wynosi 4;</w:t>
      </w:r>
    </w:p>
    <w:p w14:paraId="667B0632"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0.2% na 30 m (minimalny promień krzywizny równy 15 000 m), gdy cyfra kodu wynosi 3; oraz</w:t>
      </w:r>
    </w:p>
    <w:p w14:paraId="18A9AA7F" w14:textId="11BEE5CD" w:rsidR="00C36D76" w:rsidRPr="009E064B" w:rsidRDefault="00C36D76" w:rsidP="00B06A9A">
      <w:pPr>
        <w:tabs>
          <w:tab w:val="left" w:pos="1134"/>
        </w:tabs>
        <w:autoSpaceDE w:val="0"/>
        <w:autoSpaceDN w:val="0"/>
        <w:adjustRightInd w:val="0"/>
        <w:spacing w:after="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 xml:space="preserve">0.4% na 30m (minimalny promień krzywizny równy 7 500 </w:t>
      </w:r>
      <w:r w:rsidR="009D084D" w:rsidRPr="009E064B">
        <w:rPr>
          <w:rFonts w:cs="TimesNewRomanPS-ItalicMT"/>
          <w:iCs/>
          <w:szCs w:val="20"/>
        </w:rPr>
        <w:t>m), gdy cyfra kodu wynosi 1 </w:t>
      </w:r>
      <w:r w:rsidR="00D63266" w:rsidRPr="009E064B">
        <w:rPr>
          <w:rFonts w:cs="TimesNewRomanPS-ItalicMT"/>
          <w:iCs/>
          <w:szCs w:val="20"/>
        </w:rPr>
        <w:t>lub </w:t>
      </w:r>
      <w:r w:rsidRPr="009E064B">
        <w:rPr>
          <w:rFonts w:cs="TimesNewRomanPS-ItalicMT"/>
          <w:iCs/>
          <w:szCs w:val="20"/>
        </w:rPr>
        <w:t>2.</w:t>
      </w:r>
    </w:p>
    <w:p w14:paraId="3FFE870E" w14:textId="4C9BDB39" w:rsidR="001A44D6" w:rsidRPr="009E064B" w:rsidRDefault="001F134F" w:rsidP="00133B99">
      <w:pPr>
        <w:pStyle w:val="Nagwek6"/>
      </w:pPr>
      <w:bookmarkStart w:id="843" w:name="_Toc401058897"/>
      <w:bookmarkStart w:id="844" w:name="_Toc482886766"/>
      <w:bookmarkStart w:id="845" w:name="_Toc12532934"/>
      <w:bookmarkStart w:id="846" w:name="_Toc482886543"/>
      <w:r w:rsidRPr="009E064B">
        <w:t xml:space="preserve">GM1 ADR-DSN.B.065     </w:t>
      </w:r>
      <w:r w:rsidR="001A44D6" w:rsidRPr="009E064B">
        <w:t>Zmiany nachylenia podłużnego</w:t>
      </w:r>
      <w:bookmarkEnd w:id="843"/>
      <w:r w:rsidR="001A44D6" w:rsidRPr="009E064B">
        <w:t xml:space="preserve"> drogi startowej</w:t>
      </w:r>
      <w:bookmarkEnd w:id="844"/>
      <w:bookmarkEnd w:id="845"/>
    </w:p>
    <w:p w14:paraId="2E184715" w14:textId="3D6AEA5E"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072D345F"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Zmiany nachylenia są zaprojektowane w taki sposób, aby zmniejszyć dynamiczne obciążenia podwozia samolotu. Ograniczenie zmian nachylenia jest szczególnie ważne na drogach startowych gdzie statki powietrzne poruszają się z dużą prędkością.</w:t>
      </w:r>
    </w:p>
    <w:p w14:paraId="08A5C83E" w14:textId="77777777" w:rsidR="00ED2629" w:rsidRDefault="001A44D6" w:rsidP="0016515D">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 xml:space="preserve">W przypadku dróg startowych z podejściem precyzyjnym, </w:t>
      </w:r>
      <w:r w:rsidRPr="009E064B">
        <w:rPr>
          <w:rFonts w:eastAsia="Times New Roman,Italic" w:cs="Times New Roman,Italic"/>
          <w:iCs/>
          <w:szCs w:val="20"/>
        </w:rPr>
        <w:t>nachylenia w określonym obszarze od końca drogi startowej, łącznie ze strefą przyziemienia, powinny być zaprojektowane w taki sposób, aby odpowiadały one charakterystyce wymaganej dla takiego typu podejścia.</w:t>
      </w:r>
      <w:r w:rsidR="0016515D" w:rsidRPr="009E064B">
        <w:rPr>
          <w:rFonts w:eastAsia="Times New Roman,Italic" w:cs="Times New Roman,Italic"/>
          <w:iCs/>
          <w:szCs w:val="20"/>
        </w:rPr>
        <w:t xml:space="preserve"> </w:t>
      </w:r>
    </w:p>
    <w:p w14:paraId="40ED075E" w14:textId="78216CCB" w:rsidR="00C36D76" w:rsidRPr="009E064B" w:rsidRDefault="001F134F" w:rsidP="00B06A9A">
      <w:pPr>
        <w:pStyle w:val="Nagwek4"/>
        <w:rPr>
          <w:color w:val="auto"/>
        </w:rPr>
      </w:pPr>
      <w:bookmarkStart w:id="847" w:name="_Toc12532935"/>
      <w:r w:rsidRPr="009E064B">
        <w:rPr>
          <w:color w:val="auto"/>
        </w:rPr>
        <w:t xml:space="preserve">CS ADR-DSN.B.070     </w:t>
      </w:r>
      <w:r w:rsidR="00C36D76" w:rsidRPr="009E064B">
        <w:rPr>
          <w:color w:val="auto"/>
        </w:rPr>
        <w:t>Zasięg widoczności dla nachyleń drogi startowej</w:t>
      </w:r>
      <w:bookmarkEnd w:id="846"/>
      <w:bookmarkEnd w:id="847"/>
    </w:p>
    <w:p w14:paraId="54434AC5" w14:textId="75BA68FF" w:rsidR="001F134F" w:rsidRPr="009E064B" w:rsidRDefault="001F74A1" w:rsidP="001F134F">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604079A3" w14:textId="5B55BB40"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dla minimalnego zasięgu widoczności na drodze startowej jest osiągnięcie niezbędnej widoczności umożliwiającej bezpieczne użytkowanie drogi startowej przez statek powietrzny.</w:t>
      </w:r>
    </w:p>
    <w:p w14:paraId="24874FE9" w14:textId="77777777" w:rsidR="00C36D76" w:rsidRPr="009E064B" w:rsidRDefault="00C36D76" w:rsidP="00B06A9A">
      <w:pPr>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Jeżeli nie można uniknąć zmian nachylenia na drodze startowej, to zmiany te powinny być takie, aby zachowana była następująca nieprzerwana linia widoczności:</w:t>
      </w:r>
    </w:p>
    <w:p w14:paraId="7611747C" w14:textId="02C58AB5"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t>każdy</w:t>
      </w:r>
      <w:r w:rsidRPr="009E064B">
        <w:rPr>
          <w:rFonts w:cs="TimesNewRomanPS-ItalicMT"/>
          <w:iCs/>
          <w:szCs w:val="20"/>
        </w:rPr>
        <w:t xml:space="preserve"> punkt znajdujący się na wysokości 3 m nad drogą startową, powinien być widoczny z innego punktu znajdującego się również 3 m nad drogą startową w</w:t>
      </w:r>
      <w:r w:rsidR="00ED2629">
        <w:rPr>
          <w:rFonts w:cs="TimesNewRomanPS-ItalicMT"/>
          <w:iCs/>
          <w:szCs w:val="20"/>
        </w:rPr>
        <w:t xml:space="preserve"> </w:t>
      </w:r>
      <w:r w:rsidRPr="009E064B">
        <w:rPr>
          <w:rFonts w:cs="TimesNewRomanPS-ItalicMT"/>
          <w:iCs/>
          <w:szCs w:val="20"/>
        </w:rPr>
        <w:t>odległości równej, co najmniej połowie długości tej drogi, gdy literą kodu jest C, D, E lub F;</w:t>
      </w:r>
    </w:p>
    <w:p w14:paraId="16AEA6E5"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t>każdy</w:t>
      </w:r>
      <w:r w:rsidRPr="009E064B">
        <w:rPr>
          <w:rFonts w:cs="TimesNewRomanPS-ItalicMT"/>
          <w:iCs/>
          <w:szCs w:val="20"/>
        </w:rPr>
        <w:t xml:space="preserve"> punkt znajdujący się na wysokości 2 m nad drogą startową, powinien być widoczny z innego punktu znajdującego się również 2 m nad drogą startową w odległości równej, co najmniej połowie długości tej drogi, gdy literą kodu jest B;</w:t>
      </w:r>
    </w:p>
    <w:p w14:paraId="45455DC2" w14:textId="77777777" w:rsidR="00C36D76" w:rsidRPr="009E064B" w:rsidRDefault="00C36D76" w:rsidP="00B06A9A">
      <w:pPr>
        <w:tabs>
          <w:tab w:val="left" w:pos="1134"/>
        </w:tabs>
        <w:autoSpaceDE w:val="0"/>
        <w:autoSpaceDN w:val="0"/>
        <w:adjustRightInd w:val="0"/>
        <w:spacing w:after="0"/>
        <w:ind w:left="1134" w:hanging="567"/>
        <w:rPr>
          <w:rFonts w:cs="TimesNewRomanPS-ItalicMT"/>
          <w:iCs/>
          <w:szCs w:val="20"/>
        </w:rPr>
      </w:pPr>
      <w:r w:rsidRPr="009E064B">
        <w:rPr>
          <w:rFonts w:cs="Times New Roman"/>
          <w:szCs w:val="20"/>
        </w:rPr>
        <w:t xml:space="preserve">(3) </w:t>
      </w:r>
      <w:r w:rsidRPr="009E064B">
        <w:rPr>
          <w:rFonts w:cs="Times New Roman"/>
          <w:szCs w:val="20"/>
        </w:rPr>
        <w:tab/>
        <w:t>każdy</w:t>
      </w:r>
      <w:r w:rsidRPr="009E064B">
        <w:rPr>
          <w:rFonts w:cs="TimesNewRomanPS-ItalicMT"/>
          <w:iCs/>
          <w:szCs w:val="20"/>
        </w:rPr>
        <w:t xml:space="preserve"> punkt znajdujący się na wysokości 1,5 m nad drogą startową, powinien być widoczny z innego punktu znajdującego się również 1,5 m nad drogą startową w odległości równej, co najmniej połowie długości tej drogi, gdy literą kodu jest A;</w:t>
      </w:r>
    </w:p>
    <w:p w14:paraId="112AA8A8" w14:textId="5679CB6E" w:rsidR="001A44D6" w:rsidRPr="009E064B" w:rsidRDefault="001A44D6" w:rsidP="00133B99">
      <w:pPr>
        <w:pStyle w:val="Nagwek6"/>
      </w:pPr>
      <w:bookmarkStart w:id="848" w:name="_Toc401058898"/>
      <w:bookmarkStart w:id="849" w:name="_Toc482886767"/>
      <w:bookmarkStart w:id="850" w:name="_Toc12532936"/>
      <w:bookmarkStart w:id="851" w:name="_Toc482886544"/>
      <w:r w:rsidRPr="009E064B">
        <w:t xml:space="preserve">GM1 ADR-DSN.B.070 </w:t>
      </w:r>
      <w:bookmarkEnd w:id="848"/>
      <w:r w:rsidR="00AF3F33" w:rsidRPr="009E064B">
        <w:t xml:space="preserve">    </w:t>
      </w:r>
      <w:r w:rsidRPr="009E064B">
        <w:t>Zasięg widoczności dla nachyleń drogi startowej</w:t>
      </w:r>
      <w:bookmarkEnd w:id="849"/>
      <w:bookmarkEnd w:id="850"/>
    </w:p>
    <w:p w14:paraId="2C94EBF5" w14:textId="5E21DA12" w:rsidR="001A44D6" w:rsidRPr="009E064B" w:rsidRDefault="00D63D4F" w:rsidP="002C3C20">
      <w:pPr>
        <w:jc w:val="right"/>
      </w:pPr>
      <w:r w:rsidRPr="009E064B">
        <w:rPr>
          <w:rFonts w:eastAsia="Calibri" w:cs="Calibri"/>
          <w:bCs/>
          <w:i/>
          <w:color w:val="1A171C"/>
          <w:sz w:val="16"/>
          <w:szCs w:val="20"/>
        </w:rPr>
        <w:t>Decyzja ED 2016/027/R</w:t>
      </w:r>
    </w:p>
    <w:p w14:paraId="682CCEF3" w14:textId="77777777" w:rsidR="001A44D6" w:rsidRPr="009E064B" w:rsidRDefault="001A44D6" w:rsidP="00B06A9A">
      <w:pPr>
        <w:rPr>
          <w:szCs w:val="20"/>
        </w:rPr>
      </w:pPr>
      <w:r w:rsidRPr="009E064B">
        <w:rPr>
          <w:szCs w:val="20"/>
        </w:rPr>
        <w:t>Podłużne nachylenia drogi startowej i zmiany nachylenia, mają być zaprojektowane w taki sposób, aby pilot miał nieograniczoną linię widoczności nad całością lub możliwie jak największą częścią drogi startowej, umożliwiając mu w ten sposób widzenie statków powietrznych oraz pojazdów znajdujących się na drodze startowej, aby mógł wykonywać manewry i podejmować działania unikające.</w:t>
      </w:r>
    </w:p>
    <w:p w14:paraId="1A0C1BEB" w14:textId="77777777"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D97BF77" w14:textId="061D93AF" w:rsidR="00C36D76" w:rsidRPr="009E064B" w:rsidRDefault="00AF3F33" w:rsidP="00AF3F33">
      <w:pPr>
        <w:pStyle w:val="Nagwek4"/>
        <w:tabs>
          <w:tab w:val="clear" w:pos="2694"/>
          <w:tab w:val="left" w:pos="2552"/>
        </w:tabs>
        <w:ind w:left="2552" w:hanging="2552"/>
        <w:rPr>
          <w:color w:val="auto"/>
        </w:rPr>
      </w:pPr>
      <w:bookmarkStart w:id="852" w:name="_Toc12532937"/>
      <w:r w:rsidRPr="009E064B">
        <w:rPr>
          <w:color w:val="auto"/>
        </w:rPr>
        <w:t xml:space="preserve">CS ADR-DSN.B.075      </w:t>
      </w:r>
      <w:r w:rsidR="00C36D76" w:rsidRPr="009E064B">
        <w:rPr>
          <w:color w:val="auto"/>
        </w:rPr>
        <w:t>Odległość pomiędzy zmianami nachylenia na drodze startowej</w:t>
      </w:r>
      <w:bookmarkEnd w:id="851"/>
      <w:bookmarkEnd w:id="852"/>
    </w:p>
    <w:p w14:paraId="7CAEFA95" w14:textId="6FA803A3" w:rsidR="00D63266" w:rsidRPr="009E064B" w:rsidRDefault="001F74A1" w:rsidP="00D6326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19921CE" w14:textId="54F55FA4" w:rsidR="00C36D76" w:rsidRPr="009E064B" w:rsidRDefault="00C36D76" w:rsidP="00B06A9A">
      <w:pPr>
        <w:autoSpaceDE w:val="0"/>
        <w:autoSpaceDN w:val="0"/>
        <w:adjustRightInd w:val="0"/>
        <w:rPr>
          <w:rFonts w:cs="TimesNewRomanPS-ItalicMT"/>
          <w:iCs/>
          <w:szCs w:val="20"/>
        </w:rPr>
      </w:pPr>
      <w:r w:rsidRPr="009E064B">
        <w:rPr>
          <w:rFonts w:cs="TimesNewRomanPS-ItalicMT"/>
          <w:iCs/>
          <w:szCs w:val="20"/>
        </w:rPr>
        <w:t>Należy unikać pofałdowań lub dających się zauważyć zmian nachylenia terenu, położonych blisko siebie wzdłuż pasa startowego. Odległość pomiędzy punktami przecięcia dwóch sąsiednich krzywizn nie powinna być mniejsza niż:</w:t>
      </w:r>
    </w:p>
    <w:p w14:paraId="0AB2B30E"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suma wartości bezwzględnych danych zmian nachylenia pomnożonych przez odpowiednią z niżej podanych wartości:</w:t>
      </w:r>
    </w:p>
    <w:p w14:paraId="048BE40D"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30 000 m, gdy cyfra kodu wynosi 4;</w:t>
      </w:r>
    </w:p>
    <w:p w14:paraId="05B87089"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15 000 m, gdy cyfra kodu wynosi 3; oraz</w:t>
      </w:r>
    </w:p>
    <w:p w14:paraId="0FC1F8E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5 000 m, gdy cyfra kodu wynosi 1 lub 2; lub</w:t>
      </w:r>
    </w:p>
    <w:p w14:paraId="1F75CA06"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45 m;</w:t>
      </w:r>
    </w:p>
    <w:p w14:paraId="04D40C71" w14:textId="77777777" w:rsidR="00C36D76" w:rsidRPr="009E064B" w:rsidRDefault="00C36D76" w:rsidP="00B06A9A">
      <w:pPr>
        <w:autoSpaceDE w:val="0"/>
        <w:autoSpaceDN w:val="0"/>
        <w:adjustRightInd w:val="0"/>
        <w:spacing w:after="0"/>
        <w:rPr>
          <w:rFonts w:cs="TimesNewRomanPS-ItalicMT"/>
          <w:iCs/>
          <w:szCs w:val="20"/>
        </w:rPr>
      </w:pPr>
      <w:r w:rsidRPr="009E064B">
        <w:rPr>
          <w:rFonts w:cs="TimesNewRomanPS-ItalicMT"/>
          <w:iCs/>
          <w:szCs w:val="20"/>
        </w:rPr>
        <w:t>którakolwiek z nich jest większa.</w:t>
      </w:r>
    </w:p>
    <w:p w14:paraId="55EE10BC" w14:textId="2FA2511C" w:rsidR="001A44D6" w:rsidRPr="009E064B" w:rsidRDefault="00AF3F33" w:rsidP="00133B99">
      <w:pPr>
        <w:pStyle w:val="Nagwek6"/>
      </w:pPr>
      <w:bookmarkStart w:id="853" w:name="_Toc401058899"/>
      <w:bookmarkStart w:id="854" w:name="_Toc482886768"/>
      <w:bookmarkStart w:id="855" w:name="_Toc12532938"/>
      <w:bookmarkStart w:id="856" w:name="_Toc482886545"/>
      <w:r w:rsidRPr="009E064B">
        <w:t xml:space="preserve">GM1 ADR-DSN.B.075     </w:t>
      </w:r>
      <w:r w:rsidR="001A44D6" w:rsidRPr="009E064B">
        <w:t>Odległość pomiędzy zmianami nachylenia</w:t>
      </w:r>
      <w:bookmarkEnd w:id="853"/>
      <w:r w:rsidR="001A44D6" w:rsidRPr="009E064B">
        <w:t xml:space="preserve"> na drodze startowej</w:t>
      </w:r>
      <w:bookmarkEnd w:id="854"/>
      <w:bookmarkEnd w:id="855"/>
    </w:p>
    <w:p w14:paraId="3C7618ED" w14:textId="4EE6318C" w:rsidR="00AF3F33" w:rsidRPr="009E064B" w:rsidRDefault="001F74A1" w:rsidP="00AF3F33">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2014/013/R</w:t>
      </w:r>
    </w:p>
    <w:p w14:paraId="2904D34A" w14:textId="77777777" w:rsidR="001A44D6" w:rsidRPr="009E064B" w:rsidRDefault="001A44D6" w:rsidP="00B06A9A">
      <w:pPr>
        <w:autoSpaceDE w:val="0"/>
        <w:autoSpaceDN w:val="0"/>
        <w:adjustRightInd w:val="0"/>
        <w:rPr>
          <w:rFonts w:cs="Times New Roman"/>
          <w:szCs w:val="20"/>
        </w:rPr>
      </w:pPr>
      <w:r w:rsidRPr="009E064B">
        <w:rPr>
          <w:rFonts w:cs="Times New Roman"/>
          <w:szCs w:val="20"/>
        </w:rPr>
        <w:t>Poniższy przykład ilustruje sposób określania odległości pomiędzy zmianami nachylenia (patrz Rysunek GM-B-2):</w:t>
      </w:r>
    </w:p>
    <w:p w14:paraId="392A934D" w14:textId="77777777" w:rsidR="001A44D6" w:rsidRPr="009E064B" w:rsidRDefault="001A44D6" w:rsidP="00B06A9A">
      <w:pPr>
        <w:autoSpaceDE w:val="0"/>
        <w:autoSpaceDN w:val="0"/>
        <w:adjustRightInd w:val="0"/>
        <w:rPr>
          <w:rFonts w:cs="Times New Roman"/>
          <w:szCs w:val="20"/>
        </w:rPr>
      </w:pPr>
      <w:r w:rsidRPr="009E064B">
        <w:rPr>
          <w:rFonts w:cs="Times New Roman"/>
          <w:szCs w:val="20"/>
        </w:rPr>
        <w:t>W przypadku drogi startowej o cyfrze kodu referencyjnego 3, odległość D powinna być nie mniejsza niż:</w:t>
      </w:r>
    </w:p>
    <w:p w14:paraId="3161CD83" w14:textId="77777777" w:rsidR="001A44D6" w:rsidRPr="009E064B" w:rsidRDefault="001A44D6" w:rsidP="00B06A9A">
      <w:pPr>
        <w:autoSpaceDE w:val="0"/>
        <w:autoSpaceDN w:val="0"/>
        <w:adjustRightInd w:val="0"/>
        <w:ind w:left="567"/>
        <w:rPr>
          <w:rFonts w:cs="Times New Roman"/>
          <w:szCs w:val="20"/>
        </w:rPr>
      </w:pPr>
      <w:r w:rsidRPr="009E064B">
        <w:rPr>
          <w:rFonts w:cs="Times New Roman"/>
          <w:szCs w:val="20"/>
        </w:rPr>
        <w:t>15 000 (|x – y| + |y – z|) m</w:t>
      </w:r>
    </w:p>
    <w:p w14:paraId="1015DA95" w14:textId="77777777" w:rsidR="001A44D6" w:rsidRPr="009E064B" w:rsidRDefault="001A44D6" w:rsidP="00B06A9A">
      <w:pPr>
        <w:autoSpaceDE w:val="0"/>
        <w:autoSpaceDN w:val="0"/>
        <w:adjustRightInd w:val="0"/>
        <w:ind w:left="567"/>
        <w:rPr>
          <w:rFonts w:cs="Times New Roman"/>
          <w:szCs w:val="20"/>
        </w:rPr>
      </w:pPr>
      <w:r w:rsidRPr="009E064B">
        <w:rPr>
          <w:rFonts w:cs="Times New Roman"/>
          <w:szCs w:val="20"/>
        </w:rPr>
        <w:t>|x – y| jest wartością bezwzględną x – y</w:t>
      </w:r>
    </w:p>
    <w:p w14:paraId="316F3E40" w14:textId="77777777" w:rsidR="001A44D6" w:rsidRPr="009E064B" w:rsidRDefault="001A44D6" w:rsidP="00B06A9A">
      <w:pPr>
        <w:autoSpaceDE w:val="0"/>
        <w:autoSpaceDN w:val="0"/>
        <w:adjustRightInd w:val="0"/>
        <w:ind w:left="567"/>
        <w:rPr>
          <w:rFonts w:cs="Times New Roman"/>
          <w:szCs w:val="20"/>
        </w:rPr>
      </w:pPr>
      <w:r w:rsidRPr="009E064B">
        <w:rPr>
          <w:rFonts w:cs="Times New Roman"/>
          <w:szCs w:val="20"/>
        </w:rPr>
        <w:t>|y – z| jest wartością bezwzględną y – z</w:t>
      </w:r>
    </w:p>
    <w:p w14:paraId="13B3F8F7" w14:textId="77777777" w:rsidR="001A44D6" w:rsidRPr="009E064B" w:rsidRDefault="001A44D6" w:rsidP="00B06A9A">
      <w:pPr>
        <w:autoSpaceDE w:val="0"/>
        <w:autoSpaceDN w:val="0"/>
        <w:adjustRightInd w:val="0"/>
        <w:ind w:left="567"/>
        <w:rPr>
          <w:rFonts w:cs="Times New Roman"/>
          <w:szCs w:val="20"/>
        </w:rPr>
      </w:pPr>
      <w:r w:rsidRPr="009E064B">
        <w:rPr>
          <w:rFonts w:cs="Times New Roman"/>
          <w:szCs w:val="20"/>
        </w:rPr>
        <w:t>Przyjmując:</w:t>
      </w:r>
      <w:r w:rsidRPr="009E064B">
        <w:rPr>
          <w:rFonts w:cs="Times New Roman"/>
          <w:szCs w:val="20"/>
        </w:rPr>
        <w:tab/>
        <w:t>x = + 0.01</w:t>
      </w:r>
    </w:p>
    <w:p w14:paraId="7A62DBCA" w14:textId="77777777" w:rsidR="001A44D6" w:rsidRPr="009E064B" w:rsidRDefault="001A44D6" w:rsidP="00B06A9A">
      <w:pPr>
        <w:autoSpaceDE w:val="0"/>
        <w:autoSpaceDN w:val="0"/>
        <w:adjustRightInd w:val="0"/>
        <w:ind w:left="1416" w:firstLine="708"/>
        <w:rPr>
          <w:rFonts w:cs="Times New Roman"/>
          <w:szCs w:val="20"/>
        </w:rPr>
      </w:pPr>
      <w:r w:rsidRPr="009E064B">
        <w:rPr>
          <w:rFonts w:cs="Times New Roman"/>
          <w:szCs w:val="20"/>
        </w:rPr>
        <w:t>y = –0.005</w:t>
      </w:r>
    </w:p>
    <w:p w14:paraId="3D96E033" w14:textId="77777777" w:rsidR="001A44D6" w:rsidRPr="009E064B" w:rsidRDefault="001A44D6" w:rsidP="00B06A9A">
      <w:pPr>
        <w:autoSpaceDE w:val="0"/>
        <w:autoSpaceDN w:val="0"/>
        <w:adjustRightInd w:val="0"/>
        <w:ind w:left="1416" w:firstLine="708"/>
        <w:rPr>
          <w:rFonts w:cs="Times New Roman"/>
          <w:szCs w:val="20"/>
        </w:rPr>
      </w:pPr>
      <w:r w:rsidRPr="009E064B">
        <w:rPr>
          <w:rFonts w:cs="Times New Roman"/>
          <w:szCs w:val="20"/>
        </w:rPr>
        <w:t>z = +0.005</w:t>
      </w:r>
    </w:p>
    <w:p w14:paraId="6023DC44" w14:textId="77777777" w:rsidR="001A44D6" w:rsidRPr="009E064B" w:rsidRDefault="001A44D6" w:rsidP="00B06A9A">
      <w:pPr>
        <w:autoSpaceDE w:val="0"/>
        <w:autoSpaceDN w:val="0"/>
        <w:adjustRightInd w:val="0"/>
        <w:ind w:left="567"/>
        <w:rPr>
          <w:rFonts w:cs="Times New Roman"/>
          <w:szCs w:val="20"/>
        </w:rPr>
      </w:pPr>
      <w:r w:rsidRPr="009E064B">
        <w:rPr>
          <w:rFonts w:cs="Times New Roman"/>
          <w:szCs w:val="20"/>
        </w:rPr>
        <w:t xml:space="preserve">Otrzymuje się: </w:t>
      </w:r>
      <w:r w:rsidRPr="009E064B">
        <w:rPr>
          <w:rFonts w:cs="Times New Roman"/>
          <w:szCs w:val="20"/>
        </w:rPr>
        <w:tab/>
        <w:t>|x – y| = 0.015</w:t>
      </w:r>
    </w:p>
    <w:p w14:paraId="5AC61171" w14:textId="77777777" w:rsidR="001A44D6" w:rsidRPr="009E064B" w:rsidRDefault="001A44D6" w:rsidP="00B06A9A">
      <w:pPr>
        <w:autoSpaceDE w:val="0"/>
        <w:autoSpaceDN w:val="0"/>
        <w:adjustRightInd w:val="0"/>
        <w:ind w:left="2127"/>
        <w:rPr>
          <w:rFonts w:cs="Times New Roman"/>
          <w:szCs w:val="20"/>
        </w:rPr>
      </w:pPr>
      <w:r w:rsidRPr="009E064B">
        <w:rPr>
          <w:rFonts w:cs="Times New Roman"/>
          <w:szCs w:val="20"/>
        </w:rPr>
        <w:t>|y – z| = 0.01</w:t>
      </w:r>
    </w:p>
    <w:p w14:paraId="7B97F5BD" w14:textId="77777777" w:rsidR="001A44D6" w:rsidRPr="009E064B" w:rsidRDefault="001A44D6" w:rsidP="00B06A9A">
      <w:pPr>
        <w:autoSpaceDE w:val="0"/>
        <w:autoSpaceDN w:val="0"/>
        <w:adjustRightInd w:val="0"/>
        <w:rPr>
          <w:rFonts w:cs="Times New Roman"/>
          <w:szCs w:val="20"/>
        </w:rPr>
      </w:pPr>
      <w:r w:rsidRPr="009E064B">
        <w:rPr>
          <w:rFonts w:cs="Times New Roman"/>
          <w:szCs w:val="20"/>
        </w:rPr>
        <w:t>W myśl przepisów, D nie powinno być mniejsze niż:</w:t>
      </w:r>
    </w:p>
    <w:p w14:paraId="0FBB3DC3" w14:textId="77777777" w:rsidR="001A44D6" w:rsidRPr="009E064B" w:rsidRDefault="001A44D6" w:rsidP="00B06A9A">
      <w:pPr>
        <w:autoSpaceDE w:val="0"/>
        <w:autoSpaceDN w:val="0"/>
        <w:adjustRightInd w:val="0"/>
        <w:ind w:left="2127"/>
        <w:rPr>
          <w:rFonts w:cs="Times New Roman"/>
          <w:szCs w:val="20"/>
        </w:rPr>
      </w:pPr>
      <w:r w:rsidRPr="009E064B">
        <w:rPr>
          <w:rFonts w:cs="Times New Roman"/>
          <w:szCs w:val="20"/>
        </w:rPr>
        <w:t>15 000 (0.015 + 0.01) m,</w:t>
      </w:r>
    </w:p>
    <w:p w14:paraId="1D3D1D1C" w14:textId="77777777" w:rsidR="001A44D6" w:rsidRPr="009E064B" w:rsidRDefault="001A44D6" w:rsidP="00B06A9A">
      <w:pPr>
        <w:ind w:left="1134"/>
        <w:rPr>
          <w:b/>
          <w:szCs w:val="20"/>
        </w:rPr>
      </w:pPr>
      <w:r w:rsidRPr="009E064B">
        <w:rPr>
          <w:rFonts w:cs="Times New Roman"/>
          <w:szCs w:val="20"/>
        </w:rPr>
        <w:t>co daje:</w:t>
      </w:r>
      <w:r w:rsidRPr="009E064B">
        <w:rPr>
          <w:rFonts w:cs="Times New Roman"/>
          <w:szCs w:val="20"/>
        </w:rPr>
        <w:tab/>
        <w:t>15 000 x 0.025 = 375 m</w:t>
      </w:r>
    </w:p>
    <w:p w14:paraId="4C9288A6" w14:textId="483F87D0" w:rsidR="001A44D6" w:rsidRPr="009E064B" w:rsidRDefault="001A44D6" w:rsidP="00B06A9A">
      <w:pPr>
        <w:autoSpaceDE w:val="0"/>
        <w:autoSpaceDN w:val="0"/>
        <w:adjustRightInd w:val="0"/>
        <w:spacing w:after="0"/>
        <w:rPr>
          <w:rFonts w:cs="Times New Roman"/>
          <w:szCs w:val="20"/>
        </w:rPr>
      </w:pPr>
      <w:r w:rsidRPr="009E064B">
        <w:rPr>
          <w:rFonts w:cs="Times New Roman"/>
          <w:szCs w:val="20"/>
        </w:rPr>
        <w:t xml:space="preserve">Jeżeli droga startowa jest projektowana z uwzględnieniem skrajnych wartości nachylenia oraz zmiany nachylenia określonych w </w:t>
      </w:r>
      <w:hyperlink w:anchor="_CS_ADR-DSN.B.060_" w:history="1">
        <w:r w:rsidRPr="009E064B">
          <w:rPr>
            <w:rStyle w:val="Hipercze"/>
            <w:rFonts w:cs="Times New Roman"/>
            <w:szCs w:val="20"/>
          </w:rPr>
          <w:t>CS ADR-DSN.B.060</w:t>
        </w:r>
      </w:hyperlink>
      <w:r w:rsidRPr="009E064B">
        <w:rPr>
          <w:rFonts w:cs="Times New Roman"/>
          <w:szCs w:val="20"/>
        </w:rPr>
        <w:t xml:space="preserve"> do </w:t>
      </w:r>
      <w:hyperlink w:anchor="_CS_ADR-DSN.B.080_" w:history="1">
        <w:r w:rsidRPr="009E064B">
          <w:rPr>
            <w:rStyle w:val="Hipercze"/>
            <w:rFonts w:cs="Times New Roman"/>
            <w:szCs w:val="20"/>
          </w:rPr>
          <w:t>CS ADR-DSN.B.080</w:t>
        </w:r>
      </w:hyperlink>
      <w:r w:rsidRPr="009E064B">
        <w:rPr>
          <w:rFonts w:cs="Times New Roman"/>
          <w:szCs w:val="20"/>
        </w:rPr>
        <w:t>, należy przeprowadzić studium, które zapewni, że zastosowane profile nawierzchni nie wpłyną negatywnie na operacje samolotów.</w:t>
      </w:r>
    </w:p>
    <w:p w14:paraId="2C911B1A" w14:textId="77777777" w:rsidR="001A44D6" w:rsidRPr="009E064B" w:rsidRDefault="001A44D6" w:rsidP="00B06A9A">
      <w:pPr>
        <w:autoSpaceDE w:val="0"/>
        <w:autoSpaceDN w:val="0"/>
        <w:adjustRightInd w:val="0"/>
        <w:rPr>
          <w:rFonts w:cs="Times New Roman"/>
          <w:szCs w:val="20"/>
        </w:rPr>
      </w:pPr>
    </w:p>
    <w:p w14:paraId="55C98345" w14:textId="77777777" w:rsidR="001A44D6" w:rsidRPr="009E064B" w:rsidRDefault="001A44D6" w:rsidP="00034C97">
      <w:pPr>
        <w:autoSpaceDE w:val="0"/>
        <w:autoSpaceDN w:val="0"/>
        <w:adjustRightInd w:val="0"/>
        <w:spacing w:after="0"/>
        <w:jc w:val="right"/>
        <w:rPr>
          <w:rFonts w:cs="Times New Roman"/>
          <w:szCs w:val="20"/>
        </w:rPr>
      </w:pPr>
      <w:r w:rsidRPr="009E064B">
        <w:rPr>
          <w:rFonts w:cs="Times New Roman"/>
          <w:noProof/>
          <w:szCs w:val="20"/>
          <w:lang w:eastAsia="pl-PL"/>
        </w:rPr>
        <w:drawing>
          <wp:inline distT="0" distB="0" distL="0" distR="0" wp14:anchorId="735B8237" wp14:editId="28B3B717">
            <wp:extent cx="5605780" cy="1428115"/>
            <wp:effectExtent l="19050" t="19050" r="13970" b="19685"/>
            <wp:docPr id="451" name="Obraz 100" descr="ATT A-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0" descr="ATT A-5m"/>
                    <pic:cNvPicPr>
                      <a:picLocks noChangeAspect="1" noChangeArrowheads="1"/>
                    </pic:cNvPicPr>
                  </pic:nvPicPr>
                  <pic:blipFill>
                    <a:blip r:embed="rId111" cstate="print"/>
                    <a:srcRect l="2338" t="11620" r="2600" b="7504"/>
                    <a:stretch>
                      <a:fillRect/>
                    </a:stretch>
                  </pic:blipFill>
                  <pic:spPr bwMode="auto">
                    <a:xfrm>
                      <a:off x="0" y="0"/>
                      <a:ext cx="5605780" cy="1428115"/>
                    </a:xfrm>
                    <a:prstGeom prst="rect">
                      <a:avLst/>
                    </a:prstGeom>
                    <a:noFill/>
                    <a:ln w="6350" cmpd="sng">
                      <a:solidFill>
                        <a:srgbClr val="000000"/>
                      </a:solidFill>
                      <a:miter lim="800000"/>
                      <a:headEnd/>
                      <a:tailEnd/>
                    </a:ln>
                    <a:effectLst/>
                  </pic:spPr>
                </pic:pic>
              </a:graphicData>
            </a:graphic>
          </wp:inline>
        </w:drawing>
      </w:r>
    </w:p>
    <w:p w14:paraId="2EBDCB34" w14:textId="77777777" w:rsidR="001A44D6" w:rsidRPr="009E064B" w:rsidRDefault="001A44D6" w:rsidP="00B06A9A">
      <w:pPr>
        <w:spacing w:after="0"/>
      </w:pPr>
    </w:p>
    <w:p w14:paraId="42295B43" w14:textId="77777777" w:rsidR="001A44D6" w:rsidRPr="005D070C" w:rsidRDefault="001A44D6" w:rsidP="00B06A9A">
      <w:pPr>
        <w:spacing w:after="0"/>
        <w:ind w:right="10"/>
        <w:jc w:val="center"/>
        <w:rPr>
          <w:b/>
          <w:szCs w:val="20"/>
        </w:rPr>
      </w:pPr>
      <w:r w:rsidRPr="005D070C">
        <w:rPr>
          <w:b/>
          <w:sz w:val="20"/>
          <w:szCs w:val="20"/>
        </w:rPr>
        <w:t>Rysunek GM-B-2.   Profil podłużny wzdłuż linii środkowej drogi startowej</w:t>
      </w:r>
    </w:p>
    <w:p w14:paraId="39652C0E" w14:textId="7CB512C7" w:rsidR="00C36D76" w:rsidRPr="009E064B" w:rsidRDefault="00324053" w:rsidP="00B06A9A">
      <w:pPr>
        <w:pStyle w:val="Nagwek4"/>
        <w:rPr>
          <w:color w:val="auto"/>
        </w:rPr>
      </w:pPr>
      <w:bookmarkStart w:id="857" w:name="_CS_ADR-DSN.B.080_"/>
      <w:bookmarkStart w:id="858" w:name="_Toc12532939"/>
      <w:bookmarkEnd w:id="857"/>
      <w:r w:rsidRPr="009E064B">
        <w:rPr>
          <w:color w:val="auto"/>
        </w:rPr>
        <w:t xml:space="preserve">CS ADR-DSN.B.080     </w:t>
      </w:r>
      <w:r w:rsidR="00C36D76" w:rsidRPr="009E064B">
        <w:rPr>
          <w:color w:val="auto"/>
        </w:rPr>
        <w:t>Nachylenia poprzeczne drogi startowej</w:t>
      </w:r>
      <w:bookmarkEnd w:id="856"/>
      <w:bookmarkEnd w:id="858"/>
    </w:p>
    <w:p w14:paraId="5A02BA35" w14:textId="01AC1D2B"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957DF56" w14:textId="111E9F13" w:rsidR="00C36D76" w:rsidRPr="009E064B" w:rsidRDefault="00C36D76" w:rsidP="00324053">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nachylenia poprzecznego drogi startowej jest zapewnienie jak najszybszego odprowadzenia wody z drogi startowej.</w:t>
      </w:r>
    </w:p>
    <w:p w14:paraId="3B1FE6AB"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W celu zapewnienia możliwie jak najszybszego odprowadzenia wody powierzchnia drogi startowej powinna, o ile to możliwe, być dwuspadowa z wyjątkiem sytuacji, w której jednostronny spadek poprzeczny w kierunku najczęściej wiejących wiatrów z towarzyszeniem deszczu zapewni szybki odpływ wody. Najkorzystniejsze spadki poprzeczne powinny wynosić:</w:t>
      </w:r>
    </w:p>
    <w:p w14:paraId="51E114D9"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nie mniej niż 1% i nie więcej niż </w:t>
      </w:r>
      <w:r w:rsidRPr="009E064B">
        <w:rPr>
          <w:rFonts w:cs="TimesNewRomanPS-ItalicMT"/>
          <w:iCs/>
          <w:szCs w:val="20"/>
        </w:rPr>
        <w:t>1.5%, gdy literą kodu jest C, D, E lub F; oraz</w:t>
      </w:r>
    </w:p>
    <w:p w14:paraId="42E9A3C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MT"/>
          <w:szCs w:val="20"/>
        </w:rPr>
        <w:t xml:space="preserve">nie mniej niż 1% i nie więcej niż </w:t>
      </w:r>
      <w:r w:rsidRPr="009E064B">
        <w:rPr>
          <w:rFonts w:cs="TimesNewRomanPS-ItalicMT"/>
          <w:iCs/>
          <w:szCs w:val="20"/>
        </w:rPr>
        <w:t>2%, gdy literą kodu jest A lub B;</w:t>
      </w:r>
    </w:p>
    <w:p w14:paraId="183D9038" w14:textId="77777777" w:rsidR="00C36D76" w:rsidRPr="009E064B" w:rsidRDefault="00C36D76" w:rsidP="00B06A9A">
      <w:pPr>
        <w:autoSpaceDE w:val="0"/>
        <w:autoSpaceDN w:val="0"/>
        <w:adjustRightInd w:val="0"/>
        <w:ind w:left="567"/>
        <w:rPr>
          <w:rFonts w:cs="TimesNewRomanPS-ItalicMT"/>
          <w:iCs/>
          <w:szCs w:val="20"/>
        </w:rPr>
      </w:pPr>
      <w:r w:rsidRPr="009E064B">
        <w:rPr>
          <w:rFonts w:cs="TimesNewRomanPS-ItalicMT"/>
          <w:iCs/>
          <w:szCs w:val="20"/>
        </w:rPr>
        <w:t>z wyjątkiem skrzyżowania z drogą startową lub drogą kołowania, gdzie zastosowanie mniejszych nachyleń może okazać się konieczne.</w:t>
      </w:r>
    </w:p>
    <w:p w14:paraId="0CD27649"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W przypadku nawierzchni dwuspadowych, nachylenie po obu stronach linii środkowej powinno być symetryczne.</w:t>
      </w:r>
    </w:p>
    <w:p w14:paraId="01107C01" w14:textId="1F917807" w:rsidR="009E2E6B" w:rsidRPr="009E064B" w:rsidRDefault="00C36D76" w:rsidP="00B06A9A">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Nachylenie poprzeczne powinno być zasadniczo jednakowe na ca</w:t>
      </w:r>
      <w:r w:rsidR="00034C97" w:rsidRPr="009E064B">
        <w:rPr>
          <w:rFonts w:cs="TimesNewRomanPS-ItalicMT"/>
          <w:iCs/>
          <w:szCs w:val="20"/>
        </w:rPr>
        <w:t>łej długości drogi startowej, z </w:t>
      </w:r>
      <w:r w:rsidRPr="009E064B">
        <w:rPr>
          <w:rFonts w:cs="TimesNewRomanPS-ItalicMT"/>
          <w:iCs/>
          <w:szCs w:val="20"/>
        </w:rPr>
        <w:t>wyjątkiem skrzyżowań z innymi drogami startowymi lub drogami kołowania, gdzie należy zapewnić płynne przejście spadków ze wzglądu na konieczność zapewnienia dobrego odprowadzenia wody.</w:t>
      </w:r>
    </w:p>
    <w:p w14:paraId="7071EFA7" w14:textId="31945255" w:rsidR="001A44D6" w:rsidRPr="009E064B" w:rsidRDefault="00324053" w:rsidP="00133B99">
      <w:pPr>
        <w:pStyle w:val="Nagwek6"/>
      </w:pPr>
      <w:bookmarkStart w:id="859" w:name="_Toc401058900"/>
      <w:bookmarkStart w:id="860" w:name="_Toc482886769"/>
      <w:bookmarkStart w:id="861" w:name="_Toc12532940"/>
      <w:r w:rsidRPr="009E064B">
        <w:t xml:space="preserve">GM1 ADR-DSN.B.080     </w:t>
      </w:r>
      <w:r w:rsidR="00D63266" w:rsidRPr="009E064B">
        <w:t>Nachylenia</w:t>
      </w:r>
      <w:r w:rsidR="001A44D6" w:rsidRPr="009E064B">
        <w:t xml:space="preserve"> poprzeczne</w:t>
      </w:r>
      <w:bookmarkEnd w:id="859"/>
      <w:r w:rsidR="001A44D6" w:rsidRPr="009E064B">
        <w:t xml:space="preserve"> drogi startowej</w:t>
      </w:r>
      <w:bookmarkEnd w:id="860"/>
      <w:bookmarkEnd w:id="861"/>
    </w:p>
    <w:p w14:paraId="55F0E582" w14:textId="0378B150"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FBBCA78" w14:textId="6F7EB092" w:rsidR="00654D6D" w:rsidRPr="00ED2629" w:rsidRDefault="00654D6D" w:rsidP="00B06A9A">
      <w:pPr>
        <w:autoSpaceDE w:val="0"/>
        <w:autoSpaceDN w:val="0"/>
        <w:adjustRightInd w:val="0"/>
        <w:rPr>
          <w:rFonts w:eastAsia="Times New Roman,Italic" w:cs="Times New Roman,Italic"/>
          <w:iCs/>
          <w:szCs w:val="20"/>
        </w:rPr>
      </w:pPr>
      <w:r w:rsidRPr="00ED2629">
        <w:rPr>
          <w:rFonts w:eastAsia="Times New Roman,Italic" w:cs="Times New Roman,Italic"/>
          <w:iCs/>
          <w:szCs w:val="20"/>
        </w:rPr>
        <w:t>Nachylenie powierzchni na drodze startowej ma na celu zapobieganie gromadzeniu się wody (lub ewentualny</w:t>
      </w:r>
      <w:r w:rsidR="0016515D" w:rsidRPr="00ED2629">
        <w:rPr>
          <w:rFonts w:eastAsia="Times New Roman,Italic" w:cs="Times New Roman,Italic"/>
          <w:iCs/>
          <w:szCs w:val="20"/>
        </w:rPr>
        <w:t>ch</w:t>
      </w:r>
      <w:r w:rsidRPr="00ED2629">
        <w:rPr>
          <w:rFonts w:eastAsia="Times New Roman,Italic" w:cs="Times New Roman,Italic"/>
          <w:iCs/>
          <w:szCs w:val="20"/>
        </w:rPr>
        <w:t xml:space="preserve"> zanieczyszcze</w:t>
      </w:r>
      <w:r w:rsidR="0016515D" w:rsidRPr="00ED2629">
        <w:rPr>
          <w:rFonts w:eastAsia="Times New Roman,Italic" w:cs="Times New Roman,Italic"/>
          <w:iCs/>
          <w:szCs w:val="20"/>
        </w:rPr>
        <w:t>ń</w:t>
      </w:r>
      <w:r w:rsidRPr="00ED2629">
        <w:rPr>
          <w:rFonts w:eastAsia="Times New Roman,Italic" w:cs="Times New Roman,Italic"/>
          <w:iCs/>
          <w:szCs w:val="20"/>
        </w:rPr>
        <w:t xml:space="preserve"> w postaci cieczy) na powierzchni oraz umożliwienie szybkiego odprowadzenia wody (lub ewentualnych zanieczyszczeń w postaci cieczy). Odprowadzenie wody (lub ewentualnych zanieczyszczeń w postaci cieczy) jest zapewniane poprzez zastosowanie odpowiedniego połączenia nachyleń podłużnych i poprzecznych, które mogą być również wspomagane przez rowkowanie nawierzchni drogi startowej.</w:t>
      </w:r>
    </w:p>
    <w:p w14:paraId="6C4C4CB4" w14:textId="77777777" w:rsidR="008960B1" w:rsidRPr="009E064B" w:rsidRDefault="008960B1" w:rsidP="008960B1">
      <w:pPr>
        <w:pStyle w:val="Tekstpodstawowy"/>
        <w:spacing w:before="60"/>
        <w:ind w:left="23" w:hanging="23"/>
        <w:rPr>
          <w:rFonts w:asciiTheme="minorHAnsi" w:hAnsiTheme="minorHAnsi" w:cstheme="minorHAnsi"/>
          <w:i/>
          <w:sz w:val="16"/>
          <w:szCs w:val="16"/>
        </w:rPr>
      </w:pPr>
      <w:bookmarkStart w:id="862" w:name="_Toc482886546"/>
      <w:r w:rsidRPr="000412BF">
        <w:rPr>
          <w:rFonts w:asciiTheme="minorHAnsi" w:hAnsiTheme="minorHAnsi" w:cstheme="minorHAnsi"/>
          <w:i/>
          <w:sz w:val="16"/>
          <w:szCs w:val="16"/>
        </w:rPr>
        <w:t>[Wydanie: ADR-DSN/4]</w:t>
      </w:r>
    </w:p>
    <w:p w14:paraId="39F64751" w14:textId="447C873A" w:rsidR="00C36D76" w:rsidRPr="009E064B" w:rsidRDefault="00324053" w:rsidP="00B06A9A">
      <w:pPr>
        <w:pStyle w:val="Nagwek4"/>
        <w:rPr>
          <w:color w:val="auto"/>
        </w:rPr>
      </w:pPr>
      <w:bookmarkStart w:id="863" w:name="_Toc12532941"/>
      <w:r w:rsidRPr="009E064B">
        <w:rPr>
          <w:color w:val="auto"/>
        </w:rPr>
        <w:t xml:space="preserve">CS ADR-DSN.B.085     </w:t>
      </w:r>
      <w:r w:rsidR="00C36D76" w:rsidRPr="009E064B">
        <w:rPr>
          <w:color w:val="auto"/>
        </w:rPr>
        <w:t>Nośność drogi startowej</w:t>
      </w:r>
      <w:bookmarkEnd w:id="862"/>
      <w:bookmarkEnd w:id="863"/>
    </w:p>
    <w:p w14:paraId="193F941A" w14:textId="37B7EE9F"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81AC69E" w14:textId="77777777" w:rsidR="00C36D76" w:rsidRPr="009E064B" w:rsidRDefault="00C36D76" w:rsidP="00B06A9A">
      <w:pPr>
        <w:spacing w:after="0"/>
        <w:rPr>
          <w:szCs w:val="20"/>
        </w:rPr>
      </w:pPr>
      <w:r w:rsidRPr="009E064B">
        <w:rPr>
          <w:szCs w:val="20"/>
        </w:rPr>
        <w:t>Droga startowa powinna posiadać wystarczającą nośność dla zabezpieczenia normalnych operacji najbardziej wymagającego statku powietrznego bez ryzyka uszkodzenia samolotu lub drogi startowej.</w:t>
      </w:r>
    </w:p>
    <w:p w14:paraId="76426D38" w14:textId="77777777" w:rsidR="001A44D6" w:rsidRPr="009E064B" w:rsidRDefault="001A44D6" w:rsidP="00133B99">
      <w:pPr>
        <w:pStyle w:val="Nagwek6"/>
      </w:pPr>
      <w:bookmarkStart w:id="864" w:name="_GM1_ADR-DSN.B.085_"/>
      <w:bookmarkStart w:id="865" w:name="_Toc401058901"/>
      <w:bookmarkStart w:id="866" w:name="_Toc482886770"/>
      <w:bookmarkStart w:id="867" w:name="_Toc12532942"/>
      <w:bookmarkStart w:id="868" w:name="_Toc482886547"/>
      <w:bookmarkEnd w:id="864"/>
      <w:r w:rsidRPr="009E064B">
        <w:t>GM</w:t>
      </w:r>
      <w:r w:rsidR="002C3C20" w:rsidRPr="009E064B">
        <w:t xml:space="preserve">1 ADR-DSN.B.085     </w:t>
      </w:r>
      <w:r w:rsidRPr="009E064B">
        <w:t xml:space="preserve">Nośność </w:t>
      </w:r>
      <w:bookmarkEnd w:id="865"/>
      <w:r w:rsidRPr="009E064B">
        <w:t>drogi startowej</w:t>
      </w:r>
      <w:bookmarkEnd w:id="866"/>
      <w:bookmarkEnd w:id="867"/>
    </w:p>
    <w:p w14:paraId="6D64E4AB" w14:textId="22D563D5"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2A5608B"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Nawierzchnia stanowiąca część pola ruchu naziemnego powinna posiadać wystarczającą nośność umożliwiającą prowadzenie operacji przez statki powietrzne bez ryzyka uszkodzeń nawierzchni lub statku powietrznego. Stan nawierzchni podlegających przeciążeniom ulega pogorszeniu w szybszym tempie w zależności od stopnia przeciążeń. Aby to kontrolować, konieczne jest sklasyfikowanie zarówno nawierzchni jak i statku powietrznego w ramach systemu, gdzie istniałaby możliwość porównania nośności nawierzchni oraz obciążeń powodowanych przez statek powietrzny. Stosowana metoda określana jest, jako metoda liczba klasyfikacyjna statku powietrznego-liczba klasyfikacyjna nawierzchni (ACN/PCN). Metoda ACN/PCN została opracowana przez ICAO, jako międzynarodowa metoda raportowania nośności nawierzchni.</w:t>
      </w:r>
    </w:p>
    <w:p w14:paraId="2D75880B"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Wszystkie nawierzchnie stanowiące część pola ruchu naziemnego powinny posiadać odpowiednią nośność dla typów statków powietrznych, które będą wykorzystywały lotnisko. Wszystkie nawierzchnie powinny być regularnie sprawdzane przez odpowiednio wykwalifikowaną osobę. Wszystkie nawierzchnie, które podlegają nadmiernym obciążeniom powinny być monitorowane przez odpowiednio wykwalifikowany personel przez okres kilku tygodni do momentu, kiedy okaże się, że nie nastąpiło gwałtowne pogorszenie stanu nawierzchni.</w:t>
      </w:r>
    </w:p>
    <w:p w14:paraId="10F0D5C8"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Raportowanie nośności nawierzchni:</w:t>
      </w:r>
    </w:p>
    <w:p w14:paraId="02460D96" w14:textId="19187B00" w:rsidR="001A44D6" w:rsidRPr="009E064B" w:rsidRDefault="001A44D6" w:rsidP="00B06A9A">
      <w:pPr>
        <w:tabs>
          <w:tab w:val="left" w:pos="1134"/>
        </w:tabs>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Metoda ACN/PCN służąca do klasyfikacji nośności nawierzchni uwzględnia obciążenie nawierzchni powodowane przez statek powietrzny. W tym kontekście, nośność statku powietrznego jest w znacznym stopniu uzależniona od nośności podłoża. Wartości ACN dla większości samolotów zostały obliczone przez ICAO i są publikowane w Zbiorze Informacji Lotniczych (AIP). PCN to również liczba, któr</w:t>
      </w:r>
      <w:r w:rsidR="00754744" w:rsidRPr="009E064B">
        <w:rPr>
          <w:szCs w:val="20"/>
        </w:rPr>
        <w:t>a określa nośność nawierzchni w </w:t>
      </w:r>
      <w:r w:rsidRPr="009E064B">
        <w:rPr>
          <w:szCs w:val="20"/>
        </w:rPr>
        <w:t>kontekście najwyższej liczby ACN, która może być zaakceptowana na n</w:t>
      </w:r>
      <w:r w:rsidR="00754744" w:rsidRPr="009E064B">
        <w:rPr>
          <w:szCs w:val="20"/>
        </w:rPr>
        <w:t>awierzchniach o </w:t>
      </w:r>
      <w:r w:rsidRPr="009E064B">
        <w:rPr>
          <w:szCs w:val="20"/>
        </w:rPr>
        <w:t>nieograniczonym użytkowaniu.</w:t>
      </w:r>
    </w:p>
    <w:p w14:paraId="5483E23F" w14:textId="77777777" w:rsidR="001A44D6" w:rsidRPr="009E064B" w:rsidRDefault="001A44D6" w:rsidP="00B06A9A">
      <w:pPr>
        <w:tabs>
          <w:tab w:val="left" w:pos="1134"/>
        </w:tabs>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PCN może być również określana oraz raportowana bez oceny technicznej nawierzchni przy pomocy oceny wyników statku powietrznego korzystającego z danej nawierzchni. Przy założeniu, że znany jest typ oraz nośność podłoża, liczba ACN najbardziej wymagającego statku powietrznego wykorzystującego nawierzchnię może być raportowana, jako PCN.</w:t>
      </w:r>
    </w:p>
    <w:p w14:paraId="628B71EA" w14:textId="06F854EB" w:rsidR="001A44D6" w:rsidRPr="009E064B" w:rsidRDefault="001A44D6" w:rsidP="00B06A9A">
      <w:pPr>
        <w:tabs>
          <w:tab w:val="left" w:pos="1134"/>
        </w:tabs>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Liczba PCN jest raportowana w formacie pięcioczęściowym. Oprócz wartości numerycznej, wymagane jest również powiadomienie o typie nawierzchni (sztywna lub podatna) oraz kategorii nośności podłoża. Dodatkowo, dopuszcza się możliwość ograniczenia przez zarządzającego lotniskiem maksymalnego do</w:t>
      </w:r>
      <w:r w:rsidR="009A3FFE" w:rsidRPr="009E064B">
        <w:rPr>
          <w:szCs w:val="20"/>
        </w:rPr>
        <w:t>puszczalnego ciśnienia w </w:t>
      </w:r>
      <w:r w:rsidRPr="009E064B">
        <w:rPr>
          <w:szCs w:val="20"/>
        </w:rPr>
        <w:t>oponach. Końcowe wskazanie odnosi się do tego czy ocena została wykonana w ramach ewaluacji technicznej czy też na podstawie doświadczeń statków powietrznych korzystających z danej nawierzchni.</w:t>
      </w:r>
    </w:p>
    <w:p w14:paraId="1A9E057D" w14:textId="77777777" w:rsidR="001A44D6" w:rsidRPr="009E064B" w:rsidRDefault="001A44D6" w:rsidP="006C24CC">
      <w:pPr>
        <w:autoSpaceDE w:val="0"/>
        <w:autoSpaceDN w:val="0"/>
        <w:adjustRightInd w:val="0"/>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B4539F8" w14:textId="770F5E06" w:rsidR="00C36D76" w:rsidRPr="009E064B" w:rsidRDefault="00C36D76" w:rsidP="00B06A9A">
      <w:pPr>
        <w:pStyle w:val="Nagwek4"/>
        <w:rPr>
          <w:color w:val="auto"/>
        </w:rPr>
      </w:pPr>
      <w:bookmarkStart w:id="869" w:name="_Toc12532943"/>
      <w:r w:rsidRPr="009E064B">
        <w:rPr>
          <w:color w:val="auto"/>
        </w:rPr>
        <w:t>CS ADR-DSN.B</w:t>
      </w:r>
      <w:r w:rsidR="002C3C20" w:rsidRPr="009E064B">
        <w:rPr>
          <w:color w:val="auto"/>
        </w:rPr>
        <w:t xml:space="preserve">.090     </w:t>
      </w:r>
      <w:r w:rsidRPr="009E064B">
        <w:rPr>
          <w:color w:val="auto"/>
        </w:rPr>
        <w:t>Powierzchnia drogi startowej</w:t>
      </w:r>
      <w:bookmarkEnd w:id="868"/>
      <w:bookmarkEnd w:id="869"/>
    </w:p>
    <w:p w14:paraId="69CDA35A" w14:textId="66FFC705"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11009FB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Powierzchnia</w:t>
      </w:r>
      <w:r w:rsidRPr="009E064B">
        <w:rPr>
          <w:rFonts w:cs="TimesNewRomanPSMT"/>
          <w:szCs w:val="20"/>
        </w:rPr>
        <w:t xml:space="preserve"> drogi startowej powinna być zbudowana bez nierówności, które mogłyby obniżyć jej charakterystyki tarcia lub w inny sposób ujemnie wpłynąć na operacje startu lub lądowania statków powietrznych.</w:t>
      </w:r>
    </w:p>
    <w:p w14:paraId="5FFD1303"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Droga startowa o nawierzchni sztucznej powinna być tak zbudowana lub odnowiona, aby zapewniała charakterystyki tarcia równe lub większe od minimalnego poziomu tarcia.</w:t>
      </w:r>
    </w:p>
    <w:p w14:paraId="0ACF55E0"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Średnia głębokość zagłębień (tekstury) powierzchni nowej </w:t>
      </w:r>
      <w:r w:rsidRPr="009E064B">
        <w:rPr>
          <w:rFonts w:cs="TimesNewRomanPSMT"/>
          <w:szCs w:val="20"/>
        </w:rPr>
        <w:t>drogi startowej</w:t>
      </w:r>
      <w:r w:rsidRPr="009E064B">
        <w:rPr>
          <w:rFonts w:cs="TimesNewRomanPS-ItalicMT"/>
          <w:iCs/>
          <w:szCs w:val="20"/>
        </w:rPr>
        <w:t xml:space="preserve"> nie powinna być mniejsza niż 1.0 mm.</w:t>
      </w:r>
    </w:p>
    <w:p w14:paraId="4F1E288C"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Gdy powierzchnia jest rowkowana lub nacinana, rowki lub nacięcia powinny być wykonane prostopadle do linii środkowej drogi startowej lub równolegle do szczelin poprzecznych.</w:t>
      </w:r>
    </w:p>
    <w:p w14:paraId="53066936"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7FF1B1A" w14:textId="77777777" w:rsidR="001A44D6" w:rsidRPr="009E064B" w:rsidRDefault="001A44D6" w:rsidP="00133B99">
      <w:pPr>
        <w:pStyle w:val="Nagwek6"/>
      </w:pPr>
      <w:bookmarkStart w:id="870" w:name="_Toc401058902"/>
      <w:bookmarkStart w:id="871" w:name="_Toc482886771"/>
      <w:bookmarkStart w:id="872" w:name="_Toc12532944"/>
      <w:bookmarkStart w:id="873" w:name="_Toc482886548"/>
      <w:r w:rsidRPr="009E064B">
        <w:t xml:space="preserve">GM1 ADR-DSN.B.090 </w:t>
      </w:r>
      <w:r w:rsidR="002C3C20" w:rsidRPr="009E064B">
        <w:t xml:space="preserve">    </w:t>
      </w:r>
      <w:r w:rsidRPr="009E064B">
        <w:t xml:space="preserve">Powierzchnia </w:t>
      </w:r>
      <w:bookmarkEnd w:id="870"/>
      <w:r w:rsidRPr="009E064B">
        <w:t>drogi startowej</w:t>
      </w:r>
      <w:bookmarkEnd w:id="871"/>
      <w:bookmarkEnd w:id="872"/>
    </w:p>
    <w:p w14:paraId="50BF9028" w14:textId="5AC9CA30"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600A34F5" w14:textId="38D5E0CD"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Przy określaniu tolerancji dla nierówności powierzchni drogi startowej, następujące standardy konstrukcyjne są osiągalne dla krótkich odległości rzędu 3m i odpowiadają dobrym praktykom technicznym: z wyjątkiem grzbietu, w przypadku drogi starto</w:t>
      </w:r>
      <w:r w:rsidR="009A3FFE" w:rsidRPr="009E064B">
        <w:rPr>
          <w:rFonts w:cs="Times New Roman"/>
          <w:szCs w:val="20"/>
        </w:rPr>
        <w:t>wej o przekroju daszkowym lub w </w:t>
      </w:r>
      <w:r w:rsidRPr="009E064B">
        <w:rPr>
          <w:rFonts w:cs="Times New Roman"/>
          <w:szCs w:val="20"/>
        </w:rPr>
        <w:t>przypadku kanałów ściekowych, górna powierzchnia warstwy ścieralnej powinna być na tyle równa, aby odstęp mierzony w jakimkolwiek punkcie między dolną krawędzią łaty o długości 3 m ustawionej w jakimkolwiek miejscu w dowolnym kierunku, a powierzchnią nawierzchni nie był większy niż 3 mm na całej długości łaty.</w:t>
      </w:r>
    </w:p>
    <w:p w14:paraId="029E8076"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 New Roman"/>
          <w:szCs w:val="20"/>
        </w:rPr>
        <w:t>Należy zwrócić szczególną uwagę w przypadku instalacji świateł drogi startowej lub kratek ściekowych w nawierzchni drogi startowej w taki sposób, aby zachowana była wystarczająca równość nawierzchni.</w:t>
      </w:r>
    </w:p>
    <w:p w14:paraId="15B2E019"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 New Roman"/>
          <w:szCs w:val="20"/>
        </w:rPr>
        <w:t>(c)</w:t>
      </w:r>
      <w:r w:rsidRPr="009E064B">
        <w:rPr>
          <w:rFonts w:cs="Times New Roman"/>
          <w:szCs w:val="20"/>
        </w:rPr>
        <w:tab/>
        <w:t>Dodatkowe wytyczne na temat powierzchni drogi startowej zawarte są w „Podręczniku projektowania lotnisk”  ICAO Doc 9157, Część 3 „Nawierzchnie sztuczne”.</w:t>
      </w:r>
    </w:p>
    <w:p w14:paraId="0A4BDF87" w14:textId="49A24CC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 New Roman"/>
          <w:szCs w:val="20"/>
        </w:rPr>
        <w:t xml:space="preserve">(d) </w:t>
      </w:r>
      <w:r w:rsidRPr="009E064B">
        <w:rPr>
          <w:rFonts w:cs="Times New Roman"/>
          <w:szCs w:val="20"/>
        </w:rPr>
        <w:tab/>
        <w:t xml:space="preserve">W celu zapewnienia wymaganej charakterystyki tarcia nawierzchni, pod uwagę brana jest makro- i mikro-struktura. Dodatkowe wytyczne są zawarte w </w:t>
      </w:r>
      <w:hyperlink w:anchor="_GM1_ADR-DSN.B.191_" w:history="1">
        <w:r w:rsidRPr="009E064B">
          <w:rPr>
            <w:rStyle w:val="Hipercze"/>
            <w:rFonts w:cs="Times New Roman"/>
            <w:szCs w:val="20"/>
          </w:rPr>
          <w:t>GM1 ADR-DSN.B.191</w:t>
        </w:r>
      </w:hyperlink>
      <w:r w:rsidRPr="009E064B">
        <w:rPr>
          <w:rFonts w:cs="Times New Roman"/>
          <w:szCs w:val="20"/>
        </w:rPr>
        <w:t>. Wytyczne na temat projektowania oraz metod ulepszania tekstury nawierzchni zawarte są w „Podręczniku projektowania lotnisk” ICAO Doc 9157, Część 3, „Nawierzchnie sztuczne”.</w:t>
      </w:r>
    </w:p>
    <w:p w14:paraId="1BCAEA41"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 New Roman"/>
          <w:szCs w:val="20"/>
        </w:rPr>
        <w:t>(e)</w:t>
      </w:r>
      <w:r w:rsidRPr="009E064B">
        <w:rPr>
          <w:rFonts w:cs="Times New Roman"/>
          <w:szCs w:val="20"/>
        </w:rPr>
        <w:tab/>
        <w:t>Powierzchnia drogi startowej o nawierzchni sztucznej powinna być oceniana po zakończeniu budowy lub odnowienia w celu określenia czy cele projektowe odnośnie charakterystyki tarcia nawierzchni zostały osiągnięte.</w:t>
      </w:r>
    </w:p>
    <w:p w14:paraId="52897988" w14:textId="77777777"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F083FE7" w14:textId="0C5DCD84" w:rsidR="00C36D76" w:rsidRPr="009E064B" w:rsidRDefault="00324053" w:rsidP="00B06A9A">
      <w:pPr>
        <w:pStyle w:val="Nagwek4"/>
        <w:rPr>
          <w:color w:val="auto"/>
        </w:rPr>
      </w:pPr>
      <w:bookmarkStart w:id="874" w:name="_CS_ADR-DSN.B.095_"/>
      <w:bookmarkStart w:id="875" w:name="_Toc12532945"/>
      <w:bookmarkEnd w:id="874"/>
      <w:r w:rsidRPr="009E064B">
        <w:rPr>
          <w:color w:val="auto"/>
        </w:rPr>
        <w:t xml:space="preserve">CS ADR-DSN.B.095     </w:t>
      </w:r>
      <w:r w:rsidR="00C36D76" w:rsidRPr="009E064B">
        <w:rPr>
          <w:color w:val="auto"/>
        </w:rPr>
        <w:t>Płaszczyzny do zawracania na drodze startowej</w:t>
      </w:r>
      <w:bookmarkEnd w:id="873"/>
      <w:bookmarkEnd w:id="875"/>
    </w:p>
    <w:p w14:paraId="1A2F3F1C" w14:textId="4F0983F7"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A887787" w14:textId="536C2A91" w:rsidR="00C36D76" w:rsidRPr="009E064B" w:rsidRDefault="00C36D76" w:rsidP="00324053">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w:t>
      </w:r>
      <w:r w:rsidRPr="009E064B">
        <w:rPr>
          <w:rFonts w:cs="TimesNewRomanPSMT"/>
          <w:szCs w:val="20"/>
        </w:rPr>
        <w:t xml:space="preserve"> bezpieczeństwa płaszczyzny </w:t>
      </w:r>
      <w:r w:rsidRPr="009E064B">
        <w:t>do</w:t>
      </w:r>
      <w:r w:rsidRPr="009E064B">
        <w:rPr>
          <w:rFonts w:cs="TimesNewRomanPSMT"/>
          <w:szCs w:val="20"/>
        </w:rPr>
        <w:t xml:space="preserve"> zawracania na drodze startowej jest umożliwienie wykonania przez samolot bezpiecznego zwrotu o 180 stopni na końcach drogi startowej, które nie są obsługiwane przez drogę kołowania lub drogę kołowania do wykonania zawrotu.</w:t>
      </w:r>
    </w:p>
    <w:p w14:paraId="605E6490"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W przypadku, gdy koniec drogi startowej nie jest obsługiwany przez drogę kołowania lub drogę kołowania do wykonania zawrotu należy zapewnić płaszczyznę do zawracania na drodze startowej w celu umożliwienia statkom powietrznym wykonania zwrotu o 180 stopni.</w:t>
      </w:r>
    </w:p>
    <w:p w14:paraId="2044BF28" w14:textId="68AC499B" w:rsidR="00C36D76" w:rsidRPr="009E064B" w:rsidRDefault="00C36D76" w:rsidP="003F3833">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Konstrukcja płaszczyzny do zawracania na drodze startowej powinna być taka, że gdy kabina statku powietrznego, dla którego jest przewidywana ta płaszczyzna, pozostaje nad oznakowaniem poziomym płaszczyzny do zawracania, odstęp pomiędzy którymkolwiek z kół podwozia statku powietrznego a krawędzią płaszczyzny do zawracania, nie może być mniejszy niż wartości podane w poniższym zestawieniu:</w:t>
      </w:r>
    </w:p>
    <w:p w14:paraId="3490A4D6" w14:textId="77777777" w:rsidR="003F3833" w:rsidRPr="00ED2629" w:rsidRDefault="003F3833" w:rsidP="003F3833">
      <w:pPr>
        <w:tabs>
          <w:tab w:val="left" w:pos="567"/>
        </w:tabs>
        <w:autoSpaceDE w:val="0"/>
        <w:autoSpaceDN w:val="0"/>
        <w:adjustRightInd w:val="0"/>
        <w:spacing w:after="0"/>
        <w:ind w:left="567" w:hanging="567"/>
        <w:rPr>
          <w:rFonts w:cs="TimesNewRomanPSMT"/>
          <w:szCs w:val="20"/>
        </w:rPr>
      </w:pPr>
    </w:p>
    <w:tbl>
      <w:tblPr>
        <w:tblW w:w="469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001"/>
        <w:gridCol w:w="1902"/>
        <w:gridCol w:w="1904"/>
        <w:gridCol w:w="1904"/>
        <w:gridCol w:w="1904"/>
      </w:tblGrid>
      <w:tr w:rsidR="00292BEE" w:rsidRPr="00ED2629" w14:paraId="6D6A4A79" w14:textId="77777777" w:rsidTr="00292BEE">
        <w:trPr>
          <w:jc w:val="right"/>
        </w:trPr>
        <w:tc>
          <w:tcPr>
            <w:tcW w:w="581" w:type="pct"/>
            <w:vMerge w:val="restart"/>
            <w:tcMar>
              <w:top w:w="85" w:type="dxa"/>
              <w:left w:w="57" w:type="dxa"/>
              <w:bottom w:w="85" w:type="dxa"/>
              <w:right w:w="57" w:type="dxa"/>
            </w:tcMar>
            <w:vAlign w:val="center"/>
          </w:tcPr>
          <w:p w14:paraId="0FA66DA1" w14:textId="77777777" w:rsidR="001C6710" w:rsidRPr="00ED2629" w:rsidRDefault="001C6710" w:rsidP="00334D65">
            <w:pPr>
              <w:autoSpaceDE w:val="0"/>
              <w:autoSpaceDN w:val="0"/>
              <w:adjustRightInd w:val="0"/>
              <w:spacing w:after="0"/>
              <w:jc w:val="center"/>
              <w:rPr>
                <w:rFonts w:cs="TimesNewRomanPSMT"/>
                <w:szCs w:val="20"/>
              </w:rPr>
            </w:pPr>
          </w:p>
        </w:tc>
        <w:tc>
          <w:tcPr>
            <w:tcW w:w="4419" w:type="pct"/>
            <w:gridSpan w:val="4"/>
            <w:tcMar>
              <w:top w:w="85" w:type="dxa"/>
              <w:left w:w="57" w:type="dxa"/>
              <w:bottom w:w="85" w:type="dxa"/>
              <w:right w:w="57" w:type="dxa"/>
            </w:tcMar>
            <w:vAlign w:val="center"/>
          </w:tcPr>
          <w:p w14:paraId="7EC88384" w14:textId="61CBCC66" w:rsidR="001C6710" w:rsidRPr="00ED2629" w:rsidRDefault="001C6710" w:rsidP="000D78F5">
            <w:pPr>
              <w:spacing w:after="0"/>
              <w:jc w:val="center"/>
              <w:rPr>
                <w:b/>
              </w:rPr>
            </w:pPr>
            <w:r w:rsidRPr="00ED2629">
              <w:rPr>
                <w:b/>
                <w:szCs w:val="18"/>
              </w:rPr>
              <w:t xml:space="preserve">Całkowity rozstaw zewnętrznych </w:t>
            </w:r>
            <w:r w:rsidR="00FB199F" w:rsidRPr="00ED2629">
              <w:rPr>
                <w:b/>
                <w:szCs w:val="18"/>
              </w:rPr>
              <w:t xml:space="preserve">kół </w:t>
            </w:r>
            <w:r w:rsidRPr="00ED2629">
              <w:rPr>
                <w:b/>
                <w:szCs w:val="18"/>
              </w:rPr>
              <w:t>podwozia głównego (OMGWS)</w:t>
            </w:r>
          </w:p>
        </w:tc>
      </w:tr>
      <w:tr w:rsidR="00292BEE" w:rsidRPr="00ED2629" w14:paraId="4636E6C4" w14:textId="77777777" w:rsidTr="00292BEE">
        <w:trPr>
          <w:jc w:val="right"/>
        </w:trPr>
        <w:tc>
          <w:tcPr>
            <w:tcW w:w="581" w:type="pct"/>
            <w:vMerge/>
            <w:tcMar>
              <w:top w:w="85" w:type="dxa"/>
              <w:left w:w="57" w:type="dxa"/>
              <w:bottom w:w="85" w:type="dxa"/>
              <w:right w:w="57" w:type="dxa"/>
            </w:tcMar>
            <w:vAlign w:val="center"/>
          </w:tcPr>
          <w:p w14:paraId="21B7F6F9" w14:textId="77777777" w:rsidR="001C6710" w:rsidRPr="00ED2629" w:rsidRDefault="001C6710" w:rsidP="00334D65">
            <w:pPr>
              <w:spacing w:after="0"/>
              <w:ind w:right="43"/>
              <w:jc w:val="center"/>
            </w:pPr>
          </w:p>
        </w:tc>
        <w:tc>
          <w:tcPr>
            <w:tcW w:w="1104" w:type="pct"/>
            <w:tcMar>
              <w:top w:w="85" w:type="dxa"/>
              <w:left w:w="28" w:type="dxa"/>
              <w:bottom w:w="85" w:type="dxa"/>
              <w:right w:w="28" w:type="dxa"/>
            </w:tcMar>
            <w:vAlign w:val="center"/>
          </w:tcPr>
          <w:p w14:paraId="298A8168" w14:textId="77777777" w:rsidR="001C6710" w:rsidRPr="00ED2629" w:rsidRDefault="001C6710" w:rsidP="00334D65">
            <w:pPr>
              <w:spacing w:after="0" w:line="276" w:lineRule="auto"/>
              <w:jc w:val="center"/>
              <w:rPr>
                <w:szCs w:val="18"/>
              </w:rPr>
            </w:pPr>
            <w:r w:rsidRPr="00ED2629">
              <w:rPr>
                <w:szCs w:val="18"/>
              </w:rPr>
              <w:t xml:space="preserve">do </w:t>
            </w:r>
            <w:smartTag w:uri="urn:schemas-microsoft-com:office:smarttags" w:element="metricconverter">
              <w:smartTagPr>
                <w:attr w:name="ProductID" w:val="4.5 m"/>
              </w:smartTagPr>
              <w:r w:rsidRPr="00ED2629">
                <w:rPr>
                  <w:szCs w:val="18"/>
                </w:rPr>
                <w:t>4.5 m</w:t>
              </w:r>
            </w:smartTag>
          </w:p>
          <w:p w14:paraId="4193292E" w14:textId="0494C572" w:rsidR="001C6710" w:rsidRPr="00ED2629" w:rsidRDefault="001C6710" w:rsidP="00292BEE">
            <w:pPr>
              <w:spacing w:after="0"/>
              <w:jc w:val="center"/>
              <w:rPr>
                <w:b/>
              </w:rPr>
            </w:pPr>
            <w:r w:rsidRPr="00ED2629">
              <w:rPr>
                <w:szCs w:val="18"/>
              </w:rPr>
              <w:t xml:space="preserve">(bez wartości </w:t>
            </w:r>
            <w:smartTag w:uri="urn:schemas-microsoft-com:office:smarttags" w:element="metricconverter">
              <w:smartTagPr>
                <w:attr w:name="ProductID" w:val="4.5 m"/>
              </w:smartTagPr>
              <w:r w:rsidRPr="00ED2629">
                <w:rPr>
                  <w:szCs w:val="18"/>
                </w:rPr>
                <w:t>4.5 m</w:t>
              </w:r>
            </w:smartTag>
            <w:r w:rsidRPr="00ED2629">
              <w:rPr>
                <w:szCs w:val="18"/>
              </w:rPr>
              <w:t>)</w:t>
            </w:r>
          </w:p>
        </w:tc>
        <w:tc>
          <w:tcPr>
            <w:tcW w:w="1105" w:type="pct"/>
            <w:tcMar>
              <w:top w:w="85" w:type="dxa"/>
              <w:left w:w="28" w:type="dxa"/>
              <w:bottom w:w="85" w:type="dxa"/>
              <w:right w:w="28" w:type="dxa"/>
            </w:tcMar>
            <w:vAlign w:val="center"/>
          </w:tcPr>
          <w:p w14:paraId="459F9E9B" w14:textId="77777777" w:rsidR="001C6710" w:rsidRPr="00ED2629" w:rsidRDefault="001C6710" w:rsidP="00334D65">
            <w:pPr>
              <w:spacing w:after="0" w:line="276" w:lineRule="auto"/>
              <w:jc w:val="center"/>
              <w:rPr>
                <w:szCs w:val="18"/>
              </w:rPr>
            </w:pPr>
            <w:r w:rsidRPr="00ED2629">
              <w:rPr>
                <w:szCs w:val="18"/>
              </w:rPr>
              <w:t xml:space="preserve">od </w:t>
            </w:r>
            <w:smartTag w:uri="urn:schemas-microsoft-com:office:smarttags" w:element="metricconverter">
              <w:smartTagPr>
                <w:attr w:name="ProductID" w:val="4.5 m"/>
              </w:smartTagPr>
              <w:r w:rsidRPr="00ED2629">
                <w:rPr>
                  <w:szCs w:val="18"/>
                </w:rPr>
                <w:t>4.5 m</w:t>
              </w:r>
            </w:smartTag>
            <w:r w:rsidRPr="00ED2629">
              <w:rPr>
                <w:szCs w:val="18"/>
              </w:rPr>
              <w:t xml:space="preserve"> do </w:t>
            </w:r>
            <w:smartTag w:uri="urn:schemas-microsoft-com:office:smarttags" w:element="metricconverter">
              <w:smartTagPr>
                <w:attr w:name="ProductID" w:val="6 m"/>
              </w:smartTagPr>
              <w:r w:rsidRPr="00ED2629">
                <w:rPr>
                  <w:szCs w:val="18"/>
                </w:rPr>
                <w:t>6 m</w:t>
              </w:r>
            </w:smartTag>
          </w:p>
          <w:p w14:paraId="1794726F" w14:textId="1001F6E0" w:rsidR="001C6710" w:rsidRPr="00ED2629" w:rsidRDefault="001C6710" w:rsidP="00292BEE">
            <w:pPr>
              <w:spacing w:after="0"/>
              <w:jc w:val="center"/>
              <w:rPr>
                <w:b/>
              </w:rPr>
            </w:pPr>
            <w:r w:rsidRPr="00ED2629">
              <w:rPr>
                <w:szCs w:val="18"/>
              </w:rPr>
              <w:t xml:space="preserve">(bez wartości </w:t>
            </w:r>
            <w:smartTag w:uri="urn:schemas-microsoft-com:office:smarttags" w:element="metricconverter">
              <w:smartTagPr>
                <w:attr w:name="ProductID" w:val="6 m"/>
              </w:smartTagPr>
              <w:r w:rsidRPr="00ED2629">
                <w:rPr>
                  <w:szCs w:val="18"/>
                </w:rPr>
                <w:t>6 m)</w:t>
              </w:r>
            </w:smartTag>
          </w:p>
        </w:tc>
        <w:tc>
          <w:tcPr>
            <w:tcW w:w="1105" w:type="pct"/>
            <w:tcMar>
              <w:top w:w="85" w:type="dxa"/>
              <w:left w:w="28" w:type="dxa"/>
              <w:bottom w:w="85" w:type="dxa"/>
              <w:right w:w="28" w:type="dxa"/>
            </w:tcMar>
            <w:vAlign w:val="center"/>
          </w:tcPr>
          <w:p w14:paraId="34F6C2CC" w14:textId="77777777" w:rsidR="001C6710" w:rsidRPr="00ED2629" w:rsidRDefault="001C6710" w:rsidP="00334D65">
            <w:pPr>
              <w:spacing w:after="0" w:line="276" w:lineRule="auto"/>
              <w:jc w:val="center"/>
              <w:rPr>
                <w:szCs w:val="18"/>
              </w:rPr>
            </w:pPr>
            <w:r w:rsidRPr="00ED2629">
              <w:rPr>
                <w:szCs w:val="18"/>
              </w:rPr>
              <w:t xml:space="preserve">od </w:t>
            </w:r>
            <w:smartTag w:uri="urn:schemas-microsoft-com:office:smarttags" w:element="metricconverter">
              <w:smartTagPr>
                <w:attr w:name="ProductID" w:val="6 m"/>
              </w:smartTagPr>
              <w:r w:rsidRPr="00ED2629">
                <w:rPr>
                  <w:szCs w:val="18"/>
                </w:rPr>
                <w:t>6 m</w:t>
              </w:r>
            </w:smartTag>
            <w:r w:rsidRPr="00ED2629">
              <w:rPr>
                <w:szCs w:val="18"/>
              </w:rPr>
              <w:t xml:space="preserve"> do </w:t>
            </w:r>
            <w:smartTag w:uri="urn:schemas-microsoft-com:office:smarttags" w:element="metricconverter">
              <w:smartTagPr>
                <w:attr w:name="ProductID" w:val="9 m"/>
              </w:smartTagPr>
              <w:r w:rsidRPr="00ED2629">
                <w:rPr>
                  <w:szCs w:val="18"/>
                </w:rPr>
                <w:t>9 m</w:t>
              </w:r>
            </w:smartTag>
          </w:p>
          <w:p w14:paraId="799BE7F8" w14:textId="49D4E528" w:rsidR="001C6710" w:rsidRPr="00ED2629" w:rsidRDefault="001C6710" w:rsidP="00292BEE">
            <w:pPr>
              <w:spacing w:after="0"/>
              <w:jc w:val="center"/>
              <w:rPr>
                <w:b/>
              </w:rPr>
            </w:pPr>
            <w:r w:rsidRPr="00ED2629">
              <w:rPr>
                <w:szCs w:val="18"/>
              </w:rPr>
              <w:t xml:space="preserve">(bez wartości </w:t>
            </w:r>
            <w:smartTag w:uri="urn:schemas-microsoft-com:office:smarttags" w:element="metricconverter">
              <w:smartTagPr>
                <w:attr w:name="ProductID" w:val="9 m"/>
              </w:smartTagPr>
              <w:r w:rsidRPr="00ED2629">
                <w:rPr>
                  <w:szCs w:val="18"/>
                </w:rPr>
                <w:t>9 m</w:t>
              </w:r>
            </w:smartTag>
            <w:r w:rsidRPr="00ED2629">
              <w:rPr>
                <w:szCs w:val="18"/>
              </w:rPr>
              <w:t>)</w:t>
            </w:r>
          </w:p>
        </w:tc>
        <w:tc>
          <w:tcPr>
            <w:tcW w:w="1105" w:type="pct"/>
            <w:tcMar>
              <w:top w:w="85" w:type="dxa"/>
              <w:left w:w="28" w:type="dxa"/>
              <w:bottom w:w="85" w:type="dxa"/>
              <w:right w:w="28" w:type="dxa"/>
            </w:tcMar>
            <w:vAlign w:val="center"/>
          </w:tcPr>
          <w:p w14:paraId="6D1F0974" w14:textId="42A4F829" w:rsidR="001C6710" w:rsidRPr="00ED2629" w:rsidRDefault="001C6710" w:rsidP="00334D65">
            <w:pPr>
              <w:spacing w:after="0" w:line="276" w:lineRule="auto"/>
              <w:jc w:val="center"/>
              <w:rPr>
                <w:szCs w:val="18"/>
              </w:rPr>
            </w:pPr>
            <w:r w:rsidRPr="00ED2629">
              <w:rPr>
                <w:szCs w:val="18"/>
              </w:rPr>
              <w:t xml:space="preserve">od </w:t>
            </w:r>
            <w:smartTag w:uri="urn:schemas-microsoft-com:office:smarttags" w:element="metricconverter">
              <w:smartTagPr>
                <w:attr w:name="ProductID" w:val="9 m"/>
              </w:smartTagPr>
              <w:r w:rsidRPr="00ED2629">
                <w:rPr>
                  <w:szCs w:val="18"/>
                </w:rPr>
                <w:t>9 m</w:t>
              </w:r>
            </w:smartTag>
            <w:r w:rsidRPr="00ED2629">
              <w:rPr>
                <w:szCs w:val="18"/>
              </w:rPr>
              <w:t xml:space="preserve"> do 1</w:t>
            </w:r>
            <w:r w:rsidR="000A3409" w:rsidRPr="00ED2629">
              <w:rPr>
                <w:szCs w:val="18"/>
              </w:rPr>
              <w:t>5</w:t>
            </w:r>
            <w:r w:rsidRPr="00ED2629">
              <w:rPr>
                <w:szCs w:val="18"/>
              </w:rPr>
              <w:t xml:space="preserve"> m</w:t>
            </w:r>
          </w:p>
          <w:p w14:paraId="5ABAAACA" w14:textId="18A76994" w:rsidR="001C6710" w:rsidRPr="00ED2629" w:rsidRDefault="001C6710" w:rsidP="00292BEE">
            <w:pPr>
              <w:spacing w:after="0"/>
              <w:jc w:val="center"/>
              <w:rPr>
                <w:b/>
              </w:rPr>
            </w:pPr>
            <w:r w:rsidRPr="00ED2629">
              <w:rPr>
                <w:szCs w:val="18"/>
              </w:rPr>
              <w:t>(bez wartości 1</w:t>
            </w:r>
            <w:r w:rsidR="000A3409" w:rsidRPr="00ED2629">
              <w:rPr>
                <w:szCs w:val="18"/>
              </w:rPr>
              <w:t>5</w:t>
            </w:r>
            <w:r w:rsidRPr="00ED2629">
              <w:rPr>
                <w:szCs w:val="18"/>
              </w:rPr>
              <w:t xml:space="preserve"> m)</w:t>
            </w:r>
          </w:p>
        </w:tc>
      </w:tr>
      <w:tr w:rsidR="00292BEE" w:rsidRPr="00ED2629" w14:paraId="243C5A8A" w14:textId="77777777" w:rsidTr="001D76A7">
        <w:trPr>
          <w:trHeight w:val="454"/>
          <w:jc w:val="right"/>
        </w:trPr>
        <w:tc>
          <w:tcPr>
            <w:tcW w:w="581" w:type="pct"/>
            <w:tcMar>
              <w:top w:w="85" w:type="dxa"/>
              <w:left w:w="57" w:type="dxa"/>
              <w:bottom w:w="85" w:type="dxa"/>
              <w:right w:w="57" w:type="dxa"/>
            </w:tcMar>
            <w:vAlign w:val="center"/>
          </w:tcPr>
          <w:p w14:paraId="433FCFCF" w14:textId="77777777" w:rsidR="001C6710" w:rsidRPr="00ED2629" w:rsidRDefault="001C6710" w:rsidP="00334D65">
            <w:pPr>
              <w:autoSpaceDE w:val="0"/>
              <w:autoSpaceDN w:val="0"/>
              <w:adjustRightInd w:val="0"/>
              <w:spacing w:after="0"/>
              <w:jc w:val="center"/>
              <w:rPr>
                <w:rFonts w:cs="TimesNewRomanPSMT"/>
                <w:szCs w:val="20"/>
              </w:rPr>
            </w:pPr>
            <w:r w:rsidRPr="00ED2629">
              <w:rPr>
                <w:rFonts w:cs="TimesNewRomanPSMT"/>
                <w:szCs w:val="20"/>
              </w:rPr>
              <w:t>Odstęp</w:t>
            </w:r>
          </w:p>
        </w:tc>
        <w:tc>
          <w:tcPr>
            <w:tcW w:w="1104" w:type="pct"/>
            <w:tcMar>
              <w:top w:w="85" w:type="dxa"/>
              <w:left w:w="57" w:type="dxa"/>
              <w:bottom w:w="85" w:type="dxa"/>
              <w:right w:w="57" w:type="dxa"/>
            </w:tcMar>
            <w:vAlign w:val="center"/>
          </w:tcPr>
          <w:p w14:paraId="0214138A" w14:textId="034D3B14" w:rsidR="001C6710" w:rsidRPr="00ED2629" w:rsidRDefault="001C6710" w:rsidP="00334D65">
            <w:pPr>
              <w:spacing w:after="0"/>
              <w:jc w:val="center"/>
            </w:pPr>
            <w:r w:rsidRPr="00ED2629">
              <w:rPr>
                <w:rFonts w:cs="TimesNewRomanPS-ItalicMT"/>
                <w:iCs/>
                <w:szCs w:val="20"/>
              </w:rPr>
              <w:t>1.5</w:t>
            </w:r>
            <w:r w:rsidR="0016515D" w:rsidRPr="00ED2629">
              <w:rPr>
                <w:rFonts w:cs="TimesNewRomanPS-ItalicMT"/>
                <w:iCs/>
                <w:szCs w:val="20"/>
              </w:rPr>
              <w:t>0</w:t>
            </w:r>
            <w:r w:rsidRPr="00ED2629">
              <w:rPr>
                <w:rFonts w:cs="TimesNewRomanPS-ItalicMT"/>
                <w:iCs/>
                <w:szCs w:val="20"/>
              </w:rPr>
              <w:t xml:space="preserve"> m</w:t>
            </w:r>
          </w:p>
        </w:tc>
        <w:tc>
          <w:tcPr>
            <w:tcW w:w="1105" w:type="pct"/>
            <w:tcMar>
              <w:top w:w="85" w:type="dxa"/>
              <w:left w:w="57" w:type="dxa"/>
              <w:bottom w:w="85" w:type="dxa"/>
              <w:right w:w="57" w:type="dxa"/>
            </w:tcMar>
            <w:vAlign w:val="center"/>
          </w:tcPr>
          <w:p w14:paraId="573E58B8" w14:textId="77777777" w:rsidR="001C6710" w:rsidRPr="00ED2629" w:rsidRDefault="001C6710" w:rsidP="00334D65">
            <w:pPr>
              <w:spacing w:after="0"/>
              <w:jc w:val="center"/>
            </w:pPr>
            <w:r w:rsidRPr="00ED2629">
              <w:rPr>
                <w:rFonts w:cs="TimesNewRomanPS-ItalicMT"/>
                <w:iCs/>
                <w:szCs w:val="20"/>
              </w:rPr>
              <w:t>2.25 m</w:t>
            </w:r>
          </w:p>
        </w:tc>
        <w:tc>
          <w:tcPr>
            <w:tcW w:w="1105" w:type="pct"/>
            <w:tcMar>
              <w:top w:w="85" w:type="dxa"/>
              <w:left w:w="57" w:type="dxa"/>
              <w:bottom w:w="85" w:type="dxa"/>
              <w:right w:w="57" w:type="dxa"/>
            </w:tcMar>
            <w:vAlign w:val="center"/>
          </w:tcPr>
          <w:p w14:paraId="0DDE5E8B" w14:textId="77777777" w:rsidR="001C6710" w:rsidRPr="00ED2629" w:rsidRDefault="001C6710" w:rsidP="00334D65">
            <w:pPr>
              <w:spacing w:after="0"/>
              <w:jc w:val="center"/>
            </w:pPr>
            <w:r w:rsidRPr="00ED2629">
              <w:rPr>
                <w:rFonts w:cs="TimesNewRomanPS-ItalicMT"/>
                <w:iCs/>
                <w:szCs w:val="20"/>
              </w:rPr>
              <w:t>3 m</w:t>
            </w:r>
            <w:r w:rsidRPr="00ED2629">
              <w:rPr>
                <w:rFonts w:cs="TimesNewRomanPS-ItalicMT"/>
                <w:iCs/>
                <w:sz w:val="24"/>
                <w:szCs w:val="20"/>
                <w:vertAlign w:val="superscript"/>
              </w:rPr>
              <w:t>a</w:t>
            </w:r>
            <w:r w:rsidRPr="00ED2629">
              <w:rPr>
                <w:rFonts w:cs="TimesNewRomanPS-ItalicMT"/>
                <w:iCs/>
                <w:szCs w:val="20"/>
              </w:rPr>
              <w:t xml:space="preserve"> lub 4 m</w:t>
            </w:r>
            <w:r w:rsidRPr="00ED2629">
              <w:rPr>
                <w:rFonts w:cs="TimesNewRomanPS-ItalicMT"/>
                <w:iCs/>
                <w:sz w:val="24"/>
                <w:szCs w:val="20"/>
                <w:vertAlign w:val="superscript"/>
              </w:rPr>
              <w:t>b</w:t>
            </w:r>
          </w:p>
        </w:tc>
        <w:tc>
          <w:tcPr>
            <w:tcW w:w="1105" w:type="pct"/>
            <w:tcMar>
              <w:top w:w="85" w:type="dxa"/>
              <w:left w:w="57" w:type="dxa"/>
              <w:bottom w:w="85" w:type="dxa"/>
              <w:right w:w="57" w:type="dxa"/>
            </w:tcMar>
            <w:vAlign w:val="center"/>
          </w:tcPr>
          <w:p w14:paraId="26DDC0DB" w14:textId="7D500BA1" w:rsidR="001C6710" w:rsidRPr="00ED2629" w:rsidRDefault="000A3409" w:rsidP="00334D65">
            <w:pPr>
              <w:spacing w:after="0"/>
              <w:jc w:val="center"/>
            </w:pPr>
            <w:r w:rsidRPr="00ED2629">
              <w:rPr>
                <w:rFonts w:cs="TimesNewRomanPS-ItalicMT"/>
                <w:iCs/>
                <w:szCs w:val="20"/>
              </w:rPr>
              <w:t>4</w:t>
            </w:r>
            <w:r w:rsidR="001C6710" w:rsidRPr="00ED2629">
              <w:rPr>
                <w:rFonts w:cs="TimesNewRomanPS-ItalicMT"/>
                <w:iCs/>
                <w:szCs w:val="20"/>
              </w:rPr>
              <w:t xml:space="preserve"> m</w:t>
            </w:r>
          </w:p>
        </w:tc>
      </w:tr>
      <w:tr w:rsidR="00292BEE" w:rsidRPr="00ED2629" w14:paraId="264286F9" w14:textId="77777777" w:rsidTr="00292BEE">
        <w:trPr>
          <w:jc w:val="right"/>
        </w:trPr>
        <w:tc>
          <w:tcPr>
            <w:tcW w:w="5000" w:type="pct"/>
            <w:gridSpan w:val="5"/>
            <w:tcBorders>
              <w:bottom w:val="nil"/>
            </w:tcBorders>
            <w:tcMar>
              <w:top w:w="85" w:type="dxa"/>
              <w:left w:w="57" w:type="dxa"/>
              <w:bottom w:w="0" w:type="dxa"/>
              <w:right w:w="57" w:type="dxa"/>
            </w:tcMar>
            <w:vAlign w:val="center"/>
          </w:tcPr>
          <w:p w14:paraId="3A6A36D3" w14:textId="0DFEBAFF" w:rsidR="001C6710" w:rsidRPr="00ED2629" w:rsidRDefault="001C6710" w:rsidP="00334D65">
            <w:pPr>
              <w:tabs>
                <w:tab w:val="left" w:pos="177"/>
              </w:tabs>
              <w:spacing w:after="0"/>
              <w:ind w:left="177" w:hanging="177"/>
              <w:jc w:val="left"/>
              <w:rPr>
                <w:rFonts w:cs="TimesNewRomanPS-ItalicMT"/>
                <w:i/>
                <w:iCs/>
                <w:sz w:val="20"/>
                <w:szCs w:val="20"/>
              </w:rPr>
            </w:pPr>
            <w:r w:rsidRPr="00ED2629">
              <w:rPr>
                <w:rFonts w:cs="TimesNewRomanPS-ItalicMT"/>
                <w:iCs/>
                <w:sz w:val="24"/>
                <w:szCs w:val="20"/>
                <w:vertAlign w:val="superscript"/>
              </w:rPr>
              <w:t>a</w:t>
            </w:r>
            <w:r w:rsidRPr="00ED2629">
              <w:rPr>
                <w:i/>
                <w:iCs/>
                <w:sz w:val="28"/>
                <w:vertAlign w:val="superscript"/>
              </w:rPr>
              <w:t xml:space="preserve"> </w:t>
            </w:r>
            <w:r w:rsidR="00292BEE" w:rsidRPr="00ED2629">
              <w:rPr>
                <w:i/>
                <w:iCs/>
                <w:sz w:val="28"/>
                <w:vertAlign w:val="superscript"/>
              </w:rPr>
              <w:t xml:space="preserve"> </w:t>
            </w:r>
            <w:r w:rsidRPr="00ED2629">
              <w:rPr>
                <w:rFonts w:cs="TimesNewRomanPS-ItalicMT"/>
                <w:i/>
                <w:iCs/>
                <w:szCs w:val="20"/>
              </w:rPr>
              <w:t>j</w:t>
            </w:r>
            <w:r w:rsidRPr="00ED2629">
              <w:rPr>
                <w:rFonts w:cs="TimesNewRomanPS-ItalicMT"/>
                <w:i/>
                <w:iCs/>
                <w:sz w:val="20"/>
                <w:szCs w:val="20"/>
              </w:rPr>
              <w:t>eżeli płaszczyzna do zawracania jest przeznaczona dla samolotów o bazie kół mniejszej niż 18 m;</w:t>
            </w:r>
          </w:p>
          <w:p w14:paraId="17C61C90" w14:textId="23E474C8" w:rsidR="001C6710" w:rsidRPr="00ED2629" w:rsidRDefault="001C6710" w:rsidP="00334D65">
            <w:pPr>
              <w:tabs>
                <w:tab w:val="left" w:pos="177"/>
              </w:tabs>
              <w:spacing w:after="0"/>
              <w:ind w:left="177" w:hanging="177"/>
              <w:jc w:val="left"/>
              <w:rPr>
                <w:i/>
                <w:iCs/>
                <w:sz w:val="28"/>
                <w:vertAlign w:val="superscript"/>
              </w:rPr>
            </w:pPr>
            <w:r w:rsidRPr="00ED2629">
              <w:rPr>
                <w:rFonts w:cs="TimesNewRomanPS-ItalicMT"/>
                <w:iCs/>
                <w:sz w:val="20"/>
                <w:szCs w:val="20"/>
                <w:vertAlign w:val="superscript"/>
              </w:rPr>
              <w:t>b</w:t>
            </w:r>
            <w:r w:rsidRPr="00ED2629">
              <w:rPr>
                <w:i/>
                <w:iCs/>
                <w:sz w:val="20"/>
                <w:szCs w:val="20"/>
                <w:vertAlign w:val="superscript"/>
              </w:rPr>
              <w:t xml:space="preserve"> </w:t>
            </w:r>
            <w:r w:rsidR="00292BEE" w:rsidRPr="00ED2629">
              <w:rPr>
                <w:i/>
                <w:iCs/>
                <w:sz w:val="20"/>
                <w:szCs w:val="20"/>
                <w:vertAlign w:val="superscript"/>
              </w:rPr>
              <w:t xml:space="preserve"> </w:t>
            </w:r>
            <w:r w:rsidRPr="00ED2629">
              <w:rPr>
                <w:rFonts w:cs="TimesNewRomanPS-ItalicMT"/>
                <w:i/>
                <w:iCs/>
                <w:sz w:val="20"/>
                <w:szCs w:val="20"/>
              </w:rPr>
              <w:t xml:space="preserve">jeżeli płaszczyzna do zawracania jest przeznaczona dla samolotów o bazie kół równej lub większej </w:t>
            </w:r>
            <w:r w:rsidR="00C32E80" w:rsidRPr="00ED2629">
              <w:rPr>
                <w:rFonts w:cs="TimesNewRomanPS-ItalicMT"/>
                <w:i/>
                <w:iCs/>
                <w:sz w:val="20"/>
                <w:szCs w:val="20"/>
              </w:rPr>
              <w:br/>
            </w:r>
            <w:r w:rsidRPr="00ED2629">
              <w:rPr>
                <w:rFonts w:cs="TimesNewRomanPS-ItalicMT"/>
                <w:i/>
                <w:iCs/>
                <w:sz w:val="20"/>
                <w:szCs w:val="20"/>
              </w:rPr>
              <w:t>niż 18 m;</w:t>
            </w:r>
          </w:p>
        </w:tc>
      </w:tr>
      <w:tr w:rsidR="00292BEE" w:rsidRPr="00ED2629" w14:paraId="0B9D7C7D" w14:textId="77777777" w:rsidTr="00292BEE">
        <w:trPr>
          <w:jc w:val="right"/>
        </w:trPr>
        <w:tc>
          <w:tcPr>
            <w:tcW w:w="5000" w:type="pct"/>
            <w:gridSpan w:val="5"/>
            <w:tcBorders>
              <w:top w:val="nil"/>
            </w:tcBorders>
            <w:tcMar>
              <w:top w:w="57" w:type="dxa"/>
              <w:left w:w="57" w:type="dxa"/>
              <w:bottom w:w="85" w:type="dxa"/>
              <w:right w:w="57" w:type="dxa"/>
            </w:tcMar>
            <w:vAlign w:val="center"/>
          </w:tcPr>
          <w:p w14:paraId="6140BCF2" w14:textId="77777777" w:rsidR="001C6710" w:rsidRPr="00ED2629" w:rsidRDefault="001C6710" w:rsidP="00334D65">
            <w:pPr>
              <w:pStyle w:val="Akapitzlist"/>
              <w:autoSpaceDE w:val="0"/>
              <w:autoSpaceDN w:val="0"/>
              <w:adjustRightInd w:val="0"/>
              <w:spacing w:after="0"/>
              <w:ind w:left="885" w:hanging="851"/>
              <w:jc w:val="left"/>
              <w:rPr>
                <w:rFonts w:cs="TimesNewRomanPS-ItalicMT"/>
                <w:i/>
                <w:iCs/>
                <w:szCs w:val="20"/>
              </w:rPr>
            </w:pPr>
            <w:r w:rsidRPr="00ED2629">
              <w:rPr>
                <w:rFonts w:cs="TimesNewRomanPS-ItalicMT"/>
                <w:i/>
                <w:iCs/>
                <w:sz w:val="20"/>
                <w:szCs w:val="20"/>
              </w:rPr>
              <w:t>Uwaga:    Baza kół oznacza odległość od koła przedniego do geometrycznego środka podwozia głównego.</w:t>
            </w:r>
          </w:p>
        </w:tc>
      </w:tr>
    </w:tbl>
    <w:p w14:paraId="34BDB6A1" w14:textId="77777777" w:rsidR="001C6710" w:rsidRPr="00ED2629" w:rsidRDefault="001C6710" w:rsidP="00B06A9A">
      <w:pPr>
        <w:tabs>
          <w:tab w:val="left" w:pos="567"/>
        </w:tabs>
        <w:autoSpaceDE w:val="0"/>
        <w:autoSpaceDN w:val="0"/>
        <w:adjustRightInd w:val="0"/>
        <w:ind w:left="567" w:hanging="567"/>
        <w:rPr>
          <w:rFonts w:cs="Times New Roman"/>
          <w:szCs w:val="20"/>
        </w:rPr>
      </w:pPr>
    </w:p>
    <w:p w14:paraId="7E30A34B" w14:textId="4F7DEAB3"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(d) </w:t>
      </w:r>
      <w:r w:rsidRPr="009E064B">
        <w:rPr>
          <w:rFonts w:cs="Times New Roman"/>
          <w:szCs w:val="20"/>
        </w:rPr>
        <w:tab/>
      </w:r>
      <w:r w:rsidRPr="009E064B">
        <w:rPr>
          <w:rFonts w:cs="TimesNewRomanPSMT"/>
          <w:szCs w:val="20"/>
        </w:rPr>
        <w:t>Płaszczyzna</w:t>
      </w:r>
      <w:r w:rsidRPr="009E064B">
        <w:rPr>
          <w:rFonts w:cs="TimesNewRomanPS-ItalicMT"/>
          <w:iCs/>
          <w:szCs w:val="20"/>
        </w:rPr>
        <w:t xml:space="preserve"> do zawracania na drodze startowej powinna być zlokalizowana po lewej albo po prawej stronie drogi startowej przylegając do jej nawierzchni przy obu końcach drogi startowej oraz, jeżeli zachodzi taka konieczność, w miejscach pośrednich.</w:t>
      </w:r>
    </w:p>
    <w:p w14:paraId="2AF5725A"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(e) </w:t>
      </w:r>
      <w:r w:rsidRPr="009E064B">
        <w:rPr>
          <w:rFonts w:cs="Times New Roman"/>
          <w:szCs w:val="20"/>
        </w:rPr>
        <w:tab/>
      </w:r>
      <w:r w:rsidRPr="009E064B">
        <w:rPr>
          <w:rFonts w:cs="TimesNewRomanPSMT"/>
          <w:szCs w:val="20"/>
        </w:rPr>
        <w:t>Kąt</w:t>
      </w:r>
      <w:r w:rsidRPr="009E064B">
        <w:rPr>
          <w:rFonts w:cs="TimesNewRomanPS-ItalicMT"/>
          <w:iCs/>
          <w:szCs w:val="20"/>
        </w:rPr>
        <w:t xml:space="preserve"> skrzyżowania płaszczyzny do zawracania z drogą startową nie powinien być większy niż 30 stopni.</w:t>
      </w:r>
    </w:p>
    <w:p w14:paraId="2530B526" w14:textId="77777777" w:rsidR="00C36D76" w:rsidRPr="009E064B" w:rsidRDefault="00C36D76" w:rsidP="00B06A9A">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(f) </w:t>
      </w:r>
      <w:r w:rsidRPr="009E064B">
        <w:rPr>
          <w:rFonts w:cs="Times New Roman"/>
          <w:szCs w:val="20"/>
        </w:rPr>
        <w:tab/>
      </w:r>
      <w:r w:rsidRPr="009E064B">
        <w:rPr>
          <w:rFonts w:cs="TimesNewRomanPS-ItalicMT"/>
          <w:iCs/>
          <w:szCs w:val="20"/>
        </w:rPr>
        <w:t>Kąt skrętu przedniego koła statku powietrznego przyjmowany do celów projektowych nie powinien być większy niż 45 stopni.</w:t>
      </w:r>
    </w:p>
    <w:p w14:paraId="168B9356" w14:textId="711A4C64"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6E9E360" w14:textId="4E8270E1" w:rsidR="00ED2629" w:rsidRDefault="00F722A1" w:rsidP="00ED2629">
      <w:pPr>
        <w:pStyle w:val="Tekstpodstawowy"/>
        <w:spacing w:after="0"/>
        <w:ind w:left="23" w:hanging="23"/>
        <w:rPr>
          <w:rFonts w:asciiTheme="minorHAnsi" w:hAnsiTheme="minorHAnsi" w:cstheme="minorHAnsi"/>
          <w:i/>
          <w:sz w:val="16"/>
          <w:szCs w:val="16"/>
        </w:rPr>
      </w:pPr>
      <w:r w:rsidRPr="00ED2629">
        <w:rPr>
          <w:rFonts w:asciiTheme="minorHAnsi" w:hAnsiTheme="minorHAnsi" w:cstheme="minorHAnsi"/>
          <w:i/>
          <w:sz w:val="16"/>
          <w:szCs w:val="16"/>
        </w:rPr>
        <w:t>[Wydanie: ADR-DSN/4]</w:t>
      </w:r>
    </w:p>
    <w:p w14:paraId="7D3149D1" w14:textId="77777777" w:rsidR="00ED2629" w:rsidRPr="00ED2629" w:rsidRDefault="00ED2629" w:rsidP="00ED2629">
      <w:pPr>
        <w:pStyle w:val="Tekstpodstawowy"/>
        <w:spacing w:after="0"/>
        <w:ind w:left="23" w:hanging="23"/>
        <w:rPr>
          <w:rFonts w:asciiTheme="minorHAnsi" w:eastAsiaTheme="majorEastAsia" w:hAnsiTheme="minorHAnsi" w:cstheme="minorHAnsi"/>
          <w:b/>
          <w:bCs/>
          <w:color w:val="FFFFFF" w:themeColor="background1"/>
          <w:sz w:val="24"/>
          <w:szCs w:val="26"/>
        </w:rPr>
      </w:pPr>
    </w:p>
    <w:p w14:paraId="55153A1F" w14:textId="77777777" w:rsidR="00D63266" w:rsidRPr="009E064B" w:rsidRDefault="00D63266" w:rsidP="00133B99">
      <w:pPr>
        <w:pStyle w:val="Nagwek6"/>
      </w:pPr>
      <w:bookmarkStart w:id="876" w:name="_Toc401058904"/>
      <w:bookmarkStart w:id="877" w:name="_Toc482886772"/>
      <w:bookmarkStart w:id="878" w:name="_Toc12532946"/>
      <w:r w:rsidRPr="009E064B">
        <w:t>GM1 ADR-DSN.B.O95     Płaszczyzny do zawracania na drodze startowej</w:t>
      </w:r>
      <w:bookmarkEnd w:id="876"/>
      <w:bookmarkEnd w:id="877"/>
      <w:bookmarkEnd w:id="878"/>
    </w:p>
    <w:p w14:paraId="2A63ABED" w14:textId="2971EB45" w:rsidR="00D63266" w:rsidRPr="009E064B" w:rsidRDefault="00D63D4F" w:rsidP="00D63266">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4CC775D1" w14:textId="1AAC6F7A" w:rsidR="00D63266" w:rsidRPr="00ED2629" w:rsidRDefault="00D63266" w:rsidP="00292BEE">
      <w:pPr>
        <w:autoSpaceDE w:val="0"/>
        <w:autoSpaceDN w:val="0"/>
        <w:adjustRightInd w:val="0"/>
        <w:rPr>
          <w:rFonts w:eastAsia="Times New Roman,Italic" w:cs="Times New Roman,Italic"/>
          <w:iCs/>
          <w:szCs w:val="20"/>
        </w:rPr>
      </w:pPr>
      <w:r w:rsidRPr="009E064B">
        <w:rPr>
          <w:rFonts w:eastAsia="Times New Roman,Italic" w:cs="Times New Roman,Italic"/>
          <w:iCs/>
          <w:szCs w:val="20"/>
        </w:rPr>
        <w:t xml:space="preserve">W przypadku występowania trudnych warunków atmosferycznych, którym towarzyszy obniżenie </w:t>
      </w:r>
      <w:r w:rsidRPr="00ED2629">
        <w:rPr>
          <w:rFonts w:eastAsia="Times New Roman,Italic" w:cs="Times New Roman,Italic"/>
          <w:iCs/>
          <w:szCs w:val="20"/>
        </w:rPr>
        <w:t>charakterystyk tarcia nawierzchni, należy przewidzieć zwiększoną odległość koła do krawędzi.</w:t>
      </w:r>
    </w:p>
    <w:p w14:paraId="330DCD3E" w14:textId="56B9093D" w:rsidR="000B37F4" w:rsidRPr="00ED2629" w:rsidRDefault="000B37F4" w:rsidP="00EE2E0D">
      <w:pPr>
        <w:tabs>
          <w:tab w:val="left" w:pos="567"/>
        </w:tabs>
        <w:autoSpaceDE w:val="0"/>
        <w:autoSpaceDN w:val="0"/>
        <w:adjustRightInd w:val="0"/>
        <w:spacing w:after="0"/>
        <w:ind w:left="567" w:hanging="567"/>
        <w:rPr>
          <w:rFonts w:eastAsia="Times New Roman,Italic" w:cs="Times New Roman,Italic"/>
          <w:iCs/>
          <w:szCs w:val="20"/>
        </w:rPr>
      </w:pPr>
      <w:r w:rsidRPr="00ED2629">
        <w:rPr>
          <w:rFonts w:eastAsia="Times New Roman,Italic" w:cs="Times New Roman,Italic"/>
          <w:iCs/>
          <w:szCs w:val="20"/>
        </w:rPr>
        <w:t xml:space="preserve">(a) </w:t>
      </w:r>
      <w:r w:rsidRPr="00ED2629">
        <w:rPr>
          <w:rFonts w:eastAsia="Times New Roman,Italic" w:cs="Times New Roman,Italic"/>
          <w:iCs/>
          <w:szCs w:val="20"/>
        </w:rPr>
        <w:tab/>
      </w:r>
      <w:r w:rsidRPr="00ED2629">
        <w:rPr>
          <w:szCs w:val="20"/>
        </w:rPr>
        <w:t>Typowe rozmieszczenie płaszczyzn do zawracania na drodze startowej jest pokazane na Rysunku GM-B3 poniżej.</w:t>
      </w:r>
    </w:p>
    <w:p w14:paraId="73744BB6" w14:textId="3E836D0B" w:rsidR="000B37F4" w:rsidRPr="00ED2629" w:rsidRDefault="000B37F4" w:rsidP="000B37F4">
      <w:pPr>
        <w:autoSpaceDE w:val="0"/>
        <w:autoSpaceDN w:val="0"/>
        <w:adjustRightInd w:val="0"/>
        <w:spacing w:after="0"/>
        <w:jc w:val="center"/>
        <w:rPr>
          <w:rFonts w:eastAsia="Times New Roman,Italic" w:cs="Times New Roman,Italic"/>
          <w:iCs/>
          <w:szCs w:val="20"/>
        </w:rPr>
      </w:pPr>
    </w:p>
    <w:p w14:paraId="6CCB916E" w14:textId="0536B115" w:rsidR="000B37F4" w:rsidRPr="009E064B" w:rsidRDefault="000B37F4" w:rsidP="000B37F4">
      <w:pPr>
        <w:autoSpaceDE w:val="0"/>
        <w:autoSpaceDN w:val="0"/>
        <w:adjustRightInd w:val="0"/>
        <w:spacing w:after="240"/>
        <w:jc w:val="center"/>
        <w:rPr>
          <w:rFonts w:eastAsia="Times New Roman,Italic" w:cs="Times New Roman,Italic"/>
          <w:iCs/>
          <w:szCs w:val="20"/>
        </w:rPr>
      </w:pPr>
      <w:r w:rsidRPr="009E064B">
        <w:rPr>
          <w:rFonts w:eastAsia="Times New Roman,Italic" w:cs="Times New Roman,Italic"/>
          <w:iCs/>
          <w:noProof/>
          <w:szCs w:val="20"/>
          <w:lang w:eastAsia="pl-PL"/>
        </w:rPr>
        <mc:AlternateContent>
          <mc:Choice Requires="wpg">
            <w:drawing>
              <wp:inline distT="0" distB="0" distL="0" distR="0" wp14:anchorId="7E296AD5" wp14:editId="1183C8D9">
                <wp:extent cx="4236085" cy="1757680"/>
                <wp:effectExtent l="0" t="0" r="12065" b="13970"/>
                <wp:docPr id="452" name="Group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6085" cy="1757680"/>
                          <a:chOff x="2796" y="1460"/>
                          <a:chExt cx="6671" cy="2768"/>
                        </a:xfrm>
                      </wpg:grpSpPr>
                      <wpg:grpSp>
                        <wpg:cNvPr id="453" name="Group 1401"/>
                        <wpg:cNvGrpSpPr>
                          <a:grpSpLocks/>
                        </wpg:cNvGrpSpPr>
                        <wpg:grpSpPr bwMode="auto">
                          <a:xfrm>
                            <a:off x="8297" y="2426"/>
                            <a:ext cx="577" cy="174"/>
                            <a:chOff x="8297" y="2426"/>
                            <a:chExt cx="577" cy="174"/>
                          </a:xfrm>
                        </wpg:grpSpPr>
                        <wps:wsp>
                          <wps:cNvPr id="454" name="Freeform 1402"/>
                          <wps:cNvSpPr>
                            <a:spLocks/>
                          </wps:cNvSpPr>
                          <wps:spPr bwMode="auto">
                            <a:xfrm>
                              <a:off x="8297" y="2426"/>
                              <a:ext cx="577" cy="174"/>
                            </a:xfrm>
                            <a:custGeom>
                              <a:avLst/>
                              <a:gdLst>
                                <a:gd name="T0" fmla="+- 0 8321 8297"/>
                                <a:gd name="T1" fmla="*/ T0 w 577"/>
                                <a:gd name="T2" fmla="+- 0 2581 2426"/>
                                <a:gd name="T3" fmla="*/ 2581 h 174"/>
                                <a:gd name="T4" fmla="+- 0 8297 8297"/>
                                <a:gd name="T5" fmla="*/ T4 w 577"/>
                                <a:gd name="T6" fmla="+- 0 2600 2426"/>
                                <a:gd name="T7" fmla="*/ 2600 h 174"/>
                                <a:gd name="T8" fmla="+- 0 8326 8297"/>
                                <a:gd name="T9" fmla="*/ T8 w 577"/>
                                <a:gd name="T10" fmla="+- 0 2600 2426"/>
                                <a:gd name="T11" fmla="*/ 2600 h 174"/>
                                <a:gd name="T12" fmla="+- 0 8321 8297"/>
                                <a:gd name="T13" fmla="*/ T12 w 577"/>
                                <a:gd name="T14" fmla="+- 0 2581 2426"/>
                                <a:gd name="T15" fmla="*/ 2581 h 174"/>
                              </a:gdLst>
                              <a:ahLst/>
                              <a:cxnLst>
                                <a:cxn ang="0">
                                  <a:pos x="T1" y="T3"/>
                                </a:cxn>
                                <a:cxn ang="0">
                                  <a:pos x="T5" y="T7"/>
                                </a:cxn>
                                <a:cxn ang="0">
                                  <a:pos x="T9" y="T11"/>
                                </a:cxn>
                                <a:cxn ang="0">
                                  <a:pos x="T13" y="T15"/>
                                </a:cxn>
                              </a:cxnLst>
                              <a:rect l="0" t="0" r="r" b="b"/>
                              <a:pathLst>
                                <a:path w="577" h="174">
                                  <a:moveTo>
                                    <a:pt x="24" y="155"/>
                                  </a:moveTo>
                                  <a:lnTo>
                                    <a:pt x="0" y="174"/>
                                  </a:lnTo>
                                  <a:lnTo>
                                    <a:pt x="29" y="174"/>
                                  </a:lnTo>
                                  <a:lnTo>
                                    <a:pt x="24"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1403"/>
                          <wps:cNvSpPr>
                            <a:spLocks/>
                          </wps:cNvSpPr>
                          <wps:spPr bwMode="auto">
                            <a:xfrm>
                              <a:off x="8297" y="2426"/>
                              <a:ext cx="577" cy="174"/>
                            </a:xfrm>
                            <a:custGeom>
                              <a:avLst/>
                              <a:gdLst>
                                <a:gd name="T0" fmla="+- 0 8321 8297"/>
                                <a:gd name="T1" fmla="*/ T0 w 577"/>
                                <a:gd name="T2" fmla="+- 0 2581 2426"/>
                                <a:gd name="T3" fmla="*/ 2581 h 174"/>
                                <a:gd name="T4" fmla="+- 0 8326 8297"/>
                                <a:gd name="T5" fmla="*/ T4 w 577"/>
                                <a:gd name="T6" fmla="+- 0 2600 2426"/>
                                <a:gd name="T7" fmla="*/ 2600 h 174"/>
                                <a:gd name="T8" fmla="+- 0 8864 8297"/>
                                <a:gd name="T9" fmla="*/ T8 w 577"/>
                                <a:gd name="T10" fmla="+- 0 2600 2426"/>
                                <a:gd name="T11" fmla="*/ 2600 h 174"/>
                                <a:gd name="T12" fmla="+- 0 8860 8297"/>
                                <a:gd name="T13" fmla="*/ T12 w 577"/>
                                <a:gd name="T14" fmla="+- 0 2595 2426"/>
                                <a:gd name="T15" fmla="*/ 2595 h 174"/>
                                <a:gd name="T16" fmla="+- 0 8330 8297"/>
                                <a:gd name="T17" fmla="*/ T16 w 577"/>
                                <a:gd name="T18" fmla="+- 0 2595 2426"/>
                                <a:gd name="T19" fmla="*/ 2595 h 174"/>
                                <a:gd name="T20" fmla="+- 0 8321 8297"/>
                                <a:gd name="T21" fmla="*/ T20 w 577"/>
                                <a:gd name="T22" fmla="+- 0 2581 2426"/>
                                <a:gd name="T23" fmla="*/ 2581 h 174"/>
                              </a:gdLst>
                              <a:ahLst/>
                              <a:cxnLst>
                                <a:cxn ang="0">
                                  <a:pos x="T1" y="T3"/>
                                </a:cxn>
                                <a:cxn ang="0">
                                  <a:pos x="T5" y="T7"/>
                                </a:cxn>
                                <a:cxn ang="0">
                                  <a:pos x="T9" y="T11"/>
                                </a:cxn>
                                <a:cxn ang="0">
                                  <a:pos x="T13" y="T15"/>
                                </a:cxn>
                                <a:cxn ang="0">
                                  <a:pos x="T17" y="T19"/>
                                </a:cxn>
                                <a:cxn ang="0">
                                  <a:pos x="T21" y="T23"/>
                                </a:cxn>
                              </a:cxnLst>
                              <a:rect l="0" t="0" r="r" b="b"/>
                              <a:pathLst>
                                <a:path w="577" h="174">
                                  <a:moveTo>
                                    <a:pt x="24" y="155"/>
                                  </a:moveTo>
                                  <a:lnTo>
                                    <a:pt x="29" y="174"/>
                                  </a:lnTo>
                                  <a:lnTo>
                                    <a:pt x="567" y="174"/>
                                  </a:lnTo>
                                  <a:lnTo>
                                    <a:pt x="563" y="169"/>
                                  </a:lnTo>
                                  <a:lnTo>
                                    <a:pt x="33" y="169"/>
                                  </a:lnTo>
                                  <a:lnTo>
                                    <a:pt x="24"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1404"/>
                          <wps:cNvSpPr>
                            <a:spLocks/>
                          </wps:cNvSpPr>
                          <wps:spPr bwMode="auto">
                            <a:xfrm>
                              <a:off x="8297" y="2426"/>
                              <a:ext cx="577" cy="174"/>
                            </a:xfrm>
                            <a:custGeom>
                              <a:avLst/>
                              <a:gdLst>
                                <a:gd name="T0" fmla="+- 0 8874 8297"/>
                                <a:gd name="T1" fmla="*/ T0 w 577"/>
                                <a:gd name="T2" fmla="+- 0 2440 2426"/>
                                <a:gd name="T3" fmla="*/ 2440 h 174"/>
                                <a:gd name="T4" fmla="+- 0 8855 8297"/>
                                <a:gd name="T5" fmla="*/ T4 w 577"/>
                                <a:gd name="T6" fmla="+- 0 2440 2426"/>
                                <a:gd name="T7" fmla="*/ 2440 h 174"/>
                                <a:gd name="T8" fmla="+- 0 8855 8297"/>
                                <a:gd name="T9" fmla="*/ T8 w 577"/>
                                <a:gd name="T10" fmla="+- 0 2590 2426"/>
                                <a:gd name="T11" fmla="*/ 2590 h 174"/>
                                <a:gd name="T12" fmla="+- 0 8864 8297"/>
                                <a:gd name="T13" fmla="*/ T12 w 577"/>
                                <a:gd name="T14" fmla="+- 0 2600 2426"/>
                                <a:gd name="T15" fmla="*/ 2600 h 174"/>
                                <a:gd name="T16" fmla="+- 0 8864 8297"/>
                                <a:gd name="T17" fmla="*/ T16 w 577"/>
                                <a:gd name="T18" fmla="+- 0 2581 2426"/>
                                <a:gd name="T19" fmla="*/ 2581 h 174"/>
                                <a:gd name="T20" fmla="+- 0 8874 8297"/>
                                <a:gd name="T21" fmla="*/ T20 w 577"/>
                                <a:gd name="T22" fmla="+- 0 2581 2426"/>
                                <a:gd name="T23" fmla="*/ 2581 h 174"/>
                                <a:gd name="T24" fmla="+- 0 8874 8297"/>
                                <a:gd name="T25" fmla="*/ T24 w 577"/>
                                <a:gd name="T26" fmla="+- 0 2450 2426"/>
                                <a:gd name="T27" fmla="*/ 2450 h 174"/>
                                <a:gd name="T28" fmla="+- 0 8864 8297"/>
                                <a:gd name="T29" fmla="*/ T28 w 577"/>
                                <a:gd name="T30" fmla="+- 0 2450 2426"/>
                                <a:gd name="T31" fmla="*/ 2450 h 174"/>
                                <a:gd name="T32" fmla="+- 0 8874 8297"/>
                                <a:gd name="T33" fmla="*/ T32 w 577"/>
                                <a:gd name="T34" fmla="+- 0 2440 2426"/>
                                <a:gd name="T35" fmla="*/ 2440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7" h="174">
                                  <a:moveTo>
                                    <a:pt x="577" y="14"/>
                                  </a:moveTo>
                                  <a:lnTo>
                                    <a:pt x="558" y="14"/>
                                  </a:lnTo>
                                  <a:lnTo>
                                    <a:pt x="558" y="164"/>
                                  </a:lnTo>
                                  <a:lnTo>
                                    <a:pt x="567" y="174"/>
                                  </a:lnTo>
                                  <a:lnTo>
                                    <a:pt x="567" y="155"/>
                                  </a:lnTo>
                                  <a:lnTo>
                                    <a:pt x="577" y="155"/>
                                  </a:lnTo>
                                  <a:lnTo>
                                    <a:pt x="577" y="24"/>
                                  </a:lnTo>
                                  <a:lnTo>
                                    <a:pt x="567" y="24"/>
                                  </a:lnTo>
                                  <a:lnTo>
                                    <a:pt x="577" y="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Freeform 1405"/>
                          <wps:cNvSpPr>
                            <a:spLocks/>
                          </wps:cNvSpPr>
                          <wps:spPr bwMode="auto">
                            <a:xfrm>
                              <a:off x="8297" y="2426"/>
                              <a:ext cx="577" cy="174"/>
                            </a:xfrm>
                            <a:custGeom>
                              <a:avLst/>
                              <a:gdLst>
                                <a:gd name="T0" fmla="+- 0 8874 8297"/>
                                <a:gd name="T1" fmla="*/ T0 w 577"/>
                                <a:gd name="T2" fmla="+- 0 2581 2426"/>
                                <a:gd name="T3" fmla="*/ 2581 h 174"/>
                                <a:gd name="T4" fmla="+- 0 8864 8297"/>
                                <a:gd name="T5" fmla="*/ T4 w 577"/>
                                <a:gd name="T6" fmla="+- 0 2581 2426"/>
                                <a:gd name="T7" fmla="*/ 2581 h 174"/>
                                <a:gd name="T8" fmla="+- 0 8864 8297"/>
                                <a:gd name="T9" fmla="*/ T8 w 577"/>
                                <a:gd name="T10" fmla="+- 0 2600 2426"/>
                                <a:gd name="T11" fmla="*/ 2600 h 174"/>
                                <a:gd name="T12" fmla="+- 0 8874 8297"/>
                                <a:gd name="T13" fmla="*/ T12 w 577"/>
                                <a:gd name="T14" fmla="+- 0 2590 2426"/>
                                <a:gd name="T15" fmla="*/ 2590 h 174"/>
                                <a:gd name="T16" fmla="+- 0 8874 8297"/>
                                <a:gd name="T17" fmla="*/ T16 w 577"/>
                                <a:gd name="T18" fmla="+- 0 2581 2426"/>
                                <a:gd name="T19" fmla="*/ 2581 h 174"/>
                              </a:gdLst>
                              <a:ahLst/>
                              <a:cxnLst>
                                <a:cxn ang="0">
                                  <a:pos x="T1" y="T3"/>
                                </a:cxn>
                                <a:cxn ang="0">
                                  <a:pos x="T5" y="T7"/>
                                </a:cxn>
                                <a:cxn ang="0">
                                  <a:pos x="T9" y="T11"/>
                                </a:cxn>
                                <a:cxn ang="0">
                                  <a:pos x="T13" y="T15"/>
                                </a:cxn>
                                <a:cxn ang="0">
                                  <a:pos x="T17" y="T19"/>
                                </a:cxn>
                              </a:cxnLst>
                              <a:rect l="0" t="0" r="r" b="b"/>
                              <a:pathLst>
                                <a:path w="577" h="174">
                                  <a:moveTo>
                                    <a:pt x="577" y="155"/>
                                  </a:moveTo>
                                  <a:lnTo>
                                    <a:pt x="567" y="155"/>
                                  </a:lnTo>
                                  <a:lnTo>
                                    <a:pt x="567" y="174"/>
                                  </a:lnTo>
                                  <a:lnTo>
                                    <a:pt x="577" y="164"/>
                                  </a:lnTo>
                                  <a:lnTo>
                                    <a:pt x="577"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Freeform 1406"/>
                          <wps:cNvSpPr>
                            <a:spLocks/>
                          </wps:cNvSpPr>
                          <wps:spPr bwMode="auto">
                            <a:xfrm>
                              <a:off x="8297" y="2426"/>
                              <a:ext cx="577" cy="174"/>
                            </a:xfrm>
                            <a:custGeom>
                              <a:avLst/>
                              <a:gdLst>
                                <a:gd name="T0" fmla="+- 0 8874 8297"/>
                                <a:gd name="T1" fmla="*/ T0 w 577"/>
                                <a:gd name="T2" fmla="+- 0 2590 2426"/>
                                <a:gd name="T3" fmla="*/ 2590 h 174"/>
                                <a:gd name="T4" fmla="+- 0 8864 8297"/>
                                <a:gd name="T5" fmla="*/ T4 w 577"/>
                                <a:gd name="T6" fmla="+- 0 2600 2426"/>
                                <a:gd name="T7" fmla="*/ 2600 h 174"/>
                                <a:gd name="T8" fmla="+- 0 8874 8297"/>
                                <a:gd name="T9" fmla="*/ T8 w 577"/>
                                <a:gd name="T10" fmla="+- 0 2600 2426"/>
                                <a:gd name="T11" fmla="*/ 2600 h 174"/>
                                <a:gd name="T12" fmla="+- 0 8874 8297"/>
                                <a:gd name="T13" fmla="*/ T12 w 577"/>
                                <a:gd name="T14" fmla="+- 0 2590 2426"/>
                                <a:gd name="T15" fmla="*/ 2590 h 174"/>
                              </a:gdLst>
                              <a:ahLst/>
                              <a:cxnLst>
                                <a:cxn ang="0">
                                  <a:pos x="T1" y="T3"/>
                                </a:cxn>
                                <a:cxn ang="0">
                                  <a:pos x="T5" y="T7"/>
                                </a:cxn>
                                <a:cxn ang="0">
                                  <a:pos x="T9" y="T11"/>
                                </a:cxn>
                                <a:cxn ang="0">
                                  <a:pos x="T13" y="T15"/>
                                </a:cxn>
                              </a:cxnLst>
                              <a:rect l="0" t="0" r="r" b="b"/>
                              <a:pathLst>
                                <a:path w="577" h="174">
                                  <a:moveTo>
                                    <a:pt x="577" y="164"/>
                                  </a:moveTo>
                                  <a:lnTo>
                                    <a:pt x="567" y="174"/>
                                  </a:lnTo>
                                  <a:lnTo>
                                    <a:pt x="577" y="174"/>
                                  </a:lnTo>
                                  <a:lnTo>
                                    <a:pt x="577" y="16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Freeform 1407"/>
                          <wps:cNvSpPr>
                            <a:spLocks/>
                          </wps:cNvSpPr>
                          <wps:spPr bwMode="auto">
                            <a:xfrm>
                              <a:off x="8297" y="2426"/>
                              <a:ext cx="577" cy="174"/>
                            </a:xfrm>
                            <a:custGeom>
                              <a:avLst/>
                              <a:gdLst>
                                <a:gd name="T0" fmla="+- 0 8378 8297"/>
                                <a:gd name="T1" fmla="*/ T0 w 577"/>
                                <a:gd name="T2" fmla="+- 0 2538 2426"/>
                                <a:gd name="T3" fmla="*/ 2538 h 174"/>
                                <a:gd name="T4" fmla="+- 0 8321 8297"/>
                                <a:gd name="T5" fmla="*/ T4 w 577"/>
                                <a:gd name="T6" fmla="+- 0 2581 2426"/>
                                <a:gd name="T7" fmla="*/ 2581 h 174"/>
                                <a:gd name="T8" fmla="+- 0 8330 8297"/>
                                <a:gd name="T9" fmla="*/ T8 w 577"/>
                                <a:gd name="T10" fmla="+- 0 2595 2426"/>
                                <a:gd name="T11" fmla="*/ 2595 h 174"/>
                                <a:gd name="T12" fmla="+- 0 8393 8297"/>
                                <a:gd name="T13" fmla="*/ T12 w 577"/>
                                <a:gd name="T14" fmla="+- 0 2552 2426"/>
                                <a:gd name="T15" fmla="*/ 2552 h 174"/>
                                <a:gd name="T16" fmla="+- 0 8388 8297"/>
                                <a:gd name="T17" fmla="*/ T16 w 577"/>
                                <a:gd name="T18" fmla="+- 0 2552 2426"/>
                                <a:gd name="T19" fmla="*/ 2552 h 174"/>
                                <a:gd name="T20" fmla="+- 0 8378 8297"/>
                                <a:gd name="T21" fmla="*/ T20 w 577"/>
                                <a:gd name="T22" fmla="+- 0 2538 2426"/>
                                <a:gd name="T23" fmla="*/ 2538 h 174"/>
                              </a:gdLst>
                              <a:ahLst/>
                              <a:cxnLst>
                                <a:cxn ang="0">
                                  <a:pos x="T1" y="T3"/>
                                </a:cxn>
                                <a:cxn ang="0">
                                  <a:pos x="T5" y="T7"/>
                                </a:cxn>
                                <a:cxn ang="0">
                                  <a:pos x="T9" y="T11"/>
                                </a:cxn>
                                <a:cxn ang="0">
                                  <a:pos x="T13" y="T15"/>
                                </a:cxn>
                                <a:cxn ang="0">
                                  <a:pos x="T17" y="T19"/>
                                </a:cxn>
                                <a:cxn ang="0">
                                  <a:pos x="T21" y="T23"/>
                                </a:cxn>
                              </a:cxnLst>
                              <a:rect l="0" t="0" r="r" b="b"/>
                              <a:pathLst>
                                <a:path w="577" h="174">
                                  <a:moveTo>
                                    <a:pt x="81" y="112"/>
                                  </a:moveTo>
                                  <a:lnTo>
                                    <a:pt x="24" y="155"/>
                                  </a:lnTo>
                                  <a:lnTo>
                                    <a:pt x="33" y="169"/>
                                  </a:lnTo>
                                  <a:lnTo>
                                    <a:pt x="96" y="126"/>
                                  </a:lnTo>
                                  <a:lnTo>
                                    <a:pt x="91" y="126"/>
                                  </a:lnTo>
                                  <a:lnTo>
                                    <a:pt x="81" y="1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1408"/>
                          <wps:cNvSpPr>
                            <a:spLocks/>
                          </wps:cNvSpPr>
                          <wps:spPr bwMode="auto">
                            <a:xfrm>
                              <a:off x="8297" y="2426"/>
                              <a:ext cx="577" cy="174"/>
                            </a:xfrm>
                            <a:custGeom>
                              <a:avLst/>
                              <a:gdLst>
                                <a:gd name="T0" fmla="+- 0 8855 8297"/>
                                <a:gd name="T1" fmla="*/ T0 w 577"/>
                                <a:gd name="T2" fmla="+- 0 2581 2426"/>
                                <a:gd name="T3" fmla="*/ 2581 h 174"/>
                                <a:gd name="T4" fmla="+- 0 8351 8297"/>
                                <a:gd name="T5" fmla="*/ T4 w 577"/>
                                <a:gd name="T6" fmla="+- 0 2581 2426"/>
                                <a:gd name="T7" fmla="*/ 2581 h 174"/>
                                <a:gd name="T8" fmla="+- 0 8330 8297"/>
                                <a:gd name="T9" fmla="*/ T8 w 577"/>
                                <a:gd name="T10" fmla="+- 0 2595 2426"/>
                                <a:gd name="T11" fmla="*/ 2595 h 174"/>
                                <a:gd name="T12" fmla="+- 0 8860 8297"/>
                                <a:gd name="T13" fmla="*/ T12 w 577"/>
                                <a:gd name="T14" fmla="+- 0 2595 2426"/>
                                <a:gd name="T15" fmla="*/ 2595 h 174"/>
                                <a:gd name="T16" fmla="+- 0 8855 8297"/>
                                <a:gd name="T17" fmla="*/ T16 w 577"/>
                                <a:gd name="T18" fmla="+- 0 2590 2426"/>
                                <a:gd name="T19" fmla="*/ 2590 h 174"/>
                                <a:gd name="T20" fmla="+- 0 8855 8297"/>
                                <a:gd name="T21" fmla="*/ T20 w 577"/>
                                <a:gd name="T22" fmla="+- 0 2581 2426"/>
                                <a:gd name="T23" fmla="*/ 2581 h 174"/>
                              </a:gdLst>
                              <a:ahLst/>
                              <a:cxnLst>
                                <a:cxn ang="0">
                                  <a:pos x="T1" y="T3"/>
                                </a:cxn>
                                <a:cxn ang="0">
                                  <a:pos x="T5" y="T7"/>
                                </a:cxn>
                                <a:cxn ang="0">
                                  <a:pos x="T9" y="T11"/>
                                </a:cxn>
                                <a:cxn ang="0">
                                  <a:pos x="T13" y="T15"/>
                                </a:cxn>
                                <a:cxn ang="0">
                                  <a:pos x="T17" y="T19"/>
                                </a:cxn>
                                <a:cxn ang="0">
                                  <a:pos x="T21" y="T23"/>
                                </a:cxn>
                              </a:cxnLst>
                              <a:rect l="0" t="0" r="r" b="b"/>
                              <a:pathLst>
                                <a:path w="577" h="174">
                                  <a:moveTo>
                                    <a:pt x="558" y="155"/>
                                  </a:moveTo>
                                  <a:lnTo>
                                    <a:pt x="54" y="155"/>
                                  </a:lnTo>
                                  <a:lnTo>
                                    <a:pt x="33" y="169"/>
                                  </a:lnTo>
                                  <a:lnTo>
                                    <a:pt x="563" y="169"/>
                                  </a:lnTo>
                                  <a:lnTo>
                                    <a:pt x="558" y="164"/>
                                  </a:lnTo>
                                  <a:lnTo>
                                    <a:pt x="558" y="15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Freeform 1409"/>
                          <wps:cNvSpPr>
                            <a:spLocks/>
                          </wps:cNvSpPr>
                          <wps:spPr bwMode="auto">
                            <a:xfrm>
                              <a:off x="8297" y="2426"/>
                              <a:ext cx="577" cy="174"/>
                            </a:xfrm>
                            <a:custGeom>
                              <a:avLst/>
                              <a:gdLst>
                                <a:gd name="T0" fmla="+- 0 8378 8297"/>
                                <a:gd name="T1" fmla="*/ T0 w 577"/>
                                <a:gd name="T2" fmla="+- 0 2538 2426"/>
                                <a:gd name="T3" fmla="*/ 2538 h 174"/>
                                <a:gd name="T4" fmla="+- 0 8388 8297"/>
                                <a:gd name="T5" fmla="*/ T4 w 577"/>
                                <a:gd name="T6" fmla="+- 0 2552 2426"/>
                                <a:gd name="T7" fmla="*/ 2552 h 174"/>
                                <a:gd name="T8" fmla="+- 0 8391 8297"/>
                                <a:gd name="T9" fmla="*/ T8 w 577"/>
                                <a:gd name="T10" fmla="+- 0 2550 2426"/>
                                <a:gd name="T11" fmla="*/ 2550 h 174"/>
                                <a:gd name="T12" fmla="+- 0 8378 8297"/>
                                <a:gd name="T13" fmla="*/ T12 w 577"/>
                                <a:gd name="T14" fmla="+- 0 2538 2426"/>
                                <a:gd name="T15" fmla="*/ 2538 h 174"/>
                              </a:gdLst>
                              <a:ahLst/>
                              <a:cxnLst>
                                <a:cxn ang="0">
                                  <a:pos x="T1" y="T3"/>
                                </a:cxn>
                                <a:cxn ang="0">
                                  <a:pos x="T5" y="T7"/>
                                </a:cxn>
                                <a:cxn ang="0">
                                  <a:pos x="T9" y="T11"/>
                                </a:cxn>
                                <a:cxn ang="0">
                                  <a:pos x="T13" y="T15"/>
                                </a:cxn>
                              </a:cxnLst>
                              <a:rect l="0" t="0" r="r" b="b"/>
                              <a:pathLst>
                                <a:path w="577" h="174">
                                  <a:moveTo>
                                    <a:pt x="81" y="112"/>
                                  </a:moveTo>
                                  <a:lnTo>
                                    <a:pt x="91" y="126"/>
                                  </a:lnTo>
                                  <a:lnTo>
                                    <a:pt x="94" y="124"/>
                                  </a:lnTo>
                                  <a:lnTo>
                                    <a:pt x="81" y="1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Freeform 1410"/>
                          <wps:cNvSpPr>
                            <a:spLocks/>
                          </wps:cNvSpPr>
                          <wps:spPr bwMode="auto">
                            <a:xfrm>
                              <a:off x="8297" y="2426"/>
                              <a:ext cx="577" cy="174"/>
                            </a:xfrm>
                            <a:custGeom>
                              <a:avLst/>
                              <a:gdLst>
                                <a:gd name="T0" fmla="+- 0 8391 8297"/>
                                <a:gd name="T1" fmla="*/ T0 w 577"/>
                                <a:gd name="T2" fmla="+- 0 2550 2426"/>
                                <a:gd name="T3" fmla="*/ 2550 h 174"/>
                                <a:gd name="T4" fmla="+- 0 8388 8297"/>
                                <a:gd name="T5" fmla="*/ T4 w 577"/>
                                <a:gd name="T6" fmla="+- 0 2552 2426"/>
                                <a:gd name="T7" fmla="*/ 2552 h 174"/>
                                <a:gd name="T8" fmla="+- 0 8393 8297"/>
                                <a:gd name="T9" fmla="*/ T8 w 577"/>
                                <a:gd name="T10" fmla="+- 0 2552 2426"/>
                                <a:gd name="T11" fmla="*/ 2552 h 174"/>
                                <a:gd name="T12" fmla="+- 0 8391 8297"/>
                                <a:gd name="T13" fmla="*/ T12 w 577"/>
                                <a:gd name="T14" fmla="+- 0 2550 2426"/>
                                <a:gd name="T15" fmla="*/ 2550 h 174"/>
                              </a:gdLst>
                              <a:ahLst/>
                              <a:cxnLst>
                                <a:cxn ang="0">
                                  <a:pos x="T1" y="T3"/>
                                </a:cxn>
                                <a:cxn ang="0">
                                  <a:pos x="T5" y="T7"/>
                                </a:cxn>
                                <a:cxn ang="0">
                                  <a:pos x="T9" y="T11"/>
                                </a:cxn>
                                <a:cxn ang="0">
                                  <a:pos x="T13" y="T15"/>
                                </a:cxn>
                              </a:cxnLst>
                              <a:rect l="0" t="0" r="r" b="b"/>
                              <a:pathLst>
                                <a:path w="577" h="174">
                                  <a:moveTo>
                                    <a:pt x="94" y="124"/>
                                  </a:moveTo>
                                  <a:lnTo>
                                    <a:pt x="91" y="126"/>
                                  </a:lnTo>
                                  <a:lnTo>
                                    <a:pt x="96" y="126"/>
                                  </a:lnTo>
                                  <a:lnTo>
                                    <a:pt x="94" y="12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Freeform 1411"/>
                          <wps:cNvSpPr>
                            <a:spLocks/>
                          </wps:cNvSpPr>
                          <wps:spPr bwMode="auto">
                            <a:xfrm>
                              <a:off x="8297" y="2426"/>
                              <a:ext cx="577" cy="174"/>
                            </a:xfrm>
                            <a:custGeom>
                              <a:avLst/>
                              <a:gdLst>
                                <a:gd name="T0" fmla="+- 0 8567 8297"/>
                                <a:gd name="T1" fmla="*/ T0 w 577"/>
                                <a:gd name="T2" fmla="+- 0 2426 2426"/>
                                <a:gd name="T3" fmla="*/ 2426 h 174"/>
                                <a:gd name="T4" fmla="+- 0 8562 8297"/>
                                <a:gd name="T5" fmla="*/ T4 w 577"/>
                                <a:gd name="T6" fmla="+- 0 2431 2426"/>
                                <a:gd name="T7" fmla="*/ 2431 h 174"/>
                                <a:gd name="T8" fmla="+- 0 8378 8297"/>
                                <a:gd name="T9" fmla="*/ T8 w 577"/>
                                <a:gd name="T10" fmla="+- 0 2538 2426"/>
                                <a:gd name="T11" fmla="*/ 2538 h 174"/>
                                <a:gd name="T12" fmla="+- 0 8391 8297"/>
                                <a:gd name="T13" fmla="*/ T12 w 577"/>
                                <a:gd name="T14" fmla="+- 0 2550 2426"/>
                                <a:gd name="T15" fmla="*/ 2550 h 174"/>
                                <a:gd name="T16" fmla="+- 0 8567 8297"/>
                                <a:gd name="T17" fmla="*/ T16 w 577"/>
                                <a:gd name="T18" fmla="+- 0 2448 2426"/>
                                <a:gd name="T19" fmla="*/ 2448 h 174"/>
                                <a:gd name="T20" fmla="+- 0 8567 8297"/>
                                <a:gd name="T21" fmla="*/ T20 w 577"/>
                                <a:gd name="T22" fmla="+- 0 2426 2426"/>
                                <a:gd name="T23" fmla="*/ 2426 h 174"/>
                              </a:gdLst>
                              <a:ahLst/>
                              <a:cxnLst>
                                <a:cxn ang="0">
                                  <a:pos x="T1" y="T3"/>
                                </a:cxn>
                                <a:cxn ang="0">
                                  <a:pos x="T5" y="T7"/>
                                </a:cxn>
                                <a:cxn ang="0">
                                  <a:pos x="T9" y="T11"/>
                                </a:cxn>
                                <a:cxn ang="0">
                                  <a:pos x="T13" y="T15"/>
                                </a:cxn>
                                <a:cxn ang="0">
                                  <a:pos x="T17" y="T19"/>
                                </a:cxn>
                                <a:cxn ang="0">
                                  <a:pos x="T21" y="T23"/>
                                </a:cxn>
                              </a:cxnLst>
                              <a:rect l="0" t="0" r="r" b="b"/>
                              <a:pathLst>
                                <a:path w="577" h="174">
                                  <a:moveTo>
                                    <a:pt x="270" y="0"/>
                                  </a:moveTo>
                                  <a:lnTo>
                                    <a:pt x="265" y="5"/>
                                  </a:lnTo>
                                  <a:lnTo>
                                    <a:pt x="81" y="112"/>
                                  </a:lnTo>
                                  <a:lnTo>
                                    <a:pt x="94" y="124"/>
                                  </a:lnTo>
                                  <a:lnTo>
                                    <a:pt x="270" y="22"/>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1412"/>
                          <wps:cNvSpPr>
                            <a:spLocks/>
                          </wps:cNvSpPr>
                          <wps:spPr bwMode="auto">
                            <a:xfrm>
                              <a:off x="8297" y="2426"/>
                              <a:ext cx="577" cy="174"/>
                            </a:xfrm>
                            <a:custGeom>
                              <a:avLst/>
                              <a:gdLst>
                                <a:gd name="T0" fmla="+- 0 8864 8297"/>
                                <a:gd name="T1" fmla="*/ T0 w 577"/>
                                <a:gd name="T2" fmla="+- 0 2426 2426"/>
                                <a:gd name="T3" fmla="*/ 2426 h 174"/>
                                <a:gd name="T4" fmla="+- 0 8567 8297"/>
                                <a:gd name="T5" fmla="*/ T4 w 577"/>
                                <a:gd name="T6" fmla="+- 0 2426 2426"/>
                                <a:gd name="T7" fmla="*/ 2426 h 174"/>
                                <a:gd name="T8" fmla="+- 0 8572 8297"/>
                                <a:gd name="T9" fmla="*/ T8 w 577"/>
                                <a:gd name="T10" fmla="+- 0 2445 2426"/>
                                <a:gd name="T11" fmla="*/ 2445 h 174"/>
                                <a:gd name="T12" fmla="+- 0 8567 8297"/>
                                <a:gd name="T13" fmla="*/ T12 w 577"/>
                                <a:gd name="T14" fmla="+- 0 2448 2426"/>
                                <a:gd name="T15" fmla="*/ 2448 h 174"/>
                                <a:gd name="T16" fmla="+- 0 8567 8297"/>
                                <a:gd name="T17" fmla="*/ T16 w 577"/>
                                <a:gd name="T18" fmla="+- 0 2450 2426"/>
                                <a:gd name="T19" fmla="*/ 2450 h 174"/>
                                <a:gd name="T20" fmla="+- 0 8855 8297"/>
                                <a:gd name="T21" fmla="*/ T20 w 577"/>
                                <a:gd name="T22" fmla="+- 0 2450 2426"/>
                                <a:gd name="T23" fmla="*/ 2450 h 174"/>
                                <a:gd name="T24" fmla="+- 0 8855 8297"/>
                                <a:gd name="T25" fmla="*/ T24 w 577"/>
                                <a:gd name="T26" fmla="+- 0 2440 2426"/>
                                <a:gd name="T27" fmla="*/ 2440 h 174"/>
                                <a:gd name="T28" fmla="+- 0 8874 8297"/>
                                <a:gd name="T29" fmla="*/ T28 w 577"/>
                                <a:gd name="T30" fmla="+- 0 2440 2426"/>
                                <a:gd name="T31" fmla="*/ 2440 h 174"/>
                                <a:gd name="T32" fmla="+- 0 8864 8297"/>
                                <a:gd name="T33" fmla="*/ T32 w 577"/>
                                <a:gd name="T34" fmla="+- 0 2426 2426"/>
                                <a:gd name="T35" fmla="*/ 2426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7" h="174">
                                  <a:moveTo>
                                    <a:pt x="567" y="0"/>
                                  </a:moveTo>
                                  <a:lnTo>
                                    <a:pt x="270" y="0"/>
                                  </a:lnTo>
                                  <a:lnTo>
                                    <a:pt x="275" y="19"/>
                                  </a:lnTo>
                                  <a:lnTo>
                                    <a:pt x="270" y="22"/>
                                  </a:lnTo>
                                  <a:lnTo>
                                    <a:pt x="270" y="24"/>
                                  </a:lnTo>
                                  <a:lnTo>
                                    <a:pt x="558" y="24"/>
                                  </a:lnTo>
                                  <a:lnTo>
                                    <a:pt x="558" y="14"/>
                                  </a:lnTo>
                                  <a:lnTo>
                                    <a:pt x="577" y="14"/>
                                  </a:lnTo>
                                  <a:lnTo>
                                    <a:pt x="567"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Freeform 1413"/>
                          <wps:cNvSpPr>
                            <a:spLocks/>
                          </wps:cNvSpPr>
                          <wps:spPr bwMode="auto">
                            <a:xfrm>
                              <a:off x="8297" y="2426"/>
                              <a:ext cx="577" cy="174"/>
                            </a:xfrm>
                            <a:custGeom>
                              <a:avLst/>
                              <a:gdLst>
                                <a:gd name="T0" fmla="+- 0 8874 8297"/>
                                <a:gd name="T1" fmla="*/ T0 w 577"/>
                                <a:gd name="T2" fmla="+- 0 2440 2426"/>
                                <a:gd name="T3" fmla="*/ 2440 h 174"/>
                                <a:gd name="T4" fmla="+- 0 8864 8297"/>
                                <a:gd name="T5" fmla="*/ T4 w 577"/>
                                <a:gd name="T6" fmla="+- 0 2450 2426"/>
                                <a:gd name="T7" fmla="*/ 2450 h 174"/>
                                <a:gd name="T8" fmla="+- 0 8874 8297"/>
                                <a:gd name="T9" fmla="*/ T8 w 577"/>
                                <a:gd name="T10" fmla="+- 0 2450 2426"/>
                                <a:gd name="T11" fmla="*/ 2450 h 174"/>
                                <a:gd name="T12" fmla="+- 0 8874 8297"/>
                                <a:gd name="T13" fmla="*/ T12 w 577"/>
                                <a:gd name="T14" fmla="+- 0 2440 2426"/>
                                <a:gd name="T15" fmla="*/ 2440 h 174"/>
                              </a:gdLst>
                              <a:ahLst/>
                              <a:cxnLst>
                                <a:cxn ang="0">
                                  <a:pos x="T1" y="T3"/>
                                </a:cxn>
                                <a:cxn ang="0">
                                  <a:pos x="T5" y="T7"/>
                                </a:cxn>
                                <a:cxn ang="0">
                                  <a:pos x="T9" y="T11"/>
                                </a:cxn>
                                <a:cxn ang="0">
                                  <a:pos x="T13" y="T15"/>
                                </a:cxn>
                              </a:cxnLst>
                              <a:rect l="0" t="0" r="r" b="b"/>
                              <a:pathLst>
                                <a:path w="577" h="174">
                                  <a:moveTo>
                                    <a:pt x="577" y="14"/>
                                  </a:moveTo>
                                  <a:lnTo>
                                    <a:pt x="567" y="24"/>
                                  </a:lnTo>
                                  <a:lnTo>
                                    <a:pt x="577" y="24"/>
                                  </a:lnTo>
                                  <a:lnTo>
                                    <a:pt x="577" y="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Freeform 1414"/>
                          <wps:cNvSpPr>
                            <a:spLocks/>
                          </wps:cNvSpPr>
                          <wps:spPr bwMode="auto">
                            <a:xfrm>
                              <a:off x="8297" y="2426"/>
                              <a:ext cx="577" cy="174"/>
                            </a:xfrm>
                            <a:custGeom>
                              <a:avLst/>
                              <a:gdLst>
                                <a:gd name="T0" fmla="+- 0 8567 8297"/>
                                <a:gd name="T1" fmla="*/ T0 w 577"/>
                                <a:gd name="T2" fmla="+- 0 2426 2426"/>
                                <a:gd name="T3" fmla="*/ 2426 h 174"/>
                                <a:gd name="T4" fmla="+- 0 8567 8297"/>
                                <a:gd name="T5" fmla="*/ T4 w 577"/>
                                <a:gd name="T6" fmla="+- 0 2448 2426"/>
                                <a:gd name="T7" fmla="*/ 2448 h 174"/>
                                <a:gd name="T8" fmla="+- 0 8572 8297"/>
                                <a:gd name="T9" fmla="*/ T8 w 577"/>
                                <a:gd name="T10" fmla="+- 0 2445 2426"/>
                                <a:gd name="T11" fmla="*/ 2445 h 174"/>
                                <a:gd name="T12" fmla="+- 0 8567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270" y="0"/>
                                  </a:moveTo>
                                  <a:lnTo>
                                    <a:pt x="270" y="22"/>
                                  </a:lnTo>
                                  <a:lnTo>
                                    <a:pt x="275" y="19"/>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Freeform 1415"/>
                          <wps:cNvSpPr>
                            <a:spLocks/>
                          </wps:cNvSpPr>
                          <wps:spPr bwMode="auto">
                            <a:xfrm>
                              <a:off x="8297" y="2426"/>
                              <a:ext cx="577" cy="174"/>
                            </a:xfrm>
                            <a:custGeom>
                              <a:avLst/>
                              <a:gdLst>
                                <a:gd name="T0" fmla="+- 0 8874 8297"/>
                                <a:gd name="T1" fmla="*/ T0 w 577"/>
                                <a:gd name="T2" fmla="+- 0 2426 2426"/>
                                <a:gd name="T3" fmla="*/ 2426 h 174"/>
                                <a:gd name="T4" fmla="+- 0 8864 8297"/>
                                <a:gd name="T5" fmla="*/ T4 w 577"/>
                                <a:gd name="T6" fmla="+- 0 2426 2426"/>
                                <a:gd name="T7" fmla="*/ 2426 h 174"/>
                                <a:gd name="T8" fmla="+- 0 8874 8297"/>
                                <a:gd name="T9" fmla="*/ T8 w 577"/>
                                <a:gd name="T10" fmla="+- 0 2440 2426"/>
                                <a:gd name="T11" fmla="*/ 2440 h 174"/>
                                <a:gd name="T12" fmla="+- 0 8874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577" y="0"/>
                                  </a:moveTo>
                                  <a:lnTo>
                                    <a:pt x="567" y="0"/>
                                  </a:lnTo>
                                  <a:lnTo>
                                    <a:pt x="577" y="14"/>
                                  </a:lnTo>
                                  <a:lnTo>
                                    <a:pt x="577"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1416"/>
                          <wps:cNvSpPr>
                            <a:spLocks/>
                          </wps:cNvSpPr>
                          <wps:spPr bwMode="auto">
                            <a:xfrm>
                              <a:off x="8297" y="2426"/>
                              <a:ext cx="577" cy="174"/>
                            </a:xfrm>
                            <a:custGeom>
                              <a:avLst/>
                              <a:gdLst>
                                <a:gd name="T0" fmla="+- 0 8567 8297"/>
                                <a:gd name="T1" fmla="*/ T0 w 577"/>
                                <a:gd name="T2" fmla="+- 0 2426 2426"/>
                                <a:gd name="T3" fmla="*/ 2426 h 174"/>
                                <a:gd name="T4" fmla="+- 0 8562 8297"/>
                                <a:gd name="T5" fmla="*/ T4 w 577"/>
                                <a:gd name="T6" fmla="+- 0 2426 2426"/>
                                <a:gd name="T7" fmla="*/ 2426 h 174"/>
                                <a:gd name="T8" fmla="+- 0 8562 8297"/>
                                <a:gd name="T9" fmla="*/ T8 w 577"/>
                                <a:gd name="T10" fmla="+- 0 2431 2426"/>
                                <a:gd name="T11" fmla="*/ 2431 h 174"/>
                                <a:gd name="T12" fmla="+- 0 8567 8297"/>
                                <a:gd name="T13" fmla="*/ T12 w 577"/>
                                <a:gd name="T14" fmla="+- 0 2426 2426"/>
                                <a:gd name="T15" fmla="*/ 2426 h 174"/>
                              </a:gdLst>
                              <a:ahLst/>
                              <a:cxnLst>
                                <a:cxn ang="0">
                                  <a:pos x="T1" y="T3"/>
                                </a:cxn>
                                <a:cxn ang="0">
                                  <a:pos x="T5" y="T7"/>
                                </a:cxn>
                                <a:cxn ang="0">
                                  <a:pos x="T9" y="T11"/>
                                </a:cxn>
                                <a:cxn ang="0">
                                  <a:pos x="T13" y="T15"/>
                                </a:cxn>
                              </a:cxnLst>
                              <a:rect l="0" t="0" r="r" b="b"/>
                              <a:pathLst>
                                <a:path w="577" h="174">
                                  <a:moveTo>
                                    <a:pt x="270" y="0"/>
                                  </a:moveTo>
                                  <a:lnTo>
                                    <a:pt x="265" y="0"/>
                                  </a:lnTo>
                                  <a:lnTo>
                                    <a:pt x="265" y="5"/>
                                  </a:lnTo>
                                  <a:lnTo>
                                    <a:pt x="27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23" name="Group 1417"/>
                        <wpg:cNvGrpSpPr>
                          <a:grpSpLocks/>
                        </wpg:cNvGrpSpPr>
                        <wpg:grpSpPr bwMode="auto">
                          <a:xfrm>
                            <a:off x="3162" y="2881"/>
                            <a:ext cx="592" cy="168"/>
                            <a:chOff x="3162" y="2881"/>
                            <a:chExt cx="592" cy="168"/>
                          </a:xfrm>
                        </wpg:grpSpPr>
                        <wps:wsp>
                          <wps:cNvPr id="924" name="Freeform 1418"/>
                          <wps:cNvSpPr>
                            <a:spLocks/>
                          </wps:cNvSpPr>
                          <wps:spPr bwMode="auto">
                            <a:xfrm>
                              <a:off x="3162" y="2881"/>
                              <a:ext cx="592" cy="168"/>
                            </a:xfrm>
                            <a:custGeom>
                              <a:avLst/>
                              <a:gdLst>
                                <a:gd name="T0" fmla="+- 0 3162 3162"/>
                                <a:gd name="T1" fmla="*/ T0 w 592"/>
                                <a:gd name="T2" fmla="+- 0 3039 2881"/>
                                <a:gd name="T3" fmla="*/ 3039 h 168"/>
                                <a:gd name="T4" fmla="+- 0 3162 3162"/>
                                <a:gd name="T5" fmla="*/ T4 w 592"/>
                                <a:gd name="T6" fmla="+- 0 3049 2881"/>
                                <a:gd name="T7" fmla="*/ 3049 h 168"/>
                                <a:gd name="T8" fmla="+- 0 3172 3162"/>
                                <a:gd name="T9" fmla="*/ T8 w 592"/>
                                <a:gd name="T10" fmla="+- 0 3049 2881"/>
                                <a:gd name="T11" fmla="*/ 3049 h 168"/>
                                <a:gd name="T12" fmla="+- 0 3162 3162"/>
                                <a:gd name="T13" fmla="*/ T12 w 592"/>
                                <a:gd name="T14" fmla="+- 0 3039 2881"/>
                                <a:gd name="T15" fmla="*/ 3039 h 168"/>
                              </a:gdLst>
                              <a:ahLst/>
                              <a:cxnLst>
                                <a:cxn ang="0">
                                  <a:pos x="T1" y="T3"/>
                                </a:cxn>
                                <a:cxn ang="0">
                                  <a:pos x="T5" y="T7"/>
                                </a:cxn>
                                <a:cxn ang="0">
                                  <a:pos x="T9" y="T11"/>
                                </a:cxn>
                                <a:cxn ang="0">
                                  <a:pos x="T13" y="T15"/>
                                </a:cxn>
                              </a:cxnLst>
                              <a:rect l="0" t="0" r="r" b="b"/>
                              <a:pathLst>
                                <a:path w="592" h="168">
                                  <a:moveTo>
                                    <a:pt x="0" y="158"/>
                                  </a:moveTo>
                                  <a:lnTo>
                                    <a:pt x="0" y="168"/>
                                  </a:lnTo>
                                  <a:lnTo>
                                    <a:pt x="10" y="168"/>
                                  </a:lnTo>
                                  <a:lnTo>
                                    <a:pt x="0" y="15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1419"/>
                          <wps:cNvSpPr>
                            <a:spLocks/>
                          </wps:cNvSpPr>
                          <wps:spPr bwMode="auto">
                            <a:xfrm>
                              <a:off x="3162" y="2881"/>
                              <a:ext cx="592" cy="168"/>
                            </a:xfrm>
                            <a:custGeom>
                              <a:avLst/>
                              <a:gdLst>
                                <a:gd name="T0" fmla="+- 0 3181 3162"/>
                                <a:gd name="T1" fmla="*/ T0 w 592"/>
                                <a:gd name="T2" fmla="+- 0 3030 2881"/>
                                <a:gd name="T3" fmla="*/ 3030 h 168"/>
                                <a:gd name="T4" fmla="+- 0 3172 3162"/>
                                <a:gd name="T5" fmla="*/ T4 w 592"/>
                                <a:gd name="T6" fmla="+- 0 3030 2881"/>
                                <a:gd name="T7" fmla="*/ 3030 h 168"/>
                                <a:gd name="T8" fmla="+- 0 3162 3162"/>
                                <a:gd name="T9" fmla="*/ T8 w 592"/>
                                <a:gd name="T10" fmla="+- 0 3039 2881"/>
                                <a:gd name="T11" fmla="*/ 3039 h 168"/>
                                <a:gd name="T12" fmla="+- 0 3172 3162"/>
                                <a:gd name="T13" fmla="*/ T12 w 592"/>
                                <a:gd name="T14" fmla="+- 0 3049 2881"/>
                                <a:gd name="T15" fmla="*/ 3049 h 168"/>
                                <a:gd name="T16" fmla="+- 0 3474 3162"/>
                                <a:gd name="T17" fmla="*/ T16 w 592"/>
                                <a:gd name="T18" fmla="+- 0 3049 2881"/>
                                <a:gd name="T19" fmla="*/ 3049 h 168"/>
                                <a:gd name="T20" fmla="+- 0 3469 3162"/>
                                <a:gd name="T21" fmla="*/ T20 w 592"/>
                                <a:gd name="T22" fmla="+- 0 3039 2881"/>
                                <a:gd name="T23" fmla="*/ 3039 h 168"/>
                                <a:gd name="T24" fmla="+- 0 3181 3162"/>
                                <a:gd name="T25" fmla="*/ T24 w 592"/>
                                <a:gd name="T26" fmla="+- 0 3039 2881"/>
                                <a:gd name="T27" fmla="*/ 3039 h 168"/>
                                <a:gd name="T28" fmla="+- 0 3181 3162"/>
                                <a:gd name="T29" fmla="*/ T28 w 592"/>
                                <a:gd name="T30" fmla="+- 0 3030 2881"/>
                                <a:gd name="T31" fmla="*/ 3030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2" h="168">
                                  <a:moveTo>
                                    <a:pt x="19" y="149"/>
                                  </a:moveTo>
                                  <a:lnTo>
                                    <a:pt x="10" y="149"/>
                                  </a:lnTo>
                                  <a:lnTo>
                                    <a:pt x="0" y="158"/>
                                  </a:lnTo>
                                  <a:lnTo>
                                    <a:pt x="10" y="168"/>
                                  </a:lnTo>
                                  <a:lnTo>
                                    <a:pt x="312" y="168"/>
                                  </a:lnTo>
                                  <a:lnTo>
                                    <a:pt x="307" y="158"/>
                                  </a:lnTo>
                                  <a:lnTo>
                                    <a:pt x="19" y="158"/>
                                  </a:lnTo>
                                  <a:lnTo>
                                    <a:pt x="19"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1420"/>
                          <wps:cNvSpPr>
                            <a:spLocks/>
                          </wps:cNvSpPr>
                          <wps:spPr bwMode="auto">
                            <a:xfrm>
                              <a:off x="3162" y="2881"/>
                              <a:ext cx="592" cy="168"/>
                            </a:xfrm>
                            <a:custGeom>
                              <a:avLst/>
                              <a:gdLst>
                                <a:gd name="T0" fmla="+- 0 3648 3162"/>
                                <a:gd name="T1" fmla="*/ T0 w 592"/>
                                <a:gd name="T2" fmla="+- 0 2910 2881"/>
                                <a:gd name="T3" fmla="*/ 2910 h 168"/>
                                <a:gd name="T4" fmla="+- 0 3464 3162"/>
                                <a:gd name="T5" fmla="*/ T4 w 592"/>
                                <a:gd name="T6" fmla="+- 0 3030 2881"/>
                                <a:gd name="T7" fmla="*/ 3030 h 168"/>
                                <a:gd name="T8" fmla="+- 0 3474 3162"/>
                                <a:gd name="T9" fmla="*/ T8 w 592"/>
                                <a:gd name="T10" fmla="+- 0 3049 2881"/>
                                <a:gd name="T11" fmla="*/ 3049 h 168"/>
                                <a:gd name="T12" fmla="+- 0 3474 3162"/>
                                <a:gd name="T13" fmla="*/ T12 w 592"/>
                                <a:gd name="T14" fmla="+- 0 3030 2881"/>
                                <a:gd name="T15" fmla="*/ 3030 h 168"/>
                                <a:gd name="T16" fmla="+- 0 3507 3162"/>
                                <a:gd name="T17" fmla="*/ T16 w 592"/>
                                <a:gd name="T18" fmla="+- 0 3030 2881"/>
                                <a:gd name="T19" fmla="*/ 3030 h 168"/>
                                <a:gd name="T20" fmla="+- 0 3658 3162"/>
                                <a:gd name="T21" fmla="*/ T20 w 592"/>
                                <a:gd name="T22" fmla="+- 0 2929 2881"/>
                                <a:gd name="T23" fmla="*/ 2929 h 168"/>
                                <a:gd name="T24" fmla="+- 0 3648 3162"/>
                                <a:gd name="T25" fmla="*/ T24 w 592"/>
                                <a:gd name="T26" fmla="+- 0 2910 2881"/>
                                <a:gd name="T27" fmla="*/ 2910 h 168"/>
                              </a:gdLst>
                              <a:ahLst/>
                              <a:cxnLst>
                                <a:cxn ang="0">
                                  <a:pos x="T1" y="T3"/>
                                </a:cxn>
                                <a:cxn ang="0">
                                  <a:pos x="T5" y="T7"/>
                                </a:cxn>
                                <a:cxn ang="0">
                                  <a:pos x="T9" y="T11"/>
                                </a:cxn>
                                <a:cxn ang="0">
                                  <a:pos x="T13" y="T15"/>
                                </a:cxn>
                                <a:cxn ang="0">
                                  <a:pos x="T17" y="T19"/>
                                </a:cxn>
                                <a:cxn ang="0">
                                  <a:pos x="T21" y="T23"/>
                                </a:cxn>
                                <a:cxn ang="0">
                                  <a:pos x="T25" y="T27"/>
                                </a:cxn>
                              </a:cxnLst>
                              <a:rect l="0" t="0" r="r" b="b"/>
                              <a:pathLst>
                                <a:path w="592" h="168">
                                  <a:moveTo>
                                    <a:pt x="486" y="29"/>
                                  </a:moveTo>
                                  <a:lnTo>
                                    <a:pt x="302" y="149"/>
                                  </a:lnTo>
                                  <a:lnTo>
                                    <a:pt x="312" y="168"/>
                                  </a:lnTo>
                                  <a:lnTo>
                                    <a:pt x="312" y="149"/>
                                  </a:lnTo>
                                  <a:lnTo>
                                    <a:pt x="345" y="149"/>
                                  </a:lnTo>
                                  <a:lnTo>
                                    <a:pt x="496" y="48"/>
                                  </a:lnTo>
                                  <a:lnTo>
                                    <a:pt x="486" y="2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1421"/>
                          <wps:cNvSpPr>
                            <a:spLocks/>
                          </wps:cNvSpPr>
                          <wps:spPr bwMode="auto">
                            <a:xfrm>
                              <a:off x="3162" y="2881"/>
                              <a:ext cx="592" cy="168"/>
                            </a:xfrm>
                            <a:custGeom>
                              <a:avLst/>
                              <a:gdLst>
                                <a:gd name="T0" fmla="+- 0 3507 3162"/>
                                <a:gd name="T1" fmla="*/ T0 w 592"/>
                                <a:gd name="T2" fmla="+- 0 3030 2881"/>
                                <a:gd name="T3" fmla="*/ 3030 h 168"/>
                                <a:gd name="T4" fmla="+- 0 3474 3162"/>
                                <a:gd name="T5" fmla="*/ T4 w 592"/>
                                <a:gd name="T6" fmla="+- 0 3030 2881"/>
                                <a:gd name="T7" fmla="*/ 3030 h 168"/>
                                <a:gd name="T8" fmla="+- 0 3474 3162"/>
                                <a:gd name="T9" fmla="*/ T8 w 592"/>
                                <a:gd name="T10" fmla="+- 0 3049 2881"/>
                                <a:gd name="T11" fmla="*/ 3049 h 168"/>
                                <a:gd name="T12" fmla="+- 0 3479 3162"/>
                                <a:gd name="T13" fmla="*/ T12 w 592"/>
                                <a:gd name="T14" fmla="+- 0 3049 2881"/>
                                <a:gd name="T15" fmla="*/ 3049 h 168"/>
                                <a:gd name="T16" fmla="+- 0 3507 3162"/>
                                <a:gd name="T17" fmla="*/ T16 w 592"/>
                                <a:gd name="T18" fmla="+- 0 3030 2881"/>
                                <a:gd name="T19" fmla="*/ 3030 h 168"/>
                              </a:gdLst>
                              <a:ahLst/>
                              <a:cxnLst>
                                <a:cxn ang="0">
                                  <a:pos x="T1" y="T3"/>
                                </a:cxn>
                                <a:cxn ang="0">
                                  <a:pos x="T5" y="T7"/>
                                </a:cxn>
                                <a:cxn ang="0">
                                  <a:pos x="T9" y="T11"/>
                                </a:cxn>
                                <a:cxn ang="0">
                                  <a:pos x="T13" y="T15"/>
                                </a:cxn>
                                <a:cxn ang="0">
                                  <a:pos x="T17" y="T19"/>
                                </a:cxn>
                              </a:cxnLst>
                              <a:rect l="0" t="0" r="r" b="b"/>
                              <a:pathLst>
                                <a:path w="592" h="168">
                                  <a:moveTo>
                                    <a:pt x="345" y="149"/>
                                  </a:moveTo>
                                  <a:lnTo>
                                    <a:pt x="312" y="149"/>
                                  </a:lnTo>
                                  <a:lnTo>
                                    <a:pt x="312" y="168"/>
                                  </a:lnTo>
                                  <a:lnTo>
                                    <a:pt x="317" y="168"/>
                                  </a:lnTo>
                                  <a:lnTo>
                                    <a:pt x="345"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Freeform 1422"/>
                          <wps:cNvSpPr>
                            <a:spLocks/>
                          </wps:cNvSpPr>
                          <wps:spPr bwMode="auto">
                            <a:xfrm>
                              <a:off x="3162" y="2881"/>
                              <a:ext cx="592" cy="168"/>
                            </a:xfrm>
                            <a:custGeom>
                              <a:avLst/>
                              <a:gdLst>
                                <a:gd name="T0" fmla="+- 0 3172 3162"/>
                                <a:gd name="T1" fmla="*/ T0 w 592"/>
                                <a:gd name="T2" fmla="+- 0 2881 2881"/>
                                <a:gd name="T3" fmla="*/ 2881 h 168"/>
                                <a:gd name="T4" fmla="+- 0 3162 3162"/>
                                <a:gd name="T5" fmla="*/ T4 w 592"/>
                                <a:gd name="T6" fmla="+- 0 2890 2881"/>
                                <a:gd name="T7" fmla="*/ 2890 h 168"/>
                                <a:gd name="T8" fmla="+- 0 3162 3162"/>
                                <a:gd name="T9" fmla="*/ T8 w 592"/>
                                <a:gd name="T10" fmla="+- 0 3039 2881"/>
                                <a:gd name="T11" fmla="*/ 3039 h 168"/>
                                <a:gd name="T12" fmla="+- 0 3172 3162"/>
                                <a:gd name="T13" fmla="*/ T12 w 592"/>
                                <a:gd name="T14" fmla="+- 0 3030 2881"/>
                                <a:gd name="T15" fmla="*/ 3030 h 168"/>
                                <a:gd name="T16" fmla="+- 0 3181 3162"/>
                                <a:gd name="T17" fmla="*/ T16 w 592"/>
                                <a:gd name="T18" fmla="+- 0 3030 2881"/>
                                <a:gd name="T19" fmla="*/ 3030 h 168"/>
                                <a:gd name="T20" fmla="+- 0 3181 3162"/>
                                <a:gd name="T21" fmla="*/ T20 w 592"/>
                                <a:gd name="T22" fmla="+- 0 2900 2881"/>
                                <a:gd name="T23" fmla="*/ 2900 h 168"/>
                                <a:gd name="T24" fmla="+- 0 3172 3162"/>
                                <a:gd name="T25" fmla="*/ T24 w 592"/>
                                <a:gd name="T26" fmla="+- 0 2900 2881"/>
                                <a:gd name="T27" fmla="*/ 2900 h 168"/>
                                <a:gd name="T28" fmla="+- 0 3172 3162"/>
                                <a:gd name="T29" fmla="*/ T28 w 592"/>
                                <a:gd name="T30" fmla="+- 0 2881 2881"/>
                                <a:gd name="T31" fmla="*/ 2881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2" h="168">
                                  <a:moveTo>
                                    <a:pt x="10" y="0"/>
                                  </a:moveTo>
                                  <a:lnTo>
                                    <a:pt x="0" y="9"/>
                                  </a:lnTo>
                                  <a:lnTo>
                                    <a:pt x="0" y="158"/>
                                  </a:lnTo>
                                  <a:lnTo>
                                    <a:pt x="10" y="149"/>
                                  </a:lnTo>
                                  <a:lnTo>
                                    <a:pt x="19" y="149"/>
                                  </a:lnTo>
                                  <a:lnTo>
                                    <a:pt x="19" y="19"/>
                                  </a:lnTo>
                                  <a:lnTo>
                                    <a:pt x="10" y="1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423"/>
                          <wps:cNvSpPr>
                            <a:spLocks/>
                          </wps:cNvSpPr>
                          <wps:spPr bwMode="auto">
                            <a:xfrm>
                              <a:off x="3162" y="2881"/>
                              <a:ext cx="592" cy="168"/>
                            </a:xfrm>
                            <a:custGeom>
                              <a:avLst/>
                              <a:gdLst>
                                <a:gd name="T0" fmla="+- 0 3464 3162"/>
                                <a:gd name="T1" fmla="*/ T0 w 592"/>
                                <a:gd name="T2" fmla="+- 0 3030 2881"/>
                                <a:gd name="T3" fmla="*/ 3030 h 168"/>
                                <a:gd name="T4" fmla="+- 0 3181 3162"/>
                                <a:gd name="T5" fmla="*/ T4 w 592"/>
                                <a:gd name="T6" fmla="+- 0 3030 2881"/>
                                <a:gd name="T7" fmla="*/ 3030 h 168"/>
                                <a:gd name="T8" fmla="+- 0 3181 3162"/>
                                <a:gd name="T9" fmla="*/ T8 w 592"/>
                                <a:gd name="T10" fmla="+- 0 3039 2881"/>
                                <a:gd name="T11" fmla="*/ 3039 h 168"/>
                                <a:gd name="T12" fmla="+- 0 3469 3162"/>
                                <a:gd name="T13" fmla="*/ T12 w 592"/>
                                <a:gd name="T14" fmla="+- 0 3039 2881"/>
                                <a:gd name="T15" fmla="*/ 3039 h 168"/>
                                <a:gd name="T16" fmla="+- 0 3464 3162"/>
                                <a:gd name="T17" fmla="*/ T16 w 592"/>
                                <a:gd name="T18" fmla="+- 0 3030 2881"/>
                                <a:gd name="T19" fmla="*/ 3030 h 168"/>
                              </a:gdLst>
                              <a:ahLst/>
                              <a:cxnLst>
                                <a:cxn ang="0">
                                  <a:pos x="T1" y="T3"/>
                                </a:cxn>
                                <a:cxn ang="0">
                                  <a:pos x="T5" y="T7"/>
                                </a:cxn>
                                <a:cxn ang="0">
                                  <a:pos x="T9" y="T11"/>
                                </a:cxn>
                                <a:cxn ang="0">
                                  <a:pos x="T13" y="T15"/>
                                </a:cxn>
                                <a:cxn ang="0">
                                  <a:pos x="T17" y="T19"/>
                                </a:cxn>
                              </a:cxnLst>
                              <a:rect l="0" t="0" r="r" b="b"/>
                              <a:pathLst>
                                <a:path w="592" h="168">
                                  <a:moveTo>
                                    <a:pt x="302" y="149"/>
                                  </a:moveTo>
                                  <a:lnTo>
                                    <a:pt x="19" y="149"/>
                                  </a:lnTo>
                                  <a:lnTo>
                                    <a:pt x="19" y="158"/>
                                  </a:lnTo>
                                  <a:lnTo>
                                    <a:pt x="307" y="158"/>
                                  </a:lnTo>
                                  <a:lnTo>
                                    <a:pt x="302" y="14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Freeform 1424"/>
                          <wps:cNvSpPr>
                            <a:spLocks/>
                          </wps:cNvSpPr>
                          <wps:spPr bwMode="auto">
                            <a:xfrm>
                              <a:off x="3162" y="2881"/>
                              <a:ext cx="592" cy="168"/>
                            </a:xfrm>
                            <a:custGeom>
                              <a:avLst/>
                              <a:gdLst>
                                <a:gd name="T0" fmla="+- 0 3706 3162"/>
                                <a:gd name="T1" fmla="*/ T0 w 592"/>
                                <a:gd name="T2" fmla="+- 0 2881 2881"/>
                                <a:gd name="T3" fmla="*/ 2881 h 168"/>
                                <a:gd name="T4" fmla="+- 0 3648 3162"/>
                                <a:gd name="T5" fmla="*/ T4 w 592"/>
                                <a:gd name="T6" fmla="+- 0 2910 2881"/>
                                <a:gd name="T7" fmla="*/ 2910 h 168"/>
                                <a:gd name="T8" fmla="+- 0 3658 3162"/>
                                <a:gd name="T9" fmla="*/ T8 w 592"/>
                                <a:gd name="T10" fmla="+- 0 2929 2881"/>
                                <a:gd name="T11" fmla="*/ 2929 h 168"/>
                                <a:gd name="T12" fmla="+- 0 3715 3162"/>
                                <a:gd name="T13" fmla="*/ T12 w 592"/>
                                <a:gd name="T14" fmla="+- 0 2900 2881"/>
                                <a:gd name="T15" fmla="*/ 2900 h 168"/>
                                <a:gd name="T16" fmla="+- 0 3706 3162"/>
                                <a:gd name="T17" fmla="*/ T16 w 592"/>
                                <a:gd name="T18" fmla="+- 0 2881 2881"/>
                                <a:gd name="T19" fmla="*/ 2881 h 168"/>
                              </a:gdLst>
                              <a:ahLst/>
                              <a:cxnLst>
                                <a:cxn ang="0">
                                  <a:pos x="T1" y="T3"/>
                                </a:cxn>
                                <a:cxn ang="0">
                                  <a:pos x="T5" y="T7"/>
                                </a:cxn>
                                <a:cxn ang="0">
                                  <a:pos x="T9" y="T11"/>
                                </a:cxn>
                                <a:cxn ang="0">
                                  <a:pos x="T13" y="T15"/>
                                </a:cxn>
                                <a:cxn ang="0">
                                  <a:pos x="T17" y="T19"/>
                                </a:cxn>
                              </a:cxnLst>
                              <a:rect l="0" t="0" r="r" b="b"/>
                              <a:pathLst>
                                <a:path w="592" h="168">
                                  <a:moveTo>
                                    <a:pt x="544" y="0"/>
                                  </a:moveTo>
                                  <a:lnTo>
                                    <a:pt x="486" y="29"/>
                                  </a:lnTo>
                                  <a:lnTo>
                                    <a:pt x="496" y="48"/>
                                  </a:lnTo>
                                  <a:lnTo>
                                    <a:pt x="553" y="19"/>
                                  </a:lnTo>
                                  <a:lnTo>
                                    <a:pt x="544"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1425"/>
                          <wps:cNvSpPr>
                            <a:spLocks/>
                          </wps:cNvSpPr>
                          <wps:spPr bwMode="auto">
                            <a:xfrm>
                              <a:off x="3162" y="2881"/>
                              <a:ext cx="592" cy="168"/>
                            </a:xfrm>
                            <a:custGeom>
                              <a:avLst/>
                              <a:gdLst>
                                <a:gd name="T0" fmla="+- 0 3172 3162"/>
                                <a:gd name="T1" fmla="*/ T0 w 592"/>
                                <a:gd name="T2" fmla="+- 0 2881 2881"/>
                                <a:gd name="T3" fmla="*/ 2881 h 168"/>
                                <a:gd name="T4" fmla="+- 0 3172 3162"/>
                                <a:gd name="T5" fmla="*/ T4 w 592"/>
                                <a:gd name="T6" fmla="+- 0 2900 2881"/>
                                <a:gd name="T7" fmla="*/ 2900 h 168"/>
                                <a:gd name="T8" fmla="+- 0 3181 3162"/>
                                <a:gd name="T9" fmla="*/ T8 w 592"/>
                                <a:gd name="T10" fmla="+- 0 2900 2881"/>
                                <a:gd name="T11" fmla="*/ 2900 h 168"/>
                                <a:gd name="T12" fmla="+- 0 3181 3162"/>
                                <a:gd name="T13" fmla="*/ T12 w 592"/>
                                <a:gd name="T14" fmla="+- 0 2890 2881"/>
                                <a:gd name="T15" fmla="*/ 2890 h 168"/>
                                <a:gd name="T16" fmla="+- 0 3172 3162"/>
                                <a:gd name="T17" fmla="*/ T16 w 592"/>
                                <a:gd name="T18" fmla="+- 0 2881 2881"/>
                                <a:gd name="T19" fmla="*/ 2881 h 168"/>
                              </a:gdLst>
                              <a:ahLst/>
                              <a:cxnLst>
                                <a:cxn ang="0">
                                  <a:pos x="T1" y="T3"/>
                                </a:cxn>
                                <a:cxn ang="0">
                                  <a:pos x="T5" y="T7"/>
                                </a:cxn>
                                <a:cxn ang="0">
                                  <a:pos x="T9" y="T11"/>
                                </a:cxn>
                                <a:cxn ang="0">
                                  <a:pos x="T13" y="T15"/>
                                </a:cxn>
                                <a:cxn ang="0">
                                  <a:pos x="T17" y="T19"/>
                                </a:cxn>
                              </a:cxnLst>
                              <a:rect l="0" t="0" r="r" b="b"/>
                              <a:pathLst>
                                <a:path w="592" h="168">
                                  <a:moveTo>
                                    <a:pt x="10" y="0"/>
                                  </a:moveTo>
                                  <a:lnTo>
                                    <a:pt x="10" y="19"/>
                                  </a:lnTo>
                                  <a:lnTo>
                                    <a:pt x="19" y="19"/>
                                  </a:lnTo>
                                  <a:lnTo>
                                    <a:pt x="19"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1426"/>
                          <wps:cNvSpPr>
                            <a:spLocks/>
                          </wps:cNvSpPr>
                          <wps:spPr bwMode="auto">
                            <a:xfrm>
                              <a:off x="3162" y="2881"/>
                              <a:ext cx="592" cy="168"/>
                            </a:xfrm>
                            <a:custGeom>
                              <a:avLst/>
                              <a:gdLst>
                                <a:gd name="T0" fmla="+- 0 3706 3162"/>
                                <a:gd name="T1" fmla="*/ T0 w 592"/>
                                <a:gd name="T2" fmla="+- 0 2881 2881"/>
                                <a:gd name="T3" fmla="*/ 2881 h 168"/>
                                <a:gd name="T4" fmla="+- 0 3172 3162"/>
                                <a:gd name="T5" fmla="*/ T4 w 592"/>
                                <a:gd name="T6" fmla="+- 0 2881 2881"/>
                                <a:gd name="T7" fmla="*/ 2881 h 168"/>
                                <a:gd name="T8" fmla="+- 0 3181 3162"/>
                                <a:gd name="T9" fmla="*/ T8 w 592"/>
                                <a:gd name="T10" fmla="+- 0 2890 2881"/>
                                <a:gd name="T11" fmla="*/ 2890 h 168"/>
                                <a:gd name="T12" fmla="+- 0 3181 3162"/>
                                <a:gd name="T13" fmla="*/ T12 w 592"/>
                                <a:gd name="T14" fmla="+- 0 2900 2881"/>
                                <a:gd name="T15" fmla="*/ 2900 h 168"/>
                                <a:gd name="T16" fmla="+- 0 3667 3162"/>
                                <a:gd name="T17" fmla="*/ T16 w 592"/>
                                <a:gd name="T18" fmla="+- 0 2900 2881"/>
                                <a:gd name="T19" fmla="*/ 2900 h 168"/>
                                <a:gd name="T20" fmla="+- 0 3706 3162"/>
                                <a:gd name="T21" fmla="*/ T20 w 592"/>
                                <a:gd name="T22" fmla="+- 0 2881 2881"/>
                                <a:gd name="T23" fmla="*/ 2881 h 168"/>
                              </a:gdLst>
                              <a:ahLst/>
                              <a:cxnLst>
                                <a:cxn ang="0">
                                  <a:pos x="T1" y="T3"/>
                                </a:cxn>
                                <a:cxn ang="0">
                                  <a:pos x="T5" y="T7"/>
                                </a:cxn>
                                <a:cxn ang="0">
                                  <a:pos x="T9" y="T11"/>
                                </a:cxn>
                                <a:cxn ang="0">
                                  <a:pos x="T13" y="T15"/>
                                </a:cxn>
                                <a:cxn ang="0">
                                  <a:pos x="T17" y="T19"/>
                                </a:cxn>
                                <a:cxn ang="0">
                                  <a:pos x="T21" y="T23"/>
                                </a:cxn>
                              </a:cxnLst>
                              <a:rect l="0" t="0" r="r" b="b"/>
                              <a:pathLst>
                                <a:path w="592" h="168">
                                  <a:moveTo>
                                    <a:pt x="544" y="0"/>
                                  </a:moveTo>
                                  <a:lnTo>
                                    <a:pt x="10" y="0"/>
                                  </a:lnTo>
                                  <a:lnTo>
                                    <a:pt x="19" y="9"/>
                                  </a:lnTo>
                                  <a:lnTo>
                                    <a:pt x="19" y="19"/>
                                  </a:lnTo>
                                  <a:lnTo>
                                    <a:pt x="505" y="19"/>
                                  </a:lnTo>
                                  <a:lnTo>
                                    <a:pt x="544"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Freeform 1427"/>
                          <wps:cNvSpPr>
                            <a:spLocks/>
                          </wps:cNvSpPr>
                          <wps:spPr bwMode="auto">
                            <a:xfrm>
                              <a:off x="3162" y="2881"/>
                              <a:ext cx="592" cy="168"/>
                            </a:xfrm>
                            <a:custGeom>
                              <a:avLst/>
                              <a:gdLst>
                                <a:gd name="T0" fmla="+- 0 3710 3162"/>
                                <a:gd name="T1" fmla="*/ T0 w 592"/>
                                <a:gd name="T2" fmla="+- 0 2881 2881"/>
                                <a:gd name="T3" fmla="*/ 2881 h 168"/>
                                <a:gd name="T4" fmla="+- 0 3706 3162"/>
                                <a:gd name="T5" fmla="*/ T4 w 592"/>
                                <a:gd name="T6" fmla="+- 0 2881 2881"/>
                                <a:gd name="T7" fmla="*/ 2881 h 168"/>
                                <a:gd name="T8" fmla="+- 0 3715 3162"/>
                                <a:gd name="T9" fmla="*/ T8 w 592"/>
                                <a:gd name="T10" fmla="+- 0 2900 2881"/>
                                <a:gd name="T11" fmla="*/ 2900 h 168"/>
                                <a:gd name="T12" fmla="+- 0 3710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548" y="0"/>
                                  </a:moveTo>
                                  <a:lnTo>
                                    <a:pt x="544" y="0"/>
                                  </a:lnTo>
                                  <a:lnTo>
                                    <a:pt x="553" y="19"/>
                                  </a:lnTo>
                                  <a:lnTo>
                                    <a:pt x="548"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Freeform 1428"/>
                          <wps:cNvSpPr>
                            <a:spLocks/>
                          </wps:cNvSpPr>
                          <wps:spPr bwMode="auto">
                            <a:xfrm>
                              <a:off x="3162" y="2881"/>
                              <a:ext cx="592" cy="168"/>
                            </a:xfrm>
                            <a:custGeom>
                              <a:avLst/>
                              <a:gdLst>
                                <a:gd name="T0" fmla="+- 0 3754 3162"/>
                                <a:gd name="T1" fmla="*/ T0 w 592"/>
                                <a:gd name="T2" fmla="+- 0 2881 2881"/>
                                <a:gd name="T3" fmla="*/ 2881 h 168"/>
                                <a:gd name="T4" fmla="+- 0 3710 3162"/>
                                <a:gd name="T5" fmla="*/ T4 w 592"/>
                                <a:gd name="T6" fmla="+- 0 2881 2881"/>
                                <a:gd name="T7" fmla="*/ 2881 h 168"/>
                                <a:gd name="T8" fmla="+- 0 3715 3162"/>
                                <a:gd name="T9" fmla="*/ T8 w 592"/>
                                <a:gd name="T10" fmla="+- 0 2900 2881"/>
                                <a:gd name="T11" fmla="*/ 2900 h 168"/>
                                <a:gd name="T12" fmla="+- 0 3754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592" y="0"/>
                                  </a:moveTo>
                                  <a:lnTo>
                                    <a:pt x="548" y="0"/>
                                  </a:lnTo>
                                  <a:lnTo>
                                    <a:pt x="553" y="19"/>
                                  </a:lnTo>
                                  <a:lnTo>
                                    <a:pt x="59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Freeform 1429"/>
                          <wps:cNvSpPr>
                            <a:spLocks/>
                          </wps:cNvSpPr>
                          <wps:spPr bwMode="auto">
                            <a:xfrm>
                              <a:off x="3162" y="2881"/>
                              <a:ext cx="592" cy="168"/>
                            </a:xfrm>
                            <a:custGeom>
                              <a:avLst/>
                              <a:gdLst>
                                <a:gd name="T0" fmla="+- 0 3172 3162"/>
                                <a:gd name="T1" fmla="*/ T0 w 592"/>
                                <a:gd name="T2" fmla="+- 0 2881 2881"/>
                                <a:gd name="T3" fmla="*/ 2881 h 168"/>
                                <a:gd name="T4" fmla="+- 0 3162 3162"/>
                                <a:gd name="T5" fmla="*/ T4 w 592"/>
                                <a:gd name="T6" fmla="+- 0 2881 2881"/>
                                <a:gd name="T7" fmla="*/ 2881 h 168"/>
                                <a:gd name="T8" fmla="+- 0 3162 3162"/>
                                <a:gd name="T9" fmla="*/ T8 w 592"/>
                                <a:gd name="T10" fmla="+- 0 2890 2881"/>
                                <a:gd name="T11" fmla="*/ 2890 h 168"/>
                                <a:gd name="T12" fmla="+- 0 3172 3162"/>
                                <a:gd name="T13" fmla="*/ T12 w 592"/>
                                <a:gd name="T14" fmla="+- 0 2881 2881"/>
                                <a:gd name="T15" fmla="*/ 2881 h 168"/>
                              </a:gdLst>
                              <a:ahLst/>
                              <a:cxnLst>
                                <a:cxn ang="0">
                                  <a:pos x="T1" y="T3"/>
                                </a:cxn>
                                <a:cxn ang="0">
                                  <a:pos x="T5" y="T7"/>
                                </a:cxn>
                                <a:cxn ang="0">
                                  <a:pos x="T9" y="T11"/>
                                </a:cxn>
                                <a:cxn ang="0">
                                  <a:pos x="T13" y="T15"/>
                                </a:cxn>
                              </a:cxnLst>
                              <a:rect l="0" t="0" r="r" b="b"/>
                              <a:pathLst>
                                <a:path w="592" h="168">
                                  <a:moveTo>
                                    <a:pt x="10" y="0"/>
                                  </a:moveTo>
                                  <a:lnTo>
                                    <a:pt x="0" y="0"/>
                                  </a:lnTo>
                                  <a:lnTo>
                                    <a:pt x="0"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85" name="Group 1430"/>
                        <wpg:cNvGrpSpPr>
                          <a:grpSpLocks/>
                        </wpg:cNvGrpSpPr>
                        <wpg:grpSpPr bwMode="auto">
                          <a:xfrm>
                            <a:off x="3162" y="2581"/>
                            <a:ext cx="5712" cy="884"/>
                            <a:chOff x="3162" y="2581"/>
                            <a:chExt cx="5712" cy="884"/>
                          </a:xfrm>
                        </wpg:grpSpPr>
                        <wps:wsp>
                          <wps:cNvPr id="1486" name="Freeform 1431"/>
                          <wps:cNvSpPr>
                            <a:spLocks/>
                          </wps:cNvSpPr>
                          <wps:spPr bwMode="auto">
                            <a:xfrm>
                              <a:off x="3162" y="2581"/>
                              <a:ext cx="5712" cy="884"/>
                            </a:xfrm>
                            <a:custGeom>
                              <a:avLst/>
                              <a:gdLst>
                                <a:gd name="T0" fmla="+- 0 5381 3162"/>
                                <a:gd name="T1" fmla="*/ T0 w 5712"/>
                                <a:gd name="T2" fmla="+- 0 3456 2581"/>
                                <a:gd name="T3" fmla="*/ 3456 h 884"/>
                                <a:gd name="T4" fmla="+- 0 5381 3162"/>
                                <a:gd name="T5" fmla="*/ T4 w 5712"/>
                                <a:gd name="T6" fmla="+- 0 3465 2581"/>
                                <a:gd name="T7" fmla="*/ 3465 h 884"/>
                                <a:gd name="T8" fmla="+- 0 5395 3162"/>
                                <a:gd name="T9" fmla="*/ T8 w 5712"/>
                                <a:gd name="T10" fmla="+- 0 3465 2581"/>
                                <a:gd name="T11" fmla="*/ 3465 h 884"/>
                                <a:gd name="T12" fmla="+- 0 5381 3162"/>
                                <a:gd name="T13" fmla="*/ T12 w 5712"/>
                                <a:gd name="T14" fmla="+- 0 3456 2581"/>
                                <a:gd name="T15" fmla="*/ 3456 h 884"/>
                              </a:gdLst>
                              <a:ahLst/>
                              <a:cxnLst>
                                <a:cxn ang="0">
                                  <a:pos x="T1" y="T3"/>
                                </a:cxn>
                                <a:cxn ang="0">
                                  <a:pos x="T5" y="T7"/>
                                </a:cxn>
                                <a:cxn ang="0">
                                  <a:pos x="T9" y="T11"/>
                                </a:cxn>
                                <a:cxn ang="0">
                                  <a:pos x="T13" y="T15"/>
                                </a:cxn>
                              </a:cxnLst>
                              <a:rect l="0" t="0" r="r" b="b"/>
                              <a:pathLst>
                                <a:path w="5712" h="884">
                                  <a:moveTo>
                                    <a:pt x="2219" y="875"/>
                                  </a:moveTo>
                                  <a:lnTo>
                                    <a:pt x="2219" y="884"/>
                                  </a:lnTo>
                                  <a:lnTo>
                                    <a:pt x="2233" y="884"/>
                                  </a:lnTo>
                                  <a:lnTo>
                                    <a:pt x="2219" y="87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1432"/>
                          <wps:cNvSpPr>
                            <a:spLocks/>
                          </wps:cNvSpPr>
                          <wps:spPr bwMode="auto">
                            <a:xfrm>
                              <a:off x="3162" y="2581"/>
                              <a:ext cx="5712" cy="884"/>
                            </a:xfrm>
                            <a:custGeom>
                              <a:avLst/>
                              <a:gdLst>
                                <a:gd name="T0" fmla="+- 0 5405 3162"/>
                                <a:gd name="T1" fmla="*/ T0 w 5712"/>
                                <a:gd name="T2" fmla="+- 0 3446 2581"/>
                                <a:gd name="T3" fmla="*/ 3446 h 884"/>
                                <a:gd name="T4" fmla="+- 0 5395 3162"/>
                                <a:gd name="T5" fmla="*/ T4 w 5712"/>
                                <a:gd name="T6" fmla="+- 0 3446 2581"/>
                                <a:gd name="T7" fmla="*/ 3446 h 884"/>
                                <a:gd name="T8" fmla="+- 0 5381 3162"/>
                                <a:gd name="T9" fmla="*/ T8 w 5712"/>
                                <a:gd name="T10" fmla="+- 0 3456 2581"/>
                                <a:gd name="T11" fmla="*/ 3456 h 884"/>
                                <a:gd name="T12" fmla="+- 0 5395 3162"/>
                                <a:gd name="T13" fmla="*/ T12 w 5712"/>
                                <a:gd name="T14" fmla="+- 0 3465 2581"/>
                                <a:gd name="T15" fmla="*/ 3465 h 884"/>
                                <a:gd name="T16" fmla="+- 0 6815 3162"/>
                                <a:gd name="T17" fmla="*/ T16 w 5712"/>
                                <a:gd name="T18" fmla="+- 0 3465 2581"/>
                                <a:gd name="T19" fmla="*/ 3465 h 884"/>
                                <a:gd name="T20" fmla="+- 0 6805 3162"/>
                                <a:gd name="T21" fmla="*/ T20 w 5712"/>
                                <a:gd name="T22" fmla="+- 0 3456 2581"/>
                                <a:gd name="T23" fmla="*/ 3456 h 884"/>
                                <a:gd name="T24" fmla="+- 0 5405 3162"/>
                                <a:gd name="T25" fmla="*/ T24 w 5712"/>
                                <a:gd name="T26" fmla="+- 0 3456 2581"/>
                                <a:gd name="T27" fmla="*/ 3456 h 884"/>
                                <a:gd name="T28" fmla="+- 0 5405 3162"/>
                                <a:gd name="T29" fmla="*/ T28 w 5712"/>
                                <a:gd name="T30" fmla="+- 0 3446 2581"/>
                                <a:gd name="T31" fmla="*/ 3446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2243" y="865"/>
                                  </a:moveTo>
                                  <a:lnTo>
                                    <a:pt x="2233" y="865"/>
                                  </a:lnTo>
                                  <a:lnTo>
                                    <a:pt x="2219" y="875"/>
                                  </a:lnTo>
                                  <a:lnTo>
                                    <a:pt x="2233" y="884"/>
                                  </a:lnTo>
                                  <a:lnTo>
                                    <a:pt x="3653" y="884"/>
                                  </a:lnTo>
                                  <a:lnTo>
                                    <a:pt x="3643" y="875"/>
                                  </a:lnTo>
                                  <a:lnTo>
                                    <a:pt x="2243" y="875"/>
                                  </a:lnTo>
                                  <a:lnTo>
                                    <a:pt x="2243"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8" name="Freeform 1433"/>
                          <wps:cNvSpPr>
                            <a:spLocks/>
                          </wps:cNvSpPr>
                          <wps:spPr bwMode="auto">
                            <a:xfrm>
                              <a:off x="3162" y="2581"/>
                              <a:ext cx="5712" cy="884"/>
                            </a:xfrm>
                            <a:custGeom>
                              <a:avLst/>
                              <a:gdLst>
                                <a:gd name="T0" fmla="+- 0 6824 3162"/>
                                <a:gd name="T1" fmla="*/ T0 w 5712"/>
                                <a:gd name="T2" fmla="+- 0 3098 2581"/>
                                <a:gd name="T3" fmla="*/ 3098 h 884"/>
                                <a:gd name="T4" fmla="+- 0 6805 3162"/>
                                <a:gd name="T5" fmla="*/ T4 w 5712"/>
                                <a:gd name="T6" fmla="+- 0 3098 2581"/>
                                <a:gd name="T7" fmla="*/ 3098 h 884"/>
                                <a:gd name="T8" fmla="+- 0 6805 3162"/>
                                <a:gd name="T9" fmla="*/ T8 w 5712"/>
                                <a:gd name="T10" fmla="+- 0 3456 2581"/>
                                <a:gd name="T11" fmla="*/ 3456 h 884"/>
                                <a:gd name="T12" fmla="+- 0 6815 3162"/>
                                <a:gd name="T13" fmla="*/ T12 w 5712"/>
                                <a:gd name="T14" fmla="+- 0 3465 2581"/>
                                <a:gd name="T15" fmla="*/ 3465 h 884"/>
                                <a:gd name="T16" fmla="+- 0 6815 3162"/>
                                <a:gd name="T17" fmla="*/ T16 w 5712"/>
                                <a:gd name="T18" fmla="+- 0 3446 2581"/>
                                <a:gd name="T19" fmla="*/ 3446 h 884"/>
                                <a:gd name="T20" fmla="+- 0 6824 3162"/>
                                <a:gd name="T21" fmla="*/ T20 w 5712"/>
                                <a:gd name="T22" fmla="+- 0 3446 2581"/>
                                <a:gd name="T23" fmla="*/ 3446 h 884"/>
                                <a:gd name="T24" fmla="+- 0 6824 3162"/>
                                <a:gd name="T25" fmla="*/ T24 w 5712"/>
                                <a:gd name="T26" fmla="+- 0 3108 2581"/>
                                <a:gd name="T27" fmla="*/ 3108 h 884"/>
                                <a:gd name="T28" fmla="+- 0 6815 3162"/>
                                <a:gd name="T29" fmla="*/ T28 w 5712"/>
                                <a:gd name="T30" fmla="+- 0 3108 2581"/>
                                <a:gd name="T31" fmla="*/ 3108 h 884"/>
                                <a:gd name="T32" fmla="+- 0 6824 3162"/>
                                <a:gd name="T33" fmla="*/ T32 w 5712"/>
                                <a:gd name="T34" fmla="+- 0 3098 2581"/>
                                <a:gd name="T35" fmla="*/ 3098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3662" y="517"/>
                                  </a:moveTo>
                                  <a:lnTo>
                                    <a:pt x="3643" y="517"/>
                                  </a:lnTo>
                                  <a:lnTo>
                                    <a:pt x="3643" y="875"/>
                                  </a:lnTo>
                                  <a:lnTo>
                                    <a:pt x="3653" y="884"/>
                                  </a:lnTo>
                                  <a:lnTo>
                                    <a:pt x="3653" y="865"/>
                                  </a:lnTo>
                                  <a:lnTo>
                                    <a:pt x="3662" y="865"/>
                                  </a:lnTo>
                                  <a:lnTo>
                                    <a:pt x="3662" y="527"/>
                                  </a:lnTo>
                                  <a:lnTo>
                                    <a:pt x="3653" y="527"/>
                                  </a:lnTo>
                                  <a:lnTo>
                                    <a:pt x="3662" y="51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1434"/>
                          <wps:cNvSpPr>
                            <a:spLocks/>
                          </wps:cNvSpPr>
                          <wps:spPr bwMode="auto">
                            <a:xfrm>
                              <a:off x="3162" y="2581"/>
                              <a:ext cx="5712" cy="884"/>
                            </a:xfrm>
                            <a:custGeom>
                              <a:avLst/>
                              <a:gdLst>
                                <a:gd name="T0" fmla="+- 0 6824 3162"/>
                                <a:gd name="T1" fmla="*/ T0 w 5712"/>
                                <a:gd name="T2" fmla="+- 0 3446 2581"/>
                                <a:gd name="T3" fmla="*/ 3446 h 884"/>
                                <a:gd name="T4" fmla="+- 0 6815 3162"/>
                                <a:gd name="T5" fmla="*/ T4 w 5712"/>
                                <a:gd name="T6" fmla="+- 0 3446 2581"/>
                                <a:gd name="T7" fmla="*/ 3446 h 884"/>
                                <a:gd name="T8" fmla="+- 0 6815 3162"/>
                                <a:gd name="T9" fmla="*/ T8 w 5712"/>
                                <a:gd name="T10" fmla="+- 0 3465 2581"/>
                                <a:gd name="T11" fmla="*/ 3465 h 884"/>
                                <a:gd name="T12" fmla="+- 0 6824 3162"/>
                                <a:gd name="T13" fmla="*/ T12 w 5712"/>
                                <a:gd name="T14" fmla="+- 0 3456 2581"/>
                                <a:gd name="T15" fmla="*/ 3456 h 884"/>
                                <a:gd name="T16" fmla="+- 0 6824 3162"/>
                                <a:gd name="T17" fmla="*/ T16 w 5712"/>
                                <a:gd name="T18" fmla="+- 0 3446 2581"/>
                                <a:gd name="T19" fmla="*/ 3446 h 884"/>
                              </a:gdLst>
                              <a:ahLst/>
                              <a:cxnLst>
                                <a:cxn ang="0">
                                  <a:pos x="T1" y="T3"/>
                                </a:cxn>
                                <a:cxn ang="0">
                                  <a:pos x="T5" y="T7"/>
                                </a:cxn>
                                <a:cxn ang="0">
                                  <a:pos x="T9" y="T11"/>
                                </a:cxn>
                                <a:cxn ang="0">
                                  <a:pos x="T13" y="T15"/>
                                </a:cxn>
                                <a:cxn ang="0">
                                  <a:pos x="T17" y="T19"/>
                                </a:cxn>
                              </a:cxnLst>
                              <a:rect l="0" t="0" r="r" b="b"/>
                              <a:pathLst>
                                <a:path w="5712" h="884">
                                  <a:moveTo>
                                    <a:pt x="3662" y="865"/>
                                  </a:moveTo>
                                  <a:lnTo>
                                    <a:pt x="3653" y="865"/>
                                  </a:lnTo>
                                  <a:lnTo>
                                    <a:pt x="3653" y="884"/>
                                  </a:lnTo>
                                  <a:lnTo>
                                    <a:pt x="3662" y="875"/>
                                  </a:lnTo>
                                  <a:lnTo>
                                    <a:pt x="3662"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0" name="Freeform 1435"/>
                          <wps:cNvSpPr>
                            <a:spLocks/>
                          </wps:cNvSpPr>
                          <wps:spPr bwMode="auto">
                            <a:xfrm>
                              <a:off x="3162" y="2581"/>
                              <a:ext cx="5712" cy="884"/>
                            </a:xfrm>
                            <a:custGeom>
                              <a:avLst/>
                              <a:gdLst>
                                <a:gd name="T0" fmla="+- 0 6824 3162"/>
                                <a:gd name="T1" fmla="*/ T0 w 5712"/>
                                <a:gd name="T2" fmla="+- 0 3456 2581"/>
                                <a:gd name="T3" fmla="*/ 3456 h 884"/>
                                <a:gd name="T4" fmla="+- 0 6815 3162"/>
                                <a:gd name="T5" fmla="*/ T4 w 5712"/>
                                <a:gd name="T6" fmla="+- 0 3465 2581"/>
                                <a:gd name="T7" fmla="*/ 3465 h 884"/>
                                <a:gd name="T8" fmla="+- 0 6824 3162"/>
                                <a:gd name="T9" fmla="*/ T8 w 5712"/>
                                <a:gd name="T10" fmla="+- 0 3465 2581"/>
                                <a:gd name="T11" fmla="*/ 3465 h 884"/>
                                <a:gd name="T12" fmla="+- 0 6824 3162"/>
                                <a:gd name="T13" fmla="*/ T12 w 5712"/>
                                <a:gd name="T14" fmla="+- 0 3456 2581"/>
                                <a:gd name="T15" fmla="*/ 3456 h 884"/>
                              </a:gdLst>
                              <a:ahLst/>
                              <a:cxnLst>
                                <a:cxn ang="0">
                                  <a:pos x="T1" y="T3"/>
                                </a:cxn>
                                <a:cxn ang="0">
                                  <a:pos x="T5" y="T7"/>
                                </a:cxn>
                                <a:cxn ang="0">
                                  <a:pos x="T9" y="T11"/>
                                </a:cxn>
                                <a:cxn ang="0">
                                  <a:pos x="T13" y="T15"/>
                                </a:cxn>
                              </a:cxnLst>
                              <a:rect l="0" t="0" r="r" b="b"/>
                              <a:pathLst>
                                <a:path w="5712" h="884">
                                  <a:moveTo>
                                    <a:pt x="3662" y="875"/>
                                  </a:moveTo>
                                  <a:lnTo>
                                    <a:pt x="3653" y="884"/>
                                  </a:lnTo>
                                  <a:lnTo>
                                    <a:pt x="3662" y="884"/>
                                  </a:lnTo>
                                  <a:lnTo>
                                    <a:pt x="3662" y="87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1" name="Freeform 1436"/>
                          <wps:cNvSpPr>
                            <a:spLocks/>
                          </wps:cNvSpPr>
                          <wps:spPr bwMode="auto">
                            <a:xfrm>
                              <a:off x="3162" y="2581"/>
                              <a:ext cx="5712" cy="884"/>
                            </a:xfrm>
                            <a:custGeom>
                              <a:avLst/>
                              <a:gdLst>
                                <a:gd name="T0" fmla="+- 0 5395 3162"/>
                                <a:gd name="T1" fmla="*/ T0 w 5712"/>
                                <a:gd name="T2" fmla="+- 0 3088 2581"/>
                                <a:gd name="T3" fmla="*/ 3088 h 884"/>
                                <a:gd name="T4" fmla="+- 0 5381 3162"/>
                                <a:gd name="T5" fmla="*/ T4 w 5712"/>
                                <a:gd name="T6" fmla="+- 0 3098 2581"/>
                                <a:gd name="T7" fmla="*/ 3098 h 884"/>
                                <a:gd name="T8" fmla="+- 0 5381 3162"/>
                                <a:gd name="T9" fmla="*/ T8 w 5712"/>
                                <a:gd name="T10" fmla="+- 0 3456 2581"/>
                                <a:gd name="T11" fmla="*/ 3456 h 884"/>
                                <a:gd name="T12" fmla="+- 0 5395 3162"/>
                                <a:gd name="T13" fmla="*/ T12 w 5712"/>
                                <a:gd name="T14" fmla="+- 0 3446 2581"/>
                                <a:gd name="T15" fmla="*/ 3446 h 884"/>
                                <a:gd name="T16" fmla="+- 0 5405 3162"/>
                                <a:gd name="T17" fmla="*/ T16 w 5712"/>
                                <a:gd name="T18" fmla="+- 0 3446 2581"/>
                                <a:gd name="T19" fmla="*/ 3446 h 884"/>
                                <a:gd name="T20" fmla="+- 0 5405 3162"/>
                                <a:gd name="T21" fmla="*/ T20 w 5712"/>
                                <a:gd name="T22" fmla="+- 0 3108 2581"/>
                                <a:gd name="T23" fmla="*/ 3108 h 884"/>
                                <a:gd name="T24" fmla="+- 0 5395 3162"/>
                                <a:gd name="T25" fmla="*/ T24 w 5712"/>
                                <a:gd name="T26" fmla="+- 0 3108 2581"/>
                                <a:gd name="T27" fmla="*/ 3108 h 884"/>
                                <a:gd name="T28" fmla="+- 0 5395 3162"/>
                                <a:gd name="T29" fmla="*/ T28 w 5712"/>
                                <a:gd name="T30" fmla="+- 0 3088 2581"/>
                                <a:gd name="T31" fmla="*/ 3088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2233" y="507"/>
                                  </a:moveTo>
                                  <a:lnTo>
                                    <a:pt x="2219" y="517"/>
                                  </a:lnTo>
                                  <a:lnTo>
                                    <a:pt x="2219" y="875"/>
                                  </a:lnTo>
                                  <a:lnTo>
                                    <a:pt x="2233" y="865"/>
                                  </a:lnTo>
                                  <a:lnTo>
                                    <a:pt x="2243" y="865"/>
                                  </a:lnTo>
                                  <a:lnTo>
                                    <a:pt x="2243" y="527"/>
                                  </a:lnTo>
                                  <a:lnTo>
                                    <a:pt x="2233" y="52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1437"/>
                          <wps:cNvSpPr>
                            <a:spLocks/>
                          </wps:cNvSpPr>
                          <wps:spPr bwMode="auto">
                            <a:xfrm>
                              <a:off x="3162" y="2581"/>
                              <a:ext cx="5712" cy="884"/>
                            </a:xfrm>
                            <a:custGeom>
                              <a:avLst/>
                              <a:gdLst>
                                <a:gd name="T0" fmla="+- 0 6805 3162"/>
                                <a:gd name="T1" fmla="*/ T0 w 5712"/>
                                <a:gd name="T2" fmla="+- 0 3446 2581"/>
                                <a:gd name="T3" fmla="*/ 3446 h 884"/>
                                <a:gd name="T4" fmla="+- 0 5405 3162"/>
                                <a:gd name="T5" fmla="*/ T4 w 5712"/>
                                <a:gd name="T6" fmla="+- 0 3446 2581"/>
                                <a:gd name="T7" fmla="*/ 3446 h 884"/>
                                <a:gd name="T8" fmla="+- 0 5405 3162"/>
                                <a:gd name="T9" fmla="*/ T8 w 5712"/>
                                <a:gd name="T10" fmla="+- 0 3456 2581"/>
                                <a:gd name="T11" fmla="*/ 3456 h 884"/>
                                <a:gd name="T12" fmla="+- 0 6805 3162"/>
                                <a:gd name="T13" fmla="*/ T12 w 5712"/>
                                <a:gd name="T14" fmla="+- 0 3456 2581"/>
                                <a:gd name="T15" fmla="*/ 3456 h 884"/>
                                <a:gd name="T16" fmla="+- 0 6805 3162"/>
                                <a:gd name="T17" fmla="*/ T16 w 5712"/>
                                <a:gd name="T18" fmla="+- 0 3446 2581"/>
                                <a:gd name="T19" fmla="*/ 3446 h 884"/>
                              </a:gdLst>
                              <a:ahLst/>
                              <a:cxnLst>
                                <a:cxn ang="0">
                                  <a:pos x="T1" y="T3"/>
                                </a:cxn>
                                <a:cxn ang="0">
                                  <a:pos x="T5" y="T7"/>
                                </a:cxn>
                                <a:cxn ang="0">
                                  <a:pos x="T9" y="T11"/>
                                </a:cxn>
                                <a:cxn ang="0">
                                  <a:pos x="T13" y="T15"/>
                                </a:cxn>
                                <a:cxn ang="0">
                                  <a:pos x="T17" y="T19"/>
                                </a:cxn>
                              </a:cxnLst>
                              <a:rect l="0" t="0" r="r" b="b"/>
                              <a:pathLst>
                                <a:path w="5712" h="884">
                                  <a:moveTo>
                                    <a:pt x="3643" y="865"/>
                                  </a:moveTo>
                                  <a:lnTo>
                                    <a:pt x="2243" y="865"/>
                                  </a:lnTo>
                                  <a:lnTo>
                                    <a:pt x="2243" y="875"/>
                                  </a:lnTo>
                                  <a:lnTo>
                                    <a:pt x="3643" y="875"/>
                                  </a:lnTo>
                                  <a:lnTo>
                                    <a:pt x="3643" y="86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1438"/>
                          <wps:cNvSpPr>
                            <a:spLocks/>
                          </wps:cNvSpPr>
                          <wps:spPr bwMode="auto">
                            <a:xfrm>
                              <a:off x="3162" y="2581"/>
                              <a:ext cx="5712" cy="884"/>
                            </a:xfrm>
                            <a:custGeom>
                              <a:avLst/>
                              <a:gdLst>
                                <a:gd name="T0" fmla="+- 0 5395 3162"/>
                                <a:gd name="T1" fmla="*/ T0 w 5712"/>
                                <a:gd name="T2" fmla="+- 0 3088 2581"/>
                                <a:gd name="T3" fmla="*/ 3088 h 884"/>
                                <a:gd name="T4" fmla="+- 0 5395 3162"/>
                                <a:gd name="T5" fmla="*/ T4 w 5712"/>
                                <a:gd name="T6" fmla="+- 0 3108 2581"/>
                                <a:gd name="T7" fmla="*/ 3108 h 884"/>
                                <a:gd name="T8" fmla="+- 0 5405 3162"/>
                                <a:gd name="T9" fmla="*/ T8 w 5712"/>
                                <a:gd name="T10" fmla="+- 0 3108 2581"/>
                                <a:gd name="T11" fmla="*/ 3108 h 884"/>
                                <a:gd name="T12" fmla="+- 0 5405 3162"/>
                                <a:gd name="T13" fmla="*/ T12 w 5712"/>
                                <a:gd name="T14" fmla="+- 0 3098 2581"/>
                                <a:gd name="T15" fmla="*/ 3098 h 884"/>
                                <a:gd name="T16" fmla="+- 0 5395 3162"/>
                                <a:gd name="T17" fmla="*/ T16 w 5712"/>
                                <a:gd name="T18" fmla="+- 0 3088 2581"/>
                                <a:gd name="T19" fmla="*/ 3088 h 884"/>
                              </a:gdLst>
                              <a:ahLst/>
                              <a:cxnLst>
                                <a:cxn ang="0">
                                  <a:pos x="T1" y="T3"/>
                                </a:cxn>
                                <a:cxn ang="0">
                                  <a:pos x="T5" y="T7"/>
                                </a:cxn>
                                <a:cxn ang="0">
                                  <a:pos x="T9" y="T11"/>
                                </a:cxn>
                                <a:cxn ang="0">
                                  <a:pos x="T13" y="T15"/>
                                </a:cxn>
                                <a:cxn ang="0">
                                  <a:pos x="T17" y="T19"/>
                                </a:cxn>
                              </a:cxnLst>
                              <a:rect l="0" t="0" r="r" b="b"/>
                              <a:pathLst>
                                <a:path w="5712" h="884">
                                  <a:moveTo>
                                    <a:pt x="2233" y="507"/>
                                  </a:moveTo>
                                  <a:lnTo>
                                    <a:pt x="2233" y="527"/>
                                  </a:lnTo>
                                  <a:lnTo>
                                    <a:pt x="2243" y="527"/>
                                  </a:lnTo>
                                  <a:lnTo>
                                    <a:pt x="2243" y="51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4" name="Freeform 1439"/>
                          <wps:cNvSpPr>
                            <a:spLocks/>
                          </wps:cNvSpPr>
                          <wps:spPr bwMode="auto">
                            <a:xfrm>
                              <a:off x="3162" y="2581"/>
                              <a:ext cx="5712" cy="884"/>
                            </a:xfrm>
                            <a:custGeom>
                              <a:avLst/>
                              <a:gdLst>
                                <a:gd name="T0" fmla="+- 0 5587 3162"/>
                                <a:gd name="T1" fmla="*/ T0 w 5712"/>
                                <a:gd name="T2" fmla="+- 0 3088 2581"/>
                                <a:gd name="T3" fmla="*/ 3088 h 884"/>
                                <a:gd name="T4" fmla="+- 0 5395 3162"/>
                                <a:gd name="T5" fmla="*/ T4 w 5712"/>
                                <a:gd name="T6" fmla="+- 0 3088 2581"/>
                                <a:gd name="T7" fmla="*/ 3088 h 884"/>
                                <a:gd name="T8" fmla="+- 0 5405 3162"/>
                                <a:gd name="T9" fmla="*/ T8 w 5712"/>
                                <a:gd name="T10" fmla="+- 0 3098 2581"/>
                                <a:gd name="T11" fmla="*/ 3098 h 884"/>
                                <a:gd name="T12" fmla="+- 0 5405 3162"/>
                                <a:gd name="T13" fmla="*/ T12 w 5712"/>
                                <a:gd name="T14" fmla="+- 0 3108 2581"/>
                                <a:gd name="T15" fmla="*/ 3108 h 884"/>
                                <a:gd name="T16" fmla="+- 0 5587 3162"/>
                                <a:gd name="T17" fmla="*/ T16 w 5712"/>
                                <a:gd name="T18" fmla="+- 0 3108 2581"/>
                                <a:gd name="T19" fmla="*/ 3108 h 884"/>
                                <a:gd name="T20" fmla="+- 0 5587 3162"/>
                                <a:gd name="T21" fmla="*/ T20 w 5712"/>
                                <a:gd name="T22" fmla="+- 0 3088 2581"/>
                                <a:gd name="T23" fmla="*/ 3088 h 884"/>
                              </a:gdLst>
                              <a:ahLst/>
                              <a:cxnLst>
                                <a:cxn ang="0">
                                  <a:pos x="T1" y="T3"/>
                                </a:cxn>
                                <a:cxn ang="0">
                                  <a:pos x="T5" y="T7"/>
                                </a:cxn>
                                <a:cxn ang="0">
                                  <a:pos x="T9" y="T11"/>
                                </a:cxn>
                                <a:cxn ang="0">
                                  <a:pos x="T13" y="T15"/>
                                </a:cxn>
                                <a:cxn ang="0">
                                  <a:pos x="T17" y="T19"/>
                                </a:cxn>
                                <a:cxn ang="0">
                                  <a:pos x="T21" y="T23"/>
                                </a:cxn>
                              </a:cxnLst>
                              <a:rect l="0" t="0" r="r" b="b"/>
                              <a:pathLst>
                                <a:path w="5712" h="884">
                                  <a:moveTo>
                                    <a:pt x="2425" y="507"/>
                                  </a:moveTo>
                                  <a:lnTo>
                                    <a:pt x="2233" y="507"/>
                                  </a:lnTo>
                                  <a:lnTo>
                                    <a:pt x="2243" y="517"/>
                                  </a:lnTo>
                                  <a:lnTo>
                                    <a:pt x="2243" y="527"/>
                                  </a:lnTo>
                                  <a:lnTo>
                                    <a:pt x="2425" y="527"/>
                                  </a:lnTo>
                                  <a:lnTo>
                                    <a:pt x="2425"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Freeform 1440"/>
                          <wps:cNvSpPr>
                            <a:spLocks/>
                          </wps:cNvSpPr>
                          <wps:spPr bwMode="auto">
                            <a:xfrm>
                              <a:off x="3162" y="2581"/>
                              <a:ext cx="5712" cy="884"/>
                            </a:xfrm>
                            <a:custGeom>
                              <a:avLst/>
                              <a:gdLst>
                                <a:gd name="T0" fmla="+- 0 5611 3162"/>
                                <a:gd name="T1" fmla="*/ T0 w 5712"/>
                                <a:gd name="T2" fmla="+- 0 3074 2581"/>
                                <a:gd name="T3" fmla="*/ 3074 h 884"/>
                                <a:gd name="T4" fmla="+- 0 5602 3162"/>
                                <a:gd name="T5" fmla="*/ T4 w 5712"/>
                                <a:gd name="T6" fmla="+- 0 3084 2581"/>
                                <a:gd name="T7" fmla="*/ 3084 h 884"/>
                                <a:gd name="T8" fmla="+- 0 5597 3162"/>
                                <a:gd name="T9" fmla="*/ T8 w 5712"/>
                                <a:gd name="T10" fmla="+- 0 3084 2581"/>
                                <a:gd name="T11" fmla="*/ 3084 h 884"/>
                                <a:gd name="T12" fmla="+- 0 5592 3162"/>
                                <a:gd name="T13" fmla="*/ T12 w 5712"/>
                                <a:gd name="T14" fmla="+- 0 3088 2581"/>
                                <a:gd name="T15" fmla="*/ 3088 h 884"/>
                                <a:gd name="T16" fmla="+- 0 5587 3162"/>
                                <a:gd name="T17" fmla="*/ T16 w 5712"/>
                                <a:gd name="T18" fmla="+- 0 3088 2581"/>
                                <a:gd name="T19" fmla="*/ 3088 h 884"/>
                                <a:gd name="T20" fmla="+- 0 5587 3162"/>
                                <a:gd name="T21" fmla="*/ T20 w 5712"/>
                                <a:gd name="T22" fmla="+- 0 3108 2581"/>
                                <a:gd name="T23" fmla="*/ 3108 h 884"/>
                                <a:gd name="T24" fmla="+- 0 5602 3162"/>
                                <a:gd name="T25" fmla="*/ T24 w 5712"/>
                                <a:gd name="T26" fmla="+- 0 3108 2581"/>
                                <a:gd name="T27" fmla="*/ 3108 h 884"/>
                                <a:gd name="T28" fmla="+- 0 5606 3162"/>
                                <a:gd name="T29" fmla="*/ T28 w 5712"/>
                                <a:gd name="T30" fmla="+- 0 3103 2581"/>
                                <a:gd name="T31" fmla="*/ 3103 h 884"/>
                                <a:gd name="T32" fmla="+- 0 5611 3162"/>
                                <a:gd name="T33" fmla="*/ T32 w 5712"/>
                                <a:gd name="T34" fmla="+- 0 3103 2581"/>
                                <a:gd name="T35" fmla="*/ 3103 h 884"/>
                                <a:gd name="T36" fmla="+- 0 5626 3162"/>
                                <a:gd name="T37" fmla="*/ T36 w 5712"/>
                                <a:gd name="T38" fmla="+- 0 3088 2581"/>
                                <a:gd name="T39" fmla="*/ 3088 h 884"/>
                                <a:gd name="T40" fmla="+- 0 5611 3162"/>
                                <a:gd name="T41" fmla="*/ T40 w 5712"/>
                                <a:gd name="T42" fmla="+- 0 3074 2581"/>
                                <a:gd name="T43" fmla="*/ 307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712" h="884">
                                  <a:moveTo>
                                    <a:pt x="2449" y="493"/>
                                  </a:moveTo>
                                  <a:lnTo>
                                    <a:pt x="2440" y="503"/>
                                  </a:lnTo>
                                  <a:lnTo>
                                    <a:pt x="2435" y="503"/>
                                  </a:lnTo>
                                  <a:lnTo>
                                    <a:pt x="2430" y="507"/>
                                  </a:lnTo>
                                  <a:lnTo>
                                    <a:pt x="2425" y="507"/>
                                  </a:lnTo>
                                  <a:lnTo>
                                    <a:pt x="2425" y="527"/>
                                  </a:lnTo>
                                  <a:lnTo>
                                    <a:pt x="2440" y="527"/>
                                  </a:lnTo>
                                  <a:lnTo>
                                    <a:pt x="2444" y="522"/>
                                  </a:lnTo>
                                  <a:lnTo>
                                    <a:pt x="2449" y="522"/>
                                  </a:lnTo>
                                  <a:lnTo>
                                    <a:pt x="2464" y="507"/>
                                  </a:lnTo>
                                  <a:lnTo>
                                    <a:pt x="2449" y="493"/>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Freeform 1441"/>
                          <wps:cNvSpPr>
                            <a:spLocks/>
                          </wps:cNvSpPr>
                          <wps:spPr bwMode="auto">
                            <a:xfrm>
                              <a:off x="3162" y="2581"/>
                              <a:ext cx="5712" cy="884"/>
                            </a:xfrm>
                            <a:custGeom>
                              <a:avLst/>
                              <a:gdLst>
                                <a:gd name="T0" fmla="+- 0 6622 3162"/>
                                <a:gd name="T1" fmla="*/ T0 w 5712"/>
                                <a:gd name="T2" fmla="+- 0 3074 2581"/>
                                <a:gd name="T3" fmla="*/ 3074 h 884"/>
                                <a:gd name="T4" fmla="+- 0 6607 3162"/>
                                <a:gd name="T5" fmla="*/ T4 w 5712"/>
                                <a:gd name="T6" fmla="+- 0 3088 2581"/>
                                <a:gd name="T7" fmla="*/ 3088 h 884"/>
                                <a:gd name="T8" fmla="+- 0 6617 3162"/>
                                <a:gd name="T9" fmla="*/ T8 w 5712"/>
                                <a:gd name="T10" fmla="+- 0 3093 2581"/>
                                <a:gd name="T11" fmla="*/ 3093 h 884"/>
                                <a:gd name="T12" fmla="+- 0 6622 3162"/>
                                <a:gd name="T13" fmla="*/ T12 w 5712"/>
                                <a:gd name="T14" fmla="+- 0 3103 2581"/>
                                <a:gd name="T15" fmla="*/ 3103 h 884"/>
                                <a:gd name="T16" fmla="+- 0 6631 3162"/>
                                <a:gd name="T17" fmla="*/ T16 w 5712"/>
                                <a:gd name="T18" fmla="+- 0 3103 2581"/>
                                <a:gd name="T19" fmla="*/ 3103 h 884"/>
                                <a:gd name="T20" fmla="+- 0 6641 3162"/>
                                <a:gd name="T21" fmla="*/ T20 w 5712"/>
                                <a:gd name="T22" fmla="+- 0 3108 2581"/>
                                <a:gd name="T23" fmla="*/ 3108 h 884"/>
                                <a:gd name="T24" fmla="+- 0 6646 3162"/>
                                <a:gd name="T25" fmla="*/ T24 w 5712"/>
                                <a:gd name="T26" fmla="+- 0 3108 2581"/>
                                <a:gd name="T27" fmla="*/ 3108 h 884"/>
                                <a:gd name="T28" fmla="+- 0 6646 3162"/>
                                <a:gd name="T29" fmla="*/ T28 w 5712"/>
                                <a:gd name="T30" fmla="+- 0 3088 2581"/>
                                <a:gd name="T31" fmla="*/ 3088 h 884"/>
                                <a:gd name="T32" fmla="+- 0 6641 3162"/>
                                <a:gd name="T33" fmla="*/ T32 w 5712"/>
                                <a:gd name="T34" fmla="+- 0 3088 2581"/>
                                <a:gd name="T35" fmla="*/ 3088 h 884"/>
                                <a:gd name="T36" fmla="+- 0 6636 3162"/>
                                <a:gd name="T37" fmla="*/ T36 w 5712"/>
                                <a:gd name="T38" fmla="+- 0 3084 2581"/>
                                <a:gd name="T39" fmla="*/ 3084 h 884"/>
                                <a:gd name="T40" fmla="+- 0 6626 3162"/>
                                <a:gd name="T41" fmla="*/ T40 w 5712"/>
                                <a:gd name="T42" fmla="+- 0 3079 2581"/>
                                <a:gd name="T43" fmla="*/ 3079 h 884"/>
                                <a:gd name="T44" fmla="+- 0 6622 3162"/>
                                <a:gd name="T45" fmla="*/ T44 w 5712"/>
                                <a:gd name="T46" fmla="+- 0 3074 2581"/>
                                <a:gd name="T47" fmla="*/ 3074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712" h="884">
                                  <a:moveTo>
                                    <a:pt x="3460" y="493"/>
                                  </a:moveTo>
                                  <a:lnTo>
                                    <a:pt x="3445" y="507"/>
                                  </a:lnTo>
                                  <a:lnTo>
                                    <a:pt x="3455" y="512"/>
                                  </a:lnTo>
                                  <a:lnTo>
                                    <a:pt x="3460" y="522"/>
                                  </a:lnTo>
                                  <a:lnTo>
                                    <a:pt x="3469" y="522"/>
                                  </a:lnTo>
                                  <a:lnTo>
                                    <a:pt x="3479" y="527"/>
                                  </a:lnTo>
                                  <a:lnTo>
                                    <a:pt x="3484" y="527"/>
                                  </a:lnTo>
                                  <a:lnTo>
                                    <a:pt x="3484" y="507"/>
                                  </a:lnTo>
                                  <a:lnTo>
                                    <a:pt x="3479" y="507"/>
                                  </a:lnTo>
                                  <a:lnTo>
                                    <a:pt x="3474" y="503"/>
                                  </a:lnTo>
                                  <a:lnTo>
                                    <a:pt x="3464" y="498"/>
                                  </a:lnTo>
                                  <a:lnTo>
                                    <a:pt x="3460" y="493"/>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Freeform 1442"/>
                          <wps:cNvSpPr>
                            <a:spLocks/>
                          </wps:cNvSpPr>
                          <wps:spPr bwMode="auto">
                            <a:xfrm>
                              <a:off x="3162" y="2581"/>
                              <a:ext cx="5712" cy="884"/>
                            </a:xfrm>
                            <a:custGeom>
                              <a:avLst/>
                              <a:gdLst>
                                <a:gd name="T0" fmla="+- 0 6815 3162"/>
                                <a:gd name="T1" fmla="*/ T0 w 5712"/>
                                <a:gd name="T2" fmla="+- 0 3088 2581"/>
                                <a:gd name="T3" fmla="*/ 3088 h 884"/>
                                <a:gd name="T4" fmla="+- 0 6646 3162"/>
                                <a:gd name="T5" fmla="*/ T4 w 5712"/>
                                <a:gd name="T6" fmla="+- 0 3088 2581"/>
                                <a:gd name="T7" fmla="*/ 3088 h 884"/>
                                <a:gd name="T8" fmla="+- 0 6646 3162"/>
                                <a:gd name="T9" fmla="*/ T8 w 5712"/>
                                <a:gd name="T10" fmla="+- 0 3108 2581"/>
                                <a:gd name="T11" fmla="*/ 3108 h 884"/>
                                <a:gd name="T12" fmla="+- 0 6805 3162"/>
                                <a:gd name="T13" fmla="*/ T12 w 5712"/>
                                <a:gd name="T14" fmla="+- 0 3108 2581"/>
                                <a:gd name="T15" fmla="*/ 3108 h 884"/>
                                <a:gd name="T16" fmla="+- 0 6805 3162"/>
                                <a:gd name="T17" fmla="*/ T16 w 5712"/>
                                <a:gd name="T18" fmla="+- 0 3098 2581"/>
                                <a:gd name="T19" fmla="*/ 3098 h 884"/>
                                <a:gd name="T20" fmla="+- 0 6824 3162"/>
                                <a:gd name="T21" fmla="*/ T20 w 5712"/>
                                <a:gd name="T22" fmla="+- 0 3098 2581"/>
                                <a:gd name="T23" fmla="*/ 3098 h 884"/>
                                <a:gd name="T24" fmla="+- 0 6815 3162"/>
                                <a:gd name="T25" fmla="*/ T24 w 5712"/>
                                <a:gd name="T26" fmla="+- 0 3088 2581"/>
                                <a:gd name="T27" fmla="*/ 3088 h 884"/>
                              </a:gdLst>
                              <a:ahLst/>
                              <a:cxnLst>
                                <a:cxn ang="0">
                                  <a:pos x="T1" y="T3"/>
                                </a:cxn>
                                <a:cxn ang="0">
                                  <a:pos x="T5" y="T7"/>
                                </a:cxn>
                                <a:cxn ang="0">
                                  <a:pos x="T9" y="T11"/>
                                </a:cxn>
                                <a:cxn ang="0">
                                  <a:pos x="T13" y="T15"/>
                                </a:cxn>
                                <a:cxn ang="0">
                                  <a:pos x="T17" y="T19"/>
                                </a:cxn>
                                <a:cxn ang="0">
                                  <a:pos x="T21" y="T23"/>
                                </a:cxn>
                                <a:cxn ang="0">
                                  <a:pos x="T25" y="T27"/>
                                </a:cxn>
                              </a:cxnLst>
                              <a:rect l="0" t="0" r="r" b="b"/>
                              <a:pathLst>
                                <a:path w="5712" h="884">
                                  <a:moveTo>
                                    <a:pt x="3653" y="507"/>
                                  </a:moveTo>
                                  <a:lnTo>
                                    <a:pt x="3484" y="507"/>
                                  </a:lnTo>
                                  <a:lnTo>
                                    <a:pt x="3484" y="527"/>
                                  </a:lnTo>
                                  <a:lnTo>
                                    <a:pt x="3643" y="527"/>
                                  </a:lnTo>
                                  <a:lnTo>
                                    <a:pt x="3643" y="517"/>
                                  </a:lnTo>
                                  <a:lnTo>
                                    <a:pt x="3662" y="517"/>
                                  </a:lnTo>
                                  <a:lnTo>
                                    <a:pt x="365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 name="Freeform 1443"/>
                          <wps:cNvSpPr>
                            <a:spLocks/>
                          </wps:cNvSpPr>
                          <wps:spPr bwMode="auto">
                            <a:xfrm>
                              <a:off x="3162" y="2581"/>
                              <a:ext cx="5712" cy="884"/>
                            </a:xfrm>
                            <a:custGeom>
                              <a:avLst/>
                              <a:gdLst>
                                <a:gd name="T0" fmla="+- 0 6824 3162"/>
                                <a:gd name="T1" fmla="*/ T0 w 5712"/>
                                <a:gd name="T2" fmla="+- 0 3098 2581"/>
                                <a:gd name="T3" fmla="*/ 3098 h 884"/>
                                <a:gd name="T4" fmla="+- 0 6815 3162"/>
                                <a:gd name="T5" fmla="*/ T4 w 5712"/>
                                <a:gd name="T6" fmla="+- 0 3108 2581"/>
                                <a:gd name="T7" fmla="*/ 3108 h 884"/>
                                <a:gd name="T8" fmla="+- 0 6824 3162"/>
                                <a:gd name="T9" fmla="*/ T8 w 5712"/>
                                <a:gd name="T10" fmla="+- 0 3108 2581"/>
                                <a:gd name="T11" fmla="*/ 3108 h 884"/>
                                <a:gd name="T12" fmla="+- 0 6824 3162"/>
                                <a:gd name="T13" fmla="*/ T12 w 5712"/>
                                <a:gd name="T14" fmla="+- 0 3098 2581"/>
                                <a:gd name="T15" fmla="*/ 3098 h 884"/>
                              </a:gdLst>
                              <a:ahLst/>
                              <a:cxnLst>
                                <a:cxn ang="0">
                                  <a:pos x="T1" y="T3"/>
                                </a:cxn>
                                <a:cxn ang="0">
                                  <a:pos x="T5" y="T7"/>
                                </a:cxn>
                                <a:cxn ang="0">
                                  <a:pos x="T9" y="T11"/>
                                </a:cxn>
                                <a:cxn ang="0">
                                  <a:pos x="T13" y="T15"/>
                                </a:cxn>
                              </a:cxnLst>
                              <a:rect l="0" t="0" r="r" b="b"/>
                              <a:pathLst>
                                <a:path w="5712" h="884">
                                  <a:moveTo>
                                    <a:pt x="3662" y="517"/>
                                  </a:moveTo>
                                  <a:lnTo>
                                    <a:pt x="3653" y="527"/>
                                  </a:lnTo>
                                  <a:lnTo>
                                    <a:pt x="3662" y="527"/>
                                  </a:lnTo>
                                  <a:lnTo>
                                    <a:pt x="3662" y="51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1444"/>
                          <wps:cNvSpPr>
                            <a:spLocks/>
                          </wps:cNvSpPr>
                          <wps:spPr bwMode="auto">
                            <a:xfrm>
                              <a:off x="3162" y="2581"/>
                              <a:ext cx="5712" cy="884"/>
                            </a:xfrm>
                            <a:custGeom>
                              <a:avLst/>
                              <a:gdLst>
                                <a:gd name="T0" fmla="+- 0 5395 3162"/>
                                <a:gd name="T1" fmla="*/ T0 w 5712"/>
                                <a:gd name="T2" fmla="+- 0 3088 2581"/>
                                <a:gd name="T3" fmla="*/ 3088 h 884"/>
                                <a:gd name="T4" fmla="+- 0 5381 3162"/>
                                <a:gd name="T5" fmla="*/ T4 w 5712"/>
                                <a:gd name="T6" fmla="+- 0 3088 2581"/>
                                <a:gd name="T7" fmla="*/ 3088 h 884"/>
                                <a:gd name="T8" fmla="+- 0 5381 3162"/>
                                <a:gd name="T9" fmla="*/ T8 w 5712"/>
                                <a:gd name="T10" fmla="+- 0 3098 2581"/>
                                <a:gd name="T11" fmla="*/ 3098 h 884"/>
                                <a:gd name="T12" fmla="+- 0 5395 3162"/>
                                <a:gd name="T13" fmla="*/ T12 w 5712"/>
                                <a:gd name="T14" fmla="+- 0 3088 2581"/>
                                <a:gd name="T15" fmla="*/ 3088 h 884"/>
                              </a:gdLst>
                              <a:ahLst/>
                              <a:cxnLst>
                                <a:cxn ang="0">
                                  <a:pos x="T1" y="T3"/>
                                </a:cxn>
                                <a:cxn ang="0">
                                  <a:pos x="T5" y="T7"/>
                                </a:cxn>
                                <a:cxn ang="0">
                                  <a:pos x="T9" y="T11"/>
                                </a:cxn>
                                <a:cxn ang="0">
                                  <a:pos x="T13" y="T15"/>
                                </a:cxn>
                              </a:cxnLst>
                              <a:rect l="0" t="0" r="r" b="b"/>
                              <a:pathLst>
                                <a:path w="5712" h="884">
                                  <a:moveTo>
                                    <a:pt x="2233" y="507"/>
                                  </a:moveTo>
                                  <a:lnTo>
                                    <a:pt x="2219" y="507"/>
                                  </a:lnTo>
                                  <a:lnTo>
                                    <a:pt x="2219" y="517"/>
                                  </a:lnTo>
                                  <a:lnTo>
                                    <a:pt x="2233"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1445"/>
                          <wps:cNvSpPr>
                            <a:spLocks/>
                          </wps:cNvSpPr>
                          <wps:spPr bwMode="auto">
                            <a:xfrm>
                              <a:off x="3162" y="2581"/>
                              <a:ext cx="5712" cy="884"/>
                            </a:xfrm>
                            <a:custGeom>
                              <a:avLst/>
                              <a:gdLst>
                                <a:gd name="T0" fmla="+- 0 6824 3162"/>
                                <a:gd name="T1" fmla="*/ T0 w 5712"/>
                                <a:gd name="T2" fmla="+- 0 3088 2581"/>
                                <a:gd name="T3" fmla="*/ 3088 h 884"/>
                                <a:gd name="T4" fmla="+- 0 6815 3162"/>
                                <a:gd name="T5" fmla="*/ T4 w 5712"/>
                                <a:gd name="T6" fmla="+- 0 3088 2581"/>
                                <a:gd name="T7" fmla="*/ 3088 h 884"/>
                                <a:gd name="T8" fmla="+- 0 6824 3162"/>
                                <a:gd name="T9" fmla="*/ T8 w 5712"/>
                                <a:gd name="T10" fmla="+- 0 3098 2581"/>
                                <a:gd name="T11" fmla="*/ 3098 h 884"/>
                                <a:gd name="T12" fmla="+- 0 6824 3162"/>
                                <a:gd name="T13" fmla="*/ T12 w 5712"/>
                                <a:gd name="T14" fmla="+- 0 3088 2581"/>
                                <a:gd name="T15" fmla="*/ 3088 h 884"/>
                              </a:gdLst>
                              <a:ahLst/>
                              <a:cxnLst>
                                <a:cxn ang="0">
                                  <a:pos x="T1" y="T3"/>
                                </a:cxn>
                                <a:cxn ang="0">
                                  <a:pos x="T5" y="T7"/>
                                </a:cxn>
                                <a:cxn ang="0">
                                  <a:pos x="T9" y="T11"/>
                                </a:cxn>
                                <a:cxn ang="0">
                                  <a:pos x="T13" y="T15"/>
                                </a:cxn>
                              </a:cxnLst>
                              <a:rect l="0" t="0" r="r" b="b"/>
                              <a:pathLst>
                                <a:path w="5712" h="884">
                                  <a:moveTo>
                                    <a:pt x="3662" y="507"/>
                                  </a:moveTo>
                                  <a:lnTo>
                                    <a:pt x="3653" y="507"/>
                                  </a:lnTo>
                                  <a:lnTo>
                                    <a:pt x="3662" y="517"/>
                                  </a:lnTo>
                                  <a:lnTo>
                                    <a:pt x="3662" y="507"/>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Freeform 1446"/>
                          <wps:cNvSpPr>
                            <a:spLocks/>
                          </wps:cNvSpPr>
                          <wps:spPr bwMode="auto">
                            <a:xfrm>
                              <a:off x="3162" y="2581"/>
                              <a:ext cx="5712" cy="884"/>
                            </a:xfrm>
                            <a:custGeom>
                              <a:avLst/>
                              <a:gdLst>
                                <a:gd name="T0" fmla="+- 0 5626 3162"/>
                                <a:gd name="T1" fmla="*/ T0 w 5712"/>
                                <a:gd name="T2" fmla="+- 0 2895 2581"/>
                                <a:gd name="T3" fmla="*/ 2895 h 884"/>
                                <a:gd name="T4" fmla="+- 0 5611 3162"/>
                                <a:gd name="T5" fmla="*/ T4 w 5712"/>
                                <a:gd name="T6" fmla="+- 0 2910 2581"/>
                                <a:gd name="T7" fmla="*/ 2910 h 884"/>
                                <a:gd name="T8" fmla="+- 0 5621 3162"/>
                                <a:gd name="T9" fmla="*/ T8 w 5712"/>
                                <a:gd name="T10" fmla="+- 0 2919 2581"/>
                                <a:gd name="T11" fmla="*/ 2919 h 884"/>
                                <a:gd name="T12" fmla="+- 0 5621 3162"/>
                                <a:gd name="T13" fmla="*/ T12 w 5712"/>
                                <a:gd name="T14" fmla="+- 0 2924 2581"/>
                                <a:gd name="T15" fmla="*/ 2924 h 884"/>
                                <a:gd name="T16" fmla="+- 0 5626 3162"/>
                                <a:gd name="T17" fmla="*/ T16 w 5712"/>
                                <a:gd name="T18" fmla="+- 0 2924 2581"/>
                                <a:gd name="T19" fmla="*/ 2924 h 884"/>
                                <a:gd name="T20" fmla="+- 0 5626 3162"/>
                                <a:gd name="T21" fmla="*/ T20 w 5712"/>
                                <a:gd name="T22" fmla="+- 0 3060 2581"/>
                                <a:gd name="T23" fmla="*/ 3060 h 884"/>
                                <a:gd name="T24" fmla="+- 0 5621 3162"/>
                                <a:gd name="T25" fmla="*/ T24 w 5712"/>
                                <a:gd name="T26" fmla="+- 0 3060 2581"/>
                                <a:gd name="T27" fmla="*/ 3060 h 884"/>
                                <a:gd name="T28" fmla="+- 0 5621 3162"/>
                                <a:gd name="T29" fmla="*/ T28 w 5712"/>
                                <a:gd name="T30" fmla="+- 0 3064 2581"/>
                                <a:gd name="T31" fmla="*/ 3064 h 884"/>
                                <a:gd name="T32" fmla="+- 0 5611 3162"/>
                                <a:gd name="T33" fmla="*/ T32 w 5712"/>
                                <a:gd name="T34" fmla="+- 0 3074 2581"/>
                                <a:gd name="T35" fmla="*/ 3074 h 884"/>
                                <a:gd name="T36" fmla="+- 0 5626 3162"/>
                                <a:gd name="T37" fmla="*/ T36 w 5712"/>
                                <a:gd name="T38" fmla="+- 0 3088 2581"/>
                                <a:gd name="T39" fmla="*/ 3088 h 884"/>
                                <a:gd name="T40" fmla="+- 0 5640 3162"/>
                                <a:gd name="T41" fmla="*/ T40 w 5712"/>
                                <a:gd name="T42" fmla="+- 0 3074 2581"/>
                                <a:gd name="T43" fmla="*/ 3074 h 884"/>
                                <a:gd name="T44" fmla="+- 0 5640 3162"/>
                                <a:gd name="T45" fmla="*/ T44 w 5712"/>
                                <a:gd name="T46" fmla="+- 0 3069 2581"/>
                                <a:gd name="T47" fmla="*/ 3069 h 884"/>
                                <a:gd name="T48" fmla="+- 0 5645 3162"/>
                                <a:gd name="T49" fmla="*/ T48 w 5712"/>
                                <a:gd name="T50" fmla="+- 0 3064 2581"/>
                                <a:gd name="T51" fmla="*/ 3064 h 884"/>
                                <a:gd name="T52" fmla="+- 0 5645 3162"/>
                                <a:gd name="T53" fmla="*/ T52 w 5712"/>
                                <a:gd name="T54" fmla="+- 0 2919 2581"/>
                                <a:gd name="T55" fmla="*/ 2919 h 884"/>
                                <a:gd name="T56" fmla="+- 0 5640 3162"/>
                                <a:gd name="T57" fmla="*/ T56 w 5712"/>
                                <a:gd name="T58" fmla="+- 0 2914 2581"/>
                                <a:gd name="T59" fmla="*/ 2914 h 884"/>
                                <a:gd name="T60" fmla="+- 0 5640 3162"/>
                                <a:gd name="T61" fmla="*/ T60 w 5712"/>
                                <a:gd name="T62" fmla="+- 0 2910 2581"/>
                                <a:gd name="T63" fmla="*/ 2910 h 884"/>
                                <a:gd name="T64" fmla="+- 0 5626 3162"/>
                                <a:gd name="T65" fmla="*/ T64 w 5712"/>
                                <a:gd name="T66" fmla="+- 0 2895 2581"/>
                                <a:gd name="T67" fmla="*/ 2895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12" h="884">
                                  <a:moveTo>
                                    <a:pt x="2464" y="314"/>
                                  </a:moveTo>
                                  <a:lnTo>
                                    <a:pt x="2449" y="329"/>
                                  </a:lnTo>
                                  <a:lnTo>
                                    <a:pt x="2459" y="338"/>
                                  </a:lnTo>
                                  <a:lnTo>
                                    <a:pt x="2459" y="343"/>
                                  </a:lnTo>
                                  <a:lnTo>
                                    <a:pt x="2464" y="343"/>
                                  </a:lnTo>
                                  <a:lnTo>
                                    <a:pt x="2464" y="479"/>
                                  </a:lnTo>
                                  <a:lnTo>
                                    <a:pt x="2459" y="479"/>
                                  </a:lnTo>
                                  <a:lnTo>
                                    <a:pt x="2459" y="483"/>
                                  </a:lnTo>
                                  <a:lnTo>
                                    <a:pt x="2449" y="493"/>
                                  </a:lnTo>
                                  <a:lnTo>
                                    <a:pt x="2464" y="507"/>
                                  </a:lnTo>
                                  <a:lnTo>
                                    <a:pt x="2478" y="493"/>
                                  </a:lnTo>
                                  <a:lnTo>
                                    <a:pt x="2478" y="488"/>
                                  </a:lnTo>
                                  <a:lnTo>
                                    <a:pt x="2483" y="483"/>
                                  </a:lnTo>
                                  <a:lnTo>
                                    <a:pt x="2483" y="338"/>
                                  </a:lnTo>
                                  <a:lnTo>
                                    <a:pt x="2478" y="333"/>
                                  </a:lnTo>
                                  <a:lnTo>
                                    <a:pt x="2478" y="329"/>
                                  </a:lnTo>
                                  <a:lnTo>
                                    <a:pt x="2464" y="3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3" name="Freeform 1447"/>
                          <wps:cNvSpPr>
                            <a:spLocks/>
                          </wps:cNvSpPr>
                          <wps:spPr bwMode="auto">
                            <a:xfrm>
                              <a:off x="3162" y="2581"/>
                              <a:ext cx="5712" cy="884"/>
                            </a:xfrm>
                            <a:custGeom>
                              <a:avLst/>
                              <a:gdLst>
                                <a:gd name="T0" fmla="+- 0 6607 3162"/>
                                <a:gd name="T1" fmla="*/ T0 w 5712"/>
                                <a:gd name="T2" fmla="+- 0 2895 2581"/>
                                <a:gd name="T3" fmla="*/ 2895 h 884"/>
                                <a:gd name="T4" fmla="+- 0 6602 3162"/>
                                <a:gd name="T5" fmla="*/ T4 w 5712"/>
                                <a:gd name="T6" fmla="+- 0 2900 2581"/>
                                <a:gd name="T7" fmla="*/ 2900 h 884"/>
                                <a:gd name="T8" fmla="+- 0 6598 3162"/>
                                <a:gd name="T9" fmla="*/ T8 w 5712"/>
                                <a:gd name="T10" fmla="+- 0 2910 2581"/>
                                <a:gd name="T11" fmla="*/ 2910 h 884"/>
                                <a:gd name="T12" fmla="+- 0 6593 3162"/>
                                <a:gd name="T13" fmla="*/ T12 w 5712"/>
                                <a:gd name="T14" fmla="+- 0 2914 2581"/>
                                <a:gd name="T15" fmla="*/ 2914 h 884"/>
                                <a:gd name="T16" fmla="+- 0 6593 3162"/>
                                <a:gd name="T17" fmla="*/ T16 w 5712"/>
                                <a:gd name="T18" fmla="+- 0 2924 2581"/>
                                <a:gd name="T19" fmla="*/ 2924 h 884"/>
                                <a:gd name="T20" fmla="+- 0 6588 3162"/>
                                <a:gd name="T21" fmla="*/ T20 w 5712"/>
                                <a:gd name="T22" fmla="+- 0 2934 2581"/>
                                <a:gd name="T23" fmla="*/ 2934 h 884"/>
                                <a:gd name="T24" fmla="+- 0 6588 3162"/>
                                <a:gd name="T25" fmla="*/ T24 w 5712"/>
                                <a:gd name="T26" fmla="+- 0 3049 2581"/>
                                <a:gd name="T27" fmla="*/ 3049 h 884"/>
                                <a:gd name="T28" fmla="+- 0 6593 3162"/>
                                <a:gd name="T29" fmla="*/ T28 w 5712"/>
                                <a:gd name="T30" fmla="+- 0 3060 2581"/>
                                <a:gd name="T31" fmla="*/ 3060 h 884"/>
                                <a:gd name="T32" fmla="+- 0 6593 3162"/>
                                <a:gd name="T33" fmla="*/ T32 w 5712"/>
                                <a:gd name="T34" fmla="+- 0 3069 2581"/>
                                <a:gd name="T35" fmla="*/ 3069 h 884"/>
                                <a:gd name="T36" fmla="+- 0 6598 3162"/>
                                <a:gd name="T37" fmla="*/ T36 w 5712"/>
                                <a:gd name="T38" fmla="+- 0 3074 2581"/>
                                <a:gd name="T39" fmla="*/ 3074 h 884"/>
                                <a:gd name="T40" fmla="+- 0 6602 3162"/>
                                <a:gd name="T41" fmla="*/ T40 w 5712"/>
                                <a:gd name="T42" fmla="+- 0 3084 2581"/>
                                <a:gd name="T43" fmla="*/ 3084 h 884"/>
                                <a:gd name="T44" fmla="+- 0 6607 3162"/>
                                <a:gd name="T45" fmla="*/ T44 w 5712"/>
                                <a:gd name="T46" fmla="+- 0 3088 2581"/>
                                <a:gd name="T47" fmla="*/ 3088 h 884"/>
                                <a:gd name="T48" fmla="+- 0 6622 3162"/>
                                <a:gd name="T49" fmla="*/ T48 w 5712"/>
                                <a:gd name="T50" fmla="+- 0 3074 2581"/>
                                <a:gd name="T51" fmla="*/ 3074 h 884"/>
                                <a:gd name="T52" fmla="+- 0 6612 3162"/>
                                <a:gd name="T53" fmla="*/ T52 w 5712"/>
                                <a:gd name="T54" fmla="+- 0 3064 2581"/>
                                <a:gd name="T55" fmla="*/ 3064 h 884"/>
                                <a:gd name="T56" fmla="+- 0 6612 3162"/>
                                <a:gd name="T57" fmla="*/ T56 w 5712"/>
                                <a:gd name="T58" fmla="+- 0 2919 2581"/>
                                <a:gd name="T59" fmla="*/ 2919 h 884"/>
                                <a:gd name="T60" fmla="+- 0 6622 3162"/>
                                <a:gd name="T61" fmla="*/ T60 w 5712"/>
                                <a:gd name="T62" fmla="+- 0 2910 2581"/>
                                <a:gd name="T63" fmla="*/ 2910 h 884"/>
                                <a:gd name="T64" fmla="+- 0 6607 3162"/>
                                <a:gd name="T65" fmla="*/ T64 w 5712"/>
                                <a:gd name="T66" fmla="+- 0 2895 2581"/>
                                <a:gd name="T67" fmla="*/ 2895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712" h="884">
                                  <a:moveTo>
                                    <a:pt x="3445" y="314"/>
                                  </a:moveTo>
                                  <a:lnTo>
                                    <a:pt x="3440" y="319"/>
                                  </a:lnTo>
                                  <a:lnTo>
                                    <a:pt x="3436" y="329"/>
                                  </a:lnTo>
                                  <a:lnTo>
                                    <a:pt x="3431" y="333"/>
                                  </a:lnTo>
                                  <a:lnTo>
                                    <a:pt x="3431" y="343"/>
                                  </a:lnTo>
                                  <a:lnTo>
                                    <a:pt x="3426" y="353"/>
                                  </a:lnTo>
                                  <a:lnTo>
                                    <a:pt x="3426" y="468"/>
                                  </a:lnTo>
                                  <a:lnTo>
                                    <a:pt x="3431" y="479"/>
                                  </a:lnTo>
                                  <a:lnTo>
                                    <a:pt x="3431" y="488"/>
                                  </a:lnTo>
                                  <a:lnTo>
                                    <a:pt x="3436" y="493"/>
                                  </a:lnTo>
                                  <a:lnTo>
                                    <a:pt x="3440" y="503"/>
                                  </a:lnTo>
                                  <a:lnTo>
                                    <a:pt x="3445" y="507"/>
                                  </a:lnTo>
                                  <a:lnTo>
                                    <a:pt x="3460" y="493"/>
                                  </a:lnTo>
                                  <a:lnTo>
                                    <a:pt x="3450" y="483"/>
                                  </a:lnTo>
                                  <a:lnTo>
                                    <a:pt x="3450" y="338"/>
                                  </a:lnTo>
                                  <a:lnTo>
                                    <a:pt x="3460" y="329"/>
                                  </a:lnTo>
                                  <a:lnTo>
                                    <a:pt x="3445" y="314"/>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1448"/>
                          <wps:cNvSpPr>
                            <a:spLocks/>
                          </wps:cNvSpPr>
                          <wps:spPr bwMode="auto">
                            <a:xfrm>
                              <a:off x="3162" y="2581"/>
                              <a:ext cx="5712" cy="884"/>
                            </a:xfrm>
                            <a:custGeom>
                              <a:avLst/>
                              <a:gdLst>
                                <a:gd name="T0" fmla="+- 0 5602 3162"/>
                                <a:gd name="T1" fmla="*/ T0 w 5712"/>
                                <a:gd name="T2" fmla="+- 0 2881 2581"/>
                                <a:gd name="T3" fmla="*/ 2881 h 884"/>
                                <a:gd name="T4" fmla="+- 0 5592 3162"/>
                                <a:gd name="T5" fmla="*/ T4 w 5712"/>
                                <a:gd name="T6" fmla="+- 0 2881 2581"/>
                                <a:gd name="T7" fmla="*/ 2881 h 884"/>
                                <a:gd name="T8" fmla="+- 0 5592 3162"/>
                                <a:gd name="T9" fmla="*/ T8 w 5712"/>
                                <a:gd name="T10" fmla="+- 0 2900 2581"/>
                                <a:gd name="T11" fmla="*/ 2900 h 884"/>
                                <a:gd name="T12" fmla="+- 0 5602 3162"/>
                                <a:gd name="T13" fmla="*/ T12 w 5712"/>
                                <a:gd name="T14" fmla="+- 0 2900 2581"/>
                                <a:gd name="T15" fmla="*/ 2900 h 884"/>
                                <a:gd name="T16" fmla="+- 0 5606 3162"/>
                                <a:gd name="T17" fmla="*/ T16 w 5712"/>
                                <a:gd name="T18" fmla="+- 0 2905 2581"/>
                                <a:gd name="T19" fmla="*/ 2905 h 884"/>
                                <a:gd name="T20" fmla="+- 0 5611 3162"/>
                                <a:gd name="T21" fmla="*/ T20 w 5712"/>
                                <a:gd name="T22" fmla="+- 0 2905 2581"/>
                                <a:gd name="T23" fmla="*/ 2905 h 884"/>
                                <a:gd name="T24" fmla="+- 0 5611 3162"/>
                                <a:gd name="T25" fmla="*/ T24 w 5712"/>
                                <a:gd name="T26" fmla="+- 0 2910 2581"/>
                                <a:gd name="T27" fmla="*/ 2910 h 884"/>
                                <a:gd name="T28" fmla="+- 0 5626 3162"/>
                                <a:gd name="T29" fmla="*/ T28 w 5712"/>
                                <a:gd name="T30" fmla="+- 0 2895 2581"/>
                                <a:gd name="T31" fmla="*/ 2895 h 884"/>
                                <a:gd name="T32" fmla="+- 0 5621 3162"/>
                                <a:gd name="T33" fmla="*/ T32 w 5712"/>
                                <a:gd name="T34" fmla="+- 0 2890 2581"/>
                                <a:gd name="T35" fmla="*/ 2890 h 884"/>
                                <a:gd name="T36" fmla="+- 0 5616 3162"/>
                                <a:gd name="T37" fmla="*/ T36 w 5712"/>
                                <a:gd name="T38" fmla="+- 0 2890 2581"/>
                                <a:gd name="T39" fmla="*/ 2890 h 884"/>
                                <a:gd name="T40" fmla="+- 0 5611 3162"/>
                                <a:gd name="T41" fmla="*/ T40 w 5712"/>
                                <a:gd name="T42" fmla="+- 0 2886 2581"/>
                                <a:gd name="T43" fmla="*/ 2886 h 884"/>
                                <a:gd name="T44" fmla="+- 0 5606 3162"/>
                                <a:gd name="T45" fmla="*/ T44 w 5712"/>
                                <a:gd name="T46" fmla="+- 0 2886 2581"/>
                                <a:gd name="T47" fmla="*/ 2886 h 884"/>
                                <a:gd name="T48" fmla="+- 0 5602 3162"/>
                                <a:gd name="T49" fmla="*/ T48 w 5712"/>
                                <a:gd name="T50" fmla="+- 0 2881 2581"/>
                                <a:gd name="T51" fmla="*/ 288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712" h="884">
                                  <a:moveTo>
                                    <a:pt x="2440" y="300"/>
                                  </a:moveTo>
                                  <a:lnTo>
                                    <a:pt x="2430" y="300"/>
                                  </a:lnTo>
                                  <a:lnTo>
                                    <a:pt x="2430" y="319"/>
                                  </a:lnTo>
                                  <a:lnTo>
                                    <a:pt x="2440" y="319"/>
                                  </a:lnTo>
                                  <a:lnTo>
                                    <a:pt x="2444" y="324"/>
                                  </a:lnTo>
                                  <a:lnTo>
                                    <a:pt x="2449" y="324"/>
                                  </a:lnTo>
                                  <a:lnTo>
                                    <a:pt x="2449" y="329"/>
                                  </a:lnTo>
                                  <a:lnTo>
                                    <a:pt x="2464" y="314"/>
                                  </a:lnTo>
                                  <a:lnTo>
                                    <a:pt x="2459" y="309"/>
                                  </a:lnTo>
                                  <a:lnTo>
                                    <a:pt x="2454" y="309"/>
                                  </a:lnTo>
                                  <a:lnTo>
                                    <a:pt x="2449" y="305"/>
                                  </a:lnTo>
                                  <a:lnTo>
                                    <a:pt x="2444" y="305"/>
                                  </a:lnTo>
                                  <a:lnTo>
                                    <a:pt x="2440"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449"/>
                          <wps:cNvSpPr>
                            <a:spLocks/>
                          </wps:cNvSpPr>
                          <wps:spPr bwMode="auto">
                            <a:xfrm>
                              <a:off x="3162" y="2581"/>
                              <a:ext cx="5712" cy="884"/>
                            </a:xfrm>
                            <a:custGeom>
                              <a:avLst/>
                              <a:gdLst>
                                <a:gd name="T0" fmla="+- 0 6646 3162"/>
                                <a:gd name="T1" fmla="*/ T0 w 5712"/>
                                <a:gd name="T2" fmla="+- 0 2876 2581"/>
                                <a:gd name="T3" fmla="*/ 2876 h 884"/>
                                <a:gd name="T4" fmla="+- 0 6641 3162"/>
                                <a:gd name="T5" fmla="*/ T4 w 5712"/>
                                <a:gd name="T6" fmla="+- 0 2881 2581"/>
                                <a:gd name="T7" fmla="*/ 2881 h 884"/>
                                <a:gd name="T8" fmla="+- 0 6626 3162"/>
                                <a:gd name="T9" fmla="*/ T8 w 5712"/>
                                <a:gd name="T10" fmla="+- 0 2881 2581"/>
                                <a:gd name="T11" fmla="*/ 2881 h 884"/>
                                <a:gd name="T12" fmla="+- 0 6617 3162"/>
                                <a:gd name="T13" fmla="*/ T12 w 5712"/>
                                <a:gd name="T14" fmla="+- 0 2890 2581"/>
                                <a:gd name="T15" fmla="*/ 2890 h 884"/>
                                <a:gd name="T16" fmla="+- 0 6607 3162"/>
                                <a:gd name="T17" fmla="*/ T16 w 5712"/>
                                <a:gd name="T18" fmla="+- 0 2895 2581"/>
                                <a:gd name="T19" fmla="*/ 2895 h 884"/>
                                <a:gd name="T20" fmla="+- 0 6622 3162"/>
                                <a:gd name="T21" fmla="*/ T20 w 5712"/>
                                <a:gd name="T22" fmla="+- 0 2910 2581"/>
                                <a:gd name="T23" fmla="*/ 2910 h 884"/>
                                <a:gd name="T24" fmla="+- 0 6626 3162"/>
                                <a:gd name="T25" fmla="*/ T24 w 5712"/>
                                <a:gd name="T26" fmla="+- 0 2905 2581"/>
                                <a:gd name="T27" fmla="*/ 2905 h 884"/>
                                <a:gd name="T28" fmla="+- 0 6636 3162"/>
                                <a:gd name="T29" fmla="*/ T28 w 5712"/>
                                <a:gd name="T30" fmla="+- 0 2900 2581"/>
                                <a:gd name="T31" fmla="*/ 2900 h 884"/>
                                <a:gd name="T32" fmla="+- 0 6646 3162"/>
                                <a:gd name="T33" fmla="*/ T32 w 5712"/>
                                <a:gd name="T34" fmla="+- 0 2900 2581"/>
                                <a:gd name="T35" fmla="*/ 2900 h 884"/>
                                <a:gd name="T36" fmla="+- 0 6646 3162"/>
                                <a:gd name="T37" fmla="*/ T36 w 5712"/>
                                <a:gd name="T38" fmla="+- 0 2876 2581"/>
                                <a:gd name="T39" fmla="*/ 2876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12" h="884">
                                  <a:moveTo>
                                    <a:pt x="3484" y="295"/>
                                  </a:moveTo>
                                  <a:lnTo>
                                    <a:pt x="3479" y="300"/>
                                  </a:lnTo>
                                  <a:lnTo>
                                    <a:pt x="3464" y="300"/>
                                  </a:lnTo>
                                  <a:lnTo>
                                    <a:pt x="3455" y="309"/>
                                  </a:lnTo>
                                  <a:lnTo>
                                    <a:pt x="3445" y="314"/>
                                  </a:lnTo>
                                  <a:lnTo>
                                    <a:pt x="3460" y="329"/>
                                  </a:lnTo>
                                  <a:lnTo>
                                    <a:pt x="3464" y="324"/>
                                  </a:lnTo>
                                  <a:lnTo>
                                    <a:pt x="3474" y="319"/>
                                  </a:lnTo>
                                  <a:lnTo>
                                    <a:pt x="3484" y="319"/>
                                  </a:lnTo>
                                  <a:lnTo>
                                    <a:pt x="3484"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1450"/>
                          <wps:cNvSpPr>
                            <a:spLocks/>
                          </wps:cNvSpPr>
                          <wps:spPr bwMode="auto">
                            <a:xfrm>
                              <a:off x="3162" y="2581"/>
                              <a:ext cx="5712" cy="884"/>
                            </a:xfrm>
                            <a:custGeom>
                              <a:avLst/>
                              <a:gdLst>
                                <a:gd name="T0" fmla="+- 0 3162 3162"/>
                                <a:gd name="T1" fmla="*/ T0 w 5712"/>
                                <a:gd name="T2" fmla="+- 0 2890 2581"/>
                                <a:gd name="T3" fmla="*/ 2890 h 884"/>
                                <a:gd name="T4" fmla="+- 0 3162 3162"/>
                                <a:gd name="T5" fmla="*/ T4 w 5712"/>
                                <a:gd name="T6" fmla="+- 0 2900 2581"/>
                                <a:gd name="T7" fmla="*/ 2900 h 884"/>
                                <a:gd name="T8" fmla="+- 0 3172 3162"/>
                                <a:gd name="T9" fmla="*/ T8 w 5712"/>
                                <a:gd name="T10" fmla="+- 0 2900 2581"/>
                                <a:gd name="T11" fmla="*/ 2900 h 884"/>
                                <a:gd name="T12" fmla="+- 0 3162 3162"/>
                                <a:gd name="T13" fmla="*/ T12 w 5712"/>
                                <a:gd name="T14" fmla="+- 0 2890 2581"/>
                                <a:gd name="T15" fmla="*/ 2890 h 884"/>
                              </a:gdLst>
                              <a:ahLst/>
                              <a:cxnLst>
                                <a:cxn ang="0">
                                  <a:pos x="T1" y="T3"/>
                                </a:cxn>
                                <a:cxn ang="0">
                                  <a:pos x="T5" y="T7"/>
                                </a:cxn>
                                <a:cxn ang="0">
                                  <a:pos x="T9" y="T11"/>
                                </a:cxn>
                                <a:cxn ang="0">
                                  <a:pos x="T13" y="T15"/>
                                </a:cxn>
                              </a:cxnLst>
                              <a:rect l="0" t="0" r="r" b="b"/>
                              <a:pathLst>
                                <a:path w="5712" h="884">
                                  <a:moveTo>
                                    <a:pt x="0" y="309"/>
                                  </a:moveTo>
                                  <a:lnTo>
                                    <a:pt x="0" y="319"/>
                                  </a:lnTo>
                                  <a:lnTo>
                                    <a:pt x="10" y="319"/>
                                  </a:lnTo>
                                  <a:lnTo>
                                    <a:pt x="0" y="30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Freeform 1451"/>
                          <wps:cNvSpPr>
                            <a:spLocks/>
                          </wps:cNvSpPr>
                          <wps:spPr bwMode="auto">
                            <a:xfrm>
                              <a:off x="3162" y="2581"/>
                              <a:ext cx="5712" cy="884"/>
                            </a:xfrm>
                            <a:custGeom>
                              <a:avLst/>
                              <a:gdLst>
                                <a:gd name="T0" fmla="+- 0 3181 3162"/>
                                <a:gd name="T1" fmla="*/ T0 w 5712"/>
                                <a:gd name="T2" fmla="+- 0 2881 2581"/>
                                <a:gd name="T3" fmla="*/ 2881 h 884"/>
                                <a:gd name="T4" fmla="+- 0 3172 3162"/>
                                <a:gd name="T5" fmla="*/ T4 w 5712"/>
                                <a:gd name="T6" fmla="+- 0 2881 2581"/>
                                <a:gd name="T7" fmla="*/ 2881 h 884"/>
                                <a:gd name="T8" fmla="+- 0 3162 3162"/>
                                <a:gd name="T9" fmla="*/ T8 w 5712"/>
                                <a:gd name="T10" fmla="+- 0 2890 2581"/>
                                <a:gd name="T11" fmla="*/ 2890 h 884"/>
                                <a:gd name="T12" fmla="+- 0 3172 3162"/>
                                <a:gd name="T13" fmla="*/ T12 w 5712"/>
                                <a:gd name="T14" fmla="+- 0 2900 2581"/>
                                <a:gd name="T15" fmla="*/ 2900 h 884"/>
                                <a:gd name="T16" fmla="+- 0 5592 3162"/>
                                <a:gd name="T17" fmla="*/ T16 w 5712"/>
                                <a:gd name="T18" fmla="+- 0 2900 2581"/>
                                <a:gd name="T19" fmla="*/ 2900 h 884"/>
                                <a:gd name="T20" fmla="+- 0 5587 3162"/>
                                <a:gd name="T21" fmla="*/ T20 w 5712"/>
                                <a:gd name="T22" fmla="+- 0 2895 2581"/>
                                <a:gd name="T23" fmla="*/ 2895 h 884"/>
                                <a:gd name="T24" fmla="+- 0 5588 3162"/>
                                <a:gd name="T25" fmla="*/ T24 w 5712"/>
                                <a:gd name="T26" fmla="+- 0 2890 2581"/>
                                <a:gd name="T27" fmla="*/ 2890 h 884"/>
                                <a:gd name="T28" fmla="+- 0 3181 3162"/>
                                <a:gd name="T29" fmla="*/ T28 w 5712"/>
                                <a:gd name="T30" fmla="+- 0 2890 2581"/>
                                <a:gd name="T31" fmla="*/ 2890 h 884"/>
                                <a:gd name="T32" fmla="+- 0 3181 3162"/>
                                <a:gd name="T33" fmla="*/ T32 w 5712"/>
                                <a:gd name="T34" fmla="+- 0 2881 2581"/>
                                <a:gd name="T35" fmla="*/ 288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19" y="300"/>
                                  </a:moveTo>
                                  <a:lnTo>
                                    <a:pt x="10" y="300"/>
                                  </a:lnTo>
                                  <a:lnTo>
                                    <a:pt x="0" y="309"/>
                                  </a:lnTo>
                                  <a:lnTo>
                                    <a:pt x="10" y="319"/>
                                  </a:lnTo>
                                  <a:lnTo>
                                    <a:pt x="2430" y="319"/>
                                  </a:lnTo>
                                  <a:lnTo>
                                    <a:pt x="2425" y="314"/>
                                  </a:lnTo>
                                  <a:lnTo>
                                    <a:pt x="2426" y="309"/>
                                  </a:lnTo>
                                  <a:lnTo>
                                    <a:pt x="19" y="309"/>
                                  </a:lnTo>
                                  <a:lnTo>
                                    <a:pt x="19"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8" name="Freeform 1452"/>
                          <wps:cNvSpPr>
                            <a:spLocks/>
                          </wps:cNvSpPr>
                          <wps:spPr bwMode="auto">
                            <a:xfrm>
                              <a:off x="3162" y="2581"/>
                              <a:ext cx="5712" cy="884"/>
                            </a:xfrm>
                            <a:custGeom>
                              <a:avLst/>
                              <a:gdLst>
                                <a:gd name="T0" fmla="+- 0 5592 3162"/>
                                <a:gd name="T1" fmla="*/ T0 w 5712"/>
                                <a:gd name="T2" fmla="+- 0 2876 2581"/>
                                <a:gd name="T3" fmla="*/ 2876 h 884"/>
                                <a:gd name="T4" fmla="+- 0 5587 3162"/>
                                <a:gd name="T5" fmla="*/ T4 w 5712"/>
                                <a:gd name="T6" fmla="+- 0 2895 2581"/>
                                <a:gd name="T7" fmla="*/ 2895 h 884"/>
                                <a:gd name="T8" fmla="+- 0 5592 3162"/>
                                <a:gd name="T9" fmla="*/ T8 w 5712"/>
                                <a:gd name="T10" fmla="+- 0 2900 2581"/>
                                <a:gd name="T11" fmla="*/ 2900 h 884"/>
                                <a:gd name="T12" fmla="+- 0 5592 3162"/>
                                <a:gd name="T13" fmla="*/ T12 w 5712"/>
                                <a:gd name="T14" fmla="+- 0 2881 2581"/>
                                <a:gd name="T15" fmla="*/ 2881 h 884"/>
                                <a:gd name="T16" fmla="+- 0 5602 3162"/>
                                <a:gd name="T17" fmla="*/ T16 w 5712"/>
                                <a:gd name="T18" fmla="+- 0 2881 2581"/>
                                <a:gd name="T19" fmla="*/ 2881 h 884"/>
                                <a:gd name="T20" fmla="+- 0 5592 3162"/>
                                <a:gd name="T21" fmla="*/ T20 w 5712"/>
                                <a:gd name="T22" fmla="+- 0 2876 2581"/>
                                <a:gd name="T23" fmla="*/ 2876 h 884"/>
                              </a:gdLst>
                              <a:ahLst/>
                              <a:cxnLst>
                                <a:cxn ang="0">
                                  <a:pos x="T1" y="T3"/>
                                </a:cxn>
                                <a:cxn ang="0">
                                  <a:pos x="T5" y="T7"/>
                                </a:cxn>
                                <a:cxn ang="0">
                                  <a:pos x="T9" y="T11"/>
                                </a:cxn>
                                <a:cxn ang="0">
                                  <a:pos x="T13" y="T15"/>
                                </a:cxn>
                                <a:cxn ang="0">
                                  <a:pos x="T17" y="T19"/>
                                </a:cxn>
                                <a:cxn ang="0">
                                  <a:pos x="T21" y="T23"/>
                                </a:cxn>
                              </a:cxnLst>
                              <a:rect l="0" t="0" r="r" b="b"/>
                              <a:pathLst>
                                <a:path w="5712" h="884">
                                  <a:moveTo>
                                    <a:pt x="2430" y="295"/>
                                  </a:moveTo>
                                  <a:lnTo>
                                    <a:pt x="2425" y="314"/>
                                  </a:lnTo>
                                  <a:lnTo>
                                    <a:pt x="2430" y="319"/>
                                  </a:lnTo>
                                  <a:lnTo>
                                    <a:pt x="2430" y="300"/>
                                  </a:lnTo>
                                  <a:lnTo>
                                    <a:pt x="2440" y="300"/>
                                  </a:lnTo>
                                  <a:lnTo>
                                    <a:pt x="2430"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1453"/>
                          <wps:cNvSpPr>
                            <a:spLocks/>
                          </wps:cNvSpPr>
                          <wps:spPr bwMode="auto">
                            <a:xfrm>
                              <a:off x="3162" y="2581"/>
                              <a:ext cx="5712" cy="884"/>
                            </a:xfrm>
                            <a:custGeom>
                              <a:avLst/>
                              <a:gdLst>
                                <a:gd name="T0" fmla="+- 0 6646 3162"/>
                                <a:gd name="T1" fmla="*/ T0 w 5712"/>
                                <a:gd name="T2" fmla="+- 0 2876 2581"/>
                                <a:gd name="T3" fmla="*/ 2876 h 884"/>
                                <a:gd name="T4" fmla="+- 0 6646 3162"/>
                                <a:gd name="T5" fmla="*/ T4 w 5712"/>
                                <a:gd name="T6" fmla="+- 0 2900 2581"/>
                                <a:gd name="T7" fmla="*/ 2900 h 884"/>
                                <a:gd name="T8" fmla="+- 0 8864 3162"/>
                                <a:gd name="T9" fmla="*/ T8 w 5712"/>
                                <a:gd name="T10" fmla="+- 0 2900 2581"/>
                                <a:gd name="T11" fmla="*/ 2900 h 884"/>
                                <a:gd name="T12" fmla="+- 0 8855 3162"/>
                                <a:gd name="T13" fmla="*/ T12 w 5712"/>
                                <a:gd name="T14" fmla="+- 0 2890 2581"/>
                                <a:gd name="T15" fmla="*/ 2890 h 884"/>
                                <a:gd name="T16" fmla="+- 0 8855 3162"/>
                                <a:gd name="T17" fmla="*/ T16 w 5712"/>
                                <a:gd name="T18" fmla="+- 0 2881 2581"/>
                                <a:gd name="T19" fmla="*/ 2881 h 884"/>
                                <a:gd name="T20" fmla="+- 0 6646 3162"/>
                                <a:gd name="T21" fmla="*/ T20 w 5712"/>
                                <a:gd name="T22" fmla="+- 0 2876 2581"/>
                                <a:gd name="T23" fmla="*/ 2876 h 884"/>
                              </a:gdLst>
                              <a:ahLst/>
                              <a:cxnLst>
                                <a:cxn ang="0">
                                  <a:pos x="T1" y="T3"/>
                                </a:cxn>
                                <a:cxn ang="0">
                                  <a:pos x="T5" y="T7"/>
                                </a:cxn>
                                <a:cxn ang="0">
                                  <a:pos x="T9" y="T11"/>
                                </a:cxn>
                                <a:cxn ang="0">
                                  <a:pos x="T13" y="T15"/>
                                </a:cxn>
                                <a:cxn ang="0">
                                  <a:pos x="T17" y="T19"/>
                                </a:cxn>
                                <a:cxn ang="0">
                                  <a:pos x="T21" y="T23"/>
                                </a:cxn>
                              </a:cxnLst>
                              <a:rect l="0" t="0" r="r" b="b"/>
                              <a:pathLst>
                                <a:path w="5712" h="884">
                                  <a:moveTo>
                                    <a:pt x="3484" y="295"/>
                                  </a:moveTo>
                                  <a:lnTo>
                                    <a:pt x="3484" y="319"/>
                                  </a:lnTo>
                                  <a:lnTo>
                                    <a:pt x="5702" y="319"/>
                                  </a:lnTo>
                                  <a:lnTo>
                                    <a:pt x="5693" y="309"/>
                                  </a:lnTo>
                                  <a:lnTo>
                                    <a:pt x="5693" y="300"/>
                                  </a:lnTo>
                                  <a:lnTo>
                                    <a:pt x="3484" y="29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Freeform 1454"/>
                          <wps:cNvSpPr>
                            <a:spLocks/>
                          </wps:cNvSpPr>
                          <wps:spPr bwMode="auto">
                            <a:xfrm>
                              <a:off x="3162" y="2581"/>
                              <a:ext cx="5712" cy="884"/>
                            </a:xfrm>
                            <a:custGeom>
                              <a:avLst/>
                              <a:gdLst>
                                <a:gd name="T0" fmla="+- 0 8855 3162"/>
                                <a:gd name="T1" fmla="*/ T0 w 5712"/>
                                <a:gd name="T2" fmla="+- 0 2881 2581"/>
                                <a:gd name="T3" fmla="*/ 2881 h 884"/>
                                <a:gd name="T4" fmla="+- 0 8855 3162"/>
                                <a:gd name="T5" fmla="*/ T4 w 5712"/>
                                <a:gd name="T6" fmla="+- 0 2890 2581"/>
                                <a:gd name="T7" fmla="*/ 2890 h 884"/>
                                <a:gd name="T8" fmla="+- 0 8864 3162"/>
                                <a:gd name="T9" fmla="*/ T8 w 5712"/>
                                <a:gd name="T10" fmla="+- 0 2900 2581"/>
                                <a:gd name="T11" fmla="*/ 2900 h 884"/>
                                <a:gd name="T12" fmla="+- 0 8864 3162"/>
                                <a:gd name="T13" fmla="*/ T12 w 5712"/>
                                <a:gd name="T14" fmla="+- 0 2881 2581"/>
                                <a:gd name="T15" fmla="*/ 2881 h 884"/>
                                <a:gd name="T16" fmla="+- 0 8855 3162"/>
                                <a:gd name="T17" fmla="*/ T16 w 5712"/>
                                <a:gd name="T18" fmla="+- 0 2881 2581"/>
                                <a:gd name="T19" fmla="*/ 2881 h 884"/>
                              </a:gdLst>
                              <a:ahLst/>
                              <a:cxnLst>
                                <a:cxn ang="0">
                                  <a:pos x="T1" y="T3"/>
                                </a:cxn>
                                <a:cxn ang="0">
                                  <a:pos x="T5" y="T7"/>
                                </a:cxn>
                                <a:cxn ang="0">
                                  <a:pos x="T9" y="T11"/>
                                </a:cxn>
                                <a:cxn ang="0">
                                  <a:pos x="T13" y="T15"/>
                                </a:cxn>
                                <a:cxn ang="0">
                                  <a:pos x="T17" y="T19"/>
                                </a:cxn>
                              </a:cxnLst>
                              <a:rect l="0" t="0" r="r" b="b"/>
                              <a:pathLst>
                                <a:path w="5712" h="884">
                                  <a:moveTo>
                                    <a:pt x="5693" y="300"/>
                                  </a:moveTo>
                                  <a:lnTo>
                                    <a:pt x="5693" y="309"/>
                                  </a:lnTo>
                                  <a:lnTo>
                                    <a:pt x="5702" y="319"/>
                                  </a:lnTo>
                                  <a:lnTo>
                                    <a:pt x="5702" y="300"/>
                                  </a:lnTo>
                                  <a:lnTo>
                                    <a:pt x="5693"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Freeform 1455"/>
                          <wps:cNvSpPr>
                            <a:spLocks/>
                          </wps:cNvSpPr>
                          <wps:spPr bwMode="auto">
                            <a:xfrm>
                              <a:off x="3162" y="2581"/>
                              <a:ext cx="5712" cy="884"/>
                            </a:xfrm>
                            <a:custGeom>
                              <a:avLst/>
                              <a:gdLst>
                                <a:gd name="T0" fmla="+- 0 8874 3162"/>
                                <a:gd name="T1" fmla="*/ T0 w 5712"/>
                                <a:gd name="T2" fmla="+- 0 2590 2581"/>
                                <a:gd name="T3" fmla="*/ 2590 h 884"/>
                                <a:gd name="T4" fmla="+- 0 8855 3162"/>
                                <a:gd name="T5" fmla="*/ T4 w 5712"/>
                                <a:gd name="T6" fmla="+- 0 2590 2581"/>
                                <a:gd name="T7" fmla="*/ 2590 h 884"/>
                                <a:gd name="T8" fmla="+- 0 8855 3162"/>
                                <a:gd name="T9" fmla="*/ T8 w 5712"/>
                                <a:gd name="T10" fmla="+- 0 2881 2581"/>
                                <a:gd name="T11" fmla="*/ 2881 h 884"/>
                                <a:gd name="T12" fmla="+- 0 8864 3162"/>
                                <a:gd name="T13" fmla="*/ T12 w 5712"/>
                                <a:gd name="T14" fmla="+- 0 2881 2581"/>
                                <a:gd name="T15" fmla="*/ 2881 h 884"/>
                                <a:gd name="T16" fmla="+- 0 8864 3162"/>
                                <a:gd name="T17" fmla="*/ T16 w 5712"/>
                                <a:gd name="T18" fmla="+- 0 2900 2581"/>
                                <a:gd name="T19" fmla="*/ 2900 h 884"/>
                                <a:gd name="T20" fmla="+- 0 8874 3162"/>
                                <a:gd name="T21" fmla="*/ T20 w 5712"/>
                                <a:gd name="T22" fmla="+- 0 2890 2581"/>
                                <a:gd name="T23" fmla="*/ 2890 h 884"/>
                                <a:gd name="T24" fmla="+- 0 8874 3162"/>
                                <a:gd name="T25" fmla="*/ T24 w 5712"/>
                                <a:gd name="T26" fmla="+- 0 2600 2581"/>
                                <a:gd name="T27" fmla="*/ 2600 h 884"/>
                                <a:gd name="T28" fmla="+- 0 8864 3162"/>
                                <a:gd name="T29" fmla="*/ T28 w 5712"/>
                                <a:gd name="T30" fmla="+- 0 2600 2581"/>
                                <a:gd name="T31" fmla="*/ 2600 h 884"/>
                                <a:gd name="T32" fmla="+- 0 8874 3162"/>
                                <a:gd name="T33" fmla="*/ T32 w 5712"/>
                                <a:gd name="T34" fmla="+- 0 2590 2581"/>
                                <a:gd name="T35" fmla="*/ 2590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712" h="884">
                                  <a:moveTo>
                                    <a:pt x="5712" y="9"/>
                                  </a:moveTo>
                                  <a:lnTo>
                                    <a:pt x="5693" y="9"/>
                                  </a:lnTo>
                                  <a:lnTo>
                                    <a:pt x="5693" y="300"/>
                                  </a:lnTo>
                                  <a:lnTo>
                                    <a:pt x="5702" y="300"/>
                                  </a:lnTo>
                                  <a:lnTo>
                                    <a:pt x="5702" y="319"/>
                                  </a:lnTo>
                                  <a:lnTo>
                                    <a:pt x="5712" y="309"/>
                                  </a:lnTo>
                                  <a:lnTo>
                                    <a:pt x="5712" y="19"/>
                                  </a:lnTo>
                                  <a:lnTo>
                                    <a:pt x="5702" y="19"/>
                                  </a:lnTo>
                                  <a:lnTo>
                                    <a:pt x="5712" y="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2" name="Freeform 1456"/>
                          <wps:cNvSpPr>
                            <a:spLocks/>
                          </wps:cNvSpPr>
                          <wps:spPr bwMode="auto">
                            <a:xfrm>
                              <a:off x="3162" y="2581"/>
                              <a:ext cx="5712" cy="884"/>
                            </a:xfrm>
                            <a:custGeom>
                              <a:avLst/>
                              <a:gdLst>
                                <a:gd name="T0" fmla="+- 0 8874 3162"/>
                                <a:gd name="T1" fmla="*/ T0 w 5712"/>
                                <a:gd name="T2" fmla="+- 0 2890 2581"/>
                                <a:gd name="T3" fmla="*/ 2890 h 884"/>
                                <a:gd name="T4" fmla="+- 0 8864 3162"/>
                                <a:gd name="T5" fmla="*/ T4 w 5712"/>
                                <a:gd name="T6" fmla="+- 0 2900 2581"/>
                                <a:gd name="T7" fmla="*/ 2900 h 884"/>
                                <a:gd name="T8" fmla="+- 0 8874 3162"/>
                                <a:gd name="T9" fmla="*/ T8 w 5712"/>
                                <a:gd name="T10" fmla="+- 0 2900 2581"/>
                                <a:gd name="T11" fmla="*/ 2900 h 884"/>
                                <a:gd name="T12" fmla="+- 0 8874 3162"/>
                                <a:gd name="T13" fmla="*/ T12 w 5712"/>
                                <a:gd name="T14" fmla="+- 0 2890 2581"/>
                                <a:gd name="T15" fmla="*/ 2890 h 884"/>
                              </a:gdLst>
                              <a:ahLst/>
                              <a:cxnLst>
                                <a:cxn ang="0">
                                  <a:pos x="T1" y="T3"/>
                                </a:cxn>
                                <a:cxn ang="0">
                                  <a:pos x="T5" y="T7"/>
                                </a:cxn>
                                <a:cxn ang="0">
                                  <a:pos x="T9" y="T11"/>
                                </a:cxn>
                                <a:cxn ang="0">
                                  <a:pos x="T13" y="T15"/>
                                </a:cxn>
                              </a:cxnLst>
                              <a:rect l="0" t="0" r="r" b="b"/>
                              <a:pathLst>
                                <a:path w="5712" h="884">
                                  <a:moveTo>
                                    <a:pt x="5712" y="309"/>
                                  </a:moveTo>
                                  <a:lnTo>
                                    <a:pt x="5702" y="319"/>
                                  </a:lnTo>
                                  <a:lnTo>
                                    <a:pt x="5712" y="319"/>
                                  </a:lnTo>
                                  <a:lnTo>
                                    <a:pt x="5712" y="30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1457"/>
                          <wps:cNvSpPr>
                            <a:spLocks/>
                          </wps:cNvSpPr>
                          <wps:spPr bwMode="auto">
                            <a:xfrm>
                              <a:off x="3162" y="2581"/>
                              <a:ext cx="5712" cy="884"/>
                            </a:xfrm>
                            <a:custGeom>
                              <a:avLst/>
                              <a:gdLst>
                                <a:gd name="T0" fmla="+- 0 3172 3162"/>
                                <a:gd name="T1" fmla="*/ T0 w 5712"/>
                                <a:gd name="T2" fmla="+- 0 2581 2581"/>
                                <a:gd name="T3" fmla="*/ 2581 h 884"/>
                                <a:gd name="T4" fmla="+- 0 3162 3162"/>
                                <a:gd name="T5" fmla="*/ T4 w 5712"/>
                                <a:gd name="T6" fmla="+- 0 2590 2581"/>
                                <a:gd name="T7" fmla="*/ 2590 h 884"/>
                                <a:gd name="T8" fmla="+- 0 3162 3162"/>
                                <a:gd name="T9" fmla="*/ T8 w 5712"/>
                                <a:gd name="T10" fmla="+- 0 2890 2581"/>
                                <a:gd name="T11" fmla="*/ 2890 h 884"/>
                                <a:gd name="T12" fmla="+- 0 3172 3162"/>
                                <a:gd name="T13" fmla="*/ T12 w 5712"/>
                                <a:gd name="T14" fmla="+- 0 2881 2581"/>
                                <a:gd name="T15" fmla="*/ 2881 h 884"/>
                                <a:gd name="T16" fmla="+- 0 3181 3162"/>
                                <a:gd name="T17" fmla="*/ T16 w 5712"/>
                                <a:gd name="T18" fmla="+- 0 2881 2581"/>
                                <a:gd name="T19" fmla="*/ 2881 h 884"/>
                                <a:gd name="T20" fmla="+- 0 3181 3162"/>
                                <a:gd name="T21" fmla="*/ T20 w 5712"/>
                                <a:gd name="T22" fmla="+- 0 2600 2581"/>
                                <a:gd name="T23" fmla="*/ 2600 h 884"/>
                                <a:gd name="T24" fmla="+- 0 3172 3162"/>
                                <a:gd name="T25" fmla="*/ T24 w 5712"/>
                                <a:gd name="T26" fmla="+- 0 2600 2581"/>
                                <a:gd name="T27" fmla="*/ 2600 h 884"/>
                                <a:gd name="T28" fmla="+- 0 3172 3162"/>
                                <a:gd name="T29" fmla="*/ T28 w 5712"/>
                                <a:gd name="T30" fmla="+- 0 2581 2581"/>
                                <a:gd name="T31" fmla="*/ 2581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10" y="0"/>
                                  </a:moveTo>
                                  <a:lnTo>
                                    <a:pt x="0" y="9"/>
                                  </a:lnTo>
                                  <a:lnTo>
                                    <a:pt x="0" y="309"/>
                                  </a:lnTo>
                                  <a:lnTo>
                                    <a:pt x="10" y="300"/>
                                  </a:lnTo>
                                  <a:lnTo>
                                    <a:pt x="19" y="300"/>
                                  </a:lnTo>
                                  <a:lnTo>
                                    <a:pt x="19" y="19"/>
                                  </a:lnTo>
                                  <a:lnTo>
                                    <a:pt x="10" y="1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Freeform 1458"/>
                          <wps:cNvSpPr>
                            <a:spLocks/>
                          </wps:cNvSpPr>
                          <wps:spPr bwMode="auto">
                            <a:xfrm>
                              <a:off x="3162" y="2581"/>
                              <a:ext cx="5712" cy="884"/>
                            </a:xfrm>
                            <a:custGeom>
                              <a:avLst/>
                              <a:gdLst>
                                <a:gd name="T0" fmla="+- 0 5591 3162"/>
                                <a:gd name="T1" fmla="*/ T0 w 5712"/>
                                <a:gd name="T2" fmla="+- 0 2881 2581"/>
                                <a:gd name="T3" fmla="*/ 2881 h 884"/>
                                <a:gd name="T4" fmla="+- 0 3181 3162"/>
                                <a:gd name="T5" fmla="*/ T4 w 5712"/>
                                <a:gd name="T6" fmla="+- 0 2881 2581"/>
                                <a:gd name="T7" fmla="*/ 2881 h 884"/>
                                <a:gd name="T8" fmla="+- 0 3181 3162"/>
                                <a:gd name="T9" fmla="*/ T8 w 5712"/>
                                <a:gd name="T10" fmla="+- 0 2890 2581"/>
                                <a:gd name="T11" fmla="*/ 2890 h 884"/>
                                <a:gd name="T12" fmla="+- 0 5588 3162"/>
                                <a:gd name="T13" fmla="*/ T12 w 5712"/>
                                <a:gd name="T14" fmla="+- 0 2890 2581"/>
                                <a:gd name="T15" fmla="*/ 2890 h 884"/>
                                <a:gd name="T16" fmla="+- 0 5591 3162"/>
                                <a:gd name="T17" fmla="*/ T16 w 5712"/>
                                <a:gd name="T18" fmla="+- 0 2881 2581"/>
                                <a:gd name="T19" fmla="*/ 2881 h 884"/>
                              </a:gdLst>
                              <a:ahLst/>
                              <a:cxnLst>
                                <a:cxn ang="0">
                                  <a:pos x="T1" y="T3"/>
                                </a:cxn>
                                <a:cxn ang="0">
                                  <a:pos x="T5" y="T7"/>
                                </a:cxn>
                                <a:cxn ang="0">
                                  <a:pos x="T9" y="T11"/>
                                </a:cxn>
                                <a:cxn ang="0">
                                  <a:pos x="T13" y="T15"/>
                                </a:cxn>
                                <a:cxn ang="0">
                                  <a:pos x="T17" y="T19"/>
                                </a:cxn>
                              </a:cxnLst>
                              <a:rect l="0" t="0" r="r" b="b"/>
                              <a:pathLst>
                                <a:path w="5712" h="884">
                                  <a:moveTo>
                                    <a:pt x="2429" y="300"/>
                                  </a:moveTo>
                                  <a:lnTo>
                                    <a:pt x="19" y="300"/>
                                  </a:lnTo>
                                  <a:lnTo>
                                    <a:pt x="19" y="309"/>
                                  </a:lnTo>
                                  <a:lnTo>
                                    <a:pt x="2426" y="309"/>
                                  </a:lnTo>
                                  <a:lnTo>
                                    <a:pt x="2429" y="30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1459"/>
                          <wps:cNvSpPr>
                            <a:spLocks/>
                          </wps:cNvSpPr>
                          <wps:spPr bwMode="auto">
                            <a:xfrm>
                              <a:off x="3162" y="2581"/>
                              <a:ext cx="5712" cy="884"/>
                            </a:xfrm>
                            <a:custGeom>
                              <a:avLst/>
                              <a:gdLst>
                                <a:gd name="T0" fmla="+- 0 3172 3162"/>
                                <a:gd name="T1" fmla="*/ T0 w 5712"/>
                                <a:gd name="T2" fmla="+- 0 2581 2581"/>
                                <a:gd name="T3" fmla="*/ 2581 h 884"/>
                                <a:gd name="T4" fmla="+- 0 3172 3162"/>
                                <a:gd name="T5" fmla="*/ T4 w 5712"/>
                                <a:gd name="T6" fmla="+- 0 2600 2581"/>
                                <a:gd name="T7" fmla="*/ 2600 h 884"/>
                                <a:gd name="T8" fmla="+- 0 3181 3162"/>
                                <a:gd name="T9" fmla="*/ T8 w 5712"/>
                                <a:gd name="T10" fmla="+- 0 2600 2581"/>
                                <a:gd name="T11" fmla="*/ 2600 h 884"/>
                                <a:gd name="T12" fmla="+- 0 3181 3162"/>
                                <a:gd name="T13" fmla="*/ T12 w 5712"/>
                                <a:gd name="T14" fmla="+- 0 2590 2581"/>
                                <a:gd name="T15" fmla="*/ 2590 h 884"/>
                                <a:gd name="T16" fmla="+- 0 3172 3162"/>
                                <a:gd name="T17" fmla="*/ T16 w 5712"/>
                                <a:gd name="T18" fmla="+- 0 2581 2581"/>
                                <a:gd name="T19" fmla="*/ 2581 h 884"/>
                              </a:gdLst>
                              <a:ahLst/>
                              <a:cxnLst>
                                <a:cxn ang="0">
                                  <a:pos x="T1" y="T3"/>
                                </a:cxn>
                                <a:cxn ang="0">
                                  <a:pos x="T5" y="T7"/>
                                </a:cxn>
                                <a:cxn ang="0">
                                  <a:pos x="T9" y="T11"/>
                                </a:cxn>
                                <a:cxn ang="0">
                                  <a:pos x="T13" y="T15"/>
                                </a:cxn>
                                <a:cxn ang="0">
                                  <a:pos x="T17" y="T19"/>
                                </a:cxn>
                              </a:cxnLst>
                              <a:rect l="0" t="0" r="r" b="b"/>
                              <a:pathLst>
                                <a:path w="5712" h="884">
                                  <a:moveTo>
                                    <a:pt x="10" y="0"/>
                                  </a:moveTo>
                                  <a:lnTo>
                                    <a:pt x="10" y="19"/>
                                  </a:lnTo>
                                  <a:lnTo>
                                    <a:pt x="19" y="19"/>
                                  </a:lnTo>
                                  <a:lnTo>
                                    <a:pt x="19"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Freeform 1460"/>
                          <wps:cNvSpPr>
                            <a:spLocks/>
                          </wps:cNvSpPr>
                          <wps:spPr bwMode="auto">
                            <a:xfrm>
                              <a:off x="3162" y="2581"/>
                              <a:ext cx="5712" cy="884"/>
                            </a:xfrm>
                            <a:custGeom>
                              <a:avLst/>
                              <a:gdLst>
                                <a:gd name="T0" fmla="+- 0 8864 3162"/>
                                <a:gd name="T1" fmla="*/ T0 w 5712"/>
                                <a:gd name="T2" fmla="+- 0 2581 2581"/>
                                <a:gd name="T3" fmla="*/ 2581 h 884"/>
                                <a:gd name="T4" fmla="+- 0 3172 3162"/>
                                <a:gd name="T5" fmla="*/ T4 w 5712"/>
                                <a:gd name="T6" fmla="+- 0 2581 2581"/>
                                <a:gd name="T7" fmla="*/ 2581 h 884"/>
                                <a:gd name="T8" fmla="+- 0 3181 3162"/>
                                <a:gd name="T9" fmla="*/ T8 w 5712"/>
                                <a:gd name="T10" fmla="+- 0 2590 2581"/>
                                <a:gd name="T11" fmla="*/ 2590 h 884"/>
                                <a:gd name="T12" fmla="+- 0 3181 3162"/>
                                <a:gd name="T13" fmla="*/ T12 w 5712"/>
                                <a:gd name="T14" fmla="+- 0 2600 2581"/>
                                <a:gd name="T15" fmla="*/ 2600 h 884"/>
                                <a:gd name="T16" fmla="+- 0 8855 3162"/>
                                <a:gd name="T17" fmla="*/ T16 w 5712"/>
                                <a:gd name="T18" fmla="+- 0 2600 2581"/>
                                <a:gd name="T19" fmla="*/ 2600 h 884"/>
                                <a:gd name="T20" fmla="+- 0 8855 3162"/>
                                <a:gd name="T21" fmla="*/ T20 w 5712"/>
                                <a:gd name="T22" fmla="+- 0 2590 2581"/>
                                <a:gd name="T23" fmla="*/ 2590 h 884"/>
                                <a:gd name="T24" fmla="+- 0 8874 3162"/>
                                <a:gd name="T25" fmla="*/ T24 w 5712"/>
                                <a:gd name="T26" fmla="+- 0 2590 2581"/>
                                <a:gd name="T27" fmla="*/ 2590 h 884"/>
                                <a:gd name="T28" fmla="+- 0 8864 3162"/>
                                <a:gd name="T29" fmla="*/ T28 w 5712"/>
                                <a:gd name="T30" fmla="+- 0 2581 2581"/>
                                <a:gd name="T31" fmla="*/ 2581 h 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12" h="884">
                                  <a:moveTo>
                                    <a:pt x="5702" y="0"/>
                                  </a:moveTo>
                                  <a:lnTo>
                                    <a:pt x="10" y="0"/>
                                  </a:lnTo>
                                  <a:lnTo>
                                    <a:pt x="19" y="9"/>
                                  </a:lnTo>
                                  <a:lnTo>
                                    <a:pt x="19" y="19"/>
                                  </a:lnTo>
                                  <a:lnTo>
                                    <a:pt x="5693" y="19"/>
                                  </a:lnTo>
                                  <a:lnTo>
                                    <a:pt x="5693" y="9"/>
                                  </a:lnTo>
                                  <a:lnTo>
                                    <a:pt x="5712" y="9"/>
                                  </a:lnTo>
                                  <a:lnTo>
                                    <a:pt x="570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1461"/>
                          <wps:cNvSpPr>
                            <a:spLocks/>
                          </wps:cNvSpPr>
                          <wps:spPr bwMode="auto">
                            <a:xfrm>
                              <a:off x="3162" y="2581"/>
                              <a:ext cx="5712" cy="884"/>
                            </a:xfrm>
                            <a:custGeom>
                              <a:avLst/>
                              <a:gdLst>
                                <a:gd name="T0" fmla="+- 0 8874 3162"/>
                                <a:gd name="T1" fmla="*/ T0 w 5712"/>
                                <a:gd name="T2" fmla="+- 0 2590 2581"/>
                                <a:gd name="T3" fmla="*/ 2590 h 884"/>
                                <a:gd name="T4" fmla="+- 0 8864 3162"/>
                                <a:gd name="T5" fmla="*/ T4 w 5712"/>
                                <a:gd name="T6" fmla="+- 0 2600 2581"/>
                                <a:gd name="T7" fmla="*/ 2600 h 884"/>
                                <a:gd name="T8" fmla="+- 0 8874 3162"/>
                                <a:gd name="T9" fmla="*/ T8 w 5712"/>
                                <a:gd name="T10" fmla="+- 0 2600 2581"/>
                                <a:gd name="T11" fmla="*/ 2600 h 884"/>
                                <a:gd name="T12" fmla="+- 0 8874 3162"/>
                                <a:gd name="T13" fmla="*/ T12 w 5712"/>
                                <a:gd name="T14" fmla="+- 0 2590 2581"/>
                                <a:gd name="T15" fmla="*/ 2590 h 884"/>
                              </a:gdLst>
                              <a:ahLst/>
                              <a:cxnLst>
                                <a:cxn ang="0">
                                  <a:pos x="T1" y="T3"/>
                                </a:cxn>
                                <a:cxn ang="0">
                                  <a:pos x="T5" y="T7"/>
                                </a:cxn>
                                <a:cxn ang="0">
                                  <a:pos x="T9" y="T11"/>
                                </a:cxn>
                                <a:cxn ang="0">
                                  <a:pos x="T13" y="T15"/>
                                </a:cxn>
                              </a:cxnLst>
                              <a:rect l="0" t="0" r="r" b="b"/>
                              <a:pathLst>
                                <a:path w="5712" h="884">
                                  <a:moveTo>
                                    <a:pt x="5712" y="9"/>
                                  </a:moveTo>
                                  <a:lnTo>
                                    <a:pt x="5702" y="19"/>
                                  </a:lnTo>
                                  <a:lnTo>
                                    <a:pt x="5712" y="19"/>
                                  </a:lnTo>
                                  <a:lnTo>
                                    <a:pt x="5712" y="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Freeform 1462"/>
                          <wps:cNvSpPr>
                            <a:spLocks/>
                          </wps:cNvSpPr>
                          <wps:spPr bwMode="auto">
                            <a:xfrm>
                              <a:off x="3162" y="2581"/>
                              <a:ext cx="5712" cy="884"/>
                            </a:xfrm>
                            <a:custGeom>
                              <a:avLst/>
                              <a:gdLst>
                                <a:gd name="T0" fmla="+- 0 3172 3162"/>
                                <a:gd name="T1" fmla="*/ T0 w 5712"/>
                                <a:gd name="T2" fmla="+- 0 2581 2581"/>
                                <a:gd name="T3" fmla="*/ 2581 h 884"/>
                                <a:gd name="T4" fmla="+- 0 3162 3162"/>
                                <a:gd name="T5" fmla="*/ T4 w 5712"/>
                                <a:gd name="T6" fmla="+- 0 2581 2581"/>
                                <a:gd name="T7" fmla="*/ 2581 h 884"/>
                                <a:gd name="T8" fmla="+- 0 3162 3162"/>
                                <a:gd name="T9" fmla="*/ T8 w 5712"/>
                                <a:gd name="T10" fmla="+- 0 2590 2581"/>
                                <a:gd name="T11" fmla="*/ 2590 h 884"/>
                                <a:gd name="T12" fmla="+- 0 3172 3162"/>
                                <a:gd name="T13" fmla="*/ T12 w 5712"/>
                                <a:gd name="T14" fmla="+- 0 2581 2581"/>
                                <a:gd name="T15" fmla="*/ 2581 h 884"/>
                              </a:gdLst>
                              <a:ahLst/>
                              <a:cxnLst>
                                <a:cxn ang="0">
                                  <a:pos x="T1" y="T3"/>
                                </a:cxn>
                                <a:cxn ang="0">
                                  <a:pos x="T5" y="T7"/>
                                </a:cxn>
                                <a:cxn ang="0">
                                  <a:pos x="T9" y="T11"/>
                                </a:cxn>
                                <a:cxn ang="0">
                                  <a:pos x="T13" y="T15"/>
                                </a:cxn>
                              </a:cxnLst>
                              <a:rect l="0" t="0" r="r" b="b"/>
                              <a:pathLst>
                                <a:path w="5712" h="884">
                                  <a:moveTo>
                                    <a:pt x="10" y="0"/>
                                  </a:moveTo>
                                  <a:lnTo>
                                    <a:pt x="0" y="0"/>
                                  </a:lnTo>
                                  <a:lnTo>
                                    <a:pt x="0" y="9"/>
                                  </a:lnTo>
                                  <a:lnTo>
                                    <a:pt x="10"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Freeform 1463"/>
                          <wps:cNvSpPr>
                            <a:spLocks/>
                          </wps:cNvSpPr>
                          <wps:spPr bwMode="auto">
                            <a:xfrm>
                              <a:off x="3162" y="2581"/>
                              <a:ext cx="5712" cy="884"/>
                            </a:xfrm>
                            <a:custGeom>
                              <a:avLst/>
                              <a:gdLst>
                                <a:gd name="T0" fmla="+- 0 8874 3162"/>
                                <a:gd name="T1" fmla="*/ T0 w 5712"/>
                                <a:gd name="T2" fmla="+- 0 2581 2581"/>
                                <a:gd name="T3" fmla="*/ 2581 h 884"/>
                                <a:gd name="T4" fmla="+- 0 8864 3162"/>
                                <a:gd name="T5" fmla="*/ T4 w 5712"/>
                                <a:gd name="T6" fmla="+- 0 2581 2581"/>
                                <a:gd name="T7" fmla="*/ 2581 h 884"/>
                                <a:gd name="T8" fmla="+- 0 8874 3162"/>
                                <a:gd name="T9" fmla="*/ T8 w 5712"/>
                                <a:gd name="T10" fmla="+- 0 2590 2581"/>
                                <a:gd name="T11" fmla="*/ 2590 h 884"/>
                                <a:gd name="T12" fmla="+- 0 8874 3162"/>
                                <a:gd name="T13" fmla="*/ T12 w 5712"/>
                                <a:gd name="T14" fmla="+- 0 2581 2581"/>
                                <a:gd name="T15" fmla="*/ 2581 h 884"/>
                              </a:gdLst>
                              <a:ahLst/>
                              <a:cxnLst>
                                <a:cxn ang="0">
                                  <a:pos x="T1" y="T3"/>
                                </a:cxn>
                                <a:cxn ang="0">
                                  <a:pos x="T5" y="T7"/>
                                </a:cxn>
                                <a:cxn ang="0">
                                  <a:pos x="T9" y="T11"/>
                                </a:cxn>
                                <a:cxn ang="0">
                                  <a:pos x="T13" y="T15"/>
                                </a:cxn>
                              </a:cxnLst>
                              <a:rect l="0" t="0" r="r" b="b"/>
                              <a:pathLst>
                                <a:path w="5712" h="884">
                                  <a:moveTo>
                                    <a:pt x="5712" y="0"/>
                                  </a:moveTo>
                                  <a:lnTo>
                                    <a:pt x="5702" y="0"/>
                                  </a:lnTo>
                                  <a:lnTo>
                                    <a:pt x="5712" y="9"/>
                                  </a:lnTo>
                                  <a:lnTo>
                                    <a:pt x="571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20" name="Group 1464"/>
                        <wpg:cNvGrpSpPr>
                          <a:grpSpLocks/>
                        </wpg:cNvGrpSpPr>
                        <wpg:grpSpPr bwMode="auto">
                          <a:xfrm>
                            <a:off x="5722" y="2876"/>
                            <a:ext cx="790" cy="232"/>
                            <a:chOff x="5722" y="2876"/>
                            <a:chExt cx="790" cy="232"/>
                          </a:xfrm>
                        </wpg:grpSpPr>
                        <wps:wsp>
                          <wps:cNvPr id="1521" name="Freeform 1465"/>
                          <wps:cNvSpPr>
                            <a:spLocks/>
                          </wps:cNvSpPr>
                          <wps:spPr bwMode="auto">
                            <a:xfrm>
                              <a:off x="5722" y="2876"/>
                              <a:ext cx="790" cy="232"/>
                            </a:xfrm>
                            <a:custGeom>
                              <a:avLst/>
                              <a:gdLst>
                                <a:gd name="T0" fmla="+- 0 5755 5722"/>
                                <a:gd name="T1" fmla="*/ T0 w 790"/>
                                <a:gd name="T2" fmla="+- 0 3074 2876"/>
                                <a:gd name="T3" fmla="*/ 3074 h 232"/>
                                <a:gd name="T4" fmla="+- 0 5741 5722"/>
                                <a:gd name="T5" fmla="*/ T4 w 790"/>
                                <a:gd name="T6" fmla="+- 0 3088 2876"/>
                                <a:gd name="T7" fmla="*/ 3088 h 232"/>
                                <a:gd name="T8" fmla="+- 0 5750 5722"/>
                                <a:gd name="T9" fmla="*/ T8 w 790"/>
                                <a:gd name="T10" fmla="+- 0 3093 2876"/>
                                <a:gd name="T11" fmla="*/ 3093 h 232"/>
                                <a:gd name="T12" fmla="+- 0 5755 5722"/>
                                <a:gd name="T13" fmla="*/ T12 w 790"/>
                                <a:gd name="T14" fmla="+- 0 3103 2876"/>
                                <a:gd name="T15" fmla="*/ 3103 h 232"/>
                                <a:gd name="T16" fmla="+- 0 5760 5722"/>
                                <a:gd name="T17" fmla="*/ T16 w 790"/>
                                <a:gd name="T18" fmla="+- 0 3103 2876"/>
                                <a:gd name="T19" fmla="*/ 3103 h 232"/>
                                <a:gd name="T20" fmla="+- 0 5770 5722"/>
                                <a:gd name="T21" fmla="*/ T20 w 790"/>
                                <a:gd name="T22" fmla="+- 0 3108 2876"/>
                                <a:gd name="T23" fmla="*/ 3108 h 232"/>
                                <a:gd name="T24" fmla="+- 0 5779 5722"/>
                                <a:gd name="T25" fmla="*/ T24 w 790"/>
                                <a:gd name="T26" fmla="+- 0 3108 2876"/>
                                <a:gd name="T27" fmla="*/ 3108 h 232"/>
                                <a:gd name="T28" fmla="+- 0 5779 5722"/>
                                <a:gd name="T29" fmla="*/ T28 w 790"/>
                                <a:gd name="T30" fmla="+- 0 3088 2876"/>
                                <a:gd name="T31" fmla="*/ 3088 h 232"/>
                                <a:gd name="T32" fmla="+- 0 5774 5722"/>
                                <a:gd name="T33" fmla="*/ T32 w 790"/>
                                <a:gd name="T34" fmla="+- 0 3088 2876"/>
                                <a:gd name="T35" fmla="*/ 3088 h 232"/>
                                <a:gd name="T36" fmla="+- 0 5774 5722"/>
                                <a:gd name="T37" fmla="*/ T36 w 790"/>
                                <a:gd name="T38" fmla="+- 0 3084 2876"/>
                                <a:gd name="T39" fmla="*/ 3084 h 232"/>
                                <a:gd name="T40" fmla="+- 0 5765 5722"/>
                                <a:gd name="T41" fmla="*/ T40 w 790"/>
                                <a:gd name="T42" fmla="+- 0 3084 2876"/>
                                <a:gd name="T43" fmla="*/ 3084 h 232"/>
                                <a:gd name="T44" fmla="+- 0 5755 5722"/>
                                <a:gd name="T45" fmla="*/ T44 w 790"/>
                                <a:gd name="T46" fmla="+- 0 3074 2876"/>
                                <a:gd name="T47" fmla="*/ 307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90" h="232">
                                  <a:moveTo>
                                    <a:pt x="33" y="198"/>
                                  </a:moveTo>
                                  <a:lnTo>
                                    <a:pt x="19" y="212"/>
                                  </a:lnTo>
                                  <a:lnTo>
                                    <a:pt x="28" y="217"/>
                                  </a:lnTo>
                                  <a:lnTo>
                                    <a:pt x="33" y="227"/>
                                  </a:lnTo>
                                  <a:lnTo>
                                    <a:pt x="38" y="227"/>
                                  </a:lnTo>
                                  <a:lnTo>
                                    <a:pt x="48" y="232"/>
                                  </a:lnTo>
                                  <a:lnTo>
                                    <a:pt x="57" y="232"/>
                                  </a:lnTo>
                                  <a:lnTo>
                                    <a:pt x="57" y="212"/>
                                  </a:lnTo>
                                  <a:lnTo>
                                    <a:pt x="52" y="212"/>
                                  </a:lnTo>
                                  <a:lnTo>
                                    <a:pt x="52" y="208"/>
                                  </a:lnTo>
                                  <a:lnTo>
                                    <a:pt x="43" y="208"/>
                                  </a:lnTo>
                                  <a:lnTo>
                                    <a:pt x="33" y="19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1466"/>
                          <wps:cNvSpPr>
                            <a:spLocks/>
                          </wps:cNvSpPr>
                          <wps:spPr bwMode="auto">
                            <a:xfrm>
                              <a:off x="5722" y="2876"/>
                              <a:ext cx="790" cy="232"/>
                            </a:xfrm>
                            <a:custGeom>
                              <a:avLst/>
                              <a:gdLst>
                                <a:gd name="T0" fmla="+- 0 6454 5722"/>
                                <a:gd name="T1" fmla="*/ T0 w 790"/>
                                <a:gd name="T2" fmla="+- 0 3088 2876"/>
                                <a:gd name="T3" fmla="*/ 3088 h 232"/>
                                <a:gd name="T4" fmla="+- 0 5779 5722"/>
                                <a:gd name="T5" fmla="*/ T4 w 790"/>
                                <a:gd name="T6" fmla="+- 0 3088 2876"/>
                                <a:gd name="T7" fmla="*/ 3088 h 232"/>
                                <a:gd name="T8" fmla="+- 0 5779 5722"/>
                                <a:gd name="T9" fmla="*/ T8 w 790"/>
                                <a:gd name="T10" fmla="+- 0 3108 2876"/>
                                <a:gd name="T11" fmla="*/ 3108 h 232"/>
                                <a:gd name="T12" fmla="+- 0 6454 5722"/>
                                <a:gd name="T13" fmla="*/ T12 w 790"/>
                                <a:gd name="T14" fmla="+- 0 3108 2876"/>
                                <a:gd name="T15" fmla="*/ 3108 h 232"/>
                                <a:gd name="T16" fmla="+- 0 6454 5722"/>
                                <a:gd name="T17" fmla="*/ T16 w 790"/>
                                <a:gd name="T18" fmla="+- 0 3088 2876"/>
                                <a:gd name="T19" fmla="*/ 3088 h 232"/>
                              </a:gdLst>
                              <a:ahLst/>
                              <a:cxnLst>
                                <a:cxn ang="0">
                                  <a:pos x="T1" y="T3"/>
                                </a:cxn>
                                <a:cxn ang="0">
                                  <a:pos x="T5" y="T7"/>
                                </a:cxn>
                                <a:cxn ang="0">
                                  <a:pos x="T9" y="T11"/>
                                </a:cxn>
                                <a:cxn ang="0">
                                  <a:pos x="T13" y="T15"/>
                                </a:cxn>
                                <a:cxn ang="0">
                                  <a:pos x="T17" y="T19"/>
                                </a:cxn>
                              </a:cxnLst>
                              <a:rect l="0" t="0" r="r" b="b"/>
                              <a:pathLst>
                                <a:path w="790" h="232">
                                  <a:moveTo>
                                    <a:pt x="732" y="212"/>
                                  </a:moveTo>
                                  <a:lnTo>
                                    <a:pt x="57" y="212"/>
                                  </a:lnTo>
                                  <a:lnTo>
                                    <a:pt x="57" y="232"/>
                                  </a:lnTo>
                                  <a:lnTo>
                                    <a:pt x="732" y="232"/>
                                  </a:lnTo>
                                  <a:lnTo>
                                    <a:pt x="732" y="212"/>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1467"/>
                          <wps:cNvSpPr>
                            <a:spLocks/>
                          </wps:cNvSpPr>
                          <wps:spPr bwMode="auto">
                            <a:xfrm>
                              <a:off x="5722" y="2876"/>
                              <a:ext cx="790" cy="232"/>
                            </a:xfrm>
                            <a:custGeom>
                              <a:avLst/>
                              <a:gdLst>
                                <a:gd name="T0" fmla="+- 0 6478 5722"/>
                                <a:gd name="T1" fmla="*/ T0 w 790"/>
                                <a:gd name="T2" fmla="+- 0 3074 2876"/>
                                <a:gd name="T3" fmla="*/ 3074 h 232"/>
                                <a:gd name="T4" fmla="+- 0 6468 5722"/>
                                <a:gd name="T5" fmla="*/ T4 w 790"/>
                                <a:gd name="T6" fmla="+- 0 3084 2876"/>
                                <a:gd name="T7" fmla="*/ 3084 h 232"/>
                                <a:gd name="T8" fmla="+- 0 6463 5722"/>
                                <a:gd name="T9" fmla="*/ T8 w 790"/>
                                <a:gd name="T10" fmla="+- 0 3084 2876"/>
                                <a:gd name="T11" fmla="*/ 3084 h 232"/>
                                <a:gd name="T12" fmla="+- 0 6458 5722"/>
                                <a:gd name="T13" fmla="*/ T12 w 790"/>
                                <a:gd name="T14" fmla="+- 0 3088 2876"/>
                                <a:gd name="T15" fmla="*/ 3088 h 232"/>
                                <a:gd name="T16" fmla="+- 0 6454 5722"/>
                                <a:gd name="T17" fmla="*/ T16 w 790"/>
                                <a:gd name="T18" fmla="+- 0 3088 2876"/>
                                <a:gd name="T19" fmla="*/ 3088 h 232"/>
                                <a:gd name="T20" fmla="+- 0 6454 5722"/>
                                <a:gd name="T21" fmla="*/ T20 w 790"/>
                                <a:gd name="T22" fmla="+- 0 3108 2876"/>
                                <a:gd name="T23" fmla="*/ 3108 h 232"/>
                                <a:gd name="T24" fmla="+- 0 6468 5722"/>
                                <a:gd name="T25" fmla="*/ T24 w 790"/>
                                <a:gd name="T26" fmla="+- 0 3108 2876"/>
                                <a:gd name="T27" fmla="*/ 3108 h 232"/>
                                <a:gd name="T28" fmla="+- 0 6473 5722"/>
                                <a:gd name="T29" fmla="*/ T28 w 790"/>
                                <a:gd name="T30" fmla="+- 0 3103 2876"/>
                                <a:gd name="T31" fmla="*/ 3103 h 232"/>
                                <a:gd name="T32" fmla="+- 0 6478 5722"/>
                                <a:gd name="T33" fmla="*/ T32 w 790"/>
                                <a:gd name="T34" fmla="+- 0 3103 2876"/>
                                <a:gd name="T35" fmla="*/ 3103 h 232"/>
                                <a:gd name="T36" fmla="+- 0 6492 5722"/>
                                <a:gd name="T37" fmla="*/ T36 w 790"/>
                                <a:gd name="T38" fmla="+- 0 3088 2876"/>
                                <a:gd name="T39" fmla="*/ 3088 h 232"/>
                                <a:gd name="T40" fmla="+- 0 6478 5722"/>
                                <a:gd name="T41" fmla="*/ T40 w 790"/>
                                <a:gd name="T42" fmla="+- 0 3074 2876"/>
                                <a:gd name="T43" fmla="*/ 3074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90" h="232">
                                  <a:moveTo>
                                    <a:pt x="756" y="198"/>
                                  </a:moveTo>
                                  <a:lnTo>
                                    <a:pt x="746" y="208"/>
                                  </a:lnTo>
                                  <a:lnTo>
                                    <a:pt x="741" y="208"/>
                                  </a:lnTo>
                                  <a:lnTo>
                                    <a:pt x="736" y="212"/>
                                  </a:lnTo>
                                  <a:lnTo>
                                    <a:pt x="732" y="212"/>
                                  </a:lnTo>
                                  <a:lnTo>
                                    <a:pt x="732" y="232"/>
                                  </a:lnTo>
                                  <a:lnTo>
                                    <a:pt x="746" y="232"/>
                                  </a:lnTo>
                                  <a:lnTo>
                                    <a:pt x="751" y="227"/>
                                  </a:lnTo>
                                  <a:lnTo>
                                    <a:pt x="756" y="227"/>
                                  </a:lnTo>
                                  <a:lnTo>
                                    <a:pt x="770" y="212"/>
                                  </a:lnTo>
                                  <a:lnTo>
                                    <a:pt x="756" y="198"/>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4" name="Freeform 1468"/>
                          <wps:cNvSpPr>
                            <a:spLocks/>
                          </wps:cNvSpPr>
                          <wps:spPr bwMode="auto">
                            <a:xfrm>
                              <a:off x="5722" y="2876"/>
                              <a:ext cx="790" cy="232"/>
                            </a:xfrm>
                            <a:custGeom>
                              <a:avLst/>
                              <a:gdLst>
                                <a:gd name="T0" fmla="+- 0 5741 5722"/>
                                <a:gd name="T1" fmla="*/ T0 w 790"/>
                                <a:gd name="T2" fmla="+- 0 2895 2876"/>
                                <a:gd name="T3" fmla="*/ 2895 h 232"/>
                                <a:gd name="T4" fmla="+- 0 5736 5722"/>
                                <a:gd name="T5" fmla="*/ T4 w 790"/>
                                <a:gd name="T6" fmla="+- 0 2900 2876"/>
                                <a:gd name="T7" fmla="*/ 2900 h 232"/>
                                <a:gd name="T8" fmla="+- 0 5731 5722"/>
                                <a:gd name="T9" fmla="*/ T8 w 790"/>
                                <a:gd name="T10" fmla="+- 0 2910 2876"/>
                                <a:gd name="T11" fmla="*/ 2910 h 232"/>
                                <a:gd name="T12" fmla="+- 0 5726 5722"/>
                                <a:gd name="T13" fmla="*/ T12 w 790"/>
                                <a:gd name="T14" fmla="+- 0 2914 2876"/>
                                <a:gd name="T15" fmla="*/ 2914 h 232"/>
                                <a:gd name="T16" fmla="+- 0 5726 5722"/>
                                <a:gd name="T17" fmla="*/ T16 w 790"/>
                                <a:gd name="T18" fmla="+- 0 2919 2876"/>
                                <a:gd name="T19" fmla="*/ 2919 h 232"/>
                                <a:gd name="T20" fmla="+- 0 5722 5722"/>
                                <a:gd name="T21" fmla="*/ T20 w 790"/>
                                <a:gd name="T22" fmla="+- 0 2924 2876"/>
                                <a:gd name="T23" fmla="*/ 2924 h 232"/>
                                <a:gd name="T24" fmla="+- 0 5722 5722"/>
                                <a:gd name="T25" fmla="*/ T24 w 790"/>
                                <a:gd name="T26" fmla="+- 0 3060 2876"/>
                                <a:gd name="T27" fmla="*/ 3060 h 232"/>
                                <a:gd name="T28" fmla="+- 0 5726 5722"/>
                                <a:gd name="T29" fmla="*/ T28 w 790"/>
                                <a:gd name="T30" fmla="+- 0 3064 2876"/>
                                <a:gd name="T31" fmla="*/ 3064 h 232"/>
                                <a:gd name="T32" fmla="+- 0 5726 5722"/>
                                <a:gd name="T33" fmla="*/ T32 w 790"/>
                                <a:gd name="T34" fmla="+- 0 3069 2876"/>
                                <a:gd name="T35" fmla="*/ 3069 h 232"/>
                                <a:gd name="T36" fmla="+- 0 5731 5722"/>
                                <a:gd name="T37" fmla="*/ T36 w 790"/>
                                <a:gd name="T38" fmla="+- 0 3074 2876"/>
                                <a:gd name="T39" fmla="*/ 3074 h 232"/>
                                <a:gd name="T40" fmla="+- 0 5736 5722"/>
                                <a:gd name="T41" fmla="*/ T40 w 790"/>
                                <a:gd name="T42" fmla="+- 0 3084 2876"/>
                                <a:gd name="T43" fmla="*/ 3084 h 232"/>
                                <a:gd name="T44" fmla="+- 0 5741 5722"/>
                                <a:gd name="T45" fmla="*/ T44 w 790"/>
                                <a:gd name="T46" fmla="+- 0 3088 2876"/>
                                <a:gd name="T47" fmla="*/ 3088 h 232"/>
                                <a:gd name="T48" fmla="+- 0 5755 5722"/>
                                <a:gd name="T49" fmla="*/ T48 w 790"/>
                                <a:gd name="T50" fmla="+- 0 3074 2876"/>
                                <a:gd name="T51" fmla="*/ 3074 h 232"/>
                                <a:gd name="T52" fmla="+- 0 5746 5722"/>
                                <a:gd name="T53" fmla="*/ T52 w 790"/>
                                <a:gd name="T54" fmla="+- 0 3064 2876"/>
                                <a:gd name="T55" fmla="*/ 3064 h 232"/>
                                <a:gd name="T56" fmla="+- 0 5746 5722"/>
                                <a:gd name="T57" fmla="*/ T56 w 790"/>
                                <a:gd name="T58" fmla="+- 0 2919 2876"/>
                                <a:gd name="T59" fmla="*/ 2919 h 232"/>
                                <a:gd name="T60" fmla="+- 0 5755 5722"/>
                                <a:gd name="T61" fmla="*/ T60 w 790"/>
                                <a:gd name="T62" fmla="+- 0 2910 2876"/>
                                <a:gd name="T63" fmla="*/ 2910 h 232"/>
                                <a:gd name="T64" fmla="+- 0 5741 5722"/>
                                <a:gd name="T65" fmla="*/ T64 w 790"/>
                                <a:gd name="T66" fmla="+- 0 2895 2876"/>
                                <a:gd name="T67" fmla="*/ 289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0" h="232">
                                  <a:moveTo>
                                    <a:pt x="19" y="19"/>
                                  </a:moveTo>
                                  <a:lnTo>
                                    <a:pt x="14" y="24"/>
                                  </a:lnTo>
                                  <a:lnTo>
                                    <a:pt x="9" y="34"/>
                                  </a:lnTo>
                                  <a:lnTo>
                                    <a:pt x="4" y="38"/>
                                  </a:lnTo>
                                  <a:lnTo>
                                    <a:pt x="4" y="43"/>
                                  </a:lnTo>
                                  <a:lnTo>
                                    <a:pt x="0" y="48"/>
                                  </a:lnTo>
                                  <a:lnTo>
                                    <a:pt x="0" y="184"/>
                                  </a:lnTo>
                                  <a:lnTo>
                                    <a:pt x="4" y="188"/>
                                  </a:lnTo>
                                  <a:lnTo>
                                    <a:pt x="4" y="193"/>
                                  </a:lnTo>
                                  <a:lnTo>
                                    <a:pt x="9" y="198"/>
                                  </a:lnTo>
                                  <a:lnTo>
                                    <a:pt x="14" y="208"/>
                                  </a:lnTo>
                                  <a:lnTo>
                                    <a:pt x="19" y="212"/>
                                  </a:lnTo>
                                  <a:lnTo>
                                    <a:pt x="33" y="198"/>
                                  </a:lnTo>
                                  <a:lnTo>
                                    <a:pt x="24" y="188"/>
                                  </a:lnTo>
                                  <a:lnTo>
                                    <a:pt x="24" y="43"/>
                                  </a:lnTo>
                                  <a:lnTo>
                                    <a:pt x="33" y="34"/>
                                  </a:lnTo>
                                  <a:lnTo>
                                    <a:pt x="19" y="1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6" name="Freeform 1469"/>
                          <wps:cNvSpPr>
                            <a:spLocks/>
                          </wps:cNvSpPr>
                          <wps:spPr bwMode="auto">
                            <a:xfrm>
                              <a:off x="5722" y="2876"/>
                              <a:ext cx="790" cy="232"/>
                            </a:xfrm>
                            <a:custGeom>
                              <a:avLst/>
                              <a:gdLst>
                                <a:gd name="T0" fmla="+- 0 6492 5722"/>
                                <a:gd name="T1" fmla="*/ T0 w 790"/>
                                <a:gd name="T2" fmla="+- 0 2895 2876"/>
                                <a:gd name="T3" fmla="*/ 2895 h 232"/>
                                <a:gd name="T4" fmla="+- 0 6478 5722"/>
                                <a:gd name="T5" fmla="*/ T4 w 790"/>
                                <a:gd name="T6" fmla="+- 0 2910 2876"/>
                                <a:gd name="T7" fmla="*/ 2910 h 232"/>
                                <a:gd name="T8" fmla="+- 0 6487 5722"/>
                                <a:gd name="T9" fmla="*/ T8 w 790"/>
                                <a:gd name="T10" fmla="+- 0 2919 2876"/>
                                <a:gd name="T11" fmla="*/ 2919 h 232"/>
                                <a:gd name="T12" fmla="+- 0 6487 5722"/>
                                <a:gd name="T13" fmla="*/ T12 w 790"/>
                                <a:gd name="T14" fmla="+- 0 2924 2876"/>
                                <a:gd name="T15" fmla="*/ 2924 h 232"/>
                                <a:gd name="T16" fmla="+- 0 6492 5722"/>
                                <a:gd name="T17" fmla="*/ T16 w 790"/>
                                <a:gd name="T18" fmla="+- 0 2924 2876"/>
                                <a:gd name="T19" fmla="*/ 2924 h 232"/>
                                <a:gd name="T20" fmla="+- 0 6492 5722"/>
                                <a:gd name="T21" fmla="*/ T20 w 790"/>
                                <a:gd name="T22" fmla="+- 0 3060 2876"/>
                                <a:gd name="T23" fmla="*/ 3060 h 232"/>
                                <a:gd name="T24" fmla="+- 0 6487 5722"/>
                                <a:gd name="T25" fmla="*/ T24 w 790"/>
                                <a:gd name="T26" fmla="+- 0 3060 2876"/>
                                <a:gd name="T27" fmla="*/ 3060 h 232"/>
                                <a:gd name="T28" fmla="+- 0 6487 5722"/>
                                <a:gd name="T29" fmla="*/ T28 w 790"/>
                                <a:gd name="T30" fmla="+- 0 3064 2876"/>
                                <a:gd name="T31" fmla="*/ 3064 h 232"/>
                                <a:gd name="T32" fmla="+- 0 6478 5722"/>
                                <a:gd name="T33" fmla="*/ T32 w 790"/>
                                <a:gd name="T34" fmla="+- 0 3074 2876"/>
                                <a:gd name="T35" fmla="*/ 3074 h 232"/>
                                <a:gd name="T36" fmla="+- 0 6492 5722"/>
                                <a:gd name="T37" fmla="*/ T36 w 790"/>
                                <a:gd name="T38" fmla="+- 0 3088 2876"/>
                                <a:gd name="T39" fmla="*/ 3088 h 232"/>
                                <a:gd name="T40" fmla="+- 0 6502 5722"/>
                                <a:gd name="T41" fmla="*/ T40 w 790"/>
                                <a:gd name="T42" fmla="+- 0 3084 2876"/>
                                <a:gd name="T43" fmla="*/ 3084 h 232"/>
                                <a:gd name="T44" fmla="+- 0 6506 5722"/>
                                <a:gd name="T45" fmla="*/ T44 w 790"/>
                                <a:gd name="T46" fmla="+- 0 3074 2876"/>
                                <a:gd name="T47" fmla="*/ 3074 h 232"/>
                                <a:gd name="T48" fmla="+- 0 6506 5722"/>
                                <a:gd name="T49" fmla="*/ T48 w 790"/>
                                <a:gd name="T50" fmla="+- 0 3069 2876"/>
                                <a:gd name="T51" fmla="*/ 3069 h 232"/>
                                <a:gd name="T52" fmla="+- 0 6511 5722"/>
                                <a:gd name="T53" fmla="*/ T52 w 790"/>
                                <a:gd name="T54" fmla="+- 0 3064 2876"/>
                                <a:gd name="T55" fmla="*/ 3064 h 232"/>
                                <a:gd name="T56" fmla="+- 0 6511 5722"/>
                                <a:gd name="T57" fmla="*/ T56 w 790"/>
                                <a:gd name="T58" fmla="+- 0 2919 2876"/>
                                <a:gd name="T59" fmla="*/ 2919 h 232"/>
                                <a:gd name="T60" fmla="+- 0 6506 5722"/>
                                <a:gd name="T61" fmla="*/ T60 w 790"/>
                                <a:gd name="T62" fmla="+- 0 2914 2876"/>
                                <a:gd name="T63" fmla="*/ 2914 h 232"/>
                                <a:gd name="T64" fmla="+- 0 6506 5722"/>
                                <a:gd name="T65" fmla="*/ T64 w 790"/>
                                <a:gd name="T66" fmla="+- 0 2910 2876"/>
                                <a:gd name="T67" fmla="*/ 2910 h 232"/>
                                <a:gd name="T68" fmla="+- 0 6502 5722"/>
                                <a:gd name="T69" fmla="*/ T68 w 790"/>
                                <a:gd name="T70" fmla="+- 0 2900 2876"/>
                                <a:gd name="T71" fmla="*/ 2900 h 232"/>
                                <a:gd name="T72" fmla="+- 0 6492 5722"/>
                                <a:gd name="T73" fmla="*/ T72 w 790"/>
                                <a:gd name="T74" fmla="+- 0 2895 2876"/>
                                <a:gd name="T75" fmla="*/ 289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90" h="232">
                                  <a:moveTo>
                                    <a:pt x="770" y="19"/>
                                  </a:moveTo>
                                  <a:lnTo>
                                    <a:pt x="756" y="34"/>
                                  </a:lnTo>
                                  <a:lnTo>
                                    <a:pt x="765" y="43"/>
                                  </a:lnTo>
                                  <a:lnTo>
                                    <a:pt x="765" y="48"/>
                                  </a:lnTo>
                                  <a:lnTo>
                                    <a:pt x="770" y="48"/>
                                  </a:lnTo>
                                  <a:lnTo>
                                    <a:pt x="770" y="184"/>
                                  </a:lnTo>
                                  <a:lnTo>
                                    <a:pt x="765" y="184"/>
                                  </a:lnTo>
                                  <a:lnTo>
                                    <a:pt x="765" y="188"/>
                                  </a:lnTo>
                                  <a:lnTo>
                                    <a:pt x="756" y="198"/>
                                  </a:lnTo>
                                  <a:lnTo>
                                    <a:pt x="770" y="212"/>
                                  </a:lnTo>
                                  <a:lnTo>
                                    <a:pt x="780" y="208"/>
                                  </a:lnTo>
                                  <a:lnTo>
                                    <a:pt x="784" y="198"/>
                                  </a:lnTo>
                                  <a:lnTo>
                                    <a:pt x="784" y="193"/>
                                  </a:lnTo>
                                  <a:lnTo>
                                    <a:pt x="789" y="188"/>
                                  </a:lnTo>
                                  <a:lnTo>
                                    <a:pt x="789" y="43"/>
                                  </a:lnTo>
                                  <a:lnTo>
                                    <a:pt x="784" y="38"/>
                                  </a:lnTo>
                                  <a:lnTo>
                                    <a:pt x="784" y="34"/>
                                  </a:lnTo>
                                  <a:lnTo>
                                    <a:pt x="780" y="24"/>
                                  </a:lnTo>
                                  <a:lnTo>
                                    <a:pt x="770" y="19"/>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7" name="Freeform 1470"/>
                          <wps:cNvSpPr>
                            <a:spLocks/>
                          </wps:cNvSpPr>
                          <wps:spPr bwMode="auto">
                            <a:xfrm>
                              <a:off x="5722" y="2876"/>
                              <a:ext cx="790" cy="232"/>
                            </a:xfrm>
                            <a:custGeom>
                              <a:avLst/>
                              <a:gdLst>
                                <a:gd name="T0" fmla="+- 0 5774 5722"/>
                                <a:gd name="T1" fmla="*/ T0 w 790"/>
                                <a:gd name="T2" fmla="+- 0 2876 2876"/>
                                <a:gd name="T3" fmla="*/ 2876 h 232"/>
                                <a:gd name="T4" fmla="+- 0 5765 5722"/>
                                <a:gd name="T5" fmla="*/ T4 w 790"/>
                                <a:gd name="T6" fmla="+- 0 2881 2876"/>
                                <a:gd name="T7" fmla="*/ 2881 h 232"/>
                                <a:gd name="T8" fmla="+- 0 5760 5722"/>
                                <a:gd name="T9" fmla="*/ T8 w 790"/>
                                <a:gd name="T10" fmla="+- 0 2886 2876"/>
                                <a:gd name="T11" fmla="*/ 2886 h 232"/>
                                <a:gd name="T12" fmla="+- 0 5755 5722"/>
                                <a:gd name="T13" fmla="*/ T12 w 790"/>
                                <a:gd name="T14" fmla="+- 0 2886 2876"/>
                                <a:gd name="T15" fmla="*/ 2886 h 232"/>
                                <a:gd name="T16" fmla="+- 0 5750 5722"/>
                                <a:gd name="T17" fmla="*/ T16 w 790"/>
                                <a:gd name="T18" fmla="+- 0 2890 2876"/>
                                <a:gd name="T19" fmla="*/ 2890 h 232"/>
                                <a:gd name="T20" fmla="+- 0 5746 5722"/>
                                <a:gd name="T21" fmla="*/ T20 w 790"/>
                                <a:gd name="T22" fmla="+- 0 2890 2876"/>
                                <a:gd name="T23" fmla="*/ 2890 h 232"/>
                                <a:gd name="T24" fmla="+- 0 5741 5722"/>
                                <a:gd name="T25" fmla="*/ T24 w 790"/>
                                <a:gd name="T26" fmla="+- 0 2895 2876"/>
                                <a:gd name="T27" fmla="*/ 2895 h 232"/>
                                <a:gd name="T28" fmla="+- 0 5755 5722"/>
                                <a:gd name="T29" fmla="*/ T28 w 790"/>
                                <a:gd name="T30" fmla="+- 0 2910 2876"/>
                                <a:gd name="T31" fmla="*/ 2910 h 232"/>
                                <a:gd name="T32" fmla="+- 0 5755 5722"/>
                                <a:gd name="T33" fmla="*/ T32 w 790"/>
                                <a:gd name="T34" fmla="+- 0 2905 2876"/>
                                <a:gd name="T35" fmla="*/ 2905 h 232"/>
                                <a:gd name="T36" fmla="+- 0 5765 5722"/>
                                <a:gd name="T37" fmla="*/ T36 w 790"/>
                                <a:gd name="T38" fmla="+- 0 2905 2876"/>
                                <a:gd name="T39" fmla="*/ 2905 h 232"/>
                                <a:gd name="T40" fmla="+- 0 5765 5722"/>
                                <a:gd name="T41" fmla="*/ T40 w 790"/>
                                <a:gd name="T42" fmla="+- 0 2900 2876"/>
                                <a:gd name="T43" fmla="*/ 2900 h 232"/>
                                <a:gd name="T44" fmla="+- 0 5774 5722"/>
                                <a:gd name="T45" fmla="*/ T44 w 790"/>
                                <a:gd name="T46" fmla="+- 0 2900 2876"/>
                                <a:gd name="T47" fmla="*/ 2900 h 232"/>
                                <a:gd name="T48" fmla="+- 0 5774 5722"/>
                                <a:gd name="T49" fmla="*/ T48 w 790"/>
                                <a:gd name="T50" fmla="+- 0 2881 2876"/>
                                <a:gd name="T51" fmla="*/ 2881 h 232"/>
                                <a:gd name="T52" fmla="+- 0 5777 5722"/>
                                <a:gd name="T53" fmla="*/ T52 w 790"/>
                                <a:gd name="T54" fmla="+- 0 2881 2876"/>
                                <a:gd name="T55" fmla="*/ 2881 h 232"/>
                                <a:gd name="T56" fmla="+- 0 5774 5722"/>
                                <a:gd name="T57" fmla="*/ T56 w 790"/>
                                <a:gd name="T58" fmla="+- 0 2876 2876"/>
                                <a:gd name="T59" fmla="*/ 2876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0" h="232">
                                  <a:moveTo>
                                    <a:pt x="52" y="0"/>
                                  </a:moveTo>
                                  <a:lnTo>
                                    <a:pt x="43" y="5"/>
                                  </a:lnTo>
                                  <a:lnTo>
                                    <a:pt x="38" y="10"/>
                                  </a:lnTo>
                                  <a:lnTo>
                                    <a:pt x="33" y="10"/>
                                  </a:lnTo>
                                  <a:lnTo>
                                    <a:pt x="28" y="14"/>
                                  </a:lnTo>
                                  <a:lnTo>
                                    <a:pt x="24" y="14"/>
                                  </a:lnTo>
                                  <a:lnTo>
                                    <a:pt x="19" y="19"/>
                                  </a:lnTo>
                                  <a:lnTo>
                                    <a:pt x="33" y="34"/>
                                  </a:lnTo>
                                  <a:lnTo>
                                    <a:pt x="33" y="29"/>
                                  </a:lnTo>
                                  <a:lnTo>
                                    <a:pt x="43" y="29"/>
                                  </a:lnTo>
                                  <a:lnTo>
                                    <a:pt x="43" y="24"/>
                                  </a:lnTo>
                                  <a:lnTo>
                                    <a:pt x="52" y="24"/>
                                  </a:lnTo>
                                  <a:lnTo>
                                    <a:pt x="52" y="5"/>
                                  </a:lnTo>
                                  <a:lnTo>
                                    <a:pt x="55" y="5"/>
                                  </a:lnTo>
                                  <a:lnTo>
                                    <a:pt x="52"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8" name="Freeform 1471"/>
                          <wps:cNvSpPr>
                            <a:spLocks/>
                          </wps:cNvSpPr>
                          <wps:spPr bwMode="auto">
                            <a:xfrm>
                              <a:off x="5722" y="2876"/>
                              <a:ext cx="790" cy="232"/>
                            </a:xfrm>
                            <a:custGeom>
                              <a:avLst/>
                              <a:gdLst>
                                <a:gd name="T0" fmla="+- 0 6458 5722"/>
                                <a:gd name="T1" fmla="*/ T0 w 790"/>
                                <a:gd name="T2" fmla="+- 0 2876 2876"/>
                                <a:gd name="T3" fmla="*/ 2876 h 232"/>
                                <a:gd name="T4" fmla="+- 0 6458 5722"/>
                                <a:gd name="T5" fmla="*/ T4 w 790"/>
                                <a:gd name="T6" fmla="+- 0 2900 2876"/>
                                <a:gd name="T7" fmla="*/ 2900 h 232"/>
                                <a:gd name="T8" fmla="+- 0 6468 5722"/>
                                <a:gd name="T9" fmla="*/ T8 w 790"/>
                                <a:gd name="T10" fmla="+- 0 2900 2876"/>
                                <a:gd name="T11" fmla="*/ 2900 h 232"/>
                                <a:gd name="T12" fmla="+- 0 6478 5722"/>
                                <a:gd name="T13" fmla="*/ T12 w 790"/>
                                <a:gd name="T14" fmla="+- 0 2910 2876"/>
                                <a:gd name="T15" fmla="*/ 2910 h 232"/>
                                <a:gd name="T16" fmla="+- 0 6492 5722"/>
                                <a:gd name="T17" fmla="*/ T16 w 790"/>
                                <a:gd name="T18" fmla="+- 0 2895 2876"/>
                                <a:gd name="T19" fmla="*/ 2895 h 232"/>
                                <a:gd name="T20" fmla="+- 0 6478 5722"/>
                                <a:gd name="T21" fmla="*/ T20 w 790"/>
                                <a:gd name="T22" fmla="+- 0 2881 2876"/>
                                <a:gd name="T23" fmla="*/ 2881 h 232"/>
                                <a:gd name="T24" fmla="+- 0 6463 5722"/>
                                <a:gd name="T25" fmla="*/ T24 w 790"/>
                                <a:gd name="T26" fmla="+- 0 2881 2876"/>
                                <a:gd name="T27" fmla="*/ 2881 h 232"/>
                                <a:gd name="T28" fmla="+- 0 6458 5722"/>
                                <a:gd name="T29" fmla="*/ T28 w 790"/>
                                <a:gd name="T30" fmla="+- 0 2876 2876"/>
                                <a:gd name="T31" fmla="*/ 2876 h 2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90" h="232">
                                  <a:moveTo>
                                    <a:pt x="736" y="0"/>
                                  </a:moveTo>
                                  <a:lnTo>
                                    <a:pt x="736" y="24"/>
                                  </a:lnTo>
                                  <a:lnTo>
                                    <a:pt x="746" y="24"/>
                                  </a:lnTo>
                                  <a:lnTo>
                                    <a:pt x="756" y="34"/>
                                  </a:lnTo>
                                  <a:lnTo>
                                    <a:pt x="770" y="19"/>
                                  </a:lnTo>
                                  <a:lnTo>
                                    <a:pt x="756" y="5"/>
                                  </a:lnTo>
                                  <a:lnTo>
                                    <a:pt x="741" y="5"/>
                                  </a:lnTo>
                                  <a:lnTo>
                                    <a:pt x="736"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9" name="Freeform 1472"/>
                          <wps:cNvSpPr>
                            <a:spLocks/>
                          </wps:cNvSpPr>
                          <wps:spPr bwMode="auto">
                            <a:xfrm>
                              <a:off x="5722" y="2876"/>
                              <a:ext cx="790" cy="232"/>
                            </a:xfrm>
                            <a:custGeom>
                              <a:avLst/>
                              <a:gdLst>
                                <a:gd name="T0" fmla="+- 0 5777 5722"/>
                                <a:gd name="T1" fmla="*/ T0 w 790"/>
                                <a:gd name="T2" fmla="+- 0 2881 2876"/>
                                <a:gd name="T3" fmla="*/ 2881 h 232"/>
                                <a:gd name="T4" fmla="+- 0 5774 5722"/>
                                <a:gd name="T5" fmla="*/ T4 w 790"/>
                                <a:gd name="T6" fmla="+- 0 2881 2876"/>
                                <a:gd name="T7" fmla="*/ 2881 h 232"/>
                                <a:gd name="T8" fmla="+- 0 5774 5722"/>
                                <a:gd name="T9" fmla="*/ T8 w 790"/>
                                <a:gd name="T10" fmla="+- 0 2900 2876"/>
                                <a:gd name="T11" fmla="*/ 2900 h 232"/>
                                <a:gd name="T12" fmla="+- 0 5784 5722"/>
                                <a:gd name="T13" fmla="*/ T12 w 790"/>
                                <a:gd name="T14" fmla="+- 0 2895 2876"/>
                                <a:gd name="T15" fmla="*/ 2895 h 232"/>
                                <a:gd name="T16" fmla="+- 0 5777 5722"/>
                                <a:gd name="T17" fmla="*/ T16 w 790"/>
                                <a:gd name="T18" fmla="+- 0 2881 2876"/>
                                <a:gd name="T19" fmla="*/ 2881 h 232"/>
                              </a:gdLst>
                              <a:ahLst/>
                              <a:cxnLst>
                                <a:cxn ang="0">
                                  <a:pos x="T1" y="T3"/>
                                </a:cxn>
                                <a:cxn ang="0">
                                  <a:pos x="T5" y="T7"/>
                                </a:cxn>
                                <a:cxn ang="0">
                                  <a:pos x="T9" y="T11"/>
                                </a:cxn>
                                <a:cxn ang="0">
                                  <a:pos x="T13" y="T15"/>
                                </a:cxn>
                                <a:cxn ang="0">
                                  <a:pos x="T17" y="T19"/>
                                </a:cxn>
                              </a:cxnLst>
                              <a:rect l="0" t="0" r="r" b="b"/>
                              <a:pathLst>
                                <a:path w="790" h="232">
                                  <a:moveTo>
                                    <a:pt x="55" y="5"/>
                                  </a:moveTo>
                                  <a:lnTo>
                                    <a:pt x="52" y="5"/>
                                  </a:lnTo>
                                  <a:lnTo>
                                    <a:pt x="52" y="24"/>
                                  </a:lnTo>
                                  <a:lnTo>
                                    <a:pt x="62" y="19"/>
                                  </a:lnTo>
                                  <a:lnTo>
                                    <a:pt x="55" y="5"/>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0" name="Freeform 1473"/>
                          <wps:cNvSpPr>
                            <a:spLocks/>
                          </wps:cNvSpPr>
                          <wps:spPr bwMode="auto">
                            <a:xfrm>
                              <a:off x="5722" y="2876"/>
                              <a:ext cx="790" cy="232"/>
                            </a:xfrm>
                            <a:custGeom>
                              <a:avLst/>
                              <a:gdLst>
                                <a:gd name="T0" fmla="+- 0 6458 5722"/>
                                <a:gd name="T1" fmla="*/ T0 w 790"/>
                                <a:gd name="T2" fmla="+- 0 2876 2876"/>
                                <a:gd name="T3" fmla="*/ 2876 h 232"/>
                                <a:gd name="T4" fmla="+- 0 5777 5722"/>
                                <a:gd name="T5" fmla="*/ T4 w 790"/>
                                <a:gd name="T6" fmla="+- 0 2881 2876"/>
                                <a:gd name="T7" fmla="*/ 2881 h 232"/>
                                <a:gd name="T8" fmla="+- 0 5784 5722"/>
                                <a:gd name="T9" fmla="*/ T8 w 790"/>
                                <a:gd name="T10" fmla="+- 0 2895 2876"/>
                                <a:gd name="T11" fmla="*/ 2895 h 232"/>
                                <a:gd name="T12" fmla="+- 0 5774 5722"/>
                                <a:gd name="T13" fmla="*/ T12 w 790"/>
                                <a:gd name="T14" fmla="+- 0 2900 2876"/>
                                <a:gd name="T15" fmla="*/ 2900 h 232"/>
                                <a:gd name="T16" fmla="+- 0 6458 5722"/>
                                <a:gd name="T17" fmla="*/ T16 w 790"/>
                                <a:gd name="T18" fmla="+- 0 2900 2876"/>
                                <a:gd name="T19" fmla="*/ 2900 h 232"/>
                                <a:gd name="T20" fmla="+- 0 6458 5722"/>
                                <a:gd name="T21" fmla="*/ T20 w 790"/>
                                <a:gd name="T22" fmla="+- 0 2876 2876"/>
                                <a:gd name="T23" fmla="*/ 2876 h 232"/>
                              </a:gdLst>
                              <a:ahLst/>
                              <a:cxnLst>
                                <a:cxn ang="0">
                                  <a:pos x="T1" y="T3"/>
                                </a:cxn>
                                <a:cxn ang="0">
                                  <a:pos x="T5" y="T7"/>
                                </a:cxn>
                                <a:cxn ang="0">
                                  <a:pos x="T9" y="T11"/>
                                </a:cxn>
                                <a:cxn ang="0">
                                  <a:pos x="T13" y="T15"/>
                                </a:cxn>
                                <a:cxn ang="0">
                                  <a:pos x="T17" y="T19"/>
                                </a:cxn>
                                <a:cxn ang="0">
                                  <a:pos x="T21" y="T23"/>
                                </a:cxn>
                              </a:cxnLst>
                              <a:rect l="0" t="0" r="r" b="b"/>
                              <a:pathLst>
                                <a:path w="790" h="232">
                                  <a:moveTo>
                                    <a:pt x="736" y="0"/>
                                  </a:moveTo>
                                  <a:lnTo>
                                    <a:pt x="55" y="5"/>
                                  </a:lnTo>
                                  <a:lnTo>
                                    <a:pt x="62" y="19"/>
                                  </a:lnTo>
                                  <a:lnTo>
                                    <a:pt x="52" y="24"/>
                                  </a:lnTo>
                                  <a:lnTo>
                                    <a:pt x="736" y="24"/>
                                  </a:lnTo>
                                  <a:lnTo>
                                    <a:pt x="736" y="0"/>
                                  </a:lnTo>
                                  <a:close/>
                                </a:path>
                              </a:pathLst>
                            </a:custGeom>
                            <a:solidFill>
                              <a:srgbClr val="1214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1" name="Group 1474"/>
                        <wpg:cNvGrpSpPr>
                          <a:grpSpLocks/>
                        </wpg:cNvGrpSpPr>
                        <wpg:grpSpPr bwMode="auto">
                          <a:xfrm>
                            <a:off x="8489" y="2748"/>
                            <a:ext cx="270" cy="2"/>
                            <a:chOff x="8489" y="2748"/>
                            <a:chExt cx="270" cy="2"/>
                          </a:xfrm>
                        </wpg:grpSpPr>
                        <wps:wsp>
                          <wps:cNvPr id="3302" name="Freeform 1475"/>
                          <wps:cNvSpPr>
                            <a:spLocks/>
                          </wps:cNvSpPr>
                          <wps:spPr bwMode="auto">
                            <a:xfrm>
                              <a:off x="8489" y="2748"/>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3" name="Group 1476"/>
                        <wpg:cNvGrpSpPr>
                          <a:grpSpLocks/>
                        </wpg:cNvGrpSpPr>
                        <wpg:grpSpPr bwMode="auto">
                          <a:xfrm>
                            <a:off x="8489" y="2791"/>
                            <a:ext cx="270" cy="2"/>
                            <a:chOff x="8489" y="2791"/>
                            <a:chExt cx="270" cy="2"/>
                          </a:xfrm>
                        </wpg:grpSpPr>
                        <wps:wsp>
                          <wps:cNvPr id="3304" name="Freeform 1477"/>
                          <wps:cNvSpPr>
                            <a:spLocks/>
                          </wps:cNvSpPr>
                          <wps:spPr bwMode="auto">
                            <a:xfrm>
                              <a:off x="8489" y="2791"/>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5" name="Group 1478"/>
                        <wpg:cNvGrpSpPr>
                          <a:grpSpLocks/>
                        </wpg:cNvGrpSpPr>
                        <wpg:grpSpPr bwMode="auto">
                          <a:xfrm>
                            <a:off x="8489" y="2827"/>
                            <a:ext cx="270" cy="2"/>
                            <a:chOff x="8489" y="2827"/>
                            <a:chExt cx="270" cy="2"/>
                          </a:xfrm>
                        </wpg:grpSpPr>
                        <wps:wsp>
                          <wps:cNvPr id="3306" name="Freeform 1479"/>
                          <wps:cNvSpPr>
                            <a:spLocks/>
                          </wps:cNvSpPr>
                          <wps:spPr bwMode="auto">
                            <a:xfrm>
                              <a:off x="8489" y="2827"/>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7" name="Group 1480"/>
                        <wpg:cNvGrpSpPr>
                          <a:grpSpLocks/>
                        </wpg:cNvGrpSpPr>
                        <wpg:grpSpPr bwMode="auto">
                          <a:xfrm>
                            <a:off x="8489" y="2626"/>
                            <a:ext cx="270" cy="2"/>
                            <a:chOff x="8489" y="2626"/>
                            <a:chExt cx="270" cy="2"/>
                          </a:xfrm>
                        </wpg:grpSpPr>
                        <wps:wsp>
                          <wps:cNvPr id="3308" name="Freeform 1481"/>
                          <wps:cNvSpPr>
                            <a:spLocks/>
                          </wps:cNvSpPr>
                          <wps:spPr bwMode="auto">
                            <a:xfrm>
                              <a:off x="8489" y="2626"/>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9" name="Group 1482"/>
                        <wpg:cNvGrpSpPr>
                          <a:grpSpLocks/>
                        </wpg:cNvGrpSpPr>
                        <wpg:grpSpPr bwMode="auto">
                          <a:xfrm>
                            <a:off x="8489" y="2670"/>
                            <a:ext cx="270" cy="2"/>
                            <a:chOff x="8489" y="2670"/>
                            <a:chExt cx="270" cy="2"/>
                          </a:xfrm>
                        </wpg:grpSpPr>
                        <wps:wsp>
                          <wps:cNvPr id="3310" name="Freeform 1483"/>
                          <wps:cNvSpPr>
                            <a:spLocks/>
                          </wps:cNvSpPr>
                          <wps:spPr bwMode="auto">
                            <a:xfrm>
                              <a:off x="8489" y="2670"/>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1" name="Group 1484"/>
                        <wpg:cNvGrpSpPr>
                          <a:grpSpLocks/>
                        </wpg:cNvGrpSpPr>
                        <wpg:grpSpPr bwMode="auto">
                          <a:xfrm>
                            <a:off x="8489" y="2712"/>
                            <a:ext cx="270" cy="2"/>
                            <a:chOff x="8489" y="2712"/>
                            <a:chExt cx="270" cy="2"/>
                          </a:xfrm>
                        </wpg:grpSpPr>
                        <wps:wsp>
                          <wps:cNvPr id="3312" name="Freeform 1485"/>
                          <wps:cNvSpPr>
                            <a:spLocks/>
                          </wps:cNvSpPr>
                          <wps:spPr bwMode="auto">
                            <a:xfrm>
                              <a:off x="8489" y="2712"/>
                              <a:ext cx="270" cy="2"/>
                            </a:xfrm>
                            <a:custGeom>
                              <a:avLst/>
                              <a:gdLst>
                                <a:gd name="T0" fmla="+- 0 8489 8489"/>
                                <a:gd name="T1" fmla="*/ T0 w 270"/>
                                <a:gd name="T2" fmla="+- 0 8759 8489"/>
                                <a:gd name="T3" fmla="*/ T2 w 270"/>
                              </a:gdLst>
                              <a:ahLst/>
                              <a:cxnLst>
                                <a:cxn ang="0">
                                  <a:pos x="T1" y="0"/>
                                </a:cxn>
                                <a:cxn ang="0">
                                  <a:pos x="T3" y="0"/>
                                </a:cxn>
                              </a:cxnLst>
                              <a:rect l="0" t="0" r="r" b="b"/>
                              <a:pathLst>
                                <a:path w="270">
                                  <a:moveTo>
                                    <a:pt x="0" y="0"/>
                                  </a:moveTo>
                                  <a:lnTo>
                                    <a:pt x="270"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3" name="Group 1486"/>
                        <wpg:cNvGrpSpPr>
                          <a:grpSpLocks/>
                        </wpg:cNvGrpSpPr>
                        <wpg:grpSpPr bwMode="auto">
                          <a:xfrm>
                            <a:off x="2801" y="1465"/>
                            <a:ext cx="6661" cy="2759"/>
                            <a:chOff x="2801" y="1465"/>
                            <a:chExt cx="6661" cy="2759"/>
                          </a:xfrm>
                        </wpg:grpSpPr>
                        <wps:wsp>
                          <wps:cNvPr id="3314" name="Freeform 1487"/>
                          <wps:cNvSpPr>
                            <a:spLocks/>
                          </wps:cNvSpPr>
                          <wps:spPr bwMode="auto">
                            <a:xfrm>
                              <a:off x="2801" y="1465"/>
                              <a:ext cx="6661" cy="2759"/>
                            </a:xfrm>
                            <a:custGeom>
                              <a:avLst/>
                              <a:gdLst>
                                <a:gd name="T0" fmla="+- 0 9462 2801"/>
                                <a:gd name="T1" fmla="*/ T0 w 6661"/>
                                <a:gd name="T2" fmla="+- 0 4224 1465"/>
                                <a:gd name="T3" fmla="*/ 4224 h 2759"/>
                                <a:gd name="T4" fmla="+- 0 2801 2801"/>
                                <a:gd name="T5" fmla="*/ T4 w 6661"/>
                                <a:gd name="T6" fmla="+- 0 4224 1465"/>
                                <a:gd name="T7" fmla="*/ 4224 h 2759"/>
                                <a:gd name="T8" fmla="+- 0 2801 2801"/>
                                <a:gd name="T9" fmla="*/ T8 w 6661"/>
                                <a:gd name="T10" fmla="+- 0 1465 1465"/>
                                <a:gd name="T11" fmla="*/ 1465 h 2759"/>
                                <a:gd name="T12" fmla="+- 0 9462 2801"/>
                                <a:gd name="T13" fmla="*/ T12 w 6661"/>
                                <a:gd name="T14" fmla="+- 0 1465 1465"/>
                                <a:gd name="T15" fmla="*/ 1465 h 2759"/>
                                <a:gd name="T16" fmla="+- 0 9462 2801"/>
                                <a:gd name="T17" fmla="*/ T16 w 6661"/>
                                <a:gd name="T18" fmla="+- 0 4224 1465"/>
                                <a:gd name="T19" fmla="*/ 4224 h 2759"/>
                              </a:gdLst>
                              <a:ahLst/>
                              <a:cxnLst>
                                <a:cxn ang="0">
                                  <a:pos x="T1" y="T3"/>
                                </a:cxn>
                                <a:cxn ang="0">
                                  <a:pos x="T5" y="T7"/>
                                </a:cxn>
                                <a:cxn ang="0">
                                  <a:pos x="T9" y="T11"/>
                                </a:cxn>
                                <a:cxn ang="0">
                                  <a:pos x="T13" y="T15"/>
                                </a:cxn>
                                <a:cxn ang="0">
                                  <a:pos x="T17" y="T19"/>
                                </a:cxn>
                              </a:cxnLst>
                              <a:rect l="0" t="0" r="r" b="b"/>
                              <a:pathLst>
                                <a:path w="6661" h="2759">
                                  <a:moveTo>
                                    <a:pt x="6661" y="2759"/>
                                  </a:moveTo>
                                  <a:lnTo>
                                    <a:pt x="0" y="2759"/>
                                  </a:lnTo>
                                  <a:lnTo>
                                    <a:pt x="0" y="0"/>
                                  </a:lnTo>
                                  <a:lnTo>
                                    <a:pt x="6661" y="0"/>
                                  </a:lnTo>
                                  <a:lnTo>
                                    <a:pt x="6661" y="2759"/>
                                  </a:lnTo>
                                  <a:close/>
                                </a:path>
                              </a:pathLst>
                            </a:custGeom>
                            <a:noFill/>
                            <a:ln w="6109">
                              <a:solidFill>
                                <a:srgbClr val="1E19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5" name="Group 1488"/>
                        <wpg:cNvGrpSpPr>
                          <a:grpSpLocks/>
                        </wpg:cNvGrpSpPr>
                        <wpg:grpSpPr bwMode="auto">
                          <a:xfrm>
                            <a:off x="3263" y="2748"/>
                            <a:ext cx="269" cy="2"/>
                            <a:chOff x="3263" y="2748"/>
                            <a:chExt cx="269" cy="2"/>
                          </a:xfrm>
                        </wpg:grpSpPr>
                        <wps:wsp>
                          <wps:cNvPr id="3316" name="Freeform 1489"/>
                          <wps:cNvSpPr>
                            <a:spLocks/>
                          </wps:cNvSpPr>
                          <wps:spPr bwMode="auto">
                            <a:xfrm>
                              <a:off x="3263" y="2748"/>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7" name="Group 1490"/>
                        <wpg:cNvGrpSpPr>
                          <a:grpSpLocks/>
                        </wpg:cNvGrpSpPr>
                        <wpg:grpSpPr bwMode="auto">
                          <a:xfrm>
                            <a:off x="3263" y="2791"/>
                            <a:ext cx="269" cy="2"/>
                            <a:chOff x="3263" y="2791"/>
                            <a:chExt cx="269" cy="2"/>
                          </a:xfrm>
                        </wpg:grpSpPr>
                        <wps:wsp>
                          <wps:cNvPr id="3318" name="Freeform 1491"/>
                          <wps:cNvSpPr>
                            <a:spLocks/>
                          </wps:cNvSpPr>
                          <wps:spPr bwMode="auto">
                            <a:xfrm>
                              <a:off x="3263" y="2791"/>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9" name="Group 1492"/>
                        <wpg:cNvGrpSpPr>
                          <a:grpSpLocks/>
                        </wpg:cNvGrpSpPr>
                        <wpg:grpSpPr bwMode="auto">
                          <a:xfrm>
                            <a:off x="3263" y="2827"/>
                            <a:ext cx="269" cy="2"/>
                            <a:chOff x="3263" y="2827"/>
                            <a:chExt cx="269" cy="2"/>
                          </a:xfrm>
                        </wpg:grpSpPr>
                        <wps:wsp>
                          <wps:cNvPr id="3320" name="Freeform 1493"/>
                          <wps:cNvSpPr>
                            <a:spLocks/>
                          </wps:cNvSpPr>
                          <wps:spPr bwMode="auto">
                            <a:xfrm>
                              <a:off x="3263" y="2827"/>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1" name="Group 1494"/>
                        <wpg:cNvGrpSpPr>
                          <a:grpSpLocks/>
                        </wpg:cNvGrpSpPr>
                        <wpg:grpSpPr bwMode="auto">
                          <a:xfrm>
                            <a:off x="3263" y="2626"/>
                            <a:ext cx="269" cy="2"/>
                            <a:chOff x="3263" y="2626"/>
                            <a:chExt cx="269" cy="2"/>
                          </a:xfrm>
                        </wpg:grpSpPr>
                        <wps:wsp>
                          <wps:cNvPr id="3322" name="Freeform 1495"/>
                          <wps:cNvSpPr>
                            <a:spLocks/>
                          </wps:cNvSpPr>
                          <wps:spPr bwMode="auto">
                            <a:xfrm>
                              <a:off x="3263" y="2626"/>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3" name="Group 1496"/>
                        <wpg:cNvGrpSpPr>
                          <a:grpSpLocks/>
                        </wpg:cNvGrpSpPr>
                        <wpg:grpSpPr bwMode="auto">
                          <a:xfrm>
                            <a:off x="3263" y="2670"/>
                            <a:ext cx="269" cy="2"/>
                            <a:chOff x="3263" y="2670"/>
                            <a:chExt cx="269" cy="2"/>
                          </a:xfrm>
                        </wpg:grpSpPr>
                        <wps:wsp>
                          <wps:cNvPr id="3324" name="Freeform 1497"/>
                          <wps:cNvSpPr>
                            <a:spLocks/>
                          </wps:cNvSpPr>
                          <wps:spPr bwMode="auto">
                            <a:xfrm>
                              <a:off x="3263" y="2670"/>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18313">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5" name="Group 1498"/>
                        <wpg:cNvGrpSpPr>
                          <a:grpSpLocks/>
                        </wpg:cNvGrpSpPr>
                        <wpg:grpSpPr bwMode="auto">
                          <a:xfrm>
                            <a:off x="3263" y="2712"/>
                            <a:ext cx="269" cy="2"/>
                            <a:chOff x="3263" y="2712"/>
                            <a:chExt cx="269" cy="2"/>
                          </a:xfrm>
                        </wpg:grpSpPr>
                        <wps:wsp>
                          <wps:cNvPr id="3326" name="Freeform 1499"/>
                          <wps:cNvSpPr>
                            <a:spLocks/>
                          </wps:cNvSpPr>
                          <wps:spPr bwMode="auto">
                            <a:xfrm>
                              <a:off x="3263" y="2712"/>
                              <a:ext cx="269" cy="2"/>
                            </a:xfrm>
                            <a:custGeom>
                              <a:avLst/>
                              <a:gdLst>
                                <a:gd name="T0" fmla="+- 0 3263 3263"/>
                                <a:gd name="T1" fmla="*/ T0 w 269"/>
                                <a:gd name="T2" fmla="+- 0 3532 3263"/>
                                <a:gd name="T3" fmla="*/ T2 w 269"/>
                              </a:gdLst>
                              <a:ahLst/>
                              <a:cxnLst>
                                <a:cxn ang="0">
                                  <a:pos x="T1" y="0"/>
                                </a:cxn>
                                <a:cxn ang="0">
                                  <a:pos x="T3" y="0"/>
                                </a:cxn>
                              </a:cxnLst>
                              <a:rect l="0" t="0" r="r" b="b"/>
                              <a:pathLst>
                                <a:path w="269">
                                  <a:moveTo>
                                    <a:pt x="0" y="0"/>
                                  </a:moveTo>
                                  <a:lnTo>
                                    <a:pt x="269" y="0"/>
                                  </a:lnTo>
                                </a:path>
                              </a:pathLst>
                            </a:custGeom>
                            <a:noFill/>
                            <a:ln w="9169">
                              <a:solidFill>
                                <a:srgbClr val="1214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9A3902" id="Group 1400" o:spid="_x0000_s1026" style="width:333.55pt;height:138.4pt;mso-position-horizontal-relative:char;mso-position-vertical-relative:line" coordorigin="2796,1460" coordsize="6671,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">
                <v:group id="Group 1401" o:spid="_x0000_s1027" style="position:absolute;left:8297;top:2426;width:577;height:174" coordorigin="8297,2426"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Freeform 1402" o:spid="_x0000_s1028"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" path="m24,155l,174r29,l24,155xe" fillcolor="#121415" stroked="f">
                    <v:path arrowok="t" o:connecttype="custom" o:connectlocs="24,2581;0,2600;29,2600;24,2581" o:connectangles="0,0,0,0"/>
                  </v:shape>
                  <v:shape id="Freeform 1403" o:spid="_x0000_s1029"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" path="m24,155r5,19l567,174r-4,-5l33,169,24,155xe" fillcolor="#121415" stroked="f">
                    <v:path arrowok="t" o:connecttype="custom" o:connectlocs="24,2581;29,2600;567,2600;563,2595;33,2595;24,2581" o:connectangles="0,0,0,0,0,0"/>
                  </v:shape>
                  <v:shape id="Freeform 1404" o:spid="_x0000_s1030"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" path="m577,14r-19,l558,164r9,10l567,155r10,l577,24r-10,l577,14xe" fillcolor="#121415" stroked="f">
                    <v:path arrowok="t" o:connecttype="custom" o:connectlocs="577,2440;558,2440;558,2590;567,2600;567,2581;577,2581;577,2450;567,2450;577,2440" o:connectangles="0,0,0,0,0,0,0,0,0"/>
                  </v:shape>
                  <v:shape id="Freeform 1405" o:spid="_x0000_s1031"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" path="m577,155r-10,l567,174r10,-10l577,155xe" fillcolor="#121415" stroked="f">
                    <v:path arrowok="t" o:connecttype="custom" o:connectlocs="577,2581;567,2581;567,2600;577,2590;577,2581" o:connectangles="0,0,0,0,0"/>
                  </v:shape>
                  <v:shape id="Freeform 1406" o:spid="_x0000_s1032"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" path="m577,164r-10,10l577,174r,-10xe" fillcolor="#121415" stroked="f">
                    <v:path arrowok="t" o:connecttype="custom" o:connectlocs="577,2590;567,2600;577,2600;577,2590" o:connectangles="0,0,0,0"/>
                  </v:shape>
                  <v:shape id="Freeform 1407" o:spid="_x0000_s1033"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" path="m81,112l24,155r9,14l96,126r-5,l81,112xe" fillcolor="#121415" stroked="f">
                    <v:path arrowok="t" o:connecttype="custom" o:connectlocs="81,2538;24,2581;33,2595;96,2552;91,2552;81,2538" o:connectangles="0,0,0,0,0,0"/>
                  </v:shape>
                  <v:shape id="Freeform 1408" o:spid="_x0000_s1034"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" path="m558,155r-504,l33,169r530,l558,164r,-9xe" fillcolor="#121415" stroked="f">
                    <v:path arrowok="t" o:connecttype="custom" o:connectlocs="558,2581;54,2581;33,2595;563,2595;558,2590;558,2581" o:connectangles="0,0,0,0,0,0"/>
                  </v:shape>
                  <v:shape id="Freeform 1409" o:spid="_x0000_s1035"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" path="m81,112r10,14l94,124,81,112xe" fillcolor="#121415" stroked="f">
                    <v:path arrowok="t" o:connecttype="custom" o:connectlocs="81,2538;91,2552;94,2550;81,2538" o:connectangles="0,0,0,0"/>
                  </v:shape>
                  <v:shape id="Freeform 1410" o:spid="_x0000_s1036"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" path="m94,124r-3,2l96,126r-2,-2xe" fillcolor="#121415" stroked="f">
                    <v:path arrowok="t" o:connecttype="custom" o:connectlocs="94,2550;91,2552;96,2552;94,2550" o:connectangles="0,0,0,0"/>
                  </v:shape>
                  <v:shape id="Freeform 1411" o:spid="_x0000_s1037"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" path="m270,r-5,5l81,112r13,12l270,22,270,xe" fillcolor="#121415" stroked="f">
                    <v:path arrowok="t" o:connecttype="custom" o:connectlocs="270,2426;265,2431;81,2538;94,2550;270,2448;270,2426" o:connectangles="0,0,0,0,0,0"/>
                  </v:shape>
                  <v:shape id="Freeform 1412" o:spid="_x0000_s1038"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" path="m567,l270,r5,19l270,22r,2l558,24r,-10l577,14,567,xe" fillcolor="#121415" stroked="f">
                    <v:path arrowok="t" o:connecttype="custom" o:connectlocs="567,2426;270,2426;275,2445;270,2448;270,2450;558,2450;558,2440;577,2440;567,2426" o:connectangles="0,0,0,0,0,0,0,0,0"/>
                  </v:shape>
                  <v:shape id="Freeform 1413" o:spid="_x0000_s1039"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" path="m577,14l567,24r10,l577,14xe" fillcolor="#121415" stroked="f">
                    <v:path arrowok="t" o:connecttype="custom" o:connectlocs="577,2440;567,2450;577,2450;577,2440" o:connectangles="0,0,0,0"/>
                  </v:shape>
                  <v:shape id="Freeform 1414" o:spid="_x0000_s1040"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" path="m270,r,22l275,19,270,xe" fillcolor="#121415" stroked="f">
                    <v:path arrowok="t" o:connecttype="custom" o:connectlocs="270,2426;270,2448;275,2445;270,2426" o:connectangles="0,0,0,0"/>
                  </v:shape>
                  <v:shape id="Freeform 1415" o:spid="_x0000_s1041"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" path="m577,l567,r10,14l577,xe" fillcolor="#121415" stroked="f">
                    <v:path arrowok="t" o:connecttype="custom" o:connectlocs="577,2426;567,2426;577,2440;577,2426" o:connectangles="0,0,0,0"/>
                  </v:shape>
                  <v:shape id="Freeform 1416" o:spid="_x0000_s1042" style="position:absolute;left:8297;top:2426;width:577;height:174;visibility:visible;mso-wrap-style:square;v-text-anchor:top" coordsize="57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" path="m270,r-5,l265,5,270,xe" fillcolor="#121415" stroked="f">
                    <v:path arrowok="t" o:connecttype="custom" o:connectlocs="270,2426;265,2426;265,2431;270,2426" o:connectangles="0,0,0,0"/>
                  </v:shape>
                </v:group>
                <v:group id="Group 1417" o:spid="_x0000_s1043" style="position:absolute;left:3162;top:2881;width:592;height:168" coordorigin="3162,2881"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Freeform 1418" o:spid="_x0000_s1044"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" path="m,158r,10l10,168,,158xe" fillcolor="#121415" stroked="f">
                    <v:path arrowok="t" o:connecttype="custom" o:connectlocs="0,3039;0,3049;10,3049;0,3039" o:connectangles="0,0,0,0"/>
                  </v:shape>
                  <v:shape id="Freeform 1419" o:spid="_x0000_s1045"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" path="m19,149r-9,l,158r10,10l312,168r-5,-10l19,158r,-9xe" fillcolor="#121415" stroked="f">
                    <v:path arrowok="t" o:connecttype="custom" o:connectlocs="19,3030;10,3030;0,3039;10,3049;312,3049;307,3039;19,3039;19,3030" o:connectangles="0,0,0,0,0,0,0,0"/>
                  </v:shape>
                  <v:shape id="Freeform 1420" o:spid="_x0000_s1046"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" path="m486,29l302,149r10,19l312,149r33,l496,48,486,29xe" fillcolor="#121415" stroked="f">
                    <v:path arrowok="t" o:connecttype="custom" o:connectlocs="486,2910;302,3030;312,3049;312,3030;345,3030;496,2929;486,2910" o:connectangles="0,0,0,0,0,0,0"/>
                  </v:shape>
                  <v:shape id="Freeform 1421" o:spid="_x0000_s1047"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" path="m345,149r-33,l312,168r5,l345,149xe" fillcolor="#121415" stroked="f">
                    <v:path arrowok="t" o:connecttype="custom" o:connectlocs="345,3030;312,3030;312,3049;317,3049;345,3030" o:connectangles="0,0,0,0,0"/>
                  </v:shape>
                  <v:shape id="Freeform 1422" o:spid="_x0000_s1048"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" path="m10,l,9,,158r10,-9l19,149,19,19r-9,l10,xe" fillcolor="#121415" stroked="f">
                    <v:path arrowok="t" o:connecttype="custom" o:connectlocs="10,2881;0,2890;0,3039;10,3030;19,3030;19,2900;10,2900;10,2881" o:connectangles="0,0,0,0,0,0,0,0"/>
                  </v:shape>
                  <v:shape id="Freeform 1423" o:spid="_x0000_s1049"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" path="m302,149r-283,l19,158r288,l302,149xe" fillcolor="#121415" stroked="f">
                    <v:path arrowok="t" o:connecttype="custom" o:connectlocs="302,3030;19,3030;19,3039;307,3039;302,3030" o:connectangles="0,0,0,0,0"/>
                  </v:shape>
                  <v:shape id="Freeform 1424" o:spid="_x0000_s1050"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" path="m544,l486,29r10,19l553,19,544,xe" fillcolor="#121415" stroked="f">
                    <v:path arrowok="t" o:connecttype="custom" o:connectlocs="544,2881;486,2910;496,2929;553,2900;544,2881" o:connectangles="0,0,0,0,0"/>
                  </v:shape>
                  <v:shape id="Freeform 1425" o:spid="_x0000_s1051"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" path="m10,r,19l19,19,19,9,10,xe" fillcolor="#121415" stroked="f">
                    <v:path arrowok="t" o:connecttype="custom" o:connectlocs="10,2881;10,2900;19,2900;19,2890;10,2881" o:connectangles="0,0,0,0,0"/>
                  </v:shape>
                  <v:shape id="Freeform 1426" o:spid="_x0000_s1052"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" path="m544,l10,r9,9l19,19r486,l544,xe" fillcolor="#121415" stroked="f">
                    <v:path arrowok="t" o:connecttype="custom" o:connectlocs="544,2881;10,2881;19,2890;19,2900;505,2900;544,2881" o:connectangles="0,0,0,0,0,0"/>
                  </v:shape>
                  <v:shape id="Freeform 1427" o:spid="_x0000_s1053"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" path="m548,r-4,l553,19,548,xe" fillcolor="#121415" stroked="f">
                    <v:path arrowok="t" o:connecttype="custom" o:connectlocs="548,2881;544,2881;553,2900;548,2881" o:connectangles="0,0,0,0"/>
                  </v:shape>
                  <v:shape id="Freeform 1428" o:spid="_x0000_s1054"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" path="m592,l548,r5,19l592,xe" fillcolor="#121415" stroked="f">
                    <v:path arrowok="t" o:connecttype="custom" o:connectlocs="592,2881;548,2881;553,2900;592,2881" o:connectangles="0,0,0,0"/>
                  </v:shape>
                  <v:shape id="Freeform 1429" o:spid="_x0000_s1055" style="position:absolute;left:3162;top:2881;width:592;height:168;visibility:visible;mso-wrap-style:square;v-text-anchor:top" coordsize="5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" path="m10,l,,,9,10,xe" fillcolor="#121415" stroked="f">
                    <v:path arrowok="t" o:connecttype="custom" o:connectlocs="10,2881;0,2881;0,2890;10,2881" o:connectangles="0,0,0,0"/>
                  </v:shape>
                </v:group>
                <v:group id="Group 1430" o:spid="_x0000_s1056" style="position:absolute;left:3162;top:2581;width:5712;height:884" coordorigin="3162,2581"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">
                  <v:shape id="Freeform 1431" o:spid="_x0000_s105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" path="m2219,875r,9l2233,884r-14,-9xe" fillcolor="#121415" stroked="f">
                    <v:path arrowok="t" o:connecttype="custom" o:connectlocs="2219,3456;2219,3465;2233,3465;2219,3456" o:connectangles="0,0,0,0"/>
                  </v:shape>
                  <v:shape id="Freeform 1432" o:spid="_x0000_s105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" path="m2243,865r-10,l2219,875r14,9l3653,884r-10,-9l2243,875r,-10xe" fillcolor="#121415" stroked="f">
                    <v:path arrowok="t" o:connecttype="custom" o:connectlocs="2243,3446;2233,3446;2219,3456;2233,3465;3653,3465;3643,3456;2243,3456;2243,3446" o:connectangles="0,0,0,0,0,0,0,0"/>
                  </v:shape>
                  <v:shape id="Freeform 1433" o:spid="_x0000_s105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" path="m3662,517r-19,l3643,875r10,9l3653,865r9,l3662,527r-9,l3662,517xe" fillcolor="#121415" stroked="f">
                    <v:path arrowok="t" o:connecttype="custom" o:connectlocs="3662,3098;3643,3098;3643,3456;3653,3465;3653,3446;3662,3446;3662,3108;3653,3108;3662,3098" o:connectangles="0,0,0,0,0,0,0,0,0"/>
                  </v:shape>
                  <v:shape id="Freeform 1434" o:spid="_x0000_s106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" path="m3662,865r-9,l3653,884r9,-9l3662,865xe" fillcolor="#121415" stroked="f">
                    <v:path arrowok="t" o:connecttype="custom" o:connectlocs="3662,3446;3653,3446;3653,3465;3662,3456;3662,3446" o:connectangles="0,0,0,0,0"/>
                  </v:shape>
                  <v:shape id="Freeform 1435" o:spid="_x0000_s106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" path="m3662,875r-9,9l3662,884r,-9xe" fillcolor="#121415" stroked="f">
                    <v:path arrowok="t" o:connecttype="custom" o:connectlocs="3662,3456;3653,3465;3662,3465;3662,3456" o:connectangles="0,0,0,0"/>
                  </v:shape>
                  <v:shape id="Freeform 1436" o:spid="_x0000_s106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" path="m2233,507r-14,10l2219,875r14,-10l2243,865r,-338l2233,527r,-20xe" fillcolor="#121415" stroked="f">
                    <v:path arrowok="t" o:connecttype="custom" o:connectlocs="2233,3088;2219,3098;2219,3456;2233,3446;2243,3446;2243,3108;2233,3108;2233,3088" o:connectangles="0,0,0,0,0,0,0,0"/>
                  </v:shape>
                  <v:shape id="Freeform 1437" o:spid="_x0000_s106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" path="m3643,865r-1400,l2243,875r1400,l3643,865xe" fillcolor="#121415" stroked="f">
                    <v:path arrowok="t" o:connecttype="custom" o:connectlocs="3643,3446;2243,3446;2243,3456;3643,3456;3643,3446" o:connectangles="0,0,0,0,0"/>
                  </v:shape>
                  <v:shape id="Freeform 1438" o:spid="_x0000_s106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" path="m2233,507r,20l2243,527r,-10l2233,507xe" fillcolor="#121415" stroked="f">
                    <v:path arrowok="t" o:connecttype="custom" o:connectlocs="2233,3088;2233,3108;2243,3108;2243,3098;2233,3088" o:connectangles="0,0,0,0,0"/>
                  </v:shape>
                  <v:shape id="Freeform 1439" o:spid="_x0000_s106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" path="m2425,507r-192,l2243,517r,10l2425,527r,-20xe" fillcolor="#121415" stroked="f">
                    <v:path arrowok="t" o:connecttype="custom" o:connectlocs="2425,3088;2233,3088;2243,3098;2243,3108;2425,3108;2425,3088" o:connectangles="0,0,0,0,0,0"/>
                  </v:shape>
                  <v:shape id="Freeform 1440" o:spid="_x0000_s106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" path="m2449,493r-9,10l2435,503r-5,4l2425,507r,20l2440,527r4,-5l2449,522r15,-15l2449,493xe" fillcolor="#121415" stroked="f">
                    <v:path arrowok="t" o:connecttype="custom" o:connectlocs="2449,3074;2440,3084;2435,3084;2430,3088;2425,3088;2425,3108;2440,3108;2444,3103;2449,3103;2464,3088;2449,3074" o:connectangles="0,0,0,0,0,0,0,0,0,0,0"/>
                  </v:shape>
                  <v:shape id="Freeform 1441" o:spid="_x0000_s106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" path="m3460,493r-15,14l3455,512r5,10l3469,522r10,5l3484,527r,-20l3479,507r-5,-4l3464,498r-4,-5xe" fillcolor="#121415" stroked="f">
                    <v:path arrowok="t" o:connecttype="custom" o:connectlocs="3460,3074;3445,3088;3455,3093;3460,3103;3469,3103;3479,3108;3484,3108;3484,3088;3479,3088;3474,3084;3464,3079;3460,3074" o:connectangles="0,0,0,0,0,0,0,0,0,0,0,0"/>
                  </v:shape>
                  <v:shape id="Freeform 1442" o:spid="_x0000_s106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" path="m3653,507r-169,l3484,527r159,l3643,517r19,l3653,507xe" fillcolor="#121415" stroked="f">
                    <v:path arrowok="t" o:connecttype="custom" o:connectlocs="3653,3088;3484,3088;3484,3108;3643,3108;3643,3098;3662,3098;3653,3088" o:connectangles="0,0,0,0,0,0,0"/>
                  </v:shape>
                  <v:shape id="Freeform 1443" o:spid="_x0000_s106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" path="m3662,517r-9,10l3662,527r,-10xe" fillcolor="#121415" stroked="f">
                    <v:path arrowok="t" o:connecttype="custom" o:connectlocs="3662,3098;3653,3108;3662,3108;3662,3098" o:connectangles="0,0,0,0"/>
                  </v:shape>
                  <v:shape id="Freeform 1444" o:spid="_x0000_s107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" path="m2233,507r-14,l2219,517r14,-10xe" fillcolor="#121415" stroked="f">
                    <v:path arrowok="t" o:connecttype="custom" o:connectlocs="2233,3088;2219,3088;2219,3098;2233,3088" o:connectangles="0,0,0,0"/>
                  </v:shape>
                  <v:shape id="Freeform 1445" o:spid="_x0000_s107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" path="m3662,507r-9,l3662,517r,-10xe" fillcolor="#121415" stroked="f">
                    <v:path arrowok="t" o:connecttype="custom" o:connectlocs="3662,3088;3653,3088;3662,3098;3662,3088" o:connectangles="0,0,0,0"/>
                  </v:shape>
                  <v:shape id="Freeform 1446" o:spid="_x0000_s107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" path="m2464,314r-15,15l2459,338r,5l2464,343r,136l2459,479r,4l2449,493r15,14l2478,493r,-5l2483,483r,-145l2478,333r,-4l2464,314xe" fillcolor="#121415" stroked="f">
                    <v:path arrowok="t" o:connecttype="custom" o:connectlocs="2464,2895;2449,2910;2459,2919;2459,2924;2464,2924;2464,3060;2459,3060;2459,3064;2449,3074;2464,3088;2478,3074;2478,3069;2483,3064;2483,2919;2478,2914;2478,2910;2464,2895" o:connectangles="0,0,0,0,0,0,0,0,0,0,0,0,0,0,0,0,0"/>
                  </v:shape>
                  <v:shape id="Freeform 1447" o:spid="_x0000_s107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" path="m3445,314r-5,5l3436,329r-5,4l3431,343r-5,10l3426,468r5,11l3431,488r5,5l3440,503r5,4l3460,493r-10,-10l3450,338r10,-9l3445,314xe" fillcolor="#121415" stroked="f">
                    <v:path arrowok="t" o:connecttype="custom" o:connectlocs="3445,2895;3440,2900;3436,2910;3431,2914;3431,2924;3426,2934;3426,3049;3431,3060;3431,3069;3436,3074;3440,3084;3445,3088;3460,3074;3450,3064;3450,2919;3460,2910;3445,2895" o:connectangles="0,0,0,0,0,0,0,0,0,0,0,0,0,0,0,0,0"/>
                  </v:shape>
                  <v:shape id="Freeform 1448" o:spid="_x0000_s107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" path="m2440,300r-10,l2430,319r10,l2444,324r5,l2449,329r15,-15l2459,309r-5,l2449,305r-5,l2440,300xe" fillcolor="#121415" stroked="f">
                    <v:path arrowok="t" o:connecttype="custom" o:connectlocs="2440,2881;2430,2881;2430,2900;2440,2900;2444,2905;2449,2905;2449,2910;2464,2895;2459,2890;2454,2890;2449,2886;2444,2886;2440,2881" o:connectangles="0,0,0,0,0,0,0,0,0,0,0,0,0"/>
                  </v:shape>
                  <v:shape id="Freeform 1449" o:spid="_x0000_s107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" path="m3484,295r-5,5l3464,300r-9,9l3445,314r15,15l3464,324r10,-5l3484,319r,-24xe" fillcolor="#121415" stroked="f">
                    <v:path arrowok="t" o:connecttype="custom" o:connectlocs="3484,2876;3479,2881;3464,2881;3455,2890;3445,2895;3460,2910;3464,2905;3474,2900;3484,2900;3484,2876" o:connectangles="0,0,0,0,0,0,0,0,0,0"/>
                  </v:shape>
                  <v:shape id="Freeform 1450" o:spid="_x0000_s107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" path="m,309r,10l10,319,,309xe" fillcolor="#121415" stroked="f">
                    <v:path arrowok="t" o:connecttype="custom" o:connectlocs="0,2890;0,2900;10,2900;0,2890" o:connectangles="0,0,0,0"/>
                  </v:shape>
                  <v:shape id="Freeform 1451" o:spid="_x0000_s107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" path="m19,300r-9,l,309r10,10l2430,319r-5,-5l2426,309,19,309r,-9xe" fillcolor="#121415" stroked="f">
                    <v:path arrowok="t" o:connecttype="custom" o:connectlocs="19,2881;10,2881;0,2890;10,2900;2430,2900;2425,2895;2426,2890;19,2890;19,2881" o:connectangles="0,0,0,0,0,0,0,0,0"/>
                  </v:shape>
                  <v:shape id="Freeform 1452" o:spid="_x0000_s107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" path="m2430,295r-5,19l2430,319r,-19l2440,300r-10,-5xe" fillcolor="#121415" stroked="f">
                    <v:path arrowok="t" o:connecttype="custom" o:connectlocs="2430,2876;2425,2895;2430,2900;2430,2881;2440,2881;2430,2876" o:connectangles="0,0,0,0,0,0"/>
                  </v:shape>
                  <v:shape id="Freeform 1453" o:spid="_x0000_s107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" path="m3484,295r,24l5702,319r-9,-10l5693,300,3484,295xe" fillcolor="#121415" stroked="f">
                    <v:path arrowok="t" o:connecttype="custom" o:connectlocs="3484,2876;3484,2900;5702,2900;5693,2890;5693,2881;3484,2876" o:connectangles="0,0,0,0,0,0"/>
                  </v:shape>
                  <v:shape id="Freeform 1454" o:spid="_x0000_s1080"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" path="m5693,300r,9l5702,319r,-19l5693,300xe" fillcolor="#121415" stroked="f">
                    <v:path arrowok="t" o:connecttype="custom" o:connectlocs="5693,2881;5693,2890;5702,2900;5702,2881;5693,2881" o:connectangles="0,0,0,0,0"/>
                  </v:shape>
                  <v:shape id="Freeform 1455" o:spid="_x0000_s1081"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" path="m5712,9r-19,l5693,300r9,l5702,319r10,-10l5712,19r-10,l5712,9xe" fillcolor="#121415" stroked="f">
                    <v:path arrowok="t" o:connecttype="custom" o:connectlocs="5712,2590;5693,2590;5693,2881;5702,2881;5702,2900;5712,2890;5712,2600;5702,2600;5712,2590" o:connectangles="0,0,0,0,0,0,0,0,0"/>
                  </v:shape>
                  <v:shape id="Freeform 1456" o:spid="_x0000_s1082"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" path="m5712,309r-10,10l5712,319r,-10xe" fillcolor="#121415" stroked="f">
                    <v:path arrowok="t" o:connecttype="custom" o:connectlocs="5712,2890;5702,2900;5712,2900;5712,2890" o:connectangles="0,0,0,0"/>
                  </v:shape>
                  <v:shape id="Freeform 1457" o:spid="_x0000_s1083"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" path="m10,l,9,,309r10,-9l19,300,19,19r-9,l10,xe" fillcolor="#121415" stroked="f">
                    <v:path arrowok="t" o:connecttype="custom" o:connectlocs="10,2581;0,2590;0,2890;10,2881;19,2881;19,2600;10,2600;10,2581" o:connectangles="0,0,0,0,0,0,0,0"/>
                  </v:shape>
                  <v:shape id="Freeform 1458" o:spid="_x0000_s1084"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" path="m2429,300l19,300r,9l2426,309r3,-9xe" fillcolor="#121415" stroked="f">
                    <v:path arrowok="t" o:connecttype="custom" o:connectlocs="2429,2881;19,2881;19,2890;2426,2890;2429,2881" o:connectangles="0,0,0,0,0"/>
                  </v:shape>
                  <v:shape id="Freeform 1459" o:spid="_x0000_s1085"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" path="m10,r,19l19,19,19,9,10,xe" fillcolor="#121415" stroked="f">
                    <v:path arrowok="t" o:connecttype="custom" o:connectlocs="10,2581;10,2600;19,2600;19,2590;10,2581" o:connectangles="0,0,0,0,0"/>
                  </v:shape>
                  <v:shape id="Freeform 1460" o:spid="_x0000_s1086"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" path="m5702,l10,r9,9l19,19r5674,l5693,9r19,l5702,xe" fillcolor="#121415" stroked="f">
                    <v:path arrowok="t" o:connecttype="custom" o:connectlocs="5702,2581;10,2581;19,2590;19,2600;5693,2600;5693,2590;5712,2590;5702,2581" o:connectangles="0,0,0,0,0,0,0,0"/>
                  </v:shape>
                  <v:shape id="Freeform 1461" o:spid="_x0000_s1087"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" path="m5712,9r-10,10l5712,19r,-10xe" fillcolor="#121415" stroked="f">
                    <v:path arrowok="t" o:connecttype="custom" o:connectlocs="5712,2590;5702,2600;5712,2600;5712,2590" o:connectangles="0,0,0,0"/>
                  </v:shape>
                  <v:shape id="Freeform 1462" o:spid="_x0000_s1088"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" path="m10,l,,,9,10,xe" fillcolor="#121415" stroked="f">
                    <v:path arrowok="t" o:connecttype="custom" o:connectlocs="10,2581;0,2581;0,2590;10,2581" o:connectangles="0,0,0,0"/>
                  </v:shape>
                  <v:shape id="Freeform 1463" o:spid="_x0000_s1089" style="position:absolute;left:3162;top:2581;width:5712;height:884;visibility:visible;mso-wrap-style:square;v-text-anchor:top" coordsize="571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" path="m5712,r-10,l5712,9r,-9xe" fillcolor="#121415" stroked="f">
                    <v:path arrowok="t" o:connecttype="custom" o:connectlocs="5712,2581;5702,2581;5712,2590;5712,2581" o:connectangles="0,0,0,0"/>
                  </v:shape>
                </v:group>
                <v:group id="Group 1464" o:spid="_x0000_s1090" style="position:absolute;left:5722;top:2876;width:790;height:232" coordorigin="5722,2876"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shape id="Freeform 1465" o:spid="_x0000_s1091"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" path="m33,198l19,212r9,5l33,227r5,l48,232r9,l57,212r-5,l52,208r-9,l33,198xe" fillcolor="#121415" stroked="f">
                    <v:path arrowok="t" o:connecttype="custom" o:connectlocs="33,3074;19,3088;28,3093;33,3103;38,3103;48,3108;57,3108;57,3088;52,3088;52,3084;43,3084;33,3074" o:connectangles="0,0,0,0,0,0,0,0,0,0,0,0"/>
                  </v:shape>
                  <v:shape id="Freeform 1466" o:spid="_x0000_s1092"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" path="m732,212r-675,l57,232r675,l732,212xe" fillcolor="#121415" stroked="f">
                    <v:path arrowok="t" o:connecttype="custom" o:connectlocs="732,3088;57,3088;57,3108;732,3108;732,3088" o:connectangles="0,0,0,0,0"/>
                  </v:shape>
                  <v:shape id="Freeform 1467" o:spid="_x0000_s1093"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" path="m756,198r-10,10l741,208r-5,4l732,212r,20l746,232r5,-5l756,227r14,-15l756,198xe" fillcolor="#121415" stroked="f">
                    <v:path arrowok="t" o:connecttype="custom" o:connectlocs="756,3074;746,3084;741,3084;736,3088;732,3088;732,3108;746,3108;751,3103;756,3103;770,3088;756,3074" o:connectangles="0,0,0,0,0,0,0,0,0,0,0"/>
                  </v:shape>
                  <v:shape id="Freeform 1468" o:spid="_x0000_s1094"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" path="m19,19r-5,5l9,34,4,38r,5l,48,,184r4,4l4,193r5,5l14,208r5,4l33,198,24,188,24,43r9,-9l19,19xe" fillcolor="#121415" stroked="f">
                    <v:path arrowok="t" o:connecttype="custom" o:connectlocs="19,2895;14,2900;9,2910;4,2914;4,2919;0,2924;0,3060;4,3064;4,3069;9,3074;14,3084;19,3088;33,3074;24,3064;24,2919;33,2910;19,2895" o:connectangles="0,0,0,0,0,0,0,0,0,0,0,0,0,0,0,0,0"/>
                  </v:shape>
                  <v:shape id="Freeform 1469" o:spid="_x0000_s1095"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" path="m770,19l756,34r9,9l765,48r5,l770,184r-5,l765,188r-9,10l770,212r10,-4l784,198r,-5l789,188r,-145l784,38r,-4l780,24,770,19xe" fillcolor="#121415" stroked="f">
                    <v:path arrowok="t" o:connecttype="custom" o:connectlocs="770,2895;756,2910;765,2919;765,2924;770,2924;770,3060;765,3060;765,3064;756,3074;770,3088;780,3084;784,3074;784,3069;789,3064;789,2919;784,2914;784,2910;780,2900;770,2895" o:connectangles="0,0,0,0,0,0,0,0,0,0,0,0,0,0,0,0,0,0,0"/>
                  </v:shape>
                  <v:shape id="Freeform 1470" o:spid="_x0000_s1096"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" path="m52,l43,5r-5,5l33,10r-5,4l24,14r-5,5l33,34r,-5l43,29r,-5l52,24,52,5r3,l52,xe" fillcolor="#121415" stroked="f">
                    <v:path arrowok="t" o:connecttype="custom" o:connectlocs="52,2876;43,2881;38,2886;33,2886;28,2890;24,2890;19,2895;33,2910;33,2905;43,2905;43,2900;52,2900;52,2881;55,2881;52,2876" o:connectangles="0,0,0,0,0,0,0,0,0,0,0,0,0,0,0"/>
                  </v:shape>
                  <v:shape id="Freeform 1471" o:spid="_x0000_s1097"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" path="m736,r,24l746,24r10,10l770,19,756,5r-15,l736,xe" fillcolor="#121415" stroked="f">
                    <v:path arrowok="t" o:connecttype="custom" o:connectlocs="736,2876;736,2900;746,2900;756,2910;770,2895;756,2881;741,2881;736,2876" o:connectangles="0,0,0,0,0,0,0,0"/>
                  </v:shape>
                  <v:shape id="Freeform 1472" o:spid="_x0000_s1098"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" path="m55,5r-3,l52,24,62,19,55,5xe" fillcolor="#121415" stroked="f">
                    <v:path arrowok="t" o:connecttype="custom" o:connectlocs="55,2881;52,2881;52,2900;62,2895;55,2881" o:connectangles="0,0,0,0,0"/>
                  </v:shape>
                  <v:shape id="Freeform 1473" o:spid="_x0000_s1099" style="position:absolute;left:5722;top:2876;width:790;height:232;visibility:visible;mso-wrap-style:square;v-text-anchor:top" coordsize="79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" path="m736,l55,5r7,14l52,24r684,l736,xe" fillcolor="#121415" stroked="f">
                    <v:path arrowok="t" o:connecttype="custom" o:connectlocs="736,2876;55,2881;62,2895;52,2900;736,2900;736,2876" o:connectangles="0,0,0,0,0,0"/>
                  </v:shape>
                </v:group>
                <v:group id="Group 1474" o:spid="_x0000_s1100" style="position:absolute;left:8489;top:2748;width:270;height:2" coordorigin="8489,2748"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">
                  <v:shape id="Freeform 1475" o:spid="_x0000_s1101" style="position:absolute;left:8489;top:2748;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" path="m,l270,e" filled="f" strokecolor="#121415" strokeweight=".50869mm">
                    <v:path arrowok="t" o:connecttype="custom" o:connectlocs="0,0;270,0" o:connectangles="0,0"/>
                  </v:shape>
                </v:group>
                <v:group id="Group 1476" o:spid="_x0000_s1102" style="position:absolute;left:8489;top:2791;width:270;height:2" coordorigin="8489,2791"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">
                  <v:shape id="Freeform 1477" o:spid="_x0000_s1103" style="position:absolute;left:8489;top:2791;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" path="m,l270,e" filled="f" strokecolor="#121415" strokeweight=".50869mm">
                    <v:path arrowok="t" o:connecttype="custom" o:connectlocs="0,0;270,0" o:connectangles="0,0"/>
                  </v:shape>
                </v:group>
                <v:group id="Group 1478" o:spid="_x0000_s1104" style="position:absolute;left:8489;top:2827;width:270;height:2" coordorigin="8489,2827"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">
                  <v:shape id="Freeform 1479" o:spid="_x0000_s1105" style="position:absolute;left:8489;top:2827;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" path="m,l270,e" filled="f" strokecolor="#121415" strokeweight=".25469mm">
                    <v:path arrowok="t" o:connecttype="custom" o:connectlocs="0,0;270,0" o:connectangles="0,0"/>
                  </v:shape>
                </v:group>
                <v:group id="Group 1480" o:spid="_x0000_s1106" style="position:absolute;left:8489;top:2626;width:270;height:2" coordorigin="8489,2626"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">
                  <v:shape id="Freeform 1481" o:spid="_x0000_s1107" style="position:absolute;left:8489;top:2626;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" path="m,l270,e" filled="f" strokecolor="#121415" strokeweight=".50869mm">
                    <v:path arrowok="t" o:connecttype="custom" o:connectlocs="0,0;270,0" o:connectangles="0,0"/>
                  </v:shape>
                </v:group>
                <v:group id="Group 1482" o:spid="_x0000_s1108" style="position:absolute;left:8489;top:2670;width:270;height:2" coordorigin="8489,2670"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">
                  <v:shape id="Freeform 1483" o:spid="_x0000_s1109" style="position:absolute;left:8489;top:2670;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" path="m,l270,e" filled="f" strokecolor="#121415" strokeweight=".50869mm">
                    <v:path arrowok="t" o:connecttype="custom" o:connectlocs="0,0;270,0" o:connectangles="0,0"/>
                  </v:shape>
                </v:group>
                <v:group id="Group 1484" o:spid="_x0000_s1110" style="position:absolute;left:8489;top:2712;width:270;height:2" coordorigin="8489,2712"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">
                  <v:shape id="Freeform 1485" o:spid="_x0000_s1111" style="position:absolute;left:8489;top:2712;width:270;height:2;visibility:visible;mso-wrap-style:square;v-text-anchor:top" coordsize="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" path="m,l270,e" filled="f" strokecolor="#121415" strokeweight=".25469mm">
                    <v:path arrowok="t" o:connecttype="custom" o:connectlocs="0,0;270,0" o:connectangles="0,0"/>
                  </v:shape>
                </v:group>
                <v:group id="Group 1486" o:spid="_x0000_s1112" style="position:absolute;left:2801;top:1465;width:6661;height:2759" coordorigin="2801,1465" coordsize="6661,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">
                  <v:shape id="Freeform 1487" o:spid="_x0000_s1113" style="position:absolute;left:2801;top:1465;width:6661;height:2759;visibility:visible;mso-wrap-style:square;v-text-anchor:top" coordsize="6661,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" path="m6661,2759l,2759,,,6661,r,2759xe" filled="f" strokecolor="#1e1916" strokeweight=".16969mm">
                    <v:path arrowok="t" o:connecttype="custom" o:connectlocs="6661,4224;0,4224;0,1465;6661,1465;6661,4224" o:connectangles="0,0,0,0,0"/>
                  </v:shape>
                </v:group>
                <v:group id="Group 1488" o:spid="_x0000_s1114" style="position:absolute;left:3263;top:2748;width:269;height:2" coordorigin="3263,2748"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">
                  <v:shape id="Freeform 1489" o:spid="_x0000_s1115" style="position:absolute;left:3263;top:2748;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" path="m,l269,e" filled="f" strokecolor="#121415" strokeweight=".50869mm">
                    <v:path arrowok="t" o:connecttype="custom" o:connectlocs="0,0;269,0" o:connectangles="0,0"/>
                  </v:shape>
                </v:group>
                <v:group id="Group 1490" o:spid="_x0000_s1116" style="position:absolute;left:3263;top:2791;width:269;height:2" coordorigin="3263,2791"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">
                  <v:shape id="Freeform 1491" o:spid="_x0000_s1117" style="position:absolute;left:3263;top:2791;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" path="m,l269,e" filled="f" strokecolor="#121415" strokeweight=".50869mm">
                    <v:path arrowok="t" o:connecttype="custom" o:connectlocs="0,0;269,0" o:connectangles="0,0"/>
                  </v:shape>
                </v:group>
                <v:group id="Group 1492" o:spid="_x0000_s1118" style="position:absolute;left:3263;top:2827;width:269;height:2" coordorigin="3263,2827"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">
                  <v:shape id="Freeform 1493" o:spid="_x0000_s1119" style="position:absolute;left:3263;top:2827;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" path="m,l269,e" filled="f" strokecolor="#121415" strokeweight=".25469mm">
                    <v:path arrowok="t" o:connecttype="custom" o:connectlocs="0,0;269,0" o:connectangles="0,0"/>
                  </v:shape>
                </v:group>
                <v:group id="Group 1494" o:spid="_x0000_s1120" style="position:absolute;left:3263;top:2626;width:269;height:2" coordorigin="3263,2626"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">
                  <v:shape id="Freeform 1495" o:spid="_x0000_s1121" style="position:absolute;left:3263;top:2626;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" path="m,l269,e" filled="f" strokecolor="#121415" strokeweight=".50869mm">
                    <v:path arrowok="t" o:connecttype="custom" o:connectlocs="0,0;269,0" o:connectangles="0,0"/>
                  </v:shape>
                </v:group>
                <v:group id="Group 1496" o:spid="_x0000_s1122" style="position:absolute;left:3263;top:2670;width:269;height:2" coordorigin="3263,2670"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">
                  <v:shape id="Freeform 1497" o:spid="_x0000_s1123" style="position:absolute;left:3263;top:2670;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" path="m,l269,e" filled="f" strokecolor="#121415" strokeweight=".50869mm">
                    <v:path arrowok="t" o:connecttype="custom" o:connectlocs="0,0;269,0" o:connectangles="0,0"/>
                  </v:shape>
                </v:group>
                <v:group id="Group 1498" o:spid="_x0000_s1124" style="position:absolute;left:3263;top:2712;width:269;height:2" coordorigin="3263,2712"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">
                  <v:shape id="Freeform 1499" o:spid="_x0000_s1125" style="position:absolute;left:3263;top:2712;width:269;height:2;visibility:visible;mso-wrap-style:square;v-text-anchor:top" coordsize="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" path="m,l269,e" filled="f" strokecolor="#121415" strokeweight=".25469mm">
                    <v:path arrowok="t" o:connecttype="custom" o:connectlocs="0,0;269,0" o:connectangles="0,0"/>
                  </v:shape>
                </v:group>
                <w10:anchorlock/>
              </v:group>
            </w:pict>
          </mc:Fallback>
        </mc:AlternateContent>
      </w:r>
    </w:p>
    <w:p w14:paraId="639D8DD2" w14:textId="23CA6EDC" w:rsidR="000B37F4" w:rsidRPr="005D070C" w:rsidRDefault="000B37F4" w:rsidP="000B37F4">
      <w:pPr>
        <w:spacing w:after="0"/>
        <w:ind w:right="10"/>
        <w:jc w:val="center"/>
        <w:rPr>
          <w:b/>
          <w:szCs w:val="20"/>
        </w:rPr>
      </w:pPr>
      <w:r w:rsidRPr="005D070C">
        <w:rPr>
          <w:b/>
          <w:sz w:val="20"/>
          <w:szCs w:val="20"/>
        </w:rPr>
        <w:t>Rysunek GM-B-3.   Typowe rozmieszczenie płaszczyzn do zawracania na drodze startowej</w:t>
      </w:r>
    </w:p>
    <w:p w14:paraId="280BB8C7" w14:textId="60870E51" w:rsidR="000B37F4" w:rsidRPr="002873A4" w:rsidRDefault="000B37F4" w:rsidP="00EE2E0D">
      <w:pPr>
        <w:tabs>
          <w:tab w:val="left" w:pos="567"/>
        </w:tabs>
        <w:autoSpaceDE w:val="0"/>
        <w:autoSpaceDN w:val="0"/>
        <w:adjustRightInd w:val="0"/>
        <w:spacing w:before="240" w:after="0"/>
        <w:ind w:left="567" w:hanging="567"/>
        <w:rPr>
          <w:rFonts w:cs="Times New Roman"/>
          <w:szCs w:val="20"/>
        </w:rPr>
      </w:pPr>
      <w:r w:rsidRPr="002873A4">
        <w:rPr>
          <w:szCs w:val="20"/>
        </w:rPr>
        <w:t xml:space="preserve">(b) </w:t>
      </w:r>
      <w:r w:rsidRPr="002873A4">
        <w:rPr>
          <w:szCs w:val="20"/>
        </w:rPr>
        <w:tab/>
        <w:t>Dodatkowe wytyczne na temat projektowania płaszczyzn do zawracania na drodze startowej</w:t>
      </w:r>
      <w:r w:rsidRPr="002873A4">
        <w:rPr>
          <w:rFonts w:cs="Times New Roman"/>
          <w:szCs w:val="20"/>
        </w:rPr>
        <w:t xml:space="preserve"> są podane w „</w:t>
      </w:r>
      <w:r w:rsidRPr="002873A4">
        <w:rPr>
          <w:rFonts w:cs="Times New Roman"/>
          <w:i/>
          <w:szCs w:val="20"/>
        </w:rPr>
        <w:t>Podręczniku projektowania lotnisk</w:t>
      </w:r>
      <w:r w:rsidRPr="002873A4">
        <w:rPr>
          <w:rFonts w:cs="Times New Roman"/>
          <w:szCs w:val="20"/>
        </w:rPr>
        <w:t>” ICAO Doc 9157, Część 1, „</w:t>
      </w:r>
      <w:r w:rsidRPr="002873A4">
        <w:rPr>
          <w:rFonts w:cs="Times New Roman"/>
          <w:i/>
          <w:szCs w:val="20"/>
        </w:rPr>
        <w:t>Drogi startowe</w:t>
      </w:r>
      <w:r w:rsidRPr="002873A4">
        <w:rPr>
          <w:rFonts w:cs="Times New Roman"/>
          <w:szCs w:val="20"/>
        </w:rPr>
        <w:t>”.</w:t>
      </w:r>
    </w:p>
    <w:p w14:paraId="3243247B" w14:textId="788356D8" w:rsidR="008960B1" w:rsidRPr="009E064B" w:rsidRDefault="008960B1" w:rsidP="006C24CC">
      <w:pPr>
        <w:pStyle w:val="Tekstpodstawowy"/>
        <w:spacing w:before="120" w:after="0"/>
        <w:ind w:left="23" w:hanging="23"/>
        <w:rPr>
          <w:rFonts w:asciiTheme="minorHAnsi" w:hAnsiTheme="minorHAnsi" w:cstheme="minorHAnsi"/>
          <w:i/>
          <w:sz w:val="16"/>
          <w:szCs w:val="16"/>
        </w:rPr>
      </w:pPr>
      <w:bookmarkStart w:id="879" w:name="_Toc482886549"/>
      <w:r w:rsidRPr="009E064B">
        <w:rPr>
          <w:rFonts w:asciiTheme="minorHAnsi" w:hAnsiTheme="minorHAnsi" w:cstheme="minorHAnsi"/>
          <w:i/>
          <w:sz w:val="16"/>
          <w:szCs w:val="16"/>
        </w:rPr>
        <w:t>[Wydanie: ADR-DSN/3]</w:t>
      </w:r>
    </w:p>
    <w:p w14:paraId="79C0A74D" w14:textId="50DDE3F5" w:rsidR="008960B1" w:rsidRPr="009E064B" w:rsidRDefault="008960B1" w:rsidP="00C32E80">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C5F474F" w14:textId="73E4393F" w:rsidR="00C36D76" w:rsidRPr="009E064B" w:rsidRDefault="00324053" w:rsidP="00324053">
      <w:pPr>
        <w:pStyle w:val="Nagwek4"/>
        <w:tabs>
          <w:tab w:val="clear" w:pos="2694"/>
        </w:tabs>
        <w:ind w:left="2552" w:hanging="2552"/>
        <w:rPr>
          <w:color w:val="auto"/>
        </w:rPr>
      </w:pPr>
      <w:bookmarkStart w:id="880" w:name="_Toc12532947"/>
      <w:r w:rsidRPr="009E064B">
        <w:rPr>
          <w:color w:val="auto"/>
        </w:rPr>
        <w:t xml:space="preserve">CS ADR-DSN.B.100      </w:t>
      </w:r>
      <w:r w:rsidR="00C36D76" w:rsidRPr="009E064B">
        <w:rPr>
          <w:color w:val="auto"/>
        </w:rPr>
        <w:t>Nachylenia na płaszczyźnie do zawracania na drodze startowej</w:t>
      </w:r>
      <w:bookmarkEnd w:id="879"/>
      <w:bookmarkEnd w:id="880"/>
    </w:p>
    <w:p w14:paraId="73202FA5" w14:textId="63FBF1A2"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E3F7518" w14:textId="2CBDBD32" w:rsidR="00C36D76" w:rsidRDefault="00C36D76" w:rsidP="00B06A9A">
      <w:pPr>
        <w:autoSpaceDE w:val="0"/>
        <w:autoSpaceDN w:val="0"/>
        <w:adjustRightInd w:val="0"/>
        <w:spacing w:after="0"/>
        <w:rPr>
          <w:rFonts w:cs="TimesNewRomanPS-ItalicMT"/>
          <w:iCs/>
          <w:szCs w:val="20"/>
        </w:rPr>
      </w:pPr>
      <w:r w:rsidRPr="009E064B">
        <w:rPr>
          <w:rFonts w:cs="TimesNewRomanPS-ItalicMT"/>
          <w:iCs/>
          <w:szCs w:val="20"/>
        </w:rPr>
        <w:t>Nachylenia podłużne i poprzeczne na płaszczyźnie do zawracania na drodze startowej powinny być takie, aby zapobiegać gromadzeniu się wody na powierzchni oraz umożliwiać szybkie jej odprowadzenie. Nachylenia powinny być takie same jak na przylegającej do niej nawierzchni sztucznej drogi startowej.</w:t>
      </w:r>
    </w:p>
    <w:p w14:paraId="060FEAAE" w14:textId="450240E5" w:rsidR="002873A4" w:rsidRDefault="002873A4" w:rsidP="002873A4">
      <w:pPr>
        <w:pStyle w:val="Nagwek6"/>
      </w:pPr>
      <w:bookmarkStart w:id="881" w:name="_Toc12532948"/>
      <w:r w:rsidRPr="002873A4">
        <w:t>CS ADR-DSN.B.100      Nachylenia na płaszczyźnie do zawracania na drodze startowej</w:t>
      </w:r>
      <w:bookmarkEnd w:id="881"/>
    </w:p>
    <w:p w14:paraId="0604199F" w14:textId="46095016" w:rsidR="002873A4" w:rsidRPr="009E064B" w:rsidRDefault="001F74A1" w:rsidP="002873A4">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2FF78B7" w14:textId="29D3EE61" w:rsidR="002873A4" w:rsidRPr="002873A4" w:rsidRDefault="002873A4" w:rsidP="002873A4">
      <w:pPr>
        <w:autoSpaceDE w:val="0"/>
        <w:autoSpaceDN w:val="0"/>
        <w:adjustRightInd w:val="0"/>
        <w:spacing w:after="0"/>
        <w:rPr>
          <w:rFonts w:cs="TimesNewRomanPS-ItalicMT"/>
          <w:iCs/>
          <w:szCs w:val="20"/>
        </w:rPr>
      </w:pPr>
      <w:r>
        <w:rPr>
          <w:rFonts w:cs="TimesNewRomanPS-ItalicMT"/>
          <w:iCs/>
          <w:szCs w:val="20"/>
        </w:rPr>
        <w:t>Nachylenia</w:t>
      </w:r>
      <w:r w:rsidRPr="002873A4">
        <w:rPr>
          <w:rFonts w:cs="TimesNewRomanPS-ItalicMT"/>
          <w:iCs/>
          <w:szCs w:val="20"/>
        </w:rPr>
        <w:t xml:space="preserve"> powinny być tak zaprojektowane, aby zminimalizować wpływ na statki powietrzne, a tym samym nie utrudniać </w:t>
      </w:r>
      <w:r>
        <w:rPr>
          <w:rFonts w:cs="TimesNewRomanPS-ItalicMT"/>
          <w:iCs/>
          <w:szCs w:val="20"/>
        </w:rPr>
        <w:t>operacji statków powietrznych</w:t>
      </w:r>
      <w:r w:rsidRPr="002873A4">
        <w:rPr>
          <w:rFonts w:cs="TimesNewRomanPS-ItalicMT"/>
          <w:iCs/>
          <w:szCs w:val="20"/>
        </w:rPr>
        <w:t>.</w:t>
      </w:r>
    </w:p>
    <w:p w14:paraId="4247383B" w14:textId="5932292E" w:rsidR="00C36D76" w:rsidRPr="009E064B" w:rsidRDefault="00324053" w:rsidP="00324053">
      <w:pPr>
        <w:pStyle w:val="Nagwek4"/>
        <w:tabs>
          <w:tab w:val="clear" w:pos="2694"/>
        </w:tabs>
        <w:rPr>
          <w:color w:val="auto"/>
        </w:rPr>
      </w:pPr>
      <w:bookmarkStart w:id="882" w:name="_Toc482886550"/>
      <w:bookmarkStart w:id="883" w:name="_Toc12532949"/>
      <w:r w:rsidRPr="009E064B">
        <w:rPr>
          <w:color w:val="auto"/>
        </w:rPr>
        <w:t xml:space="preserve">CS ADR-DSN.B.105     </w:t>
      </w:r>
      <w:r w:rsidR="00C36D76" w:rsidRPr="009E064B">
        <w:rPr>
          <w:color w:val="auto"/>
        </w:rPr>
        <w:t>Nośność płaszczyzny do zawracania na drodze startowej</w:t>
      </w:r>
      <w:bookmarkEnd w:id="882"/>
      <w:bookmarkEnd w:id="883"/>
    </w:p>
    <w:p w14:paraId="28DA27C2" w14:textId="4B9A31FD"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14503CE" w14:textId="77777777" w:rsidR="00C36D76" w:rsidRPr="009E064B" w:rsidRDefault="00C36D76" w:rsidP="00B06A9A">
      <w:pPr>
        <w:autoSpaceDE w:val="0"/>
        <w:autoSpaceDN w:val="0"/>
        <w:adjustRightInd w:val="0"/>
        <w:spacing w:after="0"/>
        <w:rPr>
          <w:rFonts w:cs="TimesNewRomanPS-ItalicMT"/>
          <w:iCs/>
          <w:szCs w:val="20"/>
        </w:rPr>
      </w:pPr>
      <w:r w:rsidRPr="009E064B">
        <w:rPr>
          <w:rFonts w:cs="TimesNewRomanPS-ItalicMT"/>
          <w:iCs/>
          <w:szCs w:val="20"/>
        </w:rPr>
        <w:t>Nośność płaszczyzny do zawracania na drodze startowej powinna być równa nośności przyległej drogi startowej, przy czym należy uwzględnić fakt, że nawierzchnia płaszczyzny do zawracania będzie poddana większym naprężeniom wywołanym przez wolno poruszające się statki powietrzne wykonujące ciasne zakręty.</w:t>
      </w:r>
    </w:p>
    <w:p w14:paraId="0FAFBD8C" w14:textId="5C127D50" w:rsidR="001A44D6" w:rsidRPr="009E064B" w:rsidRDefault="00324053" w:rsidP="00133B99">
      <w:pPr>
        <w:pStyle w:val="Nagwek6"/>
      </w:pPr>
      <w:bookmarkStart w:id="884" w:name="_Toc401058906"/>
      <w:bookmarkStart w:id="885" w:name="_Toc482886774"/>
      <w:bookmarkStart w:id="886" w:name="_Toc12532950"/>
      <w:bookmarkStart w:id="887" w:name="_Toc482886551"/>
      <w:r w:rsidRPr="009E064B">
        <w:t xml:space="preserve">GM1 ADR-DSN.B.105     </w:t>
      </w:r>
      <w:r w:rsidR="001A44D6" w:rsidRPr="009E064B">
        <w:t xml:space="preserve">Nośność płaszczyzny do zawracania na </w:t>
      </w:r>
      <w:bookmarkEnd w:id="884"/>
      <w:r w:rsidR="001A44D6" w:rsidRPr="009E064B">
        <w:t>drodze startowej</w:t>
      </w:r>
      <w:bookmarkEnd w:id="885"/>
      <w:bookmarkEnd w:id="886"/>
    </w:p>
    <w:p w14:paraId="0ABCFDB1" w14:textId="10CC675A"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95BD9EE" w14:textId="44704279" w:rsidR="0016515D" w:rsidRPr="009E064B" w:rsidRDefault="001A44D6" w:rsidP="0016515D">
      <w:pPr>
        <w:autoSpaceDE w:val="0"/>
        <w:autoSpaceDN w:val="0"/>
        <w:adjustRightInd w:val="0"/>
        <w:rPr>
          <w:rFonts w:cs="TimesNewRomanPS-BoldItalicMT"/>
          <w:bCs/>
          <w:iCs/>
          <w:szCs w:val="20"/>
        </w:rPr>
      </w:pPr>
      <w:r w:rsidRPr="009E064B">
        <w:rPr>
          <w:rFonts w:cs="TimesNewRomanPS-BoldItalicMT"/>
          <w:bCs/>
          <w:iCs/>
          <w:szCs w:val="20"/>
        </w:rPr>
        <w:t>Celowo pozostawiono puste.</w:t>
      </w:r>
      <w:r w:rsidR="0016515D" w:rsidRPr="009E064B">
        <w:rPr>
          <w:rFonts w:cs="TimesNewRomanPS-BoldItalicMT"/>
          <w:bCs/>
          <w:iCs/>
          <w:szCs w:val="20"/>
        </w:rPr>
        <w:t xml:space="preserve"> </w:t>
      </w:r>
      <w:r w:rsidR="0016515D" w:rsidRPr="009E064B">
        <w:rPr>
          <w:rFonts w:cs="TimesNewRomanPS-BoldItalicMT"/>
          <w:bCs/>
          <w:iCs/>
          <w:szCs w:val="20"/>
        </w:rPr>
        <w:br w:type="page"/>
      </w:r>
    </w:p>
    <w:p w14:paraId="07B43B2B" w14:textId="134B68DB" w:rsidR="00C36D76" w:rsidRPr="009E064B" w:rsidRDefault="00324053" w:rsidP="00324053">
      <w:pPr>
        <w:pStyle w:val="Nagwek4"/>
        <w:tabs>
          <w:tab w:val="clear" w:pos="2694"/>
          <w:tab w:val="left" w:pos="2552"/>
        </w:tabs>
        <w:ind w:left="2552" w:hanging="2552"/>
        <w:rPr>
          <w:color w:val="auto"/>
        </w:rPr>
      </w:pPr>
      <w:bookmarkStart w:id="888" w:name="_Toc12532951"/>
      <w:r w:rsidRPr="009E064B">
        <w:rPr>
          <w:color w:val="auto"/>
        </w:rPr>
        <w:t xml:space="preserve">CS ADR-DSN.B.110      </w:t>
      </w:r>
      <w:r w:rsidR="00C36D76" w:rsidRPr="009E064B">
        <w:rPr>
          <w:color w:val="auto"/>
        </w:rPr>
        <w:t>Powierzchnia płaszczyzny do zawracania na drodze startowej</w:t>
      </w:r>
      <w:bookmarkEnd w:id="887"/>
      <w:bookmarkEnd w:id="888"/>
    </w:p>
    <w:p w14:paraId="2E1A842B" w14:textId="5C64AEE0"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84EA0E9" w14:textId="4F7F7AEC" w:rsidR="00C36D76" w:rsidRPr="009E064B" w:rsidRDefault="00C36D76" w:rsidP="00324053">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Powierzchnia</w:t>
      </w:r>
      <w:r w:rsidRPr="009E064B">
        <w:rPr>
          <w:rFonts w:cs="TimesNewRomanPSMT"/>
          <w:szCs w:val="20"/>
        </w:rPr>
        <w:t xml:space="preserve"> płaszczyzny do zawracania na drodze startowej nie powinna posiadać nierówności, które mogłyby spowodować uszkodzenie statku powietrznego korzystającego z tej płaszczyzny.</w:t>
      </w:r>
    </w:p>
    <w:p w14:paraId="6B7FDEA3"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MT"/>
          <w:szCs w:val="20"/>
        </w:rPr>
        <w:t>Powierzchnia</w:t>
      </w:r>
      <w:r w:rsidRPr="009E064B">
        <w:rPr>
          <w:rFonts w:cs="TimesNewRomanPS-ItalicMT"/>
          <w:iCs/>
          <w:szCs w:val="20"/>
        </w:rPr>
        <w:t xml:space="preserve"> płaszczyzny do zawracania na drodze startowej powinna być tak zbudowana lub odnowiona, aby zapewnić charakterystyki tarcia przynajmniej równe do tych, które są na przylegającej do niej drodze startowej.</w:t>
      </w:r>
    </w:p>
    <w:p w14:paraId="238D04CF" w14:textId="77777777"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3FE3AC2" w14:textId="542A4386" w:rsidR="001A44D6" w:rsidRPr="009E064B" w:rsidRDefault="00324053" w:rsidP="00133B99">
      <w:pPr>
        <w:pStyle w:val="Nagwek6"/>
      </w:pPr>
      <w:bookmarkStart w:id="889" w:name="_Toc401058907"/>
      <w:bookmarkStart w:id="890" w:name="_Toc482886775"/>
      <w:bookmarkStart w:id="891" w:name="_Toc12532952"/>
      <w:r w:rsidRPr="009E064B">
        <w:t xml:space="preserve">GM1 ADR-DSN.B.110     </w:t>
      </w:r>
      <w:r w:rsidR="001A44D6" w:rsidRPr="009E064B">
        <w:t>Powierzchnia płaszczyzny do zawracania na drodze startowej</w:t>
      </w:r>
      <w:bookmarkEnd w:id="889"/>
      <w:bookmarkEnd w:id="890"/>
      <w:bookmarkEnd w:id="891"/>
    </w:p>
    <w:p w14:paraId="7B212234" w14:textId="308A2C11"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412A1D4D" w14:textId="77777777" w:rsidR="001A44D6" w:rsidRPr="009E064B" w:rsidRDefault="001A44D6" w:rsidP="002C3C20">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7B2E8EB" w14:textId="6B82235D" w:rsidR="00C36D76" w:rsidRPr="009E064B" w:rsidRDefault="00324053" w:rsidP="00324053">
      <w:pPr>
        <w:pStyle w:val="Nagwek4"/>
        <w:tabs>
          <w:tab w:val="clear" w:pos="2694"/>
          <w:tab w:val="left" w:pos="2552"/>
        </w:tabs>
        <w:ind w:left="2552" w:hanging="2552"/>
        <w:rPr>
          <w:color w:val="auto"/>
        </w:rPr>
      </w:pPr>
      <w:bookmarkStart w:id="892" w:name="_Toc482886552"/>
      <w:bookmarkStart w:id="893" w:name="_Toc12532953"/>
      <w:r w:rsidRPr="009E064B">
        <w:rPr>
          <w:color w:val="auto"/>
        </w:rPr>
        <w:t xml:space="preserve">CS ADR-DSN.B.115      </w:t>
      </w:r>
      <w:r w:rsidR="00C36D76" w:rsidRPr="009E064B">
        <w:rPr>
          <w:color w:val="auto"/>
        </w:rPr>
        <w:t>Szerokość pobocza płaszczyzny do zawracania na drodze startowej</w:t>
      </w:r>
      <w:bookmarkEnd w:id="892"/>
      <w:bookmarkEnd w:id="893"/>
    </w:p>
    <w:p w14:paraId="5FF19D96" w14:textId="76866F96" w:rsidR="00324053" w:rsidRPr="009E064B" w:rsidRDefault="001F74A1" w:rsidP="00324053">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59E3FF5" w14:textId="77777777" w:rsidR="00C36D76" w:rsidRPr="009E064B" w:rsidRDefault="00C36D76" w:rsidP="00B06A9A">
      <w:pPr>
        <w:autoSpaceDE w:val="0"/>
        <w:autoSpaceDN w:val="0"/>
        <w:adjustRightInd w:val="0"/>
        <w:spacing w:after="0"/>
        <w:rPr>
          <w:szCs w:val="20"/>
        </w:rPr>
      </w:pPr>
      <w:r w:rsidRPr="009E064B">
        <w:rPr>
          <w:rFonts w:cs="TimesNewRomanPS-ItalicMT"/>
          <w:iCs/>
          <w:szCs w:val="20"/>
        </w:rPr>
        <w:t xml:space="preserve">Płaszczyzna do zawracania na drodze startowej powinna posiadać pobocze, którego szerokość powinna zabezpieczać przed erozją wywołaną przez podmuch z silników odrzutowych </w:t>
      </w:r>
      <w:r w:rsidRPr="009E064B">
        <w:rPr>
          <w:szCs w:val="20"/>
        </w:rPr>
        <w:t>najbardziej wymagającego</w:t>
      </w:r>
      <w:r w:rsidRPr="009E064B">
        <w:rPr>
          <w:rFonts w:cs="TimesNewRomanPS-ItalicMT"/>
          <w:iCs/>
          <w:szCs w:val="20"/>
        </w:rPr>
        <w:t xml:space="preserve"> statku powietrznego, który będzie korzystał z tej płaszczyzny oraz powinna zabezpieczać przed uszkodzeniem silników statku powietrznego przez ciało obce.</w:t>
      </w:r>
    </w:p>
    <w:p w14:paraId="530889DF" w14:textId="28ACDBD1" w:rsidR="001A44D6" w:rsidRPr="009E064B" w:rsidRDefault="001A44D6" w:rsidP="00133B99">
      <w:pPr>
        <w:pStyle w:val="Nagwek6"/>
      </w:pPr>
      <w:bookmarkStart w:id="894" w:name="_Toc401058908"/>
      <w:bookmarkStart w:id="895" w:name="_Toc482886776"/>
      <w:bookmarkStart w:id="896" w:name="_Toc12532954"/>
      <w:bookmarkStart w:id="897" w:name="_Toc482886553"/>
      <w:r w:rsidRPr="009E064B">
        <w:t>GM1 ADR-DSN.B.</w:t>
      </w:r>
      <w:r w:rsidR="001E0089" w:rsidRPr="009E064B">
        <w:t xml:space="preserve">115     </w:t>
      </w:r>
      <w:r w:rsidRPr="009E064B">
        <w:t>Szerokość pobocza płaszczyzny do zawracania na drodze startowej</w:t>
      </w:r>
      <w:bookmarkEnd w:id="894"/>
      <w:bookmarkEnd w:id="895"/>
      <w:bookmarkEnd w:id="896"/>
    </w:p>
    <w:p w14:paraId="4F5F5034" w14:textId="469BFB91"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0067532" w14:textId="77777777" w:rsidR="001A44D6" w:rsidRPr="009E064B" w:rsidRDefault="001A44D6"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Jako minimum, szerokość poboczy powinna być taka, aby obejmowała obszar pod zewnętrznym silnikiem krytycznego samolotu, z tego względu szerokość ta może okazać się większa niż szerokość poboczy drogi startowej.</w:t>
      </w:r>
    </w:p>
    <w:p w14:paraId="62CAC452" w14:textId="3212A241" w:rsidR="00C36D76" w:rsidRPr="009E064B" w:rsidRDefault="001E0089" w:rsidP="001E0089">
      <w:pPr>
        <w:pStyle w:val="Nagwek4"/>
        <w:tabs>
          <w:tab w:val="clear" w:pos="2694"/>
          <w:tab w:val="left" w:pos="2552"/>
        </w:tabs>
        <w:ind w:left="2552" w:hanging="2552"/>
        <w:rPr>
          <w:color w:val="auto"/>
        </w:rPr>
      </w:pPr>
      <w:bookmarkStart w:id="898" w:name="_Toc12532955"/>
      <w:r w:rsidRPr="009E064B">
        <w:rPr>
          <w:color w:val="auto"/>
        </w:rPr>
        <w:t xml:space="preserve">CS ADR-DSN.B.120      </w:t>
      </w:r>
      <w:r w:rsidR="00C36D76" w:rsidRPr="009E064B">
        <w:rPr>
          <w:color w:val="auto"/>
        </w:rPr>
        <w:t>Nośność pobocza płaszczyzny do zawracania na drodze startowej</w:t>
      </w:r>
      <w:bookmarkEnd w:id="897"/>
      <w:bookmarkEnd w:id="898"/>
    </w:p>
    <w:p w14:paraId="739DAA9E" w14:textId="53E47505"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7DA70BB" w14:textId="77777777" w:rsidR="00C36D76" w:rsidRPr="009E064B" w:rsidRDefault="00C36D76" w:rsidP="00B06A9A">
      <w:pPr>
        <w:autoSpaceDE w:val="0"/>
        <w:autoSpaceDN w:val="0"/>
        <w:adjustRightInd w:val="0"/>
        <w:spacing w:after="0"/>
        <w:rPr>
          <w:rFonts w:cs="TimesNewRomanPS-ItalicMT"/>
          <w:iCs/>
          <w:szCs w:val="20"/>
        </w:rPr>
      </w:pPr>
      <w:r w:rsidRPr="009E064B">
        <w:rPr>
          <w:rFonts w:cs="TimesNewRomanPS-ItalicMT"/>
          <w:iCs/>
          <w:szCs w:val="20"/>
        </w:rPr>
        <w:t>Nośność pobocza płaszczyzny do zawracania na drodze startowej powinna być taka, aby wytrzymać okazjonalny przejazd statku powietrznego, który będzie korzystał z płaszczyzny bez powodowania uszkodzeń strukturalnych statku powietrznego oraz pojazdów naziemnych, które mogą się poruszać po poboczach.</w:t>
      </w:r>
    </w:p>
    <w:p w14:paraId="322381D6" w14:textId="69CC3974" w:rsidR="001A44D6" w:rsidRPr="009E064B" w:rsidRDefault="001E0089" w:rsidP="00133B99">
      <w:pPr>
        <w:pStyle w:val="Nagwek6"/>
      </w:pPr>
      <w:bookmarkStart w:id="899" w:name="_Toc401058909"/>
      <w:bookmarkStart w:id="900" w:name="_Toc482886777"/>
      <w:bookmarkStart w:id="901" w:name="_Toc12532956"/>
      <w:bookmarkStart w:id="902" w:name="_Toc482886554"/>
      <w:r w:rsidRPr="009E064B">
        <w:t xml:space="preserve">GM1 ADR-DSN.B.120     </w:t>
      </w:r>
      <w:r w:rsidR="001A44D6" w:rsidRPr="009E064B">
        <w:t>Nośność pobocza płaszczyzny do zawracania na drodze startowej</w:t>
      </w:r>
      <w:bookmarkEnd w:id="899"/>
      <w:bookmarkEnd w:id="900"/>
      <w:bookmarkEnd w:id="901"/>
    </w:p>
    <w:p w14:paraId="7F1C835F" w14:textId="291DF65C"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738C8A9" w14:textId="77777777" w:rsidR="001A44D6" w:rsidRPr="009E064B" w:rsidRDefault="001A44D6" w:rsidP="001E0089">
      <w:pPr>
        <w:autoSpaceDE w:val="0"/>
        <w:autoSpaceDN w:val="0"/>
        <w:adjustRightInd w:val="0"/>
        <w:rPr>
          <w:rFonts w:cs="Times New Roman"/>
          <w:szCs w:val="20"/>
        </w:rPr>
      </w:pPr>
      <w:r w:rsidRPr="009E064B">
        <w:rPr>
          <w:rFonts w:cs="TimesNewRomanPS-BoldItalicMT"/>
          <w:bCs/>
          <w:iCs/>
          <w:szCs w:val="20"/>
        </w:rPr>
        <w:t>Celowo</w:t>
      </w:r>
      <w:r w:rsidRPr="009E064B">
        <w:rPr>
          <w:rFonts w:cs="Times New Roman"/>
          <w:szCs w:val="20"/>
        </w:rPr>
        <w:t xml:space="preserve"> pozostawiono puste.</w:t>
      </w:r>
    </w:p>
    <w:p w14:paraId="7876ADAB" w14:textId="7CC4E426" w:rsidR="00C36D76" w:rsidRPr="009E064B" w:rsidRDefault="00C36D76" w:rsidP="00B06A9A">
      <w:pPr>
        <w:pStyle w:val="Nagwek4"/>
        <w:rPr>
          <w:color w:val="auto"/>
        </w:rPr>
      </w:pPr>
      <w:bookmarkStart w:id="903" w:name="_CS_ADR-DSN.B.125_"/>
      <w:bookmarkStart w:id="904" w:name="_Toc12532957"/>
      <w:bookmarkEnd w:id="903"/>
      <w:r w:rsidRPr="009E064B">
        <w:rPr>
          <w:color w:val="auto"/>
        </w:rPr>
        <w:t>C</w:t>
      </w:r>
      <w:r w:rsidR="001E0089" w:rsidRPr="009E064B">
        <w:rPr>
          <w:color w:val="auto"/>
        </w:rPr>
        <w:t xml:space="preserve">S ADR-DSN.B.125     </w:t>
      </w:r>
      <w:r w:rsidRPr="009E064B">
        <w:rPr>
          <w:color w:val="auto"/>
        </w:rPr>
        <w:t>Pobocza drogi startowej</w:t>
      </w:r>
      <w:bookmarkEnd w:id="902"/>
      <w:bookmarkEnd w:id="904"/>
    </w:p>
    <w:p w14:paraId="7F0073F6" w14:textId="355F6BE5"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BF174C0" w14:textId="20839CEF" w:rsidR="00C36D76" w:rsidRPr="009E064B" w:rsidRDefault="00C36D76" w:rsidP="001E0089">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pobocza drogi startowej jest zbudowanie go w taki sposób, aby zmniejszyć zagrożenie dla statku powietrznego, który wyjedzie poza drogę startową lub zabezpieczenie przerwanego startu lub aby uniknąć zasysania kamieni lub innych przedmiotów przez silniki turbinowe.</w:t>
      </w:r>
    </w:p>
    <w:p w14:paraId="2191B203" w14:textId="767CECA5" w:rsidR="00334D65" w:rsidRPr="005D070C" w:rsidRDefault="00C36D76" w:rsidP="00B06A9A">
      <w:pPr>
        <w:tabs>
          <w:tab w:val="left" w:pos="567"/>
        </w:tabs>
        <w:autoSpaceDE w:val="0"/>
        <w:autoSpaceDN w:val="0"/>
        <w:adjustRightInd w:val="0"/>
        <w:ind w:left="567" w:hanging="567"/>
        <w:rPr>
          <w:color w:val="000000" w:themeColor="text1"/>
          <w:szCs w:val="20"/>
        </w:rPr>
      </w:pPr>
      <w:r w:rsidRPr="009E064B">
        <w:rPr>
          <w:rFonts w:cs="Times New Roman"/>
          <w:szCs w:val="20"/>
        </w:rPr>
        <w:t xml:space="preserve">(b) </w:t>
      </w:r>
      <w:r w:rsidRPr="009E064B">
        <w:rPr>
          <w:rFonts w:cs="Times New Roman"/>
          <w:color w:val="FF0000"/>
          <w:szCs w:val="20"/>
        </w:rPr>
        <w:tab/>
      </w:r>
      <w:r w:rsidR="00334D65" w:rsidRPr="005D070C">
        <w:rPr>
          <w:color w:val="000000" w:themeColor="text1"/>
          <w:szCs w:val="20"/>
        </w:rPr>
        <w:t xml:space="preserve">Pobocza </w:t>
      </w:r>
      <w:r w:rsidR="0016515D" w:rsidRPr="005D070C">
        <w:rPr>
          <w:color w:val="000000" w:themeColor="text1"/>
          <w:szCs w:val="20"/>
        </w:rPr>
        <w:t xml:space="preserve">drogi startowej </w:t>
      </w:r>
      <w:r w:rsidR="00334D65" w:rsidRPr="005D070C">
        <w:rPr>
          <w:color w:val="000000" w:themeColor="text1"/>
          <w:szCs w:val="20"/>
        </w:rPr>
        <w:t xml:space="preserve">powinny być zapewnione na drogach startowych o literze kodu D, E </w:t>
      </w:r>
      <w:r w:rsidR="00C32E80" w:rsidRPr="005D070C">
        <w:rPr>
          <w:color w:val="000000" w:themeColor="text1"/>
          <w:szCs w:val="20"/>
        </w:rPr>
        <w:t>lub </w:t>
      </w:r>
      <w:r w:rsidR="00334D65" w:rsidRPr="005D070C">
        <w:rPr>
          <w:color w:val="000000" w:themeColor="text1"/>
          <w:szCs w:val="20"/>
        </w:rPr>
        <w:t xml:space="preserve">F dla samolotów o całkowitym rozstawie zewnętrznych </w:t>
      </w:r>
      <w:r w:rsidR="00FB199F" w:rsidRPr="005D070C">
        <w:rPr>
          <w:color w:val="000000" w:themeColor="text1"/>
          <w:szCs w:val="20"/>
        </w:rPr>
        <w:t xml:space="preserve">kół </w:t>
      </w:r>
      <w:r w:rsidR="00334D65" w:rsidRPr="005D070C">
        <w:rPr>
          <w:color w:val="000000" w:themeColor="text1"/>
          <w:szCs w:val="20"/>
        </w:rPr>
        <w:t>podwozia głównego (OMGWS)</w:t>
      </w:r>
      <w:r w:rsidR="00292BEE" w:rsidRPr="005D070C">
        <w:rPr>
          <w:color w:val="000000" w:themeColor="text1"/>
          <w:szCs w:val="20"/>
        </w:rPr>
        <w:t xml:space="preserve"> </w:t>
      </w:r>
      <w:r w:rsidR="0016515D" w:rsidRPr="005D070C">
        <w:rPr>
          <w:color w:val="000000" w:themeColor="text1"/>
          <w:szCs w:val="20"/>
        </w:rPr>
        <w:br/>
      </w:r>
      <w:r w:rsidR="00292BEE" w:rsidRPr="005D070C">
        <w:rPr>
          <w:color w:val="000000" w:themeColor="text1"/>
          <w:szCs w:val="20"/>
        </w:rPr>
        <w:t>od 9 m do 15 (bez </w:t>
      </w:r>
      <w:r w:rsidR="00334D65" w:rsidRPr="005D070C">
        <w:rPr>
          <w:color w:val="000000" w:themeColor="text1"/>
          <w:szCs w:val="20"/>
        </w:rPr>
        <w:t>wartości 15).</w:t>
      </w:r>
    </w:p>
    <w:p w14:paraId="02C73E82" w14:textId="51B960E2" w:rsidR="00F722A1" w:rsidRPr="005D070C" w:rsidRDefault="00F722A1" w:rsidP="008960B1">
      <w:pPr>
        <w:pStyle w:val="Tekstpodstawowy"/>
        <w:spacing w:before="60"/>
        <w:ind w:hanging="20"/>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p>
    <w:p w14:paraId="5F770994" w14:textId="77777777" w:rsidR="001A44D6" w:rsidRPr="009E064B" w:rsidRDefault="001A44D6" w:rsidP="00133B99">
      <w:pPr>
        <w:pStyle w:val="Nagwek6"/>
      </w:pPr>
      <w:bookmarkStart w:id="905" w:name="_Toc401058911"/>
      <w:bookmarkStart w:id="906" w:name="_Toc482886778"/>
      <w:bookmarkStart w:id="907" w:name="_Toc12532958"/>
      <w:bookmarkStart w:id="908" w:name="_Toc482886555"/>
      <w:r w:rsidRPr="009E064B">
        <w:t xml:space="preserve">GM1 ADR-DSN.B.125 </w:t>
      </w:r>
      <w:r w:rsidR="002C3C20" w:rsidRPr="009E064B">
        <w:t xml:space="preserve">    </w:t>
      </w:r>
      <w:r w:rsidRPr="009E064B">
        <w:t>Pobocza drogi startowej</w:t>
      </w:r>
      <w:bookmarkEnd w:id="905"/>
      <w:bookmarkEnd w:id="906"/>
      <w:bookmarkEnd w:id="907"/>
    </w:p>
    <w:p w14:paraId="74B7591D" w14:textId="087B0D29"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6BE23563" w14:textId="65EF40FF" w:rsidR="001A44D6" w:rsidRPr="005D070C" w:rsidRDefault="001A44D6" w:rsidP="00B06A9A">
      <w:pPr>
        <w:tabs>
          <w:tab w:val="left" w:pos="567"/>
        </w:tabs>
        <w:autoSpaceDE w:val="0"/>
        <w:autoSpaceDN w:val="0"/>
        <w:adjustRightInd w:val="0"/>
        <w:ind w:left="567" w:hanging="567"/>
        <w:rPr>
          <w:rFonts w:cs="Times New Roman"/>
          <w:color w:val="000000" w:themeColor="text1"/>
          <w:szCs w:val="20"/>
        </w:rPr>
      </w:pPr>
      <w:r w:rsidRPr="005D070C">
        <w:rPr>
          <w:rFonts w:cs="TimesNewRomanPS-BoldItalicMT"/>
          <w:bCs/>
          <w:iCs/>
          <w:color w:val="000000" w:themeColor="text1"/>
          <w:szCs w:val="20"/>
        </w:rPr>
        <w:t>(</w:t>
      </w:r>
      <w:r w:rsidR="009A028A" w:rsidRPr="005D070C">
        <w:rPr>
          <w:rFonts w:cs="TimesNewRomanPS-BoldItalicMT"/>
          <w:bCs/>
          <w:iCs/>
          <w:color w:val="000000" w:themeColor="text1"/>
          <w:szCs w:val="20"/>
        </w:rPr>
        <w:t>a</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cs="Times New Roman"/>
          <w:color w:val="000000" w:themeColor="text1"/>
          <w:szCs w:val="20"/>
        </w:rPr>
        <w:t xml:space="preserve">Pobocza drogi startowej są potrzebne, ponieważ silne wiatry boczne mogą powodować znaczne odchylenia od linii środkowej drogi startowej. </w:t>
      </w:r>
      <w:r w:rsidR="009A028A" w:rsidRPr="005D070C">
        <w:rPr>
          <w:rFonts w:cs="Times New Roman"/>
          <w:color w:val="000000" w:themeColor="text1"/>
          <w:szCs w:val="20"/>
        </w:rPr>
        <w:t xml:space="preserve">W przypadku </w:t>
      </w:r>
      <w:r w:rsidRPr="005D070C">
        <w:rPr>
          <w:rFonts w:cs="Times New Roman"/>
          <w:color w:val="000000" w:themeColor="text1"/>
          <w:szCs w:val="20"/>
        </w:rPr>
        <w:t>niektór</w:t>
      </w:r>
      <w:r w:rsidR="009A028A" w:rsidRPr="005D070C">
        <w:rPr>
          <w:rFonts w:cs="Times New Roman"/>
          <w:color w:val="000000" w:themeColor="text1"/>
          <w:szCs w:val="20"/>
        </w:rPr>
        <w:t>ych</w:t>
      </w:r>
      <w:r w:rsidRPr="005D070C">
        <w:rPr>
          <w:rFonts w:cs="Times New Roman"/>
          <w:color w:val="000000" w:themeColor="text1"/>
          <w:szCs w:val="20"/>
        </w:rPr>
        <w:t xml:space="preserve"> </w:t>
      </w:r>
      <w:r w:rsidR="009A028A" w:rsidRPr="005D070C">
        <w:rPr>
          <w:rFonts w:cs="Times New Roman"/>
          <w:color w:val="000000" w:themeColor="text1"/>
          <w:szCs w:val="20"/>
        </w:rPr>
        <w:t xml:space="preserve">dużych </w:t>
      </w:r>
      <w:r w:rsidRPr="005D070C">
        <w:rPr>
          <w:rFonts w:cs="Times New Roman"/>
          <w:color w:val="000000" w:themeColor="text1"/>
          <w:szCs w:val="20"/>
        </w:rPr>
        <w:t>statk</w:t>
      </w:r>
      <w:r w:rsidR="009A028A" w:rsidRPr="005D070C">
        <w:rPr>
          <w:rFonts w:cs="Times New Roman"/>
          <w:color w:val="000000" w:themeColor="text1"/>
          <w:szCs w:val="20"/>
        </w:rPr>
        <w:t>ów</w:t>
      </w:r>
      <w:r w:rsidRPr="005D070C">
        <w:rPr>
          <w:rFonts w:cs="Times New Roman"/>
          <w:color w:val="000000" w:themeColor="text1"/>
          <w:szCs w:val="20"/>
        </w:rPr>
        <w:t xml:space="preserve"> powietrzn</w:t>
      </w:r>
      <w:r w:rsidR="009A028A" w:rsidRPr="005D070C">
        <w:rPr>
          <w:rFonts w:cs="Times New Roman"/>
          <w:color w:val="000000" w:themeColor="text1"/>
          <w:szCs w:val="20"/>
        </w:rPr>
        <w:t>ych</w:t>
      </w:r>
      <w:r w:rsidRPr="005D070C">
        <w:rPr>
          <w:rFonts w:cs="Times New Roman"/>
          <w:color w:val="000000" w:themeColor="text1"/>
          <w:szCs w:val="20"/>
        </w:rPr>
        <w:t xml:space="preserve"> silnik</w:t>
      </w:r>
      <w:r w:rsidR="009A028A" w:rsidRPr="005D070C">
        <w:rPr>
          <w:rFonts w:cs="Times New Roman"/>
          <w:color w:val="000000" w:themeColor="text1"/>
          <w:szCs w:val="20"/>
        </w:rPr>
        <w:t>i</w:t>
      </w:r>
      <w:r w:rsidRPr="005D070C">
        <w:rPr>
          <w:rFonts w:cs="Times New Roman"/>
          <w:color w:val="000000" w:themeColor="text1"/>
          <w:szCs w:val="20"/>
        </w:rPr>
        <w:t xml:space="preserve"> montowan</w:t>
      </w:r>
      <w:r w:rsidR="009A028A" w:rsidRPr="005D070C">
        <w:rPr>
          <w:rFonts w:cs="Times New Roman"/>
          <w:color w:val="000000" w:themeColor="text1"/>
          <w:szCs w:val="20"/>
        </w:rPr>
        <w:t>e</w:t>
      </w:r>
      <w:r w:rsidRPr="005D070C">
        <w:rPr>
          <w:rFonts w:cs="Times New Roman"/>
          <w:color w:val="000000" w:themeColor="text1"/>
          <w:szCs w:val="20"/>
        </w:rPr>
        <w:t xml:space="preserve"> na skrzydłach mogą </w:t>
      </w:r>
      <w:r w:rsidR="009A028A" w:rsidRPr="005D070C">
        <w:rPr>
          <w:rFonts w:cs="Times New Roman"/>
          <w:color w:val="000000" w:themeColor="text1"/>
          <w:szCs w:val="20"/>
        </w:rPr>
        <w:t xml:space="preserve">wystawać </w:t>
      </w:r>
      <w:r w:rsidRPr="005D070C">
        <w:rPr>
          <w:rFonts w:cs="Times New Roman"/>
          <w:color w:val="000000" w:themeColor="text1"/>
          <w:szCs w:val="20"/>
        </w:rPr>
        <w:t xml:space="preserve">poza krawędź drogi startowej, </w:t>
      </w:r>
      <w:r w:rsidR="008439A8" w:rsidRPr="005D070C">
        <w:rPr>
          <w:rFonts w:cs="Times New Roman"/>
          <w:color w:val="000000" w:themeColor="text1"/>
          <w:szCs w:val="20"/>
        </w:rPr>
        <w:t>i </w:t>
      </w:r>
      <w:r w:rsidR="009A028A" w:rsidRPr="005D070C">
        <w:rPr>
          <w:rFonts w:cs="Times New Roman"/>
          <w:color w:val="000000" w:themeColor="text1"/>
          <w:szCs w:val="20"/>
        </w:rPr>
        <w:t>istnieje</w:t>
      </w:r>
      <w:r w:rsidRPr="005D070C">
        <w:rPr>
          <w:rFonts w:cs="Times New Roman"/>
          <w:color w:val="000000" w:themeColor="text1"/>
          <w:szCs w:val="20"/>
        </w:rPr>
        <w:t xml:space="preserve"> ryzyko podmuchu od silnika odrzutowego erodującego powierzchnię w pobliżu drogi startowej. Może to powodować </w:t>
      </w:r>
      <w:r w:rsidR="0016515D" w:rsidRPr="005D070C">
        <w:rPr>
          <w:rFonts w:cs="Times New Roman"/>
          <w:color w:val="000000" w:themeColor="text1"/>
          <w:szCs w:val="20"/>
        </w:rPr>
        <w:t xml:space="preserve">powstawanie </w:t>
      </w:r>
      <w:r w:rsidR="008439A8" w:rsidRPr="005D070C">
        <w:rPr>
          <w:rFonts w:cs="Times New Roman"/>
          <w:color w:val="000000" w:themeColor="text1"/>
          <w:szCs w:val="20"/>
        </w:rPr>
        <w:t>kurz</w:t>
      </w:r>
      <w:r w:rsidR="0016515D" w:rsidRPr="005D070C">
        <w:rPr>
          <w:rFonts w:cs="Times New Roman"/>
          <w:color w:val="000000" w:themeColor="text1"/>
          <w:szCs w:val="20"/>
        </w:rPr>
        <w:t>u</w:t>
      </w:r>
      <w:r w:rsidRPr="005D070C">
        <w:rPr>
          <w:rFonts w:cs="Times New Roman"/>
          <w:color w:val="000000" w:themeColor="text1"/>
          <w:szCs w:val="20"/>
        </w:rPr>
        <w:t xml:space="preserve"> i możliw</w:t>
      </w:r>
      <w:r w:rsidR="008439A8" w:rsidRPr="005D070C">
        <w:rPr>
          <w:rFonts w:cs="Times New Roman"/>
          <w:color w:val="000000" w:themeColor="text1"/>
          <w:szCs w:val="20"/>
        </w:rPr>
        <w:t>ość zasysania</w:t>
      </w:r>
      <w:r w:rsidRPr="005D070C">
        <w:rPr>
          <w:rFonts w:cs="Times New Roman"/>
          <w:color w:val="000000" w:themeColor="text1"/>
          <w:szCs w:val="20"/>
        </w:rPr>
        <w:t xml:space="preserve"> </w:t>
      </w:r>
      <w:r w:rsidR="008439A8" w:rsidRPr="005D070C">
        <w:rPr>
          <w:rFonts w:cs="Times New Roman"/>
          <w:color w:val="000000" w:themeColor="text1"/>
          <w:szCs w:val="20"/>
        </w:rPr>
        <w:t>odłamków</w:t>
      </w:r>
      <w:r w:rsidRPr="005D070C">
        <w:rPr>
          <w:rFonts w:cs="Times New Roman"/>
          <w:color w:val="000000" w:themeColor="text1"/>
          <w:szCs w:val="20"/>
        </w:rPr>
        <w:t xml:space="preserve"> przez silniki.</w:t>
      </w:r>
    </w:p>
    <w:p w14:paraId="4486624C" w14:textId="2B1F685B" w:rsidR="001A44D6" w:rsidRPr="005D070C" w:rsidRDefault="009A028A" w:rsidP="008439A8">
      <w:pPr>
        <w:tabs>
          <w:tab w:val="left" w:pos="567"/>
        </w:tabs>
        <w:autoSpaceDE w:val="0"/>
        <w:autoSpaceDN w:val="0"/>
        <w:adjustRightInd w:val="0"/>
        <w:ind w:left="567" w:hanging="567"/>
        <w:rPr>
          <w:rFonts w:cs="Times New Roman"/>
          <w:color w:val="000000" w:themeColor="text1"/>
          <w:szCs w:val="20"/>
        </w:rPr>
      </w:pPr>
      <w:r w:rsidRPr="005D070C">
        <w:rPr>
          <w:rFonts w:cs="Times New Roman"/>
          <w:color w:val="000000" w:themeColor="text1"/>
          <w:szCs w:val="20"/>
        </w:rPr>
        <w:t>(b)</w:t>
      </w:r>
      <w:r w:rsidRPr="005D070C">
        <w:rPr>
          <w:rFonts w:cs="Times New Roman"/>
          <w:color w:val="000000" w:themeColor="text1"/>
          <w:szCs w:val="20"/>
        </w:rPr>
        <w:tab/>
      </w:r>
      <w:r w:rsidR="001A44D6" w:rsidRPr="005D070C">
        <w:rPr>
          <w:rFonts w:cs="Times New Roman"/>
          <w:color w:val="000000" w:themeColor="text1"/>
          <w:szCs w:val="20"/>
        </w:rPr>
        <w:t xml:space="preserve">Dodatkowe wytyczne </w:t>
      </w:r>
      <w:r w:rsidRPr="005D070C">
        <w:rPr>
          <w:rFonts w:cs="Times New Roman"/>
          <w:color w:val="000000" w:themeColor="text1"/>
          <w:szCs w:val="20"/>
        </w:rPr>
        <w:t xml:space="preserve">na temat pobocza drogi startowej </w:t>
      </w:r>
      <w:r w:rsidR="001A44D6" w:rsidRPr="005D070C">
        <w:rPr>
          <w:rFonts w:cs="Times New Roman"/>
          <w:color w:val="000000" w:themeColor="text1"/>
          <w:szCs w:val="20"/>
        </w:rPr>
        <w:t>znajdują się w „</w:t>
      </w:r>
      <w:r w:rsidR="001A44D6" w:rsidRPr="005D070C">
        <w:rPr>
          <w:rFonts w:cs="Times New Roman"/>
          <w:i/>
          <w:color w:val="000000" w:themeColor="text1"/>
          <w:szCs w:val="20"/>
        </w:rPr>
        <w:t>Podręczniku projektowania lotnisk”</w:t>
      </w:r>
      <w:r w:rsidR="001A44D6" w:rsidRPr="005D070C">
        <w:rPr>
          <w:rFonts w:cs="Times New Roman"/>
          <w:color w:val="000000" w:themeColor="text1"/>
          <w:szCs w:val="20"/>
        </w:rPr>
        <w:t xml:space="preserve"> ICAO Doc 9157, Część 1 „</w:t>
      </w:r>
      <w:r w:rsidR="001A44D6" w:rsidRPr="005D070C">
        <w:rPr>
          <w:rFonts w:cs="Times New Roman"/>
          <w:i/>
          <w:color w:val="000000" w:themeColor="text1"/>
          <w:szCs w:val="20"/>
        </w:rPr>
        <w:t>Drogi startowe</w:t>
      </w:r>
      <w:r w:rsidR="001A44D6" w:rsidRPr="005D070C">
        <w:rPr>
          <w:rFonts w:cs="Times New Roman"/>
          <w:color w:val="000000" w:themeColor="text1"/>
          <w:szCs w:val="20"/>
        </w:rPr>
        <w:t>”.</w:t>
      </w:r>
    </w:p>
    <w:p w14:paraId="0E5B8323" w14:textId="2B4289E4" w:rsidR="001A44D6" w:rsidRPr="005D070C" w:rsidRDefault="001A44D6" w:rsidP="00B06A9A">
      <w:pPr>
        <w:tabs>
          <w:tab w:val="left" w:pos="567"/>
        </w:tabs>
        <w:autoSpaceDE w:val="0"/>
        <w:autoSpaceDN w:val="0"/>
        <w:adjustRightInd w:val="0"/>
        <w:ind w:left="567" w:hanging="567"/>
        <w:rPr>
          <w:color w:val="000000" w:themeColor="text1"/>
          <w:szCs w:val="20"/>
        </w:rPr>
      </w:pPr>
      <w:r w:rsidRPr="005D070C">
        <w:rPr>
          <w:rFonts w:cs="TimesNewRomanPS-BoldItalicMT"/>
          <w:bCs/>
          <w:iCs/>
          <w:color w:val="000000" w:themeColor="text1"/>
          <w:szCs w:val="20"/>
        </w:rPr>
        <w:t>(</w:t>
      </w:r>
      <w:r w:rsidR="009A028A" w:rsidRPr="005D070C">
        <w:rPr>
          <w:rFonts w:cs="TimesNewRomanPS-BoldItalicMT"/>
          <w:bCs/>
          <w:iCs/>
          <w:color w:val="000000" w:themeColor="text1"/>
          <w:szCs w:val="20"/>
        </w:rPr>
        <w:t>c</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009A028A" w:rsidRPr="005D070C">
        <w:rPr>
          <w:color w:val="000000" w:themeColor="text1"/>
          <w:szCs w:val="20"/>
        </w:rPr>
        <w:t>Ś</w:t>
      </w:r>
      <w:r w:rsidRPr="005D070C">
        <w:rPr>
          <w:color w:val="000000" w:themeColor="text1"/>
          <w:szCs w:val="20"/>
        </w:rPr>
        <w:t xml:space="preserve">rodki </w:t>
      </w:r>
      <w:r w:rsidR="008439A8" w:rsidRPr="005D070C">
        <w:rPr>
          <w:color w:val="000000" w:themeColor="text1"/>
          <w:szCs w:val="20"/>
        </w:rPr>
        <w:t xml:space="preserve">łagodzące, </w:t>
      </w:r>
      <w:r w:rsidR="00805A71" w:rsidRPr="005D070C">
        <w:rPr>
          <w:color w:val="000000" w:themeColor="text1"/>
          <w:szCs w:val="20"/>
        </w:rPr>
        <w:t>których użycie moż</w:t>
      </w:r>
      <w:r w:rsidR="0016515D" w:rsidRPr="005D070C">
        <w:rPr>
          <w:color w:val="000000" w:themeColor="text1"/>
          <w:szCs w:val="20"/>
        </w:rPr>
        <w:t>na</w:t>
      </w:r>
      <w:r w:rsidR="00EC32F7" w:rsidRPr="005D070C">
        <w:rPr>
          <w:color w:val="000000" w:themeColor="text1"/>
          <w:szCs w:val="20"/>
        </w:rPr>
        <w:t xml:space="preserve"> rozważa</w:t>
      </w:r>
      <w:r w:rsidR="008439A8" w:rsidRPr="005D070C">
        <w:rPr>
          <w:color w:val="000000" w:themeColor="text1"/>
          <w:szCs w:val="20"/>
        </w:rPr>
        <w:t xml:space="preserve">ć, </w:t>
      </w:r>
      <w:r w:rsidR="00805A71" w:rsidRPr="005D070C">
        <w:rPr>
          <w:color w:val="000000" w:themeColor="text1"/>
          <w:szCs w:val="20"/>
        </w:rPr>
        <w:t>mają</w:t>
      </w:r>
      <w:r w:rsidRPr="005D070C">
        <w:rPr>
          <w:color w:val="000000" w:themeColor="text1"/>
          <w:szCs w:val="20"/>
        </w:rPr>
        <w:t xml:space="preserve"> wyposaż</w:t>
      </w:r>
      <w:r w:rsidR="009A028A" w:rsidRPr="005D070C">
        <w:rPr>
          <w:color w:val="000000" w:themeColor="text1"/>
          <w:szCs w:val="20"/>
        </w:rPr>
        <w:t>yć</w:t>
      </w:r>
      <w:r w:rsidRPr="005D070C">
        <w:rPr>
          <w:color w:val="000000" w:themeColor="text1"/>
          <w:szCs w:val="20"/>
        </w:rPr>
        <w:t xml:space="preserve"> drog</w:t>
      </w:r>
      <w:r w:rsidR="009A028A" w:rsidRPr="005D070C">
        <w:rPr>
          <w:color w:val="000000" w:themeColor="text1"/>
          <w:szCs w:val="20"/>
        </w:rPr>
        <w:t>ę</w:t>
      </w:r>
      <w:r w:rsidRPr="005D070C">
        <w:rPr>
          <w:color w:val="000000" w:themeColor="text1"/>
          <w:szCs w:val="20"/>
        </w:rPr>
        <w:t xml:space="preserve"> </w:t>
      </w:r>
      <w:r w:rsidRPr="005D070C">
        <w:rPr>
          <w:rFonts w:cs="Times New Roman"/>
          <w:color w:val="000000" w:themeColor="text1"/>
          <w:szCs w:val="20"/>
        </w:rPr>
        <w:t>startow</w:t>
      </w:r>
      <w:r w:rsidR="009A028A" w:rsidRPr="005D070C">
        <w:rPr>
          <w:rFonts w:cs="Times New Roman"/>
          <w:color w:val="000000" w:themeColor="text1"/>
          <w:szCs w:val="20"/>
        </w:rPr>
        <w:t>ą</w:t>
      </w:r>
      <w:r w:rsidRPr="005D070C">
        <w:rPr>
          <w:color w:val="000000" w:themeColor="text1"/>
          <w:szCs w:val="20"/>
        </w:rPr>
        <w:t xml:space="preserve"> w zagłębione światła krawędzi</w:t>
      </w:r>
      <w:r w:rsidR="009A028A" w:rsidRPr="005D070C">
        <w:rPr>
          <w:color w:val="000000" w:themeColor="text1"/>
          <w:szCs w:val="20"/>
        </w:rPr>
        <w:t>owe</w:t>
      </w:r>
      <w:r w:rsidRPr="005D070C">
        <w:rPr>
          <w:color w:val="000000" w:themeColor="text1"/>
          <w:szCs w:val="20"/>
        </w:rPr>
        <w:t xml:space="preserve"> drogi startowej (w miejsce świateł nadziemnych w</w:t>
      </w:r>
      <w:r w:rsidR="009F0852" w:rsidRPr="005D070C">
        <w:rPr>
          <w:color w:val="000000" w:themeColor="text1"/>
          <w:szCs w:val="20"/>
        </w:rPr>
        <w:t xml:space="preserve"> </w:t>
      </w:r>
      <w:r w:rsidRPr="005D070C">
        <w:rPr>
          <w:color w:val="000000" w:themeColor="text1"/>
          <w:szCs w:val="20"/>
        </w:rPr>
        <w:t>celu oc</w:t>
      </w:r>
      <w:r w:rsidR="008439A8" w:rsidRPr="005D070C">
        <w:rPr>
          <w:color w:val="000000" w:themeColor="text1"/>
          <w:szCs w:val="20"/>
        </w:rPr>
        <w:t>hrony samolotu przed zasysaniem)</w:t>
      </w:r>
      <w:r w:rsidRPr="005D070C">
        <w:rPr>
          <w:color w:val="000000" w:themeColor="text1"/>
          <w:szCs w:val="20"/>
        </w:rPr>
        <w:t xml:space="preserve"> oraz dodatkowe wskaz</w:t>
      </w:r>
      <w:r w:rsidR="00805A71" w:rsidRPr="005D070C">
        <w:rPr>
          <w:color w:val="000000" w:themeColor="text1"/>
          <w:szCs w:val="20"/>
        </w:rPr>
        <w:t>ówki</w:t>
      </w:r>
      <w:r w:rsidRPr="005D070C">
        <w:rPr>
          <w:color w:val="000000" w:themeColor="text1"/>
          <w:szCs w:val="20"/>
        </w:rPr>
        <w:t xml:space="preserve"> linii środkowej drogi startowej.</w:t>
      </w:r>
    </w:p>
    <w:p w14:paraId="67C29421" w14:textId="6BC4E768"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F0EA0AF" w14:textId="77777777" w:rsidR="006C24CC" w:rsidRPr="009E064B" w:rsidRDefault="006C24CC" w:rsidP="00A64A6B">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EB99B98" w14:textId="2D82A329" w:rsidR="00C36D76" w:rsidRPr="009E064B" w:rsidRDefault="001E0089" w:rsidP="00B06A9A">
      <w:pPr>
        <w:pStyle w:val="Nagwek4"/>
        <w:rPr>
          <w:color w:val="auto"/>
        </w:rPr>
      </w:pPr>
      <w:bookmarkStart w:id="909" w:name="_Toc12532959"/>
      <w:r w:rsidRPr="009E064B">
        <w:rPr>
          <w:color w:val="auto"/>
        </w:rPr>
        <w:t xml:space="preserve">CS ADR-DSN.B.130     </w:t>
      </w:r>
      <w:r w:rsidR="00C36D76" w:rsidRPr="009E064B">
        <w:rPr>
          <w:color w:val="auto"/>
        </w:rPr>
        <w:t>Nachylenia pobocza</w:t>
      </w:r>
      <w:bookmarkEnd w:id="908"/>
      <w:r w:rsidR="00737638" w:rsidRPr="009E064B">
        <w:rPr>
          <w:color w:val="auto"/>
        </w:rPr>
        <w:t xml:space="preserve"> </w:t>
      </w:r>
      <w:r w:rsidR="00737638" w:rsidRPr="009E064B">
        <w:t>drogi startowej</w:t>
      </w:r>
      <w:bookmarkEnd w:id="909"/>
    </w:p>
    <w:p w14:paraId="4BBF7B4D" w14:textId="442FB424"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192D563" w14:textId="0BEA1FB4" w:rsidR="00C36D76" w:rsidRPr="009E064B" w:rsidRDefault="001E0089" w:rsidP="001E0089">
      <w:pPr>
        <w:tabs>
          <w:tab w:val="left" w:pos="567"/>
        </w:tabs>
        <w:autoSpaceDE w:val="0"/>
        <w:autoSpaceDN w:val="0"/>
        <w:adjustRightInd w:val="0"/>
        <w:ind w:left="567" w:hanging="567"/>
        <w:rPr>
          <w:szCs w:val="20"/>
        </w:rPr>
      </w:pPr>
      <w:r w:rsidRPr="009E064B">
        <w:rPr>
          <w:rFonts w:cs="Times New Roman"/>
          <w:szCs w:val="20"/>
        </w:rPr>
        <w:t xml:space="preserve"> </w:t>
      </w:r>
      <w:r w:rsidR="00C36D76" w:rsidRPr="009E064B">
        <w:rPr>
          <w:rFonts w:cs="Times New Roman"/>
          <w:szCs w:val="20"/>
        </w:rPr>
        <w:t xml:space="preserve">(a) </w:t>
      </w:r>
      <w:r w:rsidR="00C36D76" w:rsidRPr="009E064B">
        <w:rPr>
          <w:rFonts w:cs="Times New Roman"/>
          <w:szCs w:val="20"/>
        </w:rPr>
        <w:tab/>
      </w:r>
      <w:r w:rsidR="00C36D76" w:rsidRPr="009E064B">
        <w:rPr>
          <w:szCs w:val="20"/>
        </w:rPr>
        <w:t>Celem bezpieczeństwa nachyleń poprzecznych pobocza drogi startowej jest zapewnienie jak najszybszego odprowadzenia wody z drogi startowej i pobocza drogi startowej.</w:t>
      </w:r>
    </w:p>
    <w:p w14:paraId="1910EF2A"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szCs w:val="20"/>
        </w:rPr>
        <w:t>Powierzchnia poboczy drogi startowej powinna być zrównana z powierzchnią drogi startowej, zaś nachylenie poprzeczne pobocza nie powinno przekraczać 2.5%.</w:t>
      </w:r>
    </w:p>
    <w:p w14:paraId="39B3DA93" w14:textId="132CE187" w:rsidR="001A44D6" w:rsidRPr="009E064B" w:rsidRDefault="001E0089" w:rsidP="00133B99">
      <w:pPr>
        <w:pStyle w:val="Nagwek6"/>
      </w:pPr>
      <w:bookmarkStart w:id="910" w:name="_Toc401058912"/>
      <w:bookmarkStart w:id="911" w:name="_Toc482886779"/>
      <w:bookmarkStart w:id="912" w:name="_Toc12532960"/>
      <w:bookmarkStart w:id="913" w:name="_Toc482886556"/>
      <w:r w:rsidRPr="009E064B">
        <w:t xml:space="preserve">GM1 ADR-DSN.B.130     </w:t>
      </w:r>
      <w:r w:rsidR="001A44D6" w:rsidRPr="009E064B">
        <w:t>Nachylenia pobocz</w:t>
      </w:r>
      <w:bookmarkEnd w:id="910"/>
      <w:r w:rsidR="001A44D6" w:rsidRPr="009E064B">
        <w:t>a</w:t>
      </w:r>
      <w:bookmarkEnd w:id="911"/>
      <w:r w:rsidR="00737638" w:rsidRPr="009E064B">
        <w:t xml:space="preserve"> drogi startowej</w:t>
      </w:r>
      <w:bookmarkEnd w:id="912"/>
    </w:p>
    <w:p w14:paraId="0305DB2B" w14:textId="5C12CF66"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3D51BB5" w14:textId="77777777" w:rsidR="001A44D6" w:rsidRPr="009E064B" w:rsidRDefault="001A44D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6194D494" w14:textId="6E435129" w:rsidR="00C36D76" w:rsidRPr="009E064B" w:rsidRDefault="00C36D76" w:rsidP="00B06A9A">
      <w:pPr>
        <w:pStyle w:val="Nagwek4"/>
        <w:rPr>
          <w:color w:val="auto"/>
        </w:rPr>
      </w:pPr>
      <w:bookmarkStart w:id="914" w:name="_Toc12532961"/>
      <w:r w:rsidRPr="009E064B">
        <w:rPr>
          <w:color w:val="auto"/>
        </w:rPr>
        <w:t xml:space="preserve">CS ADR-DSN.B.135 </w:t>
      </w:r>
      <w:r w:rsidR="002C3C20" w:rsidRPr="009E064B">
        <w:rPr>
          <w:color w:val="auto"/>
        </w:rPr>
        <w:t xml:space="preserve">    </w:t>
      </w:r>
      <w:r w:rsidRPr="009E064B">
        <w:rPr>
          <w:color w:val="auto"/>
        </w:rPr>
        <w:t>Szerokość pobocza</w:t>
      </w:r>
      <w:bookmarkEnd w:id="913"/>
      <w:r w:rsidR="00737638" w:rsidRPr="009E064B">
        <w:t xml:space="preserve"> drogi startowej</w:t>
      </w:r>
      <w:bookmarkEnd w:id="914"/>
    </w:p>
    <w:p w14:paraId="25AC2C33" w14:textId="34E97A2A"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92872B9" w14:textId="533C73C8" w:rsidR="00C36D76" w:rsidRPr="005D070C" w:rsidRDefault="00334D65" w:rsidP="000D78F5">
      <w:pPr>
        <w:tabs>
          <w:tab w:val="left" w:pos="0"/>
        </w:tabs>
        <w:autoSpaceDE w:val="0"/>
        <w:autoSpaceDN w:val="0"/>
        <w:adjustRightInd w:val="0"/>
        <w:rPr>
          <w:rFonts w:cs="TimesNewRomanPS-ItalicMT"/>
          <w:iCs/>
          <w:color w:val="000000" w:themeColor="text1"/>
          <w:szCs w:val="20"/>
        </w:rPr>
      </w:pPr>
      <w:r w:rsidRPr="005D070C">
        <w:rPr>
          <w:color w:val="000000" w:themeColor="text1"/>
          <w:szCs w:val="20"/>
        </w:rPr>
        <w:t xml:space="preserve">Dla samolotów o całkowitym rozstawie zewnętrznych </w:t>
      </w:r>
      <w:r w:rsidR="00FB199F" w:rsidRPr="005D070C">
        <w:rPr>
          <w:color w:val="000000" w:themeColor="text1"/>
          <w:szCs w:val="20"/>
        </w:rPr>
        <w:t xml:space="preserve">kół </w:t>
      </w:r>
      <w:r w:rsidRPr="005D070C">
        <w:rPr>
          <w:color w:val="000000" w:themeColor="text1"/>
          <w:szCs w:val="20"/>
        </w:rPr>
        <w:t xml:space="preserve">podwozia głównego (OMGWS) od 9 m do 15 (bez wartości 15) </w:t>
      </w:r>
      <w:r w:rsidRPr="005D070C">
        <w:rPr>
          <w:rFonts w:cs="TimesNewRomanPS-ItalicMT"/>
          <w:iCs/>
          <w:color w:val="000000" w:themeColor="text1"/>
          <w:szCs w:val="20"/>
        </w:rPr>
        <w:t>p</w:t>
      </w:r>
      <w:r w:rsidR="00C36D76" w:rsidRPr="005D070C">
        <w:rPr>
          <w:rFonts w:cs="TimesNewRomanPS-ItalicMT"/>
          <w:iCs/>
          <w:color w:val="000000" w:themeColor="text1"/>
          <w:szCs w:val="20"/>
        </w:rPr>
        <w:t>obocza drogi startowej powinny rozciągać się symetrycznie po obu stronach drogi startowej tak, aby łączna szerokość drogi startowej i obu poboczy była nie mniejsza niż:</w:t>
      </w:r>
    </w:p>
    <w:p w14:paraId="7FC60702" w14:textId="2BA54A40" w:rsidR="00C36D76" w:rsidRPr="005D070C" w:rsidRDefault="00C36D76" w:rsidP="00EE2E0D">
      <w:pPr>
        <w:tabs>
          <w:tab w:val="left" w:pos="567"/>
        </w:tabs>
        <w:autoSpaceDE w:val="0"/>
        <w:autoSpaceDN w:val="0"/>
        <w:adjustRightInd w:val="0"/>
        <w:ind w:left="567" w:hanging="567"/>
        <w:rPr>
          <w:rFonts w:cs="TimesNewRomanPS-ItalicMT"/>
          <w:iCs/>
          <w:color w:val="000000" w:themeColor="text1"/>
          <w:szCs w:val="20"/>
        </w:rPr>
      </w:pPr>
      <w:r w:rsidRPr="005D070C">
        <w:rPr>
          <w:rFonts w:cs="Times New Roman"/>
          <w:color w:val="000000" w:themeColor="text1"/>
          <w:szCs w:val="20"/>
        </w:rPr>
        <w:t>(</w:t>
      </w:r>
      <w:r w:rsidR="00FE60AF" w:rsidRPr="005D070C">
        <w:rPr>
          <w:rFonts w:cs="Times New Roman"/>
          <w:color w:val="000000" w:themeColor="text1"/>
          <w:szCs w:val="20"/>
        </w:rPr>
        <w:t>a</w:t>
      </w:r>
      <w:r w:rsidRPr="005D070C">
        <w:rPr>
          <w:rFonts w:cs="Times New Roman"/>
          <w:color w:val="000000" w:themeColor="text1"/>
          <w:szCs w:val="20"/>
        </w:rPr>
        <w:t xml:space="preserve">) </w:t>
      </w:r>
      <w:r w:rsidRPr="005D070C">
        <w:rPr>
          <w:rFonts w:cs="Times New Roman"/>
          <w:color w:val="000000" w:themeColor="text1"/>
          <w:szCs w:val="20"/>
        </w:rPr>
        <w:tab/>
      </w:r>
      <w:r w:rsidRPr="005D070C">
        <w:rPr>
          <w:color w:val="000000" w:themeColor="text1"/>
          <w:szCs w:val="20"/>
        </w:rPr>
        <w:t>60</w:t>
      </w:r>
      <w:r w:rsidRPr="005D070C">
        <w:rPr>
          <w:rFonts w:cs="TimesNewRomanPS-ItalicMT"/>
          <w:iCs/>
          <w:color w:val="000000" w:themeColor="text1"/>
          <w:szCs w:val="20"/>
        </w:rPr>
        <w:t xml:space="preserve"> m, gdy literą kodu jest D lub E; </w:t>
      </w:r>
    </w:p>
    <w:p w14:paraId="7BBD09E4" w14:textId="7C573BE7" w:rsidR="00FE60AF" w:rsidRPr="005D070C" w:rsidRDefault="00FE60AF" w:rsidP="00EE2E0D">
      <w:pPr>
        <w:tabs>
          <w:tab w:val="left" w:pos="567"/>
        </w:tabs>
        <w:autoSpaceDE w:val="0"/>
        <w:autoSpaceDN w:val="0"/>
        <w:adjustRightInd w:val="0"/>
        <w:ind w:left="567" w:hanging="567"/>
        <w:rPr>
          <w:rFonts w:cs="TimesNewRomanPS-ItalicMT"/>
          <w:iCs/>
          <w:color w:val="000000" w:themeColor="text1"/>
          <w:szCs w:val="20"/>
        </w:rPr>
      </w:pPr>
      <w:r w:rsidRPr="005D070C">
        <w:rPr>
          <w:rFonts w:cs="TimesNewRomanPS-ItalicMT"/>
          <w:iCs/>
          <w:color w:val="000000" w:themeColor="text1"/>
          <w:szCs w:val="20"/>
        </w:rPr>
        <w:t xml:space="preserve">(b) </w:t>
      </w:r>
      <w:r w:rsidRPr="005D070C">
        <w:rPr>
          <w:rFonts w:cs="TimesNewRomanPS-ItalicMT"/>
          <w:iCs/>
          <w:color w:val="000000" w:themeColor="text1"/>
          <w:szCs w:val="20"/>
        </w:rPr>
        <w:tab/>
      </w:r>
      <w:r w:rsidRPr="005D070C">
        <w:rPr>
          <w:color w:val="000000" w:themeColor="text1"/>
          <w:szCs w:val="20"/>
        </w:rPr>
        <w:t>60</w:t>
      </w:r>
      <w:r w:rsidRPr="005D070C">
        <w:rPr>
          <w:rFonts w:cs="TimesNewRomanPS-ItalicMT"/>
          <w:iCs/>
          <w:color w:val="000000" w:themeColor="text1"/>
          <w:szCs w:val="20"/>
        </w:rPr>
        <w:t xml:space="preserve"> m, gdy literą kodu jest F dla samolotów dwu lub trzysilnikowych; oraz</w:t>
      </w:r>
    </w:p>
    <w:p w14:paraId="6B07D5D4" w14:textId="0C99F43F" w:rsidR="00C36D76" w:rsidRPr="005D070C" w:rsidRDefault="00C36D76" w:rsidP="00EE2E0D">
      <w:pPr>
        <w:tabs>
          <w:tab w:val="left" w:pos="567"/>
        </w:tabs>
        <w:autoSpaceDE w:val="0"/>
        <w:autoSpaceDN w:val="0"/>
        <w:adjustRightInd w:val="0"/>
        <w:spacing w:after="0"/>
        <w:ind w:left="567" w:hanging="567"/>
        <w:rPr>
          <w:color w:val="000000" w:themeColor="text1"/>
          <w:szCs w:val="20"/>
        </w:rPr>
      </w:pPr>
      <w:r w:rsidRPr="005D070C">
        <w:rPr>
          <w:rFonts w:cs="Times New Roman"/>
          <w:color w:val="000000" w:themeColor="text1"/>
          <w:szCs w:val="20"/>
        </w:rPr>
        <w:t>(</w:t>
      </w:r>
      <w:r w:rsidR="00FE60AF" w:rsidRPr="005D070C">
        <w:rPr>
          <w:rFonts w:cs="Times New Roman"/>
          <w:color w:val="000000" w:themeColor="text1"/>
          <w:szCs w:val="20"/>
        </w:rPr>
        <w:t>c</w:t>
      </w:r>
      <w:r w:rsidRPr="005D070C">
        <w:rPr>
          <w:rFonts w:cs="Times New Roman"/>
          <w:color w:val="000000" w:themeColor="text1"/>
          <w:szCs w:val="20"/>
        </w:rPr>
        <w:t xml:space="preserve">) </w:t>
      </w:r>
      <w:r w:rsidRPr="005D070C">
        <w:rPr>
          <w:rFonts w:cs="Times New Roman"/>
          <w:color w:val="000000" w:themeColor="text1"/>
          <w:szCs w:val="20"/>
        </w:rPr>
        <w:tab/>
      </w:r>
      <w:r w:rsidRPr="005D070C">
        <w:rPr>
          <w:color w:val="000000" w:themeColor="text1"/>
          <w:szCs w:val="20"/>
        </w:rPr>
        <w:t>75</w:t>
      </w:r>
      <w:r w:rsidRPr="005D070C">
        <w:rPr>
          <w:rFonts w:cs="TimesNewRomanPS-ItalicMT"/>
          <w:iCs/>
          <w:color w:val="000000" w:themeColor="text1"/>
          <w:szCs w:val="20"/>
        </w:rPr>
        <w:t xml:space="preserve"> m, gdy literą kodu jest F</w:t>
      </w:r>
      <w:r w:rsidR="00FE60AF" w:rsidRPr="005D070C">
        <w:rPr>
          <w:rFonts w:cs="TimesNewRomanPS-ItalicMT"/>
          <w:iCs/>
          <w:color w:val="000000" w:themeColor="text1"/>
          <w:szCs w:val="20"/>
        </w:rPr>
        <w:t xml:space="preserve"> dla samolotów </w:t>
      </w:r>
      <w:r w:rsidR="00A64A6B" w:rsidRPr="005D070C">
        <w:rPr>
          <w:rFonts w:cs="TimesNewRomanPS-ItalicMT"/>
          <w:iCs/>
          <w:color w:val="000000" w:themeColor="text1"/>
          <w:szCs w:val="20"/>
        </w:rPr>
        <w:t xml:space="preserve">z </w:t>
      </w:r>
      <w:r w:rsidR="00FE60AF" w:rsidRPr="005D070C">
        <w:rPr>
          <w:rFonts w:cs="TimesNewRomanPS-ItalicMT"/>
          <w:iCs/>
          <w:color w:val="000000" w:themeColor="text1"/>
          <w:szCs w:val="20"/>
        </w:rPr>
        <w:t>czter</w:t>
      </w:r>
      <w:r w:rsidR="00A64A6B" w:rsidRPr="005D070C">
        <w:rPr>
          <w:rFonts w:cs="TimesNewRomanPS-ItalicMT"/>
          <w:iCs/>
          <w:color w:val="000000" w:themeColor="text1"/>
          <w:szCs w:val="20"/>
        </w:rPr>
        <w:t xml:space="preserve">ema </w:t>
      </w:r>
      <w:r w:rsidR="00FE60AF" w:rsidRPr="005D070C">
        <w:rPr>
          <w:rFonts w:cs="TimesNewRomanPS-ItalicMT"/>
          <w:iCs/>
          <w:color w:val="000000" w:themeColor="text1"/>
          <w:szCs w:val="20"/>
        </w:rPr>
        <w:t>silnik</w:t>
      </w:r>
      <w:r w:rsidR="00A64A6B" w:rsidRPr="005D070C">
        <w:rPr>
          <w:rFonts w:cs="TimesNewRomanPS-ItalicMT"/>
          <w:iCs/>
          <w:color w:val="000000" w:themeColor="text1"/>
          <w:szCs w:val="20"/>
        </w:rPr>
        <w:t>ami</w:t>
      </w:r>
      <w:r w:rsidR="00FE60AF" w:rsidRPr="005D070C">
        <w:rPr>
          <w:rFonts w:cs="TimesNewRomanPS-ItalicMT"/>
          <w:iCs/>
          <w:color w:val="000000" w:themeColor="text1"/>
          <w:szCs w:val="20"/>
        </w:rPr>
        <w:t xml:space="preserve"> (i więcej)</w:t>
      </w:r>
      <w:r w:rsidRPr="005D070C">
        <w:rPr>
          <w:rFonts w:cs="TimesNewRomanPS-ItalicMT"/>
          <w:iCs/>
          <w:color w:val="000000" w:themeColor="text1"/>
          <w:szCs w:val="20"/>
        </w:rPr>
        <w:t>.</w:t>
      </w:r>
    </w:p>
    <w:p w14:paraId="26A31AD5" w14:textId="7539733E"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5301193" w14:textId="77777777" w:rsidR="00F722A1" w:rsidRPr="009E064B" w:rsidRDefault="00F722A1" w:rsidP="00A64A6B">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120E755" w14:textId="0FF2CB24" w:rsidR="001A44D6" w:rsidRPr="009E064B" w:rsidRDefault="001E0089" w:rsidP="00133B99">
      <w:pPr>
        <w:pStyle w:val="Nagwek6"/>
      </w:pPr>
      <w:bookmarkStart w:id="915" w:name="_Toc401058913"/>
      <w:bookmarkStart w:id="916" w:name="_Toc482886780"/>
      <w:bookmarkStart w:id="917" w:name="_Toc12532962"/>
      <w:bookmarkStart w:id="918" w:name="_Toc482886557"/>
      <w:r w:rsidRPr="009E064B">
        <w:t xml:space="preserve">GM1 ADR-DSN.B.135     </w:t>
      </w:r>
      <w:r w:rsidR="001A44D6" w:rsidRPr="009E064B">
        <w:t>Szerokość pobocz</w:t>
      </w:r>
      <w:bookmarkEnd w:id="915"/>
      <w:r w:rsidR="001A44D6" w:rsidRPr="009E064B">
        <w:t>a</w:t>
      </w:r>
      <w:bookmarkEnd w:id="916"/>
      <w:r w:rsidR="00737638" w:rsidRPr="009E064B">
        <w:t xml:space="preserve"> drogi startowej</w:t>
      </w:r>
      <w:bookmarkEnd w:id="917"/>
    </w:p>
    <w:p w14:paraId="0D3E1B03" w14:textId="3022875A"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65785C4" w14:textId="77777777" w:rsidR="001A44D6" w:rsidRPr="009E064B" w:rsidRDefault="001A44D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6B37A89" w14:textId="49A43D19" w:rsidR="00C36D76" w:rsidRPr="009E064B" w:rsidRDefault="00602E93" w:rsidP="00B06A9A">
      <w:pPr>
        <w:pStyle w:val="Nagwek4"/>
        <w:rPr>
          <w:color w:val="auto"/>
        </w:rPr>
      </w:pPr>
      <w:bookmarkStart w:id="919" w:name="_Toc12532963"/>
      <w:r w:rsidRPr="009E064B">
        <w:rPr>
          <w:color w:val="auto"/>
        </w:rPr>
        <w:t>CS AD</w:t>
      </w:r>
      <w:r w:rsidRPr="009E064B">
        <w:t xml:space="preserve"> </w:t>
      </w:r>
      <w:r w:rsidR="001E0089" w:rsidRPr="009E064B">
        <w:rPr>
          <w:color w:val="auto"/>
        </w:rPr>
        <w:t xml:space="preserve">R-DSN.B.140     </w:t>
      </w:r>
      <w:r w:rsidR="00C36D76" w:rsidRPr="009E064B">
        <w:rPr>
          <w:color w:val="auto"/>
        </w:rPr>
        <w:t>Nośność pobocz</w:t>
      </w:r>
      <w:r w:rsidR="0051028F" w:rsidRPr="009E064B">
        <w:rPr>
          <w:color w:val="auto"/>
        </w:rPr>
        <w:t>y</w:t>
      </w:r>
      <w:bookmarkEnd w:id="918"/>
      <w:r w:rsidR="00737638" w:rsidRPr="009E064B">
        <w:t xml:space="preserve"> drogi startowej</w:t>
      </w:r>
      <w:bookmarkEnd w:id="919"/>
    </w:p>
    <w:p w14:paraId="7596FB3D" w14:textId="0592A2D9"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E709471" w14:textId="63FEBF12" w:rsidR="00C36D76" w:rsidRPr="005D070C" w:rsidRDefault="00FE60AF" w:rsidP="00B06A9A">
      <w:pPr>
        <w:autoSpaceDE w:val="0"/>
        <w:autoSpaceDN w:val="0"/>
        <w:adjustRightInd w:val="0"/>
        <w:spacing w:after="0"/>
        <w:rPr>
          <w:rFonts w:cs="TimesNewRomanPS-ItalicMT"/>
          <w:iCs/>
          <w:color w:val="000000" w:themeColor="text1"/>
          <w:szCs w:val="20"/>
        </w:rPr>
      </w:pPr>
      <w:r w:rsidRPr="005D070C">
        <w:rPr>
          <w:rFonts w:cs="TimesNewRomanPS-ItalicMT"/>
          <w:iCs/>
          <w:color w:val="000000" w:themeColor="text1"/>
          <w:szCs w:val="20"/>
        </w:rPr>
        <w:t>Część p</w:t>
      </w:r>
      <w:r w:rsidR="00C36D76" w:rsidRPr="005D070C">
        <w:rPr>
          <w:rFonts w:cs="TimesNewRomanPS-ItalicMT"/>
          <w:iCs/>
          <w:color w:val="000000" w:themeColor="text1"/>
          <w:szCs w:val="20"/>
        </w:rPr>
        <w:t>obocz</w:t>
      </w:r>
      <w:r w:rsidRPr="005D070C">
        <w:rPr>
          <w:rFonts w:cs="TimesNewRomanPS-ItalicMT"/>
          <w:iCs/>
          <w:color w:val="000000" w:themeColor="text1"/>
          <w:szCs w:val="20"/>
        </w:rPr>
        <w:t>a</w:t>
      </w:r>
      <w:r w:rsidR="00C36D76" w:rsidRPr="005D070C">
        <w:rPr>
          <w:rFonts w:cs="TimesNewRomanPS-ItalicMT"/>
          <w:iCs/>
          <w:color w:val="000000" w:themeColor="text1"/>
          <w:szCs w:val="20"/>
        </w:rPr>
        <w:t xml:space="preserve"> drogi startowej</w:t>
      </w:r>
      <w:r w:rsidRPr="005D070C">
        <w:rPr>
          <w:rFonts w:cs="TimesNewRomanPS-ItalicMT"/>
          <w:iCs/>
          <w:color w:val="000000" w:themeColor="text1"/>
          <w:szCs w:val="20"/>
        </w:rPr>
        <w:t>, znajdująca się pomiędzy krawędzią drogi startowej a odległością 30 m od linii środkowej drogi startowej</w:t>
      </w:r>
      <w:r w:rsidR="00C36D76" w:rsidRPr="005D070C">
        <w:rPr>
          <w:rFonts w:cs="TimesNewRomanPS-ItalicMT"/>
          <w:iCs/>
          <w:color w:val="000000" w:themeColor="text1"/>
          <w:szCs w:val="20"/>
        </w:rPr>
        <w:t xml:space="preserve"> powinn</w:t>
      </w:r>
      <w:r w:rsidRPr="005D070C">
        <w:rPr>
          <w:rFonts w:cs="TimesNewRomanPS-ItalicMT"/>
          <w:iCs/>
          <w:color w:val="000000" w:themeColor="text1"/>
          <w:szCs w:val="20"/>
        </w:rPr>
        <w:t>a</w:t>
      </w:r>
      <w:r w:rsidR="00C36D76" w:rsidRPr="005D070C">
        <w:rPr>
          <w:rFonts w:cs="TimesNewRomanPS-ItalicMT"/>
          <w:iCs/>
          <w:color w:val="000000" w:themeColor="text1"/>
          <w:szCs w:val="20"/>
        </w:rPr>
        <w:t xml:space="preserve"> być przygotowan</w:t>
      </w:r>
      <w:r w:rsidRPr="005D070C">
        <w:rPr>
          <w:rFonts w:cs="TimesNewRomanPS-ItalicMT"/>
          <w:iCs/>
          <w:color w:val="000000" w:themeColor="text1"/>
          <w:szCs w:val="20"/>
        </w:rPr>
        <w:t>a</w:t>
      </w:r>
      <w:r w:rsidR="00C36D76" w:rsidRPr="005D070C">
        <w:rPr>
          <w:rFonts w:cs="TimesNewRomanPS-ItalicMT"/>
          <w:iCs/>
          <w:color w:val="000000" w:themeColor="text1"/>
          <w:szCs w:val="20"/>
        </w:rPr>
        <w:t xml:space="preserve"> lub zbudowan</w:t>
      </w:r>
      <w:r w:rsidRPr="005D070C">
        <w:rPr>
          <w:rFonts w:cs="TimesNewRomanPS-ItalicMT"/>
          <w:iCs/>
          <w:color w:val="000000" w:themeColor="text1"/>
          <w:szCs w:val="20"/>
        </w:rPr>
        <w:t>a</w:t>
      </w:r>
      <w:r w:rsidR="00805A71" w:rsidRPr="005D070C">
        <w:rPr>
          <w:rFonts w:cs="TimesNewRomanPS-ItalicMT"/>
          <w:iCs/>
          <w:color w:val="000000" w:themeColor="text1"/>
          <w:szCs w:val="20"/>
        </w:rPr>
        <w:t xml:space="preserve"> w taki sposób, aby w </w:t>
      </w:r>
      <w:r w:rsidR="00C36D76" w:rsidRPr="005D070C">
        <w:rPr>
          <w:rFonts w:cs="TimesNewRomanPS-ItalicMT"/>
          <w:iCs/>
          <w:color w:val="000000" w:themeColor="text1"/>
          <w:szCs w:val="20"/>
        </w:rPr>
        <w:t>razie zjechania statku powietrznego z drogi startowej, mogł</w:t>
      </w:r>
      <w:r w:rsidRPr="005D070C">
        <w:rPr>
          <w:rFonts w:cs="TimesNewRomanPS-ItalicMT"/>
          <w:iCs/>
          <w:color w:val="000000" w:themeColor="text1"/>
          <w:szCs w:val="20"/>
        </w:rPr>
        <w:t>a</w:t>
      </w:r>
      <w:r w:rsidR="00C36D76" w:rsidRPr="005D070C">
        <w:rPr>
          <w:rFonts w:cs="TimesNewRomanPS-ItalicMT"/>
          <w:iCs/>
          <w:color w:val="000000" w:themeColor="text1"/>
          <w:szCs w:val="20"/>
        </w:rPr>
        <w:t xml:space="preserve"> przenieść ciężar statku powietrznego bez doprowadzenia do uszkodzenia konstrukcji statku, oraz aby mogł</w:t>
      </w:r>
      <w:r w:rsidRPr="005D070C">
        <w:rPr>
          <w:rFonts w:cs="TimesNewRomanPS-ItalicMT"/>
          <w:iCs/>
          <w:color w:val="000000" w:themeColor="text1"/>
          <w:szCs w:val="20"/>
        </w:rPr>
        <w:t>a</w:t>
      </w:r>
      <w:r w:rsidR="00C36D76" w:rsidRPr="005D070C">
        <w:rPr>
          <w:rFonts w:cs="TimesNewRomanPS-ItalicMT"/>
          <w:iCs/>
          <w:color w:val="000000" w:themeColor="text1"/>
          <w:szCs w:val="20"/>
        </w:rPr>
        <w:t xml:space="preserve"> przenieść ciężar pojazdów naziemnych, które mogą się poruszać po poboczach.</w:t>
      </w:r>
    </w:p>
    <w:p w14:paraId="5A2068CE" w14:textId="77777777" w:rsidR="00F722A1" w:rsidRPr="005D070C" w:rsidRDefault="00F722A1" w:rsidP="008960B1">
      <w:pPr>
        <w:pStyle w:val="Tekstpodstawowy"/>
        <w:spacing w:before="60"/>
        <w:ind w:hanging="20"/>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p>
    <w:p w14:paraId="2FFB6F25" w14:textId="5061B22E" w:rsidR="001A44D6" w:rsidRPr="009E064B" w:rsidRDefault="002C3C20" w:rsidP="00133B99">
      <w:pPr>
        <w:pStyle w:val="Nagwek6"/>
      </w:pPr>
      <w:bookmarkStart w:id="920" w:name="_Toc482886781"/>
      <w:bookmarkStart w:id="921" w:name="_Toc12532964"/>
      <w:bookmarkStart w:id="922" w:name="_Toc482886558"/>
      <w:r w:rsidRPr="009E064B">
        <w:t xml:space="preserve">GM1 ADR-DSN.B.140     </w:t>
      </w:r>
      <w:r w:rsidR="001A44D6" w:rsidRPr="009E064B">
        <w:t>Nośność pobocz</w:t>
      </w:r>
      <w:bookmarkEnd w:id="920"/>
      <w:r w:rsidR="0051028F" w:rsidRPr="009E064B">
        <w:t>y</w:t>
      </w:r>
      <w:r w:rsidR="00737638" w:rsidRPr="009E064B">
        <w:t xml:space="preserve"> drogi startowej</w:t>
      </w:r>
      <w:bookmarkEnd w:id="921"/>
    </w:p>
    <w:p w14:paraId="5BE3ABD7" w14:textId="5F8C91AD"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7160BCEC" w14:textId="0F9DB60F" w:rsidR="009E4EFA" w:rsidRPr="005D070C" w:rsidRDefault="009E4EFA" w:rsidP="00EE2E0D">
      <w:pPr>
        <w:tabs>
          <w:tab w:val="left" w:pos="567"/>
        </w:tabs>
        <w:autoSpaceDE w:val="0"/>
        <w:autoSpaceDN w:val="0"/>
        <w:adjustRightInd w:val="0"/>
        <w:ind w:left="567" w:hanging="567"/>
        <w:rPr>
          <w:color w:val="000000" w:themeColor="text1"/>
          <w:szCs w:val="20"/>
        </w:rPr>
      </w:pPr>
      <w:r w:rsidRPr="005D070C">
        <w:rPr>
          <w:bCs/>
          <w:iCs/>
          <w:color w:val="000000" w:themeColor="text1"/>
          <w:szCs w:val="20"/>
        </w:rPr>
        <w:t xml:space="preserve">(a) </w:t>
      </w:r>
      <w:r w:rsidRPr="005D070C">
        <w:rPr>
          <w:bCs/>
          <w:iCs/>
          <w:color w:val="000000" w:themeColor="text1"/>
          <w:szCs w:val="20"/>
        </w:rPr>
        <w:tab/>
      </w:r>
      <w:r w:rsidRPr="005D070C">
        <w:rPr>
          <w:color w:val="000000" w:themeColor="text1"/>
          <w:szCs w:val="20"/>
        </w:rPr>
        <w:t>Pobocza drogi startowej powinny być przygotowane w taki sposób, aby mogły stanowić wsparcie dla statków powietrznych korzystających z drogi startowej nie powodując uszkodzeń konstrukcyjnych tych statków powietrznych. Powinny one również posiadać możliwość wsparcia pojazdów takich jak pojazdy gaśnicze. W niektórych przypadkach, podczas gdy nośność terenu może być wystarczająca, konieczne może być specjalne przygotowanie w celu uniknięcia erozji oraz możliwego zasysania fragmentów gruzu przez silniki statków powietrznych.</w:t>
      </w:r>
    </w:p>
    <w:p w14:paraId="48231D45" w14:textId="13CACFF3" w:rsidR="009E4EFA" w:rsidRPr="005D070C" w:rsidRDefault="009F0852" w:rsidP="009E4EFA">
      <w:pPr>
        <w:tabs>
          <w:tab w:val="left" w:pos="567"/>
        </w:tabs>
        <w:autoSpaceDE w:val="0"/>
        <w:autoSpaceDN w:val="0"/>
        <w:adjustRightInd w:val="0"/>
        <w:ind w:left="567" w:hanging="567"/>
        <w:rPr>
          <w:color w:val="000000" w:themeColor="text1"/>
          <w:szCs w:val="20"/>
        </w:rPr>
      </w:pPr>
      <w:r w:rsidRPr="005D070C">
        <w:rPr>
          <w:bCs/>
          <w:iCs/>
          <w:color w:val="000000" w:themeColor="text1"/>
          <w:szCs w:val="20"/>
        </w:rPr>
        <w:t>(b</w:t>
      </w:r>
      <w:r w:rsidR="009E4EFA" w:rsidRPr="005D070C">
        <w:rPr>
          <w:bCs/>
          <w:iCs/>
          <w:color w:val="000000" w:themeColor="text1"/>
          <w:szCs w:val="20"/>
        </w:rPr>
        <w:t xml:space="preserve">) </w:t>
      </w:r>
      <w:r w:rsidR="009E4EFA" w:rsidRPr="005D070C">
        <w:rPr>
          <w:bCs/>
          <w:iCs/>
          <w:color w:val="000000" w:themeColor="text1"/>
          <w:szCs w:val="20"/>
        </w:rPr>
        <w:tab/>
      </w:r>
      <w:r w:rsidR="009E4EFA" w:rsidRPr="005D070C">
        <w:rPr>
          <w:color w:val="000000" w:themeColor="text1"/>
          <w:szCs w:val="20"/>
        </w:rPr>
        <w:t>Wytyczne dotyczące charakterystyk poboczy drogi startowej:</w:t>
      </w:r>
    </w:p>
    <w:p w14:paraId="0626CB4B" w14:textId="4977C2AE" w:rsidR="009E4EFA" w:rsidRPr="005D070C" w:rsidRDefault="009E4EFA" w:rsidP="009F0852">
      <w:pPr>
        <w:tabs>
          <w:tab w:val="left" w:pos="1134"/>
        </w:tabs>
        <w:autoSpaceDE w:val="0"/>
        <w:autoSpaceDN w:val="0"/>
        <w:adjustRightInd w:val="0"/>
        <w:ind w:left="1134" w:hanging="567"/>
        <w:rPr>
          <w:color w:val="000000" w:themeColor="text1"/>
          <w:szCs w:val="20"/>
        </w:rPr>
      </w:pPr>
      <w:r w:rsidRPr="005D070C">
        <w:rPr>
          <w:bCs/>
          <w:iCs/>
          <w:color w:val="000000" w:themeColor="text1"/>
          <w:szCs w:val="20"/>
        </w:rPr>
        <w:t xml:space="preserve">(1) </w:t>
      </w:r>
      <w:r w:rsidRPr="005D070C">
        <w:rPr>
          <w:bCs/>
          <w:iCs/>
          <w:color w:val="000000" w:themeColor="text1"/>
          <w:szCs w:val="20"/>
        </w:rPr>
        <w:tab/>
      </w:r>
      <w:r w:rsidRPr="005D070C">
        <w:rPr>
          <w:color w:val="000000" w:themeColor="text1"/>
          <w:szCs w:val="20"/>
        </w:rPr>
        <w:t xml:space="preserve">Pobocza drogi startowej lub zabezpieczenia przerwanego startu powinny być tak przygotowane lub zbudowane, aby zagrożenie </w:t>
      </w:r>
      <w:r w:rsidR="0093575B" w:rsidRPr="005D070C">
        <w:rPr>
          <w:color w:val="000000" w:themeColor="text1"/>
          <w:szCs w:val="20"/>
        </w:rPr>
        <w:t xml:space="preserve">dla </w:t>
      </w:r>
      <w:r w:rsidRPr="005D070C">
        <w:rPr>
          <w:color w:val="000000" w:themeColor="text1"/>
          <w:szCs w:val="20"/>
        </w:rPr>
        <w:t>samolotu, który wykołował poza drogę startową lub poza zabezpieczenie przerwanego startu było ograniczone do minimum. Podane poniżej punkty zawierają wytyczne odnośnie pewnych specjalnych problemów, jakie mogą powstać oraz informacje na temat sposobów zabezpieczenia przed dostawaniem się kamieni i innych obiektów do silników turbinowych.</w:t>
      </w:r>
    </w:p>
    <w:p w14:paraId="1951ACF4" w14:textId="77777777" w:rsidR="009E4EFA" w:rsidRPr="005D070C" w:rsidRDefault="009E4EFA" w:rsidP="00EE2E0D">
      <w:pPr>
        <w:tabs>
          <w:tab w:val="left" w:pos="1134"/>
        </w:tabs>
        <w:autoSpaceDE w:val="0"/>
        <w:autoSpaceDN w:val="0"/>
        <w:adjustRightInd w:val="0"/>
        <w:ind w:left="1134" w:hanging="567"/>
        <w:rPr>
          <w:color w:val="000000" w:themeColor="text1"/>
          <w:szCs w:val="20"/>
        </w:rPr>
      </w:pPr>
      <w:r w:rsidRPr="005D070C">
        <w:rPr>
          <w:bCs/>
          <w:iCs/>
          <w:color w:val="000000" w:themeColor="text1"/>
          <w:szCs w:val="20"/>
        </w:rPr>
        <w:t xml:space="preserve">(2) </w:t>
      </w:r>
      <w:r w:rsidRPr="005D070C">
        <w:rPr>
          <w:bCs/>
          <w:iCs/>
          <w:color w:val="000000" w:themeColor="text1"/>
          <w:szCs w:val="20"/>
        </w:rPr>
        <w:tab/>
      </w:r>
      <w:r w:rsidRPr="005D070C">
        <w:rPr>
          <w:color w:val="000000" w:themeColor="text1"/>
          <w:szCs w:val="20"/>
        </w:rPr>
        <w:t>W pewnych warunkach, naturalna nawierzchnia pasa drogi startowej może się charakteryzować wystarczającą nośnością, która nie będzie wymagała zastosowania żadnych specjalnych zabiegów zapewniających spełnienie wymagań określonych dla poboczy. Tam, gdzie wymagane jest specjalne przygotowanie poboczy, zastosowana metoda powinna być uzależniona od lokalnych warunków gruntowych i od masy samolotów, dla których przeznaczona jest dana droga startowa. Badania gruntu powinny ułatwić wybór najwłaściwszej metody przygotowania pobocza (np. osuszenie, stabilizacja, utwardzenie powierzchniowe, lekka nawierzchnia sztuczna).</w:t>
      </w:r>
    </w:p>
    <w:p w14:paraId="6D64C2A9" w14:textId="7D55B359" w:rsidR="009E4EFA" w:rsidRPr="005D070C" w:rsidRDefault="009F0852" w:rsidP="009E4EFA">
      <w:pPr>
        <w:tabs>
          <w:tab w:val="left" w:pos="567"/>
        </w:tabs>
        <w:autoSpaceDE w:val="0"/>
        <w:autoSpaceDN w:val="0"/>
        <w:adjustRightInd w:val="0"/>
        <w:ind w:left="567" w:hanging="567"/>
        <w:rPr>
          <w:color w:val="000000" w:themeColor="text1"/>
          <w:szCs w:val="20"/>
        </w:rPr>
      </w:pPr>
      <w:r w:rsidRPr="005D070C">
        <w:rPr>
          <w:bCs/>
          <w:iCs/>
          <w:color w:val="000000" w:themeColor="text1"/>
          <w:szCs w:val="20"/>
        </w:rPr>
        <w:t>(c</w:t>
      </w:r>
      <w:r w:rsidR="009E4EFA" w:rsidRPr="005D070C">
        <w:rPr>
          <w:bCs/>
          <w:iCs/>
          <w:color w:val="000000" w:themeColor="text1"/>
          <w:szCs w:val="20"/>
        </w:rPr>
        <w:t xml:space="preserve">) </w:t>
      </w:r>
      <w:r w:rsidR="009E4EFA" w:rsidRPr="005D070C">
        <w:rPr>
          <w:bCs/>
          <w:iCs/>
          <w:color w:val="000000" w:themeColor="text1"/>
          <w:szCs w:val="20"/>
        </w:rPr>
        <w:tab/>
      </w:r>
      <w:r w:rsidR="009E4EFA" w:rsidRPr="005D070C">
        <w:rPr>
          <w:color w:val="000000" w:themeColor="text1"/>
          <w:szCs w:val="20"/>
        </w:rPr>
        <w:t>Szczególną uwagę należy również zwrócić na projektowanie poboczy w taki sposób, aby uniemożliwić zasysanie kamieni lub innych obiektów przez turbiny silników. Podobne wymagania odnoszą się do poboczy dróg kołowania zarówno, jeśli chodzi o ewentualne niezbędne specjalne środki, jak i o szerokość, na której należałoby środki te stosować. Szczegółowe informacje zawarte są w „</w:t>
      </w:r>
      <w:r w:rsidR="009E4EFA" w:rsidRPr="005D070C">
        <w:rPr>
          <w:i/>
          <w:color w:val="000000" w:themeColor="text1"/>
          <w:szCs w:val="20"/>
        </w:rPr>
        <w:t>Podręczniku projektowania lotnisk</w:t>
      </w:r>
      <w:r w:rsidR="0093575B" w:rsidRPr="005D070C">
        <w:rPr>
          <w:color w:val="000000" w:themeColor="text1"/>
          <w:szCs w:val="20"/>
        </w:rPr>
        <w:t>” ICAO Doc 9157, Część </w:t>
      </w:r>
      <w:r w:rsidR="009E4EFA" w:rsidRPr="005D070C">
        <w:rPr>
          <w:color w:val="000000" w:themeColor="text1"/>
          <w:szCs w:val="20"/>
        </w:rPr>
        <w:t>1 „</w:t>
      </w:r>
      <w:r w:rsidR="009E4EFA" w:rsidRPr="005D070C">
        <w:rPr>
          <w:i/>
          <w:color w:val="000000" w:themeColor="text1"/>
          <w:szCs w:val="20"/>
        </w:rPr>
        <w:t>Drogi startowe</w:t>
      </w:r>
      <w:r w:rsidR="009E4EFA" w:rsidRPr="005D070C">
        <w:rPr>
          <w:color w:val="000000" w:themeColor="text1"/>
          <w:szCs w:val="20"/>
        </w:rPr>
        <w:t>” i Część 2 „</w:t>
      </w:r>
      <w:r w:rsidR="009E4EFA" w:rsidRPr="005D070C">
        <w:rPr>
          <w:i/>
          <w:color w:val="000000" w:themeColor="text1"/>
          <w:szCs w:val="20"/>
        </w:rPr>
        <w:t>Drogi kołowania, płyty postojowe i zatoki oczekiwania</w:t>
      </w:r>
      <w:r w:rsidR="009E4EFA" w:rsidRPr="005D070C">
        <w:rPr>
          <w:color w:val="000000" w:themeColor="text1"/>
          <w:szCs w:val="20"/>
        </w:rPr>
        <w:t>”.</w:t>
      </w:r>
    </w:p>
    <w:p w14:paraId="4D8CCC2C" w14:textId="2C939004" w:rsidR="009E4EFA" w:rsidRPr="005D070C" w:rsidRDefault="009E4EFA" w:rsidP="009E4EFA">
      <w:pPr>
        <w:tabs>
          <w:tab w:val="left" w:pos="567"/>
        </w:tabs>
        <w:autoSpaceDE w:val="0"/>
        <w:autoSpaceDN w:val="0"/>
        <w:adjustRightInd w:val="0"/>
        <w:ind w:left="567" w:hanging="567"/>
        <w:rPr>
          <w:color w:val="000000" w:themeColor="text1"/>
          <w:szCs w:val="20"/>
        </w:rPr>
      </w:pPr>
      <w:r w:rsidRPr="005D070C">
        <w:rPr>
          <w:bCs/>
          <w:iCs/>
          <w:color w:val="000000" w:themeColor="text1"/>
          <w:szCs w:val="20"/>
        </w:rPr>
        <w:t>(</w:t>
      </w:r>
      <w:r w:rsidR="009F0852" w:rsidRPr="005D070C">
        <w:rPr>
          <w:bCs/>
          <w:iCs/>
          <w:color w:val="000000" w:themeColor="text1"/>
          <w:szCs w:val="20"/>
        </w:rPr>
        <w:t>d</w:t>
      </w:r>
      <w:r w:rsidRPr="005D070C">
        <w:rPr>
          <w:bCs/>
          <w:iCs/>
          <w:color w:val="000000" w:themeColor="text1"/>
          <w:szCs w:val="20"/>
        </w:rPr>
        <w:t xml:space="preserve">) </w:t>
      </w:r>
      <w:r w:rsidRPr="005D070C">
        <w:rPr>
          <w:bCs/>
          <w:iCs/>
          <w:color w:val="000000" w:themeColor="text1"/>
          <w:szCs w:val="20"/>
        </w:rPr>
        <w:tab/>
      </w:r>
      <w:r w:rsidRPr="005D070C">
        <w:rPr>
          <w:color w:val="000000" w:themeColor="text1"/>
          <w:szCs w:val="20"/>
        </w:rPr>
        <w:t>Jeżeli pobocza poddane zostały specjalnym zabiegom w celu uzyskania wymaganej nośności, bądź w celu uniknięcia obecności kamieni lub innych obiektów, należy zwrócić uwagę na możliwość powstania trudności wynikających z braku kontrastu między wyglądem nawierzchni drogi startowej a wyglądem pobocza. Trudności te można usunąć poprzez poddanie powierzchni zabiegom przywracającym pożądany kontrast lub przez wykonanie oznakowania linii bocznej drogi startowej.</w:t>
      </w:r>
    </w:p>
    <w:p w14:paraId="4844494C" w14:textId="6E818497" w:rsidR="001A44D6" w:rsidRPr="005D070C" w:rsidRDefault="009F0852" w:rsidP="00EE2E0D">
      <w:pPr>
        <w:tabs>
          <w:tab w:val="left" w:pos="567"/>
        </w:tabs>
        <w:autoSpaceDE w:val="0"/>
        <w:autoSpaceDN w:val="0"/>
        <w:adjustRightInd w:val="0"/>
        <w:ind w:left="567" w:hanging="567"/>
        <w:rPr>
          <w:rFonts w:cs="Times New Roman"/>
          <w:color w:val="000000" w:themeColor="text1"/>
          <w:szCs w:val="20"/>
        </w:rPr>
      </w:pPr>
      <w:r w:rsidRPr="005D070C">
        <w:rPr>
          <w:color w:val="000000" w:themeColor="text1"/>
          <w:szCs w:val="20"/>
        </w:rPr>
        <w:t>(e)</w:t>
      </w:r>
      <w:r w:rsidRPr="005D070C">
        <w:rPr>
          <w:color w:val="000000" w:themeColor="text1"/>
          <w:szCs w:val="20"/>
        </w:rPr>
        <w:tab/>
      </w:r>
      <w:r w:rsidR="001A44D6" w:rsidRPr="005D070C">
        <w:rPr>
          <w:color w:val="000000" w:themeColor="text1"/>
          <w:szCs w:val="20"/>
        </w:rPr>
        <w:t xml:space="preserve">Dodatkowe wytyczne dotyczące nośności poboczy drogi startowej zawarte są w </w:t>
      </w:r>
      <w:r w:rsidR="001A44D6" w:rsidRPr="005D070C">
        <w:rPr>
          <w:rFonts w:cs="Times New Roman"/>
          <w:color w:val="000000" w:themeColor="text1"/>
          <w:szCs w:val="20"/>
        </w:rPr>
        <w:t>„</w:t>
      </w:r>
      <w:r w:rsidR="001A44D6" w:rsidRPr="005D070C">
        <w:rPr>
          <w:rFonts w:cs="Times New Roman"/>
          <w:i/>
          <w:color w:val="000000" w:themeColor="text1"/>
          <w:szCs w:val="20"/>
        </w:rPr>
        <w:t>Podręczniku projektowania lotnisk”</w:t>
      </w:r>
      <w:r w:rsidR="001A44D6" w:rsidRPr="005D070C">
        <w:rPr>
          <w:rFonts w:cs="Times New Roman"/>
          <w:color w:val="000000" w:themeColor="text1"/>
          <w:szCs w:val="20"/>
        </w:rPr>
        <w:t xml:space="preserve"> ICAO Doc 9157, Część 1 „</w:t>
      </w:r>
      <w:r w:rsidR="001A44D6" w:rsidRPr="005D070C">
        <w:rPr>
          <w:rFonts w:cs="Times New Roman"/>
          <w:i/>
          <w:color w:val="000000" w:themeColor="text1"/>
          <w:szCs w:val="20"/>
        </w:rPr>
        <w:t>Drogi startowe</w:t>
      </w:r>
      <w:r w:rsidR="001A44D6" w:rsidRPr="005D070C">
        <w:rPr>
          <w:rFonts w:cs="Times New Roman"/>
          <w:color w:val="000000" w:themeColor="text1"/>
          <w:szCs w:val="20"/>
        </w:rPr>
        <w:t>”.</w:t>
      </w:r>
    </w:p>
    <w:p w14:paraId="01F14BE5" w14:textId="4944BD21" w:rsidR="00754744" w:rsidRPr="005D070C" w:rsidRDefault="001A44D6" w:rsidP="006C24CC">
      <w:pPr>
        <w:pStyle w:val="Tekstpodstawowy"/>
        <w:spacing w:before="120" w:after="0"/>
        <w:ind w:left="23" w:hanging="23"/>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ADR-DSN/3</w:t>
      </w:r>
      <w:r w:rsidR="006C24CC" w:rsidRPr="005D070C">
        <w:rPr>
          <w:rFonts w:asciiTheme="minorHAnsi" w:hAnsiTheme="minorHAnsi" w:cstheme="minorHAnsi"/>
          <w:i/>
          <w:color w:val="000000" w:themeColor="text1"/>
          <w:sz w:val="16"/>
          <w:szCs w:val="16"/>
        </w:rPr>
        <w:t>]</w:t>
      </w:r>
    </w:p>
    <w:p w14:paraId="0FFC4DF4" w14:textId="77777777" w:rsidR="006C24CC" w:rsidRPr="009E064B" w:rsidRDefault="006C24CC" w:rsidP="00A64A6B">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9741359" w14:textId="2A5C58DC" w:rsidR="00C36D76" w:rsidRPr="009E064B" w:rsidRDefault="002C3C20" w:rsidP="00B06A9A">
      <w:pPr>
        <w:pStyle w:val="Nagwek4"/>
        <w:rPr>
          <w:color w:val="auto"/>
        </w:rPr>
      </w:pPr>
      <w:bookmarkStart w:id="923" w:name="_CS_ADR-DSN.B.145_"/>
      <w:bookmarkStart w:id="924" w:name="_Toc12532965"/>
      <w:bookmarkEnd w:id="923"/>
      <w:r w:rsidRPr="009E064B">
        <w:rPr>
          <w:color w:val="auto"/>
        </w:rPr>
        <w:t xml:space="preserve">CS ADR-DSN.B.145     </w:t>
      </w:r>
      <w:r w:rsidR="00C36D76" w:rsidRPr="009E064B">
        <w:rPr>
          <w:color w:val="auto"/>
        </w:rPr>
        <w:t>Powierzchnia pobocz</w:t>
      </w:r>
      <w:bookmarkEnd w:id="922"/>
      <w:r w:rsidR="0051028F" w:rsidRPr="009E064B">
        <w:rPr>
          <w:color w:val="auto"/>
        </w:rPr>
        <w:t>y</w:t>
      </w:r>
      <w:r w:rsidR="00737638" w:rsidRPr="009E064B">
        <w:t xml:space="preserve"> drogi startowej</w:t>
      </w:r>
      <w:bookmarkEnd w:id="924"/>
    </w:p>
    <w:p w14:paraId="4EF234C7" w14:textId="13F0EB3C"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5171260" w14:textId="2FF91C71" w:rsidR="00C36D76" w:rsidRPr="005D070C" w:rsidRDefault="00262928" w:rsidP="00EE2E0D">
      <w:pPr>
        <w:tabs>
          <w:tab w:val="left" w:pos="567"/>
        </w:tabs>
        <w:autoSpaceDE w:val="0"/>
        <w:autoSpaceDN w:val="0"/>
        <w:adjustRightInd w:val="0"/>
        <w:ind w:left="567" w:hanging="567"/>
        <w:rPr>
          <w:color w:val="000000" w:themeColor="text1"/>
          <w:szCs w:val="20"/>
        </w:rPr>
      </w:pPr>
      <w:r w:rsidRPr="005D070C">
        <w:rPr>
          <w:color w:val="000000" w:themeColor="text1"/>
          <w:szCs w:val="20"/>
        </w:rPr>
        <w:t>(a)</w:t>
      </w:r>
      <w:r w:rsidRPr="005D070C">
        <w:rPr>
          <w:color w:val="000000" w:themeColor="text1"/>
          <w:szCs w:val="20"/>
        </w:rPr>
        <w:tab/>
      </w:r>
      <w:r w:rsidR="00C36D76" w:rsidRPr="005D070C">
        <w:rPr>
          <w:color w:val="000000" w:themeColor="text1"/>
          <w:szCs w:val="20"/>
        </w:rPr>
        <w:t>Powierzchnia pobocz</w:t>
      </w:r>
      <w:r w:rsidRPr="005D070C">
        <w:rPr>
          <w:color w:val="000000" w:themeColor="text1"/>
          <w:szCs w:val="20"/>
        </w:rPr>
        <w:t>y</w:t>
      </w:r>
      <w:r w:rsidR="00C36D76" w:rsidRPr="005D070C">
        <w:rPr>
          <w:color w:val="000000" w:themeColor="text1"/>
          <w:szCs w:val="20"/>
        </w:rPr>
        <w:t xml:space="preserve"> drogi startowej powinna być przygotowana </w:t>
      </w:r>
      <w:r w:rsidRPr="005D070C">
        <w:rPr>
          <w:color w:val="000000" w:themeColor="text1"/>
          <w:szCs w:val="20"/>
        </w:rPr>
        <w:t xml:space="preserve">lub zbudowana </w:t>
      </w:r>
      <w:r w:rsidR="00C36D76" w:rsidRPr="005D070C">
        <w:rPr>
          <w:color w:val="000000" w:themeColor="text1"/>
          <w:szCs w:val="20"/>
        </w:rPr>
        <w:t>w taki sposób, aby była odporna na erozję oraz aby uniemożliwiała zasysanie materiału powierzchniowego przez silniki samolotów.</w:t>
      </w:r>
    </w:p>
    <w:p w14:paraId="18726C05" w14:textId="43E4B8AE" w:rsidR="00262928" w:rsidRPr="005D070C" w:rsidRDefault="00262928" w:rsidP="00EE2E0D">
      <w:pPr>
        <w:tabs>
          <w:tab w:val="left" w:pos="567"/>
        </w:tabs>
        <w:autoSpaceDE w:val="0"/>
        <w:autoSpaceDN w:val="0"/>
        <w:adjustRightInd w:val="0"/>
        <w:ind w:left="567" w:hanging="567"/>
        <w:rPr>
          <w:color w:val="000000" w:themeColor="text1"/>
          <w:szCs w:val="20"/>
        </w:rPr>
      </w:pPr>
      <w:r w:rsidRPr="005D070C">
        <w:rPr>
          <w:color w:val="000000" w:themeColor="text1"/>
          <w:szCs w:val="20"/>
        </w:rPr>
        <w:t>(b)</w:t>
      </w:r>
      <w:r w:rsidRPr="005D070C">
        <w:rPr>
          <w:color w:val="000000" w:themeColor="text1"/>
          <w:szCs w:val="20"/>
        </w:rPr>
        <w:tab/>
        <w:t xml:space="preserve">Pobocza drogi startowej dla samolotów posiadających literę kodu F powinny </w:t>
      </w:r>
      <w:r w:rsidR="004A398A">
        <w:rPr>
          <w:color w:val="000000" w:themeColor="text1"/>
          <w:szCs w:val="20"/>
        </w:rPr>
        <w:t>mieć nawierzchnię sztuczną</w:t>
      </w:r>
      <w:r w:rsidRPr="005D070C">
        <w:rPr>
          <w:color w:val="000000" w:themeColor="text1"/>
          <w:szCs w:val="20"/>
        </w:rPr>
        <w:t xml:space="preserve"> do minimalnej całkowitej szerokości pobocza drogi startowej nie mniejszej niż 60 m.</w:t>
      </w:r>
    </w:p>
    <w:p w14:paraId="2301A1A9" w14:textId="77777777" w:rsidR="00F722A1" w:rsidRPr="009E064B" w:rsidRDefault="00F722A1" w:rsidP="008960B1">
      <w:pPr>
        <w:pStyle w:val="Tekstpodstawowy"/>
        <w:spacing w:before="60"/>
        <w:ind w:hanging="20"/>
        <w:rPr>
          <w:rFonts w:asciiTheme="minorHAnsi" w:hAnsiTheme="minorHAnsi" w:cstheme="minorHAnsi"/>
          <w:i/>
          <w:sz w:val="16"/>
          <w:szCs w:val="16"/>
        </w:rPr>
      </w:pPr>
      <w:r w:rsidRPr="005D070C">
        <w:rPr>
          <w:rFonts w:asciiTheme="minorHAnsi" w:hAnsiTheme="minorHAnsi" w:cstheme="minorHAnsi"/>
          <w:i/>
          <w:color w:val="000000" w:themeColor="text1"/>
          <w:sz w:val="16"/>
          <w:szCs w:val="16"/>
        </w:rPr>
        <w:t>[Wydanie: ADR-DSN/4</w:t>
      </w:r>
      <w:r w:rsidRPr="000412BF">
        <w:rPr>
          <w:rFonts w:asciiTheme="minorHAnsi" w:hAnsiTheme="minorHAnsi" w:cstheme="minorHAnsi"/>
          <w:i/>
          <w:sz w:val="16"/>
          <w:szCs w:val="16"/>
        </w:rPr>
        <w:t>]</w:t>
      </w:r>
    </w:p>
    <w:p w14:paraId="4128CCEF" w14:textId="31D8A896" w:rsidR="001A44D6" w:rsidRPr="009E064B" w:rsidRDefault="002C3C20" w:rsidP="00133B99">
      <w:pPr>
        <w:pStyle w:val="Nagwek6"/>
      </w:pPr>
      <w:bookmarkStart w:id="925" w:name="_Toc401058915"/>
      <w:bookmarkStart w:id="926" w:name="_Toc482886782"/>
      <w:bookmarkStart w:id="927" w:name="_Toc12532966"/>
      <w:bookmarkStart w:id="928" w:name="_Toc482886559"/>
      <w:r w:rsidRPr="009E064B">
        <w:t xml:space="preserve">GM1 ADR-DSN.B.145     </w:t>
      </w:r>
      <w:r w:rsidR="001A44D6" w:rsidRPr="009E064B">
        <w:t>Powierzchnia pobocz</w:t>
      </w:r>
      <w:bookmarkEnd w:id="925"/>
      <w:bookmarkEnd w:id="926"/>
      <w:r w:rsidR="0051028F" w:rsidRPr="009E064B">
        <w:t>y</w:t>
      </w:r>
      <w:r w:rsidR="00737638" w:rsidRPr="009E064B">
        <w:t xml:space="preserve"> drogi startowej</w:t>
      </w:r>
      <w:bookmarkEnd w:id="927"/>
    </w:p>
    <w:p w14:paraId="034F42BD" w14:textId="503E4B4F"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FEB027C" w14:textId="77777777" w:rsidR="001A44D6" w:rsidRPr="005D070C" w:rsidRDefault="001A44D6" w:rsidP="00B06A9A">
      <w:pPr>
        <w:tabs>
          <w:tab w:val="left" w:pos="567"/>
        </w:tabs>
        <w:autoSpaceDE w:val="0"/>
        <w:autoSpaceDN w:val="0"/>
        <w:adjustRightInd w:val="0"/>
        <w:ind w:left="567" w:hanging="567"/>
        <w:rPr>
          <w:color w:val="000000" w:themeColor="text1"/>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Jeżeli pobocze drogi startowej nie posiada nawierzchni sztucznej, konieczne mogą być dodatkowe zabiegi na nawierzchni lub sprawdzenia, w szczególności w przypadku dróg startowych, na których operacje wykonują 4-silnikowe statki powietrzne o literze kodu D lub </w:t>
      </w:r>
      <w:r w:rsidRPr="005D070C">
        <w:rPr>
          <w:color w:val="000000" w:themeColor="text1"/>
          <w:szCs w:val="20"/>
        </w:rPr>
        <w:t>wyższym.</w:t>
      </w:r>
    </w:p>
    <w:p w14:paraId="65CB1601" w14:textId="32E35BBF" w:rsidR="001A44D6" w:rsidRPr="005D070C" w:rsidRDefault="001A44D6" w:rsidP="00B06A9A">
      <w:pPr>
        <w:tabs>
          <w:tab w:val="left" w:pos="567"/>
        </w:tabs>
        <w:autoSpaceDE w:val="0"/>
        <w:autoSpaceDN w:val="0"/>
        <w:adjustRightInd w:val="0"/>
        <w:ind w:left="567" w:hanging="567"/>
        <w:rPr>
          <w:color w:val="000000" w:themeColor="text1"/>
          <w:szCs w:val="20"/>
        </w:rPr>
      </w:pPr>
      <w:r w:rsidRPr="005D070C">
        <w:rPr>
          <w:rFonts w:cs="TimesNewRomanPS-BoldItalicMT"/>
          <w:bCs/>
          <w:iCs/>
          <w:color w:val="000000" w:themeColor="text1"/>
          <w:szCs w:val="20"/>
        </w:rPr>
        <w:t xml:space="preserve">(b) </w:t>
      </w:r>
      <w:r w:rsidRPr="005D070C">
        <w:rPr>
          <w:rFonts w:cs="TimesNewRomanPS-BoldItalicMT"/>
          <w:bCs/>
          <w:iCs/>
          <w:color w:val="000000" w:themeColor="text1"/>
          <w:szCs w:val="20"/>
        </w:rPr>
        <w:tab/>
      </w:r>
      <w:r w:rsidRPr="005D070C">
        <w:rPr>
          <w:color w:val="000000" w:themeColor="text1"/>
          <w:szCs w:val="20"/>
        </w:rPr>
        <w:t xml:space="preserve">Pobocza </w:t>
      </w:r>
      <w:r w:rsidR="00EC32F7" w:rsidRPr="005D070C">
        <w:rPr>
          <w:color w:val="000000" w:themeColor="text1"/>
          <w:szCs w:val="20"/>
        </w:rPr>
        <w:t xml:space="preserve">dla </w:t>
      </w:r>
      <w:r w:rsidRPr="005D070C">
        <w:rPr>
          <w:color w:val="000000" w:themeColor="text1"/>
          <w:szCs w:val="20"/>
        </w:rPr>
        <w:t>dróg startowych o literze kodu E zwykle</w:t>
      </w:r>
      <w:r w:rsidR="00EC32F7" w:rsidRPr="005D070C">
        <w:rPr>
          <w:color w:val="000000" w:themeColor="text1"/>
          <w:szCs w:val="20"/>
        </w:rPr>
        <w:t xml:space="preserve"> powinny</w:t>
      </w:r>
      <w:r w:rsidRPr="005D070C">
        <w:rPr>
          <w:color w:val="000000" w:themeColor="text1"/>
          <w:szCs w:val="20"/>
        </w:rPr>
        <w:t xml:space="preserve"> posiadać nawierzchnię sztuczną.</w:t>
      </w:r>
    </w:p>
    <w:p w14:paraId="60536A7A" w14:textId="6BB3B2B1" w:rsidR="00A93935" w:rsidRPr="005D070C" w:rsidRDefault="001A44D6" w:rsidP="00EE2E0D">
      <w:pPr>
        <w:tabs>
          <w:tab w:val="left" w:pos="567"/>
        </w:tabs>
        <w:autoSpaceDE w:val="0"/>
        <w:autoSpaceDN w:val="0"/>
        <w:adjustRightInd w:val="0"/>
        <w:ind w:left="567" w:hanging="567"/>
        <w:rPr>
          <w:rFonts w:asciiTheme="minorHAnsi" w:hAnsiTheme="minorHAnsi" w:cstheme="minorHAnsi"/>
          <w:color w:val="000000" w:themeColor="text1"/>
          <w:szCs w:val="20"/>
        </w:rPr>
      </w:pPr>
      <w:r w:rsidRPr="005D070C">
        <w:rPr>
          <w:rFonts w:cs="TimesNewRomanPS-BoldItalicMT"/>
          <w:bCs/>
          <w:iCs/>
          <w:color w:val="000000" w:themeColor="text1"/>
          <w:szCs w:val="20"/>
        </w:rPr>
        <w:t xml:space="preserve">(c) </w:t>
      </w:r>
      <w:r w:rsidRPr="005D070C">
        <w:rPr>
          <w:rFonts w:cs="TimesNewRomanPS-BoldItalicMT"/>
          <w:bCs/>
          <w:iCs/>
          <w:color w:val="000000" w:themeColor="text1"/>
          <w:szCs w:val="20"/>
        </w:rPr>
        <w:tab/>
      </w:r>
      <w:r w:rsidR="009F0852" w:rsidRPr="005D070C">
        <w:rPr>
          <w:color w:val="000000" w:themeColor="text1"/>
          <w:szCs w:val="20"/>
        </w:rPr>
        <w:t xml:space="preserve">Jeśli mają miejsce operacje czterosilnikowych statków powietrznych z literą kodu D, </w:t>
      </w:r>
      <w:r w:rsidR="00E21CD4">
        <w:rPr>
          <w:color w:val="000000" w:themeColor="text1"/>
          <w:szCs w:val="20"/>
        </w:rPr>
        <w:t xml:space="preserve">to </w:t>
      </w:r>
      <w:r w:rsidR="009F0852" w:rsidRPr="005D070C">
        <w:rPr>
          <w:color w:val="000000" w:themeColor="text1"/>
          <w:szCs w:val="20"/>
        </w:rPr>
        <w:t xml:space="preserve">potrzeba </w:t>
      </w:r>
      <w:r w:rsidR="00B16605" w:rsidRPr="005D070C">
        <w:rPr>
          <w:color w:val="000000" w:themeColor="text1"/>
          <w:szCs w:val="20"/>
        </w:rPr>
        <w:t xml:space="preserve">zapewnienia </w:t>
      </w:r>
      <w:r w:rsidR="004A398A">
        <w:rPr>
          <w:color w:val="000000" w:themeColor="text1"/>
          <w:szCs w:val="20"/>
        </w:rPr>
        <w:t>nawierzchni sztucznej</w:t>
      </w:r>
      <w:r w:rsidR="00B16605" w:rsidRPr="005D070C">
        <w:rPr>
          <w:color w:val="000000" w:themeColor="text1"/>
          <w:szCs w:val="20"/>
        </w:rPr>
        <w:t xml:space="preserve"> na całej szerokości poboczy drogi startowej </w:t>
      </w:r>
      <w:r w:rsidR="00DF7560" w:rsidRPr="005D070C">
        <w:rPr>
          <w:color w:val="000000" w:themeColor="text1"/>
          <w:szCs w:val="20"/>
        </w:rPr>
        <w:t xml:space="preserve">powinna </w:t>
      </w:r>
      <w:r w:rsidR="0093575B" w:rsidRPr="005D070C">
        <w:rPr>
          <w:color w:val="000000" w:themeColor="text1"/>
          <w:szCs w:val="20"/>
        </w:rPr>
        <w:t xml:space="preserve">być </w:t>
      </w:r>
      <w:r w:rsidR="00DF7560" w:rsidRPr="005D070C">
        <w:rPr>
          <w:color w:val="000000" w:themeColor="text1"/>
          <w:szCs w:val="20"/>
        </w:rPr>
        <w:t>zbadana za pomocą</w:t>
      </w:r>
      <w:r w:rsidR="009F0852" w:rsidRPr="005D070C">
        <w:rPr>
          <w:color w:val="000000" w:themeColor="text1"/>
          <w:szCs w:val="20"/>
        </w:rPr>
        <w:t xml:space="preserve"> </w:t>
      </w:r>
      <w:r w:rsidR="00B16605" w:rsidRPr="005D070C">
        <w:rPr>
          <w:color w:val="000000" w:themeColor="text1"/>
          <w:szCs w:val="20"/>
        </w:rPr>
        <w:t>miejscow</w:t>
      </w:r>
      <w:r w:rsidR="00DF7560" w:rsidRPr="005D070C">
        <w:rPr>
          <w:color w:val="000000" w:themeColor="text1"/>
          <w:szCs w:val="20"/>
        </w:rPr>
        <w:t>ej</w:t>
      </w:r>
      <w:r w:rsidR="00B16605" w:rsidRPr="005D070C">
        <w:rPr>
          <w:color w:val="000000" w:themeColor="text1"/>
          <w:szCs w:val="20"/>
        </w:rPr>
        <w:t xml:space="preserve"> </w:t>
      </w:r>
      <w:r w:rsidR="004A398A">
        <w:rPr>
          <w:color w:val="000000" w:themeColor="text1"/>
          <w:szCs w:val="20"/>
        </w:rPr>
        <w:t>analizy</w:t>
      </w:r>
      <w:r w:rsidR="009F0852" w:rsidRPr="005D070C">
        <w:rPr>
          <w:color w:val="000000" w:themeColor="text1"/>
          <w:szCs w:val="20"/>
        </w:rPr>
        <w:t xml:space="preserve"> zagrożeń.</w:t>
      </w:r>
      <w:r w:rsidR="001F517F" w:rsidRPr="005D070C">
        <w:rPr>
          <w:rFonts w:cs="TimesNewRomanPS-BoldItalicMT"/>
          <w:bCs/>
          <w:iCs/>
          <w:color w:val="000000" w:themeColor="text1"/>
          <w:szCs w:val="20"/>
        </w:rPr>
        <w:t xml:space="preserve"> </w:t>
      </w:r>
      <w:r w:rsidR="00A93935" w:rsidRPr="005D070C">
        <w:rPr>
          <w:rFonts w:asciiTheme="minorHAnsi" w:hAnsiTheme="minorHAnsi" w:cstheme="minorHAnsi"/>
          <w:color w:val="000000" w:themeColor="text1"/>
          <w:szCs w:val="20"/>
        </w:rPr>
        <w:t xml:space="preserve">Tam, gdzie pobocze drogi startowej nie </w:t>
      </w:r>
      <w:r w:rsidR="00E21CD4">
        <w:rPr>
          <w:rFonts w:asciiTheme="minorHAnsi" w:hAnsiTheme="minorHAnsi" w:cstheme="minorHAnsi"/>
          <w:color w:val="000000" w:themeColor="text1"/>
          <w:szCs w:val="20"/>
        </w:rPr>
        <w:t>posiada nawierzchni sztucznej</w:t>
      </w:r>
      <w:r w:rsidR="00A93935" w:rsidRPr="005D070C">
        <w:rPr>
          <w:rFonts w:asciiTheme="minorHAnsi" w:hAnsiTheme="minorHAnsi" w:cstheme="minorHAnsi"/>
          <w:color w:val="000000" w:themeColor="text1"/>
          <w:szCs w:val="20"/>
        </w:rPr>
        <w:t>, możliwe jest ograniczenie ryzyka erozji lub zasysania odłamków przez silniki samolotu. W takich przypadkach:</w:t>
      </w:r>
    </w:p>
    <w:p w14:paraId="7B28A761" w14:textId="41B321CC" w:rsidR="00A93935" w:rsidRPr="005D070C" w:rsidRDefault="00A93935" w:rsidP="00A93935">
      <w:pPr>
        <w:tabs>
          <w:tab w:val="left" w:pos="1134"/>
        </w:tabs>
        <w:autoSpaceDE w:val="0"/>
        <w:autoSpaceDN w:val="0"/>
        <w:adjustRightInd w:val="0"/>
        <w:ind w:left="1134" w:hanging="567"/>
        <w:rPr>
          <w:rFonts w:asciiTheme="minorHAnsi" w:hAnsiTheme="minorHAnsi" w:cstheme="minorHAnsi"/>
          <w:color w:val="000000" w:themeColor="text1"/>
          <w:szCs w:val="20"/>
        </w:rPr>
      </w:pPr>
      <w:r w:rsidRPr="005D070C">
        <w:rPr>
          <w:rFonts w:asciiTheme="minorHAnsi" w:hAnsiTheme="minorHAnsi" w:cstheme="minorHAnsi"/>
          <w:color w:val="000000" w:themeColor="text1"/>
          <w:szCs w:val="20"/>
        </w:rPr>
        <w:t xml:space="preserve">(1) </w:t>
      </w:r>
      <w:r w:rsidRPr="005D070C">
        <w:rPr>
          <w:rFonts w:asciiTheme="minorHAnsi" w:hAnsiTheme="minorHAnsi" w:cstheme="minorHAnsi"/>
          <w:color w:val="000000" w:themeColor="text1"/>
          <w:szCs w:val="20"/>
        </w:rPr>
        <w:tab/>
        <w:t>Poboc</w:t>
      </w:r>
      <w:r w:rsidR="001F517F" w:rsidRPr="005D070C">
        <w:rPr>
          <w:rFonts w:asciiTheme="minorHAnsi" w:hAnsiTheme="minorHAnsi" w:cstheme="minorHAnsi"/>
          <w:color w:val="000000" w:themeColor="text1"/>
          <w:szCs w:val="20"/>
        </w:rPr>
        <w:t xml:space="preserve">ze drogi startowej powinno być </w:t>
      </w:r>
      <w:r w:rsidRPr="005D070C">
        <w:rPr>
          <w:rFonts w:asciiTheme="minorHAnsi" w:hAnsiTheme="minorHAnsi" w:cstheme="minorHAnsi"/>
          <w:color w:val="000000" w:themeColor="text1"/>
          <w:szCs w:val="20"/>
        </w:rPr>
        <w:t>stabil</w:t>
      </w:r>
      <w:r w:rsidR="001F517F" w:rsidRPr="005D070C">
        <w:rPr>
          <w:rFonts w:asciiTheme="minorHAnsi" w:hAnsiTheme="minorHAnsi" w:cstheme="minorHAnsi"/>
          <w:color w:val="000000" w:themeColor="text1"/>
          <w:szCs w:val="20"/>
        </w:rPr>
        <w:t>ne</w:t>
      </w:r>
      <w:r w:rsidRPr="005D070C">
        <w:rPr>
          <w:rFonts w:asciiTheme="minorHAnsi" w:hAnsiTheme="minorHAnsi" w:cstheme="minorHAnsi"/>
          <w:color w:val="000000" w:themeColor="text1"/>
          <w:szCs w:val="20"/>
        </w:rPr>
        <w:t>, a podłoże przygotowane w taki sposób, aby w całości było pokryte trawą bez luźnego żwiru lub innego materiału. Może to obejmować użycie dodatkowych materiałów, jeśli nośność nawierzchnia podłoża są niewystarczające.</w:t>
      </w:r>
    </w:p>
    <w:p w14:paraId="61AA2501" w14:textId="2F7CEC6D" w:rsidR="00A93935" w:rsidRPr="005D070C" w:rsidRDefault="00A93935" w:rsidP="00A93935">
      <w:pPr>
        <w:tabs>
          <w:tab w:val="left" w:pos="1134"/>
        </w:tabs>
        <w:autoSpaceDE w:val="0"/>
        <w:autoSpaceDN w:val="0"/>
        <w:adjustRightInd w:val="0"/>
        <w:ind w:left="1134" w:hanging="567"/>
        <w:rPr>
          <w:rFonts w:asciiTheme="minorHAnsi" w:hAnsiTheme="minorHAnsi" w:cstheme="minorHAnsi"/>
          <w:color w:val="000000" w:themeColor="text1"/>
          <w:szCs w:val="20"/>
        </w:rPr>
      </w:pPr>
      <w:r w:rsidRPr="005D070C">
        <w:rPr>
          <w:rFonts w:asciiTheme="minorHAnsi" w:hAnsiTheme="minorHAnsi" w:cstheme="minorHAnsi"/>
          <w:color w:val="000000" w:themeColor="text1"/>
          <w:szCs w:val="20"/>
        </w:rPr>
        <w:t xml:space="preserve">(2) </w:t>
      </w:r>
      <w:r w:rsidRPr="005D070C">
        <w:rPr>
          <w:rFonts w:asciiTheme="minorHAnsi" w:hAnsiTheme="minorHAnsi" w:cstheme="minorHAnsi"/>
          <w:color w:val="000000" w:themeColor="text1"/>
          <w:szCs w:val="20"/>
        </w:rPr>
        <w:tab/>
        <w:t>Może być wdrożony program kontroli pobocza drogi startowej i drogi startowe w celu potwierdzenia ich ciągłej użyteczności i zapewnienia, że nie występuje pogorszenie, które może stworzyć ryzyko powstania odłamków obcych obiektów (FOD) lub stanowić inne zagrożenie dla operacji lotniczych.</w:t>
      </w:r>
    </w:p>
    <w:p w14:paraId="575A7F70" w14:textId="1C6C1E85" w:rsidR="00A93935" w:rsidRPr="005D070C" w:rsidRDefault="00A93935" w:rsidP="00A93935">
      <w:pPr>
        <w:tabs>
          <w:tab w:val="left" w:pos="1134"/>
        </w:tabs>
        <w:autoSpaceDE w:val="0"/>
        <w:autoSpaceDN w:val="0"/>
        <w:adjustRightInd w:val="0"/>
        <w:ind w:left="1134" w:hanging="567"/>
        <w:rPr>
          <w:rFonts w:asciiTheme="minorHAnsi" w:hAnsiTheme="minorHAnsi" w:cstheme="minorHAnsi"/>
          <w:color w:val="000000" w:themeColor="text1"/>
          <w:szCs w:val="20"/>
        </w:rPr>
      </w:pPr>
      <w:r w:rsidRPr="005D070C">
        <w:rPr>
          <w:rFonts w:asciiTheme="minorHAnsi" w:hAnsiTheme="minorHAnsi" w:cstheme="minorHAnsi"/>
          <w:color w:val="000000" w:themeColor="text1"/>
          <w:szCs w:val="20"/>
        </w:rPr>
        <w:t xml:space="preserve">(3) </w:t>
      </w:r>
      <w:r w:rsidRPr="005D070C">
        <w:rPr>
          <w:rFonts w:asciiTheme="minorHAnsi" w:hAnsiTheme="minorHAnsi" w:cstheme="minorHAnsi"/>
          <w:color w:val="000000" w:themeColor="text1"/>
          <w:szCs w:val="20"/>
        </w:rPr>
        <w:tab/>
        <w:t>Może być wymagany program zamiatania prz</w:t>
      </w:r>
      <w:r w:rsidR="005A661B" w:rsidRPr="005D070C">
        <w:rPr>
          <w:rFonts w:asciiTheme="minorHAnsi" w:hAnsiTheme="minorHAnsi" w:cstheme="minorHAnsi"/>
          <w:color w:val="000000" w:themeColor="text1"/>
          <w:szCs w:val="20"/>
        </w:rPr>
        <w:t>ed i po wykonaniu operacji</w:t>
      </w:r>
      <w:r w:rsidRPr="005D070C">
        <w:rPr>
          <w:rFonts w:asciiTheme="minorHAnsi" w:hAnsiTheme="minorHAnsi" w:cstheme="minorHAnsi"/>
          <w:color w:val="000000" w:themeColor="text1"/>
          <w:szCs w:val="20"/>
        </w:rPr>
        <w:t>, jeżeli odłamki wydostają się na powierzchnię drogi startowej</w:t>
      </w:r>
      <w:r w:rsidRPr="005D070C">
        <w:rPr>
          <w:rFonts w:asciiTheme="minorHAnsi" w:hAnsiTheme="minorHAnsi" w:cstheme="minorHAnsi"/>
          <w:color w:val="000000" w:themeColor="text1"/>
        </w:rPr>
        <w:t>.</w:t>
      </w:r>
    </w:p>
    <w:p w14:paraId="1A3D81B1" w14:textId="05560407" w:rsidR="00B16605" w:rsidRPr="005D070C" w:rsidRDefault="00A93935" w:rsidP="00B06A9A">
      <w:pPr>
        <w:tabs>
          <w:tab w:val="left" w:pos="567"/>
        </w:tabs>
        <w:autoSpaceDE w:val="0"/>
        <w:autoSpaceDN w:val="0"/>
        <w:adjustRightInd w:val="0"/>
        <w:ind w:left="567" w:hanging="567"/>
        <w:rPr>
          <w:rFonts w:asciiTheme="minorHAnsi" w:hAnsiTheme="minorHAnsi" w:cstheme="minorHAnsi"/>
          <w:color w:val="000000" w:themeColor="text1"/>
          <w:szCs w:val="20"/>
        </w:rPr>
      </w:pPr>
      <w:r w:rsidRPr="005D070C">
        <w:rPr>
          <w:rFonts w:asciiTheme="minorHAnsi" w:hAnsiTheme="minorHAnsi" w:cstheme="minorHAnsi"/>
          <w:color w:val="000000" w:themeColor="text1"/>
          <w:szCs w:val="20"/>
        </w:rPr>
        <w:t xml:space="preserve">(d) </w:t>
      </w:r>
      <w:r w:rsidRPr="005D070C">
        <w:rPr>
          <w:rFonts w:asciiTheme="minorHAnsi" w:hAnsiTheme="minorHAnsi" w:cstheme="minorHAnsi"/>
          <w:color w:val="000000" w:themeColor="text1"/>
          <w:szCs w:val="20"/>
        </w:rPr>
        <w:tab/>
        <w:t>Dodatkowe wytyczne dotyczące nawierzchni pobocza drogi startowej podano w „</w:t>
      </w:r>
      <w:r w:rsidRPr="005D070C">
        <w:rPr>
          <w:rFonts w:asciiTheme="minorHAnsi" w:hAnsiTheme="minorHAnsi" w:cstheme="minorHAnsi"/>
          <w:i/>
          <w:color w:val="000000" w:themeColor="text1"/>
          <w:szCs w:val="20"/>
        </w:rPr>
        <w:t>Podręczniku projektowania lotnisk”</w:t>
      </w:r>
      <w:r w:rsidRPr="005D070C">
        <w:rPr>
          <w:rFonts w:asciiTheme="minorHAnsi" w:hAnsiTheme="minorHAnsi" w:cstheme="minorHAnsi"/>
          <w:color w:val="000000" w:themeColor="text1"/>
          <w:szCs w:val="20"/>
        </w:rPr>
        <w:t xml:space="preserve"> ICAO Doc 9157, Część 1 „</w:t>
      </w:r>
      <w:r w:rsidRPr="005D070C">
        <w:rPr>
          <w:rFonts w:asciiTheme="minorHAnsi" w:hAnsiTheme="minorHAnsi" w:cstheme="minorHAnsi"/>
          <w:i/>
          <w:color w:val="000000" w:themeColor="text1"/>
          <w:szCs w:val="20"/>
        </w:rPr>
        <w:t>Drogi startowe</w:t>
      </w:r>
      <w:r w:rsidRPr="005D070C">
        <w:rPr>
          <w:rFonts w:asciiTheme="minorHAnsi" w:hAnsiTheme="minorHAnsi" w:cstheme="minorHAnsi"/>
          <w:color w:val="000000" w:themeColor="text1"/>
          <w:szCs w:val="20"/>
        </w:rPr>
        <w:t>”</w:t>
      </w:r>
      <w:r w:rsidR="001F517F" w:rsidRPr="005D070C">
        <w:rPr>
          <w:rFonts w:asciiTheme="minorHAnsi" w:hAnsiTheme="minorHAnsi" w:cstheme="minorHAnsi"/>
          <w:color w:val="000000" w:themeColor="text1"/>
          <w:szCs w:val="20"/>
        </w:rPr>
        <w:t>.</w:t>
      </w:r>
    </w:p>
    <w:p w14:paraId="6BBB1784" w14:textId="77777777" w:rsidR="005D070C" w:rsidRDefault="006C24CC" w:rsidP="005A661B">
      <w:pPr>
        <w:pStyle w:val="Tekstpodstawowy"/>
        <w:spacing w:before="60"/>
        <w:ind w:left="23" w:hanging="23"/>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r w:rsidR="005A661B" w:rsidRPr="005D070C">
        <w:rPr>
          <w:rFonts w:asciiTheme="minorHAnsi" w:hAnsiTheme="minorHAnsi" w:cstheme="minorHAnsi"/>
          <w:i/>
          <w:color w:val="000000" w:themeColor="text1"/>
          <w:sz w:val="16"/>
          <w:szCs w:val="16"/>
        </w:rPr>
        <w:t xml:space="preserve"> </w:t>
      </w:r>
    </w:p>
    <w:p w14:paraId="229401A9" w14:textId="0C6E8D8D" w:rsidR="00C36D76" w:rsidRPr="009E064B" w:rsidRDefault="001E0089" w:rsidP="00B06A9A">
      <w:pPr>
        <w:pStyle w:val="Nagwek4"/>
        <w:rPr>
          <w:color w:val="auto"/>
        </w:rPr>
      </w:pPr>
      <w:bookmarkStart w:id="929" w:name="_Toc12532967"/>
      <w:r w:rsidRPr="009E064B">
        <w:rPr>
          <w:color w:val="auto"/>
        </w:rPr>
        <w:t xml:space="preserve">CS ADR-DSN.B.150     </w:t>
      </w:r>
      <w:r w:rsidR="00C36D76" w:rsidRPr="009E064B">
        <w:rPr>
          <w:color w:val="auto"/>
        </w:rPr>
        <w:t xml:space="preserve">Pas drogi startowej, </w:t>
      </w:r>
      <w:r w:rsidR="00737638" w:rsidRPr="009E064B">
        <w:rPr>
          <w:color w:val="auto"/>
        </w:rPr>
        <w:t>jaki</w:t>
      </w:r>
      <w:r w:rsidR="00C36D76" w:rsidRPr="009E064B">
        <w:rPr>
          <w:color w:val="auto"/>
        </w:rPr>
        <w:t xml:space="preserve"> powinien być zapewniony</w:t>
      </w:r>
      <w:bookmarkEnd w:id="928"/>
      <w:bookmarkEnd w:id="929"/>
    </w:p>
    <w:p w14:paraId="455B83DF" w14:textId="63151461"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0031D59" w14:textId="1101EF08" w:rsidR="00262928" w:rsidRPr="005D070C" w:rsidRDefault="00262928" w:rsidP="00EE2E0D">
      <w:pPr>
        <w:tabs>
          <w:tab w:val="left" w:pos="567"/>
        </w:tabs>
        <w:autoSpaceDE w:val="0"/>
        <w:autoSpaceDN w:val="0"/>
        <w:adjustRightInd w:val="0"/>
        <w:ind w:left="567" w:hanging="567"/>
        <w:rPr>
          <w:color w:val="000000" w:themeColor="text1"/>
          <w:szCs w:val="20"/>
        </w:rPr>
      </w:pPr>
      <w:r w:rsidRPr="005D070C">
        <w:rPr>
          <w:rFonts w:cs="TimesNewRomanPSMT"/>
          <w:color w:val="000000" w:themeColor="text1"/>
          <w:szCs w:val="20"/>
        </w:rPr>
        <w:t>(a)</w:t>
      </w:r>
      <w:r w:rsidRPr="005D070C">
        <w:rPr>
          <w:rFonts w:cs="TimesNewRomanPSMT"/>
          <w:color w:val="000000" w:themeColor="text1"/>
          <w:szCs w:val="20"/>
        </w:rPr>
        <w:tab/>
      </w:r>
      <w:r w:rsidRPr="005D070C">
        <w:rPr>
          <w:color w:val="000000" w:themeColor="text1"/>
          <w:szCs w:val="20"/>
        </w:rPr>
        <w:t xml:space="preserve">Celem bezpieczeństwa pasa </w:t>
      </w:r>
      <w:r w:rsidR="001F517F" w:rsidRPr="005D070C">
        <w:rPr>
          <w:color w:val="000000" w:themeColor="text1"/>
          <w:szCs w:val="20"/>
        </w:rPr>
        <w:t xml:space="preserve">drogi </w:t>
      </w:r>
      <w:r w:rsidRPr="005D070C">
        <w:rPr>
          <w:color w:val="000000" w:themeColor="text1"/>
          <w:szCs w:val="20"/>
        </w:rPr>
        <w:t>startowe</w:t>
      </w:r>
      <w:r w:rsidR="001F517F" w:rsidRPr="005D070C">
        <w:rPr>
          <w:color w:val="000000" w:themeColor="text1"/>
          <w:szCs w:val="20"/>
        </w:rPr>
        <w:t>j</w:t>
      </w:r>
      <w:r w:rsidRPr="005D070C">
        <w:rPr>
          <w:color w:val="000000" w:themeColor="text1"/>
          <w:szCs w:val="20"/>
        </w:rPr>
        <w:t xml:space="preserve"> jest zmniejszenie ryzyka uszkodzenia statku powietrznego, który przypadkowo zjechałby z drogi startowej, aby chronić latające nad nim samoloty podczas startu lub lądowania oraz umożliwienie bezpiecznego korzystania przez pojazdy służb ratowniczo gaśniczych (RFF).</w:t>
      </w:r>
    </w:p>
    <w:p w14:paraId="23106CF0" w14:textId="572D29E0" w:rsidR="00C36D76" w:rsidRPr="005D070C" w:rsidRDefault="00262928" w:rsidP="00EE2E0D">
      <w:pPr>
        <w:tabs>
          <w:tab w:val="left" w:pos="567"/>
        </w:tabs>
        <w:autoSpaceDE w:val="0"/>
        <w:autoSpaceDN w:val="0"/>
        <w:adjustRightInd w:val="0"/>
        <w:ind w:left="567" w:hanging="567"/>
        <w:rPr>
          <w:rFonts w:cs="TimesNewRomanPSMT"/>
          <w:color w:val="000000" w:themeColor="text1"/>
          <w:szCs w:val="20"/>
        </w:rPr>
      </w:pPr>
      <w:r w:rsidRPr="005D070C">
        <w:rPr>
          <w:rFonts w:cs="TimesNewRomanPSMT"/>
          <w:color w:val="000000" w:themeColor="text1"/>
          <w:szCs w:val="20"/>
        </w:rPr>
        <w:t>(b)</w:t>
      </w:r>
      <w:r w:rsidRPr="005D070C">
        <w:rPr>
          <w:rFonts w:cs="TimesNewRomanPSMT"/>
          <w:color w:val="000000" w:themeColor="text1"/>
          <w:szCs w:val="20"/>
        </w:rPr>
        <w:tab/>
      </w:r>
      <w:r w:rsidR="00C36D76" w:rsidRPr="005D070C">
        <w:rPr>
          <w:rFonts w:cs="TimesNewRomanPSMT"/>
          <w:color w:val="000000" w:themeColor="text1"/>
          <w:szCs w:val="20"/>
        </w:rPr>
        <w:t>Droga startowa wraz z zabezpieczeniem przerwanego startu powinna znajdować się wewnątrz pasa startowego.</w:t>
      </w:r>
    </w:p>
    <w:p w14:paraId="6B14B816" w14:textId="0CFB9D1F" w:rsidR="006C24CC" w:rsidRPr="005D070C" w:rsidRDefault="00F722A1" w:rsidP="008960B1">
      <w:pPr>
        <w:pStyle w:val="Tekstpodstawowy"/>
        <w:spacing w:before="60"/>
        <w:ind w:hanging="20"/>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p>
    <w:p w14:paraId="48300409" w14:textId="23F145C8" w:rsidR="001A44D6" w:rsidRPr="009E064B" w:rsidRDefault="001A44D6" w:rsidP="00133B99">
      <w:pPr>
        <w:pStyle w:val="Nagwek6"/>
      </w:pPr>
      <w:bookmarkStart w:id="930" w:name="_Toc401058917"/>
      <w:bookmarkStart w:id="931" w:name="_Toc482886783"/>
      <w:bookmarkStart w:id="932" w:name="_Toc12532968"/>
      <w:bookmarkStart w:id="933" w:name="_Toc482886560"/>
      <w:r w:rsidRPr="009E064B">
        <w:t xml:space="preserve">GM1 </w:t>
      </w:r>
      <w:r w:rsidR="001E0089" w:rsidRPr="009E064B">
        <w:t xml:space="preserve">ADR-DSN.B.150     </w:t>
      </w:r>
      <w:r w:rsidRPr="009E064B">
        <w:t>Pas drogi startowej, jaki powinien być zapewniony</w:t>
      </w:r>
      <w:bookmarkEnd w:id="930"/>
      <w:bookmarkEnd w:id="931"/>
      <w:bookmarkEnd w:id="932"/>
    </w:p>
    <w:p w14:paraId="7A27BDAF" w14:textId="61036438" w:rsidR="001E0089" w:rsidRPr="005D070C" w:rsidRDefault="001F74A1" w:rsidP="001E0089">
      <w:pPr>
        <w:pStyle w:val="Tekstpodstawowy"/>
        <w:spacing w:after="80"/>
        <w:ind w:left="23" w:firstLine="0"/>
        <w:jc w:val="right"/>
        <w:rPr>
          <w:rFonts w:asciiTheme="minorHAnsi" w:hAnsiTheme="minorHAnsi" w:cstheme="minorHAnsi"/>
          <w:bCs/>
          <w:i/>
          <w:color w:val="000000" w:themeColor="text1"/>
          <w:sz w:val="16"/>
          <w:szCs w:val="20"/>
        </w:rPr>
      </w:pPr>
      <w:r>
        <w:rPr>
          <w:rFonts w:asciiTheme="minorHAnsi" w:hAnsiTheme="minorHAnsi" w:cstheme="minorHAnsi"/>
          <w:i/>
          <w:color w:val="000000" w:themeColor="text1"/>
          <w:sz w:val="16"/>
          <w:szCs w:val="20"/>
        </w:rPr>
        <w:t>Decyzja ED 2014/013/R</w:t>
      </w:r>
    </w:p>
    <w:p w14:paraId="1971DC24" w14:textId="77777777" w:rsidR="00210E8A" w:rsidRPr="005D070C" w:rsidRDefault="00210E8A" w:rsidP="00210E8A">
      <w:pPr>
        <w:widowControl/>
        <w:autoSpaceDE w:val="0"/>
        <w:autoSpaceDN w:val="0"/>
        <w:adjustRightInd w:val="0"/>
        <w:spacing w:after="166"/>
        <w:ind w:left="567" w:hanging="567"/>
        <w:rPr>
          <w:rFonts w:cs="Calibri"/>
          <w:color w:val="000000" w:themeColor="text1"/>
        </w:rPr>
      </w:pPr>
      <w:r w:rsidRPr="005D070C">
        <w:rPr>
          <w:rFonts w:cs="TimesNewRomanPSMT"/>
          <w:color w:val="000000" w:themeColor="text1"/>
          <w:szCs w:val="20"/>
        </w:rPr>
        <w:t xml:space="preserve">(a) </w:t>
      </w:r>
      <w:r w:rsidRPr="005D070C">
        <w:rPr>
          <w:rFonts w:cs="TimesNewRomanPSMT"/>
          <w:color w:val="000000" w:themeColor="text1"/>
          <w:szCs w:val="20"/>
        </w:rPr>
        <w:tab/>
        <w:t>Pas drogi startowej rozciąga się poprzecznie do określonej odległości od linii środkowej drogi startowej, podłużnie przed progiem drogi startowej i poza koniec drogi startowej. Zapewnia on obszar wolny od obiektów, które mogą zagrażać samolotom. Wszelkie urządzenia lub instalacje wymagane do nawigacji lotniczej lub do celów bezpieczeństwa statku powietrznego i znajdujące się w tym, pozbawionym obiektów obszarze, powinny być łamliwe i montowane na jak najniższym poziomie.</w:t>
      </w:r>
    </w:p>
    <w:p w14:paraId="58A87814" w14:textId="3DEAC991" w:rsidR="00A93935" w:rsidRPr="005D070C" w:rsidRDefault="00210E8A" w:rsidP="00210E8A">
      <w:pPr>
        <w:widowControl/>
        <w:autoSpaceDE w:val="0"/>
        <w:autoSpaceDN w:val="0"/>
        <w:adjustRightInd w:val="0"/>
        <w:spacing w:after="166"/>
        <w:ind w:left="567" w:hanging="567"/>
        <w:rPr>
          <w:rFonts w:cs="TimesNewRomanPSMT"/>
          <w:color w:val="000000" w:themeColor="text1"/>
          <w:szCs w:val="20"/>
        </w:rPr>
      </w:pPr>
      <w:r w:rsidRPr="005D070C">
        <w:rPr>
          <w:rFonts w:cs="TimesNewRomanPSMT"/>
          <w:color w:val="000000" w:themeColor="text1"/>
          <w:szCs w:val="20"/>
        </w:rPr>
        <w:t xml:space="preserve">(b) </w:t>
      </w:r>
      <w:r w:rsidRPr="005D070C">
        <w:rPr>
          <w:rFonts w:cs="TimesNewRomanPSMT"/>
          <w:color w:val="000000" w:themeColor="text1"/>
          <w:szCs w:val="20"/>
        </w:rPr>
        <w:tab/>
        <w:t>Gdy próg drogi startowej lub koniec odcinka do lądowania nie pokrywają się z końcami drogi startowej, to pas drogi startowej obejmujący tą drogę startową i każde związane z nią zabezpieczenie przerwanego startu powinn</w:t>
      </w:r>
      <w:r w:rsidR="005A661B" w:rsidRPr="005D070C">
        <w:rPr>
          <w:rFonts w:cs="TimesNewRomanPSMT"/>
          <w:color w:val="000000" w:themeColor="text1"/>
          <w:szCs w:val="20"/>
        </w:rPr>
        <w:t>y</w:t>
      </w:r>
      <w:r w:rsidRPr="005D070C">
        <w:rPr>
          <w:rFonts w:cs="TimesNewRomanPSMT"/>
          <w:color w:val="000000" w:themeColor="text1"/>
          <w:szCs w:val="20"/>
        </w:rPr>
        <w:t xml:space="preserve"> rozciągać się na odległość określoną w </w:t>
      </w:r>
      <w:hyperlink w:anchor="_CS_ADR-DSN.B.155_" w:history="1">
        <w:r w:rsidRPr="009E064B">
          <w:rPr>
            <w:rStyle w:val="Hipercze"/>
            <w:rFonts w:cs="TimesNewRomanPSMT"/>
            <w:szCs w:val="20"/>
          </w:rPr>
          <w:t>CS ADR-DSN.B.155</w:t>
        </w:r>
      </w:hyperlink>
      <w:r w:rsidRPr="005D070C">
        <w:rPr>
          <w:rFonts w:cs="TimesNewRomanPSMT"/>
          <w:color w:val="000000" w:themeColor="text1"/>
          <w:szCs w:val="20"/>
        </w:rPr>
        <w:t xml:space="preserve"> </w:t>
      </w:r>
      <w:r w:rsidR="00DB5B54" w:rsidRPr="005D070C">
        <w:rPr>
          <w:rFonts w:cs="TimesNewRomanPSMT"/>
          <w:color w:val="000000" w:themeColor="text1"/>
          <w:szCs w:val="20"/>
        </w:rPr>
        <w:t xml:space="preserve">przy szerokości określonej w </w:t>
      </w:r>
      <w:hyperlink w:anchor="_CS_ADR-DSN.B.160_" w:history="1">
        <w:r w:rsidR="00DB5B54" w:rsidRPr="009E064B">
          <w:rPr>
            <w:rStyle w:val="Hipercze"/>
            <w:rFonts w:cs="TimesNewRomanPSMT"/>
            <w:szCs w:val="20"/>
          </w:rPr>
          <w:t>CS </w:t>
        </w:r>
        <w:r w:rsidRPr="009E064B">
          <w:rPr>
            <w:rStyle w:val="Hipercze"/>
            <w:rFonts w:cs="TimesNewRomanPSMT"/>
            <w:szCs w:val="20"/>
          </w:rPr>
          <w:t>ADR-DSN.B.160</w:t>
        </w:r>
      </w:hyperlink>
      <w:r w:rsidRPr="005D070C">
        <w:rPr>
          <w:rFonts w:cs="TimesNewRomanPSMT"/>
          <w:color w:val="000000" w:themeColor="text1"/>
          <w:szCs w:val="20"/>
        </w:rPr>
        <w:t>, w zależności od progu drogi startowej, końca odcinka do lądowania lub końca zabezpieczenie przerwanego startu.</w:t>
      </w:r>
    </w:p>
    <w:p w14:paraId="55C8A46C" w14:textId="77777777" w:rsidR="006C24CC" w:rsidRPr="009E064B" w:rsidRDefault="006C24CC" w:rsidP="006C24CC">
      <w:pPr>
        <w:pStyle w:val="Tekstpodstawowy"/>
        <w:spacing w:before="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7644F7E" w14:textId="4A395C05" w:rsidR="00C36D76" w:rsidRPr="009E064B" w:rsidRDefault="001E0089" w:rsidP="00B06A9A">
      <w:pPr>
        <w:pStyle w:val="Nagwek4"/>
        <w:rPr>
          <w:color w:val="auto"/>
        </w:rPr>
      </w:pPr>
      <w:bookmarkStart w:id="934" w:name="_CS_ADR-DSN.B.155_"/>
      <w:bookmarkStart w:id="935" w:name="_Toc12532969"/>
      <w:bookmarkEnd w:id="934"/>
      <w:r w:rsidRPr="009E064B">
        <w:rPr>
          <w:color w:val="auto"/>
        </w:rPr>
        <w:t xml:space="preserve">CS ADR-DSN.B.155     </w:t>
      </w:r>
      <w:r w:rsidR="00C36D76" w:rsidRPr="009E064B">
        <w:rPr>
          <w:color w:val="auto"/>
        </w:rPr>
        <w:t>Długość pasa drogi startowej</w:t>
      </w:r>
      <w:bookmarkEnd w:id="933"/>
      <w:bookmarkEnd w:id="935"/>
    </w:p>
    <w:p w14:paraId="4E4A5C7B" w14:textId="1B71B87B" w:rsidR="002C3C20" w:rsidRPr="009E064B" w:rsidRDefault="00D63D4F" w:rsidP="002C3C20">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15CAAE02"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NewRomanPSMT"/>
          <w:szCs w:val="20"/>
        </w:rPr>
        <w:t xml:space="preserve">(a) </w:t>
      </w:r>
      <w:r w:rsidRPr="009E064B">
        <w:rPr>
          <w:rFonts w:cs="TimesNewRomanPSMT"/>
          <w:szCs w:val="20"/>
        </w:rPr>
        <w:tab/>
        <w:t>Pas drogi startowej powinien rozciągać się przed progiem drogi startowej i poza koniec drogi startowej lub zabezpieczenia przerwanego startu na odległość, co najmniej:</w:t>
      </w:r>
    </w:p>
    <w:p w14:paraId="1B82359B" w14:textId="77777777" w:rsidR="00C36D76" w:rsidRPr="009E064B" w:rsidRDefault="00C36D76" w:rsidP="00B06A9A">
      <w:pPr>
        <w:tabs>
          <w:tab w:val="left" w:pos="1134"/>
        </w:tabs>
        <w:autoSpaceDE w:val="0"/>
        <w:autoSpaceDN w:val="0"/>
        <w:adjustRightInd w:val="0"/>
        <w:ind w:left="993" w:hanging="426"/>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60</w:t>
      </w:r>
      <w:r w:rsidRPr="009E064B">
        <w:rPr>
          <w:rFonts w:cs="TimesNewRomanPSMT"/>
          <w:szCs w:val="20"/>
        </w:rPr>
        <w:t xml:space="preserve"> m, jeżeli cyfra kodu wynosi 2, 3 lub 4;</w:t>
      </w:r>
    </w:p>
    <w:p w14:paraId="6D4F3B98" w14:textId="77777777" w:rsidR="00C36D76" w:rsidRPr="009E064B" w:rsidRDefault="00C36D76" w:rsidP="00B06A9A">
      <w:pPr>
        <w:tabs>
          <w:tab w:val="left" w:pos="1134"/>
        </w:tabs>
        <w:autoSpaceDE w:val="0"/>
        <w:autoSpaceDN w:val="0"/>
        <w:adjustRightInd w:val="0"/>
        <w:ind w:left="993" w:hanging="426"/>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60 m, jeżeli cyfra kodu wynosi 1, a droga startowa jest drogą przyrządową;</w:t>
      </w:r>
    </w:p>
    <w:p w14:paraId="13AE3094" w14:textId="77777777" w:rsidR="00C36D76" w:rsidRPr="009E064B" w:rsidRDefault="00C36D76" w:rsidP="00B06A9A">
      <w:pPr>
        <w:tabs>
          <w:tab w:val="left" w:pos="1134"/>
        </w:tabs>
        <w:autoSpaceDE w:val="0"/>
        <w:autoSpaceDN w:val="0"/>
        <w:adjustRightInd w:val="0"/>
        <w:spacing w:after="0"/>
        <w:ind w:left="992" w:hanging="425"/>
        <w:rPr>
          <w:szCs w:val="20"/>
        </w:rPr>
      </w:pPr>
      <w:r w:rsidRPr="009E064B">
        <w:rPr>
          <w:rFonts w:cs="Times New Roman"/>
          <w:szCs w:val="20"/>
        </w:rPr>
        <w:t xml:space="preserve">(3) </w:t>
      </w:r>
      <w:r w:rsidRPr="009E064B">
        <w:rPr>
          <w:rFonts w:cs="Times New Roman"/>
          <w:szCs w:val="20"/>
        </w:rPr>
        <w:tab/>
      </w:r>
      <w:r w:rsidRPr="009E064B">
        <w:rPr>
          <w:rFonts w:cs="TimesNewRomanPSMT"/>
          <w:szCs w:val="20"/>
        </w:rPr>
        <w:t>30 m, jeżeli cyfra kodu wynosi 1, a droga startowa jest drogą nieprzyrządową.</w:t>
      </w:r>
    </w:p>
    <w:p w14:paraId="1C8A6912" w14:textId="77777777"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4EDA013" w14:textId="08BD2C80" w:rsidR="001A44D6" w:rsidRPr="009E064B" w:rsidRDefault="001E0089" w:rsidP="00133B99">
      <w:pPr>
        <w:pStyle w:val="Nagwek6"/>
      </w:pPr>
      <w:bookmarkStart w:id="936" w:name="_Toc401058918"/>
      <w:bookmarkStart w:id="937" w:name="_Toc482886784"/>
      <w:bookmarkStart w:id="938" w:name="_Toc12532970"/>
      <w:bookmarkStart w:id="939" w:name="_Toc482886561"/>
      <w:r w:rsidRPr="009E064B">
        <w:t xml:space="preserve">GM1 ADR-DSN.B.155     </w:t>
      </w:r>
      <w:r w:rsidR="001A44D6" w:rsidRPr="009E064B">
        <w:t>Długość pasa drogi startowej</w:t>
      </w:r>
      <w:bookmarkEnd w:id="936"/>
      <w:bookmarkEnd w:id="937"/>
      <w:bookmarkEnd w:id="938"/>
    </w:p>
    <w:p w14:paraId="47BCCBE6" w14:textId="0A1806C5"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B22A5C9" w14:textId="36B2EDBE" w:rsidR="009E2E6B" w:rsidRPr="009E064B" w:rsidRDefault="001A44D6" w:rsidP="001E0089">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667C1BA7" w14:textId="6034C09E" w:rsidR="00C36D76" w:rsidRPr="009E064B" w:rsidRDefault="001E0089" w:rsidP="00B06A9A">
      <w:pPr>
        <w:pStyle w:val="Nagwek4"/>
        <w:rPr>
          <w:color w:val="auto"/>
        </w:rPr>
      </w:pPr>
      <w:bookmarkStart w:id="940" w:name="_CS_ADR-DSN.B.160_"/>
      <w:bookmarkStart w:id="941" w:name="_Toc12532971"/>
      <w:bookmarkEnd w:id="940"/>
      <w:r w:rsidRPr="009E064B">
        <w:rPr>
          <w:color w:val="auto"/>
        </w:rPr>
        <w:t xml:space="preserve">CS ADR-DSN.B.160     </w:t>
      </w:r>
      <w:r w:rsidR="00C36D76" w:rsidRPr="009E064B">
        <w:rPr>
          <w:color w:val="auto"/>
        </w:rPr>
        <w:t>Szerokość pasa drogi startowej</w:t>
      </w:r>
      <w:bookmarkEnd w:id="939"/>
      <w:bookmarkEnd w:id="941"/>
    </w:p>
    <w:p w14:paraId="68D034AA" w14:textId="2506D1D0"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856E84A" w14:textId="773B9BF2" w:rsidR="00C36D76" w:rsidRPr="005D070C" w:rsidRDefault="00C36D76" w:rsidP="00B06A9A">
      <w:pPr>
        <w:tabs>
          <w:tab w:val="left" w:pos="567"/>
        </w:tabs>
        <w:autoSpaceDE w:val="0"/>
        <w:autoSpaceDN w:val="0"/>
        <w:adjustRightInd w:val="0"/>
        <w:ind w:left="567" w:hanging="567"/>
        <w:rPr>
          <w:rFonts w:cs="TimesNewRomanPSMT"/>
          <w:color w:val="000000" w:themeColor="text1"/>
          <w:szCs w:val="20"/>
        </w:rPr>
      </w:pPr>
      <w:r w:rsidRPr="005D070C">
        <w:rPr>
          <w:rFonts w:cs="Times New Roman"/>
          <w:color w:val="000000" w:themeColor="text1"/>
          <w:szCs w:val="20"/>
        </w:rPr>
        <w:t>(</w:t>
      </w:r>
      <w:r w:rsidR="000A3409" w:rsidRPr="005D070C">
        <w:rPr>
          <w:rFonts w:cs="Times New Roman"/>
          <w:color w:val="000000" w:themeColor="text1"/>
          <w:szCs w:val="20"/>
        </w:rPr>
        <w:t>a</w:t>
      </w:r>
      <w:r w:rsidRPr="005D070C">
        <w:rPr>
          <w:rFonts w:cs="Times New Roman"/>
          <w:color w:val="000000" w:themeColor="text1"/>
          <w:szCs w:val="20"/>
        </w:rPr>
        <w:t xml:space="preserve">) </w:t>
      </w:r>
      <w:r w:rsidRPr="005D070C">
        <w:rPr>
          <w:rFonts w:cs="Times New Roman"/>
          <w:color w:val="000000" w:themeColor="text1"/>
          <w:szCs w:val="20"/>
        </w:rPr>
        <w:tab/>
      </w:r>
      <w:r w:rsidRPr="005D070C">
        <w:rPr>
          <w:rFonts w:cs="TimesNewRomanPSMT"/>
          <w:color w:val="000000" w:themeColor="text1"/>
          <w:szCs w:val="20"/>
        </w:rPr>
        <w:t xml:space="preserve">Pas należący do drogi startowej z podejściem precyzyjnym, powinien rozciągać się poprzecznie, tam gdzie jest to możliwe, </w:t>
      </w:r>
      <w:r w:rsidRPr="005D070C">
        <w:rPr>
          <w:rFonts w:cs="TimesNewRomanPS-ItalicMT"/>
          <w:iCs/>
          <w:color w:val="000000" w:themeColor="text1"/>
          <w:szCs w:val="20"/>
        </w:rPr>
        <w:t>na odległość, co najmniej</w:t>
      </w:r>
      <w:r w:rsidRPr="005D070C">
        <w:rPr>
          <w:rFonts w:cs="TimesNewRomanPSMT"/>
          <w:color w:val="000000" w:themeColor="text1"/>
          <w:szCs w:val="20"/>
        </w:rPr>
        <w:t>:</w:t>
      </w:r>
    </w:p>
    <w:p w14:paraId="191A30EF" w14:textId="651BD006" w:rsidR="00C36D76" w:rsidRPr="005D070C" w:rsidRDefault="00C36D76" w:rsidP="00B06A9A">
      <w:pPr>
        <w:tabs>
          <w:tab w:val="left" w:pos="1134"/>
        </w:tabs>
        <w:autoSpaceDE w:val="0"/>
        <w:autoSpaceDN w:val="0"/>
        <w:adjustRightInd w:val="0"/>
        <w:ind w:left="1134" w:hanging="567"/>
        <w:rPr>
          <w:rFonts w:cs="TimesNewRomanPSMT"/>
          <w:color w:val="000000" w:themeColor="text1"/>
          <w:szCs w:val="20"/>
        </w:rPr>
      </w:pPr>
      <w:r w:rsidRPr="005D070C">
        <w:rPr>
          <w:rFonts w:cs="Times New Roman"/>
          <w:color w:val="000000" w:themeColor="text1"/>
          <w:szCs w:val="20"/>
        </w:rPr>
        <w:t xml:space="preserve">(1) </w:t>
      </w:r>
      <w:r w:rsidRPr="005D070C">
        <w:rPr>
          <w:rFonts w:cs="Times New Roman"/>
          <w:color w:val="000000" w:themeColor="text1"/>
          <w:szCs w:val="20"/>
        </w:rPr>
        <w:tab/>
      </w:r>
      <w:r w:rsidR="000A3409" w:rsidRPr="005D070C">
        <w:rPr>
          <w:rFonts w:cs="TimesNewRomanPSMT"/>
          <w:color w:val="000000" w:themeColor="text1"/>
          <w:szCs w:val="20"/>
        </w:rPr>
        <w:t>140</w:t>
      </w:r>
      <w:r w:rsidRPr="005D070C">
        <w:rPr>
          <w:rFonts w:cs="TimesNewRomanPSMT"/>
          <w:color w:val="000000" w:themeColor="text1"/>
          <w:szCs w:val="20"/>
        </w:rPr>
        <w:t xml:space="preserve"> m, jeżeli cyfra kodu wynosi 3 lub 4; oraz</w:t>
      </w:r>
    </w:p>
    <w:p w14:paraId="1CD3F055" w14:textId="7708697E" w:rsidR="00C36D76" w:rsidRPr="005D070C" w:rsidRDefault="00C36D76" w:rsidP="00B06A9A">
      <w:pPr>
        <w:tabs>
          <w:tab w:val="left" w:pos="1134"/>
        </w:tabs>
        <w:autoSpaceDE w:val="0"/>
        <w:autoSpaceDN w:val="0"/>
        <w:adjustRightInd w:val="0"/>
        <w:ind w:left="1134" w:hanging="567"/>
        <w:rPr>
          <w:rFonts w:cs="TimesNewRomanPSMT"/>
          <w:color w:val="000000" w:themeColor="text1"/>
          <w:szCs w:val="20"/>
        </w:rPr>
      </w:pPr>
      <w:r w:rsidRPr="005D070C">
        <w:rPr>
          <w:rFonts w:cs="Times New Roman"/>
          <w:color w:val="000000" w:themeColor="text1"/>
          <w:szCs w:val="20"/>
        </w:rPr>
        <w:t xml:space="preserve">(2) </w:t>
      </w:r>
      <w:r w:rsidRPr="005D070C">
        <w:rPr>
          <w:rFonts w:cs="Times New Roman"/>
          <w:color w:val="000000" w:themeColor="text1"/>
          <w:szCs w:val="20"/>
        </w:rPr>
        <w:tab/>
      </w:r>
      <w:r w:rsidR="000A3409" w:rsidRPr="005D070C">
        <w:rPr>
          <w:rFonts w:cs="TimesNewRomanPSMT"/>
          <w:color w:val="000000" w:themeColor="text1"/>
          <w:szCs w:val="20"/>
        </w:rPr>
        <w:t>70</w:t>
      </w:r>
      <w:r w:rsidRPr="005D070C">
        <w:rPr>
          <w:rFonts w:cs="TimesNewRomanPSMT"/>
          <w:color w:val="000000" w:themeColor="text1"/>
          <w:szCs w:val="20"/>
        </w:rPr>
        <w:t xml:space="preserve"> m, jeżeli cyfrą kodu jest 1 lub 2, </w:t>
      </w:r>
    </w:p>
    <w:p w14:paraId="09B7A681" w14:textId="5B648CCD" w:rsidR="00C36D76" w:rsidRPr="005D070C" w:rsidRDefault="00C36D76" w:rsidP="00B06A9A">
      <w:pPr>
        <w:tabs>
          <w:tab w:val="left" w:pos="1134"/>
        </w:tabs>
        <w:autoSpaceDE w:val="0"/>
        <w:autoSpaceDN w:val="0"/>
        <w:adjustRightInd w:val="0"/>
        <w:ind w:left="1134" w:hanging="567"/>
        <w:rPr>
          <w:color w:val="000000" w:themeColor="text1"/>
          <w:szCs w:val="20"/>
        </w:rPr>
      </w:pPr>
      <w:r w:rsidRPr="005D070C">
        <w:rPr>
          <w:rFonts w:cs="TimesNewRomanPSMT"/>
          <w:color w:val="000000" w:themeColor="text1"/>
          <w:szCs w:val="20"/>
        </w:rPr>
        <w:t xml:space="preserve">z każdej strony linii środkowej drogi startowej </w:t>
      </w:r>
      <w:r w:rsidRPr="005D070C">
        <w:rPr>
          <w:color w:val="000000" w:themeColor="text1"/>
        </w:rPr>
        <w:t>i</w:t>
      </w:r>
      <w:r w:rsidR="009376BB" w:rsidRPr="005D070C">
        <w:rPr>
          <w:color w:val="000000" w:themeColor="text1"/>
        </w:rPr>
        <w:t xml:space="preserve"> </w:t>
      </w:r>
      <w:r w:rsidRPr="005D070C">
        <w:rPr>
          <w:color w:val="000000" w:themeColor="text1"/>
        </w:rPr>
        <w:t>przedłużenia</w:t>
      </w:r>
      <w:r w:rsidRPr="005D070C">
        <w:rPr>
          <w:rFonts w:cs="TimesNewRomanPSMT"/>
          <w:color w:val="000000" w:themeColor="text1"/>
          <w:szCs w:val="20"/>
        </w:rPr>
        <w:t xml:space="preserve"> tej linii, na całej długości pasa.</w:t>
      </w:r>
    </w:p>
    <w:p w14:paraId="657B4A20" w14:textId="3F6E787C" w:rsidR="00C36D76" w:rsidRPr="005D070C" w:rsidRDefault="00C36D76" w:rsidP="00B06A9A">
      <w:pPr>
        <w:tabs>
          <w:tab w:val="left" w:pos="567"/>
        </w:tabs>
        <w:autoSpaceDE w:val="0"/>
        <w:autoSpaceDN w:val="0"/>
        <w:adjustRightInd w:val="0"/>
        <w:ind w:left="567" w:hanging="567"/>
        <w:rPr>
          <w:rFonts w:cs="TimesNewRomanPS-ItalicMT"/>
          <w:iCs/>
          <w:color w:val="000000" w:themeColor="text1"/>
          <w:szCs w:val="20"/>
        </w:rPr>
      </w:pPr>
      <w:r w:rsidRPr="005D070C">
        <w:rPr>
          <w:rFonts w:cs="Times New Roman"/>
          <w:color w:val="000000" w:themeColor="text1"/>
          <w:szCs w:val="20"/>
        </w:rPr>
        <w:t>(</w:t>
      </w:r>
      <w:r w:rsidR="000A3409" w:rsidRPr="005D070C">
        <w:rPr>
          <w:rFonts w:cs="Times New Roman"/>
          <w:color w:val="000000" w:themeColor="text1"/>
          <w:szCs w:val="20"/>
        </w:rPr>
        <w:t>b</w:t>
      </w:r>
      <w:r w:rsidRPr="005D070C">
        <w:rPr>
          <w:rFonts w:cs="Times New Roman"/>
          <w:color w:val="000000" w:themeColor="text1"/>
          <w:szCs w:val="20"/>
        </w:rPr>
        <w:t xml:space="preserve">) </w:t>
      </w:r>
      <w:r w:rsidRPr="005D070C">
        <w:rPr>
          <w:rFonts w:cs="Times New Roman"/>
          <w:color w:val="000000" w:themeColor="text1"/>
          <w:szCs w:val="20"/>
        </w:rPr>
        <w:tab/>
      </w:r>
      <w:r w:rsidRPr="005D070C">
        <w:rPr>
          <w:rFonts w:cs="TimesNewRomanPS-ItalicMT"/>
          <w:iCs/>
          <w:color w:val="000000" w:themeColor="text1"/>
          <w:szCs w:val="20"/>
        </w:rPr>
        <w:t xml:space="preserve">Pas </w:t>
      </w:r>
      <w:r w:rsidRPr="005D070C">
        <w:rPr>
          <w:rFonts w:cs="TimesNewRomanPSMT"/>
          <w:color w:val="000000" w:themeColor="text1"/>
          <w:szCs w:val="20"/>
        </w:rPr>
        <w:t>należący do</w:t>
      </w:r>
      <w:r w:rsidRPr="005D070C">
        <w:rPr>
          <w:rFonts w:cs="TimesNewRomanPS-ItalicMT"/>
          <w:iCs/>
          <w:color w:val="000000" w:themeColor="text1"/>
          <w:szCs w:val="20"/>
        </w:rPr>
        <w:t xml:space="preserve"> drogi startowej z podejściem nieprecyzyjnym, powinien rozciągać się poprzecznie na odległość, co najmniej:</w:t>
      </w:r>
    </w:p>
    <w:p w14:paraId="45D78E5B" w14:textId="6190396F"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 New Roman"/>
          <w:color w:val="000000" w:themeColor="text1"/>
          <w:szCs w:val="20"/>
        </w:rPr>
        <w:t xml:space="preserve">(1) </w:t>
      </w:r>
      <w:r w:rsidRPr="005D070C">
        <w:rPr>
          <w:rFonts w:cs="Times New Roman"/>
          <w:color w:val="000000" w:themeColor="text1"/>
          <w:szCs w:val="20"/>
        </w:rPr>
        <w:tab/>
      </w:r>
      <w:r w:rsidR="000A3409" w:rsidRPr="005D070C">
        <w:rPr>
          <w:rFonts w:cs="TimesNewRomanPS-ItalicMT"/>
          <w:iCs/>
          <w:color w:val="000000" w:themeColor="text1"/>
          <w:szCs w:val="20"/>
        </w:rPr>
        <w:t>140</w:t>
      </w:r>
      <w:r w:rsidRPr="005D070C">
        <w:rPr>
          <w:rFonts w:cs="TimesNewRomanPS-ItalicMT"/>
          <w:iCs/>
          <w:color w:val="000000" w:themeColor="text1"/>
          <w:szCs w:val="20"/>
        </w:rPr>
        <w:t xml:space="preserve"> m, jeżeli cyfra kodu wynosi 3 lub 4; oraz</w:t>
      </w:r>
    </w:p>
    <w:p w14:paraId="797D2600" w14:textId="36B7B089"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 New Roman"/>
          <w:color w:val="000000" w:themeColor="text1"/>
          <w:szCs w:val="20"/>
        </w:rPr>
        <w:t xml:space="preserve">(2) </w:t>
      </w:r>
      <w:r w:rsidRPr="005D070C">
        <w:rPr>
          <w:rFonts w:cs="Times New Roman"/>
          <w:color w:val="000000" w:themeColor="text1"/>
          <w:szCs w:val="20"/>
        </w:rPr>
        <w:tab/>
      </w:r>
      <w:r w:rsidR="000A3409" w:rsidRPr="005D070C">
        <w:rPr>
          <w:rFonts w:cs="TimesNewRomanPS-ItalicMT"/>
          <w:iCs/>
          <w:color w:val="000000" w:themeColor="text1"/>
          <w:szCs w:val="20"/>
        </w:rPr>
        <w:t>70</w:t>
      </w:r>
      <w:r w:rsidRPr="005D070C">
        <w:rPr>
          <w:rFonts w:cs="TimesNewRomanPS-ItalicMT"/>
          <w:iCs/>
          <w:color w:val="000000" w:themeColor="text1"/>
          <w:szCs w:val="20"/>
        </w:rPr>
        <w:t xml:space="preserve"> m, jeżeli cyfrą kodu jest 1 lub 2; </w:t>
      </w:r>
    </w:p>
    <w:p w14:paraId="5127D23F" w14:textId="2D1848C8"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NewRomanPS-ItalicMT"/>
          <w:iCs/>
          <w:color w:val="000000" w:themeColor="text1"/>
          <w:szCs w:val="20"/>
        </w:rPr>
        <w:t xml:space="preserve">z każdej strony linii środkowej drogi startowej </w:t>
      </w:r>
      <w:r w:rsidRPr="005D070C">
        <w:rPr>
          <w:color w:val="000000" w:themeColor="text1"/>
        </w:rPr>
        <w:t>i</w:t>
      </w:r>
      <w:r w:rsidR="009376BB" w:rsidRPr="005D070C">
        <w:rPr>
          <w:color w:val="000000" w:themeColor="text1"/>
        </w:rPr>
        <w:t xml:space="preserve"> </w:t>
      </w:r>
      <w:r w:rsidRPr="005D070C">
        <w:rPr>
          <w:color w:val="000000" w:themeColor="text1"/>
        </w:rPr>
        <w:t>przedłużenia</w:t>
      </w:r>
      <w:r w:rsidRPr="005D070C">
        <w:rPr>
          <w:rFonts w:cs="TimesNewRomanPSMT"/>
          <w:color w:val="000000" w:themeColor="text1"/>
          <w:szCs w:val="20"/>
        </w:rPr>
        <w:t xml:space="preserve"> tej linii, </w:t>
      </w:r>
      <w:r w:rsidRPr="005D070C">
        <w:rPr>
          <w:rFonts w:cs="TimesNewRomanPS-ItalicMT"/>
          <w:iCs/>
          <w:color w:val="000000" w:themeColor="text1"/>
          <w:szCs w:val="20"/>
        </w:rPr>
        <w:t>na całej długości pasa.</w:t>
      </w:r>
    </w:p>
    <w:p w14:paraId="7FB9ABA6" w14:textId="741D2574" w:rsidR="00C36D76" w:rsidRPr="009E064B" w:rsidRDefault="00C36D76" w:rsidP="00B06A9A">
      <w:pPr>
        <w:tabs>
          <w:tab w:val="left" w:pos="567"/>
        </w:tabs>
        <w:autoSpaceDE w:val="0"/>
        <w:autoSpaceDN w:val="0"/>
        <w:adjustRightInd w:val="0"/>
        <w:ind w:left="567" w:hanging="567"/>
        <w:rPr>
          <w:rFonts w:cs="TimesNewRomanPS-ItalicMT"/>
          <w:iCs/>
          <w:szCs w:val="20"/>
        </w:rPr>
      </w:pPr>
      <w:r w:rsidRPr="005D070C">
        <w:rPr>
          <w:rFonts w:cs="Times New Roman"/>
          <w:color w:val="000000" w:themeColor="text1"/>
          <w:szCs w:val="20"/>
        </w:rPr>
        <w:t>(</w:t>
      </w:r>
      <w:r w:rsidR="000A3409" w:rsidRPr="005D070C">
        <w:rPr>
          <w:rFonts w:cs="Times New Roman"/>
          <w:color w:val="000000" w:themeColor="text1"/>
          <w:szCs w:val="20"/>
        </w:rPr>
        <w:t>c</w:t>
      </w:r>
      <w:r w:rsidRPr="005D070C">
        <w:rPr>
          <w:rFonts w:cs="Times New Roman"/>
          <w:color w:val="000000" w:themeColor="text1"/>
          <w:szCs w:val="20"/>
        </w:rPr>
        <w:t xml:space="preserve">) </w:t>
      </w:r>
      <w:r w:rsidRPr="005D070C">
        <w:rPr>
          <w:rFonts w:cs="Times New Roman"/>
          <w:color w:val="000000" w:themeColor="text1"/>
          <w:szCs w:val="20"/>
        </w:rPr>
        <w:tab/>
      </w:r>
      <w:r w:rsidRPr="005D070C">
        <w:rPr>
          <w:rFonts w:cs="TimesNewRomanPS-ItalicMT"/>
          <w:iCs/>
          <w:color w:val="000000" w:themeColor="text1"/>
          <w:szCs w:val="20"/>
        </w:rPr>
        <w:t xml:space="preserve">Pas </w:t>
      </w:r>
      <w:r w:rsidRPr="005D070C">
        <w:rPr>
          <w:rFonts w:cs="TimesNewRomanPSMT"/>
          <w:color w:val="000000" w:themeColor="text1"/>
          <w:szCs w:val="20"/>
        </w:rPr>
        <w:t xml:space="preserve">należący do </w:t>
      </w:r>
      <w:r w:rsidRPr="005D070C">
        <w:rPr>
          <w:rFonts w:cs="TimesNewRomanPS-ItalicMT"/>
          <w:iCs/>
          <w:color w:val="000000" w:themeColor="text1"/>
          <w:szCs w:val="20"/>
        </w:rPr>
        <w:t xml:space="preserve">nieprzyrządowej drogi startowej powinien rozciągać się poprzecznie, </w:t>
      </w:r>
      <w:r w:rsidRPr="005D070C">
        <w:rPr>
          <w:color w:val="000000" w:themeColor="text1"/>
        </w:rPr>
        <w:t>z</w:t>
      </w:r>
      <w:r w:rsidR="009376BB" w:rsidRPr="005D070C">
        <w:rPr>
          <w:color w:val="000000" w:themeColor="text1"/>
        </w:rPr>
        <w:t xml:space="preserve"> </w:t>
      </w:r>
      <w:r w:rsidRPr="005D070C">
        <w:rPr>
          <w:color w:val="000000" w:themeColor="text1"/>
        </w:rPr>
        <w:t>obydwu</w:t>
      </w:r>
      <w:r w:rsidRPr="005D070C">
        <w:rPr>
          <w:rFonts w:cs="TimesNewRomanPS-ItalicMT"/>
          <w:iCs/>
          <w:color w:val="000000" w:themeColor="text1"/>
          <w:szCs w:val="20"/>
        </w:rPr>
        <w:t xml:space="preserve"> </w:t>
      </w:r>
      <w:r w:rsidRPr="009E064B">
        <w:rPr>
          <w:rFonts w:cs="TimesNewRomanPS-ItalicMT"/>
          <w:iCs/>
          <w:szCs w:val="20"/>
        </w:rPr>
        <w:t>stron linii środkowej drogi startowej i</w:t>
      </w:r>
      <w:r w:rsidR="009376BB" w:rsidRPr="009E064B">
        <w:t xml:space="preserve"> </w:t>
      </w:r>
      <w:r w:rsidRPr="009E064B">
        <w:t>przedłużenia</w:t>
      </w:r>
      <w:r w:rsidRPr="009E064B">
        <w:rPr>
          <w:rFonts w:cs="TimesNewRomanPSMT"/>
          <w:szCs w:val="20"/>
        </w:rPr>
        <w:t xml:space="preserve"> tej linii, </w:t>
      </w:r>
      <w:r w:rsidRPr="009E064B">
        <w:rPr>
          <w:rFonts w:cs="TimesNewRomanPS-ItalicMT"/>
          <w:iCs/>
          <w:szCs w:val="20"/>
        </w:rPr>
        <w:t>na całej długości pasa, na odległość, co najmniej:</w:t>
      </w:r>
    </w:p>
    <w:p w14:paraId="10FB0DA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75 m, jeżeli cyfra kodu wynosi 3 lub 4;</w:t>
      </w:r>
    </w:p>
    <w:p w14:paraId="0A48377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40 m, jeżeli cyfrą kodu jest 2; oraz</w:t>
      </w:r>
    </w:p>
    <w:p w14:paraId="0F845148" w14:textId="77019666" w:rsidR="00C36D76" w:rsidRPr="009E064B" w:rsidRDefault="00C36D76" w:rsidP="00B06A9A">
      <w:pPr>
        <w:tabs>
          <w:tab w:val="left" w:pos="1134"/>
        </w:tabs>
        <w:autoSpaceDE w:val="0"/>
        <w:autoSpaceDN w:val="0"/>
        <w:adjustRightInd w:val="0"/>
        <w:spacing w:after="0"/>
        <w:ind w:left="1134" w:hanging="567"/>
        <w:rPr>
          <w:rFonts w:cs="TimesNewRomanPS-ItalicMT"/>
          <w:iCs/>
          <w:szCs w:val="20"/>
        </w:rPr>
      </w:pPr>
      <w:r w:rsidRPr="009E064B">
        <w:rPr>
          <w:rFonts w:cs="Times New Roman"/>
          <w:szCs w:val="20"/>
        </w:rPr>
        <w:t xml:space="preserve">(3) </w:t>
      </w:r>
      <w:r w:rsidRPr="009E064B">
        <w:rPr>
          <w:rFonts w:cs="Times New Roman"/>
          <w:szCs w:val="20"/>
        </w:rPr>
        <w:tab/>
        <w:t>3</w:t>
      </w:r>
      <w:r w:rsidRPr="009E064B">
        <w:rPr>
          <w:rFonts w:cs="TimesNewRomanPS-ItalicMT"/>
          <w:iCs/>
          <w:szCs w:val="20"/>
        </w:rPr>
        <w:t>0 m, jeżeli cyfrą kodu jest 1.</w:t>
      </w:r>
    </w:p>
    <w:p w14:paraId="0B2EE3D0" w14:textId="77777777" w:rsidR="00F722A1" w:rsidRPr="009E064B" w:rsidRDefault="00F722A1" w:rsidP="00DB5B54">
      <w:pPr>
        <w:pStyle w:val="Tekstpodstawowy"/>
        <w:spacing w:before="12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622EFF76" w14:textId="0D2108DF" w:rsidR="001A44D6" w:rsidRPr="009E064B" w:rsidRDefault="001E0089" w:rsidP="00133B99">
      <w:pPr>
        <w:pStyle w:val="Nagwek6"/>
      </w:pPr>
      <w:bookmarkStart w:id="942" w:name="_Toc401058919"/>
      <w:bookmarkStart w:id="943" w:name="_Toc482886785"/>
      <w:bookmarkStart w:id="944" w:name="_Toc12532972"/>
      <w:bookmarkStart w:id="945" w:name="_Toc482886562"/>
      <w:r w:rsidRPr="009E064B">
        <w:t xml:space="preserve">GM1 ADR-DSN.B.160     </w:t>
      </w:r>
      <w:r w:rsidR="001A44D6" w:rsidRPr="009E064B">
        <w:t>Szerokość pasa drogi startowej</w:t>
      </w:r>
      <w:bookmarkEnd w:id="942"/>
      <w:bookmarkEnd w:id="943"/>
      <w:bookmarkEnd w:id="944"/>
    </w:p>
    <w:p w14:paraId="632C0147" w14:textId="37BE3B30" w:rsidR="001E0089" w:rsidRPr="009E064B" w:rsidRDefault="001F74A1" w:rsidP="001E008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00B3692" w14:textId="77777777" w:rsidR="001A44D6" w:rsidRPr="009E064B" w:rsidRDefault="001A44D6" w:rsidP="001E0089">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9395DAD" w14:textId="26B88D80" w:rsidR="00C36D76" w:rsidRPr="009E064B" w:rsidRDefault="001E0089" w:rsidP="00B06A9A">
      <w:pPr>
        <w:pStyle w:val="Nagwek4"/>
        <w:rPr>
          <w:color w:val="auto"/>
        </w:rPr>
      </w:pPr>
      <w:bookmarkStart w:id="946" w:name="_Toc12532973"/>
      <w:r w:rsidRPr="009E064B">
        <w:rPr>
          <w:color w:val="auto"/>
        </w:rPr>
        <w:t xml:space="preserve">CS ADR-DSN.B.165     </w:t>
      </w:r>
      <w:r w:rsidR="00C36D76" w:rsidRPr="009E064B">
        <w:rPr>
          <w:color w:val="auto"/>
        </w:rPr>
        <w:t>Obiekty na pasie drogi startowej</w:t>
      </w:r>
      <w:bookmarkEnd w:id="945"/>
      <w:bookmarkEnd w:id="946"/>
    </w:p>
    <w:p w14:paraId="78CB7921" w14:textId="6D111831"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30F2EB8A"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Każdy obiekt znajdujący się na pasie drogi startowej, który może stanowić zagrożenie dla statków powietrznych powinien być uznany za przeszkodę, którą o ile jest to możliwe należy usunąć.</w:t>
      </w:r>
    </w:p>
    <w:p w14:paraId="7242CD0B"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Żaden</w:t>
      </w:r>
      <w:r w:rsidRPr="009E064B">
        <w:rPr>
          <w:rFonts w:cs="TimesNewRomanPSMT"/>
          <w:szCs w:val="20"/>
        </w:rPr>
        <w:t xml:space="preserve"> obiekt stały, inny niż pomoce wzrokowe potrzebne dla nawigacji lotniczej lub te, które wymagane są dla potrzeb bezpieczeństwa statków powietrznych i muszą być umieszczone na pasie drogi startowej, przy czym spełniają wymagania łamliwości określone w Rozdziale T, nie może znaleźć się na pasie drogi startowej w odległości:</w:t>
      </w:r>
    </w:p>
    <w:p w14:paraId="07C11CE1"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mniejszej niż 77.5 m od linii środkowej drogi startowej z podejściem precyzyjnym kategorii I, II lub III, jeżeli cyfra kodu wynosi 4, a literą kodu jest F; lub</w:t>
      </w:r>
    </w:p>
    <w:p w14:paraId="167D9D36"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mniejszej niż 60 m od linii środkowej drogi startowej z podejściem precyzyjnym kategorii I, II lub III, jeżeli cyfra kodu wynosi 3 lub 4; lub</w:t>
      </w:r>
    </w:p>
    <w:p w14:paraId="6C04E04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mniejszej niż 45 m od linii środkowej drogi startowej z podejściem precyzyjnym kategorii I, jeżeli cyfra kodu wynosi 1 lub 2.</w:t>
      </w:r>
    </w:p>
    <w:p w14:paraId="121DF950" w14:textId="77777777" w:rsidR="00C36D76" w:rsidRPr="009E064B" w:rsidRDefault="00C36D76" w:rsidP="00B06A9A">
      <w:pPr>
        <w:tabs>
          <w:tab w:val="left" w:pos="567"/>
        </w:tabs>
        <w:autoSpaceDE w:val="0"/>
        <w:autoSpaceDN w:val="0"/>
        <w:adjustRightInd w:val="0"/>
        <w:ind w:left="567"/>
        <w:rPr>
          <w:rFonts w:cs="TimesNewRomanPSMT"/>
          <w:szCs w:val="20"/>
        </w:rPr>
      </w:pPr>
      <w:r w:rsidRPr="009E064B">
        <w:rPr>
          <w:rFonts w:cs="TimesNewRomanPSMT"/>
          <w:szCs w:val="20"/>
        </w:rPr>
        <w:t>Żaden obiekt ruchomy nie może się znaleźć na tej części pasa drogi startowej podczas używania tej drogi startowej do operacji startu lub lądowania.</w:t>
      </w:r>
    </w:p>
    <w:p w14:paraId="22F237F9" w14:textId="77777777" w:rsidR="00C36D76" w:rsidRPr="009E064B" w:rsidRDefault="00C36D76" w:rsidP="00B06A9A">
      <w:pPr>
        <w:tabs>
          <w:tab w:val="left" w:pos="567"/>
        </w:tabs>
        <w:autoSpaceDE w:val="0"/>
        <w:autoSpaceDN w:val="0"/>
        <w:adjustRightInd w:val="0"/>
        <w:spacing w:after="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Aby wyeliminować ukrytą powierzchnię pionową na obiektach usytuowanych na wyrównanej części pasa drogi startowej, należy zapewnić nachylenie, aby zminimalizować zagrożenia dla samolotów, które zjadą z tej drogi startowej.</w:t>
      </w:r>
    </w:p>
    <w:p w14:paraId="097EA7A9" w14:textId="77777777" w:rsidR="005D070C" w:rsidRDefault="00C36D76" w:rsidP="00DB5B54">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r w:rsidR="00DB5B54" w:rsidRPr="009E064B">
        <w:rPr>
          <w:rFonts w:asciiTheme="minorHAnsi" w:hAnsiTheme="minorHAnsi" w:cstheme="minorHAnsi"/>
          <w:i/>
          <w:sz w:val="16"/>
          <w:szCs w:val="16"/>
        </w:rPr>
        <w:t xml:space="preserve"> </w:t>
      </w:r>
    </w:p>
    <w:p w14:paraId="374AA954" w14:textId="77777777" w:rsidR="001A44D6" w:rsidRPr="009E064B" w:rsidRDefault="001A44D6" w:rsidP="00133B99">
      <w:pPr>
        <w:pStyle w:val="Nagwek6"/>
      </w:pPr>
      <w:bookmarkStart w:id="947" w:name="_Toc482886786"/>
      <w:bookmarkStart w:id="948" w:name="_Toc12532974"/>
      <w:bookmarkStart w:id="949" w:name="_Toc482886563"/>
      <w:r w:rsidRPr="009E064B">
        <w:t xml:space="preserve">GM1 ADR-DSN.B.165 </w:t>
      </w:r>
      <w:r w:rsidR="00D05B14" w:rsidRPr="009E064B">
        <w:t xml:space="preserve">    </w:t>
      </w:r>
      <w:r w:rsidRPr="009E064B">
        <w:t>Obiekty na pasie drogi startowej</w:t>
      </w:r>
      <w:bookmarkEnd w:id="947"/>
      <w:bookmarkEnd w:id="948"/>
    </w:p>
    <w:p w14:paraId="464ED92D" w14:textId="53376D9C"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9EE6F22" w14:textId="210ACDD0" w:rsidR="001A44D6" w:rsidRPr="005D070C" w:rsidRDefault="00210E8A" w:rsidP="00EE2E0D">
      <w:pPr>
        <w:tabs>
          <w:tab w:val="left" w:pos="567"/>
        </w:tabs>
        <w:autoSpaceDE w:val="0"/>
        <w:autoSpaceDN w:val="0"/>
        <w:adjustRightInd w:val="0"/>
        <w:ind w:left="567" w:hanging="567"/>
        <w:rPr>
          <w:rFonts w:cs="Times New Roman"/>
          <w:color w:val="000000" w:themeColor="text1"/>
          <w:szCs w:val="20"/>
        </w:rPr>
      </w:pPr>
      <w:r w:rsidRPr="005D070C">
        <w:rPr>
          <w:rFonts w:cs="Times New Roman"/>
          <w:color w:val="000000" w:themeColor="text1"/>
          <w:szCs w:val="20"/>
        </w:rPr>
        <w:t>(a)</w:t>
      </w:r>
      <w:r w:rsidRPr="005D070C">
        <w:rPr>
          <w:rFonts w:cs="Times New Roman"/>
          <w:color w:val="000000" w:themeColor="text1"/>
          <w:szCs w:val="20"/>
        </w:rPr>
        <w:tab/>
      </w:r>
      <w:r w:rsidR="001A44D6" w:rsidRPr="005D070C">
        <w:rPr>
          <w:rFonts w:cs="Times New Roman"/>
          <w:color w:val="000000" w:themeColor="text1"/>
          <w:szCs w:val="20"/>
        </w:rPr>
        <w:t xml:space="preserve">W części wyrównanej pasa drogi startowej, należy podjąć środki zaradcze zapobiegające zagłębianiu się kół samolotu w nawierzchnię gruntową oraz zderzenia z twardym pionowym czołem. Szczególne problemy mogą powstać w przypadku konstrukcji świateł drogi startowej lub innych obiektów zainstalowanych na obszarze pasa drogi startowej w pobliżu skrzyżowania z drogą kołowania lub inną drogą startową. W przypadku konstrukcji znajdujących się w części wyrównanej pasa drogi startowej, takich jak krzyżujące się drogi startowe lub drogi kołowania, </w:t>
      </w:r>
      <w:r w:rsidR="001A44D6" w:rsidRPr="009E064B">
        <w:rPr>
          <w:rFonts w:cs="Times New Roman"/>
          <w:szCs w:val="20"/>
        </w:rPr>
        <w:t>gdzie nawierzchnia powinna być także zrównana z nawierzchnią tego pasa, powinny one być „zdeletowane</w:t>
      </w:r>
      <w:r w:rsidR="001A44D6" w:rsidRPr="009E064B">
        <w:rPr>
          <w:rStyle w:val="Odwoanieprzypisudolnego"/>
          <w:rFonts w:cs="Times New Roman"/>
          <w:szCs w:val="20"/>
        </w:rPr>
        <w:footnoteReference w:id="42"/>
      </w:r>
      <w:r w:rsidR="001A44D6" w:rsidRPr="009E064B">
        <w:rPr>
          <w:rFonts w:cs="Times New Roman"/>
          <w:szCs w:val="20"/>
        </w:rPr>
        <w:t>”, czyli zbudowane w taki sp</w:t>
      </w:r>
      <w:r w:rsidR="00210EDA" w:rsidRPr="009E064B">
        <w:rPr>
          <w:rFonts w:cs="Times New Roman"/>
          <w:szCs w:val="20"/>
        </w:rPr>
        <w:t>os</w:t>
      </w:r>
      <w:r w:rsidR="001A44D6" w:rsidRPr="009E064B">
        <w:rPr>
          <w:rFonts w:cs="Times New Roman"/>
          <w:szCs w:val="20"/>
        </w:rPr>
        <w:t>ób, aby uniknąć istnienia zakopanego pionowego czoła dla kół statku powietrznego, w miękkich warunkach gruntowych, z dowolnego kierunku, z</w:t>
      </w:r>
      <w:r w:rsidR="00D05B14" w:rsidRPr="009E064B">
        <w:rPr>
          <w:rFonts w:cs="Times New Roman"/>
          <w:szCs w:val="20"/>
        </w:rPr>
        <w:t xml:space="preserve"> </w:t>
      </w:r>
      <w:r w:rsidR="001A44D6" w:rsidRPr="009E064B">
        <w:rPr>
          <w:rFonts w:cs="Times New Roman"/>
          <w:szCs w:val="20"/>
        </w:rPr>
        <w:t>którego prawdopodobnie może zbliżyć się statek powietrzny. Pionowe czoło może być zlikwidowane przez ukośne ścięcie konstrukcji nawierzchni do głębokości nie mniejszej niż 30 cm poniżej poziomu nawierzchni pasa drogi startowej (drogi kołowania)</w:t>
      </w:r>
      <w:r w:rsidR="00D05B14" w:rsidRPr="009E064B">
        <w:rPr>
          <w:rFonts w:cs="Times New Roman"/>
          <w:szCs w:val="20"/>
        </w:rPr>
        <w:t xml:space="preserve">. Inne obiekty znajdujące się w </w:t>
      </w:r>
      <w:r w:rsidR="001A44D6" w:rsidRPr="009E064B">
        <w:rPr>
          <w:rFonts w:cs="Times New Roman"/>
          <w:szCs w:val="20"/>
        </w:rPr>
        <w:t xml:space="preserve">części wyrównanej pasa drogi startowej, których funkcje nie wymagają, aby znajdowały się na powierzchni, powinny być zagłębione na głębokość, co najmniej 30 cm. Jeżeli nie jest to możliwe, w celu wyeliminowania zagłębionej powierzchni pionowej, należy zapewnić nachylenie rozciągające się od szczytu konstrukcji na odległość nie mniejszą niż 30 cm poniżej poziomu ziemi. Nachylenie to może być tworzone przy użyciu mieszaniny żwiru lub zagęszczonego asfaltu </w:t>
      </w:r>
      <w:r w:rsidR="001A44D6" w:rsidRPr="005D070C">
        <w:rPr>
          <w:rFonts w:cs="Times New Roman"/>
          <w:color w:val="000000" w:themeColor="text1"/>
          <w:szCs w:val="20"/>
        </w:rPr>
        <w:t>i kruszywa oraz gleby.</w:t>
      </w:r>
    </w:p>
    <w:p w14:paraId="24BD23BF" w14:textId="77777777" w:rsidR="002A2A54" w:rsidRPr="005D070C" w:rsidRDefault="002A2A54" w:rsidP="002A2A54">
      <w:pPr>
        <w:tabs>
          <w:tab w:val="left" w:pos="567"/>
        </w:tabs>
        <w:autoSpaceDE w:val="0"/>
        <w:autoSpaceDN w:val="0"/>
        <w:adjustRightInd w:val="0"/>
        <w:ind w:left="567" w:hanging="567"/>
        <w:rPr>
          <w:rFonts w:cs="Times New Roman"/>
          <w:color w:val="000000" w:themeColor="text1"/>
          <w:szCs w:val="20"/>
        </w:rPr>
      </w:pPr>
      <w:r w:rsidRPr="005D070C">
        <w:rPr>
          <w:rFonts w:cs="Times New Roman"/>
          <w:color w:val="000000" w:themeColor="text1"/>
          <w:szCs w:val="20"/>
        </w:rPr>
        <w:t>(b)</w:t>
      </w:r>
      <w:r w:rsidRPr="005D070C">
        <w:rPr>
          <w:rFonts w:cs="Times New Roman"/>
          <w:color w:val="000000" w:themeColor="text1"/>
          <w:szCs w:val="20"/>
        </w:rPr>
        <w:tab/>
        <w:t xml:space="preserve">Należy zwrócić uwagę na lokalizację oraz projekt systemu odwodnienia na pasie drogi startowej, aby zapobiec uszkodzeniu samolotu, który przypadkowo zjedzie z drogi startowej. Mogą być wymagane odpowiednio zaprojektowane pokrywy. </w:t>
      </w:r>
    </w:p>
    <w:p w14:paraId="0711248A" w14:textId="756F51EC" w:rsidR="002A2A54" w:rsidRPr="005D070C" w:rsidRDefault="002A2A54" w:rsidP="002A2A54">
      <w:pPr>
        <w:tabs>
          <w:tab w:val="left" w:pos="567"/>
        </w:tabs>
        <w:autoSpaceDE w:val="0"/>
        <w:autoSpaceDN w:val="0"/>
        <w:adjustRightInd w:val="0"/>
        <w:ind w:left="567" w:hanging="567"/>
        <w:rPr>
          <w:rFonts w:cs="Times New Roman"/>
          <w:color w:val="000000" w:themeColor="text1"/>
          <w:szCs w:val="20"/>
        </w:rPr>
      </w:pPr>
      <w:r w:rsidRPr="005D070C">
        <w:rPr>
          <w:rFonts w:cs="Times New Roman"/>
          <w:color w:val="000000" w:themeColor="text1"/>
          <w:szCs w:val="20"/>
        </w:rPr>
        <w:t>(c)</w:t>
      </w:r>
      <w:r w:rsidRPr="005D070C">
        <w:rPr>
          <w:rFonts w:cs="Times New Roman"/>
          <w:color w:val="000000" w:themeColor="text1"/>
          <w:szCs w:val="20"/>
        </w:rPr>
        <w:tab/>
        <w:t>Wytyczn</w:t>
      </w:r>
      <w:r w:rsidR="009376BB" w:rsidRPr="005D070C">
        <w:rPr>
          <w:rFonts w:cs="Times New Roman"/>
          <w:color w:val="000000" w:themeColor="text1"/>
          <w:szCs w:val="20"/>
        </w:rPr>
        <w:t>e</w:t>
      </w:r>
      <w:r w:rsidRPr="005D070C">
        <w:rPr>
          <w:rFonts w:cs="Times New Roman"/>
          <w:color w:val="000000" w:themeColor="text1"/>
          <w:szCs w:val="20"/>
        </w:rPr>
        <w:t xml:space="preserve"> dotyczące pokryw kanałów odwadniających określone są w „</w:t>
      </w:r>
      <w:r w:rsidRPr="005D070C">
        <w:rPr>
          <w:rFonts w:cs="Times New Roman"/>
          <w:i/>
          <w:color w:val="000000" w:themeColor="text1"/>
          <w:szCs w:val="20"/>
        </w:rPr>
        <w:t>Podręczniku projektowania lotnisk”</w:t>
      </w:r>
      <w:r w:rsidRPr="005D070C">
        <w:rPr>
          <w:rFonts w:cs="Times New Roman"/>
          <w:color w:val="000000" w:themeColor="text1"/>
          <w:szCs w:val="20"/>
        </w:rPr>
        <w:t xml:space="preserve"> (ICAO Doc 9157), Część 1.</w:t>
      </w:r>
    </w:p>
    <w:p w14:paraId="37B386EB" w14:textId="5E70AA69" w:rsidR="002A2A54" w:rsidRPr="005D070C" w:rsidRDefault="002A2A54" w:rsidP="002A2A54">
      <w:pPr>
        <w:tabs>
          <w:tab w:val="left" w:pos="567"/>
        </w:tabs>
        <w:autoSpaceDE w:val="0"/>
        <w:autoSpaceDN w:val="0"/>
        <w:adjustRightInd w:val="0"/>
        <w:ind w:left="567" w:hanging="567"/>
        <w:rPr>
          <w:rFonts w:cs="Times New Roman"/>
          <w:color w:val="000000" w:themeColor="text1"/>
          <w:szCs w:val="20"/>
        </w:rPr>
      </w:pPr>
      <w:r w:rsidRPr="005D070C">
        <w:rPr>
          <w:rFonts w:cs="Times New Roman"/>
          <w:color w:val="000000" w:themeColor="text1"/>
          <w:szCs w:val="20"/>
        </w:rPr>
        <w:t xml:space="preserve">(d) </w:t>
      </w:r>
      <w:r w:rsidRPr="005D070C">
        <w:rPr>
          <w:rFonts w:cs="Times New Roman"/>
          <w:color w:val="000000" w:themeColor="text1"/>
          <w:szCs w:val="20"/>
        </w:rPr>
        <w:tab/>
        <w:t>Jeżeli zainstalowano zbiorniki na wodę burz</w:t>
      </w:r>
      <w:r w:rsidR="009376BB" w:rsidRPr="005D070C">
        <w:rPr>
          <w:rFonts w:cs="Times New Roman"/>
          <w:color w:val="000000" w:themeColor="text1"/>
          <w:szCs w:val="20"/>
        </w:rPr>
        <w:t xml:space="preserve">ową na otwartym powietrzu lub </w:t>
      </w:r>
      <w:r w:rsidRPr="005D070C">
        <w:rPr>
          <w:rFonts w:cs="Times New Roman"/>
          <w:color w:val="000000" w:themeColor="text1"/>
          <w:szCs w:val="20"/>
        </w:rPr>
        <w:t>zamknięte pokrywą, należy zapewnić, aby ich konstrukcja nie wystawała powyżej otaczającego gruntu, tak, aby nie zostały one uznane za przeszkody.</w:t>
      </w:r>
    </w:p>
    <w:p w14:paraId="34DFC813" w14:textId="4B0838EC" w:rsidR="00210E8A" w:rsidRPr="005D070C" w:rsidRDefault="002A2A54" w:rsidP="002A2A54">
      <w:pPr>
        <w:tabs>
          <w:tab w:val="left" w:pos="567"/>
        </w:tabs>
        <w:autoSpaceDE w:val="0"/>
        <w:autoSpaceDN w:val="0"/>
        <w:adjustRightInd w:val="0"/>
        <w:spacing w:after="0"/>
        <w:ind w:left="567" w:hanging="567"/>
        <w:rPr>
          <w:rFonts w:cs="Times New Roman"/>
          <w:color w:val="000000" w:themeColor="text1"/>
          <w:szCs w:val="20"/>
        </w:rPr>
      </w:pPr>
      <w:r w:rsidRPr="005D070C">
        <w:rPr>
          <w:rFonts w:cs="Times New Roman"/>
          <w:color w:val="000000" w:themeColor="text1"/>
          <w:szCs w:val="20"/>
        </w:rPr>
        <w:t>(e)</w:t>
      </w:r>
      <w:r w:rsidRPr="005D070C">
        <w:rPr>
          <w:rFonts w:cs="Times New Roman"/>
          <w:color w:val="000000" w:themeColor="text1"/>
          <w:szCs w:val="20"/>
        </w:rPr>
        <w:tab/>
        <w:t>Szczególną uwagę należy zwrócić na projektowanie i utrzymanie zbiornika z wodą burzową na otwartym powietrzu w taki sposób, aby nie przyciągać zwierzyny, zwłaszcza ptaków. Jeżeli zajdzie taka konieczność, zbiornik można przykryć siatką. Wytyczne w zakresie kontroli i redukcji zwierząt znajdują się w</w:t>
      </w:r>
      <w:r w:rsidR="009376BB" w:rsidRPr="005D070C">
        <w:rPr>
          <w:rFonts w:cs="Times New Roman"/>
          <w:color w:val="000000" w:themeColor="text1"/>
          <w:szCs w:val="20"/>
        </w:rPr>
        <w:t xml:space="preserve"> </w:t>
      </w:r>
      <w:r w:rsidRPr="005D070C">
        <w:rPr>
          <w:rFonts w:cs="Times New Roman"/>
          <w:color w:val="000000" w:themeColor="text1"/>
          <w:szCs w:val="20"/>
        </w:rPr>
        <w:t>„</w:t>
      </w:r>
      <w:r w:rsidRPr="005D070C">
        <w:rPr>
          <w:rFonts w:cs="Times New Roman"/>
          <w:i/>
          <w:color w:val="000000" w:themeColor="text1"/>
          <w:szCs w:val="20"/>
        </w:rPr>
        <w:t>Podręczniku służb portu lotnicze</w:t>
      </w:r>
      <w:r w:rsidRPr="005D070C">
        <w:rPr>
          <w:rFonts w:cs="Times New Roman"/>
          <w:color w:val="000000" w:themeColor="text1"/>
          <w:szCs w:val="20"/>
        </w:rPr>
        <w:t>go” (</w:t>
      </w:r>
      <w:r w:rsidR="009376BB" w:rsidRPr="005D070C">
        <w:rPr>
          <w:rFonts w:cs="Times New Roman"/>
          <w:color w:val="000000" w:themeColor="text1"/>
          <w:szCs w:val="20"/>
        </w:rPr>
        <w:t xml:space="preserve">ICAO </w:t>
      </w:r>
      <w:r w:rsidRPr="005D070C">
        <w:rPr>
          <w:rFonts w:cs="Times New Roman"/>
          <w:color w:val="000000" w:themeColor="text1"/>
          <w:szCs w:val="20"/>
        </w:rPr>
        <w:t>Doc 9137), Część 3.</w:t>
      </w:r>
    </w:p>
    <w:p w14:paraId="2B2A58C0" w14:textId="79B25494" w:rsidR="001A44D6" w:rsidRPr="005D070C" w:rsidRDefault="001A44D6" w:rsidP="006C24CC">
      <w:pPr>
        <w:pStyle w:val="Tekstpodstawowy"/>
        <w:spacing w:before="120" w:after="0"/>
        <w:ind w:hanging="20"/>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ADR-DSN/3]</w:t>
      </w:r>
    </w:p>
    <w:p w14:paraId="0A80DBEF" w14:textId="77777777" w:rsidR="006C24CC" w:rsidRPr="009E064B" w:rsidRDefault="006C24CC" w:rsidP="00DB5B54">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29B78B9" w14:textId="46F5CF03" w:rsidR="00C36D76" w:rsidRPr="009E064B" w:rsidRDefault="00C36D76" w:rsidP="00B06A9A">
      <w:pPr>
        <w:pStyle w:val="Nagwek4"/>
        <w:rPr>
          <w:color w:val="auto"/>
        </w:rPr>
      </w:pPr>
      <w:bookmarkStart w:id="950" w:name="_Toc12532975"/>
      <w:r w:rsidRPr="009E064B">
        <w:rPr>
          <w:color w:val="auto"/>
        </w:rPr>
        <w:t>CS ADR-DSN.B.170</w:t>
      </w:r>
      <w:bookmarkEnd w:id="949"/>
      <w:bookmarkEnd w:id="950"/>
      <w:r w:rsidR="00210EDA" w:rsidRPr="009E064B">
        <w:rPr>
          <w:color w:val="auto"/>
        </w:rPr>
        <w:t xml:space="preserve"> </w:t>
      </w:r>
    </w:p>
    <w:p w14:paraId="3F0CC29B" w14:textId="3D6F9574"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17302CF" w14:textId="2A59E528" w:rsidR="00C36D76" w:rsidRPr="009E064B" w:rsidRDefault="00210EDA" w:rsidP="00B06A9A">
      <w:pPr>
        <w:spacing w:after="0"/>
        <w:rPr>
          <w:rFonts w:cs="TimesNewRomanPSMT"/>
          <w:szCs w:val="20"/>
        </w:rPr>
      </w:pPr>
      <w:r w:rsidRPr="009E064B">
        <w:t>GM1 ADR-DSN.B.165</w:t>
      </w:r>
      <w:r w:rsidR="00C36D76" w:rsidRPr="009E064B">
        <w:rPr>
          <w:szCs w:val="20"/>
        </w:rPr>
        <w:t>C</w:t>
      </w:r>
      <w:r w:rsidR="00C36D76" w:rsidRPr="009E064B">
        <w:rPr>
          <w:rFonts w:cs="TimesNewRomanPSMT"/>
          <w:szCs w:val="20"/>
        </w:rPr>
        <w:t>elowo pozostawione puste.</w:t>
      </w:r>
    </w:p>
    <w:p w14:paraId="643FA27A" w14:textId="3D0978D6" w:rsidR="001A44D6" w:rsidRPr="009E064B" w:rsidRDefault="001A44D6" w:rsidP="00133B99">
      <w:pPr>
        <w:pStyle w:val="Nagwek6"/>
      </w:pPr>
      <w:bookmarkStart w:id="951" w:name="_Toc401058921"/>
      <w:bookmarkStart w:id="952" w:name="_Toc482886787"/>
      <w:bookmarkStart w:id="953" w:name="_Toc12532976"/>
      <w:bookmarkStart w:id="954" w:name="_Toc482886564"/>
      <w:r w:rsidRPr="009E064B">
        <w:t>GM1 ADR-DSN.B.170</w:t>
      </w:r>
      <w:bookmarkEnd w:id="951"/>
      <w:bookmarkEnd w:id="952"/>
      <w:bookmarkEnd w:id="953"/>
      <w:r w:rsidR="00210EDA" w:rsidRPr="009E064B">
        <w:t xml:space="preserve"> </w:t>
      </w:r>
    </w:p>
    <w:p w14:paraId="54CD3432" w14:textId="29E2719E"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FC02FB3" w14:textId="77777777" w:rsidR="005D070C" w:rsidRDefault="001A44D6" w:rsidP="00DB5B54">
      <w:pPr>
        <w:autoSpaceDE w:val="0"/>
        <w:autoSpaceDN w:val="0"/>
        <w:adjustRightInd w:val="0"/>
        <w:rPr>
          <w:rFonts w:cs="TimesNewRomanPS-BoldItalicMT"/>
          <w:bCs/>
          <w:iCs/>
          <w:szCs w:val="20"/>
        </w:rPr>
      </w:pPr>
      <w:r w:rsidRPr="009E064B">
        <w:rPr>
          <w:rFonts w:cs="TimesNewRomanPS-BoldItalicMT"/>
          <w:bCs/>
          <w:iCs/>
          <w:szCs w:val="20"/>
        </w:rPr>
        <w:t>Celowo pozostawione puste.</w:t>
      </w:r>
    </w:p>
    <w:p w14:paraId="26E115D2" w14:textId="5C7BA4ED" w:rsidR="00C36D76" w:rsidRPr="009E064B" w:rsidRDefault="00C36D76" w:rsidP="00B06A9A">
      <w:pPr>
        <w:pStyle w:val="Nagwek4"/>
        <w:rPr>
          <w:color w:val="auto"/>
        </w:rPr>
      </w:pPr>
      <w:bookmarkStart w:id="955" w:name="_Toc12532977"/>
      <w:r w:rsidRPr="009E064B">
        <w:rPr>
          <w:color w:val="auto"/>
        </w:rPr>
        <w:t>CS ADR-</w:t>
      </w:r>
      <w:r w:rsidR="00210EDA" w:rsidRPr="009E064B">
        <w:rPr>
          <w:color w:val="auto"/>
        </w:rPr>
        <w:t xml:space="preserve">DSN.B.175     </w:t>
      </w:r>
      <w:r w:rsidRPr="009E064B">
        <w:rPr>
          <w:color w:val="auto"/>
        </w:rPr>
        <w:t>Wyrównanie pasa drogi startowej</w:t>
      </w:r>
      <w:bookmarkEnd w:id="954"/>
      <w:bookmarkEnd w:id="955"/>
    </w:p>
    <w:p w14:paraId="5234C2DF" w14:textId="4FBD2E79"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40EEC3D" w14:textId="4D24B9E8" w:rsidR="00C36D76" w:rsidRPr="009E064B" w:rsidRDefault="00210EDA" w:rsidP="00210ED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 </w:t>
      </w:r>
      <w:r w:rsidR="00C36D76" w:rsidRPr="009E064B">
        <w:rPr>
          <w:rFonts w:cs="Times New Roman"/>
          <w:szCs w:val="20"/>
        </w:rPr>
        <w:t xml:space="preserve">(a) </w:t>
      </w:r>
      <w:r w:rsidR="00C36D76" w:rsidRPr="009E064B">
        <w:rPr>
          <w:rFonts w:cs="Times New Roman"/>
          <w:szCs w:val="20"/>
        </w:rPr>
        <w:tab/>
      </w:r>
      <w:r w:rsidR="00C36D76" w:rsidRPr="009E064B">
        <w:rPr>
          <w:rFonts w:cs="TimesNewRomanPSMT"/>
          <w:szCs w:val="20"/>
        </w:rPr>
        <w:t xml:space="preserve">Ta </w:t>
      </w:r>
      <w:r w:rsidR="00C36D76" w:rsidRPr="009E064B">
        <w:rPr>
          <w:rFonts w:cs="TimesNewRomanPS-ItalicMT"/>
          <w:iCs/>
          <w:szCs w:val="20"/>
        </w:rPr>
        <w:t>część pasa przyrządowej drogi startowej, w odległości nie mniejszej niż:</w:t>
      </w:r>
    </w:p>
    <w:p w14:paraId="6B89968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75 m, jeżeli cyfra kodu wynosi 3 lub 4; oraz</w:t>
      </w:r>
    </w:p>
    <w:p w14:paraId="1861C0D9"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40 m, jeżeli cyfrą kodu jest 1 lub 2;</w:t>
      </w:r>
    </w:p>
    <w:p w14:paraId="792FF0A9" w14:textId="77777777" w:rsidR="00C36D76" w:rsidRPr="009E064B" w:rsidRDefault="00C36D76" w:rsidP="00B06A9A">
      <w:pPr>
        <w:ind w:left="567"/>
      </w:pPr>
      <w:r w:rsidRPr="009E064B">
        <w:t>od linii środkowej drogi startowej i jej przedłużenia powinna stanowić powierzchnię wyrównaną, przygotowaną dla samolotów, które mają korzystać z drogi startowej, na wypadek zjechania samolotu z drogi startowej.</w:t>
      </w:r>
    </w:p>
    <w:p w14:paraId="3F308D90"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MT"/>
          <w:szCs w:val="20"/>
        </w:rPr>
        <w:t xml:space="preserve">Ta </w:t>
      </w:r>
      <w:r w:rsidRPr="009E064B">
        <w:rPr>
          <w:rFonts w:cs="TimesNewRomanPS-ItalicMT"/>
          <w:iCs/>
          <w:szCs w:val="20"/>
        </w:rPr>
        <w:t>część pasa nieprzyrządowej drogi startowej, w odległości nie mniejszej niż:</w:t>
      </w:r>
    </w:p>
    <w:p w14:paraId="44B3A50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75 m, jeżeli cyfra kodu wynosi 3 lub 4;</w:t>
      </w:r>
    </w:p>
    <w:p w14:paraId="3ACFD87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40 m, jeżeli cyfrą kodu jest 2; oraz</w:t>
      </w:r>
    </w:p>
    <w:p w14:paraId="52B0008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30 m, jeżeli cyfrą kodu jest 1;</w:t>
      </w:r>
    </w:p>
    <w:p w14:paraId="451231AF" w14:textId="77777777" w:rsidR="00C36D76" w:rsidRPr="009E064B" w:rsidRDefault="00C36D76" w:rsidP="00B06A9A">
      <w:pPr>
        <w:ind w:left="567"/>
      </w:pPr>
      <w:r w:rsidRPr="009E064B">
        <w:t>od linii środkowej drogi startowej i jej przedłużenia powinna stanowić powierzchnię wyrównaną, przygotowaną dla samolotów, które mają korzystać z drogi startowej na wypadek zjechania samolotu z drogi startowej.</w:t>
      </w:r>
    </w:p>
    <w:p w14:paraId="6608E834"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Powierzchnia tej części pasa drogi startowej, która przylega do pasa startowego, pobocza lub zabezpieczenia przerwanego startu, powinna być zrównana do poziomu drogi startowej, pobocza lub zabezpieczenia przerwanego startu.</w:t>
      </w:r>
    </w:p>
    <w:p w14:paraId="7EC106BA" w14:textId="565CFA36" w:rsidR="00C36D76" w:rsidRPr="009E064B" w:rsidRDefault="00C36D76" w:rsidP="006C24CC">
      <w:pPr>
        <w:tabs>
          <w:tab w:val="left" w:pos="567"/>
        </w:tabs>
        <w:autoSpaceDE w:val="0"/>
        <w:autoSpaceDN w:val="0"/>
        <w:adjustRightInd w:val="0"/>
        <w:ind w:left="567" w:hanging="567"/>
        <w:rPr>
          <w:rFonts w:cs="TimesNewRomanPS-ItalicMT"/>
          <w:iCs/>
          <w:szCs w:val="20"/>
        </w:rPr>
      </w:pPr>
      <w:r w:rsidRPr="005D070C">
        <w:rPr>
          <w:rFonts w:cs="Times New Roman"/>
          <w:color w:val="000000" w:themeColor="text1"/>
          <w:szCs w:val="20"/>
        </w:rPr>
        <w:t xml:space="preserve">(d) </w:t>
      </w:r>
      <w:r w:rsidRPr="005D070C">
        <w:rPr>
          <w:rFonts w:cs="Times New Roman"/>
          <w:color w:val="000000" w:themeColor="text1"/>
          <w:szCs w:val="20"/>
        </w:rPr>
        <w:tab/>
      </w:r>
      <w:r w:rsidRPr="005D070C">
        <w:rPr>
          <w:rFonts w:cs="TimesNewRomanPS-ItalicMT"/>
          <w:iCs/>
          <w:color w:val="000000" w:themeColor="text1"/>
          <w:szCs w:val="20"/>
        </w:rPr>
        <w:t xml:space="preserve">Ta część powierzchni pasa drogi startowej, położona, co najmniej w odległości 30 m przed </w:t>
      </w:r>
      <w:r w:rsidR="000A3409" w:rsidRPr="005D070C">
        <w:rPr>
          <w:rFonts w:cs="TimesNewRomanPS-ItalicMT"/>
          <w:iCs/>
          <w:color w:val="000000" w:themeColor="text1"/>
          <w:szCs w:val="20"/>
        </w:rPr>
        <w:t>początkiem drogi startowej</w:t>
      </w:r>
      <w:r w:rsidRPr="005D070C">
        <w:rPr>
          <w:rFonts w:cs="TimesNewRomanPS-ItalicMT"/>
          <w:iCs/>
          <w:color w:val="000000" w:themeColor="text1"/>
          <w:szCs w:val="20"/>
        </w:rPr>
        <w:t xml:space="preserve">, powinna być odpowiednio zabezpieczona przed erozją powodowaną przez podmuchy silników statków powietrznych, w celu ochrony  samolotów, </w:t>
      </w:r>
      <w:r w:rsidRPr="009E064B">
        <w:rPr>
          <w:rFonts w:cs="TimesNewRomanPS-ItalicMT"/>
          <w:iCs/>
          <w:szCs w:val="20"/>
        </w:rPr>
        <w:t>przed niebezpieczeństwem ze strony odsłoniętej krawędzi.</w:t>
      </w:r>
    </w:p>
    <w:p w14:paraId="39BE3111" w14:textId="77777777" w:rsidR="00F722A1" w:rsidRPr="009E064B" w:rsidRDefault="00F722A1" w:rsidP="008960B1">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E2C06BB" w14:textId="33EBCE0A" w:rsidR="001A44D6" w:rsidRPr="009E064B" w:rsidRDefault="00210EDA" w:rsidP="00133B99">
      <w:pPr>
        <w:pStyle w:val="Nagwek6"/>
      </w:pPr>
      <w:bookmarkStart w:id="956" w:name="_Toc401058922"/>
      <w:bookmarkStart w:id="957" w:name="_Toc482886788"/>
      <w:bookmarkStart w:id="958" w:name="_Toc12532978"/>
      <w:bookmarkStart w:id="959" w:name="_Toc482886565"/>
      <w:r w:rsidRPr="009E064B">
        <w:t xml:space="preserve">GM1 ADR-DSN.B.175     </w:t>
      </w:r>
      <w:r w:rsidR="001A44D6" w:rsidRPr="009E064B">
        <w:t>Wyrównanie pasa drogi startowej</w:t>
      </w:r>
      <w:bookmarkEnd w:id="956"/>
      <w:bookmarkEnd w:id="957"/>
      <w:bookmarkEnd w:id="958"/>
    </w:p>
    <w:p w14:paraId="0A0B02D6" w14:textId="2C8106D7"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6378897B" w14:textId="1407861E" w:rsidR="001A44D6" w:rsidRDefault="001A44D6" w:rsidP="00E21CD4">
      <w:pPr>
        <w:tabs>
          <w:tab w:val="left" w:pos="567"/>
        </w:tabs>
        <w:autoSpaceDE w:val="0"/>
        <w:autoSpaceDN w:val="0"/>
        <w:adjustRightInd w:val="0"/>
        <w:spacing w:after="0"/>
        <w:ind w:left="567" w:hanging="567"/>
        <w:rPr>
          <w:rFonts w:cs="Times New Roman"/>
          <w:szCs w:val="20"/>
        </w:rPr>
      </w:pPr>
      <w:r w:rsidRPr="009E064B">
        <w:rPr>
          <w:rFonts w:cs="Times New Roman"/>
          <w:szCs w:val="20"/>
        </w:rPr>
        <w:t>(a)</w:t>
      </w:r>
      <w:r w:rsidRPr="009E064B">
        <w:rPr>
          <w:rFonts w:cs="Times New Roman"/>
          <w:szCs w:val="20"/>
        </w:rPr>
        <w:tab/>
        <w:t>W przypadku drogi sta</w:t>
      </w:r>
      <w:r w:rsidR="009D084D" w:rsidRPr="009E064B">
        <w:rPr>
          <w:rFonts w:cs="Times New Roman"/>
          <w:szCs w:val="20"/>
        </w:rPr>
        <w:t>rtowej z podejściem precyzyjnym o cyfrze kodu 3 lub 4</w:t>
      </w:r>
      <w:r w:rsidRPr="009E064B">
        <w:rPr>
          <w:rFonts w:cs="Times New Roman"/>
          <w:szCs w:val="20"/>
        </w:rPr>
        <w:t xml:space="preserve"> może być pożądane zwiększenie szerokości tej części pasa, która ma być wyrównana. Na Rysunku GM-B-4 przedstawiono kształt i wymiary poszerzonego pas</w:t>
      </w:r>
      <w:r w:rsidR="00DB5B54" w:rsidRPr="009E064B">
        <w:rPr>
          <w:rFonts w:cs="Times New Roman"/>
          <w:szCs w:val="20"/>
        </w:rPr>
        <w:t xml:space="preserve">a podlegającego wyrównaniu. Pas ten został zaprojektowany w </w:t>
      </w:r>
      <w:r w:rsidRPr="009E064B">
        <w:rPr>
          <w:rFonts w:cs="Times New Roman"/>
          <w:szCs w:val="20"/>
        </w:rPr>
        <w:t>oparciu o dane uzyskane na podstawie analizy rzeczywistych przypadków wykołowania statków powietrznych z drogi startowej. Część, która ma być wyrównana rozciąga się na szerokość 105 m w</w:t>
      </w:r>
      <w:r w:rsidR="00BE4872" w:rsidRPr="009E064B">
        <w:rPr>
          <w:rFonts w:cs="Times New Roman"/>
          <w:szCs w:val="20"/>
        </w:rPr>
        <w:t xml:space="preserve"> </w:t>
      </w:r>
      <w:r w:rsidRPr="009E064B">
        <w:rPr>
          <w:rFonts w:cs="Times New Roman"/>
          <w:szCs w:val="20"/>
        </w:rPr>
        <w:t>obie strony od linii środkowej, jednak szerokość ta jest stopniowo zmniejszona do 75 m od linii środkowej pasa w odległości 150 m od końca drogi startowej.</w:t>
      </w:r>
    </w:p>
    <w:p w14:paraId="7090F7CE" w14:textId="77777777" w:rsidR="00E21CD4" w:rsidRPr="009E064B" w:rsidRDefault="00E21CD4" w:rsidP="00E21CD4">
      <w:pPr>
        <w:autoSpaceDE w:val="0"/>
        <w:autoSpaceDN w:val="0"/>
        <w:adjustRightInd w:val="0"/>
        <w:spacing w:after="0"/>
        <w:rPr>
          <w:b/>
          <w:szCs w:val="20"/>
        </w:rPr>
      </w:pPr>
      <w:r w:rsidRPr="009E064B">
        <w:rPr>
          <w:b/>
          <w:noProof/>
          <w:szCs w:val="20"/>
          <w:lang w:eastAsia="pl-PL"/>
        </w:rPr>
        <w:drawing>
          <wp:anchor distT="0" distB="0" distL="114300" distR="114300" simplePos="0" relativeHeight="251706880" behindDoc="0" locked="0" layoutInCell="1" allowOverlap="1" wp14:anchorId="4A025A38" wp14:editId="574BE5D7">
            <wp:simplePos x="0" y="0"/>
            <wp:positionH relativeFrom="column">
              <wp:posOffset>85725</wp:posOffset>
            </wp:positionH>
            <wp:positionV relativeFrom="paragraph">
              <wp:posOffset>247650</wp:posOffset>
            </wp:positionV>
            <wp:extent cx="5663565" cy="2002155"/>
            <wp:effectExtent l="19050" t="0" r="0" b="0"/>
            <wp:wrapTopAndBottom/>
            <wp:docPr id="5796" name="Obraz 101" descr="ATT A-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descr="ATT A-9m"/>
                    <pic:cNvPicPr>
                      <a:picLocks noChangeAspect="1" noChangeArrowheads="1"/>
                    </pic:cNvPicPr>
                  </pic:nvPicPr>
                  <pic:blipFill>
                    <a:blip r:embed="rId112" cstate="print"/>
                    <a:srcRect/>
                    <a:stretch>
                      <a:fillRect/>
                    </a:stretch>
                  </pic:blipFill>
                  <pic:spPr bwMode="auto">
                    <a:xfrm>
                      <a:off x="0" y="0"/>
                      <a:ext cx="5663565" cy="2002155"/>
                    </a:xfrm>
                    <a:prstGeom prst="rect">
                      <a:avLst/>
                    </a:prstGeom>
                    <a:noFill/>
                    <a:ln w="9525">
                      <a:noFill/>
                      <a:miter lim="800000"/>
                      <a:headEnd/>
                      <a:tailEnd/>
                    </a:ln>
                  </pic:spPr>
                </pic:pic>
              </a:graphicData>
            </a:graphic>
          </wp:anchor>
        </w:drawing>
      </w:r>
    </w:p>
    <w:p w14:paraId="047F9373" w14:textId="77777777" w:rsidR="00E21CD4" w:rsidRPr="009E064B" w:rsidRDefault="00E21CD4" w:rsidP="00E21CD4">
      <w:pPr>
        <w:spacing w:after="0"/>
        <w:rPr>
          <w:szCs w:val="20"/>
        </w:rPr>
      </w:pPr>
    </w:p>
    <w:p w14:paraId="2D484EC3" w14:textId="77777777" w:rsidR="00E21CD4" w:rsidRPr="005D070C" w:rsidRDefault="00E21CD4" w:rsidP="00E21CD4">
      <w:pPr>
        <w:spacing w:after="360"/>
        <w:jc w:val="center"/>
        <w:rPr>
          <w:b/>
          <w:sz w:val="20"/>
          <w:szCs w:val="20"/>
        </w:rPr>
      </w:pPr>
      <w:r w:rsidRPr="005D070C">
        <w:rPr>
          <w:b/>
          <w:sz w:val="20"/>
          <w:szCs w:val="20"/>
        </w:rPr>
        <w:t xml:space="preserve">Rysunek GM-B-4.   Wyrównana część pasa drogi startowej z podejściem precyzyjnym </w:t>
      </w:r>
      <w:r w:rsidRPr="005D070C">
        <w:rPr>
          <w:b/>
          <w:sz w:val="20"/>
          <w:szCs w:val="20"/>
        </w:rPr>
        <w:br/>
        <w:t xml:space="preserve">o cyfrze kodu 3 lub 4 </w:t>
      </w:r>
    </w:p>
    <w:p w14:paraId="4992FBA7" w14:textId="7EC58A94" w:rsidR="00DB5B54" w:rsidRPr="009E064B" w:rsidRDefault="00DB5B54" w:rsidP="00DB5B54">
      <w:pPr>
        <w:tabs>
          <w:tab w:val="left" w:pos="567"/>
        </w:tabs>
        <w:ind w:left="567" w:hanging="567"/>
        <w:rPr>
          <w:rFonts w:cs="Times New Roman"/>
          <w:szCs w:val="20"/>
        </w:rPr>
      </w:pPr>
      <w:r w:rsidRPr="009E064B">
        <w:rPr>
          <w:rFonts w:cs="Times New Roman"/>
          <w:szCs w:val="20"/>
        </w:rPr>
        <w:t>(b)</w:t>
      </w:r>
      <w:r w:rsidRPr="009E064B">
        <w:rPr>
          <w:rFonts w:cs="Times New Roman"/>
          <w:szCs w:val="20"/>
        </w:rPr>
        <w:tab/>
        <w:t>Jeżeli powierzchnie w lit. (a) powyżej mają nawierzchnię</w:t>
      </w:r>
      <w:r w:rsidR="00E21CD4">
        <w:rPr>
          <w:rFonts w:cs="Times New Roman"/>
          <w:szCs w:val="20"/>
        </w:rPr>
        <w:t xml:space="preserve"> sztuczną, to powinny one być w </w:t>
      </w:r>
      <w:r w:rsidRPr="009E064B">
        <w:rPr>
          <w:rFonts w:cs="Times New Roman"/>
          <w:szCs w:val="20"/>
        </w:rPr>
        <w:t>stanie wytrzymać okazjonalny przejazd samolotu krytycznego, dla którego nawierzchnia sztuczna drogi startowej została zaprojektowana.</w:t>
      </w:r>
    </w:p>
    <w:p w14:paraId="26CD0C96" w14:textId="77777777" w:rsidR="00DB5B54" w:rsidRPr="009E064B" w:rsidRDefault="00DB5B54" w:rsidP="00DB5B54">
      <w:pPr>
        <w:tabs>
          <w:tab w:val="left" w:pos="567"/>
        </w:tabs>
        <w:ind w:left="567" w:hanging="567"/>
        <w:rPr>
          <w:rFonts w:cs="Times New Roman"/>
          <w:szCs w:val="20"/>
        </w:rPr>
      </w:pPr>
      <w:r w:rsidRPr="009E064B">
        <w:rPr>
          <w:rFonts w:cs="Times New Roman"/>
          <w:szCs w:val="20"/>
        </w:rPr>
        <w:t>(c)</w:t>
      </w:r>
      <w:r w:rsidRPr="009E064B">
        <w:rPr>
          <w:rFonts w:cs="Times New Roman"/>
          <w:szCs w:val="20"/>
        </w:rPr>
        <w:tab/>
        <w:t xml:space="preserve">Obszar przylegający do końca tej drogi startowej może być określany jako strefa podmuchów </w:t>
      </w:r>
      <w:r w:rsidRPr="009E064B">
        <w:rPr>
          <w:rFonts w:cs="Times New Roman"/>
          <w:i/>
          <w:szCs w:val="20"/>
        </w:rPr>
        <w:t>(blast pad)</w:t>
      </w:r>
      <w:r w:rsidRPr="009E064B">
        <w:rPr>
          <w:rFonts w:cs="Times New Roman"/>
          <w:szCs w:val="20"/>
        </w:rPr>
        <w:t>.</w:t>
      </w:r>
    </w:p>
    <w:p w14:paraId="22929C38" w14:textId="2368A4F2" w:rsidR="00DB5B54" w:rsidRPr="009E064B" w:rsidRDefault="00DB5B54" w:rsidP="00E21CD4">
      <w:pPr>
        <w:tabs>
          <w:tab w:val="left" w:pos="567"/>
        </w:tabs>
        <w:autoSpaceDE w:val="0"/>
        <w:autoSpaceDN w:val="0"/>
        <w:adjustRightInd w:val="0"/>
        <w:ind w:left="567" w:hanging="567"/>
        <w:rPr>
          <w:rFonts w:cs="Times New Roman"/>
          <w:szCs w:val="20"/>
        </w:rPr>
      </w:pPr>
      <w:r w:rsidRPr="009E064B">
        <w:rPr>
          <w:rFonts w:cs="Times New Roman"/>
          <w:szCs w:val="20"/>
        </w:rPr>
        <w:t>(d)</w:t>
      </w:r>
      <w:r w:rsidRPr="009E064B">
        <w:rPr>
          <w:rFonts w:cs="Times New Roman"/>
          <w:szCs w:val="20"/>
        </w:rPr>
        <w:tab/>
        <w:t>Dodatkowe wytyczne dotyczące wyrównania są podane w „</w:t>
      </w:r>
      <w:r w:rsidRPr="009E064B">
        <w:rPr>
          <w:rFonts w:cs="Times New Roman"/>
          <w:i/>
          <w:szCs w:val="20"/>
        </w:rPr>
        <w:t>Podręczniku projektowania lotnisk”</w:t>
      </w:r>
      <w:r w:rsidRPr="009E064B">
        <w:rPr>
          <w:rFonts w:cs="Times New Roman"/>
          <w:szCs w:val="20"/>
        </w:rPr>
        <w:t xml:space="preserve"> ICAO Doc 9157, Część 1 „</w:t>
      </w:r>
      <w:r w:rsidRPr="009E064B">
        <w:rPr>
          <w:rFonts w:cs="Times New Roman"/>
          <w:i/>
          <w:szCs w:val="20"/>
        </w:rPr>
        <w:t>Drogi startowe</w:t>
      </w:r>
      <w:r w:rsidRPr="009E064B">
        <w:rPr>
          <w:rFonts w:cs="Times New Roman"/>
          <w:szCs w:val="20"/>
        </w:rPr>
        <w:t>”.</w:t>
      </w:r>
    </w:p>
    <w:p w14:paraId="2628DDD9" w14:textId="1F05770F" w:rsidR="002A2A54" w:rsidRPr="005D070C" w:rsidRDefault="002A2A54" w:rsidP="002A2A54">
      <w:pPr>
        <w:tabs>
          <w:tab w:val="left" w:pos="567"/>
        </w:tabs>
        <w:ind w:left="567" w:hanging="567"/>
        <w:rPr>
          <w:rFonts w:cs="Times New Roman"/>
          <w:color w:val="000000" w:themeColor="text1"/>
          <w:szCs w:val="20"/>
        </w:rPr>
      </w:pPr>
      <w:r w:rsidRPr="005D070C">
        <w:rPr>
          <w:rFonts w:cs="Times New Roman"/>
          <w:color w:val="000000" w:themeColor="text1"/>
          <w:szCs w:val="20"/>
        </w:rPr>
        <w:t xml:space="preserve">(e) </w:t>
      </w:r>
      <w:r w:rsidRPr="005D070C">
        <w:rPr>
          <w:rFonts w:cs="Times New Roman"/>
          <w:color w:val="000000" w:themeColor="text1"/>
          <w:szCs w:val="20"/>
        </w:rPr>
        <w:tab/>
        <w:t>Strefa zapewniana w celu zmniejszenia erozji powstałej wskutek podmuchu od silników odrzutowych oraz strumienia od śmigieł samolotu może być określana, jako strefa podmuchów.</w:t>
      </w:r>
    </w:p>
    <w:p w14:paraId="22DF4AF3" w14:textId="6E88EB20" w:rsidR="002A2A54" w:rsidRPr="005D070C" w:rsidRDefault="002A2A54" w:rsidP="00B06A9A">
      <w:pPr>
        <w:tabs>
          <w:tab w:val="left" w:pos="567"/>
        </w:tabs>
        <w:ind w:left="567" w:hanging="567"/>
        <w:rPr>
          <w:rFonts w:cs="Times New Roman"/>
          <w:color w:val="000000" w:themeColor="text1"/>
          <w:szCs w:val="20"/>
        </w:rPr>
      </w:pPr>
      <w:r w:rsidRPr="005D070C">
        <w:rPr>
          <w:rFonts w:cs="Times New Roman"/>
          <w:color w:val="000000" w:themeColor="text1"/>
          <w:szCs w:val="20"/>
        </w:rPr>
        <w:t xml:space="preserve">(f) </w:t>
      </w:r>
      <w:r w:rsidRPr="005D070C">
        <w:rPr>
          <w:rFonts w:cs="Times New Roman"/>
          <w:color w:val="000000" w:themeColor="text1"/>
          <w:szCs w:val="20"/>
        </w:rPr>
        <w:tab/>
        <w:t xml:space="preserve">Wytyczne w zakresie ochrony przed podmuchem </w:t>
      </w:r>
      <w:r w:rsidR="0006132E" w:rsidRPr="005D070C">
        <w:rPr>
          <w:rFonts w:cs="Times New Roman"/>
          <w:color w:val="000000" w:themeColor="text1"/>
          <w:szCs w:val="20"/>
        </w:rPr>
        <w:t>od silników odrzutowych znajdują</w:t>
      </w:r>
      <w:r w:rsidRPr="005D070C">
        <w:rPr>
          <w:rFonts w:cs="Times New Roman"/>
          <w:color w:val="000000" w:themeColor="text1"/>
          <w:szCs w:val="20"/>
        </w:rPr>
        <w:t xml:space="preserve"> się w „</w:t>
      </w:r>
      <w:r w:rsidRPr="005D070C">
        <w:rPr>
          <w:rFonts w:cs="Times New Roman"/>
          <w:i/>
          <w:color w:val="000000" w:themeColor="text1"/>
          <w:szCs w:val="20"/>
        </w:rPr>
        <w:t>Podręczniku projektowania lotnisk</w:t>
      </w:r>
      <w:r w:rsidRPr="005D070C">
        <w:rPr>
          <w:rFonts w:cs="Times New Roman"/>
          <w:color w:val="000000" w:themeColor="text1"/>
          <w:szCs w:val="20"/>
        </w:rPr>
        <w:t>” (</w:t>
      </w:r>
      <w:r w:rsidR="009376BB" w:rsidRPr="005D070C">
        <w:rPr>
          <w:rFonts w:cs="Times New Roman"/>
          <w:color w:val="000000" w:themeColor="text1"/>
          <w:szCs w:val="20"/>
        </w:rPr>
        <w:t xml:space="preserve">ICAO </w:t>
      </w:r>
      <w:r w:rsidRPr="005D070C">
        <w:rPr>
          <w:rFonts w:cs="Times New Roman"/>
          <w:color w:val="000000" w:themeColor="text1"/>
          <w:szCs w:val="20"/>
        </w:rPr>
        <w:t>Doc 9157), Część 2.</w:t>
      </w:r>
    </w:p>
    <w:p w14:paraId="74C4BFAA" w14:textId="1C158568" w:rsidR="001A44D6" w:rsidRPr="009E064B" w:rsidRDefault="001A44D6" w:rsidP="0006132E">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3F7C3B8" w14:textId="77777777" w:rsidR="003E7E52" w:rsidRPr="009E064B" w:rsidRDefault="003E7E52" w:rsidP="0006132E">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AF9D851" w14:textId="72631434" w:rsidR="00C36D76" w:rsidRPr="009E064B" w:rsidRDefault="00210EDA" w:rsidP="00B06A9A">
      <w:pPr>
        <w:pStyle w:val="Nagwek4"/>
        <w:rPr>
          <w:color w:val="auto"/>
        </w:rPr>
      </w:pPr>
      <w:bookmarkStart w:id="960" w:name="_Toc12532979"/>
      <w:r w:rsidRPr="009E064B">
        <w:rPr>
          <w:color w:val="auto"/>
        </w:rPr>
        <w:t xml:space="preserve">CS ADR-DSN.B.180     </w:t>
      </w:r>
      <w:r w:rsidR="00C36D76" w:rsidRPr="009E064B">
        <w:rPr>
          <w:color w:val="auto"/>
        </w:rPr>
        <w:t>Nachylenie podłużne pasa drogi startowej</w:t>
      </w:r>
      <w:bookmarkEnd w:id="959"/>
      <w:bookmarkEnd w:id="960"/>
    </w:p>
    <w:p w14:paraId="3E0F99B9" w14:textId="26764037"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DEC6322" w14:textId="44ECD2C3" w:rsidR="00C36D76" w:rsidRPr="009E064B" w:rsidRDefault="00C36D76" w:rsidP="00210ED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szCs w:val="20"/>
        </w:rPr>
        <w:t>Cel</w:t>
      </w:r>
      <w:r w:rsidRPr="009E064B">
        <w:rPr>
          <w:rFonts w:cs="TimesNewRomanPS-ItalicMT"/>
          <w:iCs/>
          <w:szCs w:val="20"/>
        </w:rPr>
        <w:t>e</w:t>
      </w:r>
      <w:r w:rsidRPr="009E064B">
        <w:rPr>
          <w:szCs w:val="20"/>
        </w:rPr>
        <w:t>m bezpieczeństwa nachylenia podłużnego pasa drogi startowej jest zdefiniowanie maksymalnych wartości nachylenia, które nie powinny przeszkadzać w bezpiecznym użytkowaniu drogi startowej przez statki powietrzne.</w:t>
      </w:r>
    </w:p>
    <w:p w14:paraId="10A3E2AD"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szCs w:val="20"/>
        </w:rPr>
        <w:t>Nachylenie</w:t>
      </w:r>
      <w:r w:rsidRPr="009E064B">
        <w:rPr>
          <w:rFonts w:cs="TimesNewRomanPS-ItalicMT"/>
          <w:iCs/>
          <w:szCs w:val="20"/>
        </w:rPr>
        <w:t xml:space="preserve"> podłużne tej części pasa drogi startowej, która powinna być wyrównana, nie powinno przekraczać:</w:t>
      </w:r>
    </w:p>
    <w:p w14:paraId="7A3BB9B9"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1.5 %, jeżeli cyfra kodu wynosi 4;</w:t>
      </w:r>
    </w:p>
    <w:p w14:paraId="6050D4DB"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1.75 %, jeżeli cyfra kodu wynosi 3; oraz</w:t>
      </w:r>
    </w:p>
    <w:p w14:paraId="1802D012"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2 %, jeżeli cyfra kodu wynosi 1 lub 2.</w:t>
      </w:r>
    </w:p>
    <w:p w14:paraId="3EF4F557"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Na tej części pasa drogi startowej, która powinna być wyrównana, zmiany nachylenia powinny być, o ile to możliwe, stopniowane i nie powinny występować żadne gwałtowne zmiany i nagłe odwrócenia nachylenia.</w:t>
      </w:r>
    </w:p>
    <w:p w14:paraId="5674EA4A" w14:textId="06271770" w:rsidR="001A44D6" w:rsidRPr="009E064B" w:rsidRDefault="00210EDA" w:rsidP="00133B99">
      <w:pPr>
        <w:pStyle w:val="Nagwek6"/>
      </w:pPr>
      <w:bookmarkStart w:id="961" w:name="_Toc401058923"/>
      <w:bookmarkStart w:id="962" w:name="_Toc482886789"/>
      <w:bookmarkStart w:id="963" w:name="_Toc12532980"/>
      <w:r w:rsidRPr="009E064B">
        <w:t xml:space="preserve">GM1 ADR-DSN.B.180     </w:t>
      </w:r>
      <w:r w:rsidR="001A44D6" w:rsidRPr="009E064B">
        <w:t>Nachylenia podłużne pasa drogi startowej</w:t>
      </w:r>
      <w:bookmarkEnd w:id="961"/>
      <w:bookmarkEnd w:id="962"/>
      <w:bookmarkEnd w:id="963"/>
    </w:p>
    <w:p w14:paraId="1524C39D" w14:textId="350A3D74"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030097A" w14:textId="4FAC58C0" w:rsidR="0084552B" w:rsidRPr="005D070C" w:rsidRDefault="0084552B" w:rsidP="0084552B">
      <w:pPr>
        <w:tabs>
          <w:tab w:val="left" w:pos="567"/>
        </w:tabs>
        <w:autoSpaceDE w:val="0"/>
        <w:autoSpaceDN w:val="0"/>
        <w:adjustRightInd w:val="0"/>
        <w:ind w:left="567" w:hanging="567"/>
        <w:rPr>
          <w:rFonts w:cs="TimesNewRomanPS-ItalicMT"/>
          <w:iCs/>
          <w:color w:val="000000" w:themeColor="text1"/>
          <w:szCs w:val="20"/>
        </w:rPr>
      </w:pPr>
      <w:r w:rsidRPr="005D070C">
        <w:rPr>
          <w:rFonts w:cs="TimesNewRomanPS-ItalicMT"/>
          <w:iCs/>
          <w:color w:val="000000" w:themeColor="text1"/>
          <w:szCs w:val="20"/>
        </w:rPr>
        <w:t xml:space="preserve">(a) </w:t>
      </w:r>
      <w:r w:rsidRPr="005D070C">
        <w:rPr>
          <w:rFonts w:cs="TimesNewRomanPS-ItalicMT"/>
          <w:iCs/>
          <w:color w:val="000000" w:themeColor="text1"/>
          <w:szCs w:val="20"/>
        </w:rPr>
        <w:tab/>
        <w:t>Jeśli jest to konieczne dla zapewniania właściwego odwodnienia, dopuszcza się możliwość, aby zbiornik gromadzący wodę deszczową (burzową) na otwartym powietrzu znajdował się na niewyrównanej części pasa drogi startowej i był zlokalizowany możliwie daleko od drogi startowej.</w:t>
      </w:r>
    </w:p>
    <w:p w14:paraId="3DE86A4F" w14:textId="77777777" w:rsidR="0084552B" w:rsidRPr="005D070C" w:rsidRDefault="0084552B" w:rsidP="0084552B">
      <w:pPr>
        <w:tabs>
          <w:tab w:val="left" w:pos="567"/>
        </w:tabs>
        <w:autoSpaceDE w:val="0"/>
        <w:autoSpaceDN w:val="0"/>
        <w:adjustRightInd w:val="0"/>
        <w:spacing w:after="0"/>
        <w:ind w:left="567" w:hanging="567"/>
        <w:rPr>
          <w:rFonts w:cs="TimesNewRomanPS-ItalicMT"/>
          <w:iCs/>
          <w:color w:val="000000" w:themeColor="text1"/>
          <w:szCs w:val="20"/>
        </w:rPr>
      </w:pPr>
      <w:r w:rsidRPr="005D070C">
        <w:rPr>
          <w:rFonts w:cs="TimesNewRomanPS-ItalicMT"/>
          <w:iCs/>
          <w:color w:val="000000" w:themeColor="text1"/>
          <w:szCs w:val="20"/>
        </w:rPr>
        <w:t xml:space="preserve">(b) </w:t>
      </w:r>
      <w:r w:rsidRPr="005D070C">
        <w:rPr>
          <w:rFonts w:cs="TimesNewRomanPS-ItalicMT"/>
          <w:iCs/>
          <w:color w:val="000000" w:themeColor="text1"/>
          <w:szCs w:val="20"/>
        </w:rPr>
        <w:tab/>
        <w:t>Lotniskowe procedury służb ratowniczo gaśniczych (RFF) powinny brać od uwagę lokalizację zbiornika na wodę deszczowa na otwartym powietrzu, w obrębie niewyrównanej części pasa drogi startowej.</w:t>
      </w:r>
    </w:p>
    <w:p w14:paraId="18431C23" w14:textId="77777777" w:rsidR="0084552B" w:rsidRPr="005D070C" w:rsidRDefault="0084552B" w:rsidP="0006132E">
      <w:pPr>
        <w:pStyle w:val="Tekstpodstawowy"/>
        <w:spacing w:before="120"/>
        <w:ind w:left="23" w:hanging="23"/>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p>
    <w:p w14:paraId="7C2531A4" w14:textId="6E6B25EE" w:rsidR="00C36D76" w:rsidRPr="009E064B" w:rsidRDefault="00210EDA" w:rsidP="00B06A9A">
      <w:pPr>
        <w:pStyle w:val="Nagwek4"/>
        <w:rPr>
          <w:color w:val="auto"/>
        </w:rPr>
      </w:pPr>
      <w:bookmarkStart w:id="964" w:name="_Toc482886566"/>
      <w:bookmarkStart w:id="965" w:name="_Toc12532981"/>
      <w:r w:rsidRPr="009E064B">
        <w:rPr>
          <w:color w:val="auto"/>
        </w:rPr>
        <w:t xml:space="preserve">CS ADR-DSN.B.185     </w:t>
      </w:r>
      <w:r w:rsidR="00C36D76" w:rsidRPr="009E064B">
        <w:rPr>
          <w:color w:val="auto"/>
        </w:rPr>
        <w:t>Nachylenie poprzeczne pasa drogi startowej</w:t>
      </w:r>
      <w:bookmarkEnd w:id="964"/>
      <w:bookmarkEnd w:id="965"/>
    </w:p>
    <w:p w14:paraId="4693FC21" w14:textId="1E311CB3"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9EE4C8D" w14:textId="5357D4E0" w:rsidR="00C36D76" w:rsidRPr="009E064B" w:rsidRDefault="00C36D76" w:rsidP="00210ED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Nachylenia poprzeczne na tej części pasa drogi startowej, która ma być wyrównana, powinny być odpowiednie, aby zapobiegać gromadzeniu się wody na jej powierzchni, jednak nie powinny przekraczać:</w:t>
      </w:r>
    </w:p>
    <w:p w14:paraId="05FB8D5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2,5%, jeżeli cyfra kodu wynosi 3 lub 4; oraz</w:t>
      </w:r>
    </w:p>
    <w:p w14:paraId="1E69634D"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3%, jeżeli cyfra kodu wynosi 1 lub 2;</w:t>
      </w:r>
    </w:p>
    <w:p w14:paraId="4C1332A6" w14:textId="4B5AB686" w:rsidR="00C36D76" w:rsidRPr="009E064B" w:rsidRDefault="00C36D76" w:rsidP="00B06A9A">
      <w:pPr>
        <w:ind w:left="567"/>
      </w:pPr>
      <w:r w:rsidRPr="009E064B">
        <w:t xml:space="preserve">przy czym, dla ułatwienia odpływu wody, na pierwszych 3 metrach na zewnątrz drogi startowej, nachylenie pobocza lub zabezpieczenia przerwanego startu </w:t>
      </w:r>
      <w:r w:rsidRPr="009E064B">
        <w:rPr>
          <w:i/>
        </w:rPr>
        <w:t>(stopway</w:t>
      </w:r>
      <w:r w:rsidRPr="009E064B">
        <w:t>) po</w:t>
      </w:r>
      <w:r w:rsidR="009A3FFE" w:rsidRPr="009E064B">
        <w:t>winno być ujemne i </w:t>
      </w:r>
      <w:r w:rsidRPr="009E064B">
        <w:t>może osiągnąć do 5%.</w:t>
      </w:r>
    </w:p>
    <w:p w14:paraId="393A1BE1" w14:textId="2BD438A1" w:rsidR="005D070C" w:rsidRDefault="00C36D76" w:rsidP="005D070C">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Nachylenie poprzeczne na całej części pasa drogi startowej, która nie podlega wyrównaniu, nie powinno przekraczać nachylenia 5% w górę mierzonego od drogi startowej.</w:t>
      </w:r>
      <w:r w:rsidR="005D070C">
        <w:rPr>
          <w:rFonts w:cs="TimesNewRomanPS-ItalicMT"/>
          <w:iCs/>
          <w:szCs w:val="20"/>
        </w:rPr>
        <w:t xml:space="preserve"> </w:t>
      </w:r>
      <w:r w:rsidR="005D070C">
        <w:rPr>
          <w:rFonts w:cs="TimesNewRomanPS-ItalicMT"/>
          <w:iCs/>
          <w:szCs w:val="20"/>
        </w:rPr>
        <w:br w:type="page"/>
      </w:r>
    </w:p>
    <w:p w14:paraId="48D4B4CA" w14:textId="552A5214" w:rsidR="001A44D6" w:rsidRPr="009E064B" w:rsidRDefault="00210EDA" w:rsidP="00133B99">
      <w:pPr>
        <w:pStyle w:val="Nagwek6"/>
      </w:pPr>
      <w:bookmarkStart w:id="966" w:name="_Toc401058924"/>
      <w:bookmarkStart w:id="967" w:name="_Toc482886790"/>
      <w:bookmarkStart w:id="968" w:name="_Toc12532982"/>
      <w:bookmarkStart w:id="969" w:name="_Toc482886567"/>
      <w:r w:rsidRPr="009E064B">
        <w:t xml:space="preserve">GM1 ADR-DSN.B.185     </w:t>
      </w:r>
      <w:r w:rsidR="001A44D6" w:rsidRPr="009E064B">
        <w:t xml:space="preserve">Nachylenia poprzeczne pasa </w:t>
      </w:r>
      <w:bookmarkEnd w:id="966"/>
      <w:r w:rsidR="001A44D6" w:rsidRPr="009E064B">
        <w:t>drogi startowej</w:t>
      </w:r>
      <w:bookmarkEnd w:id="967"/>
      <w:bookmarkEnd w:id="968"/>
    </w:p>
    <w:p w14:paraId="404BB063" w14:textId="478B7E48" w:rsidR="00210EDA" w:rsidRPr="009E064B" w:rsidRDefault="001F74A1" w:rsidP="00210EDA">
      <w:pPr>
        <w:pStyle w:val="Tekstpodstawowy"/>
        <w:spacing w:after="80"/>
        <w:ind w:left="23" w:firstLine="0"/>
        <w:jc w:val="right"/>
        <w:rPr>
          <w:rFonts w:asciiTheme="minorHAnsi" w:hAnsiTheme="minorHAnsi" w:cstheme="minorHAnsi"/>
          <w:i/>
          <w:color w:val="1A171C"/>
          <w:sz w:val="16"/>
          <w:szCs w:val="20"/>
        </w:rPr>
      </w:pPr>
      <w:r>
        <w:rPr>
          <w:rFonts w:asciiTheme="minorHAnsi" w:hAnsiTheme="minorHAnsi" w:cstheme="minorHAnsi"/>
          <w:i/>
          <w:color w:val="1A171C"/>
          <w:sz w:val="16"/>
          <w:szCs w:val="20"/>
        </w:rPr>
        <w:t>Decyzja ED 2014/013/R</w:t>
      </w:r>
    </w:p>
    <w:p w14:paraId="7B355193" w14:textId="77777777" w:rsidR="0084552B" w:rsidRPr="009E064B" w:rsidRDefault="0084552B" w:rsidP="0084552B">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66E834BA" w14:textId="43342E49" w:rsidR="00C36D76" w:rsidRPr="009E064B" w:rsidRDefault="00210EDA" w:rsidP="00B06A9A">
      <w:pPr>
        <w:pStyle w:val="Nagwek4"/>
        <w:rPr>
          <w:color w:val="auto"/>
        </w:rPr>
      </w:pPr>
      <w:bookmarkStart w:id="970" w:name="_Toc12532983"/>
      <w:r w:rsidRPr="009E064B">
        <w:rPr>
          <w:color w:val="auto"/>
        </w:rPr>
        <w:t xml:space="preserve">CS ADR-DSN.B.190     </w:t>
      </w:r>
      <w:r w:rsidR="00C36D76" w:rsidRPr="009E064B">
        <w:rPr>
          <w:color w:val="auto"/>
        </w:rPr>
        <w:t>Nośność pasa drogi startowej</w:t>
      </w:r>
      <w:bookmarkEnd w:id="969"/>
      <w:bookmarkEnd w:id="970"/>
    </w:p>
    <w:p w14:paraId="3DF2C561" w14:textId="3093DEC9"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53BB1B6" w14:textId="274D034D" w:rsidR="00C36D76" w:rsidRPr="009E064B" w:rsidRDefault="00C36D76" w:rsidP="00210ED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Ta część pa</w:t>
      </w:r>
      <w:r w:rsidR="00210EDA" w:rsidRPr="009E064B">
        <w:rPr>
          <w:rFonts w:cs="TimesNewRomanPS-ItalicMT"/>
          <w:iCs/>
          <w:szCs w:val="20"/>
        </w:rPr>
        <w:t>sa przyrządowej drogi startowej</w:t>
      </w:r>
      <w:r w:rsidRPr="009E064B">
        <w:rPr>
          <w:rFonts w:cs="TimesNewRomanPS-ItalicMT"/>
          <w:iCs/>
          <w:szCs w:val="20"/>
        </w:rPr>
        <w:t xml:space="preserve"> w odległości</w:t>
      </w:r>
      <w:r w:rsidR="00210EDA" w:rsidRPr="009E064B">
        <w:rPr>
          <w:rFonts w:cs="TimesNewRomanPS-ItalicMT"/>
          <w:iCs/>
          <w:szCs w:val="20"/>
        </w:rPr>
        <w:t>,</w:t>
      </w:r>
      <w:r w:rsidRPr="009E064B">
        <w:rPr>
          <w:rFonts w:cs="TimesNewRomanPS-ItalicMT"/>
          <w:iCs/>
          <w:szCs w:val="20"/>
        </w:rPr>
        <w:t xml:space="preserve"> co najmniej:</w:t>
      </w:r>
    </w:p>
    <w:p w14:paraId="0E1D93C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75 m, jeżeli cyfrą kodu jest 3 lub 4; oraz</w:t>
      </w:r>
    </w:p>
    <w:p w14:paraId="1FBAC1C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40 m, jeżeli cyfrą kodu jest 1 lub 2;</w:t>
      </w:r>
    </w:p>
    <w:p w14:paraId="5AA81D78" w14:textId="77777777" w:rsidR="00C36D76" w:rsidRPr="009E064B" w:rsidRDefault="00C36D76" w:rsidP="00B06A9A">
      <w:pPr>
        <w:ind w:left="567"/>
      </w:pPr>
      <w:r w:rsidRPr="009E064B">
        <w:t>od linii środkowej drogi startowej lub jej przedłużenia, powinna być przystosowana lub skonstruowana w taki sposób, aby dla statków powietrznych, dla których dana droga startowa jest przeznaczona, zmniejszyć do minimum zagrożenie wywołane przez różnice w nośności nawierzchni w przypadku, gdy statek powietrzny znajdzie się poza drogą startową.</w:t>
      </w:r>
    </w:p>
    <w:p w14:paraId="7E7F774E"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Ta część pasa drogi startowej, na której znajduje się nieprzyrządowa droga startowa, w odległości co najmniej:</w:t>
      </w:r>
    </w:p>
    <w:p w14:paraId="7B10EF0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75 m, jeżeli cyfrą kodu jest 3 lub 4;</w:t>
      </w:r>
    </w:p>
    <w:p w14:paraId="53AFF8E0"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40 m, jeżeli cyfrą kodu jest 2; oraz</w:t>
      </w:r>
    </w:p>
    <w:p w14:paraId="20EB8EE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30 m, jeżeli cyfrą kodu jest 1;</w:t>
      </w:r>
    </w:p>
    <w:p w14:paraId="1E06F8D5" w14:textId="62580E6C" w:rsidR="005D070C" w:rsidRDefault="00C36D76" w:rsidP="00CB5D1B">
      <w:pPr>
        <w:spacing w:after="0"/>
        <w:ind w:left="567"/>
      </w:pPr>
      <w:r w:rsidRPr="009E064B">
        <w:t>od linii środkowej drogi startowej lub jej przedłużenia, powinna być przystosowana lub skonstruowana w taki sposób, aby dla statków powietrznych, dla których dana droga startowa jest przeznaczona, zmniejszyć do minimum zagrożenie wywołane przez różnice w nośności nawierzchni w przypadku, gdy statek powietrzny znajdzie się poza drogą startową.</w:t>
      </w:r>
      <w:r w:rsidR="00CB5D1B" w:rsidRPr="009E064B">
        <w:t xml:space="preserve"> </w:t>
      </w:r>
    </w:p>
    <w:p w14:paraId="3A8FB500" w14:textId="77777777" w:rsidR="001A44D6" w:rsidRPr="009E064B" w:rsidRDefault="001A44D6" w:rsidP="00133B99">
      <w:pPr>
        <w:pStyle w:val="Nagwek6"/>
      </w:pPr>
      <w:bookmarkStart w:id="971" w:name="_GM1_ADR-DSN.B.190_"/>
      <w:bookmarkStart w:id="972" w:name="_Toc482886791"/>
      <w:bookmarkStart w:id="973" w:name="_Toc12532984"/>
      <w:bookmarkStart w:id="974" w:name="_Toc482886568"/>
      <w:bookmarkEnd w:id="971"/>
      <w:r w:rsidRPr="009E064B">
        <w:t xml:space="preserve">GM1 ADR-DSN.B.190 </w:t>
      </w:r>
      <w:r w:rsidR="00D05B14" w:rsidRPr="009E064B">
        <w:t xml:space="preserve">    </w:t>
      </w:r>
      <w:r w:rsidRPr="009E064B">
        <w:t>Nośność pasa drogi startowej</w:t>
      </w:r>
      <w:bookmarkEnd w:id="972"/>
      <w:bookmarkEnd w:id="973"/>
    </w:p>
    <w:p w14:paraId="361FA34F" w14:textId="10E170F9"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76C8CD29" w14:textId="77777777" w:rsidR="001A44D6" w:rsidRPr="009E064B" w:rsidRDefault="001A44D6" w:rsidP="00B06A9A">
      <w:pPr>
        <w:rPr>
          <w:rFonts w:cs="TimesNewRomanPS-BoldItalicMT"/>
          <w:bCs/>
          <w:iCs/>
          <w:szCs w:val="20"/>
        </w:rPr>
      </w:pPr>
      <w:r w:rsidRPr="009E064B">
        <w:rPr>
          <w:rFonts w:cs="TimesNewRomanPS-BoldItalicMT"/>
          <w:bCs/>
          <w:iCs/>
          <w:szCs w:val="20"/>
        </w:rPr>
        <w:t>Ponieważ wyrównana część pasa zapewniana jest w celu ograniczenia do minimum zagrożenia wykołowania statku powietrznego poza drogę startową, powinna ona posiadać wystarczającą wytrzymałość, w taki sposób, aby zapobiec uderzeniu przedniego koła podwozia do lądowania samolotu. Powierzchnia ta powinna być przygotowana w taki sposób, aby zapewnić opór statkowi powietrznemu, a poniżej tej powierzchni pas powinien posiadać wystarczającą nośność dla uniknięcia uszkodzenia statku powietrznego. Aby sprostać tym różnorodnym wymaganiom, w dalszej części przedstawiono wskazówki dotyczące przygotowania pasa. Uznaje się, że głębokość 15 cm stanowi głębokość, do której koło przednie może zagłębić się nie powodując uderzenia. Dlatego zaleca się, aby grunt na głębokości 15 cm poniżej pasa był przygotowany w taki sposób, aby zapewniać odpowiednią stabilność, potwierdzoną nośnością w postaci wartości kalifornijskiego wskaźnika nośności (CBR</w:t>
      </w:r>
      <w:r w:rsidRPr="009E064B">
        <w:rPr>
          <w:rStyle w:val="Odwoanieprzypisudolnego"/>
          <w:rFonts w:cs="TimesNewRomanPS-BoldItalicMT"/>
          <w:bCs/>
          <w:iCs/>
          <w:szCs w:val="20"/>
        </w:rPr>
        <w:footnoteReference w:id="43"/>
      </w:r>
      <w:r w:rsidRPr="009E064B">
        <w:rPr>
          <w:rFonts w:cs="TimesNewRomanPS-BoldItalicMT"/>
          <w:bCs/>
          <w:iCs/>
          <w:szCs w:val="20"/>
        </w:rPr>
        <w:t xml:space="preserve">) wynoszącej od 15 do 20. Stosuje się to, aby zapobiec uszkodzeniu przedniego koła podwozia do lądowania samolotu. Górna część 15 cm może mieć mniejszą nośność, co może ułatwić wyhamowanie statku powietrznego. Istnieją również inne metody badania gruntu. W przypadku zagłębienia większego niż 15 cm, maksymalne zagłębienie koła bez uderzenia powinno być sprawdzone przy użyciu innych metod badania gruntu. </w:t>
      </w:r>
    </w:p>
    <w:p w14:paraId="10739855" w14:textId="222C0283" w:rsidR="00754744"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DA7A0DD" w14:textId="4EFBC370" w:rsidR="00C36D76" w:rsidRPr="009E064B" w:rsidRDefault="00C36D76" w:rsidP="00D05B14">
      <w:pPr>
        <w:pStyle w:val="Nagwek4"/>
        <w:tabs>
          <w:tab w:val="clear" w:pos="2694"/>
          <w:tab w:val="left" w:pos="2552"/>
        </w:tabs>
        <w:ind w:left="2552" w:hanging="2552"/>
        <w:rPr>
          <w:color w:val="auto"/>
        </w:rPr>
      </w:pPr>
      <w:bookmarkStart w:id="975" w:name="_Toc12532985"/>
      <w:r w:rsidRPr="009E064B">
        <w:rPr>
          <w:color w:val="auto"/>
        </w:rPr>
        <w:t xml:space="preserve">CS ADR-DSN.B.191 </w:t>
      </w:r>
      <w:r w:rsidR="00D05B14" w:rsidRPr="009E064B">
        <w:rPr>
          <w:color w:val="auto"/>
        </w:rPr>
        <w:t xml:space="preserve">    </w:t>
      </w:r>
      <w:r w:rsidRPr="009E064B">
        <w:rPr>
          <w:color w:val="auto"/>
        </w:rPr>
        <w:t>Charakterystyka odwodnienia pola ruchu naziemnego i przylegających do niego obszarów</w:t>
      </w:r>
      <w:bookmarkEnd w:id="974"/>
      <w:bookmarkEnd w:id="975"/>
    </w:p>
    <w:p w14:paraId="62D309A9" w14:textId="6A4CADB5"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5268E41" w14:textId="77777777" w:rsidR="00C36D76" w:rsidRPr="009E064B" w:rsidRDefault="00C36D76" w:rsidP="00B06A9A">
      <w:pPr>
        <w:spacing w:after="0"/>
      </w:pPr>
      <w:r w:rsidRPr="009E064B">
        <w:t>Celem bezpieczeństwa systemów odwadniających pola ruchu naziemnego i przylegających do niego obszarów jest ograniczenie głębokości wody na powierzchni poprzez odprowadzanie wód powierzchniowych poza drogę startową możliwie najkrótszą drogą, a zwłaszcza z obszaru kolein.</w:t>
      </w:r>
    </w:p>
    <w:p w14:paraId="432C491A"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4FD3D18" w14:textId="6C56BF16" w:rsidR="001A44D6" w:rsidRPr="009E064B" w:rsidRDefault="00D05B14" w:rsidP="00133B99">
      <w:pPr>
        <w:pStyle w:val="Nagwek6"/>
      </w:pPr>
      <w:bookmarkStart w:id="976" w:name="_GM1_ADR-DSN.B.191_"/>
      <w:bookmarkStart w:id="977" w:name="_Toc482886792"/>
      <w:bookmarkStart w:id="978" w:name="_Toc12532986"/>
      <w:bookmarkEnd w:id="976"/>
      <w:r w:rsidRPr="009E064B">
        <w:t xml:space="preserve">GM1 ADR-DSN.B.191     </w:t>
      </w:r>
      <w:r w:rsidR="001A44D6" w:rsidRPr="009E064B">
        <w:t>Charakterystyka odwodnienia pola ruchu naziemnego i przylegających do niego obszarów</w:t>
      </w:r>
      <w:bookmarkEnd w:id="977"/>
      <w:bookmarkEnd w:id="978"/>
    </w:p>
    <w:p w14:paraId="521D829B" w14:textId="45AC4614"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12859B0" w14:textId="77777777" w:rsidR="001A44D6" w:rsidRPr="009E064B" w:rsidRDefault="001A44D6" w:rsidP="00B06A9A">
      <w:pPr>
        <w:tabs>
          <w:tab w:val="left" w:pos="567"/>
        </w:tabs>
        <w:ind w:left="567" w:hanging="567"/>
        <w:rPr>
          <w:rFonts w:cs="Times New Roman"/>
          <w:szCs w:val="20"/>
        </w:rPr>
      </w:pPr>
      <w:r w:rsidRPr="009E064B">
        <w:rPr>
          <w:rFonts w:cs="Times New Roman"/>
          <w:szCs w:val="20"/>
        </w:rPr>
        <w:t>(a)</w:t>
      </w:r>
      <w:r w:rsidRPr="009E064B">
        <w:rPr>
          <w:rFonts w:cs="Times New Roman"/>
          <w:szCs w:val="20"/>
        </w:rPr>
        <w:tab/>
        <w:t>Szybkie odprowadzanie wody z powierzchni stanowi główny czynnik bezpieczeństwa uwzględniany na etapie projektowania, budowy i utrzymania pola ruchu naziemnego i obszarów przylegających.</w:t>
      </w:r>
    </w:p>
    <w:p w14:paraId="14058590" w14:textId="77777777" w:rsidR="001A44D6" w:rsidRPr="009E064B" w:rsidRDefault="001A44D6" w:rsidP="00B06A9A">
      <w:pPr>
        <w:tabs>
          <w:tab w:val="left" w:pos="567"/>
        </w:tabs>
        <w:ind w:left="567" w:hanging="567"/>
        <w:rPr>
          <w:szCs w:val="20"/>
        </w:rPr>
      </w:pPr>
      <w:r w:rsidRPr="009E064B">
        <w:rPr>
          <w:szCs w:val="20"/>
        </w:rPr>
        <w:t>(b)</w:t>
      </w:r>
      <w:r w:rsidRPr="009E064B">
        <w:rPr>
          <w:szCs w:val="20"/>
        </w:rPr>
        <w:tab/>
      </w:r>
      <w:r w:rsidRPr="009E064B">
        <w:rPr>
          <w:rFonts w:cs="Times New Roman"/>
          <w:szCs w:val="20"/>
        </w:rPr>
        <w:t>Rozróżnia</w:t>
      </w:r>
      <w:r w:rsidRPr="009E064B">
        <w:rPr>
          <w:szCs w:val="20"/>
        </w:rPr>
        <w:t xml:space="preserve"> się dwa oddzielne procesy odprowadzania wody: </w:t>
      </w:r>
    </w:p>
    <w:p w14:paraId="32E1A9DF" w14:textId="77777777" w:rsidR="001A44D6" w:rsidRPr="009E064B" w:rsidRDefault="001A44D6" w:rsidP="00B06A9A">
      <w:pPr>
        <w:tabs>
          <w:tab w:val="left" w:pos="993"/>
        </w:tabs>
        <w:ind w:left="1134" w:hanging="567"/>
        <w:rPr>
          <w:rFonts w:cs="Times New Roman"/>
          <w:szCs w:val="20"/>
        </w:rPr>
      </w:pPr>
      <w:r w:rsidRPr="009E064B">
        <w:rPr>
          <w:rFonts w:cs="Times New Roman"/>
          <w:szCs w:val="20"/>
        </w:rPr>
        <w:t>(1)</w:t>
      </w:r>
      <w:r w:rsidRPr="009E064B">
        <w:rPr>
          <w:rFonts w:cs="Times New Roman"/>
          <w:szCs w:val="20"/>
        </w:rPr>
        <w:tab/>
      </w:r>
      <w:r w:rsidRPr="009E064B">
        <w:rPr>
          <w:rFonts w:cs="Times New Roman"/>
          <w:szCs w:val="20"/>
        </w:rPr>
        <w:tab/>
        <w:t>naturalne odprowadzanie wody powierzchniowej poczynając od górnej części nawierzchni do osiągnięcia miejsca docelowego takiego jak rzeki lub inne zbiorniki wodne; oraz</w:t>
      </w:r>
    </w:p>
    <w:p w14:paraId="163EB192" w14:textId="77777777" w:rsidR="001A44D6" w:rsidRPr="009E064B" w:rsidRDefault="001A44D6" w:rsidP="00B06A9A">
      <w:pPr>
        <w:tabs>
          <w:tab w:val="left" w:pos="993"/>
        </w:tabs>
        <w:ind w:left="1134" w:hanging="567"/>
        <w:rPr>
          <w:rFonts w:cs="Times New Roman"/>
          <w:szCs w:val="20"/>
        </w:rPr>
      </w:pPr>
      <w:r w:rsidRPr="009E064B">
        <w:rPr>
          <w:rFonts w:cs="Times New Roman"/>
          <w:szCs w:val="20"/>
        </w:rPr>
        <w:t>(2)</w:t>
      </w:r>
      <w:r w:rsidRPr="009E064B">
        <w:rPr>
          <w:rFonts w:cs="Times New Roman"/>
          <w:szCs w:val="20"/>
        </w:rPr>
        <w:tab/>
      </w:r>
      <w:r w:rsidRPr="009E064B">
        <w:rPr>
          <w:rFonts w:cs="Times New Roman"/>
          <w:szCs w:val="20"/>
        </w:rPr>
        <w:tab/>
        <w:t>dynamiczne odprowadzanie wody powierzchniowej zalegającej pod przemieszczającą się oponą do osiągnięcia miejsca znajdującego się poza powierzchnią styku opona-ziemia.</w:t>
      </w:r>
    </w:p>
    <w:p w14:paraId="7E2EF48B" w14:textId="77777777" w:rsidR="001A44D6" w:rsidRPr="009E064B" w:rsidRDefault="001A44D6" w:rsidP="00B06A9A">
      <w:pPr>
        <w:tabs>
          <w:tab w:val="left" w:pos="567"/>
        </w:tabs>
        <w:ind w:left="567"/>
        <w:rPr>
          <w:szCs w:val="20"/>
        </w:rPr>
      </w:pPr>
      <w:r w:rsidRPr="009E064B">
        <w:rPr>
          <w:szCs w:val="20"/>
        </w:rPr>
        <w:t>Obydwa procesy mogą być kontrolowane na etapie projektowania, budowy i utrzymania nawierzchni w celu zapobiegania gromadzeniu się wody na powierzchni.</w:t>
      </w:r>
    </w:p>
    <w:p w14:paraId="6A6875C6" w14:textId="40EE5BAF" w:rsidR="001A44D6" w:rsidRPr="009E064B" w:rsidRDefault="001A44D6" w:rsidP="00B06A9A">
      <w:pPr>
        <w:tabs>
          <w:tab w:val="left" w:pos="567"/>
        </w:tabs>
        <w:ind w:left="567" w:hanging="567"/>
        <w:rPr>
          <w:rFonts w:cs="Times New Roman"/>
          <w:szCs w:val="20"/>
        </w:rPr>
      </w:pPr>
      <w:r w:rsidRPr="009E064B">
        <w:rPr>
          <w:rFonts w:cs="Times New Roman"/>
          <w:szCs w:val="20"/>
        </w:rPr>
        <w:t>(c)</w:t>
      </w:r>
      <w:r w:rsidRPr="009E064B">
        <w:rPr>
          <w:rFonts w:cs="Times New Roman"/>
          <w:szCs w:val="20"/>
        </w:rPr>
        <w:tab/>
        <w:t>Odprowadzanie wody z powierzchni stanowi wymóg podstawowy i służy zmniejszeniu grubości warstwy wody na powierzchni. Zakładany cel to spłynięcie wody z drogi startowej jak najkrótszą drogą. Odpowiednie odwodnienie jest zapewniane przede w</w:t>
      </w:r>
      <w:r w:rsidR="00754744" w:rsidRPr="009E064B">
        <w:rPr>
          <w:rFonts w:cs="Times New Roman"/>
          <w:szCs w:val="20"/>
        </w:rPr>
        <w:t>szystkim poprzez powierzchnie o </w:t>
      </w:r>
      <w:r w:rsidRPr="009E064B">
        <w:rPr>
          <w:rFonts w:cs="Times New Roman"/>
          <w:szCs w:val="20"/>
        </w:rPr>
        <w:t>odpowiednim nachyleniu (zarówno podłużnym jak i poprzecznym). Powstałe w ten sposób połączenie nachylenia podłużnego i poprzecznego stanowi ścieżkę do odpływu wody. Ścieżka ta może zostać skrócona poprzez dodanie poprzecznych rowków.</w:t>
      </w:r>
    </w:p>
    <w:p w14:paraId="447B21BE" w14:textId="77777777" w:rsidR="001A44D6" w:rsidRPr="009E064B" w:rsidRDefault="001A44D6" w:rsidP="00B06A9A">
      <w:pPr>
        <w:tabs>
          <w:tab w:val="left" w:pos="567"/>
        </w:tabs>
        <w:ind w:left="567" w:hanging="567"/>
        <w:rPr>
          <w:szCs w:val="20"/>
        </w:rPr>
      </w:pPr>
      <w:r w:rsidRPr="009E064B">
        <w:rPr>
          <w:szCs w:val="20"/>
        </w:rPr>
        <w:t>(d)</w:t>
      </w:r>
      <w:r w:rsidRPr="009E064B">
        <w:rPr>
          <w:szCs w:val="20"/>
        </w:rPr>
        <w:tab/>
        <w:t>Dynamiczne odwodnienie uzyskiwane jest poprzez teksturę wbudowaną w nawierzchnię. Tocząca się opona zwiększa ciśnienie wody i wyciska ją z kanałów odpływowych zapewnianych przez teksturę. Dynamiczne odwodnienie powierzchni styku opona-ziemia może zostać polepszone poprzez dodanie poprzecznych rowków pod warunkiem, że będą one podlegać rygorystycznemu utrzymaniu.</w:t>
      </w:r>
    </w:p>
    <w:p w14:paraId="42CA56AE" w14:textId="77777777" w:rsidR="001A44D6" w:rsidRPr="009E064B" w:rsidRDefault="001A44D6" w:rsidP="00B06A9A">
      <w:pPr>
        <w:tabs>
          <w:tab w:val="left" w:pos="567"/>
        </w:tabs>
        <w:ind w:left="567" w:hanging="567"/>
        <w:rPr>
          <w:szCs w:val="20"/>
        </w:rPr>
      </w:pPr>
      <w:r w:rsidRPr="009E064B">
        <w:rPr>
          <w:szCs w:val="20"/>
        </w:rPr>
        <w:t>(e)</w:t>
      </w:r>
      <w:r w:rsidRPr="009E064B">
        <w:rPr>
          <w:szCs w:val="20"/>
        </w:rPr>
        <w:tab/>
        <w:t>Na etapie budowy, elementy związane z odprowadzaniem wody z powierzchni są wbudowane w nawierzchnię. Elementy te to:</w:t>
      </w:r>
    </w:p>
    <w:p w14:paraId="676C3730" w14:textId="77777777" w:rsidR="001A44D6" w:rsidRPr="009E064B" w:rsidRDefault="001A44D6" w:rsidP="00B06A9A">
      <w:pPr>
        <w:tabs>
          <w:tab w:val="left" w:pos="993"/>
        </w:tabs>
        <w:ind w:left="1134" w:hanging="567"/>
        <w:rPr>
          <w:rFonts w:cs="Times New Roman"/>
          <w:szCs w:val="20"/>
        </w:rPr>
      </w:pPr>
      <w:r w:rsidRPr="009E064B">
        <w:rPr>
          <w:rFonts w:cs="Times New Roman"/>
          <w:szCs w:val="20"/>
        </w:rPr>
        <w:t>(1)</w:t>
      </w:r>
      <w:r w:rsidRPr="009E064B">
        <w:rPr>
          <w:rFonts w:cs="Times New Roman"/>
          <w:szCs w:val="20"/>
        </w:rPr>
        <w:tab/>
      </w:r>
      <w:r w:rsidRPr="009E064B">
        <w:rPr>
          <w:rFonts w:cs="Times New Roman"/>
          <w:szCs w:val="20"/>
        </w:rPr>
        <w:tab/>
        <w:t>Nachylenie;</w:t>
      </w:r>
    </w:p>
    <w:p w14:paraId="3D8E0E72" w14:textId="77777777" w:rsidR="001A44D6" w:rsidRPr="009E064B" w:rsidRDefault="001A44D6" w:rsidP="00B06A9A">
      <w:pPr>
        <w:tabs>
          <w:tab w:val="left" w:pos="993"/>
        </w:tabs>
        <w:ind w:left="1134" w:hanging="567"/>
        <w:rPr>
          <w:rFonts w:cs="Times New Roman"/>
          <w:szCs w:val="20"/>
        </w:rPr>
      </w:pPr>
      <w:r w:rsidRPr="009E064B">
        <w:rPr>
          <w:rFonts w:cs="Times New Roman"/>
          <w:szCs w:val="20"/>
        </w:rPr>
        <w:t>(2)</w:t>
      </w:r>
      <w:r w:rsidRPr="009E064B">
        <w:rPr>
          <w:rFonts w:cs="Times New Roman"/>
          <w:szCs w:val="20"/>
        </w:rPr>
        <w:tab/>
      </w:r>
      <w:r w:rsidRPr="009E064B">
        <w:rPr>
          <w:rFonts w:cs="Times New Roman"/>
          <w:szCs w:val="20"/>
        </w:rPr>
        <w:tab/>
        <w:t>Tekstura:</w:t>
      </w:r>
    </w:p>
    <w:p w14:paraId="0DCCF55F" w14:textId="77777777" w:rsidR="001A44D6" w:rsidRPr="009E064B" w:rsidRDefault="001A44D6" w:rsidP="00B06A9A">
      <w:pPr>
        <w:tabs>
          <w:tab w:val="left" w:pos="1701"/>
        </w:tabs>
        <w:ind w:left="1560" w:hanging="426"/>
        <w:rPr>
          <w:rFonts w:cs="Times New Roman"/>
          <w:szCs w:val="20"/>
        </w:rPr>
      </w:pPr>
      <w:r w:rsidRPr="009E064B">
        <w:rPr>
          <w:rFonts w:cs="Times New Roman"/>
          <w:szCs w:val="20"/>
        </w:rPr>
        <w:t>(i)</w:t>
      </w:r>
      <w:r w:rsidRPr="009E064B">
        <w:rPr>
          <w:rFonts w:cs="Times New Roman"/>
          <w:szCs w:val="20"/>
        </w:rPr>
        <w:tab/>
        <w:t>Mikrotekstura;</w:t>
      </w:r>
    </w:p>
    <w:p w14:paraId="0AEDFBB5" w14:textId="77777777" w:rsidR="001A44D6" w:rsidRPr="009E064B" w:rsidRDefault="001A44D6" w:rsidP="00B06A9A">
      <w:pPr>
        <w:tabs>
          <w:tab w:val="left" w:pos="1701"/>
        </w:tabs>
        <w:ind w:left="1560" w:hanging="426"/>
        <w:rPr>
          <w:rFonts w:cs="Times New Roman"/>
          <w:szCs w:val="20"/>
        </w:rPr>
      </w:pPr>
      <w:r w:rsidRPr="009E064B">
        <w:rPr>
          <w:rFonts w:cs="Times New Roman"/>
          <w:szCs w:val="20"/>
        </w:rPr>
        <w:t>(ii)</w:t>
      </w:r>
      <w:r w:rsidRPr="009E064B">
        <w:rPr>
          <w:rFonts w:cs="Times New Roman"/>
          <w:szCs w:val="20"/>
        </w:rPr>
        <w:tab/>
        <w:t>Makrotekstura;</w:t>
      </w:r>
    </w:p>
    <w:p w14:paraId="66DDF916" w14:textId="0602CB42" w:rsidR="001A44D6" w:rsidRPr="009E064B" w:rsidRDefault="001A44D6" w:rsidP="00B06A9A">
      <w:pPr>
        <w:tabs>
          <w:tab w:val="left" w:pos="567"/>
        </w:tabs>
        <w:ind w:left="567" w:hanging="567"/>
        <w:rPr>
          <w:szCs w:val="20"/>
        </w:rPr>
      </w:pPr>
      <w:r w:rsidRPr="009E064B">
        <w:rPr>
          <w:szCs w:val="20"/>
        </w:rPr>
        <w:t>(f)</w:t>
      </w:r>
      <w:r w:rsidRPr="009E064B">
        <w:rPr>
          <w:szCs w:val="20"/>
        </w:rPr>
        <w:tab/>
        <w:t>Nachylenia różnych części pola ruchu naziemnego oraz części p</w:t>
      </w:r>
      <w:r w:rsidR="00754744" w:rsidRPr="009E064B">
        <w:rPr>
          <w:szCs w:val="20"/>
        </w:rPr>
        <w:t>rzylegających zostały opisane w </w:t>
      </w:r>
      <w:r w:rsidRPr="009E064B">
        <w:rPr>
          <w:szCs w:val="20"/>
        </w:rPr>
        <w:t>Rozdziale B i G, a liczby są podane jako procent. Dalsze wytyczne znajdują się w „Podręczniku projektowania lotnisk”, Część 1, Drogi startowe, Rozdział 5.</w:t>
      </w:r>
    </w:p>
    <w:p w14:paraId="6CA9B2E1" w14:textId="77777777" w:rsidR="001A44D6" w:rsidRPr="009E064B" w:rsidRDefault="001A44D6" w:rsidP="00B06A9A">
      <w:pPr>
        <w:tabs>
          <w:tab w:val="left" w:pos="567"/>
        </w:tabs>
        <w:ind w:left="567" w:hanging="567"/>
        <w:rPr>
          <w:szCs w:val="20"/>
        </w:rPr>
      </w:pPr>
      <w:r w:rsidRPr="009E064B">
        <w:rPr>
          <w:szCs w:val="20"/>
        </w:rPr>
        <w:t>(g)</w:t>
      </w:r>
      <w:r w:rsidRPr="009E064B">
        <w:rPr>
          <w:szCs w:val="20"/>
        </w:rPr>
        <w:tab/>
        <w:t>Tekstura w literaturze jest opisana jako mikrotekstura lub makrotekstura. Terminy te są różnie rozumiane w różnych dziedzinach przemysłu lotniczego.</w:t>
      </w:r>
    </w:p>
    <w:p w14:paraId="4540658A" w14:textId="3E721F6E" w:rsidR="001A44D6" w:rsidRPr="009E064B" w:rsidRDefault="001A44D6" w:rsidP="00B06A9A">
      <w:pPr>
        <w:tabs>
          <w:tab w:val="left" w:pos="567"/>
        </w:tabs>
        <w:ind w:left="567" w:hanging="567"/>
        <w:rPr>
          <w:szCs w:val="20"/>
        </w:rPr>
      </w:pPr>
      <w:r w:rsidRPr="009E064B">
        <w:rPr>
          <w:szCs w:val="20"/>
        </w:rPr>
        <w:t>(h)</w:t>
      </w:r>
      <w:r w:rsidRPr="009E064B">
        <w:rPr>
          <w:szCs w:val="20"/>
        </w:rPr>
        <w:tab/>
        <w:t xml:space="preserve">Mikrotekstura to tekstura pojedynczych kamieni, która jest trudna do wychwycenia gołym okiem. Mikrotekstura uznawana jest za podstawowy komponent w zapobieganiu poślizgowi przy małych prędkościach. Na mokrej powierzchni przy większych prędkościach cienka warstwa wody może uniemożliwić bezpośredni kontakt pomiędzy nierównościami powierzchni a oponą z uwagi na niedostateczne odprowadzenie wody z powierzchni styku opona-ziemia. Mikrotekstura stanowi element wbudowany w nawierzchnię. Poprzez określenie kruszywa, które wytrzyma polerowanie mikrotekstury, odprowadzenie cienkich warstw wody zapewniane jest przez dłuższy okres czasu. Odporność na polerowanie jest wyrażana w postaci wartości </w:t>
      </w:r>
      <w:r w:rsidRPr="008F0CB0">
        <w:rPr>
          <w:szCs w:val="20"/>
        </w:rPr>
        <w:t>polerowalności</w:t>
      </w:r>
      <w:r w:rsidR="008F0CB0" w:rsidRPr="008F0CB0">
        <w:rPr>
          <w:szCs w:val="20"/>
        </w:rPr>
        <w:t xml:space="preserve"> kamienia</w:t>
      </w:r>
      <w:r w:rsidRPr="008F0CB0">
        <w:rPr>
          <w:szCs w:val="20"/>
        </w:rPr>
        <w:t xml:space="preserve"> (</w:t>
      </w:r>
      <w:r w:rsidRPr="009E064B">
        <w:rPr>
          <w:szCs w:val="20"/>
        </w:rPr>
        <w:t>PSV), która stanowi wartość uzyskaną w wyniku pomiaru tarcia</w:t>
      </w:r>
      <w:r w:rsidR="00754744" w:rsidRPr="009E064B">
        <w:rPr>
          <w:szCs w:val="20"/>
        </w:rPr>
        <w:t xml:space="preserve"> zgodnie z </w:t>
      </w:r>
      <w:r w:rsidRPr="009E064B">
        <w:rPr>
          <w:szCs w:val="20"/>
        </w:rPr>
        <w:t xml:space="preserve">międzynarodowymi standardami. Standardy te definiują minima PSV, które umożliwią wybór materiału z dobrą mikroteksturą. Główny problem z mikroteksturą polega na tym, że może ona ulec zmianie w krótkim okresie czasu bez możliwości łatwego wykrycia. </w:t>
      </w:r>
      <w:r w:rsidR="007655D0" w:rsidRPr="009E064B">
        <w:rPr>
          <w:szCs w:val="20"/>
        </w:rPr>
        <w:t>typ</w:t>
      </w:r>
      <w:r w:rsidRPr="009E064B">
        <w:rPr>
          <w:szCs w:val="20"/>
        </w:rPr>
        <w:t>owy przykład to gromadzenie się gumy w strefie przyziemienia, co w znacznym stopniu maskuje mikroteksturę, niekoniecznie zmniejszając makroteksturę.</w:t>
      </w:r>
    </w:p>
    <w:p w14:paraId="52842617" w14:textId="45B3B031" w:rsidR="001A44D6" w:rsidRPr="009E064B" w:rsidRDefault="001A44D6" w:rsidP="00B06A9A">
      <w:pPr>
        <w:tabs>
          <w:tab w:val="left" w:pos="567"/>
        </w:tabs>
        <w:ind w:left="567" w:hanging="567"/>
        <w:rPr>
          <w:szCs w:val="20"/>
        </w:rPr>
      </w:pPr>
      <w:r w:rsidRPr="009E064B">
        <w:rPr>
          <w:szCs w:val="20"/>
        </w:rPr>
        <w:t>(k)</w:t>
      </w:r>
      <w:r w:rsidRPr="009E064B">
        <w:rPr>
          <w:szCs w:val="20"/>
        </w:rPr>
        <w:tab/>
        <w:t>Makrotekstura to tekstura pomiędzy pojedynczymi kamieniam</w:t>
      </w:r>
      <w:r w:rsidR="00754744" w:rsidRPr="009E064B">
        <w:rPr>
          <w:szCs w:val="20"/>
        </w:rPr>
        <w:t>i. Ta skala tekstury może być w </w:t>
      </w:r>
      <w:r w:rsidRPr="009E064B">
        <w:rPr>
          <w:szCs w:val="20"/>
        </w:rPr>
        <w:t xml:space="preserve">przybliżeniu oceniona wzrokowo. Makrotekstura jest przede wszystkim tworzona przez rozmiar używanego kruszywa lub przez obróbkę nawierzchni i jest głównym czynnikiem wpływającym na możliwości odwodnienia przy dużych prędkościach. Dla uzyskania dobrej makrotekstury wybiera się odpowiedni materiał. </w:t>
      </w:r>
    </w:p>
    <w:p w14:paraId="32B61AB8" w14:textId="77777777" w:rsidR="001A44D6" w:rsidRPr="009E064B" w:rsidRDefault="001A44D6" w:rsidP="00B06A9A">
      <w:pPr>
        <w:tabs>
          <w:tab w:val="left" w:pos="567"/>
        </w:tabs>
        <w:ind w:left="567" w:hanging="567"/>
        <w:rPr>
          <w:szCs w:val="20"/>
        </w:rPr>
      </w:pPr>
      <w:r w:rsidRPr="009E064B">
        <w:rPr>
          <w:szCs w:val="20"/>
        </w:rPr>
        <w:t>(l)</w:t>
      </w:r>
      <w:r w:rsidRPr="009E064B">
        <w:rPr>
          <w:szCs w:val="20"/>
        </w:rPr>
        <w:tab/>
        <w:t xml:space="preserve">Podstawowym celem rowkowania powierzchni drogi startowej jest poprawa systemu odprowadzania wody z powierzchni. Naturalne odwodnienie może być spowolnione przez teksturę powierzchni, ale rowkowanie może to przyspieszyć poprzez zapewnienie krótszej ścieżki odprowadzenia wody oraz zwiększenie jej prędkości. </w:t>
      </w:r>
    </w:p>
    <w:p w14:paraId="542F3FC0" w14:textId="1BC19EB8" w:rsidR="00A44F9A" w:rsidRDefault="001A44D6" w:rsidP="009D084D">
      <w:pPr>
        <w:tabs>
          <w:tab w:val="left" w:pos="567"/>
        </w:tabs>
        <w:ind w:left="567" w:hanging="567"/>
        <w:rPr>
          <w:szCs w:val="20"/>
        </w:rPr>
      </w:pPr>
      <w:r w:rsidRPr="009E064B">
        <w:rPr>
          <w:szCs w:val="20"/>
        </w:rPr>
        <w:t>(m)</w:t>
      </w:r>
      <w:r w:rsidRPr="009E064B">
        <w:rPr>
          <w:szCs w:val="20"/>
        </w:rPr>
        <w:tab/>
        <w:t xml:space="preserve">Do pomiaru tekstury opracowane zostały proste metody takie jak „metoda piasku i smaru” opisane w „Podręczniku służb portu lotniczego” (Doc 9137) Część 2. Metody te były wykorzystywane na wczesnym etapie badań, a obecnie bazują na nich wymagania w zakresie zdatności do lotu, które dotyczą klasyfikacji z kategoriami makrotekstury od A do E. Klasyfikacja ta została opracowana przy użyciu technik pomiaru „piaskiem i smarem” i wydana w 1971 r. przez </w:t>
      </w:r>
      <w:r w:rsidR="00A44F9A">
        <w:rPr>
          <w:szCs w:val="20"/>
        </w:rPr>
        <w:t xml:space="preserve">(mającą siedzibę w Wielkiej Brytanii) Organizację doradczą w zakresie danych nauk technicznych </w:t>
      </w:r>
      <w:r w:rsidR="00A44F9A" w:rsidRPr="00A44F9A">
        <w:rPr>
          <w:i/>
          <w:szCs w:val="20"/>
        </w:rPr>
        <w:t>(ESDU</w:t>
      </w:r>
      <w:r w:rsidR="00A44F9A">
        <w:rPr>
          <w:rStyle w:val="Odwoanieprzypisudolnego"/>
          <w:i/>
          <w:szCs w:val="20"/>
        </w:rPr>
        <w:footnoteReference w:id="44"/>
      </w:r>
      <w:r w:rsidR="00A44F9A" w:rsidRPr="00A44F9A">
        <w:rPr>
          <w:szCs w:val="20"/>
        </w:rPr>
        <w:t xml:space="preserve">). </w:t>
      </w:r>
    </w:p>
    <w:p w14:paraId="2160ED5E" w14:textId="77777777" w:rsidR="001A44D6" w:rsidRPr="00A44F9A" w:rsidRDefault="001A44D6" w:rsidP="00B06A9A">
      <w:pPr>
        <w:spacing w:after="0"/>
        <w:rPr>
          <w:szCs w:val="20"/>
        </w:rPr>
      </w:pPr>
    </w:p>
    <w:tbl>
      <w:tblPr>
        <w:tblStyle w:val="Tabela-Siatka"/>
        <w:tblW w:w="0" w:type="auto"/>
        <w:jc w:val="center"/>
        <w:tblCellMar>
          <w:top w:w="113" w:type="dxa"/>
          <w:bottom w:w="113" w:type="dxa"/>
        </w:tblCellMar>
        <w:tblLook w:val="04A0" w:firstRow="1" w:lastRow="0" w:firstColumn="1" w:lastColumn="0" w:noHBand="0" w:noVBand="1"/>
      </w:tblPr>
      <w:tblGrid>
        <w:gridCol w:w="2797"/>
        <w:gridCol w:w="2943"/>
      </w:tblGrid>
      <w:tr w:rsidR="001A44D6" w:rsidRPr="009E064B" w14:paraId="092FB31B" w14:textId="77777777" w:rsidTr="008413FC">
        <w:trPr>
          <w:jc w:val="center"/>
        </w:trPr>
        <w:tc>
          <w:tcPr>
            <w:tcW w:w="5740" w:type="dxa"/>
            <w:gridSpan w:val="2"/>
            <w:tcMar>
              <w:top w:w="57" w:type="dxa"/>
              <w:bottom w:w="57" w:type="dxa"/>
            </w:tcMar>
            <w:vAlign w:val="center"/>
          </w:tcPr>
          <w:p w14:paraId="1E7F0000" w14:textId="77777777" w:rsidR="001A44D6" w:rsidRPr="009E064B" w:rsidRDefault="001A44D6" w:rsidP="00737638">
            <w:pPr>
              <w:spacing w:after="0"/>
              <w:jc w:val="center"/>
              <w:rPr>
                <w:b/>
                <w:szCs w:val="20"/>
              </w:rPr>
            </w:pPr>
            <w:r w:rsidRPr="009E064B">
              <w:rPr>
                <w:b/>
                <w:i/>
                <w:iCs/>
                <w:szCs w:val="20"/>
              </w:rPr>
              <w:t xml:space="preserve">Klasyfikacja drogi startowej w oparciu o informacje </w:t>
            </w:r>
            <w:r w:rsidRPr="009E064B">
              <w:rPr>
                <w:b/>
                <w:i/>
                <w:iCs/>
                <w:szCs w:val="20"/>
              </w:rPr>
              <w:br/>
              <w:t>ESDU 71026 dotyczące tekstury</w:t>
            </w:r>
          </w:p>
        </w:tc>
      </w:tr>
      <w:tr w:rsidR="001A44D6" w:rsidRPr="009E064B" w14:paraId="5D637BF8" w14:textId="77777777" w:rsidTr="008413FC">
        <w:trPr>
          <w:jc w:val="center"/>
        </w:trPr>
        <w:tc>
          <w:tcPr>
            <w:tcW w:w="2797" w:type="dxa"/>
            <w:tcMar>
              <w:top w:w="85" w:type="dxa"/>
              <w:bottom w:w="85" w:type="dxa"/>
            </w:tcMar>
            <w:vAlign w:val="center"/>
          </w:tcPr>
          <w:p w14:paraId="05F6C1A5" w14:textId="77777777" w:rsidR="001A44D6" w:rsidRPr="009E064B" w:rsidRDefault="001A44D6" w:rsidP="00737638">
            <w:pPr>
              <w:spacing w:after="0"/>
              <w:jc w:val="center"/>
              <w:rPr>
                <w:b/>
                <w:szCs w:val="20"/>
              </w:rPr>
            </w:pPr>
            <w:r w:rsidRPr="009E064B">
              <w:rPr>
                <w:b/>
                <w:szCs w:val="20"/>
              </w:rPr>
              <w:t>Klasyfikacja</w:t>
            </w:r>
          </w:p>
        </w:tc>
        <w:tc>
          <w:tcPr>
            <w:tcW w:w="2943" w:type="dxa"/>
            <w:tcMar>
              <w:top w:w="85" w:type="dxa"/>
              <w:bottom w:w="85" w:type="dxa"/>
            </w:tcMar>
            <w:vAlign w:val="center"/>
          </w:tcPr>
          <w:p w14:paraId="666F7835" w14:textId="77777777" w:rsidR="001A44D6" w:rsidRPr="009E064B" w:rsidRDefault="001A44D6" w:rsidP="00737638">
            <w:pPr>
              <w:spacing w:after="0"/>
              <w:jc w:val="center"/>
              <w:rPr>
                <w:b/>
                <w:szCs w:val="20"/>
              </w:rPr>
            </w:pPr>
            <w:r w:rsidRPr="009E064B">
              <w:rPr>
                <w:b/>
                <w:szCs w:val="20"/>
              </w:rPr>
              <w:t>Grubość tekstury (mm)</w:t>
            </w:r>
          </w:p>
        </w:tc>
      </w:tr>
      <w:tr w:rsidR="001A44D6" w:rsidRPr="009E064B" w14:paraId="6248EE63" w14:textId="77777777" w:rsidTr="008413FC">
        <w:trPr>
          <w:jc w:val="center"/>
        </w:trPr>
        <w:tc>
          <w:tcPr>
            <w:tcW w:w="2797" w:type="dxa"/>
            <w:tcMar>
              <w:top w:w="85" w:type="dxa"/>
              <w:bottom w:w="85" w:type="dxa"/>
            </w:tcMar>
            <w:vAlign w:val="center"/>
          </w:tcPr>
          <w:p w14:paraId="4C97B674" w14:textId="77777777" w:rsidR="001A44D6" w:rsidRPr="009E064B" w:rsidRDefault="001A44D6" w:rsidP="00737638">
            <w:pPr>
              <w:spacing w:after="0"/>
              <w:jc w:val="center"/>
              <w:rPr>
                <w:szCs w:val="20"/>
              </w:rPr>
            </w:pPr>
            <w:r w:rsidRPr="009E064B">
              <w:rPr>
                <w:szCs w:val="20"/>
              </w:rPr>
              <w:t>A</w:t>
            </w:r>
          </w:p>
        </w:tc>
        <w:tc>
          <w:tcPr>
            <w:tcW w:w="2943" w:type="dxa"/>
            <w:tcMar>
              <w:top w:w="85" w:type="dxa"/>
              <w:bottom w:w="85" w:type="dxa"/>
            </w:tcMar>
            <w:vAlign w:val="center"/>
          </w:tcPr>
          <w:p w14:paraId="733F666A" w14:textId="77777777" w:rsidR="001A44D6" w:rsidRPr="009E064B" w:rsidRDefault="001A44D6" w:rsidP="00737638">
            <w:pPr>
              <w:spacing w:after="0"/>
              <w:jc w:val="center"/>
              <w:rPr>
                <w:szCs w:val="20"/>
              </w:rPr>
            </w:pPr>
            <w:r w:rsidRPr="009E064B">
              <w:rPr>
                <w:szCs w:val="20"/>
              </w:rPr>
              <w:t>0.10 – 0.14</w:t>
            </w:r>
          </w:p>
        </w:tc>
      </w:tr>
      <w:tr w:rsidR="001A44D6" w:rsidRPr="009E064B" w14:paraId="456C68DE" w14:textId="77777777" w:rsidTr="008413FC">
        <w:trPr>
          <w:jc w:val="center"/>
        </w:trPr>
        <w:tc>
          <w:tcPr>
            <w:tcW w:w="2797" w:type="dxa"/>
            <w:tcMar>
              <w:top w:w="85" w:type="dxa"/>
              <w:bottom w:w="85" w:type="dxa"/>
            </w:tcMar>
            <w:vAlign w:val="center"/>
          </w:tcPr>
          <w:p w14:paraId="22EE2BCD" w14:textId="77777777" w:rsidR="001A44D6" w:rsidRPr="009E064B" w:rsidRDefault="001A44D6" w:rsidP="00737638">
            <w:pPr>
              <w:spacing w:after="0"/>
              <w:jc w:val="center"/>
              <w:rPr>
                <w:szCs w:val="20"/>
              </w:rPr>
            </w:pPr>
            <w:r w:rsidRPr="009E064B">
              <w:rPr>
                <w:szCs w:val="20"/>
              </w:rPr>
              <w:t>B</w:t>
            </w:r>
          </w:p>
        </w:tc>
        <w:tc>
          <w:tcPr>
            <w:tcW w:w="2943" w:type="dxa"/>
            <w:tcMar>
              <w:top w:w="85" w:type="dxa"/>
              <w:bottom w:w="85" w:type="dxa"/>
            </w:tcMar>
            <w:vAlign w:val="center"/>
          </w:tcPr>
          <w:p w14:paraId="2613172A" w14:textId="77777777" w:rsidR="001A44D6" w:rsidRPr="009E064B" w:rsidRDefault="001A44D6" w:rsidP="00737638">
            <w:pPr>
              <w:spacing w:after="0"/>
              <w:jc w:val="center"/>
              <w:rPr>
                <w:szCs w:val="20"/>
              </w:rPr>
            </w:pPr>
            <w:r w:rsidRPr="009E064B">
              <w:rPr>
                <w:szCs w:val="20"/>
              </w:rPr>
              <w:t>0.15 – 0.24</w:t>
            </w:r>
          </w:p>
        </w:tc>
      </w:tr>
      <w:tr w:rsidR="001A44D6" w:rsidRPr="009E064B" w14:paraId="3791254E" w14:textId="77777777" w:rsidTr="008413FC">
        <w:trPr>
          <w:jc w:val="center"/>
        </w:trPr>
        <w:tc>
          <w:tcPr>
            <w:tcW w:w="2797" w:type="dxa"/>
            <w:tcMar>
              <w:top w:w="85" w:type="dxa"/>
              <w:bottom w:w="85" w:type="dxa"/>
            </w:tcMar>
            <w:vAlign w:val="center"/>
          </w:tcPr>
          <w:p w14:paraId="6AFFF8D8" w14:textId="77777777" w:rsidR="001A44D6" w:rsidRPr="009E064B" w:rsidRDefault="001A44D6" w:rsidP="00737638">
            <w:pPr>
              <w:spacing w:after="0"/>
              <w:jc w:val="center"/>
              <w:rPr>
                <w:szCs w:val="20"/>
              </w:rPr>
            </w:pPr>
            <w:r w:rsidRPr="009E064B">
              <w:rPr>
                <w:szCs w:val="20"/>
              </w:rPr>
              <w:t>C</w:t>
            </w:r>
          </w:p>
        </w:tc>
        <w:tc>
          <w:tcPr>
            <w:tcW w:w="2943" w:type="dxa"/>
            <w:tcMar>
              <w:top w:w="85" w:type="dxa"/>
              <w:bottom w:w="85" w:type="dxa"/>
            </w:tcMar>
            <w:vAlign w:val="center"/>
          </w:tcPr>
          <w:p w14:paraId="78FA5B65" w14:textId="77777777" w:rsidR="001A44D6" w:rsidRPr="009E064B" w:rsidRDefault="001A44D6" w:rsidP="00737638">
            <w:pPr>
              <w:spacing w:after="0"/>
              <w:jc w:val="center"/>
              <w:rPr>
                <w:szCs w:val="20"/>
              </w:rPr>
            </w:pPr>
            <w:r w:rsidRPr="009E064B">
              <w:rPr>
                <w:szCs w:val="20"/>
              </w:rPr>
              <w:t>0.25 – 0.50</w:t>
            </w:r>
          </w:p>
        </w:tc>
      </w:tr>
      <w:tr w:rsidR="001A44D6" w:rsidRPr="009E064B" w14:paraId="7AEEE4E5" w14:textId="77777777" w:rsidTr="008413FC">
        <w:trPr>
          <w:jc w:val="center"/>
        </w:trPr>
        <w:tc>
          <w:tcPr>
            <w:tcW w:w="2797" w:type="dxa"/>
            <w:tcMar>
              <w:top w:w="85" w:type="dxa"/>
              <w:bottom w:w="85" w:type="dxa"/>
            </w:tcMar>
            <w:vAlign w:val="center"/>
          </w:tcPr>
          <w:p w14:paraId="565105AA" w14:textId="77777777" w:rsidR="001A44D6" w:rsidRPr="009E064B" w:rsidRDefault="001A44D6" w:rsidP="00737638">
            <w:pPr>
              <w:spacing w:after="0"/>
              <w:jc w:val="center"/>
              <w:rPr>
                <w:szCs w:val="20"/>
              </w:rPr>
            </w:pPr>
            <w:r w:rsidRPr="009E064B">
              <w:rPr>
                <w:szCs w:val="20"/>
              </w:rPr>
              <w:t>D</w:t>
            </w:r>
          </w:p>
        </w:tc>
        <w:tc>
          <w:tcPr>
            <w:tcW w:w="2943" w:type="dxa"/>
            <w:tcMar>
              <w:top w:w="85" w:type="dxa"/>
              <w:bottom w:w="85" w:type="dxa"/>
            </w:tcMar>
            <w:vAlign w:val="center"/>
          </w:tcPr>
          <w:p w14:paraId="7D532CE9" w14:textId="77777777" w:rsidR="001A44D6" w:rsidRPr="009E064B" w:rsidRDefault="001A44D6" w:rsidP="00737638">
            <w:pPr>
              <w:spacing w:after="0"/>
              <w:jc w:val="center"/>
              <w:rPr>
                <w:szCs w:val="20"/>
              </w:rPr>
            </w:pPr>
            <w:r w:rsidRPr="009E064B">
              <w:rPr>
                <w:szCs w:val="20"/>
              </w:rPr>
              <w:t>0.51 – 1.00</w:t>
            </w:r>
          </w:p>
        </w:tc>
      </w:tr>
      <w:tr w:rsidR="001A44D6" w:rsidRPr="009E064B" w14:paraId="6A956A53" w14:textId="77777777" w:rsidTr="008413FC">
        <w:trPr>
          <w:jc w:val="center"/>
        </w:trPr>
        <w:tc>
          <w:tcPr>
            <w:tcW w:w="2797" w:type="dxa"/>
            <w:tcMar>
              <w:top w:w="85" w:type="dxa"/>
              <w:bottom w:w="85" w:type="dxa"/>
            </w:tcMar>
            <w:vAlign w:val="center"/>
          </w:tcPr>
          <w:p w14:paraId="39D027F1" w14:textId="77777777" w:rsidR="001A44D6" w:rsidRPr="009E064B" w:rsidRDefault="001A44D6" w:rsidP="00737638">
            <w:pPr>
              <w:spacing w:after="0"/>
              <w:jc w:val="center"/>
              <w:rPr>
                <w:szCs w:val="20"/>
              </w:rPr>
            </w:pPr>
            <w:r w:rsidRPr="009E064B">
              <w:rPr>
                <w:szCs w:val="20"/>
              </w:rPr>
              <w:t>E</w:t>
            </w:r>
          </w:p>
        </w:tc>
        <w:tc>
          <w:tcPr>
            <w:tcW w:w="2943" w:type="dxa"/>
            <w:tcMar>
              <w:top w:w="85" w:type="dxa"/>
              <w:bottom w:w="85" w:type="dxa"/>
            </w:tcMar>
            <w:vAlign w:val="center"/>
          </w:tcPr>
          <w:p w14:paraId="0199210C" w14:textId="77777777" w:rsidR="001A44D6" w:rsidRPr="009E064B" w:rsidRDefault="001A44D6" w:rsidP="00737638">
            <w:pPr>
              <w:spacing w:after="0"/>
              <w:jc w:val="center"/>
              <w:rPr>
                <w:szCs w:val="20"/>
              </w:rPr>
            </w:pPr>
            <w:r w:rsidRPr="009E064B">
              <w:rPr>
                <w:szCs w:val="20"/>
              </w:rPr>
              <w:t>1.01 – 2.54</w:t>
            </w:r>
          </w:p>
        </w:tc>
      </w:tr>
    </w:tbl>
    <w:p w14:paraId="011CEF5D" w14:textId="77777777" w:rsidR="001A44D6" w:rsidRPr="009E064B" w:rsidRDefault="001A44D6" w:rsidP="00B06A9A">
      <w:pPr>
        <w:rPr>
          <w:szCs w:val="20"/>
        </w:rPr>
      </w:pPr>
    </w:p>
    <w:p w14:paraId="4E176F5E" w14:textId="7744EBB0" w:rsidR="001A44D6" w:rsidRPr="009E064B" w:rsidRDefault="001A44D6" w:rsidP="00B06A9A">
      <w:pPr>
        <w:tabs>
          <w:tab w:val="left" w:pos="567"/>
        </w:tabs>
        <w:ind w:left="567" w:hanging="567"/>
        <w:rPr>
          <w:szCs w:val="20"/>
        </w:rPr>
      </w:pPr>
      <w:r w:rsidRPr="009E064B">
        <w:rPr>
          <w:szCs w:val="20"/>
        </w:rPr>
        <w:t>(n)</w:t>
      </w:r>
      <w:r w:rsidRPr="009E064B">
        <w:rPr>
          <w:szCs w:val="20"/>
        </w:rPr>
        <w:tab/>
        <w:t>Stosując tę klasyfikację, wartość progowa pomiędzy mikroteks</w:t>
      </w:r>
      <w:r w:rsidR="009D084D" w:rsidRPr="009E064B">
        <w:rPr>
          <w:szCs w:val="20"/>
        </w:rPr>
        <w:t>turą a makroteksturą wynosi 0.1 </w:t>
      </w:r>
      <w:r w:rsidRPr="009E064B">
        <w:rPr>
          <w:szCs w:val="20"/>
        </w:rPr>
        <w:t>mm średniej grubości tekstury (MTD). W nawiązaniu do tej skali, normalne osiągi statku powietrznego na mokrej drodze startowej opierają się na teksturze dającej właściwości odprowadzania wody i tarcia pośrodku klasyfikacji pomiędzy B i C (0.25 mm). Poprawa odwodnienia poprzez lepszą teksturę może kwalifikować do lepszej klasy osiągów statków powietrznych. Jednakże taka kwalifikacja musi się odbywać zgodnie z dokumentacją producenta samolotu oraz musi być ustalona przez Państwo. Obecnie kwalifikacja podawana jest dla dróg startowych z warstwą rowkowaną lub porowatą po spełnieniu kryteriów w zakresie projektowania, budowy i utrzymania akceptowalnych dla Państwa. Ujednolicone standardy certyfikacyjne niektórych Państw dotyczą tekstury zapewniającej właściwości odprowadzania wody oraz tarcia pośrodku klasyfikacji pomiędzy D i E (1.0 mm).</w:t>
      </w:r>
    </w:p>
    <w:p w14:paraId="741845E8" w14:textId="6B064F57" w:rsidR="001A44D6" w:rsidRPr="009E064B" w:rsidRDefault="001A44D6" w:rsidP="00B06A9A">
      <w:pPr>
        <w:tabs>
          <w:tab w:val="left" w:pos="567"/>
        </w:tabs>
        <w:ind w:left="567" w:hanging="567"/>
        <w:rPr>
          <w:szCs w:val="20"/>
        </w:rPr>
      </w:pPr>
      <w:r w:rsidRPr="009E064B">
        <w:rPr>
          <w:szCs w:val="20"/>
        </w:rPr>
        <w:t>(o)</w:t>
      </w:r>
      <w:r w:rsidRPr="009E064B">
        <w:rPr>
          <w:szCs w:val="20"/>
        </w:rPr>
        <w:tab/>
        <w:t>Dla budowy, projektowania oraz utrzymania, Państwa stosują różne standardy międzynarodowe. Obecnie ISO 13473-1 „</w:t>
      </w:r>
      <w:r w:rsidRPr="009E064B">
        <w:rPr>
          <w:i/>
          <w:szCs w:val="20"/>
        </w:rPr>
        <w:t>Charakterystyka tekstury nawierzchni poprzez użycie profilów powierzchni”</w:t>
      </w:r>
      <w:r w:rsidRPr="009E064B">
        <w:rPr>
          <w:szCs w:val="20"/>
        </w:rPr>
        <w:t xml:space="preserve"> – Część 1 „</w:t>
      </w:r>
      <w:r w:rsidRPr="009E064B">
        <w:rPr>
          <w:i/>
          <w:szCs w:val="20"/>
        </w:rPr>
        <w:t>Określanie średniej grubości profilu</w:t>
      </w:r>
      <w:r w:rsidRPr="009E064B">
        <w:rPr>
          <w:szCs w:val="20"/>
        </w:rPr>
        <w:t>” łączy technikę pomiaru objętościowego z technikami pomiaru profilu bezkontaktowego dając porównywalne wartości tekstury. Standardy te opisują wartość progową pomiędzy mikroteksturą a makroteksturą wynoszącą 0.5 mm. Metoda objętościowa ma zakres zastosowania od 0.25 do 5 mm MTD. Metoda profilometryczna ma zakres zastosowania od 0 to 5 mm MPD. Wartości MPD i MTD różnią si</w:t>
      </w:r>
      <w:r w:rsidR="008751D0" w:rsidRPr="009E064B">
        <w:rPr>
          <w:szCs w:val="20"/>
        </w:rPr>
        <w:t>ę</w:t>
      </w:r>
      <w:r w:rsidRPr="009E064B">
        <w:rPr>
          <w:szCs w:val="20"/>
        </w:rPr>
        <w:t xml:space="preserve"> z uwagi na ograniczoną wielkość szklanych kul używanych w technice objętościowej oraz ponieważ wartość MPD uzyskiwana jest z profilu dwuwymiarowego, a nie z powierzchni trójwymiarowej. Dlatego w relacji MPD do MTD, do używanego sprzętu pomiarowego musi być opracowane równanie transformacji.</w:t>
      </w:r>
    </w:p>
    <w:p w14:paraId="623EDC00" w14:textId="77777777" w:rsidR="001A44D6" w:rsidRPr="009E064B" w:rsidRDefault="001A44D6" w:rsidP="00B06A9A">
      <w:pPr>
        <w:tabs>
          <w:tab w:val="left" w:pos="567"/>
        </w:tabs>
        <w:ind w:left="567" w:hanging="567"/>
        <w:rPr>
          <w:szCs w:val="20"/>
        </w:rPr>
      </w:pPr>
      <w:r w:rsidRPr="009E064B">
        <w:rPr>
          <w:szCs w:val="20"/>
        </w:rPr>
        <w:t>(p)</w:t>
      </w:r>
      <w:r w:rsidRPr="009E064B">
        <w:rPr>
          <w:szCs w:val="20"/>
        </w:rPr>
        <w:tab/>
        <w:t>Skala ESDU grupuje powierzchnie dróg startowych w oparciu o makroteksturę od A do E, gdzie E oznacza powierzchnię z najlepszymi możliwościami dynamicznego odprowadzania wody. Zatem, skala ESDU odzwierciedla charakterystykę dynamicznego odprowadzania wody. Rowkowanie którejkolwiek z tych powierzchni poprawia te możliwości. Powstałe w ten sposób możliwości odwodnienia stanowią funkcję tekstury (A do E) oraz rowkowania. Na rowkowanie składa się wielkość rowków oraz odstępy pomiędzy nimi. Lotniska narażone na duże lub ulewne opady deszczu powinny zapewnić, że nawierzchnie oraz obszary przylegające posiadają możliwości odprowadzenia wody wytrzymujące takie opady deszczu, lub że wprowadzono ograniczenia użytkowania nawierzchni w ekstremalnych warunkach. Takie porty lotnicze powinny postarać się zapewnić maksymalne dopuszczalne nachylenie oraz użycie kruszywa zapewniającego dobre charakterystyki odwodnienia. Powinny one również rozważyć zapewnienie rowkowanych nawierzchni w skali klasyfikacji E dla zapewnienia, że poziom bezpieczeństwa nie został obniżony.</w:t>
      </w:r>
    </w:p>
    <w:p w14:paraId="208ADC9F" w14:textId="77777777" w:rsidR="001A44D6" w:rsidRPr="009E064B" w:rsidRDefault="001A44D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8E05C72" w14:textId="4CBA9E9E" w:rsidR="00C36D76" w:rsidRPr="009E064B" w:rsidRDefault="00210EDA" w:rsidP="00B06A9A">
      <w:pPr>
        <w:pStyle w:val="Nagwek4"/>
        <w:rPr>
          <w:color w:val="auto"/>
        </w:rPr>
      </w:pPr>
      <w:bookmarkStart w:id="979" w:name="_Toc482886569"/>
      <w:bookmarkStart w:id="980" w:name="_Toc12532987"/>
      <w:r w:rsidRPr="009E064B">
        <w:rPr>
          <w:color w:val="auto"/>
        </w:rPr>
        <w:t xml:space="preserve">CS ADR-DSN.B.195     </w:t>
      </w:r>
      <w:r w:rsidR="00C36D76" w:rsidRPr="009E064B">
        <w:rPr>
          <w:color w:val="auto"/>
        </w:rPr>
        <w:t>Zabezpieczenie wydłużonego startu</w:t>
      </w:r>
      <w:bookmarkEnd w:id="979"/>
      <w:bookmarkEnd w:id="980"/>
    </w:p>
    <w:p w14:paraId="72474E70" w14:textId="73C082C5"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34991467"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(a)</w:t>
      </w:r>
      <w:r w:rsidRPr="009E064B">
        <w:rPr>
          <w:rFonts w:cs="Times New Roman"/>
          <w:szCs w:val="20"/>
        </w:rPr>
        <w:tab/>
      </w:r>
      <w:r w:rsidRPr="009E064B">
        <w:rPr>
          <w:rFonts w:cs="TimesNewRomanPS-ItalicMT"/>
          <w:iCs/>
          <w:szCs w:val="20"/>
        </w:rPr>
        <w:t>Umieszczenie poniżej szczegółowych specyfikacji dla zabezpieczenia wydłużonego startu nie oznacza, że zabezpieczenie wydłużonego startu musi być zapewnione.</w:t>
      </w:r>
    </w:p>
    <w:p w14:paraId="6FB074AE"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t>Lokalizacja</w:t>
      </w:r>
      <w:r w:rsidRPr="009E064B">
        <w:rPr>
          <w:rFonts w:cs="TimesNewRomanPS-BoldItalicMT"/>
          <w:bCs/>
          <w:iCs/>
          <w:szCs w:val="20"/>
        </w:rPr>
        <w:t xml:space="preserve"> zabezpieczenia wydłużonego startu:</w:t>
      </w:r>
    </w:p>
    <w:p w14:paraId="5F791911" w14:textId="77777777" w:rsidR="00C36D76" w:rsidRPr="009E064B" w:rsidRDefault="00C36D76" w:rsidP="00B06A9A">
      <w:pPr>
        <w:ind w:left="567"/>
      </w:pPr>
      <w:r w:rsidRPr="009E064B">
        <w:t>Zabezpieczenie wydłużonego startu powinno zaczynać się na końcu rozporządzalnej długości rozbiegu przy starcie.</w:t>
      </w:r>
    </w:p>
    <w:p w14:paraId="43C383B5"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Długość zabezpieczenia wydłużonego startu:</w:t>
      </w:r>
    </w:p>
    <w:p w14:paraId="3EA08B20" w14:textId="77777777" w:rsidR="00C36D76" w:rsidRPr="009E064B" w:rsidRDefault="00C36D76" w:rsidP="00B06A9A">
      <w:pPr>
        <w:ind w:left="567"/>
      </w:pPr>
      <w:r w:rsidRPr="009E064B">
        <w:t>Długość zabezpieczenia wydłużonego startu nie powinna przekraczać połowy rozporządzalnej długości rozbiegu przy starcie.</w:t>
      </w:r>
    </w:p>
    <w:p w14:paraId="30061255"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(d) </w:t>
      </w:r>
      <w:r w:rsidRPr="009E064B">
        <w:rPr>
          <w:rFonts w:cs="Times New Roman"/>
          <w:szCs w:val="20"/>
        </w:rPr>
        <w:tab/>
      </w:r>
      <w:r w:rsidRPr="009E064B">
        <w:rPr>
          <w:rFonts w:cs="TimesNewRomanPS-BoldItalicMT"/>
          <w:bCs/>
          <w:iCs/>
          <w:szCs w:val="20"/>
        </w:rPr>
        <w:t>Szerokość zabezpieczenia wydłużonego startu:</w:t>
      </w:r>
    </w:p>
    <w:p w14:paraId="73FA1A32"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t>Zabezpieczenie wydłużonego startu powinno rozciągać się poprzecznie, na szerokość, co najmniej 75 m po obu stronach od</w:t>
      </w:r>
      <w:r w:rsidRPr="009E064B">
        <w:rPr>
          <w:rFonts w:cs="TimesNewRomanPS-ItalicMT"/>
          <w:iCs/>
          <w:szCs w:val="20"/>
        </w:rPr>
        <w:t xml:space="preserve"> przedłużenia linii środkowej drogi startowej.</w:t>
      </w:r>
    </w:p>
    <w:p w14:paraId="5CCBEFC4"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(e) </w:t>
      </w:r>
      <w:r w:rsidRPr="009E064B">
        <w:rPr>
          <w:rFonts w:cs="Times New Roman"/>
          <w:szCs w:val="20"/>
        </w:rPr>
        <w:tab/>
      </w:r>
      <w:r w:rsidRPr="009E064B">
        <w:rPr>
          <w:rFonts w:cs="TimesNewRomanPS-BoldItalicMT"/>
          <w:bCs/>
          <w:iCs/>
          <w:szCs w:val="20"/>
        </w:rPr>
        <w:t>Nachylenia zabezpieczenia wydłużonego startu:</w:t>
      </w:r>
    </w:p>
    <w:p w14:paraId="16BA18EF" w14:textId="77777777" w:rsidR="00C36D76" w:rsidRPr="009E064B" w:rsidRDefault="00C36D76" w:rsidP="00B06A9A">
      <w:pPr>
        <w:ind w:left="567"/>
      </w:pPr>
      <w:r w:rsidRPr="009E064B">
        <w:t>W obszarze zabezpieczenia wydłużonego startu żaden punkt terenu nie powinien wystawać ponad płaszczyznę wznoszącą się o nachyleniu 1,25 % i ograniczoną w swej dolnej części przez prostą poziomą:</w:t>
      </w:r>
    </w:p>
    <w:p w14:paraId="7C5B3D6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prostopadłą do płaszczyzny pionowej przechodzącej przez linię środkową drogi startowej; oraz</w:t>
      </w:r>
    </w:p>
    <w:p w14:paraId="535045B4"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przechodzącą przez punkt linii środkowej drogi startowej na końcu rozporządzalnego rozbiegu przy starcie.</w:t>
      </w:r>
    </w:p>
    <w:p w14:paraId="498EF2C4" w14:textId="1130D9CA"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(f) </w:t>
      </w:r>
      <w:r w:rsidRPr="009E064B">
        <w:rPr>
          <w:rFonts w:cs="Times New Roman"/>
          <w:szCs w:val="20"/>
        </w:rPr>
        <w:tab/>
      </w:r>
      <w:r w:rsidRPr="009E064B">
        <w:rPr>
          <w:rFonts w:cs="TimesNewRomanPS-BoldItalicMT"/>
          <w:bCs/>
          <w:iCs/>
          <w:szCs w:val="20"/>
        </w:rPr>
        <w:t>Obiekt</w:t>
      </w:r>
      <w:r w:rsidRPr="009E064B">
        <w:rPr>
          <w:szCs w:val="20"/>
        </w:rPr>
        <w:t xml:space="preserve"> znajdujący się na zabezpieczeniu wydłużonego startu, </w:t>
      </w:r>
      <w:r w:rsidR="009A3FFE" w:rsidRPr="009E064B">
        <w:rPr>
          <w:szCs w:val="20"/>
        </w:rPr>
        <w:t>który może zagrażać samolotom w </w:t>
      </w:r>
      <w:r w:rsidRPr="009E064B">
        <w:rPr>
          <w:szCs w:val="20"/>
        </w:rPr>
        <w:t>powietrzu, powinien być uznany za przeszkodę oraz powinien być usunięty.</w:t>
      </w:r>
    </w:p>
    <w:p w14:paraId="0C04240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5E68CFD" w14:textId="483929C2" w:rsidR="001A44D6" w:rsidRPr="009E064B" w:rsidRDefault="001A44D6" w:rsidP="00133B99">
      <w:pPr>
        <w:pStyle w:val="Nagwek6"/>
      </w:pPr>
      <w:bookmarkStart w:id="981" w:name="_Toc401058927"/>
      <w:bookmarkStart w:id="982" w:name="_Toc482886793"/>
      <w:bookmarkStart w:id="983" w:name="_Toc12532988"/>
      <w:bookmarkStart w:id="984" w:name="_Toc482886570"/>
      <w:r w:rsidRPr="009E064B">
        <w:t xml:space="preserve">GM1 ADR-DSN.B.195 </w:t>
      </w:r>
      <w:r w:rsidR="00210EDA" w:rsidRPr="009E064B">
        <w:t xml:space="preserve">    </w:t>
      </w:r>
      <w:r w:rsidRPr="009E064B">
        <w:t>Zabezpieczenie wydłużonego startu</w:t>
      </w:r>
      <w:bookmarkEnd w:id="981"/>
      <w:bookmarkEnd w:id="982"/>
      <w:bookmarkEnd w:id="983"/>
    </w:p>
    <w:p w14:paraId="7B619EA1" w14:textId="7154BD0C" w:rsidR="00210EDA" w:rsidRPr="009E064B" w:rsidRDefault="001F74A1" w:rsidP="00210ED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E939573" w14:textId="77777777" w:rsidR="001A44D6" w:rsidRPr="009E064B" w:rsidRDefault="001A44D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W niektórych przypadkach, ze względu na nachylenie poprzeczne lub podłużne drogi startowej, pobocza lub pasa drogi startowej, granica dolnej płaszczyzny zabezpieczenia wydłużonego startu określana powyżej może się znaleźć poniżej poziomu drogi startowej, pobocza lub pasa. Zalecenie nie implikuje, że te powierzchnie powinny być wyrównane do wysokości dolnej granicy płaszczyzny zabezpieczenia wydłużonego startu, ani że rzeźba terenu czy obiekty, które wystają ponad tę płaszczyznę poza końcem pasa, lecz znajdują się poniżej poziomu pasa drogi startowej powinny być usunięte, chyba, że byłyby one ocenione, jako zagrożenie dla statku powietrznego.</w:t>
      </w:r>
    </w:p>
    <w:p w14:paraId="5ED94779"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Należy unikać gwałtownych zmian nachyleń w górę, jeżeli nachylenie zabezpieczenia wydłużonego startu jest stosunkowo nieznaczne lub nachylenie średnie jest dodatnie. W takim przypadku, w części zabezpieczenia wydłużonego startu zlokalizowanej w odległości mniejszej niż 22.5 m lub połowy szerokości drogi startowej, o ile jest większa, z jednej i drugiej strony przedłużenia linii środkowej drogi startowej, nachylenia i zmiany nachyleń, jak również przejście pomiędzy drogą startową i zabezpieczeniem wydłużonego startu, powinny być na ogół podobne do nachyleń i zmian nachyleń drogi startowej, z którym związane jest dane zabezpieczenie wydłużonego startu.</w:t>
      </w:r>
    </w:p>
    <w:p w14:paraId="5097DFF9"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Decyzja o zapewnieniu zabezpieczenia przerwanego startu i/lub zabezpieczenia wydłużonego startu, jako alternatywy dla zwiększenia długości drogi startowej, będzie uzależniona od charakterystyk fizycznych strefy znajdującej się za końcem drogi startowej oraz od wymogów wynikających z osiągów operacyjnych samolotów, mających użytkować daną drogę startową. Długość drogi startowej, zabezpieczenia przerwanego startu oraz zabezpieczenia wydłużonego startu jest określona na podstawie osiągów startowych samolotu, jednak należy również sprawdzić niezbędną długość lądowania tych statków w celu upewniania się, że droga startowa jest odpowiednia dla operacji lądowania. Długość zabezpieczenia wydłużonego startu, nie może być większa niż połowa rozporządzalnej długości rozbiegu (TORA).</w:t>
      </w:r>
    </w:p>
    <w:p w14:paraId="6D782653" w14:textId="7B55E418"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 New Roman"/>
          <w:szCs w:val="20"/>
        </w:rPr>
        <w:t>Ograniczenia operacyjne osiągów samolotu wymagają zapewnienia wystarczającej długości, umożliwiającej samolotowi, po rozpoczęciu rozbiegu przy starcie, całkowite zatrzymanie się lub bezpieczne wykonanie startu. Dla celów obliczeniowych zakłada się, że długość drogi startowej, zabezpieczenia przerwanego startu oraz zabezpieczenia wydłużonego startu na lotnisku będą odpowiednie dla samolotu wymagającego największej długości do startu i długości przerwanego startu, z uwzględnieniem masy startowej samolotu, charakterystyk drogi startowej i warunków atmosferycznych otoczenia. W tych warunkach, w czasie każdego startu występuje prędkość, zwana prędkością decyzji, poniżej której operacja startu powinna być przerwana w przypadku awarii silnika, oraz powyżej której start powinien być kontynuowany. Kontynuowanie startu w</w:t>
      </w:r>
      <w:r w:rsidR="009A3FFE" w:rsidRPr="009E064B">
        <w:rPr>
          <w:rFonts w:cs="Times New Roman"/>
          <w:szCs w:val="20"/>
        </w:rPr>
        <w:t> </w:t>
      </w:r>
      <w:r w:rsidRPr="009E064B">
        <w:rPr>
          <w:rFonts w:cs="Times New Roman"/>
          <w:szCs w:val="20"/>
        </w:rPr>
        <w:t>przypadku, gdy silnik ulegnie awarii przed osiągnięciem prędkości decyzji wymagać będzie bardzo długiego rozbiegu z powodu niewystarczającej prędkości oraz zmniejszonej rozporządzaln</w:t>
      </w:r>
      <w:r w:rsidR="008D30F4" w:rsidRPr="009E064B">
        <w:rPr>
          <w:rFonts w:cs="Times New Roman"/>
          <w:szCs w:val="20"/>
        </w:rPr>
        <w:t>ej mocy. Zatrzymanie samolotu w </w:t>
      </w:r>
      <w:r w:rsidRPr="009E064B">
        <w:rPr>
          <w:rFonts w:cs="Times New Roman"/>
          <w:szCs w:val="20"/>
        </w:rPr>
        <w:t>granicach pozostałej rozporządzalnej długości przerwanego startu (ASDA) nie byłoby trudne pod warunkiem natychmiastowego podjęcia działania. W tym przypadku poprawną decyzją byłoby przerwanie startu.</w:t>
      </w:r>
    </w:p>
    <w:p w14:paraId="35633A4F"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 New Roman"/>
          <w:szCs w:val="20"/>
        </w:rPr>
        <w:t xml:space="preserve">Z drugiej strony, jeżeli awaria silnika wystąpi po osiągnięciu prędkości decyzji, wówczas </w:t>
      </w:r>
      <w:r w:rsidRPr="009E064B">
        <w:rPr>
          <w:szCs w:val="20"/>
        </w:rPr>
        <w:t>uzyskana</w:t>
      </w:r>
      <w:r w:rsidRPr="009E064B">
        <w:rPr>
          <w:rFonts w:cs="Times New Roman"/>
          <w:szCs w:val="20"/>
        </w:rPr>
        <w:t xml:space="preserve"> już prędkość i moc jest wystarczająca do bezpiecznego kontynuowania startu w granicach pozostałej rozporządzalnej długości startu (TODA). Jednak z powodu dużej prędkości, byłoby trudno zatrzymać samolot w granicach pozostałej rozporządzalnej długości przerwanego startu (ASDA).</w:t>
      </w:r>
    </w:p>
    <w:p w14:paraId="3AC0C1CA"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 New Roman"/>
          <w:szCs w:val="20"/>
        </w:rPr>
        <w:t>Prędkość decyzji nie jest stałą prędkością dla danego samolotu, lecz może być przyjmowana przez pilotów w pewnych granicach, w zależności od rozporządzalnej długości startu (TODA) i rozporządzalnej długości przerwanego startu (ASDA), masy startowej samolotu, charakterystyki drogi startowej i warunków atmosferycznych na lotnisku. Zwykle, przyjmuje się tym większą prędkość decyzji, im większa jest rozporządzalna długość przerwanego startu (ASDA).</w:t>
      </w:r>
    </w:p>
    <w:p w14:paraId="0FD73B1A" w14:textId="3C72B745"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(g) </w:t>
      </w:r>
      <w:r w:rsidRPr="009E064B">
        <w:rPr>
          <w:rFonts w:cs="TimesNewRomanPS-BoldItalicMT"/>
          <w:bCs/>
          <w:iCs/>
          <w:szCs w:val="20"/>
        </w:rPr>
        <w:tab/>
      </w:r>
      <w:r w:rsidRPr="009E064B">
        <w:rPr>
          <w:rFonts w:cs="Times New Roman"/>
          <w:szCs w:val="20"/>
        </w:rPr>
        <w:t>Na podstawie masy startowej samolotu, długości drogi startowej i warunków atmosferycznych istnieje możliwość uzyskania różnych kombinacji niezbędnej długoś</w:t>
      </w:r>
      <w:r w:rsidR="00754744" w:rsidRPr="009E064B">
        <w:rPr>
          <w:rFonts w:cs="Times New Roman"/>
          <w:szCs w:val="20"/>
        </w:rPr>
        <w:t>ci przerwanego startu i </w:t>
      </w:r>
      <w:r w:rsidRPr="009E064B">
        <w:rPr>
          <w:rFonts w:cs="Times New Roman"/>
          <w:szCs w:val="20"/>
        </w:rPr>
        <w:t>niezbędnej długości przyjmowanej dla każdego konkretnego samolotu. Dla wybranego wariantu wymagana jest określona długość rozbiegu.</w:t>
      </w:r>
    </w:p>
    <w:p w14:paraId="4F030A51" w14:textId="171A4A36"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(h) </w:t>
      </w:r>
      <w:r w:rsidRPr="009E064B">
        <w:rPr>
          <w:rFonts w:cs="TimesNewRomanPS-BoldItalicMT"/>
          <w:bCs/>
          <w:iCs/>
          <w:szCs w:val="20"/>
        </w:rPr>
        <w:tab/>
      </w:r>
      <w:r w:rsidRPr="009E064B">
        <w:rPr>
          <w:rFonts w:cs="Times New Roman"/>
          <w:szCs w:val="20"/>
        </w:rPr>
        <w:t xml:space="preserve">Najbardziej znanym przypadkiem jest, gdy prędkość decyzji jest taka, że wymagana </w:t>
      </w:r>
      <w:r w:rsidRPr="009E064B">
        <w:rPr>
          <w:szCs w:val="20"/>
        </w:rPr>
        <w:t>długość</w:t>
      </w:r>
      <w:r w:rsidRPr="009E064B">
        <w:rPr>
          <w:rFonts w:cs="Times New Roman"/>
          <w:szCs w:val="20"/>
        </w:rPr>
        <w:t xml:space="preserve"> startu jest równa wymaganej długości przerwanego startu, Długość ta nazywana jest długością zrównoważoną drogi startowej. W przypadku braku zabezpieczenia wydłużonego startu oraz zabezpieczenia przerwanego startu, obie te długości są równe długości drogi startowej. Jeżeli jednak pominąć chwilowo długość lądowania, wówczas okaże się, że droga startowa nie musi rozciągać się na całej długości równoważnej drogi startowej, gdyż długość rozbiegu jest oczywiście mniejsza od długości równoważnej drogi. W rezultacie, długość zrównoważona drogi startowej może być zapewniona przez skróconą drogę startową, zabezpieczenie wydłużonego startu oraz zabezpieczenie przerwanego startu, zamiast w całości przez samą drogę startową. Jeżeli droga startowa wykorzystywana jest do startów w obu kierunkach, wówczas konieczne jest zapewnienie zabezpieczeń wydłuż</w:t>
      </w:r>
      <w:r w:rsidR="008D30F4" w:rsidRPr="009E064B">
        <w:rPr>
          <w:rFonts w:cs="Times New Roman"/>
          <w:szCs w:val="20"/>
        </w:rPr>
        <w:t>onego oraz przerwanego startu o </w:t>
      </w:r>
      <w:r w:rsidRPr="009E064B">
        <w:rPr>
          <w:rFonts w:cs="Times New Roman"/>
          <w:szCs w:val="20"/>
        </w:rPr>
        <w:t>jednakowych długościach, po obu końcach drogi startowej. Zmniejszenie długości drogi startowej odbywa się więc, kosztem zwiększenia długości całkowitej.</w:t>
      </w:r>
    </w:p>
    <w:p w14:paraId="42AFB645" w14:textId="77777777" w:rsidR="001A44D6" w:rsidRPr="009E064B" w:rsidRDefault="001A44D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rFonts w:cs="Times New Roman"/>
          <w:szCs w:val="20"/>
        </w:rPr>
        <w:t xml:space="preserve">Jeżeli, ze względów ekonomicznych, nie ma możliwości zapewnienia zabezpieczenia </w:t>
      </w:r>
      <w:r w:rsidRPr="009E064B">
        <w:rPr>
          <w:szCs w:val="20"/>
        </w:rPr>
        <w:t>przerwanego</w:t>
      </w:r>
      <w:r w:rsidRPr="009E064B">
        <w:rPr>
          <w:rFonts w:cs="Times New Roman"/>
          <w:szCs w:val="20"/>
        </w:rPr>
        <w:t xml:space="preserve"> startu i z tego powodu możliwe jest zastosowanie jedynie drogi startowej i zabezpieczenia wydłużonego startu, wówczas długość drogi startowej (nie uwzględniając potrzeb w zakresie lądowania) powinna być równa wymaganej długości przerwanego startu lub wymaganej długości rozbiegu przy starcie, w zależności od tego, która z tych wielkości jest większa. Rozporządzalna długość startu (TODA) powinna być równa sumie długości drogi startowej oraz długości zabezpieczenia wydłużonego startu.</w:t>
      </w:r>
    </w:p>
    <w:p w14:paraId="69F03DAB" w14:textId="23DD479C"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(j) </w:t>
      </w:r>
      <w:r w:rsidRPr="009E064B">
        <w:rPr>
          <w:rFonts w:cs="TimesNewRomanPS-BoldItalicMT"/>
          <w:bCs/>
          <w:iCs/>
          <w:szCs w:val="20"/>
        </w:rPr>
        <w:tab/>
      </w:r>
      <w:r w:rsidRPr="009E064B">
        <w:rPr>
          <w:rFonts w:cs="Times New Roman"/>
          <w:szCs w:val="20"/>
        </w:rPr>
        <w:t xml:space="preserve">Posługując się danymi z instrukcji użytkowania w locie, dla samolotu uznanego za </w:t>
      </w:r>
      <w:r w:rsidRPr="009E064B">
        <w:rPr>
          <w:szCs w:val="20"/>
        </w:rPr>
        <w:t>krytyczny</w:t>
      </w:r>
      <w:r w:rsidR="00754744" w:rsidRPr="009E064B">
        <w:rPr>
          <w:rFonts w:cs="Times New Roman"/>
          <w:szCs w:val="20"/>
        </w:rPr>
        <w:t xml:space="preserve"> w </w:t>
      </w:r>
      <w:r w:rsidRPr="009E064B">
        <w:rPr>
          <w:rFonts w:cs="Times New Roman"/>
          <w:szCs w:val="20"/>
        </w:rPr>
        <w:t>zakresie wymaganej długości drogi startowej, możliwe jest określenie minimalnej długości drogi startowej oraz maksymalnej długości wymaganych zabezpieczeń przerwanego i wydłużonego startu w następujący sposób:</w:t>
      </w:r>
    </w:p>
    <w:p w14:paraId="407AC9B3" w14:textId="77777777" w:rsidR="001A44D6" w:rsidRPr="009E064B" w:rsidRDefault="001A44D6"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cs="Times New Roman"/>
          <w:szCs w:val="20"/>
        </w:rPr>
        <w:t>jeżeli zapewnienie zabezpieczenia przerwanego startu jest ekonomicznie uzasadnione, wówczas planowane długości powinny odpowiadać zrównoważonej długości drogi startowej. Długość samej drogi startowej powinna odpowiadać wymaganej długości rozbiegu przy starcie lub wymaganej długości lądowania, w zależności od tego, która z tych wielkości jest większa. Jeżeli wymagana długość przerwanego startu jest większa niż długość drogi startowej, wówczas różnica tych długości może być zrekompensowana poprzez zapewnienie zabezpieczenia przerwanego startu, zwykle po obu końcach drogi startowej. Ponadto należy zapewnić zabezpieczenia wydłużonego startu o tej samej długości, co zabezpieczenie przerwanego startu;</w:t>
      </w:r>
    </w:p>
    <w:p w14:paraId="4198A62E" w14:textId="77777777" w:rsidR="001A44D6" w:rsidRPr="009E064B" w:rsidRDefault="001A44D6"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 New Roman"/>
          <w:szCs w:val="20"/>
        </w:rPr>
        <w:t>jeżeli nie przewiduje się zapewniania zabezpieczenia przerwanego startu, długość drogi startowej powinna odpowiadać wymaganej długości lądowania lub wymaganej długości przerwanego startu, jeżeli jest większa, która odpowiada najmniejszej wartości praktycznej prędkości decyzji. Różnica pomiędzy długością samej drogi startowej a wymaganą długością startu może być zrekompensowana poprzez zapewnienie zabezpieczenia wydłużonego startu, zwykle na obu końcach drogi startowej.</w:t>
      </w:r>
    </w:p>
    <w:p w14:paraId="182BF77F" w14:textId="77777777" w:rsidR="001A44D6" w:rsidRPr="009E064B" w:rsidRDefault="001A44D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(k) </w:t>
      </w:r>
      <w:r w:rsidRPr="009E064B">
        <w:rPr>
          <w:rFonts w:cs="TimesNewRomanPS-BoldItalicMT"/>
          <w:bCs/>
          <w:iCs/>
          <w:szCs w:val="20"/>
        </w:rPr>
        <w:tab/>
      </w:r>
      <w:r w:rsidRPr="009E064B">
        <w:rPr>
          <w:rFonts w:cs="Times New Roman"/>
          <w:szCs w:val="20"/>
        </w:rPr>
        <w:t xml:space="preserve">Poza powyższymi uwarunkowaniami, zabezpieczenie wydłużonego startu może być </w:t>
      </w:r>
      <w:r w:rsidRPr="009E064B">
        <w:rPr>
          <w:szCs w:val="20"/>
        </w:rPr>
        <w:t>zastosowane</w:t>
      </w:r>
      <w:r w:rsidRPr="009E064B">
        <w:rPr>
          <w:rFonts w:cs="Times New Roman"/>
          <w:szCs w:val="20"/>
        </w:rPr>
        <w:t xml:space="preserve"> w pewnych przypadkach, gdy wymagana długość startu, przy wszystkich pracujących silnikach przekracza długość wymaganą w przypadku awarii jednego silnika.</w:t>
      </w:r>
    </w:p>
    <w:p w14:paraId="69C2933C" w14:textId="5C9FF5CA" w:rsidR="00C36D76" w:rsidRPr="009E064B" w:rsidRDefault="00C36D76" w:rsidP="00B06A9A">
      <w:pPr>
        <w:pStyle w:val="Nagwek4"/>
        <w:rPr>
          <w:color w:val="auto"/>
        </w:rPr>
      </w:pPr>
      <w:bookmarkStart w:id="985" w:name="_Toc12532989"/>
      <w:r w:rsidRPr="009E064B">
        <w:rPr>
          <w:color w:val="auto"/>
        </w:rPr>
        <w:t xml:space="preserve">CS ADR-DSN.B.200 </w:t>
      </w:r>
      <w:r w:rsidR="00D05B14" w:rsidRPr="009E064B">
        <w:rPr>
          <w:color w:val="auto"/>
        </w:rPr>
        <w:t xml:space="preserve">    </w:t>
      </w:r>
      <w:r w:rsidRPr="009E064B">
        <w:rPr>
          <w:color w:val="auto"/>
        </w:rPr>
        <w:t>Zabezpieczenie przerwanego startu</w:t>
      </w:r>
      <w:bookmarkEnd w:id="984"/>
      <w:bookmarkEnd w:id="985"/>
    </w:p>
    <w:p w14:paraId="6897454D" w14:textId="670594BA"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0E4A9961"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szCs w:val="20"/>
        </w:rPr>
        <w:t>Umieszczenie</w:t>
      </w:r>
      <w:r w:rsidRPr="009E064B">
        <w:rPr>
          <w:rFonts w:cs="TimesNewRomanPS-ItalicMT"/>
          <w:iCs/>
          <w:szCs w:val="20"/>
        </w:rPr>
        <w:t xml:space="preserve"> poniżej szczegółowych specyfikacji dla zabezpieczenia przerwanego startu nie oznacza, że zabezpieczenie przerwanego startu musi być zapewnione.</w:t>
      </w:r>
    </w:p>
    <w:p w14:paraId="5EEAE21F"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szCs w:val="20"/>
        </w:rPr>
        <w:t>Szerokość</w:t>
      </w:r>
      <w:r w:rsidRPr="009E064B">
        <w:rPr>
          <w:rFonts w:cs="TimesNewRomanPS-BoldItalicMT"/>
          <w:bCs/>
          <w:iCs/>
          <w:szCs w:val="20"/>
        </w:rPr>
        <w:t xml:space="preserve"> zabezpieczenia przerwanego startu:</w:t>
      </w:r>
    </w:p>
    <w:p w14:paraId="73F1AED4" w14:textId="180E8FA0" w:rsidR="00C36D76" w:rsidRPr="009E064B" w:rsidRDefault="00C36D76" w:rsidP="00B06A9A">
      <w:pPr>
        <w:pStyle w:val="Akapitzlist"/>
        <w:autoSpaceDE w:val="0"/>
        <w:autoSpaceDN w:val="0"/>
        <w:adjustRightInd w:val="0"/>
        <w:ind w:left="567"/>
        <w:rPr>
          <w:rFonts w:cs="TimesNewRomanPSMT"/>
          <w:szCs w:val="20"/>
        </w:rPr>
      </w:pPr>
      <w:r w:rsidRPr="009E064B">
        <w:rPr>
          <w:rFonts w:cs="TimesNewRomanPSMT"/>
          <w:szCs w:val="20"/>
        </w:rPr>
        <w:t xml:space="preserve">Zabezpieczenie przerwanego startu powinno mieć tę samą szerokość </w:t>
      </w:r>
      <w:r w:rsidR="0006132E" w:rsidRPr="009E064B">
        <w:rPr>
          <w:rFonts w:cs="TimesNewRomanPSMT"/>
          <w:szCs w:val="20"/>
        </w:rPr>
        <w:t>co</w:t>
      </w:r>
      <w:r w:rsidRPr="009E064B">
        <w:rPr>
          <w:rFonts w:cs="TimesNewRomanPSMT"/>
          <w:szCs w:val="20"/>
        </w:rPr>
        <w:t xml:space="preserve"> droga startowa, z którą jest związane.</w:t>
      </w:r>
    </w:p>
    <w:p w14:paraId="19CCE69E" w14:textId="77777777" w:rsidR="00C36D76" w:rsidRPr="009E064B" w:rsidRDefault="00C36D76" w:rsidP="009A3FFE">
      <w:pPr>
        <w:tabs>
          <w:tab w:val="left" w:pos="567"/>
        </w:tabs>
        <w:autoSpaceDE w:val="0"/>
        <w:autoSpaceDN w:val="0"/>
        <w:adjustRightInd w:val="0"/>
        <w:spacing w:after="6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Nachylenia zabezpieczenia przerwanego startu:</w:t>
      </w:r>
    </w:p>
    <w:p w14:paraId="64B7E894" w14:textId="6D174A4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 xml:space="preserve">Nachylenie i zmiany nachylenia zabezpieczenia przerwanego startu, oraz przejście pomiędzy drogą startową i zabezpieczeniem przerwanego startu, powinny odpowiadać </w:t>
      </w:r>
      <w:r w:rsidR="009D084D" w:rsidRPr="009E064B">
        <w:rPr>
          <w:rFonts w:cs="TimesNewRomanPS-ItalicMT"/>
          <w:iCs/>
          <w:szCs w:val="20"/>
        </w:rPr>
        <w:t>specyfikacjom od </w:t>
      </w:r>
      <w:hyperlink w:anchor="_CS_ADR-DSN.B.060_" w:history="1">
        <w:r w:rsidRPr="009E064B">
          <w:rPr>
            <w:rStyle w:val="Hipercze"/>
          </w:rPr>
          <w:t>CS ADR</w:t>
        </w:r>
        <w:r w:rsidRPr="009E064B">
          <w:rPr>
            <w:rStyle w:val="Hipercze"/>
            <w:szCs w:val="20"/>
          </w:rPr>
          <w:t>-D</w:t>
        </w:r>
        <w:r w:rsidRPr="009E064B">
          <w:rPr>
            <w:rStyle w:val="Hipercze"/>
            <w:spacing w:val="2"/>
            <w:szCs w:val="20"/>
          </w:rPr>
          <w:t>S</w:t>
        </w:r>
        <w:r w:rsidRPr="009E064B">
          <w:rPr>
            <w:rStyle w:val="Hipercze"/>
            <w:szCs w:val="20"/>
          </w:rPr>
          <w:t>N</w:t>
        </w:r>
        <w:r w:rsidRPr="009E064B">
          <w:rPr>
            <w:rStyle w:val="Hipercze"/>
            <w:spacing w:val="-1"/>
            <w:szCs w:val="20"/>
          </w:rPr>
          <w:t>.</w:t>
        </w:r>
        <w:r w:rsidRPr="009E064B">
          <w:rPr>
            <w:rStyle w:val="Hipercze"/>
            <w:spacing w:val="2"/>
            <w:szCs w:val="20"/>
          </w:rPr>
          <w:t>B</w:t>
        </w:r>
        <w:r w:rsidRPr="009E064B">
          <w:rPr>
            <w:rStyle w:val="Hipercze"/>
            <w:spacing w:val="1"/>
            <w:szCs w:val="20"/>
          </w:rPr>
          <w:t>.</w:t>
        </w:r>
        <w:r w:rsidRPr="009E064B">
          <w:rPr>
            <w:rStyle w:val="Hipercze"/>
            <w:szCs w:val="20"/>
          </w:rPr>
          <w:t>060</w:t>
        </w:r>
      </w:hyperlink>
      <w:r w:rsidRPr="009E064B">
        <w:rPr>
          <w:spacing w:val="69"/>
          <w:szCs w:val="20"/>
        </w:rPr>
        <w:t xml:space="preserve"> </w:t>
      </w:r>
      <w:r w:rsidRPr="009E064B">
        <w:rPr>
          <w:szCs w:val="20"/>
        </w:rPr>
        <w:t xml:space="preserve">do </w:t>
      </w:r>
      <w:hyperlink w:anchor="_CS_ADR-DSN.B.080_" w:history="1">
        <w:r w:rsidRPr="009E064B">
          <w:rPr>
            <w:rStyle w:val="Hipercze"/>
          </w:rPr>
          <w:t>CS ADR</w:t>
        </w:r>
        <w:r w:rsidRPr="009E064B">
          <w:rPr>
            <w:rStyle w:val="Hipercze"/>
            <w:szCs w:val="20"/>
          </w:rPr>
          <w:t>-DSN.B.080</w:t>
        </w:r>
      </w:hyperlink>
      <w:r w:rsidRPr="009E064B">
        <w:rPr>
          <w:spacing w:val="-4"/>
          <w:szCs w:val="20"/>
        </w:rPr>
        <w:t xml:space="preserve"> </w:t>
      </w:r>
      <w:r w:rsidRPr="009E064B">
        <w:rPr>
          <w:rFonts w:cs="TimesNewRomanPS-ItalicMT"/>
          <w:iCs/>
          <w:szCs w:val="20"/>
        </w:rPr>
        <w:t>wymaganym dla drogi startowej, z którą pole zabezpieczenia przerwanego startu jest związane, z wyjątkiem, gdy:</w:t>
      </w:r>
    </w:p>
    <w:p w14:paraId="7E6263E8" w14:textId="4598C2F1"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 xml:space="preserve">ograniczenie wymienione w </w:t>
      </w:r>
      <w:hyperlink w:anchor="_CS_ADR-DSN.B.060_" w:history="1">
        <w:r w:rsidRPr="009E064B">
          <w:rPr>
            <w:rStyle w:val="Hipercze"/>
            <w:szCs w:val="20"/>
          </w:rPr>
          <w:t>CS</w:t>
        </w:r>
        <w:r w:rsidRPr="009E064B">
          <w:rPr>
            <w:rStyle w:val="Hipercze"/>
            <w:spacing w:val="6"/>
            <w:szCs w:val="20"/>
          </w:rPr>
          <w:t> </w:t>
        </w:r>
        <w:r w:rsidRPr="009E064B">
          <w:rPr>
            <w:rStyle w:val="Hipercze"/>
            <w:szCs w:val="20"/>
          </w:rPr>
          <w:t>A</w:t>
        </w:r>
        <w:r w:rsidRPr="009E064B">
          <w:rPr>
            <w:rStyle w:val="Hipercze"/>
            <w:spacing w:val="-2"/>
            <w:szCs w:val="20"/>
          </w:rPr>
          <w:t>D</w:t>
        </w:r>
        <w:r w:rsidRPr="009E064B">
          <w:rPr>
            <w:rStyle w:val="Hipercze"/>
            <w:szCs w:val="20"/>
          </w:rPr>
          <w:t>R-DSN.B.06</w:t>
        </w:r>
        <w:r w:rsidRPr="009E064B">
          <w:rPr>
            <w:rStyle w:val="Hipercze"/>
            <w:spacing w:val="1"/>
            <w:szCs w:val="20"/>
          </w:rPr>
          <w:t>0</w:t>
        </w:r>
      </w:hyperlink>
      <w:r w:rsidR="0039566F" w:rsidRPr="009E064B">
        <w:rPr>
          <w:spacing w:val="1"/>
          <w:szCs w:val="20"/>
        </w:rPr>
        <w:t xml:space="preserve"> lit. </w:t>
      </w:r>
      <w:r w:rsidRPr="009E064B">
        <w:rPr>
          <w:szCs w:val="20"/>
        </w:rPr>
        <w:t>(b)</w:t>
      </w:r>
      <w:r w:rsidRPr="009E064B">
        <w:rPr>
          <w:spacing w:val="6"/>
          <w:szCs w:val="20"/>
        </w:rPr>
        <w:t xml:space="preserve"> </w:t>
      </w:r>
      <w:r w:rsidRPr="009E064B">
        <w:rPr>
          <w:rFonts w:cs="TimesNewRomanPS-ItalicMT"/>
          <w:iCs/>
          <w:szCs w:val="20"/>
        </w:rPr>
        <w:t>o nachyleniu nieprzekraczającym 0,8% na pierwszej i ostatniej ćwiartce długości drogi startowej, nie musi być stosowane do zabezpieczenia przerwanego startu; oraz</w:t>
      </w:r>
    </w:p>
    <w:p w14:paraId="1F9FBBEF"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maksymalna zmiana nachylenia przy połączeniu zabezpieczenia przerwanego startu i drogi startowej oraz wzdłuż zabezpieczenia przerwanego startu może osiągnąć 0,3% na każde 30 m (minimalny promień krzywizny równy 10 000 m), jeżeli cyfra kodu drogi startowej wynosi 3 lub 4.</w:t>
      </w:r>
    </w:p>
    <w:p w14:paraId="4DF99504" w14:textId="77777777" w:rsidR="00C36D76" w:rsidRPr="009E064B" w:rsidRDefault="00C36D76" w:rsidP="009A3FFE">
      <w:pPr>
        <w:tabs>
          <w:tab w:val="left" w:pos="567"/>
        </w:tabs>
        <w:autoSpaceDE w:val="0"/>
        <w:autoSpaceDN w:val="0"/>
        <w:adjustRightInd w:val="0"/>
        <w:spacing w:after="60"/>
        <w:ind w:left="567" w:hanging="567"/>
        <w:rPr>
          <w:rFonts w:cs="TimesNewRomanPS-BoldItalicMT"/>
          <w:bCs/>
          <w:iCs/>
          <w:szCs w:val="20"/>
        </w:rPr>
      </w:pPr>
      <w:r w:rsidRPr="009E064B">
        <w:rPr>
          <w:rFonts w:cs="Times New Roman"/>
          <w:szCs w:val="20"/>
        </w:rPr>
        <w:t xml:space="preserve">(d) </w:t>
      </w:r>
      <w:r w:rsidRPr="009E064B">
        <w:rPr>
          <w:rFonts w:cs="Times New Roman"/>
          <w:szCs w:val="20"/>
        </w:rPr>
        <w:tab/>
      </w:r>
      <w:r w:rsidRPr="009E064B">
        <w:rPr>
          <w:rFonts w:cs="TimesNewRomanPS-BoldItalicMT"/>
          <w:bCs/>
          <w:iCs/>
          <w:szCs w:val="20"/>
        </w:rPr>
        <w:t>Nośność zabezpieczenia przerwanego startu:</w:t>
      </w:r>
    </w:p>
    <w:p w14:paraId="7AD6A872"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Zabezpieczenie przerwanego startu powinno być przygotowane lub zbudowane w sposób pozwalający na przeniesienie, w przypadku przerwanego startu, obciążenia statków powietrznych, dla których jest ono przewidziane, bez uszkodzenia konstrukcji statku powietrznego.</w:t>
      </w:r>
    </w:p>
    <w:p w14:paraId="18091022" w14:textId="77777777" w:rsidR="00C36D76" w:rsidRPr="009E064B" w:rsidRDefault="00C36D76" w:rsidP="009A3FFE">
      <w:pPr>
        <w:tabs>
          <w:tab w:val="left" w:pos="567"/>
        </w:tabs>
        <w:autoSpaceDE w:val="0"/>
        <w:autoSpaceDN w:val="0"/>
        <w:adjustRightInd w:val="0"/>
        <w:spacing w:after="60"/>
        <w:ind w:left="567" w:hanging="567"/>
        <w:rPr>
          <w:rFonts w:cs="TimesNewRomanPS-BoldItalicMT"/>
          <w:bCs/>
          <w:iCs/>
          <w:szCs w:val="20"/>
        </w:rPr>
      </w:pPr>
      <w:r w:rsidRPr="009E064B">
        <w:rPr>
          <w:rFonts w:cs="Times New Roman"/>
          <w:szCs w:val="20"/>
        </w:rPr>
        <w:t xml:space="preserve">(e) </w:t>
      </w:r>
      <w:r w:rsidRPr="009E064B">
        <w:rPr>
          <w:rFonts w:cs="Times New Roman"/>
          <w:szCs w:val="20"/>
        </w:rPr>
        <w:tab/>
      </w:r>
      <w:r w:rsidRPr="009E064B">
        <w:rPr>
          <w:rFonts w:cs="TimesNewRomanPS-BoldItalicMT"/>
          <w:bCs/>
          <w:iCs/>
          <w:szCs w:val="20"/>
        </w:rPr>
        <w:t>Powierzchnia zabezpieczenia przerwanego startu:</w:t>
      </w:r>
    </w:p>
    <w:p w14:paraId="2EBC9F6D" w14:textId="77777777" w:rsidR="00C36D76" w:rsidRPr="009E064B" w:rsidRDefault="00C36D76" w:rsidP="00B06A9A">
      <w:pPr>
        <w:pStyle w:val="Akapitzlist"/>
        <w:autoSpaceDE w:val="0"/>
        <w:autoSpaceDN w:val="0"/>
        <w:adjustRightInd w:val="0"/>
        <w:spacing w:after="0"/>
        <w:ind w:left="567"/>
        <w:rPr>
          <w:rFonts w:cs="TimesNewRomanPS-ItalicMT"/>
          <w:iCs/>
          <w:szCs w:val="20"/>
        </w:rPr>
      </w:pPr>
      <w:r w:rsidRPr="009E064B">
        <w:rPr>
          <w:rFonts w:cs="TimesNewRomanPS-ItalicMT"/>
          <w:iCs/>
          <w:szCs w:val="20"/>
        </w:rPr>
        <w:t>Powierzchnia zabezpieczenia przerwanego startu o nawierzchni sztucznej powinna być zbudowana lub odnowiona w taki sposób, aby zapewnione były charakterystyki tarcia powierzchni, równe lub wyższe od charakterystyk związanej z nim drogi startowej.</w:t>
      </w:r>
    </w:p>
    <w:p w14:paraId="153CDF7C" w14:textId="77777777"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B564514" w14:textId="77777777" w:rsidR="008413FC" w:rsidRPr="009E064B" w:rsidRDefault="00D05B14" w:rsidP="00133B99">
      <w:pPr>
        <w:pStyle w:val="Nagwek6"/>
      </w:pPr>
      <w:bookmarkStart w:id="986" w:name="_Toc482886794"/>
      <w:bookmarkStart w:id="987" w:name="_Toc12532990"/>
      <w:bookmarkStart w:id="988" w:name="_Toc482886571"/>
      <w:r w:rsidRPr="009E064B">
        <w:t xml:space="preserve">GM1 ADR-DSN.B.200     </w:t>
      </w:r>
      <w:r w:rsidR="008413FC" w:rsidRPr="009E064B">
        <w:t>Zabezpieczenie przerwanego startu</w:t>
      </w:r>
      <w:bookmarkEnd w:id="986"/>
      <w:bookmarkEnd w:id="987"/>
    </w:p>
    <w:p w14:paraId="17A4F07A" w14:textId="7AF10A47"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2DAA347D" w14:textId="77777777" w:rsidR="008413FC" w:rsidRPr="009E064B" w:rsidRDefault="008413FC"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Przejście</w:t>
      </w:r>
      <w:r w:rsidRPr="009E064B">
        <w:rPr>
          <w:rFonts w:eastAsia="Times New Roman,Italic" w:cs="Times New Roman,Italic"/>
          <w:iCs/>
          <w:szCs w:val="20"/>
        </w:rPr>
        <w:t xml:space="preserve"> z jednego nachylenia do drugiego powinno być wykonane płaszczyzną zakrzywioną, której stopień zmiany nachylenia nie powinien przekraczać:</w:t>
      </w:r>
    </w:p>
    <w:p w14:paraId="75AC73C7" w14:textId="77777777" w:rsidR="008413FC" w:rsidRPr="009E064B" w:rsidRDefault="008413FC"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0.3% na 30 m (minimalny promień krzywizny równy 10 000 m), jeżeli cyfra kodu wynosi 3 lub 4; oraz</w:t>
      </w:r>
    </w:p>
    <w:p w14:paraId="73E2875C" w14:textId="14BFE30A" w:rsidR="008413FC" w:rsidRPr="009E064B" w:rsidRDefault="008413FC"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0.4% na 30 m (minimalny promień krzywizny równy 7 500</w:t>
      </w:r>
      <w:r w:rsidR="008D30F4" w:rsidRPr="009E064B">
        <w:rPr>
          <w:rFonts w:eastAsia="Times New Roman,Italic" w:cs="Times New Roman,Italic"/>
          <w:iCs/>
          <w:szCs w:val="20"/>
        </w:rPr>
        <w:t xml:space="preserve"> m), jeżeli cyfra kodu wynosi 1 </w:t>
      </w:r>
      <w:r w:rsidRPr="009E064B">
        <w:rPr>
          <w:rFonts w:eastAsia="Times New Roman,Italic" w:cs="Times New Roman,Italic"/>
          <w:iCs/>
          <w:szCs w:val="20"/>
        </w:rPr>
        <w:t>lub 2.</w:t>
      </w:r>
    </w:p>
    <w:p w14:paraId="546FCE2E" w14:textId="77777777" w:rsidR="008413FC" w:rsidRPr="009E064B" w:rsidRDefault="008413FC"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Charakterystyki</w:t>
      </w:r>
      <w:r w:rsidRPr="009E064B">
        <w:rPr>
          <w:rFonts w:eastAsia="Times New Roman,Italic" w:cs="Times New Roman,Italic"/>
          <w:iCs/>
          <w:szCs w:val="20"/>
        </w:rPr>
        <w:t xml:space="preserve"> tarcia zabezpieczenia przerwanego startu bez nawierzchni sztucznej nie powinny być znacznie gorsze niż charakterystyki tarcia drogi startowej, z którą dane zabezpieczenie przerwanego startu jest połączone.</w:t>
      </w:r>
    </w:p>
    <w:p w14:paraId="60459AFE" w14:textId="77777777" w:rsidR="008413FC" w:rsidRPr="009E064B" w:rsidRDefault="008413FC"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Oszczędność uzyskana poprzez zastosowanie zabezpieczenia przerwanego startu może być całkowicie utracona, jeżeli po każdym jego użyciu konieczne będzie ponowne wyrównanie i zagęszczenie. Z tego powodu, zabezpieczenie przerywanego startu powinno być zbudowane w taki sposób, aby zapewniało możliwość przeniesienia pewnej minimalnej ilości obciążeń od samolotu, dla którego jest ono przeznaczone, nie powodując przy tym uszkodzeń konstrukcyjnych samolotu. Pomimo tego, że zabezpieczenie przerwanego startu może mieć nawierzchnię sztuczną nie oznacza to, że rysunki PCN muszą być opracowane dla zabezpieczenia przerwanego startu. Szczegółowe wytyczne znajdują się w podręczniku ICAO Doc 4444 (PANS-ATM).</w:t>
      </w:r>
    </w:p>
    <w:p w14:paraId="4BCF31FA" w14:textId="77777777" w:rsidR="005D070C" w:rsidRDefault="008413FC" w:rsidP="006E3939">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CFCDB2D" w14:textId="2ABB3E65" w:rsidR="00C36D76" w:rsidRPr="009E064B" w:rsidRDefault="00210EDA" w:rsidP="00B06A9A">
      <w:pPr>
        <w:pStyle w:val="Nagwek4"/>
        <w:rPr>
          <w:color w:val="auto"/>
        </w:rPr>
      </w:pPr>
      <w:bookmarkStart w:id="989" w:name="_Toc12532991"/>
      <w:r w:rsidRPr="009E064B">
        <w:rPr>
          <w:color w:val="auto"/>
        </w:rPr>
        <w:t xml:space="preserve">CS ADR-DSN.B.205     </w:t>
      </w:r>
      <w:r w:rsidR="00C36D76" w:rsidRPr="009E064B">
        <w:rPr>
          <w:color w:val="auto"/>
        </w:rPr>
        <w:t>Strefa operacyjna radiowysokościomierza</w:t>
      </w:r>
      <w:bookmarkEnd w:id="988"/>
      <w:bookmarkEnd w:id="989"/>
    </w:p>
    <w:p w14:paraId="3B713BCB" w14:textId="016A25B6"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020FAAB3" w14:textId="77777777" w:rsidR="00C36D76" w:rsidRPr="009E064B" w:rsidRDefault="00C36D76" w:rsidP="00B06A9A">
      <w:pPr>
        <w:tabs>
          <w:tab w:val="left" w:pos="567"/>
        </w:tabs>
        <w:autoSpaceDE w:val="0"/>
        <w:autoSpaceDN w:val="0"/>
        <w:adjustRightInd w:val="0"/>
        <w:ind w:left="567" w:hanging="567"/>
        <w:rPr>
          <w:rFonts w:cs="TimesNewRomanPS-BoldMT"/>
          <w:b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 xml:space="preserve">Strefa operacyjna radiowysokościomierza powinna być zlokalizowana przed </w:t>
      </w:r>
      <w:r w:rsidRPr="009E064B">
        <w:rPr>
          <w:rFonts w:cs="TimesNewRomanPS-BoldItalicMT"/>
          <w:bCs/>
          <w:iCs/>
          <w:szCs w:val="20"/>
        </w:rPr>
        <w:t>progiem</w:t>
      </w:r>
      <w:r w:rsidRPr="009E064B">
        <w:rPr>
          <w:rFonts w:cs="TimesNewRomanPS-ItalicMT"/>
          <w:iCs/>
          <w:szCs w:val="20"/>
        </w:rPr>
        <w:t xml:space="preserve"> drogi startowej z podejściem precyzyjnym kategorii II i III, oraz gdzie jest to możliwe, przed progiem drogi startowej z podejściem precyzyjnym kategorii I.</w:t>
      </w:r>
    </w:p>
    <w:p w14:paraId="2E14413D"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Długość</w:t>
      </w:r>
      <w:r w:rsidRPr="009E064B">
        <w:rPr>
          <w:rFonts w:cs="TimesNewRomanPS-BoldItalicMT"/>
          <w:bCs/>
          <w:iCs/>
          <w:szCs w:val="20"/>
        </w:rPr>
        <w:t xml:space="preserve"> strefy:</w:t>
      </w:r>
    </w:p>
    <w:p w14:paraId="5A177B15" w14:textId="77777777" w:rsidR="00C36D76" w:rsidRPr="009E064B" w:rsidRDefault="00C36D76" w:rsidP="00B06A9A">
      <w:pPr>
        <w:pStyle w:val="Akapitzlist"/>
        <w:autoSpaceDE w:val="0"/>
        <w:autoSpaceDN w:val="0"/>
        <w:adjustRightInd w:val="0"/>
        <w:ind w:left="567"/>
        <w:rPr>
          <w:rFonts w:cs="TimesNewRomanPS-BoldMT"/>
          <w:bCs/>
          <w:szCs w:val="20"/>
        </w:rPr>
      </w:pPr>
      <w:r w:rsidRPr="009E064B">
        <w:rPr>
          <w:rFonts w:cs="TimesNewRomanPS-ItalicMT"/>
          <w:iCs/>
          <w:szCs w:val="20"/>
        </w:rPr>
        <w:t>Strefa operacyjna radiowysokościomierza powinna rozciągać się przed progiem drogi startowej, na odległość nie mniejszą niż 300 m od progu.</w:t>
      </w:r>
    </w:p>
    <w:p w14:paraId="51D9AEC4"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Szerokość strefy</w:t>
      </w:r>
    </w:p>
    <w:p w14:paraId="271282C0"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Strefa operacyjna radiowysokościomierza powinna się rozciągać z każdej strony przedłużenia linii środkowej drogi startowej, na przestrzeni 60 m, z wyjątkiem przypadków, gdy odległość tę można zmniejszyć do nie mniej niż 30 m, o ile ocena bezpieczeństwa wykaże, że zmniejszenie tej odległości nie wpłynie na bezpieczeństwo operacji lotniczych.</w:t>
      </w:r>
    </w:p>
    <w:p w14:paraId="0C2EC8A9"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9D4A4C0" w14:textId="6F055242" w:rsidR="008413FC" w:rsidRPr="009E064B" w:rsidRDefault="008413FC" w:rsidP="00133B99">
      <w:pPr>
        <w:pStyle w:val="Nagwek6"/>
      </w:pPr>
      <w:bookmarkStart w:id="990" w:name="_Toc401058929"/>
      <w:bookmarkStart w:id="991" w:name="_Toc482886795"/>
      <w:bookmarkStart w:id="992" w:name="_Toc12532992"/>
      <w:r w:rsidRPr="009E064B">
        <w:t xml:space="preserve">GM1 ADR-DSN.B.205 </w:t>
      </w:r>
      <w:r w:rsidR="00D05B14" w:rsidRPr="009E064B">
        <w:t xml:space="preserve">    </w:t>
      </w:r>
      <w:r w:rsidRPr="009E064B">
        <w:t>Strefa operacyjna radiowysokościomierza</w:t>
      </w:r>
      <w:bookmarkEnd w:id="990"/>
      <w:bookmarkEnd w:id="991"/>
      <w:bookmarkEnd w:id="992"/>
    </w:p>
    <w:p w14:paraId="6DC16424" w14:textId="093B7D4E"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2F2BA5CD" w14:textId="77777777" w:rsidR="008413FC" w:rsidRPr="009E064B" w:rsidRDefault="008413FC"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 xml:space="preserve">W celu umożliwienia wykonywania przez samoloty operacji podejścia do lądowania z użyciem autopilota oraz automatycznego lądowania (niezależnie od warunków atmosferycznych), korzystne jest unikanie zmian nachylenia lub ograniczenie tych zmian do niezbędnego minimum na prostokątnym obszarze o długości minimum 300 m od progu drogi startowej z podejściem precyzyjnym. Obszar ten powinien mieć szerokość 120 m oraz być symetryczny względem wydłużonej linii środkowej drogi startowej. Szerokość ta może być zmniejszona do nie mniej niż 60 m, jeżeli podjęto specjalne środki oraz ocena bezpieczeństwa wykaże, że takie zmniejszenie szerokości nie wpłynie negatywnie na bezpieczeństwo operacji statków powietrznych. Jest to pożądane, ponieważ samoloty są wyposażone w radiowysokościomierz wykorzystywany do określania wysokości w końcowej fazie podejścia oraz w fazie wytrzymania, a kiedy samolot znajduje się nad terenem bezpośrednio przylegającym do progu, radiowysokościomierz powinien zacząć dostarczać informacje do systemu automatycznego pilota, umożliwiając rozpoczęcie fazy automatycznego wytrzymania. Jeżeli nie można uniknąć zmian nachylenia, wówczas zmiana nachylenia pomiędzy dwoma sąsiednimi nachyleniami nie powinna przekraczać 2% na 30 m. </w:t>
      </w:r>
    </w:p>
    <w:p w14:paraId="38847287" w14:textId="77777777" w:rsidR="008413FC" w:rsidRPr="009E064B" w:rsidRDefault="008413FC"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 New Roman"/>
          <w:szCs w:val="20"/>
        </w:rPr>
        <w:t>Jeżeli</w:t>
      </w:r>
      <w:r w:rsidRPr="009E064B">
        <w:rPr>
          <w:rFonts w:eastAsia="Times New Roman,Italic" w:cs="Times New Roman,Italic"/>
          <w:iCs/>
          <w:szCs w:val="20"/>
        </w:rPr>
        <w:t xml:space="preserve"> strefa operacyjna radiowysokościomierza znajduje się przed progiem drogi startowej z podejściem precyzyjnym, margines obliczeń wysokości decyzji powinien być mniejszy oraz używalność przylegającej drogi startowej, może być poprawiona.</w:t>
      </w:r>
    </w:p>
    <w:p w14:paraId="4C2A82B4" w14:textId="77777777" w:rsidR="008413FC" w:rsidRPr="009E064B" w:rsidRDefault="008413FC"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Szczegółowe</w:t>
      </w:r>
      <w:r w:rsidRPr="009E064B">
        <w:rPr>
          <w:rFonts w:eastAsia="Times New Roman,Italic" w:cs="Times New Roman,Italic"/>
          <w:iCs/>
          <w:szCs w:val="20"/>
        </w:rPr>
        <w:t xml:space="preserve"> wytyczne na temat strefy operacyjnej wysokościomierza znajdują się w „</w:t>
      </w:r>
      <w:r w:rsidRPr="009E064B">
        <w:rPr>
          <w:rFonts w:eastAsia="Times New Roman,Italic" w:cs="Times New Roman,Italic"/>
          <w:i/>
          <w:iCs/>
          <w:szCs w:val="20"/>
        </w:rPr>
        <w:t>Podręczniku operacji w każdych warunkach pogodowych</w:t>
      </w:r>
      <w:r w:rsidRPr="009E064B">
        <w:rPr>
          <w:rFonts w:eastAsia="Times New Roman,Italic" w:cs="Times New Roman,Italic"/>
          <w:iCs/>
          <w:szCs w:val="20"/>
        </w:rPr>
        <w:t>” ICAO Doc 9365 (Sekcja 5.2). Wytyczne na temat użycia radiowysokościomierza znajdują się w podręczniku ICAO PANS-OPS, Tom II, Część II, Sekcja 1.</w:t>
      </w:r>
    </w:p>
    <w:p w14:paraId="15E50F2E" w14:textId="77777777" w:rsidR="008413FC" w:rsidRPr="009E064B" w:rsidRDefault="008413FC"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75DBB06" w14:textId="77777777" w:rsidR="008413FC" w:rsidRPr="009E064B" w:rsidRDefault="008413FC" w:rsidP="00B06A9A">
      <w:pPr>
        <w:rPr>
          <w:szCs w:val="20"/>
        </w:rPr>
      </w:pPr>
    </w:p>
    <w:p w14:paraId="21DCB876" w14:textId="77777777" w:rsidR="00C36D76" w:rsidRPr="009E064B" w:rsidRDefault="00C36D76" w:rsidP="00B06A9A">
      <w:pPr>
        <w:rPr>
          <w:szCs w:val="20"/>
        </w:rPr>
        <w:sectPr w:rsidR="00C36D76" w:rsidRPr="009E064B" w:rsidSect="00AE1280">
          <w:headerReference w:type="default" r:id="rId113"/>
          <w:headerReference w:type="first" r:id="rId114"/>
          <w:pgSz w:w="11906" w:h="16840" w:code="9"/>
          <w:pgMar w:top="1701" w:right="1418" w:bottom="1418" w:left="1418" w:header="567" w:footer="454" w:gutter="0"/>
          <w:cols w:space="708"/>
          <w:titlePg/>
          <w:docGrid w:linePitch="360"/>
        </w:sectPr>
      </w:pPr>
    </w:p>
    <w:p w14:paraId="51A5719B" w14:textId="77777777" w:rsidR="00E84442" w:rsidRPr="009E064B" w:rsidRDefault="00E84442" w:rsidP="00E84442">
      <w:bookmarkStart w:id="993" w:name="_Toc382725605"/>
      <w:bookmarkStart w:id="994" w:name="_Toc482886572"/>
    </w:p>
    <w:p w14:paraId="4DB3C706" w14:textId="1B9581E8" w:rsidR="00C36D76" w:rsidRPr="009E064B" w:rsidRDefault="00C36D76" w:rsidP="00020EA3">
      <w:pPr>
        <w:pStyle w:val="Nagwek2"/>
      </w:pPr>
      <w:bookmarkStart w:id="995" w:name="_Toc12532993"/>
      <w:r w:rsidRPr="009E064B">
        <w:t xml:space="preserve">ROZDZIAŁ C </w:t>
      </w:r>
      <w:r w:rsidR="008529A2" w:rsidRPr="009E064B">
        <w:t xml:space="preserve">— </w:t>
      </w:r>
      <w:r w:rsidRPr="009E064B">
        <w:t xml:space="preserve">STREFA BEZPIECZEŃSTWA </w:t>
      </w:r>
      <w:r w:rsidR="008529A2" w:rsidRPr="009E064B">
        <w:br/>
      </w:r>
      <w:r w:rsidRPr="009E064B">
        <w:t>KOŃCA DROGI STARTOWEJ</w:t>
      </w:r>
      <w:bookmarkEnd w:id="993"/>
      <w:bookmarkEnd w:id="994"/>
      <w:bookmarkEnd w:id="995"/>
    </w:p>
    <w:p w14:paraId="23EC96D9" w14:textId="1CC36271" w:rsidR="00C36D76" w:rsidRPr="009E064B" w:rsidRDefault="00C36D76" w:rsidP="00B06A9A">
      <w:pPr>
        <w:rPr>
          <w:szCs w:val="20"/>
        </w:rPr>
      </w:pPr>
    </w:p>
    <w:p w14:paraId="4663C332" w14:textId="22DF4075" w:rsidR="00C36D76" w:rsidRPr="009E064B" w:rsidRDefault="00C36D76" w:rsidP="00B06A9A">
      <w:pPr>
        <w:pStyle w:val="Nagwek4"/>
        <w:rPr>
          <w:color w:val="auto"/>
        </w:rPr>
      </w:pPr>
      <w:bookmarkStart w:id="996" w:name="_Toc482886573"/>
      <w:bookmarkStart w:id="997" w:name="_Toc12532994"/>
      <w:r w:rsidRPr="009E064B">
        <w:rPr>
          <w:color w:val="auto"/>
        </w:rPr>
        <w:t xml:space="preserve">CS ADR-DSN.C.210 </w:t>
      </w:r>
      <w:r w:rsidR="00D05B14" w:rsidRPr="009E064B">
        <w:rPr>
          <w:color w:val="auto"/>
        </w:rPr>
        <w:t xml:space="preserve">    </w:t>
      </w:r>
      <w:r w:rsidRPr="009E064B">
        <w:rPr>
          <w:color w:val="auto"/>
        </w:rPr>
        <w:t>Strefa bezpieczeństwa końca drogi startowej (RESA)</w:t>
      </w:r>
      <w:bookmarkEnd w:id="996"/>
      <w:bookmarkEnd w:id="997"/>
    </w:p>
    <w:p w14:paraId="7C443020" w14:textId="7E5D36D8"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5EF72918"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t>Celem bezpieczeństwa s</w:t>
      </w:r>
      <w:r w:rsidRPr="009E064B">
        <w:rPr>
          <w:rFonts w:cs="TimesNewRomanPSMT"/>
          <w:szCs w:val="20"/>
        </w:rPr>
        <w:t>trefy bezpieczeństwa końca drogi startowej (RESA) jest ograniczenie ryzyka dla statku powietrznego i osób znajdującym się na jego pokładzie w przypadku zbyt krótkiego przyziemienia lub wyjechania poza koniec drogi startowej.</w:t>
      </w:r>
    </w:p>
    <w:p w14:paraId="4AF06618"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Na każdym końcu pasa drogi startowej powinna być zapewniona strefa bezpieczeństwa końca drogi startowej, jeżeli:</w:t>
      </w:r>
    </w:p>
    <w:p w14:paraId="03898189" w14:textId="77777777"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cyfrą kodu jest 3 lub 4; oraz</w:t>
      </w:r>
    </w:p>
    <w:p w14:paraId="4D3B1DF0" w14:textId="77777777" w:rsidR="00C36D76" w:rsidRPr="009E064B" w:rsidRDefault="00C36D76" w:rsidP="00B06A9A">
      <w:pPr>
        <w:autoSpaceDE w:val="0"/>
        <w:autoSpaceDN w:val="0"/>
        <w:adjustRightInd w:val="0"/>
        <w:ind w:left="1134" w:hanging="567"/>
        <w:rPr>
          <w:rFonts w:cs="TimesNewRomanPS-BoldMT"/>
          <w:bCs/>
          <w:szCs w:val="20"/>
        </w:rPr>
      </w:pPr>
      <w:r w:rsidRPr="009E064B">
        <w:rPr>
          <w:rFonts w:cs="Times New Roman"/>
          <w:szCs w:val="20"/>
        </w:rPr>
        <w:t xml:space="preserve">(2) </w:t>
      </w:r>
      <w:r w:rsidRPr="009E064B">
        <w:rPr>
          <w:rFonts w:cs="Times New Roman"/>
          <w:szCs w:val="20"/>
        </w:rPr>
        <w:tab/>
      </w:r>
      <w:r w:rsidRPr="009E064B">
        <w:rPr>
          <w:rFonts w:cs="TimesNewRomanPSMT"/>
          <w:szCs w:val="20"/>
        </w:rPr>
        <w:t>cyfrą kodu jest 1 lub 2, a droga startowa jest drogą przyrządową.</w:t>
      </w:r>
    </w:p>
    <w:p w14:paraId="6FF870BA"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szCs w:val="20"/>
        </w:rPr>
        <w:t>(c)</w:t>
      </w:r>
      <w:r w:rsidRPr="009E064B">
        <w:rPr>
          <w:szCs w:val="20"/>
        </w:rPr>
        <w:tab/>
        <w:t>Jeżeli jest to możliwe, strefa bezpieczeństwa końca drogi startowej, powinna być zapewniona na każdym końcu pasa drogi startowej, gdy cyfra kodu wynosi 1 lub 2, a droga startowa nie jest drogą przyrządową.</w:t>
      </w:r>
    </w:p>
    <w:p w14:paraId="29098908"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DDABC50" w14:textId="77777777" w:rsidR="003E0660" w:rsidRPr="009E064B" w:rsidRDefault="003E0660" w:rsidP="00133B99">
      <w:pPr>
        <w:pStyle w:val="Nagwek6"/>
      </w:pPr>
      <w:bookmarkStart w:id="998" w:name="_Toc401058931"/>
      <w:bookmarkStart w:id="999" w:name="_Toc482886797"/>
      <w:bookmarkStart w:id="1000" w:name="_Toc12532995"/>
      <w:bookmarkStart w:id="1001" w:name="_Toc482886574"/>
      <w:r w:rsidRPr="009E064B">
        <w:t xml:space="preserve">GM1 ADR-DSN.C.210 </w:t>
      </w:r>
      <w:r w:rsidR="00D05B14" w:rsidRPr="009E064B">
        <w:t xml:space="preserve">    </w:t>
      </w:r>
      <w:bookmarkEnd w:id="998"/>
      <w:r w:rsidRPr="009E064B">
        <w:t>Strefa bezpieczeństwa końca drogi startowej (RESA)</w:t>
      </w:r>
      <w:bookmarkEnd w:id="999"/>
      <w:bookmarkEnd w:id="1000"/>
    </w:p>
    <w:p w14:paraId="7B77430B" w14:textId="4876D2C2"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2953F21C" w14:textId="2E0D9A7F"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(a) </w:t>
      </w:r>
      <w:r w:rsidRPr="009E064B">
        <w:rPr>
          <w:rFonts w:cs="TimesNewRomanPS-BoldItalicMT"/>
          <w:bCs/>
          <w:iCs/>
          <w:szCs w:val="20"/>
        </w:rPr>
        <w:tab/>
      </w:r>
      <w:r w:rsidR="009B0A08" w:rsidRPr="009E064B">
        <w:rPr>
          <w:rFonts w:cs="TimesNewRomanPS-BoldItalicMT"/>
          <w:bCs/>
          <w:iCs/>
          <w:szCs w:val="20"/>
        </w:rPr>
        <w:t>Wymagania</w:t>
      </w:r>
      <w:r w:rsidRPr="009E064B">
        <w:rPr>
          <w:rFonts w:eastAsia="Verdana" w:cs="Verdana"/>
          <w:bCs/>
          <w:szCs w:val="20"/>
        </w:rPr>
        <w:t xml:space="preserve"> ogólne</w:t>
      </w:r>
    </w:p>
    <w:p w14:paraId="147BF26B" w14:textId="03340316" w:rsidR="003E0660" w:rsidRPr="009E064B" w:rsidRDefault="003E0660"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t xml:space="preserve">Strefa bezpieczeństwa </w:t>
      </w:r>
      <w:r w:rsidRPr="009E064B">
        <w:rPr>
          <w:rFonts w:eastAsia="Verdana" w:cs="Verdana"/>
          <w:bCs/>
          <w:szCs w:val="20"/>
        </w:rPr>
        <w:t xml:space="preserve">końca drogi startowej (RESA) powinna zapewnić obszar o wystarczającej długości i szerokości, aby pomieścić statek powietrzny, który wyjechał poza drogę startową lub przyziemił zbyt wcześnie, na skutek niekorzystnych czynników operacyjnych. </w:t>
      </w:r>
      <w:r w:rsidRPr="009E064B">
        <w:rPr>
          <w:rFonts w:cs="Times New Roman"/>
          <w:szCs w:val="20"/>
        </w:rPr>
        <w:t>W przypadku dróg startowych z podejściem precyzyjnym, antena nadajnika kierunku systemu ILS stanowi zazwyczaj pierwszą wystającą przeszkodę, dlatego strefa bezpieczeństwa końca drogi startowej powinna się roz</w:t>
      </w:r>
      <w:r w:rsidR="00754744" w:rsidRPr="009E064B">
        <w:rPr>
          <w:rFonts w:cs="Times New Roman"/>
          <w:szCs w:val="20"/>
        </w:rPr>
        <w:t>ciągać aż do tego urządzenia. W </w:t>
      </w:r>
      <w:r w:rsidRPr="009E064B">
        <w:rPr>
          <w:rFonts w:cs="Times New Roman"/>
          <w:szCs w:val="20"/>
        </w:rPr>
        <w:t>innych okolicznościach, pierwszą przeszkodą może być droga, tor kolejowy lub inna przeszkoda naturalna lub sztuczna. Przy zapewnieniu strefy bezpieczeństwa końca drogi startowej takie przeszkody należy także wziąć pod uwagę.</w:t>
      </w:r>
    </w:p>
    <w:p w14:paraId="720FA8F7" w14:textId="77777777" w:rsidR="003E0660" w:rsidRPr="009E064B" w:rsidRDefault="003E0660" w:rsidP="00B06A9A">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 New Roman"/>
          <w:szCs w:val="20"/>
        </w:rPr>
        <w:t>Niezależnie jakakolwiek długość RESA jest zapewniana, ważne jest, aby prawdopodobieństwo wystąpienia oraz ewentualne konsekwencje wynikające z wyjechania poza drogę startową, na ile to możliwe, zostały ograniczone do minimum.</w:t>
      </w:r>
    </w:p>
    <w:p w14:paraId="5DD2117A"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Verdana" w:cs="Verdana"/>
          <w:bCs/>
          <w:szCs w:val="20"/>
        </w:rPr>
        <w:t xml:space="preserve">Ogólnie wiadomo, że osiągnięcie zalecanej długości może stanowić wyzwanie. </w:t>
      </w:r>
      <w:r w:rsidRPr="009E064B">
        <w:rPr>
          <w:rFonts w:cs="Times New Roman"/>
          <w:szCs w:val="20"/>
        </w:rPr>
        <w:t>Dlatego</w:t>
      </w:r>
      <w:r w:rsidRPr="009E064B">
        <w:rPr>
          <w:rFonts w:eastAsia="Verdana" w:cs="Verdana"/>
          <w:bCs/>
          <w:szCs w:val="20"/>
        </w:rPr>
        <w:t xml:space="preserve"> niniejsze wytyczne mają na celu określenie działań lotniskowych, które mogą być podjęte w celu zmniejszenia prawdopodobieństwa i konsekwencji wyjechania poza drogę startową, aby zdecydować o odpowiednich działaniach. Sugeruje się również, aby zarządzający lotniskami dokonali oceny RESA zapewnianej (zapewnianych) na swoich lotniskach.</w:t>
      </w:r>
    </w:p>
    <w:p w14:paraId="5EF55800" w14:textId="7E451832"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Verdana" w:cs="Verdana"/>
          <w:bCs/>
          <w:szCs w:val="20"/>
        </w:rPr>
        <w:t>Wyjechanie poza drogę startową podlega kompleksowej ocenie ryzyka, ponieważ występuje tu szereg zmiennych takich jak utrzymujące się warunki pogodowe, typ samolotu, dostępne pomoce lądowania, charakterystyka drogi startowej oraz rozporządzalne długości, otaczające środowisko oraz czynnik ludzki. Każdy spośród wymienionych czynników może mieć wpływ na zagrożenia, ponadto, charakter zagrożenia oraz poziom ryzyka powinny być różne dla każdego lotniska, a nawet dla każdego kierunku drogi startowej na każdym lotnisku. Lotnisko może odnieść się do niektórych kwestii, które zostały ujęte poniżej. Dodatkowy wpływ mogą mieć procedury operacyjne statku powietrznego, ale lotniska mają małą możliwość wpływania na nie. Nie powinno to jednak powstrzymywać lotnisk przed współpracą z</w:t>
      </w:r>
      <w:r w:rsidR="006E3939" w:rsidRPr="009E064B">
        <w:rPr>
          <w:rFonts w:eastAsia="Verdana" w:cs="Verdana"/>
          <w:bCs/>
          <w:szCs w:val="20"/>
        </w:rPr>
        <w:t xml:space="preserve"> </w:t>
      </w:r>
      <w:r w:rsidRPr="009E064B">
        <w:rPr>
          <w:rFonts w:eastAsia="Verdana" w:cs="Verdana"/>
          <w:bCs/>
          <w:szCs w:val="20"/>
        </w:rPr>
        <w:t>operatorami statków powietrznych, po to, aby operacje były prowadzone, tak, aby zminimalizować prawdopodobieństwo występowania przypadków wyjechania poza drogę startową.</w:t>
      </w:r>
    </w:p>
    <w:p w14:paraId="053DDA4F"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Verdana" w:cs="Verdana"/>
          <w:bCs/>
          <w:szCs w:val="20"/>
        </w:rPr>
        <w:t>Mając na uwadze wymagania dotyczące strefy bezpieczeństwa końca drogi startowej (RESA), należy wziąć pod uwagę zapewnienie obszaru posiadającego wystarczają długość, aby pomieścić statek powietrzny, który wyjechał poza drogę startową lub przyziemił zbyt wcześnie, na skutek niekorzystnych czynników operacyjnych. Dlatego też, lotniska powinny starać się zapewnić maksymalną długość RESA dostępnych na wszystkich wykorzystywanych drogach startowych. Rozważając zapewnienie wymaganej długości RESA dla indywidualnych okoliczności, operatorzy lotnisk powinni wziąć pod uwagę czynniki, takie jak:</w:t>
      </w:r>
    </w:p>
    <w:p w14:paraId="30ECC82A"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 </w:t>
      </w:r>
      <w:r w:rsidRPr="009E064B">
        <w:rPr>
          <w:rFonts w:cs="TimesNewRomanPS-BoldItalicMT"/>
          <w:bCs/>
          <w:iCs/>
          <w:szCs w:val="20"/>
        </w:rPr>
        <w:tab/>
      </w:r>
      <w:r w:rsidRPr="009E064B">
        <w:rPr>
          <w:rFonts w:eastAsia="Verdana" w:cs="Verdana"/>
          <w:bCs/>
          <w:szCs w:val="20"/>
        </w:rPr>
        <w:t>długość oraz nachylenie drogi startowej, w szczególności ogólne długości operacyjne wymagane dla startu i lądowania w kontekście rozporządzalnych długości drogi startowej, łącznie z nadmiarem rozporządzalnej długości w stosunku do tej wymaganej;</w:t>
      </w:r>
    </w:p>
    <w:p w14:paraId="06C7C755"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 </w:t>
      </w:r>
      <w:r w:rsidRPr="009E064B">
        <w:rPr>
          <w:rFonts w:cs="TimesNewRomanPS-BoldItalicMT"/>
          <w:bCs/>
          <w:iCs/>
          <w:szCs w:val="20"/>
        </w:rPr>
        <w:tab/>
      </w:r>
      <w:r w:rsidRPr="009E064B">
        <w:rPr>
          <w:rFonts w:eastAsia="Verdana" w:cs="Verdana"/>
          <w:bCs/>
          <w:szCs w:val="20"/>
        </w:rPr>
        <w:t>aktualne przepisy dotyczące RESA (długość i szerokość – w jakim stopniu RESA spełnia zalecane odległości) oraz możliwości jej zwiększenia lub poprawy;</w:t>
      </w:r>
    </w:p>
    <w:p w14:paraId="3936B3B6"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(iii) </w:t>
      </w:r>
      <w:r w:rsidRPr="009E064B">
        <w:rPr>
          <w:rFonts w:cs="TimesNewRomanPS-BoldItalicMT"/>
          <w:bCs/>
          <w:iCs/>
          <w:szCs w:val="20"/>
        </w:rPr>
        <w:tab/>
      </w:r>
      <w:r w:rsidRPr="009E064B">
        <w:rPr>
          <w:rFonts w:eastAsia="Verdana" w:cs="Verdana"/>
          <w:bCs/>
          <w:szCs w:val="20"/>
        </w:rPr>
        <w:t>charakter oraz lokalizacja jakichkolwiek zagrożeń występujących poza końcem drogi startowej, łącznie z topografią i środowiskiem przeszkód, na i poza obszarem RESA oraz na zewnątrz pasa drogi startowej;</w:t>
      </w:r>
    </w:p>
    <w:p w14:paraId="029930ED"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(iv) </w:t>
      </w:r>
      <w:r w:rsidRPr="009E064B">
        <w:rPr>
          <w:rFonts w:cs="TimesNewRomanPS-BoldItalicMT"/>
          <w:bCs/>
          <w:iCs/>
          <w:szCs w:val="20"/>
        </w:rPr>
        <w:tab/>
      </w:r>
      <w:r w:rsidRPr="009E064B">
        <w:rPr>
          <w:rFonts w:eastAsia="Verdana" w:cs="Verdana"/>
          <w:bCs/>
          <w:szCs w:val="20"/>
        </w:rPr>
        <w:t>typ samolotu oraz poziom ruchu na lotnisku, oraz faktyczne lub proponowane zmiany do nich;</w:t>
      </w:r>
    </w:p>
    <w:p w14:paraId="49F6A57A"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 </w:t>
      </w:r>
      <w:r w:rsidRPr="009E064B">
        <w:rPr>
          <w:rFonts w:cs="TimesNewRomanPS-BoldItalicMT"/>
          <w:bCs/>
          <w:iCs/>
          <w:szCs w:val="20"/>
        </w:rPr>
        <w:tab/>
      </w:r>
      <w:r w:rsidRPr="009E064B">
        <w:rPr>
          <w:rFonts w:eastAsia="Verdana" w:cs="Verdana"/>
          <w:bCs/>
          <w:szCs w:val="20"/>
        </w:rPr>
        <w:t>ograniczenia osiągów statków powietrznych wynikające z długości drogi startowej oraz długości RESA – statki powietrzne o wysokich osiągach wykonujące operacje przy dużych obciążeniach i prędkościach mają większe wymagania odnośnie długości niż mniejsze statki powietrzne o niższych osiągach, związek pomiędzy wymaganą zrównoważoną długością pola do startu a rozporządzalnymi długościami;</w:t>
      </w:r>
    </w:p>
    <w:p w14:paraId="163707B3"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 </w:t>
      </w:r>
      <w:r w:rsidRPr="009E064B">
        <w:rPr>
          <w:rFonts w:cs="TimesNewRomanPS-BoldItalicMT"/>
          <w:bCs/>
          <w:iCs/>
          <w:szCs w:val="20"/>
        </w:rPr>
        <w:tab/>
      </w:r>
      <w:r w:rsidRPr="009E064B">
        <w:rPr>
          <w:rFonts w:eastAsia="Verdana" w:cs="Verdana"/>
          <w:bCs/>
          <w:szCs w:val="20"/>
        </w:rPr>
        <w:t>dostępne pomoce nawigacyjne (PBN</w:t>
      </w:r>
      <w:r w:rsidRPr="009E064B">
        <w:rPr>
          <w:rStyle w:val="Odwoanieprzypisudolnego"/>
          <w:rFonts w:eastAsia="Verdana" w:cs="Verdana"/>
          <w:bCs/>
          <w:szCs w:val="20"/>
        </w:rPr>
        <w:footnoteReference w:id="45"/>
      </w:r>
      <w:r w:rsidRPr="009E064B">
        <w:rPr>
          <w:rFonts w:eastAsia="Verdana" w:cs="Verdana"/>
          <w:bCs/>
          <w:szCs w:val="20"/>
        </w:rPr>
        <w:t>, przyrządowe lub wzrokowe – jeżeli ILS jest dostępny tylko na jednym kierunku drogi startowej, w słabych warunkach pogodowych konieczne może okazać się podejście i lądowanie z wiatrem) oraz dostępność prowadzenia pionowego;</w:t>
      </w:r>
    </w:p>
    <w:p w14:paraId="582F285B"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(vii) </w:t>
      </w:r>
      <w:r w:rsidRPr="009E064B">
        <w:rPr>
          <w:rFonts w:cs="TimesNewRomanPS-BoldItalicMT"/>
          <w:bCs/>
          <w:iCs/>
          <w:szCs w:val="20"/>
        </w:rPr>
        <w:tab/>
      </w:r>
      <w:r w:rsidRPr="009E064B">
        <w:rPr>
          <w:rFonts w:eastAsia="Verdana" w:cs="Verdana"/>
          <w:bCs/>
          <w:szCs w:val="20"/>
        </w:rPr>
        <w:t>charakterystyki tarcia i odprowadzania wody z powierzchni drogi startowej, które mają wpływ na podatność powierzchni na zanieczyszczenia oraz skuteczność hamowania samolotu;</w:t>
      </w:r>
    </w:p>
    <w:p w14:paraId="242C0C18"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(viii) </w:t>
      </w:r>
      <w:r w:rsidRPr="009E064B">
        <w:rPr>
          <w:rFonts w:cs="TimesNewRomanPS-BoldItalicMT"/>
          <w:bCs/>
          <w:iCs/>
          <w:szCs w:val="20"/>
        </w:rPr>
        <w:tab/>
      </w:r>
      <w:r w:rsidRPr="009E064B">
        <w:rPr>
          <w:rFonts w:eastAsia="Verdana" w:cs="Verdana"/>
          <w:bCs/>
          <w:szCs w:val="20"/>
        </w:rPr>
        <w:t>natężenie ruchu, które może prowadzić do zwiększonego nacisku na opuszczenie drogi startowe, a co za tym idzie zwiększanie prędkości;</w:t>
      </w:r>
    </w:p>
    <w:p w14:paraId="48D8B0D0"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(ix) </w:t>
      </w:r>
      <w:r w:rsidRPr="009E064B">
        <w:rPr>
          <w:rFonts w:cs="TimesNewRomanPS-BoldItalicMT"/>
          <w:bCs/>
          <w:iCs/>
          <w:szCs w:val="20"/>
        </w:rPr>
        <w:tab/>
        <w:t>schemat</w:t>
      </w:r>
      <w:r w:rsidRPr="009E064B">
        <w:rPr>
          <w:rFonts w:eastAsia="Verdana" w:cs="Verdana"/>
          <w:bCs/>
          <w:szCs w:val="20"/>
        </w:rPr>
        <w:t xml:space="preserve"> pogodowy lotniska, łącznie z uskokiem wiatru;</w:t>
      </w:r>
    </w:p>
    <w:p w14:paraId="3C03E8F7"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(x) </w:t>
      </w:r>
      <w:r w:rsidRPr="009E064B">
        <w:rPr>
          <w:rFonts w:cs="TimesNewRomanPS-BoldItalicMT"/>
          <w:bCs/>
          <w:iCs/>
          <w:szCs w:val="20"/>
        </w:rPr>
        <w:tab/>
      </w:r>
      <w:r w:rsidRPr="009E064B">
        <w:rPr>
          <w:rFonts w:eastAsia="Verdana" w:cs="Verdana"/>
          <w:bCs/>
          <w:szCs w:val="20"/>
        </w:rPr>
        <w:t>dotychczasowe przypadki wyjechania poza drogę startową; oraz</w:t>
      </w:r>
    </w:p>
    <w:p w14:paraId="7D0D178E"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(xi) </w:t>
      </w:r>
      <w:r w:rsidRPr="009E064B">
        <w:rPr>
          <w:rFonts w:cs="TimesNewRomanPS-BoldItalicMT"/>
          <w:bCs/>
          <w:iCs/>
          <w:szCs w:val="20"/>
        </w:rPr>
        <w:tab/>
      </w:r>
      <w:r w:rsidRPr="009E064B">
        <w:rPr>
          <w:rFonts w:eastAsia="Verdana" w:cs="Verdana"/>
          <w:bCs/>
          <w:szCs w:val="20"/>
        </w:rPr>
        <w:t>czynniki powodujące wyjechanie poza drogę startową lub zbyt wczesne przyziemienie.</w:t>
      </w:r>
    </w:p>
    <w:p w14:paraId="7A4D9BE4"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Ocena</w:t>
      </w:r>
      <w:r w:rsidRPr="009E064B">
        <w:rPr>
          <w:rFonts w:eastAsia="Verdana" w:cs="Verdana"/>
          <w:bCs/>
          <w:szCs w:val="20"/>
        </w:rPr>
        <w:t xml:space="preserve"> </w:t>
      </w:r>
      <w:r w:rsidRPr="009E064B">
        <w:t xml:space="preserve">strefy bezpieczeństwa </w:t>
      </w:r>
      <w:r w:rsidRPr="009E064B">
        <w:rPr>
          <w:rFonts w:eastAsia="Verdana" w:cs="Verdana"/>
          <w:bCs/>
          <w:szCs w:val="20"/>
        </w:rPr>
        <w:t>końca drogi startowej</w:t>
      </w:r>
    </w:p>
    <w:p w14:paraId="0E627D08"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Verdana" w:cs="Verdana"/>
          <w:bCs/>
          <w:szCs w:val="20"/>
        </w:rPr>
        <w:t>Ocena RESA powinna pomóc zarządzającemu lotniskiem w zidentyfikowaniu zagrożeń oraz podjęciu odpowiednich działań mających na celu zmniejszenie ryzyka. Dostępnych jest szereg środków, pojedynczych lub w połączeniu, mających na celu zmniejszenie ryzyka wyjechania poza drogę startową lub doprowadzenia w konsekwencji do wypadku. Środki mające na celu zmniejszenie prawdopodobieństwa wyjechania poza drogę startową lub zbyt wczesnego przyziemienia obejmują:</w:t>
      </w:r>
    </w:p>
    <w:p w14:paraId="7363517A"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 </w:t>
      </w:r>
      <w:r w:rsidRPr="009E064B">
        <w:rPr>
          <w:rFonts w:cs="TimesNewRomanPS-BoldItalicMT"/>
          <w:bCs/>
          <w:iCs/>
          <w:szCs w:val="20"/>
        </w:rPr>
        <w:tab/>
      </w:r>
      <w:r w:rsidRPr="009E064B">
        <w:rPr>
          <w:rFonts w:eastAsia="Verdana" w:cs="Verdana"/>
          <w:bCs/>
          <w:szCs w:val="20"/>
        </w:rPr>
        <w:t>poprawę nawierzchni drogi startowej oraz pomiar tarcia, w szczególności, kiedy droga startowa jest zanieczyszczona – znajomość swoich dróg startowych oraz ich stanu oraz charakterystyk opadów;</w:t>
      </w:r>
    </w:p>
    <w:p w14:paraId="4439B0A7"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 </w:t>
      </w:r>
      <w:r w:rsidRPr="009E064B">
        <w:rPr>
          <w:rFonts w:cs="TimesNewRomanPS-BoldItalicMT"/>
          <w:bCs/>
          <w:iCs/>
          <w:szCs w:val="20"/>
        </w:rPr>
        <w:tab/>
      </w:r>
      <w:r w:rsidRPr="009E064B">
        <w:rPr>
          <w:rFonts w:eastAsia="Verdana" w:cs="Verdana"/>
          <w:bCs/>
          <w:szCs w:val="20"/>
        </w:rPr>
        <w:t>zapewnienie, że dokładne i aktualne informacje na temat warunków pogodowych, stanu i charakterystyki drogi startowej są przekazywane załogom lotniczym na czas, szczególnie, kiedy załogi lotnicze muszą wprowadzić zmiany operacyjne;</w:t>
      </w:r>
    </w:p>
    <w:p w14:paraId="743ACFE8" w14:textId="7AA857F6"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(iii) </w:t>
      </w:r>
      <w:r w:rsidRPr="009E064B">
        <w:rPr>
          <w:rFonts w:cs="TimesNewRomanPS-BoldItalicMT"/>
          <w:bCs/>
          <w:iCs/>
          <w:szCs w:val="20"/>
        </w:rPr>
        <w:tab/>
      </w:r>
      <w:r w:rsidRPr="009E064B">
        <w:rPr>
          <w:rFonts w:eastAsia="Verdana" w:cs="Verdana"/>
          <w:bCs/>
          <w:szCs w:val="20"/>
        </w:rPr>
        <w:t xml:space="preserve">poprawę wiedzy kierownictwa lotniska, zapisywanie, przewidywanie </w:t>
      </w:r>
      <w:r w:rsidR="009A3FFE" w:rsidRPr="009E064B">
        <w:rPr>
          <w:rFonts w:eastAsia="Verdana" w:cs="Verdana"/>
          <w:bCs/>
          <w:szCs w:val="20"/>
        </w:rPr>
        <w:t>i </w:t>
      </w:r>
      <w:r w:rsidRPr="009E064B">
        <w:rPr>
          <w:rFonts w:eastAsia="Verdana" w:cs="Verdana"/>
          <w:bCs/>
          <w:szCs w:val="20"/>
        </w:rPr>
        <w:t>rozpowszechnianie danych o wietrze, w tym również o uskoku wiatru, oraz wszelkich innych właściwych infor</w:t>
      </w:r>
      <w:r w:rsidR="00636DF4" w:rsidRPr="009E064B">
        <w:rPr>
          <w:rFonts w:eastAsia="Verdana" w:cs="Verdana"/>
          <w:bCs/>
          <w:szCs w:val="20"/>
        </w:rPr>
        <w:t>macji o warunkach pogodowych, w </w:t>
      </w:r>
      <w:r w:rsidRPr="009E064B">
        <w:rPr>
          <w:rFonts w:eastAsia="Verdana" w:cs="Verdana"/>
          <w:bCs/>
          <w:szCs w:val="20"/>
        </w:rPr>
        <w:t>szczególności jeżeli jest to istotny element schematu pogodowego lotniska;</w:t>
      </w:r>
    </w:p>
    <w:p w14:paraId="0F46DDF0" w14:textId="3194159F"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(iv) </w:t>
      </w:r>
      <w:r w:rsidRPr="009E064B">
        <w:rPr>
          <w:rFonts w:cs="TimesNewRomanPS-BoldItalicMT"/>
          <w:bCs/>
          <w:iCs/>
          <w:szCs w:val="20"/>
        </w:rPr>
        <w:tab/>
      </w:r>
      <w:r w:rsidRPr="009E064B">
        <w:rPr>
          <w:rFonts w:eastAsia="Verdana" w:cs="Verdana"/>
          <w:bCs/>
          <w:szCs w:val="20"/>
        </w:rPr>
        <w:t>modernizacja wzrokowych i przyrządowych pomocy do lądowania w celu poprawy dokładności lądowania samolotu w prawidłowym punkcie przyziemienia na drogach startowych (w tym zapewnienie systemów przyrządowego podejścia do lądowania wg. PBN, lokalizacja punktu celowania oraz harmonizacja z systemem PAPI);</w:t>
      </w:r>
    </w:p>
    <w:p w14:paraId="2CBCEDF8"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 </w:t>
      </w:r>
      <w:r w:rsidRPr="009E064B">
        <w:rPr>
          <w:rFonts w:cs="TimesNewRomanPS-BoldItalicMT"/>
          <w:bCs/>
          <w:iCs/>
          <w:szCs w:val="20"/>
        </w:rPr>
        <w:tab/>
        <w:t>opracowanie</w:t>
      </w:r>
      <w:r w:rsidRPr="009E064B">
        <w:rPr>
          <w:rFonts w:eastAsia="Verdana" w:cs="Verdana"/>
          <w:bCs/>
          <w:szCs w:val="20"/>
        </w:rPr>
        <w:t>, we współpracy z operatorami statków powietrznych, procedur działania w niekorzystnych warunkach pogodowych oraz innych stosownych procedur operacyjnych lub ograniczeń na lotnisku, a także odpowiedniego sposobu podawania do wiadomości takich informacji; oraz</w:t>
      </w:r>
    </w:p>
    <w:p w14:paraId="67021C42"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 </w:t>
      </w:r>
      <w:r w:rsidRPr="009E064B">
        <w:rPr>
          <w:rFonts w:cs="TimesNewRomanPS-BoldItalicMT"/>
          <w:bCs/>
          <w:iCs/>
          <w:szCs w:val="20"/>
        </w:rPr>
        <w:tab/>
      </w:r>
      <w:r w:rsidRPr="009E064B">
        <w:rPr>
          <w:rFonts w:eastAsia="Verdana" w:cs="Verdana"/>
          <w:bCs/>
          <w:szCs w:val="20"/>
        </w:rPr>
        <w:t>współpraca z operatorami statków powietrznych w celu optymalizacji wykonywanych operacji.</w:t>
      </w:r>
    </w:p>
    <w:p w14:paraId="5702EFA9"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Verdana" w:cs="Verdana"/>
          <w:bCs/>
          <w:szCs w:val="20"/>
        </w:rPr>
        <w:t>W związku z powyższym, można rozważyć środki, które zredukowałyby dotkliwość skutków w przypadku wystąpienia zdarzenia. Na ile to możliwe, zarządzający lotniskami powinni dążyć do optymalizacji RESA. Można to osiągnąć poprzez łączenie następujących działań:</w:t>
      </w:r>
    </w:p>
    <w:p w14:paraId="26B0FE83" w14:textId="7003E174"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 </w:t>
      </w:r>
      <w:r w:rsidRPr="009E064B">
        <w:rPr>
          <w:rFonts w:cs="TimesNewRomanPS-BoldItalicMT"/>
          <w:bCs/>
          <w:iCs/>
          <w:szCs w:val="20"/>
        </w:rPr>
        <w:tab/>
      </w:r>
      <w:r w:rsidRPr="009E064B">
        <w:rPr>
          <w:rFonts w:eastAsia="Verdana" w:cs="Verdana"/>
          <w:bCs/>
          <w:szCs w:val="20"/>
        </w:rPr>
        <w:t>zmiana miejsca, przesunięcie lub zmiana ustawienia drogi startowej ― może istnieć możliwość wybudowania dodatkowej nawierzchni sztucznej na początku zakończenia startu, tak, aby zapewnić więcej nawierzchni dostępnej do zachowania długości deklarowanych. Początek i koniec długości deklarowanych może zostać przesunięty w kierunku końca z wiatrem (początku startu), tym samym zachowując długości deklarowane oraz tworząc miejsce dla wydłużenia RESA, jak określono w</w:t>
      </w:r>
      <w:r w:rsidR="0039566F" w:rsidRPr="009E064B">
        <w:rPr>
          <w:rFonts w:eastAsia="Verdana" w:cs="Verdana"/>
          <w:bCs/>
          <w:szCs w:val="20"/>
        </w:rPr>
        <w:t xml:space="preserve"> </w:t>
      </w:r>
      <w:hyperlink w:anchor="_GM1_ADR-DSN.B.035_" w:history="1">
        <w:r w:rsidR="0039566F" w:rsidRPr="009E064B">
          <w:rPr>
            <w:rStyle w:val="Hipercze"/>
            <w:rFonts w:eastAsia="Verdana" w:cs="Verdana"/>
            <w:bCs/>
            <w:szCs w:val="20"/>
          </w:rPr>
          <w:t>GM1 </w:t>
        </w:r>
        <w:r w:rsidRPr="009E064B">
          <w:rPr>
            <w:rStyle w:val="Hipercze"/>
            <w:rFonts w:eastAsia="Verdana" w:cs="Verdana"/>
            <w:bCs/>
            <w:szCs w:val="20"/>
          </w:rPr>
          <w:t>ADR-DSN.B.035</w:t>
        </w:r>
      </w:hyperlink>
      <w:r w:rsidRPr="009E064B">
        <w:rPr>
          <w:rFonts w:eastAsia="Verdana" w:cs="Verdana"/>
          <w:bCs/>
          <w:szCs w:val="20"/>
        </w:rPr>
        <w:t>;</w:t>
      </w:r>
    </w:p>
    <w:p w14:paraId="6F20B271" w14:textId="24F27AA6"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 </w:t>
      </w:r>
      <w:r w:rsidRPr="009E064B">
        <w:rPr>
          <w:rFonts w:cs="TimesNewRomanPS-BoldItalicMT"/>
          <w:bCs/>
          <w:iCs/>
          <w:szCs w:val="20"/>
        </w:rPr>
        <w:tab/>
      </w:r>
      <w:r w:rsidRPr="009E064B">
        <w:rPr>
          <w:rFonts w:eastAsia="Verdana" w:cs="Verdana"/>
          <w:bCs/>
          <w:szCs w:val="20"/>
        </w:rPr>
        <w:t>w przypadku, gdy RESA dla zbyt wczesnego przyziemienia jest ograniczona, a</w:t>
      </w:r>
      <w:r w:rsidR="0039566F" w:rsidRPr="009E064B">
        <w:rPr>
          <w:rFonts w:eastAsia="Verdana" w:cs="Verdana"/>
          <w:bCs/>
          <w:szCs w:val="20"/>
        </w:rPr>
        <w:t> </w:t>
      </w:r>
      <w:r w:rsidRPr="009E064B">
        <w:rPr>
          <w:rFonts w:eastAsia="Verdana" w:cs="Verdana"/>
          <w:bCs/>
          <w:szCs w:val="20"/>
        </w:rPr>
        <w:t>droga startowa posiada przesunięty próg do lądowania, należy zbadać czy próg może być przesunięty (z wiatrem), aby zwiększyć RESA i/lub długość drogi startowej;</w:t>
      </w:r>
    </w:p>
    <w:p w14:paraId="546A847F"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(iii) </w:t>
      </w:r>
      <w:r w:rsidRPr="009E064B">
        <w:rPr>
          <w:rFonts w:cs="TimesNewRomanPS-BoldItalicMT"/>
          <w:bCs/>
          <w:iCs/>
          <w:szCs w:val="20"/>
        </w:rPr>
        <w:tab/>
      </w:r>
      <w:r w:rsidRPr="009E064B">
        <w:rPr>
          <w:rFonts w:eastAsia="Verdana" w:cs="Verdana"/>
          <w:bCs/>
          <w:szCs w:val="20"/>
        </w:rPr>
        <w:t>zmniejszenie długości deklarowanych drogi startowej w celu zapewnienia niezbędnej RESA może być wykonalną opcją, jeżeli istniejąca długość drogi startowej przekracza długość wymaganą dla istniejących statków powietrznych lub w przewidywanych projektach. Jeżeli długość startu wymagana dla krytycznego statku powietrznego wykonującego operacje na lotnisku jest mniejsza niż rozporządzalna długość startu, to może być okazją do zmniejszenia długości deklarowanych dla drogi startowej. Jeżeli zapewnienie strefy bezpieczeństwa końca drogi startowej byłoby szczególnie trudne do wdrożenia to koniecznie należy rozważyć zmniejszenie niektórych długości deklarowanych drogi startowej w celu zapewnienia strefy bezpieczeństwa końca drogi startowej i/lub instalacji systemu zatrzymywania samolotów</w:t>
      </w:r>
      <w:r w:rsidRPr="009E064B">
        <w:rPr>
          <w:rFonts w:eastAsia="Verdana" w:cs="Verdana"/>
          <w:bCs/>
          <w:i/>
          <w:szCs w:val="20"/>
        </w:rPr>
        <w:t>;</w:t>
      </w:r>
    </w:p>
    <w:p w14:paraId="1569E843"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(iv) </w:t>
      </w:r>
      <w:r w:rsidRPr="009E064B">
        <w:rPr>
          <w:rFonts w:cs="TimesNewRomanPS-BoldItalicMT"/>
          <w:bCs/>
          <w:iCs/>
          <w:szCs w:val="20"/>
        </w:rPr>
        <w:tab/>
      </w:r>
      <w:r w:rsidRPr="009E064B">
        <w:rPr>
          <w:rFonts w:eastAsia="Verdana" w:cs="Verdana"/>
          <w:bCs/>
          <w:szCs w:val="20"/>
        </w:rPr>
        <w:t>zwiększenie długości RESA i/lub minimalizacja środowiska przeszkód na obszarze znajdującym się poza RESA. Środki mające na celu zwiększenie RESA obejmują nabycie gruntów, ulepszenie wyrównania, przestawienie ogrodzenia lub dróg dla ruchu kołowego w celu zapewnienia dodatkowego obszaru;</w:t>
      </w:r>
    </w:p>
    <w:p w14:paraId="1B0009F0"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 </w:t>
      </w:r>
      <w:r w:rsidRPr="009E064B">
        <w:rPr>
          <w:rFonts w:cs="TimesNewRomanPS-BoldItalicMT"/>
          <w:bCs/>
          <w:iCs/>
          <w:szCs w:val="20"/>
        </w:rPr>
        <w:tab/>
      </w:r>
      <w:r w:rsidRPr="009E064B">
        <w:rPr>
          <w:rFonts w:eastAsia="Verdana" w:cs="Verdana"/>
          <w:bCs/>
          <w:szCs w:val="20"/>
        </w:rPr>
        <w:t>zainstalowanie odpowiednio rozmieszczonego i zaprojektowanego systemu zatrzymywania samolotów</w:t>
      </w:r>
      <w:r w:rsidRPr="009E064B">
        <w:rPr>
          <w:rStyle w:val="Odwoanieprzypisudolnego"/>
          <w:rFonts w:eastAsia="Verdana" w:cs="Verdana"/>
          <w:bCs/>
          <w:szCs w:val="20"/>
        </w:rPr>
        <w:footnoteReference w:id="46"/>
      </w:r>
      <w:r w:rsidRPr="009E064B">
        <w:rPr>
          <w:rFonts w:eastAsia="Verdana" w:cs="Verdana"/>
          <w:bCs/>
          <w:szCs w:val="20"/>
        </w:rPr>
        <w:t xml:space="preserve"> w celu uzupełnienia lub jako alternatywa dla RESA, gdy wykazywany jest równorzędny poziom bezpieczeństwa;</w:t>
      </w:r>
    </w:p>
    <w:p w14:paraId="6B8A0D7B"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 </w:t>
      </w:r>
      <w:r w:rsidRPr="009E064B">
        <w:rPr>
          <w:rFonts w:cs="TimesNewRomanPS-BoldItalicMT"/>
          <w:bCs/>
          <w:iCs/>
          <w:szCs w:val="20"/>
        </w:rPr>
        <w:tab/>
      </w:r>
      <w:r w:rsidRPr="009E064B">
        <w:rPr>
          <w:rFonts w:eastAsia="Verdana" w:cs="Verdana"/>
          <w:bCs/>
          <w:szCs w:val="20"/>
        </w:rPr>
        <w:t>poprawa nachyleń na powierzchni RESA, aby zminimalizować lub zlikwidować nachylenia w dół; oraz</w:t>
      </w:r>
    </w:p>
    <w:p w14:paraId="2A342AF6" w14:textId="77777777" w:rsidR="003E0660" w:rsidRPr="009E064B" w:rsidRDefault="003E0660" w:rsidP="00B06A9A">
      <w:pPr>
        <w:tabs>
          <w:tab w:val="left" w:pos="1701"/>
        </w:tabs>
        <w:autoSpaceDE w:val="0"/>
        <w:autoSpaceDN w:val="0"/>
        <w:adjustRightInd w:val="0"/>
        <w:ind w:left="1701" w:hanging="567"/>
        <w:rPr>
          <w:rFonts w:eastAsia="Verdana" w:cs="Verdana"/>
          <w:bCs/>
          <w:szCs w:val="20"/>
        </w:rPr>
      </w:pPr>
      <w:r w:rsidRPr="009E064B">
        <w:rPr>
          <w:rFonts w:cs="TimesNewRomanPS-BoldItalicMT"/>
          <w:bCs/>
          <w:iCs/>
          <w:szCs w:val="20"/>
        </w:rPr>
        <w:t xml:space="preserve">(vii) </w:t>
      </w:r>
      <w:r w:rsidRPr="009E064B">
        <w:rPr>
          <w:rFonts w:cs="TimesNewRomanPS-BoldItalicMT"/>
          <w:bCs/>
          <w:iCs/>
          <w:szCs w:val="20"/>
        </w:rPr>
        <w:tab/>
      </w:r>
      <w:r w:rsidRPr="009E064B">
        <w:rPr>
          <w:rFonts w:eastAsia="Verdana" w:cs="Verdana"/>
          <w:bCs/>
          <w:szCs w:val="20"/>
        </w:rPr>
        <w:t>zapewnienie nawierzchni sztucznej RESA ze znanymi charakterystykami tarcia.</w:t>
      </w:r>
    </w:p>
    <w:p w14:paraId="2E60DBD6"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Verdana" w:cs="Verdana"/>
          <w:bCs/>
          <w:szCs w:val="20"/>
        </w:rPr>
        <w:t>Droga startowa przeznaczona do startu i lądowania w obydwu kierunkach powinna posiadać dwie RESA rozciągające się na wymaganą odległość poza koniec pasa rozciągającego się od końca drogi startowej. W zależności od położenia progu na drodze startowej, RESA związana z przeciwną drogą startową powinna chronić statek powietrzny, który zbyt wcześnie przyziemił. Ocena przypadków wyjechania poza drogę startową lub zbyt wczesnego przyziemienia pokazała, że prawdopodobieństwo zbyt wczesnego przyziemienia jest około cztery razy mniejsze niż prawdopodobieństwo wyjechania poza drogę startową. Ponadto, częstotliwość zbyt wczesnych przyziemień pokazuje, że prawdopodobieństwo jego wystąpienia może być dodatkowo ograniczone dzięki dostępności precyzyjnych pomocy podejścia, w szczególności tych z prowadzeniem pionowym. Dlatego też, na drogach startowych z podejściem precyzyjnym, można rozważyć możliwość zmniejszenia minimalnej długości RESA w kierunku długości pasa drogi startowej znajdującego się przez drogą startową.</w:t>
      </w:r>
    </w:p>
    <w:p w14:paraId="54DE6A9F"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Verdana" w:cs="Verdana"/>
          <w:bCs/>
          <w:szCs w:val="20"/>
        </w:rPr>
        <w:t>Uznaje się, że poprawa RESA jest często trudna do wykonania. Jednak ważne jest, aby pamiętać, że wszędzie tam, gdzie to możliwe, powinny być uzyskane przyrostowe zyski, jako że każdy zysk jest cenny. Dlatego w każdej sytuacji, kiedy projekt drogi startowej obejmuje budowę, należy wziąć pod uwagę możliwość poprawienia RESA.</w:t>
      </w:r>
    </w:p>
    <w:p w14:paraId="73AD3358"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Verdana" w:cs="Verdana"/>
          <w:bCs/>
          <w:szCs w:val="20"/>
        </w:rPr>
        <w:t>Powyższe punkty nie zostały przedstawione w żadnej określonej kolejności, nie mają charakteru wyczerpującego, i powinny stanowić uzupełnienie działań podejmowanych przez operatorów statków powietrznych, projektantów oraz władze lotnicze.</w:t>
      </w:r>
    </w:p>
    <w:p w14:paraId="5697B226"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(6) </w:t>
      </w:r>
      <w:r w:rsidRPr="009E064B">
        <w:rPr>
          <w:rFonts w:cs="TimesNewRomanPS-BoldItalicMT"/>
          <w:bCs/>
          <w:iCs/>
          <w:szCs w:val="20"/>
        </w:rPr>
        <w:tab/>
      </w:r>
      <w:r w:rsidRPr="009E064B">
        <w:rPr>
          <w:rFonts w:eastAsia="Verdana" w:cs="Verdana"/>
          <w:bCs/>
          <w:szCs w:val="20"/>
        </w:rPr>
        <w:t xml:space="preserve">Zapewnianie RESA powinno rozważane przez </w:t>
      </w:r>
      <w:r w:rsidRPr="009E064B">
        <w:rPr>
          <w:rFonts w:cs="Tahoma"/>
          <w:szCs w:val="18"/>
        </w:rPr>
        <w:t>Lokalny Zespół do Spraw Bezpieczeństwa Drogi Startowej.</w:t>
      </w:r>
    </w:p>
    <w:p w14:paraId="149A4D53"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Verdana" w:cs="Verdana"/>
          <w:bCs/>
          <w:szCs w:val="20"/>
        </w:rPr>
        <w:t>System zatrzymywania samolotów w strefie bezpieczeństwa końca drogi startowej</w:t>
      </w:r>
    </w:p>
    <w:p w14:paraId="7E9523BE"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Verdana" w:cs="Verdana"/>
          <w:bCs/>
          <w:szCs w:val="20"/>
        </w:rPr>
        <w:t>W ubiegłych latach, z uwagi na trudności związane z osiągnięciem standardowej strefy bezpieczeństwa końca drogi startowej (RESA) na wszystkich lotniskach, podjęto programy badawcze dotyczące wykorzystania różnych materiałów dla systemów zatrzymywania samolotów. Dodatkowo, podjęto programy badawcze mające na celu ocenę oraz opracowanie systemów zatrzymywania samolotów przy użyciu materiałów technicznych. Podczas badania kierowano się założeniem, że wiele dróg startowych, na których naturalne przeszkody, rozwój lokalny i/lub ograniczenia środowiskowe ograniczają możliwość zapewnianie RESA i prowadzą do ograniczenia wymiarów RESA. Dodatkowo, na niektórych lotniskach miały miejsce wypadki, gdzie możliwość zatrzymania samolotu, który wyjechał poza drogę startową, w obrębie RESA, zapobiegłaby uszkodzeniu samolotu i/lub obrażeniom pasażerów.</w:t>
      </w:r>
    </w:p>
    <w:p w14:paraId="3A8931E0"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Verdana" w:cs="Verdana"/>
          <w:bCs/>
          <w:szCs w:val="20"/>
        </w:rPr>
        <w:t>Programy badawcze jak również ocena faktycznych przypadków wyjechania przez samolot poza drogę startową na system zatrzymywania samolotów wykazały, że działanie systemu zatrzymywania samolotów jest przewidywalne i skuteczne do zatrzymania samolotu, który wyjedzie poza drogę startową.</w:t>
      </w:r>
    </w:p>
    <w:p w14:paraId="3C4B2FF9"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(3) </w:t>
      </w:r>
      <w:r w:rsidRPr="009E064B">
        <w:rPr>
          <w:rFonts w:cs="TimesNewRomanPS-BoldItalicMT"/>
          <w:bCs/>
          <w:iCs/>
          <w:szCs w:val="20"/>
        </w:rPr>
        <w:tab/>
        <w:t>Projekt s</w:t>
      </w:r>
      <w:r w:rsidRPr="009E064B">
        <w:rPr>
          <w:rFonts w:eastAsia="Verdana" w:cs="Verdana"/>
          <w:bCs/>
          <w:szCs w:val="20"/>
        </w:rPr>
        <w:t>ystemu zatrzymywania samolotów powinien być wspierany przez zatwierdzoną metodę projektowania, która może przewidzieć działanie systemu. Metoda projektowania powinna być uzyskana na podstawie badań terenowych lub laboratoryjnych. Testowanie może opierać się na faktycznym przejściu statku powietrznego lub na równoważnym obciążeniu pojedynczego koła na urządzeniu testowym. Projekt powinien uwzględniać różne parametry statku powietrznego, w tym między innymi dopuszczalne obciążenie i konfigurację podwozia, ciśnienie w oponach, środek ciężkości oraz prędkość statku powietrznego. Model testowy powinien obliczyć nakładane obciążenia siły G oddziałujące na pasażerów statku powietrznego, tempo przyspieszenia ujemnego, oraz odległości zatrzymania w obrębie systemu zatrzymywania samolotów. Jakiekolwiek odbicie kruszonego materiału, które może zmniejszyć skuteczność systemu, powinno być również uwzględnione.</w:t>
      </w:r>
    </w:p>
    <w:p w14:paraId="2B7C35E1" w14:textId="77777777" w:rsidR="003E0660" w:rsidRPr="009E064B" w:rsidRDefault="003E0660" w:rsidP="00061538">
      <w:pPr>
        <w:tabs>
          <w:tab w:val="left" w:pos="1134"/>
        </w:tabs>
        <w:autoSpaceDE w:val="0"/>
        <w:autoSpaceDN w:val="0"/>
        <w:adjustRightInd w:val="0"/>
        <w:ind w:left="1134" w:hanging="567"/>
        <w:rPr>
          <w:rFonts w:eastAsia="Verdana" w:cs="Verdana"/>
          <w:bCs/>
          <w:szCs w:val="20"/>
        </w:rPr>
      </w:pPr>
      <w:r w:rsidRPr="009E064B">
        <w:rPr>
          <w:rFonts w:eastAsia="Verdana" w:cs="Verdana"/>
          <w:bCs/>
          <w:szCs w:val="20"/>
        </w:rPr>
        <w:t xml:space="preserve">(4) </w:t>
      </w:r>
      <w:r w:rsidRPr="009E064B">
        <w:rPr>
          <w:rFonts w:eastAsia="Verdana" w:cs="Verdana"/>
          <w:bCs/>
          <w:szCs w:val="20"/>
        </w:rPr>
        <w:tab/>
        <w:t xml:space="preserve">Zademonstrowane działanie systemu zatrzymywania samolotów można uzyskać poprzez zastosowanie zatwierdzonej metody projektowania, która może przewidzieć działanie systemu. Projektowanie i działanie powinny opierać się na typie samolotu, jaki będzie wykorzystywał drogę startową, który stawia największe wymagania na system zatrzymywania samolotów. Projekt systemu zatrzymywania samolotów powinien bazować na krytycznym (projektowanym) statku powietrznym, który definiowany jest, jako statek powietrzny korzystający z drogi startowej, który nakłada największe wymagania na system zatrzymywania samolotów. Jest to zwykle, chociaż nie zawsze, najcięższy/największy statek powietrzny, który regularnie wykorzystuje daną drogę startową. </w:t>
      </w:r>
    </w:p>
    <w:p w14:paraId="572BCB15" w14:textId="5DE353A9" w:rsidR="003E0660" w:rsidRPr="009E064B" w:rsidRDefault="003E0660" w:rsidP="00061538">
      <w:pPr>
        <w:tabs>
          <w:tab w:val="left" w:pos="1134"/>
        </w:tabs>
        <w:autoSpaceDE w:val="0"/>
        <w:autoSpaceDN w:val="0"/>
        <w:adjustRightInd w:val="0"/>
        <w:ind w:left="1134"/>
        <w:rPr>
          <w:rFonts w:eastAsia="Verdana" w:cs="Verdana"/>
          <w:bCs/>
          <w:szCs w:val="20"/>
        </w:rPr>
      </w:pPr>
      <w:r w:rsidRPr="009E064B">
        <w:rPr>
          <w:rFonts w:eastAsia="Verdana" w:cs="Verdana"/>
          <w:bCs/>
          <w:szCs w:val="20"/>
        </w:rPr>
        <w:t>Działanie systemu zatrzymywania samolotów zależy nie tylko od masy statku powietrznego, ale również od dopuszczalnego obciążenia podwozia samolotu, konfiguracji podwozia i ciśnienia styku opon, środka ciężkości samolotu oraz prędkości jazdy samolotu. Należy również zająć się przypadka</w:t>
      </w:r>
      <w:r w:rsidR="00754744" w:rsidRPr="009E064B">
        <w:rPr>
          <w:rFonts w:eastAsia="Verdana" w:cs="Verdana"/>
          <w:bCs/>
          <w:szCs w:val="20"/>
        </w:rPr>
        <w:t>mi zbyt wczesne przyziemienie w </w:t>
      </w:r>
      <w:r w:rsidRPr="009E064B">
        <w:rPr>
          <w:rFonts w:eastAsia="Verdana" w:cs="Verdana"/>
          <w:bCs/>
          <w:szCs w:val="20"/>
        </w:rPr>
        <w:t>obrębie systemu. Wszystkie konfiguracje powinny być uwzględniane w kontekście optymalizacji projektu systemu zatrzymywania samolotów. Zarządzający lotniskiem oraz producent systemu zatrzymywania samolotów powinni konsultować się odnośnie wyboru projektowanego samolotu, co powinno zapewnić optymalny system zatrzymywania samolotów dla konkretnego lotniska. Dodatkowo, konstrukcja systemu zatrzymywania samolotów powinna umożliwiać bezpieczne operowane w pełni załadowanych pojazdów ratowniczo-gaśniczych, w tym ich wjazd i wyjazd.</w:t>
      </w:r>
    </w:p>
    <w:p w14:paraId="461AD65F" w14:textId="77777777" w:rsidR="003E0660" w:rsidRPr="009E064B" w:rsidRDefault="003E0660" w:rsidP="00061538">
      <w:pPr>
        <w:tabs>
          <w:tab w:val="left" w:pos="1701"/>
        </w:tabs>
        <w:autoSpaceDE w:val="0"/>
        <w:autoSpaceDN w:val="0"/>
        <w:adjustRightInd w:val="0"/>
        <w:ind w:left="1134" w:hanging="567"/>
        <w:rPr>
          <w:rFonts w:cs="Times New Roman"/>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Verdana" w:cs="Verdana"/>
          <w:bCs/>
          <w:szCs w:val="20"/>
        </w:rPr>
        <w:t xml:space="preserve">Dodatkowe informacje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ICAO Doc 9157, Część 1 „</w:t>
      </w:r>
      <w:r w:rsidRPr="009E064B">
        <w:rPr>
          <w:rFonts w:cs="Times New Roman"/>
          <w:i/>
          <w:szCs w:val="20"/>
        </w:rPr>
        <w:t>Drogi startowe</w:t>
      </w:r>
      <w:r w:rsidRPr="009E064B">
        <w:rPr>
          <w:rFonts w:cs="Times New Roman"/>
          <w:szCs w:val="20"/>
        </w:rPr>
        <w:t>”.</w:t>
      </w:r>
    </w:p>
    <w:p w14:paraId="0E9ECA04" w14:textId="77777777" w:rsidR="003E0660" w:rsidRPr="009E064B" w:rsidRDefault="003E0660" w:rsidP="00061538">
      <w:pPr>
        <w:tabs>
          <w:tab w:val="left" w:pos="1701"/>
        </w:tabs>
        <w:autoSpaceDE w:val="0"/>
        <w:autoSpaceDN w:val="0"/>
        <w:adjustRightInd w:val="0"/>
        <w:ind w:left="1134" w:hanging="567"/>
        <w:rPr>
          <w:szCs w:val="20"/>
        </w:rPr>
      </w:pPr>
    </w:p>
    <w:p w14:paraId="7CB8A436" w14:textId="3A4DE9CA" w:rsidR="003E0660" w:rsidRPr="009E064B" w:rsidRDefault="004C1878" w:rsidP="0039566F">
      <w:pPr>
        <w:tabs>
          <w:tab w:val="left" w:pos="1701"/>
        </w:tabs>
        <w:autoSpaceDE w:val="0"/>
        <w:autoSpaceDN w:val="0"/>
        <w:adjustRightInd w:val="0"/>
        <w:spacing w:after="0"/>
        <w:ind w:left="284"/>
        <w:rPr>
          <w:rFonts w:eastAsia="Verdana" w:cs="Verdana"/>
          <w:bCs/>
          <w:szCs w:val="20"/>
        </w:rPr>
      </w:pPr>
      <w:r w:rsidRPr="009E064B">
        <w:rPr>
          <w:noProof/>
          <w:lang w:eastAsia="pl-PL"/>
        </w:rPr>
        <w:drawing>
          <wp:inline distT="0" distB="0" distL="0" distR="0" wp14:anchorId="0A5DC0DF" wp14:editId="72B6F6B9">
            <wp:extent cx="5759450" cy="245745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2457450"/>
                    </a:xfrm>
                    <a:prstGeom prst="rect">
                      <a:avLst/>
                    </a:prstGeom>
                    <a:noFill/>
                    <a:ln>
                      <a:noFill/>
                    </a:ln>
                  </pic:spPr>
                </pic:pic>
              </a:graphicData>
            </a:graphic>
          </wp:inline>
        </w:drawing>
      </w:r>
    </w:p>
    <w:p w14:paraId="5280A4A0" w14:textId="77777777" w:rsidR="003E0660" w:rsidRPr="005D070C" w:rsidRDefault="003E0660" w:rsidP="009A3FFE">
      <w:pPr>
        <w:tabs>
          <w:tab w:val="left" w:pos="1701"/>
        </w:tabs>
        <w:autoSpaceDE w:val="0"/>
        <w:autoSpaceDN w:val="0"/>
        <w:adjustRightInd w:val="0"/>
        <w:spacing w:before="240" w:after="0"/>
        <w:ind w:left="1134" w:hanging="567"/>
        <w:jc w:val="center"/>
        <w:rPr>
          <w:rFonts w:eastAsia="Verdana" w:cs="Verdana"/>
          <w:b/>
          <w:bCs/>
          <w:sz w:val="20"/>
          <w:szCs w:val="20"/>
        </w:rPr>
      </w:pPr>
      <w:r w:rsidRPr="005D070C">
        <w:rPr>
          <w:rFonts w:eastAsia="Verdana" w:cs="Verdana"/>
          <w:b/>
          <w:bCs/>
          <w:sz w:val="20"/>
          <w:szCs w:val="20"/>
        </w:rPr>
        <w:t xml:space="preserve">Rysunek GM-C-1.  Strefa bezpieczeństwa końca drogi startowej dla drogi startowej </w:t>
      </w:r>
      <w:r w:rsidRPr="005D070C">
        <w:rPr>
          <w:rFonts w:eastAsia="Verdana" w:cs="Verdana"/>
          <w:b/>
          <w:bCs/>
          <w:sz w:val="20"/>
          <w:szCs w:val="20"/>
        </w:rPr>
        <w:br/>
        <w:t>o cyfrze kodu 3 lub 4.</w:t>
      </w:r>
    </w:p>
    <w:p w14:paraId="2C387574" w14:textId="69002A08" w:rsidR="003E0660" w:rsidRPr="009E064B" w:rsidRDefault="003E0660"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65963F3" w14:textId="77777777" w:rsidR="00557C15" w:rsidRPr="009E064B" w:rsidRDefault="00557C15" w:rsidP="00557C15">
      <w:pPr>
        <w:pStyle w:val="Tekstpodstawowy"/>
        <w:spacing w:after="0"/>
        <w:ind w:left="23" w:hanging="23"/>
        <w:rPr>
          <w:rFonts w:asciiTheme="minorHAnsi" w:hAnsiTheme="minorHAnsi" w:cstheme="minorHAnsi"/>
          <w:sz w:val="16"/>
          <w:szCs w:val="16"/>
        </w:rPr>
      </w:pPr>
    </w:p>
    <w:p w14:paraId="20AAFD21" w14:textId="045EC1CE" w:rsidR="00C36D76" w:rsidRPr="009E064B" w:rsidRDefault="00C36D76" w:rsidP="00B06A9A">
      <w:pPr>
        <w:pStyle w:val="Nagwek4"/>
        <w:rPr>
          <w:color w:val="auto"/>
        </w:rPr>
      </w:pPr>
      <w:bookmarkStart w:id="1002" w:name="_Toc12532996"/>
      <w:r w:rsidRPr="009E064B">
        <w:rPr>
          <w:color w:val="auto"/>
        </w:rPr>
        <w:t xml:space="preserve">CS ADR-DSN.C.215 </w:t>
      </w:r>
      <w:r w:rsidR="00D05B14" w:rsidRPr="009E064B">
        <w:rPr>
          <w:color w:val="auto"/>
        </w:rPr>
        <w:t xml:space="preserve">    </w:t>
      </w:r>
      <w:r w:rsidRPr="009E064B">
        <w:rPr>
          <w:color w:val="auto"/>
        </w:rPr>
        <w:t>Wymiary strefy bezpieczeństwa końca drogi startowej</w:t>
      </w:r>
      <w:bookmarkEnd w:id="1001"/>
      <w:bookmarkEnd w:id="1002"/>
      <w:r w:rsidRPr="009E064B">
        <w:rPr>
          <w:color w:val="auto"/>
        </w:rPr>
        <w:t xml:space="preserve"> </w:t>
      </w:r>
    </w:p>
    <w:p w14:paraId="5ABD9FEC" w14:textId="6BE90F14"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37ACFEC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Długość strefy bezpieczeństwa końca drogi startowej</w:t>
      </w:r>
    </w:p>
    <w:p w14:paraId="02B6A3D6" w14:textId="77777777" w:rsidR="00C36D76" w:rsidRPr="009E064B" w:rsidRDefault="00C36D76" w:rsidP="00B06A9A">
      <w:pPr>
        <w:pStyle w:val="Akapitzlist"/>
        <w:autoSpaceDE w:val="0"/>
        <w:autoSpaceDN w:val="0"/>
        <w:adjustRightInd w:val="0"/>
        <w:ind w:left="1134" w:hanging="567"/>
        <w:rPr>
          <w:rFonts w:cs="TimesNewRomanPS-ItalicMT"/>
          <w:iCs/>
          <w:szCs w:val="20"/>
        </w:rPr>
      </w:pPr>
      <w:r w:rsidRPr="009E064B">
        <w:rPr>
          <w:rFonts w:cs="TimesNewRomanPSMT"/>
          <w:szCs w:val="20"/>
        </w:rPr>
        <w:t>(1)</w:t>
      </w:r>
      <w:r w:rsidRPr="009E064B">
        <w:rPr>
          <w:rFonts w:cs="TimesNewRomanPSMT"/>
          <w:szCs w:val="20"/>
        </w:rPr>
        <w:tab/>
        <w:t xml:space="preserve">Strefa bezpieczeństwa końca drogi startowej powinna rozciągać się, począwszy od końca pasa drogi startowej, na odległość co najmniej 90 m, a jeśli to </w:t>
      </w:r>
      <w:r w:rsidRPr="009E064B">
        <w:rPr>
          <w:rFonts w:cs="TimesNewRomanPS-ItalicMT"/>
          <w:iCs/>
          <w:szCs w:val="20"/>
        </w:rPr>
        <w:t>możliwe, na odległość:</w:t>
      </w:r>
    </w:p>
    <w:p w14:paraId="33B7FB2C" w14:textId="77777777" w:rsidR="00C36D76" w:rsidRPr="009E064B" w:rsidRDefault="00C36D76" w:rsidP="00B06A9A">
      <w:pPr>
        <w:autoSpaceDE w:val="0"/>
        <w:autoSpaceDN w:val="0"/>
        <w:adjustRightInd w:val="0"/>
        <w:ind w:left="1701" w:hanging="567"/>
        <w:rPr>
          <w:rFonts w:cs="TimesNewRomanPS-ItalicMT"/>
          <w:iCs/>
          <w:szCs w:val="20"/>
        </w:rPr>
      </w:pPr>
      <w:r w:rsidRPr="009E064B">
        <w:rPr>
          <w:rFonts w:cs="Times New Roman"/>
          <w:szCs w:val="20"/>
        </w:rPr>
        <w:t xml:space="preserve">(i) </w:t>
      </w:r>
      <w:r w:rsidRPr="009E064B">
        <w:rPr>
          <w:rFonts w:cs="Times New Roman"/>
          <w:szCs w:val="20"/>
        </w:rPr>
        <w:tab/>
      </w:r>
      <w:r w:rsidRPr="009E064B">
        <w:rPr>
          <w:rFonts w:cs="TimesNewRomanPSMT"/>
          <w:szCs w:val="20"/>
        </w:rPr>
        <w:t>240</w:t>
      </w:r>
      <w:r w:rsidRPr="009E064B">
        <w:rPr>
          <w:rFonts w:cs="TimesNewRomanPS-ItalicMT"/>
          <w:iCs/>
          <w:szCs w:val="20"/>
        </w:rPr>
        <w:t xml:space="preserve"> m, jeżeli cyfrą kodu jest 3 lub 4 i</w:t>
      </w:r>
    </w:p>
    <w:p w14:paraId="342B83D4" w14:textId="77777777" w:rsidR="00C36D76" w:rsidRPr="009E064B" w:rsidRDefault="00C36D76" w:rsidP="00B06A9A">
      <w:pPr>
        <w:autoSpaceDE w:val="0"/>
        <w:autoSpaceDN w:val="0"/>
        <w:adjustRightInd w:val="0"/>
        <w:ind w:left="1701" w:hanging="567"/>
        <w:rPr>
          <w:rFonts w:cs="TimesNewRomanPS-ItalicMT"/>
          <w:iCs/>
          <w:szCs w:val="20"/>
        </w:rPr>
      </w:pPr>
      <w:r w:rsidRPr="009E064B">
        <w:rPr>
          <w:rFonts w:cs="Times New Roman"/>
          <w:szCs w:val="20"/>
        </w:rPr>
        <w:t xml:space="preserve">(ii) </w:t>
      </w:r>
      <w:r w:rsidRPr="009E064B">
        <w:rPr>
          <w:rFonts w:cs="Times New Roman"/>
          <w:szCs w:val="20"/>
        </w:rPr>
        <w:tab/>
      </w:r>
      <w:r w:rsidRPr="009E064B">
        <w:rPr>
          <w:rFonts w:cs="TimesNewRomanPS-ItalicMT"/>
          <w:iCs/>
          <w:szCs w:val="20"/>
        </w:rPr>
        <w:t>120 m, jeżeli cyfrą kodu jest 1 lub 2, a droga startowa jest drogą przyrządową; oraz</w:t>
      </w:r>
    </w:p>
    <w:p w14:paraId="046D3961" w14:textId="36761D06" w:rsidR="00C36D76" w:rsidRPr="009E064B" w:rsidRDefault="00C36D76" w:rsidP="00B06A9A">
      <w:pPr>
        <w:pStyle w:val="Akapitzlist"/>
        <w:autoSpaceDE w:val="0"/>
        <w:autoSpaceDN w:val="0"/>
        <w:adjustRightInd w:val="0"/>
        <w:ind w:left="1134" w:hanging="567"/>
        <w:rPr>
          <w:rFonts w:cs="TimesNewRomanPSMT"/>
          <w:szCs w:val="20"/>
        </w:rPr>
      </w:pPr>
      <w:r w:rsidRPr="009E064B">
        <w:rPr>
          <w:rFonts w:cs="TimesNewRomanPSMT"/>
          <w:szCs w:val="20"/>
        </w:rPr>
        <w:t>(2)</w:t>
      </w:r>
      <w:r w:rsidRPr="009E064B">
        <w:rPr>
          <w:rFonts w:cs="TimesNewRomanPSMT"/>
          <w:szCs w:val="20"/>
        </w:rPr>
        <w:tab/>
        <w:t>Strefa bezpieczeństwa końca drogi startowej powinna rozciągać się od końca pasa drogi startowej, w miarę możliwości, na odległość 30 m, g</w:t>
      </w:r>
      <w:r w:rsidR="0039566F" w:rsidRPr="009E064B">
        <w:rPr>
          <w:rFonts w:cs="TimesNewRomanPSMT"/>
          <w:szCs w:val="20"/>
        </w:rPr>
        <w:t>dy cyfra kodu wynosi 1 lub 2, a </w:t>
      </w:r>
      <w:r w:rsidRPr="009E064B">
        <w:rPr>
          <w:rFonts w:cs="TimesNewRomanPSMT"/>
          <w:szCs w:val="20"/>
        </w:rPr>
        <w:t>droga startowa nie jest drogą przyrządową.</w:t>
      </w:r>
    </w:p>
    <w:p w14:paraId="6D3EFE26" w14:textId="524B985A"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 xml:space="preserve">Niezależnie od przepisów zawartych w </w:t>
      </w:r>
      <w:r w:rsidR="00557C15" w:rsidRPr="009E064B">
        <w:rPr>
          <w:rFonts w:cs="TimesNewRomanPSMT"/>
          <w:szCs w:val="20"/>
        </w:rPr>
        <w:t>lit. </w:t>
      </w:r>
      <w:r w:rsidRPr="009E064B">
        <w:rPr>
          <w:rFonts w:cs="TimesNewRomanPSMT"/>
          <w:szCs w:val="20"/>
        </w:rPr>
        <w:t>(a) powyżej, długość strefy bezpieczeństwa końca drogi startowej może zostać zmniejszona w przypadku zainstalowania systemu zatrzymywania samolotów, w oparciu o specyfikacje projektowe systemu.</w:t>
      </w:r>
    </w:p>
    <w:p w14:paraId="24A8F5B0"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Szerokość strefy bezpieczeństwa końca drogi startowej</w:t>
      </w:r>
    </w:p>
    <w:p w14:paraId="00E61A69" w14:textId="77777777" w:rsidR="00C36D76" w:rsidRPr="009E064B" w:rsidRDefault="00C36D76" w:rsidP="00B06A9A">
      <w:pPr>
        <w:pStyle w:val="Akapitzlist"/>
        <w:autoSpaceDE w:val="0"/>
        <w:autoSpaceDN w:val="0"/>
        <w:adjustRightInd w:val="0"/>
        <w:spacing w:after="0"/>
        <w:ind w:left="567"/>
        <w:rPr>
          <w:rFonts w:cs="TimesNewRomanPS-BoldMT"/>
          <w:bCs/>
          <w:szCs w:val="20"/>
        </w:rPr>
      </w:pPr>
      <w:r w:rsidRPr="009E064B">
        <w:rPr>
          <w:rFonts w:cs="TimesNewRomanPSMT"/>
          <w:szCs w:val="20"/>
        </w:rPr>
        <w:t>Szerokość strefy bezpieczeństwa końca drogi startowej powinna być równa, co najmniej podwójnej szerokości związanej z nią drogi startowej, oraz w miarę możliwości</w:t>
      </w:r>
      <w:r w:rsidRPr="009E064B">
        <w:rPr>
          <w:rFonts w:cs="TimesNewRomanPS-ItalicMT"/>
          <w:iCs/>
          <w:szCs w:val="20"/>
        </w:rPr>
        <w:t>, równa szerokości wyrównanej części pasa tej drogi startowej.</w:t>
      </w:r>
    </w:p>
    <w:p w14:paraId="78F9DAEE" w14:textId="6FDC7D7D" w:rsidR="009E2E6B"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r w:rsidR="009E2E6B" w:rsidRPr="009E064B">
        <w:rPr>
          <w:rFonts w:asciiTheme="minorHAnsi" w:hAnsiTheme="minorHAnsi" w:cstheme="minorHAnsi"/>
          <w:i/>
          <w:sz w:val="16"/>
          <w:szCs w:val="16"/>
        </w:rPr>
        <w:t xml:space="preserve"> </w:t>
      </w:r>
      <w:r w:rsidR="009E2E6B" w:rsidRPr="009E064B">
        <w:rPr>
          <w:rFonts w:asciiTheme="minorHAnsi" w:hAnsiTheme="minorHAnsi" w:cstheme="minorHAnsi"/>
          <w:i/>
          <w:sz w:val="16"/>
          <w:szCs w:val="16"/>
        </w:rPr>
        <w:br w:type="page"/>
      </w:r>
    </w:p>
    <w:p w14:paraId="2AA3ED5B" w14:textId="76D28D3D" w:rsidR="003E0660" w:rsidRPr="009E064B" w:rsidRDefault="00F85C28" w:rsidP="00133B99">
      <w:pPr>
        <w:pStyle w:val="Nagwek6"/>
      </w:pPr>
      <w:bookmarkStart w:id="1003" w:name="_Toc482886798"/>
      <w:bookmarkStart w:id="1004" w:name="_Toc12532997"/>
      <w:r w:rsidRPr="009E064B">
        <w:t xml:space="preserve">GM1 ADR-DSN.C.215     </w:t>
      </w:r>
      <w:r w:rsidR="003E0660" w:rsidRPr="009E064B">
        <w:t>Wymiary strefy bezpieczeństwa końca drogi startowej</w:t>
      </w:r>
      <w:bookmarkEnd w:id="1003"/>
      <w:bookmarkEnd w:id="1004"/>
    </w:p>
    <w:p w14:paraId="260A5BEA" w14:textId="68BC456A"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DD58D64" w14:textId="77777777" w:rsidR="003E0660" w:rsidRPr="009E064B" w:rsidRDefault="003E0660" w:rsidP="00B06A9A">
      <w:pPr>
        <w:autoSpaceDE w:val="0"/>
        <w:autoSpaceDN w:val="0"/>
        <w:adjustRightInd w:val="0"/>
        <w:rPr>
          <w:rFonts w:eastAsia="Verdana" w:cs="Verdana"/>
          <w:bCs/>
          <w:szCs w:val="20"/>
        </w:rPr>
      </w:pPr>
      <w:r w:rsidRPr="009E064B">
        <w:rPr>
          <w:rFonts w:eastAsia="Verdana" w:cs="Verdana"/>
          <w:bCs/>
          <w:szCs w:val="20"/>
        </w:rPr>
        <w:t>Wiele lotnisk zostało zbudowanych zanim wprowadzono wymagania dotyczące RESA. W przypadku dróg startowych w użyciu, na których RESA nie rozciąga się na zalecaną długość, w ramach systemu zarządzania bezpieczeństwem, lotniska powinny przeprowadzić ocenę ryzyka oraz wdrożyć odpowiednie środki ograniczające, jeżeli zajdzie taka potrzeba.</w:t>
      </w:r>
    </w:p>
    <w:p w14:paraId="329419FC" w14:textId="7BB6CAC8" w:rsidR="00C36D76" w:rsidRPr="009E064B" w:rsidRDefault="00F85C28" w:rsidP="00B06A9A">
      <w:pPr>
        <w:pStyle w:val="Nagwek4"/>
        <w:rPr>
          <w:color w:val="auto"/>
        </w:rPr>
      </w:pPr>
      <w:bookmarkStart w:id="1005" w:name="_Toc482886575"/>
      <w:bookmarkStart w:id="1006" w:name="_Toc12532998"/>
      <w:r w:rsidRPr="009E064B">
        <w:rPr>
          <w:color w:val="auto"/>
        </w:rPr>
        <w:t xml:space="preserve">CS ADR-DSN.C.220     </w:t>
      </w:r>
      <w:r w:rsidR="00C36D76" w:rsidRPr="009E064B">
        <w:rPr>
          <w:color w:val="auto"/>
        </w:rPr>
        <w:t>Obiekty w strefie bezpieczeństwa końca drogi startowej</w:t>
      </w:r>
      <w:bookmarkEnd w:id="1005"/>
      <w:bookmarkEnd w:id="1006"/>
    </w:p>
    <w:p w14:paraId="05236BEB" w14:textId="520BB636"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6B599E2" w14:textId="67A45329" w:rsidR="00C36D76" w:rsidRPr="009E064B" w:rsidRDefault="00C36D76" w:rsidP="00B06A9A">
      <w:pPr>
        <w:pStyle w:val="Akapitzlist"/>
        <w:autoSpaceDE w:val="0"/>
        <w:autoSpaceDN w:val="0"/>
        <w:adjustRightInd w:val="0"/>
        <w:spacing w:after="0"/>
        <w:rPr>
          <w:rFonts w:cs="TimesNewRomanPS-BoldMT"/>
          <w:bCs/>
          <w:szCs w:val="20"/>
        </w:rPr>
      </w:pPr>
      <w:r w:rsidRPr="009E064B">
        <w:rPr>
          <w:rFonts w:cs="TimesNewRomanPSMT"/>
          <w:szCs w:val="20"/>
        </w:rPr>
        <w:t xml:space="preserve">Żaden obiekt stały, z wyjątkiem wyposażenia i instalacji niezbędnych dla potrzeb nawigacji lotniczej lub bezpieczeństwa samolotów oraz odpowiadający wymaganiom łamliwości podanym </w:t>
      </w:r>
      <w:r w:rsidR="00636DF4" w:rsidRPr="009E064B">
        <w:rPr>
          <w:rFonts w:cs="TimesNewRomanPSMT"/>
          <w:szCs w:val="20"/>
        </w:rPr>
        <w:br/>
      </w:r>
      <w:r w:rsidRPr="009E064B">
        <w:rPr>
          <w:rFonts w:cs="TimesNewRomanPSMT"/>
          <w:szCs w:val="20"/>
        </w:rPr>
        <w:t>w</w:t>
      </w:r>
      <w:r w:rsidR="00636DF4" w:rsidRPr="009E064B">
        <w:rPr>
          <w:rFonts w:cs="TimesNewRomanPSMT"/>
          <w:szCs w:val="20"/>
        </w:rPr>
        <w:t> </w:t>
      </w:r>
      <w:hyperlink w:anchor="_CS_ADR-DSN.T.910_" w:history="1">
        <w:r w:rsidR="00464ABC" w:rsidRPr="009E064B">
          <w:rPr>
            <w:rStyle w:val="Hipercze"/>
            <w:rFonts w:cs="TimesNewRomanPSMT"/>
            <w:szCs w:val="20"/>
          </w:rPr>
          <w:t>CS </w:t>
        </w:r>
        <w:r w:rsidRPr="009E064B">
          <w:rPr>
            <w:rStyle w:val="Hipercze"/>
            <w:rFonts w:cs="TimesNewRomanPSMT"/>
            <w:szCs w:val="20"/>
          </w:rPr>
          <w:t>ADR-DSN.T.910</w:t>
        </w:r>
      </w:hyperlink>
      <w:r w:rsidRPr="009E064B">
        <w:rPr>
          <w:rFonts w:cs="TimesNewRomanPSMT"/>
          <w:szCs w:val="20"/>
        </w:rPr>
        <w:t xml:space="preserve">, nie może znajdować się </w:t>
      </w:r>
      <w:r w:rsidRPr="009E064B">
        <w:t xml:space="preserve">w </w:t>
      </w:r>
      <w:r w:rsidRPr="009E064B">
        <w:rPr>
          <w:rFonts w:cs="TimesNewRomanPSMT"/>
          <w:szCs w:val="20"/>
        </w:rPr>
        <w:t>strefie bezpieczeństwa</w:t>
      </w:r>
      <w:r w:rsidRPr="009E064B">
        <w:t xml:space="preserve"> końca </w:t>
      </w:r>
      <w:r w:rsidRPr="009E064B">
        <w:rPr>
          <w:rFonts w:cs="TimesNewRomanPSMT"/>
          <w:szCs w:val="20"/>
        </w:rPr>
        <w:t xml:space="preserve">drogi startowej. Szczegółowe wymagania dotyczące rozmieszczania obiektów </w:t>
      </w:r>
      <w:r w:rsidRPr="009E064B">
        <w:t xml:space="preserve">w </w:t>
      </w:r>
      <w:r w:rsidRPr="009E064B">
        <w:rPr>
          <w:rFonts w:cs="TimesNewRomanPSMT"/>
          <w:szCs w:val="20"/>
        </w:rPr>
        <w:t>strefie bezpieczeństwa</w:t>
      </w:r>
      <w:r w:rsidRPr="009E064B">
        <w:t xml:space="preserve"> </w:t>
      </w:r>
      <w:r w:rsidRPr="009E064B">
        <w:rPr>
          <w:rFonts w:cs="TimesNewRomanPSMT"/>
          <w:szCs w:val="20"/>
        </w:rPr>
        <w:t xml:space="preserve">końca drogi startowej znajdują się w </w:t>
      </w:r>
      <w:hyperlink w:anchor="_CS_ADR-DSN.T.915_" w:history="1">
        <w:r w:rsidRPr="009E064B">
          <w:rPr>
            <w:rStyle w:val="Hipercze"/>
            <w:rFonts w:cs="TimesNewRomanPSMT"/>
            <w:szCs w:val="20"/>
          </w:rPr>
          <w:t>CS ADR-DSN.T.915</w:t>
        </w:r>
      </w:hyperlink>
      <w:r w:rsidRPr="009E064B">
        <w:rPr>
          <w:rFonts w:cs="TimesNewRomanPSMT"/>
          <w:szCs w:val="20"/>
        </w:rPr>
        <w:t>.</w:t>
      </w:r>
    </w:p>
    <w:p w14:paraId="2FDD5BED" w14:textId="4987FC40" w:rsidR="003E0660" w:rsidRPr="009E064B" w:rsidRDefault="00F85C28" w:rsidP="00133B99">
      <w:pPr>
        <w:pStyle w:val="Nagwek6"/>
      </w:pPr>
      <w:bookmarkStart w:id="1007" w:name="_Toc401058933"/>
      <w:bookmarkStart w:id="1008" w:name="_Toc482886799"/>
      <w:bookmarkStart w:id="1009" w:name="_Toc12532999"/>
      <w:bookmarkStart w:id="1010" w:name="_Toc482886576"/>
      <w:r w:rsidRPr="009E064B">
        <w:t xml:space="preserve">GM1 ADR-DSN.C.220     </w:t>
      </w:r>
      <w:r w:rsidR="003E0660" w:rsidRPr="009E064B">
        <w:t xml:space="preserve">Obiekty w </w:t>
      </w:r>
      <w:bookmarkEnd w:id="1007"/>
      <w:r w:rsidR="003E0660" w:rsidRPr="009E064B">
        <w:t>strefie bezpieczeństwa końca drogi startowej</w:t>
      </w:r>
      <w:bookmarkEnd w:id="1008"/>
      <w:bookmarkEnd w:id="1009"/>
    </w:p>
    <w:p w14:paraId="7DD66986" w14:textId="18859FF3"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0387D1A" w14:textId="46292A81" w:rsidR="003E0660" w:rsidRPr="009E064B" w:rsidRDefault="003E0660" w:rsidP="00B06A9A">
      <w:pPr>
        <w:autoSpaceDE w:val="0"/>
        <w:autoSpaceDN w:val="0"/>
        <w:adjustRightInd w:val="0"/>
        <w:rPr>
          <w:rFonts w:eastAsia="Verdana" w:cs="Verdana"/>
          <w:bCs/>
          <w:szCs w:val="20"/>
        </w:rPr>
      </w:pPr>
      <w:r w:rsidRPr="009E064B">
        <w:rPr>
          <w:rFonts w:eastAsia="Verdana" w:cs="Verdana"/>
          <w:bCs/>
          <w:szCs w:val="20"/>
        </w:rPr>
        <w:t xml:space="preserve">Szczegółowe informacje dotyczące lokalizacji wyposażenia i instalacji na obszarach operacyjnych, w tym RESA, znajdują się w </w:t>
      </w:r>
      <w:hyperlink w:anchor="_CS_ADR-DSN.T.915_" w:history="1">
        <w:r w:rsidRPr="009E064B">
          <w:rPr>
            <w:rStyle w:val="Hipercze"/>
            <w:rFonts w:eastAsia="Verdana" w:cs="Verdana"/>
            <w:bCs/>
            <w:szCs w:val="20"/>
          </w:rPr>
          <w:t>CS ADR-DSN.T.915</w:t>
        </w:r>
      </w:hyperlink>
      <w:r w:rsidRPr="009E064B">
        <w:rPr>
          <w:rFonts w:eastAsia="Verdana" w:cs="Verdana"/>
          <w:bCs/>
          <w:szCs w:val="20"/>
        </w:rPr>
        <w:t xml:space="preserve">. </w:t>
      </w:r>
    </w:p>
    <w:p w14:paraId="622416C0" w14:textId="7F2107F6" w:rsidR="00C36D76" w:rsidRPr="009E064B" w:rsidRDefault="00F85C28" w:rsidP="00F85C28">
      <w:pPr>
        <w:pStyle w:val="Nagwek4"/>
        <w:tabs>
          <w:tab w:val="clear" w:pos="2694"/>
        </w:tabs>
        <w:ind w:left="2552" w:hanging="2552"/>
        <w:rPr>
          <w:color w:val="auto"/>
        </w:rPr>
      </w:pPr>
      <w:bookmarkStart w:id="1011" w:name="_Toc12533000"/>
      <w:r w:rsidRPr="009E064B">
        <w:rPr>
          <w:color w:val="auto"/>
        </w:rPr>
        <w:t xml:space="preserve">CS ADR-DSN.C.225      </w:t>
      </w:r>
      <w:r w:rsidR="00E14814" w:rsidRPr="009E064B">
        <w:rPr>
          <w:color w:val="auto"/>
        </w:rPr>
        <w:t>Oczyszczenie</w:t>
      </w:r>
      <w:r w:rsidR="00C36D76" w:rsidRPr="009E064B">
        <w:rPr>
          <w:color w:val="auto"/>
        </w:rPr>
        <w:t xml:space="preserve"> i wyrównanie strefy bezpieczeństwa końca drogi startowej</w:t>
      </w:r>
      <w:bookmarkEnd w:id="1010"/>
      <w:bookmarkEnd w:id="1011"/>
    </w:p>
    <w:p w14:paraId="6736D306" w14:textId="1C60596D"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D89A875" w14:textId="023FA96D" w:rsidR="00C36D76" w:rsidRPr="009E064B" w:rsidRDefault="00C36D76" w:rsidP="00B06A9A">
      <w:pPr>
        <w:autoSpaceDE w:val="0"/>
        <w:autoSpaceDN w:val="0"/>
        <w:adjustRightInd w:val="0"/>
        <w:spacing w:after="0"/>
        <w:rPr>
          <w:rFonts w:cs="TimesNewRomanPS-BoldMT"/>
          <w:bCs/>
          <w:szCs w:val="20"/>
        </w:rPr>
      </w:pPr>
      <w:r w:rsidRPr="009E064B">
        <w:rPr>
          <w:rFonts w:cs="TimesNewRomanPS-ItalicMT"/>
          <w:iCs/>
          <w:szCs w:val="20"/>
        </w:rPr>
        <w:t xml:space="preserve">Strefa bezpieczeństwa końca drogi startowej powinna stanowić </w:t>
      </w:r>
      <w:r w:rsidR="00E14814" w:rsidRPr="009E064B">
        <w:rPr>
          <w:rFonts w:cs="TimesNewRomanPS-ItalicMT"/>
          <w:iCs/>
          <w:szCs w:val="20"/>
        </w:rPr>
        <w:t>oczyszczoną</w:t>
      </w:r>
      <w:r w:rsidRPr="009E064B">
        <w:rPr>
          <w:rFonts w:cs="TimesNewRomanPS-ItalicMT"/>
          <w:iCs/>
          <w:szCs w:val="20"/>
        </w:rPr>
        <w:t xml:space="preserve"> i wyrównaną powierzchnię dla samolotów, dla których ta droga startowa jest przeznaczona, na wypadek, gdyby samolot przyziemił zbyt wcześnie przed drogą startową lub wyjechał poza koniec tej drogi.</w:t>
      </w:r>
    </w:p>
    <w:p w14:paraId="451048C6" w14:textId="6AC4FE07" w:rsidR="003E0660" w:rsidRPr="009E064B" w:rsidRDefault="003E0660" w:rsidP="00133B99">
      <w:pPr>
        <w:pStyle w:val="Nagwek6"/>
      </w:pPr>
      <w:bookmarkStart w:id="1012" w:name="_Toc482886800"/>
      <w:bookmarkStart w:id="1013" w:name="_Toc12533001"/>
      <w:bookmarkStart w:id="1014" w:name="_Toc401058934"/>
      <w:r w:rsidRPr="009E064B">
        <w:t xml:space="preserve">GM1 ADR-DSN.C.225 </w:t>
      </w:r>
      <w:r w:rsidR="00D05B14" w:rsidRPr="009E064B">
        <w:t xml:space="preserve">    </w:t>
      </w:r>
      <w:r w:rsidR="00E14814" w:rsidRPr="009E064B">
        <w:t>Oczyszczenie</w:t>
      </w:r>
      <w:r w:rsidRPr="009E064B">
        <w:t xml:space="preserve"> i wyrównanie strefy bezpieczeństwa końca drogi startowej</w:t>
      </w:r>
      <w:bookmarkEnd w:id="1012"/>
      <w:bookmarkEnd w:id="1013"/>
    </w:p>
    <w:bookmarkEnd w:id="1014"/>
    <w:p w14:paraId="1CC4BD95" w14:textId="55F1E7B9"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42A9B4F3"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zCs w:val="20"/>
        </w:rPr>
        <w:t xml:space="preserve">Powierzchnia </w:t>
      </w:r>
      <w:r w:rsidRPr="009E064B">
        <w:t xml:space="preserve">strefy bezpieczeństwa </w:t>
      </w:r>
      <w:r w:rsidRPr="009E064B">
        <w:rPr>
          <w:rFonts w:eastAsiaTheme="majorEastAsia" w:cs="TimesNewRomanPS-BoldItalicMT"/>
          <w:szCs w:val="26"/>
        </w:rPr>
        <w:t>końca drogi startowej</w:t>
      </w:r>
      <w:r w:rsidRPr="009E064B">
        <w:rPr>
          <w:rFonts w:eastAsia="Verdana" w:cs="Verdana"/>
          <w:bCs/>
          <w:szCs w:val="20"/>
        </w:rPr>
        <w:t xml:space="preserve"> powinna być przygotowana, ale nie musi to być przygotowanie tej samej jakości, jak dla pasa drogi startowej.</w:t>
      </w:r>
    </w:p>
    <w:p w14:paraId="038FB47C" w14:textId="77777777" w:rsidR="003E0660" w:rsidRPr="009E064B" w:rsidRDefault="003E0660"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zCs w:val="20"/>
        </w:rPr>
        <w:t xml:space="preserve">Wytyczne dotyczące wyrównania i niwelacji RESA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ICAO Doc 9157, Część 1 „</w:t>
      </w:r>
      <w:r w:rsidRPr="009E064B">
        <w:rPr>
          <w:rFonts w:cs="Times New Roman"/>
          <w:i/>
          <w:szCs w:val="20"/>
        </w:rPr>
        <w:t>Drogi startowe</w:t>
      </w:r>
      <w:r w:rsidRPr="009E064B">
        <w:rPr>
          <w:rFonts w:cs="Times New Roman"/>
          <w:szCs w:val="20"/>
        </w:rPr>
        <w:t>”.</w:t>
      </w:r>
    </w:p>
    <w:p w14:paraId="3B0BA33B" w14:textId="77777777" w:rsidR="003E0660" w:rsidRPr="009E064B" w:rsidRDefault="003E06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881F263" w14:textId="3BB61E4F" w:rsidR="00C36D76" w:rsidRPr="009E064B" w:rsidRDefault="00F85C28" w:rsidP="00B06A9A">
      <w:pPr>
        <w:pStyle w:val="Nagwek4"/>
        <w:rPr>
          <w:color w:val="auto"/>
        </w:rPr>
      </w:pPr>
      <w:bookmarkStart w:id="1015" w:name="_Toc482886577"/>
      <w:bookmarkStart w:id="1016" w:name="_Toc12533002"/>
      <w:r w:rsidRPr="009E064B">
        <w:rPr>
          <w:color w:val="auto"/>
        </w:rPr>
        <w:t xml:space="preserve">CS ADR-DSN.C.230     </w:t>
      </w:r>
      <w:r w:rsidR="00C36D76" w:rsidRPr="009E064B">
        <w:rPr>
          <w:color w:val="auto"/>
        </w:rPr>
        <w:t>Nachylenia strefy bezpieczeństwa końca drogi startowej</w:t>
      </w:r>
      <w:bookmarkEnd w:id="1015"/>
      <w:bookmarkEnd w:id="1016"/>
    </w:p>
    <w:p w14:paraId="1AA302A2" w14:textId="695B2A6B"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C3CA5A5" w14:textId="7243A8C7" w:rsidR="00C36D76" w:rsidRPr="009E064B" w:rsidRDefault="00C36D76" w:rsidP="000E706F">
      <w:pPr>
        <w:tabs>
          <w:tab w:val="left" w:pos="567"/>
        </w:tabs>
        <w:autoSpaceDE w:val="0"/>
        <w:autoSpaceDN w:val="0"/>
        <w:adjustRightInd w:val="0"/>
        <w:ind w:left="567" w:hanging="567"/>
      </w:pPr>
      <w:r w:rsidRPr="009E064B">
        <w:rPr>
          <w:rFonts w:cs="Times New Roman"/>
        </w:rPr>
        <w:t xml:space="preserve">(a) </w:t>
      </w:r>
      <w:r w:rsidRPr="009E064B">
        <w:rPr>
          <w:rFonts w:cs="Times New Roman"/>
        </w:rPr>
        <w:tab/>
      </w:r>
      <w:r w:rsidRPr="009E064B">
        <w:t>Nachylenie podłużne</w:t>
      </w:r>
    </w:p>
    <w:p w14:paraId="7DAB7112"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 xml:space="preserve">Nachylenia </w:t>
      </w:r>
      <w:r w:rsidRPr="009E064B">
        <w:t xml:space="preserve">strefy bezpieczeństwa końca </w:t>
      </w:r>
      <w:r w:rsidRPr="009E064B">
        <w:rPr>
          <w:rFonts w:cs="TimesNewRomanPS-ItalicMT"/>
          <w:iCs/>
          <w:szCs w:val="20"/>
        </w:rPr>
        <w:t xml:space="preserve">drogi startowej powinny być takie, aby żadna część </w:t>
      </w:r>
      <w:r w:rsidRPr="009E064B">
        <w:t xml:space="preserve">strefy bezpieczeństwa końca </w:t>
      </w:r>
      <w:r w:rsidRPr="009E064B">
        <w:rPr>
          <w:rFonts w:cs="TimesNewRomanPS-ItalicMT"/>
          <w:iCs/>
          <w:szCs w:val="20"/>
        </w:rPr>
        <w:t>drogi startowej nie naruszała powierzchni podejścia do lądowania lub powierzchni wznoszenia przy starcie.</w:t>
      </w:r>
    </w:p>
    <w:p w14:paraId="351DC05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 xml:space="preserve">Nachylenie podłużne </w:t>
      </w:r>
      <w:r w:rsidRPr="009E064B">
        <w:t>strefy bezpieczeństwa końca drogi</w:t>
      </w:r>
      <w:r w:rsidRPr="009E064B">
        <w:rPr>
          <w:rFonts w:cs="TimesNewRomanPS-ItalicMT"/>
          <w:iCs/>
          <w:szCs w:val="20"/>
        </w:rPr>
        <w:t xml:space="preserve"> startowej w dół, nie powinno przekraczać wartości 5%. Zmiany nachylenia powinny być w miarę możliwości stopniowe oraz należy unikać gwałtownych zmian nachylenia i nagłego odwrócenia kierunków nachylenia.</w:t>
      </w:r>
    </w:p>
    <w:p w14:paraId="5168ACBC"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Nachylenie poprzeczne</w:t>
      </w:r>
    </w:p>
    <w:p w14:paraId="37B78E0D" w14:textId="69AF2662" w:rsidR="00C36D76" w:rsidRPr="009E064B" w:rsidRDefault="00C36D76" w:rsidP="006860C3">
      <w:pPr>
        <w:tabs>
          <w:tab w:val="left" w:pos="567"/>
        </w:tabs>
        <w:autoSpaceDE w:val="0"/>
        <w:autoSpaceDN w:val="0"/>
        <w:adjustRightInd w:val="0"/>
        <w:spacing w:after="0"/>
        <w:ind w:left="567"/>
        <w:rPr>
          <w:rFonts w:cs="TimesNewRomanPS-BoldMT"/>
          <w:bCs/>
          <w:szCs w:val="20"/>
        </w:rPr>
      </w:pPr>
      <w:r w:rsidRPr="009E064B">
        <w:rPr>
          <w:rFonts w:cs="TimesNewRomanPS-ItalicMT"/>
          <w:iCs/>
          <w:szCs w:val="20"/>
        </w:rPr>
        <w:t xml:space="preserve">Nachylenie poprzeczne </w:t>
      </w:r>
      <w:r w:rsidRPr="009E064B">
        <w:t xml:space="preserve">strefy bezpieczeństwa końca </w:t>
      </w:r>
      <w:r w:rsidRPr="009E064B">
        <w:rPr>
          <w:rFonts w:cs="TimesNewRomanPS-ItalicMT"/>
          <w:iCs/>
          <w:szCs w:val="20"/>
        </w:rPr>
        <w:t>drogi startowej nie powinno przekraczać wartości 5% nachylenia w górę lub w dół. Przejście od jednego kąta nachylenia do drugiego powinno być możliwie jak najłagodniejsze.</w:t>
      </w:r>
    </w:p>
    <w:p w14:paraId="17D155D4" w14:textId="77777777" w:rsidR="003E0660" w:rsidRPr="009E064B" w:rsidRDefault="003E0660" w:rsidP="00133B99">
      <w:pPr>
        <w:pStyle w:val="Nagwek6"/>
      </w:pPr>
      <w:bookmarkStart w:id="1017" w:name="_Toc482886801"/>
      <w:bookmarkStart w:id="1018" w:name="_Toc12533003"/>
      <w:bookmarkStart w:id="1019" w:name="_Toc401058935"/>
      <w:bookmarkStart w:id="1020" w:name="_Toc482886578"/>
      <w:r w:rsidRPr="009E064B">
        <w:t xml:space="preserve">GM1 ADR-DSN.C.230 </w:t>
      </w:r>
      <w:r w:rsidR="00D05B14" w:rsidRPr="009E064B">
        <w:t xml:space="preserve">    </w:t>
      </w:r>
      <w:r w:rsidRPr="009E064B">
        <w:t>Nachylenia strefy bezpieczeństwa końca drogi startowej</w:t>
      </w:r>
      <w:bookmarkEnd w:id="1017"/>
      <w:bookmarkEnd w:id="1018"/>
    </w:p>
    <w:bookmarkEnd w:id="1019"/>
    <w:p w14:paraId="3E2DC3BD" w14:textId="2C79B8DF"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4D655F8" w14:textId="77777777" w:rsidR="003E0660" w:rsidRPr="009E064B" w:rsidRDefault="003E0660" w:rsidP="00B06A9A">
      <w:pPr>
        <w:autoSpaceDE w:val="0"/>
        <w:autoSpaceDN w:val="0"/>
        <w:adjustRightInd w:val="0"/>
        <w:rPr>
          <w:rFonts w:eastAsia="Verdana" w:cs="Verdana"/>
          <w:bCs/>
          <w:szCs w:val="20"/>
        </w:rPr>
      </w:pPr>
      <w:r w:rsidRPr="009E064B">
        <w:rPr>
          <w:rFonts w:eastAsia="Verdana" w:cs="Verdana"/>
          <w:bCs/>
          <w:szCs w:val="20"/>
        </w:rPr>
        <w:t>Jeżeli zapewniane jest zabezpieczenie wydłużonego startu, nachylenie RESA powinno być odpowiednio zmienione.</w:t>
      </w:r>
    </w:p>
    <w:p w14:paraId="3DACEE86" w14:textId="5BDBA1A9" w:rsidR="00C36D76" w:rsidRPr="009E064B" w:rsidRDefault="00C36D76" w:rsidP="00B06A9A">
      <w:pPr>
        <w:pStyle w:val="Nagwek4"/>
        <w:rPr>
          <w:color w:val="auto"/>
        </w:rPr>
      </w:pPr>
      <w:bookmarkStart w:id="1021" w:name="_Toc12533004"/>
      <w:r w:rsidRPr="009E064B">
        <w:rPr>
          <w:color w:val="auto"/>
        </w:rPr>
        <w:t xml:space="preserve">CS ADR-DSN.C.235 </w:t>
      </w:r>
      <w:r w:rsidR="00D05B14" w:rsidRPr="009E064B">
        <w:rPr>
          <w:color w:val="auto"/>
        </w:rPr>
        <w:t xml:space="preserve">    </w:t>
      </w:r>
      <w:r w:rsidRPr="009E064B">
        <w:rPr>
          <w:color w:val="auto"/>
        </w:rPr>
        <w:t>Nośność strefy bezpieczeństwa końca drogi startowej</w:t>
      </w:r>
      <w:bookmarkEnd w:id="1020"/>
      <w:bookmarkEnd w:id="1021"/>
    </w:p>
    <w:p w14:paraId="2E4765F2" w14:textId="39F027FA"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041EB189" w14:textId="77777777" w:rsidR="00C36D76" w:rsidRPr="009E064B" w:rsidRDefault="00C36D76" w:rsidP="00B06A9A">
      <w:pPr>
        <w:rPr>
          <w:rFonts w:cs="TimesNewRomanPS-BoldMT"/>
          <w:bCs/>
          <w:szCs w:val="20"/>
        </w:rPr>
      </w:pPr>
      <w:r w:rsidRPr="009E064B">
        <w:rPr>
          <w:rFonts w:cs="TimesNewRomanPS-BoldMT"/>
          <w:bCs/>
          <w:szCs w:val="20"/>
        </w:rPr>
        <w:t>Strefa bezpieczeństwa końca drogi startowej powinna mieć odpowiednią nośność, aby mogła spełniać swój podstawowy cel.</w:t>
      </w:r>
    </w:p>
    <w:p w14:paraId="288D8639"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8630E0D" w14:textId="77777777" w:rsidR="003E0660" w:rsidRPr="009E064B" w:rsidRDefault="003E0660" w:rsidP="00133B99">
      <w:pPr>
        <w:pStyle w:val="Nagwek6"/>
      </w:pPr>
      <w:bookmarkStart w:id="1022" w:name="_Toc482886802"/>
      <w:bookmarkStart w:id="1023" w:name="_Toc12533005"/>
      <w:bookmarkStart w:id="1024" w:name="_Toc401058936"/>
      <w:r w:rsidRPr="009E064B">
        <w:t xml:space="preserve">GM1 ADR-DSN.C.235 </w:t>
      </w:r>
      <w:r w:rsidR="00D05B14" w:rsidRPr="009E064B">
        <w:t xml:space="preserve">    </w:t>
      </w:r>
      <w:r w:rsidRPr="009E064B">
        <w:t>Nośność strefy bezpieczeństwa końca drogi startowej</w:t>
      </w:r>
      <w:bookmarkEnd w:id="1022"/>
      <w:bookmarkEnd w:id="1023"/>
    </w:p>
    <w:bookmarkEnd w:id="1024"/>
    <w:p w14:paraId="6B1EDE4A" w14:textId="03D6EFAE" w:rsidR="00D05B14" w:rsidRPr="009E064B" w:rsidRDefault="00D63D4F" w:rsidP="00D05B14">
      <w:pPr>
        <w:spacing w:after="80"/>
        <w:ind w:left="23"/>
        <w:jc w:val="right"/>
        <w:rPr>
          <w:rFonts w:eastAsia="Times New Roman" w:cs="Calibri"/>
          <w:i/>
          <w:color w:val="1A171C"/>
          <w:sz w:val="16"/>
          <w:szCs w:val="20"/>
        </w:rPr>
      </w:pPr>
      <w:r w:rsidRPr="009E064B">
        <w:rPr>
          <w:rFonts w:eastAsia="Times New Roman" w:cs="Calibri"/>
          <w:i/>
          <w:color w:val="1A171C"/>
          <w:sz w:val="16"/>
          <w:szCs w:val="20"/>
        </w:rPr>
        <w:t>Decyzja ED 2016/027/R</w:t>
      </w:r>
    </w:p>
    <w:p w14:paraId="1A42A75C" w14:textId="77777777" w:rsidR="003E0660" w:rsidRPr="009E064B" w:rsidRDefault="003E06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(a) </w:t>
      </w:r>
      <w:r w:rsidRPr="009E064B">
        <w:rPr>
          <w:rFonts w:cs="TimesNewRomanPS-BoldItalicMT"/>
          <w:bCs/>
          <w:iCs/>
          <w:szCs w:val="20"/>
        </w:rPr>
        <w:tab/>
      </w:r>
      <w:r w:rsidRPr="009E064B">
        <w:t xml:space="preserve">Strefa bezpieczeństwa </w:t>
      </w:r>
      <w:r w:rsidRPr="009E064B">
        <w:rPr>
          <w:rFonts w:eastAsiaTheme="majorEastAsia" w:cs="TimesNewRomanPS-BoldItalicMT"/>
          <w:szCs w:val="26"/>
        </w:rPr>
        <w:t>końca drogi startowej</w:t>
      </w:r>
      <w:r w:rsidRPr="009E064B">
        <w:rPr>
          <w:rFonts w:cs="TimesNewRomanPS-BoldMT"/>
          <w:bCs/>
          <w:szCs w:val="20"/>
        </w:rPr>
        <w:t xml:space="preserve"> powinna być tak przygotowana lub zbudowana, aby zmniejszyć ryzyko uszkodzenia samolotu w przypadku zbyt wczesnego przyziemienia lub wyjechania poza drogę startową, poprawić możliwość wyhamowania samolotu oraz ułatwić przemieszczanie pojazdów ratowniczo-gaśniczych.</w:t>
      </w:r>
    </w:p>
    <w:p w14:paraId="0A1B2C3F" w14:textId="3949B767" w:rsidR="003E0660" w:rsidRPr="009E064B" w:rsidRDefault="003E0660"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NewRomanPS-BoldMT"/>
          <w:bCs/>
          <w:szCs w:val="20"/>
        </w:rPr>
        <w:t xml:space="preserve">Wytyczne dotyczące nośności RESA znajdują się w </w:t>
      </w:r>
      <w:hyperlink w:anchor="_GM1_ADR-DSN.B.190_" w:history="1">
        <w:r w:rsidRPr="009E064B">
          <w:rPr>
            <w:rStyle w:val="Hipercze"/>
            <w:rFonts w:cs="TimesNewRomanPS-BoldMT"/>
            <w:bCs/>
            <w:szCs w:val="20"/>
          </w:rPr>
          <w:t>GM1 ADR-DSN.B.190</w:t>
        </w:r>
      </w:hyperlink>
      <w:r w:rsidRPr="009E064B">
        <w:rPr>
          <w:rFonts w:cs="TimesNewRomanPS-BoldMT"/>
          <w:bCs/>
          <w:szCs w:val="20"/>
        </w:rPr>
        <w:t xml:space="preserve"> „</w:t>
      </w:r>
      <w:r w:rsidRPr="009E064B">
        <w:rPr>
          <w:rFonts w:cs="TimesNewRomanPS-BoldMT"/>
          <w:bCs/>
          <w:i/>
          <w:szCs w:val="20"/>
        </w:rPr>
        <w:t>Nośność pasa drogi startowej</w:t>
      </w:r>
      <w:r w:rsidRPr="009E064B">
        <w:rPr>
          <w:rFonts w:cs="TimesNewRomanPS-BoldMT"/>
          <w:bCs/>
          <w:szCs w:val="20"/>
        </w:rPr>
        <w:t xml:space="preserve">”, oraz w </w:t>
      </w:r>
      <w:r w:rsidRPr="009E064B">
        <w:rPr>
          <w:rFonts w:cs="Times New Roman"/>
          <w:szCs w:val="20"/>
        </w:rPr>
        <w:t>„</w:t>
      </w:r>
      <w:r w:rsidRPr="009E064B">
        <w:rPr>
          <w:rFonts w:cs="Times New Roman"/>
          <w:i/>
          <w:szCs w:val="20"/>
        </w:rPr>
        <w:t>Podręczniku projektowania lotnisk</w:t>
      </w:r>
      <w:r w:rsidRPr="009E064B">
        <w:rPr>
          <w:rFonts w:cs="Times New Roman"/>
          <w:szCs w:val="20"/>
        </w:rPr>
        <w:t>” ICAO Doc 9157, Część 1 „</w:t>
      </w:r>
      <w:r w:rsidRPr="009E064B">
        <w:rPr>
          <w:rFonts w:cs="Times New Roman"/>
          <w:i/>
          <w:szCs w:val="20"/>
        </w:rPr>
        <w:t>Drogi startowe”</w:t>
      </w:r>
      <w:r w:rsidRPr="009E064B">
        <w:rPr>
          <w:rFonts w:cs="Times New Roman"/>
          <w:szCs w:val="20"/>
        </w:rPr>
        <w:t>.</w:t>
      </w:r>
    </w:p>
    <w:p w14:paraId="4F7D2CBA" w14:textId="77777777" w:rsidR="003E0660" w:rsidRPr="009E064B" w:rsidRDefault="003E06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029AC1F" w14:textId="77777777" w:rsidR="003E0660" w:rsidRPr="009E064B" w:rsidRDefault="003E0660" w:rsidP="00B06A9A">
      <w:pPr>
        <w:rPr>
          <w:rFonts w:cs="TimesNewRomanPS-BoldMT"/>
          <w:bCs/>
          <w:szCs w:val="20"/>
        </w:rPr>
      </w:pPr>
    </w:p>
    <w:p w14:paraId="29BCDEDB" w14:textId="77777777" w:rsidR="00C36D76" w:rsidRPr="009E064B" w:rsidRDefault="00C36D76" w:rsidP="00B06A9A">
      <w:pPr>
        <w:rPr>
          <w:rFonts w:cs="TimesNewRomanPS-BoldMT"/>
          <w:bCs/>
          <w:szCs w:val="20"/>
        </w:rPr>
        <w:sectPr w:rsidR="00C36D76" w:rsidRPr="009E064B" w:rsidSect="00AE1280">
          <w:headerReference w:type="default" r:id="rId116"/>
          <w:headerReference w:type="first" r:id="rId117"/>
          <w:pgSz w:w="11906" w:h="16840" w:code="9"/>
          <w:pgMar w:top="1701" w:right="1417" w:bottom="1418" w:left="1418" w:header="567" w:footer="454" w:gutter="0"/>
          <w:cols w:space="708"/>
          <w:titlePg/>
          <w:docGrid w:linePitch="360"/>
        </w:sectPr>
      </w:pPr>
    </w:p>
    <w:p w14:paraId="4DBE36DF" w14:textId="77777777" w:rsidR="00C36D76" w:rsidRPr="009E064B" w:rsidRDefault="00C36D76" w:rsidP="00B06A9A">
      <w:pPr>
        <w:rPr>
          <w:rFonts w:cs="TimesNewRomanPS-BoldMT"/>
          <w:bCs/>
          <w:szCs w:val="20"/>
        </w:rPr>
      </w:pPr>
    </w:p>
    <w:p w14:paraId="154BF583" w14:textId="5351A79C" w:rsidR="00C36D76" w:rsidRPr="009E064B" w:rsidRDefault="00C36D76" w:rsidP="00020EA3">
      <w:pPr>
        <w:pStyle w:val="Nagwek2"/>
      </w:pPr>
      <w:bookmarkStart w:id="1025" w:name="_Toc382725606"/>
      <w:bookmarkStart w:id="1026" w:name="_Toc482886579"/>
      <w:bookmarkStart w:id="1027" w:name="_Toc12533006"/>
      <w:r w:rsidRPr="009E064B">
        <w:t xml:space="preserve">ROZDZIAŁ D </w:t>
      </w:r>
      <w:r w:rsidR="008529A2" w:rsidRPr="009E064B">
        <w:t xml:space="preserve">— </w:t>
      </w:r>
      <w:r w:rsidRPr="009E064B">
        <w:t>DROGI KOŁOWANIA</w:t>
      </w:r>
      <w:bookmarkEnd w:id="1025"/>
      <w:bookmarkEnd w:id="1026"/>
      <w:bookmarkEnd w:id="1027"/>
    </w:p>
    <w:p w14:paraId="70CAFC58" w14:textId="0611DBF5" w:rsidR="00C36D76" w:rsidRPr="009E064B" w:rsidRDefault="00C36D76" w:rsidP="00B06A9A">
      <w:pPr>
        <w:rPr>
          <w:rFonts w:cs="TimesNewRomanPS-BoldMT"/>
          <w:bCs/>
          <w:szCs w:val="20"/>
        </w:rPr>
      </w:pPr>
    </w:p>
    <w:p w14:paraId="363FB38E" w14:textId="2ECB2E4D" w:rsidR="00C36D76" w:rsidRPr="009E064B" w:rsidRDefault="00F85C28" w:rsidP="00B06A9A">
      <w:pPr>
        <w:pStyle w:val="Nagwek4"/>
        <w:rPr>
          <w:color w:val="auto"/>
        </w:rPr>
      </w:pPr>
      <w:bookmarkStart w:id="1028" w:name="_CS_ADR-DSN.D.240_"/>
      <w:bookmarkStart w:id="1029" w:name="_Toc482886580"/>
      <w:bookmarkStart w:id="1030" w:name="_Toc12533007"/>
      <w:bookmarkEnd w:id="1028"/>
      <w:r w:rsidRPr="009E064B">
        <w:rPr>
          <w:color w:val="auto"/>
        </w:rPr>
        <w:t xml:space="preserve">CS ADR-DSN.D.240     </w:t>
      </w:r>
      <w:r w:rsidR="00C36D76" w:rsidRPr="009E064B">
        <w:rPr>
          <w:color w:val="auto"/>
        </w:rPr>
        <w:t xml:space="preserve">Drogi kołowania – </w:t>
      </w:r>
      <w:r w:rsidR="009B0A08" w:rsidRPr="009E064B">
        <w:rPr>
          <w:rFonts w:cs="TimesNewRomanPS-BoldItalicMT"/>
          <w:bCs w:val="0"/>
          <w:iCs/>
          <w:szCs w:val="20"/>
        </w:rPr>
        <w:t>wymagania</w:t>
      </w:r>
      <w:r w:rsidR="00C36D76" w:rsidRPr="009E064B">
        <w:rPr>
          <w:color w:val="auto"/>
        </w:rPr>
        <w:t xml:space="preserve"> ogólne</w:t>
      </w:r>
      <w:bookmarkEnd w:id="1029"/>
      <w:bookmarkEnd w:id="1030"/>
    </w:p>
    <w:p w14:paraId="64CFC6DE" w14:textId="0922E494"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4D82487" w14:textId="77777777" w:rsidR="00C36D76" w:rsidRPr="009E064B" w:rsidRDefault="00C36D76" w:rsidP="00B06A9A">
      <w:pPr>
        <w:autoSpaceDE w:val="0"/>
        <w:autoSpaceDN w:val="0"/>
        <w:adjustRightInd w:val="0"/>
        <w:rPr>
          <w:rFonts w:cs="TimesNewRomanPS-ItalicMT"/>
          <w:iCs/>
          <w:szCs w:val="20"/>
        </w:rPr>
      </w:pPr>
      <w:r w:rsidRPr="009E064B">
        <w:rPr>
          <w:rFonts w:cs="TimesNewRomanPS-ItalicMT"/>
          <w:iCs/>
          <w:szCs w:val="20"/>
        </w:rPr>
        <w:t>Z wyjątkiem przypadków opisanych inaczej, wymagania umieszczone w „</w:t>
      </w:r>
      <w:r w:rsidRPr="009E064B">
        <w:rPr>
          <w:rFonts w:cs="TimesNewRomanPS-ItalicMT"/>
          <w:i/>
          <w:iCs/>
          <w:szCs w:val="20"/>
        </w:rPr>
        <w:t>Rozdziale D – Drogi kołowania</w:t>
      </w:r>
      <w:r w:rsidRPr="009E064B">
        <w:rPr>
          <w:rFonts w:cs="TimesNewRomanPS-ItalicMT"/>
          <w:iCs/>
          <w:szCs w:val="20"/>
        </w:rPr>
        <w:t>”, odnoszą się do wszystkich rodzajów dróg kołowania.</w:t>
      </w:r>
    </w:p>
    <w:p w14:paraId="32FE35FF" w14:textId="3557C49F" w:rsidR="00C36D76" w:rsidRPr="009E064B" w:rsidRDefault="00C36D76" w:rsidP="00EB48E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 xml:space="preserve">Konstrukcja drogi kołowania powinna być taka, że gdy kabina załogi statku powietrznego, dla którego jest ona przewidywana, pozostaje nad oznakowaniem poziomym linii środkowej drogi kołowania, minimalna odstęp pomiędzy zewnętrznymi kołami głównego podwozia statku powietrznego i krawędzią drogi kołowania, nie powinien być mniejszy niż wartości określone </w:t>
      </w:r>
      <w:r w:rsidR="00F85C28" w:rsidRPr="009E064B">
        <w:rPr>
          <w:rFonts w:cs="TimesNewRomanPSMT"/>
          <w:szCs w:val="20"/>
        </w:rPr>
        <w:t>w </w:t>
      </w:r>
      <w:r w:rsidRPr="009E064B">
        <w:rPr>
          <w:rFonts w:cs="TimesNewRomanPSMT"/>
          <w:szCs w:val="20"/>
        </w:rPr>
        <w:t>poniższym zestawieniu</w:t>
      </w:r>
      <w:r w:rsidRPr="009E064B">
        <w:rPr>
          <w:rFonts w:cs="TimesNewRomanPS-ItalicMT"/>
          <w:iCs/>
          <w:szCs w:val="20"/>
        </w:rPr>
        <w:t>.</w:t>
      </w:r>
    </w:p>
    <w:p w14:paraId="031ED7F0" w14:textId="77777777" w:rsidR="00EB48E1" w:rsidRPr="005D070C" w:rsidRDefault="00EB48E1" w:rsidP="00EB48E1">
      <w:pPr>
        <w:tabs>
          <w:tab w:val="left" w:pos="567"/>
        </w:tabs>
        <w:autoSpaceDE w:val="0"/>
        <w:autoSpaceDN w:val="0"/>
        <w:adjustRightInd w:val="0"/>
        <w:spacing w:after="0"/>
        <w:ind w:left="567" w:hanging="567"/>
        <w:rPr>
          <w:rFonts w:cs="TimesNewRomanPS-ItalicMT"/>
          <w:iCs/>
          <w:color w:val="000000" w:themeColor="text1"/>
          <w:szCs w:val="20"/>
        </w:rPr>
      </w:pPr>
    </w:p>
    <w:tbl>
      <w:tblPr>
        <w:tblW w:w="469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002"/>
        <w:gridCol w:w="1904"/>
        <w:gridCol w:w="1904"/>
        <w:gridCol w:w="1904"/>
        <w:gridCol w:w="1902"/>
      </w:tblGrid>
      <w:tr w:rsidR="001D76A7" w:rsidRPr="005D070C" w14:paraId="57DA2475" w14:textId="77777777" w:rsidTr="001D76A7">
        <w:trPr>
          <w:jc w:val="right"/>
        </w:trPr>
        <w:tc>
          <w:tcPr>
            <w:tcW w:w="581" w:type="pct"/>
            <w:vMerge w:val="restart"/>
            <w:tcMar>
              <w:top w:w="85" w:type="dxa"/>
              <w:left w:w="57" w:type="dxa"/>
              <w:bottom w:w="85" w:type="dxa"/>
              <w:right w:w="57" w:type="dxa"/>
            </w:tcMar>
            <w:vAlign w:val="center"/>
          </w:tcPr>
          <w:p w14:paraId="77A137C8" w14:textId="77777777" w:rsidR="000A3409" w:rsidRPr="005D070C" w:rsidRDefault="000A3409" w:rsidP="000A3409">
            <w:pPr>
              <w:autoSpaceDE w:val="0"/>
              <w:autoSpaceDN w:val="0"/>
              <w:adjustRightInd w:val="0"/>
              <w:spacing w:after="0"/>
              <w:jc w:val="center"/>
              <w:rPr>
                <w:rFonts w:cs="TimesNewRomanPSMT"/>
                <w:color w:val="000000" w:themeColor="text1"/>
              </w:rPr>
            </w:pPr>
            <w:bookmarkStart w:id="1031" w:name="_Toc401058938"/>
            <w:bookmarkStart w:id="1032" w:name="_Toc482886804"/>
          </w:p>
        </w:tc>
        <w:tc>
          <w:tcPr>
            <w:tcW w:w="4419" w:type="pct"/>
            <w:gridSpan w:val="4"/>
            <w:tcMar>
              <w:top w:w="85" w:type="dxa"/>
              <w:left w:w="57" w:type="dxa"/>
              <w:bottom w:w="85" w:type="dxa"/>
              <w:right w:w="57" w:type="dxa"/>
            </w:tcMar>
            <w:vAlign w:val="center"/>
          </w:tcPr>
          <w:p w14:paraId="7EE5FAF9" w14:textId="50F2D048" w:rsidR="000A3409" w:rsidRPr="005D070C" w:rsidRDefault="000A3409" w:rsidP="000D78F5">
            <w:pPr>
              <w:spacing w:after="0"/>
              <w:jc w:val="center"/>
              <w:rPr>
                <w:b/>
                <w:color w:val="000000" w:themeColor="text1"/>
              </w:rPr>
            </w:pPr>
            <w:r w:rsidRPr="005D070C">
              <w:rPr>
                <w:b/>
                <w:color w:val="000000" w:themeColor="text1"/>
              </w:rPr>
              <w:t xml:space="preserve">Całkowity rozstaw zewnętrznych </w:t>
            </w:r>
            <w:r w:rsidR="00FB199F" w:rsidRPr="005D070C">
              <w:rPr>
                <w:b/>
                <w:color w:val="000000" w:themeColor="text1"/>
              </w:rPr>
              <w:t xml:space="preserve">kół </w:t>
            </w:r>
            <w:r w:rsidRPr="005D070C">
              <w:rPr>
                <w:b/>
                <w:color w:val="000000" w:themeColor="text1"/>
              </w:rPr>
              <w:t>podwozia głównego (OMGWS)</w:t>
            </w:r>
          </w:p>
        </w:tc>
      </w:tr>
      <w:tr w:rsidR="001D76A7" w:rsidRPr="005D070C" w14:paraId="164C7BAB" w14:textId="77777777" w:rsidTr="00F722A1">
        <w:trPr>
          <w:jc w:val="right"/>
        </w:trPr>
        <w:tc>
          <w:tcPr>
            <w:tcW w:w="581" w:type="pct"/>
            <w:vMerge/>
            <w:tcMar>
              <w:top w:w="85" w:type="dxa"/>
              <w:left w:w="57" w:type="dxa"/>
              <w:bottom w:w="85" w:type="dxa"/>
              <w:right w:w="57" w:type="dxa"/>
            </w:tcMar>
            <w:vAlign w:val="center"/>
          </w:tcPr>
          <w:p w14:paraId="66B57C09" w14:textId="77777777" w:rsidR="000A3409" w:rsidRPr="005D070C" w:rsidRDefault="000A3409" w:rsidP="000A3409">
            <w:pPr>
              <w:spacing w:after="0"/>
              <w:ind w:right="43"/>
              <w:jc w:val="center"/>
              <w:rPr>
                <w:color w:val="000000" w:themeColor="text1"/>
              </w:rPr>
            </w:pPr>
          </w:p>
        </w:tc>
        <w:tc>
          <w:tcPr>
            <w:tcW w:w="1105" w:type="pct"/>
            <w:tcMar>
              <w:top w:w="85" w:type="dxa"/>
              <w:left w:w="28" w:type="dxa"/>
              <w:bottom w:w="85" w:type="dxa"/>
              <w:right w:w="28" w:type="dxa"/>
            </w:tcMar>
            <w:vAlign w:val="center"/>
          </w:tcPr>
          <w:p w14:paraId="5B6455CF" w14:textId="77777777" w:rsidR="000A3409" w:rsidRPr="005D070C" w:rsidRDefault="000A3409" w:rsidP="000A3409">
            <w:pPr>
              <w:spacing w:after="0" w:line="276" w:lineRule="auto"/>
              <w:jc w:val="center"/>
              <w:rPr>
                <w:color w:val="000000" w:themeColor="text1"/>
              </w:rPr>
            </w:pPr>
            <w:r w:rsidRPr="005D070C">
              <w:rPr>
                <w:color w:val="000000" w:themeColor="text1"/>
              </w:rPr>
              <w:t xml:space="preserve">do </w:t>
            </w:r>
            <w:smartTag w:uri="urn:schemas-microsoft-com:office:smarttags" w:element="metricconverter">
              <w:smartTagPr>
                <w:attr w:name="ProductID" w:val="4.5 m"/>
              </w:smartTagPr>
              <w:r w:rsidRPr="005D070C">
                <w:rPr>
                  <w:color w:val="000000" w:themeColor="text1"/>
                </w:rPr>
                <w:t>4.5 m</w:t>
              </w:r>
            </w:smartTag>
          </w:p>
          <w:p w14:paraId="333CDFA9" w14:textId="77777777" w:rsidR="000A3409" w:rsidRPr="005D070C" w:rsidRDefault="000A3409" w:rsidP="000A3409">
            <w:pPr>
              <w:spacing w:after="0"/>
              <w:jc w:val="center"/>
              <w:rPr>
                <w:b/>
                <w:color w:val="000000" w:themeColor="text1"/>
              </w:rPr>
            </w:pPr>
            <w:r w:rsidRPr="005D070C">
              <w:rPr>
                <w:color w:val="000000" w:themeColor="text1"/>
              </w:rPr>
              <w:t xml:space="preserve">(bez wartości </w:t>
            </w:r>
            <w:smartTag w:uri="urn:schemas-microsoft-com:office:smarttags" w:element="metricconverter">
              <w:smartTagPr>
                <w:attr w:name="ProductID" w:val="4.5 m"/>
              </w:smartTagPr>
              <w:r w:rsidRPr="005D070C">
                <w:rPr>
                  <w:color w:val="000000" w:themeColor="text1"/>
                </w:rPr>
                <w:t>4.5 m</w:t>
              </w:r>
            </w:smartTag>
            <w:r w:rsidRPr="005D070C">
              <w:rPr>
                <w:color w:val="000000" w:themeColor="text1"/>
              </w:rPr>
              <w:t>)</w:t>
            </w:r>
          </w:p>
        </w:tc>
        <w:tc>
          <w:tcPr>
            <w:tcW w:w="1105" w:type="pct"/>
            <w:tcMar>
              <w:top w:w="85" w:type="dxa"/>
              <w:left w:w="28" w:type="dxa"/>
              <w:bottom w:w="85" w:type="dxa"/>
              <w:right w:w="28" w:type="dxa"/>
            </w:tcMar>
            <w:vAlign w:val="center"/>
          </w:tcPr>
          <w:p w14:paraId="415D1ABB" w14:textId="77777777" w:rsidR="000A3409" w:rsidRPr="005D070C" w:rsidRDefault="000A3409" w:rsidP="000A3409">
            <w:pPr>
              <w:spacing w:after="0" w:line="276" w:lineRule="auto"/>
              <w:jc w:val="center"/>
              <w:rPr>
                <w:color w:val="000000" w:themeColor="text1"/>
              </w:rPr>
            </w:pPr>
            <w:r w:rsidRPr="005D070C">
              <w:rPr>
                <w:color w:val="000000" w:themeColor="text1"/>
              </w:rPr>
              <w:t xml:space="preserve">od </w:t>
            </w:r>
            <w:smartTag w:uri="urn:schemas-microsoft-com:office:smarttags" w:element="metricconverter">
              <w:smartTagPr>
                <w:attr w:name="ProductID" w:val="4.5 m"/>
              </w:smartTagPr>
              <w:r w:rsidRPr="005D070C">
                <w:rPr>
                  <w:color w:val="000000" w:themeColor="text1"/>
                </w:rPr>
                <w:t>4.5 m</w:t>
              </w:r>
            </w:smartTag>
            <w:r w:rsidRPr="005D070C">
              <w:rPr>
                <w:color w:val="000000" w:themeColor="text1"/>
              </w:rPr>
              <w:t xml:space="preserve"> do </w:t>
            </w:r>
            <w:smartTag w:uri="urn:schemas-microsoft-com:office:smarttags" w:element="metricconverter">
              <w:smartTagPr>
                <w:attr w:name="ProductID" w:val="6 m"/>
              </w:smartTagPr>
              <w:r w:rsidRPr="005D070C">
                <w:rPr>
                  <w:color w:val="000000" w:themeColor="text1"/>
                </w:rPr>
                <w:t>6 m</w:t>
              </w:r>
            </w:smartTag>
          </w:p>
          <w:p w14:paraId="2BD74496" w14:textId="77777777" w:rsidR="000A3409" w:rsidRPr="005D070C" w:rsidRDefault="000A3409" w:rsidP="000A3409">
            <w:pPr>
              <w:spacing w:after="0"/>
              <w:jc w:val="center"/>
              <w:rPr>
                <w:b/>
                <w:color w:val="000000" w:themeColor="text1"/>
              </w:rPr>
            </w:pPr>
            <w:r w:rsidRPr="005D070C">
              <w:rPr>
                <w:color w:val="000000" w:themeColor="text1"/>
              </w:rPr>
              <w:t xml:space="preserve">(bez wartości </w:t>
            </w:r>
            <w:smartTag w:uri="urn:schemas-microsoft-com:office:smarttags" w:element="metricconverter">
              <w:smartTagPr>
                <w:attr w:name="ProductID" w:val="6 m"/>
              </w:smartTagPr>
              <w:r w:rsidRPr="005D070C">
                <w:rPr>
                  <w:color w:val="000000" w:themeColor="text1"/>
                </w:rPr>
                <w:t>6 m)</w:t>
              </w:r>
            </w:smartTag>
          </w:p>
        </w:tc>
        <w:tc>
          <w:tcPr>
            <w:tcW w:w="1105" w:type="pct"/>
            <w:tcMar>
              <w:top w:w="85" w:type="dxa"/>
              <w:left w:w="28" w:type="dxa"/>
              <w:bottom w:w="85" w:type="dxa"/>
              <w:right w:w="28" w:type="dxa"/>
            </w:tcMar>
            <w:vAlign w:val="center"/>
          </w:tcPr>
          <w:p w14:paraId="7C6F015C" w14:textId="77777777" w:rsidR="000A3409" w:rsidRPr="005D070C" w:rsidRDefault="000A3409" w:rsidP="000A3409">
            <w:pPr>
              <w:spacing w:after="0" w:line="276" w:lineRule="auto"/>
              <w:jc w:val="center"/>
              <w:rPr>
                <w:color w:val="000000" w:themeColor="text1"/>
              </w:rPr>
            </w:pPr>
            <w:r w:rsidRPr="005D070C">
              <w:rPr>
                <w:color w:val="000000" w:themeColor="text1"/>
              </w:rPr>
              <w:t xml:space="preserve">od </w:t>
            </w:r>
            <w:smartTag w:uri="urn:schemas-microsoft-com:office:smarttags" w:element="metricconverter">
              <w:smartTagPr>
                <w:attr w:name="ProductID" w:val="6 m"/>
              </w:smartTagPr>
              <w:r w:rsidRPr="005D070C">
                <w:rPr>
                  <w:color w:val="000000" w:themeColor="text1"/>
                </w:rPr>
                <w:t>6 m</w:t>
              </w:r>
            </w:smartTag>
            <w:r w:rsidRPr="005D070C">
              <w:rPr>
                <w:color w:val="000000" w:themeColor="text1"/>
              </w:rPr>
              <w:t xml:space="preserve"> do </w:t>
            </w:r>
            <w:smartTag w:uri="urn:schemas-microsoft-com:office:smarttags" w:element="metricconverter">
              <w:smartTagPr>
                <w:attr w:name="ProductID" w:val="9 m"/>
              </w:smartTagPr>
              <w:r w:rsidRPr="005D070C">
                <w:rPr>
                  <w:color w:val="000000" w:themeColor="text1"/>
                </w:rPr>
                <w:t>9 m</w:t>
              </w:r>
            </w:smartTag>
          </w:p>
          <w:p w14:paraId="49942294" w14:textId="77777777" w:rsidR="000A3409" w:rsidRPr="005D070C" w:rsidRDefault="000A3409" w:rsidP="000A3409">
            <w:pPr>
              <w:spacing w:after="0"/>
              <w:jc w:val="center"/>
              <w:rPr>
                <w:b/>
                <w:color w:val="000000" w:themeColor="text1"/>
              </w:rPr>
            </w:pPr>
            <w:r w:rsidRPr="005D070C">
              <w:rPr>
                <w:color w:val="000000" w:themeColor="text1"/>
              </w:rPr>
              <w:t xml:space="preserve">(bez wartości </w:t>
            </w:r>
            <w:smartTag w:uri="urn:schemas-microsoft-com:office:smarttags" w:element="metricconverter">
              <w:smartTagPr>
                <w:attr w:name="ProductID" w:val="9 m"/>
              </w:smartTagPr>
              <w:r w:rsidRPr="005D070C">
                <w:rPr>
                  <w:color w:val="000000" w:themeColor="text1"/>
                </w:rPr>
                <w:t>9 m</w:t>
              </w:r>
            </w:smartTag>
            <w:r w:rsidRPr="005D070C">
              <w:rPr>
                <w:color w:val="000000" w:themeColor="text1"/>
              </w:rPr>
              <w:t>)</w:t>
            </w:r>
          </w:p>
        </w:tc>
        <w:tc>
          <w:tcPr>
            <w:tcW w:w="1104" w:type="pct"/>
            <w:tcMar>
              <w:top w:w="85" w:type="dxa"/>
              <w:left w:w="28" w:type="dxa"/>
              <w:bottom w:w="85" w:type="dxa"/>
              <w:right w:w="28" w:type="dxa"/>
            </w:tcMar>
            <w:vAlign w:val="center"/>
          </w:tcPr>
          <w:p w14:paraId="52FF60DB" w14:textId="77777777" w:rsidR="000A3409" w:rsidRPr="005D070C" w:rsidRDefault="000A3409" w:rsidP="000A3409">
            <w:pPr>
              <w:spacing w:after="0" w:line="276" w:lineRule="auto"/>
              <w:jc w:val="center"/>
              <w:rPr>
                <w:color w:val="000000" w:themeColor="text1"/>
              </w:rPr>
            </w:pPr>
            <w:r w:rsidRPr="005D070C">
              <w:rPr>
                <w:color w:val="000000" w:themeColor="text1"/>
              </w:rPr>
              <w:t xml:space="preserve">od </w:t>
            </w:r>
            <w:smartTag w:uri="urn:schemas-microsoft-com:office:smarttags" w:element="metricconverter">
              <w:smartTagPr>
                <w:attr w:name="ProductID" w:val="9 m"/>
              </w:smartTagPr>
              <w:r w:rsidRPr="005D070C">
                <w:rPr>
                  <w:color w:val="000000" w:themeColor="text1"/>
                </w:rPr>
                <w:t>9 m</w:t>
              </w:r>
            </w:smartTag>
            <w:r w:rsidRPr="005D070C">
              <w:rPr>
                <w:color w:val="000000" w:themeColor="text1"/>
              </w:rPr>
              <w:t xml:space="preserve"> do 15 m</w:t>
            </w:r>
          </w:p>
          <w:p w14:paraId="2A338A46" w14:textId="77777777" w:rsidR="000A3409" w:rsidRPr="005D070C" w:rsidRDefault="000A3409" w:rsidP="000A3409">
            <w:pPr>
              <w:spacing w:after="0"/>
              <w:jc w:val="center"/>
              <w:rPr>
                <w:b/>
                <w:color w:val="000000" w:themeColor="text1"/>
              </w:rPr>
            </w:pPr>
            <w:r w:rsidRPr="005D070C">
              <w:rPr>
                <w:color w:val="000000" w:themeColor="text1"/>
              </w:rPr>
              <w:t>(bez wartości 15 m)</w:t>
            </w:r>
          </w:p>
        </w:tc>
      </w:tr>
      <w:tr w:rsidR="001D76A7" w:rsidRPr="005D070C" w14:paraId="5B43F4ED" w14:textId="77777777" w:rsidTr="00F722A1">
        <w:trPr>
          <w:jc w:val="right"/>
        </w:trPr>
        <w:tc>
          <w:tcPr>
            <w:tcW w:w="581" w:type="pct"/>
            <w:tcMar>
              <w:top w:w="85" w:type="dxa"/>
              <w:left w:w="57" w:type="dxa"/>
              <w:bottom w:w="85" w:type="dxa"/>
              <w:right w:w="57" w:type="dxa"/>
            </w:tcMar>
            <w:vAlign w:val="center"/>
          </w:tcPr>
          <w:p w14:paraId="0F31199A" w14:textId="77777777" w:rsidR="000A3409" w:rsidRPr="005D070C" w:rsidRDefault="000A3409" w:rsidP="000A3409">
            <w:pPr>
              <w:autoSpaceDE w:val="0"/>
              <w:autoSpaceDN w:val="0"/>
              <w:adjustRightInd w:val="0"/>
              <w:spacing w:after="0"/>
              <w:jc w:val="center"/>
              <w:rPr>
                <w:rFonts w:cs="TimesNewRomanPSMT"/>
                <w:color w:val="000000" w:themeColor="text1"/>
              </w:rPr>
            </w:pPr>
            <w:r w:rsidRPr="005D070C">
              <w:rPr>
                <w:rFonts w:cs="TimesNewRomanPSMT"/>
                <w:color w:val="000000" w:themeColor="text1"/>
              </w:rPr>
              <w:t>Odstęp</w:t>
            </w:r>
          </w:p>
        </w:tc>
        <w:tc>
          <w:tcPr>
            <w:tcW w:w="1105" w:type="pct"/>
            <w:tcMar>
              <w:top w:w="85" w:type="dxa"/>
              <w:left w:w="28" w:type="dxa"/>
              <w:bottom w:w="85" w:type="dxa"/>
              <w:right w:w="28" w:type="dxa"/>
            </w:tcMar>
            <w:vAlign w:val="center"/>
          </w:tcPr>
          <w:p w14:paraId="69AFF18C" w14:textId="77777777" w:rsidR="000A3409" w:rsidRPr="005D070C" w:rsidRDefault="000A3409" w:rsidP="000A3409">
            <w:pPr>
              <w:spacing w:after="0"/>
              <w:jc w:val="center"/>
              <w:rPr>
                <w:color w:val="000000" w:themeColor="text1"/>
              </w:rPr>
            </w:pPr>
            <w:r w:rsidRPr="005D070C">
              <w:rPr>
                <w:rFonts w:cs="TimesNewRomanPS-ItalicMT"/>
                <w:iCs/>
                <w:color w:val="000000" w:themeColor="text1"/>
              </w:rPr>
              <w:t>1.5 m</w:t>
            </w:r>
          </w:p>
        </w:tc>
        <w:tc>
          <w:tcPr>
            <w:tcW w:w="1105" w:type="pct"/>
            <w:tcMar>
              <w:top w:w="85" w:type="dxa"/>
              <w:left w:w="28" w:type="dxa"/>
              <w:bottom w:w="85" w:type="dxa"/>
              <w:right w:w="28" w:type="dxa"/>
            </w:tcMar>
            <w:vAlign w:val="center"/>
          </w:tcPr>
          <w:p w14:paraId="1DD28870" w14:textId="77777777" w:rsidR="000A3409" w:rsidRPr="005D070C" w:rsidRDefault="000A3409" w:rsidP="000A3409">
            <w:pPr>
              <w:spacing w:after="0"/>
              <w:jc w:val="center"/>
              <w:rPr>
                <w:color w:val="000000" w:themeColor="text1"/>
              </w:rPr>
            </w:pPr>
            <w:r w:rsidRPr="005D070C">
              <w:rPr>
                <w:rFonts w:cs="TimesNewRomanPS-ItalicMT"/>
                <w:iCs/>
                <w:color w:val="000000" w:themeColor="text1"/>
              </w:rPr>
              <w:t>2.25 m</w:t>
            </w:r>
          </w:p>
        </w:tc>
        <w:tc>
          <w:tcPr>
            <w:tcW w:w="1105" w:type="pct"/>
            <w:tcMar>
              <w:top w:w="85" w:type="dxa"/>
              <w:left w:w="28" w:type="dxa"/>
              <w:bottom w:w="85" w:type="dxa"/>
              <w:right w:w="28" w:type="dxa"/>
            </w:tcMar>
            <w:vAlign w:val="center"/>
          </w:tcPr>
          <w:p w14:paraId="30C8FED7" w14:textId="77777777" w:rsidR="000A3409" w:rsidRPr="005D070C" w:rsidRDefault="000A3409" w:rsidP="000A3409">
            <w:pPr>
              <w:spacing w:after="0"/>
              <w:jc w:val="center"/>
              <w:rPr>
                <w:color w:val="000000" w:themeColor="text1"/>
              </w:rPr>
            </w:pPr>
            <w:r w:rsidRPr="005D070C">
              <w:rPr>
                <w:rFonts w:cs="TimesNewRomanPS-ItalicMT"/>
                <w:iCs/>
                <w:color w:val="000000" w:themeColor="text1"/>
              </w:rPr>
              <w:t>3 m</w:t>
            </w:r>
            <w:r w:rsidRPr="005D070C">
              <w:rPr>
                <w:rFonts w:cs="TimesNewRomanPS-ItalicMT"/>
                <w:iCs/>
                <w:color w:val="000000" w:themeColor="text1"/>
                <w:vertAlign w:val="superscript"/>
              </w:rPr>
              <w:t>a, b</w:t>
            </w:r>
            <w:r w:rsidRPr="005D070C">
              <w:rPr>
                <w:rFonts w:cs="TimesNewRomanPS-ItalicMT"/>
                <w:iCs/>
                <w:color w:val="000000" w:themeColor="text1"/>
              </w:rPr>
              <w:t xml:space="preserve"> lub 4 m</w:t>
            </w:r>
            <w:r w:rsidRPr="005D070C">
              <w:rPr>
                <w:rFonts w:cs="TimesNewRomanPS-ItalicMT"/>
                <w:iCs/>
                <w:color w:val="000000" w:themeColor="text1"/>
                <w:vertAlign w:val="superscript"/>
              </w:rPr>
              <w:t>c</w:t>
            </w:r>
          </w:p>
        </w:tc>
        <w:tc>
          <w:tcPr>
            <w:tcW w:w="1104" w:type="pct"/>
            <w:tcMar>
              <w:top w:w="85" w:type="dxa"/>
              <w:left w:w="28" w:type="dxa"/>
              <w:bottom w:w="85" w:type="dxa"/>
              <w:right w:w="28" w:type="dxa"/>
            </w:tcMar>
            <w:vAlign w:val="center"/>
          </w:tcPr>
          <w:p w14:paraId="29E542E4" w14:textId="77777777" w:rsidR="000A3409" w:rsidRPr="005D070C" w:rsidRDefault="000A3409" w:rsidP="000A3409">
            <w:pPr>
              <w:spacing w:after="0"/>
              <w:jc w:val="center"/>
              <w:rPr>
                <w:color w:val="000000" w:themeColor="text1"/>
              </w:rPr>
            </w:pPr>
            <w:r w:rsidRPr="005D070C">
              <w:rPr>
                <w:rFonts w:cs="TimesNewRomanPS-ItalicMT"/>
                <w:iCs/>
                <w:color w:val="000000" w:themeColor="text1"/>
              </w:rPr>
              <w:t>4 m</w:t>
            </w:r>
          </w:p>
        </w:tc>
      </w:tr>
      <w:tr w:rsidR="001D76A7" w:rsidRPr="005D070C" w14:paraId="5380A755" w14:textId="77777777" w:rsidTr="001D76A7">
        <w:trPr>
          <w:jc w:val="right"/>
        </w:trPr>
        <w:tc>
          <w:tcPr>
            <w:tcW w:w="5000" w:type="pct"/>
            <w:gridSpan w:val="5"/>
            <w:tcMar>
              <w:top w:w="85" w:type="dxa"/>
              <w:left w:w="57" w:type="dxa"/>
              <w:bottom w:w="85" w:type="dxa"/>
              <w:right w:w="57" w:type="dxa"/>
            </w:tcMar>
            <w:vAlign w:val="center"/>
          </w:tcPr>
          <w:p w14:paraId="5918089B" w14:textId="77777777" w:rsidR="000A3409" w:rsidRPr="005D070C" w:rsidRDefault="000A3409" w:rsidP="000A3409">
            <w:pPr>
              <w:tabs>
                <w:tab w:val="left" w:pos="177"/>
              </w:tabs>
              <w:spacing w:after="0"/>
              <w:ind w:left="177" w:hanging="177"/>
              <w:jc w:val="left"/>
              <w:rPr>
                <w:rFonts w:cs="TimesNewRomanPS-ItalicMT"/>
                <w:i/>
                <w:iCs/>
                <w:color w:val="000000" w:themeColor="text1"/>
                <w:sz w:val="20"/>
              </w:rPr>
            </w:pPr>
            <w:r w:rsidRPr="005D070C">
              <w:rPr>
                <w:rFonts w:cs="TimesNewRomanPS-ItalicMT"/>
                <w:iCs/>
                <w:color w:val="000000" w:themeColor="text1"/>
                <w:vertAlign w:val="superscript"/>
              </w:rPr>
              <w:t>a</w:t>
            </w:r>
            <w:r w:rsidRPr="005D070C">
              <w:rPr>
                <w:rFonts w:cs="TimesNewRomanPS-ItalicMT"/>
                <w:iCs/>
                <w:color w:val="000000" w:themeColor="text1"/>
              </w:rPr>
              <w:t xml:space="preserve">  </w:t>
            </w:r>
            <w:r w:rsidRPr="005D070C">
              <w:rPr>
                <w:rFonts w:cs="TimesNewRomanPS-ItalicMT"/>
                <w:i/>
                <w:iCs/>
                <w:color w:val="000000" w:themeColor="text1"/>
                <w:sz w:val="20"/>
              </w:rPr>
              <w:t>na odcinkach prostych;</w:t>
            </w:r>
          </w:p>
          <w:p w14:paraId="0A0EFA5A" w14:textId="1F9E0BDE" w:rsidR="000A3409" w:rsidRPr="005D070C" w:rsidRDefault="000A3409" w:rsidP="000A3409">
            <w:pPr>
              <w:tabs>
                <w:tab w:val="left" w:pos="177"/>
              </w:tabs>
              <w:spacing w:after="0"/>
              <w:ind w:left="177" w:hanging="177"/>
              <w:jc w:val="left"/>
              <w:rPr>
                <w:rFonts w:cs="TimesNewRomanPS-ItalicMT"/>
                <w:iCs/>
                <w:color w:val="000000" w:themeColor="text1"/>
                <w:sz w:val="20"/>
              </w:rPr>
            </w:pPr>
            <w:r w:rsidRPr="005D070C">
              <w:rPr>
                <w:rFonts w:cs="TimesNewRomanPS-ItalicMT"/>
                <w:iCs/>
                <w:color w:val="000000" w:themeColor="text1"/>
                <w:vertAlign w:val="superscript"/>
              </w:rPr>
              <w:t>b</w:t>
            </w:r>
            <w:r w:rsidRPr="005D070C">
              <w:rPr>
                <w:rFonts w:cs="TimesNewRomanPS-ItalicMT"/>
                <w:iCs/>
                <w:color w:val="000000" w:themeColor="text1"/>
                <w:sz w:val="20"/>
              </w:rPr>
              <w:t xml:space="preserve">  </w:t>
            </w:r>
            <w:r w:rsidRPr="005D070C">
              <w:rPr>
                <w:rFonts w:cs="TimesNewRomanPS-ItalicMT"/>
                <w:i/>
                <w:iCs/>
                <w:color w:val="000000" w:themeColor="text1"/>
                <w:sz w:val="20"/>
              </w:rPr>
              <w:t>na odcinkach zakrzywionych, jeżeli płaszczyzna do zawracania je</w:t>
            </w:r>
            <w:r w:rsidR="006E3939" w:rsidRPr="005D070C">
              <w:rPr>
                <w:rFonts w:cs="TimesNewRomanPS-ItalicMT"/>
                <w:i/>
                <w:iCs/>
                <w:color w:val="000000" w:themeColor="text1"/>
                <w:sz w:val="20"/>
              </w:rPr>
              <w:t>st przeznaczona dla samolotów o </w:t>
            </w:r>
            <w:r w:rsidRPr="005D070C">
              <w:rPr>
                <w:rFonts w:cs="TimesNewRomanPS-ItalicMT"/>
                <w:i/>
                <w:iCs/>
                <w:color w:val="000000" w:themeColor="text1"/>
                <w:sz w:val="20"/>
              </w:rPr>
              <w:t>bazie kół mniejszej niż 18 m;</w:t>
            </w:r>
          </w:p>
          <w:p w14:paraId="7BA71294" w14:textId="0CD7DF6A" w:rsidR="000A3409" w:rsidRPr="005D070C" w:rsidRDefault="000A3409" w:rsidP="000A3409">
            <w:pPr>
              <w:tabs>
                <w:tab w:val="left" w:pos="177"/>
              </w:tabs>
              <w:spacing w:after="0"/>
              <w:ind w:left="177" w:hanging="177"/>
              <w:jc w:val="left"/>
              <w:rPr>
                <w:rFonts w:cs="TimesNewRomanPS-ItalicMT"/>
                <w:i/>
                <w:iCs/>
                <w:color w:val="000000" w:themeColor="text1"/>
                <w:sz w:val="20"/>
              </w:rPr>
            </w:pPr>
            <w:r w:rsidRPr="005D070C">
              <w:rPr>
                <w:rFonts w:cs="TimesNewRomanPS-ItalicMT"/>
                <w:iCs/>
                <w:color w:val="000000" w:themeColor="text1"/>
                <w:vertAlign w:val="superscript"/>
              </w:rPr>
              <w:t>c</w:t>
            </w:r>
            <w:r w:rsidRPr="005D070C">
              <w:rPr>
                <w:rFonts w:cs="TimesNewRomanPS-ItalicMT"/>
                <w:i/>
                <w:iCs/>
                <w:color w:val="000000" w:themeColor="text1"/>
                <w:sz w:val="20"/>
              </w:rPr>
              <w:t xml:space="preserve">  na odcinkach zakrzywionych, jeżeli płaszczyzna do zawracania je</w:t>
            </w:r>
            <w:r w:rsidR="006E3939" w:rsidRPr="005D070C">
              <w:rPr>
                <w:rFonts w:cs="TimesNewRomanPS-ItalicMT"/>
                <w:i/>
                <w:iCs/>
                <w:color w:val="000000" w:themeColor="text1"/>
                <w:sz w:val="20"/>
              </w:rPr>
              <w:t>st przeznaczona dla samolotów o </w:t>
            </w:r>
            <w:r w:rsidRPr="005D070C">
              <w:rPr>
                <w:rFonts w:cs="TimesNewRomanPS-ItalicMT"/>
                <w:i/>
                <w:iCs/>
                <w:color w:val="000000" w:themeColor="text1"/>
                <w:sz w:val="20"/>
              </w:rPr>
              <w:t>bazie kół równej lub większej niż 18 m.</w:t>
            </w:r>
          </w:p>
        </w:tc>
      </w:tr>
      <w:tr w:rsidR="001D76A7" w:rsidRPr="005D070C" w14:paraId="66B222BC" w14:textId="77777777" w:rsidTr="001D76A7">
        <w:trPr>
          <w:jc w:val="right"/>
        </w:trPr>
        <w:tc>
          <w:tcPr>
            <w:tcW w:w="5000" w:type="pct"/>
            <w:gridSpan w:val="5"/>
            <w:tcMar>
              <w:top w:w="85" w:type="dxa"/>
              <w:left w:w="57" w:type="dxa"/>
              <w:bottom w:w="85" w:type="dxa"/>
              <w:right w:w="57" w:type="dxa"/>
            </w:tcMar>
            <w:vAlign w:val="center"/>
          </w:tcPr>
          <w:p w14:paraId="09A0538E" w14:textId="77777777" w:rsidR="000A3409" w:rsidRPr="005D070C" w:rsidRDefault="000A3409" w:rsidP="000A3409">
            <w:pPr>
              <w:pStyle w:val="Akapitzlist"/>
              <w:autoSpaceDE w:val="0"/>
              <w:autoSpaceDN w:val="0"/>
              <w:adjustRightInd w:val="0"/>
              <w:spacing w:after="0"/>
              <w:ind w:left="885" w:hanging="851"/>
              <w:jc w:val="left"/>
              <w:rPr>
                <w:rFonts w:cs="TimesNewRomanPS-ItalicMT"/>
                <w:iCs/>
                <w:color w:val="000000" w:themeColor="text1"/>
                <w:sz w:val="20"/>
              </w:rPr>
            </w:pPr>
            <w:r w:rsidRPr="005D070C">
              <w:rPr>
                <w:rFonts w:cs="TimesNewRomanPS-ItalicMT"/>
                <w:i/>
                <w:iCs/>
                <w:color w:val="000000" w:themeColor="text1"/>
                <w:sz w:val="20"/>
              </w:rPr>
              <w:t>Uwaga:    Baza kół oznacza odległość od koła przedniego do geometrycznego środka podwozia głównego.</w:t>
            </w:r>
          </w:p>
        </w:tc>
      </w:tr>
    </w:tbl>
    <w:p w14:paraId="27C68114" w14:textId="77777777" w:rsidR="00F722A1" w:rsidRPr="009E064B" w:rsidRDefault="00F722A1" w:rsidP="006E3939">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E3B6437" w14:textId="76DAE4CA" w:rsidR="003E0660" w:rsidRPr="009E064B" w:rsidRDefault="00F85C28" w:rsidP="00133B99">
      <w:pPr>
        <w:pStyle w:val="Nagwek6"/>
      </w:pPr>
      <w:bookmarkStart w:id="1033" w:name="_Toc12533008"/>
      <w:r w:rsidRPr="009E064B">
        <w:t xml:space="preserve">GM1 ADR-DSN.D.240     </w:t>
      </w:r>
      <w:r w:rsidR="003E0660" w:rsidRPr="009E064B">
        <w:t xml:space="preserve">Drogi kołowania – </w:t>
      </w:r>
      <w:r w:rsidR="009B0A08" w:rsidRPr="009E064B">
        <w:rPr>
          <w:rFonts w:cs="TimesNewRomanPS-BoldItalicMT"/>
          <w:iCs/>
          <w:szCs w:val="20"/>
        </w:rPr>
        <w:t>wymagania</w:t>
      </w:r>
      <w:r w:rsidR="009B0A08" w:rsidRPr="009E064B">
        <w:t xml:space="preserve"> </w:t>
      </w:r>
      <w:r w:rsidR="003E0660" w:rsidRPr="009E064B">
        <w:t>ogólne</w:t>
      </w:r>
      <w:bookmarkEnd w:id="1031"/>
      <w:bookmarkEnd w:id="1032"/>
      <w:bookmarkEnd w:id="1033"/>
    </w:p>
    <w:p w14:paraId="6780629A" w14:textId="05F9C453"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35398DE"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zCs w:val="20"/>
        </w:rPr>
        <w:t>Drogi kołowania powinny być zapewniane w celu umożliwienia bezpiecznego i sprawnego ruchu naziemnego statków powietrznych. Wystarczająca ilość dróg kołowania wjazdu i zjazdu, powinna być zapewniona w celu przyspieszenia ruchu statków powietrznych na i z drogi startowej oraz, w przypadku dużego natężenia ruchu, należy rozważyć zapewnienie dróg kołowania szybkiego zjazdu.</w:t>
      </w:r>
    </w:p>
    <w:p w14:paraId="791C5E34" w14:textId="4A515419"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zCs w:val="20"/>
        </w:rPr>
        <w:t>Projekt infrastruktury drogi startowej i drogi kołowania, który zakłada zapobieganie wjazdowi lub przecięciu przez statek powietrzny drogi startowej lub ograniczanie ryzyka kolizji w wyniku nieuprawnionego wtargnięcia na drogę startową, powinien być brany pod uwagę zarówno przy opracowywaniu wszelkiej nowej infrastruktury oraz jako retrospektywne wzmocnienie istniejącej infrastruktury, szczególnie na obszarach niebezpiecznych (obszary, gdzie ocena ryzyka lub dane o incydentach wykazują większe ryzyko). Niniejsze wytyczne mogą być uznawane za część programu zapobiegania nieuprawnionym wtargnięciom</w:t>
      </w:r>
      <w:r w:rsidR="00061538" w:rsidRPr="009E064B">
        <w:rPr>
          <w:rFonts w:eastAsia="Verdana" w:cs="Verdana"/>
          <w:bCs/>
          <w:szCs w:val="20"/>
        </w:rPr>
        <w:t xml:space="preserve"> na drogę startową oraz pomóc w </w:t>
      </w:r>
      <w:r w:rsidRPr="009E064B">
        <w:rPr>
          <w:rFonts w:eastAsia="Verdana" w:cs="Verdana"/>
          <w:bCs/>
          <w:szCs w:val="20"/>
        </w:rPr>
        <w:t>zapewnieniu, że aspekty związane z nieuprawnionymi wtargnięciami na drogę startową będą ujęte w nowych propozycjach projektowych.</w:t>
      </w:r>
    </w:p>
    <w:p w14:paraId="5056DDC3"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Verdana" w:cs="Verdana"/>
          <w:bCs/>
          <w:szCs w:val="20"/>
        </w:rPr>
        <w:t>Wstępne podejście powinno dotyczyć ograniczenia ilości dostępnych wjazdów na drogę startową, tak, aby możliwość wjazdu na drogę startową w miejscach do tego nieprzeznaczonych została ograniczona do minimum. Wjazdy i przecięcia drogi kołowania oraz drogi kołowania szybkiego zjazdu powinny być jasno określone oraz zaznaczone przy użyciu znaków pionowych, świateł oraz oznakowania poziomego nawierzchni.</w:t>
      </w:r>
    </w:p>
    <w:p w14:paraId="2F8658D5" w14:textId="473D0C38" w:rsidR="003E0660" w:rsidRPr="005D070C" w:rsidRDefault="003E0660" w:rsidP="00B06A9A">
      <w:pPr>
        <w:tabs>
          <w:tab w:val="left" w:pos="567"/>
        </w:tabs>
        <w:autoSpaceDE w:val="0"/>
        <w:autoSpaceDN w:val="0"/>
        <w:adjustRightInd w:val="0"/>
        <w:ind w:left="567" w:hanging="567"/>
        <w:rPr>
          <w:rFonts w:eastAsia="Verdana" w:cs="Verdana"/>
          <w:bCs/>
          <w:color w:val="000000" w:themeColor="text1"/>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Verdana" w:cs="Verdana"/>
          <w:bCs/>
          <w:szCs w:val="20"/>
        </w:rPr>
        <w:t>Wiele lotnisk posiada więcej niż jedną drogę startową, głównie dwie równoległe drogi startowe (dwie drogi startowe po jednej stronie płyty terminala), co stwarza poważny problem, ponieważ zarówno w czasie odlotu jak i przylotu, statek powietrzny musi przeciąć drogę startową. Konieczność przecięcia drogi startowej powinna być wyeliminowana, lub przynajmniej być możliwie jak najmniejsza. Może to być osiągnięte poprzez skonstruowanie „o</w:t>
      </w:r>
      <w:r w:rsidR="001D76A7" w:rsidRPr="009E064B">
        <w:rPr>
          <w:rFonts w:eastAsia="Verdana" w:cs="Verdana"/>
          <w:bCs/>
          <w:szCs w:val="20"/>
        </w:rPr>
        <w:t>bwodowej</w:t>
      </w:r>
      <w:r w:rsidRPr="009E064B">
        <w:rPr>
          <w:rFonts w:eastAsia="Verdana" w:cs="Verdana"/>
          <w:bCs/>
          <w:szCs w:val="20"/>
        </w:rPr>
        <w:t xml:space="preserve"> drogi </w:t>
      </w:r>
      <w:r w:rsidRPr="005D070C">
        <w:rPr>
          <w:rFonts w:eastAsia="Verdana" w:cs="Verdana"/>
          <w:bCs/>
          <w:color w:val="000000" w:themeColor="text1"/>
          <w:szCs w:val="20"/>
        </w:rPr>
        <w:t xml:space="preserve">kołowania”, aby umożliwić statkom powietrznym przemieszczenie na drogę startową </w:t>
      </w:r>
      <w:r w:rsidR="005C5C06" w:rsidRPr="005D070C">
        <w:rPr>
          <w:rFonts w:eastAsia="Verdana" w:cs="Verdana"/>
          <w:bCs/>
          <w:color w:val="000000" w:themeColor="text1"/>
          <w:szCs w:val="20"/>
        </w:rPr>
        <w:t xml:space="preserve">do </w:t>
      </w:r>
      <w:r w:rsidRPr="005D070C">
        <w:rPr>
          <w:rFonts w:eastAsia="Verdana" w:cs="Verdana"/>
          <w:bCs/>
          <w:color w:val="000000" w:themeColor="text1"/>
          <w:szCs w:val="20"/>
        </w:rPr>
        <w:t xml:space="preserve">odlotu </w:t>
      </w:r>
      <w:r w:rsidR="005C5C06" w:rsidRPr="005D070C">
        <w:rPr>
          <w:rFonts w:eastAsia="Verdana" w:cs="Verdana"/>
          <w:bCs/>
          <w:color w:val="000000" w:themeColor="text1"/>
          <w:szCs w:val="20"/>
        </w:rPr>
        <w:t xml:space="preserve">lub na płytę postojową </w:t>
      </w:r>
      <w:r w:rsidRPr="005D070C">
        <w:rPr>
          <w:rFonts w:eastAsia="Verdana" w:cs="Verdana"/>
          <w:bCs/>
          <w:color w:val="000000" w:themeColor="text1"/>
          <w:szCs w:val="20"/>
        </w:rPr>
        <w:t>bez przecinania drogi startowej i kolidowania z przylatującymi lub odlatującymi statkami powietrznymi.</w:t>
      </w:r>
    </w:p>
    <w:p w14:paraId="500AB8CC" w14:textId="34FCCA51" w:rsidR="003E0660" w:rsidRPr="005D070C" w:rsidRDefault="003E0660" w:rsidP="00B06A9A">
      <w:pPr>
        <w:tabs>
          <w:tab w:val="left" w:pos="567"/>
        </w:tabs>
        <w:autoSpaceDE w:val="0"/>
        <w:autoSpaceDN w:val="0"/>
        <w:adjustRightInd w:val="0"/>
        <w:ind w:left="567" w:hanging="567"/>
        <w:rPr>
          <w:rFonts w:eastAsia="Verdana" w:cs="Verdana"/>
          <w:bCs/>
          <w:color w:val="000000" w:themeColor="text1"/>
          <w:szCs w:val="20"/>
        </w:rPr>
      </w:pPr>
      <w:r w:rsidRPr="005D070C">
        <w:rPr>
          <w:rFonts w:cs="TimesNewRomanPS-BoldItalicMT"/>
          <w:bCs/>
          <w:iCs/>
          <w:color w:val="000000" w:themeColor="text1"/>
          <w:szCs w:val="20"/>
        </w:rPr>
        <w:t xml:space="preserve">(e) </w:t>
      </w:r>
      <w:r w:rsidRPr="005D070C">
        <w:rPr>
          <w:rFonts w:cs="TimesNewRomanPS-BoldItalicMT"/>
          <w:bCs/>
          <w:iCs/>
          <w:color w:val="000000" w:themeColor="text1"/>
          <w:szCs w:val="20"/>
        </w:rPr>
        <w:tab/>
      </w:r>
      <w:r w:rsidR="001D76A7" w:rsidRPr="005D070C">
        <w:rPr>
          <w:rFonts w:eastAsia="Verdana" w:cs="Verdana"/>
          <w:bCs/>
          <w:color w:val="000000" w:themeColor="text1"/>
          <w:szCs w:val="20"/>
        </w:rPr>
        <w:t>O</w:t>
      </w:r>
      <w:r w:rsidR="005C5C06" w:rsidRPr="005D070C">
        <w:rPr>
          <w:rFonts w:eastAsia="Verdana" w:cs="Verdana"/>
          <w:bCs/>
          <w:color w:val="000000" w:themeColor="text1"/>
          <w:szCs w:val="20"/>
        </w:rPr>
        <w:t>bwodowa</w:t>
      </w:r>
      <w:r w:rsidRPr="005D070C">
        <w:rPr>
          <w:rFonts w:eastAsia="Verdana" w:cs="Verdana"/>
          <w:bCs/>
          <w:color w:val="000000" w:themeColor="text1"/>
          <w:szCs w:val="20"/>
        </w:rPr>
        <w:t xml:space="preserve"> droga kołowania jest najlepiej zaprojektowana zgodnie z następującymi kryteriami:</w:t>
      </w:r>
    </w:p>
    <w:p w14:paraId="466046A5" w14:textId="77777777"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 xml:space="preserve">(1) </w:t>
      </w:r>
      <w:r w:rsidRPr="005D070C">
        <w:rPr>
          <w:rFonts w:cs="TimesNewRomanPS-BoldItalicMT"/>
          <w:bCs/>
          <w:iCs/>
          <w:color w:val="000000" w:themeColor="text1"/>
          <w:szCs w:val="20"/>
        </w:rPr>
        <w:tab/>
        <w:t>Wymagane</w:t>
      </w:r>
      <w:r w:rsidRPr="005D070C">
        <w:rPr>
          <w:rFonts w:eastAsia="Verdana" w:cs="Verdana"/>
          <w:bCs/>
          <w:color w:val="000000" w:themeColor="text1"/>
          <w:szCs w:val="20"/>
        </w:rPr>
        <w:t xml:space="preserve"> jest zapewnienie wystarczającej przestrzeni pomiędzy progiem drogi startowej używanym do lądowania a linią środkową drogi kołowania, gdzie przebiega ona (przecina się) pod ścieżką podejścia w celu umożliwienia krytycznemu samolotowi przejazd pod tą ścieżką podejścia bez naruszania powierzchni podejścia.</w:t>
      </w:r>
    </w:p>
    <w:p w14:paraId="76830E4A" w14:textId="531E04D2"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 xml:space="preserve">(2) </w:t>
      </w:r>
      <w:r w:rsidRPr="005D070C">
        <w:rPr>
          <w:rFonts w:cs="TimesNewRomanPS-BoldItalicMT"/>
          <w:bCs/>
          <w:iCs/>
          <w:color w:val="000000" w:themeColor="text1"/>
          <w:szCs w:val="20"/>
        </w:rPr>
        <w:tab/>
      </w:r>
      <w:r w:rsidRPr="005D070C">
        <w:rPr>
          <w:rFonts w:eastAsia="Verdana" w:cs="Verdana"/>
          <w:bCs/>
          <w:color w:val="000000" w:themeColor="text1"/>
          <w:szCs w:val="20"/>
        </w:rPr>
        <w:t>Przy określaniu lokalizacji o</w:t>
      </w:r>
      <w:r w:rsidR="004A6EF9" w:rsidRPr="005D070C">
        <w:rPr>
          <w:rFonts w:eastAsia="Verdana" w:cs="Verdana"/>
          <w:bCs/>
          <w:color w:val="000000" w:themeColor="text1"/>
          <w:szCs w:val="20"/>
        </w:rPr>
        <w:t>bwodowej</w:t>
      </w:r>
      <w:r w:rsidRPr="005D070C">
        <w:rPr>
          <w:rFonts w:eastAsia="Verdana" w:cs="Verdana"/>
          <w:bCs/>
          <w:color w:val="000000" w:themeColor="text1"/>
          <w:szCs w:val="20"/>
        </w:rPr>
        <w:t xml:space="preserve"> drogi kołowania brany jest pod uwagę wpływ podmuchu od silników odrzutowych na startujące statki powietrzne.</w:t>
      </w:r>
    </w:p>
    <w:p w14:paraId="1CC831BC" w14:textId="7EAA83D9"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 xml:space="preserve">(3) </w:t>
      </w:r>
      <w:r w:rsidRPr="005D070C">
        <w:rPr>
          <w:rFonts w:cs="TimesNewRomanPS-BoldItalicMT"/>
          <w:bCs/>
          <w:iCs/>
          <w:color w:val="000000" w:themeColor="text1"/>
          <w:szCs w:val="20"/>
        </w:rPr>
        <w:tab/>
      </w:r>
      <w:r w:rsidR="004A6EF9" w:rsidRPr="005D070C">
        <w:rPr>
          <w:rFonts w:eastAsia="Verdana" w:cs="Verdana"/>
          <w:bCs/>
          <w:color w:val="000000" w:themeColor="text1"/>
          <w:szCs w:val="20"/>
        </w:rPr>
        <w:t>Wymagania dla</w:t>
      </w:r>
      <w:r w:rsidRPr="005D070C">
        <w:rPr>
          <w:rFonts w:eastAsia="Verdana" w:cs="Verdana"/>
          <w:bCs/>
          <w:color w:val="000000" w:themeColor="text1"/>
          <w:szCs w:val="20"/>
        </w:rPr>
        <w:t xml:space="preserve"> strefy bezpieczeństwa końca drogi startowej </w:t>
      </w:r>
      <w:r w:rsidR="004A6EF9" w:rsidRPr="005D070C">
        <w:rPr>
          <w:rFonts w:eastAsia="Verdana" w:cs="Verdana"/>
          <w:bCs/>
          <w:color w:val="000000" w:themeColor="text1"/>
          <w:szCs w:val="20"/>
        </w:rPr>
        <w:t xml:space="preserve">(REAS) </w:t>
      </w:r>
      <w:r w:rsidRPr="005D070C">
        <w:rPr>
          <w:rFonts w:eastAsia="Verdana" w:cs="Verdana"/>
          <w:bCs/>
          <w:color w:val="000000" w:themeColor="text1"/>
          <w:szCs w:val="20"/>
        </w:rPr>
        <w:t xml:space="preserve">jak również możliwe zakłócanie </w:t>
      </w:r>
      <w:r w:rsidR="005C5C06" w:rsidRPr="005D070C">
        <w:rPr>
          <w:rFonts w:eastAsia="Verdana" w:cs="Verdana"/>
          <w:bCs/>
          <w:color w:val="000000" w:themeColor="text1"/>
          <w:szCs w:val="20"/>
        </w:rPr>
        <w:t xml:space="preserve">pracy </w:t>
      </w:r>
      <w:r w:rsidRPr="005D070C">
        <w:rPr>
          <w:rFonts w:eastAsia="Verdana" w:cs="Verdana"/>
          <w:bCs/>
          <w:color w:val="000000" w:themeColor="text1"/>
          <w:szCs w:val="20"/>
        </w:rPr>
        <w:t xml:space="preserve">ILS </w:t>
      </w:r>
      <w:r w:rsidR="005C5C06" w:rsidRPr="005D070C">
        <w:rPr>
          <w:rFonts w:eastAsia="Verdana" w:cs="Verdana"/>
          <w:bCs/>
          <w:color w:val="000000" w:themeColor="text1"/>
          <w:szCs w:val="20"/>
        </w:rPr>
        <w:t xml:space="preserve">lub innych pomocy nawigacyjnych </w:t>
      </w:r>
      <w:r w:rsidRPr="005D070C">
        <w:rPr>
          <w:rFonts w:eastAsia="Verdana" w:cs="Verdana"/>
          <w:bCs/>
          <w:color w:val="000000" w:themeColor="text1"/>
          <w:szCs w:val="20"/>
        </w:rPr>
        <w:t>są również brane pod uwagę: o</w:t>
      </w:r>
      <w:r w:rsidR="004A6EF9" w:rsidRPr="005D070C">
        <w:rPr>
          <w:rFonts w:eastAsia="Verdana" w:cs="Verdana"/>
          <w:bCs/>
          <w:color w:val="000000" w:themeColor="text1"/>
          <w:szCs w:val="20"/>
        </w:rPr>
        <w:t>bwodowa</w:t>
      </w:r>
      <w:r w:rsidRPr="005D070C">
        <w:rPr>
          <w:rFonts w:eastAsia="Verdana" w:cs="Verdana"/>
          <w:bCs/>
          <w:color w:val="000000" w:themeColor="text1"/>
          <w:szCs w:val="20"/>
        </w:rPr>
        <w:t xml:space="preserve"> droga kołowania znajduje się za anteną kierunku, </w:t>
      </w:r>
      <w:r w:rsidR="004A6EF9" w:rsidRPr="005D070C">
        <w:rPr>
          <w:rFonts w:eastAsia="Verdana" w:cs="Verdana"/>
          <w:bCs/>
          <w:color w:val="000000" w:themeColor="text1"/>
          <w:szCs w:val="20"/>
        </w:rPr>
        <w:t xml:space="preserve">a </w:t>
      </w:r>
      <w:r w:rsidRPr="005D070C">
        <w:rPr>
          <w:rFonts w:eastAsia="Verdana" w:cs="Verdana"/>
          <w:bCs/>
          <w:color w:val="000000" w:themeColor="text1"/>
          <w:szCs w:val="20"/>
        </w:rPr>
        <w:t xml:space="preserve">nie pomiędzy anteną </w:t>
      </w:r>
      <w:r w:rsidRPr="009E064B">
        <w:rPr>
          <w:rFonts w:eastAsia="Verdana" w:cs="Verdana"/>
          <w:bCs/>
          <w:szCs w:val="20"/>
        </w:rPr>
        <w:t xml:space="preserve">kierunku a drogą startową z uwagi na możliwość poważnych zakłóceń ILS, mając na uwadze fakt, że jest to trudniejsze do osiągnięcia, ponieważ odległość pomiędzy nadajnikiem kierunku a drogą startową ulega zwiększeniu. Podobnie powinny być </w:t>
      </w:r>
      <w:r w:rsidRPr="005D070C">
        <w:rPr>
          <w:rFonts w:eastAsia="Verdana" w:cs="Verdana"/>
          <w:bCs/>
          <w:color w:val="000000" w:themeColor="text1"/>
          <w:szCs w:val="20"/>
        </w:rPr>
        <w:t>zapewniane drogi obwodowe, jeśli jest to możliwe.</w:t>
      </w:r>
    </w:p>
    <w:p w14:paraId="2AA924A8" w14:textId="5EFC651D" w:rsidR="005C5C06" w:rsidRPr="005D070C" w:rsidRDefault="005C5C06" w:rsidP="00B06A9A">
      <w:pPr>
        <w:tabs>
          <w:tab w:val="left" w:pos="1134"/>
        </w:tabs>
        <w:autoSpaceDE w:val="0"/>
        <w:autoSpaceDN w:val="0"/>
        <w:adjustRightInd w:val="0"/>
        <w:ind w:left="1134" w:hanging="567"/>
        <w:rPr>
          <w:rFonts w:eastAsia="Verdana" w:cs="Verdana"/>
          <w:bCs/>
          <w:color w:val="000000" w:themeColor="text1"/>
          <w:szCs w:val="20"/>
        </w:rPr>
      </w:pPr>
      <w:r w:rsidRPr="005D070C">
        <w:rPr>
          <w:color w:val="000000" w:themeColor="text1"/>
        </w:rPr>
        <w:t xml:space="preserve">(4) </w:t>
      </w:r>
      <w:r w:rsidRPr="005D070C">
        <w:rPr>
          <w:color w:val="000000" w:themeColor="text1"/>
        </w:rPr>
        <w:tab/>
        <w:t>Należy podjąć odpowiednie środki mające na celu wspieranie pilotów w rozróżnianiu statków powietrznych, które przecinają drogę startową a tymi, które są bezpieczne na obwodowej drodze kołowania.</w:t>
      </w:r>
    </w:p>
    <w:p w14:paraId="4728AEB8" w14:textId="1BC41BF2" w:rsidR="003E0660" w:rsidRPr="009E064B" w:rsidRDefault="003E0660" w:rsidP="00B06A9A">
      <w:pPr>
        <w:tabs>
          <w:tab w:val="left" w:pos="567"/>
        </w:tabs>
        <w:autoSpaceDE w:val="0"/>
        <w:autoSpaceDN w:val="0"/>
        <w:adjustRightInd w:val="0"/>
        <w:ind w:left="567" w:hanging="567"/>
        <w:rPr>
          <w:rFonts w:eastAsia="Verdana" w:cs="Verdana"/>
          <w:bCs/>
          <w:szCs w:val="20"/>
        </w:rPr>
      </w:pPr>
      <w:r w:rsidRPr="005D070C">
        <w:rPr>
          <w:rFonts w:cs="TimesNewRomanPS-BoldItalicMT"/>
          <w:bCs/>
          <w:iCs/>
          <w:color w:val="000000" w:themeColor="text1"/>
          <w:szCs w:val="20"/>
        </w:rPr>
        <w:t xml:space="preserve">(f) </w:t>
      </w:r>
      <w:r w:rsidRPr="005D070C">
        <w:rPr>
          <w:rFonts w:cs="TimesNewRomanPS-BoldItalicMT"/>
          <w:bCs/>
          <w:iCs/>
          <w:color w:val="000000" w:themeColor="text1"/>
          <w:szCs w:val="20"/>
        </w:rPr>
        <w:tab/>
      </w:r>
      <w:r w:rsidRPr="005D070C">
        <w:rPr>
          <w:rFonts w:eastAsia="Verdana" w:cs="Verdana"/>
          <w:bCs/>
          <w:color w:val="000000" w:themeColor="text1"/>
          <w:szCs w:val="20"/>
        </w:rPr>
        <w:t xml:space="preserve">Drogi kołowania przecinające drogi startowe powinny być zapewniane w miejscach o niskiej energii, najlepiej na końcach drogi startowej. Jeżeli nie można uniknąć przecięcia drogi </w:t>
      </w:r>
      <w:r w:rsidRPr="009E064B">
        <w:rPr>
          <w:rFonts w:eastAsia="Verdana" w:cs="Verdana"/>
          <w:bCs/>
          <w:szCs w:val="20"/>
        </w:rPr>
        <w:t xml:space="preserve">startowej, powinny one być wykonywane tylko na drogach kołowania o kącie prostym względem drogi startowej. Zapewni to załodze lotniczej nieograniczone </w:t>
      </w:r>
      <w:r w:rsidR="00061538" w:rsidRPr="009E064B">
        <w:rPr>
          <w:rFonts w:eastAsia="Verdana" w:cs="Verdana"/>
          <w:bCs/>
          <w:szCs w:val="20"/>
        </w:rPr>
        <w:t>pole widzenia drogi startowej w </w:t>
      </w:r>
      <w:r w:rsidRPr="009E064B">
        <w:rPr>
          <w:rFonts w:eastAsia="Verdana" w:cs="Verdana"/>
          <w:bCs/>
          <w:szCs w:val="20"/>
        </w:rPr>
        <w:t>obydwu kierunkach oraz pozwoli potwierdzić, że na drodze startowej i podejściu nie ma kolidującego ruchu.</w:t>
      </w:r>
    </w:p>
    <w:p w14:paraId="7EC3B63C"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(g) </w:t>
      </w:r>
      <w:r w:rsidRPr="009E064B">
        <w:rPr>
          <w:rFonts w:cs="TimesNewRomanPS-BoldItalicMT"/>
          <w:bCs/>
          <w:iCs/>
          <w:szCs w:val="20"/>
        </w:rPr>
        <w:tab/>
      </w:r>
      <w:r w:rsidRPr="009E064B">
        <w:rPr>
          <w:rFonts w:eastAsia="Verdana" w:cs="Verdana"/>
          <w:bCs/>
          <w:szCs w:val="20"/>
        </w:rPr>
        <w:t>Konfiguracja skrzyżowania drogi startowej/drogi kołowania powinna być prosta, na przykład z pojedynczymi wjazdami na drogę kołowania. Jest to szczególnie istotne w przypadku dróg kołowania przecinających drogę startową.</w:t>
      </w:r>
    </w:p>
    <w:p w14:paraId="3533237E" w14:textId="77777777" w:rsidR="003E0660" w:rsidRPr="009E064B" w:rsidRDefault="003E06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(h) </w:t>
      </w:r>
      <w:r w:rsidRPr="009E064B">
        <w:rPr>
          <w:rFonts w:cs="TimesNewRomanPS-BoldItalicMT"/>
          <w:bCs/>
          <w:iCs/>
          <w:szCs w:val="20"/>
        </w:rPr>
        <w:tab/>
      </w:r>
      <w:r w:rsidRPr="009E064B">
        <w:rPr>
          <w:rFonts w:eastAsia="Verdana" w:cs="Verdana"/>
          <w:bCs/>
          <w:szCs w:val="20"/>
        </w:rPr>
        <w:t>Główne zasady projektowania dróg kołowania wjazdu i zjazdu są następujące:</w:t>
      </w:r>
    </w:p>
    <w:p w14:paraId="05E570D1"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Verdana" w:cs="Verdana"/>
          <w:bCs/>
          <w:szCs w:val="20"/>
        </w:rPr>
        <w:t>Na ile to możliwe, drogi kołowania powinny być prostopadłe do linii środkowej drogi startowej.</w:t>
      </w:r>
    </w:p>
    <w:p w14:paraId="4E25C5CF" w14:textId="77777777" w:rsidR="003E0660" w:rsidRPr="009E064B" w:rsidRDefault="003E0660" w:rsidP="00B06A9A">
      <w:pPr>
        <w:tabs>
          <w:tab w:val="left" w:pos="1134"/>
        </w:tabs>
        <w:autoSpaceDE w:val="0"/>
        <w:autoSpaceDN w:val="0"/>
        <w:adjustRightInd w:val="0"/>
        <w:ind w:left="1134" w:hanging="567"/>
        <w:rPr>
          <w:rFonts w:eastAsia="Verdana" w:cs="Verdana"/>
          <w:b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Verdana" w:cs="Verdana"/>
          <w:bCs/>
          <w:szCs w:val="20"/>
        </w:rPr>
        <w:t>Kąt drogi kołowania powinien być taki, aby załoga statku powietrznego w miejscu oczekiwania na drodze kołowania (jeżeli jest zapewniane) mogła widzieć statek powietrzny korzystający z drogi startowej lub zbliżający się do niej. Jeżeli kąt drogi kołowania nie zapewnia pola widzenia w obydwu kierunkach, pod uwagę brana jest możliwość zapewnienia prostopadłej części drogi kołowania w bezpośrednim sąsiedztwie drogi startowej w celu umożliwienia pełnej widoczności przed wjazdem (lub przecięciem) drogi startowej.</w:t>
      </w:r>
    </w:p>
    <w:p w14:paraId="1A2285C5" w14:textId="40A51350"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Verdana" w:cs="Verdana"/>
          <w:bCs/>
          <w:szCs w:val="20"/>
        </w:rPr>
        <w:t>Drogi kołowania szybkiego zjazdu są zaprojektowane w taki sposób, aby były zjazdami z</w:t>
      </w:r>
      <w:r w:rsidR="00061538" w:rsidRPr="009E064B">
        <w:rPr>
          <w:rFonts w:eastAsia="Verdana" w:cs="Verdana"/>
          <w:bCs/>
          <w:szCs w:val="20"/>
        </w:rPr>
        <w:t> </w:t>
      </w:r>
      <w:r w:rsidRPr="009E064B">
        <w:rPr>
          <w:rFonts w:eastAsia="Verdana" w:cs="Verdana"/>
          <w:bCs/>
          <w:szCs w:val="20"/>
        </w:rPr>
        <w:t>drogi startowej. Może się zdarzyć, że na niektórych lotniskach istnieje praktyka odlotu mniejszych statków powietrznych w środkowym punk</w:t>
      </w:r>
      <w:r w:rsidR="00636DF4" w:rsidRPr="009E064B">
        <w:rPr>
          <w:rFonts w:eastAsia="Verdana" w:cs="Verdana"/>
          <w:bCs/>
          <w:szCs w:val="20"/>
        </w:rPr>
        <w:t>cie drogi startowej na jednej z </w:t>
      </w:r>
      <w:r w:rsidRPr="009E064B">
        <w:rPr>
          <w:rFonts w:eastAsia="Verdana" w:cs="Verdana"/>
          <w:bCs/>
          <w:szCs w:val="20"/>
        </w:rPr>
        <w:t>dróg kołowania szybkiego zjazdu, jednak geomet</w:t>
      </w:r>
      <w:r w:rsidR="00636DF4" w:rsidRPr="009E064B">
        <w:rPr>
          <w:rFonts w:eastAsia="Verdana" w:cs="Verdana"/>
          <w:bCs/>
          <w:szCs w:val="20"/>
        </w:rPr>
        <w:t>ria skrzyżowań dróg kołowania z </w:t>
      </w:r>
      <w:r w:rsidRPr="009E064B">
        <w:rPr>
          <w:rFonts w:eastAsia="Verdana" w:cs="Verdana"/>
          <w:bCs/>
          <w:szCs w:val="20"/>
        </w:rPr>
        <w:t>drogami startowymi nie daje załodze możliwości właści</w:t>
      </w:r>
      <w:r w:rsidR="00636DF4" w:rsidRPr="009E064B">
        <w:rPr>
          <w:rFonts w:eastAsia="Verdana" w:cs="Verdana"/>
          <w:bCs/>
          <w:szCs w:val="20"/>
        </w:rPr>
        <w:t>wego widzenia drogi startowej w </w:t>
      </w:r>
      <w:r w:rsidRPr="009E064B">
        <w:rPr>
          <w:rFonts w:eastAsia="Verdana" w:cs="Verdana"/>
          <w:bCs/>
          <w:szCs w:val="20"/>
        </w:rPr>
        <w:t xml:space="preserve">obydwu kierunkach w taki sposób, aby można było potwierdzić brak kolidującego ruchu. Dlatego praktyka ta powinna być zlikwidowana i z projektowego punktu widzenia, wszystkie znaki pionowe oraz oznakowanie poziome powinny zabraniać statkom powietrznym wykorzystywania dróg kołowania szybkiego zjazdu do celów innych, niż do których są one przeznaczone (zjazd z drogi startowej po wylądowaniu). Jednak może to być ograniczone poprzez dodanie poszerzeń, tak, aby statek powietrzny mógł manewrować widząc </w:t>
      </w:r>
      <w:r w:rsidRPr="005D070C">
        <w:rPr>
          <w:rFonts w:eastAsia="Verdana" w:cs="Verdana"/>
          <w:bCs/>
          <w:color w:val="000000" w:themeColor="text1"/>
          <w:szCs w:val="20"/>
        </w:rPr>
        <w:t>podejście. Należy zauważyć, że statek powietrzny znajdujący się na drodze kołowania położonej pod kątem, może powodować większe prawdopodobieństwo zakłócania ILS.</w:t>
      </w:r>
    </w:p>
    <w:p w14:paraId="17E2C998" w14:textId="565D7059" w:rsidR="00CF090F" w:rsidRPr="005D070C" w:rsidRDefault="00CF090F"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eastAsia="Verdana" w:cs="Verdana"/>
          <w:bCs/>
          <w:color w:val="000000" w:themeColor="text1"/>
          <w:szCs w:val="20"/>
        </w:rPr>
        <w:t xml:space="preserve">(4) </w:t>
      </w:r>
      <w:r w:rsidRPr="005D070C">
        <w:rPr>
          <w:rFonts w:eastAsia="Verdana" w:cs="Verdana"/>
          <w:bCs/>
          <w:color w:val="000000" w:themeColor="text1"/>
          <w:szCs w:val="20"/>
        </w:rPr>
        <w:tab/>
        <w:t xml:space="preserve">Należy zapewnić wyraźny podział nawierzchni </w:t>
      </w:r>
      <w:r w:rsidR="00785C1E" w:rsidRPr="005D070C">
        <w:rPr>
          <w:rFonts w:eastAsia="Verdana" w:cs="Verdana"/>
          <w:bCs/>
          <w:color w:val="000000" w:themeColor="text1"/>
          <w:szCs w:val="20"/>
        </w:rPr>
        <w:t xml:space="preserve">sztucznej </w:t>
      </w:r>
      <w:r w:rsidRPr="005D070C">
        <w:rPr>
          <w:rFonts w:eastAsia="Verdana" w:cs="Verdana"/>
          <w:bCs/>
          <w:color w:val="000000" w:themeColor="text1"/>
          <w:szCs w:val="20"/>
        </w:rPr>
        <w:t>pomiędzy drogą kołowania szybkiego zjazdu oraz innymi nieszybkimi drogami kołowania prowadzącymi do drogi startowej lub przecinającymi drogę startową. Ta</w:t>
      </w:r>
      <w:r w:rsidR="00785C1E" w:rsidRPr="005D070C">
        <w:rPr>
          <w:rFonts w:eastAsia="Verdana" w:cs="Verdana"/>
          <w:bCs/>
          <w:color w:val="000000" w:themeColor="text1"/>
          <w:szCs w:val="20"/>
        </w:rPr>
        <w:t xml:space="preserve"> </w:t>
      </w:r>
      <w:r w:rsidRPr="005D070C">
        <w:rPr>
          <w:rFonts w:eastAsia="Verdana" w:cs="Verdana"/>
          <w:bCs/>
          <w:color w:val="000000" w:themeColor="text1"/>
          <w:szCs w:val="20"/>
        </w:rPr>
        <w:t>zasada projektowa pozwala uniknąć wzajemnego nakładania się dwóch dróg kołowania tworzących obszerną nawierzchnię sztuczną, co wprowadzałoby w błąd pilota wjeżdżającego na drogę startową.</w:t>
      </w:r>
    </w:p>
    <w:p w14:paraId="39729BCD" w14:textId="7494595C"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5</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Ograniczanie opcji dostępnych dla pilotów na każdym wjeździe lub zjeździe pomaga uniknąć pomyłek. Dlatego należy unikać podwójnych lub wielokrotnych wjazdów na drogę kołowania w jednym miejscu, ponieważ łączniki w kształcie litery Y sprzyjają prawdopodobieństwu wystąpienia nieuprawnionych wtargnięć na drogę startową oraz wjechania na niewłaściwą drogę kołowania przez statek powietrzny opuszczający drogę startową. Ograniczanie opcji dostępnych dla pilotów na każdym wjeździe lub zjeździe pomaga uniknąć pomyłek.</w:t>
      </w:r>
    </w:p>
    <w:p w14:paraId="7CCFDB04" w14:textId="7D8CBBFD"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6</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Odległości pomiędzy drogą startową a drogą kołowania powinny być wystarczające, aby zapewnić miejsce dla dróg kołowania szybkiego zjazdu.</w:t>
      </w:r>
    </w:p>
    <w:p w14:paraId="4D121699" w14:textId="1B14C46F"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7</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Należy unikać projektów, które zawierają przecięcie drogi startowej w celu uzyskania dostępu do drogi kołowania.</w:t>
      </w:r>
    </w:p>
    <w:p w14:paraId="49F9C605" w14:textId="06C0A2FB"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8</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Należy zapewnić odpowiednie odległości pomiędzy drogami startowymi o dużej prędkości ruchu a drogami o prędkości kołowania, jeżeli zapewniane są drogi kołowania szybkiego zjazdu należy posiadać kilka z rzędu bez innych wjazdów.</w:t>
      </w:r>
    </w:p>
    <w:p w14:paraId="0E2E90E0" w14:textId="273923B1"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9</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Jeżeli lotnisko posiada więcej niż jedną drogę startową, należy upewnić się czy końce drogi startowej nie znajdują się zbyt blisko siebie; jeżeli nie jest to możliwe, należy zapewnić, że są one zidentyfikowane i oddzielone. Można to osiągnąć poprzez zastosowanie pomocy wzrokowych, projekt drogi kołowania oraz nazewnictwo dróg kołowania.</w:t>
      </w:r>
    </w:p>
    <w:p w14:paraId="2B7899CC" w14:textId="561B1318"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10</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Kolory powierzchni nie powinny powodować pomyłek:</w:t>
      </w:r>
    </w:p>
    <w:p w14:paraId="4CB0F855" w14:textId="77777777" w:rsidR="003E0660" w:rsidRPr="005D070C" w:rsidRDefault="003E0660" w:rsidP="00B06A9A">
      <w:pPr>
        <w:tabs>
          <w:tab w:val="left" w:pos="1701"/>
        </w:tabs>
        <w:autoSpaceDE w:val="0"/>
        <w:autoSpaceDN w:val="0"/>
        <w:adjustRightInd w:val="0"/>
        <w:ind w:left="1701" w:hanging="567"/>
        <w:rPr>
          <w:rFonts w:eastAsia="Verdana" w:cs="Verdana"/>
          <w:bCs/>
          <w:color w:val="000000" w:themeColor="text1"/>
          <w:szCs w:val="20"/>
        </w:rPr>
      </w:pPr>
      <w:r w:rsidRPr="005D070C">
        <w:rPr>
          <w:rFonts w:cs="TimesNewRomanPS-BoldItalicMT"/>
          <w:bCs/>
          <w:iCs/>
          <w:color w:val="000000" w:themeColor="text1"/>
          <w:szCs w:val="20"/>
        </w:rPr>
        <w:t xml:space="preserve">(i) </w:t>
      </w:r>
      <w:r w:rsidRPr="005D070C">
        <w:rPr>
          <w:rFonts w:cs="TimesNewRomanPS-BoldItalicMT"/>
          <w:bCs/>
          <w:iCs/>
          <w:color w:val="000000" w:themeColor="text1"/>
          <w:szCs w:val="20"/>
        </w:rPr>
        <w:tab/>
      </w:r>
      <w:r w:rsidRPr="005D070C">
        <w:rPr>
          <w:rFonts w:eastAsia="Verdana" w:cs="Verdana"/>
          <w:bCs/>
          <w:color w:val="000000" w:themeColor="text1"/>
          <w:szCs w:val="20"/>
        </w:rPr>
        <w:t>Należy stosować różne kolory dla dróg startowych i dróg kołowania.</w:t>
      </w:r>
    </w:p>
    <w:p w14:paraId="3C33AAD2" w14:textId="77777777" w:rsidR="003E0660" w:rsidRPr="005D070C" w:rsidRDefault="003E0660" w:rsidP="00B06A9A">
      <w:pPr>
        <w:tabs>
          <w:tab w:val="left" w:pos="1701"/>
        </w:tabs>
        <w:autoSpaceDE w:val="0"/>
        <w:autoSpaceDN w:val="0"/>
        <w:adjustRightInd w:val="0"/>
        <w:ind w:left="1701" w:hanging="567"/>
        <w:rPr>
          <w:rFonts w:eastAsia="Verdana" w:cs="Verdana"/>
          <w:bCs/>
          <w:color w:val="000000" w:themeColor="text1"/>
          <w:szCs w:val="20"/>
        </w:rPr>
      </w:pPr>
      <w:r w:rsidRPr="005D070C">
        <w:rPr>
          <w:rFonts w:cs="TimesNewRomanPS-BoldItalicMT"/>
          <w:bCs/>
          <w:iCs/>
          <w:color w:val="000000" w:themeColor="text1"/>
          <w:szCs w:val="20"/>
        </w:rPr>
        <w:t xml:space="preserve">(ii) </w:t>
      </w:r>
      <w:r w:rsidRPr="005D070C">
        <w:rPr>
          <w:rFonts w:cs="TimesNewRomanPS-BoldItalicMT"/>
          <w:bCs/>
          <w:iCs/>
          <w:color w:val="000000" w:themeColor="text1"/>
          <w:szCs w:val="20"/>
        </w:rPr>
        <w:tab/>
      </w:r>
      <w:r w:rsidRPr="005D070C">
        <w:rPr>
          <w:rFonts w:eastAsia="Verdana" w:cs="Verdana"/>
          <w:bCs/>
          <w:color w:val="000000" w:themeColor="text1"/>
          <w:szCs w:val="20"/>
        </w:rPr>
        <w:t>Należy unikać mieszanki betonu i asfaltu.</w:t>
      </w:r>
    </w:p>
    <w:p w14:paraId="252D213E" w14:textId="67B858BB"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11</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 xml:space="preserve">Szerokie wjazdy drogi kołowania na drogi startowe powinny być przedzielone wyspami lub barierami lub należy malować krawędzie drogi kołowania oznakowaniem ciągłym na krawędzi dla wskazania nieużytecznej nawierzchni. Należy unikać długich linii miejsc oczekiwania oraz obszernych stref z nawierzchnią sztuczną, które zmniejszają skuteczność znaków pionowych i oznakowania poziomego. Należy stosować standardowe szerokości drogi kołowania, odpowiednie dla szerokiego zakresu </w:t>
      </w:r>
      <w:r w:rsidR="00061538" w:rsidRPr="005D070C">
        <w:rPr>
          <w:rFonts w:eastAsia="Verdana" w:cs="Verdana"/>
          <w:bCs/>
          <w:color w:val="000000" w:themeColor="text1"/>
          <w:szCs w:val="20"/>
        </w:rPr>
        <w:t>statków powietrznych, łącznie z </w:t>
      </w:r>
      <w:r w:rsidRPr="005D070C">
        <w:rPr>
          <w:rFonts w:eastAsia="Verdana" w:cs="Verdana"/>
          <w:bCs/>
          <w:color w:val="000000" w:themeColor="text1"/>
          <w:szCs w:val="20"/>
        </w:rPr>
        <w:t>największym typem przewidywanym do wykorzystania na lotnisku.</w:t>
      </w:r>
    </w:p>
    <w:p w14:paraId="4F611107" w14:textId="2630F60C"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12</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Należy unikać wielokrotnych skrzyżowań dróg kołowania oraz ograniczyć ilość dróg kołowania na każdym skrzyżowaniu, na ile to możliwe.</w:t>
      </w:r>
    </w:p>
    <w:p w14:paraId="59D71AA6" w14:textId="3F5BE45B"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13</w:t>
      </w:r>
      <w:r w:rsidRPr="005D070C">
        <w:rPr>
          <w:rFonts w:cs="TimesNewRomanPS-BoldItalicMT"/>
          <w:bCs/>
          <w:iCs/>
          <w:color w:val="000000" w:themeColor="text1"/>
          <w:szCs w:val="20"/>
        </w:rPr>
        <w:t>)</w:t>
      </w:r>
      <w:r w:rsidRPr="005D070C">
        <w:rPr>
          <w:rFonts w:cs="TimesNewRomanPS-BoldItalicMT"/>
          <w:bCs/>
          <w:iCs/>
          <w:color w:val="000000" w:themeColor="text1"/>
          <w:szCs w:val="20"/>
        </w:rPr>
        <w:tab/>
      </w:r>
      <w:r w:rsidRPr="005D070C">
        <w:rPr>
          <w:rFonts w:eastAsia="Verdana" w:cs="Verdana"/>
          <w:bCs/>
          <w:color w:val="000000" w:themeColor="text1"/>
          <w:szCs w:val="20"/>
        </w:rPr>
        <w:t>Na ile jest to wykonalne, preferuje się przeprojektowanie bardziej aniżeli przekonfigurowanie lub przemalowanie – eliminuje to błędy projektowe oraz zmniejsza ryzyko błędu ludzkiego.</w:t>
      </w:r>
    </w:p>
    <w:p w14:paraId="2C263BBB" w14:textId="4354412A"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14</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Konsekwentne projektowanie wjazdów na drogę startową – z takimi samymi pomocami wzrokowymi zarówno na drogach kołowania jak drogach serwisowych.</w:t>
      </w:r>
    </w:p>
    <w:p w14:paraId="51CE3E36" w14:textId="1254B463"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w:t>
      </w:r>
      <w:r w:rsidR="00CF090F" w:rsidRPr="005D070C">
        <w:rPr>
          <w:rFonts w:cs="TimesNewRomanPS-BoldItalicMT"/>
          <w:bCs/>
          <w:iCs/>
          <w:color w:val="000000" w:themeColor="text1"/>
          <w:szCs w:val="20"/>
        </w:rPr>
        <w:t>15</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Ze względów bezpieczeństwa zawsze lepiej jest posiadać drogę kołowania równoległą do drogi startowej wzdłuż całej drogi startowej, nawet, jeżeli ograniczenia przepustowości nie narzucają takiej konieczności.</w:t>
      </w:r>
    </w:p>
    <w:p w14:paraId="7035902E" w14:textId="77777777" w:rsidR="003E0660" w:rsidRPr="005D070C" w:rsidRDefault="003E0660" w:rsidP="00B06A9A">
      <w:pPr>
        <w:tabs>
          <w:tab w:val="left" w:pos="567"/>
        </w:tabs>
        <w:autoSpaceDE w:val="0"/>
        <w:autoSpaceDN w:val="0"/>
        <w:adjustRightInd w:val="0"/>
        <w:ind w:left="567" w:hanging="567"/>
        <w:rPr>
          <w:rFonts w:eastAsia="Verdana" w:cs="Verdana"/>
          <w:bCs/>
          <w:color w:val="000000" w:themeColor="text1"/>
          <w:szCs w:val="20"/>
        </w:rPr>
      </w:pPr>
      <w:r w:rsidRPr="005D070C">
        <w:rPr>
          <w:rFonts w:cs="TimesNewRomanPS-BoldItalicMT"/>
          <w:bCs/>
          <w:iCs/>
          <w:color w:val="000000" w:themeColor="text1"/>
          <w:szCs w:val="20"/>
        </w:rPr>
        <w:t xml:space="preserve">(i) </w:t>
      </w:r>
      <w:r w:rsidRPr="005D070C">
        <w:rPr>
          <w:rFonts w:cs="TimesNewRomanPS-BoldItalicMT"/>
          <w:bCs/>
          <w:iCs/>
          <w:color w:val="000000" w:themeColor="text1"/>
          <w:szCs w:val="20"/>
        </w:rPr>
        <w:tab/>
      </w:r>
      <w:r w:rsidRPr="005D070C">
        <w:rPr>
          <w:rFonts w:eastAsia="Verdana" w:cs="Verdana"/>
          <w:bCs/>
          <w:color w:val="000000" w:themeColor="text1"/>
          <w:szCs w:val="20"/>
        </w:rPr>
        <w:t>Infrastruktura lotniskowa może być również wykorzystana do wsparcia projektu, albo poprzez instalowane systemy albo przez ich charakterystyki operacyjne. Przykłady obejmują:</w:t>
      </w:r>
    </w:p>
    <w:p w14:paraId="51E92A7F" w14:textId="77777777"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 xml:space="preserve">(1) </w:t>
      </w:r>
      <w:r w:rsidRPr="005D070C">
        <w:rPr>
          <w:rFonts w:cs="TimesNewRomanPS-BoldItalicMT"/>
          <w:bCs/>
          <w:iCs/>
          <w:color w:val="000000" w:themeColor="text1"/>
          <w:szCs w:val="20"/>
        </w:rPr>
        <w:tab/>
      </w:r>
      <w:r w:rsidRPr="005D070C">
        <w:rPr>
          <w:rFonts w:eastAsia="Verdana" w:cs="Verdana"/>
          <w:bCs/>
          <w:color w:val="000000" w:themeColor="text1"/>
          <w:szCs w:val="20"/>
        </w:rPr>
        <w:t>Poprzeczki zatrzymania oraz światła ochronne drogi startowej powinny być zapewniane na wszystkich wjazdach, i najlepiej oświetlone 24 godziny na dobę w każdych warunkach pogodowych. Nieuprawnione wtargnięcia na drogę startową nie zdarzają się tylko przy ograniczonej widoczności. W zasadzie, większość wtargnięć na drogę startową ma miejsce przy dobrej pogodzie.</w:t>
      </w:r>
    </w:p>
    <w:p w14:paraId="791038A7" w14:textId="4EE4865C" w:rsidR="003E0660" w:rsidRPr="005D070C" w:rsidRDefault="003E0660" w:rsidP="00B06A9A">
      <w:pPr>
        <w:tabs>
          <w:tab w:val="left" w:pos="1134"/>
        </w:tabs>
        <w:autoSpaceDE w:val="0"/>
        <w:autoSpaceDN w:val="0"/>
        <w:adjustRightInd w:val="0"/>
        <w:ind w:left="1134" w:hanging="567"/>
        <w:rPr>
          <w:rFonts w:eastAsia="Verdana" w:cs="Verdana"/>
          <w:bCs/>
          <w:color w:val="000000" w:themeColor="text1"/>
          <w:szCs w:val="20"/>
        </w:rPr>
      </w:pPr>
      <w:r w:rsidRPr="005D070C">
        <w:rPr>
          <w:rFonts w:cs="TimesNewRomanPS-BoldItalicMT"/>
          <w:bCs/>
          <w:iCs/>
          <w:color w:val="000000" w:themeColor="text1"/>
          <w:szCs w:val="20"/>
        </w:rPr>
        <w:t xml:space="preserve">(2) </w:t>
      </w:r>
      <w:r w:rsidRPr="005D070C">
        <w:rPr>
          <w:rFonts w:cs="TimesNewRomanPS-BoldItalicMT"/>
          <w:bCs/>
          <w:iCs/>
          <w:color w:val="000000" w:themeColor="text1"/>
          <w:szCs w:val="20"/>
        </w:rPr>
        <w:tab/>
      </w:r>
      <w:r w:rsidRPr="005D070C">
        <w:rPr>
          <w:rFonts w:eastAsia="Verdana" w:cs="Verdana"/>
          <w:bCs/>
          <w:color w:val="000000" w:themeColor="text1"/>
          <w:szCs w:val="20"/>
        </w:rPr>
        <w:t>Należy unikać pomyłek pomiędzy miejscami oczekiwania kategorii CAT I i CAT III. Można to osiągnąć poprzez łączenie obydwu miejsc.</w:t>
      </w:r>
    </w:p>
    <w:p w14:paraId="30036964" w14:textId="34DF20F4" w:rsidR="009A3E11" w:rsidRPr="005D070C" w:rsidRDefault="009A3E11" w:rsidP="00785C1E">
      <w:pPr>
        <w:tabs>
          <w:tab w:val="left" w:pos="567"/>
        </w:tabs>
        <w:autoSpaceDE w:val="0"/>
        <w:autoSpaceDN w:val="0"/>
        <w:adjustRightInd w:val="0"/>
        <w:ind w:left="567" w:hanging="567"/>
        <w:rPr>
          <w:rFonts w:eastAsia="Verdana" w:cs="Verdana"/>
          <w:bCs/>
          <w:color w:val="000000" w:themeColor="text1"/>
          <w:szCs w:val="20"/>
        </w:rPr>
      </w:pPr>
      <w:r w:rsidRPr="005D070C">
        <w:rPr>
          <w:rFonts w:eastAsia="Verdana" w:cs="Verdana"/>
          <w:bCs/>
          <w:color w:val="000000" w:themeColor="text1"/>
          <w:szCs w:val="20"/>
        </w:rPr>
        <w:t xml:space="preserve">(j) </w:t>
      </w:r>
      <w:r w:rsidRPr="005D070C">
        <w:rPr>
          <w:rFonts w:eastAsia="Verdana" w:cs="Verdana"/>
          <w:bCs/>
          <w:color w:val="000000" w:themeColor="text1"/>
          <w:szCs w:val="20"/>
        </w:rPr>
        <w:tab/>
        <w:t xml:space="preserve">Wjazdy </w:t>
      </w:r>
      <w:r w:rsidR="00785C1E" w:rsidRPr="005D070C">
        <w:rPr>
          <w:rFonts w:eastAsia="Verdana" w:cs="Verdana"/>
          <w:bCs/>
          <w:color w:val="000000" w:themeColor="text1"/>
          <w:szCs w:val="20"/>
        </w:rPr>
        <w:t xml:space="preserve">z wielu dróg kołowania </w:t>
      </w:r>
      <w:r w:rsidRPr="005D070C">
        <w:rPr>
          <w:rFonts w:eastAsia="Verdana" w:cs="Verdana"/>
          <w:bCs/>
          <w:color w:val="000000" w:themeColor="text1"/>
          <w:szCs w:val="20"/>
        </w:rPr>
        <w:t xml:space="preserve">na drogę startową powinny być równoległe względem siebie oraz powinny być wyraźnie oddzielone od </w:t>
      </w:r>
      <w:r w:rsidR="00785C1E" w:rsidRPr="005D070C">
        <w:rPr>
          <w:rFonts w:eastAsia="Verdana" w:cs="Verdana"/>
          <w:bCs/>
          <w:color w:val="000000" w:themeColor="text1"/>
          <w:szCs w:val="20"/>
        </w:rPr>
        <w:t xml:space="preserve">siebie obszarem o </w:t>
      </w:r>
      <w:r w:rsidRPr="005D070C">
        <w:rPr>
          <w:rFonts w:eastAsia="Verdana" w:cs="Verdana"/>
          <w:bCs/>
          <w:color w:val="000000" w:themeColor="text1"/>
          <w:szCs w:val="20"/>
        </w:rPr>
        <w:t xml:space="preserve">nawierzchni </w:t>
      </w:r>
      <w:r w:rsidR="00785C1E" w:rsidRPr="005D070C">
        <w:rPr>
          <w:rFonts w:eastAsia="Verdana" w:cs="Verdana"/>
          <w:bCs/>
          <w:color w:val="000000" w:themeColor="text1"/>
          <w:szCs w:val="20"/>
        </w:rPr>
        <w:t>naturalnej</w:t>
      </w:r>
      <w:r w:rsidRPr="005D070C">
        <w:rPr>
          <w:rFonts w:eastAsia="Verdana" w:cs="Verdana"/>
          <w:bCs/>
          <w:color w:val="000000" w:themeColor="text1"/>
          <w:szCs w:val="20"/>
        </w:rPr>
        <w:t xml:space="preserve">. Ta zasada projektowa daje możliwość zapewnienia każdemu miejscu oczekiwania przed drogą startową obszaru ziemnego do właściwego umieszczenia towarzyszącego znaku pionowego, oznakowania poziomego oraz </w:t>
      </w:r>
      <w:r w:rsidR="00785C1E" w:rsidRPr="005D070C">
        <w:rPr>
          <w:rFonts w:eastAsia="Verdana" w:cs="Verdana"/>
          <w:bCs/>
          <w:color w:val="000000" w:themeColor="text1"/>
          <w:szCs w:val="20"/>
        </w:rPr>
        <w:t>świateł</w:t>
      </w:r>
      <w:r w:rsidRPr="005D070C">
        <w:rPr>
          <w:rFonts w:eastAsia="Verdana" w:cs="Verdana"/>
          <w:bCs/>
          <w:color w:val="000000" w:themeColor="text1"/>
          <w:szCs w:val="20"/>
        </w:rPr>
        <w:t xml:space="preserve"> w każdym miejscu oczekiwania przed drogą startową. Ponadto, ta zasada projektowa eliminuje zbędne koszty budowy bezużytecznej nawierzchni sztucznej jak również koszty związane z malowaniem oznakowania poziomego krawędzi drogi kołowania wskazującego taką bezużyteczną nawierzchnię. Generalnie, nadmiar stref z nawierzchniami sztucznymi w miejscach oczekiwania przed drogą startową zmniejsza skuteczność znaków pionowych, oznakowania poziomego oraz </w:t>
      </w:r>
      <w:r w:rsidR="00785C1E" w:rsidRPr="005D070C">
        <w:rPr>
          <w:rFonts w:eastAsia="Verdana" w:cs="Verdana"/>
          <w:bCs/>
          <w:color w:val="000000" w:themeColor="text1"/>
          <w:szCs w:val="20"/>
        </w:rPr>
        <w:t>świateł</w:t>
      </w:r>
      <w:r w:rsidRPr="005D070C">
        <w:rPr>
          <w:rFonts w:eastAsia="Verdana" w:cs="Verdana"/>
          <w:bCs/>
          <w:color w:val="000000" w:themeColor="text1"/>
          <w:szCs w:val="20"/>
        </w:rPr>
        <w:t>.</w:t>
      </w:r>
    </w:p>
    <w:p w14:paraId="7E5A5BCB" w14:textId="178E198D" w:rsidR="003E0660" w:rsidRPr="005D070C" w:rsidRDefault="003E0660" w:rsidP="00B06A9A">
      <w:pPr>
        <w:tabs>
          <w:tab w:val="left" w:pos="567"/>
        </w:tabs>
        <w:autoSpaceDE w:val="0"/>
        <w:autoSpaceDN w:val="0"/>
        <w:adjustRightInd w:val="0"/>
        <w:ind w:left="567" w:hanging="567"/>
        <w:rPr>
          <w:rFonts w:eastAsia="Verdana" w:cs="Verdana"/>
          <w:bCs/>
          <w:color w:val="000000" w:themeColor="text1"/>
          <w:szCs w:val="20"/>
        </w:rPr>
      </w:pPr>
      <w:r w:rsidRPr="005D070C">
        <w:rPr>
          <w:rFonts w:cs="TimesNewRomanPS-BoldItalicMT"/>
          <w:bCs/>
          <w:iCs/>
          <w:color w:val="000000" w:themeColor="text1"/>
          <w:szCs w:val="20"/>
        </w:rPr>
        <w:t>(</w:t>
      </w:r>
      <w:r w:rsidR="009A3E11" w:rsidRPr="005D070C">
        <w:rPr>
          <w:rFonts w:cs="TimesNewRomanPS-BoldItalicMT"/>
          <w:bCs/>
          <w:iCs/>
          <w:color w:val="000000" w:themeColor="text1"/>
          <w:szCs w:val="20"/>
        </w:rPr>
        <w:t>k</w:t>
      </w:r>
      <w:r w:rsidRPr="005D070C">
        <w:rPr>
          <w:rFonts w:cs="TimesNewRomanPS-BoldItalicMT"/>
          <w:bCs/>
          <w:iCs/>
          <w:color w:val="000000" w:themeColor="text1"/>
          <w:szCs w:val="20"/>
        </w:rPr>
        <w:t xml:space="preserve">) </w:t>
      </w:r>
      <w:r w:rsidRPr="005D070C">
        <w:rPr>
          <w:rFonts w:cs="TimesNewRomanPS-BoldItalicMT"/>
          <w:bCs/>
          <w:iCs/>
          <w:color w:val="000000" w:themeColor="text1"/>
          <w:szCs w:val="20"/>
        </w:rPr>
        <w:tab/>
      </w:r>
      <w:r w:rsidRPr="005D070C">
        <w:rPr>
          <w:rFonts w:eastAsia="Verdana" w:cs="Verdana"/>
          <w:bCs/>
          <w:color w:val="000000" w:themeColor="text1"/>
          <w:szCs w:val="20"/>
        </w:rPr>
        <w:t xml:space="preserve">Wytyczne dotyczące układu dróg kołowania znajdują się w </w:t>
      </w:r>
      <w:r w:rsidRPr="005D070C">
        <w:rPr>
          <w:rFonts w:cs="Times New Roman"/>
          <w:color w:val="000000" w:themeColor="text1"/>
          <w:szCs w:val="20"/>
        </w:rPr>
        <w:t>„</w:t>
      </w:r>
      <w:r w:rsidRPr="005D070C">
        <w:rPr>
          <w:rFonts w:cs="Times New Roman"/>
          <w:i/>
          <w:color w:val="000000" w:themeColor="text1"/>
          <w:szCs w:val="20"/>
        </w:rPr>
        <w:t>Podręczniku projektowania lotnisk</w:t>
      </w:r>
      <w:r w:rsidRPr="005D070C">
        <w:rPr>
          <w:rFonts w:cs="Times New Roman"/>
          <w:color w:val="000000" w:themeColor="text1"/>
          <w:szCs w:val="20"/>
        </w:rPr>
        <w:t xml:space="preserve">” ICAO Doc 9157, </w:t>
      </w:r>
      <w:r w:rsidRPr="005D070C">
        <w:rPr>
          <w:rFonts w:eastAsia="Verdana" w:cs="Verdana"/>
          <w:bCs/>
          <w:color w:val="000000" w:themeColor="text1"/>
          <w:szCs w:val="20"/>
        </w:rPr>
        <w:t>Część 2 „</w:t>
      </w:r>
      <w:r w:rsidRPr="005D070C">
        <w:rPr>
          <w:rFonts w:eastAsia="Verdana" w:cs="Verdana"/>
          <w:bCs/>
          <w:i/>
          <w:color w:val="000000" w:themeColor="text1"/>
          <w:szCs w:val="20"/>
        </w:rPr>
        <w:t>Drogi kołowania, płyty postojowe oraz zatoki oczekiwania</w:t>
      </w:r>
      <w:r w:rsidRPr="005D070C">
        <w:rPr>
          <w:rFonts w:eastAsia="Verdana" w:cs="Verdana"/>
          <w:bCs/>
          <w:color w:val="000000" w:themeColor="text1"/>
          <w:szCs w:val="20"/>
        </w:rPr>
        <w:t>”.</w:t>
      </w:r>
    </w:p>
    <w:p w14:paraId="6B808822" w14:textId="46406C8A" w:rsidR="003E0660" w:rsidRPr="005D070C" w:rsidRDefault="003E0660" w:rsidP="006C24CC">
      <w:pPr>
        <w:pStyle w:val="Tekstpodstawowy"/>
        <w:spacing w:before="120" w:after="0"/>
        <w:ind w:hanging="20"/>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ADR-DSN/3]</w:t>
      </w:r>
    </w:p>
    <w:p w14:paraId="1EBF8480" w14:textId="1E096071" w:rsidR="005D070C" w:rsidRDefault="00EB4908" w:rsidP="006E3939">
      <w:pPr>
        <w:pStyle w:val="Tekstpodstawowy"/>
        <w:ind w:left="23" w:hanging="23"/>
        <w:rPr>
          <w:rFonts w:asciiTheme="minorHAnsi" w:hAnsiTheme="minorHAnsi" w:cstheme="minorHAnsi"/>
          <w:i/>
          <w:color w:val="000000" w:themeColor="text1"/>
          <w:sz w:val="16"/>
          <w:szCs w:val="16"/>
        </w:rPr>
      </w:pPr>
      <w:r w:rsidRPr="005D070C">
        <w:rPr>
          <w:rFonts w:asciiTheme="minorHAnsi" w:hAnsiTheme="minorHAnsi" w:cstheme="minorHAnsi"/>
          <w:i/>
          <w:color w:val="000000" w:themeColor="text1"/>
          <w:sz w:val="16"/>
          <w:szCs w:val="16"/>
        </w:rPr>
        <w:t>[Wydanie: ADR-DSN/4]</w:t>
      </w:r>
    </w:p>
    <w:p w14:paraId="68C59123" w14:textId="77777777" w:rsidR="005D070C" w:rsidRDefault="005D070C">
      <w:pPr>
        <w:spacing w:after="0"/>
        <w:jc w:val="left"/>
        <w:rPr>
          <w:rFonts w:asciiTheme="minorHAnsi" w:eastAsia="Times New Roman" w:hAnsiTheme="minorHAnsi" w:cstheme="minorHAnsi"/>
          <w:i/>
          <w:color w:val="000000" w:themeColor="text1"/>
          <w:sz w:val="16"/>
          <w:szCs w:val="16"/>
        </w:rPr>
      </w:pPr>
      <w:r>
        <w:rPr>
          <w:rFonts w:asciiTheme="minorHAnsi" w:hAnsiTheme="minorHAnsi" w:cstheme="minorHAnsi"/>
          <w:i/>
          <w:color w:val="000000" w:themeColor="text1"/>
          <w:sz w:val="16"/>
          <w:szCs w:val="16"/>
        </w:rPr>
        <w:br w:type="page"/>
      </w:r>
    </w:p>
    <w:p w14:paraId="6333295E" w14:textId="39BCB130" w:rsidR="00C36D76" w:rsidRPr="009E064B" w:rsidRDefault="00F85C28" w:rsidP="00B06A9A">
      <w:pPr>
        <w:pStyle w:val="Nagwek4"/>
        <w:rPr>
          <w:color w:val="auto"/>
        </w:rPr>
      </w:pPr>
      <w:bookmarkStart w:id="1034" w:name="_Toc482886581"/>
      <w:bookmarkStart w:id="1035" w:name="_Toc12533009"/>
      <w:r w:rsidRPr="009E064B">
        <w:rPr>
          <w:color w:val="auto"/>
        </w:rPr>
        <w:t xml:space="preserve">CS ADR-DSN.D.245     </w:t>
      </w:r>
      <w:r w:rsidR="00C36D76" w:rsidRPr="009E064B">
        <w:rPr>
          <w:color w:val="auto"/>
        </w:rPr>
        <w:t>Szerokość dróg kołowania</w:t>
      </w:r>
      <w:bookmarkEnd w:id="1034"/>
      <w:bookmarkEnd w:id="1035"/>
    </w:p>
    <w:p w14:paraId="73264484" w14:textId="671CDD5A"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CC6E7CC" w14:textId="55EE1D8E" w:rsidR="00C36D76" w:rsidRPr="005D070C" w:rsidRDefault="00C36D76" w:rsidP="00DA7DA1">
      <w:pPr>
        <w:tabs>
          <w:tab w:val="left" w:pos="0"/>
        </w:tabs>
        <w:autoSpaceDE w:val="0"/>
        <w:autoSpaceDN w:val="0"/>
        <w:adjustRightInd w:val="0"/>
        <w:spacing w:after="0"/>
        <w:rPr>
          <w:rFonts w:cs="TimesNewRomanPS-ItalicMT"/>
          <w:iCs/>
          <w:color w:val="000000" w:themeColor="text1"/>
          <w:szCs w:val="20"/>
        </w:rPr>
      </w:pPr>
      <w:r w:rsidRPr="005D070C">
        <w:rPr>
          <w:rFonts w:cs="TimesNewRomanPS-ItalicMT"/>
          <w:iCs/>
          <w:color w:val="000000" w:themeColor="text1"/>
          <w:szCs w:val="20"/>
        </w:rPr>
        <w:t>Szerokość prostych</w:t>
      </w:r>
      <w:r w:rsidR="00B26CBB" w:rsidRPr="005D070C">
        <w:rPr>
          <w:rFonts w:cs="TimesNewRomanPS-ItalicMT"/>
          <w:iCs/>
          <w:color w:val="000000" w:themeColor="text1"/>
          <w:szCs w:val="20"/>
        </w:rPr>
        <w:t xml:space="preserve"> odcinków dro</w:t>
      </w:r>
      <w:r w:rsidRPr="005D070C">
        <w:rPr>
          <w:rFonts w:cs="TimesNewRomanPS-ItalicMT"/>
          <w:iCs/>
          <w:color w:val="000000" w:themeColor="text1"/>
          <w:szCs w:val="20"/>
        </w:rPr>
        <w:t>g</w:t>
      </w:r>
      <w:r w:rsidR="00B26CBB" w:rsidRPr="005D070C">
        <w:rPr>
          <w:rFonts w:cs="TimesNewRomanPS-ItalicMT"/>
          <w:iCs/>
          <w:color w:val="000000" w:themeColor="text1"/>
          <w:szCs w:val="20"/>
        </w:rPr>
        <w:t>i</w:t>
      </w:r>
      <w:r w:rsidRPr="005D070C">
        <w:rPr>
          <w:rFonts w:cs="TimesNewRomanPS-ItalicMT"/>
          <w:iCs/>
          <w:color w:val="000000" w:themeColor="text1"/>
          <w:szCs w:val="20"/>
        </w:rPr>
        <w:t xml:space="preserve"> kołowania nie powinna być mniejsza niż wartości podane </w:t>
      </w:r>
      <w:r w:rsidR="00061538" w:rsidRPr="005D070C">
        <w:rPr>
          <w:rFonts w:cs="TimesNewRomanPSMT"/>
          <w:color w:val="000000" w:themeColor="text1"/>
          <w:szCs w:val="20"/>
        </w:rPr>
        <w:t>w </w:t>
      </w:r>
      <w:r w:rsidRPr="005D070C">
        <w:rPr>
          <w:rFonts w:cs="TimesNewRomanPSMT"/>
          <w:color w:val="000000" w:themeColor="text1"/>
          <w:szCs w:val="20"/>
        </w:rPr>
        <w:t>poniższym zestawieniu</w:t>
      </w:r>
      <w:r w:rsidRPr="005D070C">
        <w:rPr>
          <w:rFonts w:cs="TimesNewRomanPS-ItalicMT"/>
          <w:iCs/>
          <w:color w:val="000000" w:themeColor="text1"/>
          <w:szCs w:val="20"/>
        </w:rPr>
        <w:t>:</w:t>
      </w:r>
    </w:p>
    <w:p w14:paraId="060D1EA1" w14:textId="34B68415" w:rsidR="00C36D76" w:rsidRPr="005D070C" w:rsidRDefault="00C36D76" w:rsidP="00321955">
      <w:pPr>
        <w:tabs>
          <w:tab w:val="left" w:pos="1134"/>
          <w:tab w:val="left" w:pos="2835"/>
          <w:tab w:val="left" w:pos="3828"/>
        </w:tabs>
        <w:autoSpaceDE w:val="0"/>
        <w:autoSpaceDN w:val="0"/>
        <w:adjustRightInd w:val="0"/>
        <w:spacing w:after="0"/>
        <w:rPr>
          <w:rFonts w:cs="TimesNewRomanPS-ItalicMT"/>
          <w:iCs/>
          <w:color w:val="000000" w:themeColor="text1"/>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1567"/>
        <w:gridCol w:w="1889"/>
        <w:gridCol w:w="1891"/>
        <w:gridCol w:w="1891"/>
        <w:gridCol w:w="1889"/>
      </w:tblGrid>
      <w:tr w:rsidR="00B26CBB" w:rsidRPr="005D070C" w14:paraId="4D9201F8" w14:textId="77777777" w:rsidTr="00EE2E0D">
        <w:trPr>
          <w:jc w:val="center"/>
        </w:trPr>
        <w:tc>
          <w:tcPr>
            <w:tcW w:w="858" w:type="pct"/>
            <w:vMerge w:val="restart"/>
            <w:tcMar>
              <w:top w:w="85" w:type="dxa"/>
              <w:left w:w="28" w:type="dxa"/>
              <w:bottom w:w="85" w:type="dxa"/>
              <w:right w:w="28" w:type="dxa"/>
            </w:tcMar>
            <w:vAlign w:val="center"/>
          </w:tcPr>
          <w:p w14:paraId="3789CB77" w14:textId="77777777" w:rsidR="00FB199F" w:rsidRPr="005D070C" w:rsidRDefault="00FB199F" w:rsidP="00FB199F">
            <w:pPr>
              <w:autoSpaceDE w:val="0"/>
              <w:autoSpaceDN w:val="0"/>
              <w:adjustRightInd w:val="0"/>
              <w:spacing w:after="0"/>
              <w:jc w:val="center"/>
              <w:rPr>
                <w:rFonts w:cs="TimesNewRomanPSMT"/>
                <w:color w:val="000000" w:themeColor="text1"/>
                <w:szCs w:val="20"/>
              </w:rPr>
            </w:pPr>
          </w:p>
        </w:tc>
        <w:tc>
          <w:tcPr>
            <w:tcW w:w="4142" w:type="pct"/>
            <w:gridSpan w:val="4"/>
            <w:tcMar>
              <w:top w:w="85" w:type="dxa"/>
              <w:left w:w="28" w:type="dxa"/>
              <w:bottom w:w="85" w:type="dxa"/>
              <w:right w:w="28" w:type="dxa"/>
            </w:tcMar>
            <w:vAlign w:val="center"/>
          </w:tcPr>
          <w:p w14:paraId="3C4F6993" w14:textId="0EF3A799" w:rsidR="00FB199F" w:rsidRPr="005D070C" w:rsidRDefault="00FB199F" w:rsidP="000D78F5">
            <w:pPr>
              <w:spacing w:after="0"/>
              <w:jc w:val="center"/>
              <w:rPr>
                <w:b/>
                <w:color w:val="000000" w:themeColor="text1"/>
              </w:rPr>
            </w:pPr>
            <w:r w:rsidRPr="005D070C">
              <w:rPr>
                <w:b/>
                <w:color w:val="000000" w:themeColor="text1"/>
                <w:szCs w:val="18"/>
              </w:rPr>
              <w:t>Całkowity rozstaw zewnętrznych kół podwozia głównego (OMGWS)</w:t>
            </w:r>
          </w:p>
        </w:tc>
      </w:tr>
      <w:tr w:rsidR="00B26CBB" w:rsidRPr="005D070C" w14:paraId="1C76BA4A" w14:textId="77777777" w:rsidTr="00EE2E0D">
        <w:trPr>
          <w:jc w:val="center"/>
        </w:trPr>
        <w:tc>
          <w:tcPr>
            <w:tcW w:w="858" w:type="pct"/>
            <w:vMerge/>
            <w:tcMar>
              <w:top w:w="85" w:type="dxa"/>
              <w:left w:w="28" w:type="dxa"/>
              <w:bottom w:w="85" w:type="dxa"/>
              <w:right w:w="28" w:type="dxa"/>
            </w:tcMar>
            <w:vAlign w:val="center"/>
          </w:tcPr>
          <w:p w14:paraId="75627190" w14:textId="77777777" w:rsidR="00FB199F" w:rsidRPr="005D070C" w:rsidRDefault="00FB199F" w:rsidP="00FB199F">
            <w:pPr>
              <w:spacing w:after="0"/>
              <w:ind w:right="43"/>
              <w:jc w:val="center"/>
              <w:rPr>
                <w:color w:val="000000" w:themeColor="text1"/>
              </w:rPr>
            </w:pPr>
          </w:p>
        </w:tc>
        <w:tc>
          <w:tcPr>
            <w:tcW w:w="1035" w:type="pct"/>
            <w:tcMar>
              <w:top w:w="85" w:type="dxa"/>
              <w:left w:w="28" w:type="dxa"/>
              <w:bottom w:w="85" w:type="dxa"/>
              <w:right w:w="28" w:type="dxa"/>
            </w:tcMar>
            <w:vAlign w:val="center"/>
          </w:tcPr>
          <w:p w14:paraId="5CABA5C9" w14:textId="77777777" w:rsidR="00FB199F" w:rsidRPr="005D070C" w:rsidRDefault="00FB199F" w:rsidP="00FB199F">
            <w:pPr>
              <w:spacing w:after="0" w:line="276" w:lineRule="auto"/>
              <w:jc w:val="center"/>
              <w:rPr>
                <w:color w:val="000000" w:themeColor="text1"/>
                <w:szCs w:val="18"/>
              </w:rPr>
            </w:pPr>
            <w:r w:rsidRPr="005D070C">
              <w:rPr>
                <w:color w:val="000000" w:themeColor="text1"/>
                <w:szCs w:val="18"/>
              </w:rPr>
              <w:t xml:space="preserve">do </w:t>
            </w:r>
            <w:smartTag w:uri="urn:schemas-microsoft-com:office:smarttags" w:element="metricconverter">
              <w:smartTagPr>
                <w:attr w:name="ProductID" w:val="4.5 m"/>
              </w:smartTagPr>
              <w:r w:rsidRPr="005D070C">
                <w:rPr>
                  <w:color w:val="000000" w:themeColor="text1"/>
                  <w:szCs w:val="18"/>
                </w:rPr>
                <w:t>4.5 m</w:t>
              </w:r>
            </w:smartTag>
          </w:p>
          <w:p w14:paraId="4003EF41" w14:textId="77777777" w:rsidR="00FB199F" w:rsidRPr="005D070C" w:rsidRDefault="00FB199F" w:rsidP="00FB199F">
            <w:pPr>
              <w:spacing w:after="0"/>
              <w:jc w:val="center"/>
              <w:rPr>
                <w:b/>
                <w:color w:val="000000" w:themeColor="text1"/>
              </w:rPr>
            </w:pPr>
            <w:r w:rsidRPr="005D070C">
              <w:rPr>
                <w:color w:val="000000" w:themeColor="text1"/>
                <w:szCs w:val="18"/>
              </w:rPr>
              <w:t xml:space="preserve">(bez wartości </w:t>
            </w:r>
            <w:smartTag w:uri="urn:schemas-microsoft-com:office:smarttags" w:element="metricconverter">
              <w:smartTagPr>
                <w:attr w:name="ProductID" w:val="4.5 m"/>
              </w:smartTagPr>
              <w:r w:rsidRPr="005D070C">
                <w:rPr>
                  <w:color w:val="000000" w:themeColor="text1"/>
                  <w:szCs w:val="18"/>
                </w:rPr>
                <w:t>4.5 m</w:t>
              </w:r>
            </w:smartTag>
            <w:r w:rsidRPr="005D070C">
              <w:rPr>
                <w:color w:val="000000" w:themeColor="text1"/>
                <w:szCs w:val="18"/>
              </w:rPr>
              <w:t>)</w:t>
            </w:r>
          </w:p>
        </w:tc>
        <w:tc>
          <w:tcPr>
            <w:tcW w:w="1036" w:type="pct"/>
            <w:tcMar>
              <w:top w:w="85" w:type="dxa"/>
              <w:left w:w="28" w:type="dxa"/>
              <w:bottom w:w="85" w:type="dxa"/>
              <w:right w:w="28" w:type="dxa"/>
            </w:tcMar>
            <w:vAlign w:val="center"/>
          </w:tcPr>
          <w:p w14:paraId="71FE6548" w14:textId="77777777" w:rsidR="00FB199F" w:rsidRPr="005D070C" w:rsidRDefault="00FB199F" w:rsidP="00FB199F">
            <w:pPr>
              <w:spacing w:after="0" w:line="276" w:lineRule="auto"/>
              <w:jc w:val="center"/>
              <w:rPr>
                <w:color w:val="000000" w:themeColor="text1"/>
                <w:szCs w:val="18"/>
              </w:rPr>
            </w:pPr>
            <w:r w:rsidRPr="005D070C">
              <w:rPr>
                <w:color w:val="000000" w:themeColor="text1"/>
                <w:szCs w:val="18"/>
              </w:rPr>
              <w:t xml:space="preserve">od </w:t>
            </w:r>
            <w:smartTag w:uri="urn:schemas-microsoft-com:office:smarttags" w:element="metricconverter">
              <w:smartTagPr>
                <w:attr w:name="ProductID" w:val="4.5 m"/>
              </w:smartTagPr>
              <w:r w:rsidRPr="005D070C">
                <w:rPr>
                  <w:color w:val="000000" w:themeColor="text1"/>
                  <w:szCs w:val="18"/>
                </w:rPr>
                <w:t>4.5 m</w:t>
              </w:r>
            </w:smartTag>
            <w:r w:rsidRPr="005D070C">
              <w:rPr>
                <w:color w:val="000000" w:themeColor="text1"/>
                <w:szCs w:val="18"/>
              </w:rPr>
              <w:t xml:space="preserve"> do </w:t>
            </w:r>
            <w:smartTag w:uri="urn:schemas-microsoft-com:office:smarttags" w:element="metricconverter">
              <w:smartTagPr>
                <w:attr w:name="ProductID" w:val="6 m"/>
              </w:smartTagPr>
              <w:r w:rsidRPr="005D070C">
                <w:rPr>
                  <w:color w:val="000000" w:themeColor="text1"/>
                  <w:szCs w:val="18"/>
                </w:rPr>
                <w:t>6 m</w:t>
              </w:r>
            </w:smartTag>
          </w:p>
          <w:p w14:paraId="47805EBC" w14:textId="77777777" w:rsidR="00FB199F" w:rsidRPr="005D070C" w:rsidRDefault="00FB199F" w:rsidP="00FB199F">
            <w:pPr>
              <w:spacing w:after="0"/>
              <w:jc w:val="center"/>
              <w:rPr>
                <w:b/>
                <w:color w:val="000000" w:themeColor="text1"/>
              </w:rPr>
            </w:pPr>
            <w:r w:rsidRPr="005D070C">
              <w:rPr>
                <w:color w:val="000000" w:themeColor="text1"/>
                <w:szCs w:val="18"/>
              </w:rPr>
              <w:t>(bez wartości 6 m)</w:t>
            </w:r>
          </w:p>
        </w:tc>
        <w:tc>
          <w:tcPr>
            <w:tcW w:w="1036" w:type="pct"/>
            <w:tcMar>
              <w:top w:w="85" w:type="dxa"/>
              <w:left w:w="28" w:type="dxa"/>
              <w:bottom w:w="85" w:type="dxa"/>
              <w:right w:w="28" w:type="dxa"/>
            </w:tcMar>
            <w:vAlign w:val="center"/>
          </w:tcPr>
          <w:p w14:paraId="22BF3B93" w14:textId="77777777" w:rsidR="00FB199F" w:rsidRPr="005D070C" w:rsidRDefault="00FB199F" w:rsidP="00FB199F">
            <w:pPr>
              <w:spacing w:after="0" w:line="276" w:lineRule="auto"/>
              <w:jc w:val="center"/>
              <w:rPr>
                <w:color w:val="000000" w:themeColor="text1"/>
                <w:szCs w:val="18"/>
              </w:rPr>
            </w:pPr>
            <w:r w:rsidRPr="005D070C">
              <w:rPr>
                <w:color w:val="000000" w:themeColor="text1"/>
                <w:szCs w:val="18"/>
              </w:rPr>
              <w:t xml:space="preserve">od </w:t>
            </w:r>
            <w:smartTag w:uri="urn:schemas-microsoft-com:office:smarttags" w:element="metricconverter">
              <w:smartTagPr>
                <w:attr w:name="ProductID" w:val="6 m"/>
              </w:smartTagPr>
              <w:r w:rsidRPr="005D070C">
                <w:rPr>
                  <w:color w:val="000000" w:themeColor="text1"/>
                  <w:szCs w:val="18"/>
                </w:rPr>
                <w:t>6 m</w:t>
              </w:r>
            </w:smartTag>
            <w:r w:rsidRPr="005D070C">
              <w:rPr>
                <w:color w:val="000000" w:themeColor="text1"/>
                <w:szCs w:val="18"/>
              </w:rPr>
              <w:t xml:space="preserve"> do </w:t>
            </w:r>
            <w:smartTag w:uri="urn:schemas-microsoft-com:office:smarttags" w:element="metricconverter">
              <w:smartTagPr>
                <w:attr w:name="ProductID" w:val="9 m"/>
              </w:smartTagPr>
              <w:r w:rsidRPr="005D070C">
                <w:rPr>
                  <w:color w:val="000000" w:themeColor="text1"/>
                  <w:szCs w:val="18"/>
                </w:rPr>
                <w:t>9 m</w:t>
              </w:r>
            </w:smartTag>
          </w:p>
          <w:p w14:paraId="1D5D31BF" w14:textId="77777777" w:rsidR="00FB199F" w:rsidRPr="005D070C" w:rsidRDefault="00FB199F" w:rsidP="00FB199F">
            <w:pPr>
              <w:spacing w:after="0"/>
              <w:jc w:val="center"/>
              <w:rPr>
                <w:b/>
                <w:color w:val="000000" w:themeColor="text1"/>
              </w:rPr>
            </w:pPr>
            <w:r w:rsidRPr="005D070C">
              <w:rPr>
                <w:color w:val="000000" w:themeColor="text1"/>
                <w:szCs w:val="18"/>
              </w:rPr>
              <w:t xml:space="preserve">(bez wartości </w:t>
            </w:r>
            <w:smartTag w:uri="urn:schemas-microsoft-com:office:smarttags" w:element="metricconverter">
              <w:smartTagPr>
                <w:attr w:name="ProductID" w:val="9 m"/>
              </w:smartTagPr>
              <w:r w:rsidRPr="005D070C">
                <w:rPr>
                  <w:color w:val="000000" w:themeColor="text1"/>
                  <w:szCs w:val="18"/>
                </w:rPr>
                <w:t>9 m</w:t>
              </w:r>
            </w:smartTag>
            <w:r w:rsidRPr="005D070C">
              <w:rPr>
                <w:color w:val="000000" w:themeColor="text1"/>
                <w:szCs w:val="18"/>
              </w:rPr>
              <w:t>)</w:t>
            </w:r>
          </w:p>
        </w:tc>
        <w:tc>
          <w:tcPr>
            <w:tcW w:w="1035" w:type="pct"/>
            <w:tcMar>
              <w:top w:w="85" w:type="dxa"/>
              <w:left w:w="28" w:type="dxa"/>
              <w:bottom w:w="85" w:type="dxa"/>
              <w:right w:w="28" w:type="dxa"/>
            </w:tcMar>
            <w:vAlign w:val="center"/>
          </w:tcPr>
          <w:p w14:paraId="1B4A40D5" w14:textId="77777777" w:rsidR="00FB199F" w:rsidRPr="005D070C" w:rsidRDefault="00FB199F" w:rsidP="00FB199F">
            <w:pPr>
              <w:spacing w:after="0" w:line="276" w:lineRule="auto"/>
              <w:jc w:val="center"/>
              <w:rPr>
                <w:color w:val="000000" w:themeColor="text1"/>
                <w:szCs w:val="18"/>
              </w:rPr>
            </w:pPr>
            <w:r w:rsidRPr="005D070C">
              <w:rPr>
                <w:color w:val="000000" w:themeColor="text1"/>
                <w:szCs w:val="18"/>
              </w:rPr>
              <w:t xml:space="preserve">od </w:t>
            </w:r>
            <w:smartTag w:uri="urn:schemas-microsoft-com:office:smarttags" w:element="metricconverter">
              <w:smartTagPr>
                <w:attr w:name="ProductID" w:val="9 m"/>
              </w:smartTagPr>
              <w:r w:rsidRPr="005D070C">
                <w:rPr>
                  <w:color w:val="000000" w:themeColor="text1"/>
                  <w:szCs w:val="18"/>
                </w:rPr>
                <w:t>9 m</w:t>
              </w:r>
            </w:smartTag>
            <w:r w:rsidRPr="005D070C">
              <w:rPr>
                <w:color w:val="000000" w:themeColor="text1"/>
                <w:szCs w:val="18"/>
              </w:rPr>
              <w:t xml:space="preserve"> do 15 m</w:t>
            </w:r>
          </w:p>
          <w:p w14:paraId="0AA5FA0F" w14:textId="77777777" w:rsidR="00FB199F" w:rsidRPr="005D070C" w:rsidRDefault="00FB199F" w:rsidP="00FB199F">
            <w:pPr>
              <w:spacing w:after="0"/>
              <w:jc w:val="center"/>
              <w:rPr>
                <w:b/>
                <w:color w:val="000000" w:themeColor="text1"/>
              </w:rPr>
            </w:pPr>
            <w:r w:rsidRPr="005D070C">
              <w:rPr>
                <w:color w:val="000000" w:themeColor="text1"/>
                <w:szCs w:val="18"/>
              </w:rPr>
              <w:t>(bez wartości 15 m)</w:t>
            </w:r>
          </w:p>
        </w:tc>
      </w:tr>
      <w:tr w:rsidR="00B26CBB" w:rsidRPr="005D070C" w14:paraId="590B3D75" w14:textId="77777777" w:rsidTr="00EE2E0D">
        <w:trPr>
          <w:jc w:val="center"/>
        </w:trPr>
        <w:tc>
          <w:tcPr>
            <w:tcW w:w="858" w:type="pct"/>
            <w:tcMar>
              <w:top w:w="85" w:type="dxa"/>
              <w:left w:w="28" w:type="dxa"/>
              <w:bottom w:w="85" w:type="dxa"/>
              <w:right w:w="28" w:type="dxa"/>
            </w:tcMar>
            <w:vAlign w:val="center"/>
          </w:tcPr>
          <w:p w14:paraId="11D55C23" w14:textId="77777777" w:rsidR="00FB199F" w:rsidRPr="005D070C" w:rsidRDefault="00FB199F" w:rsidP="00FB199F">
            <w:pPr>
              <w:autoSpaceDE w:val="0"/>
              <w:autoSpaceDN w:val="0"/>
              <w:adjustRightInd w:val="0"/>
              <w:spacing w:after="0"/>
              <w:jc w:val="center"/>
              <w:rPr>
                <w:rFonts w:cs="TimesNewRomanPSMT"/>
                <w:color w:val="000000" w:themeColor="text1"/>
                <w:szCs w:val="20"/>
              </w:rPr>
            </w:pPr>
            <w:r w:rsidRPr="005D070C">
              <w:rPr>
                <w:rFonts w:cs="TimesNewRomanPSMT"/>
                <w:color w:val="000000" w:themeColor="text1"/>
                <w:szCs w:val="20"/>
              </w:rPr>
              <w:t>Szerokość drogi kołowania</w:t>
            </w:r>
          </w:p>
        </w:tc>
        <w:tc>
          <w:tcPr>
            <w:tcW w:w="1035" w:type="pct"/>
            <w:tcMar>
              <w:top w:w="85" w:type="dxa"/>
              <w:left w:w="28" w:type="dxa"/>
              <w:bottom w:w="85" w:type="dxa"/>
              <w:right w:w="28" w:type="dxa"/>
            </w:tcMar>
            <w:vAlign w:val="center"/>
          </w:tcPr>
          <w:p w14:paraId="413C677B" w14:textId="77777777" w:rsidR="00FB199F" w:rsidRPr="005D070C" w:rsidRDefault="00FB199F" w:rsidP="00FB199F">
            <w:pPr>
              <w:spacing w:after="0"/>
              <w:jc w:val="center"/>
              <w:rPr>
                <w:color w:val="000000" w:themeColor="text1"/>
              </w:rPr>
            </w:pPr>
            <w:r w:rsidRPr="005D070C">
              <w:rPr>
                <w:rFonts w:cs="TimesNewRomanPS-ItalicMT"/>
                <w:iCs/>
                <w:color w:val="000000" w:themeColor="text1"/>
                <w:szCs w:val="20"/>
              </w:rPr>
              <w:t>7.5 m</w:t>
            </w:r>
          </w:p>
        </w:tc>
        <w:tc>
          <w:tcPr>
            <w:tcW w:w="1036" w:type="pct"/>
            <w:tcMar>
              <w:top w:w="85" w:type="dxa"/>
              <w:left w:w="28" w:type="dxa"/>
              <w:bottom w:w="85" w:type="dxa"/>
              <w:right w:w="28" w:type="dxa"/>
            </w:tcMar>
            <w:vAlign w:val="center"/>
          </w:tcPr>
          <w:p w14:paraId="455ABF70" w14:textId="77777777" w:rsidR="00FB199F" w:rsidRPr="005D070C" w:rsidRDefault="00FB199F" w:rsidP="00FB199F">
            <w:pPr>
              <w:spacing w:after="0"/>
              <w:jc w:val="center"/>
              <w:rPr>
                <w:color w:val="000000" w:themeColor="text1"/>
              </w:rPr>
            </w:pPr>
            <w:r w:rsidRPr="005D070C">
              <w:rPr>
                <w:rFonts w:cs="TimesNewRomanPS-ItalicMT"/>
                <w:iCs/>
                <w:color w:val="000000" w:themeColor="text1"/>
                <w:szCs w:val="20"/>
              </w:rPr>
              <w:t>10.5 m</w:t>
            </w:r>
          </w:p>
        </w:tc>
        <w:tc>
          <w:tcPr>
            <w:tcW w:w="1036" w:type="pct"/>
            <w:tcMar>
              <w:top w:w="85" w:type="dxa"/>
              <w:left w:w="28" w:type="dxa"/>
              <w:bottom w:w="85" w:type="dxa"/>
              <w:right w:w="28" w:type="dxa"/>
            </w:tcMar>
            <w:vAlign w:val="center"/>
          </w:tcPr>
          <w:p w14:paraId="456EF8CA" w14:textId="77777777" w:rsidR="00FB199F" w:rsidRPr="005D070C" w:rsidRDefault="00FB199F" w:rsidP="00FB199F">
            <w:pPr>
              <w:spacing w:after="0"/>
              <w:jc w:val="center"/>
              <w:rPr>
                <w:color w:val="000000" w:themeColor="text1"/>
              </w:rPr>
            </w:pPr>
            <w:r w:rsidRPr="005D070C">
              <w:rPr>
                <w:rFonts w:cs="TimesNewRomanPS-ItalicMT"/>
                <w:iCs/>
                <w:color w:val="000000" w:themeColor="text1"/>
                <w:szCs w:val="20"/>
              </w:rPr>
              <w:t>15 m</w:t>
            </w:r>
          </w:p>
        </w:tc>
        <w:tc>
          <w:tcPr>
            <w:tcW w:w="1035" w:type="pct"/>
            <w:tcMar>
              <w:top w:w="85" w:type="dxa"/>
              <w:left w:w="28" w:type="dxa"/>
              <w:bottom w:w="85" w:type="dxa"/>
              <w:right w:w="28" w:type="dxa"/>
            </w:tcMar>
            <w:vAlign w:val="center"/>
          </w:tcPr>
          <w:p w14:paraId="4D4B33B3" w14:textId="77777777" w:rsidR="00FB199F" w:rsidRPr="005D070C" w:rsidRDefault="00FB199F" w:rsidP="00FB199F">
            <w:pPr>
              <w:spacing w:after="0"/>
              <w:jc w:val="center"/>
              <w:rPr>
                <w:color w:val="000000" w:themeColor="text1"/>
              </w:rPr>
            </w:pPr>
            <w:r w:rsidRPr="005D070C">
              <w:rPr>
                <w:rFonts w:cs="TimesNewRomanPS-ItalicMT"/>
                <w:iCs/>
                <w:color w:val="000000" w:themeColor="text1"/>
                <w:szCs w:val="20"/>
              </w:rPr>
              <w:t>23 m</w:t>
            </w:r>
          </w:p>
        </w:tc>
      </w:tr>
    </w:tbl>
    <w:p w14:paraId="52DF25C0" w14:textId="4A5D1E86" w:rsidR="0050660C" w:rsidRPr="009E064B" w:rsidRDefault="00F722A1" w:rsidP="00DA7DA1">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05CC55A" w14:textId="3975F79C" w:rsidR="003E0660" w:rsidRPr="009E064B" w:rsidRDefault="00F85C28" w:rsidP="00133B99">
      <w:pPr>
        <w:pStyle w:val="Nagwek6"/>
      </w:pPr>
      <w:bookmarkStart w:id="1036" w:name="_Toc401058939"/>
      <w:bookmarkStart w:id="1037" w:name="_Toc482886805"/>
      <w:bookmarkStart w:id="1038" w:name="_Toc12533010"/>
      <w:r w:rsidRPr="009E064B">
        <w:t xml:space="preserve">GM1 ADR-DSN.D.245     </w:t>
      </w:r>
      <w:r w:rsidR="003E0660" w:rsidRPr="009E064B">
        <w:t>Szerokość dróg kołowania</w:t>
      </w:r>
      <w:bookmarkEnd w:id="1036"/>
      <w:bookmarkEnd w:id="1037"/>
      <w:bookmarkEnd w:id="1038"/>
    </w:p>
    <w:p w14:paraId="486E1397" w14:textId="4407DFC7"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20BF6BF" w14:textId="5E5D1217" w:rsidR="003E0660" w:rsidRPr="009E064B" w:rsidRDefault="00C3483C" w:rsidP="00EE2E0D">
      <w:pPr>
        <w:tabs>
          <w:tab w:val="left" w:pos="567"/>
        </w:tabs>
        <w:autoSpaceDE w:val="0"/>
        <w:autoSpaceDN w:val="0"/>
        <w:adjustRightInd w:val="0"/>
        <w:ind w:left="567" w:hanging="567"/>
        <w:rPr>
          <w:rFonts w:eastAsia="Verdana" w:cs="Verdana"/>
          <w:bCs/>
          <w:szCs w:val="20"/>
        </w:rPr>
      </w:pPr>
      <w:r w:rsidRPr="009E064B">
        <w:rPr>
          <w:rFonts w:eastAsia="Verdana" w:cs="Verdana"/>
          <w:bCs/>
          <w:szCs w:val="20"/>
        </w:rPr>
        <w:t xml:space="preserve">(a) </w:t>
      </w:r>
      <w:r w:rsidRPr="009E064B">
        <w:rPr>
          <w:rFonts w:eastAsia="Verdana" w:cs="Verdana"/>
          <w:bCs/>
          <w:szCs w:val="20"/>
        </w:rPr>
        <w:tab/>
      </w:r>
      <w:r w:rsidR="003E0660" w:rsidRPr="009E064B">
        <w:rPr>
          <w:rFonts w:eastAsia="Verdana" w:cs="Verdana"/>
          <w:bCs/>
          <w:szCs w:val="20"/>
        </w:rPr>
        <w:t>Szerokość drogi kołowania powinna być mierzona na krawędzi sztucznej nawierzchni, lub jeżeli krawędź drogi kołowania jest oznakowana, na zewnętrznej krawędzi oznakowania poziomego krawędzi drogi kołowania.</w:t>
      </w:r>
    </w:p>
    <w:p w14:paraId="1529D235" w14:textId="6B3FD9E8" w:rsidR="00B6251C" w:rsidRPr="005D070C" w:rsidRDefault="00B6251C" w:rsidP="00EE2E0D">
      <w:pPr>
        <w:tabs>
          <w:tab w:val="left" w:pos="567"/>
        </w:tabs>
        <w:autoSpaceDE w:val="0"/>
        <w:autoSpaceDN w:val="0"/>
        <w:adjustRightInd w:val="0"/>
        <w:ind w:left="567" w:hanging="567"/>
        <w:rPr>
          <w:i/>
          <w:color w:val="000000" w:themeColor="text1"/>
        </w:rPr>
      </w:pPr>
      <w:r w:rsidRPr="005D070C">
        <w:rPr>
          <w:rFonts w:eastAsia="Verdana" w:cs="Verdana"/>
          <w:bCs/>
          <w:color w:val="000000" w:themeColor="text1"/>
          <w:szCs w:val="20"/>
        </w:rPr>
        <w:t xml:space="preserve">(b) </w:t>
      </w:r>
      <w:r w:rsidRPr="005D070C">
        <w:rPr>
          <w:rFonts w:eastAsia="Verdana" w:cs="Verdana"/>
          <w:bCs/>
          <w:color w:val="000000" w:themeColor="text1"/>
          <w:szCs w:val="20"/>
        </w:rPr>
        <w:tab/>
        <w:t>Dodatkowe wytyczne dotyczące dróg kołowania są określone w „</w:t>
      </w:r>
      <w:r w:rsidRPr="005D070C">
        <w:rPr>
          <w:i/>
          <w:color w:val="000000" w:themeColor="text1"/>
        </w:rPr>
        <w:t>Podręczniku projektowania lotnisk”</w:t>
      </w:r>
      <w:r w:rsidRPr="005D070C">
        <w:rPr>
          <w:b/>
          <w:i/>
          <w:color w:val="000000" w:themeColor="text1"/>
        </w:rPr>
        <w:t xml:space="preserve"> </w:t>
      </w:r>
      <w:r w:rsidRPr="005D070C">
        <w:rPr>
          <w:color w:val="000000" w:themeColor="text1"/>
        </w:rPr>
        <w:t>(Doc 9157) Część 2 „</w:t>
      </w:r>
      <w:r w:rsidRPr="005D070C">
        <w:rPr>
          <w:i/>
          <w:color w:val="000000" w:themeColor="text1"/>
        </w:rPr>
        <w:t>Drogi kołowania, płyty postojowe i zatoki oczekiwania”.</w:t>
      </w:r>
    </w:p>
    <w:p w14:paraId="6C08D4B6"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92A743E" w14:textId="6DEC3877" w:rsidR="00C36D76" w:rsidRPr="009E064B" w:rsidRDefault="00F85C28" w:rsidP="00B06A9A">
      <w:pPr>
        <w:pStyle w:val="Nagwek4"/>
        <w:rPr>
          <w:color w:val="auto"/>
        </w:rPr>
      </w:pPr>
      <w:bookmarkStart w:id="1039" w:name="_Toc482886582"/>
      <w:bookmarkStart w:id="1040" w:name="_Toc12533011"/>
      <w:r w:rsidRPr="009E064B">
        <w:rPr>
          <w:color w:val="auto"/>
        </w:rPr>
        <w:t xml:space="preserve">CS ADR-DSN.D.250     </w:t>
      </w:r>
      <w:r w:rsidR="00C36D76" w:rsidRPr="009E064B">
        <w:rPr>
          <w:color w:val="auto"/>
        </w:rPr>
        <w:t>Łuki na drodze kołowania</w:t>
      </w:r>
      <w:bookmarkEnd w:id="1039"/>
      <w:bookmarkEnd w:id="1040"/>
    </w:p>
    <w:p w14:paraId="4CBA6270" w14:textId="6E818171"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55F3C74" w14:textId="55E85749"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Zalecane jest stosowane możliwie niewielu i jak najmniejszych zmian kierunku dróg kołowania. Promienie łuku powinny być dostosow</w:t>
      </w:r>
      <w:r w:rsidR="006609E2" w:rsidRPr="009E064B">
        <w:rPr>
          <w:rFonts w:cs="TimesNewRomanPS-ItalicMT"/>
          <w:iCs/>
          <w:szCs w:val="20"/>
        </w:rPr>
        <w:t xml:space="preserve">ane do możliwości manewrowych i </w:t>
      </w:r>
      <w:r w:rsidRPr="009E064B">
        <w:rPr>
          <w:rFonts w:cs="TimesNewRomanPS-ItalicMT"/>
          <w:iCs/>
          <w:szCs w:val="20"/>
        </w:rPr>
        <w:t>normalnych prędkości kołowania statku powietrznego, dla których droga kołowania jest przeznaczona.</w:t>
      </w:r>
    </w:p>
    <w:p w14:paraId="519EF8D8" w14:textId="293EFCAA" w:rsidR="00C36D76" w:rsidRPr="009E064B" w:rsidRDefault="00C36D76" w:rsidP="00B06A9A">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Łuki powinny być zaprojektowane w taki sposób, że jeżeli kabina pilota statku powietrznego znajduje się nad oznakowaniem linii środkowej drogi kołowania, to minimalna odstęp pomiędzy zewnętrznymi kołami głównego podwozia statku powietrznego, a krawędzią drogi kołowania nie powinien być mniejszy niż</w:t>
      </w:r>
      <w:r w:rsidR="0050660C" w:rsidRPr="009E064B">
        <w:rPr>
          <w:rFonts w:cs="TimesNewRomanPS-ItalicMT"/>
          <w:iCs/>
          <w:szCs w:val="20"/>
        </w:rPr>
        <w:t xml:space="preserve"> odległości podane w </w:t>
      </w:r>
      <w:hyperlink w:anchor="_CS_ADR-DSN.D.240_" w:history="1">
        <w:r w:rsidR="0050660C" w:rsidRPr="009E064B">
          <w:rPr>
            <w:rStyle w:val="Hipercze"/>
            <w:rFonts w:cs="TimesNewRomanPS-ItalicMT"/>
            <w:iCs/>
            <w:szCs w:val="20"/>
          </w:rPr>
          <w:t>CS </w:t>
        </w:r>
        <w:r w:rsidRPr="009E064B">
          <w:rPr>
            <w:rStyle w:val="Hipercze"/>
            <w:rFonts w:cs="TimesNewRomanPS-ItalicMT"/>
            <w:iCs/>
            <w:szCs w:val="20"/>
          </w:rPr>
          <w:t>ADR-DSN.D.240</w:t>
        </w:r>
      </w:hyperlink>
      <w:r w:rsidRPr="009E064B">
        <w:rPr>
          <w:rFonts w:cs="TimesNewRomanPS-ItalicMT"/>
          <w:iCs/>
          <w:szCs w:val="20"/>
        </w:rPr>
        <w:t>.</w:t>
      </w:r>
    </w:p>
    <w:p w14:paraId="6E5A5EBC" w14:textId="77777777" w:rsidR="00DA7DA1" w:rsidRPr="009E064B" w:rsidRDefault="00DA7DA1" w:rsidP="00133B99">
      <w:pPr>
        <w:pStyle w:val="Nagwek6"/>
      </w:pPr>
      <w:bookmarkStart w:id="1041" w:name="_Toc482886806"/>
      <w:bookmarkStart w:id="1042" w:name="_Toc12533012"/>
      <w:r w:rsidRPr="009E064B">
        <w:t>GM1 ADR-DSN.D.250     Łuki na drodze kołowania</w:t>
      </w:r>
      <w:bookmarkEnd w:id="1041"/>
      <w:bookmarkEnd w:id="1042"/>
    </w:p>
    <w:p w14:paraId="1BF14A69" w14:textId="5633A44E" w:rsidR="00DA7DA1" w:rsidRPr="009E064B" w:rsidRDefault="001F74A1" w:rsidP="00DA7DA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2C05838" w14:textId="77777777" w:rsidR="00DA7DA1" w:rsidRPr="009E064B" w:rsidRDefault="00DA7DA1" w:rsidP="00DA7DA1">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(a) </w:t>
      </w:r>
      <w:r w:rsidRPr="009E064B">
        <w:rPr>
          <w:rFonts w:cs="TimesNewRomanPS-BoldItalicMT"/>
          <w:bCs/>
          <w:iCs/>
          <w:szCs w:val="20"/>
        </w:rPr>
        <w:tab/>
        <w:t>Lokalizacja</w:t>
      </w:r>
      <w:r w:rsidRPr="009E064B">
        <w:rPr>
          <w:rFonts w:eastAsia="Verdana" w:cs="Verdana"/>
          <w:bCs/>
          <w:szCs w:val="20"/>
        </w:rPr>
        <w:t xml:space="preserve"> oznakowania poziomego linii środkowej drogi kołowania oraz świateł określona jest w </w:t>
      </w:r>
      <w:hyperlink w:anchor="_CS_ADR-DSN.L.555_" w:history="1">
        <w:r w:rsidRPr="009E064B">
          <w:rPr>
            <w:rStyle w:val="Hipercze"/>
            <w:rFonts w:eastAsia="Verdana" w:cs="Verdana"/>
            <w:bCs/>
            <w:szCs w:val="20"/>
          </w:rPr>
          <w:t>CS ADR-DSN.L.555</w:t>
        </w:r>
      </w:hyperlink>
      <w:r w:rsidRPr="009E064B">
        <w:rPr>
          <w:rFonts w:eastAsia="Verdana" w:cs="Verdana"/>
          <w:bCs/>
          <w:szCs w:val="20"/>
        </w:rPr>
        <w:t xml:space="preserve"> i w </w:t>
      </w:r>
      <w:hyperlink w:anchor="_CS_ADR-DSN.M.710_" w:history="1">
        <w:r w:rsidRPr="009E064B">
          <w:rPr>
            <w:rStyle w:val="Hipercze"/>
            <w:rFonts w:eastAsia="Verdana" w:cs="Verdana"/>
            <w:bCs/>
            <w:szCs w:val="20"/>
          </w:rPr>
          <w:t>CS ADR-DSN.M.710</w:t>
        </w:r>
      </w:hyperlink>
      <w:r w:rsidRPr="009E064B">
        <w:rPr>
          <w:rFonts w:eastAsia="Verdana" w:cs="Verdana"/>
          <w:bCs/>
          <w:szCs w:val="20"/>
        </w:rPr>
        <w:t>.</w:t>
      </w:r>
    </w:p>
    <w:p w14:paraId="7805070D" w14:textId="77777777" w:rsidR="00DA7DA1" w:rsidRPr="009E064B" w:rsidRDefault="00DA7DA1" w:rsidP="00DA7DA1">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Krzywe złożone mogą zmniejszyć lub wyeliminować potrzebę poszerzenia drogi kołowania.</w:t>
      </w:r>
    </w:p>
    <w:p w14:paraId="40E0114F" w14:textId="73EC6C17" w:rsidR="00061538" w:rsidRPr="009E064B" w:rsidRDefault="00DA7DA1" w:rsidP="00DA7DA1">
      <w:pPr>
        <w:tabs>
          <w:tab w:val="left" w:pos="567"/>
        </w:tabs>
        <w:autoSpaceDE w:val="0"/>
        <w:autoSpaceDN w:val="0"/>
        <w:adjustRightInd w:val="0"/>
        <w:spacing w:before="120" w:after="0"/>
        <w:ind w:left="567" w:hanging="567"/>
        <w:rPr>
          <w:rFonts w:cs="TimesNewRomanPS-ItalicMT"/>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 xml:space="preserve">Rysunek GM-D-1 przedstawia przykład poszerzenia drogi kołowania w celu zapewnienia </w:t>
      </w:r>
      <w:r w:rsidRPr="009E064B">
        <w:rPr>
          <w:rFonts w:eastAsia="Verdana" w:cs="Verdana"/>
          <w:bCs/>
          <w:szCs w:val="20"/>
        </w:rPr>
        <w:t>wymaganej</w:t>
      </w:r>
      <w:r w:rsidRPr="009E064B">
        <w:rPr>
          <w:rFonts w:eastAsia="Times New Roman,Italic" w:cs="Times New Roman,Italic"/>
          <w:iCs/>
          <w:szCs w:val="20"/>
        </w:rPr>
        <w:t xml:space="preserve"> odległości pomiędzy kołami a krawędzią drogi kołowania. Wytyczne dotyczące odpowiednich wymiarów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Pr="009E064B">
        <w:rPr>
          <w:rFonts w:eastAsia="Verdana" w:cs="Verdana"/>
          <w:bCs/>
          <w:szCs w:val="20"/>
        </w:rPr>
        <w:t>Część 2 „</w:t>
      </w:r>
      <w:r w:rsidRPr="009E064B">
        <w:rPr>
          <w:rFonts w:eastAsia="Verdana" w:cs="Verdana"/>
          <w:bCs/>
          <w:i/>
          <w:szCs w:val="20"/>
        </w:rPr>
        <w:t>Drogi kołowania, płyty postojowe oraz zatoki oczekiwania</w:t>
      </w:r>
      <w:r w:rsidRPr="009E064B">
        <w:rPr>
          <w:rFonts w:eastAsia="Verdana" w:cs="Verdana"/>
          <w:bCs/>
          <w:szCs w:val="20"/>
        </w:rPr>
        <w:t>”.</w:t>
      </w:r>
    </w:p>
    <w:p w14:paraId="00F4FEDD" w14:textId="02AE9033" w:rsidR="00061538" w:rsidRPr="009E064B" w:rsidRDefault="00061538" w:rsidP="00557C15">
      <w:pPr>
        <w:tabs>
          <w:tab w:val="left" w:pos="567"/>
        </w:tabs>
        <w:autoSpaceDE w:val="0"/>
        <w:autoSpaceDN w:val="0"/>
        <w:adjustRightInd w:val="0"/>
        <w:spacing w:after="0"/>
        <w:ind w:left="567" w:hanging="567"/>
        <w:jc w:val="right"/>
        <w:rPr>
          <w:szCs w:val="20"/>
        </w:rPr>
      </w:pPr>
      <w:r w:rsidRPr="009E064B">
        <w:rPr>
          <w:noProof/>
          <w:lang w:eastAsia="pl-PL"/>
        </w:rPr>
        <w:drawing>
          <wp:inline distT="0" distB="0" distL="0" distR="0" wp14:anchorId="69D29D07" wp14:editId="70241409">
            <wp:extent cx="5760720" cy="4399630"/>
            <wp:effectExtent l="0"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0720" cy="4399630"/>
                    </a:xfrm>
                    <a:prstGeom prst="rect">
                      <a:avLst/>
                    </a:prstGeom>
                    <a:noFill/>
                    <a:ln>
                      <a:noFill/>
                    </a:ln>
                  </pic:spPr>
                </pic:pic>
              </a:graphicData>
            </a:graphic>
          </wp:inline>
        </w:drawing>
      </w:r>
    </w:p>
    <w:p w14:paraId="1593D788" w14:textId="77777777" w:rsidR="003E0660" w:rsidRPr="005D070C" w:rsidRDefault="003E0660" w:rsidP="00B06A9A">
      <w:pPr>
        <w:spacing w:before="240"/>
        <w:jc w:val="center"/>
        <w:rPr>
          <w:rFonts w:eastAsia="Verdana" w:cs="Times New Roman"/>
          <w:b/>
          <w:iCs/>
          <w:sz w:val="20"/>
          <w:szCs w:val="20"/>
          <w:lang w:eastAsia="pl-PL"/>
        </w:rPr>
      </w:pPr>
      <w:bookmarkStart w:id="1043" w:name="Rysunek_3_2"/>
      <w:bookmarkStart w:id="1044" w:name="_Toc482886583"/>
      <w:r w:rsidRPr="005D070C">
        <w:rPr>
          <w:rFonts w:eastAsia="Verdana" w:cs="Times New Roman"/>
          <w:b/>
          <w:iCs/>
          <w:sz w:val="20"/>
          <w:szCs w:val="20"/>
          <w:lang w:eastAsia="pl-PL"/>
        </w:rPr>
        <w:t>Rysunek GM-D-1</w:t>
      </w:r>
      <w:bookmarkEnd w:id="1043"/>
      <w:r w:rsidRPr="005D070C">
        <w:rPr>
          <w:rFonts w:eastAsia="Verdana" w:cs="Times New Roman"/>
          <w:b/>
          <w:iCs/>
          <w:sz w:val="20"/>
          <w:szCs w:val="20"/>
          <w:lang w:eastAsia="pl-PL"/>
        </w:rPr>
        <w:t>.   Łuki na drodze kołowania</w:t>
      </w:r>
    </w:p>
    <w:p w14:paraId="63C03E1E" w14:textId="08F954A4" w:rsidR="0050660C" w:rsidRPr="009E064B" w:rsidRDefault="003E06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r w:rsidR="0050660C" w:rsidRPr="009E064B">
        <w:rPr>
          <w:rFonts w:asciiTheme="minorHAnsi" w:hAnsiTheme="minorHAnsi" w:cstheme="minorHAnsi"/>
          <w:i/>
          <w:sz w:val="16"/>
          <w:szCs w:val="16"/>
        </w:rPr>
        <w:t xml:space="preserve"> </w:t>
      </w:r>
    </w:p>
    <w:p w14:paraId="402646F8" w14:textId="20A2ADB0" w:rsidR="0050660C" w:rsidRPr="009E064B" w:rsidRDefault="0050660C">
      <w:pPr>
        <w:spacing w:after="0"/>
        <w:jc w:val="left"/>
        <w:rPr>
          <w:rFonts w:asciiTheme="minorHAnsi" w:eastAsia="Times New Roman" w:hAnsiTheme="minorHAnsi" w:cstheme="minorHAnsi"/>
          <w:i/>
          <w:sz w:val="16"/>
          <w:szCs w:val="16"/>
        </w:rPr>
      </w:pPr>
    </w:p>
    <w:p w14:paraId="06F4968D" w14:textId="19017313" w:rsidR="00C36D76" w:rsidRPr="009E064B" w:rsidRDefault="00F85C28" w:rsidP="00B06A9A">
      <w:pPr>
        <w:pStyle w:val="Nagwek4"/>
        <w:rPr>
          <w:color w:val="auto"/>
        </w:rPr>
      </w:pPr>
      <w:bookmarkStart w:id="1045" w:name="_Toc12533013"/>
      <w:r w:rsidRPr="009E064B">
        <w:rPr>
          <w:color w:val="auto"/>
        </w:rPr>
        <w:t xml:space="preserve">CS ADR-DSN.D.255     </w:t>
      </w:r>
      <w:r w:rsidR="00C36D76" w:rsidRPr="009E064B">
        <w:rPr>
          <w:color w:val="auto"/>
        </w:rPr>
        <w:t>Połączenia i skrzyżowania dróg kołowania</w:t>
      </w:r>
      <w:bookmarkEnd w:id="1044"/>
      <w:bookmarkEnd w:id="1045"/>
    </w:p>
    <w:p w14:paraId="23E5B366" w14:textId="301A1219"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040418A" w14:textId="1C67966D" w:rsidR="00C36D76" w:rsidRPr="009E064B" w:rsidRDefault="00C36D76" w:rsidP="00F85C2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W celu ułatwienia naziemnego ruchu statków powietrznych, zaleca się zapewnienie zaokrągleń przy połączeniu lub skrzyżowaniu dróg kołowania z drogami st</w:t>
      </w:r>
      <w:r w:rsidR="00C45559" w:rsidRPr="009E064B">
        <w:rPr>
          <w:rFonts w:cs="TimesNewRomanPS-ItalicMT"/>
          <w:iCs/>
          <w:szCs w:val="20"/>
        </w:rPr>
        <w:t>artowymi, płytami postojowymi i </w:t>
      </w:r>
      <w:r w:rsidRPr="009E064B">
        <w:rPr>
          <w:rFonts w:cs="TimesNewRomanPS-ItalicMT"/>
          <w:iCs/>
          <w:szCs w:val="20"/>
        </w:rPr>
        <w:t>innymi drogami kołowania.</w:t>
      </w:r>
    </w:p>
    <w:p w14:paraId="6C1F2C50" w14:textId="66BF2D4E"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Zaokrąglenia powinny być zaprojektowane w taki sposób, aby przy manewrach statków powietrznych na połączeniach lub skrzyżowaniach zachowane były minimalne odstępy pomiędzy kołami statku powietrznego a krawędzią drogi kołowania, zgodnie z p</w:t>
      </w:r>
      <w:r w:rsidR="006609E2" w:rsidRPr="009E064B">
        <w:rPr>
          <w:rFonts w:cs="TimesNewRomanPS-ItalicMT"/>
          <w:iCs/>
          <w:szCs w:val="20"/>
        </w:rPr>
        <w:t>rzepisami podanymi w CS </w:t>
      </w:r>
      <w:r w:rsidRPr="009E064B">
        <w:rPr>
          <w:rFonts w:cs="TimesNewRomanPS-ItalicMT"/>
          <w:iCs/>
          <w:szCs w:val="20"/>
        </w:rPr>
        <w:t>ADR-DSN.D.240.</w:t>
      </w:r>
    </w:p>
    <w:p w14:paraId="02F3E989" w14:textId="77777777" w:rsidR="001C0060" w:rsidRPr="009E064B" w:rsidRDefault="001C0060" w:rsidP="00133B99">
      <w:pPr>
        <w:pStyle w:val="Nagwek6"/>
      </w:pPr>
      <w:bookmarkStart w:id="1046" w:name="_Toc401058941"/>
      <w:bookmarkStart w:id="1047" w:name="_Toc482886807"/>
      <w:bookmarkStart w:id="1048" w:name="_Toc12533014"/>
      <w:bookmarkStart w:id="1049" w:name="_Toc482886584"/>
      <w:r w:rsidRPr="009E064B">
        <w:t>GM1 ADR-DSN.D.255</w:t>
      </w:r>
      <w:r w:rsidR="00D05B14" w:rsidRPr="009E064B">
        <w:t xml:space="preserve">     </w:t>
      </w:r>
      <w:r w:rsidRPr="009E064B">
        <w:t>Połączenia i skrzyżowania dróg kołowania</w:t>
      </w:r>
      <w:bookmarkEnd w:id="1046"/>
      <w:bookmarkEnd w:id="1047"/>
      <w:bookmarkEnd w:id="1048"/>
    </w:p>
    <w:p w14:paraId="6252D29B" w14:textId="71B43BFF"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E667A1A" w14:textId="77777777" w:rsidR="001C0060" w:rsidRPr="009E064B" w:rsidRDefault="001C0060"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 xml:space="preserve">Projektując poszerzenia należy wziąć pod uwagę długość odniesienia samolotu. Wytyczne dotyczące projektowania poszerzeń oraz definicja długości odniesienia samolotu znajdują się </w:t>
      </w:r>
      <w:r w:rsidRPr="009E064B">
        <w:rPr>
          <w:rFonts w:eastAsia="Verdana" w:cs="Verdana"/>
          <w:bCs/>
          <w:szCs w:val="20"/>
        </w:rPr>
        <w:t xml:space="preserve">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Pr="009E064B">
        <w:rPr>
          <w:rFonts w:eastAsia="Verdana" w:cs="Verdana"/>
          <w:bCs/>
          <w:szCs w:val="20"/>
        </w:rPr>
        <w:t>Część 2 „</w:t>
      </w:r>
      <w:r w:rsidRPr="009E064B">
        <w:rPr>
          <w:rFonts w:cs="Times New Roman"/>
          <w:i/>
          <w:szCs w:val="20"/>
        </w:rPr>
        <w:t>Drogi kołowania, płyty postojowe oraz zatoki oczekiwania</w:t>
      </w:r>
      <w:r w:rsidRPr="009E064B">
        <w:rPr>
          <w:rFonts w:eastAsia="Verdana" w:cs="Verdana"/>
          <w:bCs/>
          <w:szCs w:val="20"/>
        </w:rPr>
        <w:t>”.</w:t>
      </w:r>
    </w:p>
    <w:p w14:paraId="5C66F03D"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5AE9A68" w14:textId="0D75817C" w:rsidR="00A0045A" w:rsidRPr="009E064B" w:rsidRDefault="00F85C28" w:rsidP="00B06A9A">
      <w:pPr>
        <w:pStyle w:val="Nagwek4"/>
        <w:rPr>
          <w:color w:val="auto"/>
        </w:rPr>
      </w:pPr>
      <w:bookmarkStart w:id="1050" w:name="_Toc12533015"/>
      <w:r w:rsidRPr="009E064B">
        <w:rPr>
          <w:color w:val="auto"/>
        </w:rPr>
        <w:t xml:space="preserve">CS ADR-DSN.D.260     </w:t>
      </w:r>
      <w:r w:rsidR="00A0045A" w:rsidRPr="009E064B">
        <w:rPr>
          <w:color w:val="auto"/>
        </w:rPr>
        <w:t>Minimalne odległości separacji na drogach kołowania</w:t>
      </w:r>
      <w:bookmarkEnd w:id="1050"/>
    </w:p>
    <w:p w14:paraId="2666709C" w14:textId="664122A0" w:rsidR="00A0045A" w:rsidRPr="009E064B" w:rsidRDefault="00A0045A" w:rsidP="00B06A9A">
      <w:pPr>
        <w:tabs>
          <w:tab w:val="left" w:pos="567"/>
        </w:tabs>
        <w:autoSpaceDE w:val="0"/>
        <w:autoSpaceDN w:val="0"/>
        <w:adjustRightInd w:val="0"/>
        <w:ind w:left="567" w:hanging="567"/>
        <w:jc w:val="right"/>
        <w:rPr>
          <w:rFonts w:cs="Times New Roman"/>
          <w:i/>
          <w:szCs w:val="20"/>
        </w:rPr>
      </w:pPr>
      <w:r w:rsidRPr="009E064B">
        <w:rPr>
          <w:rFonts w:asciiTheme="minorHAnsi" w:hAnsiTheme="minorHAnsi" w:cstheme="minorHAnsi"/>
          <w:bCs/>
          <w:i/>
          <w:color w:val="1A171C"/>
          <w:sz w:val="16"/>
          <w:szCs w:val="20"/>
        </w:rPr>
        <w:t xml:space="preserve">Decyzja </w:t>
      </w:r>
      <w:r w:rsidR="00C45559" w:rsidRPr="009E064B">
        <w:rPr>
          <w:rFonts w:asciiTheme="minorHAnsi" w:hAnsiTheme="minorHAnsi" w:cstheme="minorHAnsi"/>
          <w:bCs/>
          <w:i/>
          <w:color w:val="1A171C"/>
          <w:sz w:val="16"/>
          <w:szCs w:val="20"/>
        </w:rPr>
        <w:t xml:space="preserve">ED </w:t>
      </w:r>
      <w:r w:rsidRPr="009E064B">
        <w:rPr>
          <w:rFonts w:asciiTheme="minorHAnsi" w:hAnsiTheme="minorHAnsi" w:cstheme="minorHAnsi"/>
          <w:bCs/>
          <w:i/>
          <w:color w:val="1A171C"/>
          <w:sz w:val="16"/>
          <w:szCs w:val="20"/>
        </w:rPr>
        <w:t>2015/001/R</w:t>
      </w:r>
    </w:p>
    <w:p w14:paraId="42FAC892" w14:textId="25F44E9D" w:rsidR="00A0045A" w:rsidRPr="009E064B" w:rsidRDefault="00A0045A"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minimalnej odległości separacji kołowania jest umożliwienie bezpiecznego użytkowania dróg kołowania, w tym dróg kołowania na stanowisko postojowe statku powietrznego, aby zapobiegać ewentualnym kolizjom z innymi statkami powietrznymi znajdującymi się na przylegających drogach startowych lub dro</w:t>
      </w:r>
      <w:r w:rsidR="009175CF" w:rsidRPr="009E064B">
        <w:rPr>
          <w:rFonts w:cs="TimesNewRomanPS-ItalicMT"/>
          <w:iCs/>
          <w:szCs w:val="20"/>
        </w:rPr>
        <w:t>gach kołowania, lub kolizjom ze </w:t>
      </w:r>
      <w:r w:rsidRPr="009E064B">
        <w:rPr>
          <w:rFonts w:cs="TimesNewRomanPS-ItalicMT"/>
          <w:iCs/>
          <w:szCs w:val="20"/>
        </w:rPr>
        <w:t>znajdującymi się w pobliżu obiektami.</w:t>
      </w:r>
    </w:p>
    <w:p w14:paraId="29ED4FD9" w14:textId="77777777" w:rsidR="00A0045A" w:rsidRPr="009E064B" w:rsidRDefault="00A0045A" w:rsidP="00B06A9A">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Odległość separacji pomiędzy linią środkową drogi kołowania a linią środkową drogi startowej, linią środkową równoległej drogi kołowania lub obiektem, powinna być, co najmniej równa odpowiedniej odległości podanej w Tabeli D-1.</w:t>
      </w:r>
    </w:p>
    <w:p w14:paraId="101D0443" w14:textId="77777777" w:rsidR="00A0045A" w:rsidRPr="009E064B" w:rsidRDefault="00A0045A" w:rsidP="00B06A9A">
      <w:pPr>
        <w:pStyle w:val="Tekstpodstawowy"/>
      </w:pPr>
    </w:p>
    <w:tbl>
      <w:tblPr>
        <w:tblW w:w="5081"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533"/>
        <w:gridCol w:w="521"/>
        <w:gridCol w:w="521"/>
        <w:gridCol w:w="520"/>
        <w:gridCol w:w="520"/>
        <w:gridCol w:w="520"/>
        <w:gridCol w:w="520"/>
        <w:gridCol w:w="520"/>
        <w:gridCol w:w="522"/>
        <w:gridCol w:w="1137"/>
        <w:gridCol w:w="1137"/>
        <w:gridCol w:w="1135"/>
        <w:gridCol w:w="1122"/>
      </w:tblGrid>
      <w:tr w:rsidR="00A0045A" w:rsidRPr="005D070C" w14:paraId="29F9EEB0" w14:textId="77777777" w:rsidTr="00DA7DA1">
        <w:tc>
          <w:tcPr>
            <w:tcW w:w="288" w:type="pct"/>
            <w:vMerge w:val="restart"/>
            <w:tcMar>
              <w:top w:w="57" w:type="dxa"/>
              <w:left w:w="0" w:type="dxa"/>
              <w:bottom w:w="57" w:type="dxa"/>
              <w:right w:w="0" w:type="dxa"/>
            </w:tcMar>
            <w:vAlign w:val="center"/>
          </w:tcPr>
          <w:bookmarkEnd w:id="1049"/>
          <w:p w14:paraId="03355913" w14:textId="77777777" w:rsidR="00C36D76" w:rsidRPr="005D070C" w:rsidRDefault="00A0045A" w:rsidP="00B06A9A">
            <w:pPr>
              <w:spacing w:after="0"/>
              <w:jc w:val="center"/>
              <w:rPr>
                <w:rFonts w:asciiTheme="minorHAnsi" w:hAnsiTheme="minorHAnsi" w:cstheme="minorHAnsi"/>
                <w:i/>
                <w:color w:val="000000" w:themeColor="text1"/>
                <w:sz w:val="20"/>
                <w:szCs w:val="20"/>
              </w:rPr>
            </w:pPr>
            <w:r w:rsidRPr="005D070C">
              <w:rPr>
                <w:rFonts w:asciiTheme="minorHAnsi" w:hAnsiTheme="minorHAnsi" w:cstheme="minorHAnsi"/>
                <w:color w:val="000000" w:themeColor="text1"/>
                <w:sz w:val="20"/>
                <w:szCs w:val="20"/>
              </w:rPr>
              <w:t>Lite</w:t>
            </w:r>
            <w:r w:rsidR="00C36D76" w:rsidRPr="005D070C">
              <w:rPr>
                <w:rFonts w:asciiTheme="minorHAnsi" w:hAnsiTheme="minorHAnsi" w:cstheme="minorHAnsi"/>
                <w:color w:val="000000" w:themeColor="text1"/>
                <w:sz w:val="20"/>
                <w:szCs w:val="20"/>
              </w:rPr>
              <w:t>ra kodu</w:t>
            </w:r>
          </w:p>
        </w:tc>
        <w:tc>
          <w:tcPr>
            <w:tcW w:w="2256" w:type="pct"/>
            <w:gridSpan w:val="8"/>
            <w:tcMar>
              <w:top w:w="113" w:type="dxa"/>
              <w:left w:w="28" w:type="dxa"/>
              <w:bottom w:w="113" w:type="dxa"/>
              <w:right w:w="28" w:type="dxa"/>
            </w:tcMar>
            <w:vAlign w:val="center"/>
          </w:tcPr>
          <w:p w14:paraId="30A6D8FD" w14:textId="77777777" w:rsidR="00C36D76" w:rsidRPr="005D070C" w:rsidRDefault="00C36D76" w:rsidP="00B06A9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Odległość pomiędzy linią środkową drogi kołowania a linią środkową drogi startowej</w:t>
            </w:r>
            <w:r w:rsidR="00A0045A" w:rsidRPr="005D070C">
              <w:rPr>
                <w:rFonts w:asciiTheme="minorHAnsi" w:hAnsiTheme="minorHAnsi" w:cstheme="minorHAnsi"/>
                <w:color w:val="000000" w:themeColor="text1"/>
                <w:sz w:val="20"/>
                <w:szCs w:val="20"/>
              </w:rPr>
              <w:t xml:space="preserve"> </w:t>
            </w:r>
            <w:r w:rsidRPr="005D070C">
              <w:rPr>
                <w:rFonts w:asciiTheme="minorHAnsi" w:hAnsiTheme="minorHAnsi" w:cstheme="minorHAnsi"/>
                <w:color w:val="000000" w:themeColor="text1"/>
                <w:sz w:val="20"/>
                <w:szCs w:val="20"/>
              </w:rPr>
              <w:t>(metry)</w:t>
            </w:r>
          </w:p>
        </w:tc>
        <w:tc>
          <w:tcPr>
            <w:tcW w:w="616" w:type="pct"/>
            <w:vMerge w:val="restart"/>
            <w:tcMar>
              <w:top w:w="57" w:type="dxa"/>
              <w:left w:w="28" w:type="dxa"/>
              <w:bottom w:w="57" w:type="dxa"/>
              <w:right w:w="28" w:type="dxa"/>
            </w:tcMar>
            <w:vAlign w:val="center"/>
          </w:tcPr>
          <w:p w14:paraId="0BDF2667" w14:textId="518C4E0E" w:rsidR="00C36D76" w:rsidRPr="005D070C" w:rsidRDefault="00C36D76" w:rsidP="00B06A9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 xml:space="preserve">Odległość pomiędzy liniami środkowymi dwóch sąsiednich dróg </w:t>
            </w:r>
            <w:r w:rsidR="009E2E6B" w:rsidRPr="005D070C">
              <w:rPr>
                <w:rFonts w:asciiTheme="minorHAnsi" w:hAnsiTheme="minorHAnsi" w:cstheme="minorHAnsi"/>
                <w:color w:val="000000" w:themeColor="text1"/>
                <w:sz w:val="20"/>
                <w:szCs w:val="20"/>
              </w:rPr>
              <w:br/>
            </w:r>
            <w:r w:rsidRPr="005D070C">
              <w:rPr>
                <w:rFonts w:asciiTheme="minorHAnsi" w:hAnsiTheme="minorHAnsi" w:cstheme="minorHAnsi"/>
                <w:color w:val="000000" w:themeColor="text1"/>
                <w:sz w:val="20"/>
                <w:szCs w:val="20"/>
              </w:rPr>
              <w:t>kołowania</w:t>
            </w:r>
          </w:p>
          <w:p w14:paraId="0AD0E249" w14:textId="77777777" w:rsidR="00C36D76" w:rsidRPr="005D070C" w:rsidRDefault="00C36D76" w:rsidP="00B06A9A">
            <w:pPr>
              <w:spacing w:after="0"/>
              <w:jc w:val="center"/>
              <w:rPr>
                <w:rFonts w:asciiTheme="minorHAnsi" w:hAnsiTheme="minorHAnsi" w:cstheme="minorHAnsi"/>
                <w:b/>
                <w:i/>
                <w:color w:val="000000" w:themeColor="text1"/>
                <w:sz w:val="20"/>
                <w:szCs w:val="20"/>
              </w:rPr>
            </w:pPr>
            <w:r w:rsidRPr="005D070C">
              <w:rPr>
                <w:rFonts w:asciiTheme="minorHAnsi" w:hAnsiTheme="minorHAnsi" w:cstheme="minorHAnsi"/>
                <w:i/>
                <w:color w:val="000000" w:themeColor="text1"/>
                <w:sz w:val="20"/>
                <w:szCs w:val="20"/>
              </w:rPr>
              <w:t>(metry)</w:t>
            </w:r>
          </w:p>
        </w:tc>
        <w:tc>
          <w:tcPr>
            <w:tcW w:w="616" w:type="pct"/>
            <w:vMerge w:val="restart"/>
            <w:tcMar>
              <w:top w:w="57" w:type="dxa"/>
              <w:left w:w="28" w:type="dxa"/>
              <w:bottom w:w="57" w:type="dxa"/>
              <w:right w:w="28" w:type="dxa"/>
            </w:tcMar>
            <w:vAlign w:val="center"/>
          </w:tcPr>
          <w:p w14:paraId="0A85CC16" w14:textId="002CDD8E" w:rsidR="00C36D76" w:rsidRPr="005D070C" w:rsidRDefault="00C36D76" w:rsidP="00B06A9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 xml:space="preserve">Odległość pomiędzy linią środkową drogi kołowania </w:t>
            </w:r>
            <w:r w:rsidR="001862F5" w:rsidRPr="005D070C">
              <w:rPr>
                <w:rFonts w:asciiTheme="minorHAnsi" w:hAnsiTheme="minorHAnsi" w:cstheme="minorHAnsi"/>
                <w:color w:val="000000" w:themeColor="text1"/>
                <w:sz w:val="20"/>
                <w:szCs w:val="20"/>
              </w:rPr>
              <w:br/>
            </w:r>
            <w:r w:rsidRPr="005D070C">
              <w:rPr>
                <w:rFonts w:asciiTheme="minorHAnsi" w:hAnsiTheme="minorHAnsi" w:cstheme="minorHAnsi"/>
                <w:color w:val="000000" w:themeColor="text1"/>
                <w:sz w:val="20"/>
                <w:szCs w:val="20"/>
              </w:rPr>
              <w:t>(innej niż droga na stanowisko postojowa) a</w:t>
            </w:r>
            <w:r w:rsidR="00C00F71" w:rsidRPr="005D070C">
              <w:rPr>
                <w:rFonts w:asciiTheme="minorHAnsi" w:hAnsiTheme="minorHAnsi" w:cstheme="minorHAnsi"/>
                <w:color w:val="000000" w:themeColor="text1"/>
                <w:sz w:val="20"/>
                <w:szCs w:val="20"/>
              </w:rPr>
              <w:t> </w:t>
            </w:r>
            <w:r w:rsidRPr="005D070C">
              <w:rPr>
                <w:rFonts w:asciiTheme="minorHAnsi" w:hAnsiTheme="minorHAnsi" w:cstheme="minorHAnsi"/>
                <w:color w:val="000000" w:themeColor="text1"/>
                <w:sz w:val="20"/>
                <w:szCs w:val="20"/>
              </w:rPr>
              <w:t>obiektem</w:t>
            </w:r>
          </w:p>
          <w:p w14:paraId="49F318FF" w14:textId="77777777" w:rsidR="00C36D76" w:rsidRPr="005D070C" w:rsidRDefault="00C36D76" w:rsidP="00B06A9A">
            <w:pPr>
              <w:spacing w:after="0"/>
              <w:jc w:val="center"/>
              <w:rPr>
                <w:rFonts w:asciiTheme="minorHAnsi" w:hAnsiTheme="minorHAnsi" w:cstheme="minorHAnsi"/>
                <w:i/>
                <w:color w:val="000000" w:themeColor="text1"/>
                <w:sz w:val="20"/>
                <w:szCs w:val="20"/>
              </w:rPr>
            </w:pPr>
            <w:r w:rsidRPr="005D070C">
              <w:rPr>
                <w:rFonts w:asciiTheme="minorHAnsi" w:hAnsiTheme="minorHAnsi" w:cstheme="minorHAnsi"/>
                <w:i/>
                <w:color w:val="000000" w:themeColor="text1"/>
                <w:sz w:val="20"/>
                <w:szCs w:val="20"/>
              </w:rPr>
              <w:t>(metry)</w:t>
            </w:r>
          </w:p>
        </w:tc>
        <w:tc>
          <w:tcPr>
            <w:tcW w:w="615" w:type="pct"/>
            <w:vMerge w:val="restart"/>
            <w:tcMar>
              <w:left w:w="0" w:type="dxa"/>
              <w:right w:w="0" w:type="dxa"/>
            </w:tcMar>
            <w:vAlign w:val="center"/>
          </w:tcPr>
          <w:p w14:paraId="0E12C089" w14:textId="77777777" w:rsidR="00C36D76" w:rsidRPr="005D070C" w:rsidRDefault="00C36D76" w:rsidP="00B06A9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Odległość pomiędzy liniami środkowymi dwó</w:t>
            </w:r>
            <w:r w:rsidR="00A0045A" w:rsidRPr="005D070C">
              <w:rPr>
                <w:rFonts w:asciiTheme="minorHAnsi" w:hAnsiTheme="minorHAnsi" w:cstheme="minorHAnsi"/>
                <w:color w:val="000000" w:themeColor="text1"/>
                <w:sz w:val="20"/>
                <w:szCs w:val="20"/>
              </w:rPr>
              <w:t xml:space="preserve">ch sąsiednich dróg kołowania na </w:t>
            </w:r>
            <w:r w:rsidRPr="005D070C">
              <w:rPr>
                <w:rFonts w:asciiTheme="minorHAnsi" w:hAnsiTheme="minorHAnsi" w:cstheme="minorHAnsi"/>
                <w:color w:val="000000" w:themeColor="text1"/>
                <w:sz w:val="20"/>
                <w:szCs w:val="20"/>
              </w:rPr>
              <w:t>stanowiska postojowe</w:t>
            </w:r>
          </w:p>
          <w:p w14:paraId="00710FB4" w14:textId="77777777" w:rsidR="00C36D76" w:rsidRPr="005D070C" w:rsidRDefault="00C36D76" w:rsidP="00B06A9A">
            <w:pPr>
              <w:spacing w:after="0"/>
              <w:jc w:val="center"/>
              <w:rPr>
                <w:rFonts w:asciiTheme="minorHAnsi" w:hAnsiTheme="minorHAnsi" w:cstheme="minorHAnsi"/>
                <w:i/>
                <w:color w:val="000000" w:themeColor="text1"/>
                <w:sz w:val="20"/>
                <w:szCs w:val="20"/>
              </w:rPr>
            </w:pPr>
            <w:r w:rsidRPr="005D070C">
              <w:rPr>
                <w:rFonts w:asciiTheme="minorHAnsi" w:hAnsiTheme="minorHAnsi" w:cstheme="minorHAnsi"/>
                <w:i/>
                <w:color w:val="000000" w:themeColor="text1"/>
                <w:sz w:val="20"/>
                <w:szCs w:val="20"/>
              </w:rPr>
              <w:t>(metry)</w:t>
            </w:r>
          </w:p>
        </w:tc>
        <w:tc>
          <w:tcPr>
            <w:tcW w:w="609" w:type="pct"/>
            <w:vMerge w:val="restart"/>
            <w:tcMar>
              <w:top w:w="57" w:type="dxa"/>
              <w:left w:w="0" w:type="dxa"/>
              <w:bottom w:w="57" w:type="dxa"/>
              <w:right w:w="0" w:type="dxa"/>
            </w:tcMar>
            <w:vAlign w:val="center"/>
          </w:tcPr>
          <w:p w14:paraId="0C742E42" w14:textId="5C83E3F0" w:rsidR="00C36D76" w:rsidRPr="005D070C" w:rsidRDefault="00C36D76" w:rsidP="00B06A9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Odległość pomiędzy linią środkową drogi kołowania na stanowisko postojowe a</w:t>
            </w:r>
            <w:r w:rsidR="00C00F71" w:rsidRPr="005D070C">
              <w:rPr>
                <w:rFonts w:asciiTheme="minorHAnsi" w:hAnsiTheme="minorHAnsi" w:cstheme="minorHAnsi"/>
                <w:color w:val="000000" w:themeColor="text1"/>
                <w:sz w:val="20"/>
                <w:szCs w:val="20"/>
              </w:rPr>
              <w:t> </w:t>
            </w:r>
            <w:r w:rsidRPr="005D070C">
              <w:rPr>
                <w:rFonts w:asciiTheme="minorHAnsi" w:hAnsiTheme="minorHAnsi" w:cstheme="minorHAnsi"/>
                <w:color w:val="000000" w:themeColor="text1"/>
                <w:sz w:val="20"/>
                <w:szCs w:val="20"/>
              </w:rPr>
              <w:t>obiektem</w:t>
            </w:r>
          </w:p>
          <w:p w14:paraId="601F407D" w14:textId="77777777" w:rsidR="00C36D76" w:rsidRPr="005D070C" w:rsidRDefault="00C36D76" w:rsidP="00B06A9A">
            <w:pPr>
              <w:spacing w:after="0"/>
              <w:jc w:val="center"/>
              <w:rPr>
                <w:rFonts w:asciiTheme="minorHAnsi" w:hAnsiTheme="minorHAnsi" w:cstheme="minorHAnsi"/>
                <w:i/>
                <w:color w:val="000000" w:themeColor="text1"/>
                <w:sz w:val="20"/>
                <w:szCs w:val="20"/>
              </w:rPr>
            </w:pPr>
            <w:r w:rsidRPr="005D070C">
              <w:rPr>
                <w:rFonts w:asciiTheme="minorHAnsi" w:hAnsiTheme="minorHAnsi" w:cstheme="minorHAnsi"/>
                <w:i/>
                <w:color w:val="000000" w:themeColor="text1"/>
                <w:sz w:val="20"/>
                <w:szCs w:val="20"/>
              </w:rPr>
              <w:t>(metry)</w:t>
            </w:r>
          </w:p>
        </w:tc>
      </w:tr>
      <w:tr w:rsidR="00FB199F" w:rsidRPr="005D070C" w14:paraId="30308E8A" w14:textId="77777777" w:rsidTr="00DA7DA1">
        <w:trPr>
          <w:trHeight w:val="1078"/>
        </w:trPr>
        <w:tc>
          <w:tcPr>
            <w:tcW w:w="288" w:type="pct"/>
            <w:vMerge/>
            <w:tcMar>
              <w:top w:w="57" w:type="dxa"/>
              <w:left w:w="28" w:type="dxa"/>
              <w:bottom w:w="57" w:type="dxa"/>
              <w:right w:w="28" w:type="dxa"/>
            </w:tcMar>
          </w:tcPr>
          <w:p w14:paraId="7446AE0D" w14:textId="77777777" w:rsidR="00C36D76" w:rsidRPr="005D070C" w:rsidRDefault="00C36D76" w:rsidP="00B06A9A">
            <w:pPr>
              <w:spacing w:after="0"/>
              <w:jc w:val="center"/>
              <w:rPr>
                <w:rFonts w:asciiTheme="minorHAnsi" w:hAnsiTheme="minorHAnsi" w:cstheme="minorHAnsi"/>
                <w:color w:val="000000" w:themeColor="text1"/>
                <w:sz w:val="20"/>
                <w:szCs w:val="20"/>
              </w:rPr>
            </w:pPr>
          </w:p>
        </w:tc>
        <w:tc>
          <w:tcPr>
            <w:tcW w:w="1128" w:type="pct"/>
            <w:gridSpan w:val="4"/>
            <w:tcMar>
              <w:top w:w="113" w:type="dxa"/>
              <w:left w:w="28" w:type="dxa"/>
              <w:bottom w:w="113" w:type="dxa"/>
              <w:right w:w="28" w:type="dxa"/>
            </w:tcMar>
            <w:vAlign w:val="center"/>
          </w:tcPr>
          <w:p w14:paraId="569019F0" w14:textId="77777777" w:rsidR="00C36D76" w:rsidRPr="005D070C" w:rsidRDefault="00C36D76" w:rsidP="009E2E6B">
            <w:pPr>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Drogi startowe przyrządowe</w:t>
            </w:r>
          </w:p>
          <w:p w14:paraId="713FF7B5" w14:textId="77777777" w:rsidR="00C36D76" w:rsidRPr="005D070C" w:rsidRDefault="00C36D76" w:rsidP="006553E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Cyfra kodu:</w:t>
            </w:r>
          </w:p>
        </w:tc>
        <w:tc>
          <w:tcPr>
            <w:tcW w:w="1128" w:type="pct"/>
            <w:gridSpan w:val="4"/>
            <w:tcMar>
              <w:top w:w="113" w:type="dxa"/>
              <w:left w:w="28" w:type="dxa"/>
              <w:bottom w:w="113" w:type="dxa"/>
              <w:right w:w="28" w:type="dxa"/>
            </w:tcMar>
            <w:vAlign w:val="center"/>
          </w:tcPr>
          <w:p w14:paraId="3E0ECDB2" w14:textId="77777777" w:rsidR="00C36D76" w:rsidRPr="005D070C" w:rsidRDefault="00C36D76" w:rsidP="009E2E6B">
            <w:pPr>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Drogi startowe nieprzyrządowe</w:t>
            </w:r>
          </w:p>
          <w:p w14:paraId="58F5F1B7" w14:textId="77777777" w:rsidR="00C36D76" w:rsidRPr="005D070C" w:rsidRDefault="00C36D76" w:rsidP="006553EA">
            <w:pPr>
              <w:spacing w:after="6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Cyfra kodu:</w:t>
            </w:r>
          </w:p>
        </w:tc>
        <w:tc>
          <w:tcPr>
            <w:tcW w:w="616" w:type="pct"/>
            <w:vMerge/>
            <w:tcMar>
              <w:top w:w="57" w:type="dxa"/>
              <w:left w:w="28" w:type="dxa"/>
              <w:bottom w:w="57" w:type="dxa"/>
              <w:right w:w="28" w:type="dxa"/>
            </w:tcMar>
          </w:tcPr>
          <w:p w14:paraId="6E46E154" w14:textId="77777777" w:rsidR="00C36D76" w:rsidRPr="005D070C" w:rsidRDefault="00C36D76" w:rsidP="00B06A9A">
            <w:pPr>
              <w:spacing w:after="0"/>
              <w:rPr>
                <w:rFonts w:asciiTheme="minorHAnsi" w:hAnsiTheme="minorHAnsi" w:cstheme="minorHAnsi"/>
                <w:color w:val="000000" w:themeColor="text1"/>
                <w:sz w:val="20"/>
                <w:szCs w:val="20"/>
              </w:rPr>
            </w:pPr>
          </w:p>
        </w:tc>
        <w:tc>
          <w:tcPr>
            <w:tcW w:w="616" w:type="pct"/>
            <w:vMerge/>
            <w:tcMar>
              <w:top w:w="57" w:type="dxa"/>
              <w:left w:w="28" w:type="dxa"/>
              <w:bottom w:w="57" w:type="dxa"/>
              <w:right w:w="28" w:type="dxa"/>
            </w:tcMar>
          </w:tcPr>
          <w:p w14:paraId="303F4A47" w14:textId="77777777" w:rsidR="00C36D76" w:rsidRPr="005D070C" w:rsidRDefault="00C36D76" w:rsidP="00B06A9A">
            <w:pPr>
              <w:spacing w:after="0"/>
              <w:rPr>
                <w:rFonts w:asciiTheme="minorHAnsi" w:hAnsiTheme="minorHAnsi" w:cstheme="minorHAnsi"/>
                <w:color w:val="000000" w:themeColor="text1"/>
                <w:sz w:val="20"/>
                <w:szCs w:val="20"/>
              </w:rPr>
            </w:pPr>
          </w:p>
        </w:tc>
        <w:tc>
          <w:tcPr>
            <w:tcW w:w="615" w:type="pct"/>
            <w:vMerge/>
          </w:tcPr>
          <w:p w14:paraId="07115BE4" w14:textId="77777777" w:rsidR="00C36D76" w:rsidRPr="005D070C" w:rsidRDefault="00C36D76" w:rsidP="00B06A9A">
            <w:pPr>
              <w:spacing w:after="0"/>
              <w:rPr>
                <w:rFonts w:asciiTheme="minorHAnsi" w:hAnsiTheme="minorHAnsi" w:cstheme="minorHAnsi"/>
                <w:color w:val="000000" w:themeColor="text1"/>
                <w:sz w:val="20"/>
                <w:szCs w:val="20"/>
              </w:rPr>
            </w:pPr>
          </w:p>
        </w:tc>
        <w:tc>
          <w:tcPr>
            <w:tcW w:w="609" w:type="pct"/>
            <w:vMerge/>
            <w:tcMar>
              <w:top w:w="57" w:type="dxa"/>
              <w:left w:w="28" w:type="dxa"/>
              <w:bottom w:w="57" w:type="dxa"/>
              <w:right w:w="28" w:type="dxa"/>
            </w:tcMar>
          </w:tcPr>
          <w:p w14:paraId="3FFEE1FD" w14:textId="77777777" w:rsidR="00C36D76" w:rsidRPr="005D070C" w:rsidRDefault="00C36D76" w:rsidP="00B06A9A">
            <w:pPr>
              <w:spacing w:after="0"/>
              <w:rPr>
                <w:rFonts w:asciiTheme="minorHAnsi" w:hAnsiTheme="minorHAnsi" w:cstheme="minorHAnsi"/>
                <w:color w:val="000000" w:themeColor="text1"/>
                <w:sz w:val="20"/>
                <w:szCs w:val="20"/>
              </w:rPr>
            </w:pPr>
          </w:p>
        </w:tc>
      </w:tr>
      <w:tr w:rsidR="00FB199F" w:rsidRPr="005D070C" w14:paraId="21875BA4" w14:textId="77777777" w:rsidTr="00DA7DA1">
        <w:trPr>
          <w:trHeight w:val="105"/>
        </w:trPr>
        <w:tc>
          <w:tcPr>
            <w:tcW w:w="288" w:type="pct"/>
            <w:vMerge/>
            <w:tcMar>
              <w:top w:w="57" w:type="dxa"/>
              <w:left w:w="28" w:type="dxa"/>
              <w:bottom w:w="57" w:type="dxa"/>
              <w:right w:w="28" w:type="dxa"/>
            </w:tcMar>
            <w:vAlign w:val="center"/>
          </w:tcPr>
          <w:p w14:paraId="51D8FFA0" w14:textId="77777777" w:rsidR="00C36D76" w:rsidRPr="005D070C" w:rsidRDefault="00C36D76" w:rsidP="00B06A9A">
            <w:pPr>
              <w:spacing w:after="0"/>
              <w:jc w:val="center"/>
              <w:rPr>
                <w:rFonts w:asciiTheme="minorHAnsi" w:hAnsiTheme="minorHAnsi" w:cstheme="minorHAnsi"/>
                <w:color w:val="000000" w:themeColor="text1"/>
                <w:sz w:val="20"/>
                <w:szCs w:val="20"/>
              </w:rPr>
            </w:pPr>
          </w:p>
        </w:tc>
        <w:tc>
          <w:tcPr>
            <w:tcW w:w="282" w:type="pct"/>
            <w:tcMar>
              <w:top w:w="57" w:type="dxa"/>
              <w:left w:w="0" w:type="dxa"/>
              <w:bottom w:w="57" w:type="dxa"/>
              <w:right w:w="0" w:type="dxa"/>
            </w:tcMar>
            <w:vAlign w:val="center"/>
          </w:tcPr>
          <w:p w14:paraId="0CD37F82"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1</w:t>
            </w:r>
          </w:p>
        </w:tc>
        <w:tc>
          <w:tcPr>
            <w:tcW w:w="282" w:type="pct"/>
            <w:tcMar>
              <w:top w:w="57" w:type="dxa"/>
              <w:left w:w="0" w:type="dxa"/>
              <w:bottom w:w="57" w:type="dxa"/>
              <w:right w:w="0" w:type="dxa"/>
            </w:tcMar>
            <w:vAlign w:val="center"/>
          </w:tcPr>
          <w:p w14:paraId="28CF64A9"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2</w:t>
            </w:r>
          </w:p>
        </w:tc>
        <w:tc>
          <w:tcPr>
            <w:tcW w:w="282" w:type="pct"/>
            <w:tcMar>
              <w:top w:w="57" w:type="dxa"/>
              <w:left w:w="0" w:type="dxa"/>
              <w:bottom w:w="57" w:type="dxa"/>
              <w:right w:w="0" w:type="dxa"/>
            </w:tcMar>
            <w:vAlign w:val="center"/>
          </w:tcPr>
          <w:p w14:paraId="37557758"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3</w:t>
            </w:r>
          </w:p>
        </w:tc>
        <w:tc>
          <w:tcPr>
            <w:tcW w:w="282" w:type="pct"/>
            <w:tcMar>
              <w:top w:w="57" w:type="dxa"/>
              <w:left w:w="0" w:type="dxa"/>
              <w:bottom w:w="57" w:type="dxa"/>
              <w:right w:w="0" w:type="dxa"/>
            </w:tcMar>
            <w:vAlign w:val="center"/>
          </w:tcPr>
          <w:p w14:paraId="64D03D8A"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4</w:t>
            </w:r>
          </w:p>
        </w:tc>
        <w:tc>
          <w:tcPr>
            <w:tcW w:w="282" w:type="pct"/>
            <w:tcMar>
              <w:top w:w="57" w:type="dxa"/>
              <w:left w:w="0" w:type="dxa"/>
              <w:bottom w:w="57" w:type="dxa"/>
              <w:right w:w="0" w:type="dxa"/>
            </w:tcMar>
            <w:vAlign w:val="center"/>
          </w:tcPr>
          <w:p w14:paraId="23D5B76B"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1</w:t>
            </w:r>
          </w:p>
        </w:tc>
        <w:tc>
          <w:tcPr>
            <w:tcW w:w="282" w:type="pct"/>
            <w:tcMar>
              <w:top w:w="57" w:type="dxa"/>
              <w:left w:w="0" w:type="dxa"/>
              <w:bottom w:w="57" w:type="dxa"/>
              <w:right w:w="0" w:type="dxa"/>
            </w:tcMar>
            <w:vAlign w:val="center"/>
          </w:tcPr>
          <w:p w14:paraId="58EA4701"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2</w:t>
            </w:r>
          </w:p>
        </w:tc>
        <w:tc>
          <w:tcPr>
            <w:tcW w:w="282" w:type="pct"/>
            <w:tcMar>
              <w:top w:w="57" w:type="dxa"/>
              <w:left w:w="0" w:type="dxa"/>
              <w:bottom w:w="57" w:type="dxa"/>
              <w:right w:w="0" w:type="dxa"/>
            </w:tcMar>
            <w:vAlign w:val="center"/>
          </w:tcPr>
          <w:p w14:paraId="2EB2E7FA"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3</w:t>
            </w:r>
          </w:p>
        </w:tc>
        <w:tc>
          <w:tcPr>
            <w:tcW w:w="283" w:type="pct"/>
            <w:tcMar>
              <w:top w:w="57" w:type="dxa"/>
              <w:left w:w="0" w:type="dxa"/>
              <w:bottom w:w="57" w:type="dxa"/>
              <w:right w:w="0" w:type="dxa"/>
            </w:tcMar>
            <w:vAlign w:val="center"/>
          </w:tcPr>
          <w:p w14:paraId="207A29E7"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4</w:t>
            </w:r>
          </w:p>
        </w:tc>
        <w:tc>
          <w:tcPr>
            <w:tcW w:w="616" w:type="pct"/>
            <w:vMerge/>
            <w:tcMar>
              <w:top w:w="57" w:type="dxa"/>
              <w:left w:w="28" w:type="dxa"/>
              <w:bottom w:w="57" w:type="dxa"/>
              <w:right w:w="28" w:type="dxa"/>
            </w:tcMar>
          </w:tcPr>
          <w:p w14:paraId="09A652B8" w14:textId="77777777" w:rsidR="00C36D76" w:rsidRPr="005D070C" w:rsidRDefault="00C36D76" w:rsidP="00B06A9A">
            <w:pPr>
              <w:spacing w:after="0"/>
              <w:jc w:val="center"/>
              <w:rPr>
                <w:rFonts w:asciiTheme="minorHAnsi" w:hAnsiTheme="minorHAnsi" w:cstheme="minorHAnsi"/>
                <w:color w:val="000000" w:themeColor="text1"/>
                <w:sz w:val="20"/>
                <w:szCs w:val="20"/>
              </w:rPr>
            </w:pPr>
          </w:p>
        </w:tc>
        <w:tc>
          <w:tcPr>
            <w:tcW w:w="616" w:type="pct"/>
            <w:vMerge/>
            <w:tcMar>
              <w:top w:w="57" w:type="dxa"/>
              <w:left w:w="28" w:type="dxa"/>
              <w:bottom w:w="57" w:type="dxa"/>
              <w:right w:w="28" w:type="dxa"/>
            </w:tcMar>
          </w:tcPr>
          <w:p w14:paraId="4CC0217A" w14:textId="77777777" w:rsidR="00C36D76" w:rsidRPr="005D070C" w:rsidRDefault="00C36D76" w:rsidP="00B06A9A">
            <w:pPr>
              <w:spacing w:after="0"/>
              <w:jc w:val="center"/>
              <w:rPr>
                <w:rFonts w:asciiTheme="minorHAnsi" w:hAnsiTheme="minorHAnsi" w:cstheme="minorHAnsi"/>
                <w:color w:val="000000" w:themeColor="text1"/>
                <w:sz w:val="20"/>
                <w:szCs w:val="20"/>
              </w:rPr>
            </w:pPr>
          </w:p>
        </w:tc>
        <w:tc>
          <w:tcPr>
            <w:tcW w:w="615" w:type="pct"/>
            <w:vMerge/>
          </w:tcPr>
          <w:p w14:paraId="01D12DD9" w14:textId="77777777" w:rsidR="00C36D76" w:rsidRPr="005D070C" w:rsidRDefault="00C36D76" w:rsidP="00B06A9A">
            <w:pPr>
              <w:spacing w:after="0"/>
              <w:jc w:val="center"/>
              <w:rPr>
                <w:rFonts w:asciiTheme="minorHAnsi" w:hAnsiTheme="minorHAnsi" w:cstheme="minorHAnsi"/>
                <w:color w:val="000000" w:themeColor="text1"/>
                <w:sz w:val="20"/>
                <w:szCs w:val="20"/>
              </w:rPr>
            </w:pPr>
          </w:p>
        </w:tc>
        <w:tc>
          <w:tcPr>
            <w:tcW w:w="609" w:type="pct"/>
            <w:vMerge/>
            <w:tcMar>
              <w:top w:w="57" w:type="dxa"/>
              <w:left w:w="28" w:type="dxa"/>
              <w:bottom w:w="57" w:type="dxa"/>
              <w:right w:w="28" w:type="dxa"/>
            </w:tcMar>
          </w:tcPr>
          <w:p w14:paraId="50D8A038" w14:textId="77777777" w:rsidR="00C36D76" w:rsidRPr="005D070C" w:rsidRDefault="00C36D76" w:rsidP="00B06A9A">
            <w:pPr>
              <w:spacing w:after="0"/>
              <w:jc w:val="center"/>
              <w:rPr>
                <w:rFonts w:asciiTheme="minorHAnsi" w:hAnsiTheme="minorHAnsi" w:cstheme="minorHAnsi"/>
                <w:color w:val="000000" w:themeColor="text1"/>
                <w:sz w:val="20"/>
                <w:szCs w:val="20"/>
              </w:rPr>
            </w:pPr>
          </w:p>
        </w:tc>
      </w:tr>
      <w:tr w:rsidR="00FB199F" w:rsidRPr="005D070C" w14:paraId="76590BB5" w14:textId="77777777" w:rsidTr="00DA7DA1">
        <w:tc>
          <w:tcPr>
            <w:tcW w:w="288" w:type="pct"/>
            <w:tcMar>
              <w:top w:w="28" w:type="dxa"/>
              <w:left w:w="28" w:type="dxa"/>
              <w:bottom w:w="28" w:type="dxa"/>
              <w:right w:w="28" w:type="dxa"/>
            </w:tcMar>
            <w:vAlign w:val="center"/>
          </w:tcPr>
          <w:p w14:paraId="60D35E25"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(1)</w:t>
            </w:r>
          </w:p>
        </w:tc>
        <w:tc>
          <w:tcPr>
            <w:tcW w:w="282" w:type="pct"/>
            <w:tcMar>
              <w:top w:w="28" w:type="dxa"/>
              <w:left w:w="0" w:type="dxa"/>
              <w:bottom w:w="28" w:type="dxa"/>
              <w:right w:w="0" w:type="dxa"/>
            </w:tcMar>
            <w:vAlign w:val="center"/>
          </w:tcPr>
          <w:p w14:paraId="27CF9ACB"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(2)</w:t>
            </w:r>
          </w:p>
        </w:tc>
        <w:tc>
          <w:tcPr>
            <w:tcW w:w="282" w:type="pct"/>
            <w:tcMar>
              <w:top w:w="28" w:type="dxa"/>
              <w:left w:w="0" w:type="dxa"/>
              <w:bottom w:w="28" w:type="dxa"/>
              <w:right w:w="0" w:type="dxa"/>
            </w:tcMar>
            <w:vAlign w:val="center"/>
          </w:tcPr>
          <w:p w14:paraId="6272200E"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(3)</w:t>
            </w:r>
          </w:p>
        </w:tc>
        <w:tc>
          <w:tcPr>
            <w:tcW w:w="282" w:type="pct"/>
            <w:tcMar>
              <w:top w:w="28" w:type="dxa"/>
              <w:left w:w="0" w:type="dxa"/>
              <w:bottom w:w="28" w:type="dxa"/>
              <w:right w:w="0" w:type="dxa"/>
            </w:tcMar>
            <w:vAlign w:val="center"/>
          </w:tcPr>
          <w:p w14:paraId="4F44AFC6"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(4)</w:t>
            </w:r>
          </w:p>
        </w:tc>
        <w:tc>
          <w:tcPr>
            <w:tcW w:w="282" w:type="pct"/>
            <w:tcMar>
              <w:top w:w="28" w:type="dxa"/>
              <w:left w:w="0" w:type="dxa"/>
              <w:bottom w:w="28" w:type="dxa"/>
              <w:right w:w="0" w:type="dxa"/>
            </w:tcMar>
            <w:vAlign w:val="center"/>
          </w:tcPr>
          <w:p w14:paraId="19180DFB"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(5)</w:t>
            </w:r>
          </w:p>
        </w:tc>
        <w:tc>
          <w:tcPr>
            <w:tcW w:w="282" w:type="pct"/>
            <w:tcMar>
              <w:top w:w="28" w:type="dxa"/>
              <w:left w:w="0" w:type="dxa"/>
              <w:bottom w:w="28" w:type="dxa"/>
              <w:right w:w="0" w:type="dxa"/>
            </w:tcMar>
            <w:vAlign w:val="center"/>
          </w:tcPr>
          <w:p w14:paraId="4ADD21DC"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(6)</w:t>
            </w:r>
          </w:p>
        </w:tc>
        <w:tc>
          <w:tcPr>
            <w:tcW w:w="282" w:type="pct"/>
            <w:tcMar>
              <w:top w:w="28" w:type="dxa"/>
              <w:left w:w="0" w:type="dxa"/>
              <w:bottom w:w="28" w:type="dxa"/>
              <w:right w:w="0" w:type="dxa"/>
            </w:tcMar>
            <w:vAlign w:val="center"/>
          </w:tcPr>
          <w:p w14:paraId="2068E04C"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(7)</w:t>
            </w:r>
          </w:p>
        </w:tc>
        <w:tc>
          <w:tcPr>
            <w:tcW w:w="282" w:type="pct"/>
            <w:tcMar>
              <w:top w:w="28" w:type="dxa"/>
              <w:left w:w="0" w:type="dxa"/>
              <w:bottom w:w="28" w:type="dxa"/>
              <w:right w:w="0" w:type="dxa"/>
            </w:tcMar>
            <w:vAlign w:val="center"/>
          </w:tcPr>
          <w:p w14:paraId="7271823F"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(8)</w:t>
            </w:r>
          </w:p>
        </w:tc>
        <w:tc>
          <w:tcPr>
            <w:tcW w:w="283" w:type="pct"/>
            <w:tcMar>
              <w:top w:w="28" w:type="dxa"/>
              <w:left w:w="0" w:type="dxa"/>
              <w:bottom w:w="28" w:type="dxa"/>
              <w:right w:w="0" w:type="dxa"/>
            </w:tcMar>
            <w:vAlign w:val="center"/>
          </w:tcPr>
          <w:p w14:paraId="079EA566"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(9)</w:t>
            </w:r>
          </w:p>
        </w:tc>
        <w:tc>
          <w:tcPr>
            <w:tcW w:w="616" w:type="pct"/>
            <w:tcMar>
              <w:top w:w="28" w:type="dxa"/>
              <w:left w:w="28" w:type="dxa"/>
              <w:bottom w:w="28" w:type="dxa"/>
              <w:right w:w="28" w:type="dxa"/>
            </w:tcMar>
            <w:vAlign w:val="center"/>
          </w:tcPr>
          <w:p w14:paraId="6C3BECEE"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(10)</w:t>
            </w:r>
          </w:p>
        </w:tc>
        <w:tc>
          <w:tcPr>
            <w:tcW w:w="616" w:type="pct"/>
            <w:tcMar>
              <w:top w:w="28" w:type="dxa"/>
              <w:left w:w="28" w:type="dxa"/>
              <w:bottom w:w="28" w:type="dxa"/>
              <w:right w:w="28" w:type="dxa"/>
            </w:tcMar>
            <w:vAlign w:val="center"/>
          </w:tcPr>
          <w:p w14:paraId="51FD4D1D"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(11)</w:t>
            </w:r>
          </w:p>
        </w:tc>
        <w:tc>
          <w:tcPr>
            <w:tcW w:w="615" w:type="pct"/>
            <w:tcMar>
              <w:top w:w="28" w:type="dxa"/>
              <w:left w:w="28" w:type="dxa"/>
              <w:bottom w:w="28" w:type="dxa"/>
              <w:right w:w="28" w:type="dxa"/>
            </w:tcMar>
          </w:tcPr>
          <w:p w14:paraId="7D8425AD"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(12)</w:t>
            </w:r>
          </w:p>
        </w:tc>
        <w:tc>
          <w:tcPr>
            <w:tcW w:w="609" w:type="pct"/>
            <w:tcMar>
              <w:top w:w="28" w:type="dxa"/>
              <w:left w:w="28" w:type="dxa"/>
              <w:bottom w:w="28" w:type="dxa"/>
              <w:right w:w="28" w:type="dxa"/>
            </w:tcMar>
            <w:vAlign w:val="center"/>
          </w:tcPr>
          <w:p w14:paraId="51A65D60" w14:textId="77777777" w:rsidR="00C36D76" w:rsidRPr="005D070C" w:rsidRDefault="00C36D76" w:rsidP="00B06A9A">
            <w:pPr>
              <w:spacing w:after="0"/>
              <w:jc w:val="center"/>
              <w:rPr>
                <w:rFonts w:asciiTheme="minorHAnsi" w:hAnsiTheme="minorHAnsi" w:cstheme="minorHAnsi"/>
                <w:color w:val="000000" w:themeColor="text1"/>
                <w:sz w:val="18"/>
                <w:szCs w:val="20"/>
              </w:rPr>
            </w:pPr>
            <w:r w:rsidRPr="005D070C">
              <w:rPr>
                <w:rFonts w:asciiTheme="minorHAnsi" w:hAnsiTheme="minorHAnsi" w:cstheme="minorHAnsi"/>
                <w:color w:val="000000" w:themeColor="text1"/>
                <w:sz w:val="18"/>
                <w:szCs w:val="20"/>
              </w:rPr>
              <w:t>(13)</w:t>
            </w:r>
          </w:p>
        </w:tc>
      </w:tr>
      <w:tr w:rsidR="00FB199F" w:rsidRPr="005D070C" w14:paraId="22BAFD50" w14:textId="77777777" w:rsidTr="00DA7DA1">
        <w:tc>
          <w:tcPr>
            <w:tcW w:w="288" w:type="pct"/>
            <w:tcMar>
              <w:top w:w="142" w:type="dxa"/>
              <w:left w:w="28" w:type="dxa"/>
              <w:bottom w:w="142" w:type="dxa"/>
              <w:right w:w="28" w:type="dxa"/>
            </w:tcMar>
            <w:vAlign w:val="center"/>
          </w:tcPr>
          <w:p w14:paraId="512304CE"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A</w:t>
            </w:r>
          </w:p>
        </w:tc>
        <w:tc>
          <w:tcPr>
            <w:tcW w:w="282" w:type="pct"/>
            <w:tcMar>
              <w:top w:w="142" w:type="dxa"/>
              <w:left w:w="0" w:type="dxa"/>
              <w:bottom w:w="142" w:type="dxa"/>
              <w:right w:w="0" w:type="dxa"/>
            </w:tcMar>
            <w:vAlign w:val="center"/>
          </w:tcPr>
          <w:p w14:paraId="477C3BF6" w14:textId="72A81D15"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77.5</w:t>
            </w:r>
          </w:p>
        </w:tc>
        <w:tc>
          <w:tcPr>
            <w:tcW w:w="282" w:type="pct"/>
            <w:tcMar>
              <w:top w:w="142" w:type="dxa"/>
              <w:left w:w="0" w:type="dxa"/>
              <w:bottom w:w="142" w:type="dxa"/>
              <w:right w:w="0" w:type="dxa"/>
            </w:tcMar>
            <w:vAlign w:val="center"/>
          </w:tcPr>
          <w:p w14:paraId="04152024" w14:textId="0476BD69" w:rsidR="00FB199F"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77.5</w:t>
            </w:r>
          </w:p>
        </w:tc>
        <w:tc>
          <w:tcPr>
            <w:tcW w:w="282" w:type="pct"/>
            <w:tcMar>
              <w:top w:w="142" w:type="dxa"/>
              <w:left w:w="0" w:type="dxa"/>
              <w:bottom w:w="142" w:type="dxa"/>
              <w:right w:w="0" w:type="dxa"/>
            </w:tcMar>
            <w:vAlign w:val="center"/>
          </w:tcPr>
          <w:p w14:paraId="397EBB67"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4DE82C58" w14:textId="5707B0DC"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5EFA0236"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37.5</w:t>
            </w:r>
          </w:p>
        </w:tc>
        <w:tc>
          <w:tcPr>
            <w:tcW w:w="282" w:type="pct"/>
            <w:tcMar>
              <w:top w:w="142" w:type="dxa"/>
              <w:left w:w="0" w:type="dxa"/>
              <w:bottom w:w="142" w:type="dxa"/>
              <w:right w:w="0" w:type="dxa"/>
            </w:tcMar>
            <w:vAlign w:val="center"/>
          </w:tcPr>
          <w:p w14:paraId="3833AE14"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47.5</w:t>
            </w:r>
          </w:p>
        </w:tc>
        <w:tc>
          <w:tcPr>
            <w:tcW w:w="282" w:type="pct"/>
            <w:tcMar>
              <w:top w:w="142" w:type="dxa"/>
              <w:left w:w="0" w:type="dxa"/>
              <w:bottom w:w="142" w:type="dxa"/>
              <w:right w:w="0" w:type="dxa"/>
            </w:tcMar>
            <w:vAlign w:val="center"/>
          </w:tcPr>
          <w:p w14:paraId="31AA14A7" w14:textId="04F9A0C4"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3" w:type="pct"/>
            <w:tcMar>
              <w:top w:w="142" w:type="dxa"/>
              <w:left w:w="0" w:type="dxa"/>
              <w:bottom w:w="142" w:type="dxa"/>
              <w:right w:w="0" w:type="dxa"/>
            </w:tcMar>
            <w:vAlign w:val="center"/>
          </w:tcPr>
          <w:p w14:paraId="64E706E9" w14:textId="65B69649"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616" w:type="pct"/>
            <w:tcMar>
              <w:top w:w="142" w:type="dxa"/>
              <w:left w:w="28" w:type="dxa"/>
              <w:bottom w:w="142" w:type="dxa"/>
              <w:right w:w="28" w:type="dxa"/>
            </w:tcMar>
            <w:vAlign w:val="center"/>
          </w:tcPr>
          <w:p w14:paraId="0E00F3FC"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23</w:t>
            </w:r>
          </w:p>
        </w:tc>
        <w:tc>
          <w:tcPr>
            <w:tcW w:w="616" w:type="pct"/>
            <w:tcMar>
              <w:top w:w="142" w:type="dxa"/>
              <w:left w:w="28" w:type="dxa"/>
              <w:bottom w:w="142" w:type="dxa"/>
              <w:right w:w="28" w:type="dxa"/>
            </w:tcMar>
            <w:vAlign w:val="center"/>
          </w:tcPr>
          <w:p w14:paraId="559CCE22"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15.5</w:t>
            </w:r>
          </w:p>
        </w:tc>
        <w:tc>
          <w:tcPr>
            <w:tcW w:w="615" w:type="pct"/>
            <w:tcMar>
              <w:top w:w="142" w:type="dxa"/>
              <w:left w:w="28" w:type="dxa"/>
              <w:bottom w:w="142" w:type="dxa"/>
              <w:right w:w="28" w:type="dxa"/>
            </w:tcMar>
            <w:vAlign w:val="center"/>
          </w:tcPr>
          <w:p w14:paraId="7B9CC20B" w14:textId="186B6D3C" w:rsidR="00C36D76" w:rsidRPr="005D070C" w:rsidRDefault="00C36D76"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19</w:t>
            </w:r>
            <w:r w:rsidR="00FB199F" w:rsidRPr="005D070C">
              <w:rPr>
                <w:rFonts w:asciiTheme="minorHAnsi" w:hAnsiTheme="minorHAnsi" w:cstheme="minorHAnsi"/>
                <w:color w:val="000000" w:themeColor="text1"/>
                <w:sz w:val="20"/>
                <w:szCs w:val="20"/>
              </w:rPr>
              <w:t>.</w:t>
            </w:r>
            <w:r w:rsidRPr="005D070C">
              <w:rPr>
                <w:rFonts w:asciiTheme="minorHAnsi" w:hAnsiTheme="minorHAnsi" w:cstheme="minorHAnsi"/>
                <w:color w:val="000000" w:themeColor="text1"/>
                <w:sz w:val="20"/>
                <w:szCs w:val="20"/>
              </w:rPr>
              <w:t>5</w:t>
            </w:r>
          </w:p>
        </w:tc>
        <w:tc>
          <w:tcPr>
            <w:tcW w:w="609" w:type="pct"/>
            <w:tcMar>
              <w:top w:w="142" w:type="dxa"/>
              <w:left w:w="28" w:type="dxa"/>
              <w:bottom w:w="142" w:type="dxa"/>
              <w:right w:w="28" w:type="dxa"/>
            </w:tcMar>
            <w:vAlign w:val="center"/>
          </w:tcPr>
          <w:p w14:paraId="47CD1C14"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12</w:t>
            </w:r>
          </w:p>
        </w:tc>
      </w:tr>
      <w:tr w:rsidR="00FB199F" w:rsidRPr="005D070C" w14:paraId="021636D1" w14:textId="77777777" w:rsidTr="00DA7DA1">
        <w:tc>
          <w:tcPr>
            <w:tcW w:w="288" w:type="pct"/>
            <w:tcMar>
              <w:top w:w="142" w:type="dxa"/>
              <w:left w:w="28" w:type="dxa"/>
              <w:bottom w:w="142" w:type="dxa"/>
              <w:right w:w="28" w:type="dxa"/>
            </w:tcMar>
            <w:vAlign w:val="center"/>
          </w:tcPr>
          <w:p w14:paraId="7A94BBED" w14:textId="77777777" w:rsidR="00C36D76" w:rsidRPr="005D070C" w:rsidRDefault="00C36D76" w:rsidP="00B06A9A">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B</w:t>
            </w:r>
          </w:p>
        </w:tc>
        <w:tc>
          <w:tcPr>
            <w:tcW w:w="282" w:type="pct"/>
            <w:tcMar>
              <w:top w:w="142" w:type="dxa"/>
              <w:left w:w="0" w:type="dxa"/>
              <w:bottom w:w="142" w:type="dxa"/>
              <w:right w:w="0" w:type="dxa"/>
            </w:tcMar>
            <w:vAlign w:val="center"/>
          </w:tcPr>
          <w:p w14:paraId="36FA7972" w14:textId="600DBA25" w:rsidR="00FB199F"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82</w:t>
            </w:r>
          </w:p>
        </w:tc>
        <w:tc>
          <w:tcPr>
            <w:tcW w:w="282" w:type="pct"/>
            <w:tcMar>
              <w:top w:w="142" w:type="dxa"/>
              <w:left w:w="0" w:type="dxa"/>
              <w:bottom w:w="142" w:type="dxa"/>
              <w:right w:w="0" w:type="dxa"/>
            </w:tcMar>
            <w:vAlign w:val="center"/>
          </w:tcPr>
          <w:p w14:paraId="4211D81D" w14:textId="20BFA04D" w:rsidR="00FB199F"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82</w:t>
            </w:r>
          </w:p>
        </w:tc>
        <w:tc>
          <w:tcPr>
            <w:tcW w:w="282" w:type="pct"/>
            <w:tcMar>
              <w:top w:w="142" w:type="dxa"/>
              <w:left w:w="0" w:type="dxa"/>
              <w:bottom w:w="142" w:type="dxa"/>
              <w:right w:w="0" w:type="dxa"/>
            </w:tcMar>
            <w:vAlign w:val="center"/>
          </w:tcPr>
          <w:p w14:paraId="419CB83C" w14:textId="69E35F00" w:rsidR="00FB199F"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152</w:t>
            </w:r>
          </w:p>
        </w:tc>
        <w:tc>
          <w:tcPr>
            <w:tcW w:w="282" w:type="pct"/>
            <w:tcMar>
              <w:top w:w="142" w:type="dxa"/>
              <w:left w:w="0" w:type="dxa"/>
              <w:bottom w:w="142" w:type="dxa"/>
              <w:right w:w="0" w:type="dxa"/>
            </w:tcMar>
            <w:vAlign w:val="center"/>
          </w:tcPr>
          <w:p w14:paraId="3454BE9F" w14:textId="6EFB84B9"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3221B806"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42</w:t>
            </w:r>
          </w:p>
        </w:tc>
        <w:tc>
          <w:tcPr>
            <w:tcW w:w="282" w:type="pct"/>
            <w:tcMar>
              <w:top w:w="142" w:type="dxa"/>
              <w:left w:w="0" w:type="dxa"/>
              <w:bottom w:w="142" w:type="dxa"/>
              <w:right w:w="0" w:type="dxa"/>
            </w:tcMar>
            <w:vAlign w:val="center"/>
          </w:tcPr>
          <w:p w14:paraId="529D84FC"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52</w:t>
            </w:r>
          </w:p>
        </w:tc>
        <w:tc>
          <w:tcPr>
            <w:tcW w:w="282" w:type="pct"/>
            <w:tcMar>
              <w:top w:w="142" w:type="dxa"/>
              <w:left w:w="0" w:type="dxa"/>
              <w:bottom w:w="142" w:type="dxa"/>
              <w:right w:w="0" w:type="dxa"/>
            </w:tcMar>
            <w:vAlign w:val="center"/>
          </w:tcPr>
          <w:p w14:paraId="0003AA57" w14:textId="7707493B" w:rsidR="00FB199F"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87</w:t>
            </w:r>
          </w:p>
        </w:tc>
        <w:tc>
          <w:tcPr>
            <w:tcW w:w="283" w:type="pct"/>
            <w:tcMar>
              <w:top w:w="142" w:type="dxa"/>
              <w:left w:w="0" w:type="dxa"/>
              <w:bottom w:w="142" w:type="dxa"/>
              <w:right w:w="0" w:type="dxa"/>
            </w:tcMar>
            <w:vAlign w:val="center"/>
          </w:tcPr>
          <w:p w14:paraId="27AA8993" w14:textId="269AB5D2" w:rsidR="00C36D76" w:rsidRPr="005D070C" w:rsidRDefault="00FB199F"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616" w:type="pct"/>
            <w:tcMar>
              <w:top w:w="142" w:type="dxa"/>
              <w:left w:w="28" w:type="dxa"/>
              <w:bottom w:w="142" w:type="dxa"/>
              <w:right w:w="28" w:type="dxa"/>
            </w:tcMar>
            <w:vAlign w:val="center"/>
          </w:tcPr>
          <w:p w14:paraId="546C8832"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32</w:t>
            </w:r>
          </w:p>
        </w:tc>
        <w:tc>
          <w:tcPr>
            <w:tcW w:w="616" w:type="pct"/>
            <w:tcMar>
              <w:top w:w="142" w:type="dxa"/>
              <w:left w:w="28" w:type="dxa"/>
              <w:bottom w:w="142" w:type="dxa"/>
              <w:right w:w="28" w:type="dxa"/>
            </w:tcMar>
            <w:vAlign w:val="center"/>
          </w:tcPr>
          <w:p w14:paraId="62B1CBE1"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20</w:t>
            </w:r>
          </w:p>
        </w:tc>
        <w:tc>
          <w:tcPr>
            <w:tcW w:w="615" w:type="pct"/>
            <w:tcMar>
              <w:top w:w="142" w:type="dxa"/>
              <w:left w:w="28" w:type="dxa"/>
              <w:bottom w:w="142" w:type="dxa"/>
              <w:right w:w="28" w:type="dxa"/>
            </w:tcMar>
            <w:vAlign w:val="center"/>
          </w:tcPr>
          <w:p w14:paraId="59E75380" w14:textId="5BB37D23" w:rsidR="00C36D76" w:rsidRPr="005D070C" w:rsidRDefault="00C36D76"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28</w:t>
            </w:r>
            <w:r w:rsidR="00FB199F" w:rsidRPr="005D070C">
              <w:rPr>
                <w:rFonts w:asciiTheme="minorHAnsi" w:hAnsiTheme="minorHAnsi" w:cstheme="minorHAnsi"/>
                <w:color w:val="000000" w:themeColor="text1"/>
                <w:sz w:val="20"/>
                <w:szCs w:val="20"/>
              </w:rPr>
              <w:t>.</w:t>
            </w:r>
            <w:r w:rsidRPr="005D070C">
              <w:rPr>
                <w:rFonts w:asciiTheme="minorHAnsi" w:hAnsiTheme="minorHAnsi" w:cstheme="minorHAnsi"/>
                <w:color w:val="000000" w:themeColor="text1"/>
                <w:sz w:val="20"/>
                <w:szCs w:val="20"/>
              </w:rPr>
              <w:t>5</w:t>
            </w:r>
          </w:p>
        </w:tc>
        <w:tc>
          <w:tcPr>
            <w:tcW w:w="609" w:type="pct"/>
            <w:tcMar>
              <w:top w:w="142" w:type="dxa"/>
              <w:left w:w="28" w:type="dxa"/>
              <w:bottom w:w="142" w:type="dxa"/>
              <w:right w:w="28" w:type="dxa"/>
            </w:tcMar>
            <w:vAlign w:val="center"/>
          </w:tcPr>
          <w:p w14:paraId="1A7B2A65" w14:textId="77777777" w:rsidR="00C36D76" w:rsidRPr="005D070C" w:rsidRDefault="00C36D76" w:rsidP="00B06A9A">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16.5</w:t>
            </w:r>
          </w:p>
        </w:tc>
      </w:tr>
      <w:tr w:rsidR="00FB199F" w:rsidRPr="005D070C" w14:paraId="204E5E1F" w14:textId="77777777" w:rsidTr="00DA7DA1">
        <w:tc>
          <w:tcPr>
            <w:tcW w:w="288" w:type="pct"/>
            <w:tcMar>
              <w:top w:w="142" w:type="dxa"/>
              <w:left w:w="28" w:type="dxa"/>
              <w:bottom w:w="142" w:type="dxa"/>
              <w:right w:w="28" w:type="dxa"/>
            </w:tcMar>
            <w:vAlign w:val="center"/>
          </w:tcPr>
          <w:p w14:paraId="2941A666" w14:textId="77777777" w:rsidR="00FB199F" w:rsidRPr="005D070C" w:rsidRDefault="00FB199F" w:rsidP="00FB199F">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C</w:t>
            </w:r>
          </w:p>
        </w:tc>
        <w:tc>
          <w:tcPr>
            <w:tcW w:w="282" w:type="pct"/>
            <w:tcMar>
              <w:top w:w="142" w:type="dxa"/>
              <w:left w:w="0" w:type="dxa"/>
              <w:bottom w:w="142" w:type="dxa"/>
              <w:right w:w="0" w:type="dxa"/>
            </w:tcMar>
            <w:vAlign w:val="center"/>
          </w:tcPr>
          <w:p w14:paraId="569972EB" w14:textId="5CFB6A4A"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88</w:t>
            </w:r>
          </w:p>
        </w:tc>
        <w:tc>
          <w:tcPr>
            <w:tcW w:w="282" w:type="pct"/>
            <w:tcMar>
              <w:top w:w="142" w:type="dxa"/>
              <w:left w:w="0" w:type="dxa"/>
              <w:bottom w:w="142" w:type="dxa"/>
              <w:right w:w="0" w:type="dxa"/>
            </w:tcMar>
          </w:tcPr>
          <w:p w14:paraId="57DA8660" w14:textId="1F5FB292"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88</w:t>
            </w:r>
          </w:p>
        </w:tc>
        <w:tc>
          <w:tcPr>
            <w:tcW w:w="282" w:type="pct"/>
            <w:tcMar>
              <w:top w:w="142" w:type="dxa"/>
              <w:left w:w="0" w:type="dxa"/>
              <w:bottom w:w="142" w:type="dxa"/>
              <w:right w:w="0" w:type="dxa"/>
            </w:tcMar>
            <w:vAlign w:val="center"/>
          </w:tcPr>
          <w:p w14:paraId="7561E504" w14:textId="37A0EE34"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158</w:t>
            </w:r>
          </w:p>
        </w:tc>
        <w:tc>
          <w:tcPr>
            <w:tcW w:w="282" w:type="pct"/>
            <w:tcMar>
              <w:top w:w="142" w:type="dxa"/>
              <w:left w:w="0" w:type="dxa"/>
              <w:bottom w:w="142" w:type="dxa"/>
              <w:right w:w="0" w:type="dxa"/>
            </w:tcMar>
            <w:vAlign w:val="center"/>
          </w:tcPr>
          <w:p w14:paraId="479BC9FB" w14:textId="00FBF0A2"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158</w:t>
            </w:r>
          </w:p>
        </w:tc>
        <w:tc>
          <w:tcPr>
            <w:tcW w:w="282" w:type="pct"/>
            <w:tcMar>
              <w:top w:w="142" w:type="dxa"/>
              <w:left w:w="0" w:type="dxa"/>
              <w:bottom w:w="142" w:type="dxa"/>
              <w:right w:w="0" w:type="dxa"/>
            </w:tcMar>
            <w:vAlign w:val="center"/>
          </w:tcPr>
          <w:p w14:paraId="3EA08204" w14:textId="5596B9EB"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48</w:t>
            </w:r>
          </w:p>
        </w:tc>
        <w:tc>
          <w:tcPr>
            <w:tcW w:w="282" w:type="pct"/>
            <w:tcMar>
              <w:top w:w="142" w:type="dxa"/>
              <w:left w:w="0" w:type="dxa"/>
              <w:bottom w:w="142" w:type="dxa"/>
              <w:right w:w="0" w:type="dxa"/>
            </w:tcMar>
            <w:vAlign w:val="center"/>
          </w:tcPr>
          <w:p w14:paraId="2EA8B982" w14:textId="2CC45E53"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48</w:t>
            </w:r>
          </w:p>
        </w:tc>
        <w:tc>
          <w:tcPr>
            <w:tcW w:w="282" w:type="pct"/>
            <w:tcMar>
              <w:top w:w="142" w:type="dxa"/>
              <w:left w:w="0" w:type="dxa"/>
              <w:bottom w:w="142" w:type="dxa"/>
              <w:right w:w="0" w:type="dxa"/>
            </w:tcMar>
            <w:vAlign w:val="center"/>
          </w:tcPr>
          <w:p w14:paraId="19E172D7"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93</w:t>
            </w:r>
          </w:p>
        </w:tc>
        <w:tc>
          <w:tcPr>
            <w:tcW w:w="283" w:type="pct"/>
            <w:tcMar>
              <w:top w:w="142" w:type="dxa"/>
              <w:left w:w="0" w:type="dxa"/>
              <w:bottom w:w="142" w:type="dxa"/>
              <w:right w:w="0" w:type="dxa"/>
            </w:tcMar>
            <w:vAlign w:val="center"/>
          </w:tcPr>
          <w:p w14:paraId="78FF67EF" w14:textId="408252D4"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93</w:t>
            </w:r>
          </w:p>
        </w:tc>
        <w:tc>
          <w:tcPr>
            <w:tcW w:w="616" w:type="pct"/>
            <w:tcMar>
              <w:top w:w="142" w:type="dxa"/>
              <w:left w:w="28" w:type="dxa"/>
              <w:bottom w:w="142" w:type="dxa"/>
              <w:right w:w="28" w:type="dxa"/>
            </w:tcMar>
            <w:vAlign w:val="center"/>
          </w:tcPr>
          <w:p w14:paraId="7943471D"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44</w:t>
            </w:r>
          </w:p>
        </w:tc>
        <w:tc>
          <w:tcPr>
            <w:tcW w:w="616" w:type="pct"/>
            <w:tcMar>
              <w:top w:w="142" w:type="dxa"/>
              <w:left w:w="28" w:type="dxa"/>
              <w:bottom w:w="142" w:type="dxa"/>
              <w:right w:w="28" w:type="dxa"/>
            </w:tcMar>
            <w:vAlign w:val="center"/>
          </w:tcPr>
          <w:p w14:paraId="250C1727"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26</w:t>
            </w:r>
          </w:p>
        </w:tc>
        <w:tc>
          <w:tcPr>
            <w:tcW w:w="615" w:type="pct"/>
            <w:tcMar>
              <w:top w:w="142" w:type="dxa"/>
              <w:left w:w="28" w:type="dxa"/>
              <w:bottom w:w="142" w:type="dxa"/>
              <w:right w:w="28" w:type="dxa"/>
            </w:tcMar>
            <w:vAlign w:val="center"/>
          </w:tcPr>
          <w:p w14:paraId="5BE0F122" w14:textId="01434472"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40.5</w:t>
            </w:r>
          </w:p>
        </w:tc>
        <w:tc>
          <w:tcPr>
            <w:tcW w:w="609" w:type="pct"/>
            <w:tcMar>
              <w:top w:w="142" w:type="dxa"/>
              <w:left w:w="28" w:type="dxa"/>
              <w:bottom w:w="142" w:type="dxa"/>
              <w:right w:w="28" w:type="dxa"/>
            </w:tcMar>
            <w:vAlign w:val="center"/>
          </w:tcPr>
          <w:p w14:paraId="5F8F8782" w14:textId="77BD0223"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22.5</w:t>
            </w:r>
          </w:p>
        </w:tc>
      </w:tr>
      <w:tr w:rsidR="00FB199F" w:rsidRPr="005D070C" w14:paraId="3893B3A0" w14:textId="77777777" w:rsidTr="00DA7DA1">
        <w:tc>
          <w:tcPr>
            <w:tcW w:w="288" w:type="pct"/>
            <w:tcMar>
              <w:top w:w="142" w:type="dxa"/>
              <w:left w:w="28" w:type="dxa"/>
              <w:bottom w:w="142" w:type="dxa"/>
              <w:right w:w="28" w:type="dxa"/>
            </w:tcMar>
            <w:vAlign w:val="center"/>
          </w:tcPr>
          <w:p w14:paraId="797D8135" w14:textId="77777777" w:rsidR="00FB199F" w:rsidRPr="005D070C" w:rsidRDefault="00FB199F" w:rsidP="00FB199F">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D</w:t>
            </w:r>
          </w:p>
        </w:tc>
        <w:tc>
          <w:tcPr>
            <w:tcW w:w="282" w:type="pct"/>
            <w:tcMar>
              <w:top w:w="142" w:type="dxa"/>
              <w:left w:w="0" w:type="dxa"/>
              <w:bottom w:w="142" w:type="dxa"/>
              <w:right w:w="0" w:type="dxa"/>
            </w:tcMar>
            <w:vAlign w:val="center"/>
          </w:tcPr>
          <w:p w14:paraId="5ED2C610" w14:textId="40E4FCBC"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57053EBC" w14:textId="2BC08553"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7F4493DA" w14:textId="130E3A51"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166</w:t>
            </w:r>
          </w:p>
        </w:tc>
        <w:tc>
          <w:tcPr>
            <w:tcW w:w="282" w:type="pct"/>
            <w:tcMar>
              <w:top w:w="142" w:type="dxa"/>
              <w:left w:w="0" w:type="dxa"/>
              <w:bottom w:w="142" w:type="dxa"/>
              <w:right w:w="0" w:type="dxa"/>
            </w:tcMar>
            <w:vAlign w:val="center"/>
          </w:tcPr>
          <w:p w14:paraId="04E8FF12" w14:textId="03A0F0F6"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166</w:t>
            </w:r>
          </w:p>
        </w:tc>
        <w:tc>
          <w:tcPr>
            <w:tcW w:w="282" w:type="pct"/>
            <w:tcMar>
              <w:top w:w="142" w:type="dxa"/>
              <w:left w:w="0" w:type="dxa"/>
              <w:bottom w:w="142" w:type="dxa"/>
              <w:right w:w="0" w:type="dxa"/>
            </w:tcMar>
            <w:vAlign w:val="center"/>
          </w:tcPr>
          <w:p w14:paraId="798E062A" w14:textId="13C79081"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588F750A" w14:textId="69FF660C"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1289DD2C"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101</w:t>
            </w:r>
          </w:p>
        </w:tc>
        <w:tc>
          <w:tcPr>
            <w:tcW w:w="283" w:type="pct"/>
            <w:tcMar>
              <w:top w:w="142" w:type="dxa"/>
              <w:left w:w="0" w:type="dxa"/>
              <w:bottom w:w="142" w:type="dxa"/>
              <w:right w:w="0" w:type="dxa"/>
            </w:tcMar>
            <w:vAlign w:val="center"/>
          </w:tcPr>
          <w:p w14:paraId="4DF6A0F9"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101</w:t>
            </w:r>
          </w:p>
        </w:tc>
        <w:tc>
          <w:tcPr>
            <w:tcW w:w="616" w:type="pct"/>
            <w:tcMar>
              <w:top w:w="142" w:type="dxa"/>
              <w:left w:w="28" w:type="dxa"/>
              <w:bottom w:w="142" w:type="dxa"/>
              <w:right w:w="28" w:type="dxa"/>
            </w:tcMar>
            <w:vAlign w:val="center"/>
          </w:tcPr>
          <w:p w14:paraId="098A4EF2"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63</w:t>
            </w:r>
          </w:p>
        </w:tc>
        <w:tc>
          <w:tcPr>
            <w:tcW w:w="616" w:type="pct"/>
            <w:tcMar>
              <w:top w:w="142" w:type="dxa"/>
              <w:left w:w="28" w:type="dxa"/>
              <w:bottom w:w="142" w:type="dxa"/>
              <w:right w:w="28" w:type="dxa"/>
            </w:tcMar>
            <w:vAlign w:val="center"/>
          </w:tcPr>
          <w:p w14:paraId="1A034F44"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37</w:t>
            </w:r>
          </w:p>
        </w:tc>
        <w:tc>
          <w:tcPr>
            <w:tcW w:w="615" w:type="pct"/>
            <w:tcMar>
              <w:top w:w="142" w:type="dxa"/>
              <w:left w:w="28" w:type="dxa"/>
              <w:bottom w:w="142" w:type="dxa"/>
              <w:right w:w="28" w:type="dxa"/>
            </w:tcMar>
            <w:vAlign w:val="center"/>
          </w:tcPr>
          <w:p w14:paraId="0C04A3C5" w14:textId="3E482096"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59.5</w:t>
            </w:r>
          </w:p>
        </w:tc>
        <w:tc>
          <w:tcPr>
            <w:tcW w:w="609" w:type="pct"/>
            <w:tcMar>
              <w:top w:w="142" w:type="dxa"/>
              <w:left w:w="28" w:type="dxa"/>
              <w:bottom w:w="142" w:type="dxa"/>
              <w:right w:w="28" w:type="dxa"/>
            </w:tcMar>
            <w:vAlign w:val="center"/>
          </w:tcPr>
          <w:p w14:paraId="290B7BA8" w14:textId="1FB4D1EE"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33.5</w:t>
            </w:r>
          </w:p>
        </w:tc>
      </w:tr>
      <w:tr w:rsidR="00FB199F" w:rsidRPr="005D070C" w14:paraId="149EEE68" w14:textId="77777777" w:rsidTr="00DA7DA1">
        <w:tc>
          <w:tcPr>
            <w:tcW w:w="288" w:type="pct"/>
            <w:tcMar>
              <w:top w:w="142" w:type="dxa"/>
              <w:left w:w="28" w:type="dxa"/>
              <w:bottom w:w="142" w:type="dxa"/>
              <w:right w:w="28" w:type="dxa"/>
            </w:tcMar>
            <w:vAlign w:val="center"/>
          </w:tcPr>
          <w:p w14:paraId="155EC191" w14:textId="77777777" w:rsidR="00FB199F" w:rsidRPr="005D070C" w:rsidRDefault="00FB199F" w:rsidP="00FB199F">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E</w:t>
            </w:r>
          </w:p>
        </w:tc>
        <w:tc>
          <w:tcPr>
            <w:tcW w:w="282" w:type="pct"/>
            <w:tcMar>
              <w:top w:w="142" w:type="dxa"/>
              <w:left w:w="0" w:type="dxa"/>
              <w:bottom w:w="142" w:type="dxa"/>
              <w:right w:w="0" w:type="dxa"/>
            </w:tcMar>
            <w:vAlign w:val="center"/>
          </w:tcPr>
          <w:p w14:paraId="6F34933E" w14:textId="1AD9F97A"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4F019ADF" w14:textId="37447871"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tcPr>
          <w:p w14:paraId="0B9F45D7" w14:textId="0020FE88"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172.5</w:t>
            </w:r>
          </w:p>
        </w:tc>
        <w:tc>
          <w:tcPr>
            <w:tcW w:w="282" w:type="pct"/>
            <w:tcMar>
              <w:top w:w="142" w:type="dxa"/>
              <w:left w:w="0" w:type="dxa"/>
              <w:bottom w:w="142" w:type="dxa"/>
              <w:right w:w="0" w:type="dxa"/>
            </w:tcMar>
            <w:vAlign w:val="center"/>
          </w:tcPr>
          <w:p w14:paraId="78470100" w14:textId="5A863FDB"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172.5</w:t>
            </w:r>
          </w:p>
        </w:tc>
        <w:tc>
          <w:tcPr>
            <w:tcW w:w="282" w:type="pct"/>
            <w:tcMar>
              <w:top w:w="142" w:type="dxa"/>
              <w:left w:w="0" w:type="dxa"/>
              <w:bottom w:w="142" w:type="dxa"/>
              <w:right w:w="0" w:type="dxa"/>
            </w:tcMar>
            <w:vAlign w:val="center"/>
          </w:tcPr>
          <w:p w14:paraId="56FE4A2B" w14:textId="5619E9E4"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7470467C" w14:textId="3B2EC444"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tcPr>
          <w:p w14:paraId="124CEE59" w14:textId="013F9262" w:rsidR="00FB199F" w:rsidRPr="005D070C" w:rsidRDefault="00DA7DA1"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10</w:t>
            </w:r>
            <w:r w:rsidR="00FB199F" w:rsidRPr="005D070C">
              <w:rPr>
                <w:rFonts w:asciiTheme="minorHAnsi" w:hAnsiTheme="minorHAnsi" w:cstheme="minorHAnsi"/>
                <w:color w:val="000000" w:themeColor="text1"/>
                <w:sz w:val="20"/>
                <w:szCs w:val="20"/>
              </w:rPr>
              <w:t>7.5</w:t>
            </w:r>
          </w:p>
        </w:tc>
        <w:tc>
          <w:tcPr>
            <w:tcW w:w="283" w:type="pct"/>
            <w:tcMar>
              <w:top w:w="142" w:type="dxa"/>
              <w:left w:w="0" w:type="dxa"/>
              <w:bottom w:w="142" w:type="dxa"/>
              <w:right w:w="0" w:type="dxa"/>
            </w:tcMar>
            <w:vAlign w:val="center"/>
          </w:tcPr>
          <w:p w14:paraId="2C608401"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107.5</w:t>
            </w:r>
          </w:p>
        </w:tc>
        <w:tc>
          <w:tcPr>
            <w:tcW w:w="616" w:type="pct"/>
            <w:tcMar>
              <w:top w:w="142" w:type="dxa"/>
              <w:left w:w="28" w:type="dxa"/>
              <w:bottom w:w="142" w:type="dxa"/>
              <w:right w:w="28" w:type="dxa"/>
            </w:tcMar>
            <w:vAlign w:val="center"/>
          </w:tcPr>
          <w:p w14:paraId="0DB4F2A2"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76</w:t>
            </w:r>
          </w:p>
        </w:tc>
        <w:tc>
          <w:tcPr>
            <w:tcW w:w="616" w:type="pct"/>
            <w:tcMar>
              <w:top w:w="142" w:type="dxa"/>
              <w:left w:w="28" w:type="dxa"/>
              <w:bottom w:w="142" w:type="dxa"/>
              <w:right w:w="28" w:type="dxa"/>
            </w:tcMar>
            <w:vAlign w:val="center"/>
          </w:tcPr>
          <w:p w14:paraId="71CCE347" w14:textId="63141C50"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43.5</w:t>
            </w:r>
          </w:p>
        </w:tc>
        <w:tc>
          <w:tcPr>
            <w:tcW w:w="615" w:type="pct"/>
            <w:tcMar>
              <w:top w:w="142" w:type="dxa"/>
              <w:left w:w="28" w:type="dxa"/>
              <w:bottom w:w="142" w:type="dxa"/>
              <w:right w:w="28" w:type="dxa"/>
            </w:tcMar>
            <w:vAlign w:val="center"/>
          </w:tcPr>
          <w:p w14:paraId="5C37FDFF" w14:textId="31AFEC91"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72.5</w:t>
            </w:r>
          </w:p>
        </w:tc>
        <w:tc>
          <w:tcPr>
            <w:tcW w:w="609" w:type="pct"/>
            <w:tcMar>
              <w:top w:w="142" w:type="dxa"/>
              <w:left w:w="28" w:type="dxa"/>
              <w:bottom w:w="142" w:type="dxa"/>
              <w:right w:w="28" w:type="dxa"/>
            </w:tcMar>
            <w:vAlign w:val="center"/>
          </w:tcPr>
          <w:p w14:paraId="6B180C5B"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40</w:t>
            </w:r>
          </w:p>
        </w:tc>
      </w:tr>
      <w:tr w:rsidR="00FB199F" w:rsidRPr="005D070C" w14:paraId="3F26AAE3" w14:textId="77777777" w:rsidTr="00DA7DA1">
        <w:tc>
          <w:tcPr>
            <w:tcW w:w="288" w:type="pct"/>
            <w:tcMar>
              <w:top w:w="142" w:type="dxa"/>
              <w:left w:w="28" w:type="dxa"/>
              <w:bottom w:w="142" w:type="dxa"/>
              <w:right w:w="28" w:type="dxa"/>
            </w:tcMar>
            <w:vAlign w:val="center"/>
          </w:tcPr>
          <w:p w14:paraId="302CBC43" w14:textId="77777777" w:rsidR="00FB199F" w:rsidRPr="005D070C" w:rsidRDefault="00FB199F" w:rsidP="00FB199F">
            <w:pPr>
              <w:spacing w:after="0"/>
              <w:jc w:val="center"/>
              <w:rPr>
                <w:rFonts w:asciiTheme="minorHAnsi" w:hAnsiTheme="minorHAnsi" w:cstheme="minorHAnsi"/>
                <w:b/>
                <w:color w:val="000000" w:themeColor="text1"/>
                <w:sz w:val="20"/>
                <w:szCs w:val="20"/>
              </w:rPr>
            </w:pPr>
            <w:r w:rsidRPr="005D070C">
              <w:rPr>
                <w:rFonts w:asciiTheme="minorHAnsi" w:hAnsiTheme="minorHAnsi" w:cstheme="minorHAnsi"/>
                <w:b/>
                <w:color w:val="000000" w:themeColor="text1"/>
                <w:sz w:val="20"/>
                <w:szCs w:val="20"/>
              </w:rPr>
              <w:t>F</w:t>
            </w:r>
          </w:p>
        </w:tc>
        <w:tc>
          <w:tcPr>
            <w:tcW w:w="282" w:type="pct"/>
            <w:tcMar>
              <w:top w:w="142" w:type="dxa"/>
              <w:left w:w="0" w:type="dxa"/>
              <w:bottom w:w="142" w:type="dxa"/>
              <w:right w:w="0" w:type="dxa"/>
            </w:tcMar>
            <w:vAlign w:val="center"/>
          </w:tcPr>
          <w:p w14:paraId="3F3F1DD2" w14:textId="19F4DA53"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7367E611" w14:textId="61685BEC"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73F1FFC7" w14:textId="189D1905"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180</w:t>
            </w:r>
          </w:p>
        </w:tc>
        <w:tc>
          <w:tcPr>
            <w:tcW w:w="282" w:type="pct"/>
            <w:tcMar>
              <w:top w:w="142" w:type="dxa"/>
              <w:left w:w="0" w:type="dxa"/>
              <w:bottom w:w="142" w:type="dxa"/>
              <w:right w:w="0" w:type="dxa"/>
            </w:tcMar>
            <w:vAlign w:val="center"/>
          </w:tcPr>
          <w:p w14:paraId="25EE5AD3" w14:textId="2CBC73EB"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180</w:t>
            </w:r>
          </w:p>
        </w:tc>
        <w:tc>
          <w:tcPr>
            <w:tcW w:w="282" w:type="pct"/>
            <w:tcMar>
              <w:top w:w="142" w:type="dxa"/>
              <w:left w:w="0" w:type="dxa"/>
              <w:bottom w:w="142" w:type="dxa"/>
              <w:right w:w="0" w:type="dxa"/>
            </w:tcMar>
            <w:vAlign w:val="center"/>
          </w:tcPr>
          <w:p w14:paraId="441F08EC" w14:textId="0F31641A"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vAlign w:val="center"/>
          </w:tcPr>
          <w:p w14:paraId="75A62F61" w14:textId="74DA00D9"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w:t>
            </w:r>
          </w:p>
        </w:tc>
        <w:tc>
          <w:tcPr>
            <w:tcW w:w="282" w:type="pct"/>
            <w:tcMar>
              <w:top w:w="142" w:type="dxa"/>
              <w:left w:w="0" w:type="dxa"/>
              <w:bottom w:w="142" w:type="dxa"/>
              <w:right w:w="0" w:type="dxa"/>
            </w:tcMar>
          </w:tcPr>
          <w:p w14:paraId="0374A0CA" w14:textId="0624AAF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115</w:t>
            </w:r>
          </w:p>
        </w:tc>
        <w:tc>
          <w:tcPr>
            <w:tcW w:w="283" w:type="pct"/>
            <w:tcMar>
              <w:top w:w="142" w:type="dxa"/>
              <w:left w:w="0" w:type="dxa"/>
              <w:bottom w:w="142" w:type="dxa"/>
              <w:right w:w="0" w:type="dxa"/>
            </w:tcMar>
            <w:vAlign w:val="center"/>
          </w:tcPr>
          <w:p w14:paraId="2C49254C"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115</w:t>
            </w:r>
          </w:p>
        </w:tc>
        <w:tc>
          <w:tcPr>
            <w:tcW w:w="616" w:type="pct"/>
            <w:tcMar>
              <w:top w:w="142" w:type="dxa"/>
              <w:left w:w="28" w:type="dxa"/>
              <w:bottom w:w="142" w:type="dxa"/>
              <w:right w:w="28" w:type="dxa"/>
            </w:tcMar>
            <w:vAlign w:val="center"/>
          </w:tcPr>
          <w:p w14:paraId="0D28AC21"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91</w:t>
            </w:r>
          </w:p>
        </w:tc>
        <w:tc>
          <w:tcPr>
            <w:tcW w:w="616" w:type="pct"/>
            <w:tcMar>
              <w:top w:w="142" w:type="dxa"/>
              <w:left w:w="28" w:type="dxa"/>
              <w:bottom w:w="142" w:type="dxa"/>
              <w:right w:w="28" w:type="dxa"/>
            </w:tcMar>
            <w:vAlign w:val="center"/>
          </w:tcPr>
          <w:p w14:paraId="6C602775" w14:textId="77777777"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51</w:t>
            </w:r>
          </w:p>
        </w:tc>
        <w:tc>
          <w:tcPr>
            <w:tcW w:w="615" w:type="pct"/>
            <w:tcMar>
              <w:top w:w="142" w:type="dxa"/>
              <w:left w:w="28" w:type="dxa"/>
              <w:bottom w:w="142" w:type="dxa"/>
              <w:right w:w="28" w:type="dxa"/>
            </w:tcMar>
            <w:vAlign w:val="center"/>
          </w:tcPr>
          <w:p w14:paraId="3FD6998E" w14:textId="711E26BF" w:rsidR="00FB199F" w:rsidRPr="005D070C" w:rsidRDefault="00FB199F" w:rsidP="000D78F5">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87.5</w:t>
            </w:r>
          </w:p>
        </w:tc>
        <w:tc>
          <w:tcPr>
            <w:tcW w:w="609" w:type="pct"/>
            <w:tcMar>
              <w:top w:w="142" w:type="dxa"/>
              <w:left w:w="28" w:type="dxa"/>
              <w:bottom w:w="142" w:type="dxa"/>
              <w:right w:w="28" w:type="dxa"/>
            </w:tcMar>
            <w:vAlign w:val="center"/>
          </w:tcPr>
          <w:p w14:paraId="26CDC5B6" w14:textId="40FD8154" w:rsidR="00FB199F" w:rsidRPr="005D070C" w:rsidRDefault="00FB199F" w:rsidP="00FB199F">
            <w:pPr>
              <w:spacing w:after="0"/>
              <w:jc w:val="center"/>
              <w:rPr>
                <w:rFonts w:asciiTheme="minorHAnsi" w:hAnsiTheme="minorHAnsi" w:cstheme="minorHAnsi"/>
                <w:color w:val="000000" w:themeColor="text1"/>
                <w:sz w:val="20"/>
                <w:szCs w:val="20"/>
              </w:rPr>
            </w:pPr>
            <w:r w:rsidRPr="005D070C">
              <w:rPr>
                <w:rFonts w:asciiTheme="minorHAnsi" w:hAnsiTheme="minorHAnsi" w:cstheme="minorHAnsi"/>
                <w:color w:val="000000" w:themeColor="text1"/>
                <w:sz w:val="20"/>
                <w:szCs w:val="20"/>
              </w:rPr>
              <w:t>47.5</w:t>
            </w:r>
          </w:p>
        </w:tc>
      </w:tr>
      <w:tr w:rsidR="00C36D76" w:rsidRPr="005D070C" w14:paraId="16F7B7F7" w14:textId="77777777" w:rsidTr="009E2E6B">
        <w:tc>
          <w:tcPr>
            <w:tcW w:w="5000" w:type="pct"/>
            <w:gridSpan w:val="13"/>
            <w:tcMar>
              <w:top w:w="113" w:type="dxa"/>
              <w:left w:w="113" w:type="dxa"/>
              <w:bottom w:w="113" w:type="dxa"/>
              <w:right w:w="113" w:type="dxa"/>
            </w:tcMar>
            <w:vAlign w:val="center"/>
          </w:tcPr>
          <w:p w14:paraId="4976A327" w14:textId="77777777" w:rsidR="00C36D76" w:rsidRPr="005D070C" w:rsidRDefault="00C36D76" w:rsidP="009E2E6B">
            <w:pPr>
              <w:tabs>
                <w:tab w:val="left" w:pos="1026"/>
              </w:tabs>
              <w:spacing w:before="120"/>
              <w:ind w:left="1026" w:hanging="1026"/>
              <w:jc w:val="left"/>
              <w:rPr>
                <w:rFonts w:asciiTheme="minorHAnsi" w:hAnsiTheme="minorHAnsi" w:cstheme="minorHAnsi"/>
                <w:i/>
                <w:color w:val="000000" w:themeColor="text1"/>
                <w:sz w:val="20"/>
                <w:szCs w:val="20"/>
              </w:rPr>
            </w:pPr>
            <w:r w:rsidRPr="005D070C">
              <w:rPr>
                <w:rFonts w:asciiTheme="minorHAnsi" w:hAnsiTheme="minorHAnsi" w:cstheme="minorHAnsi"/>
                <w:i/>
                <w:iCs/>
                <w:color w:val="000000" w:themeColor="text1"/>
                <w:sz w:val="20"/>
                <w:szCs w:val="20"/>
              </w:rPr>
              <w:t>Uwaga</w:t>
            </w:r>
            <w:r w:rsidRPr="005D070C">
              <w:rPr>
                <w:rFonts w:asciiTheme="minorHAnsi" w:hAnsiTheme="minorHAnsi" w:cstheme="minorHAnsi"/>
                <w:i/>
                <w:color w:val="000000" w:themeColor="text1"/>
                <w:sz w:val="20"/>
                <w:szCs w:val="20"/>
              </w:rPr>
              <w:t xml:space="preserve"> 1. – </w:t>
            </w:r>
            <w:r w:rsidRPr="005D070C">
              <w:rPr>
                <w:rFonts w:asciiTheme="minorHAnsi" w:hAnsiTheme="minorHAnsi" w:cstheme="minorHAnsi"/>
                <w:i/>
                <w:color w:val="000000" w:themeColor="text1"/>
                <w:sz w:val="20"/>
                <w:szCs w:val="20"/>
              </w:rPr>
              <w:tab/>
            </w:r>
            <w:r w:rsidRPr="005D070C">
              <w:rPr>
                <w:rFonts w:asciiTheme="minorHAnsi" w:hAnsiTheme="minorHAnsi" w:cstheme="minorHAnsi"/>
                <w:i/>
                <w:iCs/>
                <w:color w:val="000000" w:themeColor="text1"/>
                <w:sz w:val="20"/>
                <w:szCs w:val="20"/>
              </w:rPr>
              <w:t>Odległości</w:t>
            </w:r>
            <w:r w:rsidRPr="005D070C">
              <w:rPr>
                <w:rFonts w:asciiTheme="minorHAnsi" w:hAnsiTheme="minorHAnsi" w:cstheme="minorHAnsi"/>
                <w:i/>
                <w:color w:val="000000" w:themeColor="text1"/>
                <w:sz w:val="20"/>
                <w:szCs w:val="20"/>
              </w:rPr>
              <w:t xml:space="preserve"> podane w kolumnach od (2) do (9) dotyczą zwykłego układu połączeń dróg startowych z drogami kołowania. </w:t>
            </w:r>
          </w:p>
          <w:p w14:paraId="675DDD17" w14:textId="77777777" w:rsidR="00C36D76" w:rsidRPr="005D070C" w:rsidRDefault="00C36D76" w:rsidP="009E2E6B">
            <w:pPr>
              <w:tabs>
                <w:tab w:val="left" w:pos="1026"/>
              </w:tabs>
              <w:spacing w:before="120"/>
              <w:ind w:left="1026" w:hanging="1026"/>
              <w:jc w:val="left"/>
              <w:rPr>
                <w:rFonts w:asciiTheme="minorHAnsi" w:hAnsiTheme="minorHAnsi" w:cstheme="minorHAnsi"/>
                <w:color w:val="000000" w:themeColor="text1"/>
                <w:sz w:val="20"/>
                <w:szCs w:val="20"/>
              </w:rPr>
            </w:pPr>
            <w:r w:rsidRPr="005D070C">
              <w:rPr>
                <w:rFonts w:asciiTheme="minorHAnsi" w:hAnsiTheme="minorHAnsi" w:cstheme="minorHAnsi"/>
                <w:i/>
                <w:iCs/>
                <w:color w:val="000000" w:themeColor="text1"/>
                <w:sz w:val="20"/>
                <w:szCs w:val="20"/>
              </w:rPr>
              <w:t>Uwaga</w:t>
            </w:r>
            <w:r w:rsidRPr="005D070C">
              <w:rPr>
                <w:rFonts w:asciiTheme="minorHAnsi" w:hAnsiTheme="minorHAnsi" w:cstheme="minorHAnsi"/>
                <w:i/>
                <w:color w:val="000000" w:themeColor="text1"/>
                <w:sz w:val="20"/>
                <w:szCs w:val="20"/>
              </w:rPr>
              <w:t xml:space="preserve"> 2. – </w:t>
            </w:r>
            <w:r w:rsidRPr="005D070C">
              <w:rPr>
                <w:rFonts w:asciiTheme="minorHAnsi" w:hAnsiTheme="minorHAnsi" w:cstheme="minorHAnsi"/>
                <w:i/>
                <w:color w:val="000000" w:themeColor="text1"/>
                <w:sz w:val="20"/>
                <w:szCs w:val="20"/>
              </w:rPr>
              <w:tab/>
              <w:t xml:space="preserve">Odległości podane w kolumnach od (2) do (9) nie gwarantują wystarczającego odstępu za </w:t>
            </w:r>
            <w:r w:rsidRPr="005D070C">
              <w:rPr>
                <w:rFonts w:asciiTheme="minorHAnsi" w:hAnsiTheme="minorHAnsi" w:cstheme="minorHAnsi"/>
                <w:i/>
                <w:iCs/>
                <w:color w:val="000000" w:themeColor="text1"/>
                <w:sz w:val="20"/>
                <w:szCs w:val="20"/>
              </w:rPr>
              <w:t>oczekującym</w:t>
            </w:r>
            <w:r w:rsidRPr="005D070C">
              <w:rPr>
                <w:rFonts w:asciiTheme="minorHAnsi" w:hAnsiTheme="minorHAnsi" w:cstheme="minorHAnsi"/>
                <w:i/>
                <w:color w:val="000000" w:themeColor="text1"/>
                <w:sz w:val="20"/>
                <w:szCs w:val="20"/>
              </w:rPr>
              <w:t xml:space="preserve"> samolotem tak, aby umożliwić minięcie innego samolotu na równoległej drodze kołowania.</w:t>
            </w:r>
          </w:p>
        </w:tc>
      </w:tr>
    </w:tbl>
    <w:p w14:paraId="385934D4" w14:textId="77777777" w:rsidR="00C36D76" w:rsidRPr="009E064B" w:rsidRDefault="00C36D76" w:rsidP="00B06A9A">
      <w:pPr>
        <w:spacing w:after="0"/>
        <w:jc w:val="center"/>
      </w:pPr>
    </w:p>
    <w:p w14:paraId="514C8866" w14:textId="77777777" w:rsidR="00C36D76" w:rsidRPr="005D070C" w:rsidRDefault="00C36D76" w:rsidP="00B06A9A">
      <w:pPr>
        <w:jc w:val="center"/>
        <w:rPr>
          <w:b/>
          <w:sz w:val="20"/>
        </w:rPr>
      </w:pPr>
      <w:r w:rsidRPr="005D070C">
        <w:rPr>
          <w:b/>
          <w:sz w:val="20"/>
        </w:rPr>
        <w:t>Tabela D-1.  Minimalne odległości separacji na drogach kołowania</w:t>
      </w:r>
    </w:p>
    <w:p w14:paraId="001993AA" w14:textId="7F3D3226" w:rsidR="00C36D76" w:rsidRPr="009E064B" w:rsidRDefault="00C36D76" w:rsidP="00DA7DA1">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ADR-DSN/2]</w:t>
      </w:r>
    </w:p>
    <w:p w14:paraId="3037D252" w14:textId="5B13C005" w:rsidR="005D070C" w:rsidRDefault="00F722A1" w:rsidP="005D070C">
      <w:pPr>
        <w:pStyle w:val="Tekstpodstawowy"/>
        <w:spacing w:before="60"/>
        <w:ind w:hanging="20"/>
      </w:pPr>
      <w:r w:rsidRPr="000412BF">
        <w:rPr>
          <w:rFonts w:asciiTheme="minorHAnsi" w:hAnsiTheme="minorHAnsi" w:cstheme="minorHAnsi"/>
          <w:i/>
          <w:sz w:val="16"/>
          <w:szCs w:val="16"/>
        </w:rPr>
        <w:t>[Wydanie: ADR-DSN/4]</w:t>
      </w:r>
      <w:r w:rsidR="005D070C">
        <w:rPr>
          <w:rFonts w:asciiTheme="minorHAnsi" w:hAnsiTheme="minorHAnsi" w:cstheme="minorHAnsi"/>
          <w:i/>
          <w:sz w:val="16"/>
          <w:szCs w:val="16"/>
        </w:rPr>
        <w:t xml:space="preserve"> </w:t>
      </w:r>
      <w:r w:rsidR="005D070C">
        <w:br w:type="page"/>
      </w:r>
    </w:p>
    <w:p w14:paraId="457710E2" w14:textId="67E263C0" w:rsidR="001C0060" w:rsidRPr="009E064B" w:rsidRDefault="00D05B14" w:rsidP="00133B99">
      <w:pPr>
        <w:pStyle w:val="Nagwek6"/>
      </w:pPr>
      <w:bookmarkStart w:id="1051" w:name="_Toc482886808"/>
      <w:bookmarkStart w:id="1052" w:name="_Toc12533016"/>
      <w:r w:rsidRPr="009E064B">
        <w:t xml:space="preserve">GM1 ADR-DSN.D.260     </w:t>
      </w:r>
      <w:r w:rsidR="001C0060" w:rsidRPr="009E064B">
        <w:t>Minimalne odległości separacji na drogach kołowania</w:t>
      </w:r>
      <w:bookmarkEnd w:id="1051"/>
      <w:bookmarkEnd w:id="1052"/>
    </w:p>
    <w:p w14:paraId="03CF8F96" w14:textId="536BB39E"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CC42D08" w14:textId="00B79946" w:rsidR="001C0060"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 xml:space="preserve">Wytyczne dotyczące czynników, które należy brać pod uwagę przy prowadzeniu oceny bezpieczeństwa, znajdują się </w:t>
      </w:r>
      <w:r w:rsidRPr="009E064B">
        <w:rPr>
          <w:rFonts w:eastAsia="Verdana" w:cs="Verdana"/>
          <w:bCs/>
          <w:szCs w:val="20"/>
        </w:rPr>
        <w:t xml:space="preserve">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00C45559" w:rsidRPr="009E064B">
        <w:rPr>
          <w:rFonts w:eastAsia="Verdana" w:cs="Verdana"/>
          <w:bCs/>
          <w:szCs w:val="20"/>
        </w:rPr>
        <w:t>Część </w:t>
      </w:r>
      <w:r w:rsidRPr="009E064B">
        <w:rPr>
          <w:rFonts w:eastAsia="Verdana" w:cs="Verdana"/>
          <w:bCs/>
          <w:szCs w:val="20"/>
        </w:rPr>
        <w:t>2 „</w:t>
      </w:r>
      <w:r w:rsidRPr="009E064B">
        <w:rPr>
          <w:rFonts w:eastAsia="Verdana" w:cs="Verdana"/>
          <w:bCs/>
          <w:i/>
          <w:szCs w:val="20"/>
        </w:rPr>
        <w:t>Drogi kołowania, płyty postojowe oraz zatoki oczekiwania</w:t>
      </w:r>
      <w:r w:rsidRPr="009E064B">
        <w:rPr>
          <w:rFonts w:eastAsia="Verdana" w:cs="Verdana"/>
          <w:bCs/>
          <w:szCs w:val="20"/>
        </w:rPr>
        <w:t>”.</w:t>
      </w:r>
    </w:p>
    <w:p w14:paraId="1D0066F2" w14:textId="77777777" w:rsidR="001C0060" w:rsidRPr="009E064B" w:rsidRDefault="001C00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Instalacje ILS i MLS mogą również mieć wpływ na lokalizację dróg kołowania z uwagi na zakłócanie sygnałów ILS i MLS wywołane przez stojący lub kołujący statek powietrzny. Informacje o strefach krytycznych i wrażliwych na zakłócenia otaczających instalacje ILS i MLS znajdują się w Załączniku 10 ICAO, Tom I, Dodatek C i G (odpowiednio).</w:t>
      </w:r>
    </w:p>
    <w:p w14:paraId="337A1FFE" w14:textId="77777777" w:rsidR="001C0060" w:rsidRPr="009E064B" w:rsidRDefault="001C0060"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 xml:space="preserve">Odległości separacji określone w Tabeli D-1, kolumna (10), nie zawsze zapewniają możliwość wykonania normalnego zakrętu z jednej drogi kołowania na drugą, równoległą </w:t>
      </w:r>
      <w:r w:rsidRPr="009E064B">
        <w:rPr>
          <w:rFonts w:eastAsia="Times New Roman,Italic" w:cs="Times New Roman,Italic"/>
          <w:i/>
          <w:iCs/>
          <w:szCs w:val="20"/>
        </w:rPr>
        <w:t xml:space="preserve">do niej. Wytyczne dotyczące tego zagadnienia znajdują się </w:t>
      </w:r>
      <w:r w:rsidRPr="009E064B">
        <w:rPr>
          <w:rFonts w:eastAsia="Verdana" w:cs="Verdana"/>
          <w:bCs/>
          <w:i/>
          <w:szCs w:val="20"/>
        </w:rPr>
        <w:t xml:space="preserve">w </w:t>
      </w:r>
      <w:r w:rsidRPr="009E064B">
        <w:rPr>
          <w:rFonts w:cs="Times New Roman"/>
          <w:i/>
          <w:szCs w:val="20"/>
        </w:rPr>
        <w:t>„Podręczniku</w:t>
      </w:r>
      <w:r w:rsidRPr="009E064B">
        <w:rPr>
          <w:rFonts w:cs="Times New Roman"/>
          <w:szCs w:val="20"/>
        </w:rPr>
        <w:t xml:space="preserve"> projektowania lotnisk” ICAO Doc 9157, </w:t>
      </w:r>
      <w:r w:rsidRPr="009E064B">
        <w:rPr>
          <w:rFonts w:eastAsia="Verdana" w:cs="Verdana"/>
          <w:bCs/>
          <w:szCs w:val="20"/>
        </w:rPr>
        <w:t>Część 2 „</w:t>
      </w:r>
      <w:r w:rsidRPr="009E064B">
        <w:rPr>
          <w:rFonts w:eastAsia="Verdana" w:cs="Verdana"/>
          <w:bCs/>
          <w:i/>
          <w:szCs w:val="20"/>
        </w:rPr>
        <w:t>Drogi kołowania, płyty postojowe oraz zatoki oczekiwania</w:t>
      </w:r>
      <w:r w:rsidRPr="009E064B">
        <w:rPr>
          <w:rFonts w:eastAsia="Verdana" w:cs="Verdana"/>
          <w:bCs/>
          <w:szCs w:val="20"/>
        </w:rPr>
        <w:t>”.</w:t>
      </w:r>
      <w:r w:rsidRPr="009E064B">
        <w:rPr>
          <w:rFonts w:cs="TimesNewRomanPS-BoldItalicMT"/>
          <w:bCs/>
          <w:iCs/>
          <w:szCs w:val="20"/>
        </w:rPr>
        <w:t xml:space="preserve"> </w:t>
      </w:r>
    </w:p>
    <w:p w14:paraId="6F2A1116" w14:textId="77777777" w:rsidR="001C0060"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Odległość separacji pomiędzy linią środkową drogi kołowania na stanowisko postojowe statku powietrznego a obiektem, zgodnie z Tabelą D-1, kolumna (13), mona zwiększyć, jeżeli podmuch gazów wylotowych z silników może stwarzać niebezpieczeństwo dla obsługi naziemnej.</w:t>
      </w:r>
    </w:p>
    <w:p w14:paraId="3BDE7393" w14:textId="77777777" w:rsidR="001C0060" w:rsidRPr="009E064B" w:rsidRDefault="001C00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Prowadzenie operacji przy mniejszych odległościach separacji na istniejącym lotnisku, może być dopuszczalne, jeżeli ocena bezpieczeństwa wykaże, że takie mniejsze odległości separacji nie wpływają negatywnie na bezpieczeństwo lub na regularność operacji statków powietrznych.</w:t>
      </w:r>
    </w:p>
    <w:p w14:paraId="6004AE89" w14:textId="5F9E4E4D" w:rsidR="001C0060" w:rsidRPr="005D070C" w:rsidRDefault="001C0060" w:rsidP="00B06A9A">
      <w:pPr>
        <w:tabs>
          <w:tab w:val="left" w:pos="567"/>
        </w:tabs>
        <w:autoSpaceDE w:val="0"/>
        <w:autoSpaceDN w:val="0"/>
        <w:adjustRightInd w:val="0"/>
        <w:ind w:left="567" w:hanging="567"/>
        <w:rPr>
          <w:rFonts w:eastAsia="Times New Roman,Italic" w:cs="Times New Roman,Italic"/>
          <w:iCs/>
          <w:color w:val="000000" w:themeColor="text1"/>
          <w:szCs w:val="20"/>
        </w:rPr>
      </w:pPr>
      <w:r w:rsidRPr="005D070C">
        <w:rPr>
          <w:rFonts w:eastAsia="Times New Roman,Italic" w:cs="Times New Roman,Italic"/>
          <w:iCs/>
          <w:color w:val="000000" w:themeColor="text1"/>
          <w:szCs w:val="20"/>
        </w:rPr>
        <w:t xml:space="preserve">(f) </w:t>
      </w:r>
      <w:r w:rsidRPr="005D070C">
        <w:rPr>
          <w:rFonts w:eastAsia="Times New Roman,Italic" w:cs="Times New Roman,Italic"/>
          <w:iCs/>
          <w:color w:val="000000" w:themeColor="text1"/>
          <w:szCs w:val="20"/>
        </w:rPr>
        <w:tab/>
        <w:t>Odległości separacji, które określono w Tabeli D-1, mogą zostać zwiększone na łukach drogi kołowania, aby pomieścić wysięg skrzydła samolotu krytycznego, lub na podwójnych równoległych drogach kołowania, jeśli, na przykład, używane są jak drogi kołowania do objazdu.</w:t>
      </w:r>
    </w:p>
    <w:p w14:paraId="572ED888" w14:textId="5E0640EC" w:rsidR="0075187B" w:rsidRPr="005D070C" w:rsidRDefault="0075187B" w:rsidP="00B06A9A">
      <w:pPr>
        <w:tabs>
          <w:tab w:val="left" w:pos="567"/>
        </w:tabs>
        <w:autoSpaceDE w:val="0"/>
        <w:autoSpaceDN w:val="0"/>
        <w:adjustRightInd w:val="0"/>
        <w:ind w:left="567" w:hanging="567"/>
        <w:rPr>
          <w:rFonts w:eastAsia="Times New Roman,Italic" w:cs="Times New Roman,Italic"/>
          <w:iCs/>
          <w:color w:val="000000" w:themeColor="text1"/>
          <w:szCs w:val="20"/>
        </w:rPr>
      </w:pPr>
      <w:r w:rsidRPr="005D070C">
        <w:rPr>
          <w:rFonts w:eastAsia="Times New Roman,Italic" w:cs="Times New Roman,Italic"/>
          <w:iCs/>
          <w:color w:val="000000" w:themeColor="text1"/>
          <w:szCs w:val="20"/>
        </w:rPr>
        <w:t xml:space="preserve">(g) </w:t>
      </w:r>
      <w:r w:rsidRPr="005D070C">
        <w:rPr>
          <w:rFonts w:eastAsia="Times New Roman,Italic" w:cs="Times New Roman,Italic"/>
          <w:iCs/>
          <w:color w:val="000000" w:themeColor="text1"/>
          <w:szCs w:val="20"/>
        </w:rPr>
        <w:tab/>
        <w:t>Wymagania dotyczące szerokości pasa drogi kołowania na płycie postojowej, odległości separacji, itp, są takie same, jak w przypadku każdego innej rodzaju drogi kołowania.</w:t>
      </w:r>
    </w:p>
    <w:p w14:paraId="63247E6E" w14:textId="5AA28CC8" w:rsidR="00EB4908" w:rsidRPr="005D070C" w:rsidRDefault="000C7D6C" w:rsidP="00DA7DA1">
      <w:pPr>
        <w:pStyle w:val="Tekstpodstawowy"/>
        <w:spacing w:before="200" w:after="0"/>
        <w:ind w:left="23" w:hanging="221"/>
        <w:rPr>
          <w:i/>
          <w:color w:val="000000" w:themeColor="text1"/>
        </w:rPr>
      </w:pPr>
      <w:r w:rsidRPr="005D070C">
        <w:rPr>
          <w:i/>
          <w:color w:val="000000" w:themeColor="text1"/>
        </w:rPr>
        <w:t>[Wydanie: ADR-DSN/</w:t>
      </w:r>
      <w:r w:rsidR="00EB4908" w:rsidRPr="005D070C">
        <w:rPr>
          <w:i/>
          <w:color w:val="000000" w:themeColor="text1"/>
        </w:rPr>
        <w:t>2]</w:t>
      </w:r>
      <w:r w:rsidR="001C0060" w:rsidRPr="005D070C">
        <w:rPr>
          <w:i/>
          <w:color w:val="000000" w:themeColor="text1"/>
        </w:rPr>
        <w:t xml:space="preserve"> </w:t>
      </w:r>
    </w:p>
    <w:p w14:paraId="2EA89955" w14:textId="604EF4C7" w:rsidR="001C0060" w:rsidRPr="005D070C" w:rsidRDefault="00EB4908" w:rsidP="00DA7DA1">
      <w:pPr>
        <w:pStyle w:val="Tekstpodstawowy"/>
        <w:spacing w:after="0"/>
        <w:ind w:left="23" w:hanging="221"/>
        <w:rPr>
          <w:i/>
          <w:color w:val="000000" w:themeColor="text1"/>
        </w:rPr>
      </w:pPr>
      <w:r w:rsidRPr="005D070C">
        <w:rPr>
          <w:i/>
          <w:color w:val="000000" w:themeColor="text1"/>
        </w:rPr>
        <w:t>[</w:t>
      </w:r>
      <w:r w:rsidR="001C0060" w:rsidRPr="005D070C">
        <w:rPr>
          <w:i/>
          <w:color w:val="000000" w:themeColor="text1"/>
        </w:rPr>
        <w:t>Wydanie: ADR-DSN/3]</w:t>
      </w:r>
    </w:p>
    <w:p w14:paraId="02555042" w14:textId="77777777" w:rsidR="00EB4908" w:rsidRPr="005D070C" w:rsidRDefault="00EB4908" w:rsidP="00EB4908">
      <w:pPr>
        <w:pStyle w:val="Tekstpodstawowy"/>
        <w:rPr>
          <w:rFonts w:eastAsia="Times New Roman,Italic" w:cs="Times New Roman,Italic"/>
          <w:i/>
          <w:iCs/>
          <w:color w:val="000000" w:themeColor="text1"/>
        </w:rPr>
      </w:pPr>
      <w:r w:rsidRPr="005D070C">
        <w:rPr>
          <w:rFonts w:eastAsia="Times New Roman,Italic" w:cs="Times New Roman,Italic"/>
          <w:i/>
          <w:iCs/>
          <w:color w:val="000000" w:themeColor="text1"/>
        </w:rPr>
        <w:t>[Wydanie: ADR-DSN/4]</w:t>
      </w:r>
    </w:p>
    <w:p w14:paraId="07594650" w14:textId="71613074" w:rsidR="00C36D76" w:rsidRPr="009E064B" w:rsidRDefault="00F85C28" w:rsidP="00B06A9A">
      <w:pPr>
        <w:pStyle w:val="Nagwek4"/>
        <w:rPr>
          <w:color w:val="auto"/>
        </w:rPr>
      </w:pPr>
      <w:bookmarkStart w:id="1053" w:name="_Toc482886585"/>
      <w:bookmarkStart w:id="1054" w:name="_Toc12533017"/>
      <w:r w:rsidRPr="009E064B">
        <w:rPr>
          <w:color w:val="auto"/>
        </w:rPr>
        <w:t xml:space="preserve">CS ADR-DSN.D.265     </w:t>
      </w:r>
      <w:r w:rsidR="00C36D76" w:rsidRPr="009E064B">
        <w:rPr>
          <w:color w:val="auto"/>
        </w:rPr>
        <w:t>Nachylenia podłużne drogi kołowania</w:t>
      </w:r>
      <w:bookmarkEnd w:id="1053"/>
      <w:bookmarkEnd w:id="1054"/>
    </w:p>
    <w:p w14:paraId="1E150D06" w14:textId="0BDA3A77"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6EB328D" w14:textId="2755C2C1" w:rsidR="00C36D76" w:rsidRPr="009E064B" w:rsidRDefault="00C36D76" w:rsidP="00F85C2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ograniczenia nachyleń podłużnych dróg kołowania jest umożliwienie stabilnego i bezpiecznego użytkowania drogi kołowania przez statek powietrzny.</w:t>
      </w:r>
    </w:p>
    <w:p w14:paraId="07FEFA46"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Nachylenie podłużne drogi kołowania nie powinno przekraczać:</w:t>
      </w:r>
    </w:p>
    <w:p w14:paraId="5BD3F65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1,5%, jeżeli literą kodu jest C, D, E lub F; oraz</w:t>
      </w:r>
    </w:p>
    <w:p w14:paraId="6D9E79A1"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3%, jeżeli literą kodu jest A lub B.</w:t>
      </w:r>
    </w:p>
    <w:p w14:paraId="73AD0714" w14:textId="3365AC6F" w:rsidR="001C0060" w:rsidRPr="009E064B" w:rsidRDefault="00F85C28" w:rsidP="00133B99">
      <w:pPr>
        <w:pStyle w:val="Nagwek6"/>
      </w:pPr>
      <w:bookmarkStart w:id="1055" w:name="_Toc401058943"/>
      <w:bookmarkStart w:id="1056" w:name="_Toc482886809"/>
      <w:bookmarkStart w:id="1057" w:name="_Toc12533018"/>
      <w:r w:rsidRPr="009E064B">
        <w:t xml:space="preserve">GM1 ADR-DSN.D.265     </w:t>
      </w:r>
      <w:r w:rsidR="001C0060" w:rsidRPr="009E064B">
        <w:t>Nachylenia podłużne drogi kołowania</w:t>
      </w:r>
      <w:bookmarkEnd w:id="1055"/>
      <w:bookmarkEnd w:id="1056"/>
      <w:bookmarkEnd w:id="1057"/>
    </w:p>
    <w:p w14:paraId="2C74EE2B" w14:textId="08540661"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9BD33AD" w14:textId="19D2FC69" w:rsidR="00DA7DA1" w:rsidRPr="009E064B" w:rsidRDefault="001C0060" w:rsidP="00DA7DA1">
      <w:pPr>
        <w:autoSpaceDE w:val="0"/>
        <w:autoSpaceDN w:val="0"/>
        <w:adjustRightInd w:val="0"/>
        <w:rPr>
          <w:rFonts w:cs="Times New Roman"/>
          <w:szCs w:val="20"/>
        </w:rPr>
      </w:pPr>
      <w:r w:rsidRPr="009E064B">
        <w:rPr>
          <w:rFonts w:cs="Times New Roman"/>
          <w:szCs w:val="20"/>
        </w:rPr>
        <w:t xml:space="preserve">Celowo </w:t>
      </w:r>
      <w:r w:rsidRPr="009E064B">
        <w:rPr>
          <w:rFonts w:eastAsia="Verdana" w:cs="Verdana"/>
          <w:bCs/>
          <w:szCs w:val="20"/>
        </w:rPr>
        <w:t>pozostawiono</w:t>
      </w:r>
      <w:r w:rsidRPr="009E064B">
        <w:rPr>
          <w:rFonts w:cs="Times New Roman"/>
          <w:szCs w:val="20"/>
        </w:rPr>
        <w:t xml:space="preserve"> puste.</w:t>
      </w:r>
      <w:r w:rsidR="00DA7DA1" w:rsidRPr="009E064B">
        <w:rPr>
          <w:rFonts w:cs="Times New Roman"/>
          <w:szCs w:val="20"/>
        </w:rPr>
        <w:t xml:space="preserve"> </w:t>
      </w:r>
      <w:r w:rsidR="00DA7DA1" w:rsidRPr="009E064B">
        <w:rPr>
          <w:rFonts w:cs="Times New Roman"/>
          <w:szCs w:val="20"/>
        </w:rPr>
        <w:br w:type="page"/>
      </w:r>
    </w:p>
    <w:p w14:paraId="7B45B863" w14:textId="0E7F75E2" w:rsidR="00C36D76" w:rsidRPr="009E064B" w:rsidRDefault="00F85C28" w:rsidP="00B06A9A">
      <w:pPr>
        <w:pStyle w:val="Nagwek4"/>
        <w:rPr>
          <w:color w:val="auto"/>
        </w:rPr>
      </w:pPr>
      <w:bookmarkStart w:id="1058" w:name="_Toc482886586"/>
      <w:bookmarkStart w:id="1059" w:name="_Toc12533019"/>
      <w:r w:rsidRPr="009E064B">
        <w:rPr>
          <w:color w:val="auto"/>
        </w:rPr>
        <w:t xml:space="preserve">CS ADR-DSN.D.270     </w:t>
      </w:r>
      <w:r w:rsidR="00C36D76" w:rsidRPr="009E064B">
        <w:rPr>
          <w:color w:val="auto"/>
        </w:rPr>
        <w:t>Zmiany nachyleń podłużnych drogi kołowania</w:t>
      </w:r>
      <w:bookmarkEnd w:id="1058"/>
      <w:bookmarkEnd w:id="1059"/>
    </w:p>
    <w:p w14:paraId="2475C557" w14:textId="2EA56469"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CBF9824" w14:textId="305F36AC" w:rsidR="00C36D76" w:rsidRPr="009E064B" w:rsidRDefault="00C36D76" w:rsidP="00F85C2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ograniczenia zmian nachylenia podłużnego drogi kołowania jest zapobieganie uszkodzeniu statku powietrznego i umożliwienie bezpiecznego użytkowania drogi kołowania przez statek powietrzny.</w:t>
      </w:r>
    </w:p>
    <w:p w14:paraId="1D3C5F64"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Tam, gdzie nie można uniknąć zmian nachylenia na drodze kołowania, nachylenie między dwoma kolejnymi odcinkami powinno być wykonane płaszczyzną krzywą, zaś stopień zmiany nie powinien przekraczać:</w:t>
      </w:r>
    </w:p>
    <w:p w14:paraId="30244FA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 na 30 m (minimalny promień krzywizny 3 000 m), gdy literą kodu jest C, D, E lub F; oraz</w:t>
      </w:r>
    </w:p>
    <w:p w14:paraId="7C1088B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1% na 25 m (minimalny promień krzywizny 2 500 m), gdy literą kodu jest A lub B.</w:t>
      </w:r>
    </w:p>
    <w:p w14:paraId="2159C686" w14:textId="18125612"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(c) </w:t>
      </w:r>
      <w:r w:rsidRPr="009E064B">
        <w:rPr>
          <w:rFonts w:cs="Times New Roman"/>
          <w:szCs w:val="20"/>
        </w:rPr>
        <w:tab/>
      </w:r>
      <w:r w:rsidRPr="009E064B">
        <w:rPr>
          <w:szCs w:val="20"/>
        </w:rPr>
        <w:t xml:space="preserve">Jeżeli zmiany nachyleń, o których mowa w </w:t>
      </w:r>
      <w:r w:rsidR="00557C15" w:rsidRPr="009E064B">
        <w:rPr>
          <w:szCs w:val="20"/>
        </w:rPr>
        <w:t>lit. </w:t>
      </w:r>
      <w:r w:rsidRPr="009E064B">
        <w:rPr>
          <w:szCs w:val="20"/>
        </w:rPr>
        <w:t>(b)</w:t>
      </w:r>
      <w:r w:rsidR="00557C15" w:rsidRPr="009E064B">
        <w:rPr>
          <w:szCs w:val="20"/>
        </w:rPr>
        <w:t xml:space="preserve"> pkt </w:t>
      </w:r>
      <w:r w:rsidRPr="009E064B">
        <w:rPr>
          <w:szCs w:val="20"/>
        </w:rPr>
        <w:t>(1) i (2) nie są osiągnięte oraz nachyleń na drogach kołowania nie można uniknąć, to przejście od jednego nachylenia do innego powinno być wykonywane przy użyciu powierzchni zakrzywionej, która powinna umożliwiać bezpieczne użytkowanie dla wszystkich statków powietrznych w każdych warunkach pogodowych.</w:t>
      </w:r>
    </w:p>
    <w:p w14:paraId="0C21C7D8" w14:textId="3BC831BB" w:rsidR="001C0060" w:rsidRPr="009E064B" w:rsidRDefault="00F85C28" w:rsidP="00133B99">
      <w:pPr>
        <w:pStyle w:val="Nagwek6"/>
      </w:pPr>
      <w:bookmarkStart w:id="1060" w:name="_Toc401058944"/>
      <w:bookmarkStart w:id="1061" w:name="_Toc482886810"/>
      <w:bookmarkStart w:id="1062" w:name="_Toc12533020"/>
      <w:r w:rsidRPr="009E064B">
        <w:t xml:space="preserve">GM1 ADR-DSN.D.270     </w:t>
      </w:r>
      <w:r w:rsidR="001C0060" w:rsidRPr="009E064B">
        <w:t xml:space="preserve">Zmiany nachyleń podłużnych </w:t>
      </w:r>
      <w:bookmarkEnd w:id="1060"/>
      <w:r w:rsidR="001C0060" w:rsidRPr="009E064B">
        <w:t>drogi kołowania</w:t>
      </w:r>
      <w:bookmarkEnd w:id="1061"/>
      <w:bookmarkEnd w:id="1062"/>
    </w:p>
    <w:p w14:paraId="5D17A58C" w14:textId="787D6287"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6FC4FB0" w14:textId="35F6EC39" w:rsidR="001862F5" w:rsidRPr="009E064B" w:rsidRDefault="001C0060" w:rsidP="00B06A9A">
      <w:pPr>
        <w:autoSpaceDE w:val="0"/>
        <w:autoSpaceDN w:val="0"/>
        <w:adjustRightInd w:val="0"/>
        <w:rPr>
          <w:rFonts w:cs="Times New Roman"/>
          <w:szCs w:val="20"/>
        </w:rPr>
      </w:pPr>
      <w:r w:rsidRPr="009E064B">
        <w:rPr>
          <w:rFonts w:cs="Times New Roman"/>
          <w:szCs w:val="20"/>
        </w:rPr>
        <w:t>Celowo pozostawiono puste.</w:t>
      </w:r>
    </w:p>
    <w:p w14:paraId="7676FA3B" w14:textId="44A32BD8" w:rsidR="00C36D76" w:rsidRPr="009E064B" w:rsidRDefault="00F85C28" w:rsidP="00B06A9A">
      <w:pPr>
        <w:pStyle w:val="Nagwek4"/>
        <w:rPr>
          <w:color w:val="auto"/>
        </w:rPr>
      </w:pPr>
      <w:bookmarkStart w:id="1063" w:name="_Toc482886587"/>
      <w:bookmarkStart w:id="1064" w:name="_Toc12533021"/>
      <w:r w:rsidRPr="009E064B">
        <w:rPr>
          <w:color w:val="auto"/>
        </w:rPr>
        <w:t xml:space="preserve">CS ADR-DSN.D.275     </w:t>
      </w:r>
      <w:r w:rsidR="00C36D76" w:rsidRPr="009E064B">
        <w:rPr>
          <w:color w:val="auto"/>
        </w:rPr>
        <w:t>Zasięg widoczności na drodze kołowania</w:t>
      </w:r>
      <w:bookmarkEnd w:id="1063"/>
      <w:bookmarkEnd w:id="1064"/>
    </w:p>
    <w:p w14:paraId="1F0FB474" w14:textId="03C5323A"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D6AA870" w14:textId="05F300E4" w:rsidR="00C36D76" w:rsidRPr="009E064B" w:rsidRDefault="00C36D76" w:rsidP="00F85C2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określenia minimalnego zasięgu widoczności na drogach kołowania jest zapewnienie takiej widoczności, która umożliwi bezpieczne użytkowanie drogi kołowania przez statki powietrzne.</w:t>
      </w:r>
    </w:p>
    <w:p w14:paraId="0FCCA609"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Jeżeli nie można uniknąć zmiany nachylenia na drodze kołowania, to zmiany te powinny być takie, aby:</w:t>
      </w:r>
    </w:p>
    <w:p w14:paraId="390A567A"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z wysokości 3 m nad drogą kołowania widoczna była cała powierzchnia drogi kołowania na odległość, co najmniej 300 m od tego punktu dla liter kodu C, D, E lub F;</w:t>
      </w:r>
    </w:p>
    <w:p w14:paraId="5CA44A6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z wysokości 2 m nad drogą kołowania widoczna była cała powierzchnia drogi kołowania na odległość, co najmniej 200 m od tego punktu dla litery kodu B;</w:t>
      </w:r>
    </w:p>
    <w:p w14:paraId="25C83C13" w14:textId="77777777" w:rsidR="00C36D76" w:rsidRPr="009E064B" w:rsidRDefault="00C36D76" w:rsidP="00B06A9A">
      <w:pPr>
        <w:tabs>
          <w:tab w:val="left" w:pos="1134"/>
        </w:tabs>
        <w:autoSpaceDE w:val="0"/>
        <w:autoSpaceDN w:val="0"/>
        <w:adjustRightInd w:val="0"/>
        <w:spacing w:after="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z wysokości 1.5 m nad drogą kołowania widoczna była cała powierzchnia drogi kołowania na odległość, co najmniej 150 m od tego punktu dla litery kodu A.</w:t>
      </w:r>
    </w:p>
    <w:p w14:paraId="0DB55DC7" w14:textId="251B69CD" w:rsidR="001C0060" w:rsidRPr="009E064B" w:rsidRDefault="00F85C28" w:rsidP="00133B99">
      <w:pPr>
        <w:pStyle w:val="Nagwek6"/>
      </w:pPr>
      <w:bookmarkStart w:id="1065" w:name="_Toc401058945"/>
      <w:bookmarkStart w:id="1066" w:name="_Toc482886811"/>
      <w:bookmarkStart w:id="1067" w:name="_Toc12533022"/>
      <w:r w:rsidRPr="009E064B">
        <w:t xml:space="preserve">GM1 ADR-DSN.D.275     </w:t>
      </w:r>
      <w:r w:rsidR="001C0060" w:rsidRPr="009E064B">
        <w:t>Zasięg widoczności na drodze kołowania</w:t>
      </w:r>
      <w:bookmarkEnd w:id="1065"/>
      <w:bookmarkEnd w:id="1066"/>
      <w:bookmarkEnd w:id="1067"/>
    </w:p>
    <w:p w14:paraId="7168A828" w14:textId="4D7CD9A7"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1DB499A" w14:textId="77777777" w:rsidR="001C0060" w:rsidRPr="009E064B" w:rsidRDefault="001C0060" w:rsidP="00B06A9A">
      <w:pPr>
        <w:autoSpaceDE w:val="0"/>
        <w:autoSpaceDN w:val="0"/>
        <w:adjustRightInd w:val="0"/>
        <w:rPr>
          <w:rFonts w:cs="Times New Roman"/>
          <w:szCs w:val="20"/>
        </w:rPr>
      </w:pPr>
      <w:r w:rsidRPr="009E064B">
        <w:rPr>
          <w:rFonts w:cs="Times New Roman"/>
          <w:szCs w:val="20"/>
        </w:rPr>
        <w:t xml:space="preserve">Celowo </w:t>
      </w:r>
      <w:r w:rsidRPr="009E064B">
        <w:rPr>
          <w:rFonts w:eastAsia="Verdana" w:cs="Verdana"/>
          <w:bCs/>
          <w:szCs w:val="20"/>
        </w:rPr>
        <w:t>pozostawiono</w:t>
      </w:r>
      <w:r w:rsidRPr="009E064B">
        <w:rPr>
          <w:rFonts w:cs="Times New Roman"/>
          <w:szCs w:val="20"/>
        </w:rPr>
        <w:t xml:space="preserve"> puste.</w:t>
      </w:r>
    </w:p>
    <w:p w14:paraId="192D4C19" w14:textId="11BC698D" w:rsidR="00C36D76" w:rsidRPr="009E064B" w:rsidRDefault="00F85C28" w:rsidP="00B06A9A">
      <w:pPr>
        <w:pStyle w:val="Nagwek4"/>
        <w:rPr>
          <w:color w:val="auto"/>
        </w:rPr>
      </w:pPr>
      <w:bookmarkStart w:id="1068" w:name="_Toc482886588"/>
      <w:bookmarkStart w:id="1069" w:name="_Toc12533023"/>
      <w:r w:rsidRPr="009E064B">
        <w:rPr>
          <w:color w:val="auto"/>
        </w:rPr>
        <w:t xml:space="preserve">CS ADR-DSN.D.280     </w:t>
      </w:r>
      <w:r w:rsidR="00C36D76" w:rsidRPr="009E064B">
        <w:rPr>
          <w:color w:val="auto"/>
        </w:rPr>
        <w:t>Nachylenie poprzeczne drogi kołowania</w:t>
      </w:r>
      <w:bookmarkEnd w:id="1068"/>
      <w:bookmarkEnd w:id="1069"/>
    </w:p>
    <w:p w14:paraId="77AB0963" w14:textId="41A51806"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9CD2675" w14:textId="412687BA" w:rsidR="00C36D76" w:rsidRPr="009E064B" w:rsidRDefault="00C36D76" w:rsidP="00F85C2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nachyleń poprzecznych dróg kołowania jest zapewnienie jak najszybszego odprowadzania wody z powierzchni drogi kołowania.</w:t>
      </w:r>
    </w:p>
    <w:p w14:paraId="4E494C5E"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Nachylenie poprzeczne drogi kołowania powinno zabezpieczać przed gromadzeniem się wody na powierzchni drogi kołowania i nie powinno przekraczać:</w:t>
      </w:r>
    </w:p>
    <w:p w14:paraId="6D03815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1,5%, jeżeli literą kodu jest C, D, E lub F; oraz</w:t>
      </w:r>
    </w:p>
    <w:p w14:paraId="3A860CF2" w14:textId="77777777" w:rsidR="00C36D76" w:rsidRPr="009E064B" w:rsidRDefault="00C36D76" w:rsidP="00B06A9A">
      <w:pPr>
        <w:tabs>
          <w:tab w:val="left" w:pos="1134"/>
        </w:tabs>
        <w:autoSpaceDE w:val="0"/>
        <w:autoSpaceDN w:val="0"/>
        <w:adjustRightInd w:val="0"/>
        <w:spacing w:after="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2%, jeżeli literą kodu jest A lub B.</w:t>
      </w:r>
    </w:p>
    <w:p w14:paraId="25CF22C0" w14:textId="6B7C6A70" w:rsidR="001C0060" w:rsidRPr="009E064B" w:rsidRDefault="00F85C28" w:rsidP="00133B99">
      <w:pPr>
        <w:pStyle w:val="Nagwek6"/>
      </w:pPr>
      <w:bookmarkStart w:id="1070" w:name="_Toc401058946"/>
      <w:bookmarkStart w:id="1071" w:name="_Toc482886812"/>
      <w:bookmarkStart w:id="1072" w:name="_Toc12533024"/>
      <w:r w:rsidRPr="009E064B">
        <w:t xml:space="preserve">GM1 ADR-DSN.D.280     </w:t>
      </w:r>
      <w:r w:rsidR="001C0060" w:rsidRPr="009E064B">
        <w:t>Nachylenie poprzeczne drogi kołowania</w:t>
      </w:r>
      <w:bookmarkEnd w:id="1070"/>
      <w:bookmarkEnd w:id="1071"/>
      <w:bookmarkEnd w:id="1072"/>
    </w:p>
    <w:p w14:paraId="34C7D602" w14:textId="770B7EF2"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674ECDB" w14:textId="77777777" w:rsidR="001C0060" w:rsidRPr="009E064B" w:rsidRDefault="001C0060"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 xml:space="preserve">Nachylenie powierzchni na drodze kołowania ma na celu zapobieganie gromadzeniu się wody (lub ewentualnym </w:t>
      </w:r>
      <w:r w:rsidRPr="009E064B">
        <w:rPr>
          <w:rFonts w:eastAsia="Verdana" w:cs="Verdana"/>
          <w:bCs/>
          <w:szCs w:val="20"/>
        </w:rPr>
        <w:t>zanieczyszczeniom</w:t>
      </w:r>
      <w:r w:rsidRPr="009E064B">
        <w:rPr>
          <w:rFonts w:eastAsia="Times New Roman,Italic" w:cs="Times New Roman,Italic"/>
          <w:iCs/>
          <w:szCs w:val="20"/>
        </w:rPr>
        <w:t xml:space="preserve"> w postaci cieczy) na powierzchni oraz umożliwienie szybkiego odprowadzenia wody (lub ewentualnych zanieczyszczeń w postaci cieczy). Nachylenia powinny być zaprojektowane w taki sposób, aby ograniczyć do minimum wpływ na statki powietrzne oraz aby nie utrudniać wykonywania operacji statków powietrznych.</w:t>
      </w:r>
    </w:p>
    <w:p w14:paraId="43D7AE05" w14:textId="66E69D2A" w:rsidR="00C36D76" w:rsidRPr="009E064B" w:rsidRDefault="00F85C28" w:rsidP="00B06A9A">
      <w:pPr>
        <w:pStyle w:val="Nagwek4"/>
        <w:rPr>
          <w:color w:val="auto"/>
        </w:rPr>
      </w:pPr>
      <w:bookmarkStart w:id="1073" w:name="_Toc482886589"/>
      <w:bookmarkStart w:id="1074" w:name="_Toc12533025"/>
      <w:r w:rsidRPr="009E064B">
        <w:rPr>
          <w:color w:val="auto"/>
        </w:rPr>
        <w:t xml:space="preserve">CS ADR-DSN.D.285     </w:t>
      </w:r>
      <w:r w:rsidR="00C36D76" w:rsidRPr="009E064B">
        <w:rPr>
          <w:color w:val="auto"/>
        </w:rPr>
        <w:t>Nośność dróg kołowania</w:t>
      </w:r>
      <w:bookmarkEnd w:id="1073"/>
      <w:bookmarkEnd w:id="1074"/>
    </w:p>
    <w:p w14:paraId="66EAF826" w14:textId="1164EDA3"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43BD114" w14:textId="07957ADB" w:rsidR="001862F5" w:rsidRPr="009E064B" w:rsidRDefault="00C36D76" w:rsidP="00B06A9A">
      <w:pPr>
        <w:pStyle w:val="Akapitzlist"/>
        <w:autoSpaceDE w:val="0"/>
        <w:autoSpaceDN w:val="0"/>
        <w:adjustRightInd w:val="0"/>
        <w:spacing w:after="0"/>
        <w:rPr>
          <w:szCs w:val="20"/>
        </w:rPr>
      </w:pPr>
      <w:r w:rsidRPr="009E064B">
        <w:rPr>
          <w:szCs w:val="20"/>
        </w:rPr>
        <w:t>Nośność dróg kołowania powinna być odpowiednia dla statków powietrznych, dla których ta droga kołowania jest przeznaczona.</w:t>
      </w:r>
    </w:p>
    <w:p w14:paraId="45D0CF3F" w14:textId="5FDF7230" w:rsidR="001C0060" w:rsidRPr="009E064B" w:rsidRDefault="00D05B14" w:rsidP="00133B99">
      <w:pPr>
        <w:pStyle w:val="Nagwek6"/>
      </w:pPr>
      <w:bookmarkStart w:id="1075" w:name="_Toc482886813"/>
      <w:bookmarkStart w:id="1076" w:name="_Toc12533026"/>
      <w:r w:rsidRPr="009E064B">
        <w:t xml:space="preserve">GM1 ADR-DSN.D.285     </w:t>
      </w:r>
      <w:r w:rsidR="001C0060" w:rsidRPr="009E064B">
        <w:t>Nośność drogi kołowania</w:t>
      </w:r>
      <w:bookmarkEnd w:id="1075"/>
      <w:bookmarkEnd w:id="1076"/>
    </w:p>
    <w:p w14:paraId="76AB7BB3" w14:textId="6ACB29CA"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BB57DBC" w14:textId="69DE69F1" w:rsidR="001C0060" w:rsidRPr="009E064B" w:rsidRDefault="001C0060" w:rsidP="00B06A9A">
      <w:pPr>
        <w:autoSpaceDE w:val="0"/>
        <w:autoSpaceDN w:val="0"/>
        <w:adjustRightInd w:val="0"/>
        <w:rPr>
          <w:rFonts w:eastAsia="Verdana" w:cs="Verdana"/>
          <w:bCs/>
          <w:szCs w:val="20"/>
        </w:rPr>
      </w:pPr>
      <w:r w:rsidRPr="009E064B">
        <w:rPr>
          <w:rFonts w:eastAsia="Verdana" w:cs="Verdana"/>
          <w:bCs/>
          <w:szCs w:val="20"/>
        </w:rPr>
        <w:t xml:space="preserve">Informacje </w:t>
      </w:r>
      <w:r w:rsidRPr="009E064B">
        <w:rPr>
          <w:rFonts w:eastAsia="Times New Roman,Italic" w:cs="Times New Roman,Italic"/>
          <w:iCs/>
          <w:szCs w:val="20"/>
        </w:rPr>
        <w:t>dotyczące</w:t>
      </w:r>
      <w:r w:rsidRPr="009E064B">
        <w:rPr>
          <w:rFonts w:eastAsia="Verdana" w:cs="Verdana"/>
          <w:bCs/>
          <w:szCs w:val="20"/>
        </w:rPr>
        <w:t xml:space="preserve"> nośności nawierzchni, w tym systemu klasy</w:t>
      </w:r>
      <w:r w:rsidR="009175CF" w:rsidRPr="009E064B">
        <w:rPr>
          <w:rFonts w:eastAsia="Verdana" w:cs="Verdana"/>
          <w:bCs/>
          <w:szCs w:val="20"/>
        </w:rPr>
        <w:t xml:space="preserve">fikacji ACN/PCN, znajdują się </w:t>
      </w:r>
      <w:r w:rsidR="009175CF" w:rsidRPr="009E064B">
        <w:rPr>
          <w:rFonts w:eastAsia="Verdana" w:cs="Verdana"/>
          <w:bCs/>
          <w:szCs w:val="20"/>
        </w:rPr>
        <w:br/>
        <w:t>w </w:t>
      </w:r>
      <w:hyperlink w:anchor="_GM1_ADR-DSN.B.085_" w:history="1">
        <w:r w:rsidRPr="009E064B">
          <w:rPr>
            <w:rStyle w:val="Hipercze"/>
            <w:rFonts w:eastAsia="Verdana" w:cs="Verdana"/>
            <w:bCs/>
            <w:szCs w:val="20"/>
          </w:rPr>
          <w:t>GM1 ADR-DSN.B.085</w:t>
        </w:r>
      </w:hyperlink>
      <w:r w:rsidRPr="009E064B">
        <w:rPr>
          <w:rFonts w:eastAsia="Verdana" w:cs="Verdana"/>
          <w:bCs/>
          <w:szCs w:val="20"/>
        </w:rPr>
        <w:t>.</w:t>
      </w:r>
    </w:p>
    <w:p w14:paraId="6CA56AF0" w14:textId="77777777" w:rsidR="001C0060" w:rsidRPr="009E064B" w:rsidRDefault="001C0060" w:rsidP="00B06A9A">
      <w:pPr>
        <w:autoSpaceDE w:val="0"/>
        <w:autoSpaceDN w:val="0"/>
        <w:adjustRightInd w:val="0"/>
        <w:rPr>
          <w:rFonts w:eastAsia="Verdana" w:cs="Verdana"/>
          <w:bCs/>
          <w:szCs w:val="20"/>
        </w:rPr>
      </w:pPr>
      <w:r w:rsidRPr="009E064B">
        <w:rPr>
          <w:rFonts w:eastAsia="Verdana" w:cs="Verdana"/>
          <w:bCs/>
          <w:szCs w:val="20"/>
        </w:rPr>
        <w:t xml:space="preserve">Należy zwrócić uwagę </w:t>
      </w:r>
      <w:r w:rsidRPr="009E064B">
        <w:rPr>
          <w:rFonts w:eastAsia="Times New Roman,Italic" w:cs="Times New Roman,Italic"/>
          <w:iCs/>
          <w:szCs w:val="20"/>
        </w:rPr>
        <w:t>na</w:t>
      </w:r>
      <w:r w:rsidRPr="009E064B">
        <w:rPr>
          <w:rFonts w:eastAsia="Verdana" w:cs="Verdana"/>
          <w:bCs/>
          <w:szCs w:val="20"/>
        </w:rPr>
        <w:t xml:space="preserve"> fakt, że na drodze kołowania występuje większe natężenie ruchu i w wyniku wolno poruszających się lub nieruchomych statków powietrznych droga kołowania podlega większym naprężeniom niż ma to miejsce w przypadku drogi startowej.</w:t>
      </w:r>
    </w:p>
    <w:p w14:paraId="21046AA2"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968F3AC" w14:textId="6999AE80" w:rsidR="00C36D76" w:rsidRPr="009E064B" w:rsidRDefault="00D05B14" w:rsidP="00B06A9A">
      <w:pPr>
        <w:pStyle w:val="Nagwek4"/>
        <w:rPr>
          <w:color w:val="auto"/>
        </w:rPr>
      </w:pPr>
      <w:bookmarkStart w:id="1077" w:name="_Toc482886590"/>
      <w:bookmarkStart w:id="1078" w:name="_Toc12533027"/>
      <w:r w:rsidRPr="009E064B">
        <w:rPr>
          <w:color w:val="auto"/>
        </w:rPr>
        <w:t xml:space="preserve">CS ADR-DSN.D.290     </w:t>
      </w:r>
      <w:r w:rsidR="00C36D76" w:rsidRPr="009E064B">
        <w:rPr>
          <w:color w:val="auto"/>
        </w:rPr>
        <w:t>Powierzchnia drogi kołowania</w:t>
      </w:r>
      <w:bookmarkEnd w:id="1077"/>
      <w:bookmarkEnd w:id="1078"/>
    </w:p>
    <w:p w14:paraId="0A58D665" w14:textId="7417EBDB"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D258A0E"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Powierzchnia drogi kołowania powinna być pozbawiona nierówności, które mogłyby spowodować uszkodzenie konstrukcji statku powietrznego.</w:t>
      </w:r>
    </w:p>
    <w:p w14:paraId="742DF8C0" w14:textId="77777777" w:rsidR="00C36D76" w:rsidRPr="009E064B" w:rsidRDefault="00C36D76" w:rsidP="00B06A9A">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Powierzchnia drogi kołowania o nawierzchni sztucznej powinna być tak zbudowana albo odnowiona, aby zapewniała odpowiednie charakterystyki tarcia powierzchni.</w:t>
      </w:r>
    </w:p>
    <w:p w14:paraId="22ACCA66"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9DD6D37" w14:textId="6CAF1C99" w:rsidR="001C0060" w:rsidRPr="009E064B" w:rsidRDefault="001C0060" w:rsidP="00133B99">
      <w:pPr>
        <w:pStyle w:val="Nagwek6"/>
      </w:pPr>
      <w:bookmarkStart w:id="1079" w:name="_Toc401058948"/>
      <w:bookmarkStart w:id="1080" w:name="_Toc482886814"/>
      <w:bookmarkStart w:id="1081" w:name="_Toc12533028"/>
      <w:r w:rsidRPr="009E064B">
        <w:t xml:space="preserve">GM1 ADR-DSN.D.290 </w:t>
      </w:r>
      <w:r w:rsidR="00D05B14" w:rsidRPr="009E064B">
        <w:t xml:space="preserve">    </w:t>
      </w:r>
      <w:r w:rsidRPr="009E064B">
        <w:t xml:space="preserve">Powierzchnia </w:t>
      </w:r>
      <w:bookmarkEnd w:id="1079"/>
      <w:r w:rsidRPr="009E064B">
        <w:t>drogi kołowania</w:t>
      </w:r>
      <w:bookmarkEnd w:id="1080"/>
      <w:bookmarkEnd w:id="1081"/>
    </w:p>
    <w:p w14:paraId="1EB3BFBC" w14:textId="6E9D43B9"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0CF4039" w14:textId="77777777" w:rsidR="001C0060" w:rsidRPr="009E064B" w:rsidRDefault="001C0060" w:rsidP="00B06A9A">
      <w:pPr>
        <w:autoSpaceDE w:val="0"/>
        <w:autoSpaceDN w:val="0"/>
        <w:adjustRightInd w:val="0"/>
        <w:rPr>
          <w:rFonts w:cs="Times New Roman"/>
          <w:szCs w:val="20"/>
        </w:rPr>
      </w:pPr>
      <w:r w:rsidRPr="009E064B">
        <w:rPr>
          <w:rFonts w:cs="Times New Roman"/>
          <w:szCs w:val="20"/>
        </w:rPr>
        <w:t xml:space="preserve">Odpowiednie charakterystyki tarcia powierzchni są to takie właściwości powierzchni, które są wymagane na drogach </w:t>
      </w:r>
      <w:r w:rsidRPr="009E064B">
        <w:rPr>
          <w:rFonts w:eastAsia="Verdana" w:cs="Verdana"/>
          <w:bCs/>
          <w:szCs w:val="20"/>
        </w:rPr>
        <w:t>kołowania</w:t>
      </w:r>
      <w:r w:rsidRPr="009E064B">
        <w:rPr>
          <w:rFonts w:cs="Times New Roman"/>
          <w:szCs w:val="20"/>
        </w:rPr>
        <w:t>, do zapewnienia bezpiecznych operacji samolotów.</w:t>
      </w:r>
    </w:p>
    <w:p w14:paraId="59DFBBFF"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7739292" w14:textId="66A662D1" w:rsidR="00C36D76" w:rsidRPr="009E064B" w:rsidRDefault="00F85C28" w:rsidP="00B06A9A">
      <w:pPr>
        <w:pStyle w:val="Nagwek4"/>
        <w:rPr>
          <w:color w:val="auto"/>
        </w:rPr>
      </w:pPr>
      <w:bookmarkStart w:id="1082" w:name="_Toc482886591"/>
      <w:bookmarkStart w:id="1083" w:name="_Toc12533029"/>
      <w:r w:rsidRPr="009E064B">
        <w:rPr>
          <w:color w:val="auto"/>
        </w:rPr>
        <w:t xml:space="preserve">CS ADR-DSN.D.295     </w:t>
      </w:r>
      <w:r w:rsidR="00C36D76" w:rsidRPr="009E064B">
        <w:rPr>
          <w:color w:val="auto"/>
        </w:rPr>
        <w:t>Droga kołowania szybkiego zjazdu</w:t>
      </w:r>
      <w:bookmarkEnd w:id="1082"/>
      <w:bookmarkEnd w:id="1083"/>
    </w:p>
    <w:p w14:paraId="3454D554" w14:textId="685D6B15"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7CAE1F4" w14:textId="72D5927B"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drogi kołowania szybkiego zjazdu jest umożliwienie bezpiecznego, szybkiego zjazdu samolotów z drogi startowej.</w:t>
      </w:r>
    </w:p>
    <w:p w14:paraId="0D4B0B3C"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Droga kołowania szybkiego zjazdu powinna być tak zaprojektowana, aby promień skrętu do zjazdu wynosił, co najmniej:</w:t>
      </w:r>
    </w:p>
    <w:p w14:paraId="12FABC1D"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550 m, jeżeli cyfrą kodu jest 3 lub 4, oraz</w:t>
      </w:r>
    </w:p>
    <w:p w14:paraId="380F6AAB"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275 m, jeżeli cyfrą kodu jest 1 lub 2,</w:t>
      </w:r>
    </w:p>
    <w:p w14:paraId="427BFC8F" w14:textId="77777777" w:rsidR="00C36D76" w:rsidRPr="009E064B" w:rsidRDefault="00C36D76" w:rsidP="00B06A9A">
      <w:pPr>
        <w:pStyle w:val="Akapitzlist"/>
        <w:autoSpaceDE w:val="0"/>
        <w:autoSpaceDN w:val="0"/>
        <w:adjustRightInd w:val="0"/>
        <w:ind w:left="1134"/>
        <w:rPr>
          <w:rFonts w:cs="TimesNewRomanPS-ItalicMT"/>
          <w:iCs/>
          <w:szCs w:val="20"/>
        </w:rPr>
      </w:pPr>
      <w:r w:rsidRPr="009E064B">
        <w:rPr>
          <w:rFonts w:cs="TimesNewRomanPS-ItalicMT"/>
          <w:iCs/>
          <w:szCs w:val="20"/>
        </w:rPr>
        <w:t>aby, przy mokrej nawierzchni umożliwić zachowanie prędkości:</w:t>
      </w:r>
    </w:p>
    <w:p w14:paraId="2994DD02" w14:textId="77777777" w:rsidR="00C36D76" w:rsidRPr="009E064B" w:rsidRDefault="00C36D76" w:rsidP="00B06A9A">
      <w:pPr>
        <w:tabs>
          <w:tab w:val="left" w:pos="1701"/>
        </w:tabs>
        <w:autoSpaceDE w:val="0"/>
        <w:autoSpaceDN w:val="0"/>
        <w:adjustRightInd w:val="0"/>
        <w:ind w:left="1701" w:hanging="567"/>
        <w:rPr>
          <w:rFonts w:cs="TimesNewRomanPS-ItalicMT"/>
          <w:iCs/>
          <w:szCs w:val="20"/>
        </w:rPr>
      </w:pPr>
      <w:r w:rsidRPr="009E064B">
        <w:rPr>
          <w:rFonts w:cs="Times New Roman"/>
          <w:szCs w:val="20"/>
        </w:rPr>
        <w:t xml:space="preserve">(i) </w:t>
      </w:r>
      <w:r w:rsidRPr="009E064B">
        <w:rPr>
          <w:rFonts w:cs="Times New Roman"/>
          <w:szCs w:val="20"/>
        </w:rPr>
        <w:tab/>
      </w:r>
      <w:r w:rsidRPr="009E064B">
        <w:rPr>
          <w:rFonts w:cs="TimesNewRomanPS-ItalicMT"/>
          <w:iCs/>
          <w:szCs w:val="20"/>
        </w:rPr>
        <w:t>93 km/godz., jeżeli cyfrą kodu jest 3 lub 4; oraz</w:t>
      </w:r>
    </w:p>
    <w:p w14:paraId="4EEF4E26" w14:textId="77777777" w:rsidR="00C36D76" w:rsidRPr="009E064B" w:rsidRDefault="00C36D76" w:rsidP="00B06A9A">
      <w:pPr>
        <w:tabs>
          <w:tab w:val="left" w:pos="1701"/>
        </w:tabs>
        <w:autoSpaceDE w:val="0"/>
        <w:autoSpaceDN w:val="0"/>
        <w:adjustRightInd w:val="0"/>
        <w:ind w:left="1701" w:hanging="567"/>
        <w:rPr>
          <w:szCs w:val="20"/>
        </w:rPr>
      </w:pPr>
      <w:r w:rsidRPr="009E064B">
        <w:rPr>
          <w:rFonts w:cs="Times New Roman"/>
          <w:szCs w:val="20"/>
        </w:rPr>
        <w:t xml:space="preserve">(ii) </w:t>
      </w:r>
      <w:r w:rsidRPr="009E064B">
        <w:rPr>
          <w:rFonts w:cs="Times New Roman"/>
          <w:szCs w:val="20"/>
        </w:rPr>
        <w:tab/>
      </w:r>
      <w:r w:rsidRPr="009E064B">
        <w:rPr>
          <w:rFonts w:cs="TimesNewRomanPS-ItalicMT"/>
          <w:iCs/>
          <w:szCs w:val="20"/>
        </w:rPr>
        <w:t>65 km/godz., jeżeli cyfrą kodu jest 1 lub 2.</w:t>
      </w:r>
    </w:p>
    <w:p w14:paraId="4D95D907"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Promień zaokrąglenia po wewnętrznej stronie łuku drogi kołowania szybkiego zjazdu powinien być wystarczający dla zapewnienia poszerzonego zjazdu z drogi startowej na drogę kołowania szybkiego zjazdu, który umożliwi wczesne rozpoznanie tego zjazdu i wykonanie zakrętu na tą drogę.</w:t>
      </w:r>
    </w:p>
    <w:p w14:paraId="08B3B77D" w14:textId="15E8687F"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 xml:space="preserve">Po skręcie z drogi startowej, na drodze kołowania szybkiego zjazdu, powinien znajdować się odcinek prosty o długości umożliwiającej statkowi powietrznemu opuszczającemu drogę startową, całkowite zatrzymanie przed skrzyżowaniem </w:t>
      </w:r>
      <w:r w:rsidR="006860C3" w:rsidRPr="009E064B">
        <w:rPr>
          <w:rFonts w:cs="TimesNewRomanPS-ItalicMT"/>
          <w:iCs/>
          <w:szCs w:val="20"/>
        </w:rPr>
        <w:t>z inną drogą kołowania (Rysunek </w:t>
      </w:r>
      <w:r w:rsidRPr="009E064B">
        <w:rPr>
          <w:rFonts w:cs="TimesNewRomanPS-ItalicMT"/>
          <w:iCs/>
          <w:szCs w:val="20"/>
        </w:rPr>
        <w:t>D-1).</w:t>
      </w:r>
    </w:p>
    <w:p w14:paraId="7192F6FF" w14:textId="0C2F5ED6" w:rsidR="00C36D76" w:rsidRPr="009E064B" w:rsidRDefault="00C36D76" w:rsidP="00DA7DA1">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(e) </w:t>
      </w:r>
      <w:r w:rsidRPr="009E064B">
        <w:rPr>
          <w:rFonts w:cs="Times New Roman"/>
          <w:szCs w:val="20"/>
        </w:rPr>
        <w:tab/>
      </w:r>
      <w:r w:rsidRPr="009E064B">
        <w:rPr>
          <w:rFonts w:cs="TimesNewRomanPS-ItalicMT"/>
          <w:iCs/>
          <w:szCs w:val="20"/>
        </w:rPr>
        <w:t>Kąt skrzyżowania drogi kołowania szybkiego zjazdu z drogą startową nie powinien być większy niż 45° i mniejszy niż 25°, a najkorzystniejszy kąt skrzyżowania wynosi 30°.</w:t>
      </w:r>
    </w:p>
    <w:p w14:paraId="1055F8B6" w14:textId="379FDF9D" w:rsidR="00C45559" w:rsidRPr="009E064B" w:rsidRDefault="00C45559" w:rsidP="00B06A9A">
      <w:pPr>
        <w:tabs>
          <w:tab w:val="left" w:pos="567"/>
        </w:tabs>
        <w:autoSpaceDE w:val="0"/>
        <w:autoSpaceDN w:val="0"/>
        <w:adjustRightInd w:val="0"/>
        <w:ind w:left="567" w:hanging="567"/>
        <w:rPr>
          <w:rFonts w:cs="TimesNewRomanPS-ItalicMT"/>
          <w:iCs/>
          <w:szCs w:val="20"/>
        </w:rPr>
      </w:pPr>
    </w:p>
    <w:p w14:paraId="0B5256EA" w14:textId="703136CD" w:rsidR="00C45559" w:rsidRPr="009E064B" w:rsidRDefault="00C45559" w:rsidP="006860C3">
      <w:pPr>
        <w:tabs>
          <w:tab w:val="left" w:pos="567"/>
        </w:tabs>
        <w:autoSpaceDE w:val="0"/>
        <w:autoSpaceDN w:val="0"/>
        <w:adjustRightInd w:val="0"/>
        <w:ind w:left="567" w:hanging="567"/>
        <w:jc w:val="right"/>
        <w:rPr>
          <w:szCs w:val="20"/>
        </w:rPr>
      </w:pPr>
      <w:r w:rsidRPr="009E064B">
        <w:rPr>
          <w:noProof/>
          <w:lang w:eastAsia="pl-PL"/>
        </w:rPr>
        <w:drawing>
          <wp:inline distT="0" distB="0" distL="0" distR="0" wp14:anchorId="0A031B79" wp14:editId="33218EC9">
            <wp:extent cx="5760720" cy="3585290"/>
            <wp:effectExtent l="0" t="0" r="0" b="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0720" cy="3585290"/>
                    </a:xfrm>
                    <a:prstGeom prst="rect">
                      <a:avLst/>
                    </a:prstGeom>
                    <a:noFill/>
                    <a:ln>
                      <a:noFill/>
                    </a:ln>
                  </pic:spPr>
                </pic:pic>
              </a:graphicData>
            </a:graphic>
          </wp:inline>
        </w:drawing>
      </w:r>
    </w:p>
    <w:p w14:paraId="6179397C" w14:textId="77777777" w:rsidR="00C36D76" w:rsidRPr="005D070C" w:rsidRDefault="00C36D76" w:rsidP="000F56FB">
      <w:pPr>
        <w:spacing w:after="360"/>
        <w:jc w:val="center"/>
        <w:rPr>
          <w:b/>
          <w:sz w:val="20"/>
          <w:szCs w:val="20"/>
        </w:rPr>
      </w:pPr>
      <w:r w:rsidRPr="005D070C">
        <w:rPr>
          <w:b/>
          <w:sz w:val="20"/>
          <w:szCs w:val="20"/>
        </w:rPr>
        <w:t>Rysunek D-1. Droga kołowania szybkiego zjazdu.</w:t>
      </w:r>
    </w:p>
    <w:p w14:paraId="029F3CFE" w14:textId="77777777" w:rsidR="001C0060" w:rsidRPr="009E064B" w:rsidRDefault="001C0060" w:rsidP="00133B99">
      <w:pPr>
        <w:pStyle w:val="Nagwek6"/>
      </w:pPr>
      <w:bookmarkStart w:id="1084" w:name="_Toc482886815"/>
      <w:bookmarkStart w:id="1085" w:name="_Toc12533030"/>
      <w:bookmarkStart w:id="1086" w:name="_Toc482886592"/>
      <w:r w:rsidRPr="009E064B">
        <w:t xml:space="preserve">GM1 ADR-DSN.D.295 </w:t>
      </w:r>
      <w:r w:rsidR="00D05B14" w:rsidRPr="009E064B">
        <w:t xml:space="preserve">    </w:t>
      </w:r>
      <w:r w:rsidRPr="009E064B">
        <w:t>Droga kołowania szybkiego zjazdu</w:t>
      </w:r>
      <w:bookmarkEnd w:id="1084"/>
      <w:bookmarkEnd w:id="1085"/>
    </w:p>
    <w:p w14:paraId="31F38F73" w14:textId="0277B8F5"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7D30AF0" w14:textId="77777777" w:rsidR="001C0060" w:rsidRPr="009E064B" w:rsidRDefault="001C0060"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zCs w:val="20"/>
        </w:rPr>
        <w:t>Poniższe wytyczne mają zastosowanie w szczególności do dróg kołowania szybkiego zjazdu (patrz Rysunek D-1). Ogólne wymagania dotyczące dróg kołowania, jak określono w Części 1, mają również zastosowanie do dróg kołowania szybkiego zjazdu. Wytyczne dotyczące zapewniania, lokalizacji i projektowania dróg kołowania szybkiego zjazdu znajdują się w „</w:t>
      </w:r>
      <w:r w:rsidRPr="009E064B">
        <w:rPr>
          <w:rFonts w:eastAsia="Verdana" w:cs="Verdana"/>
          <w:bCs/>
          <w:i/>
          <w:szCs w:val="20"/>
        </w:rPr>
        <w:t>Podręczniku projektowania lotnisk</w:t>
      </w:r>
      <w:r w:rsidRPr="009E064B">
        <w:rPr>
          <w:rFonts w:eastAsia="Verdana" w:cs="Verdana"/>
          <w:bCs/>
          <w:szCs w:val="20"/>
        </w:rPr>
        <w:t>” ICAO Doc 9157, Część 2 „</w:t>
      </w:r>
      <w:r w:rsidRPr="009E064B">
        <w:rPr>
          <w:rFonts w:eastAsia="Verdana" w:cs="Verdana"/>
          <w:bCs/>
          <w:i/>
          <w:szCs w:val="20"/>
        </w:rPr>
        <w:t>Drogi kołowania, płyty postojowe oraz zatoki oczekiwania</w:t>
      </w:r>
      <w:r w:rsidRPr="009E064B">
        <w:rPr>
          <w:rFonts w:eastAsia="Verdana" w:cs="Verdana"/>
          <w:bCs/>
          <w:szCs w:val="20"/>
        </w:rPr>
        <w:t>”.</w:t>
      </w:r>
      <w:r w:rsidRPr="009E064B">
        <w:rPr>
          <w:rFonts w:cs="TimesNewRomanPS-BoldItalicMT"/>
          <w:bCs/>
          <w:iCs/>
          <w:szCs w:val="20"/>
        </w:rPr>
        <w:t xml:space="preserve"> </w:t>
      </w:r>
    </w:p>
    <w:p w14:paraId="26579A11" w14:textId="77777777" w:rsidR="001C0060" w:rsidRPr="009E064B" w:rsidRDefault="001C0060" w:rsidP="00B06A9A">
      <w:pPr>
        <w:tabs>
          <w:tab w:val="left" w:pos="567"/>
        </w:tabs>
        <w:autoSpaceDE w:val="0"/>
        <w:autoSpaceDN w:val="0"/>
        <w:adjustRightInd w:val="0"/>
        <w:spacing w:after="0"/>
        <w:ind w:left="567" w:hanging="567"/>
        <w:rPr>
          <w:rFonts w:eastAsia="Verdana" w:cs="Verdana"/>
          <w:bCs/>
          <w:szCs w:val="20"/>
        </w:rPr>
      </w:pPr>
      <w:r w:rsidRPr="009E064B">
        <w:rPr>
          <w:rFonts w:cs="TimesNewRomanPS-BoldItalicMT"/>
          <w:bCs/>
          <w:iCs/>
          <w:szCs w:val="20"/>
        </w:rPr>
        <w:t xml:space="preserve">(b) </w:t>
      </w:r>
      <w:r w:rsidRPr="009E064B">
        <w:rPr>
          <w:rFonts w:cs="TimesNewRomanPS-BoldItalicMT"/>
          <w:bCs/>
          <w:iCs/>
          <w:szCs w:val="20"/>
        </w:rPr>
        <w:tab/>
        <w:t>Lokalizacja</w:t>
      </w:r>
      <w:r w:rsidRPr="009E064B">
        <w:rPr>
          <w:rFonts w:eastAsia="Verdana" w:cs="Verdana"/>
          <w:bCs/>
          <w:szCs w:val="20"/>
        </w:rPr>
        <w:t xml:space="preserve"> dróg kołowania szybkiego zjazdu wzdłuż drogi startowej oparta jest na kilku </w:t>
      </w:r>
      <w:r w:rsidRPr="009E064B">
        <w:rPr>
          <w:rFonts w:eastAsia="Times New Roman,Italic" w:cs="Times New Roman,Italic"/>
          <w:iCs/>
          <w:szCs w:val="20"/>
        </w:rPr>
        <w:t>kryteriach</w:t>
      </w:r>
      <w:r w:rsidRPr="009E064B">
        <w:rPr>
          <w:rFonts w:eastAsia="Verdana" w:cs="Verdana"/>
          <w:bCs/>
          <w:szCs w:val="20"/>
        </w:rPr>
        <w:t xml:space="preserve"> opisanych 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Pr="009E064B">
        <w:rPr>
          <w:rFonts w:eastAsia="Verdana" w:cs="Verdana"/>
          <w:bCs/>
          <w:szCs w:val="20"/>
        </w:rPr>
        <w:t>Część 2 „</w:t>
      </w:r>
      <w:r w:rsidRPr="009E064B">
        <w:rPr>
          <w:rFonts w:eastAsia="Verdana" w:cs="Verdana"/>
          <w:bCs/>
          <w:i/>
          <w:szCs w:val="20"/>
        </w:rPr>
        <w:t>Drogi kołowania, płyty postojowe oraz zatoki oczekiwania</w:t>
      </w:r>
      <w:r w:rsidRPr="009E064B">
        <w:rPr>
          <w:rFonts w:eastAsia="Verdana" w:cs="Verdana"/>
          <w:bCs/>
          <w:szCs w:val="20"/>
        </w:rPr>
        <w:t>”, poza różnymi kryteriami dotyczącymi prędkości.</w:t>
      </w:r>
    </w:p>
    <w:p w14:paraId="09BE41D7"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0D42C61" w14:textId="0A7267DF" w:rsidR="00C36D76" w:rsidRPr="009E064B" w:rsidRDefault="00F85C28" w:rsidP="00B06A9A">
      <w:pPr>
        <w:pStyle w:val="Nagwek4"/>
        <w:rPr>
          <w:color w:val="auto"/>
        </w:rPr>
      </w:pPr>
      <w:bookmarkStart w:id="1087" w:name="_Toc12533031"/>
      <w:r w:rsidRPr="009E064B">
        <w:rPr>
          <w:color w:val="auto"/>
        </w:rPr>
        <w:t xml:space="preserve">CS ADR-DSN.D.300     </w:t>
      </w:r>
      <w:r w:rsidR="00C36D76" w:rsidRPr="009E064B">
        <w:rPr>
          <w:color w:val="auto"/>
        </w:rPr>
        <w:t>Droga kołowania na wiadukcie</w:t>
      </w:r>
      <w:bookmarkEnd w:id="1086"/>
      <w:bookmarkEnd w:id="1087"/>
    </w:p>
    <w:p w14:paraId="5731DF8D" w14:textId="315C570B"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6B757A9" w14:textId="602EF8D5" w:rsidR="00C36D76" w:rsidRPr="009E064B" w:rsidRDefault="00C36D76" w:rsidP="00F85C28">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Szerokość tej części wiaduktu drogi kołowania przeznaczonego do przenoszenia obciążenia statków powietrznych, mierzona prostopadle do linii środkowej drogi kołow</w:t>
      </w:r>
      <w:r w:rsidRPr="009E064B">
        <w:rPr>
          <w:rFonts w:cs="TimesNewRomanPS-ItalicMT"/>
          <w:iCs/>
          <w:szCs w:val="20"/>
        </w:rPr>
        <w:t>a</w:t>
      </w:r>
      <w:r w:rsidRPr="009E064B">
        <w:rPr>
          <w:rFonts w:cs="TimesNewRomanPSMT"/>
          <w:szCs w:val="20"/>
        </w:rPr>
        <w:t>nia, powinna być nie mniejsza niż szerokość wyrównanej części pasa tej drogi kołowania, z wyłączeniem przypadków, gdy zapewniona jest inna skuteczna metoda bocznego zabezpieczenia niestwarzająca niebezpieczeństwa dla statków powietrznych, dla których dana droga kołowania jest przeznaczona.</w:t>
      </w:r>
    </w:p>
    <w:p w14:paraId="62AAC0BD"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Należy z obydwu stron zapewnić dostęp interweniującym pojazdom ratowniczo-gaśniczym tak, aby spełnione były wymagania, co do czasu reakcji dla największego statku powietrznego, dla którego została przeznaczona droga kołowania na wiadukcie.</w:t>
      </w:r>
    </w:p>
    <w:p w14:paraId="4BB10467"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Wiadukty powinny być budowane na prostych odcinkach dróg kołowania z odcinkami prostymi po obydwu końcach wiaduktu, w celu ułatwienia prowadzenia statku powietrznego zbliżającego się do wiaduktu.</w:t>
      </w:r>
    </w:p>
    <w:p w14:paraId="6102B2EA" w14:textId="2B32B341" w:rsidR="001C0060" w:rsidRPr="009E064B" w:rsidRDefault="00F85C28" w:rsidP="00133B99">
      <w:pPr>
        <w:pStyle w:val="Nagwek6"/>
      </w:pPr>
      <w:bookmarkStart w:id="1088" w:name="_Toc401058950"/>
      <w:bookmarkStart w:id="1089" w:name="_Toc482886816"/>
      <w:bookmarkStart w:id="1090" w:name="_Toc12533032"/>
      <w:r w:rsidRPr="009E064B">
        <w:t xml:space="preserve">GM1 ADR-DSN.D.300     </w:t>
      </w:r>
      <w:r w:rsidR="001C0060" w:rsidRPr="009E064B">
        <w:t>Droga kołowania na wiadukcie</w:t>
      </w:r>
      <w:bookmarkEnd w:id="1088"/>
      <w:bookmarkEnd w:id="1089"/>
      <w:bookmarkEnd w:id="1090"/>
    </w:p>
    <w:p w14:paraId="52DECF7B" w14:textId="7EA6954D"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F96B07F" w14:textId="77777777" w:rsidR="001C0060" w:rsidRPr="009E064B" w:rsidRDefault="001C0060"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Jeżeli silniki samolotu sięgają poza krawędzie boczne wiaduktu, konieczna może okazać się ochrona przyległych obszarów pod wiaduktem przed skutkami podmuchu silników.</w:t>
      </w:r>
    </w:p>
    <w:p w14:paraId="2D5941E9" w14:textId="09D70377" w:rsidR="00C36D76" w:rsidRPr="009E064B" w:rsidRDefault="00F85C28" w:rsidP="00B06A9A">
      <w:pPr>
        <w:pStyle w:val="Nagwek4"/>
        <w:rPr>
          <w:color w:val="auto"/>
        </w:rPr>
      </w:pPr>
      <w:bookmarkStart w:id="1091" w:name="_Toc482886593"/>
      <w:bookmarkStart w:id="1092" w:name="_Toc12533033"/>
      <w:r w:rsidRPr="009E064B">
        <w:rPr>
          <w:color w:val="auto"/>
        </w:rPr>
        <w:t xml:space="preserve">CS ADR-DSN.D.305     </w:t>
      </w:r>
      <w:r w:rsidR="00C36D76" w:rsidRPr="009E064B">
        <w:rPr>
          <w:color w:val="auto"/>
        </w:rPr>
        <w:t>Pobocza drogi kołowania</w:t>
      </w:r>
      <w:bookmarkEnd w:id="1091"/>
      <w:bookmarkEnd w:id="1092"/>
    </w:p>
    <w:p w14:paraId="5FB1BCF1" w14:textId="44D2D27C"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44246A9" w14:textId="53CC7EF4" w:rsidR="00C36D76" w:rsidRPr="005D070C" w:rsidRDefault="00C36D76" w:rsidP="00F85C28">
      <w:pPr>
        <w:tabs>
          <w:tab w:val="left" w:pos="567"/>
        </w:tabs>
        <w:autoSpaceDE w:val="0"/>
        <w:autoSpaceDN w:val="0"/>
        <w:adjustRightInd w:val="0"/>
        <w:ind w:left="567" w:hanging="567"/>
        <w:rPr>
          <w:rFonts w:cs="TimesNewRomanPS-ItalicMT"/>
          <w:iCs/>
          <w:color w:val="000000" w:themeColor="text1"/>
          <w:szCs w:val="20"/>
        </w:rPr>
      </w:pPr>
      <w:r w:rsidRPr="005D070C">
        <w:rPr>
          <w:rFonts w:cs="Times New Roman"/>
          <w:color w:val="000000" w:themeColor="text1"/>
          <w:szCs w:val="20"/>
        </w:rPr>
        <w:t xml:space="preserve">(a) </w:t>
      </w:r>
      <w:r w:rsidRPr="005D070C">
        <w:rPr>
          <w:rFonts w:cs="Times New Roman"/>
          <w:color w:val="000000" w:themeColor="text1"/>
          <w:szCs w:val="20"/>
        </w:rPr>
        <w:tab/>
      </w:r>
      <w:r w:rsidRPr="005D070C">
        <w:rPr>
          <w:rFonts w:cs="TimesNewRomanPS-ItalicMT"/>
          <w:iCs/>
          <w:color w:val="000000" w:themeColor="text1"/>
          <w:szCs w:val="20"/>
        </w:rPr>
        <w:t>Jeżeli literą kodu jest C, D, E lub F, to proste odcinki drogi kołowania powinny być wyposażone w pobocza, które rozciągają się symetrycznie z obu stron drogi kołowania, w taki sposób, aby całkowita szerokość prostych odcinków drogi kołowania i jej poboczy nie była mniejsza niż:</w:t>
      </w:r>
    </w:p>
    <w:p w14:paraId="0D9D9205" w14:textId="4F2F6ADC"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 New Roman"/>
          <w:color w:val="000000" w:themeColor="text1"/>
          <w:szCs w:val="20"/>
        </w:rPr>
        <w:t xml:space="preserve">(1) </w:t>
      </w:r>
      <w:r w:rsidRPr="005D070C">
        <w:rPr>
          <w:rFonts w:cs="Times New Roman"/>
          <w:color w:val="000000" w:themeColor="text1"/>
          <w:szCs w:val="20"/>
        </w:rPr>
        <w:tab/>
      </w:r>
      <w:r w:rsidR="00FB199F" w:rsidRPr="005D070C">
        <w:rPr>
          <w:rFonts w:cs="TimesNewRomanPS-ItalicMT"/>
          <w:iCs/>
          <w:color w:val="000000" w:themeColor="text1"/>
          <w:szCs w:val="20"/>
        </w:rPr>
        <w:t>44</w:t>
      </w:r>
      <w:r w:rsidRPr="005D070C">
        <w:rPr>
          <w:rFonts w:cs="TimesNewRomanPS-ItalicMT"/>
          <w:iCs/>
          <w:color w:val="000000" w:themeColor="text1"/>
          <w:szCs w:val="20"/>
        </w:rPr>
        <w:t xml:space="preserve"> m, jeżeli literą kodu jest F;</w:t>
      </w:r>
    </w:p>
    <w:p w14:paraId="70F78E60" w14:textId="69235136"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 New Roman"/>
          <w:color w:val="000000" w:themeColor="text1"/>
          <w:szCs w:val="20"/>
        </w:rPr>
        <w:t xml:space="preserve">(2) </w:t>
      </w:r>
      <w:r w:rsidRPr="005D070C">
        <w:rPr>
          <w:rFonts w:cs="Times New Roman"/>
          <w:color w:val="000000" w:themeColor="text1"/>
          <w:szCs w:val="20"/>
        </w:rPr>
        <w:tab/>
      </w:r>
      <w:r w:rsidR="00FB199F" w:rsidRPr="005D070C">
        <w:rPr>
          <w:rFonts w:cs="TimesNewRomanPS-ItalicMT"/>
          <w:iCs/>
          <w:color w:val="000000" w:themeColor="text1"/>
          <w:szCs w:val="20"/>
        </w:rPr>
        <w:t>38</w:t>
      </w:r>
      <w:r w:rsidRPr="005D070C">
        <w:rPr>
          <w:rFonts w:cs="TimesNewRomanPS-ItalicMT"/>
          <w:iCs/>
          <w:color w:val="000000" w:themeColor="text1"/>
          <w:szCs w:val="20"/>
        </w:rPr>
        <w:t xml:space="preserve"> m, jeżeli literą kodu jest E;</w:t>
      </w:r>
    </w:p>
    <w:p w14:paraId="641DDA6E" w14:textId="0AEF75EA" w:rsidR="00C36D76" w:rsidRPr="005D070C" w:rsidRDefault="00C36D76" w:rsidP="00B06A9A">
      <w:pPr>
        <w:tabs>
          <w:tab w:val="left" w:pos="1134"/>
        </w:tabs>
        <w:autoSpaceDE w:val="0"/>
        <w:autoSpaceDN w:val="0"/>
        <w:adjustRightInd w:val="0"/>
        <w:ind w:left="1134" w:hanging="567"/>
        <w:rPr>
          <w:rFonts w:cs="TimesNewRomanPS-ItalicMT"/>
          <w:iCs/>
          <w:color w:val="000000" w:themeColor="text1"/>
          <w:szCs w:val="20"/>
        </w:rPr>
      </w:pPr>
      <w:r w:rsidRPr="005D070C">
        <w:rPr>
          <w:rFonts w:cs="Times New Roman"/>
          <w:color w:val="000000" w:themeColor="text1"/>
          <w:szCs w:val="20"/>
        </w:rPr>
        <w:t xml:space="preserve">(3) </w:t>
      </w:r>
      <w:r w:rsidRPr="005D070C">
        <w:rPr>
          <w:rFonts w:cs="Times New Roman"/>
          <w:color w:val="000000" w:themeColor="text1"/>
          <w:szCs w:val="20"/>
        </w:rPr>
        <w:tab/>
      </w:r>
      <w:r w:rsidR="00FB199F" w:rsidRPr="005D070C">
        <w:rPr>
          <w:rFonts w:cs="TimesNewRomanPS-ItalicMT"/>
          <w:iCs/>
          <w:color w:val="000000" w:themeColor="text1"/>
          <w:szCs w:val="20"/>
        </w:rPr>
        <w:t>34</w:t>
      </w:r>
      <w:r w:rsidRPr="005D070C">
        <w:rPr>
          <w:rFonts w:cs="TimesNewRomanPS-ItalicMT"/>
          <w:iCs/>
          <w:color w:val="000000" w:themeColor="text1"/>
          <w:szCs w:val="20"/>
        </w:rPr>
        <w:t xml:space="preserve"> m, jeżeli literą kodu jest D; oraz</w:t>
      </w:r>
    </w:p>
    <w:p w14:paraId="68519AFB"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25 m, jeżeli literą kodu jest C.</w:t>
      </w:r>
    </w:p>
    <w:p w14:paraId="1DB3740A"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 łukach, połączeniach i skrzyżowaniach dróg kołowania, gdzie nawierzchnia sztuczna została poszerzona, szerokość pobocza nie powinna być mniejsza niż szerokość pobocza sąsiednich odcinków prostych tej drogi kołowania.</w:t>
      </w:r>
    </w:p>
    <w:p w14:paraId="75EACCB5" w14:textId="78C260B9" w:rsidR="009175CF" w:rsidRPr="009E064B" w:rsidRDefault="00C36D76" w:rsidP="009175CF">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Jeżeli droga kołowania ma być użytkowana przez statki powietrzne z napędem turboodrzutowym, powierzchnia jej poboczy powinna być przygotowana w taki sposób, aby odporna była na erozję i nie występowało zasysanie materiałów z jej powierzchni przez silniki statków powietrznych.</w:t>
      </w:r>
    </w:p>
    <w:p w14:paraId="0FCBF616" w14:textId="4BDD692F" w:rsidR="005D070C" w:rsidRDefault="00F722A1" w:rsidP="005D070C">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r w:rsidR="005D070C">
        <w:rPr>
          <w:rFonts w:asciiTheme="minorHAnsi" w:hAnsiTheme="minorHAnsi" w:cstheme="minorHAnsi"/>
          <w:i/>
          <w:sz w:val="16"/>
          <w:szCs w:val="16"/>
        </w:rPr>
        <w:t xml:space="preserve"> </w:t>
      </w:r>
      <w:r w:rsidR="005D070C">
        <w:rPr>
          <w:rFonts w:asciiTheme="minorHAnsi" w:hAnsiTheme="minorHAnsi" w:cstheme="minorHAnsi"/>
          <w:i/>
          <w:sz w:val="16"/>
          <w:szCs w:val="16"/>
        </w:rPr>
        <w:br w:type="page"/>
      </w:r>
    </w:p>
    <w:p w14:paraId="68243E83" w14:textId="77777777" w:rsidR="001C0060" w:rsidRPr="009E064B" w:rsidRDefault="00D05B14" w:rsidP="00133B99">
      <w:pPr>
        <w:pStyle w:val="Nagwek6"/>
      </w:pPr>
      <w:bookmarkStart w:id="1093" w:name="_Toc401058951"/>
      <w:bookmarkStart w:id="1094" w:name="_Toc482886817"/>
      <w:bookmarkStart w:id="1095" w:name="_Toc12533034"/>
      <w:bookmarkStart w:id="1096" w:name="_Toc482886594"/>
      <w:r w:rsidRPr="009E064B">
        <w:t xml:space="preserve">GM1 ADR-DSN.D.305     </w:t>
      </w:r>
      <w:r w:rsidR="001C0060" w:rsidRPr="009E064B">
        <w:t>Pobocza drogi kołowania</w:t>
      </w:r>
      <w:bookmarkEnd w:id="1093"/>
      <w:bookmarkEnd w:id="1094"/>
      <w:bookmarkEnd w:id="1095"/>
    </w:p>
    <w:p w14:paraId="517F0686" w14:textId="7C1E9FDD"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12A21D8" w14:textId="77777777" w:rsidR="001C0060" w:rsidRPr="009E064B" w:rsidRDefault="001C0060" w:rsidP="00B06A9A">
      <w:pPr>
        <w:autoSpaceDE w:val="0"/>
        <w:autoSpaceDN w:val="0"/>
        <w:adjustRightInd w:val="0"/>
        <w:rPr>
          <w:rFonts w:eastAsia="Verdana" w:cs="Verdana"/>
          <w:bCs/>
          <w:szCs w:val="20"/>
        </w:rPr>
      </w:pPr>
      <w:r w:rsidRPr="009E064B">
        <w:rPr>
          <w:rFonts w:eastAsia="Verdana" w:cs="Verdana"/>
          <w:bCs/>
          <w:szCs w:val="20"/>
        </w:rPr>
        <w:t xml:space="preserve">Wytyczne dotyczące </w:t>
      </w:r>
      <w:r w:rsidRPr="009E064B">
        <w:rPr>
          <w:rFonts w:eastAsia="Times New Roman,Italic" w:cs="Times New Roman,Italic"/>
          <w:iCs/>
          <w:szCs w:val="20"/>
        </w:rPr>
        <w:t>charakterystyki</w:t>
      </w:r>
      <w:r w:rsidRPr="009E064B">
        <w:rPr>
          <w:rFonts w:eastAsia="Verdana" w:cs="Verdana"/>
          <w:bCs/>
          <w:szCs w:val="20"/>
        </w:rPr>
        <w:t xml:space="preserve"> poboczy drogi kołowania oraz dotyczące obsługi poboczy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Pr="009E064B">
        <w:rPr>
          <w:rFonts w:eastAsia="Verdana" w:cs="Verdana"/>
          <w:bCs/>
          <w:szCs w:val="20"/>
        </w:rPr>
        <w:t>Część 2 „</w:t>
      </w:r>
      <w:r w:rsidRPr="009E064B">
        <w:rPr>
          <w:rFonts w:eastAsia="Verdana" w:cs="Verdana"/>
          <w:bCs/>
          <w:i/>
          <w:szCs w:val="20"/>
        </w:rPr>
        <w:t>Drogi kołowania, płyty postojowe oraz zatoki oczekiwan</w:t>
      </w:r>
      <w:r w:rsidRPr="009E064B">
        <w:rPr>
          <w:rFonts w:eastAsia="Verdana" w:cs="Verdana"/>
          <w:bCs/>
          <w:szCs w:val="20"/>
        </w:rPr>
        <w:t>ia”.</w:t>
      </w:r>
    </w:p>
    <w:p w14:paraId="186102CF"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CB58089" w14:textId="0678381A" w:rsidR="00C36D76" w:rsidRPr="009E064B" w:rsidRDefault="00C36D76" w:rsidP="00B06A9A">
      <w:pPr>
        <w:pStyle w:val="Nagwek4"/>
        <w:rPr>
          <w:color w:val="auto"/>
        </w:rPr>
      </w:pPr>
      <w:bookmarkStart w:id="1097" w:name="_Toc12533035"/>
      <w:r w:rsidRPr="009E064B">
        <w:rPr>
          <w:color w:val="auto"/>
        </w:rPr>
        <w:t xml:space="preserve">CS ADR-DSN.D.310 </w:t>
      </w:r>
      <w:r w:rsidR="00F85C28" w:rsidRPr="009E064B">
        <w:rPr>
          <w:color w:val="auto"/>
        </w:rPr>
        <w:t xml:space="preserve">    </w:t>
      </w:r>
      <w:r w:rsidRPr="009E064B">
        <w:rPr>
          <w:color w:val="auto"/>
        </w:rPr>
        <w:t>Pas drogi kołowania</w:t>
      </w:r>
      <w:bookmarkEnd w:id="1096"/>
      <w:bookmarkEnd w:id="1097"/>
    </w:p>
    <w:p w14:paraId="62640F6E" w14:textId="43237600"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A10F098" w14:textId="77777777" w:rsidR="00C36D76" w:rsidRPr="009E064B" w:rsidRDefault="00C36D76" w:rsidP="00B06A9A">
      <w:pPr>
        <w:autoSpaceDE w:val="0"/>
        <w:autoSpaceDN w:val="0"/>
        <w:adjustRightInd w:val="0"/>
        <w:rPr>
          <w:szCs w:val="20"/>
        </w:rPr>
      </w:pPr>
      <w:r w:rsidRPr="009E064B">
        <w:rPr>
          <w:rFonts w:cs="TimesNewRomanPSMT"/>
          <w:szCs w:val="20"/>
        </w:rPr>
        <w:t>Droga kołowania, inna niż droga kołowania na stanowisko postojowe statku powietrznego, powinna znajdować się wewnątrz pasa drogi kołowania.</w:t>
      </w:r>
    </w:p>
    <w:p w14:paraId="36EAD57B" w14:textId="09421219" w:rsidR="001C0060" w:rsidRPr="009E064B" w:rsidRDefault="00F85C28" w:rsidP="00133B99">
      <w:pPr>
        <w:pStyle w:val="Nagwek6"/>
      </w:pPr>
      <w:bookmarkStart w:id="1098" w:name="_Toc401058952"/>
      <w:bookmarkStart w:id="1099" w:name="_Toc482886818"/>
      <w:bookmarkStart w:id="1100" w:name="_Toc12533036"/>
      <w:r w:rsidRPr="009E064B">
        <w:t xml:space="preserve">GM1 ADR-DSN.D.310     </w:t>
      </w:r>
      <w:r w:rsidR="001C0060" w:rsidRPr="009E064B">
        <w:t>Pas drogi kołowania</w:t>
      </w:r>
      <w:bookmarkEnd w:id="1098"/>
      <w:bookmarkEnd w:id="1099"/>
      <w:bookmarkEnd w:id="1100"/>
    </w:p>
    <w:p w14:paraId="2C6ED3A8" w14:textId="2183C3C2"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A0C967D" w14:textId="5F65FB5F" w:rsidR="001C0060" w:rsidRPr="009E064B" w:rsidRDefault="001C0060" w:rsidP="00B06A9A">
      <w:pPr>
        <w:autoSpaceDE w:val="0"/>
        <w:autoSpaceDN w:val="0"/>
        <w:adjustRightInd w:val="0"/>
        <w:rPr>
          <w:rFonts w:eastAsia="Verdana" w:cs="Verdana"/>
          <w:bCs/>
          <w:szCs w:val="20"/>
        </w:rPr>
      </w:pPr>
      <w:r w:rsidRPr="009E064B">
        <w:rPr>
          <w:rFonts w:eastAsia="Verdana" w:cs="Verdana"/>
          <w:bCs/>
          <w:szCs w:val="20"/>
        </w:rPr>
        <w:t xml:space="preserve">Pas drogi kołowania powinien być przygotowany lub skonstruowany w taki sposób, aby dla samolotów, dla których dana </w:t>
      </w:r>
      <w:r w:rsidRPr="009E064B">
        <w:rPr>
          <w:rFonts w:eastAsia="Times New Roman,Italic" w:cs="Times New Roman,Italic"/>
          <w:iCs/>
          <w:szCs w:val="20"/>
        </w:rPr>
        <w:t>droga</w:t>
      </w:r>
      <w:r w:rsidRPr="009E064B">
        <w:rPr>
          <w:rFonts w:eastAsia="Verdana" w:cs="Verdana"/>
          <w:bCs/>
          <w:szCs w:val="20"/>
        </w:rPr>
        <w:t xml:space="preserve"> kołowania jest przeznaczona, ograniczyć do </w:t>
      </w:r>
      <w:r w:rsidR="00C45559" w:rsidRPr="009E064B">
        <w:rPr>
          <w:rFonts w:eastAsia="Verdana" w:cs="Verdana"/>
          <w:bCs/>
          <w:szCs w:val="20"/>
        </w:rPr>
        <w:t>minimum zagrożenia wynikające z </w:t>
      </w:r>
      <w:r w:rsidRPr="009E064B">
        <w:rPr>
          <w:rFonts w:eastAsia="Verdana" w:cs="Verdana"/>
          <w:bCs/>
          <w:szCs w:val="20"/>
        </w:rPr>
        <w:t>różnic w nośności nawierzchni w przypadku wyjechania poza drogę kołowania.</w:t>
      </w:r>
    </w:p>
    <w:p w14:paraId="7FF62C32" w14:textId="77777777" w:rsidR="001C0060" w:rsidRPr="009E064B" w:rsidRDefault="001C0060" w:rsidP="00B06A9A">
      <w:pPr>
        <w:autoSpaceDE w:val="0"/>
        <w:autoSpaceDN w:val="0"/>
        <w:adjustRightInd w:val="0"/>
        <w:rPr>
          <w:rFonts w:eastAsia="Verdana" w:cs="Verdana"/>
          <w:bCs/>
          <w:szCs w:val="20"/>
        </w:rPr>
      </w:pPr>
      <w:r w:rsidRPr="009E064B">
        <w:rPr>
          <w:rFonts w:eastAsia="Verdana" w:cs="Verdana"/>
          <w:bCs/>
          <w:szCs w:val="20"/>
        </w:rPr>
        <w:t xml:space="preserve">Wytyczne dotyczące </w:t>
      </w:r>
      <w:r w:rsidRPr="009E064B">
        <w:rPr>
          <w:rFonts w:eastAsia="Times New Roman,Italic" w:cs="Times New Roman,Italic"/>
          <w:iCs/>
          <w:szCs w:val="20"/>
        </w:rPr>
        <w:t>charakterystyki</w:t>
      </w:r>
      <w:r w:rsidRPr="009E064B">
        <w:rPr>
          <w:rFonts w:eastAsia="Verdana" w:cs="Verdana"/>
          <w:bCs/>
          <w:szCs w:val="20"/>
        </w:rPr>
        <w:t xml:space="preserve"> pasów drogi kołowania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Pr="009E064B">
        <w:rPr>
          <w:rFonts w:eastAsia="Verdana" w:cs="Verdana"/>
          <w:bCs/>
          <w:szCs w:val="20"/>
        </w:rPr>
        <w:t>Część 2 „</w:t>
      </w:r>
      <w:r w:rsidRPr="009E064B">
        <w:rPr>
          <w:rFonts w:eastAsia="Verdana" w:cs="Verdana"/>
          <w:bCs/>
          <w:i/>
          <w:szCs w:val="20"/>
        </w:rPr>
        <w:t>Drogi kołowania, płyty postojowe oraz zatoki oczekiwania</w:t>
      </w:r>
      <w:r w:rsidRPr="009E064B">
        <w:rPr>
          <w:rFonts w:eastAsia="Verdana" w:cs="Verdana"/>
          <w:bCs/>
          <w:szCs w:val="20"/>
        </w:rPr>
        <w:t>”.</w:t>
      </w:r>
    </w:p>
    <w:p w14:paraId="220A84DC"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D0CCF3E" w14:textId="0A4EC763" w:rsidR="00C36D76" w:rsidRPr="009E064B" w:rsidRDefault="00D05B14" w:rsidP="00B06A9A">
      <w:pPr>
        <w:pStyle w:val="Nagwek4"/>
        <w:rPr>
          <w:color w:val="auto"/>
        </w:rPr>
      </w:pPr>
      <w:bookmarkStart w:id="1101" w:name="_Toc482886595"/>
      <w:bookmarkStart w:id="1102" w:name="_Toc12533037"/>
      <w:r w:rsidRPr="009E064B">
        <w:rPr>
          <w:color w:val="auto"/>
        </w:rPr>
        <w:t xml:space="preserve">CS ADR-DSN.D.315     </w:t>
      </w:r>
      <w:r w:rsidR="00C36D76" w:rsidRPr="009E064B">
        <w:rPr>
          <w:color w:val="auto"/>
        </w:rPr>
        <w:t>Szerokość pasa drogi kołowania</w:t>
      </w:r>
      <w:bookmarkEnd w:id="1101"/>
      <w:bookmarkEnd w:id="1102"/>
    </w:p>
    <w:p w14:paraId="2F7755B7" w14:textId="6EB54B98"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0201F4E"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Celem bezpieczeństwa przy zapewnianiu odpowiedniej szerokości pasów dróg kołowania jest umożliwienie bezpiecznego wykorzystania dróg kołowania w stosunku do sąsiadujących obiektów.</w:t>
      </w:r>
    </w:p>
    <w:p w14:paraId="3B5DB44D"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Pas drogi kołowania powinien rozciągać się symetrycznie z obydwu stron linii środkowej drogi kołowania na całej długości tej drogi do odległości od tej linii środkowej, równej wartościom podanym w Tabeli D-1, kolumna (11).</w:t>
      </w:r>
    </w:p>
    <w:p w14:paraId="14DAB3F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5368A82" w14:textId="32B0C24A" w:rsidR="001C0060" w:rsidRPr="009E064B" w:rsidRDefault="00F85C28" w:rsidP="00133B99">
      <w:pPr>
        <w:pStyle w:val="Nagwek6"/>
      </w:pPr>
      <w:bookmarkStart w:id="1103" w:name="_Toc401058953"/>
      <w:bookmarkStart w:id="1104" w:name="_Toc482886819"/>
      <w:bookmarkStart w:id="1105" w:name="_Toc12533038"/>
      <w:r w:rsidRPr="009E064B">
        <w:t xml:space="preserve">GM1 ADR-DSN.D.315     </w:t>
      </w:r>
      <w:r w:rsidR="001C0060" w:rsidRPr="009E064B">
        <w:t xml:space="preserve">Szerokość pasa </w:t>
      </w:r>
      <w:bookmarkEnd w:id="1103"/>
      <w:r w:rsidR="001C0060" w:rsidRPr="009E064B">
        <w:t>drogi kołowania</w:t>
      </w:r>
      <w:bookmarkEnd w:id="1104"/>
      <w:bookmarkEnd w:id="1105"/>
    </w:p>
    <w:p w14:paraId="6DB5E5BE" w14:textId="5B41584D"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86C6229" w14:textId="77777777" w:rsidR="001C0060" w:rsidRPr="009E064B" w:rsidRDefault="001C0060" w:rsidP="00F85C28">
      <w:pPr>
        <w:autoSpaceDE w:val="0"/>
        <w:autoSpaceDN w:val="0"/>
        <w:adjustRightInd w:val="0"/>
        <w:rPr>
          <w:rFonts w:cs="Times New Roman"/>
          <w:szCs w:val="20"/>
        </w:rPr>
      </w:pPr>
      <w:r w:rsidRPr="009E064B">
        <w:rPr>
          <w:rFonts w:cs="Times New Roman"/>
          <w:szCs w:val="20"/>
        </w:rPr>
        <w:t>Celowo pozostawiono puste</w:t>
      </w:r>
    </w:p>
    <w:p w14:paraId="32D72EBA" w14:textId="56D655B2" w:rsidR="00C36D76" w:rsidRPr="009E064B" w:rsidRDefault="007D3E5B" w:rsidP="00B06A9A">
      <w:pPr>
        <w:pStyle w:val="Nagwek4"/>
        <w:rPr>
          <w:color w:val="auto"/>
        </w:rPr>
      </w:pPr>
      <w:bookmarkStart w:id="1106" w:name="_Toc482886596"/>
      <w:bookmarkStart w:id="1107" w:name="_Toc12533039"/>
      <w:r w:rsidRPr="009E064B">
        <w:rPr>
          <w:color w:val="auto"/>
        </w:rPr>
        <w:t xml:space="preserve">CS ADR-DSN.D.320     </w:t>
      </w:r>
      <w:r w:rsidR="00C36D76" w:rsidRPr="009E064B">
        <w:rPr>
          <w:color w:val="auto"/>
        </w:rPr>
        <w:t>Obiekty na pasie drogi kołowania</w:t>
      </w:r>
      <w:bookmarkEnd w:id="1106"/>
      <w:bookmarkEnd w:id="1107"/>
    </w:p>
    <w:p w14:paraId="5FC6DD60" w14:textId="56053EAB" w:rsidR="00F85C28" w:rsidRPr="009E064B" w:rsidRDefault="001F74A1" w:rsidP="00F85C2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E450F09" w14:textId="0BD6E59B" w:rsidR="000F56FB" w:rsidRPr="009E064B" w:rsidRDefault="00C36D76" w:rsidP="000F56FB">
      <w:pPr>
        <w:autoSpaceDE w:val="0"/>
        <w:autoSpaceDN w:val="0"/>
        <w:adjustRightInd w:val="0"/>
        <w:rPr>
          <w:rFonts w:cs="TimesNewRomanPS-ItalicMT"/>
          <w:iCs/>
          <w:szCs w:val="20"/>
        </w:rPr>
      </w:pPr>
      <w:r w:rsidRPr="009E064B">
        <w:rPr>
          <w:rFonts w:cs="TimesNewRomanPS-ItalicMT"/>
          <w:iCs/>
          <w:szCs w:val="20"/>
        </w:rPr>
        <w:t>Pas drogi kołowania powinien stanowić obszar wolny od obiektów mogących zagrażać kołującym statkom powietrznym.</w:t>
      </w:r>
      <w:r w:rsidR="000F56FB" w:rsidRPr="009E064B">
        <w:rPr>
          <w:rFonts w:cs="TimesNewRomanPS-ItalicMT"/>
          <w:iCs/>
          <w:szCs w:val="20"/>
        </w:rPr>
        <w:t xml:space="preserve"> </w:t>
      </w:r>
    </w:p>
    <w:p w14:paraId="1E1EA2A1" w14:textId="4F6C4A37" w:rsidR="001C0060" w:rsidRPr="009E064B" w:rsidRDefault="007D3E5B" w:rsidP="00133B99">
      <w:pPr>
        <w:pStyle w:val="Nagwek6"/>
      </w:pPr>
      <w:bookmarkStart w:id="1108" w:name="_Toc401058954"/>
      <w:bookmarkStart w:id="1109" w:name="_Toc482886820"/>
      <w:bookmarkStart w:id="1110" w:name="_Toc12533040"/>
      <w:r w:rsidRPr="009E064B">
        <w:t xml:space="preserve">GM1 ADR-DSN.D.320     </w:t>
      </w:r>
      <w:r w:rsidR="001C0060" w:rsidRPr="009E064B">
        <w:t xml:space="preserve">Obiekty na </w:t>
      </w:r>
      <w:bookmarkEnd w:id="1108"/>
      <w:r w:rsidR="001C0060" w:rsidRPr="009E064B">
        <w:t>pasie drogi kołowania</w:t>
      </w:r>
      <w:bookmarkEnd w:id="1109"/>
      <w:bookmarkEnd w:id="1110"/>
    </w:p>
    <w:p w14:paraId="4C9B0574" w14:textId="1032CA73"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851C0D9" w14:textId="5A3A2759" w:rsidR="001C0060" w:rsidRPr="009E064B" w:rsidRDefault="001C0060" w:rsidP="007D3E5B">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Należy zwrócić uwagę na lokalizację i konstrukcję systemów odwadniających znajdujących się na pasie drogi kołowania, aby zapobiec uszkodzeniu samolotu w przypadku wyjechania poza drogę kołowania. Może zaistnieć potrzeba zastosowania specjalnie zaprojektowanych pokryw systemu odwadniającego.</w:t>
      </w:r>
    </w:p>
    <w:p w14:paraId="13600DD1" w14:textId="26D6234D" w:rsidR="007C368F"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Szczegółowe wymagania dotyczące lokalizacji obiektów na pasach drogi startowej znajdują się w</w:t>
      </w:r>
      <w:r w:rsidR="009175CF" w:rsidRPr="009E064B">
        <w:rPr>
          <w:rFonts w:eastAsia="Times New Roman,Italic" w:cs="Times New Roman,Italic"/>
          <w:iCs/>
          <w:szCs w:val="20"/>
        </w:rPr>
        <w:t> </w:t>
      </w:r>
      <w:hyperlink w:anchor="_CS_ADR-DSN.T.915_" w:history="1">
        <w:r w:rsidRPr="009E064B">
          <w:rPr>
            <w:rStyle w:val="Hipercze"/>
            <w:rFonts w:eastAsia="Times New Roman,Italic" w:cs="Times New Roman,Italic"/>
            <w:iCs/>
            <w:szCs w:val="20"/>
          </w:rPr>
          <w:t>CS ADR-DSN.T.915</w:t>
        </w:r>
      </w:hyperlink>
      <w:r w:rsidRPr="009E064B">
        <w:rPr>
          <w:rFonts w:eastAsia="Times New Roman,Italic" w:cs="Times New Roman,Italic"/>
          <w:iCs/>
          <w:szCs w:val="20"/>
        </w:rPr>
        <w:t>.</w:t>
      </w:r>
    </w:p>
    <w:p w14:paraId="2926FE4B" w14:textId="18DB065D" w:rsidR="0075187B" w:rsidRPr="005D070C" w:rsidRDefault="0075187B" w:rsidP="00EE2E0D">
      <w:pPr>
        <w:tabs>
          <w:tab w:val="left" w:pos="567"/>
        </w:tabs>
        <w:autoSpaceDE w:val="0"/>
        <w:autoSpaceDN w:val="0"/>
        <w:adjustRightInd w:val="0"/>
        <w:ind w:left="567" w:hanging="567"/>
        <w:rPr>
          <w:rFonts w:eastAsia="Times New Roman,Italic" w:cs="Times New Roman,Italic"/>
          <w:iCs/>
          <w:color w:val="000000" w:themeColor="text1"/>
          <w:szCs w:val="20"/>
        </w:rPr>
      </w:pPr>
      <w:r w:rsidRPr="005D070C">
        <w:rPr>
          <w:rFonts w:eastAsia="Times New Roman,Italic" w:cs="Times New Roman,Italic"/>
          <w:iCs/>
          <w:color w:val="000000" w:themeColor="text1"/>
          <w:szCs w:val="20"/>
        </w:rPr>
        <w:t xml:space="preserve">(c) </w:t>
      </w:r>
      <w:r w:rsidRPr="005D070C">
        <w:rPr>
          <w:rFonts w:eastAsia="Times New Roman,Italic" w:cs="Times New Roman,Italic"/>
          <w:iCs/>
          <w:color w:val="000000" w:themeColor="text1"/>
          <w:szCs w:val="20"/>
        </w:rPr>
        <w:tab/>
        <w:t>Jeżeli zainstalowano zbiorniki na wodę burzową na otwartym powietrzu lub zakryte pokrywami, należy zapewnić, aby ich konstrukcja nie wystawała powyżej otaczającego gruntu, tak, aby nie zostały one uznane za przeszkody.</w:t>
      </w:r>
    </w:p>
    <w:p w14:paraId="57F65E22" w14:textId="713B517A" w:rsidR="0075187B" w:rsidRPr="005D070C" w:rsidRDefault="00C25F90" w:rsidP="00EE2E0D">
      <w:pPr>
        <w:tabs>
          <w:tab w:val="left" w:pos="567"/>
        </w:tabs>
        <w:autoSpaceDE w:val="0"/>
        <w:autoSpaceDN w:val="0"/>
        <w:adjustRightInd w:val="0"/>
        <w:ind w:left="567" w:hanging="567"/>
        <w:rPr>
          <w:i/>
          <w:color w:val="000000" w:themeColor="text1"/>
        </w:rPr>
      </w:pPr>
      <w:r w:rsidRPr="005D070C">
        <w:rPr>
          <w:rFonts w:eastAsia="Times New Roman,Italic" w:cs="Times New Roman,Italic"/>
          <w:iCs/>
          <w:color w:val="000000" w:themeColor="text1"/>
          <w:szCs w:val="20"/>
        </w:rPr>
        <w:t xml:space="preserve">(d) </w:t>
      </w:r>
      <w:r w:rsidRPr="005D070C">
        <w:rPr>
          <w:rFonts w:eastAsia="Times New Roman,Italic" w:cs="Times New Roman,Italic"/>
          <w:iCs/>
          <w:color w:val="000000" w:themeColor="text1"/>
          <w:szCs w:val="20"/>
        </w:rPr>
        <w:tab/>
      </w:r>
      <w:r w:rsidR="0075187B" w:rsidRPr="005D070C">
        <w:rPr>
          <w:rFonts w:eastAsia="Times New Roman,Italic" w:cs="Times New Roman,Italic"/>
          <w:iCs/>
          <w:color w:val="000000" w:themeColor="text1"/>
          <w:szCs w:val="20"/>
        </w:rPr>
        <w:t>Szczególną uwagę należy zwrócić na projektowanie i utrzymanie zbiornika z wodą burzową na otwartym powietrzu w taki sposób, aby nie przyciągać zwierzyny, zwłaszcza ptaków. Jeżeli zajdzie taka konieczność, zbiornik można przykryć siatką. Wytyczne w zakresie kontroli i redukcji zwierząt znajdują się w „</w:t>
      </w:r>
      <w:r w:rsidR="0075187B" w:rsidRPr="005D070C">
        <w:rPr>
          <w:rFonts w:eastAsia="Times New Roman,Italic" w:cs="Times New Roman,Italic"/>
          <w:i/>
          <w:iCs/>
          <w:color w:val="000000" w:themeColor="text1"/>
          <w:szCs w:val="20"/>
        </w:rPr>
        <w:t>Podręczniku służb portu lotniczego</w:t>
      </w:r>
      <w:r w:rsidR="0075187B" w:rsidRPr="005D070C">
        <w:rPr>
          <w:rFonts w:eastAsia="Times New Roman,Italic" w:cs="Times New Roman,Italic"/>
          <w:iCs/>
          <w:color w:val="000000" w:themeColor="text1"/>
          <w:szCs w:val="20"/>
        </w:rPr>
        <w:t>” (Doc 9137), Część 3.</w:t>
      </w:r>
    </w:p>
    <w:p w14:paraId="0577D705" w14:textId="295253AE" w:rsidR="00C25F90" w:rsidRPr="005D070C" w:rsidRDefault="00C25F90" w:rsidP="00C25F90">
      <w:pPr>
        <w:tabs>
          <w:tab w:val="left" w:pos="567"/>
        </w:tabs>
        <w:autoSpaceDE w:val="0"/>
        <w:autoSpaceDN w:val="0"/>
        <w:adjustRightInd w:val="0"/>
        <w:ind w:left="567" w:hanging="567"/>
        <w:rPr>
          <w:rFonts w:eastAsia="Verdana" w:cs="Verdana"/>
          <w:bCs/>
          <w:color w:val="000000" w:themeColor="text1"/>
          <w:szCs w:val="20"/>
        </w:rPr>
      </w:pPr>
      <w:r w:rsidRPr="005D070C">
        <w:rPr>
          <w:rFonts w:eastAsia="Verdana" w:cs="Verdana"/>
          <w:bCs/>
          <w:color w:val="000000" w:themeColor="text1"/>
          <w:szCs w:val="20"/>
        </w:rPr>
        <w:t xml:space="preserve">(e) </w:t>
      </w:r>
      <w:r w:rsidRPr="005D070C">
        <w:rPr>
          <w:rFonts w:eastAsia="Verdana" w:cs="Verdana"/>
          <w:bCs/>
          <w:color w:val="000000" w:themeColor="text1"/>
          <w:szCs w:val="20"/>
        </w:rPr>
        <w:tab/>
        <w:t>Dodatkowe wytyczne dotyczące pokryw na kanały odwadniające są określone w „</w:t>
      </w:r>
      <w:r w:rsidRPr="005D070C">
        <w:rPr>
          <w:i/>
          <w:color w:val="000000" w:themeColor="text1"/>
        </w:rPr>
        <w:t>Podręczniku projektowania lotnisk”</w:t>
      </w:r>
      <w:r w:rsidRPr="005D070C">
        <w:rPr>
          <w:b/>
          <w:i/>
          <w:color w:val="000000" w:themeColor="text1"/>
        </w:rPr>
        <w:t xml:space="preserve"> </w:t>
      </w:r>
      <w:r w:rsidRPr="005D070C">
        <w:rPr>
          <w:color w:val="000000" w:themeColor="text1"/>
        </w:rPr>
        <w:t>(Doc 9157) Część 2 „</w:t>
      </w:r>
      <w:r w:rsidRPr="005D070C">
        <w:rPr>
          <w:i/>
          <w:color w:val="000000" w:themeColor="text1"/>
        </w:rPr>
        <w:t>Drogi kołowania, płyty postojowe i zatoki oczekiwania”.</w:t>
      </w:r>
    </w:p>
    <w:p w14:paraId="4B936277"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5628C85" w14:textId="2BA37938" w:rsidR="00C36D76" w:rsidRPr="009E064B" w:rsidRDefault="007D3E5B" w:rsidP="00B06A9A">
      <w:pPr>
        <w:pStyle w:val="Nagwek4"/>
        <w:rPr>
          <w:color w:val="auto"/>
        </w:rPr>
      </w:pPr>
      <w:bookmarkStart w:id="1111" w:name="_Toc482886597"/>
      <w:bookmarkStart w:id="1112" w:name="_Toc12533041"/>
      <w:r w:rsidRPr="009E064B">
        <w:rPr>
          <w:color w:val="auto"/>
        </w:rPr>
        <w:t xml:space="preserve">CS ADR-DSN.D.325     </w:t>
      </w:r>
      <w:r w:rsidR="00C36D76" w:rsidRPr="009E064B">
        <w:rPr>
          <w:color w:val="auto"/>
        </w:rPr>
        <w:t>Wyrównanie pasa drogi kołowania</w:t>
      </w:r>
      <w:bookmarkEnd w:id="1111"/>
      <w:bookmarkEnd w:id="1112"/>
    </w:p>
    <w:p w14:paraId="69940895" w14:textId="4B75E35C"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0B5B756" w14:textId="6C10D0C7" w:rsidR="00C36D76" w:rsidRPr="009E064B" w:rsidRDefault="00C36D76" w:rsidP="007D3E5B">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wyrównania pasów dróg kołowania jest ograniczenie ryzyka uszkodzenia statku powietrznego, który przypadkowo zjechał z drogi kołowania.</w:t>
      </w:r>
    </w:p>
    <w:p w14:paraId="16474319" w14:textId="027C0B73" w:rsidR="00C36D76" w:rsidRPr="005D070C" w:rsidRDefault="00C36D76" w:rsidP="00B06A9A">
      <w:pPr>
        <w:tabs>
          <w:tab w:val="left" w:pos="567"/>
        </w:tabs>
        <w:autoSpaceDE w:val="0"/>
        <w:autoSpaceDN w:val="0"/>
        <w:adjustRightInd w:val="0"/>
        <w:ind w:left="567" w:hanging="567"/>
        <w:rPr>
          <w:rFonts w:cs="TimesNewRomanPS-ItalicMT"/>
          <w:iCs/>
          <w:color w:val="000000" w:themeColor="text1"/>
          <w:szCs w:val="20"/>
        </w:rPr>
      </w:pPr>
      <w:r w:rsidRPr="005D070C">
        <w:rPr>
          <w:rFonts w:cs="Times New Roman"/>
          <w:color w:val="000000" w:themeColor="text1"/>
          <w:szCs w:val="20"/>
        </w:rPr>
        <w:t xml:space="preserve">(b) </w:t>
      </w:r>
      <w:r w:rsidRPr="005D070C">
        <w:rPr>
          <w:rFonts w:cs="Times New Roman"/>
          <w:color w:val="000000" w:themeColor="text1"/>
          <w:szCs w:val="20"/>
        </w:rPr>
        <w:tab/>
      </w:r>
      <w:r w:rsidRPr="005D070C">
        <w:rPr>
          <w:rFonts w:cs="TimesNewRomanPS-ItalicMT"/>
          <w:iCs/>
          <w:color w:val="000000" w:themeColor="text1"/>
          <w:szCs w:val="20"/>
        </w:rPr>
        <w:t>Część środkowa pasa drogi kołowania powinna być wyrównana na odległość sięgającą od linii środkowej drogi</w:t>
      </w:r>
      <w:r w:rsidR="00682083" w:rsidRPr="005D070C">
        <w:rPr>
          <w:rFonts w:cs="TimesNewRomanPS-ItalicMT"/>
          <w:iCs/>
          <w:color w:val="000000" w:themeColor="text1"/>
          <w:szCs w:val="20"/>
        </w:rPr>
        <w:t xml:space="preserve"> kołowania</w:t>
      </w:r>
      <w:r w:rsidRPr="005D070C">
        <w:rPr>
          <w:rFonts w:cs="TimesNewRomanPS-ItalicMT"/>
          <w:iCs/>
          <w:color w:val="000000" w:themeColor="text1"/>
          <w:szCs w:val="20"/>
        </w:rPr>
        <w:t>,</w:t>
      </w:r>
      <w:r w:rsidR="00682083" w:rsidRPr="005D070C">
        <w:rPr>
          <w:rFonts w:ascii="Arial" w:hAnsi="Arial" w:cs="Arial"/>
          <w:color w:val="000000" w:themeColor="text1"/>
        </w:rPr>
        <w:t xml:space="preserve"> </w:t>
      </w:r>
      <w:r w:rsidR="00682083" w:rsidRPr="005D070C">
        <w:rPr>
          <w:rFonts w:cs="TimesNewRomanPS-ItalicMT"/>
          <w:iCs/>
          <w:color w:val="000000" w:themeColor="text1"/>
          <w:szCs w:val="20"/>
        </w:rPr>
        <w:t xml:space="preserve">nie mniej niż </w:t>
      </w:r>
      <w:r w:rsidR="000F56FB" w:rsidRPr="005D070C">
        <w:rPr>
          <w:rFonts w:cs="TimesNewRomanPS-ItalicMT"/>
          <w:iCs/>
          <w:color w:val="000000" w:themeColor="text1"/>
          <w:szCs w:val="20"/>
        </w:rPr>
        <w:t>podano n</w:t>
      </w:r>
      <w:r w:rsidR="00682083" w:rsidRPr="005D070C">
        <w:rPr>
          <w:rFonts w:cs="TimesNewRomanPS-ItalicMT"/>
          <w:iCs/>
          <w:color w:val="000000" w:themeColor="text1"/>
          <w:szCs w:val="20"/>
        </w:rPr>
        <w:t>astępując</w:t>
      </w:r>
      <w:r w:rsidR="000F56FB" w:rsidRPr="005D070C">
        <w:rPr>
          <w:rFonts w:cs="TimesNewRomanPS-ItalicMT"/>
          <w:iCs/>
          <w:color w:val="000000" w:themeColor="text1"/>
          <w:szCs w:val="20"/>
        </w:rPr>
        <w:t>ym zestawieniu</w:t>
      </w:r>
      <w:r w:rsidR="00682083" w:rsidRPr="005D070C">
        <w:rPr>
          <w:rFonts w:cs="TimesNewRomanPS-ItalicMT"/>
          <w:iCs/>
          <w:color w:val="000000" w:themeColor="text1"/>
          <w:szCs w:val="20"/>
        </w:rPr>
        <w:t>:</w:t>
      </w:r>
    </w:p>
    <w:p w14:paraId="512D2D90" w14:textId="72D1F5BE" w:rsidR="00682083" w:rsidRPr="005D070C" w:rsidRDefault="00682083" w:rsidP="000D78F5">
      <w:pPr>
        <w:tabs>
          <w:tab w:val="left" w:pos="1134"/>
        </w:tabs>
        <w:autoSpaceDE w:val="0"/>
        <w:autoSpaceDN w:val="0"/>
        <w:adjustRightInd w:val="0"/>
        <w:ind w:left="1134" w:hanging="567"/>
        <w:rPr>
          <w:iCs/>
          <w:color w:val="000000" w:themeColor="text1"/>
          <w:szCs w:val="20"/>
        </w:rPr>
      </w:pPr>
      <w:r w:rsidRPr="005D070C">
        <w:rPr>
          <w:color w:val="000000" w:themeColor="text1"/>
          <w:szCs w:val="20"/>
        </w:rPr>
        <w:t xml:space="preserve">(1) </w:t>
      </w:r>
      <w:r w:rsidRPr="005D070C">
        <w:rPr>
          <w:color w:val="000000" w:themeColor="text1"/>
          <w:szCs w:val="20"/>
        </w:rPr>
        <w:tab/>
      </w:r>
      <w:r w:rsidRPr="005D070C">
        <w:rPr>
          <w:iCs/>
          <w:color w:val="000000" w:themeColor="text1"/>
          <w:szCs w:val="20"/>
        </w:rPr>
        <w:t>10.25 m, jeżeli całkowity rozstaw kół zewnętrznych podwozia głównego (OMGWS) wynosi do</w:t>
      </w:r>
      <w:r w:rsidRPr="005D070C">
        <w:rPr>
          <w:color w:val="000000" w:themeColor="text1"/>
          <w:szCs w:val="18"/>
        </w:rPr>
        <w:t xml:space="preserve"> 4.5 m (bez wartości </w:t>
      </w:r>
      <w:smartTag w:uri="urn:schemas-microsoft-com:office:smarttags" w:element="metricconverter">
        <w:smartTagPr>
          <w:attr w:name="ProductID" w:val="4.5 m"/>
        </w:smartTagPr>
        <w:r w:rsidRPr="005D070C">
          <w:rPr>
            <w:color w:val="000000" w:themeColor="text1"/>
            <w:szCs w:val="18"/>
          </w:rPr>
          <w:t>4.5 m</w:t>
        </w:r>
      </w:smartTag>
      <w:r w:rsidRPr="005D070C">
        <w:rPr>
          <w:color w:val="000000" w:themeColor="text1"/>
          <w:szCs w:val="18"/>
        </w:rPr>
        <w:t>);</w:t>
      </w:r>
    </w:p>
    <w:p w14:paraId="0C9D3FDA" w14:textId="1E5E48B3" w:rsidR="00682083" w:rsidRPr="005D070C" w:rsidRDefault="00682083" w:rsidP="00682083">
      <w:pPr>
        <w:tabs>
          <w:tab w:val="left" w:pos="1134"/>
        </w:tabs>
        <w:autoSpaceDE w:val="0"/>
        <w:autoSpaceDN w:val="0"/>
        <w:adjustRightInd w:val="0"/>
        <w:ind w:left="1134" w:hanging="567"/>
        <w:rPr>
          <w:iCs/>
          <w:color w:val="000000" w:themeColor="text1"/>
          <w:szCs w:val="20"/>
        </w:rPr>
      </w:pPr>
      <w:r w:rsidRPr="005D070C">
        <w:rPr>
          <w:color w:val="000000" w:themeColor="text1"/>
          <w:szCs w:val="20"/>
        </w:rPr>
        <w:t xml:space="preserve">(2) </w:t>
      </w:r>
      <w:r w:rsidRPr="005D070C">
        <w:rPr>
          <w:color w:val="000000" w:themeColor="text1"/>
          <w:szCs w:val="20"/>
        </w:rPr>
        <w:tab/>
      </w:r>
      <w:r w:rsidRPr="005D070C">
        <w:rPr>
          <w:iCs/>
          <w:color w:val="000000" w:themeColor="text1"/>
          <w:szCs w:val="20"/>
        </w:rPr>
        <w:t>11 m, jeżeli OMGWS wynosi od</w:t>
      </w:r>
      <w:r w:rsidRPr="005D070C">
        <w:rPr>
          <w:color w:val="000000" w:themeColor="text1"/>
          <w:szCs w:val="18"/>
        </w:rPr>
        <w:t xml:space="preserve"> 4.5 m do 6 m (bez wartości 6 m);</w:t>
      </w:r>
    </w:p>
    <w:p w14:paraId="68F88E01" w14:textId="32D6A972" w:rsidR="00682083" w:rsidRPr="005D070C" w:rsidRDefault="00682083" w:rsidP="00682083">
      <w:pPr>
        <w:tabs>
          <w:tab w:val="left" w:pos="1134"/>
        </w:tabs>
        <w:autoSpaceDE w:val="0"/>
        <w:autoSpaceDN w:val="0"/>
        <w:adjustRightInd w:val="0"/>
        <w:ind w:left="1134" w:hanging="567"/>
        <w:rPr>
          <w:color w:val="000000" w:themeColor="text1"/>
          <w:szCs w:val="20"/>
        </w:rPr>
      </w:pPr>
      <w:r w:rsidRPr="005D070C">
        <w:rPr>
          <w:color w:val="000000" w:themeColor="text1"/>
          <w:szCs w:val="20"/>
        </w:rPr>
        <w:t xml:space="preserve">(3) </w:t>
      </w:r>
      <w:r w:rsidRPr="005D070C">
        <w:rPr>
          <w:color w:val="000000" w:themeColor="text1"/>
          <w:szCs w:val="20"/>
        </w:rPr>
        <w:tab/>
      </w:r>
      <w:r w:rsidRPr="005D070C">
        <w:rPr>
          <w:iCs/>
          <w:color w:val="000000" w:themeColor="text1"/>
          <w:szCs w:val="20"/>
        </w:rPr>
        <w:t>12.5 m, jeżeli OMGWS wynosi od</w:t>
      </w:r>
      <w:r w:rsidRPr="005D070C">
        <w:rPr>
          <w:color w:val="000000" w:themeColor="text1"/>
          <w:szCs w:val="20"/>
        </w:rPr>
        <w:t xml:space="preserve"> 6 m do 9 m (bez wartości 9 m);</w:t>
      </w:r>
    </w:p>
    <w:p w14:paraId="181D59E6" w14:textId="4AEAD21A" w:rsidR="00682083" w:rsidRPr="005D070C" w:rsidRDefault="00682083" w:rsidP="00682083">
      <w:pPr>
        <w:tabs>
          <w:tab w:val="left" w:pos="1134"/>
        </w:tabs>
        <w:autoSpaceDE w:val="0"/>
        <w:autoSpaceDN w:val="0"/>
        <w:adjustRightInd w:val="0"/>
        <w:ind w:left="1134" w:hanging="567"/>
        <w:rPr>
          <w:color w:val="000000" w:themeColor="text1"/>
          <w:szCs w:val="20"/>
        </w:rPr>
      </w:pPr>
      <w:r w:rsidRPr="005D070C">
        <w:rPr>
          <w:color w:val="000000" w:themeColor="text1"/>
          <w:szCs w:val="20"/>
        </w:rPr>
        <w:t xml:space="preserve">(4) </w:t>
      </w:r>
      <w:r w:rsidRPr="005D070C">
        <w:rPr>
          <w:color w:val="000000" w:themeColor="text1"/>
          <w:szCs w:val="20"/>
        </w:rPr>
        <w:tab/>
      </w:r>
      <w:r w:rsidRPr="005D070C">
        <w:rPr>
          <w:iCs/>
          <w:color w:val="000000" w:themeColor="text1"/>
          <w:szCs w:val="20"/>
        </w:rPr>
        <w:t>18.5 m, jeżeli OMGWS wynosi od</w:t>
      </w:r>
      <w:r w:rsidRPr="005D070C">
        <w:rPr>
          <w:color w:val="000000" w:themeColor="text1"/>
          <w:szCs w:val="20"/>
        </w:rPr>
        <w:t xml:space="preserve"> 9 m do 15 m (bez wartości 15 m), gdy literą kodu jest D;</w:t>
      </w:r>
    </w:p>
    <w:p w14:paraId="3791748E" w14:textId="0D82FC77" w:rsidR="00682083" w:rsidRPr="005D070C" w:rsidRDefault="00682083" w:rsidP="00682083">
      <w:pPr>
        <w:tabs>
          <w:tab w:val="left" w:pos="1134"/>
        </w:tabs>
        <w:autoSpaceDE w:val="0"/>
        <w:autoSpaceDN w:val="0"/>
        <w:adjustRightInd w:val="0"/>
        <w:ind w:left="1134" w:hanging="567"/>
        <w:rPr>
          <w:color w:val="000000" w:themeColor="text1"/>
          <w:szCs w:val="20"/>
        </w:rPr>
      </w:pPr>
      <w:r w:rsidRPr="005D070C">
        <w:rPr>
          <w:color w:val="000000" w:themeColor="text1"/>
          <w:szCs w:val="20"/>
        </w:rPr>
        <w:t xml:space="preserve">(5) </w:t>
      </w:r>
      <w:r w:rsidRPr="005D070C">
        <w:rPr>
          <w:color w:val="000000" w:themeColor="text1"/>
          <w:szCs w:val="20"/>
        </w:rPr>
        <w:tab/>
      </w:r>
      <w:r w:rsidRPr="005D070C">
        <w:rPr>
          <w:iCs/>
          <w:color w:val="000000" w:themeColor="text1"/>
          <w:szCs w:val="20"/>
        </w:rPr>
        <w:t>19 m, jeżeli OMGWS wynosi od</w:t>
      </w:r>
      <w:r w:rsidRPr="005D070C">
        <w:rPr>
          <w:color w:val="000000" w:themeColor="text1"/>
          <w:szCs w:val="20"/>
        </w:rPr>
        <w:t xml:space="preserve"> 9 m do 15 m (bez wartości 15 m), gdy literą kodu jest E;</w:t>
      </w:r>
    </w:p>
    <w:p w14:paraId="6D11B5B9" w14:textId="3DDA4CB7" w:rsidR="00682083" w:rsidRPr="005D070C" w:rsidRDefault="00682083" w:rsidP="00682083">
      <w:pPr>
        <w:tabs>
          <w:tab w:val="left" w:pos="1134"/>
        </w:tabs>
        <w:autoSpaceDE w:val="0"/>
        <w:autoSpaceDN w:val="0"/>
        <w:adjustRightInd w:val="0"/>
        <w:ind w:left="1134" w:hanging="567"/>
        <w:rPr>
          <w:color w:val="000000" w:themeColor="text1"/>
          <w:szCs w:val="20"/>
        </w:rPr>
      </w:pPr>
      <w:r w:rsidRPr="005D070C">
        <w:rPr>
          <w:color w:val="000000" w:themeColor="text1"/>
          <w:szCs w:val="20"/>
        </w:rPr>
        <w:t xml:space="preserve">(6) </w:t>
      </w:r>
      <w:r w:rsidRPr="005D070C">
        <w:rPr>
          <w:color w:val="000000" w:themeColor="text1"/>
          <w:szCs w:val="20"/>
        </w:rPr>
        <w:tab/>
      </w:r>
      <w:r w:rsidRPr="005D070C">
        <w:rPr>
          <w:iCs/>
          <w:color w:val="000000" w:themeColor="text1"/>
          <w:szCs w:val="20"/>
        </w:rPr>
        <w:t>22 m, jeżeli OMGWS wynosi od</w:t>
      </w:r>
      <w:r w:rsidRPr="005D070C">
        <w:rPr>
          <w:color w:val="000000" w:themeColor="text1"/>
          <w:szCs w:val="20"/>
        </w:rPr>
        <w:t xml:space="preserve"> 9 m do 15 m (bez wartośc</w:t>
      </w:r>
      <w:r w:rsidR="00C40ECA" w:rsidRPr="005D070C">
        <w:rPr>
          <w:color w:val="000000" w:themeColor="text1"/>
          <w:szCs w:val="20"/>
        </w:rPr>
        <w:t>i 15 m), gdy literą kodu jest F.</w:t>
      </w:r>
    </w:p>
    <w:p w14:paraId="7ABDDD25" w14:textId="13CDCD76" w:rsidR="00C40ECA" w:rsidRPr="009E064B" w:rsidRDefault="00C40ECA" w:rsidP="008960B1">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07252E5" w14:textId="3F420281" w:rsidR="001C0060" w:rsidRPr="009E064B" w:rsidRDefault="007C368F" w:rsidP="00133B99">
      <w:pPr>
        <w:pStyle w:val="Nagwek6"/>
      </w:pPr>
      <w:bookmarkStart w:id="1113" w:name="_Toc482886821"/>
      <w:bookmarkStart w:id="1114" w:name="_Toc12533042"/>
      <w:r w:rsidRPr="009E064B">
        <w:t xml:space="preserve">GM1 ADR-DSN.D.325     </w:t>
      </w:r>
      <w:r w:rsidR="001C0060" w:rsidRPr="009E064B">
        <w:t>Wyrównanie pasa drogi kołowania</w:t>
      </w:r>
      <w:bookmarkEnd w:id="1113"/>
      <w:bookmarkEnd w:id="1114"/>
    </w:p>
    <w:p w14:paraId="0CBD6710" w14:textId="78CBCD35"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0A2B234" w14:textId="2CA2068A" w:rsidR="00C25F90" w:rsidRPr="005D070C" w:rsidRDefault="00C25F90" w:rsidP="00221AC1">
      <w:pPr>
        <w:tabs>
          <w:tab w:val="left" w:pos="0"/>
        </w:tabs>
        <w:autoSpaceDE w:val="0"/>
        <w:autoSpaceDN w:val="0"/>
        <w:adjustRightInd w:val="0"/>
        <w:rPr>
          <w:i/>
          <w:color w:val="000000" w:themeColor="text1"/>
        </w:rPr>
      </w:pPr>
      <w:r w:rsidRPr="005D070C">
        <w:rPr>
          <w:rFonts w:eastAsia="Verdana" w:cs="Verdana"/>
          <w:bCs/>
          <w:color w:val="000000" w:themeColor="text1"/>
          <w:szCs w:val="20"/>
        </w:rPr>
        <w:t>Dodatkowe wytyczne dotyczące wyró</w:t>
      </w:r>
      <w:r w:rsidR="006B4564" w:rsidRPr="005D070C">
        <w:rPr>
          <w:rFonts w:eastAsia="Verdana" w:cs="Verdana"/>
          <w:bCs/>
          <w:color w:val="000000" w:themeColor="text1"/>
          <w:szCs w:val="20"/>
        </w:rPr>
        <w:t>wnanej częśc</w:t>
      </w:r>
      <w:r w:rsidRPr="005D070C">
        <w:rPr>
          <w:rFonts w:eastAsia="Verdana" w:cs="Verdana"/>
          <w:bCs/>
          <w:color w:val="000000" w:themeColor="text1"/>
          <w:szCs w:val="20"/>
        </w:rPr>
        <w:t>i</w:t>
      </w:r>
      <w:r w:rsidR="006B4564" w:rsidRPr="005D070C">
        <w:rPr>
          <w:rFonts w:eastAsia="Verdana" w:cs="Verdana"/>
          <w:bCs/>
          <w:color w:val="000000" w:themeColor="text1"/>
          <w:szCs w:val="20"/>
        </w:rPr>
        <w:t xml:space="preserve"> powierzchni drogi kołowania są określone w </w:t>
      </w:r>
      <w:r w:rsidRPr="005D070C">
        <w:rPr>
          <w:rFonts w:eastAsia="Verdana" w:cs="Verdana"/>
          <w:bCs/>
          <w:color w:val="000000" w:themeColor="text1"/>
          <w:szCs w:val="20"/>
        </w:rPr>
        <w:t>„</w:t>
      </w:r>
      <w:r w:rsidRPr="005D070C">
        <w:rPr>
          <w:i/>
          <w:color w:val="000000" w:themeColor="text1"/>
        </w:rPr>
        <w:t>Podręczniku projektowania lotnisk”</w:t>
      </w:r>
      <w:r w:rsidRPr="005D070C">
        <w:rPr>
          <w:b/>
          <w:i/>
          <w:color w:val="000000" w:themeColor="text1"/>
        </w:rPr>
        <w:t xml:space="preserve"> </w:t>
      </w:r>
      <w:r w:rsidRPr="005D070C">
        <w:rPr>
          <w:color w:val="000000" w:themeColor="text1"/>
        </w:rPr>
        <w:t>(</w:t>
      </w:r>
      <w:r w:rsidR="006B4564" w:rsidRPr="005D070C">
        <w:rPr>
          <w:color w:val="000000" w:themeColor="text1"/>
        </w:rPr>
        <w:t xml:space="preserve">ICAO </w:t>
      </w:r>
      <w:r w:rsidRPr="005D070C">
        <w:rPr>
          <w:color w:val="000000" w:themeColor="text1"/>
        </w:rPr>
        <w:t>Doc 9157) Część 2 „</w:t>
      </w:r>
      <w:r w:rsidRPr="005D070C">
        <w:rPr>
          <w:i/>
          <w:color w:val="000000" w:themeColor="text1"/>
        </w:rPr>
        <w:t>Drogi kołowania, płyty postojowe i zatoki oczekiwania”.</w:t>
      </w:r>
    </w:p>
    <w:p w14:paraId="6F156E03"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D74DBB8" w14:textId="16A3BC23" w:rsidR="00C36D76" w:rsidRPr="009E064B" w:rsidRDefault="007D3E5B" w:rsidP="00B06A9A">
      <w:pPr>
        <w:pStyle w:val="Nagwek4"/>
        <w:rPr>
          <w:color w:val="auto"/>
        </w:rPr>
      </w:pPr>
      <w:bookmarkStart w:id="1115" w:name="_Toc482886598"/>
      <w:bookmarkStart w:id="1116" w:name="_Toc12533043"/>
      <w:r w:rsidRPr="009E064B">
        <w:rPr>
          <w:color w:val="auto"/>
        </w:rPr>
        <w:t xml:space="preserve">CS ADR-DSN.D.330     </w:t>
      </w:r>
      <w:r w:rsidR="00C36D76" w:rsidRPr="009E064B">
        <w:rPr>
          <w:color w:val="auto"/>
        </w:rPr>
        <w:t>Nachylenia pasów drogi kołowania</w:t>
      </w:r>
      <w:bookmarkEnd w:id="1115"/>
      <w:bookmarkEnd w:id="1116"/>
    </w:p>
    <w:p w14:paraId="399ABE5B" w14:textId="3F5AE84B" w:rsidR="007C368F" w:rsidRPr="009E064B" w:rsidRDefault="001F74A1" w:rsidP="007C368F">
      <w:pPr>
        <w:pStyle w:val="Tekstpodstawowy"/>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71E1681" w14:textId="755D0B39" w:rsidR="00C36D76" w:rsidRPr="009E064B" w:rsidRDefault="00C36D76" w:rsidP="007C368F">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ograniczenia nachyleń podłużnych pasa drogi kołowania, zmian nachylenia oraz minimalnego zasięgu widoczności jest zmniejszenie prawdopodobieństwa uszkodzenia statku powietrznego, który przypadkowo wyjechał poza drogę kołowania oraz umożliwienie bezpiecznego wykorzystania tych obszarów przez pojazdy ratownicze i straży pożarnej.</w:t>
      </w:r>
    </w:p>
    <w:p w14:paraId="08524BF3"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Powierzchnia pasa drogi kołowania powinna znajdować się na tym samym poziomie, co krawędź drogi kołowania lub pobocza, jeżeli takie istnieją, a nachylenie poprzeczne w górę wyrównanej części pasa drogi kołowania nie powinno przekraczać:</w:t>
      </w:r>
    </w:p>
    <w:p w14:paraId="58387122"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2,5% dla pasów, jeżeli literą kodu jest C, D, E lub F; oraz</w:t>
      </w:r>
    </w:p>
    <w:p w14:paraId="0859069D"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3% dla pasów, jeżeli literą kodu jest A lub B;</w:t>
      </w:r>
    </w:p>
    <w:p w14:paraId="5A5F5FAB"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mierząc nachylenie w górę w odniesieniu do nachylenia poprzecznego powierzchni drogi kołowania, a nie do płaszczyzny poziomej. Nachylenie poprzeczne w dół nie powinno przekraczać 5% w stosunku do płaszczyzny poziomej.</w:t>
      </w:r>
    </w:p>
    <w:p w14:paraId="368EBA30" w14:textId="77777777" w:rsidR="001862F5" w:rsidRPr="009E064B" w:rsidRDefault="00C36D76" w:rsidP="00557C15">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Nachylenie poprzeczne w górę i w dół na żadnej części pasa drogi kołowania poza częścią, która powinna być wyrównana, nie powinno przekraczać 5% mierząc w kierunku od drogi kołowania.</w:t>
      </w:r>
      <w:r w:rsidR="00557C15" w:rsidRPr="009E064B">
        <w:rPr>
          <w:rFonts w:cs="TimesNewRomanPS-ItalicMT"/>
          <w:iCs/>
          <w:szCs w:val="20"/>
        </w:rPr>
        <w:t xml:space="preserve"> </w:t>
      </w:r>
    </w:p>
    <w:p w14:paraId="6F2E83A1" w14:textId="4809AD03" w:rsidR="001C0060" w:rsidRPr="009E064B" w:rsidRDefault="007D3E5B" w:rsidP="00133B99">
      <w:pPr>
        <w:pStyle w:val="Nagwek6"/>
      </w:pPr>
      <w:bookmarkStart w:id="1117" w:name="_Toc401058956"/>
      <w:bookmarkStart w:id="1118" w:name="_Toc482886822"/>
      <w:bookmarkStart w:id="1119" w:name="_Toc12533044"/>
      <w:r w:rsidRPr="009E064B">
        <w:t xml:space="preserve">GM1 ADR-DSN.D.330     </w:t>
      </w:r>
      <w:r w:rsidR="001C0060" w:rsidRPr="009E064B">
        <w:t xml:space="preserve">Nachylenia pasa </w:t>
      </w:r>
      <w:bookmarkEnd w:id="1117"/>
      <w:r w:rsidR="001C0060" w:rsidRPr="009E064B">
        <w:t>drogi kołowania</w:t>
      </w:r>
      <w:bookmarkEnd w:id="1118"/>
      <w:bookmarkEnd w:id="1119"/>
    </w:p>
    <w:p w14:paraId="36080BC0" w14:textId="3933E65D"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337921C" w14:textId="4FD3B195" w:rsidR="006B4564" w:rsidRPr="005D070C" w:rsidRDefault="006B4564" w:rsidP="00EE2E0D">
      <w:pPr>
        <w:tabs>
          <w:tab w:val="left" w:pos="567"/>
        </w:tabs>
        <w:autoSpaceDE w:val="0"/>
        <w:autoSpaceDN w:val="0"/>
        <w:adjustRightInd w:val="0"/>
        <w:ind w:left="567" w:hanging="567"/>
        <w:rPr>
          <w:rFonts w:cs="TimesNewRomanPSMT"/>
          <w:color w:val="000000" w:themeColor="text1"/>
          <w:szCs w:val="20"/>
        </w:rPr>
      </w:pPr>
      <w:r w:rsidRPr="005D070C">
        <w:rPr>
          <w:rFonts w:cs="TimesNewRomanPSMT"/>
          <w:color w:val="000000" w:themeColor="text1"/>
          <w:szCs w:val="20"/>
        </w:rPr>
        <w:t xml:space="preserve">(a) </w:t>
      </w:r>
      <w:r w:rsidRPr="005D070C">
        <w:rPr>
          <w:rFonts w:cs="TimesNewRomanPSMT"/>
          <w:color w:val="000000" w:themeColor="text1"/>
          <w:szCs w:val="20"/>
        </w:rPr>
        <w:tab/>
        <w:t>Jeśli jest to konieczne dla zapewniania właściwego odwodnienia, dopuszcza się możliwość, aby zbiornik gromadzący wodę deszczową (burzową) na otwartym powietrzu znajdował się na niewyrównanej części pasa drogi startowej i był zlokalizowany możliwie daleko od drogi startowej.</w:t>
      </w:r>
    </w:p>
    <w:p w14:paraId="4241B73F" w14:textId="4E5C6B73" w:rsidR="006B4564" w:rsidRPr="005D070C" w:rsidRDefault="008C7EC3" w:rsidP="00EE2E0D">
      <w:pPr>
        <w:tabs>
          <w:tab w:val="left" w:pos="567"/>
        </w:tabs>
        <w:autoSpaceDE w:val="0"/>
        <w:autoSpaceDN w:val="0"/>
        <w:adjustRightInd w:val="0"/>
        <w:ind w:left="567" w:hanging="567"/>
        <w:rPr>
          <w:color w:val="000000" w:themeColor="text1"/>
        </w:rPr>
      </w:pPr>
      <w:r w:rsidRPr="005D070C">
        <w:rPr>
          <w:rFonts w:cs="TimesNewRomanPSMT"/>
          <w:color w:val="000000" w:themeColor="text1"/>
          <w:szCs w:val="20"/>
        </w:rPr>
        <w:t xml:space="preserve">(b) </w:t>
      </w:r>
      <w:r w:rsidRPr="005D070C">
        <w:rPr>
          <w:rFonts w:cs="TimesNewRomanPSMT"/>
          <w:color w:val="000000" w:themeColor="text1"/>
          <w:szCs w:val="20"/>
        </w:rPr>
        <w:tab/>
        <w:t>Lokalizacja</w:t>
      </w:r>
      <w:r w:rsidR="006B4564" w:rsidRPr="005D070C">
        <w:rPr>
          <w:rFonts w:cs="TimesNewRomanPSMT"/>
          <w:color w:val="000000" w:themeColor="text1"/>
          <w:szCs w:val="20"/>
        </w:rPr>
        <w:t xml:space="preserve"> zbiornika na wodę deszczowa na otwartym powietrzu, w obrębie nie</w:t>
      </w:r>
      <w:r w:rsidRPr="005D070C">
        <w:rPr>
          <w:rFonts w:cs="TimesNewRomanPSMT"/>
          <w:color w:val="000000" w:themeColor="text1"/>
          <w:szCs w:val="20"/>
        </w:rPr>
        <w:t>wyrównanej</w:t>
      </w:r>
      <w:r w:rsidR="006B4564" w:rsidRPr="005D070C">
        <w:rPr>
          <w:rFonts w:cs="TimesNewRomanPSMT"/>
          <w:color w:val="000000" w:themeColor="text1"/>
          <w:szCs w:val="20"/>
        </w:rPr>
        <w:t xml:space="preserve"> części pasa drogi startowej powinna być tak zaprojektowana, aby zapewnić niczym niezakłócony dostęp </w:t>
      </w:r>
      <w:r w:rsidR="006B4564" w:rsidRPr="005D070C">
        <w:rPr>
          <w:color w:val="000000" w:themeColor="text1"/>
        </w:rPr>
        <w:t>lotniskowej służby ratowniczo gaśniczej (RFF</w:t>
      </w:r>
      <w:r w:rsidRPr="005D070C">
        <w:rPr>
          <w:color w:val="000000" w:themeColor="text1"/>
        </w:rPr>
        <w:t>S</w:t>
      </w:r>
      <w:r w:rsidR="006B4564" w:rsidRPr="005D070C">
        <w:rPr>
          <w:color w:val="000000" w:themeColor="text1"/>
        </w:rPr>
        <w:t>).</w:t>
      </w:r>
    </w:p>
    <w:p w14:paraId="04967DEE"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55CD311" w14:textId="329C3948" w:rsidR="00C36D76" w:rsidRPr="009E064B" w:rsidRDefault="00D05B14" w:rsidP="00D05B14">
      <w:pPr>
        <w:pStyle w:val="Nagwek4"/>
        <w:ind w:left="2552" w:hanging="2552"/>
        <w:rPr>
          <w:color w:val="auto"/>
        </w:rPr>
      </w:pPr>
      <w:bookmarkStart w:id="1120" w:name="_CS_ADR-DSN.D.335_"/>
      <w:bookmarkStart w:id="1121" w:name="_Toc482886599"/>
      <w:bookmarkStart w:id="1122" w:name="_Toc12533045"/>
      <w:bookmarkEnd w:id="1120"/>
      <w:r w:rsidRPr="009E064B">
        <w:rPr>
          <w:color w:val="auto"/>
        </w:rPr>
        <w:t xml:space="preserve">CS ADR-DSN.D.335      </w:t>
      </w:r>
      <w:r w:rsidR="00C36D76" w:rsidRPr="009E064B">
        <w:rPr>
          <w:color w:val="auto"/>
        </w:rPr>
        <w:t>Zatoki oczekiwania, miejsca oczekiwania przed drogą startową, pośrednie miejsca oczekiwania, miejsca oczekiwania na drodze ruchu kołowego</w:t>
      </w:r>
      <w:bookmarkEnd w:id="1121"/>
      <w:bookmarkEnd w:id="1122"/>
    </w:p>
    <w:p w14:paraId="5519EE98" w14:textId="611E7772"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EE318A1"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 xml:space="preserve">Zatoka </w:t>
      </w:r>
      <w:r w:rsidRPr="009E064B">
        <w:rPr>
          <w:rFonts w:cs="TimesNewRomanPSMT"/>
          <w:szCs w:val="20"/>
        </w:rPr>
        <w:t>oczekiwania lub inne miejsca wyminięcia o dostatecznej wielkości i odpowiedniej konstrukcji powinny być zapewnione w miejscach, gdzie jest to niezbędnie, aby umożliwić dokonywanie zmian w kolejności odlotów.</w:t>
      </w:r>
    </w:p>
    <w:p w14:paraId="4934C968"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Miejsce (miejsca) oczekiwania przed drogą startową powinno być ustanowione:</w:t>
      </w:r>
    </w:p>
    <w:p w14:paraId="091F6A5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 (1) </w:t>
      </w:r>
      <w:r w:rsidRPr="009E064B">
        <w:rPr>
          <w:rFonts w:cs="Times New Roman"/>
          <w:szCs w:val="20"/>
        </w:rPr>
        <w:tab/>
      </w:r>
      <w:r w:rsidRPr="009E064B">
        <w:rPr>
          <w:rFonts w:cs="TimesNewRomanPSMT"/>
          <w:szCs w:val="20"/>
        </w:rPr>
        <w:t>na drodze kołowania, jeżeli położenie drogi kołowania jest takie, że kołowanie statku powietrznego lub przejazd pojazdu może naruszyć powierzchnię ograniczającą przeszkody lub strefę wrażliwą lub krytyczną ILS/MLS albo zakłócić pracę radiowych pomocy nawigacyjnych;</w:t>
      </w:r>
    </w:p>
    <w:p w14:paraId="153FFB27"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na drodze kołowania, przy skrzyżowaniu drogi kołowania z drogą startową; oraz</w:t>
      </w:r>
    </w:p>
    <w:p w14:paraId="5292D5B1"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t>przy</w:t>
      </w:r>
      <w:r w:rsidRPr="009E064B">
        <w:rPr>
          <w:rFonts w:cs="TimesNewRomanPSMT"/>
          <w:szCs w:val="20"/>
        </w:rPr>
        <w:t xml:space="preserve"> skrzyżowaniu drogi startowej z inną drogą startową, jeżeli ta pierwsza droga startowa stanowi część standardowej drogi kołowania.</w:t>
      </w:r>
    </w:p>
    <w:p w14:paraId="661CCEED"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Pośrednie miejsce oczekiwania powinno być wyznaczone na drodze kołowania, w dowolnym miejscu, innym niż dane miejsce oczekiwania przed drogą startową, gdzie jest pożądane, aby określić wyraźne granice oczekiwania.</w:t>
      </w:r>
    </w:p>
    <w:p w14:paraId="7A3B3BF3"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Awaryjna droga dojazdowa powinna posiadać miejsca oczekiwania na drodze ruchu kołowego, na wszystkich skrzyżowaniach z drogami startowymi i drogami kołowania.</w:t>
      </w:r>
    </w:p>
    <w:p w14:paraId="4D77E205"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(e) </w:t>
      </w:r>
      <w:r w:rsidRPr="009E064B">
        <w:rPr>
          <w:rFonts w:cs="Times New Roman"/>
          <w:szCs w:val="20"/>
        </w:rPr>
        <w:tab/>
      </w:r>
      <w:r w:rsidRPr="009E064B">
        <w:rPr>
          <w:rFonts w:cs="TimesNewRomanPSMT"/>
          <w:szCs w:val="20"/>
        </w:rPr>
        <w:t>Miejsce oczekiwania na drodze ruchu kołowego powinno być wykonane na każdym skrzyżowaniu takiej drogi z drogą startową.</w:t>
      </w:r>
    </w:p>
    <w:p w14:paraId="0B26C6B1"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9A124DA" w14:textId="77777777" w:rsidR="001C0060" w:rsidRPr="009E064B" w:rsidRDefault="001C0060" w:rsidP="00133B99">
      <w:pPr>
        <w:pStyle w:val="Nagwek6"/>
      </w:pPr>
      <w:bookmarkStart w:id="1123" w:name="_Toc401058957"/>
      <w:bookmarkStart w:id="1124" w:name="_Toc482886823"/>
      <w:bookmarkStart w:id="1125" w:name="_Toc12533046"/>
      <w:bookmarkStart w:id="1126" w:name="_Toc482886600"/>
      <w:r w:rsidRPr="009E064B">
        <w:t xml:space="preserve">GM1 ADR-DSN.D.335 </w:t>
      </w:r>
      <w:r w:rsidR="00D05B14" w:rsidRPr="009E064B">
        <w:t xml:space="preserve">    </w:t>
      </w:r>
      <w:r w:rsidRPr="009E064B">
        <w:t>Zatoki oczekiwania, miejsca oczekiwania przed drogą startową, pośrednie miejsca oczekiwania, miejsca oczekiwania na drodze ruchu kołowego</w:t>
      </w:r>
      <w:bookmarkEnd w:id="1123"/>
      <w:bookmarkEnd w:id="1124"/>
      <w:bookmarkEnd w:id="1125"/>
    </w:p>
    <w:p w14:paraId="660FB402" w14:textId="2801E075"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3799163" w14:textId="58012233" w:rsidR="001C0060"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Przy niskim poziomie działalności lotniskowej (mniej niż około 50 000 operacji rocznie), zwykle nie ma potrzeby wprowadzania zmian w kolejności odlotów. Je</w:t>
      </w:r>
      <w:r w:rsidR="00C45559" w:rsidRPr="009E064B">
        <w:rPr>
          <w:rFonts w:eastAsia="Times New Roman,Italic" w:cs="Times New Roman,Italic"/>
          <w:iCs/>
          <w:szCs w:val="20"/>
        </w:rPr>
        <w:t>dnak w przypadku działalności o </w:t>
      </w:r>
      <w:r w:rsidRPr="009E064B">
        <w:rPr>
          <w:rFonts w:eastAsia="Times New Roman,Italic" w:cs="Times New Roman,Italic"/>
          <w:iCs/>
          <w:szCs w:val="20"/>
        </w:rPr>
        <w:t>wyższym poziomie, lotniska posiadające jedną drogę kołowania bez żadnej zatoki oczekiwania lub innych objazdów, nie dają organom kontroli lotniska możliwości zmiany kolejności odlotów w momencie, kiedy statki powietrzne opuściły płytę postojową. W szczególności, na lotniskach z dużymi płytami postojowymi często trudno jest zorganizować opuszczenie płyty postojowej przez statki powietrzne w taki sposób, aby przyjechały na koniec drogi startowej w kolejności wymaganej przez organy służb ruchu lotniczego.</w:t>
      </w:r>
    </w:p>
    <w:p w14:paraId="69CB4294" w14:textId="77777777" w:rsidR="001C0060"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Zapewnienie odpowiedniej ilości zatok oczekiwania lub innych objazdów, w oparciu o analizę bieżącego oraz krótkoterminowego godzinnego zapotrzebowania odnośnie odlotów statków powietrznych, powinno umożliwić dużą elastyczność w generowaniu kolejności odlotów.</w:t>
      </w:r>
    </w:p>
    <w:p w14:paraId="35C609C6" w14:textId="77777777" w:rsidR="001C0060" w:rsidRPr="009E064B" w:rsidRDefault="001C0060"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Miejsce wymagane dla zatoki oczekiwania uzależnione jest od ilości stanowisk dla statków powietrznych, jaka ma być zapewniona, wielkości statków powietrznych, jakie będą przyjmowane oraz częstotliwość ich eksploatacji. Wymiary powinny zapewniać dostateczną przestrzeń pomiędzy statkami powietrznymi w celu umożliwienia niezależnego manewrowania.</w:t>
      </w:r>
    </w:p>
    <w:p w14:paraId="0971BAE3" w14:textId="77777777" w:rsidR="001C0060" w:rsidRPr="009E064B" w:rsidRDefault="001C00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Awaryjne drogi serwisowe nie są przeznaczone do wykorzystania do tych samych celów, co drogi serwisowe lotniska. Jednakże powinny one posiadać inną kontrolę dostępu, co powinno być jednoznacznie widoczne dla całego ruchu służb naziemnych.</w:t>
      </w:r>
    </w:p>
    <w:p w14:paraId="6B1B54A7" w14:textId="5823EF19" w:rsidR="001C0060" w:rsidRPr="009E064B" w:rsidRDefault="001C00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Verdana" w:cs="Verdana"/>
          <w:bCs/>
          <w:szCs w:val="20"/>
        </w:rPr>
        <w:t xml:space="preserve">Dalsze wytyczne znajdują się 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00C45559" w:rsidRPr="009E064B">
        <w:rPr>
          <w:rFonts w:eastAsia="Verdana" w:cs="Verdana"/>
          <w:bCs/>
          <w:szCs w:val="20"/>
        </w:rPr>
        <w:t>Część </w:t>
      </w:r>
      <w:r w:rsidRPr="009E064B">
        <w:rPr>
          <w:rFonts w:eastAsia="Verdana" w:cs="Verdana"/>
          <w:bCs/>
          <w:szCs w:val="20"/>
        </w:rPr>
        <w:t>2 „</w:t>
      </w:r>
      <w:r w:rsidRPr="009E064B">
        <w:rPr>
          <w:rFonts w:eastAsia="Verdana" w:cs="Verdana"/>
          <w:bCs/>
          <w:i/>
          <w:szCs w:val="20"/>
        </w:rPr>
        <w:t>Drogi kołowania, płyty postojowe oraz zatoki oczekiwania</w:t>
      </w:r>
      <w:r w:rsidRPr="009E064B">
        <w:rPr>
          <w:rFonts w:eastAsia="Verdana" w:cs="Verdana"/>
          <w:bCs/>
          <w:szCs w:val="20"/>
        </w:rPr>
        <w:t>” oraz w</w:t>
      </w:r>
      <w:r w:rsidR="00557C15" w:rsidRPr="009E064B">
        <w:rPr>
          <w:rFonts w:eastAsia="Verdana" w:cs="Verdana"/>
          <w:bCs/>
          <w:szCs w:val="20"/>
        </w:rPr>
        <w:t xml:space="preserve"> podręczniku ICAO Doc </w:t>
      </w:r>
      <w:r w:rsidRPr="009E064B">
        <w:rPr>
          <w:rFonts w:eastAsia="Verdana" w:cs="Verdana"/>
          <w:bCs/>
          <w:szCs w:val="20"/>
        </w:rPr>
        <w:t>4444, „</w:t>
      </w:r>
      <w:r w:rsidRPr="009E064B">
        <w:rPr>
          <w:rFonts w:eastAsia="Verdana" w:cs="Verdana"/>
          <w:bCs/>
          <w:i/>
          <w:szCs w:val="20"/>
        </w:rPr>
        <w:t>Procedury służb żeglugi powietrznej – Zarządzanie ruchem lotniczym</w:t>
      </w:r>
      <w:r w:rsidRPr="009E064B">
        <w:rPr>
          <w:rFonts w:eastAsia="Verdana" w:cs="Verdana"/>
          <w:bCs/>
          <w:szCs w:val="20"/>
        </w:rPr>
        <w:t>”.</w:t>
      </w:r>
    </w:p>
    <w:p w14:paraId="128B81BB"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CFCAE8A" w14:textId="18697774" w:rsidR="00C36D76" w:rsidRPr="009E064B" w:rsidRDefault="00C36D76" w:rsidP="00D05B14">
      <w:pPr>
        <w:pStyle w:val="Nagwek4"/>
        <w:tabs>
          <w:tab w:val="clear" w:pos="2694"/>
          <w:tab w:val="left" w:pos="2552"/>
        </w:tabs>
        <w:ind w:left="2552" w:hanging="2552"/>
        <w:jc w:val="both"/>
        <w:rPr>
          <w:color w:val="auto"/>
        </w:rPr>
      </w:pPr>
      <w:bookmarkStart w:id="1127" w:name="_CS_ADR-DSN.D.340_"/>
      <w:bookmarkStart w:id="1128" w:name="_Toc12533047"/>
      <w:bookmarkEnd w:id="1127"/>
      <w:r w:rsidRPr="009E064B">
        <w:rPr>
          <w:color w:val="auto"/>
        </w:rPr>
        <w:t xml:space="preserve">CS ADR-DSN.D.340 </w:t>
      </w:r>
      <w:r w:rsidR="00D05B14" w:rsidRPr="009E064B">
        <w:rPr>
          <w:color w:val="auto"/>
        </w:rPr>
        <w:t xml:space="preserve">     </w:t>
      </w:r>
      <w:r w:rsidRPr="009E064B">
        <w:rPr>
          <w:color w:val="auto"/>
        </w:rPr>
        <w:t>Lokalizacja zatok oczekiwania, miejsc oczekiwania przed drogą startową, pośrednich miejsc oczekiwania oraz miejsc oczekiwania na drogach ruchu kołowego</w:t>
      </w:r>
      <w:bookmarkEnd w:id="1126"/>
      <w:bookmarkEnd w:id="1128"/>
      <w:r w:rsidRPr="009E064B">
        <w:rPr>
          <w:color w:val="auto"/>
        </w:rPr>
        <w:t xml:space="preserve"> </w:t>
      </w:r>
    </w:p>
    <w:p w14:paraId="54C0A22C" w14:textId="3946B5B7"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D1A5B1B" w14:textId="0206ADAD"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Odległość pomiędzy zatoką oczekiwania, miejscem oczekiwania przed drogą startową ustanowionym na skrzyżowaniu drogi startowej i drogi kołowania lub miejscem oczekiwania na drodze ruchu kołowego, a linią środkową drogi startowej powinna być zgodna z Tabelą D-2 i</w:t>
      </w:r>
      <w:r w:rsidR="001862F5" w:rsidRPr="009E064B">
        <w:rPr>
          <w:rFonts w:cs="TimesNewRomanPSMT"/>
          <w:szCs w:val="20"/>
        </w:rPr>
        <w:t> </w:t>
      </w:r>
      <w:r w:rsidRPr="009E064B">
        <w:rPr>
          <w:rFonts w:cs="TimesNewRomanPSMT"/>
          <w:szCs w:val="20"/>
        </w:rPr>
        <w:t>powinna zapewnić, że oczekujący statek powietrzny lub pojazd nie zakłócają pracy radiowych pomocy nawigacyjnych.</w:t>
      </w:r>
    </w:p>
    <w:p w14:paraId="772614F0" w14:textId="3DD21721"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Przy wysokości większej niż 700 m, odległość 90 m określona w T</w:t>
      </w:r>
      <w:r w:rsidR="00C45559" w:rsidRPr="009E064B">
        <w:rPr>
          <w:rFonts w:cs="TimesNewRomanPS-ItalicMT"/>
          <w:iCs/>
          <w:szCs w:val="20"/>
        </w:rPr>
        <w:t>abeli D-2 dla drogi startowej z </w:t>
      </w:r>
      <w:r w:rsidRPr="009E064B">
        <w:rPr>
          <w:rFonts w:cs="TimesNewRomanPS-ItalicMT"/>
          <w:iCs/>
          <w:szCs w:val="20"/>
        </w:rPr>
        <w:t>podejściem precyzyjnym, której cyfrą kodu jest 4, powinna być powiększona w następujący sposób:</w:t>
      </w:r>
    </w:p>
    <w:p w14:paraId="0AFE3E64"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MT"/>
          <w:szCs w:val="20"/>
        </w:rPr>
        <w:t>do</w:t>
      </w:r>
      <w:r w:rsidRPr="009E064B">
        <w:rPr>
          <w:rFonts w:cs="TimesNewRomanPS-ItalicMT"/>
          <w:iCs/>
          <w:szCs w:val="20"/>
        </w:rPr>
        <w:t xml:space="preserve"> wysokości 2000 m: 1 m na każde 100 m powyżej 700 m;</w:t>
      </w:r>
    </w:p>
    <w:p w14:paraId="56AC37E7"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t>od</w:t>
      </w:r>
      <w:r w:rsidRPr="009E064B">
        <w:rPr>
          <w:rFonts w:cs="TimesNewRomanPS-ItalicMT"/>
          <w:iCs/>
          <w:szCs w:val="20"/>
        </w:rPr>
        <w:t xml:space="preserve"> wysokości ponad 2000 m do 4000 m: 13 m plus 1.5 m na każde 100 m powyżej 2000 m;</w:t>
      </w:r>
    </w:p>
    <w:p w14:paraId="27E96DE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od wysokości ponad 4000 m do 5000 m: 43 m plus 2 m na każde 100 m powyżej 4000 m.</w:t>
      </w:r>
    </w:p>
    <w:p w14:paraId="6EB5FE4C" w14:textId="77777777" w:rsidR="00C36D76" w:rsidRPr="009E064B" w:rsidRDefault="00C36D76" w:rsidP="00B06A9A">
      <w:pPr>
        <w:spacing w:after="0"/>
        <w:rPr>
          <w:rFonts w:cs="TimesNewRomanPS-BoldMT"/>
          <w:bCs/>
          <w:szCs w:val="20"/>
        </w:rPr>
      </w:pPr>
    </w:p>
    <w:tbl>
      <w:tblPr>
        <w:tblW w:w="4744" w:type="pct"/>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85" w:type="dxa"/>
          <w:left w:w="85" w:type="dxa"/>
          <w:bottom w:w="85" w:type="dxa"/>
          <w:right w:w="85" w:type="dxa"/>
        </w:tblCellMar>
        <w:tblLook w:val="01E0" w:firstRow="1" w:lastRow="1" w:firstColumn="1" w:lastColumn="1" w:noHBand="0" w:noVBand="0"/>
      </w:tblPr>
      <w:tblGrid>
        <w:gridCol w:w="4689"/>
        <w:gridCol w:w="1006"/>
        <w:gridCol w:w="1006"/>
        <w:gridCol w:w="1006"/>
        <w:gridCol w:w="1007"/>
      </w:tblGrid>
      <w:tr w:rsidR="00C36D76" w:rsidRPr="009E064B" w14:paraId="20A98D8F" w14:textId="77777777" w:rsidTr="00DF45EB">
        <w:trPr>
          <w:trHeight w:val="259"/>
          <w:jc w:val="right"/>
        </w:trPr>
        <w:tc>
          <w:tcPr>
            <w:tcW w:w="2691" w:type="pct"/>
            <w:vMerge w:val="restart"/>
            <w:tcMar>
              <w:top w:w="28" w:type="dxa"/>
              <w:left w:w="85" w:type="dxa"/>
              <w:bottom w:w="28" w:type="dxa"/>
              <w:right w:w="28" w:type="dxa"/>
            </w:tcMar>
            <w:vAlign w:val="center"/>
          </w:tcPr>
          <w:p w14:paraId="56E9AC35" w14:textId="2F2351DC" w:rsidR="00C36D76" w:rsidRPr="009E064B" w:rsidRDefault="007655D0" w:rsidP="001862F5">
            <w:pPr>
              <w:tabs>
                <w:tab w:val="left" w:pos="2088"/>
              </w:tabs>
              <w:spacing w:after="0"/>
              <w:ind w:right="40"/>
              <w:jc w:val="center"/>
              <w:rPr>
                <w:b/>
                <w:szCs w:val="18"/>
              </w:rPr>
            </w:pPr>
            <w:r w:rsidRPr="009E064B">
              <w:rPr>
                <w:b/>
                <w:szCs w:val="18"/>
              </w:rPr>
              <w:t>Typ</w:t>
            </w:r>
            <w:r w:rsidR="00C36D76" w:rsidRPr="009E064B">
              <w:rPr>
                <w:b/>
                <w:szCs w:val="18"/>
              </w:rPr>
              <w:t xml:space="preserve"> drogi startowej</w:t>
            </w:r>
          </w:p>
        </w:tc>
        <w:tc>
          <w:tcPr>
            <w:tcW w:w="2309" w:type="pct"/>
            <w:gridSpan w:val="4"/>
            <w:tcMar>
              <w:top w:w="28" w:type="dxa"/>
              <w:left w:w="85" w:type="dxa"/>
              <w:bottom w:w="28" w:type="dxa"/>
              <w:right w:w="28" w:type="dxa"/>
            </w:tcMar>
            <w:vAlign w:val="center"/>
          </w:tcPr>
          <w:p w14:paraId="5D805E2B" w14:textId="77777777" w:rsidR="00C36D76" w:rsidRPr="009E064B" w:rsidRDefault="00C36D76" w:rsidP="001862F5">
            <w:pPr>
              <w:tabs>
                <w:tab w:val="left" w:pos="1291"/>
              </w:tabs>
              <w:spacing w:after="0"/>
              <w:ind w:right="40"/>
              <w:jc w:val="center"/>
              <w:rPr>
                <w:b/>
                <w:szCs w:val="18"/>
                <w:vertAlign w:val="superscript"/>
              </w:rPr>
            </w:pPr>
            <w:r w:rsidRPr="009E064B">
              <w:rPr>
                <w:b/>
                <w:szCs w:val="18"/>
              </w:rPr>
              <w:t>Cyfra kodu</w:t>
            </w:r>
            <w:r w:rsidRPr="009E064B">
              <w:rPr>
                <w:szCs w:val="18"/>
                <w:vertAlign w:val="superscript"/>
              </w:rPr>
              <w:t>d</w:t>
            </w:r>
          </w:p>
        </w:tc>
      </w:tr>
      <w:tr w:rsidR="00C36D76" w:rsidRPr="009E064B" w14:paraId="4E4276B1" w14:textId="77777777" w:rsidTr="00DF45EB">
        <w:trPr>
          <w:trHeight w:val="227"/>
          <w:jc w:val="right"/>
        </w:trPr>
        <w:tc>
          <w:tcPr>
            <w:tcW w:w="2691" w:type="pct"/>
            <w:vMerge/>
            <w:tcMar>
              <w:top w:w="28" w:type="dxa"/>
              <w:left w:w="85" w:type="dxa"/>
              <w:bottom w:w="28" w:type="dxa"/>
              <w:right w:w="28" w:type="dxa"/>
            </w:tcMar>
          </w:tcPr>
          <w:p w14:paraId="23A87D0B" w14:textId="77777777" w:rsidR="00C36D76" w:rsidRPr="009E064B" w:rsidRDefault="00C36D76" w:rsidP="001862F5">
            <w:pPr>
              <w:tabs>
                <w:tab w:val="left" w:pos="1291"/>
              </w:tabs>
              <w:spacing w:after="0"/>
              <w:ind w:right="40"/>
              <w:rPr>
                <w:szCs w:val="18"/>
              </w:rPr>
            </w:pPr>
          </w:p>
        </w:tc>
        <w:tc>
          <w:tcPr>
            <w:tcW w:w="577" w:type="pct"/>
            <w:tcMar>
              <w:top w:w="28" w:type="dxa"/>
              <w:left w:w="85" w:type="dxa"/>
              <w:bottom w:w="28" w:type="dxa"/>
              <w:right w:w="28" w:type="dxa"/>
            </w:tcMar>
            <w:vAlign w:val="center"/>
          </w:tcPr>
          <w:p w14:paraId="11D1DD86" w14:textId="77777777" w:rsidR="00C36D76" w:rsidRPr="009E064B" w:rsidRDefault="00C36D76" w:rsidP="001862F5">
            <w:pPr>
              <w:tabs>
                <w:tab w:val="left" w:pos="1291"/>
              </w:tabs>
              <w:spacing w:after="0"/>
              <w:ind w:right="40"/>
              <w:jc w:val="center"/>
              <w:rPr>
                <w:b/>
                <w:szCs w:val="18"/>
              </w:rPr>
            </w:pPr>
            <w:r w:rsidRPr="009E064B">
              <w:rPr>
                <w:b/>
                <w:szCs w:val="18"/>
              </w:rPr>
              <w:t>1</w:t>
            </w:r>
          </w:p>
        </w:tc>
        <w:tc>
          <w:tcPr>
            <w:tcW w:w="577" w:type="pct"/>
            <w:tcMar>
              <w:top w:w="28" w:type="dxa"/>
              <w:left w:w="85" w:type="dxa"/>
              <w:bottom w:w="28" w:type="dxa"/>
              <w:right w:w="28" w:type="dxa"/>
            </w:tcMar>
            <w:vAlign w:val="center"/>
          </w:tcPr>
          <w:p w14:paraId="3B2C1EF1" w14:textId="77777777" w:rsidR="00C36D76" w:rsidRPr="009E064B" w:rsidRDefault="00C36D76" w:rsidP="001862F5">
            <w:pPr>
              <w:tabs>
                <w:tab w:val="left" w:pos="1291"/>
              </w:tabs>
              <w:spacing w:after="0"/>
              <w:ind w:right="40"/>
              <w:jc w:val="center"/>
              <w:rPr>
                <w:b/>
                <w:szCs w:val="18"/>
              </w:rPr>
            </w:pPr>
            <w:r w:rsidRPr="009E064B">
              <w:rPr>
                <w:b/>
                <w:szCs w:val="18"/>
              </w:rPr>
              <w:t>2</w:t>
            </w:r>
          </w:p>
        </w:tc>
        <w:tc>
          <w:tcPr>
            <w:tcW w:w="577" w:type="pct"/>
            <w:tcMar>
              <w:top w:w="28" w:type="dxa"/>
              <w:left w:w="85" w:type="dxa"/>
              <w:bottom w:w="28" w:type="dxa"/>
              <w:right w:w="28" w:type="dxa"/>
            </w:tcMar>
            <w:vAlign w:val="center"/>
          </w:tcPr>
          <w:p w14:paraId="26ABE569" w14:textId="77777777" w:rsidR="00C36D76" w:rsidRPr="009E064B" w:rsidRDefault="00C36D76" w:rsidP="001862F5">
            <w:pPr>
              <w:tabs>
                <w:tab w:val="left" w:pos="1291"/>
              </w:tabs>
              <w:spacing w:after="0"/>
              <w:ind w:right="40"/>
              <w:jc w:val="center"/>
              <w:rPr>
                <w:b/>
                <w:szCs w:val="18"/>
              </w:rPr>
            </w:pPr>
            <w:r w:rsidRPr="009E064B">
              <w:rPr>
                <w:b/>
                <w:szCs w:val="18"/>
              </w:rPr>
              <w:t>3</w:t>
            </w:r>
          </w:p>
        </w:tc>
        <w:tc>
          <w:tcPr>
            <w:tcW w:w="578" w:type="pct"/>
            <w:tcMar>
              <w:top w:w="28" w:type="dxa"/>
              <w:left w:w="85" w:type="dxa"/>
              <w:bottom w:w="28" w:type="dxa"/>
              <w:right w:w="28" w:type="dxa"/>
            </w:tcMar>
            <w:vAlign w:val="center"/>
          </w:tcPr>
          <w:p w14:paraId="2B8CA92A" w14:textId="77777777" w:rsidR="00C36D76" w:rsidRPr="009E064B" w:rsidRDefault="00C36D76" w:rsidP="001862F5">
            <w:pPr>
              <w:tabs>
                <w:tab w:val="left" w:pos="1291"/>
              </w:tabs>
              <w:spacing w:after="0"/>
              <w:ind w:right="40"/>
              <w:jc w:val="center"/>
              <w:rPr>
                <w:b/>
                <w:szCs w:val="18"/>
              </w:rPr>
            </w:pPr>
            <w:r w:rsidRPr="009E064B">
              <w:rPr>
                <w:b/>
                <w:szCs w:val="18"/>
              </w:rPr>
              <w:t>4</w:t>
            </w:r>
          </w:p>
        </w:tc>
      </w:tr>
      <w:tr w:rsidR="00C36D76" w:rsidRPr="009E064B" w14:paraId="058583B1" w14:textId="77777777" w:rsidTr="00DF45EB">
        <w:trPr>
          <w:trHeight w:val="397"/>
          <w:jc w:val="right"/>
        </w:trPr>
        <w:tc>
          <w:tcPr>
            <w:tcW w:w="2691" w:type="pct"/>
            <w:tcMar>
              <w:top w:w="28" w:type="dxa"/>
              <w:left w:w="85" w:type="dxa"/>
              <w:bottom w:w="28" w:type="dxa"/>
              <w:right w:w="28" w:type="dxa"/>
            </w:tcMar>
            <w:vAlign w:val="center"/>
          </w:tcPr>
          <w:p w14:paraId="66D0343F" w14:textId="77777777" w:rsidR="00C36D76" w:rsidRPr="009E064B" w:rsidRDefault="00C36D76" w:rsidP="001862F5">
            <w:pPr>
              <w:tabs>
                <w:tab w:val="left" w:pos="1291"/>
              </w:tabs>
              <w:spacing w:after="0"/>
              <w:ind w:left="57" w:right="40"/>
              <w:rPr>
                <w:szCs w:val="18"/>
              </w:rPr>
            </w:pPr>
            <w:r w:rsidRPr="009E064B">
              <w:rPr>
                <w:szCs w:val="18"/>
              </w:rPr>
              <w:t>Nieprzyrządowa</w:t>
            </w:r>
          </w:p>
        </w:tc>
        <w:tc>
          <w:tcPr>
            <w:tcW w:w="577" w:type="pct"/>
            <w:tcMar>
              <w:top w:w="28" w:type="dxa"/>
              <w:left w:w="85" w:type="dxa"/>
              <w:bottom w:w="28" w:type="dxa"/>
              <w:right w:w="28" w:type="dxa"/>
            </w:tcMar>
            <w:vAlign w:val="center"/>
          </w:tcPr>
          <w:p w14:paraId="5C714DD2"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30 m"/>
              </w:smartTagPr>
              <w:r w:rsidRPr="009E064B">
                <w:rPr>
                  <w:szCs w:val="18"/>
                </w:rPr>
                <w:t>30 m</w:t>
              </w:r>
            </w:smartTag>
          </w:p>
        </w:tc>
        <w:tc>
          <w:tcPr>
            <w:tcW w:w="577" w:type="pct"/>
            <w:tcMar>
              <w:top w:w="28" w:type="dxa"/>
              <w:left w:w="85" w:type="dxa"/>
              <w:bottom w:w="28" w:type="dxa"/>
              <w:right w:w="28" w:type="dxa"/>
            </w:tcMar>
            <w:vAlign w:val="center"/>
          </w:tcPr>
          <w:p w14:paraId="01C35193"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9E064B">
                <w:rPr>
                  <w:szCs w:val="18"/>
                </w:rPr>
                <w:t>40 m</w:t>
              </w:r>
            </w:smartTag>
          </w:p>
        </w:tc>
        <w:tc>
          <w:tcPr>
            <w:tcW w:w="577" w:type="pct"/>
            <w:tcMar>
              <w:top w:w="28" w:type="dxa"/>
              <w:left w:w="85" w:type="dxa"/>
              <w:bottom w:w="28" w:type="dxa"/>
              <w:right w:w="28" w:type="dxa"/>
            </w:tcMar>
            <w:vAlign w:val="center"/>
          </w:tcPr>
          <w:p w14:paraId="3D1D378A"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c>
          <w:tcPr>
            <w:tcW w:w="578" w:type="pct"/>
            <w:tcMar>
              <w:top w:w="28" w:type="dxa"/>
              <w:left w:w="85" w:type="dxa"/>
              <w:bottom w:w="28" w:type="dxa"/>
              <w:right w:w="28" w:type="dxa"/>
            </w:tcMar>
            <w:vAlign w:val="center"/>
          </w:tcPr>
          <w:p w14:paraId="24E87963"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r>
      <w:tr w:rsidR="00C36D76" w:rsidRPr="009E064B" w14:paraId="028C7631" w14:textId="77777777" w:rsidTr="00DF45EB">
        <w:trPr>
          <w:trHeight w:val="397"/>
          <w:jc w:val="right"/>
        </w:trPr>
        <w:tc>
          <w:tcPr>
            <w:tcW w:w="2691" w:type="pct"/>
            <w:tcMar>
              <w:top w:w="28" w:type="dxa"/>
              <w:left w:w="85" w:type="dxa"/>
              <w:bottom w:w="28" w:type="dxa"/>
              <w:right w:w="28" w:type="dxa"/>
            </w:tcMar>
            <w:vAlign w:val="center"/>
          </w:tcPr>
          <w:p w14:paraId="6E19BDAB" w14:textId="77777777" w:rsidR="00C36D76" w:rsidRPr="009E064B" w:rsidRDefault="00C36D76" w:rsidP="001862F5">
            <w:pPr>
              <w:tabs>
                <w:tab w:val="left" w:pos="1291"/>
              </w:tabs>
              <w:spacing w:after="0"/>
              <w:ind w:left="57" w:right="40"/>
              <w:rPr>
                <w:szCs w:val="18"/>
              </w:rPr>
            </w:pPr>
            <w:r w:rsidRPr="009E064B">
              <w:rPr>
                <w:szCs w:val="18"/>
              </w:rPr>
              <w:t>Z podejściem nieprecyzyjnym</w:t>
            </w:r>
          </w:p>
        </w:tc>
        <w:tc>
          <w:tcPr>
            <w:tcW w:w="577" w:type="pct"/>
            <w:tcMar>
              <w:top w:w="28" w:type="dxa"/>
              <w:left w:w="85" w:type="dxa"/>
              <w:bottom w:w="28" w:type="dxa"/>
              <w:right w:w="28" w:type="dxa"/>
            </w:tcMar>
            <w:vAlign w:val="center"/>
          </w:tcPr>
          <w:p w14:paraId="6C8E34F1"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9E064B">
                <w:rPr>
                  <w:szCs w:val="18"/>
                </w:rPr>
                <w:t>40 m</w:t>
              </w:r>
            </w:smartTag>
          </w:p>
        </w:tc>
        <w:tc>
          <w:tcPr>
            <w:tcW w:w="577" w:type="pct"/>
            <w:tcMar>
              <w:top w:w="28" w:type="dxa"/>
              <w:left w:w="85" w:type="dxa"/>
              <w:bottom w:w="28" w:type="dxa"/>
              <w:right w:w="28" w:type="dxa"/>
            </w:tcMar>
            <w:vAlign w:val="center"/>
          </w:tcPr>
          <w:p w14:paraId="2691EA14"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9E064B">
                <w:rPr>
                  <w:szCs w:val="18"/>
                </w:rPr>
                <w:t>40 m</w:t>
              </w:r>
            </w:smartTag>
          </w:p>
        </w:tc>
        <w:tc>
          <w:tcPr>
            <w:tcW w:w="577" w:type="pct"/>
            <w:tcMar>
              <w:top w:w="28" w:type="dxa"/>
              <w:left w:w="85" w:type="dxa"/>
              <w:bottom w:w="28" w:type="dxa"/>
              <w:right w:w="28" w:type="dxa"/>
            </w:tcMar>
            <w:vAlign w:val="center"/>
          </w:tcPr>
          <w:p w14:paraId="46CDC3BA"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c>
          <w:tcPr>
            <w:tcW w:w="578" w:type="pct"/>
            <w:tcMar>
              <w:top w:w="28" w:type="dxa"/>
              <w:left w:w="85" w:type="dxa"/>
              <w:bottom w:w="28" w:type="dxa"/>
              <w:right w:w="28" w:type="dxa"/>
            </w:tcMar>
            <w:vAlign w:val="center"/>
          </w:tcPr>
          <w:p w14:paraId="5EDA94D4"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r>
      <w:tr w:rsidR="00C36D76" w:rsidRPr="009E064B" w14:paraId="5B0F75BB" w14:textId="77777777" w:rsidTr="00DF45EB">
        <w:trPr>
          <w:trHeight w:val="397"/>
          <w:jc w:val="right"/>
        </w:trPr>
        <w:tc>
          <w:tcPr>
            <w:tcW w:w="2691" w:type="pct"/>
            <w:tcMar>
              <w:top w:w="28" w:type="dxa"/>
              <w:left w:w="85" w:type="dxa"/>
              <w:bottom w:w="28" w:type="dxa"/>
              <w:right w:w="28" w:type="dxa"/>
            </w:tcMar>
            <w:vAlign w:val="center"/>
          </w:tcPr>
          <w:p w14:paraId="619EDBDD" w14:textId="77777777" w:rsidR="00C36D76" w:rsidRPr="009E064B" w:rsidRDefault="00C36D76" w:rsidP="001862F5">
            <w:pPr>
              <w:tabs>
                <w:tab w:val="left" w:pos="1291"/>
              </w:tabs>
              <w:spacing w:after="0"/>
              <w:ind w:left="57" w:right="40"/>
              <w:rPr>
                <w:szCs w:val="18"/>
              </w:rPr>
            </w:pPr>
            <w:r w:rsidRPr="009E064B">
              <w:rPr>
                <w:szCs w:val="18"/>
              </w:rPr>
              <w:t>Z podejściem precyzyjnym kategorii I</w:t>
            </w:r>
          </w:p>
        </w:tc>
        <w:tc>
          <w:tcPr>
            <w:tcW w:w="577" w:type="pct"/>
            <w:tcMar>
              <w:top w:w="28" w:type="dxa"/>
              <w:left w:w="85" w:type="dxa"/>
              <w:bottom w:w="28" w:type="dxa"/>
              <w:right w:w="28" w:type="dxa"/>
            </w:tcMar>
            <w:vAlign w:val="center"/>
          </w:tcPr>
          <w:p w14:paraId="2665919E" w14:textId="77777777" w:rsidR="00C36D76" w:rsidRPr="009E064B" w:rsidRDefault="00C36D76" w:rsidP="001862F5">
            <w:pPr>
              <w:tabs>
                <w:tab w:val="left" w:pos="1291"/>
              </w:tabs>
              <w:spacing w:after="0"/>
              <w:ind w:right="40"/>
              <w:jc w:val="center"/>
              <w:rPr>
                <w:szCs w:val="18"/>
              </w:rPr>
            </w:pPr>
            <w:r w:rsidRPr="009E064B">
              <w:rPr>
                <w:szCs w:val="18"/>
              </w:rPr>
              <w:t>60 m</w:t>
            </w:r>
            <w:r w:rsidRPr="009E064B">
              <w:rPr>
                <w:szCs w:val="18"/>
                <w:vertAlign w:val="superscript"/>
              </w:rPr>
              <w:t>b</w:t>
            </w:r>
          </w:p>
        </w:tc>
        <w:tc>
          <w:tcPr>
            <w:tcW w:w="577" w:type="pct"/>
            <w:tcMar>
              <w:top w:w="28" w:type="dxa"/>
              <w:left w:w="85" w:type="dxa"/>
              <w:bottom w:w="28" w:type="dxa"/>
              <w:right w:w="28" w:type="dxa"/>
            </w:tcMar>
            <w:vAlign w:val="center"/>
          </w:tcPr>
          <w:p w14:paraId="21902D32" w14:textId="77777777" w:rsidR="00C36D76" w:rsidRPr="009E064B" w:rsidRDefault="00C36D76" w:rsidP="001862F5">
            <w:pPr>
              <w:tabs>
                <w:tab w:val="left" w:pos="1291"/>
              </w:tabs>
              <w:spacing w:after="0"/>
              <w:ind w:right="40"/>
              <w:jc w:val="center"/>
              <w:rPr>
                <w:szCs w:val="18"/>
                <w:vertAlign w:val="superscript"/>
              </w:rPr>
            </w:pPr>
            <w:r w:rsidRPr="009E064B">
              <w:rPr>
                <w:szCs w:val="18"/>
              </w:rPr>
              <w:t>60 m</w:t>
            </w:r>
            <w:r w:rsidRPr="009E064B">
              <w:rPr>
                <w:szCs w:val="18"/>
                <w:vertAlign w:val="superscript"/>
              </w:rPr>
              <w:t>b</w:t>
            </w:r>
          </w:p>
        </w:tc>
        <w:tc>
          <w:tcPr>
            <w:tcW w:w="577" w:type="pct"/>
            <w:tcMar>
              <w:top w:w="28" w:type="dxa"/>
              <w:left w:w="85" w:type="dxa"/>
              <w:bottom w:w="28" w:type="dxa"/>
              <w:right w:w="28" w:type="dxa"/>
            </w:tcMar>
            <w:vAlign w:val="center"/>
          </w:tcPr>
          <w:p w14:paraId="3322A5FD" w14:textId="77777777" w:rsidR="00C36D76" w:rsidRPr="009E064B" w:rsidRDefault="00C36D76" w:rsidP="001862F5">
            <w:pPr>
              <w:tabs>
                <w:tab w:val="left" w:pos="1291"/>
              </w:tabs>
              <w:spacing w:after="0"/>
              <w:ind w:right="40"/>
              <w:jc w:val="center"/>
              <w:rPr>
                <w:szCs w:val="18"/>
                <w:vertAlign w:val="superscript"/>
              </w:rPr>
            </w:pPr>
            <w:r w:rsidRPr="009E064B">
              <w:rPr>
                <w:szCs w:val="18"/>
              </w:rPr>
              <w:t>90 m</w:t>
            </w:r>
            <w:r w:rsidRPr="009E064B">
              <w:rPr>
                <w:szCs w:val="18"/>
                <w:vertAlign w:val="superscript"/>
              </w:rPr>
              <w:t>a, b</w:t>
            </w:r>
          </w:p>
        </w:tc>
        <w:tc>
          <w:tcPr>
            <w:tcW w:w="578" w:type="pct"/>
            <w:tcMar>
              <w:top w:w="28" w:type="dxa"/>
              <w:left w:w="85" w:type="dxa"/>
              <w:bottom w:w="28" w:type="dxa"/>
              <w:right w:w="28" w:type="dxa"/>
            </w:tcMar>
            <w:vAlign w:val="center"/>
          </w:tcPr>
          <w:p w14:paraId="5346B80C" w14:textId="77777777" w:rsidR="00C36D76" w:rsidRPr="009E064B" w:rsidRDefault="00C36D76" w:rsidP="001862F5">
            <w:pPr>
              <w:tabs>
                <w:tab w:val="left" w:pos="1291"/>
              </w:tabs>
              <w:spacing w:after="0"/>
              <w:ind w:right="40"/>
              <w:jc w:val="center"/>
              <w:rPr>
                <w:szCs w:val="18"/>
                <w:vertAlign w:val="superscript"/>
              </w:rPr>
            </w:pPr>
            <w:r w:rsidRPr="009E064B">
              <w:rPr>
                <w:szCs w:val="18"/>
              </w:rPr>
              <w:t>90 m</w:t>
            </w:r>
            <w:r w:rsidRPr="009E064B">
              <w:rPr>
                <w:szCs w:val="18"/>
                <w:vertAlign w:val="superscript"/>
              </w:rPr>
              <w:t>a, b, c</w:t>
            </w:r>
          </w:p>
        </w:tc>
      </w:tr>
      <w:tr w:rsidR="00C36D76" w:rsidRPr="009E064B" w14:paraId="0735F9DA" w14:textId="77777777" w:rsidTr="00DF45EB">
        <w:trPr>
          <w:trHeight w:val="397"/>
          <w:jc w:val="right"/>
        </w:trPr>
        <w:tc>
          <w:tcPr>
            <w:tcW w:w="2691" w:type="pct"/>
            <w:tcMar>
              <w:top w:w="28" w:type="dxa"/>
              <w:left w:w="85" w:type="dxa"/>
              <w:bottom w:w="28" w:type="dxa"/>
              <w:right w:w="28" w:type="dxa"/>
            </w:tcMar>
            <w:vAlign w:val="center"/>
          </w:tcPr>
          <w:p w14:paraId="7B246ACF" w14:textId="77777777" w:rsidR="00C36D76" w:rsidRPr="009E064B" w:rsidRDefault="00C36D76" w:rsidP="001862F5">
            <w:pPr>
              <w:tabs>
                <w:tab w:val="left" w:pos="1291"/>
              </w:tabs>
              <w:spacing w:after="0"/>
              <w:ind w:left="57" w:right="40"/>
              <w:rPr>
                <w:szCs w:val="18"/>
              </w:rPr>
            </w:pPr>
            <w:r w:rsidRPr="009E064B">
              <w:rPr>
                <w:szCs w:val="18"/>
              </w:rPr>
              <w:t>Z podejściem precyzyjnym kategorii II i III</w:t>
            </w:r>
          </w:p>
        </w:tc>
        <w:tc>
          <w:tcPr>
            <w:tcW w:w="577" w:type="pct"/>
            <w:tcMar>
              <w:top w:w="28" w:type="dxa"/>
              <w:left w:w="85" w:type="dxa"/>
              <w:bottom w:w="28" w:type="dxa"/>
              <w:right w:w="28" w:type="dxa"/>
            </w:tcMar>
            <w:vAlign w:val="center"/>
          </w:tcPr>
          <w:p w14:paraId="3F228C46" w14:textId="77777777" w:rsidR="00C36D76" w:rsidRPr="009E064B" w:rsidRDefault="00C36D76" w:rsidP="001862F5">
            <w:pPr>
              <w:tabs>
                <w:tab w:val="left" w:pos="1291"/>
              </w:tabs>
              <w:spacing w:after="0"/>
              <w:ind w:right="40"/>
              <w:jc w:val="center"/>
              <w:rPr>
                <w:szCs w:val="18"/>
              </w:rPr>
            </w:pPr>
            <w:r w:rsidRPr="009E064B">
              <w:rPr>
                <w:szCs w:val="18"/>
              </w:rPr>
              <w:t>−</w:t>
            </w:r>
          </w:p>
        </w:tc>
        <w:tc>
          <w:tcPr>
            <w:tcW w:w="577" w:type="pct"/>
            <w:tcMar>
              <w:top w:w="28" w:type="dxa"/>
              <w:left w:w="85" w:type="dxa"/>
              <w:bottom w:w="28" w:type="dxa"/>
              <w:right w:w="28" w:type="dxa"/>
            </w:tcMar>
            <w:vAlign w:val="center"/>
          </w:tcPr>
          <w:p w14:paraId="2B6C23AF" w14:textId="77777777" w:rsidR="00C36D76" w:rsidRPr="009E064B" w:rsidRDefault="00C36D76" w:rsidP="001862F5">
            <w:pPr>
              <w:tabs>
                <w:tab w:val="left" w:pos="1291"/>
              </w:tabs>
              <w:spacing w:after="0"/>
              <w:ind w:right="40"/>
              <w:jc w:val="center"/>
              <w:rPr>
                <w:szCs w:val="18"/>
              </w:rPr>
            </w:pPr>
            <w:r w:rsidRPr="009E064B">
              <w:rPr>
                <w:szCs w:val="18"/>
              </w:rPr>
              <w:t>−</w:t>
            </w:r>
          </w:p>
        </w:tc>
        <w:tc>
          <w:tcPr>
            <w:tcW w:w="577" w:type="pct"/>
            <w:tcMar>
              <w:top w:w="28" w:type="dxa"/>
              <w:left w:w="85" w:type="dxa"/>
              <w:bottom w:w="28" w:type="dxa"/>
              <w:right w:w="28" w:type="dxa"/>
            </w:tcMar>
            <w:vAlign w:val="center"/>
          </w:tcPr>
          <w:p w14:paraId="6EA1CAA3" w14:textId="77777777" w:rsidR="00C36D76" w:rsidRPr="009E064B" w:rsidRDefault="00C36D76" w:rsidP="001862F5">
            <w:pPr>
              <w:tabs>
                <w:tab w:val="left" w:pos="1291"/>
              </w:tabs>
              <w:spacing w:after="0"/>
              <w:ind w:right="40"/>
              <w:jc w:val="center"/>
              <w:rPr>
                <w:szCs w:val="18"/>
                <w:vertAlign w:val="superscript"/>
              </w:rPr>
            </w:pPr>
            <w:r w:rsidRPr="009E064B">
              <w:rPr>
                <w:szCs w:val="18"/>
              </w:rPr>
              <w:t>90 m</w:t>
            </w:r>
            <w:r w:rsidRPr="009E064B">
              <w:rPr>
                <w:szCs w:val="18"/>
                <w:vertAlign w:val="superscript"/>
              </w:rPr>
              <w:t>a, b</w:t>
            </w:r>
          </w:p>
        </w:tc>
        <w:tc>
          <w:tcPr>
            <w:tcW w:w="578" w:type="pct"/>
            <w:tcMar>
              <w:top w:w="28" w:type="dxa"/>
              <w:left w:w="85" w:type="dxa"/>
              <w:bottom w:w="28" w:type="dxa"/>
              <w:right w:w="28" w:type="dxa"/>
            </w:tcMar>
            <w:vAlign w:val="center"/>
          </w:tcPr>
          <w:p w14:paraId="4FE7B5CB" w14:textId="77777777" w:rsidR="00C36D76" w:rsidRPr="009E064B" w:rsidRDefault="00C36D76" w:rsidP="001862F5">
            <w:pPr>
              <w:tabs>
                <w:tab w:val="left" w:pos="1291"/>
              </w:tabs>
              <w:spacing w:after="0"/>
              <w:ind w:right="40"/>
              <w:jc w:val="center"/>
              <w:rPr>
                <w:szCs w:val="18"/>
                <w:vertAlign w:val="superscript"/>
              </w:rPr>
            </w:pPr>
            <w:r w:rsidRPr="009E064B">
              <w:rPr>
                <w:szCs w:val="18"/>
              </w:rPr>
              <w:t>90 m</w:t>
            </w:r>
            <w:r w:rsidRPr="009E064B">
              <w:rPr>
                <w:szCs w:val="18"/>
                <w:vertAlign w:val="superscript"/>
              </w:rPr>
              <w:t>a, b, c</w:t>
            </w:r>
          </w:p>
        </w:tc>
      </w:tr>
      <w:tr w:rsidR="00C36D76" w:rsidRPr="009E064B" w14:paraId="5A29A649" w14:textId="77777777" w:rsidTr="00DF45EB">
        <w:trPr>
          <w:trHeight w:val="397"/>
          <w:jc w:val="right"/>
        </w:trPr>
        <w:tc>
          <w:tcPr>
            <w:tcW w:w="2691" w:type="pct"/>
            <w:tcMar>
              <w:top w:w="28" w:type="dxa"/>
              <w:left w:w="85" w:type="dxa"/>
              <w:bottom w:w="28" w:type="dxa"/>
              <w:right w:w="28" w:type="dxa"/>
            </w:tcMar>
            <w:vAlign w:val="center"/>
          </w:tcPr>
          <w:p w14:paraId="3CBED026" w14:textId="77777777" w:rsidR="00C36D76" w:rsidRPr="009E064B" w:rsidRDefault="00C36D76" w:rsidP="001862F5">
            <w:pPr>
              <w:tabs>
                <w:tab w:val="left" w:pos="1291"/>
              </w:tabs>
              <w:spacing w:after="0"/>
              <w:ind w:left="57" w:right="40"/>
              <w:rPr>
                <w:szCs w:val="18"/>
              </w:rPr>
            </w:pPr>
            <w:r w:rsidRPr="009E064B">
              <w:rPr>
                <w:szCs w:val="18"/>
              </w:rPr>
              <w:t>Przeznaczona do startów</w:t>
            </w:r>
          </w:p>
        </w:tc>
        <w:tc>
          <w:tcPr>
            <w:tcW w:w="577" w:type="pct"/>
            <w:tcMar>
              <w:top w:w="28" w:type="dxa"/>
              <w:left w:w="85" w:type="dxa"/>
              <w:bottom w:w="28" w:type="dxa"/>
              <w:right w:w="28" w:type="dxa"/>
            </w:tcMar>
            <w:vAlign w:val="center"/>
          </w:tcPr>
          <w:p w14:paraId="7F44253B"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30 m"/>
              </w:smartTagPr>
              <w:r w:rsidRPr="009E064B">
                <w:rPr>
                  <w:szCs w:val="18"/>
                </w:rPr>
                <w:t>30 m</w:t>
              </w:r>
            </w:smartTag>
          </w:p>
        </w:tc>
        <w:tc>
          <w:tcPr>
            <w:tcW w:w="577" w:type="pct"/>
            <w:tcMar>
              <w:top w:w="28" w:type="dxa"/>
              <w:left w:w="85" w:type="dxa"/>
              <w:bottom w:w="28" w:type="dxa"/>
              <w:right w:w="28" w:type="dxa"/>
            </w:tcMar>
            <w:vAlign w:val="center"/>
          </w:tcPr>
          <w:p w14:paraId="74554A0F"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40 m"/>
              </w:smartTagPr>
              <w:r w:rsidRPr="009E064B">
                <w:rPr>
                  <w:szCs w:val="18"/>
                </w:rPr>
                <w:t>40 m</w:t>
              </w:r>
            </w:smartTag>
          </w:p>
        </w:tc>
        <w:tc>
          <w:tcPr>
            <w:tcW w:w="577" w:type="pct"/>
            <w:tcMar>
              <w:top w:w="28" w:type="dxa"/>
              <w:left w:w="85" w:type="dxa"/>
              <w:bottom w:w="28" w:type="dxa"/>
              <w:right w:w="28" w:type="dxa"/>
            </w:tcMar>
            <w:vAlign w:val="center"/>
          </w:tcPr>
          <w:p w14:paraId="07070495"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c>
          <w:tcPr>
            <w:tcW w:w="578" w:type="pct"/>
            <w:tcMar>
              <w:top w:w="28" w:type="dxa"/>
              <w:left w:w="85" w:type="dxa"/>
              <w:bottom w:w="28" w:type="dxa"/>
              <w:right w:w="28" w:type="dxa"/>
            </w:tcMar>
            <w:vAlign w:val="center"/>
          </w:tcPr>
          <w:p w14:paraId="33478798" w14:textId="77777777" w:rsidR="00C36D76" w:rsidRPr="009E064B" w:rsidRDefault="00C36D76" w:rsidP="001862F5">
            <w:pPr>
              <w:tabs>
                <w:tab w:val="left" w:pos="1291"/>
              </w:tabs>
              <w:spacing w:after="0"/>
              <w:ind w:right="40"/>
              <w:jc w:val="center"/>
              <w:rPr>
                <w:szCs w:val="18"/>
              </w:rPr>
            </w:pPr>
            <w:smartTag w:uri="urn:schemas-microsoft-com:office:smarttags" w:element="metricconverter">
              <w:smartTagPr>
                <w:attr w:name="ProductID" w:val="75 m"/>
              </w:smartTagPr>
              <w:r w:rsidRPr="009E064B">
                <w:rPr>
                  <w:szCs w:val="18"/>
                </w:rPr>
                <w:t>75 m</w:t>
              </w:r>
            </w:smartTag>
          </w:p>
        </w:tc>
      </w:tr>
      <w:tr w:rsidR="00C36D76" w:rsidRPr="009E064B" w14:paraId="07F8ED52" w14:textId="77777777" w:rsidTr="00DF45EB">
        <w:trPr>
          <w:jc w:val="right"/>
        </w:trPr>
        <w:tc>
          <w:tcPr>
            <w:tcW w:w="5000" w:type="pct"/>
            <w:gridSpan w:val="5"/>
            <w:tcMar>
              <w:top w:w="28" w:type="dxa"/>
              <w:left w:w="85" w:type="dxa"/>
              <w:bottom w:w="28" w:type="dxa"/>
              <w:right w:w="28" w:type="dxa"/>
            </w:tcMar>
          </w:tcPr>
          <w:p w14:paraId="0ADD3715" w14:textId="77777777" w:rsidR="00C36D76" w:rsidRPr="009E064B" w:rsidRDefault="00C36D76" w:rsidP="00714812">
            <w:pPr>
              <w:tabs>
                <w:tab w:val="left" w:pos="432"/>
              </w:tabs>
              <w:spacing w:before="120"/>
              <w:ind w:left="431" w:right="72" w:hanging="380"/>
              <w:rPr>
                <w:sz w:val="20"/>
                <w:szCs w:val="18"/>
              </w:rPr>
            </w:pPr>
            <w:r w:rsidRPr="009E064B">
              <w:rPr>
                <w:sz w:val="20"/>
                <w:szCs w:val="18"/>
              </w:rPr>
              <w:t xml:space="preserve">a. </w:t>
            </w:r>
            <w:r w:rsidRPr="009E064B">
              <w:rPr>
                <w:sz w:val="20"/>
                <w:szCs w:val="18"/>
              </w:rPr>
              <w:tab/>
              <w:t xml:space="preserve">Jeżeli zatoka oczekiwania, miejsce oczekiwania przed drogą startową, lub miejsce oczekiwania na drodze ruchu kołowego, znajduje się na niższej wysokości w porównaniu z progiem drogi startowej, to odległość może być zmniejszona o </w:t>
            </w:r>
            <w:smartTag w:uri="urn:schemas-microsoft-com:office:smarttags" w:element="metricconverter">
              <w:smartTagPr>
                <w:attr w:name="ProductID" w:val="5 m"/>
              </w:smartTagPr>
              <w:r w:rsidRPr="009E064B">
                <w:rPr>
                  <w:sz w:val="20"/>
                  <w:szCs w:val="18"/>
                </w:rPr>
                <w:t>5 m</w:t>
              </w:r>
            </w:smartTag>
            <w:r w:rsidRPr="009E064B">
              <w:rPr>
                <w:sz w:val="20"/>
                <w:szCs w:val="18"/>
              </w:rPr>
              <w:t xml:space="preserve"> na każdy </w:t>
            </w:r>
            <w:smartTag w:uri="urn:schemas-microsoft-com:office:smarttags" w:element="metricconverter">
              <w:smartTagPr>
                <w:attr w:name="ProductID" w:val="1 m"/>
              </w:smartTagPr>
              <w:r w:rsidRPr="009E064B">
                <w:rPr>
                  <w:sz w:val="20"/>
                  <w:szCs w:val="18"/>
                </w:rPr>
                <w:t>1 m</w:t>
              </w:r>
            </w:smartTag>
            <w:r w:rsidRPr="009E064B">
              <w:rPr>
                <w:sz w:val="20"/>
                <w:szCs w:val="18"/>
              </w:rPr>
              <w:t xml:space="preserve"> różnicy poziomów, pod warunkiem, że nie naruszy powierzchni przejściowej wewnętrznej.</w:t>
            </w:r>
          </w:p>
          <w:p w14:paraId="6396DE11" w14:textId="426772A8" w:rsidR="00C36D76" w:rsidRPr="009E064B" w:rsidRDefault="00C36D76" w:rsidP="00714812">
            <w:pPr>
              <w:tabs>
                <w:tab w:val="left" w:pos="432"/>
              </w:tabs>
              <w:ind w:left="432" w:right="72" w:hanging="381"/>
              <w:rPr>
                <w:sz w:val="20"/>
                <w:szCs w:val="18"/>
              </w:rPr>
            </w:pPr>
            <w:r w:rsidRPr="009E064B">
              <w:rPr>
                <w:sz w:val="20"/>
                <w:szCs w:val="18"/>
              </w:rPr>
              <w:t xml:space="preserve">b. </w:t>
            </w:r>
            <w:r w:rsidRPr="009E064B">
              <w:rPr>
                <w:sz w:val="20"/>
                <w:szCs w:val="18"/>
              </w:rPr>
              <w:tab/>
              <w:t xml:space="preserve">Odległość ta może wymagać zwiększenia w celu uniknięcia zakłóceń funkcjonowania radiowych pomocy nawigacyjnych, w szczególności nadajnika ścieżki schodzenia i nadajnika kierunku (patrz </w:t>
            </w:r>
            <w:hyperlink w:anchor="_CS_ADR-DSN.D.340_" w:history="1">
              <w:r w:rsidRPr="009E064B">
                <w:rPr>
                  <w:rStyle w:val="Hipercze"/>
                  <w:sz w:val="20"/>
                  <w:szCs w:val="18"/>
                </w:rPr>
                <w:t>CS ADR-DSN.D.340</w:t>
              </w:r>
            </w:hyperlink>
            <w:r w:rsidRPr="009E064B">
              <w:rPr>
                <w:sz w:val="20"/>
                <w:szCs w:val="18"/>
              </w:rPr>
              <w:t xml:space="preserve">). </w:t>
            </w:r>
          </w:p>
          <w:p w14:paraId="2DD23048" w14:textId="77777777" w:rsidR="00C36D76" w:rsidRPr="009E064B" w:rsidRDefault="00C36D76" w:rsidP="00714812">
            <w:pPr>
              <w:tabs>
                <w:tab w:val="left" w:pos="433"/>
              </w:tabs>
              <w:ind w:left="75" w:right="72" w:firstLine="283"/>
              <w:rPr>
                <w:i/>
                <w:sz w:val="20"/>
                <w:szCs w:val="18"/>
              </w:rPr>
            </w:pPr>
            <w:r w:rsidRPr="009E064B">
              <w:rPr>
                <w:i/>
                <w:sz w:val="20"/>
                <w:szCs w:val="18"/>
              </w:rPr>
              <w:t xml:space="preserve">Uwaga 1. –  Odległość </w:t>
            </w:r>
            <w:smartTag w:uri="urn:schemas-microsoft-com:office:smarttags" w:element="metricconverter">
              <w:smartTagPr>
                <w:attr w:name="ProductID" w:val="90 m"/>
              </w:smartTagPr>
              <w:r w:rsidRPr="009E064B">
                <w:rPr>
                  <w:i/>
                  <w:sz w:val="20"/>
                  <w:szCs w:val="18"/>
                </w:rPr>
                <w:t>90 m</w:t>
              </w:r>
            </w:smartTag>
            <w:r w:rsidRPr="009E064B">
              <w:rPr>
                <w:i/>
                <w:sz w:val="20"/>
                <w:szCs w:val="18"/>
              </w:rPr>
              <w:t xml:space="preserve"> dla cyfry kodu 3 lub 4 podano w oparciu o parametry samolotu mającego wysokość usterzenia </w:t>
            </w:r>
            <w:smartTag w:uri="urn:schemas-microsoft-com:office:smarttags" w:element="metricconverter">
              <w:smartTagPr>
                <w:attr w:name="ProductID" w:val="20 m"/>
              </w:smartTagPr>
              <w:r w:rsidRPr="009E064B">
                <w:rPr>
                  <w:i/>
                  <w:sz w:val="20"/>
                  <w:szCs w:val="18"/>
                </w:rPr>
                <w:t>20 m</w:t>
              </w:r>
            </w:smartTag>
            <w:r w:rsidRPr="009E064B">
              <w:rPr>
                <w:i/>
                <w:sz w:val="20"/>
                <w:szCs w:val="18"/>
              </w:rPr>
              <w:t xml:space="preserve">, odległość od nosa do najwyższej części usterzenia 52.7 m i wysokość nosa 10 m, </w:t>
            </w:r>
            <w:r w:rsidRPr="009E064B">
              <w:rPr>
                <w:sz w:val="20"/>
                <w:szCs w:val="18"/>
              </w:rPr>
              <w:t>ustawionego</w:t>
            </w:r>
            <w:r w:rsidRPr="009E064B">
              <w:rPr>
                <w:i/>
                <w:sz w:val="20"/>
                <w:szCs w:val="18"/>
              </w:rPr>
              <w:t xml:space="preserve"> pod kątem 45° lub większym względem linii środkowej drogi startowej, poza strefą wolną od przeszkód, w stosunku do którego nie zachodzi potrzeba przeprowadzania obliczeń OCA/H.</w:t>
            </w:r>
          </w:p>
          <w:p w14:paraId="73930887" w14:textId="77777777" w:rsidR="00C36D76" w:rsidRPr="009E064B" w:rsidRDefault="00C36D76" w:rsidP="00714812">
            <w:pPr>
              <w:tabs>
                <w:tab w:val="left" w:pos="432"/>
              </w:tabs>
              <w:ind w:left="74" w:right="72" w:firstLine="284"/>
              <w:rPr>
                <w:sz w:val="20"/>
                <w:szCs w:val="18"/>
              </w:rPr>
            </w:pPr>
            <w:r w:rsidRPr="009E064B">
              <w:rPr>
                <w:i/>
                <w:sz w:val="20"/>
                <w:szCs w:val="18"/>
              </w:rPr>
              <w:t xml:space="preserve">Uwaga 2. – </w:t>
            </w:r>
            <w:r w:rsidRPr="009E064B">
              <w:rPr>
                <w:sz w:val="20"/>
                <w:szCs w:val="18"/>
              </w:rPr>
              <w:t>Odległość</w:t>
            </w:r>
            <w:r w:rsidRPr="009E064B">
              <w:rPr>
                <w:i/>
                <w:sz w:val="20"/>
                <w:szCs w:val="18"/>
              </w:rPr>
              <w:t xml:space="preserve"> </w:t>
            </w:r>
            <w:smartTag w:uri="urn:schemas-microsoft-com:office:smarttags" w:element="metricconverter">
              <w:smartTagPr>
                <w:attr w:name="ProductID" w:val="60 m"/>
              </w:smartTagPr>
              <w:r w:rsidRPr="009E064B">
                <w:rPr>
                  <w:i/>
                  <w:sz w:val="20"/>
                  <w:szCs w:val="18"/>
                </w:rPr>
                <w:t>60 m</w:t>
              </w:r>
            </w:smartTag>
            <w:r w:rsidRPr="009E064B">
              <w:rPr>
                <w:i/>
                <w:sz w:val="20"/>
                <w:szCs w:val="18"/>
              </w:rPr>
              <w:t xml:space="preserve"> dla cyfry kodu 2 podano w oparciu o parametry samolotu mającego wysokość usterzenia </w:t>
            </w:r>
            <w:smartTag w:uri="urn:schemas-microsoft-com:office:smarttags" w:element="metricconverter">
              <w:smartTagPr>
                <w:attr w:name="ProductID" w:val="8 m"/>
              </w:smartTagPr>
              <w:r w:rsidRPr="009E064B">
                <w:rPr>
                  <w:i/>
                  <w:sz w:val="20"/>
                  <w:szCs w:val="18"/>
                </w:rPr>
                <w:t>8 m</w:t>
              </w:r>
            </w:smartTag>
            <w:r w:rsidRPr="009E064B">
              <w:rPr>
                <w:i/>
                <w:sz w:val="20"/>
                <w:szCs w:val="18"/>
              </w:rPr>
              <w:t xml:space="preserve">, odległość od nosa do najwyższej części usterzenia </w:t>
            </w:r>
            <w:smartTag w:uri="urn:schemas-microsoft-com:office:smarttags" w:element="metricconverter">
              <w:smartTagPr>
                <w:attr w:name="ProductID" w:val="24.6 m"/>
              </w:smartTagPr>
              <w:r w:rsidRPr="009E064B">
                <w:rPr>
                  <w:i/>
                  <w:sz w:val="20"/>
                  <w:szCs w:val="18"/>
                </w:rPr>
                <w:t>24.6 m</w:t>
              </w:r>
            </w:smartTag>
            <w:r w:rsidRPr="009E064B">
              <w:rPr>
                <w:i/>
                <w:sz w:val="20"/>
                <w:szCs w:val="18"/>
              </w:rPr>
              <w:t xml:space="preserve"> i wysokość nosa </w:t>
            </w:r>
            <w:smartTag w:uri="urn:schemas-microsoft-com:office:smarttags" w:element="metricconverter">
              <w:smartTagPr>
                <w:attr w:name="ProductID" w:val="5.2 m"/>
              </w:smartTagPr>
              <w:r w:rsidRPr="009E064B">
                <w:rPr>
                  <w:i/>
                  <w:sz w:val="20"/>
                  <w:szCs w:val="18"/>
                </w:rPr>
                <w:t>5.2 m</w:t>
              </w:r>
            </w:smartTag>
            <w:r w:rsidRPr="009E064B">
              <w:rPr>
                <w:i/>
                <w:sz w:val="20"/>
                <w:szCs w:val="18"/>
              </w:rPr>
              <w:t>, ustawionego pod kątem 45° lub większym względem linii środkowej drogi startowej, poza strefą wolną od przeszkód.</w:t>
            </w:r>
          </w:p>
          <w:p w14:paraId="6ABB2318" w14:textId="77777777" w:rsidR="00C36D76" w:rsidRPr="009E064B" w:rsidRDefault="00C36D76" w:rsidP="00714812">
            <w:pPr>
              <w:tabs>
                <w:tab w:val="left" w:pos="432"/>
              </w:tabs>
              <w:ind w:left="432" w:right="72" w:hanging="381"/>
              <w:rPr>
                <w:sz w:val="20"/>
                <w:szCs w:val="18"/>
              </w:rPr>
            </w:pPr>
            <w:r w:rsidRPr="009E064B">
              <w:rPr>
                <w:sz w:val="20"/>
                <w:szCs w:val="18"/>
              </w:rPr>
              <w:t xml:space="preserve">c. </w:t>
            </w:r>
            <w:r w:rsidRPr="009E064B">
              <w:rPr>
                <w:sz w:val="20"/>
                <w:szCs w:val="18"/>
              </w:rPr>
              <w:tab/>
              <w:t xml:space="preserve">Jeżeli literą kodu jest F, odległość ta powinna wynosić </w:t>
            </w:r>
            <w:smartTag w:uri="urn:schemas-microsoft-com:office:smarttags" w:element="metricconverter">
              <w:smartTagPr>
                <w:attr w:name="ProductID" w:val="107.5 m"/>
              </w:smartTagPr>
              <w:r w:rsidRPr="009E064B">
                <w:rPr>
                  <w:sz w:val="20"/>
                  <w:szCs w:val="18"/>
                </w:rPr>
                <w:t>107.5 m</w:t>
              </w:r>
            </w:smartTag>
            <w:r w:rsidRPr="009E064B">
              <w:rPr>
                <w:sz w:val="20"/>
                <w:szCs w:val="18"/>
              </w:rPr>
              <w:t>.</w:t>
            </w:r>
          </w:p>
          <w:p w14:paraId="283E39E5" w14:textId="77777777" w:rsidR="00C36D76" w:rsidRPr="009E064B" w:rsidRDefault="00C36D76" w:rsidP="00714812">
            <w:pPr>
              <w:tabs>
                <w:tab w:val="left" w:pos="432"/>
              </w:tabs>
              <w:ind w:left="75" w:right="72" w:firstLine="284"/>
              <w:rPr>
                <w:i/>
                <w:sz w:val="20"/>
                <w:szCs w:val="18"/>
              </w:rPr>
            </w:pPr>
            <w:r w:rsidRPr="009E064B">
              <w:rPr>
                <w:i/>
                <w:sz w:val="20"/>
                <w:szCs w:val="18"/>
              </w:rPr>
              <w:t xml:space="preserve">Uwaga. – Odległość </w:t>
            </w:r>
            <w:smartTag w:uri="urn:schemas-microsoft-com:office:smarttags" w:element="metricconverter">
              <w:smartTagPr>
                <w:attr w:name="ProductID" w:val="107.5 m"/>
              </w:smartTagPr>
              <w:r w:rsidRPr="009E064B">
                <w:rPr>
                  <w:i/>
                  <w:sz w:val="20"/>
                  <w:szCs w:val="18"/>
                </w:rPr>
                <w:t>107.5 m</w:t>
              </w:r>
            </w:smartTag>
            <w:r w:rsidRPr="009E064B">
              <w:rPr>
                <w:i/>
                <w:sz w:val="20"/>
                <w:szCs w:val="18"/>
              </w:rPr>
              <w:t xml:space="preserve"> dla cyfry kodu 4, gdzie literą kodu jest F, podano w oparciu o </w:t>
            </w:r>
            <w:r w:rsidRPr="009E064B">
              <w:rPr>
                <w:sz w:val="20"/>
                <w:szCs w:val="18"/>
              </w:rPr>
              <w:t>parametry</w:t>
            </w:r>
            <w:r w:rsidRPr="009E064B">
              <w:rPr>
                <w:i/>
                <w:sz w:val="20"/>
                <w:szCs w:val="18"/>
              </w:rPr>
              <w:t xml:space="preserve"> statku powietrznego, którego wysokość usterzenia wynosi </w:t>
            </w:r>
            <w:smartTag w:uri="urn:schemas-microsoft-com:office:smarttags" w:element="metricconverter">
              <w:smartTagPr>
                <w:attr w:name="ProductID" w:val="24 m"/>
              </w:smartTagPr>
              <w:r w:rsidRPr="009E064B">
                <w:rPr>
                  <w:i/>
                  <w:sz w:val="20"/>
                  <w:szCs w:val="18"/>
                </w:rPr>
                <w:t>24 m</w:t>
              </w:r>
            </w:smartTag>
            <w:r w:rsidRPr="009E064B">
              <w:rPr>
                <w:i/>
                <w:sz w:val="20"/>
                <w:szCs w:val="18"/>
              </w:rPr>
              <w:t xml:space="preserve">, odległość od nosa do najwyższej części usterzenia wynosi </w:t>
            </w:r>
            <w:smartTag w:uri="urn:schemas-microsoft-com:office:smarttags" w:element="metricconverter">
              <w:smartTagPr>
                <w:attr w:name="ProductID" w:val="62.5 m"/>
              </w:smartTagPr>
              <w:r w:rsidRPr="009E064B">
                <w:rPr>
                  <w:i/>
                  <w:sz w:val="20"/>
                  <w:szCs w:val="18"/>
                </w:rPr>
                <w:t>62.5 m</w:t>
              </w:r>
            </w:smartTag>
            <w:r w:rsidRPr="009E064B">
              <w:rPr>
                <w:i/>
                <w:sz w:val="20"/>
                <w:szCs w:val="18"/>
              </w:rPr>
              <w:t xml:space="preserve">, a wysokość nosa </w:t>
            </w:r>
            <w:smartTag w:uri="urn:schemas-microsoft-com:office:smarttags" w:element="metricconverter">
              <w:smartTagPr>
                <w:attr w:name="ProductID" w:val="10 m"/>
              </w:smartTagPr>
              <w:r w:rsidRPr="009E064B">
                <w:rPr>
                  <w:i/>
                  <w:sz w:val="20"/>
                  <w:szCs w:val="18"/>
                </w:rPr>
                <w:t>10 m</w:t>
              </w:r>
            </w:smartTag>
            <w:r w:rsidRPr="009E064B">
              <w:rPr>
                <w:i/>
                <w:sz w:val="20"/>
                <w:szCs w:val="18"/>
              </w:rPr>
              <w:t xml:space="preserve"> ustawionego pod kątem 45</w:t>
            </w:r>
            <w:r w:rsidRPr="009E064B">
              <w:rPr>
                <w:i/>
                <w:sz w:val="20"/>
                <w:szCs w:val="18"/>
              </w:rPr>
              <w:sym w:font="Symbol" w:char="F0B0"/>
            </w:r>
            <w:r w:rsidRPr="009E064B">
              <w:rPr>
                <w:i/>
                <w:sz w:val="20"/>
                <w:szCs w:val="18"/>
              </w:rPr>
              <w:t xml:space="preserve"> lub większym względem linii środkowej drogi startowej, poza strefą wolną od przeszkód.</w:t>
            </w:r>
          </w:p>
          <w:p w14:paraId="763FC86D" w14:textId="4020C52C" w:rsidR="00C36D76" w:rsidRPr="009E064B" w:rsidRDefault="00C36D76" w:rsidP="00714812">
            <w:pPr>
              <w:tabs>
                <w:tab w:val="left" w:pos="432"/>
              </w:tabs>
              <w:ind w:left="431" w:right="72" w:hanging="380"/>
              <w:rPr>
                <w:i/>
                <w:szCs w:val="18"/>
              </w:rPr>
            </w:pPr>
            <w:r w:rsidRPr="009E064B">
              <w:rPr>
                <w:i/>
                <w:sz w:val="20"/>
                <w:szCs w:val="18"/>
              </w:rPr>
              <w:t xml:space="preserve">d. </w:t>
            </w:r>
            <w:r w:rsidRPr="009E064B">
              <w:rPr>
                <w:i/>
                <w:sz w:val="20"/>
                <w:szCs w:val="18"/>
              </w:rPr>
              <w:tab/>
            </w:r>
            <w:r w:rsidRPr="009E064B">
              <w:rPr>
                <w:sz w:val="20"/>
                <w:szCs w:val="18"/>
              </w:rPr>
              <w:t>Wysokość</w:t>
            </w:r>
            <w:r w:rsidRPr="009E064B">
              <w:rPr>
                <w:i/>
                <w:sz w:val="20"/>
                <w:szCs w:val="18"/>
              </w:rPr>
              <w:t xml:space="preserve"> drogi kołowania powinna być brana pod uwagę, dla ewentualnego zwiększenia odległości wskazanych w niniejszej </w:t>
            </w:r>
            <w:r w:rsidR="00F36957" w:rsidRPr="009E064B">
              <w:rPr>
                <w:i/>
                <w:sz w:val="20"/>
                <w:szCs w:val="18"/>
              </w:rPr>
              <w:t>Tabeli</w:t>
            </w:r>
            <w:r w:rsidRPr="009E064B">
              <w:rPr>
                <w:i/>
                <w:sz w:val="20"/>
                <w:szCs w:val="18"/>
              </w:rPr>
              <w:t>.</w:t>
            </w:r>
          </w:p>
        </w:tc>
      </w:tr>
    </w:tbl>
    <w:p w14:paraId="73B50FAB" w14:textId="77777777" w:rsidR="00C36D76" w:rsidRPr="009E064B" w:rsidRDefault="00C36D76" w:rsidP="00B06A9A">
      <w:pPr>
        <w:tabs>
          <w:tab w:val="left" w:pos="1701"/>
        </w:tabs>
        <w:spacing w:after="0"/>
        <w:ind w:left="1701" w:right="567" w:hanging="1276"/>
      </w:pPr>
    </w:p>
    <w:p w14:paraId="04270BC2" w14:textId="65DFE9C9" w:rsidR="00C36D76" w:rsidRPr="005D070C" w:rsidRDefault="00C36D76" w:rsidP="00B06A9A">
      <w:pPr>
        <w:tabs>
          <w:tab w:val="left" w:pos="1701"/>
        </w:tabs>
        <w:spacing w:after="0"/>
        <w:ind w:left="1701" w:right="567" w:hanging="1276"/>
        <w:rPr>
          <w:b/>
          <w:sz w:val="20"/>
        </w:rPr>
      </w:pPr>
      <w:r w:rsidRPr="005D070C">
        <w:rPr>
          <w:b/>
          <w:sz w:val="20"/>
        </w:rPr>
        <w:t xml:space="preserve">Tabela D-2. </w:t>
      </w:r>
      <w:r w:rsidRPr="005D070C">
        <w:rPr>
          <w:b/>
          <w:sz w:val="20"/>
        </w:rPr>
        <w:tab/>
        <w:t>Minimalna odległość pomiędzy linią środkową drogi startowej a zatoką oczekiwania, miejscem oczekiwania przed drogą startową lub miejscem oczekiwania na drodze ruchu kołowego.</w:t>
      </w:r>
    </w:p>
    <w:p w14:paraId="5A18BCF4" w14:textId="77777777" w:rsidR="008C7EC3" w:rsidRPr="009E064B" w:rsidRDefault="008C7EC3" w:rsidP="00B06A9A">
      <w:pPr>
        <w:tabs>
          <w:tab w:val="left" w:pos="1701"/>
        </w:tabs>
        <w:spacing w:after="0"/>
        <w:ind w:left="1701" w:right="567" w:hanging="1276"/>
      </w:pPr>
    </w:p>
    <w:p w14:paraId="626DB8DC" w14:textId="4F309049" w:rsidR="00714812" w:rsidRPr="009E064B" w:rsidRDefault="00714812" w:rsidP="00714812">
      <w:pPr>
        <w:tabs>
          <w:tab w:val="left" w:pos="567"/>
        </w:tabs>
        <w:autoSpaceDE w:val="0"/>
        <w:autoSpaceDN w:val="0"/>
        <w:adjustRightInd w:val="0"/>
        <w:ind w:left="567" w:hanging="567"/>
        <w:rPr>
          <w:iCs/>
        </w:rPr>
      </w:pPr>
      <w:r w:rsidRPr="009E064B">
        <w:rPr>
          <w:iCs/>
        </w:rPr>
        <w:t>(c)</w:t>
      </w:r>
      <w:r w:rsidRPr="009E064B">
        <w:rPr>
          <w:iCs/>
        </w:rPr>
        <w:tab/>
      </w:r>
      <w:r w:rsidRPr="009E064B">
        <w:rPr>
          <w:rFonts w:cs="TimesNewRomanPS-ItalicMT"/>
          <w:iCs/>
          <w:szCs w:val="20"/>
        </w:rPr>
        <w:t>Lokalizacja</w:t>
      </w:r>
      <w:r w:rsidRPr="009E064B">
        <w:rPr>
          <w:iCs/>
        </w:rPr>
        <w:t xml:space="preserve"> miejsca oczekiwania przed drogą startową ustanowionego zgodnie </w:t>
      </w:r>
      <w:r w:rsidRPr="009E064B">
        <w:rPr>
          <w:iCs/>
        </w:rPr>
        <w:br/>
        <w:t>z </w:t>
      </w:r>
      <w:hyperlink w:anchor="_CS_ADR-DSN.D.335_" w:history="1">
        <w:r w:rsidRPr="009E064B">
          <w:rPr>
            <w:rStyle w:val="Hipercze"/>
            <w:iCs/>
          </w:rPr>
          <w:t>CS ADR-DSN.D.335</w:t>
        </w:r>
      </w:hyperlink>
      <w:r w:rsidRPr="009E064B">
        <w:rPr>
          <w:iCs/>
        </w:rPr>
        <w:t xml:space="preserve"> powinna być taka, aby oczekujący samolot lub pojazd nie naruszał strefy wolnej od przeszkód, powierzchni podejścia, powierzchni wznoszenia po starcie, strefy wrażliwej/krytycznej ILS/MLS lub nie zakłócał działania pomocy radionawigacyjnych.</w:t>
      </w:r>
    </w:p>
    <w:p w14:paraId="78E183E9" w14:textId="25ADCEAA" w:rsidR="005669D1" w:rsidRDefault="00C36D76" w:rsidP="005669D1">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r w:rsidR="005669D1">
        <w:rPr>
          <w:rFonts w:asciiTheme="minorHAnsi" w:hAnsiTheme="minorHAnsi" w:cstheme="minorHAnsi"/>
          <w:i/>
          <w:sz w:val="16"/>
          <w:szCs w:val="16"/>
        </w:rPr>
        <w:t xml:space="preserve"> </w:t>
      </w:r>
      <w:r w:rsidR="005669D1">
        <w:rPr>
          <w:rFonts w:asciiTheme="minorHAnsi" w:hAnsiTheme="minorHAnsi" w:cstheme="minorHAnsi"/>
          <w:i/>
          <w:sz w:val="16"/>
          <w:szCs w:val="16"/>
        </w:rPr>
        <w:br w:type="page"/>
      </w:r>
    </w:p>
    <w:p w14:paraId="79F1F8D3" w14:textId="70655527" w:rsidR="001C0060" w:rsidRPr="009E064B" w:rsidRDefault="001C0060" w:rsidP="00133B99">
      <w:pPr>
        <w:pStyle w:val="Nagwek6"/>
      </w:pPr>
      <w:bookmarkStart w:id="1129" w:name="_Toc401058958"/>
      <w:bookmarkStart w:id="1130" w:name="_Toc482886824"/>
      <w:bookmarkStart w:id="1131" w:name="_Toc12533048"/>
      <w:r w:rsidRPr="009E064B">
        <w:t xml:space="preserve">GM1 ADR-DSN.D.340 </w:t>
      </w:r>
      <w:r w:rsidR="00D05B14" w:rsidRPr="009E064B">
        <w:t xml:space="preserve">    </w:t>
      </w:r>
      <w:r w:rsidRPr="009E064B">
        <w:t>Lokalizacja zatok oczekiwania, miejsc oczekiwania przed drogą startową, pośrednich miejsc oczekiwania oraz miejsc oczekiwania na drodze ruchu kołowego</w:t>
      </w:r>
      <w:bookmarkEnd w:id="1129"/>
      <w:bookmarkEnd w:id="1130"/>
      <w:bookmarkEnd w:id="1131"/>
    </w:p>
    <w:p w14:paraId="52E3A386" w14:textId="238E1660" w:rsidR="00D05B14" w:rsidRPr="009E064B" w:rsidRDefault="00D63D4F" w:rsidP="00D05B1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20522AD"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NewRomanPS-BoldMT"/>
          <w:bCs/>
          <w:szCs w:val="20"/>
        </w:rPr>
        <w:t xml:space="preserve">Należy zachować ostrożność, aby strumień powietrza od śmigła lub podmuch z silników </w:t>
      </w:r>
      <w:r w:rsidRPr="009E064B">
        <w:rPr>
          <w:rFonts w:eastAsia="Verdana" w:cs="Verdana"/>
          <w:bCs/>
          <w:szCs w:val="20"/>
        </w:rPr>
        <w:t>odrzutowych</w:t>
      </w:r>
      <w:r w:rsidRPr="009E064B">
        <w:rPr>
          <w:rFonts w:cs="TimesNewRomanPS-BoldMT"/>
          <w:bCs/>
          <w:szCs w:val="20"/>
        </w:rPr>
        <w:t xml:space="preserve"> nie zakłócał operacji statków powietrznych oraz nie powodował uszkodzeń pojazdów lub nie ranił ludzi.</w:t>
      </w:r>
    </w:p>
    <w:p w14:paraId="1A0FF5E8"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zCs w:val="20"/>
        </w:rPr>
        <w:t>Na</w:t>
      </w:r>
      <w:r w:rsidRPr="009E064B">
        <w:rPr>
          <w:rFonts w:cs="TimesNewRomanPS-BoldMT"/>
          <w:bCs/>
          <w:szCs w:val="20"/>
        </w:rPr>
        <w:t xml:space="preserve"> ogół, jeżeli zatoka oczekiwania jest wykorzystywana w celu sprawnego ustawienia kolejności do odlotów, najbardziej korzystną lokalizacją jest sąsiedztwo drogi kołowania obsługującej koniec drogi startowej. Inne lokalizacje wzdłuż drogi kołowania są wystarczające dla statków powietrznych wykonujących sprawdzenia przed lotem lub wykonujących rozruch silnika, lub jako punkt oczekiwania dla statków powietrznych oczekujących na zezwolenie na odlot.</w:t>
      </w:r>
    </w:p>
    <w:p w14:paraId="71597B74"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NewRomanPS-BoldMT"/>
          <w:bCs/>
          <w:szCs w:val="20"/>
        </w:rPr>
        <w:t xml:space="preserve">Kołujący statek powietrzny może zagrażać operacjom statków powietrznych, jeżeli </w:t>
      </w:r>
      <w:r w:rsidRPr="009E064B">
        <w:rPr>
          <w:rFonts w:eastAsia="Verdana" w:cs="Verdana"/>
          <w:bCs/>
          <w:szCs w:val="20"/>
        </w:rPr>
        <w:t>znajduje</w:t>
      </w:r>
      <w:r w:rsidRPr="009E064B">
        <w:rPr>
          <w:rFonts w:cs="TimesNewRomanPS-BoldMT"/>
          <w:bCs/>
          <w:szCs w:val="20"/>
        </w:rPr>
        <w:t xml:space="preserve"> się on zbyt blisko drogi startowej w czasie startu lub lądowania. Dlatego należy sprawdzić czy nie będzie to powodowało utrudnień dla startujących lub lądujący statków powietrznych. Z tego powodu pierwszymi aspektami do uwzględnienia są powierzchnie ograniczające przeszkody oraz w szczególności powierzchnie podejścia, powierzchnie wznoszenia oraz strefy wolne od przeszkód. Kołujący statek powietrzny może również zagrażać operacjom statków powietrznych, jeżeli jego lokalizacja i ustawienie powoduje zakłócenia pracy pomocy nawigacyjnych. Jest to charakterystyczne dla dróg startowych przyrządowych i szczególnie ważne dla dróg startowych z podejściem precyzyjnym. Pierwsze sprawdzenie powinno dotyczyć nienaruszania stref krytycznych/wrażliwych.</w:t>
      </w:r>
    </w:p>
    <w:p w14:paraId="10E20E80" w14:textId="77777777" w:rsidR="001C0060" w:rsidRPr="009E064B" w:rsidRDefault="001C0060" w:rsidP="00B06A9A">
      <w:pPr>
        <w:tabs>
          <w:tab w:val="left" w:pos="567"/>
        </w:tabs>
        <w:autoSpaceDE w:val="0"/>
        <w:autoSpaceDN w:val="0"/>
        <w:adjustRightInd w:val="0"/>
        <w:ind w:left="567"/>
        <w:rPr>
          <w:rFonts w:cs="TimesNewRomanPS-BoldMT"/>
          <w:bCs/>
          <w:szCs w:val="20"/>
        </w:rPr>
      </w:pPr>
      <w:r w:rsidRPr="009E064B">
        <w:rPr>
          <w:rFonts w:cs="TimesNewRomanPS-BoldMT"/>
          <w:bCs/>
          <w:szCs w:val="20"/>
        </w:rPr>
        <w:t xml:space="preserve">Obszary, na których to znaczące zakłócenie sygnału kursu lub ścieżki jest możliwe, powinny być zdefiniowane i rozpoznane. Dla celów opracowania kryteriów podziału stref ochronnych dla ILS, obszary te zostały zdefiniowane jako strefa krytyczna i wrażliwa ILS. Strefa krytyczna ILS jest to obszar o określonych wymiarach, wokół lokalizera </w:t>
      </w:r>
      <w:r w:rsidRPr="009E064B">
        <w:rPr>
          <w:rFonts w:cs="TimesNewRomanPS-BoldMT"/>
          <w:bCs/>
          <w:i/>
          <w:szCs w:val="20"/>
        </w:rPr>
        <w:t>(localizer)</w:t>
      </w:r>
      <w:r w:rsidRPr="009E064B">
        <w:rPr>
          <w:rFonts w:cs="TimesNewRomanPS-BoldMT"/>
          <w:bCs/>
          <w:szCs w:val="20"/>
        </w:rPr>
        <w:t xml:space="preserve"> i anteny radiolatarni ścieżki schodzenia, w  którym obecność pojazdów, w tym statków powietrznych, podczas wszystkich operacji z użyciem ILS, jest zabroniona. Strefa krytyczna ILS jest chroniona, ponieważ obecność pojazdów lub statków powietrznych w granicach tej strefy spowodowałoby niedopuszczalne zakłócenia sygnału ILS Strefa wrażliwa ILS jest to obszar, który rozciąga się poza strefę krytyczną, gdzie parkowanie i/lub ruch pojazdów, w tym statków powietrznych, są kontrolowane, aby zapobiec możliwości niedopuszczalnych zakłóceń sygnału ILS podczas operacji z użyciem ILS.</w:t>
      </w:r>
    </w:p>
    <w:p w14:paraId="4B52F3A1"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NewRomanPS-BoldMT"/>
          <w:bCs/>
          <w:szCs w:val="20"/>
        </w:rPr>
        <w:t>W przypadku wszystkich dróg startowych należy zweryfikować czy odległość pomiędzy zatoką oczekiwania, miejscem oczekiwania przed drogą startową ustanowionym na skrzyżowaniu drogi kołowania z drogą startową lub miejscem oczekiwania na drodze ruchu kołowego i linią środkową drogi startowej jest taka, aby oczekujący statek powietrzny lub pojazd nie naruszył powierzchni podejścia i/lub powierzchni wznoszenia.</w:t>
      </w:r>
    </w:p>
    <w:p w14:paraId="48594AFE"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NewRomanPS-BoldMT"/>
          <w:bCs/>
          <w:szCs w:val="20"/>
        </w:rPr>
        <w:t>Jeżeli droga startowa jest wykorzystywana w ramach procedur podejścia precyzyjnego, należy również zweryfikować czy odległość pomiędzy zatoką oczekiwania, miejscem oczekiwania przed drogą startową ustanowionym na skrzyżowaniu drogi kołowania z drogą startową lub miejscem oczekiwania na drodze ruchu kołowego a linią środkową drogi startowej jest taka, aby oczekujący statek powietrzny lub pojazd nie naruszył strefy wolnej od przeszkód oraz stref krytycznych/wrażliwych pomocy nawigacyjnych podejścia precyzyjnego (np. ILS/MLS).</w:t>
      </w:r>
    </w:p>
    <w:p w14:paraId="249ED482" w14:textId="50A5A383"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(f) </w:t>
      </w:r>
      <w:r w:rsidRPr="009E064B">
        <w:rPr>
          <w:rFonts w:cs="TimesNewRomanPS-BoldItalicMT"/>
          <w:bCs/>
          <w:iCs/>
          <w:szCs w:val="20"/>
        </w:rPr>
        <w:tab/>
      </w:r>
      <w:r w:rsidRPr="009E064B">
        <w:rPr>
          <w:rFonts w:eastAsia="Times New Roman,Italic" w:cs="Times New Roman,Italic"/>
          <w:iCs/>
          <w:szCs w:val="20"/>
        </w:rPr>
        <w:t xml:space="preserve">Jeżeli zatoka oczekiwania, miejsce oczekiwania przed drogą startową lub miejsce oczekiwania na drodze ruchu kołowego związane z drogą startową o cyfrze kodu 4 z podejściem precyzyjnym, mają w stosunku do progu drogi startowej większą wysokość, </w:t>
      </w:r>
      <w:r w:rsidR="00C45559" w:rsidRPr="009E064B">
        <w:rPr>
          <w:rFonts w:eastAsia="Times New Roman,Italic" w:cs="Times New Roman,Italic"/>
          <w:iCs/>
          <w:szCs w:val="20"/>
        </w:rPr>
        <w:t>to odległość 90 m lub 107.5 </w:t>
      </w:r>
      <w:r w:rsidRPr="009E064B">
        <w:rPr>
          <w:rFonts w:eastAsia="Times New Roman,Italic" w:cs="Times New Roman,Italic"/>
          <w:iCs/>
          <w:szCs w:val="20"/>
        </w:rPr>
        <w:t>m, odpowiednio, określona w Tabeli D-2 może być dodatk</w:t>
      </w:r>
      <w:r w:rsidR="00C45559" w:rsidRPr="009E064B">
        <w:rPr>
          <w:rFonts w:eastAsia="Times New Roman,Italic" w:cs="Times New Roman,Italic"/>
          <w:iCs/>
          <w:szCs w:val="20"/>
        </w:rPr>
        <w:t>owo zwiększona o 5 m na każdy 1 </w:t>
      </w:r>
      <w:r w:rsidRPr="009E064B">
        <w:rPr>
          <w:rFonts w:eastAsia="Times New Roman,Italic" w:cs="Times New Roman,Italic"/>
          <w:iCs/>
          <w:szCs w:val="20"/>
        </w:rPr>
        <w:t>m różnicy tych wysokości.</w:t>
      </w:r>
    </w:p>
    <w:p w14:paraId="7C4B37B8"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ItalicMT"/>
          <w:bCs/>
          <w:iCs/>
          <w:szCs w:val="20"/>
        </w:rPr>
        <w:t xml:space="preserve">(g) </w:t>
      </w:r>
      <w:r w:rsidRPr="009E064B">
        <w:rPr>
          <w:rFonts w:cs="TimesNewRomanPS-BoldItalicMT"/>
          <w:bCs/>
          <w:iCs/>
          <w:szCs w:val="20"/>
        </w:rPr>
        <w:tab/>
      </w:r>
      <w:r w:rsidRPr="009E064B">
        <w:rPr>
          <w:rFonts w:eastAsia="Times New Roman,Italic" w:cs="Times New Roman,Italic"/>
          <w:iCs/>
          <w:szCs w:val="20"/>
        </w:rPr>
        <w:t>Kołujący</w:t>
      </w:r>
      <w:r w:rsidRPr="009E064B">
        <w:rPr>
          <w:rFonts w:cs="TimesNewRomanPS-BoldMT"/>
          <w:bCs/>
          <w:szCs w:val="20"/>
        </w:rPr>
        <w:t xml:space="preserve"> statek powietrzny może również stanowić zagrożenie dla operacji statku powietrznego, jeżeli znajduje się zbyt blisko innego kołującego statku powietrznego. Z tego powodu, należy uwzględnić odległości separacji lub marginesy pomiędzy kołującymi statkami powietrznymi lub pomiędzy drogami kołowania.</w:t>
      </w:r>
    </w:p>
    <w:p w14:paraId="6CA58C65" w14:textId="77777777" w:rsidR="001C0060" w:rsidRPr="009E064B" w:rsidRDefault="001C0060" w:rsidP="00B06A9A">
      <w:pPr>
        <w:tabs>
          <w:tab w:val="left" w:pos="567"/>
        </w:tabs>
        <w:autoSpaceDE w:val="0"/>
        <w:autoSpaceDN w:val="0"/>
        <w:adjustRightInd w:val="0"/>
        <w:ind w:left="567" w:hanging="567"/>
        <w:rPr>
          <w:rFonts w:cs="TimesNewRomanPS-BoldMT"/>
          <w:bCs/>
          <w:szCs w:val="20"/>
        </w:rPr>
      </w:pPr>
      <w:r w:rsidRPr="009E064B">
        <w:rPr>
          <w:rFonts w:cs="TimesNewRomanPS-BoldMT"/>
          <w:bCs/>
          <w:szCs w:val="20"/>
        </w:rPr>
        <w:t>(h)</w:t>
      </w:r>
      <w:r w:rsidRPr="009E064B">
        <w:rPr>
          <w:rFonts w:cs="TimesNewRomanPS-BoldMT"/>
          <w:bCs/>
          <w:szCs w:val="20"/>
        </w:rPr>
        <w:tab/>
        <w:t xml:space="preserve">We frazeologii radiotelefonicznej, wyrażenie "punkt oczekiwania </w:t>
      </w:r>
      <w:r w:rsidRPr="009E064B">
        <w:rPr>
          <w:rFonts w:cs="TimesNewRomanPS-BoldMT"/>
          <w:bCs/>
          <w:i/>
          <w:szCs w:val="20"/>
        </w:rPr>
        <w:t>(holding point)</w:t>
      </w:r>
      <w:r w:rsidRPr="009E064B">
        <w:rPr>
          <w:rFonts w:cs="TimesNewRomanPS-BoldMT"/>
          <w:bCs/>
          <w:szCs w:val="20"/>
        </w:rPr>
        <w:t>" jest używane do wskazania miejsca oczekiwania przed drogą startową.</w:t>
      </w:r>
    </w:p>
    <w:p w14:paraId="2607F6F4" w14:textId="58AAD788" w:rsidR="001C0060" w:rsidRPr="009E064B" w:rsidRDefault="001C0060" w:rsidP="00B06A9A">
      <w:pPr>
        <w:tabs>
          <w:tab w:val="left" w:pos="567"/>
        </w:tabs>
        <w:autoSpaceDE w:val="0"/>
        <w:autoSpaceDN w:val="0"/>
        <w:adjustRightInd w:val="0"/>
        <w:ind w:left="567" w:hanging="567"/>
        <w:rPr>
          <w:rFonts w:eastAsia="Verdana" w:cs="Verdana"/>
          <w:bCs/>
          <w:szCs w:val="20"/>
        </w:rPr>
      </w:pPr>
      <w:r w:rsidRPr="009E064B">
        <w:rPr>
          <w:rFonts w:cs="TimesNewRomanPS-BoldItalicMT"/>
          <w:bCs/>
          <w:iCs/>
          <w:szCs w:val="20"/>
        </w:rPr>
        <w:t xml:space="preserve">(i) </w:t>
      </w:r>
      <w:r w:rsidRPr="009E064B">
        <w:rPr>
          <w:rFonts w:cs="TimesNewRomanPS-BoldItalicMT"/>
          <w:bCs/>
          <w:iCs/>
          <w:szCs w:val="20"/>
        </w:rPr>
        <w:tab/>
      </w:r>
      <w:r w:rsidRPr="009E064B">
        <w:rPr>
          <w:rFonts w:cs="TimesNewRomanPS-BoldMT"/>
          <w:bCs/>
          <w:szCs w:val="20"/>
        </w:rPr>
        <w:t xml:space="preserve">Dalsze wytyczne znajdują się </w:t>
      </w:r>
      <w:r w:rsidRPr="009E064B">
        <w:rPr>
          <w:rFonts w:eastAsia="Verdana" w:cs="Verdana"/>
          <w:bCs/>
          <w:szCs w:val="20"/>
        </w:rPr>
        <w:t xml:space="preserve">w </w:t>
      </w:r>
      <w:r w:rsidRPr="009E064B">
        <w:rPr>
          <w:rFonts w:cs="Times New Roman"/>
          <w:szCs w:val="20"/>
        </w:rPr>
        <w:t>„</w:t>
      </w:r>
      <w:r w:rsidRPr="009E064B">
        <w:rPr>
          <w:rFonts w:cs="Times New Roman"/>
          <w:i/>
          <w:szCs w:val="20"/>
        </w:rPr>
        <w:t>Podręczniku projektowania lotnisk</w:t>
      </w:r>
      <w:r w:rsidRPr="009E064B">
        <w:rPr>
          <w:rFonts w:cs="Times New Roman"/>
          <w:szCs w:val="20"/>
        </w:rPr>
        <w:t xml:space="preserve">” ICAO Doc 9157, </w:t>
      </w:r>
      <w:r w:rsidR="00C45559" w:rsidRPr="009E064B">
        <w:rPr>
          <w:rFonts w:eastAsia="Verdana" w:cs="Verdana"/>
          <w:bCs/>
          <w:szCs w:val="20"/>
        </w:rPr>
        <w:t>Część </w:t>
      </w:r>
      <w:r w:rsidRPr="009E064B">
        <w:rPr>
          <w:rFonts w:eastAsia="Verdana" w:cs="Verdana"/>
          <w:bCs/>
          <w:szCs w:val="20"/>
        </w:rPr>
        <w:t>2 „</w:t>
      </w:r>
      <w:r w:rsidRPr="009E064B">
        <w:rPr>
          <w:rFonts w:eastAsia="Verdana" w:cs="Verdana"/>
          <w:bCs/>
          <w:i/>
          <w:szCs w:val="20"/>
        </w:rPr>
        <w:t>Drogi kołowania, płyty postojowe oraz zatoki oczekiwania</w:t>
      </w:r>
      <w:r w:rsidRPr="009E064B">
        <w:rPr>
          <w:rFonts w:eastAsia="Verdana" w:cs="Verdana"/>
          <w:bCs/>
          <w:szCs w:val="20"/>
        </w:rPr>
        <w:t>”.</w:t>
      </w:r>
    </w:p>
    <w:p w14:paraId="1A99B6A6" w14:textId="77777777" w:rsidR="001C0060" w:rsidRPr="009E064B" w:rsidRDefault="001C0060"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600C723" w14:textId="77777777" w:rsidR="00C36D76" w:rsidRPr="009E064B" w:rsidRDefault="00C36D76" w:rsidP="00B06A9A">
      <w:pPr>
        <w:tabs>
          <w:tab w:val="left" w:pos="1701"/>
        </w:tabs>
        <w:spacing w:after="0"/>
        <w:ind w:left="1701" w:right="567" w:hanging="1276"/>
      </w:pPr>
    </w:p>
    <w:p w14:paraId="36E45279" w14:textId="77777777" w:rsidR="00C36D76" w:rsidRPr="009E064B" w:rsidRDefault="00C36D76" w:rsidP="00B06A9A">
      <w:pPr>
        <w:pStyle w:val="Akapitzlist"/>
        <w:widowControl/>
        <w:numPr>
          <w:ilvl w:val="0"/>
          <w:numId w:val="10"/>
        </w:numPr>
        <w:autoSpaceDE w:val="0"/>
        <w:autoSpaceDN w:val="0"/>
        <w:adjustRightInd w:val="0"/>
        <w:ind w:left="1134" w:hanging="567"/>
        <w:rPr>
          <w:rFonts w:cs="TimesNewRomanPS-ItalicMT"/>
          <w:iCs/>
          <w:szCs w:val="20"/>
        </w:rPr>
        <w:sectPr w:rsidR="00C36D76" w:rsidRPr="009E064B" w:rsidSect="00AE1280">
          <w:headerReference w:type="default" r:id="rId120"/>
          <w:headerReference w:type="first" r:id="rId121"/>
          <w:footerReference w:type="first" r:id="rId122"/>
          <w:pgSz w:w="11906" w:h="16840" w:code="9"/>
          <w:pgMar w:top="1701" w:right="1417" w:bottom="1418" w:left="1418" w:header="567" w:footer="454" w:gutter="0"/>
          <w:cols w:space="708"/>
          <w:titlePg/>
          <w:docGrid w:linePitch="360"/>
        </w:sectPr>
      </w:pPr>
    </w:p>
    <w:p w14:paraId="703CADBE" w14:textId="77777777" w:rsidR="00C36D76" w:rsidRPr="009E064B" w:rsidRDefault="00C36D76" w:rsidP="005669D1">
      <w:pPr>
        <w:spacing w:after="0"/>
        <w:rPr>
          <w:rFonts w:cs="TimesNewRomanPS-BoldMT"/>
          <w:bCs/>
          <w:szCs w:val="20"/>
        </w:rPr>
      </w:pPr>
    </w:p>
    <w:p w14:paraId="62E23E4B" w14:textId="7BC0AE52" w:rsidR="00C36D76" w:rsidRPr="009E064B" w:rsidRDefault="00C36D76" w:rsidP="00020EA3">
      <w:pPr>
        <w:pStyle w:val="Nagwek2"/>
      </w:pPr>
      <w:bookmarkStart w:id="1132" w:name="_Toc382725607"/>
      <w:bookmarkStart w:id="1133" w:name="_Toc482886601"/>
      <w:bookmarkStart w:id="1134" w:name="_Toc12533049"/>
      <w:r w:rsidRPr="009E064B">
        <w:t xml:space="preserve">ROZDZIAŁ E </w:t>
      </w:r>
      <w:r w:rsidR="008441EB" w:rsidRPr="009E064B">
        <w:t xml:space="preserve">— </w:t>
      </w:r>
      <w:r w:rsidRPr="009E064B">
        <w:t>PŁYTY POSTOJOWE</w:t>
      </w:r>
      <w:bookmarkEnd w:id="1132"/>
      <w:bookmarkEnd w:id="1133"/>
      <w:bookmarkEnd w:id="1134"/>
    </w:p>
    <w:p w14:paraId="1C7CAF38" w14:textId="77777777" w:rsidR="00C36D76" w:rsidRPr="009E064B" w:rsidRDefault="00C36D76" w:rsidP="005669D1">
      <w:pPr>
        <w:spacing w:after="0"/>
        <w:rPr>
          <w:rFonts w:cs="TimesNewRomanPS-BoldMT"/>
          <w:bCs/>
          <w:szCs w:val="20"/>
        </w:rPr>
      </w:pPr>
    </w:p>
    <w:p w14:paraId="5E9B4E2C" w14:textId="26EBDCDA" w:rsidR="00C36D76" w:rsidRPr="009E064B" w:rsidRDefault="007D3E5B" w:rsidP="00B06A9A">
      <w:pPr>
        <w:pStyle w:val="Nagwek4"/>
        <w:rPr>
          <w:color w:val="auto"/>
        </w:rPr>
      </w:pPr>
      <w:bookmarkStart w:id="1135" w:name="_Toc482886602"/>
      <w:bookmarkStart w:id="1136" w:name="_Toc12533050"/>
      <w:r w:rsidRPr="009E064B">
        <w:rPr>
          <w:color w:val="auto"/>
        </w:rPr>
        <w:t xml:space="preserve">CS ADR-DSN.E.345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135"/>
      <w:bookmarkEnd w:id="1136"/>
    </w:p>
    <w:p w14:paraId="3EC60C58" w14:textId="37D1100C"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712DED5" w14:textId="77777777" w:rsidR="00C36D76" w:rsidRPr="009E064B" w:rsidRDefault="00C36D76" w:rsidP="00B06A9A">
      <w:pPr>
        <w:autoSpaceDE w:val="0"/>
        <w:autoSpaceDN w:val="0"/>
        <w:adjustRightInd w:val="0"/>
        <w:rPr>
          <w:szCs w:val="20"/>
        </w:rPr>
      </w:pPr>
      <w:r w:rsidRPr="009E064B">
        <w:rPr>
          <w:rFonts w:cs="TimesNewRomanPS-ItalicMT"/>
          <w:iCs/>
          <w:szCs w:val="20"/>
        </w:rPr>
        <w:t>Na lotnisku powinny być zapewnione płyty postojowe w celu umożliwienia załadunku i wyładunku pasażerów, towarów i poczty oraz obsługi statku powietrznego bez zakłócania naziemnego ruchu lotniczego.</w:t>
      </w:r>
    </w:p>
    <w:p w14:paraId="79FB339E" w14:textId="77E9A39A" w:rsidR="005460B6" w:rsidRPr="009E064B" w:rsidRDefault="005460B6" w:rsidP="00133B99">
      <w:pPr>
        <w:pStyle w:val="Nagwek6"/>
      </w:pPr>
      <w:bookmarkStart w:id="1137" w:name="_Toc401058960"/>
      <w:bookmarkStart w:id="1138" w:name="_Toc482886826"/>
      <w:bookmarkStart w:id="1139" w:name="_Toc12533051"/>
      <w:r w:rsidRPr="009E064B">
        <w:t xml:space="preserve">GM1 ADR-DSN.E.345 </w:t>
      </w:r>
      <w:r w:rsidR="00321BB4" w:rsidRPr="009E064B">
        <w:t xml:space="preserve">    </w:t>
      </w:r>
      <w:r w:rsidR="009B0A08" w:rsidRPr="009E064B">
        <w:rPr>
          <w:rFonts w:cs="TimesNewRomanPS-BoldItalicMT"/>
          <w:iCs/>
          <w:szCs w:val="20"/>
        </w:rPr>
        <w:t>Wymagania</w:t>
      </w:r>
      <w:r w:rsidR="009B0A08" w:rsidRPr="009E064B">
        <w:t xml:space="preserve"> </w:t>
      </w:r>
      <w:r w:rsidRPr="009E064B">
        <w:t>ogólne</w:t>
      </w:r>
      <w:bookmarkEnd w:id="1137"/>
      <w:bookmarkEnd w:id="1138"/>
      <w:bookmarkEnd w:id="1139"/>
    </w:p>
    <w:p w14:paraId="7D9A265D" w14:textId="727765DE"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4F834FA" w14:textId="77777777" w:rsidR="005460B6" w:rsidRPr="009E064B" w:rsidRDefault="005460B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311528F9" w14:textId="31B7C9F7" w:rsidR="00C36D76" w:rsidRPr="009E064B" w:rsidRDefault="00C36D76" w:rsidP="00B06A9A">
      <w:pPr>
        <w:pStyle w:val="Nagwek4"/>
        <w:rPr>
          <w:color w:val="auto"/>
        </w:rPr>
      </w:pPr>
      <w:bookmarkStart w:id="1140" w:name="_Toc482886603"/>
      <w:bookmarkStart w:id="1141" w:name="_Toc12533052"/>
      <w:r w:rsidRPr="009E064B">
        <w:rPr>
          <w:color w:val="auto"/>
        </w:rPr>
        <w:t xml:space="preserve">CS ADR-DSN.E.350 </w:t>
      </w:r>
      <w:r w:rsidR="00321BB4" w:rsidRPr="009E064B">
        <w:rPr>
          <w:color w:val="auto"/>
        </w:rPr>
        <w:t xml:space="preserve">    </w:t>
      </w:r>
      <w:r w:rsidRPr="009E064B">
        <w:rPr>
          <w:color w:val="auto"/>
        </w:rPr>
        <w:t>Wielkość płyt postojowych</w:t>
      </w:r>
      <w:bookmarkEnd w:id="1140"/>
      <w:bookmarkEnd w:id="1141"/>
    </w:p>
    <w:p w14:paraId="13D19D3F" w14:textId="77777777" w:rsidR="00C36D76" w:rsidRPr="009E064B" w:rsidRDefault="00C36D76" w:rsidP="00B06A9A">
      <w:pPr>
        <w:rPr>
          <w:szCs w:val="20"/>
        </w:rPr>
      </w:pPr>
      <w:r w:rsidRPr="009E064B">
        <w:rPr>
          <w:szCs w:val="20"/>
        </w:rPr>
        <w:t>Celowo pozostawione puste</w:t>
      </w:r>
    </w:p>
    <w:p w14:paraId="6B8A239F" w14:textId="61677CDE" w:rsidR="005460B6" w:rsidRPr="009E064B" w:rsidRDefault="005460B6" w:rsidP="00133B99">
      <w:pPr>
        <w:pStyle w:val="Nagwek6"/>
      </w:pPr>
      <w:bookmarkStart w:id="1142" w:name="_Toc401058961"/>
      <w:bookmarkStart w:id="1143" w:name="_Toc482886827"/>
      <w:bookmarkStart w:id="1144" w:name="_Toc12533053"/>
      <w:r w:rsidRPr="009E064B">
        <w:t xml:space="preserve">GM1 ADR-DSN.E.350 </w:t>
      </w:r>
      <w:r w:rsidR="00321BB4" w:rsidRPr="009E064B">
        <w:t xml:space="preserve">    </w:t>
      </w:r>
      <w:r w:rsidRPr="009E064B">
        <w:t>Wielkość płyt postojow</w:t>
      </w:r>
      <w:bookmarkEnd w:id="1142"/>
      <w:r w:rsidRPr="009E064B">
        <w:t>ych</w:t>
      </w:r>
      <w:bookmarkEnd w:id="1143"/>
      <w:bookmarkEnd w:id="1144"/>
    </w:p>
    <w:p w14:paraId="2D856B45" w14:textId="6A01E13A"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2710E1B" w14:textId="77777777" w:rsidR="005460B6" w:rsidRPr="009E064B" w:rsidRDefault="005460B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pacing w:val="-1"/>
          <w:szCs w:val="20"/>
        </w:rPr>
        <w:t xml:space="preserve">Całkowity obszar płyty postojowej powinien być wystarczający, aby można było zapewnić </w:t>
      </w:r>
      <w:r w:rsidRPr="009E064B">
        <w:rPr>
          <w:rFonts w:cs="TimesNewRomanPS-BoldMT"/>
          <w:bCs/>
          <w:szCs w:val="20"/>
        </w:rPr>
        <w:t>bezpieczną</w:t>
      </w:r>
      <w:r w:rsidRPr="009E064B">
        <w:rPr>
          <w:rFonts w:eastAsia="Verdana" w:cs="Verdana"/>
          <w:bCs/>
          <w:spacing w:val="-1"/>
          <w:szCs w:val="20"/>
        </w:rPr>
        <w:t xml:space="preserve"> oraz sprawną obsługę ruchu lotniskowego przy jego maksymalnym przewidywanym natężeniu.</w:t>
      </w:r>
    </w:p>
    <w:p w14:paraId="76370C0E" w14:textId="77777777" w:rsidR="005460B6" w:rsidRPr="009E064B" w:rsidRDefault="005460B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pacing w:val="-1"/>
          <w:szCs w:val="20"/>
        </w:rPr>
        <w:t>Wielkość obszaru wymagana dla określonego układu płyty postojowej zależy od następujących czynników:</w:t>
      </w:r>
    </w:p>
    <w:p w14:paraId="38D664CE"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Verdana" w:cs="Verdana"/>
          <w:bCs/>
          <w:spacing w:val="-1"/>
          <w:szCs w:val="20"/>
        </w:rPr>
        <w:t>wielkość oraz charakterystyka manewrowości statków powietrznych korzystających z płyty postojowej;</w:t>
      </w:r>
    </w:p>
    <w:p w14:paraId="13E60616"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Verdana" w:cs="Verdana"/>
          <w:bCs/>
          <w:spacing w:val="-1"/>
          <w:szCs w:val="20"/>
        </w:rPr>
        <w:t>wielkość ruchu użytkującego płytę postojową;</w:t>
      </w:r>
    </w:p>
    <w:p w14:paraId="7A8425E6"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Verdana" w:cs="Verdana"/>
          <w:bCs/>
          <w:spacing w:val="-1"/>
          <w:szCs w:val="20"/>
        </w:rPr>
        <w:t>wymagania odnośnie odległości;</w:t>
      </w:r>
    </w:p>
    <w:p w14:paraId="3AAED354"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Verdana" w:cs="Verdana"/>
          <w:bCs/>
          <w:spacing w:val="-1"/>
          <w:szCs w:val="20"/>
        </w:rPr>
        <w:t>rodzaj wjazdu i wyjazdu ze stanowiska postojowego statku powietrznego;</w:t>
      </w:r>
    </w:p>
    <w:p w14:paraId="5FEE1135"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Verdana" w:cs="Verdana"/>
          <w:bCs/>
          <w:spacing w:val="-1"/>
          <w:szCs w:val="20"/>
        </w:rPr>
        <w:t>podstawowy układ terminala lub inne wykorzystanie lotniska;</w:t>
      </w:r>
    </w:p>
    <w:p w14:paraId="4B171A56"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(6) </w:t>
      </w:r>
      <w:r w:rsidRPr="009E064B">
        <w:rPr>
          <w:rFonts w:cs="TimesNewRomanPS-BoldItalicMT"/>
          <w:bCs/>
          <w:iCs/>
          <w:szCs w:val="20"/>
        </w:rPr>
        <w:tab/>
      </w:r>
      <w:r w:rsidRPr="009E064B">
        <w:rPr>
          <w:rFonts w:eastAsia="Verdana" w:cs="Verdana"/>
          <w:bCs/>
          <w:spacing w:val="-1"/>
          <w:szCs w:val="20"/>
        </w:rPr>
        <w:t>wymagania dotyczące naziemnych operacji statków powietrznych; oraz</w:t>
      </w:r>
    </w:p>
    <w:p w14:paraId="505A274A" w14:textId="77777777" w:rsidR="005460B6" w:rsidRPr="009E064B" w:rsidRDefault="005460B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(7) </w:t>
      </w:r>
      <w:r w:rsidRPr="009E064B">
        <w:rPr>
          <w:rFonts w:cs="TimesNewRomanPS-BoldItalicMT"/>
          <w:bCs/>
          <w:iCs/>
          <w:szCs w:val="20"/>
        </w:rPr>
        <w:tab/>
      </w:r>
      <w:r w:rsidRPr="009E064B">
        <w:rPr>
          <w:rFonts w:eastAsia="Verdana" w:cs="Verdana"/>
          <w:bCs/>
          <w:spacing w:val="-1"/>
          <w:szCs w:val="20"/>
        </w:rPr>
        <w:t>drogi kołowania oraz drogi serwisowe na płycie postojowej.</w:t>
      </w:r>
    </w:p>
    <w:p w14:paraId="2DA217C1" w14:textId="77777777" w:rsidR="005460B6" w:rsidRPr="009E064B" w:rsidRDefault="005460B6" w:rsidP="00B06A9A">
      <w:pPr>
        <w:tabs>
          <w:tab w:val="left" w:pos="567"/>
        </w:tabs>
        <w:autoSpaceDE w:val="0"/>
        <w:autoSpaceDN w:val="0"/>
        <w:adjustRightInd w:val="0"/>
        <w:ind w:left="567" w:hanging="567"/>
        <w:rPr>
          <w:rFonts w:eastAsia="Verdana" w:cs="Verdana"/>
          <w:bCs/>
          <w:spacing w:val="-1"/>
          <w:szCs w:val="20"/>
        </w:rPr>
      </w:pPr>
      <w:r w:rsidRPr="009E064B">
        <w:rPr>
          <w:rFonts w:eastAsia="Verdana" w:cs="Verdana"/>
          <w:bCs/>
          <w:spacing w:val="-1"/>
          <w:szCs w:val="20"/>
        </w:rPr>
        <w:t>(c)</w:t>
      </w:r>
      <w:r w:rsidRPr="009E064B">
        <w:rPr>
          <w:rFonts w:eastAsia="Verdana" w:cs="Verdana"/>
          <w:bCs/>
          <w:spacing w:val="-1"/>
          <w:szCs w:val="20"/>
        </w:rPr>
        <w:tab/>
        <w:t>Obsługa samolotów pasażerskich, która jest przeprowadzana w czasie, gdy samolot jest zaparkowany na stanowisku postojowym obejmuje: catering; obsługa WC i dostarczenie wody pitnej,  obsługa bagażu, tankowanie, zapewnienie klimatyzacji, tlenu, zasilanie w energię elektryczną, dostarczenie powietrze do rozruchu, holowanie lub wypychanie statku powietrznego. Większość z tych funkcji związana jest z użyciem pojazdu i/lub innego sprzętu, albo posiada jakiś rodzaj instalacji stałej ustanowionej do prowadzenia tych usług. Dalsze wytyczne na ten temat znajdują się w „Podręczniku projektowania lotnisk” ICAO Doc 9157, Część 2 „Drogi kołowania, płyty postojowe i zatoki oczekiwania” pkt. 3.4.6.</w:t>
      </w:r>
    </w:p>
    <w:p w14:paraId="3E7600BC" w14:textId="422CDC38" w:rsidR="005460B6" w:rsidRPr="009E064B" w:rsidRDefault="005460B6" w:rsidP="005669D1">
      <w:pPr>
        <w:tabs>
          <w:tab w:val="left" w:pos="567"/>
        </w:tabs>
        <w:autoSpaceDE w:val="0"/>
        <w:autoSpaceDN w:val="0"/>
        <w:adjustRightInd w:val="0"/>
        <w:spacing w:after="60"/>
        <w:ind w:left="567" w:hanging="567"/>
        <w:rPr>
          <w:rFonts w:eastAsia="Verdana" w:cs="Verdana"/>
          <w:bCs/>
          <w:spacing w:val="-1"/>
          <w:szCs w:val="20"/>
        </w:rPr>
      </w:pPr>
      <w:r w:rsidRPr="009E064B">
        <w:rPr>
          <w:rFonts w:eastAsia="Verdana" w:cs="Verdana"/>
          <w:bCs/>
          <w:spacing w:val="-1"/>
          <w:szCs w:val="20"/>
        </w:rPr>
        <w:t>(d)</w:t>
      </w:r>
      <w:r w:rsidRPr="009E064B">
        <w:rPr>
          <w:rFonts w:eastAsia="Verdana" w:cs="Verdana"/>
          <w:bCs/>
          <w:spacing w:val="-1"/>
          <w:szCs w:val="20"/>
        </w:rPr>
        <w:tab/>
        <w:t>Należy zwrócić uwagę, na zapewnienie wystarczającej powierzchni na prawej stronie samolotu, aby wspierać poziom działania, które ma miejsce w czasie operacji zawracania samolotu. Dalsze wytyczne na ten temat znajdują się w „Podręczniku projektowani</w:t>
      </w:r>
      <w:r w:rsidR="007D3E5B" w:rsidRPr="009E064B">
        <w:rPr>
          <w:rFonts w:eastAsia="Verdana" w:cs="Verdana"/>
          <w:bCs/>
          <w:spacing w:val="-1"/>
          <w:szCs w:val="20"/>
        </w:rPr>
        <w:t>a lotnisk” ICAO Doc 9157, Część </w:t>
      </w:r>
      <w:r w:rsidRPr="009E064B">
        <w:rPr>
          <w:rFonts w:eastAsia="Verdana" w:cs="Verdana"/>
          <w:bCs/>
          <w:spacing w:val="-1"/>
          <w:szCs w:val="20"/>
        </w:rPr>
        <w:t>2 „Drogi kołowania, płyty postojowe i zatoki oczekiwania” pkt. 3.4.6.</w:t>
      </w:r>
    </w:p>
    <w:p w14:paraId="5006F9EC" w14:textId="77777777" w:rsidR="005460B6" w:rsidRPr="009E064B" w:rsidRDefault="005460B6" w:rsidP="005669D1">
      <w:pPr>
        <w:pStyle w:val="Tekstpodstawowy"/>
        <w:spacing w:before="6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6AEB378" w14:textId="5DEB5CB7" w:rsidR="00C36D76" w:rsidRPr="009E064B" w:rsidRDefault="007D3E5B" w:rsidP="00B06A9A">
      <w:pPr>
        <w:pStyle w:val="Nagwek4"/>
        <w:rPr>
          <w:color w:val="auto"/>
        </w:rPr>
      </w:pPr>
      <w:bookmarkStart w:id="1145" w:name="_Toc482886604"/>
      <w:bookmarkStart w:id="1146" w:name="_Toc12533054"/>
      <w:r w:rsidRPr="009E064B">
        <w:rPr>
          <w:color w:val="auto"/>
        </w:rPr>
        <w:t xml:space="preserve">CS ADR-DSN.E.355     </w:t>
      </w:r>
      <w:r w:rsidR="00C36D76" w:rsidRPr="009E064B">
        <w:rPr>
          <w:color w:val="auto"/>
        </w:rPr>
        <w:t>Nośność płyty postojowej</w:t>
      </w:r>
      <w:bookmarkEnd w:id="1145"/>
      <w:bookmarkEnd w:id="1146"/>
    </w:p>
    <w:p w14:paraId="4D5C7923" w14:textId="55ADEFA0"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727C92D" w14:textId="77777777" w:rsidR="00C36D76" w:rsidRPr="009E064B" w:rsidRDefault="00C36D76" w:rsidP="00B06A9A">
      <w:pPr>
        <w:autoSpaceDE w:val="0"/>
        <w:autoSpaceDN w:val="0"/>
        <w:adjustRightInd w:val="0"/>
        <w:rPr>
          <w:szCs w:val="20"/>
        </w:rPr>
      </w:pPr>
      <w:r w:rsidRPr="009E064B">
        <w:rPr>
          <w:rFonts w:cs="TimesNewRomanPS-ItalicMT"/>
          <w:iCs/>
          <w:szCs w:val="20"/>
        </w:rPr>
        <w:t>Każda część płyty postojowej powinna wytrzymać obciążenie ruchu statku powietrznego, dla którego obsługi jest przeznaczona, przy czym należy uwzględnić, że na niektórych częściach płyty postojowej częstotliwość ruchu będzie większa, oraz że stojące lub wolno poruszające się statki powietrzne stanowią większe obciążenie, niż ma to miejsce na drodze startowej.</w:t>
      </w:r>
    </w:p>
    <w:p w14:paraId="7C5DA13B" w14:textId="293895A8" w:rsidR="00F96626" w:rsidRPr="009E064B" w:rsidRDefault="007D3E5B" w:rsidP="00133B99">
      <w:pPr>
        <w:pStyle w:val="Nagwek6"/>
      </w:pPr>
      <w:bookmarkStart w:id="1147" w:name="_Toc482886828"/>
      <w:bookmarkStart w:id="1148" w:name="_Toc12533055"/>
      <w:r w:rsidRPr="009E064B">
        <w:t xml:space="preserve">GM1 ADR-DSN.E.355     </w:t>
      </w:r>
      <w:r w:rsidR="00F96626" w:rsidRPr="009E064B">
        <w:t>Nośność płyty postojowej</w:t>
      </w:r>
      <w:bookmarkEnd w:id="1147"/>
      <w:bookmarkEnd w:id="1148"/>
    </w:p>
    <w:p w14:paraId="6A508BA9" w14:textId="70AB8DD0"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EFF4521" w14:textId="7B55EACA" w:rsidR="00F96626" w:rsidRPr="009E064B" w:rsidRDefault="00F96626" w:rsidP="007D3E5B">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pacing w:val="-1"/>
          <w:szCs w:val="20"/>
        </w:rPr>
        <w:t>Ochrona nawierzchni płyt postojowych przed paliwem: Na stanowiskach postojowych statków powietrznych, nawierzchnia zbudowana z betonu bitumicznego oraz połączenia pomiędzy betonowymi płytami powinny być chronione przed skutkami paliw.</w:t>
      </w:r>
    </w:p>
    <w:p w14:paraId="120BBDA9" w14:textId="77777777" w:rsidR="00F96626" w:rsidRPr="009E064B" w:rsidRDefault="00F96626" w:rsidP="005669D1">
      <w:pPr>
        <w:tabs>
          <w:tab w:val="left" w:pos="567"/>
        </w:tabs>
        <w:autoSpaceDE w:val="0"/>
        <w:autoSpaceDN w:val="0"/>
        <w:adjustRightInd w:val="0"/>
        <w:spacing w:after="60"/>
        <w:ind w:left="567" w:hanging="567"/>
        <w:rPr>
          <w:rFonts w:eastAsia="Verdana" w:cs="Verdana"/>
          <w:bCs/>
          <w:spacing w:val="-1"/>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pacing w:val="-1"/>
          <w:szCs w:val="20"/>
        </w:rPr>
        <w:t>Paliwo na betonie bitumicznym powoduje rozpad betonu, który staje się swego rodzaju ciemnym proszkiem. Na stanowiskach postojowych statków powietrznych, sytuacja, kiedy paliwo znajduje się na powierzchni na skutek wycieku ze statku powietrznego lub urządzenia do tankowania lub na skutek niewłaściwego ruchu podczas tankowania nie jest rzadkością. Dlatego jeżeli nawierzchnia stanowiska postojowego statku powietrznego jest zbudowana z betonu bitumicznego, należy uwzględnić określone środki ochrony. Są to:</w:t>
      </w:r>
    </w:p>
    <w:p w14:paraId="6777B87C" w14:textId="77777777" w:rsidR="00F96626" w:rsidRPr="009E064B" w:rsidRDefault="00F96626" w:rsidP="005669D1">
      <w:pPr>
        <w:tabs>
          <w:tab w:val="left" w:pos="1134"/>
        </w:tabs>
        <w:autoSpaceDE w:val="0"/>
        <w:autoSpaceDN w:val="0"/>
        <w:adjustRightInd w:val="0"/>
        <w:spacing w:after="60"/>
        <w:ind w:left="1134" w:hanging="567"/>
        <w:rPr>
          <w:rFonts w:eastAsia="Verdana" w:cs="Verdana"/>
          <w:bCs/>
          <w:spacing w:val="-1"/>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Verdana" w:cs="Verdana"/>
          <w:bCs/>
          <w:spacing w:val="-1"/>
          <w:szCs w:val="20"/>
        </w:rPr>
        <w:t>ochrona powierzchni polegająca na położeniu warstwy materiału obojętnego na paliwo; lub</w:t>
      </w:r>
    </w:p>
    <w:p w14:paraId="76ED60CF" w14:textId="77777777" w:rsidR="00F96626" w:rsidRPr="009E064B" w:rsidRDefault="00F96626" w:rsidP="00B06A9A">
      <w:pPr>
        <w:tabs>
          <w:tab w:val="left" w:pos="1134"/>
        </w:tabs>
        <w:autoSpaceDE w:val="0"/>
        <w:autoSpaceDN w:val="0"/>
        <w:adjustRightInd w:val="0"/>
        <w:ind w:left="1134" w:hanging="567"/>
        <w:rPr>
          <w:rFonts w:eastAsia="Verdana" w:cs="Verdana"/>
          <w:bCs/>
          <w:spacing w:val="-1"/>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Verdana" w:cs="Verdana"/>
          <w:bCs/>
          <w:spacing w:val="-1"/>
          <w:szCs w:val="20"/>
        </w:rPr>
        <w:t>dodanie do masy bitumicznej w czasie jej wytwarzania produktu chroniącego kruszywo i spoiny zabezpieczające.</w:t>
      </w:r>
    </w:p>
    <w:p w14:paraId="0BA7D765" w14:textId="77777777"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Verdana" w:cs="Verdana"/>
          <w:bCs/>
          <w:spacing w:val="-1"/>
          <w:szCs w:val="20"/>
        </w:rPr>
        <w:t>Pierwsze rozwiązanie ma tą wadę, że jest podatne na efekt rozkruszania powodowany przez statki powietrzne na stanowisku postojowym, ale jest bardzo użyteczne dla ochrony istniejących nawierzchni.</w:t>
      </w:r>
    </w:p>
    <w:p w14:paraId="40FEEA46" w14:textId="77777777"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Verdana" w:cs="Verdana"/>
          <w:bCs/>
          <w:spacing w:val="-1"/>
          <w:szCs w:val="20"/>
        </w:rPr>
        <w:t>Biorąc pod uwagę rozkruszanie powodowane przez statki powietrzne na stanowiskach postojowych oraz podatność betonu bitumicznego na wpływ paliwa, nawierzchnie stanowisk postojowych statków powietrznych są często wykonane z betonu cementowego, który charakteryzuje się o wiele lepszą odpornością na rozkruszanie i paliwo. Niemniej jednak, połączenia pomiędzy płytami z betonu cementowego mogą być również uszkodzone przez paliwo. W zależności od położenia tych połączeń, biorąc pod uwagę lokalizację statku powietrznego i urządzeń do tankowania, preferuje się wykonanie takich połączeń z materiałów odpornych na paliwo.</w:t>
      </w:r>
    </w:p>
    <w:p w14:paraId="3AD398B2" w14:textId="1D8BCDD2" w:rsidR="00C36D76" w:rsidRPr="009E064B" w:rsidRDefault="00321BB4" w:rsidP="00B06A9A">
      <w:pPr>
        <w:pStyle w:val="Nagwek4"/>
        <w:rPr>
          <w:color w:val="auto"/>
        </w:rPr>
      </w:pPr>
      <w:bookmarkStart w:id="1149" w:name="_Toc482886605"/>
      <w:bookmarkStart w:id="1150" w:name="_Toc12533056"/>
      <w:r w:rsidRPr="009E064B">
        <w:rPr>
          <w:color w:val="auto"/>
        </w:rPr>
        <w:t xml:space="preserve">CS ADR-DSN.E.360     </w:t>
      </w:r>
      <w:r w:rsidR="00C36D76" w:rsidRPr="009E064B">
        <w:rPr>
          <w:color w:val="auto"/>
        </w:rPr>
        <w:t>Nachylenia na płycie postojowej</w:t>
      </w:r>
      <w:bookmarkEnd w:id="1149"/>
      <w:bookmarkEnd w:id="1150"/>
    </w:p>
    <w:p w14:paraId="6295B6C9" w14:textId="198BE0A2"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49219DC"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Nachylenia na płycie postojowej, włącznie z tymi, które są drodze kołowania na płycie postojowej, powinny być wystarczające, aby zapobiegać gromadzeniu się wody na powierzchni płyty postojowej, ale powinny być utrzymywane na minimalnym poziomie, wymaganym do skutecznego odprowadzania wody.</w:t>
      </w:r>
    </w:p>
    <w:p w14:paraId="13F6C26C" w14:textId="77777777" w:rsidR="00C36D76" w:rsidRPr="009E064B" w:rsidRDefault="00C36D76" w:rsidP="005669D1">
      <w:pPr>
        <w:tabs>
          <w:tab w:val="left" w:pos="567"/>
        </w:tabs>
        <w:autoSpaceDE w:val="0"/>
        <w:autoSpaceDN w:val="0"/>
        <w:adjustRightInd w:val="0"/>
        <w:spacing w:after="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Na stanowisku postojowym statku powietrznego, maksymalne nachylenie nie powinno przekraczać 1 %.</w:t>
      </w:r>
    </w:p>
    <w:p w14:paraId="7C8D773B" w14:textId="77777777" w:rsidR="00C36D76" w:rsidRPr="009E064B" w:rsidRDefault="00C36D76" w:rsidP="005669D1">
      <w:pPr>
        <w:pStyle w:val="Tekstpodstawowy"/>
        <w:spacing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A241602" w14:textId="38C1E957" w:rsidR="00F96626" w:rsidRPr="009E064B" w:rsidRDefault="00321BB4" w:rsidP="00133B99">
      <w:pPr>
        <w:pStyle w:val="Nagwek6"/>
      </w:pPr>
      <w:bookmarkStart w:id="1151" w:name="_Toc401058963"/>
      <w:bookmarkStart w:id="1152" w:name="_Toc482886829"/>
      <w:bookmarkStart w:id="1153" w:name="_Toc12533057"/>
      <w:r w:rsidRPr="009E064B">
        <w:t xml:space="preserve">GM1 ADR-DSN.E.360     </w:t>
      </w:r>
      <w:r w:rsidR="00F96626" w:rsidRPr="009E064B">
        <w:t xml:space="preserve">Nachylenia </w:t>
      </w:r>
      <w:r w:rsidRPr="009E064B">
        <w:t xml:space="preserve">na </w:t>
      </w:r>
      <w:r w:rsidR="00F96626" w:rsidRPr="009E064B">
        <w:t>pły</w:t>
      </w:r>
      <w:r w:rsidRPr="009E064B">
        <w:t xml:space="preserve">cie </w:t>
      </w:r>
      <w:r w:rsidR="00F96626" w:rsidRPr="009E064B">
        <w:t>postojowej</w:t>
      </w:r>
      <w:bookmarkEnd w:id="1151"/>
      <w:bookmarkEnd w:id="1152"/>
      <w:bookmarkEnd w:id="1153"/>
    </w:p>
    <w:p w14:paraId="356D2311" w14:textId="32CACEF3"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6E722EF" w14:textId="77777777"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Verdana" w:cs="Verdana"/>
          <w:bCs/>
          <w:spacing w:val="-1"/>
          <w:szCs w:val="20"/>
        </w:rPr>
        <w:t>Nachylenia powinny być projektowane w taki sposób, aby kierować rozlane paliwo z dala od budynku i obszarów obsługowych na płycie postojowej. Jeżeli takie nachylenia są nieuniknione, należy podjąć specjalne środki w celu ograniczenia zagro</w:t>
      </w:r>
      <w:r w:rsidR="00321BB4" w:rsidRPr="009E064B">
        <w:rPr>
          <w:rFonts w:eastAsia="Verdana" w:cs="Verdana"/>
          <w:bCs/>
          <w:spacing w:val="-1"/>
          <w:szCs w:val="20"/>
        </w:rPr>
        <w:t>żenia pożarowego wynikającego z </w:t>
      </w:r>
      <w:r w:rsidRPr="009E064B">
        <w:rPr>
          <w:rFonts w:eastAsia="Verdana" w:cs="Verdana"/>
          <w:bCs/>
          <w:spacing w:val="-1"/>
          <w:szCs w:val="20"/>
        </w:rPr>
        <w:t>wycieku paliwa.</w:t>
      </w:r>
    </w:p>
    <w:p w14:paraId="5C3409E8" w14:textId="13A6DFE6"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Verdana" w:cs="Verdana"/>
          <w:bCs/>
          <w:spacing w:val="-1"/>
          <w:szCs w:val="20"/>
        </w:rPr>
        <w:t>Nachylenia na płycie postojowej mają to samo przeznaczenie jak inne nachylenia powierzchni, to znaczy zapobieganie gromadzeniu się wody (lub ewentualnie zanieczyszczeniom w postaci cieczy) na powierzchni oraz ułatwianie szybkiego odprowadzania wody powierzchniowej (lub ewentualnych zanieczyszczeń w postaci cieczy). Niemniej jednak, projekt płyt postojowych, szczególnie w częściach gdzie znajdują się stanowiska postojowe statków powietrznych, powinny uwzględniać wpływ nachyleń na statki powietrzne w trakcie ich hamowania na stanowisku oraz w trakcie ich uruchamiania do odlotu (przy wypychaniu lub pr</w:t>
      </w:r>
      <w:r w:rsidR="00321BB4" w:rsidRPr="009E064B">
        <w:rPr>
          <w:rFonts w:eastAsia="Verdana" w:cs="Verdana"/>
          <w:bCs/>
          <w:spacing w:val="-1"/>
          <w:szCs w:val="20"/>
        </w:rPr>
        <w:t>zy użyciu własnych silników). Z </w:t>
      </w:r>
      <w:r w:rsidRPr="009E064B">
        <w:rPr>
          <w:rFonts w:eastAsia="Verdana" w:cs="Verdana"/>
          <w:bCs/>
          <w:spacing w:val="-1"/>
          <w:szCs w:val="20"/>
        </w:rPr>
        <w:t xml:space="preserve">jednej strony, należy unikać przejechania przez statek </w:t>
      </w:r>
      <w:r w:rsidR="00C45559" w:rsidRPr="009E064B">
        <w:rPr>
          <w:rFonts w:eastAsia="Verdana" w:cs="Verdana"/>
          <w:bCs/>
          <w:spacing w:val="-1"/>
          <w:szCs w:val="20"/>
        </w:rPr>
        <w:t>powietrzny punktu zatrzymania i </w:t>
      </w:r>
      <w:r w:rsidRPr="009E064B">
        <w:rPr>
          <w:rFonts w:eastAsia="Verdana" w:cs="Verdana"/>
          <w:bCs/>
          <w:spacing w:val="-1"/>
          <w:szCs w:val="20"/>
        </w:rPr>
        <w:t>wjechania na drogę serwisową na płycie postojowej lub na najbliższy budynek, z drugiej strony, należy oszczędzać paliwo oraz optymalizować manewrowość statków powietrznych i urządzenia wypychającego.</w:t>
      </w:r>
    </w:p>
    <w:p w14:paraId="536CF660" w14:textId="77777777"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Verdana" w:cs="Verdana"/>
          <w:bCs/>
          <w:spacing w:val="-1"/>
          <w:szCs w:val="20"/>
        </w:rPr>
        <w:t>Jeżeli niemożliwe do uzyskania jest ograniczenie nachylenia do 1%, nachylenie powinno być tak płytkie jak to możliwe oraz nie powinno mieć wpływu na operacje statków powietrznych i pojazdów.</w:t>
      </w:r>
    </w:p>
    <w:p w14:paraId="1634ACB3" w14:textId="77777777" w:rsidR="00F96626" w:rsidRPr="009E064B" w:rsidRDefault="00F9662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DD2111C" w14:textId="011C0F53" w:rsidR="00C36D76" w:rsidRPr="009E064B" w:rsidRDefault="00321BB4" w:rsidP="00B06A9A">
      <w:pPr>
        <w:pStyle w:val="Nagwek4"/>
        <w:rPr>
          <w:color w:val="auto"/>
        </w:rPr>
      </w:pPr>
      <w:bookmarkStart w:id="1154" w:name="_Toc482886606"/>
      <w:bookmarkStart w:id="1155" w:name="_Toc12533058"/>
      <w:r w:rsidRPr="009E064B">
        <w:rPr>
          <w:color w:val="auto"/>
        </w:rPr>
        <w:t xml:space="preserve">CS ADR-DSN.E.365     </w:t>
      </w:r>
      <w:r w:rsidR="00C36D76" w:rsidRPr="009E064B">
        <w:rPr>
          <w:color w:val="auto"/>
        </w:rPr>
        <w:t>Odstępy na stanowiskach postojowych</w:t>
      </w:r>
      <w:bookmarkEnd w:id="1154"/>
      <w:bookmarkEnd w:id="1155"/>
    </w:p>
    <w:p w14:paraId="7EE76750" w14:textId="2258AF80"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E7369EB"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zachowania odstępów na stanowiskach postojowych jest zapewnienie bezpiecznej odległości pomiędzy statkiem powietrznym korzystającym ze stanowiska a wszelkimi przyległymi budynkami, statkiem powietrznym na sąsiadującym stanowisku oraz innymi obiektami.</w:t>
      </w:r>
    </w:p>
    <w:p w14:paraId="7CB3079A" w14:textId="77777777" w:rsidR="00C36D76" w:rsidRPr="009E064B" w:rsidRDefault="00C36D76" w:rsidP="00321BB4">
      <w:pPr>
        <w:tabs>
          <w:tab w:val="left" w:pos="567"/>
        </w:tabs>
        <w:autoSpaceDE w:val="0"/>
        <w:autoSpaceDN w:val="0"/>
        <w:adjustRightInd w:val="0"/>
        <w:spacing w:after="24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Stanowisko postojowe powinno zapewniać następujące minimalne odstępy pomiędzy statkiem powietrznym wjeżdżającym lub wyjeżdżającym z tego stanowiska, a przyległym budynkiem, statkiem powietrznym na sąsiadującym stanowisku lub innymi obiektami:</w:t>
      </w:r>
    </w:p>
    <w:tbl>
      <w:tblPr>
        <w:tblStyle w:val="Tabela-Siatka"/>
        <w:tblW w:w="0" w:type="auto"/>
        <w:jc w:val="center"/>
        <w:tblLook w:val="04A0" w:firstRow="1" w:lastRow="0" w:firstColumn="1" w:lastColumn="0" w:noHBand="0" w:noVBand="1"/>
      </w:tblPr>
      <w:tblGrid>
        <w:gridCol w:w="1564"/>
        <w:gridCol w:w="2542"/>
      </w:tblGrid>
      <w:tr w:rsidR="00321BB4" w:rsidRPr="009E064B" w14:paraId="7B1E9C9B" w14:textId="77777777" w:rsidTr="00321BB4">
        <w:trPr>
          <w:jc w:val="center"/>
        </w:trPr>
        <w:tc>
          <w:tcPr>
            <w:tcW w:w="1564" w:type="dxa"/>
            <w:tcMar>
              <w:top w:w="57" w:type="dxa"/>
              <w:bottom w:w="57" w:type="dxa"/>
            </w:tcMar>
            <w:vAlign w:val="center"/>
          </w:tcPr>
          <w:p w14:paraId="7B3797BA" w14:textId="77777777" w:rsidR="00321BB4" w:rsidRPr="009E064B" w:rsidRDefault="00321BB4" w:rsidP="00321BB4">
            <w:pPr>
              <w:autoSpaceDE w:val="0"/>
              <w:autoSpaceDN w:val="0"/>
              <w:adjustRightInd w:val="0"/>
              <w:spacing w:after="0"/>
              <w:jc w:val="center"/>
              <w:rPr>
                <w:rFonts w:cs="TimesNewRomanPSMT"/>
                <w:b/>
                <w:szCs w:val="20"/>
              </w:rPr>
            </w:pPr>
            <w:r w:rsidRPr="009E064B">
              <w:rPr>
                <w:rFonts w:cs="TimesNewRomanPSMT"/>
                <w:b/>
                <w:szCs w:val="20"/>
              </w:rPr>
              <w:t>Litera kodu</w:t>
            </w:r>
          </w:p>
        </w:tc>
        <w:tc>
          <w:tcPr>
            <w:tcW w:w="2542" w:type="dxa"/>
            <w:tcMar>
              <w:top w:w="57" w:type="dxa"/>
              <w:bottom w:w="57" w:type="dxa"/>
            </w:tcMar>
            <w:vAlign w:val="center"/>
          </w:tcPr>
          <w:p w14:paraId="1EC4B348" w14:textId="77777777" w:rsidR="00321BB4" w:rsidRPr="009E064B" w:rsidRDefault="00321BB4" w:rsidP="00321BB4">
            <w:pPr>
              <w:autoSpaceDE w:val="0"/>
              <w:autoSpaceDN w:val="0"/>
              <w:adjustRightInd w:val="0"/>
              <w:spacing w:after="0"/>
              <w:jc w:val="center"/>
              <w:rPr>
                <w:rFonts w:cs="TimesNewRomanPSMT"/>
                <w:b/>
                <w:szCs w:val="20"/>
              </w:rPr>
            </w:pPr>
            <w:r w:rsidRPr="009E064B">
              <w:rPr>
                <w:rFonts w:cs="TimesNewRomanPSMT"/>
                <w:b/>
                <w:szCs w:val="20"/>
              </w:rPr>
              <w:t>Odstęp</w:t>
            </w:r>
          </w:p>
        </w:tc>
      </w:tr>
      <w:tr w:rsidR="00321BB4" w:rsidRPr="009E064B" w14:paraId="1E546365" w14:textId="77777777" w:rsidTr="00321BB4">
        <w:trPr>
          <w:jc w:val="center"/>
        </w:trPr>
        <w:tc>
          <w:tcPr>
            <w:tcW w:w="1564" w:type="dxa"/>
            <w:tcMar>
              <w:top w:w="57" w:type="dxa"/>
              <w:bottom w:w="57" w:type="dxa"/>
            </w:tcMar>
            <w:vAlign w:val="center"/>
          </w:tcPr>
          <w:p w14:paraId="606AE323"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A</w:t>
            </w:r>
          </w:p>
        </w:tc>
        <w:tc>
          <w:tcPr>
            <w:tcW w:w="2542" w:type="dxa"/>
            <w:tcMar>
              <w:top w:w="57" w:type="dxa"/>
              <w:bottom w:w="57" w:type="dxa"/>
            </w:tcMar>
            <w:vAlign w:val="center"/>
          </w:tcPr>
          <w:p w14:paraId="7F98A73A"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3 m</w:t>
            </w:r>
          </w:p>
        </w:tc>
      </w:tr>
      <w:tr w:rsidR="00321BB4" w:rsidRPr="009E064B" w14:paraId="417A5003" w14:textId="77777777" w:rsidTr="00321BB4">
        <w:trPr>
          <w:jc w:val="center"/>
        </w:trPr>
        <w:tc>
          <w:tcPr>
            <w:tcW w:w="1564" w:type="dxa"/>
            <w:tcMar>
              <w:top w:w="57" w:type="dxa"/>
              <w:bottom w:w="57" w:type="dxa"/>
            </w:tcMar>
            <w:vAlign w:val="center"/>
          </w:tcPr>
          <w:p w14:paraId="2675CEF8"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B</w:t>
            </w:r>
          </w:p>
        </w:tc>
        <w:tc>
          <w:tcPr>
            <w:tcW w:w="2542" w:type="dxa"/>
            <w:tcMar>
              <w:top w:w="57" w:type="dxa"/>
              <w:bottom w:w="57" w:type="dxa"/>
            </w:tcMar>
            <w:vAlign w:val="center"/>
          </w:tcPr>
          <w:p w14:paraId="1091B931"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3 m</w:t>
            </w:r>
          </w:p>
        </w:tc>
      </w:tr>
      <w:tr w:rsidR="00321BB4" w:rsidRPr="009E064B" w14:paraId="22E6BF92" w14:textId="77777777" w:rsidTr="00321BB4">
        <w:trPr>
          <w:jc w:val="center"/>
        </w:trPr>
        <w:tc>
          <w:tcPr>
            <w:tcW w:w="1564" w:type="dxa"/>
            <w:tcMar>
              <w:top w:w="57" w:type="dxa"/>
              <w:bottom w:w="57" w:type="dxa"/>
            </w:tcMar>
            <w:vAlign w:val="center"/>
          </w:tcPr>
          <w:p w14:paraId="0C5C5A4F"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C</w:t>
            </w:r>
          </w:p>
        </w:tc>
        <w:tc>
          <w:tcPr>
            <w:tcW w:w="2542" w:type="dxa"/>
            <w:tcMar>
              <w:top w:w="57" w:type="dxa"/>
              <w:bottom w:w="57" w:type="dxa"/>
            </w:tcMar>
            <w:vAlign w:val="center"/>
          </w:tcPr>
          <w:p w14:paraId="4E014CA9"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4.5 m</w:t>
            </w:r>
          </w:p>
        </w:tc>
      </w:tr>
      <w:tr w:rsidR="00321BB4" w:rsidRPr="009E064B" w14:paraId="54E59F9D" w14:textId="77777777" w:rsidTr="00321BB4">
        <w:trPr>
          <w:jc w:val="center"/>
        </w:trPr>
        <w:tc>
          <w:tcPr>
            <w:tcW w:w="1564" w:type="dxa"/>
            <w:tcMar>
              <w:top w:w="57" w:type="dxa"/>
              <w:bottom w:w="57" w:type="dxa"/>
            </w:tcMar>
            <w:vAlign w:val="center"/>
          </w:tcPr>
          <w:p w14:paraId="09500528"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D</w:t>
            </w:r>
          </w:p>
        </w:tc>
        <w:tc>
          <w:tcPr>
            <w:tcW w:w="2542" w:type="dxa"/>
            <w:tcMar>
              <w:top w:w="57" w:type="dxa"/>
              <w:bottom w:w="57" w:type="dxa"/>
            </w:tcMar>
            <w:vAlign w:val="center"/>
          </w:tcPr>
          <w:p w14:paraId="5DE27D16"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7.5 m</w:t>
            </w:r>
          </w:p>
        </w:tc>
      </w:tr>
      <w:tr w:rsidR="00321BB4" w:rsidRPr="009E064B" w14:paraId="6E949B2D" w14:textId="77777777" w:rsidTr="00321BB4">
        <w:trPr>
          <w:jc w:val="center"/>
        </w:trPr>
        <w:tc>
          <w:tcPr>
            <w:tcW w:w="1564" w:type="dxa"/>
            <w:tcMar>
              <w:top w:w="57" w:type="dxa"/>
              <w:bottom w:w="57" w:type="dxa"/>
            </w:tcMar>
            <w:vAlign w:val="center"/>
          </w:tcPr>
          <w:p w14:paraId="08293616"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E</w:t>
            </w:r>
          </w:p>
        </w:tc>
        <w:tc>
          <w:tcPr>
            <w:tcW w:w="2542" w:type="dxa"/>
            <w:tcMar>
              <w:top w:w="57" w:type="dxa"/>
              <w:bottom w:w="57" w:type="dxa"/>
            </w:tcMar>
            <w:vAlign w:val="center"/>
          </w:tcPr>
          <w:p w14:paraId="300C9A9F" w14:textId="77777777" w:rsidR="00321BB4" w:rsidRPr="009E064B" w:rsidRDefault="00321BB4" w:rsidP="00321BB4">
            <w:pPr>
              <w:pStyle w:val="Akapitzlist"/>
              <w:autoSpaceDE w:val="0"/>
              <w:autoSpaceDN w:val="0"/>
              <w:adjustRightInd w:val="0"/>
              <w:spacing w:after="0"/>
              <w:jc w:val="center"/>
              <w:rPr>
                <w:szCs w:val="20"/>
              </w:rPr>
            </w:pPr>
            <w:r w:rsidRPr="009E064B">
              <w:rPr>
                <w:rFonts w:cs="TimesNewRomanPS-ItalicMT"/>
                <w:iCs/>
                <w:szCs w:val="20"/>
              </w:rPr>
              <w:t>7.5 m</w:t>
            </w:r>
          </w:p>
        </w:tc>
      </w:tr>
      <w:tr w:rsidR="00321BB4" w:rsidRPr="009E064B" w14:paraId="1D1F0D85" w14:textId="77777777" w:rsidTr="00321BB4">
        <w:trPr>
          <w:jc w:val="center"/>
        </w:trPr>
        <w:tc>
          <w:tcPr>
            <w:tcW w:w="1564" w:type="dxa"/>
            <w:tcMar>
              <w:top w:w="57" w:type="dxa"/>
              <w:bottom w:w="57" w:type="dxa"/>
            </w:tcMar>
            <w:vAlign w:val="center"/>
          </w:tcPr>
          <w:p w14:paraId="5612103F"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F</w:t>
            </w:r>
          </w:p>
        </w:tc>
        <w:tc>
          <w:tcPr>
            <w:tcW w:w="2542" w:type="dxa"/>
            <w:tcMar>
              <w:top w:w="57" w:type="dxa"/>
              <w:bottom w:w="57" w:type="dxa"/>
            </w:tcMar>
            <w:vAlign w:val="center"/>
          </w:tcPr>
          <w:p w14:paraId="0E062751" w14:textId="77777777" w:rsidR="00321BB4" w:rsidRPr="009E064B" w:rsidRDefault="00321BB4" w:rsidP="00321BB4">
            <w:pPr>
              <w:pStyle w:val="Akapitzlist"/>
              <w:autoSpaceDE w:val="0"/>
              <w:autoSpaceDN w:val="0"/>
              <w:adjustRightInd w:val="0"/>
              <w:spacing w:after="0"/>
              <w:jc w:val="center"/>
              <w:rPr>
                <w:rFonts w:cs="TimesNewRomanPS-ItalicMT"/>
                <w:iCs/>
                <w:szCs w:val="20"/>
              </w:rPr>
            </w:pPr>
            <w:r w:rsidRPr="009E064B">
              <w:rPr>
                <w:rFonts w:cs="TimesNewRomanPS-ItalicMT"/>
                <w:iCs/>
                <w:szCs w:val="20"/>
              </w:rPr>
              <w:t>7.5 m</w:t>
            </w:r>
          </w:p>
        </w:tc>
      </w:tr>
    </w:tbl>
    <w:p w14:paraId="4B56588B" w14:textId="77777777" w:rsidR="00C36D76" w:rsidRPr="009E064B" w:rsidRDefault="00C36D76" w:rsidP="00321BB4">
      <w:pPr>
        <w:tabs>
          <w:tab w:val="left" w:pos="567"/>
        </w:tabs>
        <w:autoSpaceDE w:val="0"/>
        <w:autoSpaceDN w:val="0"/>
        <w:adjustRightInd w:val="0"/>
        <w:spacing w:before="24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Minimalne odstępy dla stanowisk postojowych o literze kodu D, E lub F, mogą być zmniejszone:</w:t>
      </w:r>
    </w:p>
    <w:p w14:paraId="4A8FB34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dla obiektów o ograniczonej wysokości;</w:t>
      </w:r>
    </w:p>
    <w:p w14:paraId="05DE4C8B"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jeżeli wykorzystanie stanowiska ogranicza się do statków powietrznych o określonych wymiarach;</w:t>
      </w:r>
    </w:p>
    <w:p w14:paraId="3C2B337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w następujących miejscach (tylko dla statków powietrznych stosujących procedurę kołowania, wypychania):</w:t>
      </w:r>
    </w:p>
    <w:p w14:paraId="6062DE5B" w14:textId="77777777" w:rsidR="00C36D76" w:rsidRPr="009E064B" w:rsidRDefault="00C36D76" w:rsidP="00B06A9A">
      <w:pPr>
        <w:tabs>
          <w:tab w:val="left" w:pos="1701"/>
        </w:tabs>
        <w:autoSpaceDE w:val="0"/>
        <w:autoSpaceDN w:val="0"/>
        <w:adjustRightInd w:val="0"/>
        <w:ind w:left="1701" w:hanging="567"/>
        <w:rPr>
          <w:rFonts w:cs="TimesNewRomanPS-ItalicMT"/>
          <w:iCs/>
          <w:szCs w:val="20"/>
        </w:rPr>
      </w:pPr>
      <w:r w:rsidRPr="009E064B">
        <w:rPr>
          <w:rFonts w:cs="Times New Roman"/>
          <w:szCs w:val="20"/>
        </w:rPr>
        <w:t xml:space="preserve">(i) </w:t>
      </w:r>
      <w:r w:rsidRPr="009E064B">
        <w:rPr>
          <w:rFonts w:cs="Times New Roman"/>
          <w:szCs w:val="20"/>
        </w:rPr>
        <w:tab/>
      </w:r>
      <w:r w:rsidRPr="009E064B">
        <w:rPr>
          <w:rFonts w:cs="TimesNewRomanPS-ItalicMT"/>
          <w:iCs/>
          <w:szCs w:val="20"/>
        </w:rPr>
        <w:t>pomiędzy terminalem (w tym stałym pomostem dla pasażerów) a częścią nosową statku powietrznego; oraz</w:t>
      </w:r>
    </w:p>
    <w:p w14:paraId="4BF93FBF" w14:textId="77777777" w:rsidR="00C36D76" w:rsidRPr="009E064B" w:rsidRDefault="00C36D76" w:rsidP="00B06A9A">
      <w:pPr>
        <w:tabs>
          <w:tab w:val="left" w:pos="1701"/>
        </w:tabs>
        <w:autoSpaceDE w:val="0"/>
        <w:autoSpaceDN w:val="0"/>
        <w:adjustRightInd w:val="0"/>
        <w:ind w:left="1701" w:hanging="567"/>
        <w:rPr>
          <w:rFonts w:cs="TimesNewRomanPS-ItalicMT"/>
          <w:iCs/>
          <w:szCs w:val="20"/>
        </w:rPr>
      </w:pPr>
      <w:r w:rsidRPr="009E064B">
        <w:rPr>
          <w:rFonts w:cs="Times New Roman"/>
          <w:szCs w:val="20"/>
        </w:rPr>
        <w:t xml:space="preserve">(ii) </w:t>
      </w:r>
      <w:r w:rsidRPr="009E064B">
        <w:rPr>
          <w:rFonts w:cs="Times New Roman"/>
          <w:szCs w:val="20"/>
        </w:rPr>
        <w:tab/>
      </w:r>
      <w:r w:rsidRPr="009E064B">
        <w:rPr>
          <w:rFonts w:cs="TimesNewRomanPS-ItalicMT"/>
          <w:iCs/>
          <w:szCs w:val="20"/>
        </w:rPr>
        <w:t>na dowolnej części stanowiska postojowego wyposażonego we wzrokowy system dokowania, który dostarcza informacje o azymucie.</w:t>
      </w:r>
    </w:p>
    <w:p w14:paraId="340F5170"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AB4015D" w14:textId="06B264B3" w:rsidR="00F96626" w:rsidRPr="009E064B" w:rsidRDefault="007D3E5B" w:rsidP="00133B99">
      <w:pPr>
        <w:pStyle w:val="Nagwek6"/>
      </w:pPr>
      <w:bookmarkStart w:id="1156" w:name="_Toc401058964"/>
      <w:bookmarkStart w:id="1157" w:name="_Toc482886830"/>
      <w:bookmarkStart w:id="1158" w:name="_Toc12533059"/>
      <w:r w:rsidRPr="009E064B">
        <w:t xml:space="preserve">GM1 ADR-DSN.E.365     </w:t>
      </w:r>
      <w:r w:rsidR="00F96626" w:rsidRPr="009E064B">
        <w:t>Od</w:t>
      </w:r>
      <w:r w:rsidR="00D263A8" w:rsidRPr="009E064B">
        <w:t>stępy</w:t>
      </w:r>
      <w:r w:rsidR="00F96626" w:rsidRPr="009E064B">
        <w:t xml:space="preserve"> na stanowiskach postojowych</w:t>
      </w:r>
      <w:bookmarkEnd w:id="1156"/>
      <w:bookmarkEnd w:id="1157"/>
      <w:bookmarkEnd w:id="1158"/>
    </w:p>
    <w:p w14:paraId="76A53828" w14:textId="0C6817F8"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B683B89" w14:textId="77777777" w:rsidR="00F96626" w:rsidRPr="005669D1" w:rsidRDefault="00F96626" w:rsidP="00B06A9A">
      <w:pPr>
        <w:tabs>
          <w:tab w:val="left" w:pos="567"/>
        </w:tabs>
        <w:autoSpaceDE w:val="0"/>
        <w:autoSpaceDN w:val="0"/>
        <w:adjustRightInd w:val="0"/>
        <w:ind w:left="567" w:hanging="567"/>
        <w:rPr>
          <w:rFonts w:cs="TimesNewRomanPS-ItalicMT"/>
          <w:iCs/>
          <w:color w:val="000000" w:themeColor="text1"/>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NewRomanPS-ItalicMT"/>
          <w:iCs/>
          <w:szCs w:val="20"/>
        </w:rPr>
        <w:t xml:space="preserve">Zmniejszona odległość jest możliwa, kiedy prowadzenie kierunkowe zapewniane jest przez </w:t>
      </w:r>
      <w:r w:rsidRPr="005669D1">
        <w:rPr>
          <w:rFonts w:eastAsia="Verdana" w:cs="Verdana"/>
          <w:bCs/>
          <w:color w:val="000000" w:themeColor="text1"/>
          <w:spacing w:val="-1"/>
          <w:szCs w:val="20"/>
        </w:rPr>
        <w:t>wzrokowy</w:t>
      </w:r>
      <w:r w:rsidRPr="005669D1">
        <w:rPr>
          <w:rFonts w:cs="TimesNewRomanPS-ItalicMT"/>
          <w:iCs/>
          <w:color w:val="000000" w:themeColor="text1"/>
          <w:szCs w:val="20"/>
        </w:rPr>
        <w:t xml:space="preserve"> system dokowania w połączeniu z dodatkowymi środkami ograniczającymi takimi jak:</w:t>
      </w:r>
    </w:p>
    <w:p w14:paraId="28C0CAEA" w14:textId="77777777"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(1) </w:t>
      </w:r>
      <w:r w:rsidRPr="005669D1">
        <w:rPr>
          <w:rFonts w:cs="TimesNewRomanPS-BoldItalicMT"/>
          <w:bCs/>
          <w:iCs/>
          <w:color w:val="000000" w:themeColor="text1"/>
          <w:szCs w:val="20"/>
        </w:rPr>
        <w:tab/>
      </w:r>
      <w:r w:rsidRPr="005669D1">
        <w:rPr>
          <w:rFonts w:cs="TimesNewRomanPS-ItalicMT"/>
          <w:iCs/>
          <w:color w:val="000000" w:themeColor="text1"/>
          <w:szCs w:val="20"/>
        </w:rPr>
        <w:t>dobry stan oznakowania poziomego i znaków pionowych;</w:t>
      </w:r>
    </w:p>
    <w:p w14:paraId="07354C2D" w14:textId="77777777"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(2) </w:t>
      </w:r>
      <w:r w:rsidRPr="005669D1">
        <w:rPr>
          <w:rFonts w:cs="TimesNewRomanPS-BoldItalicMT"/>
          <w:bCs/>
          <w:iCs/>
          <w:color w:val="000000" w:themeColor="text1"/>
          <w:szCs w:val="20"/>
        </w:rPr>
        <w:tab/>
      </w:r>
      <w:r w:rsidRPr="005669D1">
        <w:rPr>
          <w:rFonts w:cs="TimesNewRomanPS-ItalicMT"/>
          <w:iCs/>
          <w:color w:val="000000" w:themeColor="text1"/>
          <w:szCs w:val="20"/>
        </w:rPr>
        <w:t>utrzymanie wzrokowego systemu dokowania.</w:t>
      </w:r>
    </w:p>
    <w:p w14:paraId="22B813AB" w14:textId="197CE0CA" w:rsidR="00F96626" w:rsidRPr="005669D1" w:rsidRDefault="00F96626" w:rsidP="00B06A9A">
      <w:pPr>
        <w:tabs>
          <w:tab w:val="left" w:pos="567"/>
        </w:tabs>
        <w:autoSpaceDE w:val="0"/>
        <w:autoSpaceDN w:val="0"/>
        <w:adjustRightInd w:val="0"/>
        <w:ind w:left="567" w:hanging="567"/>
        <w:rPr>
          <w:rFonts w:cs="TimesNewRomanPS-ItalicMT"/>
          <w:iCs/>
          <w:color w:val="000000" w:themeColor="text1"/>
          <w:szCs w:val="20"/>
        </w:rPr>
      </w:pPr>
      <w:r w:rsidRPr="005669D1">
        <w:rPr>
          <w:rFonts w:cs="TimesNewRomanPS-BoldItalicMT"/>
          <w:bCs/>
          <w:iCs/>
          <w:color w:val="000000" w:themeColor="text1"/>
          <w:szCs w:val="20"/>
        </w:rPr>
        <w:t xml:space="preserve">(b) </w:t>
      </w:r>
      <w:r w:rsidRPr="005669D1">
        <w:rPr>
          <w:rFonts w:cs="TimesNewRomanPS-BoldItalicMT"/>
          <w:bCs/>
          <w:iCs/>
          <w:color w:val="000000" w:themeColor="text1"/>
          <w:szCs w:val="20"/>
        </w:rPr>
        <w:tab/>
      </w:r>
      <w:r w:rsidR="006B4564" w:rsidRPr="005669D1">
        <w:rPr>
          <w:rFonts w:cs="TimesNewRomanPS-BoldItalicMT"/>
          <w:bCs/>
          <w:iCs/>
          <w:color w:val="000000" w:themeColor="text1"/>
          <w:szCs w:val="20"/>
        </w:rPr>
        <w:t>Na stanowiskach postojowych statków powietrznych</w:t>
      </w:r>
      <w:r w:rsidR="002D35C4" w:rsidRPr="005669D1">
        <w:rPr>
          <w:rFonts w:cs="TimesNewRomanPS-BoldItalicMT"/>
          <w:bCs/>
          <w:iCs/>
          <w:color w:val="000000" w:themeColor="text1"/>
          <w:szCs w:val="20"/>
        </w:rPr>
        <w:t xml:space="preserve">, gdzie </w:t>
      </w:r>
      <w:r w:rsidR="008C7EC3" w:rsidRPr="005669D1">
        <w:rPr>
          <w:rFonts w:cs="TimesNewRomanPS-BoldItalicMT"/>
          <w:bCs/>
          <w:iCs/>
          <w:color w:val="000000" w:themeColor="text1"/>
          <w:szCs w:val="20"/>
        </w:rPr>
        <w:t>stosuje się</w:t>
      </w:r>
      <w:r w:rsidR="006B4564" w:rsidRPr="005669D1">
        <w:rPr>
          <w:rFonts w:cs="TimesNewRomanPS-BoldItalicMT"/>
          <w:bCs/>
          <w:iCs/>
          <w:color w:val="000000" w:themeColor="text1"/>
          <w:szCs w:val="20"/>
        </w:rPr>
        <w:t xml:space="preserve"> </w:t>
      </w:r>
      <w:r w:rsidR="006B4564" w:rsidRPr="005669D1">
        <w:rPr>
          <w:rFonts w:eastAsia="Verdana" w:cs="Verdana"/>
          <w:bCs/>
          <w:color w:val="000000" w:themeColor="text1"/>
          <w:spacing w:val="-1"/>
          <w:szCs w:val="20"/>
        </w:rPr>
        <w:t>z</w:t>
      </w:r>
      <w:r w:rsidRPr="005669D1">
        <w:rPr>
          <w:rFonts w:eastAsia="Verdana" w:cs="Verdana"/>
          <w:bCs/>
          <w:color w:val="000000" w:themeColor="text1"/>
          <w:spacing w:val="-1"/>
          <w:szCs w:val="20"/>
        </w:rPr>
        <w:t>mniejszone</w:t>
      </w:r>
      <w:r w:rsidRPr="005669D1">
        <w:rPr>
          <w:rFonts w:cs="TimesNewRomanPS-ItalicMT"/>
          <w:iCs/>
          <w:color w:val="000000" w:themeColor="text1"/>
          <w:szCs w:val="20"/>
        </w:rPr>
        <w:t xml:space="preserve"> </w:t>
      </w:r>
      <w:r w:rsidR="002D35C4" w:rsidRPr="005669D1">
        <w:rPr>
          <w:rFonts w:cs="TimesNewRomanPS-ItalicMT"/>
          <w:iCs/>
          <w:color w:val="000000" w:themeColor="text1"/>
          <w:szCs w:val="20"/>
        </w:rPr>
        <w:t>odstępy</w:t>
      </w:r>
      <w:r w:rsidR="00221AC1" w:rsidRPr="005669D1">
        <w:rPr>
          <w:rFonts w:cs="TimesNewRomanPS-ItalicMT"/>
          <w:iCs/>
          <w:color w:val="000000" w:themeColor="text1"/>
          <w:szCs w:val="20"/>
        </w:rPr>
        <w:t xml:space="preserve"> bezpieczeństwa</w:t>
      </w:r>
      <w:r w:rsidR="002D35C4" w:rsidRPr="005669D1">
        <w:rPr>
          <w:rFonts w:cs="TimesNewRomanPS-ItalicMT"/>
          <w:iCs/>
          <w:color w:val="000000" w:themeColor="text1"/>
          <w:szCs w:val="20"/>
        </w:rPr>
        <w:t>:</w:t>
      </w:r>
    </w:p>
    <w:p w14:paraId="0AD75F3E" w14:textId="11BB6363"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(1) </w:t>
      </w:r>
      <w:r w:rsidRPr="005669D1">
        <w:rPr>
          <w:rFonts w:cs="TimesNewRomanPS-BoldItalicMT"/>
          <w:bCs/>
          <w:iCs/>
          <w:color w:val="000000" w:themeColor="text1"/>
          <w:szCs w:val="20"/>
        </w:rPr>
        <w:tab/>
      </w:r>
      <w:r w:rsidR="00221AC1" w:rsidRPr="005669D1">
        <w:rPr>
          <w:rFonts w:cs="TimesNewRomanPS-ItalicMT"/>
          <w:iCs/>
          <w:color w:val="000000" w:themeColor="text1"/>
          <w:szCs w:val="20"/>
        </w:rPr>
        <w:t>P</w:t>
      </w:r>
      <w:r w:rsidRPr="005669D1">
        <w:rPr>
          <w:rFonts w:cs="TimesNewRomanPS-ItalicMT"/>
          <w:iCs/>
          <w:color w:val="000000" w:themeColor="text1"/>
          <w:szCs w:val="20"/>
        </w:rPr>
        <w:t>owinno być zapewnione prowadzenie przez wzrokowy system dokowania.</w:t>
      </w:r>
    </w:p>
    <w:p w14:paraId="036D7204" w14:textId="5D1F88F4"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(2) </w:t>
      </w:r>
      <w:r w:rsidRPr="005669D1">
        <w:rPr>
          <w:rFonts w:cs="TimesNewRomanPS-BoldItalicMT"/>
          <w:bCs/>
          <w:iCs/>
          <w:color w:val="000000" w:themeColor="text1"/>
          <w:szCs w:val="20"/>
        </w:rPr>
        <w:tab/>
      </w:r>
      <w:r w:rsidRPr="005669D1">
        <w:rPr>
          <w:rFonts w:cs="TimesNewRomanPS-ItalicMT"/>
          <w:iCs/>
          <w:color w:val="000000" w:themeColor="text1"/>
          <w:szCs w:val="20"/>
        </w:rPr>
        <w:t xml:space="preserve">Wszystkie obiekty, do których stosuje się zmniejszone odległości, powinny być odpowiednio oznakowane lub oświetlone </w:t>
      </w:r>
      <w:r w:rsidRPr="005669D1">
        <w:rPr>
          <w:rFonts w:cs="TimesNewRomanPS-ItalicMT"/>
          <w:i/>
          <w:iCs/>
          <w:color w:val="000000" w:themeColor="text1"/>
          <w:szCs w:val="20"/>
        </w:rPr>
        <w:t>(</w:t>
      </w:r>
      <w:r w:rsidR="002D35C4" w:rsidRPr="005669D1">
        <w:rPr>
          <w:rFonts w:cs="TimesNewRomanPS-ItalicMT"/>
          <w:iCs/>
          <w:color w:val="000000" w:themeColor="text1"/>
          <w:szCs w:val="20"/>
        </w:rPr>
        <w:t xml:space="preserve">patrz </w:t>
      </w:r>
      <w:r w:rsidRPr="005669D1">
        <w:rPr>
          <w:rFonts w:cs="TimesNewRomanPS-ItalicMT"/>
          <w:i/>
          <w:iCs/>
          <w:color w:val="000000" w:themeColor="text1"/>
          <w:szCs w:val="20"/>
        </w:rPr>
        <w:t>Rozdział Q – Pomoce wzrokowe dla oznakowania przeszkód lotniczych</w:t>
      </w:r>
      <w:r w:rsidRPr="005669D1">
        <w:rPr>
          <w:rFonts w:cs="TimesNewRomanPS-ItalicMT"/>
          <w:iCs/>
          <w:color w:val="000000" w:themeColor="text1"/>
          <w:szCs w:val="20"/>
        </w:rPr>
        <w:t>).</w:t>
      </w:r>
    </w:p>
    <w:p w14:paraId="18BBC88A" w14:textId="5B2C3CA7"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(3) </w:t>
      </w:r>
      <w:r w:rsidRPr="005669D1">
        <w:rPr>
          <w:rFonts w:cs="TimesNewRomanPS-BoldItalicMT"/>
          <w:bCs/>
          <w:iCs/>
          <w:color w:val="000000" w:themeColor="text1"/>
          <w:szCs w:val="20"/>
        </w:rPr>
        <w:tab/>
      </w:r>
      <w:r w:rsidRPr="005669D1">
        <w:rPr>
          <w:rFonts w:cs="TimesNewRomanPS-ItalicMT"/>
          <w:iCs/>
          <w:color w:val="000000" w:themeColor="text1"/>
          <w:szCs w:val="20"/>
        </w:rPr>
        <w:t>Stanowiska postojowe statków powi</w:t>
      </w:r>
      <w:r w:rsidR="007D3E5B" w:rsidRPr="005669D1">
        <w:rPr>
          <w:rFonts w:cs="TimesNewRomanPS-ItalicMT"/>
          <w:iCs/>
          <w:color w:val="000000" w:themeColor="text1"/>
          <w:szCs w:val="20"/>
        </w:rPr>
        <w:t>etrznych, do których stosuje się</w:t>
      </w:r>
      <w:r w:rsidRPr="005669D1">
        <w:rPr>
          <w:rFonts w:cs="TimesNewRomanPS-ItalicMT"/>
          <w:iCs/>
          <w:color w:val="000000" w:themeColor="text1"/>
          <w:szCs w:val="20"/>
        </w:rPr>
        <w:t xml:space="preserve"> zmniejszone odległości, powinny być zidentyfikowane, a informacja o nich opublikowana w Zbiorze Informacji Lotniczych (AIP).</w:t>
      </w:r>
    </w:p>
    <w:p w14:paraId="77091BBD" w14:textId="723D93F1" w:rsidR="00F96626" w:rsidRPr="005669D1" w:rsidRDefault="00F96626"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BoldItalicMT"/>
          <w:bCs/>
          <w:iCs/>
          <w:color w:val="000000" w:themeColor="text1"/>
          <w:szCs w:val="20"/>
        </w:rPr>
        <w:t xml:space="preserve">(4) </w:t>
      </w:r>
      <w:r w:rsidRPr="005669D1">
        <w:rPr>
          <w:rFonts w:cs="TimesNewRomanPS-BoldItalicMT"/>
          <w:bCs/>
          <w:iCs/>
          <w:color w:val="000000" w:themeColor="text1"/>
          <w:szCs w:val="20"/>
        </w:rPr>
        <w:tab/>
      </w:r>
      <w:r w:rsidR="00221AC1" w:rsidRPr="005669D1">
        <w:rPr>
          <w:rFonts w:cs="TimesNewRomanPS-ItalicMT"/>
          <w:iCs/>
          <w:color w:val="000000" w:themeColor="text1"/>
          <w:szCs w:val="20"/>
        </w:rPr>
        <w:t>Dla</w:t>
      </w:r>
      <w:r w:rsidR="00221AC1" w:rsidRPr="005669D1">
        <w:rPr>
          <w:rFonts w:cs="TimesNewRomanPS-BoldItalicMT"/>
          <w:bCs/>
          <w:iCs/>
          <w:color w:val="000000" w:themeColor="text1"/>
          <w:szCs w:val="20"/>
        </w:rPr>
        <w:t xml:space="preserve"> liter kodu: D, E lub F</w:t>
      </w:r>
      <w:r w:rsidR="00F6634A" w:rsidRPr="005669D1">
        <w:rPr>
          <w:rFonts w:cs="TimesNewRomanPS-BoldItalicMT"/>
          <w:bCs/>
          <w:iCs/>
          <w:color w:val="000000" w:themeColor="text1"/>
          <w:szCs w:val="20"/>
        </w:rPr>
        <w:t>,</w:t>
      </w:r>
      <w:r w:rsidR="00221AC1" w:rsidRPr="005669D1">
        <w:rPr>
          <w:rFonts w:cs="TimesNewRomanPS-ItalicMT"/>
          <w:iCs/>
          <w:color w:val="000000" w:themeColor="text1"/>
          <w:szCs w:val="20"/>
        </w:rPr>
        <w:t xml:space="preserve"> </w:t>
      </w:r>
      <w:r w:rsidR="00F6634A" w:rsidRPr="005669D1">
        <w:rPr>
          <w:rFonts w:cs="TimesNewRomanPS-ItalicMT"/>
          <w:iCs/>
          <w:color w:val="000000" w:themeColor="text1"/>
          <w:szCs w:val="20"/>
        </w:rPr>
        <w:t xml:space="preserve">na </w:t>
      </w:r>
      <w:r w:rsidR="00221AC1" w:rsidRPr="005669D1">
        <w:rPr>
          <w:rFonts w:cs="TimesNewRomanPS-ItalicMT"/>
          <w:iCs/>
          <w:color w:val="000000" w:themeColor="text1"/>
          <w:szCs w:val="20"/>
        </w:rPr>
        <w:t>s</w:t>
      </w:r>
      <w:r w:rsidRPr="005669D1">
        <w:rPr>
          <w:rFonts w:cs="TimesNewRomanPS-ItalicMT"/>
          <w:iCs/>
          <w:color w:val="000000" w:themeColor="text1"/>
          <w:szCs w:val="20"/>
        </w:rPr>
        <w:t>tanowisk</w:t>
      </w:r>
      <w:r w:rsidR="00F6634A" w:rsidRPr="005669D1">
        <w:rPr>
          <w:rFonts w:cs="TimesNewRomanPS-ItalicMT"/>
          <w:iCs/>
          <w:color w:val="000000" w:themeColor="text1"/>
          <w:szCs w:val="20"/>
        </w:rPr>
        <w:t>u</w:t>
      </w:r>
      <w:r w:rsidRPr="005669D1">
        <w:rPr>
          <w:rFonts w:cs="TimesNewRomanPS-ItalicMT"/>
          <w:iCs/>
          <w:color w:val="000000" w:themeColor="text1"/>
          <w:szCs w:val="20"/>
        </w:rPr>
        <w:t xml:space="preserve"> postojow</w:t>
      </w:r>
      <w:r w:rsidR="00F6634A" w:rsidRPr="005669D1">
        <w:rPr>
          <w:rFonts w:cs="TimesNewRomanPS-ItalicMT"/>
          <w:iCs/>
          <w:color w:val="000000" w:themeColor="text1"/>
          <w:szCs w:val="20"/>
        </w:rPr>
        <w:t>ym</w:t>
      </w:r>
      <w:r w:rsidRPr="005669D1">
        <w:rPr>
          <w:rFonts w:cs="TimesNewRomanPS-ItalicMT"/>
          <w:iCs/>
          <w:color w:val="000000" w:themeColor="text1"/>
          <w:szCs w:val="20"/>
        </w:rPr>
        <w:t xml:space="preserve"> statku powietrznego wyposażon</w:t>
      </w:r>
      <w:r w:rsidR="00F6634A" w:rsidRPr="005669D1">
        <w:rPr>
          <w:rFonts w:cs="TimesNewRomanPS-ItalicMT"/>
          <w:iCs/>
          <w:color w:val="000000" w:themeColor="text1"/>
          <w:szCs w:val="20"/>
        </w:rPr>
        <w:t>ym</w:t>
      </w:r>
      <w:r w:rsidRPr="005669D1">
        <w:rPr>
          <w:rFonts w:cs="TimesNewRomanPS-ItalicMT"/>
          <w:iCs/>
          <w:color w:val="000000" w:themeColor="text1"/>
          <w:szCs w:val="20"/>
        </w:rPr>
        <w:t xml:space="preserve"> we wzrokowy system dokowania </w:t>
      </w:r>
      <w:r w:rsidR="002D35C4" w:rsidRPr="005669D1">
        <w:rPr>
          <w:rFonts w:cs="TimesNewRomanPS-ItalicMT"/>
          <w:iCs/>
          <w:color w:val="000000" w:themeColor="text1"/>
          <w:szCs w:val="20"/>
        </w:rPr>
        <w:t>może być stosowana</w:t>
      </w:r>
      <w:r w:rsidRPr="005669D1">
        <w:rPr>
          <w:rFonts w:cs="TimesNewRomanPS-ItalicMT"/>
          <w:iCs/>
          <w:color w:val="000000" w:themeColor="text1"/>
          <w:szCs w:val="20"/>
        </w:rPr>
        <w:t xml:space="preserve"> minimaln</w:t>
      </w:r>
      <w:r w:rsidR="002D35C4" w:rsidRPr="005669D1">
        <w:rPr>
          <w:rFonts w:cs="TimesNewRomanPS-ItalicMT"/>
          <w:iCs/>
          <w:color w:val="000000" w:themeColor="text1"/>
          <w:szCs w:val="20"/>
        </w:rPr>
        <w:t>a</w:t>
      </w:r>
      <w:r w:rsidR="00F6634A" w:rsidRPr="005669D1">
        <w:rPr>
          <w:rFonts w:cs="TimesNewRomanPS-ItalicMT"/>
          <w:iCs/>
          <w:color w:val="000000" w:themeColor="text1"/>
          <w:szCs w:val="20"/>
        </w:rPr>
        <w:t xml:space="preserve"> odległość 4.5 </w:t>
      </w:r>
      <w:r w:rsidRPr="005669D1">
        <w:rPr>
          <w:rFonts w:cs="TimesNewRomanPS-ItalicMT"/>
          <w:iCs/>
          <w:color w:val="000000" w:themeColor="text1"/>
          <w:szCs w:val="20"/>
        </w:rPr>
        <w:t xml:space="preserve">m pomiędzy statkiem powietrznym </w:t>
      </w:r>
      <w:r w:rsidR="008C7EC3" w:rsidRPr="005669D1">
        <w:rPr>
          <w:rFonts w:cs="TimesNewRomanPS-ItalicMT"/>
          <w:iCs/>
          <w:color w:val="000000" w:themeColor="text1"/>
          <w:szCs w:val="20"/>
        </w:rPr>
        <w:t xml:space="preserve">wjeżdżającym </w:t>
      </w:r>
      <w:r w:rsidR="002D35C4" w:rsidRPr="005669D1">
        <w:rPr>
          <w:rFonts w:cs="TimesNewRomanPS-ItalicMT"/>
          <w:iCs/>
          <w:color w:val="000000" w:themeColor="text1"/>
          <w:szCs w:val="20"/>
        </w:rPr>
        <w:t xml:space="preserve">lub wyjeżdżającym </w:t>
      </w:r>
      <w:r w:rsidR="008C7EC3" w:rsidRPr="005669D1">
        <w:rPr>
          <w:rFonts w:cs="TimesNewRomanPS-ItalicMT"/>
          <w:iCs/>
          <w:color w:val="000000" w:themeColor="text1"/>
          <w:szCs w:val="20"/>
        </w:rPr>
        <w:t>z danego stanowiska a </w:t>
      </w:r>
      <w:r w:rsidRPr="005669D1">
        <w:rPr>
          <w:rFonts w:cs="TimesNewRomanPS-ItalicMT"/>
          <w:iCs/>
          <w:color w:val="000000" w:themeColor="text1"/>
          <w:szCs w:val="20"/>
        </w:rPr>
        <w:t>jakimkolwiek sąsiednim budynkiem, statkiem powietrznym na innym stanowisku lub innymi obiektami.</w:t>
      </w:r>
    </w:p>
    <w:p w14:paraId="539DA38E" w14:textId="013E94EA" w:rsidR="002D35C4" w:rsidRPr="005669D1" w:rsidRDefault="002D35C4" w:rsidP="00B06A9A">
      <w:pPr>
        <w:tabs>
          <w:tab w:val="left" w:pos="1134"/>
        </w:tabs>
        <w:autoSpaceDE w:val="0"/>
        <w:autoSpaceDN w:val="0"/>
        <w:adjustRightInd w:val="0"/>
        <w:ind w:left="1134" w:hanging="567"/>
        <w:rPr>
          <w:rFonts w:cs="TimesNewRomanPS-ItalicMT"/>
          <w:iCs/>
          <w:color w:val="000000" w:themeColor="text1"/>
          <w:szCs w:val="20"/>
        </w:rPr>
      </w:pPr>
      <w:r w:rsidRPr="005669D1">
        <w:rPr>
          <w:rFonts w:cs="TimesNewRomanPS-ItalicMT"/>
          <w:iCs/>
          <w:color w:val="000000" w:themeColor="text1"/>
          <w:szCs w:val="20"/>
        </w:rPr>
        <w:t xml:space="preserve">(5) </w:t>
      </w:r>
      <w:r w:rsidRPr="005669D1">
        <w:rPr>
          <w:rFonts w:cs="TimesNewRomanPS-ItalicMT"/>
          <w:iCs/>
          <w:color w:val="000000" w:themeColor="text1"/>
          <w:szCs w:val="20"/>
        </w:rPr>
        <w:tab/>
        <w:t>W przypadku litery kodu C</w:t>
      </w:r>
      <w:r w:rsidR="004A2130" w:rsidRPr="005669D1">
        <w:rPr>
          <w:rFonts w:cs="TimesNewRomanPS-ItalicMT"/>
          <w:iCs/>
          <w:color w:val="000000" w:themeColor="text1"/>
          <w:szCs w:val="20"/>
        </w:rPr>
        <w:t>,</w:t>
      </w:r>
      <w:r w:rsidRPr="005669D1">
        <w:rPr>
          <w:rFonts w:cs="TimesNewRomanPS-ItalicMT"/>
          <w:iCs/>
          <w:color w:val="000000" w:themeColor="text1"/>
          <w:szCs w:val="20"/>
        </w:rPr>
        <w:t xml:space="preserve"> </w:t>
      </w:r>
      <w:r w:rsidR="004A2130" w:rsidRPr="005669D1">
        <w:rPr>
          <w:rFonts w:cs="TimesNewRomanPS-ItalicMT"/>
          <w:iCs/>
          <w:color w:val="000000" w:themeColor="text1"/>
          <w:szCs w:val="20"/>
        </w:rPr>
        <w:t xml:space="preserve">gdy </w:t>
      </w:r>
      <w:r w:rsidRPr="005669D1">
        <w:rPr>
          <w:rFonts w:cs="TimesNewRomanPS-ItalicMT"/>
          <w:iCs/>
          <w:color w:val="000000" w:themeColor="text1"/>
          <w:szCs w:val="20"/>
        </w:rPr>
        <w:t xml:space="preserve">stanowisko postojowe statku powietrznego wyposażone </w:t>
      </w:r>
      <w:r w:rsidR="004A2130" w:rsidRPr="005669D1">
        <w:rPr>
          <w:rFonts w:cs="TimesNewRomanPS-ItalicMT"/>
          <w:iCs/>
          <w:color w:val="000000" w:themeColor="text1"/>
          <w:szCs w:val="20"/>
        </w:rPr>
        <w:t xml:space="preserve">jest </w:t>
      </w:r>
      <w:r w:rsidRPr="005669D1">
        <w:rPr>
          <w:rFonts w:cs="TimesNewRomanPS-ItalicMT"/>
          <w:iCs/>
          <w:color w:val="000000" w:themeColor="text1"/>
          <w:szCs w:val="20"/>
        </w:rPr>
        <w:t>w</w:t>
      </w:r>
      <w:r w:rsidR="004A2130" w:rsidRPr="005669D1">
        <w:rPr>
          <w:rFonts w:cs="TimesNewRomanPS-ItalicMT"/>
          <w:iCs/>
          <w:color w:val="000000" w:themeColor="text1"/>
          <w:szCs w:val="20"/>
        </w:rPr>
        <w:t>e</w:t>
      </w:r>
      <w:r w:rsidRPr="005669D1">
        <w:rPr>
          <w:rFonts w:cs="TimesNewRomanPS-ItalicMT"/>
          <w:iCs/>
          <w:color w:val="000000" w:themeColor="text1"/>
          <w:szCs w:val="20"/>
        </w:rPr>
        <w:t xml:space="preserve"> wzrokowy system dokowania, może być zastosowany </w:t>
      </w:r>
      <w:r w:rsidR="004A2130" w:rsidRPr="005669D1">
        <w:rPr>
          <w:rFonts w:cs="TimesNewRomanPS-ItalicMT"/>
          <w:iCs/>
          <w:color w:val="000000" w:themeColor="text1"/>
          <w:szCs w:val="20"/>
        </w:rPr>
        <w:t xml:space="preserve">minimalny odstęp 3 m po </w:t>
      </w:r>
      <w:r w:rsidRPr="005669D1">
        <w:rPr>
          <w:rFonts w:cs="TimesNewRomanPS-ItalicMT"/>
          <w:iCs/>
          <w:color w:val="000000" w:themeColor="text1"/>
          <w:szCs w:val="20"/>
        </w:rPr>
        <w:t>między statkiem powietrznym w</w:t>
      </w:r>
      <w:r w:rsidR="004A2130" w:rsidRPr="005669D1">
        <w:rPr>
          <w:rFonts w:cs="TimesNewRomanPS-ItalicMT"/>
          <w:iCs/>
          <w:color w:val="000000" w:themeColor="text1"/>
          <w:szCs w:val="20"/>
        </w:rPr>
        <w:t xml:space="preserve">jeżdżającym na </w:t>
      </w:r>
      <w:r w:rsidRPr="005669D1">
        <w:rPr>
          <w:rFonts w:cs="TimesNewRomanPS-ItalicMT"/>
          <w:iCs/>
          <w:color w:val="000000" w:themeColor="text1"/>
          <w:szCs w:val="20"/>
        </w:rPr>
        <w:t xml:space="preserve">lub </w:t>
      </w:r>
      <w:r w:rsidR="004A2130" w:rsidRPr="005669D1">
        <w:rPr>
          <w:rFonts w:cs="TimesNewRomanPS-ItalicMT"/>
          <w:iCs/>
          <w:color w:val="000000" w:themeColor="text1"/>
          <w:szCs w:val="20"/>
        </w:rPr>
        <w:t>wyjeżdżającym ze stanowiska postojowego a</w:t>
      </w:r>
      <w:r w:rsidRPr="005669D1">
        <w:rPr>
          <w:rFonts w:cs="TimesNewRomanPS-ItalicMT"/>
          <w:iCs/>
          <w:color w:val="000000" w:themeColor="text1"/>
          <w:szCs w:val="20"/>
        </w:rPr>
        <w:t xml:space="preserve"> sąsiednim budynkiem, statkiem powietrznym na innym stanowisku lub innym </w:t>
      </w:r>
      <w:r w:rsidR="008C7EC3" w:rsidRPr="005669D1">
        <w:rPr>
          <w:rFonts w:cs="TimesNewRomanPS-ItalicMT"/>
          <w:iCs/>
          <w:color w:val="000000" w:themeColor="text1"/>
          <w:szCs w:val="20"/>
        </w:rPr>
        <w:t>obiektem</w:t>
      </w:r>
      <w:r w:rsidRPr="005669D1">
        <w:rPr>
          <w:rFonts w:cs="TimesNewRomanPS-ItalicMT"/>
          <w:iCs/>
          <w:color w:val="000000" w:themeColor="text1"/>
          <w:szCs w:val="20"/>
        </w:rPr>
        <w:t>, jeżeli ocena bezpieczeństwa wykaże, że takie zmniejszenie nie wpłyn</w:t>
      </w:r>
      <w:r w:rsidR="004A2130" w:rsidRPr="005669D1">
        <w:rPr>
          <w:rFonts w:cs="TimesNewRomanPS-ItalicMT"/>
          <w:iCs/>
          <w:color w:val="000000" w:themeColor="text1"/>
          <w:szCs w:val="20"/>
        </w:rPr>
        <w:t>ie</w:t>
      </w:r>
      <w:r w:rsidRPr="005669D1">
        <w:rPr>
          <w:rFonts w:cs="TimesNewRomanPS-ItalicMT"/>
          <w:iCs/>
          <w:color w:val="000000" w:themeColor="text1"/>
          <w:szCs w:val="20"/>
        </w:rPr>
        <w:t xml:space="preserve"> na bezpieczeństwo operacji statków powietrznych</w:t>
      </w:r>
      <w:r w:rsidR="004A2130" w:rsidRPr="005669D1">
        <w:rPr>
          <w:rFonts w:cs="TimesNewRomanPS-ItalicMT"/>
          <w:iCs/>
          <w:color w:val="000000" w:themeColor="text1"/>
          <w:szCs w:val="20"/>
        </w:rPr>
        <w:t>.</w:t>
      </w:r>
    </w:p>
    <w:p w14:paraId="337A180C" w14:textId="66B2A42D" w:rsidR="00F96626" w:rsidRPr="009E064B" w:rsidRDefault="00F96626" w:rsidP="00B06A9A">
      <w:pPr>
        <w:tabs>
          <w:tab w:val="left" w:pos="567"/>
        </w:tabs>
        <w:autoSpaceDE w:val="0"/>
        <w:autoSpaceDN w:val="0"/>
        <w:adjustRightInd w:val="0"/>
        <w:ind w:left="567" w:hanging="567"/>
        <w:rPr>
          <w:rFonts w:eastAsia="Verdana" w:cs="Verdana"/>
          <w:bCs/>
          <w:spacing w:val="-1"/>
          <w:szCs w:val="20"/>
        </w:rPr>
      </w:pPr>
      <w:r w:rsidRPr="005669D1">
        <w:rPr>
          <w:rFonts w:eastAsia="Verdana" w:cs="Verdana"/>
          <w:bCs/>
          <w:color w:val="000000" w:themeColor="text1"/>
          <w:spacing w:val="-1"/>
          <w:szCs w:val="20"/>
        </w:rPr>
        <w:t>(c)</w:t>
      </w:r>
      <w:r w:rsidRPr="005669D1">
        <w:rPr>
          <w:rFonts w:eastAsia="Verdana" w:cs="Verdana"/>
          <w:bCs/>
          <w:color w:val="000000" w:themeColor="text1"/>
          <w:spacing w:val="-1"/>
          <w:szCs w:val="20"/>
        </w:rPr>
        <w:tab/>
        <w:t>Każdy statek powietrzny przejeżdżający z tyłu statku powietrznego zaparkowanego na stanowisku postojowym powinien zachować wymagane odległości bezpieczeństwa określone w </w:t>
      </w:r>
      <w:r w:rsidR="00F36957" w:rsidRPr="005669D1">
        <w:rPr>
          <w:rFonts w:eastAsia="Verdana" w:cs="Verdana"/>
          <w:bCs/>
          <w:color w:val="000000" w:themeColor="text1"/>
          <w:spacing w:val="-1"/>
          <w:szCs w:val="20"/>
        </w:rPr>
        <w:t>Tabeli</w:t>
      </w:r>
      <w:r w:rsidRPr="005669D1">
        <w:rPr>
          <w:rFonts w:eastAsia="Verdana" w:cs="Verdana"/>
          <w:bCs/>
          <w:color w:val="000000" w:themeColor="text1"/>
          <w:spacing w:val="-1"/>
          <w:szCs w:val="20"/>
        </w:rPr>
        <w:t xml:space="preserve"> D-1.</w:t>
      </w:r>
    </w:p>
    <w:p w14:paraId="6DF95DE5" w14:textId="335F8111" w:rsidR="00F96626" w:rsidRPr="005669D1" w:rsidRDefault="00F96626" w:rsidP="006C24CC">
      <w:pPr>
        <w:pStyle w:val="Tekstpodstawowy"/>
        <w:spacing w:before="120" w:after="0"/>
        <w:ind w:hanging="20"/>
        <w:rPr>
          <w:rFonts w:asciiTheme="minorHAnsi" w:hAnsiTheme="minorHAnsi" w:cstheme="minorHAnsi"/>
          <w:i/>
          <w:color w:val="000000" w:themeColor="text1"/>
          <w:sz w:val="16"/>
          <w:szCs w:val="16"/>
        </w:rPr>
      </w:pPr>
      <w:r w:rsidRPr="009E064B">
        <w:rPr>
          <w:rFonts w:asciiTheme="minorHAnsi" w:hAnsiTheme="minorHAnsi" w:cstheme="minorHAnsi"/>
          <w:i/>
          <w:sz w:val="16"/>
          <w:szCs w:val="16"/>
        </w:rPr>
        <w:t>[Wydanie: ADR-</w:t>
      </w:r>
      <w:r w:rsidRPr="005669D1">
        <w:rPr>
          <w:rFonts w:asciiTheme="minorHAnsi" w:hAnsiTheme="minorHAnsi" w:cstheme="minorHAnsi"/>
          <w:i/>
          <w:color w:val="000000" w:themeColor="text1"/>
          <w:sz w:val="16"/>
          <w:szCs w:val="16"/>
        </w:rPr>
        <w:t>DSN/3]</w:t>
      </w:r>
    </w:p>
    <w:p w14:paraId="571E8281" w14:textId="524523A4" w:rsidR="00C36D76" w:rsidRPr="005669D1" w:rsidRDefault="00EB4908" w:rsidP="008C7EC3">
      <w:pPr>
        <w:pStyle w:val="Tekstpodstawowy"/>
        <w:ind w:left="23" w:hanging="23"/>
        <w:rPr>
          <w:rFonts w:cs="TimesNewRomanPS-ItalicMT"/>
          <w:iCs/>
          <w:color w:val="000000" w:themeColor="text1"/>
          <w:szCs w:val="20"/>
        </w:rPr>
      </w:pPr>
      <w:r w:rsidRPr="005669D1">
        <w:rPr>
          <w:rFonts w:asciiTheme="minorHAnsi" w:hAnsiTheme="minorHAnsi" w:cstheme="minorHAnsi"/>
          <w:i/>
          <w:color w:val="000000" w:themeColor="text1"/>
          <w:sz w:val="16"/>
          <w:szCs w:val="16"/>
        </w:rPr>
        <w:t xml:space="preserve">[Wydanie: ADR-DSN/4]  </w:t>
      </w:r>
    </w:p>
    <w:p w14:paraId="48816987" w14:textId="77777777" w:rsidR="00C36D76" w:rsidRPr="009E064B" w:rsidRDefault="00C36D76" w:rsidP="00B06A9A">
      <w:pPr>
        <w:pStyle w:val="Akapitzlist"/>
        <w:widowControl/>
        <w:numPr>
          <w:ilvl w:val="0"/>
          <w:numId w:val="11"/>
        </w:numPr>
        <w:autoSpaceDE w:val="0"/>
        <w:autoSpaceDN w:val="0"/>
        <w:adjustRightInd w:val="0"/>
        <w:ind w:left="1418" w:hanging="425"/>
        <w:rPr>
          <w:rFonts w:cs="TimesNewRomanPS-ItalicMT"/>
          <w:iCs/>
          <w:szCs w:val="20"/>
        </w:rPr>
        <w:sectPr w:rsidR="00C36D76" w:rsidRPr="009E064B" w:rsidSect="00AE1280">
          <w:headerReference w:type="default" r:id="rId123"/>
          <w:headerReference w:type="first" r:id="rId124"/>
          <w:pgSz w:w="11906" w:h="16840" w:code="9"/>
          <w:pgMar w:top="1701" w:right="1418" w:bottom="1418" w:left="1418" w:header="567" w:footer="454" w:gutter="0"/>
          <w:cols w:space="708"/>
          <w:titlePg/>
          <w:docGrid w:linePitch="360"/>
        </w:sectPr>
      </w:pPr>
    </w:p>
    <w:p w14:paraId="27BA31A4" w14:textId="77777777" w:rsidR="00C36D76" w:rsidRPr="009E064B" w:rsidRDefault="00C36D76" w:rsidP="00B06A9A">
      <w:pPr>
        <w:rPr>
          <w:rFonts w:cs="TimesNewRomanPS-BoldMT"/>
          <w:bCs/>
          <w:szCs w:val="20"/>
        </w:rPr>
      </w:pPr>
    </w:p>
    <w:p w14:paraId="2D0F3300" w14:textId="40994A24" w:rsidR="00C36D76" w:rsidRPr="009E064B" w:rsidRDefault="00C36D76" w:rsidP="00020EA3">
      <w:pPr>
        <w:pStyle w:val="Nagwek2"/>
      </w:pPr>
      <w:bookmarkStart w:id="1159" w:name="_Toc382725608"/>
      <w:bookmarkStart w:id="1160" w:name="_Toc482886607"/>
      <w:bookmarkStart w:id="1161" w:name="_Toc12533060"/>
      <w:r w:rsidRPr="009E064B">
        <w:t xml:space="preserve">ROZDZIAŁ F </w:t>
      </w:r>
      <w:r w:rsidR="008441EB" w:rsidRPr="009E064B">
        <w:t xml:space="preserve">— </w:t>
      </w:r>
      <w:r w:rsidRPr="009E064B">
        <w:t>ODIZOLOWANE STANOWISKO POSTOJU STATKU POWIETRZNEGO</w:t>
      </w:r>
      <w:bookmarkEnd w:id="1159"/>
      <w:bookmarkEnd w:id="1160"/>
      <w:bookmarkEnd w:id="1161"/>
    </w:p>
    <w:p w14:paraId="3B245959" w14:textId="77777777" w:rsidR="00C36D76" w:rsidRPr="009E064B" w:rsidRDefault="00C36D76" w:rsidP="00B06A9A">
      <w:pPr>
        <w:rPr>
          <w:rFonts w:cs="TimesNewRomanPS-BoldMT"/>
          <w:bCs/>
          <w:szCs w:val="20"/>
        </w:rPr>
      </w:pPr>
    </w:p>
    <w:p w14:paraId="04F0C39A" w14:textId="1B03DAC4" w:rsidR="00C36D76" w:rsidRPr="009E064B" w:rsidRDefault="00F96626" w:rsidP="00B06A9A">
      <w:pPr>
        <w:pStyle w:val="Nagwek4"/>
        <w:rPr>
          <w:color w:val="auto"/>
        </w:rPr>
      </w:pPr>
      <w:bookmarkStart w:id="1162" w:name="_Toc482886608"/>
      <w:bookmarkStart w:id="1163" w:name="_Toc12533061"/>
      <w:r w:rsidRPr="009E064B">
        <w:rPr>
          <w:color w:val="auto"/>
        </w:rPr>
        <w:t xml:space="preserve">CS ADR-DSN.F.370     </w:t>
      </w:r>
      <w:r w:rsidR="00C36D76" w:rsidRPr="009E064B">
        <w:rPr>
          <w:color w:val="auto"/>
        </w:rPr>
        <w:t>Odizolowane stanowisko postoju statku powietrznego</w:t>
      </w:r>
      <w:bookmarkEnd w:id="1162"/>
      <w:bookmarkEnd w:id="1163"/>
    </w:p>
    <w:p w14:paraId="62243F07" w14:textId="27E9EA16"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238C9E33" w14:textId="7CDF3872" w:rsidR="00C36D76" w:rsidRPr="009E064B" w:rsidRDefault="00C36D76" w:rsidP="007D3E5B">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odizolowanego stanowiska postoju statku powietrznego jest zapewnienie bezpiecznej odległości pomiędzy statkiem powietrznym, który wymaga odizolowania od innej działalności lotniska.</w:t>
      </w:r>
    </w:p>
    <w:p w14:paraId="649DD2CA" w14:textId="1F7C0980"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009B0A08" w:rsidRPr="009E064B">
        <w:rPr>
          <w:rFonts w:cs="TimesNewRomanPS-BoldItalicMT"/>
          <w:bCs/>
          <w:iCs/>
          <w:szCs w:val="20"/>
        </w:rPr>
        <w:t>Wymagania</w:t>
      </w:r>
      <w:r w:rsidR="009B0A08" w:rsidRPr="009E064B">
        <w:rPr>
          <w:rFonts w:cs="TimesNewRomanPS-ItalicMT"/>
          <w:iCs/>
          <w:szCs w:val="20"/>
        </w:rPr>
        <w:t xml:space="preserve"> </w:t>
      </w:r>
      <w:r w:rsidRPr="009E064B">
        <w:rPr>
          <w:rFonts w:cs="TimesNewRomanPS-ItalicMT"/>
          <w:iCs/>
          <w:szCs w:val="20"/>
        </w:rPr>
        <w:t>ogólne</w:t>
      </w:r>
    </w:p>
    <w:p w14:paraId="15AC7C25"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Odizolowane stanowisko postoju statku powietrznego powinno być wyznaczone przez zarządzającego lotniskiem dla ustawienia statku powietrznego, który wymaga odizolowania od normalnej działalności lotniska.</w:t>
      </w:r>
    </w:p>
    <w:p w14:paraId="152350B1"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t>Lokalizacja</w:t>
      </w:r>
    </w:p>
    <w:p w14:paraId="06DB4117" w14:textId="77777777" w:rsidR="00C36D76" w:rsidRPr="009E064B" w:rsidRDefault="00C36D76" w:rsidP="00B06A9A">
      <w:pPr>
        <w:pStyle w:val="Akapitzlist"/>
        <w:autoSpaceDE w:val="0"/>
        <w:autoSpaceDN w:val="0"/>
        <w:adjustRightInd w:val="0"/>
        <w:ind w:left="567"/>
        <w:rPr>
          <w:rFonts w:cs="TimesNewRomanPS-ItalicMT"/>
          <w:iCs/>
          <w:szCs w:val="20"/>
        </w:rPr>
      </w:pPr>
      <w:r w:rsidRPr="009E064B">
        <w:rPr>
          <w:rFonts w:cs="TimesNewRomanPS-ItalicMT"/>
          <w:iCs/>
          <w:szCs w:val="20"/>
        </w:rPr>
        <w:t>Odizolowane stanowisko postoju statku powietrznego powinno być zlokalizowane, tak daleko jak to jest praktycznie możliwe, jednak nie bliżej niż 100 m od innych stanowisk postojowych, budynków lub stref dostępnych publicznie, itp.</w:t>
      </w:r>
    </w:p>
    <w:p w14:paraId="140A69CE" w14:textId="26D88273" w:rsidR="00F96626" w:rsidRPr="009E064B" w:rsidRDefault="00F96626" w:rsidP="00133B99">
      <w:pPr>
        <w:pStyle w:val="Nagwek6"/>
      </w:pPr>
      <w:bookmarkStart w:id="1164" w:name="_Toc401058966"/>
      <w:bookmarkStart w:id="1165" w:name="_Toc482886832"/>
      <w:bookmarkStart w:id="1166" w:name="_Toc12533062"/>
      <w:r w:rsidRPr="009E064B">
        <w:t xml:space="preserve">GM1 ADR-DSN.F.370 </w:t>
      </w:r>
      <w:r w:rsidRPr="009E064B">
        <w:tab/>
        <w:t xml:space="preserve">    Odizolowane stanowisko postoju statku powietrznego</w:t>
      </w:r>
      <w:bookmarkEnd w:id="1164"/>
      <w:bookmarkEnd w:id="1165"/>
      <w:bookmarkEnd w:id="1166"/>
    </w:p>
    <w:p w14:paraId="50A3055C" w14:textId="31750753"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E89CCF7" w14:textId="77777777" w:rsidR="00F96626" w:rsidRPr="009E064B" w:rsidRDefault="00F96626" w:rsidP="00B06A9A">
      <w:pPr>
        <w:autoSpaceDE w:val="0"/>
        <w:autoSpaceDN w:val="0"/>
        <w:adjustRightInd w:val="0"/>
        <w:rPr>
          <w:rFonts w:cs="Times New Roman"/>
          <w:szCs w:val="20"/>
        </w:rPr>
      </w:pPr>
      <w:r w:rsidRPr="009E064B">
        <w:rPr>
          <w:rFonts w:eastAsia="Times New Roman,Italic" w:cs="Times New Roman,Italic"/>
          <w:iCs/>
          <w:szCs w:val="20"/>
        </w:rPr>
        <w:t xml:space="preserve">Należy zwracać uwagę, aby odizolowane stanowisko </w:t>
      </w:r>
      <w:r w:rsidRPr="009E064B">
        <w:t>postoju statku powietrznego</w:t>
      </w:r>
      <w:r w:rsidRPr="009E064B">
        <w:rPr>
          <w:rFonts w:eastAsia="Times New Roman,Italic" w:cs="Times New Roman,Italic"/>
          <w:iCs/>
          <w:szCs w:val="20"/>
        </w:rPr>
        <w:t xml:space="preserve"> nie było umieszczone nad instalacjami podziemnymi, takimi jak instalacje gazowe czy instalacje dystrybucji paliwa lotniczego, i jeśli to możliwe, nad kablami energetycznymi lub kablami telekomunikacyjnymi. Wieża</w:t>
      </w:r>
      <w:r w:rsidRPr="009E064B">
        <w:rPr>
          <w:rFonts w:cs="Times New Roman"/>
          <w:szCs w:val="20"/>
        </w:rPr>
        <w:t xml:space="preserve"> kontroli lotniska powinna być poinformowana o wyznaczonym obszarze lub obszarach nadających się do takiego postoju statku powietrznego.</w:t>
      </w:r>
    </w:p>
    <w:p w14:paraId="3789045C" w14:textId="77777777" w:rsidR="00F96626" w:rsidRPr="009E064B" w:rsidRDefault="00F96626" w:rsidP="00B06A9A">
      <w:pPr>
        <w:pStyle w:val="Akapitzlist"/>
        <w:autoSpaceDE w:val="0"/>
        <w:autoSpaceDN w:val="0"/>
        <w:adjustRightInd w:val="0"/>
        <w:ind w:left="567"/>
        <w:rPr>
          <w:rFonts w:cs="TimesNewRomanPS-ItalicMT"/>
          <w:iCs/>
          <w:szCs w:val="20"/>
        </w:rPr>
      </w:pPr>
    </w:p>
    <w:p w14:paraId="262DBAA2" w14:textId="77777777" w:rsidR="00C36D76" w:rsidRPr="009E064B" w:rsidRDefault="00C36D76" w:rsidP="00B06A9A">
      <w:pPr>
        <w:pStyle w:val="Akapitzlist"/>
        <w:autoSpaceDE w:val="0"/>
        <w:autoSpaceDN w:val="0"/>
        <w:adjustRightInd w:val="0"/>
        <w:ind w:left="567"/>
        <w:rPr>
          <w:rFonts w:cs="TimesNewRomanPS-ItalicMT"/>
          <w:iCs/>
          <w:szCs w:val="20"/>
        </w:rPr>
      </w:pPr>
    </w:p>
    <w:p w14:paraId="435DB28A" w14:textId="77777777" w:rsidR="00C36D76" w:rsidRPr="009E064B" w:rsidRDefault="00C36D76" w:rsidP="00B06A9A">
      <w:pPr>
        <w:pStyle w:val="Akapitzlist"/>
        <w:autoSpaceDE w:val="0"/>
        <w:autoSpaceDN w:val="0"/>
        <w:adjustRightInd w:val="0"/>
        <w:ind w:left="567"/>
        <w:rPr>
          <w:rFonts w:cs="TimesNewRomanPS-ItalicMT"/>
          <w:iCs/>
          <w:szCs w:val="20"/>
        </w:rPr>
        <w:sectPr w:rsidR="00C36D76" w:rsidRPr="009E064B" w:rsidSect="00AE1280">
          <w:headerReference w:type="default" r:id="rId125"/>
          <w:headerReference w:type="first" r:id="rId126"/>
          <w:pgSz w:w="11906" w:h="16840" w:code="9"/>
          <w:pgMar w:top="1701" w:right="1417" w:bottom="1418" w:left="1418" w:header="567" w:footer="454" w:gutter="0"/>
          <w:cols w:space="708"/>
          <w:titlePg/>
          <w:docGrid w:linePitch="360"/>
        </w:sectPr>
      </w:pPr>
    </w:p>
    <w:p w14:paraId="7C97423A" w14:textId="77777777" w:rsidR="00C36D76" w:rsidRPr="009E064B" w:rsidRDefault="00C36D76" w:rsidP="00B06A9A">
      <w:pPr>
        <w:spacing w:after="0"/>
        <w:rPr>
          <w:rFonts w:cs="TimesNewRomanPS-BoldMT"/>
          <w:bCs/>
          <w:szCs w:val="20"/>
        </w:rPr>
      </w:pPr>
    </w:p>
    <w:p w14:paraId="51D4B310" w14:textId="5F6AD6F4" w:rsidR="00C36D76" w:rsidRPr="009E064B" w:rsidRDefault="00C36D76" w:rsidP="00020EA3">
      <w:pPr>
        <w:pStyle w:val="Nagwek2"/>
      </w:pPr>
      <w:bookmarkStart w:id="1167" w:name="_Toc382725609"/>
      <w:bookmarkStart w:id="1168" w:name="_Toc482886609"/>
      <w:bookmarkStart w:id="1169" w:name="_Toc12533063"/>
      <w:r w:rsidRPr="009E064B">
        <w:t xml:space="preserve">ROZDZIAŁ G </w:t>
      </w:r>
      <w:r w:rsidR="00540AEF" w:rsidRPr="009E064B">
        <w:t>— STANOWISKO DO ODLADZANIA /</w:t>
      </w:r>
      <w:r w:rsidR="00540AEF" w:rsidRPr="009E064B">
        <w:br/>
      </w:r>
      <w:r w:rsidRPr="009E064B">
        <w:t>PRZECIWDZIAŁANIA OBLODZENIU</w:t>
      </w:r>
      <w:bookmarkEnd w:id="1167"/>
      <w:bookmarkEnd w:id="1168"/>
      <w:bookmarkEnd w:id="1169"/>
    </w:p>
    <w:p w14:paraId="67E660B9" w14:textId="77777777" w:rsidR="00C36D76" w:rsidRPr="009E064B" w:rsidRDefault="00C36D76" w:rsidP="00B06A9A">
      <w:pPr>
        <w:spacing w:after="0"/>
        <w:rPr>
          <w:rFonts w:cs="TimesNewRomanPS-BoldMT"/>
          <w:bCs/>
          <w:szCs w:val="20"/>
        </w:rPr>
      </w:pPr>
    </w:p>
    <w:p w14:paraId="50411B6D" w14:textId="35884772" w:rsidR="00C36D76" w:rsidRPr="009E064B" w:rsidRDefault="007D3E5B" w:rsidP="00B06A9A">
      <w:pPr>
        <w:pStyle w:val="Nagwek4"/>
        <w:rPr>
          <w:color w:val="auto"/>
        </w:rPr>
      </w:pPr>
      <w:bookmarkStart w:id="1170" w:name="_Toc482886610"/>
      <w:bookmarkStart w:id="1171" w:name="_Toc12533064"/>
      <w:r w:rsidRPr="009E064B">
        <w:rPr>
          <w:color w:val="auto"/>
        </w:rPr>
        <w:t xml:space="preserve">CS ADR-DSN.G.375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170"/>
      <w:bookmarkEnd w:id="1171"/>
    </w:p>
    <w:p w14:paraId="1C7E5656" w14:textId="33DB4EB4"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CC5F272" w14:textId="1C06D091" w:rsidR="00C36D76" w:rsidRPr="009E064B" w:rsidRDefault="00C36D76" w:rsidP="00B06A9A">
      <w:pPr>
        <w:autoSpaceDE w:val="0"/>
        <w:autoSpaceDN w:val="0"/>
        <w:adjustRightInd w:val="0"/>
        <w:rPr>
          <w:szCs w:val="20"/>
        </w:rPr>
      </w:pPr>
      <w:r w:rsidRPr="009E064B">
        <w:rPr>
          <w:rFonts w:cs="TimesNewRomanPS-ItalicMT"/>
          <w:iCs/>
          <w:szCs w:val="20"/>
        </w:rPr>
        <w:t>Stanowiska do odladzania</w:t>
      </w:r>
      <w:r w:rsidR="000E706F" w:rsidRPr="009E064B">
        <w:rPr>
          <w:rFonts w:cs="TimesNewRomanPS-ItalicMT"/>
          <w:iCs/>
          <w:szCs w:val="20"/>
        </w:rPr>
        <w:t> </w:t>
      </w:r>
      <w:r w:rsidRPr="009E064B">
        <w:rPr>
          <w:rFonts w:cs="TimesNewRomanPS-ItalicMT"/>
          <w:iCs/>
          <w:szCs w:val="20"/>
        </w:rPr>
        <w:t>/</w:t>
      </w:r>
      <w:r w:rsidR="000E706F" w:rsidRPr="009E064B">
        <w:rPr>
          <w:rFonts w:cs="TimesNewRomanPS-ItalicMT"/>
          <w:iCs/>
          <w:szCs w:val="20"/>
        </w:rPr>
        <w:t> </w:t>
      </w:r>
      <w:r w:rsidRPr="009E064B">
        <w:rPr>
          <w:rFonts w:cs="TimesNewRomanPS-ItalicMT"/>
          <w:iCs/>
          <w:szCs w:val="20"/>
        </w:rPr>
        <w:t>przeciwdziałania oblodzeniu statków powietrznych powinny być dostępne na lotniskach, gdzie może wystąpić oblodzenie.</w:t>
      </w:r>
    </w:p>
    <w:p w14:paraId="00F2F50E" w14:textId="377EEAE4" w:rsidR="00F96626" w:rsidRPr="009E064B" w:rsidRDefault="007D3E5B" w:rsidP="00133B99">
      <w:pPr>
        <w:pStyle w:val="Nagwek6"/>
      </w:pPr>
      <w:bookmarkStart w:id="1172" w:name="_Toc401058968"/>
      <w:bookmarkStart w:id="1173" w:name="_Toc482886834"/>
      <w:bookmarkStart w:id="1174" w:name="_Toc12533065"/>
      <w:bookmarkStart w:id="1175" w:name="_Toc482886611"/>
      <w:r w:rsidRPr="009E064B">
        <w:t xml:space="preserve">GM1 ADR-DSN.G.375     </w:t>
      </w:r>
      <w:r w:rsidR="009B0A08" w:rsidRPr="009E064B">
        <w:rPr>
          <w:rFonts w:cs="TimesNewRomanPS-BoldItalicMT"/>
          <w:iCs/>
          <w:szCs w:val="20"/>
        </w:rPr>
        <w:t>Wymagania</w:t>
      </w:r>
      <w:r w:rsidR="009B0A08" w:rsidRPr="009E064B">
        <w:t xml:space="preserve"> </w:t>
      </w:r>
      <w:r w:rsidR="00F96626" w:rsidRPr="009E064B">
        <w:t>ogólne</w:t>
      </w:r>
      <w:bookmarkEnd w:id="1172"/>
      <w:bookmarkEnd w:id="1173"/>
      <w:bookmarkEnd w:id="1174"/>
    </w:p>
    <w:p w14:paraId="673CD0F2" w14:textId="57DAF2BA"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B765317" w14:textId="0EF6673A" w:rsidR="00F96626" w:rsidRPr="009E064B" w:rsidRDefault="00F96626" w:rsidP="00B06A9A">
      <w:pPr>
        <w:autoSpaceDE w:val="0"/>
        <w:autoSpaceDN w:val="0"/>
        <w:adjustRightInd w:val="0"/>
        <w:rPr>
          <w:szCs w:val="20"/>
        </w:rPr>
      </w:pPr>
      <w:r w:rsidRPr="009E064B">
        <w:rPr>
          <w:szCs w:val="20"/>
        </w:rPr>
        <w:t>Połączenie lodu, śniegu i</w:t>
      </w:r>
      <w:r w:rsidR="007D3E5B" w:rsidRPr="009E064B">
        <w:rPr>
          <w:szCs w:val="20"/>
        </w:rPr>
        <w:t> </w:t>
      </w:r>
      <w:r w:rsidRPr="009E064B">
        <w:rPr>
          <w:szCs w:val="20"/>
        </w:rPr>
        <w:t>/</w:t>
      </w:r>
      <w:r w:rsidR="007D3E5B" w:rsidRPr="009E064B">
        <w:rPr>
          <w:szCs w:val="20"/>
        </w:rPr>
        <w:t> </w:t>
      </w:r>
      <w:r w:rsidRPr="009E064B">
        <w:rPr>
          <w:szCs w:val="20"/>
        </w:rPr>
        <w:t>lub stojącej wody może, szczególnie kiedy pada deszcz, deszcz ze śniegiem lub śnieg, tworzyć substancje o ciężarach właściwych przekraczających 0.8. Substancje te, na skutek dużej zawartości wody</w:t>
      </w:r>
      <w:r w:rsidR="007D3E5B" w:rsidRPr="009E064B">
        <w:rPr>
          <w:szCs w:val="20"/>
        </w:rPr>
        <w:t> / </w:t>
      </w:r>
      <w:r w:rsidRPr="009E064B">
        <w:rPr>
          <w:szCs w:val="20"/>
        </w:rPr>
        <w:t>lodu powinny posiadać przezroczysty a nie mętny wygląd, a przy wyższych ciężarach właściwych, powinny był łatwe do odróżnienia od topniejącego śniegu.</w:t>
      </w:r>
    </w:p>
    <w:p w14:paraId="200AA03B" w14:textId="603B9009" w:rsidR="00C36D76" w:rsidRPr="009E064B" w:rsidRDefault="006A2419" w:rsidP="00B06A9A">
      <w:pPr>
        <w:pStyle w:val="Nagwek4"/>
        <w:rPr>
          <w:color w:val="auto"/>
        </w:rPr>
      </w:pPr>
      <w:bookmarkStart w:id="1176" w:name="_Toc12533066"/>
      <w:r w:rsidRPr="009E064B">
        <w:rPr>
          <w:color w:val="auto"/>
        </w:rPr>
        <w:t xml:space="preserve">CS ADR-DSN.G.380     </w:t>
      </w:r>
      <w:r w:rsidR="00C36D76" w:rsidRPr="009E064B">
        <w:rPr>
          <w:color w:val="auto"/>
        </w:rPr>
        <w:t>Lokalizacja</w:t>
      </w:r>
      <w:bookmarkEnd w:id="1175"/>
      <w:bookmarkEnd w:id="1176"/>
    </w:p>
    <w:p w14:paraId="4679C7ED" w14:textId="71815EBC"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2B1BCD1" w14:textId="48F7A9FC" w:rsidR="00C36D76" w:rsidRPr="009E064B" w:rsidRDefault="007D3E5B" w:rsidP="007D3E5B">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 </w:t>
      </w:r>
      <w:r w:rsidR="00C36D76" w:rsidRPr="009E064B">
        <w:rPr>
          <w:rFonts w:cs="Times New Roman"/>
          <w:szCs w:val="20"/>
        </w:rPr>
        <w:t xml:space="preserve">(a) </w:t>
      </w:r>
      <w:r w:rsidR="00C36D76" w:rsidRPr="009E064B">
        <w:rPr>
          <w:rFonts w:cs="Times New Roman"/>
          <w:szCs w:val="20"/>
        </w:rPr>
        <w:tab/>
      </w:r>
      <w:r w:rsidR="00C36D76" w:rsidRPr="009E064B">
        <w:rPr>
          <w:rFonts w:cs="TimesNewRomanPS-ItalicMT"/>
          <w:iCs/>
          <w:szCs w:val="20"/>
        </w:rPr>
        <w:t>Stanowiska do odladzania/przeciwdziałania oblodzeniu statków powietrznych powinny znajdować się, albo na miejscach postoju statku powietrznego, albo na wyznaczonych oddalonych obszarach.</w:t>
      </w:r>
    </w:p>
    <w:p w14:paraId="07A57F69"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Stanowiska do odladzania/przeciwdziałania oblodzeniu statków powietrznych powinny być zlokalizowane w taki sposób, aby nie naruszały powierzchni ograniczających przeszkody, nie zakłócały pracy radiowych pomocy nawigacyjnych oraz były wyraźnie widoczne z wieży kontroli lotniska, aby odladzany samolot mógł otrzymać zezwolenie na lot. </w:t>
      </w:r>
    </w:p>
    <w:p w14:paraId="73159EAE" w14:textId="77777777" w:rsidR="00F96626" w:rsidRPr="009E064B" w:rsidRDefault="00321BB4" w:rsidP="00133B99">
      <w:pPr>
        <w:pStyle w:val="Nagwek6"/>
      </w:pPr>
      <w:bookmarkStart w:id="1177" w:name="_Toc401058969"/>
      <w:bookmarkStart w:id="1178" w:name="_Toc482886835"/>
      <w:bookmarkStart w:id="1179" w:name="_Toc12533067"/>
      <w:bookmarkStart w:id="1180" w:name="_Toc482886612"/>
      <w:r w:rsidRPr="009E064B">
        <w:t xml:space="preserve">GM1 ADR-DSN.G.380     </w:t>
      </w:r>
      <w:r w:rsidR="00F96626" w:rsidRPr="009E064B">
        <w:t>Lokalizacja</w:t>
      </w:r>
      <w:bookmarkEnd w:id="1177"/>
      <w:bookmarkEnd w:id="1178"/>
      <w:bookmarkEnd w:id="1179"/>
    </w:p>
    <w:p w14:paraId="1F757A9D" w14:textId="0F2F2660" w:rsidR="00321BB4" w:rsidRPr="009E064B" w:rsidRDefault="00D63D4F" w:rsidP="00321B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8EDA72F" w14:textId="77777777" w:rsidR="00F96626" w:rsidRPr="009E064B" w:rsidRDefault="00F9662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Stanowiska do odladzania/przeciwdziałania oblodzeniu powinny być zlokalizowane w taki sposób, aby zapewnić czas ochronny po zastosowaniu substancji przeciwdziałających oblodzeniu, które pozwalają na kołowanie do momentu uzyskania przez samolot zezwolenia na start.</w:t>
      </w:r>
    </w:p>
    <w:p w14:paraId="5033A139" w14:textId="107FFC49" w:rsidR="00F96626" w:rsidRPr="009E064B" w:rsidRDefault="00F9662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 New Roman"/>
          <w:szCs w:val="20"/>
        </w:rPr>
        <w:t xml:space="preserve">Aby jeszcze bardziej zwiększyć natężenie przepływu odlotów dla wszystkich statków </w:t>
      </w:r>
      <w:r w:rsidRPr="009E064B">
        <w:rPr>
          <w:rFonts w:cs="TimesNewRomanPS-ItalicMT"/>
          <w:iCs/>
          <w:szCs w:val="20"/>
        </w:rPr>
        <w:t>powietrznych</w:t>
      </w:r>
      <w:r w:rsidRPr="009E064B">
        <w:rPr>
          <w:rFonts w:cs="Times New Roman"/>
          <w:szCs w:val="20"/>
        </w:rPr>
        <w:t xml:space="preserve">, położenie i rozmiary stanowisk do odladzania/przeciwdziałania oblodzeniu powinno być takie, aby pozwalały na kołowanie z ominięciem statków powietrznych będących w trakcie operacji odladzania/przeciwdziałania oblodzeniu. </w:t>
      </w:r>
      <w:r w:rsidRPr="009E064B">
        <w:rPr>
          <w:rFonts w:cs="Times New Roman"/>
          <w:bCs/>
          <w:szCs w:val="20"/>
        </w:rPr>
        <w:t xml:space="preserve">Dodatkowe wytyczne są określone w </w:t>
      </w:r>
      <w:r w:rsidRPr="009E064B">
        <w:rPr>
          <w:rFonts w:cs="Times New Roman"/>
          <w:szCs w:val="20"/>
        </w:rPr>
        <w:t>„</w:t>
      </w:r>
      <w:r w:rsidRPr="009E064B">
        <w:rPr>
          <w:rFonts w:cs="Times New Roman"/>
          <w:i/>
          <w:szCs w:val="20"/>
        </w:rPr>
        <w:t>Podręczniku operacji naziemnego odladzania</w:t>
      </w:r>
      <w:r w:rsidR="009F3D23" w:rsidRPr="009E064B">
        <w:rPr>
          <w:rFonts w:cs="Times New Roman"/>
          <w:i/>
          <w:szCs w:val="20"/>
        </w:rPr>
        <w:t> </w:t>
      </w:r>
      <w:r w:rsidRPr="009E064B">
        <w:rPr>
          <w:rFonts w:cs="Times New Roman"/>
          <w:i/>
          <w:szCs w:val="20"/>
        </w:rPr>
        <w:t>/</w:t>
      </w:r>
      <w:r w:rsidR="009F3D23" w:rsidRPr="009E064B">
        <w:rPr>
          <w:rFonts w:cs="Times New Roman"/>
          <w:i/>
          <w:szCs w:val="20"/>
        </w:rPr>
        <w:t> </w:t>
      </w:r>
      <w:r w:rsidRPr="009E064B">
        <w:rPr>
          <w:rFonts w:cs="Times New Roman"/>
          <w:i/>
          <w:szCs w:val="20"/>
        </w:rPr>
        <w:t>przeciwdziałania oblodzeniu statków powietrznych</w:t>
      </w:r>
      <w:r w:rsidRPr="009E064B">
        <w:rPr>
          <w:rFonts w:cs="Times New Roman"/>
          <w:szCs w:val="20"/>
        </w:rPr>
        <w:t>” ICAO Doc 9640 ICAO, pkt. 8.5(e).</w:t>
      </w:r>
    </w:p>
    <w:p w14:paraId="67BCD7F4" w14:textId="77777777" w:rsidR="00F96626" w:rsidRPr="009E064B" w:rsidRDefault="00F9662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Oddalone stanowiska do odladzania/ przeciwdziałania oblodzeniu znajdujące się w pobliżu dro</w:t>
      </w:r>
      <w:r w:rsidRPr="009E064B">
        <w:rPr>
          <w:rFonts w:cs="TimesNewRomanPS-ItalicMT"/>
          <w:iCs/>
          <w:szCs w:val="20"/>
        </w:rPr>
        <w:t>gi startowej do odlotów, lub wzdłuż dróg kołowania są zalecane, gdy czasy kołowania z terminali</w:t>
      </w:r>
      <w:r w:rsidRPr="009E064B">
        <w:rPr>
          <w:rFonts w:cs="Times New Roman"/>
          <w:szCs w:val="20"/>
        </w:rPr>
        <w:t xml:space="preserve"> lub spoza terminalowych stanowisk do odladzania/przeciwdziałania oblodzeniu często przekraczają czasy ochronne.</w:t>
      </w:r>
    </w:p>
    <w:p w14:paraId="52B59A16" w14:textId="57E63670" w:rsidR="00F96626" w:rsidRPr="009E064B" w:rsidRDefault="00F9662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Należy przewidzieć ustanowienie oddalonych stanowisk do odladzania</w:t>
      </w:r>
      <w:r w:rsidR="009F3D23" w:rsidRPr="009E064B">
        <w:rPr>
          <w:rFonts w:eastAsia="Times New Roman,Italic" w:cs="Times New Roman,Italic"/>
          <w:iCs/>
          <w:szCs w:val="20"/>
        </w:rPr>
        <w:t> </w:t>
      </w:r>
      <w:r w:rsidRPr="009E064B">
        <w:rPr>
          <w:rFonts w:eastAsia="Times New Roman,Italic" w:cs="Times New Roman,Italic"/>
          <w:iCs/>
          <w:szCs w:val="20"/>
        </w:rPr>
        <w:t>/</w:t>
      </w:r>
      <w:r w:rsidR="009F3D23" w:rsidRPr="009E064B">
        <w:rPr>
          <w:rFonts w:eastAsia="Times New Roman,Italic" w:cs="Times New Roman,Italic"/>
          <w:iCs/>
          <w:szCs w:val="20"/>
        </w:rPr>
        <w:t> </w:t>
      </w:r>
      <w:r w:rsidRPr="009E064B">
        <w:rPr>
          <w:rFonts w:eastAsia="Times New Roman,Italic" w:cs="Times New Roman,Italic"/>
          <w:iCs/>
          <w:szCs w:val="20"/>
        </w:rPr>
        <w:t>przeciwdziałania oblodzeniu uwzględniając zmiany warunków pogodowych, kiedy spodziewane jest wystąpienie oblodzenia lub zamieci śnieżnej w obszarze dróg kołowania i drogi startowej wyznaczonej do startów.</w:t>
      </w:r>
    </w:p>
    <w:p w14:paraId="1BE50DCB" w14:textId="77777777" w:rsidR="00F96626" w:rsidRPr="009E064B" w:rsidRDefault="00F9662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 xml:space="preserve">Stanowiska </w:t>
      </w:r>
      <w:r w:rsidRPr="009E064B">
        <w:rPr>
          <w:rFonts w:cs="Times New Roman"/>
          <w:szCs w:val="20"/>
        </w:rPr>
        <w:t>do odladzania/przeciwdziałania oblodzeniu powinny być zlokalizowane w taki sposób, aby zapewnić sprawny przepływ ruchu, z możliwością objazdu, oraz aby nie było potrzeby wykonywania zbędnych manewrów kołowania podczas wjazdu i wyjazdu z płaszczyzn.</w:t>
      </w:r>
    </w:p>
    <w:p w14:paraId="3D4EE962" w14:textId="77777777" w:rsidR="00F96626" w:rsidRPr="009E064B" w:rsidRDefault="00F96626" w:rsidP="005669D1">
      <w:pPr>
        <w:tabs>
          <w:tab w:val="left" w:pos="567"/>
        </w:tabs>
        <w:autoSpaceDE w:val="0"/>
        <w:autoSpaceDN w:val="0"/>
        <w:adjustRightInd w:val="0"/>
        <w:spacing w:after="0"/>
        <w:ind w:left="567"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szCs w:val="20"/>
        </w:rPr>
        <w:t>Wpływ podmuchów od silników odrzutowych spowodowanych przez przemieszczające się statki powietrzne na inne statki powietrzne będące w trakcie przeciwdziałania oblodzeniu lub kołujące z tyłu powinien być wzięty pod uwagę, aby zapobiec degradacji środków odladzających.</w:t>
      </w:r>
    </w:p>
    <w:p w14:paraId="175C16C4" w14:textId="77777777" w:rsidR="00F96626" w:rsidRPr="009E064B" w:rsidRDefault="00F9662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2E21F97" w14:textId="48FBE9F7" w:rsidR="00C36D76" w:rsidRPr="009E064B" w:rsidRDefault="006A2419" w:rsidP="006A2419">
      <w:pPr>
        <w:pStyle w:val="Nagwek4"/>
        <w:tabs>
          <w:tab w:val="clear" w:pos="2694"/>
          <w:tab w:val="left" w:pos="2552"/>
        </w:tabs>
        <w:ind w:left="2552" w:hanging="2552"/>
        <w:rPr>
          <w:color w:val="auto"/>
        </w:rPr>
      </w:pPr>
      <w:bookmarkStart w:id="1181" w:name="_Toc12533068"/>
      <w:r w:rsidRPr="009E064B">
        <w:rPr>
          <w:color w:val="auto"/>
        </w:rPr>
        <w:t xml:space="preserve">CS ADR-DSN.G.385      </w:t>
      </w:r>
      <w:r w:rsidR="00C36D76" w:rsidRPr="009E064B">
        <w:rPr>
          <w:color w:val="auto"/>
        </w:rPr>
        <w:t>Wielkość płaszczyzny do odladzania</w:t>
      </w:r>
      <w:r w:rsidRPr="009E064B">
        <w:rPr>
          <w:color w:val="auto"/>
        </w:rPr>
        <w:t xml:space="preserve"> </w:t>
      </w:r>
      <w:r w:rsidR="00C36D76" w:rsidRPr="009E064B">
        <w:rPr>
          <w:color w:val="auto"/>
        </w:rPr>
        <w:t>/</w:t>
      </w:r>
      <w:r w:rsidRPr="009E064B">
        <w:rPr>
          <w:color w:val="auto"/>
        </w:rPr>
        <w:t xml:space="preserve"> </w:t>
      </w:r>
      <w:r w:rsidR="00C36D76" w:rsidRPr="009E064B">
        <w:rPr>
          <w:color w:val="auto"/>
        </w:rPr>
        <w:t>przeciwdziałania oblodzeniu</w:t>
      </w:r>
      <w:bookmarkEnd w:id="1180"/>
      <w:bookmarkEnd w:id="1181"/>
    </w:p>
    <w:p w14:paraId="57D29785" w14:textId="716EB816"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7E2BB25" w14:textId="2E1FD8F5" w:rsidR="00C36D76" w:rsidRPr="009E064B" w:rsidRDefault="00C36D76" w:rsidP="007D3E5B">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Celem bezpieczeństwa wymiarów płaszczyzny do odladzania/przeciwdziałania oblodzeniu jest umożliwienie bezpiecznego ustawienia statku powietrznego w celu wykonania czynności odladzania / przeciwdziałania oblodzeniu, w tym zapewnienie wystarczającego miejsca dla bezpiecznego ruchu pojazdów do odladzania/przeciwdziałania oblodzeniu wokół statku powietrznego.</w:t>
      </w:r>
    </w:p>
    <w:p w14:paraId="50326BBB" w14:textId="45842CA6"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Wielkość płaszczyzny do odladzania/przeciwdziałania oblodzeniu powinna być równa wymaganemu obszarowi parkowania dla największego statku p</w:t>
      </w:r>
      <w:r w:rsidR="008D6DC3" w:rsidRPr="009E064B">
        <w:rPr>
          <w:rFonts w:cs="TimesNewRomanPS-ItalicMT"/>
          <w:iCs/>
          <w:szCs w:val="20"/>
        </w:rPr>
        <w:t>owietrznego w danej kategorii z </w:t>
      </w:r>
      <w:r w:rsidRPr="009E064B">
        <w:rPr>
          <w:rFonts w:cs="TimesNewRomanPS-ItalicMT"/>
          <w:iCs/>
          <w:szCs w:val="20"/>
        </w:rPr>
        <w:t xml:space="preserve">dodatkowym obszarem </w:t>
      </w:r>
      <w:r w:rsidR="00E21CD4">
        <w:rPr>
          <w:rFonts w:cs="TimesNewRomanPS-ItalicMT"/>
          <w:iCs/>
          <w:szCs w:val="20"/>
        </w:rPr>
        <w:t xml:space="preserve">o nawierzchni sztucznej </w:t>
      </w:r>
      <w:r w:rsidRPr="009E064B">
        <w:rPr>
          <w:rFonts w:cs="TimesNewRomanPS-ItalicMT"/>
          <w:iCs/>
          <w:szCs w:val="20"/>
        </w:rPr>
        <w:t>wokół s</w:t>
      </w:r>
      <w:r w:rsidR="00E21CD4">
        <w:rPr>
          <w:rFonts w:cs="TimesNewRomanPS-ItalicMT"/>
          <w:iCs/>
          <w:szCs w:val="20"/>
        </w:rPr>
        <w:t>amolotu</w:t>
      </w:r>
      <w:r w:rsidR="00C45559" w:rsidRPr="009E064B">
        <w:rPr>
          <w:rFonts w:cs="TimesNewRomanPS-ItalicMT"/>
          <w:iCs/>
          <w:szCs w:val="20"/>
        </w:rPr>
        <w:t xml:space="preserve"> o szerokości, co najmniej 3,8 </w:t>
      </w:r>
      <w:r w:rsidRPr="009E064B">
        <w:rPr>
          <w:rFonts w:cs="TimesNewRomanPS-ItalicMT"/>
          <w:iCs/>
          <w:szCs w:val="20"/>
        </w:rPr>
        <w:t>m, przeznaczonym dla ruchu pojazdów do odladzania/przeciwdziałania oblodzeniu.</w:t>
      </w:r>
    </w:p>
    <w:p w14:paraId="395BD75A" w14:textId="15EA87AC" w:rsidR="00F96626" w:rsidRPr="009E064B" w:rsidRDefault="006A2419" w:rsidP="00133B99">
      <w:pPr>
        <w:pStyle w:val="Nagwek6"/>
      </w:pPr>
      <w:bookmarkStart w:id="1182" w:name="_Toc482886836"/>
      <w:bookmarkStart w:id="1183" w:name="_Toc12533069"/>
      <w:bookmarkStart w:id="1184" w:name="_Toc482886613"/>
      <w:r w:rsidRPr="009E064B">
        <w:t xml:space="preserve">GM1 ADR-DSN.G.385     </w:t>
      </w:r>
      <w:r w:rsidR="00F96626" w:rsidRPr="009E064B">
        <w:t>Wielkość płaszczyzn</w:t>
      </w:r>
      <w:r w:rsidR="008D6DC3" w:rsidRPr="009E064B">
        <w:t>y</w:t>
      </w:r>
      <w:r w:rsidR="00F96626" w:rsidRPr="009E064B">
        <w:t xml:space="preserve"> do odladzania</w:t>
      </w:r>
      <w:r w:rsidRPr="009E064B">
        <w:t xml:space="preserve"> </w:t>
      </w:r>
      <w:r w:rsidR="00F96626" w:rsidRPr="009E064B">
        <w:t>/</w:t>
      </w:r>
      <w:r w:rsidRPr="009E064B">
        <w:t xml:space="preserve"> </w:t>
      </w:r>
      <w:r w:rsidR="00F96626" w:rsidRPr="009E064B">
        <w:t>przeciwdziałania oblodzeniu</w:t>
      </w:r>
      <w:bookmarkEnd w:id="1182"/>
      <w:bookmarkEnd w:id="1183"/>
    </w:p>
    <w:p w14:paraId="13615930" w14:textId="4C8EFF7C"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8A7307A" w14:textId="1BCE1931" w:rsidR="00F96626" w:rsidRPr="009E064B" w:rsidRDefault="00F9662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Zaleca się by lotnisko posiadało stanowiska do odladzania/przeciwdziałania oblodzeniu o </w:t>
      </w:r>
      <w:r w:rsidRPr="009E064B">
        <w:rPr>
          <w:szCs w:val="20"/>
        </w:rPr>
        <w:t>zdolności</w:t>
      </w:r>
      <w:r w:rsidRPr="009E064B">
        <w:rPr>
          <w:rFonts w:cs="Times New Roman"/>
          <w:szCs w:val="20"/>
        </w:rPr>
        <w:t xml:space="preserve"> równoważnej maksymalnej ilości odlotów w godzinie szczytu, która może być zarządzana przez jednostki ATC w czasie operacji odladzania</w:t>
      </w:r>
      <w:r w:rsidR="008D6DC3" w:rsidRPr="009E064B">
        <w:rPr>
          <w:rFonts w:cs="Times New Roman"/>
          <w:szCs w:val="20"/>
        </w:rPr>
        <w:t> </w:t>
      </w:r>
      <w:r w:rsidRPr="009E064B">
        <w:rPr>
          <w:rFonts w:cs="Times New Roman"/>
          <w:szCs w:val="20"/>
        </w:rPr>
        <w:t>/</w:t>
      </w:r>
      <w:r w:rsidR="008D6DC3" w:rsidRPr="009E064B">
        <w:rPr>
          <w:rFonts w:cs="Times New Roman"/>
          <w:szCs w:val="20"/>
        </w:rPr>
        <w:t> </w:t>
      </w:r>
      <w:r w:rsidRPr="009E064B">
        <w:rPr>
          <w:rFonts w:cs="Times New Roman"/>
          <w:szCs w:val="20"/>
        </w:rPr>
        <w:t xml:space="preserve">przeciwdziałania oblodzeniu. </w:t>
      </w:r>
      <w:r w:rsidRPr="009E064B">
        <w:rPr>
          <w:rFonts w:cs="Times New Roman"/>
          <w:bCs/>
          <w:szCs w:val="20"/>
        </w:rPr>
        <w:t xml:space="preserve">Dodatkowe wytyczne są określone w </w:t>
      </w:r>
      <w:r w:rsidRPr="009E064B">
        <w:rPr>
          <w:rFonts w:cs="Times New Roman"/>
          <w:szCs w:val="20"/>
        </w:rPr>
        <w:t>„</w:t>
      </w:r>
      <w:r w:rsidRPr="009E064B">
        <w:rPr>
          <w:rFonts w:cs="Times New Roman"/>
          <w:i/>
          <w:szCs w:val="20"/>
        </w:rPr>
        <w:t>Podręczniku operacji naziemnego odladzania</w:t>
      </w:r>
      <w:r w:rsidR="008D6DC3" w:rsidRPr="009E064B">
        <w:rPr>
          <w:rFonts w:cs="Times New Roman"/>
          <w:i/>
          <w:szCs w:val="20"/>
        </w:rPr>
        <w:t> </w:t>
      </w:r>
      <w:r w:rsidRPr="009E064B">
        <w:rPr>
          <w:rFonts w:cs="Times New Roman"/>
          <w:i/>
          <w:szCs w:val="20"/>
        </w:rPr>
        <w:t>/ przeciwdziałania oblodzeniu statków powietrznych</w:t>
      </w:r>
      <w:r w:rsidRPr="009E064B">
        <w:rPr>
          <w:rFonts w:cs="Times New Roman"/>
          <w:szCs w:val="20"/>
        </w:rPr>
        <w:t>” ICAO Doc 9640, pkt 8.3.</w:t>
      </w:r>
    </w:p>
    <w:p w14:paraId="60FB67F9" w14:textId="3566316B" w:rsidR="00F96626" w:rsidRPr="009E064B" w:rsidRDefault="00F9662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 xml:space="preserve">Ilość wymaganych płaszczyzn </w:t>
      </w:r>
      <w:r w:rsidRPr="009E064B">
        <w:rPr>
          <w:rFonts w:cs="Times New Roman"/>
          <w:szCs w:val="20"/>
        </w:rPr>
        <w:t>do odladzania</w:t>
      </w:r>
      <w:r w:rsidR="008D6DC3" w:rsidRPr="009E064B">
        <w:rPr>
          <w:rFonts w:cs="Times New Roman"/>
          <w:szCs w:val="20"/>
        </w:rPr>
        <w:t> </w:t>
      </w:r>
      <w:r w:rsidRPr="009E064B">
        <w:rPr>
          <w:rFonts w:cs="Times New Roman"/>
          <w:szCs w:val="20"/>
        </w:rPr>
        <w:t>/</w:t>
      </w:r>
      <w:r w:rsidR="008D6DC3" w:rsidRPr="009E064B">
        <w:rPr>
          <w:rFonts w:cs="Times New Roman"/>
          <w:szCs w:val="20"/>
        </w:rPr>
        <w:t> </w:t>
      </w:r>
      <w:r w:rsidRPr="009E064B">
        <w:rPr>
          <w:rFonts w:cs="Times New Roman"/>
          <w:szCs w:val="20"/>
        </w:rPr>
        <w:t>przeciwdziałania oblodzeniu powinna być określona w oparciu o warunki meteorologiczne, typ obsługiwanych statków powietrznych, metodę aplikacji płynu do odladzania</w:t>
      </w:r>
      <w:r w:rsidR="008D6DC3" w:rsidRPr="009E064B">
        <w:rPr>
          <w:rFonts w:cs="Times New Roman"/>
          <w:szCs w:val="20"/>
        </w:rPr>
        <w:t> </w:t>
      </w:r>
      <w:r w:rsidRPr="009E064B">
        <w:rPr>
          <w:rFonts w:cs="Times New Roman"/>
          <w:szCs w:val="20"/>
        </w:rPr>
        <w:t>/</w:t>
      </w:r>
      <w:r w:rsidR="008D6DC3" w:rsidRPr="009E064B">
        <w:rPr>
          <w:rFonts w:cs="Times New Roman"/>
          <w:szCs w:val="20"/>
        </w:rPr>
        <w:t> </w:t>
      </w:r>
      <w:r w:rsidRPr="009E064B">
        <w:rPr>
          <w:rFonts w:cs="Times New Roman"/>
          <w:szCs w:val="20"/>
        </w:rPr>
        <w:t>przeciwdziałania oblodzeniu, rodzaj i wydajność sprzętu dozującego oraz wielkość ruchu i tempo odlotów.</w:t>
      </w:r>
    </w:p>
    <w:p w14:paraId="27D0A961" w14:textId="6FF1C1CA" w:rsidR="00F96626" w:rsidRPr="009E064B" w:rsidRDefault="00F9662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Płaszczyzna</w:t>
      </w:r>
      <w:r w:rsidRPr="009E064B">
        <w:rPr>
          <w:szCs w:val="20"/>
        </w:rPr>
        <w:t xml:space="preserve"> </w:t>
      </w:r>
      <w:r w:rsidRPr="009E064B">
        <w:rPr>
          <w:rFonts w:cs="Times New Roman"/>
          <w:szCs w:val="20"/>
        </w:rPr>
        <w:t>do odladzania</w:t>
      </w:r>
      <w:r w:rsidR="008D6DC3" w:rsidRPr="009E064B">
        <w:rPr>
          <w:rFonts w:cs="Times New Roman"/>
          <w:szCs w:val="20"/>
        </w:rPr>
        <w:t> </w:t>
      </w:r>
      <w:r w:rsidRPr="009E064B">
        <w:rPr>
          <w:rFonts w:cs="Times New Roman"/>
          <w:szCs w:val="20"/>
        </w:rPr>
        <w:t>/</w:t>
      </w:r>
      <w:r w:rsidR="008D6DC3" w:rsidRPr="009E064B">
        <w:rPr>
          <w:rFonts w:cs="Times New Roman"/>
          <w:szCs w:val="20"/>
        </w:rPr>
        <w:t> </w:t>
      </w:r>
      <w:r w:rsidRPr="009E064B">
        <w:rPr>
          <w:rFonts w:cs="Times New Roman"/>
          <w:szCs w:val="20"/>
        </w:rPr>
        <w:t>przeciwdziałania oblodzeniu statków powietrznych składa się z:</w:t>
      </w:r>
    </w:p>
    <w:p w14:paraId="0AFEB3A0" w14:textId="57F2BAD5"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(1) </w:t>
      </w:r>
      <w:r w:rsidRPr="009E064B">
        <w:rPr>
          <w:rFonts w:cs="TimesNewRomanPS-BoldItalicMT"/>
          <w:bCs/>
          <w:iCs/>
          <w:szCs w:val="20"/>
        </w:rPr>
        <w:tab/>
      </w:r>
      <w:r w:rsidRPr="009E064B">
        <w:rPr>
          <w:rFonts w:cs="TimesNewRomanPS-ItalicMT"/>
          <w:iCs/>
          <w:szCs w:val="20"/>
        </w:rPr>
        <w:t>powierzchni</w:t>
      </w:r>
      <w:r w:rsidRPr="009E064B">
        <w:rPr>
          <w:rFonts w:cs="Times New Roman"/>
          <w:szCs w:val="20"/>
        </w:rPr>
        <w:t xml:space="preserve"> wewnętrznej </w:t>
      </w:r>
      <w:r w:rsidRPr="009E064B">
        <w:rPr>
          <w:rFonts w:cs="TimesNewRomanPSMT"/>
          <w:szCs w:val="20"/>
        </w:rPr>
        <w:t>przeznaczonej do parkowania statku powietrznego w celu odladzania</w:t>
      </w:r>
      <w:r w:rsidR="008D6DC3" w:rsidRPr="009E064B">
        <w:rPr>
          <w:rFonts w:cs="TimesNewRomanPSMT"/>
          <w:szCs w:val="20"/>
        </w:rPr>
        <w:t> </w:t>
      </w:r>
      <w:r w:rsidRPr="009E064B">
        <w:rPr>
          <w:rFonts w:cs="TimesNewRomanPSMT"/>
          <w:szCs w:val="20"/>
        </w:rPr>
        <w:t>/</w:t>
      </w:r>
      <w:r w:rsidR="008D6DC3" w:rsidRPr="009E064B">
        <w:rPr>
          <w:rFonts w:cs="TimesNewRomanPSMT"/>
          <w:szCs w:val="20"/>
        </w:rPr>
        <w:t> </w:t>
      </w:r>
      <w:r w:rsidRPr="009E064B">
        <w:rPr>
          <w:rFonts w:cs="TimesNewRomanPSMT"/>
          <w:szCs w:val="20"/>
        </w:rPr>
        <w:t>przeciwdziałania oblodzeniu;</w:t>
      </w:r>
    </w:p>
    <w:p w14:paraId="683DBC3E" w14:textId="70544F82"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NewRomanPSMT"/>
          <w:szCs w:val="20"/>
        </w:rPr>
        <w:t>powierzchni zewnętrznej przeznaczonej dla dwóch lub więcej zestawów urządzeń służących do odladzania</w:t>
      </w:r>
      <w:r w:rsidR="008D6DC3" w:rsidRPr="009E064B">
        <w:rPr>
          <w:rFonts w:cs="TimesNewRomanPSMT"/>
          <w:szCs w:val="20"/>
        </w:rPr>
        <w:t> </w:t>
      </w:r>
      <w:r w:rsidRPr="009E064B">
        <w:rPr>
          <w:rFonts w:cs="TimesNewRomanPSMT"/>
          <w:szCs w:val="20"/>
        </w:rPr>
        <w:t>/</w:t>
      </w:r>
      <w:r w:rsidR="008D6DC3" w:rsidRPr="009E064B">
        <w:rPr>
          <w:rFonts w:cs="TimesNewRomanPSMT"/>
          <w:szCs w:val="20"/>
        </w:rPr>
        <w:t> </w:t>
      </w:r>
      <w:r w:rsidRPr="009E064B">
        <w:rPr>
          <w:rFonts w:cs="TimesNewRomanPSMT"/>
          <w:szCs w:val="20"/>
        </w:rPr>
        <w:t>przeciwdziałania oblodzeniu.</w:t>
      </w:r>
    </w:p>
    <w:p w14:paraId="236B7C6E" w14:textId="3C935302" w:rsidR="00F96626" w:rsidRPr="009E064B" w:rsidRDefault="00F9662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 New Roman"/>
          <w:szCs w:val="20"/>
        </w:rPr>
        <w:t>Jeżeli</w:t>
      </w:r>
      <w:r w:rsidRPr="009E064B">
        <w:rPr>
          <w:rFonts w:cs="TimesNewRomanPSMT"/>
          <w:szCs w:val="20"/>
        </w:rPr>
        <w:t xml:space="preserve"> zapewnianych jest więcej niż jedna płaszczyzna </w:t>
      </w:r>
      <w:r w:rsidRPr="009E064B">
        <w:rPr>
          <w:rFonts w:cs="Times New Roman"/>
          <w:szCs w:val="20"/>
        </w:rPr>
        <w:t>do odladzania</w:t>
      </w:r>
      <w:r w:rsidR="008D6DC3" w:rsidRPr="009E064B">
        <w:rPr>
          <w:rFonts w:cs="Times New Roman"/>
          <w:szCs w:val="20"/>
        </w:rPr>
        <w:t> </w:t>
      </w:r>
      <w:r w:rsidRPr="009E064B">
        <w:rPr>
          <w:rFonts w:cs="Times New Roman"/>
          <w:szCs w:val="20"/>
        </w:rPr>
        <w:t>/</w:t>
      </w:r>
      <w:r w:rsidR="008D6DC3" w:rsidRPr="009E064B">
        <w:rPr>
          <w:rFonts w:cs="Times New Roman"/>
          <w:szCs w:val="20"/>
        </w:rPr>
        <w:t> </w:t>
      </w:r>
      <w:r w:rsidRPr="009E064B">
        <w:rPr>
          <w:rFonts w:cs="Times New Roman"/>
          <w:szCs w:val="20"/>
        </w:rPr>
        <w:t>przeciwdziałania oblodzeniu, uwzględnić należy zapewnienie strefy ruchu dla pojazdów do odladzania</w:t>
      </w:r>
      <w:r w:rsidR="008D6DC3" w:rsidRPr="009E064B">
        <w:rPr>
          <w:rFonts w:cs="Times New Roman"/>
          <w:szCs w:val="20"/>
        </w:rPr>
        <w:t> </w:t>
      </w:r>
      <w:r w:rsidRPr="009E064B">
        <w:rPr>
          <w:rFonts w:cs="Times New Roman"/>
          <w:szCs w:val="20"/>
        </w:rPr>
        <w:t>/</w:t>
      </w:r>
      <w:r w:rsidR="00C45559" w:rsidRPr="009E064B">
        <w:rPr>
          <w:rFonts w:cs="Times New Roman"/>
          <w:szCs w:val="20"/>
        </w:rPr>
        <w:t xml:space="preserve"> </w:t>
      </w:r>
      <w:r w:rsidRPr="009E064B">
        <w:rPr>
          <w:rFonts w:cs="Times New Roman"/>
          <w:szCs w:val="20"/>
        </w:rPr>
        <w:t>przeciwdziałania oblodzeniu na sąsiednich płaszczyznach, które nie pokrywają się ze sobą, ale są wyłączne dla każdej płaszczyzny. Uwzględnić również należy objazdy innych statków powietrznych z zachowaniem odległości, o których mowa w CS ADR-DSN.G.400.</w:t>
      </w:r>
    </w:p>
    <w:p w14:paraId="6D913CA2" w14:textId="77777777" w:rsidR="00F96626" w:rsidRPr="009E064B" w:rsidRDefault="00F96626" w:rsidP="006C24CC">
      <w:pPr>
        <w:autoSpaceDE w:val="0"/>
        <w:autoSpaceDN w:val="0"/>
        <w:adjustRightInd w:val="0"/>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2B48637" w14:textId="4A98A63B" w:rsidR="00C36D76" w:rsidRPr="009E064B" w:rsidRDefault="007D3E5B" w:rsidP="007D3E5B">
      <w:pPr>
        <w:pStyle w:val="Nagwek4"/>
        <w:tabs>
          <w:tab w:val="clear" w:pos="2694"/>
          <w:tab w:val="left" w:pos="2552"/>
        </w:tabs>
        <w:ind w:left="2552" w:hanging="2552"/>
        <w:rPr>
          <w:color w:val="auto"/>
        </w:rPr>
      </w:pPr>
      <w:bookmarkStart w:id="1185" w:name="_Toc12533070"/>
      <w:r w:rsidRPr="009E064B">
        <w:rPr>
          <w:color w:val="auto"/>
        </w:rPr>
        <w:t xml:space="preserve">CS ADR-DSN.G.390     </w:t>
      </w:r>
      <w:r w:rsidR="00C36D76" w:rsidRPr="009E064B">
        <w:rPr>
          <w:color w:val="auto"/>
        </w:rPr>
        <w:t>Nachylenia płaszczyzny do odladzania</w:t>
      </w:r>
      <w:r w:rsidRPr="009E064B">
        <w:rPr>
          <w:color w:val="auto"/>
        </w:rPr>
        <w:t> </w:t>
      </w:r>
      <w:r w:rsidR="00C36D76" w:rsidRPr="009E064B">
        <w:rPr>
          <w:color w:val="auto"/>
        </w:rPr>
        <w:t>/</w:t>
      </w:r>
      <w:r w:rsidRPr="009E064B">
        <w:rPr>
          <w:color w:val="auto"/>
        </w:rPr>
        <w:t xml:space="preserve"> </w:t>
      </w:r>
      <w:r w:rsidR="00C36D76" w:rsidRPr="009E064B">
        <w:rPr>
          <w:color w:val="auto"/>
        </w:rPr>
        <w:t>przeciwdziałania oblodzeniu</w:t>
      </w:r>
      <w:bookmarkEnd w:id="1184"/>
      <w:bookmarkEnd w:id="1185"/>
    </w:p>
    <w:p w14:paraId="40826DBD" w14:textId="641FE20E"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28DA7D9" w14:textId="217C9B55" w:rsidR="00C36D76" w:rsidRPr="009E064B" w:rsidRDefault="00C36D76" w:rsidP="00B06A9A">
      <w:pPr>
        <w:autoSpaceDE w:val="0"/>
        <w:autoSpaceDN w:val="0"/>
        <w:adjustRightInd w:val="0"/>
        <w:rPr>
          <w:rFonts w:cs="TimesNewRomanPS-ItalicMT"/>
          <w:iCs/>
          <w:szCs w:val="20"/>
        </w:rPr>
      </w:pPr>
      <w:r w:rsidRPr="009E064B">
        <w:rPr>
          <w:rFonts w:cs="TimesNewRomanPS-ItalicMT"/>
          <w:iCs/>
          <w:szCs w:val="20"/>
        </w:rPr>
        <w:t>Płaszczyzna do odladzania</w:t>
      </w:r>
      <w:r w:rsidR="007D3E5B" w:rsidRPr="009E064B">
        <w:rPr>
          <w:rFonts w:cs="TimesNewRomanPS-ItalicMT"/>
          <w:iCs/>
          <w:szCs w:val="20"/>
        </w:rPr>
        <w:t> </w:t>
      </w:r>
      <w:r w:rsidRPr="009E064B">
        <w:rPr>
          <w:rFonts w:cs="TimesNewRomanPS-ItalicMT"/>
          <w:iCs/>
          <w:szCs w:val="20"/>
        </w:rPr>
        <w:t>/</w:t>
      </w:r>
      <w:r w:rsidR="007D3E5B" w:rsidRPr="009E064B">
        <w:rPr>
          <w:rFonts w:cs="TimesNewRomanPS-ItalicMT"/>
          <w:iCs/>
          <w:szCs w:val="20"/>
        </w:rPr>
        <w:t> </w:t>
      </w:r>
      <w:r w:rsidRPr="009E064B">
        <w:rPr>
          <w:rFonts w:cs="TimesNewRomanPS-ItalicMT"/>
          <w:iCs/>
          <w:szCs w:val="20"/>
        </w:rPr>
        <w:t>przeciwdziałania oblodzeniu powinna posiadać odpowiednie nachylenia, aby:</w:t>
      </w:r>
    </w:p>
    <w:p w14:paraId="6F6D0EB1"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(a)</w:t>
      </w:r>
      <w:r w:rsidRPr="009E064B">
        <w:rPr>
          <w:rFonts w:cs="Times New Roman"/>
          <w:szCs w:val="20"/>
        </w:rPr>
        <w:tab/>
      </w:r>
      <w:r w:rsidRPr="009E064B">
        <w:rPr>
          <w:rFonts w:cs="TimesNewRomanPS-ItalicMT"/>
          <w:iCs/>
          <w:szCs w:val="20"/>
        </w:rPr>
        <w:t>zapewnić dostateczne odprowadzania wody z powierzchni;</w:t>
      </w:r>
    </w:p>
    <w:p w14:paraId="45D98B7F" w14:textId="73C08FF3"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umożliwić zebranie wszystkich płynów używanych do odladzania</w:t>
      </w:r>
      <w:r w:rsidR="007D3E5B" w:rsidRPr="009E064B">
        <w:rPr>
          <w:rFonts w:cs="TimesNewRomanPS-ItalicMT"/>
          <w:iCs/>
          <w:szCs w:val="20"/>
        </w:rPr>
        <w:t> </w:t>
      </w:r>
      <w:r w:rsidRPr="009E064B">
        <w:rPr>
          <w:rFonts w:cs="TimesNewRomanPS-ItalicMT"/>
          <w:iCs/>
          <w:szCs w:val="20"/>
        </w:rPr>
        <w:t>/</w:t>
      </w:r>
      <w:r w:rsidR="007D3E5B" w:rsidRPr="009E064B">
        <w:rPr>
          <w:rFonts w:cs="TimesNewRomanPS-ItalicMT"/>
          <w:iCs/>
          <w:szCs w:val="20"/>
        </w:rPr>
        <w:t> </w:t>
      </w:r>
      <w:r w:rsidRPr="009E064B">
        <w:rPr>
          <w:rFonts w:cs="TimesNewRomanPS-ItalicMT"/>
          <w:iCs/>
          <w:szCs w:val="20"/>
        </w:rPr>
        <w:t>przeciwdziałania oblodzeniu spływających z powierzchni samolotu; oraz</w:t>
      </w:r>
    </w:p>
    <w:p w14:paraId="45C94FE4" w14:textId="1F952163"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t xml:space="preserve">nie przeszkadzać w ruchu </w:t>
      </w:r>
      <w:r w:rsidRPr="009E064B">
        <w:rPr>
          <w:rFonts w:cs="TimesNewRomanPS-ItalicMT"/>
          <w:iCs/>
          <w:szCs w:val="20"/>
        </w:rPr>
        <w:t>statków powietrznych na i poza płaszczyzną do odladzania</w:t>
      </w:r>
      <w:r w:rsidR="007D3E5B" w:rsidRPr="009E064B">
        <w:rPr>
          <w:rFonts w:cs="TimesNewRomanPS-ItalicMT"/>
          <w:iCs/>
          <w:szCs w:val="20"/>
        </w:rPr>
        <w:t> </w:t>
      </w:r>
      <w:r w:rsidRPr="009E064B">
        <w:rPr>
          <w:rFonts w:cs="TimesNewRomanPS-ItalicMT"/>
          <w:iCs/>
          <w:szCs w:val="20"/>
        </w:rPr>
        <w:t>/</w:t>
      </w:r>
      <w:r w:rsidR="007D3E5B" w:rsidRPr="009E064B">
        <w:rPr>
          <w:rFonts w:cs="TimesNewRomanPS-ItalicMT"/>
          <w:iCs/>
          <w:szCs w:val="20"/>
        </w:rPr>
        <w:t> </w:t>
      </w:r>
      <w:r w:rsidRPr="009E064B">
        <w:rPr>
          <w:rFonts w:cs="TimesNewRomanPS-ItalicMT"/>
          <w:iCs/>
          <w:szCs w:val="20"/>
        </w:rPr>
        <w:t>przeciwdziałania oblodzeniu.</w:t>
      </w:r>
    </w:p>
    <w:p w14:paraId="570AC5FA" w14:textId="4DA42D35" w:rsidR="00F96626" w:rsidRPr="009E064B" w:rsidRDefault="007D3E5B" w:rsidP="00133B99">
      <w:pPr>
        <w:pStyle w:val="Nagwek6"/>
      </w:pPr>
      <w:bookmarkStart w:id="1186" w:name="_Toc401058971"/>
      <w:bookmarkStart w:id="1187" w:name="_Toc482886837"/>
      <w:bookmarkStart w:id="1188" w:name="_Toc12533071"/>
      <w:bookmarkStart w:id="1189" w:name="_Toc482886614"/>
      <w:r w:rsidRPr="009E064B">
        <w:t xml:space="preserve">GM1 ADR-DSN.G.390     </w:t>
      </w:r>
      <w:r w:rsidR="00F96626" w:rsidRPr="009E064B">
        <w:t>Nachy</w:t>
      </w:r>
      <w:r w:rsidR="00E916B1" w:rsidRPr="009E064B">
        <w:t>lenia płaszczyzny do odladzania </w:t>
      </w:r>
      <w:r w:rsidR="00F96626" w:rsidRPr="009E064B">
        <w:t>/</w:t>
      </w:r>
      <w:r w:rsidR="00E916B1" w:rsidRPr="009E064B">
        <w:t> </w:t>
      </w:r>
      <w:r w:rsidR="00F96626" w:rsidRPr="009E064B">
        <w:t>przeciwdziałania oblodzeniu</w:t>
      </w:r>
      <w:bookmarkEnd w:id="1186"/>
      <w:bookmarkEnd w:id="1187"/>
      <w:bookmarkEnd w:id="1188"/>
    </w:p>
    <w:p w14:paraId="66509CFF" w14:textId="5E84C551" w:rsidR="007D3E5B" w:rsidRPr="009E064B" w:rsidRDefault="001F74A1" w:rsidP="007D3E5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CF60241" w14:textId="3F6A79DE" w:rsidR="00F96626" w:rsidRPr="009E064B" w:rsidRDefault="00F96626" w:rsidP="00B06A9A">
      <w:pPr>
        <w:autoSpaceDE w:val="0"/>
        <w:autoSpaceDN w:val="0"/>
        <w:adjustRightInd w:val="0"/>
        <w:rPr>
          <w:rFonts w:cs="TimesNewRomanPSMT"/>
          <w:szCs w:val="20"/>
        </w:rPr>
      </w:pPr>
      <w:r w:rsidRPr="009E064B">
        <w:rPr>
          <w:szCs w:val="20"/>
        </w:rPr>
        <w:t xml:space="preserve">Zaleca się, aby drenaż gromadzący i pozbywający się w bezpieczny sposób nadmiaru płynów </w:t>
      </w:r>
      <w:r w:rsidRPr="009E064B">
        <w:rPr>
          <w:rFonts w:cs="TimesNewRomanPSMT"/>
          <w:szCs w:val="20"/>
        </w:rPr>
        <w:t>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 zapobiegał zanieczyszczeniu wód gruntowych.</w:t>
      </w:r>
    </w:p>
    <w:p w14:paraId="44C140AB" w14:textId="0ED7C249" w:rsidR="00C36D76" w:rsidRPr="009E064B" w:rsidRDefault="00E916B1" w:rsidP="00E916B1">
      <w:pPr>
        <w:pStyle w:val="Nagwek4"/>
        <w:tabs>
          <w:tab w:val="clear" w:pos="2694"/>
          <w:tab w:val="left" w:pos="2552"/>
        </w:tabs>
        <w:ind w:left="2552" w:hanging="2552"/>
        <w:rPr>
          <w:color w:val="auto"/>
        </w:rPr>
      </w:pPr>
      <w:bookmarkStart w:id="1190" w:name="_Toc12533072"/>
      <w:r w:rsidRPr="009E064B">
        <w:rPr>
          <w:color w:val="auto"/>
        </w:rPr>
        <w:t xml:space="preserve">CS ADR-DSN.G.395     </w:t>
      </w:r>
      <w:r w:rsidR="00C36D76" w:rsidRPr="009E064B">
        <w:rPr>
          <w:color w:val="auto"/>
        </w:rPr>
        <w:t>Nośność płaszczyzny do odladzania</w:t>
      </w:r>
      <w:r w:rsidR="008D6DC3" w:rsidRPr="009E064B">
        <w:rPr>
          <w:color w:val="auto"/>
        </w:rPr>
        <w:t> </w:t>
      </w:r>
      <w:r w:rsidR="00C36D76" w:rsidRPr="009E064B">
        <w:rPr>
          <w:color w:val="auto"/>
        </w:rPr>
        <w:t>/</w:t>
      </w:r>
      <w:r w:rsidR="008D6DC3" w:rsidRPr="009E064B">
        <w:rPr>
          <w:color w:val="auto"/>
        </w:rPr>
        <w:t> </w:t>
      </w:r>
      <w:r w:rsidR="00C36D76" w:rsidRPr="009E064B">
        <w:rPr>
          <w:color w:val="auto"/>
        </w:rPr>
        <w:t>przeciwdziałania oblodzeniu</w:t>
      </w:r>
      <w:bookmarkEnd w:id="1189"/>
      <w:bookmarkEnd w:id="1190"/>
    </w:p>
    <w:p w14:paraId="0DCB4EED" w14:textId="696795FA"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4DABDC8" w14:textId="3C7F2DE0" w:rsidR="00C36D76" w:rsidRPr="009E064B" w:rsidRDefault="00C36D76" w:rsidP="00B06A9A">
      <w:pPr>
        <w:autoSpaceDE w:val="0"/>
        <w:autoSpaceDN w:val="0"/>
        <w:adjustRightInd w:val="0"/>
        <w:rPr>
          <w:szCs w:val="20"/>
        </w:rPr>
      </w:pPr>
      <w:r w:rsidRPr="009E064B">
        <w:rPr>
          <w:rFonts w:cs="TimesNewRomanPS-ItalicMT"/>
          <w:iCs/>
          <w:szCs w:val="20"/>
        </w:rPr>
        <w:t>Płaszczyzny do odladzania</w:t>
      </w:r>
      <w:r w:rsidR="00E916B1" w:rsidRPr="009E064B">
        <w:rPr>
          <w:rFonts w:cs="TimesNewRomanPS-ItalicMT"/>
          <w:iCs/>
          <w:szCs w:val="20"/>
        </w:rPr>
        <w:t> </w:t>
      </w:r>
      <w:r w:rsidRPr="009E064B">
        <w:rPr>
          <w:rFonts w:cs="TimesNewRomanPS-ItalicMT"/>
          <w:iCs/>
          <w:szCs w:val="20"/>
        </w:rPr>
        <w:t>/</w:t>
      </w:r>
      <w:r w:rsidR="00E916B1" w:rsidRPr="009E064B">
        <w:rPr>
          <w:rFonts w:cs="TimesNewRomanPS-ItalicMT"/>
          <w:iCs/>
          <w:szCs w:val="20"/>
        </w:rPr>
        <w:t> </w:t>
      </w:r>
      <w:r w:rsidRPr="009E064B">
        <w:rPr>
          <w:rFonts w:cs="TimesNewRomanPS-ItalicMT"/>
          <w:iCs/>
          <w:szCs w:val="20"/>
        </w:rPr>
        <w:t>przeciwdziałania oblodzeniu powinny wytrzymywać obciążenie, powstające przy przemieszczaniu się statków powietrznych, dla których są one przeznaczone.</w:t>
      </w:r>
    </w:p>
    <w:p w14:paraId="16AF7D72" w14:textId="2AA0AB28" w:rsidR="00F96626" w:rsidRPr="009E064B" w:rsidRDefault="00E916B1" w:rsidP="00133B99">
      <w:pPr>
        <w:pStyle w:val="Nagwek6"/>
      </w:pPr>
      <w:bookmarkStart w:id="1191" w:name="_Toc401058972"/>
      <w:bookmarkStart w:id="1192" w:name="_Toc482886838"/>
      <w:bookmarkStart w:id="1193" w:name="_Toc12533073"/>
      <w:bookmarkStart w:id="1194" w:name="_Toc482886615"/>
      <w:r w:rsidRPr="009E064B">
        <w:t xml:space="preserve">GM1 ADR-DSN.G.395     </w:t>
      </w:r>
      <w:r w:rsidR="00F96626" w:rsidRPr="009E064B">
        <w:t>Nośność płaszczyzny do odladzania / przeciwdziałania oblodzeniu</w:t>
      </w:r>
      <w:bookmarkEnd w:id="1191"/>
      <w:bookmarkEnd w:id="1192"/>
      <w:bookmarkEnd w:id="1193"/>
    </w:p>
    <w:p w14:paraId="2E31AB91" w14:textId="2A5B1DAF"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5B107C0" w14:textId="09BA0814" w:rsidR="00F96626" w:rsidRPr="009E064B" w:rsidRDefault="00F96626" w:rsidP="00B06A9A">
      <w:pPr>
        <w:autoSpaceDE w:val="0"/>
        <w:autoSpaceDN w:val="0"/>
        <w:adjustRightInd w:val="0"/>
        <w:rPr>
          <w:rFonts w:cs="TimesNewRomanPSMT"/>
          <w:szCs w:val="20"/>
        </w:rPr>
      </w:pPr>
      <w:r w:rsidRPr="009E064B">
        <w:rPr>
          <w:szCs w:val="20"/>
        </w:rPr>
        <w:t xml:space="preserve">Uwzględnić należy fakt, iż płaszczyzna </w:t>
      </w:r>
      <w:r w:rsidRPr="009E064B">
        <w:rPr>
          <w:rFonts w:cs="TimesNewRomanPSMT"/>
          <w:szCs w:val="20"/>
        </w:rPr>
        <w:t>do odladzania</w:t>
      </w:r>
      <w:r w:rsidR="00C45559" w:rsidRPr="009E064B">
        <w:rPr>
          <w:rFonts w:cs="TimesNewRomanPSMT"/>
          <w:szCs w:val="20"/>
        </w:rPr>
        <w:t> </w:t>
      </w:r>
      <w:r w:rsidRPr="009E064B">
        <w:rPr>
          <w:rFonts w:cs="TimesNewRomanPSMT"/>
          <w:szCs w:val="20"/>
        </w:rPr>
        <w:t>/</w:t>
      </w:r>
      <w:r w:rsidR="00C45559" w:rsidRPr="009E064B">
        <w:rPr>
          <w:rFonts w:cs="TimesNewRomanPSMT"/>
          <w:szCs w:val="20"/>
        </w:rPr>
        <w:t> </w:t>
      </w:r>
      <w:r w:rsidRPr="009E064B">
        <w:rPr>
          <w:rFonts w:cs="TimesNewRomanPSMT"/>
          <w:szCs w:val="20"/>
        </w:rPr>
        <w:t>przeciwdziałania oblodzeniu (wspólnie z płytą postojową) podlegają większemu natężeniu ruchu oraz, w konsekwencji statków powietrznych poruszających się z małymi prędkościami lub nieporuszających się, większym naprężeniom niż droga startowa.</w:t>
      </w:r>
    </w:p>
    <w:p w14:paraId="7383025A" w14:textId="0B5D2338" w:rsidR="00C36D76" w:rsidRPr="009E064B" w:rsidRDefault="006A2419" w:rsidP="006A2419">
      <w:pPr>
        <w:pStyle w:val="Nagwek4"/>
        <w:tabs>
          <w:tab w:val="clear" w:pos="2694"/>
          <w:tab w:val="left" w:pos="2552"/>
        </w:tabs>
        <w:ind w:left="2552" w:hanging="2552"/>
        <w:rPr>
          <w:color w:val="auto"/>
        </w:rPr>
      </w:pPr>
      <w:bookmarkStart w:id="1195" w:name="_Toc12533074"/>
      <w:r w:rsidRPr="009E064B">
        <w:rPr>
          <w:color w:val="auto"/>
        </w:rPr>
        <w:t xml:space="preserve">CS ADR-DSN.G.400      </w:t>
      </w:r>
      <w:r w:rsidR="00C36D76" w:rsidRPr="009E064B">
        <w:rPr>
          <w:color w:val="auto"/>
        </w:rPr>
        <w:t>Odstępy na płaszczyźnie do odladzania</w:t>
      </w:r>
      <w:r w:rsidR="00E916B1" w:rsidRPr="009E064B">
        <w:rPr>
          <w:color w:val="auto"/>
        </w:rPr>
        <w:t> </w:t>
      </w:r>
      <w:r w:rsidR="00C36D76" w:rsidRPr="009E064B">
        <w:rPr>
          <w:color w:val="auto"/>
        </w:rPr>
        <w:t>/</w:t>
      </w:r>
      <w:r w:rsidR="00B06A9A" w:rsidRPr="009E064B">
        <w:rPr>
          <w:color w:val="auto"/>
        </w:rPr>
        <w:t xml:space="preserve"> </w:t>
      </w:r>
      <w:r w:rsidR="00C36D76" w:rsidRPr="009E064B">
        <w:rPr>
          <w:color w:val="auto"/>
        </w:rPr>
        <w:t>przeciwdziałania oblodzeniu</w:t>
      </w:r>
      <w:bookmarkEnd w:id="1194"/>
      <w:bookmarkEnd w:id="1195"/>
    </w:p>
    <w:p w14:paraId="03FE19FB" w14:textId="4A2DD1C6"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6375939" w14:textId="12268B76"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(a)</w:t>
      </w:r>
      <w:r w:rsidRPr="009E064B">
        <w:rPr>
          <w:rFonts w:cs="Times New Roman"/>
          <w:szCs w:val="20"/>
        </w:rPr>
        <w:tab/>
      </w:r>
      <w:r w:rsidRPr="009E064B">
        <w:rPr>
          <w:rFonts w:cs="TimesNewRomanPS-ItalicMT"/>
          <w:iCs/>
          <w:szCs w:val="20"/>
        </w:rPr>
        <w:t>Celem bezpieczeństwa odstępów na płaszczyznach do odladzania</w:t>
      </w:r>
      <w:r w:rsidR="00C45559" w:rsidRPr="009E064B">
        <w:rPr>
          <w:rFonts w:cs="TimesNewRomanPS-ItalicMT"/>
          <w:iCs/>
          <w:szCs w:val="20"/>
        </w:rPr>
        <w:t> </w:t>
      </w:r>
      <w:r w:rsidRPr="009E064B">
        <w:rPr>
          <w:rFonts w:cs="TimesNewRomanPS-ItalicMT"/>
          <w:iCs/>
          <w:szCs w:val="20"/>
        </w:rPr>
        <w:t>/</w:t>
      </w:r>
      <w:r w:rsidR="00C45559" w:rsidRPr="009E064B">
        <w:rPr>
          <w:rFonts w:cs="TimesNewRomanPS-ItalicMT"/>
          <w:iCs/>
          <w:szCs w:val="20"/>
        </w:rPr>
        <w:t> </w:t>
      </w:r>
      <w:r w:rsidRPr="009E064B">
        <w:rPr>
          <w:rFonts w:cs="TimesNewRomanPS-ItalicMT"/>
          <w:iCs/>
          <w:szCs w:val="20"/>
        </w:rPr>
        <w:t>przeciwdziałania oblodzeniu jest zapewnienie bezpiecznej separacji pomiędzy statkiem powietrznym korzystającym z tego stanowiska a jakimkolwiek sąsiadującym budynkiem, statkiem powietrznym na innym stanowisku oraz innymi obiektami.</w:t>
      </w:r>
    </w:p>
    <w:p w14:paraId="5466AB89" w14:textId="40EC562F" w:rsidR="00C36D76" w:rsidRPr="009E064B" w:rsidRDefault="00C36D76" w:rsidP="00557C15">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Płaszczyzna do odladzania</w:t>
      </w:r>
      <w:r w:rsidR="00C45559" w:rsidRPr="009E064B">
        <w:rPr>
          <w:rFonts w:cs="TimesNewRomanPS-ItalicMT"/>
          <w:iCs/>
          <w:szCs w:val="20"/>
        </w:rPr>
        <w:t> </w:t>
      </w:r>
      <w:r w:rsidRPr="009E064B">
        <w:rPr>
          <w:rFonts w:cs="TimesNewRomanPS-ItalicMT"/>
          <w:iCs/>
          <w:szCs w:val="20"/>
        </w:rPr>
        <w:t>/</w:t>
      </w:r>
      <w:r w:rsidR="00C45559" w:rsidRPr="009E064B">
        <w:rPr>
          <w:rFonts w:cs="TimesNewRomanPS-ItalicMT"/>
          <w:iCs/>
          <w:szCs w:val="20"/>
        </w:rPr>
        <w:t> </w:t>
      </w:r>
      <w:r w:rsidRPr="009E064B">
        <w:rPr>
          <w:rFonts w:cs="TimesNewRomanPS-ItalicMT"/>
          <w:iCs/>
          <w:szCs w:val="20"/>
        </w:rPr>
        <w:t>przeciwdziałania oblodzeniu powinna zapewniać poniższe minimalne odstępy pomiędzy statkiem powietrznym korzystającym z tego stanowiska a</w:t>
      </w:r>
      <w:r w:rsidR="00C45559" w:rsidRPr="009E064B">
        <w:rPr>
          <w:rFonts w:cs="TimesNewRomanPS-ItalicMT"/>
          <w:iCs/>
          <w:szCs w:val="20"/>
        </w:rPr>
        <w:t> </w:t>
      </w:r>
      <w:r w:rsidRPr="009E064B">
        <w:rPr>
          <w:rFonts w:cs="TimesNewRomanPS-ItalicMT"/>
          <w:iCs/>
          <w:szCs w:val="20"/>
        </w:rPr>
        <w:t>jakimkolwiek sąsiadującym budynkiem, statkiem powietrznym na innym stanowisku oraz innymi obiektami:</w:t>
      </w:r>
    </w:p>
    <w:p w14:paraId="72FC9CF1" w14:textId="77777777" w:rsidR="00321955" w:rsidRPr="009E064B" w:rsidRDefault="00321955" w:rsidP="00B06A9A">
      <w:pPr>
        <w:tabs>
          <w:tab w:val="left" w:pos="567"/>
        </w:tabs>
        <w:autoSpaceDE w:val="0"/>
        <w:autoSpaceDN w:val="0"/>
        <w:adjustRightInd w:val="0"/>
        <w:ind w:left="567" w:hanging="567"/>
        <w:rPr>
          <w:rFonts w:cs="TimesNewRomanPS-ItalicMT"/>
          <w:iCs/>
          <w:szCs w:val="20"/>
        </w:rPr>
      </w:pPr>
    </w:p>
    <w:tbl>
      <w:tblPr>
        <w:tblStyle w:val="Tabela-Siatka"/>
        <w:tblW w:w="0" w:type="auto"/>
        <w:jc w:val="center"/>
        <w:tblCellMar>
          <w:top w:w="57" w:type="dxa"/>
          <w:bottom w:w="57" w:type="dxa"/>
        </w:tblCellMar>
        <w:tblLook w:val="04A0" w:firstRow="1" w:lastRow="0" w:firstColumn="1" w:lastColumn="0" w:noHBand="0" w:noVBand="1"/>
      </w:tblPr>
      <w:tblGrid>
        <w:gridCol w:w="2764"/>
        <w:gridCol w:w="2765"/>
      </w:tblGrid>
      <w:tr w:rsidR="00321955" w:rsidRPr="009E064B" w14:paraId="037F270D" w14:textId="77777777" w:rsidTr="00321955">
        <w:trPr>
          <w:jc w:val="center"/>
        </w:trPr>
        <w:tc>
          <w:tcPr>
            <w:tcW w:w="2764" w:type="dxa"/>
            <w:vAlign w:val="center"/>
          </w:tcPr>
          <w:p w14:paraId="7CD88B19" w14:textId="77777777" w:rsidR="00321955" w:rsidRPr="009E064B" w:rsidRDefault="00321955" w:rsidP="00557C15">
            <w:pPr>
              <w:autoSpaceDE w:val="0"/>
              <w:autoSpaceDN w:val="0"/>
              <w:adjustRightInd w:val="0"/>
              <w:spacing w:after="0"/>
              <w:ind w:left="113" w:right="113"/>
              <w:jc w:val="center"/>
              <w:rPr>
                <w:rFonts w:cs="TimesNewRomanPS-ItalicMT"/>
                <w:b/>
                <w:iCs/>
                <w:szCs w:val="20"/>
              </w:rPr>
            </w:pPr>
            <w:r w:rsidRPr="009E064B">
              <w:rPr>
                <w:rFonts w:cs="TimesNewRomanPS-ItalicMT"/>
                <w:b/>
                <w:iCs/>
                <w:szCs w:val="20"/>
              </w:rPr>
              <w:t>Litera kodu</w:t>
            </w:r>
          </w:p>
        </w:tc>
        <w:tc>
          <w:tcPr>
            <w:tcW w:w="2765" w:type="dxa"/>
            <w:vAlign w:val="center"/>
          </w:tcPr>
          <w:p w14:paraId="1A5D2C74" w14:textId="77777777" w:rsidR="00321955" w:rsidRPr="009E064B" w:rsidRDefault="00321955" w:rsidP="00557C15">
            <w:pPr>
              <w:autoSpaceDE w:val="0"/>
              <w:autoSpaceDN w:val="0"/>
              <w:adjustRightInd w:val="0"/>
              <w:spacing w:after="0"/>
              <w:ind w:left="113" w:right="113"/>
              <w:jc w:val="center"/>
              <w:rPr>
                <w:rFonts w:cs="TimesNewRomanPS-ItalicMT"/>
                <w:b/>
                <w:iCs/>
                <w:szCs w:val="20"/>
              </w:rPr>
            </w:pPr>
            <w:r w:rsidRPr="009E064B">
              <w:rPr>
                <w:rFonts w:cs="TimesNewRomanPS-ItalicMT"/>
                <w:b/>
                <w:iCs/>
                <w:szCs w:val="20"/>
              </w:rPr>
              <w:t>Odstęp</w:t>
            </w:r>
          </w:p>
        </w:tc>
      </w:tr>
      <w:tr w:rsidR="00321955" w:rsidRPr="009E064B" w14:paraId="5598DE39" w14:textId="77777777" w:rsidTr="00321955">
        <w:trPr>
          <w:jc w:val="center"/>
        </w:trPr>
        <w:tc>
          <w:tcPr>
            <w:tcW w:w="2764" w:type="dxa"/>
            <w:vAlign w:val="center"/>
          </w:tcPr>
          <w:p w14:paraId="522754A8"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A</w:t>
            </w:r>
          </w:p>
        </w:tc>
        <w:tc>
          <w:tcPr>
            <w:tcW w:w="2765" w:type="dxa"/>
            <w:vAlign w:val="center"/>
          </w:tcPr>
          <w:p w14:paraId="49E79DAD"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3.8 m</w:t>
            </w:r>
          </w:p>
        </w:tc>
      </w:tr>
      <w:tr w:rsidR="00321955" w:rsidRPr="009E064B" w14:paraId="5188E2F8" w14:textId="77777777" w:rsidTr="00321955">
        <w:trPr>
          <w:jc w:val="center"/>
        </w:trPr>
        <w:tc>
          <w:tcPr>
            <w:tcW w:w="2764" w:type="dxa"/>
            <w:vAlign w:val="center"/>
          </w:tcPr>
          <w:p w14:paraId="51D0CCD9"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B</w:t>
            </w:r>
          </w:p>
        </w:tc>
        <w:tc>
          <w:tcPr>
            <w:tcW w:w="2765" w:type="dxa"/>
            <w:vAlign w:val="center"/>
          </w:tcPr>
          <w:p w14:paraId="524F9160"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3.8 m</w:t>
            </w:r>
          </w:p>
        </w:tc>
      </w:tr>
      <w:tr w:rsidR="00321955" w:rsidRPr="009E064B" w14:paraId="2CF806E4" w14:textId="77777777" w:rsidTr="00321955">
        <w:trPr>
          <w:jc w:val="center"/>
        </w:trPr>
        <w:tc>
          <w:tcPr>
            <w:tcW w:w="2764" w:type="dxa"/>
            <w:vAlign w:val="center"/>
          </w:tcPr>
          <w:p w14:paraId="1CA7EE66"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C</w:t>
            </w:r>
          </w:p>
        </w:tc>
        <w:tc>
          <w:tcPr>
            <w:tcW w:w="2765" w:type="dxa"/>
            <w:vAlign w:val="center"/>
          </w:tcPr>
          <w:p w14:paraId="717191EC"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4.5 m</w:t>
            </w:r>
          </w:p>
        </w:tc>
      </w:tr>
      <w:tr w:rsidR="00321955" w:rsidRPr="009E064B" w14:paraId="169AAEEA" w14:textId="77777777" w:rsidTr="00321955">
        <w:trPr>
          <w:jc w:val="center"/>
        </w:trPr>
        <w:tc>
          <w:tcPr>
            <w:tcW w:w="2764" w:type="dxa"/>
            <w:vAlign w:val="center"/>
          </w:tcPr>
          <w:p w14:paraId="5AE0DD16"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D</w:t>
            </w:r>
          </w:p>
        </w:tc>
        <w:tc>
          <w:tcPr>
            <w:tcW w:w="2765" w:type="dxa"/>
            <w:vAlign w:val="center"/>
          </w:tcPr>
          <w:p w14:paraId="7F8E713A"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7.5 m</w:t>
            </w:r>
          </w:p>
        </w:tc>
      </w:tr>
      <w:tr w:rsidR="00321955" w:rsidRPr="009E064B" w14:paraId="0AC3F99C" w14:textId="77777777" w:rsidTr="00321955">
        <w:trPr>
          <w:jc w:val="center"/>
        </w:trPr>
        <w:tc>
          <w:tcPr>
            <w:tcW w:w="2764" w:type="dxa"/>
            <w:vAlign w:val="center"/>
          </w:tcPr>
          <w:p w14:paraId="59AA93FD"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E</w:t>
            </w:r>
          </w:p>
        </w:tc>
        <w:tc>
          <w:tcPr>
            <w:tcW w:w="2765" w:type="dxa"/>
            <w:vAlign w:val="center"/>
          </w:tcPr>
          <w:p w14:paraId="7FFC3D2E"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7.5 m</w:t>
            </w:r>
          </w:p>
        </w:tc>
      </w:tr>
      <w:tr w:rsidR="00321955" w:rsidRPr="009E064B" w14:paraId="69F8D3BD" w14:textId="77777777" w:rsidTr="00321955">
        <w:trPr>
          <w:jc w:val="center"/>
        </w:trPr>
        <w:tc>
          <w:tcPr>
            <w:tcW w:w="2764" w:type="dxa"/>
            <w:vAlign w:val="center"/>
          </w:tcPr>
          <w:p w14:paraId="3F15233B"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F</w:t>
            </w:r>
          </w:p>
        </w:tc>
        <w:tc>
          <w:tcPr>
            <w:tcW w:w="2765" w:type="dxa"/>
            <w:vAlign w:val="center"/>
          </w:tcPr>
          <w:p w14:paraId="28F56A39" w14:textId="77777777" w:rsidR="00321955" w:rsidRPr="009E064B" w:rsidRDefault="00321955" w:rsidP="00557C15">
            <w:pPr>
              <w:autoSpaceDE w:val="0"/>
              <w:autoSpaceDN w:val="0"/>
              <w:adjustRightInd w:val="0"/>
              <w:spacing w:after="0"/>
              <w:ind w:left="113" w:right="113"/>
              <w:jc w:val="center"/>
              <w:rPr>
                <w:rFonts w:cs="TimesNewRomanPS-ItalicMT"/>
                <w:iCs/>
                <w:szCs w:val="20"/>
              </w:rPr>
            </w:pPr>
            <w:r w:rsidRPr="009E064B">
              <w:rPr>
                <w:rFonts w:cs="TimesNewRomanPS-ItalicMT"/>
                <w:iCs/>
                <w:szCs w:val="20"/>
              </w:rPr>
              <w:t>7.5 m</w:t>
            </w:r>
          </w:p>
        </w:tc>
      </w:tr>
    </w:tbl>
    <w:p w14:paraId="7E0F5750" w14:textId="77777777" w:rsidR="00321955" w:rsidRPr="009E064B" w:rsidRDefault="00321955" w:rsidP="00B06A9A">
      <w:pPr>
        <w:tabs>
          <w:tab w:val="left" w:pos="-1843"/>
          <w:tab w:val="left" w:pos="567"/>
          <w:tab w:val="center" w:pos="3119"/>
        </w:tabs>
        <w:autoSpaceDE w:val="0"/>
        <w:autoSpaceDN w:val="0"/>
        <w:adjustRightInd w:val="0"/>
        <w:ind w:left="567" w:hanging="567"/>
        <w:rPr>
          <w:rFonts w:cs="Times New Roman"/>
          <w:szCs w:val="20"/>
        </w:rPr>
      </w:pPr>
    </w:p>
    <w:p w14:paraId="4BE5FF8F" w14:textId="5CA9EDA9" w:rsidR="00C36D76" w:rsidRPr="009E064B" w:rsidRDefault="00C36D76" w:rsidP="00B06A9A">
      <w:pPr>
        <w:tabs>
          <w:tab w:val="left" w:pos="-1843"/>
          <w:tab w:val="left" w:pos="567"/>
          <w:tab w:val="center" w:pos="3119"/>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Jeżeli konfiguracja płaszczyzny jest taka, że istnieje możliwość objazdu kołujących statków powietrznych, to należy uwzględnić minimalne odległości separacji określone w Tabeli D-1, kolumna (13).</w:t>
      </w:r>
    </w:p>
    <w:p w14:paraId="5189ED69" w14:textId="39353E58" w:rsidR="00C36D76" w:rsidRPr="009E064B" w:rsidRDefault="00C36D76" w:rsidP="00B06A9A">
      <w:pPr>
        <w:tabs>
          <w:tab w:val="left" w:pos="567"/>
        </w:tabs>
        <w:autoSpaceDE w:val="0"/>
        <w:autoSpaceDN w:val="0"/>
        <w:adjustRightInd w:val="0"/>
        <w:spacing w:after="0"/>
        <w:ind w:left="567" w:hanging="567"/>
        <w:rPr>
          <w:rFonts w:cs="TimesNewRomanPS-ItalicMT"/>
          <w:iCs/>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W przypadku, gdy stanowisko do odladzania/przeciwdziałania oblodzeniu przylega do regularnie wykorzystywanej drogi kołowania, należy zapewnić minimalne odle</w:t>
      </w:r>
      <w:r w:rsidR="009F3D23" w:rsidRPr="009E064B">
        <w:rPr>
          <w:rFonts w:cs="TimesNewRomanPS-ItalicMT"/>
          <w:iCs/>
          <w:szCs w:val="20"/>
        </w:rPr>
        <w:t>głości separacji określone w </w:t>
      </w:r>
      <w:r w:rsidRPr="009E064B">
        <w:rPr>
          <w:rFonts w:cs="TimesNewRomanPS-ItalicMT"/>
          <w:iCs/>
          <w:szCs w:val="20"/>
        </w:rPr>
        <w:t>Tabeli D-1, kolumna 11 (patrz Rysunek G-1.).</w:t>
      </w:r>
    </w:p>
    <w:p w14:paraId="4AA586AB" w14:textId="77777777" w:rsidR="00557C15" w:rsidRPr="009E064B" w:rsidRDefault="00557C15" w:rsidP="00B06A9A">
      <w:pPr>
        <w:tabs>
          <w:tab w:val="left" w:pos="567"/>
        </w:tabs>
        <w:autoSpaceDE w:val="0"/>
        <w:autoSpaceDN w:val="0"/>
        <w:adjustRightInd w:val="0"/>
        <w:spacing w:after="0"/>
        <w:ind w:left="567" w:hanging="567"/>
        <w:rPr>
          <w:rFonts w:cs="TimesNewRomanPS-ItalicMT"/>
          <w:iCs/>
          <w:szCs w:val="20"/>
        </w:rPr>
      </w:pPr>
    </w:p>
    <w:p w14:paraId="694C5791" w14:textId="77777777" w:rsidR="00D83FD7" w:rsidRPr="009E064B" w:rsidRDefault="00D83FD7" w:rsidP="00D83FD7">
      <w:pPr>
        <w:tabs>
          <w:tab w:val="left" w:pos="567"/>
        </w:tabs>
        <w:autoSpaceDE w:val="0"/>
        <w:autoSpaceDN w:val="0"/>
        <w:adjustRightInd w:val="0"/>
        <w:ind w:left="567" w:hanging="567"/>
        <w:rPr>
          <w:rFonts w:cs="TimesNewRomanPSMT"/>
          <w:szCs w:val="20"/>
        </w:rPr>
      </w:pPr>
    </w:p>
    <w:p w14:paraId="3365B488" w14:textId="085EA0FB" w:rsidR="00C36D76" w:rsidRPr="009E064B" w:rsidRDefault="00BD5FAC" w:rsidP="00D83FD7">
      <w:pPr>
        <w:spacing w:after="0"/>
        <w:rPr>
          <w:iCs/>
        </w:rPr>
      </w:pPr>
      <w:r w:rsidRPr="009E064B">
        <w:rPr>
          <w:noProof/>
          <w:lang w:eastAsia="pl-PL"/>
        </w:rPr>
        <w:drawing>
          <wp:inline distT="0" distB="0" distL="0" distR="0" wp14:anchorId="245CB948" wp14:editId="296F960E">
            <wp:extent cx="5760720" cy="2754806"/>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720" cy="2754806"/>
                    </a:xfrm>
                    <a:prstGeom prst="rect">
                      <a:avLst/>
                    </a:prstGeom>
                    <a:noFill/>
                    <a:ln>
                      <a:noFill/>
                    </a:ln>
                  </pic:spPr>
                </pic:pic>
              </a:graphicData>
            </a:graphic>
          </wp:inline>
        </w:drawing>
      </w:r>
    </w:p>
    <w:p w14:paraId="1D3998A5" w14:textId="77777777" w:rsidR="00C36D76" w:rsidRPr="009E064B" w:rsidRDefault="00C36D76" w:rsidP="00B06A9A">
      <w:pPr>
        <w:spacing w:after="0"/>
        <w:jc w:val="center"/>
        <w:rPr>
          <w:rFonts w:cs="TimesNewRomanPSMT"/>
          <w:szCs w:val="20"/>
        </w:rPr>
      </w:pPr>
    </w:p>
    <w:p w14:paraId="45A1B587" w14:textId="023C6C6E" w:rsidR="00C36D76" w:rsidRPr="005669D1" w:rsidRDefault="00C36D76" w:rsidP="00B06A9A">
      <w:pPr>
        <w:spacing w:after="200"/>
        <w:jc w:val="center"/>
        <w:rPr>
          <w:rFonts w:cs="TimesNewRomanPSMT"/>
          <w:b/>
          <w:szCs w:val="20"/>
        </w:rPr>
      </w:pPr>
      <w:r w:rsidRPr="005669D1">
        <w:rPr>
          <w:rFonts w:cs="TimesNewRomanPSMT"/>
          <w:b/>
          <w:sz w:val="20"/>
          <w:szCs w:val="20"/>
        </w:rPr>
        <w:t xml:space="preserve">Rysunek G-1. </w:t>
      </w:r>
      <w:r w:rsidR="00E916B1" w:rsidRPr="005669D1">
        <w:rPr>
          <w:rFonts w:cs="TimesNewRomanPSMT"/>
          <w:b/>
          <w:sz w:val="20"/>
          <w:szCs w:val="20"/>
        </w:rPr>
        <w:t xml:space="preserve"> </w:t>
      </w:r>
      <w:r w:rsidRPr="005669D1">
        <w:rPr>
          <w:rFonts w:cs="TimesNewRomanPSMT"/>
          <w:b/>
          <w:sz w:val="20"/>
          <w:szCs w:val="20"/>
        </w:rPr>
        <w:t xml:space="preserve"> Minimalna odległość separacji na stanowisku do odladzania /</w:t>
      </w:r>
      <w:r w:rsidRPr="005669D1">
        <w:rPr>
          <w:rFonts w:cs="TimesNewRomanPSMT"/>
          <w:b/>
          <w:sz w:val="20"/>
          <w:szCs w:val="20"/>
        </w:rPr>
        <w:br/>
        <w:t>przeciwdziałania oblodzeniu</w:t>
      </w:r>
    </w:p>
    <w:p w14:paraId="67BDCFBC" w14:textId="77777777" w:rsidR="00C36D76" w:rsidRPr="009E064B" w:rsidRDefault="00C36D76" w:rsidP="00B06A9A">
      <w:pPr>
        <w:pStyle w:val="Tekstpodstawowy"/>
        <w:rPr>
          <w:i/>
          <w:sz w:val="16"/>
        </w:rPr>
      </w:pPr>
      <w:r w:rsidRPr="009E064B">
        <w:rPr>
          <w:i/>
          <w:sz w:val="16"/>
        </w:rPr>
        <w:t>[Wydanie: ADR-DSN/2, Wydanie: ADR-DSN/3]</w:t>
      </w:r>
    </w:p>
    <w:p w14:paraId="77D75B60" w14:textId="713E4ACC" w:rsidR="00557C15" w:rsidRPr="009E064B" w:rsidRDefault="00557C15">
      <w:pPr>
        <w:spacing w:after="0"/>
        <w:jc w:val="left"/>
        <w:rPr>
          <w:rFonts w:eastAsia="Times New Roman"/>
          <w:sz w:val="17"/>
          <w:szCs w:val="17"/>
        </w:rPr>
      </w:pPr>
      <w:r w:rsidRPr="009E064B">
        <w:br w:type="page"/>
      </w:r>
    </w:p>
    <w:p w14:paraId="1BD96A4A" w14:textId="15980E93" w:rsidR="00F96626" w:rsidRPr="009E064B" w:rsidRDefault="00E916B1" w:rsidP="00133B99">
      <w:pPr>
        <w:pStyle w:val="Nagwek6"/>
      </w:pPr>
      <w:bookmarkStart w:id="1196" w:name="_Toc401058973"/>
      <w:bookmarkStart w:id="1197" w:name="_Toc482886839"/>
      <w:bookmarkStart w:id="1198" w:name="_Toc12533075"/>
      <w:r w:rsidRPr="009E064B">
        <w:t xml:space="preserve">GM1 ADR-DSN.G.400     </w:t>
      </w:r>
      <w:r w:rsidR="00F96626" w:rsidRPr="009E064B">
        <w:t>Odległości bezpieczeństwa na płaszczyźnie do odladzania / przeciwdziałania oblodzeniu</w:t>
      </w:r>
      <w:bookmarkEnd w:id="1196"/>
      <w:bookmarkEnd w:id="1197"/>
      <w:bookmarkEnd w:id="1198"/>
    </w:p>
    <w:p w14:paraId="3337495A" w14:textId="41A00C4B"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ECF4875" w14:textId="6298E638" w:rsidR="00F96626" w:rsidRPr="009E064B" w:rsidRDefault="00F96626" w:rsidP="00E916B1">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Kryteria</w:t>
      </w:r>
      <w:r w:rsidRPr="009E064B">
        <w:rPr>
          <w:rFonts w:cs="TimesNewRomanPSMT"/>
          <w:szCs w:val="20"/>
        </w:rPr>
        <w:t xml:space="preserve"> dotyczące odległości powinny uwzględniać potrzebę indywidualnych płaszczyzn 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 zapewniających wystarczający obszar manewrowania dookoła statku powietrznego w celu umożliwienia jednoczesnego działania dwóch lub więcej mobilnych pojazdów służących 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 oraz zapewniających wystarczającą niepokrywającą się przestrzeń dla strefy pojazdów bezpieczeństwa pomiędzy sąsiednimi płaszczyznami do odladzania/przeciwdziałania oblodzeniu oraz innymi płaszczyznami 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w:t>
      </w:r>
    </w:p>
    <w:p w14:paraId="711BBDD1" w14:textId="6FD328CC"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NewRomanPSMT"/>
          <w:szCs w:val="20"/>
        </w:rPr>
        <w:t xml:space="preserve">Minimalna odległość wynosząca 3.8 m jest niezbędna dla przemieszczania się dookoła statku </w:t>
      </w:r>
      <w:r w:rsidRPr="009E064B">
        <w:rPr>
          <w:rFonts w:cs="Times New Roman"/>
          <w:szCs w:val="20"/>
        </w:rPr>
        <w:t>powietrznego</w:t>
      </w:r>
      <w:r w:rsidRPr="009E064B">
        <w:rPr>
          <w:rFonts w:cs="TimesNewRomanPSMT"/>
          <w:szCs w:val="20"/>
        </w:rPr>
        <w:t xml:space="preserve"> pojazdów służących 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w:t>
      </w:r>
    </w:p>
    <w:p w14:paraId="504DEAF1" w14:textId="0C91C698"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Jeżeli</w:t>
      </w:r>
      <w:r w:rsidRPr="009E064B">
        <w:rPr>
          <w:rFonts w:cs="TimesNewRomanPSMT"/>
          <w:szCs w:val="20"/>
        </w:rPr>
        <w:t xml:space="preserve"> stanowisko do odladzania</w:t>
      </w:r>
      <w:r w:rsidR="00E916B1" w:rsidRPr="009E064B">
        <w:rPr>
          <w:rFonts w:cs="TimesNewRomanPSMT"/>
          <w:szCs w:val="20"/>
        </w:rPr>
        <w:t> </w:t>
      </w:r>
      <w:r w:rsidRPr="009E064B">
        <w:rPr>
          <w:rFonts w:cs="TimesNewRomanPSMT"/>
          <w:szCs w:val="20"/>
        </w:rPr>
        <w:t>/</w:t>
      </w:r>
      <w:r w:rsidR="00E916B1" w:rsidRPr="009E064B">
        <w:rPr>
          <w:rFonts w:cs="TimesNewRomanPSMT"/>
          <w:szCs w:val="20"/>
        </w:rPr>
        <w:t> </w:t>
      </w:r>
      <w:r w:rsidRPr="009E064B">
        <w:rPr>
          <w:rFonts w:cs="TimesNewRomanPSMT"/>
          <w:szCs w:val="20"/>
        </w:rPr>
        <w:t>przeciwdziałania oblodzeniu jest zlokalizowane w strefie gdzie nie odbywa się ruch, minimalna odległość może zostać zmniejszona.</w:t>
      </w:r>
    </w:p>
    <w:p w14:paraId="583B0EAB" w14:textId="77777777" w:rsidR="00F96626" w:rsidRPr="009E064B" w:rsidRDefault="00F96626" w:rsidP="00B06A9A">
      <w:pPr>
        <w:pStyle w:val="Tekstpodstawowy"/>
      </w:pPr>
    </w:p>
    <w:p w14:paraId="6CAE9E45" w14:textId="77777777" w:rsidR="00F96626" w:rsidRPr="009E064B" w:rsidRDefault="00F96626" w:rsidP="00B06A9A">
      <w:pPr>
        <w:pStyle w:val="Tekstpodstawowy"/>
        <w:rPr>
          <w:rFonts w:cs="TimesNewRomanPSMT"/>
        </w:rPr>
      </w:pPr>
    </w:p>
    <w:p w14:paraId="01FAA958" w14:textId="77777777" w:rsidR="00C36D76" w:rsidRPr="009E064B" w:rsidRDefault="00C36D76" w:rsidP="00B06A9A">
      <w:pPr>
        <w:rPr>
          <w:rFonts w:cs="TimesNewRomanPS-BoldMT"/>
          <w:bCs/>
          <w:szCs w:val="20"/>
        </w:rPr>
        <w:sectPr w:rsidR="00C36D76" w:rsidRPr="009E064B" w:rsidSect="00605746">
          <w:headerReference w:type="default" r:id="rId128"/>
          <w:headerReference w:type="first" r:id="rId129"/>
          <w:pgSz w:w="11906" w:h="16840" w:code="9"/>
          <w:pgMar w:top="1701" w:right="1418" w:bottom="1418" w:left="1418" w:header="567" w:footer="454" w:gutter="0"/>
          <w:cols w:space="708"/>
          <w:titlePg/>
          <w:docGrid w:linePitch="360"/>
        </w:sectPr>
      </w:pPr>
    </w:p>
    <w:p w14:paraId="5E8199F7" w14:textId="77777777" w:rsidR="00870EA7" w:rsidRPr="009E064B" w:rsidRDefault="00870EA7" w:rsidP="00B06A9A"/>
    <w:p w14:paraId="7BC2F201" w14:textId="44212CE5" w:rsidR="00C36D76" w:rsidRPr="009E064B" w:rsidRDefault="00C36D76" w:rsidP="00020EA3">
      <w:pPr>
        <w:pStyle w:val="Nagwek2"/>
      </w:pPr>
      <w:bookmarkStart w:id="1199" w:name="_Toc382725610"/>
      <w:bookmarkStart w:id="1200" w:name="_Toc482886616"/>
      <w:bookmarkStart w:id="1201" w:name="_Toc12533076"/>
      <w:r w:rsidRPr="009E064B">
        <w:t xml:space="preserve">ROZDZIAŁ H </w:t>
      </w:r>
      <w:r w:rsidR="008441EB" w:rsidRPr="009E064B">
        <w:t xml:space="preserve">— </w:t>
      </w:r>
      <w:r w:rsidRPr="009E064B">
        <w:t>POWIERZCHNIE OGRANICZAJĄCE PRZESZKODY</w:t>
      </w:r>
      <w:bookmarkEnd w:id="1199"/>
      <w:bookmarkEnd w:id="1200"/>
      <w:bookmarkEnd w:id="1201"/>
    </w:p>
    <w:p w14:paraId="00CB00E7" w14:textId="77777777" w:rsidR="00C36D76" w:rsidRPr="009E064B" w:rsidRDefault="00C36D76" w:rsidP="00B06A9A">
      <w:pPr>
        <w:rPr>
          <w:rFonts w:cs="TimesNewRomanPS-BoldMT"/>
          <w:bCs/>
          <w:szCs w:val="20"/>
        </w:rPr>
      </w:pPr>
    </w:p>
    <w:p w14:paraId="2414499B" w14:textId="4EC90D40" w:rsidR="00C36D76" w:rsidRPr="009E064B" w:rsidRDefault="00E916B1" w:rsidP="00B06A9A">
      <w:pPr>
        <w:pStyle w:val="Nagwek4"/>
        <w:rPr>
          <w:color w:val="auto"/>
        </w:rPr>
      </w:pPr>
      <w:bookmarkStart w:id="1202" w:name="_Toc482886617"/>
      <w:bookmarkStart w:id="1203" w:name="_Toc12533077"/>
      <w:r w:rsidRPr="009E064B">
        <w:rPr>
          <w:color w:val="auto"/>
        </w:rPr>
        <w:t xml:space="preserve">CS ADR-DSN.H.405     </w:t>
      </w:r>
      <w:r w:rsidR="00C36D76" w:rsidRPr="009E064B">
        <w:rPr>
          <w:color w:val="auto"/>
        </w:rPr>
        <w:t>Zastosowanie</w:t>
      </w:r>
      <w:bookmarkEnd w:id="1202"/>
      <w:bookmarkEnd w:id="1203"/>
    </w:p>
    <w:p w14:paraId="5169F072" w14:textId="13CA5B1B"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9587BA0" w14:textId="77777777" w:rsidR="00C36D76" w:rsidRPr="009E064B" w:rsidRDefault="00C36D76" w:rsidP="00B06A9A">
      <w:pPr>
        <w:autoSpaceDE w:val="0"/>
        <w:autoSpaceDN w:val="0"/>
        <w:adjustRightInd w:val="0"/>
        <w:rPr>
          <w:rFonts w:cs="TimesNewRomanPSMT"/>
          <w:szCs w:val="20"/>
        </w:rPr>
      </w:pPr>
      <w:r w:rsidRPr="009E064B">
        <w:rPr>
          <w:rFonts w:cs="TimesNewRomanPS-ItalicMT"/>
          <w:iCs/>
          <w:szCs w:val="20"/>
        </w:rPr>
        <w:t>Celem powierzchni ograniczających przeszkody jest określenie przestrzeni powietrznej wokół lotniska, która ma być wolna od wszelkich przeszkód lotniczych, w celu umożliwienia bezpiecznego wykonywania operacji lotniczych przez statki powietrzne.</w:t>
      </w:r>
    </w:p>
    <w:p w14:paraId="128B8B6F" w14:textId="139BC629" w:rsidR="00F96626" w:rsidRPr="009E064B" w:rsidRDefault="00E916B1" w:rsidP="00133B99">
      <w:pPr>
        <w:pStyle w:val="Nagwek6"/>
      </w:pPr>
      <w:bookmarkStart w:id="1204" w:name="_Toc401058975"/>
      <w:bookmarkStart w:id="1205" w:name="_Toc482886841"/>
      <w:bookmarkStart w:id="1206" w:name="_Toc12533078"/>
      <w:r w:rsidRPr="009E064B">
        <w:t xml:space="preserve">GM1 ADR-DSN.H.405     </w:t>
      </w:r>
      <w:r w:rsidR="00F96626" w:rsidRPr="009E064B">
        <w:t>Zastosowanie</w:t>
      </w:r>
      <w:bookmarkEnd w:id="1204"/>
      <w:bookmarkEnd w:id="1205"/>
      <w:bookmarkEnd w:id="1206"/>
    </w:p>
    <w:p w14:paraId="5B1DBD21" w14:textId="5AD9E108"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0E70E0CB" w14:textId="75B9C39B" w:rsidR="00F96626" w:rsidRPr="009E064B" w:rsidRDefault="00F96626" w:rsidP="00E916B1">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NewRomanPSMT"/>
          <w:szCs w:val="20"/>
        </w:rPr>
        <w:t>Powierzchnie ograniczające przeszkody określają granice, do jakich mogą sięgać obiekty w przestrzeni powietrznej. Każda strefa związana jest z jedną lub większą ilością faz lotu oraz zapewnia ochronę statku powietrznego w danej fazie.</w:t>
      </w:r>
    </w:p>
    <w:p w14:paraId="1B6C7974"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NewRomanPSMT"/>
          <w:szCs w:val="20"/>
        </w:rPr>
        <w:t>Powierzchnie ograniczające przeszkody pomagają zapobiegać sytuacji, kiedy lotniska stają się bezużyteczne na skutek rosnącej ilości przeszkód dookoła jego obszaru.</w:t>
      </w:r>
    </w:p>
    <w:p w14:paraId="2B7C2957" w14:textId="1353D63F"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NewRomanPSMT"/>
          <w:szCs w:val="20"/>
        </w:rPr>
        <w:t xml:space="preserve">Skuteczne wykorzystanie lotniska może być w znacznym stopniu uzależnione od uwarunkowań naturalnych oraz konstrukcji wzniesionych przez człowieka poza granicami lotniska. Może to powodować ograniczenia w długościach </w:t>
      </w:r>
      <w:r w:rsidR="00BD5FAC" w:rsidRPr="009E064B">
        <w:rPr>
          <w:rFonts w:cs="TimesNewRomanPSMT"/>
          <w:szCs w:val="20"/>
        </w:rPr>
        <w:t>dostępnych na potrzeby startu i lądowania oraz w </w:t>
      </w:r>
      <w:r w:rsidRPr="009E064B">
        <w:rPr>
          <w:rFonts w:cs="TimesNewRomanPSMT"/>
          <w:szCs w:val="20"/>
        </w:rPr>
        <w:t>zakresie warunków meteorologicznych, w któr</w:t>
      </w:r>
      <w:r w:rsidR="00BD5FAC" w:rsidRPr="009E064B">
        <w:rPr>
          <w:rFonts w:cs="TimesNewRomanPSMT"/>
          <w:szCs w:val="20"/>
        </w:rPr>
        <w:t xml:space="preserve">ych operacje startu i </w:t>
      </w:r>
      <w:r w:rsidRPr="009E064B">
        <w:rPr>
          <w:rFonts w:cs="TimesNewRomanPSMT"/>
          <w:szCs w:val="20"/>
        </w:rPr>
        <w:t>lądowania mogą być wykonywane. Z tych powodów, niektóre obszary lokalnych przestrzeni powietrznych powinny być uznawane za integralne części otoczenia lotniska.</w:t>
      </w:r>
    </w:p>
    <w:p w14:paraId="554AAC0C" w14:textId="7A66BE8B"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 xml:space="preserve">Obiekty, które przewyższają powierzchnie ograniczające przeszkody, mogą, w pewnych </w:t>
      </w:r>
      <w:r w:rsidRPr="009E064B">
        <w:rPr>
          <w:rFonts w:cs="TimesNewRomanPSMT"/>
          <w:szCs w:val="20"/>
        </w:rPr>
        <w:t>warunkach</w:t>
      </w:r>
      <w:r w:rsidRPr="009E064B">
        <w:rPr>
          <w:rFonts w:eastAsia="Times New Roman,Italic" w:cs="Times New Roman,Italic"/>
          <w:iCs/>
          <w:szCs w:val="20"/>
        </w:rPr>
        <w:t>, powodować zwiększenie wysokości przelotu nad przeszkodami dla procedury podejścia według wskazań przyrządów lub dla jakiejkolwiek innej procedury związanej z procedurą wzrokowego podejścia z okrążeniem lub w inny sposób wpływać na projektowanie procedur lotu. Kryteria dotyczące projektowan</w:t>
      </w:r>
      <w:r w:rsidR="00BD5FAC" w:rsidRPr="009E064B">
        <w:rPr>
          <w:rFonts w:eastAsia="Times New Roman,Italic" w:cs="Times New Roman,Italic"/>
          <w:iCs/>
          <w:szCs w:val="20"/>
        </w:rPr>
        <w:t xml:space="preserve">ia procedur lotu znajdują się w </w:t>
      </w:r>
      <w:r w:rsidRPr="009E064B">
        <w:rPr>
          <w:rFonts w:eastAsia="Times New Roman,Italic" w:cs="Times New Roman,Italic"/>
          <w:iCs/>
          <w:szCs w:val="20"/>
        </w:rPr>
        <w:t xml:space="preserve">podręczniku ICAO Doc 8168 </w:t>
      </w:r>
      <w:r w:rsidRPr="009E064B">
        <w:rPr>
          <w:rFonts w:eastAsia="Times New Roman,Italic" w:cs="Times New Roman,Italic"/>
          <w:i/>
          <w:iCs/>
          <w:szCs w:val="20"/>
        </w:rPr>
        <w:t>„Procedury służb żeglugi powietrznej - Operacje statków powietrznych (PANS-OPS)”</w:t>
      </w:r>
      <w:r w:rsidRPr="009E064B">
        <w:rPr>
          <w:rFonts w:eastAsia="Times New Roman,Italic" w:cs="Times New Roman,Italic"/>
          <w:iCs/>
          <w:szCs w:val="20"/>
        </w:rPr>
        <w:t>.</w:t>
      </w:r>
    </w:p>
    <w:p w14:paraId="2CB7201A"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NewRomanPSMT"/>
          <w:szCs w:val="20"/>
        </w:rPr>
        <w:t>W idealnych warunkach, wszystkie powierzchnie powinny być wolne od przeszkód, ale jeżeli powierzchnia zostanie naruszona, wymagane środki bezpieczeństwa powinny uwzględniać:</w:t>
      </w:r>
    </w:p>
    <w:p w14:paraId="085753D3"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(1) </w:t>
      </w:r>
      <w:r w:rsidRPr="009E064B">
        <w:rPr>
          <w:rFonts w:cs="TimesNewRomanPS-BoldItalicMT"/>
          <w:bCs/>
          <w:iCs/>
          <w:szCs w:val="20"/>
        </w:rPr>
        <w:tab/>
      </w:r>
      <w:r w:rsidRPr="009E064B">
        <w:rPr>
          <w:rFonts w:cs="TimesNewRomanPSMT"/>
          <w:szCs w:val="20"/>
        </w:rPr>
        <w:t>charakter przeszkody i jej lokalizacja w stosunku do początku powierzchni, przedłużonej linii środkowej drogi startowej lub normalnych ścieżek podejścia i odlotu, oraz do istniejących przeszkód;</w:t>
      </w:r>
    </w:p>
    <w:p w14:paraId="193778FB"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NewRomanPSMT"/>
          <w:szCs w:val="20"/>
        </w:rPr>
        <w:t>zakres, do jakiego strefa została naruszona;</w:t>
      </w:r>
    </w:p>
    <w:p w14:paraId="0028F8EC"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(3) </w:t>
      </w:r>
      <w:r w:rsidRPr="009E064B">
        <w:rPr>
          <w:rFonts w:cs="TimesNewRomanPS-BoldItalicMT"/>
          <w:bCs/>
          <w:iCs/>
          <w:szCs w:val="20"/>
        </w:rPr>
        <w:tab/>
      </w:r>
      <w:r w:rsidRPr="009E064B">
        <w:rPr>
          <w:rFonts w:cs="TimesNewRomanPSMT"/>
          <w:szCs w:val="20"/>
        </w:rPr>
        <w:t>gradient przeszkody w stosunku do początku powierzchni;</w:t>
      </w:r>
    </w:p>
    <w:p w14:paraId="3EE23101"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(4) </w:t>
      </w:r>
      <w:r w:rsidRPr="009E064B">
        <w:rPr>
          <w:rFonts w:cs="TimesNewRomanPS-BoldItalicMT"/>
          <w:bCs/>
          <w:iCs/>
          <w:szCs w:val="20"/>
        </w:rPr>
        <w:tab/>
      </w:r>
      <w:r w:rsidRPr="009E064B">
        <w:rPr>
          <w:rFonts w:cs="TimesNewRomanPSMT"/>
          <w:szCs w:val="20"/>
        </w:rPr>
        <w:t>rodzaj ruchu lotniczego, jaki odbywa się na lotnisku; oraz</w:t>
      </w:r>
    </w:p>
    <w:p w14:paraId="067EC0D8"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(5) </w:t>
      </w:r>
      <w:r w:rsidRPr="009E064B">
        <w:rPr>
          <w:rFonts w:cs="TimesNewRomanPS-BoldItalicMT"/>
          <w:bCs/>
          <w:iCs/>
          <w:szCs w:val="20"/>
        </w:rPr>
        <w:tab/>
      </w:r>
      <w:r w:rsidRPr="009E064B">
        <w:rPr>
          <w:rFonts w:cs="TimesNewRomanPSMT"/>
          <w:szCs w:val="20"/>
        </w:rPr>
        <w:t>procedury podejścia według wskazań przyrządów opublikowane dla lotniska.</w:t>
      </w:r>
    </w:p>
    <w:p w14:paraId="47B8D94A"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NewRomanPSMT"/>
          <w:szCs w:val="20"/>
        </w:rPr>
        <w:t>Środki bezpieczeństwa mogą być następujące:</w:t>
      </w:r>
    </w:p>
    <w:p w14:paraId="1974B5EA"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(1) </w:t>
      </w:r>
      <w:r w:rsidRPr="009E064B">
        <w:rPr>
          <w:rFonts w:cs="TimesNewRomanPS-BoldItalicMT"/>
          <w:bCs/>
          <w:iCs/>
          <w:szCs w:val="20"/>
        </w:rPr>
        <w:tab/>
      </w:r>
      <w:r w:rsidRPr="009E064B">
        <w:rPr>
          <w:rFonts w:cs="TimesNewRomanPSMT"/>
          <w:szCs w:val="20"/>
        </w:rPr>
        <w:t>publikacja w AIP odpowiednich informacji;</w:t>
      </w:r>
    </w:p>
    <w:p w14:paraId="2D73972B"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NewRomanPSMT"/>
          <w:szCs w:val="20"/>
        </w:rPr>
        <w:t>oznakowanie i/lub oświetlenie przeszkód;</w:t>
      </w:r>
    </w:p>
    <w:p w14:paraId="467B1933"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(3) </w:t>
      </w:r>
      <w:r w:rsidRPr="009E064B">
        <w:rPr>
          <w:rFonts w:cs="TimesNewRomanPS-BoldItalicMT"/>
          <w:bCs/>
          <w:iCs/>
          <w:szCs w:val="20"/>
        </w:rPr>
        <w:tab/>
      </w:r>
      <w:r w:rsidRPr="009E064B">
        <w:rPr>
          <w:rFonts w:cs="TimesNewRomanPSMT"/>
          <w:szCs w:val="20"/>
        </w:rPr>
        <w:t>zróżnicowanie długości drogi startowej deklarowanych, jako rozporządzalne;</w:t>
      </w:r>
    </w:p>
    <w:p w14:paraId="7B82856D"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(4) </w:t>
      </w:r>
      <w:r w:rsidRPr="009E064B">
        <w:rPr>
          <w:rFonts w:cs="TimesNewRomanPS-BoldItalicMT"/>
          <w:bCs/>
          <w:iCs/>
          <w:szCs w:val="20"/>
        </w:rPr>
        <w:tab/>
      </w:r>
      <w:r w:rsidRPr="009E064B">
        <w:rPr>
          <w:rFonts w:cs="TimesNewRomanPSMT"/>
          <w:szCs w:val="20"/>
        </w:rPr>
        <w:t>ograniczenie wykorzystania drogi startowej tylko do podejść z widocznością;</w:t>
      </w:r>
    </w:p>
    <w:p w14:paraId="5945A6E0" w14:textId="77777777" w:rsidR="00F96626" w:rsidRPr="009E064B" w:rsidRDefault="00F9662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(5) </w:t>
      </w:r>
      <w:r w:rsidRPr="009E064B">
        <w:rPr>
          <w:rFonts w:cs="TimesNewRomanPS-BoldItalicMT"/>
          <w:bCs/>
          <w:iCs/>
          <w:szCs w:val="20"/>
        </w:rPr>
        <w:tab/>
      </w:r>
      <w:r w:rsidRPr="009E064B">
        <w:rPr>
          <w:rFonts w:cs="TimesNewRomanPSMT"/>
          <w:szCs w:val="20"/>
        </w:rPr>
        <w:t>ograniczenia w rodzaju ruchu.</w:t>
      </w:r>
    </w:p>
    <w:p w14:paraId="601FB803" w14:textId="609DA590"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(g) </w:t>
      </w:r>
      <w:r w:rsidRPr="009E064B">
        <w:rPr>
          <w:rFonts w:cs="TimesNewRomanPS-BoldItalicMT"/>
          <w:bCs/>
          <w:iCs/>
          <w:szCs w:val="20"/>
        </w:rPr>
        <w:tab/>
      </w:r>
      <w:r w:rsidRPr="009E064B">
        <w:rPr>
          <w:rFonts w:cs="TimesNewRomanPSMT"/>
          <w:szCs w:val="20"/>
        </w:rPr>
        <w:t>Poza wymaganiami, o których mowa w Części 1, Rozdział H, konieczne może okazać się wezwanie do innych ograniczeń w planowanych bądź powstających konstrukcjach zlokalizowanych na lub w sąsiedztwie lotniska w celu ochron</w:t>
      </w:r>
      <w:r w:rsidR="00BD5FAC" w:rsidRPr="009E064B">
        <w:rPr>
          <w:rFonts w:cs="TimesNewRomanPSMT"/>
          <w:szCs w:val="20"/>
        </w:rPr>
        <w:t>y w funkcjonowaniu wzrokowych i </w:t>
      </w:r>
      <w:r w:rsidRPr="009E064B">
        <w:rPr>
          <w:rFonts w:cs="TimesNewRomanPSMT"/>
          <w:szCs w:val="20"/>
        </w:rPr>
        <w:t>elektronicznych pomocy nawigacyjnych oraz w celu zapewnienia, że nie wpłyną one negatywnie na procedury podejścia według wskazań przyrządów oraz na związane z nimi granice przewyższeń nad przeszkodami.</w:t>
      </w:r>
    </w:p>
    <w:p w14:paraId="191CF5CF" w14:textId="24CDE78D" w:rsidR="00C36D76" w:rsidRPr="009E064B" w:rsidRDefault="00C36D76" w:rsidP="00B06A9A">
      <w:pPr>
        <w:pStyle w:val="Nagwek4"/>
        <w:rPr>
          <w:color w:val="auto"/>
        </w:rPr>
      </w:pPr>
      <w:bookmarkStart w:id="1207" w:name="_Toc482886618"/>
      <w:bookmarkStart w:id="1208" w:name="_Toc12533079"/>
      <w:r w:rsidRPr="009E064B">
        <w:rPr>
          <w:color w:val="auto"/>
        </w:rPr>
        <w:t xml:space="preserve">CS ADR-DSN.H.410 </w:t>
      </w:r>
      <w:r w:rsidR="006A2419" w:rsidRPr="009E064B">
        <w:rPr>
          <w:color w:val="auto"/>
        </w:rPr>
        <w:t xml:space="preserve">    </w:t>
      </w:r>
      <w:r w:rsidRPr="009E064B">
        <w:rPr>
          <w:color w:val="auto"/>
        </w:rPr>
        <w:t>Powierzchnia pozioma zewnętrzna</w:t>
      </w:r>
      <w:bookmarkEnd w:id="1207"/>
      <w:bookmarkEnd w:id="1208"/>
    </w:p>
    <w:p w14:paraId="070ECE6F" w14:textId="4EF9D1E5" w:rsidR="006A2419" w:rsidRPr="009E064B" w:rsidRDefault="001F74A1" w:rsidP="006A2419">
      <w:pPr>
        <w:spacing w:after="80"/>
        <w:jc w:val="right"/>
        <w:rPr>
          <w:rFonts w:cs="TimesNewRomanPSMT"/>
          <w:szCs w:val="20"/>
        </w:rPr>
      </w:pPr>
      <w:r>
        <w:rPr>
          <w:rFonts w:asciiTheme="minorHAnsi" w:hAnsiTheme="minorHAnsi" w:cstheme="minorHAnsi"/>
          <w:bCs/>
          <w:color w:val="1A171C"/>
          <w:sz w:val="16"/>
          <w:szCs w:val="20"/>
        </w:rPr>
        <w:t>Decyzja ED 2014/013/R</w:t>
      </w:r>
      <w:r w:rsidR="006A2419" w:rsidRPr="009E064B">
        <w:rPr>
          <w:rFonts w:cs="TimesNewRomanPSMT"/>
          <w:szCs w:val="20"/>
        </w:rPr>
        <w:t xml:space="preserve"> </w:t>
      </w:r>
    </w:p>
    <w:p w14:paraId="5E122FB2" w14:textId="77777777" w:rsidR="00C36D76" w:rsidRPr="009E064B" w:rsidRDefault="00C36D76" w:rsidP="00B06A9A">
      <w:pPr>
        <w:rPr>
          <w:rFonts w:cs="TimesNewRomanPSMT"/>
          <w:szCs w:val="20"/>
        </w:rPr>
      </w:pPr>
      <w:r w:rsidRPr="009E064B">
        <w:rPr>
          <w:rFonts w:cs="TimesNewRomanPSMT"/>
          <w:szCs w:val="20"/>
        </w:rPr>
        <w:t>Celowo pozostawione puste</w:t>
      </w:r>
    </w:p>
    <w:p w14:paraId="7ABCA26B" w14:textId="650AC422" w:rsidR="00F96626" w:rsidRPr="009E064B" w:rsidRDefault="006A2419" w:rsidP="00133B99">
      <w:pPr>
        <w:pStyle w:val="Nagwek6"/>
      </w:pPr>
      <w:bookmarkStart w:id="1209" w:name="_Toc401058976"/>
      <w:bookmarkStart w:id="1210" w:name="_Toc482886842"/>
      <w:bookmarkStart w:id="1211" w:name="_Toc12533080"/>
      <w:r w:rsidRPr="009E064B">
        <w:t xml:space="preserve">GM1 ADR-DSN.H.410     </w:t>
      </w:r>
      <w:r w:rsidR="00F96626" w:rsidRPr="009E064B">
        <w:t>Powierzchnia pozioma zewnętrzna</w:t>
      </w:r>
      <w:bookmarkEnd w:id="1209"/>
      <w:bookmarkEnd w:id="1210"/>
      <w:bookmarkEnd w:id="1211"/>
    </w:p>
    <w:p w14:paraId="31AFCC26" w14:textId="34D778D8"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0378939" w14:textId="3B49137D"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NewRomanPSMT"/>
          <w:szCs w:val="20"/>
        </w:rPr>
        <w:t>Powierzchnia pozioma zewnętrzna powinna rozciągać się od krawędzi powierzchni stożkowej jak przedstawiono na Rysunku GM-H-1. Powierzchnia pozioma zewnętrzna to określona część płaszczyzny poziomej dookoła lotniska powyżej granic powierzchni stożkowej. Stanowi ona poziom, powyżej którego uwzględnić należy zapewnienie kon</w:t>
      </w:r>
      <w:r w:rsidR="008D6DC3" w:rsidRPr="009E064B">
        <w:rPr>
          <w:rFonts w:cs="TimesNewRomanPSMT"/>
          <w:szCs w:val="20"/>
        </w:rPr>
        <w:t>troli nad nowymi przeszkodami w </w:t>
      </w:r>
      <w:r w:rsidRPr="009E064B">
        <w:rPr>
          <w:rFonts w:cs="TimesNewRomanPSMT"/>
          <w:szCs w:val="20"/>
        </w:rPr>
        <w:t>celu zapewnienia wykonalnych i skutecznych procedur podejś</w:t>
      </w:r>
      <w:r w:rsidR="008D6DC3" w:rsidRPr="009E064B">
        <w:rPr>
          <w:rFonts w:cs="TimesNewRomanPSMT"/>
          <w:szCs w:val="20"/>
        </w:rPr>
        <w:t>cia według wskazań przyrządów w </w:t>
      </w:r>
      <w:r w:rsidRPr="009E064B">
        <w:rPr>
          <w:rFonts w:cs="TimesNewRomanPSMT"/>
          <w:szCs w:val="20"/>
        </w:rPr>
        <w:t>celu zagwarantowania bezpiecznego manewrowania z widocznością w sąsiedztwie lotniska.</w:t>
      </w:r>
    </w:p>
    <w:p w14:paraId="2D982B1F"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NewRomanPSMT"/>
          <w:szCs w:val="20"/>
        </w:rPr>
        <w:t>Powierzchnia pozioma zewnętrzna jest szczególnie ważna dla bezpieczeństwa operacji w obszarach o wysokim terenie lub w miejscach dużego zagęszczenia przeszkód.</w:t>
      </w:r>
    </w:p>
    <w:p w14:paraId="41BB0ED1" w14:textId="1F342FB9"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NewRomanPSMT"/>
          <w:szCs w:val="20"/>
        </w:rPr>
        <w:t>Z doświadczenia niektórych Państw wynika, że problemy operacyjne mogą pojawić się w</w:t>
      </w:r>
      <w:r w:rsidR="00EE313F" w:rsidRPr="009E064B">
        <w:rPr>
          <w:rFonts w:cs="TimesNewRomanPSMT"/>
          <w:szCs w:val="20"/>
        </w:rPr>
        <w:t> </w:t>
      </w:r>
      <w:r w:rsidRPr="009E064B">
        <w:rPr>
          <w:rFonts w:cs="TimesNewRomanPSMT"/>
          <w:szCs w:val="20"/>
        </w:rPr>
        <w:t>związku ze wzniesieniem wysokich konstrukcji w sąsiedztwie lotniska poza obszarami, które obecnie uznawane są przez przepisy lotniskowe oraz przez Załącznik 14 ICAO za obszary, w których może być konieczne nałożenie ograniczeń w zakresie budowy nowych konstrukcji. Problemy takie mogą być rozwiązane poprzez zapewnienie powierzchni poziomej zewnętrznej, która jest określoną częścią płaszczyzny poziomej dookoła lotniska powyżej granic powierzchni stożkowej. Stanowi ona poziom, powyżej którego uwzględnić należy zapewnienie kontroli nad nowymi przeszkodami w celu zapewnienia wykonalnych i skutecznych procedur podejścia według wskazań przyrządów w celu zagwarantowania bezpieczneg</w:t>
      </w:r>
      <w:r w:rsidR="00EE313F" w:rsidRPr="009E064B">
        <w:rPr>
          <w:rFonts w:cs="TimesNewRomanPSMT"/>
          <w:szCs w:val="20"/>
        </w:rPr>
        <w:t>o manewrowania z </w:t>
      </w:r>
      <w:r w:rsidR="008D6DC3" w:rsidRPr="009E064B">
        <w:rPr>
          <w:rFonts w:cs="TimesNewRomanPSMT"/>
          <w:szCs w:val="20"/>
        </w:rPr>
        <w:t>widocznością w </w:t>
      </w:r>
      <w:r w:rsidRPr="009E064B">
        <w:rPr>
          <w:rFonts w:cs="TimesNewRomanPSMT"/>
          <w:szCs w:val="20"/>
        </w:rPr>
        <w:t>sąsiedztwie lotniska</w:t>
      </w:r>
    </w:p>
    <w:p w14:paraId="40343780" w14:textId="404ED943"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NewRomanPSMT"/>
          <w:szCs w:val="20"/>
        </w:rPr>
        <w:t>Na potrzeby ogólnej specyfikacji dla powierzchni poziomej zewnętrznej, wysokie konstrukcje można uznać za mające znaczenie, jeżeli są wyższe niż 30 m nad lokalnym poziomem ziemi, oraz wyższe niż 150 m nad wysokością lotniska w promieniu 15 000 m od środka lotniska gdzie numer kodu drogi startowej wynosi 3 lub 4. Obszar ten może być z</w:t>
      </w:r>
      <w:r w:rsidR="008D6DC3" w:rsidRPr="009E064B">
        <w:rPr>
          <w:rFonts w:cs="TimesNewRomanPSMT"/>
          <w:szCs w:val="20"/>
        </w:rPr>
        <w:t>większony, aby był on zbieżny z </w:t>
      </w:r>
      <w:r w:rsidRPr="009E064B">
        <w:rPr>
          <w:rFonts w:cs="TimesNewRomanPSMT"/>
          <w:szCs w:val="20"/>
        </w:rPr>
        <w:t>obszarem przeszkód PANS OPS dla indywidualnych procedur podejścia na danym lotnisku.</w:t>
      </w:r>
    </w:p>
    <w:p w14:paraId="2E41FF98"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NewRomanPSMT"/>
          <w:szCs w:val="20"/>
        </w:rPr>
        <w:t>Wytyczne dotyczące powierzchni poziomej zewnętrznej znajdują się w „</w:t>
      </w:r>
      <w:r w:rsidRPr="009E064B">
        <w:rPr>
          <w:rFonts w:cs="TimesNewRomanPSMT"/>
          <w:i/>
          <w:szCs w:val="20"/>
        </w:rPr>
        <w:t>Podręczniku służb portu lotniczego</w:t>
      </w:r>
      <w:r w:rsidRPr="009E064B">
        <w:rPr>
          <w:rFonts w:cs="TimesNewRomanPSMT"/>
          <w:szCs w:val="20"/>
        </w:rPr>
        <w:t>” ICAO Doc 9137, Część 6 „</w:t>
      </w:r>
      <w:r w:rsidRPr="009E064B">
        <w:rPr>
          <w:rFonts w:cs="TimesNewRomanPSMT"/>
          <w:i/>
          <w:szCs w:val="20"/>
        </w:rPr>
        <w:t>Kontrola przeszkód lotniczych</w:t>
      </w:r>
      <w:r w:rsidRPr="009E064B">
        <w:rPr>
          <w:rFonts w:cs="TimesNewRomanPSMT"/>
          <w:szCs w:val="20"/>
        </w:rPr>
        <w:t>”.</w:t>
      </w:r>
    </w:p>
    <w:p w14:paraId="6315DF4C" w14:textId="2E94B0BA" w:rsidR="00F96626" w:rsidRPr="009E064B" w:rsidRDefault="00BD5FAC" w:rsidP="009F3D23">
      <w:pPr>
        <w:autoSpaceDE w:val="0"/>
        <w:autoSpaceDN w:val="0"/>
        <w:adjustRightInd w:val="0"/>
        <w:spacing w:after="0"/>
        <w:rPr>
          <w:rFonts w:cs="TimesNewRomanPSMT"/>
          <w:szCs w:val="20"/>
        </w:rPr>
      </w:pPr>
      <w:r w:rsidRPr="009E064B">
        <w:rPr>
          <w:noProof/>
          <w:lang w:eastAsia="pl-PL"/>
        </w:rPr>
        <w:drawing>
          <wp:inline distT="0" distB="0" distL="0" distR="0" wp14:anchorId="460BB8C8" wp14:editId="38DC532E">
            <wp:extent cx="5760720" cy="502547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5025470"/>
                    </a:xfrm>
                    <a:prstGeom prst="rect">
                      <a:avLst/>
                    </a:prstGeom>
                    <a:noFill/>
                    <a:ln>
                      <a:noFill/>
                    </a:ln>
                  </pic:spPr>
                </pic:pic>
              </a:graphicData>
            </a:graphic>
          </wp:inline>
        </w:drawing>
      </w:r>
    </w:p>
    <w:p w14:paraId="592463E3" w14:textId="77777777" w:rsidR="00F96626" w:rsidRPr="009E064B" w:rsidRDefault="00F96626" w:rsidP="009F3D23">
      <w:pPr>
        <w:autoSpaceDE w:val="0"/>
        <w:autoSpaceDN w:val="0"/>
        <w:adjustRightInd w:val="0"/>
        <w:spacing w:after="0"/>
        <w:rPr>
          <w:rFonts w:cs="Univers 45 Light"/>
        </w:rPr>
      </w:pPr>
    </w:p>
    <w:p w14:paraId="6418F047" w14:textId="77777777" w:rsidR="00F96626" w:rsidRPr="005669D1" w:rsidRDefault="00F96626" w:rsidP="00B06A9A">
      <w:pPr>
        <w:spacing w:after="0"/>
        <w:ind w:right="10"/>
        <w:jc w:val="center"/>
        <w:rPr>
          <w:rFonts w:cs="Univers 45 Light"/>
          <w:b/>
          <w:sz w:val="20"/>
        </w:rPr>
      </w:pPr>
      <w:r w:rsidRPr="005669D1">
        <w:rPr>
          <w:rFonts w:cs="Univers 45 Light"/>
          <w:b/>
          <w:sz w:val="20"/>
        </w:rPr>
        <w:t>Rysunek GM-H-1.   Układ powierzchni poziomej zewnętrznej</w:t>
      </w:r>
    </w:p>
    <w:p w14:paraId="2BC6B474" w14:textId="689FD85B" w:rsidR="00F96626" w:rsidRPr="009E064B" w:rsidRDefault="00F9662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73C02FC" w14:textId="77777777" w:rsidR="00EE313F" w:rsidRPr="009E064B" w:rsidRDefault="00EE313F" w:rsidP="00EE313F">
      <w:pPr>
        <w:pStyle w:val="Tekstpodstawowy"/>
        <w:spacing w:after="0"/>
        <w:ind w:left="23" w:hanging="23"/>
        <w:rPr>
          <w:rFonts w:asciiTheme="minorHAnsi" w:hAnsiTheme="minorHAnsi" w:cstheme="minorHAnsi"/>
          <w:sz w:val="20"/>
          <w:szCs w:val="16"/>
        </w:rPr>
      </w:pPr>
    </w:p>
    <w:p w14:paraId="495BB238" w14:textId="7F6D3FA9" w:rsidR="00C36D76" w:rsidRPr="009E064B" w:rsidRDefault="00E916B1" w:rsidP="00B06A9A">
      <w:pPr>
        <w:pStyle w:val="Nagwek4"/>
        <w:rPr>
          <w:color w:val="auto"/>
        </w:rPr>
      </w:pPr>
      <w:bookmarkStart w:id="1212" w:name="_Toc482886619"/>
      <w:bookmarkStart w:id="1213" w:name="_Toc12533081"/>
      <w:r w:rsidRPr="009E064B">
        <w:rPr>
          <w:color w:val="auto"/>
        </w:rPr>
        <w:t xml:space="preserve">CS ADR-DSN.H.415     </w:t>
      </w:r>
      <w:r w:rsidR="00C36D76" w:rsidRPr="009E064B">
        <w:rPr>
          <w:color w:val="auto"/>
        </w:rPr>
        <w:t>Powierzchnia stożkowa</w:t>
      </w:r>
      <w:bookmarkEnd w:id="1212"/>
      <w:bookmarkEnd w:id="1213"/>
    </w:p>
    <w:p w14:paraId="6AB0D73B" w14:textId="5F9569EA"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DD0D7FF" w14:textId="73AC91F9" w:rsidR="00C36D76" w:rsidRPr="009E064B" w:rsidRDefault="00C36D76" w:rsidP="00E916B1">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 Powierzchnia stożkowa ma na celu ułatwienie bezpiecznego wykonywania manewrów z widzialnością w pobliżu lotniska.</w:t>
      </w:r>
    </w:p>
    <w:p w14:paraId="2FFB40A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Opis: </w:t>
      </w:r>
      <w:r w:rsidRPr="009E064B">
        <w:rPr>
          <w:rFonts w:cs="TimesNewRomanPSMT"/>
          <w:szCs w:val="20"/>
        </w:rPr>
        <w:t>Powierzchnia nachylona rozchodząca się w górę i na zewnątrz od skraju powierzchni poziomej wewnętrznej.</w:t>
      </w:r>
    </w:p>
    <w:p w14:paraId="54ED3464"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Granicę powierzchni stożkowej powinny stanowić:</w:t>
      </w:r>
    </w:p>
    <w:p w14:paraId="2AFFD0B9"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dolna pokrywająca się ze skrajem powierzchni poziomej wewnętrznej; oraz</w:t>
      </w:r>
    </w:p>
    <w:p w14:paraId="32F70E5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krawędź górna położona na określonej wysokości ponad powierzchnią poziomą wewnętrzną.</w:t>
      </w:r>
    </w:p>
    <w:p w14:paraId="797250AF" w14:textId="563457A4" w:rsidR="00EE59EF" w:rsidRPr="009E064B" w:rsidRDefault="00C36D76" w:rsidP="005E3E07">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Nachylenie powierzchni stożkowej powinno być mierzone w płaszczyźnie pionowej prostopadłej do powierzchni poziomej wewnętrznej.</w:t>
      </w:r>
      <w:r w:rsidR="005E3E07" w:rsidRPr="009E064B">
        <w:rPr>
          <w:rFonts w:cs="TimesNewRomanPSMT"/>
          <w:szCs w:val="20"/>
        </w:rPr>
        <w:t xml:space="preserve"> </w:t>
      </w:r>
    </w:p>
    <w:p w14:paraId="4CC8C379" w14:textId="07DD43FF" w:rsidR="00F96626" w:rsidRPr="009E064B" w:rsidRDefault="00E916B1" w:rsidP="00133B99">
      <w:pPr>
        <w:pStyle w:val="Nagwek6"/>
      </w:pPr>
      <w:bookmarkStart w:id="1214" w:name="_Toc401058977"/>
      <w:bookmarkStart w:id="1215" w:name="_Toc482886843"/>
      <w:bookmarkStart w:id="1216" w:name="_Toc12533082"/>
      <w:r w:rsidRPr="009E064B">
        <w:t xml:space="preserve">GM1 ADR-DSN.H.415     </w:t>
      </w:r>
      <w:r w:rsidR="00F96626" w:rsidRPr="009E064B">
        <w:t>Powierzchnia stożkowa</w:t>
      </w:r>
      <w:bookmarkEnd w:id="1214"/>
      <w:bookmarkEnd w:id="1215"/>
      <w:bookmarkEnd w:id="1216"/>
    </w:p>
    <w:p w14:paraId="40F513F7" w14:textId="5C6FF4EA"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CFFD2DF" w14:textId="77777777" w:rsidR="00F96626" w:rsidRPr="009E064B" w:rsidRDefault="00F9662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54C09CB" w14:textId="32D249AA" w:rsidR="00C36D76" w:rsidRPr="009E064B" w:rsidRDefault="00C36D76" w:rsidP="00B06A9A">
      <w:pPr>
        <w:pStyle w:val="Nagwek4"/>
        <w:rPr>
          <w:color w:val="auto"/>
        </w:rPr>
      </w:pPr>
      <w:bookmarkStart w:id="1217" w:name="_Toc482886620"/>
      <w:bookmarkStart w:id="1218" w:name="_Toc12533083"/>
      <w:r w:rsidRPr="009E064B">
        <w:rPr>
          <w:color w:val="auto"/>
        </w:rPr>
        <w:t xml:space="preserve">CS ADR-DSN.H.420 </w:t>
      </w:r>
      <w:r w:rsidR="006A2419" w:rsidRPr="009E064B">
        <w:rPr>
          <w:color w:val="auto"/>
        </w:rPr>
        <w:t xml:space="preserve">    </w:t>
      </w:r>
      <w:r w:rsidRPr="009E064B">
        <w:rPr>
          <w:color w:val="auto"/>
        </w:rPr>
        <w:t>Powierzchnia pozioma wewnętrzna</w:t>
      </w:r>
      <w:bookmarkEnd w:id="1217"/>
      <w:bookmarkEnd w:id="1218"/>
    </w:p>
    <w:p w14:paraId="5120529D" w14:textId="7935FD5C"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00E2EC5"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 xml:space="preserve">Zastosowanie: Celem powierzchni poziomej wewnętrznej jest zabezpieczenie </w:t>
      </w:r>
      <w:r w:rsidRPr="009E064B">
        <w:rPr>
          <w:rFonts w:cs="TimesNewRomanPSMT"/>
          <w:szCs w:val="20"/>
        </w:rPr>
        <w:t>przestrzeni</w:t>
      </w:r>
      <w:r w:rsidRPr="009E064B">
        <w:rPr>
          <w:rFonts w:cs="TimesNewRomanPS-BoldItalicMT"/>
          <w:bCs/>
          <w:iCs/>
          <w:szCs w:val="20"/>
        </w:rPr>
        <w:t xml:space="preserve"> powietrznej dla wykonywania manewrów z widzialnością przed lądowaniem.</w:t>
      </w:r>
    </w:p>
    <w:p w14:paraId="1B251E53"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Opis: </w:t>
      </w:r>
      <w:r w:rsidRPr="009E064B">
        <w:rPr>
          <w:rFonts w:cs="TimesNewRomanPSMT"/>
          <w:szCs w:val="20"/>
        </w:rPr>
        <w:t>Powierzchnia leżąca w płaszczyźnie poziomej nad lotniskiem i przyległymi do niego terenami.</w:t>
      </w:r>
    </w:p>
    <w:p w14:paraId="7A09190F" w14:textId="592F2FEB"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Charakterystyka</w:t>
      </w:r>
      <w:r w:rsidRPr="009E064B">
        <w:rPr>
          <w:rFonts w:cs="TimesNewRomanPS-ItalicMT"/>
          <w:iCs/>
          <w:szCs w:val="20"/>
        </w:rPr>
        <w:t>: G</w:t>
      </w:r>
      <w:r w:rsidRPr="009E064B">
        <w:rPr>
          <w:rFonts w:cs="TimesNewRomanPSMT"/>
          <w:szCs w:val="20"/>
        </w:rPr>
        <w:t>ranice zewnętrzne powierzchni poziomej wewnętrznej są określone przez okrąg, którego środek znajduje się w geometrycznym środku drogi startowej, przez wypukły obrys złożony z okrągłych łuków, ze środkiem na skrzyżowaniu przedłużonej linii środkowej drogi startowej i końca pasa drogi startowej, połączone ze sobą stycznie liniami prostymi równoległymi do linii środkowej dr</w:t>
      </w:r>
      <w:r w:rsidR="000E0B48" w:rsidRPr="009E064B">
        <w:rPr>
          <w:rFonts w:cs="TimesNewRomanPSMT"/>
          <w:szCs w:val="20"/>
        </w:rPr>
        <w:t>ogi startowej, jak pokazano na R</w:t>
      </w:r>
      <w:r w:rsidRPr="009E064B">
        <w:rPr>
          <w:rFonts w:cs="TimesNewRomanPSMT"/>
          <w:szCs w:val="20"/>
        </w:rPr>
        <w:t>ysunku H-1, lub innymi punktami ustanowionymi w tym celu.</w:t>
      </w:r>
    </w:p>
    <w:p w14:paraId="4A135C8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Wysokość powierzchni poziomej wewnętrznej powinna być mierzona powyżej ustalonej wysokości odniesienia. Jako wysokość odniesienia, do określania wysokości powierzchni poziomej wewnętrznej, powinna być przyjęta:</w:t>
      </w:r>
    </w:p>
    <w:p w14:paraId="63D12EC2"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wysokość najwyższego punktu, najniższego progu powiązanej drogi startowej; lub</w:t>
      </w:r>
    </w:p>
    <w:p w14:paraId="6AFBBD8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wysokość najwyższego punktu, najwyższego progu powiązanej drogi startowej; lub</w:t>
      </w:r>
    </w:p>
    <w:p w14:paraId="56A24027"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wysokość najwyższego punktu drogi startowej; lub</w:t>
      </w:r>
    </w:p>
    <w:p w14:paraId="2983F1D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wysokość lotniska.</w:t>
      </w:r>
    </w:p>
    <w:p w14:paraId="45E248A8"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50A36AA" w14:textId="45BC2159" w:rsidR="00F96626" w:rsidRPr="009E064B" w:rsidRDefault="00F96626" w:rsidP="00133B99">
      <w:pPr>
        <w:pStyle w:val="Nagwek6"/>
      </w:pPr>
      <w:bookmarkStart w:id="1219" w:name="_Toc401058978"/>
      <w:bookmarkStart w:id="1220" w:name="_Toc482886844"/>
      <w:bookmarkStart w:id="1221" w:name="_Toc12533084"/>
      <w:r w:rsidRPr="009E064B">
        <w:t>GM</w:t>
      </w:r>
      <w:r w:rsidR="006A2419" w:rsidRPr="009E064B">
        <w:t xml:space="preserve">1 ADR-DSN.H.420     </w:t>
      </w:r>
      <w:r w:rsidRPr="009E064B">
        <w:t>Powierzchnia pozioma wewnętrzna</w:t>
      </w:r>
      <w:bookmarkEnd w:id="1219"/>
      <w:bookmarkEnd w:id="1220"/>
      <w:bookmarkEnd w:id="1221"/>
    </w:p>
    <w:p w14:paraId="43DFE53C" w14:textId="742D5C92"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F6A0197" w14:textId="77777777" w:rsidR="00F96626" w:rsidRPr="009E064B" w:rsidRDefault="00F96626"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 xml:space="preserve">Powierzchnia pozioma wewnętrzna niekoniecznie musi mieć kształt koła. Wytyczne dotyczące zasięgu powierzchni poziomej wewnętrznej znajdują się w </w:t>
      </w:r>
      <w:r w:rsidRPr="009E064B">
        <w:rPr>
          <w:rFonts w:cs="TimesNewRomanPSMT"/>
          <w:szCs w:val="20"/>
        </w:rPr>
        <w:t>„</w:t>
      </w:r>
      <w:r w:rsidRPr="009E064B">
        <w:rPr>
          <w:rFonts w:cs="TimesNewRomanPSMT"/>
          <w:i/>
          <w:szCs w:val="20"/>
        </w:rPr>
        <w:t>Podręczniku służb portu lotniczego</w:t>
      </w:r>
      <w:r w:rsidRPr="009E064B">
        <w:rPr>
          <w:rFonts w:cs="TimesNewRomanPSMT"/>
          <w:szCs w:val="20"/>
        </w:rPr>
        <w:t>” ICAO Doc 9137, Część 6 „</w:t>
      </w:r>
      <w:r w:rsidRPr="009E064B">
        <w:rPr>
          <w:rFonts w:cs="TimesNewRomanPSMT"/>
          <w:i/>
          <w:szCs w:val="20"/>
        </w:rPr>
        <w:t>Kontrola przeszkód lotniczych</w:t>
      </w:r>
      <w:r w:rsidRPr="009E064B">
        <w:rPr>
          <w:rFonts w:cs="TimesNewRomanPSMT"/>
          <w:szCs w:val="20"/>
        </w:rPr>
        <w:t>”.</w:t>
      </w:r>
      <w:r w:rsidRPr="009E064B">
        <w:rPr>
          <w:rFonts w:cs="TimesNewRomanPS-BoldItalicMT"/>
          <w:bCs/>
          <w:iCs/>
          <w:szCs w:val="20"/>
        </w:rPr>
        <w:t xml:space="preserve"> </w:t>
      </w:r>
    </w:p>
    <w:p w14:paraId="20CBF30C" w14:textId="480BBBB8"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Granice</w:t>
      </w:r>
      <w:r w:rsidRPr="009E064B">
        <w:rPr>
          <w:rFonts w:cs="TimesNewRomanPSMT"/>
          <w:szCs w:val="20"/>
        </w:rPr>
        <w:t xml:space="preserve"> powierzchni poziomej wewnętrznej dla dłuższych d</w:t>
      </w:r>
      <w:r w:rsidR="00EE313F" w:rsidRPr="009E064B">
        <w:rPr>
          <w:rFonts w:cs="TimesNewRomanPSMT"/>
          <w:szCs w:val="20"/>
        </w:rPr>
        <w:t>róg startowych (o długości 1800 </w:t>
      </w:r>
      <w:r w:rsidRPr="009E064B">
        <w:rPr>
          <w:rFonts w:cs="TimesNewRomanPSMT"/>
          <w:szCs w:val="20"/>
        </w:rPr>
        <w:t>m lub więcej) definiowane są, jako koła o promieniu 4000 m wykonane na końcach pasa drogi startowej. Koła te są połączone wspólnymi stycznymi równoległymi do linii środkowej drogi startowej w celu utworzenia procedury z dwoma zakrętami po 180 stopni. Granica wykonania tej procedury to granica powierzchni poziomej wewnętrznej.</w:t>
      </w:r>
    </w:p>
    <w:p w14:paraId="4B37CA22"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NewRomanPSMT"/>
          <w:szCs w:val="20"/>
        </w:rPr>
        <w:t>W przypadku dróg startowych o długości mniejszej niż 1800 m, powierzchnia pozioma wewnętrzna może być zdefiniowana, jako koło wykonane w punkcie środkowym drogi startowej.</w:t>
      </w:r>
    </w:p>
    <w:p w14:paraId="36524BB9" w14:textId="77777777"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NewRomanPSMT"/>
          <w:szCs w:val="20"/>
        </w:rPr>
        <w:t>Dla ochrony dwóch lub większej ilości dróg startowych, konieczny może być bardziej złożony wzór. W tej sytuacji, wszystkie koła są połączone stycznie przez linie proste, jak przedstawiono na Rysunku GM-H-2.</w:t>
      </w:r>
    </w:p>
    <w:p w14:paraId="0E2FDC17" w14:textId="6BFF1C75"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(e) </w:t>
      </w:r>
      <w:r w:rsidRPr="009E064B">
        <w:rPr>
          <w:rFonts w:cs="TimesNewRomanPS-BoldItalicMT"/>
          <w:bCs/>
          <w:iCs/>
          <w:szCs w:val="20"/>
        </w:rPr>
        <w:tab/>
        <w:t xml:space="preserve">Na stosunkowo równych drogach startowych wybór lokalizacji wysokości odniesienia nie ma krytycznego znaczenia, ale kiedy progi różnią się o więcej niż 6 m, wysokość odniesienia powinna uwzględniać czynniki takie jak: wysokość najczęściej używanych punktów ustawiania wysokościomierza, stosowane lub wymagane minimalne wysokości lotu po kręgu oraz charakter operacji na lotnisku. </w:t>
      </w:r>
      <w:r w:rsidRPr="009E064B">
        <w:rPr>
          <w:rFonts w:cs="TimesNewRomanPSMT"/>
          <w:szCs w:val="20"/>
        </w:rPr>
        <w:t>W przypadku bardziej złożonych powie</w:t>
      </w:r>
      <w:r w:rsidR="00BD5FAC" w:rsidRPr="009E064B">
        <w:rPr>
          <w:rFonts w:cs="TimesNewRomanPSMT"/>
          <w:szCs w:val="20"/>
        </w:rPr>
        <w:t>rzchni poziomych wewnętrznych z </w:t>
      </w:r>
      <w:r w:rsidRPr="009E064B">
        <w:rPr>
          <w:rFonts w:cs="TimesNewRomanPSMT"/>
          <w:szCs w:val="20"/>
        </w:rPr>
        <w:t xml:space="preserve">drogami startowymi znajdującymi się na różnych poziomach, jak pokazano na Rysunku </w:t>
      </w:r>
      <w:r w:rsidR="00BD5FAC" w:rsidRPr="009E064B">
        <w:rPr>
          <w:rFonts w:cs="TimesNewRomanPSMT"/>
          <w:szCs w:val="20"/>
        </w:rPr>
        <w:br/>
      </w:r>
      <w:r w:rsidRPr="009E064B">
        <w:rPr>
          <w:rFonts w:cs="TimesNewRomanPSMT"/>
          <w:szCs w:val="20"/>
        </w:rPr>
        <w:t>GM-H-2, wspólna wysokość nie jest istotna, ale jeżeli powierzchnie zachodzą na siebie, to niższa powierzchnia powinna być uznana za dominującą.</w:t>
      </w:r>
    </w:p>
    <w:p w14:paraId="5D1B16B3" w14:textId="7EE9A3EE" w:rsidR="00F96626" w:rsidRPr="009E064B" w:rsidRDefault="00F9662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NewRomanPSMT"/>
          <w:szCs w:val="20"/>
        </w:rPr>
        <w:t>Dalsze wytyczne są określone się w „</w:t>
      </w:r>
      <w:r w:rsidRPr="009E064B">
        <w:rPr>
          <w:rFonts w:cs="TimesNewRomanPSMT"/>
          <w:i/>
          <w:szCs w:val="20"/>
        </w:rPr>
        <w:t>Podręczniku służb portu lotniczego</w:t>
      </w:r>
      <w:r w:rsidR="00BD5FAC" w:rsidRPr="009E064B">
        <w:rPr>
          <w:rFonts w:cs="TimesNewRomanPSMT"/>
          <w:szCs w:val="20"/>
        </w:rPr>
        <w:t>” ICAO Doc 9137, Część </w:t>
      </w:r>
      <w:r w:rsidRPr="009E064B">
        <w:rPr>
          <w:rFonts w:cs="TimesNewRomanPSMT"/>
          <w:szCs w:val="20"/>
        </w:rPr>
        <w:t>6 „</w:t>
      </w:r>
      <w:r w:rsidRPr="009E064B">
        <w:rPr>
          <w:rFonts w:cs="TimesNewRomanPSMT"/>
          <w:i/>
          <w:szCs w:val="20"/>
        </w:rPr>
        <w:t>Kontrola przeszkód lotniczych</w:t>
      </w:r>
      <w:r w:rsidRPr="009E064B">
        <w:rPr>
          <w:rFonts w:cs="TimesNewRomanPSMT"/>
          <w:szCs w:val="20"/>
        </w:rPr>
        <w:t>”.</w:t>
      </w:r>
    </w:p>
    <w:p w14:paraId="7342C1A4" w14:textId="77777777" w:rsidR="00F96626" w:rsidRPr="009E064B" w:rsidRDefault="00F96626" w:rsidP="00B06A9A">
      <w:pPr>
        <w:tabs>
          <w:tab w:val="left" w:pos="567"/>
        </w:tabs>
        <w:autoSpaceDE w:val="0"/>
        <w:autoSpaceDN w:val="0"/>
        <w:adjustRightInd w:val="0"/>
        <w:spacing w:after="0"/>
        <w:ind w:left="567" w:hanging="567"/>
        <w:rPr>
          <w:rFonts w:cs="TimesNewRomanPSMT"/>
          <w:szCs w:val="20"/>
        </w:rPr>
      </w:pPr>
    </w:p>
    <w:p w14:paraId="630BB101" w14:textId="5115F118" w:rsidR="00F96626" w:rsidRPr="009E064B" w:rsidRDefault="00EE313F" w:rsidP="00B06A9A">
      <w:pPr>
        <w:autoSpaceDE w:val="0"/>
        <w:autoSpaceDN w:val="0"/>
        <w:adjustRightInd w:val="0"/>
        <w:rPr>
          <w:rFonts w:cs="TimesNewRomanPSMT"/>
          <w:b/>
          <w:szCs w:val="20"/>
        </w:rPr>
      </w:pPr>
      <w:r w:rsidRPr="009E064B">
        <w:rPr>
          <w:noProof/>
          <w:lang w:eastAsia="pl-PL"/>
        </w:rPr>
        <w:drawing>
          <wp:inline distT="0" distB="0" distL="0" distR="0" wp14:anchorId="21A5E932" wp14:editId="776FD91C">
            <wp:extent cx="5760720" cy="509016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5090160"/>
                    </a:xfrm>
                    <a:prstGeom prst="rect">
                      <a:avLst/>
                    </a:prstGeom>
                    <a:noFill/>
                    <a:ln>
                      <a:noFill/>
                    </a:ln>
                  </pic:spPr>
                </pic:pic>
              </a:graphicData>
            </a:graphic>
          </wp:inline>
        </w:drawing>
      </w:r>
    </w:p>
    <w:p w14:paraId="52925A17" w14:textId="77777777" w:rsidR="00F96626" w:rsidRPr="009E064B" w:rsidRDefault="00F96626" w:rsidP="00B06A9A">
      <w:pPr>
        <w:autoSpaceDE w:val="0"/>
        <w:autoSpaceDN w:val="0"/>
        <w:adjustRightInd w:val="0"/>
        <w:spacing w:after="0"/>
        <w:rPr>
          <w:rFonts w:cs="TimesNewRomanPSMT"/>
          <w:szCs w:val="20"/>
        </w:rPr>
      </w:pPr>
    </w:p>
    <w:p w14:paraId="5396FF51" w14:textId="77777777" w:rsidR="00F96626" w:rsidRPr="005669D1" w:rsidRDefault="00F96626" w:rsidP="00B06A9A">
      <w:pPr>
        <w:ind w:left="709" w:hanging="709"/>
        <w:jc w:val="center"/>
        <w:rPr>
          <w:rFonts w:cs="TimesNewRomanPSMT"/>
          <w:b/>
          <w:sz w:val="20"/>
          <w:szCs w:val="20"/>
        </w:rPr>
      </w:pPr>
      <w:r w:rsidRPr="005669D1">
        <w:rPr>
          <w:rFonts w:cs="TimesNewRomanPSMT"/>
          <w:b/>
          <w:sz w:val="20"/>
          <w:szCs w:val="20"/>
        </w:rPr>
        <w:t xml:space="preserve">Rysunek GM-H-2.  Połączona powierzchnia pozioma wewnętrzna dla dwóch równoległych </w:t>
      </w:r>
      <w:r w:rsidRPr="005669D1">
        <w:rPr>
          <w:rFonts w:cs="TimesNewRomanPSMT"/>
          <w:b/>
          <w:sz w:val="20"/>
          <w:szCs w:val="20"/>
        </w:rPr>
        <w:br/>
        <w:t>dróg startowych (o cyfrze kodu 4)</w:t>
      </w:r>
    </w:p>
    <w:p w14:paraId="62CDB3E5" w14:textId="77777777" w:rsidR="00F96626" w:rsidRPr="009E064B" w:rsidRDefault="00F9662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87B407F" w14:textId="747EA3A6" w:rsidR="009F3D23" w:rsidRPr="009E064B" w:rsidRDefault="009F3D23">
      <w:pPr>
        <w:spacing w:after="0"/>
        <w:jc w:val="left"/>
      </w:pPr>
      <w:r w:rsidRPr="009E064B">
        <w:br w:type="page"/>
      </w:r>
    </w:p>
    <w:p w14:paraId="7B65F59D" w14:textId="086F814A" w:rsidR="00C36D76" w:rsidRPr="009E064B" w:rsidRDefault="00E916B1" w:rsidP="00B06A9A">
      <w:pPr>
        <w:pStyle w:val="Nagwek4"/>
        <w:rPr>
          <w:color w:val="auto"/>
        </w:rPr>
      </w:pPr>
      <w:bookmarkStart w:id="1222" w:name="_Toc482886621"/>
      <w:bookmarkStart w:id="1223" w:name="_Toc12533085"/>
      <w:r w:rsidRPr="009E064B">
        <w:rPr>
          <w:color w:val="auto"/>
        </w:rPr>
        <w:t xml:space="preserve">CS ADR-DSN.H.425    </w:t>
      </w:r>
      <w:r w:rsidR="00C36D76" w:rsidRPr="009E064B">
        <w:rPr>
          <w:color w:val="auto"/>
        </w:rPr>
        <w:t>Powierzchnia podejścia</w:t>
      </w:r>
      <w:bookmarkEnd w:id="1222"/>
      <w:bookmarkEnd w:id="1223"/>
    </w:p>
    <w:p w14:paraId="4FFB6FC9" w14:textId="666F188D"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18C920E" w14:textId="40AFFEA5" w:rsidR="00C36D76" w:rsidRPr="009E064B" w:rsidRDefault="00C36D76"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r w:rsidRPr="009E064B">
        <w:rPr>
          <w:rFonts w:cs="TimesNewRomanPS-ItalicMT"/>
          <w:iCs/>
          <w:szCs w:val="20"/>
        </w:rPr>
        <w:t>: Celem powierzchni podejścia jest zabez</w:t>
      </w:r>
      <w:r w:rsidR="00BD5FAC" w:rsidRPr="009E064B">
        <w:rPr>
          <w:rFonts w:cs="TimesNewRomanPS-ItalicMT"/>
          <w:iCs/>
          <w:szCs w:val="20"/>
        </w:rPr>
        <w:t xml:space="preserve">pieczenie statku powietrznego w </w:t>
      </w:r>
      <w:r w:rsidRPr="009E064B">
        <w:rPr>
          <w:rFonts w:cs="TimesNewRomanPS-ItalicMT"/>
          <w:iCs/>
          <w:szCs w:val="20"/>
        </w:rPr>
        <w:t>czasie końcowego podejścia do drogi startowej poprzez określenie obszaru, który powinien być wolny od przeszkód dla zapewnienia ochrony statku powietrznego w końcowej fazie manewru podejścia do lądowania.</w:t>
      </w:r>
    </w:p>
    <w:p w14:paraId="58CBED0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Opis</w:t>
      </w:r>
      <w:r w:rsidRPr="009E064B">
        <w:rPr>
          <w:rFonts w:cs="TimesNewRomanPS-ItalicMT"/>
          <w:iCs/>
          <w:szCs w:val="20"/>
        </w:rPr>
        <w:t xml:space="preserve">: </w:t>
      </w:r>
      <w:r w:rsidRPr="009E064B">
        <w:rPr>
          <w:rFonts w:cs="TimesNewRomanPSMT"/>
          <w:szCs w:val="20"/>
        </w:rPr>
        <w:t>Nachylona płaszczyzna lub układ płaszczyzn przed progiem</w:t>
      </w:r>
    </w:p>
    <w:p w14:paraId="22517D30"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r w:rsidRPr="009E064B">
        <w:rPr>
          <w:rFonts w:cs="TimesNewRomanPS-ItalicMT"/>
          <w:iCs/>
          <w:szCs w:val="20"/>
        </w:rPr>
        <w:t xml:space="preserve">: </w:t>
      </w:r>
      <w:r w:rsidRPr="009E064B">
        <w:rPr>
          <w:rFonts w:cs="TimesNewRomanPSMT"/>
          <w:szCs w:val="20"/>
        </w:rPr>
        <w:t>Granice powierzchni podejścia powinny stanowić:</w:t>
      </w:r>
    </w:p>
    <w:p w14:paraId="2B3C6B2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wewnętrzna o określonej długości, pozioma i prostopadła do przedłużenia linii środkowej drogi startowej, w określonej odległości przed progiem;</w:t>
      </w:r>
    </w:p>
    <w:p w14:paraId="47E6E93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dwie krawędzie boczne wyprowadzone z końców krawędzi wewnętrznej i rozchylone symetrycznie pod określonym kątem w stosunku do przedłużenia linii środkowej drogi startowej; oraz</w:t>
      </w:r>
    </w:p>
    <w:p w14:paraId="008ECCF7"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krawędź zewnętrzna, równoległa do krawędzi wewnętrznej.</w:t>
      </w:r>
    </w:p>
    <w:p w14:paraId="0159C041" w14:textId="77777777" w:rsidR="00C36D76" w:rsidRPr="009E064B" w:rsidRDefault="00C36D76" w:rsidP="00B06A9A">
      <w:pPr>
        <w:pStyle w:val="Akapitzlist"/>
        <w:autoSpaceDE w:val="0"/>
        <w:autoSpaceDN w:val="0"/>
        <w:adjustRightInd w:val="0"/>
        <w:ind w:left="567"/>
        <w:rPr>
          <w:rFonts w:cs="TimesNewRomanPSMT"/>
          <w:szCs w:val="20"/>
        </w:rPr>
      </w:pPr>
      <w:r w:rsidRPr="009E064B">
        <w:rPr>
          <w:rFonts w:cs="TimesNewRomanPSMT"/>
          <w:szCs w:val="20"/>
        </w:rPr>
        <w:t>W przypadku wykorzystywania procedur podejścia do lądowania z bocznym odejściem, odchyleniem lub podejściem krzywoliniowym, przedstawione powyżej powierzchnie powinny być odpowiednio zmodyfikowane, w szczególności dwie krawędzie boczne zaczynające się na końcach krawędzi wewnętrznej i symetrycznie rozchylone pod odpowiednim kątem od przedłużenia linii środkowej drogi podejścia do lądowania z bocznym odejściem, odchyleniem lub podejściem krzywoliniowym.</w:t>
      </w:r>
    </w:p>
    <w:p w14:paraId="6B312AA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Wysokość krawędzi wewnętrznej powinna być równa wysokości środka progu.</w:t>
      </w:r>
    </w:p>
    <w:p w14:paraId="583DE7A6"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Nachylenie (nachylenia) powierzchni podejścia powinno być mierzone w płaszczyźnie pionowej przechodzącej przez linię środkową drogi startowej oraz dalej, ciągnącej się wzdłuż przedłużenia linii środkowej w przypadku jakiegokolwiek lądowania z bocznym odejściem, lub podejściem krzywoliniowym.</w:t>
      </w:r>
    </w:p>
    <w:p w14:paraId="59ECA598" w14:textId="37D335B3" w:rsidR="00F96626" w:rsidRPr="009E064B" w:rsidRDefault="00E916B1" w:rsidP="00133B99">
      <w:pPr>
        <w:pStyle w:val="Nagwek6"/>
      </w:pPr>
      <w:bookmarkStart w:id="1224" w:name="_GM1_ADR-DSN.H.425_"/>
      <w:bookmarkStart w:id="1225" w:name="_Toc401058979"/>
      <w:bookmarkStart w:id="1226" w:name="_Toc482886845"/>
      <w:bookmarkStart w:id="1227" w:name="_Toc12533086"/>
      <w:bookmarkEnd w:id="1224"/>
      <w:r w:rsidRPr="009E064B">
        <w:t xml:space="preserve">GM1 ADR-DSN.H.425     </w:t>
      </w:r>
      <w:r w:rsidR="00F96626" w:rsidRPr="009E064B">
        <w:t>Powierzchnia podejścia</w:t>
      </w:r>
      <w:bookmarkEnd w:id="1225"/>
      <w:bookmarkEnd w:id="1226"/>
      <w:bookmarkEnd w:id="1227"/>
    </w:p>
    <w:p w14:paraId="215C10B3" w14:textId="22231CF3"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66998D56" w14:textId="77777777" w:rsidR="00F96626" w:rsidRPr="009E064B" w:rsidRDefault="00F9662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661A3E8A" w14:textId="71E4F659" w:rsidR="00C36D76" w:rsidRPr="009E064B" w:rsidRDefault="00E916B1" w:rsidP="00B06A9A">
      <w:pPr>
        <w:pStyle w:val="Nagwek4"/>
        <w:rPr>
          <w:color w:val="auto"/>
        </w:rPr>
      </w:pPr>
      <w:bookmarkStart w:id="1228" w:name="_Toc482886622"/>
      <w:bookmarkStart w:id="1229" w:name="_Toc12533087"/>
      <w:r w:rsidRPr="009E064B">
        <w:rPr>
          <w:color w:val="auto"/>
        </w:rPr>
        <w:t xml:space="preserve">CS ADR-DSN.H.430     </w:t>
      </w:r>
      <w:r w:rsidR="00C36D76" w:rsidRPr="009E064B">
        <w:rPr>
          <w:color w:val="auto"/>
        </w:rPr>
        <w:t>Powierzchnia przejściowa</w:t>
      </w:r>
      <w:bookmarkEnd w:id="1228"/>
      <w:bookmarkEnd w:id="1229"/>
    </w:p>
    <w:p w14:paraId="5E27DC6B" w14:textId="5DFE5ACB"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7DE111F" w14:textId="3A3FE171" w:rsidR="00C36D76" w:rsidRPr="009E064B" w:rsidRDefault="00E916B1"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 </w:t>
      </w:r>
      <w:r w:rsidR="00C36D76" w:rsidRPr="009E064B">
        <w:rPr>
          <w:rFonts w:cs="Times New Roman"/>
          <w:szCs w:val="20"/>
        </w:rPr>
        <w:t xml:space="preserve">(a) </w:t>
      </w:r>
      <w:r w:rsidR="00C36D76" w:rsidRPr="009E064B">
        <w:rPr>
          <w:rFonts w:cs="Times New Roman"/>
          <w:szCs w:val="20"/>
        </w:rPr>
        <w:tab/>
      </w:r>
      <w:r w:rsidR="00C36D76" w:rsidRPr="009E064B">
        <w:rPr>
          <w:rFonts w:cs="TimesNewRomanPS-BoldItalicMT"/>
          <w:bCs/>
          <w:iCs/>
          <w:szCs w:val="20"/>
        </w:rPr>
        <w:t>Zastosowanie</w:t>
      </w:r>
      <w:r w:rsidR="00C36D76" w:rsidRPr="009E064B">
        <w:rPr>
          <w:rFonts w:cs="TimesNewRomanPS-ItalicMT"/>
          <w:iCs/>
          <w:szCs w:val="20"/>
        </w:rPr>
        <w:t xml:space="preserve">: Celem powierzchni przejściowej jest określenie granicy obszaru </w:t>
      </w:r>
      <w:r w:rsidR="00C36D76" w:rsidRPr="009E064B">
        <w:rPr>
          <w:rFonts w:cs="TimesNewRomanPSMT"/>
          <w:szCs w:val="20"/>
        </w:rPr>
        <w:t>dostępnego</w:t>
      </w:r>
      <w:r w:rsidR="00C36D76" w:rsidRPr="009E064B">
        <w:rPr>
          <w:rFonts w:cs="TimesNewRomanPS-ItalicMT"/>
          <w:iCs/>
          <w:szCs w:val="20"/>
        </w:rPr>
        <w:t xml:space="preserve"> dla budynków i innych konstrukcji lub przeszkód naturalnych, takich jak drzewa.</w:t>
      </w:r>
    </w:p>
    <w:p w14:paraId="3D4395B3"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Opis: </w:t>
      </w:r>
      <w:r w:rsidRPr="009E064B">
        <w:rPr>
          <w:rFonts w:cs="TimesNewRomanPSMT"/>
          <w:szCs w:val="20"/>
        </w:rPr>
        <w:t>Powierzchnia złożona, położona wzdłuż boku pasa drogi startowej i części boku powierzchni podejścia, nachylona do góry i na zewnątrz do powierzchni poziomej wewnętrznej.</w:t>
      </w:r>
    </w:p>
    <w:p w14:paraId="64D2B9C9"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Granice powierzchni przejściowej powinny stanowić:</w:t>
      </w:r>
    </w:p>
    <w:p w14:paraId="032E31F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dolna, zaczynająca się w miejscu przecięcia boku powierzchni podejścia z powierzchnią poziomą wewnętrzną i rozchodząca się w dół, wzdłuż boku powierzchni podejścia, do dolnej krawędzi powierzchni podejścia, a następnie z tego miejsca wzdłuż krawędzi pasa drogi startowej równolegle do linii środkowej drogi startowej; oraz</w:t>
      </w:r>
    </w:p>
    <w:p w14:paraId="1E403B7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krawędź górna, położona w płaszczyźnie powierzchni poziomej wewnętrznej.</w:t>
      </w:r>
    </w:p>
    <w:p w14:paraId="2136BA99"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 xml:space="preserve">Wysokość </w:t>
      </w:r>
      <w:r w:rsidRPr="009E064B">
        <w:rPr>
          <w:rFonts w:cs="TimesNewRomanPS-ItalicMT"/>
          <w:iCs/>
          <w:szCs w:val="20"/>
        </w:rPr>
        <w:t>punktu</w:t>
      </w:r>
      <w:r w:rsidRPr="009E064B">
        <w:rPr>
          <w:rFonts w:cs="TimesNewRomanPSMT"/>
          <w:szCs w:val="20"/>
        </w:rPr>
        <w:t xml:space="preserve"> na krawędzi dolnej powinna być:</w:t>
      </w:r>
    </w:p>
    <w:p w14:paraId="4BA1530D"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wzdłuż boku powierzchni podejścia ― równa wysokości powierzchni podejścia w tym punkcie; oraz</w:t>
      </w:r>
    </w:p>
    <w:p w14:paraId="06FC00E7"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wzdłuż pasa drogi startowej ― równa wysokości punktu położonego najbliżej linii środkowej drogi startowej lub jej przedłużenia.</w:t>
      </w:r>
    </w:p>
    <w:p w14:paraId="0CBB55F8"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Nachylenie powierzchni przejściowej powinno być mierzone w płaszczyźnie pionowej prostopadłej do linii środkowej drogi startowej.</w:t>
      </w:r>
    </w:p>
    <w:p w14:paraId="11F64971" w14:textId="77777777" w:rsidR="00EE59EF" w:rsidRPr="009E064B" w:rsidRDefault="00EE59EF" w:rsidP="00133B99">
      <w:pPr>
        <w:pStyle w:val="Nagwek6"/>
      </w:pPr>
      <w:bookmarkStart w:id="1230" w:name="_Toc401058980"/>
      <w:bookmarkStart w:id="1231" w:name="_Toc482886846"/>
      <w:bookmarkStart w:id="1232" w:name="_Toc12533088"/>
      <w:r w:rsidRPr="009E064B">
        <w:t>GM1 ADR-DSN.H.430     Powierzchnia przejściowa</w:t>
      </w:r>
      <w:bookmarkEnd w:id="1230"/>
      <w:bookmarkEnd w:id="1231"/>
      <w:bookmarkEnd w:id="1232"/>
    </w:p>
    <w:p w14:paraId="306C274E" w14:textId="47744626" w:rsidR="00EE59EF" w:rsidRPr="009E064B" w:rsidRDefault="001F74A1" w:rsidP="00EE59E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02C981A" w14:textId="77777777" w:rsidR="00EE59EF" w:rsidRPr="009E064B" w:rsidRDefault="00EE59EF" w:rsidP="00EE59EF">
      <w:pPr>
        <w:autoSpaceDE w:val="0"/>
        <w:autoSpaceDN w:val="0"/>
        <w:adjustRightInd w:val="0"/>
        <w:rPr>
          <w:rFonts w:cs="TimesNewRomanPSMT"/>
          <w:szCs w:val="20"/>
        </w:rPr>
      </w:pPr>
      <w:r w:rsidRPr="009E064B">
        <w:rPr>
          <w:rFonts w:cs="TimesNewRomanPSMT"/>
          <w:szCs w:val="20"/>
        </w:rPr>
        <w:t>Jeżeli wysokość punktu na dolnej krawędzi wzdłuż pasa drogi startowej jest równa wysokości punktu położonego najbliżej na linii środkowej drogi startowej lub na jej przedłużeniu, powierzchnia przejściowa biegnąca wzdłuż pasa drogi startowej powinna być krzywa jeżeli profil drogi startowej jest krzywy, lub płaska jeżeli profil drogi startowej jest linią prostą. Krawędź przecięcia powierzchni przejściowej z powierzchnią poziomą wewnętrzną powinna być również linią prostą lub krzywą w zależności od profilu drogi startowej.</w:t>
      </w:r>
    </w:p>
    <w:p w14:paraId="774C8A5D" w14:textId="77777777" w:rsidR="00EE59EF" w:rsidRPr="009E064B" w:rsidRDefault="00EE59EF" w:rsidP="00B06A9A">
      <w:pPr>
        <w:rPr>
          <w:rFonts w:cs="TimesNewRomanPS-BoldMT"/>
          <w:bCs/>
          <w:szCs w:val="20"/>
        </w:rPr>
      </w:pPr>
    </w:p>
    <w:p w14:paraId="1A214182" w14:textId="5B97B02B" w:rsidR="00C36D76" w:rsidRPr="009E064B" w:rsidRDefault="005C2B80" w:rsidP="00B06A9A">
      <w:pPr>
        <w:rPr>
          <w:rFonts w:cs="TimesNewRomanPS-BoldMT"/>
          <w:bCs/>
          <w:szCs w:val="20"/>
        </w:rPr>
      </w:pPr>
      <w:r w:rsidRPr="009E064B">
        <w:rPr>
          <w:noProof/>
          <w:lang w:eastAsia="pl-PL"/>
        </w:rPr>
        <w:drawing>
          <wp:inline distT="0" distB="0" distL="0" distR="0" wp14:anchorId="27E4B63F" wp14:editId="18E8F95E">
            <wp:extent cx="5760720" cy="4217941"/>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0720" cy="4217941"/>
                    </a:xfrm>
                    <a:prstGeom prst="rect">
                      <a:avLst/>
                    </a:prstGeom>
                    <a:noFill/>
                    <a:ln>
                      <a:noFill/>
                    </a:ln>
                  </pic:spPr>
                </pic:pic>
              </a:graphicData>
            </a:graphic>
          </wp:inline>
        </w:drawing>
      </w:r>
    </w:p>
    <w:p w14:paraId="08DAD6F2" w14:textId="77777777" w:rsidR="00C36D76" w:rsidRPr="005669D1" w:rsidRDefault="00C36D76" w:rsidP="002254BD">
      <w:pPr>
        <w:spacing w:before="240"/>
        <w:jc w:val="center"/>
        <w:rPr>
          <w:rFonts w:cs="TimesNewRomanPSMT"/>
          <w:b/>
          <w:sz w:val="20"/>
          <w:szCs w:val="20"/>
        </w:rPr>
      </w:pPr>
      <w:r w:rsidRPr="005669D1">
        <w:rPr>
          <w:rFonts w:cs="TimesNewRomanPSMT"/>
          <w:b/>
          <w:sz w:val="20"/>
          <w:szCs w:val="20"/>
        </w:rPr>
        <w:t>Rysunek H-1.  Powierzchnia pozioma wewnętrzna dla drogi startowej z cyfrą kodu 4.</w:t>
      </w:r>
    </w:p>
    <w:p w14:paraId="4E74B6AA" w14:textId="77777777" w:rsidR="00C36D76" w:rsidRPr="009E064B" w:rsidRDefault="00C36D76" w:rsidP="002254BD">
      <w:pPr>
        <w:rPr>
          <w:rFonts w:cs="TimesNewRomanPS-BoldMT"/>
          <w:bCs/>
          <w:szCs w:val="20"/>
        </w:rPr>
      </w:pPr>
    </w:p>
    <w:p w14:paraId="75A83A26" w14:textId="77777777" w:rsidR="00C36D76" w:rsidRPr="009E064B" w:rsidRDefault="00C36D76" w:rsidP="002254BD">
      <w:pPr>
        <w:spacing w:after="0"/>
        <w:rPr>
          <w:rFonts w:cs="TimesNewRomanPS-BoldMT"/>
          <w:bCs/>
          <w:szCs w:val="20"/>
        </w:rPr>
      </w:pPr>
    </w:p>
    <w:p w14:paraId="0DEC97ED" w14:textId="1E3648DB" w:rsidR="00C36D76" w:rsidRPr="009E064B" w:rsidRDefault="00B715BC" w:rsidP="00E916B1">
      <w:pPr>
        <w:tabs>
          <w:tab w:val="left" w:pos="6804"/>
        </w:tabs>
        <w:spacing w:after="0"/>
        <w:rPr>
          <w:rFonts w:cs="TimesNewRomanPS-BoldMT"/>
          <w:bCs/>
          <w:szCs w:val="20"/>
        </w:rPr>
      </w:pPr>
      <w:r w:rsidRPr="009E064B">
        <w:rPr>
          <w:noProof/>
          <w:lang w:eastAsia="pl-PL"/>
        </w:rPr>
        <w:drawing>
          <wp:inline distT="0" distB="0" distL="0" distR="0" wp14:anchorId="26995356" wp14:editId="3CB337BB">
            <wp:extent cx="5760720" cy="836676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8366760"/>
                    </a:xfrm>
                    <a:prstGeom prst="rect">
                      <a:avLst/>
                    </a:prstGeom>
                    <a:noFill/>
                    <a:ln>
                      <a:noFill/>
                    </a:ln>
                  </pic:spPr>
                </pic:pic>
              </a:graphicData>
            </a:graphic>
          </wp:inline>
        </w:drawing>
      </w:r>
    </w:p>
    <w:p w14:paraId="6955E8D2" w14:textId="77777777" w:rsidR="00C36D76" w:rsidRPr="002B2B37" w:rsidRDefault="00C36D76" w:rsidP="00B715BC">
      <w:pPr>
        <w:spacing w:before="120" w:after="0"/>
        <w:ind w:right="11"/>
        <w:jc w:val="center"/>
        <w:rPr>
          <w:rFonts w:cs="TimesNewRomanPS-BoldMT"/>
          <w:b/>
          <w:bCs/>
          <w:sz w:val="20"/>
          <w:szCs w:val="20"/>
        </w:rPr>
      </w:pPr>
      <w:r w:rsidRPr="002B2B37">
        <w:rPr>
          <w:b/>
          <w:sz w:val="20"/>
        </w:rPr>
        <w:t>Rysunek H-2.  Powierzchnie ograniczające przeszkody.</w:t>
      </w:r>
    </w:p>
    <w:p w14:paraId="1FD1A119" w14:textId="77777777" w:rsidR="00C36D76" w:rsidRPr="009E064B" w:rsidRDefault="00C36D76" w:rsidP="00B06A9A">
      <w:pPr>
        <w:rPr>
          <w:rFonts w:cs="TimesNewRomanPS-BoldMT"/>
          <w:bCs/>
          <w:szCs w:val="20"/>
        </w:rPr>
      </w:pPr>
    </w:p>
    <w:p w14:paraId="481E09A2" w14:textId="756D5CCD" w:rsidR="00C36D76" w:rsidRPr="009E064B" w:rsidRDefault="00B715BC" w:rsidP="00E916B1">
      <w:pPr>
        <w:spacing w:after="0"/>
      </w:pPr>
      <w:r w:rsidRPr="009E064B">
        <w:rPr>
          <w:noProof/>
          <w:lang w:eastAsia="pl-PL"/>
        </w:rPr>
        <w:drawing>
          <wp:inline distT="0" distB="0" distL="0" distR="0" wp14:anchorId="200E1A30" wp14:editId="426DDDB2">
            <wp:extent cx="5760720" cy="5230127"/>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720" cy="5230127"/>
                    </a:xfrm>
                    <a:prstGeom prst="rect">
                      <a:avLst/>
                    </a:prstGeom>
                    <a:noFill/>
                    <a:ln>
                      <a:noFill/>
                    </a:ln>
                  </pic:spPr>
                </pic:pic>
              </a:graphicData>
            </a:graphic>
          </wp:inline>
        </w:drawing>
      </w:r>
    </w:p>
    <w:p w14:paraId="4364659E" w14:textId="77777777" w:rsidR="00C36D76" w:rsidRPr="009E064B" w:rsidRDefault="00C36D76" w:rsidP="00B06A9A">
      <w:pPr>
        <w:autoSpaceDE w:val="0"/>
        <w:autoSpaceDN w:val="0"/>
        <w:adjustRightInd w:val="0"/>
        <w:spacing w:after="0"/>
        <w:jc w:val="center"/>
        <w:rPr>
          <w:rFonts w:cs="TimesNewRomanPSMT"/>
          <w:szCs w:val="20"/>
        </w:rPr>
      </w:pPr>
    </w:p>
    <w:p w14:paraId="7D9B2919" w14:textId="48DE7F8F" w:rsidR="00C36D76" w:rsidRPr="005669D1" w:rsidRDefault="00C36D76" w:rsidP="00E916B1">
      <w:pPr>
        <w:autoSpaceDE w:val="0"/>
        <w:autoSpaceDN w:val="0"/>
        <w:adjustRightInd w:val="0"/>
        <w:spacing w:after="0"/>
        <w:ind w:left="1276" w:hanging="1276"/>
        <w:jc w:val="center"/>
        <w:rPr>
          <w:rFonts w:cs="TimesNewRomanPSMT"/>
          <w:b/>
          <w:sz w:val="20"/>
          <w:szCs w:val="20"/>
        </w:rPr>
      </w:pPr>
      <w:r w:rsidRPr="005669D1">
        <w:rPr>
          <w:rFonts w:cs="TimesNewRomanPSMT"/>
          <w:b/>
          <w:sz w:val="20"/>
          <w:szCs w:val="20"/>
        </w:rPr>
        <w:t>Rysunek H-3.  Powierzchnie ograniczające przeszkody: powierzchnia podejścia wewnętrzna,</w:t>
      </w:r>
      <w:r w:rsidRPr="005669D1">
        <w:rPr>
          <w:rFonts w:cs="TimesNewRomanPSMT"/>
          <w:b/>
          <w:sz w:val="20"/>
          <w:szCs w:val="20"/>
        </w:rPr>
        <w:br/>
        <w:t>powierzchnia przejściowa wewnętrzna i powierzchnia przerwanego lądowania.</w:t>
      </w:r>
    </w:p>
    <w:p w14:paraId="1AD06ADE" w14:textId="77777777" w:rsidR="00E916B1" w:rsidRPr="009E064B" w:rsidRDefault="00E916B1" w:rsidP="00E916B1">
      <w:pPr>
        <w:autoSpaceDE w:val="0"/>
        <w:autoSpaceDN w:val="0"/>
        <w:adjustRightInd w:val="0"/>
        <w:spacing w:after="0"/>
        <w:ind w:left="1276" w:hanging="1276"/>
        <w:rPr>
          <w:rFonts w:cs="TimesNewRomanPSMT"/>
          <w:szCs w:val="20"/>
        </w:rPr>
      </w:pPr>
    </w:p>
    <w:p w14:paraId="42E3D2F6" w14:textId="122968D7" w:rsidR="00C36D76" w:rsidRPr="009E064B" w:rsidRDefault="00E916B1" w:rsidP="00B06A9A">
      <w:pPr>
        <w:pStyle w:val="Nagwek4"/>
        <w:rPr>
          <w:color w:val="auto"/>
        </w:rPr>
      </w:pPr>
      <w:bookmarkStart w:id="1233" w:name="_Toc482886623"/>
      <w:bookmarkStart w:id="1234" w:name="_Toc12533089"/>
      <w:r w:rsidRPr="009E064B">
        <w:rPr>
          <w:color w:val="auto"/>
        </w:rPr>
        <w:t xml:space="preserve">CS ADR-DSN.H.435     </w:t>
      </w:r>
      <w:r w:rsidR="00C36D76" w:rsidRPr="009E064B">
        <w:rPr>
          <w:color w:val="auto"/>
        </w:rPr>
        <w:t>Powierzchnia wznoszenia</w:t>
      </w:r>
      <w:bookmarkEnd w:id="1233"/>
      <w:bookmarkEnd w:id="1234"/>
    </w:p>
    <w:p w14:paraId="71AC3371" w14:textId="3C2D9E75"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9210661" w14:textId="4B96008F" w:rsidR="00C36D76" w:rsidRPr="009E064B" w:rsidRDefault="00C36D76"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(a)</w:t>
      </w:r>
      <w:r w:rsidRPr="009E064B">
        <w:rPr>
          <w:rFonts w:cs="Times New Roman"/>
          <w:szCs w:val="20"/>
        </w:rPr>
        <w:tab/>
        <w:t>Zastosowanie</w:t>
      </w:r>
      <w:r w:rsidRPr="009E064B">
        <w:rPr>
          <w:rFonts w:cs="TimesNewRomanPS-ItalicMT"/>
          <w:iCs/>
          <w:szCs w:val="20"/>
        </w:rPr>
        <w:t>: Celem powierzchni wznoszenia jest ochrona statku powietrznego w czasie startu i podczas wznoszenia.</w:t>
      </w:r>
    </w:p>
    <w:p w14:paraId="42FE7701"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Opis: </w:t>
      </w:r>
      <w:r w:rsidRPr="009E064B">
        <w:rPr>
          <w:rFonts w:cs="TimesNewRomanPSMT"/>
          <w:szCs w:val="20"/>
        </w:rPr>
        <w:t>Nachylona płaszczyzna lub każda inna wyznaczona powierzchnia, znajdująca się poza końcem drogi startowej lub zabezpieczenia wydłużonego startu.</w:t>
      </w:r>
    </w:p>
    <w:p w14:paraId="37282AF2"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Granice powierzchni wznoszenia powinny stanowić:</w:t>
      </w:r>
    </w:p>
    <w:p w14:paraId="1B0447A1" w14:textId="77777777"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wewnętrzna, pozioma i prostopadła do linii środkowej drogi startowej, położona w określonej odległości od końca drogi startowej lub na końcu zabezpieczenia wydłużonego startu, jeżeli występuje, a jej długość przekracza określony wymiar;</w:t>
      </w:r>
    </w:p>
    <w:p w14:paraId="0E3CAA6E" w14:textId="77777777"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dwa boki wyprowadzone z końców krawędzi wewnętrznej, rozchylone symetrycznie pod określonym kątem w odniesieniu do ścieżki wznoszenia, do osiągnięcia określonej szerokości końcowej, i ciągnące się dalej na tej szerokości (równolegle) na pozostałej długości powierzchni wznoszenia; oraz</w:t>
      </w:r>
    </w:p>
    <w:p w14:paraId="4863079E" w14:textId="305AAF45"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krawędź zewnętrzna, pozioma i prostopadła do</w:t>
      </w:r>
      <w:r w:rsidR="00AC707F" w:rsidRPr="009E064B">
        <w:rPr>
          <w:rFonts w:cs="TimesNewRomanPSMT"/>
          <w:szCs w:val="20"/>
        </w:rPr>
        <w:t xml:space="preserve"> określonej ścieżki wznoszenia.</w:t>
      </w:r>
    </w:p>
    <w:p w14:paraId="1A28011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 xml:space="preserve">Wysokość krawędzi wewnętrznej powinna być równa wysokości najwyższego punktu </w:t>
      </w:r>
      <w:r w:rsidRPr="009E064B">
        <w:rPr>
          <w:rFonts w:cs="TimesNewRomanPS-ItalicMT"/>
          <w:iCs/>
          <w:szCs w:val="20"/>
        </w:rPr>
        <w:t>położonego</w:t>
      </w:r>
      <w:r w:rsidRPr="009E064B">
        <w:rPr>
          <w:rFonts w:cs="TimesNewRomanPSMT"/>
          <w:szCs w:val="20"/>
        </w:rPr>
        <w:t xml:space="preserve"> na linii środkowej przedłużenia drogi startowej, pomiędzy końcem drogi startowej, a krawędzią wewnętrzną; jeżeli jednak istnieje zabezpieczenie wydłużonego startu, to wysokość krawędzi wewnętrznej ma być równa wysokości najwyżej położonego punktu na ziemi, na linii środkowej zabezpieczenia wydłużonego startu.</w:t>
      </w:r>
    </w:p>
    <w:p w14:paraId="0BBE3D73"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W przypadku prostoliniowej ścieżki wznoszenia przy starcie, nachylenie powierzchni wznoszenia powinno być mierzone w płaszczyźnie pionowej, przechodzącej przez linię środkową drogi startowej.</w:t>
      </w:r>
    </w:p>
    <w:p w14:paraId="1C482EC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(f) </w:t>
      </w:r>
      <w:r w:rsidRPr="009E064B">
        <w:rPr>
          <w:rFonts w:cs="Times New Roman"/>
          <w:szCs w:val="20"/>
        </w:rPr>
        <w:tab/>
      </w:r>
      <w:r w:rsidRPr="009E064B">
        <w:rPr>
          <w:rFonts w:cs="TimesNewRomanPSMT"/>
          <w:szCs w:val="20"/>
        </w:rPr>
        <w:t>W przypadku, gdy ścieżka wznoszenia przy starcie obejmuje skręt, powierzchnia wznoszenia powinna być powierzchnią złożoną, zawierającą poziome prostopadłe do jej linii środkowej, zaś nachylenie linii środkowej takiej ścieżki powinno być takie samo, jak w przypadku prostoliniowej ścieżki wznoszenia.</w:t>
      </w:r>
    </w:p>
    <w:p w14:paraId="1838805C" w14:textId="14F8C256" w:rsidR="006F1286" w:rsidRPr="009E064B" w:rsidRDefault="00E916B1" w:rsidP="00133B99">
      <w:pPr>
        <w:pStyle w:val="Nagwek6"/>
      </w:pPr>
      <w:bookmarkStart w:id="1235" w:name="_Toc401058981"/>
      <w:bookmarkStart w:id="1236" w:name="_Toc482886847"/>
      <w:bookmarkStart w:id="1237" w:name="_Toc12533090"/>
      <w:r w:rsidRPr="009E064B">
        <w:t xml:space="preserve">GM1 ADR-DSN.H.435     </w:t>
      </w:r>
      <w:r w:rsidR="006F1286" w:rsidRPr="009E064B">
        <w:t>Powierzchnia wznoszenia</w:t>
      </w:r>
      <w:bookmarkEnd w:id="1235"/>
      <w:bookmarkEnd w:id="1236"/>
      <w:bookmarkEnd w:id="1237"/>
    </w:p>
    <w:p w14:paraId="3B99059E" w14:textId="6F373D7B"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AA11600" w14:textId="77777777" w:rsidR="006F1286" w:rsidRPr="009E064B" w:rsidRDefault="006F128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44AF7CD5" w14:textId="34B6BE12" w:rsidR="00C36D76" w:rsidRPr="009E064B" w:rsidRDefault="006A2419" w:rsidP="00B06A9A">
      <w:pPr>
        <w:pStyle w:val="Nagwek4"/>
        <w:rPr>
          <w:color w:val="auto"/>
        </w:rPr>
      </w:pPr>
      <w:bookmarkStart w:id="1238" w:name="_Toc482886624"/>
      <w:bookmarkStart w:id="1239" w:name="_Toc12533091"/>
      <w:r w:rsidRPr="009E064B">
        <w:rPr>
          <w:color w:val="auto"/>
        </w:rPr>
        <w:t xml:space="preserve">CS ADR-DSN.H.440     </w:t>
      </w:r>
      <w:r w:rsidR="00C36D76" w:rsidRPr="009E064B">
        <w:rPr>
          <w:color w:val="auto"/>
        </w:rPr>
        <w:t>Obrócona powierzchnia wznoszenia przy starcie</w:t>
      </w:r>
      <w:bookmarkEnd w:id="1238"/>
      <w:bookmarkEnd w:id="1239"/>
    </w:p>
    <w:p w14:paraId="1B54D006" w14:textId="228605C1" w:rsidR="006A2419" w:rsidRPr="009E064B" w:rsidRDefault="001F74A1" w:rsidP="006A2419">
      <w:pPr>
        <w:autoSpaceDE w:val="0"/>
        <w:autoSpaceDN w:val="0"/>
        <w:adjustRightInd w:val="0"/>
        <w:spacing w:after="80"/>
        <w:jc w:val="right"/>
        <w:rPr>
          <w:rFonts w:cs="TimesNewRomanPSMT"/>
          <w:szCs w:val="20"/>
        </w:rPr>
      </w:pPr>
      <w:r>
        <w:rPr>
          <w:rFonts w:eastAsia="Calibri" w:cs="Calibri"/>
          <w:bCs/>
          <w:i/>
          <w:color w:val="1A171C"/>
          <w:sz w:val="16"/>
          <w:szCs w:val="20"/>
        </w:rPr>
        <w:t>Decyzja ED 2014/013/R</w:t>
      </w:r>
      <w:r w:rsidR="006A2419" w:rsidRPr="009E064B">
        <w:rPr>
          <w:rFonts w:cs="TimesNewRomanPSMT"/>
          <w:szCs w:val="20"/>
        </w:rPr>
        <w:t xml:space="preserve"> </w:t>
      </w:r>
    </w:p>
    <w:p w14:paraId="1FBD2516" w14:textId="77777777" w:rsidR="00C36D76" w:rsidRPr="009E064B" w:rsidRDefault="00C36D76" w:rsidP="00B06A9A">
      <w:pPr>
        <w:autoSpaceDE w:val="0"/>
        <w:autoSpaceDN w:val="0"/>
        <w:adjustRightInd w:val="0"/>
        <w:rPr>
          <w:rFonts w:cs="TimesNewRomanPSMT"/>
          <w:szCs w:val="20"/>
        </w:rPr>
      </w:pPr>
      <w:r w:rsidRPr="009E064B">
        <w:rPr>
          <w:rFonts w:cs="TimesNewRomanPSMT"/>
          <w:szCs w:val="20"/>
        </w:rPr>
        <w:t>Celowo pozostawione puste.</w:t>
      </w:r>
    </w:p>
    <w:p w14:paraId="36448B98" w14:textId="1861AA1A" w:rsidR="006F1286" w:rsidRPr="009E064B" w:rsidRDefault="006A2419" w:rsidP="00133B99">
      <w:pPr>
        <w:pStyle w:val="Nagwek6"/>
      </w:pPr>
      <w:bookmarkStart w:id="1240" w:name="_Toc401058982"/>
      <w:bookmarkStart w:id="1241" w:name="_Toc482886848"/>
      <w:bookmarkStart w:id="1242" w:name="_Toc12533092"/>
      <w:r w:rsidRPr="009E064B">
        <w:t xml:space="preserve">GM1 ADR-DSN.H.440     </w:t>
      </w:r>
      <w:r w:rsidR="006F1286" w:rsidRPr="009E064B">
        <w:t>Obrócona powierzchnia wznoszenia</w:t>
      </w:r>
      <w:bookmarkEnd w:id="1240"/>
      <w:r w:rsidR="006F1286" w:rsidRPr="009E064B">
        <w:t xml:space="preserve"> przy starcie</w:t>
      </w:r>
      <w:bookmarkEnd w:id="1241"/>
      <w:bookmarkEnd w:id="1242"/>
    </w:p>
    <w:p w14:paraId="7EAC0E72" w14:textId="74CD0A9E"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9B32F84" w14:textId="77777777" w:rsidR="006F1286" w:rsidRPr="009E064B" w:rsidRDefault="006F1286" w:rsidP="00B06A9A">
      <w:pPr>
        <w:autoSpaceDE w:val="0"/>
        <w:autoSpaceDN w:val="0"/>
        <w:adjustRightInd w:val="0"/>
        <w:rPr>
          <w:rFonts w:cs="TimesNewRomanPSMT"/>
          <w:szCs w:val="20"/>
        </w:rPr>
      </w:pPr>
      <w:r w:rsidRPr="009E064B">
        <w:rPr>
          <w:rFonts w:cs="TimesNewRomanPSMT"/>
          <w:szCs w:val="20"/>
        </w:rPr>
        <w:t>Krawędź powierzchni wznoszenia (przy starcie) może być obrócona w kierunku zawrotu z przedłużonej linii środkowej drogi startowej o maksymalnie 15 stopni. Część powierzchni wznoszenia obejmująca nowy kierunek odlotu powinna mieć taki sam kształt oraz wymiary jak pierwotna powierzchnia wznoszenia mierzona względem nowego kierunku odlotu. Przeciwległa krawędź powierzchni wznoszenia powinna pozostać niezmieniona, chyba że jest jeszcze jeden odlot skierowany w tą stroną, w takim przypadku krawędź może być również obrócona w tym kierunku.</w:t>
      </w:r>
    </w:p>
    <w:p w14:paraId="5A32976B"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5C13A20" w14:textId="0CBB342F" w:rsidR="00C36D76" w:rsidRPr="009E064B" w:rsidRDefault="006A2419" w:rsidP="00B06A9A">
      <w:pPr>
        <w:pStyle w:val="Nagwek4"/>
        <w:rPr>
          <w:color w:val="auto"/>
        </w:rPr>
      </w:pPr>
      <w:bookmarkStart w:id="1243" w:name="_Toc482886625"/>
      <w:bookmarkStart w:id="1244" w:name="_Toc12533093"/>
      <w:r w:rsidRPr="009E064B">
        <w:rPr>
          <w:color w:val="auto"/>
        </w:rPr>
        <w:t xml:space="preserve">CS ADR-DSN.H.445     </w:t>
      </w:r>
      <w:r w:rsidR="00C36D76" w:rsidRPr="009E064B">
        <w:rPr>
          <w:color w:val="auto"/>
        </w:rPr>
        <w:t>Strefa wolna od przeszkód (OFZ</w:t>
      </w:r>
      <w:r w:rsidR="00B715BC" w:rsidRPr="009E064B">
        <w:rPr>
          <w:rStyle w:val="Odwoanieprzypisudolnego"/>
          <w:color w:val="auto"/>
        </w:rPr>
        <w:footnoteReference w:id="47"/>
      </w:r>
      <w:r w:rsidR="00C36D76" w:rsidRPr="009E064B">
        <w:rPr>
          <w:color w:val="auto"/>
        </w:rPr>
        <w:t>)</w:t>
      </w:r>
      <w:bookmarkEnd w:id="1243"/>
      <w:bookmarkEnd w:id="1244"/>
    </w:p>
    <w:p w14:paraId="30DF8C15" w14:textId="5E619602"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B0DCCC9"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Strefa wolna od przeszkód przeznaczona jest do ochrony samolotów przed stałymi oraz ruchomymi przeszkodami podczas operacji w kategorii II i III, kiedy podejścia są kontynuowane poniżej wysokości decyzji, oraz ochrony w czasie kolejnych przypadków nieudanego podejścia lub przerwanego lądowania ze wszystkimi silnikami pracującymi.</w:t>
      </w:r>
    </w:p>
    <w:p w14:paraId="2B75F59D"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Strefa wolna od przeszkód składa się z następujących powierzchni ograniczających przeszkody:</w:t>
      </w:r>
    </w:p>
    <w:p w14:paraId="675C6385"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powierzchnia podejścia wewnętrzna;</w:t>
      </w:r>
    </w:p>
    <w:p w14:paraId="5E62DD3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powierzchnia przejściowa wewnętrzna; oraz</w:t>
      </w:r>
    </w:p>
    <w:p w14:paraId="11CCDF59"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powierzchnia przerwanego lądowania.</w:t>
      </w:r>
    </w:p>
    <w:p w14:paraId="7BA1096F"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BF3D8B0" w14:textId="1AB9CAF5" w:rsidR="006F1286" w:rsidRPr="009E064B" w:rsidRDefault="006A2419" w:rsidP="00133B99">
      <w:pPr>
        <w:pStyle w:val="Nagwek6"/>
      </w:pPr>
      <w:bookmarkStart w:id="1245" w:name="_Toc401058983"/>
      <w:bookmarkStart w:id="1246" w:name="_Toc482886849"/>
      <w:bookmarkStart w:id="1247" w:name="_Toc12533094"/>
      <w:r w:rsidRPr="009E064B">
        <w:t xml:space="preserve">GM1 ADR-DSN.H.445     </w:t>
      </w:r>
      <w:r w:rsidR="006F1286" w:rsidRPr="009E064B">
        <w:t>Strefa wolna od przeszkód (OFZ)</w:t>
      </w:r>
      <w:bookmarkEnd w:id="1245"/>
      <w:bookmarkEnd w:id="1246"/>
      <w:bookmarkEnd w:id="1247"/>
    </w:p>
    <w:p w14:paraId="04CCD166" w14:textId="30242540"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089FA77" w14:textId="77777777" w:rsidR="006F1286" w:rsidRPr="009E064B" w:rsidRDefault="006F128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85A7ADB"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BC7D916" w14:textId="42C178EA" w:rsidR="00C36D76" w:rsidRPr="009E064B" w:rsidRDefault="00E916B1" w:rsidP="00B06A9A">
      <w:pPr>
        <w:pStyle w:val="Nagwek4"/>
        <w:rPr>
          <w:color w:val="auto"/>
        </w:rPr>
      </w:pPr>
      <w:bookmarkStart w:id="1248" w:name="_Toc482886626"/>
      <w:bookmarkStart w:id="1249" w:name="_Toc12533095"/>
      <w:r w:rsidRPr="009E064B">
        <w:rPr>
          <w:color w:val="auto"/>
        </w:rPr>
        <w:t xml:space="preserve">CS ADR-DSN.H.450     </w:t>
      </w:r>
      <w:r w:rsidR="00C36D76" w:rsidRPr="009E064B">
        <w:rPr>
          <w:color w:val="auto"/>
        </w:rPr>
        <w:t>Powierzchnia podejścia wewnętrzna</w:t>
      </w:r>
      <w:bookmarkEnd w:id="1248"/>
      <w:bookmarkEnd w:id="1249"/>
    </w:p>
    <w:p w14:paraId="4A0081CE" w14:textId="3D81D57A"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5CDFD01F" w14:textId="74EEFCD3" w:rsidR="00C36D76" w:rsidRPr="009E064B" w:rsidRDefault="00C36D76"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MT"/>
          <w:szCs w:val="20"/>
        </w:rPr>
        <w:t>Zastosowanie</w:t>
      </w:r>
      <w:r w:rsidRPr="009E064B">
        <w:rPr>
          <w:rFonts w:cs="TimesNewRomanPS-ItalicMT"/>
          <w:iCs/>
          <w:szCs w:val="20"/>
        </w:rPr>
        <w:t>: Celem powierzchni podejścia wewnętrznej jest zabezpieczenie końcowego odcinka podejścia precyzyjnego.</w:t>
      </w:r>
    </w:p>
    <w:p w14:paraId="114018C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Opis</w:t>
      </w:r>
      <w:r w:rsidRPr="009E064B">
        <w:rPr>
          <w:rFonts w:cs="TimesNewRomanPS-ItalicMT"/>
          <w:iCs/>
          <w:szCs w:val="20"/>
        </w:rPr>
        <w:t xml:space="preserve">: </w:t>
      </w:r>
      <w:r w:rsidRPr="009E064B">
        <w:rPr>
          <w:rFonts w:cs="TimesNewRomanPSMT"/>
          <w:szCs w:val="20"/>
        </w:rPr>
        <w:t>Prostokątna część powierzchni podejścia, znajdująca się bezpośrednio przed progiem.</w:t>
      </w:r>
    </w:p>
    <w:p w14:paraId="6302F96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Granice powierzchni podejścia wewnętrznej powinny stanowić:</w:t>
      </w:r>
    </w:p>
    <w:p w14:paraId="0427F63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wewnętrzna, pokrywająca się z lokalizacją krawędzi wewnętrznej, powierzchni podejścia, ale posiadająca własną ściśle określoną długość;</w:t>
      </w:r>
    </w:p>
    <w:p w14:paraId="0C1C4145"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dwa boki, wyprowadzone z końców krawędzi wewnętrznej i ciągnące się równoległe do płaszczyzny pionowej, przechodzącej przez linię środkową drogi startowej; oraz</w:t>
      </w:r>
    </w:p>
    <w:p w14:paraId="33009F87"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krawędź zewnętrzna, równoległa do krawędzi wewnętrznej.</w:t>
      </w:r>
    </w:p>
    <w:p w14:paraId="39F4BF02" w14:textId="5387B72A" w:rsidR="006F1286" w:rsidRPr="009E064B" w:rsidRDefault="00E916B1" w:rsidP="00133B99">
      <w:pPr>
        <w:pStyle w:val="Nagwek6"/>
      </w:pPr>
      <w:bookmarkStart w:id="1250" w:name="_Toc401058984"/>
      <w:bookmarkStart w:id="1251" w:name="_Toc482886850"/>
      <w:bookmarkStart w:id="1252" w:name="_Toc12533096"/>
      <w:r w:rsidRPr="009E064B">
        <w:t xml:space="preserve">GM1 ADR-DSN.H.450     </w:t>
      </w:r>
      <w:r w:rsidR="006F1286" w:rsidRPr="009E064B">
        <w:t>Powierzchnia podejścia wewnętrzna</w:t>
      </w:r>
      <w:bookmarkEnd w:id="1250"/>
      <w:bookmarkEnd w:id="1251"/>
      <w:bookmarkEnd w:id="1252"/>
    </w:p>
    <w:p w14:paraId="7ACA9B5F" w14:textId="49079A02"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D5075B5" w14:textId="77777777" w:rsidR="006F1286" w:rsidRPr="009E064B" w:rsidRDefault="006F1286"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0EBFFC6" w14:textId="5F9ADF9D" w:rsidR="00C36D76" w:rsidRPr="009E064B" w:rsidRDefault="00E916B1" w:rsidP="00B06A9A">
      <w:pPr>
        <w:pStyle w:val="Nagwek4"/>
        <w:rPr>
          <w:color w:val="auto"/>
        </w:rPr>
      </w:pPr>
      <w:bookmarkStart w:id="1253" w:name="_Toc482886627"/>
      <w:bookmarkStart w:id="1254" w:name="_Toc12533097"/>
      <w:r w:rsidRPr="009E064B">
        <w:rPr>
          <w:color w:val="auto"/>
        </w:rPr>
        <w:t xml:space="preserve">CS ADR-DSN.H.455     </w:t>
      </w:r>
      <w:r w:rsidR="00C36D76" w:rsidRPr="009E064B">
        <w:rPr>
          <w:color w:val="auto"/>
        </w:rPr>
        <w:t>Powierzchnia przejściowa wewnętrzna</w:t>
      </w:r>
      <w:bookmarkEnd w:id="1253"/>
      <w:bookmarkEnd w:id="1254"/>
    </w:p>
    <w:p w14:paraId="32E5A075" w14:textId="7FAFBFC5"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8C00D91" w14:textId="1246F249" w:rsidR="00C36D76" w:rsidRPr="009E064B" w:rsidRDefault="00C36D76"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Zastosowanie: Celem powierzchni przejściowej wewnętrznej jest ochrona samolotów w czasie podejścia precyzyjnego i przerwanego lądowania.</w:t>
      </w:r>
    </w:p>
    <w:p w14:paraId="7AD56E2E"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Opis: </w:t>
      </w:r>
      <w:r w:rsidRPr="009E064B">
        <w:rPr>
          <w:rFonts w:cs="TimesNewRomanPSMT"/>
          <w:szCs w:val="20"/>
        </w:rPr>
        <w:t>Powierzchnia podobna do powierzchni przejściowej, lecz położona bliżej drogi startowej.</w:t>
      </w:r>
    </w:p>
    <w:p w14:paraId="68F0E5D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Granice powierzchni przejściowej wewnętrznej powinny stanowić:</w:t>
      </w:r>
    </w:p>
    <w:p w14:paraId="7CAEC1DF"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krawędź dolna, rozpoczynająca się na końcu powierzchni podejścia wewnętrznej i rozciągająca się wzdłuż boku powierzchni podejścia wewnętrznej do krawędzi wewnętrznej tej powierzchni, z tego miejsca wzdłuż pasa drogi startowej równolegle do linii środkowej drogi startowej, aż do krawędzi wewnętrznej powierzchni </w:t>
      </w:r>
      <w:r w:rsidRPr="009E064B">
        <w:rPr>
          <w:rFonts w:cs="TimesNewRomanPS-ItalicMT"/>
          <w:iCs/>
          <w:szCs w:val="20"/>
        </w:rPr>
        <w:t>przerwanego</w:t>
      </w:r>
      <w:r w:rsidRPr="009E064B">
        <w:rPr>
          <w:rFonts w:cs="TimesNewRomanPSMT"/>
          <w:szCs w:val="20"/>
        </w:rPr>
        <w:t xml:space="preserve"> lądowania, i wznosząca się następnie po bocznej krawędzi powierzchni </w:t>
      </w:r>
      <w:r w:rsidRPr="009E064B">
        <w:rPr>
          <w:rFonts w:cs="TimesNewRomanPS-ItalicMT"/>
          <w:iCs/>
          <w:szCs w:val="20"/>
        </w:rPr>
        <w:t>przerwanego</w:t>
      </w:r>
      <w:r w:rsidRPr="009E064B">
        <w:rPr>
          <w:rFonts w:cs="TimesNewRomanPSMT"/>
          <w:szCs w:val="20"/>
        </w:rPr>
        <w:t xml:space="preserve"> lądowania, do punktu przecięcia się tej krawędzi z powierzchnią poziomą wewnętrzną; oraz</w:t>
      </w:r>
    </w:p>
    <w:p w14:paraId="57507482"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krawędź górna, leżąca w tej samej płaszczyźnie, co powierzchnia pozioma wewnętrzna.</w:t>
      </w:r>
    </w:p>
    <w:p w14:paraId="449279A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Wysokość punktu na krawędzi dolnej:</w:t>
      </w:r>
    </w:p>
    <w:p w14:paraId="425251D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wzdłuż bocznej krawędzi powierzchni podejścia wewnętrznej oraz powierzchni </w:t>
      </w:r>
      <w:r w:rsidRPr="009E064B">
        <w:rPr>
          <w:rFonts w:cs="TimesNewRomanPS-ItalicMT"/>
          <w:iCs/>
          <w:szCs w:val="20"/>
        </w:rPr>
        <w:t>przerwanego</w:t>
      </w:r>
      <w:r w:rsidRPr="009E064B">
        <w:rPr>
          <w:rFonts w:cs="TimesNewRomanPSMT"/>
          <w:szCs w:val="20"/>
        </w:rPr>
        <w:t xml:space="preserve"> lądowania ― powinna być równa wysokości tych powierzchni w tym punkcie; oraz</w:t>
      </w:r>
    </w:p>
    <w:p w14:paraId="6B197758"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wzdłuż pasa drogi startowej ― powinna być równa wysokości punktu położonego najbliżej na linii środkowej drogi startowej lub na jej przedłużeniu.</w:t>
      </w:r>
    </w:p>
    <w:p w14:paraId="4B04628E"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Nachylenie powierzchni przejściowej wewnętrznej powinno być mierzone w płaszczyźnie pionowej prostopadłej do linii środkowej drogi startowej.</w:t>
      </w:r>
    </w:p>
    <w:p w14:paraId="0245B788" w14:textId="7461235B" w:rsidR="006F1286" w:rsidRPr="009E064B" w:rsidRDefault="006F1286" w:rsidP="00133B99">
      <w:pPr>
        <w:pStyle w:val="Nagwek6"/>
      </w:pPr>
      <w:bookmarkStart w:id="1255" w:name="_Toc401058985"/>
      <w:bookmarkStart w:id="1256" w:name="_Toc482886851"/>
      <w:bookmarkStart w:id="1257" w:name="_Toc12533098"/>
      <w:r w:rsidRPr="009E064B">
        <w:t>GM1 ADR-DSN.H</w:t>
      </w:r>
      <w:r w:rsidR="00E916B1" w:rsidRPr="009E064B">
        <w:t xml:space="preserve">.455     </w:t>
      </w:r>
      <w:r w:rsidRPr="009E064B">
        <w:t>Powierzchnia przejściowa wewnętrzna</w:t>
      </w:r>
      <w:bookmarkEnd w:id="1255"/>
      <w:bookmarkEnd w:id="1256"/>
      <w:bookmarkEnd w:id="1257"/>
    </w:p>
    <w:p w14:paraId="25780D3C" w14:textId="5CAA5AB1"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79E9CFF" w14:textId="37F0FADF" w:rsidR="006F1286" w:rsidRPr="009E064B" w:rsidRDefault="006F1286" w:rsidP="00E916B1">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 xml:space="preserve">Zakłada się, że powierzchnia przejściowa wewnętrzna stanowi powierzchnię wyznaczającą strefę </w:t>
      </w:r>
      <w:r w:rsidRPr="009E064B">
        <w:rPr>
          <w:rFonts w:cs="TimesNewRomanPSMT"/>
          <w:szCs w:val="20"/>
        </w:rPr>
        <w:t>wolną</w:t>
      </w:r>
      <w:r w:rsidRPr="009E064B">
        <w:rPr>
          <w:rFonts w:eastAsia="Times New Roman,Italic" w:cs="Times New Roman,Italic"/>
          <w:iCs/>
          <w:szCs w:val="20"/>
        </w:rPr>
        <w:t xml:space="preserve"> od przeszkód takich jak pomoce nawigacyjne, statki powietrzne i inne pojazdy, które powinny znajdować się w pobliżu drogi startowej, oraz zapewnia, że nic za wyjątkiem obiektów o łamliwej konstrukcji, nie przebija tej powierzchni. Powierzchnia przejściowa powinna stanowić powierzchnię ograniczającą przeszkody takie jak budynki i inne konstrukcje</w:t>
      </w:r>
      <w:r w:rsidRPr="009E064B">
        <w:rPr>
          <w:rFonts w:cs="TimesNewRomanPSMT"/>
          <w:szCs w:val="20"/>
        </w:rPr>
        <w:t>.</w:t>
      </w:r>
    </w:p>
    <w:p w14:paraId="2AF9AC25"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NewRomanPSMT"/>
          <w:szCs w:val="20"/>
        </w:rPr>
        <w:t>Powierzchnia przejściowa wewnętrzna biegnąca wzdłuż pasa powinna być krzywa jeżeli profil drogi startowej jest krzywy, lub płaska jeżeli profil drogi startowej jest linią prostą. Krawędź przecięcia powierzchni przejściowej z powierzchnią poziomą wewnętrzną powinno być również linia prostą lub krzywą w zależności od profilu drogi startowej.</w:t>
      </w:r>
    </w:p>
    <w:p w14:paraId="1091E6CC" w14:textId="489865AF" w:rsidR="00C36D76" w:rsidRPr="009E064B" w:rsidRDefault="00E916B1" w:rsidP="00B06A9A">
      <w:pPr>
        <w:pStyle w:val="Nagwek4"/>
        <w:rPr>
          <w:color w:val="auto"/>
        </w:rPr>
      </w:pPr>
      <w:bookmarkStart w:id="1258" w:name="_Toc482886628"/>
      <w:bookmarkStart w:id="1259" w:name="_Toc12533099"/>
      <w:r w:rsidRPr="009E064B">
        <w:rPr>
          <w:color w:val="auto"/>
        </w:rPr>
        <w:t xml:space="preserve">CS ADR-DSN.H.460     </w:t>
      </w:r>
      <w:r w:rsidR="00C36D76" w:rsidRPr="009E064B">
        <w:rPr>
          <w:color w:val="auto"/>
        </w:rPr>
        <w:t>Powierzchnia przerwanego lądowania</w:t>
      </w:r>
      <w:bookmarkEnd w:id="1258"/>
      <w:bookmarkEnd w:id="1259"/>
    </w:p>
    <w:p w14:paraId="5DA9304C" w14:textId="42758326"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484FEA37" w14:textId="121345EB" w:rsidR="00C36D76" w:rsidRPr="009E064B" w:rsidRDefault="00C36D76" w:rsidP="00E916B1">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Zastosowanie: Celem powierzchni przerwanego lądowania jest zabezpieczenie przerwanego lądowania.</w:t>
      </w:r>
    </w:p>
    <w:p w14:paraId="3CD90C1C"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Opis: N</w:t>
      </w:r>
      <w:r w:rsidRPr="009E064B">
        <w:rPr>
          <w:rFonts w:cs="TimesNewRomanPSMT"/>
          <w:szCs w:val="20"/>
        </w:rPr>
        <w:t>achylona płaszczyzna, położona w określonej odległości za progiem i rozciągająca się pomiędzy powierzchniami przejściowymi wewnętrznymi.</w:t>
      </w:r>
    </w:p>
    <w:p w14:paraId="6DB256A0"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Charakterystyki: </w:t>
      </w:r>
      <w:r w:rsidRPr="009E064B">
        <w:rPr>
          <w:rFonts w:cs="TimesNewRomanPSMT"/>
          <w:szCs w:val="20"/>
        </w:rPr>
        <w:t xml:space="preserve">Granice powierzchni </w:t>
      </w:r>
      <w:r w:rsidRPr="009E064B">
        <w:rPr>
          <w:rFonts w:cs="TimesNewRomanPS-ItalicMT"/>
          <w:iCs/>
          <w:szCs w:val="20"/>
        </w:rPr>
        <w:t>przerwanego</w:t>
      </w:r>
      <w:r w:rsidRPr="009E064B">
        <w:rPr>
          <w:rFonts w:cs="TimesNewRomanPSMT"/>
          <w:szCs w:val="20"/>
        </w:rPr>
        <w:t xml:space="preserve"> lądowania powinny stanowić:</w:t>
      </w:r>
    </w:p>
    <w:p w14:paraId="6DB22AC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krawędź wewnętrzna - pozioma, prostopadła do linii środkowej drogi startowej i położona w określonej odległości za progiem;</w:t>
      </w:r>
    </w:p>
    <w:p w14:paraId="671F77B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dwie krawędzie boczne, wyprowadzone z końców krawędzi wewnętrznej i rozchylone symetrycznie pod określonym kątem w odniesieniu do płaszczyzny pionowej przechodzącej przez linię środkową drogi startowej; oraz</w:t>
      </w:r>
    </w:p>
    <w:p w14:paraId="3D41AC6F"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krawędź zewnętrzna, równoległa do krawędzi wewnętrznej, leżąca w płaszczyźnie powierzchni poziomej wewnętrznej.</w:t>
      </w:r>
    </w:p>
    <w:p w14:paraId="1B80F432"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Wysokość krawędzi wewnętrznej powinna być równa wysokości linii środkowej drogi startowej w miejscu lokalizacji krawędzi wewnętrznej.</w:t>
      </w:r>
    </w:p>
    <w:p w14:paraId="3D24DBC9"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 xml:space="preserve">Nachylenie powierzchni </w:t>
      </w:r>
      <w:r w:rsidRPr="009E064B">
        <w:rPr>
          <w:rFonts w:cs="TimesNewRomanPS-ItalicMT"/>
          <w:iCs/>
          <w:szCs w:val="20"/>
        </w:rPr>
        <w:t>przerwanego</w:t>
      </w:r>
      <w:r w:rsidRPr="009E064B">
        <w:rPr>
          <w:rFonts w:cs="TimesNewRomanPSMT"/>
          <w:szCs w:val="20"/>
        </w:rPr>
        <w:t xml:space="preserve"> lądowania powinno być mierzone w płaszczyźnie pionowej przechodzącej przez linię środkową drogi startowej.</w:t>
      </w:r>
    </w:p>
    <w:p w14:paraId="4A107BA5" w14:textId="34D8AFAA" w:rsidR="006F1286" w:rsidRPr="009E064B" w:rsidRDefault="00E916B1" w:rsidP="00133B99">
      <w:pPr>
        <w:pStyle w:val="Nagwek6"/>
      </w:pPr>
      <w:bookmarkStart w:id="1260" w:name="_Toc401058986"/>
      <w:bookmarkStart w:id="1261" w:name="_Toc482886852"/>
      <w:bookmarkStart w:id="1262" w:name="_Toc12533100"/>
      <w:r w:rsidRPr="009E064B">
        <w:t xml:space="preserve">GM1 ADR-DSN.H.460     </w:t>
      </w:r>
      <w:r w:rsidR="006F1286" w:rsidRPr="009E064B">
        <w:t>Powierzchnia przerwanego lądowania</w:t>
      </w:r>
      <w:bookmarkEnd w:id="1260"/>
      <w:bookmarkEnd w:id="1261"/>
      <w:bookmarkEnd w:id="1262"/>
    </w:p>
    <w:p w14:paraId="7231D9F9" w14:textId="651C8363"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126B1D29" w14:textId="56D50D2B" w:rsidR="00E916B1" w:rsidRPr="009E064B" w:rsidRDefault="006F1286" w:rsidP="00B06A9A">
      <w:pPr>
        <w:autoSpaceDE w:val="0"/>
        <w:autoSpaceDN w:val="0"/>
        <w:adjustRightInd w:val="0"/>
        <w:rPr>
          <w:rFonts w:cs="TimesNewRomanPSMT"/>
          <w:szCs w:val="20"/>
        </w:rPr>
      </w:pPr>
      <w:r w:rsidRPr="009E064B">
        <w:rPr>
          <w:rFonts w:cs="TimesNewRomanPS-BoldItalicMT"/>
          <w:bCs/>
          <w:iCs/>
          <w:szCs w:val="20"/>
        </w:rPr>
        <w:t xml:space="preserve">Celowo pozostawiono puste. </w:t>
      </w:r>
      <w:r w:rsidR="00637865" w:rsidRPr="009E064B">
        <w:rPr>
          <w:rFonts w:cs="TimesNewRomanPS-BoldItalicMT"/>
          <w:bCs/>
          <w:iCs/>
          <w:szCs w:val="20"/>
        </w:rPr>
        <w:t xml:space="preserve"> </w:t>
      </w:r>
    </w:p>
    <w:p w14:paraId="0F995BE8" w14:textId="77777777" w:rsidR="00C36D76" w:rsidRPr="009E064B" w:rsidRDefault="00C36D76" w:rsidP="00B06A9A">
      <w:pPr>
        <w:autoSpaceDE w:val="0"/>
        <w:autoSpaceDN w:val="0"/>
        <w:adjustRightInd w:val="0"/>
        <w:rPr>
          <w:rFonts w:cs="TimesNewRomanPSMT"/>
          <w:szCs w:val="20"/>
        </w:rPr>
        <w:sectPr w:rsidR="00C36D76" w:rsidRPr="009E064B" w:rsidSect="00605746">
          <w:headerReference w:type="default" r:id="rId135"/>
          <w:headerReference w:type="first" r:id="rId136"/>
          <w:pgSz w:w="11906" w:h="16840" w:code="9"/>
          <w:pgMar w:top="1701" w:right="1418" w:bottom="1418" w:left="1418" w:header="567" w:footer="454" w:gutter="0"/>
          <w:cols w:space="708"/>
          <w:titlePg/>
          <w:docGrid w:linePitch="360"/>
        </w:sectPr>
      </w:pPr>
    </w:p>
    <w:p w14:paraId="76088B11" w14:textId="77777777" w:rsidR="00870EA7" w:rsidRPr="009E064B" w:rsidRDefault="00870EA7" w:rsidP="00B06A9A">
      <w:pPr>
        <w:rPr>
          <w:rFonts w:cs="TimesNewRomanPS-BoldMT"/>
          <w:bCs/>
          <w:szCs w:val="20"/>
        </w:rPr>
      </w:pPr>
    </w:p>
    <w:p w14:paraId="638153F5" w14:textId="772F2200" w:rsidR="00C36D76" w:rsidRPr="009E064B" w:rsidRDefault="00C36D76" w:rsidP="00020EA3">
      <w:pPr>
        <w:pStyle w:val="Nagwek2"/>
      </w:pPr>
      <w:bookmarkStart w:id="1263" w:name="_Toc382725611"/>
      <w:bookmarkStart w:id="1264" w:name="_Toc482886629"/>
      <w:bookmarkStart w:id="1265" w:name="_Toc12533101"/>
      <w:r w:rsidRPr="009E064B">
        <w:t xml:space="preserve">ROZDZIAŁ J </w:t>
      </w:r>
      <w:r w:rsidR="008441EB" w:rsidRPr="009E064B">
        <w:t xml:space="preserve">— </w:t>
      </w:r>
      <w:r w:rsidRPr="009E064B">
        <w:t>WYMAGANIA DOTYCZĄCE OGRANICZANIA PRZESZKÓD</w:t>
      </w:r>
      <w:bookmarkEnd w:id="1263"/>
      <w:bookmarkEnd w:id="1264"/>
      <w:bookmarkEnd w:id="1265"/>
    </w:p>
    <w:p w14:paraId="737ECAB9" w14:textId="77777777" w:rsidR="00C36D76" w:rsidRPr="009E064B" w:rsidRDefault="00C36D76" w:rsidP="00B06A9A">
      <w:pPr>
        <w:rPr>
          <w:rFonts w:cs="TimesNewRomanPS-BoldMT"/>
          <w:bCs/>
          <w:szCs w:val="20"/>
        </w:rPr>
      </w:pPr>
    </w:p>
    <w:p w14:paraId="7D7445A7" w14:textId="22C9468B" w:rsidR="00C36D76" w:rsidRPr="009E064B" w:rsidRDefault="00E916B1" w:rsidP="00B06A9A">
      <w:pPr>
        <w:pStyle w:val="Nagwek4"/>
        <w:rPr>
          <w:color w:val="auto"/>
        </w:rPr>
      </w:pPr>
      <w:bookmarkStart w:id="1266" w:name="_Toc482886630"/>
      <w:bookmarkStart w:id="1267" w:name="_Toc12533102"/>
      <w:r w:rsidRPr="009E064B">
        <w:rPr>
          <w:color w:val="auto"/>
        </w:rPr>
        <w:t xml:space="preserve">CS ADR-DSN.J.465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266"/>
      <w:bookmarkEnd w:id="1267"/>
    </w:p>
    <w:p w14:paraId="16D28D4C" w14:textId="6D57917F" w:rsidR="00E916B1" w:rsidRPr="009E064B" w:rsidRDefault="001F74A1" w:rsidP="00E916B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70A122CF" w14:textId="77777777" w:rsidR="00C36D76" w:rsidRPr="009E064B" w:rsidRDefault="00C36D76" w:rsidP="00B06A9A">
      <w:pPr>
        <w:autoSpaceDE w:val="0"/>
        <w:autoSpaceDN w:val="0"/>
        <w:adjustRightInd w:val="0"/>
        <w:rPr>
          <w:rFonts w:cs="TimesNewRomanPSMT"/>
          <w:szCs w:val="20"/>
        </w:rPr>
      </w:pPr>
      <w:r w:rsidRPr="009E064B">
        <w:rPr>
          <w:rFonts w:cs="TimesNewRomanPSMT"/>
          <w:szCs w:val="20"/>
        </w:rPr>
        <w:t>Wymagania w zakresie ograniczania przeszkód odnoszą się do:</w:t>
      </w:r>
    </w:p>
    <w:p w14:paraId="70C1506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dróg startowych nieprzyrządowych;</w:t>
      </w:r>
    </w:p>
    <w:p w14:paraId="4336DE08"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dróg</w:t>
      </w:r>
      <w:r w:rsidRPr="009E064B">
        <w:rPr>
          <w:rFonts w:cs="TimesNewRomanPS-BoldItalicMT"/>
          <w:bCs/>
          <w:iCs/>
          <w:szCs w:val="20"/>
        </w:rPr>
        <w:t xml:space="preserve"> startowych z podejściem nieprecyzyjnym;</w:t>
      </w:r>
    </w:p>
    <w:p w14:paraId="2AF0A58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dróg</w:t>
      </w:r>
      <w:r w:rsidRPr="009E064B">
        <w:rPr>
          <w:rFonts w:cs="TimesNewRomanPS-BoldItalicMT"/>
          <w:bCs/>
          <w:iCs/>
          <w:szCs w:val="20"/>
        </w:rPr>
        <w:t xml:space="preserve"> startowych z podejściem precyzyjnym; oraz</w:t>
      </w:r>
    </w:p>
    <w:p w14:paraId="6D0C31D1"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dróg startowych przeznaczonych do startów.</w:t>
      </w:r>
    </w:p>
    <w:p w14:paraId="07E01B16" w14:textId="1CEA515D" w:rsidR="006F1286" w:rsidRPr="009E064B" w:rsidRDefault="00CB684C" w:rsidP="00133B99">
      <w:pPr>
        <w:pStyle w:val="Nagwek6"/>
      </w:pPr>
      <w:bookmarkStart w:id="1268" w:name="_Toc401058988"/>
      <w:bookmarkStart w:id="1269" w:name="_Toc482886854"/>
      <w:bookmarkStart w:id="1270" w:name="_Toc12533103"/>
      <w:r w:rsidRPr="009E064B">
        <w:t xml:space="preserve">GM1 ADR-DSN.J.465     </w:t>
      </w:r>
      <w:r w:rsidR="009B0A08" w:rsidRPr="009E064B">
        <w:rPr>
          <w:rFonts w:cs="TimesNewRomanPS-BoldItalicMT"/>
          <w:iCs/>
          <w:szCs w:val="20"/>
        </w:rPr>
        <w:t>Wymagania</w:t>
      </w:r>
      <w:r w:rsidR="009B0A08" w:rsidRPr="009E064B">
        <w:t xml:space="preserve"> </w:t>
      </w:r>
      <w:r w:rsidR="006F1286" w:rsidRPr="009E064B">
        <w:t>ogólne</w:t>
      </w:r>
      <w:bookmarkEnd w:id="1268"/>
      <w:bookmarkEnd w:id="1269"/>
      <w:bookmarkEnd w:id="1270"/>
    </w:p>
    <w:p w14:paraId="79D46465" w14:textId="4453F1CF" w:rsidR="00CB684C" w:rsidRPr="009E064B" w:rsidRDefault="001F74A1" w:rsidP="00CB684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i/>
          <w:color w:val="1A171C"/>
          <w:sz w:val="16"/>
          <w:szCs w:val="20"/>
        </w:rPr>
        <w:t>Decyzja ED 2014/013/R</w:t>
      </w:r>
    </w:p>
    <w:p w14:paraId="3B7BCDB8" w14:textId="0DD2F8F9" w:rsidR="006F1286" w:rsidRPr="009E064B" w:rsidRDefault="006F1286"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Wymagania dotyczące powierzchni ograniczających przeszkody określane są na podstawie przewidywanego sposobu wykorzystania drogi startowej (np. start, ląd</w:t>
      </w:r>
      <w:r w:rsidR="00B715BC" w:rsidRPr="009E064B">
        <w:rPr>
          <w:rFonts w:eastAsia="Times New Roman,Italic" w:cs="Times New Roman,Italic"/>
          <w:iCs/>
          <w:szCs w:val="20"/>
        </w:rPr>
        <w:t>owanie lub rodzaj podejścia), i </w:t>
      </w:r>
      <w:r w:rsidRPr="009E064B">
        <w:rPr>
          <w:rFonts w:eastAsia="Times New Roman,Italic" w:cs="Times New Roman,Italic"/>
          <w:iCs/>
          <w:szCs w:val="20"/>
        </w:rPr>
        <w:t>będą stosowane w przypadku takiego wykorzystania drogi startowej. W przypadku, gdy operacje lotnicze wykonywane są z obu kierunków drogi startowej, zastosowanie niektórych powierzchni ograniczających może się okazać bezprzedmiotowe, gdyż powierzchnia położona niżej będzie stawiała ostrzejsze wymagania.</w:t>
      </w:r>
    </w:p>
    <w:p w14:paraId="06401E31" w14:textId="5A83ADC4" w:rsidR="00C36D76" w:rsidRPr="009E064B" w:rsidRDefault="00205240" w:rsidP="00B06A9A">
      <w:pPr>
        <w:pStyle w:val="Nagwek4"/>
        <w:rPr>
          <w:color w:val="auto"/>
        </w:rPr>
      </w:pPr>
      <w:bookmarkStart w:id="1271" w:name="_CS_ADR-DSN.J.470_"/>
      <w:bookmarkStart w:id="1272" w:name="_Toc482886631"/>
      <w:bookmarkStart w:id="1273" w:name="_Toc12533104"/>
      <w:bookmarkEnd w:id="1271"/>
      <w:r w:rsidRPr="009E064B">
        <w:rPr>
          <w:color w:val="auto"/>
        </w:rPr>
        <w:t xml:space="preserve">CS ADR-DSN.J.470     </w:t>
      </w:r>
      <w:r w:rsidR="00C36D76" w:rsidRPr="009E064B">
        <w:rPr>
          <w:color w:val="auto"/>
        </w:rPr>
        <w:t>Drogi startowe nieprzyrządowe</w:t>
      </w:r>
      <w:bookmarkEnd w:id="1272"/>
      <w:bookmarkEnd w:id="1273"/>
    </w:p>
    <w:p w14:paraId="64D2E1EA" w14:textId="3DD6E123" w:rsidR="006A2419" w:rsidRPr="009E064B" w:rsidRDefault="00D63D4F" w:rsidP="006A2419">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931BCFB"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Dla nieprzyrządowych dróg startowych powinny być wyznaczone następujące powierzchnie ograniczające:</w:t>
      </w:r>
    </w:p>
    <w:p w14:paraId="542B9D08"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powierzchnia stożkowa;</w:t>
      </w:r>
    </w:p>
    <w:p w14:paraId="2834306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powierzchnia pozioma wewnętrzna;</w:t>
      </w:r>
    </w:p>
    <w:p w14:paraId="7532640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powierzchnia podejścia; oraz</w:t>
      </w:r>
    </w:p>
    <w:p w14:paraId="2933E3EB"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powierzchnie przejściowe.</w:t>
      </w:r>
    </w:p>
    <w:p w14:paraId="46BB6897"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Wysokości i nachylenia tych powierzchni nie powinny być większe, a ich inne wymiary nie powinny być mniejsze niż wartości określone w Tabeli J-1.</w:t>
      </w:r>
    </w:p>
    <w:p w14:paraId="1EA847DE"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Nie zezwala się na wznoszenie nowych lub powiększanie istniejących obiektów, które wystawałyby ponad powierzchnię podejścia lub powierzchnię przejściową, chyba, że ten nowy lub powiększany obiekt będzie zasłonięty przez istniejący już obiekt stały.</w:t>
      </w:r>
    </w:p>
    <w:p w14:paraId="38D9CF6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 xml:space="preserve">Nie zezwala się na wznoszenie nowych lub powiększanie istniejących obiektów, które wystawałyby </w:t>
      </w:r>
      <w:r w:rsidRPr="009E064B">
        <w:rPr>
          <w:rFonts w:cs="TimesNewRomanPS-ItalicMT"/>
          <w:iCs/>
          <w:szCs w:val="20"/>
        </w:rPr>
        <w:t xml:space="preserve">ponad powierzchnię stożkową lub powierzchnię poziomą wewnętrzną, chyba, że ten obiekt </w:t>
      </w:r>
      <w:r w:rsidRPr="009E064B">
        <w:rPr>
          <w:rFonts w:cs="TimesNewRomanPSMT"/>
          <w:szCs w:val="20"/>
        </w:rPr>
        <w:t>będzie zasłonięty przez istniejący już obiekt stały</w:t>
      </w:r>
      <w:r w:rsidRPr="009E064B">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16F6DF17"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(e) </w:t>
      </w:r>
      <w:r w:rsidRPr="009E064B">
        <w:rPr>
          <w:rFonts w:cs="Times New Roman"/>
          <w:szCs w:val="20"/>
        </w:rPr>
        <w:tab/>
      </w:r>
      <w:r w:rsidRPr="009E064B">
        <w:rPr>
          <w:rFonts w:cs="TimesNewRomanPS-ItalicMT"/>
          <w:iCs/>
          <w:szCs w:val="20"/>
        </w:rPr>
        <w:t>Istniejące obiekty, które wystają ponad jakąkolwiek powierzchnię stożkową, powierzchnię poziomą wewnętrzną, powierzchnię podejścia oraz powierzchnie przejściowe, jeżeli jest to możliwe, powinny zostać usunięte, chyba, że taki obiekt jest</w:t>
      </w:r>
      <w:r w:rsidRPr="009E064B">
        <w:rPr>
          <w:rFonts w:cs="TimesNewRomanPSMT"/>
          <w:szCs w:val="20"/>
        </w:rPr>
        <w:t xml:space="preserve"> zasłonięty przez istniejący już obiekt stały</w:t>
      </w:r>
      <w:r w:rsidRPr="009E064B">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17D93712"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(f) </w:t>
      </w:r>
      <w:r w:rsidRPr="009E064B">
        <w:rPr>
          <w:rFonts w:cs="Times New Roman"/>
          <w:szCs w:val="20"/>
        </w:rPr>
        <w:tab/>
        <w:t>Rozważając proponowaną budowę obiektu,</w:t>
      </w:r>
      <w:r w:rsidRPr="009E064B">
        <w:rPr>
          <w:rFonts w:cs="TimesNewRomanPS-ItalicMT"/>
          <w:iCs/>
          <w:szCs w:val="20"/>
        </w:rPr>
        <w:t xml:space="preserve"> należy wziąć pod uwagę ewentualne przekształcenie w przyszłości drogi startowej na przyrządową i wiążącą się z tym konieczność zastosowania bardzie rygorystycznych powierzchni ograniczających przeszkody.</w:t>
      </w:r>
    </w:p>
    <w:p w14:paraId="03226C7C"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AA87456" w14:textId="6E43FCC0" w:rsidR="006F1286" w:rsidRPr="009E064B" w:rsidRDefault="00205240" w:rsidP="00133B99">
      <w:pPr>
        <w:pStyle w:val="Nagwek6"/>
      </w:pPr>
      <w:bookmarkStart w:id="1274" w:name="_Toc401058989"/>
      <w:bookmarkStart w:id="1275" w:name="_Toc482886855"/>
      <w:bookmarkStart w:id="1276" w:name="_Toc12533105"/>
      <w:r w:rsidRPr="009E064B">
        <w:t xml:space="preserve">GM1 ADR-DSN.J.470     </w:t>
      </w:r>
      <w:r w:rsidR="006F1286" w:rsidRPr="009E064B">
        <w:t>Drogi startowe nieprzyrządowe</w:t>
      </w:r>
      <w:bookmarkEnd w:id="1274"/>
      <w:bookmarkEnd w:id="1275"/>
      <w:bookmarkEnd w:id="1276"/>
    </w:p>
    <w:p w14:paraId="0B83F64B" w14:textId="7AA45510"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08C46B4"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Okoliczności, w których można skorzystać z zasady zasłaniania obiektów opisane są w „</w:t>
      </w:r>
      <w:r w:rsidRPr="009E064B">
        <w:rPr>
          <w:rFonts w:eastAsia="Times New Roman,Italic" w:cs="Times New Roman,Italic"/>
          <w:i/>
          <w:iCs/>
          <w:szCs w:val="20"/>
        </w:rPr>
        <w:t>Podręczniku służb portu lotniczego</w:t>
      </w:r>
      <w:r w:rsidRPr="009E064B">
        <w:rPr>
          <w:rFonts w:eastAsia="Times New Roman,Italic" w:cs="Times New Roman,Italic"/>
          <w:iCs/>
          <w:szCs w:val="20"/>
        </w:rPr>
        <w:t>” ICAO Doc 9137, Część 6 „</w:t>
      </w:r>
      <w:r w:rsidRPr="009E064B">
        <w:rPr>
          <w:rFonts w:eastAsia="Times New Roman,Italic" w:cs="Times New Roman,Italic"/>
          <w:i/>
          <w:iCs/>
          <w:szCs w:val="20"/>
        </w:rPr>
        <w:t>Kontrola przeszkód lotniczych</w:t>
      </w:r>
      <w:r w:rsidRPr="009E064B">
        <w:rPr>
          <w:rFonts w:eastAsia="Times New Roman,Italic" w:cs="Times New Roman,Italic"/>
          <w:iCs/>
          <w:szCs w:val="20"/>
        </w:rPr>
        <w:t>”.</w:t>
      </w:r>
    </w:p>
    <w:p w14:paraId="00814EB9"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7BB5AED3"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CF309DE" w14:textId="5069FB14" w:rsidR="00C36D76" w:rsidRPr="009E064B" w:rsidRDefault="00CB684C" w:rsidP="00B06A9A">
      <w:pPr>
        <w:pStyle w:val="Nagwek4"/>
        <w:rPr>
          <w:color w:val="auto"/>
        </w:rPr>
      </w:pPr>
      <w:bookmarkStart w:id="1277" w:name="_CS_ADR-DSN.J.475_"/>
      <w:bookmarkStart w:id="1278" w:name="_Toc482886632"/>
      <w:bookmarkStart w:id="1279" w:name="_Toc12533106"/>
      <w:bookmarkEnd w:id="1277"/>
      <w:r w:rsidRPr="009E064B">
        <w:rPr>
          <w:color w:val="auto"/>
        </w:rPr>
        <w:t xml:space="preserve">CS ADR-DSN.J.475     </w:t>
      </w:r>
      <w:r w:rsidR="00C36D76" w:rsidRPr="009E064B">
        <w:rPr>
          <w:color w:val="auto"/>
        </w:rPr>
        <w:t>Drogi startowe z podejściem nieprecyzyjnym</w:t>
      </w:r>
      <w:bookmarkEnd w:id="1278"/>
      <w:bookmarkEnd w:id="1279"/>
    </w:p>
    <w:p w14:paraId="02CE473E" w14:textId="5120E17C"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E8FD4D7"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Dla dróg startowych z podejściem nieprecyzyjnym, wyznacza się następujące powierzchnie ograniczające:</w:t>
      </w:r>
    </w:p>
    <w:p w14:paraId="2EE5023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powierzchnia stożkowa;</w:t>
      </w:r>
    </w:p>
    <w:p w14:paraId="2293CF9B"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powierzchnia pozioma wewnętrzna;</w:t>
      </w:r>
    </w:p>
    <w:p w14:paraId="1B9020F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powierzchnia podejścia; oraz</w:t>
      </w:r>
    </w:p>
    <w:p w14:paraId="034C507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powierzchnie przejściowe.</w:t>
      </w:r>
    </w:p>
    <w:p w14:paraId="21B68379" w14:textId="777C7E0B"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 xml:space="preserve">Wysokości i nachylenia tych powierzchni nie powinny być większe, a ich inne wymiary nie powinny być mniejsze niż wartości określone w Tabeli J-1, z wyjątkiem poziomej części powierzchni podejścia (patrz </w:t>
      </w:r>
      <w:r w:rsidR="00EE313F" w:rsidRPr="009E064B">
        <w:rPr>
          <w:rFonts w:cs="TimesNewRomanPSMT"/>
          <w:szCs w:val="20"/>
        </w:rPr>
        <w:t>lit. </w:t>
      </w:r>
      <w:r w:rsidRPr="009E064B">
        <w:rPr>
          <w:rFonts w:cs="TimesNewRomanPSMT"/>
          <w:szCs w:val="20"/>
        </w:rPr>
        <w:t>(c) poniżej).</w:t>
      </w:r>
    </w:p>
    <w:p w14:paraId="71DE87EE"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Powierzchnia podejścia powinna być pozioma począwszy od punktu, w którym płaszczyzna o nachyleniu 2.5 % przecina:</w:t>
      </w:r>
    </w:p>
    <w:p w14:paraId="0111B78A"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płaszczyznę poziomą położoną na wysokości 150 m powyżej wysokości progu; lub</w:t>
      </w:r>
    </w:p>
    <w:p w14:paraId="1FBAE93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płaszczyznę poziomą przechodzącą przez wierzchołek dowolnego obiektu, według którego wyznacza się wysokość względną lub bezwzględną zapewniającą przewyższenie nad przeszkodami (OCA/H);</w:t>
      </w:r>
    </w:p>
    <w:p w14:paraId="6091089E" w14:textId="77777777" w:rsidR="00C36D76" w:rsidRPr="009E064B" w:rsidRDefault="00C36D76" w:rsidP="00B06A9A">
      <w:pPr>
        <w:pStyle w:val="Akapitzlist"/>
        <w:autoSpaceDE w:val="0"/>
        <w:autoSpaceDN w:val="0"/>
        <w:adjustRightInd w:val="0"/>
        <w:ind w:left="567"/>
        <w:rPr>
          <w:rFonts w:cs="TimesNewRomanPSMT"/>
          <w:szCs w:val="20"/>
        </w:rPr>
      </w:pPr>
      <w:r w:rsidRPr="009E064B">
        <w:rPr>
          <w:rFonts w:cs="TimesNewRomanPSMT"/>
          <w:szCs w:val="20"/>
        </w:rPr>
        <w:t>w zależności od tego, która z wartości jest większa.</w:t>
      </w:r>
    </w:p>
    <w:p w14:paraId="3704787E"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 xml:space="preserve">Nie zezwala się na wznoszenie nowych lub powiększanie istniejących obiektów, które </w:t>
      </w:r>
      <w:r w:rsidRPr="009E064B">
        <w:rPr>
          <w:rFonts w:cs="Times New Roman"/>
          <w:szCs w:val="20"/>
        </w:rPr>
        <w:t>wystawałyby</w:t>
      </w:r>
      <w:r w:rsidRPr="009E064B">
        <w:rPr>
          <w:rFonts w:cs="TimesNewRomanPSMT"/>
          <w:szCs w:val="20"/>
        </w:rPr>
        <w:t xml:space="preserve"> ponad powierzchnię podejścia w odległości do 3 000 m od krawędzi wewnętrznej lub ponad powierzchnię przejściową, </w:t>
      </w:r>
      <w:r w:rsidRPr="009E064B">
        <w:rPr>
          <w:rFonts w:cs="TimesNewRomanPS-ItalicMT"/>
          <w:iCs/>
          <w:szCs w:val="20"/>
        </w:rPr>
        <w:t xml:space="preserve">chyba że </w:t>
      </w:r>
      <w:r w:rsidRPr="009E064B">
        <w:rPr>
          <w:rFonts w:cs="TimesNewRomanPSMT"/>
          <w:szCs w:val="20"/>
        </w:rPr>
        <w:t xml:space="preserve">nowy lub powiększany </w:t>
      </w:r>
      <w:r w:rsidRPr="009E064B">
        <w:rPr>
          <w:rFonts w:cs="TimesNewRomanPS-ItalicMT"/>
          <w:iCs/>
          <w:szCs w:val="20"/>
        </w:rPr>
        <w:t xml:space="preserve">obiekt </w:t>
      </w:r>
      <w:r w:rsidRPr="009E064B">
        <w:rPr>
          <w:rFonts w:cs="TimesNewRomanPSMT"/>
          <w:szCs w:val="20"/>
        </w:rPr>
        <w:t>będzie zasłonięty przez istniejący już obiekt stały.</w:t>
      </w:r>
    </w:p>
    <w:p w14:paraId="418F48E6" w14:textId="76CFA8E9"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 (e) </w:t>
      </w:r>
      <w:r w:rsidRPr="009E064B">
        <w:rPr>
          <w:rFonts w:cs="Times New Roman"/>
          <w:szCs w:val="20"/>
        </w:rPr>
        <w:tab/>
      </w:r>
      <w:r w:rsidRPr="009E064B">
        <w:rPr>
          <w:rFonts w:cs="TimesNewRomanPSMT"/>
          <w:szCs w:val="20"/>
        </w:rPr>
        <w:t>Nie zezwala się na wznoszenie nowych lub powiększanie istniejących obiektów</w:t>
      </w:r>
      <w:r w:rsidRPr="009E064B">
        <w:rPr>
          <w:rFonts w:cs="TimesNewRomanPS-ItalicMT"/>
          <w:iCs/>
          <w:szCs w:val="20"/>
        </w:rPr>
        <w:t>, które wystawałyby ponad powierzchnię podejś</w:t>
      </w:r>
      <w:r w:rsidR="00637865" w:rsidRPr="009E064B">
        <w:rPr>
          <w:rFonts w:cs="TimesNewRomanPS-ItalicMT"/>
          <w:iCs/>
          <w:szCs w:val="20"/>
        </w:rPr>
        <w:t>cia w odległości większej niż 3</w:t>
      </w:r>
      <w:r w:rsidRPr="009E064B">
        <w:rPr>
          <w:rFonts w:cs="TimesNewRomanPS-ItalicMT"/>
          <w:iCs/>
          <w:szCs w:val="20"/>
        </w:rPr>
        <w:t xml:space="preserve">000 m od krawędzi wewnętrznej, ponad powierzchnię stożkową lub powierzchnię poziomą wewnętrzną, chyba, że taki obiekt </w:t>
      </w:r>
      <w:r w:rsidRPr="009E064B">
        <w:rPr>
          <w:rFonts w:cs="TimesNewRomanPSMT"/>
          <w:szCs w:val="20"/>
        </w:rPr>
        <w:t>będzie zasłonięty przez istniejący już obiekt stały</w:t>
      </w:r>
      <w:r w:rsidRPr="009E064B">
        <w:rPr>
          <w:rFonts w:cs="TimesNewRomanPS-ItalicMT"/>
          <w:iCs/>
          <w:szCs w:val="20"/>
        </w:rPr>
        <w:t xml:space="preserve"> lub jeżeli przeprowadzona ocena bezpieczeństwa wykaże, że obiekt ten nie wpłynie negatywnie na bezpieczeństwo operacji lotniczych ani nie zakłóci w odczuwalny sposób regularności tych operacji.</w:t>
      </w:r>
    </w:p>
    <w:p w14:paraId="30EC7234" w14:textId="47C9B7B4"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(f) </w:t>
      </w:r>
      <w:r w:rsidRPr="009E064B">
        <w:rPr>
          <w:rFonts w:cs="Times New Roman"/>
          <w:szCs w:val="20"/>
        </w:rPr>
        <w:tab/>
      </w:r>
      <w:r w:rsidRPr="009E064B">
        <w:rPr>
          <w:rFonts w:cs="TimesNewRomanPS-ItalicMT"/>
          <w:iCs/>
          <w:szCs w:val="20"/>
        </w:rPr>
        <w:t xml:space="preserve">Istniejące obiekty, które wystają ponad jakąkolwiek powierzchnię wymienioną w </w:t>
      </w:r>
      <w:r w:rsidR="00EE313F" w:rsidRPr="009E064B">
        <w:rPr>
          <w:rFonts w:cs="TimesNewRomanPS-ItalicMT"/>
          <w:iCs/>
          <w:szCs w:val="20"/>
        </w:rPr>
        <w:t>lit. </w:t>
      </w:r>
      <w:r w:rsidRPr="009E064B">
        <w:rPr>
          <w:rFonts w:cs="TimesNewRomanPS-ItalicMT"/>
          <w:iCs/>
          <w:szCs w:val="20"/>
        </w:rPr>
        <w:t>(a), jeżeli jest to możliwe, powinny zostać usunięte, chyba, że taki obiekt jest</w:t>
      </w:r>
      <w:r w:rsidRPr="009E064B">
        <w:rPr>
          <w:rFonts w:cs="TimesNewRomanPSMT"/>
          <w:szCs w:val="20"/>
        </w:rPr>
        <w:t xml:space="preserve"> zasłonięty przez istniejący już obiekt stały</w:t>
      </w:r>
      <w:r w:rsidRPr="009E064B">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79E5F5C6"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612B8AD" w14:textId="77777777" w:rsidR="006F1286" w:rsidRPr="009E064B" w:rsidRDefault="00205240" w:rsidP="00133B99">
      <w:pPr>
        <w:pStyle w:val="Nagwek6"/>
      </w:pPr>
      <w:bookmarkStart w:id="1280" w:name="_Toc401058990"/>
      <w:bookmarkStart w:id="1281" w:name="_Toc482886856"/>
      <w:bookmarkStart w:id="1282" w:name="_Toc12533107"/>
      <w:bookmarkStart w:id="1283" w:name="_Toc482886633"/>
      <w:r w:rsidRPr="009E064B">
        <w:t xml:space="preserve">GM1 ADR-DSN.J.475     </w:t>
      </w:r>
      <w:r w:rsidR="006F1286" w:rsidRPr="009E064B">
        <w:t>Drogi startowe z podejściem nieprecyzyjnym</w:t>
      </w:r>
      <w:bookmarkEnd w:id="1280"/>
      <w:bookmarkEnd w:id="1281"/>
      <w:bookmarkEnd w:id="1282"/>
    </w:p>
    <w:p w14:paraId="17436F2F" w14:textId="65A37EDD"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10D299B"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Szczególnie</w:t>
      </w:r>
      <w:r w:rsidRPr="009E064B">
        <w:rPr>
          <w:rFonts w:cs="TimesNewRomanPSMT"/>
          <w:szCs w:val="20"/>
        </w:rPr>
        <w:t xml:space="preserve"> ważne dla bezpiecznego wykonywania operacji w kręgu nadlotniskowym, trasach dolotowych do lotniska, na odlocie lub na ścieżce wznoszenia po nieudanym podejściu, aby ustanowiona została powierzchnia pozioma zewnętrzna dla dróg startowych z podejściem nieprecyzyjnym.</w:t>
      </w:r>
    </w:p>
    <w:p w14:paraId="4101D662"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Okoliczności, w których można skorzystać z zasady zasłaniania obiektów, opisuje „</w:t>
      </w:r>
      <w:r w:rsidRPr="009E064B">
        <w:rPr>
          <w:rFonts w:eastAsia="Times New Roman,Italic" w:cs="Times New Roman,Italic"/>
          <w:i/>
          <w:iCs/>
          <w:szCs w:val="20"/>
        </w:rPr>
        <w:t>Podręcznik służb portu lotniczego</w:t>
      </w:r>
      <w:r w:rsidRPr="009E064B">
        <w:rPr>
          <w:rFonts w:eastAsia="Times New Roman,Italic" w:cs="Times New Roman,Italic"/>
          <w:iCs/>
          <w:szCs w:val="20"/>
        </w:rPr>
        <w:t>” ICAO Doc 9137, Część 6 „</w:t>
      </w:r>
      <w:r w:rsidRPr="009E064B">
        <w:rPr>
          <w:rFonts w:eastAsia="Times New Roman,Italic" w:cs="Times New Roman,Italic"/>
          <w:i/>
          <w:iCs/>
          <w:szCs w:val="20"/>
        </w:rPr>
        <w:t>Kontrola przeszkód lotniczych</w:t>
      </w:r>
      <w:r w:rsidRPr="009E064B">
        <w:rPr>
          <w:rFonts w:eastAsia="Times New Roman,Italic" w:cs="Times New Roman,Italic"/>
          <w:iCs/>
          <w:szCs w:val="20"/>
        </w:rPr>
        <w:t>”.</w:t>
      </w:r>
    </w:p>
    <w:p w14:paraId="7E8A347B"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170C4C72"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DDD6B55" w14:textId="6BA14AA2" w:rsidR="00C36D76" w:rsidRPr="009E064B" w:rsidRDefault="00205240" w:rsidP="00B06A9A">
      <w:pPr>
        <w:pStyle w:val="Nagwek4"/>
        <w:rPr>
          <w:color w:val="auto"/>
        </w:rPr>
      </w:pPr>
      <w:bookmarkStart w:id="1284" w:name="_CS_ADR-DSN.J.480_"/>
      <w:bookmarkStart w:id="1285" w:name="_Toc12533108"/>
      <w:bookmarkEnd w:id="1284"/>
      <w:r w:rsidRPr="009E064B">
        <w:rPr>
          <w:color w:val="auto"/>
        </w:rPr>
        <w:t xml:space="preserve">CS ADR-DSN.J.480     </w:t>
      </w:r>
      <w:r w:rsidR="00C36D76" w:rsidRPr="009E064B">
        <w:rPr>
          <w:color w:val="auto"/>
        </w:rPr>
        <w:t>Drogi startowe z podejściem precyzyjnym</w:t>
      </w:r>
      <w:bookmarkEnd w:id="1283"/>
      <w:bookmarkEnd w:id="1285"/>
    </w:p>
    <w:p w14:paraId="426B8561" w14:textId="184FFFA3"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1E8AA7D"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 xml:space="preserve">Dla dróg </w:t>
      </w:r>
      <w:r w:rsidRPr="009E064B">
        <w:rPr>
          <w:rFonts w:cs="TimesNewRomanPS-ItalicMT"/>
          <w:iCs/>
          <w:szCs w:val="20"/>
        </w:rPr>
        <w:t>startowych</w:t>
      </w:r>
      <w:r w:rsidRPr="009E064B">
        <w:rPr>
          <w:rFonts w:cs="TimesNewRomanPSMT"/>
          <w:szCs w:val="20"/>
        </w:rPr>
        <w:t xml:space="preserve"> z podejściem precyzyjnym kategorii I, wyznacza się następujące powierzchnie ograniczające:</w:t>
      </w:r>
    </w:p>
    <w:p w14:paraId="45E1457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powierzchnia stożkowa;</w:t>
      </w:r>
    </w:p>
    <w:p w14:paraId="6E33C292"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powierzchnia pozioma wewnętrzna;</w:t>
      </w:r>
    </w:p>
    <w:p w14:paraId="52BC4609"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powierzchnia podejścia; oraz</w:t>
      </w:r>
    </w:p>
    <w:p w14:paraId="1BD7AFC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powierzchnie przejściowe.</w:t>
      </w:r>
    </w:p>
    <w:p w14:paraId="3C7FE77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Dla dróg startowych z podejściem precyzyjnym kategorii II lub III, wyznacza się następujące powierzchnie ograniczające:</w:t>
      </w:r>
    </w:p>
    <w:p w14:paraId="11E0CA6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powierzchnia stożkowa;</w:t>
      </w:r>
    </w:p>
    <w:p w14:paraId="77C2A8E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powierzchnia pozioma wewnętrzna;</w:t>
      </w:r>
    </w:p>
    <w:p w14:paraId="01D5FEE2"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powierzchnia podejścia oraz powierzchnia podejścia wewnętrzna;</w:t>
      </w:r>
    </w:p>
    <w:p w14:paraId="099FE5AB"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powierzchnie przejściowe oraz powierzchnie przejściowe wewnętrzne; oraz</w:t>
      </w:r>
    </w:p>
    <w:p w14:paraId="563A822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(5) </w:t>
      </w:r>
      <w:r w:rsidRPr="009E064B">
        <w:rPr>
          <w:rFonts w:cs="Times New Roman"/>
          <w:szCs w:val="20"/>
        </w:rPr>
        <w:tab/>
      </w:r>
      <w:r w:rsidRPr="009E064B">
        <w:rPr>
          <w:rFonts w:cs="TimesNewRomanPSMT"/>
          <w:szCs w:val="20"/>
        </w:rPr>
        <w:t xml:space="preserve">powierzchnia </w:t>
      </w:r>
      <w:r w:rsidRPr="009E064B">
        <w:rPr>
          <w:rFonts w:cs="TimesNewRomanPS-ItalicMT"/>
          <w:iCs/>
          <w:szCs w:val="20"/>
        </w:rPr>
        <w:t>przerwanego</w:t>
      </w:r>
      <w:r w:rsidRPr="009E064B">
        <w:rPr>
          <w:rFonts w:cs="TimesNewRomanPSMT"/>
          <w:szCs w:val="20"/>
        </w:rPr>
        <w:t xml:space="preserve"> lądowania.</w:t>
      </w:r>
    </w:p>
    <w:p w14:paraId="1D9EEE85" w14:textId="388AECDE"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 xml:space="preserve">Wysokości i nachylenia tych powierzchni nie powinny być większe, a ich inne wymiary nie powinny być mniejsze niż wartości określonych w Tabeli J-1, z wyjątkiem poziomej części powierzchni podejścia, o której mowa w </w:t>
      </w:r>
      <w:r w:rsidR="00EE313F" w:rsidRPr="009E064B">
        <w:rPr>
          <w:rFonts w:cs="TimesNewRomanPSMT"/>
          <w:szCs w:val="20"/>
        </w:rPr>
        <w:t>lit. </w:t>
      </w:r>
      <w:r w:rsidRPr="009E064B">
        <w:rPr>
          <w:rFonts w:cs="TimesNewRomanPSMT"/>
          <w:szCs w:val="20"/>
        </w:rPr>
        <w:t>(d) poniżej.</w:t>
      </w:r>
    </w:p>
    <w:p w14:paraId="753113E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(d) </w:t>
      </w:r>
      <w:r w:rsidRPr="009E064B">
        <w:rPr>
          <w:rFonts w:cs="Times New Roman"/>
          <w:szCs w:val="20"/>
        </w:rPr>
        <w:tab/>
      </w:r>
      <w:r w:rsidRPr="009E064B">
        <w:rPr>
          <w:rFonts w:cs="TimesNewRomanPSMT"/>
          <w:szCs w:val="20"/>
        </w:rPr>
        <w:t>Powierzchnia podejścia powinna być pozioma począwszy od punktu, w którym płaszczyzna o nachyleniu 2.5 % przecina:</w:t>
      </w:r>
    </w:p>
    <w:p w14:paraId="76D51F2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(1)</w:t>
      </w:r>
      <w:r w:rsidRPr="009E064B">
        <w:rPr>
          <w:rFonts w:cs="TimesNewRomanPSMT"/>
          <w:szCs w:val="20"/>
        </w:rPr>
        <w:t xml:space="preserve"> </w:t>
      </w:r>
      <w:r w:rsidRPr="009E064B">
        <w:rPr>
          <w:rFonts w:cs="TimesNewRomanPSMT"/>
          <w:szCs w:val="20"/>
        </w:rPr>
        <w:tab/>
        <w:t>płaszczyznę poziomą położoną na wysokości 150 m powyżej wysokości progu; lub</w:t>
      </w:r>
    </w:p>
    <w:p w14:paraId="69189818"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płaszczyznę poziomą przechodzącą przez wierzchołek dowolnego obiektu, według którego wyznacza się wysokość zapewniającą przewyższenie nad przeszkodami;</w:t>
      </w:r>
    </w:p>
    <w:p w14:paraId="6F8FBFD6" w14:textId="77777777" w:rsidR="00C36D76" w:rsidRPr="009E064B" w:rsidRDefault="00C36D76" w:rsidP="00B06A9A">
      <w:pPr>
        <w:pStyle w:val="Akapitzlist"/>
        <w:autoSpaceDE w:val="0"/>
        <w:autoSpaceDN w:val="0"/>
        <w:adjustRightInd w:val="0"/>
        <w:ind w:left="567"/>
        <w:rPr>
          <w:rFonts w:cs="TimesNewRomanPSMT"/>
          <w:szCs w:val="20"/>
        </w:rPr>
      </w:pPr>
      <w:r w:rsidRPr="009E064B">
        <w:rPr>
          <w:rFonts w:cs="TimesNewRomanPSMT"/>
          <w:szCs w:val="20"/>
        </w:rPr>
        <w:t>w zależności od tego, która z wartości jest większa.</w:t>
      </w:r>
    </w:p>
    <w:p w14:paraId="78BF5CE4" w14:textId="23209B02"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(e) </w:t>
      </w:r>
      <w:r w:rsidRPr="009E064B">
        <w:rPr>
          <w:rFonts w:cs="Times New Roman"/>
          <w:szCs w:val="20"/>
        </w:rPr>
        <w:tab/>
      </w:r>
      <w:r w:rsidRPr="009E064B">
        <w:rPr>
          <w:rFonts w:cs="TimesNewRomanPSMT"/>
          <w:szCs w:val="20"/>
        </w:rPr>
        <w:t xml:space="preserve">Nie zezwala się, aby jakikolwiek obiekt stały wystawał ponad powierzchnię podejścia wewnętrzną, powierzchnię przejściową wewnętrzną lub powierzchnię </w:t>
      </w:r>
      <w:r w:rsidRPr="009E064B">
        <w:rPr>
          <w:rFonts w:cs="TimesNewRomanPS-ItalicMT"/>
          <w:iCs/>
          <w:szCs w:val="20"/>
        </w:rPr>
        <w:t>przerwanego</w:t>
      </w:r>
      <w:r w:rsidRPr="009E064B">
        <w:rPr>
          <w:rFonts w:cs="TimesNewRomanPSMT"/>
          <w:szCs w:val="20"/>
        </w:rPr>
        <w:t xml:space="preserve"> lądowania z wyjątkiem obiektów łamliwych, które ze względu na ich funkcję powinny być</w:t>
      </w:r>
      <w:r w:rsidR="00B715BC" w:rsidRPr="009E064B">
        <w:rPr>
          <w:rFonts w:cs="TimesNewRomanPSMT"/>
          <w:szCs w:val="20"/>
        </w:rPr>
        <w:t xml:space="preserve"> zlokalizowane w </w:t>
      </w:r>
      <w:r w:rsidRPr="009E064B">
        <w:rPr>
          <w:rFonts w:cs="TimesNewRomanPSMT"/>
          <w:szCs w:val="20"/>
        </w:rPr>
        <w:t>pasie drogi startowej. Nie zezwala się, aby jakikolwiek obiekt ruchomy wystawał ponad wyżej wymienione powierzchnie, w czasie, gdy droga startowa jest wykorzystywana do lądowania.</w:t>
      </w:r>
    </w:p>
    <w:p w14:paraId="605B833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(f) </w:t>
      </w:r>
      <w:r w:rsidRPr="009E064B">
        <w:rPr>
          <w:rFonts w:cs="Times New Roman"/>
          <w:szCs w:val="20"/>
        </w:rPr>
        <w:tab/>
      </w:r>
      <w:r w:rsidRPr="009E064B">
        <w:rPr>
          <w:rFonts w:cs="TimesNewRomanPSMT"/>
          <w:szCs w:val="20"/>
        </w:rPr>
        <w:t xml:space="preserve">Nie zezwala się na wznoszenie nowych lub powiększanie istniejących obiektów, które wystawałyby ponad powierzchnię podejścia lub powierzchnię przejściową, </w:t>
      </w:r>
      <w:r w:rsidRPr="009E064B">
        <w:rPr>
          <w:rFonts w:cs="TimesNewRomanPS-ItalicMT"/>
          <w:iCs/>
          <w:szCs w:val="20"/>
        </w:rPr>
        <w:t xml:space="preserve">chyba, że </w:t>
      </w:r>
      <w:r w:rsidRPr="009E064B">
        <w:rPr>
          <w:rFonts w:cs="TimesNewRomanPSMT"/>
          <w:szCs w:val="20"/>
        </w:rPr>
        <w:t xml:space="preserve">nowy lub powiększany </w:t>
      </w:r>
      <w:r w:rsidRPr="009E064B">
        <w:rPr>
          <w:rFonts w:cs="TimesNewRomanPS-ItalicMT"/>
          <w:iCs/>
          <w:szCs w:val="20"/>
        </w:rPr>
        <w:t xml:space="preserve">obiekt </w:t>
      </w:r>
      <w:r w:rsidRPr="009E064B">
        <w:rPr>
          <w:rFonts w:cs="TimesNewRomanPSMT"/>
          <w:szCs w:val="20"/>
        </w:rPr>
        <w:t>będzie zasłonięty przez istniejący już obiekt stały</w:t>
      </w:r>
    </w:p>
    <w:p w14:paraId="31C701CC"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(g) </w:t>
      </w:r>
      <w:r w:rsidRPr="009E064B">
        <w:rPr>
          <w:rFonts w:cs="Times New Roman"/>
          <w:szCs w:val="20"/>
        </w:rPr>
        <w:tab/>
      </w:r>
      <w:r w:rsidRPr="009E064B">
        <w:rPr>
          <w:rFonts w:cs="TimesNewRomanPS-ItalicMT"/>
          <w:iCs/>
          <w:szCs w:val="20"/>
        </w:rPr>
        <w:t xml:space="preserve">Nie zezwala na powstawanie nowego obiektu lub rozbudowę obiektu już istniejącego wystającego ponad powierzchnię stożkową lub powierzchnię poziomą wewnętrzną, chyba, że obiekt </w:t>
      </w:r>
      <w:r w:rsidRPr="009E064B">
        <w:rPr>
          <w:rFonts w:cs="TimesNewRomanPSMT"/>
          <w:szCs w:val="20"/>
        </w:rPr>
        <w:t>będzie zasłonięty przez istniejący już obiekt stały</w:t>
      </w:r>
      <w:r w:rsidRPr="009E064B">
        <w:rPr>
          <w:rFonts w:cs="TimesNewRomanPS-ItalicMT"/>
          <w:iCs/>
          <w:szCs w:val="20"/>
        </w:rPr>
        <w:t xml:space="preserve"> lub jeśli po przeprowadzeniu oceny bezpieczeństwa, wykazano, że obiekt ten nie wpłynie negatywnie na bezpieczeństwo operacji lotniczych ani nie zakłóci w odczuwalny sposób regularności tych operacji.</w:t>
      </w:r>
    </w:p>
    <w:p w14:paraId="3A9CB6E4"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(h) </w:t>
      </w:r>
      <w:r w:rsidRPr="009E064B">
        <w:rPr>
          <w:rFonts w:cs="Times New Roman"/>
          <w:szCs w:val="20"/>
        </w:rPr>
        <w:tab/>
      </w:r>
      <w:r w:rsidRPr="009E064B">
        <w:rPr>
          <w:rFonts w:cs="TimesNewRomanPS-ItalicMT"/>
          <w:iCs/>
          <w:szCs w:val="20"/>
        </w:rPr>
        <w:t>Istniejące obiekty, które wystają ponad powierzchnię podejścia, powierzchnię przejściową, powierzchnię stożkową oraz powierzchnię poziomą wewnętrzną, jeżeli jest to możliwe, powinny zostać usunięte, z wyjątkiem przypadku, gdy obiekt jest zasłonięty przez istniejący obiekt stały lub jeśli po przeprowadzeniu oceny bezpieczeństwa, wykazano, że obiekt ten nie wpłynie negatywnie na bezpieczeństwo operacji lotniczych ani nie zakłóci w odczuwalny sposób regularności tych operacji.</w:t>
      </w:r>
    </w:p>
    <w:p w14:paraId="56A93E3C" w14:textId="158BC1CC" w:rsidR="00CB684C" w:rsidRPr="009E064B" w:rsidRDefault="00CB684C" w:rsidP="00CB684C">
      <w:r w:rsidRPr="009E064B">
        <w:br w:type="page"/>
      </w:r>
    </w:p>
    <w:tbl>
      <w:tblPr>
        <w:tblW w:w="5095"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0" w:type="dxa"/>
          <w:bottom w:w="28" w:type="dxa"/>
          <w:right w:w="0" w:type="dxa"/>
        </w:tblCellMar>
        <w:tblLook w:val="01E0" w:firstRow="1" w:lastRow="1" w:firstColumn="1" w:lastColumn="1" w:noHBand="0" w:noVBand="0"/>
      </w:tblPr>
      <w:tblGrid>
        <w:gridCol w:w="2548"/>
        <w:gridCol w:w="614"/>
        <w:gridCol w:w="614"/>
        <w:gridCol w:w="614"/>
        <w:gridCol w:w="614"/>
        <w:gridCol w:w="697"/>
        <w:gridCol w:w="697"/>
        <w:gridCol w:w="699"/>
        <w:gridCol w:w="718"/>
        <w:gridCol w:w="718"/>
        <w:gridCol w:w="716"/>
      </w:tblGrid>
      <w:tr w:rsidR="00C36D76" w:rsidRPr="009E064B" w14:paraId="31A3623C" w14:textId="77777777" w:rsidTr="00C36D76">
        <w:trPr>
          <w:jc w:val="center"/>
        </w:trPr>
        <w:tc>
          <w:tcPr>
            <w:tcW w:w="5000" w:type="pct"/>
            <w:gridSpan w:val="11"/>
            <w:tcMar>
              <w:top w:w="113" w:type="dxa"/>
              <w:bottom w:w="113" w:type="dxa"/>
            </w:tcMar>
            <w:vAlign w:val="center"/>
          </w:tcPr>
          <w:p w14:paraId="61AC7F7A" w14:textId="77777777" w:rsidR="00C36D76" w:rsidRPr="009E064B" w:rsidRDefault="00C36D76" w:rsidP="00322505">
            <w:pPr>
              <w:spacing w:before="40" w:after="40"/>
              <w:jc w:val="center"/>
              <w:rPr>
                <w:rFonts w:ascii="Arial" w:hAnsi="Arial" w:cs="Arial"/>
                <w:b/>
                <w:szCs w:val="20"/>
              </w:rPr>
            </w:pPr>
            <w:r w:rsidRPr="009E064B">
              <w:rPr>
                <w:rFonts w:ascii="Arial" w:hAnsi="Arial" w:cs="Arial"/>
                <w:iCs/>
                <w:szCs w:val="20"/>
              </w:rPr>
              <w:br w:type="page"/>
            </w:r>
            <w:r w:rsidRPr="009E064B">
              <w:rPr>
                <w:rFonts w:ascii="Arial" w:hAnsi="Arial" w:cs="Arial"/>
                <w:b/>
                <w:szCs w:val="20"/>
              </w:rPr>
              <w:t>DROGI STARTOWE PRZEZNACZONE DO LĄDOWANIA</w:t>
            </w:r>
          </w:p>
        </w:tc>
      </w:tr>
      <w:tr w:rsidR="00C36D76" w:rsidRPr="009E064B" w14:paraId="48DA2C13" w14:textId="77777777" w:rsidTr="00D24C00">
        <w:trPr>
          <w:jc w:val="center"/>
        </w:trPr>
        <w:tc>
          <w:tcPr>
            <w:tcW w:w="1377" w:type="pct"/>
            <w:vMerge w:val="restart"/>
            <w:tcMar>
              <w:top w:w="57" w:type="dxa"/>
              <w:bottom w:w="57" w:type="dxa"/>
            </w:tcMar>
            <w:vAlign w:val="center"/>
          </w:tcPr>
          <w:p w14:paraId="63FC5563"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Powierzchnia i wymiary</w:t>
            </w:r>
            <w:r w:rsidRPr="009E064B">
              <w:rPr>
                <w:rFonts w:ascii="Arial" w:hAnsi="Arial" w:cs="Arial"/>
                <w:sz w:val="20"/>
                <w:szCs w:val="20"/>
              </w:rPr>
              <w:t xml:space="preserve"> </w:t>
            </w:r>
            <w:r w:rsidRPr="009E064B">
              <w:rPr>
                <w:rFonts w:ascii="Arial" w:hAnsi="Arial" w:cs="Arial"/>
                <w:sz w:val="20"/>
                <w:szCs w:val="20"/>
                <w:vertAlign w:val="superscript"/>
              </w:rPr>
              <w:t>a</w:t>
            </w:r>
          </w:p>
        </w:tc>
        <w:tc>
          <w:tcPr>
            <w:tcW w:w="3623" w:type="pct"/>
            <w:gridSpan w:val="10"/>
            <w:tcMar>
              <w:top w:w="57" w:type="dxa"/>
              <w:bottom w:w="57" w:type="dxa"/>
            </w:tcMar>
            <w:vAlign w:val="center"/>
          </w:tcPr>
          <w:p w14:paraId="62649CA4"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TYP DROGI STARTOWEJ</w:t>
            </w:r>
          </w:p>
        </w:tc>
      </w:tr>
      <w:tr w:rsidR="00CB684C" w:rsidRPr="009E064B" w14:paraId="33ADF88D" w14:textId="77777777" w:rsidTr="00AC707F">
        <w:trPr>
          <w:jc w:val="center"/>
        </w:trPr>
        <w:tc>
          <w:tcPr>
            <w:tcW w:w="1377" w:type="pct"/>
            <w:vMerge/>
            <w:tcMar>
              <w:top w:w="57" w:type="dxa"/>
              <w:bottom w:w="57" w:type="dxa"/>
            </w:tcMar>
          </w:tcPr>
          <w:p w14:paraId="74D9AF57" w14:textId="77777777" w:rsidR="00C36D76" w:rsidRPr="009E064B" w:rsidRDefault="00C36D76" w:rsidP="00322505">
            <w:pPr>
              <w:spacing w:before="40" w:after="40"/>
              <w:jc w:val="center"/>
              <w:rPr>
                <w:rFonts w:ascii="Arial Narrow" w:hAnsi="Arial Narrow" w:cstheme="minorHAnsi"/>
                <w:sz w:val="20"/>
                <w:szCs w:val="20"/>
              </w:rPr>
            </w:pPr>
          </w:p>
        </w:tc>
        <w:tc>
          <w:tcPr>
            <w:tcW w:w="1327" w:type="pct"/>
            <w:gridSpan w:val="4"/>
            <w:vMerge w:val="restart"/>
            <w:tcMar>
              <w:top w:w="57" w:type="dxa"/>
              <w:left w:w="57" w:type="dxa"/>
              <w:bottom w:w="57" w:type="dxa"/>
              <w:right w:w="57" w:type="dxa"/>
            </w:tcMar>
            <w:vAlign w:val="center"/>
          </w:tcPr>
          <w:p w14:paraId="5E287FA9"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Nieprzyrządowa</w:t>
            </w:r>
          </w:p>
        </w:tc>
        <w:tc>
          <w:tcPr>
            <w:tcW w:w="1132" w:type="pct"/>
            <w:gridSpan w:val="3"/>
            <w:vMerge w:val="restart"/>
            <w:tcMar>
              <w:top w:w="57" w:type="dxa"/>
              <w:left w:w="57" w:type="dxa"/>
              <w:bottom w:w="57" w:type="dxa"/>
              <w:right w:w="57" w:type="dxa"/>
            </w:tcMar>
            <w:vAlign w:val="center"/>
          </w:tcPr>
          <w:p w14:paraId="52B65554"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Z podejściem nieprecyzyjnym</w:t>
            </w:r>
          </w:p>
        </w:tc>
        <w:tc>
          <w:tcPr>
            <w:tcW w:w="1163" w:type="pct"/>
            <w:gridSpan w:val="3"/>
            <w:tcMar>
              <w:top w:w="57" w:type="dxa"/>
              <w:left w:w="57" w:type="dxa"/>
              <w:bottom w:w="57" w:type="dxa"/>
              <w:right w:w="57" w:type="dxa"/>
            </w:tcMar>
            <w:vAlign w:val="center"/>
          </w:tcPr>
          <w:p w14:paraId="37F456AD"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Z podejściem precyzyjnym kategorii:</w:t>
            </w:r>
          </w:p>
        </w:tc>
      </w:tr>
      <w:tr w:rsidR="00CB684C" w:rsidRPr="009E064B" w14:paraId="67EEE469" w14:textId="77777777" w:rsidTr="00AC707F">
        <w:trPr>
          <w:jc w:val="center"/>
        </w:trPr>
        <w:tc>
          <w:tcPr>
            <w:tcW w:w="1377" w:type="pct"/>
            <w:vMerge/>
            <w:tcMar>
              <w:top w:w="57" w:type="dxa"/>
              <w:bottom w:w="57" w:type="dxa"/>
            </w:tcMar>
          </w:tcPr>
          <w:p w14:paraId="3424FA90" w14:textId="77777777" w:rsidR="00C36D76" w:rsidRPr="009E064B" w:rsidRDefault="00C36D76" w:rsidP="00322505">
            <w:pPr>
              <w:spacing w:before="40" w:after="40"/>
              <w:jc w:val="center"/>
              <w:rPr>
                <w:rFonts w:ascii="Arial Narrow" w:hAnsi="Arial Narrow" w:cstheme="minorHAnsi"/>
                <w:sz w:val="20"/>
                <w:szCs w:val="20"/>
              </w:rPr>
            </w:pPr>
          </w:p>
        </w:tc>
        <w:tc>
          <w:tcPr>
            <w:tcW w:w="1327" w:type="pct"/>
            <w:gridSpan w:val="4"/>
            <w:vMerge/>
            <w:tcMar>
              <w:top w:w="57" w:type="dxa"/>
              <w:left w:w="57" w:type="dxa"/>
              <w:bottom w:w="57" w:type="dxa"/>
              <w:right w:w="57" w:type="dxa"/>
            </w:tcMar>
          </w:tcPr>
          <w:p w14:paraId="09AD28C7" w14:textId="77777777" w:rsidR="00C36D76" w:rsidRPr="009E064B" w:rsidRDefault="00C36D76" w:rsidP="00322505">
            <w:pPr>
              <w:spacing w:before="40" w:after="40"/>
              <w:jc w:val="center"/>
              <w:rPr>
                <w:rFonts w:ascii="Arial Narrow" w:hAnsi="Arial Narrow" w:cstheme="minorHAnsi"/>
                <w:sz w:val="20"/>
                <w:szCs w:val="20"/>
              </w:rPr>
            </w:pPr>
          </w:p>
        </w:tc>
        <w:tc>
          <w:tcPr>
            <w:tcW w:w="1132" w:type="pct"/>
            <w:gridSpan w:val="3"/>
            <w:vMerge/>
            <w:tcMar>
              <w:top w:w="57" w:type="dxa"/>
              <w:left w:w="57" w:type="dxa"/>
              <w:bottom w:w="57" w:type="dxa"/>
              <w:right w:w="57" w:type="dxa"/>
            </w:tcMar>
          </w:tcPr>
          <w:p w14:paraId="53021230" w14:textId="77777777" w:rsidR="00C36D76" w:rsidRPr="009E064B" w:rsidRDefault="00C36D76" w:rsidP="00322505">
            <w:pPr>
              <w:spacing w:before="40" w:after="40"/>
              <w:jc w:val="center"/>
              <w:rPr>
                <w:rFonts w:ascii="Arial Narrow" w:hAnsi="Arial Narrow" w:cstheme="minorHAnsi"/>
                <w:sz w:val="20"/>
                <w:szCs w:val="20"/>
              </w:rPr>
            </w:pPr>
          </w:p>
        </w:tc>
        <w:tc>
          <w:tcPr>
            <w:tcW w:w="776" w:type="pct"/>
            <w:gridSpan w:val="2"/>
            <w:tcMar>
              <w:top w:w="57" w:type="dxa"/>
              <w:left w:w="57" w:type="dxa"/>
              <w:bottom w:w="57" w:type="dxa"/>
              <w:right w:w="57" w:type="dxa"/>
            </w:tcMar>
          </w:tcPr>
          <w:p w14:paraId="1180A89C"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I</w:t>
            </w:r>
          </w:p>
        </w:tc>
        <w:tc>
          <w:tcPr>
            <w:tcW w:w="387" w:type="pct"/>
            <w:tcMar>
              <w:top w:w="57" w:type="dxa"/>
              <w:left w:w="0" w:type="dxa"/>
              <w:bottom w:w="57" w:type="dxa"/>
              <w:right w:w="0" w:type="dxa"/>
            </w:tcMar>
          </w:tcPr>
          <w:p w14:paraId="0FD1351A" w14:textId="77777777" w:rsidR="00C36D76" w:rsidRPr="009E064B" w:rsidRDefault="00C36D76" w:rsidP="00322505">
            <w:pPr>
              <w:spacing w:before="40" w:after="40"/>
              <w:jc w:val="center"/>
              <w:rPr>
                <w:rFonts w:ascii="Arial" w:hAnsi="Arial" w:cs="Arial"/>
                <w:b/>
                <w:sz w:val="20"/>
                <w:szCs w:val="20"/>
              </w:rPr>
            </w:pPr>
            <w:r w:rsidRPr="009E064B">
              <w:rPr>
                <w:rFonts w:ascii="Arial" w:hAnsi="Arial" w:cs="Arial"/>
                <w:b/>
                <w:sz w:val="20"/>
                <w:szCs w:val="20"/>
              </w:rPr>
              <w:t xml:space="preserve">II </w:t>
            </w:r>
            <w:r w:rsidRPr="009E064B">
              <w:rPr>
                <w:rFonts w:ascii="Arial Narrow" w:hAnsi="Arial Narrow" w:cs="Arial"/>
                <w:b/>
                <w:sz w:val="20"/>
                <w:szCs w:val="20"/>
              </w:rPr>
              <w:t>lub</w:t>
            </w:r>
            <w:r w:rsidRPr="009E064B">
              <w:rPr>
                <w:rFonts w:ascii="Arial" w:hAnsi="Arial" w:cs="Arial"/>
                <w:b/>
                <w:sz w:val="20"/>
                <w:szCs w:val="20"/>
              </w:rPr>
              <w:t xml:space="preserve"> III</w:t>
            </w:r>
          </w:p>
        </w:tc>
      </w:tr>
      <w:tr w:rsidR="00CB684C" w:rsidRPr="009E064B" w14:paraId="0046EDD3" w14:textId="77777777" w:rsidTr="00322505">
        <w:trPr>
          <w:jc w:val="center"/>
        </w:trPr>
        <w:tc>
          <w:tcPr>
            <w:tcW w:w="1377" w:type="pct"/>
            <w:vMerge/>
            <w:tcMar>
              <w:top w:w="57" w:type="dxa"/>
              <w:bottom w:w="57" w:type="dxa"/>
            </w:tcMar>
          </w:tcPr>
          <w:p w14:paraId="52BD724D" w14:textId="77777777" w:rsidR="00C36D76" w:rsidRPr="009E064B" w:rsidRDefault="00C36D76" w:rsidP="00B06A9A">
            <w:pPr>
              <w:spacing w:after="0"/>
              <w:jc w:val="center"/>
              <w:rPr>
                <w:rFonts w:ascii="Arial Narrow" w:hAnsi="Arial Narrow" w:cstheme="minorHAnsi"/>
                <w:sz w:val="20"/>
                <w:szCs w:val="20"/>
              </w:rPr>
            </w:pPr>
          </w:p>
        </w:tc>
        <w:tc>
          <w:tcPr>
            <w:tcW w:w="1327" w:type="pct"/>
            <w:gridSpan w:val="4"/>
            <w:tcBorders>
              <w:right w:val="nil"/>
            </w:tcBorders>
            <w:tcMar>
              <w:top w:w="57" w:type="dxa"/>
              <w:left w:w="57" w:type="dxa"/>
              <w:bottom w:w="57" w:type="dxa"/>
              <w:right w:w="57" w:type="dxa"/>
            </w:tcMar>
            <w:vAlign w:val="center"/>
          </w:tcPr>
          <w:p w14:paraId="48D6CBDD" w14:textId="6501C7BF" w:rsidR="00C36D76" w:rsidRPr="009E064B" w:rsidRDefault="00C36D76" w:rsidP="00B06A9A">
            <w:pPr>
              <w:spacing w:after="0"/>
              <w:jc w:val="center"/>
              <w:rPr>
                <w:rFonts w:ascii="Arial" w:hAnsi="Arial" w:cs="Arial"/>
                <w:b/>
                <w:sz w:val="20"/>
                <w:szCs w:val="20"/>
              </w:rPr>
            </w:pPr>
          </w:p>
        </w:tc>
        <w:tc>
          <w:tcPr>
            <w:tcW w:w="1132" w:type="pct"/>
            <w:gridSpan w:val="3"/>
            <w:tcBorders>
              <w:left w:val="nil"/>
              <w:right w:val="nil"/>
            </w:tcBorders>
            <w:tcMar>
              <w:top w:w="57" w:type="dxa"/>
              <w:left w:w="57" w:type="dxa"/>
              <w:bottom w:w="57" w:type="dxa"/>
              <w:right w:w="57" w:type="dxa"/>
            </w:tcMar>
            <w:vAlign w:val="center"/>
          </w:tcPr>
          <w:p w14:paraId="7357B998" w14:textId="77777777" w:rsidR="00C36D76" w:rsidRPr="009E064B" w:rsidRDefault="00C36D76" w:rsidP="00B06A9A">
            <w:pPr>
              <w:spacing w:after="0"/>
              <w:jc w:val="center"/>
              <w:rPr>
                <w:rFonts w:ascii="Arial" w:hAnsi="Arial" w:cs="Arial"/>
                <w:b/>
                <w:sz w:val="20"/>
                <w:szCs w:val="20"/>
              </w:rPr>
            </w:pPr>
            <w:r w:rsidRPr="009E064B">
              <w:rPr>
                <w:rFonts w:ascii="Arial" w:hAnsi="Arial" w:cs="Arial"/>
                <w:b/>
                <w:sz w:val="18"/>
                <w:szCs w:val="20"/>
              </w:rPr>
              <w:t>Cyfra kodu</w:t>
            </w:r>
          </w:p>
        </w:tc>
        <w:tc>
          <w:tcPr>
            <w:tcW w:w="776" w:type="pct"/>
            <w:gridSpan w:val="2"/>
            <w:tcBorders>
              <w:left w:val="nil"/>
              <w:right w:val="nil"/>
            </w:tcBorders>
            <w:tcMar>
              <w:top w:w="57" w:type="dxa"/>
              <w:left w:w="57" w:type="dxa"/>
              <w:bottom w:w="57" w:type="dxa"/>
              <w:right w:w="57" w:type="dxa"/>
            </w:tcMar>
            <w:vAlign w:val="center"/>
          </w:tcPr>
          <w:p w14:paraId="1FD99B78" w14:textId="3D372150" w:rsidR="00C36D76" w:rsidRPr="009E064B" w:rsidRDefault="00C36D76" w:rsidP="00B06A9A">
            <w:pPr>
              <w:spacing w:after="0"/>
              <w:jc w:val="center"/>
              <w:rPr>
                <w:rFonts w:ascii="Arial" w:hAnsi="Arial" w:cs="Arial"/>
                <w:b/>
                <w:sz w:val="20"/>
                <w:szCs w:val="20"/>
              </w:rPr>
            </w:pPr>
          </w:p>
        </w:tc>
        <w:tc>
          <w:tcPr>
            <w:tcW w:w="387" w:type="pct"/>
            <w:tcBorders>
              <w:left w:val="nil"/>
            </w:tcBorders>
            <w:tcMar>
              <w:top w:w="57" w:type="dxa"/>
              <w:left w:w="0" w:type="dxa"/>
              <w:bottom w:w="57" w:type="dxa"/>
              <w:right w:w="0" w:type="dxa"/>
            </w:tcMar>
            <w:vAlign w:val="center"/>
          </w:tcPr>
          <w:p w14:paraId="52A0DCE4" w14:textId="3ECF97BA" w:rsidR="00C36D76" w:rsidRPr="009E064B" w:rsidRDefault="00C36D76" w:rsidP="00816B85">
            <w:pPr>
              <w:spacing w:after="0"/>
              <w:jc w:val="center"/>
              <w:rPr>
                <w:rFonts w:ascii="Arial" w:hAnsi="Arial" w:cs="Arial"/>
                <w:b/>
                <w:sz w:val="20"/>
                <w:szCs w:val="20"/>
              </w:rPr>
            </w:pPr>
          </w:p>
        </w:tc>
      </w:tr>
      <w:tr w:rsidR="00D24C00" w:rsidRPr="009E064B" w14:paraId="5C965B46" w14:textId="77777777" w:rsidTr="00AC707F">
        <w:trPr>
          <w:jc w:val="center"/>
        </w:trPr>
        <w:tc>
          <w:tcPr>
            <w:tcW w:w="1377" w:type="pct"/>
            <w:vMerge/>
            <w:tcMar>
              <w:top w:w="57" w:type="dxa"/>
              <w:bottom w:w="57" w:type="dxa"/>
            </w:tcMar>
          </w:tcPr>
          <w:p w14:paraId="3C1E66B5" w14:textId="77777777" w:rsidR="00C36D76" w:rsidRPr="009E064B" w:rsidRDefault="00C36D76" w:rsidP="00B06A9A">
            <w:pPr>
              <w:spacing w:after="0"/>
              <w:jc w:val="center"/>
              <w:rPr>
                <w:rFonts w:ascii="Arial Narrow" w:hAnsi="Arial Narrow" w:cstheme="minorHAnsi"/>
                <w:sz w:val="20"/>
                <w:szCs w:val="20"/>
              </w:rPr>
            </w:pPr>
          </w:p>
        </w:tc>
        <w:tc>
          <w:tcPr>
            <w:tcW w:w="332" w:type="pct"/>
            <w:tcMar>
              <w:top w:w="28" w:type="dxa"/>
              <w:left w:w="0" w:type="dxa"/>
              <w:bottom w:w="28" w:type="dxa"/>
              <w:right w:w="0" w:type="dxa"/>
            </w:tcMar>
          </w:tcPr>
          <w:p w14:paraId="75570A4A"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1</w:t>
            </w:r>
          </w:p>
        </w:tc>
        <w:tc>
          <w:tcPr>
            <w:tcW w:w="332" w:type="pct"/>
            <w:tcMar>
              <w:top w:w="28" w:type="dxa"/>
              <w:left w:w="0" w:type="dxa"/>
              <w:bottom w:w="28" w:type="dxa"/>
              <w:right w:w="0" w:type="dxa"/>
            </w:tcMar>
          </w:tcPr>
          <w:p w14:paraId="2732AD9F"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2</w:t>
            </w:r>
          </w:p>
        </w:tc>
        <w:tc>
          <w:tcPr>
            <w:tcW w:w="332" w:type="pct"/>
            <w:tcMar>
              <w:top w:w="28" w:type="dxa"/>
              <w:left w:w="0" w:type="dxa"/>
              <w:bottom w:w="28" w:type="dxa"/>
              <w:right w:w="0" w:type="dxa"/>
            </w:tcMar>
          </w:tcPr>
          <w:p w14:paraId="5E3B8699"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3</w:t>
            </w:r>
          </w:p>
        </w:tc>
        <w:tc>
          <w:tcPr>
            <w:tcW w:w="332" w:type="pct"/>
            <w:tcMar>
              <w:top w:w="28" w:type="dxa"/>
              <w:left w:w="0" w:type="dxa"/>
              <w:bottom w:w="28" w:type="dxa"/>
              <w:right w:w="0" w:type="dxa"/>
            </w:tcMar>
          </w:tcPr>
          <w:p w14:paraId="2CA7939E"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4</w:t>
            </w:r>
          </w:p>
        </w:tc>
        <w:tc>
          <w:tcPr>
            <w:tcW w:w="377" w:type="pct"/>
            <w:tcMar>
              <w:top w:w="28" w:type="dxa"/>
              <w:left w:w="0" w:type="dxa"/>
              <w:bottom w:w="28" w:type="dxa"/>
              <w:right w:w="0" w:type="dxa"/>
            </w:tcMar>
          </w:tcPr>
          <w:p w14:paraId="33D6EDCA" w14:textId="5C388E7B" w:rsidR="00C36D76" w:rsidRPr="009E064B" w:rsidRDefault="00AC707F"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 xml:space="preserve">1, </w:t>
            </w:r>
            <w:r w:rsidR="00C36D76" w:rsidRPr="009E064B">
              <w:rPr>
                <w:rFonts w:ascii="Arial Narrow" w:hAnsi="Arial Narrow" w:cstheme="minorHAnsi"/>
                <w:b/>
                <w:sz w:val="20"/>
                <w:szCs w:val="20"/>
              </w:rPr>
              <w:t>2</w:t>
            </w:r>
          </w:p>
        </w:tc>
        <w:tc>
          <w:tcPr>
            <w:tcW w:w="377" w:type="pct"/>
            <w:tcMar>
              <w:top w:w="28" w:type="dxa"/>
              <w:left w:w="0" w:type="dxa"/>
              <w:bottom w:w="28" w:type="dxa"/>
              <w:right w:w="0" w:type="dxa"/>
            </w:tcMar>
          </w:tcPr>
          <w:p w14:paraId="576D2C9B"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3</w:t>
            </w:r>
          </w:p>
        </w:tc>
        <w:tc>
          <w:tcPr>
            <w:tcW w:w="378" w:type="pct"/>
            <w:tcMar>
              <w:top w:w="28" w:type="dxa"/>
              <w:left w:w="0" w:type="dxa"/>
              <w:bottom w:w="28" w:type="dxa"/>
              <w:right w:w="0" w:type="dxa"/>
            </w:tcMar>
          </w:tcPr>
          <w:p w14:paraId="1255286D" w14:textId="77777777" w:rsidR="00C36D76" w:rsidRPr="009E064B" w:rsidRDefault="00C36D76"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4</w:t>
            </w:r>
          </w:p>
        </w:tc>
        <w:tc>
          <w:tcPr>
            <w:tcW w:w="388" w:type="pct"/>
            <w:tcMar>
              <w:top w:w="28" w:type="dxa"/>
              <w:left w:w="0" w:type="dxa"/>
              <w:bottom w:w="28" w:type="dxa"/>
              <w:right w:w="0" w:type="dxa"/>
            </w:tcMar>
          </w:tcPr>
          <w:p w14:paraId="67FCA993" w14:textId="36444E3F" w:rsidR="00C36D76" w:rsidRPr="009E064B" w:rsidRDefault="00AC707F"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 xml:space="preserve">1, </w:t>
            </w:r>
            <w:r w:rsidR="00C36D76" w:rsidRPr="009E064B">
              <w:rPr>
                <w:rFonts w:ascii="Arial Narrow" w:hAnsi="Arial Narrow" w:cstheme="minorHAnsi"/>
                <w:b/>
                <w:sz w:val="20"/>
                <w:szCs w:val="20"/>
              </w:rPr>
              <w:t>2</w:t>
            </w:r>
          </w:p>
        </w:tc>
        <w:tc>
          <w:tcPr>
            <w:tcW w:w="388" w:type="pct"/>
            <w:tcMar>
              <w:top w:w="28" w:type="dxa"/>
              <w:left w:w="0" w:type="dxa"/>
              <w:bottom w:w="28" w:type="dxa"/>
              <w:right w:w="0" w:type="dxa"/>
            </w:tcMar>
          </w:tcPr>
          <w:p w14:paraId="63024D48" w14:textId="659E7BE5" w:rsidR="00C36D76" w:rsidRPr="009E064B" w:rsidRDefault="00AC707F"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 xml:space="preserve">3, </w:t>
            </w:r>
            <w:r w:rsidR="00C36D76" w:rsidRPr="009E064B">
              <w:rPr>
                <w:rFonts w:ascii="Arial Narrow" w:hAnsi="Arial Narrow" w:cstheme="minorHAnsi"/>
                <w:b/>
                <w:sz w:val="20"/>
                <w:szCs w:val="20"/>
              </w:rPr>
              <w:t>4</w:t>
            </w:r>
          </w:p>
        </w:tc>
        <w:tc>
          <w:tcPr>
            <w:tcW w:w="387" w:type="pct"/>
            <w:tcMar>
              <w:top w:w="28" w:type="dxa"/>
              <w:left w:w="0" w:type="dxa"/>
              <w:bottom w:w="28" w:type="dxa"/>
              <w:right w:w="0" w:type="dxa"/>
            </w:tcMar>
          </w:tcPr>
          <w:p w14:paraId="6A5BBE09" w14:textId="6DD7899A" w:rsidR="00C36D76" w:rsidRPr="009E064B" w:rsidRDefault="00AC707F" w:rsidP="00B06A9A">
            <w:pPr>
              <w:spacing w:after="0"/>
              <w:jc w:val="center"/>
              <w:rPr>
                <w:rFonts w:ascii="Arial Narrow" w:hAnsi="Arial Narrow" w:cstheme="minorHAnsi"/>
                <w:b/>
                <w:sz w:val="20"/>
                <w:szCs w:val="20"/>
              </w:rPr>
            </w:pPr>
            <w:r w:rsidRPr="009E064B">
              <w:rPr>
                <w:rFonts w:ascii="Arial Narrow" w:hAnsi="Arial Narrow" w:cstheme="minorHAnsi"/>
                <w:b/>
                <w:sz w:val="20"/>
                <w:szCs w:val="20"/>
              </w:rPr>
              <w:t xml:space="preserve">3, </w:t>
            </w:r>
            <w:r w:rsidR="00C36D76" w:rsidRPr="009E064B">
              <w:rPr>
                <w:rFonts w:ascii="Arial Narrow" w:hAnsi="Arial Narrow" w:cstheme="minorHAnsi"/>
                <w:b/>
                <w:sz w:val="20"/>
                <w:szCs w:val="20"/>
              </w:rPr>
              <w:t>4</w:t>
            </w:r>
          </w:p>
        </w:tc>
      </w:tr>
    </w:tbl>
    <w:p w14:paraId="6665492D" w14:textId="77777777" w:rsidR="00317032" w:rsidRPr="009E064B" w:rsidRDefault="00317032" w:rsidP="00317032">
      <w:pPr>
        <w:spacing w:after="0"/>
        <w:rPr>
          <w:sz w:val="4"/>
          <w:szCs w:val="4"/>
        </w:rPr>
      </w:pPr>
    </w:p>
    <w:tbl>
      <w:tblPr>
        <w:tblW w:w="5095"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0" w:type="dxa"/>
          <w:bottom w:w="28" w:type="dxa"/>
          <w:right w:w="0" w:type="dxa"/>
        </w:tblCellMar>
        <w:tblLook w:val="01E0" w:firstRow="1" w:lastRow="1" w:firstColumn="1" w:lastColumn="1" w:noHBand="0" w:noVBand="0"/>
      </w:tblPr>
      <w:tblGrid>
        <w:gridCol w:w="2554"/>
        <w:gridCol w:w="614"/>
        <w:gridCol w:w="614"/>
        <w:gridCol w:w="614"/>
        <w:gridCol w:w="614"/>
        <w:gridCol w:w="697"/>
        <w:gridCol w:w="697"/>
        <w:gridCol w:w="699"/>
        <w:gridCol w:w="718"/>
        <w:gridCol w:w="718"/>
        <w:gridCol w:w="710"/>
      </w:tblGrid>
      <w:tr w:rsidR="00D24C00" w:rsidRPr="009E064B" w14:paraId="3A731922" w14:textId="77777777" w:rsidTr="00C2323F">
        <w:trPr>
          <w:cantSplit/>
          <w:trHeight w:val="284"/>
          <w:tblHeader/>
          <w:jc w:val="center"/>
        </w:trPr>
        <w:tc>
          <w:tcPr>
            <w:tcW w:w="1380" w:type="pct"/>
            <w:shd w:val="clear" w:color="auto" w:fill="auto"/>
            <w:tcMar>
              <w:top w:w="0" w:type="dxa"/>
              <w:bottom w:w="0" w:type="dxa"/>
            </w:tcMar>
            <w:vAlign w:val="center"/>
          </w:tcPr>
          <w:p w14:paraId="0F387DE0"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(1)</w:t>
            </w:r>
          </w:p>
        </w:tc>
        <w:tc>
          <w:tcPr>
            <w:tcW w:w="332" w:type="pct"/>
            <w:shd w:val="clear" w:color="auto" w:fill="auto"/>
            <w:tcMar>
              <w:top w:w="0" w:type="dxa"/>
              <w:left w:w="0" w:type="dxa"/>
              <w:bottom w:w="0" w:type="dxa"/>
              <w:right w:w="0" w:type="dxa"/>
            </w:tcMar>
            <w:vAlign w:val="center"/>
          </w:tcPr>
          <w:p w14:paraId="0541AE01"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(2)</w:t>
            </w:r>
          </w:p>
        </w:tc>
        <w:tc>
          <w:tcPr>
            <w:tcW w:w="332" w:type="pct"/>
            <w:shd w:val="clear" w:color="auto" w:fill="auto"/>
            <w:tcMar>
              <w:top w:w="0" w:type="dxa"/>
              <w:left w:w="0" w:type="dxa"/>
              <w:bottom w:w="0" w:type="dxa"/>
              <w:right w:w="0" w:type="dxa"/>
            </w:tcMar>
            <w:vAlign w:val="center"/>
          </w:tcPr>
          <w:p w14:paraId="43BD159C"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(3)</w:t>
            </w:r>
          </w:p>
        </w:tc>
        <w:tc>
          <w:tcPr>
            <w:tcW w:w="332" w:type="pct"/>
            <w:shd w:val="clear" w:color="auto" w:fill="auto"/>
            <w:tcMar>
              <w:top w:w="0" w:type="dxa"/>
              <w:left w:w="0" w:type="dxa"/>
              <w:bottom w:w="0" w:type="dxa"/>
              <w:right w:w="0" w:type="dxa"/>
            </w:tcMar>
            <w:vAlign w:val="center"/>
          </w:tcPr>
          <w:p w14:paraId="47F2D2D2"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(4)</w:t>
            </w:r>
          </w:p>
        </w:tc>
        <w:tc>
          <w:tcPr>
            <w:tcW w:w="332" w:type="pct"/>
            <w:shd w:val="clear" w:color="auto" w:fill="auto"/>
            <w:tcMar>
              <w:top w:w="0" w:type="dxa"/>
              <w:left w:w="0" w:type="dxa"/>
              <w:bottom w:w="0" w:type="dxa"/>
              <w:right w:w="0" w:type="dxa"/>
            </w:tcMar>
            <w:vAlign w:val="center"/>
          </w:tcPr>
          <w:p w14:paraId="498E9143"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(5)</w:t>
            </w:r>
          </w:p>
        </w:tc>
        <w:tc>
          <w:tcPr>
            <w:tcW w:w="377" w:type="pct"/>
            <w:shd w:val="clear" w:color="auto" w:fill="auto"/>
            <w:tcMar>
              <w:top w:w="0" w:type="dxa"/>
              <w:left w:w="0" w:type="dxa"/>
              <w:bottom w:w="0" w:type="dxa"/>
              <w:right w:w="0" w:type="dxa"/>
            </w:tcMar>
            <w:vAlign w:val="center"/>
          </w:tcPr>
          <w:p w14:paraId="7D67A269"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(6)</w:t>
            </w:r>
          </w:p>
        </w:tc>
        <w:tc>
          <w:tcPr>
            <w:tcW w:w="377" w:type="pct"/>
            <w:shd w:val="clear" w:color="auto" w:fill="auto"/>
            <w:tcMar>
              <w:top w:w="0" w:type="dxa"/>
              <w:left w:w="0" w:type="dxa"/>
              <w:bottom w:w="0" w:type="dxa"/>
              <w:right w:w="0" w:type="dxa"/>
            </w:tcMar>
            <w:vAlign w:val="center"/>
          </w:tcPr>
          <w:p w14:paraId="0BCE85A4"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(7)</w:t>
            </w:r>
          </w:p>
        </w:tc>
        <w:tc>
          <w:tcPr>
            <w:tcW w:w="378" w:type="pct"/>
            <w:shd w:val="clear" w:color="auto" w:fill="auto"/>
            <w:tcMar>
              <w:top w:w="0" w:type="dxa"/>
              <w:left w:w="0" w:type="dxa"/>
              <w:bottom w:w="0" w:type="dxa"/>
              <w:right w:w="0" w:type="dxa"/>
            </w:tcMar>
            <w:vAlign w:val="center"/>
          </w:tcPr>
          <w:p w14:paraId="0CE9A2D9"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(8)</w:t>
            </w:r>
          </w:p>
        </w:tc>
        <w:tc>
          <w:tcPr>
            <w:tcW w:w="388" w:type="pct"/>
            <w:shd w:val="clear" w:color="auto" w:fill="auto"/>
            <w:tcMar>
              <w:top w:w="0" w:type="dxa"/>
              <w:left w:w="0" w:type="dxa"/>
              <w:bottom w:w="0" w:type="dxa"/>
              <w:right w:w="0" w:type="dxa"/>
            </w:tcMar>
            <w:vAlign w:val="center"/>
          </w:tcPr>
          <w:p w14:paraId="7A191022"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(9)</w:t>
            </w:r>
          </w:p>
        </w:tc>
        <w:tc>
          <w:tcPr>
            <w:tcW w:w="388" w:type="pct"/>
            <w:shd w:val="clear" w:color="auto" w:fill="auto"/>
            <w:tcMar>
              <w:top w:w="0" w:type="dxa"/>
              <w:left w:w="0" w:type="dxa"/>
              <w:bottom w:w="0" w:type="dxa"/>
              <w:right w:w="0" w:type="dxa"/>
            </w:tcMar>
            <w:vAlign w:val="center"/>
          </w:tcPr>
          <w:p w14:paraId="2E8CD61F"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(10)</w:t>
            </w:r>
          </w:p>
        </w:tc>
        <w:tc>
          <w:tcPr>
            <w:tcW w:w="384" w:type="pct"/>
            <w:shd w:val="clear" w:color="auto" w:fill="auto"/>
            <w:tcMar>
              <w:top w:w="0" w:type="dxa"/>
              <w:left w:w="0" w:type="dxa"/>
              <w:bottom w:w="0" w:type="dxa"/>
              <w:right w:w="0" w:type="dxa"/>
            </w:tcMar>
            <w:vAlign w:val="center"/>
          </w:tcPr>
          <w:p w14:paraId="6BFF4125" w14:textId="77777777" w:rsidR="00C36D76" w:rsidRPr="009E064B" w:rsidRDefault="00C36D76" w:rsidP="00322505">
            <w:pPr>
              <w:spacing w:after="0"/>
              <w:jc w:val="center"/>
              <w:rPr>
                <w:rFonts w:asciiTheme="minorHAnsi" w:hAnsiTheme="minorHAnsi" w:cstheme="minorHAnsi"/>
                <w:sz w:val="18"/>
                <w:szCs w:val="20"/>
              </w:rPr>
            </w:pPr>
            <w:r w:rsidRPr="009E064B">
              <w:rPr>
                <w:rFonts w:asciiTheme="minorHAnsi" w:hAnsiTheme="minorHAnsi" w:cstheme="minorHAnsi"/>
                <w:sz w:val="18"/>
                <w:szCs w:val="20"/>
              </w:rPr>
              <w:t>(11)</w:t>
            </w:r>
          </w:p>
        </w:tc>
      </w:tr>
      <w:tr w:rsidR="00C2323F" w:rsidRPr="009E064B" w14:paraId="1A6987D8" w14:textId="77777777" w:rsidTr="00C2323F">
        <w:trPr>
          <w:jc w:val="center"/>
        </w:trPr>
        <w:tc>
          <w:tcPr>
            <w:tcW w:w="5000" w:type="pct"/>
            <w:gridSpan w:val="11"/>
            <w:shd w:val="clear" w:color="auto" w:fill="auto"/>
            <w:tcMar>
              <w:top w:w="57" w:type="dxa"/>
              <w:left w:w="28" w:type="dxa"/>
              <w:bottom w:w="57" w:type="dxa"/>
              <w:right w:w="28" w:type="dxa"/>
            </w:tcMar>
            <w:vAlign w:val="center"/>
          </w:tcPr>
          <w:p w14:paraId="65E4ED1E" w14:textId="6B041100" w:rsidR="00C2323F" w:rsidRPr="009E064B" w:rsidRDefault="00C2323F" w:rsidP="00C2323F">
            <w:pPr>
              <w:spacing w:after="0"/>
              <w:ind w:left="57"/>
              <w:jc w:val="left"/>
              <w:rPr>
                <w:rFonts w:ascii="Arial Narrow" w:hAnsi="Arial Narrow" w:cstheme="minorHAnsi"/>
                <w:b/>
                <w:sz w:val="20"/>
                <w:szCs w:val="20"/>
              </w:rPr>
            </w:pPr>
            <w:r w:rsidRPr="009E064B">
              <w:rPr>
                <w:rFonts w:ascii="Arial Narrow" w:hAnsi="Arial Narrow" w:cstheme="minorHAnsi"/>
                <w:b/>
                <w:sz w:val="20"/>
                <w:szCs w:val="20"/>
              </w:rPr>
              <w:t>POWIERZCHNIA STOŻKOWA</w:t>
            </w:r>
          </w:p>
        </w:tc>
      </w:tr>
      <w:tr w:rsidR="00D24C00" w:rsidRPr="009E064B" w14:paraId="2F000247"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D8D2B2E"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0BBE6904"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22CF881C"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0EA562DB"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79CE2660"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77" w:type="pct"/>
            <w:shd w:val="clear" w:color="auto" w:fill="auto"/>
            <w:tcMar>
              <w:top w:w="57" w:type="dxa"/>
              <w:left w:w="0" w:type="dxa"/>
              <w:bottom w:w="57" w:type="dxa"/>
              <w:right w:w="0" w:type="dxa"/>
            </w:tcMar>
            <w:vAlign w:val="center"/>
          </w:tcPr>
          <w:p w14:paraId="74A32144"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77" w:type="pct"/>
            <w:shd w:val="clear" w:color="auto" w:fill="auto"/>
            <w:tcMar>
              <w:top w:w="57" w:type="dxa"/>
              <w:left w:w="0" w:type="dxa"/>
              <w:bottom w:w="57" w:type="dxa"/>
              <w:right w:w="0" w:type="dxa"/>
            </w:tcMar>
            <w:vAlign w:val="center"/>
          </w:tcPr>
          <w:p w14:paraId="3140193A"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78" w:type="pct"/>
            <w:shd w:val="clear" w:color="auto" w:fill="auto"/>
            <w:tcMar>
              <w:top w:w="57" w:type="dxa"/>
              <w:left w:w="0" w:type="dxa"/>
              <w:bottom w:w="57" w:type="dxa"/>
              <w:right w:w="0" w:type="dxa"/>
            </w:tcMar>
            <w:vAlign w:val="center"/>
          </w:tcPr>
          <w:p w14:paraId="031492BA"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88" w:type="pct"/>
            <w:shd w:val="clear" w:color="auto" w:fill="auto"/>
            <w:tcMar>
              <w:top w:w="57" w:type="dxa"/>
              <w:left w:w="0" w:type="dxa"/>
              <w:bottom w:w="57" w:type="dxa"/>
              <w:right w:w="0" w:type="dxa"/>
            </w:tcMar>
            <w:vAlign w:val="center"/>
          </w:tcPr>
          <w:p w14:paraId="474D9614"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88" w:type="pct"/>
            <w:shd w:val="clear" w:color="auto" w:fill="auto"/>
            <w:tcMar>
              <w:top w:w="57" w:type="dxa"/>
              <w:left w:w="0" w:type="dxa"/>
              <w:bottom w:w="57" w:type="dxa"/>
              <w:right w:w="0" w:type="dxa"/>
            </w:tcMar>
            <w:vAlign w:val="center"/>
          </w:tcPr>
          <w:p w14:paraId="06835311"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c>
          <w:tcPr>
            <w:tcW w:w="384" w:type="pct"/>
            <w:shd w:val="clear" w:color="auto" w:fill="auto"/>
            <w:tcMar>
              <w:top w:w="57" w:type="dxa"/>
              <w:left w:w="0" w:type="dxa"/>
              <w:bottom w:w="57" w:type="dxa"/>
              <w:right w:w="0" w:type="dxa"/>
            </w:tcMar>
            <w:vAlign w:val="center"/>
          </w:tcPr>
          <w:p w14:paraId="77165677"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5%</w:t>
            </w:r>
          </w:p>
        </w:tc>
      </w:tr>
      <w:tr w:rsidR="00D24C00" w:rsidRPr="009E064B" w14:paraId="26ABE50D"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E6418C3"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Wysokość</w:t>
            </w:r>
          </w:p>
        </w:tc>
        <w:tc>
          <w:tcPr>
            <w:tcW w:w="332" w:type="pct"/>
            <w:shd w:val="clear" w:color="auto" w:fill="auto"/>
            <w:tcMar>
              <w:top w:w="57" w:type="dxa"/>
              <w:left w:w="0" w:type="dxa"/>
              <w:bottom w:w="57" w:type="dxa"/>
              <w:right w:w="0" w:type="dxa"/>
            </w:tcMar>
            <w:vAlign w:val="center"/>
          </w:tcPr>
          <w:p w14:paraId="5116C8CE"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35 m"/>
              </w:smartTagPr>
              <w:r w:rsidRPr="009E064B">
                <w:rPr>
                  <w:rFonts w:ascii="Arial Narrow" w:hAnsi="Arial Narrow" w:cstheme="minorHAnsi"/>
                  <w:sz w:val="20"/>
                  <w:szCs w:val="20"/>
                </w:rPr>
                <w:t>35 m</w:t>
              </w:r>
            </w:smartTag>
          </w:p>
        </w:tc>
        <w:tc>
          <w:tcPr>
            <w:tcW w:w="332" w:type="pct"/>
            <w:shd w:val="clear" w:color="auto" w:fill="auto"/>
            <w:tcMar>
              <w:top w:w="57" w:type="dxa"/>
              <w:left w:w="0" w:type="dxa"/>
              <w:bottom w:w="57" w:type="dxa"/>
              <w:right w:w="0" w:type="dxa"/>
            </w:tcMar>
            <w:vAlign w:val="center"/>
          </w:tcPr>
          <w:p w14:paraId="72226A1D"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55 m"/>
              </w:smartTagPr>
              <w:r w:rsidRPr="009E064B">
                <w:rPr>
                  <w:rFonts w:ascii="Arial Narrow" w:hAnsi="Arial Narrow" w:cstheme="minorHAnsi"/>
                  <w:sz w:val="20"/>
                  <w:szCs w:val="20"/>
                </w:rPr>
                <w:t>55 m</w:t>
              </w:r>
            </w:smartTag>
          </w:p>
        </w:tc>
        <w:tc>
          <w:tcPr>
            <w:tcW w:w="332" w:type="pct"/>
            <w:shd w:val="clear" w:color="auto" w:fill="auto"/>
            <w:tcMar>
              <w:top w:w="57" w:type="dxa"/>
              <w:left w:w="0" w:type="dxa"/>
              <w:bottom w:w="57" w:type="dxa"/>
              <w:right w:w="0" w:type="dxa"/>
            </w:tcMar>
            <w:vAlign w:val="center"/>
          </w:tcPr>
          <w:p w14:paraId="2D4DCE3A"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75 m"/>
              </w:smartTagPr>
              <w:r w:rsidRPr="009E064B">
                <w:rPr>
                  <w:rFonts w:ascii="Arial Narrow" w:hAnsi="Arial Narrow" w:cstheme="minorHAnsi"/>
                  <w:sz w:val="20"/>
                  <w:szCs w:val="20"/>
                </w:rPr>
                <w:t>75 m</w:t>
              </w:r>
            </w:smartTag>
          </w:p>
        </w:tc>
        <w:tc>
          <w:tcPr>
            <w:tcW w:w="332" w:type="pct"/>
            <w:shd w:val="clear" w:color="auto" w:fill="auto"/>
            <w:tcMar>
              <w:top w:w="57" w:type="dxa"/>
              <w:left w:w="0" w:type="dxa"/>
              <w:bottom w:w="57" w:type="dxa"/>
              <w:right w:w="0" w:type="dxa"/>
            </w:tcMar>
            <w:vAlign w:val="center"/>
          </w:tcPr>
          <w:p w14:paraId="1CED4BEF"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9E064B">
                <w:rPr>
                  <w:rFonts w:ascii="Arial Narrow" w:hAnsi="Arial Narrow" w:cstheme="minorHAnsi"/>
                  <w:sz w:val="20"/>
                  <w:szCs w:val="20"/>
                </w:rPr>
                <w:t>100 m</w:t>
              </w:r>
            </w:smartTag>
          </w:p>
        </w:tc>
        <w:tc>
          <w:tcPr>
            <w:tcW w:w="377" w:type="pct"/>
            <w:shd w:val="clear" w:color="auto" w:fill="auto"/>
            <w:tcMar>
              <w:top w:w="57" w:type="dxa"/>
              <w:left w:w="0" w:type="dxa"/>
              <w:bottom w:w="57" w:type="dxa"/>
              <w:right w:w="0" w:type="dxa"/>
            </w:tcMar>
            <w:vAlign w:val="center"/>
          </w:tcPr>
          <w:p w14:paraId="5686C087"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77" w:type="pct"/>
            <w:shd w:val="clear" w:color="auto" w:fill="auto"/>
            <w:tcMar>
              <w:top w:w="57" w:type="dxa"/>
              <w:left w:w="0" w:type="dxa"/>
              <w:bottom w:w="57" w:type="dxa"/>
              <w:right w:w="0" w:type="dxa"/>
            </w:tcMar>
            <w:vAlign w:val="center"/>
          </w:tcPr>
          <w:p w14:paraId="0A94D76F"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75 m"/>
              </w:smartTagPr>
              <w:r w:rsidRPr="009E064B">
                <w:rPr>
                  <w:rFonts w:ascii="Arial Narrow" w:hAnsi="Arial Narrow" w:cstheme="minorHAnsi"/>
                  <w:sz w:val="20"/>
                  <w:szCs w:val="20"/>
                </w:rPr>
                <w:t>75 m</w:t>
              </w:r>
            </w:smartTag>
          </w:p>
        </w:tc>
        <w:tc>
          <w:tcPr>
            <w:tcW w:w="378" w:type="pct"/>
            <w:shd w:val="clear" w:color="auto" w:fill="auto"/>
            <w:tcMar>
              <w:top w:w="57" w:type="dxa"/>
              <w:left w:w="0" w:type="dxa"/>
              <w:bottom w:w="57" w:type="dxa"/>
              <w:right w:w="0" w:type="dxa"/>
            </w:tcMar>
            <w:vAlign w:val="center"/>
          </w:tcPr>
          <w:p w14:paraId="0B196F61"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9E064B">
                <w:rPr>
                  <w:rFonts w:ascii="Arial Narrow" w:hAnsi="Arial Narrow" w:cstheme="minorHAnsi"/>
                  <w:sz w:val="20"/>
                  <w:szCs w:val="20"/>
                </w:rPr>
                <w:t>100 m</w:t>
              </w:r>
            </w:smartTag>
          </w:p>
        </w:tc>
        <w:tc>
          <w:tcPr>
            <w:tcW w:w="388" w:type="pct"/>
            <w:shd w:val="clear" w:color="auto" w:fill="auto"/>
            <w:tcMar>
              <w:top w:w="57" w:type="dxa"/>
              <w:left w:w="0" w:type="dxa"/>
              <w:bottom w:w="57" w:type="dxa"/>
              <w:right w:w="0" w:type="dxa"/>
            </w:tcMar>
            <w:vAlign w:val="center"/>
          </w:tcPr>
          <w:p w14:paraId="69D29C99"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4FCE9AE8"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9E064B">
                <w:rPr>
                  <w:rFonts w:ascii="Arial Narrow" w:hAnsi="Arial Narrow" w:cstheme="minorHAnsi"/>
                  <w:sz w:val="20"/>
                  <w:szCs w:val="20"/>
                </w:rPr>
                <w:t>100 m</w:t>
              </w:r>
            </w:smartTag>
          </w:p>
        </w:tc>
        <w:tc>
          <w:tcPr>
            <w:tcW w:w="384" w:type="pct"/>
            <w:shd w:val="clear" w:color="auto" w:fill="auto"/>
            <w:tcMar>
              <w:top w:w="57" w:type="dxa"/>
              <w:left w:w="0" w:type="dxa"/>
              <w:bottom w:w="57" w:type="dxa"/>
              <w:right w:w="0" w:type="dxa"/>
            </w:tcMar>
            <w:vAlign w:val="center"/>
          </w:tcPr>
          <w:p w14:paraId="4419A3C0"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100 m"/>
              </w:smartTagPr>
              <w:r w:rsidRPr="009E064B">
                <w:rPr>
                  <w:rFonts w:ascii="Arial Narrow" w:hAnsi="Arial Narrow" w:cstheme="minorHAnsi"/>
                  <w:sz w:val="20"/>
                  <w:szCs w:val="20"/>
                </w:rPr>
                <w:t>100 m</w:t>
              </w:r>
            </w:smartTag>
          </w:p>
        </w:tc>
      </w:tr>
      <w:tr w:rsidR="00C2323F" w:rsidRPr="009E064B" w14:paraId="5CF729AC" w14:textId="77777777" w:rsidTr="00C2323F">
        <w:trPr>
          <w:jc w:val="center"/>
        </w:trPr>
        <w:tc>
          <w:tcPr>
            <w:tcW w:w="5000" w:type="pct"/>
            <w:gridSpan w:val="11"/>
            <w:shd w:val="clear" w:color="auto" w:fill="auto"/>
            <w:tcMar>
              <w:top w:w="57" w:type="dxa"/>
              <w:left w:w="28" w:type="dxa"/>
              <w:bottom w:w="57" w:type="dxa"/>
              <w:right w:w="28" w:type="dxa"/>
            </w:tcMar>
            <w:vAlign w:val="center"/>
          </w:tcPr>
          <w:p w14:paraId="7BE00A46" w14:textId="15216199" w:rsidR="00C2323F" w:rsidRPr="009E064B" w:rsidRDefault="00C2323F" w:rsidP="00C2323F">
            <w:pPr>
              <w:spacing w:after="0"/>
              <w:ind w:left="57"/>
              <w:jc w:val="left"/>
              <w:rPr>
                <w:rFonts w:ascii="Arial Narrow" w:hAnsi="Arial Narrow" w:cstheme="minorHAnsi"/>
                <w:b/>
                <w:sz w:val="20"/>
                <w:szCs w:val="20"/>
              </w:rPr>
            </w:pPr>
            <w:r w:rsidRPr="009E064B">
              <w:rPr>
                <w:rFonts w:ascii="Arial Narrow" w:hAnsi="Arial Narrow" w:cstheme="minorHAnsi"/>
                <w:b/>
                <w:sz w:val="20"/>
                <w:szCs w:val="20"/>
              </w:rPr>
              <w:t xml:space="preserve">POWIERZCHNIA POZIOMA </w:t>
            </w:r>
            <w:r w:rsidRPr="009E064B">
              <w:rPr>
                <w:rFonts w:ascii="Arial Narrow" w:hAnsi="Arial Narrow" w:cstheme="minorHAnsi"/>
                <w:b/>
                <w:sz w:val="20"/>
                <w:szCs w:val="20"/>
              </w:rPr>
              <w:br/>
              <w:t>WEWNĘTRZNA</w:t>
            </w:r>
          </w:p>
        </w:tc>
      </w:tr>
      <w:tr w:rsidR="00D24C00" w:rsidRPr="009E064B" w14:paraId="3FD18849"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11068A46"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Wysokość</w:t>
            </w:r>
          </w:p>
        </w:tc>
        <w:tc>
          <w:tcPr>
            <w:tcW w:w="332" w:type="pct"/>
            <w:shd w:val="clear" w:color="auto" w:fill="auto"/>
            <w:tcMar>
              <w:top w:w="57" w:type="dxa"/>
              <w:left w:w="0" w:type="dxa"/>
              <w:bottom w:w="57" w:type="dxa"/>
              <w:right w:w="0" w:type="dxa"/>
            </w:tcMar>
            <w:vAlign w:val="center"/>
          </w:tcPr>
          <w:p w14:paraId="42F34A4A"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0A75CED4"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648C5B9A"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32" w:type="pct"/>
            <w:shd w:val="clear" w:color="auto" w:fill="auto"/>
            <w:tcMar>
              <w:top w:w="57" w:type="dxa"/>
              <w:left w:w="0" w:type="dxa"/>
              <w:bottom w:w="57" w:type="dxa"/>
              <w:right w:w="0" w:type="dxa"/>
            </w:tcMar>
            <w:vAlign w:val="center"/>
          </w:tcPr>
          <w:p w14:paraId="77A312CF"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77" w:type="pct"/>
            <w:shd w:val="clear" w:color="auto" w:fill="auto"/>
            <w:tcMar>
              <w:top w:w="57" w:type="dxa"/>
              <w:left w:w="0" w:type="dxa"/>
              <w:bottom w:w="57" w:type="dxa"/>
              <w:right w:w="0" w:type="dxa"/>
            </w:tcMar>
            <w:vAlign w:val="center"/>
          </w:tcPr>
          <w:p w14:paraId="461596AB"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77" w:type="pct"/>
            <w:shd w:val="clear" w:color="auto" w:fill="auto"/>
            <w:tcMar>
              <w:top w:w="57" w:type="dxa"/>
              <w:left w:w="0" w:type="dxa"/>
              <w:bottom w:w="57" w:type="dxa"/>
              <w:right w:w="0" w:type="dxa"/>
            </w:tcMar>
            <w:vAlign w:val="center"/>
          </w:tcPr>
          <w:p w14:paraId="4542078C"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78" w:type="pct"/>
            <w:shd w:val="clear" w:color="auto" w:fill="auto"/>
            <w:tcMar>
              <w:top w:w="57" w:type="dxa"/>
              <w:left w:w="0" w:type="dxa"/>
              <w:bottom w:w="57" w:type="dxa"/>
              <w:right w:w="0" w:type="dxa"/>
            </w:tcMar>
            <w:vAlign w:val="center"/>
          </w:tcPr>
          <w:p w14:paraId="11284F24"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88" w:type="pct"/>
            <w:shd w:val="clear" w:color="auto" w:fill="auto"/>
            <w:tcMar>
              <w:top w:w="57" w:type="dxa"/>
              <w:left w:w="0" w:type="dxa"/>
              <w:bottom w:w="57" w:type="dxa"/>
              <w:right w:w="0" w:type="dxa"/>
            </w:tcMar>
            <w:vAlign w:val="center"/>
          </w:tcPr>
          <w:p w14:paraId="5270E448"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88" w:type="pct"/>
            <w:shd w:val="clear" w:color="auto" w:fill="auto"/>
            <w:tcMar>
              <w:top w:w="57" w:type="dxa"/>
              <w:left w:w="0" w:type="dxa"/>
              <w:bottom w:w="57" w:type="dxa"/>
              <w:right w:w="0" w:type="dxa"/>
            </w:tcMar>
            <w:vAlign w:val="center"/>
          </w:tcPr>
          <w:p w14:paraId="4FF26D94"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c>
          <w:tcPr>
            <w:tcW w:w="384" w:type="pct"/>
            <w:shd w:val="clear" w:color="auto" w:fill="auto"/>
            <w:tcMar>
              <w:top w:w="57" w:type="dxa"/>
              <w:left w:w="0" w:type="dxa"/>
              <w:bottom w:w="57" w:type="dxa"/>
              <w:right w:w="0" w:type="dxa"/>
            </w:tcMar>
            <w:vAlign w:val="center"/>
          </w:tcPr>
          <w:p w14:paraId="2262B549" w14:textId="77777777" w:rsidR="00C36D76" w:rsidRPr="009E064B" w:rsidRDefault="00C36D76" w:rsidP="00322505">
            <w:pPr>
              <w:spacing w:before="40" w:after="40"/>
              <w:jc w:val="center"/>
              <w:rPr>
                <w:rFonts w:ascii="Arial Narrow" w:hAnsi="Arial Narrow" w:cstheme="minorHAnsi"/>
                <w:sz w:val="20"/>
                <w:szCs w:val="20"/>
              </w:rPr>
            </w:pPr>
            <w:smartTag w:uri="urn:schemas-microsoft-com:office:smarttags" w:element="metricconverter">
              <w:smartTagPr>
                <w:attr w:name="ProductID" w:val="45 m"/>
              </w:smartTagPr>
              <w:r w:rsidRPr="009E064B">
                <w:rPr>
                  <w:rFonts w:ascii="Arial Narrow" w:hAnsi="Arial Narrow" w:cstheme="minorHAnsi"/>
                  <w:sz w:val="20"/>
                  <w:szCs w:val="20"/>
                </w:rPr>
                <w:t>45 m</w:t>
              </w:r>
            </w:smartTag>
          </w:p>
        </w:tc>
      </w:tr>
      <w:tr w:rsidR="00D24C00" w:rsidRPr="009E064B" w14:paraId="34BFCBF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4663F65"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Promień</w:t>
            </w:r>
          </w:p>
        </w:tc>
        <w:tc>
          <w:tcPr>
            <w:tcW w:w="332" w:type="pct"/>
            <w:shd w:val="clear" w:color="auto" w:fill="auto"/>
            <w:tcMar>
              <w:top w:w="57" w:type="dxa"/>
              <w:left w:w="0" w:type="dxa"/>
              <w:bottom w:w="57" w:type="dxa"/>
              <w:right w:w="0" w:type="dxa"/>
            </w:tcMar>
            <w:vAlign w:val="center"/>
          </w:tcPr>
          <w:p w14:paraId="419AEE97"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2000 m</w:t>
            </w:r>
          </w:p>
        </w:tc>
        <w:tc>
          <w:tcPr>
            <w:tcW w:w="332" w:type="pct"/>
            <w:shd w:val="clear" w:color="auto" w:fill="auto"/>
            <w:tcMar>
              <w:top w:w="57" w:type="dxa"/>
              <w:left w:w="0" w:type="dxa"/>
              <w:bottom w:w="57" w:type="dxa"/>
              <w:right w:w="0" w:type="dxa"/>
            </w:tcMar>
            <w:vAlign w:val="center"/>
          </w:tcPr>
          <w:p w14:paraId="6FBFFC15"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2500 m</w:t>
            </w:r>
          </w:p>
        </w:tc>
        <w:tc>
          <w:tcPr>
            <w:tcW w:w="332" w:type="pct"/>
            <w:shd w:val="clear" w:color="auto" w:fill="auto"/>
            <w:tcMar>
              <w:top w:w="57" w:type="dxa"/>
              <w:left w:w="0" w:type="dxa"/>
              <w:bottom w:w="57" w:type="dxa"/>
              <w:right w:w="0" w:type="dxa"/>
            </w:tcMar>
            <w:vAlign w:val="center"/>
          </w:tcPr>
          <w:p w14:paraId="33369AAE"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 m</w:t>
            </w:r>
          </w:p>
        </w:tc>
        <w:tc>
          <w:tcPr>
            <w:tcW w:w="332" w:type="pct"/>
            <w:shd w:val="clear" w:color="auto" w:fill="auto"/>
            <w:tcMar>
              <w:top w:w="57" w:type="dxa"/>
              <w:left w:w="0" w:type="dxa"/>
              <w:bottom w:w="57" w:type="dxa"/>
              <w:right w:w="0" w:type="dxa"/>
            </w:tcMar>
            <w:vAlign w:val="center"/>
          </w:tcPr>
          <w:p w14:paraId="50D8D229" w14:textId="6046DB1B" w:rsidR="00C36D76" w:rsidRPr="009E064B" w:rsidRDefault="00CB684C"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4000 </w:t>
            </w:r>
            <w:r w:rsidR="00C36D76" w:rsidRPr="009E064B">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29035DA4"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3500 m</w:t>
            </w:r>
          </w:p>
        </w:tc>
        <w:tc>
          <w:tcPr>
            <w:tcW w:w="377" w:type="pct"/>
            <w:shd w:val="clear" w:color="auto" w:fill="auto"/>
            <w:tcMar>
              <w:top w:w="57" w:type="dxa"/>
              <w:left w:w="0" w:type="dxa"/>
              <w:bottom w:w="57" w:type="dxa"/>
              <w:right w:w="0" w:type="dxa"/>
            </w:tcMar>
            <w:vAlign w:val="center"/>
          </w:tcPr>
          <w:p w14:paraId="012C21E4" w14:textId="2D1841F9" w:rsidR="00C36D76" w:rsidRPr="009E064B" w:rsidRDefault="00CB684C"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w:t>
            </w:r>
            <w:r w:rsidR="00C36D76" w:rsidRPr="009E064B">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151CDBFB"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 m</w:t>
            </w:r>
          </w:p>
        </w:tc>
        <w:tc>
          <w:tcPr>
            <w:tcW w:w="388" w:type="pct"/>
            <w:shd w:val="clear" w:color="auto" w:fill="auto"/>
            <w:tcMar>
              <w:top w:w="57" w:type="dxa"/>
              <w:left w:w="0" w:type="dxa"/>
              <w:bottom w:w="57" w:type="dxa"/>
              <w:right w:w="0" w:type="dxa"/>
            </w:tcMar>
            <w:vAlign w:val="center"/>
          </w:tcPr>
          <w:p w14:paraId="0F2FEFD9"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3500 m</w:t>
            </w:r>
          </w:p>
        </w:tc>
        <w:tc>
          <w:tcPr>
            <w:tcW w:w="388" w:type="pct"/>
            <w:shd w:val="clear" w:color="auto" w:fill="auto"/>
            <w:tcMar>
              <w:top w:w="57" w:type="dxa"/>
              <w:left w:w="0" w:type="dxa"/>
              <w:bottom w:w="57" w:type="dxa"/>
              <w:right w:w="0" w:type="dxa"/>
            </w:tcMar>
            <w:vAlign w:val="center"/>
          </w:tcPr>
          <w:p w14:paraId="3D1117A2"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 m</w:t>
            </w:r>
          </w:p>
        </w:tc>
        <w:tc>
          <w:tcPr>
            <w:tcW w:w="384" w:type="pct"/>
            <w:shd w:val="clear" w:color="auto" w:fill="auto"/>
            <w:tcMar>
              <w:top w:w="57" w:type="dxa"/>
              <w:left w:w="0" w:type="dxa"/>
              <w:bottom w:w="57" w:type="dxa"/>
              <w:right w:w="0" w:type="dxa"/>
            </w:tcMar>
            <w:vAlign w:val="center"/>
          </w:tcPr>
          <w:p w14:paraId="53C48219" w14:textId="77777777" w:rsidR="00C36D76" w:rsidRPr="009E064B" w:rsidRDefault="00C36D76" w:rsidP="00322505">
            <w:pPr>
              <w:spacing w:before="40" w:after="40"/>
              <w:jc w:val="center"/>
              <w:rPr>
                <w:rFonts w:ascii="Arial Narrow" w:hAnsi="Arial Narrow" w:cstheme="minorHAnsi"/>
                <w:sz w:val="20"/>
                <w:szCs w:val="20"/>
              </w:rPr>
            </w:pPr>
            <w:r w:rsidRPr="009E064B">
              <w:rPr>
                <w:rFonts w:ascii="Arial Narrow" w:hAnsi="Arial Narrow" w:cstheme="minorHAnsi"/>
                <w:sz w:val="20"/>
                <w:szCs w:val="20"/>
              </w:rPr>
              <w:t>4000 m</w:t>
            </w:r>
          </w:p>
        </w:tc>
      </w:tr>
      <w:tr w:rsidR="00C2323F" w:rsidRPr="009E064B" w14:paraId="29E5F5D8" w14:textId="77777777" w:rsidTr="00C2323F">
        <w:trPr>
          <w:trHeight w:val="284"/>
          <w:jc w:val="center"/>
        </w:trPr>
        <w:tc>
          <w:tcPr>
            <w:tcW w:w="5000" w:type="pct"/>
            <w:gridSpan w:val="11"/>
            <w:shd w:val="clear" w:color="auto" w:fill="auto"/>
            <w:tcMar>
              <w:top w:w="57" w:type="dxa"/>
              <w:left w:w="28" w:type="dxa"/>
              <w:bottom w:w="57" w:type="dxa"/>
              <w:right w:w="28" w:type="dxa"/>
            </w:tcMar>
            <w:vAlign w:val="center"/>
          </w:tcPr>
          <w:p w14:paraId="4870C943" w14:textId="63854E24" w:rsidR="00C2323F" w:rsidRPr="009E064B" w:rsidRDefault="00C2323F" w:rsidP="00C2323F">
            <w:pPr>
              <w:spacing w:after="0"/>
              <w:ind w:left="57"/>
              <w:jc w:val="left"/>
              <w:rPr>
                <w:rFonts w:ascii="Arial Narrow" w:hAnsi="Arial Narrow" w:cstheme="minorHAnsi"/>
                <w:b/>
                <w:sz w:val="20"/>
                <w:szCs w:val="20"/>
              </w:rPr>
            </w:pPr>
            <w:r w:rsidRPr="009E064B">
              <w:rPr>
                <w:rFonts w:ascii="Arial Narrow" w:hAnsi="Arial Narrow" w:cstheme="minorHAnsi"/>
                <w:b/>
                <w:sz w:val="20"/>
                <w:szCs w:val="20"/>
              </w:rPr>
              <w:t xml:space="preserve">POWIERZCHNIA PODEJŚCIA </w:t>
            </w:r>
            <w:r w:rsidRPr="009E064B">
              <w:rPr>
                <w:rFonts w:ascii="Arial Narrow" w:hAnsi="Arial Narrow" w:cstheme="minorHAnsi"/>
                <w:b/>
                <w:sz w:val="20"/>
                <w:szCs w:val="20"/>
              </w:rPr>
              <w:br/>
              <w:t>WEWNĘTRZNA</w:t>
            </w:r>
          </w:p>
        </w:tc>
      </w:tr>
      <w:tr w:rsidR="00D24C00" w:rsidRPr="009E064B" w14:paraId="265FC5F6"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6152586"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Szerokość</w:t>
            </w:r>
          </w:p>
        </w:tc>
        <w:tc>
          <w:tcPr>
            <w:tcW w:w="332" w:type="pct"/>
            <w:shd w:val="clear" w:color="auto" w:fill="auto"/>
            <w:tcMar>
              <w:top w:w="57" w:type="dxa"/>
              <w:left w:w="0" w:type="dxa"/>
              <w:bottom w:w="57" w:type="dxa"/>
              <w:right w:w="0" w:type="dxa"/>
            </w:tcMar>
            <w:vAlign w:val="center"/>
          </w:tcPr>
          <w:p w14:paraId="244D7F8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C21ABE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2CD1C5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1C59B8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4EDA84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C5C56E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0D7F740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D91FCCA"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 m"/>
              </w:smartTagPr>
              <w:r w:rsidRPr="009E064B">
                <w:rPr>
                  <w:rFonts w:ascii="Arial Narrow" w:hAnsi="Arial Narrow" w:cstheme="minorHAnsi"/>
                  <w:sz w:val="20"/>
                  <w:szCs w:val="20"/>
                </w:rPr>
                <w:t>90 m</w:t>
              </w:r>
            </w:smartTag>
          </w:p>
        </w:tc>
        <w:tc>
          <w:tcPr>
            <w:tcW w:w="388" w:type="pct"/>
            <w:shd w:val="clear" w:color="auto" w:fill="auto"/>
            <w:tcMar>
              <w:top w:w="57" w:type="dxa"/>
              <w:left w:w="0" w:type="dxa"/>
              <w:bottom w:w="57" w:type="dxa"/>
              <w:right w:w="0" w:type="dxa"/>
            </w:tcMar>
            <w:vAlign w:val="center"/>
          </w:tcPr>
          <w:p w14:paraId="149BB49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120 m</w:t>
            </w:r>
            <w:r w:rsidRPr="009E064B">
              <w:rPr>
                <w:rFonts w:ascii="Arial Narrow" w:hAnsi="Arial Narrow" w:cstheme="minorHAnsi"/>
                <w:sz w:val="20"/>
                <w:szCs w:val="20"/>
                <w:vertAlign w:val="superscript"/>
              </w:rPr>
              <w:t>e</w:t>
            </w:r>
          </w:p>
        </w:tc>
        <w:tc>
          <w:tcPr>
            <w:tcW w:w="384" w:type="pct"/>
            <w:shd w:val="clear" w:color="auto" w:fill="auto"/>
            <w:tcMar>
              <w:top w:w="57" w:type="dxa"/>
              <w:left w:w="0" w:type="dxa"/>
              <w:bottom w:w="57" w:type="dxa"/>
              <w:right w:w="0" w:type="dxa"/>
            </w:tcMar>
            <w:vAlign w:val="center"/>
          </w:tcPr>
          <w:p w14:paraId="346BCB3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120 m</w:t>
            </w:r>
            <w:r w:rsidRPr="009E064B">
              <w:rPr>
                <w:rFonts w:ascii="Arial Narrow" w:hAnsi="Arial Narrow" w:cstheme="minorHAnsi"/>
                <w:sz w:val="20"/>
                <w:szCs w:val="20"/>
                <w:vertAlign w:val="superscript"/>
              </w:rPr>
              <w:t>e</w:t>
            </w:r>
          </w:p>
        </w:tc>
      </w:tr>
      <w:tr w:rsidR="00D24C00" w:rsidRPr="009E064B" w14:paraId="619CE6C7"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33A450F"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2D78305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6E4001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3E3E41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8B33F9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F9C7FB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1DD72D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278C762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29CB4C5"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60CFBFCF"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84" w:type="pct"/>
            <w:shd w:val="clear" w:color="auto" w:fill="auto"/>
            <w:tcMar>
              <w:top w:w="57" w:type="dxa"/>
              <w:left w:w="0" w:type="dxa"/>
              <w:bottom w:w="57" w:type="dxa"/>
              <w:right w:w="0" w:type="dxa"/>
            </w:tcMar>
            <w:vAlign w:val="center"/>
          </w:tcPr>
          <w:p w14:paraId="1CFE44AA"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r>
      <w:tr w:rsidR="00D24C00" w:rsidRPr="009E064B" w14:paraId="055F0A6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B4E42E6"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64694CE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6B7B0C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00595F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157E0A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351528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31D827A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4C75783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1910A27"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9E064B">
                <w:rPr>
                  <w:rFonts w:ascii="Arial Narrow" w:hAnsi="Arial Narrow" w:cstheme="minorHAnsi"/>
                  <w:sz w:val="20"/>
                  <w:szCs w:val="20"/>
                </w:rPr>
                <w:t>900 m</w:t>
              </w:r>
            </w:smartTag>
          </w:p>
        </w:tc>
        <w:tc>
          <w:tcPr>
            <w:tcW w:w="388" w:type="pct"/>
            <w:shd w:val="clear" w:color="auto" w:fill="auto"/>
            <w:tcMar>
              <w:top w:w="57" w:type="dxa"/>
              <w:left w:w="0" w:type="dxa"/>
              <w:bottom w:w="57" w:type="dxa"/>
              <w:right w:w="0" w:type="dxa"/>
            </w:tcMar>
            <w:vAlign w:val="center"/>
          </w:tcPr>
          <w:p w14:paraId="443F5AE7"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9E064B">
                <w:rPr>
                  <w:rFonts w:ascii="Arial Narrow" w:hAnsi="Arial Narrow" w:cstheme="minorHAnsi"/>
                  <w:sz w:val="20"/>
                  <w:szCs w:val="20"/>
                </w:rPr>
                <w:t>900 m</w:t>
              </w:r>
            </w:smartTag>
          </w:p>
        </w:tc>
        <w:tc>
          <w:tcPr>
            <w:tcW w:w="384" w:type="pct"/>
            <w:shd w:val="clear" w:color="auto" w:fill="auto"/>
            <w:tcMar>
              <w:top w:w="57" w:type="dxa"/>
              <w:left w:w="0" w:type="dxa"/>
              <w:bottom w:w="57" w:type="dxa"/>
              <w:right w:w="0" w:type="dxa"/>
            </w:tcMar>
            <w:vAlign w:val="center"/>
          </w:tcPr>
          <w:p w14:paraId="4D8F1680"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0 m"/>
              </w:smartTagPr>
              <w:r w:rsidRPr="009E064B">
                <w:rPr>
                  <w:rFonts w:ascii="Arial Narrow" w:hAnsi="Arial Narrow" w:cstheme="minorHAnsi"/>
                  <w:sz w:val="20"/>
                  <w:szCs w:val="20"/>
                </w:rPr>
                <w:t>900 m</w:t>
              </w:r>
            </w:smartTag>
          </w:p>
        </w:tc>
      </w:tr>
      <w:tr w:rsidR="00D24C00" w:rsidRPr="009E064B" w14:paraId="5C273E30"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A1E424C"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65E21847" w14:textId="77777777" w:rsidR="00C36D76" w:rsidRPr="009E064B"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2DCA3E40" w14:textId="77777777" w:rsidR="00C36D76" w:rsidRPr="009E064B"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42C2EAA7" w14:textId="77777777" w:rsidR="00C36D76" w:rsidRPr="009E064B" w:rsidRDefault="00C36D76" w:rsidP="00B06A9A">
            <w:pPr>
              <w:spacing w:after="0"/>
              <w:jc w:val="center"/>
              <w:rPr>
                <w:rFonts w:ascii="Arial Narrow" w:hAnsi="Arial Narrow" w:cstheme="minorHAnsi"/>
                <w:sz w:val="20"/>
                <w:szCs w:val="20"/>
              </w:rPr>
            </w:pPr>
          </w:p>
        </w:tc>
        <w:tc>
          <w:tcPr>
            <w:tcW w:w="332" w:type="pct"/>
            <w:shd w:val="clear" w:color="auto" w:fill="auto"/>
            <w:tcMar>
              <w:top w:w="57" w:type="dxa"/>
              <w:left w:w="0" w:type="dxa"/>
              <w:bottom w:w="57" w:type="dxa"/>
              <w:right w:w="0" w:type="dxa"/>
            </w:tcMar>
            <w:vAlign w:val="center"/>
          </w:tcPr>
          <w:p w14:paraId="4AB0D47F" w14:textId="77777777" w:rsidR="00C36D76" w:rsidRPr="009E064B" w:rsidRDefault="00C36D76" w:rsidP="00B06A9A">
            <w:pPr>
              <w:spacing w:after="0"/>
              <w:jc w:val="center"/>
              <w:rPr>
                <w:rFonts w:ascii="Arial Narrow" w:hAnsi="Arial Narrow" w:cstheme="minorHAnsi"/>
                <w:sz w:val="20"/>
                <w:szCs w:val="20"/>
              </w:rPr>
            </w:pPr>
          </w:p>
        </w:tc>
        <w:tc>
          <w:tcPr>
            <w:tcW w:w="377" w:type="pct"/>
            <w:shd w:val="clear" w:color="auto" w:fill="auto"/>
            <w:tcMar>
              <w:top w:w="57" w:type="dxa"/>
              <w:left w:w="0" w:type="dxa"/>
              <w:bottom w:w="57" w:type="dxa"/>
              <w:right w:w="0" w:type="dxa"/>
            </w:tcMar>
            <w:vAlign w:val="center"/>
          </w:tcPr>
          <w:p w14:paraId="7CD4DF14" w14:textId="77777777" w:rsidR="00C36D76" w:rsidRPr="009E064B" w:rsidRDefault="00C36D76" w:rsidP="00B06A9A">
            <w:pPr>
              <w:spacing w:after="0"/>
              <w:jc w:val="center"/>
              <w:rPr>
                <w:rFonts w:ascii="Arial Narrow" w:hAnsi="Arial Narrow" w:cstheme="minorHAnsi"/>
                <w:sz w:val="20"/>
                <w:szCs w:val="20"/>
              </w:rPr>
            </w:pPr>
          </w:p>
        </w:tc>
        <w:tc>
          <w:tcPr>
            <w:tcW w:w="377" w:type="pct"/>
            <w:shd w:val="clear" w:color="auto" w:fill="auto"/>
            <w:tcMar>
              <w:top w:w="57" w:type="dxa"/>
              <w:left w:w="0" w:type="dxa"/>
              <w:bottom w:w="57" w:type="dxa"/>
              <w:right w:w="0" w:type="dxa"/>
            </w:tcMar>
            <w:vAlign w:val="center"/>
          </w:tcPr>
          <w:p w14:paraId="0D7F0565" w14:textId="77777777" w:rsidR="00C36D76" w:rsidRPr="009E064B" w:rsidRDefault="00C36D76" w:rsidP="00B06A9A">
            <w:pPr>
              <w:spacing w:after="0"/>
              <w:jc w:val="center"/>
              <w:rPr>
                <w:rFonts w:ascii="Arial Narrow" w:hAnsi="Arial Narrow" w:cstheme="minorHAnsi"/>
                <w:sz w:val="20"/>
                <w:szCs w:val="20"/>
              </w:rPr>
            </w:pPr>
          </w:p>
        </w:tc>
        <w:tc>
          <w:tcPr>
            <w:tcW w:w="378" w:type="pct"/>
            <w:shd w:val="clear" w:color="auto" w:fill="auto"/>
            <w:tcMar>
              <w:top w:w="57" w:type="dxa"/>
              <w:left w:w="0" w:type="dxa"/>
              <w:bottom w:w="57" w:type="dxa"/>
              <w:right w:w="0" w:type="dxa"/>
            </w:tcMar>
            <w:vAlign w:val="center"/>
          </w:tcPr>
          <w:p w14:paraId="5CFEA25F" w14:textId="77777777" w:rsidR="00C36D76" w:rsidRPr="009E064B" w:rsidRDefault="00C36D76" w:rsidP="00B06A9A">
            <w:pPr>
              <w:spacing w:after="0"/>
              <w:jc w:val="center"/>
              <w:rPr>
                <w:rFonts w:ascii="Arial Narrow" w:hAnsi="Arial Narrow" w:cstheme="minorHAnsi"/>
                <w:sz w:val="20"/>
                <w:szCs w:val="20"/>
              </w:rPr>
            </w:pPr>
          </w:p>
        </w:tc>
        <w:tc>
          <w:tcPr>
            <w:tcW w:w="388" w:type="pct"/>
            <w:shd w:val="clear" w:color="auto" w:fill="auto"/>
            <w:tcMar>
              <w:top w:w="57" w:type="dxa"/>
              <w:left w:w="0" w:type="dxa"/>
              <w:bottom w:w="57" w:type="dxa"/>
              <w:right w:w="0" w:type="dxa"/>
            </w:tcMar>
            <w:vAlign w:val="center"/>
          </w:tcPr>
          <w:p w14:paraId="2FA7F69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59AB13A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c>
          <w:tcPr>
            <w:tcW w:w="384" w:type="pct"/>
            <w:shd w:val="clear" w:color="auto" w:fill="auto"/>
            <w:tcMar>
              <w:top w:w="57" w:type="dxa"/>
              <w:left w:w="0" w:type="dxa"/>
              <w:bottom w:w="57" w:type="dxa"/>
              <w:right w:w="0" w:type="dxa"/>
            </w:tcMar>
            <w:vAlign w:val="center"/>
          </w:tcPr>
          <w:p w14:paraId="131D0A7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r>
      <w:tr w:rsidR="00D24C00" w:rsidRPr="009E064B" w14:paraId="7F180AB6"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688991CD" w14:textId="77777777" w:rsidR="00C36D76" w:rsidRPr="009E064B" w:rsidRDefault="00C36D76" w:rsidP="00C2323F">
            <w:pPr>
              <w:spacing w:after="0"/>
              <w:ind w:left="57"/>
              <w:jc w:val="left"/>
              <w:rPr>
                <w:rFonts w:ascii="Arial Narrow" w:hAnsi="Arial Narrow" w:cstheme="minorHAnsi"/>
                <w:b/>
                <w:sz w:val="20"/>
                <w:szCs w:val="20"/>
              </w:rPr>
            </w:pPr>
            <w:r w:rsidRPr="009E064B">
              <w:rPr>
                <w:rFonts w:ascii="Arial Narrow" w:hAnsi="Arial Narrow" w:cstheme="minorHAnsi"/>
                <w:b/>
                <w:sz w:val="20"/>
                <w:szCs w:val="20"/>
              </w:rPr>
              <w:t>POWIERZCHNIA PODEJŚCIA</w:t>
            </w:r>
          </w:p>
        </w:tc>
        <w:tc>
          <w:tcPr>
            <w:tcW w:w="332" w:type="pct"/>
            <w:tcBorders>
              <w:left w:val="nil"/>
              <w:right w:val="nil"/>
            </w:tcBorders>
            <w:shd w:val="clear" w:color="auto" w:fill="auto"/>
            <w:tcMar>
              <w:top w:w="57" w:type="dxa"/>
              <w:left w:w="0" w:type="dxa"/>
              <w:bottom w:w="57" w:type="dxa"/>
              <w:right w:w="0" w:type="dxa"/>
            </w:tcMar>
            <w:vAlign w:val="center"/>
          </w:tcPr>
          <w:p w14:paraId="00AB4190"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44FEEDDB"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2F7BB69"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74DD69B5"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D2D384B"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7AD5899B" w14:textId="77777777" w:rsidR="00C36D76" w:rsidRPr="009E064B"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D0D02F5"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27375064"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1013C8A6" w14:textId="77777777" w:rsidR="00C36D76" w:rsidRPr="009E064B"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6205443F" w14:textId="77777777" w:rsidR="00C36D76" w:rsidRPr="009E064B" w:rsidRDefault="00C36D76" w:rsidP="00B06A9A">
            <w:pPr>
              <w:spacing w:after="0"/>
              <w:jc w:val="center"/>
              <w:rPr>
                <w:rFonts w:ascii="Arial Narrow" w:hAnsi="Arial Narrow" w:cstheme="minorHAnsi"/>
                <w:sz w:val="20"/>
                <w:szCs w:val="20"/>
              </w:rPr>
            </w:pPr>
          </w:p>
        </w:tc>
      </w:tr>
      <w:tr w:rsidR="00D24C00" w:rsidRPr="009E064B" w14:paraId="071FD909"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85FE28D" w14:textId="77777777" w:rsidR="00C36D76" w:rsidRPr="005669D1" w:rsidRDefault="00C36D76" w:rsidP="00C2323F">
            <w:pPr>
              <w:spacing w:after="0"/>
              <w:ind w:left="111"/>
              <w:jc w:val="left"/>
              <w:rPr>
                <w:rFonts w:ascii="Arial" w:hAnsi="Arial" w:cs="Arial"/>
                <w:color w:val="000000" w:themeColor="text1"/>
                <w:sz w:val="20"/>
                <w:szCs w:val="20"/>
              </w:rPr>
            </w:pPr>
            <w:r w:rsidRPr="005669D1">
              <w:rPr>
                <w:rFonts w:ascii="Arial" w:hAnsi="Arial" w:cs="Arial"/>
                <w:color w:val="000000" w:themeColor="text1"/>
                <w:sz w:val="20"/>
                <w:szCs w:val="20"/>
              </w:rPr>
              <w:t>Długość krawędzi wewnętrznej</w:t>
            </w:r>
          </w:p>
        </w:tc>
        <w:tc>
          <w:tcPr>
            <w:tcW w:w="332" w:type="pct"/>
            <w:shd w:val="clear" w:color="auto" w:fill="auto"/>
            <w:tcMar>
              <w:top w:w="57" w:type="dxa"/>
              <w:left w:w="0" w:type="dxa"/>
              <w:bottom w:w="57" w:type="dxa"/>
              <w:right w:w="0" w:type="dxa"/>
            </w:tcMar>
            <w:vAlign w:val="center"/>
          </w:tcPr>
          <w:p w14:paraId="71830D91" w14:textId="77777777" w:rsidR="00C36D76" w:rsidRPr="005669D1" w:rsidRDefault="00C36D76" w:rsidP="00B06A9A">
            <w:pPr>
              <w:spacing w:after="0"/>
              <w:jc w:val="center"/>
              <w:rPr>
                <w:rFonts w:ascii="Arial Narrow" w:hAnsi="Arial Narrow" w:cstheme="minorHAnsi"/>
                <w:color w:val="000000" w:themeColor="text1"/>
                <w:sz w:val="20"/>
                <w:szCs w:val="20"/>
              </w:rPr>
            </w:pPr>
            <w:smartTag w:uri="urn:schemas-microsoft-com:office:smarttags" w:element="metricconverter">
              <w:smartTagPr>
                <w:attr w:name="ProductID" w:val="60 m"/>
              </w:smartTagPr>
              <w:r w:rsidRPr="005669D1">
                <w:rPr>
                  <w:rFonts w:ascii="Arial Narrow" w:hAnsi="Arial Narrow" w:cstheme="minorHAnsi"/>
                  <w:color w:val="000000" w:themeColor="text1"/>
                  <w:sz w:val="20"/>
                  <w:szCs w:val="20"/>
                </w:rPr>
                <w:t>60 m</w:t>
              </w:r>
            </w:smartTag>
          </w:p>
        </w:tc>
        <w:tc>
          <w:tcPr>
            <w:tcW w:w="332" w:type="pct"/>
            <w:shd w:val="clear" w:color="auto" w:fill="auto"/>
            <w:tcMar>
              <w:top w:w="57" w:type="dxa"/>
              <w:left w:w="0" w:type="dxa"/>
              <w:bottom w:w="57" w:type="dxa"/>
              <w:right w:w="0" w:type="dxa"/>
            </w:tcMar>
            <w:vAlign w:val="center"/>
          </w:tcPr>
          <w:p w14:paraId="4BAC656B" w14:textId="739C272F" w:rsidR="00C36D76" w:rsidRPr="005669D1" w:rsidRDefault="00CB684C" w:rsidP="00B06A9A">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80</w:t>
            </w:r>
            <w:r w:rsidR="00C36D76" w:rsidRPr="005669D1">
              <w:rPr>
                <w:rFonts w:ascii="Arial Narrow" w:hAnsi="Arial Narrow" w:cstheme="minorHAnsi"/>
                <w:color w:val="000000" w:themeColor="text1"/>
                <w:sz w:val="20"/>
                <w:szCs w:val="20"/>
              </w:rPr>
              <w:t>m</w:t>
            </w:r>
          </w:p>
        </w:tc>
        <w:tc>
          <w:tcPr>
            <w:tcW w:w="332" w:type="pct"/>
            <w:shd w:val="clear" w:color="auto" w:fill="auto"/>
            <w:tcMar>
              <w:top w:w="57" w:type="dxa"/>
              <w:left w:w="0" w:type="dxa"/>
              <w:bottom w:w="57" w:type="dxa"/>
              <w:right w:w="0" w:type="dxa"/>
            </w:tcMar>
            <w:vAlign w:val="center"/>
          </w:tcPr>
          <w:p w14:paraId="2FBB8985" w14:textId="44664185" w:rsidR="00C36D76" w:rsidRPr="005669D1" w:rsidRDefault="00CB684C" w:rsidP="00B06A9A">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150</w:t>
            </w:r>
            <w:r w:rsidR="00C36D76" w:rsidRPr="005669D1">
              <w:rPr>
                <w:rFonts w:ascii="Arial Narrow" w:hAnsi="Arial Narrow" w:cstheme="minorHAnsi"/>
                <w:color w:val="000000" w:themeColor="text1"/>
                <w:sz w:val="20"/>
                <w:szCs w:val="20"/>
              </w:rPr>
              <w:t>m</w:t>
            </w:r>
          </w:p>
        </w:tc>
        <w:tc>
          <w:tcPr>
            <w:tcW w:w="332" w:type="pct"/>
            <w:shd w:val="clear" w:color="auto" w:fill="auto"/>
            <w:tcMar>
              <w:top w:w="57" w:type="dxa"/>
              <w:left w:w="0" w:type="dxa"/>
              <w:bottom w:w="57" w:type="dxa"/>
              <w:right w:w="0" w:type="dxa"/>
            </w:tcMar>
            <w:vAlign w:val="center"/>
          </w:tcPr>
          <w:p w14:paraId="48979061" w14:textId="00094110" w:rsidR="00C36D76" w:rsidRPr="005669D1" w:rsidRDefault="00CB684C" w:rsidP="00B06A9A">
            <w:pPr>
              <w:spacing w:after="0"/>
              <w:ind w:left="-67" w:right="-10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150</w:t>
            </w:r>
            <w:r w:rsidR="00C36D76" w:rsidRPr="005669D1">
              <w:rPr>
                <w:rFonts w:ascii="Arial Narrow" w:hAnsi="Arial Narrow" w:cstheme="minorHAnsi"/>
                <w:color w:val="000000" w:themeColor="text1"/>
                <w:sz w:val="20"/>
                <w:szCs w:val="20"/>
              </w:rPr>
              <w:t>m</w:t>
            </w:r>
          </w:p>
        </w:tc>
        <w:tc>
          <w:tcPr>
            <w:tcW w:w="377" w:type="pct"/>
            <w:shd w:val="clear" w:color="auto" w:fill="auto"/>
            <w:tcMar>
              <w:top w:w="57" w:type="dxa"/>
              <w:left w:w="0" w:type="dxa"/>
              <w:bottom w:w="57" w:type="dxa"/>
              <w:right w:w="0" w:type="dxa"/>
            </w:tcMar>
            <w:vAlign w:val="center"/>
          </w:tcPr>
          <w:p w14:paraId="798AA3A4" w14:textId="58F6DB21" w:rsidR="00C36D76" w:rsidRPr="005669D1" w:rsidRDefault="00682083" w:rsidP="00F6634A">
            <w:pPr>
              <w:spacing w:after="0"/>
              <w:ind w:left="-67" w:right="-10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 xml:space="preserve">140 </w:t>
            </w:r>
            <w:r w:rsidR="00C36D76" w:rsidRPr="005669D1">
              <w:rPr>
                <w:rFonts w:ascii="Arial Narrow" w:hAnsi="Arial Narrow" w:cstheme="minorHAnsi"/>
                <w:color w:val="000000" w:themeColor="text1"/>
                <w:sz w:val="20"/>
                <w:szCs w:val="20"/>
              </w:rPr>
              <w:t>m</w:t>
            </w:r>
          </w:p>
        </w:tc>
        <w:tc>
          <w:tcPr>
            <w:tcW w:w="377" w:type="pct"/>
            <w:shd w:val="clear" w:color="auto" w:fill="auto"/>
            <w:tcMar>
              <w:top w:w="57" w:type="dxa"/>
              <w:left w:w="0" w:type="dxa"/>
              <w:bottom w:w="57" w:type="dxa"/>
              <w:right w:w="0" w:type="dxa"/>
            </w:tcMar>
            <w:vAlign w:val="center"/>
          </w:tcPr>
          <w:p w14:paraId="56B4B294" w14:textId="1B232078" w:rsidR="00C36D76" w:rsidRPr="005669D1" w:rsidRDefault="00682083" w:rsidP="00D24C00">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 xml:space="preserve">280 </w:t>
            </w:r>
            <w:r w:rsidR="00C36D76" w:rsidRPr="005669D1">
              <w:rPr>
                <w:rFonts w:ascii="Arial Narrow" w:hAnsi="Arial Narrow" w:cstheme="minorHAnsi"/>
                <w:color w:val="000000" w:themeColor="text1"/>
                <w:sz w:val="20"/>
                <w:szCs w:val="20"/>
              </w:rPr>
              <w:t>m</w:t>
            </w:r>
          </w:p>
        </w:tc>
        <w:tc>
          <w:tcPr>
            <w:tcW w:w="378" w:type="pct"/>
            <w:shd w:val="clear" w:color="auto" w:fill="auto"/>
            <w:tcMar>
              <w:top w:w="57" w:type="dxa"/>
              <w:left w:w="0" w:type="dxa"/>
              <w:bottom w:w="57" w:type="dxa"/>
              <w:right w:w="0" w:type="dxa"/>
            </w:tcMar>
            <w:vAlign w:val="center"/>
          </w:tcPr>
          <w:p w14:paraId="6D33B619" w14:textId="48B140A7" w:rsidR="00C36D76" w:rsidRPr="005669D1" w:rsidRDefault="00682083" w:rsidP="00F6634A">
            <w:pPr>
              <w:spacing w:after="0"/>
              <w:ind w:left="-128" w:right="-128"/>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 xml:space="preserve">280 </w:t>
            </w:r>
            <w:r w:rsidR="00C36D76" w:rsidRPr="005669D1">
              <w:rPr>
                <w:rFonts w:ascii="Arial Narrow" w:hAnsi="Arial Narrow" w:cstheme="minorHAnsi"/>
                <w:color w:val="000000" w:themeColor="text1"/>
                <w:sz w:val="20"/>
                <w:szCs w:val="20"/>
              </w:rPr>
              <w:t>m</w:t>
            </w:r>
          </w:p>
        </w:tc>
        <w:tc>
          <w:tcPr>
            <w:tcW w:w="388" w:type="pct"/>
            <w:shd w:val="clear" w:color="auto" w:fill="auto"/>
            <w:tcMar>
              <w:top w:w="57" w:type="dxa"/>
              <w:left w:w="0" w:type="dxa"/>
              <w:bottom w:w="57" w:type="dxa"/>
              <w:right w:w="0" w:type="dxa"/>
            </w:tcMar>
            <w:vAlign w:val="center"/>
          </w:tcPr>
          <w:p w14:paraId="73DDD138" w14:textId="224BE13A" w:rsidR="00C36D76" w:rsidRPr="005669D1" w:rsidRDefault="00682083" w:rsidP="00D24C00">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140</w:t>
            </w:r>
            <w:r w:rsidR="00C36D76" w:rsidRPr="005669D1">
              <w:rPr>
                <w:rFonts w:ascii="Arial Narrow" w:hAnsi="Arial Narrow" w:cstheme="minorHAnsi"/>
                <w:color w:val="000000" w:themeColor="text1"/>
                <w:sz w:val="20"/>
                <w:szCs w:val="20"/>
              </w:rPr>
              <w:t xml:space="preserve"> m</w:t>
            </w:r>
          </w:p>
        </w:tc>
        <w:tc>
          <w:tcPr>
            <w:tcW w:w="388" w:type="pct"/>
            <w:shd w:val="clear" w:color="auto" w:fill="auto"/>
            <w:tcMar>
              <w:top w:w="57" w:type="dxa"/>
              <w:left w:w="0" w:type="dxa"/>
              <w:bottom w:w="57" w:type="dxa"/>
              <w:right w:w="0" w:type="dxa"/>
            </w:tcMar>
            <w:vAlign w:val="center"/>
          </w:tcPr>
          <w:p w14:paraId="1FB0402A" w14:textId="540C3D6B" w:rsidR="00C36D76" w:rsidRPr="005669D1" w:rsidRDefault="00682083" w:rsidP="00D24C00">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280</w:t>
            </w:r>
            <w:r w:rsidR="00C36D76" w:rsidRPr="005669D1">
              <w:rPr>
                <w:rFonts w:ascii="Arial Narrow" w:hAnsi="Arial Narrow" w:cstheme="minorHAnsi"/>
                <w:color w:val="000000" w:themeColor="text1"/>
                <w:sz w:val="20"/>
                <w:szCs w:val="20"/>
              </w:rPr>
              <w:t xml:space="preserve"> m</w:t>
            </w:r>
          </w:p>
        </w:tc>
        <w:tc>
          <w:tcPr>
            <w:tcW w:w="384" w:type="pct"/>
            <w:shd w:val="clear" w:color="auto" w:fill="auto"/>
            <w:tcMar>
              <w:top w:w="57" w:type="dxa"/>
              <w:left w:w="0" w:type="dxa"/>
              <w:bottom w:w="57" w:type="dxa"/>
              <w:right w:w="0" w:type="dxa"/>
            </w:tcMar>
            <w:vAlign w:val="center"/>
          </w:tcPr>
          <w:p w14:paraId="479A579C" w14:textId="749D196B" w:rsidR="00C36D76" w:rsidRPr="005669D1" w:rsidRDefault="00682083" w:rsidP="00D24C00">
            <w:pPr>
              <w:spacing w:after="0"/>
              <w:jc w:val="center"/>
              <w:rPr>
                <w:rFonts w:ascii="Arial Narrow" w:hAnsi="Arial Narrow" w:cstheme="minorHAnsi"/>
                <w:color w:val="000000" w:themeColor="text1"/>
                <w:sz w:val="20"/>
                <w:szCs w:val="20"/>
              </w:rPr>
            </w:pPr>
            <w:r w:rsidRPr="005669D1">
              <w:rPr>
                <w:rFonts w:ascii="Arial Narrow" w:hAnsi="Arial Narrow" w:cstheme="minorHAnsi"/>
                <w:color w:val="000000" w:themeColor="text1"/>
                <w:sz w:val="20"/>
                <w:szCs w:val="20"/>
              </w:rPr>
              <w:t>280</w:t>
            </w:r>
            <w:r w:rsidR="00C36D76" w:rsidRPr="005669D1">
              <w:rPr>
                <w:rFonts w:ascii="Arial Narrow" w:hAnsi="Arial Narrow" w:cstheme="minorHAnsi"/>
                <w:color w:val="000000" w:themeColor="text1"/>
                <w:sz w:val="20"/>
                <w:szCs w:val="20"/>
              </w:rPr>
              <w:t xml:space="preserve"> m</w:t>
            </w:r>
          </w:p>
        </w:tc>
      </w:tr>
      <w:tr w:rsidR="00D24C00" w:rsidRPr="009E064B" w14:paraId="5F83EB9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BD5EE2E"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091F5898"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30 m"/>
              </w:smartTagPr>
              <w:r w:rsidRPr="009E064B">
                <w:rPr>
                  <w:rFonts w:ascii="Arial Narrow" w:hAnsi="Arial Narrow" w:cstheme="minorHAnsi"/>
                  <w:sz w:val="20"/>
                  <w:szCs w:val="20"/>
                </w:rPr>
                <w:t>30 m</w:t>
              </w:r>
            </w:smartTag>
          </w:p>
        </w:tc>
        <w:tc>
          <w:tcPr>
            <w:tcW w:w="332" w:type="pct"/>
            <w:shd w:val="clear" w:color="auto" w:fill="auto"/>
            <w:tcMar>
              <w:top w:w="57" w:type="dxa"/>
              <w:left w:w="0" w:type="dxa"/>
              <w:bottom w:w="57" w:type="dxa"/>
              <w:right w:w="0" w:type="dxa"/>
            </w:tcMar>
            <w:vAlign w:val="center"/>
          </w:tcPr>
          <w:p w14:paraId="129678B1" w14:textId="7BB63D0B"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60</w:t>
            </w:r>
            <w:r w:rsidR="00C36D76" w:rsidRPr="009E064B">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31A0DDFE"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32" w:type="pct"/>
            <w:shd w:val="clear" w:color="auto" w:fill="auto"/>
            <w:tcMar>
              <w:top w:w="57" w:type="dxa"/>
              <w:left w:w="0" w:type="dxa"/>
              <w:bottom w:w="57" w:type="dxa"/>
              <w:right w:w="0" w:type="dxa"/>
            </w:tcMar>
            <w:vAlign w:val="center"/>
          </w:tcPr>
          <w:p w14:paraId="03711BE4"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77" w:type="pct"/>
            <w:shd w:val="clear" w:color="auto" w:fill="auto"/>
            <w:tcMar>
              <w:top w:w="57" w:type="dxa"/>
              <w:left w:w="0" w:type="dxa"/>
              <w:bottom w:w="57" w:type="dxa"/>
              <w:right w:w="0" w:type="dxa"/>
            </w:tcMar>
            <w:vAlign w:val="center"/>
          </w:tcPr>
          <w:p w14:paraId="2547994D" w14:textId="78224B43"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60</w:t>
            </w:r>
            <w:r w:rsidR="00C36D76" w:rsidRPr="009E064B">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46D0DD8A" w14:textId="135C0835"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60</w:t>
            </w:r>
            <w:r w:rsidR="00C36D76" w:rsidRPr="009E064B">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55CFC44F" w14:textId="766F56CD"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60</w:t>
            </w:r>
            <w:r w:rsidR="00C36D76" w:rsidRPr="009E064B">
              <w:rPr>
                <w:rFonts w:ascii="Arial Narrow" w:hAnsi="Arial Narrow" w:cstheme="minorHAnsi"/>
                <w:sz w:val="20"/>
                <w:szCs w:val="20"/>
              </w:rPr>
              <w:t>m</w:t>
            </w:r>
          </w:p>
        </w:tc>
        <w:tc>
          <w:tcPr>
            <w:tcW w:w="388" w:type="pct"/>
            <w:shd w:val="clear" w:color="auto" w:fill="auto"/>
            <w:tcMar>
              <w:top w:w="57" w:type="dxa"/>
              <w:left w:w="0" w:type="dxa"/>
              <w:bottom w:w="57" w:type="dxa"/>
              <w:right w:w="0" w:type="dxa"/>
            </w:tcMar>
            <w:vAlign w:val="center"/>
          </w:tcPr>
          <w:p w14:paraId="1EAAE7FD"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88" w:type="pct"/>
            <w:shd w:val="clear" w:color="auto" w:fill="auto"/>
            <w:tcMar>
              <w:top w:w="57" w:type="dxa"/>
              <w:left w:w="0" w:type="dxa"/>
              <w:bottom w:w="57" w:type="dxa"/>
              <w:right w:w="0" w:type="dxa"/>
            </w:tcMar>
            <w:vAlign w:val="center"/>
          </w:tcPr>
          <w:p w14:paraId="1D928DDC"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c>
          <w:tcPr>
            <w:tcW w:w="384" w:type="pct"/>
            <w:shd w:val="clear" w:color="auto" w:fill="auto"/>
            <w:tcMar>
              <w:top w:w="57" w:type="dxa"/>
              <w:left w:w="0" w:type="dxa"/>
              <w:bottom w:w="57" w:type="dxa"/>
              <w:right w:w="0" w:type="dxa"/>
            </w:tcMar>
            <w:vAlign w:val="center"/>
          </w:tcPr>
          <w:p w14:paraId="1A58E633"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60 m"/>
              </w:smartTagPr>
              <w:r w:rsidRPr="009E064B">
                <w:rPr>
                  <w:rFonts w:ascii="Arial Narrow" w:hAnsi="Arial Narrow" w:cstheme="minorHAnsi"/>
                  <w:sz w:val="20"/>
                  <w:szCs w:val="20"/>
                </w:rPr>
                <w:t>60 m</w:t>
              </w:r>
            </w:smartTag>
          </w:p>
        </w:tc>
      </w:tr>
      <w:tr w:rsidR="00D24C00" w:rsidRPr="009E064B" w14:paraId="24581530"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62F31C55" w14:textId="2CB52B00"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 xml:space="preserve">Rozchylenie </w:t>
            </w:r>
            <w:r w:rsidR="00322505" w:rsidRPr="009E064B">
              <w:rPr>
                <w:rFonts w:ascii="Arial" w:hAnsi="Arial" w:cs="Arial"/>
                <w:sz w:val="20"/>
                <w:szCs w:val="20"/>
              </w:rPr>
              <w:br/>
            </w:r>
            <w:r w:rsidRPr="009E064B">
              <w:rPr>
                <w:rFonts w:ascii="Arial" w:hAnsi="Arial" w:cs="Arial"/>
                <w:sz w:val="20"/>
                <w:szCs w:val="20"/>
              </w:rPr>
              <w:t>(z każdej strony)</w:t>
            </w:r>
          </w:p>
        </w:tc>
        <w:tc>
          <w:tcPr>
            <w:tcW w:w="332" w:type="pct"/>
            <w:shd w:val="clear" w:color="auto" w:fill="auto"/>
            <w:tcMar>
              <w:top w:w="57" w:type="dxa"/>
              <w:left w:w="0" w:type="dxa"/>
              <w:bottom w:w="57" w:type="dxa"/>
              <w:right w:w="0" w:type="dxa"/>
            </w:tcMar>
            <w:vAlign w:val="center"/>
          </w:tcPr>
          <w:p w14:paraId="2392E67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55A000D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764C953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32" w:type="pct"/>
            <w:shd w:val="clear" w:color="auto" w:fill="auto"/>
            <w:tcMar>
              <w:top w:w="57" w:type="dxa"/>
              <w:left w:w="0" w:type="dxa"/>
              <w:bottom w:w="57" w:type="dxa"/>
              <w:right w:w="0" w:type="dxa"/>
            </w:tcMar>
            <w:vAlign w:val="center"/>
          </w:tcPr>
          <w:p w14:paraId="730439E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77" w:type="pct"/>
            <w:shd w:val="clear" w:color="auto" w:fill="auto"/>
            <w:tcMar>
              <w:top w:w="57" w:type="dxa"/>
              <w:left w:w="0" w:type="dxa"/>
              <w:bottom w:w="57" w:type="dxa"/>
              <w:right w:w="0" w:type="dxa"/>
            </w:tcMar>
            <w:vAlign w:val="center"/>
          </w:tcPr>
          <w:p w14:paraId="042E9A0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c>
          <w:tcPr>
            <w:tcW w:w="377" w:type="pct"/>
            <w:shd w:val="clear" w:color="auto" w:fill="auto"/>
            <w:tcMar>
              <w:top w:w="57" w:type="dxa"/>
              <w:left w:w="0" w:type="dxa"/>
              <w:bottom w:w="57" w:type="dxa"/>
              <w:right w:w="0" w:type="dxa"/>
            </w:tcMar>
            <w:vAlign w:val="center"/>
          </w:tcPr>
          <w:p w14:paraId="0AD6E3A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c>
          <w:tcPr>
            <w:tcW w:w="378" w:type="pct"/>
            <w:shd w:val="clear" w:color="auto" w:fill="auto"/>
            <w:tcMar>
              <w:top w:w="57" w:type="dxa"/>
              <w:left w:w="0" w:type="dxa"/>
              <w:bottom w:w="57" w:type="dxa"/>
              <w:right w:w="0" w:type="dxa"/>
            </w:tcMar>
            <w:vAlign w:val="center"/>
          </w:tcPr>
          <w:p w14:paraId="70E8DFA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c>
          <w:tcPr>
            <w:tcW w:w="388" w:type="pct"/>
            <w:shd w:val="clear" w:color="auto" w:fill="auto"/>
            <w:tcMar>
              <w:top w:w="57" w:type="dxa"/>
              <w:left w:w="0" w:type="dxa"/>
              <w:bottom w:w="57" w:type="dxa"/>
              <w:right w:w="0" w:type="dxa"/>
            </w:tcMar>
            <w:vAlign w:val="center"/>
          </w:tcPr>
          <w:p w14:paraId="30D8DCE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c>
          <w:tcPr>
            <w:tcW w:w="388" w:type="pct"/>
            <w:shd w:val="clear" w:color="auto" w:fill="auto"/>
            <w:tcMar>
              <w:top w:w="57" w:type="dxa"/>
              <w:left w:w="0" w:type="dxa"/>
              <w:bottom w:w="57" w:type="dxa"/>
              <w:right w:w="0" w:type="dxa"/>
            </w:tcMar>
            <w:vAlign w:val="center"/>
          </w:tcPr>
          <w:p w14:paraId="0A9FCF5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c>
          <w:tcPr>
            <w:tcW w:w="384" w:type="pct"/>
            <w:shd w:val="clear" w:color="auto" w:fill="auto"/>
            <w:tcMar>
              <w:top w:w="57" w:type="dxa"/>
              <w:left w:w="0" w:type="dxa"/>
              <w:bottom w:w="57" w:type="dxa"/>
              <w:right w:w="0" w:type="dxa"/>
            </w:tcMar>
            <w:vAlign w:val="center"/>
          </w:tcPr>
          <w:p w14:paraId="2FE2A17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w:t>
            </w:r>
          </w:p>
        </w:tc>
      </w:tr>
      <w:tr w:rsidR="00D24C00" w:rsidRPr="009E064B" w14:paraId="4AF7F200"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6231A18F" w14:textId="77777777" w:rsidR="00C36D76" w:rsidRPr="009E064B" w:rsidRDefault="00C36D76" w:rsidP="00C2323F">
            <w:pPr>
              <w:spacing w:after="0"/>
              <w:ind w:left="111"/>
              <w:jc w:val="left"/>
              <w:rPr>
                <w:rFonts w:ascii="Arial" w:hAnsi="Arial" w:cs="Arial"/>
                <w:b/>
                <w:sz w:val="20"/>
                <w:szCs w:val="20"/>
              </w:rPr>
            </w:pPr>
            <w:r w:rsidRPr="009E064B">
              <w:rPr>
                <w:rFonts w:ascii="Arial" w:hAnsi="Arial" w:cs="Arial"/>
                <w:b/>
                <w:sz w:val="20"/>
                <w:szCs w:val="20"/>
              </w:rPr>
              <w:t>Część pierwsza</w:t>
            </w:r>
          </w:p>
        </w:tc>
        <w:tc>
          <w:tcPr>
            <w:tcW w:w="332" w:type="pct"/>
            <w:tcBorders>
              <w:left w:val="nil"/>
              <w:right w:val="nil"/>
            </w:tcBorders>
            <w:shd w:val="clear" w:color="auto" w:fill="auto"/>
            <w:tcMar>
              <w:top w:w="57" w:type="dxa"/>
              <w:left w:w="0" w:type="dxa"/>
              <w:bottom w:w="57" w:type="dxa"/>
              <w:right w:w="0" w:type="dxa"/>
            </w:tcMar>
            <w:vAlign w:val="center"/>
          </w:tcPr>
          <w:p w14:paraId="250FE3F6"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6DA91541"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AA143FF"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67BA37F8"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E0216FB"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1389EFB" w14:textId="77777777" w:rsidR="00C36D76" w:rsidRPr="009E064B"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5437F081"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1125F3B"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38DC1028" w14:textId="77777777" w:rsidR="00C36D76" w:rsidRPr="009E064B"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6D64B16F" w14:textId="77777777" w:rsidR="00C36D76" w:rsidRPr="009E064B" w:rsidRDefault="00C36D76" w:rsidP="00B06A9A">
            <w:pPr>
              <w:spacing w:after="0"/>
              <w:jc w:val="center"/>
              <w:rPr>
                <w:rFonts w:ascii="Arial Narrow" w:hAnsi="Arial Narrow" w:cstheme="minorHAnsi"/>
                <w:sz w:val="20"/>
                <w:szCs w:val="20"/>
              </w:rPr>
            </w:pPr>
          </w:p>
        </w:tc>
      </w:tr>
      <w:tr w:rsidR="00D24C00" w:rsidRPr="009E064B" w14:paraId="320812E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50BBB73"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4E22EF43" w14:textId="00B8B94D"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1600</w:t>
            </w:r>
            <w:r w:rsidR="00C36D76" w:rsidRPr="009E064B">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2D41B7EE" w14:textId="0616A7EF"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2500</w:t>
            </w:r>
            <w:r w:rsidR="00C36D76" w:rsidRPr="009E064B">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4D39F017" w14:textId="1C42D03F"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w:t>
            </w:r>
            <w:r w:rsidR="00C36D76" w:rsidRPr="009E064B">
              <w:rPr>
                <w:rFonts w:ascii="Arial Narrow" w:hAnsi="Arial Narrow" w:cstheme="minorHAnsi"/>
                <w:sz w:val="20"/>
                <w:szCs w:val="20"/>
              </w:rPr>
              <w:t>m</w:t>
            </w:r>
          </w:p>
        </w:tc>
        <w:tc>
          <w:tcPr>
            <w:tcW w:w="332" w:type="pct"/>
            <w:shd w:val="clear" w:color="auto" w:fill="auto"/>
            <w:tcMar>
              <w:top w:w="57" w:type="dxa"/>
              <w:left w:w="0" w:type="dxa"/>
              <w:bottom w:w="57" w:type="dxa"/>
              <w:right w:w="0" w:type="dxa"/>
            </w:tcMar>
            <w:vAlign w:val="center"/>
          </w:tcPr>
          <w:p w14:paraId="42BC78E6" w14:textId="01FA8285"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w:t>
            </w:r>
            <w:r w:rsidR="00C36D76" w:rsidRPr="009E064B">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5376E186" w14:textId="02B8DF01"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2500</w:t>
            </w:r>
            <w:r w:rsidR="00C36D76" w:rsidRPr="009E064B">
              <w:rPr>
                <w:rFonts w:ascii="Arial Narrow" w:hAnsi="Arial Narrow" w:cstheme="minorHAnsi"/>
                <w:sz w:val="20"/>
                <w:szCs w:val="20"/>
              </w:rPr>
              <w:t>m</w:t>
            </w:r>
          </w:p>
        </w:tc>
        <w:tc>
          <w:tcPr>
            <w:tcW w:w="377" w:type="pct"/>
            <w:shd w:val="clear" w:color="auto" w:fill="auto"/>
            <w:tcMar>
              <w:top w:w="57" w:type="dxa"/>
              <w:left w:w="0" w:type="dxa"/>
              <w:bottom w:w="57" w:type="dxa"/>
              <w:right w:w="0" w:type="dxa"/>
            </w:tcMar>
            <w:vAlign w:val="center"/>
          </w:tcPr>
          <w:p w14:paraId="12B6C6F2" w14:textId="54C9E0A7" w:rsidR="00C36D76" w:rsidRPr="009E064B" w:rsidRDefault="00CB684C"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w:t>
            </w:r>
            <w:r w:rsidR="00C36D76" w:rsidRPr="009E064B">
              <w:rPr>
                <w:rFonts w:ascii="Arial Narrow" w:hAnsi="Arial Narrow" w:cstheme="minorHAnsi"/>
                <w:sz w:val="20"/>
                <w:szCs w:val="20"/>
              </w:rPr>
              <w:t>m</w:t>
            </w:r>
          </w:p>
        </w:tc>
        <w:tc>
          <w:tcPr>
            <w:tcW w:w="378" w:type="pct"/>
            <w:shd w:val="clear" w:color="auto" w:fill="auto"/>
            <w:tcMar>
              <w:top w:w="57" w:type="dxa"/>
              <w:left w:w="0" w:type="dxa"/>
              <w:bottom w:w="57" w:type="dxa"/>
              <w:right w:w="0" w:type="dxa"/>
            </w:tcMar>
            <w:vAlign w:val="center"/>
          </w:tcPr>
          <w:p w14:paraId="08FAEFA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 m</w:t>
            </w:r>
          </w:p>
        </w:tc>
        <w:tc>
          <w:tcPr>
            <w:tcW w:w="388" w:type="pct"/>
            <w:shd w:val="clear" w:color="auto" w:fill="auto"/>
            <w:tcMar>
              <w:top w:w="57" w:type="dxa"/>
              <w:left w:w="0" w:type="dxa"/>
              <w:bottom w:w="57" w:type="dxa"/>
              <w:right w:w="0" w:type="dxa"/>
            </w:tcMar>
            <w:vAlign w:val="center"/>
          </w:tcPr>
          <w:p w14:paraId="1DC8CD4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 m</w:t>
            </w:r>
          </w:p>
        </w:tc>
        <w:tc>
          <w:tcPr>
            <w:tcW w:w="388" w:type="pct"/>
            <w:shd w:val="clear" w:color="auto" w:fill="auto"/>
            <w:tcMar>
              <w:top w:w="57" w:type="dxa"/>
              <w:left w:w="0" w:type="dxa"/>
              <w:bottom w:w="57" w:type="dxa"/>
              <w:right w:w="0" w:type="dxa"/>
            </w:tcMar>
            <w:vAlign w:val="center"/>
          </w:tcPr>
          <w:p w14:paraId="3B78276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 m</w:t>
            </w:r>
          </w:p>
        </w:tc>
        <w:tc>
          <w:tcPr>
            <w:tcW w:w="384" w:type="pct"/>
            <w:shd w:val="clear" w:color="auto" w:fill="auto"/>
            <w:tcMar>
              <w:top w:w="57" w:type="dxa"/>
              <w:left w:w="0" w:type="dxa"/>
              <w:bottom w:w="57" w:type="dxa"/>
              <w:right w:w="0" w:type="dxa"/>
            </w:tcMar>
            <w:vAlign w:val="center"/>
          </w:tcPr>
          <w:p w14:paraId="0B8CC25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3000 m</w:t>
            </w:r>
          </w:p>
        </w:tc>
      </w:tr>
      <w:tr w:rsidR="00D24C00" w:rsidRPr="009E064B" w14:paraId="6021F0E6"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AC990C3"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21C3842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5%</w:t>
            </w:r>
          </w:p>
        </w:tc>
        <w:tc>
          <w:tcPr>
            <w:tcW w:w="332" w:type="pct"/>
            <w:shd w:val="clear" w:color="auto" w:fill="auto"/>
            <w:tcMar>
              <w:top w:w="57" w:type="dxa"/>
              <w:left w:w="0" w:type="dxa"/>
              <w:bottom w:w="57" w:type="dxa"/>
              <w:right w:w="0" w:type="dxa"/>
            </w:tcMar>
            <w:vAlign w:val="center"/>
          </w:tcPr>
          <w:p w14:paraId="64B2653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4%</w:t>
            </w:r>
          </w:p>
        </w:tc>
        <w:tc>
          <w:tcPr>
            <w:tcW w:w="332" w:type="pct"/>
            <w:shd w:val="clear" w:color="auto" w:fill="auto"/>
            <w:tcMar>
              <w:top w:w="57" w:type="dxa"/>
              <w:left w:w="0" w:type="dxa"/>
              <w:bottom w:w="57" w:type="dxa"/>
              <w:right w:w="0" w:type="dxa"/>
            </w:tcMar>
            <w:vAlign w:val="center"/>
          </w:tcPr>
          <w:p w14:paraId="2AE2225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c>
          <w:tcPr>
            <w:tcW w:w="332" w:type="pct"/>
            <w:shd w:val="clear" w:color="auto" w:fill="auto"/>
            <w:tcMar>
              <w:top w:w="57" w:type="dxa"/>
              <w:left w:w="0" w:type="dxa"/>
              <w:bottom w:w="57" w:type="dxa"/>
              <w:right w:w="0" w:type="dxa"/>
            </w:tcMar>
            <w:vAlign w:val="center"/>
          </w:tcPr>
          <w:p w14:paraId="404CF76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77" w:type="pct"/>
            <w:shd w:val="clear" w:color="auto" w:fill="auto"/>
            <w:tcMar>
              <w:top w:w="57" w:type="dxa"/>
              <w:left w:w="0" w:type="dxa"/>
              <w:bottom w:w="57" w:type="dxa"/>
              <w:right w:w="0" w:type="dxa"/>
            </w:tcMar>
            <w:vAlign w:val="center"/>
          </w:tcPr>
          <w:p w14:paraId="63BC8F1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c>
          <w:tcPr>
            <w:tcW w:w="377" w:type="pct"/>
            <w:shd w:val="clear" w:color="auto" w:fill="auto"/>
            <w:tcMar>
              <w:top w:w="57" w:type="dxa"/>
              <w:left w:w="0" w:type="dxa"/>
              <w:bottom w:w="57" w:type="dxa"/>
              <w:right w:w="0" w:type="dxa"/>
            </w:tcMar>
            <w:vAlign w:val="center"/>
          </w:tcPr>
          <w:p w14:paraId="53CA9A0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c>
          <w:tcPr>
            <w:tcW w:w="378" w:type="pct"/>
            <w:shd w:val="clear" w:color="auto" w:fill="auto"/>
            <w:tcMar>
              <w:top w:w="57" w:type="dxa"/>
              <w:left w:w="0" w:type="dxa"/>
              <w:bottom w:w="57" w:type="dxa"/>
              <w:right w:w="0" w:type="dxa"/>
            </w:tcMar>
            <w:vAlign w:val="center"/>
          </w:tcPr>
          <w:p w14:paraId="1E831618"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c>
          <w:tcPr>
            <w:tcW w:w="388" w:type="pct"/>
            <w:shd w:val="clear" w:color="auto" w:fill="auto"/>
            <w:tcMar>
              <w:top w:w="57" w:type="dxa"/>
              <w:left w:w="0" w:type="dxa"/>
              <w:bottom w:w="57" w:type="dxa"/>
              <w:right w:w="0" w:type="dxa"/>
            </w:tcMar>
            <w:vAlign w:val="center"/>
          </w:tcPr>
          <w:p w14:paraId="25F3689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06013D55"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c>
          <w:tcPr>
            <w:tcW w:w="384" w:type="pct"/>
            <w:shd w:val="clear" w:color="auto" w:fill="auto"/>
            <w:tcMar>
              <w:top w:w="57" w:type="dxa"/>
              <w:left w:w="0" w:type="dxa"/>
              <w:bottom w:w="57" w:type="dxa"/>
              <w:right w:w="0" w:type="dxa"/>
            </w:tcMar>
            <w:vAlign w:val="center"/>
          </w:tcPr>
          <w:p w14:paraId="789AA7B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w:t>
            </w:r>
          </w:p>
        </w:tc>
      </w:tr>
      <w:tr w:rsidR="00D24C00" w:rsidRPr="009E064B" w14:paraId="1CA18B41"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11238F7C" w14:textId="77777777" w:rsidR="00C36D76" w:rsidRPr="009E064B" w:rsidRDefault="00C36D76" w:rsidP="00C2323F">
            <w:pPr>
              <w:spacing w:after="0"/>
              <w:ind w:left="111"/>
              <w:jc w:val="left"/>
              <w:rPr>
                <w:rFonts w:ascii="Arial Narrow" w:hAnsi="Arial Narrow" w:cstheme="minorHAnsi"/>
                <w:b/>
                <w:sz w:val="20"/>
                <w:szCs w:val="20"/>
              </w:rPr>
            </w:pPr>
            <w:r w:rsidRPr="009E064B">
              <w:rPr>
                <w:rFonts w:ascii="Arial" w:hAnsi="Arial" w:cs="Arial"/>
                <w:b/>
                <w:sz w:val="20"/>
                <w:szCs w:val="20"/>
              </w:rPr>
              <w:t>Część druga</w:t>
            </w:r>
          </w:p>
        </w:tc>
        <w:tc>
          <w:tcPr>
            <w:tcW w:w="332" w:type="pct"/>
            <w:tcBorders>
              <w:left w:val="nil"/>
              <w:right w:val="nil"/>
            </w:tcBorders>
            <w:shd w:val="clear" w:color="auto" w:fill="auto"/>
            <w:tcMar>
              <w:top w:w="57" w:type="dxa"/>
              <w:left w:w="0" w:type="dxa"/>
              <w:bottom w:w="57" w:type="dxa"/>
              <w:right w:w="0" w:type="dxa"/>
            </w:tcMar>
            <w:vAlign w:val="center"/>
          </w:tcPr>
          <w:p w14:paraId="1C44390D"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004D79A0"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373F90B2"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C9EBE88"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11001C4F"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4C4ABF51" w14:textId="77777777" w:rsidR="00C36D76" w:rsidRPr="009E064B"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A9A5E3D"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3F1E45DE"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76B2B38" w14:textId="77777777" w:rsidR="00C36D76" w:rsidRPr="009E064B"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3565C774" w14:textId="77777777" w:rsidR="00C36D76" w:rsidRPr="009E064B" w:rsidRDefault="00C36D76" w:rsidP="00B06A9A">
            <w:pPr>
              <w:spacing w:after="0"/>
              <w:jc w:val="center"/>
              <w:rPr>
                <w:rFonts w:ascii="Arial Narrow" w:hAnsi="Arial Narrow" w:cstheme="minorHAnsi"/>
                <w:sz w:val="20"/>
                <w:szCs w:val="20"/>
              </w:rPr>
            </w:pPr>
          </w:p>
        </w:tc>
      </w:tr>
      <w:tr w:rsidR="00D24C00" w:rsidRPr="009E064B" w14:paraId="33FA4DF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C67F57B"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3B416AB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7A7D235"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C38326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2F1F8D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7E38FF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016E45B" w14:textId="77777777" w:rsidR="00C36D76" w:rsidRPr="009E064B" w:rsidRDefault="00C36D76" w:rsidP="00B06A9A">
            <w:pPr>
              <w:spacing w:after="0"/>
              <w:jc w:val="center"/>
              <w:rPr>
                <w:rFonts w:ascii="Arial Narrow" w:hAnsi="Arial Narrow" w:cstheme="minorHAnsi"/>
                <w:sz w:val="20"/>
                <w:szCs w:val="20"/>
                <w:vertAlign w:val="superscript"/>
              </w:rPr>
            </w:pPr>
            <w:r w:rsidRPr="009E064B">
              <w:rPr>
                <w:rFonts w:ascii="Arial Narrow" w:hAnsi="Arial Narrow" w:cstheme="minorHAnsi"/>
                <w:sz w:val="20"/>
                <w:szCs w:val="20"/>
              </w:rPr>
              <w:t>3600 m</w:t>
            </w:r>
            <w:r w:rsidRPr="009E064B">
              <w:rPr>
                <w:rFonts w:ascii="Arial Narrow" w:hAnsi="Arial Narrow" w:cstheme="minorHAnsi"/>
                <w:sz w:val="20"/>
                <w:szCs w:val="20"/>
                <w:vertAlign w:val="superscript"/>
              </w:rPr>
              <w:t>b</w:t>
            </w:r>
          </w:p>
        </w:tc>
        <w:tc>
          <w:tcPr>
            <w:tcW w:w="378" w:type="pct"/>
            <w:shd w:val="clear" w:color="auto" w:fill="auto"/>
            <w:tcMar>
              <w:top w:w="57" w:type="dxa"/>
              <w:left w:w="0" w:type="dxa"/>
              <w:bottom w:w="57" w:type="dxa"/>
              <w:right w:w="0" w:type="dxa"/>
            </w:tcMar>
            <w:vAlign w:val="center"/>
          </w:tcPr>
          <w:p w14:paraId="0943209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3600 m</w:t>
            </w:r>
            <w:r w:rsidRPr="009E064B">
              <w:rPr>
                <w:rFonts w:ascii="Arial Narrow" w:hAnsi="Arial Narrow" w:cstheme="minorHAnsi"/>
                <w:sz w:val="20"/>
                <w:szCs w:val="20"/>
                <w:vertAlign w:val="superscript"/>
              </w:rPr>
              <w:t>b</w:t>
            </w:r>
          </w:p>
        </w:tc>
        <w:tc>
          <w:tcPr>
            <w:tcW w:w="388" w:type="pct"/>
            <w:shd w:val="clear" w:color="auto" w:fill="auto"/>
            <w:tcMar>
              <w:top w:w="57" w:type="dxa"/>
              <w:left w:w="0" w:type="dxa"/>
              <w:bottom w:w="57" w:type="dxa"/>
              <w:right w:w="0" w:type="dxa"/>
            </w:tcMar>
            <w:vAlign w:val="center"/>
          </w:tcPr>
          <w:p w14:paraId="6F454CA4" w14:textId="04CDA7A7" w:rsidR="00C36D76" w:rsidRPr="009E064B" w:rsidRDefault="00C36D76" w:rsidP="00816B85">
            <w:pPr>
              <w:spacing w:after="0"/>
              <w:jc w:val="center"/>
              <w:rPr>
                <w:rFonts w:ascii="Arial Narrow" w:hAnsi="Arial Narrow" w:cstheme="minorHAnsi"/>
                <w:sz w:val="20"/>
                <w:szCs w:val="20"/>
              </w:rPr>
            </w:pPr>
            <w:r w:rsidRPr="009E064B">
              <w:rPr>
                <w:rFonts w:ascii="Arial Narrow" w:hAnsi="Arial Narrow" w:cstheme="minorHAnsi"/>
                <w:sz w:val="20"/>
                <w:szCs w:val="20"/>
              </w:rPr>
              <w:t>12000m</w:t>
            </w:r>
          </w:p>
        </w:tc>
        <w:tc>
          <w:tcPr>
            <w:tcW w:w="388" w:type="pct"/>
            <w:shd w:val="clear" w:color="auto" w:fill="auto"/>
            <w:tcMar>
              <w:top w:w="57" w:type="dxa"/>
              <w:left w:w="0" w:type="dxa"/>
              <w:bottom w:w="57" w:type="dxa"/>
              <w:right w:w="0" w:type="dxa"/>
            </w:tcMar>
            <w:vAlign w:val="center"/>
          </w:tcPr>
          <w:p w14:paraId="509A21A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3600 m</w:t>
            </w:r>
            <w:r w:rsidRPr="009E064B">
              <w:rPr>
                <w:rFonts w:ascii="Arial Narrow" w:hAnsi="Arial Narrow" w:cstheme="minorHAnsi"/>
                <w:sz w:val="20"/>
                <w:szCs w:val="20"/>
                <w:vertAlign w:val="superscript"/>
              </w:rPr>
              <w:t>b</w:t>
            </w:r>
          </w:p>
        </w:tc>
        <w:tc>
          <w:tcPr>
            <w:tcW w:w="384" w:type="pct"/>
            <w:shd w:val="clear" w:color="auto" w:fill="auto"/>
            <w:tcMar>
              <w:top w:w="57" w:type="dxa"/>
              <w:left w:w="0" w:type="dxa"/>
              <w:bottom w:w="57" w:type="dxa"/>
              <w:right w:w="0" w:type="dxa"/>
            </w:tcMar>
            <w:vAlign w:val="center"/>
          </w:tcPr>
          <w:p w14:paraId="44094DC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3600 m</w:t>
            </w:r>
            <w:r w:rsidRPr="009E064B">
              <w:rPr>
                <w:rFonts w:ascii="Arial Narrow" w:hAnsi="Arial Narrow" w:cstheme="minorHAnsi"/>
                <w:sz w:val="20"/>
                <w:szCs w:val="20"/>
                <w:vertAlign w:val="superscript"/>
              </w:rPr>
              <w:t>b</w:t>
            </w:r>
          </w:p>
        </w:tc>
      </w:tr>
      <w:tr w:rsidR="00D24C00" w:rsidRPr="009E064B" w14:paraId="01B8302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248D17A7"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53D13A3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CB3DE1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B5C37C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BD5A1B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DA8E48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35512F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78" w:type="pct"/>
            <w:shd w:val="clear" w:color="auto" w:fill="auto"/>
            <w:tcMar>
              <w:top w:w="57" w:type="dxa"/>
              <w:left w:w="0" w:type="dxa"/>
              <w:bottom w:w="57" w:type="dxa"/>
              <w:right w:w="0" w:type="dxa"/>
            </w:tcMar>
            <w:vAlign w:val="center"/>
          </w:tcPr>
          <w:p w14:paraId="31C4B55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88" w:type="pct"/>
            <w:shd w:val="clear" w:color="auto" w:fill="auto"/>
            <w:tcMar>
              <w:top w:w="57" w:type="dxa"/>
              <w:left w:w="0" w:type="dxa"/>
              <w:bottom w:w="57" w:type="dxa"/>
              <w:right w:w="0" w:type="dxa"/>
            </w:tcMar>
            <w:vAlign w:val="center"/>
          </w:tcPr>
          <w:p w14:paraId="626CB16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w:t>
            </w:r>
          </w:p>
        </w:tc>
        <w:tc>
          <w:tcPr>
            <w:tcW w:w="388" w:type="pct"/>
            <w:shd w:val="clear" w:color="auto" w:fill="auto"/>
            <w:tcMar>
              <w:top w:w="57" w:type="dxa"/>
              <w:left w:w="0" w:type="dxa"/>
              <w:bottom w:w="57" w:type="dxa"/>
              <w:right w:w="0" w:type="dxa"/>
            </w:tcMar>
            <w:vAlign w:val="center"/>
          </w:tcPr>
          <w:p w14:paraId="7EDD9E9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c>
          <w:tcPr>
            <w:tcW w:w="384" w:type="pct"/>
            <w:shd w:val="clear" w:color="auto" w:fill="auto"/>
            <w:tcMar>
              <w:top w:w="57" w:type="dxa"/>
              <w:left w:w="0" w:type="dxa"/>
              <w:bottom w:w="57" w:type="dxa"/>
              <w:right w:w="0" w:type="dxa"/>
            </w:tcMar>
            <w:vAlign w:val="center"/>
          </w:tcPr>
          <w:p w14:paraId="171AFF1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2.5%</w:t>
            </w:r>
          </w:p>
        </w:tc>
      </w:tr>
      <w:tr w:rsidR="00D24C00" w:rsidRPr="009E064B" w14:paraId="5D69EF89" w14:textId="77777777" w:rsidTr="00C2323F">
        <w:trPr>
          <w:jc w:val="center"/>
        </w:trPr>
        <w:tc>
          <w:tcPr>
            <w:tcW w:w="1380" w:type="pct"/>
            <w:tcBorders>
              <w:right w:val="nil"/>
            </w:tcBorders>
            <w:shd w:val="clear" w:color="auto" w:fill="auto"/>
            <w:tcMar>
              <w:top w:w="57" w:type="dxa"/>
              <w:left w:w="28" w:type="dxa"/>
              <w:bottom w:w="57" w:type="dxa"/>
              <w:right w:w="28" w:type="dxa"/>
            </w:tcMar>
            <w:vAlign w:val="center"/>
          </w:tcPr>
          <w:p w14:paraId="121B2C9F"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Część pozioma</w:t>
            </w:r>
          </w:p>
        </w:tc>
        <w:tc>
          <w:tcPr>
            <w:tcW w:w="332" w:type="pct"/>
            <w:tcBorders>
              <w:left w:val="nil"/>
              <w:right w:val="nil"/>
            </w:tcBorders>
            <w:shd w:val="clear" w:color="auto" w:fill="auto"/>
            <w:tcMar>
              <w:top w:w="57" w:type="dxa"/>
              <w:left w:w="0" w:type="dxa"/>
              <w:bottom w:w="57" w:type="dxa"/>
              <w:right w:w="0" w:type="dxa"/>
            </w:tcMar>
            <w:vAlign w:val="center"/>
          </w:tcPr>
          <w:p w14:paraId="378B7FF2"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7DB82986"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D1DE5E1" w14:textId="77777777" w:rsidR="00C36D76" w:rsidRPr="009E064B" w:rsidRDefault="00C36D76" w:rsidP="00B06A9A">
            <w:pPr>
              <w:spacing w:after="0"/>
              <w:jc w:val="center"/>
              <w:rPr>
                <w:rFonts w:ascii="Arial Narrow" w:hAnsi="Arial Narrow" w:cstheme="minorHAnsi"/>
                <w:sz w:val="20"/>
                <w:szCs w:val="20"/>
              </w:rPr>
            </w:pPr>
          </w:p>
        </w:tc>
        <w:tc>
          <w:tcPr>
            <w:tcW w:w="332" w:type="pct"/>
            <w:tcBorders>
              <w:left w:val="nil"/>
              <w:right w:val="nil"/>
            </w:tcBorders>
            <w:shd w:val="clear" w:color="auto" w:fill="auto"/>
            <w:tcMar>
              <w:top w:w="57" w:type="dxa"/>
              <w:left w:w="0" w:type="dxa"/>
              <w:bottom w:w="57" w:type="dxa"/>
              <w:right w:w="0" w:type="dxa"/>
            </w:tcMar>
            <w:vAlign w:val="center"/>
          </w:tcPr>
          <w:p w14:paraId="1F08A74E"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2A072884" w14:textId="77777777" w:rsidR="00C36D76" w:rsidRPr="009E064B" w:rsidRDefault="00C36D76" w:rsidP="00B06A9A">
            <w:pPr>
              <w:spacing w:after="0"/>
              <w:jc w:val="center"/>
              <w:rPr>
                <w:rFonts w:ascii="Arial Narrow" w:hAnsi="Arial Narrow" w:cstheme="minorHAnsi"/>
                <w:sz w:val="20"/>
                <w:szCs w:val="20"/>
              </w:rPr>
            </w:pPr>
          </w:p>
        </w:tc>
        <w:tc>
          <w:tcPr>
            <w:tcW w:w="377" w:type="pct"/>
            <w:tcBorders>
              <w:left w:val="nil"/>
              <w:right w:val="nil"/>
            </w:tcBorders>
            <w:shd w:val="clear" w:color="auto" w:fill="auto"/>
            <w:tcMar>
              <w:top w:w="57" w:type="dxa"/>
              <w:left w:w="0" w:type="dxa"/>
              <w:bottom w:w="57" w:type="dxa"/>
              <w:right w:w="0" w:type="dxa"/>
            </w:tcMar>
            <w:vAlign w:val="center"/>
          </w:tcPr>
          <w:p w14:paraId="6FAA06DF" w14:textId="77777777" w:rsidR="00C36D76" w:rsidRPr="009E064B" w:rsidRDefault="00C36D76" w:rsidP="00B06A9A">
            <w:pPr>
              <w:spacing w:after="0"/>
              <w:jc w:val="center"/>
              <w:rPr>
                <w:rFonts w:ascii="Arial Narrow" w:hAnsi="Arial Narrow" w:cstheme="minorHAnsi"/>
                <w:sz w:val="20"/>
                <w:szCs w:val="20"/>
              </w:rPr>
            </w:pPr>
          </w:p>
        </w:tc>
        <w:tc>
          <w:tcPr>
            <w:tcW w:w="378" w:type="pct"/>
            <w:tcBorders>
              <w:left w:val="nil"/>
              <w:right w:val="nil"/>
            </w:tcBorders>
            <w:shd w:val="clear" w:color="auto" w:fill="auto"/>
            <w:tcMar>
              <w:top w:w="57" w:type="dxa"/>
              <w:left w:w="0" w:type="dxa"/>
              <w:bottom w:w="57" w:type="dxa"/>
              <w:right w:w="0" w:type="dxa"/>
            </w:tcMar>
            <w:vAlign w:val="center"/>
          </w:tcPr>
          <w:p w14:paraId="68D69EAE"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0C927B37" w14:textId="77777777" w:rsidR="00C36D76" w:rsidRPr="009E064B" w:rsidRDefault="00C36D76" w:rsidP="00B06A9A">
            <w:pPr>
              <w:spacing w:after="0"/>
              <w:jc w:val="center"/>
              <w:rPr>
                <w:rFonts w:ascii="Arial Narrow" w:hAnsi="Arial Narrow" w:cstheme="minorHAnsi"/>
                <w:sz w:val="20"/>
                <w:szCs w:val="20"/>
              </w:rPr>
            </w:pPr>
          </w:p>
        </w:tc>
        <w:tc>
          <w:tcPr>
            <w:tcW w:w="388" w:type="pct"/>
            <w:tcBorders>
              <w:left w:val="nil"/>
              <w:right w:val="nil"/>
            </w:tcBorders>
            <w:shd w:val="clear" w:color="auto" w:fill="auto"/>
            <w:tcMar>
              <w:top w:w="57" w:type="dxa"/>
              <w:left w:w="0" w:type="dxa"/>
              <w:bottom w:w="57" w:type="dxa"/>
              <w:right w:w="0" w:type="dxa"/>
            </w:tcMar>
            <w:vAlign w:val="center"/>
          </w:tcPr>
          <w:p w14:paraId="6A8DA613" w14:textId="77777777" w:rsidR="00C36D76" w:rsidRPr="009E064B" w:rsidRDefault="00C36D76" w:rsidP="00B06A9A">
            <w:pPr>
              <w:spacing w:after="0"/>
              <w:jc w:val="center"/>
              <w:rPr>
                <w:rFonts w:ascii="Arial Narrow" w:hAnsi="Arial Narrow" w:cstheme="minorHAnsi"/>
                <w:sz w:val="20"/>
                <w:szCs w:val="20"/>
              </w:rPr>
            </w:pPr>
          </w:p>
        </w:tc>
        <w:tc>
          <w:tcPr>
            <w:tcW w:w="384" w:type="pct"/>
            <w:tcBorders>
              <w:left w:val="nil"/>
            </w:tcBorders>
            <w:shd w:val="clear" w:color="auto" w:fill="auto"/>
            <w:tcMar>
              <w:top w:w="57" w:type="dxa"/>
              <w:left w:w="0" w:type="dxa"/>
              <w:bottom w:w="57" w:type="dxa"/>
              <w:right w:w="0" w:type="dxa"/>
            </w:tcMar>
            <w:vAlign w:val="center"/>
          </w:tcPr>
          <w:p w14:paraId="5729107A" w14:textId="77777777" w:rsidR="00C36D76" w:rsidRPr="009E064B" w:rsidRDefault="00C36D76" w:rsidP="00B06A9A">
            <w:pPr>
              <w:spacing w:after="0"/>
              <w:jc w:val="center"/>
              <w:rPr>
                <w:rFonts w:ascii="Arial Narrow" w:hAnsi="Arial Narrow" w:cstheme="minorHAnsi"/>
                <w:sz w:val="20"/>
                <w:szCs w:val="20"/>
              </w:rPr>
            </w:pPr>
          </w:p>
        </w:tc>
      </w:tr>
      <w:tr w:rsidR="00D24C00" w:rsidRPr="009E064B" w14:paraId="2759E384"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4174518"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w:t>
            </w:r>
          </w:p>
        </w:tc>
        <w:tc>
          <w:tcPr>
            <w:tcW w:w="332" w:type="pct"/>
            <w:shd w:val="clear" w:color="auto" w:fill="auto"/>
            <w:tcMar>
              <w:top w:w="57" w:type="dxa"/>
              <w:left w:w="0" w:type="dxa"/>
              <w:bottom w:w="57" w:type="dxa"/>
              <w:right w:w="0" w:type="dxa"/>
            </w:tcMar>
            <w:vAlign w:val="center"/>
          </w:tcPr>
          <w:p w14:paraId="4BC279E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ECB074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DE40F4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12A1B3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0763B8D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7B70D7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8400 m</w:t>
            </w:r>
            <w:r w:rsidRPr="009E064B">
              <w:rPr>
                <w:rFonts w:ascii="Arial Narrow" w:hAnsi="Arial Narrow" w:cstheme="minorHAnsi"/>
                <w:sz w:val="20"/>
                <w:szCs w:val="20"/>
                <w:vertAlign w:val="superscript"/>
              </w:rPr>
              <w:t>b</w:t>
            </w:r>
          </w:p>
        </w:tc>
        <w:tc>
          <w:tcPr>
            <w:tcW w:w="378" w:type="pct"/>
            <w:shd w:val="clear" w:color="auto" w:fill="auto"/>
            <w:tcMar>
              <w:top w:w="57" w:type="dxa"/>
              <w:left w:w="0" w:type="dxa"/>
              <w:bottom w:w="57" w:type="dxa"/>
              <w:right w:w="0" w:type="dxa"/>
            </w:tcMar>
            <w:vAlign w:val="center"/>
          </w:tcPr>
          <w:p w14:paraId="648C3D4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8400 m</w:t>
            </w:r>
            <w:r w:rsidRPr="009E064B">
              <w:rPr>
                <w:rFonts w:ascii="Arial Narrow" w:hAnsi="Arial Narrow" w:cstheme="minorHAnsi"/>
                <w:sz w:val="20"/>
                <w:szCs w:val="20"/>
                <w:vertAlign w:val="superscript"/>
              </w:rPr>
              <w:t>b</w:t>
            </w:r>
          </w:p>
        </w:tc>
        <w:tc>
          <w:tcPr>
            <w:tcW w:w="388" w:type="pct"/>
            <w:shd w:val="clear" w:color="auto" w:fill="auto"/>
            <w:tcMar>
              <w:top w:w="57" w:type="dxa"/>
              <w:left w:w="0" w:type="dxa"/>
              <w:bottom w:w="57" w:type="dxa"/>
              <w:right w:w="0" w:type="dxa"/>
            </w:tcMar>
            <w:vAlign w:val="center"/>
          </w:tcPr>
          <w:p w14:paraId="7317F60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79475D6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8400 m</w:t>
            </w:r>
            <w:r w:rsidRPr="009E064B">
              <w:rPr>
                <w:rFonts w:ascii="Arial Narrow" w:hAnsi="Arial Narrow" w:cstheme="minorHAnsi"/>
                <w:sz w:val="20"/>
                <w:szCs w:val="20"/>
                <w:vertAlign w:val="superscript"/>
              </w:rPr>
              <w:t>b</w:t>
            </w:r>
          </w:p>
        </w:tc>
        <w:tc>
          <w:tcPr>
            <w:tcW w:w="384" w:type="pct"/>
            <w:shd w:val="clear" w:color="auto" w:fill="auto"/>
            <w:tcMar>
              <w:top w:w="57" w:type="dxa"/>
              <w:left w:w="0" w:type="dxa"/>
              <w:bottom w:w="57" w:type="dxa"/>
              <w:right w:w="0" w:type="dxa"/>
            </w:tcMar>
            <w:vAlign w:val="center"/>
          </w:tcPr>
          <w:p w14:paraId="41D8705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8400 m</w:t>
            </w:r>
            <w:r w:rsidRPr="009E064B">
              <w:rPr>
                <w:rFonts w:ascii="Arial Narrow" w:hAnsi="Arial Narrow" w:cstheme="minorHAnsi"/>
                <w:sz w:val="20"/>
                <w:szCs w:val="20"/>
                <w:vertAlign w:val="superscript"/>
              </w:rPr>
              <w:t>b</w:t>
            </w:r>
          </w:p>
        </w:tc>
      </w:tr>
      <w:tr w:rsidR="00D24C00" w:rsidRPr="009E064B" w14:paraId="0299710B"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3E79FDBE"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 całkowita</w:t>
            </w:r>
          </w:p>
        </w:tc>
        <w:tc>
          <w:tcPr>
            <w:tcW w:w="332" w:type="pct"/>
            <w:shd w:val="clear" w:color="auto" w:fill="auto"/>
            <w:tcMar>
              <w:top w:w="57" w:type="dxa"/>
              <w:left w:w="0" w:type="dxa"/>
              <w:bottom w:w="57" w:type="dxa"/>
              <w:right w:w="0" w:type="dxa"/>
            </w:tcMar>
            <w:vAlign w:val="center"/>
          </w:tcPr>
          <w:p w14:paraId="6908441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D2990B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3EA2365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700C854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2B62839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D5ED65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15000 m</w:t>
            </w:r>
          </w:p>
        </w:tc>
        <w:tc>
          <w:tcPr>
            <w:tcW w:w="378" w:type="pct"/>
            <w:shd w:val="clear" w:color="auto" w:fill="auto"/>
            <w:tcMar>
              <w:top w:w="57" w:type="dxa"/>
              <w:left w:w="0" w:type="dxa"/>
              <w:bottom w:w="57" w:type="dxa"/>
              <w:right w:w="0" w:type="dxa"/>
            </w:tcMar>
            <w:vAlign w:val="center"/>
          </w:tcPr>
          <w:p w14:paraId="3A5211C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15000 m</w:t>
            </w:r>
          </w:p>
        </w:tc>
        <w:tc>
          <w:tcPr>
            <w:tcW w:w="388" w:type="pct"/>
            <w:shd w:val="clear" w:color="auto" w:fill="auto"/>
            <w:tcMar>
              <w:top w:w="57" w:type="dxa"/>
              <w:left w:w="0" w:type="dxa"/>
              <w:bottom w:w="57" w:type="dxa"/>
              <w:right w:w="0" w:type="dxa"/>
            </w:tcMar>
            <w:vAlign w:val="center"/>
          </w:tcPr>
          <w:p w14:paraId="79804260" w14:textId="32D9A6FD" w:rsidR="00C36D76" w:rsidRPr="009E064B" w:rsidRDefault="00C36D76" w:rsidP="00816B85">
            <w:pPr>
              <w:spacing w:after="0"/>
              <w:jc w:val="center"/>
              <w:rPr>
                <w:rFonts w:ascii="Arial Narrow" w:hAnsi="Arial Narrow" w:cstheme="minorHAnsi"/>
                <w:sz w:val="20"/>
                <w:szCs w:val="20"/>
              </w:rPr>
            </w:pPr>
            <w:r w:rsidRPr="009E064B">
              <w:rPr>
                <w:rFonts w:ascii="Arial Narrow" w:hAnsi="Arial Narrow" w:cstheme="minorHAnsi"/>
                <w:sz w:val="20"/>
                <w:szCs w:val="20"/>
              </w:rPr>
              <w:t>15000</w:t>
            </w:r>
            <w:r w:rsidR="00D24C00" w:rsidRPr="009E064B">
              <w:rPr>
                <w:rFonts w:ascii="Arial Narrow" w:hAnsi="Arial Narrow" w:cstheme="minorHAnsi"/>
                <w:sz w:val="20"/>
                <w:szCs w:val="20"/>
              </w:rPr>
              <w:t xml:space="preserve"> </w:t>
            </w:r>
            <w:r w:rsidRPr="009E064B">
              <w:rPr>
                <w:rFonts w:ascii="Arial Narrow" w:hAnsi="Arial Narrow" w:cstheme="minorHAnsi"/>
                <w:sz w:val="20"/>
                <w:szCs w:val="20"/>
              </w:rPr>
              <w:t>m</w:t>
            </w:r>
          </w:p>
        </w:tc>
        <w:tc>
          <w:tcPr>
            <w:tcW w:w="388" w:type="pct"/>
            <w:shd w:val="clear" w:color="auto" w:fill="auto"/>
            <w:tcMar>
              <w:top w:w="57" w:type="dxa"/>
              <w:left w:w="0" w:type="dxa"/>
              <w:bottom w:w="57" w:type="dxa"/>
              <w:right w:w="0" w:type="dxa"/>
            </w:tcMar>
            <w:vAlign w:val="center"/>
          </w:tcPr>
          <w:p w14:paraId="487F433A" w14:textId="66098FEE"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w:t>
            </w:r>
            <w:r w:rsidR="00816B85" w:rsidRPr="009E064B">
              <w:rPr>
                <w:rFonts w:ascii="Arial Narrow" w:hAnsi="Arial Narrow" w:cstheme="minorHAnsi"/>
                <w:sz w:val="20"/>
                <w:szCs w:val="20"/>
              </w:rPr>
              <w:t>5000</w:t>
            </w:r>
            <w:r w:rsidR="00D24C00" w:rsidRPr="009E064B">
              <w:rPr>
                <w:rFonts w:ascii="Arial Narrow" w:hAnsi="Arial Narrow" w:cstheme="minorHAnsi"/>
                <w:sz w:val="20"/>
                <w:szCs w:val="20"/>
              </w:rPr>
              <w:t xml:space="preserve"> </w:t>
            </w:r>
            <w:r w:rsidRPr="009E064B">
              <w:rPr>
                <w:rFonts w:ascii="Arial Narrow" w:hAnsi="Arial Narrow" w:cstheme="minorHAnsi"/>
                <w:sz w:val="20"/>
                <w:szCs w:val="20"/>
              </w:rPr>
              <w:t>m</w:t>
            </w:r>
          </w:p>
        </w:tc>
        <w:tc>
          <w:tcPr>
            <w:tcW w:w="384" w:type="pct"/>
            <w:shd w:val="clear" w:color="auto" w:fill="auto"/>
            <w:tcMar>
              <w:top w:w="57" w:type="dxa"/>
              <w:left w:w="0" w:type="dxa"/>
              <w:bottom w:w="57" w:type="dxa"/>
              <w:right w:w="0" w:type="dxa"/>
            </w:tcMar>
            <w:vAlign w:val="center"/>
          </w:tcPr>
          <w:p w14:paraId="5542E6B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15000 m</w:t>
            </w:r>
          </w:p>
        </w:tc>
      </w:tr>
      <w:tr w:rsidR="00C2323F" w:rsidRPr="009E064B" w14:paraId="5903DEEE" w14:textId="77777777" w:rsidTr="00C2323F">
        <w:trPr>
          <w:jc w:val="center"/>
        </w:trPr>
        <w:tc>
          <w:tcPr>
            <w:tcW w:w="5000" w:type="pct"/>
            <w:gridSpan w:val="11"/>
            <w:shd w:val="clear" w:color="auto" w:fill="auto"/>
            <w:tcMar>
              <w:top w:w="57" w:type="dxa"/>
              <w:left w:w="28" w:type="dxa"/>
              <w:bottom w:w="57" w:type="dxa"/>
              <w:right w:w="28" w:type="dxa"/>
            </w:tcMar>
            <w:vAlign w:val="center"/>
          </w:tcPr>
          <w:p w14:paraId="116E8C2A" w14:textId="24AF9E12" w:rsidR="00C2323F" w:rsidRPr="009E064B" w:rsidRDefault="00C2323F" w:rsidP="00C2323F">
            <w:pPr>
              <w:spacing w:after="0"/>
              <w:ind w:left="57"/>
              <w:jc w:val="left"/>
              <w:rPr>
                <w:rFonts w:ascii="Arial Narrow" w:hAnsi="Arial Narrow" w:cstheme="minorHAnsi"/>
                <w:sz w:val="20"/>
                <w:szCs w:val="20"/>
              </w:rPr>
            </w:pPr>
            <w:r w:rsidRPr="009E064B">
              <w:rPr>
                <w:rFonts w:ascii="Arial Narrow" w:hAnsi="Arial Narrow" w:cstheme="minorHAnsi"/>
                <w:b/>
                <w:sz w:val="20"/>
                <w:szCs w:val="20"/>
              </w:rPr>
              <w:t>POWIERZCHNIA PRZEJŚCIOWA</w:t>
            </w:r>
          </w:p>
        </w:tc>
      </w:tr>
      <w:tr w:rsidR="00D24C00" w:rsidRPr="009E064B" w14:paraId="4598EBD1"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48C28BB" w14:textId="77777777" w:rsidR="00C36D76" w:rsidRPr="009E064B" w:rsidRDefault="00C36D76" w:rsidP="00C2323F">
            <w:pPr>
              <w:spacing w:after="0"/>
              <w:ind w:left="111"/>
              <w:jc w:val="left"/>
              <w:rPr>
                <w:rFonts w:ascii="Arial Narrow" w:hAnsi="Arial Narrow" w:cstheme="minorHAnsi"/>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1003405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20%</w:t>
            </w:r>
          </w:p>
        </w:tc>
        <w:tc>
          <w:tcPr>
            <w:tcW w:w="332" w:type="pct"/>
            <w:shd w:val="clear" w:color="auto" w:fill="auto"/>
            <w:tcMar>
              <w:top w:w="57" w:type="dxa"/>
              <w:left w:w="0" w:type="dxa"/>
              <w:bottom w:w="57" w:type="dxa"/>
              <w:right w:w="0" w:type="dxa"/>
            </w:tcMar>
            <w:vAlign w:val="center"/>
          </w:tcPr>
          <w:p w14:paraId="67C8ECA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20%</w:t>
            </w:r>
          </w:p>
        </w:tc>
        <w:tc>
          <w:tcPr>
            <w:tcW w:w="332" w:type="pct"/>
            <w:shd w:val="clear" w:color="auto" w:fill="auto"/>
            <w:tcMar>
              <w:top w:w="57" w:type="dxa"/>
              <w:left w:w="0" w:type="dxa"/>
              <w:bottom w:w="57" w:type="dxa"/>
              <w:right w:w="0" w:type="dxa"/>
            </w:tcMar>
            <w:vAlign w:val="center"/>
          </w:tcPr>
          <w:p w14:paraId="222AA2D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32" w:type="pct"/>
            <w:shd w:val="clear" w:color="auto" w:fill="auto"/>
            <w:tcMar>
              <w:top w:w="57" w:type="dxa"/>
              <w:left w:w="0" w:type="dxa"/>
              <w:bottom w:w="57" w:type="dxa"/>
              <w:right w:w="0" w:type="dxa"/>
            </w:tcMar>
            <w:vAlign w:val="center"/>
          </w:tcPr>
          <w:p w14:paraId="58B627D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77" w:type="pct"/>
            <w:shd w:val="clear" w:color="auto" w:fill="auto"/>
            <w:tcMar>
              <w:top w:w="57" w:type="dxa"/>
              <w:left w:w="0" w:type="dxa"/>
              <w:bottom w:w="57" w:type="dxa"/>
              <w:right w:w="0" w:type="dxa"/>
            </w:tcMar>
            <w:vAlign w:val="center"/>
          </w:tcPr>
          <w:p w14:paraId="5F222D4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20%</w:t>
            </w:r>
          </w:p>
        </w:tc>
        <w:tc>
          <w:tcPr>
            <w:tcW w:w="377" w:type="pct"/>
            <w:shd w:val="clear" w:color="auto" w:fill="auto"/>
            <w:tcMar>
              <w:top w:w="57" w:type="dxa"/>
              <w:left w:w="0" w:type="dxa"/>
              <w:bottom w:w="57" w:type="dxa"/>
              <w:right w:w="0" w:type="dxa"/>
            </w:tcMar>
            <w:vAlign w:val="center"/>
          </w:tcPr>
          <w:p w14:paraId="3D2EF68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78" w:type="pct"/>
            <w:shd w:val="clear" w:color="auto" w:fill="auto"/>
            <w:tcMar>
              <w:top w:w="57" w:type="dxa"/>
              <w:left w:w="0" w:type="dxa"/>
              <w:bottom w:w="57" w:type="dxa"/>
              <w:right w:w="0" w:type="dxa"/>
            </w:tcMar>
            <w:vAlign w:val="center"/>
          </w:tcPr>
          <w:p w14:paraId="4DB4395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88" w:type="pct"/>
            <w:shd w:val="clear" w:color="auto" w:fill="auto"/>
            <w:tcMar>
              <w:top w:w="57" w:type="dxa"/>
              <w:left w:w="0" w:type="dxa"/>
              <w:bottom w:w="57" w:type="dxa"/>
              <w:right w:w="0" w:type="dxa"/>
            </w:tcMar>
            <w:vAlign w:val="center"/>
          </w:tcPr>
          <w:p w14:paraId="16087D1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88" w:type="pct"/>
            <w:shd w:val="clear" w:color="auto" w:fill="auto"/>
            <w:tcMar>
              <w:top w:w="57" w:type="dxa"/>
              <w:left w:w="0" w:type="dxa"/>
              <w:bottom w:w="57" w:type="dxa"/>
              <w:right w:w="0" w:type="dxa"/>
            </w:tcMar>
            <w:vAlign w:val="center"/>
          </w:tcPr>
          <w:p w14:paraId="5EB3EE4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c>
          <w:tcPr>
            <w:tcW w:w="384" w:type="pct"/>
            <w:shd w:val="clear" w:color="auto" w:fill="auto"/>
            <w:tcMar>
              <w:top w:w="57" w:type="dxa"/>
              <w:left w:w="0" w:type="dxa"/>
              <w:bottom w:w="57" w:type="dxa"/>
              <w:right w:w="0" w:type="dxa"/>
            </w:tcMar>
            <w:vAlign w:val="center"/>
          </w:tcPr>
          <w:p w14:paraId="37C96E4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14.3%</w:t>
            </w:r>
          </w:p>
        </w:tc>
      </w:tr>
      <w:tr w:rsidR="00C2323F" w:rsidRPr="009E064B" w14:paraId="6C517B34" w14:textId="77777777" w:rsidTr="00C2323F">
        <w:trPr>
          <w:jc w:val="center"/>
        </w:trPr>
        <w:tc>
          <w:tcPr>
            <w:tcW w:w="5000" w:type="pct"/>
            <w:gridSpan w:val="11"/>
            <w:shd w:val="clear" w:color="auto" w:fill="auto"/>
            <w:tcMar>
              <w:top w:w="57" w:type="dxa"/>
              <w:left w:w="28" w:type="dxa"/>
              <w:bottom w:w="57" w:type="dxa"/>
              <w:right w:w="28" w:type="dxa"/>
            </w:tcMar>
            <w:vAlign w:val="center"/>
          </w:tcPr>
          <w:p w14:paraId="26C4F0AA" w14:textId="07798E9C" w:rsidR="00C2323F" w:rsidRPr="009E064B" w:rsidRDefault="00C2323F" w:rsidP="00C2323F">
            <w:pPr>
              <w:spacing w:after="0"/>
              <w:ind w:left="57"/>
              <w:jc w:val="left"/>
              <w:rPr>
                <w:rFonts w:ascii="Arial Narrow" w:hAnsi="Arial Narrow" w:cstheme="minorHAnsi"/>
                <w:sz w:val="20"/>
                <w:szCs w:val="20"/>
              </w:rPr>
            </w:pPr>
            <w:r w:rsidRPr="009E064B">
              <w:rPr>
                <w:rFonts w:ascii="Arial Narrow" w:hAnsi="Arial Narrow" w:cstheme="minorHAnsi"/>
                <w:b/>
                <w:sz w:val="20"/>
                <w:szCs w:val="20"/>
              </w:rPr>
              <w:t xml:space="preserve">POWIERZCHNIA PRZEJŚCIOWA </w:t>
            </w:r>
            <w:r w:rsidRPr="009E064B">
              <w:rPr>
                <w:rFonts w:ascii="Arial Narrow" w:hAnsi="Arial Narrow" w:cstheme="minorHAnsi"/>
                <w:b/>
                <w:sz w:val="20"/>
                <w:szCs w:val="20"/>
              </w:rPr>
              <w:br/>
              <w:t>WEWNĘTRZNA</w:t>
            </w:r>
          </w:p>
        </w:tc>
      </w:tr>
      <w:tr w:rsidR="00D24C00" w:rsidRPr="009E064B" w14:paraId="3263311A"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CF064BE" w14:textId="77777777" w:rsidR="00C36D76" w:rsidRPr="009E064B" w:rsidRDefault="00C36D76" w:rsidP="00C2323F">
            <w:pPr>
              <w:spacing w:after="0"/>
              <w:ind w:left="111"/>
              <w:jc w:val="left"/>
              <w:rPr>
                <w:rFonts w:ascii="Arial Narrow" w:hAnsi="Arial Narrow" w:cstheme="minorHAnsi"/>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7D558165"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451FE9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68A1E83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656404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55ECA368"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245AEC9"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764F455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A23D8D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40%</w:t>
            </w:r>
          </w:p>
        </w:tc>
        <w:tc>
          <w:tcPr>
            <w:tcW w:w="388" w:type="pct"/>
            <w:shd w:val="clear" w:color="auto" w:fill="auto"/>
            <w:tcMar>
              <w:top w:w="57" w:type="dxa"/>
              <w:left w:w="0" w:type="dxa"/>
              <w:bottom w:w="57" w:type="dxa"/>
              <w:right w:w="0" w:type="dxa"/>
            </w:tcMar>
            <w:vAlign w:val="center"/>
          </w:tcPr>
          <w:p w14:paraId="2C43BAC1"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c>
          <w:tcPr>
            <w:tcW w:w="384" w:type="pct"/>
            <w:shd w:val="clear" w:color="auto" w:fill="auto"/>
            <w:tcMar>
              <w:top w:w="57" w:type="dxa"/>
              <w:left w:w="0" w:type="dxa"/>
              <w:bottom w:w="57" w:type="dxa"/>
              <w:right w:w="0" w:type="dxa"/>
            </w:tcMar>
            <w:vAlign w:val="center"/>
          </w:tcPr>
          <w:p w14:paraId="3D604C7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r>
      <w:tr w:rsidR="00C2323F" w:rsidRPr="009E064B" w14:paraId="335E804F" w14:textId="77777777" w:rsidTr="00C2323F">
        <w:trPr>
          <w:jc w:val="center"/>
        </w:trPr>
        <w:tc>
          <w:tcPr>
            <w:tcW w:w="5000" w:type="pct"/>
            <w:gridSpan w:val="11"/>
            <w:shd w:val="clear" w:color="auto" w:fill="auto"/>
            <w:tcMar>
              <w:top w:w="57" w:type="dxa"/>
              <w:left w:w="28" w:type="dxa"/>
              <w:bottom w:w="57" w:type="dxa"/>
              <w:right w:w="28" w:type="dxa"/>
            </w:tcMar>
            <w:vAlign w:val="center"/>
          </w:tcPr>
          <w:p w14:paraId="76298EF7" w14:textId="00935C8A" w:rsidR="00C2323F" w:rsidRPr="009E064B" w:rsidRDefault="00C2323F" w:rsidP="00C2323F">
            <w:pPr>
              <w:spacing w:after="0"/>
              <w:ind w:left="57"/>
              <w:jc w:val="left"/>
              <w:rPr>
                <w:rFonts w:ascii="Arial Narrow" w:hAnsi="Arial Narrow" w:cstheme="minorHAnsi"/>
                <w:b/>
                <w:sz w:val="20"/>
                <w:szCs w:val="20"/>
              </w:rPr>
            </w:pPr>
            <w:r w:rsidRPr="009E064B">
              <w:rPr>
                <w:rFonts w:ascii="Arial Narrow" w:hAnsi="Arial Narrow" w:cstheme="minorHAnsi"/>
                <w:b/>
                <w:sz w:val="20"/>
                <w:szCs w:val="20"/>
              </w:rPr>
              <w:t>POWIERZCHNIA PRZERWANEGO</w:t>
            </w:r>
            <w:r w:rsidRPr="009E064B">
              <w:rPr>
                <w:rFonts w:ascii="Arial Narrow" w:hAnsi="Arial Narrow" w:cstheme="minorHAnsi"/>
                <w:b/>
                <w:sz w:val="20"/>
                <w:szCs w:val="20"/>
              </w:rPr>
              <w:br/>
              <w:t>LĄDOWANIA</w:t>
            </w:r>
          </w:p>
        </w:tc>
      </w:tr>
      <w:tr w:rsidR="00D24C00" w:rsidRPr="009E064B" w14:paraId="31883BCB"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4B6D23CD"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Długość krawędzi wewnętrznej</w:t>
            </w:r>
          </w:p>
        </w:tc>
        <w:tc>
          <w:tcPr>
            <w:tcW w:w="332" w:type="pct"/>
            <w:shd w:val="clear" w:color="auto" w:fill="auto"/>
            <w:tcMar>
              <w:top w:w="57" w:type="dxa"/>
              <w:left w:w="0" w:type="dxa"/>
              <w:bottom w:w="57" w:type="dxa"/>
              <w:right w:w="0" w:type="dxa"/>
            </w:tcMar>
            <w:vAlign w:val="center"/>
          </w:tcPr>
          <w:p w14:paraId="350345C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99939D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664BBBD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27170A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54FACEA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34D74B78"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427700C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A6699E1" w14:textId="77777777" w:rsidR="00C36D76" w:rsidRPr="009E064B" w:rsidRDefault="00C36D76" w:rsidP="00B06A9A">
            <w:pPr>
              <w:spacing w:after="0"/>
              <w:jc w:val="center"/>
              <w:rPr>
                <w:rFonts w:ascii="Arial Narrow" w:hAnsi="Arial Narrow" w:cstheme="minorHAnsi"/>
                <w:sz w:val="20"/>
                <w:szCs w:val="20"/>
              </w:rPr>
            </w:pPr>
            <w:smartTag w:uri="urn:schemas-microsoft-com:office:smarttags" w:element="metricconverter">
              <w:smartTagPr>
                <w:attr w:name="ProductID" w:val="90 m"/>
              </w:smartTagPr>
              <w:r w:rsidRPr="009E064B">
                <w:rPr>
                  <w:rFonts w:ascii="Arial Narrow" w:hAnsi="Arial Narrow" w:cstheme="minorHAnsi"/>
                  <w:sz w:val="20"/>
                  <w:szCs w:val="20"/>
                </w:rPr>
                <w:t>90 m</w:t>
              </w:r>
            </w:smartTag>
          </w:p>
        </w:tc>
        <w:tc>
          <w:tcPr>
            <w:tcW w:w="388" w:type="pct"/>
            <w:shd w:val="clear" w:color="auto" w:fill="auto"/>
            <w:tcMar>
              <w:top w:w="57" w:type="dxa"/>
              <w:left w:w="0" w:type="dxa"/>
              <w:bottom w:w="57" w:type="dxa"/>
              <w:right w:w="0" w:type="dxa"/>
            </w:tcMar>
            <w:vAlign w:val="center"/>
          </w:tcPr>
          <w:p w14:paraId="7D2A2BA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120 m</w:t>
            </w:r>
            <w:r w:rsidRPr="009E064B">
              <w:rPr>
                <w:rFonts w:ascii="Arial Narrow" w:hAnsi="Arial Narrow" w:cstheme="minorHAnsi"/>
                <w:sz w:val="20"/>
                <w:szCs w:val="20"/>
                <w:vertAlign w:val="superscript"/>
              </w:rPr>
              <w:t>e</w:t>
            </w:r>
          </w:p>
        </w:tc>
        <w:tc>
          <w:tcPr>
            <w:tcW w:w="384" w:type="pct"/>
            <w:shd w:val="clear" w:color="auto" w:fill="auto"/>
            <w:tcMar>
              <w:top w:w="57" w:type="dxa"/>
              <w:left w:w="0" w:type="dxa"/>
              <w:bottom w:w="57" w:type="dxa"/>
              <w:right w:w="0" w:type="dxa"/>
            </w:tcMar>
            <w:vAlign w:val="center"/>
          </w:tcPr>
          <w:p w14:paraId="55DA44A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120 m</w:t>
            </w:r>
            <w:r w:rsidRPr="009E064B">
              <w:rPr>
                <w:rFonts w:ascii="Arial Narrow" w:hAnsi="Arial Narrow" w:cstheme="minorHAnsi"/>
                <w:sz w:val="20"/>
                <w:szCs w:val="20"/>
                <w:vertAlign w:val="superscript"/>
              </w:rPr>
              <w:t>e</w:t>
            </w:r>
          </w:p>
        </w:tc>
      </w:tr>
      <w:tr w:rsidR="00D24C00" w:rsidRPr="009E064B" w14:paraId="5A93F57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526AAA05"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Odległość od progu</w:t>
            </w:r>
          </w:p>
        </w:tc>
        <w:tc>
          <w:tcPr>
            <w:tcW w:w="332" w:type="pct"/>
            <w:shd w:val="clear" w:color="auto" w:fill="auto"/>
            <w:tcMar>
              <w:top w:w="57" w:type="dxa"/>
              <w:left w:w="0" w:type="dxa"/>
              <w:bottom w:w="57" w:type="dxa"/>
              <w:right w:w="0" w:type="dxa"/>
            </w:tcMar>
            <w:vAlign w:val="center"/>
          </w:tcPr>
          <w:p w14:paraId="6109626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010C21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DF1C5F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F437822"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A64720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A78B51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03C9098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52805557" w14:textId="77777777" w:rsidR="00C36D76" w:rsidRPr="009E064B" w:rsidRDefault="00C36D76" w:rsidP="00B06A9A">
            <w:pPr>
              <w:spacing w:after="0"/>
              <w:jc w:val="center"/>
              <w:rPr>
                <w:rFonts w:ascii="Arial Narrow" w:hAnsi="Arial Narrow" w:cstheme="minorHAnsi"/>
                <w:sz w:val="20"/>
                <w:szCs w:val="20"/>
                <w:vertAlign w:val="superscript"/>
              </w:rPr>
            </w:pPr>
            <w:r w:rsidRPr="009E064B">
              <w:rPr>
                <w:rFonts w:ascii="Arial Narrow" w:hAnsi="Arial Narrow" w:cstheme="minorHAnsi"/>
                <w:sz w:val="20"/>
                <w:szCs w:val="20"/>
                <w:vertAlign w:val="superscript"/>
              </w:rPr>
              <w:t>c</w:t>
            </w:r>
          </w:p>
        </w:tc>
        <w:tc>
          <w:tcPr>
            <w:tcW w:w="388" w:type="pct"/>
            <w:shd w:val="clear" w:color="auto" w:fill="auto"/>
            <w:tcMar>
              <w:top w:w="57" w:type="dxa"/>
              <w:left w:w="0" w:type="dxa"/>
              <w:bottom w:w="57" w:type="dxa"/>
              <w:right w:w="0" w:type="dxa"/>
            </w:tcMar>
            <w:vAlign w:val="center"/>
          </w:tcPr>
          <w:p w14:paraId="2056D2C2" w14:textId="385455EF" w:rsidR="00C36D76" w:rsidRPr="009E064B" w:rsidRDefault="00C36D76" w:rsidP="00CB684C">
            <w:pPr>
              <w:spacing w:after="0"/>
              <w:jc w:val="center"/>
              <w:rPr>
                <w:rFonts w:ascii="Arial Narrow" w:hAnsi="Arial Narrow" w:cstheme="minorHAnsi"/>
                <w:sz w:val="20"/>
                <w:szCs w:val="20"/>
                <w:vertAlign w:val="superscript"/>
              </w:rPr>
            </w:pPr>
            <w:r w:rsidRPr="009E064B">
              <w:rPr>
                <w:rFonts w:ascii="Arial Narrow" w:hAnsi="Arial Narrow" w:cstheme="minorHAnsi"/>
                <w:sz w:val="20"/>
                <w:szCs w:val="20"/>
              </w:rPr>
              <w:t>1800</w:t>
            </w:r>
            <w:r w:rsidR="00D24C00" w:rsidRPr="009E064B">
              <w:rPr>
                <w:rFonts w:ascii="Arial Narrow" w:hAnsi="Arial Narrow" w:cstheme="minorHAnsi"/>
                <w:sz w:val="20"/>
                <w:szCs w:val="20"/>
              </w:rPr>
              <w:t xml:space="preserve"> </w:t>
            </w:r>
            <w:r w:rsidRPr="009E064B">
              <w:rPr>
                <w:rFonts w:ascii="Arial Narrow" w:hAnsi="Arial Narrow" w:cstheme="minorHAnsi"/>
                <w:sz w:val="20"/>
                <w:szCs w:val="20"/>
              </w:rPr>
              <w:t>m</w:t>
            </w:r>
            <w:r w:rsidRPr="009E064B">
              <w:rPr>
                <w:rFonts w:ascii="Arial Narrow" w:hAnsi="Arial Narrow" w:cstheme="minorHAnsi"/>
                <w:sz w:val="20"/>
                <w:szCs w:val="20"/>
                <w:vertAlign w:val="superscript"/>
              </w:rPr>
              <w:t>d</w:t>
            </w:r>
          </w:p>
        </w:tc>
        <w:tc>
          <w:tcPr>
            <w:tcW w:w="384" w:type="pct"/>
            <w:shd w:val="clear" w:color="auto" w:fill="auto"/>
            <w:tcMar>
              <w:top w:w="57" w:type="dxa"/>
              <w:left w:w="0" w:type="dxa"/>
              <w:bottom w:w="57" w:type="dxa"/>
              <w:right w:w="0" w:type="dxa"/>
            </w:tcMar>
            <w:vAlign w:val="center"/>
          </w:tcPr>
          <w:p w14:paraId="3DE02263" w14:textId="10EB2C62" w:rsidR="00C36D76" w:rsidRPr="009E064B" w:rsidRDefault="00C36D76" w:rsidP="00CB684C">
            <w:pPr>
              <w:spacing w:after="0"/>
              <w:jc w:val="center"/>
              <w:rPr>
                <w:rFonts w:ascii="Arial Narrow" w:hAnsi="Arial Narrow" w:cstheme="minorHAnsi"/>
                <w:sz w:val="20"/>
                <w:szCs w:val="20"/>
              </w:rPr>
            </w:pPr>
            <w:r w:rsidRPr="009E064B">
              <w:rPr>
                <w:rFonts w:ascii="Arial Narrow" w:hAnsi="Arial Narrow" w:cstheme="minorHAnsi"/>
                <w:sz w:val="20"/>
                <w:szCs w:val="20"/>
              </w:rPr>
              <w:t>1800</w:t>
            </w:r>
            <w:r w:rsidR="00D24C00" w:rsidRPr="009E064B">
              <w:rPr>
                <w:rFonts w:ascii="Arial Narrow" w:hAnsi="Arial Narrow" w:cstheme="minorHAnsi"/>
                <w:sz w:val="20"/>
                <w:szCs w:val="20"/>
              </w:rPr>
              <w:t xml:space="preserve"> </w:t>
            </w:r>
            <w:r w:rsidRPr="009E064B">
              <w:rPr>
                <w:rFonts w:ascii="Arial Narrow" w:hAnsi="Arial Narrow" w:cstheme="minorHAnsi"/>
                <w:sz w:val="20"/>
                <w:szCs w:val="20"/>
              </w:rPr>
              <w:t>m</w:t>
            </w:r>
            <w:r w:rsidRPr="009E064B">
              <w:rPr>
                <w:rFonts w:ascii="Arial Narrow" w:hAnsi="Arial Narrow" w:cstheme="minorHAnsi"/>
                <w:sz w:val="20"/>
                <w:szCs w:val="20"/>
                <w:vertAlign w:val="superscript"/>
              </w:rPr>
              <w:t>d</w:t>
            </w:r>
          </w:p>
        </w:tc>
      </w:tr>
      <w:tr w:rsidR="00D24C00" w:rsidRPr="009E064B" w14:paraId="0B13636F"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793DF88D" w14:textId="61AD3E5A"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 xml:space="preserve">Rozchylenie </w:t>
            </w:r>
            <w:r w:rsidR="00322505" w:rsidRPr="009E064B">
              <w:rPr>
                <w:rFonts w:ascii="Arial" w:hAnsi="Arial" w:cs="Arial"/>
                <w:sz w:val="20"/>
                <w:szCs w:val="20"/>
              </w:rPr>
              <w:br/>
            </w:r>
            <w:r w:rsidRPr="009E064B">
              <w:rPr>
                <w:rFonts w:ascii="Arial" w:hAnsi="Arial" w:cs="Arial"/>
                <w:sz w:val="20"/>
                <w:szCs w:val="20"/>
              </w:rPr>
              <w:t>(z każdej strony)</w:t>
            </w:r>
          </w:p>
        </w:tc>
        <w:tc>
          <w:tcPr>
            <w:tcW w:w="332" w:type="pct"/>
            <w:shd w:val="clear" w:color="auto" w:fill="auto"/>
            <w:tcMar>
              <w:top w:w="57" w:type="dxa"/>
              <w:left w:w="0" w:type="dxa"/>
              <w:bottom w:w="57" w:type="dxa"/>
              <w:right w:w="0" w:type="dxa"/>
            </w:tcMar>
            <w:vAlign w:val="center"/>
          </w:tcPr>
          <w:p w14:paraId="59753D3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1BB75D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0FA3F4A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1FEC50DB"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47E6AAE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7737A62D"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2CEEFE04"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6793A80E"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88" w:type="pct"/>
            <w:shd w:val="clear" w:color="auto" w:fill="auto"/>
            <w:tcMar>
              <w:top w:w="57" w:type="dxa"/>
              <w:left w:w="0" w:type="dxa"/>
              <w:bottom w:w="57" w:type="dxa"/>
              <w:right w:w="0" w:type="dxa"/>
            </w:tcMar>
            <w:vAlign w:val="center"/>
          </w:tcPr>
          <w:p w14:paraId="26A321AA"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c>
          <w:tcPr>
            <w:tcW w:w="384" w:type="pct"/>
            <w:shd w:val="clear" w:color="auto" w:fill="auto"/>
            <w:tcMar>
              <w:top w:w="57" w:type="dxa"/>
              <w:left w:w="0" w:type="dxa"/>
              <w:bottom w:w="57" w:type="dxa"/>
              <w:right w:w="0" w:type="dxa"/>
            </w:tcMar>
            <w:vAlign w:val="center"/>
          </w:tcPr>
          <w:p w14:paraId="5B4F44E8"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10%</w:t>
            </w:r>
          </w:p>
        </w:tc>
      </w:tr>
      <w:tr w:rsidR="00D24C00" w:rsidRPr="009E064B" w14:paraId="67EED6C2" w14:textId="77777777" w:rsidTr="00C2323F">
        <w:trPr>
          <w:trHeight w:val="284"/>
          <w:jc w:val="center"/>
        </w:trPr>
        <w:tc>
          <w:tcPr>
            <w:tcW w:w="1380" w:type="pct"/>
            <w:shd w:val="clear" w:color="auto" w:fill="auto"/>
            <w:tcMar>
              <w:top w:w="57" w:type="dxa"/>
              <w:left w:w="28" w:type="dxa"/>
              <w:bottom w:w="57" w:type="dxa"/>
              <w:right w:w="28" w:type="dxa"/>
            </w:tcMar>
            <w:vAlign w:val="center"/>
          </w:tcPr>
          <w:p w14:paraId="01DA4310" w14:textId="77777777" w:rsidR="00C36D76" w:rsidRPr="009E064B" w:rsidRDefault="00C36D76" w:rsidP="00C2323F">
            <w:pPr>
              <w:spacing w:after="0"/>
              <w:ind w:left="111"/>
              <w:jc w:val="left"/>
              <w:rPr>
                <w:rFonts w:ascii="Arial" w:hAnsi="Arial" w:cs="Arial"/>
                <w:sz w:val="20"/>
                <w:szCs w:val="20"/>
              </w:rPr>
            </w:pPr>
            <w:r w:rsidRPr="009E064B">
              <w:rPr>
                <w:rFonts w:ascii="Arial" w:hAnsi="Arial" w:cs="Arial"/>
                <w:sz w:val="20"/>
                <w:szCs w:val="20"/>
              </w:rPr>
              <w:t>Nachylenie</w:t>
            </w:r>
          </w:p>
        </w:tc>
        <w:tc>
          <w:tcPr>
            <w:tcW w:w="332" w:type="pct"/>
            <w:shd w:val="clear" w:color="auto" w:fill="auto"/>
            <w:tcMar>
              <w:top w:w="57" w:type="dxa"/>
              <w:left w:w="0" w:type="dxa"/>
              <w:bottom w:w="57" w:type="dxa"/>
              <w:right w:w="0" w:type="dxa"/>
            </w:tcMar>
            <w:vAlign w:val="center"/>
          </w:tcPr>
          <w:p w14:paraId="2D4B76F5"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431F6D0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27A74040"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32" w:type="pct"/>
            <w:shd w:val="clear" w:color="auto" w:fill="auto"/>
            <w:tcMar>
              <w:top w:w="57" w:type="dxa"/>
              <w:left w:w="0" w:type="dxa"/>
              <w:bottom w:w="57" w:type="dxa"/>
              <w:right w:w="0" w:type="dxa"/>
            </w:tcMar>
            <w:vAlign w:val="center"/>
          </w:tcPr>
          <w:p w14:paraId="5658976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1FB49D63"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7" w:type="pct"/>
            <w:shd w:val="clear" w:color="auto" w:fill="auto"/>
            <w:tcMar>
              <w:top w:w="57" w:type="dxa"/>
              <w:left w:w="0" w:type="dxa"/>
              <w:bottom w:w="57" w:type="dxa"/>
              <w:right w:w="0" w:type="dxa"/>
            </w:tcMar>
            <w:vAlign w:val="center"/>
          </w:tcPr>
          <w:p w14:paraId="6F06B26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78" w:type="pct"/>
            <w:shd w:val="clear" w:color="auto" w:fill="auto"/>
            <w:tcMar>
              <w:top w:w="57" w:type="dxa"/>
              <w:left w:w="0" w:type="dxa"/>
              <w:bottom w:w="57" w:type="dxa"/>
              <w:right w:w="0" w:type="dxa"/>
            </w:tcMar>
            <w:vAlign w:val="center"/>
          </w:tcPr>
          <w:p w14:paraId="6EF8337F"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w:t>
            </w:r>
          </w:p>
        </w:tc>
        <w:tc>
          <w:tcPr>
            <w:tcW w:w="388" w:type="pct"/>
            <w:shd w:val="clear" w:color="auto" w:fill="auto"/>
            <w:tcMar>
              <w:top w:w="57" w:type="dxa"/>
              <w:left w:w="0" w:type="dxa"/>
              <w:bottom w:w="57" w:type="dxa"/>
              <w:right w:w="0" w:type="dxa"/>
            </w:tcMar>
            <w:vAlign w:val="center"/>
          </w:tcPr>
          <w:p w14:paraId="42DC93FC"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4%</w:t>
            </w:r>
          </w:p>
        </w:tc>
        <w:tc>
          <w:tcPr>
            <w:tcW w:w="388" w:type="pct"/>
            <w:shd w:val="clear" w:color="auto" w:fill="auto"/>
            <w:tcMar>
              <w:top w:w="57" w:type="dxa"/>
              <w:left w:w="0" w:type="dxa"/>
              <w:bottom w:w="57" w:type="dxa"/>
              <w:right w:w="0" w:type="dxa"/>
            </w:tcMar>
            <w:vAlign w:val="center"/>
          </w:tcPr>
          <w:p w14:paraId="23260656"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c>
          <w:tcPr>
            <w:tcW w:w="384" w:type="pct"/>
            <w:shd w:val="clear" w:color="auto" w:fill="auto"/>
            <w:tcMar>
              <w:top w:w="57" w:type="dxa"/>
              <w:left w:w="0" w:type="dxa"/>
              <w:bottom w:w="57" w:type="dxa"/>
              <w:right w:w="0" w:type="dxa"/>
            </w:tcMar>
            <w:vAlign w:val="center"/>
          </w:tcPr>
          <w:p w14:paraId="04CDD847" w14:textId="77777777" w:rsidR="00C36D76" w:rsidRPr="009E064B" w:rsidRDefault="00C36D76" w:rsidP="00B06A9A">
            <w:pPr>
              <w:spacing w:after="0"/>
              <w:jc w:val="center"/>
              <w:rPr>
                <w:rFonts w:ascii="Arial Narrow" w:hAnsi="Arial Narrow" w:cstheme="minorHAnsi"/>
                <w:sz w:val="20"/>
                <w:szCs w:val="20"/>
              </w:rPr>
            </w:pPr>
            <w:r w:rsidRPr="009E064B">
              <w:rPr>
                <w:rFonts w:ascii="Arial Narrow" w:hAnsi="Arial Narrow" w:cstheme="minorHAnsi"/>
                <w:sz w:val="20"/>
                <w:szCs w:val="20"/>
              </w:rPr>
              <w:t>3.33%</w:t>
            </w:r>
          </w:p>
        </w:tc>
      </w:tr>
      <w:tr w:rsidR="00C36D76" w:rsidRPr="009E064B" w14:paraId="1981656F" w14:textId="77777777" w:rsidTr="00EE313F">
        <w:trPr>
          <w:jc w:val="center"/>
        </w:trPr>
        <w:tc>
          <w:tcPr>
            <w:tcW w:w="5000" w:type="pct"/>
            <w:gridSpan w:val="11"/>
            <w:shd w:val="clear" w:color="auto" w:fill="auto"/>
            <w:tcMar>
              <w:top w:w="57" w:type="dxa"/>
              <w:left w:w="85" w:type="dxa"/>
              <w:bottom w:w="57" w:type="dxa"/>
              <w:right w:w="57" w:type="dxa"/>
            </w:tcMar>
            <w:vAlign w:val="center"/>
          </w:tcPr>
          <w:p w14:paraId="50B1CECE" w14:textId="77777777" w:rsidR="00C36D76" w:rsidRPr="009E064B" w:rsidRDefault="00C36D76" w:rsidP="00A73874">
            <w:pPr>
              <w:tabs>
                <w:tab w:val="left" w:pos="431"/>
              </w:tabs>
              <w:spacing w:before="120"/>
              <w:ind w:left="431" w:hanging="379"/>
              <w:rPr>
                <w:rFonts w:asciiTheme="minorHAnsi" w:hAnsiTheme="minorHAnsi" w:cstheme="minorHAnsi"/>
                <w:sz w:val="20"/>
                <w:szCs w:val="20"/>
              </w:rPr>
            </w:pPr>
            <w:r w:rsidRPr="009E064B">
              <w:rPr>
                <w:rFonts w:asciiTheme="minorHAnsi" w:hAnsiTheme="minorHAnsi" w:cstheme="minorHAnsi"/>
                <w:sz w:val="20"/>
                <w:szCs w:val="20"/>
              </w:rPr>
              <w:t xml:space="preserve">a. </w:t>
            </w:r>
            <w:r w:rsidRPr="009E064B">
              <w:rPr>
                <w:rFonts w:asciiTheme="minorHAnsi" w:hAnsiTheme="minorHAnsi" w:cstheme="minorHAnsi"/>
                <w:sz w:val="20"/>
                <w:szCs w:val="20"/>
              </w:rPr>
              <w:tab/>
              <w:t>Wszystkie wymiary mierzone są w płaszczyźnie poziomej, jeśli nie określono inaczej.</w:t>
            </w:r>
          </w:p>
          <w:p w14:paraId="5057981E" w14:textId="2EF1AD44" w:rsidR="00C36D76" w:rsidRPr="009E064B" w:rsidRDefault="00C36D76" w:rsidP="00A73874">
            <w:pPr>
              <w:tabs>
                <w:tab w:val="left" w:pos="431"/>
              </w:tabs>
              <w:ind w:left="431" w:hanging="379"/>
              <w:rPr>
                <w:rFonts w:asciiTheme="minorHAnsi" w:hAnsiTheme="minorHAnsi" w:cstheme="minorHAnsi"/>
                <w:sz w:val="20"/>
                <w:szCs w:val="20"/>
              </w:rPr>
            </w:pPr>
            <w:r w:rsidRPr="009E064B">
              <w:rPr>
                <w:rFonts w:asciiTheme="minorHAnsi" w:hAnsiTheme="minorHAnsi" w:cstheme="minorHAnsi"/>
                <w:sz w:val="20"/>
                <w:szCs w:val="20"/>
              </w:rPr>
              <w:t xml:space="preserve">b.   </w:t>
            </w:r>
            <w:r w:rsidRPr="009E064B">
              <w:rPr>
                <w:rFonts w:asciiTheme="minorHAnsi" w:hAnsiTheme="minorHAnsi" w:cstheme="minorHAnsi"/>
                <w:sz w:val="20"/>
                <w:szCs w:val="20"/>
              </w:rPr>
              <w:tab/>
              <w:t>Długość zmienna (</w:t>
            </w:r>
            <w:hyperlink w:anchor="_CS_ADR-DSN.J.475_" w:history="1">
              <w:r w:rsidRPr="009E064B">
                <w:rPr>
                  <w:rStyle w:val="Hipercze"/>
                  <w:rFonts w:asciiTheme="minorHAnsi" w:hAnsiTheme="minorHAnsi" w:cstheme="minorHAnsi"/>
                  <w:sz w:val="20"/>
                  <w:szCs w:val="20"/>
                </w:rPr>
                <w:t>CS ADR-DSN.J.475</w:t>
              </w:r>
            </w:hyperlink>
            <w:r w:rsidRPr="009E064B">
              <w:rPr>
                <w:rFonts w:asciiTheme="minorHAnsi" w:hAnsiTheme="minorHAnsi" w:cstheme="minorHAnsi"/>
                <w:sz w:val="20"/>
                <w:szCs w:val="20"/>
              </w:rPr>
              <w:t xml:space="preserve"> </w:t>
            </w:r>
            <w:r w:rsidR="000F46FC" w:rsidRPr="009E064B">
              <w:rPr>
                <w:rFonts w:asciiTheme="minorHAnsi" w:hAnsiTheme="minorHAnsi" w:cstheme="minorHAnsi"/>
                <w:sz w:val="20"/>
                <w:szCs w:val="20"/>
              </w:rPr>
              <w:t>lit.</w:t>
            </w:r>
            <w:r w:rsidR="005E3E07" w:rsidRPr="009E064B">
              <w:rPr>
                <w:rFonts w:asciiTheme="minorHAnsi" w:hAnsiTheme="minorHAnsi" w:cstheme="minorHAnsi"/>
                <w:sz w:val="20"/>
                <w:szCs w:val="20"/>
              </w:rPr>
              <w:t xml:space="preserve"> </w:t>
            </w:r>
            <w:r w:rsidRPr="009E064B">
              <w:rPr>
                <w:rFonts w:asciiTheme="minorHAnsi" w:hAnsiTheme="minorHAnsi" w:cstheme="minorHAnsi"/>
                <w:sz w:val="20"/>
                <w:szCs w:val="20"/>
              </w:rPr>
              <w:t xml:space="preserve">(c) lub </w:t>
            </w:r>
            <w:hyperlink w:anchor="_CS_ADR-DSN.J.480_" w:history="1">
              <w:r w:rsidRPr="009E064B">
                <w:rPr>
                  <w:rStyle w:val="Hipercze"/>
                  <w:rFonts w:asciiTheme="minorHAnsi" w:hAnsiTheme="minorHAnsi" w:cstheme="minorHAnsi"/>
                  <w:sz w:val="20"/>
                  <w:szCs w:val="20"/>
                </w:rPr>
                <w:t>CS ADR-DSN.J.480</w:t>
              </w:r>
            </w:hyperlink>
            <w:r w:rsidRPr="009E064B">
              <w:rPr>
                <w:rFonts w:asciiTheme="minorHAnsi" w:hAnsiTheme="minorHAnsi" w:cstheme="minorHAnsi"/>
                <w:sz w:val="20"/>
                <w:szCs w:val="20"/>
              </w:rPr>
              <w:t xml:space="preserve"> </w:t>
            </w:r>
            <w:r w:rsidR="000F46FC" w:rsidRPr="009E064B">
              <w:rPr>
                <w:rFonts w:asciiTheme="minorHAnsi" w:hAnsiTheme="minorHAnsi" w:cstheme="minorHAnsi"/>
                <w:sz w:val="20"/>
                <w:szCs w:val="20"/>
              </w:rPr>
              <w:t>lit.</w:t>
            </w:r>
            <w:r w:rsidR="005E3E07" w:rsidRPr="009E064B">
              <w:rPr>
                <w:rFonts w:asciiTheme="minorHAnsi" w:hAnsiTheme="minorHAnsi" w:cstheme="minorHAnsi"/>
                <w:sz w:val="20"/>
                <w:szCs w:val="20"/>
              </w:rPr>
              <w:t xml:space="preserve"> </w:t>
            </w:r>
            <w:r w:rsidRPr="009E064B">
              <w:rPr>
                <w:rFonts w:asciiTheme="minorHAnsi" w:hAnsiTheme="minorHAnsi" w:cstheme="minorHAnsi"/>
                <w:sz w:val="20"/>
                <w:szCs w:val="20"/>
              </w:rPr>
              <w:t xml:space="preserve">(d)). </w:t>
            </w:r>
          </w:p>
          <w:p w14:paraId="4B738439" w14:textId="77777777" w:rsidR="00C36D76" w:rsidRPr="009E064B" w:rsidRDefault="00C36D76" w:rsidP="00A73874">
            <w:pPr>
              <w:tabs>
                <w:tab w:val="left" w:pos="431"/>
              </w:tabs>
              <w:ind w:left="431" w:hanging="379"/>
              <w:rPr>
                <w:rFonts w:asciiTheme="minorHAnsi" w:hAnsiTheme="minorHAnsi" w:cstheme="minorHAnsi"/>
                <w:sz w:val="20"/>
                <w:szCs w:val="20"/>
              </w:rPr>
            </w:pPr>
            <w:r w:rsidRPr="009E064B">
              <w:rPr>
                <w:rFonts w:asciiTheme="minorHAnsi" w:hAnsiTheme="minorHAnsi" w:cstheme="minorHAnsi"/>
                <w:sz w:val="20"/>
                <w:szCs w:val="20"/>
              </w:rPr>
              <w:t xml:space="preserve">c.   </w:t>
            </w:r>
            <w:r w:rsidRPr="009E064B">
              <w:rPr>
                <w:rFonts w:asciiTheme="minorHAnsi" w:hAnsiTheme="minorHAnsi" w:cstheme="minorHAnsi"/>
                <w:sz w:val="20"/>
                <w:szCs w:val="20"/>
              </w:rPr>
              <w:tab/>
              <w:t>Odległość do końca pasa drogi startowej.</w:t>
            </w:r>
          </w:p>
          <w:p w14:paraId="29A469EE" w14:textId="77777777" w:rsidR="00C36D76" w:rsidRPr="009E064B" w:rsidRDefault="00C36D76" w:rsidP="00A73874">
            <w:pPr>
              <w:tabs>
                <w:tab w:val="left" w:pos="431"/>
              </w:tabs>
              <w:ind w:left="431" w:hanging="379"/>
              <w:rPr>
                <w:rFonts w:asciiTheme="minorHAnsi" w:hAnsiTheme="minorHAnsi" w:cstheme="minorHAnsi"/>
                <w:sz w:val="20"/>
                <w:szCs w:val="20"/>
              </w:rPr>
            </w:pPr>
            <w:r w:rsidRPr="009E064B">
              <w:rPr>
                <w:rFonts w:asciiTheme="minorHAnsi" w:hAnsiTheme="minorHAnsi" w:cstheme="minorHAnsi"/>
                <w:sz w:val="20"/>
                <w:szCs w:val="20"/>
              </w:rPr>
              <w:t xml:space="preserve">d.   </w:t>
            </w:r>
            <w:r w:rsidRPr="009E064B">
              <w:rPr>
                <w:rFonts w:asciiTheme="minorHAnsi" w:hAnsiTheme="minorHAnsi" w:cstheme="minorHAnsi"/>
                <w:sz w:val="20"/>
                <w:szCs w:val="20"/>
              </w:rPr>
              <w:tab/>
              <w:t>Albo do końca drogi startowej, w zależności, który wymiar jest mniejszy.</w:t>
            </w:r>
          </w:p>
          <w:p w14:paraId="2380A688" w14:textId="79BAFC5A" w:rsidR="00C36D76" w:rsidRPr="009E064B" w:rsidRDefault="00C36D76" w:rsidP="000D78F5">
            <w:pPr>
              <w:tabs>
                <w:tab w:val="left" w:pos="431"/>
              </w:tabs>
              <w:spacing w:before="120"/>
              <w:ind w:left="431" w:hanging="379"/>
              <w:rPr>
                <w:rFonts w:ascii="Arial Narrow" w:hAnsi="Arial Narrow" w:cstheme="minorHAnsi"/>
                <w:sz w:val="20"/>
                <w:szCs w:val="20"/>
              </w:rPr>
            </w:pPr>
            <w:r w:rsidRPr="009E064B">
              <w:rPr>
                <w:rFonts w:asciiTheme="minorHAnsi" w:hAnsiTheme="minorHAnsi" w:cstheme="minorHAnsi"/>
                <w:sz w:val="20"/>
                <w:szCs w:val="20"/>
              </w:rPr>
              <w:t xml:space="preserve">e.   </w:t>
            </w:r>
            <w:r w:rsidRPr="009E064B">
              <w:rPr>
                <w:rFonts w:asciiTheme="minorHAnsi" w:hAnsiTheme="minorHAnsi" w:cstheme="minorHAnsi"/>
                <w:sz w:val="20"/>
                <w:szCs w:val="20"/>
              </w:rPr>
              <w:tab/>
              <w:t xml:space="preserve">Kiedy literą kodu </w:t>
            </w:r>
            <w:r w:rsidRPr="005669D1">
              <w:rPr>
                <w:rFonts w:asciiTheme="minorHAnsi" w:hAnsiTheme="minorHAnsi" w:cstheme="minorHAnsi"/>
                <w:color w:val="000000" w:themeColor="text1"/>
                <w:sz w:val="20"/>
                <w:szCs w:val="20"/>
              </w:rPr>
              <w:t>jest F (</w:t>
            </w:r>
            <w:r w:rsidR="00682083" w:rsidRPr="005669D1">
              <w:rPr>
                <w:rFonts w:asciiTheme="minorHAnsi" w:hAnsiTheme="minorHAnsi" w:cstheme="minorHAnsi"/>
                <w:color w:val="000000" w:themeColor="text1"/>
                <w:sz w:val="20"/>
                <w:szCs w:val="20"/>
              </w:rPr>
              <w:t>Element kodu</w:t>
            </w:r>
            <w:r w:rsidR="00F6634A" w:rsidRPr="005669D1">
              <w:rPr>
                <w:rFonts w:asciiTheme="minorHAnsi" w:hAnsiTheme="minorHAnsi" w:cstheme="minorHAnsi"/>
                <w:color w:val="000000" w:themeColor="text1"/>
                <w:sz w:val="20"/>
                <w:szCs w:val="20"/>
              </w:rPr>
              <w:t xml:space="preserve"> 2</w:t>
            </w:r>
            <w:r w:rsidRPr="005669D1">
              <w:rPr>
                <w:rFonts w:asciiTheme="minorHAnsi" w:hAnsiTheme="minorHAnsi" w:cstheme="minorHAnsi"/>
                <w:color w:val="000000" w:themeColor="text1"/>
                <w:sz w:val="20"/>
                <w:szCs w:val="20"/>
              </w:rPr>
              <w:t xml:space="preserve"> </w:t>
            </w:r>
            <w:r w:rsidR="00F6634A" w:rsidRPr="005669D1">
              <w:rPr>
                <w:rFonts w:asciiTheme="minorHAnsi" w:hAnsiTheme="minorHAnsi" w:cstheme="minorHAnsi"/>
                <w:color w:val="000000" w:themeColor="text1"/>
                <w:sz w:val="20"/>
                <w:szCs w:val="20"/>
              </w:rPr>
              <w:t xml:space="preserve">w </w:t>
            </w:r>
            <w:r w:rsidRPr="005669D1">
              <w:rPr>
                <w:rFonts w:asciiTheme="minorHAnsi" w:hAnsiTheme="minorHAnsi" w:cstheme="minorHAnsi"/>
                <w:color w:val="000000" w:themeColor="text1"/>
                <w:sz w:val="20"/>
                <w:szCs w:val="20"/>
              </w:rPr>
              <w:t xml:space="preserve">Tabeli A-1), szerokość zwiększa się do </w:t>
            </w:r>
            <w:r w:rsidR="00682083" w:rsidRPr="005669D1">
              <w:rPr>
                <w:rFonts w:asciiTheme="minorHAnsi" w:hAnsiTheme="minorHAnsi" w:cstheme="minorHAnsi"/>
                <w:color w:val="000000" w:themeColor="text1"/>
                <w:sz w:val="20"/>
                <w:szCs w:val="20"/>
              </w:rPr>
              <w:t>140</w:t>
            </w:r>
            <w:r w:rsidRPr="005669D1">
              <w:rPr>
                <w:rFonts w:asciiTheme="minorHAnsi" w:hAnsiTheme="minorHAnsi" w:cstheme="minorHAnsi"/>
                <w:color w:val="000000" w:themeColor="text1"/>
                <w:sz w:val="20"/>
                <w:szCs w:val="20"/>
              </w:rPr>
              <w:t xml:space="preserve"> m. </w:t>
            </w:r>
          </w:p>
        </w:tc>
      </w:tr>
    </w:tbl>
    <w:p w14:paraId="141D0561" w14:textId="77777777" w:rsidR="00C36D76" w:rsidRPr="005669D1" w:rsidRDefault="00C36D76" w:rsidP="00B06A9A">
      <w:pPr>
        <w:spacing w:before="240" w:after="0"/>
        <w:ind w:left="851" w:hanging="851"/>
        <w:jc w:val="center"/>
        <w:rPr>
          <w:b/>
        </w:rPr>
      </w:pPr>
      <w:r w:rsidRPr="005669D1">
        <w:rPr>
          <w:b/>
          <w:sz w:val="20"/>
        </w:rPr>
        <w:t xml:space="preserve">Tabela J-1.   Wymiary i nachylenia powierzchni ograniczających przeszkody </w:t>
      </w:r>
      <w:r w:rsidRPr="005669D1">
        <w:rPr>
          <w:b/>
          <w:sz w:val="20"/>
        </w:rPr>
        <w:br/>
        <w:t>dla dróg startowych przeznaczonych do lądowania</w:t>
      </w:r>
    </w:p>
    <w:p w14:paraId="2F8439EE" w14:textId="77777777" w:rsidR="00317032" w:rsidRPr="009E064B" w:rsidRDefault="00317032"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D9444DD" w14:textId="77777777" w:rsidR="00C40ECA" w:rsidRPr="009E064B" w:rsidRDefault="00C40ECA" w:rsidP="00C80511">
      <w:pPr>
        <w:pStyle w:val="Tekstpodstawowy"/>
        <w:spacing w:after="480"/>
        <w:ind w:left="23" w:hanging="23"/>
        <w:rPr>
          <w:rFonts w:asciiTheme="minorHAnsi" w:hAnsiTheme="minorHAnsi" w:cstheme="minorHAnsi"/>
          <w:i/>
          <w:sz w:val="16"/>
          <w:szCs w:val="16"/>
        </w:rPr>
      </w:pPr>
      <w:bookmarkStart w:id="1286" w:name="_Toc401058991"/>
      <w:bookmarkStart w:id="1287" w:name="_Toc482886857"/>
      <w:r w:rsidRPr="000412BF">
        <w:rPr>
          <w:rFonts w:asciiTheme="minorHAnsi" w:hAnsiTheme="minorHAnsi" w:cstheme="minorHAnsi"/>
          <w:i/>
          <w:sz w:val="16"/>
          <w:szCs w:val="16"/>
        </w:rPr>
        <w:t>[Wydanie: ADR-DSN/4]</w:t>
      </w:r>
    </w:p>
    <w:p w14:paraId="735D60E8" w14:textId="4220553F" w:rsidR="006F1286" w:rsidRPr="009E064B" w:rsidRDefault="00205240" w:rsidP="00133B99">
      <w:pPr>
        <w:pStyle w:val="Nagwek6"/>
      </w:pPr>
      <w:bookmarkStart w:id="1288" w:name="_Toc12533109"/>
      <w:r w:rsidRPr="009E064B">
        <w:t xml:space="preserve">GM1 ADR-DSN.J.480     </w:t>
      </w:r>
      <w:r w:rsidR="006F1286" w:rsidRPr="009E064B">
        <w:t>Drogi startowe z podejściem precyzyjnym</w:t>
      </w:r>
      <w:bookmarkEnd w:id="1286"/>
      <w:bookmarkEnd w:id="1287"/>
      <w:bookmarkEnd w:id="1288"/>
    </w:p>
    <w:p w14:paraId="605B91C0" w14:textId="64C84C18"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3F35B20" w14:textId="77777777" w:rsidR="006F1286" w:rsidRPr="009E064B" w:rsidRDefault="006F128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Dla dróg startowych z podejściem precyzyjnym kategorii I należy wyznaczyć następujące powierzchnie ograniczające:</w:t>
      </w:r>
    </w:p>
    <w:p w14:paraId="19FBB571" w14:textId="77777777" w:rsidR="006F1286" w:rsidRPr="009E064B" w:rsidRDefault="006F128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powierzchnia podejścia wewnętrzna;</w:t>
      </w:r>
    </w:p>
    <w:p w14:paraId="686C6938" w14:textId="77777777" w:rsidR="006F1286" w:rsidRPr="009E064B" w:rsidRDefault="006F128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powierzchnia przejściowa wewnętrzna; oraz</w:t>
      </w:r>
    </w:p>
    <w:p w14:paraId="220D79E3" w14:textId="77777777" w:rsidR="006F1286" w:rsidRPr="009E064B" w:rsidRDefault="006F1286" w:rsidP="00B06A9A">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Italic" w:cs="Times New Roman,Italic"/>
          <w:iCs/>
          <w:szCs w:val="20"/>
        </w:rPr>
        <w:t>powierzchnia przerwanego lądowania.</w:t>
      </w:r>
    </w:p>
    <w:p w14:paraId="7A09CC8F" w14:textId="5F0DB845" w:rsidR="006F1286" w:rsidRPr="009E064B" w:rsidRDefault="006F128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hyperlink w:anchor="_CS_ADR-DSN.T.915_" w:history="1">
        <w:r w:rsidRPr="009E064B">
          <w:rPr>
            <w:rStyle w:val="Hipercze"/>
            <w:rFonts w:eastAsia="Times New Roman,Italic" w:cs="Times New Roman,Italic"/>
            <w:iCs/>
            <w:szCs w:val="20"/>
          </w:rPr>
          <w:t>CS ADR-DSN.T.915</w:t>
        </w:r>
      </w:hyperlink>
      <w:r w:rsidRPr="009E064B">
        <w:rPr>
          <w:rFonts w:eastAsia="Times New Roman,Italic" w:cs="Times New Roman,Italic"/>
          <w:iCs/>
          <w:szCs w:val="20"/>
        </w:rPr>
        <w:t xml:space="preserve"> zawiera informacje dotyczące lokalizacj</w:t>
      </w:r>
      <w:r w:rsidR="00B715BC" w:rsidRPr="009E064B">
        <w:rPr>
          <w:rFonts w:eastAsia="Times New Roman,Italic" w:cs="Times New Roman,Italic"/>
          <w:iCs/>
          <w:szCs w:val="20"/>
        </w:rPr>
        <w:t>i instalacji oraz wyposażenia w </w:t>
      </w:r>
      <w:r w:rsidRPr="009E064B">
        <w:rPr>
          <w:rFonts w:eastAsia="Times New Roman,Italic" w:cs="Times New Roman,Italic"/>
          <w:iCs/>
          <w:szCs w:val="20"/>
        </w:rPr>
        <w:t>strefach operacyjnych.</w:t>
      </w:r>
    </w:p>
    <w:p w14:paraId="64F974A5" w14:textId="2C061EE0"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Wytyczne dotyczące powierzchni ograniczających przeszkody dla dróg startowych z podejściem precyzyjnym znajdują się w „</w:t>
      </w:r>
      <w:r w:rsidRPr="009E064B">
        <w:rPr>
          <w:rFonts w:eastAsia="Times New Roman,Italic" w:cs="Times New Roman,Italic"/>
          <w:i/>
          <w:iCs/>
          <w:szCs w:val="20"/>
        </w:rPr>
        <w:t>Podręczniku służb portu lotniczego</w:t>
      </w:r>
      <w:r w:rsidR="00B715BC" w:rsidRPr="009E064B">
        <w:rPr>
          <w:rFonts w:eastAsia="Times New Roman,Italic" w:cs="Times New Roman,Italic"/>
          <w:iCs/>
          <w:szCs w:val="20"/>
        </w:rPr>
        <w:t>” ICAO Doc 9137, Część </w:t>
      </w:r>
      <w:r w:rsidRPr="009E064B">
        <w:rPr>
          <w:rFonts w:eastAsia="Times New Roman,Italic" w:cs="Times New Roman,Italic"/>
          <w:iCs/>
          <w:szCs w:val="20"/>
        </w:rPr>
        <w:t>6, „</w:t>
      </w:r>
      <w:r w:rsidRPr="009E064B">
        <w:rPr>
          <w:rFonts w:eastAsia="Times New Roman,Italic" w:cs="Times New Roman,Italic"/>
          <w:i/>
          <w:iCs/>
          <w:szCs w:val="20"/>
        </w:rPr>
        <w:t>Kontrola przeszkód lotniczych</w:t>
      </w:r>
      <w:r w:rsidRPr="009E064B">
        <w:rPr>
          <w:rFonts w:eastAsia="Times New Roman,Italic" w:cs="Times New Roman,Italic"/>
          <w:iCs/>
          <w:szCs w:val="20"/>
        </w:rPr>
        <w:t>”.</w:t>
      </w:r>
    </w:p>
    <w:p w14:paraId="50FCD0F5"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Okoliczności, w których można skorzystać z zasady zasłaniania obiektów, opisane są w „</w:t>
      </w:r>
      <w:r w:rsidRPr="009E064B">
        <w:rPr>
          <w:rFonts w:eastAsia="Times New Roman,Italic" w:cs="Times New Roman,Italic"/>
          <w:i/>
          <w:iCs/>
          <w:szCs w:val="20"/>
        </w:rPr>
        <w:t>Podręczniku służb portu lotniczego</w:t>
      </w:r>
      <w:r w:rsidRPr="009E064B">
        <w:rPr>
          <w:rFonts w:eastAsia="Times New Roman,Italic" w:cs="Times New Roman,Italic"/>
          <w:iCs/>
          <w:szCs w:val="20"/>
        </w:rPr>
        <w:t>” ICAO Doc 9137, Część 6 „</w:t>
      </w:r>
      <w:r w:rsidRPr="009E064B">
        <w:rPr>
          <w:rFonts w:eastAsia="Times New Roman,Italic" w:cs="Times New Roman,Italic"/>
          <w:i/>
          <w:iCs/>
          <w:szCs w:val="20"/>
        </w:rPr>
        <w:t>Kontrola przeszkód lotniczych</w:t>
      </w:r>
      <w:r w:rsidRPr="009E064B">
        <w:rPr>
          <w:rFonts w:eastAsia="Times New Roman,Italic" w:cs="Times New Roman,Italic"/>
          <w:iCs/>
          <w:szCs w:val="20"/>
        </w:rPr>
        <w:t>”.</w:t>
      </w:r>
    </w:p>
    <w:p w14:paraId="0DE919E1" w14:textId="77777777" w:rsidR="006F1286" w:rsidRPr="009E064B" w:rsidRDefault="006F128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W pewnych przypadkach, gdy występuje podłużne lub poprzeczne nachylenie pasa drogi startowej, krawędź wewnętrzna powierzchni podejścia lub pewne części tej krawędzi mogą znaleźć się poniżej pasa drogi startowej. Nie znaczy to, że pas drogi startowej powinien być wyrównany do wysokości wewnętrznej krawędzi powierzchni podejścia, ani że teren lub obiekty znajdujące się powyżej powierzchni podejścia, poza końcem pasa drogi startowej lecz położone poniżej poziomu tego pasa, powinny być usunięte, o ile nie zostaną uznane za niebezpieczne dla statków powietrznych.</w:t>
      </w:r>
    </w:p>
    <w:p w14:paraId="42927C2B" w14:textId="14F41AF0"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(f) </w:t>
      </w:r>
      <w:r w:rsidRPr="009E064B">
        <w:rPr>
          <w:rFonts w:cs="TimesNewRomanPS-BoldItalicMT"/>
          <w:bCs/>
          <w:iCs/>
          <w:szCs w:val="20"/>
        </w:rPr>
        <w:tab/>
      </w:r>
      <w:r w:rsidRPr="009E064B">
        <w:rPr>
          <w:rFonts w:eastAsia="Times New Roman,Italic" w:cs="Times New Roman,Italic"/>
          <w:iCs/>
          <w:szCs w:val="20"/>
        </w:rPr>
        <w:t>Informacje</w:t>
      </w:r>
      <w:r w:rsidRPr="009E064B">
        <w:rPr>
          <w:rFonts w:cs="Times New Roman"/>
          <w:szCs w:val="20"/>
        </w:rPr>
        <w:t xml:space="preserve"> dotyczące samolotów o literze kodu F, wyposażonych w awionikę cyfrową zapewniającą komendy sterujące, umożliwiające utrzymanie określonej linii drogi w trakcie manewru odejścia na drugi krąg.  Dodatkowe wytyczne określone są w Okólniku</w:t>
      </w:r>
      <w:r w:rsidR="00637865" w:rsidRPr="009E064B">
        <w:rPr>
          <w:rFonts w:cs="Times New Roman"/>
          <w:szCs w:val="20"/>
        </w:rPr>
        <w:t xml:space="preserve"> 301 ICAO</w:t>
      </w:r>
      <w:r w:rsidRPr="009E064B">
        <w:rPr>
          <w:rFonts w:cs="Times New Roman"/>
          <w:szCs w:val="20"/>
        </w:rPr>
        <w:t xml:space="preserve"> </w:t>
      </w:r>
      <w:r w:rsidRPr="009E064B">
        <w:rPr>
          <w:rFonts w:cs="Times New Roman"/>
          <w:i/>
          <w:szCs w:val="20"/>
        </w:rPr>
        <w:t>„</w:t>
      </w:r>
      <w:r w:rsidRPr="009E064B">
        <w:rPr>
          <w:rFonts w:eastAsia="Times New Roman,Italic" w:cs="Times New Roman,Italic"/>
          <w:i/>
          <w:iCs/>
          <w:szCs w:val="20"/>
        </w:rPr>
        <w:t>Nowe duże samoloty – Naruszanie strefy wolnej od przeszkód (OFZ)</w:t>
      </w:r>
      <w:r w:rsidRPr="009E064B">
        <w:rPr>
          <w:rFonts w:eastAsia="Times New Roman,Italic" w:cs="Times New Roman,Italic"/>
          <w:iCs/>
          <w:szCs w:val="20"/>
        </w:rPr>
        <w:t>”.</w:t>
      </w:r>
    </w:p>
    <w:p w14:paraId="08B256A4"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670C9BA" w14:textId="46A7EBB2" w:rsidR="00C36D76" w:rsidRPr="009E064B" w:rsidRDefault="00A73874" w:rsidP="00B06A9A">
      <w:pPr>
        <w:pStyle w:val="Nagwek4"/>
        <w:rPr>
          <w:color w:val="auto"/>
        </w:rPr>
      </w:pPr>
      <w:bookmarkStart w:id="1289" w:name="_CS_ADR-DSN.J.485_"/>
      <w:bookmarkStart w:id="1290" w:name="_Toc482886634"/>
      <w:bookmarkStart w:id="1291" w:name="_Toc12533110"/>
      <w:bookmarkEnd w:id="1289"/>
      <w:r w:rsidRPr="009E064B">
        <w:rPr>
          <w:color w:val="auto"/>
        </w:rPr>
        <w:t xml:space="preserve">CS ADR-DSN.J.485     </w:t>
      </w:r>
      <w:r w:rsidR="00C36D76" w:rsidRPr="009E064B">
        <w:rPr>
          <w:color w:val="auto"/>
        </w:rPr>
        <w:t>Drogi startowe przeznaczone do startów</w:t>
      </w:r>
      <w:bookmarkEnd w:id="1290"/>
      <w:bookmarkEnd w:id="1291"/>
    </w:p>
    <w:p w14:paraId="4FF7AEAC" w14:textId="2F8F9893"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BF4EEF9" w14:textId="77777777" w:rsidR="00C36D76" w:rsidRPr="009E064B" w:rsidRDefault="00C36D76" w:rsidP="00205240">
      <w:pPr>
        <w:tabs>
          <w:tab w:val="left" w:pos="567"/>
        </w:tabs>
        <w:autoSpaceDE w:val="0"/>
        <w:autoSpaceDN w:val="0"/>
        <w:adjustRightInd w:val="0"/>
        <w:ind w:left="567" w:hanging="567"/>
      </w:pPr>
      <w:r w:rsidRPr="009E064B">
        <w:t xml:space="preserve">(a) </w:t>
      </w:r>
      <w:r w:rsidRPr="009E064B">
        <w:tab/>
        <w:t xml:space="preserve">Celem bezpieczeństwa nachyleń oraz wymiarów powierzchni wznoszenia jest zapewnienie bezpieczeństwa operacji startu poprzez określenie granicy, powyżej której nie zezwala się na wznoszenie nowych przeszkód, chyba, że </w:t>
      </w:r>
      <w:r w:rsidRPr="009E064B">
        <w:rPr>
          <w:iCs/>
        </w:rPr>
        <w:t>są</w:t>
      </w:r>
      <w:r w:rsidRPr="009E064B">
        <w:t xml:space="preserve"> zasłonięte przez istniejący już obiekt stały.</w:t>
      </w:r>
    </w:p>
    <w:p w14:paraId="2E80B547" w14:textId="77777777" w:rsidR="00C36D76" w:rsidRPr="009E064B" w:rsidRDefault="00C36D76" w:rsidP="00205240">
      <w:pPr>
        <w:tabs>
          <w:tab w:val="left" w:pos="567"/>
        </w:tabs>
        <w:autoSpaceDE w:val="0"/>
        <w:autoSpaceDN w:val="0"/>
        <w:adjustRightInd w:val="0"/>
        <w:ind w:left="567" w:hanging="567"/>
      </w:pPr>
      <w:r w:rsidRPr="009E064B">
        <w:t xml:space="preserve">(b) </w:t>
      </w:r>
      <w:r w:rsidRPr="009E064B">
        <w:tab/>
        <w:t>Dla drogi startowej przeznaczonej do startów, wyznacza się powierzchnię wznoszenia.</w:t>
      </w:r>
    </w:p>
    <w:p w14:paraId="1AB73126" w14:textId="77777777" w:rsidR="00C36D76" w:rsidRPr="009E064B" w:rsidRDefault="00C36D76" w:rsidP="00205240">
      <w:pPr>
        <w:tabs>
          <w:tab w:val="left" w:pos="567"/>
        </w:tabs>
        <w:autoSpaceDE w:val="0"/>
        <w:autoSpaceDN w:val="0"/>
        <w:adjustRightInd w:val="0"/>
        <w:ind w:left="567" w:hanging="567"/>
      </w:pPr>
      <w:r w:rsidRPr="009E064B">
        <w:t xml:space="preserve">(c) </w:t>
      </w:r>
      <w:r w:rsidRPr="009E064B">
        <w:tab/>
        <w:t>Wymiary powierzchni wznoszenia nie powinny być mniejsze od wymiarów zamieszczonych w Tabeli J-2, z wyjątkiem sytuacji, w której można przyjąć mniejszą długość powierzchni wznoszenia, gdy zmniejszona długość jest spójna z określonymi procedurami związanymi z odlotem statków powietrznych.</w:t>
      </w:r>
    </w:p>
    <w:p w14:paraId="00E535CE" w14:textId="77777777" w:rsidR="00C36D76" w:rsidRPr="009E064B" w:rsidRDefault="00C36D76" w:rsidP="00205240">
      <w:pPr>
        <w:tabs>
          <w:tab w:val="left" w:pos="567"/>
        </w:tabs>
        <w:autoSpaceDE w:val="0"/>
        <w:autoSpaceDN w:val="0"/>
        <w:adjustRightInd w:val="0"/>
        <w:ind w:left="567" w:hanging="567"/>
      </w:pPr>
      <w:r w:rsidRPr="009E064B">
        <w:t xml:space="preserve">(d) </w:t>
      </w:r>
      <w:r w:rsidRPr="009E064B">
        <w:tab/>
        <w:t>Nie zezwala się na wznoszenie nowych lub powiększanie istniejących obiektów, które wystawałyby ponad powierzchnię wznoszenia, chyba, że nowy lub powiększany obiekt będzie zasłonięty przez istniejący już obiekt stały.</w:t>
      </w:r>
    </w:p>
    <w:p w14:paraId="744DDFBF" w14:textId="77777777" w:rsidR="00C36D76" w:rsidRPr="009E064B" w:rsidRDefault="00C36D76" w:rsidP="00205240">
      <w:pPr>
        <w:tabs>
          <w:tab w:val="left" w:pos="567"/>
        </w:tabs>
        <w:autoSpaceDE w:val="0"/>
        <w:autoSpaceDN w:val="0"/>
        <w:adjustRightInd w:val="0"/>
        <w:ind w:left="567" w:hanging="567"/>
        <w:rPr>
          <w:iCs/>
        </w:rPr>
      </w:pPr>
      <w:r w:rsidRPr="009E064B">
        <w:t xml:space="preserve">(e) </w:t>
      </w:r>
      <w:r w:rsidRPr="009E064B">
        <w:tab/>
        <w:t>Istniejące</w:t>
      </w:r>
      <w:r w:rsidRPr="009E064B">
        <w:rPr>
          <w:iCs/>
        </w:rPr>
        <w:t xml:space="preserve"> obiekty</w:t>
      </w:r>
      <w:r w:rsidRPr="009E064B">
        <w:t>, które</w:t>
      </w:r>
      <w:r w:rsidRPr="009E064B">
        <w:rPr>
          <w:iCs/>
        </w:rPr>
        <w:t>, wystają ponad powierzchnię wznoszenia, jeżeli jest to możliwe, powinny zostać usunięte, z wyjątkiem przypadku, gdy obiekt jest zasłonięty przez istniejący obiekt stały lub jeśli po przeprowadzeniu oceny bezpieczeństwa, wykazano, że obiekt ten nie wpłynie negatywnie na bezpieczeństwo operacji lotniczych ani nie zakłóci w odczuwalny sposób regularności tych operacji.</w:t>
      </w:r>
    </w:p>
    <w:p w14:paraId="137E0283" w14:textId="40CC1B6A"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43321B9" w14:textId="3D719A80" w:rsidR="006F1286" w:rsidRPr="009E064B" w:rsidRDefault="00205240" w:rsidP="00133B99">
      <w:pPr>
        <w:pStyle w:val="Nagwek6"/>
      </w:pPr>
      <w:bookmarkStart w:id="1292" w:name="_GM1_ADR-DSN.J.485_"/>
      <w:bookmarkStart w:id="1293" w:name="_Toc401058992"/>
      <w:bookmarkStart w:id="1294" w:name="_Toc482886858"/>
      <w:bookmarkStart w:id="1295" w:name="_Toc12533111"/>
      <w:bookmarkEnd w:id="1292"/>
      <w:r w:rsidRPr="009E064B">
        <w:t xml:space="preserve">GM1 ADR-DSN.J.485     </w:t>
      </w:r>
      <w:r w:rsidR="006F1286" w:rsidRPr="009E064B">
        <w:t>Drogi startowe przeznaczone do startów</w:t>
      </w:r>
      <w:bookmarkEnd w:id="1293"/>
      <w:bookmarkEnd w:id="1294"/>
      <w:bookmarkEnd w:id="1295"/>
    </w:p>
    <w:p w14:paraId="18A190A6" w14:textId="20C34221"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936ED00"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Jeżeli żaden obiekt nie osiąga wysokości powierzchni wznoszenia o nachyleniu 2% (1:50), powinna być ustanowiona powierzchnia wolna od przeszkód o nachyleniu 1.6% (1:62.5).</w:t>
      </w:r>
    </w:p>
    <w:p w14:paraId="1B2ED16C"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Jeżeli lokalne warunki atmosferyczne różnią się znacznie od standardowych warunków atmosferycznych na poziomie morza, należy rozważyć zmniejszenie nachylenia ustalonego w Tabeli J-2. Wielkość tego zmniejszenia zależy od tego, jak dalece warunki lokalne różnią się od standardowych warunków atmosferycznych na poziomie morza oraz od parametrów i wymagań operacyjnych samolotów, dla których przeznaczona jest dana droga startowa.</w:t>
      </w:r>
    </w:p>
    <w:p w14:paraId="6E24ED74" w14:textId="77777777" w:rsidR="006F1286" w:rsidRPr="009E064B" w:rsidRDefault="006F1286" w:rsidP="00B06A9A">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Okoliczności, w których można skorzystać z zasady zasłaniania obiektów, opisuje „</w:t>
      </w:r>
      <w:r w:rsidRPr="009E064B">
        <w:rPr>
          <w:rFonts w:eastAsia="Times New Roman,Italic" w:cs="Times New Roman,Italic"/>
          <w:i/>
          <w:iCs/>
          <w:szCs w:val="20"/>
        </w:rPr>
        <w:t>Podręcznik służb portu lotniczego</w:t>
      </w:r>
      <w:r w:rsidRPr="009E064B">
        <w:rPr>
          <w:rFonts w:eastAsia="Times New Roman,Italic" w:cs="Times New Roman,Italic"/>
          <w:iCs/>
          <w:szCs w:val="20"/>
        </w:rPr>
        <w:t>” ICAO Doc 9137, Część 6 „</w:t>
      </w:r>
      <w:r w:rsidRPr="009E064B">
        <w:rPr>
          <w:rFonts w:eastAsia="Times New Roman,Italic" w:cs="Times New Roman,Italic"/>
          <w:i/>
          <w:iCs/>
          <w:szCs w:val="20"/>
        </w:rPr>
        <w:t>Kontrola przeszkód lotniczych</w:t>
      </w:r>
      <w:r w:rsidRPr="009E064B">
        <w:rPr>
          <w:rFonts w:eastAsia="Times New Roman,Italic" w:cs="Times New Roman,Italic"/>
          <w:iCs/>
          <w:szCs w:val="20"/>
        </w:rPr>
        <w:t>”.</w:t>
      </w:r>
    </w:p>
    <w:p w14:paraId="19B67773" w14:textId="23044424" w:rsidR="006F1286" w:rsidRPr="009E064B" w:rsidRDefault="006F128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W pewnych przypadkach, gdy występuje podłużne lub poprzeczne nachylenie pasa drogi startowej, krawędź wewnętrzna powierzchni wznoszenia lub pewne części tej krawędzi mogą znaleźć się poniżej pasa drogi startowej. Nie znaczy to, że pas drogi startowej lub zabezpieczenie wydłużonego startu powinno być wyrównane do wysokości wewnętrznej krawędzi powierzchni wznoszenia, ani że teren lub obiekty znajdujące się powyżej powierzchni wznoszenia, poza końcem pasa drogi startowej lub zabezpieczenia wydłużonego startu, lecz położone poniżej poziomu pasa drogi startowej lub zabezpieczenia wydłużonego</w:t>
      </w:r>
      <w:r w:rsidR="009F3D23" w:rsidRPr="009E064B">
        <w:rPr>
          <w:rFonts w:eastAsia="Times New Roman,Italic" w:cs="Times New Roman,Italic"/>
          <w:iCs/>
          <w:szCs w:val="20"/>
        </w:rPr>
        <w:t xml:space="preserve"> startu powinny być usunięte, o </w:t>
      </w:r>
      <w:r w:rsidRPr="009E064B">
        <w:rPr>
          <w:rFonts w:eastAsia="Times New Roman,Italic" w:cs="Times New Roman,Italic"/>
          <w:iCs/>
          <w:szCs w:val="20"/>
        </w:rPr>
        <w:t>ile nie zostaną uznane za niebezpieczne dla statków powietrznych. Analogiczne zasady stosuje się przy połączeniu pasa drogi startowej i zabezpieczenia wydłużonego startu, jeżeli mają one różne nachylenia poprzeczne.</w:t>
      </w:r>
    </w:p>
    <w:p w14:paraId="08113772" w14:textId="11970DEE" w:rsidR="006F1286" w:rsidRPr="009E064B" w:rsidRDefault="006F1286"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Należy przeprowadzić analizę parametrów operacyjnych samolotów, dla których dana droga startowa jest przeznaczona, aby określić, czy pożądane jest zmniejszenie nachylenia podanego w Tabeli J-2, jeżeli mają być spełnione krytyczne warunki operacji lotniczych. W przypadku zmniejszenia nachylenia, należy dokonać odpowiedniej korekty długości powierzchni wznoszenia w taki sposób, aby zapewnić odpowiednie zabezpieczenie do wysokości 300 m.</w:t>
      </w:r>
    </w:p>
    <w:p w14:paraId="6AFE264B" w14:textId="77777777" w:rsidR="00C2323F" w:rsidRPr="009E064B" w:rsidRDefault="00C2323F" w:rsidP="00B06A9A">
      <w:pPr>
        <w:tabs>
          <w:tab w:val="left" w:pos="567"/>
        </w:tabs>
        <w:autoSpaceDE w:val="0"/>
        <w:autoSpaceDN w:val="0"/>
        <w:adjustRightInd w:val="0"/>
        <w:ind w:left="567" w:hanging="567"/>
        <w:rPr>
          <w:rFonts w:eastAsia="Times New Roman,Italic" w:cs="Times New Roman,Italic"/>
          <w:iCs/>
          <w:szCs w:val="20"/>
        </w:rPr>
      </w:pPr>
    </w:p>
    <w:tbl>
      <w:tblPr>
        <w:tblW w:w="4328" w:type="pct"/>
        <w:jc w:val="center"/>
        <w:tblCellMar>
          <w:top w:w="57" w:type="dxa"/>
          <w:bottom w:w="57" w:type="dxa"/>
        </w:tblCellMar>
        <w:tblLook w:val="01E0" w:firstRow="1" w:lastRow="1" w:firstColumn="1" w:lastColumn="1" w:noHBand="0" w:noVBand="0"/>
      </w:tblPr>
      <w:tblGrid>
        <w:gridCol w:w="4371"/>
        <w:gridCol w:w="1224"/>
        <w:gridCol w:w="1224"/>
        <w:gridCol w:w="1220"/>
      </w:tblGrid>
      <w:tr w:rsidR="00C2323F" w:rsidRPr="009E064B" w14:paraId="79B1B59C" w14:textId="77777777" w:rsidTr="00C2323F">
        <w:trPr>
          <w:trHeight w:val="459"/>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14:paraId="1ECEAC38" w14:textId="77777777" w:rsidR="00C2323F" w:rsidRPr="009E064B" w:rsidRDefault="00C2323F" w:rsidP="00C2323F">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DROGI STARTOWE PRZEZNACZONE DO STARTÓW</w:t>
            </w:r>
          </w:p>
        </w:tc>
      </w:tr>
      <w:tr w:rsidR="00C2323F" w:rsidRPr="009E064B" w14:paraId="6FAB5A04" w14:textId="77777777" w:rsidTr="00C2323F">
        <w:trPr>
          <w:trHeight w:val="262"/>
          <w:jc w:val="center"/>
        </w:trPr>
        <w:tc>
          <w:tcPr>
            <w:tcW w:w="2719" w:type="pct"/>
            <w:vMerge w:val="restart"/>
            <w:tcBorders>
              <w:top w:val="single" w:sz="4" w:space="0" w:color="auto"/>
              <w:left w:val="single" w:sz="4" w:space="0" w:color="auto"/>
              <w:right w:val="single" w:sz="4" w:space="0" w:color="auto"/>
            </w:tcBorders>
            <w:vAlign w:val="center"/>
          </w:tcPr>
          <w:p w14:paraId="319116A3" w14:textId="77777777" w:rsidR="00C2323F" w:rsidRPr="009E064B" w:rsidRDefault="00C2323F" w:rsidP="00C2323F">
            <w:pPr>
              <w:spacing w:after="0"/>
              <w:jc w:val="center"/>
              <w:rPr>
                <w:rFonts w:asciiTheme="minorHAnsi" w:hAnsiTheme="minorHAnsi" w:cstheme="minorHAnsi"/>
                <w:sz w:val="20"/>
                <w:szCs w:val="20"/>
              </w:rPr>
            </w:pPr>
            <w:r w:rsidRPr="009E064B">
              <w:rPr>
                <w:rFonts w:asciiTheme="minorHAnsi" w:hAnsiTheme="minorHAnsi" w:cstheme="minorHAnsi"/>
                <w:b/>
                <w:sz w:val="20"/>
                <w:szCs w:val="20"/>
              </w:rPr>
              <w:t>Powierzchnia i wymiary</w:t>
            </w:r>
            <w:r w:rsidRPr="009E064B">
              <w:rPr>
                <w:rFonts w:asciiTheme="minorHAnsi" w:hAnsiTheme="minorHAnsi" w:cstheme="minorHAnsi"/>
                <w:sz w:val="20"/>
                <w:szCs w:val="20"/>
                <w:vertAlign w:val="superscript"/>
              </w:rPr>
              <w:t>a</w:t>
            </w:r>
          </w:p>
        </w:tc>
        <w:tc>
          <w:tcPr>
            <w:tcW w:w="2281" w:type="pct"/>
            <w:gridSpan w:val="3"/>
            <w:tcBorders>
              <w:top w:val="single" w:sz="4" w:space="0" w:color="auto"/>
              <w:left w:val="single" w:sz="4" w:space="0" w:color="auto"/>
              <w:bottom w:val="single" w:sz="4" w:space="0" w:color="auto"/>
              <w:right w:val="single" w:sz="4" w:space="0" w:color="auto"/>
            </w:tcBorders>
            <w:vAlign w:val="center"/>
          </w:tcPr>
          <w:p w14:paraId="261E3386" w14:textId="77777777" w:rsidR="00C2323F" w:rsidRPr="009E064B" w:rsidRDefault="00C2323F" w:rsidP="00C2323F">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Cyfra kodu</w:t>
            </w:r>
          </w:p>
        </w:tc>
      </w:tr>
      <w:tr w:rsidR="00C2323F" w:rsidRPr="009E064B" w14:paraId="077DD2AD" w14:textId="77777777" w:rsidTr="00C2323F">
        <w:trPr>
          <w:trHeight w:val="262"/>
          <w:jc w:val="center"/>
        </w:trPr>
        <w:tc>
          <w:tcPr>
            <w:tcW w:w="2719" w:type="pct"/>
            <w:vMerge/>
            <w:tcBorders>
              <w:left w:val="single" w:sz="4" w:space="0" w:color="auto"/>
              <w:bottom w:val="single" w:sz="4" w:space="0" w:color="auto"/>
              <w:right w:val="single" w:sz="4" w:space="0" w:color="auto"/>
            </w:tcBorders>
            <w:vAlign w:val="center"/>
          </w:tcPr>
          <w:p w14:paraId="1BA95074" w14:textId="77777777" w:rsidR="00C2323F" w:rsidRPr="009E064B" w:rsidRDefault="00C2323F" w:rsidP="00C2323F">
            <w:pPr>
              <w:spacing w:after="0"/>
              <w:jc w:val="center"/>
              <w:rPr>
                <w:rFonts w:asciiTheme="minorHAnsi" w:hAnsiTheme="minorHAnsi" w:cstheme="minorHAnsi"/>
                <w:b/>
                <w:sz w:val="20"/>
                <w:szCs w:val="20"/>
              </w:rPr>
            </w:pPr>
          </w:p>
        </w:tc>
        <w:tc>
          <w:tcPr>
            <w:tcW w:w="761" w:type="pct"/>
            <w:tcBorders>
              <w:top w:val="single" w:sz="4" w:space="0" w:color="auto"/>
              <w:left w:val="single" w:sz="4" w:space="0" w:color="auto"/>
              <w:bottom w:val="single" w:sz="4" w:space="0" w:color="auto"/>
              <w:right w:val="single" w:sz="4" w:space="0" w:color="auto"/>
            </w:tcBorders>
            <w:vAlign w:val="center"/>
          </w:tcPr>
          <w:p w14:paraId="49803580" w14:textId="77777777" w:rsidR="00C2323F" w:rsidRPr="009E064B" w:rsidRDefault="00C2323F" w:rsidP="00C2323F">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1</w:t>
            </w:r>
          </w:p>
        </w:tc>
        <w:tc>
          <w:tcPr>
            <w:tcW w:w="761" w:type="pct"/>
            <w:tcBorders>
              <w:top w:val="single" w:sz="4" w:space="0" w:color="auto"/>
              <w:left w:val="single" w:sz="4" w:space="0" w:color="auto"/>
              <w:bottom w:val="single" w:sz="4" w:space="0" w:color="auto"/>
              <w:right w:val="single" w:sz="4" w:space="0" w:color="auto"/>
            </w:tcBorders>
            <w:vAlign w:val="center"/>
          </w:tcPr>
          <w:p w14:paraId="569154A7" w14:textId="77777777" w:rsidR="00C2323F" w:rsidRPr="009E064B" w:rsidRDefault="00C2323F" w:rsidP="00C2323F">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2</w:t>
            </w:r>
          </w:p>
        </w:tc>
        <w:tc>
          <w:tcPr>
            <w:tcW w:w="760" w:type="pct"/>
            <w:tcBorders>
              <w:top w:val="single" w:sz="4" w:space="0" w:color="auto"/>
              <w:left w:val="single" w:sz="4" w:space="0" w:color="auto"/>
              <w:bottom w:val="single" w:sz="4" w:space="0" w:color="auto"/>
              <w:right w:val="single" w:sz="4" w:space="0" w:color="auto"/>
            </w:tcBorders>
            <w:vAlign w:val="center"/>
          </w:tcPr>
          <w:p w14:paraId="20696CC0" w14:textId="77777777" w:rsidR="00C2323F" w:rsidRPr="009E064B" w:rsidRDefault="00C2323F" w:rsidP="00C2323F">
            <w:pPr>
              <w:spacing w:after="0"/>
              <w:ind w:left="42" w:hanging="42"/>
              <w:jc w:val="center"/>
              <w:rPr>
                <w:rFonts w:asciiTheme="minorHAnsi" w:hAnsiTheme="minorHAnsi" w:cstheme="minorHAnsi"/>
                <w:b/>
                <w:sz w:val="20"/>
                <w:szCs w:val="20"/>
              </w:rPr>
            </w:pPr>
            <w:r w:rsidRPr="009E064B">
              <w:rPr>
                <w:rFonts w:asciiTheme="minorHAnsi" w:hAnsiTheme="minorHAnsi" w:cstheme="minorHAnsi"/>
                <w:b/>
                <w:sz w:val="20"/>
                <w:szCs w:val="20"/>
              </w:rPr>
              <w:t xml:space="preserve">3 </w:t>
            </w:r>
            <w:r w:rsidRPr="009E064B">
              <w:rPr>
                <w:rFonts w:asciiTheme="minorHAnsi" w:hAnsiTheme="minorHAnsi" w:cstheme="minorHAnsi"/>
                <w:sz w:val="20"/>
                <w:szCs w:val="20"/>
              </w:rPr>
              <w:t xml:space="preserve">lub </w:t>
            </w:r>
            <w:r w:rsidRPr="009E064B">
              <w:rPr>
                <w:rFonts w:asciiTheme="minorHAnsi" w:hAnsiTheme="minorHAnsi" w:cstheme="minorHAnsi"/>
                <w:b/>
                <w:sz w:val="20"/>
                <w:szCs w:val="20"/>
              </w:rPr>
              <w:t>4</w:t>
            </w:r>
          </w:p>
        </w:tc>
      </w:tr>
      <w:tr w:rsidR="00C2323F" w:rsidRPr="009E064B" w14:paraId="2BF5460B" w14:textId="77777777" w:rsidTr="00C2323F">
        <w:trPr>
          <w:cantSplit/>
          <w:trHeight w:val="154"/>
          <w:jc w:val="center"/>
        </w:trPr>
        <w:tc>
          <w:tcPr>
            <w:tcW w:w="2719"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0107F0EC" w14:textId="77777777" w:rsidR="00C2323F" w:rsidRPr="009E064B" w:rsidRDefault="00C2323F" w:rsidP="00C2323F">
            <w:pPr>
              <w:spacing w:after="0"/>
              <w:jc w:val="center"/>
              <w:rPr>
                <w:rFonts w:asciiTheme="minorHAnsi" w:hAnsiTheme="minorHAnsi" w:cstheme="minorHAnsi"/>
                <w:sz w:val="18"/>
                <w:szCs w:val="20"/>
              </w:rPr>
            </w:pPr>
            <w:r w:rsidRPr="009E064B">
              <w:rPr>
                <w:rFonts w:asciiTheme="minorHAnsi" w:hAnsiTheme="minorHAnsi" w:cstheme="minorHAnsi"/>
                <w:sz w:val="18"/>
                <w:szCs w:val="20"/>
              </w:rPr>
              <w:t>(1)</w:t>
            </w:r>
          </w:p>
        </w:tc>
        <w:tc>
          <w:tcPr>
            <w:tcW w:w="761"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28B23872" w14:textId="77777777" w:rsidR="00C2323F" w:rsidRPr="009E064B" w:rsidRDefault="00C2323F" w:rsidP="00C2323F">
            <w:pPr>
              <w:spacing w:after="0"/>
              <w:jc w:val="center"/>
              <w:rPr>
                <w:rFonts w:asciiTheme="minorHAnsi" w:hAnsiTheme="minorHAnsi" w:cstheme="minorHAnsi"/>
                <w:sz w:val="18"/>
                <w:szCs w:val="20"/>
              </w:rPr>
            </w:pPr>
            <w:r w:rsidRPr="009E064B">
              <w:rPr>
                <w:rFonts w:asciiTheme="minorHAnsi" w:hAnsiTheme="minorHAnsi" w:cstheme="minorHAnsi"/>
                <w:sz w:val="18"/>
                <w:szCs w:val="20"/>
              </w:rPr>
              <w:t>(2)</w:t>
            </w:r>
          </w:p>
        </w:tc>
        <w:tc>
          <w:tcPr>
            <w:tcW w:w="761"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582C356C" w14:textId="77777777" w:rsidR="00C2323F" w:rsidRPr="009E064B" w:rsidRDefault="00C2323F" w:rsidP="00C2323F">
            <w:pPr>
              <w:spacing w:after="0"/>
              <w:jc w:val="center"/>
              <w:rPr>
                <w:rFonts w:asciiTheme="minorHAnsi" w:hAnsiTheme="minorHAnsi" w:cstheme="minorHAnsi"/>
                <w:sz w:val="18"/>
                <w:szCs w:val="20"/>
              </w:rPr>
            </w:pPr>
            <w:r w:rsidRPr="009E064B">
              <w:rPr>
                <w:rFonts w:asciiTheme="minorHAnsi" w:hAnsiTheme="minorHAnsi" w:cstheme="minorHAnsi"/>
                <w:sz w:val="18"/>
                <w:szCs w:val="20"/>
              </w:rPr>
              <w:t>(3)</w:t>
            </w:r>
          </w:p>
        </w:tc>
        <w:tc>
          <w:tcPr>
            <w:tcW w:w="760" w:type="pct"/>
            <w:tcBorders>
              <w:top w:val="single" w:sz="4" w:space="0" w:color="auto"/>
              <w:left w:val="single" w:sz="4" w:space="0" w:color="auto"/>
              <w:bottom w:val="single" w:sz="4" w:space="0" w:color="auto"/>
              <w:right w:val="single" w:sz="4" w:space="0" w:color="auto"/>
            </w:tcBorders>
            <w:tcMar>
              <w:top w:w="0" w:type="dxa"/>
              <w:bottom w:w="0" w:type="dxa"/>
            </w:tcMar>
            <w:vAlign w:val="center"/>
          </w:tcPr>
          <w:p w14:paraId="330A4491" w14:textId="77777777" w:rsidR="00C2323F" w:rsidRPr="009E064B" w:rsidRDefault="00C2323F" w:rsidP="00C2323F">
            <w:pPr>
              <w:spacing w:after="0"/>
              <w:ind w:left="42" w:hanging="42"/>
              <w:jc w:val="center"/>
              <w:rPr>
                <w:rFonts w:asciiTheme="minorHAnsi" w:hAnsiTheme="minorHAnsi" w:cstheme="minorHAnsi"/>
                <w:sz w:val="18"/>
                <w:szCs w:val="20"/>
              </w:rPr>
            </w:pPr>
            <w:r w:rsidRPr="009E064B">
              <w:rPr>
                <w:rFonts w:asciiTheme="minorHAnsi" w:hAnsiTheme="minorHAnsi" w:cstheme="minorHAnsi"/>
                <w:sz w:val="18"/>
                <w:szCs w:val="20"/>
              </w:rPr>
              <w:t>(4)</w:t>
            </w:r>
          </w:p>
        </w:tc>
      </w:tr>
      <w:tr w:rsidR="00C2323F" w:rsidRPr="009E064B" w14:paraId="293A674C"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7B8CE5E4" w14:textId="77777777" w:rsidR="00C2323F" w:rsidRPr="009E064B" w:rsidRDefault="00C2323F" w:rsidP="00C2323F">
            <w:pPr>
              <w:spacing w:after="0"/>
              <w:rPr>
                <w:rFonts w:asciiTheme="minorHAnsi" w:hAnsiTheme="minorHAnsi" w:cstheme="minorHAnsi"/>
                <w:sz w:val="20"/>
                <w:szCs w:val="20"/>
              </w:rPr>
            </w:pPr>
            <w:r w:rsidRPr="009E064B">
              <w:rPr>
                <w:rFonts w:asciiTheme="minorHAnsi" w:hAnsiTheme="minorHAnsi" w:cstheme="minorHAnsi"/>
                <w:sz w:val="20"/>
                <w:szCs w:val="20"/>
              </w:rPr>
              <w:t>POWIERZCHNIA WZNOSZENIA PRZY STARCIE</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675C4A1F" w14:textId="77777777" w:rsidR="00C2323F" w:rsidRPr="009E064B" w:rsidRDefault="00C2323F" w:rsidP="00C2323F">
            <w:pPr>
              <w:spacing w:after="0"/>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5A946F7C" w14:textId="77777777" w:rsidR="00C2323F" w:rsidRPr="009E064B" w:rsidRDefault="00C2323F" w:rsidP="00C2323F">
            <w:pPr>
              <w:spacing w:after="0"/>
              <w:rPr>
                <w:rFonts w:asciiTheme="minorHAnsi" w:hAnsiTheme="minorHAnsi" w:cstheme="minorHAnsi"/>
                <w:sz w:val="20"/>
                <w:szCs w:val="20"/>
              </w:rPr>
            </w:pPr>
          </w:p>
        </w:tc>
        <w:tc>
          <w:tcPr>
            <w:tcW w:w="760" w:type="pct"/>
            <w:tcBorders>
              <w:top w:val="single" w:sz="4" w:space="0" w:color="auto"/>
              <w:left w:val="single" w:sz="4" w:space="0" w:color="auto"/>
              <w:right w:val="single" w:sz="4" w:space="0" w:color="auto"/>
            </w:tcBorders>
            <w:tcMar>
              <w:top w:w="85" w:type="dxa"/>
              <w:bottom w:w="85" w:type="dxa"/>
            </w:tcMar>
            <w:vAlign w:val="center"/>
          </w:tcPr>
          <w:p w14:paraId="0B85DB4A" w14:textId="77777777" w:rsidR="00C2323F" w:rsidRPr="009E064B" w:rsidRDefault="00C2323F" w:rsidP="00C2323F">
            <w:pPr>
              <w:spacing w:after="0"/>
              <w:rPr>
                <w:rFonts w:asciiTheme="minorHAnsi" w:hAnsiTheme="minorHAnsi" w:cstheme="minorHAnsi"/>
                <w:sz w:val="20"/>
                <w:szCs w:val="20"/>
              </w:rPr>
            </w:pPr>
          </w:p>
        </w:tc>
      </w:tr>
      <w:tr w:rsidR="00C2323F" w:rsidRPr="009E064B" w14:paraId="14D4DBC7"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099980A"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Długość krawędzi wewnętrznej</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F6A91C5"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60</w:t>
            </w:r>
            <w:r w:rsidRPr="009E064B">
              <w:rPr>
                <w:rFonts w:asciiTheme="minorHAnsi" w:hAnsiTheme="minorHAnsi" w:cstheme="minorHAnsi"/>
                <w:sz w:val="20"/>
                <w:szCs w:val="20"/>
                <w:vertAlign w:val="superscript"/>
              </w:rPr>
              <w:t>e</w:t>
            </w:r>
            <w:r w:rsidRPr="009E064B">
              <w:rPr>
                <w:rFonts w:asciiTheme="minorHAnsi" w:hAnsiTheme="minorHAnsi" w:cstheme="minorHAnsi"/>
                <w:sz w:val="20"/>
                <w:szCs w:val="20"/>
              </w:rPr>
              <w:t xml:space="preserve"> m</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1667201D"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80</w:t>
            </w:r>
            <w:r w:rsidRPr="009E064B">
              <w:rPr>
                <w:rFonts w:asciiTheme="minorHAnsi" w:hAnsiTheme="minorHAnsi" w:cstheme="minorHAnsi"/>
                <w:sz w:val="20"/>
                <w:szCs w:val="20"/>
                <w:vertAlign w:val="superscript"/>
              </w:rPr>
              <w:t>e</w:t>
            </w:r>
            <w:r w:rsidRPr="009E064B">
              <w:rPr>
                <w:rFonts w:asciiTheme="minorHAnsi" w:hAnsiTheme="minorHAnsi" w:cstheme="minorHAnsi"/>
                <w:sz w:val="20"/>
                <w:szCs w:val="20"/>
              </w:rPr>
              <w:t xml:space="preserve"> m</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0D47C172" w14:textId="77777777" w:rsidR="00C2323F" w:rsidRPr="009E064B" w:rsidRDefault="00C2323F" w:rsidP="00C2323F">
            <w:pPr>
              <w:spacing w:before="40" w:after="40"/>
              <w:ind w:left="-31" w:firstLine="31"/>
              <w:jc w:val="center"/>
              <w:rPr>
                <w:rFonts w:asciiTheme="minorHAnsi" w:hAnsiTheme="minorHAnsi" w:cstheme="minorHAnsi"/>
                <w:sz w:val="20"/>
                <w:szCs w:val="20"/>
              </w:rPr>
            </w:pPr>
            <w:smartTag w:uri="urn:schemas-microsoft-com:office:smarttags" w:element="metricconverter">
              <w:smartTagPr>
                <w:attr w:name="ProductID" w:val="180 m"/>
              </w:smartTagPr>
              <w:r w:rsidRPr="009E064B">
                <w:rPr>
                  <w:rFonts w:asciiTheme="minorHAnsi" w:hAnsiTheme="minorHAnsi" w:cstheme="minorHAnsi"/>
                  <w:sz w:val="20"/>
                  <w:szCs w:val="20"/>
                </w:rPr>
                <w:t>180 m</w:t>
              </w:r>
            </w:smartTag>
          </w:p>
        </w:tc>
      </w:tr>
      <w:tr w:rsidR="00C2323F" w:rsidRPr="009E064B" w14:paraId="7652F0B6"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5001EF5"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Odległość od końca drogi startowej</w:t>
            </w:r>
            <w:r w:rsidRPr="009E064B">
              <w:rPr>
                <w:rFonts w:asciiTheme="minorHAnsi" w:hAnsiTheme="minorHAnsi" w:cstheme="minorHAnsi"/>
                <w:sz w:val="20"/>
                <w:szCs w:val="20"/>
                <w:vertAlign w:val="superscript"/>
              </w:rPr>
              <w:t>b</w:t>
            </w:r>
          </w:p>
        </w:tc>
        <w:tc>
          <w:tcPr>
            <w:tcW w:w="761" w:type="pct"/>
            <w:tcBorders>
              <w:top w:val="single" w:sz="4" w:space="0" w:color="auto"/>
              <w:left w:val="single" w:sz="4" w:space="0" w:color="auto"/>
              <w:right w:val="single" w:sz="4" w:space="0" w:color="auto"/>
            </w:tcBorders>
            <w:tcMar>
              <w:top w:w="85" w:type="dxa"/>
              <w:bottom w:w="85" w:type="dxa"/>
            </w:tcMar>
          </w:tcPr>
          <w:p w14:paraId="30B089A7" w14:textId="77777777" w:rsidR="00C2323F" w:rsidRPr="009E064B"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30 m"/>
              </w:smartTagPr>
              <w:r w:rsidRPr="009E064B">
                <w:rPr>
                  <w:rFonts w:asciiTheme="minorHAnsi" w:hAnsiTheme="minorHAnsi" w:cstheme="minorHAnsi"/>
                  <w:sz w:val="20"/>
                  <w:szCs w:val="20"/>
                </w:rPr>
                <w:t>30 m</w:t>
              </w:r>
            </w:smartTag>
          </w:p>
        </w:tc>
        <w:tc>
          <w:tcPr>
            <w:tcW w:w="761" w:type="pct"/>
            <w:tcBorders>
              <w:top w:val="single" w:sz="4" w:space="0" w:color="auto"/>
              <w:left w:val="single" w:sz="4" w:space="0" w:color="auto"/>
              <w:right w:val="single" w:sz="4" w:space="0" w:color="auto"/>
            </w:tcBorders>
            <w:tcMar>
              <w:top w:w="85" w:type="dxa"/>
              <w:bottom w:w="85" w:type="dxa"/>
            </w:tcMar>
          </w:tcPr>
          <w:p w14:paraId="7F9D8DAD" w14:textId="77777777" w:rsidR="00C2323F" w:rsidRPr="009E064B"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60 m"/>
              </w:smartTagPr>
              <w:r w:rsidRPr="009E064B">
                <w:rPr>
                  <w:rFonts w:asciiTheme="minorHAnsi" w:hAnsiTheme="minorHAnsi" w:cstheme="minorHAnsi"/>
                  <w:sz w:val="20"/>
                  <w:szCs w:val="20"/>
                </w:rPr>
                <w:t>60 m</w:t>
              </w:r>
            </w:smartTag>
          </w:p>
        </w:tc>
        <w:tc>
          <w:tcPr>
            <w:tcW w:w="760" w:type="pct"/>
            <w:tcBorders>
              <w:top w:val="single" w:sz="4" w:space="0" w:color="auto"/>
              <w:left w:val="single" w:sz="4" w:space="0" w:color="auto"/>
              <w:right w:val="single" w:sz="4" w:space="0" w:color="auto"/>
            </w:tcBorders>
            <w:tcMar>
              <w:top w:w="85" w:type="dxa"/>
              <w:bottom w:w="85" w:type="dxa"/>
            </w:tcMar>
          </w:tcPr>
          <w:p w14:paraId="5A512706" w14:textId="77777777" w:rsidR="00C2323F" w:rsidRPr="009E064B" w:rsidRDefault="00C2323F" w:rsidP="00C2323F">
            <w:pPr>
              <w:spacing w:before="40" w:after="40"/>
              <w:ind w:left="-31" w:firstLine="31"/>
              <w:jc w:val="center"/>
              <w:rPr>
                <w:rFonts w:asciiTheme="minorHAnsi" w:hAnsiTheme="minorHAnsi" w:cstheme="minorHAnsi"/>
                <w:sz w:val="20"/>
                <w:szCs w:val="20"/>
              </w:rPr>
            </w:pPr>
            <w:smartTag w:uri="urn:schemas-microsoft-com:office:smarttags" w:element="metricconverter">
              <w:smartTagPr>
                <w:attr w:name="ProductID" w:val="60 m"/>
              </w:smartTagPr>
              <w:r w:rsidRPr="009E064B">
                <w:rPr>
                  <w:rFonts w:asciiTheme="minorHAnsi" w:hAnsiTheme="minorHAnsi" w:cstheme="minorHAnsi"/>
                  <w:sz w:val="20"/>
                  <w:szCs w:val="20"/>
                </w:rPr>
                <w:t>60 m</w:t>
              </w:r>
            </w:smartTag>
          </w:p>
        </w:tc>
      </w:tr>
      <w:tr w:rsidR="00C2323F" w:rsidRPr="009E064B" w14:paraId="5411B1ED"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66E966A8"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Rozchylenie (z każdej strony)</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231434A4"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10%</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93449D9"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10%</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4601F49B" w14:textId="77777777" w:rsidR="00C2323F" w:rsidRPr="009E064B" w:rsidRDefault="00C2323F" w:rsidP="00C2323F">
            <w:pPr>
              <w:spacing w:before="40" w:after="40"/>
              <w:ind w:left="-31" w:firstLine="31"/>
              <w:jc w:val="center"/>
              <w:rPr>
                <w:rFonts w:asciiTheme="minorHAnsi" w:hAnsiTheme="minorHAnsi" w:cstheme="minorHAnsi"/>
                <w:sz w:val="20"/>
                <w:szCs w:val="20"/>
              </w:rPr>
            </w:pPr>
            <w:r w:rsidRPr="009E064B">
              <w:rPr>
                <w:rFonts w:asciiTheme="minorHAnsi" w:hAnsiTheme="minorHAnsi" w:cstheme="minorHAnsi"/>
                <w:sz w:val="20"/>
                <w:szCs w:val="20"/>
              </w:rPr>
              <w:t>12.5%</w:t>
            </w:r>
          </w:p>
        </w:tc>
      </w:tr>
      <w:tr w:rsidR="00C2323F" w:rsidRPr="009E064B" w14:paraId="1BFA83C6"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5E3C636"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Szerokość końcowa</w:t>
            </w:r>
          </w:p>
          <w:p w14:paraId="4E37DBC9" w14:textId="77777777" w:rsidR="00C2323F" w:rsidRPr="009E064B" w:rsidRDefault="00C2323F" w:rsidP="00C2323F">
            <w:pPr>
              <w:spacing w:before="40" w:after="40"/>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4FF78383" w14:textId="77777777" w:rsidR="00C2323F" w:rsidRPr="009E064B"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380 m"/>
              </w:smartTagPr>
              <w:r w:rsidRPr="009E064B">
                <w:rPr>
                  <w:rFonts w:asciiTheme="minorHAnsi" w:hAnsiTheme="minorHAnsi" w:cstheme="minorHAnsi"/>
                  <w:sz w:val="20"/>
                  <w:szCs w:val="20"/>
                </w:rPr>
                <w:t>380 m</w:t>
              </w:r>
            </w:smartTag>
          </w:p>
          <w:p w14:paraId="657D1C18" w14:textId="77777777" w:rsidR="00C2323F" w:rsidRPr="009E064B" w:rsidRDefault="00C2323F" w:rsidP="00C2323F">
            <w:pPr>
              <w:spacing w:before="40" w:after="40"/>
              <w:jc w:val="center"/>
              <w:rPr>
                <w:rFonts w:asciiTheme="minorHAnsi" w:hAnsiTheme="minorHAnsi" w:cstheme="minorHAnsi"/>
                <w:sz w:val="20"/>
                <w:szCs w:val="20"/>
              </w:rPr>
            </w:pPr>
          </w:p>
        </w:tc>
        <w:tc>
          <w:tcPr>
            <w:tcW w:w="761" w:type="pct"/>
            <w:tcBorders>
              <w:top w:val="single" w:sz="4" w:space="0" w:color="auto"/>
              <w:left w:val="single" w:sz="4" w:space="0" w:color="auto"/>
              <w:right w:val="single" w:sz="4" w:space="0" w:color="auto"/>
            </w:tcBorders>
            <w:tcMar>
              <w:top w:w="85" w:type="dxa"/>
              <w:bottom w:w="85" w:type="dxa"/>
            </w:tcMar>
            <w:vAlign w:val="center"/>
          </w:tcPr>
          <w:p w14:paraId="0BABA6F4" w14:textId="77777777" w:rsidR="00C2323F" w:rsidRPr="009E064B" w:rsidRDefault="00C2323F" w:rsidP="00C2323F">
            <w:pPr>
              <w:spacing w:before="40" w:after="40"/>
              <w:jc w:val="center"/>
              <w:rPr>
                <w:rFonts w:asciiTheme="minorHAnsi" w:hAnsiTheme="minorHAnsi" w:cstheme="minorHAnsi"/>
                <w:sz w:val="20"/>
                <w:szCs w:val="20"/>
              </w:rPr>
            </w:pPr>
            <w:smartTag w:uri="urn:schemas-microsoft-com:office:smarttags" w:element="metricconverter">
              <w:smartTagPr>
                <w:attr w:name="ProductID" w:val="580 m"/>
              </w:smartTagPr>
              <w:r w:rsidRPr="009E064B">
                <w:rPr>
                  <w:rFonts w:asciiTheme="minorHAnsi" w:hAnsiTheme="minorHAnsi" w:cstheme="minorHAnsi"/>
                  <w:sz w:val="20"/>
                  <w:szCs w:val="20"/>
                </w:rPr>
                <w:t>580 m</w:t>
              </w:r>
            </w:smartTag>
          </w:p>
          <w:p w14:paraId="53309723" w14:textId="77777777" w:rsidR="00C2323F" w:rsidRPr="009E064B" w:rsidRDefault="00C2323F" w:rsidP="00C2323F">
            <w:pPr>
              <w:spacing w:before="40" w:after="40"/>
              <w:jc w:val="center"/>
              <w:rPr>
                <w:rFonts w:asciiTheme="minorHAnsi" w:hAnsiTheme="minorHAnsi" w:cstheme="minorHAnsi"/>
                <w:sz w:val="20"/>
                <w:szCs w:val="20"/>
              </w:rPr>
            </w:pPr>
          </w:p>
        </w:tc>
        <w:tc>
          <w:tcPr>
            <w:tcW w:w="760" w:type="pct"/>
            <w:tcBorders>
              <w:top w:val="single" w:sz="4" w:space="0" w:color="auto"/>
              <w:left w:val="single" w:sz="4" w:space="0" w:color="auto"/>
              <w:right w:val="single" w:sz="4" w:space="0" w:color="auto"/>
            </w:tcBorders>
            <w:tcMar>
              <w:top w:w="85" w:type="dxa"/>
              <w:bottom w:w="85" w:type="dxa"/>
            </w:tcMar>
            <w:vAlign w:val="center"/>
          </w:tcPr>
          <w:p w14:paraId="0A22F1E9" w14:textId="77777777" w:rsidR="00C2323F" w:rsidRPr="009E064B" w:rsidRDefault="00C2323F" w:rsidP="00C2323F">
            <w:pPr>
              <w:spacing w:before="40" w:after="40"/>
              <w:ind w:left="-31" w:firstLine="31"/>
              <w:rPr>
                <w:rFonts w:asciiTheme="minorHAnsi" w:hAnsiTheme="minorHAnsi" w:cstheme="minorHAnsi"/>
                <w:sz w:val="20"/>
                <w:szCs w:val="20"/>
              </w:rPr>
            </w:pPr>
            <w:r w:rsidRPr="009E064B">
              <w:rPr>
                <w:rFonts w:asciiTheme="minorHAnsi" w:hAnsiTheme="minorHAnsi" w:cstheme="minorHAnsi"/>
                <w:sz w:val="20"/>
                <w:szCs w:val="20"/>
              </w:rPr>
              <w:t>1 200 m</w:t>
            </w:r>
          </w:p>
          <w:p w14:paraId="79A7231A" w14:textId="77777777" w:rsidR="00C2323F" w:rsidRPr="009E064B" w:rsidRDefault="00C2323F" w:rsidP="00C2323F">
            <w:pPr>
              <w:spacing w:before="40" w:after="40"/>
              <w:ind w:left="-31" w:firstLine="31"/>
              <w:rPr>
                <w:rFonts w:asciiTheme="minorHAnsi" w:hAnsiTheme="minorHAnsi" w:cstheme="minorHAnsi"/>
                <w:sz w:val="20"/>
                <w:szCs w:val="20"/>
              </w:rPr>
            </w:pPr>
            <w:r w:rsidRPr="009E064B">
              <w:rPr>
                <w:rFonts w:asciiTheme="minorHAnsi" w:hAnsiTheme="minorHAnsi" w:cstheme="minorHAnsi"/>
                <w:sz w:val="20"/>
                <w:szCs w:val="20"/>
              </w:rPr>
              <w:t>1 800 m</w:t>
            </w:r>
            <w:r w:rsidRPr="009E064B">
              <w:rPr>
                <w:rFonts w:asciiTheme="minorHAnsi" w:hAnsiTheme="minorHAnsi" w:cstheme="minorHAnsi"/>
                <w:sz w:val="20"/>
                <w:szCs w:val="20"/>
                <w:vertAlign w:val="superscript"/>
              </w:rPr>
              <w:t>c</w:t>
            </w:r>
          </w:p>
        </w:tc>
      </w:tr>
      <w:tr w:rsidR="00C2323F" w:rsidRPr="009E064B" w14:paraId="6CCEA8C4"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749E08FC"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Długość</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6DCBA561"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1600 m</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38946191"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2500 m</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2F6FBDBC" w14:textId="77777777" w:rsidR="00C2323F" w:rsidRPr="009E064B" w:rsidRDefault="00C2323F" w:rsidP="00C2323F">
            <w:pPr>
              <w:spacing w:before="40" w:after="40"/>
              <w:ind w:left="-31" w:firstLine="31"/>
              <w:jc w:val="center"/>
              <w:rPr>
                <w:rFonts w:asciiTheme="minorHAnsi" w:hAnsiTheme="minorHAnsi" w:cstheme="minorHAnsi"/>
                <w:sz w:val="20"/>
                <w:szCs w:val="20"/>
              </w:rPr>
            </w:pPr>
            <w:r w:rsidRPr="009E064B">
              <w:rPr>
                <w:rFonts w:asciiTheme="minorHAnsi" w:hAnsiTheme="minorHAnsi" w:cstheme="minorHAnsi"/>
                <w:sz w:val="20"/>
                <w:szCs w:val="20"/>
              </w:rPr>
              <w:t>15000 m</w:t>
            </w:r>
          </w:p>
        </w:tc>
      </w:tr>
      <w:tr w:rsidR="00C2323F" w:rsidRPr="009E064B" w14:paraId="4773E590" w14:textId="77777777" w:rsidTr="00C2323F">
        <w:trPr>
          <w:trHeight w:val="262"/>
          <w:jc w:val="center"/>
        </w:trPr>
        <w:tc>
          <w:tcPr>
            <w:tcW w:w="2719" w:type="pct"/>
            <w:tcBorders>
              <w:top w:val="single" w:sz="4" w:space="0" w:color="auto"/>
              <w:left w:val="single" w:sz="4" w:space="0" w:color="auto"/>
              <w:right w:val="single" w:sz="4" w:space="0" w:color="auto"/>
            </w:tcBorders>
            <w:tcMar>
              <w:top w:w="85" w:type="dxa"/>
              <w:bottom w:w="85" w:type="dxa"/>
            </w:tcMar>
            <w:vAlign w:val="center"/>
          </w:tcPr>
          <w:p w14:paraId="4F2D4E61" w14:textId="77777777" w:rsidR="00C2323F" w:rsidRPr="009E064B" w:rsidRDefault="00C2323F" w:rsidP="00C2323F">
            <w:pPr>
              <w:spacing w:before="40" w:after="40"/>
              <w:rPr>
                <w:rFonts w:asciiTheme="minorHAnsi" w:hAnsiTheme="minorHAnsi" w:cstheme="minorHAnsi"/>
                <w:sz w:val="20"/>
                <w:szCs w:val="20"/>
              </w:rPr>
            </w:pPr>
            <w:r w:rsidRPr="009E064B">
              <w:rPr>
                <w:rFonts w:asciiTheme="minorHAnsi" w:hAnsiTheme="minorHAnsi" w:cstheme="minorHAnsi"/>
                <w:sz w:val="20"/>
                <w:szCs w:val="20"/>
              </w:rPr>
              <w:t>Nachylenie</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1824BDBA"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5%</w:t>
            </w:r>
          </w:p>
        </w:tc>
        <w:tc>
          <w:tcPr>
            <w:tcW w:w="761" w:type="pct"/>
            <w:tcBorders>
              <w:top w:val="single" w:sz="4" w:space="0" w:color="auto"/>
              <w:left w:val="single" w:sz="4" w:space="0" w:color="auto"/>
              <w:right w:val="single" w:sz="4" w:space="0" w:color="auto"/>
            </w:tcBorders>
            <w:tcMar>
              <w:top w:w="85" w:type="dxa"/>
              <w:bottom w:w="85" w:type="dxa"/>
            </w:tcMar>
            <w:vAlign w:val="center"/>
          </w:tcPr>
          <w:p w14:paraId="548F3DEB" w14:textId="77777777" w:rsidR="00C2323F" w:rsidRPr="009E064B" w:rsidRDefault="00C2323F" w:rsidP="00C2323F">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4%</w:t>
            </w:r>
          </w:p>
        </w:tc>
        <w:tc>
          <w:tcPr>
            <w:tcW w:w="760" w:type="pct"/>
            <w:tcBorders>
              <w:top w:val="single" w:sz="4" w:space="0" w:color="auto"/>
              <w:left w:val="single" w:sz="4" w:space="0" w:color="auto"/>
              <w:right w:val="single" w:sz="4" w:space="0" w:color="auto"/>
            </w:tcBorders>
            <w:tcMar>
              <w:top w:w="85" w:type="dxa"/>
              <w:bottom w:w="85" w:type="dxa"/>
            </w:tcMar>
            <w:vAlign w:val="center"/>
          </w:tcPr>
          <w:p w14:paraId="164746CD" w14:textId="77777777" w:rsidR="00C2323F" w:rsidRPr="009E064B" w:rsidRDefault="00C2323F" w:rsidP="00C2323F">
            <w:pPr>
              <w:spacing w:before="40" w:after="40"/>
              <w:ind w:left="-31" w:firstLine="31"/>
              <w:jc w:val="center"/>
              <w:rPr>
                <w:rFonts w:asciiTheme="minorHAnsi" w:hAnsiTheme="minorHAnsi" w:cstheme="minorHAnsi"/>
                <w:sz w:val="20"/>
                <w:szCs w:val="20"/>
              </w:rPr>
            </w:pPr>
            <w:r w:rsidRPr="009E064B">
              <w:rPr>
                <w:rFonts w:asciiTheme="minorHAnsi" w:hAnsiTheme="minorHAnsi" w:cstheme="minorHAnsi"/>
                <w:sz w:val="20"/>
                <w:szCs w:val="20"/>
              </w:rPr>
              <w:t>2%</w:t>
            </w:r>
            <w:r w:rsidRPr="009E064B">
              <w:rPr>
                <w:rFonts w:asciiTheme="minorHAnsi" w:hAnsiTheme="minorHAnsi" w:cstheme="minorHAnsi"/>
                <w:sz w:val="20"/>
                <w:szCs w:val="20"/>
                <w:vertAlign w:val="superscript"/>
              </w:rPr>
              <w:t>d</w:t>
            </w:r>
          </w:p>
        </w:tc>
      </w:tr>
      <w:tr w:rsidR="00C2323F" w:rsidRPr="009E064B" w14:paraId="2C0818EB" w14:textId="77777777" w:rsidTr="00C2323F">
        <w:trPr>
          <w:jc w:val="center"/>
        </w:trPr>
        <w:tc>
          <w:tcPr>
            <w:tcW w:w="5000" w:type="pct"/>
            <w:gridSpan w:val="4"/>
            <w:tcBorders>
              <w:top w:val="single" w:sz="4" w:space="0" w:color="auto"/>
              <w:left w:val="single" w:sz="4" w:space="0" w:color="auto"/>
              <w:bottom w:val="single" w:sz="4" w:space="0" w:color="auto"/>
              <w:right w:val="single" w:sz="4" w:space="0" w:color="auto"/>
            </w:tcBorders>
            <w:tcMar>
              <w:top w:w="57" w:type="dxa"/>
              <w:bottom w:w="57" w:type="dxa"/>
            </w:tcMar>
            <w:vAlign w:val="center"/>
          </w:tcPr>
          <w:p w14:paraId="443A9CE7" w14:textId="77777777" w:rsidR="00C2323F" w:rsidRPr="009E064B" w:rsidRDefault="00C2323F" w:rsidP="00C2323F">
            <w:pPr>
              <w:tabs>
                <w:tab w:val="left" w:pos="336"/>
              </w:tabs>
              <w:spacing w:before="120" w:after="60"/>
              <w:ind w:left="335" w:hanging="335"/>
              <w:jc w:val="left"/>
              <w:rPr>
                <w:sz w:val="18"/>
                <w:szCs w:val="18"/>
              </w:rPr>
            </w:pPr>
            <w:r w:rsidRPr="009E064B">
              <w:rPr>
                <w:sz w:val="18"/>
                <w:szCs w:val="18"/>
              </w:rPr>
              <w:t>a.   Wszystkie wymiary mierzone są w płaszczyźnie poziomej, jeśli nie określono inaczej.</w:t>
            </w:r>
          </w:p>
          <w:p w14:paraId="17A230B9" w14:textId="77777777" w:rsidR="00C2323F" w:rsidRPr="009E064B" w:rsidRDefault="00C2323F" w:rsidP="00C2323F">
            <w:pPr>
              <w:tabs>
                <w:tab w:val="left" w:pos="336"/>
              </w:tabs>
              <w:spacing w:after="60"/>
              <w:ind w:left="336" w:hanging="336"/>
              <w:jc w:val="left"/>
              <w:rPr>
                <w:sz w:val="18"/>
                <w:szCs w:val="18"/>
              </w:rPr>
            </w:pPr>
            <w:r w:rsidRPr="009E064B">
              <w:rPr>
                <w:sz w:val="18"/>
                <w:szCs w:val="18"/>
              </w:rPr>
              <w:t>b.   Powierzchnia wznoszenia zaczyna się na końcu zabezpieczenia wydłużonego startu, jeżeli długość tego zabezpieczenia przekracza określoną wartość.</w:t>
            </w:r>
          </w:p>
          <w:p w14:paraId="4433E4C6" w14:textId="77777777" w:rsidR="00C2323F" w:rsidRPr="009E064B" w:rsidRDefault="00C2323F" w:rsidP="00C2323F">
            <w:pPr>
              <w:tabs>
                <w:tab w:val="left" w:pos="336"/>
              </w:tabs>
              <w:spacing w:after="60"/>
              <w:ind w:left="336" w:hanging="336"/>
              <w:jc w:val="left"/>
              <w:rPr>
                <w:sz w:val="18"/>
                <w:szCs w:val="18"/>
              </w:rPr>
            </w:pPr>
            <w:r w:rsidRPr="009E064B">
              <w:rPr>
                <w:sz w:val="18"/>
                <w:szCs w:val="18"/>
              </w:rPr>
              <w:t>c.   1800 m, jeżeli przewidywana linia startu zawiera zmianę kierunku większą niż 15º przy wykonywaniu operacji w warunkach IMC, VMC w nocy.</w:t>
            </w:r>
          </w:p>
          <w:p w14:paraId="15DC6948" w14:textId="77777777" w:rsidR="00C2323F" w:rsidRPr="009E064B" w:rsidRDefault="00C2323F" w:rsidP="00C2323F">
            <w:pPr>
              <w:tabs>
                <w:tab w:val="left" w:pos="336"/>
              </w:tabs>
              <w:spacing w:after="60"/>
              <w:ind w:left="335" w:hanging="335"/>
              <w:jc w:val="left"/>
              <w:rPr>
                <w:sz w:val="18"/>
                <w:szCs w:val="18"/>
              </w:rPr>
            </w:pPr>
            <w:r w:rsidRPr="009E064B">
              <w:rPr>
                <w:sz w:val="18"/>
                <w:szCs w:val="18"/>
              </w:rPr>
              <w:t xml:space="preserve">d.   Patrz </w:t>
            </w:r>
            <w:hyperlink w:anchor="_GM1_ADR-DSN.J.485_" w:history="1">
              <w:r w:rsidRPr="009E064B">
                <w:rPr>
                  <w:rStyle w:val="Hipercze"/>
                  <w:sz w:val="18"/>
                  <w:szCs w:val="18"/>
                </w:rPr>
                <w:t>GM1 ADR-DSN.J.485</w:t>
              </w:r>
            </w:hyperlink>
            <w:r w:rsidRPr="009E064B">
              <w:rPr>
                <w:sz w:val="18"/>
                <w:szCs w:val="18"/>
              </w:rPr>
              <w:t xml:space="preserve">  lit. (a) i (e). </w:t>
            </w:r>
          </w:p>
          <w:p w14:paraId="43BFB178" w14:textId="77777777" w:rsidR="00C2323F" w:rsidRPr="009E064B" w:rsidRDefault="00C2323F" w:rsidP="00C2323F">
            <w:pPr>
              <w:tabs>
                <w:tab w:val="left" w:pos="336"/>
              </w:tabs>
              <w:spacing w:after="60"/>
              <w:ind w:left="335" w:hanging="335"/>
              <w:jc w:val="left"/>
              <w:rPr>
                <w:sz w:val="16"/>
                <w:szCs w:val="18"/>
              </w:rPr>
            </w:pPr>
            <w:r w:rsidRPr="009E064B">
              <w:rPr>
                <w:sz w:val="18"/>
                <w:szCs w:val="18"/>
              </w:rPr>
              <w:t>e.   Jeżeli istnieje zabezpieczenie wydłużonego startu, długość wewnętrznej krawędzi powinna wynosić 150 m.</w:t>
            </w:r>
          </w:p>
        </w:tc>
      </w:tr>
    </w:tbl>
    <w:p w14:paraId="4DB0BE6C" w14:textId="77777777" w:rsidR="00C2323F" w:rsidRPr="009E064B" w:rsidRDefault="00C2323F" w:rsidP="00C2323F">
      <w:pPr>
        <w:spacing w:after="0"/>
        <w:rPr>
          <w:rFonts w:cs="TimesNewRomanPS-BoldMT"/>
          <w:bCs/>
          <w:szCs w:val="20"/>
        </w:rPr>
      </w:pPr>
    </w:p>
    <w:p w14:paraId="108600EA" w14:textId="77777777" w:rsidR="00C2323F" w:rsidRPr="005669D1" w:rsidRDefault="00C2323F" w:rsidP="00C2323F">
      <w:pPr>
        <w:ind w:left="851" w:hanging="851"/>
        <w:jc w:val="center"/>
        <w:rPr>
          <w:b/>
          <w:sz w:val="20"/>
        </w:rPr>
      </w:pPr>
      <w:r w:rsidRPr="005669D1">
        <w:rPr>
          <w:b/>
          <w:sz w:val="20"/>
        </w:rPr>
        <w:t xml:space="preserve">Tabela J-2.   Wymiary i nachylenia powierzchni ograniczających przeszkody </w:t>
      </w:r>
      <w:r w:rsidRPr="005669D1">
        <w:rPr>
          <w:b/>
          <w:sz w:val="20"/>
        </w:rPr>
        <w:br/>
        <w:t>dla dróg startowych przeznaczonych do startu.</w:t>
      </w:r>
    </w:p>
    <w:p w14:paraId="1788BA87" w14:textId="15A71D93" w:rsidR="00C2323F"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7264D78" w14:textId="77777777" w:rsidR="00C2323F" w:rsidRPr="009E064B" w:rsidRDefault="00C2323F">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736883AA" w14:textId="12D5AD14" w:rsidR="00C36D76" w:rsidRPr="009E064B" w:rsidRDefault="00C36D76" w:rsidP="00B06A9A">
      <w:pPr>
        <w:pStyle w:val="Nagwek4"/>
        <w:rPr>
          <w:color w:val="auto"/>
        </w:rPr>
      </w:pPr>
      <w:bookmarkStart w:id="1296" w:name="_Toc482886635"/>
      <w:bookmarkStart w:id="1297" w:name="_Toc12533112"/>
      <w:r w:rsidRPr="009E064B">
        <w:rPr>
          <w:color w:val="auto"/>
        </w:rPr>
        <w:t>C</w:t>
      </w:r>
      <w:r w:rsidR="00205240" w:rsidRPr="009E064B">
        <w:rPr>
          <w:color w:val="auto"/>
        </w:rPr>
        <w:t xml:space="preserve">S ADR-DSN.J.486     </w:t>
      </w:r>
      <w:r w:rsidRPr="009E064B">
        <w:rPr>
          <w:color w:val="auto"/>
        </w:rPr>
        <w:t>Inne obiekty</w:t>
      </w:r>
      <w:bookmarkEnd w:id="1296"/>
      <w:bookmarkEnd w:id="1297"/>
    </w:p>
    <w:p w14:paraId="0B8FFA8F" w14:textId="2ACD5DBB"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D8C05B5" w14:textId="77777777" w:rsidR="00C36D76" w:rsidRPr="009E064B" w:rsidRDefault="00C36D76" w:rsidP="00205240">
      <w:pPr>
        <w:tabs>
          <w:tab w:val="left" w:pos="567"/>
        </w:tabs>
        <w:autoSpaceDE w:val="0"/>
        <w:autoSpaceDN w:val="0"/>
        <w:adjustRightInd w:val="0"/>
        <w:ind w:left="567" w:hanging="567"/>
        <w:rPr>
          <w:bCs/>
          <w:iCs/>
        </w:rPr>
      </w:pPr>
      <w:r w:rsidRPr="009E064B">
        <w:rPr>
          <w:bCs/>
        </w:rPr>
        <w:t xml:space="preserve">(a) </w:t>
      </w:r>
      <w:r w:rsidRPr="009E064B">
        <w:rPr>
          <w:bCs/>
        </w:rPr>
        <w:tab/>
        <w:t>O</w:t>
      </w:r>
      <w:r w:rsidRPr="009E064B">
        <w:rPr>
          <w:bCs/>
          <w:iCs/>
        </w:rPr>
        <w:t>biekty, które nie wystają ponad powierzchnię podejścia, jednakże mogą mieć niekorzystny wpływ na optymalną lokalizację lub działanie pomocy wzrokowych lub niewzrokowych, jeżeli jest to możliwe, powinny być usunięte.</w:t>
      </w:r>
    </w:p>
    <w:p w14:paraId="6FC3CEB6" w14:textId="77777777" w:rsidR="00C36D76" w:rsidRPr="009E064B" w:rsidRDefault="00C36D76" w:rsidP="00205240">
      <w:pPr>
        <w:tabs>
          <w:tab w:val="left" w:pos="567"/>
        </w:tabs>
        <w:autoSpaceDE w:val="0"/>
        <w:autoSpaceDN w:val="0"/>
        <w:adjustRightInd w:val="0"/>
        <w:ind w:left="567" w:hanging="567"/>
        <w:rPr>
          <w:bCs/>
          <w:iCs/>
        </w:rPr>
      </w:pPr>
      <w:r w:rsidRPr="009E064B">
        <w:rPr>
          <w:bCs/>
        </w:rPr>
        <w:t xml:space="preserve">(b) </w:t>
      </w:r>
      <w:r w:rsidRPr="009E064B">
        <w:rPr>
          <w:bCs/>
        </w:rPr>
        <w:tab/>
        <w:t xml:space="preserve">Jakikolwiek obiekt, który po </w:t>
      </w:r>
      <w:r w:rsidRPr="009E064B">
        <w:rPr>
          <w:bCs/>
          <w:iCs/>
        </w:rPr>
        <w:t>przeprowadzeniu oceny bezpieczeństwa, stanowi zagrożenie dla samolotów znajdujących się na polu ruchu naziemnego lub w powietrzu, w granicach powierzchni wewnętrznej i powierzchni stożkowej, powinien być uznany za przeszkodę, i jeżeli to możliwe, usunięty.</w:t>
      </w:r>
    </w:p>
    <w:p w14:paraId="45DE13C7"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3A99647" w14:textId="77777777" w:rsidR="006F1286" w:rsidRPr="009E064B" w:rsidRDefault="00205240" w:rsidP="00133B99">
      <w:pPr>
        <w:pStyle w:val="Nagwek6"/>
      </w:pPr>
      <w:bookmarkStart w:id="1298" w:name="_Toc401058993"/>
      <w:bookmarkStart w:id="1299" w:name="_Toc482886859"/>
      <w:bookmarkStart w:id="1300" w:name="_Toc12533113"/>
      <w:bookmarkStart w:id="1301" w:name="_Toc482886636"/>
      <w:r w:rsidRPr="009E064B">
        <w:t xml:space="preserve">GM1 ADR-DSN.J.486     </w:t>
      </w:r>
      <w:r w:rsidR="006F1286" w:rsidRPr="009E064B">
        <w:t>Inne obiekty</w:t>
      </w:r>
      <w:bookmarkEnd w:id="1298"/>
      <w:bookmarkEnd w:id="1299"/>
      <w:bookmarkEnd w:id="1300"/>
    </w:p>
    <w:p w14:paraId="4BF70B97" w14:textId="2BAAA5F3"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F848BFA" w14:textId="77777777" w:rsidR="006F1286" w:rsidRPr="009E064B" w:rsidRDefault="006F1286" w:rsidP="00B06A9A">
      <w:pPr>
        <w:autoSpaceDE w:val="0"/>
        <w:autoSpaceDN w:val="0"/>
        <w:adjustRightInd w:val="0"/>
        <w:rPr>
          <w:rFonts w:cs="TimesNewRomanPS-BoldItalicMT"/>
          <w:bCs/>
          <w:iCs/>
          <w:szCs w:val="20"/>
        </w:rPr>
      </w:pPr>
      <w:r w:rsidRPr="009E064B">
        <w:rPr>
          <w:rFonts w:cs="TimesNewRomanPS-BoldItalicMT"/>
          <w:bCs/>
          <w:iCs/>
          <w:szCs w:val="20"/>
        </w:rPr>
        <w:t>W pewnych okolicznościach, obiekty, które nie wystają ponad jakąkolwiek powierzchnię ograniczającą przeszkody mogą stanowić zagrożenie dla samolotów, na przykład, gdy w sąsiedztwie lotniska znajduje się jeden lub więcej pojedynczych, odosobnionych obiektów.</w:t>
      </w:r>
    </w:p>
    <w:p w14:paraId="7AFAD3C7"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39B70F5" w14:textId="47306558" w:rsidR="00C36D76" w:rsidRPr="009E064B" w:rsidRDefault="00205240" w:rsidP="00205240">
      <w:pPr>
        <w:pStyle w:val="Nagwek4"/>
        <w:tabs>
          <w:tab w:val="clear" w:pos="2694"/>
          <w:tab w:val="left" w:pos="2268"/>
        </w:tabs>
        <w:ind w:left="2410" w:hanging="2410"/>
        <w:rPr>
          <w:color w:val="auto"/>
        </w:rPr>
      </w:pPr>
      <w:bookmarkStart w:id="1302" w:name="_CS_ADR-DSN.J.487_"/>
      <w:bookmarkStart w:id="1303" w:name="_Toc12533114"/>
      <w:bookmarkEnd w:id="1302"/>
      <w:r w:rsidRPr="009E064B">
        <w:rPr>
          <w:color w:val="auto"/>
        </w:rPr>
        <w:t xml:space="preserve">CS ADR-DSN.J.487     </w:t>
      </w:r>
      <w:r w:rsidR="00C36D76" w:rsidRPr="009E064B">
        <w:rPr>
          <w:color w:val="auto"/>
        </w:rPr>
        <w:t>Obiekty poza powierzchniami ograniczającymi przeszkody</w:t>
      </w:r>
      <w:bookmarkEnd w:id="1301"/>
      <w:bookmarkEnd w:id="1303"/>
    </w:p>
    <w:p w14:paraId="7D491DA0" w14:textId="11F61328"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9026CEC" w14:textId="1BB2FAB3" w:rsidR="00C36D76" w:rsidRPr="009E064B" w:rsidRDefault="00C36D76" w:rsidP="00205240">
      <w:pPr>
        <w:tabs>
          <w:tab w:val="left" w:pos="567"/>
        </w:tabs>
        <w:autoSpaceDE w:val="0"/>
        <w:autoSpaceDN w:val="0"/>
        <w:adjustRightInd w:val="0"/>
        <w:ind w:left="567" w:hanging="567"/>
      </w:pPr>
      <w:r w:rsidRPr="009E064B">
        <w:rPr>
          <w:bCs/>
        </w:rPr>
        <w:t xml:space="preserve">(a) </w:t>
      </w:r>
      <w:r w:rsidRPr="009E064B">
        <w:rPr>
          <w:bCs/>
        </w:rPr>
        <w:tab/>
      </w:r>
      <w:r w:rsidRPr="009E064B">
        <w:rPr>
          <w:rFonts w:cs="TimesNewRomanPS-BoldItalicMT"/>
          <w:bCs/>
          <w:iCs/>
          <w:szCs w:val="20"/>
        </w:rPr>
        <w:t>Zastosowanie</w:t>
      </w:r>
      <w:r w:rsidRPr="009E064B">
        <w:rPr>
          <w:bCs/>
        </w:rPr>
        <w:t xml:space="preserve">: </w:t>
      </w:r>
      <w:r w:rsidRPr="009E064B">
        <w:t xml:space="preserve">Specyfikacje w </w:t>
      </w:r>
      <w:r w:rsidR="000F46FC" w:rsidRPr="009E064B">
        <w:t>lit. </w:t>
      </w:r>
      <w:r w:rsidRPr="009E064B">
        <w:t>(b) poniżej stosuje się tylko do obszaru znajdującego się pod kontrolą operatora lotniska.</w:t>
      </w:r>
    </w:p>
    <w:p w14:paraId="6D1985DA" w14:textId="77777777" w:rsidR="00C36D76" w:rsidRPr="009E064B" w:rsidRDefault="00C36D76" w:rsidP="00205240">
      <w:pPr>
        <w:tabs>
          <w:tab w:val="left" w:pos="567"/>
        </w:tabs>
        <w:autoSpaceDE w:val="0"/>
        <w:autoSpaceDN w:val="0"/>
        <w:adjustRightInd w:val="0"/>
        <w:ind w:left="567" w:hanging="567"/>
      </w:pPr>
      <w:r w:rsidRPr="009E064B">
        <w:t>(b)</w:t>
      </w:r>
      <w:r w:rsidR="00205240" w:rsidRPr="009E064B">
        <w:t xml:space="preserve"> </w:t>
      </w:r>
      <w:r w:rsidRPr="009E064B">
        <w:tab/>
        <w:t xml:space="preserve">Na obszarach znajdujących się poza granicami powierzchni ograniczających przeszkody, </w:t>
      </w:r>
      <w:r w:rsidRPr="009E064B">
        <w:rPr>
          <w:rFonts w:cs="TimesNewRomanPS-BoldItalicMT"/>
          <w:bCs/>
          <w:iCs/>
          <w:szCs w:val="20"/>
        </w:rPr>
        <w:t>przynajmniej</w:t>
      </w:r>
      <w:r w:rsidRPr="009E064B">
        <w:t xml:space="preserve"> te obiekty, które mają wysokość 150 m lub więcej powyżej poziomu terenu, powinny być traktowane jako przeszkody, chyba że ocena bezpieczeństwa wykaże, że nie stanowią one zagrożenia dla samolotów. </w:t>
      </w:r>
    </w:p>
    <w:p w14:paraId="0AA56867" w14:textId="39EFBFE4" w:rsidR="000F46FC"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DF09F8E" w14:textId="0CA635D6" w:rsidR="006F1286" w:rsidRPr="009E064B" w:rsidRDefault="00205240" w:rsidP="00133B99">
      <w:pPr>
        <w:pStyle w:val="Nagwek6"/>
      </w:pPr>
      <w:bookmarkStart w:id="1304" w:name="_Toc482886860"/>
      <w:bookmarkStart w:id="1305" w:name="_Toc12533115"/>
      <w:r w:rsidRPr="009E064B">
        <w:t xml:space="preserve">GM1 ADR-DSN.J.487     </w:t>
      </w:r>
      <w:r w:rsidR="006F1286" w:rsidRPr="009E064B">
        <w:t>Obiekty poza powierzchniami ograniczającymi przeszkody</w:t>
      </w:r>
      <w:bookmarkEnd w:id="1304"/>
      <w:bookmarkEnd w:id="1305"/>
    </w:p>
    <w:p w14:paraId="132610B6" w14:textId="23C8EF42"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65BCEFD" w14:textId="77777777" w:rsidR="006F1286" w:rsidRPr="009E064B" w:rsidRDefault="006F1286"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(a)</w:t>
      </w:r>
      <w:r w:rsidRPr="009E064B">
        <w:rPr>
          <w:rFonts w:cs="TimesNewRomanPS-BoldItalicMT"/>
          <w:bCs/>
          <w:iCs/>
          <w:szCs w:val="20"/>
        </w:rPr>
        <w:tab/>
        <w:t>Poza granicami powierzchni ograniczających przeszkody, dla proponowanej budowy obiektów, które sięgają powyżej ustalonych limitów, powinna być przeprowadzona ocena bezpieczeństwa aby zapewnić ochronę bezpiecznego wykonywania operacji statków powietrznych.</w:t>
      </w:r>
    </w:p>
    <w:p w14:paraId="7B209493" w14:textId="77777777" w:rsidR="006F1286" w:rsidRPr="009E064B" w:rsidRDefault="006F1286"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(b)</w:t>
      </w:r>
      <w:r w:rsidRPr="009E064B">
        <w:rPr>
          <w:rFonts w:cs="TimesNewRomanPS-BoldItalicMT"/>
          <w:bCs/>
          <w:iCs/>
          <w:szCs w:val="20"/>
        </w:rPr>
        <w:tab/>
        <w:t>Ocena bezpieczeństwa powinna mieć na uwadze charakter przedmiotowych operacji oraz dokonać rozróżnienia między operacjami wykonywanymi w dzień i w nocy.</w:t>
      </w:r>
    </w:p>
    <w:p w14:paraId="2BF0D559" w14:textId="77777777" w:rsidR="006F1286"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0BA71E2" w14:textId="77777777" w:rsidR="00C36D76" w:rsidRPr="009E064B" w:rsidRDefault="00C36D76" w:rsidP="00B06A9A">
      <w:pPr>
        <w:ind w:left="851" w:hanging="851"/>
        <w:rPr>
          <w:rFonts w:cs="TimesNewRomanPS-BoldMT"/>
          <w:bCs/>
          <w:szCs w:val="20"/>
        </w:rPr>
      </w:pPr>
    </w:p>
    <w:p w14:paraId="0BAF936B" w14:textId="77777777" w:rsidR="00C36D76" w:rsidRPr="009E064B" w:rsidRDefault="00C36D76" w:rsidP="00B06A9A">
      <w:pPr>
        <w:rPr>
          <w:rFonts w:cs="TimesNewRomanPS-BoldMT"/>
          <w:bCs/>
          <w:szCs w:val="20"/>
        </w:rPr>
        <w:sectPr w:rsidR="00C36D76" w:rsidRPr="009E064B" w:rsidSect="00AE1280">
          <w:headerReference w:type="default" r:id="rId137"/>
          <w:headerReference w:type="first" r:id="rId138"/>
          <w:pgSz w:w="11906" w:h="16840" w:code="9"/>
          <w:pgMar w:top="1701" w:right="1417" w:bottom="1418" w:left="1418" w:header="567" w:footer="454" w:gutter="0"/>
          <w:cols w:space="708"/>
          <w:titlePg/>
          <w:docGrid w:linePitch="360"/>
        </w:sectPr>
      </w:pPr>
    </w:p>
    <w:p w14:paraId="69B718B5" w14:textId="77777777" w:rsidR="00C36D76" w:rsidRPr="009E064B" w:rsidRDefault="00C36D76" w:rsidP="00B06A9A">
      <w:pPr>
        <w:rPr>
          <w:rFonts w:cs="TimesNewRomanPS-BoldMT"/>
          <w:bCs/>
          <w:szCs w:val="20"/>
        </w:rPr>
      </w:pPr>
    </w:p>
    <w:p w14:paraId="303BBCDF" w14:textId="45754AEC" w:rsidR="00C36D76" w:rsidRPr="009E064B" w:rsidRDefault="00C36D76" w:rsidP="00020EA3">
      <w:pPr>
        <w:pStyle w:val="Nagwek2"/>
      </w:pPr>
      <w:bookmarkStart w:id="1306" w:name="_Toc382725612"/>
      <w:bookmarkStart w:id="1307" w:name="_Toc482886637"/>
      <w:bookmarkStart w:id="1308" w:name="_Toc12533116"/>
      <w:r w:rsidRPr="009E064B">
        <w:t xml:space="preserve">ROZDZIAŁ K </w:t>
      </w:r>
      <w:r w:rsidR="008441EB" w:rsidRPr="009E064B">
        <w:t xml:space="preserve">— </w:t>
      </w:r>
      <w:r w:rsidRPr="009E064B">
        <w:t>POMOCE WZROK</w:t>
      </w:r>
      <w:r w:rsidR="00FB3AF7" w:rsidRPr="009E064B">
        <w:t xml:space="preserve">OWE DLA NAWIGACJI </w:t>
      </w:r>
      <w:r w:rsidR="00FB3AF7" w:rsidRPr="009E064B">
        <w:br/>
        <w:t xml:space="preserve">(WSKAŹNIKI I </w:t>
      </w:r>
      <w:r w:rsidRPr="009E064B">
        <w:t>URZĄDZENIA SYGNALIZACYJNE)</w:t>
      </w:r>
      <w:bookmarkEnd w:id="1306"/>
      <w:bookmarkEnd w:id="1307"/>
      <w:bookmarkEnd w:id="1308"/>
    </w:p>
    <w:p w14:paraId="7EC98263" w14:textId="77777777" w:rsidR="00C36D76" w:rsidRPr="009E064B" w:rsidRDefault="00C36D76" w:rsidP="00B06A9A">
      <w:pPr>
        <w:rPr>
          <w:rFonts w:cs="TimesNewRomanPS-BoldMT"/>
          <w:bCs/>
          <w:szCs w:val="20"/>
        </w:rPr>
      </w:pPr>
    </w:p>
    <w:p w14:paraId="686FC898" w14:textId="38C491DB" w:rsidR="00C36D76" w:rsidRPr="009E064B" w:rsidRDefault="00205240" w:rsidP="00B06A9A">
      <w:pPr>
        <w:pStyle w:val="Nagwek4"/>
        <w:rPr>
          <w:color w:val="auto"/>
        </w:rPr>
      </w:pPr>
      <w:bookmarkStart w:id="1309" w:name="_Toc482886638"/>
      <w:bookmarkStart w:id="1310" w:name="_Toc12533117"/>
      <w:r w:rsidRPr="009E064B">
        <w:rPr>
          <w:color w:val="auto"/>
        </w:rPr>
        <w:t xml:space="preserve">CS ADR-DSN.K.490     </w:t>
      </w:r>
      <w:r w:rsidR="00C36D76" w:rsidRPr="009E064B">
        <w:rPr>
          <w:color w:val="auto"/>
        </w:rPr>
        <w:t>Wskaźnik kierunku wiatru</w:t>
      </w:r>
      <w:bookmarkEnd w:id="1309"/>
      <w:bookmarkEnd w:id="1310"/>
    </w:p>
    <w:p w14:paraId="236F525A" w14:textId="746B7DD9" w:rsidR="0032471F" w:rsidRPr="009E064B" w:rsidRDefault="001F74A1" w:rsidP="0032471F">
      <w:pPr>
        <w:tabs>
          <w:tab w:val="left" w:pos="567"/>
        </w:tabs>
        <w:autoSpaceDE w:val="0"/>
        <w:autoSpaceDN w:val="0"/>
        <w:adjustRightInd w:val="0"/>
        <w:spacing w:after="80"/>
        <w:ind w:left="567" w:hanging="567"/>
        <w:jc w:val="right"/>
        <w:rPr>
          <w:rFonts w:cs="Times New Roman"/>
          <w:szCs w:val="20"/>
        </w:rPr>
      </w:pPr>
      <w:r>
        <w:rPr>
          <w:rFonts w:eastAsia="Calibri" w:cs="Calibri"/>
          <w:bCs/>
          <w:i/>
          <w:color w:val="1A171C"/>
          <w:sz w:val="16"/>
          <w:szCs w:val="20"/>
        </w:rPr>
        <w:t>Decyzja ED 2014/013/R</w:t>
      </w:r>
      <w:r w:rsidR="0032471F" w:rsidRPr="009E064B">
        <w:rPr>
          <w:rFonts w:cs="Times New Roman"/>
          <w:szCs w:val="20"/>
        </w:rPr>
        <w:t xml:space="preserve"> </w:t>
      </w:r>
    </w:p>
    <w:p w14:paraId="00B70617"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Lotnisko powinno być wyposażone w dostateczną ilość wskaźników kierunku wiatru, aby zapewnić pilotom informacje na temat wiatru, podczas podejścia do lądowania i startu.</w:t>
      </w:r>
    </w:p>
    <w:p w14:paraId="08714719"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szCs w:val="20"/>
        </w:rPr>
        <w:t>Lokalizacja</w:t>
      </w:r>
      <w:r w:rsidRPr="009E064B">
        <w:rPr>
          <w:rFonts w:cs="TimesNewRomanPS-BoldItalicMT"/>
          <w:bCs/>
          <w:iCs/>
          <w:szCs w:val="20"/>
        </w:rPr>
        <w:t>:</w:t>
      </w:r>
    </w:p>
    <w:p w14:paraId="7CC13A09" w14:textId="77777777" w:rsidR="00C36D76" w:rsidRPr="009E064B" w:rsidRDefault="00C36D76" w:rsidP="00B06A9A">
      <w:pPr>
        <w:pStyle w:val="Akapitzlist"/>
        <w:autoSpaceDE w:val="0"/>
        <w:autoSpaceDN w:val="0"/>
        <w:adjustRightInd w:val="0"/>
        <w:ind w:left="567"/>
        <w:rPr>
          <w:rFonts w:cs="TimesNewRomanPSMT"/>
          <w:szCs w:val="20"/>
        </w:rPr>
      </w:pPr>
      <w:r w:rsidRPr="009E064B">
        <w:rPr>
          <w:rFonts w:cs="TimesNewRomanPSMT"/>
          <w:szCs w:val="20"/>
        </w:rPr>
        <w:t>Każdy wskaźnik kierunku wiatru powinien być zlokalizowany w taki sposób, aby co najmniej jeden wskaźnik kierunku wiatru był widoczny ze statku powietrznego będącego w locie, podczas podejścia do lądowania lub na polu ruchu naziemnego przed startem, oraz w taki sposób, aby był on wolny od zawirowań powietrza wywołanych przez sąsiednie obiekty.</w:t>
      </w:r>
    </w:p>
    <w:p w14:paraId="1BDC5A34"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MT"/>
          <w:szCs w:val="20"/>
        </w:rPr>
        <w:t>Charakterystyki:</w:t>
      </w:r>
    </w:p>
    <w:p w14:paraId="6F7D408C" w14:textId="5B201A85"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Wskaźnik kierunku wiatru powinien mieć kształt ściętego</w:t>
      </w:r>
      <w:r w:rsidR="00693396" w:rsidRPr="009E064B">
        <w:rPr>
          <w:rFonts w:cs="TimesNewRomanPS-ItalicMT"/>
          <w:iCs/>
          <w:szCs w:val="20"/>
        </w:rPr>
        <w:t xml:space="preserve"> stożka wykonanego z tkaniny, i </w:t>
      </w:r>
      <w:r w:rsidRPr="009E064B">
        <w:rPr>
          <w:rFonts w:cs="TimesNewRomanPS-ItalicMT"/>
          <w:iCs/>
          <w:szCs w:val="20"/>
        </w:rPr>
        <w:t>powinien mieć długość co najmniej 3,6 m, a średnica większego końca powinna być nie mniejsza niż 0,9 m.</w:t>
      </w:r>
    </w:p>
    <w:p w14:paraId="33223BE3"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t>Wskaźnik p</w:t>
      </w:r>
      <w:r w:rsidRPr="009E064B">
        <w:rPr>
          <w:rFonts w:cs="TimesNewRomanPS-ItalicMT"/>
          <w:iCs/>
          <w:szCs w:val="20"/>
        </w:rPr>
        <w:t>owinien być wykonany w taki sposób, aby wyraźnie wskazywał kierunek na powierzchni ziemi i dawał ogólną orientację o prędkości wiatru.</w:t>
      </w:r>
    </w:p>
    <w:p w14:paraId="43604536" w14:textId="78FB07B0"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Kolor lub kolory tkaniny powinny być tak dobrane, aby w</w:t>
      </w:r>
      <w:r w:rsidR="00693396" w:rsidRPr="009E064B">
        <w:rPr>
          <w:rFonts w:cs="TimesNewRomanPS-ItalicMT"/>
          <w:iCs/>
          <w:szCs w:val="20"/>
        </w:rPr>
        <w:t>skaźnik był wyraźnie widoczny i </w:t>
      </w:r>
      <w:r w:rsidRPr="009E064B">
        <w:rPr>
          <w:rFonts w:cs="TimesNewRomanPS-ItalicMT"/>
          <w:iCs/>
          <w:szCs w:val="20"/>
        </w:rPr>
        <w:t>pozwalał na korzystanie z jego wskazań z wysokości, co najmniej 300 m. Uwzględniając otaczające tło:</w:t>
      </w:r>
    </w:p>
    <w:p w14:paraId="5F4C08F9" w14:textId="77777777" w:rsidR="00C36D76" w:rsidRPr="009E064B" w:rsidRDefault="00C36D76" w:rsidP="00B06A9A">
      <w:pPr>
        <w:autoSpaceDE w:val="0"/>
        <w:autoSpaceDN w:val="0"/>
        <w:adjustRightInd w:val="0"/>
        <w:ind w:left="1701" w:hanging="567"/>
        <w:rPr>
          <w:rFonts w:cs="TimesNewRomanPS-ItalicMT"/>
          <w:iCs/>
          <w:szCs w:val="20"/>
        </w:rPr>
      </w:pPr>
      <w:r w:rsidRPr="009E064B">
        <w:rPr>
          <w:rFonts w:cs="Times New Roman"/>
          <w:szCs w:val="20"/>
        </w:rPr>
        <w:t xml:space="preserve">(i) </w:t>
      </w:r>
      <w:r w:rsidRPr="009E064B">
        <w:rPr>
          <w:rFonts w:cs="Times New Roman"/>
          <w:szCs w:val="20"/>
        </w:rPr>
        <w:tab/>
      </w:r>
      <w:r w:rsidRPr="009E064B">
        <w:rPr>
          <w:rFonts w:cs="TimesNewRomanPS-ItalicMT"/>
          <w:iCs/>
          <w:szCs w:val="20"/>
        </w:rPr>
        <w:t>jeżeli jest to możliwe, należy używać jednego koloru; oraz</w:t>
      </w:r>
    </w:p>
    <w:p w14:paraId="030128EE" w14:textId="139F1582" w:rsidR="00C36D76" w:rsidRPr="009E064B" w:rsidRDefault="00C36D76" w:rsidP="00B06A9A">
      <w:pPr>
        <w:autoSpaceDE w:val="0"/>
        <w:autoSpaceDN w:val="0"/>
        <w:adjustRightInd w:val="0"/>
        <w:ind w:left="1701" w:hanging="567"/>
        <w:rPr>
          <w:rFonts w:cs="TimesNewRomanPS-ItalicMT"/>
          <w:iCs/>
          <w:szCs w:val="20"/>
        </w:rPr>
      </w:pPr>
      <w:r w:rsidRPr="009E064B">
        <w:rPr>
          <w:rFonts w:cs="Times New Roman"/>
          <w:szCs w:val="20"/>
        </w:rPr>
        <w:t xml:space="preserve">(ii) </w:t>
      </w:r>
      <w:r w:rsidRPr="009E064B">
        <w:rPr>
          <w:rFonts w:cs="Times New Roman"/>
          <w:szCs w:val="20"/>
        </w:rPr>
        <w:tab/>
      </w:r>
      <w:r w:rsidRPr="009E064B">
        <w:rPr>
          <w:rFonts w:cs="TimesNewRomanPS-ItalicMT"/>
          <w:iCs/>
          <w:szCs w:val="20"/>
        </w:rPr>
        <w:t>jeżeli wymagane jest połączenie dwóch kolorów, w celu uzyskania odpowiedniego wyróżnienia wskaźnika kierunku wiatru od zmieniającego się tła, najlepiej, aby były to zestawy kolorów: pomarańczowy z białym,</w:t>
      </w:r>
      <w:r w:rsidR="00693396" w:rsidRPr="009E064B">
        <w:rPr>
          <w:rFonts w:cs="TimesNewRomanPS-ItalicMT"/>
          <w:iCs/>
          <w:szCs w:val="20"/>
        </w:rPr>
        <w:t xml:space="preserve"> czerwony z białym lub czarny z </w:t>
      </w:r>
      <w:r w:rsidRPr="009E064B">
        <w:rPr>
          <w:rFonts w:cs="TimesNewRomanPS-ItalicMT"/>
          <w:iCs/>
          <w:szCs w:val="20"/>
        </w:rPr>
        <w:t>białym. Powinny być one ułożone w pięciu naprzemiennych pasach, przy czym pierwszy i ostatni pas powinny mieć kolor ciemniejszy.</w:t>
      </w:r>
    </w:p>
    <w:p w14:paraId="5E8BD839"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 (d) </w:t>
      </w:r>
      <w:r w:rsidRPr="009E064B">
        <w:rPr>
          <w:rFonts w:cs="Times New Roman"/>
          <w:szCs w:val="20"/>
        </w:rPr>
        <w:tab/>
        <w:t>Warunki nocne</w:t>
      </w:r>
      <w:r w:rsidRPr="009E064B">
        <w:rPr>
          <w:rFonts w:cs="TimesNewRomanPS-ItalicMT"/>
          <w:iCs/>
          <w:szCs w:val="20"/>
        </w:rPr>
        <w:t>:</w:t>
      </w:r>
    </w:p>
    <w:p w14:paraId="35F2F187" w14:textId="77777777" w:rsidR="00C36D76" w:rsidRPr="009E064B" w:rsidRDefault="00C36D76" w:rsidP="00B06A9A">
      <w:pPr>
        <w:pStyle w:val="Akapitzlist"/>
        <w:autoSpaceDE w:val="0"/>
        <w:autoSpaceDN w:val="0"/>
        <w:adjustRightInd w:val="0"/>
        <w:ind w:left="567"/>
        <w:rPr>
          <w:szCs w:val="20"/>
        </w:rPr>
      </w:pPr>
      <w:r w:rsidRPr="009E064B">
        <w:rPr>
          <w:rFonts w:cs="TimesNewRomanPS-ItalicMT"/>
          <w:iCs/>
          <w:szCs w:val="20"/>
        </w:rPr>
        <w:t>Na lotnisku przeznaczonym do użytkowania w nocy, należy zapewnić oświetlenie dostatecznej ilości wskaźników kierunku wiatru.</w:t>
      </w:r>
    </w:p>
    <w:p w14:paraId="4428AB53" w14:textId="0190329F" w:rsidR="006F1286" w:rsidRPr="009E064B" w:rsidRDefault="00205240" w:rsidP="00133B99">
      <w:pPr>
        <w:pStyle w:val="Nagwek6"/>
      </w:pPr>
      <w:bookmarkStart w:id="1311" w:name="_Toc401058995"/>
      <w:bookmarkStart w:id="1312" w:name="_Toc482886862"/>
      <w:bookmarkStart w:id="1313" w:name="_Toc12533118"/>
      <w:r w:rsidRPr="009E064B">
        <w:t xml:space="preserve">GM1 ADR-DSN.K.490     </w:t>
      </w:r>
      <w:r w:rsidR="006F1286" w:rsidRPr="009E064B">
        <w:t>Wskaźnik kierunku wiatru</w:t>
      </w:r>
      <w:bookmarkEnd w:id="1311"/>
      <w:bookmarkEnd w:id="1312"/>
      <w:bookmarkEnd w:id="1313"/>
    </w:p>
    <w:p w14:paraId="67415C7A" w14:textId="23C58F4B" w:rsidR="00205240" w:rsidRPr="009E064B" w:rsidRDefault="00D63D4F" w:rsidP="0020524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1859F8B" w14:textId="2184A254"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Wskaźniki kierunku wiatru są ważnymi pomocami wzrokowymi dla wszystkich końców drogi startowej. Duże wskaźniki kierunku wiatru są szczególnie ważne na lotniskach gdzie </w:t>
      </w:r>
      <w:r w:rsidRPr="009E064B">
        <w:rPr>
          <w:rFonts w:eastAsia="Times New Roman,Italic" w:cs="Times New Roman,Italic"/>
          <w:iCs/>
          <w:szCs w:val="20"/>
        </w:rPr>
        <w:t xml:space="preserve">informacje dotyczące </w:t>
      </w:r>
      <w:r w:rsidRPr="009E064B">
        <w:rPr>
          <w:szCs w:val="20"/>
        </w:rPr>
        <w:t>lądowania nie są dostępne przez łączność radiową. Z drugiej jednak strony, wskaźniki kierunku wiatru są rzadko używane z uwagi na konieczność, i w konsekwencji obowiązek zmiany ich ustawienia w miarę zmiany kierunku wiatru. Wzrokowe sygnały naziemne dla drogi startowej i drogi kołowania znajdują się w Załączniku 2 ICAO. Do</w:t>
      </w:r>
      <w:r w:rsidR="00693396" w:rsidRPr="009E064B">
        <w:rPr>
          <w:szCs w:val="20"/>
        </w:rPr>
        <w:t>datkowe wytyczne są określone w </w:t>
      </w:r>
      <w:r w:rsidRPr="009E064B">
        <w:rPr>
          <w:szCs w:val="20"/>
        </w:rPr>
        <w:t>„</w:t>
      </w:r>
      <w:r w:rsidRPr="009E064B">
        <w:rPr>
          <w:i/>
          <w:szCs w:val="20"/>
        </w:rPr>
        <w:t>Podręczniku projektowania lotnisk</w:t>
      </w:r>
      <w:r w:rsidRPr="009E064B">
        <w:rPr>
          <w:szCs w:val="20"/>
        </w:rPr>
        <w:t>” ICAO Doc 9157, Część 4 „</w:t>
      </w:r>
      <w:r w:rsidRPr="009E064B">
        <w:rPr>
          <w:i/>
          <w:szCs w:val="20"/>
        </w:rPr>
        <w:t>Pomoce wzrokowe</w:t>
      </w:r>
      <w:r w:rsidRPr="009E064B">
        <w:rPr>
          <w:szCs w:val="20"/>
        </w:rPr>
        <w:t>” Rozdział 3.</w:t>
      </w:r>
    </w:p>
    <w:p w14:paraId="0E466E91" w14:textId="77777777"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Wskaźnikiem</w:t>
      </w:r>
      <w:r w:rsidRPr="009E064B">
        <w:rPr>
          <w:szCs w:val="20"/>
        </w:rPr>
        <w:t xml:space="preserve"> preferowanym przez pilotów jest wykonany z tkaniny rękaw lotniskowy, ponieważ zapewnia on ogólne wskazanie prędkości wiatru. Rękawy, które rozkładają się w całości przy prędkości wiatru wynoszącej około 15 kt, są najbardziej użyteczne, ponieważ jest to maksymalna wartość wiatru bocznego przy lądowaniu dla małych statków powietrznych.</w:t>
      </w:r>
    </w:p>
    <w:p w14:paraId="3F0C66B3" w14:textId="77777777"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Możliwa jest poprawa postrzegania przez pilota lokalizacji wskaźnika kierunku wiatru na kilka sposobów, w szczególności poprzez umieszczenie oznakowania poziomego w kształcie okręgu dookoła danego wskaźnika. Lokalizacja przynajmniej</w:t>
      </w:r>
      <w:r w:rsidRPr="009E064B">
        <w:rPr>
          <w:rFonts w:eastAsia="Times New Roman,Italic" w:cs="Times New Roman,Italic"/>
          <w:iCs/>
          <w:szCs w:val="20"/>
        </w:rPr>
        <w:t xml:space="preserve"> jednego wskaźnika kierunku wiatru powinna być oznaczona pasem o szerokości 1.2 m w kształcie okręgu o średnicy 15 m ze środkiem w miejscu usytuowania konstrukcji wsporczej wskaźnika. Kolor pasa powinien być tak dobrany, aby był on dostatecznie widoczny, preferowanym kolorem jest kolor biały.</w:t>
      </w:r>
    </w:p>
    <w:p w14:paraId="59CCB971" w14:textId="77777777"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Przydatność każdej pomocy wzrokowej wynika głównie z jej wielkości, wyrazistości oraz lokalizacji. W warunkach dobrej widoczności, maksymalna odległość, przy której informacja dostępna z oświetlonego rękawa lotniskowego może być w sposób przydatny zinterpretowana, wynosi 1 km. Dlatego aby pilot mógł wykorzystać te informacje w czasie podejścia do lądowania, rękaw lotniskowy powinien być umieszczony nie dalej niż 600 m od progu drogi startowej. Pomijając kryteria dotyczące przeszkód, idealna lokalizacja to 300 m wzdłuż drogi startowej od progu oraz poziome przesunięcie na 80 m od linii środkowej drogi startowej.</w:t>
      </w:r>
    </w:p>
    <w:p w14:paraId="1DF30AC8" w14:textId="77777777"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 xml:space="preserve">W konsekwencji oznacza to, że tylko te lotniska, na których progi znajdują się w odległości mniejszej niż 1 200 m od siebie, mogą sprostać minimalnym wymaganiom z jednym </w:t>
      </w:r>
      <w:r w:rsidRPr="009E064B">
        <w:rPr>
          <w:rFonts w:eastAsia="Times New Roman,Italic" w:cs="Times New Roman,Italic"/>
          <w:iCs/>
          <w:szCs w:val="20"/>
        </w:rPr>
        <w:t>urządzeniem</w:t>
      </w:r>
      <w:r w:rsidRPr="009E064B">
        <w:rPr>
          <w:szCs w:val="20"/>
        </w:rPr>
        <w:t>. Większość lotnisk o kodzie 3 lub 4 będą wymagać dwóch lub więcej urządzeń odpowiednio umieszczonych w celu zapewnienia możliwie najlepszego pokrycia.</w:t>
      </w:r>
    </w:p>
    <w:p w14:paraId="0FF14F42" w14:textId="77777777" w:rsidR="006F1286" w:rsidRPr="009E064B" w:rsidRDefault="006F1286"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szCs w:val="20"/>
        </w:rPr>
        <w:t xml:space="preserve">Ostateczny wybór dotyczący ilości oraz lokalizacji urządzeń powinien być uzależniony od </w:t>
      </w:r>
      <w:r w:rsidRPr="009E064B">
        <w:rPr>
          <w:rFonts w:eastAsia="Times New Roman,Italic" w:cs="Times New Roman,Italic"/>
          <w:iCs/>
          <w:szCs w:val="20"/>
        </w:rPr>
        <w:t>szeregu</w:t>
      </w:r>
      <w:r w:rsidRPr="009E064B">
        <w:rPr>
          <w:szCs w:val="20"/>
        </w:rPr>
        <w:t xml:space="preserve"> czynników, które będą się różnić na każdym lotnisku. Jednak podejmując decyzję co do najbardziej odpowiedniej lokalizacji, należy brać pod uwagę i zapewnić, że wskaźnik kierunku wiatru jest umieszczony:</w:t>
      </w:r>
    </w:p>
    <w:p w14:paraId="377A5E16"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poza powierzchnią zniwelowaną i wyrównaną pasów dróg startowych i dróg kołowania;</w:t>
      </w:r>
    </w:p>
    <w:p w14:paraId="6C7833ED"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poza strefą wolną od przeszkód oraz obszarami krytycznymi/wrażliwymi ILS, odpowiednio;</w:t>
      </w:r>
    </w:p>
    <w:p w14:paraId="5A6D054E"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najlepiej z poziomym przesunięciem od krawędzi drogi startowej wynoszącym nie więcej niż 200 m;</w:t>
      </w:r>
    </w:p>
    <w:p w14:paraId="23716511"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najlepiej pomiędzy odległością 300 m a 600 m od progu drogi startowej mierzoną wzdłuż drogi startowej;</w:t>
      </w:r>
    </w:p>
    <w:p w14:paraId="503F0DF3"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(5) </w:t>
      </w:r>
      <w:r w:rsidRPr="009E064B">
        <w:rPr>
          <w:rFonts w:cs="TimesNewRomanPS-BoldItalicMT"/>
          <w:bCs/>
          <w:iCs/>
          <w:szCs w:val="20"/>
        </w:rPr>
        <w:tab/>
      </w:r>
      <w:r w:rsidRPr="009E064B">
        <w:rPr>
          <w:szCs w:val="20"/>
        </w:rPr>
        <w:t>na</w:t>
      </w:r>
      <w:r w:rsidRPr="009E064B">
        <w:rPr>
          <w:szCs w:val="20"/>
        </w:rPr>
        <w:tab/>
        <w:t xml:space="preserve"> obszarze o niskim poziomie oświetlenia tła;</w:t>
      </w:r>
    </w:p>
    <w:p w14:paraId="1E06F5C7"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(6) </w:t>
      </w:r>
      <w:r w:rsidRPr="009E064B">
        <w:rPr>
          <w:rFonts w:cs="TimesNewRomanPS-BoldItalicMT"/>
          <w:bCs/>
          <w:iCs/>
          <w:szCs w:val="20"/>
        </w:rPr>
        <w:tab/>
      </w:r>
      <w:r w:rsidRPr="009E064B">
        <w:rPr>
          <w:szCs w:val="20"/>
        </w:rPr>
        <w:t>z widocznością od strony podejścia i startu wszystkich dróg startowych; oraz</w:t>
      </w:r>
    </w:p>
    <w:p w14:paraId="0C0F863F" w14:textId="77777777" w:rsidR="006F1286" w:rsidRPr="009E064B" w:rsidRDefault="006F1286"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(7) </w:t>
      </w:r>
      <w:r w:rsidRPr="009E064B">
        <w:rPr>
          <w:rFonts w:cs="TimesNewRomanPS-BoldItalicMT"/>
          <w:bCs/>
          <w:iCs/>
          <w:szCs w:val="20"/>
        </w:rPr>
        <w:tab/>
      </w:r>
      <w:r w:rsidRPr="009E064B">
        <w:rPr>
          <w:szCs w:val="20"/>
        </w:rPr>
        <w:t>w sposób zapewniający brak wpływu spowodowany zawirowaniami powietrza wywołanymi przez obiekty znajdujące się w pobliżu.</w:t>
      </w:r>
    </w:p>
    <w:p w14:paraId="4A9DE625" w14:textId="21827B63" w:rsidR="00637865" w:rsidRPr="009E064B" w:rsidRDefault="006F128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5C44B8D" w14:textId="77777777" w:rsidR="00637865" w:rsidRPr="009E064B" w:rsidRDefault="00637865">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6D0D9407" w14:textId="35CAE269" w:rsidR="00C36D76" w:rsidRPr="009E064B" w:rsidRDefault="00C36D76" w:rsidP="00B06A9A">
      <w:pPr>
        <w:pStyle w:val="Nagwek4"/>
        <w:rPr>
          <w:color w:val="auto"/>
        </w:rPr>
      </w:pPr>
      <w:bookmarkStart w:id="1314" w:name="_Toc482886639"/>
      <w:bookmarkStart w:id="1315" w:name="_Toc12533119"/>
      <w:r w:rsidRPr="009E064B">
        <w:rPr>
          <w:color w:val="auto"/>
        </w:rPr>
        <w:t>CS AD</w:t>
      </w:r>
      <w:r w:rsidR="00A73874" w:rsidRPr="009E064B">
        <w:rPr>
          <w:color w:val="auto"/>
        </w:rPr>
        <w:t xml:space="preserve">R-DSN.K.495     </w:t>
      </w:r>
      <w:r w:rsidRPr="009E064B">
        <w:rPr>
          <w:color w:val="auto"/>
        </w:rPr>
        <w:t>Wskaźnik kierunku lądowania</w:t>
      </w:r>
      <w:bookmarkEnd w:id="1314"/>
      <w:bookmarkEnd w:id="1315"/>
    </w:p>
    <w:p w14:paraId="735947AC" w14:textId="54A8ABCA"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CF4B4F3" w14:textId="2BCFBAC7" w:rsidR="00C36D76" w:rsidRPr="009E064B" w:rsidRDefault="00C36D76" w:rsidP="00A73874">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szCs w:val="20"/>
        </w:rPr>
        <w:t>Lokalizacja</w:t>
      </w:r>
      <w:r w:rsidRPr="009E064B">
        <w:rPr>
          <w:rFonts w:cs="TimesNewRomanPS-BoldItalicMT"/>
          <w:bCs/>
          <w:iCs/>
          <w:szCs w:val="20"/>
        </w:rPr>
        <w:t xml:space="preserve">: </w:t>
      </w:r>
      <w:r w:rsidRPr="009E064B">
        <w:rPr>
          <w:rFonts w:cs="TimesNewRomanPSMT"/>
          <w:szCs w:val="20"/>
        </w:rPr>
        <w:t>Jeżeli wskaźnik kierunku lądowania jest zainstalowany na lotnisku, to powinien być zlokalizowany w dobrze widocznym miejscu.</w:t>
      </w:r>
    </w:p>
    <w:p w14:paraId="12CE910B" w14:textId="3C4B52EF" w:rsidR="00C36D76" w:rsidRPr="009E064B" w:rsidRDefault="00317032"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(b</w:t>
      </w:r>
      <w:r w:rsidR="00C36D76" w:rsidRPr="009E064B">
        <w:rPr>
          <w:rFonts w:cs="Times New Roman"/>
          <w:szCs w:val="20"/>
        </w:rPr>
        <w:t xml:space="preserve">) </w:t>
      </w:r>
      <w:r w:rsidR="00C36D76" w:rsidRPr="009E064B">
        <w:rPr>
          <w:rFonts w:cs="Times New Roman"/>
          <w:szCs w:val="20"/>
        </w:rPr>
        <w:tab/>
      </w:r>
      <w:r w:rsidR="00C36D76" w:rsidRPr="009E064B">
        <w:rPr>
          <w:rFonts w:cs="TimesNewRomanPS-ItalicMT"/>
          <w:iCs/>
          <w:szCs w:val="20"/>
        </w:rPr>
        <w:t>Charakterystyki</w:t>
      </w:r>
      <w:r w:rsidR="00C36D76" w:rsidRPr="009E064B">
        <w:rPr>
          <w:rFonts w:cs="TimesNewRomanPS-BoldItalicMT"/>
          <w:bCs/>
          <w:iCs/>
          <w:szCs w:val="20"/>
        </w:rPr>
        <w:t>:</w:t>
      </w:r>
    </w:p>
    <w:p w14:paraId="199F006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Wskaźnik kierunku lądowania powinien mieć kształt litery T.</w:t>
      </w:r>
    </w:p>
    <w:p w14:paraId="03DF4C1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Kształt i minimalne wymiary litery „T" wskaźnika lądowania, powinny być takie jak pokazano na Rysunku K-1.</w:t>
      </w:r>
    </w:p>
    <w:p w14:paraId="287775B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Wskaźnik „T” powinien być koloru białego lub pomarańczowego, w zależności od możliwości uzyskania najlepszego kontrastu z tłem, na którym będzie widoczny.</w:t>
      </w:r>
    </w:p>
    <w:p w14:paraId="09EC838B" w14:textId="77777777" w:rsidR="00C36D76" w:rsidRPr="009E064B" w:rsidRDefault="00C36D76" w:rsidP="00B06A9A">
      <w:pPr>
        <w:tabs>
          <w:tab w:val="left" w:pos="1134"/>
        </w:tabs>
        <w:autoSpaceDE w:val="0"/>
        <w:autoSpaceDN w:val="0"/>
        <w:adjustRightInd w:val="0"/>
        <w:spacing w:after="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Jeżeli wskaźnik „T” ma być używany w nocy, to powinien być oświetlony lub wyznaczony za pomocą świateł koloru białego.</w:t>
      </w:r>
    </w:p>
    <w:p w14:paraId="517F2198" w14:textId="77777777" w:rsidR="00C36D76" w:rsidRPr="009E064B" w:rsidRDefault="00C36D76" w:rsidP="00B06A9A">
      <w:pPr>
        <w:spacing w:after="0"/>
        <w:rPr>
          <w:rFonts w:cs="TimesNewRomanPS-BoldMT"/>
          <w:bCs/>
          <w:szCs w:val="20"/>
        </w:rPr>
      </w:pPr>
      <w:r w:rsidRPr="009E064B">
        <w:rPr>
          <w:rFonts w:cs="TimesNewRomanPS-BoldMT"/>
          <w:bCs/>
          <w:noProof/>
          <w:szCs w:val="20"/>
          <w:lang w:eastAsia="pl-PL"/>
        </w:rPr>
        <w:drawing>
          <wp:anchor distT="0" distB="0" distL="114300" distR="114300" simplePos="0" relativeHeight="251659264" behindDoc="0" locked="0" layoutInCell="1" allowOverlap="1" wp14:anchorId="5AD80935" wp14:editId="0BDECA90">
            <wp:simplePos x="0" y="0"/>
            <wp:positionH relativeFrom="column">
              <wp:posOffset>1694815</wp:posOffset>
            </wp:positionH>
            <wp:positionV relativeFrom="paragraph">
              <wp:posOffset>291465</wp:posOffset>
            </wp:positionV>
            <wp:extent cx="2599690" cy="2098675"/>
            <wp:effectExtent l="19050" t="0" r="0" b="0"/>
            <wp:wrapTopAndBottom/>
            <wp:docPr id="1380" name="Obraz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srcRect/>
                    <a:stretch>
                      <a:fillRect/>
                    </a:stretch>
                  </pic:blipFill>
                  <pic:spPr bwMode="auto">
                    <a:xfrm>
                      <a:off x="0" y="0"/>
                      <a:ext cx="2599690" cy="2098675"/>
                    </a:xfrm>
                    <a:prstGeom prst="rect">
                      <a:avLst/>
                    </a:prstGeom>
                    <a:noFill/>
                    <a:ln w="9525">
                      <a:noFill/>
                      <a:miter lim="800000"/>
                      <a:headEnd/>
                      <a:tailEnd/>
                    </a:ln>
                  </pic:spPr>
                </pic:pic>
              </a:graphicData>
            </a:graphic>
          </wp:anchor>
        </w:drawing>
      </w:r>
    </w:p>
    <w:p w14:paraId="1538A39B" w14:textId="77777777" w:rsidR="00C36D76" w:rsidRPr="009E064B" w:rsidRDefault="00C36D76" w:rsidP="00B06A9A">
      <w:pPr>
        <w:rPr>
          <w:rFonts w:cs="TimesNewRomanPS-BoldMT"/>
          <w:bCs/>
          <w:szCs w:val="20"/>
        </w:rPr>
      </w:pPr>
    </w:p>
    <w:p w14:paraId="38E92D8D" w14:textId="77777777" w:rsidR="00C36D76" w:rsidRPr="005669D1" w:rsidRDefault="00C36D76" w:rsidP="00B06A9A">
      <w:pPr>
        <w:spacing w:after="0"/>
        <w:ind w:right="10"/>
        <w:jc w:val="center"/>
        <w:rPr>
          <w:rFonts w:cs="TimesNewRomanPSMT"/>
          <w:b/>
          <w:sz w:val="20"/>
          <w:szCs w:val="20"/>
        </w:rPr>
      </w:pPr>
      <w:r w:rsidRPr="005669D1">
        <w:rPr>
          <w:rFonts w:cs="TimesNewRomanPSMT"/>
          <w:b/>
          <w:sz w:val="20"/>
          <w:szCs w:val="20"/>
        </w:rPr>
        <w:t>Rysunek K-1.  Wskaźnik kierunku lądowania</w:t>
      </w:r>
    </w:p>
    <w:p w14:paraId="6485558F" w14:textId="77777777" w:rsidR="00C36D76" w:rsidRPr="009E064B" w:rsidRDefault="00C36D76" w:rsidP="00B06A9A">
      <w:pPr>
        <w:rPr>
          <w:rFonts w:cs="TimesNewRomanPS-BoldMT"/>
          <w:bCs/>
          <w:szCs w:val="20"/>
        </w:rPr>
      </w:pPr>
    </w:p>
    <w:p w14:paraId="6A3038E5" w14:textId="361D5C63" w:rsidR="006F1286" w:rsidRPr="009E064B" w:rsidRDefault="00A73874" w:rsidP="00133B99">
      <w:pPr>
        <w:pStyle w:val="Nagwek6"/>
      </w:pPr>
      <w:bookmarkStart w:id="1316" w:name="_Toc401058996"/>
      <w:bookmarkStart w:id="1317" w:name="_Toc482886863"/>
      <w:bookmarkStart w:id="1318" w:name="_Toc12533120"/>
      <w:r w:rsidRPr="009E064B">
        <w:t xml:space="preserve">GM1 ADR-DSN.K.495     </w:t>
      </w:r>
      <w:r w:rsidR="006F1286" w:rsidRPr="009E064B">
        <w:t>Wskaźnik kierunku lądowania</w:t>
      </w:r>
      <w:bookmarkEnd w:id="1316"/>
      <w:bookmarkEnd w:id="1317"/>
      <w:bookmarkEnd w:id="1318"/>
    </w:p>
    <w:p w14:paraId="60B6DAE7" w14:textId="7F3F616B"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703A340" w14:textId="79418182" w:rsidR="00637865" w:rsidRPr="009E064B" w:rsidRDefault="006F1286" w:rsidP="00B06A9A">
      <w:pPr>
        <w:autoSpaceDE w:val="0"/>
        <w:autoSpaceDN w:val="0"/>
        <w:adjustRightInd w:val="0"/>
        <w:rPr>
          <w:rFonts w:cs="Times New Roman"/>
          <w:szCs w:val="20"/>
        </w:rPr>
      </w:pPr>
      <w:r w:rsidRPr="009E064B">
        <w:rPr>
          <w:szCs w:val="20"/>
        </w:rPr>
        <w:t xml:space="preserve">Wskaźnik lądowania "T" może być wykonany z drewna lub innego lekkiego materiału, a jego wymiary mogą zgadzać się z wymiarami przedstawionymi na Rysunku K-1. Może on być pomalowany na biało lub pomarańczowo. Wskaźnik lądowania "T" powinien być zamontowany na betonowym podeście wzmocnionym stalowymi prętami w celu uniknięcia pęknięć na skutek nierównego osadzania. Powierzchnia podestu powinna być wykończona stalową kielnią i pokryta farbą w odpowiednim kolorze. Kolor podestu powinien być dobrany w taki sposób, aby kontrastował z kolorem wskaźnika lądowania "T". Przed umocowaniem podstawy wskaźnika "T" do betonowego podestu, śruby mocujące powinny być sprawdzone pod kątem prawidłowości odstępu. Wskaźnik lądowania "T" powinien być złożony i zamontowany zgodnie z instrukcją montażu producenta. Powinien on swobodnie poruszać się wokół osi pionowej, tak, aby można go było ustawiać w dowolnym kierunku. </w:t>
      </w:r>
      <w:r w:rsidRPr="009E064B">
        <w:rPr>
          <w:rFonts w:cs="Times New Roman"/>
          <w:szCs w:val="20"/>
        </w:rPr>
        <w:t xml:space="preserve">Jeżeli wskaźnik </w:t>
      </w:r>
      <w:r w:rsidRPr="009E064B">
        <w:rPr>
          <w:szCs w:val="20"/>
        </w:rPr>
        <w:t xml:space="preserve">"T" </w:t>
      </w:r>
      <w:r w:rsidRPr="009E064B">
        <w:rPr>
          <w:rFonts w:cs="Times New Roman"/>
          <w:szCs w:val="20"/>
        </w:rPr>
        <w:t>ma być używany w nocy, to powinien być oświetlony lub jego kontur powinien być oznaczyć światłami koloru białego.</w:t>
      </w:r>
    </w:p>
    <w:p w14:paraId="6112610B" w14:textId="77777777" w:rsidR="00637865" w:rsidRPr="009E064B" w:rsidRDefault="00637865">
      <w:pPr>
        <w:spacing w:after="0"/>
        <w:jc w:val="left"/>
        <w:rPr>
          <w:rFonts w:cs="Times New Roman"/>
          <w:szCs w:val="20"/>
        </w:rPr>
      </w:pPr>
      <w:r w:rsidRPr="009E064B">
        <w:rPr>
          <w:rFonts w:cs="Times New Roman"/>
          <w:szCs w:val="20"/>
        </w:rPr>
        <w:br w:type="page"/>
      </w:r>
    </w:p>
    <w:p w14:paraId="64913323" w14:textId="465D401D" w:rsidR="00C36D76" w:rsidRPr="009E064B" w:rsidRDefault="00A73874" w:rsidP="00B06A9A">
      <w:pPr>
        <w:pStyle w:val="Nagwek4"/>
        <w:rPr>
          <w:color w:val="auto"/>
        </w:rPr>
      </w:pPr>
      <w:bookmarkStart w:id="1319" w:name="_Toc482886640"/>
      <w:bookmarkStart w:id="1320" w:name="_Toc12533121"/>
      <w:r w:rsidRPr="009E064B">
        <w:rPr>
          <w:color w:val="auto"/>
        </w:rPr>
        <w:t xml:space="preserve">CS ADR-DSN.K.500     </w:t>
      </w:r>
      <w:r w:rsidR="00C36D76" w:rsidRPr="009E064B">
        <w:rPr>
          <w:color w:val="auto"/>
        </w:rPr>
        <w:t>Lampa sygnałowa</w:t>
      </w:r>
      <w:bookmarkEnd w:id="1319"/>
      <w:bookmarkEnd w:id="1320"/>
    </w:p>
    <w:p w14:paraId="13EC17B0" w14:textId="24606468"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163C1F2" w14:textId="1237CDB5" w:rsidR="00C36D76" w:rsidRPr="009E064B" w:rsidRDefault="00C36D76" w:rsidP="00A73874">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Na lotnisku kontrolowanym, wieża kontroli lotniska powinna być wyposażona w lampę sygnałową.</w:t>
      </w:r>
    </w:p>
    <w:p w14:paraId="5B1440E5"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MT"/>
          <w:szCs w:val="20"/>
        </w:rPr>
        <w:t>Charakterystyki</w:t>
      </w:r>
      <w:r w:rsidRPr="009E064B">
        <w:rPr>
          <w:rFonts w:cs="TimesNewRomanPS-BoldItalicMT"/>
          <w:bCs/>
          <w:iCs/>
          <w:szCs w:val="20"/>
        </w:rPr>
        <w:t>:</w:t>
      </w:r>
    </w:p>
    <w:p w14:paraId="330A852E"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Lampa sygnałowa powinna mieć możliwość wysyłania sygnałów świetlnych w kolorze czerwonym, zielonych i białym, oraz:</w:t>
      </w:r>
    </w:p>
    <w:p w14:paraId="35A41672" w14:textId="77777777" w:rsidR="00C36D76" w:rsidRPr="009E064B" w:rsidRDefault="00C36D76" w:rsidP="00B06A9A">
      <w:pPr>
        <w:tabs>
          <w:tab w:val="left" w:pos="1701"/>
        </w:tabs>
        <w:autoSpaceDE w:val="0"/>
        <w:autoSpaceDN w:val="0"/>
        <w:adjustRightInd w:val="0"/>
        <w:ind w:left="1701" w:hanging="567"/>
        <w:rPr>
          <w:rFonts w:cs="TimesNewRomanPS-ItalicMT"/>
          <w:iCs/>
          <w:szCs w:val="20"/>
        </w:rPr>
      </w:pPr>
      <w:r w:rsidRPr="009E064B">
        <w:rPr>
          <w:rFonts w:cs="Times New Roman"/>
          <w:szCs w:val="20"/>
        </w:rPr>
        <w:t xml:space="preserve">(i) </w:t>
      </w:r>
      <w:r w:rsidRPr="009E064B">
        <w:rPr>
          <w:rFonts w:cs="Times New Roman"/>
          <w:szCs w:val="20"/>
        </w:rPr>
        <w:tab/>
        <w:t>skierowania</w:t>
      </w:r>
      <w:r w:rsidRPr="009E064B">
        <w:rPr>
          <w:rFonts w:cs="TimesNewRomanPS-ItalicMT"/>
          <w:iCs/>
          <w:szCs w:val="20"/>
        </w:rPr>
        <w:t xml:space="preserve"> ręcznego na dowolny cel, jaki jest wymagany; oraz</w:t>
      </w:r>
    </w:p>
    <w:p w14:paraId="72FDD9FE" w14:textId="77777777" w:rsidR="00C36D76" w:rsidRPr="009E064B" w:rsidRDefault="00C36D76" w:rsidP="00B06A9A">
      <w:pPr>
        <w:tabs>
          <w:tab w:val="left" w:pos="1701"/>
        </w:tabs>
        <w:autoSpaceDE w:val="0"/>
        <w:autoSpaceDN w:val="0"/>
        <w:adjustRightInd w:val="0"/>
        <w:ind w:left="1701" w:hanging="567"/>
        <w:rPr>
          <w:rFonts w:cs="TimesNewRomanPS-ItalicMT"/>
          <w:iCs/>
          <w:szCs w:val="20"/>
        </w:rPr>
      </w:pPr>
      <w:r w:rsidRPr="009E064B">
        <w:rPr>
          <w:rFonts w:cs="Times New Roman"/>
          <w:szCs w:val="20"/>
        </w:rPr>
        <w:t xml:space="preserve">(ii) </w:t>
      </w:r>
      <w:r w:rsidRPr="009E064B">
        <w:rPr>
          <w:rFonts w:cs="Times New Roman"/>
          <w:szCs w:val="20"/>
        </w:rPr>
        <w:tab/>
      </w:r>
      <w:r w:rsidRPr="009E064B">
        <w:rPr>
          <w:rFonts w:cs="TimesNewRomanPS-ItalicMT"/>
          <w:iCs/>
          <w:szCs w:val="20"/>
        </w:rPr>
        <w:t>po nadaniu sygnału jednego koloru, wysyłania sygnału w dowolnym, jednym z dwóch pozostałych kolorów.</w:t>
      </w:r>
    </w:p>
    <w:p w14:paraId="0FA0E986" w14:textId="230E15FF"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Rozwarcie wiązki świetlnej nie powinno być mniejsze niż 1° i nie większe niż 3°, z pomijalną intensywnością światła poza 3°. Jeżeli lampa przeznaczona jest do używania w porze dziennej, intensywność światła kolorowego nie</w:t>
      </w:r>
      <w:r w:rsidR="000F46FC" w:rsidRPr="009E064B">
        <w:rPr>
          <w:rFonts w:cs="TimesNewRomanPS-ItalicMT"/>
          <w:iCs/>
          <w:szCs w:val="20"/>
        </w:rPr>
        <w:t xml:space="preserve"> powinna być mniejsza niż 6 000 </w:t>
      </w:r>
      <w:r w:rsidRPr="009E064B">
        <w:rPr>
          <w:rFonts w:cs="TimesNewRomanPS-ItalicMT"/>
          <w:iCs/>
          <w:szCs w:val="20"/>
        </w:rPr>
        <w:t>cd.</w:t>
      </w:r>
    </w:p>
    <w:p w14:paraId="2B2B8416" w14:textId="496E4638" w:rsidR="006F1286" w:rsidRPr="009E064B" w:rsidRDefault="00A73874" w:rsidP="00133B99">
      <w:pPr>
        <w:pStyle w:val="Nagwek6"/>
      </w:pPr>
      <w:bookmarkStart w:id="1321" w:name="_Toc401058997"/>
      <w:bookmarkStart w:id="1322" w:name="_Toc482886864"/>
      <w:bookmarkStart w:id="1323" w:name="_Toc12533122"/>
      <w:r w:rsidRPr="009E064B">
        <w:t xml:space="preserve">GM1 ADR-DSN.K.500     </w:t>
      </w:r>
      <w:r w:rsidR="006F1286" w:rsidRPr="009E064B">
        <w:t>Lampa sygnałowa</w:t>
      </w:r>
      <w:bookmarkEnd w:id="1321"/>
      <w:bookmarkEnd w:id="1322"/>
      <w:bookmarkEnd w:id="1323"/>
    </w:p>
    <w:p w14:paraId="3A7BA730" w14:textId="2BA8DBC7"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F7701A1" w14:textId="48147938" w:rsidR="006F1286" w:rsidRPr="009E064B" w:rsidRDefault="006F1286"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 xml:space="preserve">Jeżeli używane jest światło koloru zielonego, należy zachować jego cechy w granicach koloru zielonego określone w </w:t>
      </w:r>
      <w:hyperlink w:anchor="_GM1_ADR-DSN.U.930_" w:history="1">
        <w:r w:rsidRPr="009E064B">
          <w:rPr>
            <w:rStyle w:val="Hipercze"/>
            <w:rFonts w:eastAsia="Times New Roman,Italic" w:cs="Times New Roman,Italic"/>
            <w:iCs/>
            <w:szCs w:val="20"/>
          </w:rPr>
          <w:t>GM1 ADR-DSN.U.930</w:t>
        </w:r>
      </w:hyperlink>
      <w:r w:rsidR="005E3E07" w:rsidRPr="009E064B">
        <w:rPr>
          <w:rFonts w:eastAsia="Times New Roman,Italic" w:cs="Times New Roman,Italic"/>
          <w:iCs/>
          <w:szCs w:val="20"/>
        </w:rPr>
        <w:t xml:space="preserve"> </w:t>
      </w:r>
      <w:r w:rsidR="000F46FC" w:rsidRPr="009E064B">
        <w:rPr>
          <w:rFonts w:eastAsia="Times New Roman,Italic" w:cs="Times New Roman,Italic"/>
          <w:iCs/>
          <w:szCs w:val="20"/>
        </w:rPr>
        <w:t xml:space="preserve">lit. </w:t>
      </w:r>
      <w:r w:rsidRPr="009E064B">
        <w:rPr>
          <w:rFonts w:eastAsia="Times New Roman,Italic" w:cs="Times New Roman,Italic"/>
          <w:iCs/>
          <w:szCs w:val="20"/>
        </w:rPr>
        <w:t>(a).</w:t>
      </w:r>
    </w:p>
    <w:p w14:paraId="647D7B6D" w14:textId="343797E6" w:rsidR="00C36D76" w:rsidRPr="009E064B" w:rsidRDefault="00A73874" w:rsidP="00B06A9A">
      <w:pPr>
        <w:pStyle w:val="Nagwek4"/>
        <w:rPr>
          <w:color w:val="auto"/>
        </w:rPr>
      </w:pPr>
      <w:bookmarkStart w:id="1324" w:name="_Toc482886641"/>
      <w:bookmarkStart w:id="1325" w:name="_Toc12533123"/>
      <w:r w:rsidRPr="009E064B">
        <w:rPr>
          <w:color w:val="auto"/>
        </w:rPr>
        <w:t xml:space="preserve">CS ADR-DSN.K.505     </w:t>
      </w:r>
      <w:r w:rsidR="00C36D76" w:rsidRPr="009E064B">
        <w:rPr>
          <w:color w:val="auto"/>
        </w:rPr>
        <w:t>Znaki sygnałowe i pole sygnałowe</w:t>
      </w:r>
      <w:bookmarkEnd w:id="1324"/>
      <w:bookmarkEnd w:id="1325"/>
    </w:p>
    <w:p w14:paraId="6A63E6EB" w14:textId="409A4521"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CF4F344" w14:textId="77777777" w:rsidR="00C36D76" w:rsidRPr="009E064B" w:rsidRDefault="00C36D76" w:rsidP="00B06A9A">
      <w:pPr>
        <w:rPr>
          <w:szCs w:val="20"/>
        </w:rPr>
      </w:pPr>
      <w:r w:rsidRPr="009E064B">
        <w:rPr>
          <w:szCs w:val="20"/>
        </w:rPr>
        <w:t>Celowo pozostawione puste</w:t>
      </w:r>
    </w:p>
    <w:p w14:paraId="1C255C69" w14:textId="549B64CA" w:rsidR="006F1286" w:rsidRPr="009E064B" w:rsidRDefault="00A73874" w:rsidP="00133B99">
      <w:pPr>
        <w:pStyle w:val="Nagwek6"/>
      </w:pPr>
      <w:bookmarkStart w:id="1326" w:name="_Toc401058998"/>
      <w:bookmarkStart w:id="1327" w:name="_Toc482886865"/>
      <w:bookmarkStart w:id="1328" w:name="_Toc12533124"/>
      <w:r w:rsidRPr="009E064B">
        <w:t xml:space="preserve">GM1 ADR-DSN.K.505     </w:t>
      </w:r>
      <w:r w:rsidR="006F1286" w:rsidRPr="009E064B">
        <w:t>Znaki sygnałowe i pole sygnałowe</w:t>
      </w:r>
      <w:bookmarkEnd w:id="1326"/>
      <w:bookmarkEnd w:id="1327"/>
      <w:bookmarkEnd w:id="1328"/>
    </w:p>
    <w:p w14:paraId="0A27693D" w14:textId="2B5BE840"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056E06A" w14:textId="42AC9B65" w:rsidR="006F1286" w:rsidRPr="009E064B" w:rsidRDefault="006F1286" w:rsidP="00A73874">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 xml:space="preserve">Znaki sygnałowe oraz pole sygnałowe powinny być zapewniane, kiedy naziemne pomoce </w:t>
      </w:r>
      <w:r w:rsidRPr="009E064B">
        <w:rPr>
          <w:rFonts w:eastAsia="Times New Roman,Italic" w:cs="Times New Roman,Italic"/>
          <w:iCs/>
          <w:szCs w:val="20"/>
        </w:rPr>
        <w:t>wzrokowe</w:t>
      </w:r>
      <w:r w:rsidRPr="009E064B">
        <w:rPr>
          <w:rFonts w:cs="Times New Roman"/>
          <w:szCs w:val="20"/>
        </w:rPr>
        <w:t xml:space="preserve"> wykorzystywane są do łączności ze statkiem powietrznym w locie.</w:t>
      </w:r>
    </w:p>
    <w:p w14:paraId="7FEC2C27" w14:textId="77777777" w:rsidR="006F1286" w:rsidRPr="009E064B" w:rsidRDefault="006F128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(b) </w:t>
      </w:r>
      <w:r w:rsidRPr="009E064B">
        <w:rPr>
          <w:rFonts w:cs="TimesNewRomanPS-BoldItalicMT"/>
          <w:bCs/>
          <w:iCs/>
          <w:szCs w:val="20"/>
        </w:rPr>
        <w:tab/>
      </w:r>
      <w:r w:rsidRPr="009E064B">
        <w:rPr>
          <w:rFonts w:cs="Times New Roman"/>
          <w:szCs w:val="20"/>
        </w:rPr>
        <w:t>Znaki sygnałowe oraz pole sygnałowe mogą okazać się konieczne w przypadku, gdy lotnisko nie posiada wieży kontroli lotniska lub służby informacji powietrznej lub jeżeli lotnisko jest użytkowane przez statki powietrzne niewyposażone w radio. Naziemne sygnały wzrokowe mogą również okazać się pomocne w przypadku awarii dwustronnej łączności radiowej ze statkiem powietrznym. Należy jednak mieć na uwadze, że taki typ informacji, który może być zapewniony przez naziemne sygnały wzrokowe powinien być dostępny w AIP oraz NOTAM. Przed podjęciem decyzji o zapewnianiu pola sygnałowego należy, zatem rozważyć czy istnieje potencjalna potrzeba zastosowania naziemnych sygnałów wzrokowych.</w:t>
      </w:r>
    </w:p>
    <w:p w14:paraId="2266D8B8" w14:textId="21A7E6C8" w:rsidR="00637865" w:rsidRPr="009E064B" w:rsidRDefault="006F1286"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Załącznik</w:t>
      </w:r>
      <w:r w:rsidRPr="009E064B">
        <w:rPr>
          <w:rFonts w:cs="Times New Roman"/>
          <w:szCs w:val="20"/>
        </w:rPr>
        <w:t xml:space="preserve"> 2 ICAO, Dodatek 1, określa kształt, kolor oraz zastosowanie naziemnych pomocy wzrokowych.</w:t>
      </w:r>
    </w:p>
    <w:p w14:paraId="0D334BFF" w14:textId="7C5DCC44" w:rsidR="00C36D76" w:rsidRPr="009E064B" w:rsidRDefault="00A73874" w:rsidP="00637865">
      <w:pPr>
        <w:pStyle w:val="Nagwek4"/>
        <w:rPr>
          <w:color w:val="auto"/>
        </w:rPr>
      </w:pPr>
      <w:bookmarkStart w:id="1329" w:name="_Toc482886642"/>
      <w:bookmarkStart w:id="1330" w:name="_Toc12533125"/>
      <w:r w:rsidRPr="009E064B">
        <w:rPr>
          <w:color w:val="auto"/>
        </w:rPr>
        <w:t xml:space="preserve">CS ADR-DSN.K.510     </w:t>
      </w:r>
      <w:r w:rsidR="00C36D76" w:rsidRPr="009E064B">
        <w:rPr>
          <w:color w:val="auto"/>
        </w:rPr>
        <w:t>Lokalizacja znaków sygnałowych i pola sygnałowego</w:t>
      </w:r>
      <w:bookmarkEnd w:id="1329"/>
      <w:bookmarkEnd w:id="1330"/>
    </w:p>
    <w:p w14:paraId="7E89A661" w14:textId="64A1E877"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3F72F1C" w14:textId="4C8D3940" w:rsidR="005669D1" w:rsidRDefault="00C36D76" w:rsidP="00B06A9A">
      <w:pPr>
        <w:rPr>
          <w:szCs w:val="20"/>
        </w:rPr>
      </w:pPr>
      <w:r w:rsidRPr="009E064B">
        <w:rPr>
          <w:szCs w:val="20"/>
        </w:rPr>
        <w:t>Celowo pozostawione puste</w:t>
      </w:r>
      <w:r w:rsidR="00637865" w:rsidRPr="009E064B">
        <w:rPr>
          <w:szCs w:val="20"/>
        </w:rPr>
        <w:t>.</w:t>
      </w:r>
    </w:p>
    <w:p w14:paraId="60DA3440" w14:textId="77777777" w:rsidR="005669D1" w:rsidRDefault="005669D1">
      <w:pPr>
        <w:spacing w:after="0"/>
        <w:jc w:val="left"/>
        <w:rPr>
          <w:szCs w:val="20"/>
        </w:rPr>
      </w:pPr>
      <w:r>
        <w:rPr>
          <w:szCs w:val="20"/>
        </w:rPr>
        <w:br w:type="page"/>
      </w:r>
    </w:p>
    <w:p w14:paraId="07546AAE" w14:textId="77777777" w:rsidR="00637865" w:rsidRPr="009E064B" w:rsidRDefault="00637865" w:rsidP="00B06A9A">
      <w:pPr>
        <w:rPr>
          <w:szCs w:val="20"/>
        </w:rPr>
      </w:pPr>
    </w:p>
    <w:p w14:paraId="3CD704DD" w14:textId="1503C316" w:rsidR="00454C4B" w:rsidRPr="009E064B" w:rsidRDefault="00A73874" w:rsidP="00133B99">
      <w:pPr>
        <w:pStyle w:val="Nagwek6"/>
      </w:pPr>
      <w:bookmarkStart w:id="1331" w:name="_Toc482886866"/>
      <w:bookmarkStart w:id="1332" w:name="_Toc12533126"/>
      <w:r w:rsidRPr="009E064B">
        <w:t xml:space="preserve">GM1 ADR-DSN.K.510     </w:t>
      </w:r>
      <w:r w:rsidR="00454C4B" w:rsidRPr="009E064B">
        <w:t>Lokalizacja znaków sygnałowych i pola sygnałowego</w:t>
      </w:r>
      <w:bookmarkEnd w:id="1331"/>
      <w:bookmarkEnd w:id="1332"/>
    </w:p>
    <w:p w14:paraId="6A9E8B15" w14:textId="3F61FE40"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FE254E6" w14:textId="74920406" w:rsidR="00317032" w:rsidRPr="009E064B" w:rsidRDefault="00454C4B" w:rsidP="00B06A9A">
      <w:pPr>
        <w:autoSpaceDE w:val="0"/>
        <w:autoSpaceDN w:val="0"/>
        <w:adjustRightInd w:val="0"/>
        <w:rPr>
          <w:rFonts w:cs="Times New Roman"/>
          <w:szCs w:val="20"/>
        </w:rPr>
      </w:pPr>
      <w:r w:rsidRPr="009E064B">
        <w:rPr>
          <w:rFonts w:eastAsia="Times New Roman,Italic" w:cs="Times New Roman,Italic"/>
          <w:iCs/>
          <w:szCs w:val="20"/>
        </w:rPr>
        <w:t>Pole sygnałowe powinno być zlokalizowane w taki sposób, aby było widziane przez obserwatora znajdującego się na wysokości 300 m ze wszystkich kierunków pod kątem, co najmniej 10° w </w:t>
      </w:r>
      <w:r w:rsidRPr="009E064B">
        <w:rPr>
          <w:rFonts w:cs="Times New Roman"/>
          <w:szCs w:val="20"/>
        </w:rPr>
        <w:t>odniesieniu do poziomu.</w:t>
      </w:r>
    </w:p>
    <w:p w14:paraId="48DFC163" w14:textId="4EEFBAAE" w:rsidR="00C36D76" w:rsidRPr="009E064B" w:rsidRDefault="0032471F" w:rsidP="0032471F">
      <w:pPr>
        <w:pStyle w:val="Nagwek4"/>
        <w:tabs>
          <w:tab w:val="clear" w:pos="2694"/>
          <w:tab w:val="left" w:pos="2552"/>
        </w:tabs>
        <w:ind w:left="2552" w:hanging="2552"/>
        <w:rPr>
          <w:color w:val="auto"/>
        </w:rPr>
      </w:pPr>
      <w:bookmarkStart w:id="1333" w:name="_Toc482886643"/>
      <w:bookmarkStart w:id="1334" w:name="_Toc12533127"/>
      <w:r w:rsidRPr="009E064B">
        <w:rPr>
          <w:color w:val="auto"/>
        </w:rPr>
        <w:t xml:space="preserve">CS ADR-DSN.K.515      </w:t>
      </w:r>
      <w:r w:rsidR="00C36D76" w:rsidRPr="009E064B">
        <w:rPr>
          <w:color w:val="auto"/>
        </w:rPr>
        <w:t>Charakterystyki znaków sygnałowych i pola sygnałowego</w:t>
      </w:r>
      <w:bookmarkEnd w:id="1333"/>
      <w:bookmarkEnd w:id="1334"/>
    </w:p>
    <w:p w14:paraId="4B0AD7E5" w14:textId="3C02663F" w:rsidR="0032471F" w:rsidRPr="009E064B" w:rsidRDefault="001F74A1" w:rsidP="0032471F">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2014/013/R</w:t>
      </w:r>
    </w:p>
    <w:p w14:paraId="7A09395D" w14:textId="77777777" w:rsidR="00C36D76" w:rsidRPr="009E064B" w:rsidRDefault="00C36D76" w:rsidP="00B06A9A">
      <w:pPr>
        <w:rPr>
          <w:rFonts w:cs="TimesNewRomanPS-BoldMT"/>
          <w:bCs/>
          <w:szCs w:val="20"/>
        </w:rPr>
      </w:pPr>
      <w:r w:rsidRPr="009E064B">
        <w:rPr>
          <w:rFonts w:cs="TimesNewRomanPS-BoldMT"/>
          <w:bCs/>
          <w:szCs w:val="20"/>
        </w:rPr>
        <w:t>Celowo pozostawione puste</w:t>
      </w:r>
    </w:p>
    <w:p w14:paraId="4EEAA86F" w14:textId="3F22DE85" w:rsidR="00454C4B" w:rsidRPr="009E064B" w:rsidRDefault="0032471F" w:rsidP="00133B99">
      <w:pPr>
        <w:pStyle w:val="Nagwek6"/>
      </w:pPr>
      <w:bookmarkStart w:id="1335" w:name="_Toc401059000"/>
      <w:bookmarkStart w:id="1336" w:name="_Toc482886867"/>
      <w:bookmarkStart w:id="1337" w:name="_Toc12533128"/>
      <w:r w:rsidRPr="009E064B">
        <w:t xml:space="preserve">GM1 ADR-DSN.K.515     </w:t>
      </w:r>
      <w:r w:rsidR="00454C4B" w:rsidRPr="009E064B">
        <w:t>Charakterystyki znaków sygnałowych i pola sygnałowego</w:t>
      </w:r>
      <w:bookmarkEnd w:id="1335"/>
      <w:bookmarkEnd w:id="1336"/>
      <w:bookmarkEnd w:id="1337"/>
    </w:p>
    <w:p w14:paraId="1B4C89B6" w14:textId="262E1533" w:rsidR="0032471F" w:rsidRPr="009E064B" w:rsidRDefault="00D63D4F" w:rsidP="0032471F">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624BC75C"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cs="Times New Roman"/>
          <w:szCs w:val="20"/>
        </w:rPr>
        <w:t>Pole sygnałowe powinno być równą powierzchnią poziomą, w kształcie kwadratu, o boku równym, co najmniej 9 m.</w:t>
      </w:r>
    </w:p>
    <w:p w14:paraId="102BEFC3"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cs="Arial"/>
          <w:szCs w:val="20"/>
        </w:rPr>
        <w:t xml:space="preserve">Pole </w:t>
      </w:r>
      <w:r w:rsidRPr="009E064B">
        <w:rPr>
          <w:rStyle w:val="hps"/>
          <w:rFonts w:cs="Arial"/>
          <w:szCs w:val="20"/>
        </w:rPr>
        <w:t>sygnałowe powinno być wykonane z</w:t>
      </w:r>
      <w:r w:rsidRPr="009E064B">
        <w:rPr>
          <w:rFonts w:cs="Arial"/>
          <w:szCs w:val="20"/>
        </w:rPr>
        <w:t xml:space="preserve"> </w:t>
      </w:r>
      <w:r w:rsidRPr="009E064B">
        <w:rPr>
          <w:rStyle w:val="hps"/>
          <w:rFonts w:cs="Arial"/>
          <w:szCs w:val="20"/>
        </w:rPr>
        <w:t>betonu cementowego</w:t>
      </w:r>
      <w:r w:rsidRPr="009E064B">
        <w:rPr>
          <w:rFonts w:cs="Arial"/>
          <w:szCs w:val="20"/>
        </w:rPr>
        <w:t xml:space="preserve"> </w:t>
      </w:r>
      <w:r w:rsidRPr="009E064B">
        <w:rPr>
          <w:rStyle w:val="hps"/>
          <w:rFonts w:cs="Arial"/>
          <w:szCs w:val="20"/>
        </w:rPr>
        <w:t>zbrojonego</w:t>
      </w:r>
      <w:r w:rsidRPr="009E064B">
        <w:rPr>
          <w:rFonts w:cs="Arial"/>
          <w:szCs w:val="20"/>
        </w:rPr>
        <w:t xml:space="preserve"> </w:t>
      </w:r>
      <w:r w:rsidRPr="009E064B">
        <w:rPr>
          <w:rStyle w:val="hps"/>
          <w:rFonts w:cs="Arial"/>
          <w:szCs w:val="20"/>
        </w:rPr>
        <w:t>z odpowiednią</w:t>
      </w:r>
      <w:r w:rsidRPr="009E064B">
        <w:rPr>
          <w:rFonts w:cs="Arial"/>
          <w:szCs w:val="20"/>
        </w:rPr>
        <w:t xml:space="preserve"> </w:t>
      </w:r>
      <w:r w:rsidRPr="009E064B">
        <w:rPr>
          <w:rStyle w:val="hps"/>
          <w:rFonts w:cs="Arial"/>
          <w:szCs w:val="20"/>
        </w:rPr>
        <w:t>ilością</w:t>
      </w:r>
      <w:r w:rsidRPr="009E064B">
        <w:rPr>
          <w:rFonts w:cs="Arial"/>
          <w:szCs w:val="20"/>
        </w:rPr>
        <w:t xml:space="preserve"> </w:t>
      </w:r>
      <w:r w:rsidRPr="009E064B">
        <w:rPr>
          <w:rStyle w:val="hps"/>
          <w:rFonts w:cs="Arial"/>
          <w:szCs w:val="20"/>
        </w:rPr>
        <w:t>stali</w:t>
      </w:r>
      <w:r w:rsidRPr="009E064B">
        <w:rPr>
          <w:rFonts w:cs="Arial"/>
          <w:szCs w:val="20"/>
        </w:rPr>
        <w:t xml:space="preserve">, aby uniknąć </w:t>
      </w:r>
      <w:r w:rsidRPr="009E064B">
        <w:rPr>
          <w:rStyle w:val="hps"/>
          <w:rFonts w:cs="Arial"/>
          <w:szCs w:val="20"/>
        </w:rPr>
        <w:t>pęknięć</w:t>
      </w:r>
      <w:r w:rsidRPr="009E064B">
        <w:rPr>
          <w:rFonts w:cs="Arial"/>
          <w:szCs w:val="20"/>
        </w:rPr>
        <w:t xml:space="preserve"> na skutek </w:t>
      </w:r>
      <w:r w:rsidRPr="009E064B">
        <w:rPr>
          <w:rStyle w:val="hps"/>
          <w:rFonts w:cs="Arial"/>
          <w:szCs w:val="20"/>
        </w:rPr>
        <w:t>nierównego</w:t>
      </w:r>
      <w:r w:rsidRPr="009E064B">
        <w:rPr>
          <w:rFonts w:cs="Arial"/>
          <w:szCs w:val="20"/>
        </w:rPr>
        <w:t xml:space="preserve"> osadzania. Górna powierzchnia </w:t>
      </w:r>
      <w:r w:rsidRPr="009E064B">
        <w:rPr>
          <w:rStyle w:val="hps"/>
          <w:rFonts w:cs="Arial"/>
          <w:szCs w:val="20"/>
        </w:rPr>
        <w:t>powinna</w:t>
      </w:r>
      <w:r w:rsidRPr="009E064B">
        <w:rPr>
          <w:rFonts w:cs="Arial"/>
          <w:szCs w:val="20"/>
        </w:rPr>
        <w:t xml:space="preserve"> </w:t>
      </w:r>
      <w:r w:rsidRPr="009E064B">
        <w:rPr>
          <w:rStyle w:val="hps"/>
          <w:rFonts w:cs="Arial"/>
          <w:szCs w:val="20"/>
        </w:rPr>
        <w:t>być wykończona</w:t>
      </w:r>
      <w:r w:rsidRPr="009E064B">
        <w:rPr>
          <w:rFonts w:cs="Arial"/>
          <w:szCs w:val="20"/>
        </w:rPr>
        <w:t xml:space="preserve"> stalową kielnią </w:t>
      </w:r>
      <w:r w:rsidRPr="009E064B">
        <w:rPr>
          <w:rStyle w:val="hps"/>
          <w:rFonts w:cs="Arial"/>
          <w:szCs w:val="20"/>
        </w:rPr>
        <w:t>i</w:t>
      </w:r>
      <w:r w:rsidRPr="009E064B">
        <w:rPr>
          <w:rFonts w:cs="Arial"/>
          <w:szCs w:val="20"/>
        </w:rPr>
        <w:t xml:space="preserve"> </w:t>
      </w:r>
      <w:r w:rsidRPr="009E064B">
        <w:rPr>
          <w:rStyle w:val="hps"/>
          <w:rFonts w:cs="Arial"/>
          <w:szCs w:val="20"/>
        </w:rPr>
        <w:t>pokryta</w:t>
      </w:r>
      <w:r w:rsidRPr="009E064B">
        <w:rPr>
          <w:rFonts w:cs="Arial"/>
          <w:szCs w:val="20"/>
        </w:rPr>
        <w:t xml:space="preserve"> </w:t>
      </w:r>
      <w:r w:rsidRPr="009E064B">
        <w:rPr>
          <w:rStyle w:val="hps"/>
          <w:rFonts w:cs="Arial"/>
          <w:szCs w:val="20"/>
        </w:rPr>
        <w:t>farbą w</w:t>
      </w:r>
      <w:r w:rsidRPr="009E064B">
        <w:rPr>
          <w:rFonts w:cs="Arial"/>
          <w:szCs w:val="20"/>
        </w:rPr>
        <w:t xml:space="preserve"> </w:t>
      </w:r>
      <w:r w:rsidRPr="009E064B">
        <w:rPr>
          <w:rStyle w:val="hps"/>
          <w:rFonts w:cs="Arial"/>
          <w:szCs w:val="20"/>
        </w:rPr>
        <w:t>odpowiednim</w:t>
      </w:r>
      <w:r w:rsidRPr="009E064B">
        <w:rPr>
          <w:rFonts w:cs="Arial"/>
          <w:szCs w:val="20"/>
        </w:rPr>
        <w:t xml:space="preserve"> </w:t>
      </w:r>
      <w:r w:rsidRPr="009E064B">
        <w:rPr>
          <w:rStyle w:val="hps"/>
          <w:rFonts w:cs="Arial"/>
          <w:szCs w:val="20"/>
        </w:rPr>
        <w:t xml:space="preserve">kolorze. </w:t>
      </w:r>
      <w:r w:rsidRPr="009E064B">
        <w:rPr>
          <w:rFonts w:cs="Arial"/>
          <w:szCs w:val="20"/>
        </w:rPr>
        <w:t xml:space="preserve">Kolor </w:t>
      </w:r>
      <w:r w:rsidRPr="009E064B">
        <w:rPr>
          <w:rStyle w:val="hps"/>
          <w:rFonts w:cs="Arial"/>
          <w:szCs w:val="20"/>
        </w:rPr>
        <w:t>pola sygnałowego</w:t>
      </w:r>
      <w:r w:rsidRPr="009E064B">
        <w:rPr>
          <w:rFonts w:cs="Arial"/>
          <w:szCs w:val="20"/>
        </w:rPr>
        <w:t xml:space="preserve"> </w:t>
      </w:r>
      <w:r w:rsidRPr="009E064B">
        <w:rPr>
          <w:rStyle w:val="hps"/>
          <w:rFonts w:cs="Arial"/>
          <w:szCs w:val="20"/>
        </w:rPr>
        <w:t>powinien być wybrany</w:t>
      </w:r>
      <w:r w:rsidRPr="009E064B">
        <w:rPr>
          <w:rFonts w:cs="Arial"/>
          <w:szCs w:val="20"/>
        </w:rPr>
        <w:t xml:space="preserve"> w taki sposób, aby kontrastował on z </w:t>
      </w:r>
      <w:r w:rsidRPr="009E064B">
        <w:rPr>
          <w:rStyle w:val="hps"/>
          <w:rFonts w:cs="Arial"/>
          <w:szCs w:val="20"/>
        </w:rPr>
        <w:t>kolorami</w:t>
      </w:r>
      <w:r w:rsidRPr="009E064B">
        <w:rPr>
          <w:rFonts w:cs="Arial"/>
          <w:szCs w:val="20"/>
        </w:rPr>
        <w:t xml:space="preserve"> znaków sygnałowych</w:t>
      </w:r>
      <w:r w:rsidRPr="009E064B">
        <w:rPr>
          <w:rStyle w:val="hps"/>
          <w:rFonts w:cs="Arial"/>
          <w:szCs w:val="20"/>
        </w:rPr>
        <w:t xml:space="preserve"> do wyświetlania</w:t>
      </w:r>
      <w:r w:rsidRPr="009E064B">
        <w:rPr>
          <w:rFonts w:cs="Arial"/>
          <w:szCs w:val="20"/>
        </w:rPr>
        <w:t xml:space="preserve"> </w:t>
      </w:r>
      <w:r w:rsidRPr="009E064B">
        <w:rPr>
          <w:rStyle w:val="hps"/>
          <w:rFonts w:cs="Arial"/>
          <w:szCs w:val="20"/>
        </w:rPr>
        <w:t>na nim</w:t>
      </w:r>
      <w:r w:rsidRPr="009E064B">
        <w:rPr>
          <w:rFonts w:cs="Arial"/>
          <w:szCs w:val="20"/>
        </w:rPr>
        <w:t xml:space="preserve">. Więcej wytycznych na ten temat określono </w:t>
      </w:r>
      <w:r w:rsidRPr="009E064B">
        <w:rPr>
          <w:rStyle w:val="hps"/>
          <w:rFonts w:cs="Arial"/>
          <w:szCs w:val="20"/>
        </w:rPr>
        <w:t>w „</w:t>
      </w:r>
      <w:r w:rsidRPr="009E064B">
        <w:rPr>
          <w:rStyle w:val="hps"/>
          <w:rFonts w:cs="Arial"/>
          <w:i/>
          <w:szCs w:val="20"/>
        </w:rPr>
        <w:t>Podręcznik</w:t>
      </w:r>
      <w:r w:rsidRPr="009E064B">
        <w:rPr>
          <w:rFonts w:cs="Arial"/>
          <w:i/>
          <w:szCs w:val="20"/>
        </w:rPr>
        <w:t xml:space="preserve">u </w:t>
      </w:r>
      <w:r w:rsidRPr="009E064B">
        <w:rPr>
          <w:rStyle w:val="hps"/>
          <w:rFonts w:cs="Arial"/>
          <w:i/>
          <w:szCs w:val="20"/>
        </w:rPr>
        <w:t>projektowania</w:t>
      </w:r>
      <w:r w:rsidRPr="009E064B">
        <w:rPr>
          <w:rFonts w:cs="Arial"/>
          <w:i/>
          <w:szCs w:val="20"/>
        </w:rPr>
        <w:t xml:space="preserve"> </w:t>
      </w:r>
      <w:r w:rsidRPr="009E064B">
        <w:rPr>
          <w:rStyle w:val="hps"/>
          <w:rFonts w:cs="Arial"/>
          <w:i/>
          <w:szCs w:val="20"/>
        </w:rPr>
        <w:t>lotnisk</w:t>
      </w:r>
      <w:r w:rsidRPr="009E064B">
        <w:rPr>
          <w:rStyle w:val="hps"/>
          <w:rFonts w:cs="Arial"/>
          <w:szCs w:val="20"/>
        </w:rPr>
        <w:t>” ICAO Doc 9157,</w:t>
      </w:r>
      <w:r w:rsidRPr="009E064B">
        <w:rPr>
          <w:rFonts w:cs="Arial"/>
          <w:szCs w:val="20"/>
        </w:rPr>
        <w:t xml:space="preserve"> </w:t>
      </w:r>
      <w:r w:rsidRPr="009E064B">
        <w:rPr>
          <w:rStyle w:val="hps"/>
          <w:rFonts w:cs="Arial"/>
          <w:szCs w:val="20"/>
        </w:rPr>
        <w:t>Część</w:t>
      </w:r>
      <w:r w:rsidRPr="009E064B">
        <w:rPr>
          <w:rFonts w:cs="Arial"/>
          <w:szCs w:val="20"/>
        </w:rPr>
        <w:t xml:space="preserve"> </w:t>
      </w:r>
      <w:r w:rsidRPr="009E064B">
        <w:rPr>
          <w:rStyle w:val="hps"/>
          <w:rFonts w:cs="Arial"/>
          <w:szCs w:val="20"/>
        </w:rPr>
        <w:t>4 „</w:t>
      </w:r>
      <w:r w:rsidRPr="009E064B">
        <w:rPr>
          <w:rStyle w:val="hps"/>
          <w:rFonts w:cs="Arial"/>
          <w:i/>
          <w:szCs w:val="20"/>
        </w:rPr>
        <w:t>Pomoce wzrokowe</w:t>
      </w:r>
      <w:r w:rsidRPr="009E064B">
        <w:rPr>
          <w:rStyle w:val="hps"/>
          <w:rFonts w:cs="Arial"/>
          <w:szCs w:val="20"/>
        </w:rPr>
        <w:t>”</w:t>
      </w:r>
      <w:r w:rsidRPr="009E064B">
        <w:rPr>
          <w:rFonts w:cs="Arial"/>
          <w:szCs w:val="20"/>
        </w:rPr>
        <w:t xml:space="preserve">, </w:t>
      </w:r>
      <w:r w:rsidRPr="009E064B">
        <w:rPr>
          <w:rStyle w:val="hps"/>
          <w:rFonts w:cs="Arial"/>
          <w:szCs w:val="20"/>
        </w:rPr>
        <w:t>Rozdział</w:t>
      </w:r>
      <w:r w:rsidRPr="009E064B">
        <w:rPr>
          <w:rFonts w:cs="Arial"/>
          <w:szCs w:val="20"/>
        </w:rPr>
        <w:t> </w:t>
      </w:r>
      <w:r w:rsidRPr="009E064B">
        <w:rPr>
          <w:rStyle w:val="hps"/>
          <w:rFonts w:cs="Arial"/>
          <w:szCs w:val="20"/>
        </w:rPr>
        <w:t>3).</w:t>
      </w:r>
    </w:p>
    <w:p w14:paraId="0099CF6E" w14:textId="77777777" w:rsidR="00454C4B" w:rsidRPr="009E064B" w:rsidRDefault="00454C4B"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Należy wybierać taki kolor pola sygnałowego, który kontrastuje z kolorami używanymi dla sygnałów, obrys pola sygnałowego powinien być oznaczony białym pasem o szerokości, co najmniej 0.3 m.</w:t>
      </w:r>
    </w:p>
    <w:p w14:paraId="27B75C4B" w14:textId="77777777" w:rsidR="00454C4B" w:rsidRPr="009E064B" w:rsidRDefault="00454C4B"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05C7EF7" w14:textId="77777777" w:rsidR="00454C4B" w:rsidRPr="009E064B" w:rsidRDefault="00454C4B" w:rsidP="00B06A9A">
      <w:pPr>
        <w:rPr>
          <w:rFonts w:cs="TimesNewRomanPS-BoldMT"/>
          <w:bCs/>
          <w:szCs w:val="20"/>
        </w:rPr>
      </w:pPr>
    </w:p>
    <w:p w14:paraId="377FA747" w14:textId="77777777" w:rsidR="00C36D76" w:rsidRPr="009E064B" w:rsidRDefault="00C36D76" w:rsidP="00B06A9A">
      <w:pPr>
        <w:rPr>
          <w:rFonts w:cs="TimesNewRomanPS-BoldMT"/>
          <w:bCs/>
          <w:szCs w:val="20"/>
        </w:rPr>
        <w:sectPr w:rsidR="00C36D76" w:rsidRPr="009E064B" w:rsidSect="00AE1280">
          <w:headerReference w:type="default" r:id="rId140"/>
          <w:headerReference w:type="first" r:id="rId141"/>
          <w:pgSz w:w="11906" w:h="16840" w:code="9"/>
          <w:pgMar w:top="1701" w:right="1417" w:bottom="1418" w:left="1418" w:header="567" w:footer="454" w:gutter="0"/>
          <w:cols w:space="708"/>
          <w:titlePg/>
          <w:docGrid w:linePitch="360"/>
        </w:sectPr>
      </w:pPr>
    </w:p>
    <w:p w14:paraId="37413359" w14:textId="77777777" w:rsidR="00C36D76" w:rsidRPr="009E064B" w:rsidRDefault="00C36D76" w:rsidP="00B06A9A">
      <w:pPr>
        <w:spacing w:after="0"/>
        <w:rPr>
          <w:rFonts w:cs="TimesNewRomanPS-BoldMT"/>
          <w:bCs/>
          <w:szCs w:val="20"/>
        </w:rPr>
      </w:pPr>
    </w:p>
    <w:p w14:paraId="5B5BAE07" w14:textId="39F78811" w:rsidR="00C36D76" w:rsidRPr="009E064B" w:rsidRDefault="00C36D76" w:rsidP="00020EA3">
      <w:pPr>
        <w:pStyle w:val="Nagwek2"/>
      </w:pPr>
      <w:bookmarkStart w:id="1338" w:name="_Toc382725613"/>
      <w:bookmarkStart w:id="1339" w:name="_Toc482886644"/>
      <w:bookmarkStart w:id="1340" w:name="_Toc12533129"/>
      <w:r w:rsidRPr="009E064B">
        <w:t xml:space="preserve">ROZDZIAŁ L </w:t>
      </w:r>
      <w:r w:rsidR="008441EB" w:rsidRPr="009E064B">
        <w:t xml:space="preserve">— </w:t>
      </w:r>
      <w:r w:rsidRPr="009E064B">
        <w:t>POMOCE WZROKOWE DLA NAWIGACJI (OZNAKOWANIE POZIOME)</w:t>
      </w:r>
      <w:bookmarkEnd w:id="1338"/>
      <w:bookmarkEnd w:id="1339"/>
      <w:bookmarkEnd w:id="1340"/>
    </w:p>
    <w:p w14:paraId="6730346F" w14:textId="77777777" w:rsidR="00C36D76" w:rsidRPr="009E064B" w:rsidRDefault="00C36D76" w:rsidP="00B06A9A">
      <w:pPr>
        <w:rPr>
          <w:rFonts w:cs="TimesNewRomanPS-BoldMT"/>
          <w:bCs/>
          <w:szCs w:val="20"/>
        </w:rPr>
      </w:pPr>
    </w:p>
    <w:p w14:paraId="0FC0EA9B" w14:textId="1F7E5B01" w:rsidR="00C36D76" w:rsidRPr="009E064B" w:rsidRDefault="00A73874" w:rsidP="00B06A9A">
      <w:pPr>
        <w:pStyle w:val="Nagwek4"/>
        <w:rPr>
          <w:color w:val="auto"/>
        </w:rPr>
      </w:pPr>
      <w:bookmarkStart w:id="1341" w:name="_Toc482886645"/>
      <w:bookmarkStart w:id="1342" w:name="_Toc12533130"/>
      <w:r w:rsidRPr="009E064B">
        <w:rPr>
          <w:color w:val="auto"/>
        </w:rPr>
        <w:t xml:space="preserve">CS ADR-DSN.L.520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 – kolor i wyrazistość</w:t>
      </w:r>
      <w:bookmarkEnd w:id="1341"/>
      <w:bookmarkEnd w:id="1342"/>
    </w:p>
    <w:p w14:paraId="76C6DFD3" w14:textId="5A09F0BF"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6F4F626" w14:textId="77777777" w:rsidR="00C36D76" w:rsidRPr="009E064B" w:rsidRDefault="00C36D76" w:rsidP="00B06A9A">
      <w:pPr>
        <w:autoSpaceDE w:val="0"/>
        <w:autoSpaceDN w:val="0"/>
        <w:adjustRightInd w:val="0"/>
        <w:rPr>
          <w:rFonts w:cs="TimesNewRomanPSMT"/>
          <w:szCs w:val="20"/>
        </w:rPr>
      </w:pPr>
      <w:r w:rsidRPr="009E064B">
        <w:rPr>
          <w:rFonts w:cs="TimesNewRomanPSMT"/>
          <w:szCs w:val="20"/>
        </w:rPr>
        <w:t>Oznakowanie poziome powinno mieć wyrazisty kolor oraz kontrastować z powierzchnią, na której się znajduje.</w:t>
      </w:r>
    </w:p>
    <w:p w14:paraId="2E9418B3"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Oznakowanie drogi startowej powinno być koloru białego.</w:t>
      </w:r>
    </w:p>
    <w:p w14:paraId="02845F7A"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Oznakowanie dróg kołowania, płaszczyzn do zawracania na drodze startowej oraz oznakowanie stanowisk postojowych statków powietrznych, powinno być koloru żółtego.</w:t>
      </w:r>
    </w:p>
    <w:p w14:paraId="2B4F73A2"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 xml:space="preserve">Linie bezpieczeństwa na płycie </w:t>
      </w:r>
      <w:r w:rsidRPr="009E064B">
        <w:rPr>
          <w:rFonts w:cs="TimesNewRomanPS-ItalicMT"/>
          <w:iCs/>
          <w:szCs w:val="20"/>
        </w:rPr>
        <w:t xml:space="preserve">postojowej </w:t>
      </w:r>
      <w:r w:rsidRPr="009E064B">
        <w:rPr>
          <w:rFonts w:cs="TimesNewRomanPSMT"/>
          <w:szCs w:val="20"/>
        </w:rPr>
        <w:t>powinny być wykonane wyrazistym kolorem, który powinien kontrastować z kolorem używanym do oznakowania stanowisk postojowych statków powietrznych.</w:t>
      </w:r>
    </w:p>
    <w:p w14:paraId="2213DD0E"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(d) </w:t>
      </w:r>
      <w:r w:rsidRPr="009E064B">
        <w:rPr>
          <w:rFonts w:cs="Times New Roman"/>
          <w:szCs w:val="20"/>
        </w:rPr>
        <w:tab/>
      </w:r>
      <w:r w:rsidRPr="009E064B">
        <w:rPr>
          <w:rFonts w:cs="TimesNewRomanPSMT"/>
          <w:szCs w:val="20"/>
        </w:rPr>
        <w:t>Jeżeli uwarunkowania operacyjne narzucają konieczność zastosowania tymczasowego oznakowania drogi startowej lub drogi kołowania, oznakowanie to powinno być zgodne z odpowiednimi specyfikacjami certyfikacyjnymi.</w:t>
      </w:r>
    </w:p>
    <w:p w14:paraId="6F142C56" w14:textId="62D530C9" w:rsidR="00454C4B" w:rsidRPr="009E064B" w:rsidRDefault="00454C4B" w:rsidP="00133B99">
      <w:pPr>
        <w:pStyle w:val="Nagwek6"/>
      </w:pPr>
      <w:bookmarkStart w:id="1343" w:name="_Toc401059002"/>
      <w:bookmarkStart w:id="1344" w:name="_Toc482886869"/>
      <w:bookmarkStart w:id="1345" w:name="_Toc12533131"/>
      <w:r w:rsidRPr="009E064B">
        <w:t xml:space="preserve">GM1 ADR-DSN.L.520 </w:t>
      </w:r>
      <w:r w:rsidR="0032471F" w:rsidRPr="009E064B">
        <w:t xml:space="preserve">    </w:t>
      </w:r>
      <w:r w:rsidR="009B0A08" w:rsidRPr="009E064B">
        <w:rPr>
          <w:rFonts w:cs="TimesNewRomanPS-BoldItalicMT"/>
          <w:iCs/>
          <w:szCs w:val="20"/>
        </w:rPr>
        <w:t>Wymagania</w:t>
      </w:r>
      <w:r w:rsidR="009B0A08" w:rsidRPr="009E064B">
        <w:t xml:space="preserve"> </w:t>
      </w:r>
      <w:r w:rsidRPr="009E064B">
        <w:t>ogólne — Kolor i wyrazistość</w:t>
      </w:r>
      <w:bookmarkEnd w:id="1343"/>
      <w:bookmarkEnd w:id="1344"/>
      <w:bookmarkEnd w:id="1345"/>
    </w:p>
    <w:p w14:paraId="73F5DFAB" w14:textId="4808C593" w:rsidR="0032471F" w:rsidRPr="009E064B" w:rsidRDefault="00D63D4F" w:rsidP="0032471F">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3A9289D9"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W przypadku niewystarczającego kontrastu pomiędzy oznakowaniem a nawierzchnią, oznakowanie poziome powinno być obwiedzione opaską.</w:t>
      </w:r>
    </w:p>
    <w:p w14:paraId="22BF24DF" w14:textId="77777777" w:rsidR="00454C4B" w:rsidRPr="009E064B" w:rsidRDefault="00454C4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Opaska powinna być koloru białego lub czarnego.</w:t>
      </w:r>
    </w:p>
    <w:p w14:paraId="19F64D17" w14:textId="77777777" w:rsidR="00454C4B" w:rsidRPr="009E064B" w:rsidRDefault="00454C4B"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Pożądane jest, aby stosować odpowiednie rodzaje farb w celu ograniczenia ryzyka zmian skuteczności hamowania przy przejściach przez oznakowanie poziome; oraz</w:t>
      </w:r>
    </w:p>
    <w:p w14:paraId="18F8292D" w14:textId="77777777" w:rsidR="00454C4B" w:rsidRPr="009E064B" w:rsidRDefault="00454C4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Italic" w:cs="Times New Roman,Italic"/>
          <w:iCs/>
          <w:szCs w:val="20"/>
        </w:rPr>
        <w:t>Oznakowanie poziome może występować, jako powierzchnia ciągła lub jako szereg pasów podłużnych, dających efekt równoważny powierzchni ciągłej.</w:t>
      </w:r>
    </w:p>
    <w:p w14:paraId="03505135" w14:textId="77777777" w:rsidR="00454C4B" w:rsidRPr="009E064B" w:rsidRDefault="00454C4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Wytyczne dotyczące materiałów odblaskowych znajdują się w „</w:t>
      </w:r>
      <w:r w:rsidRPr="009E064B">
        <w:rPr>
          <w:i/>
          <w:szCs w:val="20"/>
        </w:rPr>
        <w:t>Podręczniku projektowania lotnisk</w:t>
      </w:r>
      <w:r w:rsidRPr="009E064B">
        <w:rPr>
          <w:szCs w:val="20"/>
        </w:rPr>
        <w:t xml:space="preserve">” ICAO Doc 9157, Część 4 </w:t>
      </w:r>
      <w:r w:rsidRPr="009E064B">
        <w:rPr>
          <w:i/>
          <w:szCs w:val="20"/>
        </w:rPr>
        <w:t>„Pomoce wzrokowe</w:t>
      </w:r>
      <w:r w:rsidRPr="009E064B">
        <w:rPr>
          <w:szCs w:val="20"/>
        </w:rPr>
        <w:t>”.</w:t>
      </w:r>
    </w:p>
    <w:p w14:paraId="3B481806"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Na lotniskach, gdzie wykonywane są operacje lotnicze w nocy, oznakowanie poziome nawierzchni powinno być wykonane z wykorzystaniem materiałów odblaskowych, w celu zapewnienia lepszej widoczności tego oznakowania.</w:t>
      </w:r>
    </w:p>
    <w:p w14:paraId="57CE79BE" w14:textId="55A5ABDE" w:rsidR="00637865" w:rsidRPr="009E064B" w:rsidRDefault="00454C4B"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FBF4654" w14:textId="77777777" w:rsidR="00637865" w:rsidRPr="009E064B" w:rsidRDefault="00637865">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27215D85" w14:textId="61906B57" w:rsidR="00C36D76" w:rsidRPr="009E064B" w:rsidRDefault="0032471F" w:rsidP="00B06A9A">
      <w:pPr>
        <w:pStyle w:val="Nagwek4"/>
        <w:rPr>
          <w:color w:val="auto"/>
        </w:rPr>
      </w:pPr>
      <w:bookmarkStart w:id="1346" w:name="_Toc482886646"/>
      <w:bookmarkStart w:id="1347" w:name="_Toc12533132"/>
      <w:r w:rsidRPr="009E064B">
        <w:rPr>
          <w:color w:val="auto"/>
        </w:rPr>
        <w:t xml:space="preserve">CS ADR-DSN.L.525     </w:t>
      </w:r>
      <w:r w:rsidR="00C36D76" w:rsidRPr="009E064B">
        <w:rPr>
          <w:color w:val="auto"/>
        </w:rPr>
        <w:t>Oznakowanie identyfikacji drogi startowej</w:t>
      </w:r>
      <w:bookmarkEnd w:id="1346"/>
      <w:bookmarkEnd w:id="1347"/>
    </w:p>
    <w:p w14:paraId="460D7595" w14:textId="0C8542B2" w:rsidR="0032471F" w:rsidRPr="009E064B" w:rsidRDefault="00D63D4F" w:rsidP="0032471F">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0D64ACCC"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Zastosowanie: Oznakowanie identyfikacji drogi startowej powinno być zapewnione na progach drogi startowej.</w:t>
      </w:r>
    </w:p>
    <w:p w14:paraId="6A45D584"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t>Lokalizacja i sposób umieszczenia</w:t>
      </w:r>
      <w:r w:rsidRPr="009E064B">
        <w:rPr>
          <w:rFonts w:cs="TimesNewRomanPSMT"/>
          <w:szCs w:val="20"/>
        </w:rPr>
        <w:t>: Oznakowanie identyfikacji drogi startowej powinno być zlokalizowane na progu drogi startowej, odpowiednio jak przedstawiono na Rysunku L-1.</w:t>
      </w:r>
    </w:p>
    <w:p w14:paraId="141D06C4"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Charakterystyki:</w:t>
      </w:r>
    </w:p>
    <w:p w14:paraId="38995090"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Oznakowanie identyfikacji drogi startowej powinno składać się z dwucyfrowej liczby, a na równoległych drogach startowych liczba ta powinna występować z literą. </w:t>
      </w:r>
    </w:p>
    <w:p w14:paraId="6CB48977"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 </w:t>
      </w:r>
      <w:r w:rsidRPr="009E064B">
        <w:rPr>
          <w:rFonts w:cs="Times New Roman"/>
          <w:szCs w:val="20"/>
        </w:rPr>
        <w:tab/>
      </w:r>
      <w:r w:rsidRPr="009E064B">
        <w:rPr>
          <w:rFonts w:cs="TimesNewRomanPSMT"/>
          <w:szCs w:val="20"/>
        </w:rPr>
        <w:t>W przypadku jednej drogi startowej, dwóch równoległych dróg startowych oraz trzech równoległych dróg startowych, dwucyfrowa liczba powinna być liczbą całkowitą, najbliższą 1/10 wartości azymutu magnetycznego linii środkowej drogi startowej, mierzonej od północy w kierunku ruchu wskazówek zegara, przez obserwatora patrzącego od strony podejścia.</w:t>
      </w:r>
    </w:p>
    <w:p w14:paraId="650A7C4F"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NewRomanPSMT"/>
          <w:szCs w:val="20"/>
        </w:rPr>
        <w:t xml:space="preserve">(ii) </w:t>
      </w:r>
      <w:r w:rsidRPr="009E064B">
        <w:rPr>
          <w:rFonts w:cs="TimesNewRomanPSMT"/>
          <w:szCs w:val="20"/>
        </w:rPr>
        <w:tab/>
        <w:t xml:space="preserve">W przypadku czterech lub więcej równoległych dróg startowych, jedna grupa dróg leżących obok siebie powinna być oznaczona liczbą całkowitą, najbliższą z niedomiarem 1/10 wartości azymutu magnetycznego linii środkowej drogi startowej, a inna grupa dróg równoległych powinna być oznaczona liczbą całkowitą, najbliższą z nadmiarem 1/10 wartości azymutu magnetycznego linii środkowej drogi startowej; </w:t>
      </w:r>
    </w:p>
    <w:p w14:paraId="5E4FDA0F"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(iii) </w:t>
      </w:r>
      <w:r w:rsidRPr="009E064B">
        <w:rPr>
          <w:rFonts w:cs="Times New Roman"/>
          <w:szCs w:val="20"/>
        </w:rPr>
        <w:tab/>
      </w:r>
      <w:r w:rsidRPr="009E064B">
        <w:rPr>
          <w:rFonts w:cs="TimesNewRomanPSMT"/>
          <w:szCs w:val="20"/>
        </w:rPr>
        <w:t>Gdy oznakowanie identyfikacji drogi startowej jest liczbą jednocyfrową, to powinna być ona poprzedzona zerem.</w:t>
      </w:r>
    </w:p>
    <w:p w14:paraId="386D58DA"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W przypadku równoległych dróg startowych, każdy numer identyfikacji drogi startowej powinien być uzupełniony literą jak przedstawiono poniżej, w kolejności podanej od lewej strony do prawej, widzianej z kierunku podejścia do lądowania:</w:t>
      </w:r>
    </w:p>
    <w:p w14:paraId="55F67025"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 </w:t>
      </w:r>
      <w:r w:rsidRPr="009E064B">
        <w:rPr>
          <w:rFonts w:cs="Times New Roman"/>
          <w:szCs w:val="20"/>
        </w:rPr>
        <w:tab/>
      </w:r>
      <w:r w:rsidRPr="009E064B">
        <w:rPr>
          <w:rFonts w:cs="TimesNewRomanPSMT"/>
          <w:szCs w:val="20"/>
        </w:rPr>
        <w:t>dla dwóch równoległych dróg startowych: „L” „R”;</w:t>
      </w:r>
    </w:p>
    <w:p w14:paraId="6A392A2F"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 </w:t>
      </w:r>
      <w:r w:rsidRPr="009E064B">
        <w:rPr>
          <w:rFonts w:cs="Times New Roman"/>
          <w:szCs w:val="20"/>
        </w:rPr>
        <w:tab/>
      </w:r>
      <w:r w:rsidRPr="009E064B">
        <w:rPr>
          <w:rFonts w:cs="TimesNewRomanPSMT"/>
          <w:szCs w:val="20"/>
        </w:rPr>
        <w:t>dla trzech równoległych dróg startowych: „L” „C” „R”;</w:t>
      </w:r>
    </w:p>
    <w:p w14:paraId="2E1438BF"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(iii) </w:t>
      </w:r>
      <w:r w:rsidRPr="009E064B">
        <w:rPr>
          <w:rFonts w:cs="Times New Roman"/>
          <w:szCs w:val="20"/>
        </w:rPr>
        <w:tab/>
      </w:r>
      <w:r w:rsidRPr="009E064B">
        <w:rPr>
          <w:rFonts w:cs="TimesNewRomanPSMT"/>
          <w:szCs w:val="20"/>
        </w:rPr>
        <w:t>dla czterech równoległych dróg startowych: „L” „R” „L” „R”;</w:t>
      </w:r>
    </w:p>
    <w:p w14:paraId="58D1D1E6"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(iv) </w:t>
      </w:r>
      <w:r w:rsidRPr="009E064B">
        <w:rPr>
          <w:rFonts w:cs="Times New Roman"/>
          <w:szCs w:val="20"/>
        </w:rPr>
        <w:tab/>
      </w:r>
      <w:r w:rsidRPr="009E064B">
        <w:rPr>
          <w:rFonts w:cs="TimesNewRomanPSMT"/>
          <w:szCs w:val="20"/>
        </w:rPr>
        <w:t>dla pięciu równoległych dróg startowych: „L” „C” „R” „L” „R” lub „L” ,R” „L” „C” „R”; oraz</w:t>
      </w:r>
    </w:p>
    <w:p w14:paraId="046E4E95"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(v) </w:t>
      </w:r>
      <w:r w:rsidRPr="009E064B">
        <w:rPr>
          <w:rFonts w:cs="Times New Roman"/>
          <w:szCs w:val="20"/>
        </w:rPr>
        <w:tab/>
      </w:r>
      <w:r w:rsidRPr="009E064B">
        <w:rPr>
          <w:rFonts w:cs="TimesNewRomanPSMT"/>
          <w:szCs w:val="20"/>
        </w:rPr>
        <w:t>dla sześciu równoległych dróg startowych: „L” „C” „R” „L” „C” „R”.</w:t>
      </w:r>
    </w:p>
    <w:p w14:paraId="16C95E6F" w14:textId="5D2BC55A" w:rsidR="000F46FC"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Cyfry i litery powinny mieć kształty i proporcje zgodne ze wzorami przedstawionymi na Rysunku L-2. Ich wymiary nie powinny być mniejsze niż te przedstawione na Rysunku L-2. Jeżeli cyfry są włączone w oznakowanie progu drogi startowej, wówczas wymiary oznakowania powinny być odpowiednio większe, aby znak odpowiednio wypełnił przerwę pomiędzy pasami oznakowania progu.</w:t>
      </w:r>
    </w:p>
    <w:p w14:paraId="733F0055" w14:textId="77777777" w:rsidR="000F46FC" w:rsidRPr="009E064B" w:rsidRDefault="000F46FC">
      <w:pPr>
        <w:spacing w:after="0"/>
        <w:jc w:val="left"/>
        <w:rPr>
          <w:rFonts w:cs="TimesNewRomanPSMT"/>
          <w:szCs w:val="20"/>
        </w:rPr>
      </w:pPr>
      <w:r w:rsidRPr="009E064B">
        <w:rPr>
          <w:rFonts w:cs="TimesNewRomanPSMT"/>
          <w:szCs w:val="20"/>
        </w:rPr>
        <w:br w:type="page"/>
      </w:r>
    </w:p>
    <w:p w14:paraId="6020961D" w14:textId="77777777" w:rsidR="00C36D76" w:rsidRPr="009E064B" w:rsidRDefault="00C36D76" w:rsidP="00B06A9A">
      <w:pPr>
        <w:tabs>
          <w:tab w:val="left" w:pos="1134"/>
        </w:tabs>
        <w:autoSpaceDE w:val="0"/>
        <w:autoSpaceDN w:val="0"/>
        <w:adjustRightInd w:val="0"/>
        <w:ind w:left="1134" w:hanging="567"/>
        <w:rPr>
          <w:rFonts w:cs="TimesNewRomanPSMT"/>
          <w:szCs w:val="20"/>
        </w:rPr>
      </w:pPr>
    </w:p>
    <w:p w14:paraId="4638738F" w14:textId="2CB00C42" w:rsidR="00C36D76" w:rsidRPr="009E064B" w:rsidRDefault="00693396" w:rsidP="00B06A9A">
      <w:pPr>
        <w:tabs>
          <w:tab w:val="left" w:pos="1134"/>
        </w:tabs>
        <w:autoSpaceDE w:val="0"/>
        <w:autoSpaceDN w:val="0"/>
        <w:adjustRightInd w:val="0"/>
        <w:spacing w:after="0"/>
        <w:ind w:left="1134" w:hanging="567"/>
        <w:rPr>
          <w:rFonts w:cs="TimesNewRomanPSMT"/>
          <w:szCs w:val="20"/>
        </w:rPr>
      </w:pPr>
      <w:r w:rsidRPr="009E064B">
        <w:rPr>
          <w:noProof/>
          <w:lang w:eastAsia="pl-PL"/>
        </w:rPr>
        <w:drawing>
          <wp:inline distT="0" distB="0" distL="0" distR="0" wp14:anchorId="57B6707C" wp14:editId="7D0DA211">
            <wp:extent cx="5760720" cy="5504525"/>
            <wp:effectExtent l="0" t="0" r="0" b="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720" cy="5504525"/>
                    </a:xfrm>
                    <a:prstGeom prst="rect">
                      <a:avLst/>
                    </a:prstGeom>
                    <a:noFill/>
                    <a:ln>
                      <a:noFill/>
                    </a:ln>
                  </pic:spPr>
                </pic:pic>
              </a:graphicData>
            </a:graphic>
          </wp:inline>
        </w:drawing>
      </w:r>
    </w:p>
    <w:p w14:paraId="284599DC" w14:textId="77777777" w:rsidR="00C36D76" w:rsidRPr="009E064B" w:rsidRDefault="00C36D76" w:rsidP="00B06A9A">
      <w:pPr>
        <w:tabs>
          <w:tab w:val="left" w:pos="1134"/>
        </w:tabs>
        <w:autoSpaceDE w:val="0"/>
        <w:autoSpaceDN w:val="0"/>
        <w:adjustRightInd w:val="0"/>
        <w:spacing w:after="0"/>
        <w:rPr>
          <w:rFonts w:cs="TimesNewRomanPSMT"/>
          <w:szCs w:val="20"/>
        </w:rPr>
      </w:pPr>
    </w:p>
    <w:p w14:paraId="112C5861" w14:textId="1413A207" w:rsidR="00C36D76" w:rsidRPr="005669D1" w:rsidRDefault="00C36D76" w:rsidP="00B06A9A">
      <w:pPr>
        <w:spacing w:after="0"/>
        <w:ind w:right="10"/>
        <w:jc w:val="center"/>
        <w:rPr>
          <w:rFonts w:cs="TimesNewRomanPSMT"/>
          <w:b/>
          <w:sz w:val="20"/>
          <w:szCs w:val="20"/>
        </w:rPr>
      </w:pPr>
      <w:r w:rsidRPr="005669D1">
        <w:rPr>
          <w:rFonts w:cs="TimesNewRomanPSMT"/>
          <w:b/>
          <w:sz w:val="20"/>
          <w:szCs w:val="20"/>
        </w:rPr>
        <w:t xml:space="preserve">Rysunek L-1.  Oznakowanie progu, linii środkowej oraz identyfikacji drogi startowej </w:t>
      </w:r>
    </w:p>
    <w:p w14:paraId="503B9FB6" w14:textId="486BA5B2" w:rsidR="000F46FC" w:rsidRPr="009E064B" w:rsidRDefault="000F46FC">
      <w:pPr>
        <w:spacing w:after="0"/>
        <w:jc w:val="left"/>
        <w:rPr>
          <w:rFonts w:cs="TimesNewRomanPSMT"/>
          <w:szCs w:val="20"/>
        </w:rPr>
      </w:pPr>
      <w:r w:rsidRPr="009E064B">
        <w:rPr>
          <w:rFonts w:cs="TimesNewRomanPSMT"/>
          <w:szCs w:val="20"/>
        </w:rPr>
        <w:br w:type="page"/>
      </w:r>
    </w:p>
    <w:p w14:paraId="64C07481" w14:textId="77777777" w:rsidR="000F46FC" w:rsidRPr="009E064B" w:rsidRDefault="000F46FC" w:rsidP="00B06A9A">
      <w:pPr>
        <w:spacing w:after="0"/>
        <w:ind w:right="10"/>
        <w:jc w:val="center"/>
        <w:rPr>
          <w:rFonts w:cs="TimesNewRomanPSMT"/>
          <w:szCs w:val="20"/>
        </w:rPr>
      </w:pPr>
    </w:p>
    <w:p w14:paraId="6D473157" w14:textId="77777777" w:rsidR="00C36D76" w:rsidRPr="009E064B" w:rsidRDefault="00C36D76" w:rsidP="00B06A9A">
      <w:pPr>
        <w:tabs>
          <w:tab w:val="left" w:pos="1134"/>
        </w:tabs>
        <w:autoSpaceDE w:val="0"/>
        <w:autoSpaceDN w:val="0"/>
        <w:adjustRightInd w:val="0"/>
        <w:rPr>
          <w:rFonts w:cs="TimesNewRomanPSMT"/>
          <w:szCs w:val="20"/>
        </w:rPr>
      </w:pPr>
      <w:r w:rsidRPr="009E064B">
        <w:rPr>
          <w:rFonts w:cs="TimesNewRomanPSMT"/>
          <w:noProof/>
          <w:szCs w:val="20"/>
          <w:lang w:eastAsia="pl-PL"/>
        </w:rPr>
        <mc:AlternateContent>
          <mc:Choice Requires="wpc">
            <w:drawing>
              <wp:inline distT="0" distB="0" distL="0" distR="0" wp14:anchorId="23567FFB" wp14:editId="0F0F6961">
                <wp:extent cx="5771515" cy="6758940"/>
                <wp:effectExtent l="0" t="0" r="19685" b="22860"/>
                <wp:docPr id="1382" name="Kanwa 10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958" name="Group 2467"/>
                        <wpg:cNvGrpSpPr>
                          <a:grpSpLocks/>
                        </wpg:cNvGrpSpPr>
                        <wpg:grpSpPr bwMode="auto">
                          <a:xfrm>
                            <a:off x="180300" y="273001"/>
                            <a:ext cx="5410814" cy="6212993"/>
                            <a:chOff x="284" y="465"/>
                            <a:chExt cx="8521" cy="9784"/>
                          </a:xfrm>
                        </wpg:grpSpPr>
                        <wps:wsp>
                          <wps:cNvPr id="959" name="Text Box 1012"/>
                          <wps:cNvSpPr txBox="1">
                            <a:spLocks noChangeArrowheads="1"/>
                          </wps:cNvSpPr>
                          <wps:spPr bwMode="auto">
                            <a:xfrm>
                              <a:off x="604" y="9940"/>
                              <a:ext cx="4738"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44A41" w14:textId="77777777" w:rsidR="003832F2" w:rsidRPr="00B17B69" w:rsidRDefault="003832F2" w:rsidP="00C36D76">
                                <w:pPr>
                                  <w:spacing w:after="0"/>
                                  <w:jc w:val="center"/>
                                  <w:rPr>
                                    <w:rFonts w:ascii="Arial Narrow" w:hAnsi="Arial Narrow"/>
                                    <w:i/>
                                  </w:rPr>
                                </w:pPr>
                                <w:r w:rsidRPr="00B17B69">
                                  <w:rPr>
                                    <w:rFonts w:ascii="Arial Narrow" w:hAnsi="Arial Narrow"/>
                                    <w:i/>
                                  </w:rPr>
                                  <w:t>Uwaga: Wszystkie wymiary podano w metrach</w:t>
                                </w:r>
                                <w:r>
                                  <w:rPr>
                                    <w:rFonts w:ascii="Arial Narrow" w:hAnsi="Arial Narrow"/>
                                    <w:i/>
                                  </w:rPr>
                                  <w:t>.</w:t>
                                </w:r>
                              </w:p>
                            </w:txbxContent>
                          </wps:txbx>
                          <wps:bodyPr rot="0" vert="horz" wrap="square" lIns="18000" tIns="18000" rIns="18000" bIns="18000" anchor="ctr" anchorCtr="0" upright="1">
                            <a:spAutoFit/>
                          </wps:bodyPr>
                        </wps:wsp>
                        <wpg:grpSp>
                          <wpg:cNvPr id="1041" name="Group 2466"/>
                          <wpg:cNvGrpSpPr>
                            <a:grpSpLocks/>
                          </wpg:cNvGrpSpPr>
                          <wpg:grpSpPr bwMode="auto">
                            <a:xfrm>
                              <a:off x="284" y="465"/>
                              <a:ext cx="8521" cy="8802"/>
                              <a:chOff x="284" y="465"/>
                              <a:chExt cx="8521" cy="8802"/>
                            </a:xfrm>
                          </wpg:grpSpPr>
                          <pic:pic xmlns:pic="http://schemas.openxmlformats.org/drawingml/2006/picture">
                            <pic:nvPicPr>
                              <pic:cNvPr id="4736" name="Picture 10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84" y="465"/>
                                <a:ext cx="8521" cy="8802"/>
                              </a:xfrm>
                              <a:prstGeom prst="rect">
                                <a:avLst/>
                              </a:prstGeom>
                              <a:noFill/>
                              <a:extLst>
                                <a:ext uri="{909E8E84-426E-40DD-AFC4-6F175D3DCCD1}">
                                  <a14:hiddenFill xmlns:a14="http://schemas.microsoft.com/office/drawing/2010/main">
                                    <a:solidFill>
                                      <a:srgbClr val="FFFFFF"/>
                                    </a:solidFill>
                                  </a14:hiddenFill>
                                </a:ext>
                              </a:extLst>
                            </pic:spPr>
                          </pic:pic>
                          <wps:wsp>
                            <wps:cNvPr id="4737" name="Text Box 2465"/>
                            <wps:cNvSpPr txBox="1">
                              <a:spLocks noChangeArrowheads="1"/>
                            </wps:cNvSpPr>
                            <wps:spPr bwMode="auto">
                              <a:xfrm>
                                <a:off x="839" y="8871"/>
                                <a:ext cx="537" cy="229"/>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F5664" w14:textId="77777777" w:rsidR="003832F2" w:rsidRPr="00380F97" w:rsidRDefault="003832F2" w:rsidP="00C36D76">
                                  <w:pPr>
                                    <w:spacing w:after="0"/>
                                    <w:jc w:val="center"/>
                                    <w:rPr>
                                      <w:rFonts w:ascii="Arial Narrow" w:hAnsi="Arial Narrow"/>
                                      <w:i/>
                                      <w:sz w:val="20"/>
                                    </w:rPr>
                                  </w:pPr>
                                  <w:r w:rsidRPr="00380F97">
                                    <w:rPr>
                                      <w:rFonts w:ascii="Arial Narrow" w:hAnsi="Arial Narrow"/>
                                      <w:i/>
                                      <w:sz w:val="20"/>
                                    </w:rPr>
                                    <w:t>5.7</w:t>
                                  </w:r>
                                </w:p>
                              </w:txbxContent>
                            </wps:txbx>
                            <wps:bodyPr rot="0" vert="horz" wrap="square" lIns="0" tIns="0" rIns="0" bIns="0" anchor="ctr" anchorCtr="0" upright="1">
                              <a:spAutoFit/>
                            </wps:bodyPr>
                          </wps:wsp>
                        </wpg:grp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3567FFB" id="Kanwa 1008" o:spid="_x0000_s1115" editas="canvas" style="width:454.45pt;height:532.2pt;mso-position-horizontal-relative:char;mso-position-vertical-relative:line" coordsize="57715,6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">
                <v:shape id="_x0000_s1116" type="#_x0000_t75" style="position:absolute;width:57715;height:67589;visibility:visible;mso-wrap-style:square" stroked="t" strokecolor="black [3213]">
                  <v:fill o:detectmouseclick="t"/>
                  <v:path o:connecttype="none"/>
                </v:shape>
                <v:group id="Group 2467" o:spid="_x0000_s1117" style="position:absolute;left:1803;top:2730;width:54108;height:62129" coordorigin="284,465" coordsize="8521,9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">
                  <v:shape id="Text Box 1012" o:spid="_x0000_s1118" type="#_x0000_t202" style="position:absolute;left:604;top:9940;width:4738;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" filled="f" stroked="f">
                    <v:textbox style="mso-fit-shape-to-text:t" inset=".5mm,.5mm,.5mm,.5mm">
                      <w:txbxContent>
                        <w:p w14:paraId="55844A41" w14:textId="77777777" w:rsidR="003832F2" w:rsidRPr="00B17B69" w:rsidRDefault="003832F2" w:rsidP="00C36D76">
                          <w:pPr>
                            <w:spacing w:after="0"/>
                            <w:jc w:val="center"/>
                            <w:rPr>
                              <w:rFonts w:ascii="Arial Narrow" w:hAnsi="Arial Narrow"/>
                              <w:i/>
                            </w:rPr>
                          </w:pPr>
                          <w:r w:rsidRPr="00B17B69">
                            <w:rPr>
                              <w:rFonts w:ascii="Arial Narrow" w:hAnsi="Arial Narrow"/>
                              <w:i/>
                            </w:rPr>
                            <w:t>Uwaga: Wszystkie wymiary podano w metrach</w:t>
                          </w:r>
                          <w:r>
                            <w:rPr>
                              <w:rFonts w:ascii="Arial Narrow" w:hAnsi="Arial Narrow"/>
                              <w:i/>
                            </w:rPr>
                            <w:t>.</w:t>
                          </w:r>
                        </w:p>
                      </w:txbxContent>
                    </v:textbox>
                  </v:shape>
                  <v:group id="Group 2466" o:spid="_x0000_s1119" style="position:absolute;left:284;top:465;width:8521;height:8802" coordorigin="284,465" coordsize="852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">
                    <v:shape id="Picture 1011" o:spid="_x0000_s1120" type="#_x0000_t75" style="position:absolute;left:284;top:465;width:8521;height: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">
                      <v:imagedata r:id="rId144" o:title=""/>
                    </v:shape>
                    <v:shape id="Text Box 2465" o:spid="_x0000_s1121" type="#_x0000_t202" style="position:absolute;left:839;top:8871;width:537;height: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" fillcolor="white [3212]" stroked="f">
                      <v:textbox style="mso-fit-shape-to-text:t" inset="0,0,0,0">
                        <w:txbxContent>
                          <w:p w14:paraId="510F5664" w14:textId="77777777" w:rsidR="003832F2" w:rsidRPr="00380F97" w:rsidRDefault="003832F2" w:rsidP="00C36D76">
                            <w:pPr>
                              <w:spacing w:after="0"/>
                              <w:jc w:val="center"/>
                              <w:rPr>
                                <w:rFonts w:ascii="Arial Narrow" w:hAnsi="Arial Narrow"/>
                                <w:i/>
                                <w:sz w:val="20"/>
                              </w:rPr>
                            </w:pPr>
                            <w:r w:rsidRPr="00380F97">
                              <w:rPr>
                                <w:rFonts w:ascii="Arial Narrow" w:hAnsi="Arial Narrow"/>
                                <w:i/>
                                <w:sz w:val="20"/>
                              </w:rPr>
                              <w:t>5.7</w:t>
                            </w:r>
                          </w:p>
                        </w:txbxContent>
                      </v:textbox>
                    </v:shape>
                  </v:group>
                </v:group>
                <w10:anchorlock/>
              </v:group>
            </w:pict>
          </mc:Fallback>
        </mc:AlternateContent>
      </w:r>
    </w:p>
    <w:p w14:paraId="5F3CC7F8" w14:textId="77777777" w:rsidR="00C36D76" w:rsidRPr="009E064B" w:rsidRDefault="00C36D76" w:rsidP="00B06A9A">
      <w:pPr>
        <w:tabs>
          <w:tab w:val="left" w:pos="1134"/>
        </w:tabs>
        <w:autoSpaceDE w:val="0"/>
        <w:autoSpaceDN w:val="0"/>
        <w:adjustRightInd w:val="0"/>
        <w:spacing w:after="0"/>
        <w:rPr>
          <w:rFonts w:cs="TimesNewRomanPSMT"/>
          <w:szCs w:val="20"/>
        </w:rPr>
      </w:pPr>
    </w:p>
    <w:p w14:paraId="39D06E8E" w14:textId="369BE9BB" w:rsidR="00C36D76" w:rsidRPr="005669D1" w:rsidRDefault="00C36D76" w:rsidP="00B06A9A">
      <w:pPr>
        <w:autoSpaceDE w:val="0"/>
        <w:autoSpaceDN w:val="0"/>
        <w:adjustRightInd w:val="0"/>
        <w:ind w:left="1134" w:hanging="1134"/>
        <w:jc w:val="center"/>
        <w:rPr>
          <w:rFonts w:cs="TimesNewRomanPSMT"/>
          <w:b/>
          <w:sz w:val="20"/>
          <w:szCs w:val="20"/>
        </w:rPr>
      </w:pPr>
      <w:r w:rsidRPr="005669D1">
        <w:rPr>
          <w:rFonts w:cs="TimesNewRomanPSMT"/>
          <w:b/>
          <w:sz w:val="20"/>
          <w:szCs w:val="20"/>
        </w:rPr>
        <w:t>Rysunek L-2.  Kształt i proporcje liter i cyfr używanych do oznakowania identyfikacji drogi startowej</w:t>
      </w:r>
    </w:p>
    <w:p w14:paraId="0C2E01ED" w14:textId="65230122"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AEF5783" w14:textId="238654C5" w:rsidR="00380F97" w:rsidRPr="009E064B" w:rsidRDefault="00380F97">
      <w:pPr>
        <w:spacing w:after="0"/>
        <w:jc w:val="left"/>
        <w:rPr>
          <w:rFonts w:asciiTheme="minorHAnsi" w:eastAsia="Times New Roman" w:hAnsiTheme="minorHAnsi" w:cstheme="minorHAnsi"/>
          <w:sz w:val="20"/>
          <w:szCs w:val="16"/>
        </w:rPr>
      </w:pPr>
    </w:p>
    <w:p w14:paraId="5C0C8762" w14:textId="5DF82BC4" w:rsidR="00454C4B" w:rsidRPr="009E064B" w:rsidRDefault="00454C4B" w:rsidP="00133B99">
      <w:pPr>
        <w:pStyle w:val="Nagwek6"/>
      </w:pPr>
      <w:bookmarkStart w:id="1348" w:name="_Toc401059003"/>
      <w:bookmarkStart w:id="1349" w:name="_Toc482886870"/>
      <w:bookmarkStart w:id="1350" w:name="_Toc12533133"/>
      <w:r w:rsidRPr="009E064B">
        <w:t xml:space="preserve">GM1 ADR-DSN.L.525 </w:t>
      </w:r>
      <w:r w:rsidR="00A73874" w:rsidRPr="009E064B">
        <w:t xml:space="preserve">    </w:t>
      </w:r>
      <w:r w:rsidRPr="009E064B">
        <w:t>Oznakowanie identyfikacji drogi startowej</w:t>
      </w:r>
      <w:bookmarkEnd w:id="1348"/>
      <w:bookmarkEnd w:id="1349"/>
      <w:bookmarkEnd w:id="1350"/>
    </w:p>
    <w:p w14:paraId="747AEA58" w14:textId="23F28D9D"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7B2B3D5" w14:textId="77777777" w:rsidR="00454C4B" w:rsidRPr="009E064B" w:rsidRDefault="00454C4B"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B30D6CA" w14:textId="0ABFE191" w:rsidR="00C36D76" w:rsidRPr="009E064B" w:rsidRDefault="00A62411" w:rsidP="00B06A9A">
      <w:pPr>
        <w:pStyle w:val="Nagwek4"/>
        <w:rPr>
          <w:color w:val="auto"/>
        </w:rPr>
      </w:pPr>
      <w:bookmarkStart w:id="1351" w:name="_Toc482886647"/>
      <w:bookmarkStart w:id="1352" w:name="_Toc12533134"/>
      <w:r w:rsidRPr="009E064B">
        <w:rPr>
          <w:color w:val="auto"/>
        </w:rPr>
        <w:t xml:space="preserve">CS ADR-DSN.L.530     </w:t>
      </w:r>
      <w:r w:rsidR="00C36D76" w:rsidRPr="009E064B">
        <w:rPr>
          <w:color w:val="auto"/>
        </w:rPr>
        <w:t>Oznakowanie linii środkowej drogi startowej</w:t>
      </w:r>
      <w:bookmarkEnd w:id="1351"/>
      <w:bookmarkEnd w:id="1352"/>
    </w:p>
    <w:p w14:paraId="6BACAEC4" w14:textId="321DA16A" w:rsidR="0032471F" w:rsidRPr="009E064B" w:rsidRDefault="00D63D4F" w:rsidP="0032471F">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5AB9758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 xml:space="preserve">Zastosowanie: </w:t>
      </w:r>
      <w:r w:rsidRPr="009E064B">
        <w:rPr>
          <w:rFonts w:cs="TimesNewRomanPSMT"/>
          <w:szCs w:val="20"/>
        </w:rPr>
        <w:t>Droga startowa o nawierzchni sztucznej powinna posiadać oznakowanie linii środkowej drogi startowej.</w:t>
      </w:r>
    </w:p>
    <w:p w14:paraId="17DFDF92" w14:textId="5A8CD4EF"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t>Lokalizacja</w:t>
      </w:r>
      <w:r w:rsidRPr="009E064B">
        <w:rPr>
          <w:rFonts w:cs="TimesNewRomanPS-BoldItalicMT"/>
          <w:bCs/>
          <w:iCs/>
          <w:szCs w:val="20"/>
        </w:rPr>
        <w:t xml:space="preserve">: </w:t>
      </w:r>
      <w:r w:rsidRPr="009E064B">
        <w:rPr>
          <w:rFonts w:cs="TimesNewRomanPSMT"/>
          <w:szCs w:val="20"/>
        </w:rPr>
        <w:t xml:space="preserve">Oznakowanie linii środkowej drogi startowej powinno być zlokalizowane wzdłuż </w:t>
      </w:r>
      <w:r w:rsidR="002B2B37">
        <w:rPr>
          <w:rFonts w:cs="TimesNewRomanPSMT"/>
          <w:szCs w:val="20"/>
        </w:rPr>
        <w:br/>
      </w:r>
      <w:r w:rsidRPr="009E064B">
        <w:rPr>
          <w:rFonts w:cs="TimesNewRomanPSMT"/>
          <w:szCs w:val="20"/>
        </w:rPr>
        <w:t xml:space="preserve">linii środkowej tej drogi pomiędzy oznakowaniem identyfikacji drogi startowej, jak przedstawiono na Rysunku L-1, z wyjątkiem gdzie oznakowanie ma być </w:t>
      </w:r>
      <w:r w:rsidR="00356467" w:rsidRPr="009E064B">
        <w:rPr>
          <w:rFonts w:cs="TimesNewRomanPSMT"/>
          <w:szCs w:val="20"/>
        </w:rPr>
        <w:t xml:space="preserve">przerwane, zgodnie </w:t>
      </w:r>
      <w:r w:rsidR="002B2B37">
        <w:rPr>
          <w:rFonts w:cs="TimesNewRomanPSMT"/>
          <w:szCs w:val="20"/>
        </w:rPr>
        <w:br/>
      </w:r>
      <w:r w:rsidR="00356467" w:rsidRPr="009E064B">
        <w:rPr>
          <w:rFonts w:cs="TimesNewRomanPSMT"/>
          <w:szCs w:val="20"/>
        </w:rPr>
        <w:t>z </w:t>
      </w:r>
      <w:r w:rsidR="002B2B37">
        <w:rPr>
          <w:rFonts w:cs="TimesNewRomanPSMT"/>
          <w:szCs w:val="20"/>
        </w:rPr>
        <w:t> </w:t>
      </w:r>
      <w:hyperlink w:anchor="_CS_ADR-DSN.L.560_" w:history="1">
        <w:r w:rsidR="00356467" w:rsidRPr="009E064B">
          <w:rPr>
            <w:rStyle w:val="Hipercze"/>
            <w:rFonts w:cs="TimesNewRomanPSMT"/>
            <w:szCs w:val="20"/>
          </w:rPr>
          <w:t>CS </w:t>
        </w:r>
        <w:r w:rsidRPr="009E064B">
          <w:rPr>
            <w:rStyle w:val="Hipercze"/>
            <w:rFonts w:cs="TimesNewRomanPSMT"/>
            <w:szCs w:val="20"/>
          </w:rPr>
          <w:t>ADR-DSN.L.560</w:t>
        </w:r>
      </w:hyperlink>
      <w:r w:rsidRPr="009E064B">
        <w:rPr>
          <w:rFonts w:cs="TimesNewRomanPSMT"/>
          <w:szCs w:val="20"/>
        </w:rPr>
        <w:t>.</w:t>
      </w:r>
    </w:p>
    <w:p w14:paraId="029097BE"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001A143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 linii środkowej drogi startowej powinno być linią utworzoną z równomiernie rozmieszczonych pasów i przerw. Długość pasa i przerwy, która go oddziela od pasa następnego, powinna być nie mniejsza niż 50 m i nie większa niż 75 m. Długość każdego pasa oznakowania powinna być, co najmniej równa długości przerwy lub wynosić 30 m, w zależności od tego, co jest większe.</w:t>
      </w:r>
    </w:p>
    <w:p w14:paraId="03873531"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Szerokość pasów nie powinna być mniejsza niż:</w:t>
      </w:r>
    </w:p>
    <w:p w14:paraId="751058C8"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 </w:t>
      </w:r>
      <w:r w:rsidRPr="009E064B">
        <w:rPr>
          <w:rFonts w:cs="Times New Roman"/>
          <w:szCs w:val="20"/>
        </w:rPr>
        <w:tab/>
      </w:r>
      <w:r w:rsidRPr="009E064B">
        <w:rPr>
          <w:rFonts w:cs="TimesNewRomanPSMT"/>
          <w:szCs w:val="20"/>
        </w:rPr>
        <w:t>0.9 m dla dróg startowych z podejściem precyzyjnym kategorii II i III;</w:t>
      </w:r>
    </w:p>
    <w:p w14:paraId="0F2AE542"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 </w:t>
      </w:r>
      <w:r w:rsidRPr="009E064B">
        <w:rPr>
          <w:rFonts w:cs="Times New Roman"/>
          <w:szCs w:val="20"/>
        </w:rPr>
        <w:tab/>
      </w:r>
      <w:r w:rsidRPr="009E064B">
        <w:rPr>
          <w:rFonts w:cs="TimesNewRomanPSMT"/>
          <w:szCs w:val="20"/>
        </w:rPr>
        <w:t>0.45 m dla dróg startowych z podejściem nieprecyzyjnym o cyfrze kodu 3 lub 4 oraz dróg startowych z podejściem precyzyjnym kategorii I; oraz</w:t>
      </w:r>
    </w:p>
    <w:p w14:paraId="7BA9C9A6"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(iii) </w:t>
      </w:r>
      <w:r w:rsidRPr="009E064B">
        <w:rPr>
          <w:rFonts w:cs="Times New Roman"/>
          <w:szCs w:val="20"/>
        </w:rPr>
        <w:tab/>
      </w:r>
      <w:r w:rsidRPr="009E064B">
        <w:rPr>
          <w:rFonts w:cs="TimesNewRomanPSMT"/>
          <w:szCs w:val="20"/>
        </w:rPr>
        <w:t>0.30 m dla dróg startowych z podejściem nieprecyzyjnym o cyfrze kodu 1 lub 2 oraz nieprzyrządowych dróg startowych.</w:t>
      </w:r>
    </w:p>
    <w:p w14:paraId="3BA9D9BE"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E133259" w14:textId="36F619AD" w:rsidR="00454C4B" w:rsidRPr="009E064B" w:rsidRDefault="00A73874" w:rsidP="00133B99">
      <w:pPr>
        <w:pStyle w:val="Nagwek6"/>
      </w:pPr>
      <w:bookmarkStart w:id="1353" w:name="_Toc482886871"/>
      <w:bookmarkStart w:id="1354" w:name="_Toc12533135"/>
      <w:r w:rsidRPr="009E064B">
        <w:t xml:space="preserve">GM1 ADR-DSN.L.530     </w:t>
      </w:r>
      <w:r w:rsidR="00454C4B" w:rsidRPr="009E064B">
        <w:t>Oznakowanie linii środkowej drogi startowej</w:t>
      </w:r>
      <w:bookmarkEnd w:id="1353"/>
      <w:bookmarkEnd w:id="1354"/>
    </w:p>
    <w:p w14:paraId="115CE04D" w14:textId="250EB0B5"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17F88DA" w14:textId="77777777" w:rsidR="00454C4B" w:rsidRPr="009E064B" w:rsidRDefault="00454C4B" w:rsidP="00B06A9A">
      <w:pPr>
        <w:autoSpaceDE w:val="0"/>
        <w:autoSpaceDN w:val="0"/>
        <w:adjustRightInd w:val="0"/>
        <w:rPr>
          <w:szCs w:val="20"/>
        </w:rPr>
      </w:pPr>
      <w:r w:rsidRPr="009E064B">
        <w:rPr>
          <w:szCs w:val="20"/>
        </w:rPr>
        <w:t>W przypadku oznakowania linii środkowej, pasy o długości i odstępach wynoszących 30 m mogą być dostosowane w celu uwzględnienia lokalizacji progu drogi startowej.</w:t>
      </w:r>
    </w:p>
    <w:p w14:paraId="61A46090" w14:textId="1DFF1B1F" w:rsidR="00C36D76" w:rsidRPr="009E064B" w:rsidRDefault="00A62411" w:rsidP="00B06A9A">
      <w:pPr>
        <w:pStyle w:val="Nagwek4"/>
        <w:rPr>
          <w:color w:val="auto"/>
        </w:rPr>
      </w:pPr>
      <w:bookmarkStart w:id="1355" w:name="_Toc482886648"/>
      <w:bookmarkStart w:id="1356" w:name="_Toc12533136"/>
      <w:r w:rsidRPr="009E064B">
        <w:rPr>
          <w:color w:val="auto"/>
        </w:rPr>
        <w:t xml:space="preserve">CS ADR-DSN.L.535     </w:t>
      </w:r>
      <w:r w:rsidR="00C36D76" w:rsidRPr="009E064B">
        <w:rPr>
          <w:color w:val="auto"/>
        </w:rPr>
        <w:t>Oznakowanie progu drogi startowej</w:t>
      </w:r>
      <w:bookmarkEnd w:id="1355"/>
      <w:bookmarkEnd w:id="1356"/>
    </w:p>
    <w:p w14:paraId="7A195FE8" w14:textId="39621815" w:rsidR="00A62411" w:rsidRPr="009E064B" w:rsidRDefault="00D63D4F" w:rsidP="00A62411">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3A814131"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r w:rsidRPr="009E064B">
        <w:rPr>
          <w:rFonts w:cs="TimesNewRomanPSMT"/>
          <w:szCs w:val="20"/>
        </w:rPr>
        <w:t>: Oznakowanie progu drogi startowej powinno być zapewnione na progu drogi startowej.</w:t>
      </w:r>
    </w:p>
    <w:p w14:paraId="0BAEBCA9"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Charakterystyki:</w:t>
      </w:r>
    </w:p>
    <w:p w14:paraId="49885A4A"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Pasy oznakowania progu powinny zaczynać się w odległości 6 m od progu.</w:t>
      </w:r>
    </w:p>
    <w:p w14:paraId="0EFC99E2" w14:textId="14D34B25" w:rsidR="00356467" w:rsidRPr="009E064B" w:rsidRDefault="00C36D76" w:rsidP="00B06A9A">
      <w:pPr>
        <w:tabs>
          <w:tab w:val="left" w:pos="1134"/>
        </w:tabs>
        <w:autoSpaceDE w:val="0"/>
        <w:autoSpaceDN w:val="0"/>
        <w:adjustRightInd w:val="0"/>
        <w:spacing w:after="24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 xml:space="preserve">Oznakowanie </w:t>
      </w:r>
      <w:r w:rsidRPr="009E064B">
        <w:rPr>
          <w:rFonts w:cs="TimesNewRomanPS-ItalicMT"/>
          <w:iCs/>
          <w:szCs w:val="20"/>
        </w:rPr>
        <w:t xml:space="preserve">poziome </w:t>
      </w:r>
      <w:r w:rsidRPr="009E064B">
        <w:rPr>
          <w:rFonts w:cs="TimesNewRomanPSMT"/>
          <w:szCs w:val="20"/>
        </w:rPr>
        <w:t>progu drogi startowej powinno być utworzone ze wzoru podłużnych pasów o jednakowych wymiarach,</w:t>
      </w:r>
      <w:r w:rsidR="005E3E07" w:rsidRPr="009E064B">
        <w:rPr>
          <w:rFonts w:cs="TimesNewRomanPSMT"/>
          <w:szCs w:val="20"/>
        </w:rPr>
        <w:t xml:space="preserve"> rozmieszczonych symetrycznie w</w:t>
      </w:r>
      <w:r w:rsidR="002B2B37">
        <w:rPr>
          <w:rFonts w:cs="TimesNewRomanPSMT"/>
          <w:szCs w:val="20"/>
        </w:rPr>
        <w:t xml:space="preserve"> </w:t>
      </w:r>
      <w:r w:rsidRPr="009E064B">
        <w:rPr>
          <w:rFonts w:cs="TimesNewRomanPSMT"/>
          <w:szCs w:val="20"/>
        </w:rPr>
        <w:t>stosunku do linii środkowej drogi startowej, jak przedstawiono na Rysunku L-1(A) i</w:t>
      </w:r>
      <w:r w:rsidR="002B2B37">
        <w:rPr>
          <w:rFonts w:cs="TimesNewRomanPSMT"/>
          <w:szCs w:val="20"/>
        </w:rPr>
        <w:t xml:space="preserve"> </w:t>
      </w:r>
      <w:r w:rsidRPr="009E064B">
        <w:rPr>
          <w:rFonts w:cs="TimesNewRomanPSMT"/>
          <w:szCs w:val="20"/>
        </w:rPr>
        <w:t>L-1(B) dla drogi startowej o szerokości 45 m. Ilość pasów oznakowania powinna się zmieniać w zależności od szerokości drogi startowej, jak przedstawiono poniżej:</w:t>
      </w:r>
    </w:p>
    <w:p w14:paraId="39E2D8B1" w14:textId="77777777" w:rsidR="00356467" w:rsidRPr="009E064B" w:rsidRDefault="00356467">
      <w:pPr>
        <w:spacing w:after="0"/>
        <w:jc w:val="left"/>
        <w:rPr>
          <w:rFonts w:cs="TimesNewRomanPSMT"/>
          <w:szCs w:val="20"/>
        </w:rPr>
      </w:pPr>
      <w:r w:rsidRPr="009E064B">
        <w:rPr>
          <w:rFonts w:cs="TimesNewRomanPSMT"/>
          <w:szCs w:val="20"/>
        </w:rPr>
        <w:br w:type="page"/>
      </w:r>
    </w:p>
    <w:p w14:paraId="2F54667F" w14:textId="77777777" w:rsidR="00C36D76" w:rsidRPr="009E064B" w:rsidRDefault="00C36D76" w:rsidP="00380F97">
      <w:pPr>
        <w:tabs>
          <w:tab w:val="left" w:pos="1134"/>
        </w:tabs>
        <w:autoSpaceDE w:val="0"/>
        <w:autoSpaceDN w:val="0"/>
        <w:adjustRightInd w:val="0"/>
        <w:spacing w:after="0"/>
        <w:ind w:left="1134" w:hanging="567"/>
        <w:rPr>
          <w:rFonts w:cs="TimesNewRomanPSMT"/>
          <w:szCs w:val="20"/>
        </w:rPr>
      </w:pPr>
    </w:p>
    <w:tbl>
      <w:tblPr>
        <w:tblStyle w:val="Tabela-Siatka"/>
        <w:tblW w:w="0" w:type="auto"/>
        <w:tblInd w:w="2122" w:type="dxa"/>
        <w:tblLook w:val="04A0" w:firstRow="1" w:lastRow="0" w:firstColumn="1" w:lastColumn="0" w:noHBand="0" w:noVBand="1"/>
      </w:tblPr>
      <w:tblGrid>
        <w:gridCol w:w="2976"/>
        <w:gridCol w:w="2977"/>
      </w:tblGrid>
      <w:tr w:rsidR="00A62411" w:rsidRPr="009E064B" w14:paraId="458AF949" w14:textId="77777777" w:rsidTr="00A62411">
        <w:tc>
          <w:tcPr>
            <w:tcW w:w="2976" w:type="dxa"/>
            <w:tcMar>
              <w:top w:w="57" w:type="dxa"/>
              <w:bottom w:w="57" w:type="dxa"/>
            </w:tcMar>
            <w:vAlign w:val="center"/>
          </w:tcPr>
          <w:p w14:paraId="0BA83425" w14:textId="77777777" w:rsidR="00A62411" w:rsidRPr="009E064B" w:rsidRDefault="00A62411" w:rsidP="00A62411">
            <w:pPr>
              <w:pStyle w:val="Akapitzlist"/>
              <w:autoSpaceDE w:val="0"/>
              <w:autoSpaceDN w:val="0"/>
              <w:adjustRightInd w:val="0"/>
              <w:spacing w:after="0"/>
              <w:jc w:val="center"/>
              <w:rPr>
                <w:rFonts w:cs="TimesNewRomanPS-ItalicMT"/>
                <w:b/>
                <w:iCs/>
                <w:szCs w:val="20"/>
              </w:rPr>
            </w:pPr>
            <w:r w:rsidRPr="009E064B">
              <w:rPr>
                <w:rFonts w:cs="TimesNewRomanPS-ItalicMT"/>
                <w:b/>
                <w:iCs/>
                <w:szCs w:val="20"/>
              </w:rPr>
              <w:t>Szerokość drogi startowej</w:t>
            </w:r>
          </w:p>
        </w:tc>
        <w:tc>
          <w:tcPr>
            <w:tcW w:w="2977" w:type="dxa"/>
            <w:tcMar>
              <w:top w:w="57" w:type="dxa"/>
              <w:bottom w:w="57" w:type="dxa"/>
            </w:tcMar>
            <w:vAlign w:val="center"/>
          </w:tcPr>
          <w:p w14:paraId="4EE51607" w14:textId="77777777" w:rsidR="00A62411" w:rsidRPr="009E064B" w:rsidRDefault="00A62411" w:rsidP="00A62411">
            <w:pPr>
              <w:pStyle w:val="Akapitzlist"/>
              <w:autoSpaceDE w:val="0"/>
              <w:autoSpaceDN w:val="0"/>
              <w:adjustRightInd w:val="0"/>
              <w:spacing w:after="0"/>
              <w:jc w:val="center"/>
              <w:rPr>
                <w:rFonts w:cs="TimesNewRomanPS-ItalicMT"/>
                <w:b/>
                <w:iCs/>
                <w:szCs w:val="20"/>
              </w:rPr>
            </w:pPr>
            <w:r w:rsidRPr="009E064B">
              <w:rPr>
                <w:rFonts w:cs="TimesNewRomanPS-ItalicMT"/>
                <w:b/>
                <w:iCs/>
                <w:szCs w:val="20"/>
              </w:rPr>
              <w:t>Liczba pasów</w:t>
            </w:r>
          </w:p>
        </w:tc>
      </w:tr>
      <w:tr w:rsidR="00A62411" w:rsidRPr="009E064B" w14:paraId="2141AA17" w14:textId="77777777" w:rsidTr="00356467">
        <w:tc>
          <w:tcPr>
            <w:tcW w:w="2976" w:type="dxa"/>
            <w:tcMar>
              <w:top w:w="85" w:type="dxa"/>
              <w:bottom w:w="85" w:type="dxa"/>
            </w:tcMar>
            <w:vAlign w:val="center"/>
          </w:tcPr>
          <w:p w14:paraId="7F8A5130"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18 m</w:t>
            </w:r>
          </w:p>
        </w:tc>
        <w:tc>
          <w:tcPr>
            <w:tcW w:w="2977" w:type="dxa"/>
            <w:tcMar>
              <w:top w:w="85" w:type="dxa"/>
              <w:bottom w:w="85" w:type="dxa"/>
            </w:tcMar>
            <w:vAlign w:val="center"/>
          </w:tcPr>
          <w:p w14:paraId="78599F50"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4</w:t>
            </w:r>
          </w:p>
        </w:tc>
      </w:tr>
      <w:tr w:rsidR="00A62411" w:rsidRPr="009E064B" w14:paraId="20C0CAF4" w14:textId="77777777" w:rsidTr="00356467">
        <w:tc>
          <w:tcPr>
            <w:tcW w:w="2976" w:type="dxa"/>
            <w:tcMar>
              <w:top w:w="85" w:type="dxa"/>
              <w:bottom w:w="85" w:type="dxa"/>
            </w:tcMar>
            <w:vAlign w:val="center"/>
          </w:tcPr>
          <w:p w14:paraId="6F26E8BA"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23 m</w:t>
            </w:r>
          </w:p>
        </w:tc>
        <w:tc>
          <w:tcPr>
            <w:tcW w:w="2977" w:type="dxa"/>
            <w:tcMar>
              <w:top w:w="85" w:type="dxa"/>
              <w:bottom w:w="85" w:type="dxa"/>
            </w:tcMar>
            <w:vAlign w:val="center"/>
          </w:tcPr>
          <w:p w14:paraId="42BB2680"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6</w:t>
            </w:r>
          </w:p>
        </w:tc>
      </w:tr>
      <w:tr w:rsidR="00A62411" w:rsidRPr="009E064B" w14:paraId="69CAC47A" w14:textId="77777777" w:rsidTr="00356467">
        <w:tc>
          <w:tcPr>
            <w:tcW w:w="2976" w:type="dxa"/>
            <w:tcMar>
              <w:top w:w="85" w:type="dxa"/>
              <w:bottom w:w="85" w:type="dxa"/>
            </w:tcMar>
            <w:vAlign w:val="center"/>
          </w:tcPr>
          <w:p w14:paraId="1F36ACF0"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30 m</w:t>
            </w:r>
          </w:p>
        </w:tc>
        <w:tc>
          <w:tcPr>
            <w:tcW w:w="2977" w:type="dxa"/>
            <w:tcMar>
              <w:top w:w="85" w:type="dxa"/>
              <w:bottom w:w="85" w:type="dxa"/>
            </w:tcMar>
            <w:vAlign w:val="center"/>
          </w:tcPr>
          <w:p w14:paraId="0F9532CE"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8</w:t>
            </w:r>
          </w:p>
        </w:tc>
      </w:tr>
      <w:tr w:rsidR="00A62411" w:rsidRPr="009E064B" w14:paraId="27AF8F44" w14:textId="77777777" w:rsidTr="00356467">
        <w:tc>
          <w:tcPr>
            <w:tcW w:w="2976" w:type="dxa"/>
            <w:tcMar>
              <w:top w:w="85" w:type="dxa"/>
              <w:bottom w:w="85" w:type="dxa"/>
            </w:tcMar>
            <w:vAlign w:val="center"/>
          </w:tcPr>
          <w:p w14:paraId="22E06CA4"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45 m</w:t>
            </w:r>
          </w:p>
        </w:tc>
        <w:tc>
          <w:tcPr>
            <w:tcW w:w="2977" w:type="dxa"/>
            <w:tcMar>
              <w:top w:w="85" w:type="dxa"/>
              <w:bottom w:w="85" w:type="dxa"/>
            </w:tcMar>
            <w:vAlign w:val="center"/>
          </w:tcPr>
          <w:p w14:paraId="16B48DC5"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12</w:t>
            </w:r>
          </w:p>
        </w:tc>
      </w:tr>
      <w:tr w:rsidR="00A62411" w:rsidRPr="009E064B" w14:paraId="37063CE5" w14:textId="77777777" w:rsidTr="00356467">
        <w:tc>
          <w:tcPr>
            <w:tcW w:w="2976" w:type="dxa"/>
            <w:tcMar>
              <w:top w:w="85" w:type="dxa"/>
              <w:bottom w:w="85" w:type="dxa"/>
            </w:tcMar>
            <w:vAlign w:val="center"/>
          </w:tcPr>
          <w:p w14:paraId="1517EF3C"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60 m</w:t>
            </w:r>
          </w:p>
        </w:tc>
        <w:tc>
          <w:tcPr>
            <w:tcW w:w="2977" w:type="dxa"/>
            <w:tcMar>
              <w:top w:w="85" w:type="dxa"/>
              <w:bottom w:w="85" w:type="dxa"/>
            </w:tcMar>
            <w:vAlign w:val="center"/>
          </w:tcPr>
          <w:p w14:paraId="524187DE" w14:textId="77777777" w:rsidR="00A62411" w:rsidRPr="009E064B" w:rsidRDefault="00A62411" w:rsidP="00A62411">
            <w:pPr>
              <w:pStyle w:val="Akapitzlist"/>
              <w:autoSpaceDE w:val="0"/>
              <w:autoSpaceDN w:val="0"/>
              <w:adjustRightInd w:val="0"/>
              <w:spacing w:after="0"/>
              <w:jc w:val="center"/>
              <w:rPr>
                <w:rFonts w:cs="TimesNewRomanPSMT"/>
                <w:szCs w:val="20"/>
              </w:rPr>
            </w:pPr>
            <w:r w:rsidRPr="009E064B">
              <w:rPr>
                <w:rFonts w:cs="TimesNewRomanPSMT"/>
                <w:szCs w:val="20"/>
              </w:rPr>
              <w:t>16</w:t>
            </w:r>
          </w:p>
        </w:tc>
      </w:tr>
    </w:tbl>
    <w:p w14:paraId="055AF097" w14:textId="77777777" w:rsidR="00C36D76" w:rsidRPr="009E064B" w:rsidRDefault="00C36D76" w:rsidP="00A62411">
      <w:pPr>
        <w:pStyle w:val="Akapitzlist"/>
        <w:autoSpaceDE w:val="0"/>
        <w:autoSpaceDN w:val="0"/>
        <w:adjustRightInd w:val="0"/>
        <w:spacing w:before="240"/>
        <w:ind w:left="1134"/>
        <w:rPr>
          <w:rFonts w:cs="TimesNewRomanPSMT"/>
          <w:szCs w:val="20"/>
        </w:rPr>
      </w:pPr>
      <w:r w:rsidRPr="009E064B">
        <w:rPr>
          <w:rFonts w:cs="TimesNewRomanPSMT"/>
          <w:szCs w:val="20"/>
        </w:rPr>
        <w:t>z wyjątkiem dróg startowych z podejściem nieprecyzyjnym oraz nieprzyrządowych dróg startowych o szerokości większej lub równej 45 m, oznakowanie może być rozmieszczone zgodnie z Rysunkiem L-1(C).</w:t>
      </w:r>
    </w:p>
    <w:p w14:paraId="0CCC8AB4" w14:textId="23A21495"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Pasy oznakowania powinny sięgać poprzecznie nie dalej niż do odległości 3 m od krawędzi drogi startowej lub na odległość 27 m w obie strony od linii środkowej drogi st</w:t>
      </w:r>
      <w:r w:rsidR="00693396" w:rsidRPr="009E064B">
        <w:rPr>
          <w:rFonts w:cs="TimesNewRomanPSMT"/>
          <w:szCs w:val="20"/>
        </w:rPr>
        <w:t>artowej, w </w:t>
      </w:r>
      <w:r w:rsidRPr="009E064B">
        <w:rPr>
          <w:rFonts w:cs="TimesNewRomanPSMT"/>
          <w:szCs w:val="20"/>
        </w:rPr>
        <w:t>zależności od tego, która z tych wartości określi mniejszą odległość boczną.</w:t>
      </w:r>
    </w:p>
    <w:p w14:paraId="1DF1D78F"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Jeżeli oznakowanie identyfikacji drogi startowej znajduje się wewnątrz oznakowania progu, wówczas z obydwu stron linii środkowej drogi startowej powinny być rozmieszczone przynajmniej po trzy pasy oznakowania.</w:t>
      </w:r>
    </w:p>
    <w:p w14:paraId="61E75D51" w14:textId="16CBAD85"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(5) </w:t>
      </w:r>
      <w:r w:rsidRPr="009E064B">
        <w:rPr>
          <w:rFonts w:cs="Times New Roman"/>
          <w:szCs w:val="20"/>
        </w:rPr>
        <w:tab/>
      </w:r>
      <w:r w:rsidRPr="009E064B">
        <w:rPr>
          <w:rFonts w:cs="TimesNewRomanPSMT"/>
          <w:szCs w:val="20"/>
        </w:rPr>
        <w:t>Jeżeli oznakowanie identyfikacji drogi startowej znajduje się ponad oznakowaniem progu, wówczas pasy oznakowania progu powinny być rozmieszczone na całej szerokości drogi startowej. Pasy oznakowania powinny mieć, co naj</w:t>
      </w:r>
      <w:r w:rsidR="00693396" w:rsidRPr="009E064B">
        <w:rPr>
          <w:rFonts w:cs="TimesNewRomanPSMT"/>
          <w:szCs w:val="20"/>
        </w:rPr>
        <w:t>mniej 30 m długości i około 1.8 </w:t>
      </w:r>
      <w:r w:rsidRPr="009E064B">
        <w:rPr>
          <w:rFonts w:cs="TimesNewRomanPSMT"/>
          <w:szCs w:val="20"/>
        </w:rPr>
        <w:t>m szerokości, a odstępy między nimi około 1.8 m. Jeżeli oznakowanie progu zajmuje całą szerokość drogi startowej, należy wówczas zastosować podwójny odstęp pomiędzy dwoma pasami oznakowania sąsiadującymi z</w:t>
      </w:r>
      <w:r w:rsidR="00693396" w:rsidRPr="009E064B">
        <w:rPr>
          <w:rFonts w:cs="TimesNewRomanPSMT"/>
          <w:szCs w:val="20"/>
        </w:rPr>
        <w:t xml:space="preserve"> </w:t>
      </w:r>
      <w:r w:rsidRPr="009E064B">
        <w:rPr>
          <w:rFonts w:cs="TimesNewRomanPSMT"/>
          <w:szCs w:val="20"/>
        </w:rPr>
        <w:t>linią środkową drogi startowej. Jeżeli oznakowanie identyfikacji drogi startowej znajduje się wewnątrz oznakowania progu, odstęp ten powinien wynosić 22.5 m.</w:t>
      </w:r>
    </w:p>
    <w:p w14:paraId="03F3DA80"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Przesunięty</w:t>
      </w:r>
      <w:r w:rsidRPr="009E064B">
        <w:rPr>
          <w:rFonts w:cs="TimesNewRomanPSMT"/>
          <w:szCs w:val="20"/>
        </w:rPr>
        <w:t xml:space="preserve"> próg:</w:t>
      </w:r>
    </w:p>
    <w:p w14:paraId="3D120D75"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 xml:space="preserve">Jeżeli próg jest przesunięty lub część końcowa drogi startowej nie jest </w:t>
      </w:r>
      <w:r w:rsidRPr="009E064B">
        <w:rPr>
          <w:rFonts w:cs="TimesNewRomanPSMT"/>
          <w:szCs w:val="20"/>
        </w:rPr>
        <w:t>prostopadła</w:t>
      </w:r>
      <w:r w:rsidRPr="009E064B">
        <w:rPr>
          <w:rFonts w:cs="TimesNewRomanPS-ItalicMT"/>
          <w:iCs/>
          <w:szCs w:val="20"/>
        </w:rPr>
        <w:t xml:space="preserve"> do jej linii środkowej, do oznakowania progu należy dodać pas poprzeczny, jak przedstawiono na Rysunku L-3(B).</w:t>
      </w:r>
    </w:p>
    <w:p w14:paraId="789B1AB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Szerokość pasa poprzecznego nie powinna być mniejsza niż 1.80 m.</w:t>
      </w:r>
    </w:p>
    <w:p w14:paraId="715DD1AC" w14:textId="6016D876"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 xml:space="preserve">Jeżeli próg drogi startowej jest przesunięty na stałe, wówczas na części drogi startowej przed przesuniętym progiem powinny być umieszczone strzałki, zgodnie z Rysunkiem </w:t>
      </w:r>
      <w:r w:rsidR="002B2B37">
        <w:rPr>
          <w:rFonts w:cs="TimesNewRomanPSMT"/>
          <w:szCs w:val="20"/>
        </w:rPr>
        <w:br/>
      </w:r>
      <w:r w:rsidRPr="009E064B">
        <w:rPr>
          <w:rFonts w:cs="TimesNewRomanPSMT"/>
          <w:szCs w:val="20"/>
        </w:rPr>
        <w:t>L-3(B).</w:t>
      </w:r>
    </w:p>
    <w:p w14:paraId="3741ADF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(4) </w:t>
      </w:r>
      <w:r w:rsidRPr="009E064B">
        <w:rPr>
          <w:rFonts w:cs="Times New Roman"/>
          <w:szCs w:val="20"/>
        </w:rPr>
        <w:tab/>
      </w:r>
      <w:r w:rsidRPr="009E064B">
        <w:rPr>
          <w:rFonts w:cs="TimesNewRomanPSMT"/>
          <w:szCs w:val="20"/>
        </w:rPr>
        <w:t>Jeżeli próg drogi startowej jest przesunięty tymczasowo, wówczas próg powinien być oznaczony zgodnie z Rysunkiem L-3(A) lub L-3(B), i wszystkie znaki znajdujące się przed przesuniętym progiem powinny być zasłonięte z wyjątkiem oznakowania linii środkowej drogi startowej, które mają być zamienione na strzałki.</w:t>
      </w:r>
    </w:p>
    <w:p w14:paraId="6DBCC283" w14:textId="353B8045" w:rsidR="00C36D76" w:rsidRPr="009E064B" w:rsidRDefault="000C7D6C" w:rsidP="00B06A9A">
      <w:pPr>
        <w:rPr>
          <w:rFonts w:cs="TimesNewRomanPS-BoldMT"/>
          <w:bCs/>
          <w:iCs/>
          <w:szCs w:val="20"/>
        </w:rPr>
      </w:pPr>
      <w:r w:rsidRPr="009E064B">
        <w:rPr>
          <w:noProof/>
          <w:lang w:eastAsia="pl-PL"/>
        </w:rPr>
        <w:drawing>
          <wp:inline distT="0" distB="0" distL="0" distR="0" wp14:anchorId="32AAB9E0" wp14:editId="5D4A63D0">
            <wp:extent cx="5760720" cy="4834373"/>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4834373"/>
                    </a:xfrm>
                    <a:prstGeom prst="rect">
                      <a:avLst/>
                    </a:prstGeom>
                    <a:noFill/>
                    <a:ln>
                      <a:noFill/>
                    </a:ln>
                  </pic:spPr>
                </pic:pic>
              </a:graphicData>
            </a:graphic>
          </wp:inline>
        </w:drawing>
      </w:r>
    </w:p>
    <w:p w14:paraId="7D7F023D" w14:textId="77777777" w:rsidR="00C36D76" w:rsidRPr="005669D1" w:rsidRDefault="00C36D76" w:rsidP="00B06A9A">
      <w:pPr>
        <w:jc w:val="center"/>
        <w:rPr>
          <w:rFonts w:cs="TimesNewRomanPS-BoldMT"/>
          <w:b/>
          <w:bCs/>
          <w:sz w:val="20"/>
          <w:szCs w:val="20"/>
        </w:rPr>
      </w:pPr>
      <w:r w:rsidRPr="005669D1">
        <w:rPr>
          <w:rFonts w:cs="TimesNewRomanPS-BoldMT"/>
          <w:b/>
          <w:bCs/>
          <w:sz w:val="20"/>
          <w:szCs w:val="20"/>
        </w:rPr>
        <w:t>Rysunek L-3.  Oznakowanie przesuniętego progu</w:t>
      </w:r>
    </w:p>
    <w:p w14:paraId="0C85D8AC" w14:textId="65AA49C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0DD4FB4" w14:textId="77777777" w:rsidR="00A73874" w:rsidRPr="009E064B" w:rsidRDefault="00A73874" w:rsidP="00A73874">
      <w:pPr>
        <w:pStyle w:val="Tekstpodstawowy"/>
        <w:spacing w:after="0"/>
        <w:ind w:left="23" w:hanging="23"/>
        <w:rPr>
          <w:rFonts w:asciiTheme="minorHAnsi" w:hAnsiTheme="minorHAnsi" w:cstheme="minorHAnsi"/>
          <w:sz w:val="18"/>
          <w:szCs w:val="16"/>
        </w:rPr>
      </w:pPr>
    </w:p>
    <w:p w14:paraId="05D5F15D" w14:textId="63072FC5" w:rsidR="00454C4B" w:rsidRPr="009E064B" w:rsidRDefault="00454C4B" w:rsidP="00133B99">
      <w:pPr>
        <w:pStyle w:val="Nagwek6"/>
      </w:pPr>
      <w:bookmarkStart w:id="1357" w:name="_Toc401059005"/>
      <w:bookmarkStart w:id="1358" w:name="_Toc482886872"/>
      <w:bookmarkStart w:id="1359" w:name="_Toc12533137"/>
      <w:r w:rsidRPr="009E064B">
        <w:t xml:space="preserve">GM1 ADR-DSN.L.535 </w:t>
      </w:r>
      <w:r w:rsidR="00A73874" w:rsidRPr="009E064B">
        <w:t xml:space="preserve">    </w:t>
      </w:r>
      <w:r w:rsidRPr="009E064B">
        <w:t>Oznakowanie progu drogi startowej</w:t>
      </w:r>
      <w:bookmarkEnd w:id="1357"/>
      <w:bookmarkEnd w:id="1358"/>
      <w:bookmarkEnd w:id="1359"/>
    </w:p>
    <w:p w14:paraId="2FB0A38D" w14:textId="5EED0AD6"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B993D12" w14:textId="77777777" w:rsidR="00454C4B" w:rsidRPr="009E064B" w:rsidRDefault="00454C4B" w:rsidP="00B06A9A">
      <w:pPr>
        <w:autoSpaceDE w:val="0"/>
        <w:autoSpaceDN w:val="0"/>
        <w:adjustRightInd w:val="0"/>
        <w:rPr>
          <w:rFonts w:cs="TimesNewRomanPS-BoldItalicMT"/>
          <w:bCs/>
          <w:iCs/>
          <w:szCs w:val="20"/>
        </w:rPr>
      </w:pPr>
      <w:r w:rsidRPr="009E064B">
        <w:rPr>
          <w:rFonts w:cs="TimesNewRomanPS-BoldItalicMT"/>
          <w:bCs/>
          <w:iCs/>
          <w:szCs w:val="20"/>
        </w:rPr>
        <w:t>Celowo pozostawiono puste.</w:t>
      </w:r>
    </w:p>
    <w:p w14:paraId="0D14F775" w14:textId="41FEBFAB" w:rsidR="00C36D76" w:rsidRPr="009E064B" w:rsidRDefault="00C36D76" w:rsidP="00B06A9A">
      <w:pPr>
        <w:pStyle w:val="Nagwek4"/>
        <w:rPr>
          <w:color w:val="auto"/>
        </w:rPr>
      </w:pPr>
      <w:bookmarkStart w:id="1360" w:name="_Toc482886649"/>
      <w:bookmarkStart w:id="1361" w:name="_Toc12533138"/>
      <w:r w:rsidRPr="009E064B">
        <w:rPr>
          <w:color w:val="auto"/>
        </w:rPr>
        <w:t>CS ADR-DSN.L.540</w:t>
      </w:r>
      <w:r w:rsidR="00A73874" w:rsidRPr="009E064B">
        <w:rPr>
          <w:color w:val="auto"/>
        </w:rPr>
        <w:t xml:space="preserve">     </w:t>
      </w:r>
      <w:r w:rsidRPr="009E064B">
        <w:rPr>
          <w:color w:val="auto"/>
        </w:rPr>
        <w:t>Oznakowanie punktu celowania</w:t>
      </w:r>
      <w:bookmarkEnd w:id="1360"/>
      <w:bookmarkEnd w:id="1361"/>
    </w:p>
    <w:p w14:paraId="13D1D356" w14:textId="0C583335"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865F062" w14:textId="7CD0B7FE" w:rsidR="00C36D76" w:rsidRPr="009E064B" w:rsidRDefault="00C36D76" w:rsidP="00A73874">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Zastosowanie:</w:t>
      </w:r>
    </w:p>
    <w:p w14:paraId="79C3D83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Oznakowanie </w:t>
      </w:r>
      <w:r w:rsidRPr="009E064B">
        <w:rPr>
          <w:rFonts w:cs="TimesNewRomanPS-ItalicMT"/>
          <w:iCs/>
          <w:szCs w:val="20"/>
        </w:rPr>
        <w:t xml:space="preserve">poziome </w:t>
      </w:r>
      <w:r w:rsidRPr="009E064B">
        <w:rPr>
          <w:rFonts w:cs="TimesNewRomanPSMT"/>
          <w:szCs w:val="20"/>
        </w:rPr>
        <w:t>punktu celowania powinno być umieszczone z obydwu końców przyrządowej drogi startowej z nawierzchnią sztuczną, o cyfrze kodu 2, 3 lub 4.</w:t>
      </w:r>
    </w:p>
    <w:p w14:paraId="694B60B8" w14:textId="77777777" w:rsidR="00C36D76" w:rsidRPr="009E064B" w:rsidRDefault="00C36D76"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 New Roman"/>
          <w:szCs w:val="20"/>
        </w:rPr>
        <w:t xml:space="preserve">(2) </w:t>
      </w:r>
      <w:r w:rsidRPr="009E064B">
        <w:rPr>
          <w:rFonts w:cs="Times New Roman"/>
          <w:szCs w:val="20"/>
        </w:rPr>
        <w:tab/>
      </w:r>
      <w:r w:rsidRPr="009E064B">
        <w:rPr>
          <w:rFonts w:eastAsia="Times New Roman,Italic" w:cs="Times New Roman,Italic"/>
          <w:iCs/>
          <w:szCs w:val="20"/>
        </w:rPr>
        <w:t>W przypadku, jeżeli pożądane jest dodatkowe oznakowanie punktu celowania oznakowanie poziome punktu celowania powinno być umieszczone z obydwu końców:</w:t>
      </w:r>
    </w:p>
    <w:p w14:paraId="0BCA547B" w14:textId="77777777" w:rsidR="00C36D76" w:rsidRPr="009E064B" w:rsidRDefault="00C36D76" w:rsidP="00B06A9A">
      <w:pPr>
        <w:tabs>
          <w:tab w:val="left" w:pos="1701"/>
        </w:tabs>
        <w:autoSpaceDE w:val="0"/>
        <w:autoSpaceDN w:val="0"/>
        <w:adjustRightInd w:val="0"/>
        <w:ind w:left="1701" w:hanging="567"/>
        <w:rPr>
          <w:rFonts w:eastAsia="Times New Roman,Italic" w:cs="Times New Roman,Italic"/>
          <w:iCs/>
          <w:szCs w:val="20"/>
        </w:rPr>
      </w:pPr>
      <w:r w:rsidRPr="009E064B">
        <w:rPr>
          <w:rFonts w:cs="Times New Roman"/>
          <w:szCs w:val="20"/>
        </w:rPr>
        <w:t xml:space="preserve">(i) </w:t>
      </w:r>
      <w:r w:rsidRPr="009E064B">
        <w:rPr>
          <w:rFonts w:cs="Times New Roman"/>
          <w:szCs w:val="20"/>
        </w:rPr>
        <w:tab/>
      </w:r>
      <w:r w:rsidRPr="009E064B">
        <w:rPr>
          <w:rFonts w:eastAsia="Times New Roman,Italic" w:cs="Times New Roman,Italic"/>
          <w:iCs/>
          <w:szCs w:val="20"/>
        </w:rPr>
        <w:t>nieprzyrządowej drogi startowej, o nawierzchni sztucznej, o cyfrze kodu 3 lub 4;</w:t>
      </w:r>
    </w:p>
    <w:p w14:paraId="6C1799CB" w14:textId="77777777" w:rsidR="00C36D76" w:rsidRPr="009E064B" w:rsidRDefault="00C36D76" w:rsidP="00B06A9A">
      <w:pPr>
        <w:tabs>
          <w:tab w:val="left" w:pos="1701"/>
        </w:tabs>
        <w:autoSpaceDE w:val="0"/>
        <w:autoSpaceDN w:val="0"/>
        <w:adjustRightInd w:val="0"/>
        <w:spacing w:after="0"/>
        <w:ind w:left="1701" w:hanging="567"/>
        <w:rPr>
          <w:rFonts w:eastAsia="Times New Roman,Italic" w:cs="Times New Roman,Italic"/>
          <w:iCs/>
          <w:szCs w:val="20"/>
        </w:rPr>
      </w:pPr>
      <w:r w:rsidRPr="009E064B">
        <w:rPr>
          <w:rFonts w:cs="Times New Roman"/>
          <w:szCs w:val="20"/>
        </w:rPr>
        <w:t xml:space="preserve">(ii) </w:t>
      </w:r>
      <w:r w:rsidRPr="009E064B">
        <w:rPr>
          <w:rFonts w:cs="Times New Roman"/>
          <w:szCs w:val="20"/>
        </w:rPr>
        <w:tab/>
      </w:r>
      <w:r w:rsidRPr="009E064B">
        <w:rPr>
          <w:rFonts w:eastAsia="Times New Roman,Italic" w:cs="Times New Roman,Italic"/>
          <w:iCs/>
          <w:szCs w:val="20"/>
        </w:rPr>
        <w:t>przyrządowej drogi startowej, o nawierzchni sztucznej, o cyfrze kodu 1,</w:t>
      </w:r>
    </w:p>
    <w:p w14:paraId="6073F9E7"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rPr>
          <w:rFonts w:cs="TimesNewRomanPSMT"/>
          <w:szCs w:val="20"/>
        </w:rPr>
        <w:t>Charakterystyki: Oznakowanie punktu celowania powinno zaczynać się, nie bliżej od progu drogi startowej, niż w odległości wskazanej w odpowiedniej kolumnie Tabeli L-1, z wyjątkiem przypadku, gdy droga startowa wyposażona jest w system wzrokowego wskaźnika ścieżki podejścia (PAPI</w:t>
      </w:r>
      <w:r w:rsidRPr="009E064B">
        <w:rPr>
          <w:rStyle w:val="Odwoanieprzypisudolnego"/>
          <w:rFonts w:cs="TimesNewRomanPSMT"/>
          <w:szCs w:val="20"/>
        </w:rPr>
        <w:footnoteReference w:id="48"/>
      </w:r>
      <w:r w:rsidRPr="009E064B">
        <w:rPr>
          <w:rFonts w:cs="TimesNewRomanPSMT"/>
          <w:szCs w:val="20"/>
        </w:rPr>
        <w:t>), i początek oznakowania powinien pokrywać się z początkiem wzrokowej ścieżki schodzenia.</w:t>
      </w:r>
    </w:p>
    <w:p w14:paraId="5C47082E" w14:textId="549EA25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MT"/>
          <w:szCs w:val="20"/>
        </w:rPr>
        <w:t xml:space="preserve">Oznakowanie </w:t>
      </w:r>
      <w:r w:rsidRPr="009E064B">
        <w:rPr>
          <w:rFonts w:cs="TimesNewRomanPS-ItalicMT"/>
          <w:iCs/>
          <w:szCs w:val="20"/>
        </w:rPr>
        <w:t xml:space="preserve">poziome </w:t>
      </w:r>
      <w:r w:rsidRPr="009E064B">
        <w:rPr>
          <w:rFonts w:cs="TimesNewRomanPSMT"/>
          <w:szCs w:val="20"/>
        </w:rPr>
        <w:t>punktu celowania powinno składać się z dwóch dobrze widocznych pasów. Wymiary tych pasów i odległości poprzeczne pomiędzy ich wewnętrznymi krawędziami powinny być zgodne z wartościami podanymi w odpowiedniej kolumnie Tabeli L-1.</w:t>
      </w:r>
    </w:p>
    <w:p w14:paraId="2C11B0D1" w14:textId="77777777" w:rsidR="00C36D76" w:rsidRPr="009E064B" w:rsidRDefault="00C36D76" w:rsidP="00B06A9A">
      <w:pPr>
        <w:spacing w:after="0"/>
        <w:jc w:val="right"/>
        <w:rPr>
          <w:rFonts w:cs="TimesNewRomanPS-BoldMT"/>
          <w:bCs/>
          <w:szCs w:val="20"/>
        </w:rPr>
      </w:pPr>
    </w:p>
    <w:tbl>
      <w:tblPr>
        <w:tblW w:w="4789" w:type="pct"/>
        <w:tblInd w:w="3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bottom w:w="57" w:type="dxa"/>
        </w:tblCellMar>
        <w:tblLook w:val="01E0" w:firstRow="1" w:lastRow="1" w:firstColumn="1" w:lastColumn="1" w:noHBand="0" w:noVBand="0"/>
      </w:tblPr>
      <w:tblGrid>
        <w:gridCol w:w="2789"/>
        <w:gridCol w:w="1160"/>
        <w:gridCol w:w="1888"/>
        <w:gridCol w:w="1950"/>
        <w:gridCol w:w="1108"/>
      </w:tblGrid>
      <w:tr w:rsidR="00C36D76" w:rsidRPr="009E064B" w14:paraId="22B19023" w14:textId="77777777" w:rsidTr="00A73874">
        <w:trPr>
          <w:trHeight w:val="374"/>
        </w:trPr>
        <w:tc>
          <w:tcPr>
            <w:tcW w:w="1568" w:type="pct"/>
            <w:vMerge w:val="restart"/>
            <w:tcMar>
              <w:top w:w="28" w:type="dxa"/>
              <w:bottom w:w="28" w:type="dxa"/>
            </w:tcMar>
            <w:vAlign w:val="center"/>
          </w:tcPr>
          <w:p w14:paraId="3DB90F2D" w14:textId="77777777" w:rsidR="00C36D76" w:rsidRPr="009E064B" w:rsidRDefault="00C36D76" w:rsidP="001E7BDB">
            <w:pPr>
              <w:spacing w:before="40" w:after="40"/>
              <w:jc w:val="center"/>
              <w:rPr>
                <w:rFonts w:asciiTheme="minorHAnsi" w:hAnsiTheme="minorHAnsi" w:cstheme="minorHAnsi"/>
                <w:b/>
                <w:sz w:val="20"/>
                <w:szCs w:val="20"/>
              </w:rPr>
            </w:pPr>
            <w:r w:rsidRPr="009E064B">
              <w:rPr>
                <w:rFonts w:asciiTheme="minorHAnsi" w:hAnsiTheme="minorHAnsi" w:cstheme="minorHAnsi"/>
                <w:b/>
                <w:szCs w:val="20"/>
              </w:rPr>
              <w:t>Lokalizacja i wymiary</w:t>
            </w:r>
          </w:p>
        </w:tc>
        <w:tc>
          <w:tcPr>
            <w:tcW w:w="3432" w:type="pct"/>
            <w:gridSpan w:val="4"/>
            <w:tcMar>
              <w:top w:w="57" w:type="dxa"/>
              <w:bottom w:w="57" w:type="dxa"/>
            </w:tcMar>
            <w:vAlign w:val="center"/>
          </w:tcPr>
          <w:p w14:paraId="7F881599" w14:textId="77777777" w:rsidR="00C36D76" w:rsidRPr="009E064B" w:rsidRDefault="00C36D76" w:rsidP="001E7BDB">
            <w:pPr>
              <w:spacing w:before="40" w:after="40"/>
              <w:jc w:val="center"/>
              <w:rPr>
                <w:rFonts w:asciiTheme="minorHAnsi" w:hAnsiTheme="minorHAnsi" w:cstheme="minorHAnsi"/>
                <w:b/>
                <w:sz w:val="20"/>
                <w:szCs w:val="20"/>
              </w:rPr>
            </w:pPr>
            <w:r w:rsidRPr="009E064B">
              <w:rPr>
                <w:rFonts w:asciiTheme="minorHAnsi" w:hAnsiTheme="minorHAnsi" w:cstheme="minorHAnsi"/>
                <w:b/>
                <w:szCs w:val="20"/>
              </w:rPr>
              <w:t>Rozporządzalna długość lądowania</w:t>
            </w:r>
          </w:p>
        </w:tc>
      </w:tr>
      <w:tr w:rsidR="00C36D76" w:rsidRPr="009E064B" w14:paraId="56FD5F9E" w14:textId="77777777" w:rsidTr="00A73874">
        <w:tc>
          <w:tcPr>
            <w:tcW w:w="1568" w:type="pct"/>
            <w:vMerge/>
            <w:tcMar>
              <w:top w:w="57" w:type="dxa"/>
              <w:bottom w:w="57" w:type="dxa"/>
            </w:tcMar>
            <w:vAlign w:val="center"/>
          </w:tcPr>
          <w:p w14:paraId="10F34471" w14:textId="77777777" w:rsidR="00C36D76" w:rsidRPr="009E064B" w:rsidRDefault="00C36D76" w:rsidP="001E7BDB">
            <w:pPr>
              <w:spacing w:before="40" w:after="40"/>
              <w:jc w:val="center"/>
              <w:rPr>
                <w:rFonts w:asciiTheme="minorHAnsi" w:hAnsiTheme="minorHAnsi" w:cstheme="minorHAnsi"/>
                <w:b/>
                <w:sz w:val="20"/>
                <w:szCs w:val="20"/>
              </w:rPr>
            </w:pPr>
          </w:p>
        </w:tc>
        <w:tc>
          <w:tcPr>
            <w:tcW w:w="652" w:type="pct"/>
            <w:tcMar>
              <w:top w:w="57" w:type="dxa"/>
              <w:bottom w:w="57" w:type="dxa"/>
            </w:tcMar>
            <w:vAlign w:val="center"/>
          </w:tcPr>
          <w:p w14:paraId="5F955F97" w14:textId="77777777" w:rsidR="00C36D76" w:rsidRPr="009E064B" w:rsidRDefault="00C36D76" w:rsidP="001E7BDB">
            <w:pPr>
              <w:spacing w:before="40" w:after="40"/>
              <w:jc w:val="center"/>
              <w:rPr>
                <w:rFonts w:asciiTheme="minorHAnsi" w:hAnsiTheme="minorHAnsi" w:cstheme="minorHAnsi"/>
                <w:sz w:val="20"/>
                <w:szCs w:val="20"/>
              </w:rPr>
            </w:pPr>
            <w:r w:rsidRPr="009E064B">
              <w:rPr>
                <w:rFonts w:asciiTheme="minorHAnsi" w:hAnsiTheme="minorHAnsi" w:cstheme="minorHAnsi"/>
                <w:sz w:val="20"/>
                <w:szCs w:val="20"/>
              </w:rPr>
              <w:t xml:space="preserve">Mniej niż </w:t>
            </w:r>
            <w:r w:rsidRPr="009E064B">
              <w:rPr>
                <w:rFonts w:asciiTheme="minorHAnsi" w:hAnsiTheme="minorHAnsi" w:cstheme="minorHAnsi"/>
                <w:sz w:val="20"/>
                <w:szCs w:val="20"/>
              </w:rPr>
              <w:br/>
            </w:r>
            <w:smartTag w:uri="urn:schemas-microsoft-com:office:smarttags" w:element="metricconverter">
              <w:smartTagPr>
                <w:attr w:name="ProductID" w:val="800 m"/>
              </w:smartTagPr>
              <w:r w:rsidRPr="009E064B">
                <w:rPr>
                  <w:rFonts w:asciiTheme="minorHAnsi" w:hAnsiTheme="minorHAnsi" w:cstheme="minorHAnsi"/>
                  <w:sz w:val="20"/>
                  <w:szCs w:val="20"/>
                </w:rPr>
                <w:t>800 m</w:t>
              </w:r>
            </w:smartTag>
          </w:p>
        </w:tc>
        <w:tc>
          <w:tcPr>
            <w:tcW w:w="1061" w:type="pct"/>
            <w:tcMar>
              <w:top w:w="57" w:type="dxa"/>
              <w:bottom w:w="57" w:type="dxa"/>
            </w:tcMar>
            <w:vAlign w:val="center"/>
          </w:tcPr>
          <w:p w14:paraId="00811B12" w14:textId="77777777" w:rsidR="00C36D76" w:rsidRPr="009E064B" w:rsidRDefault="00C36D76" w:rsidP="001E7BDB">
            <w:pPr>
              <w:spacing w:before="40" w:after="40"/>
              <w:ind w:left="-108" w:right="-109"/>
              <w:jc w:val="center"/>
              <w:rPr>
                <w:rFonts w:asciiTheme="minorHAnsi" w:hAnsiTheme="minorHAnsi" w:cstheme="minorHAnsi"/>
                <w:sz w:val="20"/>
                <w:szCs w:val="20"/>
              </w:rPr>
            </w:pPr>
            <w:r w:rsidRPr="009E064B">
              <w:rPr>
                <w:rFonts w:asciiTheme="minorHAnsi" w:hAnsiTheme="minorHAnsi" w:cstheme="minorHAnsi"/>
                <w:sz w:val="20"/>
                <w:szCs w:val="20"/>
              </w:rPr>
              <w:t xml:space="preserve">od </w:t>
            </w:r>
            <w:smartTag w:uri="urn:schemas-microsoft-com:office:smarttags" w:element="metricconverter">
              <w:smartTagPr>
                <w:attr w:name="ProductID" w:val="800 m"/>
              </w:smartTagPr>
              <w:r w:rsidRPr="009E064B">
                <w:rPr>
                  <w:rFonts w:asciiTheme="minorHAnsi" w:hAnsiTheme="minorHAnsi" w:cstheme="minorHAnsi"/>
                  <w:sz w:val="20"/>
                  <w:szCs w:val="20"/>
                </w:rPr>
                <w:t>800 m</w:t>
              </w:r>
            </w:smartTag>
            <w:r w:rsidRPr="009E064B">
              <w:rPr>
                <w:rFonts w:asciiTheme="minorHAnsi" w:hAnsiTheme="minorHAnsi" w:cstheme="minorHAnsi"/>
                <w:sz w:val="20"/>
                <w:szCs w:val="20"/>
              </w:rPr>
              <w:t xml:space="preserve"> do 1200 m</w:t>
            </w:r>
            <w:r w:rsidRPr="009E064B">
              <w:rPr>
                <w:rFonts w:asciiTheme="minorHAnsi" w:hAnsiTheme="minorHAnsi" w:cstheme="minorHAnsi"/>
                <w:sz w:val="20"/>
                <w:szCs w:val="20"/>
              </w:rPr>
              <w:br/>
              <w:t>(bez wartości 1200 m)</w:t>
            </w:r>
          </w:p>
        </w:tc>
        <w:tc>
          <w:tcPr>
            <w:tcW w:w="1096" w:type="pct"/>
            <w:tcMar>
              <w:top w:w="57" w:type="dxa"/>
              <w:bottom w:w="57" w:type="dxa"/>
            </w:tcMar>
            <w:vAlign w:val="center"/>
          </w:tcPr>
          <w:p w14:paraId="73F834A3" w14:textId="77777777" w:rsidR="00C36D76" w:rsidRPr="009E064B" w:rsidRDefault="00C36D76" w:rsidP="001E7BDB">
            <w:pPr>
              <w:spacing w:before="40" w:after="40"/>
              <w:ind w:left="-108" w:right="-107"/>
              <w:jc w:val="center"/>
              <w:rPr>
                <w:rFonts w:asciiTheme="minorHAnsi" w:hAnsiTheme="minorHAnsi" w:cstheme="minorHAnsi"/>
                <w:sz w:val="20"/>
                <w:szCs w:val="20"/>
              </w:rPr>
            </w:pPr>
            <w:r w:rsidRPr="009E064B">
              <w:rPr>
                <w:rFonts w:asciiTheme="minorHAnsi" w:hAnsiTheme="minorHAnsi" w:cstheme="minorHAnsi"/>
                <w:sz w:val="20"/>
                <w:szCs w:val="20"/>
              </w:rPr>
              <w:t>od 1200 m do 2400 m</w:t>
            </w:r>
          </w:p>
          <w:p w14:paraId="14084CC7" w14:textId="77777777" w:rsidR="00C36D76" w:rsidRPr="009E064B" w:rsidRDefault="00C36D76" w:rsidP="001E7BDB">
            <w:pPr>
              <w:spacing w:before="40" w:after="40"/>
              <w:ind w:left="-108" w:right="-107"/>
              <w:jc w:val="center"/>
              <w:rPr>
                <w:rFonts w:asciiTheme="minorHAnsi" w:hAnsiTheme="minorHAnsi" w:cstheme="minorHAnsi"/>
                <w:sz w:val="20"/>
                <w:szCs w:val="20"/>
              </w:rPr>
            </w:pPr>
            <w:r w:rsidRPr="009E064B">
              <w:rPr>
                <w:rFonts w:asciiTheme="minorHAnsi" w:hAnsiTheme="minorHAnsi" w:cstheme="minorHAnsi"/>
                <w:sz w:val="20"/>
                <w:szCs w:val="20"/>
              </w:rPr>
              <w:t>(bez wartości 2400 m)</w:t>
            </w:r>
          </w:p>
        </w:tc>
        <w:tc>
          <w:tcPr>
            <w:tcW w:w="622" w:type="pct"/>
            <w:tcMar>
              <w:top w:w="57" w:type="dxa"/>
              <w:bottom w:w="57" w:type="dxa"/>
            </w:tcMar>
            <w:vAlign w:val="center"/>
          </w:tcPr>
          <w:p w14:paraId="1D761B2D" w14:textId="77777777" w:rsidR="00C36D76" w:rsidRPr="009E064B" w:rsidRDefault="00C36D76" w:rsidP="001E7BDB">
            <w:pPr>
              <w:spacing w:before="40" w:after="40"/>
              <w:ind w:left="-73"/>
              <w:jc w:val="center"/>
              <w:rPr>
                <w:rFonts w:asciiTheme="minorHAnsi" w:hAnsiTheme="minorHAnsi" w:cstheme="minorHAnsi"/>
                <w:sz w:val="20"/>
                <w:szCs w:val="20"/>
              </w:rPr>
            </w:pPr>
            <w:r w:rsidRPr="009E064B">
              <w:rPr>
                <w:rFonts w:asciiTheme="minorHAnsi" w:hAnsiTheme="minorHAnsi" w:cstheme="minorHAnsi"/>
                <w:sz w:val="20"/>
                <w:szCs w:val="20"/>
              </w:rPr>
              <w:t>2400 m</w:t>
            </w:r>
            <w:r w:rsidRPr="009E064B">
              <w:rPr>
                <w:rFonts w:asciiTheme="minorHAnsi" w:hAnsiTheme="minorHAnsi" w:cstheme="minorHAnsi"/>
                <w:sz w:val="20"/>
                <w:szCs w:val="20"/>
              </w:rPr>
              <w:br/>
              <w:t>i więcej</w:t>
            </w:r>
          </w:p>
        </w:tc>
      </w:tr>
      <w:tr w:rsidR="00C36D76" w:rsidRPr="009E064B" w14:paraId="5B2957F2" w14:textId="77777777" w:rsidTr="00A73874">
        <w:tc>
          <w:tcPr>
            <w:tcW w:w="1568" w:type="pct"/>
            <w:tcMar>
              <w:top w:w="28" w:type="dxa"/>
              <w:bottom w:w="28" w:type="dxa"/>
            </w:tcMar>
            <w:vAlign w:val="center"/>
          </w:tcPr>
          <w:p w14:paraId="514A1B2C" w14:textId="77777777" w:rsidR="00C36D76" w:rsidRPr="009E064B" w:rsidRDefault="00C36D76" w:rsidP="00B06A9A">
            <w:pPr>
              <w:spacing w:after="0"/>
              <w:jc w:val="center"/>
              <w:rPr>
                <w:rFonts w:asciiTheme="minorHAnsi" w:hAnsiTheme="minorHAnsi" w:cstheme="minorHAnsi"/>
                <w:sz w:val="18"/>
                <w:szCs w:val="20"/>
              </w:rPr>
            </w:pPr>
            <w:r w:rsidRPr="009E064B">
              <w:rPr>
                <w:rFonts w:asciiTheme="minorHAnsi" w:hAnsiTheme="minorHAnsi" w:cstheme="minorHAnsi"/>
                <w:sz w:val="18"/>
                <w:szCs w:val="20"/>
              </w:rPr>
              <w:t>(1)</w:t>
            </w:r>
          </w:p>
        </w:tc>
        <w:tc>
          <w:tcPr>
            <w:tcW w:w="652" w:type="pct"/>
            <w:tcMar>
              <w:top w:w="0" w:type="dxa"/>
              <w:bottom w:w="0" w:type="dxa"/>
            </w:tcMar>
            <w:vAlign w:val="center"/>
          </w:tcPr>
          <w:p w14:paraId="23013A9B" w14:textId="77777777" w:rsidR="00C36D76" w:rsidRPr="009E064B" w:rsidRDefault="00C36D76" w:rsidP="00B06A9A">
            <w:pPr>
              <w:spacing w:after="0"/>
              <w:jc w:val="center"/>
              <w:rPr>
                <w:rFonts w:asciiTheme="minorHAnsi" w:hAnsiTheme="minorHAnsi" w:cstheme="minorHAnsi"/>
                <w:sz w:val="18"/>
                <w:szCs w:val="20"/>
              </w:rPr>
            </w:pPr>
            <w:r w:rsidRPr="009E064B">
              <w:rPr>
                <w:rFonts w:asciiTheme="minorHAnsi" w:hAnsiTheme="minorHAnsi" w:cstheme="minorHAnsi"/>
                <w:sz w:val="18"/>
                <w:szCs w:val="20"/>
              </w:rPr>
              <w:t>(2)</w:t>
            </w:r>
          </w:p>
        </w:tc>
        <w:tc>
          <w:tcPr>
            <w:tcW w:w="1061" w:type="pct"/>
            <w:tcMar>
              <w:top w:w="28" w:type="dxa"/>
              <w:bottom w:w="28" w:type="dxa"/>
            </w:tcMar>
            <w:vAlign w:val="center"/>
          </w:tcPr>
          <w:p w14:paraId="01321B10" w14:textId="77777777" w:rsidR="00C36D76" w:rsidRPr="009E064B" w:rsidRDefault="00C36D76" w:rsidP="00B06A9A">
            <w:pPr>
              <w:spacing w:after="0"/>
              <w:jc w:val="center"/>
              <w:rPr>
                <w:rFonts w:asciiTheme="minorHAnsi" w:hAnsiTheme="minorHAnsi" w:cstheme="minorHAnsi"/>
                <w:sz w:val="18"/>
                <w:szCs w:val="20"/>
              </w:rPr>
            </w:pPr>
            <w:r w:rsidRPr="009E064B">
              <w:rPr>
                <w:rFonts w:asciiTheme="minorHAnsi" w:hAnsiTheme="minorHAnsi" w:cstheme="minorHAnsi"/>
                <w:sz w:val="18"/>
                <w:szCs w:val="20"/>
              </w:rPr>
              <w:t>(3)</w:t>
            </w:r>
          </w:p>
        </w:tc>
        <w:tc>
          <w:tcPr>
            <w:tcW w:w="1096" w:type="pct"/>
            <w:tcMar>
              <w:top w:w="28" w:type="dxa"/>
              <w:bottom w:w="28" w:type="dxa"/>
            </w:tcMar>
            <w:vAlign w:val="center"/>
          </w:tcPr>
          <w:p w14:paraId="7A44E49D" w14:textId="77777777" w:rsidR="00C36D76" w:rsidRPr="009E064B" w:rsidRDefault="00C36D76" w:rsidP="00B06A9A">
            <w:pPr>
              <w:spacing w:after="0"/>
              <w:jc w:val="center"/>
              <w:rPr>
                <w:rFonts w:asciiTheme="minorHAnsi" w:hAnsiTheme="minorHAnsi" w:cstheme="minorHAnsi"/>
                <w:sz w:val="18"/>
                <w:szCs w:val="20"/>
              </w:rPr>
            </w:pPr>
            <w:r w:rsidRPr="009E064B">
              <w:rPr>
                <w:rFonts w:asciiTheme="minorHAnsi" w:hAnsiTheme="minorHAnsi" w:cstheme="minorHAnsi"/>
                <w:sz w:val="18"/>
                <w:szCs w:val="20"/>
              </w:rPr>
              <w:t>(4)</w:t>
            </w:r>
          </w:p>
        </w:tc>
        <w:tc>
          <w:tcPr>
            <w:tcW w:w="622" w:type="pct"/>
            <w:tcMar>
              <w:top w:w="28" w:type="dxa"/>
              <w:bottom w:w="28" w:type="dxa"/>
            </w:tcMar>
            <w:vAlign w:val="center"/>
          </w:tcPr>
          <w:p w14:paraId="400356E5" w14:textId="77777777" w:rsidR="00C36D76" w:rsidRPr="009E064B" w:rsidRDefault="00C36D76" w:rsidP="00B06A9A">
            <w:pPr>
              <w:spacing w:after="0"/>
              <w:jc w:val="center"/>
              <w:rPr>
                <w:rFonts w:asciiTheme="minorHAnsi" w:hAnsiTheme="minorHAnsi" w:cstheme="minorHAnsi"/>
                <w:sz w:val="18"/>
                <w:szCs w:val="20"/>
              </w:rPr>
            </w:pPr>
            <w:r w:rsidRPr="009E064B">
              <w:rPr>
                <w:rFonts w:asciiTheme="minorHAnsi" w:hAnsiTheme="minorHAnsi" w:cstheme="minorHAnsi"/>
                <w:sz w:val="18"/>
                <w:szCs w:val="20"/>
              </w:rPr>
              <w:t>(5)</w:t>
            </w:r>
          </w:p>
        </w:tc>
      </w:tr>
      <w:tr w:rsidR="00C36D76" w:rsidRPr="009E064B" w14:paraId="0AE486AF" w14:textId="77777777" w:rsidTr="00A73874">
        <w:trPr>
          <w:trHeight w:val="313"/>
        </w:trPr>
        <w:tc>
          <w:tcPr>
            <w:tcW w:w="1568" w:type="pct"/>
            <w:tcMar>
              <w:top w:w="57" w:type="dxa"/>
              <w:bottom w:w="57" w:type="dxa"/>
            </w:tcMar>
            <w:vAlign w:val="center"/>
          </w:tcPr>
          <w:p w14:paraId="5C1FC710" w14:textId="77777777" w:rsidR="00C36D76" w:rsidRPr="009E064B" w:rsidRDefault="00C36D76" w:rsidP="001E7BDB">
            <w:pPr>
              <w:spacing w:before="40" w:after="40"/>
              <w:jc w:val="left"/>
              <w:rPr>
                <w:rFonts w:asciiTheme="minorHAnsi" w:hAnsiTheme="minorHAnsi" w:cstheme="minorHAnsi"/>
                <w:sz w:val="20"/>
                <w:szCs w:val="20"/>
              </w:rPr>
            </w:pPr>
            <w:r w:rsidRPr="009E064B">
              <w:rPr>
                <w:rFonts w:asciiTheme="minorHAnsi" w:hAnsiTheme="minorHAnsi" w:cstheme="minorHAnsi"/>
                <w:sz w:val="20"/>
                <w:szCs w:val="20"/>
              </w:rPr>
              <w:t xml:space="preserve">Odległość od progu do początku oznakowania </w:t>
            </w:r>
            <w:r w:rsidRPr="009E064B">
              <w:rPr>
                <w:rFonts w:asciiTheme="minorHAnsi" w:hAnsiTheme="minorHAnsi" w:cstheme="minorHAnsi"/>
                <w:sz w:val="20"/>
                <w:szCs w:val="20"/>
                <w:vertAlign w:val="superscript"/>
              </w:rPr>
              <w:t>a</w:t>
            </w:r>
          </w:p>
        </w:tc>
        <w:tc>
          <w:tcPr>
            <w:tcW w:w="652" w:type="pct"/>
            <w:tcMar>
              <w:top w:w="57" w:type="dxa"/>
              <w:bottom w:w="57" w:type="dxa"/>
            </w:tcMar>
            <w:vAlign w:val="center"/>
          </w:tcPr>
          <w:p w14:paraId="4A249D15"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150 m"/>
              </w:smartTagPr>
              <w:r w:rsidRPr="009E064B">
                <w:rPr>
                  <w:rFonts w:asciiTheme="minorHAnsi" w:hAnsiTheme="minorHAnsi" w:cstheme="minorHAnsi"/>
                  <w:sz w:val="20"/>
                  <w:szCs w:val="20"/>
                </w:rPr>
                <w:t>150 m</w:t>
              </w:r>
            </w:smartTag>
          </w:p>
        </w:tc>
        <w:tc>
          <w:tcPr>
            <w:tcW w:w="1061" w:type="pct"/>
            <w:tcMar>
              <w:top w:w="57" w:type="dxa"/>
              <w:bottom w:w="57" w:type="dxa"/>
            </w:tcMar>
            <w:vAlign w:val="center"/>
          </w:tcPr>
          <w:p w14:paraId="79AB1A86"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250 m"/>
              </w:smartTagPr>
              <w:r w:rsidRPr="009E064B">
                <w:rPr>
                  <w:rFonts w:asciiTheme="minorHAnsi" w:hAnsiTheme="minorHAnsi" w:cstheme="minorHAnsi"/>
                  <w:sz w:val="20"/>
                  <w:szCs w:val="20"/>
                </w:rPr>
                <w:t>250 m</w:t>
              </w:r>
            </w:smartTag>
          </w:p>
        </w:tc>
        <w:tc>
          <w:tcPr>
            <w:tcW w:w="1096" w:type="pct"/>
            <w:tcMar>
              <w:top w:w="57" w:type="dxa"/>
              <w:bottom w:w="57" w:type="dxa"/>
            </w:tcMar>
            <w:vAlign w:val="center"/>
          </w:tcPr>
          <w:p w14:paraId="34257619"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300 m"/>
              </w:smartTagPr>
              <w:r w:rsidRPr="009E064B">
                <w:rPr>
                  <w:rFonts w:asciiTheme="minorHAnsi" w:hAnsiTheme="minorHAnsi" w:cstheme="minorHAnsi"/>
                  <w:sz w:val="20"/>
                  <w:szCs w:val="20"/>
                </w:rPr>
                <w:t>300 m</w:t>
              </w:r>
            </w:smartTag>
          </w:p>
        </w:tc>
        <w:tc>
          <w:tcPr>
            <w:tcW w:w="622" w:type="pct"/>
            <w:tcMar>
              <w:top w:w="57" w:type="dxa"/>
              <w:bottom w:w="57" w:type="dxa"/>
            </w:tcMar>
            <w:vAlign w:val="center"/>
          </w:tcPr>
          <w:p w14:paraId="1C307AD2"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400 m"/>
              </w:smartTagPr>
              <w:r w:rsidRPr="009E064B">
                <w:rPr>
                  <w:rFonts w:asciiTheme="minorHAnsi" w:hAnsiTheme="minorHAnsi" w:cstheme="minorHAnsi"/>
                  <w:sz w:val="20"/>
                  <w:szCs w:val="20"/>
                </w:rPr>
                <w:t>400 m</w:t>
              </w:r>
            </w:smartTag>
          </w:p>
        </w:tc>
      </w:tr>
      <w:tr w:rsidR="00C36D76" w:rsidRPr="009E064B" w14:paraId="21DCCAFA" w14:textId="77777777" w:rsidTr="00A73874">
        <w:trPr>
          <w:trHeight w:val="313"/>
        </w:trPr>
        <w:tc>
          <w:tcPr>
            <w:tcW w:w="1568" w:type="pct"/>
            <w:tcMar>
              <w:top w:w="57" w:type="dxa"/>
              <w:bottom w:w="57" w:type="dxa"/>
            </w:tcMar>
            <w:vAlign w:val="center"/>
          </w:tcPr>
          <w:p w14:paraId="7C0FAA7B" w14:textId="77777777" w:rsidR="00C36D76" w:rsidRPr="009E064B" w:rsidRDefault="00C36D76" w:rsidP="001E7BDB">
            <w:pPr>
              <w:spacing w:before="40" w:after="40"/>
              <w:jc w:val="left"/>
              <w:rPr>
                <w:rFonts w:asciiTheme="minorHAnsi" w:hAnsiTheme="minorHAnsi" w:cstheme="minorHAnsi"/>
                <w:sz w:val="20"/>
                <w:szCs w:val="20"/>
              </w:rPr>
            </w:pPr>
            <w:r w:rsidRPr="009E064B">
              <w:rPr>
                <w:rFonts w:asciiTheme="minorHAnsi" w:hAnsiTheme="minorHAnsi" w:cstheme="minorHAnsi"/>
                <w:sz w:val="20"/>
                <w:szCs w:val="20"/>
              </w:rPr>
              <w:t xml:space="preserve">Długość pasa </w:t>
            </w:r>
            <w:r w:rsidRPr="009E064B">
              <w:rPr>
                <w:rFonts w:asciiTheme="minorHAnsi" w:hAnsiTheme="minorHAnsi" w:cstheme="minorHAnsi"/>
                <w:sz w:val="20"/>
                <w:szCs w:val="20"/>
                <w:vertAlign w:val="superscript"/>
              </w:rPr>
              <w:t>b</w:t>
            </w:r>
          </w:p>
        </w:tc>
        <w:tc>
          <w:tcPr>
            <w:tcW w:w="652" w:type="pct"/>
            <w:tcMar>
              <w:top w:w="57" w:type="dxa"/>
              <w:bottom w:w="57" w:type="dxa"/>
            </w:tcMar>
            <w:vAlign w:val="center"/>
          </w:tcPr>
          <w:p w14:paraId="000C38C2"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30 – </w:t>
            </w:r>
            <w:smartTag w:uri="urn:schemas-microsoft-com:office:smarttags" w:element="metricconverter">
              <w:smartTagPr>
                <w:attr w:name="ProductID" w:val="45 m"/>
              </w:smartTagPr>
              <w:r w:rsidRPr="009E064B">
                <w:rPr>
                  <w:rFonts w:asciiTheme="minorHAnsi" w:hAnsiTheme="minorHAnsi" w:cstheme="minorHAnsi"/>
                  <w:sz w:val="20"/>
                  <w:szCs w:val="20"/>
                </w:rPr>
                <w:t>45 m</w:t>
              </w:r>
            </w:smartTag>
          </w:p>
        </w:tc>
        <w:tc>
          <w:tcPr>
            <w:tcW w:w="1061" w:type="pct"/>
            <w:tcMar>
              <w:top w:w="57" w:type="dxa"/>
              <w:bottom w:w="57" w:type="dxa"/>
            </w:tcMar>
            <w:vAlign w:val="center"/>
          </w:tcPr>
          <w:p w14:paraId="6FEA188E"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30 – </w:t>
            </w:r>
            <w:smartTag w:uri="urn:schemas-microsoft-com:office:smarttags" w:element="metricconverter">
              <w:smartTagPr>
                <w:attr w:name="ProductID" w:val="45 m"/>
              </w:smartTagPr>
              <w:r w:rsidRPr="009E064B">
                <w:rPr>
                  <w:rFonts w:asciiTheme="minorHAnsi" w:hAnsiTheme="minorHAnsi" w:cstheme="minorHAnsi"/>
                  <w:sz w:val="20"/>
                  <w:szCs w:val="20"/>
                </w:rPr>
                <w:t>45 m</w:t>
              </w:r>
            </w:smartTag>
          </w:p>
        </w:tc>
        <w:tc>
          <w:tcPr>
            <w:tcW w:w="1096" w:type="pct"/>
            <w:tcMar>
              <w:top w:w="57" w:type="dxa"/>
              <w:bottom w:w="57" w:type="dxa"/>
            </w:tcMar>
            <w:vAlign w:val="center"/>
          </w:tcPr>
          <w:p w14:paraId="02BCF4A1"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45 – </w:t>
            </w:r>
            <w:smartTag w:uri="urn:schemas-microsoft-com:office:smarttags" w:element="metricconverter">
              <w:smartTagPr>
                <w:attr w:name="ProductID" w:val="60 m"/>
              </w:smartTagPr>
              <w:r w:rsidRPr="009E064B">
                <w:rPr>
                  <w:rFonts w:asciiTheme="minorHAnsi" w:hAnsiTheme="minorHAnsi" w:cstheme="minorHAnsi"/>
                  <w:sz w:val="20"/>
                  <w:szCs w:val="20"/>
                </w:rPr>
                <w:t>60 m</w:t>
              </w:r>
            </w:smartTag>
          </w:p>
        </w:tc>
        <w:tc>
          <w:tcPr>
            <w:tcW w:w="622" w:type="pct"/>
            <w:tcMar>
              <w:top w:w="57" w:type="dxa"/>
              <w:bottom w:w="57" w:type="dxa"/>
            </w:tcMar>
            <w:vAlign w:val="center"/>
          </w:tcPr>
          <w:p w14:paraId="26017B1D"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45 – </w:t>
            </w:r>
            <w:smartTag w:uri="urn:schemas-microsoft-com:office:smarttags" w:element="metricconverter">
              <w:smartTagPr>
                <w:attr w:name="ProductID" w:val="60 m"/>
              </w:smartTagPr>
              <w:r w:rsidRPr="009E064B">
                <w:rPr>
                  <w:rFonts w:asciiTheme="minorHAnsi" w:hAnsiTheme="minorHAnsi" w:cstheme="minorHAnsi"/>
                  <w:sz w:val="20"/>
                  <w:szCs w:val="20"/>
                </w:rPr>
                <w:t>60 m</w:t>
              </w:r>
            </w:smartTag>
          </w:p>
        </w:tc>
      </w:tr>
      <w:tr w:rsidR="00C36D76" w:rsidRPr="009E064B" w14:paraId="19C8D8B8" w14:textId="77777777" w:rsidTr="00A73874">
        <w:trPr>
          <w:trHeight w:val="314"/>
        </w:trPr>
        <w:tc>
          <w:tcPr>
            <w:tcW w:w="1568" w:type="pct"/>
            <w:tcMar>
              <w:top w:w="57" w:type="dxa"/>
              <w:bottom w:w="57" w:type="dxa"/>
            </w:tcMar>
            <w:vAlign w:val="center"/>
          </w:tcPr>
          <w:p w14:paraId="2E638F38" w14:textId="77777777" w:rsidR="00C36D76" w:rsidRPr="009E064B" w:rsidRDefault="00C36D76" w:rsidP="001E7BDB">
            <w:pPr>
              <w:spacing w:before="40" w:after="40"/>
              <w:jc w:val="left"/>
              <w:rPr>
                <w:rFonts w:asciiTheme="minorHAnsi" w:hAnsiTheme="minorHAnsi" w:cstheme="minorHAnsi"/>
                <w:sz w:val="20"/>
                <w:szCs w:val="20"/>
              </w:rPr>
            </w:pPr>
            <w:r w:rsidRPr="009E064B">
              <w:rPr>
                <w:rFonts w:asciiTheme="minorHAnsi" w:hAnsiTheme="minorHAnsi" w:cstheme="minorHAnsi"/>
                <w:sz w:val="20"/>
                <w:szCs w:val="20"/>
              </w:rPr>
              <w:t>Szerokość pasa</w:t>
            </w:r>
          </w:p>
        </w:tc>
        <w:tc>
          <w:tcPr>
            <w:tcW w:w="652" w:type="pct"/>
            <w:tcMar>
              <w:top w:w="57" w:type="dxa"/>
              <w:bottom w:w="57" w:type="dxa"/>
            </w:tcMar>
            <w:vAlign w:val="center"/>
          </w:tcPr>
          <w:p w14:paraId="3C7A2C3D"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4 m"/>
              </w:smartTagPr>
              <w:r w:rsidRPr="009E064B">
                <w:rPr>
                  <w:rFonts w:asciiTheme="minorHAnsi" w:hAnsiTheme="minorHAnsi" w:cstheme="minorHAnsi"/>
                  <w:sz w:val="20"/>
                  <w:szCs w:val="20"/>
                </w:rPr>
                <w:t>4 m</w:t>
              </w:r>
            </w:smartTag>
          </w:p>
        </w:tc>
        <w:tc>
          <w:tcPr>
            <w:tcW w:w="1061" w:type="pct"/>
            <w:tcMar>
              <w:top w:w="57" w:type="dxa"/>
              <w:bottom w:w="57" w:type="dxa"/>
            </w:tcMar>
            <w:vAlign w:val="center"/>
          </w:tcPr>
          <w:p w14:paraId="35FFF248" w14:textId="77777777" w:rsidR="00C36D76" w:rsidRPr="009E064B" w:rsidRDefault="00C36D76" w:rsidP="001E7BDB">
            <w:pPr>
              <w:spacing w:before="40" w:after="40"/>
              <w:ind w:left="-73" w:right="-34"/>
              <w:jc w:val="center"/>
              <w:rPr>
                <w:rFonts w:asciiTheme="minorHAnsi" w:hAnsiTheme="minorHAnsi" w:cstheme="minorHAnsi"/>
                <w:sz w:val="20"/>
                <w:szCs w:val="20"/>
              </w:rPr>
            </w:pPr>
            <w:smartTag w:uri="urn:schemas-microsoft-com:office:smarttags" w:element="metricconverter">
              <w:smartTagPr>
                <w:attr w:name="ProductID" w:val="6 m"/>
              </w:smartTagPr>
              <w:r w:rsidRPr="009E064B">
                <w:rPr>
                  <w:rFonts w:asciiTheme="minorHAnsi" w:hAnsiTheme="minorHAnsi" w:cstheme="minorHAnsi"/>
                  <w:sz w:val="20"/>
                  <w:szCs w:val="20"/>
                </w:rPr>
                <w:t>6 m</w:t>
              </w:r>
            </w:smartTag>
          </w:p>
        </w:tc>
        <w:tc>
          <w:tcPr>
            <w:tcW w:w="1096" w:type="pct"/>
            <w:tcMar>
              <w:top w:w="57" w:type="dxa"/>
              <w:bottom w:w="57" w:type="dxa"/>
            </w:tcMar>
            <w:vAlign w:val="center"/>
          </w:tcPr>
          <w:p w14:paraId="36FE90FE"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6 – 10 m</w:t>
            </w:r>
            <w:r w:rsidRPr="009E064B">
              <w:rPr>
                <w:rFonts w:asciiTheme="minorHAnsi" w:hAnsiTheme="minorHAnsi" w:cstheme="minorHAnsi"/>
                <w:sz w:val="20"/>
                <w:szCs w:val="20"/>
                <w:vertAlign w:val="superscript"/>
              </w:rPr>
              <w:t xml:space="preserve"> c</w:t>
            </w:r>
          </w:p>
        </w:tc>
        <w:tc>
          <w:tcPr>
            <w:tcW w:w="622" w:type="pct"/>
            <w:tcMar>
              <w:top w:w="57" w:type="dxa"/>
              <w:bottom w:w="57" w:type="dxa"/>
            </w:tcMar>
            <w:vAlign w:val="center"/>
          </w:tcPr>
          <w:p w14:paraId="5F0D3C22"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6 – 10 m </w:t>
            </w:r>
            <w:r w:rsidRPr="009E064B">
              <w:rPr>
                <w:rFonts w:asciiTheme="minorHAnsi" w:hAnsiTheme="minorHAnsi" w:cstheme="minorHAnsi"/>
                <w:sz w:val="20"/>
                <w:szCs w:val="20"/>
                <w:vertAlign w:val="superscript"/>
              </w:rPr>
              <w:t>c</w:t>
            </w:r>
          </w:p>
        </w:tc>
      </w:tr>
      <w:tr w:rsidR="00C36D76" w:rsidRPr="009E064B" w14:paraId="591C21B5" w14:textId="77777777" w:rsidTr="00A73874">
        <w:trPr>
          <w:trHeight w:val="314"/>
        </w:trPr>
        <w:tc>
          <w:tcPr>
            <w:tcW w:w="1568" w:type="pct"/>
            <w:tcMar>
              <w:top w:w="57" w:type="dxa"/>
              <w:bottom w:w="57" w:type="dxa"/>
            </w:tcMar>
            <w:vAlign w:val="center"/>
          </w:tcPr>
          <w:p w14:paraId="492EC1B1" w14:textId="77777777" w:rsidR="00C36D76" w:rsidRPr="009E064B" w:rsidRDefault="00C36D76" w:rsidP="001E7BDB">
            <w:pPr>
              <w:spacing w:before="40" w:after="40"/>
              <w:jc w:val="left"/>
              <w:rPr>
                <w:rFonts w:asciiTheme="minorHAnsi" w:hAnsiTheme="minorHAnsi" w:cstheme="minorHAnsi"/>
                <w:sz w:val="20"/>
                <w:szCs w:val="20"/>
              </w:rPr>
            </w:pPr>
            <w:r w:rsidRPr="009E064B">
              <w:rPr>
                <w:rFonts w:asciiTheme="minorHAnsi" w:hAnsiTheme="minorHAnsi" w:cstheme="minorHAnsi"/>
                <w:sz w:val="20"/>
                <w:szCs w:val="20"/>
              </w:rPr>
              <w:t>Poprzeczna odległość pomiędzy wewnętrznymi krawędziami pasów</w:t>
            </w:r>
          </w:p>
        </w:tc>
        <w:tc>
          <w:tcPr>
            <w:tcW w:w="652" w:type="pct"/>
            <w:tcMar>
              <w:top w:w="57" w:type="dxa"/>
              <w:bottom w:w="57" w:type="dxa"/>
            </w:tcMar>
            <w:vAlign w:val="center"/>
          </w:tcPr>
          <w:p w14:paraId="21C97BA5"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6 m </w:t>
            </w:r>
            <w:r w:rsidRPr="009E064B">
              <w:rPr>
                <w:rFonts w:asciiTheme="minorHAnsi" w:hAnsiTheme="minorHAnsi" w:cstheme="minorHAnsi"/>
                <w:sz w:val="20"/>
                <w:szCs w:val="20"/>
                <w:vertAlign w:val="superscript"/>
              </w:rPr>
              <w:t>d</w:t>
            </w:r>
          </w:p>
        </w:tc>
        <w:tc>
          <w:tcPr>
            <w:tcW w:w="1061" w:type="pct"/>
            <w:tcMar>
              <w:top w:w="57" w:type="dxa"/>
              <w:bottom w:w="57" w:type="dxa"/>
            </w:tcMar>
            <w:vAlign w:val="center"/>
          </w:tcPr>
          <w:p w14:paraId="49992256"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 xml:space="preserve">9 m </w:t>
            </w:r>
            <w:r w:rsidRPr="009E064B">
              <w:rPr>
                <w:rFonts w:asciiTheme="minorHAnsi" w:hAnsiTheme="minorHAnsi" w:cstheme="minorHAnsi"/>
                <w:sz w:val="20"/>
                <w:szCs w:val="20"/>
                <w:vertAlign w:val="superscript"/>
              </w:rPr>
              <w:t>d</w:t>
            </w:r>
          </w:p>
        </w:tc>
        <w:tc>
          <w:tcPr>
            <w:tcW w:w="1096" w:type="pct"/>
            <w:tcMar>
              <w:top w:w="57" w:type="dxa"/>
              <w:bottom w:w="57" w:type="dxa"/>
            </w:tcMar>
            <w:vAlign w:val="center"/>
          </w:tcPr>
          <w:p w14:paraId="12C71C54"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18 – 22.5 m</w:t>
            </w:r>
          </w:p>
        </w:tc>
        <w:tc>
          <w:tcPr>
            <w:tcW w:w="622" w:type="pct"/>
            <w:tcMar>
              <w:top w:w="57" w:type="dxa"/>
              <w:bottom w:w="57" w:type="dxa"/>
            </w:tcMar>
            <w:vAlign w:val="center"/>
          </w:tcPr>
          <w:p w14:paraId="7B96893F" w14:textId="77777777" w:rsidR="00C36D76" w:rsidRPr="009E064B" w:rsidRDefault="00C36D76" w:rsidP="001E7BDB">
            <w:pPr>
              <w:spacing w:before="40" w:after="40"/>
              <w:ind w:left="-73" w:right="-34"/>
              <w:jc w:val="center"/>
              <w:rPr>
                <w:rFonts w:asciiTheme="minorHAnsi" w:hAnsiTheme="minorHAnsi" w:cstheme="minorHAnsi"/>
                <w:sz w:val="20"/>
                <w:szCs w:val="20"/>
              </w:rPr>
            </w:pPr>
            <w:r w:rsidRPr="009E064B">
              <w:rPr>
                <w:rFonts w:asciiTheme="minorHAnsi" w:hAnsiTheme="minorHAnsi" w:cstheme="minorHAnsi"/>
                <w:sz w:val="20"/>
                <w:szCs w:val="20"/>
              </w:rPr>
              <w:t>18 – 22.5 m</w:t>
            </w:r>
          </w:p>
        </w:tc>
      </w:tr>
      <w:tr w:rsidR="00C36D76" w:rsidRPr="009E064B" w14:paraId="48CEAD1D" w14:textId="77777777" w:rsidTr="00C36D76">
        <w:tc>
          <w:tcPr>
            <w:tcW w:w="5000" w:type="pct"/>
            <w:gridSpan w:val="5"/>
            <w:tcMar>
              <w:top w:w="57" w:type="dxa"/>
              <w:bottom w:w="57" w:type="dxa"/>
            </w:tcMar>
            <w:vAlign w:val="center"/>
          </w:tcPr>
          <w:p w14:paraId="27460548" w14:textId="77777777" w:rsidR="00C36D76" w:rsidRPr="009E064B" w:rsidRDefault="00C36D76" w:rsidP="00B06A9A">
            <w:pPr>
              <w:tabs>
                <w:tab w:val="left" w:pos="284"/>
              </w:tabs>
              <w:spacing w:before="60" w:after="60"/>
              <w:ind w:left="284" w:right="108" w:hanging="284"/>
              <w:jc w:val="left"/>
              <w:rPr>
                <w:sz w:val="20"/>
                <w:szCs w:val="18"/>
              </w:rPr>
            </w:pPr>
            <w:r w:rsidRPr="009E064B">
              <w:rPr>
                <w:sz w:val="20"/>
                <w:szCs w:val="18"/>
              </w:rPr>
              <w:t>a.</w:t>
            </w:r>
            <w:r w:rsidRPr="009E064B">
              <w:rPr>
                <w:sz w:val="20"/>
                <w:szCs w:val="18"/>
              </w:rPr>
              <w:tab/>
              <w:t>Gdy na drodze startowej jest zapewniony system PAPI, początek oznakowania powinien pokrywać się z początkiem wzrokowej ścieżki podejścia</w:t>
            </w:r>
          </w:p>
          <w:p w14:paraId="44455D8B" w14:textId="77777777" w:rsidR="00C36D76" w:rsidRPr="009E064B" w:rsidRDefault="00C36D76" w:rsidP="00B06A9A">
            <w:pPr>
              <w:tabs>
                <w:tab w:val="left" w:pos="284"/>
              </w:tabs>
              <w:spacing w:after="60"/>
              <w:ind w:left="284" w:right="108" w:hanging="284"/>
              <w:jc w:val="left"/>
              <w:rPr>
                <w:sz w:val="20"/>
                <w:szCs w:val="18"/>
              </w:rPr>
            </w:pPr>
            <w:r w:rsidRPr="009E064B">
              <w:rPr>
                <w:sz w:val="20"/>
                <w:szCs w:val="18"/>
              </w:rPr>
              <w:t>b.</w:t>
            </w:r>
            <w:r w:rsidRPr="009E064B">
              <w:rPr>
                <w:sz w:val="20"/>
                <w:szCs w:val="18"/>
              </w:rPr>
              <w:tab/>
              <w:t>Większe wymiary należy stosować w przypadku, kiedy zachodzi konieczność zapewnienia zwiększonej wyrazistości.</w:t>
            </w:r>
          </w:p>
          <w:p w14:paraId="342274CA" w14:textId="77777777" w:rsidR="00C36D76" w:rsidRPr="009E064B" w:rsidRDefault="00C36D76" w:rsidP="00B06A9A">
            <w:pPr>
              <w:tabs>
                <w:tab w:val="left" w:pos="284"/>
              </w:tabs>
              <w:spacing w:after="60"/>
              <w:ind w:left="284" w:right="108" w:hanging="284"/>
              <w:jc w:val="left"/>
              <w:rPr>
                <w:sz w:val="20"/>
                <w:szCs w:val="18"/>
              </w:rPr>
            </w:pPr>
            <w:r w:rsidRPr="009E064B">
              <w:rPr>
                <w:sz w:val="20"/>
                <w:szCs w:val="18"/>
              </w:rPr>
              <w:t>c.</w:t>
            </w:r>
            <w:r w:rsidRPr="009E064B">
              <w:rPr>
                <w:sz w:val="20"/>
                <w:szCs w:val="18"/>
              </w:rPr>
              <w:tab/>
              <w:t>Poprzeczna odległość może być różna w tych granicach w celu ograniczenia zanieczyszczenia oznakowania przez odkładającą się gumę.</w:t>
            </w:r>
          </w:p>
          <w:p w14:paraId="28E73450" w14:textId="77777777" w:rsidR="00C36D76" w:rsidRPr="009E064B" w:rsidRDefault="00C36D76" w:rsidP="00B06A9A">
            <w:pPr>
              <w:tabs>
                <w:tab w:val="left" w:pos="284"/>
              </w:tabs>
              <w:spacing w:after="60"/>
              <w:ind w:left="284" w:right="108" w:hanging="284"/>
              <w:jc w:val="left"/>
              <w:rPr>
                <w:sz w:val="16"/>
                <w:szCs w:val="18"/>
              </w:rPr>
            </w:pPr>
            <w:r w:rsidRPr="009E064B">
              <w:rPr>
                <w:sz w:val="20"/>
                <w:szCs w:val="18"/>
              </w:rPr>
              <w:t>d.</w:t>
            </w:r>
            <w:r w:rsidRPr="009E064B">
              <w:rPr>
                <w:sz w:val="20"/>
                <w:szCs w:val="18"/>
              </w:rPr>
              <w:tab/>
              <w:t>Wielkości te określono w oparciu o zewnętrzny rozstaw kół podwozia głównego, który jest drugim elementem kodu referencyjnego lotniska.</w:t>
            </w:r>
          </w:p>
        </w:tc>
      </w:tr>
    </w:tbl>
    <w:p w14:paraId="3BD41963" w14:textId="77777777" w:rsidR="00C36D76" w:rsidRPr="009E064B" w:rsidRDefault="00C36D76" w:rsidP="00B06A9A">
      <w:pPr>
        <w:spacing w:after="0"/>
        <w:jc w:val="right"/>
        <w:rPr>
          <w:rFonts w:cs="TimesNewRomanPS-BoldMT"/>
          <w:bCs/>
          <w:szCs w:val="20"/>
        </w:rPr>
      </w:pPr>
    </w:p>
    <w:p w14:paraId="52DEBB5D" w14:textId="77777777" w:rsidR="00C36D76" w:rsidRPr="005669D1" w:rsidRDefault="00C36D76" w:rsidP="00B06A9A">
      <w:pPr>
        <w:ind w:left="425" w:right="-6" w:hanging="425"/>
        <w:jc w:val="center"/>
        <w:rPr>
          <w:b/>
          <w:sz w:val="20"/>
        </w:rPr>
      </w:pPr>
      <w:r w:rsidRPr="005669D1">
        <w:rPr>
          <w:b/>
          <w:sz w:val="20"/>
        </w:rPr>
        <w:t>Tabela L-1.   Lokalizacja oraz wymiary oznakowania punktu celowania</w:t>
      </w:r>
    </w:p>
    <w:p w14:paraId="45C6B4CE" w14:textId="77777777" w:rsidR="00C36D76" w:rsidRPr="009E064B" w:rsidRDefault="00C36D76" w:rsidP="00B06A9A">
      <w:pPr>
        <w:jc w:val="left"/>
      </w:pPr>
    </w:p>
    <w:p w14:paraId="73130A64" w14:textId="5D850443" w:rsidR="00454C4B" w:rsidRPr="009E064B" w:rsidRDefault="00A73874" w:rsidP="00133B99">
      <w:pPr>
        <w:pStyle w:val="Nagwek6"/>
      </w:pPr>
      <w:bookmarkStart w:id="1362" w:name="_Toc401059006"/>
      <w:bookmarkStart w:id="1363" w:name="_Toc482886873"/>
      <w:bookmarkStart w:id="1364" w:name="_Toc12533139"/>
      <w:r w:rsidRPr="009E064B">
        <w:t xml:space="preserve">GM1 ADR-DSN.L.540     </w:t>
      </w:r>
      <w:r w:rsidR="00454C4B" w:rsidRPr="009E064B">
        <w:t>Oznakowanie punktu celowania</w:t>
      </w:r>
      <w:bookmarkEnd w:id="1362"/>
      <w:bookmarkEnd w:id="1363"/>
      <w:bookmarkEnd w:id="1364"/>
    </w:p>
    <w:p w14:paraId="38811BB6" w14:textId="7B6D1B73"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372DA20" w14:textId="256DC74C" w:rsidR="007B7A00" w:rsidRPr="005669D1" w:rsidRDefault="007B7A00" w:rsidP="00C80511">
      <w:pPr>
        <w:autoSpaceDE w:val="0"/>
        <w:autoSpaceDN w:val="0"/>
        <w:adjustRightInd w:val="0"/>
        <w:spacing w:after="200"/>
        <w:rPr>
          <w:rFonts w:cs="TimesNewRomanPS-BoldItalicMT"/>
          <w:bCs/>
          <w:iCs/>
          <w:color w:val="000000" w:themeColor="text1"/>
          <w:szCs w:val="20"/>
        </w:rPr>
      </w:pPr>
      <w:r w:rsidRPr="005669D1">
        <w:rPr>
          <w:rFonts w:cs="TimesNewRomanPS-BoldItalicMT"/>
          <w:bCs/>
          <w:iCs/>
          <w:color w:val="000000" w:themeColor="text1"/>
          <w:szCs w:val="20"/>
        </w:rPr>
        <w:t>W przypadku dróg startowych o szerokości 30 m, szerokość prostokątnych pasów oznakowania punktu celowania i poprzecznych odstępów pomiędzy wewnętrznymi bokami tych pasów mogą być dopasowywane proporcjonalnie do dostępnej szerokości drogi startowej, aby uniknąć nakładania się oznakowania punktu celowania z oznakowaniem linii bocznych drogi startowej.</w:t>
      </w:r>
    </w:p>
    <w:p w14:paraId="77878E41"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685B83C1" w14:textId="77777777" w:rsidR="001E7BDB" w:rsidRPr="009E064B" w:rsidRDefault="001E7BDB">
      <w:pPr>
        <w:spacing w:after="0"/>
        <w:jc w:val="left"/>
        <w:rPr>
          <w:rFonts w:cs="TimesNewRomanPS-BoldItalicMT"/>
          <w:bCs/>
          <w:iCs/>
          <w:szCs w:val="20"/>
        </w:rPr>
      </w:pPr>
      <w:r w:rsidRPr="009E064B">
        <w:rPr>
          <w:rFonts w:cs="TimesNewRomanPS-BoldItalicMT"/>
          <w:bCs/>
          <w:iCs/>
          <w:szCs w:val="20"/>
        </w:rPr>
        <w:br w:type="page"/>
      </w:r>
    </w:p>
    <w:p w14:paraId="72D7E0D4" w14:textId="48E874A7" w:rsidR="00C36D76" w:rsidRPr="009E064B" w:rsidRDefault="00A62411" w:rsidP="00B06A9A">
      <w:pPr>
        <w:pStyle w:val="Nagwek4"/>
        <w:rPr>
          <w:color w:val="auto"/>
        </w:rPr>
      </w:pPr>
      <w:bookmarkStart w:id="1365" w:name="_CS_ADR-DSN.L.545_"/>
      <w:bookmarkStart w:id="1366" w:name="_Toc482886650"/>
      <w:bookmarkStart w:id="1367" w:name="_Toc12533140"/>
      <w:bookmarkEnd w:id="1365"/>
      <w:r w:rsidRPr="009E064B">
        <w:rPr>
          <w:color w:val="auto"/>
        </w:rPr>
        <w:t xml:space="preserve">CS ADR-DSN.L.545     </w:t>
      </w:r>
      <w:r w:rsidR="00C36D76" w:rsidRPr="009E064B">
        <w:rPr>
          <w:color w:val="auto"/>
        </w:rPr>
        <w:t>Oznakowanie strefy przyziemienia</w:t>
      </w:r>
      <w:bookmarkEnd w:id="1366"/>
      <w:bookmarkEnd w:id="1367"/>
    </w:p>
    <w:p w14:paraId="5ED92823" w14:textId="3180981E" w:rsidR="00A62411" w:rsidRPr="009E064B" w:rsidRDefault="00D63D4F" w:rsidP="00A62411">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4BE5C21F"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p>
    <w:p w14:paraId="4854FF52" w14:textId="6DAD8771"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 strefy przyziemienia powinno być zapewnione w strefie przyziemienia drogi startowej z podejściem precyzyjnym, o nawierzchn</w:t>
      </w:r>
      <w:r w:rsidR="001E7BDB" w:rsidRPr="009E064B">
        <w:rPr>
          <w:rFonts w:cs="TimesNewRomanPSMT"/>
          <w:szCs w:val="20"/>
        </w:rPr>
        <w:t>i sztucznej, o cyfrze kodu 2, 3 </w:t>
      </w:r>
      <w:r w:rsidRPr="009E064B">
        <w:rPr>
          <w:rFonts w:cs="TimesNewRomanPSMT"/>
          <w:szCs w:val="20"/>
        </w:rPr>
        <w:t>lub 4.</w:t>
      </w:r>
    </w:p>
    <w:p w14:paraId="7FD3C161" w14:textId="77777777" w:rsidR="00C36D76" w:rsidRPr="009E064B" w:rsidRDefault="00C36D76" w:rsidP="00B06A9A">
      <w:pPr>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 strefy przyziemienia powinno być umieszczone w strefie przyziemienia drogi startowej o nawierzchni sztucznej z podejściem nieprecyzyjnym lub nieprzyrządowym o cyfrze kodu 3 lub 4, jeżeli pożądane jest dodatkowe oznakowanie strefy przyziemienia.</w:t>
      </w:r>
    </w:p>
    <w:p w14:paraId="79AEA936" w14:textId="77777777" w:rsidR="00C36D76" w:rsidRPr="009E064B" w:rsidRDefault="00C36D76" w:rsidP="00B06A9A">
      <w:pPr>
        <w:tabs>
          <w:tab w:val="left" w:pos="567"/>
        </w:tabs>
        <w:autoSpaceDE w:val="0"/>
        <w:autoSpaceDN w:val="0"/>
        <w:adjustRightInd w:val="0"/>
        <w:spacing w:after="0"/>
        <w:ind w:left="567" w:hanging="567"/>
        <w:rPr>
          <w:rFonts w:cs="TimesNewRomanPSMT"/>
          <w:szCs w:val="20"/>
        </w:rPr>
      </w:pPr>
      <w:r w:rsidRPr="009E064B">
        <w:rPr>
          <w:rFonts w:cs="Times New Roman"/>
          <w:szCs w:val="20"/>
        </w:rPr>
        <w:t xml:space="preserve">(b) </w:t>
      </w:r>
      <w:r w:rsidRPr="009E064B">
        <w:rPr>
          <w:rFonts w:cs="Times New Roman"/>
          <w:szCs w:val="20"/>
        </w:rPr>
        <w:tab/>
      </w:r>
      <w:r w:rsidRPr="009E064B">
        <w:t>Lokalizacja</w:t>
      </w:r>
      <w:r w:rsidRPr="009E064B">
        <w:rPr>
          <w:rFonts w:cs="TimesNewRomanPS-BoldItalicMT"/>
          <w:bCs/>
          <w:iCs/>
          <w:szCs w:val="20"/>
        </w:rPr>
        <w:t xml:space="preserve">: </w:t>
      </w:r>
      <w:r w:rsidRPr="009E064B">
        <w:rPr>
          <w:rFonts w:cs="TimesNewRomanPSMT"/>
          <w:szCs w:val="20"/>
        </w:rPr>
        <w:t>Oznakowanie strefy przyziemienia powinno składać się z par prostokątnych znaków, rozmieszczonych symetrycznie po obu stronach linii środkowej drogi startowej, ilość tych par znaków odpowiada rozporządzalnej długości drogi startowej do lądowania oraz, jeżeli oznakowanie ma być umieszczone po obu stronach drogi startowej, odległości między progami w następujący sposób:</w:t>
      </w:r>
    </w:p>
    <w:p w14:paraId="3C9E69F0" w14:textId="77777777" w:rsidR="00C36D76" w:rsidRPr="009E064B" w:rsidRDefault="00C36D76" w:rsidP="001E7BDB">
      <w:pPr>
        <w:tabs>
          <w:tab w:val="left" w:pos="567"/>
        </w:tabs>
        <w:autoSpaceDE w:val="0"/>
        <w:autoSpaceDN w:val="0"/>
        <w:adjustRightInd w:val="0"/>
        <w:spacing w:after="0"/>
        <w:ind w:left="567" w:hanging="567"/>
        <w:rPr>
          <w:rFonts w:cs="TimesNewRomanPSMT"/>
          <w:szCs w:val="20"/>
        </w:rPr>
      </w:pPr>
    </w:p>
    <w:tbl>
      <w:tblPr>
        <w:tblW w:w="680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57" w:type="dxa"/>
          <w:bottom w:w="57" w:type="dxa"/>
        </w:tblCellMar>
        <w:tblLook w:val="01E0" w:firstRow="1" w:lastRow="1" w:firstColumn="1" w:lastColumn="1" w:noHBand="0" w:noVBand="0"/>
      </w:tblPr>
      <w:tblGrid>
        <w:gridCol w:w="4964"/>
        <w:gridCol w:w="1840"/>
      </w:tblGrid>
      <w:tr w:rsidR="00C36D76" w:rsidRPr="009E064B" w14:paraId="3F07327F" w14:textId="77777777" w:rsidTr="00356467">
        <w:trPr>
          <w:jc w:val="center"/>
        </w:trPr>
        <w:tc>
          <w:tcPr>
            <w:tcW w:w="4964" w:type="dxa"/>
            <w:vAlign w:val="center"/>
          </w:tcPr>
          <w:p w14:paraId="2452F6A1" w14:textId="77777777" w:rsidR="00C36D76" w:rsidRPr="009E064B" w:rsidRDefault="00C36D76" w:rsidP="00B06A9A">
            <w:pPr>
              <w:spacing w:after="0"/>
              <w:jc w:val="center"/>
              <w:rPr>
                <w:b/>
              </w:rPr>
            </w:pPr>
            <w:r w:rsidRPr="009E064B">
              <w:rPr>
                <w:b/>
              </w:rPr>
              <w:t>Rozporządzalna</w:t>
            </w:r>
            <w:r w:rsidRPr="009E064B">
              <w:rPr>
                <w:b/>
                <w:iCs/>
              </w:rPr>
              <w:t xml:space="preserve"> długość lądowania (LDA)</w:t>
            </w:r>
            <w:r w:rsidRPr="009E064B">
              <w:rPr>
                <w:b/>
                <w:iCs/>
              </w:rPr>
              <w:br/>
              <w:t>lub odległość pomiędzy progami</w:t>
            </w:r>
          </w:p>
        </w:tc>
        <w:tc>
          <w:tcPr>
            <w:tcW w:w="1840" w:type="dxa"/>
            <w:vAlign w:val="center"/>
          </w:tcPr>
          <w:p w14:paraId="1DCC3B2F" w14:textId="77777777" w:rsidR="00C36D76" w:rsidRPr="009E064B" w:rsidRDefault="00C36D76" w:rsidP="00B06A9A">
            <w:pPr>
              <w:tabs>
                <w:tab w:val="left" w:pos="1276"/>
              </w:tabs>
              <w:spacing w:after="0"/>
              <w:jc w:val="center"/>
              <w:rPr>
                <w:b/>
              </w:rPr>
            </w:pPr>
            <w:r w:rsidRPr="009E064B">
              <w:rPr>
                <w:b/>
                <w:iCs/>
              </w:rPr>
              <w:t>Para(y) znaków</w:t>
            </w:r>
          </w:p>
        </w:tc>
      </w:tr>
      <w:tr w:rsidR="00C36D76" w:rsidRPr="009E064B" w14:paraId="2DCAF4BD" w14:textId="77777777" w:rsidTr="001E7BDB">
        <w:trPr>
          <w:trHeight w:val="340"/>
          <w:jc w:val="center"/>
        </w:trPr>
        <w:tc>
          <w:tcPr>
            <w:tcW w:w="4964" w:type="dxa"/>
            <w:tcMar>
              <w:top w:w="85" w:type="dxa"/>
              <w:bottom w:w="85" w:type="dxa"/>
            </w:tcMar>
            <w:vAlign w:val="center"/>
          </w:tcPr>
          <w:p w14:paraId="1229035D" w14:textId="77777777" w:rsidR="00C36D76" w:rsidRPr="009E064B" w:rsidRDefault="00C36D76" w:rsidP="00B06A9A">
            <w:pPr>
              <w:spacing w:after="0"/>
              <w:jc w:val="left"/>
            </w:pPr>
            <w:r w:rsidRPr="009E064B">
              <w:t xml:space="preserve">mniejsza niż </w:t>
            </w:r>
            <w:smartTag w:uri="urn:schemas-microsoft-com:office:smarttags" w:element="metricconverter">
              <w:smartTagPr>
                <w:attr w:name="ProductID" w:val="900 m"/>
              </w:smartTagPr>
              <w:r w:rsidRPr="009E064B">
                <w:t>900 m</w:t>
              </w:r>
            </w:smartTag>
          </w:p>
        </w:tc>
        <w:tc>
          <w:tcPr>
            <w:tcW w:w="1840" w:type="dxa"/>
            <w:tcMar>
              <w:top w:w="85" w:type="dxa"/>
              <w:bottom w:w="85" w:type="dxa"/>
            </w:tcMar>
            <w:vAlign w:val="center"/>
          </w:tcPr>
          <w:p w14:paraId="4A72B65D" w14:textId="77777777" w:rsidR="00C36D76" w:rsidRPr="009E064B" w:rsidRDefault="00C36D76" w:rsidP="00B06A9A">
            <w:pPr>
              <w:tabs>
                <w:tab w:val="left" w:pos="1276"/>
              </w:tabs>
              <w:spacing w:after="0"/>
              <w:jc w:val="center"/>
            </w:pPr>
            <w:r w:rsidRPr="009E064B">
              <w:t>1</w:t>
            </w:r>
          </w:p>
        </w:tc>
      </w:tr>
      <w:tr w:rsidR="00C36D76" w:rsidRPr="009E064B" w14:paraId="6A239535" w14:textId="77777777" w:rsidTr="001E7BDB">
        <w:trPr>
          <w:trHeight w:val="340"/>
          <w:jc w:val="center"/>
        </w:trPr>
        <w:tc>
          <w:tcPr>
            <w:tcW w:w="4964" w:type="dxa"/>
            <w:tcMar>
              <w:top w:w="85" w:type="dxa"/>
              <w:bottom w:w="85" w:type="dxa"/>
            </w:tcMar>
            <w:vAlign w:val="center"/>
          </w:tcPr>
          <w:p w14:paraId="5E1BC02A" w14:textId="77777777" w:rsidR="00C36D76" w:rsidRPr="009E064B" w:rsidRDefault="00C36D76" w:rsidP="00B06A9A">
            <w:pPr>
              <w:spacing w:after="0"/>
              <w:ind w:right="28"/>
              <w:jc w:val="left"/>
            </w:pPr>
            <w:smartTag w:uri="urn:schemas-microsoft-com:office:smarttags" w:element="metricconverter">
              <w:smartTagPr>
                <w:attr w:name="ProductID" w:val="900 m"/>
              </w:smartTagPr>
              <w:r w:rsidRPr="009E064B">
                <w:t>900 m</w:t>
              </w:r>
            </w:smartTag>
            <w:r w:rsidRPr="009E064B">
              <w:t xml:space="preserve"> do </w:t>
            </w:r>
            <w:smartTag w:uri="urn:schemas-microsoft-com:office:smarttags" w:element="metricconverter">
              <w:smartTagPr>
                <w:attr w:name="ProductID" w:val="1 200 m"/>
              </w:smartTagPr>
              <w:r w:rsidRPr="009E064B">
                <w:t>1 200 m</w:t>
              </w:r>
            </w:smartTag>
            <w:r w:rsidRPr="009E064B">
              <w:t xml:space="preserve"> (lecz bez wartości </w:t>
            </w:r>
            <w:smartTag w:uri="urn:schemas-microsoft-com:office:smarttags" w:element="metricconverter">
              <w:smartTagPr>
                <w:attr w:name="ProductID" w:val="1 200 m"/>
              </w:smartTagPr>
              <w:r w:rsidRPr="009E064B">
                <w:t>1 200 m</w:t>
              </w:r>
            </w:smartTag>
            <w:r w:rsidRPr="009E064B">
              <w:t>)</w:t>
            </w:r>
          </w:p>
        </w:tc>
        <w:tc>
          <w:tcPr>
            <w:tcW w:w="1840" w:type="dxa"/>
            <w:tcMar>
              <w:top w:w="85" w:type="dxa"/>
              <w:bottom w:w="85" w:type="dxa"/>
            </w:tcMar>
            <w:vAlign w:val="center"/>
          </w:tcPr>
          <w:p w14:paraId="69A7EC5D" w14:textId="77777777" w:rsidR="00C36D76" w:rsidRPr="009E064B" w:rsidRDefault="00C36D76" w:rsidP="00B06A9A">
            <w:pPr>
              <w:tabs>
                <w:tab w:val="left" w:pos="1276"/>
              </w:tabs>
              <w:spacing w:after="0"/>
              <w:jc w:val="center"/>
            </w:pPr>
            <w:r w:rsidRPr="009E064B">
              <w:t>2</w:t>
            </w:r>
          </w:p>
        </w:tc>
      </w:tr>
      <w:tr w:rsidR="00C36D76" w:rsidRPr="009E064B" w14:paraId="7A2501F9" w14:textId="77777777" w:rsidTr="001E7BDB">
        <w:trPr>
          <w:trHeight w:val="340"/>
          <w:jc w:val="center"/>
        </w:trPr>
        <w:tc>
          <w:tcPr>
            <w:tcW w:w="4964" w:type="dxa"/>
            <w:tcMar>
              <w:top w:w="85" w:type="dxa"/>
              <w:bottom w:w="85" w:type="dxa"/>
            </w:tcMar>
            <w:vAlign w:val="center"/>
          </w:tcPr>
          <w:p w14:paraId="722001E5" w14:textId="77777777" w:rsidR="00C36D76" w:rsidRPr="009E064B" w:rsidRDefault="00C36D76" w:rsidP="00B06A9A">
            <w:pPr>
              <w:tabs>
                <w:tab w:val="left" w:pos="3798"/>
                <w:tab w:val="left" w:pos="3826"/>
              </w:tabs>
              <w:spacing w:after="0"/>
              <w:ind w:right="28"/>
              <w:jc w:val="left"/>
            </w:pPr>
            <w:smartTag w:uri="urn:schemas-microsoft-com:office:smarttags" w:element="metricconverter">
              <w:smartTagPr>
                <w:attr w:name="ProductID" w:val="1200 m"/>
              </w:smartTagPr>
              <w:r w:rsidRPr="009E064B">
                <w:t>1200 m</w:t>
              </w:r>
            </w:smartTag>
            <w:r w:rsidRPr="009E064B">
              <w:t xml:space="preserve"> do </w:t>
            </w:r>
            <w:smartTag w:uri="urn:schemas-microsoft-com:office:smarttags" w:element="metricconverter">
              <w:smartTagPr>
                <w:attr w:name="ProductID" w:val="1500 m"/>
              </w:smartTagPr>
              <w:r w:rsidRPr="009E064B">
                <w:t>1500 m</w:t>
              </w:r>
            </w:smartTag>
            <w:r w:rsidRPr="009E064B">
              <w:t xml:space="preserve"> (lecz bez wartości </w:t>
            </w:r>
            <w:smartTag w:uri="urn:schemas-microsoft-com:office:smarttags" w:element="metricconverter">
              <w:smartTagPr>
                <w:attr w:name="ProductID" w:val="1 500 m"/>
              </w:smartTagPr>
              <w:r w:rsidRPr="009E064B">
                <w:t>1 500 m</w:t>
              </w:r>
            </w:smartTag>
            <w:r w:rsidRPr="009E064B">
              <w:t>)</w:t>
            </w:r>
          </w:p>
        </w:tc>
        <w:tc>
          <w:tcPr>
            <w:tcW w:w="1840" w:type="dxa"/>
            <w:tcMar>
              <w:top w:w="85" w:type="dxa"/>
              <w:bottom w:w="85" w:type="dxa"/>
            </w:tcMar>
            <w:vAlign w:val="center"/>
          </w:tcPr>
          <w:p w14:paraId="50F5A0C2" w14:textId="77777777" w:rsidR="00C36D76" w:rsidRPr="009E064B" w:rsidRDefault="00C36D76" w:rsidP="00B06A9A">
            <w:pPr>
              <w:tabs>
                <w:tab w:val="left" w:pos="1276"/>
              </w:tabs>
              <w:spacing w:after="0"/>
              <w:jc w:val="center"/>
            </w:pPr>
            <w:r w:rsidRPr="009E064B">
              <w:t>3</w:t>
            </w:r>
          </w:p>
        </w:tc>
      </w:tr>
      <w:tr w:rsidR="00C36D76" w:rsidRPr="009E064B" w14:paraId="56258546" w14:textId="77777777" w:rsidTr="001E7BDB">
        <w:trPr>
          <w:trHeight w:val="340"/>
          <w:jc w:val="center"/>
        </w:trPr>
        <w:tc>
          <w:tcPr>
            <w:tcW w:w="4964" w:type="dxa"/>
            <w:tcMar>
              <w:top w:w="85" w:type="dxa"/>
              <w:bottom w:w="85" w:type="dxa"/>
            </w:tcMar>
            <w:vAlign w:val="center"/>
          </w:tcPr>
          <w:p w14:paraId="78C9A2F1" w14:textId="77777777" w:rsidR="00C36D76" w:rsidRPr="009E064B" w:rsidRDefault="00C36D76" w:rsidP="00B06A9A">
            <w:pPr>
              <w:tabs>
                <w:tab w:val="left" w:pos="5595"/>
              </w:tabs>
              <w:spacing w:after="0"/>
              <w:ind w:right="33"/>
              <w:jc w:val="left"/>
            </w:pPr>
            <w:smartTag w:uri="urn:schemas-microsoft-com:office:smarttags" w:element="metricconverter">
              <w:smartTagPr>
                <w:attr w:name="ProductID" w:val="1 500 m"/>
              </w:smartTagPr>
              <w:r w:rsidRPr="009E064B">
                <w:t>1 500 m</w:t>
              </w:r>
            </w:smartTag>
            <w:r w:rsidRPr="009E064B">
              <w:t xml:space="preserve"> do </w:t>
            </w:r>
            <w:smartTag w:uri="urn:schemas-microsoft-com:office:smarttags" w:element="metricconverter">
              <w:smartTagPr>
                <w:attr w:name="ProductID" w:val="2 400 m"/>
              </w:smartTagPr>
              <w:r w:rsidRPr="009E064B">
                <w:t>2 400 m</w:t>
              </w:r>
            </w:smartTag>
            <w:r w:rsidRPr="009E064B">
              <w:t xml:space="preserve"> (lecz bez wartości </w:t>
            </w:r>
            <w:smartTag w:uri="urn:schemas-microsoft-com:office:smarttags" w:element="metricconverter">
              <w:smartTagPr>
                <w:attr w:name="ProductID" w:val="2 400 m"/>
              </w:smartTagPr>
              <w:r w:rsidRPr="009E064B">
                <w:t>2 400 m</w:t>
              </w:r>
            </w:smartTag>
            <w:r w:rsidRPr="009E064B">
              <w:t>)</w:t>
            </w:r>
          </w:p>
        </w:tc>
        <w:tc>
          <w:tcPr>
            <w:tcW w:w="1840" w:type="dxa"/>
            <w:tcMar>
              <w:top w:w="85" w:type="dxa"/>
              <w:bottom w:w="85" w:type="dxa"/>
            </w:tcMar>
            <w:vAlign w:val="center"/>
          </w:tcPr>
          <w:p w14:paraId="6A7CF08F" w14:textId="77777777" w:rsidR="00C36D76" w:rsidRPr="009E064B" w:rsidRDefault="00C36D76" w:rsidP="00B06A9A">
            <w:pPr>
              <w:tabs>
                <w:tab w:val="left" w:pos="1276"/>
              </w:tabs>
              <w:spacing w:after="0"/>
              <w:jc w:val="center"/>
            </w:pPr>
            <w:r w:rsidRPr="009E064B">
              <w:t>4</w:t>
            </w:r>
          </w:p>
        </w:tc>
      </w:tr>
      <w:tr w:rsidR="00C36D76" w:rsidRPr="009E064B" w14:paraId="4FA4C71E" w14:textId="77777777" w:rsidTr="001E7BDB">
        <w:trPr>
          <w:trHeight w:val="340"/>
          <w:jc w:val="center"/>
        </w:trPr>
        <w:tc>
          <w:tcPr>
            <w:tcW w:w="4964" w:type="dxa"/>
            <w:tcMar>
              <w:top w:w="85" w:type="dxa"/>
              <w:bottom w:w="85" w:type="dxa"/>
            </w:tcMar>
            <w:vAlign w:val="center"/>
          </w:tcPr>
          <w:p w14:paraId="7876BAC6" w14:textId="77777777" w:rsidR="00C36D76" w:rsidRPr="009E064B" w:rsidRDefault="00C36D76" w:rsidP="00B06A9A">
            <w:pPr>
              <w:spacing w:after="0"/>
              <w:jc w:val="left"/>
            </w:pPr>
            <w:r w:rsidRPr="009E064B">
              <w:t>2 400 lub więcej</w:t>
            </w:r>
          </w:p>
        </w:tc>
        <w:tc>
          <w:tcPr>
            <w:tcW w:w="1840" w:type="dxa"/>
            <w:tcMar>
              <w:top w:w="85" w:type="dxa"/>
              <w:bottom w:w="85" w:type="dxa"/>
            </w:tcMar>
            <w:vAlign w:val="center"/>
          </w:tcPr>
          <w:p w14:paraId="7DE830CB" w14:textId="77777777" w:rsidR="00C36D76" w:rsidRPr="009E064B" w:rsidRDefault="00C36D76" w:rsidP="00B06A9A">
            <w:pPr>
              <w:tabs>
                <w:tab w:val="left" w:pos="1276"/>
              </w:tabs>
              <w:spacing w:after="0"/>
              <w:jc w:val="center"/>
            </w:pPr>
            <w:r w:rsidRPr="009E064B">
              <w:t>6</w:t>
            </w:r>
          </w:p>
        </w:tc>
      </w:tr>
    </w:tbl>
    <w:p w14:paraId="7F77AEF9" w14:textId="77777777" w:rsidR="00C36D76" w:rsidRPr="009E064B" w:rsidRDefault="00C36D76" w:rsidP="001E7BDB">
      <w:pPr>
        <w:tabs>
          <w:tab w:val="left" w:pos="567"/>
        </w:tabs>
        <w:autoSpaceDE w:val="0"/>
        <w:autoSpaceDN w:val="0"/>
        <w:adjustRightInd w:val="0"/>
        <w:spacing w:after="0"/>
        <w:ind w:left="567" w:hanging="567"/>
        <w:rPr>
          <w:rFonts w:cs="TimesNewRomanPSMT"/>
          <w:szCs w:val="20"/>
        </w:rPr>
      </w:pPr>
    </w:p>
    <w:p w14:paraId="2D8087EF"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Charakterystyki:</w:t>
      </w:r>
    </w:p>
    <w:p w14:paraId="36EBB0DE" w14:textId="5F73CF74" w:rsidR="00C36D76" w:rsidRPr="009E064B" w:rsidRDefault="00C36D76" w:rsidP="00B06A9A">
      <w:pPr>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 strefy przyziemienia powinno być zgodne z jednym z układów przedstawionych na Rysunku L-4. W układzie przedstawionym na Rysunku L-4</w:t>
      </w:r>
      <w:r w:rsidR="001E7BDB" w:rsidRPr="009E064B">
        <w:rPr>
          <w:rFonts w:cs="TimesNewRomanPSMT"/>
          <w:szCs w:val="20"/>
        </w:rPr>
        <w:t> </w:t>
      </w:r>
      <w:r w:rsidRPr="009E064B">
        <w:rPr>
          <w:rFonts w:cs="TimesNewRomanPSMT"/>
          <w:szCs w:val="20"/>
        </w:rPr>
        <w:t>(A), znaki powinny mieć nie mniej niż 22,5 m długości i nie mniej niż 3 m szerokości. W układzie przedstawionym na Rysunku L-4(B), każdy pas znaku powinien mieć nie mniej niż 22,5 m długości i nie mniej niż 1,8 m szerokości, a odstęp między sąsiednimi pasami powinien mieć 1,5 m.</w:t>
      </w:r>
    </w:p>
    <w:p w14:paraId="0AED14B6" w14:textId="77777777" w:rsidR="00C36D76" w:rsidRPr="009E064B" w:rsidRDefault="00C36D76" w:rsidP="00B06A9A">
      <w:pPr>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MT"/>
          <w:szCs w:val="20"/>
        </w:rPr>
        <w:t>Poprzeczny odstęp pomiędzy wewnętrznymi krawędziami prostokątów powinien być równy odstępom zastosowanym w oznakowaniu punktu celowania, jeżeli to oznakowanie istnieje. Jeżeli brak jest oznakowania punktu celowania, to poprzeczna odległość pomiędzy wewnętrznymi krawędziami prostokątów powinna być równa odstępom oznakowania punktu celowania podanym w Tabeli L-1 (odpowiednio kolumny (2), (3), (4) lub (5)). Pary oznakowania powinny być rozmieszczane wzdłuż drogi startowej co 150 m począwszy od progu, z wyjątkiem gdy pary oznakowania strefy przyziemienia pokrywają się lub znajdują się w odległości do 50 m od oznakowania punktu celowania, to wtedy powinny być one usunięte z tego układu.</w:t>
      </w:r>
    </w:p>
    <w:p w14:paraId="44403859" w14:textId="0BFE9A45" w:rsidR="00C36D76" w:rsidRPr="009E064B" w:rsidRDefault="00C36D76" w:rsidP="001E7BDB">
      <w:pPr>
        <w:autoSpaceDE w:val="0"/>
        <w:autoSpaceDN w:val="0"/>
        <w:adjustRightInd w:val="0"/>
        <w:spacing w:after="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W przypadku dróg startowych z podejściem nieprecyzyjnym o cyfrze kodu 2, dodatkową parę znaków strefy przyziemienia należy umieścić w odległości 150 m za początkiem oznakowania punktu celowania.</w:t>
      </w:r>
    </w:p>
    <w:p w14:paraId="6EBE8AF1" w14:textId="0D42D015" w:rsidR="00C36D76" w:rsidRPr="009E064B" w:rsidRDefault="000C7D6C" w:rsidP="001E7BDB">
      <w:pPr>
        <w:spacing w:after="0"/>
        <w:jc w:val="center"/>
        <w:rPr>
          <w:rFonts w:cs="TimesNewRomanPS-BoldMT"/>
          <w:bCs/>
          <w:sz w:val="16"/>
          <w:szCs w:val="20"/>
        </w:rPr>
      </w:pPr>
      <w:r w:rsidRPr="009E064B">
        <w:rPr>
          <w:noProof/>
          <w:lang w:eastAsia="pl-PL"/>
        </w:rPr>
        <w:drawing>
          <wp:inline distT="0" distB="0" distL="0" distR="0" wp14:anchorId="54D2297D" wp14:editId="09E3F789">
            <wp:extent cx="5652691" cy="7848600"/>
            <wp:effectExtent l="0" t="0" r="571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53946" cy="7850343"/>
                    </a:xfrm>
                    <a:prstGeom prst="rect">
                      <a:avLst/>
                    </a:prstGeom>
                    <a:noFill/>
                    <a:ln>
                      <a:noFill/>
                    </a:ln>
                  </pic:spPr>
                </pic:pic>
              </a:graphicData>
            </a:graphic>
          </wp:inline>
        </w:drawing>
      </w:r>
    </w:p>
    <w:p w14:paraId="2A60AF78" w14:textId="77777777" w:rsidR="00261C34" w:rsidRPr="005669D1" w:rsidRDefault="00C36D76" w:rsidP="00DD68B6">
      <w:pPr>
        <w:spacing w:after="0"/>
        <w:ind w:left="1276" w:hanging="1276"/>
        <w:jc w:val="center"/>
        <w:rPr>
          <w:rFonts w:cs="TimesNewRomanPS-BoldMT"/>
          <w:b/>
          <w:bCs/>
          <w:sz w:val="20"/>
          <w:szCs w:val="20"/>
        </w:rPr>
      </w:pPr>
      <w:r w:rsidRPr="005669D1">
        <w:rPr>
          <w:rFonts w:cs="TimesNewRomanPS-BoldMT"/>
          <w:b/>
          <w:bCs/>
          <w:sz w:val="20"/>
          <w:szCs w:val="20"/>
        </w:rPr>
        <w:t>Rysunek L-4.  Oznakowanie punktu celowania i strefy przyziemienia</w:t>
      </w:r>
      <w:r w:rsidRPr="005669D1">
        <w:rPr>
          <w:rFonts w:cs="TimesNewRomanPS-BoldMT"/>
          <w:b/>
          <w:bCs/>
          <w:sz w:val="20"/>
          <w:szCs w:val="20"/>
        </w:rPr>
        <w:br/>
        <w:t>(dla drogi startowej o długości 2 400 m lub większej)</w:t>
      </w:r>
    </w:p>
    <w:p w14:paraId="59ED0B37" w14:textId="753DD2F1" w:rsidR="005669D1" w:rsidRDefault="000C7D6C" w:rsidP="005669D1">
      <w:pPr>
        <w:spacing w:before="120" w:after="0"/>
        <w:ind w:left="1276" w:hanging="1276"/>
        <w:jc w:val="left"/>
        <w:rPr>
          <w:rFonts w:asciiTheme="minorHAnsi" w:hAnsiTheme="minorHAnsi" w:cstheme="minorHAnsi"/>
          <w:i/>
          <w:sz w:val="16"/>
          <w:szCs w:val="16"/>
        </w:rPr>
      </w:pPr>
      <w:r w:rsidRPr="009E064B">
        <w:rPr>
          <w:rFonts w:asciiTheme="minorHAnsi" w:hAnsiTheme="minorHAnsi" w:cstheme="minorHAnsi"/>
          <w:i/>
          <w:sz w:val="16"/>
          <w:szCs w:val="16"/>
        </w:rPr>
        <w:t>[</w:t>
      </w:r>
      <w:r w:rsidR="00261C34" w:rsidRPr="009E064B">
        <w:rPr>
          <w:rFonts w:asciiTheme="minorHAnsi" w:hAnsiTheme="minorHAnsi" w:cstheme="minorHAnsi"/>
          <w:i/>
          <w:sz w:val="16"/>
          <w:szCs w:val="16"/>
        </w:rPr>
        <w:t>Wydanie: ADR-DSN/3]</w:t>
      </w:r>
      <w:r w:rsidR="005669D1">
        <w:rPr>
          <w:rFonts w:asciiTheme="minorHAnsi" w:hAnsiTheme="minorHAnsi" w:cstheme="minorHAnsi"/>
          <w:i/>
          <w:sz w:val="16"/>
          <w:szCs w:val="16"/>
        </w:rPr>
        <w:t xml:space="preserve"> </w:t>
      </w:r>
      <w:r w:rsidR="005669D1">
        <w:rPr>
          <w:rFonts w:asciiTheme="minorHAnsi" w:hAnsiTheme="minorHAnsi" w:cstheme="minorHAnsi"/>
          <w:i/>
          <w:sz w:val="16"/>
          <w:szCs w:val="16"/>
        </w:rPr>
        <w:br w:type="page"/>
      </w:r>
    </w:p>
    <w:p w14:paraId="5FD253BF" w14:textId="77777777" w:rsidR="005669D1" w:rsidRDefault="005669D1" w:rsidP="005669D1">
      <w:pPr>
        <w:spacing w:before="120" w:after="0"/>
        <w:ind w:left="1276" w:hanging="1276"/>
        <w:jc w:val="left"/>
        <w:rPr>
          <w:rFonts w:asciiTheme="minorHAnsi" w:hAnsiTheme="minorHAnsi" w:cstheme="minorHAnsi"/>
          <w:i/>
          <w:sz w:val="16"/>
          <w:szCs w:val="16"/>
        </w:rPr>
      </w:pPr>
    </w:p>
    <w:p w14:paraId="51B0B92A" w14:textId="0783985C" w:rsidR="00454C4B" w:rsidRPr="009E064B" w:rsidRDefault="00A73874" w:rsidP="00133B99">
      <w:pPr>
        <w:pStyle w:val="Nagwek6"/>
      </w:pPr>
      <w:bookmarkStart w:id="1368" w:name="_Toc482886874"/>
      <w:bookmarkStart w:id="1369" w:name="_Toc12533141"/>
      <w:r w:rsidRPr="009E064B">
        <w:t xml:space="preserve">GM1 ADR-DSN.L.545     </w:t>
      </w:r>
      <w:r w:rsidR="00454C4B" w:rsidRPr="009E064B">
        <w:t>Oznakowanie strefy przyziemienia</w:t>
      </w:r>
      <w:bookmarkEnd w:id="1368"/>
      <w:bookmarkEnd w:id="1369"/>
    </w:p>
    <w:p w14:paraId="00426B49" w14:textId="721424C1"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3BC517C" w14:textId="04FCBFBF" w:rsidR="00454C4B" w:rsidRPr="009E064B" w:rsidRDefault="00454C4B" w:rsidP="00A73874">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W celu zapewnienia informacji o oznakowaniu strefy przyziemienia z informacją o </w:t>
      </w:r>
      <w:r w:rsidRPr="009E064B">
        <w:rPr>
          <w:rFonts w:eastAsia="Times New Roman,Italic" w:cs="Times New Roman,Italic"/>
          <w:iCs/>
          <w:szCs w:val="20"/>
        </w:rPr>
        <w:t>odległości</w:t>
      </w:r>
      <w:r w:rsidRPr="009E064B">
        <w:rPr>
          <w:szCs w:val="20"/>
        </w:rPr>
        <w:t>, jak o</w:t>
      </w:r>
      <w:r w:rsidR="005E3E07" w:rsidRPr="009E064B">
        <w:rPr>
          <w:szCs w:val="20"/>
        </w:rPr>
        <w:t xml:space="preserve">kreślono w </w:t>
      </w:r>
      <w:hyperlink w:anchor="_CS_ADR-DSN.L.545_" w:history="1">
        <w:r w:rsidR="005E3E07" w:rsidRPr="009E064B">
          <w:rPr>
            <w:rStyle w:val="Hipercze"/>
            <w:szCs w:val="20"/>
          </w:rPr>
          <w:t>CS </w:t>
        </w:r>
        <w:r w:rsidRPr="009E064B">
          <w:rPr>
            <w:rStyle w:val="Hipercze"/>
            <w:szCs w:val="20"/>
          </w:rPr>
          <w:t>ADR-DSN.L.545</w:t>
        </w:r>
      </w:hyperlink>
      <w:r w:rsidRPr="009E064B">
        <w:rPr>
          <w:szCs w:val="20"/>
        </w:rPr>
        <w:t xml:space="preserve">, ostatnia para w oznakowaniu znajdująca się za progiem powinna składać się z dwóch pojedynczych pasów, a </w:t>
      </w:r>
      <w:r w:rsidR="005E3E07" w:rsidRPr="009E064B">
        <w:rPr>
          <w:szCs w:val="20"/>
        </w:rPr>
        <w:t>druga para powinna być zgodna z </w:t>
      </w:r>
      <w:r w:rsidRPr="009E064B">
        <w:rPr>
          <w:szCs w:val="20"/>
        </w:rPr>
        <w:t>układem przedstawionym na Rysunku L-4.</w:t>
      </w:r>
    </w:p>
    <w:p w14:paraId="6A8EB1A0"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Taki</w:t>
      </w:r>
      <w:r w:rsidRPr="009E064B">
        <w:rPr>
          <w:szCs w:val="20"/>
        </w:rPr>
        <w:t xml:space="preserve"> sekwencyjny układ daje intuicyjną informację o odległości strefy przyziemienia oraz, w konsekwencji, o rozporządzalnej długości lądowania lub o odległości pomiędzy progami.</w:t>
      </w:r>
    </w:p>
    <w:p w14:paraId="22B92CC0" w14:textId="69D41666" w:rsidR="00C36D76" w:rsidRPr="009E064B" w:rsidRDefault="00A73874" w:rsidP="00B06A9A">
      <w:pPr>
        <w:pStyle w:val="Nagwek4"/>
        <w:rPr>
          <w:color w:val="auto"/>
        </w:rPr>
      </w:pPr>
      <w:bookmarkStart w:id="1370" w:name="_Toc482886651"/>
      <w:bookmarkStart w:id="1371" w:name="_Toc12533142"/>
      <w:r w:rsidRPr="009E064B">
        <w:rPr>
          <w:color w:val="auto"/>
        </w:rPr>
        <w:t xml:space="preserve">CS ADR-DSN.L.550     </w:t>
      </w:r>
      <w:r w:rsidR="00C36D76" w:rsidRPr="009E064B">
        <w:rPr>
          <w:color w:val="auto"/>
        </w:rPr>
        <w:t>Oznakowanie linii bocznej drogi startowej</w:t>
      </w:r>
      <w:bookmarkEnd w:id="1370"/>
      <w:bookmarkEnd w:id="1371"/>
    </w:p>
    <w:p w14:paraId="092022CC" w14:textId="263237B3"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4F68BC8" w14:textId="6E91B97B" w:rsidR="00C36D76" w:rsidRPr="009E064B" w:rsidRDefault="00C36D76" w:rsidP="00A73874">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r w:rsidRPr="009E064B">
        <w:rPr>
          <w:rFonts w:cs="TimesNewRomanPSMT"/>
          <w:szCs w:val="20"/>
        </w:rPr>
        <w:t>:</w:t>
      </w:r>
    </w:p>
    <w:p w14:paraId="715D53D1"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 linii bocznej drogi startowej powinno być zapewnione pomiędzy progami drogi startowej o nawierzchni sztucznej, jeżeli kontrast pomiędzy krawędziami drogi startowej a poboczami lub terenem przyległym jest niewystarczający.</w:t>
      </w:r>
    </w:p>
    <w:p w14:paraId="246562CD"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 linii bocznej drogi startowej powinno być zapewnione na drogach startowych z podejściem precyzyjnym, niezależnie od stopnia kontrastu pomiędzy krawędziami drogi startowej a poboczami lub przyległym terenem.</w:t>
      </w:r>
    </w:p>
    <w:p w14:paraId="608C1F46"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t>Lokalizacja</w:t>
      </w:r>
      <w:r w:rsidRPr="009E064B">
        <w:rPr>
          <w:rFonts w:cs="TimesNewRomanPS-BoldItalicMT"/>
          <w:bCs/>
          <w:iCs/>
          <w:szCs w:val="20"/>
        </w:rPr>
        <w:t xml:space="preserve"> i charakterystyka:</w:t>
      </w:r>
    </w:p>
    <w:p w14:paraId="7A98A13C" w14:textId="43915023"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 xml:space="preserve">Oznakowanie linii bocznej drogi startowej powinno składać się z dwóch linii (pasów) rozmieszczonych wzdłuż obydwu krawędzi drogi startowej w taki sposób, aby zewnętrzna krawędź każdej linii pokrywała się w przybliżeniu z krawędzią drogi startowej, z wyjątkiem przypadku, gdy szerokość drogi startowej przekracza 60 m, to linie boczne oznakowania drogi startowej powinny </w:t>
      </w:r>
      <w:r w:rsidR="001E7BDB" w:rsidRPr="009E064B">
        <w:rPr>
          <w:rFonts w:cs="TimesNewRomanPS-ItalicMT"/>
          <w:iCs/>
          <w:szCs w:val="20"/>
        </w:rPr>
        <w:t>być umieszczone w odległości 30 </w:t>
      </w:r>
      <w:r w:rsidRPr="009E064B">
        <w:rPr>
          <w:rFonts w:cs="TimesNewRomanPS-ItalicMT"/>
          <w:iCs/>
          <w:szCs w:val="20"/>
        </w:rPr>
        <w:t>m od linii środkowej tej drogi startowej.</w:t>
      </w:r>
    </w:p>
    <w:p w14:paraId="4C6E6EB6"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Gdy zapewniana jest</w:t>
      </w:r>
      <w:r w:rsidRPr="009E064B">
        <w:rPr>
          <w:rFonts w:cs="TimesNewRomanPS-ItalicMT"/>
          <w:iCs/>
          <w:szCs w:val="20"/>
        </w:rPr>
        <w:t xml:space="preserve"> płaszczyzna do zawracania na drodze startowej, oznakowanie linii bocznej drogi startowej powinno być zachowane pomiędzy tą drogą startową a daną płaszczyzną do zawracania.</w:t>
      </w:r>
    </w:p>
    <w:p w14:paraId="719986E5" w14:textId="69FA24CA" w:rsidR="00A73874"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Szerokość linii bocznej drogi startowej powinna wynosić, co najmniej 0.9 m na drogach startowych o szerokości 30 m lub większej i co najmniej 0.45 m na węższych drogach startowych.</w:t>
      </w:r>
    </w:p>
    <w:p w14:paraId="094929AE" w14:textId="678099CC" w:rsidR="00454C4B" w:rsidRPr="009E064B" w:rsidRDefault="00454C4B" w:rsidP="00133B99">
      <w:pPr>
        <w:pStyle w:val="Nagwek6"/>
      </w:pPr>
      <w:bookmarkStart w:id="1372" w:name="_Toc401059008"/>
      <w:bookmarkStart w:id="1373" w:name="_Toc482886875"/>
      <w:bookmarkStart w:id="1374" w:name="_Toc12533143"/>
      <w:r w:rsidRPr="009E064B">
        <w:t xml:space="preserve">GM1 ADR-DSN.L.550 </w:t>
      </w:r>
      <w:r w:rsidR="00A73874" w:rsidRPr="009E064B">
        <w:t xml:space="preserve">    </w:t>
      </w:r>
      <w:r w:rsidRPr="009E064B">
        <w:t>Oznakowanie linii bocznej drogi startowej</w:t>
      </w:r>
      <w:bookmarkEnd w:id="1372"/>
      <w:bookmarkEnd w:id="1373"/>
      <w:bookmarkEnd w:id="1374"/>
    </w:p>
    <w:p w14:paraId="366B1ACC" w14:textId="5DE77FC4"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6D0AB3C" w14:textId="71C8F8E5" w:rsidR="00454C4B" w:rsidRPr="009E064B" w:rsidRDefault="00454C4B" w:rsidP="00B06A9A">
      <w:pPr>
        <w:autoSpaceDE w:val="0"/>
        <w:autoSpaceDN w:val="0"/>
        <w:adjustRightInd w:val="0"/>
        <w:spacing w:after="0"/>
        <w:rPr>
          <w:szCs w:val="20"/>
        </w:rPr>
      </w:pPr>
      <w:r w:rsidRPr="009E064B">
        <w:rPr>
          <w:szCs w:val="20"/>
        </w:rPr>
        <w:t>Jeżeli na końcu drogi startowej nie jest zapewniana płaszczyzna do zawracania w celu wykonania zwrotu o 180 stopni oraz próg drogi startowej jest przesunięty, aby lepiej zidentyfikować powierzchnie nośne, użyteczne może okazać się wystawienie okre</w:t>
      </w:r>
      <w:r w:rsidR="005E3E07" w:rsidRPr="009E064B">
        <w:rPr>
          <w:szCs w:val="20"/>
        </w:rPr>
        <w:t>ślonego oznakowania poziomego w </w:t>
      </w:r>
      <w:r w:rsidRPr="009E064B">
        <w:rPr>
          <w:szCs w:val="20"/>
        </w:rPr>
        <w:t xml:space="preserve">postaci linii przerywanej jak przedstawiono na Rysunku GM-L-1 z zachowaniem wymiarów zawartych w Tabeli </w:t>
      </w:r>
      <w:r w:rsidR="00010E03" w:rsidRPr="009E064B">
        <w:rPr>
          <w:szCs w:val="20"/>
        </w:rPr>
        <w:br/>
      </w:r>
      <w:r w:rsidRPr="009E064B">
        <w:rPr>
          <w:szCs w:val="20"/>
        </w:rPr>
        <w:t>GM-L-1.</w:t>
      </w:r>
    </w:p>
    <w:p w14:paraId="1E461163" w14:textId="48B71810" w:rsidR="00454C4B" w:rsidRPr="009E064B" w:rsidRDefault="00454C4B" w:rsidP="00B06A9A">
      <w:pPr>
        <w:autoSpaceDE w:val="0"/>
        <w:autoSpaceDN w:val="0"/>
        <w:adjustRightInd w:val="0"/>
        <w:spacing w:after="0"/>
        <w:jc w:val="center"/>
        <w:rPr>
          <w:szCs w:val="20"/>
        </w:rPr>
      </w:pPr>
    </w:p>
    <w:p w14:paraId="3322EE23" w14:textId="7701F983" w:rsidR="001E7BDB" w:rsidRPr="009E064B" w:rsidRDefault="001E7BDB">
      <w:pPr>
        <w:spacing w:after="0"/>
        <w:jc w:val="left"/>
        <w:rPr>
          <w:szCs w:val="20"/>
        </w:rPr>
      </w:pPr>
      <w:r w:rsidRPr="009E064B">
        <w:rPr>
          <w:szCs w:val="20"/>
        </w:rPr>
        <w:br w:type="page"/>
      </w:r>
    </w:p>
    <w:p w14:paraId="21CE1598" w14:textId="77777777" w:rsidR="001E7BDB" w:rsidRPr="009E064B" w:rsidRDefault="001E7BDB" w:rsidP="00B06A9A">
      <w:pPr>
        <w:autoSpaceDE w:val="0"/>
        <w:autoSpaceDN w:val="0"/>
        <w:adjustRightInd w:val="0"/>
        <w:spacing w:after="0"/>
        <w:jc w:val="center"/>
        <w:rPr>
          <w:szCs w:val="20"/>
        </w:rPr>
      </w:pPr>
    </w:p>
    <w:p w14:paraId="0115CEB9" w14:textId="0462D29D" w:rsidR="00454C4B" w:rsidRPr="009E064B" w:rsidRDefault="001E7BDB" w:rsidP="00B06A9A">
      <w:pPr>
        <w:autoSpaceDE w:val="0"/>
        <w:autoSpaceDN w:val="0"/>
        <w:adjustRightInd w:val="0"/>
        <w:spacing w:after="0"/>
        <w:jc w:val="center"/>
        <w:rPr>
          <w:szCs w:val="20"/>
        </w:rPr>
      </w:pPr>
      <w:r w:rsidRPr="009E064B">
        <w:rPr>
          <w:noProof/>
          <w:szCs w:val="20"/>
          <w:lang w:eastAsia="pl-PL"/>
        </w:rPr>
        <w:drawing>
          <wp:inline distT="0" distB="0" distL="0" distR="0" wp14:anchorId="19B610A4" wp14:editId="099BF580">
            <wp:extent cx="4151630" cy="4298315"/>
            <wp:effectExtent l="0" t="0" r="1270" b="698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51630" cy="4298315"/>
                    </a:xfrm>
                    <a:prstGeom prst="rect">
                      <a:avLst/>
                    </a:prstGeom>
                    <a:noFill/>
                  </pic:spPr>
                </pic:pic>
              </a:graphicData>
            </a:graphic>
          </wp:inline>
        </w:drawing>
      </w:r>
    </w:p>
    <w:p w14:paraId="3CA834D2" w14:textId="77777777" w:rsidR="00454C4B" w:rsidRPr="009E064B" w:rsidRDefault="00454C4B" w:rsidP="00B06A9A">
      <w:pPr>
        <w:autoSpaceDE w:val="0"/>
        <w:autoSpaceDN w:val="0"/>
        <w:adjustRightInd w:val="0"/>
        <w:spacing w:after="0"/>
        <w:jc w:val="center"/>
        <w:rPr>
          <w:szCs w:val="20"/>
        </w:rPr>
      </w:pPr>
    </w:p>
    <w:p w14:paraId="1BFF3D2D" w14:textId="77777777" w:rsidR="00454C4B" w:rsidRPr="005669D1" w:rsidRDefault="00454C4B" w:rsidP="00B06A9A">
      <w:pPr>
        <w:autoSpaceDE w:val="0"/>
        <w:autoSpaceDN w:val="0"/>
        <w:adjustRightInd w:val="0"/>
        <w:jc w:val="center"/>
        <w:rPr>
          <w:rFonts w:cs="TimesNewRomanPS-BoldItalicMT"/>
          <w:b/>
          <w:bCs/>
          <w:iCs/>
          <w:sz w:val="20"/>
          <w:szCs w:val="20"/>
        </w:rPr>
      </w:pPr>
      <w:r w:rsidRPr="005669D1">
        <w:rPr>
          <w:rFonts w:cs="TimesNewRomanPS-BoldItalicMT"/>
          <w:b/>
          <w:bCs/>
          <w:iCs/>
          <w:sz w:val="20"/>
          <w:szCs w:val="20"/>
        </w:rPr>
        <w:t>Rysunek GM-L-1.  Oznakowanie przerywane linii bocznej drogi startowej</w:t>
      </w:r>
    </w:p>
    <w:p w14:paraId="29DAA0F8" w14:textId="77777777" w:rsidR="00454C4B" w:rsidRPr="009E064B" w:rsidRDefault="00454C4B" w:rsidP="00C126F7">
      <w:pPr>
        <w:spacing w:after="0"/>
        <w:ind w:left="425" w:right="-6" w:hanging="425"/>
        <w:jc w:val="left"/>
        <w:rPr>
          <w:rFonts w:cs="TimesNewRomanPS-BoldItalicMT"/>
          <w:bCs/>
          <w:iCs/>
          <w:szCs w:val="20"/>
        </w:rPr>
      </w:pPr>
    </w:p>
    <w:p w14:paraId="435E17B8" w14:textId="77777777" w:rsidR="00454C4B" w:rsidRPr="009E064B" w:rsidRDefault="00454C4B" w:rsidP="00B06A9A">
      <w:pPr>
        <w:autoSpaceDE w:val="0"/>
        <w:autoSpaceDN w:val="0"/>
        <w:adjustRightInd w:val="0"/>
        <w:rPr>
          <w:rFonts w:cs="TimesNewRomanPS-BoldItalicMT"/>
          <w:bCs/>
          <w:iCs/>
          <w:szCs w:val="20"/>
        </w:rPr>
      </w:pPr>
    </w:p>
    <w:tbl>
      <w:tblPr>
        <w:tblStyle w:val="Tabela-Siatka"/>
        <w:tblW w:w="0" w:type="auto"/>
        <w:tblInd w:w="988" w:type="dxa"/>
        <w:tblCellMar>
          <w:top w:w="28" w:type="dxa"/>
          <w:left w:w="57" w:type="dxa"/>
          <w:bottom w:w="28" w:type="dxa"/>
          <w:right w:w="57" w:type="dxa"/>
        </w:tblCellMar>
        <w:tblLook w:val="04A0" w:firstRow="1" w:lastRow="0" w:firstColumn="1" w:lastColumn="0" w:noHBand="0" w:noVBand="1"/>
      </w:tblPr>
      <w:tblGrid>
        <w:gridCol w:w="2693"/>
        <w:gridCol w:w="2268"/>
        <w:gridCol w:w="2268"/>
      </w:tblGrid>
      <w:tr w:rsidR="00454C4B" w:rsidRPr="009E064B" w14:paraId="6B7C9637" w14:textId="77777777" w:rsidTr="00C80511">
        <w:tc>
          <w:tcPr>
            <w:tcW w:w="2693" w:type="dxa"/>
            <w:vMerge w:val="restart"/>
            <w:tcMar>
              <w:top w:w="57" w:type="dxa"/>
              <w:bottom w:w="57" w:type="dxa"/>
            </w:tcMar>
            <w:vAlign w:val="center"/>
          </w:tcPr>
          <w:p w14:paraId="0BC0CE94" w14:textId="77777777" w:rsidR="00454C4B" w:rsidRPr="009E064B" w:rsidRDefault="00454C4B" w:rsidP="00C126F7">
            <w:pPr>
              <w:autoSpaceDE w:val="0"/>
              <w:autoSpaceDN w:val="0"/>
              <w:adjustRightInd w:val="0"/>
              <w:spacing w:before="40" w:after="40"/>
              <w:jc w:val="center"/>
              <w:rPr>
                <w:rFonts w:cs="TimesNewRomanPS-BoldItalicMT"/>
                <w:b/>
                <w:bCs/>
                <w:iCs/>
                <w:szCs w:val="20"/>
              </w:rPr>
            </w:pPr>
            <w:r w:rsidRPr="009E064B">
              <w:rPr>
                <w:rFonts w:cs="TimesNewRomanPS-BoldItalicMT"/>
                <w:b/>
                <w:bCs/>
                <w:iCs/>
                <w:szCs w:val="20"/>
              </w:rPr>
              <w:t>Szerokość drogi startowej</w:t>
            </w:r>
            <w:r w:rsidRPr="009E064B">
              <w:rPr>
                <w:rFonts w:cs="TimesNewRomanPS-BoldItalicMT"/>
                <w:b/>
                <w:bCs/>
                <w:iCs/>
                <w:szCs w:val="20"/>
              </w:rPr>
              <w:br/>
            </w:r>
            <w:r w:rsidRPr="009E064B">
              <w:rPr>
                <w:rFonts w:cs="TimesNewRomanPS-BoldItalicMT"/>
                <w:bCs/>
                <w:iCs/>
                <w:szCs w:val="20"/>
              </w:rPr>
              <w:t xml:space="preserve"> (m)</w:t>
            </w:r>
          </w:p>
        </w:tc>
        <w:tc>
          <w:tcPr>
            <w:tcW w:w="4536" w:type="dxa"/>
            <w:gridSpan w:val="2"/>
            <w:tcMar>
              <w:top w:w="57" w:type="dxa"/>
              <w:bottom w:w="57" w:type="dxa"/>
            </w:tcMar>
            <w:vAlign w:val="center"/>
          </w:tcPr>
          <w:p w14:paraId="7EC1CA58" w14:textId="77777777" w:rsidR="00454C4B" w:rsidRPr="009E064B" w:rsidRDefault="00454C4B" w:rsidP="00C126F7">
            <w:pPr>
              <w:autoSpaceDE w:val="0"/>
              <w:autoSpaceDN w:val="0"/>
              <w:adjustRightInd w:val="0"/>
              <w:spacing w:before="40" w:after="40"/>
              <w:jc w:val="center"/>
              <w:rPr>
                <w:rFonts w:cs="TimesNewRomanPS-BoldItalicMT"/>
                <w:b/>
                <w:bCs/>
                <w:iCs/>
                <w:szCs w:val="20"/>
              </w:rPr>
            </w:pPr>
            <w:r w:rsidRPr="009E064B">
              <w:rPr>
                <w:rFonts w:cs="TimesNewRomanPS-BoldItalicMT"/>
                <w:b/>
                <w:bCs/>
                <w:iCs/>
                <w:szCs w:val="20"/>
              </w:rPr>
              <w:t>Wymiary pojedynczej kreski</w:t>
            </w:r>
          </w:p>
        </w:tc>
      </w:tr>
      <w:tr w:rsidR="00454C4B" w:rsidRPr="009E064B" w14:paraId="52D780A3" w14:textId="77777777" w:rsidTr="00C80511">
        <w:tc>
          <w:tcPr>
            <w:tcW w:w="2693" w:type="dxa"/>
            <w:vMerge/>
            <w:tcMar>
              <w:top w:w="57" w:type="dxa"/>
              <w:bottom w:w="57" w:type="dxa"/>
            </w:tcMar>
            <w:vAlign w:val="center"/>
          </w:tcPr>
          <w:p w14:paraId="259BACC0" w14:textId="77777777" w:rsidR="00454C4B" w:rsidRPr="009E064B" w:rsidRDefault="00454C4B" w:rsidP="00C126F7">
            <w:pPr>
              <w:autoSpaceDE w:val="0"/>
              <w:autoSpaceDN w:val="0"/>
              <w:adjustRightInd w:val="0"/>
              <w:spacing w:before="40" w:after="40"/>
              <w:jc w:val="center"/>
              <w:rPr>
                <w:rFonts w:cs="TimesNewRomanPS-BoldItalicMT"/>
                <w:bCs/>
                <w:iCs/>
                <w:szCs w:val="20"/>
              </w:rPr>
            </w:pPr>
          </w:p>
        </w:tc>
        <w:tc>
          <w:tcPr>
            <w:tcW w:w="2268" w:type="dxa"/>
            <w:tcMar>
              <w:top w:w="57" w:type="dxa"/>
              <w:bottom w:w="57" w:type="dxa"/>
            </w:tcMar>
            <w:vAlign w:val="center"/>
          </w:tcPr>
          <w:p w14:paraId="603F0376" w14:textId="34EC2A54" w:rsidR="00454C4B" w:rsidRPr="009E064B" w:rsidRDefault="00454C4B" w:rsidP="00AF52F5">
            <w:pPr>
              <w:autoSpaceDE w:val="0"/>
              <w:autoSpaceDN w:val="0"/>
              <w:adjustRightInd w:val="0"/>
              <w:spacing w:before="40" w:after="40"/>
              <w:jc w:val="center"/>
              <w:rPr>
                <w:rFonts w:cs="TimesNewRomanPS-BoldItalicMT"/>
                <w:bCs/>
                <w:iCs/>
                <w:szCs w:val="20"/>
              </w:rPr>
            </w:pPr>
            <w:r w:rsidRPr="009E064B">
              <w:rPr>
                <w:rFonts w:cs="TimesNewRomanPS-BoldItalicMT"/>
                <w:b/>
                <w:bCs/>
                <w:iCs/>
                <w:szCs w:val="20"/>
              </w:rPr>
              <w:t>Długość</w:t>
            </w:r>
            <w:r w:rsidRPr="009E064B">
              <w:rPr>
                <w:rFonts w:cs="TimesNewRomanPS-BoldItalicMT"/>
                <w:bCs/>
                <w:iCs/>
                <w:szCs w:val="20"/>
              </w:rPr>
              <w:t xml:space="preserve"> (min</w:t>
            </w:r>
            <w:r w:rsidR="00AF52F5" w:rsidRPr="009E064B">
              <w:rPr>
                <w:rFonts w:cs="TimesNewRomanPS-BoldItalicMT"/>
                <w:bCs/>
                <w:iCs/>
                <w:szCs w:val="20"/>
              </w:rPr>
              <w:t>imum</w:t>
            </w:r>
            <w:r w:rsidRPr="009E064B">
              <w:rPr>
                <w:rFonts w:cs="TimesNewRomanPS-BoldItalicMT"/>
                <w:bCs/>
                <w:iCs/>
                <w:szCs w:val="20"/>
              </w:rPr>
              <w:t xml:space="preserve"> m)</w:t>
            </w:r>
          </w:p>
        </w:tc>
        <w:tc>
          <w:tcPr>
            <w:tcW w:w="2268" w:type="dxa"/>
            <w:tcMar>
              <w:top w:w="57" w:type="dxa"/>
              <w:bottom w:w="57" w:type="dxa"/>
            </w:tcMar>
            <w:vAlign w:val="center"/>
          </w:tcPr>
          <w:p w14:paraId="6C74AB2B"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
                <w:bCs/>
                <w:iCs/>
                <w:szCs w:val="20"/>
              </w:rPr>
              <w:t>Szerokość</w:t>
            </w:r>
            <w:r w:rsidRPr="009E064B">
              <w:rPr>
                <w:rFonts w:cs="TimesNewRomanPS-BoldItalicMT"/>
                <w:bCs/>
                <w:iCs/>
                <w:szCs w:val="20"/>
              </w:rPr>
              <w:t xml:space="preserve"> (m)</w:t>
            </w:r>
          </w:p>
        </w:tc>
      </w:tr>
      <w:tr w:rsidR="00454C4B" w:rsidRPr="009E064B" w14:paraId="350D0876" w14:textId="77777777" w:rsidTr="00C80511">
        <w:tc>
          <w:tcPr>
            <w:tcW w:w="2693" w:type="dxa"/>
            <w:tcMar>
              <w:top w:w="85" w:type="dxa"/>
              <w:bottom w:w="85" w:type="dxa"/>
            </w:tcMar>
            <w:vAlign w:val="center"/>
          </w:tcPr>
          <w:p w14:paraId="306EDC56"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60</w:t>
            </w:r>
          </w:p>
        </w:tc>
        <w:tc>
          <w:tcPr>
            <w:tcW w:w="2268" w:type="dxa"/>
            <w:tcMar>
              <w:top w:w="85" w:type="dxa"/>
              <w:bottom w:w="85" w:type="dxa"/>
            </w:tcMar>
            <w:vAlign w:val="center"/>
          </w:tcPr>
          <w:p w14:paraId="28079108"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15</w:t>
            </w:r>
          </w:p>
        </w:tc>
        <w:tc>
          <w:tcPr>
            <w:tcW w:w="2268" w:type="dxa"/>
            <w:tcMar>
              <w:top w:w="85" w:type="dxa"/>
              <w:bottom w:w="85" w:type="dxa"/>
            </w:tcMar>
            <w:vAlign w:val="center"/>
          </w:tcPr>
          <w:p w14:paraId="4553A5D0"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0,45</w:t>
            </w:r>
          </w:p>
        </w:tc>
      </w:tr>
      <w:tr w:rsidR="00454C4B" w:rsidRPr="009E064B" w14:paraId="0CD7A9B8" w14:textId="77777777" w:rsidTr="00C80511">
        <w:tc>
          <w:tcPr>
            <w:tcW w:w="2693" w:type="dxa"/>
            <w:tcMar>
              <w:top w:w="85" w:type="dxa"/>
              <w:bottom w:w="85" w:type="dxa"/>
            </w:tcMar>
            <w:vAlign w:val="center"/>
          </w:tcPr>
          <w:p w14:paraId="500A5FEC"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45</w:t>
            </w:r>
          </w:p>
        </w:tc>
        <w:tc>
          <w:tcPr>
            <w:tcW w:w="2268" w:type="dxa"/>
            <w:tcMar>
              <w:top w:w="85" w:type="dxa"/>
              <w:bottom w:w="85" w:type="dxa"/>
            </w:tcMar>
            <w:vAlign w:val="center"/>
          </w:tcPr>
          <w:p w14:paraId="390EBE65"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15</w:t>
            </w:r>
          </w:p>
        </w:tc>
        <w:tc>
          <w:tcPr>
            <w:tcW w:w="2268" w:type="dxa"/>
            <w:tcMar>
              <w:top w:w="85" w:type="dxa"/>
              <w:bottom w:w="85" w:type="dxa"/>
            </w:tcMar>
            <w:vAlign w:val="center"/>
          </w:tcPr>
          <w:p w14:paraId="05AB047C"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0,45</w:t>
            </w:r>
          </w:p>
        </w:tc>
      </w:tr>
      <w:tr w:rsidR="00454C4B" w:rsidRPr="009E064B" w14:paraId="4D5BF87A" w14:textId="77777777" w:rsidTr="00C80511">
        <w:tc>
          <w:tcPr>
            <w:tcW w:w="2693" w:type="dxa"/>
            <w:tcMar>
              <w:top w:w="85" w:type="dxa"/>
              <w:bottom w:w="85" w:type="dxa"/>
            </w:tcMar>
            <w:vAlign w:val="center"/>
          </w:tcPr>
          <w:p w14:paraId="4896B2D0"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30</w:t>
            </w:r>
          </w:p>
        </w:tc>
        <w:tc>
          <w:tcPr>
            <w:tcW w:w="2268" w:type="dxa"/>
            <w:tcMar>
              <w:top w:w="85" w:type="dxa"/>
              <w:bottom w:w="85" w:type="dxa"/>
            </w:tcMar>
            <w:vAlign w:val="center"/>
          </w:tcPr>
          <w:p w14:paraId="5856AD87"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10</w:t>
            </w:r>
          </w:p>
        </w:tc>
        <w:tc>
          <w:tcPr>
            <w:tcW w:w="2268" w:type="dxa"/>
            <w:tcMar>
              <w:top w:w="85" w:type="dxa"/>
              <w:bottom w:w="85" w:type="dxa"/>
            </w:tcMar>
            <w:vAlign w:val="center"/>
          </w:tcPr>
          <w:p w14:paraId="104BF754"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0,45</w:t>
            </w:r>
          </w:p>
        </w:tc>
      </w:tr>
      <w:tr w:rsidR="00454C4B" w:rsidRPr="009E064B" w14:paraId="6A4A1571" w14:textId="77777777" w:rsidTr="00C80511">
        <w:tc>
          <w:tcPr>
            <w:tcW w:w="2693" w:type="dxa"/>
            <w:tcMar>
              <w:top w:w="85" w:type="dxa"/>
              <w:bottom w:w="85" w:type="dxa"/>
            </w:tcMar>
            <w:vAlign w:val="center"/>
          </w:tcPr>
          <w:p w14:paraId="5C584B8B"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23</w:t>
            </w:r>
          </w:p>
        </w:tc>
        <w:tc>
          <w:tcPr>
            <w:tcW w:w="2268" w:type="dxa"/>
            <w:tcMar>
              <w:top w:w="85" w:type="dxa"/>
              <w:bottom w:w="85" w:type="dxa"/>
            </w:tcMar>
            <w:vAlign w:val="center"/>
          </w:tcPr>
          <w:p w14:paraId="4256EA90"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6</w:t>
            </w:r>
          </w:p>
        </w:tc>
        <w:tc>
          <w:tcPr>
            <w:tcW w:w="2268" w:type="dxa"/>
            <w:tcMar>
              <w:top w:w="85" w:type="dxa"/>
              <w:bottom w:w="85" w:type="dxa"/>
            </w:tcMar>
            <w:vAlign w:val="center"/>
          </w:tcPr>
          <w:p w14:paraId="1B7172B4"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0,25</w:t>
            </w:r>
          </w:p>
        </w:tc>
      </w:tr>
      <w:tr w:rsidR="00454C4B" w:rsidRPr="009E064B" w14:paraId="52D44FEE" w14:textId="77777777" w:rsidTr="00C80511">
        <w:tc>
          <w:tcPr>
            <w:tcW w:w="2693" w:type="dxa"/>
            <w:tcMar>
              <w:top w:w="85" w:type="dxa"/>
              <w:bottom w:w="85" w:type="dxa"/>
            </w:tcMar>
            <w:vAlign w:val="center"/>
          </w:tcPr>
          <w:p w14:paraId="372576C7"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18</w:t>
            </w:r>
          </w:p>
        </w:tc>
        <w:tc>
          <w:tcPr>
            <w:tcW w:w="2268" w:type="dxa"/>
            <w:tcMar>
              <w:top w:w="85" w:type="dxa"/>
              <w:bottom w:w="85" w:type="dxa"/>
            </w:tcMar>
            <w:vAlign w:val="center"/>
          </w:tcPr>
          <w:p w14:paraId="334A8B42"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4</w:t>
            </w:r>
          </w:p>
        </w:tc>
        <w:tc>
          <w:tcPr>
            <w:tcW w:w="2268" w:type="dxa"/>
            <w:tcMar>
              <w:top w:w="85" w:type="dxa"/>
              <w:bottom w:w="85" w:type="dxa"/>
            </w:tcMar>
            <w:vAlign w:val="center"/>
          </w:tcPr>
          <w:p w14:paraId="4DCD2A15" w14:textId="77777777" w:rsidR="00454C4B" w:rsidRPr="009E064B" w:rsidRDefault="00454C4B" w:rsidP="00C126F7">
            <w:pPr>
              <w:autoSpaceDE w:val="0"/>
              <w:autoSpaceDN w:val="0"/>
              <w:adjustRightInd w:val="0"/>
              <w:spacing w:before="40" w:after="40"/>
              <w:jc w:val="center"/>
              <w:rPr>
                <w:rFonts w:cs="TimesNewRomanPS-BoldItalicMT"/>
                <w:bCs/>
                <w:iCs/>
                <w:szCs w:val="20"/>
              </w:rPr>
            </w:pPr>
            <w:r w:rsidRPr="009E064B">
              <w:rPr>
                <w:rFonts w:cs="TimesNewRomanPS-BoldItalicMT"/>
                <w:bCs/>
                <w:iCs/>
                <w:szCs w:val="20"/>
              </w:rPr>
              <w:t>0,25</w:t>
            </w:r>
          </w:p>
        </w:tc>
      </w:tr>
      <w:tr w:rsidR="00454C4B" w:rsidRPr="009E064B" w14:paraId="666F60FD" w14:textId="77777777" w:rsidTr="00C80511">
        <w:tc>
          <w:tcPr>
            <w:tcW w:w="7229" w:type="dxa"/>
            <w:gridSpan w:val="3"/>
            <w:tcMar>
              <w:top w:w="57" w:type="dxa"/>
              <w:bottom w:w="57" w:type="dxa"/>
            </w:tcMar>
            <w:vAlign w:val="center"/>
          </w:tcPr>
          <w:p w14:paraId="360B314E" w14:textId="77777777" w:rsidR="00454C4B" w:rsidRPr="009E064B" w:rsidRDefault="00454C4B" w:rsidP="00A73874">
            <w:pPr>
              <w:tabs>
                <w:tab w:val="left" w:pos="851"/>
              </w:tabs>
              <w:autoSpaceDE w:val="0"/>
              <w:autoSpaceDN w:val="0"/>
              <w:adjustRightInd w:val="0"/>
              <w:spacing w:after="0"/>
              <w:ind w:left="851" w:hanging="851"/>
              <w:jc w:val="left"/>
              <w:rPr>
                <w:rFonts w:cs="Verdana"/>
                <w:szCs w:val="24"/>
              </w:rPr>
            </w:pPr>
            <w:r w:rsidRPr="009E064B">
              <w:rPr>
                <w:rFonts w:cs="TimesNewRomanPS-BoldItalicMT"/>
                <w:bCs/>
                <w:iCs/>
                <w:sz w:val="20"/>
                <w:szCs w:val="20"/>
              </w:rPr>
              <w:t xml:space="preserve">Uwaga: </w:t>
            </w:r>
            <w:r w:rsidRPr="009E064B">
              <w:rPr>
                <w:rFonts w:cs="TimesNewRomanPS-BoldItalicMT"/>
                <w:bCs/>
                <w:iCs/>
                <w:sz w:val="20"/>
                <w:szCs w:val="20"/>
              </w:rPr>
              <w:tab/>
              <w:t>Długość przerwy powinna być, jeśli to możliwe, równa, lecz nie dłuższa od długości odpowiedniego oznakowania</w:t>
            </w:r>
          </w:p>
        </w:tc>
      </w:tr>
    </w:tbl>
    <w:p w14:paraId="59E8BA14" w14:textId="77777777" w:rsidR="00454C4B" w:rsidRPr="009E064B" w:rsidRDefault="00454C4B" w:rsidP="00397173">
      <w:pPr>
        <w:autoSpaceDE w:val="0"/>
        <w:autoSpaceDN w:val="0"/>
        <w:adjustRightInd w:val="0"/>
        <w:spacing w:after="0"/>
        <w:rPr>
          <w:rFonts w:cs="TimesNewRomanPS-BoldItalicMT"/>
          <w:bCs/>
          <w:iCs/>
          <w:szCs w:val="20"/>
        </w:rPr>
      </w:pPr>
    </w:p>
    <w:p w14:paraId="4FF40B8D" w14:textId="4C6352C8" w:rsidR="00C126F7" w:rsidRPr="005669D1" w:rsidRDefault="00454C4B" w:rsidP="00C126F7">
      <w:pPr>
        <w:autoSpaceDE w:val="0"/>
        <w:autoSpaceDN w:val="0"/>
        <w:adjustRightInd w:val="0"/>
        <w:jc w:val="center"/>
        <w:rPr>
          <w:rFonts w:cs="TimesNewRomanPS-BoldItalicMT"/>
          <w:b/>
          <w:bCs/>
          <w:iCs/>
          <w:sz w:val="20"/>
          <w:szCs w:val="20"/>
        </w:rPr>
      </w:pPr>
      <w:r w:rsidRPr="005669D1">
        <w:rPr>
          <w:rFonts w:cs="TimesNewRomanPS-BoldItalicMT"/>
          <w:b/>
          <w:bCs/>
          <w:iCs/>
          <w:sz w:val="20"/>
          <w:szCs w:val="20"/>
        </w:rPr>
        <w:t>Tabela GM-L-1.   Oznakowanie przerywane linii bocznej drogi startowej</w:t>
      </w:r>
      <w:r w:rsidR="00C126F7" w:rsidRPr="005669D1">
        <w:rPr>
          <w:rFonts w:cs="TimesNewRomanPS-BoldItalicMT"/>
          <w:b/>
          <w:bCs/>
          <w:iCs/>
          <w:sz w:val="20"/>
          <w:szCs w:val="20"/>
        </w:rPr>
        <w:t xml:space="preserve"> </w:t>
      </w:r>
      <w:r w:rsidR="00C126F7" w:rsidRPr="005669D1">
        <w:rPr>
          <w:rFonts w:cs="TimesNewRomanPS-BoldItalicMT"/>
          <w:b/>
          <w:bCs/>
          <w:iCs/>
          <w:sz w:val="20"/>
          <w:szCs w:val="20"/>
        </w:rPr>
        <w:br w:type="page"/>
      </w:r>
    </w:p>
    <w:p w14:paraId="305EF28F" w14:textId="2BA8C3B3" w:rsidR="00C36D76" w:rsidRPr="009E064B" w:rsidRDefault="00A62411" w:rsidP="00B06A9A">
      <w:pPr>
        <w:pStyle w:val="Nagwek4"/>
        <w:rPr>
          <w:color w:val="auto"/>
        </w:rPr>
      </w:pPr>
      <w:bookmarkStart w:id="1375" w:name="_CS_ADR-DSN.L.555_"/>
      <w:bookmarkStart w:id="1376" w:name="_Toc482886652"/>
      <w:bookmarkStart w:id="1377" w:name="_Toc12533144"/>
      <w:bookmarkEnd w:id="1375"/>
      <w:r w:rsidRPr="009E064B">
        <w:rPr>
          <w:color w:val="auto"/>
        </w:rPr>
        <w:t xml:space="preserve">CS ADR-DSN.L.555     </w:t>
      </w:r>
      <w:r w:rsidR="00C36D76" w:rsidRPr="009E064B">
        <w:rPr>
          <w:color w:val="auto"/>
        </w:rPr>
        <w:t>Oznakowanie linii środkowej drogi kołowania</w:t>
      </w:r>
      <w:bookmarkEnd w:id="1376"/>
      <w:bookmarkEnd w:id="1377"/>
    </w:p>
    <w:p w14:paraId="458C2F9E" w14:textId="45FA1880" w:rsidR="00A62411" w:rsidRPr="009E064B" w:rsidRDefault="00D63D4F" w:rsidP="00A62411">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2E0B87CE"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p>
    <w:p w14:paraId="0B65C7A6"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Oznakowanie linii środkowej drogi kołowania </w:t>
      </w:r>
      <w:r w:rsidRPr="009E064B">
        <w:rPr>
          <w:rFonts w:cs="TimesNewRomanPS-ItalicMT"/>
          <w:iCs/>
          <w:szCs w:val="20"/>
        </w:rPr>
        <w:t>powinno</w:t>
      </w:r>
      <w:r w:rsidRPr="009E064B">
        <w:rPr>
          <w:rFonts w:cs="TimesNewRomanPSMT"/>
          <w:szCs w:val="20"/>
        </w:rPr>
        <w:t xml:space="preserve"> być zapewnione na drodze kołowania, stanowisku do odladzania/przeciwdziałania oblodzeniu oraz na płycie </w:t>
      </w:r>
      <w:r w:rsidRPr="009E064B">
        <w:rPr>
          <w:rFonts w:cs="TimesNewRomanPS-ItalicMT"/>
          <w:iCs/>
          <w:szCs w:val="20"/>
        </w:rPr>
        <w:t xml:space="preserve">postojowej </w:t>
      </w:r>
      <w:r w:rsidRPr="009E064B">
        <w:rPr>
          <w:rFonts w:cs="TimesNewRomanPSMT"/>
          <w:szCs w:val="20"/>
        </w:rPr>
        <w:t>w taki sposób, aby zapewnić ciągłe prowadzenie statku powietrznego od linii środkowej drogi startowej do stanowisk postojowych statków powietrznych.</w:t>
      </w:r>
    </w:p>
    <w:p w14:paraId="5AA8EEA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MT"/>
          <w:szCs w:val="20"/>
        </w:rPr>
        <w:t>Oznakowanie linii środkowej drogi kołowania powinno być zapewnione na drodze startowej, gdy droga startowa stanowi część standardowej drogi kołowania, oraz na której linia środkowa drogi kołowania nie pokrywa się z linią środkową drogi startowej.</w:t>
      </w:r>
    </w:p>
    <w:p w14:paraId="1DD8D4EA"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Charakterystyki</w:t>
      </w:r>
      <w:r w:rsidRPr="009E064B">
        <w:rPr>
          <w:szCs w:val="20"/>
        </w:rPr>
        <w:t>:</w:t>
      </w:r>
    </w:p>
    <w:p w14:paraId="226CD0BA"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Na odcinkach prostych drogi kołowania, oznakowanie linii środkowej drogi kołowania powinno być zlokalizowane wzdłuż linii środkowej tej drogi.</w:t>
      </w:r>
    </w:p>
    <w:p w14:paraId="4390407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Na łukach drogi kołowania, oznakowanie powinno być przedłużeniem linii środkowej odcinka prostego tej drogi, przy zachowaniu stałej odległości od zewnętrznej krawędzi łuku drogi kołowania.</w:t>
      </w:r>
    </w:p>
    <w:p w14:paraId="10070236" w14:textId="590BBD5A"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Na skrzyżowaniu drogi kołowania z drogą startową, jeżeli droga kołowania używana jest, jako zjazd z drogi startowej, oznakowanie linii środkowej drogi kołowania powinno być połączone z oznakowaniem linii środkowej drogi startowej jak przedstawiono na Rysunku L-5. Oznakowanie linii środkowej drogi kołowania powinno być prowadzone równolegle do oznakowania linii środkowej drogi starto</w:t>
      </w:r>
      <w:r w:rsidR="00C126F7" w:rsidRPr="009E064B">
        <w:rPr>
          <w:rFonts w:cs="TimesNewRomanPS-ItalicMT"/>
          <w:iCs/>
          <w:szCs w:val="20"/>
        </w:rPr>
        <w:t>wej na długości, co najmniej 60 </w:t>
      </w:r>
      <w:r w:rsidRPr="009E064B">
        <w:rPr>
          <w:rFonts w:cs="TimesNewRomanPS-ItalicMT"/>
          <w:iCs/>
          <w:szCs w:val="20"/>
        </w:rPr>
        <w:t>m od punktu styczności tych linii, jeżeli cyfrą kodu jes</w:t>
      </w:r>
      <w:r w:rsidR="00C126F7" w:rsidRPr="009E064B">
        <w:rPr>
          <w:rFonts w:cs="TimesNewRomanPS-ItalicMT"/>
          <w:iCs/>
          <w:szCs w:val="20"/>
        </w:rPr>
        <w:t>t 3 lub 4, oraz na długości, co </w:t>
      </w:r>
      <w:r w:rsidRPr="009E064B">
        <w:rPr>
          <w:rFonts w:cs="TimesNewRomanPS-ItalicMT"/>
          <w:iCs/>
          <w:szCs w:val="20"/>
        </w:rPr>
        <w:t>najmniej 30 m, jeżeli cyfrą kodu jest 1 lub 2.</w:t>
      </w:r>
    </w:p>
    <w:p w14:paraId="77EC7C53" w14:textId="22802999" w:rsidR="00A62411" w:rsidRPr="009E064B" w:rsidRDefault="00A62411" w:rsidP="00A62411">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 xml:space="preserve">Jeżeli oznakowanie linii środkowej drogi kołowania jest wykonane zgodnie z </w:t>
      </w:r>
      <w:r w:rsidR="00C126F7" w:rsidRPr="009E064B">
        <w:rPr>
          <w:rFonts w:cs="TimesNewRomanPS-ItalicMT"/>
          <w:iCs/>
          <w:szCs w:val="20"/>
        </w:rPr>
        <w:t>lit. (a) pkt </w:t>
      </w:r>
      <w:r w:rsidRPr="009E064B">
        <w:rPr>
          <w:rFonts w:cs="TimesNewRomanPS-ItalicMT"/>
          <w:iCs/>
          <w:szCs w:val="20"/>
        </w:rPr>
        <w:t>(2) powyżej, oznakowanie powinno znajdować się na linii środkowej danej drogi kołowania.</w:t>
      </w:r>
    </w:p>
    <w:p w14:paraId="466A6A86" w14:textId="3AB4833C" w:rsidR="00A62411" w:rsidRPr="009E064B" w:rsidRDefault="00A62411" w:rsidP="00A62411">
      <w:pPr>
        <w:tabs>
          <w:tab w:val="left" w:pos="1134"/>
        </w:tabs>
        <w:autoSpaceDE w:val="0"/>
        <w:autoSpaceDN w:val="0"/>
        <w:adjustRightInd w:val="0"/>
        <w:ind w:left="1134" w:hanging="567"/>
        <w:rPr>
          <w:rFonts w:cs="TimesNewRomanPSMT"/>
          <w:szCs w:val="20"/>
        </w:rPr>
      </w:pPr>
      <w:r w:rsidRPr="009E064B">
        <w:rPr>
          <w:rFonts w:cs="Times New Roman"/>
          <w:szCs w:val="20"/>
        </w:rPr>
        <w:t xml:space="preserve">(5) </w:t>
      </w:r>
      <w:r w:rsidRPr="009E064B">
        <w:rPr>
          <w:rFonts w:cs="Times New Roman"/>
          <w:szCs w:val="20"/>
        </w:rPr>
        <w:tab/>
      </w:r>
      <w:r w:rsidRPr="009E064B">
        <w:rPr>
          <w:rFonts w:cs="TimesNewRomanPS-ItalicMT"/>
          <w:iCs/>
          <w:szCs w:val="20"/>
        </w:rPr>
        <w:t>Oznakowanie</w:t>
      </w:r>
      <w:r w:rsidRPr="009E064B">
        <w:rPr>
          <w:rFonts w:cs="TimesNewRomanPSMT"/>
          <w:szCs w:val="20"/>
        </w:rPr>
        <w:t xml:space="preserve"> linii środkowej drogi kołowania powinno mieć, co najmniej 1</w:t>
      </w:r>
      <w:r w:rsidR="00C126F7" w:rsidRPr="009E064B">
        <w:rPr>
          <w:rFonts w:cs="TimesNewRomanPSMT"/>
          <w:szCs w:val="20"/>
        </w:rPr>
        <w:t>5 </w:t>
      </w:r>
      <w:r w:rsidRPr="009E064B">
        <w:rPr>
          <w:rFonts w:cs="TimesNewRomanPSMT"/>
          <w:szCs w:val="20"/>
        </w:rPr>
        <w:t>cm szerokości, zachowywać ciągłość na całej długości, z wyjątkiem przecięcia z oznakowaniem miejsca oczekiwania przed drogą startową, jak przedstawiono na Rysunku L-5. Oznakowanie drogi kołowania (przedstawione z podstawowymi znakami drogi startowej).</w:t>
      </w:r>
    </w:p>
    <w:p w14:paraId="7B855F95" w14:textId="4643A92F" w:rsidR="00C36D76" w:rsidRPr="009E064B" w:rsidRDefault="00DD68B6" w:rsidP="00B06A9A">
      <w:pPr>
        <w:spacing w:after="0"/>
        <w:rPr>
          <w:rFonts w:cs="TimesNewRomanPS-BoldMT"/>
          <w:bCs/>
          <w:szCs w:val="20"/>
        </w:rPr>
      </w:pPr>
      <w:r w:rsidRPr="009E064B">
        <w:rPr>
          <w:noProof/>
          <w:lang w:eastAsia="pl-PL"/>
        </w:rPr>
        <w:drawing>
          <wp:inline distT="0" distB="0" distL="0" distR="0" wp14:anchorId="30AE25DA" wp14:editId="3F25E1DA">
            <wp:extent cx="5760720" cy="7613158"/>
            <wp:effectExtent l="0" t="0" r="0" b="0"/>
            <wp:docPr id="3788" name="Obraz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7613158"/>
                    </a:xfrm>
                    <a:prstGeom prst="rect">
                      <a:avLst/>
                    </a:prstGeom>
                    <a:noFill/>
                    <a:ln>
                      <a:noFill/>
                    </a:ln>
                  </pic:spPr>
                </pic:pic>
              </a:graphicData>
            </a:graphic>
          </wp:inline>
        </w:drawing>
      </w:r>
    </w:p>
    <w:p w14:paraId="46B0CD37" w14:textId="77777777" w:rsidR="00C36D76" w:rsidRPr="009E064B" w:rsidRDefault="00C36D76" w:rsidP="00B06A9A">
      <w:pPr>
        <w:spacing w:after="0"/>
        <w:rPr>
          <w:rFonts w:cs="TimesNewRomanPS-BoldMT"/>
          <w:bCs/>
          <w:szCs w:val="20"/>
        </w:rPr>
      </w:pPr>
    </w:p>
    <w:p w14:paraId="07BD9B03" w14:textId="77777777" w:rsidR="00C36D76" w:rsidRPr="005669D1" w:rsidRDefault="00C36D76" w:rsidP="00B06A9A">
      <w:pPr>
        <w:autoSpaceDE w:val="0"/>
        <w:autoSpaceDN w:val="0"/>
        <w:adjustRightInd w:val="0"/>
        <w:spacing w:after="0"/>
        <w:jc w:val="center"/>
        <w:rPr>
          <w:rFonts w:cs="TimesNewRomanPSMT"/>
          <w:b/>
          <w:sz w:val="20"/>
          <w:szCs w:val="20"/>
        </w:rPr>
      </w:pPr>
      <w:r w:rsidRPr="005669D1">
        <w:rPr>
          <w:rFonts w:cs="TimesNewRomanPSMT"/>
          <w:b/>
          <w:sz w:val="20"/>
          <w:szCs w:val="20"/>
        </w:rPr>
        <w:t xml:space="preserve">Rysunek L-5.  Oznakowanie drogi kołowania (przedstawione z podstawowym oznakowaniem </w:t>
      </w:r>
    </w:p>
    <w:p w14:paraId="0FF08860" w14:textId="77777777" w:rsidR="00C36D76" w:rsidRPr="009E064B" w:rsidRDefault="00C36D76" w:rsidP="00B06A9A">
      <w:pPr>
        <w:autoSpaceDE w:val="0"/>
        <w:autoSpaceDN w:val="0"/>
        <w:adjustRightInd w:val="0"/>
        <w:spacing w:after="0"/>
        <w:jc w:val="center"/>
        <w:rPr>
          <w:rFonts w:cs="TimesNewRomanPSMT"/>
          <w:szCs w:val="20"/>
        </w:rPr>
      </w:pPr>
      <w:r w:rsidRPr="005669D1">
        <w:rPr>
          <w:rFonts w:cs="TimesNewRomanPSMT"/>
          <w:b/>
          <w:sz w:val="20"/>
          <w:szCs w:val="20"/>
        </w:rPr>
        <w:t>drogi startowej)</w:t>
      </w:r>
    </w:p>
    <w:p w14:paraId="19AC8CE4"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BA5BB48" w14:textId="77777777" w:rsidR="00C36D76" w:rsidRPr="009E064B" w:rsidRDefault="00C36D76" w:rsidP="00B06A9A">
      <w:pPr>
        <w:tabs>
          <w:tab w:val="left" w:pos="1134"/>
        </w:tabs>
        <w:autoSpaceDE w:val="0"/>
        <w:autoSpaceDN w:val="0"/>
        <w:adjustRightInd w:val="0"/>
        <w:ind w:left="1134" w:hanging="567"/>
        <w:rPr>
          <w:rFonts w:cs="Times New Roman"/>
          <w:szCs w:val="20"/>
        </w:rPr>
      </w:pPr>
    </w:p>
    <w:p w14:paraId="700E7253" w14:textId="7BEBC99F" w:rsidR="00454C4B" w:rsidRPr="009E064B" w:rsidRDefault="00A62411" w:rsidP="00133B99">
      <w:pPr>
        <w:pStyle w:val="Nagwek6"/>
      </w:pPr>
      <w:bookmarkStart w:id="1378" w:name="_Toc401059009"/>
      <w:bookmarkStart w:id="1379" w:name="_Toc482886876"/>
      <w:bookmarkStart w:id="1380" w:name="_Toc12533145"/>
      <w:r w:rsidRPr="009E064B">
        <w:t xml:space="preserve">GM1 ADR-DSN.L.555     </w:t>
      </w:r>
      <w:r w:rsidR="00454C4B" w:rsidRPr="009E064B">
        <w:t>Oznakowanie linii środkowej drogi kołowania</w:t>
      </w:r>
      <w:bookmarkEnd w:id="1378"/>
      <w:bookmarkEnd w:id="1379"/>
      <w:bookmarkEnd w:id="1380"/>
    </w:p>
    <w:p w14:paraId="7544CAB1" w14:textId="3244EB38" w:rsidR="00A62411" w:rsidRPr="009E064B" w:rsidRDefault="00D63D4F" w:rsidP="00A62411">
      <w:pPr>
        <w:spacing w:after="80"/>
        <w:jc w:val="right"/>
        <w:rPr>
          <w:rFonts w:cs="TimesNewRomanPS-BoldMT"/>
          <w:bCs/>
          <w:szCs w:val="20"/>
        </w:rPr>
      </w:pPr>
      <w:r w:rsidRPr="009E064B">
        <w:rPr>
          <w:rFonts w:asciiTheme="minorHAnsi" w:hAnsiTheme="minorHAnsi" w:cstheme="minorHAnsi"/>
          <w:bCs/>
          <w:i/>
          <w:color w:val="1A171C"/>
          <w:sz w:val="16"/>
          <w:szCs w:val="20"/>
        </w:rPr>
        <w:t>Decyzja ED 2016/027/R</w:t>
      </w:r>
    </w:p>
    <w:p w14:paraId="6B20E1E8" w14:textId="77777777" w:rsidR="00454C4B" w:rsidRPr="009E064B" w:rsidRDefault="00454C4B" w:rsidP="00B06A9A">
      <w:pPr>
        <w:autoSpaceDE w:val="0"/>
        <w:autoSpaceDN w:val="0"/>
        <w:adjustRightInd w:val="0"/>
        <w:rPr>
          <w:rFonts w:cs="TimesNewRomanPS-BoldItalicMT"/>
          <w:bCs/>
          <w:iCs/>
          <w:szCs w:val="20"/>
        </w:rPr>
      </w:pPr>
      <w:r w:rsidRPr="009E064B">
        <w:rPr>
          <w:rFonts w:cs="TimesNewRomanPS-BoldItalicMT"/>
          <w:bCs/>
          <w:iCs/>
          <w:szCs w:val="20"/>
        </w:rPr>
        <w:t>Termin „ciągłe prowadzenie” nie oznacza wymogu zapewniania oznakowania poziomego linii środkowej drogi kołowania, aż do stanowiska postojowego statku powietrznego. Oznacza on, że oznakowanie poziome linii środkowej powinno być zapewnione na drogach kołowania prowadzących do stanowisk postojowych statków powietrznych lub innych obszarów na płycie postojowej, od których istnieją wzrokowe wskazówki lub inne środki, takie jak strzałki wjazdu oraz numery stanowisk, w celu umożliwienia załodze statku powietrznego manewrowania statkiem powietrznym na stanowisko lub na inny obszar parkowania.</w:t>
      </w:r>
    </w:p>
    <w:p w14:paraId="678779FD" w14:textId="77777777" w:rsidR="00454C4B" w:rsidRPr="009E064B" w:rsidRDefault="00454C4B"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DD7460A" w14:textId="0CE1C134" w:rsidR="00C36D76" w:rsidRPr="009E064B" w:rsidRDefault="00A73874" w:rsidP="00B06A9A">
      <w:pPr>
        <w:pStyle w:val="Nagwek4"/>
        <w:rPr>
          <w:color w:val="auto"/>
        </w:rPr>
      </w:pPr>
      <w:bookmarkStart w:id="1381" w:name="_CS_ADR-DSN.L.560_"/>
      <w:bookmarkStart w:id="1382" w:name="_Toc482886653"/>
      <w:bookmarkStart w:id="1383" w:name="_Toc12533146"/>
      <w:bookmarkEnd w:id="1381"/>
      <w:r w:rsidRPr="009E064B">
        <w:rPr>
          <w:color w:val="auto"/>
        </w:rPr>
        <w:t xml:space="preserve">CS ADR-DSN.L.560     </w:t>
      </w:r>
      <w:r w:rsidR="00C36D76" w:rsidRPr="009E064B">
        <w:rPr>
          <w:color w:val="auto"/>
        </w:rPr>
        <w:t>Przerwa w oznakowaniu drogi startowej</w:t>
      </w:r>
      <w:bookmarkEnd w:id="1382"/>
      <w:bookmarkEnd w:id="1383"/>
    </w:p>
    <w:p w14:paraId="5C1A3BE3" w14:textId="79CE160E"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6A6B8A2" w14:textId="49F36081" w:rsidR="00C36D76" w:rsidRPr="009E064B" w:rsidRDefault="00C36D76" w:rsidP="00A73874">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r>
      <w:r w:rsidRPr="009E064B">
        <w:rPr>
          <w:rFonts w:cs="TimesNewRomanPSMT"/>
          <w:szCs w:val="20"/>
        </w:rPr>
        <w:t xml:space="preserve">Na skrzyżowaniu dwóch (lub więcej) dróg startowych, </w:t>
      </w:r>
      <w:r w:rsidRPr="009E064B">
        <w:rPr>
          <w:rFonts w:cs="TimesNewRomanPS-BoldItalicMT"/>
          <w:bCs/>
          <w:iCs/>
          <w:szCs w:val="20"/>
        </w:rPr>
        <w:t>oznakowanie</w:t>
      </w:r>
      <w:r w:rsidRPr="009E064B">
        <w:rPr>
          <w:rFonts w:cs="TimesNewRomanPSMT"/>
          <w:szCs w:val="20"/>
        </w:rPr>
        <w:t xml:space="preserve"> ważniejszej drogi startowej, z wyjątkiem oznakowania linii bocznej tej drogi, powinno być zachowane, natomiast oznakowanie drugiej drogi startowej (pozostałych dróg startowych) powinno być przerwane. Oznakowanie linii bocznej ważniejszej drogi startowej powinno być na tym skrzyżowaniu zachowane lub przerwane.</w:t>
      </w:r>
    </w:p>
    <w:p w14:paraId="2506183D"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t>Kolejność ważności</w:t>
      </w:r>
      <w:r w:rsidRPr="009E064B">
        <w:rPr>
          <w:rFonts w:cs="TimesNewRomanPS-ItalicMT"/>
          <w:iCs/>
          <w:szCs w:val="20"/>
        </w:rPr>
        <w:t xml:space="preserve"> dróg startowych, pod względem wyeksponowania oznakowania drogi startowej powinna następująca:</w:t>
      </w:r>
    </w:p>
    <w:p w14:paraId="75DC998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drogi startowe z podejściem precyzyjnym;</w:t>
      </w:r>
    </w:p>
    <w:p w14:paraId="2AFAA0D1"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drogi startowe z podejściem nieprecyzyjnym; oraz</w:t>
      </w:r>
    </w:p>
    <w:p w14:paraId="6BF84492"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drogi startowe nieprzyrządowe.</w:t>
      </w:r>
    </w:p>
    <w:p w14:paraId="2E6B7C4B"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(c) </w:t>
      </w:r>
      <w:r w:rsidRPr="009E064B">
        <w:rPr>
          <w:rFonts w:cs="Times New Roman"/>
          <w:szCs w:val="20"/>
        </w:rPr>
        <w:tab/>
      </w:r>
      <w:r w:rsidRPr="009E064B">
        <w:rPr>
          <w:rFonts w:cs="TimesNewRomanPSMT"/>
          <w:szCs w:val="20"/>
        </w:rPr>
        <w:t>Na skrzyżowaniu drogi startowej i drogi kołowania, oznakowanie drogi startowej powinno być zachowane, a oznakowanie drogi kołowania przerwane, z wyjątkiem oznakowania linii bocznej tej drogi startowej, które może być na tym skrzyżowaniu zachowane albo przerwane.</w:t>
      </w:r>
    </w:p>
    <w:p w14:paraId="6C8C0869" w14:textId="02A84B42" w:rsidR="00454C4B" w:rsidRPr="009E064B" w:rsidRDefault="00A73874" w:rsidP="00133B99">
      <w:pPr>
        <w:pStyle w:val="Nagwek6"/>
      </w:pPr>
      <w:bookmarkStart w:id="1384" w:name="_Toc401059010"/>
      <w:bookmarkStart w:id="1385" w:name="_Toc482886877"/>
      <w:bookmarkStart w:id="1386" w:name="_Toc12533147"/>
      <w:r w:rsidRPr="009E064B">
        <w:t xml:space="preserve">GM1 ADR-DSN.L.560     </w:t>
      </w:r>
      <w:r w:rsidR="00454C4B" w:rsidRPr="009E064B">
        <w:t>Przerwa w oznakowaniu drogi startowej</w:t>
      </w:r>
      <w:bookmarkEnd w:id="1384"/>
      <w:bookmarkEnd w:id="1385"/>
      <w:bookmarkEnd w:id="1386"/>
    </w:p>
    <w:p w14:paraId="0A7D7F90" w14:textId="77E8F7A4"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32B82B4" w14:textId="3C1B407C" w:rsidR="00454C4B" w:rsidRPr="005669D1" w:rsidRDefault="00454C4B" w:rsidP="00B06A9A">
      <w:pPr>
        <w:rPr>
          <w:color w:val="000000" w:themeColor="text1"/>
        </w:rPr>
      </w:pPr>
      <w:r w:rsidRPr="005669D1">
        <w:rPr>
          <w:color w:val="000000" w:themeColor="text1"/>
        </w:rPr>
        <w:t>Celowo pozostawiono puste.</w:t>
      </w:r>
    </w:p>
    <w:p w14:paraId="621AB961" w14:textId="0B9A3EE4" w:rsidR="005C078A" w:rsidRPr="005669D1" w:rsidRDefault="004E7B22" w:rsidP="004E7B22">
      <w:pPr>
        <w:tabs>
          <w:tab w:val="left" w:pos="567"/>
        </w:tabs>
        <w:autoSpaceDE w:val="0"/>
        <w:autoSpaceDN w:val="0"/>
        <w:adjustRightInd w:val="0"/>
        <w:ind w:left="567" w:hanging="567"/>
        <w:rPr>
          <w:rFonts w:cs="TimesNewRomanPSMT"/>
          <w:color w:val="000000" w:themeColor="text1"/>
          <w:szCs w:val="20"/>
        </w:rPr>
      </w:pPr>
      <w:r w:rsidRPr="005669D1">
        <w:rPr>
          <w:rFonts w:cs="TimesNewRomanPSMT"/>
          <w:color w:val="000000" w:themeColor="text1"/>
          <w:szCs w:val="20"/>
        </w:rPr>
        <w:t xml:space="preserve">(a) </w:t>
      </w:r>
      <w:r w:rsidR="00DC0AB1" w:rsidRPr="005669D1">
        <w:rPr>
          <w:rFonts w:cs="TimesNewRomanPSMT"/>
          <w:color w:val="000000" w:themeColor="text1"/>
          <w:szCs w:val="20"/>
        </w:rPr>
        <w:tab/>
      </w:r>
      <w:r w:rsidRPr="005669D1">
        <w:rPr>
          <w:rFonts w:cs="TimesNewRomanPSMT"/>
          <w:color w:val="000000" w:themeColor="text1"/>
          <w:szCs w:val="20"/>
        </w:rPr>
        <w:t xml:space="preserve">Na </w:t>
      </w:r>
      <w:r w:rsidR="00DC0AB1" w:rsidRPr="005669D1">
        <w:rPr>
          <w:rFonts w:cs="TimesNewRomanPSMT"/>
          <w:color w:val="000000" w:themeColor="text1"/>
          <w:szCs w:val="20"/>
        </w:rPr>
        <w:t>skrzyżowaniu</w:t>
      </w:r>
      <w:r w:rsidRPr="005669D1">
        <w:rPr>
          <w:rFonts w:cs="TimesNewRomanPSMT"/>
          <w:color w:val="000000" w:themeColor="text1"/>
          <w:szCs w:val="20"/>
        </w:rPr>
        <w:t xml:space="preserve"> drogi startowej i drogi kołowania oznakowanie </w:t>
      </w:r>
      <w:r w:rsidR="00DC0AB1" w:rsidRPr="005669D1">
        <w:rPr>
          <w:rFonts w:cs="TimesNewRomanPSMT"/>
          <w:color w:val="000000" w:themeColor="text1"/>
          <w:szCs w:val="20"/>
        </w:rPr>
        <w:t>linii</w:t>
      </w:r>
      <w:r w:rsidRPr="005669D1">
        <w:rPr>
          <w:rFonts w:cs="TimesNewRomanPSMT"/>
          <w:color w:val="000000" w:themeColor="text1"/>
          <w:szCs w:val="20"/>
        </w:rPr>
        <w:t xml:space="preserve"> bocznych drogi startowej powinno być kontynuowane w</w:t>
      </w:r>
      <w:r w:rsidR="00DC0AB1" w:rsidRPr="005669D1">
        <w:rPr>
          <w:rFonts w:cs="TimesNewRomanPSMT"/>
          <w:color w:val="000000" w:themeColor="text1"/>
          <w:szCs w:val="20"/>
        </w:rPr>
        <w:t>zdłuż skrzyżowania</w:t>
      </w:r>
      <w:r w:rsidRPr="005669D1">
        <w:rPr>
          <w:rFonts w:cs="TimesNewRomanPSMT"/>
          <w:color w:val="000000" w:themeColor="text1"/>
          <w:szCs w:val="20"/>
        </w:rPr>
        <w:t xml:space="preserve"> lub przerwane. Przerwa oznac</w:t>
      </w:r>
      <w:r w:rsidR="00C80511" w:rsidRPr="005669D1">
        <w:rPr>
          <w:rFonts w:cs="TimesNewRomanPSMT"/>
          <w:color w:val="000000" w:themeColor="text1"/>
          <w:szCs w:val="20"/>
        </w:rPr>
        <w:t>za jedno z </w:t>
      </w:r>
      <w:r w:rsidRPr="005669D1">
        <w:rPr>
          <w:rFonts w:cs="TimesNewRomanPSMT"/>
          <w:color w:val="000000" w:themeColor="text1"/>
          <w:szCs w:val="20"/>
        </w:rPr>
        <w:t xml:space="preserve">poniższych: </w:t>
      </w:r>
    </w:p>
    <w:p w14:paraId="0DF15566" w14:textId="11C79E62" w:rsidR="005C078A" w:rsidRPr="005669D1" w:rsidRDefault="004E7B22" w:rsidP="00EE2E0D">
      <w:pPr>
        <w:tabs>
          <w:tab w:val="left" w:pos="1134"/>
        </w:tabs>
        <w:autoSpaceDE w:val="0"/>
        <w:autoSpaceDN w:val="0"/>
        <w:adjustRightInd w:val="0"/>
        <w:ind w:left="1134" w:hanging="567"/>
        <w:rPr>
          <w:rFonts w:cs="Times New Roman"/>
          <w:color w:val="000000" w:themeColor="text1"/>
          <w:szCs w:val="20"/>
        </w:rPr>
      </w:pPr>
      <w:r w:rsidRPr="005669D1">
        <w:rPr>
          <w:rFonts w:cs="Times New Roman"/>
          <w:color w:val="000000" w:themeColor="text1"/>
          <w:szCs w:val="20"/>
        </w:rPr>
        <w:t xml:space="preserve">(1) </w:t>
      </w:r>
      <w:r w:rsidR="005C078A" w:rsidRPr="005669D1">
        <w:rPr>
          <w:rFonts w:cs="Times New Roman"/>
          <w:color w:val="000000" w:themeColor="text1"/>
          <w:szCs w:val="20"/>
        </w:rPr>
        <w:tab/>
      </w:r>
      <w:r w:rsidRPr="005669D1">
        <w:rPr>
          <w:rFonts w:cs="Times New Roman"/>
          <w:color w:val="000000" w:themeColor="text1"/>
          <w:szCs w:val="20"/>
        </w:rPr>
        <w:t xml:space="preserve">oznakowanie </w:t>
      </w:r>
      <w:r w:rsidR="005C078A" w:rsidRPr="005669D1">
        <w:rPr>
          <w:rFonts w:cs="Times New Roman"/>
          <w:color w:val="000000" w:themeColor="text1"/>
          <w:szCs w:val="20"/>
        </w:rPr>
        <w:t xml:space="preserve">linii </w:t>
      </w:r>
      <w:r w:rsidRPr="005669D1">
        <w:rPr>
          <w:rFonts w:cs="Times New Roman"/>
          <w:color w:val="000000" w:themeColor="text1"/>
          <w:szCs w:val="20"/>
        </w:rPr>
        <w:t xml:space="preserve">bocznych drogi startowej </w:t>
      </w:r>
      <w:r w:rsidR="005C078A" w:rsidRPr="005669D1">
        <w:rPr>
          <w:rFonts w:cs="Times New Roman"/>
          <w:color w:val="000000" w:themeColor="text1"/>
          <w:szCs w:val="20"/>
        </w:rPr>
        <w:t>kończy się</w:t>
      </w:r>
      <w:r w:rsidRPr="005669D1">
        <w:rPr>
          <w:rFonts w:cs="Times New Roman"/>
          <w:color w:val="000000" w:themeColor="text1"/>
          <w:szCs w:val="20"/>
        </w:rPr>
        <w:t xml:space="preserve"> w </w:t>
      </w:r>
      <w:r w:rsidR="005C078A" w:rsidRPr="005669D1">
        <w:rPr>
          <w:rFonts w:cs="Times New Roman"/>
          <w:color w:val="000000" w:themeColor="text1"/>
          <w:szCs w:val="20"/>
        </w:rPr>
        <w:t>punkcie</w:t>
      </w:r>
      <w:r w:rsidR="00B16A36" w:rsidRPr="005669D1">
        <w:rPr>
          <w:rFonts w:cs="Times New Roman"/>
          <w:color w:val="000000" w:themeColor="text1"/>
          <w:szCs w:val="20"/>
        </w:rPr>
        <w:t>, w którym zaczyna się</w:t>
      </w:r>
      <w:r w:rsidR="005C078A" w:rsidRPr="005669D1">
        <w:rPr>
          <w:rFonts w:cs="Times New Roman"/>
          <w:color w:val="000000" w:themeColor="text1"/>
          <w:szCs w:val="20"/>
        </w:rPr>
        <w:t xml:space="preserve"> oznakowanie linii </w:t>
      </w:r>
      <w:r w:rsidRPr="005669D1">
        <w:rPr>
          <w:rFonts w:cs="Times New Roman"/>
          <w:color w:val="000000" w:themeColor="text1"/>
          <w:szCs w:val="20"/>
        </w:rPr>
        <w:t>drogi kołow</w:t>
      </w:r>
      <w:r w:rsidR="005C078A" w:rsidRPr="005669D1">
        <w:rPr>
          <w:rFonts w:cs="Times New Roman"/>
          <w:color w:val="000000" w:themeColor="text1"/>
          <w:szCs w:val="20"/>
        </w:rPr>
        <w:t>ania</w:t>
      </w:r>
      <w:r w:rsidRPr="005669D1">
        <w:rPr>
          <w:rFonts w:cs="Times New Roman"/>
          <w:color w:val="000000" w:themeColor="text1"/>
          <w:szCs w:val="20"/>
        </w:rPr>
        <w:t xml:space="preserve"> po dowolnej </w:t>
      </w:r>
      <w:r w:rsidR="005C078A" w:rsidRPr="005669D1">
        <w:rPr>
          <w:rFonts w:cs="Times New Roman"/>
          <w:color w:val="000000" w:themeColor="text1"/>
          <w:szCs w:val="20"/>
        </w:rPr>
        <w:t>stronie drogi kołowania (patrz R</w:t>
      </w:r>
      <w:r w:rsidRPr="005669D1">
        <w:rPr>
          <w:rFonts w:cs="Times New Roman"/>
          <w:color w:val="000000" w:themeColor="text1"/>
          <w:szCs w:val="20"/>
        </w:rPr>
        <w:t xml:space="preserve">ysunek GM-L-2 (A)); lub </w:t>
      </w:r>
    </w:p>
    <w:p w14:paraId="00307371" w14:textId="73281BA1" w:rsidR="005C078A" w:rsidRPr="005669D1" w:rsidRDefault="004E7B22" w:rsidP="00EE2E0D">
      <w:pPr>
        <w:tabs>
          <w:tab w:val="left" w:pos="1134"/>
        </w:tabs>
        <w:autoSpaceDE w:val="0"/>
        <w:autoSpaceDN w:val="0"/>
        <w:adjustRightInd w:val="0"/>
        <w:ind w:left="1134" w:hanging="567"/>
        <w:rPr>
          <w:rFonts w:cs="Times New Roman"/>
          <w:color w:val="000000" w:themeColor="text1"/>
          <w:szCs w:val="20"/>
        </w:rPr>
      </w:pPr>
      <w:r w:rsidRPr="005669D1">
        <w:rPr>
          <w:rFonts w:cs="Times New Roman"/>
          <w:color w:val="000000" w:themeColor="text1"/>
          <w:szCs w:val="20"/>
        </w:rPr>
        <w:t xml:space="preserve">(2) </w:t>
      </w:r>
      <w:r w:rsidR="005C078A" w:rsidRPr="005669D1">
        <w:rPr>
          <w:rFonts w:cs="Times New Roman"/>
          <w:color w:val="000000" w:themeColor="text1"/>
          <w:szCs w:val="20"/>
        </w:rPr>
        <w:tab/>
      </w:r>
      <w:r w:rsidRPr="005669D1">
        <w:rPr>
          <w:rFonts w:cs="Times New Roman"/>
          <w:color w:val="000000" w:themeColor="text1"/>
          <w:szCs w:val="20"/>
        </w:rPr>
        <w:t xml:space="preserve">oznakowanie </w:t>
      </w:r>
      <w:r w:rsidR="005C078A" w:rsidRPr="005669D1">
        <w:rPr>
          <w:rFonts w:cs="Times New Roman"/>
          <w:color w:val="000000" w:themeColor="text1"/>
          <w:szCs w:val="20"/>
        </w:rPr>
        <w:t>linii</w:t>
      </w:r>
      <w:r w:rsidRPr="005669D1">
        <w:rPr>
          <w:rFonts w:cs="Times New Roman"/>
          <w:color w:val="000000" w:themeColor="text1"/>
          <w:szCs w:val="20"/>
        </w:rPr>
        <w:t xml:space="preserve"> bocznych drogi startowej </w:t>
      </w:r>
      <w:r w:rsidR="005C078A" w:rsidRPr="005669D1">
        <w:rPr>
          <w:rFonts w:cs="Times New Roman"/>
          <w:color w:val="000000" w:themeColor="text1"/>
          <w:szCs w:val="20"/>
        </w:rPr>
        <w:t>kończy</w:t>
      </w:r>
      <w:r w:rsidRPr="005669D1">
        <w:rPr>
          <w:rFonts w:cs="Times New Roman"/>
          <w:color w:val="000000" w:themeColor="text1"/>
          <w:szCs w:val="20"/>
        </w:rPr>
        <w:t xml:space="preserve"> się w punkcie, w którym przedłużona linia krawędzi drogi kołowani</w:t>
      </w:r>
      <w:r w:rsidR="005C078A" w:rsidRPr="005669D1">
        <w:rPr>
          <w:rFonts w:cs="Times New Roman"/>
          <w:color w:val="000000" w:themeColor="text1"/>
          <w:szCs w:val="20"/>
        </w:rPr>
        <w:t>a przecina drogę startową (patrz R</w:t>
      </w:r>
      <w:r w:rsidRPr="005669D1">
        <w:rPr>
          <w:rFonts w:cs="Times New Roman"/>
          <w:color w:val="000000" w:themeColor="text1"/>
          <w:szCs w:val="20"/>
        </w:rPr>
        <w:t xml:space="preserve">ysunek GM-L-2 (B)); lub </w:t>
      </w:r>
    </w:p>
    <w:p w14:paraId="67198761" w14:textId="297FE667" w:rsidR="005C078A" w:rsidRPr="005669D1" w:rsidRDefault="004E7B22" w:rsidP="00EE2E0D">
      <w:pPr>
        <w:tabs>
          <w:tab w:val="left" w:pos="1134"/>
        </w:tabs>
        <w:autoSpaceDE w:val="0"/>
        <w:autoSpaceDN w:val="0"/>
        <w:adjustRightInd w:val="0"/>
        <w:ind w:left="1134" w:hanging="567"/>
        <w:rPr>
          <w:rFonts w:cs="Times New Roman"/>
          <w:color w:val="000000" w:themeColor="text1"/>
          <w:szCs w:val="20"/>
        </w:rPr>
      </w:pPr>
      <w:r w:rsidRPr="005669D1">
        <w:rPr>
          <w:rFonts w:cs="Times New Roman"/>
          <w:color w:val="000000" w:themeColor="text1"/>
          <w:szCs w:val="20"/>
        </w:rPr>
        <w:t xml:space="preserve">(3) </w:t>
      </w:r>
      <w:r w:rsidR="005C078A" w:rsidRPr="005669D1">
        <w:rPr>
          <w:rFonts w:cs="Times New Roman"/>
          <w:color w:val="000000" w:themeColor="text1"/>
          <w:szCs w:val="20"/>
        </w:rPr>
        <w:tab/>
      </w:r>
      <w:r w:rsidRPr="005669D1">
        <w:rPr>
          <w:rFonts w:cs="Times New Roman"/>
          <w:color w:val="000000" w:themeColor="text1"/>
          <w:szCs w:val="20"/>
        </w:rPr>
        <w:t xml:space="preserve">oznakowanie </w:t>
      </w:r>
      <w:r w:rsidR="005C078A" w:rsidRPr="005669D1">
        <w:rPr>
          <w:rFonts w:cs="Times New Roman"/>
          <w:color w:val="000000" w:themeColor="text1"/>
          <w:szCs w:val="20"/>
        </w:rPr>
        <w:t>linii</w:t>
      </w:r>
      <w:r w:rsidRPr="005669D1">
        <w:rPr>
          <w:rFonts w:cs="Times New Roman"/>
          <w:color w:val="000000" w:themeColor="text1"/>
          <w:szCs w:val="20"/>
        </w:rPr>
        <w:t xml:space="preserve"> bocznych drogi startowej </w:t>
      </w:r>
      <w:r w:rsidR="005C078A" w:rsidRPr="005669D1">
        <w:rPr>
          <w:rFonts w:cs="Times New Roman"/>
          <w:color w:val="000000" w:themeColor="text1"/>
          <w:szCs w:val="20"/>
        </w:rPr>
        <w:t>kończy</w:t>
      </w:r>
      <w:r w:rsidRPr="005669D1">
        <w:rPr>
          <w:rFonts w:cs="Times New Roman"/>
          <w:color w:val="000000" w:themeColor="text1"/>
          <w:szCs w:val="20"/>
        </w:rPr>
        <w:t xml:space="preserve"> się w niewielkiej odległości po obu stronach oznakowania linii środkowej drogi kołowania, aby umożliwić widoczne i ciągłe prowadzenie oznakowania linii śr</w:t>
      </w:r>
      <w:r w:rsidR="005C078A" w:rsidRPr="005669D1">
        <w:rPr>
          <w:rFonts w:cs="Times New Roman"/>
          <w:color w:val="000000" w:themeColor="text1"/>
          <w:szCs w:val="20"/>
        </w:rPr>
        <w:t>odkowej drogi kołowania (patrz R</w:t>
      </w:r>
      <w:r w:rsidRPr="005669D1">
        <w:rPr>
          <w:rFonts w:cs="Times New Roman"/>
          <w:color w:val="000000" w:themeColor="text1"/>
          <w:szCs w:val="20"/>
        </w:rPr>
        <w:t xml:space="preserve">ysunek GM-L-2 (C)); lub </w:t>
      </w:r>
    </w:p>
    <w:p w14:paraId="7C859C60" w14:textId="4F255B08" w:rsidR="004E7B22" w:rsidRPr="005669D1" w:rsidRDefault="004E7B22" w:rsidP="00EE2E0D">
      <w:pPr>
        <w:tabs>
          <w:tab w:val="left" w:pos="1134"/>
        </w:tabs>
        <w:autoSpaceDE w:val="0"/>
        <w:autoSpaceDN w:val="0"/>
        <w:adjustRightInd w:val="0"/>
        <w:ind w:left="1134" w:hanging="567"/>
        <w:rPr>
          <w:rFonts w:cs="Times New Roman"/>
          <w:color w:val="000000" w:themeColor="text1"/>
          <w:szCs w:val="20"/>
        </w:rPr>
      </w:pPr>
      <w:r w:rsidRPr="005669D1">
        <w:rPr>
          <w:rFonts w:cs="Times New Roman"/>
          <w:color w:val="000000" w:themeColor="text1"/>
          <w:szCs w:val="20"/>
        </w:rPr>
        <w:t xml:space="preserve">(4) </w:t>
      </w:r>
      <w:r w:rsidR="005C078A" w:rsidRPr="005669D1">
        <w:rPr>
          <w:rFonts w:cs="Times New Roman"/>
          <w:color w:val="000000" w:themeColor="text1"/>
          <w:szCs w:val="20"/>
        </w:rPr>
        <w:tab/>
      </w:r>
      <w:r w:rsidRPr="005669D1">
        <w:rPr>
          <w:rFonts w:cs="Times New Roman"/>
          <w:color w:val="000000" w:themeColor="text1"/>
          <w:szCs w:val="20"/>
        </w:rPr>
        <w:t xml:space="preserve">oznakowanie linii </w:t>
      </w:r>
      <w:r w:rsidR="005C078A" w:rsidRPr="005669D1">
        <w:rPr>
          <w:rFonts w:cs="Times New Roman"/>
          <w:color w:val="000000" w:themeColor="text1"/>
          <w:szCs w:val="20"/>
        </w:rPr>
        <w:t xml:space="preserve">środkowej </w:t>
      </w:r>
      <w:r w:rsidRPr="005669D1">
        <w:rPr>
          <w:rFonts w:cs="Times New Roman"/>
          <w:color w:val="000000" w:themeColor="text1"/>
          <w:szCs w:val="20"/>
        </w:rPr>
        <w:t xml:space="preserve">drogi kołowania </w:t>
      </w:r>
      <w:r w:rsidR="005C078A" w:rsidRPr="005669D1">
        <w:rPr>
          <w:rFonts w:cs="Times New Roman"/>
          <w:color w:val="000000" w:themeColor="text1"/>
          <w:szCs w:val="20"/>
        </w:rPr>
        <w:t xml:space="preserve">nakłada się </w:t>
      </w:r>
      <w:r w:rsidRPr="005669D1">
        <w:rPr>
          <w:rFonts w:cs="Times New Roman"/>
          <w:color w:val="000000" w:themeColor="text1"/>
          <w:szCs w:val="20"/>
        </w:rPr>
        <w:t xml:space="preserve">i dlatego przerywa ciągłe oznakowanie </w:t>
      </w:r>
      <w:r w:rsidR="00BF7060" w:rsidRPr="005669D1">
        <w:rPr>
          <w:rFonts w:cs="Times New Roman"/>
          <w:color w:val="000000" w:themeColor="text1"/>
          <w:szCs w:val="20"/>
        </w:rPr>
        <w:t>linii</w:t>
      </w:r>
      <w:r w:rsidRPr="005669D1">
        <w:rPr>
          <w:rFonts w:cs="Times New Roman"/>
          <w:color w:val="000000" w:themeColor="text1"/>
          <w:szCs w:val="20"/>
        </w:rPr>
        <w:t xml:space="preserve"> bocznych </w:t>
      </w:r>
      <w:r w:rsidR="00BF7060" w:rsidRPr="005669D1">
        <w:rPr>
          <w:rFonts w:cs="Times New Roman"/>
          <w:color w:val="000000" w:themeColor="text1"/>
          <w:szCs w:val="20"/>
        </w:rPr>
        <w:t>drogi</w:t>
      </w:r>
      <w:r w:rsidRPr="005669D1">
        <w:rPr>
          <w:rFonts w:cs="Times New Roman"/>
          <w:color w:val="000000" w:themeColor="text1"/>
          <w:szCs w:val="20"/>
        </w:rPr>
        <w:t xml:space="preserve"> startowe</w:t>
      </w:r>
      <w:r w:rsidR="00BF7060" w:rsidRPr="005669D1">
        <w:rPr>
          <w:rFonts w:cs="Times New Roman"/>
          <w:color w:val="000000" w:themeColor="text1"/>
          <w:szCs w:val="20"/>
        </w:rPr>
        <w:t>j</w:t>
      </w:r>
      <w:r w:rsidRPr="005669D1">
        <w:rPr>
          <w:rFonts w:cs="Times New Roman"/>
          <w:color w:val="000000" w:themeColor="text1"/>
          <w:szCs w:val="20"/>
        </w:rPr>
        <w:t xml:space="preserve"> (patrz rysunek GM-L-2 (D)).</w:t>
      </w:r>
    </w:p>
    <w:p w14:paraId="1BA138F7" w14:textId="441DA58F" w:rsidR="004E7B22" w:rsidRPr="005669D1" w:rsidRDefault="004E7B22" w:rsidP="004E7B22">
      <w:pPr>
        <w:jc w:val="center"/>
        <w:rPr>
          <w:color w:val="000000" w:themeColor="text1"/>
        </w:rPr>
      </w:pPr>
      <w:r w:rsidRPr="005669D1">
        <w:rPr>
          <w:noProof/>
          <w:color w:val="000000" w:themeColor="text1"/>
          <w:lang w:eastAsia="pl-PL"/>
        </w:rPr>
        <w:drawing>
          <wp:inline distT="0" distB="0" distL="0" distR="0" wp14:anchorId="3DAFCF8C" wp14:editId="2B56446F">
            <wp:extent cx="4045897" cy="2487930"/>
            <wp:effectExtent l="0" t="0" r="0" b="7620"/>
            <wp:docPr id="1381" name="Obraz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63517" cy="2498765"/>
                    </a:xfrm>
                    <a:prstGeom prst="rect">
                      <a:avLst/>
                    </a:prstGeom>
                  </pic:spPr>
                </pic:pic>
              </a:graphicData>
            </a:graphic>
          </wp:inline>
        </w:drawing>
      </w:r>
    </w:p>
    <w:p w14:paraId="40654693" w14:textId="0C21AC24" w:rsidR="00BF7060" w:rsidRPr="005669D1" w:rsidRDefault="00BF7060" w:rsidP="004E7B22">
      <w:pPr>
        <w:jc w:val="center"/>
        <w:rPr>
          <w:rFonts w:asciiTheme="minorHAnsi" w:hAnsiTheme="minorHAnsi" w:cstheme="minorHAnsi"/>
          <w:b/>
          <w:color w:val="000000" w:themeColor="text1"/>
          <w:sz w:val="20"/>
        </w:rPr>
      </w:pPr>
      <w:r w:rsidRPr="005669D1">
        <w:rPr>
          <w:rFonts w:asciiTheme="minorHAnsi" w:hAnsiTheme="minorHAnsi" w:cstheme="minorHAnsi"/>
          <w:b/>
          <w:color w:val="000000" w:themeColor="text1"/>
          <w:sz w:val="20"/>
        </w:rPr>
        <w:t xml:space="preserve">Rysunek GM-L-2. </w:t>
      </w:r>
      <w:r w:rsidR="00B16A36" w:rsidRPr="005669D1">
        <w:rPr>
          <w:rFonts w:asciiTheme="minorHAnsi" w:hAnsiTheme="minorHAnsi" w:cstheme="minorHAnsi"/>
          <w:b/>
          <w:color w:val="000000" w:themeColor="text1"/>
          <w:sz w:val="20"/>
        </w:rPr>
        <w:t xml:space="preserve"> </w:t>
      </w:r>
      <w:r w:rsidRPr="005669D1">
        <w:rPr>
          <w:rFonts w:asciiTheme="minorHAnsi" w:hAnsiTheme="minorHAnsi" w:cstheme="minorHAnsi"/>
          <w:b/>
          <w:color w:val="000000" w:themeColor="text1"/>
          <w:sz w:val="20"/>
        </w:rPr>
        <w:t>Ilustracja przerwania oznakowania linii bocznych drogi startowej</w:t>
      </w:r>
    </w:p>
    <w:p w14:paraId="3E6DEA0A" w14:textId="77777777" w:rsidR="00BF7060" w:rsidRPr="005669D1" w:rsidRDefault="00BF7060" w:rsidP="00BF7060">
      <w:pPr>
        <w:widowControl/>
        <w:autoSpaceDE w:val="0"/>
        <w:autoSpaceDN w:val="0"/>
        <w:adjustRightInd w:val="0"/>
        <w:spacing w:after="0"/>
        <w:jc w:val="left"/>
        <w:rPr>
          <w:rFonts w:cs="Calibri"/>
          <w:color w:val="000000" w:themeColor="text1"/>
          <w:sz w:val="24"/>
          <w:szCs w:val="24"/>
        </w:rPr>
      </w:pPr>
    </w:p>
    <w:p w14:paraId="772B6ED2" w14:textId="4D5DFC4A" w:rsidR="00BF7060" w:rsidRPr="005669D1" w:rsidRDefault="00BF7060" w:rsidP="00EE2E0D">
      <w:pPr>
        <w:tabs>
          <w:tab w:val="left" w:pos="567"/>
        </w:tabs>
        <w:autoSpaceDE w:val="0"/>
        <w:autoSpaceDN w:val="0"/>
        <w:adjustRightInd w:val="0"/>
        <w:ind w:left="567" w:hanging="567"/>
        <w:rPr>
          <w:rFonts w:cs="TimesNewRomanPSMT"/>
          <w:color w:val="000000" w:themeColor="text1"/>
          <w:szCs w:val="20"/>
        </w:rPr>
      </w:pPr>
      <w:r w:rsidRPr="005669D1">
        <w:rPr>
          <w:rFonts w:cs="TimesNewRomanPSMT"/>
          <w:color w:val="000000" w:themeColor="text1"/>
          <w:szCs w:val="20"/>
        </w:rPr>
        <w:t xml:space="preserve">(b) </w:t>
      </w:r>
      <w:r w:rsidRPr="005669D1">
        <w:rPr>
          <w:rFonts w:cs="TimesNewRomanPSMT"/>
          <w:color w:val="000000" w:themeColor="text1"/>
          <w:szCs w:val="20"/>
        </w:rPr>
        <w:tab/>
      </w:r>
      <w:r w:rsidR="00C37AC4" w:rsidRPr="005669D1">
        <w:rPr>
          <w:rFonts w:cs="TimesNewRomanPSMT"/>
          <w:color w:val="000000" w:themeColor="text1"/>
          <w:szCs w:val="20"/>
        </w:rPr>
        <w:t>Ogólna m</w:t>
      </w:r>
      <w:r w:rsidRPr="005669D1">
        <w:rPr>
          <w:rFonts w:cs="TimesNewRomanPSMT"/>
          <w:color w:val="000000" w:themeColor="text1"/>
          <w:szCs w:val="20"/>
        </w:rPr>
        <w:t>ożliwość dostrzegania oznakowania linii bocznych drog</w:t>
      </w:r>
      <w:r w:rsidR="00B16A36" w:rsidRPr="005669D1">
        <w:rPr>
          <w:rFonts w:cs="TimesNewRomanPSMT"/>
          <w:color w:val="000000" w:themeColor="text1"/>
          <w:szCs w:val="20"/>
        </w:rPr>
        <w:t>i startowej zależy od potrzeb w </w:t>
      </w:r>
      <w:r w:rsidRPr="005669D1">
        <w:rPr>
          <w:rFonts w:cs="TimesNewRomanPSMT"/>
          <w:color w:val="000000" w:themeColor="text1"/>
          <w:szCs w:val="20"/>
        </w:rPr>
        <w:t>zakresie widoczności i warunków lokalnych, takich jak liczba, położenie i rozmieszczenie skrzyżowań dróg startowych / dróg kołowania, charakteru otaczającego terenu, potrzeb operacyjnych na lotnisku, pogody, itp.</w:t>
      </w:r>
    </w:p>
    <w:p w14:paraId="62634BEE" w14:textId="77777777" w:rsidR="00EB4908" w:rsidRPr="009E064B" w:rsidRDefault="00EB4908" w:rsidP="00EB4908">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D5B5296" w14:textId="4CB23B59" w:rsidR="00C36D76" w:rsidRPr="009E064B" w:rsidRDefault="00A73874" w:rsidP="00A73874">
      <w:pPr>
        <w:pStyle w:val="Nagwek4"/>
        <w:tabs>
          <w:tab w:val="clear" w:pos="2694"/>
        </w:tabs>
        <w:ind w:left="2552" w:hanging="2552"/>
        <w:rPr>
          <w:color w:val="auto"/>
        </w:rPr>
      </w:pPr>
      <w:bookmarkStart w:id="1387" w:name="_Toc482886654"/>
      <w:bookmarkStart w:id="1388" w:name="_Toc12533148"/>
      <w:r w:rsidRPr="009E064B">
        <w:rPr>
          <w:color w:val="auto"/>
        </w:rPr>
        <w:t xml:space="preserve">CS ADR-DSN.L.565      </w:t>
      </w:r>
      <w:r w:rsidR="00C36D76" w:rsidRPr="009E064B">
        <w:rPr>
          <w:color w:val="auto"/>
        </w:rPr>
        <w:t>Oznakowanie płaszczyzny do zawracania na drodze startowej</w:t>
      </w:r>
      <w:bookmarkEnd w:id="1387"/>
      <w:bookmarkEnd w:id="1388"/>
    </w:p>
    <w:p w14:paraId="440DDD92" w14:textId="4C78EEA6" w:rsidR="00A73874" w:rsidRPr="009E064B" w:rsidRDefault="001F74A1" w:rsidP="00A7387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37C2214" w14:textId="62F9F411" w:rsidR="00C36D76" w:rsidRPr="009E064B" w:rsidRDefault="00A73874" w:rsidP="00A73874">
      <w:pPr>
        <w:tabs>
          <w:tab w:val="left" w:pos="567"/>
        </w:tabs>
        <w:autoSpaceDE w:val="0"/>
        <w:autoSpaceDN w:val="0"/>
        <w:adjustRightInd w:val="0"/>
        <w:ind w:left="567" w:hanging="567"/>
        <w:rPr>
          <w:szCs w:val="20"/>
        </w:rPr>
      </w:pPr>
      <w:r w:rsidRPr="009E064B">
        <w:rPr>
          <w:rFonts w:cs="Times New Roman"/>
          <w:szCs w:val="20"/>
        </w:rPr>
        <w:t xml:space="preserve"> </w:t>
      </w:r>
      <w:r w:rsidR="00C36D76" w:rsidRPr="009E064B">
        <w:rPr>
          <w:rFonts w:cs="Times New Roman"/>
          <w:szCs w:val="20"/>
        </w:rPr>
        <w:t xml:space="preserve">(a) </w:t>
      </w:r>
      <w:r w:rsidR="00C36D76" w:rsidRPr="009E064B">
        <w:rPr>
          <w:rFonts w:cs="Times New Roman"/>
          <w:szCs w:val="20"/>
        </w:rPr>
        <w:tab/>
      </w:r>
      <w:r w:rsidR="00C36D76" w:rsidRPr="009E064B">
        <w:rPr>
          <w:rFonts w:cs="TimesNewRomanPS-BoldItalicMT"/>
          <w:bCs/>
          <w:iCs/>
          <w:szCs w:val="20"/>
        </w:rPr>
        <w:t xml:space="preserve">Zastosowanie: </w:t>
      </w:r>
      <w:r w:rsidR="00C36D76" w:rsidRPr="009E064B">
        <w:rPr>
          <w:rFonts w:cs="TimesNewRomanPSMT"/>
          <w:szCs w:val="20"/>
        </w:rPr>
        <w:t>Jeżeli droga startowa jest wyposażona w płaszczyznę do zawracania, powinna ona posiadać oznakowanie wykonane w taki sposób, aby zapewnić ciągłe prowadzenie statku powietrznego, wykonanie pełnego zakrętu o 180º oraz ustawienie się w linii środkowej drogi startowej.</w:t>
      </w:r>
    </w:p>
    <w:p w14:paraId="0C342E17"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Charakterystyki</w:t>
      </w:r>
      <w:r w:rsidRPr="009E064B">
        <w:rPr>
          <w:szCs w:val="20"/>
        </w:rPr>
        <w:t>:</w:t>
      </w:r>
    </w:p>
    <w:p w14:paraId="48D8CD25"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Oznakowanie płaszczyzny do zawracania powinno odchodzić łukiem od linii środkowej drogi startowej w kierunku płaszczyzny do zawracania. Promień łuku powinien odpowiadać możliwościom manewrowym przy normalnych prędkościach kołowania statku powietrznego, dla którego przeznaczona jest ta płaszczyzna.</w:t>
      </w:r>
    </w:p>
    <w:p w14:paraId="4042E566"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Kąt przecięcia się oznakowania płaszczyzny do zawracania z linią środkową drogi startowej nie powinien być większy niż 30º.</w:t>
      </w:r>
    </w:p>
    <w:p w14:paraId="6167558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Oznakowanie poziome płaszczyzny do zawracania powinno być przedłużone równolegle do linii środkowej drogi startowej na odległość nie mniejszą niż 60 m poza punkt styczności, jeżeli cyfrą kodu jest 3 lub 4 oraz na odległość nie mniejszą niż 30 m, jeżeli cyfrą kodu jest 1 lub 2.</w:t>
      </w:r>
    </w:p>
    <w:p w14:paraId="54498704" w14:textId="179E83CF"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Oznakowanie płaszczyzny do zawracania powinno być wykonane w taki sposób, aby był zapewniony prostoliniowy odcinek kołowania przed rozpoczęciem skrętu o 180</w:t>
      </w:r>
      <w:r w:rsidR="00FD713A" w:rsidRPr="009E064B">
        <w:rPr>
          <w:rFonts w:cs="TimesNewRomanPS-ItalicMT"/>
          <w:iCs/>
          <w:szCs w:val="20"/>
          <w:vertAlign w:val="superscript"/>
        </w:rPr>
        <w:t>o</w:t>
      </w:r>
      <w:r w:rsidRPr="009E064B">
        <w:rPr>
          <w:rFonts w:cs="TimesNewRomanPS-ItalicMT"/>
          <w:iCs/>
          <w:szCs w:val="20"/>
        </w:rPr>
        <w:t>. Prostoliniowy odcinek oznakowania płaszczyzny do zawracania powinien być równoległy do zewnętrznej krawędzi płaszczyzny do zawracania.</w:t>
      </w:r>
    </w:p>
    <w:p w14:paraId="23CD9645"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(5) </w:t>
      </w:r>
      <w:r w:rsidRPr="009E064B">
        <w:rPr>
          <w:rFonts w:cs="Times New Roman"/>
          <w:szCs w:val="20"/>
        </w:rPr>
        <w:tab/>
      </w:r>
      <w:r w:rsidRPr="009E064B">
        <w:rPr>
          <w:rFonts w:cs="TimesNewRomanPS-ItalicMT"/>
          <w:iCs/>
          <w:szCs w:val="20"/>
        </w:rPr>
        <w:t>Kształt łuku umożliwiającego wykonanie przez statek powietrzny skrętu o 180º powinien być wykonany w oparciu o kąt skrętu przedniego koła statku powietrznego nieprzekraczający 45º.</w:t>
      </w:r>
    </w:p>
    <w:p w14:paraId="210AAB89" w14:textId="5C13ADBD" w:rsidR="00C36D76" w:rsidRPr="009E064B" w:rsidRDefault="00C36D76" w:rsidP="00321955">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(6) </w:t>
      </w:r>
      <w:r w:rsidRPr="009E064B">
        <w:rPr>
          <w:rFonts w:cs="Times New Roman"/>
          <w:szCs w:val="20"/>
        </w:rPr>
        <w:tab/>
      </w:r>
      <w:r w:rsidRPr="009E064B">
        <w:rPr>
          <w:rFonts w:cs="TimesNewRomanPS-ItalicMT"/>
          <w:iCs/>
          <w:szCs w:val="20"/>
        </w:rPr>
        <w:t xml:space="preserve">Kształt oznakowania płaszczyzny do zawracania powinien być taki, że jeżeli kabina statku powietrznego pozostaje nad oznakowaniem płaszczyzny, to ostęp pomiędzy jakimkolwiek kołem podwozia statku powietrznego, a krawędzią płaszczyzny nie będzie mniejszy </w:t>
      </w:r>
      <w:r w:rsidR="00682083" w:rsidRPr="009E064B">
        <w:rPr>
          <w:rFonts w:cs="TimesNewRomanPS-ItalicMT"/>
          <w:iCs/>
          <w:szCs w:val="20"/>
        </w:rPr>
        <w:t>od</w:t>
      </w:r>
      <w:r w:rsidRPr="009E064B">
        <w:rPr>
          <w:rFonts w:cs="TimesNewRomanPS-ItalicMT"/>
          <w:iCs/>
          <w:szCs w:val="20"/>
        </w:rPr>
        <w:t xml:space="preserve"> wartości </w:t>
      </w:r>
      <w:r w:rsidR="00682083" w:rsidRPr="009E064B">
        <w:rPr>
          <w:rFonts w:cs="TimesNewRomanPS-ItalicMT"/>
          <w:iCs/>
          <w:szCs w:val="20"/>
        </w:rPr>
        <w:t xml:space="preserve"> określonych w </w:t>
      </w:r>
      <w:hyperlink w:anchor="_CS_ADR-DSN.B.095_" w:history="1">
        <w:r w:rsidR="00682083" w:rsidRPr="009E064B">
          <w:rPr>
            <w:rStyle w:val="Hipercze"/>
            <w:rFonts w:cs="TimesNewRomanPS-ItalicMT"/>
            <w:iCs/>
            <w:szCs w:val="20"/>
          </w:rPr>
          <w:t>CS ADR-DSN.B.095</w:t>
        </w:r>
      </w:hyperlink>
      <w:r w:rsidR="00682083" w:rsidRPr="005669D1">
        <w:rPr>
          <w:rFonts w:cs="TimesNewRomanPS-ItalicMT"/>
          <w:iCs/>
          <w:color w:val="000000" w:themeColor="text1"/>
          <w:szCs w:val="20"/>
        </w:rPr>
        <w:t xml:space="preserve"> lit. (c).</w:t>
      </w:r>
    </w:p>
    <w:p w14:paraId="0897B790" w14:textId="5B8FDBBC" w:rsidR="00D24C0E" w:rsidRPr="009E064B" w:rsidRDefault="00C36D76" w:rsidP="00C41539">
      <w:pPr>
        <w:tabs>
          <w:tab w:val="left" w:pos="1134"/>
        </w:tabs>
        <w:autoSpaceDE w:val="0"/>
        <w:autoSpaceDN w:val="0"/>
        <w:adjustRightInd w:val="0"/>
        <w:spacing w:before="120" w:after="0"/>
        <w:ind w:left="1134" w:hanging="567"/>
        <w:rPr>
          <w:szCs w:val="20"/>
        </w:rPr>
      </w:pPr>
      <w:r w:rsidRPr="009E064B">
        <w:rPr>
          <w:rFonts w:cs="Times New Roman"/>
          <w:szCs w:val="20"/>
        </w:rPr>
        <w:t xml:space="preserve">(7) </w:t>
      </w:r>
      <w:r w:rsidRPr="009E064B">
        <w:rPr>
          <w:rFonts w:cs="Times New Roman"/>
          <w:szCs w:val="20"/>
        </w:rPr>
        <w:tab/>
      </w:r>
      <w:r w:rsidRPr="009E064B">
        <w:rPr>
          <w:rFonts w:cs="TimesNewRomanPS-ItalicMT"/>
          <w:iCs/>
          <w:szCs w:val="20"/>
        </w:rPr>
        <w:t>Oznakowanie</w:t>
      </w:r>
      <w:r w:rsidRPr="009E064B">
        <w:rPr>
          <w:szCs w:val="20"/>
        </w:rPr>
        <w:t xml:space="preserve"> </w:t>
      </w:r>
      <w:r w:rsidRPr="009E064B">
        <w:rPr>
          <w:rFonts w:cs="TimesNewRomanPS-ItalicMT"/>
          <w:iCs/>
          <w:szCs w:val="20"/>
        </w:rPr>
        <w:t xml:space="preserve">poziome </w:t>
      </w:r>
      <w:r w:rsidRPr="009E064B">
        <w:rPr>
          <w:szCs w:val="20"/>
        </w:rPr>
        <w:t>płaszczyzny do zawracania powinno mieć, co najmniej 15 cm szerokości i być ciągłe na całej długości.</w:t>
      </w:r>
    </w:p>
    <w:p w14:paraId="65E3FE56" w14:textId="77777777" w:rsidR="00C40ECA" w:rsidRPr="009E064B" w:rsidRDefault="00C40ECA" w:rsidP="00B16A36">
      <w:pPr>
        <w:pStyle w:val="Tekstpodstawowy"/>
        <w:spacing w:before="120" w:after="3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12E9E28" w14:textId="21B0EB0F" w:rsidR="00454C4B" w:rsidRPr="009E064B" w:rsidRDefault="002B4E78" w:rsidP="00133B99">
      <w:pPr>
        <w:pStyle w:val="Nagwek6"/>
      </w:pPr>
      <w:bookmarkStart w:id="1389" w:name="_Toc401059011"/>
      <w:bookmarkStart w:id="1390" w:name="_Toc482886878"/>
      <w:bookmarkStart w:id="1391" w:name="_Toc12533149"/>
      <w:r w:rsidRPr="009E064B">
        <w:t xml:space="preserve">GM1 ADR-DSN.L.565      </w:t>
      </w:r>
      <w:r w:rsidR="00454C4B" w:rsidRPr="009E064B">
        <w:t>Oznakowanie płaszczyzny do zawracania na drodze startowej</w:t>
      </w:r>
      <w:bookmarkEnd w:id="1389"/>
      <w:bookmarkEnd w:id="1390"/>
      <w:bookmarkEnd w:id="1391"/>
    </w:p>
    <w:p w14:paraId="083429A2" w14:textId="0AC51FD9"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1477756" w14:textId="17C214EC" w:rsidR="00C37AC4" w:rsidRPr="005669D1" w:rsidRDefault="00C37AC4" w:rsidP="00EE2E0D">
      <w:pPr>
        <w:tabs>
          <w:tab w:val="left" w:pos="0"/>
        </w:tabs>
        <w:rPr>
          <w:rFonts w:cs="TimesNewRomanPS-BoldMT"/>
          <w:bCs/>
          <w:iCs/>
          <w:color w:val="000000" w:themeColor="text1"/>
          <w:szCs w:val="20"/>
        </w:rPr>
      </w:pPr>
      <w:bookmarkStart w:id="1392" w:name="_Toc482886655"/>
      <w:r w:rsidRPr="005669D1">
        <w:rPr>
          <w:rFonts w:cs="TimesNewRomanPS-BoldMT"/>
          <w:bCs/>
          <w:iCs/>
          <w:color w:val="000000" w:themeColor="text1"/>
          <w:szCs w:val="20"/>
        </w:rPr>
        <w:t xml:space="preserve">Jeżeli nie istnieje </w:t>
      </w:r>
      <w:r w:rsidRPr="005669D1">
        <w:rPr>
          <w:color w:val="000000" w:themeColor="text1"/>
          <w:szCs w:val="20"/>
        </w:rPr>
        <w:t>płaszczyzna do zawracania na drodze startowej</w:t>
      </w:r>
      <w:r w:rsidRPr="005669D1">
        <w:rPr>
          <w:rFonts w:cs="TimesNewRomanPS-BoldMT"/>
          <w:bCs/>
          <w:iCs/>
          <w:color w:val="000000" w:themeColor="text1"/>
          <w:szCs w:val="20"/>
        </w:rPr>
        <w:t>, można zapewnić oznakowanie umożliwiające ciągłe prowadzenie samolotu w celu wykonania skrętu o 180 stopni i wyrównania z linią środkową drogi startowej. Takie oznakowanie powinno być koloru żółtego, o szerok</w:t>
      </w:r>
      <w:r w:rsidR="00FE3209" w:rsidRPr="005669D1">
        <w:rPr>
          <w:rFonts w:cs="TimesNewRomanPS-BoldMT"/>
          <w:bCs/>
          <w:iCs/>
          <w:color w:val="000000" w:themeColor="text1"/>
          <w:szCs w:val="20"/>
        </w:rPr>
        <w:t>ości co najmniej 15 cm i ciągłe na całej</w:t>
      </w:r>
      <w:r w:rsidRPr="005669D1">
        <w:rPr>
          <w:rFonts w:cs="TimesNewRomanPS-BoldMT"/>
          <w:bCs/>
          <w:iCs/>
          <w:color w:val="000000" w:themeColor="text1"/>
          <w:szCs w:val="20"/>
        </w:rPr>
        <w:t xml:space="preserve"> długości.</w:t>
      </w:r>
    </w:p>
    <w:p w14:paraId="55CEAE3E" w14:textId="77777777" w:rsidR="001837A3" w:rsidRPr="009E064B" w:rsidRDefault="001837A3" w:rsidP="00B16A36">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08EE2B9" w14:textId="041AE3F5" w:rsidR="00C36D76" w:rsidRPr="009E064B" w:rsidRDefault="00C36D76" w:rsidP="00C37AC4">
      <w:pPr>
        <w:pStyle w:val="Nagwek4"/>
        <w:tabs>
          <w:tab w:val="clear" w:pos="2694"/>
        </w:tabs>
        <w:ind w:left="2552" w:hanging="2552"/>
        <w:rPr>
          <w:color w:val="auto"/>
        </w:rPr>
      </w:pPr>
      <w:bookmarkStart w:id="1393" w:name="_Toc12533150"/>
      <w:r w:rsidRPr="009E064B">
        <w:t>CS A</w:t>
      </w:r>
      <w:r w:rsidR="00F0411B" w:rsidRPr="009E064B">
        <w:t xml:space="preserve">DR-DSN.L.570      </w:t>
      </w:r>
      <w:r w:rsidRPr="009E064B">
        <w:t>Wzmocnione oznakowanie linii środkowej drogi</w:t>
      </w:r>
      <w:r w:rsidRPr="009E064B">
        <w:rPr>
          <w:color w:val="auto"/>
        </w:rPr>
        <w:t xml:space="preserve"> kołowania</w:t>
      </w:r>
      <w:bookmarkEnd w:id="1392"/>
      <w:bookmarkEnd w:id="1393"/>
    </w:p>
    <w:p w14:paraId="149CC5A0" w14:textId="38E93E36" w:rsidR="00A62411" w:rsidRPr="009E064B" w:rsidRDefault="00D63D4F" w:rsidP="00A62411">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D564C9C" w14:textId="02355442" w:rsidR="00C36D76" w:rsidRPr="009E064B" w:rsidRDefault="00C36D76" w:rsidP="00B06A9A">
      <w:pPr>
        <w:tabs>
          <w:tab w:val="left" w:pos="567"/>
        </w:tabs>
        <w:ind w:left="567" w:hanging="567"/>
        <w:rPr>
          <w:rFonts w:cs="TimesNewRomanPS-BoldMT"/>
          <w:bCs/>
          <w:iCs/>
          <w:szCs w:val="20"/>
        </w:rPr>
      </w:pPr>
      <w:r w:rsidRPr="009E064B">
        <w:rPr>
          <w:rFonts w:cs="TimesNewRomanPS-BoldMT"/>
          <w:bCs/>
          <w:iCs/>
          <w:szCs w:val="20"/>
        </w:rPr>
        <w:t xml:space="preserve">(a) </w:t>
      </w:r>
      <w:r w:rsidRPr="009E064B">
        <w:rPr>
          <w:rFonts w:cs="TimesNewRomanPS-BoldMT"/>
          <w:bCs/>
          <w:iCs/>
          <w:szCs w:val="20"/>
        </w:rPr>
        <w:tab/>
        <w:t>Wzmocnione oznakowanie linii środkowej drogi kołowania, jeżeli jest stosowane, to powinno być instalowane na każdym skrzyżowaniu drogi kołowania</w:t>
      </w:r>
      <w:r w:rsidR="00FD713A" w:rsidRPr="009E064B">
        <w:rPr>
          <w:rFonts w:cs="TimesNewRomanPS-BoldMT"/>
          <w:bCs/>
          <w:iCs/>
          <w:szCs w:val="20"/>
        </w:rPr>
        <w:t> </w:t>
      </w:r>
      <w:r w:rsidRPr="009E064B">
        <w:rPr>
          <w:rFonts w:cs="TimesNewRomanPS-BoldMT"/>
          <w:bCs/>
          <w:iCs/>
          <w:szCs w:val="20"/>
        </w:rPr>
        <w:t>/</w:t>
      </w:r>
      <w:r w:rsidR="00FD713A" w:rsidRPr="009E064B">
        <w:rPr>
          <w:rFonts w:cs="TimesNewRomanPS-BoldMT"/>
          <w:bCs/>
          <w:iCs/>
          <w:szCs w:val="20"/>
        </w:rPr>
        <w:t> </w:t>
      </w:r>
      <w:r w:rsidRPr="009E064B">
        <w:rPr>
          <w:rFonts w:cs="TimesNewRomanPS-BoldMT"/>
          <w:bCs/>
          <w:iCs/>
          <w:szCs w:val="20"/>
        </w:rPr>
        <w:t>drogi startowej, gdzie konieczne jest zaznaczenie bliskości miejsca oczekiwania przed drogą startową.</w:t>
      </w:r>
    </w:p>
    <w:p w14:paraId="52C5F36F" w14:textId="27F95562" w:rsidR="00C36D76" w:rsidRPr="009E064B" w:rsidRDefault="005446B5" w:rsidP="00B06A9A">
      <w:pPr>
        <w:tabs>
          <w:tab w:val="left" w:pos="567"/>
        </w:tabs>
        <w:ind w:left="567" w:hanging="567"/>
        <w:rPr>
          <w:rFonts w:cs="TimesNewRomanPS-BoldMT"/>
          <w:bCs/>
          <w:szCs w:val="20"/>
        </w:rPr>
      </w:pPr>
      <w:r w:rsidRPr="009E064B">
        <w:rPr>
          <w:rFonts w:cs="TimesNewRomanPS-BoldMT"/>
          <w:bCs/>
          <w:szCs w:val="20"/>
        </w:rPr>
        <w:t>(</w:t>
      </w:r>
      <w:r w:rsidR="00C36D76" w:rsidRPr="009E064B">
        <w:rPr>
          <w:rFonts w:cs="TimesNewRomanPS-BoldMT"/>
          <w:bCs/>
          <w:szCs w:val="20"/>
        </w:rPr>
        <w:t xml:space="preserve">b) </w:t>
      </w:r>
      <w:r w:rsidR="00C36D76" w:rsidRPr="009E064B">
        <w:rPr>
          <w:rFonts w:cs="TimesNewRomanPS-BoldMT"/>
          <w:bCs/>
          <w:szCs w:val="20"/>
        </w:rPr>
        <w:tab/>
      </w:r>
      <w:r w:rsidR="00C36D76" w:rsidRPr="009E064B">
        <w:rPr>
          <w:rFonts w:cs="TimesNewRomanPS-BoldMT"/>
          <w:bCs/>
          <w:iCs/>
          <w:szCs w:val="20"/>
        </w:rPr>
        <w:t>Charakterystyka</w:t>
      </w:r>
      <w:r w:rsidR="00C36D76" w:rsidRPr="009E064B">
        <w:rPr>
          <w:rFonts w:cs="TimesNewRomanPS-BoldMT"/>
          <w:bCs/>
          <w:szCs w:val="20"/>
        </w:rPr>
        <w:t>:</w:t>
      </w:r>
    </w:p>
    <w:p w14:paraId="0F18BF58" w14:textId="77777777" w:rsidR="00C36D76" w:rsidRPr="009E064B" w:rsidRDefault="00C36D76" w:rsidP="00B06A9A">
      <w:pPr>
        <w:tabs>
          <w:tab w:val="left" w:pos="1134"/>
        </w:tabs>
        <w:ind w:left="1134" w:hanging="567"/>
        <w:rPr>
          <w:rFonts w:cs="TimesNewRomanPS-BoldMT"/>
          <w:bCs/>
          <w:szCs w:val="20"/>
        </w:rPr>
      </w:pPr>
      <w:r w:rsidRPr="009E064B">
        <w:rPr>
          <w:rFonts w:cs="TimesNewRomanPS-BoldMT"/>
          <w:bCs/>
          <w:szCs w:val="20"/>
        </w:rPr>
        <w:t>(1)</w:t>
      </w:r>
      <w:r w:rsidRPr="009E064B">
        <w:rPr>
          <w:rFonts w:cs="TimesNewRomanPS-BoldMT"/>
          <w:bCs/>
          <w:szCs w:val="20"/>
        </w:rPr>
        <w:tab/>
      </w:r>
      <w:r w:rsidRPr="009E064B">
        <w:rPr>
          <w:rFonts w:cs="TimesNewRomanPS-BoldMT"/>
          <w:bCs/>
          <w:iCs/>
          <w:szCs w:val="20"/>
        </w:rPr>
        <w:t xml:space="preserve">Wzmocnione oznakowanie linii środkowej drogi kołowania powinno być takie jak na Rysunku L-6. </w:t>
      </w:r>
      <w:r w:rsidRPr="009E064B">
        <w:rPr>
          <w:rFonts w:cs="TimesNewRomanPS-BoldMT"/>
          <w:bCs/>
          <w:szCs w:val="20"/>
        </w:rPr>
        <w:t>Wzmocnione</w:t>
      </w:r>
      <w:r w:rsidRPr="009E064B">
        <w:rPr>
          <w:rFonts w:cs="TimesNewRomanPS-BoldMT"/>
          <w:bCs/>
          <w:iCs/>
          <w:szCs w:val="20"/>
        </w:rPr>
        <w:t xml:space="preserve"> oznakowanie linii środkowej drogi kołowania powinno się </w:t>
      </w:r>
      <w:r w:rsidRPr="009E064B">
        <w:rPr>
          <w:rFonts w:cs="TimesNewRomanPS-BoldMT"/>
          <w:bCs/>
          <w:szCs w:val="20"/>
        </w:rPr>
        <w:t>rozciągać od miejsca oczekiwania przed drogą startową w układzie A (jak określono na Rysunku L-5) do odległości sięgającej 47 m w kierunku ruchu poza drogę startową (patrz Rysunek L-6(a)).</w:t>
      </w:r>
    </w:p>
    <w:p w14:paraId="43715A86" w14:textId="23101EEC" w:rsidR="00C36D76" w:rsidRPr="009E064B" w:rsidRDefault="00C36D76" w:rsidP="00B06A9A">
      <w:pPr>
        <w:tabs>
          <w:tab w:val="left" w:pos="1134"/>
        </w:tabs>
        <w:ind w:left="1134" w:hanging="567"/>
        <w:rPr>
          <w:rFonts w:cs="TimesNewRomanPS-BoldMT"/>
          <w:bCs/>
          <w:szCs w:val="20"/>
        </w:rPr>
      </w:pPr>
      <w:r w:rsidRPr="009E064B">
        <w:rPr>
          <w:rFonts w:cs="TimesNewRomanPS-BoldMT"/>
          <w:bCs/>
          <w:szCs w:val="20"/>
        </w:rPr>
        <w:t>(2)</w:t>
      </w:r>
      <w:r w:rsidRPr="009E064B">
        <w:rPr>
          <w:rFonts w:cs="TimesNewRomanPS-BoldMT"/>
          <w:bCs/>
          <w:szCs w:val="20"/>
        </w:rPr>
        <w:tab/>
        <w:t>Jeżeli wzmocnione oznakowanie linii środkowej drogi kołowania przecina inne oznakowanie miejsca oczekiwania przed drogą startową, tak jak w przypadku drogi startowej z podejściem precyzyjnym kategorii II lub III, k</w:t>
      </w:r>
      <w:r w:rsidR="00C126F7" w:rsidRPr="009E064B">
        <w:rPr>
          <w:rFonts w:cs="TimesNewRomanPS-BoldMT"/>
          <w:bCs/>
          <w:szCs w:val="20"/>
        </w:rPr>
        <w:t>tóre znajduje się na odcinku 47 </w:t>
      </w:r>
      <w:r w:rsidRPr="009E064B">
        <w:rPr>
          <w:rFonts w:cs="TimesNewRomanPS-BoldMT"/>
          <w:bCs/>
          <w:szCs w:val="20"/>
        </w:rPr>
        <w:t>m pierwszego oznakowania miejsca oczekiwania przed drogą startową, wzmocnione oznakowanie linii środkowej drogi kołowania powinno być przerwane na 0.9 m przed i</w:t>
      </w:r>
      <w:r w:rsidR="00C126F7" w:rsidRPr="009E064B">
        <w:rPr>
          <w:rFonts w:cs="TimesNewRomanPS-BoldMT"/>
          <w:bCs/>
          <w:szCs w:val="20"/>
        </w:rPr>
        <w:t> </w:t>
      </w:r>
      <w:r w:rsidRPr="009E064B">
        <w:rPr>
          <w:rFonts w:cs="TimesNewRomanPS-BoldMT"/>
          <w:bCs/>
          <w:szCs w:val="20"/>
        </w:rPr>
        <w:t>po przecinanym oznakowaniu miejsca oczekiwania przed droga startową. Wzmocnione oznakowanie linii środkowej drogi kołowania powinno być kontynuowane poza oznakowaniem miejsca oczekiwania przed drogą startową przez co najmniej 3 segmenty linii przerywanej lub na odcinku 47 m od początku do końca, w zależności od tego, która odległość jest większa (patrz Rysunek L-6(b)).</w:t>
      </w:r>
    </w:p>
    <w:p w14:paraId="09C6595E" w14:textId="18587FED" w:rsidR="005123CD" w:rsidRPr="009E064B" w:rsidRDefault="005123CD">
      <w:pPr>
        <w:spacing w:after="0"/>
        <w:jc w:val="left"/>
        <w:rPr>
          <w:rFonts w:cs="TimesNewRomanPS-BoldMT"/>
          <w:bCs/>
          <w:szCs w:val="20"/>
        </w:rPr>
      </w:pPr>
      <w:r w:rsidRPr="009E064B">
        <w:rPr>
          <w:rFonts w:cs="TimesNewRomanPS-BoldMT"/>
          <w:bCs/>
          <w:szCs w:val="20"/>
        </w:rPr>
        <w:br w:type="page"/>
      </w:r>
    </w:p>
    <w:p w14:paraId="163058DA" w14:textId="77777777" w:rsidR="00C36D76" w:rsidRPr="009E064B" w:rsidRDefault="00C36D76" w:rsidP="00B06A9A">
      <w:pPr>
        <w:spacing w:after="0"/>
        <w:rPr>
          <w:rFonts w:cs="TimesNewRomanPS-BoldMT"/>
          <w:bCs/>
          <w:szCs w:val="20"/>
        </w:rPr>
      </w:pPr>
    </w:p>
    <w:p w14:paraId="3F721347" w14:textId="3BCE27CE" w:rsidR="00C36D76" w:rsidRPr="009E064B" w:rsidRDefault="00AB31CF" w:rsidP="00B06A9A">
      <w:pPr>
        <w:spacing w:after="0"/>
        <w:rPr>
          <w:rFonts w:cs="TimesNewRomanPS-BoldMT"/>
          <w:bCs/>
          <w:szCs w:val="20"/>
        </w:rPr>
      </w:pPr>
      <w:r w:rsidRPr="009E064B">
        <w:rPr>
          <w:noProof/>
          <w:lang w:eastAsia="pl-PL"/>
        </w:rPr>
        <w:drawing>
          <wp:inline distT="0" distB="0" distL="0" distR="0" wp14:anchorId="2B2C4430" wp14:editId="278C20CE">
            <wp:extent cx="5760720" cy="7444623"/>
            <wp:effectExtent l="0" t="0" r="0" b="0"/>
            <wp:docPr id="3796" name="Obraz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7444623"/>
                    </a:xfrm>
                    <a:prstGeom prst="rect">
                      <a:avLst/>
                    </a:prstGeom>
                    <a:noFill/>
                    <a:ln>
                      <a:noFill/>
                    </a:ln>
                  </pic:spPr>
                </pic:pic>
              </a:graphicData>
            </a:graphic>
          </wp:inline>
        </w:drawing>
      </w:r>
    </w:p>
    <w:p w14:paraId="7DC881EF" w14:textId="77777777" w:rsidR="005123CD" w:rsidRPr="009E064B" w:rsidRDefault="005123CD" w:rsidP="00B06A9A">
      <w:pPr>
        <w:spacing w:after="0"/>
        <w:rPr>
          <w:rFonts w:cs="TimesNewRomanPS-BoldMT"/>
          <w:bCs/>
          <w:szCs w:val="20"/>
        </w:rPr>
      </w:pPr>
    </w:p>
    <w:p w14:paraId="255D6651" w14:textId="77777777" w:rsidR="00C36D76" w:rsidRPr="005669D1" w:rsidRDefault="00C36D76" w:rsidP="00B06A9A">
      <w:pPr>
        <w:spacing w:after="0"/>
        <w:jc w:val="center"/>
        <w:rPr>
          <w:rFonts w:cs="TimesNewRomanPS-BoldMT"/>
          <w:b/>
          <w:bCs/>
          <w:iCs/>
          <w:sz w:val="20"/>
          <w:szCs w:val="20"/>
        </w:rPr>
      </w:pPr>
      <w:r w:rsidRPr="005669D1">
        <w:rPr>
          <w:rFonts w:cs="TimesNewRomanPS-BoldMT"/>
          <w:b/>
          <w:bCs/>
          <w:iCs/>
          <w:sz w:val="20"/>
          <w:szCs w:val="20"/>
        </w:rPr>
        <w:t xml:space="preserve">Rysunek L-6.  </w:t>
      </w:r>
      <w:r w:rsidRPr="005669D1">
        <w:rPr>
          <w:rFonts w:cs="TimesNewRomanPS-BoldMT"/>
          <w:b/>
          <w:bCs/>
          <w:sz w:val="20"/>
          <w:szCs w:val="20"/>
        </w:rPr>
        <w:t>Wzmocnione</w:t>
      </w:r>
      <w:r w:rsidRPr="005669D1">
        <w:rPr>
          <w:rFonts w:cs="TimesNewRomanPS-BoldMT"/>
          <w:b/>
          <w:bCs/>
          <w:iCs/>
          <w:sz w:val="20"/>
          <w:szCs w:val="20"/>
        </w:rPr>
        <w:t xml:space="preserve"> oznakowanie linii środkowej drogi kołowania</w:t>
      </w:r>
    </w:p>
    <w:p w14:paraId="04817CA3" w14:textId="06D8EC35" w:rsidR="00B16A36" w:rsidRPr="009E064B" w:rsidRDefault="002B4E78" w:rsidP="00B16A36">
      <w:pPr>
        <w:pStyle w:val="Tekstpodstawowy"/>
        <w:spacing w:before="240" w:after="0"/>
        <w:ind w:left="23" w:hanging="23"/>
        <w:rPr>
          <w:rFonts w:asciiTheme="minorHAnsi" w:hAnsiTheme="minorHAnsi" w:cstheme="minorHAnsi"/>
          <w:i/>
          <w:sz w:val="16"/>
          <w:szCs w:val="16"/>
        </w:rPr>
      </w:pPr>
      <w:bookmarkStart w:id="1394" w:name="_Toc401059012"/>
      <w:bookmarkStart w:id="1395" w:name="_Toc482886879"/>
      <w:r w:rsidRPr="009E064B">
        <w:rPr>
          <w:rFonts w:asciiTheme="minorHAnsi" w:hAnsiTheme="minorHAnsi" w:cstheme="minorHAnsi"/>
          <w:i/>
          <w:sz w:val="16"/>
          <w:szCs w:val="16"/>
        </w:rPr>
        <w:t>[Wydanie: ADR-DSN/3]</w:t>
      </w:r>
      <w:r w:rsidR="00B16A36" w:rsidRPr="009E064B">
        <w:rPr>
          <w:rFonts w:asciiTheme="minorHAnsi" w:hAnsiTheme="minorHAnsi" w:cstheme="minorHAnsi"/>
          <w:i/>
          <w:sz w:val="16"/>
          <w:szCs w:val="16"/>
        </w:rPr>
        <w:t xml:space="preserve"> </w:t>
      </w:r>
      <w:r w:rsidR="00B16A36" w:rsidRPr="009E064B">
        <w:rPr>
          <w:rFonts w:asciiTheme="minorHAnsi" w:hAnsiTheme="minorHAnsi" w:cstheme="minorHAnsi"/>
          <w:i/>
          <w:sz w:val="16"/>
          <w:szCs w:val="16"/>
        </w:rPr>
        <w:br w:type="page"/>
      </w:r>
    </w:p>
    <w:p w14:paraId="2C037448" w14:textId="77777777" w:rsidR="00B16A36" w:rsidRPr="009E064B" w:rsidRDefault="00B16A36" w:rsidP="00B16A36">
      <w:pPr>
        <w:tabs>
          <w:tab w:val="left" w:pos="1134"/>
        </w:tabs>
        <w:ind w:left="1134" w:hanging="567"/>
        <w:rPr>
          <w:rFonts w:cs="TimesNewRomanPS-BoldMT"/>
          <w:bCs/>
          <w:szCs w:val="20"/>
        </w:rPr>
      </w:pPr>
      <w:r w:rsidRPr="009E064B">
        <w:rPr>
          <w:rFonts w:cs="TimesNewRomanPS-BoldMT"/>
          <w:bCs/>
          <w:szCs w:val="20"/>
        </w:rPr>
        <w:t xml:space="preserve">(3) </w:t>
      </w:r>
      <w:r w:rsidRPr="009E064B">
        <w:rPr>
          <w:rFonts w:cs="TimesNewRomanPS-BoldMT"/>
          <w:bCs/>
          <w:szCs w:val="20"/>
        </w:rPr>
        <w:tab/>
        <w:t xml:space="preserve">Jeżeli wzmocnione oznakowanie linii środkowej drogi kołowania jest kontynuowane przez </w:t>
      </w:r>
      <w:r w:rsidRPr="009E064B">
        <w:rPr>
          <w:rFonts w:cs="TimesNewRomanPS-BoldMT"/>
          <w:bCs/>
          <w:iCs/>
          <w:szCs w:val="20"/>
        </w:rPr>
        <w:t>skrzyżowanie</w:t>
      </w:r>
      <w:r w:rsidRPr="009E064B">
        <w:rPr>
          <w:rFonts w:cs="TimesNewRomanPS-BoldMT"/>
          <w:bCs/>
          <w:szCs w:val="20"/>
        </w:rPr>
        <w:t xml:space="preserve"> drogi kołowania z inną drogą kołowania, które znajduje się na odcinku 47 m od oznakowania miejsca oczekiwania przed drogą startową, wzmocnione oznakowanie linii środkowej drogi kołowania powinno być przerwane na 1.5 m przed i za punktem, gdzie linia środkowa krzyżującej się drogi kołowania przecina wzmocnioną linię środkową drogi kołowania. Wzmocnione oznakowanie linii środkowej drogi kołowania powinno być kontynuowane poza skrzyżowaniem drogi kołowania z drogą kołowania przez co najmniej 3 segmenty linii przerywanej lub przez odcinek 47 m od początku do końca, w zależności od tego która odległość jest większa (patrz Rysunek L-6(c)).</w:t>
      </w:r>
    </w:p>
    <w:p w14:paraId="1B90CBE5" w14:textId="77777777" w:rsidR="00B16A36" w:rsidRPr="009E064B" w:rsidRDefault="00B16A36" w:rsidP="00B16A36">
      <w:pPr>
        <w:tabs>
          <w:tab w:val="left" w:pos="1134"/>
        </w:tabs>
        <w:ind w:left="1134" w:hanging="567"/>
        <w:rPr>
          <w:rFonts w:cs="TimesNewRomanPS-BoldMT"/>
          <w:bCs/>
          <w:szCs w:val="20"/>
        </w:rPr>
      </w:pPr>
      <w:r w:rsidRPr="009E064B">
        <w:rPr>
          <w:rFonts w:cs="TimesNewRomanPS-BoldMT"/>
          <w:bCs/>
          <w:szCs w:val="20"/>
        </w:rPr>
        <w:t xml:space="preserve">(4) </w:t>
      </w:r>
      <w:r w:rsidRPr="009E064B">
        <w:rPr>
          <w:rFonts w:cs="TimesNewRomanPS-BoldMT"/>
          <w:bCs/>
          <w:szCs w:val="20"/>
        </w:rPr>
        <w:tab/>
        <w:t>W miejscach gdzie dwie drogi kołowania zbiegają się w miejscu oznakowania miejsca oczekiwania przed drogą startową lub przed tym miejscem, wewnętrzna linia przerywana nie może mieć mniej niż 3 m długości (patrz Rysunek L-6(d)).</w:t>
      </w:r>
    </w:p>
    <w:p w14:paraId="1CEACC96" w14:textId="77777777" w:rsidR="00B16A36" w:rsidRPr="009E064B" w:rsidRDefault="00B16A36" w:rsidP="00B16A36">
      <w:pPr>
        <w:tabs>
          <w:tab w:val="left" w:pos="1134"/>
        </w:tabs>
        <w:ind w:left="1134" w:hanging="567"/>
        <w:rPr>
          <w:rFonts w:cs="TimesNewRomanPS-BoldMT"/>
          <w:bCs/>
          <w:szCs w:val="20"/>
        </w:rPr>
      </w:pPr>
      <w:r w:rsidRPr="009E064B">
        <w:rPr>
          <w:rFonts w:cs="TimesNewRomanPS-BoldMT"/>
          <w:bCs/>
          <w:szCs w:val="20"/>
        </w:rPr>
        <w:t xml:space="preserve">(5) </w:t>
      </w:r>
      <w:r w:rsidRPr="009E064B">
        <w:rPr>
          <w:rFonts w:cs="TimesNewRomanPS-BoldMT"/>
          <w:bCs/>
          <w:szCs w:val="20"/>
        </w:rPr>
        <w:tab/>
        <w:t>Jeżeli występują dwa przeciwstawne oznakowania miejsc oczekiwania przed drogą startową i odległość pomiędzy oznakowaniami jest mniejsza niż 94 m, wzmocnione oznakowanie linii środkowej drogi kołowania powinno rozciągać się na całą tą odległość. Wzmocnione oznakowanie linii środkowej drogi kołowania nie powinno rozciągać się poza inne oznakowania miejsc oczekiwania przed drogą startową (patrz Rysunek L-6(e)).</w:t>
      </w:r>
    </w:p>
    <w:p w14:paraId="120606AC" w14:textId="61CDC11E" w:rsidR="00454C4B" w:rsidRPr="009E064B" w:rsidRDefault="00F0411B" w:rsidP="00133B99">
      <w:pPr>
        <w:pStyle w:val="Nagwek6"/>
      </w:pPr>
      <w:bookmarkStart w:id="1396" w:name="_Toc12533151"/>
      <w:r w:rsidRPr="009E064B">
        <w:t xml:space="preserve">GM1 ADR-DSN.L.570     </w:t>
      </w:r>
      <w:r w:rsidR="00454C4B" w:rsidRPr="009E064B">
        <w:t>Wzmocnione oznakowanie linii środkowej drogi kołowania</w:t>
      </w:r>
      <w:bookmarkEnd w:id="1394"/>
      <w:bookmarkEnd w:id="1395"/>
      <w:bookmarkEnd w:id="1396"/>
    </w:p>
    <w:p w14:paraId="0C3AA27E" w14:textId="5F374CCC" w:rsidR="00F0411B" w:rsidRPr="009E064B" w:rsidRDefault="00D63D4F" w:rsidP="00F0411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078837B" w14:textId="77777777" w:rsidR="00454C4B" w:rsidRPr="009E064B" w:rsidRDefault="00454C4B" w:rsidP="00B06A9A">
      <w:pPr>
        <w:rPr>
          <w:szCs w:val="20"/>
        </w:rPr>
      </w:pPr>
      <w:r w:rsidRPr="009E064B">
        <w:rPr>
          <w:szCs w:val="20"/>
        </w:rPr>
        <w:t xml:space="preserve">Zapewnianie </w:t>
      </w:r>
      <w:r w:rsidRPr="009E064B">
        <w:t>wzmocnionego</w:t>
      </w:r>
      <w:r w:rsidRPr="009E064B">
        <w:rPr>
          <w:szCs w:val="20"/>
        </w:rPr>
        <w:t xml:space="preserve"> oznakowania linii środkowej drogi kołowania może stanowić jeden ze </w:t>
      </w:r>
      <w:r w:rsidRPr="009E064B">
        <w:t>środków</w:t>
      </w:r>
      <w:r w:rsidRPr="009E064B">
        <w:rPr>
          <w:szCs w:val="20"/>
        </w:rPr>
        <w:t xml:space="preserve"> podejmowanych w ramach zapobiegania nieuprawnionym wtargnięciom na drogę startową.</w:t>
      </w:r>
    </w:p>
    <w:p w14:paraId="6A58D900" w14:textId="77777777" w:rsidR="00454C4B" w:rsidRPr="009E064B" w:rsidRDefault="00454C4B"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D0D07BA" w14:textId="08C54AF9" w:rsidR="00C36D76" w:rsidRPr="009E064B" w:rsidRDefault="002B4E78" w:rsidP="002B4E78">
      <w:pPr>
        <w:pStyle w:val="Nagwek4"/>
        <w:tabs>
          <w:tab w:val="clear" w:pos="2694"/>
          <w:tab w:val="left" w:pos="2552"/>
        </w:tabs>
        <w:ind w:left="2552" w:hanging="2552"/>
        <w:rPr>
          <w:color w:val="auto"/>
        </w:rPr>
      </w:pPr>
      <w:bookmarkStart w:id="1397" w:name="_CS_ADR-DSN.L.575_"/>
      <w:bookmarkStart w:id="1398" w:name="_Toc482886656"/>
      <w:bookmarkStart w:id="1399" w:name="_Toc12533152"/>
      <w:bookmarkEnd w:id="1397"/>
      <w:r w:rsidRPr="009E064B">
        <w:rPr>
          <w:color w:val="auto"/>
        </w:rPr>
        <w:t xml:space="preserve">CS ADR-DSN.L.575      </w:t>
      </w:r>
      <w:r w:rsidR="00C36D76" w:rsidRPr="009E064B">
        <w:rPr>
          <w:color w:val="auto"/>
        </w:rPr>
        <w:t>Oznakowanie miejsca oczekiwania przed drogą startową</w:t>
      </w:r>
      <w:bookmarkEnd w:id="1398"/>
      <w:bookmarkEnd w:id="1399"/>
    </w:p>
    <w:p w14:paraId="37EE43BC" w14:textId="3157FD9F" w:rsidR="00F0411B" w:rsidRPr="009E064B" w:rsidRDefault="00D63D4F" w:rsidP="00F0411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AA962FB" w14:textId="77777777" w:rsidR="00C36D76" w:rsidRPr="009E064B" w:rsidRDefault="00C36D76" w:rsidP="00B06A9A">
      <w:pPr>
        <w:autoSpaceDE w:val="0"/>
        <w:autoSpaceDN w:val="0"/>
        <w:adjustRightInd w:val="0"/>
        <w:rPr>
          <w:szCs w:val="20"/>
        </w:rPr>
      </w:pPr>
      <w:r w:rsidRPr="009E064B">
        <w:rPr>
          <w:rFonts w:cs="TimesNewRomanPSMT"/>
          <w:szCs w:val="20"/>
        </w:rPr>
        <w:t>Oznakowanie miejsca oczekiwania przed drogą startową powinno być wykonane w miejscu oczekiwania przed drogą startową.</w:t>
      </w:r>
    </w:p>
    <w:p w14:paraId="5F470F4C"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Charakterystyki:</w:t>
      </w:r>
    </w:p>
    <w:p w14:paraId="4422C7D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Na skrzyżowaniu drogi kołowania z nieprzyrządową drogą startową, drogą startową z podejściem nieprecyzyjnym lub drogą startową przeznaczoną do startów, oznakowanie </w:t>
      </w:r>
      <w:r w:rsidRPr="009E064B">
        <w:rPr>
          <w:rFonts w:cs="TimesNewRomanPS-ItalicMT"/>
          <w:iCs/>
          <w:szCs w:val="20"/>
        </w:rPr>
        <w:t xml:space="preserve">poziome </w:t>
      </w:r>
      <w:r w:rsidRPr="009E064B">
        <w:rPr>
          <w:rFonts w:cs="TimesNewRomanPSMT"/>
          <w:szCs w:val="20"/>
        </w:rPr>
        <w:t>miejsca oczekiwania przed drogą startową powinno być wykonane w sposób określony na Rysunku L-5, układ A.</w:t>
      </w:r>
    </w:p>
    <w:p w14:paraId="0558D51A"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NewRomanPSMT"/>
          <w:szCs w:val="20"/>
        </w:rPr>
        <w:t xml:space="preserve">(2) </w:t>
      </w:r>
      <w:r w:rsidRPr="009E064B">
        <w:rPr>
          <w:rFonts w:cs="TimesNewRomanPSMT"/>
          <w:szCs w:val="20"/>
        </w:rPr>
        <w:tab/>
        <w:t>Jeżeli na skrzyżowaniu drogi kołowania z drogą startową z podejściem precyzyjnym kategorii I, II lub III występuje pojedyncze miejsce oczekiwania przed drogą startową, to jego oznakowanie powinno być zgodne z Rysunkiem L-5, układ A.</w:t>
      </w:r>
    </w:p>
    <w:p w14:paraId="3BF40C0E"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NewRomanPSMT"/>
          <w:szCs w:val="20"/>
        </w:rPr>
        <w:t xml:space="preserve">(3) </w:t>
      </w:r>
      <w:r w:rsidRPr="009E064B">
        <w:rPr>
          <w:rFonts w:cs="TimesNewRomanPSMT"/>
          <w:szCs w:val="20"/>
        </w:rPr>
        <w:tab/>
        <w:t>Jeżeli na takim skrzyżowaniu występują dwa lub trzy miejsca oczekiwania przed drogą startową, to oznakowanie miejsca oczekiwania znajdującego się bliżej (najbliżej) drogi startowej powinno być zgodne z Rysunkiem L-5, układ A, zaś oznakowanie miejsc oczekiwania oddalonych od drogi startowej powinno być zgodne z Rysunkiem L-5, układ B.</w:t>
      </w:r>
    </w:p>
    <w:p w14:paraId="1C7F451D" w14:textId="0CA300B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NewRomanPSMT"/>
          <w:szCs w:val="20"/>
        </w:rPr>
        <w:t xml:space="preserve">(4) </w:t>
      </w:r>
      <w:r w:rsidRPr="009E064B">
        <w:rPr>
          <w:rFonts w:cs="TimesNewRomanPSMT"/>
          <w:szCs w:val="20"/>
        </w:rPr>
        <w:tab/>
        <w:t>Oznakowanie poziome miejsca oczekiwania przed drogą startową wyznaczające to miejsce zgodnie z</w:t>
      </w:r>
      <w:r w:rsidR="005E3E07" w:rsidRPr="009E064B">
        <w:rPr>
          <w:rFonts w:cs="TimesNewRomanPSMT"/>
          <w:szCs w:val="20"/>
        </w:rPr>
        <w:t xml:space="preserve"> </w:t>
      </w:r>
      <w:hyperlink w:anchor="_CS_ADR-DSN.L.605_" w:history="1">
        <w:r w:rsidR="005E3E07" w:rsidRPr="009E064B">
          <w:rPr>
            <w:rStyle w:val="Hipercze"/>
            <w:rFonts w:cs="TimesNewRomanPSMT"/>
            <w:szCs w:val="20"/>
          </w:rPr>
          <w:t>CS </w:t>
        </w:r>
        <w:r w:rsidRPr="009E064B">
          <w:rPr>
            <w:rStyle w:val="Hipercze"/>
            <w:rFonts w:cs="TimesNewRomanPSMT"/>
            <w:szCs w:val="20"/>
          </w:rPr>
          <w:t>ADR-DSN.L.605</w:t>
        </w:r>
      </w:hyperlink>
      <w:r w:rsidR="005E3E07" w:rsidRPr="009E064B">
        <w:rPr>
          <w:rFonts w:cs="TimesNewRomanPSMT"/>
          <w:szCs w:val="20"/>
        </w:rPr>
        <w:t xml:space="preserve"> lit.</w:t>
      </w:r>
      <w:r w:rsidR="00C126F7" w:rsidRPr="009E064B">
        <w:rPr>
          <w:rFonts w:cs="TimesNewRomanPSMT"/>
          <w:szCs w:val="20"/>
        </w:rPr>
        <w:t> </w:t>
      </w:r>
      <w:r w:rsidRPr="009E064B">
        <w:rPr>
          <w:rFonts w:cs="TimesNewRomanPSMT"/>
          <w:szCs w:val="20"/>
        </w:rPr>
        <w:t>(b)</w:t>
      </w:r>
      <w:r w:rsidR="005E3E07" w:rsidRPr="009E064B">
        <w:rPr>
          <w:rFonts w:cs="TimesNewRomanPSMT"/>
          <w:szCs w:val="20"/>
        </w:rPr>
        <w:t xml:space="preserve"> pkt</w:t>
      </w:r>
      <w:r w:rsidR="00C126F7" w:rsidRPr="009E064B">
        <w:rPr>
          <w:rFonts w:cs="TimesNewRomanPSMT"/>
          <w:szCs w:val="20"/>
        </w:rPr>
        <w:t> </w:t>
      </w:r>
      <w:r w:rsidRPr="009E064B">
        <w:rPr>
          <w:rFonts w:cs="TimesNewRomanPSMT"/>
          <w:szCs w:val="20"/>
        </w:rPr>
        <w:t xml:space="preserve">(1) lub (2) powinno być zgodne </w:t>
      </w:r>
      <w:r w:rsidRPr="009E064B">
        <w:t>z Rysunkiem</w:t>
      </w:r>
      <w:r w:rsidRPr="009E064B">
        <w:rPr>
          <w:rFonts w:cs="TimesNewRomanPSMT"/>
          <w:szCs w:val="20"/>
        </w:rPr>
        <w:t xml:space="preserve"> L-5, układ A.</w:t>
      </w:r>
    </w:p>
    <w:p w14:paraId="598B1CB6"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NewRomanPSMT"/>
          <w:szCs w:val="20"/>
        </w:rPr>
        <w:t xml:space="preserve">(5) </w:t>
      </w:r>
      <w:r w:rsidRPr="009E064B">
        <w:rPr>
          <w:rFonts w:cs="TimesNewRomanPSMT"/>
          <w:szCs w:val="20"/>
        </w:rPr>
        <w:tab/>
        <w:t>W miejscach, gdzie pożądana jest lepsza widoczność miejsca oczekiwania przed drogą startową, powinno być zastosowane oznakowanie poziome miejsca oczekiwania przed drogą startową zgodnie z Rysunkiem L-7, odpowiednio układ A lub układ B.</w:t>
      </w:r>
    </w:p>
    <w:p w14:paraId="48D94E47" w14:textId="1C3C18CB"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NewRomanPSMT"/>
          <w:szCs w:val="20"/>
        </w:rPr>
        <w:t xml:space="preserve">(6) </w:t>
      </w:r>
      <w:r w:rsidRPr="009E064B">
        <w:rPr>
          <w:rFonts w:cs="TimesNewRomanPSMT"/>
          <w:szCs w:val="20"/>
        </w:rPr>
        <w:tab/>
        <w:t>Jeżeli oznakowanie miejsca oczekiwania przed drogą start</w:t>
      </w:r>
      <w:r w:rsidR="005123CD" w:rsidRPr="009E064B">
        <w:rPr>
          <w:rFonts w:cs="TimesNewRomanPSMT"/>
          <w:szCs w:val="20"/>
        </w:rPr>
        <w:t>ową w układzie B znajduje się w </w:t>
      </w:r>
      <w:r w:rsidRPr="009E064B">
        <w:rPr>
          <w:rFonts w:cs="TimesNewRomanPSMT"/>
          <w:szCs w:val="20"/>
        </w:rPr>
        <w:t>strefie, w której będzie ono przekraczało długość 60 m, na powierzchni, na końcach oznakowania miejsca oczekiwania przed drogą startową należy umieścić oznakowanie nakazu zawierające odpowiednio ozna</w:t>
      </w:r>
      <w:r w:rsidR="008C5A08" w:rsidRPr="009E064B">
        <w:rPr>
          <w:rFonts w:cs="TimesNewRomanPSMT"/>
          <w:szCs w:val="20"/>
        </w:rPr>
        <w:t xml:space="preserve">czenia „CAT II" lub „CAT III" w </w:t>
      </w:r>
      <w:r w:rsidRPr="009E064B">
        <w:rPr>
          <w:rFonts w:cs="TimesNewRomanPSMT"/>
          <w:szCs w:val="20"/>
        </w:rPr>
        <w:t>równych, maksymalnie 45-metrowych odstępach pomiędzy dwoma kolejnymi znakami. Litery powinny</w:t>
      </w:r>
      <w:r w:rsidR="008C5A08" w:rsidRPr="009E064B">
        <w:rPr>
          <w:rFonts w:cs="TimesNewRomanPSMT"/>
          <w:szCs w:val="20"/>
        </w:rPr>
        <w:t xml:space="preserve"> mieć wysokość, co najmniej 1,8 </w:t>
      </w:r>
      <w:r w:rsidRPr="009E064B">
        <w:rPr>
          <w:rFonts w:cs="TimesNewRomanPSMT"/>
          <w:szCs w:val="20"/>
        </w:rPr>
        <w:t>m i powinny być umieszczone na miejscu oczekiwania w odległości nie większej niż 0,9 m, po stronie oczekiwania danego oznakowania miejsca oczekiwania przed drogą startową.</w:t>
      </w:r>
    </w:p>
    <w:p w14:paraId="539CE3AA"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(7) </w:t>
      </w:r>
      <w:r w:rsidRPr="009E064B">
        <w:rPr>
          <w:rFonts w:cs="Times New Roman"/>
          <w:szCs w:val="20"/>
        </w:rPr>
        <w:tab/>
      </w:r>
      <w:r w:rsidRPr="009E064B">
        <w:rPr>
          <w:rFonts w:cs="TimesNewRomanPSMT"/>
          <w:szCs w:val="20"/>
        </w:rPr>
        <w:t>Oznakowanie miejsca oczekiwania przed drogą startową na skrzyżowaniu drogi startowej z inną drogą startową powinno być prostopadłe do linii środkowej drogi startowej, stanowiącej część standardowej trasy kołowania. Oznakowanie powinno być wykonane zgodnie z Rysunkiem L-7, układ A.</w:t>
      </w:r>
    </w:p>
    <w:p w14:paraId="44D6E3D9" w14:textId="77777777" w:rsidR="00C36D76" w:rsidRPr="009E064B" w:rsidRDefault="00C36D76" w:rsidP="00B06A9A">
      <w:pPr>
        <w:spacing w:after="0"/>
        <w:rPr>
          <w:rFonts w:ascii="Times New Roman" w:hAnsi="Times New Roman" w:cs="Times New Roman"/>
          <w:bCs/>
          <w:iCs/>
        </w:rPr>
      </w:pPr>
    </w:p>
    <w:p w14:paraId="02EFD5AD" w14:textId="07BEF226" w:rsidR="00C36D76" w:rsidRPr="009E064B" w:rsidRDefault="00AB31CF" w:rsidP="00C126F7">
      <w:pPr>
        <w:spacing w:after="0"/>
        <w:jc w:val="right"/>
        <w:rPr>
          <w:rFonts w:ascii="Times New Roman" w:hAnsi="Times New Roman" w:cs="Times New Roman"/>
          <w:bCs/>
          <w:iCs/>
        </w:rPr>
      </w:pPr>
      <w:r w:rsidRPr="009E064B">
        <w:rPr>
          <w:noProof/>
          <w:lang w:eastAsia="pl-PL"/>
        </w:rPr>
        <w:drawing>
          <wp:inline distT="0" distB="0" distL="0" distR="0" wp14:anchorId="4883FC54" wp14:editId="45D34771">
            <wp:extent cx="5760720" cy="3495951"/>
            <wp:effectExtent l="0" t="0" r="0" b="0"/>
            <wp:docPr id="3799" name="Obraz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3495951"/>
                    </a:xfrm>
                    <a:prstGeom prst="rect">
                      <a:avLst/>
                    </a:prstGeom>
                    <a:noFill/>
                    <a:ln>
                      <a:noFill/>
                    </a:ln>
                  </pic:spPr>
                </pic:pic>
              </a:graphicData>
            </a:graphic>
          </wp:inline>
        </w:drawing>
      </w:r>
    </w:p>
    <w:p w14:paraId="45E4F928" w14:textId="77777777" w:rsidR="00C36D76" w:rsidRPr="009E064B" w:rsidRDefault="00C36D76" w:rsidP="002B4E78">
      <w:pPr>
        <w:spacing w:after="0"/>
        <w:jc w:val="center"/>
        <w:rPr>
          <w:rFonts w:cs="TimesNewRomanPSMT"/>
          <w:b/>
          <w:szCs w:val="20"/>
        </w:rPr>
      </w:pPr>
    </w:p>
    <w:p w14:paraId="7C374CEB" w14:textId="77777777" w:rsidR="00C36D76" w:rsidRPr="005669D1" w:rsidRDefault="00C36D76" w:rsidP="00B06A9A">
      <w:pPr>
        <w:spacing w:after="0"/>
        <w:ind w:right="10"/>
        <w:jc w:val="center"/>
        <w:rPr>
          <w:rFonts w:cs="TimesNewRomanPSMT"/>
          <w:b/>
          <w:sz w:val="20"/>
          <w:szCs w:val="20"/>
        </w:rPr>
      </w:pPr>
      <w:r w:rsidRPr="005669D1">
        <w:rPr>
          <w:rFonts w:cs="TimesNewRomanPSMT"/>
          <w:b/>
          <w:sz w:val="20"/>
          <w:szCs w:val="20"/>
        </w:rPr>
        <w:t xml:space="preserve">Rysunek L-7.  Oznakowanie </w:t>
      </w:r>
      <w:r w:rsidRPr="005669D1">
        <w:rPr>
          <w:rFonts w:cs="TimesNewRomanPS-ItalicMT"/>
          <w:b/>
          <w:iCs/>
          <w:sz w:val="20"/>
          <w:szCs w:val="20"/>
        </w:rPr>
        <w:t xml:space="preserve">poziome </w:t>
      </w:r>
      <w:r w:rsidRPr="005669D1">
        <w:rPr>
          <w:rFonts w:cs="TimesNewRomanPSMT"/>
          <w:b/>
          <w:sz w:val="20"/>
          <w:szCs w:val="20"/>
        </w:rPr>
        <w:t>miejsca oczekiwania przed drogą startową</w:t>
      </w:r>
    </w:p>
    <w:p w14:paraId="708EDEF6" w14:textId="06C917C6"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BA1C87E" w14:textId="77777777" w:rsidR="002B4E78" w:rsidRPr="009E064B" w:rsidRDefault="002B4E78" w:rsidP="002B4E78">
      <w:pPr>
        <w:spacing w:after="0"/>
      </w:pPr>
    </w:p>
    <w:p w14:paraId="340C6C7E" w14:textId="6003A3FE" w:rsidR="00454C4B" w:rsidRPr="009E064B" w:rsidRDefault="002B4E78" w:rsidP="00133B99">
      <w:pPr>
        <w:pStyle w:val="Nagwek6"/>
      </w:pPr>
      <w:bookmarkStart w:id="1400" w:name="_Toc401059013"/>
      <w:bookmarkStart w:id="1401" w:name="_Toc482886880"/>
      <w:bookmarkStart w:id="1402" w:name="_Toc12533153"/>
      <w:r w:rsidRPr="009E064B">
        <w:t xml:space="preserve">GM1 ADR-DSN.L.575     </w:t>
      </w:r>
      <w:r w:rsidR="00454C4B" w:rsidRPr="009E064B">
        <w:t>Oznakowanie miejsca oczekiwania przed drogą startową</w:t>
      </w:r>
      <w:bookmarkEnd w:id="1400"/>
      <w:bookmarkEnd w:id="1401"/>
      <w:bookmarkEnd w:id="1402"/>
    </w:p>
    <w:p w14:paraId="39970A6D" w14:textId="20A946AC"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BAAF19E" w14:textId="67E9DA41" w:rsidR="00454C4B" w:rsidRPr="009E064B" w:rsidRDefault="00454C4B" w:rsidP="00B06A9A">
      <w:pPr>
        <w:autoSpaceDE w:val="0"/>
        <w:autoSpaceDN w:val="0"/>
        <w:adjustRightInd w:val="0"/>
        <w:rPr>
          <w:szCs w:val="20"/>
        </w:rPr>
      </w:pPr>
      <w:r w:rsidRPr="009E064B">
        <w:rPr>
          <w:szCs w:val="20"/>
        </w:rPr>
        <w:t>Jeżeli oznakowanie miejsca oczekiwania przed drogą startową uzupełnione jest skrótem „CAT II” lub „CAT III”, na obszarach lub drogach kołowania przekraczających dłu</w:t>
      </w:r>
      <w:r w:rsidR="00AB31CF" w:rsidRPr="009E064B">
        <w:rPr>
          <w:szCs w:val="20"/>
        </w:rPr>
        <w:t xml:space="preserve">gość 60 m, zgodnie </w:t>
      </w:r>
      <w:r w:rsidR="005E3E07" w:rsidRPr="009E064B">
        <w:rPr>
          <w:szCs w:val="20"/>
        </w:rPr>
        <w:br/>
      </w:r>
      <w:r w:rsidR="00AB31CF" w:rsidRPr="009E064B">
        <w:rPr>
          <w:szCs w:val="20"/>
        </w:rPr>
        <w:t>z</w:t>
      </w:r>
      <w:r w:rsidR="005E3E07" w:rsidRPr="009E064B">
        <w:rPr>
          <w:szCs w:val="20"/>
        </w:rPr>
        <w:t>  </w:t>
      </w:r>
      <w:hyperlink w:anchor="_CS_ADR-DSN.L.575_" w:history="1">
        <w:r w:rsidR="00AB31CF" w:rsidRPr="009E064B">
          <w:rPr>
            <w:rStyle w:val="Hipercze"/>
            <w:szCs w:val="20"/>
          </w:rPr>
          <w:t>CS </w:t>
        </w:r>
        <w:r w:rsidRPr="009E064B">
          <w:rPr>
            <w:rStyle w:val="Hipercze"/>
            <w:szCs w:val="20"/>
          </w:rPr>
          <w:t>ADR-DSN.L.575</w:t>
        </w:r>
      </w:hyperlink>
      <w:r w:rsidRPr="009E064B">
        <w:rPr>
          <w:szCs w:val="20"/>
        </w:rPr>
        <w:t xml:space="preserve"> </w:t>
      </w:r>
      <w:r w:rsidR="005E3E07" w:rsidRPr="009E064B">
        <w:rPr>
          <w:szCs w:val="20"/>
        </w:rPr>
        <w:t>lit.</w:t>
      </w:r>
      <w:r w:rsidR="00C126F7" w:rsidRPr="009E064B">
        <w:rPr>
          <w:szCs w:val="20"/>
        </w:rPr>
        <w:t> </w:t>
      </w:r>
      <w:r w:rsidRPr="009E064B">
        <w:rPr>
          <w:szCs w:val="20"/>
        </w:rPr>
        <w:t>(a)</w:t>
      </w:r>
      <w:r w:rsidR="005E3E07" w:rsidRPr="009E064B">
        <w:rPr>
          <w:szCs w:val="20"/>
        </w:rPr>
        <w:t xml:space="preserve"> pkt</w:t>
      </w:r>
      <w:r w:rsidR="00C126F7" w:rsidRPr="009E064B">
        <w:rPr>
          <w:szCs w:val="20"/>
        </w:rPr>
        <w:t> </w:t>
      </w:r>
      <w:r w:rsidRPr="009E064B">
        <w:rPr>
          <w:szCs w:val="20"/>
        </w:rPr>
        <w:t>(6), i gdy powinno być umieszczone obok oznakowa</w:t>
      </w:r>
      <w:r w:rsidR="005E3E07" w:rsidRPr="009E064B">
        <w:rPr>
          <w:szCs w:val="20"/>
        </w:rPr>
        <w:t xml:space="preserve">nia nakazu zgodnie z </w:t>
      </w:r>
      <w:hyperlink w:anchor="_CS_ADR-DSN.L.605_" w:history="1">
        <w:r w:rsidR="005E3E07" w:rsidRPr="009E064B">
          <w:rPr>
            <w:rStyle w:val="Hipercze"/>
            <w:szCs w:val="20"/>
          </w:rPr>
          <w:t>CS </w:t>
        </w:r>
        <w:r w:rsidRPr="009E064B">
          <w:rPr>
            <w:rStyle w:val="Hipercze"/>
            <w:szCs w:val="20"/>
          </w:rPr>
          <w:t>ADR-DSN.L.605</w:t>
        </w:r>
      </w:hyperlink>
      <w:r w:rsidRPr="009E064B">
        <w:rPr>
          <w:szCs w:val="20"/>
        </w:rPr>
        <w:t>, obydwa oznakowania powinny być równe i umieszczone symetrycznie względem siebie.</w:t>
      </w:r>
    </w:p>
    <w:p w14:paraId="6101C8E3" w14:textId="4E43D244" w:rsidR="00C36D76" w:rsidRPr="009E064B" w:rsidRDefault="00F0411B" w:rsidP="00B06A9A">
      <w:pPr>
        <w:pStyle w:val="Nagwek4"/>
        <w:rPr>
          <w:color w:val="auto"/>
        </w:rPr>
      </w:pPr>
      <w:bookmarkStart w:id="1403" w:name="_CS_ADR-DSN.L.580_"/>
      <w:bookmarkStart w:id="1404" w:name="_Toc482886657"/>
      <w:bookmarkStart w:id="1405" w:name="_Toc12533154"/>
      <w:bookmarkEnd w:id="1403"/>
      <w:r w:rsidRPr="009E064B">
        <w:rPr>
          <w:color w:val="auto"/>
        </w:rPr>
        <w:t xml:space="preserve">CS ADR-DSN.L.580     </w:t>
      </w:r>
      <w:r w:rsidR="00C36D76" w:rsidRPr="009E064B">
        <w:rPr>
          <w:color w:val="auto"/>
        </w:rPr>
        <w:t>Oznakowanie pośredniego miejsca oczekiwania</w:t>
      </w:r>
      <w:bookmarkEnd w:id="1404"/>
      <w:bookmarkEnd w:id="1405"/>
    </w:p>
    <w:p w14:paraId="1C84A973" w14:textId="5A20C912" w:rsidR="00F0411B" w:rsidRPr="009E064B" w:rsidRDefault="00D63D4F" w:rsidP="00F0411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865535B"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p>
    <w:p w14:paraId="523B94D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w:t>
      </w:r>
      <w:r w:rsidRPr="009E064B">
        <w:rPr>
          <w:rFonts w:cs="TimesNewRomanPS-ItalicMT"/>
          <w:iCs/>
          <w:szCs w:val="20"/>
        </w:rPr>
        <w:t xml:space="preserve"> poziome pośredniego miejsca oczekiwania powinno być wykonane wzdłuż pośredniego miejscu oczekiwania.</w:t>
      </w:r>
    </w:p>
    <w:p w14:paraId="52C9BA3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 poziome pośredniego miejsca oczekiwania powinno być wykonane na granicy wyjazdu ze stanowiska do odladzania/przeciwdziałania oblodzeniu przylegającego do drogi kołowania.</w:t>
      </w:r>
    </w:p>
    <w:p w14:paraId="1FF9E670"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(b) </w:t>
      </w:r>
      <w:r w:rsidRPr="009E064B">
        <w:rPr>
          <w:rFonts w:cs="TimesNewRomanPS-BoldItalicMT"/>
          <w:bCs/>
          <w:iCs/>
          <w:szCs w:val="20"/>
        </w:rPr>
        <w:tab/>
        <w:t>Lokalizacja:</w:t>
      </w:r>
    </w:p>
    <w:p w14:paraId="510A2656"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(1) </w:t>
      </w:r>
      <w:r w:rsidRPr="009E064B">
        <w:rPr>
          <w:rFonts w:cs="Times New Roman"/>
          <w:szCs w:val="20"/>
        </w:rPr>
        <w:tab/>
        <w:t>Gdy o</w:t>
      </w:r>
      <w:r w:rsidRPr="009E064B">
        <w:rPr>
          <w:rFonts w:cs="TimesNewRomanPSMT"/>
          <w:szCs w:val="20"/>
        </w:rPr>
        <w:t xml:space="preserve">znakowanie </w:t>
      </w:r>
      <w:r w:rsidRPr="009E064B">
        <w:rPr>
          <w:rFonts w:cs="TimesNewRomanPS-ItalicMT"/>
          <w:iCs/>
          <w:szCs w:val="20"/>
        </w:rPr>
        <w:t xml:space="preserve">poziome </w:t>
      </w:r>
      <w:r w:rsidRPr="009E064B">
        <w:rPr>
          <w:rFonts w:cs="TimesNewRomanPSMT"/>
          <w:szCs w:val="20"/>
        </w:rPr>
        <w:t>pośredniego miejsca oczekiwania jest wykonane na skrzyżowaniu dwóch dróg kołowania o nawierzchni sztucznej, to powinno być ono zlokalizowane w poprzek drogi kołowania w odpowiedniej odległości od bliższej krawędzi krzyżującej się drogi kołowania tak, aby zapewnić bezpieczny odstęp pomiędzy kołującymi statkami powietrznymi. Powinno się ono pokrywać ze światłami poprzeczki zatrzymania lub światłami pośredniego miejsca oczekiwania, jeśli takie występują.</w:t>
      </w:r>
    </w:p>
    <w:p w14:paraId="0D6D8E4E" w14:textId="77777777" w:rsidR="00C36D76" w:rsidRPr="009E064B" w:rsidRDefault="00C36D76" w:rsidP="00B06A9A">
      <w:pPr>
        <w:tabs>
          <w:tab w:val="left" w:pos="1134"/>
        </w:tabs>
        <w:autoSpaceDE w:val="0"/>
        <w:autoSpaceDN w:val="0"/>
        <w:adjustRightInd w:val="0"/>
        <w:spacing w:after="24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Odległość pomiędzy oznakowaniem pośredniego miejsca oczekiwania przy wyjeździe ze stanowiska do odladzania/przeciwdziałania oblodzeniu statków powietrznych a linią środkową sąsiadującej z tym stanowiskiem drogi kołowania, nie powinna być mniejsza niż określono poniżej:</w:t>
      </w:r>
    </w:p>
    <w:tbl>
      <w:tblPr>
        <w:tblStyle w:val="Tabela-Siatka"/>
        <w:tblW w:w="0" w:type="auto"/>
        <w:jc w:val="center"/>
        <w:tblLook w:val="04A0" w:firstRow="1" w:lastRow="0" w:firstColumn="1" w:lastColumn="0" w:noHBand="0" w:noVBand="1"/>
      </w:tblPr>
      <w:tblGrid>
        <w:gridCol w:w="1985"/>
        <w:gridCol w:w="3190"/>
      </w:tblGrid>
      <w:tr w:rsidR="00F0411B" w:rsidRPr="009E064B" w14:paraId="5A19D3BA" w14:textId="77777777" w:rsidTr="005E3E07">
        <w:trPr>
          <w:jc w:val="center"/>
        </w:trPr>
        <w:tc>
          <w:tcPr>
            <w:tcW w:w="1985" w:type="dxa"/>
            <w:tcMar>
              <w:top w:w="85" w:type="dxa"/>
              <w:bottom w:w="85" w:type="dxa"/>
            </w:tcMar>
            <w:vAlign w:val="center"/>
          </w:tcPr>
          <w:p w14:paraId="3EF910BD" w14:textId="77777777" w:rsidR="00F0411B" w:rsidRPr="009E064B" w:rsidRDefault="00F0411B" w:rsidP="00F0411B">
            <w:pPr>
              <w:autoSpaceDE w:val="0"/>
              <w:autoSpaceDN w:val="0"/>
              <w:adjustRightInd w:val="0"/>
              <w:spacing w:after="0"/>
              <w:jc w:val="center"/>
              <w:rPr>
                <w:rFonts w:cs="TimesNewRomanPSMT"/>
                <w:b/>
                <w:szCs w:val="20"/>
              </w:rPr>
            </w:pPr>
            <w:r w:rsidRPr="009E064B">
              <w:rPr>
                <w:rFonts w:cs="TimesNewRomanPSMT"/>
                <w:b/>
                <w:szCs w:val="20"/>
              </w:rPr>
              <w:t>Litera kodu</w:t>
            </w:r>
          </w:p>
        </w:tc>
        <w:tc>
          <w:tcPr>
            <w:tcW w:w="3190" w:type="dxa"/>
            <w:tcMar>
              <w:top w:w="85" w:type="dxa"/>
              <w:bottom w:w="85" w:type="dxa"/>
            </w:tcMar>
            <w:vAlign w:val="center"/>
          </w:tcPr>
          <w:p w14:paraId="74040AA8" w14:textId="77777777" w:rsidR="00F0411B" w:rsidRPr="009E064B" w:rsidRDefault="00F0411B" w:rsidP="00F0411B">
            <w:pPr>
              <w:autoSpaceDE w:val="0"/>
              <w:autoSpaceDN w:val="0"/>
              <w:adjustRightInd w:val="0"/>
              <w:spacing w:after="0"/>
              <w:jc w:val="center"/>
              <w:rPr>
                <w:rFonts w:cs="TimesNewRomanPS-ItalicMT"/>
                <w:b/>
                <w:iCs/>
                <w:szCs w:val="20"/>
              </w:rPr>
            </w:pPr>
            <w:r w:rsidRPr="009E064B">
              <w:rPr>
                <w:rFonts w:cs="TimesNewRomanPSMT"/>
                <w:b/>
                <w:szCs w:val="20"/>
              </w:rPr>
              <w:t>Odległość (w metrach)</w:t>
            </w:r>
          </w:p>
        </w:tc>
      </w:tr>
      <w:tr w:rsidR="00F0411B" w:rsidRPr="009E064B" w14:paraId="15325DD5" w14:textId="77777777" w:rsidTr="005E3E07">
        <w:trPr>
          <w:jc w:val="center"/>
        </w:trPr>
        <w:tc>
          <w:tcPr>
            <w:tcW w:w="1985" w:type="dxa"/>
            <w:tcMar>
              <w:top w:w="85" w:type="dxa"/>
              <w:bottom w:w="85" w:type="dxa"/>
            </w:tcMar>
            <w:vAlign w:val="center"/>
          </w:tcPr>
          <w:p w14:paraId="2BDC7AC9"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A</w:t>
            </w:r>
          </w:p>
        </w:tc>
        <w:tc>
          <w:tcPr>
            <w:tcW w:w="3190" w:type="dxa"/>
            <w:tcMar>
              <w:top w:w="85" w:type="dxa"/>
              <w:bottom w:w="85" w:type="dxa"/>
            </w:tcMar>
            <w:vAlign w:val="center"/>
          </w:tcPr>
          <w:p w14:paraId="445F404B"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15.5</w:t>
            </w:r>
          </w:p>
        </w:tc>
      </w:tr>
      <w:tr w:rsidR="00F0411B" w:rsidRPr="009E064B" w14:paraId="0C285148" w14:textId="77777777" w:rsidTr="005E3E07">
        <w:trPr>
          <w:jc w:val="center"/>
        </w:trPr>
        <w:tc>
          <w:tcPr>
            <w:tcW w:w="1985" w:type="dxa"/>
            <w:tcMar>
              <w:top w:w="85" w:type="dxa"/>
              <w:bottom w:w="85" w:type="dxa"/>
            </w:tcMar>
            <w:vAlign w:val="center"/>
          </w:tcPr>
          <w:p w14:paraId="48466D06"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B</w:t>
            </w:r>
          </w:p>
        </w:tc>
        <w:tc>
          <w:tcPr>
            <w:tcW w:w="3190" w:type="dxa"/>
            <w:tcMar>
              <w:top w:w="85" w:type="dxa"/>
              <w:bottom w:w="85" w:type="dxa"/>
            </w:tcMar>
            <w:vAlign w:val="center"/>
          </w:tcPr>
          <w:p w14:paraId="50D1654E"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20</w:t>
            </w:r>
          </w:p>
        </w:tc>
      </w:tr>
      <w:tr w:rsidR="00F0411B" w:rsidRPr="009E064B" w14:paraId="3038F74C" w14:textId="77777777" w:rsidTr="005E3E07">
        <w:trPr>
          <w:jc w:val="center"/>
        </w:trPr>
        <w:tc>
          <w:tcPr>
            <w:tcW w:w="1985" w:type="dxa"/>
            <w:tcMar>
              <w:top w:w="85" w:type="dxa"/>
              <w:bottom w:w="85" w:type="dxa"/>
            </w:tcMar>
            <w:vAlign w:val="center"/>
          </w:tcPr>
          <w:p w14:paraId="01C2F8DF"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C</w:t>
            </w:r>
          </w:p>
        </w:tc>
        <w:tc>
          <w:tcPr>
            <w:tcW w:w="3190" w:type="dxa"/>
            <w:tcMar>
              <w:top w:w="85" w:type="dxa"/>
              <w:bottom w:w="85" w:type="dxa"/>
            </w:tcMar>
            <w:vAlign w:val="center"/>
          </w:tcPr>
          <w:p w14:paraId="2FD241F4"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26</w:t>
            </w:r>
          </w:p>
        </w:tc>
      </w:tr>
      <w:tr w:rsidR="00F0411B" w:rsidRPr="009E064B" w14:paraId="3990C9A4" w14:textId="77777777" w:rsidTr="005E3E07">
        <w:trPr>
          <w:jc w:val="center"/>
        </w:trPr>
        <w:tc>
          <w:tcPr>
            <w:tcW w:w="1985" w:type="dxa"/>
            <w:tcMar>
              <w:top w:w="85" w:type="dxa"/>
              <w:bottom w:w="85" w:type="dxa"/>
            </w:tcMar>
            <w:vAlign w:val="center"/>
          </w:tcPr>
          <w:p w14:paraId="1473FE4C"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D</w:t>
            </w:r>
          </w:p>
        </w:tc>
        <w:tc>
          <w:tcPr>
            <w:tcW w:w="3190" w:type="dxa"/>
            <w:tcMar>
              <w:top w:w="85" w:type="dxa"/>
              <w:bottom w:w="85" w:type="dxa"/>
            </w:tcMar>
            <w:vAlign w:val="center"/>
          </w:tcPr>
          <w:p w14:paraId="40EF5B5D"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37</w:t>
            </w:r>
          </w:p>
        </w:tc>
      </w:tr>
      <w:tr w:rsidR="00F0411B" w:rsidRPr="009E064B" w14:paraId="177FCE2D" w14:textId="77777777" w:rsidTr="005E3E07">
        <w:trPr>
          <w:jc w:val="center"/>
        </w:trPr>
        <w:tc>
          <w:tcPr>
            <w:tcW w:w="1985" w:type="dxa"/>
            <w:tcMar>
              <w:top w:w="85" w:type="dxa"/>
              <w:bottom w:w="85" w:type="dxa"/>
            </w:tcMar>
            <w:vAlign w:val="center"/>
          </w:tcPr>
          <w:p w14:paraId="02945DAB"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E</w:t>
            </w:r>
          </w:p>
        </w:tc>
        <w:tc>
          <w:tcPr>
            <w:tcW w:w="3190" w:type="dxa"/>
            <w:tcMar>
              <w:top w:w="85" w:type="dxa"/>
              <w:bottom w:w="85" w:type="dxa"/>
            </w:tcMar>
            <w:vAlign w:val="center"/>
          </w:tcPr>
          <w:p w14:paraId="10DA085F"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43.5</w:t>
            </w:r>
          </w:p>
        </w:tc>
      </w:tr>
      <w:tr w:rsidR="00F0411B" w:rsidRPr="009E064B" w14:paraId="1C550D6A" w14:textId="77777777" w:rsidTr="005E3E07">
        <w:trPr>
          <w:jc w:val="center"/>
        </w:trPr>
        <w:tc>
          <w:tcPr>
            <w:tcW w:w="1985" w:type="dxa"/>
            <w:tcMar>
              <w:top w:w="85" w:type="dxa"/>
              <w:bottom w:w="85" w:type="dxa"/>
            </w:tcMar>
            <w:vAlign w:val="center"/>
          </w:tcPr>
          <w:p w14:paraId="1D155E87"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F</w:t>
            </w:r>
          </w:p>
        </w:tc>
        <w:tc>
          <w:tcPr>
            <w:tcW w:w="3190" w:type="dxa"/>
            <w:tcMar>
              <w:top w:w="85" w:type="dxa"/>
              <w:bottom w:w="85" w:type="dxa"/>
            </w:tcMar>
            <w:vAlign w:val="center"/>
          </w:tcPr>
          <w:p w14:paraId="57D83423" w14:textId="77777777" w:rsidR="00F0411B" w:rsidRPr="009E064B" w:rsidRDefault="00F0411B" w:rsidP="00F0411B">
            <w:pPr>
              <w:autoSpaceDE w:val="0"/>
              <w:autoSpaceDN w:val="0"/>
              <w:adjustRightInd w:val="0"/>
              <w:spacing w:after="0"/>
              <w:jc w:val="center"/>
              <w:rPr>
                <w:rFonts w:cs="TimesNewRomanPS-ItalicMT"/>
                <w:iCs/>
                <w:szCs w:val="20"/>
              </w:rPr>
            </w:pPr>
            <w:r w:rsidRPr="009E064B">
              <w:rPr>
                <w:rFonts w:cs="TimesNewRomanPS-ItalicMT"/>
                <w:iCs/>
                <w:szCs w:val="20"/>
              </w:rPr>
              <w:t>51</w:t>
            </w:r>
          </w:p>
        </w:tc>
      </w:tr>
    </w:tbl>
    <w:p w14:paraId="05F0682A" w14:textId="77777777" w:rsidR="00C36D76" w:rsidRPr="009E064B" w:rsidRDefault="00C36D76" w:rsidP="00F0411B">
      <w:pPr>
        <w:tabs>
          <w:tab w:val="left" w:pos="567"/>
        </w:tabs>
        <w:autoSpaceDE w:val="0"/>
        <w:autoSpaceDN w:val="0"/>
        <w:adjustRightInd w:val="0"/>
        <w:spacing w:before="24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 xml:space="preserve">Charakterystyki: </w:t>
      </w:r>
      <w:r w:rsidRPr="009E064B">
        <w:rPr>
          <w:rFonts w:cs="TimesNewRomanPSMT"/>
          <w:szCs w:val="20"/>
        </w:rPr>
        <w:t>Oznakowanie</w:t>
      </w:r>
      <w:r w:rsidRPr="009E064B">
        <w:rPr>
          <w:rFonts w:cs="TimesNewRomanPS-ItalicMT"/>
          <w:iCs/>
          <w:szCs w:val="20"/>
        </w:rPr>
        <w:t xml:space="preserve"> poziome</w:t>
      </w:r>
      <w:r w:rsidRPr="009E064B">
        <w:rPr>
          <w:rFonts w:cs="TimesNewRomanPSMT"/>
          <w:szCs w:val="20"/>
        </w:rPr>
        <w:t xml:space="preserve"> pośredniego miejsca oczekiwania powinna </w:t>
      </w:r>
      <w:r w:rsidRPr="009E064B">
        <w:rPr>
          <w:rFonts w:cs="TimesNewRomanPS-BoldItalicMT"/>
          <w:bCs/>
          <w:iCs/>
          <w:szCs w:val="20"/>
        </w:rPr>
        <w:t>stanowić</w:t>
      </w:r>
      <w:r w:rsidRPr="009E064B">
        <w:rPr>
          <w:rFonts w:cs="TimesNewRomanPSMT"/>
          <w:szCs w:val="20"/>
        </w:rPr>
        <w:t xml:space="preserve"> pojedyncza linia przerywana jak przedstawiono na Rysunku L-5.</w:t>
      </w:r>
    </w:p>
    <w:p w14:paraId="72D8BFC3"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0419800" w14:textId="3E65717E" w:rsidR="00454C4B" w:rsidRPr="009E064B" w:rsidRDefault="00454C4B" w:rsidP="00133B99">
      <w:pPr>
        <w:pStyle w:val="Nagwek6"/>
      </w:pPr>
      <w:bookmarkStart w:id="1406" w:name="_Toc401059014"/>
      <w:bookmarkStart w:id="1407" w:name="_Toc482886881"/>
      <w:bookmarkStart w:id="1408" w:name="_Toc12533155"/>
      <w:r w:rsidRPr="009E064B">
        <w:t>GM1 ADR-DSN.L.580</w:t>
      </w:r>
      <w:r w:rsidR="00F736B6" w:rsidRPr="009E064B">
        <w:t xml:space="preserve">     </w:t>
      </w:r>
      <w:r w:rsidRPr="009E064B">
        <w:t>Oznakowanie pośredniego miejsca oczekiwania</w:t>
      </w:r>
      <w:bookmarkEnd w:id="1406"/>
      <w:bookmarkEnd w:id="1407"/>
      <w:bookmarkEnd w:id="1408"/>
    </w:p>
    <w:p w14:paraId="69AC8309" w14:textId="3052B7EA"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F70EAB9" w14:textId="5895DE4E" w:rsidR="00B16A36" w:rsidRPr="009E064B" w:rsidRDefault="00454C4B" w:rsidP="00B06A9A">
      <w:r w:rsidRPr="009E064B">
        <w:t>Celowo pozostawiono puste.</w:t>
      </w:r>
    </w:p>
    <w:p w14:paraId="769C6D24" w14:textId="0D9705EA" w:rsidR="00C36D76" w:rsidRPr="009E064B" w:rsidRDefault="00F736B6" w:rsidP="00F736B6">
      <w:pPr>
        <w:pStyle w:val="Nagwek4"/>
        <w:tabs>
          <w:tab w:val="clear" w:pos="2694"/>
          <w:tab w:val="left" w:pos="2410"/>
        </w:tabs>
        <w:ind w:left="2410" w:hanging="2410"/>
        <w:rPr>
          <w:color w:val="auto"/>
        </w:rPr>
      </w:pPr>
      <w:bookmarkStart w:id="1409" w:name="_Toc482886658"/>
      <w:bookmarkStart w:id="1410" w:name="_Toc12533156"/>
      <w:r w:rsidRPr="009E064B">
        <w:rPr>
          <w:color w:val="auto"/>
        </w:rPr>
        <w:t xml:space="preserve">CS ADR-DSN.L.585     </w:t>
      </w:r>
      <w:r w:rsidR="00C36D76" w:rsidRPr="009E064B">
        <w:rPr>
          <w:color w:val="auto"/>
        </w:rPr>
        <w:t>Oznakowanie lotniskowego punktu sprawdzania VOR</w:t>
      </w:r>
      <w:bookmarkEnd w:id="1409"/>
      <w:bookmarkEnd w:id="1410"/>
      <w:r w:rsidR="00C36D76" w:rsidRPr="009E064B">
        <w:rPr>
          <w:color w:val="auto"/>
        </w:rPr>
        <w:t xml:space="preserve"> </w:t>
      </w:r>
    </w:p>
    <w:p w14:paraId="2FDA172E" w14:textId="6FB70261" w:rsidR="00F736B6" w:rsidRPr="009E064B" w:rsidRDefault="00D63D4F" w:rsidP="00F736B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A13EA1F" w14:textId="111DF5B2"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(a) </w:t>
      </w:r>
      <w:r w:rsidRPr="009E064B">
        <w:rPr>
          <w:rFonts w:cs="Times New Roman"/>
          <w:szCs w:val="20"/>
        </w:rPr>
        <w:tab/>
        <w:t xml:space="preserve">Zastosowanie: </w:t>
      </w:r>
      <w:r w:rsidRPr="009E064B">
        <w:rPr>
          <w:rFonts w:cs="TimesNewRomanPS-BoldItalicMT"/>
          <w:bCs/>
          <w:iCs/>
          <w:szCs w:val="20"/>
        </w:rPr>
        <w:t>Jeżeli</w:t>
      </w:r>
      <w:r w:rsidRPr="009E064B">
        <w:rPr>
          <w:rFonts w:cs="TimesNewRomanPSMT"/>
          <w:szCs w:val="20"/>
        </w:rPr>
        <w:t xml:space="preserve"> na lotnisku istnieje punkt sprawdzania VOR, to powinien on posiadać oznakowane poziome oraz znaki pionowe, wskazujące lotniskowy punkt sprawdzania VOR.</w:t>
      </w:r>
    </w:p>
    <w:p w14:paraId="1909A4C5"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 New Roman"/>
          <w:szCs w:val="20"/>
        </w:rPr>
        <w:t xml:space="preserve">(b) </w:t>
      </w:r>
      <w:r w:rsidRPr="009E064B">
        <w:rPr>
          <w:rFonts w:cs="Times New Roman"/>
          <w:szCs w:val="20"/>
        </w:rPr>
        <w:tab/>
        <w:t>Lokalizacja</w:t>
      </w:r>
      <w:r w:rsidRPr="009E064B">
        <w:rPr>
          <w:rFonts w:cs="TimesNewRomanPS-BoldItalicMT"/>
          <w:bCs/>
          <w:iCs/>
          <w:szCs w:val="20"/>
        </w:rPr>
        <w:t>: Oznakowanie poziome lotniskowego punktu sprawdzania VOR powinno</w:t>
      </w:r>
      <w:r w:rsidRPr="009E064B">
        <w:rPr>
          <w:rFonts w:cs="TimesNewRomanPSMT"/>
          <w:szCs w:val="20"/>
        </w:rPr>
        <w:t xml:space="preserve"> być wykonane w punkcie, w którym ma być zaparkowany statek powietrzny w celu otrzymania poprawnego sygnału z VOR.</w:t>
      </w:r>
    </w:p>
    <w:p w14:paraId="2202D68F"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61EE003E" w14:textId="6DB77AF2"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Oznakowanie </w:t>
      </w:r>
      <w:r w:rsidRPr="009E064B">
        <w:rPr>
          <w:rFonts w:cs="TimesNewRomanPS-ItalicMT"/>
          <w:iCs/>
          <w:szCs w:val="20"/>
        </w:rPr>
        <w:t xml:space="preserve">poziome </w:t>
      </w:r>
      <w:r w:rsidRPr="009E064B">
        <w:rPr>
          <w:rFonts w:cs="TimesNewRomanPSMT"/>
          <w:szCs w:val="20"/>
        </w:rPr>
        <w:t xml:space="preserve">lotniskowego </w:t>
      </w:r>
      <w:r w:rsidRPr="009E064B">
        <w:rPr>
          <w:rFonts w:cs="TimesNewRomanPS-BoldItalicMT"/>
          <w:bCs/>
          <w:iCs/>
          <w:szCs w:val="20"/>
        </w:rPr>
        <w:t>punktu</w:t>
      </w:r>
      <w:r w:rsidRPr="009E064B">
        <w:rPr>
          <w:rFonts w:cs="TimesNewRomanPSMT"/>
          <w:szCs w:val="20"/>
        </w:rPr>
        <w:t xml:space="preserve"> sprawd</w:t>
      </w:r>
      <w:r w:rsidR="00AB31CF" w:rsidRPr="009E064B">
        <w:rPr>
          <w:rFonts w:cs="TimesNewRomanPSMT"/>
          <w:szCs w:val="20"/>
        </w:rPr>
        <w:t>zania VOR powinno składać się z </w:t>
      </w:r>
      <w:r w:rsidRPr="009E064B">
        <w:rPr>
          <w:rFonts w:cs="TimesNewRomanPSMT"/>
          <w:szCs w:val="20"/>
        </w:rPr>
        <w:t>okręgu o średnicy 6 m i grubości linii 15 cm (patrz Rysunek L-8(A)).</w:t>
      </w:r>
    </w:p>
    <w:p w14:paraId="028C31A1"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Jeżeli</w:t>
      </w:r>
      <w:r w:rsidRPr="009E064B">
        <w:rPr>
          <w:rFonts w:cs="TimesNewRomanPS-ItalicMT"/>
          <w:iCs/>
          <w:szCs w:val="20"/>
        </w:rPr>
        <w:t xml:space="preserve"> korzystne jest ustawienie statku powietrznego w określonym kierunku, należy poprowadzić przez środek geometryczny okręgu linię o żądanym azymucie. Linia ta powinna wychodzić na odległość 6 m poza okrąg w żądanym kierunku i kończyć się strzałką. Szerokość linii powinna być równa 15 cm (patrz Rysunek L-8(B)).</w:t>
      </w:r>
    </w:p>
    <w:p w14:paraId="57589E91"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 xml:space="preserve">Oznakowanie poziome lotniskowego </w:t>
      </w:r>
      <w:r w:rsidRPr="009E064B">
        <w:rPr>
          <w:rFonts w:cs="TimesNewRomanPS-BoldItalicMT"/>
          <w:bCs/>
          <w:iCs/>
          <w:szCs w:val="20"/>
        </w:rPr>
        <w:t>punktu</w:t>
      </w:r>
      <w:r w:rsidRPr="009E064B">
        <w:rPr>
          <w:rFonts w:cs="TimesNewRomanPS-ItalicMT"/>
          <w:iCs/>
          <w:szCs w:val="20"/>
        </w:rPr>
        <w:t xml:space="preserve"> sprawdzania VOR powinno być koloru białego, i powinno się różnić od koloru używanego dla oznakowania dróg kołowania, oraz, jeśli dotyczy, od kontrastującego punktu widokowego.</w:t>
      </w:r>
    </w:p>
    <w:p w14:paraId="7DC7F98A" w14:textId="77777777" w:rsidR="00C36D76" w:rsidRPr="009E064B" w:rsidRDefault="00C36D76" w:rsidP="00B06A9A">
      <w:pPr>
        <w:spacing w:after="0"/>
        <w:rPr>
          <w:rFonts w:cs="TimesNewRomanPS-BoldMT"/>
          <w:bCs/>
          <w:szCs w:val="20"/>
        </w:rPr>
      </w:pPr>
    </w:p>
    <w:p w14:paraId="7BBD244E" w14:textId="3C91A868" w:rsidR="00C36D76" w:rsidRPr="009E064B" w:rsidRDefault="00CD192E" w:rsidP="00356467">
      <w:pPr>
        <w:spacing w:after="0"/>
        <w:ind w:left="284"/>
        <w:jc w:val="right"/>
        <w:rPr>
          <w:rFonts w:cs="TimesNewRomanPS-BoldMT"/>
          <w:bCs/>
          <w:szCs w:val="20"/>
        </w:rPr>
      </w:pPr>
      <w:r w:rsidRPr="009E064B">
        <w:rPr>
          <w:noProof/>
          <w:lang w:eastAsia="pl-PL"/>
        </w:rPr>
        <w:drawing>
          <wp:inline distT="0" distB="0" distL="0" distR="0" wp14:anchorId="74B954BD" wp14:editId="55689443">
            <wp:extent cx="5760720" cy="3451860"/>
            <wp:effectExtent l="0" t="0" r="0" b="0"/>
            <wp:docPr id="3800" name="Obraz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60720" cy="3451860"/>
                    </a:xfrm>
                    <a:prstGeom prst="rect">
                      <a:avLst/>
                    </a:prstGeom>
                    <a:noFill/>
                    <a:ln>
                      <a:noFill/>
                    </a:ln>
                  </pic:spPr>
                </pic:pic>
              </a:graphicData>
            </a:graphic>
          </wp:inline>
        </w:drawing>
      </w:r>
    </w:p>
    <w:p w14:paraId="2226CA3C" w14:textId="77777777" w:rsidR="00C36D76" w:rsidRPr="009E064B" w:rsidRDefault="00C36D76" w:rsidP="00B06A9A">
      <w:pPr>
        <w:spacing w:after="0"/>
        <w:rPr>
          <w:rFonts w:cs="TimesNewRomanPS-BoldMT"/>
          <w:bCs/>
          <w:szCs w:val="20"/>
        </w:rPr>
      </w:pPr>
    </w:p>
    <w:p w14:paraId="45292A0D" w14:textId="77777777" w:rsidR="00C36D76" w:rsidRPr="00865881" w:rsidRDefault="00C36D76" w:rsidP="00B06A9A">
      <w:pPr>
        <w:spacing w:after="0"/>
        <w:ind w:right="10"/>
        <w:jc w:val="center"/>
        <w:rPr>
          <w:rFonts w:cs="TimesNewRomanPSMT"/>
          <w:b/>
          <w:sz w:val="20"/>
          <w:szCs w:val="20"/>
        </w:rPr>
      </w:pPr>
      <w:r w:rsidRPr="00865881">
        <w:rPr>
          <w:rFonts w:cs="TimesNewRomanPSMT"/>
          <w:b/>
          <w:sz w:val="20"/>
          <w:szCs w:val="20"/>
        </w:rPr>
        <w:t xml:space="preserve">Rysunek L-8.  Oznakowanie poziome </w:t>
      </w:r>
      <w:r w:rsidRPr="00865881">
        <w:rPr>
          <w:rFonts w:cs="TimesNewRomanPS-BoldItalicMT"/>
          <w:b/>
          <w:bCs/>
          <w:iCs/>
          <w:sz w:val="20"/>
          <w:szCs w:val="20"/>
        </w:rPr>
        <w:t>punktu</w:t>
      </w:r>
      <w:r w:rsidRPr="00865881">
        <w:rPr>
          <w:rFonts w:cs="TimesNewRomanPSMT"/>
          <w:b/>
          <w:sz w:val="20"/>
          <w:szCs w:val="20"/>
        </w:rPr>
        <w:t xml:space="preserve"> sprawdzania VOR</w:t>
      </w:r>
    </w:p>
    <w:p w14:paraId="573F0EC9" w14:textId="67C4E00B"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9271B99" w14:textId="44C16B51" w:rsidR="00454C4B" w:rsidRPr="009E064B" w:rsidRDefault="00F736B6" w:rsidP="00133B99">
      <w:pPr>
        <w:pStyle w:val="Nagwek6"/>
      </w:pPr>
      <w:bookmarkStart w:id="1411" w:name="_Toc401059015"/>
      <w:bookmarkStart w:id="1412" w:name="_Toc482886882"/>
      <w:bookmarkStart w:id="1413" w:name="_Toc12533157"/>
      <w:r w:rsidRPr="009E064B">
        <w:t xml:space="preserve">GM1 ADR-DSN.L.585     </w:t>
      </w:r>
      <w:r w:rsidR="00454C4B" w:rsidRPr="009E064B">
        <w:t>Oznakowanie lotniskowego punktu sprawdzania VOR</w:t>
      </w:r>
      <w:bookmarkEnd w:id="1411"/>
      <w:bookmarkEnd w:id="1412"/>
      <w:bookmarkEnd w:id="1413"/>
      <w:r w:rsidR="00454C4B" w:rsidRPr="009E064B">
        <w:t xml:space="preserve"> </w:t>
      </w:r>
    </w:p>
    <w:p w14:paraId="0FED0277" w14:textId="72F599AB" w:rsidR="00F736B6" w:rsidRPr="009E064B" w:rsidRDefault="00D63D4F" w:rsidP="00F736B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C5A899B" w14:textId="6AB41951" w:rsidR="00454C4B" w:rsidRPr="009E064B" w:rsidRDefault="00454C4B" w:rsidP="00B06A9A">
      <w:pPr>
        <w:autoSpaceDE w:val="0"/>
        <w:autoSpaceDN w:val="0"/>
        <w:adjustRightInd w:val="0"/>
        <w:rPr>
          <w:szCs w:val="20"/>
        </w:rPr>
      </w:pPr>
      <w:r w:rsidRPr="009E064B">
        <w:rPr>
          <w:szCs w:val="20"/>
        </w:rPr>
        <w:t>Dalsze wskazówki dotyczące wyboru lokalizacji lotniskowego punktu sprawd</w:t>
      </w:r>
      <w:r w:rsidR="00CD192E" w:rsidRPr="009E064B">
        <w:rPr>
          <w:szCs w:val="20"/>
        </w:rPr>
        <w:t>zania VOR są określone w </w:t>
      </w:r>
      <w:r w:rsidRPr="009E064B">
        <w:rPr>
          <w:szCs w:val="20"/>
        </w:rPr>
        <w:t>Załączniku 10 ICAO, Tom I, Dodatek E.</w:t>
      </w:r>
    </w:p>
    <w:p w14:paraId="185DF506" w14:textId="77777777" w:rsidR="00454C4B" w:rsidRPr="009E064B" w:rsidRDefault="00454C4B"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080F909" w14:textId="271CC36B" w:rsidR="00C36D76" w:rsidRPr="009E064B" w:rsidRDefault="002B4E78" w:rsidP="002B4E78">
      <w:pPr>
        <w:pStyle w:val="Nagwek4"/>
        <w:tabs>
          <w:tab w:val="clear" w:pos="2694"/>
          <w:tab w:val="left" w:pos="2410"/>
        </w:tabs>
        <w:ind w:left="2410" w:hanging="2410"/>
        <w:rPr>
          <w:color w:val="auto"/>
        </w:rPr>
      </w:pPr>
      <w:bookmarkStart w:id="1414" w:name="_CS_ADR-DSN.L.590_"/>
      <w:bookmarkStart w:id="1415" w:name="_Toc482886659"/>
      <w:bookmarkStart w:id="1416" w:name="_Toc12533158"/>
      <w:bookmarkEnd w:id="1414"/>
      <w:r w:rsidRPr="009E064B">
        <w:rPr>
          <w:color w:val="auto"/>
        </w:rPr>
        <w:t xml:space="preserve">CS ADR-DSN.L.590     </w:t>
      </w:r>
      <w:r w:rsidR="00C36D76" w:rsidRPr="009E064B">
        <w:rPr>
          <w:color w:val="auto"/>
        </w:rPr>
        <w:t>Oznakowanie stanowiska postojowego statku powietrznego</w:t>
      </w:r>
      <w:bookmarkEnd w:id="1415"/>
      <w:bookmarkEnd w:id="1416"/>
    </w:p>
    <w:p w14:paraId="6B24B0B2" w14:textId="08E20A02"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EDEB4C6" w14:textId="19DAF883" w:rsidR="00C36D76" w:rsidRPr="009E064B" w:rsidRDefault="00C36D76" w:rsidP="002B4E7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ItalicMT"/>
          <w:iCs/>
          <w:szCs w:val="20"/>
        </w:rPr>
        <w:t>Zastosowanie: Oznakowanie stanowiska postojowego statku powietrznego powinno być zapewnione dla wyznaczonych stanowisk postojowych na płycie postojowej o nawierzchni sztucznej oraz na stanowisku do odladzania / przeciwdziałania oblodzeniu samolotów.</w:t>
      </w:r>
    </w:p>
    <w:p w14:paraId="30C9D5FD" w14:textId="53815E15"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(b) </w:t>
      </w:r>
      <w:r w:rsidRPr="009E064B">
        <w:rPr>
          <w:rFonts w:cs="Times New Roman"/>
          <w:szCs w:val="20"/>
        </w:rPr>
        <w:tab/>
      </w:r>
      <w:r w:rsidRPr="009E064B">
        <w:rPr>
          <w:rFonts w:cs="TimesNewRomanPS-ItalicMT"/>
          <w:iCs/>
          <w:szCs w:val="20"/>
        </w:rPr>
        <w:t xml:space="preserve">Charakterystyka ogólna: Oznakowanie stanowiska postojowego statku </w:t>
      </w:r>
      <w:r w:rsidRPr="009E064B">
        <w:rPr>
          <w:rFonts w:cs="TimesNewRomanPS-BoldItalicMT"/>
          <w:bCs/>
          <w:iCs/>
          <w:szCs w:val="20"/>
        </w:rPr>
        <w:t>powietrznego</w:t>
      </w:r>
      <w:r w:rsidRPr="009E064B">
        <w:rPr>
          <w:rFonts w:cs="TimesNewRomanPS-ItalicMT"/>
          <w:iCs/>
          <w:szCs w:val="20"/>
        </w:rPr>
        <w:t xml:space="preserve"> powinno zawierać takie elementy jak: </w:t>
      </w:r>
      <w:r w:rsidRPr="009E064B">
        <w:rPr>
          <w:rFonts w:cs="TimesNewRomanPS-ItalicMT"/>
          <w:iCs/>
          <w:szCs w:val="18"/>
        </w:rPr>
        <w:t xml:space="preserve">oznaczenie identyfikacji </w:t>
      </w:r>
      <w:r w:rsidRPr="009E064B">
        <w:rPr>
          <w:rFonts w:cs="TimesNewRomanPS-ItalicMT"/>
          <w:iCs/>
          <w:szCs w:val="20"/>
        </w:rPr>
        <w:t>stanowiska postojowego, linię wjazdu, poprzeczkę skrętu, linię skrętu, poprzeczkę ustawienia, linię za</w:t>
      </w:r>
      <w:r w:rsidR="00CD192E" w:rsidRPr="009E064B">
        <w:rPr>
          <w:rFonts w:cs="TimesNewRomanPS-ItalicMT"/>
          <w:iCs/>
          <w:szCs w:val="20"/>
        </w:rPr>
        <w:t>trzymania oraz linię wyjazdu, w </w:t>
      </w:r>
      <w:r w:rsidRPr="009E064B">
        <w:rPr>
          <w:rFonts w:cs="TimesNewRomanPS-ItalicMT"/>
          <w:iCs/>
          <w:szCs w:val="20"/>
        </w:rPr>
        <w:t>zależności od konfiguracji miejsca postojowego i jako uzupełnienie dla innych urządzeń znajdujących się na miejscu postoju.</w:t>
      </w:r>
    </w:p>
    <w:p w14:paraId="4A231E61"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(c) </w:t>
      </w:r>
      <w:r w:rsidRPr="009E064B">
        <w:rPr>
          <w:rFonts w:cs="Times New Roman"/>
          <w:szCs w:val="20"/>
        </w:rPr>
        <w:tab/>
      </w:r>
      <w:r w:rsidRPr="009E064B">
        <w:rPr>
          <w:rFonts w:cs="TimesNewRomanPS-ItalicMT"/>
          <w:iCs/>
          <w:szCs w:val="20"/>
        </w:rPr>
        <w:t xml:space="preserve">Oznaczenie </w:t>
      </w:r>
      <w:r w:rsidRPr="009E064B">
        <w:rPr>
          <w:rFonts w:cs="TimesNewRomanPS-ItalicMT"/>
          <w:iCs/>
          <w:szCs w:val="18"/>
        </w:rPr>
        <w:t>identyfikacji</w:t>
      </w:r>
      <w:r w:rsidRPr="009E064B">
        <w:rPr>
          <w:rFonts w:cs="TimesNewRomanPS-ItalicMT"/>
          <w:iCs/>
          <w:szCs w:val="20"/>
        </w:rPr>
        <w:t xml:space="preserve"> stanowiska postojowego statku powietrznego:</w:t>
      </w:r>
    </w:p>
    <w:p w14:paraId="4051566A" w14:textId="0A6B4835"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r>
      <w:r w:rsidRPr="009E064B">
        <w:rPr>
          <w:rFonts w:cs="TimesNewRomanPSMT"/>
          <w:iCs/>
          <w:szCs w:val="20"/>
        </w:rPr>
        <w:t>Oznaczenie</w:t>
      </w:r>
      <w:r w:rsidRPr="009E064B">
        <w:rPr>
          <w:rFonts w:cs="TimesNewRomanPS-ItalicMT"/>
          <w:iCs/>
          <w:szCs w:val="20"/>
        </w:rPr>
        <w:t xml:space="preserve"> </w:t>
      </w:r>
      <w:r w:rsidRPr="009E064B">
        <w:rPr>
          <w:rFonts w:cs="TimesNewRomanPS-ItalicMT"/>
          <w:iCs/>
          <w:szCs w:val="18"/>
        </w:rPr>
        <w:t xml:space="preserve">identyfikacji </w:t>
      </w:r>
      <w:r w:rsidRPr="009E064B">
        <w:rPr>
          <w:rFonts w:cs="TimesNewRomanPS-ItalicMT"/>
          <w:iCs/>
          <w:szCs w:val="20"/>
        </w:rPr>
        <w:t xml:space="preserve">stanowiska postojowego (litera i/lub cyfra) powinno być częścią linii wjazdu i znajdować się w niewielkiej odległości od początku linii wjazdu. Wysokość </w:t>
      </w:r>
      <w:r w:rsidRPr="009E064B">
        <w:rPr>
          <w:rFonts w:cs="TimesNewRomanPSMT"/>
          <w:iCs/>
          <w:szCs w:val="20"/>
        </w:rPr>
        <w:t>oznaczenia</w:t>
      </w:r>
      <w:r w:rsidRPr="009E064B">
        <w:rPr>
          <w:rFonts w:cs="TimesNewRomanPS-ItalicMT"/>
          <w:iCs/>
          <w:szCs w:val="20"/>
        </w:rPr>
        <w:t xml:space="preserve"> </w:t>
      </w:r>
      <w:r w:rsidRPr="009E064B">
        <w:rPr>
          <w:rFonts w:cs="TimesNewRomanPS-ItalicMT"/>
          <w:iCs/>
          <w:szCs w:val="18"/>
        </w:rPr>
        <w:t xml:space="preserve">identyfikacji </w:t>
      </w:r>
      <w:r w:rsidRPr="009E064B">
        <w:rPr>
          <w:rFonts w:cs="TimesNewRomanPS-ItalicMT"/>
          <w:iCs/>
          <w:szCs w:val="20"/>
        </w:rPr>
        <w:t>powinna być odpowiednia, aby mogło być ono odczytane z</w:t>
      </w:r>
      <w:r w:rsidR="00C126F7" w:rsidRPr="009E064B">
        <w:rPr>
          <w:rFonts w:cs="TimesNewRomanPS-ItalicMT"/>
          <w:iCs/>
          <w:szCs w:val="20"/>
        </w:rPr>
        <w:t> </w:t>
      </w:r>
      <w:r w:rsidRPr="009E064B">
        <w:rPr>
          <w:rFonts w:cs="TimesNewRomanPS-ItalicMT"/>
          <w:iCs/>
          <w:szCs w:val="20"/>
        </w:rPr>
        <w:t>kabiny statku powietrznego korzystającego z danego stanowiska postojowego.</w:t>
      </w:r>
      <w:r w:rsidRPr="009E064B">
        <w:rPr>
          <w:rFonts w:cs="Times New Roman"/>
          <w:szCs w:val="20"/>
        </w:rPr>
        <w:t xml:space="preserve"> </w:t>
      </w:r>
    </w:p>
    <w:p w14:paraId="0B6CFEEC"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 xml:space="preserve">W przypadku, gdy dwa zestawy oznakowania stanowiska postojowego </w:t>
      </w:r>
      <w:r w:rsidRPr="009E064B">
        <w:rPr>
          <w:rFonts w:cs="TimesNewRomanPSMT"/>
          <w:szCs w:val="20"/>
        </w:rPr>
        <w:t>nakładają</w:t>
      </w:r>
      <w:r w:rsidRPr="009E064B">
        <w:rPr>
          <w:rFonts w:cs="TimesNewRomanPS-ItalicMT"/>
          <w:iCs/>
          <w:szCs w:val="20"/>
        </w:rPr>
        <w:t xml:space="preserve"> się na siebie, w celu umożliwienia bardziej elastycznego wykorzystanie powierzchni płyty postojowej, co może obniżyć bezpieczeństwo statku powietrznego w przypadku pomylenia stanowisk, wówczas do znaku identyfikacyjnego stanowiska postojowego należy dodać znak identyfikujący typ statku powietrznego, dla którego każdy zestaw oznakowania jest przeznaczony.</w:t>
      </w:r>
    </w:p>
    <w:p w14:paraId="6F7C521D"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(d) </w:t>
      </w:r>
      <w:r w:rsidRPr="009E064B">
        <w:rPr>
          <w:rFonts w:cs="Times New Roman"/>
          <w:szCs w:val="20"/>
        </w:rPr>
        <w:tab/>
      </w:r>
      <w:r w:rsidRPr="009E064B">
        <w:rPr>
          <w:rFonts w:cs="TimesNewRomanPS-ItalicMT"/>
          <w:iCs/>
          <w:szCs w:val="20"/>
        </w:rPr>
        <w:t xml:space="preserve">Linia </w:t>
      </w:r>
      <w:r w:rsidRPr="009E064B">
        <w:rPr>
          <w:rFonts w:cs="TimesNewRomanPS-BoldItalicMT"/>
          <w:bCs/>
          <w:iCs/>
          <w:szCs w:val="20"/>
        </w:rPr>
        <w:t>wjazdu</w:t>
      </w:r>
      <w:r w:rsidRPr="009E064B">
        <w:rPr>
          <w:rFonts w:cs="TimesNewRomanPS-ItalicMT"/>
          <w:iCs/>
          <w:szCs w:val="20"/>
        </w:rPr>
        <w:t>, linia skrętu oraz linia wyjazdu:</w:t>
      </w:r>
    </w:p>
    <w:p w14:paraId="0F670D16"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 xml:space="preserve">Linia wjazdu, linia skrętu oraz linia wyjazdu powinny być w większości </w:t>
      </w:r>
      <w:r w:rsidRPr="009E064B">
        <w:rPr>
          <w:rFonts w:cs="TimesNewRomanPSMT"/>
          <w:szCs w:val="20"/>
        </w:rPr>
        <w:t>przypadków</w:t>
      </w:r>
      <w:r w:rsidRPr="009E064B">
        <w:rPr>
          <w:rFonts w:cs="TimesNewRomanPS-ItalicMT"/>
          <w:iCs/>
          <w:szCs w:val="20"/>
        </w:rPr>
        <w:t xml:space="preserve"> liniami ciągłymi o szerokości nie mniejszej niż 15 cm. W przypadku oznakowania nakładającego się na siebie, oznakowanie stanowiska dla najbardziej wymagającego statku powietrznego powinno być wykonane linią ciągłą, a oznakowanie dla pozostałych typów statków powietrznych linią przerywaną.</w:t>
      </w:r>
    </w:p>
    <w:p w14:paraId="7F6DC3D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MT"/>
          <w:szCs w:val="20"/>
        </w:rPr>
        <w:t>Krzywoliniowa</w:t>
      </w:r>
      <w:r w:rsidRPr="009E064B">
        <w:rPr>
          <w:rFonts w:cs="TimesNewRomanPS-ItalicMT"/>
          <w:iCs/>
          <w:szCs w:val="20"/>
        </w:rPr>
        <w:t xml:space="preserve"> część linii wjazdu, linii skrętu oraz linii wyjazdu powinna mieć promień łuku odpowiedni dla najbardziej wymagającego statku powietrznego, dla którego jest przewidziane stanowisko postojowe.</w:t>
      </w:r>
    </w:p>
    <w:p w14:paraId="30FF919C"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W przypadku jednokierunkowego ruchu statków powietrznych, należy zastosować strzałki wskazujące kierunek poruszania się, jako część linii wjazdu i wyjazdu ze stanowiska postojowego.</w:t>
      </w:r>
    </w:p>
    <w:p w14:paraId="5781DA9F" w14:textId="77777777" w:rsidR="00C36D76" w:rsidRPr="009E064B" w:rsidRDefault="00C36D76" w:rsidP="00B06A9A">
      <w:pPr>
        <w:tabs>
          <w:tab w:val="left" w:pos="567"/>
        </w:tabs>
        <w:autoSpaceDE w:val="0"/>
        <w:autoSpaceDN w:val="0"/>
        <w:adjustRightInd w:val="0"/>
        <w:ind w:left="567" w:hanging="567"/>
        <w:rPr>
          <w:rFonts w:cs="TimesNewRomanPS-ItalicMT"/>
          <w:iCs/>
          <w:szCs w:val="20"/>
        </w:rPr>
      </w:pPr>
      <w:r w:rsidRPr="009E064B">
        <w:rPr>
          <w:rFonts w:cs="Times New Roman"/>
          <w:szCs w:val="20"/>
        </w:rPr>
        <w:t>(e)</w:t>
      </w:r>
      <w:r w:rsidRPr="009E064B">
        <w:rPr>
          <w:rFonts w:cs="Times New Roman"/>
          <w:szCs w:val="20"/>
        </w:rPr>
        <w:tab/>
      </w:r>
      <w:r w:rsidRPr="009E064B">
        <w:rPr>
          <w:szCs w:val="20"/>
        </w:rPr>
        <w:t>Poprzeczka ustawienia: P</w:t>
      </w:r>
      <w:r w:rsidRPr="009E064B">
        <w:rPr>
          <w:rFonts w:cs="TimesNewRomanPS-ItalicMT"/>
          <w:iCs/>
          <w:szCs w:val="20"/>
        </w:rPr>
        <w:t xml:space="preserve">oprzeczka </w:t>
      </w:r>
      <w:r w:rsidRPr="009E064B">
        <w:rPr>
          <w:szCs w:val="20"/>
        </w:rPr>
        <w:t>ustawienia</w:t>
      </w:r>
      <w:r w:rsidRPr="009E064B">
        <w:rPr>
          <w:rFonts w:cs="TimesNewRomanPS-ItalicMT"/>
          <w:iCs/>
          <w:szCs w:val="20"/>
        </w:rPr>
        <w:t xml:space="preserve"> powinna być umieszczona w taki sposób, aby była zbieżna z przedłużeniem osi statku powietrznego, znajdującego się w wymaganej pozycji postojowej oraz była widoczna dla pilota podczas końcowej fazy wykonywania manewru ustawiania na stanowisku postojowym. Szerokość poprzeczki ustawienia nie powinna być mniejsza niż 15 cm.</w:t>
      </w:r>
    </w:p>
    <w:p w14:paraId="2BACF482"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(f) </w:t>
      </w:r>
      <w:r w:rsidRPr="009E064B">
        <w:rPr>
          <w:rFonts w:cs="Times New Roman"/>
          <w:szCs w:val="20"/>
        </w:rPr>
        <w:tab/>
      </w:r>
      <w:r w:rsidRPr="009E064B">
        <w:rPr>
          <w:rFonts w:cs="TimesNewRomanPS-BoldItalicMT"/>
          <w:bCs/>
          <w:iCs/>
          <w:szCs w:val="20"/>
        </w:rPr>
        <w:t>Poprzeczka</w:t>
      </w:r>
      <w:r w:rsidRPr="009E064B">
        <w:rPr>
          <w:rFonts w:cs="TimesNewRomanPS-ItalicMT"/>
          <w:iCs/>
          <w:szCs w:val="20"/>
        </w:rPr>
        <w:t xml:space="preserve"> skrętu oraz linia zatrzymania</w:t>
      </w:r>
    </w:p>
    <w:p w14:paraId="252CE48A" w14:textId="06B2C7F1"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Poprzeczka skrętu powinna być umieszczona prostopadle do linii wjazdu, w punkcie początkowym rozpoczęcia zakrętu, od strony pilota zajmującego lewy fotel. Długość i szerokość oznakowania powinny być</w:t>
      </w:r>
      <w:r w:rsidR="008C5A08" w:rsidRPr="009E064B">
        <w:rPr>
          <w:rFonts w:cs="TimesNewRomanPS-ItalicMT"/>
          <w:iCs/>
          <w:szCs w:val="20"/>
        </w:rPr>
        <w:t xml:space="preserve"> nie mniejsze niż odpowiednio 6 m i 15 </w:t>
      </w:r>
      <w:r w:rsidRPr="009E064B">
        <w:rPr>
          <w:rFonts w:cs="TimesNewRomanPS-ItalicMT"/>
          <w:iCs/>
          <w:szCs w:val="20"/>
        </w:rPr>
        <w:t>cm, oznakowanie powinno zawierać strzałkę wskazującą kierunek zakrętu.</w:t>
      </w:r>
    </w:p>
    <w:p w14:paraId="46483648" w14:textId="77777777" w:rsidR="00C36D76" w:rsidRPr="009E064B" w:rsidRDefault="00C36D76" w:rsidP="00B06A9A">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Linia zatrzymania powinna być umieszczona prostopadle do poprzeczki ustawienia, od strony pilota zajmującego lewy fotel w planowanym punkcie zatrzymania. Długość i szerokość oznakowania powinny być nie mniejsze niż odpowiednio 6 m i 15 cm.</w:t>
      </w:r>
    </w:p>
    <w:p w14:paraId="3382FD92" w14:textId="25B5698B" w:rsidR="00865881" w:rsidRDefault="00C36D76" w:rsidP="00865881">
      <w:pPr>
        <w:tabs>
          <w:tab w:val="left" w:pos="1134"/>
        </w:tabs>
        <w:autoSpaceDE w:val="0"/>
        <w:autoSpaceDN w:val="0"/>
        <w:adjustRightInd w:val="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Jeżeli wymagana jest więcej niż jedna poprzeczka skrętu i/lub linia zatrzymania, powinny być one wyznaczone dla odpowiednich typów statków powietrznych.</w:t>
      </w:r>
      <w:r w:rsidR="00865881">
        <w:rPr>
          <w:rFonts w:cs="TimesNewRomanPS-ItalicMT"/>
          <w:iCs/>
          <w:szCs w:val="20"/>
        </w:rPr>
        <w:t xml:space="preserve"> </w:t>
      </w:r>
      <w:r w:rsidR="00865881">
        <w:rPr>
          <w:rFonts w:cs="TimesNewRomanPS-ItalicMT"/>
          <w:iCs/>
          <w:szCs w:val="20"/>
        </w:rPr>
        <w:br w:type="page"/>
      </w:r>
    </w:p>
    <w:p w14:paraId="3FF88960" w14:textId="5462DBC9" w:rsidR="00454C4B" w:rsidRPr="009E064B" w:rsidRDefault="002B4E78" w:rsidP="00133B99">
      <w:pPr>
        <w:pStyle w:val="Nagwek6"/>
      </w:pPr>
      <w:bookmarkStart w:id="1417" w:name="_Toc401059016"/>
      <w:bookmarkStart w:id="1418" w:name="_Toc482886883"/>
      <w:bookmarkStart w:id="1419" w:name="_Toc12533159"/>
      <w:r w:rsidRPr="009E064B">
        <w:t xml:space="preserve">GM1 ADR-DSN.L.590      </w:t>
      </w:r>
      <w:r w:rsidR="00454C4B" w:rsidRPr="009E064B">
        <w:t>Oznakowanie stanowiska postojowego statku powietrznego</w:t>
      </w:r>
      <w:bookmarkEnd w:id="1417"/>
      <w:bookmarkEnd w:id="1418"/>
      <w:bookmarkEnd w:id="1419"/>
    </w:p>
    <w:p w14:paraId="2B5D0DC2" w14:textId="45852DA5"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CBAF979" w14:textId="7FEAE22B" w:rsidR="00454C4B" w:rsidRPr="009E064B" w:rsidRDefault="00454C4B" w:rsidP="002B4E78">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Odległości, jakie należy zachować pomiędzy linią zatrzymania a linią wjazdu mogą być różne, zależnie od typu statku powietrznego oraz w zależności od pola widzenia pilota.</w:t>
      </w:r>
    </w:p>
    <w:p w14:paraId="6C016960" w14:textId="77777777" w:rsidR="00454C4B" w:rsidRPr="009E064B" w:rsidRDefault="00454C4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Oznakowanie poziome płyty postojowej instalowane jest w celu zapewnienia bezpieczeństwa operacji na stanowiskach postojowych oraz na płycie. Oznakowanie poziome może nie być wymagane, jeżeli stosowane są odpowiednie procedury dające elastyczność w prowadzeniu operacji. Przykłady obejmują sytuacje, kiedy wykorzystywani są sygnaliści lub kiedy od statku powietrznego wymaga się samodzielnego parkowania na otwartej płycie postojowej, gdzie różne połączenia statków powietrznych uniemożliwiają zapewnienie określonego oznakowania poziomego. Konkretne oznakowania/stanowiska mają zwykle zastosowanie do większych statków powietrznych.</w:t>
      </w:r>
    </w:p>
    <w:p w14:paraId="3235C5F2" w14:textId="606C8733" w:rsidR="00C36D76" w:rsidRPr="009E064B" w:rsidRDefault="000622CB" w:rsidP="00B06A9A">
      <w:pPr>
        <w:pStyle w:val="Nagwek4"/>
        <w:rPr>
          <w:color w:val="auto"/>
        </w:rPr>
      </w:pPr>
      <w:bookmarkStart w:id="1420" w:name="_CS_ADR-DSN.L.595_"/>
      <w:bookmarkStart w:id="1421" w:name="_Toc482886660"/>
      <w:bookmarkStart w:id="1422" w:name="_Toc12533160"/>
      <w:bookmarkEnd w:id="1420"/>
      <w:r w:rsidRPr="009E064B">
        <w:rPr>
          <w:color w:val="auto"/>
        </w:rPr>
        <w:t xml:space="preserve">CS ADR-DSN.L.595     </w:t>
      </w:r>
      <w:r w:rsidR="00C36D76" w:rsidRPr="009E064B">
        <w:rPr>
          <w:color w:val="auto"/>
        </w:rPr>
        <w:t>Linie bezpieczeństwa na płycie postojowej</w:t>
      </w:r>
      <w:bookmarkEnd w:id="1421"/>
      <w:bookmarkEnd w:id="1422"/>
    </w:p>
    <w:p w14:paraId="6064D1F9" w14:textId="372443D9"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3F7AB61" w14:textId="428F2EFF" w:rsidR="00C36D76" w:rsidRPr="009E064B" w:rsidRDefault="00C36D76" w:rsidP="002B4E78">
      <w:pPr>
        <w:tabs>
          <w:tab w:val="left" w:pos="567"/>
        </w:tabs>
        <w:autoSpaceDE w:val="0"/>
        <w:autoSpaceDN w:val="0"/>
        <w:adjustRightInd w:val="0"/>
        <w:ind w:left="567" w:hanging="567"/>
        <w:rPr>
          <w:rFonts w:cs="TimesNewRomanPS-ItalicMT"/>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r w:rsidRPr="009E064B">
        <w:rPr>
          <w:rFonts w:cs="TimesNewRomanPS-ItalicMT"/>
          <w:iCs/>
          <w:szCs w:val="20"/>
        </w:rPr>
        <w:t>: Linie bezpieczeństwa na płycie postojowej powin</w:t>
      </w:r>
      <w:r w:rsidR="004C36BC" w:rsidRPr="009E064B">
        <w:rPr>
          <w:rFonts w:cs="TimesNewRomanPS-ItalicMT"/>
          <w:iCs/>
          <w:szCs w:val="20"/>
        </w:rPr>
        <w:t>ny być umieszczone na płycie, z </w:t>
      </w:r>
      <w:r w:rsidRPr="009E064B">
        <w:rPr>
          <w:rFonts w:cs="TimesNewRomanPS-ItalicMT"/>
          <w:iCs/>
          <w:szCs w:val="20"/>
        </w:rPr>
        <w:t>uwzględnieniem układu stanowisk postojowych i urządzeń naziemnych.</w:t>
      </w:r>
    </w:p>
    <w:p w14:paraId="5F76999A"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t>Lokalizacja</w:t>
      </w:r>
      <w:r w:rsidRPr="009E064B">
        <w:rPr>
          <w:rFonts w:cs="TimesNewRomanPS-BoldItalicMT"/>
          <w:bCs/>
          <w:iCs/>
          <w:szCs w:val="20"/>
        </w:rPr>
        <w:t xml:space="preserve">: </w:t>
      </w:r>
      <w:r w:rsidRPr="009E064B">
        <w:rPr>
          <w:rFonts w:cs="TimesNewRomanPSMT"/>
          <w:szCs w:val="20"/>
        </w:rPr>
        <w:t xml:space="preserve">Linie bezpieczeństwa na płycie </w:t>
      </w:r>
      <w:r w:rsidRPr="009E064B">
        <w:rPr>
          <w:rFonts w:cs="TimesNewRomanPS-ItalicMT"/>
          <w:iCs/>
          <w:szCs w:val="20"/>
        </w:rPr>
        <w:t xml:space="preserve">postojowej </w:t>
      </w:r>
      <w:r w:rsidRPr="009E064B">
        <w:rPr>
          <w:rFonts w:cs="TimesNewRomanPSMT"/>
          <w:szCs w:val="20"/>
        </w:rPr>
        <w:t>powinny być zlokalizowane w taki sposób, aby wyznaczały strefy przeznaczone do użytkowania przez pojazdy naziemne i inny sprzęt służący do obsługi statku powietrznego i pozwalały zachować bezpieczną separację od statków powietrznych.</w:t>
      </w:r>
    </w:p>
    <w:p w14:paraId="63EFA254"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7B33543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Linie bezpieczeństwa na płycie postojowej powinny obejmować takie elementy jak: linie zabezpieczające koniec skrzydła i linie ograniczające drogi ruchu kołowego, odpowiednio do układu stanowisk postojowych i urządzeń naziemnych.</w:t>
      </w:r>
    </w:p>
    <w:p w14:paraId="7B33C5A8"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Linie bezpieczeństwa na płycie postojowej powinny być wykonane wyrazistym kolorem, który powinien kontrastować z kolorem wykorzystywanym do oznakowania stanowisk postojowych statków powietrznych.</w:t>
      </w:r>
    </w:p>
    <w:p w14:paraId="42BC7E04" w14:textId="77777777" w:rsidR="00865881" w:rsidRDefault="00C36D76" w:rsidP="00B16A36">
      <w:pPr>
        <w:tabs>
          <w:tab w:val="left" w:pos="1134"/>
        </w:tabs>
        <w:autoSpaceDE w:val="0"/>
        <w:autoSpaceDN w:val="0"/>
        <w:adjustRightInd w:val="0"/>
        <w:spacing w:after="0"/>
        <w:ind w:left="1134" w:hanging="567"/>
        <w:rPr>
          <w:rFonts w:cs="TimesNewRomanPS-ItalicMT"/>
          <w:iCs/>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Linia bezpieczeństwa na płycie postojowej powinna by</w:t>
      </w:r>
      <w:r w:rsidR="00C126F7" w:rsidRPr="009E064B">
        <w:rPr>
          <w:rFonts w:cs="TimesNewRomanPS-ItalicMT"/>
          <w:iCs/>
          <w:szCs w:val="20"/>
        </w:rPr>
        <w:t>ć linią ciągłą o szerokości, co </w:t>
      </w:r>
      <w:r w:rsidRPr="009E064B">
        <w:rPr>
          <w:rFonts w:cs="TimesNewRomanPS-ItalicMT"/>
          <w:iCs/>
          <w:szCs w:val="20"/>
        </w:rPr>
        <w:t>najmniej 10 cm.</w:t>
      </w:r>
    </w:p>
    <w:p w14:paraId="10A4E1F6" w14:textId="4E828F80" w:rsidR="00C73B63" w:rsidRPr="009E064B" w:rsidRDefault="000622CB" w:rsidP="00133B99">
      <w:pPr>
        <w:pStyle w:val="Nagwek6"/>
      </w:pPr>
      <w:bookmarkStart w:id="1423" w:name="_Toc401059017"/>
      <w:bookmarkStart w:id="1424" w:name="_Toc482886884"/>
      <w:bookmarkStart w:id="1425" w:name="_Toc12533161"/>
      <w:bookmarkStart w:id="1426" w:name="_Toc482886661"/>
      <w:r w:rsidRPr="009E064B">
        <w:t xml:space="preserve">GM1 ADR-DSN.L.595     </w:t>
      </w:r>
      <w:r w:rsidR="00C73B63" w:rsidRPr="009E064B">
        <w:t>Linie bezpieczeństwa na płycie postojowej</w:t>
      </w:r>
      <w:bookmarkEnd w:id="1423"/>
      <w:bookmarkEnd w:id="1424"/>
      <w:bookmarkEnd w:id="1425"/>
    </w:p>
    <w:p w14:paraId="7B75A2DC" w14:textId="42F7F8DB"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07D605A" w14:textId="5C4B6651" w:rsidR="00C73B63" w:rsidRPr="009E064B" w:rsidRDefault="00C73B63" w:rsidP="00B06A9A">
      <w:pPr>
        <w:tabs>
          <w:tab w:val="left" w:pos="567"/>
        </w:tabs>
        <w:autoSpaceDE w:val="0"/>
        <w:autoSpaceDN w:val="0"/>
        <w:adjustRightInd w:val="0"/>
        <w:ind w:left="567" w:hanging="567"/>
      </w:pPr>
      <w:r w:rsidRPr="009E064B">
        <w:t>(a)</w:t>
      </w:r>
      <w:r w:rsidRPr="009E064B">
        <w:tab/>
        <w:t>Urządzenia naziemne i pojazdy powinny być trzymane na zewnątrz ustalonych granicy, w czasie wykonywania manewrów przez statki powietrzne lub gdy urządzenia takie są pozostawione bez opieki.</w:t>
      </w:r>
    </w:p>
    <w:p w14:paraId="04E62933" w14:textId="77777777" w:rsidR="00C73B63" w:rsidRPr="009E064B" w:rsidRDefault="00C73B63" w:rsidP="00B06A9A">
      <w:pPr>
        <w:tabs>
          <w:tab w:val="left" w:pos="567"/>
        </w:tabs>
        <w:autoSpaceDE w:val="0"/>
        <w:autoSpaceDN w:val="0"/>
        <w:adjustRightInd w:val="0"/>
        <w:ind w:left="567" w:hanging="567"/>
      </w:pPr>
      <w:r w:rsidRPr="009E064B">
        <w:t>(b)</w:t>
      </w:r>
      <w:r w:rsidRPr="009E064B">
        <w:tab/>
        <w:t>Linie bezpieczeństwa są wymagane na płycie postojowej, aby zaznaczyć granice obszarów parkingowych dla urządzeń naziemnych, drogi serwisowe na płycie postojowej i ścieżki dla pasażerów, itp. Linie te powinny być węższe i w innym kolorze, aby wyróżniały się od wskazówek stosowanych dla statków powietrznych.</w:t>
      </w:r>
    </w:p>
    <w:p w14:paraId="0CC74E77" w14:textId="77777777" w:rsidR="00C73B63" w:rsidRPr="009E064B" w:rsidRDefault="00C73B63" w:rsidP="00B06A9A">
      <w:pPr>
        <w:tabs>
          <w:tab w:val="left" w:pos="993"/>
        </w:tabs>
        <w:autoSpaceDE w:val="0"/>
        <w:autoSpaceDN w:val="0"/>
        <w:adjustRightInd w:val="0"/>
        <w:ind w:left="1134" w:hanging="567"/>
      </w:pPr>
      <w:r w:rsidRPr="009E064B">
        <w:t>(1)</w:t>
      </w:r>
      <w:r w:rsidRPr="009E064B">
        <w:tab/>
      </w:r>
      <w:r w:rsidRPr="009E064B">
        <w:tab/>
        <w:t>Linie separacji końca skrzydeł. Linie te powinny wyznaczać strefę bezpieczeństwa oczyszczonej ścieżki dla samolotów o krytycznej rozpiętości końców skrzydeł. Linia ta powinna być namalowana w odpowiedniej odległości poza normalną ścieżką wyznaczoną przez końcówki skrzydeł samolotu krytycznego;</w:t>
      </w:r>
    </w:p>
    <w:p w14:paraId="5519E2E7" w14:textId="77777777" w:rsidR="00C73B63" w:rsidRPr="009E064B" w:rsidRDefault="00C73B63" w:rsidP="00B06A9A">
      <w:pPr>
        <w:tabs>
          <w:tab w:val="left" w:pos="993"/>
        </w:tabs>
        <w:autoSpaceDE w:val="0"/>
        <w:autoSpaceDN w:val="0"/>
        <w:adjustRightInd w:val="0"/>
        <w:ind w:left="1134" w:hanging="567"/>
      </w:pPr>
      <w:r w:rsidRPr="009E064B">
        <w:t>(2)</w:t>
      </w:r>
      <w:r w:rsidRPr="009E064B">
        <w:tab/>
      </w:r>
      <w:r w:rsidRPr="009E064B">
        <w:tab/>
        <w:t>Linie graniczne dla sprzętu. Linie te są wykorzystywane do wskazania granic obszarów, które są przeznaczone do parkowania pojazdów oraz urządzeń do obsługi statków powietrznych, gdy nie są one używane.</w:t>
      </w:r>
    </w:p>
    <w:p w14:paraId="5D22902F" w14:textId="77777777" w:rsidR="00C73B63" w:rsidRPr="009E064B" w:rsidRDefault="00C73B63" w:rsidP="00B06A9A">
      <w:pPr>
        <w:tabs>
          <w:tab w:val="left" w:pos="567"/>
        </w:tabs>
        <w:autoSpaceDE w:val="0"/>
        <w:autoSpaceDN w:val="0"/>
        <w:adjustRightInd w:val="0"/>
        <w:ind w:left="567" w:hanging="567"/>
      </w:pPr>
      <w:r w:rsidRPr="009E064B">
        <w:t>(c)</w:t>
      </w:r>
      <w:r w:rsidRPr="009E064B">
        <w:tab/>
        <w:t>Istnieje kilka metod, które mogą być użyte do określenia, która strona linii bezpieczeństwa jest bezpieczna do przetrzymywania takich pojazdów i sprzętu:</w:t>
      </w:r>
    </w:p>
    <w:p w14:paraId="120233DE" w14:textId="3E7B1766" w:rsidR="00C73B63" w:rsidRPr="009E064B" w:rsidRDefault="00C73B63" w:rsidP="00B06A9A">
      <w:pPr>
        <w:tabs>
          <w:tab w:val="left" w:pos="1134"/>
        </w:tabs>
        <w:autoSpaceDE w:val="0"/>
        <w:autoSpaceDN w:val="0"/>
        <w:adjustRightInd w:val="0"/>
        <w:ind w:left="1134" w:hanging="567"/>
      </w:pPr>
      <w:r w:rsidRPr="009E064B">
        <w:t>(1)</w:t>
      </w:r>
      <w:r w:rsidRPr="009E064B">
        <w:tab/>
        <w:t>Odnogi lub dodatkowa linia (linia przerywana w tym samy</w:t>
      </w:r>
      <w:r w:rsidR="00C126F7" w:rsidRPr="009E064B">
        <w:t>m kolorze lub linia ciągła w </w:t>
      </w:r>
      <w:r w:rsidRPr="009E064B">
        <w:t>innym rzucającym się w oczy kolorze) mogą być zapewnione po jednej stronie tej linii bezpieczeństwa. Strona, na której takie odnogi lub dodatkowa linia jest zlokalizowana jest uważana za bezpieczną do parkowania pojazdów i sprzętu.</w:t>
      </w:r>
    </w:p>
    <w:p w14:paraId="798C887D" w14:textId="77777777" w:rsidR="00C73B63" w:rsidRPr="009E064B" w:rsidRDefault="00C73B63" w:rsidP="00B06A9A">
      <w:pPr>
        <w:tabs>
          <w:tab w:val="left" w:pos="1134"/>
        </w:tabs>
        <w:autoSpaceDE w:val="0"/>
        <w:autoSpaceDN w:val="0"/>
        <w:adjustRightInd w:val="0"/>
        <w:ind w:left="1134" w:hanging="567"/>
      </w:pPr>
      <w:r w:rsidRPr="009E064B">
        <w:t>(2)</w:t>
      </w:r>
      <w:r w:rsidRPr="009E064B">
        <w:tab/>
        <w:t xml:space="preserve">Informacja „Granica sprzętu </w:t>
      </w:r>
      <w:r w:rsidRPr="009E064B">
        <w:rPr>
          <w:i/>
        </w:rPr>
        <w:t>(Equipment Limit)</w:t>
      </w:r>
      <w:r w:rsidRPr="009E064B">
        <w:t>” może być namalowana po stronie wykorzystywanej dla potrzeb sprzętu naziemnego, i możliwa do odczytania z drugiej strony.</w:t>
      </w:r>
    </w:p>
    <w:p w14:paraId="1F5D1022" w14:textId="77777777" w:rsidR="00C73B63" w:rsidRPr="009E064B" w:rsidRDefault="00C73B63" w:rsidP="00B06A9A">
      <w:pPr>
        <w:tabs>
          <w:tab w:val="left" w:pos="1134"/>
        </w:tabs>
        <w:autoSpaceDE w:val="0"/>
        <w:autoSpaceDN w:val="0"/>
        <w:adjustRightInd w:val="0"/>
        <w:ind w:left="1134" w:hanging="567"/>
      </w:pPr>
      <w:r w:rsidRPr="009E064B">
        <w:t>(3)</w:t>
      </w:r>
      <w:r w:rsidRPr="009E064B">
        <w:tab/>
        <w:t>Linie ścieżki dla pasażerów. Linie te są wykorzystywane do wskazania pasażerom i personelowi eskortującemu trasy na płycie postojowej, aby nie być narażonym na niebezpieczeństwo.</w:t>
      </w:r>
    </w:p>
    <w:p w14:paraId="5040B168" w14:textId="77777777" w:rsidR="00C73B63" w:rsidRPr="009E064B" w:rsidRDefault="00C73B63"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CE2C071" w14:textId="59D22933" w:rsidR="00C36D76" w:rsidRPr="009E064B" w:rsidRDefault="000622CB" w:rsidP="00B06A9A">
      <w:pPr>
        <w:pStyle w:val="Nagwek4"/>
        <w:rPr>
          <w:color w:val="auto"/>
        </w:rPr>
      </w:pPr>
      <w:bookmarkStart w:id="1427" w:name="_Toc12533162"/>
      <w:r w:rsidRPr="009E064B">
        <w:rPr>
          <w:color w:val="auto"/>
        </w:rPr>
        <w:t xml:space="preserve">CS ADR-DSN.L.597     </w:t>
      </w:r>
      <w:r w:rsidR="00C36D76" w:rsidRPr="009E064B">
        <w:rPr>
          <w:color w:val="auto"/>
        </w:rPr>
        <w:t>Drogi serwisowe na płycie postojowej</w:t>
      </w:r>
      <w:bookmarkEnd w:id="1426"/>
      <w:bookmarkEnd w:id="1427"/>
    </w:p>
    <w:p w14:paraId="7EE525EF" w14:textId="4E62DC21"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1FD8AD8" w14:textId="20D363F3"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NewRomanPSMT"/>
          <w:szCs w:val="20"/>
        </w:rPr>
        <w:t xml:space="preserve">(a) </w:t>
      </w:r>
      <w:r w:rsidRPr="009E064B">
        <w:rPr>
          <w:rFonts w:cs="TimesNewRomanPSMT"/>
          <w:szCs w:val="20"/>
        </w:rPr>
        <w:tab/>
        <w:t>Zastosowanie: Granice drogi serwisowej na płycie postojowej powinny być wyznaczone za pomocą oznakowania poziomego drogi serwisowej.</w:t>
      </w:r>
    </w:p>
    <w:p w14:paraId="76C42122"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NewRomanPSMT"/>
          <w:szCs w:val="20"/>
        </w:rPr>
        <w:t xml:space="preserve">(b) </w:t>
      </w:r>
      <w:r w:rsidRPr="009E064B">
        <w:rPr>
          <w:rFonts w:cs="TimesNewRomanPSMT"/>
          <w:szCs w:val="20"/>
        </w:rPr>
        <w:tab/>
        <w:t>Lokalizacja: Oznakowanie drogi serwisowej na płycie postojowej powinno wyznaczać obszar przeznaczony do użytkowania dla pojazdów naziemnych oraz innego wyposażenia do obsługi statków powietrznych w celu zapewnienia bezpiecznej separacji od statków powietrznych.</w:t>
      </w:r>
    </w:p>
    <w:p w14:paraId="5D381D0C" w14:textId="77777777" w:rsidR="00C36D76" w:rsidRPr="009E064B" w:rsidRDefault="00C36D76" w:rsidP="00B06A9A">
      <w:pPr>
        <w:tabs>
          <w:tab w:val="left" w:pos="567"/>
        </w:tabs>
        <w:autoSpaceDE w:val="0"/>
        <w:autoSpaceDN w:val="0"/>
        <w:adjustRightInd w:val="0"/>
        <w:ind w:left="567" w:hanging="567"/>
        <w:rPr>
          <w:rFonts w:cs="TimesNewRomanPSMT"/>
          <w:szCs w:val="20"/>
        </w:rPr>
      </w:pPr>
      <w:r w:rsidRPr="009E064B">
        <w:rPr>
          <w:rFonts w:cs="TimesNewRomanPSMT"/>
          <w:szCs w:val="20"/>
        </w:rPr>
        <w:t xml:space="preserve">(c) </w:t>
      </w:r>
      <w:r w:rsidRPr="009E064B">
        <w:rPr>
          <w:rFonts w:cs="TimesNewRomanPSMT"/>
          <w:szCs w:val="20"/>
        </w:rPr>
        <w:tab/>
      </w:r>
      <w:r w:rsidRPr="009E064B">
        <w:rPr>
          <w:rFonts w:cs="TimesNewRomanPS-BoldItalicMT"/>
          <w:bCs/>
          <w:iCs/>
          <w:szCs w:val="20"/>
        </w:rPr>
        <w:t>Charakterystyka</w:t>
      </w:r>
      <w:r w:rsidRPr="009E064B">
        <w:rPr>
          <w:rFonts w:cs="TimesNewRomanPSMT"/>
          <w:szCs w:val="20"/>
        </w:rPr>
        <w:t xml:space="preserve">: </w:t>
      </w:r>
    </w:p>
    <w:p w14:paraId="4CBF4454"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 xml:space="preserve">(1) </w:t>
      </w:r>
      <w:r w:rsidRPr="009E064B">
        <w:rPr>
          <w:rFonts w:cs="TimesNewRomanPSMT"/>
          <w:szCs w:val="20"/>
        </w:rPr>
        <w:tab/>
        <w:t>Oznakowanie drogi serwisowej na płycie postojowej powinno być koloru białego.</w:t>
      </w:r>
    </w:p>
    <w:p w14:paraId="60AD24BA"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 xml:space="preserve">(2) </w:t>
      </w:r>
      <w:r w:rsidRPr="009E064B">
        <w:rPr>
          <w:rFonts w:cs="TimesNewRomanPSMT"/>
          <w:szCs w:val="20"/>
        </w:rPr>
        <w:tab/>
        <w:t>Oznakowanie drogi serwisowej na płycie postojowej powinno być linią ciągłą na krawędziach, ciągłą lub przerywaną w środku oraz mieć, co najmniej 10 cm szerokości.</w:t>
      </w:r>
    </w:p>
    <w:p w14:paraId="6D66E815"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 xml:space="preserve">(3) </w:t>
      </w:r>
      <w:r w:rsidRPr="009E064B">
        <w:rPr>
          <w:rFonts w:cs="TimesNewRomanPSMT"/>
          <w:szCs w:val="20"/>
        </w:rPr>
        <w:tab/>
        <w:t xml:space="preserve">Gdy droga serwisowa na płycie postojowej przecina drogę kołowania lub drogę kołowania na stanowisko postojowe statku powietrznego, krawędź oznakowania drogi serwisowej na płycie postojowej powinna być przerywana </w:t>
      </w:r>
      <w:r w:rsidRPr="009E064B">
        <w:rPr>
          <w:rFonts w:cs="TimesNewRomanPSMT"/>
          <w:bCs/>
          <w:szCs w:val="20"/>
        </w:rPr>
        <w:t>poprzecznie</w:t>
      </w:r>
      <w:r w:rsidRPr="009E064B">
        <w:rPr>
          <w:rFonts w:cs="TimesNewRomanPSMT"/>
          <w:szCs w:val="20"/>
        </w:rPr>
        <w:t xml:space="preserve"> wzdłuż skrzyżowania. Paski powinny mieć długość 1,0 m, a ich szerokość powinna być równa szerokości ciągłej części oznakowania.</w:t>
      </w:r>
    </w:p>
    <w:p w14:paraId="1FE258C7" w14:textId="77777777" w:rsidR="00C36D76" w:rsidRPr="009E064B" w:rsidRDefault="00C36D76" w:rsidP="00B06A9A">
      <w:pPr>
        <w:tabs>
          <w:tab w:val="left" w:pos="567"/>
        </w:tabs>
        <w:autoSpaceDE w:val="0"/>
        <w:autoSpaceDN w:val="0"/>
        <w:adjustRightInd w:val="0"/>
        <w:spacing w:after="0"/>
        <w:ind w:left="567" w:hanging="567"/>
        <w:rPr>
          <w:rFonts w:cs="TimesNewRomanPSMT"/>
          <w:szCs w:val="20"/>
        </w:rPr>
      </w:pPr>
      <w:r w:rsidRPr="009E064B">
        <w:rPr>
          <w:rFonts w:cs="TimesNewRomanPSMT"/>
          <w:szCs w:val="20"/>
        </w:rPr>
        <w:t xml:space="preserve">(d) </w:t>
      </w:r>
      <w:r w:rsidRPr="009E064B">
        <w:rPr>
          <w:rFonts w:cs="TimesNewRomanPSMT"/>
          <w:szCs w:val="20"/>
        </w:rPr>
        <w:tab/>
        <w:t>Oznakowanie drogi serwisowej na płycie postojowej powinno być przerwane, gdy krzyżuje się ono z innym oznakowaniem na płycie postojowej. Przerwa nie powinna być większa niż 1 m na każdej stronie od krawędzi przedmiotowego oznakowania.</w:t>
      </w:r>
    </w:p>
    <w:p w14:paraId="49749A8A"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9598E94" w14:textId="7EE0C978" w:rsidR="00C73B63" w:rsidRPr="009E064B" w:rsidRDefault="000622CB" w:rsidP="00133B99">
      <w:pPr>
        <w:pStyle w:val="Nagwek6"/>
      </w:pPr>
      <w:bookmarkStart w:id="1428" w:name="_Toc482886885"/>
      <w:bookmarkStart w:id="1429" w:name="_Toc12533163"/>
      <w:r w:rsidRPr="009E064B">
        <w:t xml:space="preserve">GM1 ADR-DSN.L.597     </w:t>
      </w:r>
      <w:r w:rsidR="00C73B63" w:rsidRPr="009E064B">
        <w:t>Oznakowanie dróg serwisowych na płycie postojowej</w:t>
      </w:r>
      <w:bookmarkEnd w:id="1428"/>
      <w:bookmarkEnd w:id="1429"/>
    </w:p>
    <w:p w14:paraId="1FB67ACE" w14:textId="4EDE20FD"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BBF9391" w14:textId="67DCC845" w:rsidR="00C73B63" w:rsidRPr="009E064B" w:rsidRDefault="00C73B63" w:rsidP="00B06A9A">
      <w:pPr>
        <w:tabs>
          <w:tab w:val="left" w:pos="567"/>
        </w:tabs>
        <w:autoSpaceDE w:val="0"/>
        <w:autoSpaceDN w:val="0"/>
        <w:adjustRightInd w:val="0"/>
        <w:ind w:left="567" w:hanging="567"/>
      </w:pPr>
      <w:r w:rsidRPr="009E064B">
        <w:t xml:space="preserve">(a) </w:t>
      </w:r>
      <w:r w:rsidRPr="009E064B">
        <w:tab/>
        <w:t>Termin „droga serwisowa” obejmuje również inne rodzaje dróg, takie jak: droga serwisowa wokół ogrodzenia, które są wykorzystywane w celu zapewnienia dostępu do obsługi lotniska lub zapewnienia jego ochrony, itp. Jednak takie drogi serwisowe nie wchodzą w zakres pojęcia "droga serwisowa na płycie postojowej".</w:t>
      </w:r>
    </w:p>
    <w:p w14:paraId="1F8CE650" w14:textId="6FD8023C" w:rsidR="00C73B63" w:rsidRPr="009E064B" w:rsidRDefault="00C73B63" w:rsidP="00B06A9A">
      <w:pPr>
        <w:tabs>
          <w:tab w:val="left" w:pos="567"/>
        </w:tabs>
        <w:autoSpaceDE w:val="0"/>
        <w:autoSpaceDN w:val="0"/>
        <w:adjustRightInd w:val="0"/>
        <w:ind w:left="567" w:hanging="567"/>
      </w:pPr>
      <w:r w:rsidRPr="009E064B">
        <w:t xml:space="preserve">(b) </w:t>
      </w:r>
      <w:r w:rsidRPr="009E064B">
        <w:tab/>
        <w:t>Gdy droga serwisowa na płycie postojowej przecina drogę kołowania, to oddzielny znak pionowy informujący o miejscu ocz</w:t>
      </w:r>
      <w:r w:rsidR="005E3E07" w:rsidRPr="009E064B">
        <w:t xml:space="preserve">ekiwania na drodze zgodnie z </w:t>
      </w:r>
      <w:hyperlink w:anchor="_CS_ADR-DSN.N.800_" w:history="1">
        <w:r w:rsidR="005E3E07" w:rsidRPr="009E064B">
          <w:rPr>
            <w:rStyle w:val="Hipercze"/>
          </w:rPr>
          <w:t>CS </w:t>
        </w:r>
        <w:r w:rsidRPr="009E064B">
          <w:rPr>
            <w:rStyle w:val="Hipercze"/>
          </w:rPr>
          <w:t>ADR-DSN.N.800</w:t>
        </w:r>
      </w:hyperlink>
      <w:r w:rsidRPr="009E064B">
        <w:t xml:space="preserve">, lub oznakowanie poziome miejsca oczekiwania na drodze zgodnie z </w:t>
      </w:r>
      <w:hyperlink w:anchor="_CS_ADR-DSN.L.600_" w:history="1">
        <w:r w:rsidRPr="009E064B">
          <w:rPr>
            <w:rStyle w:val="Hipercze"/>
          </w:rPr>
          <w:t>CS</w:t>
        </w:r>
        <w:r w:rsidR="005E3E07" w:rsidRPr="009E064B">
          <w:rPr>
            <w:rStyle w:val="Hipercze"/>
          </w:rPr>
          <w:t> ADR</w:t>
        </w:r>
        <w:r w:rsidRPr="009E064B">
          <w:rPr>
            <w:rStyle w:val="Hipercze"/>
          </w:rPr>
          <w:t>-DSN.L.600</w:t>
        </w:r>
      </w:hyperlink>
      <w:r w:rsidRPr="009E064B">
        <w:t>, powinno wskazywać, że pojazdy muszą się zatrzymać.</w:t>
      </w:r>
    </w:p>
    <w:p w14:paraId="7B6C4D39" w14:textId="6503DC10" w:rsidR="00C73B63" w:rsidRPr="009E064B" w:rsidRDefault="00C73B63" w:rsidP="00B06A9A">
      <w:pPr>
        <w:tabs>
          <w:tab w:val="left" w:pos="567"/>
        </w:tabs>
        <w:autoSpaceDE w:val="0"/>
        <w:autoSpaceDN w:val="0"/>
        <w:adjustRightInd w:val="0"/>
        <w:ind w:left="567" w:hanging="567"/>
      </w:pPr>
      <w:r w:rsidRPr="009E064B">
        <w:t>(c)</w:t>
      </w:r>
      <w:r w:rsidRPr="009E064B">
        <w:tab/>
        <w:t>Oznakowanie po</w:t>
      </w:r>
      <w:r w:rsidR="002B4E78" w:rsidRPr="009E064B">
        <w:t xml:space="preserve">ziome znajdujące się na płycie </w:t>
      </w:r>
      <w:r w:rsidRPr="009E064B">
        <w:t xml:space="preserve">postojowej jest opisane w </w:t>
      </w:r>
      <w:hyperlink w:anchor="_CS_ADR-DSN.L.555_" w:history="1">
        <w:r w:rsidRPr="009E064B">
          <w:rPr>
            <w:rStyle w:val="Hipercze"/>
          </w:rPr>
          <w:t>CS ADR-DSN.L.555</w:t>
        </w:r>
      </w:hyperlink>
      <w:r w:rsidRPr="009E064B">
        <w:t xml:space="preserve">, </w:t>
      </w:r>
      <w:r w:rsidR="00356467" w:rsidRPr="009E064B">
        <w:br/>
      </w:r>
      <w:hyperlink w:anchor="_CS_ADR-DSN.L.590_" w:history="1">
        <w:r w:rsidRPr="009E064B">
          <w:rPr>
            <w:rStyle w:val="Hipercze"/>
          </w:rPr>
          <w:t>CS ADR-DSN.L.590</w:t>
        </w:r>
      </w:hyperlink>
      <w:r w:rsidRPr="009E064B">
        <w:t xml:space="preserve"> oraz w </w:t>
      </w:r>
      <w:hyperlink w:anchor="_CS_ADR-DSN.L.595_" w:history="1">
        <w:r w:rsidRPr="009E064B">
          <w:rPr>
            <w:rStyle w:val="Hipercze"/>
          </w:rPr>
          <w:t>CS ADR-DSN.L.595</w:t>
        </w:r>
      </w:hyperlink>
      <w:r w:rsidRPr="009E064B">
        <w:t>.</w:t>
      </w:r>
    </w:p>
    <w:p w14:paraId="04DB6C76" w14:textId="1177F8CB" w:rsidR="00CD192E" w:rsidRPr="009E064B" w:rsidRDefault="00C73B63" w:rsidP="00B16A36">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6CE9B9D" w14:textId="40A076AA" w:rsidR="00C36D76" w:rsidRPr="009E064B" w:rsidRDefault="000622CB" w:rsidP="000622CB">
      <w:pPr>
        <w:pStyle w:val="Nagwek4"/>
        <w:tabs>
          <w:tab w:val="clear" w:pos="2694"/>
          <w:tab w:val="left" w:pos="2410"/>
        </w:tabs>
        <w:ind w:left="2410" w:hanging="2410"/>
        <w:rPr>
          <w:color w:val="auto"/>
        </w:rPr>
      </w:pPr>
      <w:bookmarkStart w:id="1430" w:name="_CS_ADR-DSN.L.600_"/>
      <w:bookmarkStart w:id="1431" w:name="_Toc482886662"/>
      <w:bookmarkStart w:id="1432" w:name="_Toc12533164"/>
      <w:bookmarkEnd w:id="1430"/>
      <w:r w:rsidRPr="009E064B">
        <w:rPr>
          <w:color w:val="auto"/>
        </w:rPr>
        <w:t xml:space="preserve">CS ADR-DSN.L.600     </w:t>
      </w:r>
      <w:r w:rsidR="00C36D76" w:rsidRPr="009E064B">
        <w:rPr>
          <w:color w:val="auto"/>
        </w:rPr>
        <w:t>Oznakowanie miejsca oczekiwania na drodze ruchu kołowego</w:t>
      </w:r>
      <w:bookmarkEnd w:id="1431"/>
      <w:bookmarkEnd w:id="1432"/>
    </w:p>
    <w:p w14:paraId="6EA5BC70" w14:textId="4B11D156"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F34CC93" w14:textId="2C75BBDE"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 xml:space="preserve">Zastosowanie: </w:t>
      </w:r>
      <w:r w:rsidRPr="009E064B">
        <w:rPr>
          <w:rFonts w:cs="TimesNewRomanPSMT"/>
          <w:szCs w:val="20"/>
        </w:rPr>
        <w:t xml:space="preserve">Oznakowanie miejsca oczekiwania na drodze ruchu kołowego </w:t>
      </w:r>
      <w:r w:rsidRPr="009E064B">
        <w:rPr>
          <w:rFonts w:cs="TimesNewRomanPS-BoldItalicMT"/>
          <w:bCs/>
          <w:iCs/>
          <w:szCs w:val="20"/>
        </w:rPr>
        <w:t>powinno</w:t>
      </w:r>
      <w:r w:rsidRPr="009E064B">
        <w:rPr>
          <w:rFonts w:cs="TimesNewRomanPSMT"/>
          <w:szCs w:val="20"/>
        </w:rPr>
        <w:t xml:space="preserve"> być zapewnione na wszystkich wjazdach lub skrzyżowaniach drogi ruchu kołowego z drogą startową lub z drogą kołowania.</w:t>
      </w:r>
    </w:p>
    <w:p w14:paraId="4798E484"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Lokalizacja:</w:t>
      </w:r>
    </w:p>
    <w:p w14:paraId="4F836FDF"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Oznakowanie miejsca oczekiwania na drodze ruchu kołowego powinno być zlokalizowane w poprzek tej drogi w miejscu oczekiwania przed drogą startową.</w:t>
      </w:r>
    </w:p>
    <w:p w14:paraId="0067A8A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Jeżeli</w:t>
      </w:r>
      <w:r w:rsidRPr="009E064B">
        <w:rPr>
          <w:rFonts w:cs="TimesNewRomanPSMT"/>
          <w:szCs w:val="20"/>
        </w:rPr>
        <w:t xml:space="preserve"> droga ruchu kołowego krzyżuje się z drogą kołowania, oznakowanie miejsca oczekiwania na drodze ruchu kołowego powinno być zlokalizowane w poprzek tej drogi w odpowiedniej odległości, aby zapewnić, że pojazdy zachowują bezpieczny odstęp od pasa drogi kołowania.</w:t>
      </w:r>
    </w:p>
    <w:p w14:paraId="23BD3AE6"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2D89608D"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Oznakowanie</w:t>
      </w:r>
      <w:r w:rsidRPr="009E064B">
        <w:rPr>
          <w:rFonts w:cs="TimesNewRomanPSMT"/>
          <w:szCs w:val="20"/>
        </w:rPr>
        <w:t xml:space="preserve"> miejsca oczekiwania na drodze ruchu kołowego powinno być zgodne z lokalnymi przepisami ruchu drogowego.</w:t>
      </w:r>
    </w:p>
    <w:p w14:paraId="0A49BEAB" w14:textId="77777777" w:rsidR="00C36D76" w:rsidRPr="009E064B" w:rsidRDefault="00C36D76" w:rsidP="00B06A9A">
      <w:pPr>
        <w:tabs>
          <w:tab w:val="left" w:pos="1134"/>
        </w:tabs>
        <w:autoSpaceDE w:val="0"/>
        <w:autoSpaceDN w:val="0"/>
        <w:adjustRightInd w:val="0"/>
        <w:spacing w:after="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w:t>
      </w:r>
      <w:r w:rsidRPr="009E064B">
        <w:rPr>
          <w:rFonts w:cs="TimesNewRomanPSMT"/>
          <w:szCs w:val="20"/>
        </w:rPr>
        <w:t xml:space="preserve"> miejsca oczekiwania na drodze ruchu kołowego na skrzyżowaniu drogi ruchu kołowego z drogą kołowania powinno być zgodne z lokalnymi przepisami ruchu dotyczącymi ustępowania pierwszeństwa przejazdu lub obowiązkowego zatrzymania się.</w:t>
      </w:r>
    </w:p>
    <w:p w14:paraId="0600C536" w14:textId="70110D68" w:rsidR="00B16A36" w:rsidRPr="009E064B" w:rsidRDefault="00C36D76" w:rsidP="00B16A36">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r w:rsidR="00B16A36" w:rsidRPr="009E064B">
        <w:rPr>
          <w:rFonts w:asciiTheme="minorHAnsi" w:hAnsiTheme="minorHAnsi" w:cstheme="minorHAnsi"/>
          <w:i/>
          <w:sz w:val="16"/>
          <w:szCs w:val="16"/>
        </w:rPr>
        <w:t xml:space="preserve">  </w:t>
      </w:r>
    </w:p>
    <w:p w14:paraId="6F3D97DF" w14:textId="4DF1C5C3" w:rsidR="00C73B63" w:rsidRPr="009E064B" w:rsidRDefault="000622CB" w:rsidP="00133B99">
      <w:pPr>
        <w:pStyle w:val="Nagwek6"/>
      </w:pPr>
      <w:bookmarkStart w:id="1433" w:name="_Toc401059018"/>
      <w:bookmarkStart w:id="1434" w:name="_Toc482886886"/>
      <w:bookmarkStart w:id="1435" w:name="_Toc12533165"/>
      <w:bookmarkStart w:id="1436" w:name="_Toc482886663"/>
      <w:r w:rsidRPr="009E064B">
        <w:t xml:space="preserve">M1 ADR-DSN.L.600      </w:t>
      </w:r>
      <w:r w:rsidR="00C73B63" w:rsidRPr="009E064B">
        <w:t>Oznakowanie miejsca oczekiwania na drodze ruchu kołowego</w:t>
      </w:r>
      <w:bookmarkEnd w:id="1433"/>
      <w:bookmarkEnd w:id="1434"/>
      <w:bookmarkEnd w:id="1435"/>
    </w:p>
    <w:p w14:paraId="43C4C975" w14:textId="0FA99245"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7A4BDFC"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Jeżeli droga zapewniająca dostęp do drogi startowej lub drogi kołowania nie posiada nawierzchni sztucznej, zainstalowanie oznakowania może okazać się niemożliwe. W takich przypadkach, znaki </w:t>
      </w:r>
      <w:r w:rsidRPr="009E064B">
        <w:rPr>
          <w:rFonts w:eastAsia="Times New Roman,Italic" w:cs="Times New Roman,Italic"/>
          <w:iCs/>
          <w:szCs w:val="20"/>
        </w:rPr>
        <w:t>pionowe</w:t>
      </w:r>
      <w:r w:rsidRPr="009E064B">
        <w:rPr>
          <w:szCs w:val="20"/>
        </w:rPr>
        <w:t xml:space="preserve"> i/lub światła miejsca oczekiwania na drogach ruchu kołowego powinny być instalowane w połączeniu z odpowiednimi instrukcjami dla kierowców, co do sposobu poruszania się pojazdami.</w:t>
      </w:r>
    </w:p>
    <w:p w14:paraId="66195525"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Jeżeli</w:t>
      </w:r>
      <w:r w:rsidRPr="009E064B">
        <w:rPr>
          <w:szCs w:val="20"/>
        </w:rPr>
        <w:t xml:space="preserve"> istnieje możliwość zainstalowania oznakowania poziomego, powinno ono być zgodne z krajowymi przepisami dotyczącymi znaków pionowych i oznakowania poziomego.</w:t>
      </w:r>
    </w:p>
    <w:p w14:paraId="74E45C28" w14:textId="6DC82A61" w:rsidR="00865881" w:rsidRDefault="00C73B63"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30EB63D" w14:textId="77777777" w:rsidR="00865881" w:rsidRDefault="00865881">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44FBABA1" w14:textId="114AA054" w:rsidR="00C36D76" w:rsidRPr="009E064B" w:rsidRDefault="000622CB" w:rsidP="00B06A9A">
      <w:pPr>
        <w:pStyle w:val="Nagwek4"/>
        <w:rPr>
          <w:color w:val="auto"/>
        </w:rPr>
      </w:pPr>
      <w:bookmarkStart w:id="1437" w:name="_CS_ADR-DSN.L.605_"/>
      <w:bookmarkStart w:id="1438" w:name="_Toc12533166"/>
      <w:bookmarkEnd w:id="1437"/>
      <w:r w:rsidRPr="009E064B">
        <w:rPr>
          <w:color w:val="auto"/>
        </w:rPr>
        <w:t xml:space="preserve">CS ADR-DSN.L.605     </w:t>
      </w:r>
      <w:r w:rsidR="00C36D76" w:rsidRPr="009E064B">
        <w:rPr>
          <w:color w:val="auto"/>
        </w:rPr>
        <w:t>Oznakowanie nakazu</w:t>
      </w:r>
      <w:bookmarkEnd w:id="1436"/>
      <w:bookmarkEnd w:id="1438"/>
    </w:p>
    <w:p w14:paraId="4EB80BA4" w14:textId="62748CF1"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5F41609" w14:textId="73E85C72"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Zastosowanie:</w:t>
      </w:r>
    </w:p>
    <w:p w14:paraId="7FFE02E0" w14:textId="459283E6"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W miejscach, gdzie zgodnie z zapisami </w:t>
      </w:r>
      <w:hyperlink w:anchor="_CS_ADR-DSN.N.780_" w:history="1">
        <w:r w:rsidRPr="009E064B">
          <w:rPr>
            <w:rStyle w:val="Hipercze"/>
            <w:rFonts w:cs="TimesNewRomanPSMT"/>
            <w:szCs w:val="20"/>
          </w:rPr>
          <w:t>CS ADR-DSN.N.780</w:t>
        </w:r>
      </w:hyperlink>
      <w:r w:rsidRPr="009E064B">
        <w:rPr>
          <w:rFonts w:cs="TimesNewRomanPSMT"/>
          <w:szCs w:val="20"/>
        </w:rPr>
        <w:t xml:space="preserve"> pionowy znak nakazu nie jest instalowany, na powierzchni należy umieścić oznakowanie poziome nakazu.</w:t>
      </w:r>
    </w:p>
    <w:p w14:paraId="4EC140A3"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 xml:space="preserve">W przypadku dróg kołowania o szerokości przekraczającej 60 m, lub w celu zapobiegania nieuprawnionym wtargnięciom na drogę startową, pionowy znak nakazu powinien być uzupełniony o oznakowanie </w:t>
      </w:r>
      <w:r w:rsidRPr="009E064B">
        <w:rPr>
          <w:rFonts w:cs="TimesNewRomanPSMT"/>
          <w:szCs w:val="20"/>
        </w:rPr>
        <w:t>poziome</w:t>
      </w:r>
      <w:r w:rsidRPr="009E064B">
        <w:rPr>
          <w:rFonts w:cs="TimesNewRomanPS-ItalicMT"/>
          <w:iCs/>
          <w:szCs w:val="20"/>
        </w:rPr>
        <w:t xml:space="preserve"> nakazu.</w:t>
      </w:r>
    </w:p>
    <w:p w14:paraId="66D99164"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Lokalizacja:</w:t>
      </w:r>
    </w:p>
    <w:p w14:paraId="43ABA3E9"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MT"/>
          <w:szCs w:val="20"/>
        </w:rPr>
        <w:t xml:space="preserve">Oznakowanie nakazu na drogach kołowania, gdzie literą kodu jest A, B, C lub D, powinno być zlokalizowane w poprzek drogi kołowania, rozmieszczone równomiernie w stosunku do linii środkowej </w:t>
      </w:r>
      <w:r w:rsidRPr="009E064B">
        <w:rPr>
          <w:rFonts w:cs="TimesNewRomanPS-ItalicMT"/>
          <w:iCs/>
          <w:szCs w:val="20"/>
        </w:rPr>
        <w:t>drogi</w:t>
      </w:r>
      <w:r w:rsidRPr="009E064B">
        <w:rPr>
          <w:rFonts w:cs="TimesNewRomanPSMT"/>
          <w:szCs w:val="20"/>
        </w:rPr>
        <w:t xml:space="preserve"> kołowania i po stronie oczekiwania oznakowania miejsca oczekiwania przed drogą startową, jak przedstawiono na Rysunku L-9(A). Odległość pomiędzy bliższą krawędzią oznakowania, a oznakowaniem miejsca oczekiwania przed drogą startową lub oznakowaniem linii środkowej drogi kołowania, nie powinna być mniejsza niż 1 m.</w:t>
      </w:r>
    </w:p>
    <w:p w14:paraId="2ABC01C7" w14:textId="5A163683"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w:t>
      </w:r>
      <w:r w:rsidRPr="009E064B">
        <w:rPr>
          <w:rFonts w:cs="TimesNewRomanPSMT"/>
          <w:szCs w:val="20"/>
        </w:rPr>
        <w:t xml:space="preserve"> nakazu na drogach kołowania, gdzie literą kodu jest E lub F powinno być zlokalizowane po obydwu stronach oznakowania linii środkowej drogi kołowania i po stronie oczekiwania oznakowania miejsca oczekiwania przed drogą startową, jak przedstawiono na Rysunku L-9(B). Odległość pomiędzy b</w:t>
      </w:r>
      <w:r w:rsidR="00CD192E" w:rsidRPr="009E064B">
        <w:rPr>
          <w:rFonts w:cs="TimesNewRomanPSMT"/>
          <w:szCs w:val="20"/>
        </w:rPr>
        <w:t>liższą krawędzią oznakowania, a </w:t>
      </w:r>
      <w:r w:rsidRPr="009E064B">
        <w:rPr>
          <w:rFonts w:cs="TimesNewRomanPSMT"/>
          <w:szCs w:val="20"/>
        </w:rPr>
        <w:t>oznakowaniem miejsca oczekiwania przed drogą startową lub oznakowaniem linii środkowej drogi kołowania, nie powinna być mniejsza niż 1 m.</w:t>
      </w:r>
    </w:p>
    <w:p w14:paraId="2232BAC9" w14:textId="77777777" w:rsidR="001C3A3F" w:rsidRPr="009E064B" w:rsidRDefault="001C3A3F" w:rsidP="001C3A3F">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0F348159" w14:textId="77777777" w:rsidR="001C3A3F" w:rsidRPr="009E064B" w:rsidRDefault="001C3A3F" w:rsidP="001C3A3F">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Oznakowanie</w:t>
      </w:r>
      <w:r w:rsidRPr="009E064B">
        <w:rPr>
          <w:rFonts w:cs="TimesNewRomanPSMT"/>
          <w:szCs w:val="20"/>
        </w:rPr>
        <w:t xml:space="preserve"> nakazu powinno składać się z białego napisu na czerwonym tle. Z wyjątkiem oznakowania „NO ENTRY”, napis powinien zawierać informację analogiczną do tej, jaka zawarta jest na pionowym znaku nakazu.</w:t>
      </w:r>
    </w:p>
    <w:p w14:paraId="6C52DC04" w14:textId="77777777" w:rsidR="001C3A3F" w:rsidRPr="009E064B" w:rsidRDefault="001C3A3F" w:rsidP="001C3A3F">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Oznakowanie</w:t>
      </w:r>
      <w:r w:rsidRPr="009E064B">
        <w:rPr>
          <w:rFonts w:cs="TimesNewRomanPSMT"/>
          <w:szCs w:val="20"/>
        </w:rPr>
        <w:t xml:space="preserve"> „NO ENTRY” powinno składać się z białego napisu „NO ENTRY” na czerwonym tle.</w:t>
      </w:r>
    </w:p>
    <w:p w14:paraId="41CF777F" w14:textId="77777777" w:rsidR="001C3A3F" w:rsidRPr="009E064B" w:rsidRDefault="001C3A3F" w:rsidP="001C3A3F">
      <w:pPr>
        <w:tabs>
          <w:tab w:val="left" w:pos="1134"/>
        </w:tabs>
        <w:autoSpaceDE w:val="0"/>
        <w:autoSpaceDN w:val="0"/>
        <w:adjustRightInd w:val="0"/>
        <w:ind w:left="1134" w:hanging="567"/>
        <w:rPr>
          <w:rFonts w:cs="TimesNewRomanPSMT"/>
          <w:szCs w:val="20"/>
        </w:rPr>
      </w:pPr>
      <w:r w:rsidRPr="009E064B">
        <w:rPr>
          <w:rFonts w:cs="Times New Roman"/>
          <w:szCs w:val="20"/>
        </w:rPr>
        <w:t xml:space="preserve">(3) </w:t>
      </w:r>
      <w:r w:rsidRPr="009E064B">
        <w:rPr>
          <w:rFonts w:cs="Times New Roman"/>
          <w:szCs w:val="20"/>
        </w:rPr>
        <w:tab/>
      </w:r>
      <w:r w:rsidRPr="009E064B">
        <w:rPr>
          <w:rFonts w:cs="TimesNewRomanPSMT"/>
          <w:szCs w:val="20"/>
        </w:rPr>
        <w:t xml:space="preserve">W przypadku niewystarczającego kontrastu pomiędzy oznakowaniem a </w:t>
      </w:r>
      <w:r w:rsidRPr="009E064B">
        <w:rPr>
          <w:rFonts w:cs="TimesNewRomanPS-ItalicMT"/>
          <w:iCs/>
          <w:szCs w:val="20"/>
        </w:rPr>
        <w:t>nawierzchnią</w:t>
      </w:r>
      <w:r w:rsidRPr="009E064B">
        <w:rPr>
          <w:rFonts w:cs="TimesNewRomanPSMT"/>
          <w:szCs w:val="20"/>
        </w:rPr>
        <w:t>, oznakowanie poziome nakazu powinno być obwiedzione opaską, najlepiej w kolorze białym lub czarnym.</w:t>
      </w:r>
    </w:p>
    <w:p w14:paraId="4F28084C" w14:textId="77777777" w:rsidR="001C3A3F" w:rsidRPr="00865881" w:rsidRDefault="001C3A3F" w:rsidP="001C3A3F">
      <w:pPr>
        <w:tabs>
          <w:tab w:val="left" w:pos="1134"/>
        </w:tabs>
        <w:autoSpaceDE w:val="0"/>
        <w:autoSpaceDN w:val="0"/>
        <w:adjustRightInd w:val="0"/>
        <w:ind w:left="1134" w:hanging="567"/>
        <w:rPr>
          <w:rFonts w:cs="TimesNewRomanPS-ItalicMT"/>
          <w:iCs/>
          <w:color w:val="000000" w:themeColor="text1"/>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 xml:space="preserve">Wysokość znaku (litery lub cyfry) oznakowania powinna wynosić 4m dla napisów, gdzie literą kodu jest C, D, E lub F, oraz co najmniej 2 m gdzie literą kodu jest A lub B. Napisy </w:t>
      </w:r>
      <w:r w:rsidRPr="00865881">
        <w:rPr>
          <w:rFonts w:cs="TimesNewRomanPS-ItalicMT"/>
          <w:iCs/>
          <w:color w:val="000000" w:themeColor="text1"/>
          <w:szCs w:val="20"/>
        </w:rPr>
        <w:t>powinny mieć kształt i proporcje zgodne z tymi przedstawionymi na Rysunkach L-10A do L-10D.</w:t>
      </w:r>
    </w:p>
    <w:p w14:paraId="4DD31830" w14:textId="77777777" w:rsidR="001C3A3F" w:rsidRPr="00865881" w:rsidRDefault="001C3A3F" w:rsidP="001C3A3F">
      <w:pPr>
        <w:tabs>
          <w:tab w:val="left" w:pos="1134"/>
        </w:tabs>
        <w:autoSpaceDE w:val="0"/>
        <w:autoSpaceDN w:val="0"/>
        <w:adjustRightInd w:val="0"/>
        <w:ind w:left="1134" w:hanging="567"/>
        <w:rPr>
          <w:rFonts w:cs="TimesNewRomanPS-ItalicMT"/>
          <w:iCs/>
          <w:color w:val="000000" w:themeColor="text1"/>
          <w:szCs w:val="20"/>
        </w:rPr>
      </w:pPr>
      <w:r w:rsidRPr="00865881">
        <w:rPr>
          <w:rFonts w:cs="Times New Roman"/>
          <w:color w:val="000000" w:themeColor="text1"/>
          <w:szCs w:val="20"/>
        </w:rPr>
        <w:t xml:space="preserve">(5) </w:t>
      </w:r>
      <w:r w:rsidRPr="00865881">
        <w:rPr>
          <w:rFonts w:cs="Times New Roman"/>
          <w:color w:val="000000" w:themeColor="text1"/>
          <w:szCs w:val="20"/>
        </w:rPr>
        <w:tab/>
      </w:r>
      <w:r w:rsidRPr="00865881">
        <w:rPr>
          <w:rFonts w:cs="TimesNewRomanPS-ItalicMT"/>
          <w:iCs/>
          <w:color w:val="000000" w:themeColor="text1"/>
          <w:szCs w:val="20"/>
        </w:rPr>
        <w:t>Tło oznakowania powinno mieć kształt prostokąta i wychodzić, w poziomie i w pionie, co najmniej na 0.5 m poza granice napisu.</w:t>
      </w:r>
    </w:p>
    <w:p w14:paraId="3653B557" w14:textId="043B98E2" w:rsidR="001C3A3F" w:rsidRPr="00865881" w:rsidRDefault="001C3A3F" w:rsidP="001C3A3F">
      <w:pPr>
        <w:tabs>
          <w:tab w:val="left" w:pos="1134"/>
        </w:tabs>
        <w:autoSpaceDE w:val="0"/>
        <w:autoSpaceDN w:val="0"/>
        <w:adjustRightInd w:val="0"/>
        <w:ind w:left="1134" w:hanging="567"/>
        <w:rPr>
          <w:rFonts w:cs="TimesNewRomanPS-ItalicMT"/>
          <w:iCs/>
          <w:color w:val="000000" w:themeColor="text1"/>
          <w:szCs w:val="20"/>
        </w:rPr>
      </w:pPr>
      <w:r w:rsidRPr="00865881">
        <w:rPr>
          <w:rFonts w:cs="TimesNewRomanPS-ItalicMT"/>
          <w:iCs/>
          <w:color w:val="000000" w:themeColor="text1"/>
          <w:szCs w:val="20"/>
        </w:rPr>
        <w:t>(6)</w:t>
      </w:r>
      <w:r w:rsidRPr="00865881">
        <w:rPr>
          <w:rFonts w:cs="TimesNewRomanPS-ItalicMT"/>
          <w:iCs/>
          <w:color w:val="000000" w:themeColor="text1"/>
          <w:szCs w:val="20"/>
        </w:rPr>
        <w:tab/>
        <w:t xml:space="preserve">Odstępy pomiędzy znakami (litera lub cyfra) </w:t>
      </w:r>
      <w:r w:rsidRPr="00865881">
        <w:rPr>
          <w:rFonts w:cs="TimesNewRomanPSMT"/>
          <w:color w:val="000000" w:themeColor="text1"/>
          <w:szCs w:val="20"/>
        </w:rPr>
        <w:t>oznakowania poziomego nakazu</w:t>
      </w:r>
      <w:r w:rsidRPr="00865881">
        <w:rPr>
          <w:rFonts w:cs="TimesNewRomanPS-ItalicMT"/>
          <w:iCs/>
          <w:color w:val="000000" w:themeColor="text1"/>
          <w:szCs w:val="20"/>
        </w:rPr>
        <w:t xml:space="preserve"> powinny być wyznaczone poprzez wstępne określenie równoważnej wysokości znaku (litera lub cyfra) znaku pionowego, a następnie ustalenie proporcji na podstawie wartości odstępów podanych w Tabeli N-3.</w:t>
      </w:r>
    </w:p>
    <w:p w14:paraId="7D64CCB9" w14:textId="77777777" w:rsidR="001C3A3F" w:rsidRPr="00865881" w:rsidRDefault="001C3A3F" w:rsidP="001C3A3F">
      <w:pPr>
        <w:tabs>
          <w:tab w:val="left" w:pos="1134"/>
        </w:tabs>
        <w:autoSpaceDE w:val="0"/>
        <w:autoSpaceDN w:val="0"/>
        <w:adjustRightInd w:val="0"/>
        <w:ind w:left="1134" w:hanging="567"/>
        <w:rPr>
          <w:rFonts w:cs="TimesNewRomanPS-ItalicMT"/>
          <w:iCs/>
          <w:color w:val="000000" w:themeColor="text1"/>
          <w:szCs w:val="20"/>
        </w:rPr>
      </w:pPr>
    </w:p>
    <w:p w14:paraId="5B0BF46D" w14:textId="112B8543" w:rsidR="00C36D76" w:rsidRPr="009E064B" w:rsidRDefault="00CD192E" w:rsidP="00C126F7">
      <w:pPr>
        <w:tabs>
          <w:tab w:val="left" w:pos="0"/>
        </w:tabs>
        <w:autoSpaceDE w:val="0"/>
        <w:autoSpaceDN w:val="0"/>
        <w:adjustRightInd w:val="0"/>
        <w:jc w:val="right"/>
        <w:rPr>
          <w:rFonts w:cs="TimesNewRomanPSMT"/>
          <w:szCs w:val="20"/>
        </w:rPr>
      </w:pPr>
      <w:r w:rsidRPr="009E064B">
        <w:rPr>
          <w:noProof/>
          <w:lang w:eastAsia="pl-PL"/>
        </w:rPr>
        <w:drawing>
          <wp:inline distT="0" distB="0" distL="0" distR="0" wp14:anchorId="59747293" wp14:editId="280CC2DB">
            <wp:extent cx="5760720" cy="4892459"/>
            <wp:effectExtent l="0" t="0" r="0" b="0"/>
            <wp:docPr id="3801" name="Obraz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60720" cy="4892459"/>
                    </a:xfrm>
                    <a:prstGeom prst="rect">
                      <a:avLst/>
                    </a:prstGeom>
                    <a:noFill/>
                    <a:ln>
                      <a:noFill/>
                    </a:ln>
                  </pic:spPr>
                </pic:pic>
              </a:graphicData>
            </a:graphic>
          </wp:inline>
        </w:drawing>
      </w:r>
    </w:p>
    <w:p w14:paraId="74ACD827" w14:textId="183B7A71" w:rsidR="00C36D76" w:rsidRPr="00865881" w:rsidRDefault="00C36D76" w:rsidP="00CD192E">
      <w:pPr>
        <w:tabs>
          <w:tab w:val="left" w:pos="1134"/>
        </w:tabs>
        <w:autoSpaceDE w:val="0"/>
        <w:autoSpaceDN w:val="0"/>
        <w:adjustRightInd w:val="0"/>
        <w:spacing w:before="120"/>
        <w:ind w:left="1134" w:hanging="567"/>
        <w:jc w:val="center"/>
        <w:rPr>
          <w:rFonts w:cs="TimesNewRomanPSMT"/>
          <w:b/>
          <w:sz w:val="20"/>
          <w:szCs w:val="20"/>
        </w:rPr>
      </w:pPr>
      <w:r w:rsidRPr="00865881">
        <w:rPr>
          <w:rFonts w:cs="TimesNewRomanPSMT"/>
          <w:b/>
          <w:sz w:val="20"/>
          <w:szCs w:val="20"/>
        </w:rPr>
        <w:t>Rysunek L-9.  Oznakowanie poziome nakazu</w:t>
      </w:r>
    </w:p>
    <w:p w14:paraId="3CD4F786" w14:textId="55FB124B" w:rsidR="004C36BC" w:rsidRPr="00865881" w:rsidRDefault="004C36BC" w:rsidP="00B06A9A">
      <w:pPr>
        <w:tabs>
          <w:tab w:val="left" w:pos="1134"/>
        </w:tabs>
        <w:autoSpaceDE w:val="0"/>
        <w:autoSpaceDN w:val="0"/>
        <w:adjustRightInd w:val="0"/>
        <w:ind w:left="1134" w:hanging="567"/>
        <w:jc w:val="center"/>
        <w:rPr>
          <w:rFonts w:cs="TimesNewRomanPSMT"/>
          <w:color w:val="000000" w:themeColor="text1"/>
          <w:szCs w:val="20"/>
        </w:rPr>
      </w:pPr>
    </w:p>
    <w:p w14:paraId="25ED5937" w14:textId="08B021D6" w:rsidR="00C36D76" w:rsidRPr="00865881" w:rsidRDefault="00C36D76" w:rsidP="001C3A3F">
      <w:pPr>
        <w:pStyle w:val="Tekstpodstawowy"/>
        <w:spacing w:before="200" w:after="0"/>
        <w:ind w:left="23" w:hanging="23"/>
        <w:rPr>
          <w:rFonts w:asciiTheme="minorHAnsi" w:hAnsiTheme="minorHAnsi" w:cstheme="minorHAnsi"/>
          <w:i/>
          <w:color w:val="000000" w:themeColor="text1"/>
          <w:sz w:val="16"/>
          <w:szCs w:val="16"/>
        </w:rPr>
      </w:pPr>
      <w:r w:rsidRPr="00865881">
        <w:rPr>
          <w:rFonts w:asciiTheme="minorHAnsi" w:hAnsiTheme="minorHAnsi" w:cstheme="minorHAnsi"/>
          <w:i/>
          <w:color w:val="000000" w:themeColor="text1"/>
          <w:sz w:val="16"/>
          <w:szCs w:val="16"/>
        </w:rPr>
        <w:t>[Wydanie: ADR-DSN/3]</w:t>
      </w:r>
    </w:p>
    <w:p w14:paraId="2B929A9F" w14:textId="6A3E2A15" w:rsidR="001C3A3F" w:rsidRPr="00865881" w:rsidRDefault="00C40ECA" w:rsidP="001C3A3F">
      <w:pPr>
        <w:pStyle w:val="Tekstpodstawowy"/>
        <w:spacing w:after="240"/>
        <w:ind w:left="23" w:hanging="23"/>
        <w:rPr>
          <w:rFonts w:asciiTheme="minorHAnsi" w:hAnsiTheme="minorHAnsi" w:cstheme="minorHAnsi"/>
          <w:i/>
          <w:color w:val="000000" w:themeColor="text1"/>
          <w:sz w:val="16"/>
          <w:szCs w:val="16"/>
        </w:rPr>
      </w:pPr>
      <w:r w:rsidRPr="00865881">
        <w:rPr>
          <w:rFonts w:asciiTheme="minorHAnsi" w:hAnsiTheme="minorHAnsi" w:cstheme="minorHAnsi"/>
          <w:i/>
          <w:color w:val="000000" w:themeColor="text1"/>
          <w:sz w:val="16"/>
          <w:szCs w:val="16"/>
        </w:rPr>
        <w:t>[Wydanie: ADR-DSN/4]</w:t>
      </w:r>
    </w:p>
    <w:p w14:paraId="6DE14B81" w14:textId="77777777" w:rsidR="001C3A3F" w:rsidRPr="00865881" w:rsidRDefault="001C3A3F">
      <w:pPr>
        <w:spacing w:after="0"/>
        <w:jc w:val="left"/>
        <w:rPr>
          <w:rFonts w:asciiTheme="minorHAnsi" w:eastAsia="Times New Roman" w:hAnsiTheme="minorHAnsi" w:cstheme="minorHAnsi"/>
          <w:i/>
          <w:color w:val="000000" w:themeColor="text1"/>
          <w:sz w:val="16"/>
          <w:szCs w:val="16"/>
        </w:rPr>
      </w:pPr>
      <w:r w:rsidRPr="00865881">
        <w:rPr>
          <w:rFonts w:asciiTheme="minorHAnsi" w:hAnsiTheme="minorHAnsi" w:cstheme="minorHAnsi"/>
          <w:i/>
          <w:color w:val="000000" w:themeColor="text1"/>
          <w:sz w:val="16"/>
          <w:szCs w:val="16"/>
        </w:rPr>
        <w:br w:type="page"/>
      </w:r>
    </w:p>
    <w:p w14:paraId="77D7796E" w14:textId="75CE814B" w:rsidR="00C73B63" w:rsidRPr="009E064B" w:rsidRDefault="002B4E78" w:rsidP="00133B99">
      <w:pPr>
        <w:pStyle w:val="Nagwek6"/>
      </w:pPr>
      <w:bookmarkStart w:id="1439" w:name="_Toc401059019"/>
      <w:bookmarkStart w:id="1440" w:name="_Toc482886887"/>
      <w:bookmarkStart w:id="1441" w:name="_Toc12533167"/>
      <w:r w:rsidRPr="009E064B">
        <w:t xml:space="preserve">GM1 ADR-DSN.L.605     </w:t>
      </w:r>
      <w:r w:rsidR="00C73B63" w:rsidRPr="009E064B">
        <w:t>Oznakowanie nakazu</w:t>
      </w:r>
      <w:bookmarkEnd w:id="1439"/>
      <w:bookmarkEnd w:id="1440"/>
      <w:bookmarkEnd w:id="1441"/>
    </w:p>
    <w:p w14:paraId="59197EC5" w14:textId="5E87DC62" w:rsidR="002B4E78" w:rsidRPr="009E064B" w:rsidRDefault="001F74A1" w:rsidP="002B4E78">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05A6746" w14:textId="041F856F" w:rsidR="00C73B63" w:rsidRPr="00865881" w:rsidRDefault="00FE3209" w:rsidP="00EE2E0D">
      <w:pPr>
        <w:tabs>
          <w:tab w:val="left" w:pos="567"/>
        </w:tabs>
        <w:autoSpaceDE w:val="0"/>
        <w:autoSpaceDN w:val="0"/>
        <w:adjustRightInd w:val="0"/>
        <w:ind w:left="567" w:hanging="567"/>
        <w:rPr>
          <w:color w:val="000000" w:themeColor="text1"/>
          <w:szCs w:val="20"/>
        </w:rPr>
      </w:pPr>
      <w:r w:rsidRPr="00865881">
        <w:rPr>
          <w:rFonts w:cs="TimesNewRomanPS-BoldItalicMT"/>
          <w:bCs/>
          <w:iCs/>
          <w:color w:val="000000" w:themeColor="text1"/>
          <w:szCs w:val="20"/>
        </w:rPr>
        <w:t>(a)</w:t>
      </w:r>
      <w:r w:rsidRPr="00865881">
        <w:rPr>
          <w:rFonts w:cs="TimesNewRomanPS-BoldItalicMT"/>
          <w:bCs/>
          <w:iCs/>
          <w:color w:val="000000" w:themeColor="text1"/>
          <w:szCs w:val="20"/>
        </w:rPr>
        <w:tab/>
      </w:r>
      <w:r w:rsidR="00C73B63" w:rsidRPr="00865881">
        <w:rPr>
          <w:rFonts w:cs="TimesNewRomanPS-BoldItalicMT"/>
          <w:bCs/>
          <w:iCs/>
          <w:color w:val="000000" w:themeColor="text1"/>
          <w:szCs w:val="20"/>
        </w:rPr>
        <w:t>Za</w:t>
      </w:r>
      <w:r w:rsidR="00C73B63" w:rsidRPr="00865881">
        <w:rPr>
          <w:color w:val="000000" w:themeColor="text1"/>
          <w:szCs w:val="20"/>
        </w:rPr>
        <w:t xml:space="preserve"> wyjątkiem sytuacji, gdy jest to wymagane ze względów operacyjnych, oznakowanie poziome nakazu nie powinno być umieszczane na drodze startowej.</w:t>
      </w:r>
    </w:p>
    <w:p w14:paraId="2E03D5A0" w14:textId="67B63330" w:rsidR="00FE3209" w:rsidRPr="009E064B" w:rsidRDefault="001B67F8" w:rsidP="00EE2E0D">
      <w:pPr>
        <w:tabs>
          <w:tab w:val="left" w:pos="567"/>
        </w:tabs>
        <w:autoSpaceDE w:val="0"/>
        <w:autoSpaceDN w:val="0"/>
        <w:adjustRightInd w:val="0"/>
        <w:ind w:left="567" w:hanging="567"/>
        <w:rPr>
          <w:szCs w:val="20"/>
        </w:rPr>
      </w:pPr>
      <w:r w:rsidRPr="00865881">
        <w:rPr>
          <w:noProof/>
          <w:color w:val="000000" w:themeColor="text1"/>
          <w:szCs w:val="20"/>
          <w:lang w:eastAsia="pl-PL"/>
        </w:rPr>
        <mc:AlternateContent>
          <mc:Choice Requires="wpg">
            <w:drawing>
              <wp:anchor distT="0" distB="0" distL="114300" distR="114300" simplePos="0" relativeHeight="251687424" behindDoc="0" locked="0" layoutInCell="1" allowOverlap="1" wp14:anchorId="769AC626" wp14:editId="554B77EB">
                <wp:simplePos x="0" y="0"/>
                <wp:positionH relativeFrom="column">
                  <wp:posOffset>81915</wp:posOffset>
                </wp:positionH>
                <wp:positionV relativeFrom="paragraph">
                  <wp:posOffset>857885</wp:posOffset>
                </wp:positionV>
                <wp:extent cx="5760085" cy="2749550"/>
                <wp:effectExtent l="0" t="0" r="0" b="0"/>
                <wp:wrapTopAndBottom/>
                <wp:docPr id="1389" name="Grupa 1389"/>
                <wp:cNvGraphicFramePr/>
                <a:graphic xmlns:a="http://schemas.openxmlformats.org/drawingml/2006/main">
                  <a:graphicData uri="http://schemas.microsoft.com/office/word/2010/wordprocessingGroup">
                    <wpg:wgp>
                      <wpg:cNvGrpSpPr/>
                      <wpg:grpSpPr>
                        <a:xfrm>
                          <a:off x="0" y="0"/>
                          <a:ext cx="5760085" cy="2749550"/>
                          <a:chOff x="0" y="0"/>
                          <a:chExt cx="5760085" cy="2749550"/>
                        </a:xfrm>
                      </wpg:grpSpPr>
                      <pic:pic xmlns:pic="http://schemas.openxmlformats.org/drawingml/2006/picture">
                        <pic:nvPicPr>
                          <pic:cNvPr id="1384" name="Obraz 1384"/>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5760085" cy="2749550"/>
                          </a:xfrm>
                          <a:prstGeom prst="rect">
                            <a:avLst/>
                          </a:prstGeom>
                        </pic:spPr>
                      </pic:pic>
                      <wpg:grpSp>
                        <wpg:cNvPr id="1388" name="Grupa 1388"/>
                        <wpg:cNvGrpSpPr/>
                        <wpg:grpSpPr>
                          <a:xfrm>
                            <a:off x="780082" y="340963"/>
                            <a:ext cx="4774532" cy="1357736"/>
                            <a:chOff x="0" y="0"/>
                            <a:chExt cx="4774532" cy="1357736"/>
                          </a:xfrm>
                        </wpg:grpSpPr>
                        <wps:wsp>
                          <wps:cNvPr id="217" name="Pole tekstowe 2"/>
                          <wps:cNvSpPr txBox="1">
                            <a:spLocks noChangeArrowheads="1"/>
                          </wps:cNvSpPr>
                          <wps:spPr bwMode="auto">
                            <a:xfrm>
                              <a:off x="0" y="0"/>
                              <a:ext cx="702590" cy="263471"/>
                            </a:xfrm>
                            <a:prstGeom prst="rect">
                              <a:avLst/>
                            </a:prstGeom>
                            <a:noFill/>
                            <a:ln w="9525">
                              <a:noFill/>
                              <a:miter lim="800000"/>
                              <a:headEnd/>
                              <a:tailEnd/>
                            </a:ln>
                          </wps:spPr>
                          <wps:txbx>
                            <w:txbxContent>
                              <w:p w14:paraId="786041D0" w14:textId="3A593094" w:rsidR="003832F2" w:rsidRPr="001E00A5" w:rsidRDefault="003832F2" w:rsidP="001B67F8">
                                <w:pPr>
                                  <w:spacing w:after="0"/>
                                  <w:jc w:val="center"/>
                                  <w:rPr>
                                    <w:sz w:val="20"/>
                                  </w:rPr>
                                </w:pPr>
                                <w:r w:rsidRPr="001E00A5">
                                  <w:rPr>
                                    <w:sz w:val="20"/>
                                  </w:rPr>
                                  <w:t>Oko pilota</w:t>
                                </w:r>
                              </w:p>
                            </w:txbxContent>
                          </wps:txbx>
                          <wps:bodyPr rot="0" vert="horz" wrap="square" lIns="36000" tIns="36000" rIns="36000" bIns="36000" anchor="t" anchorCtr="0">
                            <a:noAutofit/>
                          </wps:bodyPr>
                        </wps:wsp>
                        <wps:wsp>
                          <wps:cNvPr id="1386" name="Pole tekstowe 2"/>
                          <wps:cNvSpPr txBox="1">
                            <a:spLocks noChangeArrowheads="1"/>
                          </wps:cNvSpPr>
                          <wps:spPr bwMode="auto">
                            <a:xfrm>
                              <a:off x="1978616" y="501112"/>
                              <a:ext cx="2318269" cy="439119"/>
                            </a:xfrm>
                            <a:prstGeom prst="rect">
                              <a:avLst/>
                            </a:prstGeom>
                            <a:noFill/>
                            <a:ln w="9525">
                              <a:noFill/>
                              <a:miter lim="800000"/>
                              <a:headEnd/>
                              <a:tailEnd/>
                            </a:ln>
                          </wps:spPr>
                          <wps:txbx>
                            <w:txbxContent>
                              <w:p w14:paraId="3F3D0D2F" w14:textId="692CB240" w:rsidR="003832F2" w:rsidRPr="001E00A5" w:rsidRDefault="003832F2" w:rsidP="001B67F8">
                                <w:pPr>
                                  <w:spacing w:after="0"/>
                                  <w:jc w:val="center"/>
                                  <w:rPr>
                                    <w:sz w:val="20"/>
                                  </w:rPr>
                                </w:pPr>
                                <w:r w:rsidRPr="0002687E">
                                  <w:rPr>
                                    <w:sz w:val="20"/>
                                  </w:rPr>
                                  <w:t xml:space="preserve">Równoważny </w:t>
                                </w:r>
                                <w:r>
                                  <w:rPr>
                                    <w:sz w:val="20"/>
                                  </w:rPr>
                                  <w:t>znak (litera lub cyfra)</w:t>
                                </w:r>
                                <w:r w:rsidRPr="0002687E">
                                  <w:rPr>
                                    <w:sz w:val="20"/>
                                  </w:rPr>
                                  <w:t xml:space="preserve"> stojącego znaku</w:t>
                                </w:r>
                                <w:r>
                                  <w:rPr>
                                    <w:sz w:val="20"/>
                                  </w:rPr>
                                  <w:t xml:space="preserve"> pionowego</w:t>
                                </w:r>
                              </w:p>
                            </w:txbxContent>
                          </wps:txbx>
                          <wps:bodyPr rot="0" vert="horz" wrap="square" lIns="36000" tIns="36000" rIns="36000" bIns="36000" anchor="t" anchorCtr="0">
                            <a:noAutofit/>
                          </wps:bodyPr>
                        </wps:wsp>
                        <wps:wsp>
                          <wps:cNvPr id="1387" name="Pole tekstowe 2"/>
                          <wps:cNvSpPr txBox="1">
                            <a:spLocks noChangeArrowheads="1"/>
                          </wps:cNvSpPr>
                          <wps:spPr bwMode="auto">
                            <a:xfrm>
                              <a:off x="2961230" y="918617"/>
                              <a:ext cx="1813302" cy="439119"/>
                            </a:xfrm>
                            <a:prstGeom prst="rect">
                              <a:avLst/>
                            </a:prstGeom>
                            <a:noFill/>
                            <a:ln w="9525">
                              <a:noFill/>
                              <a:miter lim="800000"/>
                              <a:headEnd/>
                              <a:tailEnd/>
                            </a:ln>
                          </wps:spPr>
                          <wps:txbx>
                            <w:txbxContent>
                              <w:p w14:paraId="4EBEB5B3" w14:textId="75053775" w:rsidR="003832F2" w:rsidRPr="001E00A5" w:rsidRDefault="003832F2" w:rsidP="001B67F8">
                                <w:pPr>
                                  <w:spacing w:after="0"/>
                                  <w:jc w:val="center"/>
                                  <w:rPr>
                                    <w:sz w:val="20"/>
                                  </w:rPr>
                                </w:pPr>
                                <w:r w:rsidRPr="00A862D1">
                                  <w:rPr>
                                    <w:sz w:val="20"/>
                                  </w:rPr>
                                  <w:t>Znaki (litery i cyfry) na nawierzchni sztucznej</w:t>
                                </w:r>
                              </w:p>
                            </w:txbxContent>
                          </wps:txbx>
                          <wps:bodyPr rot="0" vert="horz" wrap="square" lIns="36000" tIns="36000" rIns="36000" bIns="36000" anchor="t" anchorCtr="0">
                            <a:noAutofit/>
                          </wps:bodyPr>
                        </wps:wsp>
                      </wpg:grp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69AC626" id="Grupa 1389" o:spid="_x0000_s1122" style="position:absolute;left:0;text-align:left;margin-left:6.45pt;margin-top:67.55pt;width:453.55pt;height:216.5pt;z-index:251687424;mso-position-horizontal-relative:text;mso-position-vertical-relative:text" coordsize="57600,274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tpdGEgUnlzemFyZAAAAAWQAwACAAAAFAAAELKQBAACAAAA&#10;FAAAEMaSkQACAAAAAzg1AACSkgACAAAAAzg1AADqHAAHAAAIDAAACKY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4&#10;OjAxOjAyIDEzOjI4OjQ5ADIwMTg6MDE6MDIgMTM6Mjg6NDkAAABLAGkAdABhACAAUgB5AHMAegBh&#10;AHIAZAAAAP/hCx9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CAQECAQECAgICAgICAgMFAwMDAwMGBAQDBQcGBwcHBgcHCAkLCQgICggHBwoN&#10;CgoLDAwMDAcJDg8NDA4LDAwM/9sAQwECAgIDAwMGAwMGDAgHCAwMDAwMDAwMDAwMDAwMDAwMDAwM&#10;DAwMDAwMDAwMDAwMDAwMDAwMDAwMDAwMDAwMDAwM/8AAEQgBuwO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5t/wDBw/8A8ip8Hf8AsdrX/wBJL+v0&#10;M8B/8iVo/wD14w/+gCvzz/4OH/8AkVPg7/2O1r/6SX9foZ4D/wCRK0f/AK8Yf/QBQBf1H/kHz/8A&#10;XN6+JP8AgkH/AMlY/aU/7KbqP/pLYV9t6j/yD5/+ub18Sf8ABIP/AJKx+0p/2U3Uf/SWwoA+5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">
                <v:shape id="Obraz 1384" o:spid="_x0000_s1123" type="#_x0000_t75" style="position:absolute;width:57600;height:2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">
                  <v:imagedata r:id="rId155" o:title=""/>
                  <v:path arrowok="t"/>
                </v:shape>
                <v:group id="Grupa 1388" o:spid="_x0000_s1124" style="position:absolute;left:7800;top:3409;width:47746;height:13577" coordsize="47745,1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dD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DnS8GVb2QEvf4HAAD//wMAUEsBAi0AFAAGAAgAAAAhANvh9svuAAAAhQEAABMAAAAAAAAA&#10;AAAAAAAAAAAAAFtDb250ZW50X1R5cGVzXS54bWxQSwECLQAUAAYACAAAACEAWvQsW78AAAAVAQAA&#10;CwAAAAAAAAAAAAAAAAAfAQAAX3JlbHMvLnJlbHNQSwECLQAUAAYACAAAACEAJxoHQ8YAAADdAAAA&#10;DwAAAAAAAAAAAAAAAAAHAgAAZHJzL2Rvd25yZXYueG1sUEsFBgAAAAADAAMAtwAAAPoCAAAAAA==&#10;">
                  <v:shape id="_x0000_s1125" type="#_x0000_t202" style="position:absolute;width:7025;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" filled="f" stroked="f">
                    <v:textbox inset="1mm,1mm,1mm,1mm">
                      <w:txbxContent>
                        <w:p w14:paraId="786041D0" w14:textId="3A593094" w:rsidR="003832F2" w:rsidRPr="001E00A5" w:rsidRDefault="003832F2" w:rsidP="001B67F8">
                          <w:pPr>
                            <w:spacing w:after="0"/>
                            <w:jc w:val="center"/>
                            <w:rPr>
                              <w:sz w:val="20"/>
                            </w:rPr>
                          </w:pPr>
                          <w:r w:rsidRPr="001E00A5">
                            <w:rPr>
                              <w:sz w:val="20"/>
                            </w:rPr>
                            <w:t>Oko pilota</w:t>
                          </w:r>
                        </w:p>
                      </w:txbxContent>
                    </v:textbox>
                  </v:shape>
                  <v:shape id="_x0000_s1126" type="#_x0000_t202" style="position:absolute;left:19786;top:5011;width:23182;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" filled="f" stroked="f">
                    <v:textbox inset="1mm,1mm,1mm,1mm">
                      <w:txbxContent>
                        <w:p w14:paraId="3F3D0D2F" w14:textId="692CB240" w:rsidR="003832F2" w:rsidRPr="001E00A5" w:rsidRDefault="003832F2" w:rsidP="001B67F8">
                          <w:pPr>
                            <w:spacing w:after="0"/>
                            <w:jc w:val="center"/>
                            <w:rPr>
                              <w:sz w:val="20"/>
                            </w:rPr>
                          </w:pPr>
                          <w:r w:rsidRPr="0002687E">
                            <w:rPr>
                              <w:sz w:val="20"/>
                            </w:rPr>
                            <w:t xml:space="preserve">Równoważny </w:t>
                          </w:r>
                          <w:r>
                            <w:rPr>
                              <w:sz w:val="20"/>
                            </w:rPr>
                            <w:t>znak (litera lub cyfra)</w:t>
                          </w:r>
                          <w:r w:rsidRPr="0002687E">
                            <w:rPr>
                              <w:sz w:val="20"/>
                            </w:rPr>
                            <w:t xml:space="preserve"> stojącego znaku</w:t>
                          </w:r>
                          <w:r>
                            <w:rPr>
                              <w:sz w:val="20"/>
                            </w:rPr>
                            <w:t xml:space="preserve"> pionowego</w:t>
                          </w:r>
                        </w:p>
                      </w:txbxContent>
                    </v:textbox>
                  </v:shape>
                  <v:shape id="_x0000_s1127" type="#_x0000_t202" style="position:absolute;left:29612;top:9186;width:18133;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" filled="f" stroked="f">
                    <v:textbox inset="1mm,1mm,1mm,1mm">
                      <w:txbxContent>
                        <w:p w14:paraId="4EBEB5B3" w14:textId="75053775" w:rsidR="003832F2" w:rsidRPr="001E00A5" w:rsidRDefault="003832F2" w:rsidP="001B67F8">
                          <w:pPr>
                            <w:spacing w:after="0"/>
                            <w:jc w:val="center"/>
                            <w:rPr>
                              <w:sz w:val="20"/>
                            </w:rPr>
                          </w:pPr>
                          <w:r w:rsidRPr="00A862D1">
                            <w:rPr>
                              <w:sz w:val="20"/>
                            </w:rPr>
                            <w:t>Znaki (litery i cyfry) na nawierzchni sztucznej</w:t>
                          </w:r>
                        </w:p>
                      </w:txbxContent>
                    </v:textbox>
                  </v:shape>
                </v:group>
                <w10:wrap type="topAndBottom"/>
              </v:group>
            </w:pict>
          </mc:Fallback>
        </mc:AlternateContent>
      </w:r>
      <w:r w:rsidR="00FE3209" w:rsidRPr="00865881">
        <w:rPr>
          <w:color w:val="000000" w:themeColor="text1"/>
          <w:szCs w:val="20"/>
        </w:rPr>
        <w:t xml:space="preserve">(b) </w:t>
      </w:r>
      <w:r w:rsidR="00FE3209" w:rsidRPr="00865881">
        <w:rPr>
          <w:color w:val="000000" w:themeColor="text1"/>
          <w:szCs w:val="20"/>
        </w:rPr>
        <w:tab/>
        <w:t>Oznakowanie poziome nakazu oraz oznakowanie informacy</w:t>
      </w:r>
      <w:r w:rsidR="00D647C3" w:rsidRPr="00865881">
        <w:rPr>
          <w:color w:val="000000" w:themeColor="text1"/>
          <w:szCs w:val="20"/>
        </w:rPr>
        <w:t xml:space="preserve">jne na nawierzchni </w:t>
      </w:r>
      <w:r w:rsidR="00A862D1" w:rsidRPr="00865881">
        <w:rPr>
          <w:color w:val="000000" w:themeColor="text1"/>
          <w:szCs w:val="20"/>
        </w:rPr>
        <w:t>sztucznej</w:t>
      </w:r>
      <w:r w:rsidR="00D647C3" w:rsidRPr="00865881">
        <w:rPr>
          <w:color w:val="000000" w:themeColor="text1"/>
          <w:szCs w:val="20"/>
        </w:rPr>
        <w:t xml:space="preserve"> powinno być</w:t>
      </w:r>
      <w:r w:rsidR="00FE3209" w:rsidRPr="00865881">
        <w:rPr>
          <w:color w:val="000000" w:themeColor="text1"/>
          <w:szCs w:val="20"/>
        </w:rPr>
        <w:t xml:space="preserve"> wykonane tak, jakby było zacienione (tj. rozciągnięte) względem znaków </w:t>
      </w:r>
      <w:r w:rsidR="001C3A3F" w:rsidRPr="00865881">
        <w:rPr>
          <w:color w:val="000000" w:themeColor="text1"/>
          <w:szCs w:val="20"/>
        </w:rPr>
        <w:t>(liter i </w:t>
      </w:r>
      <w:r w:rsidR="00A862D1" w:rsidRPr="00865881">
        <w:rPr>
          <w:color w:val="000000" w:themeColor="text1"/>
          <w:szCs w:val="20"/>
        </w:rPr>
        <w:t xml:space="preserve">cyfr) </w:t>
      </w:r>
      <w:r w:rsidR="00FE3209" w:rsidRPr="00865881">
        <w:rPr>
          <w:color w:val="000000" w:themeColor="text1"/>
          <w:szCs w:val="20"/>
        </w:rPr>
        <w:t xml:space="preserve">równoważnego </w:t>
      </w:r>
      <w:r w:rsidR="00A862D1" w:rsidRPr="00865881">
        <w:rPr>
          <w:color w:val="000000" w:themeColor="text1"/>
          <w:szCs w:val="20"/>
        </w:rPr>
        <w:t>stojącego</w:t>
      </w:r>
      <w:r w:rsidR="00FE3209" w:rsidRPr="00865881">
        <w:rPr>
          <w:color w:val="000000" w:themeColor="text1"/>
          <w:szCs w:val="20"/>
        </w:rPr>
        <w:t xml:space="preserve"> znaku </w:t>
      </w:r>
      <w:r w:rsidR="00CE4EBA" w:rsidRPr="00865881">
        <w:rPr>
          <w:color w:val="000000" w:themeColor="text1"/>
          <w:szCs w:val="20"/>
        </w:rPr>
        <w:t xml:space="preserve">pionowego </w:t>
      </w:r>
      <w:r w:rsidR="00FE3209" w:rsidRPr="00865881">
        <w:rPr>
          <w:color w:val="000000" w:themeColor="text1"/>
          <w:szCs w:val="20"/>
        </w:rPr>
        <w:t xml:space="preserve">o współczynnik 2,5, jak pokazano na </w:t>
      </w:r>
      <w:r w:rsidR="005446B5" w:rsidRPr="00865881">
        <w:rPr>
          <w:color w:val="000000" w:themeColor="text1"/>
          <w:szCs w:val="20"/>
        </w:rPr>
        <w:t>R</w:t>
      </w:r>
      <w:r w:rsidR="00FE3209" w:rsidRPr="00865881">
        <w:rPr>
          <w:color w:val="000000" w:themeColor="text1"/>
          <w:szCs w:val="20"/>
        </w:rPr>
        <w:t>ysunku GM-L-3. Cie</w:t>
      </w:r>
      <w:r w:rsidR="00CE4EBA" w:rsidRPr="00865881">
        <w:rPr>
          <w:color w:val="000000" w:themeColor="text1"/>
          <w:szCs w:val="20"/>
        </w:rPr>
        <w:t>niowanie</w:t>
      </w:r>
      <w:r w:rsidR="00FE3209" w:rsidRPr="00865881">
        <w:rPr>
          <w:color w:val="000000" w:themeColor="text1"/>
          <w:szCs w:val="20"/>
        </w:rPr>
        <w:t xml:space="preserve"> wpływa tylko na wymiar pionowy.</w:t>
      </w:r>
    </w:p>
    <w:p w14:paraId="2ACD9B60" w14:textId="05C9D744" w:rsidR="001B67F8" w:rsidRPr="00865881" w:rsidRDefault="001B67F8" w:rsidP="001C3A3F">
      <w:pPr>
        <w:widowControl/>
        <w:spacing w:before="360" w:after="240"/>
        <w:jc w:val="center"/>
        <w:textAlignment w:val="top"/>
        <w:rPr>
          <w:rFonts w:asciiTheme="minorHAnsi" w:eastAsia="Times New Roman" w:hAnsiTheme="minorHAnsi" w:cstheme="minorHAnsi"/>
          <w:b/>
          <w:color w:val="000000" w:themeColor="text1"/>
          <w:sz w:val="20"/>
          <w:szCs w:val="24"/>
          <w:lang w:eastAsia="pl-PL"/>
        </w:rPr>
      </w:pPr>
      <w:r w:rsidRPr="00865881">
        <w:rPr>
          <w:rFonts w:asciiTheme="minorHAnsi" w:eastAsia="Times New Roman" w:hAnsiTheme="minorHAnsi" w:cstheme="minorHAnsi"/>
          <w:b/>
          <w:color w:val="000000" w:themeColor="text1"/>
          <w:sz w:val="20"/>
          <w:szCs w:val="24"/>
          <w:lang w:eastAsia="pl-PL"/>
        </w:rPr>
        <w:t>Rysunek GM-L-3.   Ilustracja obliczania odstępów między oznakowaniem nawierzchni sztucznej</w:t>
      </w:r>
    </w:p>
    <w:p w14:paraId="2B53F12B" w14:textId="77777777" w:rsidR="001B67F8" w:rsidRPr="00865881" w:rsidRDefault="001B67F8" w:rsidP="001C3A3F">
      <w:pPr>
        <w:widowControl/>
        <w:spacing w:after="0"/>
        <w:textAlignment w:val="top"/>
        <w:rPr>
          <w:rFonts w:asciiTheme="minorHAnsi" w:eastAsia="Times New Roman" w:hAnsiTheme="minorHAnsi" w:cstheme="minorHAnsi"/>
          <w:color w:val="000000" w:themeColor="text1"/>
          <w:sz w:val="18"/>
          <w:szCs w:val="20"/>
          <w:lang w:eastAsia="pl-PL"/>
        </w:rPr>
      </w:pPr>
    </w:p>
    <w:p w14:paraId="2B8B7701" w14:textId="3F159E4A" w:rsidR="001B67F8" w:rsidRPr="00865881" w:rsidRDefault="001B67F8" w:rsidP="001B67F8">
      <w:pPr>
        <w:tabs>
          <w:tab w:val="left" w:pos="567"/>
        </w:tabs>
        <w:autoSpaceDE w:val="0"/>
        <w:autoSpaceDN w:val="0"/>
        <w:adjustRightInd w:val="0"/>
        <w:ind w:left="567" w:hanging="567"/>
        <w:rPr>
          <w:rFonts w:cs="TimesNewRomanPS-BoldItalicMT"/>
          <w:bCs/>
          <w:iCs/>
          <w:color w:val="000000" w:themeColor="text1"/>
          <w:szCs w:val="20"/>
        </w:rPr>
      </w:pPr>
      <w:r w:rsidRPr="00865881">
        <w:rPr>
          <w:rFonts w:cs="TimesNewRomanPS-BoldItalicMT"/>
          <w:bCs/>
          <w:iCs/>
          <w:color w:val="000000" w:themeColor="text1"/>
          <w:szCs w:val="20"/>
        </w:rPr>
        <w:t xml:space="preserve">(c) </w:t>
      </w:r>
      <w:r w:rsidRPr="00865881">
        <w:rPr>
          <w:rFonts w:cs="TimesNewRomanPS-BoldItalicMT"/>
          <w:bCs/>
          <w:iCs/>
          <w:color w:val="000000" w:themeColor="text1"/>
          <w:szCs w:val="20"/>
        </w:rPr>
        <w:tab/>
        <w:t xml:space="preserve">Poniższy przykład ilustruje, w jaki sposób należy obliczyć odstępy </w:t>
      </w:r>
      <w:r w:rsidR="00BF67E8" w:rsidRPr="00865881">
        <w:rPr>
          <w:rFonts w:cs="TimesNewRomanPS-BoldItalicMT"/>
          <w:bCs/>
          <w:iCs/>
          <w:color w:val="000000" w:themeColor="text1"/>
          <w:szCs w:val="20"/>
        </w:rPr>
        <w:t>dla</w:t>
      </w:r>
      <w:r w:rsidRPr="00865881">
        <w:rPr>
          <w:rFonts w:cs="TimesNewRomanPS-BoldItalicMT"/>
          <w:bCs/>
          <w:iCs/>
          <w:color w:val="000000" w:themeColor="text1"/>
          <w:szCs w:val="20"/>
        </w:rPr>
        <w:t xml:space="preserve"> oznakowania poziomego </w:t>
      </w:r>
      <w:r w:rsidR="00BF67E8" w:rsidRPr="00865881">
        <w:rPr>
          <w:rFonts w:cs="TimesNewRomanPS-BoldItalicMT"/>
          <w:bCs/>
          <w:iCs/>
          <w:color w:val="000000" w:themeColor="text1"/>
          <w:szCs w:val="20"/>
        </w:rPr>
        <w:t xml:space="preserve">na </w:t>
      </w:r>
      <w:r w:rsidRPr="00865881">
        <w:rPr>
          <w:rFonts w:cs="TimesNewRomanPS-BoldItalicMT"/>
          <w:bCs/>
          <w:iCs/>
          <w:color w:val="000000" w:themeColor="text1"/>
          <w:szCs w:val="20"/>
        </w:rPr>
        <w:t>nawierzchni</w:t>
      </w:r>
      <w:r w:rsidR="005F0DA7" w:rsidRPr="00865881">
        <w:rPr>
          <w:rFonts w:cs="TimesNewRomanPS-BoldItalicMT"/>
          <w:bCs/>
          <w:iCs/>
          <w:color w:val="000000" w:themeColor="text1"/>
          <w:szCs w:val="20"/>
        </w:rPr>
        <w:t xml:space="preserve"> sztucznej</w:t>
      </w:r>
      <w:r w:rsidRPr="00865881">
        <w:rPr>
          <w:rFonts w:cs="TimesNewRomanPS-BoldItalicMT"/>
          <w:bCs/>
          <w:iCs/>
          <w:color w:val="000000" w:themeColor="text1"/>
          <w:szCs w:val="20"/>
        </w:rPr>
        <w:t xml:space="preserve">: </w:t>
      </w:r>
    </w:p>
    <w:p w14:paraId="2B397692" w14:textId="77777777" w:rsidR="001C3A3F" w:rsidRPr="00865881" w:rsidRDefault="001B67F8" w:rsidP="001C3A3F">
      <w:pPr>
        <w:tabs>
          <w:tab w:val="left" w:pos="1134"/>
        </w:tabs>
        <w:autoSpaceDE w:val="0"/>
        <w:autoSpaceDN w:val="0"/>
        <w:adjustRightInd w:val="0"/>
        <w:spacing w:after="0"/>
        <w:ind w:left="1134" w:hanging="567"/>
        <w:rPr>
          <w:rFonts w:cs="TimesNewRomanPS-BoldItalicMT"/>
          <w:bCs/>
          <w:iCs/>
          <w:color w:val="000000" w:themeColor="text1"/>
          <w:szCs w:val="20"/>
        </w:rPr>
      </w:pPr>
      <w:r w:rsidRPr="00865881">
        <w:rPr>
          <w:rFonts w:cs="TimesNewRomanPS-BoldItalicMT"/>
          <w:bCs/>
          <w:iCs/>
          <w:color w:val="000000" w:themeColor="text1"/>
          <w:szCs w:val="20"/>
        </w:rPr>
        <w:t xml:space="preserve">(1) </w:t>
      </w:r>
      <w:r w:rsidRPr="00865881">
        <w:rPr>
          <w:rFonts w:cs="TimesNewRomanPS-BoldItalicMT"/>
          <w:bCs/>
          <w:iCs/>
          <w:color w:val="000000" w:themeColor="text1"/>
          <w:szCs w:val="20"/>
        </w:rPr>
        <w:tab/>
        <w:t xml:space="preserve">w przypadku oznacznika drogi startowej "10", który ma mieć wysokość 4 000 mm (Hps), równoważna wysokość </w:t>
      </w:r>
      <w:r w:rsidR="001C3A3F" w:rsidRPr="00865881">
        <w:rPr>
          <w:rFonts w:cs="TimesNewRomanPS-BoldItalicMT"/>
          <w:bCs/>
          <w:iCs/>
          <w:color w:val="000000" w:themeColor="text1"/>
          <w:szCs w:val="20"/>
        </w:rPr>
        <w:t>znaku (litery lub cyfry)</w:t>
      </w:r>
      <w:r w:rsidRPr="00865881">
        <w:rPr>
          <w:rFonts w:cs="TimesNewRomanPS-BoldItalicMT"/>
          <w:bCs/>
          <w:iCs/>
          <w:color w:val="000000" w:themeColor="text1"/>
          <w:szCs w:val="20"/>
        </w:rPr>
        <w:t xml:space="preserve"> znaku pionowego wynosi</w:t>
      </w:r>
      <w:r w:rsidR="001C3A3F" w:rsidRPr="00865881">
        <w:rPr>
          <w:rFonts w:cs="TimesNewRomanPS-BoldItalicMT"/>
          <w:bCs/>
          <w:iCs/>
          <w:color w:val="000000" w:themeColor="text1"/>
          <w:szCs w:val="20"/>
        </w:rPr>
        <w:t>:</w:t>
      </w:r>
    </w:p>
    <w:p w14:paraId="523A1F63" w14:textId="42271ACB" w:rsidR="001B67F8" w:rsidRPr="00865881" w:rsidRDefault="001B67F8" w:rsidP="001C3A3F">
      <w:pPr>
        <w:tabs>
          <w:tab w:val="left" w:pos="1134"/>
        </w:tabs>
        <w:autoSpaceDE w:val="0"/>
        <w:autoSpaceDN w:val="0"/>
        <w:adjustRightInd w:val="0"/>
        <w:ind w:left="1134"/>
        <w:rPr>
          <w:rFonts w:cs="TimesNewRomanPS-BoldItalicMT"/>
          <w:bCs/>
          <w:iCs/>
          <w:color w:val="000000" w:themeColor="text1"/>
          <w:szCs w:val="20"/>
        </w:rPr>
      </w:pPr>
      <w:r w:rsidRPr="00865881">
        <w:rPr>
          <w:rFonts w:cs="TimesNewRomanPS-BoldItalicMT"/>
          <w:bCs/>
          <w:iCs/>
          <w:color w:val="000000" w:themeColor="text1"/>
          <w:szCs w:val="20"/>
        </w:rPr>
        <w:t xml:space="preserve">4 000 / 2,5 = 1 600 mm (Hes); </w:t>
      </w:r>
    </w:p>
    <w:p w14:paraId="0B6397C2" w14:textId="2FEB91B4" w:rsidR="001B67F8" w:rsidRPr="00865881" w:rsidRDefault="001B67F8" w:rsidP="001B67F8">
      <w:pPr>
        <w:tabs>
          <w:tab w:val="left" w:pos="1134"/>
        </w:tabs>
        <w:autoSpaceDE w:val="0"/>
        <w:autoSpaceDN w:val="0"/>
        <w:adjustRightInd w:val="0"/>
        <w:ind w:left="1134" w:hanging="567"/>
        <w:rPr>
          <w:rFonts w:cs="TimesNewRomanPS-BoldItalicMT"/>
          <w:bCs/>
          <w:iCs/>
          <w:color w:val="000000" w:themeColor="text1"/>
          <w:szCs w:val="20"/>
        </w:rPr>
      </w:pPr>
      <w:r w:rsidRPr="00865881">
        <w:rPr>
          <w:rFonts w:cs="TimesNewRomanPS-BoldItalicMT"/>
          <w:bCs/>
          <w:iCs/>
          <w:color w:val="000000" w:themeColor="text1"/>
          <w:szCs w:val="20"/>
        </w:rPr>
        <w:t xml:space="preserve">(2) </w:t>
      </w:r>
      <w:r w:rsidRPr="00865881">
        <w:rPr>
          <w:rFonts w:cs="TimesNewRomanPS-BoldItalicMT"/>
          <w:bCs/>
          <w:iCs/>
          <w:color w:val="000000" w:themeColor="text1"/>
          <w:szCs w:val="20"/>
        </w:rPr>
        <w:tab/>
        <w:t xml:space="preserve">Tabela N-3 (b) wskazuje </w:t>
      </w:r>
      <w:r w:rsidR="005F0DA7" w:rsidRPr="00865881">
        <w:rPr>
          <w:rFonts w:cs="TimesNewRomanPS-BoldItalicMT"/>
          <w:bCs/>
          <w:iCs/>
          <w:color w:val="000000" w:themeColor="text1"/>
          <w:szCs w:val="20"/>
        </w:rPr>
        <w:t>cyfry</w:t>
      </w:r>
      <w:r w:rsidRPr="00865881">
        <w:rPr>
          <w:rFonts w:cs="TimesNewRomanPS-BoldItalicMT"/>
          <w:bCs/>
          <w:iCs/>
          <w:color w:val="000000" w:themeColor="text1"/>
          <w:szCs w:val="20"/>
        </w:rPr>
        <w:t xml:space="preserve"> do kodu liczbowego 1 i z tabeli N-3 (c) kod ten ma wymiar 96 mm, dla wysokości znaku </w:t>
      </w:r>
      <w:r w:rsidR="001C3A3F" w:rsidRPr="00865881">
        <w:rPr>
          <w:rFonts w:cs="TimesNewRomanPS-BoldItalicMT"/>
          <w:bCs/>
          <w:iCs/>
          <w:color w:val="000000" w:themeColor="text1"/>
          <w:szCs w:val="20"/>
        </w:rPr>
        <w:t xml:space="preserve">(litery lub cyfry) </w:t>
      </w:r>
      <w:r w:rsidRPr="00865881">
        <w:rPr>
          <w:rFonts w:cs="TimesNewRomanPS-BoldItalicMT"/>
          <w:bCs/>
          <w:iCs/>
          <w:color w:val="000000" w:themeColor="text1"/>
          <w:szCs w:val="20"/>
        </w:rPr>
        <w:t xml:space="preserve">400 mm; </w:t>
      </w:r>
    </w:p>
    <w:p w14:paraId="4B5C9F1F" w14:textId="77777777" w:rsidR="001C3A3F" w:rsidRPr="00865881" w:rsidRDefault="001B67F8" w:rsidP="001C3A3F">
      <w:pPr>
        <w:tabs>
          <w:tab w:val="left" w:pos="1134"/>
        </w:tabs>
        <w:autoSpaceDE w:val="0"/>
        <w:autoSpaceDN w:val="0"/>
        <w:adjustRightInd w:val="0"/>
        <w:spacing w:after="0"/>
        <w:ind w:left="1134" w:hanging="567"/>
        <w:rPr>
          <w:rFonts w:cs="TimesNewRomanPS-BoldItalicMT"/>
          <w:bCs/>
          <w:iCs/>
          <w:color w:val="000000" w:themeColor="text1"/>
          <w:szCs w:val="20"/>
        </w:rPr>
      </w:pPr>
      <w:r w:rsidRPr="00865881">
        <w:rPr>
          <w:rFonts w:cs="TimesNewRomanPS-BoldItalicMT"/>
          <w:bCs/>
          <w:iCs/>
          <w:color w:val="000000" w:themeColor="text1"/>
          <w:szCs w:val="20"/>
        </w:rPr>
        <w:t xml:space="preserve">(3) </w:t>
      </w:r>
      <w:r w:rsidRPr="00865881">
        <w:rPr>
          <w:rFonts w:cs="TimesNewRomanPS-BoldItalicMT"/>
          <w:bCs/>
          <w:iCs/>
          <w:color w:val="000000" w:themeColor="text1"/>
          <w:szCs w:val="20"/>
        </w:rPr>
        <w:tab/>
        <w:t>odległość oznaczania nawierzchni dla "10" wynosi wtedy</w:t>
      </w:r>
      <w:r w:rsidR="001C3A3F" w:rsidRPr="00865881">
        <w:rPr>
          <w:rFonts w:cs="TimesNewRomanPS-BoldItalicMT"/>
          <w:bCs/>
          <w:iCs/>
          <w:color w:val="000000" w:themeColor="text1"/>
          <w:szCs w:val="20"/>
        </w:rPr>
        <w:t>:</w:t>
      </w:r>
    </w:p>
    <w:p w14:paraId="5B1E8145" w14:textId="2270EA62" w:rsidR="00CE4EBA" w:rsidRPr="00865881" w:rsidRDefault="001B67F8" w:rsidP="001C3A3F">
      <w:pPr>
        <w:tabs>
          <w:tab w:val="left" w:pos="1134"/>
        </w:tabs>
        <w:autoSpaceDE w:val="0"/>
        <w:autoSpaceDN w:val="0"/>
        <w:adjustRightInd w:val="0"/>
        <w:ind w:left="1134"/>
        <w:rPr>
          <w:rFonts w:cs="TimesNewRomanPS-BoldItalicMT"/>
          <w:bCs/>
          <w:iCs/>
          <w:color w:val="000000" w:themeColor="text1"/>
          <w:szCs w:val="20"/>
        </w:rPr>
      </w:pPr>
      <w:r w:rsidRPr="00865881">
        <w:rPr>
          <w:rFonts w:cs="TimesNewRomanPS-BoldItalicMT"/>
          <w:bCs/>
          <w:iCs/>
          <w:color w:val="000000" w:themeColor="text1"/>
          <w:szCs w:val="20"/>
        </w:rPr>
        <w:t>(1 600/400) x 96 = 384 mm.</w:t>
      </w:r>
    </w:p>
    <w:p w14:paraId="0F9D8FB7" w14:textId="1A99506E" w:rsidR="001C3A3F" w:rsidRPr="00865881" w:rsidRDefault="001837A3" w:rsidP="001837A3">
      <w:pPr>
        <w:pStyle w:val="Tekstpodstawowy"/>
        <w:spacing w:before="60"/>
        <w:ind w:hanging="20"/>
        <w:rPr>
          <w:rFonts w:asciiTheme="minorHAnsi" w:hAnsiTheme="minorHAnsi" w:cstheme="minorHAnsi"/>
          <w:i/>
          <w:color w:val="000000" w:themeColor="text1"/>
          <w:sz w:val="16"/>
          <w:szCs w:val="16"/>
        </w:rPr>
      </w:pPr>
      <w:r w:rsidRPr="00865881">
        <w:rPr>
          <w:rFonts w:asciiTheme="minorHAnsi" w:hAnsiTheme="minorHAnsi" w:cstheme="minorHAnsi"/>
          <w:i/>
          <w:color w:val="000000" w:themeColor="text1"/>
          <w:sz w:val="16"/>
          <w:szCs w:val="16"/>
        </w:rPr>
        <w:t>[Wydanie: ADR-DSN/4]</w:t>
      </w:r>
    </w:p>
    <w:p w14:paraId="06AF58C4" w14:textId="0DB0F91D" w:rsidR="00865881" w:rsidRDefault="00865881">
      <w:pPr>
        <w:spacing w:after="0"/>
        <w:jc w:val="left"/>
        <w:rPr>
          <w:rFonts w:asciiTheme="minorHAnsi" w:eastAsia="Times New Roman" w:hAnsiTheme="minorHAnsi" w:cstheme="minorHAnsi"/>
          <w:i/>
          <w:color w:val="000000" w:themeColor="text1"/>
          <w:sz w:val="16"/>
          <w:szCs w:val="16"/>
        </w:rPr>
      </w:pPr>
      <w:r>
        <w:rPr>
          <w:rFonts w:asciiTheme="minorHAnsi" w:eastAsia="Times New Roman" w:hAnsiTheme="minorHAnsi" w:cstheme="minorHAnsi"/>
          <w:i/>
          <w:color w:val="000000" w:themeColor="text1"/>
          <w:sz w:val="16"/>
          <w:szCs w:val="16"/>
        </w:rPr>
        <w:br w:type="page"/>
      </w:r>
    </w:p>
    <w:p w14:paraId="59519192" w14:textId="77777777" w:rsidR="001C3A3F" w:rsidRPr="00865881" w:rsidRDefault="001C3A3F">
      <w:pPr>
        <w:spacing w:after="0"/>
        <w:jc w:val="left"/>
        <w:rPr>
          <w:rFonts w:asciiTheme="minorHAnsi" w:eastAsia="Times New Roman" w:hAnsiTheme="minorHAnsi" w:cstheme="minorHAnsi"/>
          <w:i/>
          <w:color w:val="000000" w:themeColor="text1"/>
          <w:sz w:val="16"/>
          <w:szCs w:val="16"/>
        </w:rPr>
      </w:pPr>
    </w:p>
    <w:p w14:paraId="666DAF27" w14:textId="68D3AF99" w:rsidR="00C36D76" w:rsidRPr="009E064B" w:rsidRDefault="002B4E78" w:rsidP="001B67F8">
      <w:pPr>
        <w:pStyle w:val="Nagwek4"/>
      </w:pPr>
      <w:bookmarkStart w:id="1442" w:name="_Toc482886664"/>
      <w:bookmarkStart w:id="1443" w:name="_Toc12533168"/>
      <w:r w:rsidRPr="009E064B">
        <w:rPr>
          <w:szCs w:val="20"/>
        </w:rPr>
        <w:t>CS A</w:t>
      </w:r>
      <w:r w:rsidRPr="009E064B">
        <w:t xml:space="preserve">DR-DSN.L.610     </w:t>
      </w:r>
      <w:r w:rsidR="00C36D76" w:rsidRPr="009E064B">
        <w:t>Oznakowanie informacyjne</w:t>
      </w:r>
      <w:bookmarkEnd w:id="1442"/>
      <w:bookmarkEnd w:id="1443"/>
    </w:p>
    <w:p w14:paraId="3466208C" w14:textId="6A135188"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8E5508C" w14:textId="517717D0"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 xml:space="preserve">Zastosowanie: </w:t>
      </w:r>
      <w:r w:rsidRPr="009E064B">
        <w:rPr>
          <w:rFonts w:cs="TimesNewRomanPSMT"/>
          <w:szCs w:val="20"/>
        </w:rPr>
        <w:t xml:space="preserve">W miejscu, gdzie nie jest zainstalowany pionowy znak </w:t>
      </w:r>
      <w:r w:rsidRPr="009E064B">
        <w:rPr>
          <w:rFonts w:cs="TimesNewRomanPS-BoldItalicMT"/>
          <w:bCs/>
          <w:iCs/>
          <w:szCs w:val="20"/>
        </w:rPr>
        <w:t>informacyjny</w:t>
      </w:r>
      <w:r w:rsidR="00C126F7" w:rsidRPr="009E064B">
        <w:rPr>
          <w:rFonts w:cs="TimesNewRomanPSMT"/>
          <w:szCs w:val="20"/>
        </w:rPr>
        <w:t xml:space="preserve"> zgodnie </w:t>
      </w:r>
      <w:r w:rsidR="00C126F7" w:rsidRPr="009E064B">
        <w:rPr>
          <w:rFonts w:cs="TimesNewRomanPSMT"/>
          <w:szCs w:val="20"/>
        </w:rPr>
        <w:br/>
        <w:t>z </w:t>
      </w:r>
      <w:hyperlink w:anchor="_CS_ADR-DSN.N.785_" w:history="1">
        <w:r w:rsidRPr="009E064B">
          <w:rPr>
            <w:rStyle w:val="Hipercze"/>
            <w:rFonts w:cs="TimesNewRomanPSMT"/>
            <w:szCs w:val="20"/>
          </w:rPr>
          <w:t>CS ADR-DSN.N.785</w:t>
        </w:r>
      </w:hyperlink>
      <w:r w:rsidRPr="009E064B">
        <w:rPr>
          <w:rFonts w:cs="TimesNewRomanPSMT"/>
          <w:szCs w:val="20"/>
        </w:rPr>
        <w:t>, to na powierzchni należy umieścić oznakowanie informacyjne.</w:t>
      </w:r>
    </w:p>
    <w:p w14:paraId="304FDB7C" w14:textId="77777777" w:rsidR="00C36D76" w:rsidRPr="009E064B" w:rsidRDefault="00C36D76" w:rsidP="00B06A9A">
      <w:pPr>
        <w:tabs>
          <w:tab w:val="left" w:pos="567"/>
        </w:tabs>
        <w:autoSpaceDE w:val="0"/>
        <w:autoSpaceDN w:val="0"/>
        <w:adjustRightInd w:val="0"/>
        <w:ind w:left="567" w:hanging="567"/>
        <w:rPr>
          <w:rFonts w:cs="TimesNewRomanPS-BoldItalicMT"/>
          <w:bCs/>
          <w:iCs/>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Charakterystyki:</w:t>
      </w:r>
    </w:p>
    <w:p w14:paraId="02A3E89C"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Oznakowanie</w:t>
      </w:r>
      <w:r w:rsidRPr="009E064B">
        <w:rPr>
          <w:rFonts w:cs="TimesNewRomanPSMT"/>
          <w:szCs w:val="20"/>
        </w:rPr>
        <w:t xml:space="preserve"> informacyjne powinno składać się z:</w:t>
      </w:r>
    </w:p>
    <w:p w14:paraId="651F63DD" w14:textId="77777777" w:rsidR="00C36D76" w:rsidRPr="009E064B" w:rsidRDefault="00C36D76" w:rsidP="00B06A9A">
      <w:pPr>
        <w:tabs>
          <w:tab w:val="left" w:pos="1701"/>
        </w:tabs>
        <w:autoSpaceDE w:val="0"/>
        <w:autoSpaceDN w:val="0"/>
        <w:adjustRightInd w:val="0"/>
        <w:ind w:left="1701" w:hanging="567"/>
        <w:rPr>
          <w:szCs w:val="20"/>
        </w:rPr>
      </w:pPr>
      <w:r w:rsidRPr="009E064B">
        <w:rPr>
          <w:rFonts w:cs="Times New Roman"/>
          <w:szCs w:val="20"/>
        </w:rPr>
        <w:t xml:space="preserve">(i) </w:t>
      </w:r>
      <w:r w:rsidRPr="009E064B">
        <w:rPr>
          <w:rFonts w:cs="Times New Roman"/>
          <w:szCs w:val="20"/>
        </w:rPr>
        <w:tab/>
      </w:r>
      <w:r w:rsidRPr="009E064B">
        <w:rPr>
          <w:rFonts w:cs="TimesNewRomanPSMT"/>
          <w:szCs w:val="20"/>
        </w:rPr>
        <w:t>napisu w kolorze żółtym na czarnym tle, gdy oznakowanie to zastępuje lub uzupełnia pionowy znak lokalizacji; oraz</w:t>
      </w:r>
    </w:p>
    <w:p w14:paraId="0047022A" w14:textId="77777777" w:rsidR="00C36D76" w:rsidRPr="009E064B" w:rsidRDefault="00C36D76" w:rsidP="00B06A9A">
      <w:pPr>
        <w:tabs>
          <w:tab w:val="left" w:pos="1701"/>
        </w:tabs>
        <w:autoSpaceDE w:val="0"/>
        <w:autoSpaceDN w:val="0"/>
        <w:adjustRightInd w:val="0"/>
        <w:ind w:left="1701" w:hanging="567"/>
        <w:rPr>
          <w:szCs w:val="20"/>
        </w:rPr>
      </w:pPr>
      <w:r w:rsidRPr="009E064B">
        <w:rPr>
          <w:rFonts w:cs="Times New Roman"/>
          <w:szCs w:val="20"/>
        </w:rPr>
        <w:t xml:space="preserve">(ii) </w:t>
      </w:r>
      <w:r w:rsidRPr="009E064B">
        <w:rPr>
          <w:rFonts w:cs="Times New Roman"/>
          <w:szCs w:val="20"/>
        </w:rPr>
        <w:tab/>
      </w:r>
      <w:r w:rsidRPr="009E064B">
        <w:rPr>
          <w:rFonts w:cs="TimesNewRomanPSMT"/>
          <w:szCs w:val="20"/>
        </w:rPr>
        <w:t xml:space="preserve">napisu w kolorze czarnym na żółtym tle, gdy oznakowanie to zastępuje lub uzupełnia znak kierunku lub </w:t>
      </w:r>
      <w:r w:rsidRPr="009E064B">
        <w:rPr>
          <w:szCs w:val="20"/>
        </w:rPr>
        <w:t>znak wskazujący miejsce przeznaczenia</w:t>
      </w:r>
      <w:r w:rsidRPr="009E064B">
        <w:rPr>
          <w:rFonts w:cs="TimesNewRomanPSMT"/>
          <w:szCs w:val="20"/>
        </w:rPr>
        <w:t>.</w:t>
      </w:r>
    </w:p>
    <w:p w14:paraId="3F2AA674" w14:textId="77777777" w:rsidR="00C36D76" w:rsidRPr="009E064B" w:rsidRDefault="00C36D76" w:rsidP="00B06A9A">
      <w:pPr>
        <w:tabs>
          <w:tab w:val="left" w:pos="1134"/>
        </w:tabs>
        <w:autoSpaceDE w:val="0"/>
        <w:autoSpaceDN w:val="0"/>
        <w:adjustRightInd w:val="0"/>
        <w:ind w:left="1134" w:hanging="567"/>
        <w:rPr>
          <w:rFonts w:cs="TimesNewRomanPSMT"/>
          <w:szCs w:val="20"/>
        </w:rPr>
      </w:pPr>
      <w:r w:rsidRPr="009E064B">
        <w:rPr>
          <w:rFonts w:cs="Times New Roman"/>
          <w:szCs w:val="20"/>
        </w:rPr>
        <w:t xml:space="preserve">(2) </w:t>
      </w:r>
      <w:r w:rsidRPr="009E064B">
        <w:rPr>
          <w:rFonts w:cs="Times New Roman"/>
          <w:szCs w:val="20"/>
        </w:rPr>
        <w:tab/>
      </w:r>
      <w:r w:rsidRPr="009E064B">
        <w:rPr>
          <w:rFonts w:cs="TimesNewRomanPSMT"/>
          <w:szCs w:val="20"/>
        </w:rPr>
        <w:t xml:space="preserve">W </w:t>
      </w:r>
      <w:r w:rsidRPr="009E064B">
        <w:rPr>
          <w:rFonts w:cs="TimesNewRomanPS-ItalicMT"/>
          <w:iCs/>
          <w:szCs w:val="20"/>
        </w:rPr>
        <w:t>przypadku</w:t>
      </w:r>
      <w:r w:rsidRPr="009E064B">
        <w:rPr>
          <w:rFonts w:cs="TimesNewRomanPSMT"/>
          <w:szCs w:val="20"/>
        </w:rPr>
        <w:t xml:space="preserve"> niewystarczającego kontrastu pomiędzy oznakowaniem a nawierzchnią, oznakowanie informacyjne powinno zawierać:</w:t>
      </w:r>
    </w:p>
    <w:p w14:paraId="62407586"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 </w:t>
      </w:r>
      <w:r w:rsidRPr="009E064B">
        <w:rPr>
          <w:rFonts w:cs="Times New Roman"/>
          <w:szCs w:val="20"/>
        </w:rPr>
        <w:tab/>
      </w:r>
      <w:r w:rsidRPr="009E064B">
        <w:rPr>
          <w:rFonts w:cs="TimesNewRomanPSMT"/>
          <w:szCs w:val="20"/>
        </w:rPr>
        <w:t>czarną opaskę dla oznakowania, w którym napisy są koloru czarnego; oraz</w:t>
      </w:r>
    </w:p>
    <w:p w14:paraId="5DE9858C" w14:textId="77777777" w:rsidR="00C36D76" w:rsidRPr="009E064B" w:rsidRDefault="00C36D76" w:rsidP="00B06A9A">
      <w:pPr>
        <w:tabs>
          <w:tab w:val="left" w:pos="1701"/>
        </w:tabs>
        <w:autoSpaceDE w:val="0"/>
        <w:autoSpaceDN w:val="0"/>
        <w:adjustRightInd w:val="0"/>
        <w:ind w:left="1701" w:hanging="567"/>
        <w:rPr>
          <w:rFonts w:cs="TimesNewRomanPSMT"/>
          <w:szCs w:val="20"/>
        </w:rPr>
      </w:pPr>
      <w:r w:rsidRPr="009E064B">
        <w:rPr>
          <w:rFonts w:cs="Times New Roman"/>
          <w:szCs w:val="20"/>
        </w:rPr>
        <w:t xml:space="preserve">(ii) </w:t>
      </w:r>
      <w:r w:rsidRPr="009E064B">
        <w:rPr>
          <w:rFonts w:cs="Times New Roman"/>
          <w:szCs w:val="20"/>
        </w:rPr>
        <w:tab/>
      </w:r>
      <w:r w:rsidRPr="009E064B">
        <w:rPr>
          <w:rFonts w:cs="TimesNewRomanPSMT"/>
          <w:szCs w:val="20"/>
        </w:rPr>
        <w:t>żółtą opaskę dla oznakowania, w którym napisy są koloru żółtego.</w:t>
      </w:r>
    </w:p>
    <w:p w14:paraId="62B52CF7" w14:textId="5347B371" w:rsidR="00C36D76" w:rsidRPr="00865881" w:rsidRDefault="00C36D76" w:rsidP="00B06A9A">
      <w:pPr>
        <w:tabs>
          <w:tab w:val="left" w:pos="1134"/>
        </w:tabs>
        <w:autoSpaceDE w:val="0"/>
        <w:autoSpaceDN w:val="0"/>
        <w:adjustRightInd w:val="0"/>
        <w:ind w:left="1134" w:hanging="567"/>
        <w:rPr>
          <w:rFonts w:cs="TimesNewRomanPSMT"/>
          <w:color w:val="000000" w:themeColor="text1"/>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Wysokość</w:t>
      </w:r>
      <w:r w:rsidRPr="009E064B">
        <w:rPr>
          <w:rFonts w:cs="TimesNewRomanPSMT"/>
          <w:szCs w:val="20"/>
        </w:rPr>
        <w:t xml:space="preserve"> </w:t>
      </w:r>
      <w:r w:rsidR="00A216E4" w:rsidRPr="009E064B">
        <w:rPr>
          <w:rFonts w:cs="TimesNewRomanPSMT"/>
          <w:szCs w:val="20"/>
        </w:rPr>
        <w:t>znaków (</w:t>
      </w:r>
      <w:r w:rsidRPr="009E064B">
        <w:rPr>
          <w:rFonts w:cs="TimesNewRomanPSMT"/>
          <w:szCs w:val="20"/>
        </w:rPr>
        <w:t>liter</w:t>
      </w:r>
      <w:r w:rsidR="00A216E4" w:rsidRPr="009E064B">
        <w:rPr>
          <w:rFonts w:cs="TimesNewRomanPSMT"/>
          <w:szCs w:val="20"/>
        </w:rPr>
        <w:t>a lub</w:t>
      </w:r>
      <w:r w:rsidRPr="009E064B">
        <w:rPr>
          <w:rFonts w:cs="TimesNewRomanPSMT"/>
          <w:szCs w:val="20"/>
        </w:rPr>
        <w:t xml:space="preserve"> cyfr</w:t>
      </w:r>
      <w:r w:rsidR="00A216E4" w:rsidRPr="009E064B">
        <w:rPr>
          <w:rFonts w:cs="TimesNewRomanPSMT"/>
          <w:szCs w:val="20"/>
        </w:rPr>
        <w:t>a)</w:t>
      </w:r>
      <w:r w:rsidRPr="009E064B">
        <w:rPr>
          <w:rFonts w:cs="TimesNewRomanPSMT"/>
          <w:szCs w:val="20"/>
        </w:rPr>
        <w:t xml:space="preserve"> powinna być taka sama jak dla oznakowania </w:t>
      </w:r>
      <w:r w:rsidR="00A216E4" w:rsidRPr="00865881">
        <w:rPr>
          <w:rFonts w:cs="TimesNewRomanPSMT"/>
          <w:color w:val="000000" w:themeColor="text1"/>
          <w:szCs w:val="20"/>
        </w:rPr>
        <w:t xml:space="preserve">poziomego </w:t>
      </w:r>
      <w:r w:rsidRPr="00865881">
        <w:rPr>
          <w:rFonts w:cs="TimesNewRomanPSMT"/>
          <w:color w:val="000000" w:themeColor="text1"/>
          <w:szCs w:val="20"/>
        </w:rPr>
        <w:t>nakazu.</w:t>
      </w:r>
    </w:p>
    <w:p w14:paraId="51D63749" w14:textId="6088FCCE" w:rsidR="000D78F5" w:rsidRPr="00865881" w:rsidRDefault="000D78F5" w:rsidP="00BF67E8">
      <w:pPr>
        <w:tabs>
          <w:tab w:val="left" w:pos="1134"/>
        </w:tabs>
        <w:autoSpaceDE w:val="0"/>
        <w:autoSpaceDN w:val="0"/>
        <w:adjustRightInd w:val="0"/>
        <w:ind w:left="1134" w:hanging="567"/>
        <w:rPr>
          <w:rFonts w:cs="TimesNewRomanPS-ItalicMT"/>
          <w:iCs/>
          <w:color w:val="000000" w:themeColor="text1"/>
          <w:szCs w:val="20"/>
        </w:rPr>
      </w:pPr>
      <w:r w:rsidRPr="00865881">
        <w:rPr>
          <w:rFonts w:cs="TimesNewRomanPS-ItalicMT"/>
          <w:iCs/>
          <w:color w:val="000000" w:themeColor="text1"/>
          <w:szCs w:val="20"/>
        </w:rPr>
        <w:t>(4)</w:t>
      </w:r>
      <w:r w:rsidRPr="00865881">
        <w:rPr>
          <w:rFonts w:cs="TimesNewRomanPS-ItalicMT"/>
          <w:iCs/>
          <w:color w:val="000000" w:themeColor="text1"/>
          <w:szCs w:val="20"/>
        </w:rPr>
        <w:tab/>
        <w:t>Odstępy między znakami (litera</w:t>
      </w:r>
      <w:r w:rsidR="00407E2A" w:rsidRPr="00865881">
        <w:rPr>
          <w:rFonts w:cs="TimesNewRomanPS-ItalicMT"/>
          <w:iCs/>
          <w:color w:val="000000" w:themeColor="text1"/>
          <w:szCs w:val="20"/>
        </w:rPr>
        <w:t xml:space="preserve"> lub</w:t>
      </w:r>
      <w:r w:rsidRPr="00865881">
        <w:rPr>
          <w:rFonts w:cs="TimesNewRomanPS-ItalicMT"/>
          <w:iCs/>
          <w:color w:val="000000" w:themeColor="text1"/>
          <w:szCs w:val="20"/>
        </w:rPr>
        <w:t xml:space="preserve"> cyfra) </w:t>
      </w:r>
      <w:r w:rsidR="00A216E4" w:rsidRPr="00865881">
        <w:rPr>
          <w:rFonts w:cs="TimesNewRomanPS-ItalicMT"/>
          <w:iCs/>
          <w:color w:val="000000" w:themeColor="text1"/>
          <w:szCs w:val="20"/>
        </w:rPr>
        <w:t xml:space="preserve">dla </w:t>
      </w:r>
      <w:r w:rsidRPr="00865881">
        <w:rPr>
          <w:rFonts w:cs="TimesNewRomanPS-ItalicMT"/>
          <w:iCs/>
          <w:color w:val="000000" w:themeColor="text1"/>
          <w:szCs w:val="20"/>
        </w:rPr>
        <w:t xml:space="preserve">oznakowania </w:t>
      </w:r>
      <w:r w:rsidR="00A216E4" w:rsidRPr="00865881">
        <w:rPr>
          <w:rFonts w:cs="TimesNewRomanPS-ItalicMT"/>
          <w:iCs/>
          <w:color w:val="000000" w:themeColor="text1"/>
          <w:szCs w:val="20"/>
        </w:rPr>
        <w:t xml:space="preserve">poziomego </w:t>
      </w:r>
      <w:r w:rsidRPr="00865881">
        <w:rPr>
          <w:rFonts w:cs="TimesNewRomanPS-ItalicMT"/>
          <w:iCs/>
          <w:color w:val="000000" w:themeColor="text1"/>
          <w:szCs w:val="20"/>
        </w:rPr>
        <w:t>informacyjnego powinny być takie, jak podano w Tabeli N-3(c).</w:t>
      </w:r>
    </w:p>
    <w:p w14:paraId="1A87E2FA" w14:textId="54E087D0" w:rsidR="000D78F5" w:rsidRPr="009E064B" w:rsidRDefault="000D78F5" w:rsidP="000D78F5">
      <w:pPr>
        <w:tabs>
          <w:tab w:val="left" w:pos="0"/>
        </w:tabs>
        <w:autoSpaceDE w:val="0"/>
        <w:autoSpaceDN w:val="0"/>
        <w:adjustRightInd w:val="0"/>
        <w:rPr>
          <w:rFonts w:cs="TimesNewRomanPS-ItalicMT"/>
          <w:iCs/>
          <w:szCs w:val="20"/>
        </w:rPr>
      </w:pPr>
      <w:r w:rsidRPr="009E064B">
        <w:rPr>
          <w:iCs/>
          <w:noProof/>
          <w:lang w:eastAsia="pl-PL"/>
        </w:rPr>
        <w:drawing>
          <wp:inline distT="0" distB="0" distL="0" distR="0" wp14:anchorId="44C71CEA" wp14:editId="19BEA27D">
            <wp:extent cx="5760085" cy="7232650"/>
            <wp:effectExtent l="0" t="0" r="0" b="635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0085" cy="7232650"/>
                    </a:xfrm>
                    <a:prstGeom prst="rect">
                      <a:avLst/>
                    </a:prstGeom>
                    <a:noFill/>
                    <a:ln>
                      <a:noFill/>
                    </a:ln>
                  </pic:spPr>
                </pic:pic>
              </a:graphicData>
            </a:graphic>
          </wp:inline>
        </w:drawing>
      </w:r>
    </w:p>
    <w:p w14:paraId="482B8997" w14:textId="77777777" w:rsidR="00C36D76" w:rsidRPr="009E064B" w:rsidRDefault="00C36D76" w:rsidP="00D77074">
      <w:pPr>
        <w:spacing w:after="0"/>
        <w:rPr>
          <w:rFonts w:cs="TimesNewRomanPSMT"/>
          <w:b/>
          <w:szCs w:val="20"/>
        </w:rPr>
      </w:pPr>
    </w:p>
    <w:p w14:paraId="494A3F8B" w14:textId="77777777" w:rsidR="00C36D76" w:rsidRPr="00865881" w:rsidRDefault="00C36D76" w:rsidP="00B06A9A">
      <w:pPr>
        <w:jc w:val="center"/>
        <w:rPr>
          <w:rFonts w:cs="TimesNewRomanPSMT"/>
          <w:b/>
          <w:color w:val="000000" w:themeColor="text1"/>
          <w:sz w:val="20"/>
          <w:szCs w:val="20"/>
        </w:rPr>
      </w:pPr>
      <w:r w:rsidRPr="00865881">
        <w:rPr>
          <w:rFonts w:cs="TimesNewRomanPSMT"/>
          <w:b/>
          <w:color w:val="000000" w:themeColor="text1"/>
          <w:sz w:val="20"/>
          <w:szCs w:val="20"/>
        </w:rPr>
        <w:t xml:space="preserve">Rysunek L-10A.  Kształt i proporcje liter i cyfr używanych do oznakowania </w:t>
      </w:r>
      <w:r w:rsidRPr="00865881">
        <w:rPr>
          <w:rFonts w:cs="TimesNewRomanPSMT"/>
          <w:b/>
          <w:color w:val="000000" w:themeColor="text1"/>
          <w:sz w:val="20"/>
          <w:szCs w:val="20"/>
        </w:rPr>
        <w:br/>
        <w:t xml:space="preserve">                  poziomego nakazu</w:t>
      </w:r>
    </w:p>
    <w:p w14:paraId="4074A198" w14:textId="77777777" w:rsidR="00C36D76" w:rsidRPr="009E064B" w:rsidRDefault="00C36D76" w:rsidP="00B06A9A">
      <w:pPr>
        <w:spacing w:after="200"/>
        <w:jc w:val="left"/>
        <w:rPr>
          <w:rFonts w:cs="TimesNewRomanPSMT"/>
          <w:b/>
          <w:szCs w:val="20"/>
        </w:rPr>
      </w:pPr>
      <w:r w:rsidRPr="009E064B">
        <w:rPr>
          <w:rFonts w:cs="TimesNewRomanPSMT"/>
          <w:b/>
          <w:szCs w:val="20"/>
        </w:rPr>
        <w:br w:type="page"/>
      </w:r>
    </w:p>
    <w:p w14:paraId="556825D9" w14:textId="77777777" w:rsidR="00C36D76" w:rsidRPr="009E064B" w:rsidRDefault="00C36D76" w:rsidP="00B06A9A">
      <w:pPr>
        <w:rPr>
          <w:rFonts w:cs="TimesNewRomanPSMT"/>
          <w:b/>
          <w:szCs w:val="20"/>
        </w:rPr>
      </w:pPr>
    </w:p>
    <w:p w14:paraId="1780E9AD" w14:textId="794714CE" w:rsidR="00C36D76" w:rsidRPr="009E064B" w:rsidRDefault="000D78F5" w:rsidP="00356467">
      <w:pPr>
        <w:spacing w:after="0"/>
        <w:jc w:val="right"/>
        <w:rPr>
          <w:rFonts w:cs="TimesNewRomanPSMT"/>
          <w:b/>
          <w:szCs w:val="20"/>
        </w:rPr>
      </w:pPr>
      <w:r w:rsidRPr="009E064B">
        <w:rPr>
          <w:iCs/>
          <w:noProof/>
          <w:lang w:eastAsia="pl-PL"/>
        </w:rPr>
        <w:drawing>
          <wp:inline distT="0" distB="0" distL="0" distR="0" wp14:anchorId="36F62656" wp14:editId="04914461">
            <wp:extent cx="5760085" cy="7321550"/>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085" cy="7321550"/>
                    </a:xfrm>
                    <a:prstGeom prst="rect">
                      <a:avLst/>
                    </a:prstGeom>
                    <a:noFill/>
                    <a:ln>
                      <a:noFill/>
                    </a:ln>
                  </pic:spPr>
                </pic:pic>
              </a:graphicData>
            </a:graphic>
          </wp:inline>
        </w:drawing>
      </w:r>
    </w:p>
    <w:p w14:paraId="47913E48" w14:textId="77777777" w:rsidR="00C36D76" w:rsidRPr="009E064B" w:rsidRDefault="00C36D76" w:rsidP="00D77074">
      <w:pPr>
        <w:spacing w:after="0"/>
        <w:rPr>
          <w:rFonts w:cs="TimesNewRomanPSMT"/>
          <w:b/>
          <w:szCs w:val="20"/>
        </w:rPr>
      </w:pPr>
    </w:p>
    <w:p w14:paraId="2A0F1EFC" w14:textId="77777777" w:rsidR="00C36D76" w:rsidRPr="00865881" w:rsidRDefault="00C36D76" w:rsidP="00B06A9A">
      <w:pPr>
        <w:jc w:val="center"/>
        <w:rPr>
          <w:rFonts w:cs="TimesNewRomanPSMT"/>
          <w:b/>
          <w:color w:val="000000" w:themeColor="text1"/>
          <w:sz w:val="20"/>
          <w:szCs w:val="20"/>
        </w:rPr>
      </w:pPr>
      <w:r w:rsidRPr="00865881">
        <w:rPr>
          <w:rFonts w:cs="TimesNewRomanPSMT"/>
          <w:b/>
          <w:color w:val="000000" w:themeColor="text1"/>
          <w:sz w:val="20"/>
          <w:szCs w:val="20"/>
        </w:rPr>
        <w:t xml:space="preserve">Rysunek L-10B.  Kształt i proporcje liter i cyfr używanych do oznakowania </w:t>
      </w:r>
      <w:r w:rsidRPr="00865881">
        <w:rPr>
          <w:rFonts w:cs="TimesNewRomanPSMT"/>
          <w:b/>
          <w:color w:val="000000" w:themeColor="text1"/>
          <w:sz w:val="20"/>
          <w:szCs w:val="20"/>
        </w:rPr>
        <w:br/>
        <w:t xml:space="preserve">                     poziomego nakazu</w:t>
      </w:r>
    </w:p>
    <w:p w14:paraId="21246052" w14:textId="77777777" w:rsidR="00C36D76" w:rsidRPr="009E064B" w:rsidRDefault="00C36D76" w:rsidP="00B06A9A">
      <w:pPr>
        <w:spacing w:after="200"/>
        <w:jc w:val="left"/>
        <w:rPr>
          <w:rFonts w:cs="TimesNewRomanPSMT"/>
          <w:b/>
          <w:szCs w:val="20"/>
        </w:rPr>
      </w:pPr>
      <w:r w:rsidRPr="009E064B">
        <w:rPr>
          <w:rFonts w:cs="TimesNewRomanPSMT"/>
          <w:b/>
          <w:szCs w:val="20"/>
        </w:rPr>
        <w:br w:type="page"/>
      </w:r>
    </w:p>
    <w:p w14:paraId="0B8FFB2A" w14:textId="77777777" w:rsidR="00C36D76" w:rsidRPr="009E064B" w:rsidRDefault="00C36D76" w:rsidP="00B06A9A">
      <w:pPr>
        <w:rPr>
          <w:rFonts w:cs="TimesNewRomanPSMT"/>
          <w:b/>
          <w:szCs w:val="20"/>
        </w:rPr>
      </w:pPr>
    </w:p>
    <w:p w14:paraId="2DA337C6" w14:textId="6FEAEFD0" w:rsidR="00C36D76" w:rsidRPr="009E064B" w:rsidRDefault="000D78F5" w:rsidP="00356467">
      <w:pPr>
        <w:jc w:val="right"/>
        <w:rPr>
          <w:rFonts w:cs="TimesNewRomanPSMT"/>
          <w:b/>
          <w:szCs w:val="20"/>
        </w:rPr>
      </w:pPr>
      <w:r w:rsidRPr="009E064B">
        <w:rPr>
          <w:iCs/>
          <w:noProof/>
          <w:lang w:eastAsia="pl-PL"/>
        </w:rPr>
        <w:drawing>
          <wp:inline distT="0" distB="0" distL="0" distR="0" wp14:anchorId="22FEF5B3" wp14:editId="4A15FD78">
            <wp:extent cx="5760085" cy="7346315"/>
            <wp:effectExtent l="0" t="0" r="0" b="698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085" cy="7346315"/>
                    </a:xfrm>
                    <a:prstGeom prst="rect">
                      <a:avLst/>
                    </a:prstGeom>
                    <a:noFill/>
                    <a:ln>
                      <a:noFill/>
                    </a:ln>
                  </pic:spPr>
                </pic:pic>
              </a:graphicData>
            </a:graphic>
          </wp:inline>
        </w:drawing>
      </w:r>
    </w:p>
    <w:p w14:paraId="699F85A3" w14:textId="26BA1668" w:rsidR="00C36D76" w:rsidRPr="009E064B" w:rsidRDefault="00C36D76" w:rsidP="00D77074">
      <w:pPr>
        <w:spacing w:after="0"/>
        <w:rPr>
          <w:rFonts w:cs="TimesNewRomanPSMT"/>
          <w:b/>
          <w:szCs w:val="20"/>
        </w:rPr>
      </w:pPr>
    </w:p>
    <w:p w14:paraId="27D6AED5" w14:textId="77777777" w:rsidR="00C36D76" w:rsidRPr="00865881" w:rsidRDefault="00C36D76" w:rsidP="00B06A9A">
      <w:pPr>
        <w:jc w:val="center"/>
        <w:rPr>
          <w:rFonts w:cs="TimesNewRomanPSMT"/>
          <w:b/>
          <w:color w:val="000000" w:themeColor="text1"/>
          <w:sz w:val="20"/>
          <w:szCs w:val="20"/>
        </w:rPr>
      </w:pPr>
      <w:r w:rsidRPr="00865881">
        <w:rPr>
          <w:rFonts w:cs="TimesNewRomanPSMT"/>
          <w:b/>
          <w:color w:val="000000" w:themeColor="text1"/>
          <w:sz w:val="20"/>
          <w:szCs w:val="20"/>
        </w:rPr>
        <w:t xml:space="preserve">Rysunek L-10C.  Kształt i proporcje liter i cyfr używanych do oznakowania </w:t>
      </w:r>
      <w:r w:rsidRPr="00865881">
        <w:rPr>
          <w:rFonts w:cs="TimesNewRomanPSMT"/>
          <w:b/>
          <w:color w:val="000000" w:themeColor="text1"/>
          <w:sz w:val="20"/>
          <w:szCs w:val="20"/>
        </w:rPr>
        <w:br/>
        <w:t xml:space="preserve">                     poziomego nakazu</w:t>
      </w:r>
    </w:p>
    <w:p w14:paraId="71FDFB71" w14:textId="77777777" w:rsidR="00C36D76" w:rsidRPr="009E064B" w:rsidRDefault="00C36D76" w:rsidP="00B06A9A">
      <w:pPr>
        <w:spacing w:after="200"/>
        <w:jc w:val="left"/>
        <w:rPr>
          <w:rFonts w:cs="TimesNewRomanPSMT"/>
          <w:b/>
          <w:szCs w:val="20"/>
        </w:rPr>
      </w:pPr>
      <w:r w:rsidRPr="009E064B">
        <w:rPr>
          <w:rFonts w:cs="TimesNewRomanPSMT"/>
          <w:b/>
          <w:szCs w:val="20"/>
        </w:rPr>
        <w:br w:type="page"/>
      </w:r>
    </w:p>
    <w:p w14:paraId="37A404A1" w14:textId="77777777" w:rsidR="00C36D76" w:rsidRPr="009E064B" w:rsidRDefault="00C36D76" w:rsidP="00B06A9A">
      <w:pPr>
        <w:autoSpaceDE w:val="0"/>
        <w:autoSpaceDN w:val="0"/>
        <w:adjustRightInd w:val="0"/>
        <w:rPr>
          <w:rFonts w:cs="TimesNewRomanPSMT"/>
          <w:szCs w:val="20"/>
        </w:rPr>
      </w:pPr>
    </w:p>
    <w:p w14:paraId="2A526197" w14:textId="32DF2595" w:rsidR="00C36D76" w:rsidRPr="009E064B" w:rsidRDefault="000D78F5" w:rsidP="00356467">
      <w:pPr>
        <w:autoSpaceDE w:val="0"/>
        <w:autoSpaceDN w:val="0"/>
        <w:adjustRightInd w:val="0"/>
        <w:spacing w:after="0"/>
        <w:jc w:val="right"/>
        <w:rPr>
          <w:rFonts w:cs="TimesNewRomanPSMT"/>
          <w:b/>
          <w:szCs w:val="20"/>
        </w:rPr>
      </w:pPr>
      <w:r w:rsidRPr="009E064B">
        <w:rPr>
          <w:iCs/>
          <w:noProof/>
          <w:lang w:eastAsia="pl-PL"/>
        </w:rPr>
        <w:drawing>
          <wp:inline distT="0" distB="0" distL="0" distR="0" wp14:anchorId="35B19D05" wp14:editId="5BF9DF71">
            <wp:extent cx="5760085" cy="724408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0085" cy="7244080"/>
                    </a:xfrm>
                    <a:prstGeom prst="rect">
                      <a:avLst/>
                    </a:prstGeom>
                    <a:noFill/>
                    <a:ln>
                      <a:noFill/>
                    </a:ln>
                  </pic:spPr>
                </pic:pic>
              </a:graphicData>
            </a:graphic>
          </wp:inline>
        </w:drawing>
      </w:r>
    </w:p>
    <w:p w14:paraId="3576B42D" w14:textId="77777777" w:rsidR="00C36D76" w:rsidRPr="009E064B" w:rsidRDefault="00C36D76" w:rsidP="00D77074">
      <w:pPr>
        <w:autoSpaceDE w:val="0"/>
        <w:autoSpaceDN w:val="0"/>
        <w:adjustRightInd w:val="0"/>
        <w:spacing w:after="0"/>
        <w:rPr>
          <w:rFonts w:cs="TimesNewRomanPSMT"/>
          <w:szCs w:val="20"/>
        </w:rPr>
      </w:pPr>
    </w:p>
    <w:p w14:paraId="25EADF6B" w14:textId="77777777" w:rsidR="00C36D76" w:rsidRPr="00865881" w:rsidRDefault="00C36D76" w:rsidP="00B06A9A">
      <w:pPr>
        <w:autoSpaceDE w:val="0"/>
        <w:autoSpaceDN w:val="0"/>
        <w:adjustRightInd w:val="0"/>
        <w:jc w:val="center"/>
        <w:rPr>
          <w:rFonts w:cs="TimesNewRomanPSMT"/>
          <w:b/>
          <w:color w:val="000000" w:themeColor="text1"/>
          <w:sz w:val="20"/>
          <w:szCs w:val="20"/>
        </w:rPr>
      </w:pPr>
      <w:r w:rsidRPr="00865881">
        <w:rPr>
          <w:rFonts w:cs="TimesNewRomanPSMT"/>
          <w:b/>
          <w:color w:val="000000" w:themeColor="text1"/>
          <w:sz w:val="20"/>
          <w:szCs w:val="20"/>
        </w:rPr>
        <w:t xml:space="preserve">Rysunek L-10D.  Kształt i proporcje liter i cyfr używanych do oznakowania </w:t>
      </w:r>
      <w:r w:rsidRPr="00865881">
        <w:rPr>
          <w:rFonts w:cs="TimesNewRomanPSMT"/>
          <w:b/>
          <w:color w:val="000000" w:themeColor="text1"/>
          <w:sz w:val="20"/>
          <w:szCs w:val="20"/>
        </w:rPr>
        <w:br/>
        <w:t xml:space="preserve">                  poziomego nakazu</w:t>
      </w:r>
    </w:p>
    <w:p w14:paraId="727C6D9E" w14:textId="7C2C4312" w:rsidR="00C36D76" w:rsidRPr="00466CD1" w:rsidRDefault="00C36D76" w:rsidP="006C24CC">
      <w:pPr>
        <w:spacing w:before="120" w:after="0"/>
        <w:jc w:val="left"/>
        <w:rPr>
          <w:rFonts w:asciiTheme="minorHAnsi" w:hAnsiTheme="minorHAnsi" w:cstheme="minorHAnsi"/>
          <w:i/>
          <w:sz w:val="16"/>
          <w:szCs w:val="16"/>
        </w:rPr>
      </w:pPr>
      <w:r w:rsidRPr="00466CD1">
        <w:rPr>
          <w:rFonts w:asciiTheme="minorHAnsi" w:hAnsiTheme="minorHAnsi" w:cstheme="minorHAnsi"/>
          <w:i/>
          <w:sz w:val="16"/>
          <w:szCs w:val="16"/>
        </w:rPr>
        <w:t>[Wydanie: ADR-DSN/3]</w:t>
      </w:r>
    </w:p>
    <w:p w14:paraId="525C5173" w14:textId="73DC3B74" w:rsidR="00792F46" w:rsidRPr="00466CD1" w:rsidRDefault="00C40ECA" w:rsidP="00DD5973">
      <w:pPr>
        <w:pStyle w:val="Tekstpodstawowy"/>
        <w:ind w:left="23" w:hanging="23"/>
        <w:rPr>
          <w:rFonts w:asciiTheme="minorHAnsi" w:hAnsiTheme="minorHAnsi" w:cstheme="minorHAnsi"/>
          <w:i/>
          <w:sz w:val="16"/>
          <w:szCs w:val="16"/>
        </w:rPr>
      </w:pPr>
      <w:r w:rsidRPr="00466CD1">
        <w:rPr>
          <w:rFonts w:asciiTheme="minorHAnsi" w:hAnsiTheme="minorHAnsi" w:cstheme="minorHAnsi"/>
          <w:i/>
          <w:sz w:val="16"/>
          <w:szCs w:val="16"/>
        </w:rPr>
        <w:t>[Wydanie: ADR-DSN/4]</w:t>
      </w:r>
      <w:r w:rsidR="00DD5973" w:rsidRPr="00466CD1">
        <w:rPr>
          <w:rFonts w:asciiTheme="minorHAnsi" w:hAnsiTheme="minorHAnsi" w:cstheme="minorHAnsi"/>
          <w:i/>
          <w:sz w:val="16"/>
          <w:szCs w:val="16"/>
        </w:rPr>
        <w:t xml:space="preserve"> </w:t>
      </w:r>
    </w:p>
    <w:p w14:paraId="62E1C1C2" w14:textId="1BF05209" w:rsidR="00DD5973" w:rsidRPr="00466CD1" w:rsidRDefault="00DD5973" w:rsidP="00DD5973">
      <w:pPr>
        <w:pStyle w:val="Tekstpodstawowy"/>
        <w:ind w:left="23" w:hanging="23"/>
        <w:rPr>
          <w:rFonts w:asciiTheme="minorHAnsi" w:hAnsiTheme="minorHAnsi" w:cstheme="minorHAnsi"/>
          <w:i/>
          <w:sz w:val="16"/>
          <w:szCs w:val="16"/>
        </w:rPr>
      </w:pPr>
    </w:p>
    <w:p w14:paraId="6D87F2FE" w14:textId="54A354D6" w:rsidR="00DD5973" w:rsidRPr="009E064B" w:rsidRDefault="00DD5973" w:rsidP="00DD5973">
      <w:pPr>
        <w:pStyle w:val="Tekstpodstawowy"/>
      </w:pPr>
    </w:p>
    <w:p w14:paraId="017DF0F4" w14:textId="77777777" w:rsidR="00DD5973" w:rsidRPr="009E064B" w:rsidRDefault="00DD5973" w:rsidP="00133B99">
      <w:pPr>
        <w:pStyle w:val="Nagwek6"/>
      </w:pPr>
      <w:bookmarkStart w:id="1444" w:name="_Toc401059020"/>
      <w:bookmarkStart w:id="1445" w:name="_Toc482886888"/>
      <w:bookmarkStart w:id="1446" w:name="_Toc12533169"/>
      <w:r w:rsidRPr="009E064B">
        <w:t>GM1 ADR-DSN.L.610     Oznakowanie informacyjne</w:t>
      </w:r>
      <w:bookmarkEnd w:id="1444"/>
      <w:bookmarkEnd w:id="1445"/>
      <w:bookmarkEnd w:id="1446"/>
    </w:p>
    <w:p w14:paraId="579165F4" w14:textId="515BB8B9" w:rsidR="00DD5973" w:rsidRPr="009E064B" w:rsidRDefault="001F74A1" w:rsidP="00DD5973">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0012D05" w14:textId="77777777" w:rsidR="00DD5973" w:rsidRPr="009E064B" w:rsidRDefault="00DD5973" w:rsidP="00DD5973">
      <w:pPr>
        <w:tabs>
          <w:tab w:val="left" w:pos="567"/>
        </w:tabs>
        <w:autoSpaceDE w:val="0"/>
        <w:autoSpaceDN w:val="0"/>
        <w:adjustRightInd w:val="0"/>
        <w:ind w:left="567" w:hanging="567"/>
        <w:rPr>
          <w:rFonts w:cs="TimesNewRomanPSMT"/>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Zastosowanie</w:t>
      </w:r>
      <w:r w:rsidRPr="009E064B">
        <w:rPr>
          <w:rFonts w:cs="TimesNewRomanPSMT"/>
          <w:szCs w:val="20"/>
        </w:rPr>
        <w:t>: Jeżeli jest to wymagane ze względów operacyjnych, pionowe znaki informacyjne powinny być uzupełnione oznakowaniem poziomym na nawierzchni sztucznej.</w:t>
      </w:r>
    </w:p>
    <w:p w14:paraId="4828BC8F" w14:textId="77777777" w:rsidR="00DD5973" w:rsidRPr="009E064B" w:rsidRDefault="00DD5973" w:rsidP="00DD5973">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t>Lokalizacja</w:t>
      </w:r>
      <w:r w:rsidRPr="009E064B">
        <w:rPr>
          <w:rFonts w:eastAsia="Times New Roman,Italic" w:cs="Times New Roman,Italic"/>
          <w:iCs/>
          <w:szCs w:val="20"/>
        </w:rPr>
        <w:t>:</w:t>
      </w:r>
    </w:p>
    <w:p w14:paraId="5DD68614" w14:textId="77777777" w:rsidR="00DD5973" w:rsidRPr="009E064B" w:rsidRDefault="00DD5973" w:rsidP="00DD5973">
      <w:pPr>
        <w:tabs>
          <w:tab w:val="left" w:pos="1134"/>
        </w:tabs>
        <w:autoSpaceDE w:val="0"/>
        <w:autoSpaceDN w:val="0"/>
        <w:adjustRightInd w:val="0"/>
        <w:ind w:left="1134" w:hanging="567"/>
        <w:rPr>
          <w:rFonts w:cs="TimesNewRomanPSMT"/>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Oznakowanie informacyjne (lokalizacja/kierunek) powinno być umieszczone przed, jak i za skomplikowanymi skrzyżowaniami dróg kołowania i w miejscach, gdzie z doświadczeń operacyjnych wynika konieczność dodania oznakowania poziomego lokalizacji drogi kołowania, aby pomóc załodze statku powietrznego w nawigacji na ziemi, oraz na powierzchni w regularnych odstępach wzdłuż drogi kołowania o dużej długości.</w:t>
      </w:r>
    </w:p>
    <w:p w14:paraId="09E28396" w14:textId="77777777" w:rsidR="00DD5973" w:rsidRPr="009E064B" w:rsidRDefault="00DD5973" w:rsidP="00DD5973">
      <w:pPr>
        <w:tabs>
          <w:tab w:val="left" w:pos="1134"/>
        </w:tabs>
        <w:autoSpaceDE w:val="0"/>
        <w:autoSpaceDN w:val="0"/>
        <w:adjustRightInd w:val="0"/>
        <w:ind w:left="1134" w:hanging="567"/>
        <w:rPr>
          <w:rFonts w:cs="TimesNewRomanPS-ItalicMT"/>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Oznakowanie informacyjne powinno być rozmieszczone na powierzchni drogi kołowania lub płyty postojowej w miejscach, gdzie jest to konieczne, oraz powinno być zlokalizowane w taki sposób, aby było czytelne z kabiny zbliżającego się statku powietrznego.</w:t>
      </w:r>
    </w:p>
    <w:p w14:paraId="18FA87DC" w14:textId="39AB0936" w:rsidR="00DD5973" w:rsidRPr="009E064B" w:rsidRDefault="00DD5973" w:rsidP="00DD5973">
      <w:pPr>
        <w:pStyle w:val="Tekstpodstawowy"/>
      </w:pPr>
    </w:p>
    <w:p w14:paraId="718D32EF" w14:textId="77777777" w:rsidR="00DD5973" w:rsidRPr="009E064B" w:rsidRDefault="00DD5973" w:rsidP="00DD5973">
      <w:pPr>
        <w:pStyle w:val="Tekstpodstawowy"/>
        <w:ind w:left="23" w:hanging="23"/>
        <w:rPr>
          <w:rFonts w:cs="TimesNewRomanPSMT"/>
          <w:b/>
          <w:szCs w:val="20"/>
        </w:rPr>
      </w:pPr>
    </w:p>
    <w:p w14:paraId="14B8A4B4" w14:textId="77777777" w:rsidR="00C36D76" w:rsidRPr="009E064B" w:rsidRDefault="00C36D76" w:rsidP="00B06A9A">
      <w:pPr>
        <w:rPr>
          <w:rFonts w:cs="TimesNewRomanPSMT"/>
          <w:b/>
          <w:szCs w:val="20"/>
        </w:rPr>
        <w:sectPr w:rsidR="00C36D76" w:rsidRPr="009E064B" w:rsidSect="00AE1280">
          <w:headerReference w:type="default" r:id="rId160"/>
          <w:headerReference w:type="first" r:id="rId161"/>
          <w:pgSz w:w="11906" w:h="16840" w:code="9"/>
          <w:pgMar w:top="1701" w:right="1417" w:bottom="1418" w:left="1418" w:header="567" w:footer="454" w:gutter="0"/>
          <w:cols w:space="708"/>
          <w:titlePg/>
          <w:docGrid w:linePitch="360"/>
        </w:sectPr>
      </w:pPr>
    </w:p>
    <w:p w14:paraId="0A933867" w14:textId="77777777" w:rsidR="00C36D76" w:rsidRPr="009E064B" w:rsidRDefault="00C36D76" w:rsidP="00B06A9A">
      <w:pPr>
        <w:spacing w:after="0"/>
        <w:rPr>
          <w:rFonts w:cs="TimesNewRomanPSMT"/>
          <w:szCs w:val="20"/>
        </w:rPr>
      </w:pPr>
    </w:p>
    <w:p w14:paraId="4CE784EF" w14:textId="44B87626" w:rsidR="00C36D76" w:rsidRPr="009E064B" w:rsidRDefault="00C36D76" w:rsidP="00020EA3">
      <w:pPr>
        <w:pStyle w:val="Nagwek2"/>
      </w:pPr>
      <w:bookmarkStart w:id="1447" w:name="_Toc382725614"/>
      <w:bookmarkStart w:id="1448" w:name="_Toc482886665"/>
      <w:bookmarkStart w:id="1449" w:name="_Toc12533170"/>
      <w:r w:rsidRPr="009E064B">
        <w:t xml:space="preserve">ROZDZIAŁ M </w:t>
      </w:r>
      <w:r w:rsidR="008441EB" w:rsidRPr="009E064B">
        <w:t xml:space="preserve">— </w:t>
      </w:r>
      <w:r w:rsidRPr="009E064B">
        <w:t>POMOCE WZROKOWE DLA NAWIGACJI (ŚWIATŁA)</w:t>
      </w:r>
      <w:bookmarkEnd w:id="1447"/>
      <w:bookmarkEnd w:id="1448"/>
      <w:bookmarkEnd w:id="1449"/>
    </w:p>
    <w:p w14:paraId="68E3A388" w14:textId="77777777" w:rsidR="00C36D76" w:rsidRPr="009E064B" w:rsidRDefault="00C36D76" w:rsidP="00B06A9A">
      <w:pPr>
        <w:rPr>
          <w:rFonts w:cs="TimesNewRomanPSMT"/>
          <w:szCs w:val="20"/>
        </w:rPr>
      </w:pPr>
    </w:p>
    <w:p w14:paraId="4B12821A" w14:textId="62FE101B" w:rsidR="00C36D76" w:rsidRPr="009E064B" w:rsidRDefault="00792F46" w:rsidP="00B06A9A">
      <w:pPr>
        <w:pStyle w:val="Nagwek4"/>
        <w:rPr>
          <w:color w:val="auto"/>
        </w:rPr>
      </w:pPr>
      <w:bookmarkStart w:id="1450" w:name="_CS_ADR-DSN.M.615_"/>
      <w:bookmarkStart w:id="1451" w:name="_Toc482886666"/>
      <w:bookmarkStart w:id="1452" w:name="_Toc12533171"/>
      <w:bookmarkEnd w:id="1450"/>
      <w:r w:rsidRPr="009E064B">
        <w:rPr>
          <w:color w:val="auto"/>
        </w:rPr>
        <w:t xml:space="preserve">CS ADR-DSN.M.615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451"/>
      <w:bookmarkEnd w:id="1452"/>
    </w:p>
    <w:p w14:paraId="06BF5C77" w14:textId="60922F76" w:rsidR="00792F46" w:rsidRPr="009E064B" w:rsidRDefault="001F74A1" w:rsidP="00792F4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015FA56" w14:textId="6CEF70A9" w:rsidR="00C36D76" w:rsidRPr="009E064B" w:rsidRDefault="00C36D76" w:rsidP="00792F46">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rFonts w:cs="TimesNewRomanPS-BoldItalicMT"/>
          <w:bCs/>
          <w:iCs/>
          <w:szCs w:val="20"/>
        </w:rPr>
        <w:t>Nadziemne</w:t>
      </w:r>
      <w:r w:rsidRPr="009E064B">
        <w:rPr>
          <w:szCs w:val="20"/>
        </w:rPr>
        <w:t xml:space="preserve"> światła podejścia:</w:t>
      </w:r>
    </w:p>
    <w:p w14:paraId="06317562"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BoldItalicMT"/>
          <w:bCs/>
          <w:iCs/>
          <w:szCs w:val="20"/>
        </w:rPr>
        <w:t>Nadziemne</w:t>
      </w:r>
      <w:r w:rsidRPr="009E064B">
        <w:rPr>
          <w:szCs w:val="20"/>
        </w:rPr>
        <w:t xml:space="preserve"> światła</w:t>
      </w:r>
      <w:r w:rsidRPr="009E064B">
        <w:rPr>
          <w:rFonts w:cs="TimesNewRomanPS-BoldItalicMT"/>
          <w:bCs/>
          <w:iCs/>
          <w:szCs w:val="20"/>
        </w:rPr>
        <w:t xml:space="preserve"> </w:t>
      </w:r>
      <w:r w:rsidRPr="009E064B">
        <w:rPr>
          <w:szCs w:val="20"/>
        </w:rPr>
        <w:t>podejścia oraz ich konstrukcje wsporcze powinny być łamliwe, z wyjątkiem tej części systemu świateł podejścia leżącej 300 m za progiem:</w:t>
      </w:r>
    </w:p>
    <w:p w14:paraId="3270F6A9" w14:textId="77777777" w:rsidR="00C36D76" w:rsidRPr="009E064B" w:rsidRDefault="00C36D76" w:rsidP="00B06A9A">
      <w:pPr>
        <w:tabs>
          <w:tab w:val="left" w:pos="1701"/>
        </w:tabs>
        <w:autoSpaceDE w:val="0"/>
        <w:autoSpaceDN w:val="0"/>
        <w:adjustRightInd w:val="0"/>
        <w:ind w:left="1701" w:hanging="567"/>
        <w:rPr>
          <w:szCs w:val="20"/>
        </w:rPr>
      </w:pPr>
      <w:r w:rsidRPr="009E064B">
        <w:rPr>
          <w:rFonts w:cs="Times New Roman"/>
          <w:szCs w:val="20"/>
        </w:rPr>
        <w:t xml:space="preserve">(i) </w:t>
      </w:r>
      <w:r w:rsidRPr="009E064B">
        <w:rPr>
          <w:rFonts w:cs="Times New Roman"/>
          <w:szCs w:val="20"/>
        </w:rPr>
        <w:tab/>
      </w:r>
      <w:r w:rsidRPr="009E064B">
        <w:rPr>
          <w:szCs w:val="20"/>
        </w:rPr>
        <w:t xml:space="preserve">której wysokość konstrukcji wsporczej przekracza 12 m, w takim </w:t>
      </w:r>
      <w:r w:rsidRPr="009E064B">
        <w:rPr>
          <w:rFonts w:cs="TimesNewRomanPS-ItalicMT"/>
          <w:iCs/>
          <w:szCs w:val="20"/>
        </w:rPr>
        <w:t>przypadku</w:t>
      </w:r>
      <w:r w:rsidRPr="009E064B">
        <w:rPr>
          <w:szCs w:val="20"/>
        </w:rPr>
        <w:t xml:space="preserve"> wymóg łamliwości dotyczy tylko górnych 12 m; oraz</w:t>
      </w:r>
    </w:p>
    <w:p w14:paraId="32B384DE" w14:textId="77777777" w:rsidR="00C36D76" w:rsidRPr="009E064B" w:rsidRDefault="00C36D76" w:rsidP="00B06A9A">
      <w:pPr>
        <w:tabs>
          <w:tab w:val="left" w:pos="1701"/>
        </w:tabs>
        <w:autoSpaceDE w:val="0"/>
        <w:autoSpaceDN w:val="0"/>
        <w:adjustRightInd w:val="0"/>
        <w:ind w:left="1701" w:hanging="567"/>
        <w:rPr>
          <w:szCs w:val="20"/>
        </w:rPr>
      </w:pPr>
      <w:r w:rsidRPr="009E064B">
        <w:rPr>
          <w:rFonts w:cs="Times New Roman"/>
          <w:szCs w:val="20"/>
        </w:rPr>
        <w:t xml:space="preserve">(ii) </w:t>
      </w:r>
      <w:r w:rsidRPr="009E064B">
        <w:rPr>
          <w:rFonts w:cs="Times New Roman"/>
          <w:szCs w:val="20"/>
        </w:rPr>
        <w:tab/>
      </w:r>
      <w:r w:rsidRPr="009E064B">
        <w:rPr>
          <w:szCs w:val="20"/>
        </w:rPr>
        <w:t>której konstrukcja wsporcza otoczona jest obiektami niełamliwymi, w takim przypadku łamliwa powinna być tylko ta część konstrukcji wsporczej, która wystaje ponad otaczające obiekty niełamliwe.</w:t>
      </w:r>
    </w:p>
    <w:p w14:paraId="2BFCF977"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Jeżeli</w:t>
      </w:r>
      <w:r w:rsidRPr="009E064B">
        <w:rPr>
          <w:szCs w:val="20"/>
        </w:rPr>
        <w:t xml:space="preserve"> oprawa świateł podejścia lub jej konstrukcja wsporcza nie są wystarczająco widoczne, powinny być odpowiednio oznakowane.</w:t>
      </w:r>
    </w:p>
    <w:p w14:paraId="22FB0247"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szCs w:val="20"/>
        </w:rPr>
        <w:tab/>
        <w:t>Światła nadziemne:</w:t>
      </w:r>
    </w:p>
    <w:p w14:paraId="1293328A" w14:textId="77777777" w:rsidR="00C36D76" w:rsidRPr="009E064B" w:rsidRDefault="00C36D76" w:rsidP="00B06A9A">
      <w:pPr>
        <w:pStyle w:val="Akapitzlist"/>
        <w:ind w:left="567"/>
        <w:rPr>
          <w:szCs w:val="20"/>
        </w:rPr>
      </w:pPr>
      <w:r w:rsidRPr="009E064B">
        <w:rPr>
          <w:szCs w:val="20"/>
        </w:rPr>
        <w:t>Światła nadziemne drogi startowej, zabezpieczenia przerwanego startu oraz drogi kołowania powinny być łamliwe. Ich wysokość powinna być na tyle niska, aby zapewniały odpowiedni odstęp od śmigieł i gondoli silników odrzutowego statku powietrznego.</w:t>
      </w:r>
    </w:p>
    <w:p w14:paraId="34069C52"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Światła powierzchniowe (zagłębione w nawierzchni)</w:t>
      </w:r>
    </w:p>
    <w:p w14:paraId="7CA7B480"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t>Elementy oprawy świateł powierzchniowych</w:t>
      </w:r>
      <w:r w:rsidRPr="009E064B">
        <w:rPr>
          <w:szCs w:val="20"/>
        </w:rPr>
        <w:t xml:space="preserve"> drogi startowej, zabezpieczenia </w:t>
      </w:r>
      <w:r w:rsidRPr="009E064B">
        <w:rPr>
          <w:rFonts w:cs="TimesNewRomanPS-ItalicMT"/>
          <w:iCs/>
          <w:szCs w:val="20"/>
        </w:rPr>
        <w:t>przerwanego</w:t>
      </w:r>
      <w:r w:rsidRPr="009E064B">
        <w:rPr>
          <w:szCs w:val="20"/>
        </w:rPr>
        <w:t xml:space="preserve"> startu, dróg kołowania oraz płyt </w:t>
      </w:r>
      <w:r w:rsidRPr="009E064B">
        <w:rPr>
          <w:rFonts w:cs="TimesNewRomanPS-ItalicMT"/>
          <w:iCs/>
          <w:szCs w:val="20"/>
        </w:rPr>
        <w:t xml:space="preserve">postojowych </w:t>
      </w:r>
      <w:r w:rsidRPr="009E064B">
        <w:rPr>
          <w:szCs w:val="20"/>
        </w:rPr>
        <w:t>powinny być zaprojektowane i zainstalowane w taki sposób, aby przenosiły obciążenia wywołane przez koła przemieszczającego się po nich statku powietrznego bez powodowania uszkodzeń zarówno statku powietrznego jak i samych świateł.</w:t>
      </w:r>
    </w:p>
    <w:p w14:paraId="48C493F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(2)</w:t>
      </w:r>
      <w:r w:rsidRPr="009E064B">
        <w:rPr>
          <w:rFonts w:cs="Times New Roman"/>
          <w:szCs w:val="20"/>
        </w:rPr>
        <w:tab/>
      </w:r>
      <w:r w:rsidRPr="009E064B">
        <w:rPr>
          <w:szCs w:val="20"/>
        </w:rPr>
        <w:t xml:space="preserve">Temperatura wytworzona na powierzchni przylegania między światłem </w:t>
      </w:r>
      <w:r w:rsidRPr="009E064B">
        <w:rPr>
          <w:rFonts w:cs="TimesNewRomanPS-ItalicMT"/>
          <w:iCs/>
          <w:szCs w:val="20"/>
        </w:rPr>
        <w:t>zagłębionym</w:t>
      </w:r>
      <w:r w:rsidRPr="009E064B">
        <w:rPr>
          <w:szCs w:val="20"/>
        </w:rPr>
        <w:t xml:space="preserve"> a kołem statku powietrznego, w rezultacie nagrzania poprzez nagrzewanie radiacyjne lub przewodzenie cieplne, nie powinna przekraczać 160° w czasie 10 minut oddziaływania.</w:t>
      </w:r>
    </w:p>
    <w:p w14:paraId="386DB2DD"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rFonts w:cs="TimesNewRomanPS-BoldItalicMT"/>
          <w:bCs/>
          <w:iCs/>
          <w:szCs w:val="20"/>
        </w:rPr>
        <w:t>Intensywność</w:t>
      </w:r>
      <w:r w:rsidRPr="009E064B">
        <w:rPr>
          <w:szCs w:val="20"/>
        </w:rPr>
        <w:t xml:space="preserve"> i kontrola intensywności świateł</w:t>
      </w:r>
    </w:p>
    <w:p w14:paraId="6373A857"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 (1) </w:t>
      </w:r>
      <w:r w:rsidRPr="009E064B">
        <w:rPr>
          <w:rFonts w:cs="Times New Roman"/>
          <w:szCs w:val="20"/>
        </w:rPr>
        <w:tab/>
      </w:r>
      <w:r w:rsidRPr="009E064B">
        <w:rPr>
          <w:rFonts w:cs="TimesNewRomanPS-ItalicMT"/>
          <w:iCs/>
          <w:szCs w:val="20"/>
        </w:rPr>
        <w:t>Intensywność</w:t>
      </w:r>
      <w:r w:rsidRPr="009E064B">
        <w:rPr>
          <w:szCs w:val="20"/>
        </w:rPr>
        <w:t xml:space="preserve"> świateł drogi startowej powinna być wystarczająca dla minimalnych warunków widzialności oraz otaczającego oświetlenia zewnętrznego, przy których będzie wykorzystywana droga startowa oraz powinna odpowiadać najbliższej sekcji systemu świateł podejścia, jeżeli jest on zainstalowany.</w:t>
      </w:r>
    </w:p>
    <w:p w14:paraId="670E0C90"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 xml:space="preserve">Jeśli wykorzystywany jest </w:t>
      </w:r>
      <w:r w:rsidRPr="009E064B">
        <w:rPr>
          <w:szCs w:val="20"/>
        </w:rPr>
        <w:t xml:space="preserve">system świateł wysokiej intensywności, to powinien być on wyposażony w </w:t>
      </w:r>
      <w:r w:rsidRPr="009E064B">
        <w:rPr>
          <w:rFonts w:cs="TimesNewRomanPS-ItalicMT"/>
          <w:iCs/>
          <w:szCs w:val="20"/>
        </w:rPr>
        <w:t>odpowiednie</w:t>
      </w:r>
      <w:r w:rsidRPr="009E064B">
        <w:rPr>
          <w:szCs w:val="20"/>
        </w:rPr>
        <w:t xml:space="preserve"> urządzenia kontrolujące intensywność świecenia, umożliwiające dostosowanie intensywności świateł do występujących warunków. Oddzielna regulacja intensywności lub inne odpowiednie metody powinny być zastosowane, aby zapewnić, że niżej wymienione systemy, w przypadku, gdy są zainstalowane, będą mogły pracować ze zgodną intensywnością:</w:t>
      </w:r>
    </w:p>
    <w:p w14:paraId="2104CCED"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system świateł podejścia;</w:t>
      </w:r>
    </w:p>
    <w:p w14:paraId="5036670E"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światła krawędzi drogi startowej;</w:t>
      </w:r>
    </w:p>
    <w:p w14:paraId="521C5E73"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światła progu drogi startowej;</w:t>
      </w:r>
    </w:p>
    <w:p w14:paraId="25603DDE"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światła końca drogi startowej;</w:t>
      </w:r>
    </w:p>
    <w:p w14:paraId="78322A30" w14:textId="77777777" w:rsidR="00C36D76" w:rsidRPr="009E064B" w:rsidRDefault="00C36D76" w:rsidP="00B06A9A">
      <w:pPr>
        <w:tabs>
          <w:tab w:val="left" w:pos="1701"/>
        </w:tabs>
        <w:ind w:left="1701" w:hanging="567"/>
        <w:rPr>
          <w:szCs w:val="20"/>
        </w:rPr>
      </w:pPr>
      <w:r w:rsidRPr="009E064B">
        <w:rPr>
          <w:rFonts w:cs="Times New Roman"/>
          <w:szCs w:val="20"/>
        </w:rPr>
        <w:t xml:space="preserve">(v) </w:t>
      </w:r>
      <w:r w:rsidRPr="009E064B">
        <w:rPr>
          <w:rFonts w:cs="Times New Roman"/>
          <w:szCs w:val="20"/>
        </w:rPr>
        <w:tab/>
      </w:r>
      <w:r w:rsidRPr="009E064B">
        <w:rPr>
          <w:szCs w:val="20"/>
        </w:rPr>
        <w:t>światła linii środkowej drogi startowej;</w:t>
      </w:r>
    </w:p>
    <w:p w14:paraId="37896AA6" w14:textId="77777777" w:rsidR="00C36D76" w:rsidRPr="009E064B" w:rsidRDefault="00C36D76" w:rsidP="00B06A9A">
      <w:pPr>
        <w:tabs>
          <w:tab w:val="left" w:pos="1701"/>
        </w:tabs>
        <w:ind w:left="1701" w:hanging="567"/>
        <w:rPr>
          <w:szCs w:val="20"/>
        </w:rPr>
      </w:pPr>
      <w:r w:rsidRPr="009E064B">
        <w:rPr>
          <w:rFonts w:cs="Times New Roman"/>
          <w:szCs w:val="20"/>
        </w:rPr>
        <w:t xml:space="preserve">(vi) </w:t>
      </w:r>
      <w:r w:rsidRPr="009E064B">
        <w:rPr>
          <w:rFonts w:cs="Times New Roman"/>
          <w:szCs w:val="20"/>
        </w:rPr>
        <w:tab/>
      </w:r>
      <w:r w:rsidRPr="009E064B">
        <w:rPr>
          <w:szCs w:val="20"/>
        </w:rPr>
        <w:t>światła strefy przyziemienia;</w:t>
      </w:r>
    </w:p>
    <w:p w14:paraId="2DCD3BD8" w14:textId="77777777" w:rsidR="00C36D76" w:rsidRPr="009E064B" w:rsidRDefault="00C36D76" w:rsidP="00B06A9A">
      <w:pPr>
        <w:tabs>
          <w:tab w:val="left" w:pos="1701"/>
        </w:tabs>
        <w:ind w:left="1701" w:hanging="567"/>
        <w:rPr>
          <w:szCs w:val="20"/>
        </w:rPr>
      </w:pPr>
      <w:r w:rsidRPr="009E064B">
        <w:rPr>
          <w:rFonts w:cs="Times New Roman"/>
          <w:szCs w:val="20"/>
        </w:rPr>
        <w:t xml:space="preserve">(vii) </w:t>
      </w:r>
      <w:r w:rsidRPr="009E064B">
        <w:rPr>
          <w:rFonts w:cs="Times New Roman"/>
          <w:szCs w:val="20"/>
        </w:rPr>
        <w:tab/>
      </w:r>
      <w:r w:rsidRPr="009E064B">
        <w:rPr>
          <w:szCs w:val="20"/>
        </w:rPr>
        <w:t>światła linii środkowej drogi kołowania.</w:t>
      </w:r>
    </w:p>
    <w:p w14:paraId="357DA9A2" w14:textId="7B858698"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szCs w:val="20"/>
        </w:rPr>
        <w:t>Na granicy oraz wewnątrz elipsy definiującej wiązkę główną określoną</w:t>
      </w:r>
      <w:r w:rsidR="005E3E07" w:rsidRPr="009E064B">
        <w:rPr>
          <w:szCs w:val="20"/>
        </w:rPr>
        <w:br/>
      </w:r>
      <w:r w:rsidRPr="009E064B">
        <w:rPr>
          <w:szCs w:val="20"/>
        </w:rPr>
        <w:t>w</w:t>
      </w:r>
      <w:r w:rsidR="005E3E07" w:rsidRPr="009E064B">
        <w:rPr>
          <w:szCs w:val="20"/>
        </w:rPr>
        <w:t>  </w:t>
      </w:r>
      <w:hyperlink w:anchor="_CS_ADR-DSN.U.940_" w:history="1">
        <w:r w:rsidRPr="009E064B">
          <w:rPr>
            <w:rStyle w:val="Hipercze"/>
            <w:szCs w:val="20"/>
          </w:rPr>
          <w:t>CS ADR-DSN.U.940</w:t>
        </w:r>
      </w:hyperlink>
      <w:r w:rsidRPr="009E064B">
        <w:rPr>
          <w:szCs w:val="20"/>
        </w:rPr>
        <w:t>, maksymalna intensywność świecenia nie powinna być większa niż trzykrotna wartość minimalnej intensywności świecenia, zmi</w:t>
      </w:r>
      <w:r w:rsidR="005E3E07" w:rsidRPr="009E064B">
        <w:rPr>
          <w:szCs w:val="20"/>
        </w:rPr>
        <w:t xml:space="preserve">erzonej zgodnie </w:t>
      </w:r>
      <w:r w:rsidR="005E3E07" w:rsidRPr="009E064B">
        <w:rPr>
          <w:szCs w:val="20"/>
        </w:rPr>
        <w:br/>
        <w:t>z  </w:t>
      </w:r>
      <w:hyperlink w:anchor="_CS_ADR-DSN.U.940_" w:history="1">
        <w:r w:rsidR="005E3E07" w:rsidRPr="009E064B">
          <w:rPr>
            <w:rStyle w:val="Hipercze"/>
            <w:szCs w:val="20"/>
          </w:rPr>
          <w:t>CS ADR-DSN.U.940</w:t>
        </w:r>
      </w:hyperlink>
      <w:r w:rsidRPr="009E064B">
        <w:rPr>
          <w:szCs w:val="20"/>
        </w:rPr>
        <w:t>.</w:t>
      </w:r>
    </w:p>
    <w:p w14:paraId="30E16F5D" w14:textId="33E059D7" w:rsidR="00C36D76" w:rsidRPr="009E064B" w:rsidRDefault="00C36D76" w:rsidP="00B06A9A">
      <w:pPr>
        <w:tabs>
          <w:tab w:val="left" w:pos="-1843"/>
        </w:tabs>
        <w:autoSpaceDE w:val="0"/>
        <w:autoSpaceDN w:val="0"/>
        <w:adjustRightInd w:val="0"/>
        <w:ind w:left="567"/>
        <w:rPr>
          <w:szCs w:val="20"/>
        </w:rPr>
      </w:pPr>
      <w:r w:rsidRPr="009E064B">
        <w:rPr>
          <w:szCs w:val="20"/>
        </w:rPr>
        <w:t>Na granicy oraz wewnątrz prostokąta definiują</w:t>
      </w:r>
      <w:r w:rsidR="005E3E07" w:rsidRPr="009E064B">
        <w:rPr>
          <w:szCs w:val="20"/>
        </w:rPr>
        <w:t>cego wiązkę główną określoną</w:t>
      </w:r>
      <w:r w:rsidR="005E3E07" w:rsidRPr="009E064B">
        <w:rPr>
          <w:szCs w:val="20"/>
        </w:rPr>
        <w:br/>
        <w:t>w  </w:t>
      </w:r>
      <w:hyperlink w:anchor="_CS_ADR-DSN.U.940_" w:history="1">
        <w:r w:rsidR="005E3E07" w:rsidRPr="009E064B">
          <w:rPr>
            <w:rStyle w:val="Hipercze"/>
            <w:szCs w:val="20"/>
          </w:rPr>
          <w:t>CS ADR-DSN.U.940</w:t>
        </w:r>
      </w:hyperlink>
      <w:r w:rsidRPr="009E064B">
        <w:rPr>
          <w:szCs w:val="20"/>
        </w:rPr>
        <w:t>, maksymalna intensywność świecenia nie powinna być większa niż trzykrotna wartość minimalnej intensywności świ</w:t>
      </w:r>
      <w:r w:rsidR="005E3E07" w:rsidRPr="009E064B">
        <w:rPr>
          <w:szCs w:val="20"/>
        </w:rPr>
        <w:t>ecenia, zmierzonej zgodnie</w:t>
      </w:r>
      <w:r w:rsidR="005E3E07" w:rsidRPr="009E064B">
        <w:rPr>
          <w:szCs w:val="20"/>
        </w:rPr>
        <w:br/>
        <w:t>z </w:t>
      </w:r>
      <w:hyperlink w:anchor="_CS_ADR-DSN.U.940_" w:history="1">
        <w:r w:rsidR="005E3E07" w:rsidRPr="009E064B">
          <w:rPr>
            <w:rStyle w:val="Hipercze"/>
            <w:szCs w:val="20"/>
          </w:rPr>
          <w:t>CS ADR-DSN.U.940</w:t>
        </w:r>
      </w:hyperlink>
      <w:r w:rsidRPr="009E064B">
        <w:rPr>
          <w:szCs w:val="20"/>
        </w:rPr>
        <w:t>.</w:t>
      </w:r>
    </w:p>
    <w:p w14:paraId="537A0F83" w14:textId="391A1CA6" w:rsidR="00C73B63" w:rsidRPr="009E064B" w:rsidRDefault="00792F46" w:rsidP="00133B99">
      <w:pPr>
        <w:pStyle w:val="Nagwek6"/>
      </w:pPr>
      <w:bookmarkStart w:id="1453" w:name="_GM1_ADR-DSN.M.615_"/>
      <w:bookmarkStart w:id="1454" w:name="_Toc401059022"/>
      <w:bookmarkStart w:id="1455" w:name="_Toc482886890"/>
      <w:bookmarkStart w:id="1456" w:name="_Toc12533172"/>
      <w:bookmarkEnd w:id="1453"/>
      <w:r w:rsidRPr="009E064B">
        <w:t xml:space="preserve">GM1 ADR-DSN.M.615     </w:t>
      </w:r>
      <w:r w:rsidR="009B0A08" w:rsidRPr="009E064B">
        <w:rPr>
          <w:rFonts w:cs="TimesNewRomanPS-BoldItalicMT"/>
          <w:iCs/>
          <w:szCs w:val="20"/>
        </w:rPr>
        <w:t>Wymagania</w:t>
      </w:r>
      <w:r w:rsidR="00C73B63" w:rsidRPr="009E064B">
        <w:t xml:space="preserve"> ogólne</w:t>
      </w:r>
      <w:bookmarkEnd w:id="1454"/>
      <w:bookmarkEnd w:id="1455"/>
      <w:bookmarkEnd w:id="1456"/>
    </w:p>
    <w:p w14:paraId="5269F2F4" w14:textId="06696C48" w:rsidR="00792F46" w:rsidRPr="009E064B" w:rsidRDefault="001F74A1" w:rsidP="00792F4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CB1EE6F" w14:textId="10D40BFE" w:rsidR="00C73B63" w:rsidRPr="009E064B" w:rsidRDefault="00C73B63" w:rsidP="00792F46">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W przypadku naziemnych świateł lotniczych zlokalizowanych w pobliżu wód żeglownych, należy upewnić się, że nie będą one wprowadzać w błąd jednostek pływających.</w:t>
      </w:r>
    </w:p>
    <w:p w14:paraId="2114C3A3" w14:textId="1DBEBA6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O zmroku lub w ciągu dnia przy złej widzialności, oznakowanie świetlne może się okazać bardziej skuteczne niż oznakowanie dzienne. Aby zapewnić skuteczność w takich warunkach lub przy złej widzialności w nocy, światła powinny charakteryzować się odpowiednim dla danych okoliczności natężeniem. W celu uzyskania niezbędnej intensywności świecenia, zazwyczaj konieczne jest zastosowanie świateł kierunkowych, które powinny być w</w:t>
      </w:r>
      <w:r w:rsidR="00D77074" w:rsidRPr="009E064B">
        <w:rPr>
          <w:rFonts w:eastAsia="Times New Roman,Italic" w:cs="Times New Roman,Italic"/>
          <w:iCs/>
          <w:szCs w:val="20"/>
        </w:rPr>
        <w:t>idoczne pod odpowiednim kątem i </w:t>
      </w:r>
      <w:r w:rsidRPr="009E064B">
        <w:rPr>
          <w:rFonts w:eastAsia="Times New Roman,Italic" w:cs="Times New Roman,Italic"/>
          <w:iCs/>
          <w:szCs w:val="20"/>
        </w:rPr>
        <w:t>skierowane zgodnie z potrzebami operacyjnymi. System świateł drogi startowej powinien być rozpatrywany, jako całość, aby intensywność względna świateł była odpowiednio przystosowana do tego samego celu.</w:t>
      </w:r>
    </w:p>
    <w:p w14:paraId="34A1F73E"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Intensywność systemu świateł podejścia może być wyższa od świateł drogi startowej. Dobrą praktyką jest unikanie zmian intensywności, ponieważ może to dawać pilotowi złudzenie występowania zmian widzialności w trakcie podejścia do lądowania.</w:t>
      </w:r>
    </w:p>
    <w:p w14:paraId="4496D3C0" w14:textId="77777777" w:rsidR="00C73B63" w:rsidRPr="009E064B" w:rsidRDefault="00C73B63"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 New Roman"/>
          <w:szCs w:val="20"/>
        </w:rPr>
        <w:t>Widoczność świateł zależy od wrażenia, jakie się otrzymuje na podstawie kontrastu pomiędzy światłem a tłem. Jeśli światło ma być użyteczne dla pilota wykonującego podejście w dzień, to powinno mieć intensywność przynajmniej 2 000 lub 3 000 cd, dla świateł podejścia pożądany poziom intensywności jest rzędu 20 000 cd. W warunkach mgły, przy bardzo jasnym świetle dziennym, może się okazać niemożliwe zabezpieczenie intensywności świateł, aby były one efektywne.</w:t>
      </w:r>
    </w:p>
    <w:p w14:paraId="69463880"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 New Roman"/>
          <w:szCs w:val="20"/>
        </w:rPr>
        <w:t xml:space="preserve">Z drugiej strony, podczas ciemnej nocy, przy dobrych warunkach pogodowych, </w:t>
      </w:r>
      <w:r w:rsidRPr="009E064B">
        <w:rPr>
          <w:rFonts w:eastAsia="Times New Roman,Italic" w:cs="Times New Roman,Italic"/>
          <w:iCs/>
          <w:szCs w:val="20"/>
        </w:rPr>
        <w:t>intensywność</w:t>
      </w:r>
      <w:r w:rsidRPr="009E064B">
        <w:rPr>
          <w:rFonts w:cs="Times New Roman"/>
          <w:szCs w:val="20"/>
        </w:rPr>
        <w:t xml:space="preserve"> świateł systemu podejścia rzędu 100 cd oraz 50 cd dla świateł krawędziowych, może okazać się wystarczająca. Nawet przy takiej intensywności, bliska odległość świateł krawędziowych drogi startowej powoduje, że piloci czasami narzekali, że światła krawędziowe wydają się im zbyt jaskrawe.</w:t>
      </w:r>
    </w:p>
    <w:p w14:paraId="45F278D7" w14:textId="77777777" w:rsidR="00C73B63" w:rsidRPr="009E064B" w:rsidRDefault="00C73B63"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 New Roman"/>
          <w:szCs w:val="20"/>
        </w:rPr>
        <w:t xml:space="preserve">W przypadku występowania mgły następuje znaczne rozproszenie światła. W porze nocnej to rozproszenie zwiększa jaskrawość mgły ponad strefą podejścia do lądowania i nad drogą </w:t>
      </w:r>
      <w:r w:rsidRPr="009E064B">
        <w:rPr>
          <w:rFonts w:eastAsia="Times New Roman,Italic" w:cs="Times New Roman,Italic"/>
          <w:iCs/>
          <w:szCs w:val="20"/>
        </w:rPr>
        <w:t>startową</w:t>
      </w:r>
      <w:r w:rsidRPr="009E064B">
        <w:rPr>
          <w:rFonts w:cs="Times New Roman"/>
          <w:szCs w:val="20"/>
        </w:rPr>
        <w:t xml:space="preserve"> w takim stopniu, że zwiększenie intensywności nawet powyżej 2 000 – 3 000 cd powoduje jedynie niewielki wzrost zakresu widzialności świateł. Nie wolno zwiększać odległości widzialności świateł w porze nocnej poprzez zwiększenie ich intensywności powyżej określonych przedziałów, ponieważ będzie to powodowało oślepianie pilotów przy zbliżaniu się do świateł.</w:t>
      </w:r>
    </w:p>
    <w:p w14:paraId="0212B0FE"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(g) </w:t>
      </w:r>
      <w:r w:rsidRPr="009E064B">
        <w:rPr>
          <w:rFonts w:cs="TimesNewRomanPS-BoldItalicMT"/>
          <w:bCs/>
          <w:iCs/>
          <w:szCs w:val="20"/>
        </w:rPr>
        <w:tab/>
      </w:r>
      <w:r w:rsidRPr="009E064B">
        <w:rPr>
          <w:rFonts w:cs="Times New Roman"/>
          <w:szCs w:val="20"/>
        </w:rPr>
        <w:t xml:space="preserve">Z powyższego wynika jak duże znaczenie odgrywa regulacja intensywności lotniskowych </w:t>
      </w:r>
      <w:r w:rsidRPr="009E064B">
        <w:rPr>
          <w:rFonts w:eastAsia="Times New Roman,Italic" w:cs="Times New Roman,Italic"/>
          <w:iCs/>
          <w:szCs w:val="20"/>
        </w:rPr>
        <w:t>systemów</w:t>
      </w:r>
      <w:r w:rsidRPr="009E064B">
        <w:rPr>
          <w:rFonts w:cs="Times New Roman"/>
          <w:szCs w:val="20"/>
        </w:rPr>
        <w:t xml:space="preserve"> świetlnych w zależności od przeważających warunków, tak, aby otrzymać najlepsze wyniki bez nadmiernego oślepiania, które mogłoby zdekoncentrować pilota. Prawidłowe ustawienia intensywności w każdym konkretnym przypadku będzie zależeć zarówno od warunków jasności tła, jak i widzialności.</w:t>
      </w:r>
    </w:p>
    <w:p w14:paraId="221CAE6E"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(h) </w:t>
      </w:r>
      <w:r w:rsidRPr="009E064B">
        <w:rPr>
          <w:rFonts w:cs="TimesNewRomanPS-BoldItalicMT"/>
          <w:bCs/>
          <w:iCs/>
          <w:szCs w:val="20"/>
        </w:rPr>
        <w:tab/>
      </w:r>
      <w:r w:rsidRPr="009E064B">
        <w:rPr>
          <w:rFonts w:eastAsia="Times New Roman,Italic" w:cs="Times New Roman,Italic"/>
          <w:iCs/>
          <w:szCs w:val="20"/>
        </w:rPr>
        <w:t>Ocena</w:t>
      </w:r>
      <w:r w:rsidRPr="009E064B">
        <w:rPr>
          <w:szCs w:val="20"/>
        </w:rPr>
        <w:t xml:space="preserve"> zjawiska oślepiania w sąsiedztwie lotniska:</w:t>
      </w:r>
    </w:p>
    <w:p w14:paraId="415C879B"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(1) </w:t>
      </w:r>
      <w:r w:rsidRPr="009E064B">
        <w:rPr>
          <w:rFonts w:cs="TimesNewRomanPS-BoldItalicMT"/>
          <w:bCs/>
          <w:iCs/>
          <w:szCs w:val="20"/>
        </w:rPr>
        <w:tab/>
        <w:t>Wzrok człowieka jest złożonym mechanizmem używającym zarówno oczy jak i mózg. Mimo tego</w:t>
      </w:r>
      <w:r w:rsidRPr="009E064B">
        <w:rPr>
          <w:szCs w:val="20"/>
        </w:rPr>
        <w:t>, że mechanizm ten jest głównie obsługiwany przez oko, wciąż brak jest wiedzy na temat jego interpretacji przez mózg. Dlatego wizja różni się w zależności od człowieka.</w:t>
      </w:r>
    </w:p>
    <w:p w14:paraId="15CB2765"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Pole widzenia definiowane jest, jako powierzchnia postrzegana przez oczy. Odbiór szczegółowych informacji oparty jest na stosunku luminancji pomiędzy elementami sceny z uwzględnieniem rozmieszczenia przestrzennego. Luminancja i kontrast są kluczowymi elementami mechanizmu widzenia.</w:t>
      </w:r>
    </w:p>
    <w:p w14:paraId="2DB2F841"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W polu widzenia (FOV) można zidentyfikować cztery sektory:</w:t>
      </w:r>
    </w:p>
    <w:p w14:paraId="45EA8FAF" w14:textId="77777777" w:rsidR="00C73B63" w:rsidRPr="009E064B" w:rsidRDefault="00C73B63" w:rsidP="00B06A9A">
      <w:pPr>
        <w:tabs>
          <w:tab w:val="left" w:pos="1701"/>
        </w:tabs>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 xml:space="preserve">pole odczuwania, odpowiadające absolutnym granicom pola widzenia, otwiera się do około 90° w każdą stronę od kierunku oka; </w:t>
      </w:r>
    </w:p>
    <w:p w14:paraId="5296FDA5" w14:textId="77777777" w:rsidR="00C73B63" w:rsidRPr="009E064B" w:rsidRDefault="00C73B63" w:rsidP="00B06A9A">
      <w:pPr>
        <w:tabs>
          <w:tab w:val="left" w:pos="1701"/>
        </w:tabs>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pole widoczności, które jest węższe i umożliwia percepcję obiektu, otwiera się do 60°;</w:t>
      </w:r>
    </w:p>
    <w:p w14:paraId="058D9151" w14:textId="77777777" w:rsidR="00C73B63" w:rsidRPr="009E064B" w:rsidRDefault="00C73B63" w:rsidP="00B06A9A">
      <w:pPr>
        <w:tabs>
          <w:tab w:val="left" w:pos="1701"/>
        </w:tabs>
        <w:ind w:left="1701" w:hanging="567"/>
        <w:rPr>
          <w:szCs w:val="20"/>
        </w:rPr>
      </w:pPr>
      <w:r w:rsidRPr="009E064B">
        <w:rPr>
          <w:rFonts w:cs="TimesNewRomanPS-BoldItalicMT"/>
          <w:bCs/>
          <w:iCs/>
          <w:szCs w:val="20"/>
        </w:rPr>
        <w:t xml:space="preserve">(iii) </w:t>
      </w:r>
      <w:r w:rsidRPr="009E064B">
        <w:rPr>
          <w:rFonts w:cs="TimesNewRomanPS-BoldItalicMT"/>
          <w:bCs/>
          <w:iCs/>
          <w:szCs w:val="20"/>
        </w:rPr>
        <w:tab/>
      </w:r>
      <w:r w:rsidRPr="009E064B">
        <w:rPr>
          <w:szCs w:val="20"/>
        </w:rPr>
        <w:t>pole spostrzegania, które umożliwia rozpoznanie, otwiera się do 30°;</w:t>
      </w:r>
    </w:p>
    <w:p w14:paraId="230C72E5" w14:textId="4716BD70" w:rsidR="00C73B63" w:rsidRPr="009E064B" w:rsidRDefault="00C73B63" w:rsidP="00B06A9A">
      <w:pPr>
        <w:tabs>
          <w:tab w:val="left" w:pos="1701"/>
        </w:tabs>
        <w:ind w:left="1701" w:hanging="567"/>
        <w:rPr>
          <w:szCs w:val="20"/>
        </w:rPr>
      </w:pPr>
      <w:r w:rsidRPr="009E064B">
        <w:rPr>
          <w:rFonts w:cs="TimesNewRomanPS-BoldItalicMT"/>
          <w:bCs/>
          <w:iCs/>
          <w:szCs w:val="20"/>
        </w:rPr>
        <w:t xml:space="preserve">(iv) </w:t>
      </w:r>
      <w:r w:rsidRPr="009E064B">
        <w:rPr>
          <w:rFonts w:cs="TimesNewRomanPS-BoldItalicMT"/>
          <w:bCs/>
          <w:iCs/>
          <w:szCs w:val="20"/>
        </w:rPr>
        <w:tab/>
      </w:r>
      <w:r w:rsidRPr="009E064B">
        <w:rPr>
          <w:szCs w:val="20"/>
        </w:rPr>
        <w:t>robocze pole spostrzegania, które jest wyśr</w:t>
      </w:r>
      <w:r w:rsidR="00CF2DAB">
        <w:rPr>
          <w:szCs w:val="20"/>
        </w:rPr>
        <w:t>odkowane w kierunku oka (1 do 2</w:t>
      </w:r>
      <w:r w:rsidRPr="009E064B">
        <w:rPr>
          <w:szCs w:val="20"/>
        </w:rPr>
        <w:t xml:space="preserve">°), umożliwia identyfikację i jest obszarem roboczym widzenia. </w:t>
      </w:r>
    </w:p>
    <w:p w14:paraId="2FA083F3" w14:textId="77777777" w:rsidR="00C73B63" w:rsidRPr="009E064B" w:rsidRDefault="00C73B63" w:rsidP="00B06A9A">
      <w:pPr>
        <w:pStyle w:val="Akapitzlist"/>
        <w:ind w:left="1134"/>
        <w:rPr>
          <w:szCs w:val="20"/>
        </w:rPr>
      </w:pPr>
      <w:r w:rsidRPr="009E064B">
        <w:rPr>
          <w:szCs w:val="20"/>
        </w:rPr>
        <w:t>Należy przypomnieć, że siatkówka, w swoim środku składa się z komórek stożkowych (które widzą kolory i szczegóły), a na obwodzie z pręcików (które postrzegają ruchy i zmiany stanu).</w:t>
      </w:r>
    </w:p>
    <w:p w14:paraId="3BF2C311" w14:textId="782F93E5"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rFonts w:eastAsia="Times New Roman,Italic" w:cs="Times New Roman,Italic"/>
          <w:iCs/>
          <w:szCs w:val="20"/>
        </w:rPr>
        <w:t>Ocena</w:t>
      </w:r>
      <w:r w:rsidRPr="009E064B">
        <w:rPr>
          <w:szCs w:val="20"/>
        </w:rPr>
        <w:t xml:space="preserve"> bezpieczeństwa jest przeprowadzona w celu określenia sytuacji, w których ryzyko </w:t>
      </w:r>
      <w:r w:rsidRPr="009E064B">
        <w:rPr>
          <w:rFonts w:eastAsia="Times New Roman,Italic" w:cs="Times New Roman,Italic"/>
          <w:iCs/>
          <w:szCs w:val="20"/>
        </w:rPr>
        <w:t>oślepienia</w:t>
      </w:r>
      <w:r w:rsidRPr="009E064B">
        <w:rPr>
          <w:szCs w:val="20"/>
        </w:rPr>
        <w:t xml:space="preserve"> staje się nie do przyjęcia. Tak więc należy zauważyć, że oślepienie stanowi takie ryzyko w następujących sytuacjach: </w:t>
      </w:r>
    </w:p>
    <w:p w14:paraId="6B322915"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w czasie podejścia, zwłaszcza, jeżeli statek powietrzny zszedł poniżej wysokości decyzji: pilot nie powinien tracić żadnego sygnału wzrokowego;</w:t>
      </w:r>
    </w:p>
    <w:p w14:paraId="7E5EF686"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w czasie przyziemienia, pilot nie powinien być zaskoczony błyskiem;</w:t>
      </w:r>
    </w:p>
    <w:p w14:paraId="1C24621A"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w czasie rozbiegu (przy lądowaniu lub starcie), pilot powinien być w stanie postrzegać swoje otoczenie i wykryć wszelkie odchylenia od linii środkowej: pilot nie powinien stracić żadnego sygnału wzrokowego.</w:t>
      </w:r>
    </w:p>
    <w:p w14:paraId="3AD436D1"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 xml:space="preserve">Tak więc: </w:t>
      </w:r>
    </w:p>
    <w:p w14:paraId="7A47D2AE" w14:textId="77777777" w:rsidR="00C73B63" w:rsidRPr="009E064B" w:rsidRDefault="00C73B63" w:rsidP="00B06A9A">
      <w:pPr>
        <w:tabs>
          <w:tab w:val="left" w:pos="1701"/>
        </w:tabs>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szkodliwe oślepienie ze względu na luminancję nie powinno wystąpić w czasie podejścia (nieco przed wysokością decyzji) i rozbiegu; oraz</w:t>
      </w:r>
    </w:p>
    <w:p w14:paraId="306A467D" w14:textId="77777777" w:rsidR="00C73B63" w:rsidRPr="009E064B" w:rsidRDefault="00C73B63" w:rsidP="00B06A9A">
      <w:pPr>
        <w:tabs>
          <w:tab w:val="left" w:pos="1701"/>
        </w:tabs>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efekt zaskoczenia nie powinien wystąpić podczas przyziemienia.</w:t>
      </w:r>
    </w:p>
    <w:p w14:paraId="781EE4D3"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(j) </w:t>
      </w:r>
      <w:r w:rsidRPr="009E064B">
        <w:rPr>
          <w:rFonts w:cs="TimesNewRomanPS-BoldItalicMT"/>
          <w:bCs/>
          <w:iCs/>
          <w:szCs w:val="20"/>
        </w:rPr>
        <w:tab/>
      </w:r>
      <w:r w:rsidRPr="009E064B">
        <w:rPr>
          <w:szCs w:val="20"/>
        </w:rPr>
        <w:t xml:space="preserve">W odniesieniu do kontrolerów ruchu lotniczego, uważa się, że oślepienie wywołane przez efekt </w:t>
      </w:r>
      <w:r w:rsidRPr="009E064B">
        <w:rPr>
          <w:rFonts w:eastAsia="Times New Roman,Italic" w:cs="Times New Roman,Italic"/>
          <w:iCs/>
          <w:szCs w:val="20"/>
        </w:rPr>
        <w:t>zaciemniający</w:t>
      </w:r>
      <w:r w:rsidRPr="009E064B">
        <w:rPr>
          <w:szCs w:val="20"/>
        </w:rPr>
        <w:t xml:space="preserve"> nie powinien zmniejszyć wzrokowego postrzegania operacji statków powietrznych na drodze startowej oraz w jej pobliżu.</w:t>
      </w:r>
    </w:p>
    <w:p w14:paraId="543D746D"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(k) </w:t>
      </w:r>
      <w:r w:rsidRPr="009E064B">
        <w:rPr>
          <w:rFonts w:cs="TimesNewRomanPS-BoldItalicMT"/>
          <w:bCs/>
          <w:iCs/>
          <w:szCs w:val="20"/>
        </w:rPr>
        <w:tab/>
      </w:r>
      <w:r w:rsidRPr="009E064B">
        <w:rPr>
          <w:rFonts w:eastAsia="Times New Roman,Italic" w:cs="Times New Roman,Italic"/>
          <w:iCs/>
          <w:szCs w:val="20"/>
        </w:rPr>
        <w:t>Powyższe</w:t>
      </w:r>
      <w:r w:rsidRPr="009E064B">
        <w:rPr>
          <w:szCs w:val="20"/>
        </w:rPr>
        <w:t xml:space="preserve"> elementy można stosować do paneli słonecznych. Następujące założenia mogą być wykonane: </w:t>
      </w:r>
    </w:p>
    <w:p w14:paraId="54A86A83"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panele słoneczne są pochylone w taki sposób, aby skutecznie przechwytywać światło słoneczne, tworzą szereg powierzchni w przekroju poprzecznym;</w:t>
      </w:r>
    </w:p>
    <w:p w14:paraId="5C0B1987"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maksymalna dopuszczalna wartość luminancji została ustalona na 20 000 cd/m</w:t>
      </w:r>
      <w:r w:rsidRPr="009E064B">
        <w:rPr>
          <w:szCs w:val="20"/>
          <w:vertAlign w:val="superscript"/>
        </w:rPr>
        <w:t>2</w:t>
      </w:r>
      <w:r w:rsidRPr="009E064B">
        <w:rPr>
          <w:szCs w:val="20"/>
        </w:rPr>
        <w:t xml:space="preserve">, oraz </w:t>
      </w:r>
    </w:p>
    <w:p w14:paraId="30DF2623"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powierzchnie wahają się od 100 m</w:t>
      </w:r>
      <w:r w:rsidRPr="009E064B">
        <w:rPr>
          <w:szCs w:val="20"/>
          <w:vertAlign w:val="superscript"/>
        </w:rPr>
        <w:t>2</w:t>
      </w:r>
      <w:r w:rsidRPr="009E064B">
        <w:rPr>
          <w:szCs w:val="20"/>
        </w:rPr>
        <w:t xml:space="preserve"> do kilku hektarów.</w:t>
      </w:r>
    </w:p>
    <w:p w14:paraId="7BC6DB3D" w14:textId="77777777" w:rsidR="00C73B63" w:rsidRPr="009E064B" w:rsidRDefault="00C73B63"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(l) </w:t>
      </w:r>
      <w:r w:rsidRPr="009E064B">
        <w:rPr>
          <w:rFonts w:cs="TimesNewRomanPS-BoldItalicMT"/>
          <w:bCs/>
          <w:iCs/>
          <w:szCs w:val="20"/>
        </w:rPr>
        <w:tab/>
      </w:r>
      <w:r w:rsidRPr="009E064B">
        <w:rPr>
          <w:szCs w:val="20"/>
        </w:rPr>
        <w:t>Zakłada się, że statek powietrzny utrzymuje dokładnie swoją trajektorię, podczas gdy w </w:t>
      </w:r>
      <w:r w:rsidRPr="009E064B">
        <w:rPr>
          <w:rFonts w:eastAsia="Times New Roman,Italic" w:cs="Times New Roman,Italic"/>
          <w:iCs/>
          <w:szCs w:val="20"/>
        </w:rPr>
        <w:t>rzeczywistości</w:t>
      </w:r>
      <w:r w:rsidRPr="009E064B">
        <w:rPr>
          <w:szCs w:val="20"/>
        </w:rPr>
        <w:t xml:space="preserve"> podejście jest wykonywane do stożkowej obwiedni wokół oczekiwanej trajektorii.</w:t>
      </w:r>
    </w:p>
    <w:p w14:paraId="1B9FF2F4" w14:textId="09A0E91C" w:rsidR="00C36D76" w:rsidRPr="009E064B" w:rsidRDefault="00792F46" w:rsidP="00B06A9A">
      <w:pPr>
        <w:pStyle w:val="Nagwek4"/>
        <w:rPr>
          <w:color w:val="auto"/>
        </w:rPr>
      </w:pPr>
      <w:bookmarkStart w:id="1457" w:name="_CS_ADR-DSN.M.620_"/>
      <w:bookmarkStart w:id="1458" w:name="_Toc482886667"/>
      <w:bookmarkStart w:id="1459" w:name="_Toc12533173"/>
      <w:bookmarkEnd w:id="1457"/>
      <w:r w:rsidRPr="009E064B">
        <w:rPr>
          <w:color w:val="auto"/>
        </w:rPr>
        <w:t xml:space="preserve">CS ADR-DSN.M.620     </w:t>
      </w:r>
      <w:r w:rsidR="00C36D76" w:rsidRPr="009E064B">
        <w:rPr>
          <w:color w:val="auto"/>
        </w:rPr>
        <w:t>Latarnie lotnicze</w:t>
      </w:r>
      <w:bookmarkEnd w:id="1458"/>
      <w:bookmarkEnd w:id="1459"/>
    </w:p>
    <w:p w14:paraId="3FFBA092" w14:textId="4C37E858" w:rsidR="00792F46" w:rsidRPr="009E064B" w:rsidRDefault="001F74A1" w:rsidP="00792F4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2383DA0" w14:textId="3B1DACAA" w:rsidR="00C36D76" w:rsidRPr="009E064B" w:rsidRDefault="00C36D76" w:rsidP="00792F46">
      <w:pPr>
        <w:tabs>
          <w:tab w:val="left" w:pos="567"/>
        </w:tabs>
        <w:ind w:left="567" w:hanging="567"/>
        <w:rPr>
          <w:szCs w:val="20"/>
        </w:rPr>
      </w:pPr>
      <w:r w:rsidRPr="009E064B">
        <w:rPr>
          <w:rFonts w:cs="Times New Roman"/>
          <w:szCs w:val="20"/>
        </w:rPr>
        <w:t xml:space="preserve">(a) </w:t>
      </w:r>
      <w:r w:rsidRPr="009E064B">
        <w:rPr>
          <w:rFonts w:cs="Times New Roman"/>
          <w:szCs w:val="20"/>
        </w:rPr>
        <w:tab/>
      </w:r>
      <w:r w:rsidR="009B0A08" w:rsidRPr="009E064B">
        <w:rPr>
          <w:rFonts w:cs="TimesNewRomanPS-BoldItalicMT"/>
          <w:bCs/>
          <w:iCs/>
          <w:szCs w:val="20"/>
        </w:rPr>
        <w:t>Wymagania</w:t>
      </w:r>
      <w:r w:rsidRPr="009E064B">
        <w:rPr>
          <w:szCs w:val="20"/>
        </w:rPr>
        <w:t xml:space="preserve"> ogólne</w:t>
      </w:r>
    </w:p>
    <w:p w14:paraId="22A10BCD"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Gdy to jest konieczne ze względów operacyjnych na każdym lotnisku, które planowane jest do wykorzystywania w nocy, należy zapewnić latarnię lotniskową lub latarnię identyfikacji lotniska.</w:t>
      </w:r>
    </w:p>
    <w:p w14:paraId="174E87CC"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Wymaganie</w:t>
      </w:r>
      <w:r w:rsidRPr="009E064B">
        <w:rPr>
          <w:szCs w:val="20"/>
        </w:rPr>
        <w:t xml:space="preserve"> operacyjne powinno być określone z uwzględnieniem wymagań ruchu lotniczego korzystającego z lotniska, widoczności elementów lotniska w stosunku do otoczenia, w którym się znajdują oraz zainstalowania innych wzrokowych i niewzrokowych pomocy na lotnisku, pomocnych do zlokalizowania lotniska.</w:t>
      </w:r>
    </w:p>
    <w:p w14:paraId="3ABC6C29"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Latarnia</w:t>
      </w:r>
      <w:r w:rsidRPr="009E064B">
        <w:rPr>
          <w:szCs w:val="20"/>
        </w:rPr>
        <w:t xml:space="preserve"> lotniskowa</w:t>
      </w:r>
    </w:p>
    <w:p w14:paraId="698E2C92"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Zastosowanie</w:t>
      </w:r>
    </w:p>
    <w:p w14:paraId="0E50C86A" w14:textId="45D64E5E" w:rsidR="00C36D76" w:rsidRPr="009E064B" w:rsidRDefault="00C36D76" w:rsidP="00B06A9A">
      <w:pPr>
        <w:pStyle w:val="Akapitzlist"/>
        <w:ind w:left="1134"/>
        <w:rPr>
          <w:szCs w:val="20"/>
        </w:rPr>
      </w:pPr>
      <w:r w:rsidRPr="009E064B">
        <w:rPr>
          <w:szCs w:val="20"/>
        </w:rPr>
        <w:t>Latarnię lotniskową należy zainstalować na lotnisku przeznaczonym do wykorzystywania w nocy, jeżeli statki powietrzne w p</w:t>
      </w:r>
      <w:r w:rsidR="002B2B37">
        <w:rPr>
          <w:szCs w:val="20"/>
        </w:rPr>
        <w:t xml:space="preserve">rzewarzającej mierze nawigują z </w:t>
      </w:r>
      <w:r w:rsidRPr="009E064B">
        <w:rPr>
          <w:szCs w:val="20"/>
        </w:rPr>
        <w:t>wykorzystaniem środków wzrokowych oraz sp</w:t>
      </w:r>
      <w:r w:rsidR="002B2B37">
        <w:rPr>
          <w:szCs w:val="20"/>
        </w:rPr>
        <w:t xml:space="preserve">ełniony jest jeden lub więcej z </w:t>
      </w:r>
      <w:r w:rsidRPr="009E064B">
        <w:rPr>
          <w:szCs w:val="20"/>
        </w:rPr>
        <w:t>poniższych warunków:</w:t>
      </w:r>
    </w:p>
    <w:p w14:paraId="4C254926"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często występują warunki ograniczonej widzialności; lub</w:t>
      </w:r>
    </w:p>
    <w:p w14:paraId="4D740AF3"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lokalizacja lotniska z powietrza jest utrudniona ze względu na oświetlenie otoczenia lub ukształtowanie terenu.</w:t>
      </w:r>
    </w:p>
    <w:p w14:paraId="77D4E570"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Lokalizacja</w:t>
      </w:r>
    </w:p>
    <w:p w14:paraId="3D72FFBC"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Latarnia lotniskowa powinna być zlokalizowana na lotnisku lub w jego najbliższym sąsiedztwie w strefie o niskim oświetleniu tła.</w:t>
      </w:r>
    </w:p>
    <w:p w14:paraId="7FC9A77C"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Lokalizacja latarni lotniskowej powinna być taka, aby nie była ona przesłonięta przez obiekty na głównych kierunkach oraz nie powodowała oślepienia pilotów w trakcie podejścia do lądowania.</w:t>
      </w:r>
    </w:p>
    <w:p w14:paraId="762B383B"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Charakterystyki</w:t>
      </w:r>
    </w:p>
    <w:p w14:paraId="731916C2"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Latarnia lotniskowa powinna wysyłać błyski kolorowe na przemian z błyskami białymi, lub tylko błyski koloru białego.</w:t>
      </w:r>
    </w:p>
    <w:p w14:paraId="248AFCE6"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Częstotliwość cykli błysków powinna wynosić od 20 do 30 na minutę.</w:t>
      </w:r>
    </w:p>
    <w:p w14:paraId="0314D71B"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Światło latarni powinno być widoczne z każdego kierunku. Wiązka światła w płaszczyźnie pionowej powinna zawierać się od kąta wzniesienia nie większego niż 1°, do kąta wzniesienia wystarczającego dla prowadzenia statku powietrznego na maksymalnej wysokości, dla jakiej przewidziana jest dana latarnia, zaś efektywna intensywność błysku powinna wynosić nie mniej niż 2000 cd.</w:t>
      </w:r>
    </w:p>
    <w:p w14:paraId="518CC83A"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W miejscach, gdzie nie można uniknąć wysokiego poziomu oświetlenia tła, może wystąpić potrzeba zwiększenia efektywnej intensywności błyskowej świateł w skrajnym przypadku nawet o 10 razy.</w:t>
      </w:r>
    </w:p>
    <w:p w14:paraId="20EA335D"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Latarnia</w:t>
      </w:r>
      <w:r w:rsidRPr="009E064B">
        <w:rPr>
          <w:szCs w:val="20"/>
        </w:rPr>
        <w:t xml:space="preserve"> identyfikacji lotniska</w:t>
      </w:r>
    </w:p>
    <w:p w14:paraId="53C13C8B"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Zastosowanie</w:t>
      </w:r>
    </w:p>
    <w:p w14:paraId="373C7E75" w14:textId="77777777" w:rsidR="00C36D76" w:rsidRPr="009E064B" w:rsidRDefault="00C36D76" w:rsidP="00B06A9A">
      <w:pPr>
        <w:pStyle w:val="Akapitzlist"/>
        <w:ind w:left="1134"/>
        <w:rPr>
          <w:szCs w:val="20"/>
        </w:rPr>
      </w:pPr>
      <w:r w:rsidRPr="009E064B">
        <w:rPr>
          <w:szCs w:val="20"/>
        </w:rPr>
        <w:t>Latarnia identyfikacji lotniska powinna być zainstalowana na lotnisku wykorzystywanym w nocy, które jest trudne do zidentyfikowania z powietrza przy użyciu innych środków.</w:t>
      </w:r>
    </w:p>
    <w:p w14:paraId="26CC1FC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Lokalizacja</w:t>
      </w:r>
    </w:p>
    <w:p w14:paraId="7FECD861"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Latarnia identyfikacji lotniska powinna być zlokalizowana na lotnisku w strefie o niskim poziomie oświetlenia tła.</w:t>
      </w:r>
    </w:p>
    <w:p w14:paraId="3C360A6F"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t>Lokalizacja</w:t>
      </w:r>
      <w:r w:rsidRPr="009E064B">
        <w:rPr>
          <w:szCs w:val="20"/>
        </w:rPr>
        <w:t xml:space="preserve"> latarni identyfikacyjnej lotniska powinna być taka, aby nie była ona zasłonięta przez obiekty na głównych kierunkach oraz nie powodowała oślepienia pilotów w czasie podejścia do lądowania.</w:t>
      </w:r>
    </w:p>
    <w:p w14:paraId="003B0E48"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Charakterystyki</w:t>
      </w:r>
    </w:p>
    <w:p w14:paraId="749F9E58"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Światło latarni identyfikacji lotniska powinno być widoczne z każdego kierunku. Wiązka światła w płaszczyźnie pionowej powinna zawierać się od kąta wzniesienia nie większego niż 1°, do kąta wzniesienia wystarczającego dla prowadzenia statku powietrznego na maksymalnej wysokości, dla jakiej przewidziana jest dana latarnia, zaś efektywna intensywność błysku powinna wynosić nie mniej niż 2 000 cd.</w:t>
      </w:r>
    </w:p>
    <w:p w14:paraId="2A8A8D08"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W miejscach, gdzie nie można uniknąć wysokiego poziomu oświetlenia tła, może wystąpić potrzeba zwiększenia efektywnej intensywności błyskowej świateł w skrajnym przypadku nawet o 10 razy.</w:t>
      </w:r>
    </w:p>
    <w:p w14:paraId="205145E6"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Latarnia identyfikacji lotniska powinna wysyłać błyski koloru zielonego.</w:t>
      </w:r>
    </w:p>
    <w:p w14:paraId="68F341CC" w14:textId="3D35C3A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Znaki identyfikacyjne powinny być wysyłane w międzynarodowym kodzie Morse'a.</w:t>
      </w:r>
    </w:p>
    <w:p w14:paraId="5730269E" w14:textId="544E7D29" w:rsidR="00C36D76" w:rsidRPr="009E064B" w:rsidRDefault="00C36D76" w:rsidP="00B06A9A">
      <w:pPr>
        <w:tabs>
          <w:tab w:val="left" w:pos="1701"/>
        </w:tabs>
        <w:ind w:left="1701" w:hanging="567"/>
        <w:rPr>
          <w:szCs w:val="20"/>
        </w:rPr>
      </w:pPr>
      <w:r w:rsidRPr="009E064B">
        <w:rPr>
          <w:rFonts w:cs="Times New Roman"/>
          <w:szCs w:val="20"/>
        </w:rPr>
        <w:t xml:space="preserve">(v) </w:t>
      </w:r>
      <w:r w:rsidRPr="009E064B">
        <w:rPr>
          <w:rFonts w:cs="Times New Roman"/>
          <w:szCs w:val="20"/>
        </w:rPr>
        <w:tab/>
      </w:r>
      <w:r w:rsidRPr="009E064B">
        <w:rPr>
          <w:szCs w:val="20"/>
        </w:rPr>
        <w:t>Prędkość nadawania powinna wynosić od sześ</w:t>
      </w:r>
      <w:r w:rsidR="002B2B37">
        <w:rPr>
          <w:szCs w:val="20"/>
        </w:rPr>
        <w:t>ciu do ośmiu słów na minutę, co </w:t>
      </w:r>
      <w:r w:rsidRPr="009E064B">
        <w:rPr>
          <w:szCs w:val="20"/>
        </w:rPr>
        <w:t>odpowiada od 0,15 do 0,20 sekundy na jeden znak kropki kodu Morse'a.</w:t>
      </w:r>
    </w:p>
    <w:p w14:paraId="6D4670BC" w14:textId="6C5A5135" w:rsidR="00C73B63" w:rsidRPr="009E064B" w:rsidRDefault="00792F46" w:rsidP="00133B99">
      <w:pPr>
        <w:pStyle w:val="Nagwek6"/>
      </w:pPr>
      <w:bookmarkStart w:id="1460" w:name="_Toc401059023"/>
      <w:bookmarkStart w:id="1461" w:name="_Toc482886891"/>
      <w:bookmarkStart w:id="1462" w:name="_Toc12533174"/>
      <w:r w:rsidRPr="009E064B">
        <w:t xml:space="preserve">GM1 ADR-DSN.M.620     </w:t>
      </w:r>
      <w:r w:rsidR="00C73B63" w:rsidRPr="009E064B">
        <w:t>Latarnie lotnicze</w:t>
      </w:r>
      <w:bookmarkEnd w:id="1460"/>
      <w:bookmarkEnd w:id="1461"/>
      <w:bookmarkEnd w:id="1462"/>
    </w:p>
    <w:p w14:paraId="7B4654C4" w14:textId="32789749" w:rsidR="00792F46" w:rsidRPr="009E064B" w:rsidRDefault="001F74A1" w:rsidP="00792F4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25FC75F" w14:textId="0317939C" w:rsidR="00C126F7" w:rsidRPr="009E064B" w:rsidRDefault="00C73B63" w:rsidP="00B06A9A">
      <w:pPr>
        <w:spacing w:after="0"/>
      </w:pPr>
      <w:r w:rsidRPr="009E064B">
        <w:t>Celowo pozostawiono puste.</w:t>
      </w:r>
    </w:p>
    <w:p w14:paraId="42D56814" w14:textId="0162B77D" w:rsidR="00C36D76" w:rsidRPr="009E064B" w:rsidRDefault="00C36D76" w:rsidP="00B06A9A">
      <w:pPr>
        <w:pStyle w:val="Nagwek4"/>
        <w:rPr>
          <w:color w:val="auto"/>
        </w:rPr>
      </w:pPr>
      <w:bookmarkStart w:id="1463" w:name="_CS_ADR-DSN.M.625_"/>
      <w:bookmarkStart w:id="1464" w:name="_Toc482886668"/>
      <w:bookmarkStart w:id="1465" w:name="_Toc12533175"/>
      <w:bookmarkEnd w:id="1463"/>
      <w:r w:rsidRPr="009E064B">
        <w:rPr>
          <w:color w:val="auto"/>
        </w:rPr>
        <w:t xml:space="preserve">CS </w:t>
      </w:r>
      <w:r w:rsidR="000622CB" w:rsidRPr="009E064B">
        <w:rPr>
          <w:color w:val="auto"/>
        </w:rPr>
        <w:t xml:space="preserve">ADR-DSN.M.625     </w:t>
      </w:r>
      <w:r w:rsidRPr="009E064B">
        <w:rPr>
          <w:color w:val="auto"/>
        </w:rPr>
        <w:t>Systemy świateł podejścia</w:t>
      </w:r>
      <w:bookmarkEnd w:id="1464"/>
      <w:bookmarkEnd w:id="1465"/>
      <w:r w:rsidRPr="009E064B">
        <w:rPr>
          <w:color w:val="auto"/>
        </w:rPr>
        <w:t xml:space="preserve"> </w:t>
      </w:r>
    </w:p>
    <w:p w14:paraId="653BBE0F" w14:textId="155A04C3"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0069AD0" w14:textId="4F9276A1"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systemu świateł podejścia jest zapewnienie wskazówek do wykonania skrętu i wyrównania oraz informacji dotyczącej odległości w celu umożliwienia bezpiecznego podejścia do lądowania na drodze startowej.</w:t>
      </w:r>
    </w:p>
    <w:p w14:paraId="686DE557"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Droga </w:t>
      </w:r>
      <w:r w:rsidRPr="009E064B">
        <w:rPr>
          <w:rFonts w:cs="TimesNewRomanPS-BoldItalicMT"/>
          <w:bCs/>
          <w:iCs/>
          <w:szCs w:val="20"/>
        </w:rPr>
        <w:t>startowa</w:t>
      </w:r>
      <w:r w:rsidRPr="009E064B">
        <w:rPr>
          <w:szCs w:val="20"/>
        </w:rPr>
        <w:t xml:space="preserve"> nieprzyrządowa</w:t>
      </w:r>
    </w:p>
    <w:p w14:paraId="5B043B42" w14:textId="03B2C467" w:rsidR="00C36D76" w:rsidRPr="009E064B" w:rsidRDefault="00C36D76" w:rsidP="00B06A9A">
      <w:pPr>
        <w:pStyle w:val="Akapitzlist"/>
        <w:ind w:left="567"/>
        <w:rPr>
          <w:szCs w:val="20"/>
        </w:rPr>
      </w:pPr>
      <w:r w:rsidRPr="009E064B">
        <w:rPr>
          <w:szCs w:val="20"/>
        </w:rPr>
        <w:t xml:space="preserve">Zastosowanie: Tam, gdzie jest to fizycznie wykonalne, powinno się instalować prosty system świateł podejścia, spełniający warunki określone w </w:t>
      </w:r>
      <w:hyperlink w:anchor="_CS_ADR-DSN.M.626_" w:history="1">
        <w:r w:rsidRPr="009E064B">
          <w:rPr>
            <w:rStyle w:val="Hipercze"/>
            <w:szCs w:val="20"/>
          </w:rPr>
          <w:t>CS ADR-DSN.M.626</w:t>
        </w:r>
      </w:hyperlink>
      <w:r w:rsidRPr="009E064B">
        <w:rPr>
          <w:szCs w:val="20"/>
        </w:rPr>
        <w:t>, obsługujący nieprzyrządową drogę startową o cyfrze kodu 3 lub 4, wykorzystywaną w nocy, z wyjątkiem, gdy droga startowa jest używana wyłącznie w warunkach dobrej widzialności oraz pozostałe pomoce wzrokowe zapewniają wystarczające prowadzenie.</w:t>
      </w:r>
    </w:p>
    <w:p w14:paraId="4C622818"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szCs w:val="20"/>
        </w:rPr>
        <w:t>Droga startowa z podejściem nieprecyzyjnym</w:t>
      </w:r>
    </w:p>
    <w:p w14:paraId="6CA907BE" w14:textId="05FBAA8E" w:rsidR="00C36D76" w:rsidRPr="009E064B" w:rsidRDefault="00C36D76" w:rsidP="00B06A9A">
      <w:pPr>
        <w:pStyle w:val="Akapitzlist"/>
        <w:ind w:left="567"/>
        <w:rPr>
          <w:szCs w:val="20"/>
        </w:rPr>
      </w:pPr>
      <w:r w:rsidRPr="009E064B">
        <w:rPr>
          <w:szCs w:val="20"/>
        </w:rPr>
        <w:t xml:space="preserve">Zastosowanie: Tam, gdzie jest to fizycznie wykonalne, należy instalować prosty system świateł podejścia, spełniający warunki określone w </w:t>
      </w:r>
      <w:hyperlink w:anchor="_CS_ADR-DSN.M.626_" w:history="1">
        <w:r w:rsidRPr="009E064B">
          <w:rPr>
            <w:rStyle w:val="Hipercze"/>
            <w:szCs w:val="20"/>
          </w:rPr>
          <w:t>CS ADR-DSN.M.626</w:t>
        </w:r>
      </w:hyperlink>
      <w:r w:rsidRPr="009E064B">
        <w:rPr>
          <w:szCs w:val="20"/>
        </w:rPr>
        <w:t>, obsługujący drogę startową z podejściem nieprecyzyjnym, z wyjątkiem, gdy droga startowa jest używana wyłącznie w warunkach dobrej widzialności lub pozostałe pomoce wzrokowe zapewniają wystarczające prowadzenie.</w:t>
      </w:r>
    </w:p>
    <w:p w14:paraId="2B9AFADC"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(d) </w:t>
      </w:r>
      <w:r w:rsidRPr="009E064B">
        <w:rPr>
          <w:rFonts w:cs="Times New Roman"/>
          <w:szCs w:val="20"/>
        </w:rPr>
        <w:tab/>
      </w:r>
      <w:r w:rsidRPr="009E064B">
        <w:rPr>
          <w:szCs w:val="20"/>
        </w:rPr>
        <w:t>Droga startowa z podejściem precyzyjnym kategorii I</w:t>
      </w:r>
    </w:p>
    <w:p w14:paraId="7396A70E" w14:textId="1E90A3BB" w:rsidR="00C36D76" w:rsidRPr="009E064B" w:rsidRDefault="00C36D76" w:rsidP="00B06A9A">
      <w:pPr>
        <w:pStyle w:val="Akapitzlist"/>
        <w:ind w:left="567"/>
        <w:rPr>
          <w:szCs w:val="20"/>
        </w:rPr>
      </w:pPr>
      <w:r w:rsidRPr="009E064B">
        <w:rPr>
          <w:szCs w:val="20"/>
        </w:rPr>
        <w:t xml:space="preserve">Zastosowanie: Tam, gdzie jest to fizycznie wykonalne, należy instalować system świateł podejścia precyzyjnego kategorii I, spełniający warunki określone w </w:t>
      </w:r>
      <w:hyperlink w:anchor="_CS_ADR-DSN.M.630_" w:history="1">
        <w:r w:rsidRPr="009E064B">
          <w:rPr>
            <w:rStyle w:val="Hipercze"/>
            <w:szCs w:val="20"/>
          </w:rPr>
          <w:t>CS ADR-DSN.M.630</w:t>
        </w:r>
      </w:hyperlink>
      <w:r w:rsidRPr="009E064B">
        <w:rPr>
          <w:szCs w:val="20"/>
        </w:rPr>
        <w:t>, obsługujący drogę startową z podejściem precyzyjnym kategorii I.</w:t>
      </w:r>
    </w:p>
    <w:p w14:paraId="7593BBD2"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(e) </w:t>
      </w:r>
      <w:r w:rsidRPr="009E064B">
        <w:rPr>
          <w:rFonts w:cs="Times New Roman"/>
          <w:szCs w:val="20"/>
        </w:rPr>
        <w:tab/>
      </w:r>
      <w:r w:rsidRPr="009E064B">
        <w:rPr>
          <w:szCs w:val="20"/>
        </w:rPr>
        <w:t xml:space="preserve">Droga </w:t>
      </w:r>
      <w:r w:rsidRPr="009E064B">
        <w:rPr>
          <w:rFonts w:cs="TimesNewRomanPS-BoldItalicMT"/>
          <w:bCs/>
          <w:iCs/>
          <w:szCs w:val="20"/>
        </w:rPr>
        <w:t>startowa</w:t>
      </w:r>
      <w:r w:rsidRPr="009E064B">
        <w:rPr>
          <w:szCs w:val="20"/>
        </w:rPr>
        <w:t xml:space="preserve"> z podejściem precyzyjnym kategorii II i III</w:t>
      </w:r>
    </w:p>
    <w:p w14:paraId="3F994B52" w14:textId="0FB67C64" w:rsidR="00C36D76" w:rsidRPr="009E064B" w:rsidRDefault="00C36D76" w:rsidP="00B06A9A">
      <w:pPr>
        <w:ind w:left="567"/>
        <w:rPr>
          <w:szCs w:val="20"/>
        </w:rPr>
      </w:pPr>
      <w:r w:rsidRPr="009E064B">
        <w:rPr>
          <w:szCs w:val="20"/>
        </w:rPr>
        <w:t xml:space="preserve">Zastosowanie: System świateł podejścia precyzyjnego kategorii II i III, </w:t>
      </w:r>
      <w:r w:rsidR="005E3E07" w:rsidRPr="009E064B">
        <w:rPr>
          <w:szCs w:val="20"/>
        </w:rPr>
        <w:t>spełniający warunki określone w</w:t>
      </w:r>
      <w:r w:rsidRPr="009E064B">
        <w:rPr>
          <w:szCs w:val="20"/>
        </w:rPr>
        <w:t xml:space="preserve"> </w:t>
      </w:r>
      <w:hyperlink w:anchor="_CS_ADR-DSN.M.635_" w:history="1">
        <w:r w:rsidRPr="009E064B">
          <w:rPr>
            <w:rStyle w:val="Hipercze"/>
            <w:szCs w:val="20"/>
          </w:rPr>
          <w:t>CS ADR-DSN.M.635</w:t>
        </w:r>
      </w:hyperlink>
      <w:r w:rsidRPr="009E064B">
        <w:rPr>
          <w:szCs w:val="20"/>
        </w:rPr>
        <w:t xml:space="preserve"> powinien być zainstalowany do obsługi drogi startowej z podejściem precyzyjnym kategorii II lub III.</w:t>
      </w:r>
    </w:p>
    <w:p w14:paraId="76EB4F2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C482DC9" w14:textId="7F560FF3" w:rsidR="00C73B63" w:rsidRPr="009E064B" w:rsidRDefault="000622CB" w:rsidP="00133B99">
      <w:pPr>
        <w:pStyle w:val="Nagwek6"/>
      </w:pPr>
      <w:bookmarkStart w:id="1466" w:name="_Toc401059025"/>
      <w:bookmarkStart w:id="1467" w:name="_Toc482886892"/>
      <w:bookmarkStart w:id="1468" w:name="_Toc12533176"/>
      <w:r w:rsidRPr="009E064B">
        <w:t xml:space="preserve">GM1 ADR-DSN.M.625     </w:t>
      </w:r>
      <w:r w:rsidR="00C73B63" w:rsidRPr="009E064B">
        <w:t>Systemy świateł podejścia</w:t>
      </w:r>
      <w:bookmarkEnd w:id="1466"/>
      <w:bookmarkEnd w:id="1467"/>
      <w:bookmarkEnd w:id="1468"/>
    </w:p>
    <w:p w14:paraId="4F804BB3" w14:textId="62C59E6B" w:rsidR="000622CB" w:rsidRPr="009E064B" w:rsidRDefault="00D63D4F" w:rsidP="000622CB">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8114EDD" w14:textId="342CFC89" w:rsidR="00C73B63" w:rsidRPr="009E064B" w:rsidRDefault="00C73B63" w:rsidP="00B06A9A">
      <w:pPr>
        <w:tabs>
          <w:tab w:val="left" w:pos="567"/>
        </w:tabs>
        <w:autoSpaceDE w:val="0"/>
        <w:autoSpaceDN w:val="0"/>
        <w:adjustRightInd w:val="0"/>
        <w:ind w:left="567" w:hanging="567"/>
        <w:rPr>
          <w:rFonts w:eastAsia="Times New Roman,Bold" w:cs="Times New Roman,Bold"/>
          <w:bCs/>
          <w:szCs w:val="20"/>
        </w:rPr>
      </w:pPr>
      <w:r w:rsidRPr="009E064B">
        <w:rPr>
          <w:rFonts w:cs="TimesNewRomanPS-BoldItalicMT"/>
          <w:bCs/>
          <w:iCs/>
          <w:szCs w:val="20"/>
        </w:rPr>
        <w:t xml:space="preserve">(a) </w:t>
      </w:r>
      <w:r w:rsidRPr="009E064B">
        <w:rPr>
          <w:rFonts w:cs="TimesNewRomanPS-BoldItalicMT"/>
          <w:bCs/>
          <w:iCs/>
          <w:szCs w:val="20"/>
        </w:rPr>
        <w:tab/>
      </w:r>
      <w:r w:rsidR="007655D0" w:rsidRPr="009E064B">
        <w:rPr>
          <w:rFonts w:eastAsia="Times New Roman,Bold" w:cs="Times New Roman,Bold"/>
          <w:bCs/>
          <w:szCs w:val="20"/>
        </w:rPr>
        <w:t>typ</w:t>
      </w:r>
      <w:r w:rsidRPr="009E064B">
        <w:rPr>
          <w:rFonts w:eastAsia="Times New Roman,Bold" w:cs="Times New Roman,Bold"/>
          <w:bCs/>
          <w:szCs w:val="20"/>
        </w:rPr>
        <w:t>y i charakterystyki:</w:t>
      </w:r>
    </w:p>
    <w:p w14:paraId="0B0B3BC5"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Bold" w:cs="Times New Roman"/>
          <w:szCs w:val="20"/>
        </w:rPr>
        <w:t>Na Rysunkach M-1 i M-2 przedstawiono powszechnie stosowane systemy świateł podejścia do lądowania. Rysunki M-3A i M-3B przedstawiają system świateł podejścia precyzyjnego kategorii II i III na odcinku 300 m od progu drogi startowej.</w:t>
      </w:r>
    </w:p>
    <w:p w14:paraId="4900B2FB" w14:textId="391C0228" w:rsidR="00C73B63" w:rsidRPr="0021406A"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Bold" w:cs="Times New Roman"/>
          <w:szCs w:val="20"/>
        </w:rPr>
        <w:t>Niezależnie od tego czy próg znajduje się na końcu drogi startowej czy jest przesunięty, należy przyjmować taki sam układ geometryczny systemu świateł podejścia. W obydwu przypadkach światła podejścia powinny rozciągać się aż do progu. W przypadku progu przesuniętego, w celu uzyskania wymaganej konfiguracji, stosuje się światła typu zagłębionego od końca drogi startowej do progu. Światła typu zagłębionego powinny odpowiadać wymaganiom konstrukcyjnym określonym w</w:t>
      </w:r>
      <w:r w:rsidR="00C126F7" w:rsidRPr="009E064B">
        <w:rPr>
          <w:rFonts w:eastAsia="Times New Roman,Bold" w:cs="Times New Roman"/>
          <w:szCs w:val="20"/>
        </w:rPr>
        <w:t xml:space="preserve"> </w:t>
      </w:r>
      <w:hyperlink w:anchor="_CS_ADR-DSN.M.615_" w:history="1">
        <w:r w:rsidRPr="009E064B">
          <w:rPr>
            <w:rStyle w:val="Hipercze"/>
            <w:rFonts w:eastAsia="Times New Roman,Bold" w:cs="Times New Roman"/>
            <w:szCs w:val="20"/>
          </w:rPr>
          <w:t>CS ADR.DSN.M.615</w:t>
        </w:r>
      </w:hyperlink>
      <w:r w:rsidR="00C126F7" w:rsidRPr="009E064B">
        <w:rPr>
          <w:rFonts w:eastAsia="Times New Roman,Bold" w:cs="Times New Roman"/>
          <w:szCs w:val="20"/>
        </w:rPr>
        <w:t xml:space="preserve"> lit. </w:t>
      </w:r>
      <w:r w:rsidRPr="009E064B">
        <w:rPr>
          <w:rFonts w:eastAsia="Times New Roman,Bold" w:cs="Times New Roman"/>
          <w:szCs w:val="20"/>
        </w:rPr>
        <w:t>(d)</w:t>
      </w:r>
      <w:r w:rsidR="00C126F7" w:rsidRPr="009E064B">
        <w:rPr>
          <w:rFonts w:eastAsia="Times New Roman,Bold" w:cs="Times New Roman"/>
          <w:szCs w:val="20"/>
        </w:rPr>
        <w:t xml:space="preserve"> pkt </w:t>
      </w:r>
      <w:r w:rsidRPr="009E064B">
        <w:rPr>
          <w:rFonts w:eastAsia="Times New Roman,Bold" w:cs="Times New Roman"/>
          <w:szCs w:val="20"/>
        </w:rPr>
        <w:t>(1). Charakterystyki świateł typu zagłębionego powinny być zgodne ze specyfikacja</w:t>
      </w:r>
      <w:r w:rsidR="005E3E07" w:rsidRPr="009E064B">
        <w:rPr>
          <w:rFonts w:eastAsia="Times New Roman,Bold" w:cs="Times New Roman"/>
          <w:szCs w:val="20"/>
        </w:rPr>
        <w:t xml:space="preserve">mi określonymi odpowiednio w </w:t>
      </w:r>
      <w:hyperlink w:anchor="_CS_ADR-DSN.U.940_" w:history="1">
        <w:r w:rsidR="005E3E07" w:rsidRPr="009E064B">
          <w:rPr>
            <w:rStyle w:val="Hipercze"/>
            <w:rFonts w:eastAsia="Times New Roman,Bold" w:cs="Times New Roman"/>
            <w:szCs w:val="20"/>
          </w:rPr>
          <w:t>CS </w:t>
        </w:r>
        <w:r w:rsidRPr="009E064B">
          <w:rPr>
            <w:rStyle w:val="Hipercze"/>
            <w:rFonts w:eastAsia="Times New Roman,Bold" w:cs="Times New Roman"/>
            <w:szCs w:val="20"/>
          </w:rPr>
          <w:t>ADR-DSN.U.940</w:t>
        </w:r>
      </w:hyperlink>
      <w:r w:rsidRPr="009E064B">
        <w:rPr>
          <w:rFonts w:eastAsia="Times New Roman,Bold" w:cs="Times New Roman"/>
          <w:szCs w:val="20"/>
        </w:rPr>
        <w:t>, Rysunek U-5 lub U-6, a ich chromatyczność powinna by</w:t>
      </w:r>
      <w:r w:rsidR="005E3E07" w:rsidRPr="009E064B">
        <w:rPr>
          <w:rFonts w:eastAsia="Times New Roman,Bold" w:cs="Times New Roman"/>
          <w:szCs w:val="20"/>
        </w:rPr>
        <w:t xml:space="preserve">ć zgodna ze specyfikacjami w </w:t>
      </w:r>
      <w:hyperlink w:anchor="_CS_ADR-DSN.U.930_" w:history="1">
        <w:r w:rsidR="005E3E07" w:rsidRPr="009E064B">
          <w:rPr>
            <w:rStyle w:val="Hipercze"/>
            <w:rFonts w:eastAsia="Times New Roman,Bold" w:cs="Times New Roman"/>
            <w:szCs w:val="20"/>
          </w:rPr>
          <w:t>CS </w:t>
        </w:r>
        <w:r w:rsidRPr="009E064B">
          <w:rPr>
            <w:rStyle w:val="Hipercze"/>
            <w:rFonts w:eastAsia="Times New Roman,Bold" w:cs="Times New Roman"/>
            <w:szCs w:val="20"/>
          </w:rPr>
          <w:t>ADR-DSN.U.930</w:t>
        </w:r>
      </w:hyperlink>
      <w:r w:rsidR="00844541" w:rsidRPr="009E064B">
        <w:rPr>
          <w:rFonts w:eastAsia="Times New Roman,Bold" w:cs="Times New Roman"/>
          <w:szCs w:val="20"/>
        </w:rPr>
        <w:t xml:space="preserve"> </w:t>
      </w:r>
      <w:r w:rsidR="00844541" w:rsidRPr="0021406A">
        <w:rPr>
          <w:rFonts w:eastAsia="Times New Roman,Bold" w:cs="Times New Roman"/>
          <w:szCs w:val="20"/>
        </w:rPr>
        <w:t>i </w:t>
      </w:r>
      <w:r w:rsidR="005F0DA7" w:rsidRPr="0021406A">
        <w:rPr>
          <w:rFonts w:eastAsia="Times New Roman,Bold" w:cs="Times New Roman"/>
          <w:szCs w:val="20"/>
        </w:rPr>
        <w:t xml:space="preserve">odpowiednio </w:t>
      </w:r>
      <w:r w:rsidRPr="0021406A">
        <w:rPr>
          <w:rFonts w:eastAsia="Times New Roman,Bold" w:cs="Times New Roman"/>
          <w:szCs w:val="20"/>
        </w:rPr>
        <w:t>na Rysunku U-1</w:t>
      </w:r>
      <w:r w:rsidR="005F0DA7" w:rsidRPr="0021406A">
        <w:rPr>
          <w:rFonts w:eastAsia="Times New Roman,Bold" w:cs="Times New Roman"/>
          <w:szCs w:val="20"/>
        </w:rPr>
        <w:t>A lub U1B</w:t>
      </w:r>
      <w:r w:rsidRPr="0021406A">
        <w:rPr>
          <w:rFonts w:eastAsia="Times New Roman,Bold" w:cs="Times New Roman"/>
          <w:szCs w:val="20"/>
        </w:rPr>
        <w:t>.</w:t>
      </w:r>
    </w:p>
    <w:p w14:paraId="3ADF2CC9"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Bold" w:cs="Times New Roman"/>
          <w:szCs w:val="20"/>
        </w:rPr>
        <w:t>Do projektowania systemów świetlnych należy wykorzystywać obwiednie trajektorii lotu określone na Rysunku GM-M-2.</w:t>
      </w:r>
    </w:p>
    <w:p w14:paraId="1EC6008D" w14:textId="77777777" w:rsidR="00C73B63" w:rsidRPr="009E064B" w:rsidRDefault="00C73B63" w:rsidP="00B06A9A">
      <w:pPr>
        <w:tabs>
          <w:tab w:val="left" w:pos="567"/>
        </w:tabs>
        <w:autoSpaceDE w:val="0"/>
        <w:autoSpaceDN w:val="0"/>
        <w:adjustRightInd w:val="0"/>
        <w:ind w:left="567" w:hanging="567"/>
        <w:rPr>
          <w:rFonts w:eastAsia="Times New Roman,Bold" w:cs="Times New Roman,BoldItalic"/>
          <w:bCs/>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Tolerancje</w:t>
      </w:r>
      <w:r w:rsidRPr="009E064B">
        <w:rPr>
          <w:rFonts w:eastAsia="Times New Roman,Bold" w:cs="Times New Roman,Bold"/>
          <w:bCs/>
          <w:szCs w:val="20"/>
        </w:rPr>
        <w:t xml:space="preserve"> montażu w</w:t>
      </w:r>
      <w:r w:rsidRPr="009E064B">
        <w:rPr>
          <w:rFonts w:eastAsia="Times New Roman,Bold" w:cs="Times New Roman,BoldItalic"/>
          <w:bCs/>
          <w:iCs/>
          <w:szCs w:val="20"/>
        </w:rPr>
        <w:t xml:space="preserve"> płaszczyźnie poziomej:</w:t>
      </w:r>
    </w:p>
    <w:p w14:paraId="2D0FD96C"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Bold" w:cs="Times New Roman"/>
          <w:szCs w:val="20"/>
        </w:rPr>
        <w:t>Tolerancje wymiarów określono na Rysunku M-1 i M-2.</w:t>
      </w:r>
    </w:p>
    <w:p w14:paraId="5414C08D"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Bold" w:cs="Times New Roman"/>
          <w:szCs w:val="20"/>
        </w:rPr>
        <w:t>Linia środkowa systemu świateł podejścia powinna możliwie ściśle pokrywać się z przedłużeniem linii środkowej drogi startowej, z maksymalną tolerancją ±15’.</w:t>
      </w:r>
    </w:p>
    <w:p w14:paraId="3B2BC387"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Bold" w:cs="Times New Roman"/>
          <w:szCs w:val="20"/>
        </w:rPr>
        <w:t>Podłużny rozstaw świateł linii środkowej powinien być taki, aby jedno światło (lub grupa świateł) było umieszczone w środku każdej poprzeczki i aby światła linii środkowej pomiędzy dwoma poprzeczkami lub między poprzeczką a progiem były rozstawione możliwie regularnie.</w:t>
      </w:r>
    </w:p>
    <w:p w14:paraId="18F8F7E0" w14:textId="77777777" w:rsidR="00C73B63" w:rsidRPr="009E064B" w:rsidRDefault="00C73B63" w:rsidP="00B06A9A">
      <w:pPr>
        <w:tabs>
          <w:tab w:val="left" w:pos="1134"/>
        </w:tabs>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rFonts w:eastAsia="Times New Roman,Bold" w:cs="Times New Roman"/>
          <w:szCs w:val="20"/>
        </w:rPr>
        <w:t xml:space="preserve">Poprzeczki oraz baretki powinny być ustawione pod kątem prostym do linii środkowej świateł podejścia. Maksymalna tolerancja kątowa wynosi ± 30’ dla układu podanego na Rysunku M-2(A) oraz </w:t>
      </w:r>
      <w:r w:rsidRPr="009E064B">
        <w:rPr>
          <w:rFonts w:eastAsia="Times New Roman,Italic" w:cs="Times New Roman,Italic"/>
          <w:i/>
          <w:iCs/>
          <w:szCs w:val="20"/>
        </w:rPr>
        <w:t xml:space="preserve">± </w:t>
      </w:r>
      <w:r w:rsidRPr="009E064B">
        <w:rPr>
          <w:rFonts w:eastAsia="Times New Roman,Bold" w:cs="Times New Roman"/>
          <w:szCs w:val="20"/>
        </w:rPr>
        <w:t>2° dla układu podanego na Rysunku M-2(B).</w:t>
      </w:r>
    </w:p>
    <w:p w14:paraId="2249FA15"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(5) </w:t>
      </w:r>
      <w:r w:rsidRPr="009E064B">
        <w:rPr>
          <w:rFonts w:cs="TimesNewRomanPS-BoldItalicMT"/>
          <w:bCs/>
          <w:iCs/>
          <w:szCs w:val="20"/>
        </w:rPr>
        <w:tab/>
      </w:r>
      <w:r w:rsidRPr="009E064B">
        <w:rPr>
          <w:rFonts w:cs="Times New Roman"/>
          <w:szCs w:val="20"/>
        </w:rPr>
        <w:t>Jeżeli poprzeczka musi być przesunięta w stosunku do standardowego położenia, wówczas, w miarę możliwości, należy odpowiednio przemieścić sąsiednie poprzeczki, aby zmniejszyć różnice w odstępach między nimi.</w:t>
      </w:r>
    </w:p>
    <w:p w14:paraId="0B0BC9D4" w14:textId="77777777" w:rsidR="00C73B63" w:rsidRPr="009E064B" w:rsidRDefault="00C73B63" w:rsidP="00B06A9A">
      <w:pPr>
        <w:tabs>
          <w:tab w:val="left" w:pos="1134"/>
        </w:tabs>
        <w:ind w:left="1134" w:hanging="567"/>
        <w:rPr>
          <w:rFonts w:cs="Times New Roman"/>
          <w:szCs w:val="20"/>
        </w:rPr>
      </w:pPr>
      <w:r w:rsidRPr="009E064B">
        <w:rPr>
          <w:rFonts w:cs="Times New Roman"/>
          <w:szCs w:val="20"/>
        </w:rPr>
        <w:t xml:space="preserve">(6) </w:t>
      </w:r>
      <w:r w:rsidRPr="009E064B">
        <w:rPr>
          <w:rFonts w:cs="Times New Roman"/>
          <w:szCs w:val="20"/>
        </w:rPr>
        <w:tab/>
        <w:t>Jeżeli poprzeczka systemu przedstawionego na Rysunku M-2(A) została przesunięta w stosunku do standardowego położenia, wówczas całkowita długość tej poprzeczki powinna być zmieniona w taki sposób, aby była ona równa jednej dwudziestej rzeczywistej odległości poprzeczki do punktu początkowego. Wprowadzenie zmian do normalnego rozstawienia świateł poprzeczek długich, co 2.7 m nie jest konieczne, ale poprzeczki te powinny być rozmieszczone symetrycznie w stosunku do linii środkowej systemu świateł podejścia.</w:t>
      </w:r>
    </w:p>
    <w:p w14:paraId="5E4A8775" w14:textId="77777777" w:rsidR="00C73B63" w:rsidRPr="009E064B" w:rsidRDefault="00C73B63" w:rsidP="00B06A9A">
      <w:pPr>
        <w:tabs>
          <w:tab w:val="left" w:pos="567"/>
        </w:tabs>
        <w:autoSpaceDE w:val="0"/>
        <w:autoSpaceDN w:val="0"/>
        <w:adjustRightInd w:val="0"/>
        <w:ind w:left="567" w:hanging="567"/>
        <w:rPr>
          <w:rFonts w:cs="Times New Roman,BoldItalic"/>
          <w:bCs/>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Tolerancje</w:t>
      </w:r>
      <w:r w:rsidRPr="009E064B">
        <w:rPr>
          <w:rFonts w:eastAsia="Times New Roman,Bold" w:cs="Times New Roman,Bold"/>
          <w:bCs/>
          <w:szCs w:val="20"/>
        </w:rPr>
        <w:t xml:space="preserve"> montażu w</w:t>
      </w:r>
      <w:r w:rsidRPr="009E064B">
        <w:rPr>
          <w:rFonts w:cs="Times New Roman,BoldItalic"/>
          <w:bCs/>
          <w:iCs/>
          <w:szCs w:val="20"/>
        </w:rPr>
        <w:t xml:space="preserve"> płaszczyźnie pionowej:</w:t>
      </w:r>
    </w:p>
    <w:p w14:paraId="6C3B6B3E" w14:textId="144C6DA1"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cs="Times New Roman"/>
          <w:szCs w:val="20"/>
        </w:rPr>
        <w:t xml:space="preserve">Idealnym układem jest umieszczenie wszystkich świateł strefy podejścia w płaszczyźnie poziomej przechodzącej przez próg drogi startowej jak przedstawiono na Rysunku </w:t>
      </w:r>
      <w:r w:rsidR="00D77074" w:rsidRPr="009E064B">
        <w:rPr>
          <w:rFonts w:cs="Times New Roman"/>
          <w:szCs w:val="20"/>
        </w:rPr>
        <w:br/>
      </w:r>
      <w:r w:rsidRPr="009E064B">
        <w:rPr>
          <w:rFonts w:cs="Times New Roman"/>
          <w:szCs w:val="20"/>
        </w:rPr>
        <w:t>GM-M-1, i o ile warunki lokalne na to pozwalają, należy dążyć do takiego układu. Światła nie powinny być zasłaniane przez budynki, drzewa itp. przed wzrokiem pilota statku powietrznego, znajdującego się o 1° poniżej elektronicznej ścieżki schodzenia w pobliżu zewnętrznego markera.</w:t>
      </w:r>
    </w:p>
    <w:p w14:paraId="3E8E1E43"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cs="Times New Roman"/>
          <w:szCs w:val="20"/>
        </w:rPr>
        <w:t>W celu zminimalizowania ryzyka uszkodzenia samolotów, które wyjechały poza drogę startową lub przyziemiły zbyt wcześnie, na obszarze zabezpieczenia przerwanego lub wydłużonego startu oraz na długości 150 m od końca drogi startowej, światła powinny być montowane tak blisko terenu jak pozwalają warunki lokalne. Poza obszarem zabezpieczenia przerwanego lub wydłużonego startu nie jest konieczne montowanie świateł blisko terenu, w związku z tym lokalne nierówności terenu mogą być niwelowane poprzez instalowanie świateł na konstrukcjach wsporczych o odpowiedniej wysokości.</w:t>
      </w:r>
    </w:p>
    <w:p w14:paraId="6D2BCA2D"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(3) </w:t>
      </w:r>
      <w:r w:rsidRPr="009E064B">
        <w:rPr>
          <w:rFonts w:cs="TimesNewRomanPS-BoldItalicMT"/>
          <w:bCs/>
          <w:iCs/>
          <w:szCs w:val="20"/>
        </w:rPr>
        <w:tab/>
      </w:r>
      <w:r w:rsidRPr="009E064B">
        <w:rPr>
          <w:rFonts w:cs="Times New Roman"/>
          <w:szCs w:val="20"/>
        </w:rPr>
        <w:t xml:space="preserve">Pożądana jest taka instalacja świateł, aby tam gdzie jest to możliwe, żaden obiekt w odległości 60 m od linii środkowej systemu </w:t>
      </w:r>
      <w:r w:rsidRPr="009E064B">
        <w:rPr>
          <w:rFonts w:eastAsia="Times New Roman,Bold" w:cs="Times New Roman"/>
          <w:szCs w:val="20"/>
        </w:rPr>
        <w:t>świateł</w:t>
      </w:r>
      <w:r w:rsidRPr="009E064B">
        <w:rPr>
          <w:rFonts w:cs="Times New Roman"/>
          <w:szCs w:val="20"/>
        </w:rPr>
        <w:t xml:space="preserve"> podejścia nie naruszał płaszczyzny świateł podejścia. Jeżeli obiekt wysoki znajduje się w odległości do 60 m od linii środkowej oraz w odległości do 1350 m od progu drogi startowej – w przypadku systemu </w:t>
      </w:r>
      <w:r w:rsidRPr="009E064B">
        <w:rPr>
          <w:rFonts w:eastAsia="Times New Roman,Bold" w:cs="Times New Roman"/>
          <w:szCs w:val="20"/>
        </w:rPr>
        <w:t>świateł</w:t>
      </w:r>
      <w:r w:rsidRPr="009E064B">
        <w:rPr>
          <w:rFonts w:cs="Times New Roman"/>
          <w:szCs w:val="20"/>
        </w:rPr>
        <w:t xml:space="preserve"> podejścia precyzyjnego lub w odległości do 900 m od progu – w przypadku prostego systemu świateł podejścia, wówczas wskazane jest takie zainstalowanie świateł, aby płaszczyzna zewnętrznej części systemu przechodziła ponad tym obiektem.</w:t>
      </w:r>
    </w:p>
    <w:p w14:paraId="43F81862" w14:textId="7EC2B335"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(4) </w:t>
      </w:r>
      <w:r w:rsidRPr="009E064B">
        <w:rPr>
          <w:rFonts w:cs="TimesNewRomanPS-BoldItalicMT"/>
          <w:bCs/>
          <w:iCs/>
          <w:szCs w:val="20"/>
        </w:rPr>
        <w:tab/>
      </w:r>
      <w:r w:rsidRPr="009E064B">
        <w:rPr>
          <w:rFonts w:cs="Times New Roman"/>
          <w:szCs w:val="20"/>
        </w:rPr>
        <w:t xml:space="preserve">Aby uniknąć wywołania mylnego wrażenia co do powierzchni terenu, światła nie powinny być instalowane na odcinku od progu do odległości 300 m poniżej płaszczyzny o gradiencie ujemnym 1:66 w stosunku do poziomu, zaś poza 300 </w:t>
      </w:r>
      <w:r w:rsidR="00D77074" w:rsidRPr="009E064B">
        <w:rPr>
          <w:rFonts w:cs="Times New Roman"/>
          <w:szCs w:val="20"/>
        </w:rPr>
        <w:t>m od progu – poniżej płaszczy o </w:t>
      </w:r>
      <w:r w:rsidRPr="009E064B">
        <w:rPr>
          <w:rFonts w:cs="Times New Roman"/>
          <w:szCs w:val="20"/>
        </w:rPr>
        <w:t>gradiencie ujemnym 1:40. W przypadku systemu świateł podejścia precyzyjnego kategorii II lub III, zastosowanie ostrzejszych kryteriów może okazać się konieczne, np. zastosowanie ujemnego spadku w odległości, co najmniej 450 m od progu może okazać się niedozwolone.</w:t>
      </w:r>
    </w:p>
    <w:p w14:paraId="1FCC4125" w14:textId="77777777" w:rsidR="00C73B63" w:rsidRPr="009E064B" w:rsidRDefault="00C73B63" w:rsidP="00B06A9A">
      <w:pPr>
        <w:tabs>
          <w:tab w:val="left" w:pos="1701"/>
        </w:tabs>
        <w:autoSpaceDE w:val="0"/>
        <w:autoSpaceDN w:val="0"/>
        <w:adjustRightInd w:val="0"/>
        <w:ind w:left="1701" w:hanging="567"/>
        <w:rPr>
          <w:rFonts w:cs="Times New Roman"/>
          <w:szCs w:val="20"/>
        </w:rPr>
      </w:pPr>
      <w:r w:rsidRPr="009E064B">
        <w:rPr>
          <w:rFonts w:cs="TimesNewRomanPS-BoldItalicMT"/>
          <w:bCs/>
          <w:iCs/>
          <w:szCs w:val="20"/>
        </w:rPr>
        <w:t xml:space="preserve">(i) </w:t>
      </w:r>
      <w:r w:rsidRPr="009E064B">
        <w:rPr>
          <w:rFonts w:cs="TimesNewRomanPS-BoldItalicMT"/>
          <w:bCs/>
          <w:iCs/>
          <w:szCs w:val="20"/>
        </w:rPr>
        <w:tab/>
      </w:r>
      <w:r w:rsidRPr="009E064B">
        <w:rPr>
          <w:rFonts w:cs="Times New Roman"/>
          <w:szCs w:val="20"/>
        </w:rPr>
        <w:t>Linia środkowa. Nachylenie każdej części świateł linii środkowej (łącznie z zabezpieczeniem przerwanego lub wydłużonego startu) powinno być w miarę możliwości jak najmniejsze, zmiany nachylenia powinny występować możliwie jak najrzadziej i również powinny być jak najmniejsze – nieprzekraczające stosunku 1:60. Jak wskazuje doświadczenie, w miarę oddalania się od drogi startowej, do przyjęcia są nachylenia dodatnie mogące osiągać 1:66 oraz nachylenia ujemne mogące osiągać 1:40.</w:t>
      </w:r>
    </w:p>
    <w:p w14:paraId="79EBDE3D" w14:textId="77777777" w:rsidR="00C73B63" w:rsidRPr="009E064B" w:rsidRDefault="00C73B63" w:rsidP="00B06A9A">
      <w:pPr>
        <w:tabs>
          <w:tab w:val="left" w:pos="1701"/>
        </w:tabs>
        <w:autoSpaceDE w:val="0"/>
        <w:autoSpaceDN w:val="0"/>
        <w:adjustRightInd w:val="0"/>
        <w:ind w:left="1701" w:hanging="567"/>
        <w:rPr>
          <w:rFonts w:cs="Times New Roman"/>
          <w:szCs w:val="20"/>
        </w:rPr>
      </w:pPr>
      <w:r w:rsidRPr="009E064B">
        <w:rPr>
          <w:rFonts w:cs="TimesNewRomanPS-BoldItalicMT"/>
          <w:bCs/>
          <w:iCs/>
          <w:szCs w:val="20"/>
        </w:rPr>
        <w:t xml:space="preserve">(ii) </w:t>
      </w:r>
      <w:r w:rsidRPr="009E064B">
        <w:rPr>
          <w:rFonts w:cs="TimesNewRomanPS-BoldItalicMT"/>
          <w:bCs/>
          <w:iCs/>
          <w:szCs w:val="20"/>
        </w:rPr>
        <w:tab/>
      </w:r>
      <w:r w:rsidRPr="009E064B">
        <w:rPr>
          <w:rFonts w:cs="Times New Roman,BoldItalic"/>
          <w:bCs/>
          <w:iCs/>
          <w:szCs w:val="20"/>
        </w:rPr>
        <w:t>Poprzeczki</w:t>
      </w:r>
      <w:r w:rsidRPr="009E064B">
        <w:rPr>
          <w:rFonts w:cs="Times New Roman"/>
          <w:szCs w:val="20"/>
        </w:rPr>
        <w:t>. Światła poprzeczki powinny być tak rozmieszczone, aby leżały w linii prostej, jeśli jest to możliwe - poziomej, przecinającej w odpowiednim miejscu światła linii środkowej. Jednakże, dopuszczalne jest montowanie świateł poprzeczki z nachyleniem poprzecznym, nie większym niż 1:80, jeżeli pozwoli to na umieszczenie świateł poprzeczki w obszarze zabezpieczenia przerwanego lub wydłużonego startu, bliżej powierzchni ziemi, w miejscach, gdzie występują spadki poprzeczne.</w:t>
      </w:r>
    </w:p>
    <w:p w14:paraId="68B9B408" w14:textId="4A0060CE" w:rsidR="00C73B63" w:rsidRPr="009E064B" w:rsidRDefault="00C73B63" w:rsidP="00B06A9A">
      <w:pPr>
        <w:tabs>
          <w:tab w:val="left" w:pos="1134"/>
        </w:tabs>
        <w:ind w:left="1134" w:hanging="567"/>
        <w:rPr>
          <w:rFonts w:eastAsia="Times New Roman,Bold" w:cs="Times New Roman,Bold"/>
          <w:bCs/>
          <w:szCs w:val="20"/>
        </w:rPr>
      </w:pPr>
      <w:r w:rsidRPr="009E064B">
        <w:rPr>
          <w:rFonts w:cs="TimesNewRomanPS-BoldItalicMT"/>
          <w:bCs/>
          <w:iCs/>
          <w:szCs w:val="20"/>
        </w:rPr>
        <w:t xml:space="preserve">(5) </w:t>
      </w:r>
      <w:r w:rsidRPr="009E064B">
        <w:rPr>
          <w:rFonts w:cs="TimesNewRomanPS-BoldItalicMT"/>
          <w:bCs/>
          <w:iCs/>
          <w:szCs w:val="20"/>
        </w:rPr>
        <w:tab/>
      </w:r>
      <w:r w:rsidRPr="009E064B">
        <w:rPr>
          <w:rFonts w:eastAsia="Times New Roman,Italic" w:cs="Times New Roman,Italic"/>
          <w:iCs/>
          <w:szCs w:val="20"/>
        </w:rPr>
        <w:t>Jeżeli baretka składa się ze źródeł światła zbliżonych do punkt</w:t>
      </w:r>
      <w:r w:rsidR="004D2E77" w:rsidRPr="009E064B">
        <w:rPr>
          <w:rFonts w:eastAsia="Times New Roman,Italic" w:cs="Times New Roman,Italic"/>
          <w:iCs/>
          <w:szCs w:val="20"/>
        </w:rPr>
        <w:t>owych, to rozstaw 1.5 </w:t>
      </w:r>
      <w:r w:rsidRPr="009E064B">
        <w:rPr>
          <w:rFonts w:eastAsia="Times New Roman,Italic" w:cs="Times New Roman,Italic"/>
          <w:iCs/>
          <w:szCs w:val="20"/>
        </w:rPr>
        <w:t>m pomiędzy sąsiednimi światłami baretki uważa się za zadowalający.</w:t>
      </w:r>
    </w:p>
    <w:p w14:paraId="373C8A12" w14:textId="77777777" w:rsidR="00C73B63" w:rsidRPr="009E064B" w:rsidRDefault="00C73B63" w:rsidP="00B06A9A">
      <w:pPr>
        <w:tabs>
          <w:tab w:val="left" w:pos="1134"/>
        </w:tabs>
        <w:ind w:left="1134" w:hanging="567"/>
        <w:rPr>
          <w:rFonts w:eastAsia="Times New Roman,Bold" w:cs="Times New Roman,Bold"/>
          <w:bCs/>
          <w:szCs w:val="20"/>
        </w:rPr>
      </w:pPr>
      <w:r w:rsidRPr="009E064B">
        <w:rPr>
          <w:rFonts w:cs="TimesNewRomanPS-BoldItalicMT"/>
          <w:bCs/>
          <w:iCs/>
          <w:szCs w:val="20"/>
        </w:rPr>
        <w:t xml:space="preserve">(6) </w:t>
      </w:r>
      <w:r w:rsidRPr="009E064B">
        <w:rPr>
          <w:rFonts w:cs="TimesNewRomanPS-BoldItalicMT"/>
          <w:bCs/>
          <w:iCs/>
          <w:szCs w:val="20"/>
        </w:rPr>
        <w:tab/>
      </w:r>
      <w:r w:rsidRPr="009E064B">
        <w:rPr>
          <w:rFonts w:eastAsia="Times New Roman,Bold" w:cs="Times New Roman,Bold"/>
          <w:bCs/>
          <w:szCs w:val="20"/>
        </w:rPr>
        <w:t>W miejscach, gdzie zauważenie prostego systemu świateł podejścia jest utrudnione w nocy na skutek otaczających świateł, sekwencyjne światła błyskowe instalowane w zewnętrznej części systemu mogą stanowić rozwiązanie problemu.</w:t>
      </w:r>
    </w:p>
    <w:p w14:paraId="2889B559" w14:textId="77777777" w:rsidR="00C73B63" w:rsidRPr="009E064B" w:rsidRDefault="00C73B63" w:rsidP="00B06A9A">
      <w:pPr>
        <w:tabs>
          <w:tab w:val="left" w:pos="567"/>
        </w:tabs>
        <w:autoSpaceDE w:val="0"/>
        <w:autoSpaceDN w:val="0"/>
        <w:adjustRightInd w:val="0"/>
        <w:ind w:left="567" w:hanging="567"/>
        <w:rPr>
          <w:rFonts w:eastAsia="Times New Roman,Bold" w:cs="Times New Roman,Bold"/>
          <w:bCs/>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Usuwanie</w:t>
      </w:r>
      <w:r w:rsidRPr="009E064B">
        <w:rPr>
          <w:rFonts w:eastAsia="Times New Roman,Bold" w:cs="Times New Roman,Bold"/>
          <w:bCs/>
          <w:szCs w:val="20"/>
        </w:rPr>
        <w:t xml:space="preserve"> przeszkód:</w:t>
      </w:r>
    </w:p>
    <w:p w14:paraId="45FEE4E2"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Bold" w:cs="Times New Roman"/>
          <w:szCs w:val="20"/>
        </w:rPr>
        <w:t>W celu zapewnienia ochrony przed przeszkodami, ustala się obszar zwany dalej płaszczyzną świateł, w której są wszystkie światła systemu. Płaszczyzna ta ma kształt prostokątny i jest zlokalizowane symetrycznie względem linii środkowej systemu świateł podejścia. Swój początek ma na progu drogi startowej, a koniec – w odległości 60 m za końcem podejścia tego systemu; jej szerokość wynosi 120 m.</w:t>
      </w:r>
    </w:p>
    <w:p w14:paraId="5E9F8BDD" w14:textId="17E70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Bold" w:cs="Times New Roman"/>
          <w:szCs w:val="20"/>
        </w:rPr>
        <w:t>Ponad płaszczyznę świateł i w granicach tej płaszczyzny nie może wystawać żaden obiekt, z wyjątkiem obiektów opisanych poniżej. Wszelkie drogi i autostrady traktowane są, jako przeszkody o wysokości 4.8 m ponad najwyższym punktem nawierzchni; wyjątek stanowią lotniskowe drogi techniczne, na których wszelki ruch pojazdów jest pod kontrolą zarządzającego lotniskiem i koordynowany jest przez organ kontroli lotniska. Linie kolejowe, niezależnie od ich rangi, uznane s</w:t>
      </w:r>
      <w:r w:rsidR="004D2E77" w:rsidRPr="009E064B">
        <w:rPr>
          <w:rFonts w:eastAsia="Times New Roman,Bold" w:cs="Times New Roman"/>
          <w:szCs w:val="20"/>
        </w:rPr>
        <w:t>ą za przeszkody o wysokości 5.4 </w:t>
      </w:r>
      <w:r w:rsidRPr="009E064B">
        <w:rPr>
          <w:rFonts w:eastAsia="Times New Roman,Bold" w:cs="Times New Roman"/>
          <w:szCs w:val="20"/>
        </w:rPr>
        <w:t>m ponad główkę szyny.</w:t>
      </w:r>
    </w:p>
    <w:p w14:paraId="29C58E5B" w14:textId="77777777" w:rsidR="00C73B63" w:rsidRPr="009E064B" w:rsidRDefault="00C73B63" w:rsidP="00B06A9A">
      <w:pPr>
        <w:tabs>
          <w:tab w:val="left" w:pos="1134"/>
        </w:tabs>
        <w:ind w:left="1134" w:hanging="567"/>
        <w:rPr>
          <w:rFonts w:eastAsia="Times New Roman,Bold" w:cs="Times New Roman"/>
          <w:szCs w:val="20"/>
        </w:rPr>
      </w:pPr>
      <w:r w:rsidRPr="009E064B">
        <w:rPr>
          <w:rFonts w:cs="TimesNewRomanPS-BoldItalicMT"/>
          <w:bCs/>
          <w:iCs/>
          <w:szCs w:val="20"/>
        </w:rPr>
        <w:t xml:space="preserve">(3) </w:t>
      </w:r>
      <w:r w:rsidRPr="009E064B">
        <w:rPr>
          <w:rFonts w:cs="TimesNewRomanPS-BoldItalicMT"/>
          <w:bCs/>
          <w:iCs/>
          <w:szCs w:val="20"/>
        </w:rPr>
        <w:tab/>
      </w:r>
      <w:r w:rsidRPr="009E064B">
        <w:rPr>
          <w:rFonts w:eastAsia="Times New Roman,Bold" w:cs="Times New Roman"/>
          <w:szCs w:val="20"/>
        </w:rPr>
        <w:t>Niektóre urządzenia stanowiące część systemów elektronicznych pomocy do lądowania, takie jak np. reflektory, anteny, urządzenia kontroli itp. powinny być umieszczone ponad płaszczyzną świateł. Należy jednakże dołożyć wszelkich starań, aby instalować te urządzenia poza granicami płaszczyzny świateł. W przypadku reflektorów oraz urządzeń kontroli, w wielu przypadkach jest to możliwe do spełnienia.</w:t>
      </w:r>
    </w:p>
    <w:p w14:paraId="1AF2F035"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(4) </w:t>
      </w:r>
      <w:r w:rsidRPr="009E064B">
        <w:rPr>
          <w:rFonts w:cs="TimesNewRomanPS-BoldItalicMT"/>
          <w:bCs/>
          <w:iCs/>
          <w:szCs w:val="20"/>
        </w:rPr>
        <w:tab/>
      </w:r>
      <w:r w:rsidRPr="009E064B">
        <w:rPr>
          <w:rFonts w:cs="Times New Roman"/>
          <w:szCs w:val="20"/>
        </w:rPr>
        <w:t>Jeżeli antena nadajnika kierunku systemu ILS jest zainstalowana w granicach płaszczyzny świateł, wówczas dopuszczalne jest, aby nadajnik ten lub jego ekran, jeżeli taki istnieje, wystawał ponad płaszczyznę świateł. W takim przypadku, wysokość takiej konstrukcji powinna być jak najmniejsza, i powinna być ona zlokalizowana możliwie jak najdalej od progu. Jako generalną zasadę przyjmuje się dopuszczalną wysokość wystawania konstrukcji równą 15 cm na każde 30 m oddalenia od progu. Na przykład, jeżeli antena nadajnika kierunku umieszczona jest w odległości 300 m od progu, to dopuszczalne jest wystawanie ekranu na maksimum 10 × 15 = 150 cm ponad płaszczyznę świateł. Najkorzystniej jest jednak, aby był on utrzymany możliwie jak najniżej, na ile tylko pozwala utrzymanie poprawnego działania systemu ILS.</w:t>
      </w:r>
    </w:p>
    <w:p w14:paraId="74F5EF1A"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(5) </w:t>
      </w:r>
      <w:r w:rsidRPr="009E064B">
        <w:rPr>
          <w:rFonts w:cs="TimesNewRomanPS-BoldItalicMT"/>
          <w:bCs/>
          <w:iCs/>
          <w:szCs w:val="20"/>
        </w:rPr>
        <w:tab/>
      </w:r>
      <w:r w:rsidRPr="009E064B">
        <w:rPr>
          <w:rFonts w:cs="Times New Roman"/>
          <w:szCs w:val="20"/>
        </w:rPr>
        <w:t>Przy wyznaczaniu miejsca zainstalowania anteny azymutu systemu MLS, należy stosować wytyczne określone w Załączniku 10 ICAO, Tom I, Załącznik G. Niniejszy materiał, który zawiera również wytyczne dotyczące instalowania anteny azymutu MLS oraz anteny kierunku ILS wskazuje, że antena azymutu MLS może być zlokalizowana w granicach płaszczyzny świateł, jeżeli nie jest możliwe lub praktyczne, zlokalizowanie jej poza zewnętrznym końcem systemu świateł podejścia dla przeciwnego kierunku podejścia. Jeżeli antena azymutu MLS zlokalizowana jest na przedłużeniu linii środkowej drogi startowej, wówczas należy ją instalować możliwie jak najdalej od ostatniego światła systemu świetlnego, patrząc od strony anteny azymutu MLS w stronę końca drogi startowej. Ponadto, środek fazy anteny azymutu MLS powinien znajdować się na wysokości, co najmniej 0.3 m nad środkiem wiązki świetlnej światła znajdującego się najbliżej anteny MLS, patrząc w kierunku końca drogi startowej. (Wartość ta może być obniżona do 0.15 m, jeżeli na danym obszarze nie występują inne problemy z wielowiązkowością ścieżek).</w:t>
      </w:r>
    </w:p>
    <w:p w14:paraId="19E2AE16" w14:textId="53BAA6D3"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(6) </w:t>
      </w:r>
      <w:r w:rsidRPr="009E064B">
        <w:rPr>
          <w:rFonts w:cs="TimesNewRomanPS-BoldItalicMT"/>
          <w:bCs/>
          <w:iCs/>
          <w:szCs w:val="20"/>
        </w:rPr>
        <w:tab/>
      </w:r>
      <w:r w:rsidRPr="009E064B">
        <w:rPr>
          <w:rFonts w:cs="Times New Roman"/>
          <w:szCs w:val="20"/>
        </w:rPr>
        <w:t>Spełnienie tego wymagania, które wynika z konieczności wyeliminowania wpływu systemu świateł podejścia, na jakość sygnału MLS, może spowodować częściowe zasłonięcie świateł przez antenę kierunkową MLS. W związku z tym, w celu uniknięcia obniżenia efektywności prowadzenia wzrokowego poniżej poziomu akceptowalnego, antena azymutu systemu MLS nie powinna być umieszcza</w:t>
      </w:r>
      <w:r w:rsidR="00D77074" w:rsidRPr="009E064B">
        <w:rPr>
          <w:rFonts w:cs="Times New Roman"/>
          <w:szCs w:val="20"/>
        </w:rPr>
        <w:t>na bliżej drogi startowej niż w </w:t>
      </w:r>
      <w:r w:rsidRPr="009E064B">
        <w:rPr>
          <w:rFonts w:cs="Times New Roman"/>
          <w:szCs w:val="20"/>
        </w:rPr>
        <w:t>odległości 300 m, przy czym preferowaną lokalizacją jest miejsce w odległości 25 m za poprzeczką, znajdującą się w odległości 300 m od progu drogi startowej (co spowoduje, że antena znajdzie się 5 m za światłem zainstalowanym, w odległości 330 m od końca drogi startowej). Przy takiej lokalizacji anteny azymutu MLS, będzie ona częściowo zasłaniać jedynie centralną część poprzeczki zlok</w:t>
      </w:r>
      <w:r w:rsidR="004D2E77" w:rsidRPr="009E064B">
        <w:rPr>
          <w:rFonts w:cs="Times New Roman"/>
          <w:szCs w:val="20"/>
        </w:rPr>
        <w:t>alizowanej w odległości 300 m w </w:t>
      </w:r>
      <w:r w:rsidRPr="009E064B">
        <w:rPr>
          <w:rFonts w:cs="Times New Roman"/>
          <w:szCs w:val="20"/>
        </w:rPr>
        <w:t>układzie geometrycznym systemu świateł podejścia. Niemniej jednak, ważne jest, aby pozostałe, niezasłonięte światła poprzeczki przez cały czas pozostawały sprawne.</w:t>
      </w:r>
    </w:p>
    <w:p w14:paraId="283D3C5D"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(7) </w:t>
      </w:r>
      <w:r w:rsidRPr="009E064B">
        <w:rPr>
          <w:rFonts w:cs="TimesNewRomanPS-BoldItalicMT"/>
          <w:bCs/>
          <w:iCs/>
          <w:szCs w:val="20"/>
        </w:rPr>
        <w:tab/>
      </w:r>
      <w:r w:rsidRPr="009E064B">
        <w:rPr>
          <w:rFonts w:cs="Times New Roman"/>
          <w:szCs w:val="20"/>
        </w:rPr>
        <w:t>Obiekty znajdujące się w granicach płaszczyzny świateł i powodujące konieczność podniesienia tej płaszczyzny dla spełnienia wymagań określonych w niniejszych przepisach powinny być usunięte, obniżone lub przeniesione, jeżeli jest to bardziej ekonomicznie uzasadnione niż podniesienie płaszczyzny świateł.</w:t>
      </w:r>
    </w:p>
    <w:p w14:paraId="5041825E" w14:textId="77777777" w:rsidR="00C73B63" w:rsidRPr="009E064B" w:rsidRDefault="00C73B63" w:rsidP="00B06A9A">
      <w:pPr>
        <w:tabs>
          <w:tab w:val="left" w:pos="1134"/>
        </w:tabs>
        <w:ind w:left="1134" w:hanging="567"/>
        <w:rPr>
          <w:rFonts w:cs="Times New Roman"/>
          <w:szCs w:val="20"/>
        </w:rPr>
      </w:pPr>
      <w:r w:rsidRPr="009E064B">
        <w:rPr>
          <w:rFonts w:cs="TimesNewRomanPS-BoldItalicMT"/>
          <w:bCs/>
          <w:iCs/>
          <w:szCs w:val="20"/>
        </w:rPr>
        <w:t xml:space="preserve">(8) </w:t>
      </w:r>
      <w:r w:rsidRPr="009E064B">
        <w:rPr>
          <w:rFonts w:cs="TimesNewRomanPS-BoldItalicMT"/>
          <w:bCs/>
          <w:iCs/>
          <w:szCs w:val="20"/>
        </w:rPr>
        <w:tab/>
      </w:r>
      <w:r w:rsidRPr="009E064B">
        <w:rPr>
          <w:rFonts w:cs="Times New Roman"/>
          <w:szCs w:val="20"/>
        </w:rPr>
        <w:t>W niektórych przypadkach mogą występować obiekty, które nie mogą być usunięte, obniżone lub przesunięte w sposób ekonomiczny. Obiekty takie mogą znajdować się tak blisko progu, że będą wystawać ponad płaszczyznę o nachyleniu 2%. W takim przypadku oraz przy braku możliwości innego rozwiązania, można przekroczyć nachylenie 2% lub zastosować nachylenie „schodkowe” w taki sposób, aby światła systemu podejścia znalazły się ponad obiektami. Jednakże do stosowania „schodków” lub zwiększenia nachylenia, można uciekać się tylko w przypadku, gdy nie jest możliwe zachowanie kryteriów znormalizowanego nachylenia. Zabieg ten należy utrzymać w granicach koniecznego minimum. W świetle tego kryterium, na najbardziej oddalonej części systemu świetlnego nie powinno dopuszczać się ujemnego nachylenia.</w:t>
      </w:r>
    </w:p>
    <w:p w14:paraId="7C332E08" w14:textId="77777777" w:rsidR="00C73B63" w:rsidRPr="009E064B" w:rsidRDefault="00C73B63" w:rsidP="00B06A9A">
      <w:pPr>
        <w:tabs>
          <w:tab w:val="left" w:pos="567"/>
        </w:tabs>
        <w:autoSpaceDE w:val="0"/>
        <w:autoSpaceDN w:val="0"/>
        <w:adjustRightInd w:val="0"/>
        <w:ind w:left="567" w:hanging="567"/>
        <w:rPr>
          <w:rFonts w:eastAsia="Times New Roman,Bold" w:cs="Times New Roman,Bold"/>
          <w:b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Wpływ</w:t>
      </w:r>
      <w:r w:rsidRPr="009E064B">
        <w:rPr>
          <w:rFonts w:eastAsia="Times New Roman,Bold" w:cs="Times New Roman,Bold"/>
          <w:bCs/>
          <w:szCs w:val="20"/>
        </w:rPr>
        <w:t xml:space="preserve"> zmniejszonych długości:</w:t>
      </w:r>
    </w:p>
    <w:p w14:paraId="5279D999" w14:textId="1AB76156" w:rsidR="00C73B63" w:rsidRPr="009E064B" w:rsidRDefault="00C73B63" w:rsidP="00B06A9A">
      <w:pPr>
        <w:tabs>
          <w:tab w:val="left" w:pos="1134"/>
        </w:tabs>
        <w:autoSpaceDE w:val="0"/>
        <w:autoSpaceDN w:val="0"/>
        <w:adjustRightInd w:val="0"/>
        <w:ind w:left="1134" w:hanging="567"/>
        <w:rPr>
          <w:rFonts w:eastAsia="Times New Roman,Bold" w:cs="Times New Roman"/>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Bold" w:cs="Times New Roman"/>
          <w:szCs w:val="20"/>
        </w:rPr>
        <w:t>Potrzeba posiadania odpowiedniego systemu świateł podejścia wspomagającego podejścia precyzyjne, w których pilot musi uzyskać kontakt wzrokowy z punktami odniesienia przed lądowaniem, nie może być przeceniona. Bezpieczeństwo oraz regularność takich operacji zależy od uzyskania kontaktu wzrokowego. Wysokość nad progiem drogi startowej, na której pilot podejmuje decyzję, że zobaczył wystarczające wskazania wzrokowe w celu kontynuowania podejścia oraz lądowania, będzie uzależniona od rodzaju wykonywanego podejścia oraz innych czynników takich jak warunki meteorologiczne, wyposażenie naziemne oraz wyposażenie statku powietrznego itp. Wymagana długość systemu świateł podejścia, która jest wystarczająca dla wszystkich wariantów podejść to 900 m i długość ta powinna być zapewniona wszędzie tam, gdzie jest to możliwe.</w:t>
      </w:r>
    </w:p>
    <w:p w14:paraId="66323084" w14:textId="77777777" w:rsidR="001837A3" w:rsidRPr="009E064B" w:rsidRDefault="001837A3" w:rsidP="001837A3">
      <w:pPr>
        <w:tabs>
          <w:tab w:val="left" w:pos="1134"/>
        </w:tabs>
        <w:autoSpaceDE w:val="0"/>
        <w:autoSpaceDN w:val="0"/>
        <w:adjustRightInd w:val="0"/>
        <w:ind w:left="1134" w:hanging="567"/>
        <w:rPr>
          <w:rFonts w:eastAsia="Times New Roman,Bold" w:cs="Times New Roman"/>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Bold" w:cs="Times New Roman"/>
          <w:szCs w:val="20"/>
        </w:rPr>
        <w:t>Istnieją jednak takie lokalizacje drogi startowej, w których nie jest możliwe zapewnienie systemu świateł podejścia o długości 900 m dla potrzeb podejść precyzyjnych.</w:t>
      </w:r>
    </w:p>
    <w:p w14:paraId="2E7C2726" w14:textId="77777777" w:rsidR="001837A3" w:rsidRPr="009E064B" w:rsidRDefault="001837A3" w:rsidP="001837A3">
      <w:pPr>
        <w:tabs>
          <w:tab w:val="left" w:pos="1134"/>
        </w:tabs>
        <w:autoSpaceDE w:val="0"/>
        <w:autoSpaceDN w:val="0"/>
        <w:adjustRightInd w:val="0"/>
        <w:ind w:left="1134" w:hanging="567"/>
        <w:rPr>
          <w:rFonts w:cs="Times New Roman"/>
          <w:szCs w:val="20"/>
        </w:rPr>
      </w:pPr>
      <w:r w:rsidRPr="009E064B">
        <w:rPr>
          <w:rFonts w:cs="TimesNewRomanPS-BoldItalicMT"/>
          <w:bCs/>
          <w:iCs/>
          <w:szCs w:val="20"/>
        </w:rPr>
        <w:t xml:space="preserve">(3) </w:t>
      </w:r>
      <w:r w:rsidRPr="009E064B">
        <w:rPr>
          <w:rFonts w:cs="TimesNewRomanPS-BoldItalicMT"/>
          <w:bCs/>
          <w:iCs/>
          <w:szCs w:val="20"/>
        </w:rPr>
        <w:tab/>
      </w:r>
      <w:r w:rsidRPr="009E064B">
        <w:rPr>
          <w:rFonts w:cs="Times New Roman"/>
          <w:szCs w:val="20"/>
        </w:rPr>
        <w:t xml:space="preserve">W takich przypadkach, należy podjąć każde możliwe działanie w celu zapewnienia tak długiego systemu </w:t>
      </w:r>
      <w:r w:rsidRPr="009E064B">
        <w:rPr>
          <w:rFonts w:eastAsia="Times New Roman,Bold" w:cs="Times New Roman"/>
          <w:szCs w:val="20"/>
        </w:rPr>
        <w:t>świateł</w:t>
      </w:r>
      <w:r w:rsidRPr="009E064B">
        <w:rPr>
          <w:rFonts w:cs="Times New Roman"/>
          <w:szCs w:val="20"/>
        </w:rPr>
        <w:t xml:space="preserve"> podejścia, jak to tylko możliwe. Ograniczenia w wykonywaniu operacji mogą być wprowadzone na drogach startowych wyposażonych w system </w:t>
      </w:r>
      <w:r w:rsidRPr="009E064B">
        <w:rPr>
          <w:rFonts w:eastAsia="Times New Roman,Bold" w:cs="Times New Roman"/>
          <w:szCs w:val="20"/>
        </w:rPr>
        <w:t>świateł</w:t>
      </w:r>
      <w:r w:rsidRPr="009E064B">
        <w:rPr>
          <w:rFonts w:cs="Times New Roman"/>
          <w:szCs w:val="20"/>
        </w:rPr>
        <w:t xml:space="preserve"> podejścia o zredukowanej długości. Istnieje wiele czynników, które określają, na jakiej wysokości pilot musi podjąć decyzję o kontynuowaniu podejścia do lądowania lub o wykonaniu procedury nieudanego podejścia. Należy pamiętać, że faktyczna decyzja o kontynuowaniu podejścia i lądowaniu jest procesem ciągłym, który jedynie jest zwieńczony na pewniej określonej wysokości. Jeżeli do osiągnięcia wysokości decyzji, światła nie są widoczne, proces wzrokowej oceny okazuje się niepełny i prawdopodobieństwo nieudanego podejścia będzie stopniowo wzrastać. Istnieje wiele ograniczeń operacyjnych, jakie należy brać pod uwagę przy określaniu ograniczeń w wykonywaniu podejść precyzyjnych; ograniczenia te są szczegółowo opisane w Załączniku 6 ICAO.</w:t>
      </w:r>
    </w:p>
    <w:p w14:paraId="6BF6A58F" w14:textId="77777777" w:rsidR="001837A3" w:rsidRPr="009E064B" w:rsidRDefault="001837A3" w:rsidP="001837A3">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(f) </w:t>
      </w:r>
      <w:r w:rsidRPr="009E064B">
        <w:rPr>
          <w:rFonts w:cs="TimesNewRomanPS-BoldItalicMT"/>
          <w:bCs/>
          <w:iCs/>
          <w:szCs w:val="20"/>
        </w:rPr>
        <w:tab/>
      </w:r>
      <w:r w:rsidRPr="009E064B">
        <w:rPr>
          <w:rFonts w:eastAsia="Times New Roman,Italic" w:cs="Times New Roman,Italic"/>
          <w:iCs/>
          <w:szCs w:val="20"/>
        </w:rPr>
        <w:t xml:space="preserve">W przypadku dróg startowych z podejściem nieprecyzyjnym, zaleca się rozważenie możliwości zainstalowania sytemu </w:t>
      </w:r>
      <w:r w:rsidRPr="009E064B">
        <w:rPr>
          <w:rFonts w:eastAsia="Times New Roman,Bold" w:cs="Times New Roman"/>
          <w:szCs w:val="20"/>
        </w:rPr>
        <w:t>świateł</w:t>
      </w:r>
      <w:r w:rsidRPr="009E064B">
        <w:rPr>
          <w:rFonts w:eastAsia="Times New Roman,Italic" w:cs="Times New Roman,Italic"/>
          <w:iCs/>
          <w:szCs w:val="20"/>
        </w:rPr>
        <w:t xml:space="preserve"> podejścia precyzyjnego kategorii I lub zainstalowania systemu świateł prowadzenia do drogi startowej.</w:t>
      </w:r>
    </w:p>
    <w:p w14:paraId="081DE2B5" w14:textId="2F75E72C" w:rsidR="001837A3" w:rsidRPr="009E064B" w:rsidRDefault="001837A3" w:rsidP="00B06A9A">
      <w:pPr>
        <w:tabs>
          <w:tab w:val="left" w:pos="1134"/>
        </w:tabs>
        <w:autoSpaceDE w:val="0"/>
        <w:autoSpaceDN w:val="0"/>
        <w:adjustRightInd w:val="0"/>
        <w:ind w:left="1134" w:hanging="567"/>
        <w:rPr>
          <w:rFonts w:eastAsia="Times New Roman,Bold" w:cs="Times New Roman"/>
          <w:szCs w:val="20"/>
        </w:rPr>
      </w:pPr>
    </w:p>
    <w:p w14:paraId="5932467E" w14:textId="6D2547C7" w:rsidR="001837A3" w:rsidRPr="009E064B" w:rsidRDefault="001837A3" w:rsidP="00B06A9A">
      <w:pPr>
        <w:tabs>
          <w:tab w:val="left" w:pos="1134"/>
        </w:tabs>
        <w:autoSpaceDE w:val="0"/>
        <w:autoSpaceDN w:val="0"/>
        <w:adjustRightInd w:val="0"/>
        <w:ind w:left="1134" w:hanging="567"/>
        <w:rPr>
          <w:rFonts w:eastAsia="Times New Roman,Bold" w:cs="Times New Roman"/>
          <w:szCs w:val="20"/>
        </w:rPr>
      </w:pPr>
    </w:p>
    <w:p w14:paraId="4A3F90AF" w14:textId="77777777" w:rsidR="001837A3" w:rsidRPr="009E064B" w:rsidRDefault="001837A3" w:rsidP="00B06A9A">
      <w:pPr>
        <w:tabs>
          <w:tab w:val="left" w:pos="1134"/>
        </w:tabs>
        <w:autoSpaceDE w:val="0"/>
        <w:autoSpaceDN w:val="0"/>
        <w:adjustRightInd w:val="0"/>
        <w:ind w:left="1134" w:hanging="567"/>
        <w:rPr>
          <w:rFonts w:eastAsia="Times New Roman,Bold" w:cs="Times New Roman"/>
          <w:szCs w:val="20"/>
        </w:rPr>
      </w:pPr>
    </w:p>
    <w:p w14:paraId="2CE62C15" w14:textId="77777777" w:rsidR="00C73B63" w:rsidRPr="009E064B" w:rsidRDefault="00C73B63" w:rsidP="00B06A9A">
      <w:pPr>
        <w:rPr>
          <w:rFonts w:cs="TimesNewRomanPSMT"/>
          <w:b/>
          <w:szCs w:val="20"/>
        </w:rPr>
        <w:sectPr w:rsidR="00C73B63" w:rsidRPr="009E064B" w:rsidSect="009D1A1A">
          <w:headerReference w:type="default" r:id="rId162"/>
          <w:headerReference w:type="first" r:id="rId163"/>
          <w:pgSz w:w="11906" w:h="16840" w:code="9"/>
          <w:pgMar w:top="1701" w:right="1418" w:bottom="1418" w:left="1418" w:header="567" w:footer="454" w:gutter="0"/>
          <w:cols w:space="708"/>
          <w:titlePg/>
          <w:docGrid w:linePitch="360"/>
        </w:sectPr>
      </w:pPr>
    </w:p>
    <w:p w14:paraId="5A2296D6" w14:textId="5C73F908" w:rsidR="00585ADD" w:rsidRPr="009E064B" w:rsidRDefault="00D77074" w:rsidP="00585ADD">
      <w:pPr>
        <w:widowControl/>
        <w:spacing w:line="276" w:lineRule="auto"/>
        <w:rPr>
          <w:rFonts w:ascii="Times New Roman" w:eastAsia="Calibri" w:hAnsi="Times New Roman" w:cs="Times New Roman"/>
          <w:bCs/>
          <w:color w:val="000000"/>
          <w:sz w:val="24"/>
        </w:rPr>
      </w:pPr>
      <w:r w:rsidRPr="009E064B">
        <w:rPr>
          <w:rFonts w:ascii="Times New Roman" w:eastAsia="Calibri" w:hAnsi="Times New Roman" w:cs="Times New Roman"/>
          <w:bCs/>
          <w:noProof/>
          <w:color w:val="000000"/>
          <w:sz w:val="24"/>
          <w:lang w:eastAsia="pl-PL"/>
        </w:rPr>
        <w:drawing>
          <wp:inline distT="0" distB="0" distL="0" distR="0" wp14:anchorId="3DB69205" wp14:editId="39743AD6">
            <wp:extent cx="8726170" cy="493458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726170" cy="4934585"/>
                    </a:xfrm>
                    <a:prstGeom prst="rect">
                      <a:avLst/>
                    </a:prstGeom>
                    <a:noFill/>
                  </pic:spPr>
                </pic:pic>
              </a:graphicData>
            </a:graphic>
          </wp:inline>
        </w:drawing>
      </w:r>
    </w:p>
    <w:p w14:paraId="6FD3C123" w14:textId="49D37088" w:rsidR="00C73B63" w:rsidRPr="0021406A" w:rsidRDefault="007B2C91" w:rsidP="00D77074">
      <w:pPr>
        <w:spacing w:before="240" w:after="0"/>
        <w:ind w:right="11"/>
        <w:jc w:val="center"/>
        <w:rPr>
          <w:rFonts w:cs="TimesNewRomanPSMT"/>
          <w:b/>
          <w:szCs w:val="20"/>
        </w:rPr>
      </w:pPr>
      <w:r w:rsidRPr="0021406A">
        <w:rPr>
          <w:b/>
          <w:iCs/>
          <w:sz w:val="20"/>
        </w:rPr>
        <w:t xml:space="preserve">Rysunek GM-M-1.    </w:t>
      </w:r>
      <w:r w:rsidR="00585ADD" w:rsidRPr="0021406A">
        <w:rPr>
          <w:b/>
          <w:iCs/>
          <w:sz w:val="20"/>
        </w:rPr>
        <w:t>Tolerancje montażu w płaszczyźnie pionowej</w:t>
      </w:r>
      <w:r w:rsidRPr="0021406A">
        <w:rPr>
          <w:b/>
          <w:iCs/>
          <w:sz w:val="20"/>
        </w:rPr>
        <w:t xml:space="preserve">   </w:t>
      </w:r>
    </w:p>
    <w:p w14:paraId="29A55A6C" w14:textId="77777777" w:rsidR="00C73B63" w:rsidRPr="009E064B" w:rsidRDefault="00C73B63" w:rsidP="00B06A9A">
      <w:pPr>
        <w:rPr>
          <w:rFonts w:cs="TimesNewRomanPSMT"/>
          <w:szCs w:val="20"/>
        </w:rPr>
        <w:sectPr w:rsidR="00C73B63" w:rsidRPr="009E064B" w:rsidSect="009D1A1A">
          <w:headerReference w:type="first" r:id="rId165"/>
          <w:footerReference w:type="first" r:id="rId166"/>
          <w:pgSz w:w="16840" w:h="11906" w:orient="landscape" w:code="9"/>
          <w:pgMar w:top="1701" w:right="1418" w:bottom="1418" w:left="1418" w:header="567" w:footer="454" w:gutter="0"/>
          <w:cols w:space="708"/>
          <w:titlePg/>
          <w:docGrid w:linePitch="360"/>
        </w:sectPr>
      </w:pPr>
    </w:p>
    <w:p w14:paraId="2B5DD172" w14:textId="0DC54F85" w:rsidR="00272C61" w:rsidRPr="009E064B" w:rsidRDefault="00D77074" w:rsidP="00B06A9A">
      <w:pPr>
        <w:rPr>
          <w:szCs w:val="20"/>
        </w:rPr>
      </w:pPr>
      <w:r w:rsidRPr="009E064B">
        <w:rPr>
          <w:noProof/>
          <w:szCs w:val="20"/>
          <w:lang w:eastAsia="pl-PL"/>
        </w:rPr>
        <w:drawing>
          <wp:inline distT="0" distB="0" distL="0" distR="0" wp14:anchorId="587D09CD" wp14:editId="37D5525B">
            <wp:extent cx="5761355" cy="7327900"/>
            <wp:effectExtent l="0" t="0" r="0" b="635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1355" cy="7327900"/>
                    </a:xfrm>
                    <a:prstGeom prst="rect">
                      <a:avLst/>
                    </a:prstGeom>
                    <a:noFill/>
                  </pic:spPr>
                </pic:pic>
              </a:graphicData>
            </a:graphic>
          </wp:inline>
        </w:drawing>
      </w:r>
    </w:p>
    <w:p w14:paraId="4938C506" w14:textId="15CA88F2" w:rsidR="00BE304B" w:rsidRPr="0021406A" w:rsidRDefault="00272C61" w:rsidP="00B06A9A">
      <w:pPr>
        <w:tabs>
          <w:tab w:val="left" w:pos="1134"/>
        </w:tabs>
        <w:ind w:left="1134" w:hanging="993"/>
        <w:jc w:val="center"/>
        <w:rPr>
          <w:b/>
          <w:szCs w:val="20"/>
        </w:rPr>
      </w:pPr>
      <w:r w:rsidRPr="0021406A">
        <w:rPr>
          <w:b/>
          <w:sz w:val="20"/>
          <w:szCs w:val="20"/>
        </w:rPr>
        <w:t xml:space="preserve">Rysunek GM-M-2.  Obwiednie ścieżki lotu używane do projektowanie świateł dla operacji </w:t>
      </w:r>
      <w:r w:rsidRPr="0021406A">
        <w:rPr>
          <w:b/>
          <w:sz w:val="20"/>
          <w:szCs w:val="20"/>
        </w:rPr>
        <w:br/>
        <w:t>w kategorii I, II i III ― Światła linii środkowej.</w:t>
      </w:r>
    </w:p>
    <w:p w14:paraId="21EB6361" w14:textId="500CF04A" w:rsidR="000622CB" w:rsidRPr="009E064B" w:rsidRDefault="00A37A28"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3543152" w14:textId="646117E0" w:rsidR="001837A3" w:rsidRPr="009E064B" w:rsidRDefault="001837A3" w:rsidP="007E29F7">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r w:rsidRPr="009E064B">
        <w:rPr>
          <w:rFonts w:asciiTheme="minorHAnsi" w:hAnsiTheme="minorHAnsi" w:cstheme="minorHAnsi"/>
          <w:i/>
          <w:color w:val="FF0000"/>
          <w:sz w:val="16"/>
          <w:szCs w:val="16"/>
        </w:rPr>
        <w:br w:type="page"/>
      </w:r>
    </w:p>
    <w:p w14:paraId="5E503ECD" w14:textId="6AF74534" w:rsidR="00C36D76" w:rsidRPr="009E064B" w:rsidRDefault="00A37A28" w:rsidP="00B06A9A">
      <w:pPr>
        <w:pStyle w:val="Nagwek4"/>
        <w:rPr>
          <w:color w:val="auto"/>
        </w:rPr>
      </w:pPr>
      <w:bookmarkStart w:id="1469" w:name="_CS_ADR-DSN.M.626_"/>
      <w:bookmarkStart w:id="1470" w:name="_Toc482886669"/>
      <w:bookmarkStart w:id="1471" w:name="_Toc12533177"/>
      <w:bookmarkEnd w:id="1469"/>
      <w:r w:rsidRPr="009E064B">
        <w:rPr>
          <w:color w:val="auto"/>
        </w:rPr>
        <w:t xml:space="preserve">CS ADR-DSN.M.626     </w:t>
      </w:r>
      <w:r w:rsidR="00C36D76" w:rsidRPr="009E064B">
        <w:rPr>
          <w:color w:val="auto"/>
        </w:rPr>
        <w:t>Prosty system świateł podejścia</w:t>
      </w:r>
      <w:bookmarkEnd w:id="1470"/>
      <w:bookmarkEnd w:id="1471"/>
    </w:p>
    <w:p w14:paraId="41449C75" w14:textId="5CC892D0" w:rsidR="00A37A28" w:rsidRPr="009E064B" w:rsidRDefault="00D63D4F" w:rsidP="00A37A28">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7863203" w14:textId="7B9D300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t>Lokalizacja</w:t>
      </w:r>
      <w:r w:rsidRPr="009E064B">
        <w:rPr>
          <w:szCs w:val="20"/>
        </w:rPr>
        <w:t xml:space="preserve"> i budowa:</w:t>
      </w:r>
    </w:p>
    <w:p w14:paraId="02397A61" w14:textId="5C3FDA0C"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Prosty system świateł podejścia powinien składać się z rzędu świateł na przedłużeniu linii środkowej drogi startowej, tam gdzie </w:t>
      </w:r>
      <w:r w:rsidRPr="009E064B">
        <w:rPr>
          <w:rFonts w:cs="TimesNewRomanPS-ItalicMT"/>
          <w:iCs/>
          <w:szCs w:val="20"/>
        </w:rPr>
        <w:t>jest</w:t>
      </w:r>
      <w:r w:rsidRPr="009E064B">
        <w:rPr>
          <w:szCs w:val="20"/>
        </w:rPr>
        <w:t xml:space="preserve"> to możliwe, na</w:t>
      </w:r>
      <w:r w:rsidR="00013601" w:rsidRPr="009E064B">
        <w:rPr>
          <w:szCs w:val="20"/>
        </w:rPr>
        <w:t xml:space="preserve"> odległość nie mniejszą niż 420 </w:t>
      </w:r>
      <w:r w:rsidRPr="009E064B">
        <w:rPr>
          <w:szCs w:val="20"/>
        </w:rPr>
        <w:t xml:space="preserve">m od progu drogi startowej oraz z rzędu </w:t>
      </w:r>
      <w:r w:rsidR="007B2C91" w:rsidRPr="009E064B">
        <w:rPr>
          <w:szCs w:val="20"/>
        </w:rPr>
        <w:t xml:space="preserve">świateł tworzących poprzeczkę o </w:t>
      </w:r>
      <w:r w:rsidRPr="009E064B">
        <w:rPr>
          <w:szCs w:val="20"/>
        </w:rPr>
        <w:t>długości 18 m lub 30 m, w odległości 300 m od progu (patrz Rysunek M-1).</w:t>
      </w:r>
    </w:p>
    <w:p w14:paraId="7218942E" w14:textId="15CC9AC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szCs w:val="20"/>
        </w:rPr>
        <w:t>Specyfikacje certyfi</w:t>
      </w:r>
      <w:r w:rsidR="004D2E77" w:rsidRPr="009E064B">
        <w:rPr>
          <w:szCs w:val="20"/>
        </w:rPr>
        <w:t>kacyjne, które opisano w Części </w:t>
      </w:r>
      <w:r w:rsidRPr="009E064B">
        <w:rPr>
          <w:szCs w:val="20"/>
        </w:rPr>
        <w:t xml:space="preserve">1, określają </w:t>
      </w:r>
      <w:r w:rsidRPr="009E064B">
        <w:rPr>
          <w:rFonts w:cs="TimesNewRomanPS-ItalicMT"/>
          <w:iCs/>
          <w:szCs w:val="20"/>
        </w:rPr>
        <w:t>podstawowe</w:t>
      </w:r>
      <w:r w:rsidRPr="009E064B">
        <w:rPr>
          <w:szCs w:val="20"/>
        </w:rPr>
        <w:t xml:space="preserve"> charakterystyki dotyczące prostych systemów świateł podejścia. W przypadku niektórych aspektów odnoszących się do tych systemów, dopuszcza się pewnego rodzaju tolerancję, na przykład, w zachowaniu odstępów pomię</w:t>
      </w:r>
      <w:r w:rsidR="004D2E77" w:rsidRPr="009E064B">
        <w:rPr>
          <w:szCs w:val="20"/>
        </w:rPr>
        <w:t>dzy światłami linii środkowej a </w:t>
      </w:r>
      <w:r w:rsidRPr="009E064B">
        <w:rPr>
          <w:szCs w:val="20"/>
        </w:rPr>
        <w:t>poprzeczkami.</w:t>
      </w:r>
    </w:p>
    <w:p w14:paraId="33F9AAB7"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r>
      <w:r w:rsidRPr="009E064B">
        <w:rPr>
          <w:szCs w:val="20"/>
        </w:rPr>
        <w:t>Światła poprzeczki:</w:t>
      </w:r>
    </w:p>
    <w:p w14:paraId="0C16FE95"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Światła tworzące poprzeczkę powinny być rozmieszczone, w miarę </w:t>
      </w:r>
      <w:r w:rsidRPr="009E064B">
        <w:rPr>
          <w:rFonts w:cs="TimesNewRomanPS-ItalicMT"/>
          <w:iCs/>
          <w:szCs w:val="20"/>
        </w:rPr>
        <w:t>możliwości</w:t>
      </w:r>
      <w:r w:rsidRPr="009E064B">
        <w:rPr>
          <w:szCs w:val="20"/>
        </w:rPr>
        <w:t>, w poziomej linii prostej, prostopadłej do przedłużenia linii środkowej drogi startowej i symetrycznie w stosunku do niej.</w:t>
      </w:r>
    </w:p>
    <w:p w14:paraId="69315445" w14:textId="71C97089"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Światła poprzeczki powinny być rozstawione z takimi odstępami, aby </w:t>
      </w:r>
      <w:r w:rsidRPr="009E064B">
        <w:rPr>
          <w:rFonts w:cs="TimesNewRomanPS-ItalicMT"/>
          <w:iCs/>
          <w:szCs w:val="20"/>
        </w:rPr>
        <w:t>dawały</w:t>
      </w:r>
      <w:r w:rsidR="00013601" w:rsidRPr="009E064B">
        <w:rPr>
          <w:szCs w:val="20"/>
        </w:rPr>
        <w:t xml:space="preserve"> efekt linii, z </w:t>
      </w:r>
      <w:r w:rsidRPr="009E064B">
        <w:rPr>
          <w:szCs w:val="20"/>
        </w:rPr>
        <w:t>wyłączeniem przypadku poprzeczki o długości 30 m, gdzie dopuszcza się przerwy po obu stronach przedłużenia linii środkowej drogi startowej. Długość tych przerw powinna być ograniczona do minimum odpowiadającemu lokalnym potrzebom, żadna z nich nie powinna być większa niż 6 m.</w:t>
      </w:r>
    </w:p>
    <w:p w14:paraId="247AD979"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szCs w:val="20"/>
        </w:rPr>
        <w:t>Odległości pomiędzy światłami tworzącymi poprzeczkę wynoszą od 1 m do 4 m. Przerwy po każdej stronie przedłużenia linii środkowej drogi startowej mogą poprawić orientację kierunkową w przypadku podejść z błędem bocznym oraz mogą usprawnić ruch pojazdów ratowniczo-gaśniczych.</w:t>
      </w:r>
    </w:p>
    <w:p w14:paraId="17F5BAD8"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Światła</w:t>
      </w:r>
      <w:r w:rsidRPr="009E064B">
        <w:rPr>
          <w:szCs w:val="20"/>
        </w:rPr>
        <w:t xml:space="preserve"> linii środkowej:</w:t>
      </w:r>
    </w:p>
    <w:p w14:paraId="490DB9AC" w14:textId="0F715B2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Światła</w:t>
      </w:r>
      <w:r w:rsidRPr="009E064B">
        <w:rPr>
          <w:szCs w:val="20"/>
        </w:rPr>
        <w:t xml:space="preserve"> tworzące linię środkową powinny być r</w:t>
      </w:r>
      <w:r w:rsidR="00013601" w:rsidRPr="009E064B">
        <w:rPr>
          <w:szCs w:val="20"/>
        </w:rPr>
        <w:t>ozmieszczone w odstępach, co 60 </w:t>
      </w:r>
      <w:r w:rsidRPr="009E064B">
        <w:rPr>
          <w:szCs w:val="20"/>
        </w:rPr>
        <w:t>m, z wyjątkiem, gdy jest pożądane poprawienie orientacji, rozstaw ten może wynosić 30 m.</w:t>
      </w:r>
    </w:p>
    <w:p w14:paraId="2E98E715" w14:textId="1B02736C"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Pierwsze światło powinno być umieszczone 60 m lub 30 m od progu, w </w:t>
      </w:r>
      <w:r w:rsidRPr="009E064B">
        <w:rPr>
          <w:rFonts w:cs="TimesNewRomanPS-ItalicMT"/>
          <w:iCs/>
          <w:szCs w:val="20"/>
        </w:rPr>
        <w:t>zależności</w:t>
      </w:r>
      <w:r w:rsidRPr="009E064B">
        <w:rPr>
          <w:szCs w:val="20"/>
        </w:rPr>
        <w:t xml:space="preserve"> od odstępów świateł tworzących linię środkową. Jeżeli nie jest fizycznie możliwe zapewnienie świateł linii środkowej na odległość 420 m od progu, powinny być one zainstalowane na długości 300 m tak, aby dochodziły do poprzeczki. Jeżeli jest to niemożliwe, światła linii środkowej powinny być zainstalowane na największą możliwą odległość, a każde światło linii środkowej powinno składać się z baretki o dług</w:t>
      </w:r>
      <w:r w:rsidR="00085A04" w:rsidRPr="009E064B">
        <w:rPr>
          <w:szCs w:val="20"/>
        </w:rPr>
        <w:t>ości przynajmniej 3 </w:t>
      </w:r>
      <w:r w:rsidR="00013601" w:rsidRPr="009E064B">
        <w:rPr>
          <w:szCs w:val="20"/>
        </w:rPr>
        <w:t>m. Jeżeli w </w:t>
      </w:r>
      <w:r w:rsidRPr="009E064B">
        <w:rPr>
          <w:szCs w:val="20"/>
        </w:rPr>
        <w:t>systemie świateł podejścia poprzeczka znajduje się na odległości 300 m od progu drogi startowej, można zastosować uzupełniającą poprzeczkę w odległości 150 m od progu drogi startowej.</w:t>
      </w:r>
    </w:p>
    <w:p w14:paraId="3AE5E42D"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szCs w:val="20"/>
        </w:rPr>
        <w:t>Prosty system świateł podejścia powinien być położony, tak blisko jak to możliwe, w płaszczyźnie poziomej przechodzącej przez próg, przy zachowaniu następujących warunków:</w:t>
      </w:r>
    </w:p>
    <w:p w14:paraId="206F5A22"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żaden obiekt, z wyjątkiem anteny kierunku systemu ILS lub MLS, nie powinien wystawać ponad płaszczyznę świateł w odległości 60 m od linii środkowej systemu świateł podejścia; oraz</w:t>
      </w:r>
    </w:p>
    <w:p w14:paraId="6AE17E46"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żadne światło, inne niż światło znajdujące się w środkowej części poprzeczki lub baretki, linii środkowej systemu świateł podejścia, lecz nie na ich końcach, nie powinno być przesłonięte dla statku powietrznego wykonującego podejście do lądowania.</w:t>
      </w:r>
    </w:p>
    <w:p w14:paraId="67B63EE9" w14:textId="48881A43" w:rsidR="00C36D76" w:rsidRPr="009E064B" w:rsidRDefault="00C36D76" w:rsidP="00B06A9A">
      <w:pPr>
        <w:pStyle w:val="Akapitzlist"/>
        <w:ind w:left="708"/>
        <w:rPr>
          <w:szCs w:val="20"/>
        </w:rPr>
      </w:pPr>
      <w:r w:rsidRPr="009E064B">
        <w:rPr>
          <w:szCs w:val="20"/>
        </w:rPr>
        <w:t>Każda antena kierunku systemu ILS lub MLS, wystająca ponad płaszczyznę świateł prostego systemu świateł podejścia, powinna być trakt</w:t>
      </w:r>
      <w:r w:rsidR="00085A04" w:rsidRPr="009E064B">
        <w:rPr>
          <w:szCs w:val="20"/>
        </w:rPr>
        <w:t xml:space="preserve">owana jak przeszkoda lotnicza i </w:t>
      </w:r>
      <w:r w:rsidRPr="009E064B">
        <w:rPr>
          <w:szCs w:val="20"/>
        </w:rPr>
        <w:t>powinna być odpowiednio oznakowana i oświetlona, zgodnie z wymaganiami dla przeszkód lotniczych.</w:t>
      </w:r>
    </w:p>
    <w:p w14:paraId="559857AC"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(d) </w:t>
      </w:r>
      <w:r w:rsidRPr="009E064B">
        <w:rPr>
          <w:rFonts w:cs="Times New Roman"/>
          <w:szCs w:val="20"/>
        </w:rPr>
        <w:tab/>
      </w:r>
      <w:r w:rsidRPr="009E064B">
        <w:rPr>
          <w:rFonts w:cs="TimesNewRomanPS-BoldItalicMT"/>
          <w:bCs/>
          <w:iCs/>
          <w:szCs w:val="20"/>
        </w:rPr>
        <w:t>Charakterystyki</w:t>
      </w:r>
    </w:p>
    <w:p w14:paraId="506831F5"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prostego systemu świateł podejścia powinny być światłami stałymi, a ich kolor powinien być dobrany tak, aby umożliwiał odróżnienie tych świateł od innych naziemnych świateł lotniczych lub innych obcych świateł, jeżeli takie występują, ale preferowane jest, aby światła systemu były światłami stałymi pokazującymi kolor biały – zmienny. Każde światło linii środkowej systemu powinno składać się z:</w:t>
      </w:r>
    </w:p>
    <w:p w14:paraId="485160FD"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pojedynczego źródła światła; lub</w:t>
      </w:r>
    </w:p>
    <w:p w14:paraId="7502B3B5"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t xml:space="preserve">baretki </w:t>
      </w:r>
      <w:r w:rsidRPr="009E064B">
        <w:rPr>
          <w:szCs w:val="20"/>
        </w:rPr>
        <w:t>o długości przynajmniej 3 m.</w:t>
      </w:r>
    </w:p>
    <w:p w14:paraId="03B512E1"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(e) </w:t>
      </w:r>
      <w:r w:rsidRPr="009E064B">
        <w:rPr>
          <w:rFonts w:cs="Times New Roman"/>
          <w:szCs w:val="20"/>
        </w:rPr>
        <w:tab/>
      </w:r>
      <w:r w:rsidRPr="009E064B">
        <w:rPr>
          <w:szCs w:val="20"/>
        </w:rPr>
        <w:t>Jeżeli przewiduje się rozbudowę prostego systemu świateł podejścia do systemu świateł podejścia</w:t>
      </w:r>
      <w:r w:rsidRPr="009E064B">
        <w:rPr>
          <w:rFonts w:cs="TimesNewRomanPS-BoldItalicMT"/>
          <w:bCs/>
          <w:iCs/>
          <w:szCs w:val="20"/>
        </w:rPr>
        <w:t xml:space="preserve"> precyzyjnego</w:t>
      </w:r>
      <w:r w:rsidRPr="009E064B">
        <w:rPr>
          <w:szCs w:val="20"/>
        </w:rPr>
        <w:t>, należy stosować baretki o długości 4 m.</w:t>
      </w:r>
    </w:p>
    <w:p w14:paraId="54A1F969"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(f) </w:t>
      </w:r>
      <w:r w:rsidRPr="009E064B">
        <w:rPr>
          <w:rFonts w:cs="Times New Roman"/>
          <w:szCs w:val="20"/>
        </w:rPr>
        <w:tab/>
      </w:r>
      <w:r w:rsidRPr="009E064B">
        <w:rPr>
          <w:szCs w:val="20"/>
        </w:rPr>
        <w:t xml:space="preserve">Światła zainstalowane na nieprzyrządowej drodze startowej powinny być widoczne ze wszystkich kierunków dla pilota znajdującego się w pozycji „po 3 zakręcie” </w:t>
      </w:r>
      <w:r w:rsidRPr="009E064B">
        <w:rPr>
          <w:i/>
          <w:szCs w:val="20"/>
        </w:rPr>
        <w:t>(base leg)</w:t>
      </w:r>
      <w:r w:rsidRPr="009E064B">
        <w:rPr>
          <w:szCs w:val="20"/>
        </w:rPr>
        <w:t xml:space="preserve"> oraz na końcowym podejściu do lądowania </w:t>
      </w:r>
      <w:r w:rsidRPr="009E064B">
        <w:rPr>
          <w:i/>
          <w:szCs w:val="20"/>
        </w:rPr>
        <w:t>(final approach)</w:t>
      </w:r>
      <w:r w:rsidRPr="009E064B">
        <w:rPr>
          <w:szCs w:val="20"/>
        </w:rPr>
        <w:t>. Intensywność świateł powinna być odpowiednia dla każdych warunków widzialności i oświetlenia, dla jakich prosty system świateł podejścia został zainstalowany.</w:t>
      </w:r>
    </w:p>
    <w:p w14:paraId="64EA0968" w14:textId="77777777" w:rsidR="00C36D76" w:rsidRPr="009E064B" w:rsidRDefault="00C36D76" w:rsidP="005E3E07">
      <w:pPr>
        <w:tabs>
          <w:tab w:val="left" w:pos="567"/>
        </w:tabs>
        <w:autoSpaceDE w:val="0"/>
        <w:autoSpaceDN w:val="0"/>
        <w:adjustRightInd w:val="0"/>
        <w:spacing w:after="240"/>
        <w:ind w:left="567" w:hanging="567"/>
        <w:rPr>
          <w:szCs w:val="20"/>
        </w:rPr>
      </w:pPr>
      <w:r w:rsidRPr="009E064B">
        <w:rPr>
          <w:rFonts w:cs="Times New Roman"/>
          <w:szCs w:val="20"/>
        </w:rPr>
        <w:t xml:space="preserve">(g) </w:t>
      </w:r>
      <w:r w:rsidRPr="009E064B">
        <w:rPr>
          <w:rFonts w:cs="Times New Roman"/>
          <w:szCs w:val="20"/>
        </w:rPr>
        <w:tab/>
      </w:r>
      <w:r w:rsidRPr="009E064B">
        <w:rPr>
          <w:szCs w:val="20"/>
        </w:rPr>
        <w:t xml:space="preserve">Światła zainstalowane na drodze startowej z podejściem nieprecyzyjnym powinny </w:t>
      </w:r>
      <w:r w:rsidRPr="009E064B">
        <w:rPr>
          <w:rFonts w:cs="TimesNewRomanPS-BoldItalicMT"/>
          <w:bCs/>
          <w:iCs/>
          <w:szCs w:val="20"/>
        </w:rPr>
        <w:t>być</w:t>
      </w:r>
      <w:r w:rsidRPr="009E064B">
        <w:rPr>
          <w:szCs w:val="20"/>
        </w:rPr>
        <w:t xml:space="preserve"> widoczne ze wszystkich kierunków dla pilota znajdującego się na końcowym podejściu do lądowania, gdy statek powietrzny nie oddala się nadmiernie od ścieżki wyznaczonej przez pomoce niewzrokowe. Światła powinny być zaprojektowane w sposób zapewniający prowadzenie zarówno w dzień jak i w nocy w najbardziej niekorzystnych warunkach widzialności oraz oświetlenia, dla jakich dany system ma być wykorzystywany.</w:t>
      </w:r>
    </w:p>
    <w:p w14:paraId="388F221F" w14:textId="77777777" w:rsidR="00BE304B" w:rsidRPr="009E064B" w:rsidRDefault="00BE304B" w:rsidP="00B06A9A">
      <w:pPr>
        <w:tabs>
          <w:tab w:val="left" w:pos="567"/>
        </w:tabs>
        <w:autoSpaceDE w:val="0"/>
        <w:autoSpaceDN w:val="0"/>
        <w:adjustRightInd w:val="0"/>
        <w:spacing w:after="0"/>
        <w:ind w:left="567" w:hanging="567"/>
        <w:rPr>
          <w:szCs w:val="20"/>
        </w:rPr>
      </w:pPr>
    </w:p>
    <w:p w14:paraId="6DF08907" w14:textId="52F51D4B" w:rsidR="00C36D76" w:rsidRPr="009E064B" w:rsidRDefault="00013601" w:rsidP="00814A8D">
      <w:pPr>
        <w:spacing w:after="0"/>
        <w:jc w:val="right"/>
        <w:rPr>
          <w:szCs w:val="20"/>
        </w:rPr>
      </w:pPr>
      <w:r w:rsidRPr="009E064B">
        <w:rPr>
          <w:noProof/>
          <w:lang w:eastAsia="pl-PL"/>
        </w:rPr>
        <w:drawing>
          <wp:inline distT="0" distB="0" distL="0" distR="0" wp14:anchorId="2AAC0E9D" wp14:editId="7939B504">
            <wp:extent cx="5760720" cy="713893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0720" cy="7138930"/>
                    </a:xfrm>
                    <a:prstGeom prst="rect">
                      <a:avLst/>
                    </a:prstGeom>
                    <a:noFill/>
                    <a:ln>
                      <a:noFill/>
                    </a:ln>
                  </pic:spPr>
                </pic:pic>
              </a:graphicData>
            </a:graphic>
          </wp:inline>
        </w:drawing>
      </w:r>
    </w:p>
    <w:p w14:paraId="3FC5BE44" w14:textId="77777777" w:rsidR="00C36D76" w:rsidRPr="009E064B" w:rsidRDefault="00C36D76" w:rsidP="005E3E07">
      <w:pPr>
        <w:spacing w:after="0"/>
        <w:ind w:right="11"/>
        <w:rPr>
          <w:szCs w:val="20"/>
        </w:rPr>
      </w:pPr>
    </w:p>
    <w:p w14:paraId="20210B4D" w14:textId="77777777" w:rsidR="00C36D76" w:rsidRPr="0021406A" w:rsidRDefault="00C36D76" w:rsidP="00B06A9A">
      <w:pPr>
        <w:spacing w:after="0"/>
        <w:ind w:right="10"/>
        <w:jc w:val="center"/>
        <w:rPr>
          <w:b/>
          <w:szCs w:val="20"/>
        </w:rPr>
      </w:pPr>
      <w:r w:rsidRPr="0021406A">
        <w:rPr>
          <w:b/>
          <w:sz w:val="20"/>
          <w:szCs w:val="20"/>
        </w:rPr>
        <w:t>Rysunek M-1.   Prosty system świateł podejścia</w:t>
      </w:r>
    </w:p>
    <w:p w14:paraId="2A60697A" w14:textId="5EE9FBB1" w:rsidR="006D228E"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r w:rsidR="005E3E07" w:rsidRPr="009E064B">
        <w:rPr>
          <w:rFonts w:asciiTheme="minorHAnsi" w:hAnsiTheme="minorHAnsi" w:cstheme="minorHAnsi"/>
          <w:i/>
          <w:sz w:val="16"/>
          <w:szCs w:val="16"/>
        </w:rPr>
        <w:t xml:space="preserve">  </w:t>
      </w:r>
    </w:p>
    <w:p w14:paraId="607534AA" w14:textId="4C35D11D" w:rsidR="00272C61" w:rsidRPr="009E064B" w:rsidRDefault="006D228E" w:rsidP="00133B99">
      <w:pPr>
        <w:pStyle w:val="Nagwek6"/>
      </w:pPr>
      <w:bookmarkStart w:id="1472" w:name="_Toc401059026"/>
      <w:bookmarkStart w:id="1473" w:name="_Toc482886893"/>
      <w:bookmarkStart w:id="1474" w:name="_Toc12533178"/>
      <w:r w:rsidRPr="009E064B">
        <w:t xml:space="preserve">GM1 ADR-DSN.M.626     </w:t>
      </w:r>
      <w:r w:rsidR="00272C61" w:rsidRPr="009E064B">
        <w:t>Prosty system świateł podejścia</w:t>
      </w:r>
      <w:bookmarkEnd w:id="1472"/>
      <w:bookmarkEnd w:id="1473"/>
      <w:bookmarkEnd w:id="1474"/>
    </w:p>
    <w:p w14:paraId="4140B87B" w14:textId="3859649C"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B723820" w14:textId="77777777" w:rsidR="00272C61" w:rsidRPr="009E064B" w:rsidRDefault="00272C61" w:rsidP="00B06A9A">
      <w:r w:rsidRPr="009E064B">
        <w:t>Celowo pozostawiono puste.</w:t>
      </w:r>
    </w:p>
    <w:p w14:paraId="61090B02" w14:textId="20743D16" w:rsidR="00C36D76" w:rsidRPr="009E064B" w:rsidRDefault="00A37A28" w:rsidP="00B06A9A">
      <w:pPr>
        <w:pStyle w:val="Nagwek4"/>
        <w:rPr>
          <w:color w:val="auto"/>
        </w:rPr>
      </w:pPr>
      <w:bookmarkStart w:id="1475" w:name="_CS_ADR-DSN.M.630_"/>
      <w:bookmarkStart w:id="1476" w:name="_Toc482886670"/>
      <w:bookmarkStart w:id="1477" w:name="_Toc12533179"/>
      <w:bookmarkEnd w:id="1475"/>
      <w:r w:rsidRPr="009E064B">
        <w:rPr>
          <w:color w:val="auto"/>
        </w:rPr>
        <w:t xml:space="preserve">CS ADR-DSN.M.630     </w:t>
      </w:r>
      <w:r w:rsidR="00C36D76" w:rsidRPr="009E064B">
        <w:rPr>
          <w:color w:val="auto"/>
        </w:rPr>
        <w:t xml:space="preserve">System </w:t>
      </w:r>
      <w:r w:rsidR="007B2C91" w:rsidRPr="009E064B">
        <w:rPr>
          <w:color w:val="auto"/>
        </w:rPr>
        <w:t>świateł podejścia precyzyjnego k</w:t>
      </w:r>
      <w:r w:rsidR="00C36D76" w:rsidRPr="009E064B">
        <w:rPr>
          <w:color w:val="auto"/>
        </w:rPr>
        <w:t>ategorii I</w:t>
      </w:r>
      <w:bookmarkEnd w:id="1476"/>
      <w:bookmarkEnd w:id="1477"/>
    </w:p>
    <w:p w14:paraId="288AA54F" w14:textId="36D907B3" w:rsidR="00A37A28" w:rsidRPr="009E064B" w:rsidRDefault="00D63D4F" w:rsidP="00A37A28">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2F82531" w14:textId="31B5A3BC"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systemu świateł podejścia jest zapewnienie wskazówek do wykonania skrętu i wyrównania oraz informacji dotyczącej odległości w celu umożliwienia bezpiecznego podejścia do lądowania na drodze startowej.</w:t>
      </w:r>
    </w:p>
    <w:p w14:paraId="74B79DFE"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xml:space="preserve"> i budowa</w:t>
      </w:r>
    </w:p>
    <w:p w14:paraId="43350745" w14:textId="2C3C6C6E"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009B0A08" w:rsidRPr="009E064B">
        <w:rPr>
          <w:rFonts w:cs="TimesNewRomanPS-BoldItalicMT"/>
          <w:bCs/>
          <w:iCs/>
          <w:szCs w:val="20"/>
        </w:rPr>
        <w:t>Wymagania</w:t>
      </w:r>
      <w:r w:rsidRPr="009E064B">
        <w:rPr>
          <w:szCs w:val="20"/>
        </w:rPr>
        <w:t xml:space="preserve"> ogólne: System świateł podejścia precyzyjnego kategorii I powinien składać się z rzędu świateł rozmieszczonych na przedłużeniu linii środkowej drogi startowej, na długości, o ile to możliwe, 900 m od progu drogi startowej oraz z rzędu świateł tworzących poprzeczkę o długości 30 m, umieszczoną w odległości 300 m od progu drogi startowej (patrz Rysunek M-2).</w:t>
      </w:r>
    </w:p>
    <w:p w14:paraId="6464AE6B"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Światła</w:t>
      </w:r>
      <w:r w:rsidRPr="009E064B">
        <w:rPr>
          <w:szCs w:val="20"/>
        </w:rPr>
        <w:t xml:space="preserve"> poprzeczki: Światła tworzące poprzeczkę powinny być ustawione, jeżeli tylko jest to możliwe, w linii prostej poziomej, prostopadle i symetrycznie w stosunku do przedłużenia linii środkowej drogi startowej. Światła poprzeczki powinny być tak rozstawione, aby dawały efekt linii, mogą być jednak pozostawione przerwy z obydwu stron linii środkowej drogi startowej. Długość tych przerw nie powinna przekraczać minimalnej wartości, odpowiadającej lokalnym potrzebom, a żadna z nich nie może być większa niż 6 m.</w:t>
      </w:r>
    </w:p>
    <w:p w14:paraId="05841C3C"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Światła</w:t>
      </w:r>
      <w:r w:rsidRPr="009E064B">
        <w:rPr>
          <w:szCs w:val="20"/>
        </w:rPr>
        <w:t xml:space="preserve"> linii środkowej: Światła tworzące linię środkową powinny być rozmieszczone w odstępach 30 m, przy czym pierwsze światło powinno być zlokalizowane w odległości 30 m od progu drogi startowej.</w:t>
      </w:r>
    </w:p>
    <w:p w14:paraId="383BE9B6" w14:textId="0EAD7F53"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szCs w:val="20"/>
        </w:rPr>
        <w:t>System świateł podejścia powinien być położon</w:t>
      </w:r>
      <w:r w:rsidR="00C41539" w:rsidRPr="009E064B">
        <w:rPr>
          <w:szCs w:val="20"/>
        </w:rPr>
        <w:t xml:space="preserve">y, tak blisko jak to możliwe, w </w:t>
      </w:r>
      <w:r w:rsidRPr="009E064B">
        <w:rPr>
          <w:szCs w:val="20"/>
        </w:rPr>
        <w:t>płaszczyźnie poziomej przechodzącej przez próg, przy zachowaniu następujących warunków:</w:t>
      </w:r>
    </w:p>
    <w:p w14:paraId="6D81C2A2"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żaden obiekt, z wyjątkiem anteny kierunku systemu ILS lub MLS, nie powinien wystawać ponad płaszczyznę świateł podejścia w odległości 60 m od linii środkowej systemu; oraz</w:t>
      </w:r>
    </w:p>
    <w:p w14:paraId="2614A0B0"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żadne światło, inne niż światło znajdujące się w środkowej części poprzeczki lub baretki linii środkowej systemu świateł podejścia (nie na ich końcach), nie powinno być przesłonięte dla statku powietrznego wykonującego podejście do lądowania.</w:t>
      </w:r>
    </w:p>
    <w:p w14:paraId="00653FB5"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Każda antena kierunku systemu ILS lub MLS, która przebija płaszczyznę świateł systemu świateł podejścia, powinna być traktowana jak przeszkoda lotnicza i odpowiednio oznakowana i oświetlona.</w:t>
      </w:r>
    </w:p>
    <w:p w14:paraId="4749A5F8" w14:textId="77777777" w:rsidR="00C36D76" w:rsidRPr="009E064B" w:rsidRDefault="00C36D76" w:rsidP="00B06A9A">
      <w:pPr>
        <w:tabs>
          <w:tab w:val="left" w:pos="567"/>
        </w:tabs>
        <w:autoSpaceDE w:val="0"/>
        <w:autoSpaceDN w:val="0"/>
        <w:adjustRightInd w:val="0"/>
        <w:ind w:left="567" w:hanging="567"/>
        <w:rPr>
          <w:szCs w:val="20"/>
        </w:rPr>
      </w:pPr>
      <w:r w:rsidRPr="009E064B">
        <w:rPr>
          <w:rFonts w:cs="Times New Roman"/>
          <w:szCs w:val="20"/>
        </w:rPr>
        <w:t xml:space="preserve">(c) </w:t>
      </w:r>
      <w:r w:rsidRPr="009E064B">
        <w:rPr>
          <w:rFonts w:cs="Times New Roman"/>
          <w:szCs w:val="20"/>
        </w:rPr>
        <w:tab/>
      </w:r>
      <w:r w:rsidRPr="009E064B">
        <w:rPr>
          <w:rFonts w:cs="TimesNewRomanPS-BoldItalicMT"/>
          <w:bCs/>
          <w:iCs/>
          <w:szCs w:val="20"/>
        </w:rPr>
        <w:t>Charakterystyki</w:t>
      </w:r>
    </w:p>
    <w:p w14:paraId="6F71032B" w14:textId="2AAE266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i poprzeczki systemu świateł podejścia precyzyjnego kategor</w:t>
      </w:r>
      <w:r w:rsidR="00013601" w:rsidRPr="009E064B">
        <w:rPr>
          <w:szCs w:val="20"/>
        </w:rPr>
        <w:t>ii </w:t>
      </w:r>
      <w:r w:rsidRPr="009E064B">
        <w:rPr>
          <w:szCs w:val="20"/>
        </w:rPr>
        <w:t xml:space="preserve">I powinny być światłami stałymi dającymi światło </w:t>
      </w:r>
      <w:r w:rsidRPr="009E064B">
        <w:rPr>
          <w:rFonts w:cs="TimesNewRomanPS-ItalicMT"/>
          <w:iCs/>
          <w:szCs w:val="20"/>
        </w:rPr>
        <w:t>białe</w:t>
      </w:r>
      <w:r w:rsidRPr="009E064B">
        <w:rPr>
          <w:szCs w:val="20"/>
        </w:rPr>
        <w:t xml:space="preserve"> zmienne. Każde punkt świetlny linii środkowej powinien składać się z:</w:t>
      </w:r>
    </w:p>
    <w:p w14:paraId="5D937C4F"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pojedynczego źródła światła na długości 300 m od progu drogi startowej, dwóch źródeł światła w centralnym odcinku linii środkowej na długości 300 m oraz trzech źródeł światła na zewnętrznym 300 m odcinku linii środkowej w celu zapewnienia informacji o odległości; lub</w:t>
      </w:r>
    </w:p>
    <w:p w14:paraId="7E14CDEB"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t>jednej baretki</w:t>
      </w:r>
      <w:r w:rsidRPr="009E064B">
        <w:rPr>
          <w:szCs w:val="20"/>
        </w:rPr>
        <w:t>.</w:t>
      </w:r>
    </w:p>
    <w:p w14:paraId="7F2CADCC" w14:textId="0DF9F693"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szCs w:val="20"/>
        </w:rPr>
        <w:t>W przypadku, kiedy możliwe jest zagwarantowanie poziomu niezawodności świateł pod</w:t>
      </w:r>
      <w:r w:rsidR="005E3E07" w:rsidRPr="009E064B">
        <w:rPr>
          <w:szCs w:val="20"/>
        </w:rPr>
        <w:t xml:space="preserve">ejścia określonych w </w:t>
      </w:r>
      <w:hyperlink w:anchor="_CS_ADR-DSN.S.895_" w:history="1">
        <w:r w:rsidR="005E3E07" w:rsidRPr="009E064B">
          <w:rPr>
            <w:rStyle w:val="Hipercze"/>
            <w:szCs w:val="20"/>
          </w:rPr>
          <w:t>CS </w:t>
        </w:r>
        <w:r w:rsidRPr="009E064B">
          <w:rPr>
            <w:rStyle w:val="Hipercze"/>
            <w:szCs w:val="20"/>
          </w:rPr>
          <w:t>ADR-DSN.S.895</w:t>
        </w:r>
      </w:hyperlink>
      <w:r w:rsidRPr="009E064B">
        <w:rPr>
          <w:szCs w:val="20"/>
        </w:rPr>
        <w:t>, każde światło linii środkowej powinno składać się z:</w:t>
      </w:r>
    </w:p>
    <w:p w14:paraId="70146E02"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pojedynczego źródła światła; lub</w:t>
      </w:r>
    </w:p>
    <w:p w14:paraId="5ACD2927"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t>jednej baretki</w:t>
      </w:r>
      <w:r w:rsidRPr="009E064B">
        <w:rPr>
          <w:szCs w:val="20"/>
        </w:rPr>
        <w:t>.</w:t>
      </w:r>
    </w:p>
    <w:p w14:paraId="0BB0A2B3" w14:textId="77777777" w:rsidR="00C36D76" w:rsidRPr="009E064B" w:rsidRDefault="00C36D76" w:rsidP="00B06A9A">
      <w:pPr>
        <w:pStyle w:val="Akapitzlist"/>
        <w:ind w:left="1134"/>
        <w:rPr>
          <w:szCs w:val="20"/>
        </w:rPr>
      </w:pPr>
      <w:r w:rsidRPr="009E064B">
        <w:rPr>
          <w:szCs w:val="20"/>
        </w:rPr>
        <w:t>Jeżeli baretki składają się ze świateł zbliżonych do punktowych, to światła te powinny być równomiernie rozmieszczone z przerwami nie większymi niż 1.5 m. Baretki powinny mieć długość przynajmniej 4 m.</w:t>
      </w:r>
    </w:p>
    <w:p w14:paraId="125E653A" w14:textId="173D844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szCs w:val="20"/>
        </w:rPr>
        <w:t xml:space="preserve">Jeżeli linia środkowa utworzona jest ze świateł opisanych w </w:t>
      </w:r>
      <w:r w:rsidR="004D2E77" w:rsidRPr="009E064B">
        <w:rPr>
          <w:szCs w:val="20"/>
        </w:rPr>
        <w:t>lit. </w:t>
      </w:r>
      <w:r w:rsidRPr="009E064B">
        <w:rPr>
          <w:szCs w:val="20"/>
        </w:rPr>
        <w:t>(c)</w:t>
      </w:r>
      <w:r w:rsidR="004D2E77" w:rsidRPr="009E064B">
        <w:rPr>
          <w:szCs w:val="20"/>
        </w:rPr>
        <w:t xml:space="preserve"> pkt </w:t>
      </w:r>
      <w:r w:rsidRPr="009E064B">
        <w:rPr>
          <w:szCs w:val="20"/>
        </w:rPr>
        <w:t>(1)</w:t>
      </w:r>
      <w:r w:rsidR="004D2E77" w:rsidRPr="009E064B">
        <w:rPr>
          <w:szCs w:val="20"/>
        </w:rPr>
        <w:t xml:space="preserve"> podpunkt </w:t>
      </w:r>
      <w:r w:rsidRPr="009E064B">
        <w:rPr>
          <w:szCs w:val="20"/>
        </w:rPr>
        <w:t xml:space="preserve">(i) lub </w:t>
      </w:r>
      <w:r w:rsidR="004D2E77" w:rsidRPr="009E064B">
        <w:rPr>
          <w:szCs w:val="20"/>
        </w:rPr>
        <w:t>lit. </w:t>
      </w:r>
      <w:r w:rsidRPr="009E064B">
        <w:rPr>
          <w:szCs w:val="20"/>
        </w:rPr>
        <w:t>(c)</w:t>
      </w:r>
      <w:r w:rsidR="004D2E77" w:rsidRPr="009E064B">
        <w:rPr>
          <w:szCs w:val="20"/>
        </w:rPr>
        <w:t xml:space="preserve"> pkt </w:t>
      </w:r>
      <w:r w:rsidRPr="009E064B">
        <w:rPr>
          <w:szCs w:val="20"/>
        </w:rPr>
        <w:t>(2)</w:t>
      </w:r>
      <w:r w:rsidR="004D2E77" w:rsidRPr="009E064B">
        <w:rPr>
          <w:szCs w:val="20"/>
        </w:rPr>
        <w:t xml:space="preserve"> podpunkt </w:t>
      </w:r>
      <w:r w:rsidRPr="009E064B">
        <w:rPr>
          <w:szCs w:val="20"/>
        </w:rPr>
        <w:t xml:space="preserve">(i) powyżej, poza poprzeczką w </w:t>
      </w:r>
      <w:r w:rsidRPr="009E064B">
        <w:rPr>
          <w:rFonts w:cs="TimesNewRomanPS-ItalicMT"/>
          <w:iCs/>
          <w:szCs w:val="20"/>
        </w:rPr>
        <w:t>odległości</w:t>
      </w:r>
      <w:r w:rsidRPr="009E064B">
        <w:rPr>
          <w:szCs w:val="20"/>
        </w:rPr>
        <w:t xml:space="preserve"> 300 m należy zastosować dodatkowe poprzeczki w odległościach 150 m, 450 m, 600 m, 750 m od progu. Światła tworzące każdą poprzeczkę powinny być, jeżeli jest to możliwe, instalowane w linii prostej poziomej, prostopadle do przedłużenia linii środkowej drogi startowej oraz tak, aby linia środkowa dzieliła je na połowy. Światła instaluje się tak, aby dawały efekt linii, możliwe jest pozostawienie przerwy z obydwu stron przedłużonej linii środkowej drogi startowej. Długość tych przerw nie powinna przekraczać minimalnej wartości odpow</w:t>
      </w:r>
      <w:r w:rsidR="00C41539" w:rsidRPr="009E064B">
        <w:rPr>
          <w:szCs w:val="20"/>
        </w:rPr>
        <w:t xml:space="preserve">iadającej lokalnym potrzebom, a </w:t>
      </w:r>
      <w:r w:rsidRPr="009E064B">
        <w:rPr>
          <w:szCs w:val="20"/>
        </w:rPr>
        <w:t xml:space="preserve">żadna z </w:t>
      </w:r>
      <w:r w:rsidR="004D2E77" w:rsidRPr="009E064B">
        <w:rPr>
          <w:szCs w:val="20"/>
        </w:rPr>
        <w:t>nich nie może być większa niż 6 </w:t>
      </w:r>
      <w:r w:rsidRPr="009E064B">
        <w:rPr>
          <w:szCs w:val="20"/>
        </w:rPr>
        <w:t>m.</w:t>
      </w:r>
    </w:p>
    <w:p w14:paraId="4A5E1E63"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Jeżeli</w:t>
      </w:r>
      <w:r w:rsidRPr="009E064B">
        <w:rPr>
          <w:szCs w:val="20"/>
        </w:rPr>
        <w:t xml:space="preserve"> do systemu świateł podejścia zostały włączone dodatkowe poprzeczki, to zewnętrzne końce (światła) tych poprzeczek powinny znajdować się na dwóch liniach prostych będących liniami równoległymi do linii świateł linii środkowej, albo liniami zbiegającymi się, do przecięcia z linią środkową drogi startowej w odległości 300 m za progiem patrząc od strony podejścia.</w:t>
      </w:r>
    </w:p>
    <w:p w14:paraId="17C09E46" w14:textId="3775F80E"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(5) </w:t>
      </w:r>
      <w:r w:rsidRPr="009E064B">
        <w:rPr>
          <w:rFonts w:cs="Times New Roman"/>
          <w:szCs w:val="20"/>
        </w:rPr>
        <w:tab/>
      </w:r>
      <w:r w:rsidRPr="009E064B">
        <w:rPr>
          <w:szCs w:val="20"/>
        </w:rPr>
        <w:t xml:space="preserve">Charakterystyki świateł powinny być zgodne ze specyfikacjami w </w:t>
      </w:r>
      <w:hyperlink w:anchor="_CS_ADR-DSN.U.940_" w:history="1">
        <w:r w:rsidRPr="009E064B">
          <w:rPr>
            <w:rStyle w:val="Hipercze"/>
            <w:szCs w:val="20"/>
          </w:rPr>
          <w:t>CS ADR-DSN.U.940</w:t>
        </w:r>
      </w:hyperlink>
      <w:r w:rsidRPr="009E064B">
        <w:rPr>
          <w:szCs w:val="20"/>
        </w:rPr>
        <w:t xml:space="preserve">, Rysunek U-5. Chromatyczność świateł powinna być zgodna ze specyfikacjami </w:t>
      </w:r>
      <w:r w:rsidR="000D78F5" w:rsidRPr="009E064B">
        <w:rPr>
          <w:szCs w:val="20"/>
        </w:rPr>
        <w:br/>
      </w:r>
      <w:r w:rsidRPr="009E064B">
        <w:rPr>
          <w:szCs w:val="20"/>
        </w:rPr>
        <w:t>w </w:t>
      </w:r>
      <w:r w:rsidR="005E3E07" w:rsidRPr="009E064B">
        <w:rPr>
          <w:szCs w:val="20"/>
        </w:rPr>
        <w:t> </w:t>
      </w:r>
      <w:hyperlink w:anchor="_CS_ADR-DSN.U.930_" w:history="1">
        <w:r w:rsidRPr="009E064B">
          <w:rPr>
            <w:rStyle w:val="Hipercze"/>
            <w:szCs w:val="20"/>
          </w:rPr>
          <w:t>CS ADR-DSN.U.930</w:t>
        </w:r>
      </w:hyperlink>
      <w:r w:rsidRPr="009E064B">
        <w:rPr>
          <w:szCs w:val="20"/>
        </w:rPr>
        <w:t xml:space="preserve"> </w:t>
      </w:r>
      <w:r w:rsidR="00085A04" w:rsidRPr="009E064B">
        <w:rPr>
          <w:szCs w:val="20"/>
        </w:rPr>
        <w:t>i</w:t>
      </w:r>
      <w:r w:rsidR="00085A04" w:rsidRPr="009E064B">
        <w:rPr>
          <w:color w:val="FF0000"/>
          <w:szCs w:val="20"/>
        </w:rPr>
        <w:t xml:space="preserve"> </w:t>
      </w:r>
      <w:r w:rsidR="000D78F5" w:rsidRPr="0021406A">
        <w:rPr>
          <w:szCs w:val="20"/>
        </w:rPr>
        <w:t xml:space="preserve">odpowiednio </w:t>
      </w:r>
      <w:r w:rsidR="00085A04" w:rsidRPr="0021406A">
        <w:rPr>
          <w:szCs w:val="20"/>
        </w:rPr>
        <w:t>na Rysunku</w:t>
      </w:r>
      <w:r w:rsidRPr="0021406A">
        <w:rPr>
          <w:szCs w:val="20"/>
        </w:rPr>
        <w:t xml:space="preserve"> U-1</w:t>
      </w:r>
      <w:r w:rsidR="000D78F5" w:rsidRPr="0021406A">
        <w:rPr>
          <w:szCs w:val="20"/>
        </w:rPr>
        <w:t>A lub U-1B</w:t>
      </w:r>
      <w:r w:rsidRPr="0021406A">
        <w:rPr>
          <w:szCs w:val="20"/>
        </w:rPr>
        <w:t>.</w:t>
      </w:r>
    </w:p>
    <w:p w14:paraId="5384A2E5" w14:textId="0C18E0A5"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(6) </w:t>
      </w:r>
      <w:r w:rsidRPr="009E064B">
        <w:rPr>
          <w:rFonts w:cs="Times New Roman"/>
          <w:szCs w:val="20"/>
        </w:rPr>
        <w:tab/>
      </w:r>
      <w:r w:rsidRPr="009E064B">
        <w:rPr>
          <w:rFonts w:cs="TimesNewRomanPS-ItalicMT"/>
          <w:iCs/>
          <w:szCs w:val="20"/>
        </w:rPr>
        <w:t>Jeżeli</w:t>
      </w:r>
      <w:r w:rsidRPr="009E064B">
        <w:rPr>
          <w:szCs w:val="20"/>
        </w:rPr>
        <w:t xml:space="preserve"> linia środkowa utworzona jest z baretek opisanych w </w:t>
      </w:r>
      <w:r w:rsidR="004D2E77" w:rsidRPr="009E064B">
        <w:rPr>
          <w:szCs w:val="20"/>
        </w:rPr>
        <w:t>lit. </w:t>
      </w:r>
      <w:r w:rsidRPr="009E064B">
        <w:rPr>
          <w:szCs w:val="20"/>
        </w:rPr>
        <w:t>(c)</w:t>
      </w:r>
      <w:r w:rsidR="004D2E77" w:rsidRPr="009E064B">
        <w:rPr>
          <w:szCs w:val="20"/>
        </w:rPr>
        <w:t xml:space="preserve"> pkt </w:t>
      </w:r>
      <w:r w:rsidRPr="009E064B">
        <w:rPr>
          <w:szCs w:val="20"/>
        </w:rPr>
        <w:t>(1)</w:t>
      </w:r>
      <w:r w:rsidR="004D2E77" w:rsidRPr="009E064B">
        <w:rPr>
          <w:szCs w:val="20"/>
        </w:rPr>
        <w:t xml:space="preserve"> podpunkt </w:t>
      </w:r>
      <w:r w:rsidRPr="009E064B">
        <w:rPr>
          <w:szCs w:val="20"/>
        </w:rPr>
        <w:t xml:space="preserve">(ii) lub </w:t>
      </w:r>
      <w:r w:rsidR="004D2E77" w:rsidRPr="009E064B">
        <w:rPr>
          <w:szCs w:val="20"/>
        </w:rPr>
        <w:t>lit. </w:t>
      </w:r>
      <w:r w:rsidRPr="009E064B">
        <w:rPr>
          <w:szCs w:val="20"/>
        </w:rPr>
        <w:t>(c)</w:t>
      </w:r>
      <w:r w:rsidR="004D2E77" w:rsidRPr="009E064B">
        <w:rPr>
          <w:szCs w:val="20"/>
        </w:rPr>
        <w:t xml:space="preserve"> pkt </w:t>
      </w:r>
      <w:r w:rsidRPr="009E064B">
        <w:rPr>
          <w:szCs w:val="20"/>
        </w:rPr>
        <w:t>(2)</w:t>
      </w:r>
      <w:r w:rsidR="004D2E77" w:rsidRPr="009E064B">
        <w:rPr>
          <w:szCs w:val="20"/>
        </w:rPr>
        <w:t xml:space="preserve"> podpunkt </w:t>
      </w:r>
      <w:r w:rsidRPr="009E064B">
        <w:rPr>
          <w:szCs w:val="20"/>
        </w:rPr>
        <w:t xml:space="preserve">(ii) powyżej, to każda baretka powinna być uzupełniona światłem </w:t>
      </w:r>
      <w:r w:rsidR="000D78F5" w:rsidRPr="0021406A">
        <w:rPr>
          <w:szCs w:val="20"/>
        </w:rPr>
        <w:t>błyskowym</w:t>
      </w:r>
      <w:r w:rsidRPr="0021406A">
        <w:rPr>
          <w:szCs w:val="20"/>
        </w:rPr>
        <w:t xml:space="preserve">, z wyjątkiem przypadku, gdy światła takie uważa się za niepotrzebne ze względu na charakterystyki </w:t>
      </w:r>
      <w:r w:rsidRPr="009E064B">
        <w:rPr>
          <w:szCs w:val="20"/>
        </w:rPr>
        <w:t>systemu oraz warunki meteorologiczne.</w:t>
      </w:r>
    </w:p>
    <w:p w14:paraId="2269FF43" w14:textId="0B68C1DA" w:rsidR="00C36D76" w:rsidRPr="009E064B" w:rsidRDefault="00C36D76" w:rsidP="00B06A9A">
      <w:pPr>
        <w:tabs>
          <w:tab w:val="left" w:pos="1134"/>
        </w:tabs>
        <w:autoSpaceDE w:val="0"/>
        <w:autoSpaceDN w:val="0"/>
        <w:adjustRightInd w:val="0"/>
        <w:ind w:left="1134" w:hanging="567"/>
        <w:rPr>
          <w:rFonts w:ascii="Arial Narrow" w:hAnsi="Arial Narrow"/>
          <w:sz w:val="16"/>
        </w:rPr>
      </w:pPr>
      <w:r w:rsidRPr="009E064B">
        <w:rPr>
          <w:rFonts w:cs="Times New Roman"/>
          <w:szCs w:val="20"/>
        </w:rPr>
        <w:t xml:space="preserve">(7) </w:t>
      </w:r>
      <w:r w:rsidRPr="009E064B">
        <w:rPr>
          <w:rFonts w:cs="Times New Roman"/>
          <w:szCs w:val="20"/>
        </w:rPr>
        <w:tab/>
      </w:r>
      <w:r w:rsidRPr="009E064B">
        <w:rPr>
          <w:szCs w:val="20"/>
        </w:rPr>
        <w:t xml:space="preserve">Każde </w:t>
      </w:r>
      <w:r w:rsidRPr="0021406A">
        <w:rPr>
          <w:szCs w:val="20"/>
        </w:rPr>
        <w:t xml:space="preserve">światło </w:t>
      </w:r>
      <w:r w:rsidR="000D78F5" w:rsidRPr="0021406A">
        <w:rPr>
          <w:szCs w:val="20"/>
        </w:rPr>
        <w:t>błyskowe</w:t>
      </w:r>
      <w:r w:rsidRPr="0021406A">
        <w:rPr>
          <w:szCs w:val="20"/>
        </w:rPr>
        <w:t xml:space="preserve">, jak </w:t>
      </w:r>
      <w:r w:rsidRPr="009E064B">
        <w:rPr>
          <w:szCs w:val="20"/>
        </w:rPr>
        <w:t xml:space="preserve">określono w </w:t>
      </w:r>
      <w:r w:rsidR="004D2E77" w:rsidRPr="009E064B">
        <w:rPr>
          <w:szCs w:val="20"/>
        </w:rPr>
        <w:t>lit. </w:t>
      </w:r>
      <w:r w:rsidRPr="009E064B">
        <w:rPr>
          <w:szCs w:val="20"/>
        </w:rPr>
        <w:t>(c)</w:t>
      </w:r>
      <w:r w:rsidR="004D2E77" w:rsidRPr="009E064B">
        <w:rPr>
          <w:szCs w:val="20"/>
        </w:rPr>
        <w:t xml:space="preserve"> pkt </w:t>
      </w:r>
      <w:r w:rsidRPr="009E064B">
        <w:rPr>
          <w:szCs w:val="20"/>
        </w:rPr>
        <w:t>(6)</w:t>
      </w:r>
      <w:r w:rsidRPr="009E064B">
        <w:rPr>
          <w:color w:val="FF0000"/>
          <w:szCs w:val="20"/>
        </w:rPr>
        <w:t>,</w:t>
      </w:r>
      <w:r w:rsidRPr="009E064B">
        <w:rPr>
          <w:szCs w:val="20"/>
        </w:rPr>
        <w:t xml:space="preserve"> powinno błyskać dwa razy w ciągu sekundy w kolejności poczynając od najbardziej oddalonego od progu światła, w kierunku progu, do światła systemu położonego najbliżej progu. Budowa obwodu elektrycznego powinna umożliwiać niezależne od innych świateł systemu podejścia sterowanie światłami wyładowania kondensatora.</w:t>
      </w:r>
    </w:p>
    <w:p w14:paraId="57727F89" w14:textId="4C922333" w:rsidR="00C36D76" w:rsidRPr="009E064B" w:rsidRDefault="00C36D76" w:rsidP="00B06A9A">
      <w:pPr>
        <w:tabs>
          <w:tab w:val="left" w:pos="1134"/>
        </w:tabs>
        <w:autoSpaceDE w:val="0"/>
        <w:autoSpaceDN w:val="0"/>
        <w:adjustRightInd w:val="0"/>
        <w:ind w:left="1134" w:hanging="567"/>
        <w:rPr>
          <w:rFonts w:cs="TimesNewRomanPSMT"/>
          <w:b/>
          <w:szCs w:val="20"/>
        </w:rPr>
      </w:pPr>
    </w:p>
    <w:p w14:paraId="5E938E93" w14:textId="77777777" w:rsidR="00C36D76" w:rsidRPr="009E064B" w:rsidRDefault="00C36D76" w:rsidP="00B06A9A">
      <w:pPr>
        <w:spacing w:after="200"/>
        <w:jc w:val="left"/>
        <w:rPr>
          <w:rFonts w:cs="TimesNewRomanPSMT"/>
          <w:b/>
          <w:szCs w:val="20"/>
        </w:rPr>
        <w:sectPr w:rsidR="00C36D76" w:rsidRPr="009E064B" w:rsidSect="00EE2E0D">
          <w:headerReference w:type="default" r:id="rId169"/>
          <w:footerReference w:type="default" r:id="rId170"/>
          <w:headerReference w:type="first" r:id="rId171"/>
          <w:footerReference w:type="first" r:id="rId172"/>
          <w:pgSz w:w="11906" w:h="16840" w:code="9"/>
          <w:pgMar w:top="1701" w:right="1418" w:bottom="1418" w:left="1418" w:header="567" w:footer="454" w:gutter="0"/>
          <w:cols w:space="708"/>
          <w:titlePg/>
          <w:docGrid w:linePitch="360"/>
        </w:sectPr>
      </w:pPr>
    </w:p>
    <w:p w14:paraId="5DD17524" w14:textId="79F2960F" w:rsidR="00C36D76" w:rsidRPr="009E064B" w:rsidRDefault="00B42A68" w:rsidP="00B06A9A">
      <w:pPr>
        <w:spacing w:after="0"/>
        <w:jc w:val="center"/>
        <w:rPr>
          <w:rFonts w:ascii="Arial" w:hAnsi="Arial" w:cs="Arial"/>
          <w:b/>
          <w:szCs w:val="20"/>
        </w:rPr>
      </w:pPr>
      <w:r w:rsidRPr="009E064B">
        <w:rPr>
          <w:noProof/>
          <w:lang w:eastAsia="pl-PL"/>
        </w:rPr>
        <w:drawing>
          <wp:inline distT="0" distB="0" distL="0" distR="0" wp14:anchorId="43082DD4" wp14:editId="73524C90">
            <wp:extent cx="8597689" cy="5031791"/>
            <wp:effectExtent l="0" t="0" r="0" b="0"/>
            <wp:docPr id="6458" name="Obraz 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599862" cy="5033063"/>
                    </a:xfrm>
                    <a:prstGeom prst="rect">
                      <a:avLst/>
                    </a:prstGeom>
                    <a:noFill/>
                    <a:ln>
                      <a:noFill/>
                    </a:ln>
                  </pic:spPr>
                </pic:pic>
              </a:graphicData>
            </a:graphic>
          </wp:inline>
        </w:drawing>
      </w:r>
    </w:p>
    <w:p w14:paraId="721F30D8" w14:textId="77777777" w:rsidR="00C40ECA" w:rsidRPr="0021406A" w:rsidRDefault="00C36D76" w:rsidP="009D1A1A">
      <w:pPr>
        <w:spacing w:after="0"/>
        <w:ind w:right="10"/>
        <w:jc w:val="center"/>
        <w:rPr>
          <w:b/>
          <w:szCs w:val="20"/>
        </w:rPr>
      </w:pPr>
      <w:r w:rsidRPr="0021406A">
        <w:rPr>
          <w:b/>
          <w:sz w:val="20"/>
          <w:szCs w:val="20"/>
        </w:rPr>
        <w:t>Rysunek M-2.  System świateł podejścia precyzyjnego kategorii I</w:t>
      </w:r>
      <w:r w:rsidR="009D1A1A" w:rsidRPr="0021406A">
        <w:rPr>
          <w:b/>
          <w:sz w:val="20"/>
          <w:szCs w:val="20"/>
        </w:rPr>
        <w:t xml:space="preserve">    </w:t>
      </w:r>
    </w:p>
    <w:p w14:paraId="46ED0E25" w14:textId="0D363F66" w:rsidR="00C40ECA" w:rsidRPr="009E064B" w:rsidRDefault="00C36D76" w:rsidP="001837A3">
      <w:pPr>
        <w:spacing w:after="0"/>
        <w:ind w:right="11"/>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C790BFC" w14:textId="7B24CD83" w:rsidR="00C36D76" w:rsidRPr="009E064B" w:rsidRDefault="001837A3" w:rsidP="007E29F7">
      <w:pPr>
        <w:pStyle w:val="Tekstpodstawowy"/>
        <w:ind w:left="23" w:hanging="23"/>
      </w:pPr>
      <w:r w:rsidRPr="000412BF">
        <w:rPr>
          <w:rFonts w:asciiTheme="minorHAnsi" w:hAnsiTheme="minorHAnsi" w:cstheme="minorHAnsi"/>
          <w:i/>
          <w:sz w:val="16"/>
          <w:szCs w:val="16"/>
        </w:rPr>
        <w:t>[Wydanie: ADR-DSN/4]</w:t>
      </w:r>
      <w:r w:rsidRPr="009E064B">
        <w:rPr>
          <w:rFonts w:asciiTheme="minorHAnsi" w:hAnsiTheme="minorHAnsi" w:cstheme="minorHAnsi"/>
          <w:i/>
          <w:color w:val="FF0000"/>
          <w:sz w:val="16"/>
          <w:szCs w:val="16"/>
        </w:rPr>
        <w:t xml:space="preserve"> </w:t>
      </w:r>
    </w:p>
    <w:p w14:paraId="6ACD9005" w14:textId="77777777" w:rsidR="00C36D76" w:rsidRPr="009E064B" w:rsidRDefault="00C36D76" w:rsidP="00B06A9A">
      <w:pPr>
        <w:spacing w:after="0"/>
        <w:jc w:val="center"/>
        <w:rPr>
          <w:rFonts w:cs="TimesNewRomanPSMT"/>
          <w:b/>
          <w:szCs w:val="20"/>
        </w:rPr>
        <w:sectPr w:rsidR="00C36D76" w:rsidRPr="009E064B" w:rsidSect="009D1A1A">
          <w:headerReference w:type="default" r:id="rId174"/>
          <w:headerReference w:type="first" r:id="rId175"/>
          <w:footerReference w:type="first" r:id="rId176"/>
          <w:pgSz w:w="16840" w:h="11906" w:orient="landscape" w:code="9"/>
          <w:pgMar w:top="1701" w:right="1418" w:bottom="1418" w:left="1418" w:header="567" w:footer="454" w:gutter="0"/>
          <w:cols w:space="708"/>
          <w:titlePg/>
          <w:docGrid w:linePitch="360"/>
        </w:sectPr>
      </w:pPr>
    </w:p>
    <w:p w14:paraId="6B1B08F9" w14:textId="589EE091" w:rsidR="00272C61" w:rsidRPr="009E064B" w:rsidRDefault="00A37A28" w:rsidP="00133B99">
      <w:pPr>
        <w:pStyle w:val="Nagwek6"/>
      </w:pPr>
      <w:bookmarkStart w:id="1478" w:name="_Toc401059027"/>
      <w:bookmarkStart w:id="1479" w:name="_Toc482886894"/>
      <w:bookmarkStart w:id="1480" w:name="_Toc12533180"/>
      <w:bookmarkStart w:id="1481" w:name="_Toc482886671"/>
      <w:r w:rsidRPr="009E064B">
        <w:t xml:space="preserve">GM1 ADR-DSN.M.630     </w:t>
      </w:r>
      <w:r w:rsidR="00272C61" w:rsidRPr="009E064B">
        <w:t>System świateł podejścia precyzyjnego kategorii I</w:t>
      </w:r>
      <w:bookmarkEnd w:id="1478"/>
      <w:bookmarkEnd w:id="1479"/>
      <w:bookmarkEnd w:id="1480"/>
    </w:p>
    <w:p w14:paraId="6F85D11F" w14:textId="125519B3" w:rsidR="00A37A28" w:rsidRPr="009E064B" w:rsidRDefault="00D63D4F" w:rsidP="00A37A28">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7342DB9" w14:textId="2D8AEB37" w:rsidR="00272C61" w:rsidRPr="009E064B" w:rsidRDefault="00272C6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 xml:space="preserve">Zastosowanie systemu </w:t>
      </w:r>
      <w:r w:rsidRPr="009E064B">
        <w:rPr>
          <w:rFonts w:eastAsia="Times New Roman,Bold" w:cs="Times New Roman"/>
          <w:szCs w:val="20"/>
        </w:rPr>
        <w:t>świateł</w:t>
      </w:r>
      <w:r w:rsidRPr="009E064B">
        <w:rPr>
          <w:rFonts w:eastAsia="Times New Roman,Italic" w:cs="Times New Roman,Italic"/>
          <w:iCs/>
          <w:szCs w:val="20"/>
        </w:rPr>
        <w:t xml:space="preserve"> podejścia o długości mniejszej niż 900 m, może spowodować ograniczenia w wykorzystaniu operacyjnym drogi startowej.</w:t>
      </w:r>
    </w:p>
    <w:p w14:paraId="77CAD005" w14:textId="3C316174" w:rsidR="00272C61" w:rsidRPr="009E064B" w:rsidRDefault="00272C61"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Odległości pomiędzy światłami tworzącymi poprzeczkę wynoszą od 1 m do 4 m. Przerwy po każdej stronie przedłużenia linii środkowej drogi startowej mogą poprawić orientację kierunkową w przypadku podejść z błędem kierunkowym oraz mogą usprawnić ruch pojazdów ratowniczo-gaśniczych.</w:t>
      </w:r>
    </w:p>
    <w:p w14:paraId="4D747EE6" w14:textId="71EF579F" w:rsidR="00657622" w:rsidRPr="0021406A" w:rsidRDefault="00657622" w:rsidP="00B06A9A">
      <w:pPr>
        <w:tabs>
          <w:tab w:val="left" w:pos="567"/>
        </w:tabs>
        <w:autoSpaceDE w:val="0"/>
        <w:autoSpaceDN w:val="0"/>
        <w:adjustRightInd w:val="0"/>
        <w:ind w:left="567" w:hanging="567"/>
        <w:rPr>
          <w:rFonts w:eastAsia="Times New Roman,Italic" w:cs="Times New Roman,Italic"/>
          <w:iCs/>
          <w:szCs w:val="20"/>
        </w:rPr>
      </w:pPr>
      <w:r w:rsidRPr="0021406A">
        <w:rPr>
          <w:rFonts w:eastAsia="Times New Roman,Italic" w:cs="Times New Roman,Italic"/>
          <w:iCs/>
          <w:szCs w:val="20"/>
        </w:rPr>
        <w:t xml:space="preserve">(c) </w:t>
      </w:r>
      <w:r w:rsidRPr="0021406A">
        <w:rPr>
          <w:rFonts w:eastAsia="Times New Roman,Italic" w:cs="Times New Roman,Italic"/>
          <w:iCs/>
          <w:szCs w:val="20"/>
        </w:rPr>
        <w:tab/>
        <w:t xml:space="preserve">System lamp błyskowych dostarcza </w:t>
      </w:r>
      <w:r w:rsidR="002839C7" w:rsidRPr="0021406A">
        <w:rPr>
          <w:rFonts w:eastAsia="Times New Roman,Italic" w:cs="Times New Roman,Italic"/>
          <w:iCs/>
          <w:szCs w:val="20"/>
        </w:rPr>
        <w:t xml:space="preserve">pilotom zbliżających się statków powietrznych, </w:t>
      </w:r>
      <w:r w:rsidRPr="0021406A">
        <w:rPr>
          <w:rFonts w:eastAsia="Times New Roman,Italic" w:cs="Times New Roman,Italic"/>
          <w:iCs/>
          <w:szCs w:val="20"/>
        </w:rPr>
        <w:t>z dużej odległości</w:t>
      </w:r>
      <w:r w:rsidR="002839C7" w:rsidRPr="0021406A">
        <w:rPr>
          <w:rFonts w:eastAsia="Times New Roman,Italic" w:cs="Times New Roman,Italic"/>
          <w:iCs/>
          <w:szCs w:val="20"/>
        </w:rPr>
        <w:t>,</w:t>
      </w:r>
      <w:r w:rsidRPr="0021406A">
        <w:rPr>
          <w:rFonts w:eastAsia="Times New Roman,Italic" w:cs="Times New Roman,Italic"/>
          <w:iCs/>
          <w:szCs w:val="20"/>
        </w:rPr>
        <w:t xml:space="preserve"> informacj</w:t>
      </w:r>
      <w:r w:rsidR="002839C7" w:rsidRPr="0021406A">
        <w:rPr>
          <w:rFonts w:eastAsia="Times New Roman,Italic" w:cs="Times New Roman,Italic"/>
          <w:iCs/>
          <w:szCs w:val="20"/>
        </w:rPr>
        <w:t>e</w:t>
      </w:r>
      <w:r w:rsidRPr="0021406A">
        <w:rPr>
          <w:rFonts w:eastAsia="Times New Roman,Italic" w:cs="Times New Roman,Italic"/>
          <w:iCs/>
          <w:szCs w:val="20"/>
        </w:rPr>
        <w:t xml:space="preserve"> o położeniu i orientacji aktywnej drogi startowej. Szczególnie w</w:t>
      </w:r>
      <w:r w:rsidR="002839C7" w:rsidRPr="0021406A">
        <w:rPr>
          <w:rFonts w:eastAsia="Times New Roman,Italic" w:cs="Times New Roman,Italic"/>
          <w:iCs/>
          <w:szCs w:val="20"/>
        </w:rPr>
        <w:t> </w:t>
      </w:r>
      <w:r w:rsidRPr="0021406A">
        <w:rPr>
          <w:rFonts w:eastAsia="Times New Roman,Italic" w:cs="Times New Roman,Italic"/>
          <w:iCs/>
          <w:szCs w:val="20"/>
        </w:rPr>
        <w:t xml:space="preserve">otoczeniu miast z miejskim oświetleniem ulic, miejsc i budynków, migający system świetlny pozwala jednoznacznie zidentyfikować podejście </w:t>
      </w:r>
      <w:r w:rsidR="002839C7" w:rsidRPr="0021406A">
        <w:rPr>
          <w:rFonts w:eastAsia="Times New Roman,Italic" w:cs="Times New Roman,Italic"/>
          <w:iCs/>
          <w:szCs w:val="20"/>
        </w:rPr>
        <w:t xml:space="preserve">przez </w:t>
      </w:r>
      <w:r w:rsidRPr="0021406A">
        <w:rPr>
          <w:rFonts w:eastAsia="Times New Roman,Italic" w:cs="Times New Roman,Italic"/>
          <w:iCs/>
          <w:szCs w:val="20"/>
        </w:rPr>
        <w:t>załog</w:t>
      </w:r>
      <w:r w:rsidR="002839C7" w:rsidRPr="0021406A">
        <w:rPr>
          <w:rFonts w:eastAsia="Times New Roman,Italic" w:cs="Times New Roman,Italic"/>
          <w:iCs/>
          <w:szCs w:val="20"/>
        </w:rPr>
        <w:t>ę samolotu</w:t>
      </w:r>
      <w:r w:rsidRPr="0021406A">
        <w:rPr>
          <w:rFonts w:eastAsia="Times New Roman,Italic" w:cs="Times New Roman,Italic"/>
          <w:iCs/>
          <w:szCs w:val="20"/>
        </w:rPr>
        <w:t xml:space="preserve">. Aby zapobiec oślepianiu </w:t>
      </w:r>
      <w:r w:rsidR="007E29F7" w:rsidRPr="0021406A">
        <w:rPr>
          <w:rFonts w:eastAsia="Times New Roman,Italic" w:cs="Times New Roman,Italic"/>
          <w:iCs/>
          <w:szCs w:val="20"/>
        </w:rPr>
        <w:t>pilota w </w:t>
      </w:r>
      <w:r w:rsidRPr="0021406A">
        <w:rPr>
          <w:rFonts w:eastAsia="Times New Roman,Italic" w:cs="Times New Roman,Italic"/>
          <w:iCs/>
          <w:szCs w:val="20"/>
        </w:rPr>
        <w:t>nocy</w:t>
      </w:r>
      <w:r w:rsidR="006612FE" w:rsidRPr="0021406A">
        <w:rPr>
          <w:rFonts w:eastAsia="Times New Roman,Italic" w:cs="Times New Roman,Italic"/>
          <w:iCs/>
          <w:szCs w:val="20"/>
        </w:rPr>
        <w:t xml:space="preserve">, </w:t>
      </w:r>
      <w:r w:rsidR="00240F6C" w:rsidRPr="0021406A">
        <w:rPr>
          <w:rFonts w:eastAsia="Times New Roman,Italic" w:cs="Times New Roman,Italic"/>
          <w:iCs/>
          <w:szCs w:val="20"/>
        </w:rPr>
        <w:t>przy zapewnieniu dobrej widoczności</w:t>
      </w:r>
      <w:r w:rsidRPr="0021406A">
        <w:rPr>
          <w:rFonts w:eastAsia="Times New Roman,Italic" w:cs="Times New Roman,Italic"/>
          <w:iCs/>
          <w:szCs w:val="20"/>
        </w:rPr>
        <w:t>, światło migające o wysokiej intensywności powinno być wyposażone w odpowiednią kontrolę intensywności.</w:t>
      </w:r>
    </w:p>
    <w:p w14:paraId="3A9B4A66" w14:textId="2568F38A" w:rsidR="00272C61" w:rsidRPr="009E064B" w:rsidRDefault="00272C61" w:rsidP="007E29F7">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2558660" w14:textId="77777777" w:rsidR="001837A3" w:rsidRPr="009E064B" w:rsidRDefault="001837A3" w:rsidP="007E29F7">
      <w:pPr>
        <w:pStyle w:val="Tekstpodstawowy"/>
        <w:ind w:left="23" w:hanging="23"/>
        <w:rPr>
          <w:rFonts w:asciiTheme="minorHAnsi" w:hAnsiTheme="minorHAnsi" w:cstheme="minorHAnsi"/>
          <w:i/>
          <w:sz w:val="16"/>
          <w:szCs w:val="16"/>
        </w:rPr>
      </w:pPr>
      <w:bookmarkStart w:id="1482" w:name="_CS_ADR-DSN.M.635_"/>
      <w:bookmarkEnd w:id="1482"/>
      <w:r w:rsidRPr="000412BF">
        <w:rPr>
          <w:rFonts w:asciiTheme="minorHAnsi" w:hAnsiTheme="minorHAnsi" w:cstheme="minorHAnsi"/>
          <w:i/>
          <w:sz w:val="16"/>
          <w:szCs w:val="16"/>
        </w:rPr>
        <w:t>[Wydanie: ADR-DSN/4]</w:t>
      </w:r>
    </w:p>
    <w:p w14:paraId="01F40C01" w14:textId="20726FB9" w:rsidR="00C36D76" w:rsidRPr="009E064B" w:rsidRDefault="00A37A28" w:rsidP="00B06A9A">
      <w:pPr>
        <w:pStyle w:val="Nagwek4"/>
        <w:rPr>
          <w:color w:val="auto"/>
        </w:rPr>
      </w:pPr>
      <w:bookmarkStart w:id="1483" w:name="_Toc12533181"/>
      <w:r w:rsidRPr="009E064B">
        <w:rPr>
          <w:color w:val="auto"/>
        </w:rPr>
        <w:t xml:space="preserve">CS ADR-DSN.M.635     </w:t>
      </w:r>
      <w:r w:rsidR="00C36D76" w:rsidRPr="009E064B">
        <w:rPr>
          <w:color w:val="auto"/>
        </w:rPr>
        <w:t>System świateł podejścia precyzyjnego kategorii II i III</w:t>
      </w:r>
      <w:bookmarkEnd w:id="1481"/>
      <w:bookmarkEnd w:id="1483"/>
    </w:p>
    <w:p w14:paraId="15FDC117" w14:textId="78A0FD54" w:rsidR="00A37A28" w:rsidRPr="009E064B" w:rsidRDefault="00D63D4F" w:rsidP="00A37A28">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A7D34A5" w14:textId="2C61CC29"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t>Lokalizacja</w:t>
      </w:r>
      <w:r w:rsidRPr="009E064B">
        <w:rPr>
          <w:szCs w:val="20"/>
        </w:rPr>
        <w:t xml:space="preserve"> i budowa:</w:t>
      </w:r>
    </w:p>
    <w:p w14:paraId="00594CDA" w14:textId="4CB82D71"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rFonts w:cs="TimesNewRomanPS-ItalicMT"/>
          <w:iCs/>
          <w:szCs w:val="20"/>
        </w:rPr>
        <w:t>S</w:t>
      </w:r>
      <w:r w:rsidRPr="009E064B">
        <w:rPr>
          <w:szCs w:val="20"/>
        </w:rPr>
        <w:t>ystem świateł podejścia powinien składać się z rzędu świateł rozmieszczonych na przedłużeniu linii środkowej drogi startowej, na długości, o ile to możliwe, 900 m od progu drogi startowej. Dodatkowo system powinien posiadać dwa rzędy świateł bocznych na długości 270 m od progu oraz dwie poprzeczki, jedną umieszczoną w</w:t>
      </w:r>
      <w:r w:rsidR="006612FE" w:rsidRPr="009E064B">
        <w:rPr>
          <w:szCs w:val="20"/>
        </w:rPr>
        <w:t xml:space="preserve"> </w:t>
      </w:r>
      <w:r w:rsidRPr="009E064B">
        <w:rPr>
          <w:szCs w:val="20"/>
        </w:rPr>
        <w:t xml:space="preserve">odległości 150 m od progu oraz drugą, umieszczoną w odległości 300 m od progu drogi startowej, jak przedstawiono na Rysunku M-3A. W przypadku, kiedy możliwe jest zagwarantowanie poziomu niezawodności świateł podejścia określonych w </w:t>
      </w:r>
      <w:hyperlink w:anchor="_CS_ADR-DSN.S.895_" w:history="1">
        <w:r w:rsidRPr="009E064B">
          <w:rPr>
            <w:rStyle w:val="Hipercze"/>
            <w:szCs w:val="20"/>
          </w:rPr>
          <w:t>CS ADR-DSN.S.895</w:t>
        </w:r>
      </w:hyperlink>
      <w:r w:rsidRPr="009E064B">
        <w:rPr>
          <w:szCs w:val="20"/>
        </w:rPr>
        <w:t>, system może zawierać dwa rzędy ś</w:t>
      </w:r>
      <w:r w:rsidR="004D2E77" w:rsidRPr="009E064B">
        <w:rPr>
          <w:szCs w:val="20"/>
        </w:rPr>
        <w:t>wiateł bocznych na długości 240 </w:t>
      </w:r>
      <w:r w:rsidRPr="009E064B">
        <w:rPr>
          <w:szCs w:val="20"/>
        </w:rPr>
        <w:t>m od progu oraz dwie poprzeczki, jedna w odległości 15</w:t>
      </w:r>
      <w:r w:rsidR="004D2E77" w:rsidRPr="009E064B">
        <w:rPr>
          <w:szCs w:val="20"/>
        </w:rPr>
        <w:t>0 m oraz drugą w odległości 300 </w:t>
      </w:r>
      <w:r w:rsidRPr="009E064B">
        <w:rPr>
          <w:szCs w:val="20"/>
        </w:rPr>
        <w:t>m od progu, jak przedstawiono na Rysunku M-3B.</w:t>
      </w:r>
    </w:p>
    <w:p w14:paraId="7CE6066C"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rFonts w:cs="TimesNewRomanPS-ItalicMT"/>
          <w:iCs/>
          <w:szCs w:val="20"/>
        </w:rPr>
        <w:t>Światła</w:t>
      </w:r>
      <w:r w:rsidRPr="009E064B">
        <w:rPr>
          <w:szCs w:val="20"/>
        </w:rPr>
        <w:t xml:space="preserve"> tworzące linię środkową powinny być rozmieszczone w odstępach 30 m, przy czym pierwsze światło powinno być zlokalizowane w odległości 30 m od progu drogi startowej.</w:t>
      </w:r>
    </w:p>
    <w:p w14:paraId="1F9159DF" w14:textId="4DAD190C"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rFonts w:cs="TimesNewRomanPS-ItalicMT"/>
          <w:iCs/>
          <w:szCs w:val="20"/>
        </w:rPr>
        <w:t>Światła</w:t>
      </w:r>
      <w:r w:rsidRPr="009E064B">
        <w:rPr>
          <w:szCs w:val="20"/>
        </w:rPr>
        <w:t xml:space="preserve"> tworzące rzędy boczne powinny być rozmieszczone po obu stronach linii środkowej, w odstępach równych odstępom świateł linii środkowej, przy czym pierwsze światło powinno być zlokalizowane w odległości 30 m od progu drogi startowej. W przypadku, kiedy możliwe jest zagwarantowanie poziomu niezawodności świateł podejścia, światła tworzące rzędy boczne mogą być rozmieszczone po obu stronach linii środkowej w odstępach 60 m, przy czym pierwsze światło powinno być zlokal</w:t>
      </w:r>
      <w:r w:rsidR="00013601" w:rsidRPr="009E064B">
        <w:rPr>
          <w:szCs w:val="20"/>
        </w:rPr>
        <w:t>izowane w </w:t>
      </w:r>
      <w:r w:rsidRPr="009E064B">
        <w:rPr>
          <w:szCs w:val="20"/>
        </w:rPr>
        <w:t>odległości 60 m od progu. Odstęp poprzeczny pomiędzy wewnętrznymi światłami rzędów bocznych nie powinien być mniejszy niż 18 m oraz większy niż 22.5 m, zalecany odstęp wynosi 18 m, jednak w każdym przypadku odstęp ten powinien być równy odstępowi poprzecznemu świateł strefy przyziemienia.</w:t>
      </w:r>
    </w:p>
    <w:p w14:paraId="26318BE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r>
      <w:r w:rsidRPr="009E064B">
        <w:rPr>
          <w:rFonts w:cs="TimesNewRomanPS-ItalicMT"/>
          <w:iCs/>
          <w:szCs w:val="20"/>
        </w:rPr>
        <w:t>Poprzeczka</w:t>
      </w:r>
      <w:r w:rsidRPr="009E064B">
        <w:rPr>
          <w:szCs w:val="20"/>
        </w:rPr>
        <w:t xml:space="preserve"> zainstalowana w odległości 150 m od progu powinna wypełnić przerwę pomiędzy światłami linii środkowej a światłami rzędów bocznych.</w:t>
      </w:r>
    </w:p>
    <w:p w14:paraId="55D169EC" w14:textId="5F6573D0"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(5) </w:t>
      </w:r>
      <w:r w:rsidRPr="009E064B">
        <w:rPr>
          <w:rFonts w:cs="Times New Roman"/>
          <w:szCs w:val="20"/>
        </w:rPr>
        <w:tab/>
      </w:r>
      <w:r w:rsidRPr="009E064B">
        <w:rPr>
          <w:rFonts w:cs="TimesNewRomanPS-ItalicMT"/>
          <w:iCs/>
          <w:szCs w:val="20"/>
        </w:rPr>
        <w:t>Poprzeczka</w:t>
      </w:r>
      <w:r w:rsidRPr="009E064B">
        <w:rPr>
          <w:szCs w:val="20"/>
        </w:rPr>
        <w:t xml:space="preserve"> zainstalowana w odległości 300 m od progu powinna si</w:t>
      </w:r>
      <w:r w:rsidR="004D2E77" w:rsidRPr="009E064B">
        <w:rPr>
          <w:szCs w:val="20"/>
        </w:rPr>
        <w:t>ęgać na odległość 15 </w:t>
      </w:r>
      <w:r w:rsidRPr="009E064B">
        <w:rPr>
          <w:szCs w:val="20"/>
        </w:rPr>
        <w:t>m po obu stronach linii środkowej.</w:t>
      </w:r>
    </w:p>
    <w:p w14:paraId="5DD95B60" w14:textId="11F6A99F"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(6) </w:t>
      </w:r>
      <w:r w:rsidRPr="009E064B">
        <w:rPr>
          <w:rFonts w:cs="Times New Roman"/>
          <w:szCs w:val="20"/>
        </w:rPr>
        <w:tab/>
      </w:r>
      <w:r w:rsidRPr="009E064B">
        <w:rPr>
          <w:szCs w:val="20"/>
        </w:rPr>
        <w:t xml:space="preserve">Jeżeli światła linii środkowej w odległości powyżej 300 m od </w:t>
      </w:r>
      <w:r w:rsidRPr="009E064B">
        <w:rPr>
          <w:rFonts w:cs="TimesNewRomanPS-ItalicMT"/>
          <w:iCs/>
          <w:szCs w:val="20"/>
        </w:rPr>
        <w:t>progu</w:t>
      </w:r>
      <w:r w:rsidRPr="009E064B">
        <w:rPr>
          <w:szCs w:val="20"/>
        </w:rPr>
        <w:t xml:space="preserve"> spełniają warunki określone w </w:t>
      </w:r>
      <w:r w:rsidR="004D2E77" w:rsidRPr="009E064B">
        <w:rPr>
          <w:szCs w:val="20"/>
        </w:rPr>
        <w:t>lit. </w:t>
      </w:r>
      <w:r w:rsidRPr="009E064B">
        <w:rPr>
          <w:szCs w:val="20"/>
        </w:rPr>
        <w:t>(b)</w:t>
      </w:r>
      <w:r w:rsidR="004D2E77" w:rsidRPr="009E064B">
        <w:rPr>
          <w:szCs w:val="20"/>
        </w:rPr>
        <w:t xml:space="preserve"> pkt </w:t>
      </w:r>
      <w:r w:rsidRPr="009E064B">
        <w:rPr>
          <w:szCs w:val="20"/>
        </w:rPr>
        <w:t>(2)</w:t>
      </w:r>
      <w:r w:rsidR="004D2E77" w:rsidRPr="009E064B">
        <w:rPr>
          <w:szCs w:val="20"/>
        </w:rPr>
        <w:t xml:space="preserve"> podpunkt </w:t>
      </w:r>
      <w:r w:rsidRPr="009E064B">
        <w:rPr>
          <w:szCs w:val="20"/>
        </w:rPr>
        <w:t xml:space="preserve">(ii) oraz </w:t>
      </w:r>
      <w:r w:rsidR="004D2E77" w:rsidRPr="009E064B">
        <w:rPr>
          <w:szCs w:val="20"/>
        </w:rPr>
        <w:t>lit. </w:t>
      </w:r>
      <w:r w:rsidRPr="009E064B">
        <w:rPr>
          <w:szCs w:val="20"/>
        </w:rPr>
        <w:t>(b)</w:t>
      </w:r>
      <w:r w:rsidR="004D2E77" w:rsidRPr="009E064B">
        <w:rPr>
          <w:szCs w:val="20"/>
        </w:rPr>
        <w:t xml:space="preserve"> pkt </w:t>
      </w:r>
      <w:r w:rsidRPr="009E064B">
        <w:rPr>
          <w:szCs w:val="20"/>
        </w:rPr>
        <w:t>(3)</w:t>
      </w:r>
      <w:r w:rsidR="004D2E77" w:rsidRPr="009E064B">
        <w:rPr>
          <w:szCs w:val="20"/>
        </w:rPr>
        <w:t xml:space="preserve"> podpunkt </w:t>
      </w:r>
      <w:r w:rsidRPr="009E064B">
        <w:rPr>
          <w:szCs w:val="20"/>
        </w:rPr>
        <w:t>(ii) poniżej, wówczas należy zainstalować dodatkowe poprzeczki w od</w:t>
      </w:r>
      <w:r w:rsidR="004D2E77" w:rsidRPr="009E064B">
        <w:rPr>
          <w:szCs w:val="20"/>
        </w:rPr>
        <w:t>ległości 450 m, 600 m oraz 750 </w:t>
      </w:r>
      <w:r w:rsidRPr="009E064B">
        <w:rPr>
          <w:szCs w:val="20"/>
        </w:rPr>
        <w:t>m od progu drogi startowej. Tam, gdzie do systemu świateł podejścia zostały włączone dodatkowe poprzeczki, wówczas zewnętrzne końce (światła) tych poprzeczek powinny leżeć na dwóch liniach prostych, będących liniami równoległymi do linii środkowej, albo liniami zbiegającymi się, do przecięcia z linią środkową d</w:t>
      </w:r>
      <w:r w:rsidR="004D2E77" w:rsidRPr="009E064B">
        <w:rPr>
          <w:szCs w:val="20"/>
        </w:rPr>
        <w:t>rogi startowej w odległości 300 </w:t>
      </w:r>
      <w:r w:rsidRPr="009E064B">
        <w:rPr>
          <w:szCs w:val="20"/>
        </w:rPr>
        <w:t>m za progiem patrząc od strony podejścia.</w:t>
      </w:r>
    </w:p>
    <w:p w14:paraId="76934724"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(7) </w:t>
      </w:r>
      <w:r w:rsidRPr="009E064B">
        <w:rPr>
          <w:rFonts w:cs="Times New Roman"/>
          <w:szCs w:val="20"/>
        </w:rPr>
        <w:tab/>
      </w:r>
      <w:r w:rsidRPr="009E064B">
        <w:rPr>
          <w:szCs w:val="20"/>
        </w:rPr>
        <w:t>System świateł podejścia powinien być położony, tak blisko jak to możliwe, w płaszczyźnie poziomej przechodzącej przez próg, przy zachowaniu następujących warunków:</w:t>
      </w:r>
    </w:p>
    <w:p w14:paraId="0B1D250B"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żaden obiekt, z wyjątkiem anteny kierunku systemu ILS lub MLS, nie powinien wystawać ponad płaszczyznę świateł w odległości 60 m od linii środkowej systemu świateł podejścia; oraz</w:t>
      </w:r>
    </w:p>
    <w:p w14:paraId="7822DF4C"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żadne światło, z wyjątkiem światła znajdującego się w środkowej części poprzeczki lub baretki linii środkowej systemu świateł podejścia (lecz nie na ich końcach), nie powinno być przesłonięte dla statku powietrznego wykonującego podejście do lądowania.</w:t>
      </w:r>
    </w:p>
    <w:p w14:paraId="6CDD71AD"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Każda antena kierunku systemu ILS lub MLS, która przebija płaszczyznę świateł systemu świateł podejścia, powinna być traktowana jak przeszkoda lotnicza i odpowiednio oznakowana i oświetlona.</w:t>
      </w:r>
    </w:p>
    <w:p w14:paraId="065ED87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rFonts w:cs="TimesNewRomanPS-BoldItalicMT"/>
          <w:bCs/>
          <w:iCs/>
          <w:szCs w:val="20"/>
        </w:rPr>
        <w:t>Charakterystyki</w:t>
      </w:r>
      <w:r w:rsidRPr="009E064B">
        <w:rPr>
          <w:szCs w:val="20"/>
        </w:rPr>
        <w:t>:</w:t>
      </w:r>
    </w:p>
    <w:p w14:paraId="7FA3D067" w14:textId="117FFA8D"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Linia środkowa systemu świateł podejścia precyzyjnego kategorii II i III na pierwszych 300 m, licząc od progu drogi startowej, </w:t>
      </w:r>
      <w:r w:rsidRPr="009E064B">
        <w:rPr>
          <w:rFonts w:cs="TimesNewRomanPS-ItalicMT"/>
          <w:iCs/>
          <w:szCs w:val="20"/>
        </w:rPr>
        <w:t>powinna</w:t>
      </w:r>
      <w:r w:rsidRPr="009E064B">
        <w:rPr>
          <w:szCs w:val="20"/>
        </w:rPr>
        <w:t xml:space="preserve"> składać się z baretek koloru białego - zmiennego, z wyjątkiem, gdy próg został przesunięty 300 m lub więcej, wówczas światła linii środkowej mogą składać się z pojedynczego źródła światła koloru białego - zmiennego. W przypadku, kiedy możliwe jest zagwarantowanie poziomu niezawodności świateł podejścia określonych w CS ADR.DSN.S.895, linia środkowa systemu świateł podejścia precyzyjnego kategorii II i III na pierwszych 300 m, licząc od progu drogi startowej, może składać się z:</w:t>
      </w:r>
    </w:p>
    <w:p w14:paraId="4A7F0AEF" w14:textId="7DF08646"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t>baretek</w:t>
      </w:r>
      <w:r w:rsidRPr="009E064B">
        <w:rPr>
          <w:szCs w:val="20"/>
        </w:rPr>
        <w:t xml:space="preserve">, gdy linia środkowa położona od progu dalej niż 300 m składa się z baretek opisanych w </w:t>
      </w:r>
      <w:r w:rsidR="004D2E77" w:rsidRPr="009E064B">
        <w:rPr>
          <w:szCs w:val="20"/>
        </w:rPr>
        <w:t>lit. </w:t>
      </w:r>
      <w:r w:rsidRPr="009E064B">
        <w:rPr>
          <w:szCs w:val="20"/>
        </w:rPr>
        <w:t>(b)</w:t>
      </w:r>
      <w:r w:rsidR="004D2E77" w:rsidRPr="009E064B">
        <w:rPr>
          <w:szCs w:val="20"/>
        </w:rPr>
        <w:t xml:space="preserve"> pkt </w:t>
      </w:r>
      <w:r w:rsidRPr="009E064B">
        <w:rPr>
          <w:szCs w:val="20"/>
        </w:rPr>
        <w:t>(3)</w:t>
      </w:r>
      <w:r w:rsidR="004D2E77" w:rsidRPr="009E064B">
        <w:rPr>
          <w:szCs w:val="20"/>
        </w:rPr>
        <w:t xml:space="preserve"> podpunkt </w:t>
      </w:r>
      <w:r w:rsidRPr="009E064B">
        <w:rPr>
          <w:szCs w:val="20"/>
        </w:rPr>
        <w:t>(i) poniżej; lub</w:t>
      </w:r>
    </w:p>
    <w:p w14:paraId="06D3550F" w14:textId="62B9F821"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 xml:space="preserve">pojedynczych źródeł światła rozmieszczonych na przemian z baretkami, gdy linia środkowa położona od progu dalej niż 300 m składa się z pojedynczych źródeł światła opisanych w </w:t>
      </w:r>
      <w:r w:rsidR="004D2E77" w:rsidRPr="009E064B">
        <w:rPr>
          <w:szCs w:val="20"/>
        </w:rPr>
        <w:t>lit. </w:t>
      </w:r>
      <w:r w:rsidRPr="009E064B">
        <w:rPr>
          <w:szCs w:val="20"/>
        </w:rPr>
        <w:t>(b)</w:t>
      </w:r>
      <w:r w:rsidR="004D2E77" w:rsidRPr="009E064B">
        <w:rPr>
          <w:szCs w:val="20"/>
        </w:rPr>
        <w:t xml:space="preserve"> pkt </w:t>
      </w:r>
      <w:r w:rsidRPr="009E064B">
        <w:rPr>
          <w:szCs w:val="20"/>
        </w:rPr>
        <w:t>(3)</w:t>
      </w:r>
      <w:r w:rsidR="004D2E77" w:rsidRPr="009E064B">
        <w:rPr>
          <w:szCs w:val="20"/>
        </w:rPr>
        <w:t xml:space="preserve"> podpunkt </w:t>
      </w:r>
      <w:r w:rsidRPr="009E064B">
        <w:rPr>
          <w:szCs w:val="20"/>
        </w:rPr>
        <w:t xml:space="preserve">(ii) </w:t>
      </w:r>
      <w:r w:rsidR="004D2E77" w:rsidRPr="009E064B">
        <w:rPr>
          <w:szCs w:val="20"/>
        </w:rPr>
        <w:t>poniżej, przy czym najbliższe w </w:t>
      </w:r>
      <w:r w:rsidRPr="009E064B">
        <w:rPr>
          <w:szCs w:val="20"/>
        </w:rPr>
        <w:t xml:space="preserve">stosunku do progu, pojedyncze źródło światło zlokalizowane </w:t>
      </w:r>
      <w:r w:rsidR="004D2E77" w:rsidRPr="009E064B">
        <w:rPr>
          <w:szCs w:val="20"/>
        </w:rPr>
        <w:t>jest w odległości 30 </w:t>
      </w:r>
      <w:r w:rsidRPr="009E064B">
        <w:rPr>
          <w:szCs w:val="20"/>
        </w:rPr>
        <w:t>m od progu, natomiast najbliższa baretka – 60 m od progu; lub</w:t>
      </w:r>
    </w:p>
    <w:p w14:paraId="7472D8F1" w14:textId="7181D495"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pojedynczych źródeł światła, jeżeli próg je</w:t>
      </w:r>
      <w:r w:rsidR="004D2E77" w:rsidRPr="009E064B">
        <w:rPr>
          <w:szCs w:val="20"/>
        </w:rPr>
        <w:t>st przesunięty na odległość 300 </w:t>
      </w:r>
      <w:r w:rsidRPr="009E064B">
        <w:rPr>
          <w:szCs w:val="20"/>
        </w:rPr>
        <w:t xml:space="preserve">m lub większą; </w:t>
      </w:r>
    </w:p>
    <w:p w14:paraId="74F9941A" w14:textId="77777777" w:rsidR="00C36D76" w:rsidRPr="009E064B" w:rsidRDefault="00C36D76" w:rsidP="00B06A9A">
      <w:pPr>
        <w:pStyle w:val="Akapitzlist"/>
        <w:ind w:left="1134"/>
        <w:rPr>
          <w:szCs w:val="20"/>
        </w:rPr>
      </w:pPr>
      <w:r w:rsidRPr="009E064B">
        <w:rPr>
          <w:szCs w:val="20"/>
        </w:rPr>
        <w:t>z których wszystkie powinny być koloru białego - zmiennego.</w:t>
      </w:r>
    </w:p>
    <w:p w14:paraId="25B3A1B5"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r>
      <w:r w:rsidRPr="009E064B">
        <w:rPr>
          <w:szCs w:val="20"/>
        </w:rPr>
        <w:t>W odległości ponad 300 m od progu, światła linii środkowej powinny składać się z:</w:t>
      </w:r>
    </w:p>
    <w:p w14:paraId="774F64C2"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t>jednej baretki,</w:t>
      </w:r>
      <w:r w:rsidRPr="009E064B">
        <w:rPr>
          <w:szCs w:val="20"/>
        </w:rPr>
        <w:t xml:space="preserve"> takiej jak instalowana na pierwszych 300 m; lub</w:t>
      </w:r>
    </w:p>
    <w:p w14:paraId="3BD955AC" w14:textId="77777777" w:rsidR="00C36D76" w:rsidRPr="009E064B" w:rsidRDefault="00C36D76" w:rsidP="00B06A9A">
      <w:pPr>
        <w:tabs>
          <w:tab w:val="left" w:pos="1701"/>
        </w:tabs>
        <w:ind w:left="1701" w:hanging="567"/>
        <w:rPr>
          <w:szCs w:val="20"/>
        </w:rPr>
      </w:pPr>
      <w:r w:rsidRPr="009E064B">
        <w:rPr>
          <w:szCs w:val="20"/>
        </w:rPr>
        <w:t xml:space="preserve">(ii) </w:t>
      </w:r>
      <w:r w:rsidRPr="009E064B">
        <w:rPr>
          <w:szCs w:val="20"/>
        </w:rPr>
        <w:tab/>
        <w:t>dwóch źródeł światła w środkowym, 300 m odcinku linii środkowej, oraz z trzech źródeł światła na zewnętrznym 300 m odcinku linii środkowej;</w:t>
      </w:r>
    </w:p>
    <w:p w14:paraId="1BB8703E" w14:textId="77777777" w:rsidR="00C36D76" w:rsidRPr="009E064B" w:rsidRDefault="00C36D76" w:rsidP="00B06A9A">
      <w:pPr>
        <w:pStyle w:val="Akapitzlist"/>
        <w:ind w:left="1134"/>
        <w:rPr>
          <w:szCs w:val="20"/>
        </w:rPr>
      </w:pPr>
      <w:r w:rsidRPr="009E064B">
        <w:rPr>
          <w:szCs w:val="20"/>
        </w:rPr>
        <w:t>z których wszystkie powinny być koloru białego - zmiennego.</w:t>
      </w:r>
    </w:p>
    <w:p w14:paraId="0DB6BC50" w14:textId="0371E8CB"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r>
      <w:r w:rsidRPr="009E064B">
        <w:rPr>
          <w:szCs w:val="20"/>
        </w:rPr>
        <w:t>W przypadku, kiedy możliwe jest zagwarantowanie poziomu niezawodności świateł podejścia, określonych w CS ADR.DSN.S.895, linia środkowa, w odległości ponad 300</w:t>
      </w:r>
      <w:r w:rsidR="004D2E77" w:rsidRPr="009E064B">
        <w:rPr>
          <w:szCs w:val="20"/>
        </w:rPr>
        <w:t> </w:t>
      </w:r>
      <w:r w:rsidRPr="009E064B">
        <w:rPr>
          <w:szCs w:val="20"/>
        </w:rPr>
        <w:t>m od progu może się składać z:</w:t>
      </w:r>
    </w:p>
    <w:p w14:paraId="36630EF9"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t>jednej baretki</w:t>
      </w:r>
      <w:r w:rsidRPr="009E064B">
        <w:rPr>
          <w:szCs w:val="20"/>
        </w:rPr>
        <w:t>; lub</w:t>
      </w:r>
    </w:p>
    <w:p w14:paraId="11422BFE"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pojedynczego źródła światła;</w:t>
      </w:r>
    </w:p>
    <w:p w14:paraId="329E7854" w14:textId="77777777" w:rsidR="00C36D76" w:rsidRPr="009E064B" w:rsidRDefault="00C36D76" w:rsidP="00B06A9A">
      <w:pPr>
        <w:pStyle w:val="Akapitzlist"/>
        <w:ind w:left="1134"/>
        <w:rPr>
          <w:szCs w:val="20"/>
        </w:rPr>
      </w:pPr>
      <w:r w:rsidRPr="009E064B">
        <w:rPr>
          <w:szCs w:val="20"/>
        </w:rPr>
        <w:t>z których wszystkie powinny być koloru białego - zmiennego.</w:t>
      </w:r>
    </w:p>
    <w:p w14:paraId="047B0C2E"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t>Baretki</w:t>
      </w:r>
      <w:r w:rsidRPr="009E064B">
        <w:rPr>
          <w:szCs w:val="20"/>
        </w:rPr>
        <w:t xml:space="preserve"> powinny mieć długość, co najmniej 4 m. Jeżeli </w:t>
      </w:r>
      <w:r w:rsidRPr="009E064B">
        <w:rPr>
          <w:rFonts w:cs="Times New Roman"/>
          <w:szCs w:val="20"/>
        </w:rPr>
        <w:t>baretki</w:t>
      </w:r>
      <w:r w:rsidRPr="009E064B">
        <w:rPr>
          <w:szCs w:val="20"/>
        </w:rPr>
        <w:t xml:space="preserve"> składają się ze źródeł światła zbliżonych do punktowych, to pomiędzy sąsiednimi światłami należy zachować rozstaw nieprzekraczający 1.5 m.</w:t>
      </w:r>
    </w:p>
    <w:p w14:paraId="7F8EF622" w14:textId="1AC249C3" w:rsidR="00C36D76" w:rsidRPr="0021406A"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(5) </w:t>
      </w:r>
      <w:r w:rsidRPr="009E064B">
        <w:rPr>
          <w:rFonts w:cs="Times New Roman"/>
          <w:szCs w:val="20"/>
        </w:rPr>
        <w:tab/>
      </w:r>
      <w:r w:rsidRPr="009E064B">
        <w:rPr>
          <w:szCs w:val="20"/>
        </w:rPr>
        <w:t xml:space="preserve">Jeżeli linia środkowa poza odcinkiem 300 m od progu utworzona jest z </w:t>
      </w:r>
      <w:r w:rsidRPr="009E064B">
        <w:rPr>
          <w:rFonts w:cs="Times New Roman"/>
          <w:szCs w:val="20"/>
        </w:rPr>
        <w:t>baretek</w:t>
      </w:r>
      <w:r w:rsidRPr="009E064B">
        <w:rPr>
          <w:szCs w:val="20"/>
        </w:rPr>
        <w:t xml:space="preserve">, o których mowa w </w:t>
      </w:r>
      <w:r w:rsidR="004D2E77" w:rsidRPr="009E064B">
        <w:rPr>
          <w:szCs w:val="20"/>
        </w:rPr>
        <w:t>lit. </w:t>
      </w:r>
      <w:r w:rsidRPr="009E064B">
        <w:rPr>
          <w:szCs w:val="20"/>
        </w:rPr>
        <w:t>(b)</w:t>
      </w:r>
      <w:r w:rsidR="004D2E77" w:rsidRPr="009E064B">
        <w:rPr>
          <w:szCs w:val="20"/>
        </w:rPr>
        <w:t xml:space="preserve"> pkt </w:t>
      </w:r>
      <w:r w:rsidRPr="009E064B">
        <w:rPr>
          <w:szCs w:val="20"/>
        </w:rPr>
        <w:t>(2</w:t>
      </w:r>
      <w:r w:rsidRPr="0021406A">
        <w:rPr>
          <w:szCs w:val="20"/>
        </w:rPr>
        <w:t>)</w:t>
      </w:r>
      <w:r w:rsidR="004D2E77" w:rsidRPr="0021406A">
        <w:rPr>
          <w:szCs w:val="20"/>
        </w:rPr>
        <w:t xml:space="preserve"> podpunkt </w:t>
      </w:r>
      <w:r w:rsidRPr="0021406A">
        <w:rPr>
          <w:szCs w:val="20"/>
        </w:rPr>
        <w:t xml:space="preserve">(i) oraz </w:t>
      </w:r>
      <w:r w:rsidR="004D2E77" w:rsidRPr="0021406A">
        <w:rPr>
          <w:szCs w:val="20"/>
        </w:rPr>
        <w:t>lit. </w:t>
      </w:r>
      <w:r w:rsidRPr="0021406A">
        <w:rPr>
          <w:szCs w:val="20"/>
        </w:rPr>
        <w:t>(b)</w:t>
      </w:r>
      <w:r w:rsidR="004D2E77" w:rsidRPr="0021406A">
        <w:rPr>
          <w:szCs w:val="20"/>
        </w:rPr>
        <w:t xml:space="preserve"> pkt </w:t>
      </w:r>
      <w:r w:rsidRPr="0021406A">
        <w:rPr>
          <w:szCs w:val="20"/>
        </w:rPr>
        <w:t>(3)</w:t>
      </w:r>
      <w:r w:rsidR="004D2E77" w:rsidRPr="0021406A">
        <w:rPr>
          <w:szCs w:val="20"/>
        </w:rPr>
        <w:t xml:space="preserve"> podpunkt </w:t>
      </w:r>
      <w:r w:rsidRPr="0021406A">
        <w:rPr>
          <w:szCs w:val="20"/>
        </w:rPr>
        <w:t xml:space="preserve">(i), to każda </w:t>
      </w:r>
      <w:r w:rsidRPr="0021406A">
        <w:rPr>
          <w:rFonts w:cs="Times New Roman"/>
          <w:szCs w:val="20"/>
        </w:rPr>
        <w:t>baretka</w:t>
      </w:r>
      <w:r w:rsidRPr="0021406A">
        <w:rPr>
          <w:szCs w:val="20"/>
        </w:rPr>
        <w:t xml:space="preserve"> powinna być uzupełniona światłem </w:t>
      </w:r>
      <w:r w:rsidR="00C63253" w:rsidRPr="0021406A">
        <w:rPr>
          <w:szCs w:val="20"/>
        </w:rPr>
        <w:t>błyskowym</w:t>
      </w:r>
      <w:r w:rsidRPr="0021406A">
        <w:rPr>
          <w:szCs w:val="20"/>
        </w:rPr>
        <w:t>, z wyjątkiem przypadku, gdy światła takie uważa się za niepotrzebne ze względu na charakterystyki systemu oraz warunki meteorologiczne.</w:t>
      </w:r>
    </w:p>
    <w:p w14:paraId="2A8563C0" w14:textId="2EEE5FEB" w:rsidR="00C36D76" w:rsidRPr="009E064B" w:rsidRDefault="00C36D76" w:rsidP="00B06A9A">
      <w:pPr>
        <w:tabs>
          <w:tab w:val="left" w:pos="1134"/>
        </w:tabs>
        <w:autoSpaceDE w:val="0"/>
        <w:autoSpaceDN w:val="0"/>
        <w:adjustRightInd w:val="0"/>
        <w:ind w:left="1134" w:hanging="567"/>
        <w:rPr>
          <w:szCs w:val="20"/>
        </w:rPr>
      </w:pPr>
      <w:r w:rsidRPr="0021406A">
        <w:rPr>
          <w:rFonts w:cs="Times New Roman"/>
          <w:szCs w:val="20"/>
        </w:rPr>
        <w:t xml:space="preserve">(6) </w:t>
      </w:r>
      <w:r w:rsidRPr="0021406A">
        <w:rPr>
          <w:rFonts w:cs="Times New Roman"/>
          <w:szCs w:val="20"/>
        </w:rPr>
        <w:tab/>
      </w:r>
      <w:r w:rsidRPr="0021406A">
        <w:rPr>
          <w:szCs w:val="20"/>
        </w:rPr>
        <w:t xml:space="preserve">Każde światło </w:t>
      </w:r>
      <w:r w:rsidR="00C63253" w:rsidRPr="0021406A">
        <w:rPr>
          <w:szCs w:val="20"/>
        </w:rPr>
        <w:t>błyskowe</w:t>
      </w:r>
      <w:r w:rsidRPr="0021406A">
        <w:rPr>
          <w:szCs w:val="20"/>
        </w:rPr>
        <w:t xml:space="preserve"> powinno bły</w:t>
      </w:r>
      <w:r w:rsidR="00013601" w:rsidRPr="0021406A">
        <w:rPr>
          <w:szCs w:val="20"/>
        </w:rPr>
        <w:t>skać dwa razy w ciągu sekundy w </w:t>
      </w:r>
      <w:r w:rsidRPr="0021406A">
        <w:rPr>
          <w:szCs w:val="20"/>
        </w:rPr>
        <w:t xml:space="preserve">kolejności poczynając od najbardziej oddalonego </w:t>
      </w:r>
      <w:r w:rsidRPr="009E064B">
        <w:rPr>
          <w:szCs w:val="20"/>
        </w:rPr>
        <w:t>od progu światła w kierunku progu do światła systemu położonego najbliżej progu. Budowa obwodu elektrycznego powinna umożliwiać sterowanie światłami wyładowania kondensatora niezależnie od innych świateł systemu podejścia.</w:t>
      </w:r>
    </w:p>
    <w:p w14:paraId="5A5077B8"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(7) </w:t>
      </w:r>
      <w:r w:rsidRPr="009E064B">
        <w:rPr>
          <w:rFonts w:cs="Times New Roman"/>
          <w:szCs w:val="20"/>
        </w:rPr>
        <w:tab/>
      </w:r>
      <w:r w:rsidRPr="009E064B">
        <w:rPr>
          <w:rFonts w:cs="TimesNewRomanPS-ItalicMT"/>
          <w:iCs/>
          <w:szCs w:val="20"/>
        </w:rPr>
        <w:t>Światła</w:t>
      </w:r>
      <w:r w:rsidRPr="009E064B">
        <w:rPr>
          <w:szCs w:val="20"/>
        </w:rPr>
        <w:t xml:space="preserve"> rzędów bocznych powinny składać się z baretek koloru czerwonego. Długość baretki rzędu bocznego oraz rozstaw jej świateł powinny być równe długości i rozstawowi baretek świateł strefy przyziemienia.</w:t>
      </w:r>
    </w:p>
    <w:p w14:paraId="5C0DA5CF"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(8) </w:t>
      </w:r>
      <w:r w:rsidRPr="009E064B">
        <w:rPr>
          <w:rFonts w:cs="Times New Roman"/>
          <w:szCs w:val="20"/>
        </w:rPr>
        <w:tab/>
      </w:r>
      <w:r w:rsidRPr="009E064B">
        <w:rPr>
          <w:szCs w:val="20"/>
        </w:rPr>
        <w:t xml:space="preserve">Światła tworzące poprzeczki powinny być światłami stałymi koloru białego - </w:t>
      </w:r>
      <w:r w:rsidRPr="009E064B">
        <w:rPr>
          <w:rFonts w:cs="TimesNewRomanPS-ItalicMT"/>
          <w:iCs/>
          <w:szCs w:val="20"/>
        </w:rPr>
        <w:t>zmiennego</w:t>
      </w:r>
      <w:r w:rsidRPr="009E064B">
        <w:rPr>
          <w:szCs w:val="20"/>
        </w:rPr>
        <w:t>. Światła mają być rozmieszczone w równych odstępach nieprzekraczających 2.7 m.</w:t>
      </w:r>
    </w:p>
    <w:p w14:paraId="129ED97B"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(9) </w:t>
      </w:r>
      <w:r w:rsidRPr="009E064B">
        <w:rPr>
          <w:rFonts w:cs="Times New Roman"/>
          <w:szCs w:val="20"/>
        </w:rPr>
        <w:tab/>
      </w:r>
      <w:r w:rsidRPr="009E064B">
        <w:rPr>
          <w:szCs w:val="20"/>
        </w:rPr>
        <w:t>Intensywność świateł koloru czerwonego powinna odpowiadać intensywności świateł koloru białego.</w:t>
      </w:r>
    </w:p>
    <w:p w14:paraId="730A1102" w14:textId="015B186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(10)</w:t>
      </w:r>
      <w:r w:rsidRPr="009E064B">
        <w:rPr>
          <w:rFonts w:cs="Times New Roman"/>
          <w:szCs w:val="20"/>
        </w:rPr>
        <w:tab/>
        <w:t xml:space="preserve">Charakterystyki </w:t>
      </w:r>
      <w:r w:rsidRPr="009E064B">
        <w:rPr>
          <w:rFonts w:cs="TimesNewRomanPS-ItalicMT"/>
          <w:iCs/>
          <w:szCs w:val="20"/>
        </w:rPr>
        <w:t>świateł</w:t>
      </w:r>
      <w:r w:rsidRPr="009E064B">
        <w:rPr>
          <w:szCs w:val="20"/>
        </w:rPr>
        <w:t xml:space="preserve"> powinny być zgodne </w:t>
      </w:r>
      <w:r w:rsidR="00BE304B" w:rsidRPr="009E064B">
        <w:rPr>
          <w:szCs w:val="20"/>
        </w:rPr>
        <w:t xml:space="preserve">ze specyfikacjami określonymi </w:t>
      </w:r>
      <w:r w:rsidR="00BE304B" w:rsidRPr="009E064B">
        <w:rPr>
          <w:szCs w:val="20"/>
        </w:rPr>
        <w:br/>
        <w:t>w </w:t>
      </w:r>
      <w:hyperlink w:anchor="_CS_ADR-DSN.U.940_" w:history="1">
        <w:r w:rsidRPr="009E064B">
          <w:rPr>
            <w:rStyle w:val="Hipercze"/>
            <w:szCs w:val="20"/>
          </w:rPr>
          <w:t>CS ADR-DSN.U.940</w:t>
        </w:r>
      </w:hyperlink>
      <w:r w:rsidRPr="009E064B">
        <w:rPr>
          <w:szCs w:val="20"/>
        </w:rPr>
        <w:t>, odpowiednio na Rysunku U-5 lub U-6.</w:t>
      </w:r>
    </w:p>
    <w:p w14:paraId="643B64F2" w14:textId="77FADB59" w:rsidR="00C36D76" w:rsidRPr="009E064B" w:rsidRDefault="00C36D76" w:rsidP="00B06A9A">
      <w:pPr>
        <w:tabs>
          <w:tab w:val="left" w:pos="1134"/>
        </w:tabs>
        <w:autoSpaceDE w:val="0"/>
        <w:autoSpaceDN w:val="0"/>
        <w:adjustRightInd w:val="0"/>
        <w:ind w:left="1134" w:hanging="567"/>
        <w:rPr>
          <w:szCs w:val="20"/>
        </w:rPr>
      </w:pPr>
      <w:r w:rsidRPr="009E064B">
        <w:rPr>
          <w:szCs w:val="20"/>
        </w:rPr>
        <w:t>(11)</w:t>
      </w:r>
      <w:r w:rsidRPr="009E064B">
        <w:rPr>
          <w:szCs w:val="20"/>
        </w:rPr>
        <w:tab/>
        <w:t>Chromatyczność świateł powinna być zgodna ze specyfika</w:t>
      </w:r>
      <w:r w:rsidR="00BE304B" w:rsidRPr="009E064B">
        <w:rPr>
          <w:szCs w:val="20"/>
        </w:rPr>
        <w:t xml:space="preserve">cjami określonymi </w:t>
      </w:r>
      <w:r w:rsidR="00BE304B" w:rsidRPr="009E064B">
        <w:rPr>
          <w:szCs w:val="20"/>
        </w:rPr>
        <w:br/>
        <w:t>w </w:t>
      </w:r>
      <w:hyperlink w:anchor="_CS_ADR-DSN.U.930_" w:history="1">
        <w:r w:rsidRPr="009E064B">
          <w:rPr>
            <w:rStyle w:val="Hipercze"/>
            <w:szCs w:val="20"/>
          </w:rPr>
          <w:t>CS ADR-DSN.U.930</w:t>
        </w:r>
      </w:hyperlink>
      <w:r w:rsidRPr="009E064B">
        <w:rPr>
          <w:szCs w:val="20"/>
        </w:rPr>
        <w:t xml:space="preserve"> oraz </w:t>
      </w:r>
      <w:r w:rsidR="00C63253" w:rsidRPr="0021406A">
        <w:rPr>
          <w:szCs w:val="20"/>
        </w:rPr>
        <w:t xml:space="preserve">odpowiednio z </w:t>
      </w:r>
      <w:r w:rsidRPr="0021406A">
        <w:rPr>
          <w:szCs w:val="20"/>
        </w:rPr>
        <w:t>Rysunkiem U-1</w:t>
      </w:r>
      <w:r w:rsidR="00C63253" w:rsidRPr="0021406A">
        <w:rPr>
          <w:szCs w:val="20"/>
        </w:rPr>
        <w:t>A lub U-1B</w:t>
      </w:r>
      <w:r w:rsidRPr="0021406A">
        <w:rPr>
          <w:szCs w:val="20"/>
        </w:rPr>
        <w:t>.</w:t>
      </w:r>
    </w:p>
    <w:p w14:paraId="731D0D39" w14:textId="77777777" w:rsidR="00C36D76" w:rsidRPr="009E064B" w:rsidRDefault="00C36D76" w:rsidP="00B06A9A">
      <w:pPr>
        <w:ind w:left="425" w:right="-6" w:hanging="425"/>
        <w:jc w:val="left"/>
      </w:pPr>
      <w:r w:rsidRPr="009E064B">
        <w:br w:type="page"/>
      </w:r>
    </w:p>
    <w:p w14:paraId="3C913E5D" w14:textId="1EC130A2" w:rsidR="00C36D76" w:rsidRPr="009E064B" w:rsidRDefault="00013601" w:rsidP="00C40ECA">
      <w:pPr>
        <w:spacing w:after="0"/>
      </w:pPr>
      <w:r w:rsidRPr="009E064B">
        <w:rPr>
          <w:noProof/>
          <w:lang w:eastAsia="pl-PL"/>
        </w:rPr>
        <w:drawing>
          <wp:inline distT="0" distB="0" distL="0" distR="0" wp14:anchorId="28C6E799" wp14:editId="09EE322D">
            <wp:extent cx="5760720" cy="8013212"/>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60720" cy="8013212"/>
                    </a:xfrm>
                    <a:prstGeom prst="rect">
                      <a:avLst/>
                    </a:prstGeom>
                    <a:noFill/>
                    <a:ln>
                      <a:noFill/>
                    </a:ln>
                  </pic:spPr>
                </pic:pic>
              </a:graphicData>
            </a:graphic>
          </wp:inline>
        </w:drawing>
      </w:r>
    </w:p>
    <w:p w14:paraId="34E19D77" w14:textId="6D262035" w:rsidR="00C40ECA" w:rsidRPr="0021406A" w:rsidRDefault="00C36D76" w:rsidP="00C40ECA">
      <w:pPr>
        <w:spacing w:before="120"/>
        <w:ind w:left="567" w:hanging="567"/>
        <w:jc w:val="center"/>
        <w:rPr>
          <w:b/>
        </w:rPr>
      </w:pPr>
      <w:r w:rsidRPr="0021406A">
        <w:rPr>
          <w:b/>
          <w:sz w:val="20"/>
        </w:rPr>
        <w:t>Rysunek M-3A.  Wewnętrzny, 300 m odcinek, systemu świateł podejścia i świateł drogi startowej z podejściem precyzyjnym kategorii II i III</w:t>
      </w:r>
    </w:p>
    <w:p w14:paraId="7A8527C6" w14:textId="6C779B5E" w:rsidR="00C36D76" w:rsidRPr="009E064B" w:rsidRDefault="00B3568C" w:rsidP="00C40ECA">
      <w:pPr>
        <w:spacing w:after="0"/>
        <w:jc w:val="center"/>
      </w:pPr>
      <w:r w:rsidRPr="009E064B">
        <w:rPr>
          <w:noProof/>
          <w:lang w:eastAsia="pl-PL"/>
        </w:rPr>
        <w:drawing>
          <wp:inline distT="0" distB="0" distL="0" distR="0" wp14:anchorId="3421E1D0" wp14:editId="6D32EA31">
            <wp:extent cx="5540838" cy="7456784"/>
            <wp:effectExtent l="0" t="0" r="317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542584" cy="7459134"/>
                    </a:xfrm>
                    <a:prstGeom prst="rect">
                      <a:avLst/>
                    </a:prstGeom>
                    <a:noFill/>
                    <a:ln>
                      <a:noFill/>
                    </a:ln>
                  </pic:spPr>
                </pic:pic>
              </a:graphicData>
            </a:graphic>
          </wp:inline>
        </w:drawing>
      </w:r>
    </w:p>
    <w:p w14:paraId="6153D209" w14:textId="1564C299" w:rsidR="00C36D76" w:rsidRPr="009E064B" w:rsidRDefault="00C36D76" w:rsidP="00C40ECA">
      <w:pPr>
        <w:tabs>
          <w:tab w:val="left" w:pos="567"/>
          <w:tab w:val="left" w:pos="8789"/>
        </w:tabs>
        <w:spacing w:before="120" w:after="0"/>
        <w:ind w:left="567" w:right="284" w:hanging="567"/>
      </w:pPr>
      <w:r w:rsidRPr="0021406A">
        <w:rPr>
          <w:b/>
          <w:sz w:val="20"/>
        </w:rPr>
        <w:t>Rysunek M-3B. Wewnętrzny, 300 metrowy odcinek systemu świateł podejścia oraz świateł drogi startowej z podejściem precyzyjnym kategorii II i III, dla których mogą być zapewnione, jako warunek eksploatacji, poziomy niezawodności świateł określone w</w:t>
      </w:r>
      <w:r w:rsidRPr="0021406A">
        <w:rPr>
          <w:sz w:val="20"/>
        </w:rPr>
        <w:t xml:space="preserve"> </w:t>
      </w:r>
      <w:hyperlink w:anchor="_CS_ADR-DSN.S.895_" w:history="1">
        <w:r w:rsidRPr="0021406A">
          <w:rPr>
            <w:rStyle w:val="Hipercze"/>
            <w:sz w:val="20"/>
          </w:rPr>
          <w:t>CS ADR-DSN.S.895</w:t>
        </w:r>
      </w:hyperlink>
      <w:r w:rsidRPr="0021406A">
        <w:rPr>
          <w:sz w:val="20"/>
        </w:rPr>
        <w:t>.</w:t>
      </w:r>
    </w:p>
    <w:p w14:paraId="67AD8DE4" w14:textId="016A758E" w:rsidR="00C36D76" w:rsidRPr="009E064B" w:rsidRDefault="00C36D76" w:rsidP="007E29F7">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F4B4ED2" w14:textId="1061F7EC" w:rsidR="0021406A" w:rsidRDefault="00C40ECA" w:rsidP="0021406A">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r w:rsidR="0021406A">
        <w:rPr>
          <w:rFonts w:asciiTheme="minorHAnsi" w:hAnsiTheme="minorHAnsi" w:cstheme="minorHAnsi"/>
          <w:i/>
          <w:sz w:val="16"/>
          <w:szCs w:val="16"/>
        </w:rPr>
        <w:t xml:space="preserve"> </w:t>
      </w:r>
      <w:r w:rsidR="0021406A">
        <w:rPr>
          <w:rFonts w:asciiTheme="minorHAnsi" w:hAnsiTheme="minorHAnsi" w:cstheme="minorHAnsi"/>
          <w:i/>
          <w:sz w:val="16"/>
          <w:szCs w:val="16"/>
        </w:rPr>
        <w:br w:type="page"/>
      </w:r>
    </w:p>
    <w:p w14:paraId="08294FE1" w14:textId="42173B3B" w:rsidR="00272C61" w:rsidRPr="009E064B" w:rsidRDefault="00C55E4D" w:rsidP="00133B99">
      <w:pPr>
        <w:pStyle w:val="Nagwek6"/>
      </w:pPr>
      <w:bookmarkStart w:id="1484" w:name="_Toc401059028"/>
      <w:bookmarkStart w:id="1485" w:name="_Toc482886895"/>
      <w:bookmarkStart w:id="1486" w:name="_Toc12533182"/>
      <w:r w:rsidRPr="009E064B">
        <w:t xml:space="preserve">GM1 ADR-DSN.M.635     </w:t>
      </w:r>
      <w:r w:rsidR="00272C61" w:rsidRPr="009E064B">
        <w:t>System świateł podejścia precyzyjnego kategorii II i III</w:t>
      </w:r>
      <w:bookmarkEnd w:id="1484"/>
      <w:bookmarkEnd w:id="1485"/>
      <w:bookmarkEnd w:id="1486"/>
    </w:p>
    <w:p w14:paraId="099E00B1" w14:textId="063D324F" w:rsidR="00A37A28" w:rsidRPr="009E064B" w:rsidRDefault="00D63D4F" w:rsidP="00A37A28">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3EA1B5E" w14:textId="508DA0D8" w:rsidR="00272C61" w:rsidRPr="009E064B" w:rsidRDefault="00272C61"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Długość 900 m wynika z konieczności zapewnienia prowadzenia statku powietrznego w warunkach kategorii I, II i III. Systemy o długościach zmniejszonych mogą pozwolić na operacje w warunkach kategorii II i III, lecz może to wprowadzić ograniczenia operacji lotniczych w operacjach kategorii I. Dodatkowe wytyczne są określone w Załączniku 14 ICAO, Załącznik A, Sekcja 11.</w:t>
      </w:r>
    </w:p>
    <w:p w14:paraId="3728BA91" w14:textId="77777777" w:rsidR="00272C61" w:rsidRPr="009E064B" w:rsidRDefault="00272C6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F5BE2F8" w14:textId="33B953D1" w:rsidR="00C36D76" w:rsidRPr="009E064B" w:rsidRDefault="00C36D76" w:rsidP="00B06A9A">
      <w:pPr>
        <w:pStyle w:val="Nagwek4"/>
        <w:rPr>
          <w:color w:val="auto"/>
        </w:rPr>
      </w:pPr>
      <w:bookmarkStart w:id="1487" w:name="_CS_ADR-DSN.M.640_"/>
      <w:bookmarkStart w:id="1488" w:name="_Toc482886672"/>
      <w:bookmarkStart w:id="1489" w:name="_Toc12533183"/>
      <w:bookmarkEnd w:id="1487"/>
      <w:r w:rsidRPr="009E064B">
        <w:rPr>
          <w:color w:val="auto"/>
        </w:rPr>
        <w:t xml:space="preserve">CS ADR-DSN.M.640 </w:t>
      </w:r>
      <w:r w:rsidR="004D4DBB" w:rsidRPr="009E064B">
        <w:rPr>
          <w:color w:val="auto"/>
        </w:rPr>
        <w:t xml:space="preserve">    </w:t>
      </w:r>
      <w:r w:rsidRPr="009E064B">
        <w:rPr>
          <w:color w:val="auto"/>
        </w:rPr>
        <w:t>Systemy wzrokowych wskaźników ścieżki podejścia</w:t>
      </w:r>
      <w:bookmarkEnd w:id="1488"/>
      <w:bookmarkEnd w:id="1489"/>
    </w:p>
    <w:p w14:paraId="5F5CD5F6" w14:textId="1717BDA6" w:rsidR="00EF0F26" w:rsidRPr="009E064B" w:rsidRDefault="001F74A1" w:rsidP="00EF0F2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31F2294" w14:textId="17A0D44B" w:rsidR="00C36D76" w:rsidRPr="009E064B" w:rsidRDefault="00C36D76" w:rsidP="00B06A9A">
      <w:pPr>
        <w:rPr>
          <w:szCs w:val="20"/>
        </w:rPr>
      </w:pPr>
      <w:r w:rsidRPr="009E064B">
        <w:rPr>
          <w:szCs w:val="20"/>
        </w:rPr>
        <w:t>Celem bezpieczeństwa wzrokowych wskaźników ścieżki podejścia jest zapewnienie informacji dotyczących kąta podejścia do lądowania niezbędnego dla zachowania bezpiecznej wysokości nad przeszkodami i progiem.</w:t>
      </w:r>
    </w:p>
    <w:p w14:paraId="1C7E637B" w14:textId="77777777"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System wzrokowego wskaźnika ścieżki podejścia powinien być instalowany w celu obsługi podejścia do lądowania na drogę startową, jeżeli spełniony jest jeden lub więcej z poniższych warunków:</w:t>
      </w:r>
    </w:p>
    <w:p w14:paraId="37BB25C0" w14:textId="77777777" w:rsidR="00C36D76" w:rsidRPr="009E064B" w:rsidRDefault="00C36D76" w:rsidP="00B06A9A">
      <w:pPr>
        <w:tabs>
          <w:tab w:val="left" w:pos="1134"/>
        </w:tabs>
        <w:ind w:left="1134" w:hanging="567"/>
        <w:rPr>
          <w:szCs w:val="20"/>
        </w:rPr>
      </w:pPr>
      <w:r w:rsidRPr="009E064B">
        <w:rPr>
          <w:rFonts w:cs="Times New Roman"/>
          <w:szCs w:val="20"/>
        </w:rPr>
        <w:t>(1)</w:t>
      </w:r>
      <w:r w:rsidRPr="009E064B">
        <w:rPr>
          <w:rFonts w:cs="Times New Roman"/>
          <w:szCs w:val="20"/>
        </w:rPr>
        <w:tab/>
      </w:r>
      <w:r w:rsidRPr="009E064B">
        <w:rPr>
          <w:szCs w:val="20"/>
        </w:rPr>
        <w:t>droga startowa jest wykorzystywana przez samoloty o napędzie turboodrzutowym lub inne samoloty wymagające podobnego prowadzenia w trakcie podejścia;</w:t>
      </w:r>
    </w:p>
    <w:p w14:paraId="21A3F5D8"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pilot jakiegokolwiek typu samolotu może mieć trudności w ocenie prawidłowości podejścia ze względu na:</w:t>
      </w:r>
    </w:p>
    <w:p w14:paraId="2A1B10B3" w14:textId="0740314D"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niewystarczające prowadzenie wzrokowe, tak jak w przypadku podejścia w dzień znad powierzchni wody lub znad terenu pozbawio</w:t>
      </w:r>
      <w:r w:rsidR="00B3568C" w:rsidRPr="009E064B">
        <w:rPr>
          <w:szCs w:val="20"/>
        </w:rPr>
        <w:t>nego punktów odniesienia, lub w </w:t>
      </w:r>
      <w:r w:rsidRPr="009E064B">
        <w:rPr>
          <w:szCs w:val="20"/>
        </w:rPr>
        <w:t>nocy, gdy brak jest świateł nie lotniczych w strefie podejścia; lub</w:t>
      </w:r>
    </w:p>
    <w:p w14:paraId="6B5C6377"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występowanie złudzeń optycznych spowodowanych np. ukształtowaniem otaczającego terenu lub profilem drogi startowej;</w:t>
      </w:r>
    </w:p>
    <w:p w14:paraId="5260AE29" w14:textId="601FE3D6"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w strefie podejścia znajdują się obiekty mogące stanowić poważne zagrożenie dla samolotu, gdyby zszedł poniżej normalnej ścieżki podejścia do lądowania, szczególnie, gdy brak jest pomocy niewzrokowych lub innych pomocy wzrokowych, które o</w:t>
      </w:r>
      <w:r w:rsidR="00B3568C" w:rsidRPr="009E064B">
        <w:rPr>
          <w:szCs w:val="20"/>
        </w:rPr>
        <w:t>strzegają o </w:t>
      </w:r>
      <w:r w:rsidRPr="009E064B">
        <w:rPr>
          <w:szCs w:val="20"/>
        </w:rPr>
        <w:t>takich obiektach;</w:t>
      </w:r>
    </w:p>
    <w:p w14:paraId="62064451"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charakterystyka fizyczna terenu z jednego z końców drogi startowej stwarza poważne niebezpieczeństwo w przypadku zbyt wczesnego lub zbyt późnego przyziemienia lub wykołowania samolotu poza obszar drogi startowej; oraz</w:t>
      </w:r>
    </w:p>
    <w:p w14:paraId="2577C712"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ukształtowanie terenu lub warunki meteorologiczne mogą spowodować zjawisko turbulencji w trakcie podejścia samolotu do lądowania.</w:t>
      </w:r>
    </w:p>
    <w:p w14:paraId="7F1CC9BD" w14:textId="6A453DE4"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Do standardowych systemów wzrokowych wskaźników ścieżki podejścia należą systemy PAPI</w:t>
      </w:r>
      <w:r w:rsidRPr="009E064B">
        <w:rPr>
          <w:rStyle w:val="Odwoanieprzypisudolnego"/>
          <w:szCs w:val="20"/>
        </w:rPr>
        <w:footnoteReference w:id="49"/>
      </w:r>
      <w:r w:rsidRPr="009E064B">
        <w:rPr>
          <w:szCs w:val="20"/>
        </w:rPr>
        <w:t xml:space="preserve"> i APAPI</w:t>
      </w:r>
      <w:r w:rsidRPr="009E064B">
        <w:rPr>
          <w:rStyle w:val="Odwoanieprzypisudolnego"/>
          <w:szCs w:val="20"/>
        </w:rPr>
        <w:footnoteReference w:id="50"/>
      </w:r>
      <w:r w:rsidRPr="009E064B">
        <w:rPr>
          <w:szCs w:val="20"/>
        </w:rPr>
        <w:t xml:space="preserve"> spełniające wymagani</w:t>
      </w:r>
      <w:r w:rsidR="00800422" w:rsidRPr="009E064B">
        <w:rPr>
          <w:szCs w:val="20"/>
        </w:rPr>
        <w:t>a, o których mowa w</w:t>
      </w:r>
      <w:r w:rsidR="00135920" w:rsidRPr="009E064B">
        <w:rPr>
          <w:szCs w:val="20"/>
        </w:rPr>
        <w:t xml:space="preserve"> specyfikacjach od</w:t>
      </w:r>
      <w:r w:rsidR="00800422" w:rsidRPr="009E064B">
        <w:rPr>
          <w:szCs w:val="20"/>
        </w:rPr>
        <w:t xml:space="preserve"> </w:t>
      </w:r>
      <w:hyperlink w:anchor="_CS_ADR-DSN.M.645_" w:history="1">
        <w:r w:rsidR="00800422" w:rsidRPr="009E064B">
          <w:rPr>
            <w:rStyle w:val="Hipercze"/>
            <w:szCs w:val="20"/>
          </w:rPr>
          <w:t>CS </w:t>
        </w:r>
        <w:r w:rsidRPr="009E064B">
          <w:rPr>
            <w:rStyle w:val="Hipercze"/>
            <w:szCs w:val="20"/>
          </w:rPr>
          <w:t>ADR-DSN.M.645</w:t>
        </w:r>
      </w:hyperlink>
      <w:r w:rsidRPr="009E064B">
        <w:rPr>
          <w:szCs w:val="20"/>
        </w:rPr>
        <w:t xml:space="preserve"> do </w:t>
      </w:r>
      <w:r w:rsidR="005E3E07" w:rsidRPr="009E064B">
        <w:rPr>
          <w:szCs w:val="20"/>
        </w:rPr>
        <w:br/>
      </w:r>
      <w:hyperlink w:anchor="_CS_ADR-DSN.M.655_" w:history="1">
        <w:r w:rsidRPr="009E064B">
          <w:rPr>
            <w:rStyle w:val="Hipercze"/>
            <w:szCs w:val="20"/>
          </w:rPr>
          <w:t>CS ADR-DSN.M.655</w:t>
        </w:r>
      </w:hyperlink>
      <w:r w:rsidRPr="009E064B">
        <w:rPr>
          <w:szCs w:val="20"/>
        </w:rPr>
        <w:t>.</w:t>
      </w:r>
    </w:p>
    <w:p w14:paraId="0E744D73" w14:textId="2230D661"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 xml:space="preserve">System PAPI powinien być instalowany, jeżeli, cyfra kodu wynosi 3 lub 4 i kiedy spełniony jest jeden lub więcej niż jeden spośród warunków określonych w </w:t>
      </w:r>
      <w:r w:rsidR="00135920" w:rsidRPr="009E064B">
        <w:rPr>
          <w:szCs w:val="20"/>
        </w:rPr>
        <w:t>lit. </w:t>
      </w:r>
      <w:r w:rsidRPr="009E064B">
        <w:rPr>
          <w:szCs w:val="20"/>
        </w:rPr>
        <w:t>(a) powyżej.</w:t>
      </w:r>
    </w:p>
    <w:p w14:paraId="1ECBFCF0" w14:textId="22A2CEE1"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 xml:space="preserve">System PAPI lub APAPI powinien być instalowany, jeżeli cyfra kodu wynosi 1 lub 2, kiedy spełniony jest jeden lub więcej niż jeden spośród warunków określonych w </w:t>
      </w:r>
      <w:r w:rsidR="00135920" w:rsidRPr="009E064B">
        <w:rPr>
          <w:szCs w:val="20"/>
        </w:rPr>
        <w:t>lit. </w:t>
      </w:r>
      <w:r w:rsidRPr="009E064B">
        <w:rPr>
          <w:szCs w:val="20"/>
        </w:rPr>
        <w:t>(a) powyżej.</w:t>
      </w:r>
    </w:p>
    <w:p w14:paraId="12B33398" w14:textId="441C535B" w:rsidR="00272C61" w:rsidRPr="009E064B" w:rsidRDefault="006D228E" w:rsidP="00133B99">
      <w:pPr>
        <w:pStyle w:val="Nagwek6"/>
      </w:pPr>
      <w:bookmarkStart w:id="1490" w:name="_Toc401059030"/>
      <w:bookmarkStart w:id="1491" w:name="_Toc482886896"/>
      <w:bookmarkStart w:id="1492" w:name="_Toc12533184"/>
      <w:r w:rsidRPr="009E064B">
        <w:t xml:space="preserve">GM1 ADR-DSN.M.640     </w:t>
      </w:r>
      <w:r w:rsidR="00272C61" w:rsidRPr="009E064B">
        <w:t>Systemy wzrokowych wskaźników ścieżki podejścia</w:t>
      </w:r>
      <w:bookmarkEnd w:id="1490"/>
      <w:bookmarkEnd w:id="1491"/>
      <w:bookmarkEnd w:id="1492"/>
    </w:p>
    <w:p w14:paraId="33D4D12A" w14:textId="324703FA"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FCF0EBA" w14:textId="5982C504" w:rsidR="00272C61" w:rsidRPr="009E064B" w:rsidRDefault="006D228E" w:rsidP="006D228E">
      <w:pPr>
        <w:tabs>
          <w:tab w:val="left" w:pos="567"/>
        </w:tabs>
        <w:autoSpaceDE w:val="0"/>
        <w:autoSpaceDN w:val="0"/>
        <w:adjustRightInd w:val="0"/>
        <w:ind w:left="567" w:hanging="567"/>
        <w:rPr>
          <w:szCs w:val="20"/>
        </w:rPr>
      </w:pPr>
      <w:r w:rsidRPr="009E064B">
        <w:rPr>
          <w:rFonts w:cs="TimesNewRomanPS-BoldItalicMT"/>
          <w:bCs/>
          <w:iCs/>
          <w:szCs w:val="20"/>
        </w:rPr>
        <w:t xml:space="preserve"> </w:t>
      </w:r>
      <w:r w:rsidR="00272C61" w:rsidRPr="009E064B">
        <w:rPr>
          <w:rFonts w:cs="TimesNewRomanPS-BoldItalicMT"/>
          <w:bCs/>
          <w:iCs/>
          <w:szCs w:val="20"/>
        </w:rPr>
        <w:t xml:space="preserve">a) </w:t>
      </w:r>
      <w:r w:rsidR="00272C61" w:rsidRPr="009E064B">
        <w:rPr>
          <w:rFonts w:cs="TimesNewRomanPS-BoldItalicMT"/>
          <w:bCs/>
          <w:iCs/>
          <w:szCs w:val="20"/>
        </w:rPr>
        <w:tab/>
      </w:r>
      <w:r w:rsidR="00272C61" w:rsidRPr="009E064B">
        <w:rPr>
          <w:rFonts w:eastAsia="Times New Roman,Italic" w:cs="Times New Roman,Italic"/>
          <w:iCs/>
          <w:szCs w:val="20"/>
        </w:rPr>
        <w:t>Czynniki</w:t>
      </w:r>
      <w:r w:rsidR="00272C61" w:rsidRPr="009E064B">
        <w:rPr>
          <w:szCs w:val="20"/>
        </w:rPr>
        <w:t>, które powinny być wzięte pod uwagę przy podejmowaniu decyzji, która droga startowa na lotnisku powinna otrzymać najwyższy priorytet, jeżeli chodzi o zainstalowanie systemu wzrokowych wskaźników ścieżki podejścia są następujące:</w:t>
      </w:r>
    </w:p>
    <w:p w14:paraId="457504D5"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częstotliwość wykorzystania;</w:t>
      </w:r>
    </w:p>
    <w:p w14:paraId="3547449C"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powaga zagrożenia;</w:t>
      </w:r>
    </w:p>
    <w:p w14:paraId="0A1FD75D"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obecność innych pomocy wzrokowych i niewzrokowych;</w:t>
      </w:r>
    </w:p>
    <w:p w14:paraId="0295B13A"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typy samolotów wykorzystujących drogę startową; oraz</w:t>
      </w:r>
    </w:p>
    <w:p w14:paraId="43BCB884"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(5) </w:t>
      </w:r>
      <w:r w:rsidRPr="009E064B">
        <w:rPr>
          <w:rFonts w:cs="TimesNewRomanPS-BoldItalicMT"/>
          <w:bCs/>
          <w:iCs/>
          <w:szCs w:val="20"/>
        </w:rPr>
        <w:tab/>
      </w:r>
      <w:r w:rsidRPr="009E064B">
        <w:rPr>
          <w:szCs w:val="20"/>
        </w:rPr>
        <w:t>częstotliwość oraz rodzaj niekorzystnych warunków pogodowych, w których droga startowa będzie wykorzystywana.</w:t>
      </w:r>
    </w:p>
    <w:p w14:paraId="39FF6D82" w14:textId="0F9EF756" w:rsidR="00272C61" w:rsidRPr="009E064B" w:rsidRDefault="00272C6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 xml:space="preserve">W związku z powagą zagrożenia, zalecenie podane w </w:t>
      </w:r>
      <w:hyperlink w:anchor="_CS_ADR-DSN.M.640_" w:history="1">
        <w:r w:rsidR="005E3E07" w:rsidRPr="009E064B">
          <w:rPr>
            <w:rStyle w:val="Hipercze"/>
            <w:szCs w:val="20"/>
          </w:rPr>
          <w:t>CS </w:t>
        </w:r>
        <w:r w:rsidRPr="009E064B">
          <w:rPr>
            <w:rStyle w:val="Hipercze"/>
            <w:szCs w:val="20"/>
          </w:rPr>
          <w:t>ADR-DSN.M.640</w:t>
        </w:r>
      </w:hyperlink>
      <w:r w:rsidRPr="009E064B">
        <w:rPr>
          <w:szCs w:val="20"/>
        </w:rPr>
        <w:t xml:space="preserve"> może być stosowane, jako ogólna wskazówka. Można to podsumować w następujący sposób:</w:t>
      </w:r>
    </w:p>
    <w:p w14:paraId="1718DEA2"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niewłaściwe prowadzenie wzrokowe z powodu:</w:t>
      </w:r>
    </w:p>
    <w:p w14:paraId="3021AE7D" w14:textId="77777777" w:rsidR="00272C61" w:rsidRPr="009E064B" w:rsidRDefault="00272C61"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 </w:t>
      </w:r>
      <w:r w:rsidRPr="009E064B">
        <w:rPr>
          <w:rFonts w:cs="TimesNewRomanPS-BoldItalicMT"/>
          <w:bCs/>
          <w:iCs/>
          <w:szCs w:val="20"/>
        </w:rPr>
        <w:tab/>
      </w:r>
      <w:r w:rsidRPr="009E064B">
        <w:rPr>
          <w:szCs w:val="20"/>
        </w:rPr>
        <w:t>podejścia do lądowania znad powierzchni wody lub znad terenu pozbawionego punktów odniesienia, albo gdy w porze nocnej brak jest świateł nie lotniczych w strefie podejścia; oraz</w:t>
      </w:r>
    </w:p>
    <w:p w14:paraId="172FCFBF" w14:textId="77777777" w:rsidR="00272C61" w:rsidRPr="009E064B" w:rsidRDefault="00272C61" w:rsidP="00B06A9A">
      <w:pPr>
        <w:tabs>
          <w:tab w:val="left" w:pos="1701"/>
        </w:tabs>
        <w:autoSpaceDE w:val="0"/>
        <w:autoSpaceDN w:val="0"/>
        <w:adjustRightInd w:val="0"/>
        <w:ind w:left="1701" w:hanging="567"/>
        <w:rPr>
          <w:szCs w:val="20"/>
        </w:rPr>
      </w:pPr>
      <w:r w:rsidRPr="009E064B">
        <w:rPr>
          <w:rFonts w:cs="TimesNewRomanPS-BoldItalicMT"/>
          <w:bCs/>
          <w:iCs/>
          <w:szCs w:val="20"/>
        </w:rPr>
        <w:t xml:space="preserve">(ii) </w:t>
      </w:r>
      <w:r w:rsidRPr="009E064B">
        <w:rPr>
          <w:rFonts w:cs="TimesNewRomanPS-BoldItalicMT"/>
          <w:bCs/>
          <w:iCs/>
          <w:szCs w:val="20"/>
        </w:rPr>
        <w:tab/>
      </w:r>
      <w:r w:rsidRPr="009E064B">
        <w:rPr>
          <w:szCs w:val="20"/>
        </w:rPr>
        <w:t>mylące ukształtowanie otaczającego terenu.</w:t>
      </w:r>
    </w:p>
    <w:p w14:paraId="2041A02A"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poważne zagrożenia na podejściu do lądowania;</w:t>
      </w:r>
    </w:p>
    <w:p w14:paraId="10AA3391"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poważne zagrożenie w przypadku zbyt wczesnego przyziemienia lub wyjechania poza drogę startową; oraz</w:t>
      </w:r>
    </w:p>
    <w:p w14:paraId="6C890004" w14:textId="77777777" w:rsidR="00272C61" w:rsidRPr="009E064B" w:rsidRDefault="00272C61"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niezwykła turbulencja.</w:t>
      </w:r>
    </w:p>
    <w:p w14:paraId="5ED27816" w14:textId="77777777" w:rsidR="00272C61" w:rsidRPr="009E064B" w:rsidRDefault="00272C6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Obecność innych pomocy wzrokowych i niewzrokowych stanowi bardzo istotny czynnik. Drogi startowe w system ILS lub MLS zwykle otrzymują najniższy priorytet, jeżeli chodzi o zainstalowanie systemu wzrokowych wskaźników ścieżki podejścia. Należy jednak pamiętać, że systemy wzrokowych wskaźników ścieżki podejścia są wzrokowymi pomocami podejścia do lądowania i mogą stanowić uzupełnienie dla pomocy elektronicznych. Jeżeli występują poważne zagrożenia i/lub znaczna ilość samolotów niewyposażona w system ILS lub MLS korzysta z drogi startowej, priorytet może otrzymać instalacja wzrokowego wskaźnika ścieżki podejścia na tej drodze startowej.</w:t>
      </w:r>
    </w:p>
    <w:p w14:paraId="4B55CDB7" w14:textId="77777777" w:rsidR="00272C61" w:rsidRPr="009E064B" w:rsidRDefault="00272C6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Priorytet mogą otrzymać drogi startowe wykorzystywane przez samoloty turboodrzutowe.</w:t>
      </w:r>
    </w:p>
    <w:p w14:paraId="35C1CAA2" w14:textId="7FF23639" w:rsidR="0015379E" w:rsidRPr="009E064B" w:rsidRDefault="00272C6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 xml:space="preserve">Jeżeli próg drogi startowej jest tymczasowo przesunięty od swojej normalnej lokalizacji i jeżeli występuje jeden lub więcej warunków, o których mowa w </w:t>
      </w:r>
      <w:r w:rsidR="00135920" w:rsidRPr="009E064B">
        <w:rPr>
          <w:szCs w:val="20"/>
        </w:rPr>
        <w:t>lit. </w:t>
      </w:r>
      <w:r w:rsidRPr="009E064B">
        <w:rPr>
          <w:szCs w:val="20"/>
        </w:rPr>
        <w:t>(a) powyżej, należy zapewnić system PAPI, za wyjątkiem kiedy numer kodu to 1 lub 2, można zapewnić system APAPI.</w:t>
      </w:r>
    </w:p>
    <w:p w14:paraId="0A69DE04" w14:textId="77777777" w:rsidR="0015379E" w:rsidRPr="009E064B" w:rsidRDefault="0015379E">
      <w:pPr>
        <w:spacing w:after="0"/>
        <w:jc w:val="left"/>
        <w:rPr>
          <w:szCs w:val="20"/>
        </w:rPr>
      </w:pPr>
      <w:r w:rsidRPr="009E064B">
        <w:rPr>
          <w:szCs w:val="20"/>
        </w:rPr>
        <w:br w:type="page"/>
      </w:r>
    </w:p>
    <w:p w14:paraId="78E9C3BE" w14:textId="369A673F" w:rsidR="00C36D76" w:rsidRPr="009E064B" w:rsidRDefault="00C55E4D" w:rsidP="00C55E4D">
      <w:pPr>
        <w:pStyle w:val="Nagwek4"/>
        <w:tabs>
          <w:tab w:val="clear" w:pos="2694"/>
          <w:tab w:val="left" w:pos="2552"/>
        </w:tabs>
        <w:ind w:left="2552" w:hanging="2552"/>
        <w:rPr>
          <w:color w:val="auto"/>
        </w:rPr>
      </w:pPr>
      <w:bookmarkStart w:id="1493" w:name="_CS_ADR-DSN.M.645_"/>
      <w:bookmarkStart w:id="1494" w:name="_Toc482886673"/>
      <w:bookmarkStart w:id="1495" w:name="_Toc12533185"/>
      <w:bookmarkEnd w:id="1493"/>
      <w:r w:rsidRPr="009E064B">
        <w:rPr>
          <w:color w:val="auto"/>
        </w:rPr>
        <w:t xml:space="preserve">CS ADR-DSN.M.645     </w:t>
      </w:r>
      <w:r w:rsidR="00C36D76" w:rsidRPr="009E064B">
        <w:rPr>
          <w:color w:val="auto"/>
        </w:rPr>
        <w:t>Precyzyjny wskaźnik ścieżki podejścia</w:t>
      </w:r>
      <w:r w:rsidRPr="009E064B">
        <w:rPr>
          <w:color w:val="auto"/>
        </w:rPr>
        <w:t xml:space="preserve"> (PAPI)</w:t>
      </w:r>
      <w:r w:rsidR="00C36D76" w:rsidRPr="009E064B">
        <w:rPr>
          <w:color w:val="auto"/>
        </w:rPr>
        <w:t xml:space="preserve"> oraz skrócony precyzyjny wskaźnik ścieżki podejścia (APAPI)</w:t>
      </w:r>
      <w:bookmarkEnd w:id="1494"/>
      <w:bookmarkEnd w:id="1495"/>
    </w:p>
    <w:p w14:paraId="734B5452" w14:textId="60A35B67" w:rsidR="00C55E4D" w:rsidRPr="009E064B" w:rsidRDefault="00D63D4F" w:rsidP="00C55E4D">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B0756D2" w14:textId="30BD20E4"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 xml:space="preserve">System PAPI lub APAPI powinien być zgodny ze specyfikacjami określonymi w </w:t>
      </w:r>
      <w:r w:rsidR="00135920" w:rsidRPr="009E064B">
        <w:rPr>
          <w:szCs w:val="20"/>
        </w:rPr>
        <w:t xml:space="preserve">specyfikacjach </w:t>
      </w:r>
      <w:r w:rsidRPr="009E064B">
        <w:rPr>
          <w:szCs w:val="20"/>
        </w:rPr>
        <w:t xml:space="preserve">od </w:t>
      </w:r>
      <w:hyperlink w:anchor="_CS_ADR-DSN.M.645_" w:history="1">
        <w:r w:rsidRPr="009E064B">
          <w:rPr>
            <w:rStyle w:val="Hipercze"/>
            <w:szCs w:val="20"/>
          </w:rPr>
          <w:t>CS ADR-DSN.M.645</w:t>
        </w:r>
      </w:hyperlink>
      <w:r w:rsidR="005318E8" w:rsidRPr="009E064B">
        <w:rPr>
          <w:szCs w:val="20"/>
        </w:rPr>
        <w:t xml:space="preserve"> do </w:t>
      </w:r>
      <w:hyperlink w:anchor="_CS_ADR-DSN.M.655_" w:history="1">
        <w:r w:rsidR="005318E8" w:rsidRPr="009E064B">
          <w:rPr>
            <w:rStyle w:val="Hipercze"/>
            <w:szCs w:val="20"/>
          </w:rPr>
          <w:t>CS </w:t>
        </w:r>
        <w:r w:rsidRPr="009E064B">
          <w:rPr>
            <w:rStyle w:val="Hipercze"/>
            <w:szCs w:val="20"/>
          </w:rPr>
          <w:t>ADR-DSN.M.655</w:t>
        </w:r>
      </w:hyperlink>
      <w:r w:rsidRPr="009E064B">
        <w:rPr>
          <w:szCs w:val="20"/>
        </w:rPr>
        <w:t>.</w:t>
      </w:r>
    </w:p>
    <w:p w14:paraId="239A8770"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Definicja i lokalizacja:</w:t>
      </w:r>
    </w:p>
    <w:p w14:paraId="7A4AA2A9" w14:textId="77777777" w:rsidR="00C36D76" w:rsidRPr="009E064B" w:rsidRDefault="00C36D76" w:rsidP="00B06A9A">
      <w:pPr>
        <w:tabs>
          <w:tab w:val="left" w:pos="1134"/>
        </w:tabs>
        <w:ind w:left="1134" w:hanging="567"/>
        <w:rPr>
          <w:szCs w:val="20"/>
        </w:rPr>
      </w:pPr>
      <w:r w:rsidRPr="009E064B">
        <w:rPr>
          <w:szCs w:val="20"/>
        </w:rPr>
        <w:t>(1)</w:t>
      </w:r>
      <w:r w:rsidRPr="009E064B">
        <w:rPr>
          <w:szCs w:val="20"/>
        </w:rPr>
        <w:tab/>
        <w:t>System PAPI powinien składać się z poprzeczki skrzydłowej, złożonej z czterech wielo-lampowych (lub pogrupowanych w pary pojedynczych lamp) jednostek świetlnych, równomiernie rozmieszczonych, zapewniających ostre przejście pomiędzy sygnałami. System APAPI powinien składać się z poprzeczki skrzydłowej, złożonej z dwóch wielo-lampowych (lub pogrupowanych w pary pojedynczych lamp) jednostek świetlnych, zapewniających ostre przejście pomiędzy sygnałami. System PAPI i APAPI powinien być zlokalizowany po lewej stronie drogi startowej, chyba, że jest to fizycznie niewykonalne. Jeżeli droga startowa jest wykorzystywana przez statki powietrzne, które wymagają wzrokowego prowadzenia zapobiegającego przechyłowi, którego nie zapewniają inne środki zewnętrzne, to z drugiej strony drogi startowej można zainstalować drugą poprzeczkę skrzydłową dla PAPI lub APAPI</w:t>
      </w:r>
    </w:p>
    <w:p w14:paraId="1C4F1878"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Poprzeczka skrzydłowa systemu PAPI powinna być zbudowana i ustawiona w taki sposób, aby pilot w czasie podejście do lądowania:</w:t>
      </w:r>
    </w:p>
    <w:p w14:paraId="216A7CCD"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będąc na ścieżce lub blisko ścieżki podejścia, widział dwie jednostki świetlne znajdujące się bliżej drogi startowej, jako czerwone oraz dwie jednostki świetlne znajdujące się dalej od drogi startowej, jako białe;</w:t>
      </w:r>
    </w:p>
    <w:p w14:paraId="0D4289B6"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będąc powyżej ścieżki podejścia, widział jedną jednostkę świetlną najbliższą drogi startowej, jako czerwoną oraz trzy jednostki położone dalej, jako białe; a będąc jeszcze wyżej, widział wszystkie jednostki, jako białe; oraz</w:t>
      </w:r>
    </w:p>
    <w:p w14:paraId="4CA9B84C"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będąc poniżej ścieżki podejścia, widział trzy jednostki świetlne położone najbliżej drogi startowej, jako czerwone oraz jedną jednostkę świetlną znajdującą się najdalej od drogi startowej, jako białą; a będąc jeszcze niżej, widział wszystkie jednostki świetlne, jako czerwone.</w:t>
      </w:r>
    </w:p>
    <w:p w14:paraId="261029C2"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Poprzeczka skrzydłowa systemu APAPI powinna być zbudowana i ustawiona w taki sposób, aby pilot w czasie podejście do lądowania:</w:t>
      </w:r>
    </w:p>
    <w:p w14:paraId="551EAB67"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będąc na ścieżce lub blisko ścieżki podejścia, widział jednostkę świetlną znajdującą się bliżej drogi startowej, jako czerwoną oraz jednostkę świetlną położoną dalej od drogi startowej, jako białą;</w:t>
      </w:r>
    </w:p>
    <w:p w14:paraId="14A2638A"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będąc powyżej ścieżki podejścia, widział obie jednostki świetlne, jako białe; oraz</w:t>
      </w:r>
    </w:p>
    <w:p w14:paraId="34D165CC"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będąc poniżej ścieżki podejścia, widział obie jednostki świetlne, jako czerwone.</w:t>
      </w:r>
    </w:p>
    <w:p w14:paraId="603B1395" w14:textId="77777777" w:rsidR="00C36D76" w:rsidRPr="009E064B" w:rsidRDefault="00C36D76" w:rsidP="00B06A9A">
      <w:pPr>
        <w:tabs>
          <w:tab w:val="left" w:pos="1134"/>
        </w:tabs>
        <w:ind w:left="1134" w:hanging="567"/>
        <w:rPr>
          <w:szCs w:val="20"/>
        </w:rPr>
      </w:pPr>
      <w:r w:rsidRPr="009E064B">
        <w:rPr>
          <w:rFonts w:cs="Times New Roman"/>
          <w:szCs w:val="20"/>
        </w:rPr>
        <w:t>(4)</w:t>
      </w:r>
      <w:r w:rsidRPr="009E064B">
        <w:rPr>
          <w:rFonts w:cs="Times New Roman"/>
          <w:szCs w:val="20"/>
        </w:rPr>
        <w:tab/>
      </w:r>
      <w:r w:rsidRPr="009E064B">
        <w:rPr>
          <w:szCs w:val="20"/>
        </w:rPr>
        <w:t>Jednostki świetlne powinny być zlokalizowane tak, jak w prostej konfiguracji pokazanej na Rysunku M-4, z uwzględnieniem podanych poniżej tolerancji instalowania. Jednostki świetlne stanowiące poprzeczkę skrzydłową powinny być montowane w taki sposób, aby dla pilota, samolotu wykonującego podejście do lądowania, były wyraźnie w jednej poziomej linii. Jednostki świetlne powinny być instalowane możliwie jak najniżej, i powinny być łamliwe.</w:t>
      </w:r>
    </w:p>
    <w:p w14:paraId="556B181D"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Charakterystyka:</w:t>
      </w:r>
    </w:p>
    <w:p w14:paraId="0888FA56" w14:textId="77777777" w:rsidR="00C36D76" w:rsidRPr="009E064B" w:rsidRDefault="00C36D76" w:rsidP="00B06A9A">
      <w:pPr>
        <w:tabs>
          <w:tab w:val="left" w:pos="1134"/>
        </w:tabs>
        <w:ind w:left="1134" w:hanging="567"/>
        <w:rPr>
          <w:szCs w:val="20"/>
        </w:rPr>
      </w:pPr>
      <w:r w:rsidRPr="009E064B">
        <w:rPr>
          <w:szCs w:val="20"/>
        </w:rPr>
        <w:t xml:space="preserve">(1) </w:t>
      </w:r>
      <w:r w:rsidRPr="009E064B">
        <w:rPr>
          <w:szCs w:val="20"/>
        </w:rPr>
        <w:tab/>
        <w:t>System powinien być użyteczny zarówno w przypadku operacji w dzień jak i w nocy.</w:t>
      </w:r>
    </w:p>
    <w:p w14:paraId="09F87B01" w14:textId="77777777" w:rsidR="00C36D76" w:rsidRPr="009E064B" w:rsidRDefault="00C36D76" w:rsidP="00B06A9A">
      <w:pPr>
        <w:tabs>
          <w:tab w:val="left" w:pos="1134"/>
        </w:tabs>
        <w:ind w:left="1134" w:hanging="567"/>
        <w:rPr>
          <w:szCs w:val="20"/>
        </w:rPr>
      </w:pPr>
      <w:r w:rsidRPr="009E064B">
        <w:rPr>
          <w:szCs w:val="20"/>
        </w:rPr>
        <w:t xml:space="preserve">(2) </w:t>
      </w:r>
      <w:r w:rsidRPr="009E064B">
        <w:rPr>
          <w:szCs w:val="20"/>
        </w:rPr>
        <w:tab/>
        <w:t>Kolor:</w:t>
      </w:r>
    </w:p>
    <w:p w14:paraId="1C938CF6" w14:textId="77777777" w:rsidR="00C36D76" w:rsidRPr="009E064B" w:rsidRDefault="00C36D76" w:rsidP="00B06A9A">
      <w:pPr>
        <w:tabs>
          <w:tab w:val="left" w:pos="1701"/>
        </w:tabs>
        <w:ind w:left="1701" w:hanging="567"/>
        <w:rPr>
          <w:szCs w:val="20"/>
        </w:rPr>
      </w:pPr>
      <w:r w:rsidRPr="009E064B">
        <w:rPr>
          <w:szCs w:val="20"/>
        </w:rPr>
        <w:t xml:space="preserve">(i) </w:t>
      </w:r>
      <w:r w:rsidRPr="009E064B">
        <w:rPr>
          <w:szCs w:val="20"/>
        </w:rPr>
        <w:tab/>
        <w:t>Przejście kolorów z czerwonego w biały w płaszczyźnie pionowej powinno być takie, aby obserwator widział je w odległości nie mniejszej niż 300 m i w płaszczyźnie pionowej pod kątem nie większym niż 3'.</w:t>
      </w:r>
    </w:p>
    <w:p w14:paraId="63938AAA" w14:textId="6905AFB9" w:rsidR="00C36D76" w:rsidRPr="009E064B" w:rsidRDefault="00C36D76" w:rsidP="00B06A9A">
      <w:pPr>
        <w:tabs>
          <w:tab w:val="left" w:pos="1701"/>
        </w:tabs>
        <w:ind w:left="1701" w:hanging="567"/>
        <w:rPr>
          <w:szCs w:val="20"/>
        </w:rPr>
      </w:pPr>
      <w:r w:rsidRPr="009E064B">
        <w:rPr>
          <w:szCs w:val="20"/>
        </w:rPr>
        <w:t xml:space="preserve">(ii) </w:t>
      </w:r>
      <w:r w:rsidRPr="009E064B">
        <w:rPr>
          <w:szCs w:val="20"/>
        </w:rPr>
        <w:tab/>
        <w:t xml:space="preserve">Przy pełnej intensywności, chromatyczność jednostek świetnych powinna być zgodna ze </w:t>
      </w:r>
      <w:r w:rsidR="005318E8" w:rsidRPr="009E064B">
        <w:rPr>
          <w:szCs w:val="20"/>
        </w:rPr>
        <w:t xml:space="preserve">specyfikacjami określonymi w </w:t>
      </w:r>
      <w:hyperlink w:anchor="_CS_ADR-DSN.U.930_" w:history="1">
        <w:r w:rsidR="005318E8" w:rsidRPr="009E064B">
          <w:rPr>
            <w:rStyle w:val="Hipercze"/>
            <w:szCs w:val="20"/>
          </w:rPr>
          <w:t>CS </w:t>
        </w:r>
        <w:r w:rsidRPr="009E064B">
          <w:rPr>
            <w:rStyle w:val="Hipercze"/>
            <w:szCs w:val="20"/>
          </w:rPr>
          <w:t>AD</w:t>
        </w:r>
        <w:r w:rsidR="00B3568C" w:rsidRPr="009E064B">
          <w:rPr>
            <w:rStyle w:val="Hipercze"/>
            <w:szCs w:val="20"/>
          </w:rPr>
          <w:t>R-DSN.U.930</w:t>
        </w:r>
      </w:hyperlink>
      <w:r w:rsidR="00B3568C" w:rsidRPr="009E064B">
        <w:rPr>
          <w:szCs w:val="20"/>
        </w:rPr>
        <w:t xml:space="preserve"> i </w:t>
      </w:r>
      <w:r w:rsidR="00C63253" w:rsidRPr="0021406A">
        <w:rPr>
          <w:szCs w:val="20"/>
        </w:rPr>
        <w:t>odpowiednio z</w:t>
      </w:r>
      <w:r w:rsidR="0018581F" w:rsidRPr="0021406A">
        <w:rPr>
          <w:szCs w:val="20"/>
        </w:rPr>
        <w:t> </w:t>
      </w:r>
      <w:r w:rsidR="00B3568C" w:rsidRPr="0021406A">
        <w:rPr>
          <w:szCs w:val="20"/>
        </w:rPr>
        <w:t>Rysunk</w:t>
      </w:r>
      <w:r w:rsidR="00C63253" w:rsidRPr="0021406A">
        <w:rPr>
          <w:szCs w:val="20"/>
        </w:rPr>
        <w:t>iem</w:t>
      </w:r>
      <w:r w:rsidR="00B3568C" w:rsidRPr="0021406A">
        <w:rPr>
          <w:szCs w:val="20"/>
        </w:rPr>
        <w:t xml:space="preserve"> U-1</w:t>
      </w:r>
      <w:r w:rsidR="00C63253" w:rsidRPr="0021406A">
        <w:rPr>
          <w:szCs w:val="20"/>
        </w:rPr>
        <w:t>A lub U-1B</w:t>
      </w:r>
      <w:r w:rsidR="00992CD3" w:rsidRPr="0021406A">
        <w:rPr>
          <w:szCs w:val="20"/>
        </w:rPr>
        <w:t xml:space="preserve">, a </w:t>
      </w:r>
      <w:r w:rsidRPr="0021406A">
        <w:rPr>
          <w:szCs w:val="20"/>
        </w:rPr>
        <w:t>światło cze</w:t>
      </w:r>
      <w:r w:rsidR="0018581F" w:rsidRPr="0021406A">
        <w:rPr>
          <w:szCs w:val="20"/>
        </w:rPr>
        <w:t>rwone, powinno mieć współrzędną </w:t>
      </w:r>
      <w:r w:rsidRPr="009E064B">
        <w:rPr>
          <w:szCs w:val="20"/>
        </w:rPr>
        <w:t>Y nieprzekraczającą wartości</w:t>
      </w:r>
      <w:r w:rsidR="0018581F" w:rsidRPr="009E064B">
        <w:rPr>
          <w:szCs w:val="20"/>
        </w:rPr>
        <w:t xml:space="preserve"> </w:t>
      </w:r>
      <w:r w:rsidRPr="009E064B">
        <w:rPr>
          <w:szCs w:val="20"/>
        </w:rPr>
        <w:t>0.320.</w:t>
      </w:r>
    </w:p>
    <w:p w14:paraId="09B00197" w14:textId="77777777" w:rsidR="0015379E" w:rsidRPr="009E064B" w:rsidRDefault="0015379E" w:rsidP="0015379E">
      <w:pPr>
        <w:ind w:left="425" w:right="-6" w:hanging="425"/>
        <w:jc w:val="left"/>
        <w:rPr>
          <w:szCs w:val="20"/>
        </w:rPr>
      </w:pPr>
      <w:r w:rsidRPr="009E064B">
        <w:rPr>
          <w:szCs w:val="20"/>
        </w:rPr>
        <w:t xml:space="preserve">(3) </w:t>
      </w:r>
      <w:r w:rsidRPr="009E064B">
        <w:rPr>
          <w:szCs w:val="20"/>
        </w:rPr>
        <w:tab/>
        <w:t>Intensywność:</w:t>
      </w:r>
    </w:p>
    <w:p w14:paraId="4039BA9F" w14:textId="7222BFC9" w:rsidR="0015379E" w:rsidRPr="009E064B" w:rsidRDefault="0015379E" w:rsidP="0015379E">
      <w:pPr>
        <w:tabs>
          <w:tab w:val="left" w:pos="1701"/>
        </w:tabs>
        <w:ind w:left="1701" w:hanging="567"/>
        <w:rPr>
          <w:szCs w:val="20"/>
        </w:rPr>
      </w:pPr>
      <w:r w:rsidRPr="009E064B">
        <w:rPr>
          <w:szCs w:val="20"/>
        </w:rPr>
        <w:t xml:space="preserve">(i) </w:t>
      </w:r>
      <w:r w:rsidRPr="009E064B">
        <w:rPr>
          <w:szCs w:val="20"/>
        </w:rPr>
        <w:tab/>
        <w:t xml:space="preserve">Rozkład intensywności światła emitowanego przez jednostki świetlne powinien być taki jak przedstawiono w </w:t>
      </w:r>
      <w:hyperlink w:anchor="_CS_ADR-DSN.U.940_" w:history="1">
        <w:r w:rsidRPr="009E064B">
          <w:rPr>
            <w:rStyle w:val="Hipercze"/>
            <w:szCs w:val="20"/>
          </w:rPr>
          <w:t>CS ADR-DSN.U.940</w:t>
        </w:r>
      </w:hyperlink>
      <w:r w:rsidRPr="009E064B">
        <w:rPr>
          <w:szCs w:val="20"/>
        </w:rPr>
        <w:t>, Rysunek U-26.</w:t>
      </w:r>
    </w:p>
    <w:p w14:paraId="01B94B85" w14:textId="77777777" w:rsidR="0015379E" w:rsidRPr="009E064B" w:rsidRDefault="0015379E" w:rsidP="0015379E">
      <w:pPr>
        <w:tabs>
          <w:tab w:val="left" w:pos="1701"/>
        </w:tabs>
        <w:ind w:left="1701" w:hanging="567"/>
        <w:rPr>
          <w:szCs w:val="20"/>
        </w:rPr>
      </w:pPr>
      <w:r w:rsidRPr="009E064B">
        <w:rPr>
          <w:szCs w:val="20"/>
        </w:rPr>
        <w:t xml:space="preserve">(ii) </w:t>
      </w:r>
      <w:r w:rsidRPr="009E064B">
        <w:rPr>
          <w:szCs w:val="20"/>
        </w:rPr>
        <w:tab/>
        <w:t>W celu umożliwienia dostosowania intensywności jednostek świetlnych do otaczających warunków i zapobiegania oślepianiu pilotów w trakcie podejścia oraz lądowania, system powinien posiadać możliwość regulacji intensywności.</w:t>
      </w:r>
    </w:p>
    <w:p w14:paraId="3C92D40E" w14:textId="77777777" w:rsidR="0015379E" w:rsidRPr="009E064B" w:rsidRDefault="0015379E" w:rsidP="0015379E">
      <w:pPr>
        <w:tabs>
          <w:tab w:val="left" w:pos="1134"/>
        </w:tabs>
        <w:ind w:left="1134" w:hanging="567"/>
        <w:rPr>
          <w:szCs w:val="20"/>
        </w:rPr>
      </w:pPr>
      <w:r w:rsidRPr="009E064B">
        <w:rPr>
          <w:szCs w:val="20"/>
        </w:rPr>
        <w:t xml:space="preserve">(4) </w:t>
      </w:r>
      <w:r w:rsidRPr="009E064B">
        <w:rPr>
          <w:szCs w:val="20"/>
        </w:rPr>
        <w:tab/>
        <w:t>Orientacja światła: Każda jednostka świetlna powinna mieć możliwość regulacji w płaszczyźnie pionowej w taki sposób, aby dolna granica sektora białej wiązki światła mogła być ustawiona pod kątem zawartym pomiędzy 1°30' i co najmniej 4°30' ponad płaszczyznę poziomą.</w:t>
      </w:r>
    </w:p>
    <w:p w14:paraId="67DDF367" w14:textId="77777777" w:rsidR="0015379E" w:rsidRPr="009E064B" w:rsidRDefault="0015379E" w:rsidP="0015379E">
      <w:pPr>
        <w:tabs>
          <w:tab w:val="left" w:pos="1134"/>
        </w:tabs>
        <w:ind w:left="1134" w:hanging="567"/>
        <w:rPr>
          <w:szCs w:val="20"/>
        </w:rPr>
      </w:pPr>
      <w:r w:rsidRPr="009E064B">
        <w:rPr>
          <w:szCs w:val="20"/>
        </w:rPr>
        <w:t xml:space="preserve">(5) </w:t>
      </w:r>
      <w:r w:rsidRPr="009E064B">
        <w:rPr>
          <w:szCs w:val="20"/>
        </w:rPr>
        <w:tab/>
        <w:t>Inne charakterystyki: Jednostki świetlne powinny być zbudowane w taki sposób, aby skraplająca się para, śnieg, lód, brud lub inne zanieczyszczenia mogące gromadzić się na układzie optycznym lub na powierzchniach odblaskowych zakłócały wysyłanie sygnałów świetlnych w możliwie najmniejszym stopniu, oraz aby nie wpływały, na jakość kontrastu między sygnałami świetlnymi czerwonym i białym, ani na wysokość sektora przejściowego.</w:t>
      </w:r>
    </w:p>
    <w:p w14:paraId="403382D4" w14:textId="77777777" w:rsidR="005318E8" w:rsidRPr="009E064B" w:rsidRDefault="005318E8">
      <w:pPr>
        <w:spacing w:after="0"/>
        <w:jc w:val="left"/>
        <w:rPr>
          <w:szCs w:val="20"/>
        </w:rPr>
      </w:pPr>
      <w:r w:rsidRPr="009E064B">
        <w:rPr>
          <w:szCs w:val="20"/>
        </w:rPr>
        <w:br w:type="page"/>
      </w:r>
    </w:p>
    <w:p w14:paraId="3B3D6EE3" w14:textId="77777777" w:rsidR="005318E8" w:rsidRPr="009E064B" w:rsidRDefault="005318E8" w:rsidP="00B06A9A">
      <w:pPr>
        <w:tabs>
          <w:tab w:val="left" w:pos="-142"/>
        </w:tabs>
        <w:spacing w:after="0"/>
        <w:jc w:val="center"/>
        <w:rPr>
          <w:szCs w:val="20"/>
        </w:rPr>
      </w:pPr>
    </w:p>
    <w:p w14:paraId="3FD798B0" w14:textId="773CADD0" w:rsidR="005318E8" w:rsidRPr="009E064B" w:rsidRDefault="005318E8" w:rsidP="00B06A9A">
      <w:pPr>
        <w:tabs>
          <w:tab w:val="left" w:pos="-142"/>
        </w:tabs>
        <w:spacing w:after="0"/>
        <w:jc w:val="center"/>
        <w:rPr>
          <w:szCs w:val="20"/>
        </w:rPr>
      </w:pPr>
      <w:r w:rsidRPr="009E064B">
        <w:rPr>
          <w:noProof/>
          <w:lang w:eastAsia="pl-PL"/>
        </w:rPr>
        <w:drawing>
          <wp:inline distT="0" distB="0" distL="0" distR="0" wp14:anchorId="00117A1B" wp14:editId="5762285E">
            <wp:extent cx="5760720" cy="7812784"/>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60720" cy="7812784"/>
                    </a:xfrm>
                    <a:prstGeom prst="rect">
                      <a:avLst/>
                    </a:prstGeom>
                    <a:noFill/>
                    <a:ln>
                      <a:noFill/>
                    </a:ln>
                  </pic:spPr>
                </pic:pic>
              </a:graphicData>
            </a:graphic>
          </wp:inline>
        </w:drawing>
      </w:r>
    </w:p>
    <w:p w14:paraId="6BC3CC84" w14:textId="63E0BDA0" w:rsidR="00C36D76" w:rsidRPr="0021406A" w:rsidRDefault="00C36D76" w:rsidP="005339C0">
      <w:pPr>
        <w:tabs>
          <w:tab w:val="left" w:pos="-142"/>
        </w:tabs>
        <w:spacing w:before="120" w:after="0"/>
        <w:jc w:val="center"/>
        <w:rPr>
          <w:b/>
          <w:szCs w:val="20"/>
        </w:rPr>
      </w:pPr>
      <w:r w:rsidRPr="0021406A">
        <w:rPr>
          <w:b/>
          <w:sz w:val="20"/>
          <w:szCs w:val="20"/>
        </w:rPr>
        <w:t>Rysunek M-4.  Ustawienie PAPI i APAPI</w:t>
      </w:r>
    </w:p>
    <w:p w14:paraId="703E426A" w14:textId="5F17FED3" w:rsidR="0015379E"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16F0E10" w14:textId="77777777" w:rsidR="005339C0" w:rsidRPr="009E064B" w:rsidRDefault="005339C0" w:rsidP="007E29F7">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66E69AC7" w14:textId="68C40C3B" w:rsidR="00272C61" w:rsidRPr="009E064B" w:rsidRDefault="00272C61" w:rsidP="00133B99">
      <w:pPr>
        <w:pStyle w:val="Nagwek6"/>
      </w:pPr>
      <w:bookmarkStart w:id="1496" w:name="_Toc401059031"/>
      <w:bookmarkStart w:id="1497" w:name="_Toc482886897"/>
      <w:bookmarkStart w:id="1498" w:name="_Toc12533186"/>
      <w:r w:rsidRPr="009E064B">
        <w:t xml:space="preserve">GM1 ADR-DSN.M.645 </w:t>
      </w:r>
      <w:bookmarkEnd w:id="1496"/>
      <w:r w:rsidR="00C55E4D" w:rsidRPr="009E064B">
        <w:t xml:space="preserve">    </w:t>
      </w:r>
      <w:r w:rsidRPr="009E064B">
        <w:t xml:space="preserve">Precyzyjny wskaźnik ścieżki podejścia </w:t>
      </w:r>
      <w:r w:rsidR="00C55E4D" w:rsidRPr="009E064B">
        <w:t xml:space="preserve">(PAPI) </w:t>
      </w:r>
      <w:r w:rsidRPr="009E064B">
        <w:t>oraz skrócony precyzyjny wskaźnik ścieżki podejścia (APAPI)</w:t>
      </w:r>
      <w:bookmarkEnd w:id="1497"/>
      <w:bookmarkEnd w:id="1498"/>
    </w:p>
    <w:p w14:paraId="1BA8B0E3" w14:textId="6ABD464E" w:rsidR="00C55E4D" w:rsidRPr="009E064B" w:rsidRDefault="00D63D4F" w:rsidP="00C55E4D">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7CCC2FF" w14:textId="2663C4EB" w:rsidR="00272C61" w:rsidRPr="009E064B" w:rsidRDefault="00272C61" w:rsidP="00B06A9A">
      <w:r w:rsidRPr="009E064B">
        <w:t>Celowo pozostawiono puste.</w:t>
      </w:r>
    </w:p>
    <w:p w14:paraId="45619065" w14:textId="77777777" w:rsidR="00272C61" w:rsidRPr="009E064B" w:rsidRDefault="00272C61"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45F0000" w14:textId="0FD54E4A" w:rsidR="00C36D76" w:rsidRPr="009E064B" w:rsidRDefault="00C55E4D" w:rsidP="00C55E4D">
      <w:pPr>
        <w:pStyle w:val="Nagwek4"/>
        <w:tabs>
          <w:tab w:val="clear" w:pos="2694"/>
          <w:tab w:val="left" w:pos="2552"/>
        </w:tabs>
        <w:ind w:left="2552" w:hanging="2552"/>
        <w:rPr>
          <w:color w:val="auto"/>
        </w:rPr>
      </w:pPr>
      <w:bookmarkStart w:id="1499" w:name="_CS_ADR-DSN.M.650_"/>
      <w:bookmarkStart w:id="1500" w:name="_Toc482886674"/>
      <w:bookmarkStart w:id="1501" w:name="_Toc12533187"/>
      <w:bookmarkEnd w:id="1499"/>
      <w:r w:rsidRPr="009E064B">
        <w:rPr>
          <w:color w:val="auto"/>
        </w:rPr>
        <w:t xml:space="preserve">CS ADR-DSN.M.650     </w:t>
      </w:r>
      <w:r w:rsidR="00C36D76" w:rsidRPr="009E064B">
        <w:rPr>
          <w:color w:val="auto"/>
        </w:rPr>
        <w:t>Nachylenie podejścia oraz ustawienie elewacji jednostek świetlnych dla PAPI i APAPI</w:t>
      </w:r>
      <w:bookmarkEnd w:id="1500"/>
      <w:bookmarkEnd w:id="1501"/>
    </w:p>
    <w:p w14:paraId="7C1427F6" w14:textId="668D57EB" w:rsidR="00C55E4D" w:rsidRPr="009E064B" w:rsidRDefault="00D63D4F" w:rsidP="00C55E4D">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B8FE874" w14:textId="2EE3A933"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Nachylenie podejścia:</w:t>
      </w:r>
    </w:p>
    <w:p w14:paraId="2AD5658F" w14:textId="49FBED2F" w:rsidR="00C36D76" w:rsidRPr="009E064B" w:rsidRDefault="00C36D76" w:rsidP="00B06A9A">
      <w:pPr>
        <w:tabs>
          <w:tab w:val="left" w:pos="1134"/>
        </w:tabs>
        <w:ind w:left="1134" w:hanging="567"/>
        <w:rPr>
          <w:szCs w:val="20"/>
        </w:rPr>
      </w:pPr>
      <w:r w:rsidRPr="009E064B">
        <w:rPr>
          <w:szCs w:val="20"/>
        </w:rPr>
        <w:t xml:space="preserve">(1) </w:t>
      </w:r>
      <w:r w:rsidRPr="009E064B">
        <w:rPr>
          <w:szCs w:val="20"/>
        </w:rPr>
        <w:tab/>
        <w:t>Nachylenie pode</w:t>
      </w:r>
      <w:r w:rsidR="00637111" w:rsidRPr="009E064B">
        <w:rPr>
          <w:szCs w:val="20"/>
        </w:rPr>
        <w:t>jścia, jak określono na Rysun</w:t>
      </w:r>
      <w:r w:rsidR="003D0C40" w:rsidRPr="009E064B">
        <w:rPr>
          <w:szCs w:val="20"/>
        </w:rPr>
        <w:t>e</w:t>
      </w:r>
      <w:r w:rsidR="00637111" w:rsidRPr="009E064B">
        <w:rPr>
          <w:szCs w:val="20"/>
        </w:rPr>
        <w:t xml:space="preserve">k </w:t>
      </w:r>
      <w:r w:rsidRPr="009E064B">
        <w:rPr>
          <w:szCs w:val="20"/>
        </w:rPr>
        <w:t>M-5, powinno być tak zaprojektowane, aby było odpowiednie dla samolotów wykonujących podejście do lądowania.</w:t>
      </w:r>
    </w:p>
    <w:p w14:paraId="57A5FA5C" w14:textId="785A6F8E" w:rsidR="00C36D76" w:rsidRPr="009E064B" w:rsidRDefault="00C36D76" w:rsidP="00B06A9A">
      <w:pPr>
        <w:tabs>
          <w:tab w:val="left" w:pos="1134"/>
        </w:tabs>
        <w:ind w:left="1134" w:hanging="567"/>
        <w:rPr>
          <w:szCs w:val="20"/>
        </w:rPr>
      </w:pPr>
      <w:r w:rsidRPr="009E064B">
        <w:rPr>
          <w:szCs w:val="20"/>
        </w:rPr>
        <w:t xml:space="preserve">(2) </w:t>
      </w:r>
      <w:r w:rsidRPr="009E064B">
        <w:rPr>
          <w:szCs w:val="20"/>
        </w:rPr>
        <w:tab/>
        <w:t>Jeżeli droga startowa jest wyposażona w ILS i/lub MLS, to ustawienie i kąt elewacji jednostek świetlnych powinno być takie, aby wzrokowe nachylenie podejścia było zgodne, tak dokładnie, jak to możliwe, odpowiednio, ze ścieżką schodzenia ILS i/lub z</w:t>
      </w:r>
      <w:r w:rsidR="00135920" w:rsidRPr="009E064B">
        <w:rPr>
          <w:szCs w:val="20"/>
        </w:rPr>
        <w:t> </w:t>
      </w:r>
      <w:r w:rsidRPr="009E064B">
        <w:rPr>
          <w:szCs w:val="20"/>
        </w:rPr>
        <w:t>minimalną ścieżką schodzenia MLS.</w:t>
      </w:r>
    </w:p>
    <w:p w14:paraId="15828C57"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(b) </w:t>
      </w:r>
      <w:r w:rsidRPr="009E064B">
        <w:rPr>
          <w:rFonts w:cs="Times New Roman"/>
          <w:szCs w:val="20"/>
        </w:rPr>
        <w:tab/>
        <w:t>Ustawienie elewacji jednostek świetlnych:</w:t>
      </w:r>
    </w:p>
    <w:p w14:paraId="4C4EB52E" w14:textId="0B0642E7" w:rsidR="00C36D76" w:rsidRPr="009E064B" w:rsidRDefault="00C36D76" w:rsidP="00B06A9A">
      <w:pPr>
        <w:tabs>
          <w:tab w:val="left" w:pos="1134"/>
        </w:tabs>
        <w:ind w:left="1134" w:hanging="567"/>
        <w:rPr>
          <w:szCs w:val="20"/>
        </w:rPr>
      </w:pPr>
      <w:r w:rsidRPr="009E064B">
        <w:rPr>
          <w:szCs w:val="20"/>
        </w:rPr>
        <w:t xml:space="preserve">(1) </w:t>
      </w:r>
      <w:r w:rsidRPr="009E064B">
        <w:rPr>
          <w:szCs w:val="20"/>
        </w:rPr>
        <w:tab/>
        <w:t>Kąt ustawienia elewacji jednostek świetlnych poprzeczki skrzydłowej PAPI powinien być taki, aby w czasie podejścia, pilot samolotu, obserwując jeden sygnał biały i trzy sygnały czerwone, mógł przelecieć nad wszystkimi obiektami znajdującymi się w</w:t>
      </w:r>
      <w:r w:rsidR="00637111" w:rsidRPr="009E064B">
        <w:rPr>
          <w:szCs w:val="20"/>
        </w:rPr>
        <w:t xml:space="preserve"> </w:t>
      </w:r>
      <w:r w:rsidRPr="009E064B">
        <w:rPr>
          <w:szCs w:val="20"/>
        </w:rPr>
        <w:t>strefie podejścia, z wystarczającym marginesem bezpieczeństwa (patrz Tabela M-1).</w:t>
      </w:r>
    </w:p>
    <w:p w14:paraId="02897BCF" w14:textId="7971718F" w:rsidR="00C36D76" w:rsidRPr="009E064B" w:rsidRDefault="00C36D76" w:rsidP="00B06A9A">
      <w:pPr>
        <w:tabs>
          <w:tab w:val="left" w:pos="1134"/>
        </w:tabs>
        <w:ind w:left="1134" w:hanging="567"/>
        <w:rPr>
          <w:szCs w:val="20"/>
        </w:rPr>
      </w:pPr>
      <w:r w:rsidRPr="009E064B">
        <w:rPr>
          <w:szCs w:val="20"/>
        </w:rPr>
        <w:t xml:space="preserve">(2) </w:t>
      </w:r>
      <w:r w:rsidRPr="009E064B">
        <w:rPr>
          <w:szCs w:val="20"/>
        </w:rPr>
        <w:tab/>
        <w:t>Kąt ustawienia elewacji jednostek świetlnych poprzeczki skrzydłowej APAPI, powinien być taki, aby w czasie podejścia, pilot samolotu, obserwuj</w:t>
      </w:r>
      <w:r w:rsidR="00800422" w:rsidRPr="009E064B">
        <w:rPr>
          <w:szCs w:val="20"/>
        </w:rPr>
        <w:t>ąc najniższy sygnał pozycji „na </w:t>
      </w:r>
      <w:r w:rsidRPr="009E064B">
        <w:rPr>
          <w:szCs w:val="20"/>
        </w:rPr>
        <w:t>ścieżce”, np. jeden sygnał biały i jeden czerwony, przeleciał nad wszystkimi obiektami znajdującymi się w strefie podejścia z wystarczającym marginesem bezpieczeństwa (patrz Tabela M-1).</w:t>
      </w:r>
    </w:p>
    <w:p w14:paraId="2CB99E33" w14:textId="77777777" w:rsidR="0015379E" w:rsidRPr="009E064B" w:rsidRDefault="0015379E" w:rsidP="0015379E">
      <w:pPr>
        <w:tabs>
          <w:tab w:val="left" w:pos="1134"/>
        </w:tabs>
        <w:ind w:left="1134" w:hanging="567"/>
        <w:rPr>
          <w:szCs w:val="20"/>
        </w:rPr>
      </w:pPr>
      <w:r w:rsidRPr="009E064B">
        <w:rPr>
          <w:szCs w:val="20"/>
        </w:rPr>
        <w:t xml:space="preserve">(3) </w:t>
      </w:r>
      <w:r w:rsidRPr="009E064B">
        <w:rPr>
          <w:szCs w:val="20"/>
        </w:rPr>
        <w:tab/>
        <w:t>Rozkład kierunkowy wiązki światła powinien być odpowiednio ograniczony, jeżeli obiekt znajdujący się poza powierzchnią zabezpieczenia przeszkodowego systemu PAPI lub APAPI, ale w bocznych granicach wiązki światła, wystaje ponad powierzchnię zabezpieczenia przeszkodowego oraz ocena bezpieczeństwa wykaże, że dany obiekt może wpłynąć ujemnie na bezpieczeństwo operacji lotniczych. Zakres takiego ograniczenia powinien być taki, aby dany obiekt pozostał poza emitowaną wiązką światła.</w:t>
      </w:r>
    </w:p>
    <w:p w14:paraId="67F6DE98" w14:textId="517F3EC8" w:rsidR="0015379E" w:rsidRPr="009E064B" w:rsidRDefault="0015379E" w:rsidP="0015379E">
      <w:pPr>
        <w:tabs>
          <w:tab w:val="left" w:pos="1134"/>
        </w:tabs>
        <w:ind w:left="1134" w:hanging="567"/>
        <w:rPr>
          <w:szCs w:val="20"/>
        </w:rPr>
      </w:pPr>
      <w:r w:rsidRPr="009E064B">
        <w:rPr>
          <w:szCs w:val="20"/>
        </w:rPr>
        <w:t xml:space="preserve">(4) </w:t>
      </w:r>
      <w:r w:rsidRPr="009E064B">
        <w:rPr>
          <w:szCs w:val="20"/>
        </w:rPr>
        <w:tab/>
        <w:t>Jeżeli, w celu zapewnienia wskazań zapobiegających przechyłowi, poprzeczki skrzydłowe zainstalowane są po obu stronach drogi startowej, wówczas odpowiadające sobie jednostki świetlne powinny posiadać takie samo ustawienie kątowe tak, aby zmiany wysyłanych sygnałów z każdej poprzeczki skrzydłowej następowały w tym samym czasie.</w:t>
      </w:r>
    </w:p>
    <w:p w14:paraId="19986D41" w14:textId="3479C1FB" w:rsidR="0015379E" w:rsidRPr="009E064B" w:rsidRDefault="0015379E">
      <w:pPr>
        <w:spacing w:after="0"/>
        <w:jc w:val="left"/>
        <w:rPr>
          <w:szCs w:val="20"/>
        </w:rPr>
      </w:pPr>
      <w:r w:rsidRPr="009E064B">
        <w:rPr>
          <w:szCs w:val="20"/>
        </w:rPr>
        <w:br w:type="page"/>
      </w:r>
    </w:p>
    <w:p w14:paraId="2D0F93A9" w14:textId="4DCCE13C" w:rsidR="00C36D76" w:rsidRPr="009E064B" w:rsidRDefault="00B64220" w:rsidP="0015379E">
      <w:pPr>
        <w:tabs>
          <w:tab w:val="left" w:pos="1134"/>
        </w:tabs>
        <w:spacing w:after="0"/>
        <w:ind w:left="1134" w:hanging="1134"/>
        <w:rPr>
          <w:szCs w:val="20"/>
        </w:rPr>
      </w:pPr>
      <w:r w:rsidRPr="009E064B">
        <w:rPr>
          <w:noProof/>
          <w:lang w:eastAsia="pl-PL"/>
        </w:rPr>
        <w:drawing>
          <wp:inline distT="0" distB="0" distL="0" distR="0" wp14:anchorId="7DE394B4" wp14:editId="0E116E9B">
            <wp:extent cx="5760085" cy="7750175"/>
            <wp:effectExtent l="0" t="0" r="0" b="0"/>
            <wp:docPr id="2401" name="Obraz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60085" cy="7750175"/>
                    </a:xfrm>
                    <a:prstGeom prst="rect">
                      <a:avLst/>
                    </a:prstGeom>
                    <a:noFill/>
                    <a:ln>
                      <a:noFill/>
                    </a:ln>
                  </pic:spPr>
                </pic:pic>
              </a:graphicData>
            </a:graphic>
          </wp:inline>
        </w:drawing>
      </w:r>
    </w:p>
    <w:p w14:paraId="49A081A7" w14:textId="77777777" w:rsidR="00C36D76" w:rsidRPr="00BA0D33" w:rsidRDefault="00C36D76" w:rsidP="00B06A9A">
      <w:pPr>
        <w:spacing w:before="240"/>
        <w:ind w:left="1134" w:hanging="1134"/>
        <w:jc w:val="center"/>
        <w:rPr>
          <w:b/>
          <w:szCs w:val="20"/>
        </w:rPr>
      </w:pPr>
      <w:r w:rsidRPr="00BA0D33">
        <w:rPr>
          <w:b/>
          <w:sz w:val="20"/>
          <w:szCs w:val="20"/>
        </w:rPr>
        <w:t>Rysunek M-5.  Wiązki światła i kąt ustawienia elewacji PAPI i APAPI</w:t>
      </w:r>
    </w:p>
    <w:p w14:paraId="2D9AB38B" w14:textId="77534092" w:rsidR="00C36D76" w:rsidRPr="009E064B" w:rsidRDefault="00C36D76" w:rsidP="006C24CC">
      <w:pPr>
        <w:spacing w:before="120" w:after="0"/>
        <w:jc w:val="left"/>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046379D" w14:textId="28D4B248" w:rsidR="00637111" w:rsidRPr="009E064B" w:rsidRDefault="00637111">
      <w:pPr>
        <w:spacing w:after="0"/>
        <w:jc w:val="left"/>
        <w:rPr>
          <w:rFonts w:eastAsia="Times New Roman"/>
          <w:sz w:val="17"/>
          <w:szCs w:val="17"/>
        </w:rPr>
      </w:pPr>
    </w:p>
    <w:p w14:paraId="22E6A71A" w14:textId="13357024" w:rsidR="00272C61" w:rsidRPr="009E064B" w:rsidRDefault="00272C61" w:rsidP="00133B99">
      <w:pPr>
        <w:pStyle w:val="Nagwek6"/>
      </w:pPr>
      <w:bookmarkStart w:id="1502" w:name="_Toc401059032"/>
      <w:bookmarkStart w:id="1503" w:name="_Toc482886898"/>
      <w:bookmarkStart w:id="1504" w:name="_Toc12533188"/>
      <w:r w:rsidRPr="009E064B">
        <w:t xml:space="preserve">GM1 ADR-DSN.M.650 </w:t>
      </w:r>
      <w:bookmarkEnd w:id="1502"/>
      <w:r w:rsidR="00637111" w:rsidRPr="009E064B">
        <w:t xml:space="preserve">    </w:t>
      </w:r>
      <w:r w:rsidRPr="009E064B">
        <w:t>Nachylenie podejścia oraz ustawienie elewacji jednostek świetlnych</w:t>
      </w:r>
      <w:bookmarkEnd w:id="1503"/>
      <w:bookmarkEnd w:id="1504"/>
    </w:p>
    <w:p w14:paraId="1CEBF659" w14:textId="7522EDC7" w:rsidR="00637111" w:rsidRPr="009E064B" w:rsidRDefault="00D63D4F" w:rsidP="00637111">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5A54E7D" w14:textId="75DF91DE" w:rsidR="00272C61" w:rsidRPr="009E064B" w:rsidRDefault="00272C61" w:rsidP="00637111">
      <w:pPr>
        <w:rPr>
          <w:szCs w:val="20"/>
        </w:rPr>
      </w:pPr>
      <w:r w:rsidRPr="009E064B">
        <w:rPr>
          <w:szCs w:val="20"/>
        </w:rPr>
        <w:t>Celowo pozostawiono puste.</w:t>
      </w:r>
    </w:p>
    <w:p w14:paraId="31C0D42C" w14:textId="77777777" w:rsidR="00272C61" w:rsidRPr="009E064B" w:rsidRDefault="00272C6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4AB5565" w14:textId="1D3DCEA9" w:rsidR="00C36D76" w:rsidRPr="009E064B" w:rsidRDefault="008C30B4" w:rsidP="008C30B4">
      <w:pPr>
        <w:pStyle w:val="Nagwek4"/>
        <w:tabs>
          <w:tab w:val="clear" w:pos="2694"/>
          <w:tab w:val="left" w:pos="2552"/>
        </w:tabs>
        <w:ind w:left="2552" w:hanging="2552"/>
        <w:rPr>
          <w:color w:val="auto"/>
        </w:rPr>
      </w:pPr>
      <w:bookmarkStart w:id="1505" w:name="_CS_ADR-DSN.M.655_"/>
      <w:bookmarkStart w:id="1506" w:name="_Toc482886675"/>
      <w:bookmarkStart w:id="1507" w:name="_Toc12533189"/>
      <w:bookmarkEnd w:id="1505"/>
      <w:r w:rsidRPr="009E064B">
        <w:rPr>
          <w:color w:val="auto"/>
        </w:rPr>
        <w:t xml:space="preserve">CS ADR-DSN.M.655     </w:t>
      </w:r>
      <w:r w:rsidR="00C36D76" w:rsidRPr="009E064B">
        <w:rPr>
          <w:color w:val="auto"/>
        </w:rPr>
        <w:t xml:space="preserve">Powierzchnie zabezpieczenia przeszkodowego </w:t>
      </w:r>
      <w:r w:rsidR="002F5823" w:rsidRPr="009E064B">
        <w:rPr>
          <w:color w:val="auto"/>
        </w:rPr>
        <w:br/>
      </w:r>
      <w:r w:rsidR="00C36D76" w:rsidRPr="009E064B">
        <w:rPr>
          <w:color w:val="auto"/>
        </w:rPr>
        <w:t>dla PAPI i APAPI</w:t>
      </w:r>
      <w:bookmarkEnd w:id="1506"/>
      <w:bookmarkEnd w:id="1507"/>
    </w:p>
    <w:p w14:paraId="3EAE48EA" w14:textId="23E3B566"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BF8004B" w14:textId="72739731" w:rsidR="00C36D76" w:rsidRPr="009E064B" w:rsidRDefault="00C36D76" w:rsidP="00800422">
      <w:pPr>
        <w:tabs>
          <w:tab w:val="left" w:pos="567"/>
        </w:tabs>
        <w:spacing w:after="60"/>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24304026" w14:textId="77777777" w:rsidR="00C36D76" w:rsidRPr="009E064B" w:rsidRDefault="00C36D76" w:rsidP="00B06A9A">
      <w:pPr>
        <w:pStyle w:val="Akapitzlist"/>
        <w:ind w:left="567"/>
        <w:rPr>
          <w:szCs w:val="20"/>
        </w:rPr>
      </w:pPr>
      <w:r w:rsidRPr="009E064B">
        <w:rPr>
          <w:szCs w:val="20"/>
        </w:rPr>
        <w:t>Powierzchnia zabezpieczenia przeszkodowego powinna być ustanowiona, jeżeli planuje się instalację systemu wzrokowego wskaźnika ścieżki podejścia.</w:t>
      </w:r>
    </w:p>
    <w:p w14:paraId="6A19B1DE" w14:textId="77777777" w:rsidR="00C36D76" w:rsidRPr="009E064B" w:rsidRDefault="00C36D76" w:rsidP="00800422">
      <w:pPr>
        <w:tabs>
          <w:tab w:val="left" w:pos="567"/>
        </w:tabs>
        <w:spacing w:after="60"/>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w:t>
      </w:r>
    </w:p>
    <w:p w14:paraId="76C97719" w14:textId="77777777" w:rsidR="00C36D76" w:rsidRPr="009E064B" w:rsidRDefault="00C36D76" w:rsidP="00B06A9A">
      <w:pPr>
        <w:pStyle w:val="Akapitzlist"/>
        <w:ind w:left="567"/>
        <w:rPr>
          <w:szCs w:val="20"/>
        </w:rPr>
      </w:pPr>
      <w:r w:rsidRPr="009E064B">
        <w:rPr>
          <w:szCs w:val="20"/>
        </w:rPr>
        <w:t>Charakterystyki powierzchni zabezpieczenia przeszkodowego, w tym początek, rozchylenie, długość oraz nachylenie powinny być zgodne z odpowiednimi wartościami określonymi we właściwej kolumnie Tabeli M-2 oraz z Rysunkiem M-6.</w:t>
      </w:r>
    </w:p>
    <w:p w14:paraId="29EAF80A"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Nie zezwala się na wznoszenie nowych lub powiększanie istniejących obiektów, które wystawałyby ponad powierzchnię zabezpieczenia przeszkodowego, z wyjątkiem sytuacji, kiedy nowy lub powiększany obiekt byłby zasłonięty przez istniejący już obiekt stały, lub jeśli po przeprowadzeniu oceny bezpieczeństwa wykazano, że obiekt nie będzie miał niekorzystnego wpływu na bezpieczeństwo operacji lotniczych.</w:t>
      </w:r>
    </w:p>
    <w:p w14:paraId="363A5826" w14:textId="77777777" w:rsidR="00C36D76" w:rsidRPr="009E064B" w:rsidRDefault="00C36D76" w:rsidP="00B06A9A">
      <w:pPr>
        <w:tabs>
          <w:tab w:val="left" w:pos="567"/>
        </w:tabs>
        <w:ind w:left="567" w:hanging="567"/>
        <w:rPr>
          <w:szCs w:val="20"/>
        </w:rPr>
      </w:pPr>
      <w:r w:rsidRPr="009E064B">
        <w:rPr>
          <w:rFonts w:cs="Times New Roman"/>
          <w:szCs w:val="20"/>
        </w:rPr>
        <w:t>(d)</w:t>
      </w:r>
      <w:r w:rsidRPr="009E064B">
        <w:rPr>
          <w:rFonts w:cs="Times New Roman"/>
          <w:szCs w:val="20"/>
        </w:rPr>
        <w:tab/>
      </w:r>
      <w:r w:rsidRPr="009E064B">
        <w:rPr>
          <w:szCs w:val="20"/>
        </w:rPr>
        <w:t>Jeżeli ocena bezpieczeństwa wykaże, że istniejący obiekt wystający ponad powierzchnię zabezpieczenia przeszkodowego może negatywnie wpłynąć na bezpieczeństwo operacji lotniczych, należy podjąć jedną lub więcej z wymienionych niżej czynności:</w:t>
      </w:r>
    </w:p>
    <w:p w14:paraId="3AADB22E" w14:textId="7AFD3C38" w:rsidR="009E5444" w:rsidRPr="00BA0D33" w:rsidRDefault="00C36D76" w:rsidP="00B06A9A">
      <w:pPr>
        <w:tabs>
          <w:tab w:val="left" w:pos="1134"/>
        </w:tabs>
        <w:ind w:left="1134" w:hanging="567"/>
        <w:rPr>
          <w:rFonts w:cs="Times New Roman"/>
          <w:szCs w:val="20"/>
        </w:rPr>
      </w:pPr>
      <w:r w:rsidRPr="00BA0D33">
        <w:rPr>
          <w:rFonts w:cs="Times New Roman"/>
          <w:szCs w:val="20"/>
        </w:rPr>
        <w:t xml:space="preserve">(1) </w:t>
      </w:r>
      <w:r w:rsidRPr="00BA0D33">
        <w:rPr>
          <w:rFonts w:cs="Times New Roman"/>
          <w:szCs w:val="20"/>
        </w:rPr>
        <w:tab/>
      </w:r>
      <w:r w:rsidR="009E5444" w:rsidRPr="00BA0D33">
        <w:rPr>
          <w:rFonts w:cs="Times New Roman"/>
          <w:szCs w:val="20"/>
        </w:rPr>
        <w:t>usunąć obiekt;</w:t>
      </w:r>
    </w:p>
    <w:p w14:paraId="77546C57" w14:textId="460324A4" w:rsidR="00C36D76" w:rsidRPr="00BA0D33" w:rsidRDefault="009E5444" w:rsidP="00B06A9A">
      <w:pPr>
        <w:tabs>
          <w:tab w:val="left" w:pos="1134"/>
        </w:tabs>
        <w:ind w:left="1134" w:hanging="567"/>
        <w:rPr>
          <w:szCs w:val="20"/>
        </w:rPr>
      </w:pPr>
      <w:r w:rsidRPr="00BA0D33">
        <w:rPr>
          <w:szCs w:val="20"/>
        </w:rPr>
        <w:t>(2)</w:t>
      </w:r>
      <w:r w:rsidRPr="00BA0D33">
        <w:rPr>
          <w:szCs w:val="20"/>
        </w:rPr>
        <w:tab/>
      </w:r>
      <w:r w:rsidR="00C36D76" w:rsidRPr="00BA0D33">
        <w:rPr>
          <w:szCs w:val="20"/>
        </w:rPr>
        <w:t>odpowiednio podnieść nachylenie ścieżki podejścia systemu;</w:t>
      </w:r>
    </w:p>
    <w:p w14:paraId="7CCD2AD5" w14:textId="1A4EFC3C" w:rsidR="00C36D76" w:rsidRPr="00BA0D33" w:rsidRDefault="00C36D76" w:rsidP="00B06A9A">
      <w:pPr>
        <w:tabs>
          <w:tab w:val="left" w:pos="1134"/>
        </w:tabs>
        <w:ind w:left="1134" w:hanging="567"/>
        <w:rPr>
          <w:szCs w:val="20"/>
        </w:rPr>
      </w:pPr>
      <w:r w:rsidRPr="00BA0D33">
        <w:rPr>
          <w:rFonts w:cs="Times New Roman"/>
          <w:szCs w:val="20"/>
        </w:rPr>
        <w:t>(</w:t>
      </w:r>
      <w:r w:rsidR="009E5444" w:rsidRPr="00BA0D33">
        <w:rPr>
          <w:rFonts w:cs="Times New Roman"/>
          <w:szCs w:val="20"/>
        </w:rPr>
        <w:t>3</w:t>
      </w:r>
      <w:r w:rsidRPr="00BA0D33">
        <w:rPr>
          <w:rFonts w:cs="Times New Roman"/>
          <w:szCs w:val="20"/>
        </w:rPr>
        <w:t xml:space="preserve">) </w:t>
      </w:r>
      <w:r w:rsidRPr="00BA0D33">
        <w:rPr>
          <w:rFonts w:cs="Times New Roman"/>
          <w:szCs w:val="20"/>
        </w:rPr>
        <w:tab/>
      </w:r>
      <w:r w:rsidRPr="00BA0D33">
        <w:rPr>
          <w:szCs w:val="20"/>
        </w:rPr>
        <w:t>zmniejszyć rozkład kierunkowy systemu tak, aby obiekt znalazł się poza zakresem wiązki;</w:t>
      </w:r>
    </w:p>
    <w:p w14:paraId="65F11680" w14:textId="632F4BCF" w:rsidR="00C36D76" w:rsidRPr="00BA0D33" w:rsidRDefault="00C36D76" w:rsidP="00B06A9A">
      <w:pPr>
        <w:tabs>
          <w:tab w:val="left" w:pos="1134"/>
        </w:tabs>
        <w:ind w:left="1134" w:hanging="567"/>
        <w:rPr>
          <w:szCs w:val="20"/>
        </w:rPr>
      </w:pPr>
      <w:r w:rsidRPr="00BA0D33">
        <w:rPr>
          <w:rFonts w:cs="Times New Roman"/>
          <w:szCs w:val="20"/>
        </w:rPr>
        <w:t>(</w:t>
      </w:r>
      <w:r w:rsidR="009E5444" w:rsidRPr="00BA0D33">
        <w:rPr>
          <w:rFonts w:cs="Times New Roman"/>
          <w:szCs w:val="20"/>
        </w:rPr>
        <w:t>4</w:t>
      </w:r>
      <w:r w:rsidRPr="00BA0D33">
        <w:rPr>
          <w:rFonts w:cs="Times New Roman"/>
          <w:szCs w:val="20"/>
        </w:rPr>
        <w:t>)</w:t>
      </w:r>
      <w:r w:rsidRPr="00BA0D33">
        <w:rPr>
          <w:rFonts w:cs="Times New Roman"/>
          <w:szCs w:val="20"/>
        </w:rPr>
        <w:tab/>
      </w:r>
      <w:r w:rsidRPr="00BA0D33">
        <w:rPr>
          <w:szCs w:val="20"/>
        </w:rPr>
        <w:t>przesunąć oś systemu i odpowiednią powierzchnię zabezpieczenia przeszkodowego nie więcej niż o 5º;</w:t>
      </w:r>
    </w:p>
    <w:p w14:paraId="6CF926B5" w14:textId="287C1F04" w:rsidR="00C36D76" w:rsidRPr="00BA0D33" w:rsidRDefault="00C36D76" w:rsidP="00B06A9A">
      <w:pPr>
        <w:tabs>
          <w:tab w:val="left" w:pos="1134"/>
        </w:tabs>
        <w:ind w:left="1134" w:hanging="567"/>
        <w:rPr>
          <w:szCs w:val="20"/>
        </w:rPr>
      </w:pPr>
      <w:r w:rsidRPr="00BA0D33">
        <w:rPr>
          <w:rFonts w:cs="Times New Roman"/>
          <w:szCs w:val="20"/>
        </w:rPr>
        <w:t>(</w:t>
      </w:r>
      <w:r w:rsidR="009E5444" w:rsidRPr="00BA0D33">
        <w:rPr>
          <w:rFonts w:cs="Times New Roman"/>
          <w:szCs w:val="20"/>
        </w:rPr>
        <w:t>5</w:t>
      </w:r>
      <w:r w:rsidRPr="00BA0D33">
        <w:rPr>
          <w:rFonts w:cs="Times New Roman"/>
          <w:szCs w:val="20"/>
        </w:rPr>
        <w:t xml:space="preserve">) </w:t>
      </w:r>
      <w:r w:rsidRPr="00BA0D33">
        <w:rPr>
          <w:rFonts w:cs="Times New Roman"/>
          <w:szCs w:val="20"/>
        </w:rPr>
        <w:tab/>
      </w:r>
      <w:r w:rsidRPr="00BA0D33">
        <w:rPr>
          <w:szCs w:val="20"/>
        </w:rPr>
        <w:t>odpowiednio przesunąć próg; oraz</w:t>
      </w:r>
    </w:p>
    <w:p w14:paraId="2D4ED169" w14:textId="19973D58" w:rsidR="0015379E" w:rsidRPr="009E064B" w:rsidRDefault="00C36D76" w:rsidP="00B06A9A">
      <w:pPr>
        <w:tabs>
          <w:tab w:val="left" w:pos="1134"/>
        </w:tabs>
        <w:ind w:left="1134" w:hanging="567"/>
        <w:rPr>
          <w:szCs w:val="20"/>
        </w:rPr>
      </w:pPr>
      <w:r w:rsidRPr="00BA0D33">
        <w:rPr>
          <w:rFonts w:cs="Times New Roman"/>
          <w:szCs w:val="20"/>
        </w:rPr>
        <w:t>(</w:t>
      </w:r>
      <w:r w:rsidR="009E5444" w:rsidRPr="00BA0D33">
        <w:rPr>
          <w:rFonts w:cs="Times New Roman"/>
          <w:szCs w:val="20"/>
        </w:rPr>
        <w:t>6</w:t>
      </w:r>
      <w:r w:rsidRPr="00BA0D33">
        <w:rPr>
          <w:rFonts w:cs="Times New Roman"/>
          <w:szCs w:val="20"/>
        </w:rPr>
        <w:t xml:space="preserve">) </w:t>
      </w:r>
      <w:r w:rsidRPr="00BA0D33">
        <w:rPr>
          <w:rFonts w:cs="Times New Roman"/>
          <w:szCs w:val="20"/>
        </w:rPr>
        <w:tab/>
      </w:r>
      <w:r w:rsidRPr="00BA0D33">
        <w:rPr>
          <w:szCs w:val="20"/>
        </w:rPr>
        <w:t>jeżeli p</w:t>
      </w:r>
      <w:r w:rsidR="00135920" w:rsidRPr="00BA0D33">
        <w:rPr>
          <w:szCs w:val="20"/>
        </w:rPr>
        <w:t>kt.</w:t>
      </w:r>
      <w:r w:rsidRPr="00BA0D33">
        <w:rPr>
          <w:szCs w:val="20"/>
        </w:rPr>
        <w:t xml:space="preserve"> (</w:t>
      </w:r>
      <w:r w:rsidR="009E5444" w:rsidRPr="00BA0D33">
        <w:rPr>
          <w:szCs w:val="20"/>
        </w:rPr>
        <w:t>5</w:t>
      </w:r>
      <w:r w:rsidRPr="00BA0D33">
        <w:rPr>
          <w:szCs w:val="20"/>
        </w:rPr>
        <w:t>) okaże się niepraktyczny w realizacji, odpowiednio przesunąć system dalej od progu drogi startowej</w:t>
      </w:r>
      <w:r w:rsidR="004E50EA" w:rsidRPr="00BA0D33">
        <w:rPr>
          <w:szCs w:val="20"/>
        </w:rPr>
        <w:t xml:space="preserve"> tak, aby obiekt nie przebijał już powierzchni zabezpieczenia przeszkodowego</w:t>
      </w:r>
      <w:r w:rsidRPr="00BA0D33">
        <w:rPr>
          <w:szCs w:val="20"/>
        </w:rPr>
        <w:t>.</w:t>
      </w:r>
    </w:p>
    <w:p w14:paraId="43C47319" w14:textId="77777777" w:rsidR="00C36D76" w:rsidRPr="009E064B" w:rsidRDefault="00C36D76" w:rsidP="00B64220">
      <w:pPr>
        <w:spacing w:after="0"/>
        <w:ind w:left="425" w:right="-6" w:hanging="425"/>
        <w:jc w:val="left"/>
        <w:rPr>
          <w:rFonts w:cs="TimesNewRomanPSMT"/>
          <w:b/>
          <w:szCs w:val="20"/>
        </w:rPr>
      </w:pPr>
    </w:p>
    <w:tbl>
      <w:tblPr>
        <w:tblW w:w="4690" w:type="pct"/>
        <w:tblInd w:w="562" w:type="dxa"/>
        <w:tblLook w:val="01E0" w:firstRow="1" w:lastRow="1" w:firstColumn="1" w:lastColumn="1" w:noHBand="0" w:noVBand="0"/>
      </w:tblPr>
      <w:tblGrid>
        <w:gridCol w:w="3778"/>
        <w:gridCol w:w="2470"/>
        <w:gridCol w:w="2463"/>
      </w:tblGrid>
      <w:tr w:rsidR="00C36D76" w:rsidRPr="009E064B" w14:paraId="7912E022" w14:textId="77777777" w:rsidTr="0015379E">
        <w:trPr>
          <w:trHeight w:val="514"/>
        </w:trPr>
        <w:tc>
          <w:tcPr>
            <w:tcW w:w="2168" w:type="pct"/>
            <w:tcBorders>
              <w:top w:val="single" w:sz="4" w:space="0" w:color="auto"/>
              <w:left w:val="single" w:sz="4" w:space="0" w:color="auto"/>
              <w:bottom w:val="single" w:sz="4" w:space="0" w:color="auto"/>
              <w:right w:val="single" w:sz="4" w:space="0" w:color="auto"/>
            </w:tcBorders>
            <w:tcMar>
              <w:top w:w="28" w:type="dxa"/>
              <w:bottom w:w="28" w:type="dxa"/>
            </w:tcMar>
          </w:tcPr>
          <w:p w14:paraId="62806AA2" w14:textId="77777777" w:rsidR="00C36D76" w:rsidRPr="009E064B" w:rsidRDefault="00C36D76" w:rsidP="00B06A9A">
            <w:pPr>
              <w:spacing w:before="60" w:after="60"/>
              <w:jc w:val="center"/>
              <w:rPr>
                <w:rFonts w:cs="Arial"/>
                <w:b/>
                <w:sz w:val="20"/>
                <w:szCs w:val="20"/>
              </w:rPr>
            </w:pPr>
            <w:r w:rsidRPr="009E064B">
              <w:rPr>
                <w:rFonts w:cs="Arial"/>
                <w:b/>
                <w:sz w:val="20"/>
                <w:szCs w:val="20"/>
              </w:rPr>
              <w:t>Wysokość „oko-koło” samolotu dla konfiguracji podejścia </w:t>
            </w:r>
            <w:r w:rsidRPr="009E064B">
              <w:rPr>
                <w:rFonts w:cs="Arial"/>
                <w:b/>
                <w:sz w:val="20"/>
                <w:szCs w:val="20"/>
                <w:vertAlign w:val="superscript"/>
              </w:rPr>
              <w:t>a</w:t>
            </w:r>
          </w:p>
        </w:tc>
        <w:tc>
          <w:tcPr>
            <w:tcW w:w="1418" w:type="pct"/>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7387BFE9" w14:textId="77777777" w:rsidR="00C36D76" w:rsidRPr="009E064B" w:rsidRDefault="00C36D76" w:rsidP="00B06A9A">
            <w:pPr>
              <w:spacing w:before="60" w:after="60"/>
              <w:jc w:val="center"/>
              <w:rPr>
                <w:rFonts w:cs="Arial"/>
                <w:b/>
                <w:sz w:val="20"/>
                <w:szCs w:val="20"/>
              </w:rPr>
            </w:pPr>
            <w:r w:rsidRPr="009E064B">
              <w:rPr>
                <w:rFonts w:cs="Arial"/>
                <w:b/>
                <w:sz w:val="20"/>
                <w:szCs w:val="20"/>
              </w:rPr>
              <w:t>Pożądany prześwit dla kół</w:t>
            </w:r>
          </w:p>
          <w:p w14:paraId="39DA3F89" w14:textId="32AC6EF4" w:rsidR="00C36D76" w:rsidRPr="009E064B" w:rsidRDefault="00C36D76" w:rsidP="00B06A9A">
            <w:pPr>
              <w:spacing w:before="60" w:after="60"/>
              <w:jc w:val="center"/>
              <w:rPr>
                <w:rFonts w:cs="Arial"/>
                <w:b/>
                <w:sz w:val="20"/>
                <w:szCs w:val="20"/>
                <w:vertAlign w:val="superscript"/>
              </w:rPr>
            </w:pPr>
            <w:r w:rsidRPr="009E064B">
              <w:rPr>
                <w:rFonts w:cs="Arial"/>
                <w:b/>
                <w:sz w:val="20"/>
                <w:szCs w:val="20"/>
              </w:rPr>
              <w:t xml:space="preserve">(w metrach) </w:t>
            </w:r>
            <w:r w:rsidRPr="009E064B">
              <w:rPr>
                <w:rFonts w:cs="Arial"/>
                <w:b/>
                <w:sz w:val="20"/>
                <w:szCs w:val="20"/>
                <w:vertAlign w:val="superscript"/>
              </w:rPr>
              <w:t>b,</w:t>
            </w:r>
            <w:r w:rsidR="00FF606C" w:rsidRPr="009E064B">
              <w:rPr>
                <w:rFonts w:cs="Arial"/>
                <w:b/>
                <w:sz w:val="20"/>
                <w:szCs w:val="20"/>
                <w:vertAlign w:val="superscript"/>
              </w:rPr>
              <w:t xml:space="preserve"> </w:t>
            </w:r>
            <w:r w:rsidRPr="009E064B">
              <w:rPr>
                <w:rFonts w:cs="Arial"/>
                <w:b/>
                <w:sz w:val="20"/>
                <w:szCs w:val="20"/>
                <w:vertAlign w:val="superscript"/>
              </w:rPr>
              <w:t>c</w:t>
            </w:r>
          </w:p>
        </w:tc>
        <w:tc>
          <w:tcPr>
            <w:tcW w:w="1414" w:type="pct"/>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04C44836" w14:textId="77777777" w:rsidR="00C36D76" w:rsidRPr="009E064B" w:rsidRDefault="00C36D76" w:rsidP="00B06A9A">
            <w:pPr>
              <w:spacing w:before="60" w:after="60"/>
              <w:jc w:val="center"/>
              <w:rPr>
                <w:rFonts w:cs="Arial"/>
                <w:b/>
                <w:sz w:val="20"/>
                <w:szCs w:val="20"/>
              </w:rPr>
            </w:pPr>
            <w:r w:rsidRPr="009E064B">
              <w:rPr>
                <w:rFonts w:cs="Arial"/>
                <w:b/>
                <w:sz w:val="20"/>
                <w:szCs w:val="20"/>
              </w:rPr>
              <w:t>Pożądany prześwit dla kół</w:t>
            </w:r>
            <w:r w:rsidRPr="009E064B">
              <w:rPr>
                <w:rFonts w:cs="Arial"/>
                <w:b/>
                <w:sz w:val="20"/>
                <w:szCs w:val="20"/>
              </w:rPr>
              <w:br/>
              <w:t xml:space="preserve"> (w metrach) </w:t>
            </w:r>
            <w:r w:rsidRPr="009E064B">
              <w:rPr>
                <w:rFonts w:cs="Arial"/>
                <w:b/>
                <w:sz w:val="20"/>
                <w:szCs w:val="20"/>
                <w:vertAlign w:val="superscript"/>
              </w:rPr>
              <w:t>d</w:t>
            </w:r>
          </w:p>
        </w:tc>
      </w:tr>
      <w:tr w:rsidR="00C36D76" w:rsidRPr="009E064B" w14:paraId="28ECFED4" w14:textId="77777777" w:rsidTr="0015379E">
        <w:tc>
          <w:tcPr>
            <w:tcW w:w="2168" w:type="pct"/>
            <w:tcBorders>
              <w:top w:val="single" w:sz="4" w:space="0" w:color="auto"/>
              <w:left w:val="single" w:sz="4" w:space="0" w:color="auto"/>
              <w:bottom w:val="single" w:sz="4" w:space="0" w:color="auto"/>
              <w:right w:val="single" w:sz="4" w:space="0" w:color="auto"/>
            </w:tcBorders>
          </w:tcPr>
          <w:p w14:paraId="642D721C" w14:textId="77777777" w:rsidR="00C36D76" w:rsidRPr="009E064B" w:rsidRDefault="00C36D76" w:rsidP="00B06A9A">
            <w:pPr>
              <w:spacing w:after="100" w:afterAutospacing="1"/>
              <w:jc w:val="center"/>
              <w:rPr>
                <w:sz w:val="16"/>
                <w:szCs w:val="20"/>
              </w:rPr>
            </w:pPr>
            <w:r w:rsidRPr="009E064B">
              <w:rPr>
                <w:sz w:val="16"/>
                <w:szCs w:val="20"/>
              </w:rPr>
              <w:t>(1)</w:t>
            </w:r>
          </w:p>
        </w:tc>
        <w:tc>
          <w:tcPr>
            <w:tcW w:w="1418" w:type="pct"/>
            <w:tcBorders>
              <w:top w:val="single" w:sz="4" w:space="0" w:color="auto"/>
              <w:left w:val="single" w:sz="4" w:space="0" w:color="auto"/>
              <w:bottom w:val="single" w:sz="4" w:space="0" w:color="auto"/>
              <w:right w:val="single" w:sz="4" w:space="0" w:color="auto"/>
            </w:tcBorders>
          </w:tcPr>
          <w:p w14:paraId="3E7F7C75" w14:textId="77777777" w:rsidR="00C36D76" w:rsidRPr="009E064B" w:rsidRDefault="00C36D76" w:rsidP="00B06A9A">
            <w:pPr>
              <w:spacing w:after="100" w:afterAutospacing="1"/>
              <w:jc w:val="center"/>
              <w:rPr>
                <w:sz w:val="16"/>
                <w:szCs w:val="20"/>
              </w:rPr>
            </w:pPr>
            <w:r w:rsidRPr="009E064B">
              <w:rPr>
                <w:sz w:val="16"/>
                <w:szCs w:val="20"/>
              </w:rPr>
              <w:t>(2)</w:t>
            </w:r>
          </w:p>
        </w:tc>
        <w:tc>
          <w:tcPr>
            <w:tcW w:w="1414" w:type="pct"/>
            <w:tcBorders>
              <w:top w:val="single" w:sz="4" w:space="0" w:color="auto"/>
              <w:left w:val="single" w:sz="4" w:space="0" w:color="auto"/>
              <w:bottom w:val="single" w:sz="4" w:space="0" w:color="auto"/>
              <w:right w:val="single" w:sz="4" w:space="0" w:color="auto"/>
            </w:tcBorders>
          </w:tcPr>
          <w:p w14:paraId="3BD657A4" w14:textId="77777777" w:rsidR="00C36D76" w:rsidRPr="009E064B" w:rsidRDefault="00C36D76" w:rsidP="00B06A9A">
            <w:pPr>
              <w:spacing w:after="100" w:afterAutospacing="1"/>
              <w:jc w:val="center"/>
              <w:rPr>
                <w:sz w:val="16"/>
                <w:szCs w:val="20"/>
              </w:rPr>
            </w:pPr>
            <w:r w:rsidRPr="009E064B">
              <w:rPr>
                <w:sz w:val="16"/>
                <w:szCs w:val="20"/>
              </w:rPr>
              <w:t>(3)</w:t>
            </w:r>
          </w:p>
        </w:tc>
      </w:tr>
      <w:tr w:rsidR="00C36D76" w:rsidRPr="009E064B" w14:paraId="62AF8BD2"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26F8D319" w14:textId="77777777" w:rsidR="00C36D76" w:rsidRPr="009E064B" w:rsidRDefault="00C36D76" w:rsidP="00B06A9A">
            <w:pPr>
              <w:spacing w:after="0"/>
              <w:ind w:left="142"/>
              <w:rPr>
                <w:sz w:val="20"/>
                <w:szCs w:val="20"/>
              </w:rPr>
            </w:pPr>
            <w:r w:rsidRPr="009E064B">
              <w:rPr>
                <w:sz w:val="20"/>
                <w:szCs w:val="20"/>
              </w:rPr>
              <w:t xml:space="preserve">do </w:t>
            </w:r>
            <w:smartTag w:uri="urn:schemas-microsoft-com:office:smarttags" w:element="metricconverter">
              <w:smartTagPr>
                <w:attr w:name="ProductID" w:val="3 m"/>
              </w:smartTagPr>
              <w:r w:rsidRPr="009E064B">
                <w:rPr>
                  <w:sz w:val="20"/>
                  <w:szCs w:val="20"/>
                </w:rPr>
                <w:t>3 m</w:t>
              </w:r>
            </w:smartTag>
            <w:r w:rsidRPr="009E064B">
              <w:rPr>
                <w:sz w:val="20"/>
                <w:szCs w:val="20"/>
              </w:rPr>
              <w:t xml:space="preserve">  (bez wartości 3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32C735E2" w14:textId="77777777" w:rsidR="00C36D76" w:rsidRPr="009E064B" w:rsidRDefault="00C36D76" w:rsidP="00B06A9A">
            <w:pPr>
              <w:spacing w:after="0"/>
              <w:jc w:val="center"/>
              <w:rPr>
                <w:sz w:val="20"/>
                <w:szCs w:val="20"/>
              </w:rPr>
            </w:pPr>
            <w:r w:rsidRPr="009E064B">
              <w:rPr>
                <w:sz w:val="20"/>
                <w:szCs w:val="20"/>
              </w:rPr>
              <w:t>6</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vAlign w:val="bottom"/>
          </w:tcPr>
          <w:p w14:paraId="1F6AE3BD" w14:textId="77777777" w:rsidR="00C36D76" w:rsidRPr="009E064B" w:rsidRDefault="00C36D76" w:rsidP="00B06A9A">
            <w:pPr>
              <w:spacing w:after="0"/>
              <w:jc w:val="center"/>
              <w:rPr>
                <w:sz w:val="20"/>
                <w:szCs w:val="20"/>
              </w:rPr>
            </w:pPr>
            <w:r w:rsidRPr="009E064B">
              <w:rPr>
                <w:sz w:val="20"/>
                <w:szCs w:val="20"/>
              </w:rPr>
              <w:t>3</w:t>
            </w:r>
            <w:r w:rsidRPr="009E064B">
              <w:rPr>
                <w:sz w:val="20"/>
                <w:szCs w:val="20"/>
                <w:vertAlign w:val="superscript"/>
              </w:rPr>
              <w:t>e</w:t>
            </w:r>
          </w:p>
        </w:tc>
      </w:tr>
      <w:tr w:rsidR="00C36D76" w:rsidRPr="009E064B" w14:paraId="5DF77198"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0393E00B" w14:textId="77777777" w:rsidR="00C36D76" w:rsidRPr="009E064B" w:rsidRDefault="00C36D76" w:rsidP="00B06A9A">
            <w:pPr>
              <w:spacing w:after="0"/>
              <w:ind w:left="142"/>
              <w:rPr>
                <w:sz w:val="20"/>
                <w:szCs w:val="20"/>
              </w:rPr>
            </w:pPr>
            <w:smartTag w:uri="urn:schemas-microsoft-com:office:smarttags" w:element="metricconverter">
              <w:smartTagPr>
                <w:attr w:name="ProductID" w:val="3 m"/>
              </w:smartTagPr>
              <w:r w:rsidRPr="009E064B">
                <w:rPr>
                  <w:sz w:val="20"/>
                  <w:szCs w:val="20"/>
                </w:rPr>
                <w:t>3 m</w:t>
              </w:r>
            </w:smartTag>
            <w:r w:rsidRPr="009E064B">
              <w:rPr>
                <w:sz w:val="20"/>
                <w:szCs w:val="20"/>
              </w:rPr>
              <w:t xml:space="preserve"> do </w:t>
            </w:r>
            <w:smartTag w:uri="urn:schemas-microsoft-com:office:smarttags" w:element="metricconverter">
              <w:smartTagPr>
                <w:attr w:name="ProductID" w:val="5 m"/>
              </w:smartTagPr>
              <w:r w:rsidRPr="009E064B">
                <w:rPr>
                  <w:sz w:val="20"/>
                  <w:szCs w:val="20"/>
                </w:rPr>
                <w:t>5 m</w:t>
              </w:r>
            </w:smartTag>
            <w:r w:rsidRPr="009E064B">
              <w:rPr>
                <w:sz w:val="20"/>
                <w:szCs w:val="20"/>
              </w:rPr>
              <w:t xml:space="preserve">  (bez wartości 5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5B06B6EC" w14:textId="77777777" w:rsidR="00C36D76" w:rsidRPr="009E064B" w:rsidRDefault="00C36D76" w:rsidP="00B06A9A">
            <w:pPr>
              <w:spacing w:after="100" w:afterAutospacing="1"/>
              <w:jc w:val="center"/>
              <w:rPr>
                <w:sz w:val="20"/>
                <w:szCs w:val="20"/>
              </w:rPr>
            </w:pPr>
            <w:r w:rsidRPr="009E064B">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2BA46D07" w14:textId="77777777" w:rsidR="00C36D76" w:rsidRPr="009E064B" w:rsidRDefault="00C36D76" w:rsidP="00B06A9A">
            <w:pPr>
              <w:spacing w:after="100" w:afterAutospacing="1"/>
              <w:jc w:val="center"/>
              <w:rPr>
                <w:sz w:val="20"/>
                <w:szCs w:val="20"/>
              </w:rPr>
            </w:pPr>
            <w:r w:rsidRPr="009E064B">
              <w:rPr>
                <w:sz w:val="20"/>
                <w:szCs w:val="20"/>
              </w:rPr>
              <w:t>4</w:t>
            </w:r>
          </w:p>
        </w:tc>
      </w:tr>
      <w:tr w:rsidR="00C36D76" w:rsidRPr="009E064B" w14:paraId="754BCFAE"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78CDBC11" w14:textId="77777777" w:rsidR="00C36D76" w:rsidRPr="009E064B" w:rsidRDefault="00C36D76" w:rsidP="00B06A9A">
            <w:pPr>
              <w:spacing w:after="0"/>
              <w:ind w:left="142"/>
              <w:rPr>
                <w:sz w:val="20"/>
                <w:szCs w:val="20"/>
              </w:rPr>
            </w:pPr>
            <w:smartTag w:uri="urn:schemas-microsoft-com:office:smarttags" w:element="metricconverter">
              <w:smartTagPr>
                <w:attr w:name="ProductID" w:val="5 m"/>
              </w:smartTagPr>
              <w:r w:rsidRPr="009E064B">
                <w:rPr>
                  <w:sz w:val="20"/>
                  <w:szCs w:val="20"/>
                </w:rPr>
                <w:t>5 m</w:t>
              </w:r>
            </w:smartTag>
            <w:r w:rsidRPr="009E064B">
              <w:rPr>
                <w:sz w:val="20"/>
                <w:szCs w:val="20"/>
              </w:rPr>
              <w:t xml:space="preserve"> do </w:t>
            </w:r>
            <w:smartTag w:uri="urn:schemas-microsoft-com:office:smarttags" w:element="metricconverter">
              <w:smartTagPr>
                <w:attr w:name="ProductID" w:val="8 m"/>
              </w:smartTagPr>
              <w:r w:rsidRPr="009E064B">
                <w:rPr>
                  <w:sz w:val="20"/>
                  <w:szCs w:val="20"/>
                </w:rPr>
                <w:t>8 m</w:t>
              </w:r>
            </w:smartTag>
            <w:r w:rsidRPr="009E064B">
              <w:rPr>
                <w:sz w:val="20"/>
                <w:szCs w:val="20"/>
              </w:rPr>
              <w:t xml:space="preserve">  (bez wartości 8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07B4CEF1" w14:textId="77777777" w:rsidR="00C36D76" w:rsidRPr="009E064B" w:rsidRDefault="00C36D76" w:rsidP="00B06A9A">
            <w:pPr>
              <w:spacing w:after="100" w:afterAutospacing="1"/>
              <w:jc w:val="center"/>
              <w:rPr>
                <w:sz w:val="20"/>
                <w:szCs w:val="20"/>
              </w:rPr>
            </w:pPr>
            <w:r w:rsidRPr="009E064B">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3E73A348" w14:textId="77777777" w:rsidR="00C36D76" w:rsidRPr="009E064B" w:rsidRDefault="00C36D76" w:rsidP="00B06A9A">
            <w:pPr>
              <w:spacing w:after="100" w:afterAutospacing="1"/>
              <w:jc w:val="center"/>
              <w:rPr>
                <w:sz w:val="20"/>
                <w:szCs w:val="20"/>
              </w:rPr>
            </w:pPr>
            <w:r w:rsidRPr="009E064B">
              <w:rPr>
                <w:sz w:val="20"/>
                <w:szCs w:val="20"/>
              </w:rPr>
              <w:t>5</w:t>
            </w:r>
          </w:p>
        </w:tc>
      </w:tr>
      <w:tr w:rsidR="00C36D76" w:rsidRPr="009E064B" w14:paraId="3528F2ED" w14:textId="77777777" w:rsidTr="0015379E">
        <w:tc>
          <w:tcPr>
            <w:tcW w:w="2168" w:type="pct"/>
            <w:tcBorders>
              <w:top w:val="single" w:sz="4" w:space="0" w:color="auto"/>
              <w:left w:val="single" w:sz="4" w:space="0" w:color="auto"/>
              <w:bottom w:val="single" w:sz="4" w:space="0" w:color="auto"/>
              <w:right w:val="single" w:sz="4" w:space="0" w:color="auto"/>
            </w:tcBorders>
            <w:tcMar>
              <w:top w:w="85" w:type="dxa"/>
              <w:bottom w:w="85" w:type="dxa"/>
            </w:tcMar>
          </w:tcPr>
          <w:p w14:paraId="786B2DD5" w14:textId="77777777" w:rsidR="00C36D76" w:rsidRPr="009E064B" w:rsidRDefault="00C36D76" w:rsidP="00B06A9A">
            <w:pPr>
              <w:spacing w:after="0"/>
              <w:ind w:left="142"/>
              <w:rPr>
                <w:sz w:val="20"/>
                <w:szCs w:val="20"/>
              </w:rPr>
            </w:pPr>
            <w:smartTag w:uri="urn:schemas-microsoft-com:office:smarttags" w:element="metricconverter">
              <w:smartTagPr>
                <w:attr w:name="ProductID" w:val="8 m"/>
              </w:smartTagPr>
              <w:r w:rsidRPr="009E064B">
                <w:rPr>
                  <w:sz w:val="20"/>
                  <w:szCs w:val="20"/>
                </w:rPr>
                <w:t>8 m</w:t>
              </w:r>
            </w:smartTag>
            <w:r w:rsidRPr="009E064B">
              <w:rPr>
                <w:sz w:val="20"/>
                <w:szCs w:val="20"/>
              </w:rPr>
              <w:t xml:space="preserve"> do </w:t>
            </w:r>
            <w:smartTag w:uri="urn:schemas-microsoft-com:office:smarttags" w:element="metricconverter">
              <w:smartTagPr>
                <w:attr w:name="ProductID" w:val="14 m"/>
              </w:smartTagPr>
              <w:r w:rsidRPr="009E064B">
                <w:rPr>
                  <w:sz w:val="20"/>
                  <w:szCs w:val="20"/>
                </w:rPr>
                <w:t>14 m</w:t>
              </w:r>
            </w:smartTag>
            <w:r w:rsidRPr="009E064B">
              <w:rPr>
                <w:sz w:val="20"/>
                <w:szCs w:val="20"/>
              </w:rPr>
              <w:t xml:space="preserve">  (bez wartości 14 m)</w:t>
            </w:r>
          </w:p>
        </w:tc>
        <w:tc>
          <w:tcPr>
            <w:tcW w:w="1418" w:type="pct"/>
            <w:tcBorders>
              <w:top w:val="single" w:sz="4" w:space="0" w:color="auto"/>
              <w:left w:val="single" w:sz="4" w:space="0" w:color="auto"/>
              <w:bottom w:val="single" w:sz="4" w:space="0" w:color="auto"/>
              <w:right w:val="single" w:sz="4" w:space="0" w:color="auto"/>
            </w:tcBorders>
            <w:tcMar>
              <w:top w:w="85" w:type="dxa"/>
              <w:bottom w:w="85" w:type="dxa"/>
            </w:tcMar>
          </w:tcPr>
          <w:p w14:paraId="42CA4CAC" w14:textId="77777777" w:rsidR="00C36D76" w:rsidRPr="009E064B" w:rsidRDefault="00C36D76" w:rsidP="00B06A9A">
            <w:pPr>
              <w:spacing w:after="100" w:afterAutospacing="1"/>
              <w:jc w:val="center"/>
              <w:rPr>
                <w:sz w:val="20"/>
                <w:szCs w:val="20"/>
              </w:rPr>
            </w:pPr>
            <w:r w:rsidRPr="009E064B">
              <w:rPr>
                <w:sz w:val="20"/>
                <w:szCs w:val="20"/>
              </w:rPr>
              <w:t>9</w:t>
            </w:r>
          </w:p>
        </w:tc>
        <w:tc>
          <w:tcPr>
            <w:tcW w:w="1414" w:type="pct"/>
            <w:tcBorders>
              <w:top w:val="single" w:sz="4" w:space="0" w:color="auto"/>
              <w:left w:val="single" w:sz="4" w:space="0" w:color="auto"/>
              <w:bottom w:val="single" w:sz="4" w:space="0" w:color="auto"/>
              <w:right w:val="single" w:sz="4" w:space="0" w:color="auto"/>
            </w:tcBorders>
            <w:tcMar>
              <w:top w:w="85" w:type="dxa"/>
              <w:bottom w:w="85" w:type="dxa"/>
            </w:tcMar>
          </w:tcPr>
          <w:p w14:paraId="65EC4BE8" w14:textId="77777777" w:rsidR="00C36D76" w:rsidRPr="009E064B" w:rsidRDefault="00C36D76" w:rsidP="00B06A9A">
            <w:pPr>
              <w:spacing w:after="100" w:afterAutospacing="1"/>
              <w:jc w:val="center"/>
              <w:rPr>
                <w:sz w:val="20"/>
                <w:szCs w:val="20"/>
              </w:rPr>
            </w:pPr>
            <w:r w:rsidRPr="009E064B">
              <w:rPr>
                <w:sz w:val="20"/>
                <w:szCs w:val="20"/>
              </w:rPr>
              <w:t>6</w:t>
            </w:r>
          </w:p>
        </w:tc>
      </w:tr>
      <w:tr w:rsidR="00C36D76" w:rsidRPr="009E064B" w14:paraId="0E2B3D39" w14:textId="77777777" w:rsidTr="0015379E">
        <w:tc>
          <w:tcPr>
            <w:tcW w:w="5000" w:type="pct"/>
            <w:gridSpan w:val="3"/>
            <w:tcBorders>
              <w:top w:val="single" w:sz="4" w:space="0" w:color="auto"/>
              <w:left w:val="single" w:sz="4" w:space="0" w:color="auto"/>
              <w:bottom w:val="single" w:sz="4" w:space="0" w:color="auto"/>
              <w:right w:val="single" w:sz="4" w:space="0" w:color="auto"/>
            </w:tcBorders>
          </w:tcPr>
          <w:p w14:paraId="7EFC3A4C" w14:textId="77777777" w:rsidR="00C36D76" w:rsidRPr="009E064B" w:rsidRDefault="00C36D76" w:rsidP="00BE304B">
            <w:pPr>
              <w:tabs>
                <w:tab w:val="left" w:pos="308"/>
              </w:tabs>
              <w:spacing w:before="120" w:after="80"/>
              <w:ind w:left="308" w:hanging="308"/>
              <w:rPr>
                <w:sz w:val="20"/>
                <w:szCs w:val="20"/>
              </w:rPr>
            </w:pPr>
            <w:r w:rsidRPr="009E064B">
              <w:rPr>
                <w:sz w:val="20"/>
                <w:szCs w:val="20"/>
              </w:rPr>
              <w:t xml:space="preserve">a </w:t>
            </w:r>
            <w:r w:rsidRPr="009E064B">
              <w:rPr>
                <w:sz w:val="20"/>
                <w:szCs w:val="20"/>
              </w:rPr>
              <w:tab/>
              <w:t>Przy doborze grupy wysokości oko-koło należy brać pod uwagę tylko te statki powietrzne, które będą regularnie korzystały z systemu PAPI i APAPI, a wśród nich decydujący dla określenia grupy będzie statek powietrzny o najwyższych wymaganiach.</w:t>
            </w:r>
          </w:p>
          <w:p w14:paraId="2D556B66" w14:textId="77777777" w:rsidR="00C36D76" w:rsidRPr="009E064B" w:rsidRDefault="00C36D76" w:rsidP="00BE304B">
            <w:pPr>
              <w:tabs>
                <w:tab w:val="left" w:pos="308"/>
              </w:tabs>
              <w:spacing w:after="80"/>
              <w:ind w:left="306" w:hanging="306"/>
              <w:rPr>
                <w:sz w:val="20"/>
                <w:szCs w:val="20"/>
              </w:rPr>
            </w:pPr>
            <w:r w:rsidRPr="009E064B">
              <w:rPr>
                <w:sz w:val="20"/>
                <w:szCs w:val="20"/>
              </w:rPr>
              <w:t xml:space="preserve">b </w:t>
            </w:r>
            <w:r w:rsidRPr="009E064B">
              <w:rPr>
                <w:sz w:val="20"/>
                <w:szCs w:val="20"/>
              </w:rPr>
              <w:tab/>
              <w:t>Tam, gdzie jest to praktycznie możliwe, należy stosować pożądany prześwit kół, określony w kolumnie (2).</w:t>
            </w:r>
          </w:p>
          <w:p w14:paraId="4105F036" w14:textId="77777777" w:rsidR="00C36D76" w:rsidRPr="009E064B" w:rsidRDefault="00C36D76" w:rsidP="00BE304B">
            <w:pPr>
              <w:tabs>
                <w:tab w:val="left" w:pos="308"/>
              </w:tabs>
              <w:spacing w:after="80"/>
              <w:ind w:left="306" w:hanging="306"/>
              <w:rPr>
                <w:sz w:val="20"/>
                <w:szCs w:val="20"/>
              </w:rPr>
            </w:pPr>
            <w:r w:rsidRPr="009E064B">
              <w:rPr>
                <w:sz w:val="20"/>
                <w:szCs w:val="20"/>
              </w:rPr>
              <w:t xml:space="preserve">c  </w:t>
            </w:r>
            <w:r w:rsidRPr="009E064B">
              <w:rPr>
                <w:sz w:val="20"/>
                <w:szCs w:val="20"/>
              </w:rPr>
              <w:tab/>
              <w:t>Pożądany prześwit kół, określony w kolumnie (2) może być zmniejszony do wartości nie mniejszych niż te określone w kolumnie (3), jeżeli ocena bezpieczeństwa wykaże, że tak zmniejszony prześwit kół jest akceptowalny.</w:t>
            </w:r>
          </w:p>
          <w:p w14:paraId="1BDD1E63" w14:textId="77777777" w:rsidR="00C36D76" w:rsidRPr="009E064B" w:rsidRDefault="00C36D76" w:rsidP="00BE304B">
            <w:pPr>
              <w:tabs>
                <w:tab w:val="left" w:pos="308"/>
              </w:tabs>
              <w:spacing w:after="80"/>
              <w:ind w:left="306" w:hanging="306"/>
              <w:rPr>
                <w:sz w:val="20"/>
                <w:szCs w:val="20"/>
              </w:rPr>
            </w:pPr>
            <w:r w:rsidRPr="009E064B">
              <w:rPr>
                <w:sz w:val="20"/>
                <w:szCs w:val="20"/>
              </w:rPr>
              <w:t xml:space="preserve">d </w:t>
            </w:r>
            <w:r w:rsidRPr="009E064B">
              <w:rPr>
                <w:sz w:val="20"/>
                <w:szCs w:val="20"/>
              </w:rPr>
              <w:tab/>
              <w:t>Jeżeli zastosowano zmniejszony prześwit kół nad przesuniętym progiem, to samolotom o największej odległości oko-koło w danej grupie należy zapewnić odpowiedni pożądany prześwit kół podany w kolumnie (2) przy przelocie nad końcem drogi startowej.</w:t>
            </w:r>
          </w:p>
          <w:p w14:paraId="0CE37C7B" w14:textId="77777777" w:rsidR="00C36D76" w:rsidRPr="009E064B" w:rsidRDefault="00C36D76" w:rsidP="00BE304B">
            <w:pPr>
              <w:tabs>
                <w:tab w:val="left" w:pos="308"/>
              </w:tabs>
              <w:ind w:left="306" w:hanging="306"/>
              <w:rPr>
                <w:sz w:val="20"/>
                <w:szCs w:val="20"/>
              </w:rPr>
            </w:pPr>
            <w:r w:rsidRPr="009E064B">
              <w:rPr>
                <w:sz w:val="20"/>
                <w:szCs w:val="20"/>
              </w:rPr>
              <w:t xml:space="preserve">e </w:t>
            </w:r>
            <w:r w:rsidRPr="009E064B">
              <w:rPr>
                <w:sz w:val="20"/>
                <w:szCs w:val="20"/>
              </w:rPr>
              <w:tab/>
              <w:t xml:space="preserve">Ww. prześwit kół może być zmniejszony do </w:t>
            </w:r>
            <w:smartTag w:uri="urn:schemas-microsoft-com:office:smarttags" w:element="metricconverter">
              <w:smartTagPr>
                <w:attr w:name="ProductID" w:val="1.5 m"/>
              </w:smartTagPr>
              <w:r w:rsidRPr="009E064B">
                <w:rPr>
                  <w:sz w:val="20"/>
                  <w:szCs w:val="20"/>
                </w:rPr>
                <w:t>1.5 m</w:t>
              </w:r>
            </w:smartTag>
            <w:r w:rsidRPr="009E064B">
              <w:rPr>
                <w:sz w:val="20"/>
                <w:szCs w:val="20"/>
              </w:rPr>
              <w:t xml:space="preserve"> w przypadku dróg startowych wykorzystywanych głównie przez lekkie statki powietrzne bez napędu turboodrzutowego.</w:t>
            </w:r>
          </w:p>
        </w:tc>
      </w:tr>
    </w:tbl>
    <w:p w14:paraId="2BD87293" w14:textId="77777777" w:rsidR="00C36D76" w:rsidRPr="009E064B" w:rsidRDefault="00C36D76" w:rsidP="00B06A9A">
      <w:pPr>
        <w:spacing w:after="0"/>
        <w:rPr>
          <w:rFonts w:cs="TimesNewRomanPSMT"/>
          <w:szCs w:val="20"/>
        </w:rPr>
      </w:pPr>
    </w:p>
    <w:p w14:paraId="29B03417" w14:textId="77777777" w:rsidR="00C36D76" w:rsidRPr="00BA0D33" w:rsidRDefault="00C36D76" w:rsidP="00B06A9A">
      <w:pPr>
        <w:tabs>
          <w:tab w:val="left" w:pos="567"/>
        </w:tabs>
        <w:ind w:left="567" w:hanging="567"/>
        <w:jc w:val="center"/>
        <w:rPr>
          <w:rFonts w:cs="TimesNewRomanPSMT"/>
          <w:b/>
          <w:szCs w:val="20"/>
        </w:rPr>
      </w:pPr>
      <w:r w:rsidRPr="00BA0D33">
        <w:rPr>
          <w:b/>
          <w:sz w:val="20"/>
          <w:szCs w:val="20"/>
        </w:rPr>
        <w:t>Tabela</w:t>
      </w:r>
      <w:r w:rsidRPr="00BA0D33">
        <w:rPr>
          <w:rFonts w:cs="TimesNewRomanPSMT"/>
          <w:b/>
          <w:sz w:val="20"/>
          <w:szCs w:val="20"/>
        </w:rPr>
        <w:t xml:space="preserve"> M-1.  Prześwit kół nad progiem drogi startowej dla PAPI i APAPI</w:t>
      </w:r>
    </w:p>
    <w:p w14:paraId="67CB2328" w14:textId="77777777" w:rsidR="00C36D76" w:rsidRPr="009E064B" w:rsidRDefault="00C36D76" w:rsidP="00B06A9A">
      <w:pPr>
        <w:rPr>
          <w:rFonts w:cs="TimesNewRomanPSMT"/>
          <w:szCs w:val="20"/>
        </w:rPr>
      </w:pPr>
    </w:p>
    <w:p w14:paraId="4CBC1AC6" w14:textId="77777777" w:rsidR="00814A8D" w:rsidRPr="009E064B" w:rsidRDefault="00814A8D" w:rsidP="00B06A9A">
      <w:pPr>
        <w:rPr>
          <w:rFonts w:cs="TimesNewRomanPSMT"/>
          <w:szCs w:val="20"/>
        </w:rPr>
      </w:pPr>
    </w:p>
    <w:tbl>
      <w:tblPr>
        <w:tblW w:w="5000" w:type="pct"/>
        <w:tblCellMar>
          <w:left w:w="28" w:type="dxa"/>
          <w:right w:w="28" w:type="dxa"/>
        </w:tblCellMar>
        <w:tblLook w:val="01E0" w:firstRow="1" w:lastRow="1" w:firstColumn="1" w:lastColumn="1" w:noHBand="0" w:noVBand="0"/>
      </w:tblPr>
      <w:tblGrid>
        <w:gridCol w:w="2281"/>
        <w:gridCol w:w="854"/>
        <w:gridCol w:w="856"/>
        <w:gridCol w:w="854"/>
        <w:gridCol w:w="858"/>
        <w:gridCol w:w="856"/>
        <w:gridCol w:w="854"/>
        <w:gridCol w:w="856"/>
        <w:gridCol w:w="858"/>
      </w:tblGrid>
      <w:tr w:rsidR="00C36D76" w:rsidRPr="00BA0D33" w14:paraId="6B8B432E" w14:textId="77777777" w:rsidTr="0018581F">
        <w:trPr>
          <w:trHeight w:val="20"/>
        </w:trPr>
        <w:tc>
          <w:tcPr>
            <w:tcW w:w="1249" w:type="pct"/>
            <w:vMerge w:val="restart"/>
            <w:tcBorders>
              <w:top w:val="single" w:sz="4" w:space="0" w:color="auto"/>
              <w:left w:val="single" w:sz="4" w:space="0" w:color="auto"/>
              <w:right w:val="single" w:sz="4" w:space="0" w:color="auto"/>
            </w:tcBorders>
            <w:vAlign w:val="center"/>
          </w:tcPr>
          <w:p w14:paraId="52645528"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Wymiary powierzchni</w:t>
            </w:r>
          </w:p>
        </w:tc>
        <w:tc>
          <w:tcPr>
            <w:tcW w:w="3751" w:type="pct"/>
            <w:gridSpan w:val="8"/>
            <w:tcBorders>
              <w:top w:val="single" w:sz="4" w:space="0" w:color="auto"/>
              <w:left w:val="single" w:sz="4" w:space="0" w:color="auto"/>
              <w:bottom w:val="single" w:sz="4" w:space="0" w:color="auto"/>
              <w:right w:val="single" w:sz="4" w:space="0" w:color="auto"/>
            </w:tcBorders>
            <w:tcMar>
              <w:top w:w="85" w:type="dxa"/>
              <w:bottom w:w="85" w:type="dxa"/>
            </w:tcMar>
          </w:tcPr>
          <w:p w14:paraId="6E23B95E" w14:textId="0BC1097B" w:rsidR="00C36D76" w:rsidRPr="00BA0D33" w:rsidRDefault="007655D0"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Typ</w:t>
            </w:r>
            <w:r w:rsidR="00C36D76" w:rsidRPr="00BA0D33">
              <w:rPr>
                <w:rFonts w:asciiTheme="minorHAnsi" w:hAnsiTheme="minorHAnsi" w:cstheme="minorHAnsi"/>
                <w:b/>
                <w:sz w:val="20"/>
                <w:szCs w:val="20"/>
              </w:rPr>
              <w:t xml:space="preserve"> drogi startowej / cyfra kodu</w:t>
            </w:r>
          </w:p>
        </w:tc>
      </w:tr>
      <w:tr w:rsidR="00C36D76" w:rsidRPr="00BA0D33" w14:paraId="23016041" w14:textId="77777777" w:rsidTr="0018581F">
        <w:trPr>
          <w:trHeight w:val="20"/>
        </w:trPr>
        <w:tc>
          <w:tcPr>
            <w:tcW w:w="1249" w:type="pct"/>
            <w:vMerge/>
            <w:tcBorders>
              <w:left w:val="single" w:sz="4" w:space="0" w:color="auto"/>
              <w:right w:val="single" w:sz="4" w:space="0" w:color="auto"/>
            </w:tcBorders>
          </w:tcPr>
          <w:p w14:paraId="589D3B9D" w14:textId="77777777" w:rsidR="00C36D76" w:rsidRPr="00BA0D33" w:rsidRDefault="00C36D76" w:rsidP="00B06A9A">
            <w:pPr>
              <w:spacing w:after="0"/>
              <w:rPr>
                <w:rFonts w:asciiTheme="minorHAnsi" w:hAnsiTheme="minorHAnsi" w:cstheme="minorHAnsi"/>
                <w:sz w:val="20"/>
                <w:szCs w:val="20"/>
              </w:rPr>
            </w:pPr>
          </w:p>
        </w:tc>
        <w:tc>
          <w:tcPr>
            <w:tcW w:w="1875" w:type="pct"/>
            <w:gridSpan w:val="4"/>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2304D246"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Nieprzyrządowa</w:t>
            </w:r>
          </w:p>
        </w:tc>
        <w:tc>
          <w:tcPr>
            <w:tcW w:w="1876" w:type="pct"/>
            <w:gridSpan w:val="4"/>
            <w:tcBorders>
              <w:top w:val="single" w:sz="4" w:space="0" w:color="auto"/>
              <w:left w:val="single" w:sz="4" w:space="0" w:color="auto"/>
              <w:bottom w:val="single" w:sz="4" w:space="0" w:color="auto"/>
              <w:right w:val="single" w:sz="4" w:space="0" w:color="auto"/>
            </w:tcBorders>
            <w:tcMar>
              <w:top w:w="85" w:type="dxa"/>
              <w:bottom w:w="85" w:type="dxa"/>
            </w:tcMar>
            <w:vAlign w:val="center"/>
          </w:tcPr>
          <w:p w14:paraId="0B0391E9"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Przyrządowa</w:t>
            </w:r>
          </w:p>
        </w:tc>
      </w:tr>
      <w:tr w:rsidR="00C36D76" w:rsidRPr="00BA0D33" w14:paraId="62295A10" w14:textId="77777777" w:rsidTr="0018581F">
        <w:tc>
          <w:tcPr>
            <w:tcW w:w="1249" w:type="pct"/>
            <w:vMerge/>
            <w:tcBorders>
              <w:left w:val="single" w:sz="4" w:space="0" w:color="auto"/>
              <w:right w:val="single" w:sz="4" w:space="0" w:color="auto"/>
            </w:tcBorders>
          </w:tcPr>
          <w:p w14:paraId="06D65178" w14:textId="77777777" w:rsidR="00C36D76" w:rsidRPr="00BA0D33" w:rsidRDefault="00C36D76" w:rsidP="00B06A9A">
            <w:pPr>
              <w:spacing w:after="0"/>
              <w:rPr>
                <w:rFonts w:asciiTheme="minorHAnsi" w:hAnsiTheme="minorHAnsi" w:cstheme="minorHAnsi"/>
                <w:sz w:val="20"/>
                <w:szCs w:val="20"/>
              </w:rPr>
            </w:pPr>
          </w:p>
        </w:tc>
        <w:tc>
          <w:tcPr>
            <w:tcW w:w="1875" w:type="pct"/>
            <w:gridSpan w:val="4"/>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67001061"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Cyfra kodu</w:t>
            </w:r>
          </w:p>
        </w:tc>
        <w:tc>
          <w:tcPr>
            <w:tcW w:w="1876" w:type="pct"/>
            <w:gridSpan w:val="4"/>
            <w:tcBorders>
              <w:top w:val="single" w:sz="4" w:space="0" w:color="auto"/>
              <w:left w:val="single" w:sz="4" w:space="0" w:color="auto"/>
              <w:bottom w:val="single" w:sz="4" w:space="0" w:color="auto"/>
              <w:right w:val="single" w:sz="4" w:space="0" w:color="auto"/>
            </w:tcBorders>
            <w:tcMar>
              <w:top w:w="28" w:type="dxa"/>
              <w:bottom w:w="28" w:type="dxa"/>
            </w:tcMar>
            <w:vAlign w:val="center"/>
          </w:tcPr>
          <w:p w14:paraId="08814464"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Cyfra kodu</w:t>
            </w:r>
          </w:p>
        </w:tc>
      </w:tr>
      <w:tr w:rsidR="00C36D76" w:rsidRPr="00BA0D33" w14:paraId="3A36CE04" w14:textId="77777777" w:rsidTr="0018581F">
        <w:trPr>
          <w:trHeight w:val="307"/>
        </w:trPr>
        <w:tc>
          <w:tcPr>
            <w:tcW w:w="1249" w:type="pct"/>
            <w:vMerge/>
            <w:tcBorders>
              <w:left w:val="single" w:sz="4" w:space="0" w:color="auto"/>
              <w:bottom w:val="single" w:sz="4" w:space="0" w:color="auto"/>
              <w:right w:val="single" w:sz="4" w:space="0" w:color="auto"/>
            </w:tcBorders>
          </w:tcPr>
          <w:p w14:paraId="6770F851" w14:textId="77777777" w:rsidR="00C36D76" w:rsidRPr="00BA0D33" w:rsidRDefault="00C36D76" w:rsidP="00B06A9A">
            <w:pPr>
              <w:spacing w:after="0"/>
              <w:rPr>
                <w:rFonts w:asciiTheme="minorHAnsi" w:hAnsiTheme="minorHAnsi" w:cstheme="minorHAnsi"/>
                <w:sz w:val="20"/>
                <w:szCs w:val="20"/>
              </w:rPr>
            </w:pPr>
          </w:p>
        </w:tc>
        <w:tc>
          <w:tcPr>
            <w:tcW w:w="4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F339D4"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1</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54FE6443"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2</w:t>
            </w:r>
          </w:p>
        </w:tc>
        <w:tc>
          <w:tcPr>
            <w:tcW w:w="468" w:type="pct"/>
            <w:tcBorders>
              <w:left w:val="single" w:sz="4" w:space="0" w:color="auto"/>
              <w:bottom w:val="single" w:sz="4" w:space="0" w:color="auto"/>
              <w:right w:val="single" w:sz="4" w:space="0" w:color="auto"/>
            </w:tcBorders>
            <w:tcMar>
              <w:left w:w="28" w:type="dxa"/>
              <w:right w:w="28" w:type="dxa"/>
            </w:tcMar>
            <w:vAlign w:val="center"/>
          </w:tcPr>
          <w:p w14:paraId="3E594E0F"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3</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031468A0"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4</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40FE6711"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1</w:t>
            </w:r>
          </w:p>
        </w:tc>
        <w:tc>
          <w:tcPr>
            <w:tcW w:w="468" w:type="pct"/>
            <w:tcBorders>
              <w:left w:val="single" w:sz="4" w:space="0" w:color="auto"/>
              <w:bottom w:val="single" w:sz="4" w:space="0" w:color="auto"/>
              <w:right w:val="single" w:sz="4" w:space="0" w:color="auto"/>
            </w:tcBorders>
            <w:tcMar>
              <w:left w:w="28" w:type="dxa"/>
              <w:right w:w="28" w:type="dxa"/>
            </w:tcMar>
            <w:vAlign w:val="center"/>
          </w:tcPr>
          <w:p w14:paraId="7AC4BFB5"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2</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68FB6D00"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3</w:t>
            </w:r>
          </w:p>
        </w:tc>
        <w:tc>
          <w:tcPr>
            <w:tcW w:w="469" w:type="pct"/>
            <w:tcBorders>
              <w:left w:val="single" w:sz="4" w:space="0" w:color="auto"/>
              <w:bottom w:val="single" w:sz="4" w:space="0" w:color="auto"/>
              <w:right w:val="single" w:sz="4" w:space="0" w:color="auto"/>
            </w:tcBorders>
            <w:tcMar>
              <w:left w:w="28" w:type="dxa"/>
              <w:right w:w="28" w:type="dxa"/>
            </w:tcMar>
            <w:vAlign w:val="center"/>
          </w:tcPr>
          <w:p w14:paraId="109188B9" w14:textId="77777777" w:rsidR="00C36D76" w:rsidRPr="00BA0D33" w:rsidRDefault="00C36D76" w:rsidP="00B06A9A">
            <w:pPr>
              <w:spacing w:after="0"/>
              <w:jc w:val="center"/>
              <w:rPr>
                <w:rFonts w:asciiTheme="minorHAnsi" w:hAnsiTheme="minorHAnsi" w:cstheme="minorHAnsi"/>
                <w:b/>
                <w:sz w:val="20"/>
                <w:szCs w:val="20"/>
              </w:rPr>
            </w:pPr>
            <w:r w:rsidRPr="00BA0D33">
              <w:rPr>
                <w:rFonts w:asciiTheme="minorHAnsi" w:hAnsiTheme="minorHAnsi" w:cstheme="minorHAnsi"/>
                <w:b/>
                <w:sz w:val="20"/>
                <w:szCs w:val="20"/>
              </w:rPr>
              <w:t>4</w:t>
            </w:r>
          </w:p>
        </w:tc>
      </w:tr>
      <w:tr w:rsidR="00C36D76" w:rsidRPr="00BA0D33" w14:paraId="0910B225" w14:textId="77777777" w:rsidTr="006537D9">
        <w:trPr>
          <w:trHeight w:val="289"/>
        </w:trPr>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bottom"/>
          </w:tcPr>
          <w:p w14:paraId="638A3AC1" w14:textId="77777777" w:rsidR="00C36D76" w:rsidRPr="00BA0D33" w:rsidRDefault="00C36D76" w:rsidP="0018581F">
            <w:pPr>
              <w:spacing w:after="0"/>
              <w:jc w:val="left"/>
              <w:rPr>
                <w:rFonts w:asciiTheme="minorHAnsi" w:hAnsiTheme="minorHAnsi" w:cstheme="minorHAnsi"/>
                <w:sz w:val="20"/>
                <w:szCs w:val="20"/>
              </w:rPr>
            </w:pPr>
            <w:r w:rsidRPr="00BA0D33">
              <w:rPr>
                <w:rFonts w:asciiTheme="minorHAnsi" w:hAnsiTheme="minorHAnsi" w:cstheme="minorHAnsi"/>
                <w:sz w:val="20"/>
                <w:szCs w:val="20"/>
              </w:rPr>
              <w:t>Długość krawędzi wewnętrznej</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8FCED02"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60 m"/>
              </w:smartTagPr>
              <w:r w:rsidRPr="00BA0D33">
                <w:rPr>
                  <w:rFonts w:asciiTheme="minorHAnsi" w:hAnsiTheme="minorHAnsi" w:cstheme="minorHAnsi"/>
                  <w:sz w:val="20"/>
                  <w:szCs w:val="20"/>
                </w:rPr>
                <w:t>60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A1D38F9"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80 m</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E1F7ABB"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BA0D33">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8B41C58"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BA0D33">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0B02F98"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BA0D33">
                <w:rPr>
                  <w:rFonts w:asciiTheme="minorHAnsi" w:hAnsiTheme="minorHAnsi" w:cstheme="minorHAnsi"/>
                  <w:sz w:val="20"/>
                  <w:szCs w:val="20"/>
                </w:rPr>
                <w:t>150 m</w:t>
              </w:r>
            </w:smartTag>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21E829B"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150 m"/>
              </w:smartTagPr>
              <w:r w:rsidRPr="00BA0D33">
                <w:rPr>
                  <w:rFonts w:asciiTheme="minorHAnsi" w:hAnsiTheme="minorHAnsi" w:cstheme="minorHAnsi"/>
                  <w:sz w:val="20"/>
                  <w:szCs w:val="20"/>
                </w:rPr>
                <w:t>150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7854A79"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300 m"/>
              </w:smartTagPr>
              <w:r w:rsidRPr="00BA0D33">
                <w:rPr>
                  <w:rFonts w:asciiTheme="minorHAnsi" w:hAnsiTheme="minorHAnsi" w:cstheme="minorHAnsi"/>
                  <w:sz w:val="20"/>
                  <w:szCs w:val="20"/>
                </w:rPr>
                <w:t>300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F86FFD0" w14:textId="77777777" w:rsidR="00C36D76" w:rsidRPr="00BA0D33" w:rsidRDefault="00C36D76" w:rsidP="006537D9">
            <w:pPr>
              <w:spacing w:after="0"/>
              <w:jc w:val="center"/>
              <w:rPr>
                <w:rFonts w:asciiTheme="minorHAnsi" w:hAnsiTheme="minorHAnsi" w:cstheme="minorHAnsi"/>
                <w:sz w:val="20"/>
                <w:szCs w:val="20"/>
              </w:rPr>
            </w:pPr>
            <w:smartTag w:uri="urn:schemas-microsoft-com:office:smarttags" w:element="metricconverter">
              <w:smartTagPr>
                <w:attr w:name="ProductID" w:val="300 m"/>
              </w:smartTagPr>
              <w:r w:rsidRPr="00BA0D33">
                <w:rPr>
                  <w:rFonts w:asciiTheme="minorHAnsi" w:hAnsiTheme="minorHAnsi" w:cstheme="minorHAnsi"/>
                  <w:sz w:val="20"/>
                  <w:szCs w:val="20"/>
                </w:rPr>
                <w:t>300 m</w:t>
              </w:r>
            </w:smartTag>
          </w:p>
        </w:tc>
      </w:tr>
      <w:tr w:rsidR="0018581F" w:rsidRPr="00BA0D33" w14:paraId="632943E7"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608EF847" w14:textId="68254793" w:rsidR="00C36D76" w:rsidRPr="00BA0D33" w:rsidRDefault="00C36D76" w:rsidP="0018581F">
            <w:pPr>
              <w:spacing w:after="0"/>
              <w:jc w:val="left"/>
              <w:rPr>
                <w:rFonts w:asciiTheme="minorHAnsi" w:hAnsiTheme="minorHAnsi" w:cstheme="minorHAnsi"/>
                <w:sz w:val="20"/>
                <w:szCs w:val="20"/>
              </w:rPr>
            </w:pPr>
            <w:r w:rsidRPr="00BA0D33">
              <w:rPr>
                <w:rFonts w:asciiTheme="minorHAnsi" w:hAnsiTheme="minorHAnsi" w:cstheme="minorHAnsi"/>
                <w:sz w:val="20"/>
                <w:szCs w:val="20"/>
              </w:rPr>
              <w:t xml:space="preserve">Odległość od </w:t>
            </w:r>
            <w:r w:rsidR="004E50EA" w:rsidRPr="00BA0D33">
              <w:rPr>
                <w:rFonts w:asciiTheme="minorHAnsi" w:hAnsiTheme="minorHAnsi" w:cstheme="minorHAnsi"/>
                <w:sz w:val="20"/>
                <w:szCs w:val="20"/>
              </w:rPr>
              <w:t xml:space="preserve">systemu wzrokowych wskaźników ścieżki podejścia </w:t>
            </w:r>
            <w:r w:rsidR="004E50EA" w:rsidRPr="00BA0D33">
              <w:rPr>
                <w:rFonts w:asciiTheme="minorHAnsi" w:hAnsiTheme="minorHAnsi" w:cstheme="minorHAnsi"/>
                <w:sz w:val="20"/>
                <w:szCs w:val="20"/>
                <w:vertAlign w:val="superscript"/>
              </w:rPr>
              <w:t>2</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67D79687" w14:textId="75CC0E24"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smartTag w:uri="urn:schemas-microsoft-com:office:smarttags" w:element="metricconverter">
              <w:smartTagPr>
                <w:attr w:name="ProductID" w:val="30 m"/>
              </w:smartTagPr>
              <w:r w:rsidR="00C36D76" w:rsidRPr="00BA0D33">
                <w:rPr>
                  <w:rFonts w:asciiTheme="minorHAnsi" w:hAnsiTheme="minorHAnsi" w:cstheme="minorHAnsi"/>
                  <w:sz w:val="20"/>
                  <w:szCs w:val="20"/>
                </w:rPr>
                <w:t>30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4B6B7F8" w14:textId="45DB2294"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smartTag w:uri="urn:schemas-microsoft-com:office:smarttags" w:element="metricconverter">
              <w:smartTagPr>
                <w:attr w:name="ProductID" w:val="60 m"/>
              </w:smartTagPr>
              <w:r w:rsidR="00C36D76" w:rsidRPr="00BA0D33">
                <w:rPr>
                  <w:rFonts w:asciiTheme="minorHAnsi" w:hAnsiTheme="minorHAnsi" w:cstheme="minorHAnsi"/>
                  <w:sz w:val="20"/>
                  <w:szCs w:val="20"/>
                </w:rPr>
                <w:t>60 m</w:t>
              </w:r>
            </w:smartTag>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0BC99C3" w14:textId="37E21E85"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smartTag w:uri="urn:schemas-microsoft-com:office:smarttags" w:element="metricconverter">
              <w:smartTagPr>
                <w:attr w:name="ProductID" w:val="60 m"/>
              </w:smartTagPr>
              <w:r w:rsidR="00C36D76" w:rsidRPr="00BA0D33">
                <w:rPr>
                  <w:rFonts w:asciiTheme="minorHAnsi" w:hAnsiTheme="minorHAnsi" w:cstheme="minorHAnsi"/>
                  <w:sz w:val="20"/>
                  <w:szCs w:val="20"/>
                </w:rPr>
                <w:t>60 m</w:t>
              </w:r>
            </w:smartTag>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E637A32" w14:textId="7EBD61F2"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r w:rsidR="00C36D76" w:rsidRPr="00BA0D33">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953BE63" w14:textId="63EFAC6F"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r w:rsidR="00C36D76" w:rsidRPr="00BA0D33">
              <w:rPr>
                <w:rFonts w:asciiTheme="minorHAnsi" w:hAnsiTheme="minorHAnsi" w:cstheme="minorHAnsi"/>
                <w:sz w:val="20"/>
                <w:szCs w:val="20"/>
              </w:rPr>
              <w:t>60 m</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CBBA253" w14:textId="47EDC170"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r w:rsidR="00C36D76" w:rsidRPr="00BA0D33">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54F1323" w14:textId="3A91376B"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r w:rsidR="00C36D76" w:rsidRPr="00BA0D33">
              <w:rPr>
                <w:rFonts w:asciiTheme="minorHAnsi" w:hAnsiTheme="minorHAnsi" w:cstheme="minorHAnsi"/>
                <w:sz w:val="20"/>
                <w:szCs w:val="20"/>
              </w:rPr>
              <w:t>60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59DD60C" w14:textId="6FB4E894" w:rsidR="00C36D76" w:rsidRPr="00BA0D33" w:rsidRDefault="004E50EA"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D1+</w:t>
            </w:r>
            <w:r w:rsidR="00C36D76" w:rsidRPr="00BA0D33">
              <w:rPr>
                <w:rFonts w:asciiTheme="minorHAnsi" w:hAnsiTheme="minorHAnsi" w:cstheme="minorHAnsi"/>
                <w:sz w:val="20"/>
                <w:szCs w:val="20"/>
              </w:rPr>
              <w:t>60 m</w:t>
            </w:r>
          </w:p>
        </w:tc>
      </w:tr>
      <w:tr w:rsidR="00C36D76" w:rsidRPr="00BA0D33" w14:paraId="29BC9E42"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411EE1F0" w14:textId="090B0ECD" w:rsidR="00C36D76" w:rsidRPr="00BA0D33" w:rsidRDefault="00C36D76" w:rsidP="00B06A9A">
            <w:pPr>
              <w:spacing w:after="0"/>
              <w:rPr>
                <w:rFonts w:asciiTheme="minorHAnsi" w:hAnsiTheme="minorHAnsi" w:cstheme="minorHAnsi"/>
                <w:sz w:val="20"/>
                <w:szCs w:val="20"/>
              </w:rPr>
            </w:pPr>
            <w:r w:rsidRPr="00BA0D33">
              <w:rPr>
                <w:rFonts w:asciiTheme="minorHAnsi" w:hAnsiTheme="minorHAnsi" w:cstheme="minorHAnsi"/>
                <w:sz w:val="20"/>
                <w:szCs w:val="20"/>
              </w:rPr>
              <w:t xml:space="preserve">Rozchylenie </w:t>
            </w:r>
            <w:r w:rsidR="0018581F" w:rsidRPr="00BA0D33">
              <w:rPr>
                <w:rFonts w:asciiTheme="minorHAnsi" w:hAnsiTheme="minorHAnsi" w:cstheme="minorHAnsi"/>
                <w:sz w:val="20"/>
                <w:szCs w:val="20"/>
              </w:rPr>
              <w:br/>
            </w:r>
            <w:r w:rsidRPr="00BA0D33">
              <w:rPr>
                <w:rFonts w:asciiTheme="minorHAnsi" w:hAnsiTheme="minorHAnsi" w:cstheme="minorHAnsi"/>
                <w:sz w:val="20"/>
                <w:szCs w:val="20"/>
              </w:rPr>
              <w:t>(z każdej strony)</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8CE990A"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8D20135"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10%</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B85094B"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9C2878B"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10%</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6D6BEBA"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75FE09B"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43857AD"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088589F"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w:t>
            </w:r>
          </w:p>
        </w:tc>
      </w:tr>
      <w:tr w:rsidR="00C36D76" w:rsidRPr="00BA0D33" w14:paraId="384AD488"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4410234B" w14:textId="77777777" w:rsidR="00C36D76" w:rsidRPr="00BA0D33" w:rsidRDefault="00C36D76" w:rsidP="00B06A9A">
            <w:pPr>
              <w:spacing w:after="0"/>
              <w:rPr>
                <w:rFonts w:asciiTheme="minorHAnsi" w:hAnsiTheme="minorHAnsi" w:cstheme="minorHAnsi"/>
                <w:sz w:val="20"/>
                <w:szCs w:val="20"/>
              </w:rPr>
            </w:pPr>
            <w:r w:rsidRPr="00BA0D33">
              <w:rPr>
                <w:rFonts w:asciiTheme="minorHAnsi" w:hAnsiTheme="minorHAnsi" w:cstheme="minorHAnsi"/>
                <w:sz w:val="20"/>
                <w:szCs w:val="20"/>
              </w:rPr>
              <w:t>Długość całkowita</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A26BB81"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7500 m</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AF413BC" w14:textId="77777777" w:rsidR="00C36D76" w:rsidRPr="00BA0D33" w:rsidRDefault="00C36D76" w:rsidP="006537D9">
            <w:pPr>
              <w:spacing w:after="0"/>
              <w:ind w:left="-36" w:right="-79"/>
              <w:jc w:val="center"/>
              <w:rPr>
                <w:rFonts w:asciiTheme="minorHAnsi" w:hAnsiTheme="minorHAnsi" w:cstheme="minorHAnsi"/>
                <w:sz w:val="20"/>
                <w:szCs w:val="20"/>
              </w:rPr>
            </w:pPr>
            <w:r w:rsidRPr="00BA0D33">
              <w:rPr>
                <w:rFonts w:asciiTheme="minorHAnsi" w:hAnsiTheme="minorHAnsi" w:cstheme="minorHAnsi"/>
                <w:sz w:val="20"/>
                <w:szCs w:val="20"/>
              </w:rPr>
              <w:t>7500 m</w:t>
            </w:r>
          </w:p>
        </w:tc>
        <w:tc>
          <w:tcPr>
            <w:tcW w:w="468"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00A60544"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7C24BFD1"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28DFA505"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7500 m</w:t>
            </w:r>
          </w:p>
        </w:tc>
        <w:tc>
          <w:tcPr>
            <w:tcW w:w="468"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26CA8C02" w14:textId="77777777" w:rsidR="00C36D76" w:rsidRPr="00BA0D33" w:rsidRDefault="00C36D76" w:rsidP="006537D9">
            <w:pPr>
              <w:spacing w:after="0"/>
              <w:ind w:left="-114" w:right="-143"/>
              <w:jc w:val="center"/>
              <w:rPr>
                <w:rFonts w:asciiTheme="minorHAnsi" w:hAnsiTheme="minorHAnsi" w:cstheme="minorHAnsi"/>
                <w:sz w:val="20"/>
                <w:szCs w:val="20"/>
              </w:rPr>
            </w:pPr>
            <w:r w:rsidRPr="00BA0D33">
              <w:rPr>
                <w:rFonts w:asciiTheme="minorHAnsi" w:hAnsiTheme="minorHAnsi" w:cstheme="minorHAnsi"/>
                <w:sz w:val="20"/>
                <w:szCs w:val="20"/>
              </w:rPr>
              <w:t>7500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4369DE60"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15 000 m</w:t>
            </w:r>
          </w:p>
        </w:tc>
        <w:tc>
          <w:tcPr>
            <w:tcW w:w="469" w:type="pct"/>
            <w:tcBorders>
              <w:top w:val="single" w:sz="4" w:space="0" w:color="auto"/>
              <w:left w:val="single" w:sz="4" w:space="0" w:color="auto"/>
              <w:bottom w:val="single" w:sz="4" w:space="0" w:color="auto"/>
              <w:right w:val="single" w:sz="4" w:space="0" w:color="auto"/>
            </w:tcBorders>
            <w:tcMar>
              <w:top w:w="113" w:type="dxa"/>
              <w:left w:w="0" w:type="dxa"/>
              <w:bottom w:w="113" w:type="dxa"/>
              <w:right w:w="0" w:type="dxa"/>
            </w:tcMar>
            <w:vAlign w:val="center"/>
          </w:tcPr>
          <w:p w14:paraId="4F84E4D0"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15 000 m</w:t>
            </w:r>
          </w:p>
        </w:tc>
      </w:tr>
      <w:tr w:rsidR="00C36D76" w:rsidRPr="00BA0D33" w14:paraId="17C5EDE8"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29C83E7F" w14:textId="4DA5FDA6" w:rsidR="00C36D76" w:rsidRPr="00BA0D33" w:rsidRDefault="00C36D76" w:rsidP="00B06A9A">
            <w:pPr>
              <w:spacing w:after="0"/>
              <w:rPr>
                <w:rFonts w:asciiTheme="minorHAnsi" w:hAnsiTheme="minorHAnsi" w:cstheme="minorHAnsi"/>
                <w:sz w:val="20"/>
                <w:szCs w:val="20"/>
              </w:rPr>
            </w:pPr>
            <w:r w:rsidRPr="00BA0D33">
              <w:rPr>
                <w:rFonts w:asciiTheme="minorHAnsi" w:hAnsiTheme="minorHAnsi" w:cstheme="minorHAnsi"/>
                <w:sz w:val="20"/>
                <w:szCs w:val="20"/>
              </w:rPr>
              <w:t xml:space="preserve"> </w:t>
            </w:r>
            <w:r w:rsidR="006537D9" w:rsidRPr="00BA0D33">
              <w:rPr>
                <w:rFonts w:asciiTheme="minorHAnsi" w:hAnsiTheme="minorHAnsi" w:cstheme="minorHAnsi"/>
                <w:sz w:val="20"/>
                <w:szCs w:val="20"/>
              </w:rPr>
              <w:t xml:space="preserve"> </w:t>
            </w:r>
            <w:r w:rsidRPr="00BA0D33">
              <w:rPr>
                <w:rFonts w:asciiTheme="minorHAnsi" w:hAnsiTheme="minorHAnsi" w:cstheme="minorHAnsi"/>
                <w:sz w:val="20"/>
                <w:szCs w:val="20"/>
              </w:rPr>
              <w:t xml:space="preserve"> b)  PAPI</w:t>
            </w:r>
            <w:r w:rsidRPr="00BA0D33">
              <w:rPr>
                <w:rFonts w:asciiTheme="minorHAnsi" w:hAnsiTheme="minorHAnsi" w:cstheme="minorHAnsi"/>
                <w:sz w:val="20"/>
                <w:szCs w:val="20"/>
                <w:vertAlign w:val="superscript"/>
              </w:rPr>
              <w:t>1</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21266DB"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700956F"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C718DCF"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B59F771"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576A190"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320E05C"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F4C1B76"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5C66964"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A-0.57º</w:t>
            </w:r>
          </w:p>
        </w:tc>
      </w:tr>
      <w:tr w:rsidR="00C36D76" w:rsidRPr="00BA0D33" w14:paraId="51BDEE8E" w14:textId="77777777" w:rsidTr="006537D9">
        <w:tc>
          <w:tcPr>
            <w:tcW w:w="124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tcPr>
          <w:p w14:paraId="1F44A930" w14:textId="2F71B243" w:rsidR="00C36D76" w:rsidRPr="00BA0D33" w:rsidRDefault="00C36D76" w:rsidP="006537D9">
            <w:pPr>
              <w:spacing w:after="0"/>
              <w:rPr>
                <w:rFonts w:asciiTheme="minorHAnsi" w:hAnsiTheme="minorHAnsi" w:cstheme="minorHAnsi"/>
                <w:sz w:val="20"/>
                <w:szCs w:val="20"/>
              </w:rPr>
            </w:pPr>
            <w:r w:rsidRPr="00BA0D33">
              <w:rPr>
                <w:rFonts w:asciiTheme="minorHAnsi" w:hAnsiTheme="minorHAnsi" w:cstheme="minorHAnsi"/>
                <w:sz w:val="20"/>
                <w:szCs w:val="20"/>
              </w:rPr>
              <w:t xml:space="preserve"> </w:t>
            </w:r>
            <w:r w:rsidR="006537D9" w:rsidRPr="00BA0D33">
              <w:rPr>
                <w:rFonts w:asciiTheme="minorHAnsi" w:hAnsiTheme="minorHAnsi" w:cstheme="minorHAnsi"/>
                <w:sz w:val="20"/>
                <w:szCs w:val="20"/>
              </w:rPr>
              <w:t xml:space="preserve">  </w:t>
            </w:r>
            <w:r w:rsidRPr="00BA0D33">
              <w:rPr>
                <w:rFonts w:asciiTheme="minorHAnsi" w:hAnsiTheme="minorHAnsi" w:cstheme="minorHAnsi"/>
                <w:sz w:val="20"/>
                <w:szCs w:val="20"/>
              </w:rPr>
              <w:t>c)  APAPI</w:t>
            </w:r>
            <w:r w:rsidRPr="00BA0D33">
              <w:rPr>
                <w:rFonts w:asciiTheme="minorHAnsi" w:hAnsiTheme="minorHAnsi" w:cstheme="minorHAnsi"/>
                <w:sz w:val="20"/>
                <w:szCs w:val="20"/>
                <w:vertAlign w:val="superscript"/>
              </w:rPr>
              <w:t>1</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281B49FD"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A-0.9º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39F2478D"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A-0.9º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EAFC17E"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579ECD5F"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0239A41C"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A-0.9º</w:t>
            </w:r>
          </w:p>
        </w:tc>
        <w:tc>
          <w:tcPr>
            <w:tcW w:w="468"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78597D8A"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A-0.9º</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1C322042"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w:t>
            </w:r>
          </w:p>
        </w:tc>
        <w:tc>
          <w:tcPr>
            <w:tcW w:w="469" w:type="pct"/>
            <w:tcBorders>
              <w:top w:val="single" w:sz="4" w:space="0" w:color="auto"/>
              <w:left w:val="single" w:sz="4" w:space="0" w:color="auto"/>
              <w:bottom w:val="single" w:sz="4" w:space="0" w:color="auto"/>
              <w:right w:val="single" w:sz="4" w:space="0" w:color="auto"/>
            </w:tcBorders>
            <w:tcMar>
              <w:top w:w="113" w:type="dxa"/>
              <w:left w:w="28" w:type="dxa"/>
              <w:bottom w:w="113" w:type="dxa"/>
              <w:right w:w="28" w:type="dxa"/>
            </w:tcMar>
            <w:vAlign w:val="center"/>
          </w:tcPr>
          <w:p w14:paraId="4A0C379A" w14:textId="77777777" w:rsidR="00C36D76" w:rsidRPr="00BA0D33" w:rsidRDefault="00C36D76" w:rsidP="006537D9">
            <w:pPr>
              <w:spacing w:after="0"/>
              <w:jc w:val="center"/>
              <w:rPr>
                <w:rFonts w:asciiTheme="minorHAnsi" w:hAnsiTheme="minorHAnsi" w:cstheme="minorHAnsi"/>
                <w:sz w:val="20"/>
                <w:szCs w:val="20"/>
              </w:rPr>
            </w:pPr>
            <w:r w:rsidRPr="00BA0D33">
              <w:rPr>
                <w:rFonts w:asciiTheme="minorHAnsi" w:hAnsiTheme="minorHAnsi" w:cstheme="minorHAnsi"/>
                <w:sz w:val="20"/>
                <w:szCs w:val="20"/>
              </w:rPr>
              <w:t>–</w:t>
            </w:r>
          </w:p>
        </w:tc>
      </w:tr>
      <w:tr w:rsidR="00C36D76" w:rsidRPr="00BA0D33" w14:paraId="7EF19145" w14:textId="77777777" w:rsidTr="00C36D76">
        <w:trPr>
          <w:trHeight w:val="236"/>
        </w:trPr>
        <w:tc>
          <w:tcPr>
            <w:tcW w:w="5000" w:type="pct"/>
            <w:gridSpan w:val="9"/>
            <w:tcBorders>
              <w:left w:val="single" w:sz="4" w:space="0" w:color="auto"/>
              <w:bottom w:val="single" w:sz="4" w:space="0" w:color="auto"/>
              <w:right w:val="single" w:sz="4" w:space="0" w:color="auto"/>
            </w:tcBorders>
            <w:tcMar>
              <w:top w:w="85" w:type="dxa"/>
              <w:left w:w="28" w:type="dxa"/>
              <w:bottom w:w="85" w:type="dxa"/>
              <w:right w:w="28" w:type="dxa"/>
            </w:tcMar>
          </w:tcPr>
          <w:p w14:paraId="1865497F" w14:textId="77777777" w:rsidR="00C36D76" w:rsidRPr="00BA0D33" w:rsidRDefault="00C36D76" w:rsidP="006537D9">
            <w:pPr>
              <w:tabs>
                <w:tab w:val="left" w:pos="254"/>
              </w:tabs>
              <w:ind w:left="254" w:right="142" w:hanging="142"/>
              <w:rPr>
                <w:rFonts w:asciiTheme="minorHAnsi" w:hAnsiTheme="minorHAnsi" w:cstheme="minorHAnsi"/>
                <w:sz w:val="20"/>
                <w:szCs w:val="20"/>
              </w:rPr>
            </w:pPr>
            <w:r w:rsidRPr="00BA0D33">
              <w:rPr>
                <w:rFonts w:asciiTheme="minorHAnsi" w:hAnsiTheme="minorHAnsi" w:cstheme="minorHAnsi"/>
                <w:sz w:val="20"/>
                <w:szCs w:val="20"/>
                <w:vertAlign w:val="superscript"/>
              </w:rPr>
              <w:t>1</w:t>
            </w:r>
            <w:r w:rsidR="000E0B48" w:rsidRPr="00BA0D33">
              <w:rPr>
                <w:rFonts w:asciiTheme="minorHAnsi" w:hAnsiTheme="minorHAnsi" w:cstheme="minorHAnsi"/>
                <w:sz w:val="20"/>
                <w:szCs w:val="20"/>
              </w:rPr>
              <w:t xml:space="preserve">  Kąty zgodnie z R</w:t>
            </w:r>
            <w:r w:rsidRPr="00BA0D33">
              <w:rPr>
                <w:rFonts w:asciiTheme="minorHAnsi" w:hAnsiTheme="minorHAnsi" w:cstheme="minorHAnsi"/>
                <w:sz w:val="20"/>
                <w:szCs w:val="20"/>
              </w:rPr>
              <w:t>ysunkiem M-5.</w:t>
            </w:r>
          </w:p>
          <w:p w14:paraId="7E758EBB" w14:textId="7A5602B2" w:rsidR="004E50EA" w:rsidRPr="00BA0D33" w:rsidRDefault="004E50EA" w:rsidP="006537D9">
            <w:pPr>
              <w:tabs>
                <w:tab w:val="left" w:pos="254"/>
              </w:tabs>
              <w:ind w:left="254" w:right="142" w:hanging="142"/>
              <w:rPr>
                <w:rFonts w:asciiTheme="minorHAnsi" w:hAnsiTheme="minorHAnsi" w:cstheme="minorHAnsi"/>
                <w:sz w:val="20"/>
                <w:szCs w:val="20"/>
              </w:rPr>
            </w:pPr>
            <w:r w:rsidRPr="00BA0D33">
              <w:rPr>
                <w:rFonts w:asciiTheme="minorHAnsi" w:hAnsiTheme="minorHAnsi" w:cstheme="minorHAnsi"/>
                <w:sz w:val="20"/>
                <w:szCs w:val="20"/>
                <w:vertAlign w:val="superscript"/>
              </w:rPr>
              <w:t>2</w:t>
            </w:r>
            <w:r w:rsidRPr="00BA0D33">
              <w:rPr>
                <w:rFonts w:asciiTheme="minorHAnsi" w:hAnsiTheme="minorHAnsi" w:cstheme="minorHAnsi"/>
                <w:sz w:val="20"/>
                <w:szCs w:val="20"/>
              </w:rPr>
              <w:t xml:space="preserve">  D1 - oznacza odległość systemu wzrokowych wskaźników ścieżki podejścia od progu drogi startowej przed każdym przesunięciem, mającym na celu usunięcie obiektu przebijającego powierzchnię zabezpieczenia przeszkodowego (OPS)</w:t>
            </w:r>
            <w:r w:rsidR="001507D0" w:rsidRPr="00BA0D33">
              <w:rPr>
                <w:rFonts w:asciiTheme="minorHAnsi" w:hAnsiTheme="minorHAnsi" w:cstheme="minorHAnsi"/>
                <w:sz w:val="20"/>
                <w:szCs w:val="20"/>
              </w:rPr>
              <w:t xml:space="preserve"> (patrz R</w:t>
            </w:r>
            <w:r w:rsidRPr="00BA0D33">
              <w:rPr>
                <w:rFonts w:asciiTheme="minorHAnsi" w:hAnsiTheme="minorHAnsi" w:cstheme="minorHAnsi"/>
                <w:sz w:val="20"/>
                <w:szCs w:val="20"/>
              </w:rPr>
              <w:t xml:space="preserve">ysunek </w:t>
            </w:r>
            <w:r w:rsidR="001507D0" w:rsidRPr="00BA0D33">
              <w:rPr>
                <w:rFonts w:asciiTheme="minorHAnsi" w:hAnsiTheme="minorHAnsi" w:cstheme="minorHAnsi"/>
                <w:sz w:val="20"/>
                <w:szCs w:val="20"/>
              </w:rPr>
              <w:t>M</w:t>
            </w:r>
            <w:r w:rsidRPr="00BA0D33">
              <w:rPr>
                <w:rFonts w:asciiTheme="minorHAnsi" w:hAnsiTheme="minorHAnsi" w:cstheme="minorHAnsi"/>
                <w:sz w:val="20"/>
                <w:szCs w:val="20"/>
              </w:rPr>
              <w:t>-</w:t>
            </w:r>
            <w:r w:rsidR="001507D0" w:rsidRPr="00BA0D33">
              <w:rPr>
                <w:rFonts w:asciiTheme="minorHAnsi" w:hAnsiTheme="minorHAnsi" w:cstheme="minorHAnsi"/>
                <w:sz w:val="20"/>
                <w:szCs w:val="20"/>
              </w:rPr>
              <w:t>4</w:t>
            </w:r>
            <w:r w:rsidRPr="00BA0D33">
              <w:rPr>
                <w:rFonts w:asciiTheme="minorHAnsi" w:hAnsiTheme="minorHAnsi" w:cstheme="minorHAnsi"/>
                <w:sz w:val="20"/>
                <w:szCs w:val="20"/>
              </w:rPr>
              <w:t>). Początek powierzchni zabezpieczenia przeszkodowego jest ściśle związany z lokalizacją systemu wzrokowych wskaźników ścieżki podejścia, tak że przesunięcie PAPI powoduje takie samo przesuniecie początku powierzchni zabezpieczenia przeszkodowego.</w:t>
            </w:r>
          </w:p>
        </w:tc>
      </w:tr>
    </w:tbl>
    <w:p w14:paraId="145EEF4B" w14:textId="77777777" w:rsidR="00C36D76" w:rsidRPr="009E064B" w:rsidRDefault="00C36D76" w:rsidP="00B06A9A">
      <w:pPr>
        <w:spacing w:after="0"/>
        <w:rPr>
          <w:rFonts w:cs="TimesNewRomanPSMT"/>
          <w:szCs w:val="20"/>
        </w:rPr>
      </w:pPr>
    </w:p>
    <w:p w14:paraId="190EC107" w14:textId="5C7F8E74" w:rsidR="00C36D76" w:rsidRPr="00BA0D33" w:rsidRDefault="00C36D76" w:rsidP="00B06A9A">
      <w:pPr>
        <w:jc w:val="center"/>
        <w:rPr>
          <w:rFonts w:cs="TimesNewRomanPSMT"/>
          <w:b/>
          <w:sz w:val="20"/>
          <w:szCs w:val="20"/>
        </w:rPr>
      </w:pPr>
      <w:r w:rsidRPr="00BA0D33">
        <w:rPr>
          <w:rFonts w:cs="TimesNewRomanPSMT"/>
          <w:b/>
          <w:sz w:val="20"/>
          <w:szCs w:val="20"/>
        </w:rPr>
        <w:t>Tabela M-2.   Wymiary i nachylenia powierzchni zabezpieczenia przeszkodowego</w:t>
      </w:r>
    </w:p>
    <w:p w14:paraId="2488E4B7" w14:textId="3F06D65E" w:rsidR="001507D0" w:rsidRPr="009E064B" w:rsidRDefault="001507D0" w:rsidP="006537D9">
      <w:pPr>
        <w:jc w:val="left"/>
        <w:rPr>
          <w:rFonts w:cs="TimesNewRomanPSMT"/>
          <w:szCs w:val="20"/>
        </w:rPr>
      </w:pPr>
    </w:p>
    <w:p w14:paraId="045AB6FC" w14:textId="77777777" w:rsidR="006537D9" w:rsidRPr="009E064B" w:rsidRDefault="006537D9" w:rsidP="006537D9">
      <w:pPr>
        <w:jc w:val="left"/>
        <w:rPr>
          <w:rFonts w:cs="TimesNewRomanPSMT"/>
          <w:szCs w:val="20"/>
        </w:rPr>
      </w:pPr>
    </w:p>
    <w:p w14:paraId="1EDDE6BB" w14:textId="73FFA558" w:rsidR="004E50EA" w:rsidRPr="009E064B" w:rsidRDefault="001507D0" w:rsidP="00B06A9A">
      <w:pPr>
        <w:jc w:val="center"/>
        <w:rPr>
          <w:rFonts w:cs="TimesNewRomanPSMT"/>
          <w:szCs w:val="20"/>
        </w:rPr>
      </w:pPr>
      <w:r w:rsidRPr="009E064B">
        <w:rPr>
          <w:noProof/>
          <w:lang w:eastAsia="pl-PL"/>
        </w:rPr>
        <w:drawing>
          <wp:inline distT="0" distB="0" distL="0" distR="0" wp14:anchorId="7B8DCE31" wp14:editId="53D8055D">
            <wp:extent cx="5760085" cy="4540340"/>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60085" cy="4540340"/>
                    </a:xfrm>
                    <a:prstGeom prst="rect">
                      <a:avLst/>
                    </a:prstGeom>
                    <a:noFill/>
                    <a:ln>
                      <a:noFill/>
                    </a:ln>
                  </pic:spPr>
                </pic:pic>
              </a:graphicData>
            </a:graphic>
          </wp:inline>
        </w:drawing>
      </w:r>
    </w:p>
    <w:p w14:paraId="43233E73" w14:textId="3CC28918" w:rsidR="00C36D76" w:rsidRPr="00BA0D33" w:rsidRDefault="00C36D76" w:rsidP="00B06A9A">
      <w:pPr>
        <w:ind w:left="1134" w:hanging="1134"/>
        <w:jc w:val="center"/>
        <w:rPr>
          <w:b/>
          <w:color w:val="FF0000"/>
        </w:rPr>
      </w:pPr>
      <w:r w:rsidRPr="00BA0D33">
        <w:rPr>
          <w:b/>
          <w:sz w:val="20"/>
        </w:rPr>
        <w:t xml:space="preserve">Rysunek M-6.  Powierzchnia zabezpieczenia przeszkodowego dla systemów </w:t>
      </w:r>
      <w:r w:rsidRPr="00BA0D33">
        <w:rPr>
          <w:b/>
          <w:sz w:val="20"/>
        </w:rPr>
        <w:br/>
        <w:t>wzrokowych wskaźników ścieżki podejścia</w:t>
      </w:r>
    </w:p>
    <w:p w14:paraId="3A1F9AA5" w14:textId="609E657F" w:rsidR="00C36D76" w:rsidRPr="009E064B" w:rsidRDefault="00C36D76" w:rsidP="002F582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16DDBA3" w14:textId="77777777" w:rsidR="005339C0" w:rsidRPr="009E064B" w:rsidRDefault="005339C0" w:rsidP="002F5823">
      <w:pPr>
        <w:pStyle w:val="Tekstpodstawowy"/>
        <w:spacing w:after="360"/>
        <w:ind w:left="23" w:hanging="23"/>
        <w:rPr>
          <w:rFonts w:asciiTheme="minorHAnsi" w:hAnsiTheme="minorHAnsi" w:cstheme="minorHAnsi"/>
          <w:i/>
          <w:sz w:val="16"/>
          <w:szCs w:val="16"/>
        </w:rPr>
      </w:pPr>
      <w:bookmarkStart w:id="1508" w:name="_Toc401059033"/>
      <w:bookmarkStart w:id="1509" w:name="_Toc482886899"/>
      <w:r w:rsidRPr="000412BF">
        <w:rPr>
          <w:rFonts w:asciiTheme="minorHAnsi" w:hAnsiTheme="minorHAnsi" w:cstheme="minorHAnsi"/>
          <w:i/>
          <w:sz w:val="16"/>
          <w:szCs w:val="16"/>
        </w:rPr>
        <w:t>[Wydanie: ADR-DSN/4]</w:t>
      </w:r>
    </w:p>
    <w:p w14:paraId="697C6FC0" w14:textId="5E0354F7" w:rsidR="00272C61" w:rsidRPr="009E064B" w:rsidRDefault="006D228E" w:rsidP="00133B99">
      <w:pPr>
        <w:pStyle w:val="Nagwek6"/>
      </w:pPr>
      <w:bookmarkStart w:id="1510" w:name="_Toc12533190"/>
      <w:r w:rsidRPr="009E064B">
        <w:t xml:space="preserve">GM1 ADR-DSN.M.655     </w:t>
      </w:r>
      <w:r w:rsidR="00272C61" w:rsidRPr="009E064B">
        <w:t>Powierzchnie zabezpieczenia przeszkodowego PAPI i APAPI</w:t>
      </w:r>
      <w:bookmarkEnd w:id="1508"/>
      <w:bookmarkEnd w:id="1509"/>
      <w:bookmarkEnd w:id="1510"/>
    </w:p>
    <w:p w14:paraId="76086F0D" w14:textId="49FBE462"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2A6D283" w14:textId="1558B86C" w:rsidR="00240F6C" w:rsidRPr="00BA0D33" w:rsidRDefault="00240F6C" w:rsidP="00EE2E0D">
      <w:pPr>
        <w:tabs>
          <w:tab w:val="left" w:pos="567"/>
        </w:tabs>
        <w:ind w:left="567" w:hanging="567"/>
        <w:rPr>
          <w:szCs w:val="20"/>
        </w:rPr>
      </w:pPr>
      <w:r w:rsidRPr="00BA0D33">
        <w:rPr>
          <w:szCs w:val="20"/>
        </w:rPr>
        <w:t xml:space="preserve">(a) </w:t>
      </w:r>
      <w:r w:rsidRPr="00BA0D33">
        <w:rPr>
          <w:szCs w:val="20"/>
        </w:rPr>
        <w:tab/>
        <w:t>Przesuniecie systemu w kierunku pod wiatr od progu drogi startowej zmniejsza operacyjną odległość do lądowania.</w:t>
      </w:r>
    </w:p>
    <w:p w14:paraId="07A7D0AB" w14:textId="51189081" w:rsidR="00240F6C" w:rsidRPr="00BA0D33" w:rsidRDefault="00240F6C" w:rsidP="00EE2E0D">
      <w:pPr>
        <w:tabs>
          <w:tab w:val="left" w:pos="567"/>
        </w:tabs>
        <w:ind w:left="567" w:hanging="567"/>
        <w:rPr>
          <w:szCs w:val="20"/>
        </w:rPr>
      </w:pPr>
      <w:r w:rsidRPr="00BA0D33">
        <w:rPr>
          <w:szCs w:val="20"/>
        </w:rPr>
        <w:t xml:space="preserve">(b) </w:t>
      </w:r>
      <w:r w:rsidRPr="00BA0D33">
        <w:rPr>
          <w:szCs w:val="20"/>
        </w:rPr>
        <w:tab/>
        <w:t>Dodatkowe wskazówki na temat dokonywania obliczeń do lokalizacji PAPI/APAPI na drodze startowej wyposażonej w ILS/MLS są określone w „</w:t>
      </w:r>
      <w:r w:rsidRPr="00BA0D33">
        <w:rPr>
          <w:i/>
          <w:szCs w:val="20"/>
        </w:rPr>
        <w:t>Podręczniku projektowania lotnisk</w:t>
      </w:r>
      <w:r w:rsidRPr="00BA0D33">
        <w:rPr>
          <w:szCs w:val="20"/>
        </w:rPr>
        <w:t>” (ICAO Doc 9157)</w:t>
      </w:r>
      <w:r w:rsidR="00F01E85" w:rsidRPr="00BA0D33">
        <w:rPr>
          <w:szCs w:val="20"/>
        </w:rPr>
        <w:t>, Część 4 „</w:t>
      </w:r>
      <w:r w:rsidRPr="00BA0D33">
        <w:rPr>
          <w:i/>
          <w:szCs w:val="20"/>
        </w:rPr>
        <w:t>Pomoce wzrokowe</w:t>
      </w:r>
      <w:r w:rsidR="00F01E85" w:rsidRPr="00BA0D33">
        <w:rPr>
          <w:szCs w:val="20"/>
        </w:rPr>
        <w:t>”.</w:t>
      </w:r>
    </w:p>
    <w:p w14:paraId="6CEECA30" w14:textId="77777777" w:rsidR="003F4B5A" w:rsidRPr="009E064B" w:rsidRDefault="003F4B5A" w:rsidP="002F5823">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853FCE6" w14:textId="51E62840" w:rsidR="00C36D76" w:rsidRPr="009E064B" w:rsidRDefault="008C30B4" w:rsidP="00B06A9A">
      <w:pPr>
        <w:pStyle w:val="Nagwek4"/>
        <w:rPr>
          <w:color w:val="auto"/>
        </w:rPr>
      </w:pPr>
      <w:bookmarkStart w:id="1511" w:name="_Toc482886676"/>
      <w:bookmarkStart w:id="1512" w:name="_Toc12533191"/>
      <w:r w:rsidRPr="009E064B">
        <w:rPr>
          <w:color w:val="auto"/>
        </w:rPr>
        <w:t xml:space="preserve">CS ADR-DSN.M.660     </w:t>
      </w:r>
      <w:r w:rsidR="00C36D76" w:rsidRPr="009E064B">
        <w:rPr>
          <w:color w:val="auto"/>
        </w:rPr>
        <w:t>Światła prowadzenia po kręgu</w:t>
      </w:r>
      <w:bookmarkEnd w:id="1511"/>
      <w:bookmarkEnd w:id="1512"/>
    </w:p>
    <w:p w14:paraId="52C9CF4B" w14:textId="3E853CCC"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919A87F" w14:textId="0C1ED340"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Światła prowadzenia po kręgu powinny być instalowane, jeżeli istniejące wzrokowe systemy podejścia oraz światła drogi startowej, nie pozwalają na zadawalającą identyfikację drogi startowej i/lub strefy podejścia dla statków powietrznych wykonujących lot po kręgu, które zamierzają wykonać podejście z kręgu.</w:t>
      </w:r>
    </w:p>
    <w:p w14:paraId="0861D8A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i ustawienie:</w:t>
      </w:r>
    </w:p>
    <w:p w14:paraId="2CC1EB5E"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t xml:space="preserve">Lokalizacja </w:t>
      </w:r>
      <w:r w:rsidRPr="009E064B">
        <w:rPr>
          <w:szCs w:val="20"/>
        </w:rPr>
        <w:t>oraz liczba świateł prowadzenia po kręgu powinna być wystarczająca, aby umożliwić pilotowi, odpowiednio:</w:t>
      </w:r>
    </w:p>
    <w:p w14:paraId="266F476C"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wejście na pozycję „z wiatrem” lub wyrównanie kursu statku powietrznego do drogi startowej w określonej od niej odległości oraz zidentyfikowanie progu w czasie przelotu; oraz</w:t>
      </w:r>
    </w:p>
    <w:p w14:paraId="1613BEA6"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utrzymywanie w zasięgu wzroku progu drogi startowej i/lub innych punktów orientacyjnych umożliwiających poprawne wykonanie trzeciego zakrętu i wyjście na prostą do lądowania, uwzględniając prowadzenie innych pomocy wzrokowych.</w:t>
      </w:r>
    </w:p>
    <w:p w14:paraId="0E859391"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prowadzenia po kręgu powinny składać się z:</w:t>
      </w:r>
    </w:p>
    <w:p w14:paraId="357ACA10"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 xml:space="preserve">świateł wskazujących przedłużoną linię środkową drogi startowej i/lub części jakiegokolwiek systemu świateł podejścia; lub </w:t>
      </w:r>
    </w:p>
    <w:p w14:paraId="42A69DFB"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 xml:space="preserve">świateł wskazujących położenie progu drogi startowej; lub </w:t>
      </w:r>
    </w:p>
    <w:p w14:paraId="0D077BAE" w14:textId="77777777" w:rsidR="00C36D76" w:rsidRPr="009E064B" w:rsidRDefault="00C36D76" w:rsidP="00B06A9A">
      <w:pPr>
        <w:tabs>
          <w:tab w:val="left" w:pos="1701"/>
        </w:tabs>
        <w:ind w:left="1701" w:hanging="567"/>
        <w:rPr>
          <w:szCs w:val="20"/>
        </w:rPr>
      </w:pPr>
      <w:r w:rsidRPr="009E064B">
        <w:rPr>
          <w:rFonts w:cs="Times New Roman"/>
          <w:szCs w:val="20"/>
        </w:rPr>
        <w:t>(iii)</w:t>
      </w:r>
      <w:r w:rsidRPr="009E064B">
        <w:rPr>
          <w:rFonts w:cs="Times New Roman"/>
          <w:szCs w:val="20"/>
        </w:rPr>
        <w:tab/>
      </w:r>
      <w:r w:rsidRPr="009E064B">
        <w:rPr>
          <w:szCs w:val="20"/>
        </w:rPr>
        <w:t>świateł wskazujących kierunek lub położenie drogi startowej;</w:t>
      </w:r>
    </w:p>
    <w:p w14:paraId="73207F5A" w14:textId="77777777" w:rsidR="00C36D76" w:rsidRPr="009E064B" w:rsidRDefault="00C36D76" w:rsidP="00B06A9A">
      <w:pPr>
        <w:tabs>
          <w:tab w:val="left" w:pos="1701"/>
        </w:tabs>
        <w:ind w:left="1701" w:hanging="567"/>
        <w:rPr>
          <w:szCs w:val="20"/>
        </w:rPr>
      </w:pPr>
      <w:r w:rsidRPr="009E064B">
        <w:rPr>
          <w:szCs w:val="20"/>
        </w:rPr>
        <w:t>lub kombinacji tych świateł, odpowiednio dla danej drogi startowej.</w:t>
      </w:r>
    </w:p>
    <w:p w14:paraId="40C281ED"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00FF4009"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prowadzenia po kręgu powinny być światłami stałymi lub błyskowymi, których intensywność i rozwarcie wiązki będą dostosowane do warunków widzialności oraz świateł tła, w jakich przewidziane jest wykonanie podejścia do lądowania z kręgu. Światła błyskowe powinny być koloru białego, światła stałe − koloru białego albo światłami lampy wyładowczej.</w:t>
      </w:r>
    </w:p>
    <w:p w14:paraId="5B485210"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powinny być zaprojektowane i zainstalowane w taki sposób, aby nie oślepiały lub nie wprowadzały w błąd pilota w czasie wykonywania podejścia do lądowania, startu lub kołowania.</w:t>
      </w:r>
    </w:p>
    <w:p w14:paraId="008123E2"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54A3B89" w14:textId="2C08F42C" w:rsidR="005D60FB" w:rsidRPr="009E064B" w:rsidRDefault="006D228E" w:rsidP="00133B99">
      <w:pPr>
        <w:pStyle w:val="Nagwek6"/>
      </w:pPr>
      <w:bookmarkStart w:id="1513" w:name="_Toc401059034"/>
      <w:bookmarkStart w:id="1514" w:name="_Toc482886900"/>
      <w:bookmarkStart w:id="1515" w:name="_Toc12533192"/>
      <w:r w:rsidRPr="009E064B">
        <w:t xml:space="preserve">GM1 ADR-DSN.M.660     </w:t>
      </w:r>
      <w:r w:rsidR="005D60FB" w:rsidRPr="009E064B">
        <w:t>Światła prowadzenia po kręgu</w:t>
      </w:r>
      <w:bookmarkEnd w:id="1513"/>
      <w:bookmarkEnd w:id="1514"/>
      <w:bookmarkEnd w:id="1515"/>
    </w:p>
    <w:p w14:paraId="0638EF78" w14:textId="09CDAE47"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BDAFDF1" w14:textId="77777777" w:rsidR="005D60FB" w:rsidRPr="009E064B" w:rsidRDefault="005D60FB" w:rsidP="00B06A9A">
      <w:pPr>
        <w:rPr>
          <w:szCs w:val="20"/>
        </w:rPr>
      </w:pPr>
      <w:r w:rsidRPr="009E064B">
        <w:rPr>
          <w:szCs w:val="20"/>
        </w:rPr>
        <w:t>Celowo pozostawiono puste.</w:t>
      </w:r>
    </w:p>
    <w:p w14:paraId="2F2C6F4B" w14:textId="666664BA" w:rsidR="00C36D76" w:rsidRPr="009E064B" w:rsidRDefault="006D228E" w:rsidP="00B06A9A">
      <w:pPr>
        <w:pStyle w:val="Nagwek4"/>
        <w:rPr>
          <w:color w:val="auto"/>
        </w:rPr>
      </w:pPr>
      <w:bookmarkStart w:id="1516" w:name="_Toc482886677"/>
      <w:bookmarkStart w:id="1517" w:name="_Toc12533193"/>
      <w:r w:rsidRPr="009E064B">
        <w:rPr>
          <w:color w:val="auto"/>
        </w:rPr>
        <w:t xml:space="preserve">CS ADR-DSN.M.665     </w:t>
      </w:r>
      <w:r w:rsidR="00C36D76" w:rsidRPr="009E064B">
        <w:rPr>
          <w:color w:val="auto"/>
        </w:rPr>
        <w:t>System świateł prowadzenia do drogi startowej</w:t>
      </w:r>
      <w:bookmarkEnd w:id="1516"/>
      <w:bookmarkEnd w:id="1517"/>
    </w:p>
    <w:p w14:paraId="6BB2EC50" w14:textId="2327F90E"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6B66C7B" w14:textId="6EBC5269" w:rsidR="00C36D76" w:rsidRPr="009E064B" w:rsidRDefault="00C36D76" w:rsidP="006D228E">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System świateł prowadzenia do drogi startowej powinien być instalowany w celu ominięcia niebezpiecznego terenu.</w:t>
      </w:r>
    </w:p>
    <w:p w14:paraId="2F6C9B87"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p>
    <w:p w14:paraId="749752A5" w14:textId="32765ADF"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System świateł prowadzenia do drogi startowej powinien być </w:t>
      </w:r>
      <w:r w:rsidR="003523F3" w:rsidRPr="009E064B">
        <w:rPr>
          <w:szCs w:val="20"/>
        </w:rPr>
        <w:t>Zmieniony</w:t>
      </w:r>
      <w:r w:rsidRPr="009E064B">
        <w:rPr>
          <w:szCs w:val="20"/>
        </w:rPr>
        <w:t xml:space="preserve"> z grup świateł rozmieszczonych w taki sposób, aby:</w:t>
      </w:r>
    </w:p>
    <w:p w14:paraId="6C4A8484"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określać żądaną ścieżkę podejścia. System świateł prowadzenia do drogi startowej może być krzywoliniowy, prostoliniowy lub być kombinacją tych dwóch rozwiązań; oraz</w:t>
      </w:r>
    </w:p>
    <w:p w14:paraId="01CAB079"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znad poprzedniej grupy świateł widoczna była grupa następna.</w:t>
      </w:r>
    </w:p>
    <w:p w14:paraId="57E0B074"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Odległość pomiędzy sąsiednimi grupami powinna wynosić nie więcej niż około 1600 m.</w:t>
      </w:r>
    </w:p>
    <w:p w14:paraId="61DE2935" w14:textId="1B71D7DF"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007148B7" w:rsidRPr="009E064B">
        <w:rPr>
          <w:szCs w:val="20"/>
        </w:rPr>
        <w:t>Sys</w:t>
      </w:r>
      <w:r w:rsidR="002F5823" w:rsidRPr="009E064B">
        <w:rPr>
          <w:szCs w:val="20"/>
        </w:rPr>
        <w:t>t</w:t>
      </w:r>
      <w:r w:rsidRPr="009E064B">
        <w:rPr>
          <w:szCs w:val="20"/>
        </w:rPr>
        <w:t>em świateł prowadzenia do drogi startowej powinien się rozciągać od określonego punktu do miejsca, gdzie widoczny jest system świateł podejścia, jeżeli występuje, lub</w:t>
      </w:r>
      <w:r w:rsidR="007D1946">
        <w:rPr>
          <w:szCs w:val="20"/>
        </w:rPr>
        <w:t> </w:t>
      </w:r>
      <w:r w:rsidRPr="009E064B">
        <w:rPr>
          <w:szCs w:val="20"/>
        </w:rPr>
        <w:t>system świateł drogi startowej.</w:t>
      </w:r>
    </w:p>
    <w:p w14:paraId="22DFC9A5" w14:textId="73FD1E0C"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Każda grupa świateł systemu prowadzenia do drogi star</w:t>
      </w:r>
      <w:r w:rsidR="007D1946">
        <w:rPr>
          <w:szCs w:val="20"/>
        </w:rPr>
        <w:t>towej powinna składać się, z co </w:t>
      </w:r>
      <w:r w:rsidRPr="009E064B">
        <w:rPr>
          <w:szCs w:val="20"/>
        </w:rPr>
        <w:t>najmniej trzech lamp błyskowych w konfiguracji liniowej lub grupowej. System powinien być uzupełniony światłami stałymi, jeżeli będą one pomocne w identyfikacji systemu.</w:t>
      </w:r>
    </w:p>
    <w:p w14:paraId="7E478E49" w14:textId="6E297714" w:rsidR="00C36D76" w:rsidRPr="00BA0D33" w:rsidRDefault="00C36D76" w:rsidP="00B06A9A">
      <w:pPr>
        <w:tabs>
          <w:tab w:val="left" w:pos="567"/>
        </w:tabs>
        <w:ind w:left="567" w:hanging="567"/>
        <w:rPr>
          <w:szCs w:val="20"/>
        </w:rPr>
      </w:pPr>
      <w:r w:rsidRPr="00BA0D33">
        <w:rPr>
          <w:rFonts w:cs="Times New Roman"/>
          <w:szCs w:val="20"/>
        </w:rPr>
        <w:t xml:space="preserve">(c) </w:t>
      </w:r>
      <w:r w:rsidRPr="00BA0D33">
        <w:rPr>
          <w:rFonts w:cs="Times New Roman"/>
          <w:szCs w:val="20"/>
        </w:rPr>
        <w:tab/>
      </w:r>
      <w:r w:rsidRPr="00BA0D33">
        <w:rPr>
          <w:szCs w:val="20"/>
        </w:rPr>
        <w:t xml:space="preserve">Charakterystyki: Światła błyskowe </w:t>
      </w:r>
      <w:r w:rsidR="00EF6429" w:rsidRPr="00BA0D33">
        <w:rPr>
          <w:szCs w:val="20"/>
        </w:rPr>
        <w:t xml:space="preserve">i światła stałe </w:t>
      </w:r>
      <w:r w:rsidRPr="00BA0D33">
        <w:rPr>
          <w:szCs w:val="20"/>
        </w:rPr>
        <w:t>powinny być białe.</w:t>
      </w:r>
    </w:p>
    <w:p w14:paraId="13A7799D" w14:textId="77777777" w:rsidR="005339C0" w:rsidRPr="009E064B" w:rsidRDefault="005339C0" w:rsidP="002F5823">
      <w:pPr>
        <w:pStyle w:val="Tekstpodstawowy"/>
        <w:spacing w:before="120" w:after="3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A2A9470" w14:textId="6A851635" w:rsidR="005D60FB" w:rsidRPr="009E064B" w:rsidRDefault="005D60FB" w:rsidP="00133B99">
      <w:pPr>
        <w:pStyle w:val="Nagwek6"/>
      </w:pPr>
      <w:bookmarkStart w:id="1518" w:name="_Toc401059036"/>
      <w:bookmarkStart w:id="1519" w:name="_Toc482886901"/>
      <w:bookmarkStart w:id="1520" w:name="_Toc12533194"/>
      <w:r w:rsidRPr="009E064B">
        <w:t>GM1</w:t>
      </w:r>
      <w:r w:rsidR="006D228E" w:rsidRPr="009E064B">
        <w:t xml:space="preserve"> ADR-DSN.M.665     </w:t>
      </w:r>
      <w:r w:rsidRPr="009E064B">
        <w:t>System świateł prowadzenia do drogi startowej</w:t>
      </w:r>
      <w:bookmarkEnd w:id="1518"/>
      <w:bookmarkEnd w:id="1519"/>
      <w:bookmarkEnd w:id="1520"/>
    </w:p>
    <w:p w14:paraId="12885689" w14:textId="637109F7"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E8D415C" w14:textId="47918A8A" w:rsidR="005D60FB" w:rsidRPr="009E064B" w:rsidRDefault="005D60FB" w:rsidP="006D228E">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Zastosowanie: System </w:t>
      </w:r>
      <w:r w:rsidRPr="009E064B">
        <w:t>świateł</w:t>
      </w:r>
      <w:r w:rsidRPr="009E064B">
        <w:rPr>
          <w:szCs w:val="20"/>
        </w:rPr>
        <w:t xml:space="preserve"> prowadzenia do drogi startowej może być zapewniany w celu ograniczenia hałasu.</w:t>
      </w:r>
    </w:p>
    <w:p w14:paraId="3C115ADC" w14:textId="77777777" w:rsidR="005D60FB" w:rsidRPr="009E064B" w:rsidRDefault="005D60F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Charakterystyka:</w:t>
      </w:r>
    </w:p>
    <w:p w14:paraId="00D78E41" w14:textId="77777777" w:rsidR="005D60FB" w:rsidRPr="009E064B" w:rsidRDefault="005D60F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Jeżeli jest to możliwe, światła błyskowe w każdej grupie powinny błyskać w kolejności wskazując kierunek do drogi startowej.</w:t>
      </w:r>
    </w:p>
    <w:p w14:paraId="68790F67" w14:textId="77777777" w:rsidR="005D60FB" w:rsidRPr="009E064B" w:rsidRDefault="005D60F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Ścieżka systemu może być podzielona na segmenty, prostoliniowa lub być kombinacją tych dwóch rozwiązań.</w:t>
      </w:r>
    </w:p>
    <w:p w14:paraId="0750E0AD" w14:textId="77777777" w:rsidR="005D60FB" w:rsidRPr="009E064B" w:rsidRDefault="005D60FB"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Punkt początkowy ścieżki może znajdować się w punkcie w zasięgu wzrokowym pozycji podejścia końcowego.</w:t>
      </w:r>
    </w:p>
    <w:p w14:paraId="49D7E9C5" w14:textId="08AABAE1" w:rsidR="00C36D76" w:rsidRPr="009E064B" w:rsidRDefault="006D228E" w:rsidP="00B06A9A">
      <w:pPr>
        <w:pStyle w:val="Nagwek4"/>
        <w:rPr>
          <w:color w:val="auto"/>
        </w:rPr>
      </w:pPr>
      <w:bookmarkStart w:id="1521" w:name="_Toc482886678"/>
      <w:bookmarkStart w:id="1522" w:name="_Toc12533195"/>
      <w:r w:rsidRPr="009E064B">
        <w:rPr>
          <w:color w:val="auto"/>
        </w:rPr>
        <w:t xml:space="preserve">CS ADR-DSN.M.670     </w:t>
      </w:r>
      <w:r w:rsidR="00C36D76" w:rsidRPr="009E064B">
        <w:rPr>
          <w:color w:val="auto"/>
        </w:rPr>
        <w:t>Światła identyfikacji progu drogi startowej</w:t>
      </w:r>
      <w:bookmarkEnd w:id="1521"/>
      <w:bookmarkEnd w:id="1522"/>
    </w:p>
    <w:p w14:paraId="39399BFB" w14:textId="0700F8AA"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D850B73" w14:textId="3A4521CE" w:rsidR="00EF6429" w:rsidRPr="00BA0D33" w:rsidRDefault="00EF6429" w:rsidP="00EE2E0D">
      <w:pPr>
        <w:tabs>
          <w:tab w:val="left" w:pos="567"/>
        </w:tabs>
        <w:ind w:left="567" w:hanging="567"/>
        <w:rPr>
          <w:szCs w:val="20"/>
        </w:rPr>
      </w:pPr>
      <w:r w:rsidRPr="00BA0D33">
        <w:rPr>
          <w:szCs w:val="20"/>
        </w:rPr>
        <w:t>(a)</w:t>
      </w:r>
      <w:r w:rsidRPr="00BA0D33">
        <w:rPr>
          <w:szCs w:val="20"/>
        </w:rPr>
        <w:tab/>
        <w:t>Zastosowanie</w:t>
      </w:r>
    </w:p>
    <w:p w14:paraId="305AD4B2" w14:textId="303017D5" w:rsidR="00EF6429" w:rsidRPr="00BA0D33" w:rsidRDefault="00EF6429" w:rsidP="00EE2E0D">
      <w:pPr>
        <w:tabs>
          <w:tab w:val="left" w:pos="1134"/>
        </w:tabs>
        <w:autoSpaceDE w:val="0"/>
        <w:autoSpaceDN w:val="0"/>
        <w:adjustRightInd w:val="0"/>
        <w:ind w:left="1134" w:hanging="567"/>
        <w:rPr>
          <w:szCs w:val="20"/>
        </w:rPr>
      </w:pPr>
      <w:r w:rsidRPr="00BA0D33">
        <w:rPr>
          <w:rFonts w:eastAsia="Times New Roman,Italic" w:cs="Times New Roman,Italic"/>
          <w:iCs/>
          <w:szCs w:val="20"/>
        </w:rPr>
        <w:t>(1)</w:t>
      </w:r>
      <w:r w:rsidRPr="00BA0D33">
        <w:rPr>
          <w:rFonts w:eastAsia="Times New Roman,Italic" w:cs="Times New Roman,Italic"/>
          <w:iCs/>
          <w:szCs w:val="20"/>
        </w:rPr>
        <w:tab/>
        <w:t>Włączenie specyfikacji dotyczących świateł identyfikacji progu drogi startowej nie oznacza, że światła identyfikacji progu drogi startowej muszą być zapewnione na lotnisku.</w:t>
      </w:r>
    </w:p>
    <w:p w14:paraId="3E20466F" w14:textId="610261E5" w:rsidR="00EF6429" w:rsidRPr="00BA0D33" w:rsidRDefault="009B4F42" w:rsidP="00EE2E0D">
      <w:pPr>
        <w:tabs>
          <w:tab w:val="left" w:pos="1134"/>
        </w:tabs>
        <w:autoSpaceDE w:val="0"/>
        <w:autoSpaceDN w:val="0"/>
        <w:adjustRightInd w:val="0"/>
        <w:ind w:left="1134" w:hanging="567"/>
        <w:rPr>
          <w:rFonts w:eastAsia="Times New Roman,Italic" w:cs="Times New Roman,Italic"/>
          <w:iCs/>
          <w:szCs w:val="20"/>
        </w:rPr>
      </w:pPr>
      <w:r w:rsidRPr="00BA0D33">
        <w:rPr>
          <w:rFonts w:eastAsia="Times New Roman,Italic" w:cs="Times New Roman,Italic"/>
          <w:iCs/>
          <w:szCs w:val="20"/>
        </w:rPr>
        <w:t>(2)</w:t>
      </w:r>
      <w:r w:rsidRPr="00BA0D33">
        <w:rPr>
          <w:rFonts w:eastAsia="Times New Roman,Italic" w:cs="Times New Roman,Italic"/>
          <w:iCs/>
          <w:szCs w:val="20"/>
        </w:rPr>
        <w:tab/>
        <w:t>Jeżeli ś</w:t>
      </w:r>
      <w:r w:rsidR="00EF6429" w:rsidRPr="00BA0D33">
        <w:rPr>
          <w:rFonts w:eastAsia="Times New Roman,Italic" w:cs="Times New Roman,Italic"/>
          <w:iCs/>
          <w:szCs w:val="20"/>
        </w:rPr>
        <w:t xml:space="preserve">wiatła identyfikacji progu drogi startowej </w:t>
      </w:r>
      <w:r w:rsidRPr="00BA0D33">
        <w:rPr>
          <w:rFonts w:eastAsia="Times New Roman,Italic" w:cs="Times New Roman,Italic"/>
          <w:iCs/>
          <w:szCs w:val="20"/>
        </w:rPr>
        <w:t xml:space="preserve">są zapewniane, to </w:t>
      </w:r>
      <w:r w:rsidR="00EF6429" w:rsidRPr="00BA0D33">
        <w:rPr>
          <w:rFonts w:eastAsia="Times New Roman,Italic" w:cs="Times New Roman,Italic"/>
          <w:iCs/>
          <w:szCs w:val="20"/>
        </w:rPr>
        <w:t>powinny być zainstalowane:</w:t>
      </w:r>
    </w:p>
    <w:p w14:paraId="773AEA89" w14:textId="7F32E396" w:rsidR="00EF6429" w:rsidRPr="00BA0D33" w:rsidRDefault="009B4F42" w:rsidP="00EE2E0D">
      <w:pPr>
        <w:tabs>
          <w:tab w:val="left" w:pos="1701"/>
        </w:tabs>
        <w:autoSpaceDE w:val="0"/>
        <w:autoSpaceDN w:val="0"/>
        <w:adjustRightInd w:val="0"/>
        <w:ind w:left="1701" w:hanging="567"/>
        <w:rPr>
          <w:rFonts w:eastAsia="Times New Roman,Italic" w:cs="Times New Roman,Italic"/>
          <w:iCs/>
          <w:szCs w:val="20"/>
        </w:rPr>
      </w:pPr>
      <w:r w:rsidRPr="00BA0D33">
        <w:rPr>
          <w:rFonts w:eastAsia="Times New Roman,Italic" w:cs="Times New Roman,Italic"/>
          <w:iCs/>
          <w:szCs w:val="20"/>
        </w:rPr>
        <w:t>(i</w:t>
      </w:r>
      <w:r w:rsidR="00EF6429" w:rsidRPr="00BA0D33">
        <w:rPr>
          <w:rFonts w:eastAsia="Times New Roman,Italic" w:cs="Times New Roman,Italic"/>
          <w:iCs/>
          <w:szCs w:val="20"/>
        </w:rPr>
        <w:t>)</w:t>
      </w:r>
      <w:r w:rsidR="00EF6429" w:rsidRPr="00BA0D33">
        <w:rPr>
          <w:rFonts w:eastAsia="Times New Roman,Italic" w:cs="Times New Roman,Italic"/>
          <w:iCs/>
          <w:szCs w:val="20"/>
        </w:rPr>
        <w:tab/>
        <w:t>na progu drogi startowej z podejściem nieprecyzyjnym, jeżeli istnieje konieczność dodatkowego polepszenia widoczności progu lub nie jest praktycznie możliwe zainstalowanie innych pomocy świetlnych na podejściu; oraz</w:t>
      </w:r>
    </w:p>
    <w:p w14:paraId="2A447E49" w14:textId="2600138D" w:rsidR="00EF6429" w:rsidRPr="00BA0D33" w:rsidRDefault="009B4F42" w:rsidP="00EE2E0D">
      <w:pPr>
        <w:tabs>
          <w:tab w:val="left" w:pos="1701"/>
        </w:tabs>
        <w:autoSpaceDE w:val="0"/>
        <w:autoSpaceDN w:val="0"/>
        <w:adjustRightInd w:val="0"/>
        <w:ind w:left="1701" w:hanging="567"/>
        <w:rPr>
          <w:rFonts w:eastAsia="Times New Roman,Italic" w:cs="Times New Roman,Italic"/>
          <w:iCs/>
          <w:szCs w:val="20"/>
        </w:rPr>
      </w:pPr>
      <w:r w:rsidRPr="00BA0D33">
        <w:rPr>
          <w:rFonts w:eastAsia="Times New Roman,Italic" w:cs="Times New Roman,Italic"/>
          <w:iCs/>
          <w:szCs w:val="20"/>
        </w:rPr>
        <w:t>(ii</w:t>
      </w:r>
      <w:r w:rsidR="00EF6429" w:rsidRPr="00BA0D33">
        <w:rPr>
          <w:rFonts w:eastAsia="Times New Roman,Italic" w:cs="Times New Roman,Italic"/>
          <w:iCs/>
          <w:szCs w:val="20"/>
        </w:rPr>
        <w:t>)</w:t>
      </w:r>
      <w:r w:rsidR="00EF6429" w:rsidRPr="00BA0D33">
        <w:rPr>
          <w:rFonts w:eastAsia="Times New Roman,Italic" w:cs="Times New Roman,Italic"/>
          <w:iCs/>
          <w:szCs w:val="20"/>
        </w:rPr>
        <w:tab/>
        <w:t>jeżeli próg drogi startowej jest przesunięty na stałe względem początku drogi startowej lub próg został przesunięty tymczasowo względem normalnego położenia i istnieje konieczność dodatkowego polepszenia widoczności progu.</w:t>
      </w:r>
    </w:p>
    <w:p w14:paraId="7B3004B4" w14:textId="4C376C8C" w:rsidR="00C36D76" w:rsidRPr="00BA0D33" w:rsidRDefault="00C36D76" w:rsidP="006D228E">
      <w:pPr>
        <w:tabs>
          <w:tab w:val="left" w:pos="567"/>
        </w:tabs>
        <w:ind w:left="567" w:hanging="567"/>
        <w:rPr>
          <w:szCs w:val="20"/>
        </w:rPr>
      </w:pPr>
      <w:r w:rsidRPr="00BA0D33">
        <w:rPr>
          <w:rFonts w:cs="Times New Roman"/>
          <w:szCs w:val="20"/>
        </w:rPr>
        <w:t>(</w:t>
      </w:r>
      <w:r w:rsidR="009B4F42" w:rsidRPr="00BA0D33">
        <w:rPr>
          <w:rFonts w:cs="Times New Roman"/>
          <w:szCs w:val="20"/>
        </w:rPr>
        <w:t>b</w:t>
      </w:r>
      <w:r w:rsidRPr="00BA0D33">
        <w:rPr>
          <w:rFonts w:cs="Times New Roman"/>
          <w:szCs w:val="20"/>
        </w:rPr>
        <w:t xml:space="preserve">) </w:t>
      </w:r>
      <w:r w:rsidRPr="00BA0D33">
        <w:rPr>
          <w:rFonts w:cs="Times New Roman"/>
          <w:szCs w:val="20"/>
        </w:rPr>
        <w:tab/>
      </w:r>
      <w:r w:rsidRPr="00BA0D33">
        <w:rPr>
          <w:szCs w:val="20"/>
        </w:rPr>
        <w:t xml:space="preserve">Lokalizacja: </w:t>
      </w:r>
      <w:r w:rsidR="009B4F42" w:rsidRPr="00BA0D33">
        <w:rPr>
          <w:szCs w:val="20"/>
        </w:rPr>
        <w:t>Ś</w:t>
      </w:r>
      <w:r w:rsidRPr="00BA0D33">
        <w:rPr>
          <w:szCs w:val="20"/>
        </w:rPr>
        <w:t>wiatła identyfikacji progu drogi startowej powinny być rozmieszczone w linii progu, symetrycznie w stosunku do linii środkowej drogi startowej, około 10 m na zewnątrz od każdego z rzędów świateł krawędzi drogi startowej.</w:t>
      </w:r>
    </w:p>
    <w:p w14:paraId="4AE79FF2" w14:textId="054C03F7" w:rsidR="009B4F42" w:rsidRPr="00BA0D33" w:rsidRDefault="00C36D76" w:rsidP="00B06A9A">
      <w:pPr>
        <w:tabs>
          <w:tab w:val="left" w:pos="567"/>
        </w:tabs>
        <w:ind w:left="567" w:hanging="567"/>
        <w:rPr>
          <w:szCs w:val="20"/>
        </w:rPr>
      </w:pPr>
      <w:r w:rsidRPr="00BA0D33">
        <w:rPr>
          <w:rFonts w:cs="Times New Roman"/>
          <w:szCs w:val="20"/>
        </w:rPr>
        <w:t>(</w:t>
      </w:r>
      <w:r w:rsidR="009B4F42" w:rsidRPr="00BA0D33">
        <w:rPr>
          <w:rFonts w:cs="Times New Roman"/>
          <w:szCs w:val="20"/>
        </w:rPr>
        <w:t>c</w:t>
      </w:r>
      <w:r w:rsidRPr="00BA0D33">
        <w:rPr>
          <w:rFonts w:cs="Times New Roman"/>
          <w:szCs w:val="20"/>
        </w:rPr>
        <w:t xml:space="preserve">) </w:t>
      </w:r>
      <w:r w:rsidRPr="00BA0D33">
        <w:rPr>
          <w:rFonts w:cs="Times New Roman"/>
          <w:szCs w:val="20"/>
        </w:rPr>
        <w:tab/>
      </w:r>
      <w:r w:rsidRPr="00BA0D33">
        <w:rPr>
          <w:szCs w:val="20"/>
        </w:rPr>
        <w:t xml:space="preserve">Charakterystyki: </w:t>
      </w:r>
    </w:p>
    <w:p w14:paraId="75D79D65" w14:textId="23277DEA" w:rsidR="009B4F42" w:rsidRPr="00BA0D33" w:rsidRDefault="009B4F42" w:rsidP="00EE2E0D">
      <w:pPr>
        <w:tabs>
          <w:tab w:val="left" w:pos="1134"/>
        </w:tabs>
        <w:autoSpaceDE w:val="0"/>
        <w:autoSpaceDN w:val="0"/>
        <w:adjustRightInd w:val="0"/>
        <w:ind w:left="1134" w:hanging="567"/>
        <w:rPr>
          <w:rFonts w:eastAsia="Times New Roman,Italic" w:cs="Times New Roman,Italic"/>
          <w:iCs/>
          <w:szCs w:val="20"/>
        </w:rPr>
      </w:pPr>
      <w:r w:rsidRPr="00BA0D33">
        <w:rPr>
          <w:rFonts w:eastAsia="Times New Roman,Italic" w:cs="Times New Roman,Italic"/>
          <w:iCs/>
          <w:szCs w:val="20"/>
        </w:rPr>
        <w:t>(1)</w:t>
      </w:r>
      <w:r w:rsidRPr="00BA0D33">
        <w:rPr>
          <w:rFonts w:eastAsia="Times New Roman,Italic" w:cs="Times New Roman,Italic"/>
          <w:iCs/>
          <w:szCs w:val="20"/>
        </w:rPr>
        <w:tab/>
      </w:r>
      <w:r w:rsidRPr="00BA0D33">
        <w:t>Światła identyfikacji progu drogi startowej po</w:t>
      </w:r>
      <w:r w:rsidR="002F5823" w:rsidRPr="00BA0D33">
        <w:t>winny świecić światłem białym z </w:t>
      </w:r>
      <w:r w:rsidRPr="00BA0D33">
        <w:t>częstotliwością od 60 do 120 błysków na minutę.</w:t>
      </w:r>
    </w:p>
    <w:p w14:paraId="7C315AEF" w14:textId="7DA38106" w:rsidR="00C36D76" w:rsidRPr="00BA0D33" w:rsidRDefault="009B4F42" w:rsidP="00EE2E0D">
      <w:pPr>
        <w:tabs>
          <w:tab w:val="left" w:pos="1134"/>
        </w:tabs>
        <w:autoSpaceDE w:val="0"/>
        <w:autoSpaceDN w:val="0"/>
        <w:adjustRightInd w:val="0"/>
        <w:ind w:left="1134" w:hanging="567"/>
        <w:rPr>
          <w:szCs w:val="20"/>
        </w:rPr>
      </w:pPr>
      <w:r w:rsidRPr="00BA0D33">
        <w:rPr>
          <w:rFonts w:eastAsia="Times New Roman,Italic" w:cs="Times New Roman,Italic"/>
          <w:iCs/>
          <w:szCs w:val="20"/>
        </w:rPr>
        <w:t>(2)</w:t>
      </w:r>
      <w:r w:rsidRPr="00BA0D33">
        <w:rPr>
          <w:rFonts w:eastAsia="Times New Roman,Italic" w:cs="Times New Roman,Italic"/>
          <w:iCs/>
          <w:szCs w:val="20"/>
        </w:rPr>
        <w:tab/>
      </w:r>
      <w:r w:rsidR="00C36D76" w:rsidRPr="00BA0D33">
        <w:rPr>
          <w:rFonts w:eastAsia="Times New Roman,Italic" w:cs="Times New Roman,Italic"/>
          <w:iCs/>
          <w:szCs w:val="20"/>
        </w:rPr>
        <w:t>Światła</w:t>
      </w:r>
      <w:r w:rsidR="00C36D76" w:rsidRPr="00BA0D33">
        <w:rPr>
          <w:szCs w:val="20"/>
        </w:rPr>
        <w:t xml:space="preserve"> powinny być widoczne tylko od strony podejścia do lądowania.</w:t>
      </w:r>
    </w:p>
    <w:p w14:paraId="271D225C" w14:textId="77777777" w:rsidR="005339C0" w:rsidRPr="009E064B" w:rsidRDefault="005339C0" w:rsidP="002F5823">
      <w:pPr>
        <w:pStyle w:val="Tekstpodstawowy"/>
        <w:spacing w:before="12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C7A723F" w14:textId="7BF9E37D" w:rsidR="005D60FB" w:rsidRPr="009E064B" w:rsidRDefault="006D228E" w:rsidP="00133B99">
      <w:pPr>
        <w:pStyle w:val="Nagwek6"/>
      </w:pPr>
      <w:bookmarkStart w:id="1523" w:name="_Toc482886902"/>
      <w:bookmarkStart w:id="1524" w:name="_Toc12533196"/>
      <w:r w:rsidRPr="009E064B">
        <w:t xml:space="preserve">GM1 ADR-DSN.M.670     </w:t>
      </w:r>
      <w:r w:rsidR="005D60FB" w:rsidRPr="009E064B">
        <w:t>Światła identyfikacyjne progu drogi startowej</w:t>
      </w:r>
      <w:bookmarkEnd w:id="1523"/>
      <w:bookmarkEnd w:id="1524"/>
    </w:p>
    <w:p w14:paraId="3FE7BFBA" w14:textId="3AB70AF5"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E00F609" w14:textId="0C51DD49" w:rsidR="005D60FB" w:rsidRPr="00BA0D33" w:rsidRDefault="00F01E85" w:rsidP="007148B7">
      <w:pPr>
        <w:rPr>
          <w:szCs w:val="20"/>
        </w:rPr>
      </w:pPr>
      <w:r w:rsidRPr="00BA0D33">
        <w:rPr>
          <w:szCs w:val="20"/>
        </w:rPr>
        <w:t>Celowo pozostawiono puste.</w:t>
      </w:r>
    </w:p>
    <w:p w14:paraId="75280AEC" w14:textId="77777777" w:rsidR="003F4B5A" w:rsidRPr="009E064B" w:rsidRDefault="003F4B5A" w:rsidP="003F4B5A">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195D790" w14:textId="2F148152" w:rsidR="00C36D76" w:rsidRPr="009E064B" w:rsidRDefault="008C30B4" w:rsidP="00B06A9A">
      <w:pPr>
        <w:pStyle w:val="Nagwek4"/>
        <w:rPr>
          <w:color w:val="auto"/>
        </w:rPr>
      </w:pPr>
      <w:bookmarkStart w:id="1525" w:name="_CS_ADR-DSN.M.675_"/>
      <w:bookmarkStart w:id="1526" w:name="_Toc482886679"/>
      <w:bookmarkStart w:id="1527" w:name="_Toc12533197"/>
      <w:bookmarkEnd w:id="1525"/>
      <w:r w:rsidRPr="009E064B">
        <w:rPr>
          <w:color w:val="auto"/>
        </w:rPr>
        <w:t xml:space="preserve">CS ADR-DSN.M.675     </w:t>
      </w:r>
      <w:r w:rsidR="00C36D76" w:rsidRPr="009E064B">
        <w:rPr>
          <w:color w:val="auto"/>
        </w:rPr>
        <w:t>Światła krawędzi drogi startowej</w:t>
      </w:r>
      <w:bookmarkEnd w:id="1526"/>
      <w:bookmarkEnd w:id="1527"/>
    </w:p>
    <w:p w14:paraId="444807CE" w14:textId="1899FEAE"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C7B8569" w14:textId="7BA07EE5"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79B9B54E"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krawędzi drogi startowej powinny być zainstalowane na drodze startowej, która jest przeznaczona do użytkowania w nocy lub na drodze startowej z podejściem precyzyjnym, przeznaczonej do użytkowania w dzień lub w nocy.</w:t>
      </w:r>
    </w:p>
    <w:p w14:paraId="646D58F6" w14:textId="09E69C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krawędzi drogi startowej powinny być zainstalowane na drodze startowej przeznaczonej do startów w warunkach operacyjnych poniżej RVR r</w:t>
      </w:r>
      <w:r w:rsidR="00814A8D" w:rsidRPr="009E064B">
        <w:rPr>
          <w:szCs w:val="20"/>
        </w:rPr>
        <w:t xml:space="preserve">zędu 800 m w </w:t>
      </w:r>
      <w:r w:rsidRPr="009E064B">
        <w:rPr>
          <w:szCs w:val="20"/>
        </w:rPr>
        <w:t>dzień.</w:t>
      </w:r>
    </w:p>
    <w:p w14:paraId="51FAB74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i ustawienie:</w:t>
      </w:r>
    </w:p>
    <w:p w14:paraId="1A56C7F6"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krawędzi drogi startowej powinny być instalowane na całej długości drogi startowej, w dwóch równoległych rzędach, symetrycznie w stosunku do linii środkowej drogi startowej.</w:t>
      </w:r>
    </w:p>
    <w:p w14:paraId="0E41EAAF"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krawędzi drogi startowej powinny być instalowane wzdłuż krawędzi obszaru deklarowanego, jako droga startowa lub na zewnątrz tego obszaru, w odległości nie większej niż 3 m od krawędzi.</w:t>
      </w:r>
    </w:p>
    <w:p w14:paraId="11D4E58A"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Jeżeli szerokość obszaru deklarowanego jako droga startowa przekracza 60 m, odległość pomiędzy rzędami świateł powinna być określona w oparciu o charakter wykonywanych operacji, charakterystykę rozkładu światła świateł krawędzi drogi startowej oraz innych pomocy wzrokowych obsługujących drogę startową.</w:t>
      </w:r>
    </w:p>
    <w:p w14:paraId="2F7687D2"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Światła każdego rzędu powinny być rozmieszczone w regularnych odstępach nieprzekraczających 60 m w przypadku przyrządowych dróg startowych oraz nieprzekraczających 100 m w przypadku nieprzyrządowych dróg startowych. Światła obydwu rzędów powinny być rozmieszczone parami, symetrycznie w stosunku do linii środkowej drogi startowej. Na skrzyżowaniach dróg startowych, lampy świateł krawędzi mogą być rozmieszczone nieregularnie lub pominięte, pod warunkiem, że zostanie zachowane wystarczające prowadzenie dla pilota.</w:t>
      </w:r>
    </w:p>
    <w:p w14:paraId="71454EF7"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0AF3451B"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krawędzi drogi startowej powinny być światłami stałymi koloru białego - zmiennego, z wyjątkiem, gdy:</w:t>
      </w:r>
    </w:p>
    <w:p w14:paraId="31AEDB86"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próg drogi startowej jest przesunięty, światła pomiędzy początkiem drogi startowej a przesuniętym progiem powinny być koloru czerwonego patrząc od strony podejścia; oraz</w:t>
      </w:r>
    </w:p>
    <w:p w14:paraId="1C287ECC"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światła na długości 600 m lub jednej trzeciej długości drogi startowej, w zależności od tego, który z tych wymiarów jest mniejszy, na przeciwległym końcu drogi startowej, patrząc z miejsca, z którego rozpoczyna się rozbieg do startu, powinny być koloru żółtego.</w:t>
      </w:r>
    </w:p>
    <w:p w14:paraId="589506C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krawędzi drogi startowej powinny być widoczne ze wszystkich kierunków niezbędnych dla prowadzenia pilota wykonującego lądowanie lub start w obu kierunkach. Jeżeli światła krawędzi drogi startowej przeznaczone są również do prowadzenia pilotów po kręgu nadlotniskowym, powinny być one widoczne ze wszystkich kierunków.</w:t>
      </w:r>
    </w:p>
    <w:p w14:paraId="68325370" w14:textId="0B7B138D" w:rsidR="00C36D76" w:rsidRPr="009E064B" w:rsidRDefault="00C36D76" w:rsidP="00B06A9A">
      <w:pPr>
        <w:tabs>
          <w:tab w:val="left" w:pos="567"/>
        </w:tabs>
        <w:ind w:left="567" w:hanging="567"/>
        <w:rPr>
          <w:szCs w:val="20"/>
        </w:rPr>
      </w:pPr>
      <w:r w:rsidRPr="009E064B">
        <w:rPr>
          <w:szCs w:val="20"/>
        </w:rPr>
        <w:t>(d)</w:t>
      </w:r>
      <w:r w:rsidRPr="009E064B">
        <w:rPr>
          <w:szCs w:val="20"/>
        </w:rPr>
        <w:tab/>
        <w:t xml:space="preserve">We wszystkich kierunkach azymutu, jak określono w </w:t>
      </w:r>
      <w:r w:rsidR="00135920" w:rsidRPr="009E064B">
        <w:rPr>
          <w:szCs w:val="20"/>
        </w:rPr>
        <w:t>lit. </w:t>
      </w:r>
      <w:r w:rsidRPr="009E064B">
        <w:rPr>
          <w:szCs w:val="20"/>
        </w:rPr>
        <w:t>(c)</w:t>
      </w:r>
      <w:r w:rsidR="00135920" w:rsidRPr="009E064B">
        <w:rPr>
          <w:szCs w:val="20"/>
        </w:rPr>
        <w:t xml:space="preserve"> pkt </w:t>
      </w:r>
      <w:r w:rsidRPr="009E064B">
        <w:rPr>
          <w:szCs w:val="20"/>
        </w:rPr>
        <w:t>(2) powyżej, światła krawędzi drogi startowej powinny świecić pod kątami aż do 15° powyżej poziomu, z</w:t>
      </w:r>
      <w:r w:rsidR="005B52B4" w:rsidRPr="009E064B">
        <w:rPr>
          <w:szCs w:val="20"/>
        </w:rPr>
        <w:t xml:space="preserve"> </w:t>
      </w:r>
      <w:r w:rsidRPr="009E064B">
        <w:rPr>
          <w:szCs w:val="20"/>
        </w:rPr>
        <w:t>intensywnością odpowiednią do danych warunków widzialności oraz istniejącego światła otoczenia, przy których droga startowa będzie wykorzystywana do operacji startu i</w:t>
      </w:r>
      <w:r w:rsidR="005B52B4" w:rsidRPr="009E064B">
        <w:rPr>
          <w:szCs w:val="20"/>
        </w:rPr>
        <w:t xml:space="preserve"> </w:t>
      </w:r>
      <w:r w:rsidRPr="009E064B">
        <w:rPr>
          <w:szCs w:val="20"/>
        </w:rPr>
        <w:t>lądowania. W każdym razie, intensywność ta powinna wynosić, co najmniej 50 kandeli, z</w:t>
      </w:r>
      <w:r w:rsidR="005B52B4" w:rsidRPr="009E064B">
        <w:rPr>
          <w:szCs w:val="20"/>
        </w:rPr>
        <w:t xml:space="preserve"> </w:t>
      </w:r>
      <w:r w:rsidR="00814A8D" w:rsidRPr="009E064B">
        <w:rPr>
          <w:szCs w:val="20"/>
        </w:rPr>
        <w:t>wyjątkiem lotniska, w </w:t>
      </w:r>
      <w:r w:rsidRPr="009E064B">
        <w:rPr>
          <w:szCs w:val="20"/>
        </w:rPr>
        <w:t>sąsiedztwie którego nie ma zewnętrznego oświetlenia, gdzie, w celu uniknięcia oślepienia pilotów, intensywność świateł krawędziowych może być obniżona do nie mniej niż 25 kandeli.</w:t>
      </w:r>
    </w:p>
    <w:p w14:paraId="6DB7EAA4" w14:textId="71BF0818" w:rsidR="00135920"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t xml:space="preserve">Charakterystyki </w:t>
      </w:r>
      <w:r w:rsidRPr="009E064B">
        <w:rPr>
          <w:szCs w:val="20"/>
        </w:rPr>
        <w:t>świateł krawędzi drogi startowej z podejściem precyzyjnym powinny być zgodne ze </w:t>
      </w:r>
      <w:r w:rsidR="00FB575E" w:rsidRPr="009E064B">
        <w:rPr>
          <w:szCs w:val="20"/>
        </w:rPr>
        <w:t xml:space="preserve">specyfikacjami określonymi w </w:t>
      </w:r>
      <w:hyperlink w:anchor="_CS_ADR-DSN.U.940_" w:history="1">
        <w:r w:rsidR="00FB575E" w:rsidRPr="009E064B">
          <w:rPr>
            <w:rStyle w:val="Hipercze"/>
            <w:szCs w:val="20"/>
          </w:rPr>
          <w:t>CS </w:t>
        </w:r>
        <w:r w:rsidRPr="009E064B">
          <w:rPr>
            <w:rStyle w:val="Hipercze"/>
            <w:szCs w:val="20"/>
          </w:rPr>
          <w:t>ADR-DSN.U.940</w:t>
        </w:r>
      </w:hyperlink>
      <w:r w:rsidRPr="009E064B">
        <w:rPr>
          <w:szCs w:val="20"/>
        </w:rPr>
        <w:t>, odpowiednio na Rysunku U-13 lub U-14.</w:t>
      </w:r>
    </w:p>
    <w:p w14:paraId="43B1988E" w14:textId="0A656B05" w:rsidR="00C36D76" w:rsidRPr="00BA0D33" w:rsidRDefault="00C36D76" w:rsidP="00B06A9A">
      <w:pPr>
        <w:tabs>
          <w:tab w:val="left" w:pos="567"/>
        </w:tabs>
        <w:ind w:left="567" w:hanging="567"/>
        <w:rPr>
          <w:szCs w:val="20"/>
        </w:rPr>
      </w:pPr>
      <w:r w:rsidRPr="009E064B">
        <w:rPr>
          <w:szCs w:val="20"/>
        </w:rPr>
        <w:t>(f)</w:t>
      </w:r>
      <w:r w:rsidRPr="009E064B">
        <w:rPr>
          <w:szCs w:val="20"/>
        </w:rPr>
        <w:tab/>
        <w:t xml:space="preserve">Chromatyczność świateł powinna być zgodna ze </w:t>
      </w:r>
      <w:r w:rsidR="005B52B4" w:rsidRPr="009E064B">
        <w:rPr>
          <w:szCs w:val="20"/>
        </w:rPr>
        <w:t xml:space="preserve">specyfikacjami określonymi </w:t>
      </w:r>
      <w:r w:rsidR="005B52B4" w:rsidRPr="009E064B">
        <w:rPr>
          <w:szCs w:val="20"/>
        </w:rPr>
        <w:br/>
        <w:t>w  </w:t>
      </w:r>
      <w:hyperlink w:anchor="_CS_ADR-DSN.U.930_" w:history="1">
        <w:r w:rsidR="005B52B4" w:rsidRPr="009E064B">
          <w:rPr>
            <w:rStyle w:val="Hipercze"/>
            <w:szCs w:val="20"/>
          </w:rPr>
          <w:t>CS </w:t>
        </w:r>
        <w:r w:rsidRPr="009E064B">
          <w:rPr>
            <w:rStyle w:val="Hipercze"/>
            <w:szCs w:val="20"/>
          </w:rPr>
          <w:t>ADR-DSN.U.930</w:t>
        </w:r>
      </w:hyperlink>
      <w:r w:rsidRPr="009E064B">
        <w:rPr>
          <w:szCs w:val="20"/>
        </w:rPr>
        <w:t xml:space="preserve"> </w:t>
      </w:r>
      <w:r w:rsidRPr="00BA0D33">
        <w:rPr>
          <w:szCs w:val="20"/>
        </w:rPr>
        <w:t xml:space="preserve">i </w:t>
      </w:r>
      <w:r w:rsidR="009B4F42" w:rsidRPr="00BA0D33">
        <w:rPr>
          <w:szCs w:val="20"/>
        </w:rPr>
        <w:t xml:space="preserve">odpowiednio </w:t>
      </w:r>
      <w:r w:rsidRPr="00BA0D33">
        <w:rPr>
          <w:szCs w:val="20"/>
        </w:rPr>
        <w:t>na Rysunku U-1</w:t>
      </w:r>
      <w:r w:rsidR="009B4F42" w:rsidRPr="00BA0D33">
        <w:rPr>
          <w:szCs w:val="20"/>
        </w:rPr>
        <w:t>A lub U-1B</w:t>
      </w:r>
      <w:r w:rsidRPr="00BA0D33">
        <w:rPr>
          <w:szCs w:val="20"/>
        </w:rPr>
        <w:t>.</w:t>
      </w:r>
    </w:p>
    <w:p w14:paraId="0F36468C" w14:textId="55FE9799" w:rsidR="00C36D76" w:rsidRPr="009E064B" w:rsidRDefault="00C36D76" w:rsidP="002F582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763F55E" w14:textId="77777777" w:rsidR="004E40A0" w:rsidRPr="009E064B" w:rsidRDefault="004E40A0" w:rsidP="002F5823">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03D1CDC" w14:textId="66EECA40" w:rsidR="005D60FB" w:rsidRPr="009E064B" w:rsidRDefault="005D60FB" w:rsidP="00133B99">
      <w:pPr>
        <w:pStyle w:val="Nagwek6"/>
      </w:pPr>
      <w:bookmarkStart w:id="1528" w:name="_Toc401059038"/>
      <w:bookmarkStart w:id="1529" w:name="_Toc482886903"/>
      <w:bookmarkStart w:id="1530" w:name="_Toc12533198"/>
      <w:r w:rsidRPr="009E064B">
        <w:t>GM1 ADR-</w:t>
      </w:r>
      <w:r w:rsidR="008C30B4" w:rsidRPr="009E064B">
        <w:t xml:space="preserve">DSN.M.675     </w:t>
      </w:r>
      <w:r w:rsidRPr="009E064B">
        <w:t>Światła krawędzi drogi startowej</w:t>
      </w:r>
      <w:bookmarkEnd w:id="1528"/>
      <w:bookmarkEnd w:id="1529"/>
      <w:bookmarkEnd w:id="1530"/>
    </w:p>
    <w:p w14:paraId="545FE282" w14:textId="399F42ED"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3890003" w14:textId="51BC292E" w:rsidR="005D60FB" w:rsidRPr="009E064B" w:rsidRDefault="005D60FB" w:rsidP="00B06A9A">
      <w:pPr>
        <w:spacing w:before="120"/>
        <w:rPr>
          <w:szCs w:val="20"/>
        </w:rPr>
      </w:pPr>
      <w:r w:rsidRPr="009E064B">
        <w:rPr>
          <w:szCs w:val="20"/>
        </w:rPr>
        <w:t>Celowo pozostawiono puste.</w:t>
      </w:r>
    </w:p>
    <w:p w14:paraId="7F7A2AB2" w14:textId="2A222A86" w:rsidR="00C36D76" w:rsidRPr="009E064B" w:rsidRDefault="008C30B4" w:rsidP="008C30B4">
      <w:pPr>
        <w:pStyle w:val="Nagwek4"/>
        <w:tabs>
          <w:tab w:val="clear" w:pos="2694"/>
          <w:tab w:val="left" w:pos="2552"/>
        </w:tabs>
        <w:ind w:left="2552" w:hanging="2552"/>
        <w:rPr>
          <w:color w:val="auto"/>
        </w:rPr>
      </w:pPr>
      <w:bookmarkStart w:id="1531" w:name="_Toc482886680"/>
      <w:bookmarkStart w:id="1532" w:name="_Toc12533199"/>
      <w:r w:rsidRPr="009E064B">
        <w:rPr>
          <w:color w:val="auto"/>
        </w:rPr>
        <w:t xml:space="preserve">CS ADR-DSN.M.680     </w:t>
      </w:r>
      <w:r w:rsidR="00C36D76" w:rsidRPr="009E064B">
        <w:rPr>
          <w:color w:val="auto"/>
        </w:rPr>
        <w:t>Światła progu drogi startowej oraz światła poprzeczki skrzydłowej</w:t>
      </w:r>
      <w:bookmarkEnd w:id="1531"/>
      <w:bookmarkEnd w:id="1532"/>
    </w:p>
    <w:p w14:paraId="2AD993AC" w14:textId="6132C679"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CC4EE7F" w14:textId="67FDB6A2"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świateł progu drogi startowej: Światła progu drogi startowej powinny być instalowane na drogach startowych wyposażonych w światła krawędzi z wyjątkiem nieprzyrządowych dróg startowych lub dróg startowych z podejściem nieprecyzyjnym, których próg został przesunięty i zastosowano światła poprzeczki skrzydłowej.</w:t>
      </w:r>
    </w:p>
    <w:p w14:paraId="79FE2D1D"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xml:space="preserve"> świateł progu drogi startowej:</w:t>
      </w:r>
    </w:p>
    <w:p w14:paraId="2715AD78"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Jeżeli próg znajduje się na krańcu drogi startowej, to światła progu powinny być rozmieszczone w rzędzie prostopadłym do linii osi drogi startowej, możliwie jak najbliżej końca drogi startowej lecz w żadnym przypadku nie dalej niż 3 m na zewnątrz od krawędzi końca drogi startowej.</w:t>
      </w:r>
    </w:p>
    <w:p w14:paraId="05AC98DB"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Jeżeli próg drogi startowej jest przesunięty względem końca drogi startowej, to światła progu powinny być rozmieszczone w rzędzie prostopadłym do osi drogi startowej, przy przesuniętym progu.</w:t>
      </w:r>
    </w:p>
    <w:p w14:paraId="4970CF3E"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Światła progu powinny składać się z:</w:t>
      </w:r>
    </w:p>
    <w:p w14:paraId="07CB5485"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 przypadku nieprzyrządowej drogi startowej lub drogi startowej z podejściem nieprecyzyjnym, minimum sześciu świateł;</w:t>
      </w:r>
    </w:p>
    <w:p w14:paraId="1E762160" w14:textId="063487A6"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 xml:space="preserve">w przypadku drogi startowej z podejściem precyzyjnym kategorii I, co najmniej takiej ilości </w:t>
      </w:r>
      <w:r w:rsidR="006D228E" w:rsidRPr="009E064B">
        <w:rPr>
          <w:szCs w:val="20"/>
        </w:rPr>
        <w:t>świateł, jaka</w:t>
      </w:r>
      <w:r w:rsidRPr="009E064B">
        <w:rPr>
          <w:szCs w:val="20"/>
        </w:rPr>
        <w:t xml:space="preserve"> wynika z rozstaw</w:t>
      </w:r>
      <w:r w:rsidR="007D1946">
        <w:rPr>
          <w:szCs w:val="20"/>
        </w:rPr>
        <w:t>ienia ich w równych odstępach 3 </w:t>
      </w:r>
      <w:r w:rsidRPr="009E064B">
        <w:rPr>
          <w:szCs w:val="20"/>
        </w:rPr>
        <w:t>m pomiędzy rzędami świateł krawędzi drogi startowej; oraz</w:t>
      </w:r>
    </w:p>
    <w:p w14:paraId="34EB160D" w14:textId="0D00251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w przypadku drogi startowej z podejściem precyzyjnym kategorii II lub III, ze świateł rozmieszczonych w równyc</w:t>
      </w:r>
      <w:r w:rsidR="00B64220" w:rsidRPr="009E064B">
        <w:rPr>
          <w:szCs w:val="20"/>
        </w:rPr>
        <w:t>h odstępach nie większych niż 3 </w:t>
      </w:r>
      <w:r w:rsidRPr="009E064B">
        <w:rPr>
          <w:szCs w:val="20"/>
        </w:rPr>
        <w:t>m pomiędzy rzędami świateł krawędzi drogi startowej.</w:t>
      </w:r>
    </w:p>
    <w:p w14:paraId="39B9B0B6" w14:textId="6217E79B"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Światła opisane w </w:t>
      </w:r>
      <w:r w:rsidR="00135920" w:rsidRPr="009E064B">
        <w:rPr>
          <w:szCs w:val="20"/>
        </w:rPr>
        <w:t>lit. </w:t>
      </w:r>
      <w:r w:rsidRPr="009E064B">
        <w:rPr>
          <w:szCs w:val="20"/>
        </w:rPr>
        <w:t>(b)</w:t>
      </w:r>
      <w:r w:rsidR="00135920" w:rsidRPr="009E064B">
        <w:rPr>
          <w:szCs w:val="20"/>
        </w:rPr>
        <w:t xml:space="preserve"> pkt </w:t>
      </w:r>
      <w:r w:rsidRPr="009E064B">
        <w:rPr>
          <w:szCs w:val="20"/>
        </w:rPr>
        <w:t>(3)</w:t>
      </w:r>
      <w:r w:rsidR="00135920" w:rsidRPr="009E064B">
        <w:rPr>
          <w:szCs w:val="20"/>
        </w:rPr>
        <w:t xml:space="preserve"> podpunkt </w:t>
      </w:r>
      <w:r w:rsidRPr="009E064B">
        <w:rPr>
          <w:szCs w:val="20"/>
        </w:rPr>
        <w:t xml:space="preserve">(i) oraz </w:t>
      </w:r>
      <w:r w:rsidR="00135920" w:rsidRPr="009E064B">
        <w:rPr>
          <w:szCs w:val="20"/>
        </w:rPr>
        <w:t>lit. </w:t>
      </w:r>
      <w:r w:rsidRPr="009E064B">
        <w:rPr>
          <w:szCs w:val="20"/>
        </w:rPr>
        <w:t>(b)</w:t>
      </w:r>
      <w:r w:rsidR="00135920" w:rsidRPr="009E064B">
        <w:rPr>
          <w:szCs w:val="20"/>
        </w:rPr>
        <w:t xml:space="preserve"> pkt </w:t>
      </w:r>
      <w:r w:rsidRPr="009E064B">
        <w:rPr>
          <w:szCs w:val="20"/>
        </w:rPr>
        <w:t>(3)</w:t>
      </w:r>
      <w:r w:rsidR="00135920" w:rsidRPr="009E064B">
        <w:rPr>
          <w:szCs w:val="20"/>
        </w:rPr>
        <w:t xml:space="preserve"> podpunkt </w:t>
      </w:r>
      <w:r w:rsidRPr="009E064B">
        <w:rPr>
          <w:szCs w:val="20"/>
        </w:rPr>
        <w:t>(ii) powyżej powinny być:</w:t>
      </w:r>
    </w:p>
    <w:p w14:paraId="23BD149B"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równomiernie rozmieszczone pomiędzy rzędami świateł krawędzi drogi startowej; lub</w:t>
      </w:r>
    </w:p>
    <w:p w14:paraId="27CC33A9"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symetrycznie rozmieszczone względem linii środkowej drogi startowej w dwóch grupach, w których światła są równooddalone od siebie, przerwa pomiędzy grupami powinna być równa odległości poprzecznej pomiędzy oznakowaniem strefy przyziemienia lub światłami tej strefy, jeżeli są one zastosowane, lub w innym przypadku, przerwa ta nie powinna być większa od połowy odległości pomiędzy rzędami świateł krawędzi drogi startowej.</w:t>
      </w:r>
    </w:p>
    <w:p w14:paraId="5FE69A75"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Zastosowanie świateł poprzeczki skrzydłowej:</w:t>
      </w:r>
    </w:p>
    <w:p w14:paraId="2CC05FF5"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poprzeczki skrzydłowej powinny być stosowane na drodze startowej z podejściem precyzyjnym, jeżeli konieczne jest zapewnienie zwiększonej wyrazistości.</w:t>
      </w:r>
    </w:p>
    <w:p w14:paraId="6B2E1198"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poprzeczki skrzydłowej powinny być instalowane na nieprzyrządowej drodze startowej lub drodze startowej z podejściem nieprecyzyjnym, jeżeli próg został przesunięty i światła progu są wymagane, lecz nie zostały zainstalowane.</w:t>
      </w:r>
    </w:p>
    <w:p w14:paraId="6165DB05" w14:textId="1063BF50"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t>Lokalizacja</w:t>
      </w:r>
      <w:r w:rsidRPr="009E064B">
        <w:rPr>
          <w:szCs w:val="20"/>
        </w:rPr>
        <w:t xml:space="preserve"> świateł poprzeczki skrzydłowej: Światła poprzeczki skrzydłowej powinny być rozmieszczone symetrycznie w stosunku do linii środkowej drog</w:t>
      </w:r>
      <w:r w:rsidR="00B64220" w:rsidRPr="009E064B">
        <w:rPr>
          <w:szCs w:val="20"/>
        </w:rPr>
        <w:t>i startowej, na wprost progu, w </w:t>
      </w:r>
      <w:r w:rsidRPr="009E064B">
        <w:rPr>
          <w:szCs w:val="20"/>
        </w:rPr>
        <w:t>dwóch grupach, czyli poprzeczkach skrzydłowych. Każda poprzeczka skrzydłowa powinna się składać, z co najmniej pięciu świateł na przestrzeni, co najmniej 10 m na zewnątrz i prostopadle do linii świateł krawędzi drogi startowej, przy czym światła każdej z poprzeczek skrzydłowych, najbliższe linii środkowej drogi startowej, powinny znajdować się na linii świateł krawędzi drogi startowej.</w:t>
      </w:r>
    </w:p>
    <w:p w14:paraId="1B9030C0" w14:textId="77777777"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Charakterystyki świateł progu drogi startowej oraz świateł poprzeczki skrzydłowej:</w:t>
      </w:r>
    </w:p>
    <w:p w14:paraId="05AAF8BD"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progu drogi startowej oraz światła poprzeczki skrzydłowej powinny być stałymi światłami jednokierunkowymi koloru zielonego, widocznymi od strony podejścia do drogi startowej. Intensywność oraz rozwarcie wiązki świetlnej powinny być odpowiednie do warunków widzialności oraz oświetlenia tła, w jakich przewidywane jest wykorzystywanie drogi startowej.</w:t>
      </w:r>
    </w:p>
    <w:p w14:paraId="0B152CFA" w14:textId="3C3D0B75"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Światła progu drogi startowej z podejściem precyzyjnym powinny odpowiadać wymaganiom określonym w </w:t>
      </w:r>
      <w:hyperlink w:anchor="_CS_ADR-DSN.U.940_" w:history="1">
        <w:r w:rsidRPr="009E064B">
          <w:rPr>
            <w:rStyle w:val="Hipercze"/>
            <w:szCs w:val="20"/>
          </w:rPr>
          <w:t>CS ADR-DSN.U.940</w:t>
        </w:r>
      </w:hyperlink>
      <w:r w:rsidRPr="009E064B">
        <w:rPr>
          <w:szCs w:val="20"/>
        </w:rPr>
        <w:t>, Rysunek U-7.</w:t>
      </w:r>
    </w:p>
    <w:p w14:paraId="466B1CC8" w14:textId="5DE0431D"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 xml:space="preserve">Światła poprzeczki skrzydłowej na progu drogi startowej z podejściem precyzyjnym powinny odpowiadać wymaganiom określonym w </w:t>
      </w:r>
      <w:hyperlink w:anchor="_CS_ADR-DSN.U.940_" w:history="1">
        <w:r w:rsidR="00BE304B" w:rsidRPr="009E064B">
          <w:rPr>
            <w:rStyle w:val="Hipercze"/>
            <w:szCs w:val="20"/>
          </w:rPr>
          <w:t>CS ADR-DSN.U.940</w:t>
        </w:r>
      </w:hyperlink>
      <w:r w:rsidR="00BE304B" w:rsidRPr="009E064B">
        <w:rPr>
          <w:szCs w:val="20"/>
        </w:rPr>
        <w:t>, Rysunek </w:t>
      </w:r>
      <w:r w:rsidRPr="009E064B">
        <w:rPr>
          <w:szCs w:val="20"/>
        </w:rPr>
        <w:t>U-8.</w:t>
      </w:r>
    </w:p>
    <w:p w14:paraId="163BF3B5" w14:textId="3D51BEE6" w:rsidR="00C36D76" w:rsidRPr="009E064B" w:rsidRDefault="00C36D76" w:rsidP="00B06A9A">
      <w:pPr>
        <w:tabs>
          <w:tab w:val="left" w:pos="1134"/>
        </w:tabs>
        <w:spacing w:after="0"/>
        <w:ind w:left="1134" w:hanging="567"/>
        <w:rPr>
          <w:rFonts w:cs="TimesNewRomanPSMT"/>
          <w:szCs w:val="20"/>
        </w:rPr>
      </w:pPr>
      <w:r w:rsidRPr="009E064B">
        <w:rPr>
          <w:rFonts w:cs="TimesNewRomanPSMT"/>
          <w:szCs w:val="20"/>
        </w:rPr>
        <w:t xml:space="preserve">(4) </w:t>
      </w:r>
      <w:r w:rsidRPr="009E064B">
        <w:rPr>
          <w:rFonts w:cs="TimesNewRomanPSMT"/>
          <w:szCs w:val="20"/>
        </w:rPr>
        <w:tab/>
        <w:t>Chromatyczność świateł powinna być zgodna ze</w:t>
      </w:r>
      <w:r w:rsidR="00B64220" w:rsidRPr="009E064B">
        <w:rPr>
          <w:rFonts w:cs="TimesNewRomanPSMT"/>
          <w:szCs w:val="20"/>
        </w:rPr>
        <w:t xml:space="preserve"> specyfikacjami określonym </w:t>
      </w:r>
      <w:r w:rsidR="00B64220" w:rsidRPr="009E064B">
        <w:rPr>
          <w:rFonts w:cs="TimesNewRomanPSMT"/>
          <w:szCs w:val="20"/>
        </w:rPr>
        <w:br/>
        <w:t xml:space="preserve">w </w:t>
      </w:r>
      <w:hyperlink w:anchor="_CS_ADR-DSN.U.940_" w:history="1">
        <w:r w:rsidR="00B64220" w:rsidRPr="009E064B">
          <w:rPr>
            <w:rStyle w:val="Hipercze"/>
            <w:rFonts w:cs="TimesNewRomanPSMT"/>
            <w:szCs w:val="20"/>
          </w:rPr>
          <w:t>CS </w:t>
        </w:r>
        <w:r w:rsidRPr="009E064B">
          <w:rPr>
            <w:rStyle w:val="Hipercze"/>
            <w:rFonts w:cs="TimesNewRomanPSMT"/>
            <w:szCs w:val="20"/>
          </w:rPr>
          <w:t>ADR-DSN.U.930</w:t>
        </w:r>
      </w:hyperlink>
      <w:r w:rsidRPr="009E064B">
        <w:rPr>
          <w:rFonts w:cs="TimesNewRomanPSMT"/>
          <w:szCs w:val="20"/>
        </w:rPr>
        <w:t xml:space="preserve"> </w:t>
      </w:r>
      <w:r w:rsidR="00000375" w:rsidRPr="00BA0D33">
        <w:rPr>
          <w:rFonts w:cs="TimesNewRomanPSMT"/>
          <w:szCs w:val="20"/>
        </w:rPr>
        <w:t>i odpowiednio z</w:t>
      </w:r>
      <w:r w:rsidRPr="00BA0D33">
        <w:rPr>
          <w:rFonts w:cs="TimesNewRomanPSMT"/>
          <w:szCs w:val="20"/>
        </w:rPr>
        <w:t xml:space="preserve"> Rysunkiem U-1</w:t>
      </w:r>
      <w:r w:rsidR="00000375" w:rsidRPr="00BA0D33">
        <w:rPr>
          <w:rFonts w:cs="TimesNewRomanPSMT"/>
          <w:szCs w:val="20"/>
        </w:rPr>
        <w:t>A lub U-1B</w:t>
      </w:r>
      <w:r w:rsidRPr="00BA0D33">
        <w:rPr>
          <w:rFonts w:cs="TimesNewRomanPSMT"/>
          <w:szCs w:val="20"/>
        </w:rPr>
        <w:t>.</w:t>
      </w:r>
    </w:p>
    <w:p w14:paraId="1501326F" w14:textId="7DC57B7B" w:rsidR="00A44EF4" w:rsidRPr="009E064B" w:rsidRDefault="00C36D76" w:rsidP="002F582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6D00DC8" w14:textId="77777777" w:rsidR="004E40A0" w:rsidRPr="009E064B" w:rsidRDefault="004E40A0" w:rsidP="002F5823">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CCCFBEC" w14:textId="77777777" w:rsidR="005B52B4" w:rsidRPr="009E064B" w:rsidRDefault="005B52B4" w:rsidP="00133B99">
      <w:pPr>
        <w:pStyle w:val="Nagwek6"/>
      </w:pPr>
      <w:bookmarkStart w:id="1533" w:name="_Toc12533200"/>
      <w:bookmarkStart w:id="1534" w:name="_Toc482886681"/>
      <w:r w:rsidRPr="009E064B">
        <w:t>GM1 ADR-DSN.M.680     Światła progu drogi startowej oraz światła poprzeczki skrzydłowej</w:t>
      </w:r>
      <w:bookmarkEnd w:id="1533"/>
    </w:p>
    <w:p w14:paraId="7EE95DCE" w14:textId="1F11A68B" w:rsidR="005B52B4" w:rsidRPr="009E064B" w:rsidRDefault="001F74A1" w:rsidP="005B52B4">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FA41A0A" w14:textId="3E942138" w:rsidR="00BC37C6" w:rsidRPr="009E064B" w:rsidRDefault="005B52B4" w:rsidP="00BC37C6">
      <w:pPr>
        <w:spacing w:before="120"/>
        <w:rPr>
          <w:szCs w:val="20"/>
        </w:rPr>
      </w:pPr>
      <w:r w:rsidRPr="009E064B">
        <w:rPr>
          <w:szCs w:val="20"/>
        </w:rPr>
        <w:t>Celowo pozostawiono puste.</w:t>
      </w:r>
      <w:r w:rsidR="00BC37C6" w:rsidRPr="009E064B">
        <w:rPr>
          <w:szCs w:val="20"/>
        </w:rPr>
        <w:t xml:space="preserve">  </w:t>
      </w:r>
      <w:r w:rsidR="00BC37C6" w:rsidRPr="009E064B">
        <w:rPr>
          <w:szCs w:val="20"/>
        </w:rPr>
        <w:br w:type="page"/>
      </w:r>
    </w:p>
    <w:p w14:paraId="4C4F3829" w14:textId="77777777" w:rsidR="005B52B4" w:rsidRPr="009E064B" w:rsidRDefault="005B52B4" w:rsidP="005B52B4">
      <w:pPr>
        <w:pStyle w:val="Nagwek4"/>
        <w:rPr>
          <w:color w:val="auto"/>
        </w:rPr>
      </w:pPr>
      <w:bookmarkStart w:id="1535" w:name="_Toc12533201"/>
      <w:r w:rsidRPr="009E064B">
        <w:rPr>
          <w:color w:val="auto"/>
        </w:rPr>
        <w:t>CS ADR-DSN.M.685     Światła końca drogi startowej</w:t>
      </w:r>
      <w:bookmarkEnd w:id="1534"/>
      <w:bookmarkEnd w:id="1535"/>
    </w:p>
    <w:p w14:paraId="162A4C9F" w14:textId="2D006224" w:rsidR="005B52B4" w:rsidRPr="009E064B" w:rsidRDefault="00D63D4F" w:rsidP="005B52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FCA2D6D" w14:textId="77777777" w:rsidR="005B52B4" w:rsidRPr="009E064B" w:rsidRDefault="005B52B4" w:rsidP="005B52B4">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Światła końca drogi startowej powinny być instalowane na drodze startowej, która wyposażona jest w światła krawędzi.</w:t>
      </w:r>
    </w:p>
    <w:p w14:paraId="3A3D9B3F" w14:textId="77777777" w:rsidR="005B52B4" w:rsidRPr="009E064B" w:rsidRDefault="005B52B4" w:rsidP="005B52B4">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p>
    <w:p w14:paraId="6879820C" w14:textId="77777777" w:rsidR="005B52B4" w:rsidRPr="009E064B" w:rsidRDefault="005B52B4" w:rsidP="005B52B4">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końca drogi startowej powinny być rozmieszczone w jednej linii, prostopadłej względem linii środkowej drogi startowej, możliwie najbliżej końca drogi startowej, jednakże w żadnym wypadku nie dalej niż 3 m od końca drogi startowej.</w:t>
      </w:r>
    </w:p>
    <w:p w14:paraId="187EEF1D" w14:textId="77777777" w:rsidR="005B52B4" w:rsidRPr="009E064B" w:rsidRDefault="005B52B4" w:rsidP="005B52B4">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końca drogi startowej powinno składać się z co najmniej sześciu lamp. Światła te powinny być:</w:t>
      </w:r>
    </w:p>
    <w:p w14:paraId="58A7DC76" w14:textId="77777777" w:rsidR="005B52B4" w:rsidRPr="009E064B" w:rsidRDefault="005B52B4" w:rsidP="005B52B4">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równomiernie rozmieszczone pomiędzy rzędami świateł krawędzi drogi startowej; lub</w:t>
      </w:r>
    </w:p>
    <w:p w14:paraId="3AC18C29" w14:textId="77777777" w:rsidR="005B52B4" w:rsidRPr="009E064B" w:rsidRDefault="005B52B4" w:rsidP="005B52B4">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symetrycznie rozmieszczone względem linii środkowej drogi startowej w dwóch grupach, w których światła są równo oddalone od siebie, przerwa pomiędzy grupami nie może być większa niż połowa odległości pomiędzy rzędami świateł krawędzi drogi startowej.</w:t>
      </w:r>
    </w:p>
    <w:p w14:paraId="2E2ACCF3" w14:textId="77777777" w:rsidR="005B52B4" w:rsidRPr="009E064B" w:rsidRDefault="005B52B4" w:rsidP="005B52B4">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W przypadku dróg startowych z podejściem precyzyjnym kategorii III, odległość pomiędzy światłami końca drogi startowej, z wyjątkiem lamp położonych najbliżej przerwy, jeżeli jest ona zastosowana, nie powinna przekraczać 6 m.</w:t>
      </w:r>
    </w:p>
    <w:p w14:paraId="3B0547C4" w14:textId="77777777" w:rsidR="005B52B4" w:rsidRPr="009E064B" w:rsidRDefault="005B52B4" w:rsidP="005B52B4">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Charakterystyka świateł końca drogi startowej:</w:t>
      </w:r>
    </w:p>
    <w:p w14:paraId="549EFA9A" w14:textId="77777777" w:rsidR="005B52B4" w:rsidRPr="009E064B" w:rsidRDefault="005B52B4" w:rsidP="005B52B4">
      <w:pPr>
        <w:tabs>
          <w:tab w:val="left" w:pos="1134"/>
        </w:tabs>
        <w:ind w:left="1134" w:hanging="567"/>
        <w:rPr>
          <w:szCs w:val="20"/>
        </w:rPr>
      </w:pPr>
      <w:r w:rsidRPr="009E064B">
        <w:rPr>
          <w:szCs w:val="20"/>
        </w:rPr>
        <w:t xml:space="preserve">(1) </w:t>
      </w:r>
      <w:r w:rsidRPr="009E064B">
        <w:rPr>
          <w:szCs w:val="20"/>
        </w:rPr>
        <w:tab/>
        <w:t>Światła końca drogi startowej powinny być stałymi światłami jednokierunkowymi koloru czerwonego, widocznymi od strony środka drogi startowej. Intensywność oraz rozwarcie wiązki świetlnej powinny być odpowiednie do warunków widzialności oraz oświetlenia tła, w jakich przewidywane jest wykorzystywanie drogi startowej.</w:t>
      </w:r>
    </w:p>
    <w:p w14:paraId="7200BBF6" w14:textId="545CFC58" w:rsidR="005B52B4" w:rsidRPr="009E064B" w:rsidRDefault="005B52B4" w:rsidP="005B52B4">
      <w:pPr>
        <w:tabs>
          <w:tab w:val="left" w:pos="1134"/>
        </w:tabs>
        <w:ind w:left="1134" w:hanging="567"/>
        <w:rPr>
          <w:rFonts w:cs="TimesNewRomanPSMT"/>
          <w:szCs w:val="20"/>
        </w:rPr>
      </w:pPr>
      <w:r w:rsidRPr="009E064B">
        <w:rPr>
          <w:szCs w:val="20"/>
        </w:rPr>
        <w:t>(2)</w:t>
      </w:r>
      <w:r w:rsidRPr="009E064B">
        <w:rPr>
          <w:szCs w:val="20"/>
        </w:rPr>
        <w:tab/>
        <w:t xml:space="preserve">Charakterystyka świateł końca drogi startowej z podejściem precyzyjnym powinna być zgodna ze specyfikacjami w </w:t>
      </w:r>
      <w:hyperlink w:anchor="_CS_ADR-DSN.U.940_" w:history="1">
        <w:r w:rsidRPr="009E064B">
          <w:rPr>
            <w:rStyle w:val="Hipercze"/>
            <w:szCs w:val="20"/>
          </w:rPr>
          <w:t>CS ADR-DSN.U.940</w:t>
        </w:r>
      </w:hyperlink>
      <w:r w:rsidRPr="009E064B">
        <w:rPr>
          <w:szCs w:val="20"/>
        </w:rPr>
        <w:t xml:space="preserve">, Rysunek </w:t>
      </w:r>
      <w:r w:rsidR="00135920" w:rsidRPr="009E064B">
        <w:rPr>
          <w:szCs w:val="20"/>
        </w:rPr>
        <w:t>U-</w:t>
      </w:r>
      <w:r w:rsidRPr="009E064B">
        <w:rPr>
          <w:szCs w:val="20"/>
        </w:rPr>
        <w:t>12.</w:t>
      </w:r>
    </w:p>
    <w:p w14:paraId="2137BA4A" w14:textId="0FC30232" w:rsidR="005B52B4" w:rsidRPr="00BA0D33" w:rsidRDefault="005B52B4" w:rsidP="005B52B4">
      <w:pPr>
        <w:tabs>
          <w:tab w:val="left" w:pos="1134"/>
        </w:tabs>
        <w:ind w:left="1134" w:hanging="567"/>
        <w:rPr>
          <w:szCs w:val="20"/>
        </w:rPr>
      </w:pPr>
      <w:r w:rsidRPr="009E064B">
        <w:rPr>
          <w:szCs w:val="20"/>
        </w:rPr>
        <w:t>(3)</w:t>
      </w:r>
      <w:r w:rsidRPr="009E064B">
        <w:rPr>
          <w:szCs w:val="20"/>
        </w:rPr>
        <w:tab/>
        <w:t xml:space="preserve">Światła końca drogi startowej z podejściem precyzyjnym powinny być zgodne ze specyfikacjami dotyczącymi chromatyczności w </w:t>
      </w:r>
      <w:hyperlink w:anchor="_CS_ADR-DSN.U.930_" w:history="1">
        <w:r w:rsidRPr="009E064B">
          <w:rPr>
            <w:rStyle w:val="Hipercze"/>
            <w:szCs w:val="20"/>
          </w:rPr>
          <w:t>CS ADR-DSN.U.930</w:t>
        </w:r>
      </w:hyperlink>
      <w:r w:rsidRPr="009E064B">
        <w:rPr>
          <w:szCs w:val="20"/>
        </w:rPr>
        <w:t xml:space="preserve"> </w:t>
      </w:r>
      <w:r w:rsidR="00135920" w:rsidRPr="00BA0D33">
        <w:rPr>
          <w:szCs w:val="20"/>
        </w:rPr>
        <w:t xml:space="preserve">i </w:t>
      </w:r>
      <w:r w:rsidR="00000375" w:rsidRPr="00BA0D33">
        <w:rPr>
          <w:szCs w:val="20"/>
        </w:rPr>
        <w:t xml:space="preserve">odpowiednio </w:t>
      </w:r>
      <w:r w:rsidR="00135920" w:rsidRPr="00BA0D33">
        <w:rPr>
          <w:szCs w:val="20"/>
        </w:rPr>
        <w:t>na</w:t>
      </w:r>
      <w:r w:rsidRPr="00BA0D33">
        <w:rPr>
          <w:szCs w:val="20"/>
        </w:rPr>
        <w:t xml:space="preserve"> Rysunk</w:t>
      </w:r>
      <w:r w:rsidR="00135920" w:rsidRPr="00BA0D33">
        <w:rPr>
          <w:szCs w:val="20"/>
        </w:rPr>
        <w:t>u </w:t>
      </w:r>
      <w:r w:rsidRPr="00BA0D33">
        <w:rPr>
          <w:szCs w:val="20"/>
        </w:rPr>
        <w:t>U-1</w:t>
      </w:r>
      <w:r w:rsidR="00000375" w:rsidRPr="00BA0D33">
        <w:rPr>
          <w:szCs w:val="20"/>
        </w:rPr>
        <w:t>A lub U-1B</w:t>
      </w:r>
      <w:r w:rsidRPr="00BA0D33">
        <w:rPr>
          <w:szCs w:val="20"/>
        </w:rPr>
        <w:t>.</w:t>
      </w:r>
    </w:p>
    <w:p w14:paraId="69DDEB40" w14:textId="77777777" w:rsidR="005B52B4" w:rsidRPr="009E064B" w:rsidRDefault="005B52B4" w:rsidP="00B06A9A">
      <w:pPr>
        <w:tabs>
          <w:tab w:val="left" w:pos="1134"/>
        </w:tabs>
        <w:rPr>
          <w:rFonts w:cs="TimesNewRomanPSMT"/>
          <w:szCs w:val="20"/>
        </w:rPr>
      </w:pPr>
    </w:p>
    <w:p w14:paraId="7FEC4EE1" w14:textId="77777777" w:rsidR="00C36D76" w:rsidRPr="009E064B" w:rsidRDefault="00C36D76" w:rsidP="00B06A9A">
      <w:pPr>
        <w:tabs>
          <w:tab w:val="left" w:pos="1134"/>
        </w:tabs>
        <w:ind w:left="1134" w:hanging="567"/>
        <w:rPr>
          <w:rFonts w:cs="TimesNewRomanPSMT"/>
          <w:szCs w:val="20"/>
        </w:rPr>
        <w:sectPr w:rsidR="00C36D76" w:rsidRPr="009E064B" w:rsidSect="00AE1280">
          <w:headerReference w:type="default" r:id="rId182"/>
          <w:footerReference w:type="default" r:id="rId183"/>
          <w:headerReference w:type="first" r:id="rId184"/>
          <w:footerReference w:type="first" r:id="rId185"/>
          <w:pgSz w:w="11906" w:h="16840" w:code="9"/>
          <w:pgMar w:top="1701" w:right="1417" w:bottom="1418" w:left="1418" w:header="567" w:footer="454" w:gutter="0"/>
          <w:cols w:space="708"/>
          <w:titlePg/>
          <w:docGrid w:linePitch="360"/>
        </w:sectPr>
      </w:pPr>
    </w:p>
    <w:p w14:paraId="279B083F" w14:textId="427B6C39" w:rsidR="00C36D76" w:rsidRPr="009E064B" w:rsidRDefault="004F067A" w:rsidP="009D1A1A">
      <w:pPr>
        <w:spacing w:after="0"/>
        <w:jc w:val="center"/>
        <w:rPr>
          <w:rFonts w:cs="TimesNewRomanPSMT"/>
          <w:sz w:val="24"/>
          <w:szCs w:val="24"/>
        </w:rPr>
      </w:pPr>
      <w:r w:rsidRPr="009E064B">
        <w:rPr>
          <w:noProof/>
          <w:lang w:eastAsia="pl-PL"/>
        </w:rPr>
        <w:drawing>
          <wp:inline distT="0" distB="0" distL="0" distR="0" wp14:anchorId="123B5252" wp14:editId="7C6C9559">
            <wp:extent cx="8388880" cy="5111892"/>
            <wp:effectExtent l="0" t="0" r="0" b="0"/>
            <wp:docPr id="6544" name="Obraz 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390271" cy="5112740"/>
                    </a:xfrm>
                    <a:prstGeom prst="rect">
                      <a:avLst/>
                    </a:prstGeom>
                    <a:noFill/>
                    <a:ln>
                      <a:noFill/>
                    </a:ln>
                  </pic:spPr>
                </pic:pic>
              </a:graphicData>
            </a:graphic>
          </wp:inline>
        </w:drawing>
      </w:r>
    </w:p>
    <w:p w14:paraId="46C7DC47" w14:textId="77777777" w:rsidR="00C36D76" w:rsidRPr="00BA0D33" w:rsidRDefault="00C36D76" w:rsidP="009D1A1A">
      <w:pPr>
        <w:spacing w:before="240" w:after="0"/>
        <w:ind w:left="227" w:right="11"/>
        <w:jc w:val="center"/>
        <w:rPr>
          <w:rFonts w:cs="TimesNewRomanPSMT"/>
          <w:b/>
          <w:szCs w:val="24"/>
        </w:rPr>
      </w:pPr>
      <w:r w:rsidRPr="00BA0D33">
        <w:rPr>
          <w:rFonts w:cs="TimesNewRomanPSMT"/>
          <w:b/>
          <w:sz w:val="20"/>
          <w:szCs w:val="24"/>
        </w:rPr>
        <w:t xml:space="preserve">Rysunek M-7.  Rozmieszczenie świateł progu i świateł końca drogi startowej     </w:t>
      </w:r>
      <w:r w:rsidRPr="00BA0D33">
        <w:rPr>
          <w:rFonts w:cs="TimesNewRomanPSMT"/>
          <w:b/>
          <w:szCs w:val="24"/>
        </w:rPr>
        <w:br w:type="page"/>
      </w:r>
    </w:p>
    <w:p w14:paraId="49E63F18" w14:textId="3144A7EA" w:rsidR="00966950" w:rsidRPr="009E064B" w:rsidRDefault="00966950" w:rsidP="00B06A9A">
      <w:pPr>
        <w:spacing w:after="0"/>
        <w:ind w:left="227"/>
        <w:rPr>
          <w:rFonts w:cs="TimesNewRomanPSMT"/>
          <w:szCs w:val="20"/>
        </w:rPr>
      </w:pPr>
      <w:r w:rsidRPr="009E064B">
        <w:rPr>
          <w:noProof/>
          <w:lang w:eastAsia="pl-PL"/>
        </w:rPr>
        <w:drawing>
          <wp:inline distT="0" distB="0" distL="0" distR="0" wp14:anchorId="5F481A03" wp14:editId="679ADA28">
            <wp:extent cx="8477282" cy="5073773"/>
            <wp:effectExtent l="0" t="0" r="0" b="0"/>
            <wp:docPr id="6546" name="Obraz 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480490" cy="5075693"/>
                    </a:xfrm>
                    <a:prstGeom prst="rect">
                      <a:avLst/>
                    </a:prstGeom>
                    <a:noFill/>
                    <a:ln>
                      <a:noFill/>
                    </a:ln>
                  </pic:spPr>
                </pic:pic>
              </a:graphicData>
            </a:graphic>
          </wp:inline>
        </w:drawing>
      </w:r>
    </w:p>
    <w:p w14:paraId="4A0F27D8" w14:textId="77777777" w:rsidR="00421280" w:rsidRPr="00BA0D33" w:rsidRDefault="00C36D76" w:rsidP="00D22426">
      <w:pPr>
        <w:spacing w:before="120"/>
        <w:ind w:right="11"/>
        <w:jc w:val="center"/>
        <w:rPr>
          <w:b/>
          <w:szCs w:val="20"/>
        </w:rPr>
      </w:pPr>
      <w:r w:rsidRPr="00BA0D33">
        <w:rPr>
          <w:b/>
          <w:sz w:val="20"/>
          <w:szCs w:val="20"/>
        </w:rPr>
        <w:t>Rysunek M-8.  Przykłady świateł systemu podejścia i świateł drogi startowej z przesuniętym progiem.</w:t>
      </w:r>
      <w:r w:rsidR="009D1A1A" w:rsidRPr="00BA0D33">
        <w:rPr>
          <w:b/>
          <w:sz w:val="20"/>
          <w:szCs w:val="20"/>
        </w:rPr>
        <w:t xml:space="preserve">   </w:t>
      </w:r>
    </w:p>
    <w:p w14:paraId="75D59516" w14:textId="4B814B2E" w:rsidR="00C36D76" w:rsidRPr="009E064B" w:rsidRDefault="00C36D76" w:rsidP="006C24CC">
      <w:pPr>
        <w:spacing w:before="120"/>
        <w:ind w:right="10"/>
        <w:jc w:val="left"/>
        <w:rPr>
          <w:rFonts w:asciiTheme="minorHAnsi" w:hAnsiTheme="minorHAnsi" w:cstheme="minorHAnsi"/>
          <w:i/>
          <w:sz w:val="16"/>
          <w:szCs w:val="16"/>
        </w:rPr>
      </w:pPr>
      <w:r w:rsidRPr="009E064B">
        <w:rPr>
          <w:rFonts w:asciiTheme="minorHAnsi" w:hAnsiTheme="minorHAnsi" w:cstheme="minorHAnsi"/>
          <w:i/>
          <w:sz w:val="16"/>
          <w:szCs w:val="16"/>
        </w:rPr>
        <w:t>[Wydanie: ADR-DSN/3]</w:t>
      </w:r>
      <w:r w:rsidR="00421280" w:rsidRPr="009E064B">
        <w:rPr>
          <w:rFonts w:asciiTheme="minorHAnsi" w:hAnsiTheme="minorHAnsi" w:cstheme="minorHAnsi"/>
          <w:i/>
          <w:sz w:val="16"/>
          <w:szCs w:val="16"/>
        </w:rPr>
        <w:t xml:space="preserve">, </w:t>
      </w:r>
      <w:r w:rsidR="00421280" w:rsidRPr="000412BF">
        <w:rPr>
          <w:rFonts w:asciiTheme="minorHAnsi" w:hAnsiTheme="minorHAnsi" w:cstheme="minorHAnsi"/>
          <w:i/>
          <w:sz w:val="16"/>
          <w:szCs w:val="16"/>
        </w:rPr>
        <w:t>[Wydanie: ADR-DSN/4]</w:t>
      </w:r>
    </w:p>
    <w:p w14:paraId="1DC57417" w14:textId="77777777" w:rsidR="00C36D76" w:rsidRPr="009E064B" w:rsidRDefault="00C36D76" w:rsidP="00B06A9A">
      <w:pPr>
        <w:spacing w:after="0"/>
        <w:rPr>
          <w:rFonts w:cs="TimesNewRomanPSMT"/>
          <w:szCs w:val="20"/>
        </w:rPr>
        <w:sectPr w:rsidR="00C36D76" w:rsidRPr="009E064B" w:rsidSect="009D1A1A">
          <w:headerReference w:type="default" r:id="rId188"/>
          <w:footerReference w:type="default" r:id="rId189"/>
          <w:headerReference w:type="first" r:id="rId190"/>
          <w:footerReference w:type="first" r:id="rId191"/>
          <w:pgSz w:w="16840" w:h="11906" w:orient="landscape" w:code="9"/>
          <w:pgMar w:top="1701" w:right="1418" w:bottom="1418" w:left="1418" w:header="567" w:footer="454" w:gutter="0"/>
          <w:cols w:space="708"/>
          <w:titlePg/>
          <w:docGrid w:linePitch="360"/>
        </w:sectPr>
      </w:pPr>
    </w:p>
    <w:p w14:paraId="09A9B78F" w14:textId="2387FB28" w:rsidR="005D60FB" w:rsidRPr="009E064B" w:rsidRDefault="006D228E" w:rsidP="00133B99">
      <w:pPr>
        <w:pStyle w:val="Nagwek6"/>
      </w:pPr>
      <w:bookmarkStart w:id="1536" w:name="_Toc401059040"/>
      <w:bookmarkStart w:id="1537" w:name="_Toc482886905"/>
      <w:bookmarkStart w:id="1538" w:name="_Toc12533202"/>
      <w:r w:rsidRPr="009E064B">
        <w:t xml:space="preserve">GM1 ADR-DSN.M.685     </w:t>
      </w:r>
      <w:r w:rsidR="005D60FB" w:rsidRPr="009E064B">
        <w:t>Światła końca drogi startowej</w:t>
      </w:r>
      <w:bookmarkEnd w:id="1536"/>
      <w:bookmarkEnd w:id="1537"/>
      <w:bookmarkEnd w:id="1538"/>
    </w:p>
    <w:p w14:paraId="5BEBA9C8" w14:textId="2FE917F2"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EF39B00" w14:textId="77777777" w:rsidR="005D60FB" w:rsidRPr="009E064B" w:rsidRDefault="005D60FB"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Jeżeli próg drogi startowej zlokalizowany jest na końcu drogi startowej, oprawy świateł progu drogi startowej mogą być wykorzystane do świateł końca drogi startowej.</w:t>
      </w:r>
    </w:p>
    <w:p w14:paraId="54AFFB88" w14:textId="3BB44996" w:rsidR="00C36D76" w:rsidRPr="009E064B" w:rsidRDefault="008C30B4" w:rsidP="00B06A9A">
      <w:pPr>
        <w:pStyle w:val="Nagwek4"/>
        <w:rPr>
          <w:color w:val="auto"/>
        </w:rPr>
      </w:pPr>
      <w:bookmarkStart w:id="1539" w:name="_Toc482886682"/>
      <w:bookmarkStart w:id="1540" w:name="_Toc12533203"/>
      <w:r w:rsidRPr="009E064B">
        <w:rPr>
          <w:color w:val="auto"/>
        </w:rPr>
        <w:t xml:space="preserve">CS ADR-DSN.M.690     </w:t>
      </w:r>
      <w:r w:rsidR="00C36D76" w:rsidRPr="009E064B">
        <w:rPr>
          <w:color w:val="auto"/>
        </w:rPr>
        <w:t>Światła linii środkowej drogi startowej</w:t>
      </w:r>
      <w:bookmarkEnd w:id="1539"/>
      <w:bookmarkEnd w:id="1540"/>
    </w:p>
    <w:p w14:paraId="09DF35A5" w14:textId="652BEE54"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E517E06" w14:textId="12257792"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świateł linii środkowej drogi startowej jest ułatwienie bezpiecznego startu i lądowania w warunkach ograniczonej widzialności.</w:t>
      </w:r>
    </w:p>
    <w:p w14:paraId="175CA26B"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Zastosowanie:</w:t>
      </w:r>
    </w:p>
    <w:p w14:paraId="57CFAE9F"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drogi startowej powinny być instalowane na drodze startowej z podejściem precyzyjnym kategorii II lub III.</w:t>
      </w:r>
    </w:p>
    <w:p w14:paraId="556AFC1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linii środkowej drogi startowej powinny być instalowane na drodze startowej przeznaczonej do startów, jeżeli minima operacyjne RVR są rzędu 400 m.</w:t>
      </w:r>
    </w:p>
    <w:p w14:paraId="04565255" w14:textId="63E9B29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Lokalizacja: Światła linii środkowej drogi startowej powinny być zlokalizowane wzdłuż linii środkowej drogi startowej, z wyjątkiem przypadku, gdy jest to niepraktyczne, wówczas możliwe jest odsunięcie świateł z tej samej strony linii środkowej drogi startowej o nie więcej niż 60 cm. Światła linii środkowej powinny być rozmieszczone począwszy od progu do końca drogi startowej, w odstępach około 15 m. W przypadku, kiedy możliwe jest zagwarantowanie poziomu niezawodności świateł linii środkowej drogi startowej określonych odpowiednio w</w:t>
      </w:r>
      <w:r w:rsidR="00BC37C6" w:rsidRPr="009E064B">
        <w:rPr>
          <w:szCs w:val="20"/>
        </w:rPr>
        <w:t xml:space="preserve"> </w:t>
      </w:r>
      <w:hyperlink w:anchor="_CS_ADR-DSN.S.895_" w:history="1">
        <w:r w:rsidRPr="009E064B">
          <w:rPr>
            <w:rStyle w:val="Hipercze"/>
            <w:szCs w:val="20"/>
          </w:rPr>
          <w:t>CS ADR-DSN.S.895</w:t>
        </w:r>
      </w:hyperlink>
      <w:r w:rsidRPr="009E064B">
        <w:rPr>
          <w:szCs w:val="20"/>
        </w:rPr>
        <w:t xml:space="preserve"> oraz droga startowa jest przewidywana do wykorzystywania w warunkach widzialności wzdłuż drogi startowej 350 m lub większej, odstępy pomiędzy światłami mogą wynosić około 30 m.</w:t>
      </w:r>
    </w:p>
    <w:p w14:paraId="7EA13508"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Charakterystyki:</w:t>
      </w:r>
    </w:p>
    <w:p w14:paraId="097C6FEB" w14:textId="3D2BAEF4"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drogi startowej powinny być światłami o świetle stałym, koloru białego - zmiennego na odcinku pomiędzy progiem a punktem położonym w odległości 900 m od końca drogi startowej; w kolorach na przemian czerwonym i białym zmiennym, na odcinku pomiędzy 900 m a 300 m od końca drogi startowej; oraz koloru czerwonego na ostatnich 300 m drogi startowej, z wyjątkiem dróg startowych krótszych niż 1800 m, na których światła przemienne czerwono-białe powinny być zlokalizowane od środka drogi startowej używanej do lądowania</w:t>
      </w:r>
      <w:r w:rsidR="00FB575E" w:rsidRPr="009E064B">
        <w:rPr>
          <w:szCs w:val="20"/>
        </w:rPr>
        <w:t>, do punktu, znajdującego się w </w:t>
      </w:r>
      <w:r w:rsidRPr="009E064B">
        <w:rPr>
          <w:szCs w:val="20"/>
        </w:rPr>
        <w:t>odległości 300 m od końca drogi startowej.</w:t>
      </w:r>
    </w:p>
    <w:p w14:paraId="05DE2F2A" w14:textId="5C27ECE6"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t xml:space="preserve">Charakterystyki </w:t>
      </w:r>
      <w:r w:rsidRPr="009E064B">
        <w:rPr>
          <w:szCs w:val="20"/>
        </w:rPr>
        <w:t xml:space="preserve">świateł linii środkowej drogi startowej powinny być zgodne ze specyfikacjami określonymi odpowiednio w </w:t>
      </w:r>
      <w:hyperlink w:anchor="_CS_ADR-DSN.U.940_" w:history="1">
        <w:r w:rsidRPr="009E064B">
          <w:rPr>
            <w:rStyle w:val="Hipercze"/>
            <w:szCs w:val="20"/>
          </w:rPr>
          <w:t>CS ADR-DSN.U.940</w:t>
        </w:r>
      </w:hyperlink>
      <w:r w:rsidRPr="009E064B">
        <w:rPr>
          <w:szCs w:val="20"/>
        </w:rPr>
        <w:t xml:space="preserve"> na Rysunku U-10 lub na Rysunku U-11.</w:t>
      </w:r>
    </w:p>
    <w:p w14:paraId="37C418DA" w14:textId="35551772" w:rsidR="00C36D76" w:rsidRPr="00BA0D33" w:rsidRDefault="00C36D76" w:rsidP="00B06A9A">
      <w:pPr>
        <w:tabs>
          <w:tab w:val="left" w:pos="1134"/>
        </w:tabs>
        <w:ind w:left="1134" w:hanging="567"/>
        <w:rPr>
          <w:szCs w:val="20"/>
        </w:rPr>
      </w:pPr>
      <w:r w:rsidRPr="009E064B">
        <w:rPr>
          <w:szCs w:val="20"/>
        </w:rPr>
        <w:t xml:space="preserve">(3) </w:t>
      </w:r>
      <w:r w:rsidRPr="009E064B">
        <w:rPr>
          <w:szCs w:val="20"/>
        </w:rPr>
        <w:tab/>
        <w:t xml:space="preserve">Chromatyczność świateł linii środkowej drogi startowej powinna być zgodna ze specyfikacjami określonym w </w:t>
      </w:r>
      <w:hyperlink w:anchor="_CS_ADR-DSN.U.930_" w:history="1">
        <w:r w:rsidRPr="009E064B">
          <w:rPr>
            <w:rStyle w:val="Hipercze"/>
            <w:szCs w:val="20"/>
          </w:rPr>
          <w:t>CS ADR-DSN.U.930</w:t>
        </w:r>
      </w:hyperlink>
      <w:r w:rsidRPr="009E064B">
        <w:rPr>
          <w:szCs w:val="20"/>
        </w:rPr>
        <w:t xml:space="preserve"> i </w:t>
      </w:r>
      <w:r w:rsidR="00000375" w:rsidRPr="00BA0D33">
        <w:rPr>
          <w:szCs w:val="20"/>
        </w:rPr>
        <w:t xml:space="preserve">odpowiednio z </w:t>
      </w:r>
      <w:r w:rsidRPr="00BA0D33">
        <w:rPr>
          <w:szCs w:val="20"/>
        </w:rPr>
        <w:t>Rysunkiem U-1</w:t>
      </w:r>
      <w:r w:rsidR="00000375" w:rsidRPr="00BA0D33">
        <w:rPr>
          <w:szCs w:val="20"/>
        </w:rPr>
        <w:t xml:space="preserve">A lub </w:t>
      </w:r>
      <w:r w:rsidR="00A44EF4" w:rsidRPr="00BA0D33">
        <w:rPr>
          <w:szCs w:val="20"/>
        </w:rPr>
        <w:br/>
      </w:r>
      <w:r w:rsidR="00000375" w:rsidRPr="00BA0D33">
        <w:rPr>
          <w:szCs w:val="20"/>
        </w:rPr>
        <w:t>U-1B</w:t>
      </w:r>
      <w:r w:rsidRPr="00BA0D33">
        <w:rPr>
          <w:szCs w:val="20"/>
        </w:rPr>
        <w:t>.</w:t>
      </w:r>
    </w:p>
    <w:p w14:paraId="78FA3EAE" w14:textId="77777777"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Wskazania linii środkowej drogi startowej w przypadku startu od początku drogi startowej do przesuniętego progu powinny być zapewnione poprzez:</w:t>
      </w:r>
    </w:p>
    <w:p w14:paraId="33439119"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system świateł podejścia, jeżeli jego charakterystyki oraz ustawienia intensywności umożliwiają prowadzenie wymagane podczas startu oraz nie powodują oślepienia pilota startującego statku powietrznego; lub</w:t>
      </w:r>
    </w:p>
    <w:p w14:paraId="42223789"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linii środkowej drogi startowej; lub</w:t>
      </w:r>
    </w:p>
    <w:p w14:paraId="35B9593D" w14:textId="67982764"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baretki o długości nie mniejszej niż 3</w:t>
      </w:r>
      <w:r w:rsidR="00814A8D" w:rsidRPr="009E064B">
        <w:rPr>
          <w:szCs w:val="20"/>
        </w:rPr>
        <w:t> m rozmieszczone w odstępach 30 </w:t>
      </w:r>
      <w:r w:rsidRPr="009E064B">
        <w:rPr>
          <w:szCs w:val="20"/>
        </w:rPr>
        <w:t>m, jak przedstawiono na Rysunku M-8, zaprojektowane w taki sposób, aby ich charakterystyki fotometryczne i regulacja intensywności zapewniały niezbędne prowadzenie w trakcie startu bez ryzyka oślepienia pilota startującego statku powietrznego.</w:t>
      </w:r>
    </w:p>
    <w:p w14:paraId="22A1442A" w14:textId="513F9C9E" w:rsidR="00C36D76" w:rsidRPr="009E064B" w:rsidRDefault="00C36D76" w:rsidP="00B06A9A">
      <w:pPr>
        <w:ind w:left="567"/>
        <w:rPr>
          <w:szCs w:val="20"/>
        </w:rPr>
      </w:pPr>
      <w:r w:rsidRPr="009E064B">
        <w:rPr>
          <w:szCs w:val="20"/>
        </w:rPr>
        <w:t>Jeżeli jest to konieczne, powinna istnieć możliwość wygaszenia świateł linii środkowej drogi startowej wymienionych w p</w:t>
      </w:r>
      <w:r w:rsidR="006B49E7" w:rsidRPr="009E064B">
        <w:rPr>
          <w:szCs w:val="20"/>
        </w:rPr>
        <w:t>kt </w:t>
      </w:r>
      <w:r w:rsidRPr="009E064B">
        <w:rPr>
          <w:szCs w:val="20"/>
        </w:rPr>
        <w:t>(2) powyżej lub zmiany intensywności świetlnego systemu podejścia lub baretek, jeżeli droga startowa jest używana do lądowania. Jeżeli droga startowa jest wykorzystywana do lądowania, pomiędzy początkiem drogi startowej i przesuniętym progiem, światła punktowe linii środkowej drogi startowej w żadnym przypadku nie powinny być jedynymi źródłami światła.</w:t>
      </w:r>
    </w:p>
    <w:p w14:paraId="1FC0D248" w14:textId="256A60D3" w:rsidR="00C36D76" w:rsidRPr="009E064B" w:rsidRDefault="00C36D76" w:rsidP="00BC37C6">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89DBE1B" w14:textId="77777777" w:rsidR="00D22426" w:rsidRPr="009E064B" w:rsidRDefault="00D22426" w:rsidP="00BC37C6">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34FD186" w14:textId="55F54585" w:rsidR="005D60FB" w:rsidRPr="009E064B" w:rsidRDefault="008C30B4" w:rsidP="00133B99">
      <w:pPr>
        <w:pStyle w:val="Nagwek6"/>
      </w:pPr>
      <w:bookmarkStart w:id="1541" w:name="_Toc401059041"/>
      <w:bookmarkStart w:id="1542" w:name="_Toc482886906"/>
      <w:bookmarkStart w:id="1543" w:name="_Toc12533204"/>
      <w:r w:rsidRPr="009E064B">
        <w:t xml:space="preserve">GM1 ADR-DSN.M.690     </w:t>
      </w:r>
      <w:r w:rsidR="005D60FB" w:rsidRPr="009E064B">
        <w:t>Światła linii środkowej drogi startowej</w:t>
      </w:r>
      <w:bookmarkEnd w:id="1541"/>
      <w:bookmarkEnd w:id="1542"/>
      <w:bookmarkEnd w:id="1543"/>
    </w:p>
    <w:p w14:paraId="0911C6D7" w14:textId="2631E6CE"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825D273" w14:textId="1F4A0B1D" w:rsidR="005D60FB" w:rsidRPr="009E064B" w:rsidRDefault="005D60FB"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Światła linii środkowej drogi startowej powinny być instalowane na drodze startowej z podejściem precyzyjnym kategorii I, gdy droga startowa wykorzystywana jest przez statki powietrzne charakteryzujące się wysoką prędkością lądowania lub wówczas, gdy odległość pomiędzy rzędami świateł krawędzi drogi startowej jest większa niż 50 m.</w:t>
      </w:r>
    </w:p>
    <w:p w14:paraId="0E077EA4" w14:textId="2A5AE88D" w:rsidR="005D60FB" w:rsidRPr="00BA0D33" w:rsidRDefault="005D60FB"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 xml:space="preserve">Światła linii środkowej drogi startowej powinny być instalowane na drodze startowej przeznaczonej do startów, jeżeli minima operacyjne RVR są rzędu 400 m lub większe oraz droga startowa jest wykorzystywana przez samoloty o bardzo wysokiej prędkości startu, gdy odległość </w:t>
      </w:r>
      <w:r w:rsidRPr="00BA0D33">
        <w:rPr>
          <w:rFonts w:eastAsia="Times New Roman,Italic" w:cs="Times New Roman,Italic"/>
          <w:iCs/>
          <w:szCs w:val="20"/>
        </w:rPr>
        <w:t>pomiędzy rzędami świateł krawędzi drogi startowej jest większa niż 50 m.</w:t>
      </w:r>
    </w:p>
    <w:p w14:paraId="7C9835A5" w14:textId="489C06D1" w:rsidR="00F01E85" w:rsidRPr="00BA0D33" w:rsidRDefault="00F01E85" w:rsidP="00B06A9A">
      <w:pPr>
        <w:tabs>
          <w:tab w:val="left" w:pos="567"/>
        </w:tabs>
        <w:autoSpaceDE w:val="0"/>
        <w:autoSpaceDN w:val="0"/>
        <w:adjustRightInd w:val="0"/>
        <w:ind w:left="567" w:hanging="567"/>
        <w:rPr>
          <w:rFonts w:eastAsia="Times New Roman,Italic" w:cs="Times New Roman,Italic"/>
          <w:iCs/>
          <w:szCs w:val="20"/>
        </w:rPr>
      </w:pPr>
      <w:r w:rsidRPr="00BA0D33">
        <w:rPr>
          <w:rFonts w:eastAsia="Times New Roman,Italic" w:cs="Times New Roman,Italic"/>
          <w:iCs/>
          <w:szCs w:val="20"/>
        </w:rPr>
        <w:t xml:space="preserve">(c) </w:t>
      </w:r>
      <w:r w:rsidRPr="00BA0D33">
        <w:rPr>
          <w:rFonts w:eastAsia="Times New Roman,Italic" w:cs="Times New Roman,Italic"/>
          <w:iCs/>
          <w:szCs w:val="20"/>
        </w:rPr>
        <w:tab/>
        <w:t>Należy rozważyć możliwość  zapewnienia świateł linii środkowej drogi startowej, kiedy wymagana jest dodatkowa widoczność (</w:t>
      </w:r>
      <w:r w:rsidR="00B733F3" w:rsidRPr="00BA0D33">
        <w:rPr>
          <w:rFonts w:eastAsia="Times New Roman,Italic" w:cs="Times New Roman,Italic"/>
          <w:iCs/>
          <w:szCs w:val="20"/>
        </w:rPr>
        <w:t>np.</w:t>
      </w:r>
      <w:r w:rsidRPr="00BA0D33">
        <w:rPr>
          <w:rFonts w:eastAsia="Times New Roman,Italic" w:cs="Times New Roman,Italic"/>
          <w:iCs/>
          <w:szCs w:val="20"/>
        </w:rPr>
        <w:t xml:space="preserve"> środowisko</w:t>
      </w:r>
      <w:r w:rsidR="00B733F3" w:rsidRPr="00BA0D33">
        <w:rPr>
          <w:rFonts w:eastAsia="Times New Roman,Italic" w:cs="Times New Roman,Italic"/>
          <w:iCs/>
          <w:szCs w:val="20"/>
        </w:rPr>
        <w:t xml:space="preserve"> lokalne</w:t>
      </w:r>
      <w:r w:rsidRPr="00BA0D33">
        <w:rPr>
          <w:rFonts w:eastAsia="Times New Roman,Italic" w:cs="Times New Roman,Italic"/>
          <w:iCs/>
          <w:szCs w:val="20"/>
        </w:rPr>
        <w:t xml:space="preserve">, warunki pogodowe, przepisy </w:t>
      </w:r>
      <w:r w:rsidR="00BC37C6" w:rsidRPr="00BA0D33">
        <w:rPr>
          <w:rFonts w:eastAsia="Times New Roman,Italic" w:cs="Times New Roman,Italic"/>
          <w:iCs/>
          <w:szCs w:val="20"/>
        </w:rPr>
        <w:t>i </w:t>
      </w:r>
      <w:r w:rsidR="00B733F3" w:rsidRPr="00BA0D33">
        <w:rPr>
          <w:rFonts w:eastAsia="Times New Roman,Italic" w:cs="Times New Roman,Italic"/>
          <w:iCs/>
          <w:szCs w:val="20"/>
        </w:rPr>
        <w:t xml:space="preserve">minima </w:t>
      </w:r>
      <w:r w:rsidRPr="00BA0D33">
        <w:rPr>
          <w:rFonts w:eastAsia="Times New Roman,Italic" w:cs="Times New Roman,Italic"/>
          <w:iCs/>
          <w:szCs w:val="20"/>
        </w:rPr>
        <w:t>operacyjne).</w:t>
      </w:r>
    </w:p>
    <w:p w14:paraId="50920C87" w14:textId="6CE1BCEC" w:rsidR="005D60FB" w:rsidRPr="009E064B" w:rsidRDefault="005D60FB" w:rsidP="00BC37C6">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20F0192" w14:textId="77777777" w:rsidR="003F4B5A" w:rsidRPr="009E064B" w:rsidRDefault="003F4B5A" w:rsidP="00BC37C6">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6AE3B74" w14:textId="58E749B3" w:rsidR="00C36D76" w:rsidRPr="009E064B" w:rsidRDefault="008C30B4" w:rsidP="00B06A9A">
      <w:pPr>
        <w:pStyle w:val="Nagwek4"/>
        <w:rPr>
          <w:color w:val="auto"/>
        </w:rPr>
      </w:pPr>
      <w:bookmarkStart w:id="1544" w:name="_CS_ADR-DSN.M.695_"/>
      <w:bookmarkStart w:id="1545" w:name="_Toc482886683"/>
      <w:bookmarkStart w:id="1546" w:name="_Toc12533205"/>
      <w:bookmarkEnd w:id="1544"/>
      <w:r w:rsidRPr="009E064B">
        <w:rPr>
          <w:color w:val="auto"/>
        </w:rPr>
        <w:t xml:space="preserve">CS ADR-DSN.M.695     </w:t>
      </w:r>
      <w:r w:rsidR="00C36D76" w:rsidRPr="009E064B">
        <w:rPr>
          <w:color w:val="auto"/>
        </w:rPr>
        <w:t>Światła strefy przyziemienia</w:t>
      </w:r>
      <w:bookmarkEnd w:id="1545"/>
      <w:bookmarkEnd w:id="1546"/>
    </w:p>
    <w:p w14:paraId="0078204D" w14:textId="1E07D39E"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52BB59E" w14:textId="450EE322"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Światła strefy przyziemienia powinny być instalowane w strefie przyziemienia drogi startowej z podejściem precyzyjnym kategorii II lub III.</w:t>
      </w:r>
    </w:p>
    <w:p w14:paraId="28E35E7E"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w:t>
      </w:r>
    </w:p>
    <w:p w14:paraId="35ACD76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strefy przyziemienia powinny rozciągać się od progu drogi startowej na odległość 900 m, z wyjątkiem dróg startowych o długości mniejszej niż 1800 m, gdzie system musi być skrócony, aby nie sięgał poza połowę długości drogi startowej.</w:t>
      </w:r>
    </w:p>
    <w:p w14:paraId="42D1274C" w14:textId="7F06E434"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t xml:space="preserve">Wzór powinien być </w:t>
      </w:r>
      <w:r w:rsidR="003523F3" w:rsidRPr="009E064B">
        <w:rPr>
          <w:rFonts w:cs="Times New Roman"/>
          <w:szCs w:val="20"/>
        </w:rPr>
        <w:t>Zmieniony</w:t>
      </w:r>
      <w:r w:rsidRPr="009E064B">
        <w:rPr>
          <w:szCs w:val="20"/>
        </w:rPr>
        <w:t xml:space="preserve"> przez pary baretek umieszczonych symetrycznie w stosunku do linii środkowej drogi startowej. Odstęp boczny pomiędzy światłami pary baretek najbardziej zbliżonych do linii środkowej powinien być równy ostępowi, jaki został wybrany dla oznakowania strefy przyziemienia. Odległość pomiędzy parami baretek mierzona wzdłuż linii środkowej drogi startowej powinna wynosić 30 m lub 60 m.</w:t>
      </w:r>
    </w:p>
    <w:p w14:paraId="6CDD5903"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02ACB018"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t>Baretka</w:t>
      </w:r>
      <w:r w:rsidRPr="009E064B">
        <w:rPr>
          <w:szCs w:val="20"/>
        </w:rPr>
        <w:t xml:space="preserve"> powinna składać się z minimum 3 źródeł światła, odległość pomiędzy nimi nie może przekraczać 1.5 m.</w:t>
      </w:r>
    </w:p>
    <w:p w14:paraId="35EC40B1"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Baretka powinna mieć długość nie mniejszą niż 3 m i nie większą niż 4.5 m.</w:t>
      </w:r>
    </w:p>
    <w:p w14:paraId="437A941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Światła strefy przyziemienia powinny być stałymi światłami jednokierunkowymi koloru zmiennego białego.</w:t>
      </w:r>
    </w:p>
    <w:p w14:paraId="508FA293" w14:textId="6BA9AA34"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t xml:space="preserve">Charakterystyki </w:t>
      </w:r>
      <w:r w:rsidRPr="009E064B">
        <w:rPr>
          <w:szCs w:val="20"/>
        </w:rPr>
        <w:t xml:space="preserve">świateł strefy przyziemienia powinny być zgodne ze specyfikacjami określonymi w </w:t>
      </w:r>
      <w:hyperlink w:anchor="_CS_ADR-DSN.U.940_" w:history="1">
        <w:r w:rsidRPr="009E064B">
          <w:rPr>
            <w:rStyle w:val="Hipercze"/>
            <w:szCs w:val="20"/>
          </w:rPr>
          <w:t>CS ADR-DSN.U.940</w:t>
        </w:r>
      </w:hyperlink>
      <w:r w:rsidRPr="009E064B">
        <w:rPr>
          <w:szCs w:val="20"/>
        </w:rPr>
        <w:t>, Rysunek U-9.</w:t>
      </w:r>
    </w:p>
    <w:p w14:paraId="315CBD0A" w14:textId="5B85953F" w:rsidR="00C36D76" w:rsidRPr="00BA0D33" w:rsidRDefault="00C36D76" w:rsidP="00B06A9A">
      <w:pPr>
        <w:tabs>
          <w:tab w:val="left" w:pos="1134"/>
        </w:tabs>
        <w:ind w:left="1134" w:hanging="567"/>
        <w:rPr>
          <w:rFonts w:cs="TimesNewRomanPSMT"/>
          <w:szCs w:val="20"/>
        </w:rPr>
      </w:pPr>
      <w:r w:rsidRPr="009E064B">
        <w:rPr>
          <w:rFonts w:cs="TimesNewRomanPSMT"/>
          <w:szCs w:val="20"/>
        </w:rPr>
        <w:t xml:space="preserve">(5) </w:t>
      </w:r>
      <w:r w:rsidRPr="009E064B">
        <w:rPr>
          <w:rFonts w:cs="TimesNewRomanPSMT"/>
          <w:szCs w:val="20"/>
        </w:rPr>
        <w:tab/>
        <w:t xml:space="preserve">Chromatyczność świateł strefy przyziemienia powinna być zgodna ze specyfikacjami określonymi w </w:t>
      </w:r>
      <w:hyperlink w:anchor="_CS_ADR-DSN.U.930_" w:history="1">
        <w:r w:rsidRPr="009E064B">
          <w:rPr>
            <w:rStyle w:val="Hipercze"/>
            <w:rFonts w:cs="TimesNewRomanPSMT"/>
            <w:szCs w:val="20"/>
          </w:rPr>
          <w:t>CS ADR-DSN.U.930</w:t>
        </w:r>
      </w:hyperlink>
      <w:r w:rsidRPr="009E064B">
        <w:rPr>
          <w:rFonts w:cs="TimesNewRomanPSMT"/>
          <w:szCs w:val="20"/>
        </w:rPr>
        <w:t xml:space="preserve"> i </w:t>
      </w:r>
      <w:r w:rsidR="00000375" w:rsidRPr="00BA0D33">
        <w:rPr>
          <w:rFonts w:cs="TimesNewRomanPSMT"/>
          <w:szCs w:val="20"/>
        </w:rPr>
        <w:t xml:space="preserve">odpowiednio z </w:t>
      </w:r>
      <w:r w:rsidRPr="00BA0D33">
        <w:rPr>
          <w:rFonts w:cs="TimesNewRomanPSMT"/>
          <w:szCs w:val="20"/>
        </w:rPr>
        <w:t>Rysunkiem U-1</w:t>
      </w:r>
      <w:r w:rsidR="00000375" w:rsidRPr="00BA0D33">
        <w:rPr>
          <w:rFonts w:cs="TimesNewRomanPSMT"/>
          <w:szCs w:val="20"/>
        </w:rPr>
        <w:t>A lub U-1B</w:t>
      </w:r>
      <w:r w:rsidRPr="00BA0D33">
        <w:rPr>
          <w:rFonts w:cs="TimesNewRomanPSMT"/>
          <w:szCs w:val="20"/>
        </w:rPr>
        <w:t>.</w:t>
      </w:r>
    </w:p>
    <w:p w14:paraId="4DCD0817" w14:textId="3B95CDC0" w:rsidR="00C36D76" w:rsidRPr="009E064B" w:rsidRDefault="00C36D76" w:rsidP="00BC37C6">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D0F1A4B" w14:textId="77777777" w:rsidR="00D22426" w:rsidRPr="009E064B" w:rsidRDefault="00D22426" w:rsidP="00BC37C6">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DBC43EE" w14:textId="298C86D3" w:rsidR="005D60FB" w:rsidRPr="009E064B" w:rsidRDefault="006D228E" w:rsidP="00133B99">
      <w:pPr>
        <w:pStyle w:val="Nagwek6"/>
      </w:pPr>
      <w:bookmarkStart w:id="1547" w:name="_Toc401059042"/>
      <w:bookmarkStart w:id="1548" w:name="_Toc482886907"/>
      <w:bookmarkStart w:id="1549" w:name="_Toc12533206"/>
      <w:r w:rsidRPr="009E064B">
        <w:t xml:space="preserve">GM1 ADR-DSN.M.695     </w:t>
      </w:r>
      <w:r w:rsidR="005D60FB" w:rsidRPr="009E064B">
        <w:t>Światła strefy przyziemienia</w:t>
      </w:r>
      <w:bookmarkEnd w:id="1547"/>
      <w:bookmarkEnd w:id="1548"/>
      <w:bookmarkEnd w:id="1549"/>
    </w:p>
    <w:p w14:paraId="035BD106" w14:textId="7B69A6F8"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A86D8AD" w14:textId="77777777" w:rsidR="005D60FB" w:rsidRPr="009E064B" w:rsidRDefault="005D60FB"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Aby umożliwić operacje przy niższych minimach widzialności, może okazać się celowe zastosowanie rozstawu podłużnego 30 m pomiędzy baretkami.</w:t>
      </w:r>
    </w:p>
    <w:p w14:paraId="75711B28" w14:textId="7A50223B" w:rsidR="00C36D76" w:rsidRPr="009E064B" w:rsidRDefault="00C36D76" w:rsidP="00B06A9A">
      <w:pPr>
        <w:pStyle w:val="Nagwek4"/>
        <w:rPr>
          <w:color w:val="auto"/>
        </w:rPr>
      </w:pPr>
      <w:bookmarkStart w:id="1550" w:name="_Toc482886684"/>
      <w:bookmarkStart w:id="1551" w:name="_Toc12533207"/>
      <w:r w:rsidRPr="009E064B">
        <w:rPr>
          <w:color w:val="auto"/>
        </w:rPr>
        <w:t xml:space="preserve">CS ADR-DSN.M.696 </w:t>
      </w:r>
      <w:bookmarkStart w:id="1552" w:name="_Toc469650446"/>
      <w:r w:rsidR="008C30B4" w:rsidRPr="009E064B">
        <w:rPr>
          <w:color w:val="auto"/>
        </w:rPr>
        <w:t xml:space="preserve">    </w:t>
      </w:r>
      <w:r w:rsidRPr="009E064B">
        <w:rPr>
          <w:color w:val="auto"/>
        </w:rPr>
        <w:t>Proste światła strefy przyziemienia</w:t>
      </w:r>
      <w:bookmarkEnd w:id="1550"/>
      <w:bookmarkEnd w:id="1551"/>
      <w:bookmarkEnd w:id="1552"/>
    </w:p>
    <w:p w14:paraId="0AAB6980" w14:textId="19B243C9"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F2BB503" w14:textId="382D89FD" w:rsidR="00C36D76" w:rsidRPr="009E064B" w:rsidRDefault="00C36D76" w:rsidP="00B06A9A">
      <w:pPr>
        <w:tabs>
          <w:tab w:val="left" w:pos="567"/>
        </w:tabs>
        <w:ind w:left="567" w:hanging="567"/>
        <w:rPr>
          <w:rFonts w:cs="TimesNewRomanPSMT"/>
          <w:szCs w:val="20"/>
        </w:rPr>
      </w:pPr>
      <w:r w:rsidRPr="009E064B">
        <w:rPr>
          <w:rFonts w:cs="TimesNewRomanPSMT"/>
          <w:szCs w:val="20"/>
        </w:rPr>
        <w:t>(a)</w:t>
      </w:r>
      <w:r w:rsidRPr="009E064B">
        <w:rPr>
          <w:rFonts w:cs="TimesNewRomanPSMT"/>
          <w:szCs w:val="20"/>
        </w:rPr>
        <w:tab/>
        <w:t xml:space="preserve">Proste światła strefy przyziemienia mają na celu zapewnienie pilotom zwiększonej świadomości sytuacyjnej w każdych warunkach widzialności oraz pomóc w podejmowaniu decyzji o ewentualnym rozpoczęciu odejścia na drugi krąg w sytuacji, gdy statek powietrzny nie wylądował w określonym punkcie na drodze startowej. </w:t>
      </w:r>
    </w:p>
    <w:p w14:paraId="1ACBE1B9" w14:textId="41ED148A" w:rsidR="00C36D76" w:rsidRPr="009E064B" w:rsidRDefault="00C36D76" w:rsidP="00B06A9A">
      <w:pPr>
        <w:tabs>
          <w:tab w:val="left" w:pos="567"/>
        </w:tabs>
        <w:ind w:left="567" w:hanging="567"/>
        <w:rPr>
          <w:rFonts w:cs="TimesNewRomanPSMT"/>
          <w:szCs w:val="20"/>
        </w:rPr>
      </w:pPr>
      <w:r w:rsidRPr="009E064B">
        <w:rPr>
          <w:rFonts w:cs="TimesNewRomanPSMT"/>
          <w:szCs w:val="20"/>
        </w:rPr>
        <w:t>(b)</w:t>
      </w:r>
      <w:r w:rsidRPr="009E064B">
        <w:rPr>
          <w:rFonts w:cs="TimesNewRomanPSMT"/>
          <w:szCs w:val="20"/>
        </w:rPr>
        <w:tab/>
        <w:t>Zastosowanie. Za wyjątkiem przypadku, gdy światła strefy przyziemienia są zapewniane</w:t>
      </w:r>
      <w:r w:rsidR="00FB575E" w:rsidRPr="009E064B">
        <w:rPr>
          <w:rFonts w:cs="TimesNewRomanPSMT"/>
          <w:szCs w:val="20"/>
        </w:rPr>
        <w:t xml:space="preserve"> zgodnie ze specyfikacjami w </w:t>
      </w:r>
      <w:hyperlink w:anchor="_CS_ADR-DSN.M.695_" w:history="1">
        <w:r w:rsidR="00FB575E" w:rsidRPr="009E064B">
          <w:rPr>
            <w:rStyle w:val="Hipercze"/>
            <w:rFonts w:cs="TimesNewRomanPSMT"/>
            <w:szCs w:val="20"/>
          </w:rPr>
          <w:t>CS </w:t>
        </w:r>
        <w:r w:rsidRPr="009E064B">
          <w:rPr>
            <w:rStyle w:val="Hipercze"/>
            <w:rFonts w:cs="TimesNewRomanPSMT"/>
            <w:szCs w:val="20"/>
          </w:rPr>
          <w:t>ADR-DSN.M.695</w:t>
        </w:r>
      </w:hyperlink>
      <w:r w:rsidRPr="009E064B">
        <w:rPr>
          <w:rFonts w:cs="TimesNewRomanPSMT"/>
          <w:szCs w:val="20"/>
        </w:rPr>
        <w:t>, na drodze startowej gdzie kąt podejścia jest większy niż 3.5 stopnia i/lub rozporządzalna długość lądowania (LDA) w połączeniu z innymi czynnikami zwiększa ryzyko wyjechania poza drogę startową, powinny być zainstalowane proste światła strefy przyziemienia.</w:t>
      </w:r>
    </w:p>
    <w:p w14:paraId="1A9F4170" w14:textId="77777777" w:rsidR="00C36D76" w:rsidRPr="009E064B" w:rsidRDefault="00C36D76" w:rsidP="00B06A9A">
      <w:pPr>
        <w:tabs>
          <w:tab w:val="left" w:pos="567"/>
        </w:tabs>
        <w:ind w:left="567" w:hanging="567"/>
        <w:rPr>
          <w:rFonts w:cs="TimesNewRomanPSMT"/>
          <w:szCs w:val="20"/>
        </w:rPr>
      </w:pPr>
      <w:r w:rsidRPr="009E064B">
        <w:rPr>
          <w:rFonts w:cs="TimesNewRomanPSMT"/>
          <w:szCs w:val="20"/>
        </w:rPr>
        <w:t>(c)</w:t>
      </w:r>
      <w:r w:rsidRPr="009E064B">
        <w:rPr>
          <w:rFonts w:cs="TimesNewRomanPSMT"/>
          <w:szCs w:val="20"/>
        </w:rPr>
        <w:tab/>
        <w:t>Lokalizacja i ustawienie:</w:t>
      </w:r>
    </w:p>
    <w:p w14:paraId="6A9E273F"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(1)</w:t>
      </w:r>
      <w:r w:rsidRPr="009E064B">
        <w:rPr>
          <w:rFonts w:cs="TimesNewRomanPSMT"/>
          <w:szCs w:val="20"/>
        </w:rPr>
        <w:tab/>
      </w:r>
      <w:r w:rsidRPr="009E064B">
        <w:rPr>
          <w:rFonts w:cs="Times New Roman"/>
          <w:szCs w:val="20"/>
        </w:rPr>
        <w:t>Proste</w:t>
      </w:r>
      <w:r w:rsidRPr="009E064B">
        <w:rPr>
          <w:rFonts w:cs="TimesNewRomanPSMT"/>
          <w:szCs w:val="20"/>
        </w:rPr>
        <w:t xml:space="preserve"> światła strefy przyziemienia są parą świateł zlokalizowanych po każdej stronie linii środkowej drogi startowej w odległości 0.3 m za nawietrzną krawędzią końcowego oznakowania strefy przyziemienia. </w:t>
      </w:r>
    </w:p>
    <w:p w14:paraId="5054999E"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(2)</w:t>
      </w:r>
      <w:r w:rsidRPr="009E064B">
        <w:rPr>
          <w:rFonts w:cs="TimesNewRomanPSMT"/>
          <w:szCs w:val="20"/>
        </w:rPr>
        <w:tab/>
      </w:r>
      <w:r w:rsidRPr="009E064B">
        <w:rPr>
          <w:rFonts w:cs="Times New Roman"/>
          <w:szCs w:val="20"/>
        </w:rPr>
        <w:t>Odstęp</w:t>
      </w:r>
      <w:r w:rsidRPr="009E064B">
        <w:rPr>
          <w:rFonts w:cs="TimesNewRomanPSMT"/>
          <w:szCs w:val="20"/>
        </w:rPr>
        <w:t xml:space="preserve"> boczny pomiędzy wewnętrznymi światłami dwóch par świateł powinien być równy odstępowi bocznemu oznakowania strefy przyziemienia. </w:t>
      </w:r>
    </w:p>
    <w:p w14:paraId="5896144B"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(3)</w:t>
      </w:r>
      <w:r w:rsidRPr="009E064B">
        <w:rPr>
          <w:rFonts w:cs="TimesNewRomanPSMT"/>
          <w:szCs w:val="20"/>
        </w:rPr>
        <w:tab/>
      </w:r>
      <w:r w:rsidRPr="009E064B">
        <w:rPr>
          <w:rFonts w:cs="Times New Roman"/>
          <w:szCs w:val="20"/>
        </w:rPr>
        <w:t>Odstęp</w:t>
      </w:r>
      <w:r w:rsidRPr="009E064B">
        <w:rPr>
          <w:rFonts w:cs="TimesNewRomanPSMT"/>
          <w:szCs w:val="20"/>
        </w:rPr>
        <w:t xml:space="preserve"> pomiędzy światłami tej samej pary nie powinien być większe niż 1.5 m lub połowa szerokości oznakowania strefy przyziemienia, w zależności od tego która odległość jest większa (patrz Rysunek M-8(C)).</w:t>
      </w:r>
    </w:p>
    <w:p w14:paraId="10956F8B"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 xml:space="preserve">(4) </w:t>
      </w:r>
      <w:r w:rsidRPr="009E064B">
        <w:rPr>
          <w:rFonts w:cs="TimesNewRomanPSMT"/>
          <w:szCs w:val="20"/>
        </w:rPr>
        <w:tab/>
        <w:t xml:space="preserve">Jeżeli proste światła strefy przyziemienia są instalowane na drodze startowej bez oznakowania </w:t>
      </w:r>
      <w:r w:rsidRPr="009E064B">
        <w:rPr>
          <w:rFonts w:cs="Times New Roman"/>
          <w:szCs w:val="20"/>
        </w:rPr>
        <w:t>strefy</w:t>
      </w:r>
      <w:r w:rsidRPr="009E064B">
        <w:rPr>
          <w:rFonts w:cs="TimesNewRomanPSMT"/>
          <w:szCs w:val="20"/>
        </w:rPr>
        <w:t xml:space="preserve"> przyziemienia, to powinny być zainstalowane w takim miejscu, które zapewni równoważną informację o strefie przyziemienia.</w:t>
      </w:r>
    </w:p>
    <w:p w14:paraId="4FE4E95B" w14:textId="77777777" w:rsidR="00C36D76" w:rsidRPr="009E064B" w:rsidRDefault="00C36D76" w:rsidP="00B06A9A">
      <w:pPr>
        <w:tabs>
          <w:tab w:val="left" w:pos="567"/>
        </w:tabs>
        <w:ind w:left="567" w:hanging="567"/>
        <w:rPr>
          <w:rFonts w:cs="TimesNewRomanPSMT"/>
          <w:bCs/>
          <w:iCs/>
          <w:szCs w:val="20"/>
        </w:rPr>
      </w:pPr>
      <w:r w:rsidRPr="009E064B">
        <w:rPr>
          <w:rFonts w:cs="TimesNewRomanPSMT"/>
          <w:bCs/>
          <w:iCs/>
          <w:szCs w:val="20"/>
        </w:rPr>
        <w:t>(d)</w:t>
      </w:r>
      <w:r w:rsidRPr="009E064B">
        <w:rPr>
          <w:rFonts w:cs="TimesNewRomanPSMT"/>
          <w:bCs/>
          <w:iCs/>
          <w:szCs w:val="20"/>
        </w:rPr>
        <w:tab/>
      </w:r>
      <w:r w:rsidRPr="009E064B">
        <w:rPr>
          <w:rFonts w:cs="TimesNewRomanPSMT"/>
          <w:szCs w:val="20"/>
        </w:rPr>
        <w:t>Charakterystyki</w:t>
      </w:r>
      <w:r w:rsidRPr="009E064B">
        <w:rPr>
          <w:rFonts w:cs="TimesNewRomanPSMT"/>
          <w:bCs/>
          <w:iCs/>
          <w:szCs w:val="20"/>
        </w:rPr>
        <w:t>:</w:t>
      </w:r>
    </w:p>
    <w:p w14:paraId="1BD93B4D" w14:textId="77777777" w:rsidR="00C36D76" w:rsidRPr="009E064B" w:rsidRDefault="00C36D76" w:rsidP="00B06A9A">
      <w:pPr>
        <w:tabs>
          <w:tab w:val="left" w:pos="1134"/>
        </w:tabs>
        <w:ind w:left="1134" w:hanging="567"/>
        <w:rPr>
          <w:rFonts w:cs="TimesNewRomanPSMT"/>
          <w:szCs w:val="20"/>
        </w:rPr>
      </w:pPr>
      <w:r w:rsidRPr="009E064B">
        <w:rPr>
          <w:rFonts w:cs="TimesNewRomanPSMT"/>
          <w:szCs w:val="20"/>
        </w:rPr>
        <w:t xml:space="preserve">(1) </w:t>
      </w:r>
      <w:r w:rsidRPr="009E064B">
        <w:rPr>
          <w:rFonts w:cs="TimesNewRomanPSMT"/>
          <w:szCs w:val="20"/>
        </w:rPr>
        <w:tab/>
        <w:t xml:space="preserve">Proste światła strefy przyziemienia powinny być światłami stałymi jednokierunkowymi koloru </w:t>
      </w:r>
      <w:r w:rsidRPr="009E064B">
        <w:rPr>
          <w:rFonts w:cs="Times New Roman"/>
          <w:szCs w:val="20"/>
        </w:rPr>
        <w:t>zmiennego</w:t>
      </w:r>
      <w:r w:rsidRPr="009E064B">
        <w:rPr>
          <w:rFonts w:cs="TimesNewRomanPSMT"/>
          <w:szCs w:val="20"/>
        </w:rPr>
        <w:t xml:space="preserve"> białego, ustawionymi w taki sposób, aby były widziane przez pilota lądującego samolotu z danego kierunku podejścia do drogi startowej. </w:t>
      </w:r>
    </w:p>
    <w:p w14:paraId="77C4BA62" w14:textId="66215DC0" w:rsidR="00C36D76" w:rsidRPr="009E064B" w:rsidRDefault="00C36D76" w:rsidP="00B06A9A">
      <w:pPr>
        <w:tabs>
          <w:tab w:val="left" w:pos="1134"/>
        </w:tabs>
        <w:ind w:left="1134" w:hanging="567"/>
        <w:rPr>
          <w:rFonts w:cs="TimesNewRomanPSMT"/>
          <w:szCs w:val="20"/>
        </w:rPr>
      </w:pPr>
      <w:r w:rsidRPr="009E064B">
        <w:rPr>
          <w:rFonts w:cs="TimesNewRomanPSMT"/>
          <w:szCs w:val="20"/>
        </w:rPr>
        <w:t>(2)</w:t>
      </w:r>
      <w:r w:rsidRPr="009E064B">
        <w:rPr>
          <w:rFonts w:cs="TimesNewRomanPSMT"/>
          <w:szCs w:val="20"/>
        </w:rPr>
        <w:tab/>
      </w:r>
      <w:r w:rsidRPr="009E064B">
        <w:rPr>
          <w:rFonts w:cs="Times New Roman"/>
          <w:szCs w:val="20"/>
        </w:rPr>
        <w:t>Charakterystyki</w:t>
      </w:r>
      <w:r w:rsidRPr="009E064B">
        <w:rPr>
          <w:rFonts w:cs="TimesNewRomanPSMT"/>
          <w:szCs w:val="20"/>
        </w:rPr>
        <w:t xml:space="preserve"> prostych świateł strefy przyziemienia powinny być zgodne ze specyfikacjami w </w:t>
      </w:r>
      <w:hyperlink w:anchor="_CS_ADR-DSN.U.940_" w:history="1">
        <w:r w:rsidRPr="009E064B">
          <w:rPr>
            <w:rStyle w:val="Hipercze"/>
            <w:rFonts w:cs="TimesNewRomanPSMT"/>
            <w:szCs w:val="20"/>
          </w:rPr>
          <w:t>CS ADR-DSN.U.940</w:t>
        </w:r>
      </w:hyperlink>
      <w:r w:rsidRPr="009E064B">
        <w:rPr>
          <w:rFonts w:cs="TimesNewRomanPSMT"/>
          <w:szCs w:val="20"/>
        </w:rPr>
        <w:t xml:space="preserve">, Rysunek U-9. </w:t>
      </w:r>
    </w:p>
    <w:p w14:paraId="512F3165" w14:textId="4FC05D46" w:rsidR="00C36D76" w:rsidRPr="00BA0D33" w:rsidRDefault="00C36D76" w:rsidP="00B06A9A">
      <w:pPr>
        <w:tabs>
          <w:tab w:val="left" w:pos="1134"/>
        </w:tabs>
        <w:ind w:left="1134" w:hanging="567"/>
        <w:rPr>
          <w:rFonts w:cs="TimesNewRomanPSMT"/>
          <w:szCs w:val="20"/>
        </w:rPr>
      </w:pPr>
      <w:r w:rsidRPr="009E064B">
        <w:rPr>
          <w:rFonts w:cs="TimesNewRomanPSMT"/>
          <w:szCs w:val="20"/>
        </w:rPr>
        <w:t>(3)</w:t>
      </w:r>
      <w:r w:rsidRPr="009E064B">
        <w:rPr>
          <w:rFonts w:cs="TimesNewRomanPSMT"/>
          <w:szCs w:val="20"/>
        </w:rPr>
        <w:tab/>
        <w:t xml:space="preserve">Chromatyczność prostych świateł strefy przyziemienia powinna być zgodna ze </w:t>
      </w:r>
      <w:r w:rsidRPr="009E064B">
        <w:rPr>
          <w:rFonts w:cs="Times New Roman"/>
          <w:szCs w:val="20"/>
        </w:rPr>
        <w:t>specyfikacjami</w:t>
      </w:r>
      <w:r w:rsidRPr="009E064B">
        <w:rPr>
          <w:rFonts w:cs="TimesNewRomanPSMT"/>
          <w:szCs w:val="20"/>
        </w:rPr>
        <w:t xml:space="preserve"> w </w:t>
      </w:r>
      <w:hyperlink w:anchor="_CS_ADR-DSN.U.930_" w:history="1">
        <w:r w:rsidRPr="009E064B">
          <w:rPr>
            <w:rStyle w:val="Hipercze"/>
            <w:rFonts w:cs="TimesNewRomanPSMT"/>
            <w:szCs w:val="20"/>
          </w:rPr>
          <w:t>CS ADR-DSN.U.930</w:t>
        </w:r>
      </w:hyperlink>
      <w:r w:rsidRPr="009E064B">
        <w:rPr>
          <w:rFonts w:cs="TimesNewRomanPSMT"/>
          <w:szCs w:val="20"/>
        </w:rPr>
        <w:t xml:space="preserve"> </w:t>
      </w:r>
      <w:r w:rsidRPr="00BA0D33">
        <w:rPr>
          <w:rFonts w:cs="TimesNewRomanPSMT"/>
          <w:szCs w:val="20"/>
        </w:rPr>
        <w:t xml:space="preserve">i </w:t>
      </w:r>
      <w:r w:rsidR="00000375" w:rsidRPr="00BA0D33">
        <w:rPr>
          <w:rFonts w:cs="TimesNewRomanPSMT"/>
          <w:szCs w:val="20"/>
        </w:rPr>
        <w:t xml:space="preserve">odpowiednio z </w:t>
      </w:r>
      <w:r w:rsidRPr="00BA0D33">
        <w:rPr>
          <w:rFonts w:cs="TimesNewRomanPSMT"/>
          <w:szCs w:val="20"/>
        </w:rPr>
        <w:t>Rysunkiem U-1</w:t>
      </w:r>
      <w:r w:rsidR="00000375" w:rsidRPr="00BA0D33">
        <w:rPr>
          <w:rFonts w:cs="TimesNewRomanPSMT"/>
          <w:szCs w:val="20"/>
        </w:rPr>
        <w:t>A lub U-1B</w:t>
      </w:r>
      <w:r w:rsidRPr="00BA0D33">
        <w:rPr>
          <w:rFonts w:cs="TimesNewRomanPSMT"/>
          <w:szCs w:val="20"/>
        </w:rPr>
        <w:t xml:space="preserve">. </w:t>
      </w:r>
    </w:p>
    <w:p w14:paraId="3FF9B790" w14:textId="3FE5B38D" w:rsidR="00C36D76" w:rsidRPr="009E064B" w:rsidRDefault="00C36D76" w:rsidP="00B06A9A">
      <w:pPr>
        <w:spacing w:after="240"/>
        <w:rPr>
          <w:rFonts w:cs="TimesNewRomanPSMT"/>
          <w:szCs w:val="20"/>
        </w:rPr>
      </w:pPr>
    </w:p>
    <w:p w14:paraId="6A260B93" w14:textId="64128605" w:rsidR="00162468" w:rsidRPr="009E064B" w:rsidRDefault="00162468" w:rsidP="00B06A9A">
      <w:pPr>
        <w:spacing w:after="240"/>
        <w:rPr>
          <w:rFonts w:cs="TimesNewRomanPSMT"/>
          <w:szCs w:val="20"/>
        </w:rPr>
      </w:pPr>
      <w:r w:rsidRPr="009E064B">
        <w:rPr>
          <w:noProof/>
          <w:lang w:eastAsia="pl-PL"/>
        </w:rPr>
        <w:drawing>
          <wp:inline distT="0" distB="0" distL="0" distR="0" wp14:anchorId="2F296B5F" wp14:editId="14912D5F">
            <wp:extent cx="5760446" cy="3092450"/>
            <wp:effectExtent l="0" t="0" r="0" b="0"/>
            <wp:docPr id="6547" name="Obraz 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64192" cy="3094461"/>
                    </a:xfrm>
                    <a:prstGeom prst="rect">
                      <a:avLst/>
                    </a:prstGeom>
                    <a:noFill/>
                    <a:ln>
                      <a:noFill/>
                    </a:ln>
                  </pic:spPr>
                </pic:pic>
              </a:graphicData>
            </a:graphic>
          </wp:inline>
        </w:drawing>
      </w:r>
    </w:p>
    <w:p w14:paraId="6A03D837" w14:textId="77777777" w:rsidR="00C36D76" w:rsidRPr="00BA0D33" w:rsidRDefault="00C36D76" w:rsidP="00B06A9A">
      <w:pPr>
        <w:spacing w:after="0"/>
        <w:ind w:right="10"/>
        <w:jc w:val="center"/>
        <w:rPr>
          <w:rFonts w:cs="TimesNewRomanPSMT"/>
          <w:b/>
          <w:szCs w:val="24"/>
        </w:rPr>
      </w:pPr>
      <w:r w:rsidRPr="00BA0D33">
        <w:rPr>
          <w:rFonts w:cs="TimesNewRomanPSMT"/>
          <w:b/>
          <w:sz w:val="20"/>
          <w:szCs w:val="24"/>
        </w:rPr>
        <w:t>Rysunek M-8(C).   Proste światła strefy przyziemienia</w:t>
      </w:r>
    </w:p>
    <w:p w14:paraId="308AAC12" w14:textId="65DDA992"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C03F15A" w14:textId="77777777" w:rsidR="00D22426" w:rsidRPr="009E064B" w:rsidRDefault="00D22426" w:rsidP="00BC37C6">
      <w:pPr>
        <w:pStyle w:val="Tekstpodstawowy"/>
        <w:ind w:left="23" w:hanging="23"/>
        <w:rPr>
          <w:rFonts w:asciiTheme="minorHAnsi" w:hAnsiTheme="minorHAnsi" w:cstheme="minorHAnsi"/>
          <w:i/>
          <w:sz w:val="16"/>
          <w:szCs w:val="16"/>
        </w:rPr>
      </w:pPr>
      <w:bookmarkStart w:id="1553" w:name="_Toc482886908"/>
      <w:r w:rsidRPr="000412BF">
        <w:rPr>
          <w:rFonts w:asciiTheme="minorHAnsi" w:hAnsiTheme="minorHAnsi" w:cstheme="minorHAnsi"/>
          <w:i/>
          <w:sz w:val="16"/>
          <w:szCs w:val="16"/>
        </w:rPr>
        <w:t>[Wydanie: ADR-DSN/4]</w:t>
      </w:r>
    </w:p>
    <w:p w14:paraId="52F7EC34" w14:textId="6F3EFB77" w:rsidR="000D4914" w:rsidRPr="009E064B" w:rsidRDefault="006D228E" w:rsidP="00133B99">
      <w:pPr>
        <w:pStyle w:val="Nagwek6"/>
      </w:pPr>
      <w:bookmarkStart w:id="1554" w:name="_Toc12533208"/>
      <w:r w:rsidRPr="009E064B">
        <w:t xml:space="preserve">GM1 ADR-DSN.M.696     </w:t>
      </w:r>
      <w:r w:rsidR="000D4914" w:rsidRPr="009E064B">
        <w:t>Proste światła strefy przyziemienia</w:t>
      </w:r>
      <w:bookmarkEnd w:id="1553"/>
      <w:bookmarkEnd w:id="1554"/>
    </w:p>
    <w:p w14:paraId="092618DA" w14:textId="61BEFD0B"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C2D738A" w14:textId="57D65784" w:rsidR="000D4914" w:rsidRPr="009E064B" w:rsidRDefault="000D4914"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(a)</w:t>
      </w:r>
      <w:r w:rsidRPr="009E064B">
        <w:rPr>
          <w:rFonts w:eastAsia="Times New Roman,Italic" w:cs="Times New Roman,Italic"/>
          <w:iCs/>
          <w:szCs w:val="20"/>
        </w:rPr>
        <w:tab/>
        <w:t>Proste światła strefy przyziemienia powinny być zasilane w oddzielnym obwodzie elektrycznym od pozostałych świateł drogi startowej, tak, aby mogły być one użyte, gdy inne światła zostaną wyłączone.</w:t>
      </w:r>
    </w:p>
    <w:p w14:paraId="46B63725" w14:textId="77777777" w:rsidR="000D4914" w:rsidRPr="009E064B" w:rsidRDefault="000D4914"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095DA26" w14:textId="08E84ED8" w:rsidR="00C36D76" w:rsidRPr="009E064B" w:rsidRDefault="006D228E" w:rsidP="00B06A9A">
      <w:pPr>
        <w:pStyle w:val="Nagwek4"/>
        <w:rPr>
          <w:color w:val="auto"/>
        </w:rPr>
      </w:pPr>
      <w:bookmarkStart w:id="1555" w:name="_Toc482886685"/>
      <w:bookmarkStart w:id="1556" w:name="_Toc12533209"/>
      <w:r w:rsidRPr="009E064B">
        <w:rPr>
          <w:color w:val="auto"/>
        </w:rPr>
        <w:t xml:space="preserve">CS ADR-DSN.M.700     </w:t>
      </w:r>
      <w:r w:rsidR="00C36D76" w:rsidRPr="009E064B">
        <w:rPr>
          <w:color w:val="auto"/>
        </w:rPr>
        <w:t>Światła wskazania drogi kołowania szybkiego zjazdu</w:t>
      </w:r>
      <w:bookmarkEnd w:id="1555"/>
      <w:r w:rsidR="00B06BE8" w:rsidRPr="009E064B">
        <w:rPr>
          <w:color w:val="auto"/>
        </w:rPr>
        <w:t xml:space="preserve"> (RETILs)</w:t>
      </w:r>
      <w:bookmarkEnd w:id="1556"/>
    </w:p>
    <w:p w14:paraId="7BA4F450" w14:textId="4983359C" w:rsidR="006D228E" w:rsidRPr="009E064B" w:rsidRDefault="001F74A1" w:rsidP="006D228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5636AEE" w14:textId="77777777" w:rsidR="00B06BE8" w:rsidRPr="00BA0D33" w:rsidRDefault="00000375" w:rsidP="00000375">
      <w:pPr>
        <w:tabs>
          <w:tab w:val="left" w:pos="567"/>
        </w:tabs>
        <w:autoSpaceDE w:val="0"/>
        <w:autoSpaceDN w:val="0"/>
        <w:adjustRightInd w:val="0"/>
        <w:ind w:left="567" w:hanging="567"/>
        <w:rPr>
          <w:rFonts w:eastAsia="Times New Roman,Italic" w:cs="Times New Roman,Italic"/>
          <w:iCs/>
          <w:szCs w:val="20"/>
        </w:rPr>
      </w:pPr>
      <w:r w:rsidRPr="00BA0D33">
        <w:rPr>
          <w:rFonts w:eastAsia="Times New Roman,Italic" w:cs="Times New Roman,Italic"/>
          <w:iCs/>
          <w:szCs w:val="20"/>
        </w:rPr>
        <w:t>(a)</w:t>
      </w:r>
      <w:r w:rsidRPr="00BA0D33">
        <w:rPr>
          <w:rFonts w:eastAsia="Times New Roman,Italic" w:cs="Times New Roman,Italic"/>
          <w:iCs/>
          <w:szCs w:val="20"/>
        </w:rPr>
        <w:tab/>
      </w:r>
      <w:r w:rsidR="00B06BE8" w:rsidRPr="00BA0D33">
        <w:rPr>
          <w:rFonts w:eastAsia="Times New Roman,Italic" w:cs="Times New Roman,Italic"/>
          <w:iCs/>
          <w:szCs w:val="20"/>
        </w:rPr>
        <w:t>Zastosowanie</w:t>
      </w:r>
    </w:p>
    <w:p w14:paraId="7BA5C6F3" w14:textId="7917967D" w:rsidR="00000375" w:rsidRPr="00BA0D33" w:rsidRDefault="00B06BE8" w:rsidP="00EE2E0D">
      <w:pPr>
        <w:tabs>
          <w:tab w:val="left" w:pos="1134"/>
        </w:tabs>
        <w:autoSpaceDE w:val="0"/>
        <w:autoSpaceDN w:val="0"/>
        <w:adjustRightInd w:val="0"/>
        <w:ind w:left="1134" w:hanging="567"/>
        <w:rPr>
          <w:rFonts w:cs="Times New Roman"/>
          <w:szCs w:val="20"/>
        </w:rPr>
      </w:pPr>
      <w:r w:rsidRPr="00BA0D33">
        <w:rPr>
          <w:rFonts w:cs="Times New Roman"/>
          <w:szCs w:val="20"/>
        </w:rPr>
        <w:t>(1)</w:t>
      </w:r>
      <w:r w:rsidRPr="00BA0D33">
        <w:rPr>
          <w:rFonts w:cs="Times New Roman"/>
          <w:szCs w:val="20"/>
        </w:rPr>
        <w:tab/>
      </w:r>
      <w:r w:rsidR="00000375" w:rsidRPr="00BA0D33">
        <w:rPr>
          <w:rFonts w:cs="Times New Roman"/>
          <w:szCs w:val="20"/>
        </w:rPr>
        <w:t>Włączenie specyfikacji dotyczących świateł wskazania drogi kołowania szybkiego zjazdu (RETIL</w:t>
      </w:r>
      <w:r w:rsidR="00A44EF4" w:rsidRPr="00BA0D33">
        <w:rPr>
          <w:rFonts w:cs="Times New Roman"/>
          <w:szCs w:val="20"/>
        </w:rPr>
        <w:t>s</w:t>
      </w:r>
      <w:r w:rsidR="00000375" w:rsidRPr="00BA0D33">
        <w:rPr>
          <w:rFonts w:cs="Times New Roman"/>
          <w:szCs w:val="20"/>
        </w:rPr>
        <w:t>) nie oznacza, że światła takie muszą być zapewnione na lotnisku.</w:t>
      </w:r>
    </w:p>
    <w:p w14:paraId="1D0647C5" w14:textId="3F4DAC96" w:rsidR="00B06BE8" w:rsidRPr="00BA0D33" w:rsidRDefault="00B06BE8" w:rsidP="00EE2E0D">
      <w:pPr>
        <w:tabs>
          <w:tab w:val="left" w:pos="1134"/>
        </w:tabs>
        <w:autoSpaceDE w:val="0"/>
        <w:autoSpaceDN w:val="0"/>
        <w:adjustRightInd w:val="0"/>
        <w:ind w:left="1134" w:hanging="567"/>
        <w:rPr>
          <w:rFonts w:eastAsia="Times New Roman,Italic" w:cs="Times New Roman,Italic"/>
          <w:iCs/>
          <w:szCs w:val="20"/>
        </w:rPr>
      </w:pPr>
      <w:r w:rsidRPr="00BA0D33">
        <w:rPr>
          <w:rFonts w:eastAsia="Times New Roman,Italic" w:cs="Times New Roman,Italic"/>
          <w:iCs/>
          <w:szCs w:val="20"/>
        </w:rPr>
        <w:t>(2</w:t>
      </w:r>
      <w:r w:rsidR="00000375" w:rsidRPr="00BA0D33">
        <w:rPr>
          <w:rFonts w:eastAsia="Times New Roman,Italic" w:cs="Times New Roman,Italic"/>
          <w:iCs/>
          <w:szCs w:val="20"/>
        </w:rPr>
        <w:t>)</w:t>
      </w:r>
      <w:r w:rsidR="00000375" w:rsidRPr="00BA0D33">
        <w:rPr>
          <w:rFonts w:eastAsia="Times New Roman,Italic" w:cs="Times New Roman,Italic"/>
          <w:iCs/>
          <w:szCs w:val="20"/>
        </w:rPr>
        <w:tab/>
      </w:r>
      <w:r w:rsidR="00000375" w:rsidRPr="00BA0D33">
        <w:rPr>
          <w:rFonts w:cs="Times New Roman"/>
          <w:szCs w:val="20"/>
        </w:rPr>
        <w:t>Gdy</w:t>
      </w:r>
      <w:r w:rsidR="00000375" w:rsidRPr="00BA0D33">
        <w:rPr>
          <w:rFonts w:eastAsia="Times New Roman,Italic" w:cs="Times New Roman,Italic"/>
          <w:iCs/>
          <w:szCs w:val="20"/>
        </w:rPr>
        <w:t xml:space="preserve"> światła wskazania drogi kołowania szybkiego zjazdu (RETILs) są zainstalowane </w:t>
      </w:r>
      <w:r w:rsidRPr="00BA0D33">
        <w:rPr>
          <w:rFonts w:eastAsia="Times New Roman,Italic" w:cs="Times New Roman,Italic"/>
          <w:iCs/>
          <w:szCs w:val="20"/>
        </w:rPr>
        <w:t xml:space="preserve">to ich celem </w:t>
      </w:r>
      <w:r w:rsidR="00000375" w:rsidRPr="00BA0D33">
        <w:rPr>
          <w:rFonts w:eastAsia="Times New Roman,Italic" w:cs="Times New Roman,Italic"/>
          <w:iCs/>
          <w:szCs w:val="20"/>
        </w:rPr>
        <w:t xml:space="preserve">jest zapewnienie pilotowi informacji dotyczącej odległości do najbliższej drogi kołowania szybkiego zjazdu z drogi startowej, poprawienie orientacji w warunkach ograniczonej widzialności oraz umożliwienie pilotowi zastosowanie optymalnej siły hamowania w celu sprawniejszego wykonania dobiegu i </w:t>
      </w:r>
      <w:r w:rsidR="009658DB" w:rsidRPr="00BA0D33">
        <w:rPr>
          <w:rFonts w:eastAsia="Times New Roman,Italic" w:cs="Times New Roman,Italic"/>
          <w:iCs/>
          <w:szCs w:val="20"/>
        </w:rPr>
        <w:t>odpowiedniego dostosowania prędkości zjazdu z drogi startowej.</w:t>
      </w:r>
    </w:p>
    <w:p w14:paraId="14BEB20B" w14:textId="6F34A39C" w:rsidR="00B06BE8" w:rsidRPr="00BA0D33" w:rsidRDefault="00B06BE8">
      <w:pPr>
        <w:tabs>
          <w:tab w:val="left" w:pos="567"/>
        </w:tabs>
        <w:autoSpaceDE w:val="0"/>
        <w:autoSpaceDN w:val="0"/>
        <w:adjustRightInd w:val="0"/>
        <w:ind w:left="567" w:hanging="567"/>
        <w:rPr>
          <w:rFonts w:eastAsia="Times New Roman,Italic" w:cs="Times New Roman,Italic"/>
          <w:iCs/>
          <w:szCs w:val="20"/>
        </w:rPr>
      </w:pPr>
      <w:r w:rsidRPr="00BA0D33">
        <w:rPr>
          <w:rFonts w:eastAsia="Times New Roman,Italic" w:cs="Times New Roman,Italic"/>
          <w:iCs/>
          <w:szCs w:val="20"/>
        </w:rPr>
        <w:t>(b)</w:t>
      </w:r>
      <w:r w:rsidRPr="00BA0D33">
        <w:rPr>
          <w:rFonts w:eastAsia="Times New Roman,Italic" w:cs="Times New Roman,Italic"/>
          <w:iCs/>
          <w:szCs w:val="20"/>
        </w:rPr>
        <w:tab/>
        <w:t>Lokalizacja</w:t>
      </w:r>
    </w:p>
    <w:p w14:paraId="0D099A87" w14:textId="4FA7A104" w:rsidR="00B06BE8" w:rsidRPr="00BA0D33" w:rsidRDefault="00B06BE8" w:rsidP="00EE2E0D">
      <w:pPr>
        <w:tabs>
          <w:tab w:val="left" w:pos="1134"/>
        </w:tabs>
        <w:autoSpaceDE w:val="0"/>
        <w:autoSpaceDN w:val="0"/>
        <w:adjustRightInd w:val="0"/>
        <w:ind w:left="1134" w:hanging="567"/>
        <w:rPr>
          <w:rFonts w:cs="Times New Roman"/>
          <w:szCs w:val="20"/>
        </w:rPr>
      </w:pPr>
      <w:r w:rsidRPr="00BA0D33">
        <w:rPr>
          <w:rFonts w:cs="Times New Roman"/>
          <w:szCs w:val="20"/>
        </w:rPr>
        <w:t>(1)</w:t>
      </w:r>
      <w:r w:rsidRPr="00BA0D33">
        <w:rPr>
          <w:rFonts w:cs="Times New Roman"/>
          <w:szCs w:val="20"/>
        </w:rPr>
        <w:tab/>
        <w:t>Światła wskazania drogi kołowania szybkiego zjazdu powinny być zlokalizowane na drodze startowej po tej samej stronie świateł linii środkowej drogi startowej</w:t>
      </w:r>
      <w:r w:rsidR="009658DB" w:rsidRPr="00BA0D33">
        <w:rPr>
          <w:rFonts w:cs="Times New Roman"/>
          <w:szCs w:val="20"/>
        </w:rPr>
        <w:t>,</w:t>
      </w:r>
      <w:r w:rsidRPr="00BA0D33">
        <w:rPr>
          <w:rFonts w:cs="Times New Roman"/>
          <w:szCs w:val="20"/>
        </w:rPr>
        <w:t xml:space="preserve"> co związana z nimi droga kołowania szybkiego zjazdu. Światła </w:t>
      </w:r>
      <w:r w:rsidR="00AA4649" w:rsidRPr="00BA0D33">
        <w:rPr>
          <w:rFonts w:cs="Times New Roman"/>
          <w:szCs w:val="20"/>
        </w:rPr>
        <w:t xml:space="preserve">te </w:t>
      </w:r>
      <w:r w:rsidRPr="00BA0D33">
        <w:rPr>
          <w:rFonts w:cs="Times New Roman"/>
          <w:szCs w:val="20"/>
        </w:rPr>
        <w:t>powinny znajdować się w odległości 2 m od siebie, a światło najbliżej linii środkowej drogi startowej powinno być przesunięte o 2 m od linii środkowej drogi startowej.</w:t>
      </w:r>
    </w:p>
    <w:p w14:paraId="4B7EBB94" w14:textId="77777777" w:rsidR="00801C23" w:rsidRPr="00BA0D33" w:rsidRDefault="00801C23" w:rsidP="00801C23">
      <w:pPr>
        <w:tabs>
          <w:tab w:val="left" w:pos="1134"/>
        </w:tabs>
        <w:autoSpaceDE w:val="0"/>
        <w:autoSpaceDN w:val="0"/>
        <w:adjustRightInd w:val="0"/>
        <w:ind w:left="1134" w:hanging="567"/>
      </w:pPr>
      <w:r w:rsidRPr="00BA0D33">
        <w:rPr>
          <w:rFonts w:cs="Times New Roman"/>
          <w:szCs w:val="20"/>
        </w:rPr>
        <w:t>(2)</w:t>
      </w:r>
      <w:r w:rsidRPr="00BA0D33">
        <w:rPr>
          <w:rFonts w:cs="Times New Roman"/>
          <w:szCs w:val="20"/>
        </w:rPr>
        <w:tab/>
        <w:t>Jeżeli na drodze startowej występuje więcej niż jedna droga kołowania szybkiego zjazdu, zespoły lamp świateł wskazania drogi kołowania szybkiego zjazdu dla każdej z dróg kołowania nie mogą na siebie nachodzić, kiedy są włączone.</w:t>
      </w:r>
    </w:p>
    <w:p w14:paraId="399EF592" w14:textId="0177EE62" w:rsidR="00801C23" w:rsidRPr="00BA0D33" w:rsidRDefault="00084CF2" w:rsidP="00EE2E0D">
      <w:pPr>
        <w:tabs>
          <w:tab w:val="left" w:pos="567"/>
        </w:tabs>
        <w:autoSpaceDE w:val="0"/>
        <w:autoSpaceDN w:val="0"/>
        <w:adjustRightInd w:val="0"/>
        <w:ind w:left="567" w:hanging="567"/>
        <w:rPr>
          <w:rFonts w:eastAsia="Times New Roman,Italic" w:cs="Times New Roman,Italic"/>
          <w:iCs/>
          <w:szCs w:val="20"/>
        </w:rPr>
      </w:pPr>
      <w:r w:rsidRPr="00BA0D33">
        <w:rPr>
          <w:rFonts w:eastAsia="Times New Roman,Italic" w:cs="Times New Roman,Italic"/>
          <w:iCs/>
          <w:szCs w:val="20"/>
        </w:rPr>
        <w:t>(c</w:t>
      </w:r>
      <w:r w:rsidR="00801C23" w:rsidRPr="00BA0D33">
        <w:rPr>
          <w:rFonts w:eastAsia="Times New Roman,Italic" w:cs="Times New Roman,Italic"/>
          <w:iCs/>
          <w:szCs w:val="20"/>
        </w:rPr>
        <w:t>)</w:t>
      </w:r>
      <w:r w:rsidR="00801C23" w:rsidRPr="00BA0D33">
        <w:rPr>
          <w:rFonts w:eastAsia="Times New Roman,Italic" w:cs="Times New Roman,Italic"/>
          <w:iCs/>
          <w:szCs w:val="20"/>
        </w:rPr>
        <w:tab/>
        <w:t>Charakterystyka:</w:t>
      </w:r>
    </w:p>
    <w:p w14:paraId="176588DB" w14:textId="400C37F9" w:rsidR="009658DB" w:rsidRPr="00BA0D33" w:rsidRDefault="00084CF2" w:rsidP="00251248">
      <w:pPr>
        <w:tabs>
          <w:tab w:val="left" w:pos="1134"/>
        </w:tabs>
        <w:autoSpaceDE w:val="0"/>
        <w:autoSpaceDN w:val="0"/>
        <w:adjustRightInd w:val="0"/>
        <w:ind w:left="1134" w:hanging="567"/>
        <w:rPr>
          <w:rFonts w:cs="Times New Roman"/>
          <w:szCs w:val="20"/>
        </w:rPr>
      </w:pPr>
      <w:r w:rsidRPr="00BA0D33">
        <w:rPr>
          <w:rFonts w:cs="Times New Roman"/>
          <w:szCs w:val="20"/>
        </w:rPr>
        <w:t>(1)</w:t>
      </w:r>
      <w:r w:rsidRPr="00BA0D33">
        <w:rPr>
          <w:rFonts w:cs="Times New Roman"/>
          <w:szCs w:val="20"/>
        </w:rPr>
        <w:tab/>
        <w:t>Światła wskazania drogi kołowania szybkiego zjazdu</w:t>
      </w:r>
      <w:r w:rsidR="009658DB" w:rsidRPr="00BA0D33">
        <w:rPr>
          <w:rFonts w:cs="Times New Roman"/>
          <w:szCs w:val="20"/>
        </w:rPr>
        <w:t xml:space="preserve"> (RETILs) to </w:t>
      </w:r>
      <w:r w:rsidRPr="00BA0D33">
        <w:rPr>
          <w:rFonts w:cs="Times New Roman"/>
          <w:szCs w:val="20"/>
        </w:rPr>
        <w:t>światła stałe zawierające zestaw świateł jednokierunkowych koloru żółtego, zainstalowan</w:t>
      </w:r>
      <w:r w:rsidR="00D22426" w:rsidRPr="00BA0D33">
        <w:rPr>
          <w:rFonts w:cs="Times New Roman"/>
          <w:szCs w:val="20"/>
        </w:rPr>
        <w:t>ych</w:t>
      </w:r>
      <w:r w:rsidRPr="00BA0D33">
        <w:rPr>
          <w:rFonts w:cs="Times New Roman"/>
          <w:szCs w:val="20"/>
        </w:rPr>
        <w:t xml:space="preserve"> na drodze startowej przylegające</w:t>
      </w:r>
      <w:r w:rsidR="00251248" w:rsidRPr="00BA0D33">
        <w:rPr>
          <w:rFonts w:cs="Times New Roman"/>
          <w:szCs w:val="20"/>
        </w:rPr>
        <w:t>j</w:t>
      </w:r>
      <w:r w:rsidRPr="00BA0D33">
        <w:rPr>
          <w:rFonts w:cs="Times New Roman"/>
          <w:szCs w:val="20"/>
        </w:rPr>
        <w:t xml:space="preserve"> do </w:t>
      </w:r>
      <w:r w:rsidR="00D22426" w:rsidRPr="00BA0D33">
        <w:rPr>
          <w:rFonts w:cs="Times New Roman"/>
          <w:szCs w:val="20"/>
        </w:rPr>
        <w:t>danej</w:t>
      </w:r>
      <w:r w:rsidRPr="00BA0D33">
        <w:rPr>
          <w:rFonts w:cs="Times New Roman"/>
          <w:szCs w:val="20"/>
        </w:rPr>
        <w:t xml:space="preserve"> linii środkowej.</w:t>
      </w:r>
      <w:r w:rsidR="009658DB" w:rsidRPr="00BA0D33">
        <w:rPr>
          <w:rFonts w:cs="Times New Roman"/>
          <w:szCs w:val="20"/>
        </w:rPr>
        <w:t xml:space="preserve"> Światła </w:t>
      </w:r>
      <w:r w:rsidR="00251248" w:rsidRPr="00BA0D33">
        <w:rPr>
          <w:rFonts w:cs="Times New Roman"/>
          <w:szCs w:val="20"/>
        </w:rPr>
        <w:t xml:space="preserve">te </w:t>
      </w:r>
      <w:r w:rsidR="009658DB" w:rsidRPr="00BA0D33">
        <w:rPr>
          <w:rFonts w:cs="Times New Roman"/>
          <w:szCs w:val="20"/>
        </w:rPr>
        <w:t>są ustawione w sekwen</w:t>
      </w:r>
      <w:r w:rsidR="00D22426" w:rsidRPr="00BA0D33">
        <w:rPr>
          <w:rFonts w:cs="Times New Roman"/>
          <w:szCs w:val="20"/>
        </w:rPr>
        <w:t>cji 3-2-1 w </w:t>
      </w:r>
      <w:r w:rsidR="009658DB" w:rsidRPr="00BA0D33">
        <w:rPr>
          <w:rFonts w:cs="Times New Roman"/>
          <w:szCs w:val="20"/>
        </w:rPr>
        <w:t>odstępach 100 m przed punktem styczności linii środkowej drogi kołowania</w:t>
      </w:r>
      <w:r w:rsidR="00251248" w:rsidRPr="00BA0D33">
        <w:rPr>
          <w:rFonts w:cs="Times New Roman"/>
          <w:szCs w:val="20"/>
        </w:rPr>
        <w:t xml:space="preserve"> szybkiego zjazdu</w:t>
      </w:r>
      <w:r w:rsidR="009658DB" w:rsidRPr="00BA0D33">
        <w:rPr>
          <w:rFonts w:cs="Times New Roman"/>
          <w:szCs w:val="20"/>
        </w:rPr>
        <w:t>.</w:t>
      </w:r>
    </w:p>
    <w:p w14:paraId="0612CB46" w14:textId="119F2F85" w:rsidR="00477E48" w:rsidRPr="00BA0D33" w:rsidRDefault="00477E48" w:rsidP="00EE2E0D">
      <w:pPr>
        <w:tabs>
          <w:tab w:val="left" w:pos="1134"/>
        </w:tabs>
        <w:autoSpaceDE w:val="0"/>
        <w:autoSpaceDN w:val="0"/>
        <w:adjustRightInd w:val="0"/>
        <w:ind w:left="1134" w:hanging="567"/>
        <w:rPr>
          <w:rFonts w:cs="Times New Roman"/>
          <w:szCs w:val="20"/>
        </w:rPr>
      </w:pPr>
      <w:r w:rsidRPr="00BA0D33">
        <w:rPr>
          <w:rFonts w:cs="Times New Roman"/>
          <w:szCs w:val="20"/>
        </w:rPr>
        <w:t>(2)</w:t>
      </w:r>
      <w:r w:rsidRPr="00BA0D33">
        <w:rPr>
          <w:rFonts w:cs="Times New Roman"/>
          <w:szCs w:val="20"/>
        </w:rPr>
        <w:tab/>
        <w:t>Światła wskazania drogi kołowania szybkiego zjazdu (RETILs) powinny być zasilane poprzez osobny obwód elektryczny, inny niż zasilający pozostałe światła drogi startowej, tak, aby możliwe było używanie RETILs, gdy pozostałe światła są wyłączone.</w:t>
      </w:r>
    </w:p>
    <w:p w14:paraId="079F094E" w14:textId="03CF7AE5" w:rsidR="00477E48" w:rsidRPr="00BA0D33" w:rsidRDefault="00251248" w:rsidP="00477E48">
      <w:pPr>
        <w:tabs>
          <w:tab w:val="left" w:pos="1134"/>
        </w:tabs>
        <w:ind w:left="1134" w:hanging="567"/>
        <w:rPr>
          <w:rFonts w:cs="TimesNewRomanPSMT"/>
          <w:szCs w:val="20"/>
        </w:rPr>
      </w:pPr>
      <w:r w:rsidRPr="00BA0D33">
        <w:rPr>
          <w:rFonts w:cs="TimesNewRomanPSMT"/>
          <w:szCs w:val="20"/>
        </w:rPr>
        <w:t>(3)</w:t>
      </w:r>
      <w:r w:rsidR="00477E48" w:rsidRPr="00BA0D33">
        <w:rPr>
          <w:rFonts w:cs="TimesNewRomanPSMT"/>
          <w:szCs w:val="20"/>
        </w:rPr>
        <w:tab/>
        <w:t xml:space="preserve">Charakterystyki świateł RETILs powinny być zgodne ze </w:t>
      </w:r>
      <w:r w:rsidR="00477E48" w:rsidRPr="00BA0D33">
        <w:rPr>
          <w:rFonts w:cs="Times New Roman"/>
          <w:szCs w:val="20"/>
        </w:rPr>
        <w:t>specyfikacjami</w:t>
      </w:r>
      <w:r w:rsidR="00477E48" w:rsidRPr="00BA0D33">
        <w:rPr>
          <w:rFonts w:cs="TimesNewRomanPSMT"/>
          <w:szCs w:val="20"/>
        </w:rPr>
        <w:t xml:space="preserve"> w</w:t>
      </w:r>
      <w:r w:rsidR="00477E48" w:rsidRPr="009E064B">
        <w:rPr>
          <w:rFonts w:cs="TimesNewRomanPSMT"/>
          <w:color w:val="FF0000"/>
          <w:szCs w:val="20"/>
        </w:rPr>
        <w:t xml:space="preserve"> </w:t>
      </w:r>
      <w:hyperlink w:anchor="_CS_ADR-DSN.U.940_" w:history="1">
        <w:r w:rsidR="00477E48" w:rsidRPr="009E064B">
          <w:rPr>
            <w:rStyle w:val="Hipercze"/>
            <w:rFonts w:cs="TimesNewRomanPSMT"/>
            <w:szCs w:val="20"/>
          </w:rPr>
          <w:t>CS ADR-DSN.U.940</w:t>
        </w:r>
      </w:hyperlink>
      <w:r w:rsidR="00477E48" w:rsidRPr="009E064B">
        <w:rPr>
          <w:rFonts w:cs="TimesNewRomanPSMT"/>
          <w:color w:val="FF0000"/>
          <w:szCs w:val="20"/>
        </w:rPr>
        <w:t xml:space="preserve"> </w:t>
      </w:r>
      <w:r w:rsidR="00477E48" w:rsidRPr="00BA0D33">
        <w:rPr>
          <w:rFonts w:cs="TimesNewRomanPSMT"/>
          <w:szCs w:val="20"/>
        </w:rPr>
        <w:t xml:space="preserve">i odpowiednio z Rysunkiem U-10 lub U-11. </w:t>
      </w:r>
    </w:p>
    <w:p w14:paraId="6F0BD3B3" w14:textId="19F7F89F" w:rsidR="00000375" w:rsidRPr="009E064B" w:rsidRDefault="00D22426" w:rsidP="00EE2E0D">
      <w:pPr>
        <w:tabs>
          <w:tab w:val="left" w:pos="1134"/>
        </w:tabs>
        <w:ind w:left="1134" w:hanging="567"/>
        <w:rPr>
          <w:rFonts w:cs="TimesNewRomanPSMT"/>
          <w:color w:val="FF0000"/>
          <w:szCs w:val="20"/>
        </w:rPr>
      </w:pPr>
      <w:r w:rsidRPr="00BA0D33">
        <w:rPr>
          <w:rFonts w:cs="TimesNewRomanPSMT"/>
          <w:szCs w:val="20"/>
        </w:rPr>
        <w:t>(4</w:t>
      </w:r>
      <w:r w:rsidR="00477E48" w:rsidRPr="00BA0D33">
        <w:rPr>
          <w:rFonts w:cs="TimesNewRomanPSMT"/>
          <w:szCs w:val="20"/>
        </w:rPr>
        <w:t>)</w:t>
      </w:r>
      <w:r w:rsidR="00477E48" w:rsidRPr="00BA0D33">
        <w:rPr>
          <w:rFonts w:cs="TimesNewRomanPSMT"/>
          <w:szCs w:val="20"/>
        </w:rPr>
        <w:tab/>
        <w:t xml:space="preserve">Chromatyczność świateł RETILs powinna być zgodna ze </w:t>
      </w:r>
      <w:r w:rsidR="00477E48" w:rsidRPr="00BA0D33">
        <w:rPr>
          <w:rFonts w:cs="Times New Roman"/>
          <w:szCs w:val="20"/>
        </w:rPr>
        <w:t>specyfikacjami</w:t>
      </w:r>
      <w:r w:rsidR="00477E48" w:rsidRPr="00BA0D33">
        <w:rPr>
          <w:rFonts w:cs="TimesNewRomanPSMT"/>
          <w:szCs w:val="20"/>
        </w:rPr>
        <w:t xml:space="preserve"> w</w:t>
      </w:r>
      <w:r w:rsidR="00477E48" w:rsidRPr="009E064B">
        <w:rPr>
          <w:rFonts w:cs="TimesNewRomanPSMT"/>
          <w:color w:val="FF0000"/>
          <w:szCs w:val="20"/>
        </w:rPr>
        <w:t xml:space="preserve"> </w:t>
      </w:r>
      <w:hyperlink w:anchor="_CS_ADR-DSN.U.930_" w:history="1">
        <w:r w:rsidR="00A677F3" w:rsidRPr="009E064B">
          <w:rPr>
            <w:rStyle w:val="Hipercze"/>
            <w:rFonts w:cs="TimesNewRomanPSMT"/>
            <w:szCs w:val="20"/>
          </w:rPr>
          <w:t>CS </w:t>
        </w:r>
        <w:r w:rsidR="00477E48" w:rsidRPr="009E064B">
          <w:rPr>
            <w:rStyle w:val="Hipercze"/>
            <w:rFonts w:cs="TimesNewRomanPSMT"/>
            <w:szCs w:val="20"/>
          </w:rPr>
          <w:t>ADR-DSN.U.930</w:t>
        </w:r>
      </w:hyperlink>
      <w:r w:rsidR="00477E48" w:rsidRPr="009E064B">
        <w:rPr>
          <w:rFonts w:cs="TimesNewRomanPSMT"/>
          <w:color w:val="FF0000"/>
          <w:szCs w:val="20"/>
        </w:rPr>
        <w:t xml:space="preserve"> </w:t>
      </w:r>
      <w:r w:rsidR="00477E48" w:rsidRPr="00BA0D33">
        <w:rPr>
          <w:rFonts w:cs="TimesNewRomanPSMT"/>
          <w:szCs w:val="20"/>
        </w:rPr>
        <w:t xml:space="preserve">i odpowiednio z Rysunkiem U-1A lub U-1B. </w:t>
      </w:r>
    </w:p>
    <w:p w14:paraId="4CCC881C" w14:textId="77777777" w:rsidR="00D22426" w:rsidRPr="009E064B" w:rsidRDefault="00D22426" w:rsidP="008960B1">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CC56FA5" w14:textId="4D532CCA" w:rsidR="000D4914" w:rsidRPr="009E064B" w:rsidRDefault="008C30B4" w:rsidP="00133B99">
      <w:pPr>
        <w:pStyle w:val="Nagwek6"/>
      </w:pPr>
      <w:bookmarkStart w:id="1557" w:name="_Toc401059043"/>
      <w:bookmarkStart w:id="1558" w:name="_Toc482886909"/>
      <w:bookmarkStart w:id="1559" w:name="_Toc12533210"/>
      <w:r w:rsidRPr="009E064B">
        <w:t xml:space="preserve">GM1 ADR-DSN.M.700     </w:t>
      </w:r>
      <w:r w:rsidR="000D4914" w:rsidRPr="009E064B">
        <w:t>Światła wskazania drogi kołowania szybkiego zjazdu</w:t>
      </w:r>
      <w:bookmarkEnd w:id="1557"/>
      <w:bookmarkEnd w:id="1558"/>
      <w:r w:rsidR="00B733F3" w:rsidRPr="009E064B">
        <w:t xml:space="preserve"> (RETILs)</w:t>
      </w:r>
      <w:bookmarkEnd w:id="1559"/>
    </w:p>
    <w:p w14:paraId="55187057" w14:textId="75CCE929"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94AB14A" w14:textId="18A196B4" w:rsidR="000D4914" w:rsidRPr="00BA0D33" w:rsidRDefault="000D4914" w:rsidP="00EE2E0D">
      <w:pPr>
        <w:tabs>
          <w:tab w:val="left" w:pos="567"/>
        </w:tabs>
        <w:autoSpaceDE w:val="0"/>
        <w:autoSpaceDN w:val="0"/>
        <w:adjustRightInd w:val="0"/>
        <w:ind w:left="567" w:hanging="567"/>
        <w:rPr>
          <w:szCs w:val="20"/>
        </w:rPr>
      </w:pPr>
      <w:r w:rsidRPr="009E064B">
        <w:rPr>
          <w:rFonts w:cs="TimesNewRomanPS-BoldItalicMT"/>
          <w:bCs/>
          <w:iCs/>
          <w:szCs w:val="20"/>
        </w:rPr>
        <w:t>(</w:t>
      </w:r>
      <w:r w:rsidR="00B733F3" w:rsidRPr="009E064B">
        <w:rPr>
          <w:rFonts w:cs="TimesNewRomanPS-BoldItalicMT"/>
          <w:bCs/>
          <w:iCs/>
          <w:color w:val="FF0000"/>
          <w:szCs w:val="20"/>
        </w:rPr>
        <w:t>a</w:t>
      </w:r>
      <w:r w:rsidRPr="009E064B">
        <w:rPr>
          <w:rFonts w:cs="TimesNewRomanPS-BoldItalicMT"/>
          <w:bCs/>
          <w:iCs/>
          <w:szCs w:val="20"/>
        </w:rPr>
        <w:t xml:space="preserve">) </w:t>
      </w:r>
      <w:r w:rsidRPr="009E064B">
        <w:rPr>
          <w:rFonts w:cs="TimesNewRomanPS-BoldItalicMT"/>
          <w:bCs/>
          <w:iCs/>
          <w:szCs w:val="20"/>
        </w:rPr>
        <w:tab/>
      </w:r>
      <w:r w:rsidRPr="009E064B">
        <w:rPr>
          <w:rFonts w:cs="Times New Roman"/>
          <w:szCs w:val="20"/>
        </w:rPr>
        <w:t xml:space="preserve">W warunkach ograniczonej widzialności, światła </w:t>
      </w:r>
      <w:r w:rsidRPr="009E064B">
        <w:rPr>
          <w:rFonts w:eastAsia="Times New Roman,Italic" w:cs="Times New Roman,Italic"/>
          <w:iCs/>
          <w:szCs w:val="20"/>
        </w:rPr>
        <w:t xml:space="preserve">wskazania drogi kołowania szybkiego zjazdu </w:t>
      </w:r>
      <w:r w:rsidRPr="00BA0D33">
        <w:rPr>
          <w:rFonts w:cs="Times New Roman"/>
          <w:szCs w:val="20"/>
        </w:rPr>
        <w:t>zapewniają użyteczną informację sytuacyjną, która pozwala pilotowi na skupienie się na działaniach utrzymujących statek powietrzny w linii środkowej drogi startowej.</w:t>
      </w:r>
    </w:p>
    <w:p w14:paraId="11801351" w14:textId="7AF1B660" w:rsidR="000D4914" w:rsidRPr="00BA0D33" w:rsidRDefault="000D4914" w:rsidP="00EE2E0D">
      <w:pPr>
        <w:tabs>
          <w:tab w:val="left" w:pos="567"/>
        </w:tabs>
        <w:autoSpaceDE w:val="0"/>
        <w:autoSpaceDN w:val="0"/>
        <w:adjustRightInd w:val="0"/>
        <w:ind w:left="567" w:hanging="567"/>
        <w:rPr>
          <w:szCs w:val="20"/>
        </w:rPr>
      </w:pPr>
      <w:r w:rsidRPr="00BA0D33">
        <w:rPr>
          <w:rFonts w:cs="TimesNewRomanPS-BoldItalicMT"/>
          <w:bCs/>
          <w:iCs/>
          <w:szCs w:val="20"/>
        </w:rPr>
        <w:t>(</w:t>
      </w:r>
      <w:r w:rsidR="00B733F3" w:rsidRPr="00BA0D33">
        <w:rPr>
          <w:rFonts w:cs="TimesNewRomanPS-BoldItalicMT"/>
          <w:bCs/>
          <w:iCs/>
          <w:szCs w:val="20"/>
        </w:rPr>
        <w:t>b</w:t>
      </w:r>
      <w:r w:rsidRPr="00BA0D33">
        <w:rPr>
          <w:rFonts w:cs="TimesNewRomanPS-BoldItalicMT"/>
          <w:bCs/>
          <w:iCs/>
          <w:szCs w:val="20"/>
        </w:rPr>
        <w:t xml:space="preserve">) </w:t>
      </w:r>
      <w:r w:rsidRPr="00BA0D33">
        <w:rPr>
          <w:rFonts w:cs="TimesNewRomanPS-BoldItalicMT"/>
          <w:bCs/>
          <w:iCs/>
          <w:szCs w:val="20"/>
        </w:rPr>
        <w:tab/>
      </w:r>
      <w:r w:rsidRPr="00BA0D33">
        <w:rPr>
          <w:rFonts w:cs="Times New Roman"/>
          <w:szCs w:val="20"/>
        </w:rPr>
        <w:t>Światła</w:t>
      </w:r>
      <w:r w:rsidRPr="00BA0D33">
        <w:rPr>
          <w:rFonts w:eastAsia="Times New Roman,Italic" w:cs="Times New Roman,Italic"/>
          <w:iCs/>
          <w:szCs w:val="20"/>
        </w:rPr>
        <w:t xml:space="preserve"> wskazania drogi kołowania szybkiego zjazdu powinny być zainstalowane na drodze startowej, która ma być wykorzystywana w warunkach widzialności wzdłuż drogi start</w:t>
      </w:r>
      <w:r w:rsidR="00921C55" w:rsidRPr="00BA0D33">
        <w:rPr>
          <w:rFonts w:eastAsia="Times New Roman,Italic" w:cs="Times New Roman,Italic"/>
          <w:iCs/>
          <w:szCs w:val="20"/>
        </w:rPr>
        <w:t>owej mniejszych niż rzędu 350 m,</w:t>
      </w:r>
      <w:r w:rsidRPr="00BA0D33">
        <w:rPr>
          <w:rFonts w:eastAsia="Times New Roman,Italic" w:cs="Times New Roman,Italic"/>
          <w:iCs/>
          <w:szCs w:val="20"/>
        </w:rPr>
        <w:t xml:space="preserve"> gdy poziom natężenia ruchu na lotnisku jest duży.</w:t>
      </w:r>
    </w:p>
    <w:p w14:paraId="7971BD13" w14:textId="2FCBC80A" w:rsidR="000D4914" w:rsidRPr="00BA0D33" w:rsidRDefault="000D4914" w:rsidP="00EE2E0D">
      <w:pPr>
        <w:tabs>
          <w:tab w:val="left" w:pos="567"/>
        </w:tabs>
        <w:autoSpaceDE w:val="0"/>
        <w:autoSpaceDN w:val="0"/>
        <w:adjustRightInd w:val="0"/>
        <w:ind w:left="567" w:hanging="567"/>
        <w:rPr>
          <w:rFonts w:cs="Times New Roman"/>
          <w:szCs w:val="20"/>
        </w:rPr>
      </w:pPr>
      <w:r w:rsidRPr="00BA0D33">
        <w:rPr>
          <w:rFonts w:cs="TimesNewRomanPS-BoldItalicMT"/>
          <w:bCs/>
          <w:iCs/>
          <w:szCs w:val="20"/>
        </w:rPr>
        <w:t>(</w:t>
      </w:r>
      <w:r w:rsidR="00B733F3" w:rsidRPr="00BA0D33">
        <w:rPr>
          <w:rFonts w:cs="TimesNewRomanPS-BoldItalicMT"/>
          <w:bCs/>
          <w:iCs/>
          <w:szCs w:val="20"/>
        </w:rPr>
        <w:t>c</w:t>
      </w:r>
      <w:r w:rsidRPr="00BA0D33">
        <w:rPr>
          <w:rFonts w:cs="TimesNewRomanPS-BoldItalicMT"/>
          <w:bCs/>
          <w:iCs/>
          <w:szCs w:val="20"/>
        </w:rPr>
        <w:t xml:space="preserve">) </w:t>
      </w:r>
      <w:r w:rsidRPr="00BA0D33">
        <w:rPr>
          <w:rFonts w:cs="TimesNewRomanPS-BoldItalicMT"/>
          <w:bCs/>
          <w:iCs/>
          <w:szCs w:val="20"/>
        </w:rPr>
        <w:tab/>
      </w:r>
      <w:r w:rsidRPr="00BA0D33">
        <w:rPr>
          <w:rFonts w:cs="Times New Roman"/>
          <w:szCs w:val="20"/>
        </w:rPr>
        <w:t>Światła wskazania drogi kołowania szybkiego zjazdu nie powinny być widoczne w przypadku awarii jakiejkolwiek lampy lub awarii innego typu, która uniemożliwia wskazania układu świateł pokazanych na Rysunku GM-M-3.</w:t>
      </w:r>
    </w:p>
    <w:p w14:paraId="7531D4E8" w14:textId="3C0A60AD" w:rsidR="00B733F3" w:rsidRPr="00BA0D33" w:rsidRDefault="00B733F3" w:rsidP="00EE2E0D">
      <w:pPr>
        <w:tabs>
          <w:tab w:val="left" w:pos="567"/>
        </w:tabs>
        <w:autoSpaceDE w:val="0"/>
        <w:autoSpaceDN w:val="0"/>
        <w:adjustRightInd w:val="0"/>
        <w:ind w:left="567" w:hanging="567"/>
        <w:rPr>
          <w:szCs w:val="20"/>
        </w:rPr>
      </w:pPr>
      <w:r w:rsidRPr="00BA0D33">
        <w:rPr>
          <w:szCs w:val="20"/>
        </w:rPr>
        <w:t xml:space="preserve">(d) </w:t>
      </w:r>
      <w:r w:rsidRPr="00BA0D33">
        <w:rPr>
          <w:szCs w:val="20"/>
        </w:rPr>
        <w:tab/>
      </w:r>
      <w:r w:rsidR="00251248" w:rsidRPr="00BA0D33">
        <w:rPr>
          <w:szCs w:val="20"/>
        </w:rPr>
        <w:t>C</w:t>
      </w:r>
      <w:r w:rsidR="00880A09" w:rsidRPr="00BA0D33">
        <w:rPr>
          <w:szCs w:val="20"/>
        </w:rPr>
        <w:t xml:space="preserve">zas zajęcia drogi startowej </w:t>
      </w:r>
      <w:r w:rsidR="00251248" w:rsidRPr="00BA0D33">
        <w:rPr>
          <w:szCs w:val="20"/>
        </w:rPr>
        <w:t xml:space="preserve">od chwili lądowania </w:t>
      </w:r>
      <w:r w:rsidR="00880A09" w:rsidRPr="00BA0D33">
        <w:rPr>
          <w:szCs w:val="20"/>
        </w:rPr>
        <w:t>ma znaczący wpływ na osiągalną przepustowość drogi startowej.</w:t>
      </w:r>
      <w:r w:rsidR="00880A09" w:rsidRPr="00BA0D33">
        <w:rPr>
          <w:rFonts w:cs="Times New Roman"/>
          <w:szCs w:val="20"/>
        </w:rPr>
        <w:t xml:space="preserve"> Światła wskazania drogi kołowania szybkiego zjazdu</w:t>
      </w:r>
      <w:r w:rsidR="00880A09" w:rsidRPr="00BA0D33">
        <w:rPr>
          <w:szCs w:val="20"/>
        </w:rPr>
        <w:t xml:space="preserve"> pozwalają pilotom utrzymywać dobrą prędkość jazdy, aż do momentu, w którym konieczne jest zmniejszenie prędkości do odpowiedniej prędkości, aby skręcić w drogę kołowania szybkiego zjazdu. Prędkość jazdy wynosząca 60 kt, aż do osiągnięcia pierwszego światła RETIL (trzyelementowa baretka), jest uznawana jako optymalna.</w:t>
      </w:r>
    </w:p>
    <w:p w14:paraId="60722046" w14:textId="77777777" w:rsidR="000D4914" w:rsidRPr="00BA0D33" w:rsidRDefault="000D4914" w:rsidP="00B06A9A">
      <w:pPr>
        <w:autoSpaceDE w:val="0"/>
        <w:autoSpaceDN w:val="0"/>
        <w:adjustRightInd w:val="0"/>
        <w:rPr>
          <w:szCs w:val="20"/>
        </w:rPr>
      </w:pPr>
    </w:p>
    <w:p w14:paraId="154D1A30" w14:textId="30E5AA39" w:rsidR="000D4914" w:rsidRPr="009E064B" w:rsidRDefault="0085202B" w:rsidP="00CD1D0A">
      <w:pPr>
        <w:autoSpaceDE w:val="0"/>
        <w:autoSpaceDN w:val="0"/>
        <w:adjustRightInd w:val="0"/>
        <w:rPr>
          <w:szCs w:val="20"/>
        </w:rPr>
      </w:pPr>
      <w:r w:rsidRPr="009E064B">
        <w:rPr>
          <w:noProof/>
          <w:szCs w:val="20"/>
          <w:lang w:eastAsia="pl-PL"/>
        </w:rPr>
        <w:drawing>
          <wp:inline distT="0" distB="0" distL="0" distR="0" wp14:anchorId="41517607" wp14:editId="7C8A4872">
            <wp:extent cx="5688476" cy="3093250"/>
            <wp:effectExtent l="0" t="0" r="7620" b="0"/>
            <wp:docPr id="2403" name="Obraz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96002" cy="3097342"/>
                    </a:xfrm>
                    <a:prstGeom prst="rect">
                      <a:avLst/>
                    </a:prstGeom>
                    <a:noFill/>
                  </pic:spPr>
                </pic:pic>
              </a:graphicData>
            </a:graphic>
          </wp:inline>
        </w:drawing>
      </w:r>
    </w:p>
    <w:p w14:paraId="49F26779" w14:textId="77777777" w:rsidR="000D4914" w:rsidRPr="00BA0D33" w:rsidRDefault="000D4914" w:rsidP="00B06A9A">
      <w:pPr>
        <w:spacing w:after="0"/>
        <w:ind w:right="10"/>
        <w:jc w:val="center"/>
        <w:rPr>
          <w:b/>
          <w:sz w:val="20"/>
          <w:szCs w:val="20"/>
        </w:rPr>
      </w:pPr>
      <w:r w:rsidRPr="00BA0D33">
        <w:rPr>
          <w:b/>
          <w:sz w:val="20"/>
          <w:szCs w:val="20"/>
        </w:rPr>
        <w:t>Rysunek GM-M-3.  Światła wskazujące drogę kołowania szybkiego zjazdu</w:t>
      </w:r>
    </w:p>
    <w:p w14:paraId="73786419" w14:textId="06D2AF99" w:rsidR="000D4914" w:rsidRPr="009E064B" w:rsidRDefault="000D4914" w:rsidP="00921C55">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123790D" w14:textId="77777777" w:rsidR="003F4B5A" w:rsidRPr="009E064B" w:rsidRDefault="003F4B5A" w:rsidP="00921C55">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B451619" w14:textId="2416B2C1" w:rsidR="00C36D76" w:rsidRPr="009E064B" w:rsidRDefault="008C30B4" w:rsidP="00B06A9A">
      <w:pPr>
        <w:pStyle w:val="Nagwek4"/>
        <w:rPr>
          <w:color w:val="auto"/>
        </w:rPr>
      </w:pPr>
      <w:bookmarkStart w:id="1560" w:name="_Toc482886686"/>
      <w:bookmarkStart w:id="1561" w:name="_Toc12533211"/>
      <w:r w:rsidRPr="009E064B">
        <w:rPr>
          <w:color w:val="auto"/>
        </w:rPr>
        <w:t xml:space="preserve">CS ADR-DSN.M.705     </w:t>
      </w:r>
      <w:r w:rsidR="00C36D76" w:rsidRPr="009E064B">
        <w:rPr>
          <w:color w:val="auto"/>
        </w:rPr>
        <w:t>Światła zabezpieczenia przerwanego startu</w:t>
      </w:r>
      <w:bookmarkEnd w:id="1560"/>
      <w:bookmarkEnd w:id="1561"/>
    </w:p>
    <w:p w14:paraId="0EE4DAD1" w14:textId="1418CB8A"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46DB99D" w14:textId="4757E53F"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Światła zabezpieczenia przerwanego startu powinny być zapewnione dla zabezpieczenia przerwanego startu, które jest przeznaczone do wykorzystywania w nocy.</w:t>
      </w:r>
    </w:p>
    <w:p w14:paraId="207691AE"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Lokalizacja: </w:t>
      </w:r>
    </w:p>
    <w:p w14:paraId="7FBF8B49" w14:textId="61A17BDB" w:rsidR="00C36D76" w:rsidRPr="009E064B" w:rsidRDefault="00C36D76" w:rsidP="00B06A9A">
      <w:pPr>
        <w:tabs>
          <w:tab w:val="left" w:pos="1134"/>
        </w:tabs>
        <w:ind w:left="1134" w:hanging="567"/>
        <w:rPr>
          <w:szCs w:val="20"/>
        </w:rPr>
      </w:pPr>
      <w:r w:rsidRPr="009E064B">
        <w:rPr>
          <w:rFonts w:cs="Times New Roman"/>
          <w:szCs w:val="20"/>
        </w:rPr>
        <w:t>(1)</w:t>
      </w:r>
      <w:r w:rsidRPr="009E064B">
        <w:rPr>
          <w:rFonts w:cs="Times New Roman"/>
          <w:szCs w:val="20"/>
        </w:rPr>
        <w:tab/>
        <w:t>Światła</w:t>
      </w:r>
      <w:r w:rsidRPr="009E064B">
        <w:rPr>
          <w:szCs w:val="20"/>
        </w:rPr>
        <w:t xml:space="preserve"> zabezpieczenia przerwanego startu powinny być rozmieszczone na całej długości zabezpieczenia przerwanego startu w dwóch równoległych rzędach jednakowo oddalonych od linii środkowej drogi startowej, na przedłużeniu rzędów świateł krawędzi drogi startowej. Odstępy pomiędzy tymi światłami powinny by</w:t>
      </w:r>
      <w:r w:rsidR="00FB575E" w:rsidRPr="009E064B">
        <w:rPr>
          <w:szCs w:val="20"/>
        </w:rPr>
        <w:t xml:space="preserve">ć zgodne ze specyfikacjami w </w:t>
      </w:r>
      <w:hyperlink w:anchor="_CS_ADR-DSN.M.675_" w:history="1">
        <w:r w:rsidR="00FB575E" w:rsidRPr="009E064B">
          <w:rPr>
            <w:rStyle w:val="Hipercze"/>
            <w:szCs w:val="20"/>
          </w:rPr>
          <w:t>CS </w:t>
        </w:r>
        <w:r w:rsidRPr="009E064B">
          <w:rPr>
            <w:rStyle w:val="Hipercze"/>
            <w:szCs w:val="20"/>
          </w:rPr>
          <w:t>ADR-DSN.M.675</w:t>
        </w:r>
      </w:hyperlink>
      <w:r w:rsidR="00FB575E" w:rsidRPr="009E064B">
        <w:rPr>
          <w:szCs w:val="20"/>
        </w:rPr>
        <w:t xml:space="preserve"> lit. </w:t>
      </w:r>
      <w:r w:rsidRPr="009E064B">
        <w:rPr>
          <w:szCs w:val="20"/>
        </w:rPr>
        <w:t>(b)</w:t>
      </w:r>
      <w:r w:rsidR="00FB575E" w:rsidRPr="009E064B">
        <w:rPr>
          <w:szCs w:val="20"/>
        </w:rPr>
        <w:t xml:space="preserve"> pkt </w:t>
      </w:r>
      <w:r w:rsidRPr="009E064B">
        <w:rPr>
          <w:szCs w:val="20"/>
        </w:rPr>
        <w:t>(4). Światła zabezpieczenia przerwanego startu rozmieszczone wzdłuż krawędzi zabezpieczenia przerwanego startu powinny zawierać co najmniej jedną parę świateł.</w:t>
      </w:r>
    </w:p>
    <w:p w14:paraId="724F6FDE" w14:textId="77777777" w:rsidR="00C36D76" w:rsidRPr="009E064B" w:rsidRDefault="00C36D76" w:rsidP="00B06A9A">
      <w:pPr>
        <w:tabs>
          <w:tab w:val="left" w:pos="1134"/>
        </w:tabs>
        <w:ind w:left="1134" w:hanging="567"/>
        <w:rPr>
          <w:szCs w:val="20"/>
        </w:rPr>
      </w:pPr>
      <w:r w:rsidRPr="009E064B">
        <w:rPr>
          <w:rFonts w:cs="Times New Roman"/>
          <w:szCs w:val="20"/>
        </w:rPr>
        <w:t>(2)</w:t>
      </w:r>
      <w:r w:rsidRPr="009E064B">
        <w:rPr>
          <w:rFonts w:cs="Times New Roman"/>
          <w:szCs w:val="20"/>
        </w:rPr>
        <w:tab/>
        <w:t xml:space="preserve">Co najmniej cztery jednokierunkowe światła zabezpieczenia przerwanego startu, równomiernie rozmieszczone na całej szerokości </w:t>
      </w:r>
      <w:r w:rsidRPr="009E064B">
        <w:rPr>
          <w:szCs w:val="20"/>
        </w:rPr>
        <w:t>zabezpieczenia przerwanego startu, powinny być zapewnione wzdłuż końca przerwanego startu, na linii pod kątem prostym do osi zabezpieczenia przerwanego startu możliwie najbliżej jego końca, w żadnym przypadku nie dalej niż 3 m poza tym końcem.</w:t>
      </w:r>
    </w:p>
    <w:p w14:paraId="6C839DB1"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10458DD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zabezpieczenia przerwanego startu widziane od strony drogi startowej powinny być jednokierunkowymi światłami stałymi, koloru czerwonego.</w:t>
      </w:r>
    </w:p>
    <w:p w14:paraId="575FDC74" w14:textId="2B322F3A" w:rsidR="00C36D76" w:rsidRPr="009E064B" w:rsidRDefault="00C36D76" w:rsidP="00921C55">
      <w:pPr>
        <w:tabs>
          <w:tab w:val="left" w:pos="1134"/>
        </w:tabs>
        <w:ind w:left="1134" w:right="-1" w:hanging="567"/>
        <w:rPr>
          <w:szCs w:val="20"/>
        </w:rPr>
      </w:pPr>
      <w:r w:rsidRPr="009E064B">
        <w:rPr>
          <w:rFonts w:cs="Times New Roman"/>
          <w:szCs w:val="20"/>
        </w:rPr>
        <w:t xml:space="preserve">(2) </w:t>
      </w:r>
      <w:r w:rsidRPr="009E064B">
        <w:rPr>
          <w:rFonts w:cs="Times New Roman"/>
          <w:szCs w:val="20"/>
        </w:rPr>
        <w:tab/>
        <w:t xml:space="preserve">Chromatyczność </w:t>
      </w:r>
      <w:r w:rsidRPr="009E064B">
        <w:rPr>
          <w:szCs w:val="20"/>
        </w:rPr>
        <w:t xml:space="preserve">świateł zabezpieczenia przerwanego startu powinna być zgodna ze specyfikacjami w </w:t>
      </w:r>
      <w:hyperlink w:anchor="_CS_ADR-DSN.U.930_" w:history="1">
        <w:r w:rsidRPr="009E064B">
          <w:rPr>
            <w:rStyle w:val="Hipercze"/>
            <w:szCs w:val="20"/>
          </w:rPr>
          <w:t>CS ADR-DSN.U.930</w:t>
        </w:r>
      </w:hyperlink>
      <w:r w:rsidRPr="009E064B">
        <w:rPr>
          <w:szCs w:val="20"/>
        </w:rPr>
        <w:t xml:space="preserve"> i </w:t>
      </w:r>
      <w:r w:rsidR="00477E48" w:rsidRPr="00BA0D33">
        <w:rPr>
          <w:rFonts w:cs="TimesNewRomanPSMT"/>
          <w:szCs w:val="20"/>
        </w:rPr>
        <w:t>odpowiednio</w:t>
      </w:r>
      <w:r w:rsidR="00477E48" w:rsidRPr="00BA0D33">
        <w:rPr>
          <w:szCs w:val="20"/>
        </w:rPr>
        <w:t xml:space="preserve"> </w:t>
      </w:r>
      <w:r w:rsidRPr="00BA0D33">
        <w:rPr>
          <w:szCs w:val="20"/>
        </w:rPr>
        <w:t>Rysunkiem U-1</w:t>
      </w:r>
      <w:r w:rsidR="00477E48" w:rsidRPr="00BA0D33">
        <w:rPr>
          <w:szCs w:val="20"/>
        </w:rPr>
        <w:t>A lub U-1B</w:t>
      </w:r>
      <w:r w:rsidRPr="00BA0D33">
        <w:rPr>
          <w:szCs w:val="20"/>
        </w:rPr>
        <w:t>.</w:t>
      </w:r>
    </w:p>
    <w:p w14:paraId="13993C70" w14:textId="1A994FB3"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E242DBA" w14:textId="77777777" w:rsidR="00D22426" w:rsidRPr="009E064B" w:rsidRDefault="00D22426" w:rsidP="00921C55">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8B0568C" w14:textId="6AD7E7C6" w:rsidR="000D4914" w:rsidRPr="009E064B" w:rsidRDefault="00A133BD" w:rsidP="00133B99">
      <w:pPr>
        <w:pStyle w:val="Nagwek6"/>
      </w:pPr>
      <w:bookmarkStart w:id="1562" w:name="_Toc401059044"/>
      <w:bookmarkStart w:id="1563" w:name="_Toc482886910"/>
      <w:bookmarkStart w:id="1564" w:name="_Toc12533212"/>
      <w:r w:rsidRPr="009E064B">
        <w:t xml:space="preserve">GM1 ADR-DSN.M.705     </w:t>
      </w:r>
      <w:r w:rsidR="000D4914" w:rsidRPr="009E064B">
        <w:t>Światła zabezpieczenia przerwanego startu</w:t>
      </w:r>
      <w:bookmarkEnd w:id="1562"/>
      <w:bookmarkEnd w:id="1563"/>
      <w:bookmarkEnd w:id="1564"/>
    </w:p>
    <w:p w14:paraId="43B78379" w14:textId="56874FE6"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FF52C1A" w14:textId="5CFA5C80" w:rsidR="000D4914" w:rsidRPr="009E064B" w:rsidRDefault="000D4914" w:rsidP="00A133BD">
      <w:pPr>
        <w:rPr>
          <w:szCs w:val="20"/>
        </w:rPr>
      </w:pPr>
      <w:r w:rsidRPr="009E064B">
        <w:rPr>
          <w:szCs w:val="20"/>
        </w:rPr>
        <w:t>Celowo pozostawiono puste.</w:t>
      </w:r>
    </w:p>
    <w:p w14:paraId="0BBB8008" w14:textId="3C8C984B" w:rsidR="00477E48" w:rsidRPr="009E064B" w:rsidRDefault="00477E48" w:rsidP="00EE2E0D">
      <w:pPr>
        <w:pStyle w:val="Nagwek4"/>
      </w:pPr>
      <w:bookmarkStart w:id="1565" w:name="_Toc12533213"/>
      <w:r w:rsidRPr="009E064B">
        <w:t xml:space="preserve">CS ADR-DSN.M.706 </w:t>
      </w:r>
      <w:r w:rsidR="00C31AEA" w:rsidRPr="009E064B">
        <w:t xml:space="preserve">    </w:t>
      </w:r>
      <w:r w:rsidRPr="009E064B">
        <w:t>Światła stanu drogi startowej (RWSL)</w:t>
      </w:r>
      <w:bookmarkEnd w:id="1565"/>
    </w:p>
    <w:p w14:paraId="4172372F" w14:textId="0F503ED1" w:rsidR="00FF4764" w:rsidRPr="009E064B" w:rsidRDefault="001F74A1" w:rsidP="00FF4764">
      <w:pPr>
        <w:spacing w:after="80"/>
        <w:ind w:left="23"/>
        <w:jc w:val="right"/>
        <w:rPr>
          <w:rFonts w:asciiTheme="minorHAnsi" w:eastAsia="Times New Roman" w:hAnsiTheme="minorHAnsi" w:cstheme="minorHAnsi"/>
          <w:i/>
          <w:color w:val="1A171C"/>
          <w:sz w:val="16"/>
          <w:szCs w:val="20"/>
        </w:rPr>
      </w:pPr>
      <w:r>
        <w:rPr>
          <w:rFonts w:asciiTheme="minorHAnsi" w:eastAsia="Times New Roman" w:hAnsiTheme="minorHAnsi" w:cstheme="minorHAnsi"/>
          <w:i/>
          <w:sz w:val="16"/>
          <w:szCs w:val="20"/>
        </w:rPr>
        <w:t>Decyzja ED 2017/021/R</w:t>
      </w:r>
    </w:p>
    <w:p w14:paraId="3D37DDC5" w14:textId="6B0D43DB" w:rsidR="004F0F33" w:rsidRPr="00BA0D33" w:rsidRDefault="004F0F33" w:rsidP="004F0F33">
      <w:pPr>
        <w:tabs>
          <w:tab w:val="left" w:pos="567"/>
        </w:tabs>
        <w:ind w:left="567" w:hanging="567"/>
        <w:rPr>
          <w:rFonts w:eastAsia="Calibri"/>
        </w:rPr>
      </w:pPr>
      <w:r w:rsidRPr="00BA0D33">
        <w:rPr>
          <w:rFonts w:eastAsia="Calibri"/>
        </w:rPr>
        <w:t xml:space="preserve">(a) </w:t>
      </w:r>
      <w:r w:rsidRPr="00BA0D33">
        <w:rPr>
          <w:rFonts w:eastAsia="Calibri"/>
        </w:rPr>
        <w:tab/>
        <w:t>Zastosowanie:</w:t>
      </w:r>
    </w:p>
    <w:p w14:paraId="23439C32" w14:textId="77777777" w:rsidR="004F0F33" w:rsidRPr="00BA0D33" w:rsidRDefault="004F0F33" w:rsidP="004F0F33">
      <w:pPr>
        <w:tabs>
          <w:tab w:val="left" w:pos="1134"/>
        </w:tabs>
        <w:ind w:left="1134" w:hanging="567"/>
        <w:rPr>
          <w:rFonts w:eastAsia="Calibri"/>
        </w:rPr>
      </w:pPr>
      <w:r w:rsidRPr="00BA0D33">
        <w:rPr>
          <w:rFonts w:eastAsia="Calibri"/>
        </w:rPr>
        <w:t>(1)</w:t>
      </w:r>
      <w:r w:rsidRPr="00BA0D33">
        <w:rPr>
          <w:rFonts w:eastAsia="Calibri"/>
        </w:rPr>
        <w:tab/>
        <w:t>Włączenie szczegółowych specyfikacji dla świateł stanu drogi startowej (RWSL) nie oznacza, że takie światła muszą być stosowane na lotnisku.</w:t>
      </w:r>
    </w:p>
    <w:p w14:paraId="73CBE488" w14:textId="7B8805FF" w:rsidR="004F0F33" w:rsidRPr="00BA0D33" w:rsidRDefault="004F0F33" w:rsidP="004F0F33">
      <w:pPr>
        <w:tabs>
          <w:tab w:val="left" w:pos="1134"/>
        </w:tabs>
        <w:ind w:left="1134" w:hanging="567"/>
        <w:rPr>
          <w:rFonts w:eastAsia="Calibri"/>
        </w:rPr>
      </w:pPr>
      <w:r w:rsidRPr="00BA0D33">
        <w:rPr>
          <w:rFonts w:eastAsia="Calibri"/>
        </w:rPr>
        <w:t>(2)</w:t>
      </w:r>
      <w:r w:rsidRPr="00BA0D33">
        <w:rPr>
          <w:rFonts w:eastAsia="Calibri"/>
        </w:rPr>
        <w:tab/>
        <w:t xml:space="preserve">Światła stanu drogi startowej (RWSL) stanowią rodzaj autonomicznego systemu ostrzegania o nieuprawnionych wtargnięciach na drogę startową (ARIWS) </w:t>
      </w:r>
      <w:r w:rsidRPr="00BA0D33">
        <w:rPr>
          <w:rFonts w:eastAsia="Calibri"/>
          <w:szCs w:val="20"/>
        </w:rPr>
        <w:t>(</w:t>
      </w:r>
      <w:r w:rsidRPr="00BA0D33">
        <w:rPr>
          <w:rFonts w:eastAsia="Calibri"/>
        </w:rPr>
        <w:t xml:space="preserve">patrz </w:t>
      </w:r>
      <w:r w:rsidRPr="00BA0D33">
        <w:rPr>
          <w:rFonts w:eastAsia="Calibri"/>
        </w:rPr>
        <w:br/>
      </w:r>
      <w:hyperlink w:anchor="_CS_ADR-DSN.T.921_" w:history="1">
        <w:r w:rsidRPr="009E064B">
          <w:rPr>
            <w:rStyle w:val="Hipercze"/>
            <w:rFonts w:eastAsia="Calibri"/>
          </w:rPr>
          <w:t>CS </w:t>
        </w:r>
        <w:r w:rsidRPr="009E064B">
          <w:rPr>
            <w:rStyle w:val="Hipercze"/>
            <w:rFonts w:eastAsia="Calibri"/>
            <w:szCs w:val="20"/>
          </w:rPr>
          <w:t>ADR-DSN.T.921</w:t>
        </w:r>
      </w:hyperlink>
      <w:r w:rsidRPr="00BA0D33">
        <w:rPr>
          <w:rFonts w:eastAsia="Calibri"/>
          <w:szCs w:val="20"/>
        </w:rPr>
        <w:t xml:space="preserve">) </w:t>
      </w:r>
      <w:r w:rsidRPr="00BA0D33">
        <w:rPr>
          <w:rFonts w:eastAsia="Calibri"/>
        </w:rPr>
        <w:t xml:space="preserve">składający się z dwóch podstawowych elementów, którymi są: </w:t>
      </w:r>
      <w:r w:rsidR="00921C55" w:rsidRPr="00BA0D33">
        <w:rPr>
          <w:rFonts w:eastAsia="Calibri"/>
        </w:rPr>
        <w:br/>
      </w:r>
      <w:r w:rsidRPr="00BA0D33">
        <w:rPr>
          <w:rFonts w:eastAsia="Calibri"/>
        </w:rPr>
        <w:t>światła wjazdu na drogę startową (RELs) oraz światła oczek</w:t>
      </w:r>
      <w:r w:rsidR="00921C55" w:rsidRPr="00BA0D33">
        <w:rPr>
          <w:rFonts w:eastAsia="Calibri"/>
        </w:rPr>
        <w:t>iwania na start (THLs). Każdy z </w:t>
      </w:r>
      <w:r w:rsidRPr="00BA0D33">
        <w:rPr>
          <w:rFonts w:eastAsia="Calibri"/>
        </w:rPr>
        <w:t>tych elementów może być instalowany osobno, ale obydwa elementy są zaprojektowane</w:t>
      </w:r>
      <w:r w:rsidR="00921C55" w:rsidRPr="00BA0D33">
        <w:rPr>
          <w:rFonts w:eastAsia="Calibri"/>
        </w:rPr>
        <w:t xml:space="preserve"> tak</w:t>
      </w:r>
      <w:r w:rsidRPr="00BA0D33">
        <w:rPr>
          <w:rFonts w:eastAsia="Calibri"/>
        </w:rPr>
        <w:t>, aby się wzajemnie uzupełniały.</w:t>
      </w:r>
    </w:p>
    <w:p w14:paraId="700B2259" w14:textId="77777777" w:rsidR="004F0F33" w:rsidRPr="00BA0D33" w:rsidRDefault="004F0F33" w:rsidP="004F0F33">
      <w:pPr>
        <w:tabs>
          <w:tab w:val="left" w:pos="567"/>
        </w:tabs>
        <w:ind w:left="567" w:hanging="567"/>
        <w:rPr>
          <w:rFonts w:eastAsia="Calibri"/>
        </w:rPr>
      </w:pPr>
      <w:r w:rsidRPr="00BA0D33">
        <w:rPr>
          <w:rFonts w:eastAsia="Calibri"/>
        </w:rPr>
        <w:t>(b)</w:t>
      </w:r>
      <w:r w:rsidRPr="00BA0D33">
        <w:rPr>
          <w:rFonts w:eastAsia="Calibri"/>
        </w:rPr>
        <w:tab/>
        <w:t>Lokalizacja</w:t>
      </w:r>
    </w:p>
    <w:p w14:paraId="7631B4BA" w14:textId="77777777" w:rsidR="004F0F33" w:rsidRPr="00BA0D33" w:rsidRDefault="004F0F33" w:rsidP="004F0F33">
      <w:pPr>
        <w:tabs>
          <w:tab w:val="left" w:pos="1134"/>
        </w:tabs>
        <w:ind w:left="1134" w:hanging="567"/>
        <w:rPr>
          <w:rFonts w:eastAsia="Calibri"/>
        </w:rPr>
      </w:pPr>
      <w:r w:rsidRPr="00BA0D33">
        <w:rPr>
          <w:rFonts w:eastAsia="Calibri"/>
        </w:rPr>
        <w:t>(1)</w:t>
      </w:r>
      <w:r w:rsidRPr="00BA0D33">
        <w:rPr>
          <w:rFonts w:eastAsia="Calibri"/>
        </w:rPr>
        <w:tab/>
        <w:t>Jeżeli światła wjazdu na drogę startową (RELs) są zapewniane, to powinny być przesunięte 0.6 m od linii środkowej drogi kołowania po przeciwnej stronie świateł linii środkowej drogi kołowania i rozpoczynać się 0.6 m przed miejscem oczekiwania przed drogą startową rozciągając się do krawędzi drogi startowej. Dodatkowe pojedyncze światło powinno być umieszczone na drodze startowej, 0.6 m od linii środkowej drogi startowej oraz wyrównane z dwoma ostatnimi światłami RELs drogi kołowania.</w:t>
      </w:r>
    </w:p>
    <w:p w14:paraId="6BEF4246" w14:textId="1E10EB90" w:rsidR="004F0F33" w:rsidRPr="00BA0D33" w:rsidRDefault="004F0F33" w:rsidP="004F0F33">
      <w:pPr>
        <w:tabs>
          <w:tab w:val="left" w:pos="1134"/>
        </w:tabs>
        <w:ind w:left="1134" w:hanging="567"/>
        <w:rPr>
          <w:rFonts w:eastAsia="Calibri"/>
        </w:rPr>
      </w:pPr>
      <w:r w:rsidRPr="00BA0D33">
        <w:rPr>
          <w:rFonts w:eastAsia="Calibri"/>
        </w:rPr>
        <w:t>(2)</w:t>
      </w:r>
      <w:r w:rsidRPr="00BA0D33">
        <w:rPr>
          <w:rFonts w:eastAsia="Calibri"/>
        </w:rPr>
        <w:tab/>
        <w:t>Światła wjazdu na drogę startową (RELs) powinny składać się z co najmniej pięciu jednostek świetlnych i być rozmieszcz</w:t>
      </w:r>
      <w:r w:rsidR="00921C55" w:rsidRPr="00BA0D33">
        <w:rPr>
          <w:rFonts w:eastAsia="Calibri"/>
        </w:rPr>
        <w:t>one</w:t>
      </w:r>
      <w:r w:rsidRPr="00BA0D33">
        <w:rPr>
          <w:rFonts w:eastAsia="Calibri"/>
        </w:rPr>
        <w:t xml:space="preserve"> w odstępach</w:t>
      </w:r>
      <w:r w:rsidR="00921C55" w:rsidRPr="00BA0D33">
        <w:rPr>
          <w:rFonts w:eastAsia="Calibri"/>
        </w:rPr>
        <w:t>,</w:t>
      </w:r>
      <w:r w:rsidRPr="00BA0D33">
        <w:rPr>
          <w:rFonts w:eastAsia="Calibri"/>
        </w:rPr>
        <w:t xml:space="preserve"> co najmniej 3.8 m i maksymalnie na długości 15.2 m, w zależności od długości drogi kołowania, za wyjątkiem jednego światła zainstalowanego w pobliżu linii środkowej drogi startowej.</w:t>
      </w:r>
    </w:p>
    <w:p w14:paraId="54CE5743" w14:textId="77777777" w:rsidR="004F0F33" w:rsidRPr="00BA0D33" w:rsidRDefault="004F0F33" w:rsidP="004F0F33">
      <w:pPr>
        <w:tabs>
          <w:tab w:val="left" w:pos="1134"/>
        </w:tabs>
        <w:ind w:left="1134" w:hanging="567"/>
        <w:rPr>
          <w:rFonts w:eastAsia="Calibri"/>
        </w:rPr>
      </w:pPr>
      <w:r w:rsidRPr="00BA0D33">
        <w:rPr>
          <w:rFonts w:eastAsia="Calibri"/>
        </w:rPr>
        <w:t xml:space="preserve">(3) </w:t>
      </w:r>
      <w:r w:rsidRPr="00BA0D33">
        <w:rPr>
          <w:rFonts w:eastAsia="Calibri"/>
        </w:rPr>
        <w:tab/>
        <w:t>Jeżeli światła oczekiwania na start (THLs) są zapewniane, to powinny być przesunięte 1.8 m od świateł linii środkowej drogi startowej oraz rozciągać się w parach, począwszy od punktu 115 m od początku drogi startowej, a następnie, co 30 m na długości co najmniej 450 m.</w:t>
      </w:r>
    </w:p>
    <w:p w14:paraId="0AF68B78" w14:textId="77777777" w:rsidR="004F0F33" w:rsidRPr="00BA0D33" w:rsidRDefault="004F0F33" w:rsidP="004F0F33">
      <w:pPr>
        <w:tabs>
          <w:tab w:val="left" w:pos="567"/>
        </w:tabs>
        <w:ind w:left="567" w:hanging="567"/>
        <w:rPr>
          <w:rFonts w:eastAsia="Calibri"/>
        </w:rPr>
      </w:pPr>
      <w:r w:rsidRPr="00BA0D33">
        <w:rPr>
          <w:rFonts w:eastAsia="Calibri"/>
        </w:rPr>
        <w:t>(c)</w:t>
      </w:r>
      <w:r w:rsidRPr="00BA0D33">
        <w:rPr>
          <w:rFonts w:eastAsia="Calibri"/>
        </w:rPr>
        <w:tab/>
        <w:t>Charakterystyki:</w:t>
      </w:r>
    </w:p>
    <w:p w14:paraId="2F51442D" w14:textId="541AF163" w:rsidR="004F0F33" w:rsidRPr="00BA0D33" w:rsidRDefault="004F0F33" w:rsidP="004F0F33">
      <w:pPr>
        <w:tabs>
          <w:tab w:val="left" w:pos="1134"/>
        </w:tabs>
        <w:ind w:left="1134" w:hanging="567"/>
        <w:rPr>
          <w:rFonts w:eastAsia="Calibri"/>
        </w:rPr>
      </w:pPr>
      <w:r w:rsidRPr="00BA0D33">
        <w:rPr>
          <w:rFonts w:eastAsia="Calibri"/>
        </w:rPr>
        <w:t xml:space="preserve">(1) </w:t>
      </w:r>
      <w:r w:rsidRPr="00BA0D33">
        <w:rPr>
          <w:rFonts w:eastAsia="Calibri"/>
        </w:rPr>
        <w:tab/>
        <w:t>Jeżeli światła wjazdu na drogę startową (RELs) są zapew</w:t>
      </w:r>
      <w:r w:rsidR="00921C55" w:rsidRPr="00BA0D33">
        <w:rPr>
          <w:rFonts w:eastAsia="Calibri"/>
        </w:rPr>
        <w:t>niane, to powinny składać się z </w:t>
      </w:r>
      <w:r w:rsidRPr="00BA0D33">
        <w:rPr>
          <w:rFonts w:eastAsia="Calibri"/>
        </w:rPr>
        <w:t>pojedynczej linii świateł zamocowanych na stałe w nawierzchni sztucznej, pokazujących kolor czerwony w kierunku statku powietrznego zbliżającego się do drogi startowej.</w:t>
      </w:r>
    </w:p>
    <w:p w14:paraId="5BB1340F" w14:textId="77777777" w:rsidR="004F0F33" w:rsidRPr="00BA0D33" w:rsidRDefault="004F0F33" w:rsidP="004F0F33">
      <w:pPr>
        <w:tabs>
          <w:tab w:val="left" w:pos="1134"/>
        </w:tabs>
        <w:ind w:left="1134" w:hanging="567"/>
        <w:rPr>
          <w:rFonts w:eastAsia="Calibri"/>
        </w:rPr>
      </w:pPr>
      <w:r w:rsidRPr="00BA0D33">
        <w:rPr>
          <w:rFonts w:eastAsia="Calibri"/>
        </w:rPr>
        <w:t xml:space="preserve">(2) </w:t>
      </w:r>
      <w:r w:rsidRPr="00BA0D33">
        <w:rPr>
          <w:rFonts w:eastAsia="Calibri"/>
        </w:rPr>
        <w:tab/>
        <w:t>Światła wjazdu na drogę startową (RELs) powinny świecić, jako szereg na każdym skrzyżowaniu drogi kołowania z drogą startową, gdzie są one zainstalowane, przez okres krótszy niż 2 sekundy po tym, jak system stwierdzi, że potrzebne jest ostrzeżenie.</w:t>
      </w:r>
    </w:p>
    <w:p w14:paraId="382708C1" w14:textId="77777777" w:rsidR="004F0F33" w:rsidRPr="00BA0D33" w:rsidRDefault="004F0F33" w:rsidP="004F0F33">
      <w:pPr>
        <w:tabs>
          <w:tab w:val="left" w:pos="1134"/>
        </w:tabs>
        <w:ind w:left="1134" w:hanging="567"/>
        <w:rPr>
          <w:rFonts w:eastAsia="Calibri"/>
          <w:szCs w:val="20"/>
        </w:rPr>
      </w:pPr>
      <w:r w:rsidRPr="00BA0D33">
        <w:rPr>
          <w:rFonts w:eastAsia="Calibri"/>
        </w:rPr>
        <w:t xml:space="preserve">(3) </w:t>
      </w:r>
      <w:r w:rsidRPr="00BA0D33">
        <w:rPr>
          <w:rFonts w:eastAsia="Calibri"/>
        </w:rPr>
        <w:tab/>
        <w:t xml:space="preserve">Intensywność oraz rozwarcie wiązki światła świateł RELs powinny być zgodne ze specyfikacjami określonymi w Rozdziale U, Rysunek </w:t>
      </w:r>
      <w:r w:rsidRPr="00BA0D33">
        <w:rPr>
          <w:rFonts w:eastAsia="Calibri"/>
          <w:szCs w:val="20"/>
        </w:rPr>
        <w:t>U-16 i U-18.</w:t>
      </w:r>
    </w:p>
    <w:p w14:paraId="4C879DC4" w14:textId="77777777" w:rsidR="004F0F33" w:rsidRPr="00BA0D33" w:rsidRDefault="004F0F33" w:rsidP="004F0F33">
      <w:pPr>
        <w:tabs>
          <w:tab w:val="left" w:pos="1134"/>
        </w:tabs>
        <w:ind w:left="1134" w:hanging="567"/>
        <w:rPr>
          <w:rFonts w:eastAsia="Calibri"/>
        </w:rPr>
      </w:pPr>
      <w:r w:rsidRPr="00BA0D33">
        <w:rPr>
          <w:rFonts w:eastAsia="Calibri"/>
        </w:rPr>
        <w:t>(4)</w:t>
      </w:r>
      <w:r w:rsidRPr="00BA0D33">
        <w:rPr>
          <w:rFonts w:eastAsia="Calibri"/>
        </w:rPr>
        <w:tab/>
        <w:t>Jeżeli światła oczekiwania na start (THLs) są zapewniane, to powinny składać się z dwóch rzędów świateł zamocowanych na stałe w nawierzchni sztucznej, pokazujących kolor czerwony w kierunku startującego statku powietrznego.</w:t>
      </w:r>
    </w:p>
    <w:p w14:paraId="09BC5740" w14:textId="77777777" w:rsidR="004F0F33" w:rsidRPr="00BA0D33" w:rsidRDefault="004F0F33" w:rsidP="004F0F33">
      <w:pPr>
        <w:tabs>
          <w:tab w:val="left" w:pos="1134"/>
        </w:tabs>
        <w:ind w:left="1134" w:hanging="567"/>
        <w:rPr>
          <w:rFonts w:eastAsia="Calibri"/>
        </w:rPr>
      </w:pPr>
      <w:r w:rsidRPr="00BA0D33">
        <w:rPr>
          <w:rFonts w:eastAsia="Calibri"/>
        </w:rPr>
        <w:t>(5)</w:t>
      </w:r>
      <w:r w:rsidRPr="00BA0D33">
        <w:rPr>
          <w:rFonts w:eastAsia="Calibri"/>
        </w:rPr>
        <w:tab/>
        <w:t>Światła oczekiwania na start (THLs) powinny świecić jako szereg na drodze startowej przez okres krótszy niż 2 sekundy po określeniu przez system o konieczności ostrzegania.</w:t>
      </w:r>
    </w:p>
    <w:p w14:paraId="196BED12" w14:textId="77777777" w:rsidR="004F0F33" w:rsidRPr="00BA0D33" w:rsidRDefault="004F0F33" w:rsidP="004F0F33">
      <w:pPr>
        <w:tabs>
          <w:tab w:val="left" w:pos="1134"/>
        </w:tabs>
        <w:ind w:left="1134" w:hanging="567"/>
        <w:rPr>
          <w:rFonts w:eastAsia="Calibri"/>
        </w:rPr>
      </w:pPr>
      <w:r w:rsidRPr="00BA0D33">
        <w:rPr>
          <w:rFonts w:eastAsia="Calibri"/>
        </w:rPr>
        <w:t xml:space="preserve">(6) </w:t>
      </w:r>
      <w:r w:rsidRPr="00BA0D33">
        <w:rPr>
          <w:rFonts w:eastAsia="Calibri"/>
        </w:rPr>
        <w:tab/>
        <w:t>Intensywność oraz rozwarcie wiązki światła świateł THLs powinny być zgodne ze specyfikacjami zawartymi w Rozdziale U, Rysunek U-29.</w:t>
      </w:r>
    </w:p>
    <w:p w14:paraId="08E4665E" w14:textId="5AFDE9BF" w:rsidR="004F0F33" w:rsidRPr="00BA0D33" w:rsidRDefault="004F0F33" w:rsidP="00EE2E0D">
      <w:pPr>
        <w:tabs>
          <w:tab w:val="left" w:pos="1134"/>
        </w:tabs>
        <w:ind w:left="1134" w:hanging="567"/>
        <w:rPr>
          <w:rFonts w:eastAsia="Calibri"/>
        </w:rPr>
      </w:pPr>
      <w:r w:rsidRPr="00BA0D33">
        <w:rPr>
          <w:rFonts w:eastAsia="Calibri"/>
        </w:rPr>
        <w:t>(7)</w:t>
      </w:r>
      <w:r w:rsidRPr="00BA0D33">
        <w:rPr>
          <w:rFonts w:eastAsia="Calibri"/>
        </w:rPr>
        <w:tab/>
        <w:t>Działanie świateł RELs oraz THLs powinno być zautomatyzowane do tego stopnia, że jedyną formą kontroli nad każdym z nich będzie wyłączenie jednego lub obydwu systemów.</w:t>
      </w:r>
    </w:p>
    <w:p w14:paraId="1B5F5F90" w14:textId="77777777" w:rsidR="003F4B5A" w:rsidRPr="009E064B" w:rsidRDefault="003F4B5A" w:rsidP="00376F37">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FC85C3E" w14:textId="153E6DFE" w:rsidR="00880A09" w:rsidRPr="009E064B" w:rsidRDefault="00880A09" w:rsidP="00133B99">
      <w:pPr>
        <w:pStyle w:val="Nagwek6"/>
      </w:pPr>
      <w:bookmarkStart w:id="1566" w:name="_Toc12533214"/>
      <w:r w:rsidRPr="009E064B">
        <w:t xml:space="preserve">GM1 ADR-DSN.M.706 </w:t>
      </w:r>
      <w:r w:rsidRPr="009E064B">
        <w:tab/>
        <w:t>Światła stanu drogi startowej (RWSL)</w:t>
      </w:r>
      <w:bookmarkEnd w:id="1566"/>
    </w:p>
    <w:p w14:paraId="76A0EB82" w14:textId="67E46AF3" w:rsidR="001D2783" w:rsidRPr="009E064B" w:rsidRDefault="001F74A1" w:rsidP="001D2783">
      <w:pPr>
        <w:spacing w:after="80"/>
        <w:ind w:left="23"/>
        <w:jc w:val="right"/>
        <w:rPr>
          <w:rFonts w:asciiTheme="minorHAnsi" w:eastAsia="Times New Roman" w:hAnsiTheme="minorHAnsi" w:cstheme="minorHAnsi"/>
          <w:bCs/>
          <w:i/>
          <w:color w:val="FF0000"/>
          <w:sz w:val="16"/>
          <w:szCs w:val="20"/>
        </w:rPr>
      </w:pPr>
      <w:r>
        <w:rPr>
          <w:rFonts w:asciiTheme="minorHAnsi" w:eastAsia="Times New Roman" w:hAnsiTheme="minorHAnsi" w:cstheme="minorHAnsi"/>
          <w:i/>
          <w:sz w:val="16"/>
          <w:szCs w:val="20"/>
        </w:rPr>
        <w:t>Decyzja ED 2017/021/R</w:t>
      </w:r>
    </w:p>
    <w:p w14:paraId="5D959639" w14:textId="20D4E181" w:rsidR="001D2783" w:rsidRPr="00BA0D33" w:rsidRDefault="001D2783" w:rsidP="00EE2E0D">
      <w:pPr>
        <w:tabs>
          <w:tab w:val="left" w:pos="567"/>
        </w:tabs>
        <w:ind w:left="567" w:hanging="567"/>
        <w:rPr>
          <w:szCs w:val="20"/>
        </w:rPr>
      </w:pPr>
      <w:r w:rsidRPr="00BA0D33">
        <w:rPr>
          <w:szCs w:val="20"/>
        </w:rPr>
        <w:t xml:space="preserve">(a) </w:t>
      </w:r>
      <w:r w:rsidRPr="00BA0D33">
        <w:rPr>
          <w:szCs w:val="20"/>
        </w:rPr>
        <w:tab/>
        <w:t>Jeżeli na lotnisku zapewniane są dwa lub więcej miejsca oczekiwania przed drogą startową, przedmiotowym miejscem oczekiwania przed drogą startową, jest to, które znajduje się najbliżej drogi startowej.</w:t>
      </w:r>
    </w:p>
    <w:p w14:paraId="53E32F75" w14:textId="067DAD69" w:rsidR="001D2783" w:rsidRPr="00BA0D33" w:rsidRDefault="001D2783" w:rsidP="00EE2E0D">
      <w:pPr>
        <w:tabs>
          <w:tab w:val="left" w:pos="567"/>
        </w:tabs>
        <w:ind w:left="567" w:hanging="567"/>
        <w:rPr>
          <w:szCs w:val="20"/>
        </w:rPr>
      </w:pPr>
      <w:r w:rsidRPr="00BA0D33">
        <w:rPr>
          <w:szCs w:val="20"/>
        </w:rPr>
        <w:t xml:space="preserve">(b) </w:t>
      </w:r>
      <w:r w:rsidRPr="00BA0D33">
        <w:rPr>
          <w:szCs w:val="20"/>
        </w:rPr>
        <w:tab/>
        <w:t>Dodatkowe światła THLs mogą być zapewniane w podobny sposób w punkcie rozpoczęcia rozbiegu przy starcie.</w:t>
      </w:r>
    </w:p>
    <w:p w14:paraId="1D623773" w14:textId="3641C3AA" w:rsidR="00880A09" w:rsidRPr="00BA0D33" w:rsidRDefault="001D2783" w:rsidP="00EE2E0D">
      <w:pPr>
        <w:tabs>
          <w:tab w:val="left" w:pos="567"/>
        </w:tabs>
        <w:ind w:left="567" w:hanging="567"/>
        <w:rPr>
          <w:szCs w:val="20"/>
        </w:rPr>
      </w:pPr>
      <w:r w:rsidRPr="00BA0D33">
        <w:rPr>
          <w:szCs w:val="20"/>
        </w:rPr>
        <w:t xml:space="preserve">(c) </w:t>
      </w:r>
      <w:r w:rsidRPr="00BA0D33">
        <w:rPr>
          <w:szCs w:val="20"/>
        </w:rPr>
        <w:tab/>
        <w:t>W przypadku niektórych świateł RELs, konieczne może być uwzględnienie zmniejszonej szerokości wiązki na skrzyżowaniach drogi startowej z drogą kołowania o ostrym kącie w celu zapewnienia, że</w:t>
      </w:r>
      <w:r w:rsidR="00FF4764" w:rsidRPr="00BA0D33">
        <w:rPr>
          <w:szCs w:val="20"/>
        </w:rPr>
        <w:t xml:space="preserve"> </w:t>
      </w:r>
      <w:r w:rsidRPr="00BA0D33">
        <w:rPr>
          <w:szCs w:val="20"/>
        </w:rPr>
        <w:t>światła RELs nie są widoczne dla statku powietrznego znajdującego się na drodze startowej.</w:t>
      </w:r>
    </w:p>
    <w:p w14:paraId="4C85F04D" w14:textId="77777777" w:rsidR="003F4B5A" w:rsidRPr="009E064B" w:rsidRDefault="003F4B5A" w:rsidP="00376F37">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5DF5B18" w14:textId="696E4675" w:rsidR="00C36D76" w:rsidRPr="009E064B" w:rsidRDefault="00B2141E" w:rsidP="00B06A9A">
      <w:pPr>
        <w:pStyle w:val="Nagwek4"/>
        <w:rPr>
          <w:color w:val="auto"/>
        </w:rPr>
      </w:pPr>
      <w:bookmarkStart w:id="1567" w:name="_CS_ADR-DSN.M.710_"/>
      <w:bookmarkStart w:id="1568" w:name="_Toc482886687"/>
      <w:bookmarkStart w:id="1569" w:name="_Toc12533215"/>
      <w:bookmarkEnd w:id="1567"/>
      <w:r w:rsidRPr="009E064B">
        <w:rPr>
          <w:color w:val="auto"/>
        </w:rPr>
        <w:t xml:space="preserve">CS ADR-DSN.M.710     </w:t>
      </w:r>
      <w:r w:rsidR="00C36D76" w:rsidRPr="009E064B">
        <w:rPr>
          <w:color w:val="auto"/>
        </w:rPr>
        <w:t>Światła linii środkowej drogi kołowania</w:t>
      </w:r>
      <w:bookmarkEnd w:id="1568"/>
      <w:bookmarkEnd w:id="1569"/>
    </w:p>
    <w:p w14:paraId="45EB3E1B" w14:textId="1C124C43" w:rsidR="008C30B4" w:rsidRPr="009E064B" w:rsidRDefault="00D63D4F" w:rsidP="008C30B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4B6799D" w14:textId="2B52CA55"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świateł linii środkowej drogi kołowania jest zapewnienie bezpiecznego kołowania statków powietrznych na drodze kołowania w warunk</w:t>
      </w:r>
      <w:r w:rsidR="009631C6" w:rsidRPr="009E064B">
        <w:rPr>
          <w:szCs w:val="20"/>
        </w:rPr>
        <w:t>ach ograniczonej widzialności i </w:t>
      </w:r>
      <w:r w:rsidRPr="009E064B">
        <w:rPr>
          <w:szCs w:val="20"/>
        </w:rPr>
        <w:t>w nocy.</w:t>
      </w:r>
    </w:p>
    <w:p w14:paraId="17646A55"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Zastosowanie:</w:t>
      </w:r>
    </w:p>
    <w:p w14:paraId="025000BF" w14:textId="383AF331"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Światła linii środkowej drogi kołowania powinny być instalowane na drodze kołowania do zjazdu, drodze kołowania, stanowisku </w:t>
      </w:r>
      <w:r w:rsidRPr="009E064B">
        <w:rPr>
          <w:rFonts w:cs="TimesNewRomanPS-ItalicMT"/>
          <w:iCs/>
          <w:szCs w:val="20"/>
        </w:rPr>
        <w:t xml:space="preserve">do </w:t>
      </w:r>
      <w:r w:rsidRPr="009E064B">
        <w:rPr>
          <w:szCs w:val="20"/>
        </w:rPr>
        <w:t>odladzania</w:t>
      </w:r>
      <w:r w:rsidR="009631C6" w:rsidRPr="009E064B">
        <w:rPr>
          <w:szCs w:val="20"/>
        </w:rPr>
        <w:t> </w:t>
      </w:r>
      <w:r w:rsidRPr="009E064B">
        <w:rPr>
          <w:rFonts w:cs="TimesNewRomanPS-ItalicMT"/>
          <w:iCs/>
          <w:szCs w:val="20"/>
        </w:rPr>
        <w:t>/</w:t>
      </w:r>
      <w:r w:rsidR="009631C6" w:rsidRPr="009E064B">
        <w:rPr>
          <w:rFonts w:cs="TimesNewRomanPS-ItalicMT"/>
          <w:iCs/>
          <w:szCs w:val="20"/>
        </w:rPr>
        <w:t> </w:t>
      </w:r>
      <w:r w:rsidRPr="009E064B">
        <w:rPr>
          <w:rFonts w:cs="TimesNewRomanPS-ItalicMT"/>
          <w:iCs/>
          <w:szCs w:val="20"/>
        </w:rPr>
        <w:t xml:space="preserve">przeciwdziałania oblodzeniu </w:t>
      </w:r>
      <w:r w:rsidRPr="009E064B">
        <w:rPr>
          <w:szCs w:val="20"/>
        </w:rPr>
        <w:t xml:space="preserve">oraz na płycie postojowej, użytkowanych w warunkach, gdy zasięg widzialności wzdłuż drogi startowej jest mniejszy niż 350 m, w sposób zapewniający ciągłe prowadzenie pomiędzy linią środkową drogi startowej a stanowiskami postojowymi </w:t>
      </w:r>
      <w:r w:rsidR="009631C6" w:rsidRPr="009E064B">
        <w:rPr>
          <w:szCs w:val="20"/>
        </w:rPr>
        <w:t>dla statków powietrznych, z </w:t>
      </w:r>
      <w:r w:rsidRPr="009E064B">
        <w:rPr>
          <w:szCs w:val="20"/>
        </w:rPr>
        <w:t>wyjątkiem przypadku, gdy takie światła nie muszą być zapewnione, jeżeli poziom natężenia ruchu statków powietrznych jest mały oraz świ</w:t>
      </w:r>
      <w:r w:rsidR="009631C6" w:rsidRPr="009E064B">
        <w:rPr>
          <w:szCs w:val="20"/>
        </w:rPr>
        <w:t>atła krawędzi drogi kołowania i </w:t>
      </w:r>
      <w:r w:rsidRPr="009E064B">
        <w:rPr>
          <w:szCs w:val="20"/>
        </w:rPr>
        <w:t>oznakowanie linii środkowej drogi kołowania zapewniają wystarczające prowadzenie.</w:t>
      </w:r>
    </w:p>
    <w:p w14:paraId="523945E6"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linii środkowej drogi kołowania powinny być instalowane na drogach kołowania przeznaczonych do użytkowania w nocy, w warunkach widzialności wzdłuż drogi startowej większej niż 350 m, zwłaszcza na skomplikowanych skrzyżowaniach dróg kołowania i na drogach kołowania do zjazdu, z wyjątkiem przypadku, gdy takie światła nie muszą być zapewnione, jeżeli światła krawędzi drogi kołowania i oznakowanie linii środkowej drogi kołowania zapewniają wystarczające prowadzenie.</w:t>
      </w:r>
    </w:p>
    <w:p w14:paraId="7A3B705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 xml:space="preserve">Światła linii środkowej drogi kołowania powinny być instalowane na drodze kołowania zjazdu, drodze kołowania, stanowisku </w:t>
      </w:r>
      <w:r w:rsidRPr="009E064B">
        <w:rPr>
          <w:rFonts w:cs="TimesNewRomanPS-ItalicMT"/>
          <w:iCs/>
          <w:szCs w:val="20"/>
        </w:rPr>
        <w:t>do odladzania/przeciwdziałania oblodzeniu</w:t>
      </w:r>
      <w:r w:rsidRPr="009E064B">
        <w:rPr>
          <w:szCs w:val="20"/>
        </w:rPr>
        <w:t xml:space="preserve"> oraz na płycie postojowej, użytkowanych w każdych warunkach widzialności, jeżeli stanowią one część zaawansowanego systemu kierowania i kontroli ruchu naziemnego w taki sposób, aby zapewnić ciągłe prowadzenie od linii środkowej drogi startowej do stanowisk postojowych statków powietrznych.</w:t>
      </w:r>
    </w:p>
    <w:p w14:paraId="55514D50"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Światła linii środkowej drogi kołowania powinny być instalowane na drodze startowej stanowiącej część standardowej trasy kołowania oraz przeznaczonej do kołowania w warunkach widzialności wzdłuż drogi startowej mniejszej niż 350 m. Stosowanie świateł linii środkowej drogi kołowania nie jest konieczne, jeżeli poziom natężenia ruchu statków powietrznych jest mały oraz światła krawędzi i oznakowanie linii środkowej drogi kołowania zapewniają wystarczające prowadzenie.</w:t>
      </w:r>
    </w:p>
    <w:p w14:paraId="2B0FC736"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 xml:space="preserve">Światła linii środkowej drogi kołowania powinny być instalowane na drodze startowej stanowiącej część standardowej trasy kołowania w każdych warunkach widzialności, jeżeli stanowi ona część zaawansowanego systemu kierowania i kontroli ruchu naziemnego. </w:t>
      </w:r>
    </w:p>
    <w:p w14:paraId="175A3198" w14:textId="2B2C86D2"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Jeżeli droga startowa stanowiąca część standardowej tr</w:t>
      </w:r>
      <w:r w:rsidR="009631C6" w:rsidRPr="009E064B">
        <w:rPr>
          <w:szCs w:val="20"/>
        </w:rPr>
        <w:t>asy kołowania jest wyposażona w </w:t>
      </w:r>
      <w:r w:rsidRPr="009E064B">
        <w:rPr>
          <w:szCs w:val="20"/>
        </w:rPr>
        <w:t>światła drogi startowej i w światła drogi kołowania, to oba systemy świetlne powinny być odpowiednio blokowane, aby zapobiec możliwości jednoczesnego działania dwóch rodzajów świateł.</w:t>
      </w:r>
    </w:p>
    <w:p w14:paraId="7A2D58ED"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38B96B97" w14:textId="67BB735A"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t xml:space="preserve">Z wyjątkiem przewidzianym w </w:t>
      </w:r>
      <w:r w:rsidR="006B49E7" w:rsidRPr="009E064B">
        <w:rPr>
          <w:rFonts w:cs="Times New Roman"/>
          <w:szCs w:val="20"/>
        </w:rPr>
        <w:t>lit. </w:t>
      </w:r>
      <w:r w:rsidRPr="009E064B">
        <w:rPr>
          <w:rFonts w:cs="Times New Roman"/>
          <w:szCs w:val="20"/>
        </w:rPr>
        <w:t>(c)</w:t>
      </w:r>
      <w:r w:rsidR="006B49E7" w:rsidRPr="009E064B">
        <w:rPr>
          <w:rFonts w:cs="Times New Roman"/>
          <w:szCs w:val="20"/>
        </w:rPr>
        <w:t xml:space="preserve"> pkt </w:t>
      </w:r>
      <w:r w:rsidRPr="009E064B">
        <w:rPr>
          <w:rFonts w:cs="Times New Roman"/>
          <w:szCs w:val="20"/>
        </w:rPr>
        <w:t xml:space="preserve">(3) poniżej, </w:t>
      </w:r>
      <w:r w:rsidRPr="009E064B">
        <w:rPr>
          <w:szCs w:val="20"/>
        </w:rPr>
        <w:t>światła linii środkowej drogi kołowania znajdujące się na drodze kołowania innej niż droga kołowania do zjazdu oraz na drodze startowej, która stanowi część standardowej trasy kołowania, powinny być światłami stałymi koloru zielonego o takim rozkładzie wiązki świetlnej, aby były one widoczne tylko z samolotu, który znajduje się na drodze kołowania lub w jej pobliżu.</w:t>
      </w:r>
    </w:p>
    <w:p w14:paraId="3C61647C" w14:textId="3B29EE98"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linii środkowej drogi kołowania będącej drogą zjazdu powinny być światłami stałymi. Pozostałe światła linii środkowej drogi kołowania</w:t>
      </w:r>
      <w:r w:rsidR="009631C6" w:rsidRPr="009E064B">
        <w:rPr>
          <w:szCs w:val="20"/>
        </w:rPr>
        <w:t xml:space="preserve"> powinny być koloru zielonego i </w:t>
      </w:r>
      <w:r w:rsidRPr="009E064B">
        <w:rPr>
          <w:szCs w:val="20"/>
        </w:rPr>
        <w:t>żółtego na odcinku od ich początku przy linii środkowej drogi startowej do granicy strefy krytycznej/wrażliwej systemu ILS/MLS lub do dolnej krawędzi powierzchni przejściowej wewnętrznej w zależności, która z tych granic jest bardziej oddalona od drogi startowej; poza tym odcinkiem wszystkie światła linii środkowej powinny być zielone jak przedstawiono na Rysunku M-10. Pierwsze światło na linii środkowej drogi kołowania do zjazdu powinno zawsze świecić w kolorze zielonym a światło najbliższe granicy powinno być zawsze żółte.</w:t>
      </w:r>
    </w:p>
    <w:p w14:paraId="7F58C0B6" w14:textId="77777777" w:rsidR="00C36D76" w:rsidRPr="009E064B" w:rsidRDefault="00C36D76" w:rsidP="00B06A9A">
      <w:pPr>
        <w:tabs>
          <w:tab w:val="left" w:pos="1134"/>
        </w:tabs>
        <w:ind w:left="1134" w:hanging="567"/>
        <w:rPr>
          <w:szCs w:val="20"/>
        </w:rPr>
      </w:pPr>
      <w:r w:rsidRPr="009E064B">
        <w:rPr>
          <w:szCs w:val="20"/>
        </w:rPr>
        <w:t xml:space="preserve">(3) </w:t>
      </w:r>
      <w:r w:rsidRPr="009E064B">
        <w:rPr>
          <w:szCs w:val="20"/>
        </w:rPr>
        <w:tab/>
        <w:t>Jeżeli jest to konieczne do określenia bliskości do drogi startowej, światła linii środkowej drogi kołowania powinny być światłami stałymi świecącymi na przemian w kolorze zielonym i żółtym od granicy strefy wrażliwej/krytycznej ILS/MLS lub dolnej krawędzi wewnętrznej powierzchni przejściowej, którakolwiek z nich jest najdalej od tej drogi startowej, do drogi startowej i dalej na przemian na zielono i żółto, aż do:</w:t>
      </w:r>
    </w:p>
    <w:p w14:paraId="0AE5F3E4" w14:textId="77777777" w:rsidR="00C36D76" w:rsidRPr="009E064B" w:rsidRDefault="00C36D76" w:rsidP="00B06A9A">
      <w:pPr>
        <w:tabs>
          <w:tab w:val="left" w:pos="1701"/>
        </w:tabs>
        <w:ind w:left="1701" w:hanging="567"/>
        <w:rPr>
          <w:szCs w:val="20"/>
        </w:rPr>
      </w:pPr>
      <w:r w:rsidRPr="009E064B">
        <w:rPr>
          <w:szCs w:val="20"/>
        </w:rPr>
        <w:t xml:space="preserve">(i) </w:t>
      </w:r>
      <w:r w:rsidRPr="009E064B">
        <w:rPr>
          <w:szCs w:val="20"/>
        </w:rPr>
        <w:tab/>
        <w:t>ich punktu końcowego w pobliżu linii środkowej tej drogi startowej; lub</w:t>
      </w:r>
    </w:p>
    <w:p w14:paraId="32CA295A" w14:textId="77777777" w:rsidR="00C36D76" w:rsidRPr="009E064B" w:rsidRDefault="00C36D76" w:rsidP="00B06A9A">
      <w:pPr>
        <w:tabs>
          <w:tab w:val="left" w:pos="1701"/>
        </w:tabs>
        <w:ind w:left="1701" w:hanging="567"/>
        <w:rPr>
          <w:szCs w:val="20"/>
        </w:rPr>
      </w:pPr>
      <w:r w:rsidRPr="009E064B">
        <w:rPr>
          <w:szCs w:val="20"/>
        </w:rPr>
        <w:t>(ii)</w:t>
      </w:r>
      <w:r w:rsidRPr="009E064B">
        <w:rPr>
          <w:szCs w:val="20"/>
        </w:rPr>
        <w:tab/>
        <w:t>w przypadku, gdy światła linii środkowej tej drogi kołowania przecinają drogę startową, do przeciwległej granicy strefy wrażliwej/krytycznej ILS/MLS lub dolnej krawędzi wewnętrznej powierzchni przejściowej, którakolwiek z nich jest najdalej od tej drogi startowej.</w:t>
      </w:r>
    </w:p>
    <w:p w14:paraId="10A12C07" w14:textId="367EAE0D"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(4) </w:t>
      </w:r>
      <w:r w:rsidRPr="009E064B">
        <w:rPr>
          <w:rFonts w:cs="Times New Roman"/>
          <w:szCs w:val="20"/>
        </w:rPr>
        <w:tab/>
        <w:t xml:space="preserve">Światła linii środkowej drogi kołowania powinny być zgodne ze specyfikacjami określonymi odpowiednio w: </w:t>
      </w:r>
      <w:hyperlink w:anchor="_CS_ADR-DSN.U.940_" w:history="1">
        <w:r w:rsidRPr="009E064B">
          <w:rPr>
            <w:rStyle w:val="Hipercze"/>
            <w:rFonts w:cs="Times New Roman"/>
            <w:szCs w:val="20"/>
          </w:rPr>
          <w:t>CS ADR-DSN.U.940</w:t>
        </w:r>
      </w:hyperlink>
      <w:r w:rsidRPr="009E064B">
        <w:rPr>
          <w:rFonts w:cs="Times New Roman"/>
          <w:szCs w:val="20"/>
        </w:rPr>
        <w:t>, na Rysunku U-16, U-17 lub U-18, dla dróg kołowania przeznaczonych do użytkowania w warunkach widzialności wzdłuż drogi startowej mniejszej niż 350 m oraz zgodne z wymaganiami określonymi odpowiednio, na Rysunku U-19 lub U-20 dla innych dróg kołowania.</w:t>
      </w:r>
    </w:p>
    <w:p w14:paraId="1222C337" w14:textId="73CBD6AC"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(5) </w:t>
      </w:r>
      <w:r w:rsidRPr="009E064B">
        <w:rPr>
          <w:rFonts w:cs="Times New Roman"/>
          <w:szCs w:val="20"/>
        </w:rPr>
        <w:tab/>
      </w:r>
      <w:r w:rsidRPr="009E064B">
        <w:rPr>
          <w:rFonts w:eastAsia="Times New Roman,Italic" w:cs="Times New Roman,Italic"/>
          <w:iCs/>
          <w:szCs w:val="20"/>
        </w:rPr>
        <w:t xml:space="preserve">Jeżeli z punktu widzenia operacyjnego wymagane jest zastosowanie </w:t>
      </w:r>
      <w:r w:rsidRPr="009E064B">
        <w:rPr>
          <w:szCs w:val="20"/>
        </w:rPr>
        <w:t>wyższych</w:t>
      </w:r>
      <w:r w:rsidRPr="009E064B">
        <w:rPr>
          <w:rFonts w:eastAsia="Times New Roman,Italic" w:cs="Times New Roman,Italic"/>
          <w:iCs/>
          <w:szCs w:val="20"/>
        </w:rPr>
        <w:t xml:space="preserve"> intensywności świecenia, światła linii środkowej na drodze kołowania szybkiego zjazdu, przeznaczonej do użytkowania w warunkach widzialności wzdłuż drogi startowej mniejszych niż 350 m, powinny spełniać w</w:t>
      </w:r>
      <w:r w:rsidR="0085202B" w:rsidRPr="009E064B">
        <w:rPr>
          <w:rFonts w:eastAsia="Times New Roman,Italic" w:cs="Times New Roman,Italic"/>
          <w:iCs/>
          <w:szCs w:val="20"/>
        </w:rPr>
        <w:t>ymagania określone w</w:t>
      </w:r>
      <w:r w:rsidR="006B49E7" w:rsidRPr="009E064B">
        <w:rPr>
          <w:rFonts w:eastAsia="Times New Roman,Italic" w:cs="Times New Roman,Italic"/>
          <w:iCs/>
          <w:szCs w:val="20"/>
        </w:rPr>
        <w:t xml:space="preserve"> </w:t>
      </w:r>
      <w:hyperlink w:anchor="_CS_ADR-DSN.U.940_" w:history="1">
        <w:r w:rsidR="0085202B"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ADR-DSN.U.940</w:t>
        </w:r>
      </w:hyperlink>
      <w:r w:rsidRPr="009E064B">
        <w:rPr>
          <w:rFonts w:eastAsia="Times New Roman,Italic" w:cs="Times New Roman,Italic"/>
          <w:iCs/>
          <w:szCs w:val="20"/>
        </w:rPr>
        <w:t>, Rysunek U-16. Liczba poziomów intensywności dla tych świateł powinna być taka sama jak w przypadku świateł linii środkowej drogi startowej.</w:t>
      </w:r>
    </w:p>
    <w:p w14:paraId="5AA7D112" w14:textId="302CBAE4"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rFonts w:eastAsia="Times New Roman,Italic" w:cs="Times New Roman,Italic"/>
          <w:iCs/>
          <w:szCs w:val="20"/>
        </w:rPr>
        <w:t xml:space="preserve">Jeżeli światła linii środkowej drogi kołowania wchodzą w skład </w:t>
      </w:r>
      <w:r w:rsidRPr="009E064B">
        <w:rPr>
          <w:szCs w:val="20"/>
        </w:rPr>
        <w:t>zaawansowanego</w:t>
      </w:r>
      <w:r w:rsidRPr="009E064B">
        <w:rPr>
          <w:rFonts w:eastAsia="Times New Roman,Italic" w:cs="Times New Roman,Italic"/>
          <w:iCs/>
          <w:szCs w:val="20"/>
        </w:rPr>
        <w:t xml:space="preserve"> systemu kierowania i kontroli ruchu naziemnego oraz z operacyjnego punktu widzenia, wymagane jest zastosowanie wyższych intensywności świecenia w celu umożliwienia ruchu naziemnego statków powietrznych z odpowiednią prędkością w przypadku bardzo małych widzialności lub jasnego dnia, światła linii środkowej drogi kołowania powinny być zgodne ze specyfikacjami określonymi odpowiednio w: </w:t>
      </w:r>
      <w:hyperlink w:anchor="_CS_ADR-DSN.U.940_" w:history="1">
        <w:r w:rsidRPr="009E064B">
          <w:rPr>
            <w:rStyle w:val="Hipercze"/>
            <w:rFonts w:eastAsia="Times New Roman,Italic" w:cs="Times New Roman,Italic"/>
            <w:iCs/>
            <w:szCs w:val="20"/>
          </w:rPr>
          <w:t>CS ADR-DSN.U.940</w:t>
        </w:r>
      </w:hyperlink>
      <w:r w:rsidRPr="009E064B">
        <w:rPr>
          <w:rFonts w:eastAsia="Times New Roman,Italic" w:cs="Times New Roman,Italic"/>
          <w:iCs/>
          <w:szCs w:val="20"/>
        </w:rPr>
        <w:t>, Rysunek U-21, U-22 lub U-23.</w:t>
      </w:r>
    </w:p>
    <w:p w14:paraId="730C934D"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Światła linii środkowej o dużej intensywności powinny być stosowane tylko w przypadku absolutnej konieczności oraz po przeprowadzeniu szczegółowych badań.</w:t>
      </w:r>
    </w:p>
    <w:p w14:paraId="447BE32A" w14:textId="58AB23B6" w:rsidR="00C36D76" w:rsidRPr="00BA0D33" w:rsidRDefault="00C36D76" w:rsidP="00B06A9A">
      <w:pPr>
        <w:tabs>
          <w:tab w:val="left" w:pos="1134"/>
        </w:tabs>
        <w:ind w:left="1134" w:hanging="567"/>
        <w:rPr>
          <w:iCs/>
          <w:szCs w:val="20"/>
        </w:rPr>
      </w:pPr>
      <w:r w:rsidRPr="009E064B">
        <w:rPr>
          <w:szCs w:val="20"/>
        </w:rPr>
        <w:t xml:space="preserve">(8) </w:t>
      </w:r>
      <w:r w:rsidRPr="009E064B">
        <w:rPr>
          <w:szCs w:val="20"/>
        </w:rPr>
        <w:tab/>
        <w:t xml:space="preserve">Chromatyczność </w:t>
      </w:r>
      <w:r w:rsidRPr="009E064B">
        <w:rPr>
          <w:iCs/>
          <w:szCs w:val="20"/>
        </w:rPr>
        <w:t xml:space="preserve">świateł linii środkowej drogi kołowania powinna być zgodna ze specyfikacjami określonymi w </w:t>
      </w:r>
      <w:hyperlink w:anchor="_CS_ADR-DSN.U.930_" w:history="1">
        <w:r w:rsidRPr="009E064B">
          <w:rPr>
            <w:rStyle w:val="Hipercze"/>
            <w:iCs/>
            <w:szCs w:val="20"/>
          </w:rPr>
          <w:t>CS</w:t>
        </w:r>
        <w:r w:rsidR="00B518E5" w:rsidRPr="009E064B">
          <w:rPr>
            <w:rStyle w:val="Hipercze"/>
            <w:iCs/>
            <w:szCs w:val="20"/>
          </w:rPr>
          <w:t> </w:t>
        </w:r>
        <w:r w:rsidRPr="009E064B">
          <w:rPr>
            <w:rStyle w:val="Hipercze"/>
            <w:iCs/>
            <w:szCs w:val="20"/>
          </w:rPr>
          <w:t>ADR-DSN.U.930</w:t>
        </w:r>
      </w:hyperlink>
      <w:r w:rsidRPr="009E064B">
        <w:rPr>
          <w:iCs/>
          <w:szCs w:val="20"/>
        </w:rPr>
        <w:t xml:space="preserve"> i </w:t>
      </w:r>
      <w:r w:rsidR="004F0F33" w:rsidRPr="00BA0D33">
        <w:rPr>
          <w:iCs/>
          <w:szCs w:val="20"/>
        </w:rPr>
        <w:t xml:space="preserve">odpowiednio </w:t>
      </w:r>
      <w:r w:rsidRPr="00BA0D33">
        <w:rPr>
          <w:iCs/>
          <w:szCs w:val="20"/>
        </w:rPr>
        <w:t>na Rysunku U1</w:t>
      </w:r>
      <w:r w:rsidR="004F0F33" w:rsidRPr="00BA0D33">
        <w:rPr>
          <w:iCs/>
          <w:szCs w:val="20"/>
        </w:rPr>
        <w:t>A lub U1B</w:t>
      </w:r>
      <w:r w:rsidRPr="00BA0D33">
        <w:rPr>
          <w:iCs/>
          <w:szCs w:val="20"/>
        </w:rPr>
        <w:t>.</w:t>
      </w:r>
    </w:p>
    <w:p w14:paraId="5FC69534"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Lokalizacja:</w:t>
      </w:r>
    </w:p>
    <w:p w14:paraId="6056C8A6" w14:textId="166D358B"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drogi kołowania powinny być zwykle umieszczone na oznakowaniu linii środkowej drogi kołowania, za wyjątkiem przypadkó</w:t>
      </w:r>
      <w:r w:rsidR="0085202B" w:rsidRPr="009E064B">
        <w:rPr>
          <w:szCs w:val="20"/>
        </w:rPr>
        <w:t>w, kiedy mogą być przesunięte o </w:t>
      </w:r>
      <w:r w:rsidRPr="009E064B">
        <w:rPr>
          <w:szCs w:val="20"/>
        </w:rPr>
        <w:t>nie więcej niż 30 cm, jeżeli ich umieszczenie na oznakowaniu jest niepraktyczne, jak przedstawiono na Rysunku M-9.</w:t>
      </w:r>
    </w:p>
    <w:p w14:paraId="7C5C838F" w14:textId="04F41DDA"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Światła linii środkowej drogi kołowania na drogach kołowania, drogach startowych, drogach kołowania szybkiego zjazdu lub na innych drogach kołowania do zjazdu powinny być zlokalizowane zgodnie z </w:t>
      </w:r>
      <w:hyperlink w:anchor="_CS_ADR-DSN.M.715_" w:history="1">
        <w:r w:rsidRPr="009E064B">
          <w:rPr>
            <w:rStyle w:val="Hipercze"/>
            <w:szCs w:val="20"/>
          </w:rPr>
          <w:t>CS ADR-DSN.M.715</w:t>
        </w:r>
      </w:hyperlink>
      <w:r w:rsidRPr="009E064B">
        <w:rPr>
          <w:szCs w:val="20"/>
        </w:rPr>
        <w:t>.</w:t>
      </w:r>
    </w:p>
    <w:p w14:paraId="042FFD70" w14:textId="0487EB18" w:rsidR="00C36D76" w:rsidRPr="009E064B" w:rsidRDefault="00C36D76" w:rsidP="00376F37">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665EBAC" w14:textId="77777777" w:rsidR="00D22426" w:rsidRPr="009E064B" w:rsidRDefault="00D22426" w:rsidP="00376F37">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01A6829" w14:textId="6690C837" w:rsidR="000D4914" w:rsidRPr="009E064B" w:rsidRDefault="00B2141E" w:rsidP="00133B99">
      <w:pPr>
        <w:pStyle w:val="Nagwek6"/>
      </w:pPr>
      <w:bookmarkStart w:id="1570" w:name="_Toc482886911"/>
      <w:bookmarkStart w:id="1571" w:name="_Toc12533216"/>
      <w:bookmarkStart w:id="1572" w:name="_Toc482886688"/>
      <w:r w:rsidRPr="009E064B">
        <w:t xml:space="preserve">GM1 ADR-DSN.M.710     </w:t>
      </w:r>
      <w:r w:rsidR="000D4914" w:rsidRPr="009E064B">
        <w:t>Światła linii środkowej drogi kołowania</w:t>
      </w:r>
      <w:bookmarkEnd w:id="1570"/>
      <w:bookmarkEnd w:id="1571"/>
    </w:p>
    <w:p w14:paraId="4A5E272E" w14:textId="211F438F"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E94887A" w14:textId="730646C4" w:rsidR="000D4914" w:rsidRPr="009E064B" w:rsidRDefault="000D4914" w:rsidP="00B06A9A">
      <w:pPr>
        <w:tabs>
          <w:tab w:val="left" w:pos="567"/>
        </w:tabs>
        <w:autoSpaceDE w:val="0"/>
        <w:autoSpaceDN w:val="0"/>
        <w:adjustRightInd w:val="0"/>
        <w:ind w:left="567" w:hanging="567"/>
        <w:rPr>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Jeżeli zapewniane są światła linii środkowej drogi kołowania oraz jeżeli zachodzi potrzeba oznakowania krawędzi drogi kołowania, np. drogi kołowania szybkiego zjazdu, wąskiej drogi kołowania lub w przypadku zalegania śniegu, można stosować światła krawędzi drogi kołowania lub markery. Szczególną uwagę należy zwrócić na ograniczenie kątów rozproszenia zielonych świateł linii środkowej drogi kołowania w pobliżu drogi startowej, w</w:t>
      </w:r>
      <w:r w:rsidR="00640DF1" w:rsidRPr="009E064B">
        <w:rPr>
          <w:rFonts w:eastAsia="Times New Roman,Italic" w:cs="Times New Roman,Italic"/>
          <w:iCs/>
          <w:szCs w:val="20"/>
        </w:rPr>
        <w:t xml:space="preserve"> </w:t>
      </w:r>
      <w:r w:rsidRPr="009E064B">
        <w:rPr>
          <w:rFonts w:eastAsia="Times New Roman,Italic" w:cs="Times New Roman,Italic"/>
          <w:iCs/>
          <w:szCs w:val="20"/>
        </w:rPr>
        <w:t>celu uniknięcia możliwości pomylenia ich ze światłami progu drogi startowej.</w:t>
      </w:r>
    </w:p>
    <w:p w14:paraId="13448D89" w14:textId="77777777" w:rsidR="000D4914" w:rsidRPr="009E064B" w:rsidRDefault="000D4914"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Należy dołożyć starań, aby ograniczyć rozsył świateł zielonych na lub w pobliżu drogi startowej, po to aby uniknąć ewentualnych pomyłek ze światłami progu drogi startowej.</w:t>
      </w:r>
    </w:p>
    <w:p w14:paraId="47F672BF" w14:textId="3961BBDA" w:rsidR="000D4914" w:rsidRPr="009E064B" w:rsidRDefault="00B518E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(c)</w:t>
      </w:r>
      <w:r w:rsidRPr="009E064B">
        <w:rPr>
          <w:rFonts w:eastAsia="Times New Roman,Italic" w:cs="Times New Roman,Italic"/>
          <w:iCs/>
          <w:szCs w:val="20"/>
        </w:rPr>
        <w:tab/>
        <w:t xml:space="preserve">Przepisy określone w </w:t>
      </w:r>
      <w:hyperlink w:anchor="_CS_ADR-DSN.M.710_" w:history="1">
        <w:r w:rsidRPr="009E064B">
          <w:rPr>
            <w:rStyle w:val="Hipercze"/>
            <w:rFonts w:eastAsia="Times New Roman,Italic" w:cs="Times New Roman,Italic"/>
            <w:iCs/>
            <w:szCs w:val="20"/>
          </w:rPr>
          <w:t>CS </w:t>
        </w:r>
        <w:r w:rsidR="000D4914" w:rsidRPr="009E064B">
          <w:rPr>
            <w:rStyle w:val="Hipercze"/>
            <w:rFonts w:eastAsia="Times New Roman,Italic" w:cs="Times New Roman,Italic"/>
            <w:iCs/>
            <w:szCs w:val="20"/>
          </w:rPr>
          <w:t>ADR-DSN.M.710</w:t>
        </w:r>
      </w:hyperlink>
      <w:r w:rsidRPr="009E064B">
        <w:rPr>
          <w:rFonts w:eastAsia="Times New Roman,Italic" w:cs="Times New Roman,Italic"/>
          <w:iCs/>
          <w:szCs w:val="20"/>
        </w:rPr>
        <w:t xml:space="preserve"> lit. </w:t>
      </w:r>
      <w:r w:rsidR="000D4914" w:rsidRPr="009E064B">
        <w:rPr>
          <w:rFonts w:eastAsia="Times New Roman,Italic" w:cs="Times New Roman,Italic"/>
          <w:iCs/>
          <w:szCs w:val="20"/>
        </w:rPr>
        <w:t>(c)</w:t>
      </w:r>
      <w:r w:rsidRPr="009E064B">
        <w:rPr>
          <w:rFonts w:eastAsia="Times New Roman,Italic" w:cs="Times New Roman,Italic"/>
          <w:iCs/>
          <w:szCs w:val="20"/>
        </w:rPr>
        <w:t xml:space="preserve"> pkt </w:t>
      </w:r>
      <w:r w:rsidR="000D4914" w:rsidRPr="009E064B">
        <w:rPr>
          <w:rFonts w:eastAsia="Times New Roman,Italic" w:cs="Times New Roman,Italic"/>
          <w:iCs/>
          <w:szCs w:val="20"/>
        </w:rPr>
        <w:t xml:space="preserve">(3) mogą stanowić część środków </w:t>
      </w:r>
      <w:r w:rsidR="000D4914" w:rsidRPr="009E064B">
        <w:rPr>
          <w:rFonts w:eastAsia="Times New Roman,Italic" w:cs="Times New Roman,Italic"/>
          <w:bCs/>
          <w:iCs/>
          <w:szCs w:val="20"/>
        </w:rPr>
        <w:t>skutecznego zapobiegania wtargnięciom</w:t>
      </w:r>
      <w:r w:rsidR="000D4914" w:rsidRPr="009E064B">
        <w:rPr>
          <w:rFonts w:eastAsia="Times New Roman,Italic" w:cs="Times New Roman,Italic"/>
          <w:iCs/>
          <w:szCs w:val="20"/>
        </w:rPr>
        <w:t xml:space="preserve"> na drogę startową.</w:t>
      </w:r>
    </w:p>
    <w:p w14:paraId="549CE925" w14:textId="739E1B45" w:rsidR="00376F37" w:rsidRPr="009E064B" w:rsidRDefault="000D4914"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3892E97" w14:textId="77777777" w:rsidR="00376F37" w:rsidRPr="009E064B" w:rsidRDefault="00376F37">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22A90F87" w14:textId="051382A8" w:rsidR="00C36D76" w:rsidRPr="009E064B" w:rsidRDefault="00B2141E" w:rsidP="00B2141E">
      <w:pPr>
        <w:pStyle w:val="Nagwek4"/>
        <w:tabs>
          <w:tab w:val="clear" w:pos="2694"/>
          <w:tab w:val="left" w:pos="2552"/>
        </w:tabs>
        <w:ind w:left="2552" w:hanging="2552"/>
        <w:rPr>
          <w:color w:val="auto"/>
        </w:rPr>
      </w:pPr>
      <w:bookmarkStart w:id="1573" w:name="_CS_ADR-DSN.M.715_"/>
      <w:bookmarkStart w:id="1574" w:name="_Toc12533217"/>
      <w:bookmarkEnd w:id="1573"/>
      <w:r w:rsidRPr="009E064B">
        <w:rPr>
          <w:color w:val="auto"/>
        </w:rPr>
        <w:t xml:space="preserve">CS ADR-DSN.M.715     </w:t>
      </w:r>
      <w:r w:rsidR="00C36D76" w:rsidRPr="009E064B">
        <w:rPr>
          <w:color w:val="auto"/>
        </w:rPr>
        <w:t>Światła linii środkowej drogi kołowania na drogach kołowania, drogach startowych, drogach kołowania szybkiego zjazdu lub na innych drogach kołowania przeznaczonych do zjazdu</w:t>
      </w:r>
      <w:bookmarkEnd w:id="1572"/>
      <w:bookmarkEnd w:id="1574"/>
    </w:p>
    <w:p w14:paraId="59062173" w14:textId="0BD5A1BA"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AC574C6" w14:textId="46B2F319"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świateł linii środkowej drogi kołowania jest zapewnienie kierowania w celu bezpiecznego kołowania statków powietrznych na drodze kołowa</w:t>
      </w:r>
      <w:r w:rsidR="00A133BD" w:rsidRPr="009E064B">
        <w:rPr>
          <w:szCs w:val="20"/>
        </w:rPr>
        <w:t>nia, stanowisku do odladzania / </w:t>
      </w:r>
      <w:r w:rsidRPr="009E064B">
        <w:rPr>
          <w:szCs w:val="20"/>
        </w:rPr>
        <w:t>przeciwdziałania oblodzeniu, i płycie postojowej w warunkach ograniczonej widzialności i w nocy.</w:t>
      </w:r>
    </w:p>
    <w:p w14:paraId="141DBBC1"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Światła linii środkowej drogi kołowania na drogach kołowania:</w:t>
      </w:r>
    </w:p>
    <w:p w14:paraId="53B89D33"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drogi kołowania na prostym odcinku drogi kołowania powinny być rozmieszczone w odstępach nie większych niż 30 m, z następującymi wyjątkami:</w:t>
      </w:r>
    </w:p>
    <w:p w14:paraId="6C738F4E"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na krótkim, prostym odcinku powinno się stosować odstępy mniejsze niż 30 m; oraz</w:t>
      </w:r>
    </w:p>
    <w:p w14:paraId="284DA51D"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na drodze kołowania przeznaczonej do użytkowania w warunkach RVR poniżej wartości 350 m, odstęp podłużny nie powinien przekraczać 15 m.</w:t>
      </w:r>
    </w:p>
    <w:p w14:paraId="45C41417"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linii środkowej na łuku drogi kołowania powinny być zlokalizowane, począwszy od prostego odcinka drogi kołowania, w stałej odległości od zewnętrznej krawędzi łuku. Odstępy pomiędzy światłami powinny zapewniać wyraźne oznaczenie łuku.</w:t>
      </w:r>
    </w:p>
    <w:p w14:paraId="0E4385EF" w14:textId="77777777" w:rsidR="00C36D76" w:rsidRPr="009E064B" w:rsidRDefault="00C36D76" w:rsidP="00B06A9A">
      <w:pPr>
        <w:tabs>
          <w:tab w:val="left" w:pos="1134"/>
        </w:tabs>
        <w:spacing w:after="240"/>
        <w:ind w:left="1134" w:hanging="567"/>
        <w:rPr>
          <w:szCs w:val="20"/>
        </w:rPr>
      </w:pPr>
      <w:r w:rsidRPr="009E064B">
        <w:rPr>
          <w:rFonts w:cs="Times New Roman"/>
          <w:szCs w:val="20"/>
        </w:rPr>
        <w:t xml:space="preserve">(3) </w:t>
      </w:r>
      <w:r w:rsidRPr="009E064B">
        <w:rPr>
          <w:rFonts w:cs="Times New Roman"/>
          <w:szCs w:val="20"/>
        </w:rPr>
        <w:tab/>
      </w:r>
      <w:r w:rsidRPr="009E064B">
        <w:rPr>
          <w:szCs w:val="20"/>
        </w:rPr>
        <w:t>Na łuku drogi kołowania, odstępy między światłami linii środkowej drogi kołowania powinny być takie jak określono w Tabeli M-3.</w:t>
      </w:r>
    </w:p>
    <w:tbl>
      <w:tblPr>
        <w:tblStyle w:val="Tabela-Siatka"/>
        <w:tblW w:w="0" w:type="auto"/>
        <w:jc w:val="right"/>
        <w:tblLook w:val="04A0" w:firstRow="1" w:lastRow="0" w:firstColumn="1" w:lastColumn="0" w:noHBand="0" w:noVBand="1"/>
      </w:tblPr>
      <w:tblGrid>
        <w:gridCol w:w="1242"/>
        <w:gridCol w:w="2267"/>
        <w:gridCol w:w="4503"/>
      </w:tblGrid>
      <w:tr w:rsidR="00C36D76" w:rsidRPr="009E064B" w14:paraId="37ADE40B" w14:textId="77777777" w:rsidTr="003154DC">
        <w:trPr>
          <w:jc w:val="right"/>
        </w:trPr>
        <w:tc>
          <w:tcPr>
            <w:tcW w:w="1242" w:type="dxa"/>
            <w:tcMar>
              <w:top w:w="57" w:type="dxa"/>
              <w:bottom w:w="57" w:type="dxa"/>
            </w:tcMar>
            <w:vAlign w:val="center"/>
          </w:tcPr>
          <w:p w14:paraId="4F75D18E" w14:textId="77777777" w:rsidR="00C36D76" w:rsidRPr="009E064B" w:rsidRDefault="00C36D76" w:rsidP="00B2141E">
            <w:pPr>
              <w:tabs>
                <w:tab w:val="left" w:pos="1134"/>
              </w:tabs>
              <w:spacing w:after="0"/>
              <w:jc w:val="center"/>
              <w:rPr>
                <w:b/>
                <w:szCs w:val="20"/>
              </w:rPr>
            </w:pPr>
            <w:r w:rsidRPr="009E064B">
              <w:rPr>
                <w:b/>
                <w:szCs w:val="20"/>
              </w:rPr>
              <w:t>RVR</w:t>
            </w:r>
          </w:p>
        </w:tc>
        <w:tc>
          <w:tcPr>
            <w:tcW w:w="2267" w:type="dxa"/>
            <w:tcMar>
              <w:top w:w="57" w:type="dxa"/>
              <w:bottom w:w="57" w:type="dxa"/>
            </w:tcMar>
            <w:vAlign w:val="center"/>
          </w:tcPr>
          <w:p w14:paraId="75F5031C" w14:textId="77777777" w:rsidR="00C36D76" w:rsidRPr="009E064B" w:rsidRDefault="00C36D76" w:rsidP="00B2141E">
            <w:pPr>
              <w:tabs>
                <w:tab w:val="left" w:pos="1134"/>
              </w:tabs>
              <w:spacing w:after="0"/>
              <w:jc w:val="center"/>
              <w:rPr>
                <w:b/>
                <w:szCs w:val="20"/>
              </w:rPr>
            </w:pPr>
            <w:r w:rsidRPr="009E064B">
              <w:rPr>
                <w:b/>
                <w:szCs w:val="20"/>
              </w:rPr>
              <w:t>Promień łuku drogi kołowania</w:t>
            </w:r>
          </w:p>
        </w:tc>
        <w:tc>
          <w:tcPr>
            <w:tcW w:w="4503" w:type="dxa"/>
            <w:tcMar>
              <w:top w:w="57" w:type="dxa"/>
              <w:bottom w:w="57" w:type="dxa"/>
            </w:tcMar>
            <w:vAlign w:val="center"/>
          </w:tcPr>
          <w:p w14:paraId="538530CC" w14:textId="77777777" w:rsidR="00C36D76" w:rsidRPr="009E064B" w:rsidRDefault="00C36D76" w:rsidP="00B2141E">
            <w:pPr>
              <w:tabs>
                <w:tab w:val="left" w:pos="1134"/>
              </w:tabs>
              <w:spacing w:after="0"/>
              <w:jc w:val="center"/>
              <w:rPr>
                <w:b/>
                <w:szCs w:val="20"/>
              </w:rPr>
            </w:pPr>
            <w:r w:rsidRPr="009E064B">
              <w:rPr>
                <w:b/>
                <w:szCs w:val="20"/>
              </w:rPr>
              <w:t>Odstępy między światłami linii środkowej drogi kołowania na łuku drogi kołowania</w:t>
            </w:r>
          </w:p>
        </w:tc>
      </w:tr>
      <w:tr w:rsidR="00C36D76" w:rsidRPr="009E064B" w14:paraId="147E80F0" w14:textId="77777777" w:rsidTr="003154DC">
        <w:trPr>
          <w:jc w:val="right"/>
        </w:trPr>
        <w:tc>
          <w:tcPr>
            <w:tcW w:w="1242" w:type="dxa"/>
            <w:vMerge w:val="restart"/>
            <w:tcMar>
              <w:top w:w="85" w:type="dxa"/>
              <w:bottom w:w="85" w:type="dxa"/>
            </w:tcMar>
            <w:vAlign w:val="center"/>
          </w:tcPr>
          <w:p w14:paraId="25123CFC" w14:textId="77777777" w:rsidR="00C36D76" w:rsidRPr="009E064B" w:rsidRDefault="00C36D76" w:rsidP="00B2141E">
            <w:pPr>
              <w:tabs>
                <w:tab w:val="left" w:pos="1134"/>
              </w:tabs>
              <w:spacing w:after="0"/>
              <w:jc w:val="center"/>
              <w:rPr>
                <w:szCs w:val="20"/>
              </w:rPr>
            </w:pPr>
            <w:r w:rsidRPr="009E064B">
              <w:rPr>
                <w:szCs w:val="20"/>
              </w:rPr>
              <w:t>&lt; 350 m</w:t>
            </w:r>
          </w:p>
        </w:tc>
        <w:tc>
          <w:tcPr>
            <w:tcW w:w="2267" w:type="dxa"/>
            <w:tcMar>
              <w:top w:w="85" w:type="dxa"/>
              <w:bottom w:w="85" w:type="dxa"/>
            </w:tcMar>
            <w:vAlign w:val="center"/>
          </w:tcPr>
          <w:p w14:paraId="47BA51DC" w14:textId="77777777" w:rsidR="00C36D76" w:rsidRPr="009E064B" w:rsidRDefault="00C36D76" w:rsidP="003154DC">
            <w:pPr>
              <w:tabs>
                <w:tab w:val="left" w:pos="1134"/>
              </w:tabs>
              <w:spacing w:after="0"/>
              <w:ind w:left="113"/>
              <w:jc w:val="left"/>
              <w:rPr>
                <w:szCs w:val="20"/>
              </w:rPr>
            </w:pPr>
            <w:r w:rsidRPr="009E064B">
              <w:rPr>
                <w:szCs w:val="20"/>
              </w:rPr>
              <w:t>&lt; 400 m</w:t>
            </w:r>
          </w:p>
        </w:tc>
        <w:tc>
          <w:tcPr>
            <w:tcW w:w="4503" w:type="dxa"/>
            <w:tcMar>
              <w:top w:w="85" w:type="dxa"/>
              <w:bottom w:w="85" w:type="dxa"/>
            </w:tcMar>
            <w:vAlign w:val="center"/>
          </w:tcPr>
          <w:p w14:paraId="51E3353F" w14:textId="7D2E6F45" w:rsidR="00C36D76" w:rsidRPr="009E064B" w:rsidRDefault="00C36D76" w:rsidP="003154DC">
            <w:pPr>
              <w:tabs>
                <w:tab w:val="left" w:pos="1134"/>
              </w:tabs>
              <w:spacing w:after="0"/>
              <w:ind w:left="113"/>
              <w:jc w:val="left"/>
              <w:rPr>
                <w:szCs w:val="20"/>
              </w:rPr>
            </w:pPr>
            <w:r w:rsidRPr="009E064B">
              <w:rPr>
                <w:szCs w:val="20"/>
              </w:rPr>
              <w:t>Nie więcej niż 7.5 m. Ta odległość powinna się</w:t>
            </w:r>
            <w:r w:rsidR="003154DC" w:rsidRPr="009E064B">
              <w:rPr>
                <w:szCs w:val="20"/>
              </w:rPr>
              <w:t> </w:t>
            </w:r>
            <w:r w:rsidRPr="009E064B">
              <w:rPr>
                <w:szCs w:val="20"/>
              </w:rPr>
              <w:t>rozciągać do 60 m przed i za łukiem.</w:t>
            </w:r>
          </w:p>
        </w:tc>
      </w:tr>
      <w:tr w:rsidR="00C36D76" w:rsidRPr="009E064B" w14:paraId="4FA3126A" w14:textId="77777777" w:rsidTr="003154DC">
        <w:trPr>
          <w:jc w:val="right"/>
        </w:trPr>
        <w:tc>
          <w:tcPr>
            <w:tcW w:w="1242" w:type="dxa"/>
            <w:vMerge/>
            <w:tcMar>
              <w:top w:w="85" w:type="dxa"/>
              <w:bottom w:w="85" w:type="dxa"/>
            </w:tcMar>
            <w:vAlign w:val="center"/>
          </w:tcPr>
          <w:p w14:paraId="542542DD" w14:textId="77777777" w:rsidR="00C36D76" w:rsidRPr="009E064B" w:rsidRDefault="00C36D76" w:rsidP="00B2141E">
            <w:pPr>
              <w:tabs>
                <w:tab w:val="left" w:pos="1134"/>
              </w:tabs>
              <w:spacing w:after="0"/>
              <w:jc w:val="center"/>
              <w:rPr>
                <w:szCs w:val="20"/>
              </w:rPr>
            </w:pPr>
          </w:p>
        </w:tc>
        <w:tc>
          <w:tcPr>
            <w:tcW w:w="2267" w:type="dxa"/>
            <w:tcMar>
              <w:top w:w="85" w:type="dxa"/>
              <w:bottom w:w="85" w:type="dxa"/>
            </w:tcMar>
            <w:vAlign w:val="center"/>
          </w:tcPr>
          <w:p w14:paraId="348303A9" w14:textId="77777777" w:rsidR="00C36D76" w:rsidRPr="009E064B" w:rsidRDefault="00C36D76" w:rsidP="003154DC">
            <w:pPr>
              <w:tabs>
                <w:tab w:val="left" w:pos="1134"/>
              </w:tabs>
              <w:spacing w:after="0"/>
              <w:ind w:left="113"/>
              <w:jc w:val="left"/>
              <w:rPr>
                <w:szCs w:val="20"/>
              </w:rPr>
            </w:pPr>
            <w:r w:rsidRPr="009E064B">
              <w:rPr>
                <w:szCs w:val="20"/>
                <w:u w:val="single"/>
              </w:rPr>
              <w:t>&gt;</w:t>
            </w:r>
            <w:r w:rsidRPr="009E064B">
              <w:rPr>
                <w:szCs w:val="20"/>
              </w:rPr>
              <w:t xml:space="preserve"> 400 m</w:t>
            </w:r>
          </w:p>
        </w:tc>
        <w:tc>
          <w:tcPr>
            <w:tcW w:w="4503" w:type="dxa"/>
            <w:tcMar>
              <w:top w:w="85" w:type="dxa"/>
              <w:bottom w:w="85" w:type="dxa"/>
            </w:tcMar>
            <w:vAlign w:val="center"/>
          </w:tcPr>
          <w:p w14:paraId="21302909" w14:textId="77777777" w:rsidR="00C36D76" w:rsidRPr="009E064B" w:rsidRDefault="00C36D76" w:rsidP="003154DC">
            <w:pPr>
              <w:tabs>
                <w:tab w:val="left" w:pos="1134"/>
              </w:tabs>
              <w:spacing w:after="0"/>
              <w:ind w:left="113"/>
              <w:jc w:val="left"/>
              <w:rPr>
                <w:szCs w:val="20"/>
              </w:rPr>
            </w:pPr>
            <w:r w:rsidRPr="009E064B">
              <w:rPr>
                <w:szCs w:val="20"/>
              </w:rPr>
              <w:t>Nie więcej niż 15 m</w:t>
            </w:r>
          </w:p>
        </w:tc>
      </w:tr>
      <w:tr w:rsidR="00C36D76" w:rsidRPr="009E064B" w14:paraId="7CEE5183" w14:textId="77777777" w:rsidTr="003154DC">
        <w:trPr>
          <w:jc w:val="right"/>
        </w:trPr>
        <w:tc>
          <w:tcPr>
            <w:tcW w:w="1242" w:type="dxa"/>
            <w:vMerge w:val="restart"/>
            <w:tcMar>
              <w:top w:w="85" w:type="dxa"/>
              <w:bottom w:w="85" w:type="dxa"/>
            </w:tcMar>
            <w:vAlign w:val="center"/>
          </w:tcPr>
          <w:p w14:paraId="3E0645AC" w14:textId="77777777" w:rsidR="00C36D76" w:rsidRPr="009E064B" w:rsidRDefault="00C36D76" w:rsidP="00B2141E">
            <w:pPr>
              <w:tabs>
                <w:tab w:val="left" w:pos="1134"/>
              </w:tabs>
              <w:spacing w:after="0"/>
              <w:jc w:val="center"/>
              <w:rPr>
                <w:szCs w:val="20"/>
              </w:rPr>
            </w:pPr>
            <w:r w:rsidRPr="009E064B">
              <w:rPr>
                <w:szCs w:val="20"/>
                <w:u w:val="single"/>
              </w:rPr>
              <w:t>&gt;</w:t>
            </w:r>
            <w:r w:rsidRPr="009E064B">
              <w:rPr>
                <w:szCs w:val="20"/>
              </w:rPr>
              <w:t xml:space="preserve"> 350 m</w:t>
            </w:r>
          </w:p>
        </w:tc>
        <w:tc>
          <w:tcPr>
            <w:tcW w:w="2267" w:type="dxa"/>
            <w:tcMar>
              <w:top w:w="85" w:type="dxa"/>
              <w:bottom w:w="85" w:type="dxa"/>
            </w:tcMar>
            <w:vAlign w:val="center"/>
          </w:tcPr>
          <w:p w14:paraId="11ABB72C" w14:textId="77777777" w:rsidR="00C36D76" w:rsidRPr="009E064B" w:rsidRDefault="00C36D76" w:rsidP="003154DC">
            <w:pPr>
              <w:tabs>
                <w:tab w:val="left" w:pos="1134"/>
              </w:tabs>
              <w:spacing w:after="0"/>
              <w:ind w:left="113"/>
              <w:jc w:val="left"/>
              <w:rPr>
                <w:szCs w:val="20"/>
              </w:rPr>
            </w:pPr>
            <w:r w:rsidRPr="009E064B">
              <w:rPr>
                <w:szCs w:val="20"/>
              </w:rPr>
              <w:t>&lt; 400 m</w:t>
            </w:r>
          </w:p>
        </w:tc>
        <w:tc>
          <w:tcPr>
            <w:tcW w:w="4503" w:type="dxa"/>
            <w:tcMar>
              <w:top w:w="85" w:type="dxa"/>
              <w:bottom w:w="85" w:type="dxa"/>
            </w:tcMar>
          </w:tcPr>
          <w:p w14:paraId="039EC4BE" w14:textId="236726BA" w:rsidR="00C36D76" w:rsidRPr="009E064B" w:rsidRDefault="0085202B" w:rsidP="003154DC">
            <w:pPr>
              <w:tabs>
                <w:tab w:val="left" w:pos="1134"/>
              </w:tabs>
              <w:spacing w:after="0"/>
              <w:ind w:left="113"/>
              <w:jc w:val="left"/>
              <w:rPr>
                <w:szCs w:val="20"/>
              </w:rPr>
            </w:pPr>
            <w:r w:rsidRPr="009E064B">
              <w:rPr>
                <w:szCs w:val="20"/>
              </w:rPr>
              <w:t>Nie więcej niż 7.</w:t>
            </w:r>
            <w:r w:rsidR="00C36D76" w:rsidRPr="009E064B">
              <w:rPr>
                <w:szCs w:val="20"/>
              </w:rPr>
              <w:t>5 m</w:t>
            </w:r>
          </w:p>
        </w:tc>
      </w:tr>
      <w:tr w:rsidR="00C36D76" w:rsidRPr="009E064B" w14:paraId="06A9292F" w14:textId="77777777" w:rsidTr="003154DC">
        <w:trPr>
          <w:jc w:val="right"/>
        </w:trPr>
        <w:tc>
          <w:tcPr>
            <w:tcW w:w="1242" w:type="dxa"/>
            <w:vMerge/>
            <w:tcMar>
              <w:top w:w="85" w:type="dxa"/>
              <w:bottom w:w="85" w:type="dxa"/>
            </w:tcMar>
            <w:vAlign w:val="center"/>
          </w:tcPr>
          <w:p w14:paraId="5DB9FA09" w14:textId="77777777" w:rsidR="00C36D76" w:rsidRPr="009E064B" w:rsidRDefault="00C36D76" w:rsidP="00B2141E">
            <w:pPr>
              <w:tabs>
                <w:tab w:val="left" w:pos="1134"/>
              </w:tabs>
              <w:spacing w:after="0"/>
              <w:jc w:val="center"/>
              <w:rPr>
                <w:szCs w:val="20"/>
                <w:u w:val="single"/>
              </w:rPr>
            </w:pPr>
          </w:p>
        </w:tc>
        <w:tc>
          <w:tcPr>
            <w:tcW w:w="2267" w:type="dxa"/>
            <w:tcMar>
              <w:top w:w="85" w:type="dxa"/>
              <w:bottom w:w="85" w:type="dxa"/>
            </w:tcMar>
            <w:vAlign w:val="center"/>
          </w:tcPr>
          <w:p w14:paraId="42BA1764" w14:textId="1649083E" w:rsidR="00C36D76" w:rsidRPr="009E064B" w:rsidRDefault="003154DC" w:rsidP="003154DC">
            <w:pPr>
              <w:tabs>
                <w:tab w:val="left" w:pos="1134"/>
              </w:tabs>
              <w:spacing w:after="0"/>
              <w:ind w:left="113"/>
              <w:jc w:val="left"/>
              <w:rPr>
                <w:szCs w:val="20"/>
              </w:rPr>
            </w:pPr>
            <w:r w:rsidRPr="009E064B">
              <w:rPr>
                <w:szCs w:val="20"/>
              </w:rPr>
              <w:t>od 401 m d</w:t>
            </w:r>
            <w:r w:rsidR="00C36D76" w:rsidRPr="009E064B">
              <w:rPr>
                <w:szCs w:val="20"/>
              </w:rPr>
              <w:t>o 899 m</w:t>
            </w:r>
          </w:p>
        </w:tc>
        <w:tc>
          <w:tcPr>
            <w:tcW w:w="4503" w:type="dxa"/>
            <w:tcMar>
              <w:top w:w="85" w:type="dxa"/>
              <w:bottom w:w="85" w:type="dxa"/>
            </w:tcMar>
          </w:tcPr>
          <w:p w14:paraId="78203549" w14:textId="77777777" w:rsidR="00C36D76" w:rsidRPr="009E064B" w:rsidRDefault="00C36D76" w:rsidP="003154DC">
            <w:pPr>
              <w:tabs>
                <w:tab w:val="left" w:pos="1134"/>
              </w:tabs>
              <w:spacing w:after="0"/>
              <w:ind w:left="113"/>
              <w:jc w:val="left"/>
              <w:rPr>
                <w:szCs w:val="20"/>
              </w:rPr>
            </w:pPr>
            <w:r w:rsidRPr="009E064B">
              <w:rPr>
                <w:szCs w:val="20"/>
              </w:rPr>
              <w:t>Nie więcej niż 15 m</w:t>
            </w:r>
          </w:p>
        </w:tc>
      </w:tr>
      <w:tr w:rsidR="00C36D76" w:rsidRPr="009E064B" w14:paraId="1EC3BDDF" w14:textId="77777777" w:rsidTr="003154DC">
        <w:trPr>
          <w:jc w:val="right"/>
        </w:trPr>
        <w:tc>
          <w:tcPr>
            <w:tcW w:w="1242" w:type="dxa"/>
            <w:vMerge/>
            <w:tcMar>
              <w:top w:w="85" w:type="dxa"/>
              <w:bottom w:w="85" w:type="dxa"/>
            </w:tcMar>
            <w:vAlign w:val="center"/>
          </w:tcPr>
          <w:p w14:paraId="229DA6B3" w14:textId="77777777" w:rsidR="00C36D76" w:rsidRPr="009E064B" w:rsidRDefault="00C36D76" w:rsidP="00B2141E">
            <w:pPr>
              <w:tabs>
                <w:tab w:val="left" w:pos="1134"/>
              </w:tabs>
              <w:spacing w:after="0"/>
              <w:jc w:val="center"/>
              <w:rPr>
                <w:szCs w:val="20"/>
              </w:rPr>
            </w:pPr>
          </w:p>
        </w:tc>
        <w:tc>
          <w:tcPr>
            <w:tcW w:w="2267" w:type="dxa"/>
            <w:tcMar>
              <w:top w:w="85" w:type="dxa"/>
              <w:bottom w:w="85" w:type="dxa"/>
            </w:tcMar>
            <w:vAlign w:val="center"/>
          </w:tcPr>
          <w:p w14:paraId="1510E477" w14:textId="77777777" w:rsidR="00C36D76" w:rsidRPr="009E064B" w:rsidRDefault="00C36D76" w:rsidP="003154DC">
            <w:pPr>
              <w:tabs>
                <w:tab w:val="left" w:pos="1134"/>
              </w:tabs>
              <w:spacing w:after="0"/>
              <w:ind w:left="113"/>
              <w:jc w:val="left"/>
              <w:rPr>
                <w:szCs w:val="20"/>
              </w:rPr>
            </w:pPr>
            <w:r w:rsidRPr="009E064B">
              <w:rPr>
                <w:szCs w:val="20"/>
              </w:rPr>
              <w:t>&gt; 900 m</w:t>
            </w:r>
          </w:p>
        </w:tc>
        <w:tc>
          <w:tcPr>
            <w:tcW w:w="4503" w:type="dxa"/>
            <w:tcMar>
              <w:top w:w="85" w:type="dxa"/>
              <w:bottom w:w="85" w:type="dxa"/>
            </w:tcMar>
          </w:tcPr>
          <w:p w14:paraId="44196EFD" w14:textId="560602BA" w:rsidR="00C36D76" w:rsidRPr="009E064B" w:rsidRDefault="00E30571" w:rsidP="003154DC">
            <w:pPr>
              <w:tabs>
                <w:tab w:val="left" w:pos="1134"/>
              </w:tabs>
              <w:spacing w:after="0"/>
              <w:ind w:left="113"/>
              <w:jc w:val="left"/>
              <w:rPr>
                <w:szCs w:val="20"/>
              </w:rPr>
            </w:pPr>
            <w:r w:rsidRPr="009E064B">
              <w:rPr>
                <w:szCs w:val="20"/>
              </w:rPr>
              <w:t>Nie więcej niż 30</w:t>
            </w:r>
            <w:r w:rsidR="00C36D76" w:rsidRPr="009E064B">
              <w:rPr>
                <w:szCs w:val="20"/>
              </w:rPr>
              <w:t xml:space="preserve"> m</w:t>
            </w:r>
          </w:p>
        </w:tc>
      </w:tr>
    </w:tbl>
    <w:p w14:paraId="5657E54F" w14:textId="3771B316" w:rsidR="00C36D76" w:rsidRPr="007D1946" w:rsidRDefault="00C36D76" w:rsidP="00B06A9A">
      <w:pPr>
        <w:tabs>
          <w:tab w:val="left" w:pos="1134"/>
        </w:tabs>
        <w:spacing w:before="240" w:after="0"/>
        <w:ind w:left="1134" w:hanging="567"/>
        <w:jc w:val="center"/>
        <w:rPr>
          <w:b/>
          <w:szCs w:val="20"/>
        </w:rPr>
      </w:pPr>
      <w:r w:rsidRPr="007D1946">
        <w:rPr>
          <w:b/>
          <w:sz w:val="20"/>
          <w:szCs w:val="20"/>
        </w:rPr>
        <w:t>Tabela M-3.    Odstępy między światłami linii środkowej drogi kołowania</w:t>
      </w:r>
      <w:r w:rsidR="003154DC" w:rsidRPr="007D1946">
        <w:rPr>
          <w:b/>
          <w:sz w:val="20"/>
          <w:szCs w:val="20"/>
        </w:rPr>
        <w:br/>
        <w:t xml:space="preserve">na łuku </w:t>
      </w:r>
      <w:r w:rsidRPr="007D1946">
        <w:rPr>
          <w:b/>
          <w:sz w:val="20"/>
          <w:szCs w:val="20"/>
        </w:rPr>
        <w:t>drogi kołowania</w:t>
      </w:r>
    </w:p>
    <w:p w14:paraId="0CC32733" w14:textId="77777777" w:rsidR="0085202B" w:rsidRPr="009E064B" w:rsidRDefault="0085202B" w:rsidP="00376F37">
      <w:pPr>
        <w:tabs>
          <w:tab w:val="left" w:pos="1134"/>
        </w:tabs>
        <w:ind w:left="1134" w:hanging="567"/>
        <w:jc w:val="center"/>
        <w:rPr>
          <w:szCs w:val="20"/>
        </w:rPr>
      </w:pPr>
    </w:p>
    <w:p w14:paraId="0504E49D"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Światła linii środkowej drogi kołowania na drodze kołowania szybkiego zjazdu:</w:t>
      </w:r>
    </w:p>
    <w:p w14:paraId="27C31781" w14:textId="7A848D25"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Światła linii środkowej na drodze kołowania szybkiego zjazdu powinny zaczynać się w punkcie położonym w odległości, co najmniej 60 m przed początkiem łuku oraz powinny być instalowane poza aż do miejsca na linii środkowej poza końcem łuku, w którym samolot osiąga swoją normalną prędkość kołowania, jak przedstawiono na Rysunku </w:t>
      </w:r>
      <w:r w:rsidR="009631C6" w:rsidRPr="009E064B">
        <w:rPr>
          <w:szCs w:val="20"/>
        </w:rPr>
        <w:br/>
      </w:r>
      <w:r w:rsidRPr="009E064B">
        <w:rPr>
          <w:szCs w:val="20"/>
        </w:rPr>
        <w:t>M-10. Światła części równoległej do linii środkowej drogi startowej powinny być umieszczone w odległości, co najmniej 60 cm od linii świateł linii środkowej drogi startowej, jak przedstawiono na Rysunku M-9.</w:t>
      </w:r>
    </w:p>
    <w:p w14:paraId="026979BF" w14:textId="7D24F068"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powinny być rozmieszczone w podłużnych</w:t>
      </w:r>
      <w:r w:rsidR="009631C6" w:rsidRPr="009E064B">
        <w:rPr>
          <w:szCs w:val="20"/>
        </w:rPr>
        <w:t xml:space="preserve"> odstępach nie większych niż 15 </w:t>
      </w:r>
      <w:r w:rsidRPr="009E064B">
        <w:rPr>
          <w:szCs w:val="20"/>
        </w:rPr>
        <w:t>m, z wyjątkiem przypadku, gdy brak jest świateł linii środkowej drogi startowej, możliwe jest zwiększenie odstępu do nie więcej niż 30 m.</w:t>
      </w:r>
    </w:p>
    <w:p w14:paraId="23704B9C"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Światła linii środkowej drogi kołowania na innych drogach zjazdu:</w:t>
      </w:r>
    </w:p>
    <w:p w14:paraId="2611747F" w14:textId="4C15DB8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linii środkowej drogi kołowania na drodze kołowania szybkiego zjazdu, innych niż drogi kołowania szybkiego zjazdu, powinny zaczynać się w miejscu, gdzie oznakowanie poziome linii środkowej drogi kołowania wchodzi w łuk od linii środkowej drogi startowej oraz przebiegać po łuku oznakowania linii środkowej drogi kołowania do punktu położonego, co najmniej w miejscu, gdzie oznakowanie linii środkowej drogi kołowania wychodzi poza drogę startową. Pierwsze światło powinno być zlokalizowane, co najmniej 60 cm od rzędu świateł linii środkowej drogi startowej, jak przedstawiono na Rysunku</w:t>
      </w:r>
      <w:r w:rsidR="0042466F" w:rsidRPr="009E064B">
        <w:rPr>
          <w:szCs w:val="20"/>
        </w:rPr>
        <w:t xml:space="preserve"> </w:t>
      </w:r>
      <w:r w:rsidR="0042466F" w:rsidRPr="009E064B">
        <w:rPr>
          <w:szCs w:val="20"/>
        </w:rPr>
        <w:br/>
      </w:r>
      <w:r w:rsidRPr="009E064B">
        <w:rPr>
          <w:szCs w:val="20"/>
        </w:rPr>
        <w:t>M-9.</w:t>
      </w:r>
    </w:p>
    <w:p w14:paraId="06AEE7EF"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powinny być rozmieszczone w podłużnych odstępach nie większych niż 7.5 m.</w:t>
      </w:r>
    </w:p>
    <w:p w14:paraId="369BBC01" w14:textId="77777777" w:rsidR="00A133BD" w:rsidRPr="009E064B" w:rsidRDefault="00A133BD" w:rsidP="00A133BD">
      <w:pPr>
        <w:tabs>
          <w:tab w:val="left" w:pos="567"/>
        </w:tabs>
        <w:ind w:left="567" w:hanging="567"/>
        <w:rPr>
          <w:rFonts w:cs="TimesNewRomanPSMT"/>
          <w:szCs w:val="20"/>
        </w:rPr>
      </w:pPr>
      <w:r w:rsidRPr="009E064B">
        <w:rPr>
          <w:rFonts w:cs="TimesNewRomanPSMT"/>
          <w:szCs w:val="20"/>
        </w:rPr>
        <w:t xml:space="preserve">(e) </w:t>
      </w:r>
      <w:r w:rsidRPr="009E064B">
        <w:rPr>
          <w:rFonts w:cs="TimesNewRomanPSMT"/>
          <w:szCs w:val="20"/>
        </w:rPr>
        <w:tab/>
      </w:r>
      <w:r w:rsidRPr="009E064B">
        <w:rPr>
          <w:szCs w:val="20"/>
        </w:rPr>
        <w:t>Światła</w:t>
      </w:r>
      <w:r w:rsidRPr="009E064B">
        <w:rPr>
          <w:rFonts w:cs="TimesNewRomanPSMT"/>
          <w:szCs w:val="20"/>
        </w:rPr>
        <w:t xml:space="preserve"> linii środkowej drogi kołowania na drogach startowych: Światła linii środkowej drogi kołowania na drodze startowej, będącej częścią standardowej trasy kołowania i przeznaczonej do kołowania w zakresie widzialności wzdłuż drogi startowej mniejszym niż 350 m, powinny być umieszczone w odstępach nieprzekraczających 15 m.</w:t>
      </w:r>
    </w:p>
    <w:p w14:paraId="0F884490" w14:textId="77777777" w:rsidR="00A133BD" w:rsidRPr="009E064B" w:rsidRDefault="00A133BD" w:rsidP="00A133BD">
      <w:pPr>
        <w:tabs>
          <w:tab w:val="left" w:pos="567"/>
        </w:tabs>
        <w:ind w:left="567" w:hanging="567"/>
        <w:rPr>
          <w:rFonts w:cs="TimesNewRomanPSMT"/>
          <w:szCs w:val="20"/>
        </w:rPr>
      </w:pPr>
      <w:r w:rsidRPr="009E064B">
        <w:rPr>
          <w:rFonts w:cs="TimesNewRomanPSMT"/>
          <w:szCs w:val="20"/>
        </w:rPr>
        <w:t xml:space="preserve">(f) </w:t>
      </w:r>
      <w:r w:rsidRPr="009E064B">
        <w:rPr>
          <w:rFonts w:cs="TimesNewRomanPSMT"/>
          <w:szCs w:val="20"/>
        </w:rPr>
        <w:tab/>
      </w:r>
      <w:r w:rsidRPr="009E064B">
        <w:rPr>
          <w:szCs w:val="20"/>
        </w:rPr>
        <w:t>Lokalizacja</w:t>
      </w:r>
      <w:r w:rsidRPr="009E064B">
        <w:rPr>
          <w:rFonts w:cs="TimesNewRomanPSMT"/>
          <w:szCs w:val="20"/>
        </w:rPr>
        <w:t xml:space="preserve"> świateł linii środkowej drogi kołowania na drodze kołowania:</w:t>
      </w:r>
    </w:p>
    <w:p w14:paraId="79BB05C0" w14:textId="01F6CE17" w:rsidR="00A133BD" w:rsidRPr="009E064B" w:rsidRDefault="00A133BD" w:rsidP="00A133BD">
      <w:pPr>
        <w:tabs>
          <w:tab w:val="left" w:pos="567"/>
        </w:tabs>
        <w:ind w:left="567"/>
        <w:rPr>
          <w:rFonts w:cs="TimesNewRomanPSMT"/>
          <w:szCs w:val="20"/>
        </w:rPr>
      </w:pPr>
      <w:r w:rsidRPr="009E064B">
        <w:rPr>
          <w:szCs w:val="20"/>
        </w:rPr>
        <w:t>Odstępy</w:t>
      </w:r>
      <w:r w:rsidRPr="009E064B">
        <w:rPr>
          <w:rFonts w:cs="TimesNewRomanPSMT"/>
          <w:szCs w:val="20"/>
        </w:rPr>
        <w:t xml:space="preserve"> na określonym odcinku świateł linii środkowej drogi kołowania (prostym lub na łuku) powinny być takie, aby zapewniały jednoznaczne wskazanie lin</w:t>
      </w:r>
      <w:r w:rsidR="0042466F" w:rsidRPr="009E064B">
        <w:rPr>
          <w:rFonts w:cs="TimesNewRomanPSMT"/>
          <w:szCs w:val="20"/>
        </w:rPr>
        <w:t>ii środkowej drogi kołowania, w </w:t>
      </w:r>
      <w:r w:rsidRPr="009E064B">
        <w:rPr>
          <w:rFonts w:cs="TimesNewRomanPSMT"/>
          <w:szCs w:val="20"/>
        </w:rPr>
        <w:t>szczególności na łuku.</w:t>
      </w:r>
    </w:p>
    <w:p w14:paraId="16D894DB" w14:textId="57F50ACE" w:rsidR="00A133BD" w:rsidRPr="009E064B" w:rsidRDefault="00A133BD" w:rsidP="00BA0D33">
      <w:pPr>
        <w:tabs>
          <w:tab w:val="left" w:pos="567"/>
        </w:tabs>
        <w:spacing w:after="0"/>
        <w:ind w:left="567" w:hanging="567"/>
        <w:rPr>
          <w:rFonts w:cs="TimesNewRomanPSMT"/>
          <w:szCs w:val="20"/>
        </w:rPr>
      </w:pPr>
      <w:r w:rsidRPr="009E064B">
        <w:rPr>
          <w:rFonts w:cs="TimesNewRomanPSMT"/>
          <w:szCs w:val="20"/>
        </w:rPr>
        <w:t xml:space="preserve">(g) </w:t>
      </w:r>
      <w:r w:rsidRPr="009E064B">
        <w:rPr>
          <w:rFonts w:cs="TimesNewRomanPSMT"/>
          <w:szCs w:val="20"/>
        </w:rPr>
        <w:tab/>
      </w:r>
      <w:r w:rsidRPr="009E064B">
        <w:rPr>
          <w:szCs w:val="20"/>
        </w:rPr>
        <w:t>Światła</w:t>
      </w:r>
      <w:r w:rsidRPr="009E064B">
        <w:rPr>
          <w:rFonts w:cs="TimesNewRomanPSMT"/>
          <w:szCs w:val="20"/>
        </w:rPr>
        <w:t xml:space="preserve"> linii środkowej drogi kołowania na odcinkach prostych drogi kołowania: Większe przerwy nieprzekraczające 60 m mogą być stosowane jeżeli, z uwagi na dominujące warunki meteorologiczne, odstępy takie zapewniają odpowiednie prowadzenie.</w:t>
      </w:r>
    </w:p>
    <w:p w14:paraId="6EAC6683" w14:textId="77777777" w:rsidR="00A133BD" w:rsidRPr="009E064B" w:rsidRDefault="00A133BD" w:rsidP="00BA0D33">
      <w:pPr>
        <w:tabs>
          <w:tab w:val="left" w:pos="567"/>
        </w:tabs>
        <w:spacing w:after="0"/>
        <w:ind w:left="567" w:hanging="567"/>
        <w:rPr>
          <w:rFonts w:cs="TimesNewRomanPSMT"/>
          <w:szCs w:val="20"/>
        </w:rPr>
      </w:pPr>
    </w:p>
    <w:p w14:paraId="67E3F201" w14:textId="312921BF" w:rsidR="00C36D76" w:rsidRPr="009E064B" w:rsidRDefault="00951BB6" w:rsidP="00BA0D33">
      <w:pPr>
        <w:spacing w:after="0"/>
        <w:jc w:val="center"/>
        <w:rPr>
          <w:szCs w:val="20"/>
        </w:rPr>
      </w:pPr>
      <w:r w:rsidRPr="009E064B">
        <w:rPr>
          <w:noProof/>
          <w:lang w:eastAsia="pl-PL"/>
        </w:rPr>
        <w:drawing>
          <wp:inline distT="0" distB="0" distL="0" distR="0" wp14:anchorId="0EAF3D82" wp14:editId="5C354C10">
            <wp:extent cx="5470990" cy="3697356"/>
            <wp:effectExtent l="0" t="0" r="0" b="0"/>
            <wp:docPr id="6549" name="Obraz 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499365" cy="3716532"/>
                    </a:xfrm>
                    <a:prstGeom prst="rect">
                      <a:avLst/>
                    </a:prstGeom>
                    <a:noFill/>
                    <a:ln>
                      <a:noFill/>
                    </a:ln>
                  </pic:spPr>
                </pic:pic>
              </a:graphicData>
            </a:graphic>
          </wp:inline>
        </w:drawing>
      </w:r>
    </w:p>
    <w:p w14:paraId="4AEE6AD5" w14:textId="6A04BBAD" w:rsidR="00C36D76" w:rsidRPr="00BA0D33" w:rsidRDefault="00C36D76" w:rsidP="00BA0D33">
      <w:pPr>
        <w:tabs>
          <w:tab w:val="left" w:pos="1418"/>
        </w:tabs>
        <w:spacing w:before="120" w:after="0"/>
        <w:ind w:left="1418" w:hanging="1418"/>
        <w:jc w:val="center"/>
        <w:rPr>
          <w:b/>
          <w:sz w:val="20"/>
        </w:rPr>
      </w:pPr>
      <w:r w:rsidRPr="00BA0D33">
        <w:rPr>
          <w:b/>
          <w:sz w:val="20"/>
        </w:rPr>
        <w:t xml:space="preserve">Rysunek M-9.  Światła przesuniętej linii środkowej drogi startowej i przesuniętej linii środkowej </w:t>
      </w:r>
      <w:r w:rsidR="00BA0D33">
        <w:rPr>
          <w:b/>
          <w:sz w:val="20"/>
        </w:rPr>
        <w:br/>
      </w:r>
      <w:r w:rsidRPr="00BA0D33">
        <w:rPr>
          <w:b/>
          <w:sz w:val="20"/>
        </w:rPr>
        <w:t>drogi kołowania</w:t>
      </w:r>
    </w:p>
    <w:p w14:paraId="378547F8" w14:textId="462FF70C" w:rsidR="006270AE" w:rsidRPr="009E064B" w:rsidRDefault="006270AE">
      <w:pPr>
        <w:spacing w:after="0"/>
        <w:jc w:val="left"/>
        <w:rPr>
          <w:rFonts w:cs="TimesNewRomanPSMT"/>
          <w:szCs w:val="20"/>
        </w:rPr>
      </w:pPr>
    </w:p>
    <w:p w14:paraId="647F0E7D" w14:textId="14D2E38D" w:rsidR="00C36D76" w:rsidRPr="009E064B" w:rsidRDefault="006270AE" w:rsidP="00B06A9A">
      <w:pPr>
        <w:ind w:left="425" w:right="-6" w:hanging="425"/>
        <w:jc w:val="left"/>
        <w:rPr>
          <w:rFonts w:cs="TimesNewRomanPSMT"/>
          <w:szCs w:val="20"/>
        </w:rPr>
      </w:pPr>
      <w:r w:rsidRPr="009E064B">
        <w:rPr>
          <w:noProof/>
          <w:lang w:eastAsia="pl-PL"/>
        </w:rPr>
        <w:drawing>
          <wp:inline distT="0" distB="0" distL="0" distR="0" wp14:anchorId="3DA795F2" wp14:editId="475B4E2D">
            <wp:extent cx="5760085" cy="7657465"/>
            <wp:effectExtent l="0" t="0" r="0" b="0"/>
            <wp:docPr id="6550" name="Obraz 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60085" cy="7657465"/>
                    </a:xfrm>
                    <a:prstGeom prst="rect">
                      <a:avLst/>
                    </a:prstGeom>
                    <a:noFill/>
                    <a:ln>
                      <a:noFill/>
                    </a:ln>
                  </pic:spPr>
                </pic:pic>
              </a:graphicData>
            </a:graphic>
          </wp:inline>
        </w:drawing>
      </w:r>
    </w:p>
    <w:p w14:paraId="5C95F2BF" w14:textId="77777777" w:rsidR="00C36D76" w:rsidRPr="00BA0D33" w:rsidRDefault="00C36D76" w:rsidP="00B06A9A">
      <w:pPr>
        <w:spacing w:after="0"/>
        <w:ind w:right="10"/>
        <w:jc w:val="center"/>
        <w:rPr>
          <w:b/>
        </w:rPr>
      </w:pPr>
      <w:r w:rsidRPr="00BA0D33">
        <w:rPr>
          <w:b/>
          <w:sz w:val="20"/>
        </w:rPr>
        <w:t>Rysunek M-10.  Światła drogi kołowania</w:t>
      </w:r>
    </w:p>
    <w:p w14:paraId="7F8E81B8"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913651C" w14:textId="77777777" w:rsidR="00C36D76" w:rsidRPr="009E064B" w:rsidRDefault="00C36D76" w:rsidP="00B06A9A">
      <w:pPr>
        <w:ind w:left="425" w:right="-6" w:hanging="425"/>
        <w:jc w:val="left"/>
        <w:rPr>
          <w:rFonts w:cs="TimesNewRomanPSMT"/>
          <w:szCs w:val="20"/>
        </w:rPr>
      </w:pPr>
      <w:r w:rsidRPr="009E064B">
        <w:rPr>
          <w:rFonts w:cs="TimesNewRomanPSMT"/>
          <w:szCs w:val="20"/>
        </w:rPr>
        <w:br w:type="page"/>
      </w:r>
    </w:p>
    <w:p w14:paraId="46952584" w14:textId="2C4E42E4" w:rsidR="000D4914" w:rsidRPr="009E064B" w:rsidRDefault="00A133BD" w:rsidP="00133B99">
      <w:pPr>
        <w:pStyle w:val="Nagwek6"/>
      </w:pPr>
      <w:bookmarkStart w:id="1575" w:name="_Toc401059046"/>
      <w:bookmarkStart w:id="1576" w:name="_Toc482886912"/>
      <w:bookmarkStart w:id="1577" w:name="_Toc12533218"/>
      <w:bookmarkStart w:id="1578" w:name="_Toc482886689"/>
      <w:r w:rsidRPr="009E064B">
        <w:t xml:space="preserve">GM1 ADR-DSN.M.715     </w:t>
      </w:r>
      <w:r w:rsidR="006B49E7" w:rsidRPr="009E064B">
        <w:t>Światła linii środkowej drogi kołowania na drogach kołowania, drogach startowych, drogach kołowania szybkiego zjazdu lub na innych drogach kołowania przeznaczonych do zjazdu</w:t>
      </w:r>
      <w:bookmarkEnd w:id="1575"/>
      <w:bookmarkEnd w:id="1576"/>
      <w:bookmarkEnd w:id="1577"/>
    </w:p>
    <w:p w14:paraId="72CB3505" w14:textId="2D8D7C65"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2CD078D" w14:textId="2D6F6DD3" w:rsidR="000D4914" w:rsidRPr="009E064B" w:rsidRDefault="000D4914" w:rsidP="00A133BD">
      <w:pPr>
        <w:rPr>
          <w:szCs w:val="20"/>
        </w:rPr>
      </w:pPr>
      <w:r w:rsidRPr="009E064B">
        <w:rPr>
          <w:szCs w:val="20"/>
        </w:rPr>
        <w:t>Celowo pozostawiono puste.</w:t>
      </w:r>
    </w:p>
    <w:p w14:paraId="6EA79AD0" w14:textId="6E261B6C" w:rsidR="00C36D76" w:rsidRPr="009E064B" w:rsidRDefault="00B2141E" w:rsidP="00B06A9A">
      <w:pPr>
        <w:pStyle w:val="Nagwek4"/>
        <w:rPr>
          <w:color w:val="auto"/>
        </w:rPr>
      </w:pPr>
      <w:bookmarkStart w:id="1579" w:name="_CS_ADR-DSN.M.720_"/>
      <w:bookmarkStart w:id="1580" w:name="_Toc12533219"/>
      <w:bookmarkEnd w:id="1579"/>
      <w:r w:rsidRPr="009E064B">
        <w:rPr>
          <w:color w:val="auto"/>
        </w:rPr>
        <w:t xml:space="preserve">CS ADR-DSN.M.720     </w:t>
      </w:r>
      <w:r w:rsidR="00C36D76" w:rsidRPr="009E064B">
        <w:rPr>
          <w:color w:val="auto"/>
        </w:rPr>
        <w:t>Światła krawędzi drogi kołowania</w:t>
      </w:r>
      <w:bookmarkEnd w:id="1578"/>
      <w:bookmarkEnd w:id="1580"/>
    </w:p>
    <w:p w14:paraId="541C6463" w14:textId="4E8B4F90"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EEB21AA" w14:textId="7134E08C"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0D77333A"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Światła krawędzi drogi kołowania powinny być instalowane na krawędziach: płaszczyzny do zawracania na drodze startowej, zatoki oczekiwania, stanowiska </w:t>
      </w:r>
      <w:r w:rsidRPr="009E064B">
        <w:rPr>
          <w:rFonts w:cs="TimesNewRomanPS-ItalicMT"/>
          <w:iCs/>
          <w:szCs w:val="20"/>
        </w:rPr>
        <w:t>do odladzania/przeciwdziałania oblodzeniu</w:t>
      </w:r>
      <w:r w:rsidRPr="009E064B">
        <w:rPr>
          <w:szCs w:val="20"/>
        </w:rPr>
        <w:t>, płyty postojowej, itp. przeznaczonych do użytkowania w nocy oraz na drodze kołowania niewyposażonej w światła linii środkowej drogi kołowania przeznaczonej do użytkowania w nocy, z wyjątkiem przypadku, gdy nie jest konieczne instalowanie świateł krawędzi drogi kołowania tam, gdzie biorąc pod uwagę charakter operacji, wystarczające prowadzenie będzie zapewnione przy użyciu oświetlenia powierzchni lub innych środków.</w:t>
      </w:r>
    </w:p>
    <w:p w14:paraId="30F501F3" w14:textId="6E721271"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krawędzi drogi kołowania powinny być instalowane na drodze startowej stanowiącej część standardowej trasy kołowania i przeznaczonej do użytkowania w</w:t>
      </w:r>
      <w:r w:rsidR="00640DF1" w:rsidRPr="009E064B">
        <w:rPr>
          <w:szCs w:val="20"/>
        </w:rPr>
        <w:t xml:space="preserve"> </w:t>
      </w:r>
      <w:r w:rsidRPr="009E064B">
        <w:rPr>
          <w:szCs w:val="20"/>
        </w:rPr>
        <w:t>nocy, jeżeli droga startowa nie jest wyposażona w światła linii środkowej drogi kołowania.</w:t>
      </w:r>
    </w:p>
    <w:p w14:paraId="5DB9871A" w14:textId="49D904B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r w:rsidR="00376F37" w:rsidRPr="009E064B">
        <w:rPr>
          <w:szCs w:val="20"/>
        </w:rPr>
        <w:t xml:space="preserve"> </w:t>
      </w:r>
      <w:r w:rsidR="008A6F43" w:rsidRPr="009E064B">
        <w:rPr>
          <w:szCs w:val="20"/>
        </w:rPr>
        <w:t xml:space="preserve">i </w:t>
      </w:r>
      <w:r w:rsidR="00376F37" w:rsidRPr="009E064B">
        <w:rPr>
          <w:szCs w:val="20"/>
        </w:rPr>
        <w:t>ustawienie</w:t>
      </w:r>
      <w:r w:rsidRPr="009E064B">
        <w:rPr>
          <w:szCs w:val="20"/>
        </w:rPr>
        <w:t>:</w:t>
      </w:r>
    </w:p>
    <w:p w14:paraId="3180E1F6" w14:textId="4D9FDC78"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krawędzi drogi kołowania na prostym odcinku drogi kołowania oraz na drodze startowej stanowiącej część standardowej trasy kołowa</w:t>
      </w:r>
      <w:r w:rsidR="0042466F" w:rsidRPr="009E064B">
        <w:rPr>
          <w:szCs w:val="20"/>
        </w:rPr>
        <w:t>nia powinny być rozmieszczone w </w:t>
      </w:r>
      <w:r w:rsidRPr="009E064B">
        <w:rPr>
          <w:szCs w:val="20"/>
        </w:rPr>
        <w:t>równych odstępach podłużnych nie większych niż 60 m. Światła na łuku powinny być instalowane w odstępach mniejszych niż 60 m w taki sposób, aby zapewniały odpowiednie prowadzenie na łuku.</w:t>
      </w:r>
    </w:p>
    <w:p w14:paraId="38697B53" w14:textId="2C53189B"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Światła krawędzi drogi kołowania stosowane na zatoce oczekiwania, stanowisku </w:t>
      </w:r>
      <w:r w:rsidRPr="009E064B">
        <w:rPr>
          <w:rFonts w:cs="TimesNewRomanPS-ItalicMT"/>
          <w:iCs/>
          <w:szCs w:val="20"/>
        </w:rPr>
        <w:t>do odladzania</w:t>
      </w:r>
      <w:r w:rsidR="00E30571" w:rsidRPr="009E064B">
        <w:rPr>
          <w:rFonts w:cs="TimesNewRomanPS-ItalicMT"/>
          <w:iCs/>
          <w:szCs w:val="20"/>
        </w:rPr>
        <w:t> </w:t>
      </w:r>
      <w:r w:rsidRPr="009E064B">
        <w:rPr>
          <w:rFonts w:cs="TimesNewRomanPS-ItalicMT"/>
          <w:iCs/>
          <w:szCs w:val="20"/>
        </w:rPr>
        <w:t>/</w:t>
      </w:r>
      <w:r w:rsidR="00E30571" w:rsidRPr="009E064B">
        <w:rPr>
          <w:rFonts w:cs="TimesNewRomanPS-ItalicMT"/>
          <w:iCs/>
          <w:szCs w:val="20"/>
        </w:rPr>
        <w:t> </w:t>
      </w:r>
      <w:r w:rsidRPr="009E064B">
        <w:rPr>
          <w:rFonts w:cs="TimesNewRomanPS-ItalicMT"/>
          <w:iCs/>
          <w:szCs w:val="20"/>
        </w:rPr>
        <w:t>przeciwdziałania oblodzeniu</w:t>
      </w:r>
      <w:r w:rsidRPr="009E064B">
        <w:rPr>
          <w:szCs w:val="20"/>
        </w:rPr>
        <w:t>, płycie postojowej, itp. powinny być rozmieszczone w równych odstępach podłużnych nie większych niż 60 m.</w:t>
      </w:r>
    </w:p>
    <w:p w14:paraId="41ACFAA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Światła krawędzi drogi kołowania stosowane na płaszczyźnie do zawracania na drodze startowej powinny być rozmieszczone w równych odstępach podłużnych nie większych niż 30 m.</w:t>
      </w:r>
    </w:p>
    <w:p w14:paraId="2418371A" w14:textId="69B7BC4C"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Światła krawędzi drogi kołowania powinny być zlokalizowane możliwie jak najbliżej krawędzi drogi kołowania, płaszczyzny do zawracania na drodze startowej, zatoki oczekiwania, stanowiska </w:t>
      </w:r>
      <w:r w:rsidRPr="009E064B">
        <w:rPr>
          <w:rFonts w:cs="TimesNewRomanPS-ItalicMT"/>
          <w:iCs/>
          <w:szCs w:val="20"/>
        </w:rPr>
        <w:t>do odladzania</w:t>
      </w:r>
      <w:r w:rsidR="00E30571" w:rsidRPr="009E064B">
        <w:rPr>
          <w:rFonts w:cs="TimesNewRomanPS-ItalicMT"/>
          <w:iCs/>
          <w:szCs w:val="20"/>
        </w:rPr>
        <w:t> </w:t>
      </w:r>
      <w:r w:rsidRPr="009E064B">
        <w:rPr>
          <w:rFonts w:cs="TimesNewRomanPS-ItalicMT"/>
          <w:iCs/>
          <w:szCs w:val="20"/>
        </w:rPr>
        <w:t>/</w:t>
      </w:r>
      <w:r w:rsidR="00E30571" w:rsidRPr="009E064B">
        <w:rPr>
          <w:rFonts w:cs="TimesNewRomanPS-ItalicMT"/>
          <w:iCs/>
          <w:szCs w:val="20"/>
        </w:rPr>
        <w:t> </w:t>
      </w:r>
      <w:r w:rsidRPr="009E064B">
        <w:rPr>
          <w:rFonts w:cs="TimesNewRomanPS-ItalicMT"/>
          <w:iCs/>
          <w:szCs w:val="20"/>
        </w:rPr>
        <w:t>przeciwdziałania oblodzeniu</w:t>
      </w:r>
      <w:r w:rsidRPr="009E064B">
        <w:rPr>
          <w:szCs w:val="20"/>
        </w:rPr>
        <w:t>, płyty postojowej lub drogi startowej, itp. lub nie dalej jak w odległości 3 m na zewnątrz od krawędzi.</w:t>
      </w:r>
    </w:p>
    <w:p w14:paraId="5006ABE6"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2AFD6D06"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krawędzi drogi kołowania powinny być światłami stałymi koloru niebieskiego.</w:t>
      </w:r>
    </w:p>
    <w:p w14:paraId="574C4A2F" w14:textId="0B48581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powinny być widoczne pod kątem, co najmniej 75</w:t>
      </w:r>
      <w:r w:rsidRPr="009E064B">
        <w:rPr>
          <w:sz w:val="24"/>
          <w:szCs w:val="20"/>
        </w:rPr>
        <w:t>°</w:t>
      </w:r>
      <w:r w:rsidRPr="009E064B">
        <w:rPr>
          <w:szCs w:val="20"/>
        </w:rPr>
        <w:t xml:space="preserve"> ponad płaszczyzną poziomą oraz ze wszystkich kierunków, jakie są niezbędne dla prowadzenia pilota wykonującego kołowanie w obu kierunkach. Na skrzyżowaniu, zjeździe l</w:t>
      </w:r>
      <w:r w:rsidR="00E30571" w:rsidRPr="009E064B">
        <w:rPr>
          <w:szCs w:val="20"/>
        </w:rPr>
        <w:t>ub łuku, światła powinny być, w </w:t>
      </w:r>
      <w:r w:rsidRPr="009E064B">
        <w:rPr>
          <w:szCs w:val="20"/>
        </w:rPr>
        <w:t xml:space="preserve">miarę możliwości, zasłonięte (ekranowane) w taki </w:t>
      </w:r>
      <w:r w:rsidR="006B49E7" w:rsidRPr="009E064B">
        <w:rPr>
          <w:szCs w:val="20"/>
        </w:rPr>
        <w:t>sposób, aby nie były widoczne z </w:t>
      </w:r>
      <w:r w:rsidRPr="009E064B">
        <w:rPr>
          <w:szCs w:val="20"/>
        </w:rPr>
        <w:t>tych kierunków, z których mogłyby być łatwo pomylone z innymi światłami.</w:t>
      </w:r>
    </w:p>
    <w:p w14:paraId="24C6C019" w14:textId="1F951F0C"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Natężenie świateł krawędzi drogi kołowania</w:t>
      </w:r>
      <w:r w:rsidR="006B49E7" w:rsidRPr="009E064B">
        <w:rPr>
          <w:szCs w:val="20"/>
        </w:rPr>
        <w:t xml:space="preserve"> powinno wynosić, co najmniej 2 </w:t>
      </w:r>
      <w:r w:rsidRPr="009E064B">
        <w:rPr>
          <w:szCs w:val="20"/>
        </w:rPr>
        <w:t>cd w zakresie kątów pionowych od 0° do 6° i 0.2 cd dla dowolnych kątów pionowych zawartych między 6° i 75°.</w:t>
      </w:r>
    </w:p>
    <w:p w14:paraId="77C43C72" w14:textId="52234B69" w:rsidR="00C36D76" w:rsidRPr="00BA0D33" w:rsidRDefault="00C36D76" w:rsidP="00B06A9A">
      <w:pPr>
        <w:tabs>
          <w:tab w:val="left" w:pos="1134"/>
        </w:tabs>
        <w:ind w:left="1134" w:hanging="567"/>
        <w:rPr>
          <w:rFonts w:cs="TimesNewRomanPSMT"/>
          <w:szCs w:val="20"/>
        </w:rPr>
      </w:pPr>
      <w:r w:rsidRPr="009E064B">
        <w:rPr>
          <w:rFonts w:cs="TimesNewRomanPSMT"/>
          <w:szCs w:val="20"/>
        </w:rPr>
        <w:t xml:space="preserve">(4) </w:t>
      </w:r>
      <w:r w:rsidRPr="009E064B">
        <w:rPr>
          <w:rFonts w:cs="TimesNewRomanPSMT"/>
          <w:szCs w:val="20"/>
        </w:rPr>
        <w:tab/>
        <w:t xml:space="preserve">Chromatyczność świateł krawędzi drogi kołowania powinna być zgodna ze specyfikacjami określonymi w </w:t>
      </w:r>
      <w:hyperlink w:anchor="_CS_ADR-DSN.U.930_" w:history="1">
        <w:r w:rsidRPr="009E064B">
          <w:rPr>
            <w:rStyle w:val="Hipercze"/>
            <w:rFonts w:cs="TimesNewRomanPSMT"/>
            <w:szCs w:val="20"/>
          </w:rPr>
          <w:t>CS ADR-DSN.U.930</w:t>
        </w:r>
      </w:hyperlink>
      <w:r w:rsidRPr="009E064B">
        <w:rPr>
          <w:rFonts w:cs="TimesNewRomanPSMT"/>
          <w:szCs w:val="20"/>
        </w:rPr>
        <w:t xml:space="preserve"> i </w:t>
      </w:r>
      <w:r w:rsidR="004F0F33" w:rsidRPr="00BA0D33">
        <w:rPr>
          <w:rFonts w:cs="TimesNewRomanPSMT"/>
          <w:szCs w:val="20"/>
        </w:rPr>
        <w:t xml:space="preserve">odpowiednio </w:t>
      </w:r>
      <w:r w:rsidRPr="00BA0D33">
        <w:rPr>
          <w:rFonts w:cs="TimesNewRomanPSMT"/>
          <w:szCs w:val="20"/>
        </w:rPr>
        <w:t>na Rysunku U-1</w:t>
      </w:r>
      <w:r w:rsidR="004F0F33" w:rsidRPr="00BA0D33">
        <w:rPr>
          <w:rFonts w:cs="TimesNewRomanPSMT"/>
          <w:szCs w:val="20"/>
        </w:rPr>
        <w:t>A lub U1B</w:t>
      </w:r>
      <w:r w:rsidRPr="00BA0D33">
        <w:rPr>
          <w:rFonts w:cs="TimesNewRomanPSMT"/>
          <w:szCs w:val="20"/>
        </w:rPr>
        <w:t>.</w:t>
      </w:r>
    </w:p>
    <w:p w14:paraId="3E4FD88D" w14:textId="78DF5494" w:rsidR="00C36D76" w:rsidRPr="009E064B" w:rsidRDefault="00C36D76" w:rsidP="00376F37">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0C2E277" w14:textId="77777777" w:rsidR="00D22426" w:rsidRPr="009E064B" w:rsidRDefault="00D22426" w:rsidP="00376F37">
      <w:pPr>
        <w:pStyle w:val="Tekstpodstawowy"/>
        <w:spacing w:after="36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8336BDF" w14:textId="46406732" w:rsidR="000D4914" w:rsidRPr="009E064B" w:rsidRDefault="00A133BD" w:rsidP="00133B99">
      <w:pPr>
        <w:pStyle w:val="Nagwek6"/>
      </w:pPr>
      <w:bookmarkStart w:id="1581" w:name="_Toc482886913"/>
      <w:bookmarkStart w:id="1582" w:name="_Toc12533220"/>
      <w:r w:rsidRPr="009E064B">
        <w:t xml:space="preserve">GM1 ADR-DSN.M.720     </w:t>
      </w:r>
      <w:r w:rsidR="000D4914" w:rsidRPr="009E064B">
        <w:t>Światła krawędzi drogi kołowania</w:t>
      </w:r>
      <w:bookmarkEnd w:id="1581"/>
      <w:bookmarkEnd w:id="1582"/>
    </w:p>
    <w:p w14:paraId="4ACCD9F0" w14:textId="17648118"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07BE0AE7" w14:textId="77777777" w:rsidR="000D4914" w:rsidRPr="009E064B" w:rsidRDefault="000D4914" w:rsidP="00A133BD">
      <w:pPr>
        <w:rPr>
          <w:szCs w:val="20"/>
        </w:rPr>
      </w:pPr>
      <w:r w:rsidRPr="009E064B">
        <w:rPr>
          <w:szCs w:val="20"/>
        </w:rPr>
        <w:t>Celowo pozostawiono puste.</w:t>
      </w:r>
    </w:p>
    <w:p w14:paraId="5AA4E772" w14:textId="0F073F07" w:rsidR="00C36D76" w:rsidRPr="009E064B" w:rsidRDefault="00B2141E" w:rsidP="00B06A9A">
      <w:pPr>
        <w:pStyle w:val="Nagwek4"/>
        <w:rPr>
          <w:color w:val="auto"/>
        </w:rPr>
      </w:pPr>
      <w:bookmarkStart w:id="1583" w:name="_Toc482886690"/>
      <w:bookmarkStart w:id="1584" w:name="_Toc12533221"/>
      <w:r w:rsidRPr="009E064B">
        <w:rPr>
          <w:color w:val="auto"/>
        </w:rPr>
        <w:t xml:space="preserve">CS ADR-DSN.M.725     </w:t>
      </w:r>
      <w:r w:rsidR="00C36D76" w:rsidRPr="009E064B">
        <w:rPr>
          <w:color w:val="auto"/>
        </w:rPr>
        <w:t>Światła płaszczyzny do zawracania na drodze startowej</w:t>
      </w:r>
      <w:bookmarkEnd w:id="1583"/>
      <w:bookmarkEnd w:id="1584"/>
    </w:p>
    <w:p w14:paraId="16E62811" w14:textId="754AA176"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34FEB57" w14:textId="352FCAD6"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Celem bezpieczeństwa świateł płaszczyzny do zawracania na drodze startowej jest zapewnienie dodatkowych wskazówek do prowadzenia na płaszczyźnie do zawracania na drodze startowej, aby umożliwić samolotowi wykonanie zakrętu o 180° oraz ustawienie się w linii środkowej drogi startowej.</w:t>
      </w:r>
    </w:p>
    <w:p w14:paraId="2C0423CD"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Zastosowanie:</w:t>
      </w:r>
    </w:p>
    <w:p w14:paraId="35DE35F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płaszczyzny do zawracania na drodze startowej powinny być instalowane w celu zapewnienia ciągłego prowadzenia na płaszczyźnie do zawracania na drodze startowej, przeznaczonej do użytkowania w warunkach widzialności wzdłuż drogi startowej mniejszej niż 350 m, aby umożliwić samolotowi wykonanie zakrętu o 180° oraz ustawienie się w linii środkowej drogi startowej.</w:t>
      </w:r>
    </w:p>
    <w:p w14:paraId="28C9CC1B"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płaszczyzny do zawracania na drodze startowej powinny być instalowane na płaszczyźnie do zawracania, przeznaczonej do użytkowania w nocy, z wyjątkiem przypadku, gdy światła te nie muszą być zapewniane, jeśli światła krawędzi drogi kołowania oraz oznakowanie płaszczyzny do zawracania na drodze startowej zapewniają odpowiednie wskazówki do prowadzenia.</w:t>
      </w:r>
    </w:p>
    <w:p w14:paraId="60A7ED31"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Lokalizacja:</w:t>
      </w:r>
    </w:p>
    <w:p w14:paraId="25435249"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płaszczyzny do zawracania na drodze startowej powinny być zwykle instalowane na oznakowaniu płaszczyzny do zawracania, z wyjątkiem przypadków, kiedy powinny one być odsunięte o nie więcej niż 30 cm, jeżeli umieszczanie świateł na oznakowaniu nie jest praktyczne.</w:t>
      </w:r>
    </w:p>
    <w:p w14:paraId="22B87A10"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płaszczyzny do zawracania na drodze startowej, na prostym odcinku oznakowania płaszczyzny do zawracania, powinny być rozmieszczone w podłużnych odstępach nie większych niż 15 m.</w:t>
      </w:r>
    </w:p>
    <w:p w14:paraId="1A2F6C7D"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Światła płaszczyzny do zawracania na drodze startowej, na odcinku krzywoliniowym oznakowania płaszczyzny do zawracania, powinny być rozmieszczone w odstępach nie większych niż 7.5 m.</w:t>
      </w:r>
    </w:p>
    <w:p w14:paraId="2861C57D"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Charakterystyki:</w:t>
      </w:r>
    </w:p>
    <w:p w14:paraId="49E20A3A"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płaszczyzny do zawracania na drodze startowej powinny być jednokierunkowymi światłami stałymi koloru zielonego z takimi rozmiarami wiązki, aby światło było widoczne tylko od strony statków powietrznych zbliżających się do płaszczyzny do zawracania bądź będących na tej płaszczyźnie.</w:t>
      </w:r>
    </w:p>
    <w:p w14:paraId="7FAF2749" w14:textId="31E2FBD2"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płaszczyzny do zawracania na drodz</w:t>
      </w:r>
      <w:r w:rsidR="006270AE" w:rsidRPr="009E064B">
        <w:rPr>
          <w:szCs w:val="20"/>
        </w:rPr>
        <w:t xml:space="preserve">e startowej powinny być zgodne </w:t>
      </w:r>
      <w:r w:rsidRPr="009E064B">
        <w:rPr>
          <w:szCs w:val="20"/>
        </w:rPr>
        <w:t xml:space="preserve">ze specyfikacjami określonymi odpowiednio w </w:t>
      </w:r>
      <w:hyperlink w:anchor="_CS_ADR-DSN.U.940_" w:history="1">
        <w:r w:rsidRPr="009E064B">
          <w:rPr>
            <w:rStyle w:val="Hipercze"/>
            <w:szCs w:val="20"/>
          </w:rPr>
          <w:t>CS</w:t>
        </w:r>
        <w:r w:rsidR="00B518E5" w:rsidRPr="009E064B">
          <w:rPr>
            <w:rStyle w:val="Hipercze"/>
            <w:szCs w:val="20"/>
          </w:rPr>
          <w:t> </w:t>
        </w:r>
        <w:r w:rsidRPr="009E064B">
          <w:rPr>
            <w:rStyle w:val="Hipercze"/>
            <w:szCs w:val="20"/>
          </w:rPr>
          <w:t>ADR-DSN.U.940</w:t>
        </w:r>
      </w:hyperlink>
      <w:r w:rsidRPr="009E064B">
        <w:rPr>
          <w:szCs w:val="20"/>
        </w:rPr>
        <w:t>, Rysunek U-17 lub Rysunek U-18.</w:t>
      </w:r>
    </w:p>
    <w:p w14:paraId="7D832203" w14:textId="330FA17F" w:rsidR="00C36D76" w:rsidRPr="00BA0D33" w:rsidRDefault="00C36D76" w:rsidP="00B06A9A">
      <w:pPr>
        <w:tabs>
          <w:tab w:val="left" w:pos="1134"/>
        </w:tabs>
        <w:ind w:left="1134" w:hanging="567"/>
        <w:rPr>
          <w:rFonts w:cs="Times New Roman"/>
          <w:szCs w:val="20"/>
        </w:rPr>
      </w:pPr>
      <w:r w:rsidRPr="009E064B">
        <w:rPr>
          <w:rFonts w:cs="Times New Roman"/>
          <w:szCs w:val="20"/>
        </w:rPr>
        <w:t xml:space="preserve">(3) </w:t>
      </w:r>
      <w:r w:rsidRPr="009E064B">
        <w:rPr>
          <w:rFonts w:cs="Times New Roman"/>
          <w:szCs w:val="20"/>
        </w:rPr>
        <w:tab/>
        <w:t xml:space="preserve">Chromatyczność świateł płaszczyzny do zawracania na drodze startowej powinna być zgodna ze specyfikacjami w </w:t>
      </w:r>
      <w:hyperlink w:anchor="_CS_ADR-DSN.U.930_" w:history="1">
        <w:r w:rsidRPr="009E064B">
          <w:rPr>
            <w:rStyle w:val="Hipercze"/>
            <w:rFonts w:cs="Times New Roman"/>
            <w:szCs w:val="20"/>
          </w:rPr>
          <w:t>CS ADR-DSN.U.930</w:t>
        </w:r>
      </w:hyperlink>
      <w:r w:rsidRPr="009E064B">
        <w:rPr>
          <w:rFonts w:cs="Times New Roman"/>
          <w:szCs w:val="20"/>
        </w:rPr>
        <w:t xml:space="preserve"> i </w:t>
      </w:r>
      <w:r w:rsidR="004F0F33" w:rsidRPr="00BA0D33">
        <w:rPr>
          <w:rFonts w:cs="Times New Roman"/>
          <w:szCs w:val="20"/>
        </w:rPr>
        <w:t xml:space="preserve">odpowiednio </w:t>
      </w:r>
      <w:r w:rsidRPr="00BA0D33">
        <w:rPr>
          <w:rFonts w:cs="Times New Roman"/>
          <w:szCs w:val="20"/>
        </w:rPr>
        <w:t>na Rysunku U-1</w:t>
      </w:r>
      <w:r w:rsidR="004F0F33" w:rsidRPr="00BA0D33">
        <w:rPr>
          <w:rFonts w:cs="Times New Roman"/>
          <w:szCs w:val="20"/>
        </w:rPr>
        <w:t>A lub U1B</w:t>
      </w:r>
      <w:r w:rsidRPr="00BA0D33">
        <w:rPr>
          <w:rFonts w:cs="Times New Roman"/>
          <w:szCs w:val="20"/>
        </w:rPr>
        <w:t xml:space="preserve">. </w:t>
      </w:r>
    </w:p>
    <w:p w14:paraId="2ABCCF18" w14:textId="4C1DDB2B" w:rsidR="00C36D76" w:rsidRPr="009E064B" w:rsidRDefault="00C36D76" w:rsidP="008A6F4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EBAC02A" w14:textId="77777777" w:rsidR="00D22426" w:rsidRPr="009E064B" w:rsidRDefault="00D22426" w:rsidP="008A6F43">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286184E4" w14:textId="4C5F967E" w:rsidR="000D4914" w:rsidRPr="009E064B" w:rsidRDefault="00A133BD" w:rsidP="00133B99">
      <w:pPr>
        <w:pStyle w:val="Nagwek6"/>
      </w:pPr>
      <w:bookmarkStart w:id="1585" w:name="_Toc401059048"/>
      <w:bookmarkStart w:id="1586" w:name="_Toc482886914"/>
      <w:bookmarkStart w:id="1587" w:name="_Toc12533222"/>
      <w:bookmarkStart w:id="1588" w:name="_Toc482886691"/>
      <w:r w:rsidRPr="009E064B">
        <w:t xml:space="preserve">GM1 ADR-DSN.M.725     </w:t>
      </w:r>
      <w:r w:rsidR="000D4914" w:rsidRPr="009E064B">
        <w:t>Światła płaszczyzny do zawracania na drodze startowej</w:t>
      </w:r>
      <w:bookmarkEnd w:id="1585"/>
      <w:bookmarkEnd w:id="1586"/>
      <w:bookmarkEnd w:id="1587"/>
    </w:p>
    <w:p w14:paraId="64CC7968" w14:textId="068938E1"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033E902" w14:textId="77777777" w:rsidR="000D4914" w:rsidRPr="009E064B" w:rsidRDefault="000D4914" w:rsidP="00A133BD">
      <w:pPr>
        <w:rPr>
          <w:szCs w:val="20"/>
        </w:rPr>
      </w:pPr>
      <w:r w:rsidRPr="009E064B">
        <w:rPr>
          <w:szCs w:val="20"/>
        </w:rPr>
        <w:t>Celowo pozostawiono puste.</w:t>
      </w:r>
    </w:p>
    <w:p w14:paraId="227EC4D3" w14:textId="7E001788" w:rsidR="00C36D76" w:rsidRPr="009E064B" w:rsidRDefault="00B2141E" w:rsidP="00B06A9A">
      <w:pPr>
        <w:pStyle w:val="Nagwek4"/>
        <w:rPr>
          <w:color w:val="auto"/>
        </w:rPr>
      </w:pPr>
      <w:bookmarkStart w:id="1589" w:name="_Toc12533223"/>
      <w:r w:rsidRPr="009E064B">
        <w:rPr>
          <w:color w:val="auto"/>
        </w:rPr>
        <w:t xml:space="preserve">CS ADR-DSN.M.730     </w:t>
      </w:r>
      <w:r w:rsidR="00C36D76" w:rsidRPr="009E064B">
        <w:rPr>
          <w:color w:val="auto"/>
        </w:rPr>
        <w:t>Poprzeczki zatrzymania</w:t>
      </w:r>
      <w:bookmarkEnd w:id="1588"/>
      <w:bookmarkEnd w:id="1589"/>
    </w:p>
    <w:p w14:paraId="4034E1EC" w14:textId="3076E461"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45196FC" w14:textId="6539EA28"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791A348F"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Poprzeczka zatrzymania powinna być instalowana w każdym miejscu oczekiwania przed drogą startową, jeżeli ta droga startowa będzie wykorzystywana w warunkach widzialności wzdłuż drogi startowej mniejszej niż 550 m, z wyjątkiem, gdy:</w:t>
      </w:r>
    </w:p>
    <w:p w14:paraId="7D5F4B41"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dostępne są odpowiednie pomoce oraz procedury zapobiegające nieumyślnemu wtargnięciu jakiegokolwiek ruchu na tę drogę startową; lub</w:t>
      </w:r>
    </w:p>
    <w:p w14:paraId="4BD6FFD0"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istnieją procedury operacyjne ograniczające, w warunkach widzialności wzdłuż drogi startowej mniejszej niż 550 m, liczbę:</w:t>
      </w:r>
    </w:p>
    <w:p w14:paraId="1220AA81" w14:textId="77777777" w:rsidR="00C36D76" w:rsidRPr="009E064B" w:rsidRDefault="00C36D76" w:rsidP="00B06A9A">
      <w:pPr>
        <w:tabs>
          <w:tab w:val="left" w:pos="2268"/>
        </w:tabs>
        <w:ind w:left="2268" w:hanging="567"/>
        <w:rPr>
          <w:szCs w:val="20"/>
        </w:rPr>
      </w:pPr>
      <w:r w:rsidRPr="009E064B">
        <w:rPr>
          <w:rFonts w:cs="Times New Roman"/>
          <w:szCs w:val="20"/>
        </w:rPr>
        <w:t xml:space="preserve">(A) </w:t>
      </w:r>
      <w:r w:rsidRPr="009E064B">
        <w:rPr>
          <w:rFonts w:cs="Times New Roman"/>
          <w:szCs w:val="20"/>
        </w:rPr>
        <w:tab/>
      </w:r>
      <w:r w:rsidRPr="009E064B">
        <w:rPr>
          <w:szCs w:val="20"/>
        </w:rPr>
        <w:t>statków powietrznych znajdujących się w tym samym czasie na polu manewrowym do jednego; oraz</w:t>
      </w:r>
    </w:p>
    <w:p w14:paraId="0A39C579" w14:textId="77777777" w:rsidR="00C36D76" w:rsidRPr="009E064B" w:rsidRDefault="00C36D76" w:rsidP="00B06A9A">
      <w:pPr>
        <w:tabs>
          <w:tab w:val="left" w:pos="2268"/>
        </w:tabs>
        <w:ind w:left="2268" w:hanging="567"/>
        <w:rPr>
          <w:szCs w:val="20"/>
        </w:rPr>
      </w:pPr>
      <w:r w:rsidRPr="009E064B">
        <w:rPr>
          <w:rFonts w:cs="Times New Roman"/>
          <w:szCs w:val="20"/>
        </w:rPr>
        <w:t xml:space="preserve">(B) </w:t>
      </w:r>
      <w:r w:rsidRPr="009E064B">
        <w:rPr>
          <w:rFonts w:cs="Times New Roman"/>
          <w:szCs w:val="20"/>
        </w:rPr>
        <w:tab/>
      </w:r>
      <w:r w:rsidRPr="009E064B">
        <w:rPr>
          <w:szCs w:val="20"/>
        </w:rPr>
        <w:t>pojazdów znajdujących się na polu manewrowym do niezbędnego minimum.</w:t>
      </w:r>
    </w:p>
    <w:p w14:paraId="655965AE" w14:textId="6D502E8C" w:rsidR="00C36D76" w:rsidRPr="009E064B" w:rsidRDefault="00C36D76" w:rsidP="00B06A9A">
      <w:pPr>
        <w:tabs>
          <w:tab w:val="left" w:pos="1134"/>
        </w:tabs>
        <w:ind w:left="1134" w:hanging="567"/>
        <w:rPr>
          <w:szCs w:val="20"/>
        </w:rPr>
      </w:pPr>
      <w:r w:rsidRPr="009E064B">
        <w:rPr>
          <w:szCs w:val="20"/>
        </w:rPr>
        <w:t xml:space="preserve">(2) </w:t>
      </w:r>
      <w:r w:rsidRPr="009E064B">
        <w:rPr>
          <w:szCs w:val="20"/>
        </w:rPr>
        <w:tab/>
        <w:t>W przypadku, gdy ze skrzyżowaniem drogi kołowania</w:t>
      </w:r>
      <w:r w:rsidR="00E30571" w:rsidRPr="009E064B">
        <w:rPr>
          <w:szCs w:val="20"/>
        </w:rPr>
        <w:t> </w:t>
      </w:r>
      <w:r w:rsidRPr="009E064B">
        <w:rPr>
          <w:szCs w:val="20"/>
        </w:rPr>
        <w:t>/</w:t>
      </w:r>
      <w:r w:rsidR="00E30571" w:rsidRPr="009E064B">
        <w:rPr>
          <w:szCs w:val="20"/>
        </w:rPr>
        <w:t> </w:t>
      </w:r>
      <w:r w:rsidRPr="009E064B">
        <w:rPr>
          <w:szCs w:val="20"/>
        </w:rPr>
        <w:t xml:space="preserve">drogi startowej związana jest więcej niż jedna poprzeczka zatrzymania, to tylko jedna z </w:t>
      </w:r>
      <w:r w:rsidR="00E30571" w:rsidRPr="009E064B">
        <w:rPr>
          <w:szCs w:val="20"/>
        </w:rPr>
        <w:t>nich powinna być podświetlona w </w:t>
      </w:r>
      <w:r w:rsidRPr="009E064B">
        <w:rPr>
          <w:szCs w:val="20"/>
        </w:rPr>
        <w:t>danym momencie.</w:t>
      </w:r>
    </w:p>
    <w:p w14:paraId="319EC34A"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Poprzeczka zatrzymania powinna być instalowana w pośrednim miejscu oczekiwania, jeżeli zasadne jest uzupełnienie oznakowania światłami oraz zapewnienie sterowania ruchem przy użyciu środków wzrokowych.</w:t>
      </w:r>
    </w:p>
    <w:p w14:paraId="32B6CA1F"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Poprzeczki zatrzymania umieszcza się w poprzek drogi kołowania, w miejscu, gdzie kołujące statki powietrzne lub pojazdy powinny się zatrzymać.</w:t>
      </w:r>
    </w:p>
    <w:p w14:paraId="2974D1BE"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019F2EA2"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Poprzeczki zatrzymania powinny składać się ze świateł rozmieszczonych w równych odstępach, nie większych niż 3 m, w poprzek drogi kołowania, koloru czerwonego, widocznych z kierunku (kierunków) zbliżania się do skrzyżowania lub miejsca oczekiwania przed drogą startową.</w:t>
      </w:r>
    </w:p>
    <w:p w14:paraId="52CCB0B3"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Poprzeczki zatrzymania instalowane w miejscu oczekiwania przed drogą startową powinny być jednokierunkowe oraz koloru czerwonego z kierunku zbliżania się do drogi startowej.</w:t>
      </w:r>
    </w:p>
    <w:p w14:paraId="11A3B78C" w14:textId="2BF36591"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 xml:space="preserve">Intensywność świateł czerwonych oraz rozwarcie wiązki świateł poprzeczki zatrzymania powinny być zgodne ze specyfikacjami określonymi odpowiednio w </w:t>
      </w:r>
      <w:hyperlink w:anchor="_CS_ADR-DSN.U.940_" w:history="1">
        <w:r w:rsidRPr="009E064B">
          <w:rPr>
            <w:rStyle w:val="Hipercze"/>
            <w:szCs w:val="20"/>
          </w:rPr>
          <w:t>CS</w:t>
        </w:r>
        <w:r w:rsidR="00B518E5" w:rsidRPr="009E064B">
          <w:rPr>
            <w:rStyle w:val="Hipercze"/>
            <w:szCs w:val="20"/>
          </w:rPr>
          <w:t> </w:t>
        </w:r>
        <w:r w:rsidRPr="009E064B">
          <w:rPr>
            <w:rStyle w:val="Hipercze"/>
            <w:szCs w:val="20"/>
          </w:rPr>
          <w:t>ADR-DSN.U.940</w:t>
        </w:r>
      </w:hyperlink>
      <w:r w:rsidRPr="009E064B">
        <w:rPr>
          <w:szCs w:val="20"/>
        </w:rPr>
        <w:t>, Rysunki od U-16 do U-20.</w:t>
      </w:r>
    </w:p>
    <w:p w14:paraId="50C51FBE" w14:textId="4EA59934" w:rsidR="00C36D76" w:rsidRPr="009E064B" w:rsidRDefault="00C36D76" w:rsidP="00B06A9A">
      <w:pPr>
        <w:tabs>
          <w:tab w:val="left" w:pos="1134"/>
        </w:tabs>
        <w:ind w:left="1134" w:hanging="567"/>
        <w:rPr>
          <w:szCs w:val="20"/>
        </w:rPr>
      </w:pPr>
      <w:r w:rsidRPr="009E064B">
        <w:rPr>
          <w:rFonts w:cs="Times New Roman"/>
          <w:szCs w:val="20"/>
        </w:rPr>
        <w:t>(4)</w:t>
      </w:r>
      <w:r w:rsidRPr="009E064B">
        <w:rPr>
          <w:rFonts w:cs="Times New Roman"/>
          <w:szCs w:val="20"/>
        </w:rPr>
        <w:tab/>
      </w:r>
      <w:r w:rsidRPr="009E064B">
        <w:rPr>
          <w:szCs w:val="20"/>
        </w:rPr>
        <w:t>Jeżeli poprzeczki zatrzymania są określone jako części składowe zaawansowanego systemu prowadzenia i kontroli ruchu naziemnego oraz z operacyjnego punktu widzenia, wymagane jest większe natężenie światła w celu zapewnienia odpowiedniej prędkości ruchu naziemnego w warunkach ograniczonej widzialności lub warunkach dziennych przy dużym nasłonecznieniu, intensywność światła czerwonego oraz rozwarcie wiązki świateł poprzeczki zatrzymania powinny być zgodne ze specyfikacja</w:t>
      </w:r>
      <w:r w:rsidR="00B518E5" w:rsidRPr="009E064B">
        <w:rPr>
          <w:szCs w:val="20"/>
        </w:rPr>
        <w:t xml:space="preserve">mi określonymi odpowiednio w </w:t>
      </w:r>
      <w:hyperlink w:anchor="_CS_ADR-DSN.U.940_" w:history="1">
        <w:r w:rsidR="00B518E5" w:rsidRPr="009E064B">
          <w:rPr>
            <w:rStyle w:val="Hipercze"/>
            <w:szCs w:val="20"/>
          </w:rPr>
          <w:t>CS ADR-DSN.U.940</w:t>
        </w:r>
      </w:hyperlink>
      <w:r w:rsidR="00B518E5" w:rsidRPr="009E064B">
        <w:rPr>
          <w:szCs w:val="20"/>
        </w:rPr>
        <w:t>,</w:t>
      </w:r>
      <w:r w:rsidRPr="009E064B">
        <w:rPr>
          <w:szCs w:val="20"/>
        </w:rPr>
        <w:t xml:space="preserve"> Rysunki: U-21, U-22 lub U-23.</w:t>
      </w:r>
    </w:p>
    <w:p w14:paraId="355FAA78" w14:textId="3C51449C"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Jeżeli wymagane jest zastosowanie opraw zapewniających szeroką wiązkę, intensywność światła czerwonego oraz rozwarcie wiązki świateł poprzeczki zatrzymania powinny być zgodne ze specyfikacja</w:t>
      </w:r>
      <w:r w:rsidR="00B518E5" w:rsidRPr="009E064B">
        <w:rPr>
          <w:szCs w:val="20"/>
        </w:rPr>
        <w:t xml:space="preserve">mi określonymi odpowiednio w </w:t>
      </w:r>
      <w:hyperlink w:anchor="_CS_ADR-DSN.U.940_" w:history="1">
        <w:r w:rsidR="00B518E5" w:rsidRPr="009E064B">
          <w:rPr>
            <w:rStyle w:val="Hipercze"/>
            <w:szCs w:val="20"/>
          </w:rPr>
          <w:t>CS ADR-DSN.U.940</w:t>
        </w:r>
      </w:hyperlink>
      <w:r w:rsidRPr="009E064B">
        <w:rPr>
          <w:szCs w:val="20"/>
        </w:rPr>
        <w:t>, Rysunek U-21 lub U-23.</w:t>
      </w:r>
    </w:p>
    <w:p w14:paraId="321B8D65" w14:textId="77777777"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t>Obwód z</w:t>
      </w:r>
      <w:r w:rsidRPr="009E064B">
        <w:rPr>
          <w:szCs w:val="20"/>
        </w:rPr>
        <w:t>asilania elektrycznego świateł powinien być zaprojektowane w taki sposób, aby:</w:t>
      </w:r>
    </w:p>
    <w:p w14:paraId="660C2053"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poprzeczki zatrzymania zainstalowane w poprzek dróg kołowania były selektywnie włączane;</w:t>
      </w:r>
    </w:p>
    <w:p w14:paraId="7A40F8AD"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poprzeczki zatrzymania instalowane w poprzek dróg kołowania, które są wykorzystywane wyłącznie, jako drogi zjazdu, były grupowo lub selektywnie włączane;</w:t>
      </w:r>
    </w:p>
    <w:p w14:paraId="2990ED99"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przy podświetlonej poprzeczce zatrzymania, światła linii środkowej drogi kołowania zainstalowane za tą poprzeczką zatrzymania, były wyłączone na długości, przy najmniej 90 m; oraz</w:t>
      </w:r>
    </w:p>
    <w:p w14:paraId="37F7DE06"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poprzeczki zatrzymania były blokowane ze światłami linii środkowej drogi kołowania tak, aby w przypadku, gdy światła linii środkowej drogi kołowania za tą poprzeczką zatrzymania będą włączone, poprzeczka zatrzymania była wyłączona i na odwrót.</w:t>
      </w:r>
    </w:p>
    <w:p w14:paraId="3B0D650C" w14:textId="7086378B" w:rsidR="00C36D76" w:rsidRPr="00BA0D33" w:rsidRDefault="00C36D76" w:rsidP="00B06A9A">
      <w:pPr>
        <w:tabs>
          <w:tab w:val="left" w:pos="1134"/>
        </w:tabs>
        <w:ind w:left="1134" w:hanging="567"/>
        <w:rPr>
          <w:rFonts w:cs="TimesNewRomanPSMT"/>
          <w:szCs w:val="20"/>
        </w:rPr>
      </w:pPr>
      <w:r w:rsidRPr="009E064B">
        <w:rPr>
          <w:rFonts w:cs="TimesNewRomanPSMT"/>
          <w:szCs w:val="20"/>
        </w:rPr>
        <w:t xml:space="preserve">(7) </w:t>
      </w:r>
      <w:r w:rsidRPr="009E064B">
        <w:rPr>
          <w:rFonts w:cs="TimesNewRomanPSMT"/>
          <w:szCs w:val="20"/>
        </w:rPr>
        <w:tab/>
        <w:t>Chromatyczność świateł p</w:t>
      </w:r>
      <w:r w:rsidRPr="009E064B">
        <w:rPr>
          <w:szCs w:val="20"/>
        </w:rPr>
        <w:t>oprzeczki</w:t>
      </w:r>
      <w:r w:rsidRPr="009E064B">
        <w:rPr>
          <w:rFonts w:cs="TimesNewRomanPSMT"/>
          <w:szCs w:val="20"/>
        </w:rPr>
        <w:t xml:space="preserve"> zatrzymania powinna być zgodna ze specyfikacjami określonymi w </w:t>
      </w:r>
      <w:hyperlink w:anchor="_CS_ADR-DSN.U.930_" w:history="1">
        <w:r w:rsidRPr="009E064B">
          <w:rPr>
            <w:rStyle w:val="Hipercze"/>
            <w:rFonts w:cs="TimesNewRomanPSMT"/>
            <w:szCs w:val="20"/>
          </w:rPr>
          <w:t>CS ADR-DSN.U.930</w:t>
        </w:r>
      </w:hyperlink>
      <w:r w:rsidRPr="009E064B">
        <w:rPr>
          <w:rFonts w:cs="TimesNewRomanPSMT"/>
          <w:szCs w:val="20"/>
        </w:rPr>
        <w:t xml:space="preserve"> </w:t>
      </w:r>
      <w:r w:rsidRPr="00BA0D33">
        <w:rPr>
          <w:rFonts w:cs="TimesNewRomanPSMT"/>
          <w:szCs w:val="20"/>
        </w:rPr>
        <w:t xml:space="preserve">i </w:t>
      </w:r>
      <w:r w:rsidR="004F0F33" w:rsidRPr="00BA0D33">
        <w:rPr>
          <w:rFonts w:cs="TimesNewRomanPSMT"/>
          <w:szCs w:val="20"/>
        </w:rPr>
        <w:t xml:space="preserve">odpowiednio </w:t>
      </w:r>
      <w:r w:rsidRPr="00BA0D33">
        <w:rPr>
          <w:rFonts w:cs="TimesNewRomanPSMT"/>
          <w:szCs w:val="20"/>
        </w:rPr>
        <w:t>na Rysunku U-1</w:t>
      </w:r>
      <w:r w:rsidR="004F0F33" w:rsidRPr="00BA0D33">
        <w:rPr>
          <w:rFonts w:cs="TimesNewRomanPSMT"/>
          <w:szCs w:val="20"/>
        </w:rPr>
        <w:t>A lub U1B</w:t>
      </w:r>
      <w:r w:rsidRPr="00BA0D33">
        <w:rPr>
          <w:rFonts w:cs="TimesNewRomanPSMT"/>
          <w:szCs w:val="20"/>
        </w:rPr>
        <w:t>.</w:t>
      </w:r>
    </w:p>
    <w:p w14:paraId="0BEA412C" w14:textId="2F3EED12" w:rsidR="00C36D76" w:rsidRPr="009E064B" w:rsidRDefault="00C36D76" w:rsidP="008A6F4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D4669A7" w14:textId="77777777" w:rsidR="00D22426" w:rsidRPr="009E064B" w:rsidRDefault="00D22426" w:rsidP="008A6F43">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4D2F739" w14:textId="23AE8FE8" w:rsidR="000D4914" w:rsidRPr="009E064B" w:rsidRDefault="000D4914" w:rsidP="00133B99">
      <w:pPr>
        <w:pStyle w:val="Nagwek6"/>
      </w:pPr>
      <w:bookmarkStart w:id="1590" w:name="_Toc401059049"/>
      <w:bookmarkStart w:id="1591" w:name="_Toc482886915"/>
      <w:bookmarkStart w:id="1592" w:name="_Toc12533224"/>
      <w:r w:rsidRPr="009E064B">
        <w:t>GM1</w:t>
      </w:r>
      <w:r w:rsidR="00B2141E" w:rsidRPr="009E064B">
        <w:t xml:space="preserve"> ADR-DSN.M.730     </w:t>
      </w:r>
      <w:r w:rsidRPr="009E064B">
        <w:t>Poprzeczki zatrzymania</w:t>
      </w:r>
      <w:bookmarkEnd w:id="1590"/>
      <w:bookmarkEnd w:id="1591"/>
      <w:bookmarkEnd w:id="1592"/>
    </w:p>
    <w:p w14:paraId="12FA4DE6" w14:textId="2546B0F9"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C630F10" w14:textId="4E7628D9"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(a) </w:t>
      </w:r>
      <w:r w:rsidRPr="009E064B">
        <w:rPr>
          <w:rFonts w:cs="TimesNewRomanPS-BoldItalicMT"/>
          <w:bCs/>
          <w:iCs/>
          <w:szCs w:val="20"/>
        </w:rPr>
        <w:tab/>
        <w:t>Poprzeczka zatrzymania przeznaczona jest do tego, aby służba ruchu lotniczego mogła nią sterować w sposób ręczny lub automatyczny.</w:t>
      </w:r>
    </w:p>
    <w:p w14:paraId="1F45ABFC" w14:textId="77777777"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(b)</w:t>
      </w:r>
      <w:r w:rsidRPr="009E064B">
        <w:rPr>
          <w:rFonts w:cs="TimesNewRomanPS-BoldItalicMT"/>
          <w:bCs/>
          <w:iCs/>
          <w:szCs w:val="20"/>
        </w:rPr>
        <w:tab/>
        <w:t>Wtargnięcie na drogę startową może mieć miejsce w każdych warunkach widzialności i w każdych warunkach atmosferycznych. Przepisy dotyczące poprzeczek zatrzymania w miejscach oczekiwania przed drogą startową i zasady ich użycia w nocy oraz w warunkach widzialności większej niż 550 m RVR mogą stanowić część środków skutecznego zapobiegania wtargnięciom na drogę startową.</w:t>
      </w:r>
    </w:p>
    <w:p w14:paraId="4EE3ADD9" w14:textId="77777777"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(c)</w:t>
      </w:r>
      <w:r w:rsidRPr="009E064B">
        <w:rPr>
          <w:rFonts w:cs="TimesNewRomanPS-BoldItalicMT"/>
          <w:bCs/>
          <w:iCs/>
          <w:szCs w:val="20"/>
        </w:rPr>
        <w:tab/>
        <w:t>Do każdego końca poprzeczki zatrzymania powinna być dodana para świateł na podwyższeniu, w przypadku, gdy światła poprzeczki zatrzymania zagłębione w nawierzchni sztucznej mogą być zasłonięte przed wzrokiem pilota, na przykład przez śnieg lub deszcz, lub gdy może być wymagane, aby pilot zatrzymał statek powietrzny w miejscu, które jest bardzo blisko tych świateł, i są one zasłonięte przez fragment konstrukcji tego statku powietrznego.</w:t>
      </w:r>
    </w:p>
    <w:p w14:paraId="0F914CBB" w14:textId="77777777"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(d)</w:t>
      </w:r>
      <w:r w:rsidRPr="009E064B">
        <w:rPr>
          <w:rFonts w:cs="TimesNewRomanPS-BoldItalicMT"/>
          <w:bCs/>
          <w:iCs/>
          <w:szCs w:val="20"/>
        </w:rPr>
        <w:tab/>
        <w:t>Jeżeli jest to konieczne, w celu zwiększenia widoczności istniejącej poprzeczki zatrzymania, instalowane są równomiernie dodatkowe światła.</w:t>
      </w:r>
    </w:p>
    <w:p w14:paraId="54394ED1" w14:textId="6316FF24" w:rsidR="000D4914" w:rsidRPr="009E064B" w:rsidRDefault="000D4914"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(e) </w:t>
      </w:r>
      <w:r w:rsidRPr="009E064B">
        <w:rPr>
          <w:rFonts w:cs="TimesNewRomanPS-BoldItalicMT"/>
          <w:bCs/>
          <w:iCs/>
          <w:szCs w:val="20"/>
        </w:rPr>
        <w:tab/>
        <w:t>Jeżeli</w:t>
      </w:r>
      <w:r w:rsidRPr="009E064B">
        <w:rPr>
          <w:rFonts w:cs="Times New Roman"/>
          <w:szCs w:val="20"/>
        </w:rPr>
        <w:t xml:space="preserve"> zapewnione są dodatkowe światła, o których mowa w </w:t>
      </w:r>
      <w:r w:rsidR="006B49E7" w:rsidRPr="009E064B">
        <w:rPr>
          <w:rFonts w:cs="Times New Roman"/>
          <w:szCs w:val="20"/>
        </w:rPr>
        <w:t>lit. </w:t>
      </w:r>
      <w:r w:rsidRPr="009E064B">
        <w:rPr>
          <w:rFonts w:cs="Times New Roman"/>
          <w:szCs w:val="20"/>
        </w:rPr>
        <w:t>(c) powyżej, to powinny być one zlokalizowane w odległości nie mniejszej niż 3 m od krawędzi drogi kołowania</w:t>
      </w:r>
    </w:p>
    <w:p w14:paraId="35917A33" w14:textId="751A5BF4" w:rsidR="000D4914" w:rsidRPr="009E064B" w:rsidRDefault="000D4914"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 New Roman"/>
          <w:bCs/>
          <w:iCs/>
          <w:szCs w:val="20"/>
        </w:rPr>
        <w:t>Jeżeli</w:t>
      </w:r>
      <w:r w:rsidRPr="009E064B">
        <w:rPr>
          <w:rFonts w:cs="Times New Roman"/>
          <w:szCs w:val="20"/>
        </w:rPr>
        <w:t xml:space="preserve"> zapewnione są dodatkowe światła, o których mowa w </w:t>
      </w:r>
      <w:r w:rsidR="006B49E7" w:rsidRPr="009E064B">
        <w:rPr>
          <w:rFonts w:cs="Times New Roman"/>
          <w:szCs w:val="20"/>
        </w:rPr>
        <w:t>lit. </w:t>
      </w:r>
      <w:r w:rsidRPr="009E064B">
        <w:rPr>
          <w:rFonts w:cs="Times New Roman"/>
          <w:szCs w:val="20"/>
        </w:rPr>
        <w:t>(c) powyżej, to światła te powinny mieć takie same charakterystyki jak światła poprzeczki zatrzymania, ale muszą być widoczne dla zbliżającego się statku powietrznego, aż do miejsca poprzeczki zatrzymania.</w:t>
      </w:r>
    </w:p>
    <w:p w14:paraId="2909BAF0" w14:textId="77777777"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(g)</w:t>
      </w:r>
      <w:r w:rsidRPr="009E064B">
        <w:rPr>
          <w:rFonts w:cs="TimesNewRomanPS-BoldItalicMT"/>
          <w:bCs/>
          <w:iCs/>
          <w:szCs w:val="20"/>
        </w:rPr>
        <w:tab/>
        <w:t>Poprzeczki zatrzymania o wysokiej intensywności powinny być stosowane tylko w przypadku absolutnej konieczności i po przeprowadzeniu szczegółowych badań.</w:t>
      </w:r>
    </w:p>
    <w:p w14:paraId="75555CCE" w14:textId="21C27209" w:rsidR="000D4914" w:rsidRPr="009E064B" w:rsidRDefault="000D4914"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(h)</w:t>
      </w:r>
      <w:r w:rsidRPr="009E064B">
        <w:rPr>
          <w:rFonts w:cs="TimesNewRomanPS-BoldItalicMT"/>
          <w:bCs/>
          <w:iCs/>
          <w:szCs w:val="20"/>
        </w:rPr>
        <w:tab/>
        <w:t xml:space="preserve">W czasie projektowania systemu zasilania elektrycznego należy zadbać o to, aby zapewnić, że wszystkie światła poprzeczki zatrzymania nie mogą się uszkodzić w tym samym czasie. Wytyczne dotyczące tej kwestii są określone w „Podręczniku </w:t>
      </w:r>
      <w:r w:rsidR="006B49E7" w:rsidRPr="009E064B">
        <w:rPr>
          <w:rFonts w:cs="TimesNewRomanPS-BoldItalicMT"/>
          <w:bCs/>
          <w:iCs/>
          <w:szCs w:val="20"/>
        </w:rPr>
        <w:t>projektowania lotnisk” ICAO Doc </w:t>
      </w:r>
      <w:r w:rsidRPr="009E064B">
        <w:rPr>
          <w:rFonts w:cs="TimesNewRomanPS-BoldItalicMT"/>
          <w:bCs/>
          <w:iCs/>
          <w:szCs w:val="20"/>
        </w:rPr>
        <w:t>9157, Część 5 „Systemy elektryczne”.</w:t>
      </w:r>
    </w:p>
    <w:p w14:paraId="66D63FF2" w14:textId="77777777" w:rsidR="000D4914" w:rsidRPr="009E064B" w:rsidRDefault="000D4914"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A628EAE" w14:textId="77F24085" w:rsidR="00C36D76" w:rsidRPr="009E064B" w:rsidRDefault="00B2141E" w:rsidP="00B06A9A">
      <w:pPr>
        <w:pStyle w:val="Nagwek4"/>
        <w:rPr>
          <w:color w:val="auto"/>
        </w:rPr>
      </w:pPr>
      <w:bookmarkStart w:id="1593" w:name="_Toc482886692"/>
      <w:bookmarkStart w:id="1594" w:name="_Toc12533225"/>
      <w:r w:rsidRPr="009E064B">
        <w:rPr>
          <w:color w:val="auto"/>
        </w:rPr>
        <w:t xml:space="preserve">CS ADR-DSN.M.735     </w:t>
      </w:r>
      <w:r w:rsidR="00C36D76" w:rsidRPr="009E064B">
        <w:rPr>
          <w:color w:val="auto"/>
        </w:rPr>
        <w:t>Światła pośredniego miejsca oczekiwania</w:t>
      </w:r>
      <w:bookmarkEnd w:id="1593"/>
      <w:bookmarkEnd w:id="1594"/>
    </w:p>
    <w:p w14:paraId="0D960965" w14:textId="348B6D7D"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2086574" w14:textId="12F70E47"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2728EE7B"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 wyjątkiem przypadków, gdy zainstalowano poprzeczki zatrzymania, światła pośredniego miejsca oczekiwania powinny być instalowane w pośrednim miejscu oczekiwania przeznaczonym do wykorzystywania w warunkach widzialności wzdłuż drogi startowej mniejszej niż 350 m.</w:t>
      </w:r>
    </w:p>
    <w:p w14:paraId="6851A844"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pośredniego miejsca oczekiwania powinny być instalowane w pośrednim miejscu oczekiwania, jeżeli nie ma potrzeby zapewniania sygnałów „jedź − stój”, które zastosowano w poprzeczce zatrzymania.</w:t>
      </w:r>
    </w:p>
    <w:p w14:paraId="1FB132C3"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Światła pośredniego miejsca oczekiwania powinny być zlokalizowane wzdłuż oznakowania pośredniego miejsca oczekiwania w odległości 0.3 m przed tym oznakowaniem.</w:t>
      </w:r>
    </w:p>
    <w:p w14:paraId="6BF5388E"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Charakterystyka świateł pośredniego miejsca oczekiwania:</w:t>
      </w:r>
    </w:p>
    <w:p w14:paraId="398797FF" w14:textId="77777777" w:rsidR="00C36D76" w:rsidRPr="009E064B" w:rsidRDefault="00C36D76" w:rsidP="00B06A9A">
      <w:pPr>
        <w:tabs>
          <w:tab w:val="left" w:pos="1134"/>
        </w:tabs>
        <w:ind w:left="1134" w:hanging="567"/>
        <w:rPr>
          <w:szCs w:val="20"/>
        </w:rPr>
      </w:pPr>
      <w:r w:rsidRPr="009E064B">
        <w:rPr>
          <w:szCs w:val="20"/>
        </w:rPr>
        <w:t>(1)</w:t>
      </w:r>
      <w:r w:rsidRPr="009E064B">
        <w:rPr>
          <w:szCs w:val="20"/>
        </w:rPr>
        <w:tab/>
        <w:t xml:space="preserve">Światła pośredniego miejsca oczekiwania powinny składać się z trzech jednokierunkowych świateł koloru żółtego widocznych od strony, z której zbliżają się statki powietrzne lub pojazdy z charakterystyką rozkładu wiązki światła podobną do świateł linii środkowej drogi kołowania, jeżeli są one zainstalowane. </w:t>
      </w:r>
    </w:p>
    <w:p w14:paraId="21DEE795" w14:textId="77777777" w:rsidR="00C36D76" w:rsidRPr="009E064B" w:rsidRDefault="00C36D76" w:rsidP="00B06A9A">
      <w:pPr>
        <w:tabs>
          <w:tab w:val="left" w:pos="1134"/>
        </w:tabs>
        <w:ind w:left="1134" w:hanging="567"/>
        <w:rPr>
          <w:szCs w:val="20"/>
        </w:rPr>
      </w:pPr>
      <w:r w:rsidRPr="009E064B">
        <w:rPr>
          <w:szCs w:val="20"/>
        </w:rPr>
        <w:t>(2)</w:t>
      </w:r>
      <w:r w:rsidRPr="009E064B">
        <w:rPr>
          <w:szCs w:val="20"/>
        </w:rPr>
        <w:tab/>
        <w:t>Światła pośredniego miejsca oczekiwania powinny być rozmieszczone symetrycznie i prostopadle do linii środkowej drogi kołowania z rozstawem pomiędzy światłami wynoszącymi 1.5 m.</w:t>
      </w:r>
    </w:p>
    <w:p w14:paraId="7F66FFB7" w14:textId="7211785D" w:rsidR="00C36D76" w:rsidRPr="00BA0D33" w:rsidRDefault="00C36D76" w:rsidP="00B06A9A">
      <w:pPr>
        <w:tabs>
          <w:tab w:val="left" w:pos="1134"/>
        </w:tabs>
        <w:ind w:left="1134" w:hanging="567"/>
        <w:rPr>
          <w:szCs w:val="20"/>
        </w:rPr>
      </w:pPr>
      <w:r w:rsidRPr="009E064B">
        <w:rPr>
          <w:szCs w:val="20"/>
        </w:rPr>
        <w:t xml:space="preserve">(3) </w:t>
      </w:r>
      <w:r w:rsidRPr="009E064B">
        <w:rPr>
          <w:szCs w:val="20"/>
        </w:rPr>
        <w:tab/>
        <w:t xml:space="preserve">Chromatyczność świateł pośredniego miejsca oczekiwania powinna być zgodna ze </w:t>
      </w:r>
      <w:r w:rsidR="00B518E5" w:rsidRPr="009E064B">
        <w:rPr>
          <w:szCs w:val="20"/>
        </w:rPr>
        <w:t xml:space="preserve">specyfikacjami określonymi w </w:t>
      </w:r>
      <w:hyperlink w:anchor="_CS_ADR-DSN.U.930_" w:history="1">
        <w:r w:rsidR="00B518E5" w:rsidRPr="009E064B">
          <w:rPr>
            <w:rStyle w:val="Hipercze"/>
            <w:szCs w:val="20"/>
          </w:rPr>
          <w:t>CS </w:t>
        </w:r>
        <w:r w:rsidRPr="009E064B">
          <w:rPr>
            <w:rStyle w:val="Hipercze"/>
            <w:szCs w:val="20"/>
          </w:rPr>
          <w:t>ADR-DSN.U.930</w:t>
        </w:r>
      </w:hyperlink>
      <w:r w:rsidRPr="009E064B">
        <w:rPr>
          <w:szCs w:val="20"/>
        </w:rPr>
        <w:t xml:space="preserve"> i </w:t>
      </w:r>
      <w:r w:rsidR="004F0F33" w:rsidRPr="00BA0D33">
        <w:rPr>
          <w:szCs w:val="20"/>
        </w:rPr>
        <w:t xml:space="preserve">odpowiednio </w:t>
      </w:r>
      <w:r w:rsidRPr="00BA0D33">
        <w:rPr>
          <w:szCs w:val="20"/>
        </w:rPr>
        <w:t>na Rysunku U-1</w:t>
      </w:r>
      <w:r w:rsidR="004F0F33" w:rsidRPr="00BA0D33">
        <w:rPr>
          <w:szCs w:val="20"/>
        </w:rPr>
        <w:t>A lub U1B</w:t>
      </w:r>
      <w:r w:rsidRPr="00BA0D33">
        <w:rPr>
          <w:szCs w:val="20"/>
        </w:rPr>
        <w:t>.</w:t>
      </w:r>
    </w:p>
    <w:p w14:paraId="2D6CFF5A" w14:textId="45E5FE62" w:rsidR="00C36D76" w:rsidRPr="009E064B" w:rsidRDefault="00C36D76" w:rsidP="008A6F4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820320B" w14:textId="77777777" w:rsidR="00D22426" w:rsidRPr="009E064B" w:rsidRDefault="00D22426" w:rsidP="008A6F43">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98CDA84" w14:textId="6EAE0ECB" w:rsidR="000D4914" w:rsidRPr="009E064B" w:rsidRDefault="00A133BD" w:rsidP="00133B99">
      <w:pPr>
        <w:pStyle w:val="Nagwek6"/>
      </w:pPr>
      <w:bookmarkStart w:id="1595" w:name="_Toc401059050"/>
      <w:bookmarkStart w:id="1596" w:name="_Toc482886916"/>
      <w:bookmarkStart w:id="1597" w:name="_Toc12533226"/>
      <w:r w:rsidRPr="009E064B">
        <w:t xml:space="preserve">GM1 ADR-DSN.M.735     </w:t>
      </w:r>
      <w:r w:rsidR="000D4914" w:rsidRPr="009E064B">
        <w:t>Światła pośredniego miejsca oczekiwania</w:t>
      </w:r>
      <w:bookmarkEnd w:id="1595"/>
      <w:bookmarkEnd w:id="1596"/>
      <w:bookmarkEnd w:id="1597"/>
    </w:p>
    <w:p w14:paraId="76079FFD" w14:textId="68F4B572"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BA7C3FC" w14:textId="77777777" w:rsidR="000D4914" w:rsidRPr="009E064B" w:rsidRDefault="000D4914" w:rsidP="00A133BD">
      <w:pPr>
        <w:rPr>
          <w:szCs w:val="20"/>
        </w:rPr>
      </w:pPr>
      <w:r w:rsidRPr="009E064B">
        <w:rPr>
          <w:szCs w:val="20"/>
        </w:rPr>
        <w:t>Celowo pozostawiono puste.</w:t>
      </w:r>
    </w:p>
    <w:p w14:paraId="2B626F55" w14:textId="45AF75A0" w:rsidR="00C36D76" w:rsidRPr="009E064B" w:rsidRDefault="00B2141E" w:rsidP="00B2141E">
      <w:pPr>
        <w:pStyle w:val="Nagwek4"/>
        <w:tabs>
          <w:tab w:val="clear" w:pos="2694"/>
          <w:tab w:val="left" w:pos="2552"/>
        </w:tabs>
        <w:ind w:left="2552" w:hanging="2552"/>
        <w:rPr>
          <w:color w:val="auto"/>
        </w:rPr>
      </w:pPr>
      <w:bookmarkStart w:id="1598" w:name="_Toc482886693"/>
      <w:bookmarkStart w:id="1599" w:name="_Toc12533227"/>
      <w:r w:rsidRPr="009E064B">
        <w:rPr>
          <w:color w:val="auto"/>
        </w:rPr>
        <w:t xml:space="preserve">CS ADR-DSN.M.740     </w:t>
      </w:r>
      <w:r w:rsidR="00C36D76" w:rsidRPr="009E064B">
        <w:rPr>
          <w:color w:val="auto"/>
        </w:rPr>
        <w:t>Światła wyjazdu ze stanowiska do odladzania</w:t>
      </w:r>
      <w:r w:rsidRPr="009E064B">
        <w:rPr>
          <w:color w:val="auto"/>
        </w:rPr>
        <w:t xml:space="preserve"> </w:t>
      </w:r>
      <w:r w:rsidR="00C36D76" w:rsidRPr="009E064B">
        <w:rPr>
          <w:color w:val="auto"/>
        </w:rPr>
        <w:t>/ przeciwdziałania oblodzeniu</w:t>
      </w:r>
      <w:bookmarkEnd w:id="1598"/>
      <w:bookmarkEnd w:id="1599"/>
    </w:p>
    <w:p w14:paraId="2C84BE5F" w14:textId="1C3AB30F"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A55DBC7" w14:textId="2BEF204B"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 xml:space="preserve">Zastosowanie: Światła wyjazdu ze stanowiska </w:t>
      </w:r>
      <w:r w:rsidRPr="009E064B">
        <w:rPr>
          <w:rFonts w:cs="TimesNewRomanPS-ItalicMT"/>
          <w:iCs/>
          <w:szCs w:val="20"/>
        </w:rPr>
        <w:t>do odladzania</w:t>
      </w:r>
      <w:r w:rsidR="00B518E5" w:rsidRPr="009E064B">
        <w:rPr>
          <w:rFonts w:cs="TimesNewRomanPS-ItalicMT"/>
          <w:iCs/>
          <w:szCs w:val="20"/>
        </w:rPr>
        <w:t> </w:t>
      </w:r>
      <w:r w:rsidRPr="009E064B">
        <w:rPr>
          <w:rFonts w:cs="TimesNewRomanPS-ItalicMT"/>
          <w:iCs/>
          <w:szCs w:val="20"/>
        </w:rPr>
        <w:t>/</w:t>
      </w:r>
      <w:r w:rsidR="00B518E5" w:rsidRPr="009E064B">
        <w:rPr>
          <w:rFonts w:cs="TimesNewRomanPS-ItalicMT"/>
          <w:iCs/>
          <w:szCs w:val="20"/>
        </w:rPr>
        <w:t> </w:t>
      </w:r>
      <w:r w:rsidRPr="009E064B">
        <w:rPr>
          <w:rFonts w:cs="TimesNewRomanPS-ItalicMT"/>
          <w:iCs/>
          <w:szCs w:val="20"/>
        </w:rPr>
        <w:t xml:space="preserve">przeciwdziałania </w:t>
      </w:r>
      <w:r w:rsidRPr="009E064B">
        <w:rPr>
          <w:szCs w:val="20"/>
        </w:rPr>
        <w:t xml:space="preserve">oblodzeniu powinny być zainstalowane na granicy oddalonego stanowiska </w:t>
      </w:r>
      <w:r w:rsidRPr="009E064B">
        <w:rPr>
          <w:rFonts w:cs="TimesNewRomanPS-ItalicMT"/>
          <w:iCs/>
          <w:szCs w:val="20"/>
        </w:rPr>
        <w:t>do odladzania/ przeciwdziałania oblodzeniu</w:t>
      </w:r>
      <w:r w:rsidRPr="009E064B">
        <w:rPr>
          <w:szCs w:val="20"/>
        </w:rPr>
        <w:t>, przylegającego do drogi kołowania.</w:t>
      </w:r>
    </w:p>
    <w:p w14:paraId="4ADD6192" w14:textId="1BC90E26"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Światła wyjazdu ze stanowiska odladzania/przeciwdziałania oblodzeniu powinny być zlokalizowane w odległości 0.3 m od oznakowania pośredniego miejsca oczekiwania umieszczonego na granicy oddalo</w:t>
      </w:r>
      <w:r w:rsidR="00B518E5" w:rsidRPr="009E064B">
        <w:rPr>
          <w:szCs w:val="20"/>
        </w:rPr>
        <w:t>nego stanowiska do odladzania / </w:t>
      </w:r>
      <w:r w:rsidRPr="009E064B">
        <w:rPr>
          <w:szCs w:val="20"/>
        </w:rPr>
        <w:t>przeciwdziałania oblodzeniu.</w:t>
      </w:r>
    </w:p>
    <w:p w14:paraId="29F4F6AE" w14:textId="78AFB21C"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 xml:space="preserve">Charakterystyki: Światła wyjazdu ze stanowiska </w:t>
      </w:r>
      <w:r w:rsidRPr="009E064B">
        <w:rPr>
          <w:rFonts w:cs="TimesNewRomanPS-ItalicMT"/>
          <w:iCs/>
          <w:szCs w:val="20"/>
        </w:rPr>
        <w:t>do odladzania</w:t>
      </w:r>
      <w:r w:rsidR="00B518E5" w:rsidRPr="009E064B">
        <w:rPr>
          <w:rFonts w:cs="TimesNewRomanPS-ItalicMT"/>
          <w:iCs/>
          <w:szCs w:val="20"/>
        </w:rPr>
        <w:t> </w:t>
      </w:r>
      <w:r w:rsidRPr="009E064B">
        <w:rPr>
          <w:rFonts w:cs="TimesNewRomanPS-ItalicMT"/>
          <w:iCs/>
          <w:szCs w:val="20"/>
        </w:rPr>
        <w:t>/</w:t>
      </w:r>
      <w:r w:rsidR="00B518E5" w:rsidRPr="009E064B">
        <w:rPr>
          <w:rFonts w:cs="TimesNewRomanPS-ItalicMT"/>
          <w:iCs/>
          <w:szCs w:val="20"/>
        </w:rPr>
        <w:t> </w:t>
      </w:r>
      <w:r w:rsidRPr="009E064B">
        <w:rPr>
          <w:rFonts w:cs="TimesNewRomanPS-ItalicMT"/>
          <w:iCs/>
          <w:szCs w:val="20"/>
        </w:rPr>
        <w:t>przeciwdziałania oblodzeniu</w:t>
      </w:r>
      <w:r w:rsidRPr="009E064B">
        <w:rPr>
          <w:szCs w:val="20"/>
        </w:rPr>
        <w:t xml:space="preserve"> powinny być zagłębionymi światłami jednokierunkowymi, rozmieszczonymi w odstępach 6 m, koloru żółtego, widocznymi od strony, z której zbliżają się statki powietrzne; charakterystyka rozkładu wiązki światła powinna być podobna do świateł linii śr</w:t>
      </w:r>
      <w:r w:rsidR="00B518E5" w:rsidRPr="009E064B">
        <w:rPr>
          <w:szCs w:val="20"/>
        </w:rPr>
        <w:t>odkowej drogi kołowania (patrz R</w:t>
      </w:r>
      <w:r w:rsidRPr="009E064B">
        <w:rPr>
          <w:szCs w:val="20"/>
        </w:rPr>
        <w:t>ysunek M-11).</w:t>
      </w:r>
    </w:p>
    <w:p w14:paraId="35A8467B" w14:textId="3709F3CB" w:rsidR="00C36D76" w:rsidRPr="00351FED" w:rsidRDefault="00C36D76" w:rsidP="00B06A9A">
      <w:pPr>
        <w:tabs>
          <w:tab w:val="left" w:pos="567"/>
        </w:tabs>
        <w:ind w:left="567" w:hanging="567"/>
        <w:rPr>
          <w:szCs w:val="20"/>
        </w:rPr>
      </w:pPr>
      <w:r w:rsidRPr="009E064B">
        <w:rPr>
          <w:szCs w:val="20"/>
        </w:rPr>
        <w:t xml:space="preserve">(d) </w:t>
      </w:r>
      <w:r w:rsidRPr="009E064B">
        <w:rPr>
          <w:szCs w:val="20"/>
        </w:rPr>
        <w:tab/>
        <w:t xml:space="preserve">Chromatyczność świateł wyjazdu ze stanowiska do odladzania/przeciwdziałania oblodzeniu powinna być zgodna ze specyfikacjami określonymi w </w:t>
      </w:r>
      <w:hyperlink w:anchor="_CS_ADR-DSN.U.930_" w:history="1">
        <w:r w:rsidRPr="009E064B">
          <w:rPr>
            <w:rStyle w:val="Hipercze"/>
            <w:szCs w:val="20"/>
          </w:rPr>
          <w:t>CS</w:t>
        </w:r>
        <w:r w:rsidR="00B518E5" w:rsidRPr="009E064B">
          <w:rPr>
            <w:rStyle w:val="Hipercze"/>
            <w:szCs w:val="20"/>
          </w:rPr>
          <w:t> </w:t>
        </w:r>
        <w:r w:rsidRPr="009E064B">
          <w:rPr>
            <w:rStyle w:val="Hipercze"/>
            <w:szCs w:val="20"/>
          </w:rPr>
          <w:t>ADR-DSN.U.930</w:t>
        </w:r>
      </w:hyperlink>
      <w:r w:rsidRPr="009E064B">
        <w:rPr>
          <w:szCs w:val="20"/>
        </w:rPr>
        <w:t xml:space="preserve"> </w:t>
      </w:r>
      <w:r w:rsidRPr="00351FED">
        <w:rPr>
          <w:szCs w:val="20"/>
        </w:rPr>
        <w:t xml:space="preserve">i </w:t>
      </w:r>
      <w:r w:rsidR="004F0F33" w:rsidRPr="00351FED">
        <w:rPr>
          <w:szCs w:val="20"/>
        </w:rPr>
        <w:t xml:space="preserve">odpowiednio </w:t>
      </w:r>
      <w:r w:rsidRPr="00351FED">
        <w:rPr>
          <w:szCs w:val="20"/>
        </w:rPr>
        <w:t>na Rysunku U-1</w:t>
      </w:r>
      <w:r w:rsidR="004F0F33" w:rsidRPr="00351FED">
        <w:rPr>
          <w:szCs w:val="20"/>
        </w:rPr>
        <w:t>A lub U1B</w:t>
      </w:r>
      <w:r w:rsidRPr="00351FED">
        <w:rPr>
          <w:szCs w:val="20"/>
        </w:rPr>
        <w:t>.</w:t>
      </w:r>
    </w:p>
    <w:p w14:paraId="13A4AB49" w14:textId="77777777" w:rsidR="00C36D76" w:rsidRPr="009E064B" w:rsidRDefault="00C36D76" w:rsidP="00E30571">
      <w:pPr>
        <w:spacing w:after="0"/>
        <w:rPr>
          <w:b/>
          <w:szCs w:val="20"/>
        </w:rPr>
      </w:pPr>
    </w:p>
    <w:p w14:paraId="2F4BD7C0" w14:textId="034C4E6F" w:rsidR="00C36D76" w:rsidRPr="009E064B" w:rsidRDefault="006270AE" w:rsidP="00B06A9A">
      <w:pPr>
        <w:rPr>
          <w:b/>
          <w:szCs w:val="20"/>
        </w:rPr>
      </w:pPr>
      <w:r w:rsidRPr="009E064B">
        <w:rPr>
          <w:noProof/>
          <w:lang w:eastAsia="pl-PL"/>
        </w:rPr>
        <w:drawing>
          <wp:inline distT="0" distB="0" distL="0" distR="0" wp14:anchorId="0DD746B1" wp14:editId="3EC21789">
            <wp:extent cx="5760720" cy="3063240"/>
            <wp:effectExtent l="0" t="0" r="0" b="0"/>
            <wp:docPr id="6551" name="Obraz 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60720" cy="3063240"/>
                    </a:xfrm>
                    <a:prstGeom prst="rect">
                      <a:avLst/>
                    </a:prstGeom>
                    <a:noFill/>
                    <a:ln>
                      <a:noFill/>
                    </a:ln>
                  </pic:spPr>
                </pic:pic>
              </a:graphicData>
            </a:graphic>
          </wp:inline>
        </w:drawing>
      </w:r>
    </w:p>
    <w:p w14:paraId="0BA0BE7D" w14:textId="634F2171" w:rsidR="00C36D76" w:rsidRPr="00351FED" w:rsidRDefault="00C36D76" w:rsidP="00B06A9A">
      <w:pPr>
        <w:spacing w:after="0"/>
        <w:ind w:right="10"/>
        <w:jc w:val="center"/>
        <w:rPr>
          <w:rFonts w:cs="TimesNewRomanPSMT"/>
          <w:b/>
          <w:szCs w:val="20"/>
        </w:rPr>
      </w:pPr>
      <w:r w:rsidRPr="00351FED">
        <w:rPr>
          <w:rFonts w:cs="TimesNewRomanPSMT"/>
          <w:b/>
          <w:sz w:val="20"/>
          <w:szCs w:val="20"/>
        </w:rPr>
        <w:t xml:space="preserve">Rysunek M-11.  </w:t>
      </w:r>
      <w:r w:rsidR="00820B06" w:rsidRPr="00351FED">
        <w:rPr>
          <w:rFonts w:cs="TimesNewRomanPSMT"/>
          <w:b/>
          <w:sz w:val="20"/>
          <w:szCs w:val="20"/>
        </w:rPr>
        <w:t xml:space="preserve"> </w:t>
      </w:r>
      <w:r w:rsidRPr="00351FED">
        <w:rPr>
          <w:rFonts w:cs="TimesNewRomanPSMT"/>
          <w:b/>
          <w:sz w:val="20"/>
          <w:szCs w:val="20"/>
        </w:rPr>
        <w:t>Przykład oddalonego stanowiska do odladzania / przeciwdziałania oblodzeniu</w:t>
      </w:r>
    </w:p>
    <w:p w14:paraId="30B87DCE" w14:textId="5F6528E3" w:rsidR="00C36D76" w:rsidRPr="009E064B" w:rsidRDefault="00C36D76" w:rsidP="008A6F43">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92D0A15" w14:textId="5EA29D27" w:rsidR="00321E77" w:rsidRPr="00351FED" w:rsidRDefault="00321E77" w:rsidP="008A6F43">
      <w:pPr>
        <w:pStyle w:val="Tekstpodstawowy"/>
        <w:ind w:left="23" w:hanging="23"/>
        <w:rPr>
          <w:rFonts w:asciiTheme="minorHAnsi" w:hAnsiTheme="minorHAnsi" w:cstheme="minorHAnsi"/>
          <w:i/>
          <w:sz w:val="16"/>
          <w:szCs w:val="16"/>
        </w:rPr>
      </w:pPr>
      <w:r w:rsidRPr="00351FED">
        <w:rPr>
          <w:rFonts w:asciiTheme="minorHAnsi" w:hAnsiTheme="minorHAnsi" w:cstheme="minorHAnsi"/>
          <w:i/>
          <w:sz w:val="16"/>
          <w:szCs w:val="16"/>
        </w:rPr>
        <w:t>[Wydanie: ADR-DSN/4]</w:t>
      </w:r>
    </w:p>
    <w:p w14:paraId="1F73D8E8" w14:textId="77777777" w:rsidR="00321E77" w:rsidRPr="009E064B" w:rsidRDefault="00321E77" w:rsidP="00321E77">
      <w:pPr>
        <w:pStyle w:val="Tekstpodstawowy"/>
        <w:spacing w:after="0"/>
        <w:ind w:left="23" w:hanging="23"/>
        <w:rPr>
          <w:rFonts w:asciiTheme="minorHAnsi" w:hAnsiTheme="minorHAnsi" w:cstheme="minorHAnsi"/>
          <w:i/>
          <w:sz w:val="16"/>
          <w:szCs w:val="16"/>
        </w:rPr>
      </w:pPr>
    </w:p>
    <w:p w14:paraId="30BF0AC0" w14:textId="2B7B4688" w:rsidR="000D4914" w:rsidRPr="009E064B" w:rsidRDefault="00A133BD" w:rsidP="00133B99">
      <w:pPr>
        <w:pStyle w:val="Nagwek6"/>
      </w:pPr>
      <w:bookmarkStart w:id="1600" w:name="_Toc401059051"/>
      <w:bookmarkStart w:id="1601" w:name="_Toc482886917"/>
      <w:bookmarkStart w:id="1602" w:name="_Toc12533228"/>
      <w:r w:rsidRPr="009E064B">
        <w:t xml:space="preserve">GM1 ADR-DSN.M.740     </w:t>
      </w:r>
      <w:r w:rsidR="000D4914" w:rsidRPr="009E064B">
        <w:t>Światła wyjazdu ze stanowiska do odladzania</w:t>
      </w:r>
      <w:r w:rsidR="00820B06" w:rsidRPr="009E064B">
        <w:t> </w:t>
      </w:r>
      <w:r w:rsidR="000D4914" w:rsidRPr="009E064B">
        <w:t>/</w:t>
      </w:r>
      <w:r w:rsidR="00820B06" w:rsidRPr="009E064B">
        <w:t> </w:t>
      </w:r>
      <w:r w:rsidR="000D4914" w:rsidRPr="009E064B">
        <w:t>przeciwdziałania</w:t>
      </w:r>
      <w:r w:rsidR="007D1946">
        <w:br/>
        <w:t xml:space="preserve">  </w:t>
      </w:r>
      <w:r w:rsidR="000D4914" w:rsidRPr="009E064B">
        <w:t xml:space="preserve"> oblodzeniu</w:t>
      </w:r>
      <w:bookmarkEnd w:id="1600"/>
      <w:bookmarkEnd w:id="1601"/>
      <w:bookmarkEnd w:id="1602"/>
    </w:p>
    <w:p w14:paraId="51793E57" w14:textId="5C3389C4" w:rsidR="00A133BD" w:rsidRPr="009E064B" w:rsidRDefault="001F74A1" w:rsidP="00A133BD">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4D6C094" w14:textId="13DA809A" w:rsidR="00CD6DFB" w:rsidRPr="009E064B" w:rsidRDefault="000D4914" w:rsidP="00B518E5">
      <w:pPr>
        <w:rPr>
          <w:szCs w:val="20"/>
        </w:rPr>
      </w:pPr>
      <w:r w:rsidRPr="009E064B">
        <w:rPr>
          <w:szCs w:val="20"/>
        </w:rPr>
        <w:t>Celowo pozostawiono puste.</w:t>
      </w:r>
      <w:r w:rsidR="00B518E5" w:rsidRPr="009E064B">
        <w:rPr>
          <w:szCs w:val="20"/>
        </w:rPr>
        <w:t xml:space="preserve">  </w:t>
      </w:r>
    </w:p>
    <w:p w14:paraId="08972DF0" w14:textId="78B1EB8C" w:rsidR="00C36D76" w:rsidRPr="009E064B" w:rsidRDefault="00B2141E" w:rsidP="00B06A9A">
      <w:pPr>
        <w:pStyle w:val="Nagwek4"/>
        <w:rPr>
          <w:color w:val="auto"/>
        </w:rPr>
      </w:pPr>
      <w:bookmarkStart w:id="1603" w:name="_CS_ADR-DSN.M.745_"/>
      <w:bookmarkStart w:id="1604" w:name="_Toc482886694"/>
      <w:bookmarkStart w:id="1605" w:name="_Toc12533229"/>
      <w:bookmarkEnd w:id="1603"/>
      <w:r w:rsidRPr="009E064B">
        <w:rPr>
          <w:color w:val="auto"/>
        </w:rPr>
        <w:t xml:space="preserve">CS ADR-DSN.M.745     </w:t>
      </w:r>
      <w:r w:rsidR="00C36D76" w:rsidRPr="009E064B">
        <w:rPr>
          <w:color w:val="auto"/>
        </w:rPr>
        <w:t>Światła ochronne drogi startowej</w:t>
      </w:r>
      <w:bookmarkEnd w:id="1604"/>
      <w:bookmarkEnd w:id="1605"/>
    </w:p>
    <w:p w14:paraId="4969CC00" w14:textId="58427FA1"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AC9F906" w14:textId="009812EE"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Światła ochronne drogi startowej instalowane są w celu ostrzeżenia pilotów oraz kierowców pojazdów poruszających się po drogach kołowania, że zbliżają się oni do drogi startowej. Istnieją dwa standardowe układy świateł ochronnych drogi startowej, które przedstawiono na Rysunku M-12.</w:t>
      </w:r>
    </w:p>
    <w:p w14:paraId="216334C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Zastosowanie:</w:t>
      </w:r>
    </w:p>
    <w:p w14:paraId="75ED32E0"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ochronne drogi startowej w układzie A powinny być instalowane na każdym skrzyżowaniu drogi kołowania z drogą startową, gdy droga startowa przeznaczonej jest do użycia:</w:t>
      </w:r>
    </w:p>
    <w:p w14:paraId="27C5A121"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 warunkach widzialności wzdłuż drogi startowej mniejszej niż 550 m, jeśli poprzeczka zatrzymania nie jest zainstalowana; oraz</w:t>
      </w:r>
    </w:p>
    <w:p w14:paraId="63C33C3D"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w warunkach widzialności wzdłuż drogi startowej pomiędzy 550 m a 1200 m, jeżeli poziom natężenia ruchu na lotnisku jest duży.</w:t>
      </w:r>
    </w:p>
    <w:p w14:paraId="53EAD46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t>Jako część środków zapobiegania wtargnięciom na drogę startową, ś</w:t>
      </w:r>
      <w:r w:rsidRPr="009E064B">
        <w:rPr>
          <w:szCs w:val="20"/>
        </w:rPr>
        <w:t>wiatła ochronne drogi startowej w układzie A lub B, powinny być instalowane na każdym skrzyżowaniu drogi kołowania/drogi startowej, gdzie zidentyfikowano punkt niebezpieczny ze względu na możliwość wtargnięcia na drogę startową i jest ono użytkowane w każdych warunkach atmosferycznych w dzień i w nocy.</w:t>
      </w:r>
    </w:p>
    <w:p w14:paraId="72E3C1B1" w14:textId="77777777" w:rsidR="00C36D76" w:rsidRPr="009E064B" w:rsidRDefault="00C36D76" w:rsidP="00B06A9A">
      <w:pPr>
        <w:tabs>
          <w:tab w:val="left" w:pos="1134"/>
        </w:tabs>
        <w:ind w:left="1134" w:hanging="567"/>
        <w:rPr>
          <w:szCs w:val="20"/>
        </w:rPr>
      </w:pPr>
      <w:r w:rsidRPr="009E064B">
        <w:rPr>
          <w:szCs w:val="20"/>
        </w:rPr>
        <w:t xml:space="preserve">(3) </w:t>
      </w:r>
      <w:r w:rsidRPr="009E064B">
        <w:rPr>
          <w:szCs w:val="20"/>
        </w:rPr>
        <w:tab/>
        <w:t>Światła ochronne drogi startowej w układzie B nie powinny być rozmieszczane razem z poprzeczką zatrzymania.</w:t>
      </w:r>
    </w:p>
    <w:p w14:paraId="268AA5AE"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t>Lokalizacja</w:t>
      </w:r>
      <w:r w:rsidRPr="009E064B">
        <w:rPr>
          <w:szCs w:val="20"/>
        </w:rPr>
        <w:t>:</w:t>
      </w:r>
    </w:p>
    <w:p w14:paraId="3002B9C9"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ochronne drogi startowej w układzie A powinny być instalowane po każdej stronie drogi kołowania i w tej samej odległości, co oznakowanie miejsca oczekiwania przed drogą startową.</w:t>
      </w:r>
    </w:p>
    <w:p w14:paraId="739E28FC"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ochronne drogi startowej w układzie B powinny być instalowane w poprzek drogi kołowania i w tej samej odległości, co oznakowanie miejsca oczekiwania przed drogą startową.</w:t>
      </w:r>
    </w:p>
    <w:p w14:paraId="15974B01"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Charakterystyka:</w:t>
      </w:r>
    </w:p>
    <w:p w14:paraId="682517CA"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ochronne drogi startowej w układzie A powinny składać się z dwóch par żółtych świateł.</w:t>
      </w:r>
    </w:p>
    <w:p w14:paraId="720E8396"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ochronne drogi startowej w układzie B powinny składać się z żółtych świateł rozmieszczonych w poprzek drogi kołowania w odstępach 3 m.</w:t>
      </w:r>
    </w:p>
    <w:p w14:paraId="31DAFE37"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Wiązka światła powinna być jednokierunkowa i ustawiona w taki sposób, aby była widoczna przez pilota samolotu kołującego do miejsca oczekiwania.</w:t>
      </w:r>
    </w:p>
    <w:p w14:paraId="39574D09" w14:textId="3C6FD22B"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Intensywność świecenia żółtych świateł oraz rozwarcie wiązki w układzie A powinny spełniać wymagania określone w </w:t>
      </w:r>
      <w:hyperlink w:anchor="_CS_ADR-DSN.U.940_" w:history="1">
        <w:r w:rsidR="00B518E5" w:rsidRPr="009E064B">
          <w:rPr>
            <w:rStyle w:val="Hipercze"/>
            <w:szCs w:val="20"/>
          </w:rPr>
          <w:t>CS ADR-DSN.U.940</w:t>
        </w:r>
      </w:hyperlink>
      <w:r w:rsidRPr="009E064B">
        <w:rPr>
          <w:szCs w:val="20"/>
        </w:rPr>
        <w:t>, Rysunek U-27.</w:t>
      </w:r>
    </w:p>
    <w:p w14:paraId="65332FEE" w14:textId="4F956AA0"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 xml:space="preserve">Jeżeli światła ochronne drogi startowej są przeznaczone do wykorzystywania w ciągu dnia, intensywność świecenia żółtych świateł oraz rozwarcie wiązki w układzie A powinny spełniać wymagania określone w </w:t>
      </w:r>
      <w:hyperlink w:anchor="_CS_ADR-DSN.U.940_" w:history="1">
        <w:r w:rsidR="00B518E5" w:rsidRPr="009E064B">
          <w:rPr>
            <w:rStyle w:val="Hipercze"/>
            <w:szCs w:val="20"/>
          </w:rPr>
          <w:t>CS ADR-DSN.U.940</w:t>
        </w:r>
      </w:hyperlink>
      <w:r w:rsidRPr="009E064B">
        <w:rPr>
          <w:szCs w:val="20"/>
        </w:rPr>
        <w:t>, Rysunek U-28.</w:t>
      </w:r>
    </w:p>
    <w:p w14:paraId="77C2993F" w14:textId="78D5DB60"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Jeżeli światła ochronne drogi startowej są określone, jako części składowe zaawansowanego systemu prowadzenia i kontroli ruchu naziemnego, gdzie wymagana jest większa intensywność świecenia, intensywność świecenia żółtych świateł oraz rozwarcie wiązki w układzie A powinny sp</w:t>
      </w:r>
      <w:r w:rsidR="00E30571" w:rsidRPr="009E064B">
        <w:rPr>
          <w:szCs w:val="20"/>
        </w:rPr>
        <w:t xml:space="preserve">ełniać wymagania określone </w:t>
      </w:r>
      <w:r w:rsidR="00E30571" w:rsidRPr="009E064B">
        <w:rPr>
          <w:szCs w:val="20"/>
        </w:rPr>
        <w:br/>
        <w:t>w </w:t>
      </w:r>
      <w:hyperlink w:anchor="_CS_ADR-DSN.U.940_" w:history="1">
        <w:r w:rsidR="00B518E5" w:rsidRPr="009E064B">
          <w:rPr>
            <w:rStyle w:val="Hipercze"/>
            <w:szCs w:val="20"/>
          </w:rPr>
          <w:t>CS ADR-DSN.U.940</w:t>
        </w:r>
      </w:hyperlink>
      <w:r w:rsidRPr="009E064B">
        <w:rPr>
          <w:szCs w:val="20"/>
        </w:rPr>
        <w:t>, Rysunek U-28.</w:t>
      </w:r>
    </w:p>
    <w:p w14:paraId="7F7DF347" w14:textId="11E60A2E"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 xml:space="preserve">Intensywność świecenia żółtych świateł oraz rozwarcie wiązki w układzie B powinny spełniać wymagania określone w </w:t>
      </w:r>
      <w:hyperlink w:anchor="_CS_ADR-DSN.U.940_" w:history="1">
        <w:r w:rsidR="00B518E5" w:rsidRPr="009E064B">
          <w:rPr>
            <w:rStyle w:val="Hipercze"/>
            <w:szCs w:val="20"/>
          </w:rPr>
          <w:t>CS ADR-DSN.U.940</w:t>
        </w:r>
      </w:hyperlink>
      <w:r w:rsidRPr="009E064B">
        <w:rPr>
          <w:szCs w:val="20"/>
        </w:rPr>
        <w:t>, Rysunek U-28.</w:t>
      </w:r>
    </w:p>
    <w:p w14:paraId="1DEAF27E" w14:textId="433F8824"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r>
      <w:r w:rsidRPr="009E064B">
        <w:rPr>
          <w:szCs w:val="20"/>
        </w:rPr>
        <w:t>Jeżeli światła ochronne drogi startowej są przeznaczone do wykorzystywania w ciągu dnia, intensywność świecenia żółtych świateł o</w:t>
      </w:r>
      <w:r w:rsidR="006B49E7" w:rsidRPr="009E064B">
        <w:rPr>
          <w:szCs w:val="20"/>
        </w:rPr>
        <w:t>raz rozwarcie wiązki w układzie </w:t>
      </w:r>
      <w:r w:rsidRPr="009E064B">
        <w:rPr>
          <w:szCs w:val="20"/>
        </w:rPr>
        <w:t xml:space="preserve">B powinny spełniać wymagania określone w </w:t>
      </w:r>
      <w:hyperlink w:anchor="_CS_ADR-DSN.U.940_" w:history="1">
        <w:r w:rsidR="00B518E5" w:rsidRPr="009E064B">
          <w:rPr>
            <w:rStyle w:val="Hipercze"/>
            <w:szCs w:val="20"/>
          </w:rPr>
          <w:t>CS ADR-DSN.U.940</w:t>
        </w:r>
      </w:hyperlink>
      <w:r w:rsidRPr="009E064B">
        <w:rPr>
          <w:szCs w:val="20"/>
        </w:rPr>
        <w:t>, Rysunek U-24.</w:t>
      </w:r>
    </w:p>
    <w:p w14:paraId="59657D73" w14:textId="07E8C017" w:rsidR="00C36D76" w:rsidRPr="009E064B" w:rsidRDefault="00C36D76" w:rsidP="00B06A9A">
      <w:pPr>
        <w:tabs>
          <w:tab w:val="left" w:pos="1134"/>
        </w:tabs>
        <w:ind w:left="1134" w:hanging="567"/>
        <w:rPr>
          <w:szCs w:val="20"/>
        </w:rPr>
      </w:pPr>
      <w:r w:rsidRPr="009E064B">
        <w:rPr>
          <w:rFonts w:cs="Times New Roman"/>
          <w:szCs w:val="20"/>
        </w:rPr>
        <w:t xml:space="preserve">(9) </w:t>
      </w:r>
      <w:r w:rsidRPr="009E064B">
        <w:rPr>
          <w:rFonts w:cs="Times New Roman"/>
          <w:szCs w:val="20"/>
        </w:rPr>
        <w:tab/>
      </w:r>
      <w:r w:rsidRPr="009E064B">
        <w:rPr>
          <w:szCs w:val="20"/>
        </w:rPr>
        <w:t>Jeżeli światła ochronne drogi startowej są określone, jako części składowe zaawansowanego systemu prowadzenia i kontroli ruchu naziemnego, gdzie wymagana jest większa intensywność świecenia, intensywność świecenia żółtych świateł oraz rozwarcie wiązki w układzie B powinny spełniać w</w:t>
      </w:r>
      <w:r w:rsidR="00E30571" w:rsidRPr="009E064B">
        <w:rPr>
          <w:szCs w:val="20"/>
        </w:rPr>
        <w:t>ymagania określone</w:t>
      </w:r>
      <w:r w:rsidR="006B49E7" w:rsidRPr="009E064B">
        <w:rPr>
          <w:szCs w:val="20"/>
        </w:rPr>
        <w:t xml:space="preserve"> </w:t>
      </w:r>
      <w:r w:rsidR="006B49E7" w:rsidRPr="009E064B">
        <w:rPr>
          <w:szCs w:val="20"/>
        </w:rPr>
        <w:br/>
        <w:t>w </w:t>
      </w:r>
      <w:hyperlink w:anchor="_CS_ADR-DSN.U.940_" w:history="1">
        <w:r w:rsidR="00B518E5" w:rsidRPr="009E064B">
          <w:rPr>
            <w:rStyle w:val="Hipercze"/>
            <w:szCs w:val="20"/>
          </w:rPr>
          <w:t>CS ADR-DSN.U.940</w:t>
        </w:r>
      </w:hyperlink>
      <w:r w:rsidRPr="009E064B">
        <w:rPr>
          <w:szCs w:val="20"/>
        </w:rPr>
        <w:t>, Rysunek U-24.</w:t>
      </w:r>
    </w:p>
    <w:p w14:paraId="258A8F07" w14:textId="77777777" w:rsidR="00C36D76" w:rsidRPr="009E064B" w:rsidRDefault="00C36D76" w:rsidP="00B06A9A">
      <w:pPr>
        <w:tabs>
          <w:tab w:val="left" w:pos="1134"/>
        </w:tabs>
        <w:ind w:left="1134" w:hanging="567"/>
        <w:rPr>
          <w:szCs w:val="20"/>
        </w:rPr>
      </w:pPr>
      <w:r w:rsidRPr="009E064B">
        <w:rPr>
          <w:rFonts w:cs="Times New Roman"/>
          <w:szCs w:val="20"/>
        </w:rPr>
        <w:t xml:space="preserve">(10) </w:t>
      </w:r>
      <w:r w:rsidRPr="009E064B">
        <w:rPr>
          <w:rFonts w:cs="Times New Roman"/>
          <w:szCs w:val="20"/>
        </w:rPr>
        <w:tab/>
      </w:r>
      <w:r w:rsidRPr="009E064B">
        <w:rPr>
          <w:szCs w:val="20"/>
        </w:rPr>
        <w:t>Światła w każdym zespole lamp w układzie A powinny świecić naprzemiennie.</w:t>
      </w:r>
    </w:p>
    <w:p w14:paraId="4F9DC8BF" w14:textId="77777777" w:rsidR="00C36D76" w:rsidRPr="009E064B" w:rsidRDefault="00C36D76" w:rsidP="00B06A9A">
      <w:pPr>
        <w:tabs>
          <w:tab w:val="left" w:pos="1134"/>
        </w:tabs>
        <w:ind w:left="1134" w:hanging="567"/>
        <w:rPr>
          <w:szCs w:val="20"/>
        </w:rPr>
      </w:pPr>
      <w:r w:rsidRPr="009E064B">
        <w:rPr>
          <w:rFonts w:cs="Times New Roman"/>
          <w:szCs w:val="20"/>
        </w:rPr>
        <w:t xml:space="preserve">(11) </w:t>
      </w:r>
      <w:r w:rsidRPr="009E064B">
        <w:rPr>
          <w:rFonts w:cs="Times New Roman"/>
          <w:szCs w:val="20"/>
        </w:rPr>
        <w:tab/>
      </w:r>
      <w:r w:rsidRPr="009E064B">
        <w:rPr>
          <w:szCs w:val="20"/>
        </w:rPr>
        <w:t>W przypadku układu B, światła sąsiednie powinny świecić naprzemiennie, światła alternatywne mają świecić jednocześnie.</w:t>
      </w:r>
    </w:p>
    <w:p w14:paraId="732B32FB" w14:textId="77777777" w:rsidR="00C36D76" w:rsidRPr="009E064B" w:rsidRDefault="00C36D76" w:rsidP="00B06A9A">
      <w:pPr>
        <w:tabs>
          <w:tab w:val="left" w:pos="1134"/>
        </w:tabs>
        <w:ind w:left="1134" w:hanging="567"/>
        <w:rPr>
          <w:szCs w:val="20"/>
        </w:rPr>
      </w:pPr>
      <w:r w:rsidRPr="009E064B">
        <w:rPr>
          <w:rFonts w:cs="Times New Roman"/>
          <w:szCs w:val="20"/>
        </w:rPr>
        <w:t xml:space="preserve">(12) </w:t>
      </w:r>
      <w:r w:rsidRPr="009E064B">
        <w:rPr>
          <w:rFonts w:cs="Times New Roman"/>
          <w:szCs w:val="20"/>
        </w:rPr>
        <w:tab/>
      </w:r>
      <w:r w:rsidRPr="009E064B">
        <w:rPr>
          <w:szCs w:val="20"/>
        </w:rPr>
        <w:t>Światła powinny zapalać się z częstotliwością od 30 do 60 cykli na minutę, a okresy świecenia i przerwy powinny być jednakowe i przeciwne w fazie.</w:t>
      </w:r>
    </w:p>
    <w:p w14:paraId="5B4FC117" w14:textId="070A2FF7" w:rsidR="00C36D76" w:rsidRPr="00351FED" w:rsidRDefault="00C36D76" w:rsidP="00B06A9A">
      <w:pPr>
        <w:tabs>
          <w:tab w:val="left" w:pos="1134"/>
        </w:tabs>
        <w:ind w:left="1134" w:hanging="567"/>
        <w:rPr>
          <w:szCs w:val="20"/>
        </w:rPr>
      </w:pPr>
      <w:r w:rsidRPr="009E064B">
        <w:rPr>
          <w:szCs w:val="20"/>
        </w:rPr>
        <w:t xml:space="preserve">(13) </w:t>
      </w:r>
      <w:r w:rsidRPr="009E064B">
        <w:rPr>
          <w:szCs w:val="20"/>
        </w:rPr>
        <w:tab/>
        <w:t xml:space="preserve">Chromatyczność świateł ochronnych drogi startowej powinna być zgodna ze specyfikacjami określonymi w </w:t>
      </w:r>
      <w:hyperlink w:anchor="_CS_ADR-DSN.U.930_" w:history="1">
        <w:r w:rsidRPr="009E064B">
          <w:rPr>
            <w:rStyle w:val="Hipercze"/>
            <w:szCs w:val="20"/>
          </w:rPr>
          <w:t>CS ADR-DSN.U.930</w:t>
        </w:r>
      </w:hyperlink>
      <w:r w:rsidRPr="009E064B">
        <w:rPr>
          <w:szCs w:val="20"/>
        </w:rPr>
        <w:t xml:space="preserve"> i </w:t>
      </w:r>
      <w:r w:rsidR="001B684F" w:rsidRPr="00351FED">
        <w:rPr>
          <w:szCs w:val="20"/>
        </w:rPr>
        <w:t xml:space="preserve">odpowiednio </w:t>
      </w:r>
      <w:r w:rsidRPr="00351FED">
        <w:rPr>
          <w:szCs w:val="20"/>
        </w:rPr>
        <w:t>na Rysunku U-1</w:t>
      </w:r>
      <w:r w:rsidR="001B684F" w:rsidRPr="00351FED">
        <w:rPr>
          <w:szCs w:val="20"/>
        </w:rPr>
        <w:t>A lub U1B</w:t>
      </w:r>
      <w:r w:rsidRPr="00351FED">
        <w:rPr>
          <w:szCs w:val="20"/>
        </w:rPr>
        <w:t>.</w:t>
      </w:r>
    </w:p>
    <w:p w14:paraId="5FB9393C" w14:textId="59997795" w:rsidR="00CD6DFB" w:rsidRPr="009E064B" w:rsidRDefault="00CD6DFB" w:rsidP="00CD6DFB">
      <w:pPr>
        <w:tabs>
          <w:tab w:val="left" w:pos="1134"/>
        </w:tabs>
        <w:rPr>
          <w:szCs w:val="20"/>
        </w:rPr>
      </w:pPr>
    </w:p>
    <w:p w14:paraId="6F8D6A2A" w14:textId="7E407736" w:rsidR="00CD6DFB" w:rsidRPr="009E064B" w:rsidRDefault="00CD6DFB" w:rsidP="00CD6DFB">
      <w:pPr>
        <w:tabs>
          <w:tab w:val="left" w:pos="1134"/>
        </w:tabs>
        <w:rPr>
          <w:szCs w:val="20"/>
        </w:rPr>
      </w:pPr>
      <w:r w:rsidRPr="009E064B">
        <w:rPr>
          <w:noProof/>
          <w:lang w:eastAsia="pl-PL"/>
        </w:rPr>
        <w:drawing>
          <wp:inline distT="0" distB="0" distL="0" distR="0" wp14:anchorId="177C02CA" wp14:editId="68C1769A">
            <wp:extent cx="5760720" cy="2743200"/>
            <wp:effectExtent l="0" t="0" r="0" b="0"/>
            <wp:docPr id="6552" name="Obraz 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60720" cy="2743200"/>
                    </a:xfrm>
                    <a:prstGeom prst="rect">
                      <a:avLst/>
                    </a:prstGeom>
                    <a:noFill/>
                    <a:ln>
                      <a:noFill/>
                    </a:ln>
                  </pic:spPr>
                </pic:pic>
              </a:graphicData>
            </a:graphic>
          </wp:inline>
        </w:drawing>
      </w:r>
    </w:p>
    <w:p w14:paraId="021490CF" w14:textId="77777777" w:rsidR="00C36D76" w:rsidRPr="00351FED" w:rsidRDefault="00C36D76" w:rsidP="00B06A9A">
      <w:pPr>
        <w:spacing w:after="240"/>
        <w:ind w:right="11"/>
        <w:jc w:val="center"/>
        <w:rPr>
          <w:b/>
          <w:sz w:val="20"/>
        </w:rPr>
      </w:pPr>
      <w:r w:rsidRPr="00351FED">
        <w:rPr>
          <w:b/>
          <w:sz w:val="20"/>
        </w:rPr>
        <w:t>Rysunek M-12.  Światła ochronne drogi startowej</w:t>
      </w:r>
    </w:p>
    <w:p w14:paraId="6A0402C1" w14:textId="2CDE0C7A"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C72F40E" w14:textId="771A3094" w:rsidR="008A6F43" w:rsidRPr="00351FED" w:rsidRDefault="00321E77" w:rsidP="008A6F43">
      <w:pPr>
        <w:pStyle w:val="Tekstpodstawowy"/>
        <w:ind w:left="23" w:hanging="23"/>
        <w:rPr>
          <w:rFonts w:asciiTheme="minorHAnsi" w:hAnsiTheme="minorHAnsi" w:cstheme="minorHAnsi"/>
          <w:i/>
          <w:sz w:val="16"/>
          <w:szCs w:val="16"/>
        </w:rPr>
      </w:pPr>
      <w:r w:rsidRPr="00351FED">
        <w:rPr>
          <w:rFonts w:asciiTheme="minorHAnsi" w:hAnsiTheme="minorHAnsi" w:cstheme="minorHAnsi"/>
          <w:i/>
          <w:sz w:val="16"/>
          <w:szCs w:val="16"/>
        </w:rPr>
        <w:t>[Wydanie: ADR-DSN/4]</w:t>
      </w:r>
    </w:p>
    <w:p w14:paraId="42C69C65" w14:textId="77777777" w:rsidR="008A6F43" w:rsidRPr="00351FED" w:rsidRDefault="008A6F43">
      <w:pPr>
        <w:spacing w:after="0"/>
        <w:jc w:val="left"/>
        <w:rPr>
          <w:rFonts w:asciiTheme="minorHAnsi" w:eastAsia="Times New Roman" w:hAnsiTheme="minorHAnsi" w:cstheme="minorHAnsi"/>
          <w:i/>
          <w:sz w:val="16"/>
          <w:szCs w:val="16"/>
        </w:rPr>
      </w:pPr>
      <w:r w:rsidRPr="00351FED">
        <w:rPr>
          <w:rFonts w:asciiTheme="minorHAnsi" w:hAnsiTheme="minorHAnsi" w:cstheme="minorHAnsi"/>
          <w:i/>
          <w:sz w:val="16"/>
          <w:szCs w:val="16"/>
        </w:rPr>
        <w:br w:type="page"/>
      </w:r>
    </w:p>
    <w:p w14:paraId="36EA90BD" w14:textId="2BA67748" w:rsidR="000D4914" w:rsidRPr="009E064B" w:rsidRDefault="00B2141E" w:rsidP="00133B99">
      <w:pPr>
        <w:pStyle w:val="Nagwek6"/>
      </w:pPr>
      <w:bookmarkStart w:id="1606" w:name="_Toc482886918"/>
      <w:bookmarkStart w:id="1607" w:name="_Toc12533230"/>
      <w:r w:rsidRPr="009E064B">
        <w:t xml:space="preserve">GM1 ADR-DSN.M.745     </w:t>
      </w:r>
      <w:r w:rsidR="000D4914" w:rsidRPr="009E064B">
        <w:t>Światła ochronne drogi startowej</w:t>
      </w:r>
      <w:bookmarkEnd w:id="1606"/>
      <w:bookmarkEnd w:id="1607"/>
    </w:p>
    <w:p w14:paraId="61B41097" w14:textId="273E106D"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FBF7F58" w14:textId="6B411EFB" w:rsidR="000D4914" w:rsidRPr="009E064B" w:rsidRDefault="000D4914"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Możliwe jest zastosowanie innych rozwiązań, np. specjalnie skonstruowanej optyki zamiast stosowania osłon.</w:t>
      </w:r>
    </w:p>
    <w:p w14:paraId="50854742" w14:textId="77777777" w:rsidR="000D4914" w:rsidRPr="009E064B" w:rsidRDefault="000D4914"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Większe natężenie świateł może być wymagane, aby utrzymać określoną prędkość ruchu naziemnego w warunkach ograniczonej widzialności.</w:t>
      </w:r>
    </w:p>
    <w:p w14:paraId="240B8539" w14:textId="0CE9DDFA" w:rsidR="000D4914" w:rsidRPr="009E064B" w:rsidRDefault="000D4914"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Optymalna częstotliwość impulsu zależy od czasu narastania i czasu zanikania zainstalowanych lamp. Ustalono, że światła ochronne drogi startowej w układzie A podłączone w obwód zasilania 6.6 A są najlepiej widoczne przy 45-50 błyskach na minutę. Świ</w:t>
      </w:r>
      <w:r w:rsidR="00E30571" w:rsidRPr="009E064B">
        <w:rPr>
          <w:rFonts w:eastAsia="Times New Roman,Italic" w:cs="Times New Roman,Italic"/>
          <w:iCs/>
          <w:szCs w:val="20"/>
        </w:rPr>
        <w:t>atła ochronne drogi startowej w </w:t>
      </w:r>
      <w:r w:rsidRPr="009E064B">
        <w:rPr>
          <w:rFonts w:eastAsia="Times New Roman,Italic" w:cs="Times New Roman,Italic"/>
          <w:iCs/>
          <w:szCs w:val="20"/>
        </w:rPr>
        <w:t>układzie B podłączone w obwód 6.6 A są najlepiej widoczne przy 30-32 błyskach na minutę.</w:t>
      </w:r>
    </w:p>
    <w:p w14:paraId="690291CE" w14:textId="77777777" w:rsidR="000D4914" w:rsidRPr="009E064B" w:rsidRDefault="000D4914"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Jeżeli istnieje potrzeba zwiększenia kontrastu pomiędzy stanem włączonym i wyłączonym świateł ochronnych drogi startowej, w układzie A, przeznaczonych do wykorzystywania w ciągu dnia, powyżej każdego światła zaleca się umieścić osłonę nad każdą lampą, o odpowiednim rozmiarze, zapobiegającą wpadaniu światła słonecznego w soczewkę i nie naruszającą przy tym funkcji świateł.</w:t>
      </w:r>
    </w:p>
    <w:p w14:paraId="22A06B39" w14:textId="77777777" w:rsidR="000D4914" w:rsidRPr="009E064B" w:rsidRDefault="000D4914"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(e)</w:t>
      </w:r>
      <w:r w:rsidRPr="009E064B">
        <w:rPr>
          <w:rFonts w:eastAsia="Times New Roman,Italic" w:cs="Times New Roman,Italic"/>
          <w:iCs/>
          <w:szCs w:val="20"/>
        </w:rPr>
        <w:tab/>
        <w:t>Jako aktywna droga startowa, uznawana jest jakakolwiek droga startowa używana aktualnie do startu lub lądowania. Gdy użytkowanych jest kilka dróg startowych, to wszystkie one są uważane są jako aktywne drogi startowe.</w:t>
      </w:r>
    </w:p>
    <w:p w14:paraId="7F3E25F2" w14:textId="77777777" w:rsidR="000D4914" w:rsidRPr="009E064B" w:rsidRDefault="000D4914"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0648F0F" w14:textId="4FBA2EC6" w:rsidR="00C36D76" w:rsidRPr="009E064B" w:rsidRDefault="00C36D76" w:rsidP="00B06A9A">
      <w:pPr>
        <w:pStyle w:val="Nagwek4"/>
        <w:rPr>
          <w:color w:val="auto"/>
        </w:rPr>
      </w:pPr>
      <w:bookmarkStart w:id="1608" w:name="_CS_ADR-DSN.M.750_"/>
      <w:bookmarkStart w:id="1609" w:name="_Toc482886695"/>
      <w:bookmarkStart w:id="1610" w:name="_Toc12533231"/>
      <w:bookmarkEnd w:id="1608"/>
      <w:r w:rsidRPr="009E064B">
        <w:rPr>
          <w:color w:val="auto"/>
        </w:rPr>
        <w:t>CS ADR-DS</w:t>
      </w:r>
      <w:r w:rsidR="00B2141E" w:rsidRPr="009E064B">
        <w:rPr>
          <w:color w:val="auto"/>
        </w:rPr>
        <w:t xml:space="preserve">N.M.750     </w:t>
      </w:r>
      <w:r w:rsidRPr="009E064B">
        <w:rPr>
          <w:color w:val="auto"/>
        </w:rPr>
        <w:t>Oświetlenie płyty postojowej</w:t>
      </w:r>
      <w:bookmarkEnd w:id="1609"/>
      <w:bookmarkEnd w:id="1610"/>
    </w:p>
    <w:p w14:paraId="6D8DAE24" w14:textId="3CB060D7"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CD10D1D" w14:textId="17F98429"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 xml:space="preserve">Oświetlenie płyty </w:t>
      </w:r>
      <w:r w:rsidRPr="009E064B">
        <w:rPr>
          <w:rFonts w:cs="TimesNewRomanPS-ItalicMT"/>
          <w:iCs/>
          <w:szCs w:val="20"/>
        </w:rPr>
        <w:t xml:space="preserve">postojowej </w:t>
      </w:r>
      <w:r w:rsidRPr="009E064B">
        <w:rPr>
          <w:szCs w:val="20"/>
        </w:rPr>
        <w:t xml:space="preserve">ma na celu zapewnienie bezpieczeństwa operacji wykonywanych na płycie </w:t>
      </w:r>
      <w:r w:rsidRPr="009E064B">
        <w:rPr>
          <w:rFonts w:cs="TimesNewRomanPS-ItalicMT"/>
          <w:iCs/>
          <w:szCs w:val="20"/>
        </w:rPr>
        <w:t>postojowej</w:t>
      </w:r>
      <w:r w:rsidRPr="009E064B">
        <w:rPr>
          <w:szCs w:val="20"/>
        </w:rPr>
        <w:t>, na stanowisku do odladzania/przeciwdziałania oblodzeniu oraz na wyznaczonym, odizolowanym stanowisku postoju statku powietrznego, przeznaczonych do wykorzystania w nocy.</w:t>
      </w:r>
    </w:p>
    <w:p w14:paraId="1AF0E322"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Zastosowanie: Oświetlenie płyty </w:t>
      </w:r>
      <w:r w:rsidRPr="009E064B">
        <w:rPr>
          <w:rFonts w:cs="TimesNewRomanPS-ItalicMT"/>
          <w:iCs/>
          <w:szCs w:val="20"/>
        </w:rPr>
        <w:t xml:space="preserve">postojowej </w:t>
      </w:r>
      <w:r w:rsidRPr="009E064B">
        <w:rPr>
          <w:szCs w:val="20"/>
        </w:rPr>
        <w:t xml:space="preserve">powinno być instalowane na płycie postojowej, stanowisku do odladzania/przeciwdziałania oblodzeniu oraz na wyznaczonym, odizolowanym stanowisku postoju statku powietrznego przeznaczonych do wykorzystania w nocy. Płyty </w:t>
      </w:r>
      <w:r w:rsidRPr="009E064B">
        <w:rPr>
          <w:rFonts w:cs="TimesNewRomanPS-ItalicMT"/>
          <w:iCs/>
          <w:szCs w:val="20"/>
        </w:rPr>
        <w:t xml:space="preserve">postojowe </w:t>
      </w:r>
      <w:r w:rsidRPr="009E064B">
        <w:rPr>
          <w:szCs w:val="20"/>
        </w:rPr>
        <w:t>wykorzystywane przede wszystkim dla lotów rekreacyjnych nie muszą być oświetlone.</w:t>
      </w:r>
    </w:p>
    <w:p w14:paraId="264661C6" w14:textId="5B19EFBC"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 xml:space="preserve">Lokalizacja: Oświetlenie płyty </w:t>
      </w:r>
      <w:r w:rsidRPr="009E064B">
        <w:rPr>
          <w:rFonts w:cs="TimesNewRomanPS-ItalicMT"/>
          <w:iCs/>
          <w:szCs w:val="20"/>
        </w:rPr>
        <w:t xml:space="preserve">postojowej </w:t>
      </w:r>
      <w:r w:rsidRPr="009E064B">
        <w:rPr>
          <w:szCs w:val="20"/>
        </w:rPr>
        <w:t xml:space="preserve">powinno być rozmieszczone w taki sposób, aby zapewnić wystarczające oświetlenie wszystkich stref obsługi płytowej, przy minimalnym oślepianiu pilotów statków powietrznych, zarówno w powietrzu jak i na ziemi, kontrolerów lotniska i płyty postojowej oraz personelu obsługi na płycie </w:t>
      </w:r>
      <w:r w:rsidRPr="009E064B">
        <w:rPr>
          <w:rFonts w:cs="TimesNewRomanPS-ItalicMT"/>
          <w:iCs/>
          <w:szCs w:val="20"/>
        </w:rPr>
        <w:t>postojowej</w:t>
      </w:r>
      <w:r w:rsidR="00E30571" w:rsidRPr="009E064B">
        <w:rPr>
          <w:szCs w:val="20"/>
        </w:rPr>
        <w:t>. Lokalizacja oświetlenia i </w:t>
      </w:r>
      <w:r w:rsidRPr="009E064B">
        <w:rPr>
          <w:szCs w:val="20"/>
        </w:rPr>
        <w:t xml:space="preserve">jego ukierunkowanie powinny być dobrane w taki sposób, aby stanowisko postojowe statku powietrznego było oświetlone z dwóch lub więcej stron, w celu ograniczenia światłocieni na płycie </w:t>
      </w:r>
      <w:r w:rsidRPr="009E064B">
        <w:rPr>
          <w:rFonts w:cs="TimesNewRomanPS-ItalicMT"/>
          <w:iCs/>
          <w:szCs w:val="20"/>
        </w:rPr>
        <w:t>postojowej</w:t>
      </w:r>
      <w:r w:rsidRPr="009E064B">
        <w:rPr>
          <w:szCs w:val="20"/>
        </w:rPr>
        <w:t>.</w:t>
      </w:r>
    </w:p>
    <w:p w14:paraId="7521BB46"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Charakterystyki:</w:t>
      </w:r>
    </w:p>
    <w:p w14:paraId="66C2F79C" w14:textId="6B3A4C90" w:rsidR="006B49E7" w:rsidRPr="009E064B" w:rsidRDefault="00C36D76" w:rsidP="006B49E7">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Widmowy rozkład światła na płycie </w:t>
      </w:r>
      <w:r w:rsidRPr="009E064B">
        <w:rPr>
          <w:rFonts w:cs="TimesNewRomanPS-ItalicMT"/>
          <w:iCs/>
          <w:szCs w:val="20"/>
        </w:rPr>
        <w:t xml:space="preserve">postojowej </w:t>
      </w:r>
      <w:r w:rsidRPr="009E064B">
        <w:rPr>
          <w:szCs w:val="20"/>
        </w:rPr>
        <w:t>powinien być wybrany w taki sposób, aby kolory używane dla oznakowania stanowiska postojowego statku powietrznego, jak również kolory oznakowania powierzchni i przeszkód lotniczych mogły być jednoznacznie identyfikowane.</w:t>
      </w:r>
      <w:r w:rsidR="006B49E7" w:rsidRPr="009E064B">
        <w:rPr>
          <w:szCs w:val="20"/>
        </w:rPr>
        <w:t xml:space="preserve"> </w:t>
      </w:r>
    </w:p>
    <w:p w14:paraId="509B8DA2"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Średni poziom oświetlenia powinien być, co najmniej równy następującemu:</w:t>
      </w:r>
    </w:p>
    <w:p w14:paraId="7A955CE9"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Stanowisko postojowe statku powietrznego:</w:t>
      </w:r>
    </w:p>
    <w:p w14:paraId="4F1A4769" w14:textId="10FA278F" w:rsidR="00C36D76" w:rsidRPr="009E064B" w:rsidRDefault="00C36D76" w:rsidP="00B06A9A">
      <w:pPr>
        <w:tabs>
          <w:tab w:val="left" w:pos="2268"/>
        </w:tabs>
        <w:ind w:left="2268" w:hanging="567"/>
        <w:rPr>
          <w:szCs w:val="20"/>
        </w:rPr>
      </w:pPr>
      <w:r w:rsidRPr="009E064B">
        <w:rPr>
          <w:rFonts w:cs="Times New Roman"/>
          <w:szCs w:val="20"/>
        </w:rPr>
        <w:t xml:space="preserve">(A) </w:t>
      </w:r>
      <w:r w:rsidRPr="009E064B">
        <w:rPr>
          <w:rFonts w:cs="Times New Roman"/>
          <w:szCs w:val="20"/>
        </w:rPr>
        <w:tab/>
      </w:r>
      <w:r w:rsidRPr="009E064B">
        <w:rPr>
          <w:szCs w:val="20"/>
        </w:rPr>
        <w:t>oświetlen</w:t>
      </w:r>
      <w:r w:rsidR="00E30571" w:rsidRPr="009E064B">
        <w:rPr>
          <w:szCs w:val="20"/>
        </w:rPr>
        <w:t>ie w płaszczyźnie poziomej – 20 </w:t>
      </w:r>
      <w:r w:rsidRPr="009E064B">
        <w:rPr>
          <w:szCs w:val="20"/>
        </w:rPr>
        <w:t>luxów, przy stosunku równomierności (intensywność średnia do intensywności minimalnej) nie większym niż 4 do 1; oraz</w:t>
      </w:r>
    </w:p>
    <w:p w14:paraId="3E326F38" w14:textId="58B69899" w:rsidR="00C36D76" w:rsidRPr="009E064B" w:rsidRDefault="00C36D76" w:rsidP="00B06A9A">
      <w:pPr>
        <w:tabs>
          <w:tab w:val="left" w:pos="2268"/>
        </w:tabs>
        <w:ind w:left="2268" w:hanging="567"/>
        <w:rPr>
          <w:szCs w:val="20"/>
        </w:rPr>
      </w:pPr>
      <w:r w:rsidRPr="009E064B">
        <w:rPr>
          <w:rFonts w:cs="Times New Roman"/>
          <w:szCs w:val="20"/>
        </w:rPr>
        <w:t xml:space="preserve">(B) </w:t>
      </w:r>
      <w:r w:rsidRPr="009E064B">
        <w:rPr>
          <w:rFonts w:cs="Times New Roman"/>
          <w:szCs w:val="20"/>
        </w:rPr>
        <w:tab/>
      </w:r>
      <w:r w:rsidRPr="009E064B">
        <w:rPr>
          <w:szCs w:val="20"/>
        </w:rPr>
        <w:t>oświetlenie w płaszczyźnie pio</w:t>
      </w:r>
      <w:r w:rsidR="00E30571" w:rsidRPr="009E064B">
        <w:rPr>
          <w:szCs w:val="20"/>
        </w:rPr>
        <w:t>nowej – 20 luxów na wysokości 2 </w:t>
      </w:r>
      <w:r w:rsidRPr="009E064B">
        <w:rPr>
          <w:szCs w:val="20"/>
        </w:rPr>
        <w:t xml:space="preserve">m ponad płytą </w:t>
      </w:r>
      <w:r w:rsidRPr="009E064B">
        <w:rPr>
          <w:rFonts w:cs="TimesNewRomanPS-ItalicMT"/>
          <w:iCs/>
          <w:szCs w:val="20"/>
        </w:rPr>
        <w:t xml:space="preserve">postojową </w:t>
      </w:r>
      <w:r w:rsidRPr="009E064B">
        <w:rPr>
          <w:szCs w:val="20"/>
        </w:rPr>
        <w:t>w odpowiednich kierunkach.</w:t>
      </w:r>
    </w:p>
    <w:p w14:paraId="2FE19CA6"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 xml:space="preserve">Inne powierzchnie na płycie </w:t>
      </w:r>
      <w:r w:rsidRPr="009E064B">
        <w:rPr>
          <w:rFonts w:cs="TimesNewRomanPS-ItalicMT"/>
          <w:iCs/>
          <w:szCs w:val="20"/>
        </w:rPr>
        <w:t>postojowej</w:t>
      </w:r>
      <w:r w:rsidRPr="009E064B">
        <w:rPr>
          <w:szCs w:val="20"/>
        </w:rPr>
        <w:t>: oświetlenie w płaszczyźnie poziomej − 50% średniego poziomu oświetlenia na stanowiskach postojowych statku powietrznego, przy stosunku równomierności (intensywność średnia do intensywności minimalnej) nie większym niż 4 do 1.</w:t>
      </w:r>
    </w:p>
    <w:p w14:paraId="7D4355F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B45870D" w14:textId="5E7E0CC3" w:rsidR="000D4914" w:rsidRPr="009E064B" w:rsidRDefault="00820B06" w:rsidP="00133B99">
      <w:pPr>
        <w:pStyle w:val="Nagwek6"/>
      </w:pPr>
      <w:bookmarkStart w:id="1611" w:name="_Toc401059054"/>
      <w:bookmarkStart w:id="1612" w:name="_Toc482886919"/>
      <w:bookmarkStart w:id="1613" w:name="_Toc12533232"/>
      <w:r w:rsidRPr="009E064B">
        <w:t xml:space="preserve">GM1 ADR-DSN.M.750     </w:t>
      </w:r>
      <w:r w:rsidR="000D4914" w:rsidRPr="009E064B">
        <w:t>Oświetlenie płyty</w:t>
      </w:r>
      <w:bookmarkEnd w:id="1611"/>
      <w:r w:rsidR="000D4914" w:rsidRPr="009E064B">
        <w:t xml:space="preserve"> postojowej</w:t>
      </w:r>
      <w:bookmarkEnd w:id="1612"/>
      <w:bookmarkEnd w:id="1613"/>
    </w:p>
    <w:p w14:paraId="3591DF6B" w14:textId="646738FD"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55AB8B1" w14:textId="28E1E7F6" w:rsidR="000D4914" w:rsidRPr="00351FED" w:rsidRDefault="008379FD" w:rsidP="00EE2E0D">
      <w:pPr>
        <w:tabs>
          <w:tab w:val="left" w:pos="567"/>
        </w:tabs>
        <w:ind w:left="567" w:hanging="567"/>
        <w:rPr>
          <w:szCs w:val="20"/>
        </w:rPr>
      </w:pPr>
      <w:r w:rsidRPr="00351FED">
        <w:rPr>
          <w:szCs w:val="20"/>
        </w:rPr>
        <w:t xml:space="preserve">(a) </w:t>
      </w:r>
      <w:r w:rsidRPr="00351FED">
        <w:rPr>
          <w:szCs w:val="20"/>
        </w:rPr>
        <w:tab/>
      </w:r>
      <w:r w:rsidR="000D4914" w:rsidRPr="00351FED">
        <w:rPr>
          <w:szCs w:val="20"/>
        </w:rPr>
        <w:t>Jeżeli stanowisko do odladzania/przeciwdziałania oblodzeniu jest zlokalizowane w pobliżu drogi startowej, a stałe oświetlenie może być uciążliwe dla pilotów, wymagane mogą być inne środki oświetlenia stanowiska.</w:t>
      </w:r>
    </w:p>
    <w:p w14:paraId="4F94C438" w14:textId="50FF61C8" w:rsidR="008379FD" w:rsidRPr="00351FED" w:rsidRDefault="008379FD" w:rsidP="00640DF1">
      <w:pPr>
        <w:tabs>
          <w:tab w:val="left" w:pos="567"/>
        </w:tabs>
        <w:ind w:left="567" w:hanging="567"/>
        <w:rPr>
          <w:szCs w:val="20"/>
        </w:rPr>
      </w:pPr>
      <w:r w:rsidRPr="00351FED">
        <w:rPr>
          <w:szCs w:val="20"/>
        </w:rPr>
        <w:t xml:space="preserve">(b) </w:t>
      </w:r>
      <w:r w:rsidRPr="00351FED">
        <w:rPr>
          <w:szCs w:val="20"/>
        </w:rPr>
        <w:tab/>
        <w:t>Dodatkowe wskazówki na temat oświetlenia płyty postojowej są określone w „</w:t>
      </w:r>
      <w:r w:rsidRPr="00351FED">
        <w:rPr>
          <w:i/>
          <w:szCs w:val="20"/>
        </w:rPr>
        <w:t>Podręczniku projektowania lotnisk</w:t>
      </w:r>
      <w:r w:rsidRPr="00351FED">
        <w:rPr>
          <w:szCs w:val="20"/>
        </w:rPr>
        <w:t>” (ICAO Doc 9157), Część 4 „</w:t>
      </w:r>
      <w:r w:rsidRPr="00351FED">
        <w:rPr>
          <w:i/>
          <w:szCs w:val="20"/>
        </w:rPr>
        <w:t>Pomoce wzrokow</w:t>
      </w:r>
      <w:r w:rsidRPr="00351FED">
        <w:rPr>
          <w:szCs w:val="20"/>
        </w:rPr>
        <w:t>e”.</w:t>
      </w:r>
    </w:p>
    <w:p w14:paraId="60CA2962" w14:textId="77777777" w:rsidR="003F4B5A" w:rsidRPr="009E064B" w:rsidRDefault="003F4B5A" w:rsidP="008A6F43">
      <w:pPr>
        <w:pStyle w:val="Tekstpodstawowy"/>
        <w:spacing w:before="20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166AB1FC" w14:textId="2E2B5766" w:rsidR="00C36D76" w:rsidRPr="009E064B" w:rsidRDefault="00820B06" w:rsidP="00B06A9A">
      <w:pPr>
        <w:pStyle w:val="Nagwek4"/>
        <w:rPr>
          <w:color w:val="auto"/>
        </w:rPr>
      </w:pPr>
      <w:bookmarkStart w:id="1614" w:name="_CS_ADR-DSN.M.755_"/>
      <w:bookmarkStart w:id="1615" w:name="_Toc482886696"/>
      <w:bookmarkStart w:id="1616" w:name="_Toc12533233"/>
      <w:bookmarkEnd w:id="1614"/>
      <w:r w:rsidRPr="009E064B">
        <w:rPr>
          <w:color w:val="auto"/>
        </w:rPr>
        <w:t xml:space="preserve">CS ADR-DSN.M.755     </w:t>
      </w:r>
      <w:r w:rsidR="00C36D76" w:rsidRPr="009E064B">
        <w:rPr>
          <w:color w:val="auto"/>
        </w:rPr>
        <w:t>Wzrokowy system dokowania</w:t>
      </w:r>
      <w:bookmarkEnd w:id="1615"/>
      <w:bookmarkEnd w:id="1616"/>
    </w:p>
    <w:p w14:paraId="33B0FE85" w14:textId="6F6EF4F9"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63ADDE0" w14:textId="2BC4F010" w:rsidR="00C36D76" w:rsidRPr="009E064B" w:rsidRDefault="00C36D76" w:rsidP="00820B06">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Wzrokowy system dokowania powinien być zapewniony, gdy przy użyciu pomocy wzrokowych zamierza się wskazywać dokładną pozycję ustawienia statku powietrznego na stanowisku postojowym, a inne alternatywne rozwiązania, takie jak wykorzystanie sygnalistów nie jest praktyczne do zastosowania.</w:t>
      </w:r>
    </w:p>
    <w:p w14:paraId="6B5E9F3B"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w:t>
      </w:r>
    </w:p>
    <w:p w14:paraId="280F97DE" w14:textId="66833403"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System dokowania powinien zapewniać </w:t>
      </w:r>
      <w:r w:rsidR="00344BA7" w:rsidRPr="009E064B">
        <w:rPr>
          <w:szCs w:val="20"/>
        </w:rPr>
        <w:t>wskazówki zarówno do prowadzenia</w:t>
      </w:r>
      <w:r w:rsidRPr="009E064B">
        <w:rPr>
          <w:szCs w:val="20"/>
        </w:rPr>
        <w:t xml:space="preserve"> kierunkowe</w:t>
      </w:r>
      <w:r w:rsidR="00344BA7" w:rsidRPr="009E064B">
        <w:rPr>
          <w:szCs w:val="20"/>
        </w:rPr>
        <w:t xml:space="preserve">go jak i do zatrzymania </w:t>
      </w:r>
      <w:r w:rsidRPr="009E064B">
        <w:rPr>
          <w:szCs w:val="20"/>
        </w:rPr>
        <w:t>statku powietrznego.</w:t>
      </w:r>
    </w:p>
    <w:p w14:paraId="7941D5D2"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Jednostka prowadzenia kierunkowego oraz wskaźnik pozycji zatrzymania powinny być przystosowane do wykorzystania w każdych warunkach pogodowych, widzialności, oświetlenia tła oraz stanu nawierzchni, dla których ten system jest przeznaczony zarówno w dzień jak i w nocy, ale nie powinien oślepiać pilota.</w:t>
      </w:r>
    </w:p>
    <w:p w14:paraId="6DB4BFA3"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Jednostka prowadzenia kierunkowego oraz wskaźnik pozycji zatrzymania powinny być zaprojektowane w taki sposób, aby:</w:t>
      </w:r>
    </w:p>
    <w:p w14:paraId="4A28D536"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zapewnić wyraźne wskazanie uszkodzenia jednego lub obu urządzeń pilotowi; oraz</w:t>
      </w:r>
    </w:p>
    <w:p w14:paraId="1B886258"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była możliwość ich wyłączenia.</w:t>
      </w:r>
    </w:p>
    <w:p w14:paraId="5A3188C2"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Dokładność systemu powinna uwzględniać typ rękawa pasażerskiego oraz stałe instalacje służące do obsługi statku powietrznego, z jakimi ten system ma współpracować.</w:t>
      </w:r>
    </w:p>
    <w:p w14:paraId="39585C8F"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System powinien być przystosowany do wykorzystywania przez wszystkie typy statków powietrznych, dla których przewidziane jest stanowisko postojowe, w miarę możliwości bez konieczności wprowadzania selektywnych operacji.</w:t>
      </w:r>
    </w:p>
    <w:p w14:paraId="0DE3AAE0" w14:textId="1A1682EA"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Jeżeli konieczne jest zastosowanie operacji selektywnych w celu przygotowania systemu do wykorzystywania przez konkretny typ statku powietrznego, system powinien zapewnić informację identyfikującą typ wybranego statku powi</w:t>
      </w:r>
      <w:r w:rsidR="00E30571" w:rsidRPr="009E064B">
        <w:rPr>
          <w:szCs w:val="20"/>
        </w:rPr>
        <w:t>etrznego zarówno pilotowi jak i </w:t>
      </w:r>
      <w:r w:rsidRPr="009E064B">
        <w:rPr>
          <w:szCs w:val="20"/>
        </w:rPr>
        <w:t>operatorowi systemu, w celu zapewnienia poprawnego ustawienia systemu.</w:t>
      </w:r>
    </w:p>
    <w:p w14:paraId="721F0D71"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Lokalizacja:</w:t>
      </w:r>
    </w:p>
    <w:p w14:paraId="2C539F7D"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Jednostka prowadzenia kierunkowego oraz wskaźnik pozycji zatrzymania powinny być zlokalizowane w taki sposób, aby zapewniona była ciągłość prowadzenia pomiędzy oznakowaniem stanowiska postojowego statku powietrznego, światłami prowadzenia na stanowisko postojowe, jeżeli są zainstalowane, a wzrokowym systemem dokowania.</w:t>
      </w:r>
    </w:p>
    <w:p w14:paraId="1F1A4692"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Jednostka prowadzenia kierunkowego powinna być umieszczona na lub w pobliżu przedłużenia linii środkowej stanowiska postojowego z przodu statku powietrznego w taki sposób, aby sygnały były widoczne z kabiny statku powietrznego podczas manewru dokowania oraz aby mógł z nich korzystać przynajmniej pilot zajmujący lewy fotel, aczkolwiek preferowane jest ustawienie jednostki w taki sposób, aby była widoczna przez pilotów zajmujących zarówno lewy jak i prawy fotel w kabinie.</w:t>
      </w:r>
    </w:p>
    <w:p w14:paraId="4E11FF71"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Jednostka prowadzenia kierunkowego oraz wskaźnik pozycji zatrzymania powinny być ustawione zgodnie z poniższym opisem.</w:t>
      </w:r>
    </w:p>
    <w:p w14:paraId="238178EE"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Jednostka prowadzenia kierunkowego powinna zapewniać jednoznaczne prowadzenie w zakresie lewo/prawo umożliwiające pilotowi wejście na linię wjazdu na stanowisko postojowe bez konieczności wykonywania nadmiernych manewrów.</w:t>
      </w:r>
    </w:p>
    <w:p w14:paraId="390904FF"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Jeżeli prowadzenie kierunkowe zapewniane jest poprzez zmianę koloru, to kolor zielony powinien być używany do wskazania linii środkowej, a czerwony w celu wskazania odchyleń od linii środkowej.</w:t>
      </w:r>
    </w:p>
    <w:p w14:paraId="2A118FDE"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Wskaźnik pozycji zatrzymania powinien być zlokalizowany razem lub wystarczająco blisko jednostki prowadzenia kierunkowego w taki sposób, aby pilot mógł obserwować zarówno sygnały kierunkowe oraz zatrzymania bez konieczności odwracania głowy.</w:t>
      </w:r>
    </w:p>
    <w:p w14:paraId="7EC8FA55"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Wskaźnik pozycji zatrzymania powinien być użyteczny, co najmniej dla pilota zajmującego lewy fotel, aczkolwiek preferowana jest możliwość jego wykorzystania przez pilotów zajmujących zarówno lewy jak i prawy fotel.</w:t>
      </w:r>
    </w:p>
    <w:p w14:paraId="7F38820A" w14:textId="77777777" w:rsidR="00C36D76" w:rsidRPr="009E064B" w:rsidRDefault="00C36D76" w:rsidP="00B06A9A">
      <w:pPr>
        <w:tabs>
          <w:tab w:val="left" w:pos="1701"/>
        </w:tabs>
        <w:ind w:left="1701" w:hanging="567"/>
        <w:rPr>
          <w:szCs w:val="20"/>
        </w:rPr>
      </w:pPr>
      <w:r w:rsidRPr="009E064B">
        <w:rPr>
          <w:rFonts w:cs="Times New Roman"/>
          <w:szCs w:val="20"/>
        </w:rPr>
        <w:t xml:space="preserve">(v) </w:t>
      </w:r>
      <w:r w:rsidRPr="009E064B">
        <w:rPr>
          <w:rFonts w:cs="Times New Roman"/>
          <w:szCs w:val="20"/>
        </w:rPr>
        <w:tab/>
      </w:r>
      <w:r w:rsidRPr="009E064B">
        <w:rPr>
          <w:szCs w:val="20"/>
        </w:rPr>
        <w:t>Informacja przekazywana przez wskaźnik pozycji zatrzymania dla danego typu statku powietrznego powinna uwzględniać różnice wysokości wzroku pilota i/lub kąta widzenia.</w:t>
      </w:r>
    </w:p>
    <w:p w14:paraId="35E1C0E1" w14:textId="63B93AFB" w:rsidR="00C36D76" w:rsidRPr="009E064B" w:rsidRDefault="00C36D76" w:rsidP="00B06A9A">
      <w:pPr>
        <w:tabs>
          <w:tab w:val="left" w:pos="1701"/>
        </w:tabs>
        <w:ind w:left="1701" w:hanging="567"/>
        <w:rPr>
          <w:szCs w:val="20"/>
        </w:rPr>
      </w:pPr>
      <w:r w:rsidRPr="009E064B">
        <w:rPr>
          <w:rFonts w:cs="Times New Roman"/>
          <w:szCs w:val="20"/>
        </w:rPr>
        <w:t xml:space="preserve">(vi) </w:t>
      </w:r>
      <w:r w:rsidRPr="009E064B">
        <w:rPr>
          <w:rFonts w:cs="Times New Roman"/>
          <w:szCs w:val="20"/>
        </w:rPr>
        <w:tab/>
      </w:r>
      <w:r w:rsidRPr="009E064B">
        <w:rPr>
          <w:szCs w:val="20"/>
        </w:rPr>
        <w:t>Wskaźnik pozycji zatrzymania powinien określać pozycję zatrzymania każdego statku powietrznego, dla którego przeznaczony jest dany system prowadzenia oraz dostarczać pilotowi informacji o zbliżaniu się do tej pozycji tak, aby umożliwić stopniowe zwalnianie statku powietrzne</w:t>
      </w:r>
      <w:r w:rsidR="003B4FF4" w:rsidRPr="009E064B">
        <w:rPr>
          <w:szCs w:val="20"/>
        </w:rPr>
        <w:t>go, aż do pełnego zatrzymania w </w:t>
      </w:r>
      <w:r w:rsidRPr="009E064B">
        <w:rPr>
          <w:szCs w:val="20"/>
        </w:rPr>
        <w:t>przewidzianym punkcie.</w:t>
      </w:r>
    </w:p>
    <w:p w14:paraId="30B14C55" w14:textId="49FA531B" w:rsidR="00C36D76" w:rsidRPr="009E064B" w:rsidRDefault="00C36D76" w:rsidP="00B06A9A">
      <w:pPr>
        <w:tabs>
          <w:tab w:val="left" w:pos="1701"/>
        </w:tabs>
        <w:ind w:left="1701" w:hanging="567"/>
        <w:rPr>
          <w:szCs w:val="20"/>
        </w:rPr>
      </w:pPr>
      <w:r w:rsidRPr="009E064B">
        <w:rPr>
          <w:rFonts w:cs="Times New Roman"/>
          <w:szCs w:val="20"/>
        </w:rPr>
        <w:t xml:space="preserve">(vii) </w:t>
      </w:r>
      <w:r w:rsidRPr="009E064B">
        <w:rPr>
          <w:rFonts w:cs="Times New Roman"/>
          <w:szCs w:val="20"/>
        </w:rPr>
        <w:tab/>
      </w:r>
      <w:r w:rsidRPr="009E064B">
        <w:rPr>
          <w:szCs w:val="20"/>
        </w:rPr>
        <w:t>Wskaźnik pozycji zatrzymania powinien informować o</w:t>
      </w:r>
      <w:r w:rsidR="003B4FF4" w:rsidRPr="009E064B">
        <w:rPr>
          <w:szCs w:val="20"/>
        </w:rPr>
        <w:t xml:space="preserve"> zbliżaniu się do tej pozycji z </w:t>
      </w:r>
      <w:r w:rsidRPr="009E064B">
        <w:rPr>
          <w:szCs w:val="20"/>
        </w:rPr>
        <w:t>odległości, co najmniej 10 metrów.</w:t>
      </w:r>
    </w:p>
    <w:p w14:paraId="1CCA357E" w14:textId="77C50021" w:rsidR="00C36D76" w:rsidRPr="009E064B" w:rsidRDefault="00C36D76" w:rsidP="00B06A9A">
      <w:pPr>
        <w:tabs>
          <w:tab w:val="left" w:pos="1701"/>
        </w:tabs>
        <w:ind w:left="1701" w:hanging="567"/>
        <w:rPr>
          <w:szCs w:val="20"/>
        </w:rPr>
      </w:pPr>
      <w:r w:rsidRPr="009E064B">
        <w:rPr>
          <w:rFonts w:cs="Times New Roman"/>
          <w:szCs w:val="20"/>
        </w:rPr>
        <w:t>(viii)</w:t>
      </w:r>
      <w:r w:rsidRPr="009E064B">
        <w:rPr>
          <w:rFonts w:cs="Times New Roman"/>
          <w:szCs w:val="20"/>
        </w:rPr>
        <w:tab/>
      </w:r>
      <w:r w:rsidRPr="009E064B">
        <w:rPr>
          <w:szCs w:val="20"/>
        </w:rPr>
        <w:t>Jeżeli wskazanie pozycji zatrzymania określane jest poprzez zmianę koloru, to kolor zielony powinien wskazywać, że statek powietrzny może kołować, a kolor czerwony, że pozycja zatrzymania została już osiągnięta, za wyjątkiem, gdy na małych odległościach przed pozycją zatrzymania mo</w:t>
      </w:r>
      <w:r w:rsidR="003B4FF4" w:rsidRPr="009E064B">
        <w:rPr>
          <w:szCs w:val="20"/>
        </w:rPr>
        <w:t>żna wykorzystać trzeci kolor, w </w:t>
      </w:r>
      <w:r w:rsidRPr="009E064B">
        <w:rPr>
          <w:szCs w:val="20"/>
        </w:rPr>
        <w:t>celu ostrzeżenia o bliskości pozycji zatrzymania.</w:t>
      </w:r>
    </w:p>
    <w:p w14:paraId="1472E9BC" w14:textId="567FA8E7" w:rsidR="000D4914" w:rsidRPr="009E064B" w:rsidRDefault="00820B06" w:rsidP="00133B99">
      <w:pPr>
        <w:pStyle w:val="Nagwek6"/>
      </w:pPr>
      <w:bookmarkStart w:id="1617" w:name="_Toc401059055"/>
      <w:bookmarkStart w:id="1618" w:name="_Toc482886920"/>
      <w:bookmarkStart w:id="1619" w:name="_Toc12533234"/>
      <w:r w:rsidRPr="009E064B">
        <w:t xml:space="preserve">GM1 ADR-DSN.M.755     </w:t>
      </w:r>
      <w:r w:rsidR="000D4914" w:rsidRPr="009E064B">
        <w:t>Wzrokowy system dokowania</w:t>
      </w:r>
      <w:bookmarkEnd w:id="1617"/>
      <w:bookmarkEnd w:id="1618"/>
      <w:bookmarkEnd w:id="1619"/>
    </w:p>
    <w:p w14:paraId="662CA623" w14:textId="3EFB5DFD"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77D854D" w14:textId="0DE73255" w:rsidR="000D4914" w:rsidRPr="009E064B" w:rsidRDefault="000D4914" w:rsidP="00820B06">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Czynnikami, które należy brać pod uwagę przy ocenie potrzeby zainstalowania wzrokowego systemu dokowania są między innymi: ilość i typ(y) statków powietrznych, które będą użytkować stanowisko postojowe, warunki meteorologiczne, dostępna powierzchnia na płycie postojowej i wymagana dokładność ustawienia na stanowisku postojowym, ze względu na instalacje służące do obsługi statku powietrznego, rękawy pasażerskie, itd.</w:t>
      </w:r>
    </w:p>
    <w:p w14:paraId="456F90B2" w14:textId="77777777" w:rsidR="000D4914" w:rsidRPr="009E064B" w:rsidRDefault="000D4914"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Przy projektowaniu systemu i jego instalacji należy zwrócić uwagę, by w rezultacie odbicia światła słonecznego lub innych znajdujących się w pobliżu świateł, nie uległ obniżeniu poziom czytelności i wyrazistości odbieranych sygnałów wzrokowych.</w:t>
      </w:r>
    </w:p>
    <w:p w14:paraId="29A3B4E3" w14:textId="789EDE7A" w:rsidR="00C36D76" w:rsidRPr="009E064B" w:rsidRDefault="00B2141E" w:rsidP="00B06A9A">
      <w:pPr>
        <w:pStyle w:val="Nagwek4"/>
        <w:rPr>
          <w:color w:val="auto"/>
        </w:rPr>
      </w:pPr>
      <w:bookmarkStart w:id="1620" w:name="_Toc482886697"/>
      <w:bookmarkStart w:id="1621" w:name="_Toc12533235"/>
      <w:r w:rsidRPr="009E064B">
        <w:rPr>
          <w:color w:val="auto"/>
        </w:rPr>
        <w:t xml:space="preserve">CS ADR-DSN.M.760     </w:t>
      </w:r>
      <w:r w:rsidR="00C36D76" w:rsidRPr="009E064B">
        <w:rPr>
          <w:color w:val="auto"/>
        </w:rPr>
        <w:t>Zaawansowany wzrokowy system dokowania</w:t>
      </w:r>
      <w:bookmarkEnd w:id="1620"/>
      <w:bookmarkEnd w:id="1621"/>
    </w:p>
    <w:p w14:paraId="7D72E543" w14:textId="600F69EA"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85F41EF" w14:textId="39ADB06A" w:rsidR="00C36D76" w:rsidRPr="00351FED" w:rsidRDefault="00C36D76" w:rsidP="00B06A9A">
      <w:pPr>
        <w:tabs>
          <w:tab w:val="left" w:pos="567"/>
        </w:tabs>
        <w:ind w:left="567" w:hanging="567"/>
        <w:rPr>
          <w:szCs w:val="20"/>
        </w:rPr>
      </w:pPr>
      <w:r w:rsidRPr="00351FED">
        <w:rPr>
          <w:rFonts w:cs="Times New Roman"/>
          <w:szCs w:val="20"/>
        </w:rPr>
        <w:t xml:space="preserve">(a) </w:t>
      </w:r>
      <w:r w:rsidRPr="00351FED">
        <w:rPr>
          <w:rFonts w:cs="Times New Roman"/>
          <w:szCs w:val="20"/>
        </w:rPr>
        <w:tab/>
      </w:r>
      <w:r w:rsidRPr="00351FED">
        <w:rPr>
          <w:szCs w:val="20"/>
        </w:rPr>
        <w:t>Zastosowanie:</w:t>
      </w:r>
    </w:p>
    <w:p w14:paraId="49711CA7"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Zaawansowany wzrokowy system dokowania (A-VDGS) powinien być stosowany wtedy, gdy ze względów operacyjnych pożądane jest, żeby potwierdzić prawidłowy typ statku powietrznego, dla którego naprowadzanie jest zapewniane i/lub gdy trzeba wskazać linię środkową aktualnie używanego stanowiska postojowego, jeśli istnieje więcej niż jedno.</w:t>
      </w:r>
    </w:p>
    <w:p w14:paraId="136520A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Zaawansowany wzrokowy system dokowania powinien być zdolny do zastosowania przez wszystkie typy statków powietrznych, dla których przyjmowania stanowisko postojowe jest przeznaczone.</w:t>
      </w:r>
    </w:p>
    <w:p w14:paraId="29A2E61D"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Zaawansowany wzrokowy system dokowania powinien być stosowany tylko w warunkach, gdy są określone jego charakterystyki operacyjne.</w:t>
      </w:r>
    </w:p>
    <w:p w14:paraId="69629D88"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Informacje dostarczane przez wzrokowy system dokowania dotyczące dokowania nie powinny być sprzeczne z informacjami uzyskiwanymi z konwencjonalnego wzrokowego systemu dokowania istniejącego na stanowisku postojowym, jeśli na stanowisku postojowym istnieją i są w operacyjnym użyciu oba systemy. Należy zapewnić metodę wskazywania, że system nie pracuje lub jest niesprawny.</w:t>
      </w:r>
    </w:p>
    <w:p w14:paraId="074250B0" w14:textId="6EBBE6CE"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Lokalizacja: Zaawansowany wzrokowy system dokowan</w:t>
      </w:r>
      <w:r w:rsidR="00E042B7" w:rsidRPr="009E064B">
        <w:rPr>
          <w:szCs w:val="20"/>
        </w:rPr>
        <w:t>ia powinien być zlokalizowany w </w:t>
      </w:r>
      <w:r w:rsidRPr="009E064B">
        <w:rPr>
          <w:szCs w:val="20"/>
        </w:rPr>
        <w:t>taki sposób, aby podczas przeprowadzania manewru dokowania, osobie odpowiedzialnej za dokowanie, a także osobom asystującym zapewnione było naprowadzanie niezakłócone i jednoznaczne.</w:t>
      </w:r>
    </w:p>
    <w:p w14:paraId="161E2118"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Charakterystyka:</w:t>
      </w:r>
    </w:p>
    <w:p w14:paraId="1CE84F31"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Zaawansowany wzrokowy system dokowania, na odpowiednim etapie manewru dokowania, powinien zapewniać, co najmniej następujące informacje:</w:t>
      </w:r>
    </w:p>
    <w:p w14:paraId="1732CA7E"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wskazanie punktu zatrzymania awaryjnego;</w:t>
      </w:r>
    </w:p>
    <w:p w14:paraId="128F0663"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określenie typu i modelu statku powietrznego, dla którego wykonywane jest naprowadzanie;</w:t>
      </w:r>
    </w:p>
    <w:p w14:paraId="13F4C9CD"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wskazanie wielkości bocznego przemieszczenia statku powietrznego względem linii środkowej stanowiska postojowego;</w:t>
      </w:r>
    </w:p>
    <w:p w14:paraId="30EE7C0A" w14:textId="77777777" w:rsidR="00C36D76" w:rsidRPr="009E064B" w:rsidRDefault="00C36D76" w:rsidP="00B06A9A">
      <w:pPr>
        <w:tabs>
          <w:tab w:val="left" w:pos="1701"/>
        </w:tabs>
        <w:ind w:left="1701" w:hanging="567"/>
        <w:rPr>
          <w:szCs w:val="20"/>
        </w:rPr>
      </w:pPr>
      <w:r w:rsidRPr="009E064B">
        <w:rPr>
          <w:rFonts w:cs="Times New Roman"/>
          <w:szCs w:val="20"/>
        </w:rPr>
        <w:t>(iv)</w:t>
      </w:r>
      <w:r w:rsidRPr="009E064B">
        <w:rPr>
          <w:rFonts w:cs="Times New Roman"/>
          <w:szCs w:val="20"/>
        </w:rPr>
        <w:tab/>
      </w:r>
      <w:r w:rsidRPr="009E064B">
        <w:rPr>
          <w:szCs w:val="20"/>
        </w:rPr>
        <w:t>kierunek azymutalnej korekty niezbędnej dla skorygowania przemieszczenia względem linii środkowej stanowiska postojowego;</w:t>
      </w:r>
    </w:p>
    <w:p w14:paraId="481958CF" w14:textId="77777777" w:rsidR="00C36D76" w:rsidRPr="009E064B" w:rsidRDefault="00C36D76" w:rsidP="00B06A9A">
      <w:pPr>
        <w:tabs>
          <w:tab w:val="left" w:pos="1701"/>
        </w:tabs>
        <w:ind w:left="1701" w:hanging="567"/>
        <w:rPr>
          <w:szCs w:val="20"/>
        </w:rPr>
      </w:pPr>
      <w:r w:rsidRPr="009E064B">
        <w:rPr>
          <w:rFonts w:cs="Times New Roman"/>
          <w:szCs w:val="20"/>
        </w:rPr>
        <w:t xml:space="preserve">(v) </w:t>
      </w:r>
      <w:r w:rsidRPr="009E064B">
        <w:rPr>
          <w:rFonts w:cs="Times New Roman"/>
          <w:szCs w:val="20"/>
        </w:rPr>
        <w:tab/>
      </w:r>
      <w:r w:rsidRPr="009E064B">
        <w:rPr>
          <w:szCs w:val="20"/>
        </w:rPr>
        <w:t>wskazanie odległości do miejsca zatrzymania;</w:t>
      </w:r>
    </w:p>
    <w:p w14:paraId="0F70DA7D" w14:textId="77777777" w:rsidR="00C36D76" w:rsidRPr="009E064B" w:rsidRDefault="00C36D76" w:rsidP="00B06A9A">
      <w:pPr>
        <w:tabs>
          <w:tab w:val="left" w:pos="1701"/>
        </w:tabs>
        <w:ind w:left="1701" w:hanging="567"/>
        <w:rPr>
          <w:szCs w:val="20"/>
        </w:rPr>
      </w:pPr>
      <w:r w:rsidRPr="009E064B">
        <w:rPr>
          <w:rFonts w:cs="Times New Roman"/>
          <w:szCs w:val="20"/>
        </w:rPr>
        <w:t xml:space="preserve">(vi) </w:t>
      </w:r>
      <w:r w:rsidRPr="009E064B">
        <w:rPr>
          <w:rFonts w:cs="Times New Roman"/>
          <w:szCs w:val="20"/>
        </w:rPr>
        <w:tab/>
      </w:r>
      <w:r w:rsidRPr="009E064B">
        <w:rPr>
          <w:szCs w:val="20"/>
        </w:rPr>
        <w:t>wskazanie momentu osiągnięcia przez statek powietrzny prawidłowego miejsca zatrzymania; i</w:t>
      </w:r>
    </w:p>
    <w:p w14:paraId="777AA65A" w14:textId="77777777" w:rsidR="00C36D76" w:rsidRPr="009E064B" w:rsidRDefault="00C36D76" w:rsidP="00B06A9A">
      <w:pPr>
        <w:tabs>
          <w:tab w:val="left" w:pos="1701"/>
        </w:tabs>
        <w:ind w:left="1701" w:hanging="567"/>
        <w:rPr>
          <w:szCs w:val="20"/>
        </w:rPr>
      </w:pPr>
      <w:r w:rsidRPr="009E064B">
        <w:rPr>
          <w:rFonts w:cs="Times New Roman"/>
          <w:szCs w:val="20"/>
        </w:rPr>
        <w:t xml:space="preserve">(vii) </w:t>
      </w:r>
      <w:r w:rsidRPr="009E064B">
        <w:rPr>
          <w:rFonts w:cs="Times New Roman"/>
          <w:szCs w:val="20"/>
        </w:rPr>
        <w:tab/>
      </w:r>
      <w:r w:rsidRPr="009E064B">
        <w:rPr>
          <w:szCs w:val="20"/>
        </w:rPr>
        <w:t>wskazanie ostrzegające, jeśli statek powietrzny przemieszcza się poza właściwe miejsce zatrzymania.</w:t>
      </w:r>
    </w:p>
    <w:p w14:paraId="374CCCB2" w14:textId="5BC3A8D3"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Zaawansowany wzrokowy system dokowania powinien być w stanie zapewnić informacje dotyczące dokowania dla całego zakresu prędkości kołowania st</w:t>
      </w:r>
      <w:r w:rsidR="003B4FF4" w:rsidRPr="009E064B">
        <w:rPr>
          <w:szCs w:val="20"/>
        </w:rPr>
        <w:t>atku powietrznego, z </w:t>
      </w:r>
      <w:r w:rsidRPr="009E064B">
        <w:rPr>
          <w:szCs w:val="20"/>
        </w:rPr>
        <w:t>jakimi ma się do czynienia podczas manewru dokowania.</w:t>
      </w:r>
    </w:p>
    <w:p w14:paraId="1855A833"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Czas, jaki upływa od chwili stwierdzenia bocznego przemieszczenia do jego wyświetlenia, nie powinien powodować, że statek powietrzny użytkowany w normalnych warunkach oddali się od linii środkowej stanowiska postojowego o więcej niż 1 m.</w:t>
      </w:r>
    </w:p>
    <w:p w14:paraId="292276B5" w14:textId="307633AF"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Informacja o przemieszczeniu statku powietrznego względem linii środkowej stanowiska postojowego i o odległości do miejsca zatrzymania, gdy już zostaje wyświetlona, powinna mieć dokładność określoną w Tabeli M-4. Symbole i grafika użyte do prezentacji informacji dotyczących naprowadzania </w:t>
      </w:r>
      <w:r w:rsidR="00496C01" w:rsidRPr="009E064B">
        <w:rPr>
          <w:szCs w:val="20"/>
        </w:rPr>
        <w:t>powinny być właściwie dobrane i </w:t>
      </w:r>
      <w:r w:rsidRPr="009E064B">
        <w:rPr>
          <w:szCs w:val="20"/>
        </w:rPr>
        <w:t>reprezentatywne dla typu przekazywanej informacji.</w:t>
      </w:r>
    </w:p>
    <w:p w14:paraId="2A30D0DA" w14:textId="5A366E68"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Informacja o bocznym przemieszczeniu statku powietrznego względem linii środkowej stanowiska postojowego powinna</w:t>
      </w:r>
      <w:r w:rsidR="003B4FF4" w:rsidRPr="009E064B">
        <w:rPr>
          <w:szCs w:val="20"/>
        </w:rPr>
        <w:t xml:space="preserve"> być przekazana, co najmniej 25 </w:t>
      </w:r>
      <w:r w:rsidRPr="009E064B">
        <w:rPr>
          <w:szCs w:val="20"/>
        </w:rPr>
        <w:t>m przed miejscem zatrzymania.</w:t>
      </w:r>
    </w:p>
    <w:p w14:paraId="2DC8FF88" w14:textId="04D57A7A"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Od chwili, gdy odległość do miejsca zatrzymania wynosi, co najmniej 15</w:t>
      </w:r>
      <w:r w:rsidR="003B4FF4" w:rsidRPr="009E064B">
        <w:rPr>
          <w:szCs w:val="20"/>
        </w:rPr>
        <w:t> </w:t>
      </w:r>
      <w:r w:rsidRPr="009E064B">
        <w:rPr>
          <w:szCs w:val="20"/>
        </w:rPr>
        <w:t>m informacja o odległości do pokonania i o prędkości zbliżania powinna być zapewniana w sposób ciągły.</w:t>
      </w:r>
    </w:p>
    <w:p w14:paraId="12FFD110"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Jeśli odległość do pokonania jest wyświetlana cyfrowo, powinna być wyrażana liczbą całych metrów odległości do miejsca zatrzymania, a w odległości nie mniejszej niż 3 m wyświetlana z dokładnością jednego miejsca po przecinku.</w:t>
      </w:r>
    </w:p>
    <w:p w14:paraId="7B03FF51"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Podczas trwania manewru dokowania w zaawansowanym wzrokowym systemie dokowania powinien być zapewniony właściwy sposób wskazywania konieczności natychmiastowego zatrzymania statku powietrznego. W takim przypadku, obejmującym awarię zaawansowanego wzrokowego systemu dokowania, nie powinna być wyświetlana żadna inna informacja.</w:t>
      </w:r>
    </w:p>
    <w:p w14:paraId="6366C295" w14:textId="3DA6D2E0" w:rsidR="00C36D76" w:rsidRPr="009E064B" w:rsidRDefault="00C36D76" w:rsidP="00B06A9A">
      <w:pPr>
        <w:tabs>
          <w:tab w:val="left" w:pos="1701"/>
        </w:tabs>
        <w:ind w:left="1701" w:hanging="567"/>
        <w:rPr>
          <w:szCs w:val="20"/>
        </w:rPr>
      </w:pPr>
      <w:r w:rsidRPr="009E064B">
        <w:rPr>
          <w:rFonts w:cs="Times New Roman"/>
          <w:szCs w:val="20"/>
        </w:rPr>
        <w:t xml:space="preserve">(v) </w:t>
      </w:r>
      <w:r w:rsidRPr="009E064B">
        <w:rPr>
          <w:rFonts w:cs="Times New Roman"/>
          <w:szCs w:val="20"/>
        </w:rPr>
        <w:tab/>
      </w:r>
      <w:r w:rsidRPr="009E064B">
        <w:rPr>
          <w:szCs w:val="20"/>
        </w:rPr>
        <w:t xml:space="preserve">Personel odpowiedzialny za bezpieczeństwo </w:t>
      </w:r>
      <w:r w:rsidR="00084F6A" w:rsidRPr="009E064B">
        <w:rPr>
          <w:szCs w:val="20"/>
        </w:rPr>
        <w:t xml:space="preserve">operacyjne </w:t>
      </w:r>
      <w:r w:rsidRPr="009E064B">
        <w:rPr>
          <w:szCs w:val="20"/>
        </w:rPr>
        <w:t xml:space="preserve">stanowiska postojowego powinien </w:t>
      </w:r>
      <w:r w:rsidR="00084F6A" w:rsidRPr="009E064B">
        <w:rPr>
          <w:szCs w:val="20"/>
        </w:rPr>
        <w:t>przyznane uprawnienie do rozpoczęcia</w:t>
      </w:r>
      <w:r w:rsidRPr="009E064B">
        <w:rPr>
          <w:szCs w:val="20"/>
        </w:rPr>
        <w:t xml:space="preserve"> natychmiastowego wstrzymania procedury dokowania.</w:t>
      </w:r>
    </w:p>
    <w:p w14:paraId="7843A737" w14:textId="53FA714B" w:rsidR="003F7443" w:rsidRPr="009E064B" w:rsidRDefault="00C36D76" w:rsidP="00B06A9A">
      <w:pPr>
        <w:tabs>
          <w:tab w:val="left" w:pos="1701"/>
        </w:tabs>
        <w:spacing w:after="0"/>
        <w:ind w:left="1701" w:hanging="567"/>
        <w:rPr>
          <w:szCs w:val="20"/>
        </w:rPr>
      </w:pPr>
      <w:r w:rsidRPr="009E064B">
        <w:rPr>
          <w:rFonts w:cs="Times New Roman"/>
          <w:szCs w:val="20"/>
        </w:rPr>
        <w:t xml:space="preserve">(vi) </w:t>
      </w:r>
      <w:r w:rsidRPr="009E064B">
        <w:rPr>
          <w:rFonts w:cs="Times New Roman"/>
          <w:szCs w:val="20"/>
        </w:rPr>
        <w:tab/>
      </w:r>
      <w:r w:rsidRPr="009E064B">
        <w:rPr>
          <w:szCs w:val="20"/>
        </w:rPr>
        <w:t>Gdy wymagane jest natychmiastowe przerwanie manewru dokowania, pow</w:t>
      </w:r>
      <w:r w:rsidR="00084F6A" w:rsidRPr="009E064B">
        <w:rPr>
          <w:szCs w:val="20"/>
        </w:rPr>
        <w:t xml:space="preserve">inien zostać </w:t>
      </w:r>
      <w:r w:rsidRPr="009E064B">
        <w:rPr>
          <w:szCs w:val="20"/>
        </w:rPr>
        <w:t xml:space="preserve">wyświetlony </w:t>
      </w:r>
      <w:r w:rsidR="00084F6A" w:rsidRPr="009E064B">
        <w:rPr>
          <w:szCs w:val="20"/>
        </w:rPr>
        <w:t>czerwonymi literami napis</w:t>
      </w:r>
      <w:r w:rsidRPr="009E064B">
        <w:rPr>
          <w:szCs w:val="20"/>
        </w:rPr>
        <w:t xml:space="preserve"> „STOP”.</w:t>
      </w:r>
    </w:p>
    <w:p w14:paraId="5672E80F" w14:textId="262F661C" w:rsidR="008A6F43" w:rsidRPr="009E064B" w:rsidRDefault="008A6F43">
      <w:pPr>
        <w:spacing w:after="0"/>
        <w:jc w:val="left"/>
        <w:rPr>
          <w:b/>
          <w:szCs w:val="20"/>
        </w:rPr>
      </w:pPr>
      <w:r w:rsidRPr="009E064B">
        <w:rPr>
          <w:b/>
          <w:szCs w:val="20"/>
        </w:rPr>
        <w:br w:type="page"/>
      </w:r>
    </w:p>
    <w:p w14:paraId="036CF6B9" w14:textId="77777777" w:rsidR="00C36D76" w:rsidRPr="009E064B" w:rsidRDefault="00C36D76" w:rsidP="00B06A9A">
      <w:pPr>
        <w:spacing w:after="0"/>
        <w:rPr>
          <w:b/>
          <w:szCs w:val="20"/>
        </w:rPr>
      </w:pPr>
    </w:p>
    <w:tbl>
      <w:tblPr>
        <w:tblW w:w="459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A0" w:firstRow="1" w:lastRow="0" w:firstColumn="1" w:lastColumn="0" w:noHBand="0" w:noVBand="0"/>
      </w:tblPr>
      <w:tblGrid>
        <w:gridCol w:w="1429"/>
        <w:gridCol w:w="1714"/>
        <w:gridCol w:w="1655"/>
        <w:gridCol w:w="1799"/>
        <w:gridCol w:w="1796"/>
      </w:tblGrid>
      <w:tr w:rsidR="00C36D76" w:rsidRPr="009E064B" w14:paraId="4BFC30E9" w14:textId="77777777" w:rsidTr="003B4FF4">
        <w:trPr>
          <w:jc w:val="right"/>
        </w:trPr>
        <w:tc>
          <w:tcPr>
            <w:tcW w:w="851" w:type="pct"/>
            <w:tcMar>
              <w:top w:w="57" w:type="dxa"/>
              <w:left w:w="28" w:type="dxa"/>
              <w:bottom w:w="57" w:type="dxa"/>
              <w:right w:w="28" w:type="dxa"/>
            </w:tcMar>
            <w:vAlign w:val="center"/>
          </w:tcPr>
          <w:p w14:paraId="113D63B0" w14:textId="77777777" w:rsidR="00C36D76" w:rsidRPr="009E064B" w:rsidRDefault="00C36D76" w:rsidP="003F7443">
            <w:pPr>
              <w:spacing w:before="40" w:after="40"/>
              <w:jc w:val="center"/>
              <w:rPr>
                <w:rFonts w:cs="Arial"/>
                <w:sz w:val="20"/>
              </w:rPr>
            </w:pPr>
            <w:r w:rsidRPr="009E064B">
              <w:rPr>
                <w:rFonts w:cs="Arial"/>
                <w:sz w:val="20"/>
              </w:rPr>
              <w:t>Dostarczane</w:t>
            </w:r>
            <w:r w:rsidRPr="009E064B">
              <w:rPr>
                <w:rFonts w:cs="Arial"/>
                <w:sz w:val="20"/>
              </w:rPr>
              <w:br/>
              <w:t xml:space="preserve">informacje </w:t>
            </w:r>
          </w:p>
        </w:tc>
        <w:tc>
          <w:tcPr>
            <w:tcW w:w="1021" w:type="pct"/>
            <w:tcMar>
              <w:top w:w="57" w:type="dxa"/>
              <w:left w:w="28" w:type="dxa"/>
              <w:bottom w:w="57" w:type="dxa"/>
              <w:right w:w="28" w:type="dxa"/>
            </w:tcMar>
            <w:vAlign w:val="center"/>
          </w:tcPr>
          <w:p w14:paraId="7B26216A" w14:textId="77777777" w:rsidR="00C36D76" w:rsidRPr="009E064B" w:rsidRDefault="00C36D76" w:rsidP="003F7443">
            <w:pPr>
              <w:spacing w:before="40" w:after="40"/>
              <w:jc w:val="center"/>
              <w:rPr>
                <w:rFonts w:cs="Arial"/>
                <w:sz w:val="20"/>
              </w:rPr>
            </w:pPr>
            <w:r w:rsidRPr="009E064B">
              <w:rPr>
                <w:rFonts w:cs="Arial"/>
                <w:sz w:val="20"/>
              </w:rPr>
              <w:t>Maksymalne odchylenie na stanowisku postojowym</w:t>
            </w:r>
          </w:p>
        </w:tc>
        <w:tc>
          <w:tcPr>
            <w:tcW w:w="986" w:type="pct"/>
            <w:tcMar>
              <w:top w:w="57" w:type="dxa"/>
              <w:left w:w="28" w:type="dxa"/>
              <w:bottom w:w="57" w:type="dxa"/>
              <w:right w:w="28" w:type="dxa"/>
            </w:tcMar>
            <w:vAlign w:val="center"/>
          </w:tcPr>
          <w:p w14:paraId="00DCCE7B" w14:textId="77777777" w:rsidR="00C36D76" w:rsidRPr="009E064B" w:rsidRDefault="00C36D76" w:rsidP="003F7443">
            <w:pPr>
              <w:spacing w:before="40" w:after="40"/>
              <w:jc w:val="center"/>
              <w:rPr>
                <w:rFonts w:cs="Arial"/>
                <w:sz w:val="20"/>
              </w:rPr>
            </w:pPr>
            <w:r w:rsidRPr="009E064B">
              <w:rPr>
                <w:rFonts w:cs="Arial"/>
                <w:sz w:val="20"/>
              </w:rPr>
              <w:t xml:space="preserve">Maksymalne odchylenie na 9 m </w:t>
            </w:r>
            <w:r w:rsidRPr="009E064B">
              <w:rPr>
                <w:rFonts w:cs="Arial"/>
                <w:sz w:val="20"/>
              </w:rPr>
              <w:br/>
              <w:t>od stanowiska postojowego</w:t>
            </w:r>
          </w:p>
        </w:tc>
        <w:tc>
          <w:tcPr>
            <w:tcW w:w="1072" w:type="pct"/>
            <w:tcMar>
              <w:top w:w="57" w:type="dxa"/>
              <w:left w:w="28" w:type="dxa"/>
              <w:bottom w:w="57" w:type="dxa"/>
              <w:right w:w="28" w:type="dxa"/>
            </w:tcMar>
            <w:vAlign w:val="center"/>
          </w:tcPr>
          <w:p w14:paraId="31E9F89C" w14:textId="77777777" w:rsidR="00C36D76" w:rsidRPr="009E064B" w:rsidRDefault="00C36D76" w:rsidP="003F7443">
            <w:pPr>
              <w:spacing w:before="40" w:after="40"/>
              <w:jc w:val="center"/>
              <w:rPr>
                <w:rFonts w:cs="Arial"/>
                <w:sz w:val="20"/>
              </w:rPr>
            </w:pPr>
            <w:r w:rsidRPr="009E064B">
              <w:rPr>
                <w:rFonts w:cs="Arial"/>
                <w:sz w:val="20"/>
              </w:rPr>
              <w:t>Maksymalne odchylenie na 15 m od stanowiska postojowego</w:t>
            </w:r>
          </w:p>
        </w:tc>
        <w:tc>
          <w:tcPr>
            <w:tcW w:w="1072" w:type="pct"/>
            <w:tcMar>
              <w:top w:w="57" w:type="dxa"/>
              <w:left w:w="28" w:type="dxa"/>
              <w:bottom w:w="57" w:type="dxa"/>
              <w:right w:w="28" w:type="dxa"/>
            </w:tcMar>
            <w:vAlign w:val="center"/>
          </w:tcPr>
          <w:p w14:paraId="77F34DCA" w14:textId="77777777" w:rsidR="00C36D76" w:rsidRPr="009E064B" w:rsidRDefault="00C36D76" w:rsidP="003F7443">
            <w:pPr>
              <w:spacing w:before="40" w:after="40"/>
              <w:jc w:val="center"/>
              <w:rPr>
                <w:rFonts w:cs="Arial"/>
                <w:sz w:val="20"/>
              </w:rPr>
            </w:pPr>
            <w:r w:rsidRPr="009E064B">
              <w:rPr>
                <w:rFonts w:cs="Arial"/>
                <w:sz w:val="20"/>
              </w:rPr>
              <w:t xml:space="preserve">Maksymalne odchylenie na 25 m </w:t>
            </w:r>
            <w:r w:rsidRPr="009E064B">
              <w:rPr>
                <w:rFonts w:cs="Arial"/>
                <w:sz w:val="20"/>
              </w:rPr>
              <w:br/>
              <w:t>od stanowiska postojowego</w:t>
            </w:r>
          </w:p>
        </w:tc>
      </w:tr>
      <w:tr w:rsidR="00C36D76" w:rsidRPr="009E064B" w14:paraId="448B6D11" w14:textId="77777777" w:rsidTr="008A6F43">
        <w:trPr>
          <w:trHeight w:val="567"/>
          <w:jc w:val="right"/>
        </w:trPr>
        <w:tc>
          <w:tcPr>
            <w:tcW w:w="851" w:type="pct"/>
            <w:tcMar>
              <w:top w:w="57" w:type="dxa"/>
              <w:left w:w="28" w:type="dxa"/>
              <w:bottom w:w="57" w:type="dxa"/>
              <w:right w:w="28" w:type="dxa"/>
            </w:tcMar>
            <w:vAlign w:val="center"/>
          </w:tcPr>
          <w:p w14:paraId="24ED39E1" w14:textId="77777777" w:rsidR="00C36D76" w:rsidRPr="009E064B" w:rsidRDefault="00C36D76" w:rsidP="003F7443">
            <w:pPr>
              <w:spacing w:before="40" w:after="40"/>
              <w:jc w:val="center"/>
              <w:rPr>
                <w:rFonts w:cs="Arial"/>
                <w:sz w:val="20"/>
              </w:rPr>
            </w:pPr>
            <w:r w:rsidRPr="009E064B">
              <w:rPr>
                <w:rFonts w:cs="Arial"/>
                <w:sz w:val="20"/>
              </w:rPr>
              <w:t>Azymut</w:t>
            </w:r>
          </w:p>
        </w:tc>
        <w:tc>
          <w:tcPr>
            <w:tcW w:w="1021" w:type="pct"/>
            <w:tcMar>
              <w:top w:w="57" w:type="dxa"/>
              <w:left w:w="28" w:type="dxa"/>
              <w:bottom w:w="57" w:type="dxa"/>
              <w:right w:w="28" w:type="dxa"/>
            </w:tcMar>
            <w:vAlign w:val="center"/>
          </w:tcPr>
          <w:p w14:paraId="3BD24168"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250 mm"/>
              </w:smartTagPr>
              <w:r w:rsidRPr="009E064B">
                <w:rPr>
                  <w:rFonts w:cs="Arial"/>
                  <w:sz w:val="20"/>
                </w:rPr>
                <w:t>250 mm</w:t>
              </w:r>
            </w:smartTag>
          </w:p>
        </w:tc>
        <w:tc>
          <w:tcPr>
            <w:tcW w:w="986" w:type="pct"/>
            <w:tcMar>
              <w:top w:w="57" w:type="dxa"/>
              <w:left w:w="28" w:type="dxa"/>
              <w:bottom w:w="57" w:type="dxa"/>
              <w:right w:w="28" w:type="dxa"/>
            </w:tcMar>
            <w:vAlign w:val="center"/>
          </w:tcPr>
          <w:p w14:paraId="0C24165D"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340 mm"/>
              </w:smartTagPr>
              <w:r w:rsidRPr="009E064B">
                <w:rPr>
                  <w:rFonts w:cs="Arial"/>
                  <w:sz w:val="20"/>
                </w:rPr>
                <w:t>340 mm</w:t>
              </w:r>
            </w:smartTag>
          </w:p>
        </w:tc>
        <w:tc>
          <w:tcPr>
            <w:tcW w:w="1072" w:type="pct"/>
            <w:tcMar>
              <w:top w:w="57" w:type="dxa"/>
              <w:left w:w="28" w:type="dxa"/>
              <w:bottom w:w="57" w:type="dxa"/>
              <w:right w:w="28" w:type="dxa"/>
            </w:tcMar>
            <w:vAlign w:val="center"/>
          </w:tcPr>
          <w:p w14:paraId="5F7AB09F"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400 mm"/>
              </w:smartTagPr>
              <w:r w:rsidRPr="009E064B">
                <w:rPr>
                  <w:rFonts w:cs="Arial"/>
                  <w:sz w:val="20"/>
                </w:rPr>
                <w:t>400 mm</w:t>
              </w:r>
            </w:smartTag>
          </w:p>
        </w:tc>
        <w:tc>
          <w:tcPr>
            <w:tcW w:w="1072" w:type="pct"/>
            <w:tcMar>
              <w:top w:w="57" w:type="dxa"/>
              <w:left w:w="28" w:type="dxa"/>
              <w:bottom w:w="57" w:type="dxa"/>
              <w:right w:w="28" w:type="dxa"/>
            </w:tcMar>
            <w:vAlign w:val="center"/>
          </w:tcPr>
          <w:p w14:paraId="00D69E81"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500 mm"/>
              </w:smartTagPr>
              <w:r w:rsidRPr="009E064B">
                <w:rPr>
                  <w:rFonts w:cs="Arial"/>
                  <w:sz w:val="20"/>
                </w:rPr>
                <w:t>500 mm</w:t>
              </w:r>
            </w:smartTag>
          </w:p>
        </w:tc>
      </w:tr>
      <w:tr w:rsidR="00C36D76" w:rsidRPr="009E064B" w14:paraId="180A7393" w14:textId="77777777" w:rsidTr="008A6F43">
        <w:trPr>
          <w:trHeight w:val="567"/>
          <w:jc w:val="right"/>
        </w:trPr>
        <w:tc>
          <w:tcPr>
            <w:tcW w:w="851" w:type="pct"/>
            <w:tcMar>
              <w:top w:w="57" w:type="dxa"/>
              <w:left w:w="28" w:type="dxa"/>
              <w:bottom w:w="57" w:type="dxa"/>
              <w:right w:w="28" w:type="dxa"/>
            </w:tcMar>
            <w:vAlign w:val="center"/>
          </w:tcPr>
          <w:p w14:paraId="33E3F37A" w14:textId="77777777" w:rsidR="00C36D76" w:rsidRPr="009E064B" w:rsidRDefault="00C36D76" w:rsidP="003F7443">
            <w:pPr>
              <w:spacing w:before="40" w:after="40"/>
              <w:jc w:val="center"/>
              <w:rPr>
                <w:rFonts w:cs="Arial"/>
                <w:sz w:val="20"/>
              </w:rPr>
            </w:pPr>
            <w:r w:rsidRPr="009E064B">
              <w:rPr>
                <w:rFonts w:cs="Arial"/>
                <w:sz w:val="20"/>
              </w:rPr>
              <w:t>Odległość</w:t>
            </w:r>
          </w:p>
        </w:tc>
        <w:tc>
          <w:tcPr>
            <w:tcW w:w="1021" w:type="pct"/>
            <w:tcMar>
              <w:top w:w="57" w:type="dxa"/>
              <w:left w:w="28" w:type="dxa"/>
              <w:bottom w:w="57" w:type="dxa"/>
              <w:right w:w="28" w:type="dxa"/>
            </w:tcMar>
            <w:vAlign w:val="center"/>
          </w:tcPr>
          <w:p w14:paraId="4B006D81"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500 mm"/>
              </w:smartTagPr>
              <w:r w:rsidRPr="009E064B">
                <w:rPr>
                  <w:rFonts w:cs="Arial"/>
                  <w:sz w:val="20"/>
                </w:rPr>
                <w:t>500 mm</w:t>
              </w:r>
            </w:smartTag>
          </w:p>
        </w:tc>
        <w:tc>
          <w:tcPr>
            <w:tcW w:w="986" w:type="pct"/>
            <w:tcMar>
              <w:top w:w="57" w:type="dxa"/>
              <w:left w:w="28" w:type="dxa"/>
              <w:bottom w:w="57" w:type="dxa"/>
              <w:right w:w="28" w:type="dxa"/>
            </w:tcMar>
            <w:vAlign w:val="center"/>
          </w:tcPr>
          <w:p w14:paraId="6A75D410"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1 000 mm"/>
              </w:smartTagPr>
              <w:r w:rsidRPr="009E064B">
                <w:rPr>
                  <w:rFonts w:cs="Arial"/>
                  <w:sz w:val="20"/>
                </w:rPr>
                <w:t>1 000 mm</w:t>
              </w:r>
            </w:smartTag>
          </w:p>
        </w:tc>
        <w:tc>
          <w:tcPr>
            <w:tcW w:w="1072" w:type="pct"/>
            <w:tcMar>
              <w:top w:w="57" w:type="dxa"/>
              <w:left w:w="28" w:type="dxa"/>
              <w:bottom w:w="57" w:type="dxa"/>
              <w:right w:w="28" w:type="dxa"/>
            </w:tcMar>
            <w:vAlign w:val="center"/>
          </w:tcPr>
          <w:p w14:paraId="455560B9" w14:textId="77777777" w:rsidR="00C36D76" w:rsidRPr="009E064B" w:rsidRDefault="00C36D76" w:rsidP="003F7443">
            <w:pPr>
              <w:spacing w:before="40" w:after="40"/>
              <w:jc w:val="center"/>
              <w:rPr>
                <w:rFonts w:cs="Arial"/>
                <w:sz w:val="20"/>
              </w:rPr>
            </w:pPr>
            <w:r w:rsidRPr="009E064B">
              <w:rPr>
                <w:rFonts w:cs="Arial"/>
                <w:sz w:val="20"/>
              </w:rPr>
              <w:t xml:space="preserve">± </w:t>
            </w:r>
            <w:smartTag w:uri="urn:schemas-microsoft-com:office:smarttags" w:element="metricconverter">
              <w:smartTagPr>
                <w:attr w:name="ProductID" w:val="1 300 mm"/>
              </w:smartTagPr>
              <w:r w:rsidRPr="009E064B">
                <w:rPr>
                  <w:rFonts w:cs="Arial"/>
                  <w:sz w:val="20"/>
                </w:rPr>
                <w:t>1 300 mm</w:t>
              </w:r>
            </w:smartTag>
          </w:p>
        </w:tc>
        <w:tc>
          <w:tcPr>
            <w:tcW w:w="1072" w:type="pct"/>
            <w:tcMar>
              <w:top w:w="57" w:type="dxa"/>
              <w:left w:w="28" w:type="dxa"/>
              <w:bottom w:w="57" w:type="dxa"/>
              <w:right w:w="28" w:type="dxa"/>
            </w:tcMar>
            <w:vAlign w:val="center"/>
          </w:tcPr>
          <w:p w14:paraId="776C7D29" w14:textId="77777777" w:rsidR="00C36D76" w:rsidRPr="009E064B" w:rsidRDefault="00C36D76" w:rsidP="003F7443">
            <w:pPr>
              <w:spacing w:before="40" w:after="40"/>
              <w:jc w:val="center"/>
              <w:rPr>
                <w:rFonts w:cs="Arial"/>
                <w:sz w:val="20"/>
              </w:rPr>
            </w:pPr>
            <w:r w:rsidRPr="009E064B">
              <w:rPr>
                <w:rFonts w:cs="Arial"/>
                <w:sz w:val="20"/>
              </w:rPr>
              <w:t>Nie określono</w:t>
            </w:r>
          </w:p>
        </w:tc>
      </w:tr>
    </w:tbl>
    <w:p w14:paraId="6400949C" w14:textId="77777777" w:rsidR="00C36D76" w:rsidRPr="009E064B" w:rsidRDefault="00C36D76" w:rsidP="00B06A9A">
      <w:pPr>
        <w:spacing w:after="0"/>
        <w:rPr>
          <w:szCs w:val="20"/>
        </w:rPr>
      </w:pPr>
    </w:p>
    <w:p w14:paraId="05520615" w14:textId="77777777" w:rsidR="00C36D76" w:rsidRPr="00351FED" w:rsidRDefault="00C36D76" w:rsidP="00B06A9A">
      <w:pPr>
        <w:ind w:left="1559" w:right="425" w:hanging="1134"/>
        <w:jc w:val="center"/>
        <w:rPr>
          <w:b/>
        </w:rPr>
      </w:pPr>
      <w:r w:rsidRPr="00351FED">
        <w:rPr>
          <w:b/>
          <w:sz w:val="20"/>
        </w:rPr>
        <w:t>Tabela M-4.  Zalecana dokładność informacji o przemieszczaniu statku powietrznego w zaawansowanym wzrokowym systemie dokowania</w:t>
      </w:r>
    </w:p>
    <w:p w14:paraId="36C00C33" w14:textId="4F1B7BA8" w:rsidR="00C36D76" w:rsidRPr="00351FED" w:rsidRDefault="00C36D76" w:rsidP="006C24CC">
      <w:pPr>
        <w:pStyle w:val="Tekstpodstawowy"/>
        <w:spacing w:before="120" w:after="0"/>
        <w:ind w:hanging="20"/>
        <w:rPr>
          <w:rFonts w:asciiTheme="minorHAnsi" w:hAnsiTheme="minorHAnsi" w:cstheme="minorHAnsi"/>
          <w:i/>
          <w:sz w:val="16"/>
          <w:szCs w:val="16"/>
        </w:rPr>
      </w:pPr>
      <w:r w:rsidRPr="00351FED">
        <w:rPr>
          <w:rFonts w:asciiTheme="minorHAnsi" w:hAnsiTheme="minorHAnsi" w:cstheme="minorHAnsi"/>
          <w:i/>
          <w:sz w:val="16"/>
          <w:szCs w:val="16"/>
        </w:rPr>
        <w:t>[Wydanie: ADR-DSN/3]</w:t>
      </w:r>
    </w:p>
    <w:p w14:paraId="52D0CCBA" w14:textId="6411F25F" w:rsidR="00321E77" w:rsidRPr="00351FED" w:rsidRDefault="00321E77" w:rsidP="008A6F43">
      <w:pPr>
        <w:pStyle w:val="Tekstpodstawowy"/>
        <w:spacing w:after="360"/>
        <w:ind w:left="23" w:hanging="23"/>
        <w:rPr>
          <w:rFonts w:asciiTheme="minorHAnsi" w:hAnsiTheme="minorHAnsi" w:cstheme="minorHAnsi"/>
          <w:i/>
          <w:sz w:val="16"/>
          <w:szCs w:val="16"/>
        </w:rPr>
      </w:pPr>
      <w:r w:rsidRPr="00351FED">
        <w:rPr>
          <w:rFonts w:asciiTheme="minorHAnsi" w:hAnsiTheme="minorHAnsi" w:cstheme="minorHAnsi"/>
          <w:i/>
          <w:sz w:val="16"/>
          <w:szCs w:val="16"/>
        </w:rPr>
        <w:t>[Wydanie: ADR-DSN/4]</w:t>
      </w:r>
    </w:p>
    <w:p w14:paraId="00A0DFB1" w14:textId="1762394E" w:rsidR="002A38A1" w:rsidRPr="009E064B" w:rsidRDefault="00820B06" w:rsidP="00133B99">
      <w:pPr>
        <w:pStyle w:val="Nagwek6"/>
      </w:pPr>
      <w:bookmarkStart w:id="1622" w:name="_Toc401059056"/>
      <w:bookmarkStart w:id="1623" w:name="_Toc482886921"/>
      <w:bookmarkStart w:id="1624" w:name="_Toc12533236"/>
      <w:r w:rsidRPr="009E064B">
        <w:t xml:space="preserve">GM1 ADR-DSN.M.760     </w:t>
      </w:r>
      <w:r w:rsidR="002A38A1" w:rsidRPr="009E064B">
        <w:t>Zaawansowany wzrokowy system dokowania</w:t>
      </w:r>
      <w:bookmarkEnd w:id="1622"/>
      <w:bookmarkEnd w:id="1623"/>
      <w:bookmarkEnd w:id="1624"/>
    </w:p>
    <w:p w14:paraId="2EFB8188" w14:textId="63AD97C0"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6B230A4" w14:textId="41B34594" w:rsidR="002A38A1" w:rsidRPr="009E064B" w:rsidRDefault="002A38A1" w:rsidP="00820B06">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Zaawansowany wzrokowy system dokowania powinien obejmować te systemy, które oprócz informacji o kierunku podstawowym i pasywnym oraz o pozycji zatrzymania, zapewniają pilotom informacje o prowadzeniu (zwykle w oparciu o sensory), takie jak wskazanie typu statku powietrznego, informacje o odległości do pokonania, oraz prędkość zbliżania. Informacje systemu dokowania zapewniane są na pojedynczym wyświetlaczu.</w:t>
      </w:r>
    </w:p>
    <w:p w14:paraId="6D00C4EA" w14:textId="7777777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Zaawansowany wzrokowy system dokowania powinien obejmować te systemy, które oprócz informacji o kierunku podstawowym i pasywnym oraz o pozycji zatrzymania, zapewniają pilotom informacje o prowadzeniu (zwykle w oparciu o sensory), takie jak wskazanie typu statku powietrznego, informacje o odległości do pokonania, oraz prędkość zbliżania. Informacje systemu dokowania zapewniane są na pojedynczym wyświetlaczu.</w:t>
      </w:r>
    </w:p>
    <w:p w14:paraId="518F394C" w14:textId="7777777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Wykorzystanie zaawansowanego wzrokowego systemu dokowania w warunkach takich jak pogoda, widzialność oraz oświetlenie tła zarówno w dzień jak i w nocy nie musi być określone.</w:t>
      </w:r>
    </w:p>
    <w:p w14:paraId="7E95EED9" w14:textId="7777777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Przy</w:t>
      </w:r>
      <w:r w:rsidRPr="009E064B">
        <w:rPr>
          <w:rFonts w:eastAsia="Times New Roman,Italic" w:cs="Times New Roman,Italic"/>
          <w:iCs/>
          <w:szCs w:val="20"/>
        </w:rPr>
        <w:t xml:space="preserve"> projektowaniu systemu i jego instalacji należy zwrócić uwagę, by w rezultacie odbicia światła słonecznego lub innych znajdujących się w pobliżu świateł, nie uległ obniżeniu poziom czytelności i wyrazistości odbieranych sygnałów wzrokowych.</w:t>
      </w:r>
    </w:p>
    <w:p w14:paraId="58F8FDA8" w14:textId="590FA09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 xml:space="preserve">Zastosowanie kolorów powinno być właściwe i powinno być </w:t>
      </w:r>
      <w:r w:rsidR="007D1946">
        <w:rPr>
          <w:szCs w:val="20"/>
        </w:rPr>
        <w:t>zgodne z konwencją sygnału, tj. </w:t>
      </w:r>
      <w:r w:rsidRPr="009E064B">
        <w:rPr>
          <w:szCs w:val="20"/>
        </w:rPr>
        <w:t>kolor czerwony, żółty i zielony oznaczają zagrożenie, ostrożność oraz warunki normalne</w:t>
      </w:r>
      <w:r w:rsidR="00351FED">
        <w:rPr>
          <w:szCs w:val="20"/>
        </w:rPr>
        <w:t> </w:t>
      </w:r>
      <w:r w:rsidRPr="009E064B">
        <w:rPr>
          <w:szCs w:val="20"/>
        </w:rPr>
        <w:t>/</w:t>
      </w:r>
      <w:r w:rsidR="00351FED">
        <w:rPr>
          <w:szCs w:val="20"/>
        </w:rPr>
        <w:t> </w:t>
      </w:r>
      <w:r w:rsidRPr="009E064B">
        <w:rPr>
          <w:szCs w:val="20"/>
        </w:rPr>
        <w:t>poprawne, odpowiednio. Wpływ kontrastu pomiędzy kolorami musi być również uwzględniony.</w:t>
      </w:r>
    </w:p>
    <w:p w14:paraId="6327F590" w14:textId="7233229B" w:rsidR="00351FED"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szCs w:val="20"/>
        </w:rPr>
        <w:t>Wskazanie odległości statku powietrznego od pozycji zatrzymania może być przedstawione przy użyciu koloru i pokazane, jako prędkość i odległość proporcjonalnie do faktycznej prędkości zbliżania się oraz odległość statku powietrznego zbliżającego się do punktu zatrzymania.</w:t>
      </w:r>
    </w:p>
    <w:p w14:paraId="2EC38D52" w14:textId="77777777" w:rsidR="00351FED" w:rsidRDefault="00351FED">
      <w:pPr>
        <w:spacing w:after="0"/>
        <w:jc w:val="left"/>
        <w:rPr>
          <w:szCs w:val="20"/>
        </w:rPr>
      </w:pPr>
      <w:r>
        <w:rPr>
          <w:szCs w:val="20"/>
        </w:rPr>
        <w:br w:type="page"/>
      </w:r>
    </w:p>
    <w:p w14:paraId="3B8FF5A8" w14:textId="105BD308" w:rsidR="00C36D76" w:rsidRPr="009E064B" w:rsidRDefault="00820B06" w:rsidP="00820B06">
      <w:pPr>
        <w:pStyle w:val="Nagwek4"/>
        <w:tabs>
          <w:tab w:val="clear" w:pos="2694"/>
          <w:tab w:val="left" w:pos="2552"/>
        </w:tabs>
        <w:ind w:left="2552" w:hanging="2552"/>
        <w:rPr>
          <w:color w:val="auto"/>
        </w:rPr>
      </w:pPr>
      <w:bookmarkStart w:id="1625" w:name="_Toc482886698"/>
      <w:bookmarkStart w:id="1626" w:name="_Toc12533237"/>
      <w:r w:rsidRPr="009E064B">
        <w:rPr>
          <w:color w:val="auto"/>
        </w:rPr>
        <w:t xml:space="preserve">CS ADR-DSN.M.765     </w:t>
      </w:r>
      <w:r w:rsidR="00C36D76" w:rsidRPr="009E064B">
        <w:rPr>
          <w:color w:val="auto"/>
        </w:rPr>
        <w:t>Światła prowadzenia na stanowisko postojowe statku powietrznego</w:t>
      </w:r>
      <w:bookmarkEnd w:id="1625"/>
      <w:bookmarkEnd w:id="1626"/>
    </w:p>
    <w:p w14:paraId="211BCD3C" w14:textId="0485F61A"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CCFF25E" w14:textId="0DBF2522" w:rsidR="00C36D76" w:rsidRPr="009E064B" w:rsidRDefault="00C36D76" w:rsidP="00820B06">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Światła prowadzenia na stanowisko postojowe statku powietrznego powinny być instalowane w celu umożliwienia ustawienia statku powietrznego na stanowisku postojowym, na płycie o nawierzchni sztucznej lub na stanowisku do odladzania/przeciwdziałania oblodzeniu, przeznaczonych do wykorzystywania w warunkach ograniczonej widzialności, chyba, że wystarczające prowadzenie jest zapewnione za pomocą innych środków.</w:t>
      </w:r>
    </w:p>
    <w:p w14:paraId="7091CCC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Światła prowadzenia na stanowisko postojowe statku powietrznego powinny być umieszczone razem z oznakowaniem stanowiska postojowego statku powietrznego.</w:t>
      </w:r>
    </w:p>
    <w:p w14:paraId="246AA758"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2AA2B0EA"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Światła prowadzenia na stanowisko postojowe statku powietrznego, inne niż światła wskazujące pozycję zatrzymania, powinny być światłami stałymi koloru żółtego, widocznymi na obszarze, w którym mają one zapewnić prowadzenie.</w:t>
      </w:r>
    </w:p>
    <w:p w14:paraId="3E69C199"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użyte do wyznaczenia linii wjazdu, zakrętu oraz linii wyjazdu powinny być rozmieszczone w odstępach nie większych niż 7.5 m na łukach oraz 15 m na odcinkach prostych.</w:t>
      </w:r>
    </w:p>
    <w:p w14:paraId="7A34D415" w14:textId="77777777" w:rsidR="00C36D76" w:rsidRPr="009E064B" w:rsidRDefault="00C36D76" w:rsidP="00B06A9A">
      <w:pPr>
        <w:tabs>
          <w:tab w:val="left" w:pos="1134"/>
        </w:tabs>
        <w:ind w:left="1134" w:hanging="567"/>
        <w:rPr>
          <w:szCs w:val="20"/>
        </w:rPr>
      </w:pPr>
      <w:r w:rsidRPr="009E064B">
        <w:rPr>
          <w:rFonts w:cs="Times New Roman"/>
          <w:szCs w:val="20"/>
        </w:rPr>
        <w:t>(3)</w:t>
      </w:r>
      <w:r w:rsidRPr="009E064B">
        <w:rPr>
          <w:rFonts w:cs="Times New Roman"/>
          <w:szCs w:val="20"/>
        </w:rPr>
        <w:tab/>
      </w:r>
      <w:r w:rsidRPr="009E064B">
        <w:rPr>
          <w:szCs w:val="20"/>
        </w:rPr>
        <w:t>Światła wskazujące miejsce zatrzymania powinny być światłami stałymi, jednokierunkowymi, koloru czerwonego.</w:t>
      </w:r>
    </w:p>
    <w:p w14:paraId="57B93119"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Intensywność świateł powinna odpowiadać warunkom widzialności oraz oświetlenia tła, w jakich przewiduje się użytkowanie stanowiska postojowego statku powietrznego.</w:t>
      </w:r>
    </w:p>
    <w:p w14:paraId="769D7581"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Obwód elektryczny świateł powinien być zaprojektowany w taki sposób, aby możliwe było włączenie świateł w celu wskazania stanowiska postojowego, które ma być użyte oraz ich wyłączenie, w celu wskazania, że to stanowisko nie może być użyte.</w:t>
      </w:r>
    </w:p>
    <w:p w14:paraId="11B1C582" w14:textId="3DAF65AB" w:rsidR="002A38A1" w:rsidRPr="009E064B" w:rsidRDefault="00820B06" w:rsidP="00133B99">
      <w:pPr>
        <w:pStyle w:val="Nagwek6"/>
      </w:pPr>
      <w:bookmarkStart w:id="1627" w:name="_Toc401059057"/>
      <w:bookmarkStart w:id="1628" w:name="_Toc482886922"/>
      <w:bookmarkStart w:id="1629" w:name="_Toc12533238"/>
      <w:r w:rsidRPr="009E064B">
        <w:t xml:space="preserve">GM1 ADR-DSN.M.765     </w:t>
      </w:r>
      <w:r w:rsidR="002A38A1" w:rsidRPr="009E064B">
        <w:t>Światła prowadzenia na stanowisko postojowe statku powietrznego</w:t>
      </w:r>
      <w:bookmarkEnd w:id="1627"/>
      <w:bookmarkEnd w:id="1628"/>
      <w:bookmarkEnd w:id="1629"/>
    </w:p>
    <w:p w14:paraId="508E09CD" w14:textId="42CFB995"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BF2D893" w14:textId="77777777" w:rsidR="002A38A1" w:rsidRPr="009E064B" w:rsidRDefault="002A38A1" w:rsidP="00820B06">
      <w:pPr>
        <w:spacing w:before="120"/>
        <w:rPr>
          <w:szCs w:val="20"/>
        </w:rPr>
      </w:pPr>
      <w:r w:rsidRPr="009E064B">
        <w:rPr>
          <w:szCs w:val="20"/>
        </w:rPr>
        <w:t>Celowo pozostawiono puste.</w:t>
      </w:r>
    </w:p>
    <w:p w14:paraId="5D92490D" w14:textId="103A28D8" w:rsidR="00C36D76" w:rsidRPr="009E064B" w:rsidRDefault="00C36D76" w:rsidP="00B06A9A">
      <w:pPr>
        <w:pStyle w:val="Nagwek4"/>
        <w:rPr>
          <w:color w:val="auto"/>
        </w:rPr>
      </w:pPr>
      <w:bookmarkStart w:id="1630" w:name="_CS_ADR-DSN.M.770_"/>
      <w:bookmarkStart w:id="1631" w:name="_Toc482886699"/>
      <w:bookmarkStart w:id="1632" w:name="_Toc12533239"/>
      <w:bookmarkEnd w:id="1630"/>
      <w:r w:rsidRPr="009E064B">
        <w:rPr>
          <w:color w:val="auto"/>
        </w:rPr>
        <w:t xml:space="preserve">CS ADR-DSN.M.770 </w:t>
      </w:r>
      <w:r w:rsidR="00B2141E" w:rsidRPr="009E064B">
        <w:rPr>
          <w:color w:val="auto"/>
        </w:rPr>
        <w:t xml:space="preserve">    </w:t>
      </w:r>
      <w:r w:rsidRPr="009E064B">
        <w:rPr>
          <w:color w:val="auto"/>
        </w:rPr>
        <w:t>Światło miejsca oczekiwania na drodze ruchu kołowego</w:t>
      </w:r>
      <w:bookmarkEnd w:id="1631"/>
      <w:bookmarkEnd w:id="1632"/>
    </w:p>
    <w:p w14:paraId="79EBAD9B" w14:textId="78F05E41"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0095D2D" w14:textId="3D5105FE"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Światło miejsca oczekiwania na drodze ruchu kołowego powinno być instalowane w każdym miejscu oczekiwania na drodze ruchu kołowego przed drogą startową, jeżeli droga startowa jest przeznaczona do wykorzystywania w warunkach, przy zasięgu widzialności wzdłuż drogi startowej (RVR) mniejszym niż 550 m.</w:t>
      </w:r>
    </w:p>
    <w:p w14:paraId="12485EF1" w14:textId="72C48A04"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Światło miejsca oczekiwania na drodze ruchu kołowego powinno być zlokalizowane w pobliżu oznakowania miejsca oczekiwania, 1.5 m (± 0.5 m) od</w:t>
      </w:r>
      <w:r w:rsidR="00351FED">
        <w:rPr>
          <w:szCs w:val="20"/>
        </w:rPr>
        <w:t xml:space="preserve"> jednej z </w:t>
      </w:r>
      <w:r w:rsidR="007D1946">
        <w:rPr>
          <w:szCs w:val="20"/>
        </w:rPr>
        <w:t>krawędzi drogi, np. </w:t>
      </w:r>
      <w:r w:rsidR="00820B06" w:rsidRPr="009E064B">
        <w:rPr>
          <w:szCs w:val="20"/>
        </w:rPr>
        <w:t>z </w:t>
      </w:r>
      <w:r w:rsidRPr="009E064B">
        <w:rPr>
          <w:szCs w:val="20"/>
        </w:rPr>
        <w:t>lewej lub z prawej strony, zgodnie z lokalnymi przepisami ruchu drogowego.</w:t>
      </w:r>
    </w:p>
    <w:p w14:paraId="7D6F03FC"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26F8E2D8" w14:textId="77777777" w:rsidR="00C36D76" w:rsidRPr="009E064B" w:rsidRDefault="00C36D76" w:rsidP="00351FED">
      <w:pPr>
        <w:tabs>
          <w:tab w:val="left" w:pos="1134"/>
        </w:tabs>
        <w:spacing w:after="60"/>
        <w:ind w:left="1134" w:hanging="567"/>
        <w:rPr>
          <w:szCs w:val="20"/>
        </w:rPr>
      </w:pPr>
      <w:r w:rsidRPr="009E064B">
        <w:rPr>
          <w:rFonts w:cs="Times New Roman"/>
          <w:szCs w:val="20"/>
        </w:rPr>
        <w:t xml:space="preserve">(1) </w:t>
      </w:r>
      <w:r w:rsidRPr="009E064B">
        <w:rPr>
          <w:rFonts w:cs="Times New Roman"/>
          <w:szCs w:val="20"/>
        </w:rPr>
        <w:tab/>
      </w:r>
      <w:r w:rsidRPr="009E064B">
        <w:rPr>
          <w:szCs w:val="20"/>
        </w:rPr>
        <w:t>Światło miejsca oczekiwania na drodze ruchu kołowego powinno składać się z:</w:t>
      </w:r>
    </w:p>
    <w:p w14:paraId="35233B88" w14:textId="77777777" w:rsidR="00C36D76" w:rsidRPr="009E064B" w:rsidRDefault="00C36D76" w:rsidP="00351FED">
      <w:pPr>
        <w:tabs>
          <w:tab w:val="left" w:pos="1701"/>
        </w:tabs>
        <w:spacing w:after="60"/>
        <w:ind w:left="1701" w:hanging="567"/>
        <w:rPr>
          <w:szCs w:val="20"/>
        </w:rPr>
      </w:pPr>
      <w:r w:rsidRPr="009E064B">
        <w:rPr>
          <w:rFonts w:cs="Times New Roman"/>
          <w:szCs w:val="20"/>
        </w:rPr>
        <w:t xml:space="preserve">(i) </w:t>
      </w:r>
      <w:r w:rsidRPr="009E064B">
        <w:rPr>
          <w:rFonts w:cs="Times New Roman"/>
          <w:szCs w:val="20"/>
        </w:rPr>
        <w:tab/>
      </w:r>
      <w:r w:rsidRPr="009E064B">
        <w:rPr>
          <w:szCs w:val="20"/>
        </w:rPr>
        <w:t>sterowanego sygnalizatora świetlnego ze światłami koloru czerwonego (stop) i zielonego (jedź); lub</w:t>
      </w:r>
    </w:p>
    <w:p w14:paraId="23AF99B0"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błyskowego światła koloru czerwonego.</w:t>
      </w:r>
    </w:p>
    <w:p w14:paraId="22A7C124" w14:textId="74246861"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Światła określone w </w:t>
      </w:r>
      <w:r w:rsidR="003F7443" w:rsidRPr="009E064B">
        <w:rPr>
          <w:szCs w:val="20"/>
        </w:rPr>
        <w:t xml:space="preserve">pkt (1) </w:t>
      </w:r>
      <w:r w:rsidRPr="009E064B">
        <w:rPr>
          <w:szCs w:val="20"/>
        </w:rPr>
        <w:t>podpunk</w:t>
      </w:r>
      <w:r w:rsidR="003F7443" w:rsidRPr="009E064B">
        <w:rPr>
          <w:szCs w:val="20"/>
        </w:rPr>
        <w:t>t </w:t>
      </w:r>
      <w:r w:rsidRPr="009E064B">
        <w:rPr>
          <w:szCs w:val="20"/>
        </w:rPr>
        <w:t>(i) powyżej, powinny być sterowane przez służby ruchu lotniczego.</w:t>
      </w:r>
    </w:p>
    <w:p w14:paraId="18A95181"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Wiązka światła miejsca oczekiwania na drodze ruchu kołowego powinna być jednokierunkowa oraz skierowana w taki sposób, aby była widoczna dla kierowcy pojazdu zbliżającego się do miejsca oczekiwania.</w:t>
      </w:r>
    </w:p>
    <w:p w14:paraId="32A88A05"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Intensywność światła musi odpowiadać warunkom widzialności oraz oświetlenia tła, w jakich przewiduje się użytkowanie, ale nie powinno oślepiać kierowcy.</w:t>
      </w:r>
    </w:p>
    <w:p w14:paraId="06C3B896" w14:textId="77777777" w:rsidR="00C36D76" w:rsidRPr="009E064B" w:rsidRDefault="00C36D76" w:rsidP="00351FED">
      <w:pPr>
        <w:tabs>
          <w:tab w:val="left" w:pos="1134"/>
        </w:tabs>
        <w:spacing w:after="0"/>
        <w:ind w:left="1134" w:hanging="567"/>
        <w:rPr>
          <w:szCs w:val="20"/>
        </w:rPr>
      </w:pPr>
      <w:r w:rsidRPr="009E064B">
        <w:rPr>
          <w:rFonts w:cs="Times New Roman"/>
          <w:szCs w:val="20"/>
        </w:rPr>
        <w:t xml:space="preserve">(5) </w:t>
      </w:r>
      <w:r w:rsidRPr="009E064B">
        <w:rPr>
          <w:rFonts w:cs="Times New Roman"/>
          <w:szCs w:val="20"/>
        </w:rPr>
        <w:tab/>
      </w:r>
      <w:r w:rsidRPr="009E064B">
        <w:rPr>
          <w:szCs w:val="20"/>
        </w:rPr>
        <w:t>Częstotliwość błysków czerwonego światła błyskowego powinno wynosić od 30 do 60 błysków na minutę.</w:t>
      </w:r>
    </w:p>
    <w:p w14:paraId="1D8D1302" w14:textId="77777777" w:rsidR="00C36D76" w:rsidRPr="009E064B" w:rsidRDefault="00C36D76" w:rsidP="00351FED">
      <w:pPr>
        <w:pStyle w:val="Tekstpodstawowy"/>
        <w:spacing w:before="6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81EF643" w14:textId="4B6209AD" w:rsidR="002A38A1" w:rsidRPr="009E064B" w:rsidRDefault="00820B06" w:rsidP="00133B99">
      <w:pPr>
        <w:pStyle w:val="Nagwek6"/>
      </w:pPr>
      <w:bookmarkStart w:id="1633" w:name="_Toc401059058"/>
      <w:bookmarkStart w:id="1634" w:name="_Toc482886923"/>
      <w:bookmarkStart w:id="1635" w:name="_Toc12533240"/>
      <w:r w:rsidRPr="009E064B">
        <w:t xml:space="preserve">GM1 ADR-DSN.M.770     </w:t>
      </w:r>
      <w:r w:rsidR="002A38A1" w:rsidRPr="009E064B">
        <w:t>Światło miejsca oczekiwania na drodze ruchu kołowego</w:t>
      </w:r>
      <w:bookmarkEnd w:id="1633"/>
      <w:bookmarkEnd w:id="1634"/>
      <w:bookmarkEnd w:id="1635"/>
    </w:p>
    <w:p w14:paraId="0F357055" w14:textId="405F7EAC"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6DA4D91" w14:textId="77777777" w:rsidR="002A38A1" w:rsidRPr="009E064B" w:rsidRDefault="002A38A1" w:rsidP="00B06A9A">
      <w:pPr>
        <w:rPr>
          <w:szCs w:val="20"/>
        </w:rPr>
      </w:pPr>
      <w:r w:rsidRPr="009E064B">
        <w:rPr>
          <w:szCs w:val="20"/>
        </w:rPr>
        <w:t>W miejscach gdzie droga ruchu kołowego przecina drogę kołowania ze względów operacyjnych, odpowiednie światło miejsca oczekiwania na drodze ruchu kołowego może być umieszczone w sąsiedztwie oznakowania skrzyżowania drogi z drogą kołowania w odległości 1.5 m (±0.5 m) od krawędzi drogi, po lewej lub prawej stronie, odpowiednio do lokalnych przepisów ruchu drogowego.</w:t>
      </w:r>
    </w:p>
    <w:p w14:paraId="7A2F585E" w14:textId="453B842A" w:rsidR="00C36D76" w:rsidRPr="009E064B" w:rsidRDefault="00B2141E" w:rsidP="00B06A9A">
      <w:pPr>
        <w:pStyle w:val="Nagwek4"/>
        <w:rPr>
          <w:color w:val="auto"/>
        </w:rPr>
      </w:pPr>
      <w:bookmarkStart w:id="1636" w:name="_Toc482886700"/>
      <w:bookmarkStart w:id="1637" w:name="_Toc12533241"/>
      <w:r w:rsidRPr="009E064B">
        <w:rPr>
          <w:color w:val="auto"/>
        </w:rPr>
        <w:t xml:space="preserve">CS ADR-DSN.M.771     </w:t>
      </w:r>
      <w:r w:rsidR="00C36D76" w:rsidRPr="009E064B">
        <w:rPr>
          <w:color w:val="auto"/>
        </w:rPr>
        <w:t>Poprzeczka zakazu wjazdu</w:t>
      </w:r>
      <w:bookmarkEnd w:id="1636"/>
      <w:bookmarkEnd w:id="1637"/>
    </w:p>
    <w:p w14:paraId="11503D0A" w14:textId="3D913E7D"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55E1553" w14:textId="6C1335E7" w:rsidR="00C36D76" w:rsidRPr="009E064B" w:rsidRDefault="00C36D76" w:rsidP="00B06A9A">
      <w:pPr>
        <w:tabs>
          <w:tab w:val="left" w:pos="567"/>
        </w:tabs>
        <w:ind w:left="567" w:hanging="567"/>
        <w:rPr>
          <w:rFonts w:cs="Times New Roman"/>
          <w:szCs w:val="20"/>
        </w:rPr>
      </w:pPr>
      <w:r w:rsidRPr="009E064B">
        <w:rPr>
          <w:rFonts w:cs="Times New Roman"/>
          <w:szCs w:val="20"/>
        </w:rPr>
        <w:t>(a)</w:t>
      </w:r>
      <w:r w:rsidRPr="009E064B">
        <w:rPr>
          <w:rFonts w:cs="Times New Roman"/>
          <w:szCs w:val="20"/>
        </w:rPr>
        <w:tab/>
        <w:t>Zastosowanie: Poprzeczka zakazu wjazdu powinna być instalowana w poprzek drogi kołowania, która przeznaczona jest tylko do zjazdu, w celu zapobiegania przed nieumyślnym wjazdem statku powietrznego na tę drogę kołowania.</w:t>
      </w:r>
    </w:p>
    <w:p w14:paraId="0564B858"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(b)</w:t>
      </w:r>
      <w:r w:rsidRPr="009E064B">
        <w:rPr>
          <w:rFonts w:cs="Times New Roman"/>
          <w:szCs w:val="20"/>
        </w:rPr>
        <w:tab/>
        <w:t>Lokalizacja: Poprzeczka zakazu wjazdu powinna być umieszczona w poprzek drogi kołowania na końcu drogi kołowania przeznaczonej tylko do zjazdu jeżeli pożądane jest, aby zapobiegać wjazdom na drogę kołowania w niewłaściwym kierunku.</w:t>
      </w:r>
    </w:p>
    <w:p w14:paraId="0400BB60"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(c)</w:t>
      </w:r>
      <w:r w:rsidRPr="009E064B">
        <w:rPr>
          <w:rFonts w:cs="Times New Roman"/>
          <w:szCs w:val="20"/>
        </w:rPr>
        <w:tab/>
        <w:t>Charakterystyka:</w:t>
      </w:r>
    </w:p>
    <w:p w14:paraId="2B20F638" w14:textId="2BF2AF88" w:rsidR="00C36D76" w:rsidRPr="009E064B" w:rsidRDefault="00C36D76" w:rsidP="00B06A9A">
      <w:pPr>
        <w:tabs>
          <w:tab w:val="left" w:pos="1134"/>
        </w:tabs>
        <w:ind w:left="1134" w:hanging="567"/>
        <w:rPr>
          <w:szCs w:val="20"/>
        </w:rPr>
      </w:pPr>
      <w:r w:rsidRPr="009E064B">
        <w:rPr>
          <w:szCs w:val="20"/>
        </w:rPr>
        <w:t>(1)</w:t>
      </w:r>
      <w:r w:rsidRPr="009E064B">
        <w:rPr>
          <w:szCs w:val="20"/>
        </w:rPr>
        <w:tab/>
        <w:t>Poprzeczka zakazu wjazdu powinna składać się z jednokierunkowych świateł rozmieszczonych w jednakowych odstępach nie większyc</w:t>
      </w:r>
      <w:r w:rsidR="003B4FF4" w:rsidRPr="009E064B">
        <w:rPr>
          <w:szCs w:val="20"/>
        </w:rPr>
        <w:t>h niż 3 m, koloru czerwonego, z </w:t>
      </w:r>
      <w:r w:rsidRPr="009E064B">
        <w:rPr>
          <w:szCs w:val="20"/>
        </w:rPr>
        <w:t>kierunku/kierunków zbliżania się do drogi startowej.</w:t>
      </w:r>
    </w:p>
    <w:p w14:paraId="2A92797E" w14:textId="77777777" w:rsidR="00C36D76" w:rsidRPr="009E064B" w:rsidRDefault="00C36D76" w:rsidP="00351FED">
      <w:pPr>
        <w:tabs>
          <w:tab w:val="left" w:pos="1134"/>
        </w:tabs>
        <w:spacing w:after="60"/>
        <w:ind w:left="1134" w:hanging="567"/>
        <w:rPr>
          <w:szCs w:val="20"/>
        </w:rPr>
      </w:pPr>
      <w:r w:rsidRPr="009E064B">
        <w:rPr>
          <w:szCs w:val="20"/>
        </w:rPr>
        <w:t>(2)</w:t>
      </w:r>
      <w:r w:rsidRPr="009E064B">
        <w:rPr>
          <w:szCs w:val="20"/>
        </w:rPr>
        <w:tab/>
        <w:t>Zasilanie elektryczne świateł powinno być zaprojektowane w taki sposób, aby:</w:t>
      </w:r>
    </w:p>
    <w:p w14:paraId="504BA4A0" w14:textId="77777777" w:rsidR="00C36D76" w:rsidRPr="009E064B" w:rsidRDefault="00C36D76" w:rsidP="00351FED">
      <w:pPr>
        <w:tabs>
          <w:tab w:val="left" w:pos="1701"/>
        </w:tabs>
        <w:spacing w:after="60"/>
        <w:ind w:left="1701" w:hanging="567"/>
        <w:rPr>
          <w:szCs w:val="20"/>
        </w:rPr>
      </w:pPr>
      <w:r w:rsidRPr="009E064B">
        <w:rPr>
          <w:szCs w:val="20"/>
        </w:rPr>
        <w:t>(i)</w:t>
      </w:r>
      <w:r w:rsidRPr="009E064B">
        <w:rPr>
          <w:szCs w:val="20"/>
        </w:rPr>
        <w:tab/>
        <w:t>poprzeczki zakazu wjazdu były włączane selektywnie lub grupowo;</w:t>
      </w:r>
    </w:p>
    <w:p w14:paraId="00F75D67" w14:textId="77777777" w:rsidR="00C36D76" w:rsidRPr="009E064B" w:rsidRDefault="00C36D76" w:rsidP="00351FED">
      <w:pPr>
        <w:tabs>
          <w:tab w:val="left" w:pos="1701"/>
        </w:tabs>
        <w:spacing w:after="60"/>
        <w:ind w:left="1701" w:hanging="567"/>
        <w:rPr>
          <w:szCs w:val="20"/>
        </w:rPr>
      </w:pPr>
      <w:r w:rsidRPr="009E064B">
        <w:rPr>
          <w:szCs w:val="20"/>
        </w:rPr>
        <w:t>(ii)</w:t>
      </w:r>
      <w:r w:rsidRPr="009E064B">
        <w:rPr>
          <w:szCs w:val="20"/>
        </w:rPr>
        <w:tab/>
        <w:t>przy włączonej poprzeczce zakazu wjazdu, wszystkie światła linii środkowej drogi kołowania zlokalizowane za poprzeczką zakazu wjazdu, patrząc w kierunku drogi startowej, były wyłączone na odległości nie mniejszej niż 90 m; oraz</w:t>
      </w:r>
    </w:p>
    <w:p w14:paraId="2CC6F2A4" w14:textId="77777777" w:rsidR="00C36D76" w:rsidRPr="009E064B" w:rsidRDefault="00C36D76" w:rsidP="00B06A9A">
      <w:pPr>
        <w:tabs>
          <w:tab w:val="left" w:pos="1701"/>
        </w:tabs>
        <w:ind w:left="1701" w:hanging="567"/>
        <w:rPr>
          <w:szCs w:val="20"/>
        </w:rPr>
      </w:pPr>
      <w:r w:rsidRPr="009E064B">
        <w:rPr>
          <w:szCs w:val="20"/>
        </w:rPr>
        <w:t>(iii)</w:t>
      </w:r>
      <w:r w:rsidRPr="009E064B">
        <w:rPr>
          <w:szCs w:val="20"/>
        </w:rPr>
        <w:tab/>
        <w:t>przy włączonej poprzeczce zakazu wjazdu, każda poprzeczka zatrzymania zainstalowana pomiędzy poprzeczką zakazu wjazdu a drogą startową powinna być wyłączona.</w:t>
      </w:r>
    </w:p>
    <w:p w14:paraId="67573639" w14:textId="6C227B5D" w:rsidR="00C36D76" w:rsidRPr="009E064B" w:rsidRDefault="00C36D76" w:rsidP="00B06A9A">
      <w:pPr>
        <w:tabs>
          <w:tab w:val="left" w:pos="1134"/>
        </w:tabs>
        <w:ind w:left="1134" w:hanging="567"/>
        <w:rPr>
          <w:szCs w:val="20"/>
        </w:rPr>
      </w:pPr>
      <w:r w:rsidRPr="009E064B">
        <w:rPr>
          <w:szCs w:val="20"/>
        </w:rPr>
        <w:t xml:space="preserve">(3) </w:t>
      </w:r>
      <w:r w:rsidRPr="009E064B">
        <w:rPr>
          <w:szCs w:val="20"/>
        </w:rPr>
        <w:tab/>
        <w:t xml:space="preserve">Intensywność świateł czerwonych oraz rozwarcie wiązki świateł poprzeczki zakazu </w:t>
      </w:r>
      <w:r w:rsidR="007D1946">
        <w:rPr>
          <w:szCs w:val="20"/>
        </w:rPr>
        <w:br/>
      </w:r>
      <w:r w:rsidRPr="009E064B">
        <w:rPr>
          <w:szCs w:val="20"/>
        </w:rPr>
        <w:t>wjazdu powinny być zgodne ze specyfikacjami określonymi o</w:t>
      </w:r>
      <w:r w:rsidR="00496C01" w:rsidRPr="009E064B">
        <w:rPr>
          <w:szCs w:val="20"/>
        </w:rPr>
        <w:t>dpowiednio</w:t>
      </w:r>
      <w:r w:rsidR="00496C01" w:rsidRPr="009E064B">
        <w:rPr>
          <w:szCs w:val="20"/>
        </w:rPr>
        <w:br/>
        <w:t xml:space="preserve">w </w:t>
      </w:r>
      <w:hyperlink w:anchor="_CS_ADR-DSN.U.940_" w:history="1">
        <w:r w:rsidR="00496C01" w:rsidRPr="009E064B">
          <w:rPr>
            <w:rStyle w:val="Hipercze"/>
            <w:szCs w:val="20"/>
          </w:rPr>
          <w:t>CS ADR-DSN.U.940</w:t>
        </w:r>
      </w:hyperlink>
      <w:r w:rsidR="003B4FF4" w:rsidRPr="009E064B">
        <w:rPr>
          <w:szCs w:val="20"/>
        </w:rPr>
        <w:t xml:space="preserve"> i </w:t>
      </w:r>
      <w:r w:rsidRPr="009E064B">
        <w:rPr>
          <w:szCs w:val="20"/>
        </w:rPr>
        <w:t>na Rysunkach U-16 do U-20.</w:t>
      </w:r>
    </w:p>
    <w:p w14:paraId="17C81A57" w14:textId="0ADEB9BC" w:rsidR="00C36D76" w:rsidRPr="00351FED" w:rsidRDefault="00C36D76" w:rsidP="00351FED">
      <w:pPr>
        <w:tabs>
          <w:tab w:val="left" w:pos="1134"/>
        </w:tabs>
        <w:spacing w:after="60"/>
        <w:ind w:left="1134" w:hanging="567"/>
        <w:rPr>
          <w:szCs w:val="20"/>
        </w:rPr>
      </w:pPr>
      <w:r w:rsidRPr="009E064B">
        <w:rPr>
          <w:szCs w:val="20"/>
        </w:rPr>
        <w:t xml:space="preserve">(4) </w:t>
      </w:r>
      <w:r w:rsidRPr="009E064B">
        <w:rPr>
          <w:szCs w:val="20"/>
        </w:rPr>
        <w:tab/>
        <w:t xml:space="preserve">Chromatyczność świateł poprzeczki zakazu wjazdu powinna być zgodne ze specyfikacjami określonymi w </w:t>
      </w:r>
      <w:hyperlink w:anchor="_CS_ADR-DSN.U.930_" w:history="1">
        <w:r w:rsidRPr="009E064B">
          <w:rPr>
            <w:rStyle w:val="Hipercze"/>
            <w:szCs w:val="20"/>
          </w:rPr>
          <w:t>CS ADR-DSN.U.930</w:t>
        </w:r>
      </w:hyperlink>
      <w:r w:rsidRPr="009E064B">
        <w:rPr>
          <w:szCs w:val="20"/>
        </w:rPr>
        <w:t xml:space="preserve"> i </w:t>
      </w:r>
      <w:r w:rsidR="001B684F" w:rsidRPr="00351FED">
        <w:rPr>
          <w:szCs w:val="20"/>
        </w:rPr>
        <w:t xml:space="preserve">odpowiednio </w:t>
      </w:r>
      <w:r w:rsidRPr="00351FED">
        <w:rPr>
          <w:szCs w:val="20"/>
        </w:rPr>
        <w:t>na Rysunku U-1</w:t>
      </w:r>
      <w:r w:rsidR="001B684F" w:rsidRPr="00351FED">
        <w:rPr>
          <w:szCs w:val="20"/>
        </w:rPr>
        <w:t>A lub U1B</w:t>
      </w:r>
      <w:r w:rsidRPr="00351FED">
        <w:rPr>
          <w:szCs w:val="20"/>
        </w:rPr>
        <w:t>.</w:t>
      </w:r>
    </w:p>
    <w:p w14:paraId="72A72D81" w14:textId="3E3ABDDC" w:rsidR="00C36D76" w:rsidRPr="009E064B" w:rsidRDefault="00C36D76" w:rsidP="00351FED">
      <w:pPr>
        <w:pStyle w:val="Tekstpodstawowy"/>
        <w:spacing w:before="6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644409C" w14:textId="48868E62" w:rsidR="008A6F43" w:rsidRPr="00351FED" w:rsidRDefault="00321E77" w:rsidP="008A6F43">
      <w:pPr>
        <w:pStyle w:val="Tekstpodstawowy"/>
        <w:ind w:left="23" w:hanging="23"/>
        <w:rPr>
          <w:rFonts w:asciiTheme="minorHAnsi" w:hAnsiTheme="minorHAnsi" w:cstheme="minorHAnsi"/>
          <w:i/>
          <w:sz w:val="16"/>
          <w:szCs w:val="16"/>
        </w:rPr>
      </w:pPr>
      <w:r w:rsidRPr="00351FED">
        <w:rPr>
          <w:rFonts w:asciiTheme="minorHAnsi" w:hAnsiTheme="minorHAnsi" w:cstheme="minorHAnsi"/>
          <w:i/>
          <w:sz w:val="16"/>
          <w:szCs w:val="16"/>
        </w:rPr>
        <w:t>[Wydanie: ADR-DSN/4]</w:t>
      </w:r>
      <w:r w:rsidR="008A6F43" w:rsidRPr="00351FED">
        <w:rPr>
          <w:rFonts w:asciiTheme="minorHAnsi" w:hAnsiTheme="minorHAnsi" w:cstheme="minorHAnsi"/>
          <w:i/>
          <w:sz w:val="16"/>
          <w:szCs w:val="16"/>
        </w:rPr>
        <w:t xml:space="preserve">  </w:t>
      </w:r>
      <w:r w:rsidR="008A6F43" w:rsidRPr="00351FED">
        <w:rPr>
          <w:rFonts w:asciiTheme="minorHAnsi" w:hAnsiTheme="minorHAnsi" w:cstheme="minorHAnsi"/>
          <w:i/>
          <w:sz w:val="16"/>
          <w:szCs w:val="16"/>
        </w:rPr>
        <w:br w:type="page"/>
      </w:r>
    </w:p>
    <w:p w14:paraId="46BF55BC" w14:textId="015B2CE2" w:rsidR="002A38A1" w:rsidRPr="009E064B" w:rsidRDefault="00B2141E" w:rsidP="00133B99">
      <w:pPr>
        <w:pStyle w:val="Nagwek6"/>
      </w:pPr>
      <w:bookmarkStart w:id="1638" w:name="_Toc482886924"/>
      <w:bookmarkStart w:id="1639" w:name="_Toc12533242"/>
      <w:r w:rsidRPr="009E064B">
        <w:t xml:space="preserve">GM1 ADR-DSN.M.771     </w:t>
      </w:r>
      <w:r w:rsidR="002A38A1" w:rsidRPr="009E064B">
        <w:t>Poprzeczka zakazu wjazdu</w:t>
      </w:r>
      <w:bookmarkEnd w:id="1638"/>
      <w:bookmarkEnd w:id="1639"/>
    </w:p>
    <w:p w14:paraId="3663C2E7" w14:textId="2A17422A"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548DAA0" w14:textId="52EBAC53" w:rsidR="002A38A1" w:rsidRPr="009E064B" w:rsidRDefault="002A38A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Poprzeczka zakazu wjazdu przeznaczona jest do tego, aby służba ruchu lotniczego mogła nią sterować w sposób ręczny lub automatyczny.</w:t>
      </w:r>
    </w:p>
    <w:p w14:paraId="46F7F0FC" w14:textId="77777777" w:rsidR="002A38A1" w:rsidRPr="009E064B" w:rsidRDefault="002A38A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Wtargnięcia na drogę startową mogą mieć miejsce przy każdej widzialności i w każdych warunkach atmosferycznych. Zastosowanie poprzeczek zakazu wjazdu na skrzyżowaniach drogi kołowania / drogi startowej oraz używanie ich w nocy i w każdych warunkach widzialności może być jednym ze skutecznych środków zapobiegania wtargnięciom na drogę startową.</w:t>
      </w:r>
    </w:p>
    <w:p w14:paraId="30E4CA9D" w14:textId="77777777" w:rsidR="002A38A1" w:rsidRPr="009E064B" w:rsidRDefault="002A38A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(c)</w:t>
      </w:r>
      <w:r w:rsidRPr="009E064B">
        <w:rPr>
          <w:rFonts w:eastAsia="Times New Roman,Italic" w:cs="Times New Roman,Italic"/>
          <w:iCs/>
          <w:szCs w:val="20"/>
        </w:rPr>
        <w:tab/>
        <w:t>Jeżeli jest to konieczne, w celu zwiększenia widoczności istniejącej poprzeczki zakazu wjazdu, instalowane są równomiernie dodatkowe światła.</w:t>
      </w:r>
    </w:p>
    <w:p w14:paraId="543DC56C" w14:textId="77777777" w:rsidR="002A38A1" w:rsidRPr="009E064B" w:rsidRDefault="002A38A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(d)</w:t>
      </w:r>
      <w:r w:rsidRPr="009E064B">
        <w:rPr>
          <w:rFonts w:eastAsia="Times New Roman,Italic" w:cs="Times New Roman,Italic"/>
          <w:iCs/>
          <w:szCs w:val="20"/>
        </w:rPr>
        <w:tab/>
        <w:t>Do każdego końca poprzeczki zakazu wjazdu powinna być dodana para świateł na podwyższeniu, w przypadku, gdy światła poprzeczki zakazu wjazdu zagłębione w nawierzchni sztucznej mogą być zasłonięte przed wzrokiem pilota, na przykład przez śnieg lub deszcz, lub gdy może być wymagane, aby pilot zatrzymał statek powietrzny w miejscu, które jest bardzo blisko tych świateł, i są one zasłonięte przez fragment konstrukcji tego statku powietrznego.</w:t>
      </w:r>
    </w:p>
    <w:p w14:paraId="60CB98A6" w14:textId="011C88AE" w:rsidR="002A38A1" w:rsidRPr="009E064B" w:rsidRDefault="002A38A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(e)</w:t>
      </w:r>
      <w:r w:rsidRPr="009E064B">
        <w:rPr>
          <w:rFonts w:eastAsia="Times New Roman,Italic" w:cs="Times New Roman,Italic"/>
          <w:iCs/>
          <w:szCs w:val="20"/>
        </w:rPr>
        <w:tab/>
        <w:t>Jeżeli poprzeczki zakazu wjazdu są określone jako części składowe zaawansowanego systemu prowadzenia i kontroli ruchu naziemnego, oraz gdy z operacyjnego punktu widzenia, wymagane jest większe natężenie światła w celu zapewnienia odpowiedniej prędkości ruchu naziemnego przy bardzo słabej widzialności lub przy dużym nasłonecznieniu w warunkach dziennych, intensywność światła czerwonego oraz rozwarcie wiązki świateł poprzeczki zakazu wjazdu powinny być zgodne ze specyfikacjami określonymi odpowiednio w</w:t>
      </w:r>
      <w:r w:rsidR="00496C01" w:rsidRPr="009E064B">
        <w:rPr>
          <w:rFonts w:eastAsia="Times New Roman,Italic" w:cs="Times New Roman,Italic"/>
          <w:iCs/>
          <w:szCs w:val="20"/>
        </w:rPr>
        <w:t xml:space="preserve"> </w:t>
      </w:r>
      <w:hyperlink w:anchor="_CS_ADR-DSN.U.940_" w:history="1">
        <w:r w:rsidR="00496C01" w:rsidRPr="009E064B">
          <w:rPr>
            <w:rStyle w:val="Hipercze"/>
            <w:szCs w:val="20"/>
          </w:rPr>
          <w:t>CS ADR-DSN.U.940</w:t>
        </w:r>
      </w:hyperlink>
      <w:r w:rsidRPr="009E064B">
        <w:rPr>
          <w:rFonts w:eastAsia="Times New Roman,Italic" w:cs="Times New Roman,Italic"/>
          <w:iCs/>
          <w:szCs w:val="20"/>
        </w:rPr>
        <w:t>, Rysunek U-21, U-22 lub U-23.</w:t>
      </w:r>
    </w:p>
    <w:p w14:paraId="7DABFF07" w14:textId="77777777" w:rsidR="002A38A1" w:rsidRPr="009E064B" w:rsidRDefault="002A38A1" w:rsidP="00B06A9A">
      <w:pPr>
        <w:tabs>
          <w:tab w:val="left" w:pos="567"/>
        </w:tabs>
        <w:autoSpaceDE w:val="0"/>
        <w:autoSpaceDN w:val="0"/>
        <w:adjustRightInd w:val="0"/>
        <w:ind w:left="567" w:hanging="567"/>
        <w:rPr>
          <w:rFonts w:eastAsia="Times New Roman,Italic" w:cs="Times New Roman,Italic"/>
          <w:bCs/>
          <w:iCs/>
          <w:szCs w:val="20"/>
        </w:rPr>
      </w:pPr>
      <w:r w:rsidRPr="009E064B">
        <w:rPr>
          <w:rFonts w:eastAsia="Times New Roman,Italic" w:cs="Times New Roman,Italic"/>
          <w:bCs/>
          <w:iCs/>
          <w:szCs w:val="20"/>
        </w:rPr>
        <w:t>(f)</w:t>
      </w:r>
      <w:r w:rsidRPr="009E064B">
        <w:rPr>
          <w:rFonts w:eastAsia="Times New Roman,Italic" w:cs="Times New Roman,Italic"/>
          <w:bCs/>
          <w:iCs/>
          <w:szCs w:val="20"/>
        </w:rPr>
        <w:tab/>
        <w:t>Poprzeczki zakazu wjazdu o wysokiej intensywności powinny być stosowane tylko w przypadku absolutnej konieczności i po przeprowadzeniu oceny bezpieczeństwa.</w:t>
      </w:r>
    </w:p>
    <w:p w14:paraId="4A63B0DE" w14:textId="6DF58EBB" w:rsidR="002A38A1" w:rsidRPr="009E064B" w:rsidRDefault="002A38A1" w:rsidP="00B06A9A">
      <w:pPr>
        <w:tabs>
          <w:tab w:val="left" w:pos="567"/>
        </w:tabs>
        <w:autoSpaceDE w:val="0"/>
        <w:autoSpaceDN w:val="0"/>
        <w:adjustRightInd w:val="0"/>
        <w:ind w:left="567" w:hanging="567"/>
        <w:rPr>
          <w:rFonts w:eastAsia="Times New Roman,Italic" w:cs="Times New Roman,Italic"/>
          <w:bCs/>
          <w:iCs/>
          <w:szCs w:val="20"/>
        </w:rPr>
      </w:pPr>
      <w:r w:rsidRPr="009E064B">
        <w:rPr>
          <w:rFonts w:eastAsia="Times New Roman,Italic" w:cs="Times New Roman,Italic"/>
          <w:bCs/>
          <w:iCs/>
          <w:szCs w:val="20"/>
        </w:rPr>
        <w:t>(g)</w:t>
      </w:r>
      <w:r w:rsidRPr="009E064B">
        <w:rPr>
          <w:rFonts w:eastAsia="Times New Roman,Italic" w:cs="Times New Roman,Italic"/>
          <w:bCs/>
          <w:iCs/>
          <w:szCs w:val="20"/>
        </w:rPr>
        <w:tab/>
        <w:t xml:space="preserve">Jeżeli wymagane jest zastosowanie opraw zapewniających szeroką wiązkę światła, intensywność światła czerwonego oraz rozwarcie wiązki świateł poprzeczki zakazu wjazdu powinny być zgodne ze specyfikacjami określonymi odpowiednio w </w:t>
      </w:r>
      <w:hyperlink w:anchor="_CS_ADR-DSN.U.940_" w:history="1">
        <w:r w:rsidR="00496C01" w:rsidRPr="009E064B">
          <w:rPr>
            <w:rStyle w:val="Hipercze"/>
            <w:szCs w:val="20"/>
          </w:rPr>
          <w:t>CS ADR-DSN.U.940</w:t>
        </w:r>
      </w:hyperlink>
      <w:r w:rsidRPr="009E064B">
        <w:rPr>
          <w:rFonts w:eastAsia="Times New Roman,Italic" w:cs="Times New Roman,Italic"/>
          <w:bCs/>
          <w:iCs/>
          <w:szCs w:val="20"/>
        </w:rPr>
        <w:t>, Rysunek U-21 lub U-23.</w:t>
      </w:r>
    </w:p>
    <w:p w14:paraId="6D852244" w14:textId="68CB84E8" w:rsidR="002A38A1" w:rsidRPr="009E064B" w:rsidRDefault="002A38A1" w:rsidP="00B06A9A">
      <w:pPr>
        <w:tabs>
          <w:tab w:val="left" w:pos="567"/>
        </w:tabs>
        <w:autoSpaceDE w:val="0"/>
        <w:autoSpaceDN w:val="0"/>
        <w:adjustRightInd w:val="0"/>
        <w:ind w:left="567" w:hanging="567"/>
        <w:rPr>
          <w:rFonts w:eastAsia="Times New Roman,Italic" w:cs="Times New Roman,Italic"/>
          <w:bCs/>
          <w:iCs/>
          <w:szCs w:val="20"/>
        </w:rPr>
      </w:pPr>
      <w:r w:rsidRPr="009E064B">
        <w:rPr>
          <w:rFonts w:eastAsia="Times New Roman,Italic" w:cs="Times New Roman,Italic"/>
          <w:bCs/>
          <w:iCs/>
          <w:szCs w:val="20"/>
        </w:rPr>
        <w:t>(h)</w:t>
      </w:r>
      <w:r w:rsidRPr="009E064B">
        <w:rPr>
          <w:rFonts w:eastAsia="Times New Roman,Italic" w:cs="Times New Roman,Italic"/>
          <w:bCs/>
          <w:iCs/>
          <w:szCs w:val="20"/>
        </w:rPr>
        <w:tab/>
        <w:t>Należy zadbać o to, aby w czasie projektowania systemu zasilania elektrycznego, zapewniono, że, wszystkie światła poprzeczk</w:t>
      </w:r>
      <w:r w:rsidR="00CD6DFB" w:rsidRPr="009E064B">
        <w:rPr>
          <w:rFonts w:eastAsia="Times New Roman,Italic" w:cs="Times New Roman,Italic"/>
          <w:bCs/>
          <w:iCs/>
          <w:szCs w:val="20"/>
        </w:rPr>
        <w:t>i zakazu wjazdu nie uszkodzą się</w:t>
      </w:r>
      <w:r w:rsidRPr="009E064B">
        <w:rPr>
          <w:rFonts w:eastAsia="Times New Roman,Italic" w:cs="Times New Roman,Italic"/>
          <w:bCs/>
          <w:iCs/>
          <w:szCs w:val="20"/>
        </w:rPr>
        <w:t xml:space="preserve"> w tym samym czasie. Żadne ze świateł poprzeczki zakazu wjazdu nie powinno być zasilane z osobnego obwodu elektrycznego należącego do innych świateł drogi startowej, tak aby mogły być one użyte, gdy inne światła zostaną wyłączone.</w:t>
      </w:r>
    </w:p>
    <w:p w14:paraId="278080F1" w14:textId="77777777" w:rsidR="002A38A1" w:rsidRPr="009E064B" w:rsidRDefault="002A38A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0D7A151" w14:textId="77777777" w:rsidR="002A38A1" w:rsidRPr="009E064B" w:rsidRDefault="002A38A1" w:rsidP="00B06A9A">
      <w:pPr>
        <w:pStyle w:val="Tekstpodstawowy"/>
        <w:spacing w:before="120"/>
      </w:pPr>
    </w:p>
    <w:p w14:paraId="0B545AF3" w14:textId="77777777" w:rsidR="00C36D76" w:rsidRPr="009E064B" w:rsidRDefault="00C36D76" w:rsidP="00B06A9A">
      <w:pPr>
        <w:sectPr w:rsidR="00C36D76" w:rsidRPr="009E064B" w:rsidSect="00AE1280">
          <w:headerReference w:type="default" r:id="rId198"/>
          <w:footerReference w:type="default" r:id="rId199"/>
          <w:headerReference w:type="first" r:id="rId200"/>
          <w:footerReference w:type="first" r:id="rId201"/>
          <w:pgSz w:w="11906" w:h="16840" w:code="9"/>
          <w:pgMar w:top="1701" w:right="1417" w:bottom="1418" w:left="1418" w:header="567" w:footer="454" w:gutter="0"/>
          <w:cols w:space="708"/>
          <w:titlePg/>
          <w:docGrid w:linePitch="360"/>
        </w:sectPr>
      </w:pPr>
    </w:p>
    <w:p w14:paraId="3E31CA6F" w14:textId="77777777" w:rsidR="00C36D76" w:rsidRPr="009E064B" w:rsidRDefault="00C36D76" w:rsidP="00B06A9A">
      <w:pPr>
        <w:rPr>
          <w:rFonts w:cs="TimesNewRomanPSMT"/>
          <w:szCs w:val="20"/>
        </w:rPr>
      </w:pPr>
    </w:p>
    <w:p w14:paraId="172FD9F8" w14:textId="5B8A6671" w:rsidR="00C36D76" w:rsidRPr="009E064B" w:rsidRDefault="00C36D76" w:rsidP="00020EA3">
      <w:pPr>
        <w:pStyle w:val="Nagwek2"/>
      </w:pPr>
      <w:bookmarkStart w:id="1640" w:name="_Toc382725619"/>
      <w:bookmarkStart w:id="1641" w:name="_Toc482886701"/>
      <w:bookmarkStart w:id="1642" w:name="_Toc12533243"/>
      <w:r w:rsidRPr="009E064B">
        <w:t xml:space="preserve">ROZDZIAŁ N </w:t>
      </w:r>
      <w:r w:rsidR="008441EB" w:rsidRPr="009E064B">
        <w:t xml:space="preserve">— </w:t>
      </w:r>
      <w:r w:rsidRPr="009E064B">
        <w:t>POMOCE WZROKOWE DLA NAWIGACJI (ZNAKI PIONOWE)</w:t>
      </w:r>
      <w:bookmarkEnd w:id="1640"/>
      <w:bookmarkEnd w:id="1641"/>
      <w:bookmarkEnd w:id="1642"/>
    </w:p>
    <w:p w14:paraId="21C9CA2D" w14:textId="77777777" w:rsidR="00C36D76" w:rsidRPr="009E064B" w:rsidRDefault="00C36D76" w:rsidP="00B06A9A">
      <w:pPr>
        <w:rPr>
          <w:rFonts w:cs="TimesNewRomanPSMT"/>
          <w:szCs w:val="20"/>
        </w:rPr>
      </w:pPr>
    </w:p>
    <w:p w14:paraId="27DC7853" w14:textId="7CB74896" w:rsidR="00C36D76" w:rsidRPr="009E064B" w:rsidRDefault="00B2141E" w:rsidP="00B06A9A">
      <w:pPr>
        <w:pStyle w:val="Nagwek4"/>
        <w:rPr>
          <w:color w:val="auto"/>
        </w:rPr>
      </w:pPr>
      <w:bookmarkStart w:id="1643" w:name="_CS_ADR-DSN.N.775_"/>
      <w:bookmarkStart w:id="1644" w:name="_Toc482886702"/>
      <w:bookmarkStart w:id="1645" w:name="_Toc12533244"/>
      <w:bookmarkEnd w:id="1643"/>
      <w:r w:rsidRPr="009E064B">
        <w:rPr>
          <w:color w:val="auto"/>
        </w:rPr>
        <w:t xml:space="preserve">CS ADR-DSN.N.775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644"/>
      <w:bookmarkEnd w:id="1645"/>
    </w:p>
    <w:p w14:paraId="612D5C10" w14:textId="7B01C04B" w:rsidR="00B2141E" w:rsidRPr="009E064B" w:rsidRDefault="00D63D4F" w:rsidP="00B2141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000D720" w14:textId="61CD98BC"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Znaki pionowe powinny być znakami o stałej lub zmiennej treści.</w:t>
      </w:r>
    </w:p>
    <w:p w14:paraId="4B49D1B2" w14:textId="77777777" w:rsidR="00C36D76" w:rsidRPr="00351FED" w:rsidRDefault="00C36D76" w:rsidP="00B06A9A">
      <w:pPr>
        <w:tabs>
          <w:tab w:val="left" w:pos="567"/>
        </w:tabs>
        <w:ind w:left="567" w:hanging="567"/>
        <w:rPr>
          <w:szCs w:val="20"/>
        </w:rPr>
      </w:pPr>
      <w:r w:rsidRPr="00351FED">
        <w:rPr>
          <w:rFonts w:cs="Times New Roman"/>
          <w:szCs w:val="20"/>
        </w:rPr>
        <w:t xml:space="preserve">(b) </w:t>
      </w:r>
      <w:r w:rsidRPr="00351FED">
        <w:rPr>
          <w:rFonts w:cs="Times New Roman"/>
          <w:szCs w:val="20"/>
        </w:rPr>
        <w:tab/>
      </w:r>
      <w:r w:rsidRPr="00351FED">
        <w:rPr>
          <w:szCs w:val="20"/>
        </w:rPr>
        <w:t>Zastosowanie:</w:t>
      </w:r>
    </w:p>
    <w:p w14:paraId="69FE8928" w14:textId="45F71C34"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Znaki pionowe powinny być stosowane w celu przekazywania obowiązkowych poleceń, informacji wskazujących dokładne położenie lub kierunek w polu ruchu naziemnego, bądź też w celu dostarczenia innych informacji niezbędnych do wdrożenia na lotnisku systemu </w:t>
      </w:r>
      <w:r w:rsidR="00FE3088" w:rsidRPr="009E064B">
        <w:rPr>
          <w:szCs w:val="20"/>
        </w:rPr>
        <w:t xml:space="preserve">kierowania i </w:t>
      </w:r>
      <w:r w:rsidRPr="009E064B">
        <w:rPr>
          <w:szCs w:val="20"/>
        </w:rPr>
        <w:t>kontroli ruchu naziemnego (SMGCS</w:t>
      </w:r>
      <w:r w:rsidRPr="009E064B">
        <w:rPr>
          <w:rStyle w:val="Odwoanieprzypisudolnego"/>
          <w:szCs w:val="20"/>
        </w:rPr>
        <w:footnoteReference w:id="51"/>
      </w:r>
      <w:r w:rsidRPr="009E064B">
        <w:rPr>
          <w:szCs w:val="20"/>
        </w:rPr>
        <w:t>).</w:t>
      </w:r>
    </w:p>
    <w:p w14:paraId="64E0A828"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 pionowy o zmiennej treści powinien być zainstalowany w miejscu, gdzie:</w:t>
      </w:r>
    </w:p>
    <w:p w14:paraId="19A00490"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instrukcja lub informacja przekazywana na znaku pionowym ma zastosowanie, jedynie w określonych przedziałach czasu; oraz/lub</w:t>
      </w:r>
    </w:p>
    <w:p w14:paraId="2ADBCFB9" w14:textId="0CAC2021"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 xml:space="preserve">istnieje potrzeba umieszczenia zmiennej, wcześniej określonej informacji na znaku pionowym, w celu spełnienia wymagań związanych z wdrożeniem na lotnisku systemu </w:t>
      </w:r>
      <w:r w:rsidR="00FE3088" w:rsidRPr="009E064B">
        <w:rPr>
          <w:szCs w:val="20"/>
        </w:rPr>
        <w:t xml:space="preserve">kierowania </w:t>
      </w:r>
      <w:r w:rsidRPr="009E064B">
        <w:rPr>
          <w:szCs w:val="20"/>
        </w:rPr>
        <w:t>i kontroli ruchu naziemnego (SMGCS).</w:t>
      </w:r>
    </w:p>
    <w:p w14:paraId="4DBCA3A7"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58DF2764"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Znaki pionowe powinny być łamliwe. Te, które znajdują się blisko drogi startowej lub drogi kołowania powinny być wystarczająco niskie, aby zapewnić odstęp od śmigieł lub gondoli silników statków powietrznych o napędzie odrzutowym. Wysokość instalowanego znaku pionowego nie powinna być większa niż wysokość określona w odpowiedniej kolumnie Tabeli N-1.</w:t>
      </w:r>
    </w:p>
    <w:p w14:paraId="03F70C7C" w14:textId="19D1995A"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Znaki pionowe powinny mieć kształt prostokątny, jak</w:t>
      </w:r>
      <w:r w:rsidR="003F7443" w:rsidRPr="009E064B">
        <w:rPr>
          <w:szCs w:val="20"/>
        </w:rPr>
        <w:t xml:space="preserve"> przedstawiono na Rysunku N-4 </w:t>
      </w:r>
      <w:r w:rsidR="003F7443" w:rsidRPr="009E064B">
        <w:rPr>
          <w:szCs w:val="20"/>
        </w:rPr>
        <w:br/>
        <w:t xml:space="preserve">i </w:t>
      </w:r>
      <w:r w:rsidRPr="009E064B">
        <w:rPr>
          <w:szCs w:val="20"/>
        </w:rPr>
        <w:t>N-6, gdzie bok poziomy jest dłuższy.</w:t>
      </w:r>
    </w:p>
    <w:p w14:paraId="37A6ACC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Zastosowanie na polu ruchu naziemnego znaków pionowych, wykorzystujących kolor czerwony, powinno dotyczyć jedynie znaków nakazu.</w:t>
      </w:r>
    </w:p>
    <w:p w14:paraId="103EAC21"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Napisy umieszczone na znaku powinny być zgodne z Rysunkami N-2A do N-2H oraz </w:t>
      </w:r>
      <w:r w:rsidRPr="009E064B">
        <w:rPr>
          <w:szCs w:val="20"/>
        </w:rPr>
        <w:br/>
        <w:t>N-3.</w:t>
      </w:r>
    </w:p>
    <w:p w14:paraId="4F5E280F"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Znaki powinny być podświetlane, jeżeli są przeznaczone do wykorzystywania:</w:t>
      </w:r>
    </w:p>
    <w:p w14:paraId="6A339885"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 warunkach widzialności wzdłuż drogi startowej mniejszej niż 800 m; lub</w:t>
      </w:r>
    </w:p>
    <w:p w14:paraId="586F14AF"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w nocy, w powiązaniu z przyrządowymi drogami startowymi; lub</w:t>
      </w:r>
    </w:p>
    <w:p w14:paraId="38796CC5" w14:textId="5559795B"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w nocy, w powiązaniu z nieprzyrządowymi drogami</w:t>
      </w:r>
      <w:r w:rsidR="003B4FF4" w:rsidRPr="009E064B">
        <w:rPr>
          <w:szCs w:val="20"/>
        </w:rPr>
        <w:t xml:space="preserve"> startowymi o cyfrze kodu 3 </w:t>
      </w:r>
      <w:r w:rsidR="00B2141E" w:rsidRPr="009E064B">
        <w:rPr>
          <w:szCs w:val="20"/>
        </w:rPr>
        <w:t>lub </w:t>
      </w:r>
      <w:r w:rsidRPr="009E064B">
        <w:rPr>
          <w:szCs w:val="20"/>
        </w:rPr>
        <w:t>4.</w:t>
      </w:r>
    </w:p>
    <w:p w14:paraId="254E8A53" w14:textId="2452BD1B"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Znaki muszą być odblaskowe i/lub podświetlane, jeżeli są przeznaczone do wykorzystywania w nocy, w powiązaniu z nieprzyrządowymi drogami startowymi o</w:t>
      </w:r>
      <w:r w:rsidR="00061BB2" w:rsidRPr="009E064B">
        <w:rPr>
          <w:szCs w:val="20"/>
        </w:rPr>
        <w:t xml:space="preserve"> </w:t>
      </w:r>
      <w:r w:rsidRPr="009E064B">
        <w:rPr>
          <w:szCs w:val="20"/>
        </w:rPr>
        <w:t>cyfrze kodu 1 lub 2.</w:t>
      </w:r>
    </w:p>
    <w:p w14:paraId="511D53F0"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Jeżeli istnieje konieczność umieszczania zmiennej, wcześniej zdefiniowanej treści, należy zapewnić znak o zmiennej treści.</w:t>
      </w:r>
    </w:p>
    <w:p w14:paraId="6D2A0A75"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Znak o zmiennej treści nie powinien wyświetlać żadnej informacji, jeśli nie jest w użyciu.</w:t>
      </w:r>
    </w:p>
    <w:p w14:paraId="00E01668"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W przypadku awarii, znak o zmiennej treści nie powinien wyświetlać informacji, która mogłaby prowadzić do niebezpiecznego działania, podejmowanego przez pilota lub kierowcę pojazdu.</w:t>
      </w:r>
    </w:p>
    <w:p w14:paraId="2FC83679" w14:textId="77777777" w:rsidR="00C36D76" w:rsidRPr="009E064B" w:rsidRDefault="00C36D76" w:rsidP="00B06A9A">
      <w:pPr>
        <w:tabs>
          <w:tab w:val="left" w:pos="1701"/>
        </w:tabs>
        <w:ind w:left="1701" w:hanging="567"/>
        <w:rPr>
          <w:b/>
          <w:szCs w:val="20"/>
        </w:rPr>
      </w:pPr>
      <w:r w:rsidRPr="009E064B">
        <w:rPr>
          <w:rFonts w:cs="Times New Roman"/>
          <w:szCs w:val="20"/>
        </w:rPr>
        <w:t xml:space="preserve">(iii) </w:t>
      </w:r>
      <w:r w:rsidRPr="009E064B">
        <w:rPr>
          <w:rFonts w:cs="Times New Roman"/>
          <w:szCs w:val="20"/>
        </w:rPr>
        <w:tab/>
      </w:r>
      <w:r w:rsidRPr="009E064B">
        <w:rPr>
          <w:szCs w:val="20"/>
        </w:rPr>
        <w:t xml:space="preserve">Czas przerwy pomiędzy wyświetleniem jednej informacji a innej na znaku o zmiennej treści powinien być możliwie najkrótszy i nie powinien przekraczać 5 sekund. </w:t>
      </w:r>
    </w:p>
    <w:p w14:paraId="2EDE9D9F" w14:textId="77777777" w:rsidR="00C36D76" w:rsidRPr="009E064B" w:rsidRDefault="00C36D76" w:rsidP="00B06A9A">
      <w:pPr>
        <w:spacing w:after="0"/>
        <w:rPr>
          <w:szCs w:val="20"/>
        </w:rPr>
      </w:pPr>
    </w:p>
    <w:tbl>
      <w:tblPr>
        <w:tblW w:w="467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1130"/>
        <w:gridCol w:w="830"/>
        <w:gridCol w:w="1175"/>
        <w:gridCol w:w="1287"/>
        <w:gridCol w:w="2003"/>
        <w:gridCol w:w="2112"/>
      </w:tblGrid>
      <w:tr w:rsidR="00C36D76" w:rsidRPr="009E064B" w14:paraId="3FBDF130" w14:textId="77777777" w:rsidTr="00AF52F5">
        <w:trPr>
          <w:trHeight w:val="337"/>
          <w:jc w:val="right"/>
        </w:trPr>
        <w:tc>
          <w:tcPr>
            <w:tcW w:w="2590" w:type="pct"/>
            <w:gridSpan w:val="4"/>
            <w:tcMar>
              <w:top w:w="57" w:type="dxa"/>
              <w:left w:w="28" w:type="dxa"/>
              <w:bottom w:w="57" w:type="dxa"/>
              <w:right w:w="28" w:type="dxa"/>
            </w:tcMar>
            <w:vAlign w:val="center"/>
          </w:tcPr>
          <w:p w14:paraId="2D519DB0" w14:textId="77777777" w:rsidR="00C36D76" w:rsidRPr="009E064B" w:rsidRDefault="00C36D76" w:rsidP="00B06A9A">
            <w:pPr>
              <w:spacing w:after="0"/>
              <w:jc w:val="center"/>
              <w:rPr>
                <w:rFonts w:cs="Arial"/>
                <w:b/>
                <w:sz w:val="20"/>
                <w:szCs w:val="20"/>
              </w:rPr>
            </w:pPr>
            <w:r w:rsidRPr="009E064B">
              <w:rPr>
                <w:rFonts w:cs="Arial"/>
                <w:b/>
                <w:sz w:val="20"/>
                <w:szCs w:val="20"/>
              </w:rPr>
              <w:t>Wysokość znaku (mm)</w:t>
            </w:r>
          </w:p>
        </w:tc>
        <w:tc>
          <w:tcPr>
            <w:tcW w:w="1173" w:type="pct"/>
            <w:vMerge w:val="restart"/>
            <w:shd w:val="clear" w:color="auto" w:fill="auto"/>
            <w:tcMar>
              <w:top w:w="57" w:type="dxa"/>
              <w:left w:w="28" w:type="dxa"/>
              <w:bottom w:w="57" w:type="dxa"/>
              <w:right w:w="28" w:type="dxa"/>
            </w:tcMar>
            <w:vAlign w:val="center"/>
          </w:tcPr>
          <w:p w14:paraId="2F1B3E9F" w14:textId="77777777" w:rsidR="00C36D76" w:rsidRPr="009E064B" w:rsidRDefault="00C36D76" w:rsidP="00B06A9A">
            <w:pPr>
              <w:spacing w:after="0"/>
              <w:jc w:val="center"/>
              <w:rPr>
                <w:rFonts w:cs="Arial"/>
                <w:sz w:val="20"/>
                <w:szCs w:val="20"/>
              </w:rPr>
            </w:pPr>
            <w:r w:rsidRPr="009E064B">
              <w:rPr>
                <w:rFonts w:cs="Arial"/>
                <w:sz w:val="20"/>
                <w:szCs w:val="20"/>
              </w:rPr>
              <w:t xml:space="preserve">Prostopadła odległość </w:t>
            </w:r>
            <w:r w:rsidRPr="009E064B">
              <w:rPr>
                <w:rFonts w:cs="Arial"/>
                <w:sz w:val="20"/>
                <w:szCs w:val="20"/>
              </w:rPr>
              <w:br/>
              <w:t>od wyznaczonej krawędzi nawierzchni sztucznej drogi kołowania do bliższej strony znaku</w:t>
            </w:r>
          </w:p>
        </w:tc>
        <w:tc>
          <w:tcPr>
            <w:tcW w:w="1237" w:type="pct"/>
            <w:vMerge w:val="restart"/>
            <w:shd w:val="clear" w:color="auto" w:fill="auto"/>
            <w:tcMar>
              <w:top w:w="57" w:type="dxa"/>
              <w:left w:w="28" w:type="dxa"/>
              <w:bottom w:w="57" w:type="dxa"/>
              <w:right w:w="28" w:type="dxa"/>
            </w:tcMar>
            <w:vAlign w:val="center"/>
          </w:tcPr>
          <w:p w14:paraId="433E1524" w14:textId="77777777" w:rsidR="00C36D76" w:rsidRPr="009E064B" w:rsidRDefault="00C36D76" w:rsidP="00B06A9A">
            <w:pPr>
              <w:spacing w:after="0"/>
              <w:jc w:val="center"/>
              <w:rPr>
                <w:rFonts w:cs="Arial"/>
                <w:sz w:val="20"/>
                <w:szCs w:val="20"/>
              </w:rPr>
            </w:pPr>
            <w:r w:rsidRPr="009E064B">
              <w:rPr>
                <w:rFonts w:cs="Arial"/>
                <w:sz w:val="20"/>
                <w:szCs w:val="20"/>
              </w:rPr>
              <w:t xml:space="preserve">Prostopadła odległość </w:t>
            </w:r>
            <w:r w:rsidRPr="009E064B">
              <w:rPr>
                <w:rFonts w:cs="Arial"/>
                <w:sz w:val="20"/>
                <w:szCs w:val="20"/>
              </w:rPr>
              <w:br/>
              <w:t>od wyznaczonej krawędzi nawierzchni sztucznej drogi startowej do bliższej strony znaku</w:t>
            </w:r>
          </w:p>
        </w:tc>
      </w:tr>
      <w:tr w:rsidR="00C36D76" w:rsidRPr="009E064B" w14:paraId="7BC486E5" w14:textId="77777777" w:rsidTr="00AF52F5">
        <w:trPr>
          <w:trHeight w:val="670"/>
          <w:jc w:val="right"/>
        </w:trPr>
        <w:tc>
          <w:tcPr>
            <w:tcW w:w="662" w:type="pct"/>
            <w:tcMar>
              <w:top w:w="57" w:type="dxa"/>
              <w:left w:w="28" w:type="dxa"/>
              <w:bottom w:w="57" w:type="dxa"/>
              <w:right w:w="28" w:type="dxa"/>
            </w:tcMar>
            <w:vAlign w:val="center"/>
          </w:tcPr>
          <w:p w14:paraId="01F3C341" w14:textId="6B963679" w:rsidR="00C36D76" w:rsidRPr="009E064B" w:rsidRDefault="00C36D76" w:rsidP="00AF52F5">
            <w:pPr>
              <w:spacing w:after="0"/>
              <w:jc w:val="center"/>
              <w:rPr>
                <w:rFonts w:cs="Arial"/>
                <w:sz w:val="20"/>
                <w:szCs w:val="20"/>
              </w:rPr>
            </w:pPr>
            <w:r w:rsidRPr="009E064B">
              <w:rPr>
                <w:rFonts w:cs="Arial"/>
                <w:sz w:val="20"/>
                <w:szCs w:val="20"/>
              </w:rPr>
              <w:t>Cyfra kodu</w:t>
            </w:r>
            <w:r w:rsidR="00AF52F5" w:rsidRPr="009E064B">
              <w:rPr>
                <w:rFonts w:cs="Arial"/>
                <w:sz w:val="20"/>
                <w:szCs w:val="20"/>
              </w:rPr>
              <w:t xml:space="preserve"> </w:t>
            </w:r>
            <w:r w:rsidRPr="009E064B">
              <w:rPr>
                <w:rFonts w:cs="Arial"/>
                <w:sz w:val="20"/>
                <w:szCs w:val="20"/>
              </w:rPr>
              <w:t>drogi startowej</w:t>
            </w:r>
          </w:p>
        </w:tc>
        <w:tc>
          <w:tcPr>
            <w:tcW w:w="486" w:type="pct"/>
            <w:tcMar>
              <w:top w:w="57" w:type="dxa"/>
              <w:left w:w="28" w:type="dxa"/>
              <w:bottom w:w="57" w:type="dxa"/>
              <w:right w:w="28" w:type="dxa"/>
            </w:tcMar>
            <w:vAlign w:val="center"/>
          </w:tcPr>
          <w:p w14:paraId="7F96350E" w14:textId="77777777" w:rsidR="00C36D76" w:rsidRPr="009E064B" w:rsidRDefault="00C36D76" w:rsidP="00B06A9A">
            <w:pPr>
              <w:spacing w:after="0"/>
              <w:jc w:val="center"/>
              <w:rPr>
                <w:rFonts w:cs="Arial"/>
                <w:sz w:val="20"/>
                <w:szCs w:val="20"/>
              </w:rPr>
            </w:pPr>
            <w:r w:rsidRPr="009E064B">
              <w:rPr>
                <w:rFonts w:cs="Arial"/>
                <w:sz w:val="20"/>
                <w:szCs w:val="20"/>
              </w:rPr>
              <w:t>Legenda</w:t>
            </w:r>
          </w:p>
        </w:tc>
        <w:tc>
          <w:tcPr>
            <w:tcW w:w="688" w:type="pct"/>
            <w:tcMar>
              <w:top w:w="57" w:type="dxa"/>
              <w:left w:w="28" w:type="dxa"/>
              <w:bottom w:w="57" w:type="dxa"/>
              <w:right w:w="28" w:type="dxa"/>
            </w:tcMar>
            <w:vAlign w:val="center"/>
          </w:tcPr>
          <w:p w14:paraId="485828C8" w14:textId="3DE07FAC" w:rsidR="00C36D76" w:rsidRPr="009E064B" w:rsidRDefault="00C36D76" w:rsidP="00B06A9A">
            <w:pPr>
              <w:spacing w:after="0"/>
              <w:jc w:val="center"/>
              <w:rPr>
                <w:rFonts w:cs="Arial"/>
                <w:sz w:val="20"/>
                <w:szCs w:val="20"/>
              </w:rPr>
            </w:pPr>
            <w:r w:rsidRPr="009E064B">
              <w:rPr>
                <w:rFonts w:cs="Arial"/>
                <w:sz w:val="20"/>
                <w:szCs w:val="20"/>
              </w:rPr>
              <w:t xml:space="preserve">Strona czołowa </w:t>
            </w:r>
          </w:p>
          <w:p w14:paraId="792160B6" w14:textId="5D907F9E" w:rsidR="00C36D76" w:rsidRPr="009E064B" w:rsidRDefault="00C36D76" w:rsidP="00AF52F5">
            <w:pPr>
              <w:spacing w:after="0"/>
              <w:jc w:val="center"/>
              <w:rPr>
                <w:rFonts w:cs="Arial"/>
                <w:sz w:val="20"/>
                <w:szCs w:val="20"/>
              </w:rPr>
            </w:pPr>
            <w:r w:rsidRPr="009E064B">
              <w:rPr>
                <w:rFonts w:cs="Arial"/>
                <w:sz w:val="20"/>
                <w:szCs w:val="20"/>
              </w:rPr>
              <w:t>(min</w:t>
            </w:r>
            <w:r w:rsidR="00AF52F5" w:rsidRPr="009E064B">
              <w:rPr>
                <w:rFonts w:cs="Arial"/>
                <w:sz w:val="20"/>
                <w:szCs w:val="20"/>
              </w:rPr>
              <w:t>imum</w:t>
            </w:r>
            <w:r w:rsidRPr="009E064B">
              <w:rPr>
                <w:rFonts w:cs="Arial"/>
                <w:sz w:val="20"/>
                <w:szCs w:val="20"/>
              </w:rPr>
              <w:t>)</w:t>
            </w:r>
          </w:p>
        </w:tc>
        <w:tc>
          <w:tcPr>
            <w:tcW w:w="753" w:type="pct"/>
            <w:tcMar>
              <w:top w:w="57" w:type="dxa"/>
              <w:left w:w="28" w:type="dxa"/>
              <w:bottom w:w="57" w:type="dxa"/>
              <w:right w:w="28" w:type="dxa"/>
            </w:tcMar>
            <w:vAlign w:val="center"/>
          </w:tcPr>
          <w:p w14:paraId="10882114" w14:textId="77777777" w:rsidR="00C36D76" w:rsidRPr="009E064B" w:rsidRDefault="00C36D76" w:rsidP="00B06A9A">
            <w:pPr>
              <w:spacing w:after="0"/>
              <w:jc w:val="center"/>
              <w:rPr>
                <w:rFonts w:cs="Arial"/>
                <w:sz w:val="20"/>
                <w:szCs w:val="20"/>
              </w:rPr>
            </w:pPr>
            <w:r w:rsidRPr="009E064B">
              <w:rPr>
                <w:rFonts w:cs="Arial"/>
                <w:sz w:val="20"/>
                <w:szCs w:val="20"/>
              </w:rPr>
              <w:t>Po zainstalowaniu (maks.)</w:t>
            </w:r>
          </w:p>
        </w:tc>
        <w:tc>
          <w:tcPr>
            <w:tcW w:w="1173" w:type="pct"/>
            <w:vMerge/>
            <w:shd w:val="clear" w:color="auto" w:fill="auto"/>
            <w:tcMar>
              <w:top w:w="57" w:type="dxa"/>
              <w:left w:w="28" w:type="dxa"/>
              <w:bottom w:w="57" w:type="dxa"/>
              <w:right w:w="28" w:type="dxa"/>
            </w:tcMar>
            <w:vAlign w:val="center"/>
          </w:tcPr>
          <w:p w14:paraId="5169B297" w14:textId="77777777" w:rsidR="00C36D76" w:rsidRPr="009E064B" w:rsidRDefault="00C36D76" w:rsidP="00B06A9A">
            <w:pPr>
              <w:spacing w:after="0"/>
              <w:jc w:val="center"/>
              <w:rPr>
                <w:rFonts w:cs="Arial"/>
                <w:sz w:val="20"/>
                <w:szCs w:val="20"/>
              </w:rPr>
            </w:pPr>
          </w:p>
        </w:tc>
        <w:tc>
          <w:tcPr>
            <w:tcW w:w="1237" w:type="pct"/>
            <w:vMerge/>
            <w:shd w:val="clear" w:color="auto" w:fill="auto"/>
            <w:tcMar>
              <w:top w:w="57" w:type="dxa"/>
              <w:left w:w="28" w:type="dxa"/>
              <w:bottom w:w="57" w:type="dxa"/>
              <w:right w:w="28" w:type="dxa"/>
            </w:tcMar>
            <w:vAlign w:val="center"/>
          </w:tcPr>
          <w:p w14:paraId="5EF518C8" w14:textId="77777777" w:rsidR="00C36D76" w:rsidRPr="009E064B" w:rsidRDefault="00C36D76" w:rsidP="00B06A9A">
            <w:pPr>
              <w:spacing w:after="0"/>
              <w:jc w:val="center"/>
              <w:rPr>
                <w:rFonts w:cs="Arial"/>
                <w:sz w:val="20"/>
                <w:szCs w:val="20"/>
              </w:rPr>
            </w:pPr>
          </w:p>
        </w:tc>
      </w:tr>
      <w:tr w:rsidR="00C36D76" w:rsidRPr="009E064B" w14:paraId="3C28D454" w14:textId="77777777" w:rsidTr="00AF52F5">
        <w:trPr>
          <w:jc w:val="right"/>
        </w:trPr>
        <w:tc>
          <w:tcPr>
            <w:tcW w:w="662" w:type="pct"/>
            <w:tcMar>
              <w:top w:w="113" w:type="dxa"/>
              <w:left w:w="28" w:type="dxa"/>
              <w:bottom w:w="113" w:type="dxa"/>
              <w:right w:w="28" w:type="dxa"/>
            </w:tcMar>
            <w:vAlign w:val="center"/>
          </w:tcPr>
          <w:p w14:paraId="3D780204" w14:textId="77777777" w:rsidR="00C36D76" w:rsidRPr="009E064B" w:rsidRDefault="00C36D76" w:rsidP="00B06A9A">
            <w:pPr>
              <w:spacing w:after="0"/>
              <w:jc w:val="center"/>
              <w:rPr>
                <w:rFonts w:cs="Arial"/>
                <w:sz w:val="20"/>
                <w:szCs w:val="20"/>
              </w:rPr>
            </w:pPr>
            <w:r w:rsidRPr="009E064B">
              <w:rPr>
                <w:rFonts w:cs="Arial"/>
                <w:sz w:val="20"/>
                <w:szCs w:val="20"/>
              </w:rPr>
              <w:t>1 lub 2</w:t>
            </w:r>
          </w:p>
        </w:tc>
        <w:tc>
          <w:tcPr>
            <w:tcW w:w="486" w:type="pct"/>
            <w:tcMar>
              <w:top w:w="113" w:type="dxa"/>
              <w:left w:w="28" w:type="dxa"/>
              <w:bottom w:w="113" w:type="dxa"/>
              <w:right w:w="28" w:type="dxa"/>
            </w:tcMar>
            <w:vAlign w:val="center"/>
          </w:tcPr>
          <w:p w14:paraId="3FF232FD" w14:textId="77777777" w:rsidR="00C36D76" w:rsidRPr="009E064B" w:rsidRDefault="00C36D76" w:rsidP="00B06A9A">
            <w:pPr>
              <w:spacing w:after="0"/>
              <w:jc w:val="center"/>
              <w:rPr>
                <w:rFonts w:cs="Arial"/>
                <w:sz w:val="20"/>
                <w:szCs w:val="20"/>
              </w:rPr>
            </w:pPr>
            <w:r w:rsidRPr="009E064B">
              <w:rPr>
                <w:rFonts w:cs="Arial"/>
                <w:sz w:val="20"/>
                <w:szCs w:val="20"/>
              </w:rPr>
              <w:t>200</w:t>
            </w:r>
          </w:p>
        </w:tc>
        <w:tc>
          <w:tcPr>
            <w:tcW w:w="688" w:type="pct"/>
            <w:tcMar>
              <w:top w:w="113" w:type="dxa"/>
              <w:left w:w="28" w:type="dxa"/>
              <w:bottom w:w="113" w:type="dxa"/>
              <w:right w:w="28" w:type="dxa"/>
            </w:tcMar>
            <w:vAlign w:val="center"/>
          </w:tcPr>
          <w:p w14:paraId="499ADE17" w14:textId="77777777" w:rsidR="00C36D76" w:rsidRPr="009E064B" w:rsidRDefault="00C36D76" w:rsidP="00B06A9A">
            <w:pPr>
              <w:spacing w:after="0"/>
              <w:jc w:val="center"/>
              <w:rPr>
                <w:rFonts w:cs="Arial"/>
                <w:sz w:val="20"/>
                <w:szCs w:val="20"/>
              </w:rPr>
            </w:pPr>
            <w:r w:rsidRPr="009E064B">
              <w:rPr>
                <w:rFonts w:cs="Arial"/>
                <w:sz w:val="20"/>
                <w:szCs w:val="20"/>
              </w:rPr>
              <w:t>400</w:t>
            </w:r>
          </w:p>
        </w:tc>
        <w:tc>
          <w:tcPr>
            <w:tcW w:w="753" w:type="pct"/>
            <w:tcMar>
              <w:top w:w="113" w:type="dxa"/>
              <w:left w:w="28" w:type="dxa"/>
              <w:bottom w:w="113" w:type="dxa"/>
              <w:right w:w="28" w:type="dxa"/>
            </w:tcMar>
            <w:vAlign w:val="center"/>
          </w:tcPr>
          <w:p w14:paraId="5546EB73" w14:textId="77777777" w:rsidR="00C36D76" w:rsidRPr="009E064B" w:rsidRDefault="00C36D76" w:rsidP="00B06A9A">
            <w:pPr>
              <w:spacing w:after="0"/>
              <w:jc w:val="center"/>
              <w:rPr>
                <w:rFonts w:cs="Arial"/>
                <w:sz w:val="20"/>
                <w:szCs w:val="20"/>
              </w:rPr>
            </w:pPr>
            <w:r w:rsidRPr="009E064B">
              <w:rPr>
                <w:rFonts w:cs="Arial"/>
                <w:sz w:val="20"/>
                <w:szCs w:val="20"/>
              </w:rPr>
              <w:t>700</w:t>
            </w:r>
          </w:p>
        </w:tc>
        <w:tc>
          <w:tcPr>
            <w:tcW w:w="1173" w:type="pct"/>
            <w:tcMar>
              <w:top w:w="113" w:type="dxa"/>
              <w:left w:w="28" w:type="dxa"/>
              <w:bottom w:w="113" w:type="dxa"/>
              <w:right w:w="28" w:type="dxa"/>
            </w:tcMar>
            <w:vAlign w:val="center"/>
          </w:tcPr>
          <w:p w14:paraId="1CC3857A" w14:textId="77777777" w:rsidR="00C36D76" w:rsidRPr="009E064B" w:rsidRDefault="00C36D76" w:rsidP="00B06A9A">
            <w:pPr>
              <w:spacing w:after="0"/>
              <w:jc w:val="center"/>
              <w:rPr>
                <w:rFonts w:cs="Arial"/>
                <w:sz w:val="20"/>
                <w:szCs w:val="20"/>
              </w:rPr>
            </w:pPr>
            <w:r w:rsidRPr="009E064B">
              <w:rPr>
                <w:rFonts w:cs="Arial"/>
                <w:sz w:val="20"/>
                <w:szCs w:val="20"/>
              </w:rPr>
              <w:t>5-</w:t>
            </w:r>
            <w:smartTag w:uri="urn:schemas-microsoft-com:office:smarttags" w:element="metricconverter">
              <w:smartTagPr>
                <w:attr w:name="ProductID" w:val="11 m"/>
              </w:smartTagPr>
              <w:r w:rsidRPr="009E064B">
                <w:rPr>
                  <w:rFonts w:cs="Arial"/>
                  <w:sz w:val="20"/>
                  <w:szCs w:val="20"/>
                </w:rPr>
                <w:t>11 m</w:t>
              </w:r>
            </w:smartTag>
          </w:p>
        </w:tc>
        <w:tc>
          <w:tcPr>
            <w:tcW w:w="1237" w:type="pct"/>
            <w:tcMar>
              <w:top w:w="113" w:type="dxa"/>
              <w:left w:w="28" w:type="dxa"/>
              <w:bottom w:w="113" w:type="dxa"/>
              <w:right w:w="28" w:type="dxa"/>
            </w:tcMar>
            <w:vAlign w:val="center"/>
          </w:tcPr>
          <w:p w14:paraId="13E465FA" w14:textId="77777777" w:rsidR="00C36D76" w:rsidRPr="009E064B" w:rsidRDefault="00C36D76" w:rsidP="00B06A9A">
            <w:pPr>
              <w:spacing w:after="0"/>
              <w:jc w:val="center"/>
              <w:rPr>
                <w:rFonts w:cs="Arial"/>
                <w:sz w:val="20"/>
                <w:szCs w:val="20"/>
              </w:rPr>
            </w:pPr>
            <w:r w:rsidRPr="009E064B">
              <w:rPr>
                <w:rFonts w:cs="Arial"/>
                <w:sz w:val="20"/>
                <w:szCs w:val="20"/>
              </w:rPr>
              <w:t>3-</w:t>
            </w:r>
            <w:smartTag w:uri="urn:schemas-microsoft-com:office:smarttags" w:element="metricconverter">
              <w:smartTagPr>
                <w:attr w:name="ProductID" w:val="10 m"/>
              </w:smartTagPr>
              <w:r w:rsidRPr="009E064B">
                <w:rPr>
                  <w:rFonts w:cs="Arial"/>
                  <w:sz w:val="20"/>
                  <w:szCs w:val="20"/>
                </w:rPr>
                <w:t>10 m</w:t>
              </w:r>
            </w:smartTag>
          </w:p>
        </w:tc>
      </w:tr>
      <w:tr w:rsidR="00C36D76" w:rsidRPr="009E064B" w14:paraId="7247ACA9" w14:textId="77777777" w:rsidTr="00AF52F5">
        <w:trPr>
          <w:jc w:val="right"/>
        </w:trPr>
        <w:tc>
          <w:tcPr>
            <w:tcW w:w="662" w:type="pct"/>
            <w:tcMar>
              <w:top w:w="113" w:type="dxa"/>
              <w:left w:w="28" w:type="dxa"/>
              <w:bottom w:w="113" w:type="dxa"/>
              <w:right w:w="28" w:type="dxa"/>
            </w:tcMar>
            <w:vAlign w:val="center"/>
          </w:tcPr>
          <w:p w14:paraId="05667050" w14:textId="77777777" w:rsidR="00C36D76" w:rsidRPr="009E064B" w:rsidRDefault="00C36D76" w:rsidP="00B06A9A">
            <w:pPr>
              <w:spacing w:after="0"/>
              <w:jc w:val="center"/>
              <w:rPr>
                <w:rFonts w:cs="Arial"/>
                <w:sz w:val="20"/>
                <w:szCs w:val="20"/>
              </w:rPr>
            </w:pPr>
            <w:r w:rsidRPr="009E064B">
              <w:rPr>
                <w:rFonts w:cs="Arial"/>
                <w:sz w:val="20"/>
                <w:szCs w:val="20"/>
              </w:rPr>
              <w:t>1 lub 2</w:t>
            </w:r>
          </w:p>
        </w:tc>
        <w:tc>
          <w:tcPr>
            <w:tcW w:w="486" w:type="pct"/>
            <w:tcMar>
              <w:top w:w="113" w:type="dxa"/>
              <w:left w:w="28" w:type="dxa"/>
              <w:bottom w:w="113" w:type="dxa"/>
              <w:right w:w="28" w:type="dxa"/>
            </w:tcMar>
            <w:vAlign w:val="center"/>
          </w:tcPr>
          <w:p w14:paraId="45EF5FB7" w14:textId="77777777" w:rsidR="00C36D76" w:rsidRPr="009E064B" w:rsidRDefault="00C36D76" w:rsidP="00B06A9A">
            <w:pPr>
              <w:spacing w:after="0"/>
              <w:jc w:val="center"/>
              <w:rPr>
                <w:rFonts w:cs="Arial"/>
                <w:sz w:val="20"/>
                <w:szCs w:val="20"/>
              </w:rPr>
            </w:pPr>
            <w:r w:rsidRPr="009E064B">
              <w:rPr>
                <w:rFonts w:cs="Arial"/>
                <w:sz w:val="20"/>
                <w:szCs w:val="20"/>
              </w:rPr>
              <w:t>300</w:t>
            </w:r>
          </w:p>
        </w:tc>
        <w:tc>
          <w:tcPr>
            <w:tcW w:w="688" w:type="pct"/>
            <w:tcMar>
              <w:top w:w="113" w:type="dxa"/>
              <w:left w:w="28" w:type="dxa"/>
              <w:bottom w:w="113" w:type="dxa"/>
              <w:right w:w="28" w:type="dxa"/>
            </w:tcMar>
            <w:vAlign w:val="center"/>
          </w:tcPr>
          <w:p w14:paraId="0B37C13B" w14:textId="77777777" w:rsidR="00C36D76" w:rsidRPr="009E064B" w:rsidRDefault="00C36D76" w:rsidP="00B06A9A">
            <w:pPr>
              <w:spacing w:after="0"/>
              <w:jc w:val="center"/>
              <w:rPr>
                <w:rFonts w:cs="Arial"/>
                <w:sz w:val="20"/>
                <w:szCs w:val="20"/>
              </w:rPr>
            </w:pPr>
            <w:r w:rsidRPr="009E064B">
              <w:rPr>
                <w:rFonts w:cs="Arial"/>
                <w:sz w:val="20"/>
                <w:szCs w:val="20"/>
              </w:rPr>
              <w:t>600</w:t>
            </w:r>
          </w:p>
        </w:tc>
        <w:tc>
          <w:tcPr>
            <w:tcW w:w="753" w:type="pct"/>
            <w:tcMar>
              <w:top w:w="113" w:type="dxa"/>
              <w:left w:w="28" w:type="dxa"/>
              <w:bottom w:w="113" w:type="dxa"/>
              <w:right w:w="28" w:type="dxa"/>
            </w:tcMar>
            <w:vAlign w:val="center"/>
          </w:tcPr>
          <w:p w14:paraId="74FCAE6D" w14:textId="77777777" w:rsidR="00C36D76" w:rsidRPr="009E064B" w:rsidRDefault="00C36D76" w:rsidP="00B06A9A">
            <w:pPr>
              <w:spacing w:after="0"/>
              <w:jc w:val="center"/>
              <w:rPr>
                <w:rFonts w:cs="Arial"/>
                <w:sz w:val="20"/>
                <w:szCs w:val="20"/>
              </w:rPr>
            </w:pPr>
            <w:r w:rsidRPr="009E064B">
              <w:rPr>
                <w:rFonts w:cs="Arial"/>
                <w:sz w:val="20"/>
                <w:szCs w:val="20"/>
              </w:rPr>
              <w:t>900</w:t>
            </w:r>
          </w:p>
        </w:tc>
        <w:tc>
          <w:tcPr>
            <w:tcW w:w="1173" w:type="pct"/>
            <w:tcMar>
              <w:top w:w="113" w:type="dxa"/>
              <w:left w:w="28" w:type="dxa"/>
              <w:bottom w:w="113" w:type="dxa"/>
              <w:right w:w="28" w:type="dxa"/>
            </w:tcMar>
            <w:vAlign w:val="center"/>
          </w:tcPr>
          <w:p w14:paraId="1CBC7C11" w14:textId="77777777" w:rsidR="00C36D76" w:rsidRPr="009E064B" w:rsidRDefault="00C36D76" w:rsidP="00B06A9A">
            <w:pPr>
              <w:spacing w:after="0"/>
              <w:jc w:val="center"/>
              <w:rPr>
                <w:rFonts w:cs="Arial"/>
                <w:sz w:val="20"/>
                <w:szCs w:val="20"/>
              </w:rPr>
            </w:pPr>
            <w:r w:rsidRPr="009E064B">
              <w:rPr>
                <w:rFonts w:cs="Arial"/>
                <w:sz w:val="20"/>
                <w:szCs w:val="20"/>
              </w:rPr>
              <w:t>5-</w:t>
            </w:r>
            <w:smartTag w:uri="urn:schemas-microsoft-com:office:smarttags" w:element="metricconverter">
              <w:smartTagPr>
                <w:attr w:name="ProductID" w:val="11 m"/>
              </w:smartTagPr>
              <w:r w:rsidRPr="009E064B">
                <w:rPr>
                  <w:rFonts w:cs="Arial"/>
                  <w:sz w:val="20"/>
                  <w:szCs w:val="20"/>
                </w:rPr>
                <w:t>11 m</w:t>
              </w:r>
            </w:smartTag>
          </w:p>
        </w:tc>
        <w:tc>
          <w:tcPr>
            <w:tcW w:w="1237" w:type="pct"/>
            <w:tcMar>
              <w:top w:w="113" w:type="dxa"/>
              <w:left w:w="28" w:type="dxa"/>
              <w:bottom w:w="113" w:type="dxa"/>
              <w:right w:w="28" w:type="dxa"/>
            </w:tcMar>
            <w:vAlign w:val="center"/>
          </w:tcPr>
          <w:p w14:paraId="05F06462" w14:textId="77777777" w:rsidR="00C36D76" w:rsidRPr="009E064B" w:rsidRDefault="00C36D76" w:rsidP="00B06A9A">
            <w:pPr>
              <w:spacing w:after="0"/>
              <w:jc w:val="center"/>
              <w:rPr>
                <w:rFonts w:cs="Arial"/>
                <w:sz w:val="20"/>
                <w:szCs w:val="20"/>
              </w:rPr>
            </w:pPr>
            <w:r w:rsidRPr="009E064B">
              <w:rPr>
                <w:rFonts w:cs="Arial"/>
                <w:sz w:val="20"/>
                <w:szCs w:val="20"/>
              </w:rPr>
              <w:t>3-</w:t>
            </w:r>
            <w:smartTag w:uri="urn:schemas-microsoft-com:office:smarttags" w:element="metricconverter">
              <w:smartTagPr>
                <w:attr w:name="ProductID" w:val="10 m"/>
              </w:smartTagPr>
              <w:r w:rsidRPr="009E064B">
                <w:rPr>
                  <w:rFonts w:cs="Arial"/>
                  <w:sz w:val="20"/>
                  <w:szCs w:val="20"/>
                </w:rPr>
                <w:t>10 m</w:t>
              </w:r>
            </w:smartTag>
          </w:p>
        </w:tc>
      </w:tr>
      <w:tr w:rsidR="00C36D76" w:rsidRPr="009E064B" w14:paraId="2034BCA5" w14:textId="77777777" w:rsidTr="00AF52F5">
        <w:trPr>
          <w:jc w:val="right"/>
        </w:trPr>
        <w:tc>
          <w:tcPr>
            <w:tcW w:w="662" w:type="pct"/>
            <w:tcMar>
              <w:top w:w="113" w:type="dxa"/>
              <w:left w:w="28" w:type="dxa"/>
              <w:bottom w:w="113" w:type="dxa"/>
              <w:right w:w="28" w:type="dxa"/>
            </w:tcMar>
            <w:vAlign w:val="center"/>
          </w:tcPr>
          <w:p w14:paraId="42B7BDEA" w14:textId="77777777" w:rsidR="00C36D76" w:rsidRPr="009E064B" w:rsidRDefault="00C36D76" w:rsidP="00B06A9A">
            <w:pPr>
              <w:spacing w:after="0"/>
              <w:jc w:val="center"/>
              <w:rPr>
                <w:rFonts w:cs="Arial"/>
                <w:sz w:val="20"/>
                <w:szCs w:val="20"/>
              </w:rPr>
            </w:pPr>
            <w:r w:rsidRPr="009E064B">
              <w:rPr>
                <w:rFonts w:cs="Arial"/>
                <w:sz w:val="20"/>
                <w:szCs w:val="20"/>
              </w:rPr>
              <w:t>3 lub 4</w:t>
            </w:r>
          </w:p>
        </w:tc>
        <w:tc>
          <w:tcPr>
            <w:tcW w:w="486" w:type="pct"/>
            <w:tcMar>
              <w:top w:w="113" w:type="dxa"/>
              <w:left w:w="28" w:type="dxa"/>
              <w:bottom w:w="113" w:type="dxa"/>
              <w:right w:w="28" w:type="dxa"/>
            </w:tcMar>
            <w:vAlign w:val="center"/>
          </w:tcPr>
          <w:p w14:paraId="1DFD90DA" w14:textId="77777777" w:rsidR="00C36D76" w:rsidRPr="009E064B" w:rsidRDefault="00C36D76" w:rsidP="00B06A9A">
            <w:pPr>
              <w:spacing w:after="0"/>
              <w:jc w:val="center"/>
              <w:rPr>
                <w:rFonts w:cs="Arial"/>
                <w:sz w:val="20"/>
                <w:szCs w:val="20"/>
              </w:rPr>
            </w:pPr>
            <w:r w:rsidRPr="009E064B">
              <w:rPr>
                <w:rFonts w:cs="Arial"/>
                <w:sz w:val="20"/>
                <w:szCs w:val="20"/>
              </w:rPr>
              <w:t>300</w:t>
            </w:r>
          </w:p>
        </w:tc>
        <w:tc>
          <w:tcPr>
            <w:tcW w:w="688" w:type="pct"/>
            <w:tcMar>
              <w:top w:w="113" w:type="dxa"/>
              <w:left w:w="28" w:type="dxa"/>
              <w:bottom w:w="113" w:type="dxa"/>
              <w:right w:w="28" w:type="dxa"/>
            </w:tcMar>
            <w:vAlign w:val="center"/>
          </w:tcPr>
          <w:p w14:paraId="23AAC2AE" w14:textId="77777777" w:rsidR="00C36D76" w:rsidRPr="009E064B" w:rsidRDefault="00C36D76" w:rsidP="00B06A9A">
            <w:pPr>
              <w:spacing w:after="0"/>
              <w:jc w:val="center"/>
              <w:rPr>
                <w:rFonts w:cs="Arial"/>
                <w:sz w:val="20"/>
                <w:szCs w:val="20"/>
              </w:rPr>
            </w:pPr>
            <w:r w:rsidRPr="009E064B">
              <w:rPr>
                <w:rFonts w:cs="Arial"/>
                <w:sz w:val="20"/>
                <w:szCs w:val="20"/>
              </w:rPr>
              <w:t>600</w:t>
            </w:r>
          </w:p>
        </w:tc>
        <w:tc>
          <w:tcPr>
            <w:tcW w:w="753" w:type="pct"/>
            <w:tcMar>
              <w:top w:w="113" w:type="dxa"/>
              <w:left w:w="28" w:type="dxa"/>
              <w:bottom w:w="113" w:type="dxa"/>
              <w:right w:w="28" w:type="dxa"/>
            </w:tcMar>
            <w:vAlign w:val="center"/>
          </w:tcPr>
          <w:p w14:paraId="68FB4BA0" w14:textId="77777777" w:rsidR="00C36D76" w:rsidRPr="009E064B" w:rsidRDefault="00C36D76" w:rsidP="00B06A9A">
            <w:pPr>
              <w:spacing w:after="0"/>
              <w:jc w:val="center"/>
              <w:rPr>
                <w:rFonts w:cs="Arial"/>
                <w:sz w:val="20"/>
                <w:szCs w:val="20"/>
              </w:rPr>
            </w:pPr>
            <w:r w:rsidRPr="009E064B">
              <w:rPr>
                <w:rFonts w:cs="Arial"/>
                <w:sz w:val="20"/>
                <w:szCs w:val="20"/>
              </w:rPr>
              <w:t>900</w:t>
            </w:r>
          </w:p>
        </w:tc>
        <w:tc>
          <w:tcPr>
            <w:tcW w:w="1173" w:type="pct"/>
            <w:tcMar>
              <w:top w:w="113" w:type="dxa"/>
              <w:left w:w="28" w:type="dxa"/>
              <w:bottom w:w="113" w:type="dxa"/>
              <w:right w:w="28" w:type="dxa"/>
            </w:tcMar>
            <w:vAlign w:val="center"/>
          </w:tcPr>
          <w:p w14:paraId="0B911EBB" w14:textId="77777777" w:rsidR="00C36D76" w:rsidRPr="009E064B" w:rsidRDefault="00C36D76" w:rsidP="00B06A9A">
            <w:pPr>
              <w:spacing w:after="0"/>
              <w:jc w:val="center"/>
              <w:rPr>
                <w:rFonts w:cs="Arial"/>
                <w:sz w:val="20"/>
                <w:szCs w:val="20"/>
              </w:rPr>
            </w:pPr>
            <w:r w:rsidRPr="009E064B">
              <w:rPr>
                <w:rFonts w:cs="Arial"/>
                <w:sz w:val="20"/>
                <w:szCs w:val="20"/>
              </w:rPr>
              <w:t>11-</w:t>
            </w:r>
            <w:smartTag w:uri="urn:schemas-microsoft-com:office:smarttags" w:element="metricconverter">
              <w:smartTagPr>
                <w:attr w:name="ProductID" w:val="21 m"/>
              </w:smartTagPr>
              <w:r w:rsidRPr="009E064B">
                <w:rPr>
                  <w:rFonts w:cs="Arial"/>
                  <w:sz w:val="20"/>
                  <w:szCs w:val="20"/>
                </w:rPr>
                <w:t>21 m</w:t>
              </w:r>
            </w:smartTag>
          </w:p>
        </w:tc>
        <w:tc>
          <w:tcPr>
            <w:tcW w:w="1237" w:type="pct"/>
            <w:tcMar>
              <w:top w:w="113" w:type="dxa"/>
              <w:left w:w="28" w:type="dxa"/>
              <w:bottom w:w="113" w:type="dxa"/>
              <w:right w:w="28" w:type="dxa"/>
            </w:tcMar>
            <w:vAlign w:val="center"/>
          </w:tcPr>
          <w:p w14:paraId="5954AB19" w14:textId="77777777" w:rsidR="00C36D76" w:rsidRPr="009E064B" w:rsidRDefault="00C36D76" w:rsidP="00B06A9A">
            <w:pPr>
              <w:spacing w:after="0"/>
              <w:jc w:val="center"/>
              <w:rPr>
                <w:rFonts w:cs="Arial"/>
                <w:sz w:val="20"/>
                <w:szCs w:val="20"/>
              </w:rPr>
            </w:pPr>
            <w:r w:rsidRPr="009E064B">
              <w:rPr>
                <w:rFonts w:cs="Arial"/>
                <w:sz w:val="20"/>
                <w:szCs w:val="20"/>
              </w:rPr>
              <w:t>8-</w:t>
            </w:r>
            <w:smartTag w:uri="urn:schemas-microsoft-com:office:smarttags" w:element="metricconverter">
              <w:smartTagPr>
                <w:attr w:name="ProductID" w:val="15 m"/>
              </w:smartTagPr>
              <w:r w:rsidRPr="009E064B">
                <w:rPr>
                  <w:rFonts w:cs="Arial"/>
                  <w:sz w:val="20"/>
                  <w:szCs w:val="20"/>
                </w:rPr>
                <w:t>15 m</w:t>
              </w:r>
            </w:smartTag>
          </w:p>
        </w:tc>
      </w:tr>
      <w:tr w:rsidR="00C36D76" w:rsidRPr="009E064B" w14:paraId="7DE0A5EB" w14:textId="77777777" w:rsidTr="00AF52F5">
        <w:trPr>
          <w:jc w:val="right"/>
        </w:trPr>
        <w:tc>
          <w:tcPr>
            <w:tcW w:w="662" w:type="pct"/>
            <w:tcMar>
              <w:top w:w="113" w:type="dxa"/>
              <w:left w:w="28" w:type="dxa"/>
              <w:bottom w:w="113" w:type="dxa"/>
              <w:right w:w="28" w:type="dxa"/>
            </w:tcMar>
            <w:vAlign w:val="center"/>
          </w:tcPr>
          <w:p w14:paraId="2235C243" w14:textId="77777777" w:rsidR="00C36D76" w:rsidRPr="009E064B" w:rsidRDefault="00C36D76" w:rsidP="00B06A9A">
            <w:pPr>
              <w:spacing w:after="0"/>
              <w:jc w:val="center"/>
              <w:rPr>
                <w:rFonts w:cs="Arial"/>
                <w:sz w:val="20"/>
                <w:szCs w:val="20"/>
              </w:rPr>
            </w:pPr>
            <w:r w:rsidRPr="009E064B">
              <w:rPr>
                <w:rFonts w:cs="Arial"/>
                <w:sz w:val="20"/>
                <w:szCs w:val="20"/>
              </w:rPr>
              <w:t>3 lub 4</w:t>
            </w:r>
          </w:p>
        </w:tc>
        <w:tc>
          <w:tcPr>
            <w:tcW w:w="486" w:type="pct"/>
            <w:tcMar>
              <w:top w:w="113" w:type="dxa"/>
              <w:left w:w="28" w:type="dxa"/>
              <w:bottom w:w="113" w:type="dxa"/>
              <w:right w:w="28" w:type="dxa"/>
            </w:tcMar>
            <w:vAlign w:val="center"/>
          </w:tcPr>
          <w:p w14:paraId="036A4049" w14:textId="77777777" w:rsidR="00C36D76" w:rsidRPr="009E064B" w:rsidRDefault="00C36D76" w:rsidP="00B06A9A">
            <w:pPr>
              <w:spacing w:after="0"/>
              <w:jc w:val="center"/>
              <w:rPr>
                <w:rFonts w:cs="Arial"/>
                <w:sz w:val="20"/>
                <w:szCs w:val="20"/>
              </w:rPr>
            </w:pPr>
            <w:r w:rsidRPr="009E064B">
              <w:rPr>
                <w:rFonts w:cs="Arial"/>
                <w:sz w:val="20"/>
                <w:szCs w:val="20"/>
              </w:rPr>
              <w:t>400</w:t>
            </w:r>
          </w:p>
        </w:tc>
        <w:tc>
          <w:tcPr>
            <w:tcW w:w="688" w:type="pct"/>
            <w:tcMar>
              <w:top w:w="113" w:type="dxa"/>
              <w:left w:w="28" w:type="dxa"/>
              <w:bottom w:w="113" w:type="dxa"/>
              <w:right w:w="28" w:type="dxa"/>
            </w:tcMar>
            <w:vAlign w:val="center"/>
          </w:tcPr>
          <w:p w14:paraId="1E30EFFC" w14:textId="77777777" w:rsidR="00C36D76" w:rsidRPr="009E064B" w:rsidRDefault="00C36D76" w:rsidP="00B06A9A">
            <w:pPr>
              <w:spacing w:after="0"/>
              <w:jc w:val="center"/>
              <w:rPr>
                <w:rFonts w:cs="Arial"/>
                <w:sz w:val="20"/>
                <w:szCs w:val="20"/>
              </w:rPr>
            </w:pPr>
            <w:r w:rsidRPr="009E064B">
              <w:rPr>
                <w:rFonts w:cs="Arial"/>
                <w:sz w:val="20"/>
                <w:szCs w:val="20"/>
              </w:rPr>
              <w:t>800</w:t>
            </w:r>
          </w:p>
        </w:tc>
        <w:tc>
          <w:tcPr>
            <w:tcW w:w="753" w:type="pct"/>
            <w:tcMar>
              <w:top w:w="113" w:type="dxa"/>
              <w:left w:w="28" w:type="dxa"/>
              <w:bottom w:w="113" w:type="dxa"/>
              <w:right w:w="28" w:type="dxa"/>
            </w:tcMar>
            <w:vAlign w:val="center"/>
          </w:tcPr>
          <w:p w14:paraId="56736A9E" w14:textId="77777777" w:rsidR="00C36D76" w:rsidRPr="009E064B" w:rsidRDefault="00C36D76" w:rsidP="00B06A9A">
            <w:pPr>
              <w:spacing w:after="0"/>
              <w:jc w:val="center"/>
              <w:rPr>
                <w:rFonts w:cs="Arial"/>
                <w:sz w:val="20"/>
                <w:szCs w:val="20"/>
              </w:rPr>
            </w:pPr>
            <w:r w:rsidRPr="009E064B">
              <w:rPr>
                <w:rFonts w:cs="Arial"/>
                <w:sz w:val="20"/>
                <w:szCs w:val="20"/>
              </w:rPr>
              <w:t>1 100</w:t>
            </w:r>
          </w:p>
        </w:tc>
        <w:tc>
          <w:tcPr>
            <w:tcW w:w="1173" w:type="pct"/>
            <w:tcMar>
              <w:top w:w="113" w:type="dxa"/>
              <w:left w:w="28" w:type="dxa"/>
              <w:bottom w:w="113" w:type="dxa"/>
              <w:right w:w="28" w:type="dxa"/>
            </w:tcMar>
            <w:vAlign w:val="center"/>
          </w:tcPr>
          <w:p w14:paraId="24CE0199" w14:textId="77777777" w:rsidR="00C36D76" w:rsidRPr="009E064B" w:rsidRDefault="00C36D76" w:rsidP="00B06A9A">
            <w:pPr>
              <w:spacing w:after="0"/>
              <w:jc w:val="center"/>
              <w:rPr>
                <w:rFonts w:cs="Arial"/>
                <w:sz w:val="20"/>
                <w:szCs w:val="20"/>
              </w:rPr>
            </w:pPr>
            <w:r w:rsidRPr="009E064B">
              <w:rPr>
                <w:rFonts w:cs="Arial"/>
                <w:sz w:val="20"/>
                <w:szCs w:val="20"/>
              </w:rPr>
              <w:t>11-</w:t>
            </w:r>
            <w:smartTag w:uri="urn:schemas-microsoft-com:office:smarttags" w:element="metricconverter">
              <w:smartTagPr>
                <w:attr w:name="ProductID" w:val="21 m"/>
              </w:smartTagPr>
              <w:r w:rsidRPr="009E064B">
                <w:rPr>
                  <w:rFonts w:cs="Arial"/>
                  <w:sz w:val="20"/>
                  <w:szCs w:val="20"/>
                </w:rPr>
                <w:t>21 m</w:t>
              </w:r>
            </w:smartTag>
          </w:p>
        </w:tc>
        <w:tc>
          <w:tcPr>
            <w:tcW w:w="1237" w:type="pct"/>
            <w:tcMar>
              <w:top w:w="113" w:type="dxa"/>
              <w:left w:w="28" w:type="dxa"/>
              <w:bottom w:w="113" w:type="dxa"/>
              <w:right w:w="28" w:type="dxa"/>
            </w:tcMar>
            <w:vAlign w:val="center"/>
          </w:tcPr>
          <w:p w14:paraId="0E200807" w14:textId="77777777" w:rsidR="00C36D76" w:rsidRPr="009E064B" w:rsidRDefault="00C36D76" w:rsidP="00B06A9A">
            <w:pPr>
              <w:spacing w:after="0"/>
              <w:jc w:val="center"/>
              <w:rPr>
                <w:rFonts w:cs="Arial"/>
                <w:sz w:val="20"/>
                <w:szCs w:val="20"/>
              </w:rPr>
            </w:pPr>
            <w:r w:rsidRPr="009E064B">
              <w:rPr>
                <w:rFonts w:cs="Arial"/>
                <w:sz w:val="20"/>
                <w:szCs w:val="20"/>
              </w:rPr>
              <w:t>8-</w:t>
            </w:r>
            <w:smartTag w:uri="urn:schemas-microsoft-com:office:smarttags" w:element="metricconverter">
              <w:smartTagPr>
                <w:attr w:name="ProductID" w:val="15 m"/>
              </w:smartTagPr>
              <w:r w:rsidRPr="009E064B">
                <w:rPr>
                  <w:rFonts w:cs="Arial"/>
                  <w:sz w:val="20"/>
                  <w:szCs w:val="20"/>
                </w:rPr>
                <w:t>15 m</w:t>
              </w:r>
            </w:smartTag>
          </w:p>
        </w:tc>
      </w:tr>
    </w:tbl>
    <w:p w14:paraId="2E4A1D1C" w14:textId="77777777" w:rsidR="00C36D76" w:rsidRPr="00351FED" w:rsidRDefault="00C36D76" w:rsidP="00B06A9A">
      <w:pPr>
        <w:spacing w:before="240"/>
        <w:ind w:left="567" w:hanging="567"/>
        <w:jc w:val="center"/>
        <w:rPr>
          <w:b/>
          <w:szCs w:val="20"/>
        </w:rPr>
      </w:pPr>
      <w:r w:rsidRPr="00351FED">
        <w:rPr>
          <w:b/>
          <w:sz w:val="20"/>
          <w:szCs w:val="20"/>
        </w:rPr>
        <w:t xml:space="preserve">Tabela N-1.   Odległości lokalizacji znaków prowadzenia po drodze kołowania, </w:t>
      </w:r>
      <w:r w:rsidRPr="00351FED">
        <w:rPr>
          <w:b/>
          <w:sz w:val="20"/>
          <w:szCs w:val="20"/>
        </w:rPr>
        <w:br/>
        <w:t>w tym znaków zjazdu z drogi startowej</w:t>
      </w:r>
    </w:p>
    <w:p w14:paraId="6C4B9502" w14:textId="77777777" w:rsidR="00C36D76" w:rsidRPr="009E064B" w:rsidRDefault="00C36D76" w:rsidP="00B06A9A"/>
    <w:p w14:paraId="2AA065C3" w14:textId="77777777"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t>Wysokość n</w:t>
      </w:r>
      <w:r w:rsidRPr="009E064B">
        <w:rPr>
          <w:szCs w:val="20"/>
        </w:rPr>
        <w:t>apisów na znaku powinny spełniać wymagania określone w Tabeli N-2.</w:t>
      </w:r>
    </w:p>
    <w:p w14:paraId="666CC361" w14:textId="77777777" w:rsidR="00C36D76" w:rsidRPr="009E064B" w:rsidRDefault="00C36D76" w:rsidP="00B06A9A">
      <w:pPr>
        <w:tabs>
          <w:tab w:val="left" w:pos="1134"/>
        </w:tabs>
        <w:spacing w:after="0"/>
        <w:ind w:left="1134" w:hanging="567"/>
        <w:rPr>
          <w:szCs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851"/>
        <w:gridCol w:w="1417"/>
        <w:gridCol w:w="2977"/>
        <w:gridCol w:w="1426"/>
      </w:tblGrid>
      <w:tr w:rsidR="00C36D76" w:rsidRPr="009E064B" w14:paraId="3265BD43" w14:textId="77777777" w:rsidTr="007D1946">
        <w:trPr>
          <w:jc w:val="right"/>
        </w:trPr>
        <w:tc>
          <w:tcPr>
            <w:tcW w:w="1851" w:type="dxa"/>
            <w:vMerge w:val="restart"/>
            <w:tcMar>
              <w:top w:w="57" w:type="dxa"/>
              <w:left w:w="85" w:type="dxa"/>
              <w:bottom w:w="57" w:type="dxa"/>
              <w:right w:w="85" w:type="dxa"/>
            </w:tcMar>
            <w:vAlign w:val="center"/>
          </w:tcPr>
          <w:p w14:paraId="75903C66" w14:textId="77777777" w:rsidR="00C36D76" w:rsidRPr="009E064B" w:rsidRDefault="00C36D76" w:rsidP="00B06A9A">
            <w:pPr>
              <w:spacing w:after="0"/>
              <w:jc w:val="center"/>
              <w:rPr>
                <w:rFonts w:cs="Arial"/>
                <w:b/>
                <w:sz w:val="20"/>
                <w:szCs w:val="20"/>
              </w:rPr>
            </w:pPr>
            <w:r w:rsidRPr="009E064B">
              <w:rPr>
                <w:rFonts w:cs="Arial"/>
                <w:b/>
                <w:sz w:val="20"/>
                <w:szCs w:val="20"/>
              </w:rPr>
              <w:t xml:space="preserve">Cyfra kodu </w:t>
            </w:r>
            <w:r w:rsidRPr="009E064B">
              <w:rPr>
                <w:rFonts w:cs="Arial"/>
                <w:b/>
                <w:sz w:val="20"/>
                <w:szCs w:val="20"/>
              </w:rPr>
              <w:br/>
              <w:t>drogi startowej</w:t>
            </w:r>
          </w:p>
        </w:tc>
        <w:tc>
          <w:tcPr>
            <w:tcW w:w="5820" w:type="dxa"/>
            <w:gridSpan w:val="3"/>
            <w:tcMar>
              <w:top w:w="113" w:type="dxa"/>
              <w:left w:w="85" w:type="dxa"/>
              <w:bottom w:w="113" w:type="dxa"/>
              <w:right w:w="85" w:type="dxa"/>
            </w:tcMar>
            <w:vAlign w:val="center"/>
          </w:tcPr>
          <w:p w14:paraId="3969FEEE" w14:textId="77777777" w:rsidR="00C36D76" w:rsidRPr="009E064B" w:rsidRDefault="00C36D76" w:rsidP="00B06A9A">
            <w:pPr>
              <w:spacing w:after="0"/>
              <w:jc w:val="center"/>
              <w:rPr>
                <w:rFonts w:cs="Arial"/>
                <w:b/>
                <w:sz w:val="20"/>
                <w:szCs w:val="20"/>
              </w:rPr>
            </w:pPr>
            <w:r w:rsidRPr="009E064B">
              <w:rPr>
                <w:rFonts w:cs="Arial"/>
                <w:b/>
                <w:sz w:val="20"/>
                <w:szCs w:val="20"/>
              </w:rPr>
              <w:t>Minimalna wysokość liter i cyfr</w:t>
            </w:r>
          </w:p>
        </w:tc>
      </w:tr>
      <w:tr w:rsidR="00C36D76" w:rsidRPr="009E064B" w14:paraId="60A1105B" w14:textId="77777777" w:rsidTr="007D1946">
        <w:trPr>
          <w:jc w:val="right"/>
        </w:trPr>
        <w:tc>
          <w:tcPr>
            <w:tcW w:w="1851" w:type="dxa"/>
            <w:vMerge/>
            <w:tcMar>
              <w:top w:w="57" w:type="dxa"/>
              <w:left w:w="85" w:type="dxa"/>
              <w:bottom w:w="57" w:type="dxa"/>
              <w:right w:w="85" w:type="dxa"/>
            </w:tcMar>
            <w:vAlign w:val="center"/>
          </w:tcPr>
          <w:p w14:paraId="041A9427" w14:textId="77777777" w:rsidR="00C36D76" w:rsidRPr="009E064B" w:rsidRDefault="00C36D76" w:rsidP="00B06A9A">
            <w:pPr>
              <w:spacing w:after="0"/>
              <w:jc w:val="center"/>
              <w:rPr>
                <w:rFonts w:cs="Arial"/>
                <w:b/>
                <w:sz w:val="20"/>
                <w:szCs w:val="20"/>
              </w:rPr>
            </w:pPr>
          </w:p>
        </w:tc>
        <w:tc>
          <w:tcPr>
            <w:tcW w:w="1417" w:type="dxa"/>
            <w:vMerge w:val="restart"/>
            <w:tcMar>
              <w:top w:w="57" w:type="dxa"/>
              <w:left w:w="85" w:type="dxa"/>
              <w:bottom w:w="57" w:type="dxa"/>
              <w:right w:w="85" w:type="dxa"/>
            </w:tcMar>
            <w:vAlign w:val="center"/>
          </w:tcPr>
          <w:p w14:paraId="0AB2435C" w14:textId="77777777" w:rsidR="00C36D76" w:rsidRPr="009E064B" w:rsidRDefault="00C36D76" w:rsidP="00B06A9A">
            <w:pPr>
              <w:spacing w:after="0"/>
              <w:jc w:val="center"/>
              <w:rPr>
                <w:rFonts w:cs="Arial"/>
                <w:b/>
                <w:sz w:val="20"/>
                <w:szCs w:val="20"/>
              </w:rPr>
            </w:pPr>
            <w:r w:rsidRPr="009E064B">
              <w:rPr>
                <w:rFonts w:cs="Arial"/>
                <w:b/>
                <w:sz w:val="20"/>
                <w:szCs w:val="20"/>
              </w:rPr>
              <w:t>Znak nakazu</w:t>
            </w:r>
          </w:p>
        </w:tc>
        <w:tc>
          <w:tcPr>
            <w:tcW w:w="4403" w:type="dxa"/>
            <w:gridSpan w:val="2"/>
            <w:tcMar>
              <w:top w:w="85" w:type="dxa"/>
              <w:left w:w="85" w:type="dxa"/>
              <w:bottom w:w="85" w:type="dxa"/>
              <w:right w:w="85" w:type="dxa"/>
            </w:tcMar>
            <w:vAlign w:val="center"/>
          </w:tcPr>
          <w:p w14:paraId="73CED3D2" w14:textId="77777777" w:rsidR="00C36D76" w:rsidRPr="009E064B" w:rsidRDefault="00C36D76" w:rsidP="00B06A9A">
            <w:pPr>
              <w:spacing w:after="0"/>
              <w:jc w:val="center"/>
              <w:rPr>
                <w:rFonts w:cs="Arial"/>
                <w:b/>
                <w:sz w:val="20"/>
                <w:szCs w:val="20"/>
              </w:rPr>
            </w:pPr>
            <w:r w:rsidRPr="009E064B">
              <w:rPr>
                <w:rFonts w:cs="Arial"/>
                <w:b/>
                <w:sz w:val="20"/>
                <w:szCs w:val="20"/>
              </w:rPr>
              <w:t>Znaki informacyjne</w:t>
            </w:r>
          </w:p>
        </w:tc>
      </w:tr>
      <w:tr w:rsidR="00C36D76" w:rsidRPr="009E064B" w14:paraId="713AB0EB" w14:textId="77777777" w:rsidTr="007D1946">
        <w:trPr>
          <w:jc w:val="right"/>
        </w:trPr>
        <w:tc>
          <w:tcPr>
            <w:tcW w:w="1851" w:type="dxa"/>
            <w:vMerge/>
            <w:tcMar>
              <w:top w:w="57" w:type="dxa"/>
              <w:left w:w="85" w:type="dxa"/>
              <w:bottom w:w="57" w:type="dxa"/>
              <w:right w:w="85" w:type="dxa"/>
            </w:tcMar>
            <w:vAlign w:val="center"/>
          </w:tcPr>
          <w:p w14:paraId="1DFD50A5" w14:textId="77777777" w:rsidR="00C36D76" w:rsidRPr="009E064B" w:rsidRDefault="00C36D76" w:rsidP="00B06A9A">
            <w:pPr>
              <w:spacing w:after="0"/>
              <w:jc w:val="center"/>
              <w:rPr>
                <w:rFonts w:cs="Arial"/>
                <w:b/>
                <w:sz w:val="20"/>
                <w:szCs w:val="20"/>
              </w:rPr>
            </w:pPr>
          </w:p>
        </w:tc>
        <w:tc>
          <w:tcPr>
            <w:tcW w:w="1417" w:type="dxa"/>
            <w:vMerge/>
            <w:tcMar>
              <w:top w:w="57" w:type="dxa"/>
              <w:left w:w="85" w:type="dxa"/>
              <w:bottom w:w="57" w:type="dxa"/>
              <w:right w:w="85" w:type="dxa"/>
            </w:tcMar>
            <w:vAlign w:val="center"/>
          </w:tcPr>
          <w:p w14:paraId="1A0B9EC3" w14:textId="77777777" w:rsidR="00C36D76" w:rsidRPr="009E064B" w:rsidRDefault="00C36D76" w:rsidP="00B06A9A">
            <w:pPr>
              <w:spacing w:after="0"/>
              <w:jc w:val="center"/>
              <w:rPr>
                <w:rFonts w:cs="Arial"/>
                <w:b/>
                <w:sz w:val="20"/>
                <w:szCs w:val="20"/>
              </w:rPr>
            </w:pPr>
          </w:p>
        </w:tc>
        <w:tc>
          <w:tcPr>
            <w:tcW w:w="2977" w:type="dxa"/>
            <w:tcMar>
              <w:top w:w="57" w:type="dxa"/>
              <w:left w:w="85" w:type="dxa"/>
              <w:bottom w:w="57" w:type="dxa"/>
              <w:right w:w="85" w:type="dxa"/>
            </w:tcMar>
            <w:vAlign w:val="center"/>
          </w:tcPr>
          <w:p w14:paraId="4AD669FE" w14:textId="77777777" w:rsidR="00C36D76" w:rsidRPr="009E064B" w:rsidRDefault="00C36D76" w:rsidP="00B06A9A">
            <w:pPr>
              <w:spacing w:after="0"/>
              <w:jc w:val="center"/>
              <w:rPr>
                <w:rFonts w:cs="Arial"/>
                <w:b/>
                <w:sz w:val="20"/>
                <w:szCs w:val="20"/>
              </w:rPr>
            </w:pPr>
            <w:r w:rsidRPr="009E064B">
              <w:rPr>
                <w:rFonts w:cs="Arial"/>
                <w:b/>
                <w:sz w:val="20"/>
                <w:szCs w:val="20"/>
              </w:rPr>
              <w:t>Znak zjazdu oraz opuszczenia drogi startowej</w:t>
            </w:r>
          </w:p>
        </w:tc>
        <w:tc>
          <w:tcPr>
            <w:tcW w:w="1426" w:type="dxa"/>
            <w:tcMar>
              <w:top w:w="57" w:type="dxa"/>
              <w:left w:w="85" w:type="dxa"/>
              <w:bottom w:w="57" w:type="dxa"/>
              <w:right w:w="85" w:type="dxa"/>
            </w:tcMar>
            <w:vAlign w:val="center"/>
          </w:tcPr>
          <w:p w14:paraId="1EAD163C" w14:textId="77777777" w:rsidR="00C36D76" w:rsidRPr="009E064B" w:rsidRDefault="00C36D76" w:rsidP="00B06A9A">
            <w:pPr>
              <w:spacing w:after="0"/>
              <w:jc w:val="center"/>
              <w:rPr>
                <w:rFonts w:cs="Arial"/>
                <w:b/>
                <w:sz w:val="20"/>
                <w:szCs w:val="20"/>
              </w:rPr>
            </w:pPr>
            <w:r w:rsidRPr="009E064B">
              <w:rPr>
                <w:rFonts w:cs="Arial"/>
                <w:b/>
                <w:sz w:val="20"/>
                <w:szCs w:val="20"/>
              </w:rPr>
              <w:t>Inne znaki</w:t>
            </w:r>
          </w:p>
        </w:tc>
      </w:tr>
      <w:tr w:rsidR="00C36D76" w:rsidRPr="009E064B" w14:paraId="580BCACA" w14:textId="77777777" w:rsidTr="007D1946">
        <w:trPr>
          <w:trHeight w:val="413"/>
          <w:jc w:val="right"/>
        </w:trPr>
        <w:tc>
          <w:tcPr>
            <w:tcW w:w="1851" w:type="dxa"/>
            <w:tcMar>
              <w:top w:w="57" w:type="dxa"/>
              <w:left w:w="85" w:type="dxa"/>
              <w:bottom w:w="57" w:type="dxa"/>
              <w:right w:w="85" w:type="dxa"/>
            </w:tcMar>
            <w:vAlign w:val="center"/>
          </w:tcPr>
          <w:p w14:paraId="73A21F41" w14:textId="77777777" w:rsidR="00C36D76" w:rsidRPr="009E064B" w:rsidRDefault="00C36D76" w:rsidP="00B06A9A">
            <w:pPr>
              <w:spacing w:after="0"/>
              <w:jc w:val="center"/>
              <w:rPr>
                <w:rFonts w:cs="Arial"/>
                <w:sz w:val="20"/>
                <w:szCs w:val="20"/>
              </w:rPr>
            </w:pPr>
            <w:r w:rsidRPr="009E064B">
              <w:rPr>
                <w:rFonts w:cs="Arial"/>
                <w:sz w:val="20"/>
                <w:szCs w:val="20"/>
              </w:rPr>
              <w:t>1 lub 2</w:t>
            </w:r>
          </w:p>
        </w:tc>
        <w:tc>
          <w:tcPr>
            <w:tcW w:w="1417" w:type="dxa"/>
            <w:tcMar>
              <w:top w:w="57" w:type="dxa"/>
              <w:left w:w="85" w:type="dxa"/>
              <w:bottom w:w="57" w:type="dxa"/>
              <w:right w:w="85" w:type="dxa"/>
            </w:tcMar>
            <w:vAlign w:val="center"/>
          </w:tcPr>
          <w:p w14:paraId="2D95F26E" w14:textId="77777777" w:rsidR="00C36D76" w:rsidRPr="009E064B" w:rsidRDefault="00C36D76" w:rsidP="00B06A9A">
            <w:pPr>
              <w:spacing w:after="0"/>
              <w:jc w:val="center"/>
              <w:rPr>
                <w:rFonts w:cs="Arial"/>
                <w:sz w:val="20"/>
                <w:szCs w:val="20"/>
              </w:rPr>
            </w:pPr>
            <w:smartTag w:uri="urn:schemas-microsoft-com:office:smarttags" w:element="metricconverter">
              <w:smartTagPr>
                <w:attr w:name="ProductID" w:val="300 mm"/>
              </w:smartTagPr>
              <w:r w:rsidRPr="009E064B">
                <w:rPr>
                  <w:rFonts w:cs="Arial"/>
                  <w:sz w:val="20"/>
                  <w:szCs w:val="20"/>
                </w:rPr>
                <w:t>300 mm</w:t>
              </w:r>
            </w:smartTag>
          </w:p>
        </w:tc>
        <w:tc>
          <w:tcPr>
            <w:tcW w:w="2977" w:type="dxa"/>
            <w:tcMar>
              <w:top w:w="57" w:type="dxa"/>
              <w:left w:w="85" w:type="dxa"/>
              <w:bottom w:w="57" w:type="dxa"/>
              <w:right w:w="85" w:type="dxa"/>
            </w:tcMar>
            <w:vAlign w:val="center"/>
          </w:tcPr>
          <w:p w14:paraId="6C823C80" w14:textId="77777777" w:rsidR="00C36D76" w:rsidRPr="009E064B" w:rsidRDefault="00C36D76" w:rsidP="00B06A9A">
            <w:pPr>
              <w:spacing w:after="0"/>
              <w:jc w:val="center"/>
              <w:rPr>
                <w:rFonts w:cs="Arial"/>
                <w:sz w:val="20"/>
                <w:szCs w:val="20"/>
              </w:rPr>
            </w:pPr>
            <w:smartTag w:uri="urn:schemas-microsoft-com:office:smarttags" w:element="metricconverter">
              <w:smartTagPr>
                <w:attr w:name="ProductID" w:val="300 mm"/>
              </w:smartTagPr>
              <w:r w:rsidRPr="009E064B">
                <w:rPr>
                  <w:rFonts w:cs="Arial"/>
                  <w:sz w:val="20"/>
                  <w:szCs w:val="20"/>
                </w:rPr>
                <w:t>300 mm</w:t>
              </w:r>
            </w:smartTag>
          </w:p>
        </w:tc>
        <w:tc>
          <w:tcPr>
            <w:tcW w:w="1426" w:type="dxa"/>
            <w:tcMar>
              <w:top w:w="57" w:type="dxa"/>
              <w:left w:w="85" w:type="dxa"/>
              <w:bottom w:w="57" w:type="dxa"/>
              <w:right w:w="85" w:type="dxa"/>
            </w:tcMar>
            <w:vAlign w:val="center"/>
          </w:tcPr>
          <w:p w14:paraId="5B57F2D5" w14:textId="77777777" w:rsidR="00C36D76" w:rsidRPr="009E064B" w:rsidRDefault="00C36D76" w:rsidP="00B06A9A">
            <w:pPr>
              <w:spacing w:after="0"/>
              <w:jc w:val="center"/>
              <w:rPr>
                <w:rFonts w:cs="Arial"/>
                <w:sz w:val="20"/>
                <w:szCs w:val="20"/>
              </w:rPr>
            </w:pPr>
            <w:smartTag w:uri="urn:schemas-microsoft-com:office:smarttags" w:element="metricconverter">
              <w:smartTagPr>
                <w:attr w:name="ProductID" w:val="200 mm"/>
              </w:smartTagPr>
              <w:r w:rsidRPr="009E064B">
                <w:rPr>
                  <w:rFonts w:cs="Arial"/>
                  <w:sz w:val="20"/>
                  <w:szCs w:val="20"/>
                </w:rPr>
                <w:t>200 mm</w:t>
              </w:r>
            </w:smartTag>
          </w:p>
        </w:tc>
      </w:tr>
      <w:tr w:rsidR="00C36D76" w:rsidRPr="009E064B" w14:paraId="57EA797E" w14:textId="77777777" w:rsidTr="007D1946">
        <w:trPr>
          <w:trHeight w:val="414"/>
          <w:jc w:val="right"/>
        </w:trPr>
        <w:tc>
          <w:tcPr>
            <w:tcW w:w="1851" w:type="dxa"/>
            <w:tcMar>
              <w:top w:w="57" w:type="dxa"/>
              <w:left w:w="85" w:type="dxa"/>
              <w:bottom w:w="57" w:type="dxa"/>
              <w:right w:w="85" w:type="dxa"/>
            </w:tcMar>
            <w:vAlign w:val="center"/>
          </w:tcPr>
          <w:p w14:paraId="576F996C" w14:textId="77777777" w:rsidR="00C36D76" w:rsidRPr="009E064B" w:rsidRDefault="00C36D76" w:rsidP="00B06A9A">
            <w:pPr>
              <w:spacing w:after="0"/>
              <w:jc w:val="center"/>
              <w:rPr>
                <w:rFonts w:cs="Arial"/>
                <w:sz w:val="20"/>
                <w:szCs w:val="20"/>
              </w:rPr>
            </w:pPr>
            <w:r w:rsidRPr="009E064B">
              <w:rPr>
                <w:rFonts w:cs="Arial"/>
                <w:sz w:val="20"/>
                <w:szCs w:val="20"/>
              </w:rPr>
              <w:t>3 lub 4</w:t>
            </w:r>
          </w:p>
        </w:tc>
        <w:tc>
          <w:tcPr>
            <w:tcW w:w="1417" w:type="dxa"/>
            <w:tcMar>
              <w:top w:w="57" w:type="dxa"/>
              <w:left w:w="85" w:type="dxa"/>
              <w:bottom w:w="57" w:type="dxa"/>
              <w:right w:w="85" w:type="dxa"/>
            </w:tcMar>
            <w:vAlign w:val="center"/>
          </w:tcPr>
          <w:p w14:paraId="6F5DAF9B" w14:textId="77777777" w:rsidR="00C36D76" w:rsidRPr="009E064B" w:rsidRDefault="00C36D76" w:rsidP="00B06A9A">
            <w:pPr>
              <w:spacing w:after="0"/>
              <w:jc w:val="center"/>
              <w:rPr>
                <w:rFonts w:cs="Arial"/>
                <w:sz w:val="20"/>
                <w:szCs w:val="20"/>
              </w:rPr>
            </w:pPr>
            <w:smartTag w:uri="urn:schemas-microsoft-com:office:smarttags" w:element="metricconverter">
              <w:smartTagPr>
                <w:attr w:name="ProductID" w:val="400 mm"/>
              </w:smartTagPr>
              <w:r w:rsidRPr="009E064B">
                <w:rPr>
                  <w:rFonts w:cs="Arial"/>
                  <w:sz w:val="20"/>
                  <w:szCs w:val="20"/>
                </w:rPr>
                <w:t>400 mm</w:t>
              </w:r>
            </w:smartTag>
          </w:p>
        </w:tc>
        <w:tc>
          <w:tcPr>
            <w:tcW w:w="2977" w:type="dxa"/>
            <w:tcMar>
              <w:top w:w="57" w:type="dxa"/>
              <w:left w:w="85" w:type="dxa"/>
              <w:bottom w:w="57" w:type="dxa"/>
              <w:right w:w="85" w:type="dxa"/>
            </w:tcMar>
            <w:vAlign w:val="center"/>
          </w:tcPr>
          <w:p w14:paraId="7826B24F" w14:textId="77777777" w:rsidR="00C36D76" w:rsidRPr="009E064B" w:rsidRDefault="00C36D76" w:rsidP="00B06A9A">
            <w:pPr>
              <w:spacing w:after="0"/>
              <w:jc w:val="center"/>
              <w:rPr>
                <w:rFonts w:cs="Arial"/>
                <w:sz w:val="20"/>
                <w:szCs w:val="20"/>
              </w:rPr>
            </w:pPr>
            <w:r w:rsidRPr="009E064B">
              <w:rPr>
                <w:rFonts w:cs="Arial"/>
                <w:sz w:val="20"/>
                <w:szCs w:val="20"/>
              </w:rPr>
              <w:t>400 mm</w:t>
            </w:r>
          </w:p>
        </w:tc>
        <w:tc>
          <w:tcPr>
            <w:tcW w:w="1426" w:type="dxa"/>
            <w:tcMar>
              <w:top w:w="57" w:type="dxa"/>
              <w:left w:w="85" w:type="dxa"/>
              <w:bottom w:w="57" w:type="dxa"/>
              <w:right w:w="85" w:type="dxa"/>
            </w:tcMar>
            <w:vAlign w:val="center"/>
          </w:tcPr>
          <w:p w14:paraId="7F937B34" w14:textId="77777777" w:rsidR="00C36D76" w:rsidRPr="009E064B" w:rsidRDefault="00C36D76" w:rsidP="00B06A9A">
            <w:pPr>
              <w:spacing w:after="0"/>
              <w:jc w:val="center"/>
              <w:rPr>
                <w:rFonts w:cs="Arial"/>
                <w:sz w:val="20"/>
                <w:szCs w:val="20"/>
              </w:rPr>
            </w:pPr>
            <w:smartTag w:uri="urn:schemas-microsoft-com:office:smarttags" w:element="metricconverter">
              <w:smartTagPr>
                <w:attr w:name="ProductID" w:val="300 mm"/>
              </w:smartTagPr>
              <w:r w:rsidRPr="009E064B">
                <w:rPr>
                  <w:rFonts w:cs="Arial"/>
                  <w:sz w:val="20"/>
                  <w:szCs w:val="20"/>
                </w:rPr>
                <w:t>300 mm</w:t>
              </w:r>
            </w:smartTag>
          </w:p>
        </w:tc>
      </w:tr>
    </w:tbl>
    <w:p w14:paraId="5943BD80" w14:textId="77777777" w:rsidR="00C36D76" w:rsidRPr="009E064B" w:rsidRDefault="00C36D76" w:rsidP="00B06A9A">
      <w:pPr>
        <w:tabs>
          <w:tab w:val="left" w:pos="1134"/>
        </w:tabs>
        <w:spacing w:after="0"/>
        <w:ind w:left="1134" w:hanging="567"/>
        <w:rPr>
          <w:szCs w:val="20"/>
        </w:rPr>
      </w:pPr>
    </w:p>
    <w:p w14:paraId="16C9B277" w14:textId="77777777" w:rsidR="00C36D76" w:rsidRPr="00351FED" w:rsidRDefault="00C36D76" w:rsidP="00B06A9A">
      <w:pPr>
        <w:spacing w:after="0"/>
        <w:ind w:right="10"/>
        <w:jc w:val="center"/>
        <w:rPr>
          <w:b/>
          <w:sz w:val="20"/>
          <w:szCs w:val="20"/>
        </w:rPr>
      </w:pPr>
      <w:r w:rsidRPr="00351FED">
        <w:rPr>
          <w:b/>
          <w:sz w:val="20"/>
          <w:szCs w:val="20"/>
        </w:rPr>
        <w:t>Tabela N-2. Minimalna wysokość liter i cyfr</w:t>
      </w:r>
    </w:p>
    <w:p w14:paraId="52D04656" w14:textId="2A01D314" w:rsidR="00061BB2" w:rsidRPr="009E064B" w:rsidRDefault="00061BB2">
      <w:pPr>
        <w:spacing w:after="0"/>
        <w:jc w:val="left"/>
      </w:pPr>
      <w:r w:rsidRPr="009E064B">
        <w:br w:type="page"/>
      </w:r>
    </w:p>
    <w:p w14:paraId="1B27398C" w14:textId="02675394" w:rsidR="00C36D76" w:rsidRPr="009E064B" w:rsidRDefault="00C36D76" w:rsidP="00B06A9A">
      <w:pPr>
        <w:tabs>
          <w:tab w:val="left" w:pos="1134"/>
        </w:tabs>
        <w:ind w:left="1134" w:hanging="567"/>
        <w:rPr>
          <w:szCs w:val="20"/>
        </w:rPr>
      </w:pPr>
      <w:r w:rsidRPr="009E064B">
        <w:rPr>
          <w:rFonts w:cs="Times New Roman"/>
          <w:szCs w:val="20"/>
        </w:rPr>
        <w:t xml:space="preserve">(9) </w:t>
      </w:r>
      <w:r w:rsidRPr="009E064B">
        <w:rPr>
          <w:rFonts w:cs="Times New Roman"/>
          <w:szCs w:val="20"/>
        </w:rPr>
        <w:tab/>
      </w:r>
      <w:r w:rsidRPr="009E064B">
        <w:rPr>
          <w:rFonts w:eastAsia="Times New Roman,Italic" w:cs="Times New Roman,Italic"/>
          <w:iCs/>
          <w:szCs w:val="20"/>
        </w:rPr>
        <w:t xml:space="preserve">W przypadku, gdy znak lokalizacji drogi kołowania jest zainstalowany łącznie ze znakiem identyfikacji drogi startowej (patrz </w:t>
      </w:r>
      <w:hyperlink w:anchor="_CS_ADR-DSN.N.785_" w:history="1">
        <w:r w:rsidR="00496C01"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ADR-DSN.N.785</w:t>
        </w:r>
      </w:hyperlink>
      <w:r w:rsidR="00496C01" w:rsidRPr="009E064B">
        <w:rPr>
          <w:rFonts w:eastAsia="Times New Roman,Italic" w:cs="Times New Roman,Italic"/>
          <w:iCs/>
          <w:szCs w:val="20"/>
        </w:rPr>
        <w:t xml:space="preserve"> lit. </w:t>
      </w:r>
      <w:r w:rsidRPr="009E064B">
        <w:rPr>
          <w:rFonts w:eastAsia="Times New Roman,Italic" w:cs="Times New Roman,Italic"/>
          <w:iCs/>
          <w:szCs w:val="20"/>
        </w:rPr>
        <w:t>(b)</w:t>
      </w:r>
      <w:r w:rsidR="00496C01" w:rsidRPr="009E064B">
        <w:rPr>
          <w:rFonts w:eastAsia="Times New Roman,Italic" w:cs="Times New Roman,Italic"/>
          <w:iCs/>
          <w:szCs w:val="20"/>
        </w:rPr>
        <w:t xml:space="preserve"> pkt </w:t>
      </w:r>
      <w:r w:rsidRPr="009E064B">
        <w:rPr>
          <w:rFonts w:eastAsia="Times New Roman,Italic" w:cs="Times New Roman,Italic"/>
          <w:iCs/>
          <w:szCs w:val="20"/>
        </w:rPr>
        <w:t>(9)), wówczas rozmiar liter i cyfr powinien być taki, jaki jest przewidziany dla znaków nakazu.</w:t>
      </w:r>
    </w:p>
    <w:p w14:paraId="4AD75D57" w14:textId="77777777" w:rsidR="00C36D76" w:rsidRPr="009E064B" w:rsidRDefault="00C36D76" w:rsidP="00B06A9A">
      <w:pPr>
        <w:tabs>
          <w:tab w:val="left" w:pos="1701"/>
        </w:tabs>
        <w:spacing w:before="240"/>
        <w:ind w:left="1701" w:hanging="567"/>
        <w:rPr>
          <w:rFonts w:cs="Times New Roman"/>
          <w:szCs w:val="20"/>
        </w:rPr>
      </w:pPr>
      <w:r w:rsidRPr="009E064B">
        <w:rPr>
          <w:rFonts w:cs="Times New Roman"/>
          <w:szCs w:val="20"/>
        </w:rPr>
        <w:t xml:space="preserve">(i) </w:t>
      </w:r>
      <w:r w:rsidRPr="009E064B">
        <w:rPr>
          <w:rFonts w:cs="Times New Roman"/>
          <w:szCs w:val="20"/>
        </w:rPr>
        <w:tab/>
        <w:t>Wymiary strzałki powinny być następujące:</w:t>
      </w:r>
    </w:p>
    <w:p w14:paraId="4324B643" w14:textId="77777777" w:rsidR="00C36D76" w:rsidRPr="009E064B" w:rsidRDefault="00C36D76" w:rsidP="00B06A9A">
      <w:pPr>
        <w:pStyle w:val="Akapitzlist"/>
        <w:tabs>
          <w:tab w:val="left" w:pos="-1985"/>
          <w:tab w:val="center" w:pos="2835"/>
          <w:tab w:val="center" w:pos="5670"/>
        </w:tabs>
        <w:spacing w:after="60"/>
        <w:rPr>
          <w:b/>
          <w:szCs w:val="20"/>
        </w:rPr>
      </w:pPr>
      <w:r w:rsidRPr="009E064B">
        <w:rPr>
          <w:b/>
          <w:szCs w:val="20"/>
        </w:rPr>
        <w:tab/>
        <w:t>Wysokość legendy</w:t>
      </w:r>
      <w:r w:rsidRPr="009E064B">
        <w:rPr>
          <w:b/>
          <w:szCs w:val="20"/>
        </w:rPr>
        <w:tab/>
        <w:t>Szerokość linii</w:t>
      </w:r>
    </w:p>
    <w:p w14:paraId="7270F224" w14:textId="77777777" w:rsidR="00C36D76" w:rsidRPr="009E064B" w:rsidRDefault="00C36D76" w:rsidP="00B06A9A">
      <w:pPr>
        <w:pStyle w:val="Akapitzlist"/>
        <w:tabs>
          <w:tab w:val="left" w:pos="-1985"/>
          <w:tab w:val="center" w:pos="2835"/>
          <w:tab w:val="center" w:pos="5670"/>
        </w:tabs>
        <w:spacing w:after="60"/>
        <w:rPr>
          <w:szCs w:val="20"/>
        </w:rPr>
      </w:pPr>
      <w:r w:rsidRPr="009E064B">
        <w:rPr>
          <w:szCs w:val="20"/>
        </w:rPr>
        <w:tab/>
        <w:t>200 mm</w:t>
      </w:r>
      <w:r w:rsidRPr="009E064B">
        <w:rPr>
          <w:szCs w:val="20"/>
        </w:rPr>
        <w:tab/>
        <w:t>32 mm</w:t>
      </w:r>
    </w:p>
    <w:p w14:paraId="72064C0E" w14:textId="77777777" w:rsidR="00C36D76" w:rsidRPr="009E064B" w:rsidRDefault="00C36D76" w:rsidP="00B06A9A">
      <w:pPr>
        <w:pStyle w:val="Akapitzlist"/>
        <w:tabs>
          <w:tab w:val="left" w:pos="-1985"/>
          <w:tab w:val="center" w:pos="2835"/>
          <w:tab w:val="center" w:pos="5670"/>
        </w:tabs>
        <w:spacing w:after="60"/>
        <w:rPr>
          <w:szCs w:val="20"/>
        </w:rPr>
      </w:pPr>
      <w:r w:rsidRPr="009E064B">
        <w:rPr>
          <w:szCs w:val="20"/>
        </w:rPr>
        <w:tab/>
        <w:t>300 mm</w:t>
      </w:r>
      <w:r w:rsidRPr="009E064B">
        <w:rPr>
          <w:szCs w:val="20"/>
        </w:rPr>
        <w:tab/>
        <w:t>48 mm</w:t>
      </w:r>
    </w:p>
    <w:p w14:paraId="76A0B463" w14:textId="77777777" w:rsidR="00C36D76" w:rsidRPr="009E064B" w:rsidRDefault="00C36D76" w:rsidP="00B06A9A">
      <w:pPr>
        <w:pStyle w:val="Akapitzlist"/>
        <w:tabs>
          <w:tab w:val="left" w:pos="-1985"/>
          <w:tab w:val="center" w:pos="2835"/>
          <w:tab w:val="center" w:pos="5670"/>
        </w:tabs>
        <w:rPr>
          <w:szCs w:val="20"/>
        </w:rPr>
      </w:pPr>
      <w:r w:rsidRPr="009E064B">
        <w:rPr>
          <w:szCs w:val="20"/>
        </w:rPr>
        <w:tab/>
        <w:t>400 mm</w:t>
      </w:r>
      <w:r w:rsidRPr="009E064B">
        <w:rPr>
          <w:szCs w:val="20"/>
        </w:rPr>
        <w:tab/>
        <w:t>64 mm</w:t>
      </w:r>
    </w:p>
    <w:p w14:paraId="0E352B2F" w14:textId="77777777" w:rsidR="00C36D76" w:rsidRPr="009E064B" w:rsidRDefault="00C36D76" w:rsidP="00B06A9A">
      <w:pPr>
        <w:tabs>
          <w:tab w:val="left" w:pos="1701"/>
        </w:tabs>
        <w:spacing w:before="240"/>
        <w:ind w:left="1701" w:hanging="567"/>
        <w:rPr>
          <w:szCs w:val="20"/>
        </w:rPr>
      </w:pPr>
      <w:r w:rsidRPr="009E064B">
        <w:rPr>
          <w:rFonts w:cs="Times New Roman"/>
          <w:szCs w:val="20"/>
        </w:rPr>
        <w:t xml:space="preserve">(ii) </w:t>
      </w:r>
      <w:r w:rsidRPr="009E064B">
        <w:rPr>
          <w:rFonts w:cs="Times New Roman"/>
          <w:szCs w:val="20"/>
        </w:rPr>
        <w:tab/>
      </w:r>
      <w:r w:rsidRPr="009E064B">
        <w:rPr>
          <w:szCs w:val="20"/>
        </w:rPr>
        <w:t>Szerokość</w:t>
      </w:r>
      <w:r w:rsidRPr="009E064B">
        <w:rPr>
          <w:rFonts w:cs="Times New Roman"/>
          <w:szCs w:val="20"/>
        </w:rPr>
        <w:t xml:space="preserve"> linii w przypadku pojedynczej litery/cyfry powinna wynosić:</w:t>
      </w:r>
    </w:p>
    <w:p w14:paraId="28C66F3C" w14:textId="77777777" w:rsidR="00C36D76" w:rsidRPr="009E064B" w:rsidRDefault="00C36D76" w:rsidP="00B06A9A">
      <w:pPr>
        <w:pStyle w:val="Akapitzlist"/>
        <w:tabs>
          <w:tab w:val="left" w:pos="-1985"/>
          <w:tab w:val="center" w:pos="2835"/>
          <w:tab w:val="center" w:pos="5670"/>
        </w:tabs>
        <w:spacing w:after="60"/>
        <w:rPr>
          <w:b/>
          <w:szCs w:val="20"/>
        </w:rPr>
      </w:pPr>
      <w:r w:rsidRPr="009E064B">
        <w:rPr>
          <w:b/>
          <w:szCs w:val="20"/>
        </w:rPr>
        <w:tab/>
        <w:t>Wysokość legendy</w:t>
      </w:r>
      <w:r w:rsidRPr="009E064B">
        <w:rPr>
          <w:b/>
          <w:szCs w:val="20"/>
        </w:rPr>
        <w:tab/>
        <w:t>Szerokość linii</w:t>
      </w:r>
    </w:p>
    <w:p w14:paraId="5FA61D5F" w14:textId="77777777" w:rsidR="00C36D76" w:rsidRPr="009E064B" w:rsidRDefault="00C36D76" w:rsidP="00B06A9A">
      <w:pPr>
        <w:pStyle w:val="Akapitzlist"/>
        <w:tabs>
          <w:tab w:val="left" w:pos="-1985"/>
          <w:tab w:val="center" w:pos="2835"/>
          <w:tab w:val="center" w:pos="5670"/>
        </w:tabs>
        <w:spacing w:after="60"/>
        <w:rPr>
          <w:szCs w:val="20"/>
        </w:rPr>
      </w:pPr>
      <w:r w:rsidRPr="009E064B">
        <w:rPr>
          <w:szCs w:val="20"/>
        </w:rPr>
        <w:tab/>
        <w:t>200 mm</w:t>
      </w:r>
      <w:r w:rsidRPr="009E064B">
        <w:rPr>
          <w:szCs w:val="20"/>
        </w:rPr>
        <w:tab/>
        <w:t>32 mm</w:t>
      </w:r>
    </w:p>
    <w:p w14:paraId="02C1B7C8" w14:textId="77777777" w:rsidR="00C36D76" w:rsidRPr="009E064B" w:rsidRDefault="00C36D76" w:rsidP="00B06A9A">
      <w:pPr>
        <w:pStyle w:val="Akapitzlist"/>
        <w:tabs>
          <w:tab w:val="left" w:pos="-1985"/>
          <w:tab w:val="center" w:pos="2835"/>
          <w:tab w:val="center" w:pos="5670"/>
        </w:tabs>
        <w:spacing w:after="60"/>
        <w:rPr>
          <w:szCs w:val="20"/>
        </w:rPr>
      </w:pPr>
      <w:r w:rsidRPr="009E064B">
        <w:rPr>
          <w:szCs w:val="20"/>
        </w:rPr>
        <w:tab/>
        <w:t>300 mm</w:t>
      </w:r>
      <w:r w:rsidRPr="009E064B">
        <w:rPr>
          <w:szCs w:val="20"/>
        </w:rPr>
        <w:tab/>
        <w:t>48 mm</w:t>
      </w:r>
    </w:p>
    <w:p w14:paraId="5CB42735" w14:textId="77777777" w:rsidR="00C36D76" w:rsidRPr="009E064B" w:rsidRDefault="00C36D76" w:rsidP="00B06A9A">
      <w:pPr>
        <w:pStyle w:val="Akapitzlist"/>
        <w:tabs>
          <w:tab w:val="left" w:pos="-1985"/>
          <w:tab w:val="center" w:pos="2835"/>
          <w:tab w:val="center" w:pos="5670"/>
        </w:tabs>
        <w:rPr>
          <w:szCs w:val="20"/>
        </w:rPr>
      </w:pPr>
      <w:r w:rsidRPr="009E064B">
        <w:rPr>
          <w:szCs w:val="20"/>
        </w:rPr>
        <w:tab/>
        <w:t>400 mm</w:t>
      </w:r>
      <w:r w:rsidRPr="009E064B">
        <w:rPr>
          <w:szCs w:val="20"/>
        </w:rPr>
        <w:tab/>
        <w:t>64 mm</w:t>
      </w:r>
    </w:p>
    <w:p w14:paraId="0650F4E6" w14:textId="77777777" w:rsidR="00C36D76" w:rsidRPr="009E064B" w:rsidRDefault="00C36D76" w:rsidP="00B06A9A">
      <w:pPr>
        <w:tabs>
          <w:tab w:val="left" w:pos="1134"/>
        </w:tabs>
        <w:spacing w:before="240"/>
        <w:ind w:left="1134" w:hanging="567"/>
        <w:rPr>
          <w:rFonts w:cs="Times New Roman"/>
          <w:szCs w:val="20"/>
        </w:rPr>
      </w:pPr>
      <w:r w:rsidRPr="009E064B">
        <w:rPr>
          <w:rFonts w:cs="Times New Roman"/>
          <w:szCs w:val="20"/>
        </w:rPr>
        <w:t xml:space="preserve">(10) </w:t>
      </w:r>
      <w:r w:rsidRPr="009E064B">
        <w:rPr>
          <w:rFonts w:cs="Times New Roman"/>
          <w:szCs w:val="20"/>
        </w:rPr>
        <w:tab/>
      </w:r>
      <w:r w:rsidRPr="009E064B">
        <w:rPr>
          <w:szCs w:val="20"/>
        </w:rPr>
        <w:t>Luminancja</w:t>
      </w:r>
      <w:r w:rsidRPr="009E064B">
        <w:rPr>
          <w:rFonts w:cs="Times New Roman"/>
          <w:szCs w:val="20"/>
        </w:rPr>
        <w:t xml:space="preserve"> znaku powinna być następująca:</w:t>
      </w:r>
    </w:p>
    <w:p w14:paraId="6ACFE176" w14:textId="77777777" w:rsidR="00C36D76" w:rsidRPr="009E064B" w:rsidRDefault="00C36D76" w:rsidP="00B06A9A">
      <w:pPr>
        <w:tabs>
          <w:tab w:val="left" w:pos="1701"/>
        </w:tabs>
        <w:spacing w:after="60"/>
        <w:ind w:left="1701" w:hanging="567"/>
        <w:rPr>
          <w:rFonts w:cs="Times New Roman"/>
          <w:szCs w:val="20"/>
        </w:rPr>
      </w:pPr>
      <w:r w:rsidRPr="009E064B">
        <w:rPr>
          <w:rFonts w:cs="Times New Roman"/>
          <w:szCs w:val="20"/>
        </w:rPr>
        <w:t xml:space="preserve">(i) </w:t>
      </w:r>
      <w:r w:rsidRPr="009E064B">
        <w:rPr>
          <w:rFonts w:cs="Times New Roman"/>
          <w:szCs w:val="20"/>
        </w:rPr>
        <w:tab/>
        <w:t>Jeżeli operacje lotnicze wykonywane są w warunkach widzialności wzdłuż drogi startowej mniejszej niż 800 m, wówczas średnia luminacja znaku powinna wynosić co najmniej:</w:t>
      </w:r>
    </w:p>
    <w:p w14:paraId="440957C4"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czerwony</w:t>
      </w:r>
      <w:r w:rsidRPr="009E064B">
        <w:rPr>
          <w:rFonts w:cs="Times New Roman"/>
          <w:szCs w:val="20"/>
        </w:rPr>
        <w:tab/>
        <w:t>30 cd/m</w:t>
      </w:r>
      <w:r w:rsidRPr="009E064B">
        <w:rPr>
          <w:rFonts w:cs="Times New Roman"/>
          <w:szCs w:val="20"/>
          <w:vertAlign w:val="superscript"/>
        </w:rPr>
        <w:t>2</w:t>
      </w:r>
    </w:p>
    <w:p w14:paraId="3578C342"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żółty</w:t>
      </w:r>
      <w:r w:rsidRPr="009E064B">
        <w:rPr>
          <w:rFonts w:cs="Times New Roman"/>
          <w:szCs w:val="20"/>
        </w:rPr>
        <w:tab/>
        <w:t>150 cd/m</w:t>
      </w:r>
      <w:r w:rsidRPr="009E064B">
        <w:rPr>
          <w:rFonts w:cs="Times New Roman"/>
          <w:szCs w:val="20"/>
          <w:vertAlign w:val="superscript"/>
        </w:rPr>
        <w:t>2</w:t>
      </w:r>
    </w:p>
    <w:p w14:paraId="74E798A2"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biały</w:t>
      </w:r>
      <w:r w:rsidRPr="009E064B">
        <w:rPr>
          <w:rFonts w:cs="Times New Roman"/>
          <w:szCs w:val="20"/>
        </w:rPr>
        <w:tab/>
        <w:t>300 cd/m</w:t>
      </w:r>
      <w:r w:rsidRPr="009E064B">
        <w:rPr>
          <w:rFonts w:cs="Times New Roman"/>
          <w:szCs w:val="20"/>
          <w:vertAlign w:val="superscript"/>
        </w:rPr>
        <w:t>2</w:t>
      </w:r>
    </w:p>
    <w:p w14:paraId="73D78100" w14:textId="745C6192" w:rsidR="00C36D76" w:rsidRPr="009E064B" w:rsidRDefault="00C36D76" w:rsidP="00B06A9A">
      <w:pPr>
        <w:tabs>
          <w:tab w:val="left" w:pos="1701"/>
        </w:tabs>
        <w:spacing w:after="60"/>
        <w:ind w:left="1701" w:hanging="567"/>
        <w:rPr>
          <w:rFonts w:cs="Times New Roman"/>
          <w:szCs w:val="20"/>
        </w:rPr>
      </w:pPr>
      <w:r w:rsidRPr="009E064B">
        <w:rPr>
          <w:rFonts w:cs="Times New Roman"/>
          <w:szCs w:val="20"/>
        </w:rPr>
        <w:t xml:space="preserve">(ii) </w:t>
      </w:r>
      <w:r w:rsidRPr="009E064B">
        <w:rPr>
          <w:rFonts w:cs="Times New Roman"/>
          <w:szCs w:val="20"/>
        </w:rPr>
        <w:tab/>
        <w:t xml:space="preserve">Jeżeli operacje lotnicze wykonywane są zgodnie z </w:t>
      </w:r>
      <w:hyperlink w:anchor="_CS_ADR-DSN.N.775_" w:history="1">
        <w:r w:rsidRPr="009E064B">
          <w:rPr>
            <w:rStyle w:val="Hipercze"/>
            <w:rFonts w:cs="Times New Roman"/>
            <w:szCs w:val="20"/>
          </w:rPr>
          <w:t>CS ADR-DSN.N.775</w:t>
        </w:r>
      </w:hyperlink>
      <w:r w:rsidR="00496C01" w:rsidRPr="009E064B">
        <w:rPr>
          <w:rFonts w:cs="Times New Roman"/>
          <w:szCs w:val="20"/>
        </w:rPr>
        <w:t xml:space="preserve"> lit. </w:t>
      </w:r>
      <w:r w:rsidRPr="009E064B">
        <w:rPr>
          <w:rFonts w:cs="Times New Roman"/>
          <w:szCs w:val="20"/>
        </w:rPr>
        <w:t>(c)</w:t>
      </w:r>
      <w:r w:rsidR="00496C01" w:rsidRPr="009E064B">
        <w:rPr>
          <w:rFonts w:cs="Times New Roman"/>
          <w:szCs w:val="20"/>
        </w:rPr>
        <w:t xml:space="preserve"> pkt</w:t>
      </w:r>
      <w:r w:rsidR="003F7443" w:rsidRPr="009E064B">
        <w:rPr>
          <w:rFonts w:cs="Times New Roman"/>
          <w:szCs w:val="20"/>
        </w:rPr>
        <w:t> </w:t>
      </w:r>
      <w:r w:rsidRPr="009E064B">
        <w:rPr>
          <w:rFonts w:cs="Times New Roman"/>
          <w:szCs w:val="20"/>
        </w:rPr>
        <w:t>(5)</w:t>
      </w:r>
      <w:r w:rsidR="003F7443" w:rsidRPr="009E064B">
        <w:rPr>
          <w:rFonts w:cs="Times New Roman"/>
          <w:szCs w:val="20"/>
        </w:rPr>
        <w:t xml:space="preserve"> podpunkt </w:t>
      </w:r>
      <w:r w:rsidRPr="009E064B">
        <w:rPr>
          <w:rFonts w:cs="Times New Roman"/>
          <w:szCs w:val="20"/>
        </w:rPr>
        <w:t xml:space="preserve">(ii) oraz </w:t>
      </w:r>
      <w:r w:rsidR="00496C01" w:rsidRPr="009E064B">
        <w:rPr>
          <w:rFonts w:cs="Times New Roman"/>
          <w:szCs w:val="20"/>
        </w:rPr>
        <w:t>lit. </w:t>
      </w:r>
      <w:r w:rsidRPr="009E064B">
        <w:rPr>
          <w:rFonts w:cs="Times New Roman"/>
          <w:szCs w:val="20"/>
        </w:rPr>
        <w:t>(c)</w:t>
      </w:r>
      <w:r w:rsidR="00496C01" w:rsidRPr="009E064B">
        <w:rPr>
          <w:rFonts w:cs="Times New Roman"/>
          <w:szCs w:val="20"/>
        </w:rPr>
        <w:t xml:space="preserve"> pkt </w:t>
      </w:r>
      <w:r w:rsidRPr="009E064B">
        <w:rPr>
          <w:rFonts w:cs="Times New Roman"/>
          <w:szCs w:val="20"/>
        </w:rPr>
        <w:t>(6), wówczas średnia luminacja znaku powinna wynosić co najmniej:</w:t>
      </w:r>
    </w:p>
    <w:p w14:paraId="2D7CCA79"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czerwony</w:t>
      </w:r>
      <w:r w:rsidRPr="009E064B">
        <w:rPr>
          <w:rFonts w:cs="Times New Roman"/>
          <w:szCs w:val="20"/>
        </w:rPr>
        <w:tab/>
        <w:t>10 cd/m</w:t>
      </w:r>
      <w:r w:rsidRPr="009E064B">
        <w:rPr>
          <w:rFonts w:cs="Times New Roman"/>
          <w:szCs w:val="20"/>
          <w:vertAlign w:val="superscript"/>
        </w:rPr>
        <w:t>2</w:t>
      </w:r>
    </w:p>
    <w:p w14:paraId="277045F8"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żółty</w:t>
      </w:r>
      <w:r w:rsidRPr="009E064B">
        <w:rPr>
          <w:rFonts w:cs="Times New Roman"/>
          <w:szCs w:val="20"/>
        </w:rPr>
        <w:tab/>
        <w:t>50 cd/m</w:t>
      </w:r>
      <w:r w:rsidRPr="009E064B">
        <w:rPr>
          <w:rFonts w:cs="Times New Roman"/>
          <w:szCs w:val="20"/>
          <w:vertAlign w:val="superscript"/>
        </w:rPr>
        <w:t>2</w:t>
      </w:r>
    </w:p>
    <w:p w14:paraId="193915E9" w14:textId="77777777" w:rsidR="00C36D76" w:rsidRPr="009E064B" w:rsidRDefault="00C36D76" w:rsidP="00B06A9A">
      <w:pPr>
        <w:pStyle w:val="Akapitzlist"/>
        <w:tabs>
          <w:tab w:val="left" w:pos="-1985"/>
          <w:tab w:val="center" w:pos="-1560"/>
          <w:tab w:val="center" w:pos="-1418"/>
          <w:tab w:val="left" w:pos="2552"/>
          <w:tab w:val="left" w:pos="4820"/>
        </w:tabs>
        <w:rPr>
          <w:rFonts w:cs="Times New Roman"/>
          <w:szCs w:val="20"/>
          <w:vertAlign w:val="superscript"/>
        </w:rPr>
      </w:pPr>
      <w:r w:rsidRPr="009E064B">
        <w:rPr>
          <w:rFonts w:cs="Times New Roman"/>
          <w:szCs w:val="20"/>
        </w:rPr>
        <w:tab/>
        <w:t>Kolor biały</w:t>
      </w:r>
      <w:r w:rsidRPr="009E064B">
        <w:rPr>
          <w:rFonts w:cs="Times New Roman"/>
          <w:szCs w:val="20"/>
        </w:rPr>
        <w:tab/>
        <w:t>100 cd/m</w:t>
      </w:r>
      <w:r w:rsidRPr="009E064B">
        <w:rPr>
          <w:rFonts w:cs="Times New Roman"/>
          <w:szCs w:val="20"/>
          <w:vertAlign w:val="superscript"/>
        </w:rPr>
        <w:t>2</w:t>
      </w:r>
    </w:p>
    <w:p w14:paraId="3E0A44D1" w14:textId="57B3E733" w:rsidR="00C36D76" w:rsidRPr="009E064B" w:rsidRDefault="00C36D76" w:rsidP="00B06A9A">
      <w:pPr>
        <w:tabs>
          <w:tab w:val="left" w:pos="1985"/>
        </w:tabs>
        <w:ind w:left="1985" w:hanging="851"/>
        <w:rPr>
          <w:rFonts w:eastAsia="Times New Roman,Italic" w:cs="Times New Roman,Italic"/>
          <w:iCs/>
          <w:szCs w:val="20"/>
        </w:rPr>
      </w:pPr>
      <w:r w:rsidRPr="009E064B">
        <w:rPr>
          <w:rFonts w:cs="Times New Roman"/>
          <w:szCs w:val="20"/>
        </w:rPr>
        <w:t xml:space="preserve">Uwaga: </w:t>
      </w:r>
      <w:r w:rsidRPr="009E064B">
        <w:rPr>
          <w:rFonts w:cs="Times New Roman"/>
          <w:szCs w:val="20"/>
        </w:rPr>
        <w:tab/>
      </w:r>
      <w:r w:rsidRPr="009E064B">
        <w:rPr>
          <w:rFonts w:eastAsia="Times New Roman,Italic" w:cs="Times New Roman,Italic"/>
          <w:iCs/>
          <w:szCs w:val="20"/>
        </w:rPr>
        <w:t xml:space="preserve">W warunkach widzialności wzdłuż drogi startowej mniejszej niż </w:t>
      </w:r>
      <w:r w:rsidR="003C3F92" w:rsidRPr="009E064B">
        <w:rPr>
          <w:rFonts w:eastAsia="Times New Roman,Italic" w:cs="Times New Roman,Italic"/>
          <w:iCs/>
          <w:szCs w:val="20"/>
        </w:rPr>
        <w:t>400 m, należy się spodziewać zm</w:t>
      </w:r>
      <w:r w:rsidRPr="009E064B">
        <w:rPr>
          <w:rFonts w:eastAsia="Times New Roman,Italic" w:cs="Times New Roman,Italic"/>
          <w:iCs/>
          <w:szCs w:val="20"/>
        </w:rPr>
        <w:t>niejszenia widzialności znaków.</w:t>
      </w:r>
    </w:p>
    <w:p w14:paraId="2AFED01B" w14:textId="77777777" w:rsidR="00C36D76" w:rsidRPr="009E064B" w:rsidRDefault="00C36D76" w:rsidP="00B06A9A">
      <w:pPr>
        <w:tabs>
          <w:tab w:val="left" w:pos="1134"/>
        </w:tabs>
        <w:spacing w:before="240"/>
        <w:ind w:left="1134" w:hanging="567"/>
        <w:rPr>
          <w:szCs w:val="20"/>
        </w:rPr>
      </w:pPr>
      <w:r w:rsidRPr="009E064B">
        <w:rPr>
          <w:rFonts w:cs="Times New Roman"/>
          <w:szCs w:val="20"/>
        </w:rPr>
        <w:t xml:space="preserve">(11) </w:t>
      </w:r>
      <w:r w:rsidRPr="009E064B">
        <w:rPr>
          <w:rFonts w:cs="Times New Roman"/>
          <w:szCs w:val="20"/>
        </w:rPr>
        <w:tab/>
      </w:r>
      <w:r w:rsidRPr="009E064B">
        <w:rPr>
          <w:szCs w:val="20"/>
        </w:rPr>
        <w:t>Stosunek</w:t>
      </w:r>
      <w:r w:rsidRPr="009E064B">
        <w:rPr>
          <w:rFonts w:cs="Times New Roman"/>
          <w:szCs w:val="20"/>
        </w:rPr>
        <w:t xml:space="preserve"> luminacji między czerwonymi i białymi elementami znaku nakazu powinien zawierać się w granicach od 1:5 do 1:10.</w:t>
      </w:r>
    </w:p>
    <w:p w14:paraId="0C826EE8" w14:textId="77777777" w:rsidR="00C36D76" w:rsidRPr="009E064B" w:rsidRDefault="00C36D76" w:rsidP="00B06A9A">
      <w:pPr>
        <w:tabs>
          <w:tab w:val="left" w:pos="1134"/>
        </w:tabs>
        <w:ind w:left="1134" w:hanging="567"/>
        <w:rPr>
          <w:szCs w:val="20"/>
        </w:rPr>
      </w:pPr>
      <w:r w:rsidRPr="009E064B">
        <w:rPr>
          <w:rFonts w:cs="Times New Roman"/>
          <w:szCs w:val="20"/>
        </w:rPr>
        <w:t xml:space="preserve">(12) </w:t>
      </w:r>
      <w:r w:rsidRPr="009E064B">
        <w:rPr>
          <w:rFonts w:cs="Times New Roman"/>
          <w:szCs w:val="20"/>
        </w:rPr>
        <w:tab/>
      </w:r>
      <w:r w:rsidRPr="009E064B">
        <w:rPr>
          <w:szCs w:val="20"/>
        </w:rPr>
        <w:t>Średnia</w:t>
      </w:r>
      <w:r w:rsidRPr="009E064B">
        <w:rPr>
          <w:rFonts w:cs="Times New Roman"/>
          <w:szCs w:val="20"/>
        </w:rPr>
        <w:t xml:space="preserve"> luminacja znaku obliczana jest na podstawie siatki punktów, zgodnie z Rysunkiem N-1 oraz mierzona we wszystkich punktach siatki znajdujących się wewnątrz oraz na granicy prostokąta określającego znak.</w:t>
      </w:r>
    </w:p>
    <w:p w14:paraId="02E57E9F" w14:textId="77777777" w:rsidR="00C36D76" w:rsidRPr="009E064B" w:rsidRDefault="00C36D76" w:rsidP="00B06A9A">
      <w:pPr>
        <w:tabs>
          <w:tab w:val="left" w:pos="1134"/>
        </w:tabs>
        <w:ind w:left="1134" w:hanging="567"/>
        <w:rPr>
          <w:szCs w:val="20"/>
        </w:rPr>
      </w:pPr>
      <w:r w:rsidRPr="009E064B">
        <w:rPr>
          <w:rFonts w:cs="Times New Roman"/>
          <w:szCs w:val="20"/>
        </w:rPr>
        <w:t xml:space="preserve">(13) </w:t>
      </w:r>
      <w:r w:rsidRPr="009E064B">
        <w:rPr>
          <w:rFonts w:cs="Times New Roman"/>
          <w:szCs w:val="20"/>
        </w:rPr>
        <w:tab/>
      </w:r>
      <w:r w:rsidRPr="009E064B">
        <w:rPr>
          <w:szCs w:val="20"/>
        </w:rPr>
        <w:t>Wartość</w:t>
      </w:r>
      <w:r w:rsidRPr="009E064B">
        <w:rPr>
          <w:rFonts w:cs="Times New Roman"/>
          <w:szCs w:val="20"/>
        </w:rPr>
        <w:t xml:space="preserve"> średnią stanowi średnia arytmetyczna z pomiarów luminancji we wszystkich określonych punktach siatki.</w:t>
      </w:r>
    </w:p>
    <w:p w14:paraId="3937400D" w14:textId="77777777" w:rsidR="00C36D76" w:rsidRPr="009E064B" w:rsidRDefault="00C36D76" w:rsidP="00B06A9A">
      <w:pPr>
        <w:tabs>
          <w:tab w:val="left" w:pos="1134"/>
        </w:tabs>
        <w:ind w:left="1134" w:hanging="567"/>
        <w:rPr>
          <w:szCs w:val="20"/>
        </w:rPr>
      </w:pPr>
      <w:r w:rsidRPr="009E064B">
        <w:rPr>
          <w:rFonts w:cs="Times New Roman"/>
          <w:szCs w:val="20"/>
        </w:rPr>
        <w:t xml:space="preserve">(14) </w:t>
      </w:r>
      <w:r w:rsidRPr="009E064B">
        <w:rPr>
          <w:rFonts w:cs="Times New Roman"/>
          <w:szCs w:val="20"/>
        </w:rPr>
        <w:tab/>
        <w:t xml:space="preserve">Stosunek wartości luminacji sąsiednich punktów siatki nie może </w:t>
      </w:r>
      <w:r w:rsidRPr="009E064B">
        <w:rPr>
          <w:szCs w:val="20"/>
        </w:rPr>
        <w:t>przekraczać</w:t>
      </w:r>
      <w:r w:rsidRPr="009E064B">
        <w:rPr>
          <w:rFonts w:cs="Times New Roman"/>
          <w:szCs w:val="20"/>
        </w:rPr>
        <w:t xml:space="preserve"> 1.5:1. W przypadku tych obszarów znaku, gdzie odległość między punktami siatki wynosi 7.5 cm, stosunek wartości luminacji sąsiednich punktów siatki nie może przekraczać 1.25:1. Stosunek maksymalnej i minimalnej luminacji całego obszaru znaku nie może przekraczać 5:1.</w:t>
      </w:r>
    </w:p>
    <w:p w14:paraId="17A10599" w14:textId="77777777" w:rsidR="00C36D76" w:rsidRPr="009E064B" w:rsidRDefault="00C36D76" w:rsidP="00B06A9A">
      <w:pPr>
        <w:tabs>
          <w:tab w:val="left" w:pos="1134"/>
        </w:tabs>
        <w:ind w:left="1134" w:hanging="567"/>
        <w:rPr>
          <w:szCs w:val="20"/>
        </w:rPr>
      </w:pPr>
      <w:r w:rsidRPr="009E064B">
        <w:rPr>
          <w:rFonts w:cs="Times New Roman"/>
          <w:szCs w:val="20"/>
        </w:rPr>
        <w:t xml:space="preserve">(15) </w:t>
      </w:r>
      <w:r w:rsidRPr="009E064B">
        <w:rPr>
          <w:rFonts w:cs="Times New Roman"/>
          <w:szCs w:val="20"/>
        </w:rPr>
        <w:tab/>
      </w:r>
      <w:r w:rsidRPr="009E064B">
        <w:rPr>
          <w:szCs w:val="20"/>
        </w:rPr>
        <w:t>Kształty</w:t>
      </w:r>
      <w:r w:rsidRPr="009E064B">
        <w:rPr>
          <w:rFonts w:cs="Times New Roman"/>
          <w:szCs w:val="20"/>
        </w:rPr>
        <w:t xml:space="preserve"> pojedynczych symboli, tj.: liter, cyfr, strzałek i innych symboli powinny spełniać wymagania określone na Rysunku N-2A do N-2H. Szerokość tych symboli oraz odstępy pomiędzy pojedynczymi symbolami powinny być zgodne z Tabelą N-3.</w:t>
      </w:r>
    </w:p>
    <w:p w14:paraId="17608504" w14:textId="77777777" w:rsidR="00C36D76" w:rsidRPr="009E064B" w:rsidRDefault="00C36D76" w:rsidP="00B06A9A">
      <w:pPr>
        <w:tabs>
          <w:tab w:val="left" w:pos="1134"/>
        </w:tabs>
        <w:spacing w:after="240"/>
        <w:ind w:left="1134" w:hanging="567"/>
        <w:rPr>
          <w:rFonts w:cs="Times New Roman"/>
          <w:szCs w:val="20"/>
        </w:rPr>
      </w:pPr>
      <w:r w:rsidRPr="009E064B">
        <w:rPr>
          <w:rFonts w:cs="Times New Roman"/>
          <w:szCs w:val="20"/>
        </w:rPr>
        <w:t xml:space="preserve">(16) </w:t>
      </w:r>
      <w:r w:rsidRPr="009E064B">
        <w:rPr>
          <w:rFonts w:cs="Times New Roman"/>
          <w:szCs w:val="20"/>
        </w:rPr>
        <w:tab/>
      </w:r>
      <w:r w:rsidRPr="009E064B">
        <w:rPr>
          <w:szCs w:val="20"/>
        </w:rPr>
        <w:t>Wysokość</w:t>
      </w:r>
      <w:r w:rsidRPr="009E064B">
        <w:rPr>
          <w:rFonts w:cs="Times New Roman"/>
          <w:szCs w:val="20"/>
        </w:rPr>
        <w:t xml:space="preserve"> czoła litery/cyfry powinna być następująca:</w:t>
      </w:r>
    </w:p>
    <w:p w14:paraId="6CDBBA66" w14:textId="30DF5064" w:rsidR="00C36D76" w:rsidRPr="009E064B" w:rsidRDefault="00C36D76" w:rsidP="00B06A9A">
      <w:pPr>
        <w:pStyle w:val="Akapitzlist"/>
        <w:tabs>
          <w:tab w:val="left" w:pos="-1985"/>
          <w:tab w:val="center" w:pos="2977"/>
          <w:tab w:val="center" w:pos="5954"/>
        </w:tabs>
        <w:rPr>
          <w:b/>
          <w:szCs w:val="20"/>
        </w:rPr>
      </w:pPr>
      <w:r w:rsidRPr="009E064B">
        <w:rPr>
          <w:b/>
          <w:szCs w:val="20"/>
        </w:rPr>
        <w:tab/>
        <w:t>Wysokość legendy</w:t>
      </w:r>
      <w:r w:rsidRPr="009E064B">
        <w:rPr>
          <w:b/>
          <w:szCs w:val="20"/>
        </w:rPr>
        <w:tab/>
        <w:t>Wysokość czoła (min</w:t>
      </w:r>
      <w:r w:rsidR="00AF52F5" w:rsidRPr="009E064B">
        <w:rPr>
          <w:b/>
          <w:szCs w:val="20"/>
        </w:rPr>
        <w:t>imum</w:t>
      </w:r>
      <w:r w:rsidRPr="009E064B">
        <w:rPr>
          <w:b/>
          <w:szCs w:val="20"/>
        </w:rPr>
        <w:t>)</w:t>
      </w:r>
    </w:p>
    <w:p w14:paraId="448AD3FD" w14:textId="77777777" w:rsidR="00C36D76" w:rsidRPr="009E064B" w:rsidRDefault="00C36D76" w:rsidP="00B06A9A">
      <w:pPr>
        <w:pStyle w:val="Akapitzlist"/>
        <w:tabs>
          <w:tab w:val="left" w:pos="-1985"/>
          <w:tab w:val="center" w:pos="2977"/>
          <w:tab w:val="center" w:pos="5954"/>
        </w:tabs>
        <w:rPr>
          <w:szCs w:val="20"/>
        </w:rPr>
      </w:pPr>
      <w:r w:rsidRPr="009E064B">
        <w:rPr>
          <w:szCs w:val="20"/>
        </w:rPr>
        <w:tab/>
        <w:t>200 mm</w:t>
      </w:r>
      <w:r w:rsidRPr="009E064B">
        <w:rPr>
          <w:szCs w:val="20"/>
        </w:rPr>
        <w:tab/>
        <w:t>400 mm</w:t>
      </w:r>
    </w:p>
    <w:p w14:paraId="1CF37158" w14:textId="77777777" w:rsidR="00C36D76" w:rsidRPr="009E064B" w:rsidRDefault="00C36D76" w:rsidP="00B06A9A">
      <w:pPr>
        <w:pStyle w:val="Akapitzlist"/>
        <w:tabs>
          <w:tab w:val="left" w:pos="-1985"/>
          <w:tab w:val="center" w:pos="2977"/>
          <w:tab w:val="center" w:pos="5954"/>
        </w:tabs>
        <w:rPr>
          <w:szCs w:val="20"/>
        </w:rPr>
      </w:pPr>
      <w:r w:rsidRPr="009E064B">
        <w:rPr>
          <w:szCs w:val="20"/>
        </w:rPr>
        <w:tab/>
        <w:t>300 mm</w:t>
      </w:r>
      <w:r w:rsidRPr="009E064B">
        <w:rPr>
          <w:szCs w:val="20"/>
        </w:rPr>
        <w:tab/>
        <w:t>600 mm</w:t>
      </w:r>
    </w:p>
    <w:p w14:paraId="42500E0B" w14:textId="77777777" w:rsidR="00C36D76" w:rsidRPr="009E064B" w:rsidRDefault="00C36D76" w:rsidP="00B06A9A">
      <w:pPr>
        <w:pStyle w:val="Akapitzlist"/>
        <w:tabs>
          <w:tab w:val="left" w:pos="-1985"/>
          <w:tab w:val="center" w:pos="2977"/>
          <w:tab w:val="center" w:pos="5954"/>
        </w:tabs>
        <w:spacing w:after="240"/>
        <w:rPr>
          <w:szCs w:val="20"/>
        </w:rPr>
      </w:pPr>
      <w:r w:rsidRPr="009E064B">
        <w:rPr>
          <w:szCs w:val="20"/>
        </w:rPr>
        <w:tab/>
        <w:t>400 mm</w:t>
      </w:r>
      <w:r w:rsidRPr="009E064B">
        <w:rPr>
          <w:szCs w:val="20"/>
        </w:rPr>
        <w:tab/>
        <w:t>800 mm</w:t>
      </w:r>
    </w:p>
    <w:p w14:paraId="14378401" w14:textId="77777777"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(17) </w:t>
      </w:r>
      <w:r w:rsidRPr="009E064B">
        <w:rPr>
          <w:rFonts w:cs="Times New Roman"/>
          <w:szCs w:val="20"/>
        </w:rPr>
        <w:tab/>
      </w:r>
      <w:r w:rsidRPr="009E064B">
        <w:rPr>
          <w:szCs w:val="20"/>
        </w:rPr>
        <w:t>Szerokość</w:t>
      </w:r>
      <w:r w:rsidRPr="009E064B">
        <w:rPr>
          <w:rFonts w:cs="Times New Roman"/>
          <w:szCs w:val="20"/>
        </w:rPr>
        <w:t xml:space="preserve"> lica znaku powinna być określona na podstawie Rysunku N-3, z wyjątkiem, gdy znak nakazu jest zainstalowany tylko po jednej stronie drogi kołowania, wówczas szerokość lica nie powinna być mniejsza niż:</w:t>
      </w:r>
    </w:p>
    <w:p w14:paraId="30CFE332"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 xml:space="preserve">(i) </w:t>
      </w:r>
      <w:r w:rsidRPr="009E064B">
        <w:rPr>
          <w:rFonts w:cs="Times New Roman"/>
          <w:szCs w:val="20"/>
        </w:rPr>
        <w:tab/>
        <w:t>1.94 m, gdy cyfrą kodu jest 3 lub 4; oraz</w:t>
      </w:r>
    </w:p>
    <w:p w14:paraId="324BBDEC"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 xml:space="preserve">(ii) </w:t>
      </w:r>
      <w:r w:rsidRPr="009E064B">
        <w:rPr>
          <w:rFonts w:cs="Times New Roman"/>
          <w:szCs w:val="20"/>
        </w:rPr>
        <w:tab/>
        <w:t>1.46 m, gdy cyfrą kodu jest 1 lub 2.</w:t>
      </w:r>
    </w:p>
    <w:p w14:paraId="1EC1C886" w14:textId="77777777"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(18) </w:t>
      </w:r>
      <w:r w:rsidRPr="009E064B">
        <w:rPr>
          <w:rFonts w:cs="Times New Roman"/>
          <w:szCs w:val="20"/>
        </w:rPr>
        <w:tab/>
      </w:r>
      <w:r w:rsidRPr="009E064B">
        <w:rPr>
          <w:szCs w:val="20"/>
        </w:rPr>
        <w:t>Obramowania</w:t>
      </w:r>
      <w:r w:rsidRPr="009E064B">
        <w:rPr>
          <w:rFonts w:cs="Times New Roman"/>
          <w:szCs w:val="20"/>
        </w:rPr>
        <w:t>:</w:t>
      </w:r>
    </w:p>
    <w:p w14:paraId="0B368297"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 xml:space="preserve">(i) </w:t>
      </w:r>
      <w:r w:rsidRPr="009E064B">
        <w:rPr>
          <w:rFonts w:cs="Times New Roman"/>
          <w:szCs w:val="20"/>
        </w:rPr>
        <w:tab/>
        <w:t>Czarna pionowa linia oddzielająca sąsiadujące znaki kierunku powinna mieć szerokość równą około 0.7 szerokości przerwy.</w:t>
      </w:r>
    </w:p>
    <w:p w14:paraId="453CA064"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 xml:space="preserve">(ii) </w:t>
      </w:r>
      <w:r w:rsidRPr="009E064B">
        <w:rPr>
          <w:rFonts w:cs="Times New Roman"/>
          <w:szCs w:val="20"/>
        </w:rPr>
        <w:tab/>
        <w:t>Żółte obramowanie wolnostojącego znaku lokalizacji powinno mieć szerokość równą około 0.5 szerokości przerwy.</w:t>
      </w:r>
    </w:p>
    <w:p w14:paraId="41E1E562" w14:textId="77777777" w:rsidR="00C36D76" w:rsidRPr="009E064B" w:rsidRDefault="00C36D76" w:rsidP="00B06A9A">
      <w:pPr>
        <w:tabs>
          <w:tab w:val="left" w:pos="1134"/>
        </w:tabs>
        <w:ind w:left="1134" w:hanging="567"/>
        <w:rPr>
          <w:szCs w:val="20"/>
        </w:rPr>
      </w:pPr>
      <w:r w:rsidRPr="009E064B">
        <w:rPr>
          <w:rFonts w:cs="Times New Roman"/>
          <w:szCs w:val="20"/>
        </w:rPr>
        <w:t>(19)</w:t>
      </w:r>
      <w:r w:rsidRPr="009E064B">
        <w:rPr>
          <w:rFonts w:cs="Times New Roman"/>
          <w:szCs w:val="20"/>
        </w:rPr>
        <w:tab/>
        <w:t>Kolory znaków powinny spełniać odpowiednie wymagania określone w „</w:t>
      </w:r>
      <w:r w:rsidRPr="009E064B">
        <w:rPr>
          <w:rFonts w:cs="Times New Roman"/>
          <w:i/>
          <w:szCs w:val="20"/>
        </w:rPr>
        <w:t>Rozdziale U – Kolory naziemnych świateł lotniczych, oznakowania poziomego, znaków pionowych i tablic”</w:t>
      </w:r>
      <w:r w:rsidRPr="009E064B">
        <w:rPr>
          <w:rFonts w:cs="Times New Roman"/>
          <w:szCs w:val="20"/>
        </w:rPr>
        <w:t>.</w:t>
      </w:r>
    </w:p>
    <w:p w14:paraId="1229BE44" w14:textId="77777777" w:rsidR="00C36D76" w:rsidRPr="009E064B" w:rsidRDefault="00C36D76" w:rsidP="00B06A9A">
      <w:pPr>
        <w:tabs>
          <w:tab w:val="left" w:pos="1134"/>
        </w:tabs>
        <w:ind w:left="1134" w:hanging="567"/>
        <w:rPr>
          <w:szCs w:val="20"/>
        </w:rPr>
      </w:pPr>
      <w:r w:rsidRPr="009E064B">
        <w:rPr>
          <w:rFonts w:cs="Times New Roman"/>
          <w:szCs w:val="20"/>
        </w:rPr>
        <w:t>(20)</w:t>
      </w:r>
      <w:r w:rsidRPr="009E064B">
        <w:rPr>
          <w:rFonts w:cs="Times New Roman"/>
          <w:szCs w:val="20"/>
        </w:rPr>
        <w:tab/>
      </w:r>
      <w:r w:rsidRPr="009E064B">
        <w:rPr>
          <w:rFonts w:eastAsia="Times New Roman,Italic" w:cs="Times New Roman,Italic"/>
          <w:iCs/>
          <w:szCs w:val="20"/>
        </w:rPr>
        <w:t xml:space="preserve">Jeżeli instrukcja lub informacja ma zastosowanie jedynie w określonych </w:t>
      </w:r>
      <w:r w:rsidRPr="009E064B">
        <w:rPr>
          <w:szCs w:val="20"/>
        </w:rPr>
        <w:t>przedziałach</w:t>
      </w:r>
      <w:r w:rsidRPr="009E064B">
        <w:rPr>
          <w:rFonts w:eastAsia="Times New Roman,Italic" w:cs="Times New Roman,Italic"/>
          <w:iCs/>
          <w:szCs w:val="20"/>
        </w:rPr>
        <w:t xml:space="preserve"> czasu oraz/lub istnieje konieczność umieszczania zmiennej, wcześniej zdefiniowanej, treści, należy zainstalować znak pionowy o zmiennej treści.</w:t>
      </w:r>
    </w:p>
    <w:p w14:paraId="6674EC20" w14:textId="77777777" w:rsidR="00C36D76" w:rsidRPr="009E064B" w:rsidRDefault="00C36D76" w:rsidP="00B06A9A">
      <w:pPr>
        <w:tabs>
          <w:tab w:val="left" w:pos="1701"/>
        </w:tabs>
        <w:ind w:left="1701" w:hanging="567"/>
        <w:rPr>
          <w:rFonts w:eastAsia="Times New Roman,Italic" w:cs="Times New Roman,Italic"/>
          <w:iCs/>
          <w:szCs w:val="20"/>
        </w:rPr>
      </w:pPr>
      <w:r w:rsidRPr="009E064B">
        <w:rPr>
          <w:rFonts w:cs="Times New Roman"/>
          <w:szCs w:val="20"/>
        </w:rPr>
        <w:t xml:space="preserve">(i) </w:t>
      </w:r>
      <w:r w:rsidRPr="009E064B">
        <w:rPr>
          <w:rFonts w:cs="Times New Roman"/>
          <w:szCs w:val="20"/>
        </w:rPr>
        <w:tab/>
      </w:r>
      <w:r w:rsidRPr="009E064B">
        <w:rPr>
          <w:szCs w:val="20"/>
        </w:rPr>
        <w:t>Znak</w:t>
      </w:r>
      <w:r w:rsidRPr="009E064B">
        <w:rPr>
          <w:rFonts w:eastAsia="Times New Roman,Italic" w:cs="Times New Roman,Italic"/>
          <w:iCs/>
          <w:szCs w:val="20"/>
        </w:rPr>
        <w:t xml:space="preserve"> pionowy o zmiennej treści nie powinien wyświetlać żadnej informacji, jeżeli nie jest w użyciu.</w:t>
      </w:r>
    </w:p>
    <w:p w14:paraId="2E937506" w14:textId="77777777" w:rsidR="00C36D76" w:rsidRPr="009E064B" w:rsidRDefault="00C36D76" w:rsidP="00B06A9A">
      <w:pPr>
        <w:tabs>
          <w:tab w:val="left" w:pos="1701"/>
        </w:tabs>
        <w:ind w:left="1701" w:hanging="567"/>
        <w:rPr>
          <w:rFonts w:eastAsia="Times New Roman,Italic" w:cs="Times New Roman,Italic"/>
          <w:iCs/>
          <w:szCs w:val="20"/>
        </w:rPr>
      </w:pPr>
      <w:r w:rsidRPr="009E064B">
        <w:rPr>
          <w:rFonts w:cs="Times New Roman"/>
          <w:szCs w:val="20"/>
        </w:rPr>
        <w:t xml:space="preserve">(ii) </w:t>
      </w:r>
      <w:r w:rsidRPr="009E064B">
        <w:rPr>
          <w:rFonts w:cs="Times New Roman"/>
          <w:szCs w:val="20"/>
        </w:rPr>
        <w:tab/>
      </w:r>
      <w:r w:rsidRPr="009E064B">
        <w:rPr>
          <w:rFonts w:eastAsia="Times New Roman,Italic" w:cs="Times New Roman,Italic"/>
          <w:iCs/>
          <w:szCs w:val="20"/>
        </w:rPr>
        <w:t xml:space="preserve">W przypadku awarii, znak pionowy o zmiennej treści nie powinien </w:t>
      </w:r>
      <w:r w:rsidRPr="009E064B">
        <w:rPr>
          <w:szCs w:val="20"/>
        </w:rPr>
        <w:t>wyświetlać</w:t>
      </w:r>
      <w:r w:rsidRPr="009E064B">
        <w:rPr>
          <w:rFonts w:eastAsia="Times New Roman,Italic" w:cs="Times New Roman,Italic"/>
          <w:iCs/>
          <w:szCs w:val="20"/>
        </w:rPr>
        <w:t xml:space="preserve"> informacji, która mogłaby prowadzić do niebezpiecznego działania podejmowanego przez pilota lub kierowcę pojazdu.</w:t>
      </w:r>
    </w:p>
    <w:p w14:paraId="69FD2225" w14:textId="77777777" w:rsidR="00C36D76" w:rsidRPr="009E064B" w:rsidRDefault="00C36D76" w:rsidP="00B06A9A">
      <w:pPr>
        <w:tabs>
          <w:tab w:val="left" w:pos="1701"/>
        </w:tabs>
        <w:ind w:left="1701" w:hanging="567"/>
        <w:rPr>
          <w:rFonts w:eastAsia="Times New Roman,Italic" w:cs="Times New Roman,Italic"/>
          <w:iCs/>
          <w:szCs w:val="20"/>
        </w:rPr>
      </w:pPr>
      <w:r w:rsidRPr="009E064B">
        <w:rPr>
          <w:rFonts w:cs="Times New Roman"/>
          <w:szCs w:val="20"/>
        </w:rPr>
        <w:t xml:space="preserve">(iii) </w:t>
      </w:r>
      <w:r w:rsidRPr="009E064B">
        <w:rPr>
          <w:rFonts w:cs="Times New Roman"/>
          <w:szCs w:val="20"/>
        </w:rPr>
        <w:tab/>
      </w:r>
      <w:r w:rsidRPr="009E064B">
        <w:rPr>
          <w:rFonts w:eastAsia="Times New Roman,Italic" w:cs="Times New Roman,Italic"/>
          <w:iCs/>
          <w:szCs w:val="20"/>
        </w:rPr>
        <w:t>Czas przerwy pomiędzy wyświetleniem jednej informacji na inną, na znaku pionowym o zmiennej treści, powinien być możliwie jak najkrótszy i nie powinien przekraczać 5 sekund.</w:t>
      </w:r>
    </w:p>
    <w:p w14:paraId="2F13E3C6" w14:textId="77777777" w:rsidR="00C36D76" w:rsidRPr="009E064B" w:rsidRDefault="00C36D76" w:rsidP="00B06A9A">
      <w:pPr>
        <w:pStyle w:val="Akapitzlist"/>
        <w:autoSpaceDE w:val="0"/>
        <w:autoSpaceDN w:val="0"/>
        <w:adjustRightInd w:val="0"/>
        <w:ind w:left="1134"/>
        <w:rPr>
          <w:rFonts w:eastAsia="Times New Roman,Italic" w:cs="Times New Roman,Italic"/>
          <w:iCs/>
          <w:szCs w:val="20"/>
        </w:rPr>
      </w:pPr>
      <w:r w:rsidRPr="009E064B">
        <w:rPr>
          <w:rFonts w:eastAsia="Times New Roman,Italic" w:cs="Times New Roman,Italic"/>
          <w:iCs/>
          <w:szCs w:val="20"/>
        </w:rPr>
        <w:t>W przypadku przesuniętego progu drogi startowej, znak identyfikacji drogi startowej może być umieszczony dla startujących samolotów.</w:t>
      </w:r>
    </w:p>
    <w:p w14:paraId="2915DFD9" w14:textId="77777777" w:rsidR="00C36D76" w:rsidRPr="009E064B" w:rsidRDefault="00C36D76" w:rsidP="00B06A9A">
      <w:pPr>
        <w:autoSpaceDE w:val="0"/>
        <w:autoSpaceDN w:val="0"/>
        <w:adjustRightInd w:val="0"/>
        <w:rPr>
          <w:rFonts w:eastAsia="Times New Roman,Italic" w:cs="Times New Roman,Italic"/>
          <w:iCs/>
          <w:szCs w:val="20"/>
          <w:lang w:eastAsia="pl-PL"/>
        </w:rPr>
      </w:pPr>
    </w:p>
    <w:p w14:paraId="47395528" w14:textId="7CE4FBD9" w:rsidR="00C36D76" w:rsidRPr="009E064B" w:rsidRDefault="00726C05" w:rsidP="00B06A9A">
      <w:pPr>
        <w:autoSpaceDE w:val="0"/>
        <w:autoSpaceDN w:val="0"/>
        <w:adjustRightInd w:val="0"/>
        <w:rPr>
          <w:rFonts w:eastAsia="Times New Roman,Italic" w:cs="Times New Roman,Italic"/>
          <w:iCs/>
          <w:szCs w:val="20"/>
        </w:rPr>
      </w:pPr>
      <w:r w:rsidRPr="009E064B">
        <w:rPr>
          <w:noProof/>
          <w:lang w:eastAsia="pl-PL"/>
        </w:rPr>
        <w:drawing>
          <wp:inline distT="0" distB="0" distL="0" distR="0" wp14:anchorId="198B028B" wp14:editId="13B5986D">
            <wp:extent cx="5760720" cy="3994429"/>
            <wp:effectExtent l="0" t="0" r="0" b="0"/>
            <wp:docPr id="6553" name="Obraz 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60720" cy="3994429"/>
                    </a:xfrm>
                    <a:prstGeom prst="rect">
                      <a:avLst/>
                    </a:prstGeom>
                    <a:noFill/>
                    <a:ln>
                      <a:noFill/>
                    </a:ln>
                  </pic:spPr>
                </pic:pic>
              </a:graphicData>
            </a:graphic>
          </wp:inline>
        </w:drawing>
      </w:r>
    </w:p>
    <w:p w14:paraId="7D84CAC0" w14:textId="77777777" w:rsidR="00C36D76" w:rsidRPr="007D1946" w:rsidRDefault="00C36D76" w:rsidP="00B06A9A">
      <w:pPr>
        <w:autoSpaceDE w:val="0"/>
        <w:autoSpaceDN w:val="0"/>
        <w:adjustRightInd w:val="0"/>
        <w:spacing w:before="240"/>
        <w:jc w:val="center"/>
        <w:rPr>
          <w:rFonts w:eastAsia="Times New Roman,Italic" w:cs="Times New Roman,Italic"/>
          <w:b/>
          <w:iCs/>
          <w:sz w:val="20"/>
          <w:szCs w:val="20"/>
        </w:rPr>
      </w:pPr>
      <w:r w:rsidRPr="007D1946">
        <w:rPr>
          <w:rFonts w:eastAsia="Times New Roman,Italic" w:cs="Times New Roman,Italic"/>
          <w:b/>
          <w:iCs/>
          <w:sz w:val="20"/>
          <w:szCs w:val="20"/>
        </w:rPr>
        <w:t>Rysunek N-1.   Punkty siatki do obliczenia średniej luminacji znaku pionowego</w:t>
      </w:r>
    </w:p>
    <w:p w14:paraId="6A63252D" w14:textId="77777777" w:rsidR="00C36D76" w:rsidRPr="009E064B" w:rsidRDefault="00C36D76" w:rsidP="00726C05">
      <w:pPr>
        <w:autoSpaceDE w:val="0"/>
        <w:autoSpaceDN w:val="0"/>
        <w:adjustRightInd w:val="0"/>
        <w:spacing w:after="0"/>
        <w:rPr>
          <w:rFonts w:eastAsia="Times New Roman,Italic" w:cs="Times New Roman,Italic"/>
          <w:iCs/>
          <w:szCs w:val="20"/>
        </w:rPr>
      </w:pPr>
    </w:p>
    <w:p w14:paraId="7896323F" w14:textId="77777777" w:rsidR="00C36D76" w:rsidRPr="009E064B" w:rsidRDefault="00C36D76" w:rsidP="00B06A9A">
      <w:pPr>
        <w:autoSpaceDE w:val="0"/>
        <w:autoSpaceDN w:val="0"/>
        <w:adjustRightInd w:val="0"/>
        <w:ind w:firstLine="426"/>
        <w:rPr>
          <w:rFonts w:eastAsia="Times New Roman,Italic" w:cs="Times New Roman,Italic"/>
          <w:iCs/>
          <w:szCs w:val="20"/>
        </w:rPr>
      </w:pPr>
      <w:r w:rsidRPr="009E064B">
        <w:rPr>
          <w:rFonts w:eastAsia="Times New Roman,Italic" w:cs="Times New Roman,Italic"/>
          <w:iCs/>
          <w:szCs w:val="20"/>
        </w:rPr>
        <w:t>Uwaga 1: Średnią luminancję znaku oblicza się poprzez wyznaczenie siatki punków na licu znaku posiadającego typowe napisy oraz tło odpowiedniego koloru (czerwony w przypadku znaków nakazu oraz żółty dla znaków kierunku i znaków wskazujących miejsce przeznaczenia, zgodnie z poniższymi zasadami:</w:t>
      </w:r>
    </w:p>
    <w:p w14:paraId="3512813D" w14:textId="77777777" w:rsidR="00C36D76" w:rsidRPr="009E064B" w:rsidRDefault="00C36D76" w:rsidP="00B06A9A">
      <w:pPr>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Począwszy od lewego górnego rogu lica znaku, wyznaczyć punkt odniesienia siatki w odległości 7.5 cm od lewej i górnej krawędzi lica znaku.</w:t>
      </w:r>
    </w:p>
    <w:p w14:paraId="21F4DFCC" w14:textId="77777777" w:rsidR="00C36D76" w:rsidRPr="009E064B" w:rsidRDefault="00C36D76" w:rsidP="00B06A9A">
      <w:pPr>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(b) </w:t>
      </w:r>
      <w:r w:rsidRPr="009E064B">
        <w:rPr>
          <w:rFonts w:eastAsia="Times New Roman,Italic" w:cs="Times New Roman,Italic"/>
          <w:iCs/>
          <w:szCs w:val="20"/>
        </w:rPr>
        <w:tab/>
        <w:t>Stworzyć siatkę punktów w rozstawie 15 cm w pionie i poziomie począwszy od punktu odniesienia. Punkty siatki leżące w odległości 7.5 cm od krawędzi lica znaku należy wykluczyć.</w:t>
      </w:r>
    </w:p>
    <w:p w14:paraId="4A3A5865" w14:textId="77777777" w:rsidR="00C36D76" w:rsidRPr="009E064B" w:rsidRDefault="00C36D76" w:rsidP="00B06A9A">
      <w:pPr>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(c) </w:t>
      </w:r>
      <w:r w:rsidRPr="009E064B">
        <w:rPr>
          <w:rFonts w:eastAsia="Times New Roman,Italic" w:cs="Times New Roman,Italic"/>
          <w:iCs/>
          <w:szCs w:val="20"/>
        </w:rPr>
        <w:tab/>
        <w:t>Jeżeli ostatni punkt w rzędzie lub kolumnie znajduje się w odległości miedzy 22.5 cm i 15 cm od krawędzi lica znaku (wyłącznie), wówczas należy dodać dodatkowy punkt w odległości 7.5 cm od tego punktu.</w:t>
      </w:r>
    </w:p>
    <w:p w14:paraId="3B5DF8E0" w14:textId="77777777" w:rsidR="00C36D76" w:rsidRPr="009E064B" w:rsidRDefault="00C36D76" w:rsidP="00B06A9A">
      <w:pPr>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(d) </w:t>
      </w:r>
      <w:r w:rsidRPr="009E064B">
        <w:rPr>
          <w:rFonts w:eastAsia="Times New Roman,Italic" w:cs="Times New Roman,Italic"/>
          <w:iCs/>
          <w:szCs w:val="20"/>
        </w:rPr>
        <w:tab/>
        <w:t>Jeżeli punkty siatki leżą na granicy litery/cyfry oraz tła, wówczas taki punkt siatki należy nieco przesunąć tak, aby znajdował się całkowicie poza literą/cyfrą.</w:t>
      </w:r>
    </w:p>
    <w:p w14:paraId="1F218F94" w14:textId="4ED808EC" w:rsidR="00C36D76" w:rsidRPr="009E064B" w:rsidRDefault="00C20FCB" w:rsidP="00B06A9A">
      <w:pPr>
        <w:autoSpaceDE w:val="0"/>
        <w:autoSpaceDN w:val="0"/>
        <w:adjustRightInd w:val="0"/>
        <w:ind w:firstLine="426"/>
        <w:rPr>
          <w:rFonts w:eastAsia="Times New Roman,Italic" w:cs="Times New Roman,Italic"/>
          <w:iCs/>
          <w:szCs w:val="20"/>
        </w:rPr>
      </w:pPr>
      <w:r w:rsidRPr="009E064B">
        <w:rPr>
          <w:rFonts w:eastAsia="Times New Roman,Italic" w:cs="Times New Roman,Italic"/>
          <w:iCs/>
          <w:szCs w:val="20"/>
        </w:rPr>
        <w:t>Uwaga </w:t>
      </w:r>
      <w:r w:rsidR="00C36D76" w:rsidRPr="009E064B">
        <w:rPr>
          <w:rFonts w:eastAsia="Times New Roman,Italic" w:cs="Times New Roman,Italic"/>
          <w:iCs/>
          <w:szCs w:val="20"/>
        </w:rPr>
        <w:t>2. Może zaistnieć konieczność dodania kolejnych punktów siatki w celu uzyskania pewności, że każda litera/cyfra zawiera przynajmniej pięć, równo oddalonych od siebie punktów siatki.</w:t>
      </w:r>
    </w:p>
    <w:p w14:paraId="658DF150" w14:textId="521A8B99" w:rsidR="00C36D76" w:rsidRPr="009E064B" w:rsidRDefault="00C20FCB" w:rsidP="00B06A9A">
      <w:pPr>
        <w:autoSpaceDE w:val="0"/>
        <w:autoSpaceDN w:val="0"/>
        <w:adjustRightInd w:val="0"/>
        <w:ind w:firstLine="426"/>
        <w:rPr>
          <w:rFonts w:eastAsia="Times New Roman,Italic" w:cs="Times New Roman,Italic"/>
          <w:iCs/>
          <w:szCs w:val="20"/>
        </w:rPr>
      </w:pPr>
      <w:r w:rsidRPr="009E064B">
        <w:rPr>
          <w:rFonts w:eastAsia="Times New Roman,Italic" w:cs="Times New Roman,Italic"/>
          <w:iCs/>
          <w:szCs w:val="20"/>
        </w:rPr>
        <w:t>Uwaga </w:t>
      </w:r>
      <w:r w:rsidR="00C36D76" w:rsidRPr="009E064B">
        <w:rPr>
          <w:rFonts w:eastAsia="Times New Roman,Italic" w:cs="Times New Roman,Italic"/>
          <w:iCs/>
          <w:szCs w:val="20"/>
        </w:rPr>
        <w:t>3. W przypadku, gdy jedna jednostka zawiera dwa rodzaje znaków, należy ustanowić oddzielne siatki dla każdego ich rodzaju.</w:t>
      </w:r>
    </w:p>
    <w:p w14:paraId="116F6E05" w14:textId="77777777" w:rsidR="00C36D76" w:rsidRPr="009E064B" w:rsidRDefault="00C36D76" w:rsidP="00B06A9A">
      <w:pPr>
        <w:autoSpaceDE w:val="0"/>
        <w:autoSpaceDN w:val="0"/>
        <w:adjustRightInd w:val="0"/>
        <w:rPr>
          <w:rFonts w:eastAsia="Times New Roman,Italic" w:cs="Times New Roman,Italic"/>
          <w:iCs/>
          <w:szCs w:val="20"/>
        </w:rPr>
      </w:pPr>
    </w:p>
    <w:p w14:paraId="7ADC7521" w14:textId="77777777" w:rsidR="00C36D76" w:rsidRPr="009E064B" w:rsidRDefault="00C36D76" w:rsidP="00B06A9A">
      <w:pPr>
        <w:spacing w:after="200"/>
        <w:jc w:val="left"/>
        <w:rPr>
          <w:b/>
          <w:szCs w:val="20"/>
        </w:rPr>
      </w:pPr>
    </w:p>
    <w:p w14:paraId="76865F7B" w14:textId="77777777" w:rsidR="00C36D76" w:rsidRPr="009E064B" w:rsidRDefault="00C36D76" w:rsidP="00B06A9A">
      <w:pPr>
        <w:rPr>
          <w:b/>
          <w:szCs w:val="20"/>
        </w:rPr>
      </w:pPr>
    </w:p>
    <w:p w14:paraId="1C09F27D" w14:textId="7AD2ECC4" w:rsidR="00C36D76" w:rsidRPr="009E064B" w:rsidRDefault="00435705" w:rsidP="00B06A9A">
      <w:pPr>
        <w:rPr>
          <w:b/>
          <w:szCs w:val="20"/>
        </w:rPr>
      </w:pPr>
      <w:r w:rsidRPr="009E064B">
        <w:rPr>
          <w:b/>
          <w:noProof/>
          <w:szCs w:val="20"/>
          <w:lang w:eastAsia="pl-PL"/>
        </w:rPr>
        <w:drawing>
          <wp:inline distT="0" distB="0" distL="0" distR="0" wp14:anchorId="4618321C" wp14:editId="2EEDFB6A">
            <wp:extent cx="5767070" cy="7468235"/>
            <wp:effectExtent l="0" t="0" r="5080" b="0"/>
            <wp:docPr id="2404" name="Obraz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7070" cy="7468235"/>
                    </a:xfrm>
                    <a:prstGeom prst="rect">
                      <a:avLst/>
                    </a:prstGeom>
                    <a:noFill/>
                  </pic:spPr>
                </pic:pic>
              </a:graphicData>
            </a:graphic>
          </wp:inline>
        </w:drawing>
      </w:r>
    </w:p>
    <w:p w14:paraId="44A8622D" w14:textId="77777777" w:rsidR="00C36D76" w:rsidRPr="009E064B" w:rsidRDefault="00C36D76" w:rsidP="00B06A9A">
      <w:pPr>
        <w:spacing w:after="0"/>
        <w:jc w:val="center"/>
      </w:pPr>
    </w:p>
    <w:p w14:paraId="0ACB3E1B" w14:textId="77777777" w:rsidR="00C36D76" w:rsidRPr="00351FED" w:rsidRDefault="00C36D76" w:rsidP="00B06A9A">
      <w:pPr>
        <w:spacing w:after="0"/>
        <w:ind w:right="10"/>
        <w:jc w:val="center"/>
        <w:rPr>
          <w:b/>
          <w:sz w:val="20"/>
        </w:rPr>
      </w:pPr>
      <w:r w:rsidRPr="00351FED">
        <w:rPr>
          <w:b/>
          <w:sz w:val="20"/>
        </w:rPr>
        <w:t>Rysunek N-2A.  Kształty liter i cyfr dla znaków pionowych</w:t>
      </w:r>
    </w:p>
    <w:p w14:paraId="321A388C" w14:textId="77777777" w:rsidR="00C36D76" w:rsidRPr="009E064B" w:rsidRDefault="00C36D76" w:rsidP="00B06A9A">
      <w:pPr>
        <w:spacing w:after="200"/>
        <w:jc w:val="left"/>
        <w:rPr>
          <w:b/>
          <w:szCs w:val="20"/>
        </w:rPr>
      </w:pPr>
      <w:r w:rsidRPr="009E064B">
        <w:rPr>
          <w:b/>
          <w:szCs w:val="20"/>
        </w:rPr>
        <w:br w:type="page"/>
      </w:r>
    </w:p>
    <w:p w14:paraId="32F8292E" w14:textId="77777777" w:rsidR="00C36D76" w:rsidRPr="009E064B" w:rsidRDefault="00C36D76" w:rsidP="00B06A9A">
      <w:pPr>
        <w:rPr>
          <w:b/>
          <w:szCs w:val="20"/>
        </w:rPr>
      </w:pPr>
    </w:p>
    <w:p w14:paraId="755086C6" w14:textId="015CF6E3" w:rsidR="00C36D76" w:rsidRPr="009E064B" w:rsidRDefault="00435705" w:rsidP="00B06A9A">
      <w:pPr>
        <w:rPr>
          <w:b/>
          <w:szCs w:val="20"/>
        </w:rPr>
      </w:pPr>
      <w:r w:rsidRPr="009E064B">
        <w:rPr>
          <w:b/>
          <w:noProof/>
          <w:szCs w:val="20"/>
          <w:lang w:eastAsia="pl-PL"/>
        </w:rPr>
        <w:drawing>
          <wp:inline distT="0" distB="0" distL="0" distR="0" wp14:anchorId="3C47AF0F" wp14:editId="7CDB3A6A">
            <wp:extent cx="5767070" cy="7407275"/>
            <wp:effectExtent l="0" t="0" r="5080" b="3175"/>
            <wp:docPr id="2405" name="Obraz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7070" cy="7407275"/>
                    </a:xfrm>
                    <a:prstGeom prst="rect">
                      <a:avLst/>
                    </a:prstGeom>
                    <a:noFill/>
                  </pic:spPr>
                </pic:pic>
              </a:graphicData>
            </a:graphic>
          </wp:inline>
        </w:drawing>
      </w:r>
    </w:p>
    <w:p w14:paraId="2D4F5B8F" w14:textId="77777777" w:rsidR="00C36D76" w:rsidRPr="009E064B" w:rsidRDefault="00C36D76" w:rsidP="00B06A9A">
      <w:pPr>
        <w:rPr>
          <w:szCs w:val="20"/>
        </w:rPr>
      </w:pPr>
    </w:p>
    <w:p w14:paraId="587839B7" w14:textId="77777777" w:rsidR="00C36D76" w:rsidRPr="00351FED" w:rsidRDefault="00C36D76" w:rsidP="00B06A9A">
      <w:pPr>
        <w:spacing w:after="0"/>
        <w:ind w:right="10"/>
        <w:jc w:val="center"/>
        <w:rPr>
          <w:b/>
          <w:sz w:val="20"/>
        </w:rPr>
      </w:pPr>
      <w:r w:rsidRPr="00351FED">
        <w:rPr>
          <w:b/>
          <w:sz w:val="20"/>
        </w:rPr>
        <w:t>Rysunek N-2B.  Kształty liter i cyfr dla znaków pionowych</w:t>
      </w:r>
    </w:p>
    <w:p w14:paraId="174B073C" w14:textId="77777777" w:rsidR="00C36D76" w:rsidRPr="009E064B" w:rsidRDefault="00C36D76" w:rsidP="00B06A9A">
      <w:pPr>
        <w:spacing w:after="200"/>
        <w:jc w:val="left"/>
        <w:rPr>
          <w:szCs w:val="20"/>
        </w:rPr>
      </w:pPr>
      <w:r w:rsidRPr="009E064B">
        <w:rPr>
          <w:b/>
          <w:szCs w:val="20"/>
        </w:rPr>
        <w:br w:type="page"/>
      </w:r>
    </w:p>
    <w:p w14:paraId="346155E6" w14:textId="77777777" w:rsidR="00C36D76" w:rsidRPr="009E064B" w:rsidRDefault="00C36D76" w:rsidP="00B06A9A">
      <w:pPr>
        <w:rPr>
          <w:b/>
          <w:szCs w:val="20"/>
        </w:rPr>
      </w:pPr>
    </w:p>
    <w:p w14:paraId="15292EE0" w14:textId="554D73CE" w:rsidR="00C36D76" w:rsidRPr="009E064B" w:rsidRDefault="00435705" w:rsidP="00B06A9A">
      <w:pPr>
        <w:jc w:val="center"/>
        <w:rPr>
          <w:b/>
          <w:szCs w:val="20"/>
        </w:rPr>
      </w:pPr>
      <w:r w:rsidRPr="009E064B">
        <w:rPr>
          <w:b/>
          <w:noProof/>
          <w:szCs w:val="20"/>
          <w:lang w:eastAsia="pl-PL"/>
        </w:rPr>
        <w:drawing>
          <wp:inline distT="0" distB="0" distL="0" distR="0" wp14:anchorId="7887B444" wp14:editId="05241BDC">
            <wp:extent cx="5761355" cy="7444105"/>
            <wp:effectExtent l="0" t="0" r="0" b="4445"/>
            <wp:docPr id="2406" name="Obraz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1355" cy="7444105"/>
                    </a:xfrm>
                    <a:prstGeom prst="rect">
                      <a:avLst/>
                    </a:prstGeom>
                    <a:noFill/>
                  </pic:spPr>
                </pic:pic>
              </a:graphicData>
            </a:graphic>
          </wp:inline>
        </w:drawing>
      </w:r>
    </w:p>
    <w:p w14:paraId="67F80470" w14:textId="77777777" w:rsidR="00C36D76" w:rsidRPr="009E064B" w:rsidRDefault="00C36D76" w:rsidP="00B06A9A">
      <w:pPr>
        <w:rPr>
          <w:szCs w:val="20"/>
        </w:rPr>
      </w:pPr>
    </w:p>
    <w:p w14:paraId="30CF3E51" w14:textId="77777777" w:rsidR="00C36D76" w:rsidRPr="00351FED" w:rsidRDefault="00C36D76" w:rsidP="00B06A9A">
      <w:pPr>
        <w:spacing w:after="0"/>
        <w:ind w:right="10"/>
        <w:jc w:val="center"/>
        <w:rPr>
          <w:b/>
          <w:sz w:val="20"/>
        </w:rPr>
      </w:pPr>
      <w:r w:rsidRPr="00351FED">
        <w:rPr>
          <w:b/>
          <w:sz w:val="20"/>
        </w:rPr>
        <w:t>Rysunek N-2C.  Kształty liter i cyfr dla znaków pionowych</w:t>
      </w:r>
    </w:p>
    <w:p w14:paraId="1996660C" w14:textId="77777777" w:rsidR="00C36D76" w:rsidRPr="009E064B" w:rsidRDefault="00C36D76" w:rsidP="00B06A9A">
      <w:pPr>
        <w:spacing w:after="200"/>
        <w:jc w:val="left"/>
        <w:rPr>
          <w:b/>
          <w:szCs w:val="20"/>
        </w:rPr>
      </w:pPr>
      <w:r w:rsidRPr="009E064B">
        <w:rPr>
          <w:b/>
          <w:szCs w:val="20"/>
        </w:rPr>
        <w:br w:type="page"/>
      </w:r>
    </w:p>
    <w:p w14:paraId="39D58BD0" w14:textId="77777777" w:rsidR="00C36D76" w:rsidRPr="009E064B" w:rsidRDefault="00C36D76" w:rsidP="00B06A9A">
      <w:pPr>
        <w:rPr>
          <w:b/>
          <w:szCs w:val="20"/>
        </w:rPr>
      </w:pPr>
    </w:p>
    <w:p w14:paraId="50617FE8" w14:textId="49BB31FD" w:rsidR="00C36D76" w:rsidRPr="009E064B" w:rsidRDefault="00435705" w:rsidP="00B06A9A">
      <w:pPr>
        <w:jc w:val="center"/>
        <w:rPr>
          <w:b/>
          <w:szCs w:val="20"/>
        </w:rPr>
      </w:pPr>
      <w:r w:rsidRPr="009E064B">
        <w:rPr>
          <w:b/>
          <w:noProof/>
          <w:szCs w:val="20"/>
          <w:lang w:eastAsia="pl-PL"/>
        </w:rPr>
        <w:drawing>
          <wp:inline distT="0" distB="0" distL="0" distR="0" wp14:anchorId="03F7518D" wp14:editId="4FDC1916">
            <wp:extent cx="5767070" cy="7449820"/>
            <wp:effectExtent l="0" t="0" r="5080" b="0"/>
            <wp:docPr id="2407" name="Obraz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7070" cy="7449820"/>
                    </a:xfrm>
                    <a:prstGeom prst="rect">
                      <a:avLst/>
                    </a:prstGeom>
                    <a:noFill/>
                  </pic:spPr>
                </pic:pic>
              </a:graphicData>
            </a:graphic>
          </wp:inline>
        </w:drawing>
      </w:r>
    </w:p>
    <w:p w14:paraId="4774BCD9" w14:textId="77777777" w:rsidR="00C36D76" w:rsidRPr="009E064B" w:rsidRDefault="00C36D76" w:rsidP="00B06A9A">
      <w:pPr>
        <w:rPr>
          <w:szCs w:val="20"/>
        </w:rPr>
      </w:pPr>
    </w:p>
    <w:p w14:paraId="647DBB4E" w14:textId="77777777" w:rsidR="00C36D76" w:rsidRPr="00351FED" w:rsidRDefault="00C36D76" w:rsidP="00B06A9A">
      <w:pPr>
        <w:spacing w:after="0"/>
        <w:ind w:right="10"/>
        <w:jc w:val="center"/>
        <w:rPr>
          <w:b/>
          <w:sz w:val="20"/>
        </w:rPr>
      </w:pPr>
      <w:r w:rsidRPr="00351FED">
        <w:rPr>
          <w:b/>
          <w:sz w:val="20"/>
        </w:rPr>
        <w:t>Rysunek N-2D.  Kształty liter i cyfr dla znaków pionowych</w:t>
      </w:r>
    </w:p>
    <w:p w14:paraId="46877D72" w14:textId="77777777" w:rsidR="00C36D76" w:rsidRPr="009E064B" w:rsidRDefault="00C36D76" w:rsidP="00B06A9A">
      <w:pPr>
        <w:spacing w:after="200"/>
        <w:jc w:val="left"/>
        <w:rPr>
          <w:b/>
          <w:szCs w:val="20"/>
        </w:rPr>
      </w:pPr>
      <w:r w:rsidRPr="009E064B">
        <w:rPr>
          <w:b/>
          <w:szCs w:val="20"/>
        </w:rPr>
        <w:br w:type="page"/>
      </w:r>
    </w:p>
    <w:p w14:paraId="56E45DA6" w14:textId="40019AFB" w:rsidR="00C36D76" w:rsidRPr="009E064B" w:rsidRDefault="00435705" w:rsidP="00B06A9A">
      <w:pPr>
        <w:rPr>
          <w:b/>
          <w:szCs w:val="20"/>
        </w:rPr>
      </w:pPr>
      <w:r w:rsidRPr="009E064B">
        <w:rPr>
          <w:b/>
          <w:noProof/>
          <w:szCs w:val="20"/>
          <w:lang w:eastAsia="pl-PL"/>
        </w:rPr>
        <w:drawing>
          <wp:inline distT="0" distB="0" distL="0" distR="0" wp14:anchorId="5C9C8186" wp14:editId="497F9EF3">
            <wp:extent cx="5767070" cy="7480300"/>
            <wp:effectExtent l="0" t="0" r="5080" b="6350"/>
            <wp:docPr id="2408" name="Obraz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7070" cy="7480300"/>
                    </a:xfrm>
                    <a:prstGeom prst="rect">
                      <a:avLst/>
                    </a:prstGeom>
                    <a:noFill/>
                  </pic:spPr>
                </pic:pic>
              </a:graphicData>
            </a:graphic>
          </wp:inline>
        </w:drawing>
      </w:r>
    </w:p>
    <w:p w14:paraId="11E97DFA" w14:textId="270C4FDC" w:rsidR="00C36D76" w:rsidRPr="009E064B" w:rsidRDefault="00C36D76" w:rsidP="00B06A9A">
      <w:pPr>
        <w:rPr>
          <w:b/>
          <w:szCs w:val="20"/>
        </w:rPr>
      </w:pPr>
    </w:p>
    <w:p w14:paraId="249F4B79" w14:textId="77777777" w:rsidR="00C36D76" w:rsidRPr="00351FED" w:rsidRDefault="00C36D76" w:rsidP="00B06A9A">
      <w:pPr>
        <w:spacing w:after="0"/>
        <w:ind w:right="10"/>
        <w:jc w:val="center"/>
        <w:rPr>
          <w:b/>
          <w:sz w:val="20"/>
        </w:rPr>
      </w:pPr>
      <w:r w:rsidRPr="00351FED">
        <w:rPr>
          <w:b/>
          <w:sz w:val="20"/>
        </w:rPr>
        <w:t>Rysunek N-2E.  Kształty liter i cyfr dla znaków pionowych</w:t>
      </w:r>
    </w:p>
    <w:p w14:paraId="0E1F1556" w14:textId="77777777" w:rsidR="00C36D76" w:rsidRPr="009E064B" w:rsidRDefault="00C36D76" w:rsidP="00B06A9A">
      <w:pPr>
        <w:spacing w:after="200"/>
        <w:jc w:val="left"/>
        <w:rPr>
          <w:b/>
          <w:szCs w:val="20"/>
        </w:rPr>
      </w:pPr>
      <w:r w:rsidRPr="009E064B">
        <w:rPr>
          <w:b/>
          <w:szCs w:val="20"/>
        </w:rPr>
        <w:br w:type="page"/>
      </w:r>
    </w:p>
    <w:p w14:paraId="241A38F1" w14:textId="65FB4074" w:rsidR="00C36D76" w:rsidRPr="009E064B" w:rsidRDefault="001B684F" w:rsidP="00B06A9A">
      <w:pPr>
        <w:rPr>
          <w:szCs w:val="20"/>
        </w:rPr>
      </w:pPr>
      <w:r w:rsidRPr="009E064B">
        <w:rPr>
          <w:iCs/>
          <w:noProof/>
          <w:lang w:eastAsia="pl-PL"/>
        </w:rPr>
        <w:drawing>
          <wp:inline distT="0" distB="0" distL="0" distR="0" wp14:anchorId="3A6121A3" wp14:editId="127248B9">
            <wp:extent cx="5760085" cy="1833245"/>
            <wp:effectExtent l="0" t="0" r="0" b="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60085" cy="1833245"/>
                    </a:xfrm>
                    <a:prstGeom prst="rect">
                      <a:avLst/>
                    </a:prstGeom>
                    <a:noFill/>
                    <a:ln>
                      <a:noFill/>
                    </a:ln>
                  </pic:spPr>
                </pic:pic>
              </a:graphicData>
            </a:graphic>
          </wp:inline>
        </w:drawing>
      </w:r>
    </w:p>
    <w:p w14:paraId="7BA355E7" w14:textId="77777777" w:rsidR="001B684F" w:rsidRPr="00351FED" w:rsidRDefault="001B684F" w:rsidP="001B684F">
      <w:pPr>
        <w:spacing w:after="0"/>
        <w:jc w:val="center"/>
        <w:rPr>
          <w:b/>
          <w:iCs/>
          <w:sz w:val="20"/>
        </w:rPr>
      </w:pPr>
      <w:r w:rsidRPr="00351FED">
        <w:rPr>
          <w:b/>
          <w:sz w:val="20"/>
          <w:szCs w:val="20"/>
        </w:rPr>
        <w:t xml:space="preserve">Rysunek N-2F.   </w:t>
      </w:r>
      <w:r w:rsidRPr="00351FED">
        <w:rPr>
          <w:b/>
          <w:iCs/>
          <w:sz w:val="20"/>
        </w:rPr>
        <w:t>Znak opuszczenia drogi startowej (z typowym znakiem lokalizacji)</w:t>
      </w:r>
    </w:p>
    <w:p w14:paraId="29E79D19" w14:textId="68CFE0CE" w:rsidR="001B684F" w:rsidRPr="009E064B" w:rsidRDefault="001B684F" w:rsidP="00B06A9A">
      <w:pPr>
        <w:rPr>
          <w:szCs w:val="20"/>
        </w:rPr>
      </w:pPr>
    </w:p>
    <w:p w14:paraId="09F030E1" w14:textId="0286C4C4" w:rsidR="00061BB2" w:rsidRPr="009E064B" w:rsidRDefault="00061BB2" w:rsidP="00B06A9A">
      <w:pPr>
        <w:rPr>
          <w:szCs w:val="20"/>
        </w:rPr>
      </w:pPr>
    </w:p>
    <w:p w14:paraId="073731ED" w14:textId="77777777" w:rsidR="00061BB2" w:rsidRPr="009E064B" w:rsidRDefault="00061BB2" w:rsidP="00B06A9A">
      <w:pPr>
        <w:rPr>
          <w:szCs w:val="20"/>
        </w:rPr>
      </w:pPr>
    </w:p>
    <w:p w14:paraId="20BFCC95" w14:textId="678662F4" w:rsidR="00C36D76" w:rsidRPr="009E064B" w:rsidRDefault="00D23213" w:rsidP="00EE2E0D">
      <w:pPr>
        <w:spacing w:after="0"/>
        <w:jc w:val="center"/>
        <w:rPr>
          <w:szCs w:val="20"/>
        </w:rPr>
      </w:pPr>
      <w:r w:rsidRPr="009E064B">
        <w:rPr>
          <w:iCs/>
          <w:noProof/>
          <w:lang w:eastAsia="pl-PL"/>
        </w:rPr>
        <w:drawing>
          <wp:inline distT="0" distB="0" distL="0" distR="0" wp14:anchorId="18C08203" wp14:editId="2C487EEA">
            <wp:extent cx="3725545" cy="2611755"/>
            <wp:effectExtent l="0" t="0" r="8255" b="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25545" cy="2611755"/>
                    </a:xfrm>
                    <a:prstGeom prst="rect">
                      <a:avLst/>
                    </a:prstGeom>
                    <a:noFill/>
                    <a:ln>
                      <a:noFill/>
                    </a:ln>
                  </pic:spPr>
                </pic:pic>
              </a:graphicData>
            </a:graphic>
          </wp:inline>
        </w:drawing>
      </w:r>
    </w:p>
    <w:p w14:paraId="743997F8" w14:textId="77777777" w:rsidR="00D23213" w:rsidRPr="009E064B" w:rsidRDefault="00D23213" w:rsidP="00B06A9A">
      <w:pPr>
        <w:spacing w:after="0"/>
        <w:ind w:right="10"/>
        <w:jc w:val="center"/>
      </w:pPr>
    </w:p>
    <w:p w14:paraId="7918356F" w14:textId="77777777" w:rsidR="00C36D76" w:rsidRPr="00351FED" w:rsidRDefault="00C36D76" w:rsidP="00B06A9A">
      <w:pPr>
        <w:spacing w:after="0"/>
        <w:ind w:right="10"/>
        <w:jc w:val="center"/>
        <w:rPr>
          <w:b/>
          <w:sz w:val="20"/>
        </w:rPr>
      </w:pPr>
      <w:r w:rsidRPr="00351FED">
        <w:rPr>
          <w:b/>
          <w:sz w:val="20"/>
        </w:rPr>
        <w:t>Rysunek N-2G.  Znak zakazu wjazdu „NO ENTRY”</w:t>
      </w:r>
    </w:p>
    <w:p w14:paraId="30C6E434" w14:textId="77777777" w:rsidR="00C36D76" w:rsidRPr="009E064B" w:rsidRDefault="00C36D76" w:rsidP="00B06A9A">
      <w:pPr>
        <w:rPr>
          <w:szCs w:val="20"/>
        </w:rPr>
      </w:pPr>
    </w:p>
    <w:p w14:paraId="592D628D" w14:textId="7A0F978F" w:rsidR="00351FED" w:rsidRDefault="00351FED">
      <w:pPr>
        <w:spacing w:after="0"/>
        <w:jc w:val="left"/>
        <w:rPr>
          <w:b/>
          <w:szCs w:val="20"/>
        </w:rPr>
      </w:pPr>
      <w:r>
        <w:rPr>
          <w:b/>
          <w:szCs w:val="20"/>
        </w:rPr>
        <w:br w:type="page"/>
      </w:r>
    </w:p>
    <w:p w14:paraId="433647A7" w14:textId="77777777" w:rsidR="00C36D76" w:rsidRPr="009E064B" w:rsidRDefault="00C36D76" w:rsidP="00B06A9A">
      <w:pPr>
        <w:spacing w:after="200"/>
        <w:jc w:val="left"/>
        <w:rPr>
          <w:b/>
          <w:szCs w:val="20"/>
        </w:rPr>
      </w:pPr>
    </w:p>
    <w:p w14:paraId="25C4F710" w14:textId="7CCF484B" w:rsidR="00C36D76" w:rsidRPr="009E064B" w:rsidRDefault="00435705" w:rsidP="00B06A9A">
      <w:pPr>
        <w:jc w:val="center"/>
        <w:rPr>
          <w:b/>
          <w:szCs w:val="20"/>
        </w:rPr>
      </w:pPr>
      <w:r w:rsidRPr="009E064B">
        <w:rPr>
          <w:b/>
          <w:noProof/>
          <w:szCs w:val="20"/>
          <w:lang w:eastAsia="pl-PL"/>
        </w:rPr>
        <w:drawing>
          <wp:inline distT="0" distB="0" distL="0" distR="0" wp14:anchorId="7F6EF390" wp14:editId="19481160">
            <wp:extent cx="3115310" cy="2590800"/>
            <wp:effectExtent l="0" t="0" r="8890" b="0"/>
            <wp:docPr id="2413" name="Obraz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15310" cy="2590800"/>
                    </a:xfrm>
                    <a:prstGeom prst="rect">
                      <a:avLst/>
                    </a:prstGeom>
                    <a:noFill/>
                  </pic:spPr>
                </pic:pic>
              </a:graphicData>
            </a:graphic>
          </wp:inline>
        </w:drawing>
      </w:r>
    </w:p>
    <w:p w14:paraId="0CEE1726" w14:textId="77777777" w:rsidR="00C36D76" w:rsidRPr="009E064B" w:rsidRDefault="00C36D76" w:rsidP="00061BB2">
      <w:pPr>
        <w:spacing w:before="240"/>
        <w:ind w:firstLine="425"/>
        <w:rPr>
          <w:rFonts w:eastAsia="Times New Roman,Italic" w:cs="Times New Roman,Italic"/>
          <w:iCs/>
          <w:szCs w:val="20"/>
        </w:rPr>
      </w:pPr>
      <w:r w:rsidRPr="009E064B">
        <w:rPr>
          <w:rFonts w:eastAsia="Times New Roman,Italic" w:cs="Times New Roman,Italic"/>
          <w:iCs/>
          <w:szCs w:val="20"/>
        </w:rPr>
        <w:t>Uwaga 1. – Szerokość linii strzałki, średnica kropki oraz szerokość i długość myślnika, powinny być proporcjonalne do szerokości linii liter i cyfr.</w:t>
      </w:r>
    </w:p>
    <w:p w14:paraId="24FAB1D2" w14:textId="77777777" w:rsidR="00C36D76" w:rsidRPr="009E064B" w:rsidRDefault="00C36D76" w:rsidP="00FC3455">
      <w:pPr>
        <w:spacing w:after="0"/>
        <w:ind w:firstLine="425"/>
        <w:rPr>
          <w:b/>
          <w:szCs w:val="20"/>
        </w:rPr>
      </w:pPr>
      <w:r w:rsidRPr="009E064B">
        <w:rPr>
          <w:rFonts w:eastAsia="Times New Roman,Italic" w:cs="Times New Roman,Italic"/>
          <w:iCs/>
          <w:szCs w:val="20"/>
        </w:rPr>
        <w:t>Uwaga 2. – Wymiary strzałki powinny pozostać stałe dla konkretnego rozmiaru znaku, bez względu na jej orientację.</w:t>
      </w:r>
    </w:p>
    <w:p w14:paraId="408494CA" w14:textId="77777777" w:rsidR="00C36D76" w:rsidRPr="009E064B" w:rsidRDefault="00C36D76" w:rsidP="00061BB2">
      <w:pPr>
        <w:spacing w:after="0"/>
        <w:rPr>
          <w:szCs w:val="20"/>
        </w:rPr>
      </w:pPr>
    </w:p>
    <w:p w14:paraId="394CD882" w14:textId="77777777" w:rsidR="00C36D76" w:rsidRPr="00351FED" w:rsidRDefault="00C36D76" w:rsidP="00B06A9A">
      <w:pPr>
        <w:spacing w:after="0"/>
        <w:ind w:right="10"/>
        <w:jc w:val="center"/>
        <w:rPr>
          <w:b/>
          <w:sz w:val="20"/>
        </w:rPr>
      </w:pPr>
      <w:r w:rsidRPr="00351FED">
        <w:rPr>
          <w:b/>
          <w:sz w:val="20"/>
        </w:rPr>
        <w:t>Rysunek N-2H.  Kształt strzałki innych symboli dla znaków pionowych</w:t>
      </w:r>
    </w:p>
    <w:p w14:paraId="541AC5DF" w14:textId="77777777" w:rsidR="00C36D76" w:rsidRPr="009E064B" w:rsidRDefault="00C36D76" w:rsidP="00B06A9A">
      <w:pPr>
        <w:rPr>
          <w:szCs w:val="20"/>
        </w:rPr>
      </w:pPr>
    </w:p>
    <w:p w14:paraId="2225E344" w14:textId="746E0703" w:rsidR="00C36D76" w:rsidRPr="009E064B" w:rsidRDefault="00C36D76" w:rsidP="00B06A9A">
      <w:pPr>
        <w:spacing w:after="0"/>
        <w:rPr>
          <w:szCs w:val="20"/>
        </w:rPr>
      </w:pPr>
    </w:p>
    <w:p w14:paraId="3C0FED6F" w14:textId="5FBC261C" w:rsidR="00FC3455" w:rsidRPr="009E064B" w:rsidRDefault="00FC3455" w:rsidP="00B06A9A">
      <w:pPr>
        <w:spacing w:after="0"/>
        <w:rPr>
          <w:szCs w:val="20"/>
        </w:rPr>
      </w:pPr>
    </w:p>
    <w:p w14:paraId="500EE600" w14:textId="77777777" w:rsidR="00FC3455" w:rsidRPr="009E064B" w:rsidRDefault="00FC3455" w:rsidP="00B06A9A">
      <w:pPr>
        <w:spacing w:after="0"/>
        <w:rPr>
          <w:szCs w:val="20"/>
        </w:rPr>
      </w:pPr>
    </w:p>
    <w:p w14:paraId="5906CD27" w14:textId="6B90CAF9" w:rsidR="00C36D76" w:rsidRPr="009E064B" w:rsidRDefault="00726C05" w:rsidP="00FC3455">
      <w:pPr>
        <w:spacing w:after="240"/>
        <w:rPr>
          <w:szCs w:val="20"/>
        </w:rPr>
      </w:pPr>
      <w:r w:rsidRPr="009E064B">
        <w:rPr>
          <w:noProof/>
          <w:lang w:eastAsia="pl-PL"/>
        </w:rPr>
        <w:drawing>
          <wp:inline distT="0" distB="0" distL="0" distR="0" wp14:anchorId="35256978" wp14:editId="16E458BC">
            <wp:extent cx="5760720" cy="2194560"/>
            <wp:effectExtent l="0" t="0" r="0" b="0"/>
            <wp:docPr id="6554" name="Obraz 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60720" cy="2194560"/>
                    </a:xfrm>
                    <a:prstGeom prst="rect">
                      <a:avLst/>
                    </a:prstGeom>
                    <a:noFill/>
                    <a:ln>
                      <a:noFill/>
                    </a:ln>
                  </pic:spPr>
                </pic:pic>
              </a:graphicData>
            </a:graphic>
          </wp:inline>
        </w:drawing>
      </w:r>
    </w:p>
    <w:p w14:paraId="74F932CC" w14:textId="77777777" w:rsidR="00C36D76" w:rsidRPr="00351FED" w:rsidRDefault="00C36D76" w:rsidP="00FC3455">
      <w:pPr>
        <w:spacing w:before="120" w:after="0"/>
        <w:ind w:right="11"/>
        <w:jc w:val="center"/>
        <w:rPr>
          <w:b/>
          <w:sz w:val="20"/>
        </w:rPr>
      </w:pPr>
      <w:r w:rsidRPr="00351FED">
        <w:rPr>
          <w:b/>
          <w:sz w:val="20"/>
        </w:rPr>
        <w:t>Rysunek N-3.  Wymiary znaku pionowego</w:t>
      </w:r>
    </w:p>
    <w:p w14:paraId="171EAFF4" w14:textId="77777777" w:rsidR="00C36D76" w:rsidRPr="009E064B" w:rsidRDefault="00C36D76" w:rsidP="00B06A9A">
      <w:pPr>
        <w:rPr>
          <w:szCs w:val="20"/>
        </w:rPr>
      </w:pPr>
    </w:p>
    <w:p w14:paraId="0F50D03A" w14:textId="77777777" w:rsidR="00C36D76" w:rsidRPr="009E064B" w:rsidRDefault="00C36D76" w:rsidP="00B06A9A">
      <w:pPr>
        <w:spacing w:after="200"/>
        <w:jc w:val="left"/>
        <w:rPr>
          <w:b/>
          <w:szCs w:val="20"/>
        </w:rPr>
      </w:pPr>
      <w:r w:rsidRPr="009E064B">
        <w:rPr>
          <w:b/>
          <w:szCs w:val="20"/>
        </w:rPr>
        <w:br w:type="page"/>
      </w:r>
    </w:p>
    <w:p w14:paraId="2A50F778" w14:textId="77777777" w:rsidR="00C36D76" w:rsidRPr="009E064B" w:rsidRDefault="00C36D76" w:rsidP="00B06A9A">
      <w:pPr>
        <w:jc w:val="center"/>
        <w:rPr>
          <w:sz w:val="16"/>
          <w:szCs w:val="16"/>
        </w:rPr>
      </w:pPr>
      <w:r w:rsidRPr="009E064B">
        <w:rPr>
          <w:noProof/>
          <w:sz w:val="16"/>
          <w:szCs w:val="16"/>
          <w:lang w:eastAsia="pl-PL"/>
        </w:rPr>
        <mc:AlternateContent>
          <mc:Choice Requires="wpc">
            <w:drawing>
              <wp:inline distT="0" distB="0" distL="0" distR="0" wp14:anchorId="36F9E3AE" wp14:editId="671B8214">
                <wp:extent cx="5758180" cy="6336756"/>
                <wp:effectExtent l="0" t="0" r="0" b="6985"/>
                <wp:docPr id="2536" name="Kanwa 3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05" name="Picture 32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4502" y="59185"/>
                            <a:ext cx="5499076" cy="627757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00CEC71" id="Kanwa 324" o:spid="_x0000_s1026" editas="canvas" style="width:453.4pt;height:498.95pt;mso-position-horizontal-relative:char;mso-position-vertical-relative:line" coordsize="57581,63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">
                <v:shape id="_x0000_s1027" type="#_x0000_t75" style="position:absolute;width:57581;height:63366;visibility:visible;mso-wrap-style:square">
                  <v:fill o:detectmouseclick="t"/>
                  <v:path o:connecttype="none"/>
                </v:shape>
                <v:shape id="Picture 326" o:spid="_x0000_s1028" type="#_x0000_t75" style="position:absolute;left:1645;top:591;width:54990;height:6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">
                  <v:imagedata r:id="rId213" o:title=""/>
                </v:shape>
                <w10:anchorlock/>
              </v:group>
            </w:pict>
          </mc:Fallback>
        </mc:AlternateContent>
      </w:r>
    </w:p>
    <w:p w14:paraId="7F328B7C" w14:textId="77777777" w:rsidR="00C36D76" w:rsidRPr="009E064B" w:rsidRDefault="00C36D76" w:rsidP="00EE2E0D">
      <w:pPr>
        <w:tabs>
          <w:tab w:val="left" w:pos="-5387"/>
        </w:tabs>
        <w:spacing w:after="40"/>
        <w:jc w:val="left"/>
        <w:rPr>
          <w:sz w:val="12"/>
          <w:szCs w:val="18"/>
        </w:rPr>
      </w:pPr>
      <w:r w:rsidRPr="009E064B">
        <w:rPr>
          <w:sz w:val="18"/>
        </w:rPr>
        <w:t>INSTRUKCJA</w:t>
      </w:r>
    </w:p>
    <w:p w14:paraId="511E0C88" w14:textId="30FD19F9" w:rsidR="00C36D76" w:rsidRPr="009E064B" w:rsidRDefault="00C36D76" w:rsidP="00EE2E0D">
      <w:pPr>
        <w:widowControl/>
        <w:numPr>
          <w:ilvl w:val="0"/>
          <w:numId w:val="13"/>
        </w:numPr>
        <w:tabs>
          <w:tab w:val="clear" w:pos="227"/>
          <w:tab w:val="left" w:pos="567"/>
          <w:tab w:val="left" w:pos="9072"/>
        </w:tabs>
        <w:spacing w:after="40"/>
        <w:ind w:left="567" w:hanging="567"/>
        <w:rPr>
          <w:sz w:val="18"/>
          <w:szCs w:val="18"/>
        </w:rPr>
      </w:pPr>
      <w:r w:rsidRPr="009E064B">
        <w:rPr>
          <w:sz w:val="18"/>
          <w:szCs w:val="18"/>
        </w:rPr>
        <w:t>W celu określenia odpowiedniej PRZERWY pomiędzy literami oraz cyframi należy odczytać z </w:t>
      </w:r>
      <w:r w:rsidR="00F36957" w:rsidRPr="009E064B">
        <w:rPr>
          <w:sz w:val="18"/>
          <w:szCs w:val="18"/>
        </w:rPr>
        <w:t>Tabeli</w:t>
      </w:r>
      <w:r w:rsidRPr="009E064B">
        <w:rPr>
          <w:sz w:val="18"/>
          <w:szCs w:val="18"/>
        </w:rPr>
        <w:t xml:space="preserve"> a) lub b) cyfrę kodu, na podstawie której, w </w:t>
      </w:r>
      <w:r w:rsidR="00F36957" w:rsidRPr="009E064B">
        <w:rPr>
          <w:sz w:val="18"/>
          <w:szCs w:val="18"/>
        </w:rPr>
        <w:t>Tabeli</w:t>
      </w:r>
      <w:r w:rsidRPr="009E064B">
        <w:rPr>
          <w:sz w:val="18"/>
          <w:szCs w:val="18"/>
        </w:rPr>
        <w:t xml:space="preserve"> c) odczytać wielkość przerwy w zależności od wysokości litery lub cyfry.</w:t>
      </w:r>
    </w:p>
    <w:p w14:paraId="08D39A3F" w14:textId="77777777" w:rsidR="00C36D76" w:rsidRPr="009E064B" w:rsidRDefault="00C36D76" w:rsidP="00EE2E0D">
      <w:pPr>
        <w:widowControl/>
        <w:numPr>
          <w:ilvl w:val="0"/>
          <w:numId w:val="13"/>
        </w:numPr>
        <w:tabs>
          <w:tab w:val="clear" w:pos="227"/>
          <w:tab w:val="left" w:pos="567"/>
          <w:tab w:val="left" w:pos="9072"/>
        </w:tabs>
        <w:spacing w:after="40"/>
        <w:ind w:left="567" w:hanging="567"/>
        <w:rPr>
          <w:sz w:val="18"/>
          <w:szCs w:val="18"/>
        </w:rPr>
      </w:pPr>
      <w:r w:rsidRPr="009E064B">
        <w:rPr>
          <w:sz w:val="18"/>
          <w:szCs w:val="18"/>
        </w:rPr>
        <w:t>Przerwa pomiędzy słowami lub grupami znaków tworzących skrót lub symbol, powinna być równa 0.5 do 0.75 wysokości znaków, z wyjątkiem strzałki umieszczonej razem z jednym znakiem np. ”A -&gt;”, gdzie możliwe jest zmniejszenie przerwy do nie mniej niż jednej czwartej wysokości znaku, tak, aby uzyskać odpowiednie proporcje.</w:t>
      </w:r>
    </w:p>
    <w:p w14:paraId="38D11863" w14:textId="77777777" w:rsidR="00C36D76" w:rsidRPr="009E064B" w:rsidRDefault="00C36D76" w:rsidP="00EE2E0D">
      <w:pPr>
        <w:widowControl/>
        <w:numPr>
          <w:ilvl w:val="0"/>
          <w:numId w:val="13"/>
        </w:numPr>
        <w:tabs>
          <w:tab w:val="clear" w:pos="227"/>
          <w:tab w:val="left" w:pos="567"/>
          <w:tab w:val="left" w:pos="9072"/>
        </w:tabs>
        <w:spacing w:after="40"/>
        <w:ind w:left="567" w:hanging="567"/>
        <w:rPr>
          <w:sz w:val="18"/>
          <w:szCs w:val="18"/>
        </w:rPr>
      </w:pPr>
      <w:r w:rsidRPr="009E064B">
        <w:rPr>
          <w:sz w:val="18"/>
          <w:szCs w:val="18"/>
        </w:rPr>
        <w:t>Jeżeli cyfra występuje za literą lub odwrotnie, należy użyć Kodu 1.</w:t>
      </w:r>
    </w:p>
    <w:p w14:paraId="48A15BF7" w14:textId="77777777" w:rsidR="00C36D76" w:rsidRPr="00351FED" w:rsidRDefault="00C36D76" w:rsidP="00EE2E0D">
      <w:pPr>
        <w:widowControl/>
        <w:numPr>
          <w:ilvl w:val="0"/>
          <w:numId w:val="13"/>
        </w:numPr>
        <w:tabs>
          <w:tab w:val="clear" w:pos="227"/>
          <w:tab w:val="left" w:pos="567"/>
          <w:tab w:val="left" w:pos="9072"/>
        </w:tabs>
        <w:spacing w:after="40"/>
        <w:ind w:left="567" w:hanging="567"/>
        <w:rPr>
          <w:sz w:val="18"/>
          <w:szCs w:val="18"/>
        </w:rPr>
      </w:pPr>
      <w:r w:rsidRPr="00351FED">
        <w:rPr>
          <w:sz w:val="18"/>
          <w:szCs w:val="18"/>
        </w:rPr>
        <w:t>Jeżeli łącznik lub ukośnik występuje za znakiem lub odwrotnie, należy użyć Kodu 1.</w:t>
      </w:r>
    </w:p>
    <w:p w14:paraId="0A32FB35" w14:textId="09425416" w:rsidR="00D23213" w:rsidRPr="00351FED" w:rsidRDefault="00D23213" w:rsidP="00EE2E0D">
      <w:pPr>
        <w:widowControl/>
        <w:numPr>
          <w:ilvl w:val="0"/>
          <w:numId w:val="13"/>
        </w:numPr>
        <w:tabs>
          <w:tab w:val="clear" w:pos="227"/>
          <w:tab w:val="left" w:pos="567"/>
          <w:tab w:val="left" w:pos="9072"/>
        </w:tabs>
        <w:spacing w:after="0"/>
        <w:ind w:left="567" w:hanging="567"/>
        <w:rPr>
          <w:sz w:val="18"/>
          <w:szCs w:val="18"/>
        </w:rPr>
      </w:pPr>
      <w:r w:rsidRPr="00351FED">
        <w:rPr>
          <w:sz w:val="18"/>
          <w:szCs w:val="18"/>
        </w:rPr>
        <w:t>Dla znaku skrzyżowania do startu, wysokość dolnej litery "m" wynosi 0,75 wy</w:t>
      </w:r>
      <w:r w:rsidR="00061BB2" w:rsidRPr="00351FED">
        <w:rPr>
          <w:sz w:val="18"/>
          <w:szCs w:val="18"/>
        </w:rPr>
        <w:t>sokości poprzedzającego znaku w </w:t>
      </w:r>
      <w:r w:rsidRPr="00351FED">
        <w:rPr>
          <w:sz w:val="18"/>
          <w:szCs w:val="18"/>
        </w:rPr>
        <w:t>napisie</w:t>
      </w:r>
      <w:r w:rsidR="000C2CC5" w:rsidRPr="00351FED">
        <w:rPr>
          <w:sz w:val="18"/>
          <w:szCs w:val="18"/>
        </w:rPr>
        <w:t>. Odstęp od poprzedzającego znaku znajduje się w Kodzie 1 dla wysokości tego znaku w Tabeli N-3 (c).</w:t>
      </w:r>
    </w:p>
    <w:p w14:paraId="7151EFF0" w14:textId="77777777" w:rsidR="00C36D76" w:rsidRPr="00351FED" w:rsidRDefault="00C36D76" w:rsidP="00061BB2">
      <w:pPr>
        <w:tabs>
          <w:tab w:val="left" w:pos="567"/>
        </w:tabs>
        <w:spacing w:before="200" w:after="0"/>
        <w:ind w:left="567" w:hanging="567"/>
        <w:jc w:val="center"/>
        <w:rPr>
          <w:b/>
          <w:sz w:val="20"/>
        </w:rPr>
      </w:pPr>
      <w:r w:rsidRPr="00351FED">
        <w:rPr>
          <w:b/>
          <w:sz w:val="20"/>
        </w:rPr>
        <w:t>Tabela N-3.   Szerokość liter, cyfr oraz przerw między nimi</w:t>
      </w:r>
    </w:p>
    <w:p w14:paraId="6F6EC8E4" w14:textId="30A92378"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C5DCDB6" w14:textId="77777777" w:rsidR="00321E77" w:rsidRPr="009E064B" w:rsidRDefault="00321E77" w:rsidP="00061BB2">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081DB2AA" w14:textId="2008B39F" w:rsidR="002A38A1" w:rsidRPr="009E064B" w:rsidRDefault="00232B6F" w:rsidP="00133B99">
      <w:pPr>
        <w:pStyle w:val="Nagwek6"/>
      </w:pPr>
      <w:bookmarkStart w:id="1646" w:name="_Toc401059060"/>
      <w:bookmarkStart w:id="1647" w:name="_Toc482886926"/>
      <w:bookmarkStart w:id="1648" w:name="_Toc12533245"/>
      <w:r w:rsidRPr="009E064B">
        <w:t xml:space="preserve">GM1 ADR-DSN.N.775     </w:t>
      </w:r>
      <w:r w:rsidR="009B0A08" w:rsidRPr="009E064B">
        <w:rPr>
          <w:rFonts w:cs="TimesNewRomanPS-BoldItalicMT"/>
          <w:iCs/>
          <w:szCs w:val="20"/>
        </w:rPr>
        <w:t>Wymagania</w:t>
      </w:r>
      <w:r w:rsidR="009B0A08" w:rsidRPr="009E064B">
        <w:t xml:space="preserve"> </w:t>
      </w:r>
      <w:r w:rsidR="002A38A1" w:rsidRPr="009E064B">
        <w:t>ogólne</w:t>
      </w:r>
      <w:bookmarkEnd w:id="1646"/>
      <w:bookmarkEnd w:id="1647"/>
      <w:bookmarkEnd w:id="1648"/>
    </w:p>
    <w:p w14:paraId="6A9751E8" w14:textId="1C03C912"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65BE385" w14:textId="0F02F0D3"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W celu poprawy czytelności, konieczne może być ustawienie znaków pionowych w odpowiednim kierunku.</w:t>
      </w:r>
    </w:p>
    <w:p w14:paraId="3E345542" w14:textId="7777777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 xml:space="preserve">W przypadku przesuniętego progu drogi startowej, oznakowanie </w:t>
      </w:r>
      <w:r w:rsidRPr="009E064B">
        <w:rPr>
          <w:rFonts w:cs="Times New Roman"/>
          <w:szCs w:val="20"/>
        </w:rPr>
        <w:t>identyfikacji</w:t>
      </w:r>
      <w:r w:rsidRPr="009E064B">
        <w:rPr>
          <w:szCs w:val="20"/>
        </w:rPr>
        <w:t xml:space="preserve"> drogi startowej może być umieszczone dla startujących samolotów.</w:t>
      </w:r>
    </w:p>
    <w:p w14:paraId="78B7AD33" w14:textId="77777777"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Wytyczne dotyczące znaków pionowych znajdują się w „</w:t>
      </w:r>
      <w:r w:rsidRPr="009E064B">
        <w:rPr>
          <w:i/>
          <w:szCs w:val="20"/>
        </w:rPr>
        <w:t>Podręczniku projektowania lotnis</w:t>
      </w:r>
      <w:r w:rsidRPr="009E064B">
        <w:rPr>
          <w:szCs w:val="20"/>
        </w:rPr>
        <w:t>k” ICAO Doc 9157, Część 4 „</w:t>
      </w:r>
      <w:r w:rsidRPr="009E064B">
        <w:rPr>
          <w:i/>
          <w:szCs w:val="20"/>
        </w:rPr>
        <w:t>Pomoce wzrokowe</w:t>
      </w:r>
      <w:r w:rsidRPr="009E064B">
        <w:rPr>
          <w:szCs w:val="20"/>
        </w:rPr>
        <w:t>” Rozdział 11.</w:t>
      </w:r>
    </w:p>
    <w:p w14:paraId="397C70C5" w14:textId="7BC2491E"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Wytyczne dotyczące łamliwości znajdują się w „</w:t>
      </w:r>
      <w:r w:rsidRPr="009E064B">
        <w:rPr>
          <w:i/>
          <w:szCs w:val="20"/>
        </w:rPr>
        <w:t>Podręczniku projektowania lotnis</w:t>
      </w:r>
      <w:r w:rsidR="00C20FCB" w:rsidRPr="009E064B">
        <w:rPr>
          <w:szCs w:val="20"/>
        </w:rPr>
        <w:t>k” ICAO Doc </w:t>
      </w:r>
      <w:r w:rsidRPr="009E064B">
        <w:rPr>
          <w:szCs w:val="20"/>
        </w:rPr>
        <w:t>9157, Część 4 „</w:t>
      </w:r>
      <w:r w:rsidRPr="009E064B">
        <w:rPr>
          <w:i/>
          <w:szCs w:val="20"/>
        </w:rPr>
        <w:t>Pomoce wzrokowe</w:t>
      </w:r>
      <w:r w:rsidRPr="009E064B">
        <w:rPr>
          <w:szCs w:val="20"/>
        </w:rPr>
        <w:t>” Rozdział 11.</w:t>
      </w:r>
    </w:p>
    <w:p w14:paraId="75FEF720" w14:textId="77777777" w:rsidR="002A38A1" w:rsidRPr="009E064B" w:rsidRDefault="002A38A1" w:rsidP="00B06A9A">
      <w:pPr>
        <w:tabs>
          <w:tab w:val="left" w:pos="567"/>
        </w:tabs>
        <w:autoSpaceDE w:val="0"/>
        <w:autoSpaceDN w:val="0"/>
        <w:adjustRightInd w:val="0"/>
        <w:spacing w:after="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Wytyczne dotyczące pomiaru średniej luminacji znaku znajdują się w „</w:t>
      </w:r>
      <w:r w:rsidRPr="009E064B">
        <w:rPr>
          <w:i/>
          <w:szCs w:val="20"/>
        </w:rPr>
        <w:t>Podręczniku projektowania lotnis</w:t>
      </w:r>
      <w:r w:rsidRPr="009E064B">
        <w:rPr>
          <w:szCs w:val="20"/>
        </w:rPr>
        <w:t>k” ICAO Doc 9157, Część 4 „</w:t>
      </w:r>
      <w:r w:rsidRPr="009E064B">
        <w:rPr>
          <w:i/>
          <w:szCs w:val="20"/>
        </w:rPr>
        <w:t>Pomoce wzrokowe</w:t>
      </w:r>
      <w:r w:rsidRPr="009E064B">
        <w:rPr>
          <w:szCs w:val="20"/>
        </w:rPr>
        <w:t>”.</w:t>
      </w:r>
    </w:p>
    <w:p w14:paraId="515B845B" w14:textId="77777777" w:rsidR="002A38A1" w:rsidRPr="009E064B" w:rsidRDefault="002A38A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E5A06AD" w14:textId="536CF4EB" w:rsidR="00C36D76" w:rsidRPr="009E064B" w:rsidRDefault="00232B6F" w:rsidP="00B06A9A">
      <w:pPr>
        <w:pStyle w:val="Nagwek4"/>
        <w:rPr>
          <w:color w:val="auto"/>
        </w:rPr>
      </w:pPr>
      <w:bookmarkStart w:id="1649" w:name="_CS_ADR-DSN.N.780_"/>
      <w:bookmarkStart w:id="1650" w:name="_Toc482886703"/>
      <w:bookmarkStart w:id="1651" w:name="_Toc12533246"/>
      <w:bookmarkEnd w:id="1649"/>
      <w:r w:rsidRPr="009E064B">
        <w:rPr>
          <w:color w:val="auto"/>
        </w:rPr>
        <w:t xml:space="preserve">CS ADR-DSN.N.780     </w:t>
      </w:r>
      <w:r w:rsidR="00C36D76" w:rsidRPr="009E064B">
        <w:rPr>
          <w:color w:val="auto"/>
        </w:rPr>
        <w:t>Znaki nakazu</w:t>
      </w:r>
      <w:bookmarkEnd w:id="1650"/>
      <w:bookmarkEnd w:id="1651"/>
    </w:p>
    <w:p w14:paraId="03F70E5A" w14:textId="553BB763"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EBEFAD4" w14:textId="361BF02D" w:rsidR="00C36D76" w:rsidRPr="00351FED" w:rsidRDefault="00C36D76" w:rsidP="00B06A9A">
      <w:pPr>
        <w:tabs>
          <w:tab w:val="left" w:pos="567"/>
        </w:tabs>
        <w:ind w:left="567" w:hanging="567"/>
        <w:rPr>
          <w:szCs w:val="20"/>
        </w:rPr>
      </w:pPr>
      <w:r w:rsidRPr="00351FED">
        <w:rPr>
          <w:rFonts w:cs="Times New Roman"/>
          <w:szCs w:val="20"/>
        </w:rPr>
        <w:t xml:space="preserve">(a) </w:t>
      </w:r>
      <w:r w:rsidRPr="00351FED">
        <w:rPr>
          <w:rFonts w:cs="Times New Roman"/>
          <w:szCs w:val="20"/>
        </w:rPr>
        <w:tab/>
      </w:r>
      <w:r w:rsidRPr="00351FED">
        <w:rPr>
          <w:szCs w:val="20"/>
        </w:rPr>
        <w:t>Zastosowanie:</w:t>
      </w:r>
    </w:p>
    <w:p w14:paraId="2FA98B02"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nakazu powinien być instalowany w celu wskazania miejsca, którego nie może przekroczyć kołujący statek powietrzny lub pojazd bez otrzymania zezwolenia wieży kontroli lotniska.</w:t>
      </w:r>
    </w:p>
    <w:p w14:paraId="16468619"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Znakami nakazu są znaki identyfikacji drogi startowej, znaki miejsca oczekiwania kategorii I, II lub III, znaki miejsca oczekiwania przed drogą startową, znaki miejsca oczekiwania na drogach ruchu kołowego oraz znaki NO ENTRY.</w:t>
      </w:r>
    </w:p>
    <w:p w14:paraId="2A9333AB" w14:textId="66190D6C"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 xml:space="preserve">Oznakowanie poziome miejsca oczekiwania </w:t>
      </w:r>
      <w:r w:rsidR="00C20FCB" w:rsidRPr="009E064B">
        <w:rPr>
          <w:szCs w:val="20"/>
        </w:rPr>
        <w:t>przed drogą startową w układzie </w:t>
      </w:r>
      <w:r w:rsidRPr="009E064B">
        <w:rPr>
          <w:szCs w:val="20"/>
        </w:rPr>
        <w:t>„A” powinno być uzupełnione znakiem identyfikacji drogi startowej, na skrzyżowaniu drogi kołowania z drogą startową lub na skrzyżowaniu dróg startowych.</w:t>
      </w:r>
    </w:p>
    <w:p w14:paraId="6C31DEA4" w14:textId="3D83D676"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Oznakowanie poziome miejsca oczekiwania </w:t>
      </w:r>
      <w:r w:rsidR="00C20FCB" w:rsidRPr="009E064B">
        <w:rPr>
          <w:szCs w:val="20"/>
        </w:rPr>
        <w:t>przed drogą startową w układzie </w:t>
      </w:r>
      <w:r w:rsidRPr="009E064B">
        <w:rPr>
          <w:szCs w:val="20"/>
        </w:rPr>
        <w:t>„B” powinno być uzupełnione znakiem miejsca oczekiwania kategorii I, II lub III.</w:t>
      </w:r>
    </w:p>
    <w:p w14:paraId="50372A45" w14:textId="2941A538"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 xml:space="preserve">Oznakowanie poziome miejsca oczekiwania </w:t>
      </w:r>
      <w:r w:rsidR="00C20FCB" w:rsidRPr="009E064B">
        <w:rPr>
          <w:szCs w:val="20"/>
        </w:rPr>
        <w:t>przed drogą startową w układzie </w:t>
      </w:r>
      <w:r w:rsidRPr="009E064B">
        <w:rPr>
          <w:szCs w:val="20"/>
        </w:rPr>
        <w:t>„A” powinno być uzupełnione znakiem miejsca oczekiwania przed drogą startową.</w:t>
      </w:r>
    </w:p>
    <w:p w14:paraId="6F5D7A19" w14:textId="77777777" w:rsidR="00C36D76" w:rsidRPr="009E064B" w:rsidRDefault="00C36D76" w:rsidP="00B06A9A">
      <w:pPr>
        <w:tabs>
          <w:tab w:val="left" w:pos="1134"/>
        </w:tabs>
        <w:ind w:left="1134" w:hanging="567"/>
        <w:rPr>
          <w:szCs w:val="20"/>
        </w:rPr>
      </w:pPr>
      <w:r w:rsidRPr="009E064B">
        <w:rPr>
          <w:rFonts w:cs="Times New Roman"/>
          <w:szCs w:val="20"/>
        </w:rPr>
        <w:t xml:space="preserve"> (6) </w:t>
      </w:r>
      <w:r w:rsidRPr="009E064B">
        <w:rPr>
          <w:rFonts w:cs="Times New Roman"/>
          <w:szCs w:val="20"/>
        </w:rPr>
        <w:tab/>
      </w:r>
      <w:r w:rsidRPr="009E064B">
        <w:rPr>
          <w:szCs w:val="20"/>
        </w:rPr>
        <w:t>Znak identyfikacji drogi startowej na skrzyżowaniu drogi kołowania z drogą startową powinien być uzupełniony odpowiednim znakiem lokalizacji po zewnętrznej stronie znaku (bardziej oddalonej od drogi kołowania).</w:t>
      </w:r>
    </w:p>
    <w:p w14:paraId="7021F389"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Znak miejsca oczekiwania na drodze ruchu kołowego powinien być instalowany na wszystkich skrzyżowaniach drogi ruchu kołowego z drogą startową oraz może być instalowany na skrzyżowaniach drogi ruchu kołowego z drogami kołowania.</w:t>
      </w:r>
    </w:p>
    <w:p w14:paraId="6188C2AF" w14:textId="77777777"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r>
      <w:r w:rsidRPr="009E064B">
        <w:rPr>
          <w:szCs w:val="20"/>
        </w:rPr>
        <w:t>Znak NO ENTRY powinien być instalowany w miejscu, gdzie wjazd w strefę jest zabroniony.</w:t>
      </w:r>
    </w:p>
    <w:p w14:paraId="56A18D6A"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p>
    <w:p w14:paraId="0EBAED2F" w14:textId="5A75B6E4"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identyfikacji drogi startowej na skrzyżowaniu drogi kołowania z drogą startową lub skrzyżowaniu dróg startowych powinien być instalowany po obu stronach oznakowania poziomego miejsca oczekiwania przed drogą start</w:t>
      </w:r>
      <w:r w:rsidR="00C20FCB" w:rsidRPr="009E064B">
        <w:rPr>
          <w:szCs w:val="20"/>
        </w:rPr>
        <w:t>ową, tak, aby był on widoczny z </w:t>
      </w:r>
      <w:r w:rsidRPr="009E064B">
        <w:rPr>
          <w:szCs w:val="20"/>
        </w:rPr>
        <w:t>kierunku zbliżania się do drogi startowej.</w:t>
      </w:r>
    </w:p>
    <w:p w14:paraId="3429D71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 miejsca oczekiwania kategorii I, II lub III powinien być instalowany po obu stronach oznakowania poziomego miejsca oczekiwania przed drogą startową, tak, aby był on widoczny z kierunku zbliżania się do strefy krytycznej.</w:t>
      </w:r>
    </w:p>
    <w:p w14:paraId="442DCEAC"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Znak NO ENTRY powinien być instalowany na początku strefy, do której wjazd jest zabroniony, po obu stronach drogi kołowania tak, aby był widoczny przez pilota.</w:t>
      </w:r>
    </w:p>
    <w:p w14:paraId="2C5E683D"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Znak miejsca oczekiwania przed drogą startową powinien być instalowany po obu stronach miejsca oczekiwania przed drogą startową, tak, aby był on widoczny z kierunku zbliżania się odpowiednio do powierzchni ograniczającej przeszkody lub do strefy krytycznej/wrażliwej systemu ILS/MLS.</w:t>
      </w:r>
    </w:p>
    <w:p w14:paraId="3CD1B823"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5491F799" w14:textId="2B295F2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nakazu powinien posiadać napis koloru białego n</w:t>
      </w:r>
      <w:r w:rsidR="00E042B7" w:rsidRPr="009E064B">
        <w:rPr>
          <w:szCs w:val="20"/>
        </w:rPr>
        <w:t>a czerwonym tle. W miejscach, w </w:t>
      </w:r>
      <w:r w:rsidRPr="009E064B">
        <w:rPr>
          <w:szCs w:val="20"/>
        </w:rPr>
        <w:t>których ze względu na czynniki środowiskowe lub inne zachodzi konieczność wzmocnienia wyrazistości napisu na znaku nakazu, zewnętrzna krawędź białego napisu powinna zostać uzupełniona czarnym obramowaniem o szerokości 10 mm na drogach startowych o kodzie 1 i 2 oraz o szerokości 20 mm na drogach startowych o kodzie 3 i 4.</w:t>
      </w:r>
    </w:p>
    <w:p w14:paraId="7ED47D19"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Napisy na znaku identyfikacji drogi startowej powinny składać się z oznaczenia identyfikacji krzyżującej się drogi startowej, właściwie zorientowanego pod względem kierunku, z którego znak ma być widoczny, z wyjątkiem przypadku, gdy znak identyfikacji drogi startowej zainstalowany jest w pobliżu końca drogi startowej i może wówczas wskazywać oznaczenie identyfikacji odnoszące się tylko do tego końca drogi startowej.</w:t>
      </w:r>
    </w:p>
    <w:p w14:paraId="38D02417" w14:textId="6BA2F0C9" w:rsidR="00C36D76" w:rsidRPr="00351FED"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Napisy na znaku miejsca oczekiwania kategorii I, II, III</w:t>
      </w:r>
      <w:r w:rsidR="000C2CC5" w:rsidRPr="00351FED">
        <w:rPr>
          <w:szCs w:val="20"/>
        </w:rPr>
        <w:t>, łącznie II/III</w:t>
      </w:r>
      <w:r w:rsidRPr="00351FED">
        <w:rPr>
          <w:szCs w:val="20"/>
        </w:rPr>
        <w:t xml:space="preserve"> lub łącznie </w:t>
      </w:r>
      <w:r w:rsidR="000C2CC5" w:rsidRPr="00351FED">
        <w:rPr>
          <w:szCs w:val="20"/>
        </w:rPr>
        <w:t>I/</w:t>
      </w:r>
      <w:r w:rsidRPr="00351FED">
        <w:rPr>
          <w:szCs w:val="20"/>
        </w:rPr>
        <w:t>II/III powinny składać się z oznaczenia identyfikacji drogi startowej poprzedzającego odpowiednio napisy CAT I, CAT II, CAT III</w:t>
      </w:r>
      <w:r w:rsidR="000C2CC5" w:rsidRPr="00351FED">
        <w:rPr>
          <w:szCs w:val="20"/>
        </w:rPr>
        <w:t>, CAT II/III</w:t>
      </w:r>
      <w:r w:rsidRPr="00351FED">
        <w:rPr>
          <w:szCs w:val="20"/>
        </w:rPr>
        <w:t xml:space="preserve"> lub CAT </w:t>
      </w:r>
      <w:r w:rsidR="000C2CC5" w:rsidRPr="00351FED">
        <w:rPr>
          <w:szCs w:val="20"/>
        </w:rPr>
        <w:t>I/</w:t>
      </w:r>
      <w:r w:rsidRPr="00351FED">
        <w:rPr>
          <w:szCs w:val="20"/>
        </w:rPr>
        <w:t>II/III.</w:t>
      </w:r>
    </w:p>
    <w:p w14:paraId="24055183" w14:textId="77777777" w:rsidR="00C36D76" w:rsidRPr="00351FED" w:rsidRDefault="00C36D76" w:rsidP="00B06A9A">
      <w:pPr>
        <w:tabs>
          <w:tab w:val="left" w:pos="1134"/>
        </w:tabs>
        <w:ind w:left="1134" w:hanging="567"/>
        <w:rPr>
          <w:szCs w:val="20"/>
        </w:rPr>
      </w:pPr>
      <w:r w:rsidRPr="00351FED">
        <w:rPr>
          <w:rFonts w:cs="Times New Roman"/>
          <w:szCs w:val="20"/>
        </w:rPr>
        <w:t xml:space="preserve">(4) </w:t>
      </w:r>
      <w:r w:rsidRPr="00351FED">
        <w:rPr>
          <w:rFonts w:cs="Times New Roman"/>
          <w:szCs w:val="20"/>
        </w:rPr>
        <w:tab/>
      </w:r>
      <w:r w:rsidRPr="00351FED">
        <w:rPr>
          <w:szCs w:val="20"/>
        </w:rPr>
        <w:t>Napisy na znaku NO ENTRY powinny odpowiadać wymaganiom Rysunku N-4.</w:t>
      </w:r>
    </w:p>
    <w:p w14:paraId="7B14C92E" w14:textId="77777777" w:rsidR="00C36D76" w:rsidRPr="00351FED" w:rsidRDefault="00C36D76" w:rsidP="00B06A9A">
      <w:pPr>
        <w:tabs>
          <w:tab w:val="left" w:pos="1134"/>
        </w:tabs>
        <w:ind w:left="1134" w:hanging="567"/>
        <w:rPr>
          <w:szCs w:val="20"/>
        </w:rPr>
      </w:pPr>
      <w:r w:rsidRPr="00351FED">
        <w:rPr>
          <w:rFonts w:cs="Times New Roman"/>
          <w:szCs w:val="20"/>
        </w:rPr>
        <w:t xml:space="preserve">(5) </w:t>
      </w:r>
      <w:r w:rsidRPr="00351FED">
        <w:rPr>
          <w:rFonts w:cs="Times New Roman"/>
          <w:szCs w:val="20"/>
        </w:rPr>
        <w:tab/>
      </w:r>
      <w:r w:rsidRPr="00351FED">
        <w:rPr>
          <w:szCs w:val="20"/>
        </w:rPr>
        <w:t>Napisy na znaku miejsca oczekiwania przed drogą startową powinny składać się z oznaczenia drogi kołowania oraz liczby.</w:t>
      </w:r>
    </w:p>
    <w:p w14:paraId="6776EB8F" w14:textId="4DD9D191" w:rsidR="00C36D76" w:rsidRPr="00351FED" w:rsidRDefault="00C36D76" w:rsidP="00B06A9A">
      <w:pPr>
        <w:tabs>
          <w:tab w:val="left" w:pos="567"/>
        </w:tabs>
        <w:ind w:left="567" w:hanging="567"/>
        <w:rPr>
          <w:szCs w:val="20"/>
        </w:rPr>
      </w:pPr>
      <w:r w:rsidRPr="00351FED">
        <w:rPr>
          <w:rFonts w:cs="Times New Roman"/>
          <w:szCs w:val="20"/>
        </w:rPr>
        <w:t xml:space="preserve">(d) </w:t>
      </w:r>
      <w:r w:rsidRPr="00351FED">
        <w:rPr>
          <w:rFonts w:cs="Times New Roman"/>
          <w:szCs w:val="20"/>
        </w:rPr>
        <w:tab/>
      </w:r>
      <w:r w:rsidRPr="00351FED">
        <w:rPr>
          <w:szCs w:val="20"/>
        </w:rPr>
        <w:t xml:space="preserve">Tam, gdzie </w:t>
      </w:r>
      <w:r w:rsidR="001F2B40" w:rsidRPr="00351FED">
        <w:rPr>
          <w:szCs w:val="20"/>
        </w:rPr>
        <w:t xml:space="preserve">znak nakazu jest zainstalowany </w:t>
      </w:r>
      <w:r w:rsidR="00DF3108" w:rsidRPr="00351FED">
        <w:rPr>
          <w:szCs w:val="20"/>
        </w:rPr>
        <w:t xml:space="preserve">, należy używać </w:t>
      </w:r>
      <w:r w:rsidRPr="00351FED">
        <w:rPr>
          <w:szCs w:val="20"/>
        </w:rPr>
        <w:t>napisów i symboli</w:t>
      </w:r>
      <w:r w:rsidR="001F2B40" w:rsidRPr="00351FED">
        <w:rPr>
          <w:szCs w:val="20"/>
        </w:rPr>
        <w:t xml:space="preserve"> określonych na Rysunku N-4</w:t>
      </w:r>
      <w:r w:rsidRPr="00351FED">
        <w:rPr>
          <w:szCs w:val="20"/>
        </w:rPr>
        <w:t xml:space="preserve">: </w:t>
      </w:r>
    </w:p>
    <w:p w14:paraId="5837C4E9" w14:textId="77777777" w:rsidR="00C36D76" w:rsidRPr="009E064B" w:rsidRDefault="00C36D76" w:rsidP="00B06A9A">
      <w:pPr>
        <w:tabs>
          <w:tab w:val="left" w:pos="567"/>
        </w:tabs>
        <w:ind w:left="567" w:hanging="567"/>
        <w:rPr>
          <w:szCs w:val="20"/>
        </w:rPr>
      </w:pPr>
    </w:p>
    <w:p w14:paraId="244BE4D6" w14:textId="77777777" w:rsidR="00C36D76" w:rsidRPr="009E064B" w:rsidRDefault="00C36D76" w:rsidP="00B06A9A">
      <w:pPr>
        <w:rPr>
          <w:b/>
          <w:szCs w:val="20"/>
        </w:rPr>
      </w:pPr>
    </w:p>
    <w:p w14:paraId="0E96A895" w14:textId="77777777" w:rsidR="00C36D76" w:rsidRPr="009E064B" w:rsidRDefault="00C36D76" w:rsidP="00B06A9A">
      <w:pPr>
        <w:spacing w:after="200"/>
        <w:jc w:val="left"/>
        <w:rPr>
          <w:b/>
          <w:szCs w:val="20"/>
        </w:rPr>
      </w:pPr>
    </w:p>
    <w:p w14:paraId="44CE1081" w14:textId="0D154B3F" w:rsidR="00C36D76" w:rsidRPr="009E064B" w:rsidRDefault="00026ECB" w:rsidP="00B06A9A">
      <w:pPr>
        <w:rPr>
          <w:b/>
          <w:szCs w:val="20"/>
        </w:rPr>
      </w:pPr>
      <w:r w:rsidRPr="009E064B">
        <w:rPr>
          <w:noProof/>
          <w:lang w:eastAsia="pl-PL"/>
        </w:rPr>
        <w:drawing>
          <wp:inline distT="0" distB="0" distL="0" distR="0" wp14:anchorId="04F47413" wp14:editId="180F73EA">
            <wp:extent cx="5760085" cy="629793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60085" cy="6297930"/>
                    </a:xfrm>
                    <a:prstGeom prst="rect">
                      <a:avLst/>
                    </a:prstGeom>
                    <a:noFill/>
                    <a:ln>
                      <a:noFill/>
                    </a:ln>
                  </pic:spPr>
                </pic:pic>
              </a:graphicData>
            </a:graphic>
          </wp:inline>
        </w:drawing>
      </w:r>
    </w:p>
    <w:p w14:paraId="4D4081AB" w14:textId="77777777" w:rsidR="00C36D76" w:rsidRPr="00351FED" w:rsidRDefault="00C36D76" w:rsidP="00B06A9A">
      <w:pPr>
        <w:tabs>
          <w:tab w:val="left" w:pos="567"/>
        </w:tabs>
        <w:ind w:left="567" w:hanging="567"/>
        <w:jc w:val="center"/>
        <w:rPr>
          <w:b/>
          <w:sz w:val="20"/>
          <w:szCs w:val="20"/>
        </w:rPr>
      </w:pPr>
      <w:r w:rsidRPr="00351FED">
        <w:rPr>
          <w:b/>
          <w:sz w:val="20"/>
          <w:szCs w:val="20"/>
        </w:rPr>
        <w:t>Rysunek N-4.   Pionowe znaki nakazu</w:t>
      </w:r>
    </w:p>
    <w:p w14:paraId="3EBB5E74" w14:textId="77777777" w:rsidR="00C36D76" w:rsidRPr="009E064B" w:rsidRDefault="00C36D76" w:rsidP="00B06A9A">
      <w:pPr>
        <w:rPr>
          <w:szCs w:val="20"/>
        </w:rPr>
      </w:pPr>
    </w:p>
    <w:p w14:paraId="3523601C" w14:textId="23DE8664" w:rsidR="00C36D76" w:rsidRPr="009E064B" w:rsidRDefault="00C36D76" w:rsidP="00B06A9A">
      <w:pPr>
        <w:spacing w:after="200"/>
        <w:jc w:val="left"/>
        <w:rPr>
          <w:b/>
          <w:szCs w:val="20"/>
        </w:rPr>
      </w:pPr>
    </w:p>
    <w:p w14:paraId="292ACF17" w14:textId="448B0719" w:rsidR="00C36D76" w:rsidRPr="009E064B" w:rsidRDefault="00026ECB" w:rsidP="008A3658">
      <w:pPr>
        <w:ind w:left="425" w:right="-6" w:hanging="425"/>
        <w:jc w:val="left"/>
        <w:rPr>
          <w:szCs w:val="20"/>
        </w:rPr>
      </w:pPr>
      <w:r w:rsidRPr="009E064B">
        <w:rPr>
          <w:noProof/>
          <w:lang w:eastAsia="pl-PL"/>
        </w:rPr>
        <mc:AlternateContent>
          <mc:Choice Requires="wpc">
            <w:drawing>
              <wp:inline distT="0" distB="0" distL="0" distR="0" wp14:anchorId="249C347B" wp14:editId="179629D4">
                <wp:extent cx="5643033" cy="7573434"/>
                <wp:effectExtent l="0" t="0" r="15240" b="27940"/>
                <wp:docPr id="85" name="Kanwa 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6350" cap="flat" cmpd="sng" algn="ctr">
                          <a:solidFill>
                            <a:schemeClr val="tx1">
                              <a:lumMod val="100000"/>
                              <a:lumOff val="0"/>
                            </a:schemeClr>
                          </a:solidFill>
                          <a:prstDash val="solid"/>
                          <a:miter lim="800000"/>
                          <a:headEnd type="none" w="med" len="med"/>
                          <a:tailEnd type="none" w="med" len="med"/>
                        </a:ln>
                      </wpc:whole>
                      <wpg:wgp>
                        <wpg:cNvPr id="1" name="Group 46"/>
                        <wpg:cNvGrpSpPr>
                          <a:grpSpLocks/>
                        </wpg:cNvGrpSpPr>
                        <wpg:grpSpPr bwMode="auto">
                          <a:xfrm>
                            <a:off x="34714" y="72226"/>
                            <a:ext cx="5574454" cy="7373029"/>
                            <a:chOff x="0" y="-129"/>
                            <a:chExt cx="9071" cy="11863"/>
                          </a:xfrm>
                        </wpg:grpSpPr>
                        <wpg:grpSp>
                          <wpg:cNvPr id="2" name="Group 47"/>
                          <wpg:cNvGrpSpPr>
                            <a:grpSpLocks/>
                          </wpg:cNvGrpSpPr>
                          <wpg:grpSpPr bwMode="auto">
                            <a:xfrm>
                              <a:off x="156" y="4460"/>
                              <a:ext cx="1268" cy="5964"/>
                              <a:chOff x="156" y="4460"/>
                              <a:chExt cx="1268" cy="5964"/>
                            </a:xfrm>
                          </wpg:grpSpPr>
                          <wps:wsp>
                            <wps:cNvPr id="22" name="Text Box 48"/>
                            <wps:cNvSpPr txBox="1">
                              <a:spLocks noChangeArrowheads="1"/>
                            </wps:cNvSpPr>
                            <wps:spPr bwMode="auto">
                              <a:xfrm>
                                <a:off x="156" y="4460"/>
                                <a:ext cx="1103"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10639" w14:textId="77777777" w:rsidR="003832F2" w:rsidRDefault="003832F2" w:rsidP="00026ECB">
                                  <w:pPr>
                                    <w:pStyle w:val="NormalnyWeb"/>
                                    <w:spacing w:before="0" w:beforeAutospacing="0" w:after="0" w:afterAutospacing="0"/>
                                    <w:jc w:val="both"/>
                                  </w:pPr>
                                  <w:r>
                                    <w:rPr>
                                      <w:rFonts w:ascii="Calibri" w:eastAsia="Calibri" w:hAnsi="Calibri"/>
                                      <w:sz w:val="22"/>
                                      <w:szCs w:val="22"/>
                                    </w:rPr>
                                    <w:t>Kategoria I</w:t>
                                  </w:r>
                                </w:p>
                              </w:txbxContent>
                            </wps:txbx>
                            <wps:bodyPr rot="0" vert="horz" wrap="square" lIns="18000" tIns="10800" rIns="18000" bIns="10800" anchor="ctr" anchorCtr="0" upright="1">
                              <a:noAutofit/>
                            </wps:bodyPr>
                          </wps:wsp>
                          <wps:wsp>
                            <wps:cNvPr id="23" name="Text Box 49"/>
                            <wps:cNvSpPr txBox="1">
                              <a:spLocks noChangeArrowheads="1"/>
                            </wps:cNvSpPr>
                            <wps:spPr bwMode="auto">
                              <a:xfrm>
                                <a:off x="156" y="7220"/>
                                <a:ext cx="126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90D0C" w14:textId="77777777" w:rsidR="003832F2" w:rsidRDefault="003832F2"/>
                              </w:txbxContent>
                            </wps:txbx>
                            <wps:bodyPr rot="0" vert="horz" wrap="square" lIns="18000" tIns="10800" rIns="18000" bIns="10800" anchor="ctr" anchorCtr="0" upright="1">
                              <a:noAutofit/>
                            </wps:bodyPr>
                          </wps:wsp>
                          <wps:wsp>
                            <wps:cNvPr id="24" name="Text Box 50"/>
                            <wps:cNvSpPr txBox="1">
                              <a:spLocks noChangeArrowheads="1"/>
                            </wps:cNvSpPr>
                            <wps:spPr bwMode="auto">
                              <a:xfrm>
                                <a:off x="156" y="10088"/>
                                <a:ext cx="1268"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AFF77" w14:textId="77777777" w:rsidR="003832F2" w:rsidRDefault="003832F2"/>
                              </w:txbxContent>
                            </wps:txbx>
                            <wps:bodyPr rot="0" vert="horz" wrap="square" lIns="18000" tIns="10800" rIns="18000" bIns="10800" anchor="ctr" anchorCtr="0" upright="1">
                              <a:noAutofit/>
                            </wps:bodyPr>
                          </wps:wsp>
                        </wpg:grpSp>
                        <wpg:grpSp>
                          <wpg:cNvPr id="25" name="Group 51"/>
                          <wpg:cNvGrpSpPr>
                            <a:grpSpLocks/>
                          </wpg:cNvGrpSpPr>
                          <wpg:grpSpPr bwMode="auto">
                            <a:xfrm>
                              <a:off x="0" y="-129"/>
                              <a:ext cx="9071" cy="11863"/>
                              <a:chOff x="0" y="-129"/>
                              <a:chExt cx="9071" cy="11863"/>
                            </a:xfrm>
                          </wpg:grpSpPr>
                          <wpg:grpSp>
                            <wpg:cNvPr id="33" name="Group 52"/>
                            <wpg:cNvGrpSpPr>
                              <a:grpSpLocks/>
                            </wpg:cNvGrpSpPr>
                            <wpg:grpSpPr bwMode="auto">
                              <a:xfrm>
                                <a:off x="0" y="-129"/>
                                <a:ext cx="9071" cy="11863"/>
                                <a:chOff x="0" y="-129"/>
                                <a:chExt cx="9071" cy="11863"/>
                              </a:xfrm>
                            </wpg:grpSpPr>
                            <wpg:grpSp>
                              <wpg:cNvPr id="34" name="Group 53"/>
                              <wpg:cNvGrpSpPr>
                                <a:grpSpLocks/>
                              </wpg:cNvGrpSpPr>
                              <wpg:grpSpPr bwMode="auto">
                                <a:xfrm>
                                  <a:off x="0" y="-129"/>
                                  <a:ext cx="9071" cy="11863"/>
                                  <a:chOff x="0" y="-129"/>
                                  <a:chExt cx="9071" cy="11863"/>
                                </a:xfrm>
                              </wpg:grpSpPr>
                              <wpg:grpSp>
                                <wpg:cNvPr id="35" name="Group 54"/>
                                <wpg:cNvGrpSpPr>
                                  <a:grpSpLocks/>
                                </wpg:cNvGrpSpPr>
                                <wpg:grpSpPr bwMode="auto">
                                  <a:xfrm>
                                    <a:off x="0" y="-129"/>
                                    <a:ext cx="9071" cy="11863"/>
                                    <a:chOff x="0" y="-129"/>
                                    <a:chExt cx="9071" cy="11863"/>
                                  </a:xfrm>
                                </wpg:grpSpPr>
                                <wpg:grpSp>
                                  <wpg:cNvPr id="36" name="Group 55"/>
                                  <wpg:cNvGrpSpPr>
                                    <a:grpSpLocks/>
                                  </wpg:cNvGrpSpPr>
                                  <wpg:grpSpPr bwMode="auto">
                                    <a:xfrm>
                                      <a:off x="0" y="-129"/>
                                      <a:ext cx="9071" cy="11863"/>
                                      <a:chOff x="0" y="-129"/>
                                      <a:chExt cx="9071" cy="11863"/>
                                    </a:xfrm>
                                  </wpg:grpSpPr>
                                  <wpg:grpSp>
                                    <wpg:cNvPr id="37" name="Group 56"/>
                                    <wpg:cNvGrpSpPr>
                                      <a:grpSpLocks/>
                                    </wpg:cNvGrpSpPr>
                                    <wpg:grpSpPr bwMode="auto">
                                      <a:xfrm>
                                        <a:off x="0" y="-129"/>
                                        <a:ext cx="9071" cy="11863"/>
                                        <a:chOff x="0" y="-129"/>
                                        <a:chExt cx="9071" cy="11863"/>
                                      </a:xfrm>
                                    </wpg:grpSpPr>
                                    <wpg:grpSp>
                                      <wpg:cNvPr id="38" name="Group 57"/>
                                      <wpg:cNvGrpSpPr>
                                        <a:grpSpLocks/>
                                      </wpg:cNvGrpSpPr>
                                      <wpg:grpSpPr bwMode="auto">
                                        <a:xfrm>
                                          <a:off x="0" y="-129"/>
                                          <a:ext cx="9071" cy="11863"/>
                                          <a:chOff x="0" y="-129"/>
                                          <a:chExt cx="9071" cy="11863"/>
                                        </a:xfrm>
                                      </wpg:grpSpPr>
                                      <wpg:grpSp>
                                        <wpg:cNvPr id="39" name="Group 58"/>
                                        <wpg:cNvGrpSpPr>
                                          <a:grpSpLocks/>
                                        </wpg:cNvGrpSpPr>
                                        <wpg:grpSpPr bwMode="auto">
                                          <a:xfrm>
                                            <a:off x="0" y="-129"/>
                                            <a:ext cx="9071" cy="11863"/>
                                            <a:chOff x="0" y="-129"/>
                                            <a:chExt cx="9071" cy="11863"/>
                                          </a:xfrm>
                                        </wpg:grpSpPr>
                                        <wpg:grpSp>
                                          <wpg:cNvPr id="40" name="Group 59"/>
                                          <wpg:cNvGrpSpPr>
                                            <a:grpSpLocks/>
                                          </wpg:cNvGrpSpPr>
                                          <wpg:grpSpPr bwMode="auto">
                                            <a:xfrm>
                                              <a:off x="0" y="-129"/>
                                              <a:ext cx="9071" cy="11611"/>
                                              <a:chOff x="0" y="-129"/>
                                              <a:chExt cx="9071" cy="11611"/>
                                            </a:xfrm>
                                          </wpg:grpSpPr>
                                          <wpg:grpSp>
                                            <wpg:cNvPr id="41" name="Group 60"/>
                                            <wpg:cNvGrpSpPr>
                                              <a:grpSpLocks/>
                                            </wpg:cNvGrpSpPr>
                                            <wpg:grpSpPr bwMode="auto">
                                              <a:xfrm>
                                                <a:off x="0" y="452"/>
                                                <a:ext cx="9071" cy="11030"/>
                                                <a:chOff x="0" y="452"/>
                                                <a:chExt cx="9071" cy="11030"/>
                                              </a:xfrm>
                                            </wpg:grpSpPr>
                                            <pic:pic xmlns:pic="http://schemas.openxmlformats.org/drawingml/2006/picture">
                                              <pic:nvPicPr>
                                                <pic:cNvPr id="42" name="Picture 6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800" y="452"/>
                                                  <a:ext cx="6803" cy="11030"/>
                                                </a:xfrm>
                                                <a:prstGeom prst="rect">
                                                  <a:avLst/>
                                                </a:prstGeom>
                                                <a:noFill/>
                                                <a:extLst>
                                                  <a:ext uri="{909E8E84-426E-40DD-AFC4-6F175D3DCCD1}">
                                                    <a14:hiddenFill xmlns:a14="http://schemas.microsoft.com/office/drawing/2010/main">
                                                      <a:solidFill>
                                                        <a:srgbClr val="FFFFFF"/>
                                                      </a:solidFill>
                                                    </a14:hiddenFill>
                                                  </a:ext>
                                                </a:extLst>
                                              </pic:spPr>
                                            </pic:pic>
                                            <wpg:grpSp>
                                              <wpg:cNvPr id="43" name="Group 62"/>
                                              <wpg:cNvGrpSpPr>
                                                <a:grpSpLocks/>
                                              </wpg:cNvGrpSpPr>
                                              <wpg:grpSpPr bwMode="auto">
                                                <a:xfrm>
                                                  <a:off x="0" y="6070"/>
                                                  <a:ext cx="9071" cy="2821"/>
                                                  <a:chOff x="0" y="6070"/>
                                                  <a:chExt cx="9071" cy="2821"/>
                                                </a:xfrm>
                                              </wpg:grpSpPr>
                                              <wps:wsp>
                                                <wps:cNvPr id="45" name="AutoShape 63"/>
                                                <wps:cNvCnPr>
                                                  <a:cxnSpLocks noChangeShapeType="1"/>
                                                </wps:cNvCnPr>
                                                <wps:spPr bwMode="auto">
                                                  <a:xfrm>
                                                    <a:off x="0" y="6070"/>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46" name="AutoShape 64"/>
                                                <wps:cNvCnPr>
                                                  <a:cxnSpLocks noChangeShapeType="1"/>
                                                </wps:cNvCnPr>
                                                <wps:spPr bwMode="auto">
                                                  <a:xfrm>
                                                    <a:off x="0" y="8890"/>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grpSp>
                                            <wpg:cNvPr id="47" name="Group 65"/>
                                            <wpg:cNvGrpSpPr>
                                              <a:grpSpLocks/>
                                            </wpg:cNvGrpSpPr>
                                            <wpg:grpSpPr bwMode="auto">
                                              <a:xfrm>
                                                <a:off x="251" y="-129"/>
                                                <a:ext cx="8446" cy="3427"/>
                                                <a:chOff x="251" y="-129"/>
                                                <a:chExt cx="8446" cy="3427"/>
                                              </a:xfrm>
                                            </wpg:grpSpPr>
                                            <wps:wsp>
                                              <wps:cNvPr id="48" name="Text Box 66"/>
                                              <wps:cNvSpPr txBox="1">
                                                <a:spLocks noChangeArrowheads="1"/>
                                              </wps:cNvSpPr>
                                              <wps:spPr bwMode="auto">
                                                <a:xfrm>
                                                  <a:off x="2112" y="3026"/>
                                                  <a:ext cx="4848"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036FE" w14:textId="77777777" w:rsidR="003832F2" w:rsidRDefault="003832F2" w:rsidP="00026ECB">
                                                    <w:pPr>
                                                      <w:pStyle w:val="NormalnyWeb"/>
                                                      <w:spacing w:before="0" w:beforeAutospacing="0" w:after="0" w:afterAutospacing="0"/>
                                                      <w:jc w:val="center"/>
                                                    </w:pPr>
                                                    <w:r>
                                                      <w:rPr>
                                                        <w:rFonts w:ascii="Arial Narrow" w:eastAsia="Calibri" w:hAnsi="Arial Narrow"/>
                                                        <w:b/>
                                                        <w:bCs/>
                                                        <w:sz w:val="18"/>
                                                        <w:szCs w:val="18"/>
                                                      </w:rPr>
                                                      <w:t>Drogi startowe z podejściem precyzyjnym</w:t>
                                                    </w:r>
                                                  </w:p>
                                                </w:txbxContent>
                                              </wps:txbx>
                                              <wps:bodyPr rot="0" vert="horz" wrap="square" lIns="18000" tIns="10800" rIns="18000" bIns="10800" anchor="ctr" anchorCtr="0" upright="1">
                                                <a:noAutofit/>
                                              </wps:bodyPr>
                                            </wps:wsp>
                                            <wps:wsp>
                                              <wps:cNvPr id="49" name="Text Box 67"/>
                                              <wps:cNvSpPr txBox="1">
                                                <a:spLocks noChangeArrowheads="1"/>
                                              </wps:cNvSpPr>
                                              <wps:spPr bwMode="auto">
                                                <a:xfrm>
                                                  <a:off x="251" y="-129"/>
                                                  <a:ext cx="8446"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3B467" w14:textId="77777777" w:rsidR="003832F2" w:rsidRDefault="003832F2" w:rsidP="00026ECB">
                                                    <w:pPr>
                                                      <w:pStyle w:val="NormalnyWeb"/>
                                                      <w:spacing w:before="0" w:beforeAutospacing="0" w:after="0" w:afterAutospacing="0"/>
                                                      <w:jc w:val="center"/>
                                                    </w:pPr>
                                                    <w:r>
                                                      <w:rPr>
                                                        <w:rFonts w:ascii="Arial Narrow" w:eastAsia="Calibri" w:hAnsi="Arial Narrow"/>
                                                        <w:b/>
                                                        <w:bCs/>
                                                        <w:sz w:val="18"/>
                                                        <w:szCs w:val="18"/>
                                                      </w:rPr>
                                                      <w:t>Drogi startowe nieprzyrządowe, z podejściem nieprecyzyjnym, przeznaczone do startu</w:t>
                                                    </w:r>
                                                  </w:p>
                                                </w:txbxContent>
                                              </wps:txbx>
                                              <wps:bodyPr rot="0" vert="horz" wrap="square" lIns="18000" tIns="10800" rIns="18000" bIns="10800" anchor="ctr" anchorCtr="0" upright="1">
                                                <a:noAutofit/>
                                              </wps:bodyPr>
                                            </wps:wsp>
                                          </wpg:grpSp>
                                        </wpg:grpSp>
                                        <wpg:grpSp>
                                          <wpg:cNvPr id="50" name="Group 68"/>
                                          <wpg:cNvGrpSpPr>
                                            <a:grpSpLocks/>
                                          </wpg:cNvGrpSpPr>
                                          <wpg:grpSpPr bwMode="auto">
                                            <a:xfrm>
                                              <a:off x="0" y="317"/>
                                              <a:ext cx="9071" cy="11417"/>
                                              <a:chOff x="0" y="317"/>
                                              <a:chExt cx="9071" cy="11417"/>
                                            </a:xfrm>
                                          </wpg:grpSpPr>
                                          <wps:wsp>
                                            <wps:cNvPr id="51" name="AutoShape 69"/>
                                            <wps:cNvCnPr>
                                              <a:cxnSpLocks noChangeShapeType="1"/>
                                            </wps:cNvCnPr>
                                            <wps:spPr bwMode="auto">
                                              <a:xfrm>
                                                <a:off x="1580" y="3326"/>
                                                <a:ext cx="1" cy="8408"/>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cNvPr id="52" name="Group 70"/>
                                            <wpg:cNvGrpSpPr>
                                              <a:grpSpLocks/>
                                            </wpg:cNvGrpSpPr>
                                            <wpg:grpSpPr bwMode="auto">
                                              <a:xfrm>
                                                <a:off x="0" y="317"/>
                                                <a:ext cx="9071" cy="3010"/>
                                                <a:chOff x="0" y="317"/>
                                                <a:chExt cx="9071" cy="3010"/>
                                              </a:xfrm>
                                            </wpg:grpSpPr>
                                            <wps:wsp>
                                              <wps:cNvPr id="53" name="AutoShape 71"/>
                                              <wps:cNvCnPr>
                                                <a:cxnSpLocks noChangeShapeType="1"/>
                                              </wps:cNvCnPr>
                                              <wps:spPr bwMode="auto">
                                                <a:xfrm>
                                                  <a:off x="0" y="317"/>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54" name="AutoShape 72"/>
                                              <wps:cNvCnPr>
                                                <a:cxnSpLocks noChangeShapeType="1"/>
                                              </wps:cNvCnPr>
                                              <wps:spPr bwMode="auto">
                                                <a:xfrm>
                                                  <a:off x="0" y="2969"/>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55" name="AutoShape 73"/>
                                              <wps:cNvCnPr>
                                                <a:cxnSpLocks noChangeShapeType="1"/>
                                              </wps:cNvCnPr>
                                              <wps:spPr bwMode="auto">
                                                <a:xfrm>
                                                  <a:off x="0" y="3326"/>
                                                  <a:ext cx="9071" cy="1"/>
                                                </a:xfrm>
                                                <a:prstGeom prst="straightConnector1">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g:grpSp>
                                      </wpg:grpSp>
                                    </wpg:grpSp>
                                    <wpg:grpSp>
                                      <wpg:cNvPr id="56" name="Group 74"/>
                                      <wpg:cNvGrpSpPr>
                                        <a:grpSpLocks/>
                                      </wpg:cNvGrpSpPr>
                                      <wpg:grpSpPr bwMode="auto">
                                        <a:xfrm>
                                          <a:off x="7740" y="4241"/>
                                          <a:ext cx="708" cy="207"/>
                                          <a:chOff x="7740" y="4241"/>
                                          <a:chExt cx="708" cy="207"/>
                                        </a:xfrm>
                                      </wpg:grpSpPr>
                                      <wps:wsp>
                                        <wps:cNvPr id="57" name="Text Box 75"/>
                                        <wps:cNvSpPr txBox="1">
                                          <a:spLocks noChangeArrowheads="1"/>
                                        </wps:cNvSpPr>
                                        <wps:spPr bwMode="auto">
                                          <a:xfrm>
                                            <a:off x="7740" y="4241"/>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EE38B8"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s:wsp>
                                        <wps:cNvPr id="58" name="Text Box 76"/>
                                        <wps:cNvSpPr txBox="1">
                                          <a:spLocks noChangeArrowheads="1"/>
                                        </wps:cNvSpPr>
                                        <wps:spPr bwMode="auto">
                                          <a:xfrm>
                                            <a:off x="8316" y="4241"/>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5FB24F"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g:grpSp>
                                    <wpg:cNvPr id="59" name="Group 77"/>
                                    <wpg:cNvGrpSpPr>
                                      <a:grpSpLocks/>
                                    </wpg:cNvGrpSpPr>
                                    <wpg:grpSpPr bwMode="auto">
                                      <a:xfrm>
                                        <a:off x="4358" y="1216"/>
                                        <a:ext cx="1174" cy="3559"/>
                                        <a:chOff x="4358" y="1216"/>
                                        <a:chExt cx="1174" cy="3559"/>
                                      </a:xfrm>
                                    </wpg:grpSpPr>
                                    <wps:wsp>
                                      <wps:cNvPr id="60" name="Text Box 78"/>
                                      <wps:cNvSpPr txBox="1">
                                        <a:spLocks noChangeArrowheads="1"/>
                                      </wps:cNvSpPr>
                                      <wps:spPr bwMode="auto">
                                        <a:xfrm>
                                          <a:off x="4358" y="4568"/>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01F5F"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s:wsp>
                                      <wps:cNvPr id="61" name="Text Box 79"/>
                                      <wps:cNvSpPr txBox="1">
                                        <a:spLocks noChangeArrowheads="1"/>
                                      </wps:cNvSpPr>
                                      <wps:spPr bwMode="auto">
                                        <a:xfrm>
                                          <a:off x="5400" y="1216"/>
                                          <a:ext cx="132" cy="35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9FB6C"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g:grpSp>
                                </wpg:grpSp>
                                <wpg:grpSp>
                                  <wpg:cNvPr id="62" name="Group 80"/>
                                  <wpg:cNvGrpSpPr>
                                    <a:grpSpLocks/>
                                  </wpg:cNvGrpSpPr>
                                  <wpg:grpSpPr bwMode="auto">
                                    <a:xfrm>
                                      <a:off x="4346" y="7328"/>
                                      <a:ext cx="144" cy="3035"/>
                                      <a:chOff x="4346" y="7328"/>
                                      <a:chExt cx="144" cy="3035"/>
                                    </a:xfrm>
                                  </wpg:grpSpPr>
                                  <wps:wsp>
                                    <wps:cNvPr id="63" name="Text Box 81"/>
                                    <wps:cNvSpPr txBox="1">
                                      <a:spLocks noChangeArrowheads="1"/>
                                    </wps:cNvSpPr>
                                    <wps:spPr bwMode="auto">
                                      <a:xfrm>
                                        <a:off x="4346" y="7328"/>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6904A5"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s:wsp>
                                    <wps:cNvPr id="64" name="Text Box 82"/>
                                    <wps:cNvSpPr txBox="1">
                                      <a:spLocks noChangeArrowheads="1"/>
                                    </wps:cNvSpPr>
                                    <wps:spPr bwMode="auto">
                                      <a:xfrm>
                                        <a:off x="4358" y="10156"/>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5C28BA"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s:wsp>
                                <wps:cNvPr id="65" name="Rectangle 83"/>
                                <wps:cNvSpPr>
                                  <a:spLocks noChangeArrowheads="1"/>
                                </wps:cNvSpPr>
                                <wps:spPr bwMode="auto">
                                  <a:xfrm>
                                    <a:off x="7692" y="6723"/>
                                    <a:ext cx="193" cy="85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34D6A418" w14:textId="77777777" w:rsidR="003832F2" w:rsidRDefault="003832F2" w:rsidP="00026ECB">
                                      <w:pPr>
                                        <w:rPr>
                                          <w:rFonts w:eastAsia="Times New Roman"/>
                                        </w:rPr>
                                      </w:pPr>
                                    </w:p>
                                  </w:txbxContent>
                                </wps:txbx>
                                <wps:bodyPr rot="0" vert="horz" wrap="square" lIns="91440" tIns="45720" rIns="91440" bIns="45720" anchor="t" anchorCtr="0" upright="1">
                                  <a:noAutofit/>
                                </wps:bodyPr>
                              </wps:wsp>
                            </wpg:grpSp>
                            <wps:wsp>
                              <wps:cNvPr id="79" name="AutoShape 84"/>
                              <wps:cNvCnPr>
                                <a:cxnSpLocks noChangeShapeType="1"/>
                              </wps:cNvCnPr>
                              <wps:spPr bwMode="auto">
                                <a:xfrm>
                                  <a:off x="7805" y="6630"/>
                                  <a:ext cx="1" cy="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0" name="Group 85"/>
                            <wpg:cNvGrpSpPr>
                              <a:grpSpLocks/>
                            </wpg:cNvGrpSpPr>
                            <wpg:grpSpPr bwMode="auto">
                              <a:xfrm>
                                <a:off x="7740" y="7025"/>
                                <a:ext cx="708" cy="414"/>
                                <a:chOff x="7740" y="7025"/>
                                <a:chExt cx="708" cy="414"/>
                              </a:xfrm>
                            </wpg:grpSpPr>
                            <wps:wsp>
                              <wps:cNvPr id="81" name="Text Box 86"/>
                              <wps:cNvSpPr txBox="1">
                                <a:spLocks noChangeArrowheads="1"/>
                              </wps:cNvSpPr>
                              <wps:spPr bwMode="auto">
                                <a:xfrm>
                                  <a:off x="7740" y="7025"/>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2D532"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wps:txbx>
                              <wps:bodyPr rot="0" vert="horz" wrap="square" lIns="0" tIns="0" rIns="0" bIns="0" anchor="ctr" anchorCtr="0" upright="1">
                                <a:noAutofit/>
                              </wps:bodyPr>
                            </wps:wsp>
                            <wps:wsp>
                              <wps:cNvPr id="82" name="Text Box 87"/>
                              <wps:cNvSpPr txBox="1">
                                <a:spLocks noChangeArrowheads="1"/>
                              </wps:cNvSpPr>
                              <wps:spPr bwMode="auto">
                                <a:xfrm>
                                  <a:off x="8316" y="7232"/>
                                  <a:ext cx="132" cy="20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DC3658"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wps:txbx>
                              <wps:bodyPr rot="0" vert="horz" wrap="square" lIns="0" tIns="0" rIns="0" bIns="0" anchor="ctr" anchorCtr="0" upright="1">
                                <a:noAutofit/>
                              </wps:bodyPr>
                            </wps:wsp>
                          </wpg:grpSp>
                        </wpg:grpSp>
                      </wpg:wgp>
                      <wps:wsp>
                        <wps:cNvPr id="83" name="Text Box 88"/>
                        <wps:cNvSpPr txBox="1">
                          <a:spLocks noChangeArrowheads="1"/>
                        </wps:cNvSpPr>
                        <wps:spPr bwMode="auto">
                          <a:xfrm>
                            <a:off x="4788164" y="6254088"/>
                            <a:ext cx="76835" cy="13144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31205" w14:textId="77777777" w:rsidR="003832F2" w:rsidRPr="00000E96" w:rsidRDefault="003832F2" w:rsidP="00026ECB">
                              <w:pPr>
                                <w:spacing w:after="0"/>
                                <w:jc w:val="center"/>
                                <w:rPr>
                                  <w:rFonts w:ascii="Arial" w:hAnsi="Arial" w:cs="Arial"/>
                                  <w:sz w:val="18"/>
                                  <w:szCs w:val="18"/>
                                </w:rPr>
                              </w:pPr>
                              <w:r w:rsidRPr="00000E96">
                                <w:rPr>
                                  <w:rFonts w:ascii="Arial" w:hAnsi="Arial" w:cs="Arial"/>
                                  <w:sz w:val="18"/>
                                  <w:szCs w:val="18"/>
                                </w:rPr>
                                <w:t>X</w:t>
                              </w:r>
                            </w:p>
                          </w:txbxContent>
                        </wps:txbx>
                        <wps:bodyPr rot="0" vert="horz" wrap="none" lIns="0" tIns="0" rIns="0" bIns="0" anchor="ctr" anchorCtr="0" upright="1">
                          <a:spAutoFit/>
                        </wps:bodyPr>
                      </wps:wsp>
                      <wps:wsp>
                        <wps:cNvPr id="84" name="Text Box 45"/>
                        <wps:cNvSpPr txBox="1">
                          <a:spLocks noChangeArrowheads="1"/>
                        </wps:cNvSpPr>
                        <wps:spPr bwMode="auto">
                          <a:xfrm>
                            <a:off x="5139444" y="6464143"/>
                            <a:ext cx="93345" cy="1606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C425AA" w14:textId="77777777" w:rsidR="003832F2" w:rsidRPr="00D33C6A" w:rsidRDefault="003832F2" w:rsidP="00026ECB">
                              <w:pPr>
                                <w:spacing w:after="0"/>
                                <w:jc w:val="center"/>
                                <w:rPr>
                                  <w:rFonts w:ascii="Arial" w:hAnsi="Arial" w:cs="Arial"/>
                                </w:rPr>
                              </w:pPr>
                              <w:r>
                                <w:rPr>
                                  <w:rFonts w:ascii="Arial" w:hAnsi="Arial" w:cs="Arial"/>
                                </w:rPr>
                                <w:t>Y</w:t>
                              </w:r>
                            </w:p>
                          </w:txbxContent>
                        </wps:txbx>
                        <wps:bodyPr rot="0" vert="horz" wrap="none" lIns="0" tIns="0" rIns="0" bIns="0" anchor="ctr" anchorCtr="0" upright="1">
                          <a:sp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49C347B" id="Kanwa 43" o:spid="_x0000_s1128" editas="canvas" style="width:444.35pt;height:596.35pt;mso-position-horizontal-relative:char;mso-position-vertical-relative:line" coordsize="56426,7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">
                <v:shape id="_x0000_s1129" type="#_x0000_t75" style="position:absolute;width:56426;height:75730;visibility:visible;mso-wrap-style:square" stroked="t" strokecolor="black [3213]" strokeweight=".5pt">
                  <v:fill o:detectmouseclick="t"/>
                  <v:path o:connecttype="none"/>
                </v:shape>
                <v:group id="Group 46" o:spid="_x0000_s1130" style="position:absolute;left:347;top:722;width:55744;height:73730"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47" o:spid="_x0000_s1131" style="position:absolute;left:156;top:4460;width:1268;height:5964" coordorigin="156,4460" coordsize="1268,5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 Box 48" o:spid="_x0000_s1132" type="#_x0000_t202" style="position:absolute;left:156;top:4460;width:1103;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" filled="f" stroked="f">
                      <v:textbox inset=".5mm,.3mm,.5mm,.3mm">
                        <w:txbxContent>
                          <w:p w14:paraId="79E10639" w14:textId="77777777" w:rsidR="003832F2" w:rsidRDefault="003832F2" w:rsidP="00026ECB">
                            <w:pPr>
                              <w:pStyle w:val="NormalnyWeb"/>
                              <w:spacing w:before="0" w:beforeAutospacing="0" w:after="0" w:afterAutospacing="0"/>
                              <w:jc w:val="both"/>
                            </w:pPr>
                            <w:r>
                              <w:rPr>
                                <w:rFonts w:ascii="Calibri" w:eastAsia="Calibri" w:hAnsi="Calibri"/>
                                <w:sz w:val="22"/>
                                <w:szCs w:val="22"/>
                              </w:rPr>
                              <w:t>Kategoria I</w:t>
                            </w:r>
                          </w:p>
                        </w:txbxContent>
                      </v:textbox>
                    </v:shape>
                    <v:shape id="Text Box 49" o:spid="_x0000_s1133" type="#_x0000_t202" style="position:absolute;left:156;top:7220;width:1268;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" filled="f" stroked="f">
                      <v:textbox inset=".5mm,.3mm,.5mm,.3mm">
                        <w:txbxContent>
                          <w:p w14:paraId="46D90D0C" w14:textId="77777777" w:rsidR="003832F2" w:rsidRDefault="003832F2"/>
                        </w:txbxContent>
                      </v:textbox>
                    </v:shape>
                    <v:shape id="Text Box 50" o:spid="_x0000_s1134" type="#_x0000_t202" style="position:absolute;left:156;top:10088;width:1268;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" filled="f" stroked="f">
                      <v:textbox inset=".5mm,.3mm,.5mm,.3mm">
                        <w:txbxContent>
                          <w:p w14:paraId="304AFF77" w14:textId="77777777" w:rsidR="003832F2" w:rsidRDefault="003832F2"/>
                        </w:txbxContent>
                      </v:textbox>
                    </v:shape>
                  </v:group>
                  <v:group id="Group 51" o:spid="_x0000_s1135"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52" o:spid="_x0000_s1136"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53" o:spid="_x0000_s1137"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54" o:spid="_x0000_s1138"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Group 55" o:spid="_x0000_s1139"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56" o:spid="_x0000_s1140"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57" o:spid="_x0000_s1141"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58" o:spid="_x0000_s1142" style="position:absolute;top:-129;width:9071;height:11863" coordorigin=",-129" coordsize="9071,1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59" o:spid="_x0000_s1143" style="position:absolute;top:-129;width:9071;height:11611" coordorigin=",-129" coordsize="9071,1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60" o:spid="_x0000_s1144" style="position:absolute;top:452;width:9071;height:11030" coordorigin=",452" coordsize="9071,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61" o:spid="_x0000_s1145" type="#_x0000_t75" style="position:absolute;left:1800;top:452;width:6803;height:1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">
                                        <v:imagedata r:id="rId216" o:title=""/>
                                      </v:shape>
                                      <v:group id="Group 62" o:spid="_x0000_s1146" style="position:absolute;top:6070;width:9071;height:2821" coordorigin=",6070" coordsize="9071,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63" o:spid="_x0000_s1147" type="#_x0000_t32" style="position:absolute;top:6070;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" strokecolor="black [3213]" strokeweight=".25pt"/>
                                        <v:shape id="AutoShape 64" o:spid="_x0000_s1148" type="#_x0000_t32" style="position:absolute;top:8890;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" strokecolor="black [3213]" strokeweight=".25pt"/>
                                      </v:group>
                                    </v:group>
                                    <v:group id="Group 65" o:spid="_x0000_s1149" style="position:absolute;left:251;top:-129;width:8446;height:3427" coordorigin="251,-129" coordsize="8446,3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Text Box 66" o:spid="_x0000_s1150" type="#_x0000_t202" style="position:absolute;left:2112;top:3026;width:4848;height: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" filled="f" stroked="f">
                                        <v:textbox inset=".5mm,.3mm,.5mm,.3mm">
                                          <w:txbxContent>
                                            <w:p w14:paraId="532036FE" w14:textId="77777777" w:rsidR="003832F2" w:rsidRDefault="003832F2" w:rsidP="00026ECB">
                                              <w:pPr>
                                                <w:pStyle w:val="NormalnyWeb"/>
                                                <w:spacing w:before="0" w:beforeAutospacing="0" w:after="0" w:afterAutospacing="0"/>
                                                <w:jc w:val="center"/>
                                              </w:pPr>
                                              <w:r>
                                                <w:rPr>
                                                  <w:rFonts w:ascii="Arial Narrow" w:eastAsia="Calibri" w:hAnsi="Arial Narrow"/>
                                                  <w:b/>
                                                  <w:bCs/>
                                                  <w:sz w:val="18"/>
                                                  <w:szCs w:val="18"/>
                                                </w:rPr>
                                                <w:t>Drogi startowe z podejściem precyzyjnym</w:t>
                                              </w:r>
                                            </w:p>
                                          </w:txbxContent>
                                        </v:textbox>
                                      </v:shape>
                                      <v:shape id="Text Box 67" o:spid="_x0000_s1151" type="#_x0000_t202" style="position:absolute;left:251;top:-129;width:8446;height: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" filled="f" stroked="f">
                                        <v:textbox inset=".5mm,.3mm,.5mm,.3mm">
                                          <w:txbxContent>
                                            <w:p w14:paraId="6143B467" w14:textId="77777777" w:rsidR="003832F2" w:rsidRDefault="003832F2" w:rsidP="00026ECB">
                                              <w:pPr>
                                                <w:pStyle w:val="NormalnyWeb"/>
                                                <w:spacing w:before="0" w:beforeAutospacing="0" w:after="0" w:afterAutospacing="0"/>
                                                <w:jc w:val="center"/>
                                              </w:pPr>
                                              <w:r>
                                                <w:rPr>
                                                  <w:rFonts w:ascii="Arial Narrow" w:eastAsia="Calibri" w:hAnsi="Arial Narrow"/>
                                                  <w:b/>
                                                  <w:bCs/>
                                                  <w:sz w:val="18"/>
                                                  <w:szCs w:val="18"/>
                                                </w:rPr>
                                                <w:t>Drogi startowe nieprzyrządowe, z podejściem nieprecyzyjnym, przeznaczone do startu</w:t>
                                              </w:r>
                                            </w:p>
                                          </w:txbxContent>
                                        </v:textbox>
                                      </v:shape>
                                    </v:group>
                                  </v:group>
                                  <v:group id="Group 68" o:spid="_x0000_s1152" style="position:absolute;top:317;width:9071;height:11417" coordorigin=",317" coordsize="9071,1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AutoShape 69" o:spid="_x0000_s1153" type="#_x0000_t32" style="position:absolute;left:1580;top:3326;width:1;height:84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" strokecolor="black [3213]" strokeweight=".25pt"/>
                                    <v:group id="Group 70" o:spid="_x0000_s1154" style="position:absolute;top:317;width:9071;height:3010" coordorigin=",317" coordsize="9071,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AutoShape 71" o:spid="_x0000_s1155" type="#_x0000_t32" style="position:absolute;top:317;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" strokecolor="black [3213]" strokeweight=".25pt"/>
                                      <v:shape id="AutoShape 72" o:spid="_x0000_s1156" type="#_x0000_t32" style="position:absolute;top:2969;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" strokecolor="black [3213]" strokeweight=".25pt"/>
                                      <v:shape id="AutoShape 73" o:spid="_x0000_s1157" type="#_x0000_t32" style="position:absolute;top:3326;width:907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" strokecolor="black [3213]" strokeweight=".25pt"/>
                                    </v:group>
                                  </v:group>
                                </v:group>
                              </v:group>
                              <v:group id="Group 74" o:spid="_x0000_s1158" style="position:absolute;left:7740;top:4241;width:708;height:207" coordorigin="7740,4241" coordsize="708,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75" o:spid="_x0000_s1159" type="#_x0000_t202" style="position:absolute;left:7740;top:4241;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" fillcolor="white [3212]" stroked="f">
                                  <v:textbox inset="0,0,0,0">
                                    <w:txbxContent>
                                      <w:p w14:paraId="51EE38B8"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v:textbox>
                                </v:shape>
                                <v:shape id="Text Box 76" o:spid="_x0000_s1160" type="#_x0000_t202" style="position:absolute;left:8316;top:4241;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" fillcolor="white [3212]" stroked="f">
                                  <v:textbox inset="0,0,0,0">
                                    <w:txbxContent>
                                      <w:p w14:paraId="755FB24F"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v:textbox>
                                </v:shape>
                              </v:group>
                            </v:group>
                            <v:group id="Group 77" o:spid="_x0000_s1161" style="position:absolute;left:4358;top:1216;width:1174;height:3559" coordorigin="4358,1216" coordsize="1174,3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78" o:spid="_x0000_s1162" type="#_x0000_t202" style="position:absolute;left:4358;top:4568;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" fillcolor="white [3212]" stroked="f">
                                <v:textbox inset="0,0,0,0">
                                  <w:txbxContent>
                                    <w:p w14:paraId="40F01F5F"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v:textbox>
                              </v:shape>
                              <v:shape id="Text Box 79" o:spid="_x0000_s1163" type="#_x0000_t202" style="position:absolute;left:5400;top:1216;width:132;height: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" fillcolor="white [3212]" stroked="f">
                                <v:textbox inset="0,0,0,0">
                                  <w:txbxContent>
                                    <w:p w14:paraId="5B89FB6C"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v:textbox>
                              </v:shape>
                            </v:group>
                          </v:group>
                          <v:group id="Group 80" o:spid="_x0000_s1164" style="position:absolute;left:4346;top:7328;width:144;height:3035" coordorigin="4346,7328" coordsize="144,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81" o:spid="_x0000_s1165" type="#_x0000_t202" style="position:absolute;left:4346;top:7328;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" fillcolor="white [3212]" stroked="f">
                              <v:textbox inset="0,0,0,0">
                                <w:txbxContent>
                                  <w:p w14:paraId="466904A5"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v:textbox>
                            </v:shape>
                            <v:shape id="Text Box 82" o:spid="_x0000_s1166" type="#_x0000_t202" style="position:absolute;left:4358;top:10156;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" fillcolor="white [3212]" stroked="f">
                              <v:textbox inset="0,0,0,0">
                                <w:txbxContent>
                                  <w:p w14:paraId="565C28BA"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v:textbox>
                            </v:shape>
                          </v:group>
                        </v:group>
                        <v:rect id="Rectangle 83" o:spid="_x0000_s1167" style="position:absolute;left:7692;top:6723;width:19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" fillcolor="white [3212]" strokecolor="white [3212]">
                          <v:textbox>
                            <w:txbxContent>
                              <w:p w14:paraId="34D6A418" w14:textId="77777777" w:rsidR="003832F2" w:rsidRDefault="003832F2" w:rsidP="00026ECB">
                                <w:pPr>
                                  <w:rPr>
                                    <w:rFonts w:eastAsia="Times New Roman"/>
                                  </w:rPr>
                                </w:pPr>
                              </w:p>
                            </w:txbxContent>
                          </v:textbox>
                        </v:rect>
                      </v:group>
                      <v:shape id="AutoShape 84" o:spid="_x0000_s1168" type="#_x0000_t32" style="position:absolute;left:7805;top:6630;width:1;height: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"/>
                    </v:group>
                    <v:group id="Group 85" o:spid="_x0000_s1169" style="position:absolute;left:7740;top:7025;width:708;height:414" coordorigin="7740,7025" coordsize="708,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Text Box 86" o:spid="_x0000_s1170" type="#_x0000_t202" style="position:absolute;left:7740;top:7025;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" fillcolor="white [3212]" stroked="f">
                        <v:textbox inset="0,0,0,0">
                          <w:txbxContent>
                            <w:p w14:paraId="2D32D532" w14:textId="77777777" w:rsidR="003832F2" w:rsidRDefault="003832F2" w:rsidP="00026ECB">
                              <w:pPr>
                                <w:pStyle w:val="NormalnyWeb"/>
                                <w:spacing w:before="0" w:beforeAutospacing="0" w:after="0" w:afterAutospacing="0"/>
                                <w:jc w:val="center"/>
                              </w:pPr>
                              <w:r>
                                <w:rPr>
                                  <w:rFonts w:ascii="Arial" w:eastAsia="Calibri" w:hAnsi="Arial"/>
                                  <w:sz w:val="18"/>
                                  <w:szCs w:val="18"/>
                                </w:rPr>
                                <w:t>X</w:t>
                              </w:r>
                            </w:p>
                          </w:txbxContent>
                        </v:textbox>
                      </v:shape>
                      <v:shape id="Text Box 87" o:spid="_x0000_s1171" type="#_x0000_t202" style="position:absolute;left:8316;top:7232;width:132;height: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" fillcolor="white [3212]" stroked="f">
                        <v:textbox inset="0,0,0,0">
                          <w:txbxContent>
                            <w:p w14:paraId="64DC3658" w14:textId="77777777" w:rsidR="003832F2" w:rsidRDefault="003832F2" w:rsidP="00026ECB">
                              <w:pPr>
                                <w:pStyle w:val="NormalnyWeb"/>
                                <w:spacing w:before="0" w:beforeAutospacing="0" w:after="0" w:afterAutospacing="0"/>
                                <w:jc w:val="center"/>
                              </w:pPr>
                              <w:r>
                                <w:rPr>
                                  <w:rFonts w:ascii="Arial" w:eastAsia="Calibri" w:hAnsi="Arial"/>
                                  <w:sz w:val="18"/>
                                  <w:szCs w:val="18"/>
                                </w:rPr>
                                <w:t>Y</w:t>
                              </w:r>
                            </w:p>
                          </w:txbxContent>
                        </v:textbox>
                      </v:shape>
                    </v:group>
                  </v:group>
                </v:group>
                <v:shape id="Text Box 88" o:spid="_x0000_s1172" type="#_x0000_t202" style="position:absolute;left:47881;top:62540;width:768;height:131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" fillcolor="white [3212]" stroked="f">
                  <v:textbox style="mso-fit-shape-to-text:t" inset="0,0,0,0">
                    <w:txbxContent>
                      <w:p w14:paraId="63E31205" w14:textId="77777777" w:rsidR="003832F2" w:rsidRPr="00000E96" w:rsidRDefault="003832F2" w:rsidP="00026ECB">
                        <w:pPr>
                          <w:spacing w:after="0"/>
                          <w:jc w:val="center"/>
                          <w:rPr>
                            <w:rFonts w:ascii="Arial" w:hAnsi="Arial" w:cs="Arial"/>
                            <w:sz w:val="18"/>
                            <w:szCs w:val="18"/>
                          </w:rPr>
                        </w:pPr>
                        <w:r w:rsidRPr="00000E96">
                          <w:rPr>
                            <w:rFonts w:ascii="Arial" w:hAnsi="Arial" w:cs="Arial"/>
                            <w:sz w:val="18"/>
                            <w:szCs w:val="18"/>
                          </w:rPr>
                          <w:t>X</w:t>
                        </w:r>
                      </w:p>
                    </w:txbxContent>
                  </v:textbox>
                </v:shape>
                <v:shape id="Text Box 45" o:spid="_x0000_s1173" type="#_x0000_t202" style="position:absolute;left:51394;top:64641;width:933;height:160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" fillcolor="white [3212]" stroked="f">
                  <v:textbox style="mso-fit-shape-to-text:t" inset="0,0,0,0">
                    <w:txbxContent>
                      <w:p w14:paraId="74C425AA" w14:textId="77777777" w:rsidR="003832F2" w:rsidRPr="00D33C6A" w:rsidRDefault="003832F2" w:rsidP="00026ECB">
                        <w:pPr>
                          <w:spacing w:after="0"/>
                          <w:jc w:val="center"/>
                          <w:rPr>
                            <w:rFonts w:ascii="Arial" w:hAnsi="Arial" w:cs="Arial"/>
                          </w:rPr>
                        </w:pPr>
                        <w:r>
                          <w:rPr>
                            <w:rFonts w:ascii="Arial" w:hAnsi="Arial" w:cs="Arial"/>
                          </w:rPr>
                          <w:t>Y</w:t>
                        </w:r>
                      </w:p>
                    </w:txbxContent>
                  </v:textbox>
                </v:shape>
                <w10:anchorlock/>
              </v:group>
            </w:pict>
          </mc:Fallback>
        </mc:AlternateContent>
      </w:r>
    </w:p>
    <w:p w14:paraId="37D7686F" w14:textId="77777777" w:rsidR="00C36D76" w:rsidRPr="009E064B" w:rsidRDefault="00C36D76" w:rsidP="00B06A9A">
      <w:pPr>
        <w:spacing w:after="0"/>
        <w:ind w:firstLine="425"/>
        <w:rPr>
          <w:i/>
          <w:sz w:val="20"/>
          <w:szCs w:val="20"/>
        </w:rPr>
      </w:pPr>
      <w:r w:rsidRPr="009E064B">
        <w:rPr>
          <w:i/>
          <w:sz w:val="20"/>
          <w:szCs w:val="20"/>
        </w:rPr>
        <w:t>Uwaga. – Odległość X ustala się na podstawie Tabeli D-2. Odległość Y ustala się na krawędzi strefy krytycznej/wrażliwej ILS/MLS.</w:t>
      </w:r>
    </w:p>
    <w:p w14:paraId="4CAF75B7" w14:textId="306A2737" w:rsidR="00C36D76" w:rsidRPr="00351FED" w:rsidRDefault="00C36D76" w:rsidP="00DF3108">
      <w:pPr>
        <w:spacing w:before="200"/>
        <w:jc w:val="center"/>
        <w:rPr>
          <w:b/>
          <w:sz w:val="20"/>
        </w:rPr>
      </w:pPr>
      <w:r w:rsidRPr="00351FED">
        <w:rPr>
          <w:b/>
          <w:sz w:val="20"/>
        </w:rPr>
        <w:t xml:space="preserve">Rysunek N-5.   Miejsca instalowania znaków przy skrzyżowaniach drogi kołowania z drogą startową </w:t>
      </w:r>
    </w:p>
    <w:p w14:paraId="0243C5E6" w14:textId="5C5B411C" w:rsidR="00C36D76" w:rsidRPr="009E064B" w:rsidRDefault="00C36D76" w:rsidP="00351FED">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7205130" w14:textId="77777777" w:rsidR="00321E77" w:rsidRPr="009E064B" w:rsidRDefault="00321E77" w:rsidP="00DF3108">
      <w:pPr>
        <w:pStyle w:val="Tekstpodstawowy"/>
        <w:spacing w:after="0"/>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D0BC8EA" w14:textId="7276D566" w:rsidR="002A38A1" w:rsidRPr="009E064B" w:rsidRDefault="00820B06" w:rsidP="00133B99">
      <w:pPr>
        <w:pStyle w:val="Nagwek6"/>
      </w:pPr>
      <w:bookmarkStart w:id="1652" w:name="_Toc401059061"/>
      <w:bookmarkStart w:id="1653" w:name="_Toc482886927"/>
      <w:bookmarkStart w:id="1654" w:name="_Toc12533247"/>
      <w:r w:rsidRPr="009E064B">
        <w:t xml:space="preserve">GM1 ADR-DSN.N.780     </w:t>
      </w:r>
      <w:r w:rsidR="002A38A1" w:rsidRPr="009E064B">
        <w:t>Znaki nakazu</w:t>
      </w:r>
      <w:bookmarkEnd w:id="1652"/>
      <w:bookmarkEnd w:id="1653"/>
      <w:bookmarkEnd w:id="1654"/>
    </w:p>
    <w:p w14:paraId="44A03CEE" w14:textId="3C760B73"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827BA56" w14:textId="77777777" w:rsidR="002A38A1" w:rsidRPr="009E064B" w:rsidRDefault="002A38A1" w:rsidP="00820B06">
      <w:pPr>
        <w:spacing w:after="0"/>
        <w:rPr>
          <w:szCs w:val="20"/>
        </w:rPr>
      </w:pPr>
      <w:r w:rsidRPr="009E064B">
        <w:rPr>
          <w:szCs w:val="20"/>
        </w:rPr>
        <w:t>Celowo pozostawiono puste.</w:t>
      </w:r>
    </w:p>
    <w:p w14:paraId="07A162CE" w14:textId="7B538841" w:rsidR="00C36D76" w:rsidRPr="009E064B" w:rsidRDefault="00232B6F" w:rsidP="00B06A9A">
      <w:pPr>
        <w:pStyle w:val="Nagwek4"/>
        <w:rPr>
          <w:color w:val="auto"/>
        </w:rPr>
      </w:pPr>
      <w:bookmarkStart w:id="1655" w:name="_CS_ADR-DSN.N.785_"/>
      <w:bookmarkStart w:id="1656" w:name="_Toc482886704"/>
      <w:bookmarkStart w:id="1657" w:name="_Toc12533248"/>
      <w:bookmarkEnd w:id="1655"/>
      <w:r w:rsidRPr="009E064B">
        <w:rPr>
          <w:color w:val="auto"/>
        </w:rPr>
        <w:t xml:space="preserve">CS ADR-DSN.N.785     </w:t>
      </w:r>
      <w:r w:rsidR="00C36D76" w:rsidRPr="009E064B">
        <w:rPr>
          <w:color w:val="auto"/>
        </w:rPr>
        <w:t>Znaki informacyjne</w:t>
      </w:r>
      <w:bookmarkEnd w:id="1656"/>
      <w:bookmarkEnd w:id="1657"/>
    </w:p>
    <w:p w14:paraId="3991BE82" w14:textId="31EBD939" w:rsidR="00232B6F" w:rsidRPr="00351FED" w:rsidRDefault="00D63D4F" w:rsidP="00232B6F">
      <w:pPr>
        <w:pStyle w:val="Tekstpodstawowy"/>
        <w:spacing w:after="80"/>
        <w:ind w:left="23" w:firstLine="0"/>
        <w:jc w:val="right"/>
        <w:rPr>
          <w:rFonts w:asciiTheme="minorHAnsi" w:hAnsiTheme="minorHAnsi" w:cstheme="minorHAnsi"/>
          <w:bCs/>
          <w:i/>
          <w:sz w:val="16"/>
          <w:szCs w:val="20"/>
        </w:rPr>
      </w:pPr>
      <w:r w:rsidRPr="00351FED">
        <w:rPr>
          <w:rFonts w:asciiTheme="minorHAnsi" w:hAnsiTheme="minorHAnsi" w:cstheme="minorHAnsi"/>
          <w:bCs/>
          <w:i/>
          <w:sz w:val="16"/>
          <w:szCs w:val="20"/>
        </w:rPr>
        <w:t>Decyzja ED 2016/027/R</w:t>
      </w:r>
    </w:p>
    <w:p w14:paraId="55582305" w14:textId="1BC7B9A3" w:rsidR="00C36D76" w:rsidRPr="00351FED" w:rsidRDefault="00C36D76" w:rsidP="00B06A9A">
      <w:pPr>
        <w:tabs>
          <w:tab w:val="left" w:pos="567"/>
        </w:tabs>
        <w:ind w:left="567" w:hanging="567"/>
        <w:rPr>
          <w:szCs w:val="20"/>
        </w:rPr>
      </w:pPr>
      <w:r w:rsidRPr="00351FED">
        <w:rPr>
          <w:rFonts w:cs="Times New Roman"/>
          <w:szCs w:val="20"/>
        </w:rPr>
        <w:t xml:space="preserve">(a) </w:t>
      </w:r>
      <w:r w:rsidRPr="00351FED">
        <w:rPr>
          <w:rFonts w:cs="Times New Roman"/>
          <w:szCs w:val="20"/>
        </w:rPr>
        <w:tab/>
      </w:r>
      <w:r w:rsidRPr="00351FED">
        <w:rPr>
          <w:szCs w:val="20"/>
        </w:rPr>
        <w:t>Zastosowanie:</w:t>
      </w:r>
    </w:p>
    <w:p w14:paraId="31445AC6"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Znaki informacyjne powinny być instalowane w miejscach, gdzie istnieje operacyjna potrzeba identyfikacji takim znakiem określonej lokalizacji lub trasy (kierunku lub miejsca przeznaczenia).</w:t>
      </w:r>
    </w:p>
    <w:p w14:paraId="265B1D3F"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Znakami informacyjnymi są: znaki kierunku, znaki lokalizacji, znaki wskazujące miejsce przeznaczenia, znaki zjazdu z drogi startowej, znaki opuszczenia drogi startowej oraz znaki startu ze skrzyżowania.</w:t>
      </w:r>
    </w:p>
    <w:p w14:paraId="107DC006"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Znak zjazdu z drogi startowej powinien być instalowany, jeżeli istnieje operacyjna potrzeba identyfikacji zjazdu z drogi startowej.</w:t>
      </w:r>
    </w:p>
    <w:p w14:paraId="433C5A41" w14:textId="77777777" w:rsidR="00C36D76" w:rsidRPr="009E064B" w:rsidRDefault="00C36D76" w:rsidP="00B06A9A">
      <w:pPr>
        <w:tabs>
          <w:tab w:val="left" w:pos="1134"/>
          <w:tab w:val="left" w:pos="9072"/>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Znak opuszczania drogi startowej powinien być instalowany tam, gdzie droga zjazdu nie posiada świateł linii środkowej drogi kołowania i gdzie zachodzi potrzeba poinformowania pilota opuszczającego drogę startową o granicach obszaru krytycznego/wrażliwego systemu ILS/MLS lub dolnej krawędzi powierzchni przejściowej wewnętrznej, w zależności od tego, która z tych granic jest bardziej oddalona od linii środkowej drogi startowej.</w:t>
      </w:r>
    </w:p>
    <w:p w14:paraId="7D5F52AA"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W przypadku dróg startowych, na których wykonywane są starty ze skrzyżowania, znak startu ze skrzyżowania powinien być instalowany w celu wskazania pozostałej rozporządzalnej długości rozbiegu (TORA) dla takich startów.</w:t>
      </w:r>
    </w:p>
    <w:p w14:paraId="4CF348E8" w14:textId="77777777"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Tam, gdzie jest to konieczne, powinno instalować się znaki wskazujące miejsce przeznaczenia na lotnisku, takie jak strefa obsługi towarowej (cargo), strefa dla lotnictwa ogólnego itp.</w:t>
      </w:r>
    </w:p>
    <w:p w14:paraId="2C40BD94"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Jeżeli planuje się zapewnianie informacji o trasie przed skrzyżowaniem dróg kołowania, należy instalować połączony znak lokalizacji ze wskazaniem kierunku.</w:t>
      </w:r>
    </w:p>
    <w:p w14:paraId="4AB5B3AD" w14:textId="0FFAB00E"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r>
      <w:r w:rsidRPr="009E064B">
        <w:rPr>
          <w:szCs w:val="20"/>
        </w:rPr>
        <w:t>Znak kierunku powinien być instalowany, jeżeli istnieje operacyjna potrzeba wskazania miejsca przeznaczenia oraz kierunku dróg kołowania na skrzyżowaniu.</w:t>
      </w:r>
    </w:p>
    <w:p w14:paraId="37BAD6AE" w14:textId="77777777" w:rsidR="00C36D76" w:rsidRPr="009E064B" w:rsidRDefault="00C36D76" w:rsidP="00B06A9A">
      <w:pPr>
        <w:tabs>
          <w:tab w:val="left" w:pos="1134"/>
        </w:tabs>
        <w:ind w:left="1134" w:hanging="567"/>
        <w:rPr>
          <w:szCs w:val="20"/>
        </w:rPr>
      </w:pPr>
      <w:r w:rsidRPr="009E064B">
        <w:rPr>
          <w:rFonts w:cs="Times New Roman"/>
          <w:szCs w:val="20"/>
        </w:rPr>
        <w:t xml:space="preserve">(9) </w:t>
      </w:r>
      <w:r w:rsidRPr="009E064B">
        <w:rPr>
          <w:rFonts w:cs="Times New Roman"/>
          <w:szCs w:val="20"/>
        </w:rPr>
        <w:tab/>
      </w:r>
      <w:r w:rsidRPr="009E064B">
        <w:rPr>
          <w:szCs w:val="20"/>
        </w:rPr>
        <w:t>Znak lokalizacji powinien być instalowany w pośrednim miejscu oczekiwania.</w:t>
      </w:r>
    </w:p>
    <w:p w14:paraId="15CA9B18" w14:textId="77777777" w:rsidR="00C36D76" w:rsidRPr="009E064B" w:rsidRDefault="00C36D76" w:rsidP="00B06A9A">
      <w:pPr>
        <w:tabs>
          <w:tab w:val="left" w:pos="1134"/>
        </w:tabs>
        <w:ind w:left="1134" w:hanging="567"/>
        <w:rPr>
          <w:szCs w:val="20"/>
        </w:rPr>
      </w:pPr>
      <w:r w:rsidRPr="009E064B">
        <w:rPr>
          <w:rFonts w:cs="Times New Roman"/>
          <w:szCs w:val="20"/>
        </w:rPr>
        <w:t xml:space="preserve">(10) </w:t>
      </w:r>
      <w:r w:rsidRPr="009E064B">
        <w:rPr>
          <w:rFonts w:cs="Times New Roman"/>
          <w:szCs w:val="20"/>
        </w:rPr>
        <w:tab/>
      </w:r>
      <w:r w:rsidRPr="009E064B">
        <w:rPr>
          <w:szCs w:val="20"/>
        </w:rPr>
        <w:t>Znak lokalizacji powinien być instalowany łącznie ze znakiem identyfikacji drogi startowej, z wyjątkiem skrzyżowania dróg startowych.</w:t>
      </w:r>
    </w:p>
    <w:p w14:paraId="18AC9EF2" w14:textId="77777777" w:rsidR="00C36D76" w:rsidRPr="009E064B" w:rsidRDefault="00C36D76" w:rsidP="00B06A9A">
      <w:pPr>
        <w:tabs>
          <w:tab w:val="left" w:pos="1134"/>
        </w:tabs>
        <w:ind w:left="1134" w:hanging="567"/>
        <w:rPr>
          <w:szCs w:val="20"/>
        </w:rPr>
      </w:pPr>
      <w:r w:rsidRPr="009E064B">
        <w:rPr>
          <w:rFonts w:cs="Times New Roman"/>
          <w:szCs w:val="20"/>
        </w:rPr>
        <w:t xml:space="preserve">(11) </w:t>
      </w:r>
      <w:r w:rsidRPr="009E064B">
        <w:rPr>
          <w:rFonts w:cs="Times New Roman"/>
          <w:szCs w:val="20"/>
        </w:rPr>
        <w:tab/>
      </w:r>
      <w:r w:rsidRPr="009E064B">
        <w:rPr>
          <w:szCs w:val="20"/>
        </w:rPr>
        <w:t>Znak lokalizacji powinien być instalowany łącznie ze znakiem kierunku, z wyjątkiem sytuacji, kiedy można go pominąć, jeżeli ocena bezpieczeństwa wykaże, że nie jest to konieczne.</w:t>
      </w:r>
    </w:p>
    <w:p w14:paraId="315A585F" w14:textId="77777777" w:rsidR="00C36D76" w:rsidRPr="009E064B" w:rsidRDefault="00C36D76" w:rsidP="00B06A9A">
      <w:pPr>
        <w:tabs>
          <w:tab w:val="left" w:pos="1134"/>
        </w:tabs>
        <w:ind w:left="1134" w:hanging="567"/>
        <w:rPr>
          <w:szCs w:val="20"/>
        </w:rPr>
      </w:pPr>
      <w:r w:rsidRPr="009E064B">
        <w:rPr>
          <w:rFonts w:cs="Times New Roman"/>
          <w:szCs w:val="20"/>
        </w:rPr>
        <w:t xml:space="preserve">(12) </w:t>
      </w:r>
      <w:r w:rsidRPr="009E064B">
        <w:rPr>
          <w:rFonts w:cs="Times New Roman"/>
          <w:szCs w:val="20"/>
        </w:rPr>
        <w:tab/>
      </w:r>
      <w:r w:rsidRPr="009E064B">
        <w:rPr>
          <w:szCs w:val="20"/>
        </w:rPr>
        <w:t xml:space="preserve">Jeżeli jest to konieczne, znak lokalizacji powinien być instalowany w celu identyfikacji dróg kołowania wychodzących z płyty </w:t>
      </w:r>
      <w:r w:rsidRPr="009E064B">
        <w:rPr>
          <w:rFonts w:cs="TimesNewRomanPS-ItalicMT"/>
          <w:iCs/>
          <w:szCs w:val="20"/>
        </w:rPr>
        <w:t xml:space="preserve">postojowej </w:t>
      </w:r>
      <w:r w:rsidRPr="009E064B">
        <w:rPr>
          <w:szCs w:val="20"/>
        </w:rPr>
        <w:t>lub dróg kołowania poza skrzyżowaniem.</w:t>
      </w:r>
    </w:p>
    <w:p w14:paraId="7DCA47D3" w14:textId="74AE1E6F" w:rsidR="00DF3108" w:rsidRPr="009E064B" w:rsidRDefault="00C36D76" w:rsidP="00DF3108">
      <w:pPr>
        <w:tabs>
          <w:tab w:val="left" w:pos="1134"/>
        </w:tabs>
        <w:ind w:left="1134" w:hanging="567"/>
        <w:rPr>
          <w:szCs w:val="20"/>
        </w:rPr>
      </w:pPr>
      <w:r w:rsidRPr="009E064B">
        <w:rPr>
          <w:rFonts w:cs="Times New Roman"/>
          <w:szCs w:val="20"/>
        </w:rPr>
        <w:t xml:space="preserve">(13) </w:t>
      </w:r>
      <w:r w:rsidRPr="009E064B">
        <w:rPr>
          <w:rFonts w:cs="Times New Roman"/>
          <w:szCs w:val="20"/>
        </w:rPr>
        <w:tab/>
      </w:r>
      <w:r w:rsidRPr="009E064B">
        <w:rPr>
          <w:szCs w:val="20"/>
        </w:rPr>
        <w:t>Jeżeli droga kołowania kończy się na skrzyżowaniu, tak jak w przypadku skrzyżowania typu „T” oraz konieczna jest tego identyfikacja, powinno się zastosować barykadę, znak kierunku i/lub inną odpowiednią pomoc wzrokową.</w:t>
      </w:r>
      <w:r w:rsidR="00DF3108" w:rsidRPr="009E064B">
        <w:rPr>
          <w:szCs w:val="20"/>
        </w:rPr>
        <w:t xml:space="preserve">  </w:t>
      </w:r>
      <w:r w:rsidR="00DF3108" w:rsidRPr="009E064B">
        <w:rPr>
          <w:szCs w:val="20"/>
        </w:rPr>
        <w:br w:type="page"/>
      </w:r>
    </w:p>
    <w:p w14:paraId="11E8FDB8"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p>
    <w:p w14:paraId="325A311E" w14:textId="44200EB2" w:rsidR="00C36D76" w:rsidRPr="00351FED"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 xml:space="preserve">Z wyjątkiem przypadków, określonych w </w:t>
      </w:r>
      <w:r w:rsidR="003F7443" w:rsidRPr="009E064B">
        <w:rPr>
          <w:szCs w:val="20"/>
        </w:rPr>
        <w:t>lit. </w:t>
      </w:r>
      <w:r w:rsidRPr="009E064B">
        <w:rPr>
          <w:szCs w:val="20"/>
        </w:rPr>
        <w:t>(b)</w:t>
      </w:r>
      <w:r w:rsidR="003F7443" w:rsidRPr="009E064B">
        <w:rPr>
          <w:szCs w:val="20"/>
        </w:rPr>
        <w:t xml:space="preserve"> pkt </w:t>
      </w:r>
      <w:r w:rsidRPr="009E064B">
        <w:rPr>
          <w:szCs w:val="20"/>
        </w:rPr>
        <w:t xml:space="preserve">(3) poniżej, znaki informacyjne, o ile </w:t>
      </w:r>
      <w:r w:rsidRPr="00351FED">
        <w:rPr>
          <w:szCs w:val="20"/>
        </w:rPr>
        <w:t>jest to praktycznie możliwe, powinny być instalowane po lewej stronie drogi kołowania, zgodnie z Tabelą N-1.</w:t>
      </w:r>
    </w:p>
    <w:p w14:paraId="491B2B5B" w14:textId="68DF7110" w:rsidR="00C36D76" w:rsidRPr="009E064B" w:rsidRDefault="00C36D76" w:rsidP="00B06A9A">
      <w:pPr>
        <w:tabs>
          <w:tab w:val="left" w:pos="1134"/>
        </w:tabs>
        <w:ind w:left="1134" w:hanging="567"/>
        <w:rPr>
          <w:szCs w:val="20"/>
        </w:rPr>
      </w:pPr>
      <w:r w:rsidRPr="00351FED">
        <w:rPr>
          <w:rFonts w:cs="Times New Roman"/>
          <w:szCs w:val="20"/>
        </w:rPr>
        <w:t xml:space="preserve">(2) </w:t>
      </w:r>
      <w:r w:rsidRPr="00351FED">
        <w:rPr>
          <w:rFonts w:cs="Times New Roman"/>
          <w:szCs w:val="20"/>
        </w:rPr>
        <w:tab/>
      </w:r>
      <w:r w:rsidRPr="00351FED">
        <w:rPr>
          <w:szCs w:val="20"/>
        </w:rPr>
        <w:t>Na skrzyżowaniu drogi kołowania, znaki informacyjne powinny być instalowane przed skrzyżowaniem,</w:t>
      </w:r>
      <w:r w:rsidR="00B75BFE" w:rsidRPr="00351FED">
        <w:t xml:space="preserve"> zgodnie z oznakowaniem poziomym pośredniego miejsca oczekiwania</w:t>
      </w:r>
      <w:r w:rsidR="00C62F25" w:rsidRPr="00351FED">
        <w:rPr>
          <w:szCs w:val="20"/>
        </w:rPr>
        <w:t>. W </w:t>
      </w:r>
      <w:r w:rsidRPr="00351FED">
        <w:rPr>
          <w:szCs w:val="20"/>
        </w:rPr>
        <w:t>przypadku braku</w:t>
      </w:r>
      <w:r w:rsidR="00B75BFE" w:rsidRPr="00351FED">
        <w:t xml:space="preserve"> oznakowania pośredniego miejsca oczekiwania</w:t>
      </w:r>
      <w:r w:rsidRPr="00351FED">
        <w:rPr>
          <w:szCs w:val="20"/>
        </w:rPr>
        <w:t xml:space="preserve">, </w:t>
      </w:r>
      <w:r w:rsidR="00EA40EA" w:rsidRPr="00351FED">
        <w:rPr>
          <w:szCs w:val="20"/>
        </w:rPr>
        <w:t xml:space="preserve">znaki powinny być </w:t>
      </w:r>
      <w:r w:rsidR="00EA40EA" w:rsidRPr="009E064B">
        <w:rPr>
          <w:szCs w:val="20"/>
        </w:rPr>
        <w:t>instalowane w</w:t>
      </w:r>
      <w:r w:rsidR="00B75BFE" w:rsidRPr="009E064B">
        <w:rPr>
          <w:szCs w:val="20"/>
        </w:rPr>
        <w:t xml:space="preserve"> </w:t>
      </w:r>
      <w:r w:rsidRPr="009E064B">
        <w:rPr>
          <w:szCs w:val="20"/>
        </w:rPr>
        <w:t xml:space="preserve">odległości, co najmniej 60 m od linii środkowej krzyżującej się drogi kołowania − jeżeli cyfrą kodu jest 3 lub 4 oraz co najmniej </w:t>
      </w:r>
      <w:r w:rsidR="003F7443" w:rsidRPr="009E064B">
        <w:rPr>
          <w:szCs w:val="20"/>
        </w:rPr>
        <w:t>40 m − jeżeli cyfrą kodu jest 1 </w:t>
      </w:r>
      <w:r w:rsidRPr="009E064B">
        <w:rPr>
          <w:szCs w:val="20"/>
        </w:rPr>
        <w:t>lub 2.</w:t>
      </w:r>
    </w:p>
    <w:p w14:paraId="325B2BA2"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Znak zjazdu z drogi startowej powinien być instalowany po tej stronie drogi startowej, po której znajduje się zjazd i musi być on ustawiony zgodnie z Tabelą N-1.</w:t>
      </w:r>
    </w:p>
    <w:p w14:paraId="6EA5BD11"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Znak zjazdu z drogi startowej powinien być instalowany przed zjazdem z drogi startowej w odległości, co najmniej 60 m przed punktem styczności drogi startowej z drogą zjazdu, jeżeli cyfrą kodu jest 3 lub 4 i co najmniej 30 m, jeżeli cyfrą kodu jest 1 lub 2.</w:t>
      </w:r>
    </w:p>
    <w:p w14:paraId="67531F7F"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Znak opuszczenia drogi startowej powinien być instalowany, co najmniej z jednej strony drogi kołowania. Odległość pomiędzy znakiem a linią środkową drogi startowej nie powinna być mniejsza niż większa z poniższych odległości:</w:t>
      </w:r>
    </w:p>
    <w:p w14:paraId="7AEC41BF" w14:textId="01DFFFD4"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odległość pomiędzy linią środkową drogi startowej a granicą strefy krytycznej</w:t>
      </w:r>
      <w:r w:rsidR="003F7443" w:rsidRPr="009E064B">
        <w:rPr>
          <w:szCs w:val="20"/>
        </w:rPr>
        <w:t> </w:t>
      </w:r>
      <w:r w:rsidRPr="009E064B">
        <w:rPr>
          <w:szCs w:val="20"/>
        </w:rPr>
        <w:t>/</w:t>
      </w:r>
      <w:r w:rsidR="003F7443" w:rsidRPr="009E064B">
        <w:rPr>
          <w:szCs w:val="20"/>
        </w:rPr>
        <w:t xml:space="preserve"> </w:t>
      </w:r>
      <w:r w:rsidRPr="009E064B">
        <w:rPr>
          <w:szCs w:val="20"/>
        </w:rPr>
        <w:t>wrażliwej systemu ILS/MLS; lub</w:t>
      </w:r>
    </w:p>
    <w:p w14:paraId="54A32AD5"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odległość pomiędzy linią środkową drogi startowej a dolną krawędzią powierzchni przejściowej wewnętrznej.</w:t>
      </w:r>
    </w:p>
    <w:p w14:paraId="12AEFD55" w14:textId="77777777"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Tam, gdzie zastosowano połączenie znaku opuszczenia drogi startowej ze znakiem lokalizacji, znak lokalizacji drogi kołowania powinien być umieszczony po zewnętrznej stronie znaku opuszczenia drogi startowej.</w:t>
      </w:r>
    </w:p>
    <w:p w14:paraId="5E395216"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Znak startu ze skrzyżowania powinien być zlokalizowany po lewej stronie drogi kołowania prowadzącej do drogi startowej. Odległość pomiędzy znakiem a linią środkową drogi startowej nie powinna być mniejsza niż 60 m, jeżeli cyfrą kodu jest 3 lub 4 oraz nie mniejsza niż 45 m, jeżeli cyfrą kodu jest 1 lub 2.</w:t>
      </w:r>
    </w:p>
    <w:p w14:paraId="580EF646" w14:textId="77777777"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r>
      <w:r w:rsidRPr="009E064B">
        <w:rPr>
          <w:szCs w:val="20"/>
        </w:rPr>
        <w:t>Znak lokalizacji drogi kołowania instalowany w połączeniu ze znakiem identyfikacji drogi startowej, powinien być umieszczony po stronie zewnętrznej znaku identyfikacji drogi startowej.</w:t>
      </w:r>
    </w:p>
    <w:p w14:paraId="510AC4EE" w14:textId="77777777" w:rsidR="00C36D76" w:rsidRPr="009E064B" w:rsidRDefault="00C36D76" w:rsidP="00B06A9A">
      <w:pPr>
        <w:tabs>
          <w:tab w:val="left" w:pos="1134"/>
        </w:tabs>
        <w:ind w:left="1134" w:hanging="567"/>
        <w:rPr>
          <w:szCs w:val="20"/>
        </w:rPr>
      </w:pPr>
      <w:r w:rsidRPr="009E064B">
        <w:rPr>
          <w:rFonts w:cs="Times New Roman"/>
          <w:szCs w:val="20"/>
        </w:rPr>
        <w:t xml:space="preserve">(9) </w:t>
      </w:r>
      <w:r w:rsidRPr="009E064B">
        <w:rPr>
          <w:rFonts w:cs="Times New Roman"/>
          <w:szCs w:val="20"/>
        </w:rPr>
        <w:tab/>
      </w:r>
      <w:r w:rsidRPr="009E064B">
        <w:rPr>
          <w:szCs w:val="20"/>
        </w:rPr>
        <w:t>Znak wskazujący miejsce przeznaczenia nie powinien być zwykle łączony ze znakiem lokalizacji ani ze znakiem kierunku.</w:t>
      </w:r>
    </w:p>
    <w:p w14:paraId="2531AEB6" w14:textId="77777777" w:rsidR="00C36D76" w:rsidRPr="009E064B" w:rsidRDefault="00C36D76" w:rsidP="00B06A9A">
      <w:pPr>
        <w:tabs>
          <w:tab w:val="left" w:pos="1134"/>
        </w:tabs>
        <w:ind w:left="1134" w:hanging="567"/>
        <w:rPr>
          <w:szCs w:val="20"/>
        </w:rPr>
      </w:pPr>
      <w:r w:rsidRPr="009E064B">
        <w:rPr>
          <w:rFonts w:cs="Times New Roman"/>
          <w:szCs w:val="20"/>
        </w:rPr>
        <w:t xml:space="preserve">(10) </w:t>
      </w:r>
      <w:r w:rsidRPr="009E064B">
        <w:rPr>
          <w:rFonts w:cs="Times New Roman"/>
          <w:szCs w:val="20"/>
        </w:rPr>
        <w:tab/>
      </w:r>
      <w:r w:rsidRPr="009E064B">
        <w:rPr>
          <w:szCs w:val="20"/>
        </w:rPr>
        <w:t>Znak informacyjny, inny niż znak lokalizacji nie powinien być łączony ze znakiem nakazu.</w:t>
      </w:r>
    </w:p>
    <w:p w14:paraId="7E084432" w14:textId="77777777" w:rsidR="00C36D76" w:rsidRPr="009E064B" w:rsidRDefault="00C36D76" w:rsidP="00DF3108">
      <w:pPr>
        <w:tabs>
          <w:tab w:val="left" w:pos="567"/>
        </w:tabs>
        <w:spacing w:before="240"/>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1E2D2854"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informacyjny inny niż znak lokalizacji powinien posiadać napis koloru czarnego na żółtym tle.</w:t>
      </w:r>
    </w:p>
    <w:p w14:paraId="4570E33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Znak lokalizacji powinien posiadać napis koloru żółtego na czarnym tle, jeżeli znak ten występuje samodzielnie to powinien posiadać żółte obramowanie.</w:t>
      </w:r>
    </w:p>
    <w:p w14:paraId="16C9F13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Napis na znaku zjazdu z drogi startowej powinien składać się z oznaczenia drogi kołowania do zjazdu oraz strzałki wskazującej kierunek zjazdu.</w:t>
      </w:r>
    </w:p>
    <w:p w14:paraId="5C371628" w14:textId="477D0B2D"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 xml:space="preserve">Napis na znaku opuszczenia drogi startowej powinien przedstawiać oznakowania miejsca oczekiwania przed drogą startową, w układzie A, jak pokazano na Rysunku </w:t>
      </w:r>
      <w:r w:rsidRPr="009E064B">
        <w:rPr>
          <w:szCs w:val="20"/>
        </w:rPr>
        <w:br/>
        <w:t>N-6.</w:t>
      </w:r>
    </w:p>
    <w:p w14:paraId="4859D432"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Napis na znaku startu ze skrzyżowania powinien zawierać informację liczbową, wskazującą pozostającą rozporządzalną długość rozbiegu w metrach (TORA) i strzałkę, właściwie umieszczoną i zorientowaną, wskazującą kierunek startu, jak przedstawiono na Rysunku N-6.</w:t>
      </w:r>
    </w:p>
    <w:p w14:paraId="392E6FEF" w14:textId="77777777"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Napis na znaku wskazującym miejsce przeznaczenia powinien składać się z informacji literowej, literowo liczbowej lub liczbowej identyfikującej miejsce przeznaczenia oraz ze strzałki wskazującej kierunek kołowania, jak przedstawiono na Rysunku N-6.</w:t>
      </w:r>
    </w:p>
    <w:p w14:paraId="458901A2" w14:textId="77777777" w:rsidR="00C36D76" w:rsidRPr="009E064B" w:rsidRDefault="00C36D76" w:rsidP="00B06A9A">
      <w:pPr>
        <w:tabs>
          <w:tab w:val="left" w:pos="1134"/>
        </w:tabs>
        <w:ind w:left="1134" w:hanging="567"/>
        <w:rPr>
          <w:szCs w:val="20"/>
        </w:rPr>
      </w:pPr>
      <w:r w:rsidRPr="009E064B">
        <w:rPr>
          <w:rFonts w:cs="Times New Roman"/>
          <w:szCs w:val="20"/>
        </w:rPr>
        <w:t xml:space="preserve">(7) </w:t>
      </w:r>
      <w:r w:rsidRPr="009E064B">
        <w:rPr>
          <w:rFonts w:cs="Times New Roman"/>
          <w:szCs w:val="20"/>
        </w:rPr>
        <w:tab/>
      </w:r>
      <w:r w:rsidRPr="009E064B">
        <w:rPr>
          <w:szCs w:val="20"/>
        </w:rPr>
        <w:t>Napis na znaku kierunku powinien składać się z informacji literowej lub literowo liczbowej identyfikującej drogę (drogi) kołowania oraz z odpowiednio zorientowanej strzałki, jak przedstawiono na Rysunku N-6.</w:t>
      </w:r>
    </w:p>
    <w:p w14:paraId="34108D94" w14:textId="77777777" w:rsidR="00C36D76" w:rsidRPr="009E064B" w:rsidRDefault="00C36D76" w:rsidP="00B06A9A">
      <w:pPr>
        <w:tabs>
          <w:tab w:val="left" w:pos="1134"/>
        </w:tabs>
        <w:ind w:left="1134" w:hanging="567"/>
        <w:rPr>
          <w:szCs w:val="20"/>
        </w:rPr>
      </w:pPr>
      <w:r w:rsidRPr="009E064B">
        <w:rPr>
          <w:rFonts w:cs="Times New Roman"/>
          <w:szCs w:val="20"/>
        </w:rPr>
        <w:t xml:space="preserve">(8) </w:t>
      </w:r>
      <w:r w:rsidRPr="009E064B">
        <w:rPr>
          <w:rFonts w:cs="Times New Roman"/>
          <w:szCs w:val="20"/>
        </w:rPr>
        <w:tab/>
      </w:r>
      <w:r w:rsidRPr="009E064B">
        <w:rPr>
          <w:szCs w:val="20"/>
        </w:rPr>
        <w:t>Napis na znaku lokalizacji powinien składać się z oznaczenia lokalizacji drogi kołowania, drogi startowej lub innej nawierzchni, na której znajduje się statek powietrzny lub na którą wjeżdża i nie powinien zawierać strzałek.</w:t>
      </w:r>
    </w:p>
    <w:p w14:paraId="7A14258D" w14:textId="60D81076" w:rsidR="00C36D76" w:rsidRPr="009E064B" w:rsidRDefault="00C36D76" w:rsidP="00B06A9A">
      <w:pPr>
        <w:tabs>
          <w:tab w:val="left" w:pos="1134"/>
        </w:tabs>
        <w:ind w:left="1134" w:hanging="567"/>
        <w:rPr>
          <w:szCs w:val="20"/>
        </w:rPr>
      </w:pPr>
      <w:r w:rsidRPr="009E064B">
        <w:rPr>
          <w:rFonts w:cs="Times New Roman"/>
          <w:szCs w:val="20"/>
        </w:rPr>
        <w:t xml:space="preserve">(9) </w:t>
      </w:r>
      <w:r w:rsidRPr="009E064B">
        <w:rPr>
          <w:rFonts w:cs="Times New Roman"/>
          <w:szCs w:val="20"/>
        </w:rPr>
        <w:tab/>
      </w:r>
      <w:r w:rsidRPr="009E064B">
        <w:rPr>
          <w:szCs w:val="20"/>
        </w:rPr>
        <w:t>Jeżeli zachodzi konieczność identyfikacji każdego z szeregu pośrednich miejsc oczekiwania na tej samej drodze kołowania, znak lokalizacji powini</w:t>
      </w:r>
      <w:r w:rsidR="00EA40EA" w:rsidRPr="009E064B">
        <w:rPr>
          <w:szCs w:val="20"/>
        </w:rPr>
        <w:t>en składać się z oznaczenia i z </w:t>
      </w:r>
      <w:r w:rsidRPr="009E064B">
        <w:rPr>
          <w:szCs w:val="20"/>
        </w:rPr>
        <w:t>postępujących (kolejnych) liczb.</w:t>
      </w:r>
    </w:p>
    <w:p w14:paraId="71F19AAA" w14:textId="77777777" w:rsidR="00C36D76" w:rsidRPr="009E064B" w:rsidRDefault="00C36D76" w:rsidP="00B06A9A">
      <w:pPr>
        <w:tabs>
          <w:tab w:val="left" w:pos="1134"/>
        </w:tabs>
        <w:ind w:left="1134" w:hanging="567"/>
        <w:rPr>
          <w:szCs w:val="20"/>
        </w:rPr>
      </w:pPr>
      <w:r w:rsidRPr="009E064B">
        <w:rPr>
          <w:rFonts w:cs="Times New Roman"/>
          <w:szCs w:val="20"/>
        </w:rPr>
        <w:t xml:space="preserve">(10) </w:t>
      </w:r>
      <w:r w:rsidRPr="009E064B">
        <w:rPr>
          <w:rFonts w:cs="Times New Roman"/>
          <w:szCs w:val="20"/>
        </w:rPr>
        <w:tab/>
      </w:r>
      <w:r w:rsidRPr="009E064B">
        <w:rPr>
          <w:szCs w:val="20"/>
        </w:rPr>
        <w:t>Jeżeli znak lokalizacji i znaki kierunku są używane łącznie, to:</w:t>
      </w:r>
    </w:p>
    <w:p w14:paraId="5CC7631E" w14:textId="64438805"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wszystkie znaki kierunku odnoszące się do skrętu w lewo powinny być zlokalizowane po lewej stronie znaku lokalizacji a wszystkie znaki odnoszące się do skrętu w prawo powinny być zlokalizowane po prawej stronie znak</w:t>
      </w:r>
      <w:r w:rsidR="00EA40EA" w:rsidRPr="009E064B">
        <w:rPr>
          <w:szCs w:val="20"/>
        </w:rPr>
        <w:t>u lokalizacji, z </w:t>
      </w:r>
      <w:r w:rsidRPr="009E064B">
        <w:rPr>
          <w:szCs w:val="20"/>
        </w:rPr>
        <w:t>wyjątkiem przypadku skrzyżowania z jedną drogą kołowania, wówczas znak lokalizacji może być zlokalizowany po lewej stronie;</w:t>
      </w:r>
    </w:p>
    <w:p w14:paraId="68325D5F"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znaki kierunku powinny być umieszczone w taki sposób, aby strzałki odchylały się coraz bardziej pionu, wraz ze wzrostem odchylenia odnoszącej się do znaku drogi kołowania;</w:t>
      </w:r>
    </w:p>
    <w:p w14:paraId="6F34FFCB" w14:textId="77777777" w:rsidR="00C36D76" w:rsidRPr="009E064B" w:rsidRDefault="00C36D76" w:rsidP="00B06A9A">
      <w:pPr>
        <w:tabs>
          <w:tab w:val="left" w:pos="1701"/>
        </w:tabs>
        <w:ind w:left="1701" w:hanging="567"/>
        <w:rPr>
          <w:szCs w:val="20"/>
        </w:rPr>
      </w:pPr>
      <w:r w:rsidRPr="009E064B">
        <w:rPr>
          <w:rFonts w:cs="Times New Roman"/>
          <w:szCs w:val="20"/>
        </w:rPr>
        <w:t xml:space="preserve">(iii) </w:t>
      </w:r>
      <w:r w:rsidRPr="009E064B">
        <w:rPr>
          <w:rFonts w:cs="Times New Roman"/>
          <w:szCs w:val="20"/>
        </w:rPr>
        <w:tab/>
      </w:r>
      <w:r w:rsidRPr="009E064B">
        <w:rPr>
          <w:szCs w:val="20"/>
        </w:rPr>
        <w:t>odpowiedni znak kierunku powinien być umieszczony obok znaku lokalizacji, jeżeli kierunek położenia drogi kołowania znacznie się zmienia poza skrzyżowaniem; oraz</w:t>
      </w:r>
    </w:p>
    <w:p w14:paraId="5F45F95E" w14:textId="77777777" w:rsidR="00C36D76" w:rsidRPr="009E064B" w:rsidRDefault="00C36D76" w:rsidP="00B06A9A">
      <w:pPr>
        <w:tabs>
          <w:tab w:val="left" w:pos="1701"/>
        </w:tabs>
        <w:ind w:left="1701" w:hanging="567"/>
        <w:rPr>
          <w:szCs w:val="20"/>
        </w:rPr>
      </w:pPr>
      <w:r w:rsidRPr="009E064B">
        <w:rPr>
          <w:rFonts w:cs="Times New Roman"/>
          <w:szCs w:val="20"/>
        </w:rPr>
        <w:t xml:space="preserve">(iv) </w:t>
      </w:r>
      <w:r w:rsidRPr="009E064B">
        <w:rPr>
          <w:rFonts w:cs="Times New Roman"/>
          <w:szCs w:val="20"/>
        </w:rPr>
        <w:tab/>
      </w:r>
      <w:r w:rsidRPr="009E064B">
        <w:rPr>
          <w:szCs w:val="20"/>
        </w:rPr>
        <w:t>sąsiadujące ze sobą znaki kierunku powinny być oddzielone pionowymi czarnymi liniami, jak przedstawiono na Rysunku N-6.</w:t>
      </w:r>
    </w:p>
    <w:p w14:paraId="1A7C7746" w14:textId="77777777" w:rsidR="00C36D76" w:rsidRPr="009E064B" w:rsidRDefault="00C36D76" w:rsidP="00B06A9A">
      <w:pPr>
        <w:tabs>
          <w:tab w:val="left" w:pos="1134"/>
        </w:tabs>
        <w:ind w:left="1134" w:hanging="567"/>
        <w:rPr>
          <w:szCs w:val="20"/>
        </w:rPr>
      </w:pPr>
      <w:r w:rsidRPr="009E064B">
        <w:rPr>
          <w:rFonts w:cs="Times New Roman"/>
          <w:szCs w:val="20"/>
        </w:rPr>
        <w:t>(11)</w:t>
      </w:r>
      <w:r w:rsidRPr="009E064B">
        <w:rPr>
          <w:rFonts w:cs="Times New Roman"/>
          <w:szCs w:val="20"/>
        </w:rPr>
        <w:tab/>
      </w:r>
      <w:r w:rsidRPr="009E064B">
        <w:rPr>
          <w:szCs w:val="20"/>
        </w:rPr>
        <w:t>Droga kołowania powinna być identyfikowana za pomocą oznaczenia składającego się z litery, liter lub kombinacji litery lub liter, po których następuje cyfra.</w:t>
      </w:r>
    </w:p>
    <w:p w14:paraId="33F87007" w14:textId="2B02197F" w:rsidR="00C36D76" w:rsidRPr="009E064B" w:rsidRDefault="00C36D76" w:rsidP="00B06A9A">
      <w:pPr>
        <w:tabs>
          <w:tab w:val="left" w:pos="1134"/>
        </w:tabs>
        <w:ind w:left="1134" w:hanging="567"/>
        <w:rPr>
          <w:szCs w:val="20"/>
        </w:rPr>
      </w:pPr>
      <w:r w:rsidRPr="009E064B">
        <w:rPr>
          <w:rFonts w:cs="Times New Roman"/>
          <w:szCs w:val="20"/>
        </w:rPr>
        <w:t>(12)</w:t>
      </w:r>
      <w:r w:rsidRPr="009E064B">
        <w:rPr>
          <w:rFonts w:cs="Times New Roman"/>
          <w:szCs w:val="20"/>
        </w:rPr>
        <w:tab/>
      </w:r>
      <w:r w:rsidRPr="009E064B">
        <w:rPr>
          <w:szCs w:val="20"/>
        </w:rPr>
        <w:t>Przy oznaczaniu dróg kołowania powinno się unikać liter I, O lub X oraz używania słów takich jak „</w:t>
      </w:r>
      <w:r w:rsidRPr="009E064B">
        <w:rPr>
          <w:i/>
          <w:szCs w:val="20"/>
        </w:rPr>
        <w:t>inner</w:t>
      </w:r>
      <w:r w:rsidRPr="009E064B">
        <w:rPr>
          <w:szCs w:val="20"/>
        </w:rPr>
        <w:t>” (wewnętrzny) lub „</w:t>
      </w:r>
      <w:r w:rsidRPr="009E064B">
        <w:rPr>
          <w:i/>
          <w:szCs w:val="20"/>
        </w:rPr>
        <w:t>oute</w:t>
      </w:r>
      <w:r w:rsidRPr="009E064B">
        <w:rPr>
          <w:szCs w:val="20"/>
        </w:rPr>
        <w:t>r” (zewnętrzny</w:t>
      </w:r>
      <w:r w:rsidR="00E55842" w:rsidRPr="009E064B">
        <w:rPr>
          <w:szCs w:val="20"/>
        </w:rPr>
        <w:t>), co pozwoli uniknąć pomyłki z </w:t>
      </w:r>
      <w:r w:rsidRPr="009E064B">
        <w:rPr>
          <w:szCs w:val="20"/>
        </w:rPr>
        <w:t>cyframi 1 oraz 0 i oznakowaniem wskazującym na zamknięcie ruchu.</w:t>
      </w:r>
    </w:p>
    <w:p w14:paraId="5CEE8DD7" w14:textId="77777777" w:rsidR="00C36D76" w:rsidRPr="009E064B" w:rsidRDefault="00C36D76" w:rsidP="00B06A9A">
      <w:pPr>
        <w:tabs>
          <w:tab w:val="left" w:pos="1134"/>
        </w:tabs>
        <w:ind w:left="1134" w:hanging="567"/>
        <w:rPr>
          <w:szCs w:val="20"/>
        </w:rPr>
      </w:pPr>
      <w:r w:rsidRPr="009E064B">
        <w:rPr>
          <w:rFonts w:cs="Times New Roman"/>
          <w:szCs w:val="20"/>
        </w:rPr>
        <w:t>(13)</w:t>
      </w:r>
      <w:r w:rsidRPr="009E064B">
        <w:rPr>
          <w:rFonts w:cs="Times New Roman"/>
          <w:szCs w:val="20"/>
        </w:rPr>
        <w:tab/>
      </w:r>
      <w:r w:rsidRPr="009E064B">
        <w:rPr>
          <w:szCs w:val="20"/>
        </w:rPr>
        <w:t>Użycie na polu manewrowym znaku składającego się z samych cyfr powinno być zarezerwowane tylko do oznaczania dróg startowych.</w:t>
      </w:r>
    </w:p>
    <w:p w14:paraId="46C44E04" w14:textId="5887420E" w:rsidR="00C36D76" w:rsidRPr="009E064B" w:rsidRDefault="00C36D76" w:rsidP="00B06A9A">
      <w:pPr>
        <w:spacing w:after="200"/>
        <w:jc w:val="left"/>
        <w:rPr>
          <w:szCs w:val="20"/>
        </w:rPr>
      </w:pPr>
    </w:p>
    <w:p w14:paraId="73F1D248" w14:textId="3F33A074" w:rsidR="00C36D76" w:rsidRPr="009E064B" w:rsidRDefault="007A5C1D" w:rsidP="00C0699D">
      <w:pPr>
        <w:spacing w:after="0"/>
        <w:rPr>
          <w:sz w:val="18"/>
          <w:szCs w:val="20"/>
        </w:rPr>
      </w:pPr>
      <w:r w:rsidRPr="009E064B">
        <w:rPr>
          <w:noProof/>
          <w:lang w:eastAsia="pl-PL"/>
        </w:rPr>
        <mc:AlternateContent>
          <mc:Choice Requires="wpc">
            <w:drawing>
              <wp:inline distT="0" distB="0" distL="0" distR="0" wp14:anchorId="3A9F5B3B" wp14:editId="0E7BBF27">
                <wp:extent cx="5755005" cy="7275442"/>
                <wp:effectExtent l="0" t="0" r="17145" b="20955"/>
                <wp:docPr id="8719" name="Kanwa 87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g:wgp>
                        <wpg:cNvPr id="2453" name="Grupa 2453"/>
                        <wpg:cNvGrpSpPr/>
                        <wpg:grpSpPr>
                          <a:xfrm>
                            <a:off x="87823" y="246836"/>
                            <a:ext cx="5558296" cy="6618205"/>
                            <a:chOff x="87823" y="303986"/>
                            <a:chExt cx="5558296" cy="6618205"/>
                          </a:xfrm>
                        </wpg:grpSpPr>
                        <wpg:grpSp>
                          <wpg:cNvPr id="2454" name="Grupa 2454"/>
                          <wpg:cNvGrpSpPr/>
                          <wpg:grpSpPr>
                            <a:xfrm>
                              <a:off x="87823" y="303986"/>
                              <a:ext cx="5558296" cy="6443503"/>
                              <a:chOff x="87823" y="303986"/>
                              <a:chExt cx="5558296" cy="6443503"/>
                            </a:xfrm>
                          </wpg:grpSpPr>
                          <wpg:grpSp>
                            <wpg:cNvPr id="2455" name="Grupa 2455"/>
                            <wpg:cNvGrpSpPr/>
                            <wpg:grpSpPr>
                              <a:xfrm>
                                <a:off x="87823" y="303986"/>
                                <a:ext cx="5558296" cy="6443503"/>
                                <a:chOff x="87823" y="303986"/>
                                <a:chExt cx="5558296" cy="6443503"/>
                              </a:xfrm>
                            </wpg:grpSpPr>
                            <wpg:grpSp>
                              <wpg:cNvPr id="2456" name="Grupa 2456"/>
                              <wpg:cNvGrpSpPr/>
                              <wpg:grpSpPr>
                                <a:xfrm>
                                  <a:off x="87823" y="303986"/>
                                  <a:ext cx="5558296" cy="6443503"/>
                                  <a:chOff x="87823" y="303986"/>
                                  <a:chExt cx="5558296" cy="6443503"/>
                                </a:xfrm>
                              </wpg:grpSpPr>
                              <wpg:grpSp>
                                <wpg:cNvPr id="2457" name="Grupa 2457"/>
                                <wpg:cNvGrpSpPr/>
                                <wpg:grpSpPr>
                                  <a:xfrm>
                                    <a:off x="87823" y="303986"/>
                                    <a:ext cx="5558296" cy="6443503"/>
                                    <a:chOff x="87823" y="303986"/>
                                    <a:chExt cx="5558296" cy="6443503"/>
                                  </a:xfrm>
                                </wpg:grpSpPr>
                                <wpg:grpSp>
                                  <wpg:cNvPr id="2458" name="Grupa 2458"/>
                                  <wpg:cNvGrpSpPr/>
                                  <wpg:grpSpPr>
                                    <a:xfrm>
                                      <a:off x="87823" y="303986"/>
                                      <a:ext cx="5558296" cy="6443503"/>
                                      <a:chOff x="87822" y="303986"/>
                                      <a:chExt cx="5558296" cy="6443503"/>
                                    </a:xfrm>
                                  </wpg:grpSpPr>
                                  <wpg:grpSp>
                                    <wpg:cNvPr id="2459" name="Grupa 2459"/>
                                    <wpg:cNvGrpSpPr/>
                                    <wpg:grpSpPr>
                                      <a:xfrm>
                                        <a:off x="87822" y="303986"/>
                                        <a:ext cx="5558296" cy="6443503"/>
                                        <a:chOff x="87822" y="303986"/>
                                        <a:chExt cx="5558296" cy="6443503"/>
                                      </a:xfrm>
                                    </wpg:grpSpPr>
                                    <wpg:grpSp>
                                      <wpg:cNvPr id="2460" name="Grupa 2460"/>
                                      <wpg:cNvGrpSpPr/>
                                      <wpg:grpSpPr>
                                        <a:xfrm>
                                          <a:off x="87822" y="303986"/>
                                          <a:ext cx="5558296" cy="6443503"/>
                                          <a:chOff x="87822" y="303986"/>
                                          <a:chExt cx="5558296" cy="6443503"/>
                                        </a:xfrm>
                                      </wpg:grpSpPr>
                                      <wpg:grpSp>
                                        <wpg:cNvPr id="2461" name="Grupa 2461"/>
                                        <wpg:cNvGrpSpPr/>
                                        <wpg:grpSpPr>
                                          <a:xfrm>
                                            <a:off x="148346" y="303986"/>
                                            <a:ext cx="5497772" cy="6443503"/>
                                            <a:chOff x="148346" y="303986"/>
                                            <a:chExt cx="5497772" cy="6443503"/>
                                          </a:xfrm>
                                        </wpg:grpSpPr>
                                        <wpg:grpSp>
                                          <wpg:cNvPr id="2462" name="Grupa 2462"/>
                                          <wpg:cNvGrpSpPr/>
                                          <wpg:grpSpPr>
                                            <a:xfrm>
                                              <a:off x="148346" y="303986"/>
                                              <a:ext cx="5497772" cy="6443503"/>
                                              <a:chOff x="148346" y="303986"/>
                                              <a:chExt cx="5497772" cy="6443503"/>
                                            </a:xfrm>
                                          </wpg:grpSpPr>
                                          <wpg:grpSp>
                                            <wpg:cNvPr id="2463" name="Grupa 2463"/>
                                            <wpg:cNvGrpSpPr/>
                                            <wpg:grpSpPr>
                                              <a:xfrm>
                                                <a:off x="148346" y="303986"/>
                                                <a:ext cx="5497772" cy="6443503"/>
                                                <a:chOff x="148346" y="303986"/>
                                                <a:chExt cx="5497772" cy="6443503"/>
                                              </a:xfrm>
                                            </wpg:grpSpPr>
                                            <wpg:grpSp>
                                              <wpg:cNvPr id="8704" name="Grupa 8704"/>
                                              <wpg:cNvGrpSpPr/>
                                              <wpg:grpSpPr>
                                                <a:xfrm>
                                                  <a:off x="148346" y="303986"/>
                                                  <a:ext cx="5497772" cy="6443503"/>
                                                  <a:chOff x="148346" y="303986"/>
                                                  <a:chExt cx="5497772" cy="6443503"/>
                                                </a:xfrm>
                                              </wpg:grpSpPr>
                                              <pic:pic xmlns:pic="http://schemas.openxmlformats.org/drawingml/2006/picture">
                                                <pic:nvPicPr>
                                                  <pic:cNvPr id="8705"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48346" y="454617"/>
                                                    <a:ext cx="5497772" cy="6292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06" name="Pole tekstowe 2"/>
                                                <wps:cNvSpPr txBox="1">
                                                  <a:spLocks noChangeArrowheads="1"/>
                                                </wps:cNvSpPr>
                                                <wps:spPr bwMode="auto">
                                                  <a:xfrm>
                                                    <a:off x="1848650" y="303986"/>
                                                    <a:ext cx="2381250" cy="278765"/>
                                                  </a:xfrm>
                                                  <a:prstGeom prst="rect">
                                                    <a:avLst/>
                                                  </a:prstGeom>
                                                  <a:noFill/>
                                                  <a:ln w="9525">
                                                    <a:noFill/>
                                                    <a:miter lim="800000"/>
                                                    <a:headEnd/>
                                                    <a:tailEnd/>
                                                  </a:ln>
                                                </wps:spPr>
                                                <wps:txbx>
                                                  <w:txbxContent>
                                                    <w:p w14:paraId="47FEA3E4"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Strona lewa                      Strona prawa</w:t>
                                                      </w:r>
                                                    </w:p>
                                                  </w:txbxContent>
                                                </wps:txbx>
                                                <wps:bodyPr rot="0" vert="horz" wrap="square" lIns="91440" tIns="45720" rIns="91440" bIns="45720" anchor="t" anchorCtr="0">
                                                  <a:spAutoFit/>
                                                </wps:bodyPr>
                                              </wps:wsp>
                                            </wpg:grpSp>
                                            <wps:wsp>
                                              <wps:cNvPr id="8707" name="Pole tekstowe 2"/>
                                              <wps:cNvSpPr txBox="1">
                                                <a:spLocks noChangeArrowheads="1"/>
                                              </wps:cNvSpPr>
                                              <wps:spPr bwMode="auto">
                                                <a:xfrm>
                                                  <a:off x="1838319" y="1042613"/>
                                                  <a:ext cx="2381249" cy="279399"/>
                                                </a:xfrm>
                                                <a:prstGeom prst="rect">
                                                  <a:avLst/>
                                                </a:prstGeom>
                                                <a:noFill/>
                                                <a:ln w="9525">
                                                  <a:noFill/>
                                                  <a:miter lim="800000"/>
                                                  <a:headEnd/>
                                                  <a:tailEnd/>
                                                </a:ln>
                                              </wps:spPr>
                                              <wps:txbx>
                                                <w:txbxContent>
                                                  <w:p w14:paraId="1709ACF4"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w:t>
                                                    </w:r>
                                                  </w:p>
                                                </w:txbxContent>
                                              </wps:txbx>
                                              <wps:bodyPr rot="0" vert="horz" wrap="square" lIns="91440" tIns="45720" rIns="91440" bIns="45720" anchor="t" anchorCtr="0">
                                                <a:spAutoFit/>
                                              </wps:bodyPr>
                                            </wps:wsp>
                                          </wpg:grpSp>
                                          <wps:wsp>
                                            <wps:cNvPr id="8708" name="Pole tekstowe 2"/>
                                            <wps:cNvSpPr txBox="1">
                                              <a:spLocks noChangeArrowheads="1"/>
                                            </wps:cNvSpPr>
                                            <wps:spPr bwMode="auto">
                                              <a:xfrm>
                                                <a:off x="268635" y="1957028"/>
                                                <a:ext cx="1740977" cy="278765"/>
                                              </a:xfrm>
                                              <a:prstGeom prst="rect">
                                                <a:avLst/>
                                              </a:prstGeom>
                                              <a:noFill/>
                                              <a:ln w="9525">
                                                <a:noFill/>
                                                <a:miter lim="800000"/>
                                                <a:headEnd/>
                                                <a:tailEnd/>
                                              </a:ln>
                                            </wps:spPr>
                                            <wps:txbx>
                                              <w:txbxContent>
                                                <w:p w14:paraId="5B218AE1"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Lokalizacja  /   Kierunek</w:t>
                                                  </w:r>
                                                </w:p>
                                              </w:txbxContent>
                                            </wps:txbx>
                                            <wps:bodyPr rot="0" vert="horz" wrap="square" lIns="91440" tIns="45720" rIns="91440" bIns="45720" anchor="t" anchorCtr="0">
                                              <a:spAutoFit/>
                                            </wps:bodyPr>
                                          </wps:wsp>
                                        </wpg:grpSp>
                                        <wps:wsp>
                                          <wps:cNvPr id="8709" name="Pole tekstowe 2"/>
                                          <wps:cNvSpPr txBox="1">
                                            <a:spLocks noChangeArrowheads="1"/>
                                          </wps:cNvSpPr>
                                          <wps:spPr bwMode="auto">
                                            <a:xfrm>
                                              <a:off x="4116570" y="1957034"/>
                                              <a:ext cx="780894" cy="278130"/>
                                            </a:xfrm>
                                            <a:prstGeom prst="rect">
                                              <a:avLst/>
                                            </a:prstGeom>
                                            <a:noFill/>
                                            <a:ln w="9525">
                                              <a:noFill/>
                                              <a:miter lim="800000"/>
                                              <a:headEnd/>
                                              <a:tailEnd/>
                                            </a:ln>
                                          </wps:spPr>
                                          <wps:txbx>
                                            <w:txbxContent>
                                              <w:p w14:paraId="2C4C351C"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Kierunek</w:t>
                                                </w:r>
                                              </w:p>
                                            </w:txbxContent>
                                          </wps:txbx>
                                          <wps:bodyPr rot="0" vert="horz" wrap="square" lIns="91440" tIns="45720" rIns="91440" bIns="45720" anchor="t" anchorCtr="0">
                                            <a:spAutoFit/>
                                          </wps:bodyPr>
                                        </wps:wsp>
                                      </wpg:grpSp>
                                      <wps:wsp>
                                        <wps:cNvPr id="8710" name="Pole tekstowe 2"/>
                                        <wps:cNvSpPr txBox="1">
                                          <a:spLocks noChangeArrowheads="1"/>
                                        </wps:cNvSpPr>
                                        <wps:spPr bwMode="auto">
                                          <a:xfrm>
                                            <a:off x="87822" y="2927358"/>
                                            <a:ext cx="2403050" cy="279399"/>
                                          </a:xfrm>
                                          <a:prstGeom prst="rect">
                                            <a:avLst/>
                                          </a:prstGeom>
                                          <a:noFill/>
                                          <a:ln w="9525">
                                            <a:noFill/>
                                            <a:miter lim="800000"/>
                                            <a:headEnd/>
                                            <a:tailEnd/>
                                          </a:ln>
                                        </wps:spPr>
                                        <wps:txbx>
                                          <w:txbxContent>
                                            <w:p w14:paraId="0BA758AA"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Lokalizacja / Droga startowa zwolniona</w:t>
                                              </w:r>
                                            </w:p>
                                          </w:txbxContent>
                                        </wps:txbx>
                                        <wps:bodyPr rot="0" vert="horz" wrap="square" lIns="91440" tIns="45720" rIns="91440" bIns="45720" anchor="t" anchorCtr="0">
                                          <a:spAutoFit/>
                                        </wps:bodyPr>
                                      </wps:wsp>
                                    </wpg:grpSp>
                                    <wps:wsp>
                                      <wps:cNvPr id="8711" name="Pole tekstowe 2"/>
                                      <wps:cNvSpPr txBox="1">
                                        <a:spLocks noChangeArrowheads="1"/>
                                      </wps:cNvSpPr>
                                      <wps:spPr bwMode="auto">
                                        <a:xfrm>
                                          <a:off x="3222834" y="2917035"/>
                                          <a:ext cx="2402840" cy="278765"/>
                                        </a:xfrm>
                                        <a:prstGeom prst="rect">
                                          <a:avLst/>
                                        </a:prstGeom>
                                        <a:noFill/>
                                        <a:ln w="9525">
                                          <a:noFill/>
                                          <a:miter lim="800000"/>
                                          <a:headEnd/>
                                          <a:tailEnd/>
                                        </a:ln>
                                      </wps:spPr>
                                      <wps:txbx>
                                        <w:txbxContent>
                                          <w:p w14:paraId="7EE70179"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Droga startowa zwolniona</w:t>
                                            </w:r>
                                            <w:r w:rsidRPr="00EC2DC6">
                                              <w:rPr>
                                                <w:rFonts w:ascii="Calibri" w:eastAsia="Calibri" w:hAnsi="Calibri"/>
                                                <w:color w:val="000000"/>
                                                <w:sz w:val="20"/>
                                                <w:szCs w:val="20"/>
                                              </w:rPr>
                                              <w:t xml:space="preserve"> </w:t>
                                            </w:r>
                                            <w:r>
                                              <w:rPr>
                                                <w:rFonts w:ascii="Calibri" w:eastAsia="Calibri" w:hAnsi="Calibri"/>
                                                <w:color w:val="000000"/>
                                                <w:sz w:val="20"/>
                                                <w:szCs w:val="20"/>
                                              </w:rPr>
                                              <w:t>/ Lokalizacja</w:t>
                                            </w:r>
                                          </w:p>
                                        </w:txbxContent>
                                      </wps:txbx>
                                      <wps:bodyPr rot="0" vert="horz" wrap="square" lIns="91440" tIns="45720" rIns="91440" bIns="45720" anchor="t" anchorCtr="0">
                                        <a:spAutoFit/>
                                      </wps:bodyPr>
                                    </wps:wsp>
                                  </wpg:grpSp>
                                  <wps:wsp>
                                    <wps:cNvPr id="8712" name="Pole tekstowe 2"/>
                                    <wps:cNvSpPr txBox="1">
                                      <a:spLocks noChangeArrowheads="1"/>
                                    </wps:cNvSpPr>
                                    <wps:spPr bwMode="auto">
                                      <a:xfrm>
                                        <a:off x="1218388" y="3804842"/>
                                        <a:ext cx="1483359" cy="279399"/>
                                      </a:xfrm>
                                      <a:prstGeom prst="rect">
                                        <a:avLst/>
                                      </a:prstGeom>
                                      <a:noFill/>
                                      <a:ln w="9525">
                                        <a:noFill/>
                                        <a:miter lim="800000"/>
                                        <a:headEnd/>
                                        <a:tailEnd/>
                                      </a:ln>
                                    </wps:spPr>
                                    <wps:txbx>
                                      <w:txbxContent>
                                        <w:p w14:paraId="0313A38A"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g:grpSp>
                                <wps:wsp>
                                  <wps:cNvPr id="8713" name="Pole tekstowe 2"/>
                                  <wps:cNvSpPr txBox="1">
                                    <a:spLocks noChangeArrowheads="1"/>
                                  </wps:cNvSpPr>
                                  <wps:spPr bwMode="auto">
                                    <a:xfrm>
                                      <a:off x="3455309" y="3791106"/>
                                      <a:ext cx="1482090" cy="278765"/>
                                    </a:xfrm>
                                    <a:prstGeom prst="rect">
                                      <a:avLst/>
                                    </a:prstGeom>
                                    <a:noFill/>
                                    <a:ln w="9525">
                                      <a:noFill/>
                                      <a:miter lim="800000"/>
                                      <a:headEnd/>
                                      <a:tailEnd/>
                                    </a:ln>
                                  </wps:spPr>
                                  <wps:txbx>
                                    <w:txbxContent>
                                      <w:p w14:paraId="72581FBD"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g:grpSp>
                              <wps:wsp>
                                <wps:cNvPr id="8714" name="Pole tekstowe 2"/>
                                <wps:cNvSpPr txBox="1">
                                  <a:spLocks noChangeArrowheads="1"/>
                                </wps:cNvSpPr>
                                <wps:spPr bwMode="auto">
                                  <a:xfrm>
                                    <a:off x="978152" y="4744251"/>
                                    <a:ext cx="902310" cy="279399"/>
                                  </a:xfrm>
                                  <a:prstGeom prst="rect">
                                    <a:avLst/>
                                  </a:prstGeom>
                                  <a:noFill/>
                                  <a:ln w="9525">
                                    <a:noFill/>
                                    <a:miter lim="800000"/>
                                    <a:headEnd/>
                                    <a:tailEnd/>
                                  </a:ln>
                                </wps:spPr>
                                <wps:txbx>
                                  <w:txbxContent>
                                    <w:p w14:paraId="112B3FB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Lokalizacja</w:t>
                                      </w:r>
                                    </w:p>
                                  </w:txbxContent>
                                </wps:txbx>
                                <wps:bodyPr rot="0" vert="horz" wrap="square" lIns="91440" tIns="45720" rIns="91440" bIns="45720" anchor="t" anchorCtr="0">
                                  <a:spAutoFit/>
                                </wps:bodyPr>
                              </wps:wsp>
                            </wpg:grpSp>
                            <wps:wsp>
                              <wps:cNvPr id="8715" name="Pole tekstowe 2"/>
                              <wps:cNvSpPr txBox="1">
                                <a:spLocks noChangeArrowheads="1"/>
                              </wps:cNvSpPr>
                              <wps:spPr bwMode="auto">
                                <a:xfrm>
                                  <a:off x="1926956" y="4726169"/>
                                  <a:ext cx="2991077" cy="278765"/>
                                </a:xfrm>
                                <a:prstGeom prst="rect">
                                  <a:avLst/>
                                </a:prstGeom>
                                <a:noFill/>
                                <a:ln w="9525">
                                  <a:noFill/>
                                  <a:miter lim="800000"/>
                                  <a:headEnd/>
                                  <a:tailEnd/>
                                </a:ln>
                              </wps:spPr>
                              <wps:txbx>
                                <w:txbxContent>
                                  <w:p w14:paraId="65273DC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  /  Kierunek</w:t>
                                    </w:r>
                                  </w:p>
                                </w:txbxContent>
                              </wps:txbx>
                              <wps:bodyPr rot="0" vert="horz" wrap="square" lIns="91440" tIns="45720" rIns="91440" bIns="45720" anchor="t" anchorCtr="0">
                                <a:spAutoFit/>
                              </wps:bodyPr>
                            </wps:wsp>
                          </wpg:grpSp>
                          <wps:wsp>
                            <wps:cNvPr id="8716" name="Pole tekstowe 2"/>
                            <wps:cNvSpPr txBox="1">
                              <a:spLocks noChangeArrowheads="1"/>
                            </wps:cNvSpPr>
                            <wps:spPr bwMode="auto">
                              <a:xfrm>
                                <a:off x="548198" y="5695573"/>
                                <a:ext cx="4819650" cy="278765"/>
                              </a:xfrm>
                              <a:prstGeom prst="rect">
                                <a:avLst/>
                              </a:prstGeom>
                              <a:noFill/>
                              <a:ln w="9525">
                                <a:noFill/>
                                <a:miter lim="800000"/>
                                <a:headEnd/>
                                <a:tailEnd/>
                              </a:ln>
                            </wps:spPr>
                            <wps:txbx>
                              <w:txbxContent>
                                <w:p w14:paraId="419724EA"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 xml:space="preserve">Kierunek  /  Kierunek  /  Kierunek  /  Lokalizacja  /  Kierunek  /  Kierunek  /  Kierunek </w:t>
                                  </w:r>
                                </w:p>
                              </w:txbxContent>
                            </wps:txbx>
                            <wps:bodyPr rot="0" vert="horz" wrap="square" lIns="91440" tIns="45720" rIns="91440" bIns="45720" anchor="t" anchorCtr="0">
                              <a:spAutoFit/>
                            </wps:bodyPr>
                          </wps:wsp>
                        </wpg:grpSp>
                        <wps:wsp>
                          <wps:cNvPr id="8717" name="Pole tekstowe 2"/>
                          <wps:cNvSpPr txBox="1">
                            <a:spLocks noChangeArrowheads="1"/>
                          </wps:cNvSpPr>
                          <wps:spPr bwMode="auto">
                            <a:xfrm>
                              <a:off x="2261889" y="6642792"/>
                              <a:ext cx="1482724" cy="279399"/>
                            </a:xfrm>
                            <a:prstGeom prst="rect">
                              <a:avLst/>
                            </a:prstGeom>
                            <a:noFill/>
                            <a:ln w="9525">
                              <a:noFill/>
                              <a:miter lim="800000"/>
                              <a:headEnd/>
                              <a:tailEnd/>
                            </a:ln>
                          </wps:spPr>
                          <wps:txbx>
                            <w:txbxContent>
                              <w:p w14:paraId="0737D78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Skrzyżowanie do startu</w:t>
                                </w:r>
                              </w:p>
                            </w:txbxContent>
                          </wps:txbx>
                          <wps:bodyPr rot="0" vert="horz" wrap="square" lIns="91440" tIns="45720" rIns="91440" bIns="45720" anchor="t" anchorCtr="0">
                            <a:spAutoFit/>
                          </wps:bodyPr>
                        </wps:wsp>
                      </wpg:wgp>
                      <wps:wsp>
                        <wps:cNvPr id="8718" name="Pole tekstowe 2"/>
                        <wps:cNvSpPr txBox="1">
                          <a:spLocks noChangeArrowheads="1"/>
                        </wps:cNvSpPr>
                        <wps:spPr bwMode="auto">
                          <a:xfrm>
                            <a:off x="185166" y="479311"/>
                            <a:ext cx="1482090" cy="278765"/>
                          </a:xfrm>
                          <a:prstGeom prst="rect">
                            <a:avLst/>
                          </a:prstGeom>
                          <a:noFill/>
                          <a:ln w="9525">
                            <a:noFill/>
                            <a:miter lim="800000"/>
                            <a:headEnd/>
                            <a:tailEnd/>
                          </a:ln>
                        </wps:spPr>
                        <wps:txbx>
                          <w:txbxContent>
                            <w:p w14:paraId="35044376"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wps:txbx>
                        <wps:bodyPr rot="0" vert="horz" wrap="square" lIns="91440" tIns="45720" rIns="91440" bIns="45720" anchor="t" anchorCtr="0">
                          <a:spAutoFit/>
                        </wps:bodyPr>
                      </wps:ws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A9F5B3B" id="Kanwa 8719" o:spid="_x0000_s1174" editas="canvas" style="width:453.15pt;height:572.85pt;mso-position-horizontal-relative:char;mso-position-vertical-relative:line" coordsize="57550,72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">
                <v:shape id="_x0000_s1175" type="#_x0000_t75" style="position:absolute;width:57550;height:72751;visibility:visible;mso-wrap-style:square" stroked="t" strokecolor="black [3213]">
                  <v:fill o:detectmouseclick="t"/>
                  <v:path o:connecttype="none"/>
                </v:shape>
                <v:group id="Grupa 2453" o:spid="_x0000_s1176" style="position:absolute;left:878;top:2468;width:55583;height:66182" coordorigin="878,3039" coordsize="55582,66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kB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ejOD1JjwBuXgCAAD//wMAUEsBAi0AFAAGAAgAAAAhANvh9svuAAAAhQEAABMAAAAAAAAA&#10;AAAAAAAAAAAAAFtDb250ZW50X1R5cGVzXS54bWxQSwECLQAUAAYACAAAACEAWvQsW78AAAAVAQAA&#10;CwAAAAAAAAAAAAAAAAAfAQAAX3JlbHMvLnJlbHNQSwECLQAUAAYACAAAACEA7h4JAcYAAADdAAAA&#10;DwAAAAAAAAAAAAAAAAAHAgAAZHJzL2Rvd25yZXYueG1sUEsFBgAAAAADAAMAtwAAAPoCAAAAAA==&#10;">
                  <v:group id="Grupa 2454" o:spid="_x0000_s1177"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">
                    <v:group id="Grupa 2455" o:spid="_x0000_s1178"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">
                      <v:group id="Grupa 2456" o:spid="_x0000_s1179"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">
                        <v:group id="Grupa 2457" o:spid="_x0000_s1180"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">
                          <v:group id="Grupa 2458" o:spid="_x0000_s1181"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">
                            <v:group id="Grupa 2459" o:spid="_x0000_s1182"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">
                              <v:group id="Grupa 2460" o:spid="_x0000_s1183" style="position:absolute;left:878;top:3039;width:55583;height:64435" coordorigin="878,3039" coordsize="55582,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">
                                <v:group id="Grupa 2461" o:spid="_x0000_s1184"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">
                                  <v:group id="Grupa 2462" o:spid="_x0000_s1185"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Yn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mCTzfhCcgl38AAAD//wMAUEsBAi0AFAAGAAgAAAAhANvh9svuAAAAhQEAABMAAAAAAAAA&#10;AAAAAAAAAAAAAFtDb250ZW50X1R5cGVzXS54bWxQSwECLQAUAAYACAAAACEAWvQsW78AAAAVAQAA&#10;CwAAAAAAAAAAAAAAAAAfAQAAX3JlbHMvLnJlbHNQSwECLQAUAAYACAAAACEATz5mJ8YAAADdAAAA&#10;DwAAAAAAAAAAAAAAAAAHAgAAZHJzL2Rvd25yZXYueG1sUEsFBgAAAAADAAMAtwAAAPoCAAAAAA==&#10;">
                                    <v:group id="Grupa 2463" o:spid="_x0000_s1186"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O8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iejuD5JjwBuXgAAAD//wMAUEsBAi0AFAAGAAgAAAAhANvh9svuAAAAhQEAABMAAAAAAAAA&#10;AAAAAAAAAAAAAFtDb250ZW50X1R5cGVzXS54bWxQSwECLQAUAAYACAAAACEAWvQsW78AAAAVAQAA&#10;CwAAAAAAAAAAAAAAAAAfAQAAX3JlbHMvLnJlbHNQSwECLQAUAAYACAAAACEAIHLDvMYAAADdAAAA&#10;DwAAAAAAAAAAAAAAAAAHAgAAZHJzL2Rvd25yZXYueG1sUEsFBgAAAAADAAMAtwAAAPoCAAAAAA==&#10;">
                                      <v:group id="Grupa 8704" o:spid="_x0000_s1187" style="position:absolute;left:1483;top:3039;width:54978;height:64435" coordorigin="1483,3039" coordsize="54977,6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">
                                        <v:shape id="Picture 5" o:spid="_x0000_s1188" type="#_x0000_t75" style="position:absolute;left:1483;top:4546;width:54978;height:6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">
                                          <v:imagedata r:id="rId218" o:title=""/>
                                        </v:shape>
                                        <v:shape id="_x0000_s1189" type="#_x0000_t202" style="position:absolute;left:18486;top:3039;width:23813;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" filled="f" stroked="f">
                                          <v:textbox style="mso-fit-shape-to-text:t">
                                            <w:txbxContent>
                                              <w:p w14:paraId="47FEA3E4"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Strona lewa                      Strona prawa</w:t>
                                                </w:r>
                                              </w:p>
                                            </w:txbxContent>
                                          </v:textbox>
                                        </v:shape>
                                      </v:group>
                                      <v:shape id="_x0000_s1190" type="#_x0000_t202" style="position:absolute;left:18383;top:10426;width:2381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" filled="f" stroked="f">
                                        <v:textbox style="mso-fit-shape-to-text:t">
                                          <w:txbxContent>
                                            <w:p w14:paraId="1709ACF4"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w:t>
                                              </w:r>
                                            </w:p>
                                          </w:txbxContent>
                                        </v:textbox>
                                      </v:shape>
                                    </v:group>
                                    <v:shape id="_x0000_s1191" type="#_x0000_t202" style="position:absolute;left:2686;top:19570;width:17410;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" filled="f" stroked="f">
                                      <v:textbox style="mso-fit-shape-to-text:t">
                                        <w:txbxContent>
                                          <w:p w14:paraId="5B218AE1"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Lokalizacja  /   Kierunek</w:t>
                                            </w:r>
                                          </w:p>
                                        </w:txbxContent>
                                      </v:textbox>
                                    </v:shape>
                                  </v:group>
                                  <v:shape id="_x0000_s1192" type="#_x0000_t202" style="position:absolute;left:41165;top:19570;width:7809;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" filled="f" stroked="f">
                                    <v:textbox style="mso-fit-shape-to-text:t">
                                      <w:txbxContent>
                                        <w:p w14:paraId="2C4C351C"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Kierunek</w:t>
                                          </w:r>
                                        </w:p>
                                      </w:txbxContent>
                                    </v:textbox>
                                  </v:shape>
                                </v:group>
                                <v:shape id="_x0000_s1193" type="#_x0000_t202" style="position:absolute;left:878;top:29273;width:2403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" filled="f" stroked="f">
                                  <v:textbox style="mso-fit-shape-to-text:t">
                                    <w:txbxContent>
                                      <w:p w14:paraId="0BA758AA"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Lokalizacja / Droga startowa zwolniona</w:t>
                                        </w:r>
                                      </w:p>
                                    </w:txbxContent>
                                  </v:textbox>
                                </v:shape>
                              </v:group>
                              <v:shape id="_x0000_s1194" type="#_x0000_t202" style="position:absolute;left:32228;top:29170;width:24028;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" filled="f" stroked="f">
                                <v:textbox style="mso-fit-shape-to-text:t">
                                  <w:txbxContent>
                                    <w:p w14:paraId="7EE70179" w14:textId="77777777" w:rsidR="003832F2" w:rsidRDefault="003832F2" w:rsidP="007A5C1D">
                                      <w:pPr>
                                        <w:pStyle w:val="NormalnyWeb"/>
                                        <w:spacing w:before="0" w:beforeAutospacing="0" w:after="0" w:afterAutospacing="0" w:line="276" w:lineRule="auto"/>
                                      </w:pPr>
                                      <w:r>
                                        <w:rPr>
                                          <w:rFonts w:ascii="Calibri" w:eastAsia="Calibri" w:hAnsi="Calibri"/>
                                          <w:color w:val="000000"/>
                                          <w:sz w:val="20"/>
                                          <w:szCs w:val="20"/>
                                        </w:rPr>
                                        <w:t>Droga startowa zwolniona</w:t>
                                      </w:r>
                                      <w:r w:rsidRPr="00EC2DC6">
                                        <w:rPr>
                                          <w:rFonts w:ascii="Calibri" w:eastAsia="Calibri" w:hAnsi="Calibri"/>
                                          <w:color w:val="000000"/>
                                          <w:sz w:val="20"/>
                                          <w:szCs w:val="20"/>
                                        </w:rPr>
                                        <w:t xml:space="preserve"> </w:t>
                                      </w:r>
                                      <w:r>
                                        <w:rPr>
                                          <w:rFonts w:ascii="Calibri" w:eastAsia="Calibri" w:hAnsi="Calibri"/>
                                          <w:color w:val="000000"/>
                                          <w:sz w:val="20"/>
                                          <w:szCs w:val="20"/>
                                        </w:rPr>
                                        <w:t>/ Lokalizacja</w:t>
                                      </w:r>
                                    </w:p>
                                  </w:txbxContent>
                                </v:textbox>
                              </v:shape>
                            </v:group>
                            <v:shape id="_x0000_s1195" type="#_x0000_t202" style="position:absolute;left:12183;top:38048;width:1483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" filled="f" stroked="f">
                              <v:textbox style="mso-fit-shape-to-text:t">
                                <w:txbxContent>
                                  <w:p w14:paraId="0313A38A"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v:group>
                          <v:shape id="_x0000_s1196" type="#_x0000_t202" style="position:absolute;left:34553;top:37911;width:14820;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" filled="f" stroked="f">
                            <v:textbox style="mso-fit-shape-to-text:t">
                              <w:txbxContent>
                                <w:p w14:paraId="72581FBD"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v:group>
                        <v:shape id="_x0000_s1197" type="#_x0000_t202" style="position:absolute;left:9781;top:47442;width:902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" filled="f" stroked="f">
                          <v:textbox style="mso-fit-shape-to-text:t">
                            <w:txbxContent>
                              <w:p w14:paraId="112B3FB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Lokalizacja</w:t>
                                </w:r>
                              </w:p>
                            </w:txbxContent>
                          </v:textbox>
                        </v:shape>
                      </v:group>
                      <v:shape id="_x0000_s1198" type="#_x0000_t202" style="position:absolute;left:19269;top:47261;width:29911;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" filled="f" stroked="f">
                        <v:textbox style="mso-fit-shape-to-text:t">
                          <w:txbxContent>
                            <w:p w14:paraId="65273DC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Kierunek / Lokalizacja  / Kierunek  /  Kierunek</w:t>
                              </w:r>
                            </w:p>
                          </w:txbxContent>
                        </v:textbox>
                      </v:shape>
                    </v:group>
                    <v:shape id="_x0000_s1199" type="#_x0000_t202" style="position:absolute;left:5481;top:56955;width:48197;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" filled="f" stroked="f">
                      <v:textbox style="mso-fit-shape-to-text:t">
                        <w:txbxContent>
                          <w:p w14:paraId="419724EA"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 xml:space="preserve">Kierunek  /  Kierunek  /  Kierunek  /  Lokalizacja  /  Kierunek  /  Kierunek  /  Kierunek </w:t>
                            </w:r>
                          </w:p>
                        </w:txbxContent>
                      </v:textbox>
                    </v:shape>
                  </v:group>
                  <v:shape id="_x0000_s1200" type="#_x0000_t202" style="position:absolute;left:22618;top:66427;width:1482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" filled="f" stroked="f">
                    <v:textbox style="mso-fit-shape-to-text:t">
                      <w:txbxContent>
                        <w:p w14:paraId="0737D789"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Skrzyżowanie do startu</w:t>
                          </w:r>
                        </w:p>
                      </w:txbxContent>
                    </v:textbox>
                  </v:shape>
                </v:group>
                <v:shape id="_x0000_s1201" type="#_x0000_t202" style="position:absolute;left:1851;top:4793;width:14821;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" filled="f" stroked="f">
                  <v:textbox style="mso-fit-shape-to-text:t">
                    <w:txbxContent>
                      <w:p w14:paraId="35044376" w14:textId="77777777" w:rsidR="003832F2" w:rsidRDefault="003832F2" w:rsidP="007A5C1D">
                        <w:pPr>
                          <w:pStyle w:val="NormalnyWeb"/>
                          <w:spacing w:before="0" w:beforeAutospacing="0" w:after="0" w:afterAutospacing="0" w:line="276" w:lineRule="auto"/>
                          <w:jc w:val="center"/>
                        </w:pPr>
                        <w:r>
                          <w:rPr>
                            <w:rFonts w:ascii="Calibri" w:eastAsia="Calibri" w:hAnsi="Calibri"/>
                            <w:color w:val="000000"/>
                            <w:sz w:val="20"/>
                            <w:szCs w:val="20"/>
                          </w:rPr>
                          <w:t>Zjazd z drogi startowej</w:t>
                        </w:r>
                      </w:p>
                    </w:txbxContent>
                  </v:textbox>
                </v:shape>
                <w10:anchorlock/>
              </v:group>
            </w:pict>
          </mc:Fallback>
        </mc:AlternateContent>
      </w:r>
    </w:p>
    <w:p w14:paraId="1F1D0467" w14:textId="77777777" w:rsidR="00C36D76" w:rsidRPr="009E064B" w:rsidRDefault="00C36D76" w:rsidP="00C0699D">
      <w:pPr>
        <w:tabs>
          <w:tab w:val="left" w:pos="2269"/>
        </w:tabs>
        <w:spacing w:after="0"/>
        <w:jc w:val="center"/>
        <w:rPr>
          <w:sz w:val="16"/>
          <w:szCs w:val="20"/>
        </w:rPr>
      </w:pPr>
    </w:p>
    <w:p w14:paraId="373E9ACA" w14:textId="77777777" w:rsidR="00C36D76" w:rsidRPr="00351FED" w:rsidRDefault="00C36D76" w:rsidP="00DF3108">
      <w:pPr>
        <w:tabs>
          <w:tab w:val="left" w:pos="567"/>
        </w:tabs>
        <w:spacing w:before="120"/>
        <w:ind w:left="567" w:hanging="567"/>
        <w:jc w:val="center"/>
        <w:rPr>
          <w:b/>
          <w:sz w:val="20"/>
          <w:szCs w:val="20"/>
        </w:rPr>
      </w:pPr>
      <w:r w:rsidRPr="00351FED">
        <w:rPr>
          <w:b/>
          <w:sz w:val="20"/>
          <w:szCs w:val="20"/>
        </w:rPr>
        <w:t>Rysunek N-6.  Znaki informacyjne</w:t>
      </w:r>
    </w:p>
    <w:p w14:paraId="77C51A23" w14:textId="0895EDE6" w:rsidR="00C36D76" w:rsidRPr="009E064B" w:rsidRDefault="00C36D76" w:rsidP="00DF3108">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5205432" w14:textId="77777777" w:rsidR="00321E77" w:rsidRPr="009E064B" w:rsidRDefault="00321E77" w:rsidP="00DF3108">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7AD44527" w14:textId="7B762C1E" w:rsidR="00321E77" w:rsidRPr="009E064B" w:rsidRDefault="00321E77">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168860B2" w14:textId="4FB999C5" w:rsidR="002A38A1" w:rsidRPr="009E064B" w:rsidRDefault="00232B6F" w:rsidP="00133B99">
      <w:pPr>
        <w:pStyle w:val="Nagwek6"/>
      </w:pPr>
      <w:bookmarkStart w:id="1658" w:name="_Toc401059062"/>
      <w:bookmarkStart w:id="1659" w:name="_Toc482886928"/>
      <w:bookmarkStart w:id="1660" w:name="_Toc12533249"/>
      <w:r w:rsidRPr="009E064B">
        <w:t xml:space="preserve">GM1 ADR-DSN.N.785     </w:t>
      </w:r>
      <w:r w:rsidR="002A38A1" w:rsidRPr="009E064B">
        <w:t>Znaki informacyjne</w:t>
      </w:r>
      <w:bookmarkEnd w:id="1658"/>
      <w:bookmarkEnd w:id="1659"/>
      <w:bookmarkEnd w:id="1660"/>
    </w:p>
    <w:p w14:paraId="69EE1343" w14:textId="1BFD659A"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8F241B8" w14:textId="7DACCC2D" w:rsidR="002A38A1" w:rsidRPr="009E064B" w:rsidRDefault="002A38A1" w:rsidP="00B06A9A">
      <w:pPr>
        <w:tabs>
          <w:tab w:val="left" w:pos="567"/>
        </w:tabs>
        <w:autoSpaceDE w:val="0"/>
        <w:autoSpaceDN w:val="0"/>
        <w:adjustRightInd w:val="0"/>
        <w:ind w:left="567" w:hanging="567"/>
      </w:pPr>
      <w:r w:rsidRPr="009E064B">
        <w:t>(a)</w:t>
      </w:r>
      <w:r w:rsidRPr="009E064B">
        <w:tab/>
        <w:t>Gdy niemożliwa jest instalacja znaku informacyjnego po lewej stronie, na przykład ze względu na ograniczenia operacyjne lub związane z infrastrukturą, instalacja znaku po prawej stronie drogi kołowania, zgodnie ze specyfikacjami podanymi w Tabeli N-1 może być również dopuszczalna, gdy ocena bezpieczeństwa wskaże, że nie wpłynie to negatywnie na bezpieczeństwo operacji samolotów.</w:t>
      </w:r>
    </w:p>
    <w:p w14:paraId="50CFD409" w14:textId="77777777" w:rsidR="002A38A1" w:rsidRPr="009E064B" w:rsidRDefault="002A38A1" w:rsidP="00B06A9A">
      <w:pPr>
        <w:tabs>
          <w:tab w:val="left" w:pos="567"/>
        </w:tabs>
        <w:autoSpaceDE w:val="0"/>
        <w:autoSpaceDN w:val="0"/>
        <w:adjustRightInd w:val="0"/>
        <w:spacing w:after="0"/>
        <w:ind w:left="567" w:hanging="567"/>
      </w:pPr>
      <w:r w:rsidRPr="009E064B">
        <w:t>(b)</w:t>
      </w:r>
      <w:r w:rsidRPr="009E064B">
        <w:tab/>
        <w:t>Na skrzyżowaniu w kształcie litery T, znaki informacyjne mogą być zlokalizowane w kierunku linii środkowej drogi kołowania do przeciwległego boku krzyżującej się drogi kołowania, jeśli ocena bezpieczeństwa wykaże, że wskazówki mogą być zapewnione we wszystkich przewidywanych warunkach operacyjnych, i że nie będzie to miało niekorzystnego wpływu na bezpieczeństwo operacji samolotów.</w:t>
      </w:r>
    </w:p>
    <w:p w14:paraId="50062CD8" w14:textId="77777777" w:rsidR="002A38A1" w:rsidRPr="009E064B" w:rsidRDefault="002A38A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997435E" w14:textId="0540B43A" w:rsidR="00C36D76" w:rsidRPr="009E064B" w:rsidRDefault="00820B06" w:rsidP="00B06A9A">
      <w:pPr>
        <w:pStyle w:val="Nagwek4"/>
        <w:rPr>
          <w:color w:val="auto"/>
        </w:rPr>
      </w:pPr>
      <w:bookmarkStart w:id="1661" w:name="_Toc482886705"/>
      <w:bookmarkStart w:id="1662" w:name="_Toc12533250"/>
      <w:r w:rsidRPr="009E064B">
        <w:rPr>
          <w:color w:val="auto"/>
        </w:rPr>
        <w:t xml:space="preserve">CS ADR-DSN.N.790     </w:t>
      </w:r>
      <w:r w:rsidR="00C36D76" w:rsidRPr="009E064B">
        <w:rPr>
          <w:color w:val="auto"/>
        </w:rPr>
        <w:t>Znak lotniskowego stanowiska sprawdzania VOR</w:t>
      </w:r>
      <w:bookmarkEnd w:id="1661"/>
      <w:bookmarkEnd w:id="1662"/>
    </w:p>
    <w:p w14:paraId="08DD6062" w14:textId="0471C7C6"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B004F00" w14:textId="77777777" w:rsidR="00C36D76" w:rsidRPr="009E064B" w:rsidRDefault="00C36D76" w:rsidP="00B06A9A">
      <w:pPr>
        <w:rPr>
          <w:szCs w:val="20"/>
        </w:rPr>
      </w:pPr>
      <w:r w:rsidRPr="009E064B">
        <w:rPr>
          <w:szCs w:val="20"/>
        </w:rPr>
        <w:t>Jeżeli na lotnisku wyznaczono stanowisko sprawdzania VOR, to powinno być ono wskazane za pomocą oznakowania poziomego oraz znaków pionowych.</w:t>
      </w:r>
    </w:p>
    <w:p w14:paraId="55E3BBBE" w14:textId="270A1D39"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Lokalizacja: Znak lotniskowego stanowiska sprawdzania VOR powinien być instalowany możliwie jak najbliżej stanowiska sprawdzania VOR w taki spo</w:t>
      </w:r>
      <w:r w:rsidR="003F7443" w:rsidRPr="009E064B">
        <w:rPr>
          <w:szCs w:val="20"/>
        </w:rPr>
        <w:t>sób, aby napisy były widoczne z </w:t>
      </w:r>
      <w:r w:rsidRPr="009E064B">
        <w:rPr>
          <w:szCs w:val="20"/>
        </w:rPr>
        <w:t>kabiny statku powietrznego prawidłowo ustawionego na oznakowaniu poziomym stanowiska sprawdzania VOR.</w:t>
      </w:r>
    </w:p>
    <w:p w14:paraId="1CA654E6"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w:t>
      </w:r>
    </w:p>
    <w:p w14:paraId="3413AC1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lotniskowego stanowiska sprawdzania VOR powinien posiadać napisy koloru czarnego na żółtym tle.</w:t>
      </w:r>
    </w:p>
    <w:p w14:paraId="71BE7C9E"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Napisy umieszczone na znaku wskazującym lotniskowe stanowisko sprawdzania VOR, powinny odpowiadać jednemu z wariantów przedstawionych na Rysunku N-7, gdzie:</w:t>
      </w:r>
    </w:p>
    <w:p w14:paraId="33BFC06C" w14:textId="77777777" w:rsidR="00C36D76" w:rsidRPr="009E064B" w:rsidRDefault="00C36D76" w:rsidP="00B06A9A">
      <w:pPr>
        <w:rPr>
          <w:szCs w:val="20"/>
        </w:rPr>
      </w:pPr>
    </w:p>
    <w:tbl>
      <w:tblPr>
        <w:tblStyle w:val="Tabela-Siatka"/>
        <w:tblW w:w="0" w:type="auto"/>
        <w:jc w:val="right"/>
        <w:tblLook w:val="04A0" w:firstRow="1" w:lastRow="0" w:firstColumn="1" w:lastColumn="0" w:noHBand="0" w:noVBand="1"/>
      </w:tblPr>
      <w:tblGrid>
        <w:gridCol w:w="1276"/>
        <w:gridCol w:w="6771"/>
      </w:tblGrid>
      <w:tr w:rsidR="00C36D76" w:rsidRPr="009E064B" w14:paraId="5C8781D7" w14:textId="77777777" w:rsidTr="00E042B7">
        <w:trPr>
          <w:jc w:val="right"/>
        </w:trPr>
        <w:tc>
          <w:tcPr>
            <w:tcW w:w="1276" w:type="dxa"/>
          </w:tcPr>
          <w:p w14:paraId="5E45AEFF" w14:textId="77777777" w:rsidR="00C36D76" w:rsidRPr="009E064B" w:rsidRDefault="00C36D76" w:rsidP="00B06A9A">
            <w:pPr>
              <w:tabs>
                <w:tab w:val="left" w:pos="1276"/>
              </w:tabs>
              <w:spacing w:before="120"/>
              <w:rPr>
                <w:iCs/>
              </w:rPr>
            </w:pPr>
            <w:r w:rsidRPr="009E064B">
              <w:rPr>
                <w:iCs/>
              </w:rPr>
              <w:t>VOR</w:t>
            </w:r>
          </w:p>
        </w:tc>
        <w:tc>
          <w:tcPr>
            <w:tcW w:w="6771" w:type="dxa"/>
          </w:tcPr>
          <w:p w14:paraId="32575C95" w14:textId="77777777" w:rsidR="00C36D76" w:rsidRPr="009E064B" w:rsidRDefault="00C36D76" w:rsidP="00B06A9A">
            <w:pPr>
              <w:tabs>
                <w:tab w:val="left" w:pos="1276"/>
              </w:tabs>
              <w:spacing w:before="120"/>
            </w:pPr>
            <w:r w:rsidRPr="009E064B">
              <w:rPr>
                <w:iCs/>
              </w:rPr>
              <w:t>jest skrótem oznaczającym stanowisko sprawdzania VOR;</w:t>
            </w:r>
          </w:p>
        </w:tc>
      </w:tr>
      <w:tr w:rsidR="00C36D76" w:rsidRPr="009E064B" w14:paraId="76881C26" w14:textId="77777777" w:rsidTr="00E042B7">
        <w:trPr>
          <w:jc w:val="right"/>
        </w:trPr>
        <w:tc>
          <w:tcPr>
            <w:tcW w:w="1276" w:type="dxa"/>
          </w:tcPr>
          <w:p w14:paraId="558CFA68" w14:textId="77777777" w:rsidR="00C36D76" w:rsidRPr="009E064B" w:rsidRDefault="00C36D76" w:rsidP="00B06A9A">
            <w:pPr>
              <w:tabs>
                <w:tab w:val="left" w:pos="1276"/>
              </w:tabs>
              <w:spacing w:before="120"/>
              <w:rPr>
                <w:iCs/>
              </w:rPr>
            </w:pPr>
            <w:r w:rsidRPr="009E064B">
              <w:rPr>
                <w:iCs/>
              </w:rPr>
              <w:t>116.3</w:t>
            </w:r>
          </w:p>
        </w:tc>
        <w:tc>
          <w:tcPr>
            <w:tcW w:w="6771" w:type="dxa"/>
          </w:tcPr>
          <w:p w14:paraId="1C6F57CD" w14:textId="77777777" w:rsidR="00C36D76" w:rsidRPr="009E064B" w:rsidRDefault="00C36D76" w:rsidP="00B06A9A">
            <w:pPr>
              <w:tabs>
                <w:tab w:val="left" w:pos="1276"/>
              </w:tabs>
              <w:spacing w:before="120"/>
            </w:pPr>
            <w:r w:rsidRPr="009E064B">
              <w:rPr>
                <w:iCs/>
              </w:rPr>
              <w:t>jest przykładem częstotliwości radiowej VOR;</w:t>
            </w:r>
          </w:p>
        </w:tc>
      </w:tr>
      <w:tr w:rsidR="00C36D76" w:rsidRPr="009E064B" w14:paraId="2FEBBF9A" w14:textId="77777777" w:rsidTr="00E042B7">
        <w:trPr>
          <w:jc w:val="right"/>
        </w:trPr>
        <w:tc>
          <w:tcPr>
            <w:tcW w:w="1276" w:type="dxa"/>
          </w:tcPr>
          <w:p w14:paraId="5EACE559" w14:textId="77777777" w:rsidR="00C36D76" w:rsidRPr="009E064B" w:rsidRDefault="00C36D76" w:rsidP="00B06A9A">
            <w:pPr>
              <w:tabs>
                <w:tab w:val="left" w:pos="1276"/>
              </w:tabs>
              <w:spacing w:before="120"/>
              <w:rPr>
                <w:iCs/>
              </w:rPr>
            </w:pPr>
            <w:r w:rsidRPr="009E064B">
              <w:rPr>
                <w:iCs/>
              </w:rPr>
              <w:t>147º</w:t>
            </w:r>
          </w:p>
        </w:tc>
        <w:tc>
          <w:tcPr>
            <w:tcW w:w="6771" w:type="dxa"/>
          </w:tcPr>
          <w:p w14:paraId="29E777CD" w14:textId="77777777" w:rsidR="00C36D76" w:rsidRPr="009E064B" w:rsidRDefault="00C36D76" w:rsidP="00B06A9A">
            <w:pPr>
              <w:tabs>
                <w:tab w:val="left" w:pos="1276"/>
              </w:tabs>
              <w:spacing w:before="120"/>
              <w:rPr>
                <w:iCs/>
              </w:rPr>
            </w:pPr>
            <w:r w:rsidRPr="009E064B">
              <w:rPr>
                <w:iCs/>
              </w:rPr>
              <w:t>jest przykładowym namiarem na VOR z zaokrągleniem do jednego stopnia, który powinien być określony na stanowisku sprawdzania VOR; oraz</w:t>
            </w:r>
          </w:p>
        </w:tc>
      </w:tr>
      <w:tr w:rsidR="00C36D76" w:rsidRPr="009E064B" w14:paraId="1B916910" w14:textId="77777777" w:rsidTr="00E042B7">
        <w:trPr>
          <w:jc w:val="right"/>
        </w:trPr>
        <w:tc>
          <w:tcPr>
            <w:tcW w:w="1276" w:type="dxa"/>
          </w:tcPr>
          <w:p w14:paraId="02223F68" w14:textId="77777777" w:rsidR="00C36D76" w:rsidRPr="009E064B" w:rsidRDefault="00C36D76" w:rsidP="00B06A9A">
            <w:pPr>
              <w:tabs>
                <w:tab w:val="left" w:pos="1276"/>
              </w:tabs>
              <w:spacing w:before="120"/>
              <w:rPr>
                <w:iCs/>
              </w:rPr>
            </w:pPr>
            <w:r w:rsidRPr="009E064B">
              <w:rPr>
                <w:iCs/>
              </w:rPr>
              <w:t>4.3 NM</w:t>
            </w:r>
          </w:p>
        </w:tc>
        <w:tc>
          <w:tcPr>
            <w:tcW w:w="6771" w:type="dxa"/>
          </w:tcPr>
          <w:p w14:paraId="76E71EB1" w14:textId="77777777" w:rsidR="00C36D76" w:rsidRPr="009E064B" w:rsidRDefault="00C36D76" w:rsidP="00B06A9A">
            <w:pPr>
              <w:tabs>
                <w:tab w:val="left" w:pos="1276"/>
              </w:tabs>
              <w:spacing w:before="120"/>
              <w:rPr>
                <w:iCs/>
              </w:rPr>
            </w:pPr>
            <w:r w:rsidRPr="009E064B">
              <w:rPr>
                <w:iCs/>
              </w:rPr>
              <w:t>jest przykładową odległością w milach morskich do DME, związanego z daną radiolatarnią VOR.</w:t>
            </w:r>
          </w:p>
        </w:tc>
      </w:tr>
    </w:tbl>
    <w:p w14:paraId="34783F7D" w14:textId="77777777" w:rsidR="00C36D76" w:rsidRPr="009E064B" w:rsidRDefault="00C36D76" w:rsidP="00B06A9A">
      <w:pPr>
        <w:rPr>
          <w:szCs w:val="20"/>
        </w:rPr>
      </w:pPr>
    </w:p>
    <w:p w14:paraId="04286C7D" w14:textId="77777777" w:rsidR="00C36D76" w:rsidRPr="009E064B" w:rsidRDefault="00C36D76" w:rsidP="00B06A9A">
      <w:pPr>
        <w:spacing w:after="0"/>
        <w:rPr>
          <w:szCs w:val="20"/>
        </w:rPr>
      </w:pPr>
    </w:p>
    <w:p w14:paraId="50F3464A" w14:textId="2606DD36" w:rsidR="00C36D76" w:rsidRPr="009E064B" w:rsidRDefault="00C0699D" w:rsidP="00B06A9A">
      <w:pPr>
        <w:spacing w:after="0"/>
        <w:rPr>
          <w:szCs w:val="20"/>
        </w:rPr>
      </w:pPr>
      <w:r w:rsidRPr="009E064B">
        <w:rPr>
          <w:noProof/>
          <w:lang w:eastAsia="pl-PL"/>
        </w:rPr>
        <w:drawing>
          <wp:inline distT="0" distB="0" distL="0" distR="0" wp14:anchorId="25566994" wp14:editId="5ACDC600">
            <wp:extent cx="5760720" cy="3144169"/>
            <wp:effectExtent l="0" t="0" r="0" b="0"/>
            <wp:docPr id="3742" name="Obraz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60720" cy="3144169"/>
                    </a:xfrm>
                    <a:prstGeom prst="rect">
                      <a:avLst/>
                    </a:prstGeom>
                    <a:noFill/>
                    <a:ln>
                      <a:noFill/>
                    </a:ln>
                  </pic:spPr>
                </pic:pic>
              </a:graphicData>
            </a:graphic>
          </wp:inline>
        </w:drawing>
      </w:r>
    </w:p>
    <w:p w14:paraId="1FDC6505" w14:textId="77777777" w:rsidR="00C36D76" w:rsidRPr="00351FED" w:rsidRDefault="00C36D76" w:rsidP="00B06A9A">
      <w:pPr>
        <w:tabs>
          <w:tab w:val="left" w:pos="567"/>
        </w:tabs>
        <w:ind w:left="567" w:hanging="567"/>
        <w:jc w:val="center"/>
        <w:rPr>
          <w:b/>
          <w:sz w:val="20"/>
          <w:szCs w:val="20"/>
        </w:rPr>
      </w:pPr>
      <w:r w:rsidRPr="00351FED">
        <w:rPr>
          <w:b/>
          <w:sz w:val="20"/>
          <w:szCs w:val="20"/>
        </w:rPr>
        <w:t>Rysunek N-7.  Znaki pionowe dla lotniskowego stanowiska sprawdzania VOR</w:t>
      </w:r>
    </w:p>
    <w:p w14:paraId="651C2603" w14:textId="77777777" w:rsidR="00C36D76" w:rsidRPr="009E064B" w:rsidRDefault="00C36D76" w:rsidP="00B06A9A">
      <w:pPr>
        <w:ind w:left="425" w:right="-6" w:hanging="425"/>
        <w:jc w:val="left"/>
      </w:pPr>
    </w:p>
    <w:p w14:paraId="03EB3FF3" w14:textId="7F03CEFC" w:rsidR="002A38A1" w:rsidRPr="009E064B" w:rsidRDefault="002A38A1" w:rsidP="00133B99">
      <w:pPr>
        <w:pStyle w:val="Nagwek6"/>
      </w:pPr>
      <w:bookmarkStart w:id="1663" w:name="_Toc401059063"/>
      <w:bookmarkStart w:id="1664" w:name="_Toc482886929"/>
      <w:bookmarkStart w:id="1665" w:name="_Toc12533251"/>
      <w:r w:rsidRPr="009E064B">
        <w:t>GM1 ADR-DSN.N.7</w:t>
      </w:r>
      <w:r w:rsidR="00820B06" w:rsidRPr="009E064B">
        <w:t xml:space="preserve">90     </w:t>
      </w:r>
      <w:r w:rsidRPr="009E064B">
        <w:t>Znak lotniskowego stanowiska sprawdzania VOR</w:t>
      </w:r>
      <w:bookmarkEnd w:id="1663"/>
      <w:bookmarkEnd w:id="1664"/>
      <w:bookmarkEnd w:id="1665"/>
    </w:p>
    <w:p w14:paraId="24189180" w14:textId="3EF93E84"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300EE3E" w14:textId="77777777" w:rsidR="002A38A1" w:rsidRPr="009E064B" w:rsidRDefault="002A38A1" w:rsidP="00820B06">
      <w:pPr>
        <w:rPr>
          <w:szCs w:val="20"/>
        </w:rPr>
      </w:pPr>
      <w:r w:rsidRPr="009E064B">
        <w:rPr>
          <w:szCs w:val="20"/>
        </w:rPr>
        <w:t>Celowo pozostawiono puste.</w:t>
      </w:r>
    </w:p>
    <w:p w14:paraId="4E3B767D" w14:textId="75432794" w:rsidR="00C36D76" w:rsidRPr="009E064B" w:rsidRDefault="00820B06" w:rsidP="00820B06">
      <w:pPr>
        <w:pStyle w:val="Nagwek4"/>
        <w:tabs>
          <w:tab w:val="clear" w:pos="2694"/>
          <w:tab w:val="left" w:pos="2552"/>
        </w:tabs>
        <w:ind w:left="2552" w:hanging="2552"/>
        <w:rPr>
          <w:color w:val="auto"/>
        </w:rPr>
      </w:pPr>
      <w:bookmarkStart w:id="1666" w:name="_Toc482886706"/>
      <w:bookmarkStart w:id="1667" w:name="_Toc12533252"/>
      <w:r w:rsidRPr="009E064B">
        <w:rPr>
          <w:color w:val="auto"/>
        </w:rPr>
        <w:t xml:space="preserve">CS ADR-DSN.N.795     </w:t>
      </w:r>
      <w:r w:rsidR="00C36D76" w:rsidRPr="009E064B">
        <w:rPr>
          <w:color w:val="auto"/>
        </w:rPr>
        <w:t>Znak identyfikacji stanowiska postojowego statku powietrznego</w:t>
      </w:r>
      <w:bookmarkEnd w:id="1666"/>
      <w:bookmarkEnd w:id="1667"/>
    </w:p>
    <w:p w14:paraId="70EABB4D" w14:textId="4AFB906A"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A3D8528" w14:textId="644020AB" w:rsidR="00C36D76" w:rsidRPr="009E064B" w:rsidRDefault="00C36D76" w:rsidP="00820B06">
      <w:pPr>
        <w:tabs>
          <w:tab w:val="left" w:pos="567"/>
        </w:tabs>
        <w:ind w:left="567" w:hanging="567"/>
        <w:rPr>
          <w:szCs w:val="20"/>
        </w:rPr>
      </w:pPr>
      <w:r w:rsidRPr="00351FED">
        <w:rPr>
          <w:rFonts w:cs="Times New Roman"/>
          <w:szCs w:val="20"/>
        </w:rPr>
        <w:t xml:space="preserve">(a) </w:t>
      </w:r>
      <w:r w:rsidRPr="00351FED">
        <w:rPr>
          <w:rFonts w:cs="Times New Roman"/>
          <w:szCs w:val="20"/>
        </w:rPr>
        <w:tab/>
      </w:r>
      <w:r w:rsidRPr="00351FED">
        <w:rPr>
          <w:szCs w:val="20"/>
        </w:rPr>
        <w:t xml:space="preserve">Zastosowanie: Oznakowanie poziome </w:t>
      </w:r>
      <w:r w:rsidRPr="00351FED">
        <w:t>identyfikacji</w:t>
      </w:r>
      <w:r w:rsidRPr="00351FED">
        <w:rPr>
          <w:szCs w:val="20"/>
        </w:rPr>
        <w:t xml:space="preserve"> stanowiska postojowego statku </w:t>
      </w:r>
      <w:r w:rsidRPr="009E064B">
        <w:rPr>
          <w:szCs w:val="20"/>
        </w:rPr>
        <w:t xml:space="preserve">powietrznego powinno, tam gdzie jest to możliwe, powinno być uzupełnione o znak </w:t>
      </w:r>
      <w:r w:rsidRPr="009E064B">
        <w:t>identyfikacji</w:t>
      </w:r>
      <w:r w:rsidRPr="009E064B">
        <w:rPr>
          <w:szCs w:val="20"/>
        </w:rPr>
        <w:t xml:space="preserve"> stanowiska postojowego.</w:t>
      </w:r>
    </w:p>
    <w:p w14:paraId="052A3104"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Lokalizacja: Znak </w:t>
      </w:r>
      <w:r w:rsidRPr="009E064B">
        <w:t>identyfikacji</w:t>
      </w:r>
      <w:r w:rsidRPr="009E064B">
        <w:rPr>
          <w:szCs w:val="20"/>
        </w:rPr>
        <w:t xml:space="preserve"> stanowiska postojowego powinien być umieszczony w taki sposób, aby był dobrze widoczny z kabiny statku powietrznego wjeżdżającego na stanowisko postojowe.</w:t>
      </w:r>
    </w:p>
    <w:p w14:paraId="3EA725FE" w14:textId="13806985"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w:t>
      </w:r>
      <w:r w:rsidR="00FD14AB" w:rsidRPr="009E064B">
        <w:rPr>
          <w:szCs w:val="20"/>
        </w:rPr>
        <w:t>erystyka</w:t>
      </w:r>
      <w:r w:rsidRPr="009E064B">
        <w:rPr>
          <w:szCs w:val="20"/>
        </w:rPr>
        <w:t xml:space="preserve">: Znak </w:t>
      </w:r>
      <w:r w:rsidRPr="009E064B">
        <w:t>identyfikacji</w:t>
      </w:r>
      <w:r w:rsidRPr="009E064B">
        <w:rPr>
          <w:szCs w:val="20"/>
        </w:rPr>
        <w:t xml:space="preserve"> stanowiska postojowego statku powietrznego powinien posiadać napis koloru czarnego na żółtym tle.</w:t>
      </w:r>
    </w:p>
    <w:p w14:paraId="51F7FDFD" w14:textId="77777777" w:rsidR="00321E77" w:rsidRPr="009E064B" w:rsidRDefault="00321E77" w:rsidP="008960B1">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405CDC4C" w14:textId="77777777" w:rsidR="00321E77" w:rsidRPr="009E064B" w:rsidRDefault="00321E77" w:rsidP="00B06A9A">
      <w:pPr>
        <w:tabs>
          <w:tab w:val="left" w:pos="567"/>
        </w:tabs>
        <w:ind w:left="567" w:hanging="567"/>
        <w:rPr>
          <w:szCs w:val="20"/>
        </w:rPr>
      </w:pPr>
    </w:p>
    <w:p w14:paraId="2D695C50" w14:textId="03B7B4B1" w:rsidR="002A38A1" w:rsidRPr="009E064B" w:rsidRDefault="00820B06" w:rsidP="00133B99">
      <w:pPr>
        <w:pStyle w:val="Nagwek6"/>
      </w:pPr>
      <w:bookmarkStart w:id="1668" w:name="_Toc482886930"/>
      <w:bookmarkStart w:id="1669" w:name="_Toc12533253"/>
      <w:r w:rsidRPr="009E064B">
        <w:t xml:space="preserve">GM1 ADR-DSN.N.795     </w:t>
      </w:r>
      <w:r w:rsidR="002A38A1" w:rsidRPr="009E064B">
        <w:t>Znak identyfikacji stanowiska postojowego</w:t>
      </w:r>
      <w:bookmarkEnd w:id="1668"/>
      <w:r w:rsidR="0051028F" w:rsidRPr="009E064B">
        <w:t xml:space="preserve"> statku powietrznego</w:t>
      </w:r>
      <w:bookmarkEnd w:id="1669"/>
    </w:p>
    <w:p w14:paraId="113A36B4" w14:textId="6EF26143"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E073723" w14:textId="3354C68A" w:rsidR="003F7443" w:rsidRPr="009E064B" w:rsidRDefault="002A38A1" w:rsidP="00820B06">
      <w:pPr>
        <w:rPr>
          <w:szCs w:val="20"/>
        </w:rPr>
      </w:pPr>
      <w:r w:rsidRPr="009E064B">
        <w:rPr>
          <w:szCs w:val="20"/>
        </w:rPr>
        <w:t>Celowo pozostawiono puste.</w:t>
      </w:r>
    </w:p>
    <w:p w14:paraId="56517B11" w14:textId="77777777" w:rsidR="003F7443" w:rsidRPr="009E064B" w:rsidRDefault="003F7443">
      <w:pPr>
        <w:spacing w:after="0"/>
        <w:jc w:val="left"/>
        <w:rPr>
          <w:szCs w:val="20"/>
        </w:rPr>
      </w:pPr>
      <w:r w:rsidRPr="009E064B">
        <w:rPr>
          <w:szCs w:val="20"/>
        </w:rPr>
        <w:br w:type="page"/>
      </w:r>
    </w:p>
    <w:p w14:paraId="3216AE69" w14:textId="4B795DAE" w:rsidR="00C36D76" w:rsidRPr="009E064B" w:rsidRDefault="00820B06" w:rsidP="00B06A9A">
      <w:pPr>
        <w:pStyle w:val="Nagwek4"/>
        <w:rPr>
          <w:color w:val="auto"/>
        </w:rPr>
      </w:pPr>
      <w:bookmarkStart w:id="1670" w:name="_CS_ADR-DSN.N.800_"/>
      <w:bookmarkStart w:id="1671" w:name="_Toc482886707"/>
      <w:bookmarkStart w:id="1672" w:name="_Toc12533254"/>
      <w:bookmarkEnd w:id="1670"/>
      <w:r w:rsidRPr="009E064B">
        <w:rPr>
          <w:color w:val="auto"/>
        </w:rPr>
        <w:t xml:space="preserve">CS ADR-DSN.N.800     </w:t>
      </w:r>
      <w:r w:rsidR="00C36D76" w:rsidRPr="009E064B">
        <w:rPr>
          <w:color w:val="auto"/>
        </w:rPr>
        <w:t>Znak miejsca oczekiwania na drodze ruchu kołowego</w:t>
      </w:r>
      <w:bookmarkEnd w:id="1671"/>
      <w:bookmarkEnd w:id="1672"/>
    </w:p>
    <w:p w14:paraId="7AD14357" w14:textId="78E32726"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B2DD247" w14:textId="1B824CE3" w:rsidR="00C36D76" w:rsidRPr="009E064B" w:rsidRDefault="00C36D76" w:rsidP="00820B06">
      <w:pPr>
        <w:tabs>
          <w:tab w:val="left" w:pos="567"/>
        </w:tabs>
        <w:ind w:left="567" w:hanging="567"/>
        <w:rPr>
          <w:szCs w:val="20"/>
        </w:rPr>
      </w:pPr>
      <w:r w:rsidRPr="00351FED">
        <w:rPr>
          <w:rFonts w:cs="Times New Roman"/>
          <w:szCs w:val="20"/>
        </w:rPr>
        <w:t xml:space="preserve">(a) </w:t>
      </w:r>
      <w:r w:rsidRPr="00351FED">
        <w:rPr>
          <w:rFonts w:cs="Times New Roman"/>
          <w:szCs w:val="20"/>
        </w:rPr>
        <w:tab/>
      </w:r>
      <w:r w:rsidRPr="00351FED">
        <w:rPr>
          <w:szCs w:val="20"/>
        </w:rPr>
        <w:t xml:space="preserve">Zastosowanie: Znak miejsca oczekiwania na drodze ruchu kołowego należy instalować przy </w:t>
      </w:r>
      <w:r w:rsidRPr="009E064B">
        <w:rPr>
          <w:szCs w:val="20"/>
        </w:rPr>
        <w:t>wszystkich skrzyżowaniach tej drogi z drogą startową.</w:t>
      </w:r>
    </w:p>
    <w:p w14:paraId="17E8C95C" w14:textId="70AAC3E3"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Znak miejsca oczekiwania na drodze ruchu koło</w:t>
      </w:r>
      <w:r w:rsidR="00E042B7" w:rsidRPr="009E064B">
        <w:rPr>
          <w:szCs w:val="20"/>
        </w:rPr>
        <w:t>wego powinien być umieszczony w </w:t>
      </w:r>
      <w:r w:rsidRPr="009E064B">
        <w:rPr>
          <w:szCs w:val="20"/>
        </w:rPr>
        <w:t>odległości 1.5 m od jednej z krawędzi drogi (prawej lub lewej − w zależności od lokalnych przepisów ruchu drogowego) w miejscu oczekiwania.</w:t>
      </w:r>
    </w:p>
    <w:p w14:paraId="5881808C"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Jeżeli droga przecina drogę kołowania, odpowiedni znak pionowy może być umieszczony w pobliżu oznakowania skrzyżowania drogi z drogą kołowania w odległości 1.5 m od jednej z krawędzi drogi, tj. prawej lub lewej − w zależności od lokalnych przepisów ruchu drogowego.</w:t>
      </w:r>
    </w:p>
    <w:p w14:paraId="7B2D688D"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Charakterystyki:</w:t>
      </w:r>
    </w:p>
    <w:p w14:paraId="1810E66E"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Znak miejsca oczekiwania na drodze ruchu kołowego powinien składać się z białego napisu na czerwonym tle.</w:t>
      </w:r>
    </w:p>
    <w:p w14:paraId="5B64D184"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Napis na znaku miejsca oczekiwania na drodze ruchu kołowego powinien być w języku lokalnym, zgodnie z miejscowymi przepisami ruchu drogowego i powinien zawierać:</w:t>
      </w:r>
    </w:p>
    <w:p w14:paraId="45C6A0B3" w14:textId="77777777"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nakaz zatrzymania się, oraz</w:t>
      </w:r>
    </w:p>
    <w:p w14:paraId="700FD482" w14:textId="77777777" w:rsidR="00C36D76" w:rsidRPr="009E064B" w:rsidRDefault="00C36D76" w:rsidP="00B06A9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tam gdzie ma to zastosowanie:</w:t>
      </w:r>
    </w:p>
    <w:p w14:paraId="2A586521" w14:textId="77777777" w:rsidR="00C36D76" w:rsidRPr="009E064B" w:rsidRDefault="00C36D76" w:rsidP="00B06A9A">
      <w:pPr>
        <w:tabs>
          <w:tab w:val="left" w:pos="2268"/>
        </w:tabs>
        <w:ind w:left="2268" w:hanging="567"/>
        <w:rPr>
          <w:szCs w:val="20"/>
        </w:rPr>
      </w:pPr>
      <w:r w:rsidRPr="009E064B">
        <w:rPr>
          <w:rFonts w:cs="Times New Roman"/>
          <w:szCs w:val="20"/>
        </w:rPr>
        <w:t xml:space="preserve">(A) </w:t>
      </w:r>
      <w:r w:rsidRPr="009E064B">
        <w:rPr>
          <w:rFonts w:cs="Times New Roman"/>
          <w:szCs w:val="20"/>
        </w:rPr>
        <w:tab/>
      </w:r>
      <w:r w:rsidRPr="009E064B">
        <w:rPr>
          <w:szCs w:val="20"/>
        </w:rPr>
        <w:t>nakaz otrzymania zgody ATC; i</w:t>
      </w:r>
    </w:p>
    <w:p w14:paraId="1C2C7E07" w14:textId="77777777" w:rsidR="00C36D76" w:rsidRPr="009E064B" w:rsidRDefault="00C36D76" w:rsidP="00B06A9A">
      <w:pPr>
        <w:tabs>
          <w:tab w:val="left" w:pos="2268"/>
        </w:tabs>
        <w:ind w:left="2268" w:hanging="567"/>
        <w:rPr>
          <w:szCs w:val="20"/>
        </w:rPr>
      </w:pPr>
      <w:r w:rsidRPr="009E064B">
        <w:rPr>
          <w:rFonts w:cs="Times New Roman"/>
          <w:szCs w:val="20"/>
        </w:rPr>
        <w:t xml:space="preserve">(B) </w:t>
      </w:r>
      <w:r w:rsidRPr="009E064B">
        <w:rPr>
          <w:rFonts w:cs="Times New Roman"/>
          <w:szCs w:val="20"/>
        </w:rPr>
        <w:tab/>
      </w:r>
      <w:r w:rsidRPr="009E064B">
        <w:rPr>
          <w:szCs w:val="20"/>
        </w:rPr>
        <w:t>oznaczenie lokalizacji.</w:t>
      </w:r>
    </w:p>
    <w:p w14:paraId="71EBA09E"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Znak miejsca oczekiwania na drodze ruchu kołowego przeznaczony do wykorzystywania w warunkach nocnych powinien być malowany farbą odblaskową lub podświetlony.</w:t>
      </w:r>
    </w:p>
    <w:p w14:paraId="777DB193" w14:textId="122EAB85"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Znak miejsca oczekiwania na drodze ruchu kołowego znajdujący się na skrzyżowaniu drogi z drogą kołowania powinien być zgodny z lokalny</w:t>
      </w:r>
      <w:r w:rsidR="00E042B7" w:rsidRPr="009E064B">
        <w:rPr>
          <w:szCs w:val="20"/>
        </w:rPr>
        <w:t>mi przepisami ruchu drogowego w </w:t>
      </w:r>
      <w:r w:rsidRPr="009E064B">
        <w:rPr>
          <w:szCs w:val="20"/>
        </w:rPr>
        <w:t>odniesieniu do znaku ustąpienia pierwszeństwa drogi lub znaku zatrzymania.</w:t>
      </w:r>
    </w:p>
    <w:p w14:paraId="2376BB1A" w14:textId="65D6E4B3" w:rsidR="00321E77" w:rsidRPr="009E064B" w:rsidRDefault="00321E77" w:rsidP="008960B1">
      <w:pPr>
        <w:tabs>
          <w:tab w:val="left" w:pos="1134"/>
        </w:tabs>
        <w:spacing w:before="60"/>
        <w:rPr>
          <w:szCs w:val="20"/>
        </w:rPr>
      </w:pPr>
      <w:r w:rsidRPr="000412BF">
        <w:rPr>
          <w:rFonts w:asciiTheme="minorHAnsi" w:hAnsiTheme="minorHAnsi" w:cstheme="minorHAnsi"/>
          <w:i/>
          <w:sz w:val="16"/>
          <w:szCs w:val="16"/>
        </w:rPr>
        <w:t>[Wydanie: ADR-DSN/4]</w:t>
      </w:r>
    </w:p>
    <w:p w14:paraId="2C124F10" w14:textId="628EF528" w:rsidR="002A38A1" w:rsidRPr="009E064B" w:rsidRDefault="00820B06" w:rsidP="00133B99">
      <w:pPr>
        <w:pStyle w:val="Nagwek6"/>
      </w:pPr>
      <w:bookmarkStart w:id="1673" w:name="_Toc401059065"/>
      <w:bookmarkStart w:id="1674" w:name="_Toc482886931"/>
      <w:bookmarkStart w:id="1675" w:name="_Toc12533255"/>
      <w:r w:rsidRPr="009E064B">
        <w:t xml:space="preserve">GM1 ADR-DSN.N.800     </w:t>
      </w:r>
      <w:r w:rsidR="002A38A1" w:rsidRPr="009E064B">
        <w:t>Znak miejsca oczekiwania na drodze ruchu kołowego</w:t>
      </w:r>
      <w:bookmarkEnd w:id="1673"/>
      <w:bookmarkEnd w:id="1674"/>
      <w:bookmarkEnd w:id="1675"/>
    </w:p>
    <w:p w14:paraId="3D3C433E" w14:textId="0A807165" w:rsidR="00820B06" w:rsidRPr="009E064B" w:rsidRDefault="001F74A1" w:rsidP="00820B06">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56FD9A0" w14:textId="47B3C9F5" w:rsidR="002A38A1" w:rsidRPr="009E064B" w:rsidRDefault="00DF3108" w:rsidP="00820B06">
      <w:pPr>
        <w:spacing w:after="0"/>
        <w:rPr>
          <w:szCs w:val="20"/>
        </w:rPr>
      </w:pPr>
      <w:r w:rsidRPr="009E064B">
        <w:rPr>
          <w:szCs w:val="20"/>
        </w:rPr>
        <w:t>Celowo pozostawiono puste.</w:t>
      </w:r>
    </w:p>
    <w:p w14:paraId="3EFCAD89" w14:textId="77777777" w:rsidR="002A38A1" w:rsidRPr="009E064B" w:rsidRDefault="002A38A1" w:rsidP="00B06A9A">
      <w:pPr>
        <w:rPr>
          <w:szCs w:val="20"/>
        </w:rPr>
      </w:pPr>
    </w:p>
    <w:p w14:paraId="7E9A3583" w14:textId="77777777" w:rsidR="002A38A1" w:rsidRPr="009E064B" w:rsidRDefault="002A38A1" w:rsidP="00B06A9A">
      <w:pPr>
        <w:rPr>
          <w:szCs w:val="20"/>
        </w:rPr>
      </w:pPr>
    </w:p>
    <w:p w14:paraId="7D03CD22" w14:textId="77777777" w:rsidR="00C36D76" w:rsidRPr="009E064B" w:rsidRDefault="00C36D76" w:rsidP="00B06A9A">
      <w:pPr>
        <w:rPr>
          <w:szCs w:val="20"/>
        </w:rPr>
        <w:sectPr w:rsidR="00C36D76" w:rsidRPr="009E064B" w:rsidSect="00AE1280">
          <w:headerReference w:type="default" r:id="rId220"/>
          <w:headerReference w:type="first" r:id="rId221"/>
          <w:pgSz w:w="11906" w:h="16840" w:code="9"/>
          <w:pgMar w:top="1701" w:right="1417" w:bottom="1418" w:left="1418" w:header="567" w:footer="454" w:gutter="0"/>
          <w:cols w:space="708"/>
          <w:titlePg/>
          <w:docGrid w:linePitch="360"/>
        </w:sectPr>
      </w:pPr>
    </w:p>
    <w:p w14:paraId="15E19CF2" w14:textId="77777777" w:rsidR="00C36D76" w:rsidRPr="009E064B" w:rsidRDefault="00C36D76" w:rsidP="00496C01">
      <w:pPr>
        <w:spacing w:after="0"/>
        <w:rPr>
          <w:sz w:val="18"/>
          <w:szCs w:val="20"/>
        </w:rPr>
      </w:pPr>
    </w:p>
    <w:p w14:paraId="0B4EB2AE" w14:textId="1407F23C" w:rsidR="00C36D76" w:rsidRPr="009E064B" w:rsidRDefault="00C36D76" w:rsidP="00020EA3">
      <w:pPr>
        <w:pStyle w:val="Nagwek2"/>
      </w:pPr>
      <w:bookmarkStart w:id="1676" w:name="_Toc382725620"/>
      <w:bookmarkStart w:id="1677" w:name="_Toc482886708"/>
      <w:bookmarkStart w:id="1678" w:name="_Toc12533256"/>
      <w:r w:rsidRPr="009E064B">
        <w:t xml:space="preserve">ROZDZIAŁ P </w:t>
      </w:r>
      <w:r w:rsidR="008441EB" w:rsidRPr="009E064B">
        <w:t xml:space="preserve">— </w:t>
      </w:r>
      <w:r w:rsidRPr="009E064B">
        <w:t>POMOCE WZROKOWE DLA NAWIGACJI (OZNACZNIKI)</w:t>
      </w:r>
      <w:bookmarkEnd w:id="1676"/>
      <w:bookmarkEnd w:id="1677"/>
      <w:bookmarkEnd w:id="1678"/>
    </w:p>
    <w:p w14:paraId="65296A9E" w14:textId="77777777" w:rsidR="00C36D76" w:rsidRPr="009E064B" w:rsidRDefault="00C36D76" w:rsidP="00496C01">
      <w:pPr>
        <w:spacing w:after="0"/>
        <w:rPr>
          <w:sz w:val="18"/>
          <w:szCs w:val="20"/>
        </w:rPr>
      </w:pPr>
    </w:p>
    <w:p w14:paraId="45F08E9D" w14:textId="4AA9FAA9" w:rsidR="00C36D76" w:rsidRPr="009E064B" w:rsidRDefault="00003210" w:rsidP="00B06A9A">
      <w:pPr>
        <w:pStyle w:val="Nagwek4"/>
        <w:rPr>
          <w:color w:val="auto"/>
        </w:rPr>
      </w:pPr>
      <w:bookmarkStart w:id="1679" w:name="_Toc482886709"/>
      <w:bookmarkStart w:id="1680" w:name="_Toc12533257"/>
      <w:r w:rsidRPr="009E064B">
        <w:rPr>
          <w:color w:val="auto"/>
        </w:rPr>
        <w:t xml:space="preserve">CS ADR-DSN.P.805     </w:t>
      </w:r>
      <w:r w:rsidR="009B0A08" w:rsidRPr="009E064B">
        <w:rPr>
          <w:rFonts w:cs="TimesNewRomanPS-BoldItalicMT"/>
          <w:bCs w:val="0"/>
          <w:iCs/>
          <w:szCs w:val="20"/>
        </w:rPr>
        <w:t>Wymagania</w:t>
      </w:r>
      <w:r w:rsidR="009B0A08" w:rsidRPr="009E064B">
        <w:rPr>
          <w:color w:val="auto"/>
        </w:rPr>
        <w:t xml:space="preserve"> </w:t>
      </w:r>
      <w:r w:rsidR="00C36D76" w:rsidRPr="009E064B">
        <w:rPr>
          <w:color w:val="auto"/>
        </w:rPr>
        <w:t>ogólne</w:t>
      </w:r>
      <w:bookmarkEnd w:id="1679"/>
      <w:bookmarkEnd w:id="1680"/>
    </w:p>
    <w:p w14:paraId="16D2C96D" w14:textId="0B252156"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89C051D" w14:textId="77777777" w:rsidR="00C36D76" w:rsidRPr="009E064B" w:rsidRDefault="00C36D76" w:rsidP="00B06A9A">
      <w:pPr>
        <w:rPr>
          <w:szCs w:val="20"/>
        </w:rPr>
      </w:pPr>
      <w:r w:rsidRPr="009E064B">
        <w:rPr>
          <w:szCs w:val="20"/>
        </w:rPr>
        <w:t>Oznaczniki powinny być łamliwe. Oznaczniki zlokalizowane blisko drogi startowej lub drogi kołowania powinny być wystarczająco niskie tak, aby był zapewniony odstęp od śmigieł lub gondoli silników statków powietrznych o napędzie odrzutowym.</w:t>
      </w:r>
    </w:p>
    <w:p w14:paraId="547CE879" w14:textId="087DCC96" w:rsidR="002A38A1" w:rsidRPr="009E064B" w:rsidRDefault="00003210" w:rsidP="00133B99">
      <w:pPr>
        <w:pStyle w:val="Nagwek6"/>
      </w:pPr>
      <w:bookmarkStart w:id="1681" w:name="_Toc401059067"/>
      <w:bookmarkStart w:id="1682" w:name="_Toc482886933"/>
      <w:bookmarkStart w:id="1683" w:name="_Toc12533258"/>
      <w:r w:rsidRPr="009E064B">
        <w:t xml:space="preserve">GM1 ADR-DSN.P.805     </w:t>
      </w:r>
      <w:r w:rsidR="009B0A08" w:rsidRPr="009E064B">
        <w:rPr>
          <w:rFonts w:cs="TimesNewRomanPS-BoldItalicMT"/>
          <w:iCs/>
          <w:szCs w:val="20"/>
        </w:rPr>
        <w:t>Wymagania</w:t>
      </w:r>
      <w:r w:rsidR="009B0A08" w:rsidRPr="009E064B">
        <w:t xml:space="preserve"> </w:t>
      </w:r>
      <w:r w:rsidR="002A38A1" w:rsidRPr="009E064B">
        <w:t>ogólne</w:t>
      </w:r>
      <w:bookmarkEnd w:id="1681"/>
      <w:bookmarkEnd w:id="1682"/>
      <w:bookmarkEnd w:id="1683"/>
    </w:p>
    <w:p w14:paraId="45256547" w14:textId="05A84D30"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6EF59F9" w14:textId="77777777" w:rsidR="002A38A1" w:rsidRPr="009E064B" w:rsidRDefault="002A38A1" w:rsidP="00965419">
      <w:pPr>
        <w:spacing w:after="0"/>
        <w:rPr>
          <w:szCs w:val="20"/>
        </w:rPr>
      </w:pPr>
      <w:r w:rsidRPr="009E064B">
        <w:rPr>
          <w:szCs w:val="20"/>
        </w:rPr>
        <w:t>Celowo pozostawiono puste.</w:t>
      </w:r>
    </w:p>
    <w:p w14:paraId="4F5CD3AE" w14:textId="2D27BDB1" w:rsidR="00C36D76" w:rsidRPr="009E064B" w:rsidRDefault="00003210" w:rsidP="00003210">
      <w:pPr>
        <w:pStyle w:val="Nagwek4"/>
        <w:tabs>
          <w:tab w:val="clear" w:pos="2694"/>
          <w:tab w:val="left" w:pos="2552"/>
        </w:tabs>
        <w:ind w:left="2552" w:hanging="2552"/>
        <w:rPr>
          <w:color w:val="auto"/>
        </w:rPr>
      </w:pPr>
      <w:bookmarkStart w:id="1684" w:name="_Toc482886710"/>
      <w:bookmarkStart w:id="1685" w:name="_Toc12533259"/>
      <w:r w:rsidRPr="009E064B">
        <w:rPr>
          <w:color w:val="auto"/>
        </w:rPr>
        <w:t xml:space="preserve">CS ADR-DSN.P.810      </w:t>
      </w:r>
      <w:r w:rsidR="00C36D76" w:rsidRPr="009E064B">
        <w:rPr>
          <w:color w:val="auto"/>
        </w:rPr>
        <w:t>Oznaczniki krawędzi drogi startowej bez nawierzchni sztucznej</w:t>
      </w:r>
      <w:bookmarkEnd w:id="1684"/>
      <w:bookmarkEnd w:id="1685"/>
    </w:p>
    <w:p w14:paraId="546520D0" w14:textId="24C794E1"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731AA9B" w14:textId="1495D2EB"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Jeżeli granice drogi startowej bez nawierzchni sztucznej nie są wyraźnie widoczne z powodu małego kontrastu na tle otaczającego terenu, powinno się stosować oznaczniki.</w:t>
      </w:r>
    </w:p>
    <w:p w14:paraId="076AC179"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w:t>
      </w:r>
    </w:p>
    <w:p w14:paraId="258CE52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Jeżeli są zainstalowane światła drogi startowej, oznaczniki krawędzi drogi startowej powinny być umieszczone na konstrukcjach wsporczych tych świateł. W przypadku braku takich świateł, powinno się stosować oznaczniki o powierzchni płaskiej prostokątne lub stożkowe, rozmieszczone w sposób wyraźnie wyznaczający drogę startową.</w:t>
      </w:r>
    </w:p>
    <w:p w14:paraId="294094E3" w14:textId="41A0B92D"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Płaskie oznaczniki prostokątne</w:t>
      </w:r>
      <w:r w:rsidR="003F7443" w:rsidRPr="009E064B">
        <w:rPr>
          <w:szCs w:val="20"/>
        </w:rPr>
        <w:t xml:space="preserve"> powinny mieć wymiary minimum 1 m na 3 </w:t>
      </w:r>
      <w:r w:rsidRPr="009E064B">
        <w:rPr>
          <w:szCs w:val="20"/>
        </w:rPr>
        <w:t>m oraz powinny być rozmieszczone wzdłuż dłuższej krawędzi drogi startowej, równolegle do jej linii środkowej. Oznaczniki stożkowe nie powinny być wyższe niż 50 cm.</w:t>
      </w:r>
    </w:p>
    <w:p w14:paraId="2D9CA261" w14:textId="528BD7D9" w:rsidR="002A38A1" w:rsidRPr="009E064B" w:rsidRDefault="00003210" w:rsidP="00133B99">
      <w:pPr>
        <w:pStyle w:val="Nagwek6"/>
      </w:pPr>
      <w:bookmarkStart w:id="1686" w:name="_Toc401059068"/>
      <w:bookmarkStart w:id="1687" w:name="_Toc482886934"/>
      <w:bookmarkStart w:id="1688" w:name="_Toc12533260"/>
      <w:r w:rsidRPr="009E064B">
        <w:t xml:space="preserve">GM1 ADR-DSN.P.810     </w:t>
      </w:r>
      <w:r w:rsidR="002A38A1" w:rsidRPr="009E064B">
        <w:t>Oznaczniki krawędzi drogi startowej bez nawierzchni sztucznej</w:t>
      </w:r>
      <w:bookmarkEnd w:id="1686"/>
      <w:bookmarkEnd w:id="1687"/>
      <w:bookmarkEnd w:id="1688"/>
    </w:p>
    <w:p w14:paraId="5F1089B9" w14:textId="41132942"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D0E3BE0" w14:textId="77777777" w:rsidR="002A38A1" w:rsidRPr="009E064B" w:rsidRDefault="002A38A1" w:rsidP="00496C01">
      <w:pPr>
        <w:spacing w:after="0"/>
        <w:rPr>
          <w:szCs w:val="20"/>
        </w:rPr>
      </w:pPr>
      <w:r w:rsidRPr="009E064B">
        <w:rPr>
          <w:szCs w:val="20"/>
        </w:rPr>
        <w:t>Celowo pozostawiono puste.</w:t>
      </w:r>
    </w:p>
    <w:p w14:paraId="0A9FA77B" w14:textId="68EDFFF8" w:rsidR="00C36D76" w:rsidRPr="009E064B" w:rsidRDefault="00003210" w:rsidP="00003210">
      <w:pPr>
        <w:pStyle w:val="Nagwek4"/>
        <w:tabs>
          <w:tab w:val="clear" w:pos="2694"/>
        </w:tabs>
        <w:ind w:left="2410" w:hanging="2410"/>
        <w:rPr>
          <w:color w:val="auto"/>
        </w:rPr>
      </w:pPr>
      <w:bookmarkStart w:id="1689" w:name="_Toc482886711"/>
      <w:bookmarkStart w:id="1690" w:name="_Toc12533261"/>
      <w:r w:rsidRPr="009E064B">
        <w:rPr>
          <w:color w:val="auto"/>
        </w:rPr>
        <w:t xml:space="preserve">CS ADR-DSN.P.815     </w:t>
      </w:r>
      <w:r w:rsidR="00C36D76" w:rsidRPr="009E064B">
        <w:rPr>
          <w:color w:val="auto"/>
        </w:rPr>
        <w:t>Oznaczniki krawędzi zabezpieczenia przerwanego startu</w:t>
      </w:r>
      <w:bookmarkEnd w:id="1689"/>
      <w:bookmarkEnd w:id="1690"/>
    </w:p>
    <w:p w14:paraId="4A529E26" w14:textId="16FD71C7"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9E8C97D" w14:textId="2AA5EB5D"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Oznaczniki krawędzi zabezpieczenia przerwanego startu powinny być stosowane, jeżeli krawędzie tego zabezpieczenia nie są wyraźnie widoczne z powodu małego kontrastu na tle otaczającego terenu.</w:t>
      </w:r>
    </w:p>
    <w:p w14:paraId="628695E7" w14:textId="7D426389" w:rsidR="00C36D76"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 Oznaczniki krawędzi zabezpieczenia przerwanego startu powinny różnić się od oznaczników krawędzi drogi startowej tak, aby nie było możliwości ich pomylenia.</w:t>
      </w:r>
    </w:p>
    <w:p w14:paraId="76F17EE5" w14:textId="77777777" w:rsidR="00D37A7C" w:rsidRPr="009E064B" w:rsidRDefault="00D37A7C" w:rsidP="00B06A9A">
      <w:pPr>
        <w:tabs>
          <w:tab w:val="left" w:pos="567"/>
        </w:tabs>
        <w:ind w:left="567" w:hanging="567"/>
        <w:rPr>
          <w:szCs w:val="20"/>
        </w:rPr>
      </w:pPr>
    </w:p>
    <w:p w14:paraId="6031A26C" w14:textId="3EFF3416" w:rsidR="002A38A1" w:rsidRPr="009E064B" w:rsidRDefault="00B11E44" w:rsidP="00133B99">
      <w:pPr>
        <w:pStyle w:val="Nagwek6"/>
      </w:pPr>
      <w:bookmarkStart w:id="1691" w:name="_Toc401059069"/>
      <w:bookmarkStart w:id="1692" w:name="_Toc482886935"/>
      <w:bookmarkStart w:id="1693" w:name="_Toc12533262"/>
      <w:r w:rsidRPr="009E064B">
        <w:t xml:space="preserve">GM1 ADR-DSN.P.815     </w:t>
      </w:r>
      <w:r w:rsidR="002A38A1" w:rsidRPr="009E064B">
        <w:t>Oznaczniki krawędzi zabezpieczenia przerwanego startu</w:t>
      </w:r>
      <w:bookmarkEnd w:id="1691"/>
      <w:bookmarkEnd w:id="1692"/>
      <w:bookmarkEnd w:id="1693"/>
    </w:p>
    <w:p w14:paraId="1C68407D" w14:textId="64DE9CA9"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B30EB77" w14:textId="77777777" w:rsidR="002A38A1" w:rsidRPr="009E064B" w:rsidRDefault="002A38A1" w:rsidP="00003210">
      <w:pPr>
        <w:rPr>
          <w:szCs w:val="20"/>
        </w:rPr>
      </w:pPr>
      <w:r w:rsidRPr="009E064B">
        <w:rPr>
          <w:szCs w:val="20"/>
        </w:rPr>
        <w:t>Celowo pozostawiono puste.</w:t>
      </w:r>
    </w:p>
    <w:p w14:paraId="1FD731B3" w14:textId="0D1D2B25" w:rsidR="00C36D76" w:rsidRPr="009E064B" w:rsidRDefault="00232B6F" w:rsidP="00232B6F">
      <w:pPr>
        <w:pStyle w:val="Nagwek4"/>
        <w:tabs>
          <w:tab w:val="clear" w:pos="2694"/>
          <w:tab w:val="left" w:pos="2552"/>
        </w:tabs>
        <w:ind w:left="2552" w:hanging="2552"/>
        <w:rPr>
          <w:color w:val="auto"/>
        </w:rPr>
      </w:pPr>
      <w:bookmarkStart w:id="1694" w:name="_Toc482886712"/>
      <w:bookmarkStart w:id="1695" w:name="_Toc12533263"/>
      <w:r w:rsidRPr="009E064B">
        <w:rPr>
          <w:color w:val="auto"/>
        </w:rPr>
        <w:t xml:space="preserve">CS ADR-DSN.P.820      </w:t>
      </w:r>
      <w:r w:rsidR="00C36D76" w:rsidRPr="009E064B">
        <w:rPr>
          <w:color w:val="auto"/>
        </w:rPr>
        <w:t>Oznaczniki krawędzi dróg startowych pokrytych śniegiem</w:t>
      </w:r>
      <w:bookmarkEnd w:id="1694"/>
      <w:bookmarkEnd w:id="1695"/>
    </w:p>
    <w:p w14:paraId="4C79F295" w14:textId="587005A4"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D9A596D" w14:textId="790FF334"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Oznaczniki krawędzi dróg startowych pokrytych śniegiem powinny być stosowane w celu określenia granic użytkowania drogi startowej pokrytej śniegiem, jeżeli granice te nie są określone w inny sposób.</w:t>
      </w:r>
    </w:p>
    <w:p w14:paraId="45656352"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Lokalizacja</w:t>
      </w:r>
      <w:r w:rsidRPr="009E064B">
        <w:rPr>
          <w:szCs w:val="20"/>
        </w:rPr>
        <w:t>: Oznaczniki krawędzi dróg startowych pokrytych śniegiem powinny być zlokalizowane w odstępach nie większych niż 100 m wzdłuż bocznych krawędzi drogi startowej, symetrycznie w stosunku do linii środkowej drogi startowej i w takiej odległości od niej, aby była zapewniony odpowiedni odstęp w stosunku do silników i końcówek skrzydeł. Dostateczna ilość oznaczników powinna być rozmieszczona wzdłuż progu i końca drogi startowej.</w:t>
      </w:r>
    </w:p>
    <w:p w14:paraId="5DA00785" w14:textId="5CDC5554" w:rsidR="002A38A1" w:rsidRPr="009E064B" w:rsidRDefault="00232B6F" w:rsidP="00133B99">
      <w:pPr>
        <w:pStyle w:val="Nagwek6"/>
      </w:pPr>
      <w:bookmarkStart w:id="1696" w:name="_Toc401059070"/>
      <w:bookmarkStart w:id="1697" w:name="_Toc482886936"/>
      <w:bookmarkStart w:id="1698" w:name="_Toc12533264"/>
      <w:r w:rsidRPr="009E064B">
        <w:t xml:space="preserve">GM1 ADR-DSN.P.820     </w:t>
      </w:r>
      <w:r w:rsidR="002A38A1" w:rsidRPr="009E064B">
        <w:t>Oznaczniki krawędzi dr</w:t>
      </w:r>
      <w:r w:rsidRPr="009E064B">
        <w:t xml:space="preserve">óg </w:t>
      </w:r>
      <w:r w:rsidR="002A38A1" w:rsidRPr="009E064B">
        <w:t>startow</w:t>
      </w:r>
      <w:r w:rsidRPr="009E064B">
        <w:t>ych</w:t>
      </w:r>
      <w:r w:rsidR="002A38A1" w:rsidRPr="009E064B">
        <w:t xml:space="preserve"> pokryt</w:t>
      </w:r>
      <w:r w:rsidRPr="009E064B">
        <w:t>ych</w:t>
      </w:r>
      <w:r w:rsidR="002A38A1" w:rsidRPr="009E064B">
        <w:t xml:space="preserve"> śniegiem</w:t>
      </w:r>
      <w:bookmarkEnd w:id="1696"/>
      <w:bookmarkEnd w:id="1697"/>
      <w:bookmarkEnd w:id="1698"/>
    </w:p>
    <w:p w14:paraId="1CF668BE" w14:textId="3E70042F"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F4D6523" w14:textId="0F06247E" w:rsidR="002A38A1" w:rsidRPr="009E064B" w:rsidRDefault="002A38A1" w:rsidP="00232B6F">
      <w:pPr>
        <w:tabs>
          <w:tab w:val="left" w:pos="567"/>
        </w:tabs>
        <w:autoSpaceDE w:val="0"/>
        <w:autoSpaceDN w:val="0"/>
        <w:adjustRightInd w:val="0"/>
        <w:ind w:left="567" w:hanging="567"/>
        <w:rPr>
          <w:szCs w:val="20"/>
        </w:rPr>
      </w:pPr>
      <w:r w:rsidRPr="009E064B">
        <w:rPr>
          <w:szCs w:val="20"/>
        </w:rPr>
        <w:t>Charakterystyk</w:t>
      </w:r>
      <w:r w:rsidR="00232B6F" w:rsidRPr="009E064B">
        <w:rPr>
          <w:szCs w:val="20"/>
        </w:rPr>
        <w:t>a</w:t>
      </w:r>
      <w:r w:rsidRPr="009E064B">
        <w:rPr>
          <w:szCs w:val="20"/>
        </w:rPr>
        <w:t>: Światła drogi startowej mogą być wykorzystywane do oznaczenia granic.</w:t>
      </w:r>
    </w:p>
    <w:p w14:paraId="372DD82A" w14:textId="77777777" w:rsidR="002A38A1" w:rsidRPr="009E064B" w:rsidRDefault="002A38A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D2A4C0C" w14:textId="027D2D83" w:rsidR="00C36D76" w:rsidRPr="009E064B" w:rsidRDefault="00C36D76" w:rsidP="00B06A9A">
      <w:pPr>
        <w:pStyle w:val="Nagwek4"/>
        <w:rPr>
          <w:color w:val="auto"/>
        </w:rPr>
      </w:pPr>
      <w:bookmarkStart w:id="1699" w:name="_Toc482886713"/>
      <w:bookmarkStart w:id="1700" w:name="_Toc12533265"/>
      <w:r w:rsidRPr="009E064B">
        <w:rPr>
          <w:color w:val="auto"/>
        </w:rPr>
        <w:t xml:space="preserve">CS ADR-DSN.P.825 </w:t>
      </w:r>
      <w:r w:rsidR="00232B6F" w:rsidRPr="009E064B">
        <w:rPr>
          <w:color w:val="auto"/>
        </w:rPr>
        <w:t xml:space="preserve">    </w:t>
      </w:r>
      <w:r w:rsidRPr="009E064B">
        <w:rPr>
          <w:color w:val="auto"/>
        </w:rPr>
        <w:t>Oznaczniki krawędzi drogi kołowania</w:t>
      </w:r>
      <w:bookmarkEnd w:id="1699"/>
      <w:bookmarkEnd w:id="1700"/>
    </w:p>
    <w:p w14:paraId="192C65B8" w14:textId="4EA9FF15"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AB432E9" w14:textId="0CF267CF"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Oznaczniki krawędzi drogi kołowania powinny być stosowane na drodze kołowania o cyfrze kodu 1 lub 2, która nie jest wyposażona w światła linii środkowej lub krawędzi drogi kołowania lub oznaczniki linii środkowej drogi kołowania.</w:t>
      </w:r>
    </w:p>
    <w:p w14:paraId="6E120A94"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Oznaczniki krawędzi drogi kołowania powinny być instalowane, jako minimum, w tych samych miejscach, gdzie byłyby instalowane światła krawędzi drogi kołowania.</w:t>
      </w:r>
    </w:p>
    <w:p w14:paraId="452CCC5F"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62A9350C"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Oznaczniki krawędzi drogi kołowania powinny być koloru niebieskiego i powinny być odblaskowe.</w:t>
      </w:r>
    </w:p>
    <w:p w14:paraId="1064F3B7"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Powierzchnia oznacznika widziana przez pilota powinna być prostokątna o powierzchni nie mniejszej niż 150 cm</w:t>
      </w:r>
      <w:r w:rsidRPr="009E064B">
        <w:rPr>
          <w:szCs w:val="20"/>
          <w:vertAlign w:val="superscript"/>
        </w:rPr>
        <w:t>2</w:t>
      </w:r>
      <w:r w:rsidRPr="009E064B">
        <w:rPr>
          <w:szCs w:val="20"/>
        </w:rPr>
        <w:t>.</w:t>
      </w:r>
    </w:p>
    <w:p w14:paraId="0BE66B9B"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Oznaczniki krawędzi drogi kołowania powinny być łamliwe. Ich wysokość powinna być wystarczająco niska tak, aby był zapewniony minimalny, bezpieczny odstęp do śmigieł lub gondoli silników statków powietrznych o napędzie odrzutowym.</w:t>
      </w:r>
    </w:p>
    <w:p w14:paraId="21BACEA9" w14:textId="0A7E2F8F" w:rsidR="002A38A1" w:rsidRPr="009E064B" w:rsidRDefault="00232B6F" w:rsidP="00133B99">
      <w:pPr>
        <w:pStyle w:val="Nagwek6"/>
      </w:pPr>
      <w:bookmarkStart w:id="1701" w:name="_Toc401059071"/>
      <w:bookmarkStart w:id="1702" w:name="_Toc482886937"/>
      <w:bookmarkStart w:id="1703" w:name="_Toc12533266"/>
      <w:r w:rsidRPr="009E064B">
        <w:t xml:space="preserve">GM1 ADR-DSN.P.825     </w:t>
      </w:r>
      <w:r w:rsidR="002A38A1" w:rsidRPr="009E064B">
        <w:t>Oznaczniki krawędzi drogi kołowania</w:t>
      </w:r>
      <w:bookmarkEnd w:id="1701"/>
      <w:bookmarkEnd w:id="1702"/>
      <w:bookmarkEnd w:id="1703"/>
    </w:p>
    <w:p w14:paraId="232E8F5C" w14:textId="6ADC029F"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696E976" w14:textId="143F3D96"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Na małych lotniskach, oznaczniki krawędzi drogi kołowania mogą być stosowane zamiast świateł krawędzi drogi kołowania w celu oznaczenia krawędzi drogi kołowania, w</w:t>
      </w:r>
      <w:r w:rsidR="00232B6F" w:rsidRPr="009E064B">
        <w:rPr>
          <w:szCs w:val="20"/>
        </w:rPr>
        <w:t xml:space="preserve"> </w:t>
      </w:r>
      <w:r w:rsidRPr="009E064B">
        <w:rPr>
          <w:szCs w:val="20"/>
        </w:rPr>
        <w:t>szczególności w nocy (</w:t>
      </w:r>
      <w:r w:rsidRPr="009E064B">
        <w:rPr>
          <w:i/>
          <w:szCs w:val="20"/>
        </w:rPr>
        <w:t>„Podręcznik projektowania lotnis</w:t>
      </w:r>
      <w:r w:rsidRPr="009E064B">
        <w:rPr>
          <w:szCs w:val="20"/>
        </w:rPr>
        <w:t>k” ICAO Doc 9157, Część 4 „</w:t>
      </w:r>
      <w:r w:rsidRPr="009E064B">
        <w:rPr>
          <w:i/>
          <w:szCs w:val="20"/>
        </w:rPr>
        <w:t>Pomoce wzrokowe</w:t>
      </w:r>
      <w:r w:rsidRPr="009E064B">
        <w:rPr>
          <w:szCs w:val="20"/>
        </w:rPr>
        <w:t>” Rozdział 2 p</w:t>
      </w:r>
      <w:r w:rsidR="003F7443" w:rsidRPr="009E064B">
        <w:rPr>
          <w:szCs w:val="20"/>
        </w:rPr>
        <w:t>kt</w:t>
      </w:r>
      <w:r w:rsidRPr="009E064B">
        <w:rPr>
          <w:szCs w:val="20"/>
        </w:rPr>
        <w:t xml:space="preserve"> 2.4.1).</w:t>
      </w:r>
    </w:p>
    <w:p w14:paraId="368712F5" w14:textId="0DF00EE9"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 xml:space="preserve">Na prostym odcinku drogi kołowania, oznaczniki krawędzi drogi kołowania powinny znajdować się w równych odstępach podłużnych nie większych niż 60 m. Na łuku oznaczniki powinny znajdować się w odstępach mniejszych niż 60 m, tak aby zapewnić widoczne oznaczenie łuku. Oznaczniki powinny być zlokalizowane możliwie jak najbliżej krawędzi drogi </w:t>
      </w:r>
      <w:r w:rsidR="00DC24C0" w:rsidRPr="009E064B">
        <w:rPr>
          <w:szCs w:val="20"/>
        </w:rPr>
        <w:t>kołowania</w:t>
      </w:r>
      <w:r w:rsidRPr="009E064B">
        <w:rPr>
          <w:szCs w:val="20"/>
        </w:rPr>
        <w:t xml:space="preserve"> lub na zewnątrz krawędzi w odległości nie większej niż 3 m. Do</w:t>
      </w:r>
      <w:r w:rsidR="00995312" w:rsidRPr="009E064B">
        <w:rPr>
          <w:szCs w:val="20"/>
        </w:rPr>
        <w:t>datkowe wytyczne są określone w </w:t>
      </w:r>
      <w:r w:rsidRPr="009E064B">
        <w:rPr>
          <w:i/>
          <w:szCs w:val="20"/>
        </w:rPr>
        <w:t>„Podręczniku projektowania lotnis</w:t>
      </w:r>
      <w:r w:rsidRPr="009E064B">
        <w:rPr>
          <w:szCs w:val="20"/>
        </w:rPr>
        <w:t>k” ICAO Doc 9157, Część 4 „</w:t>
      </w:r>
      <w:r w:rsidRPr="009E064B">
        <w:rPr>
          <w:i/>
          <w:szCs w:val="20"/>
        </w:rPr>
        <w:t>Pomoce wzrokowe</w:t>
      </w:r>
      <w:r w:rsidRPr="009E064B">
        <w:rPr>
          <w:szCs w:val="20"/>
        </w:rPr>
        <w:t>” Rozdział 2, pkt 2.4.2.</w:t>
      </w:r>
    </w:p>
    <w:p w14:paraId="76EF1898" w14:textId="5BF56C79" w:rsidR="002A38A1" w:rsidRPr="009E064B" w:rsidRDefault="002A38A1"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 xml:space="preserve">Powszechnie stosowane markery mają kształt cylindryczny. Najlepiej gdyby projekt oznaczników był taki, że jeżeli są one zainstalowane poprawnie, żadna ich część nie wykracza poza całkowitą wysokość 35 cm powierzchni montowania. Jeżeli jednak istnieje prawdopodobieństwo występowania dużych opadów śniegu, mogą być stosowane oznaczniki o wysokości większej niż 35 cm, ale ich wysokość całkowita powinna być dostatecznie mała dla zachowania odległości od śmigieł oraz gondoli silników odrzutowych statków powietrznych. Dodatkowe wytyczne są określone w </w:t>
      </w:r>
      <w:r w:rsidRPr="009E064B">
        <w:rPr>
          <w:i/>
          <w:szCs w:val="20"/>
        </w:rPr>
        <w:t>„Podręczniku projektowania lotnis</w:t>
      </w:r>
      <w:r w:rsidRPr="009E064B">
        <w:rPr>
          <w:szCs w:val="20"/>
        </w:rPr>
        <w:t>k” ICAO Doc 9157, Część 4 „</w:t>
      </w:r>
      <w:r w:rsidRPr="009E064B">
        <w:rPr>
          <w:i/>
          <w:szCs w:val="20"/>
        </w:rPr>
        <w:t>Pomoce wzrokowe</w:t>
      </w:r>
      <w:r w:rsidRPr="009E064B">
        <w:rPr>
          <w:szCs w:val="20"/>
        </w:rPr>
        <w:t>” Rozdział 2, p</w:t>
      </w:r>
      <w:r w:rsidR="003F7443" w:rsidRPr="009E064B">
        <w:rPr>
          <w:szCs w:val="20"/>
        </w:rPr>
        <w:t>kt</w:t>
      </w:r>
      <w:r w:rsidRPr="009E064B">
        <w:rPr>
          <w:szCs w:val="20"/>
        </w:rPr>
        <w:t xml:space="preserve"> 2.4.4.</w:t>
      </w:r>
    </w:p>
    <w:p w14:paraId="4D8F6605" w14:textId="54DA9C97" w:rsidR="002A38A1" w:rsidRPr="009E064B" w:rsidRDefault="002A38A1" w:rsidP="00B06A9A">
      <w:pPr>
        <w:tabs>
          <w:tab w:val="left" w:pos="567"/>
        </w:tabs>
        <w:autoSpaceDE w:val="0"/>
        <w:autoSpaceDN w:val="0"/>
        <w:adjustRightInd w:val="0"/>
        <w:ind w:left="567" w:hanging="567"/>
        <w:rPr>
          <w:szCs w:val="20"/>
        </w:rPr>
      </w:pPr>
      <w:r w:rsidRPr="00351FED">
        <w:rPr>
          <w:rFonts w:cs="TimesNewRomanPS-BoldItalicMT"/>
          <w:bCs/>
          <w:iCs/>
          <w:szCs w:val="20"/>
        </w:rPr>
        <w:t xml:space="preserve">(d) </w:t>
      </w:r>
      <w:r w:rsidRPr="00351FED">
        <w:rPr>
          <w:rFonts w:cs="TimesNewRomanPS-BoldItalicMT"/>
          <w:bCs/>
          <w:iCs/>
          <w:szCs w:val="20"/>
        </w:rPr>
        <w:tab/>
      </w:r>
      <w:r w:rsidRPr="00351FED">
        <w:rPr>
          <w:szCs w:val="20"/>
        </w:rPr>
        <w:t xml:space="preserve">Oznacznik krawędzi drogi kołowania powinien być lekki i łamliwy. Jeden z typów oznacznika spełniający te wymagania został przedstawiony na Rysunku </w:t>
      </w:r>
      <w:r w:rsidR="008379FD" w:rsidRPr="00351FED">
        <w:rPr>
          <w:szCs w:val="20"/>
        </w:rPr>
        <w:t>GM-P-1</w:t>
      </w:r>
      <w:r w:rsidRPr="00351FED">
        <w:rPr>
          <w:szCs w:val="20"/>
        </w:rPr>
        <w:t xml:space="preserve">. Słupek jest zbudowany z elastycznego PCW i jest koloru niebieskiego. Tuleja, która jest odblaskowa, jest również koloru </w:t>
      </w:r>
      <w:r w:rsidRPr="009E064B">
        <w:rPr>
          <w:szCs w:val="20"/>
        </w:rPr>
        <w:t>niebieskiego. Należy zauważyć, że oznakowana powierzchnia wynosi 150 cm</w:t>
      </w:r>
      <w:r w:rsidRPr="009E064B">
        <w:rPr>
          <w:szCs w:val="20"/>
          <w:vertAlign w:val="superscript"/>
        </w:rPr>
        <w:t>2</w:t>
      </w:r>
      <w:r w:rsidRPr="009E064B">
        <w:rPr>
          <w:szCs w:val="20"/>
        </w:rPr>
        <w:t>. Dodatkowe wytyczne są określone w</w:t>
      </w:r>
      <w:r w:rsidRPr="009E064B">
        <w:rPr>
          <w:i/>
          <w:szCs w:val="20"/>
        </w:rPr>
        <w:t xml:space="preserve"> „Podręczniku projektowania lotnis</w:t>
      </w:r>
      <w:r w:rsidRPr="009E064B">
        <w:rPr>
          <w:szCs w:val="20"/>
        </w:rPr>
        <w:t>k” ICAO Doc 9157, Część 4 „</w:t>
      </w:r>
      <w:r w:rsidRPr="009E064B">
        <w:rPr>
          <w:i/>
          <w:szCs w:val="20"/>
        </w:rPr>
        <w:t>Pomoce wzrokowe</w:t>
      </w:r>
      <w:r w:rsidRPr="009E064B">
        <w:rPr>
          <w:szCs w:val="20"/>
        </w:rPr>
        <w:t>” Rozdział 2, p</w:t>
      </w:r>
      <w:r w:rsidR="003F7443" w:rsidRPr="009E064B">
        <w:rPr>
          <w:szCs w:val="20"/>
        </w:rPr>
        <w:t>kt</w:t>
      </w:r>
      <w:r w:rsidRPr="009E064B">
        <w:rPr>
          <w:szCs w:val="20"/>
        </w:rPr>
        <w:t xml:space="preserve"> 2.4.5.</w:t>
      </w:r>
    </w:p>
    <w:p w14:paraId="1149AFC0" w14:textId="77777777" w:rsidR="002A38A1" w:rsidRPr="009E064B" w:rsidRDefault="002A38A1" w:rsidP="00B06A9A">
      <w:pPr>
        <w:spacing w:after="0"/>
        <w:ind w:right="10"/>
        <w:rPr>
          <w:szCs w:val="20"/>
        </w:rPr>
      </w:pPr>
    </w:p>
    <w:p w14:paraId="1466AB79" w14:textId="335D1B06" w:rsidR="00995312" w:rsidRPr="009E064B" w:rsidRDefault="00995312" w:rsidP="00B06A9A">
      <w:pPr>
        <w:spacing w:after="0"/>
        <w:ind w:right="10"/>
        <w:jc w:val="center"/>
        <w:rPr>
          <w:szCs w:val="20"/>
        </w:rPr>
      </w:pPr>
      <w:r w:rsidRPr="009E064B">
        <w:rPr>
          <w:rFonts w:eastAsia="Times New Roman,Italic" w:cs="Times New Roman,Italic"/>
          <w:iCs/>
          <w:noProof/>
          <w:szCs w:val="20"/>
          <w:lang w:eastAsia="pl-PL"/>
        </w:rPr>
        <mc:AlternateContent>
          <mc:Choice Requires="wpc">
            <w:drawing>
              <wp:inline distT="0" distB="0" distL="0" distR="0" wp14:anchorId="15E29085" wp14:editId="7201BA2E">
                <wp:extent cx="3398281" cy="4152277"/>
                <wp:effectExtent l="0" t="0" r="12065" b="19685"/>
                <wp:docPr id="3784" name="Kanwa 12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3778" name="Group 1222"/>
                        <wpg:cNvGrpSpPr>
                          <a:grpSpLocks/>
                        </wpg:cNvGrpSpPr>
                        <wpg:grpSpPr bwMode="auto">
                          <a:xfrm>
                            <a:off x="134912" y="124320"/>
                            <a:ext cx="3086578" cy="3893044"/>
                            <a:chOff x="1650" y="-225"/>
                            <a:chExt cx="4980" cy="6330"/>
                          </a:xfrm>
                        </wpg:grpSpPr>
                        <wpg:grpSp>
                          <wpg:cNvPr id="3780" name="Group 1223"/>
                          <wpg:cNvGrpSpPr>
                            <a:grpSpLocks/>
                          </wpg:cNvGrpSpPr>
                          <wpg:grpSpPr bwMode="auto">
                            <a:xfrm>
                              <a:off x="1650" y="-225"/>
                              <a:ext cx="4980" cy="6330"/>
                              <a:chOff x="1650" y="-225"/>
                              <a:chExt cx="4980" cy="6330"/>
                            </a:xfrm>
                          </wpg:grpSpPr>
                          <pic:pic xmlns:pic="http://schemas.openxmlformats.org/drawingml/2006/picture">
                            <pic:nvPicPr>
                              <pic:cNvPr id="3781" name="Picture 122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50" y="-225"/>
                                <a:ext cx="4980" cy="6330"/>
                              </a:xfrm>
                              <a:prstGeom prst="rect">
                                <a:avLst/>
                              </a:prstGeom>
                              <a:noFill/>
                              <a:extLst>
                                <a:ext uri="{909E8E84-426E-40DD-AFC4-6F175D3DCCD1}">
                                  <a14:hiddenFill xmlns:a14="http://schemas.microsoft.com/office/drawing/2010/main">
                                    <a:solidFill>
                                      <a:srgbClr val="FFFFFF"/>
                                    </a:solidFill>
                                  </a14:hiddenFill>
                                </a:ext>
                              </a:extLst>
                            </pic:spPr>
                          </pic:pic>
                          <wps:wsp>
                            <wps:cNvPr id="3782" name="Text Box 1225"/>
                            <wps:cNvSpPr txBox="1">
                              <a:spLocks noChangeArrowheads="1"/>
                            </wps:cNvSpPr>
                            <wps:spPr bwMode="auto">
                              <a:xfrm>
                                <a:off x="3526" y="1096"/>
                                <a:ext cx="756" cy="5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FEBC9" w14:textId="77777777" w:rsidR="003832F2" w:rsidRPr="008B62CA" w:rsidRDefault="003832F2" w:rsidP="00995312">
                                  <w:pPr>
                                    <w:jc w:val="center"/>
                                    <w:rPr>
                                      <w:rFonts w:ascii="Arial Narrow" w:hAnsi="Arial Narrow"/>
                                      <w:sz w:val="20"/>
                                    </w:rPr>
                                  </w:pPr>
                                  <w:r w:rsidRPr="008B62CA">
                                    <w:rPr>
                                      <w:rFonts w:ascii="Arial Narrow" w:hAnsi="Arial Narrow"/>
                                      <w:sz w:val="20"/>
                                    </w:rPr>
                                    <w:t>Tuleja</w:t>
                                  </w:r>
                                </w:p>
                              </w:txbxContent>
                            </wps:txbx>
                            <wps:bodyPr rot="0" vert="horz" wrap="square" lIns="18000" tIns="10800" rIns="18000" bIns="10800" anchor="ctr" anchorCtr="0" upright="1">
                              <a:noAutofit/>
                            </wps:bodyPr>
                          </wps:wsp>
                        </wpg:grpSp>
                        <wps:wsp>
                          <wps:cNvPr id="3783" name="Text Box 1226"/>
                          <wps:cNvSpPr txBox="1">
                            <a:spLocks noChangeArrowheads="1"/>
                          </wps:cNvSpPr>
                          <wps:spPr bwMode="auto">
                            <a:xfrm>
                              <a:off x="4627" y="4815"/>
                              <a:ext cx="1344" cy="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55D67" w14:textId="77777777" w:rsidR="003832F2" w:rsidRPr="008B62CA" w:rsidRDefault="003832F2" w:rsidP="00995312">
                                <w:pPr>
                                  <w:spacing w:after="0"/>
                                  <w:jc w:val="center"/>
                                  <w:rPr>
                                    <w:rFonts w:ascii="Arial Narrow" w:hAnsi="Arial Narrow"/>
                                    <w:sz w:val="20"/>
                                  </w:rPr>
                                </w:pPr>
                                <w:r>
                                  <w:rPr>
                                    <w:rFonts w:ascii="Arial Narrow" w:hAnsi="Arial Narrow"/>
                                    <w:sz w:val="20"/>
                                  </w:rPr>
                                  <w:t>Rurka w ziemi</w:t>
                                </w:r>
                              </w:p>
                            </w:txbxContent>
                          </wps:txbx>
                          <wps:bodyPr rot="0" vert="horz" wrap="square" lIns="18000" tIns="0" rIns="18000" bIns="10800" anchor="ctr"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E29085" id="Kanwa 1220" o:spid="_x0000_s1202" editas="canvas" style="width:267.6pt;height:326.95pt;mso-position-horizontal-relative:char;mso-position-vertical-relative:line" coordsize="33978,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">
                <v:shape id="_x0000_s1203" type="#_x0000_t75" style="position:absolute;width:33978;height:41522;visibility:visible;mso-wrap-style:square" stroked="t" strokecolor="black [3213]">
                  <v:fill o:detectmouseclick="t"/>
                  <v:path o:connecttype="none"/>
                </v:shape>
                <v:group id="Group 1222" o:spid="_x0000_s1204" style="position:absolute;left:1349;top:1243;width:30865;height:38930" coordorigin="1650,-225" coordsize="4980,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">
                  <v:group id="Group 1223" o:spid="_x0000_s1205" style="position:absolute;left:1650;top:-225;width:4980;height:6330" coordorigin="1650,-225" coordsize="4980,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">
                    <v:shape id="Picture 1224" o:spid="_x0000_s1206" type="#_x0000_t75" style="position:absolute;left:1650;top:-225;width:4980;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">
                      <v:imagedata r:id="rId223" o:title=""/>
                    </v:shape>
                    <v:shape id="Text Box 1225" o:spid="_x0000_s1207" type="#_x0000_t202" style="position:absolute;left:3526;top:1096;width:756;height: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" stroked="f">
                      <v:textbox inset=".5mm,.3mm,.5mm,.3mm">
                        <w:txbxContent>
                          <w:p w14:paraId="3E7FEBC9" w14:textId="77777777" w:rsidR="003832F2" w:rsidRPr="008B62CA" w:rsidRDefault="003832F2" w:rsidP="00995312">
                            <w:pPr>
                              <w:jc w:val="center"/>
                              <w:rPr>
                                <w:rFonts w:ascii="Arial Narrow" w:hAnsi="Arial Narrow"/>
                                <w:sz w:val="20"/>
                              </w:rPr>
                            </w:pPr>
                            <w:r w:rsidRPr="008B62CA">
                              <w:rPr>
                                <w:rFonts w:ascii="Arial Narrow" w:hAnsi="Arial Narrow"/>
                                <w:sz w:val="20"/>
                              </w:rPr>
                              <w:t>Tuleja</w:t>
                            </w:r>
                          </w:p>
                        </w:txbxContent>
                      </v:textbox>
                    </v:shape>
                  </v:group>
                  <v:shape id="Text Box 1226" o:spid="_x0000_s1208" type="#_x0000_t202" style="position:absolute;left:4627;top:4815;width:1344;height: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" stroked="f">
                    <v:textbox inset=".5mm,0,.5mm,.3mm">
                      <w:txbxContent>
                        <w:p w14:paraId="4C855D67" w14:textId="77777777" w:rsidR="003832F2" w:rsidRPr="008B62CA" w:rsidRDefault="003832F2" w:rsidP="00995312">
                          <w:pPr>
                            <w:spacing w:after="0"/>
                            <w:jc w:val="center"/>
                            <w:rPr>
                              <w:rFonts w:ascii="Arial Narrow" w:hAnsi="Arial Narrow"/>
                              <w:sz w:val="20"/>
                            </w:rPr>
                          </w:pPr>
                          <w:r>
                            <w:rPr>
                              <w:rFonts w:ascii="Arial Narrow" w:hAnsi="Arial Narrow"/>
                              <w:sz w:val="20"/>
                            </w:rPr>
                            <w:t>Rurka w ziemi</w:t>
                          </w:r>
                        </w:p>
                      </w:txbxContent>
                    </v:textbox>
                  </v:shape>
                </v:group>
                <w10:anchorlock/>
              </v:group>
            </w:pict>
          </mc:Fallback>
        </mc:AlternateContent>
      </w:r>
    </w:p>
    <w:p w14:paraId="08248CA9" w14:textId="77777777" w:rsidR="00995312" w:rsidRPr="009E064B" w:rsidRDefault="00995312" w:rsidP="00B06A9A">
      <w:pPr>
        <w:spacing w:after="0"/>
        <w:ind w:right="10"/>
        <w:jc w:val="center"/>
        <w:rPr>
          <w:szCs w:val="20"/>
        </w:rPr>
      </w:pPr>
    </w:p>
    <w:p w14:paraId="2B4297C8" w14:textId="6450BB0B" w:rsidR="002A38A1" w:rsidRPr="00351FED" w:rsidRDefault="002A38A1" w:rsidP="00B06A9A">
      <w:pPr>
        <w:spacing w:after="0"/>
        <w:ind w:right="10"/>
        <w:jc w:val="center"/>
        <w:rPr>
          <w:b/>
          <w:sz w:val="20"/>
          <w:szCs w:val="20"/>
        </w:rPr>
      </w:pPr>
      <w:r w:rsidRPr="00351FED">
        <w:rPr>
          <w:b/>
          <w:sz w:val="20"/>
          <w:szCs w:val="20"/>
        </w:rPr>
        <w:t>Rysunek GM-P-1. Oznacznik krawędzi drogi kołowania</w:t>
      </w:r>
    </w:p>
    <w:p w14:paraId="34C5A2B5" w14:textId="6728F7F0" w:rsidR="002A38A1" w:rsidRPr="009E064B" w:rsidRDefault="002A38A1"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EEC8D9E" w14:textId="77777777" w:rsidR="003F4B5A" w:rsidRPr="009E064B" w:rsidRDefault="003F4B5A" w:rsidP="00DF3108">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6654B9E1" w14:textId="62CECE5B" w:rsidR="00C36D76" w:rsidRPr="009E064B" w:rsidRDefault="00003210" w:rsidP="00B06A9A">
      <w:pPr>
        <w:pStyle w:val="Nagwek4"/>
        <w:rPr>
          <w:color w:val="auto"/>
        </w:rPr>
      </w:pPr>
      <w:bookmarkStart w:id="1704" w:name="_Toc482886714"/>
      <w:bookmarkStart w:id="1705" w:name="_Toc12533267"/>
      <w:r w:rsidRPr="009E064B">
        <w:rPr>
          <w:color w:val="auto"/>
        </w:rPr>
        <w:t xml:space="preserve">CS ADR-DSN.P.830     </w:t>
      </w:r>
      <w:r w:rsidR="00C36D76" w:rsidRPr="009E064B">
        <w:rPr>
          <w:color w:val="auto"/>
        </w:rPr>
        <w:t>Oznaczniki linii środkowej drogi kołowania</w:t>
      </w:r>
      <w:bookmarkEnd w:id="1704"/>
      <w:bookmarkEnd w:id="1705"/>
    </w:p>
    <w:p w14:paraId="22A37D46" w14:textId="7C62AB53"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B6BE73F" w14:textId="35334F88"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5593350D"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Oznaczniki linii środkowej drogi kołowania powinny być stosowane na drodze kołowania, która nie jest wyposażona w światła linii środkowej lub krawędzi drogi kołowania lub oznaczniki krawędzi drogi kołowania.</w:t>
      </w:r>
    </w:p>
    <w:p w14:paraId="0B671369"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Oznaczniki linii środkowej drogi kołowania powinny być stosowane na drodze kołowania, która nie jest wyposażona w światła linii środkowej drogi kołowania, jeżeli zachodzi konieczność poprawienia prowadzenia statku powietrznego według oznakowania linii środkowej drogi kołowania.</w:t>
      </w:r>
    </w:p>
    <w:p w14:paraId="0C6054E7"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w:t>
      </w:r>
    </w:p>
    <w:p w14:paraId="66A5C668"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Oznaczniki linii środkowej drogi kołowania powinny być instalowane, jako minimum, w tych samych miejscach, gdzie byłyby instalowane światła linii środkowej drogi kołowania.</w:t>
      </w:r>
    </w:p>
    <w:p w14:paraId="00B96F3C"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 xml:space="preserve">Oznaczniki linii środkowej drogi kołowania powinny być zlokalizowane na oznakowaniu linii środkowej drogi kołowania, z wyjątkiem przypadku, gdy nie jest możliwe umieszczanie oznaczników na tym oznakowaniu i stosuje przesunięcie o nie więcej niż 30 cm od linii środkowej. </w:t>
      </w:r>
    </w:p>
    <w:p w14:paraId="64ECF00A"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70C1A605"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Oznaczniki linii środkowej drogi kołowania powinny być koloru zielonego i powinny być odblaskowe.</w:t>
      </w:r>
    </w:p>
    <w:p w14:paraId="500AF2D2"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Powierzchnia oznacznika widziana przez pilota powinna być prostokątna o powierzchni nie mniejszej niż 20 cm</w:t>
      </w:r>
      <w:r w:rsidRPr="009E064B">
        <w:rPr>
          <w:szCs w:val="20"/>
          <w:vertAlign w:val="superscript"/>
        </w:rPr>
        <w:t>2</w:t>
      </w:r>
      <w:r w:rsidRPr="009E064B">
        <w:rPr>
          <w:szCs w:val="20"/>
        </w:rPr>
        <w:t>.</w:t>
      </w:r>
    </w:p>
    <w:p w14:paraId="4F12366F"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Oznaczniki linii środkowej drogi kołowania powinny być tak zaprojektowane i zamocowane, aby wytrzymywały przejazd po nich kół statku powietrznego, bez uszkodzenia zarówno statku powietrznego jak i samych oznaczników.</w:t>
      </w:r>
    </w:p>
    <w:p w14:paraId="08BF197E" w14:textId="3A1D34A5" w:rsidR="002A38A1" w:rsidRPr="009E064B" w:rsidRDefault="00003210" w:rsidP="00133B99">
      <w:pPr>
        <w:pStyle w:val="Nagwek6"/>
      </w:pPr>
      <w:bookmarkStart w:id="1706" w:name="_Toc401059072"/>
      <w:bookmarkStart w:id="1707" w:name="_Toc482886938"/>
      <w:bookmarkStart w:id="1708" w:name="_Toc12533268"/>
      <w:r w:rsidRPr="009E064B">
        <w:t xml:space="preserve">GM1 ADR-DSN.P.830     </w:t>
      </w:r>
      <w:r w:rsidR="002A38A1" w:rsidRPr="009E064B">
        <w:t>Oznaczniki linii środkowej drogi kołowania</w:t>
      </w:r>
      <w:bookmarkEnd w:id="1706"/>
      <w:bookmarkEnd w:id="1707"/>
      <w:bookmarkEnd w:id="1708"/>
    </w:p>
    <w:p w14:paraId="1C113866" w14:textId="06EAF6D3"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641B018" w14:textId="77777777" w:rsidR="002A38A1" w:rsidRPr="009E064B" w:rsidRDefault="002A38A1" w:rsidP="00003210">
      <w:pPr>
        <w:rPr>
          <w:szCs w:val="20"/>
        </w:rPr>
      </w:pPr>
      <w:r w:rsidRPr="009E064B">
        <w:rPr>
          <w:szCs w:val="20"/>
        </w:rPr>
        <w:t>Celowo pozostawiono puste.</w:t>
      </w:r>
    </w:p>
    <w:p w14:paraId="3677FEAB" w14:textId="323F22EF" w:rsidR="00C36D76" w:rsidRPr="009E064B" w:rsidRDefault="00003210" w:rsidP="00003210">
      <w:pPr>
        <w:pStyle w:val="Nagwek4"/>
        <w:tabs>
          <w:tab w:val="clear" w:pos="2694"/>
          <w:tab w:val="left" w:pos="2552"/>
        </w:tabs>
        <w:ind w:left="2552" w:hanging="2552"/>
        <w:rPr>
          <w:color w:val="auto"/>
        </w:rPr>
      </w:pPr>
      <w:bookmarkStart w:id="1709" w:name="_Toc482886715"/>
      <w:bookmarkStart w:id="1710" w:name="_Toc12533269"/>
      <w:r w:rsidRPr="009E064B">
        <w:rPr>
          <w:color w:val="auto"/>
        </w:rPr>
        <w:t xml:space="preserve">CS ADR-DSN.P.835      </w:t>
      </w:r>
      <w:r w:rsidR="00C36D76" w:rsidRPr="009E064B">
        <w:rPr>
          <w:color w:val="auto"/>
        </w:rPr>
        <w:t>Oznaczniki krawędzi drogi kołowania bez nawierzchni sztucznej</w:t>
      </w:r>
      <w:bookmarkEnd w:id="1709"/>
      <w:bookmarkEnd w:id="1710"/>
    </w:p>
    <w:p w14:paraId="2ABCEFF2" w14:textId="12F3B274"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471ABBB" w14:textId="41019B01" w:rsidR="00C36D76" w:rsidRPr="009E064B" w:rsidRDefault="00C36D76" w:rsidP="00003210">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Jeżeli granice drogi kołowania bez nawierzchni sztucznej nie są wyraźnie widoczne z powodu małego kontrastu na tle otaczającego terenu, powinno się stosować oznaczniki.</w:t>
      </w:r>
    </w:p>
    <w:p w14:paraId="07D5F4F6"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Charakterystyki:</w:t>
      </w:r>
    </w:p>
    <w:p w14:paraId="3623348B"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Jeżeli są zainstalowane światła drogi kołowania, oznaczniki krawędzi drogi kołowania powinny być umieszczone na konstrukcjach wsporczych tych świateł.</w:t>
      </w:r>
    </w:p>
    <w:p w14:paraId="07405260" w14:textId="164CED21" w:rsidR="00D37A7C"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W przypadku braku takich świateł, powinno się stosować odpowiednie oznaczniki, rozmieszczone w sposób wyraźnie wyznaczający drogę kołowania.</w:t>
      </w:r>
    </w:p>
    <w:p w14:paraId="2031D625" w14:textId="77777777" w:rsidR="00D37A7C" w:rsidRPr="009E064B" w:rsidRDefault="00D37A7C" w:rsidP="00B06A9A">
      <w:pPr>
        <w:tabs>
          <w:tab w:val="left" w:pos="1134"/>
        </w:tabs>
        <w:ind w:left="1134" w:hanging="567"/>
        <w:rPr>
          <w:szCs w:val="20"/>
        </w:rPr>
      </w:pPr>
    </w:p>
    <w:p w14:paraId="06FCC316" w14:textId="1CA2708C" w:rsidR="00832086" w:rsidRPr="009E064B" w:rsidRDefault="00003210" w:rsidP="00133B99">
      <w:pPr>
        <w:pStyle w:val="Nagwek6"/>
      </w:pPr>
      <w:bookmarkStart w:id="1711" w:name="_Toc401059073"/>
      <w:bookmarkStart w:id="1712" w:name="_Toc482886939"/>
      <w:bookmarkStart w:id="1713" w:name="_Toc12533270"/>
      <w:r w:rsidRPr="009E064B">
        <w:t xml:space="preserve">GM1 ADR-DSN.P.835     </w:t>
      </w:r>
      <w:r w:rsidR="00832086" w:rsidRPr="009E064B">
        <w:t>Oznaczniki krawędzi drogi kołowania bez nawierzchni sztucznej</w:t>
      </w:r>
      <w:bookmarkEnd w:id="1711"/>
      <w:bookmarkEnd w:id="1712"/>
      <w:bookmarkEnd w:id="1713"/>
    </w:p>
    <w:p w14:paraId="1DC99C97" w14:textId="78121E61" w:rsidR="00003210" w:rsidRPr="009E064B" w:rsidRDefault="001F74A1" w:rsidP="00003210">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9D4DD70" w14:textId="77777777" w:rsidR="00832086" w:rsidRPr="009E064B" w:rsidRDefault="00832086" w:rsidP="00003210">
      <w:pPr>
        <w:rPr>
          <w:szCs w:val="20"/>
        </w:rPr>
      </w:pPr>
      <w:r w:rsidRPr="009E064B">
        <w:rPr>
          <w:szCs w:val="20"/>
        </w:rPr>
        <w:t>Celowo pozostawiono puste.</w:t>
      </w:r>
    </w:p>
    <w:p w14:paraId="3B6400ED" w14:textId="77777777" w:rsidR="00C36D76" w:rsidRPr="009E064B" w:rsidRDefault="00C36D76" w:rsidP="00B06A9A">
      <w:pPr>
        <w:tabs>
          <w:tab w:val="left" w:pos="1134"/>
        </w:tabs>
        <w:ind w:left="1134" w:hanging="567"/>
        <w:rPr>
          <w:szCs w:val="20"/>
        </w:rPr>
      </w:pPr>
    </w:p>
    <w:p w14:paraId="06844ECE" w14:textId="77777777" w:rsidR="00C36D76" w:rsidRPr="009E064B" w:rsidRDefault="00C36D76" w:rsidP="00B06A9A">
      <w:pPr>
        <w:ind w:left="1134" w:hanging="567"/>
        <w:rPr>
          <w:szCs w:val="20"/>
        </w:rPr>
        <w:sectPr w:rsidR="00C36D76" w:rsidRPr="009E064B" w:rsidSect="00AE1280">
          <w:headerReference w:type="default" r:id="rId224"/>
          <w:headerReference w:type="first" r:id="rId225"/>
          <w:pgSz w:w="11906" w:h="16840" w:code="9"/>
          <w:pgMar w:top="1701" w:right="1417" w:bottom="1418" w:left="1418" w:header="567" w:footer="454" w:gutter="0"/>
          <w:cols w:space="708"/>
          <w:titlePg/>
          <w:docGrid w:linePitch="360"/>
        </w:sectPr>
      </w:pPr>
    </w:p>
    <w:p w14:paraId="1CCFEBFC" w14:textId="77777777" w:rsidR="00C36D76" w:rsidRPr="009E064B" w:rsidRDefault="00C36D76" w:rsidP="00965419">
      <w:pPr>
        <w:pStyle w:val="Tekstpodstawowy"/>
        <w:spacing w:after="0"/>
        <w:ind w:left="23" w:hanging="23"/>
        <w:rPr>
          <w:rFonts w:cs="TimesNewRomanPS-BoldItalicMT"/>
          <w:bCs/>
          <w:iCs/>
          <w:sz w:val="16"/>
        </w:rPr>
      </w:pPr>
    </w:p>
    <w:p w14:paraId="6F9CF065" w14:textId="389B7382" w:rsidR="00C36D76" w:rsidRPr="009E064B" w:rsidRDefault="00C36D76" w:rsidP="00020EA3">
      <w:pPr>
        <w:pStyle w:val="Nagwek2"/>
      </w:pPr>
      <w:bookmarkStart w:id="1714" w:name="_Toc382725621"/>
      <w:bookmarkStart w:id="1715" w:name="_Toc482886716"/>
      <w:bookmarkStart w:id="1716" w:name="_Toc12533271"/>
      <w:r w:rsidRPr="009E064B">
        <w:t xml:space="preserve">ROZDZIAŁ Q </w:t>
      </w:r>
      <w:r w:rsidR="008441EB" w:rsidRPr="009E064B">
        <w:t xml:space="preserve">— </w:t>
      </w:r>
      <w:r w:rsidRPr="009E064B">
        <w:t>POMOCE WZROKOWE DO OZNAKOWANIA PRZESZKÓD LOTNICZYCH</w:t>
      </w:r>
      <w:bookmarkEnd w:id="1714"/>
      <w:bookmarkEnd w:id="1715"/>
      <w:bookmarkEnd w:id="1716"/>
    </w:p>
    <w:p w14:paraId="72BF4853" w14:textId="77777777" w:rsidR="00C36D76" w:rsidRPr="009E064B" w:rsidRDefault="00C36D76" w:rsidP="00965419">
      <w:pPr>
        <w:pStyle w:val="Tekstpodstawowy"/>
        <w:spacing w:after="0"/>
        <w:ind w:left="23" w:hanging="23"/>
        <w:rPr>
          <w:rFonts w:cs="TimesNewRomanPS-BoldItalicMT"/>
          <w:bCs/>
          <w:iCs/>
          <w:sz w:val="16"/>
        </w:rPr>
      </w:pPr>
    </w:p>
    <w:p w14:paraId="26F34923" w14:textId="6A357F03" w:rsidR="00C36D76" w:rsidRPr="009E064B" w:rsidRDefault="00232B6F" w:rsidP="00232B6F">
      <w:pPr>
        <w:pStyle w:val="Nagwek4"/>
        <w:tabs>
          <w:tab w:val="clear" w:pos="2694"/>
          <w:tab w:val="left" w:pos="2552"/>
        </w:tabs>
        <w:ind w:left="2552" w:hanging="2552"/>
        <w:rPr>
          <w:color w:val="auto"/>
        </w:rPr>
      </w:pPr>
      <w:bookmarkStart w:id="1717" w:name="_CS_ADR-DSN.Q.840_"/>
      <w:bookmarkStart w:id="1718" w:name="_Toc482886717"/>
      <w:bookmarkStart w:id="1719" w:name="_Toc12533272"/>
      <w:bookmarkEnd w:id="1717"/>
      <w:r w:rsidRPr="009E064B">
        <w:rPr>
          <w:color w:val="auto"/>
        </w:rPr>
        <w:t xml:space="preserve">CS ADR-DSN.Q.840     </w:t>
      </w:r>
      <w:r w:rsidR="00C36D76" w:rsidRPr="009E064B">
        <w:rPr>
          <w:color w:val="auto"/>
        </w:rPr>
        <w:t xml:space="preserve">Obiekty znajdujące się w obrębie granic bocznych powierzchni ograniczających przeszkody, które muszą </w:t>
      </w:r>
      <w:r w:rsidRPr="009E064B">
        <w:rPr>
          <w:color w:val="auto"/>
        </w:rPr>
        <w:br/>
      </w:r>
      <w:r w:rsidR="00C36D76" w:rsidRPr="009E064B">
        <w:rPr>
          <w:color w:val="auto"/>
        </w:rPr>
        <w:t>być oznakowane i</w:t>
      </w:r>
      <w:r w:rsidRPr="009E064B">
        <w:rPr>
          <w:color w:val="auto"/>
        </w:rPr>
        <w:t> </w:t>
      </w:r>
      <w:r w:rsidR="00C36D76" w:rsidRPr="009E064B">
        <w:rPr>
          <w:color w:val="auto"/>
        </w:rPr>
        <w:t>/</w:t>
      </w:r>
      <w:r w:rsidRPr="009E064B">
        <w:rPr>
          <w:color w:val="auto"/>
        </w:rPr>
        <w:t> </w:t>
      </w:r>
      <w:r w:rsidR="00C36D76" w:rsidRPr="009E064B">
        <w:rPr>
          <w:color w:val="auto"/>
        </w:rPr>
        <w:t>lub oświetlone</w:t>
      </w:r>
      <w:bookmarkEnd w:id="1718"/>
      <w:bookmarkEnd w:id="1719"/>
    </w:p>
    <w:p w14:paraId="76FD2711" w14:textId="1E4CCA6B" w:rsidR="00232B6F" w:rsidRPr="009E064B" w:rsidRDefault="00D63D4F" w:rsidP="00232B6F">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E4989EC" w14:textId="0F8BD308"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rFonts w:cs="Times New Roman"/>
          <w:szCs w:val="18"/>
        </w:rPr>
        <w:t>Zastosowanie:</w:t>
      </w:r>
      <w:r w:rsidRPr="009E064B">
        <w:rPr>
          <w:rFonts w:cs="Times New Roman"/>
          <w:szCs w:val="20"/>
        </w:rPr>
        <w:t xml:space="preserve"> Niniejsze</w:t>
      </w:r>
      <w:r w:rsidRPr="009E064B">
        <w:rPr>
          <w:szCs w:val="20"/>
        </w:rPr>
        <w:t xml:space="preserve"> specyfikacje dla o</w:t>
      </w:r>
      <w:r w:rsidRPr="009E064B">
        <w:rPr>
          <w:rFonts w:cs="Times New Roman"/>
          <w:szCs w:val="20"/>
        </w:rPr>
        <w:t xml:space="preserve">biektów znajdujących się w obrębie granic bocznych powierzchni ograniczających przeszkody, które muszą być oznakowane i/lub oświetlone, </w:t>
      </w:r>
      <w:r w:rsidRPr="009E064B">
        <w:rPr>
          <w:szCs w:val="20"/>
        </w:rPr>
        <w:t>mają zastosowanie tylko do obszaru będącego pod kontrolą zarządzającego lotniskiem.</w:t>
      </w:r>
    </w:p>
    <w:p w14:paraId="463D0424" w14:textId="77777777" w:rsidR="00C36D76" w:rsidRPr="009E064B" w:rsidRDefault="00C36D76" w:rsidP="00B06A9A">
      <w:pPr>
        <w:tabs>
          <w:tab w:val="left" w:pos="567"/>
        </w:tabs>
        <w:ind w:left="567" w:hanging="567"/>
        <w:rPr>
          <w:szCs w:val="20"/>
        </w:rPr>
      </w:pPr>
      <w:r w:rsidRPr="009E064B">
        <w:rPr>
          <w:szCs w:val="20"/>
        </w:rPr>
        <w:t>(b)</w:t>
      </w:r>
      <w:r w:rsidRPr="009E064B">
        <w:rPr>
          <w:szCs w:val="20"/>
        </w:rPr>
        <w:tab/>
        <w:t>Podwyższone naziemne światła lotnicze znajdujące się w polu ruchu naziemnego powinny być oznaczone tak, aby były widoczne w ciągu dnia. Światła przeszkodowe nie powinny być instalowane na podwyższonych światłach naziemnych ani na znakach w polu ruchu naziemnego.</w:t>
      </w:r>
    </w:p>
    <w:p w14:paraId="2DD4B804" w14:textId="26ACB5A9" w:rsidR="00C36D76" w:rsidRPr="009E064B" w:rsidRDefault="00C36D76" w:rsidP="00B06A9A">
      <w:pPr>
        <w:tabs>
          <w:tab w:val="left" w:pos="567"/>
        </w:tabs>
        <w:ind w:left="567" w:hanging="567"/>
        <w:rPr>
          <w:szCs w:val="20"/>
        </w:rPr>
      </w:pPr>
      <w:r w:rsidRPr="009E064B">
        <w:rPr>
          <w:szCs w:val="20"/>
        </w:rPr>
        <w:t>(c)</w:t>
      </w:r>
      <w:r w:rsidRPr="009E064B">
        <w:rPr>
          <w:szCs w:val="20"/>
        </w:rPr>
        <w:tab/>
        <w:t xml:space="preserve">Wszystkie przeszkody znajdujące się w odległości określonej w </w:t>
      </w:r>
      <w:r w:rsidR="00F36957" w:rsidRPr="009E064B">
        <w:rPr>
          <w:szCs w:val="20"/>
        </w:rPr>
        <w:t>Tabeli</w:t>
      </w:r>
      <w:r w:rsidRPr="009E064B">
        <w:rPr>
          <w:szCs w:val="20"/>
        </w:rPr>
        <w:t xml:space="preserve"> D-1, w kolumnie (11), (12) lub (13), od linii środkowej: drogi kołowania, drogi kołowania na płycie postojowej lub drogi kołowania na stanowisko postojowe statku powietr</w:t>
      </w:r>
      <w:r w:rsidR="00BF12AD" w:rsidRPr="009E064B">
        <w:rPr>
          <w:szCs w:val="20"/>
        </w:rPr>
        <w:t>znego powinny być oznakowane, a </w:t>
      </w:r>
      <w:r w:rsidRPr="009E064B">
        <w:rPr>
          <w:szCs w:val="20"/>
        </w:rPr>
        <w:t>jeżeli droga kołowania, droga kołowania na płycie postojowej lub droga kołowania na stanowisko postojowe statku powietrznego jest używana w nocy, powinny być oświetlone.</w:t>
      </w:r>
    </w:p>
    <w:p w14:paraId="54A42A3F"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(d) </w:t>
      </w:r>
      <w:r w:rsidRPr="009E064B">
        <w:rPr>
          <w:rFonts w:cs="Times New Roman"/>
          <w:szCs w:val="20"/>
        </w:rPr>
        <w:tab/>
        <w:t xml:space="preserve">Przeszkoda stała, która wystaje ponad powierzchnię wznoszenia, powierzchnię podejścia oraz powierzchnię przejściową w odległości do 3000 m od krawędzi </w:t>
      </w:r>
      <w:r w:rsidRPr="009E064B">
        <w:rPr>
          <w:szCs w:val="20"/>
        </w:rPr>
        <w:t>wewnętrznej</w:t>
      </w:r>
      <w:r w:rsidRPr="009E064B">
        <w:rPr>
          <w:rFonts w:cs="Times New Roman"/>
          <w:szCs w:val="20"/>
        </w:rPr>
        <w:t xml:space="preserve"> powierzchni wznoszenia lub powierzchni podejścia powinna być oznakowana, a jeżeli droga startowa użytkowana jest w nocy powinna być oświetlona, z następującymi wyjątkami:</w:t>
      </w:r>
    </w:p>
    <w:p w14:paraId="38F5A6F4" w14:textId="77777777"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(1) </w:t>
      </w:r>
      <w:r w:rsidRPr="009E064B">
        <w:rPr>
          <w:rFonts w:cs="Times New Roman"/>
          <w:szCs w:val="20"/>
        </w:rPr>
        <w:tab/>
        <w:t xml:space="preserve">oznakowanie i oświetlenie może być pominięte w przypadku, gdy </w:t>
      </w:r>
      <w:r w:rsidRPr="009E064B">
        <w:rPr>
          <w:szCs w:val="20"/>
        </w:rPr>
        <w:t>przeszkoda</w:t>
      </w:r>
      <w:r w:rsidRPr="009E064B">
        <w:rPr>
          <w:rFonts w:cs="Times New Roman"/>
          <w:szCs w:val="20"/>
        </w:rPr>
        <w:t xml:space="preserve"> jest zasłonięta przez inną stałą przeszkodę lotniczą;</w:t>
      </w:r>
    </w:p>
    <w:p w14:paraId="43129FFA" w14:textId="738D2975"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(2) </w:t>
      </w:r>
      <w:r w:rsidRPr="009E064B">
        <w:rPr>
          <w:rFonts w:cs="Times New Roman"/>
          <w:szCs w:val="20"/>
        </w:rPr>
        <w:tab/>
      </w:r>
      <w:r w:rsidRPr="009E064B">
        <w:rPr>
          <w:szCs w:val="20"/>
        </w:rPr>
        <w:t>oznakowanie</w:t>
      </w:r>
      <w:r w:rsidRPr="009E064B">
        <w:rPr>
          <w:rFonts w:cs="Times New Roman"/>
          <w:szCs w:val="20"/>
        </w:rPr>
        <w:t xml:space="preserve"> może być pominięte, gdy przeszkoda lotnicza jest oznakowana światłami przeszkodowymi średniej intensywności </w:t>
      </w:r>
      <w:r w:rsidR="007655D0" w:rsidRPr="009E064B">
        <w:rPr>
          <w:rFonts w:cs="Times New Roman"/>
          <w:szCs w:val="20"/>
        </w:rPr>
        <w:t>typ</w:t>
      </w:r>
      <w:r w:rsidRPr="009E064B">
        <w:rPr>
          <w:rFonts w:cs="Times New Roman"/>
          <w:szCs w:val="20"/>
        </w:rPr>
        <w:t>u A w dzień oraz jej wysokość nie przekracza 150 m ponad poziom otaczającego terenu;</w:t>
      </w:r>
    </w:p>
    <w:p w14:paraId="3C9022A5" w14:textId="68E65E87"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(3) </w:t>
      </w:r>
      <w:r w:rsidRPr="009E064B">
        <w:rPr>
          <w:rFonts w:cs="Times New Roman"/>
          <w:szCs w:val="20"/>
        </w:rPr>
        <w:tab/>
        <w:t xml:space="preserve">oznakowanie może być pominięte, gdy przeszkoda lotnicza jest </w:t>
      </w:r>
      <w:r w:rsidRPr="009E064B">
        <w:rPr>
          <w:szCs w:val="20"/>
        </w:rPr>
        <w:t>oznakowana</w:t>
      </w:r>
      <w:r w:rsidRPr="009E064B">
        <w:rPr>
          <w:rFonts w:cs="Times New Roman"/>
          <w:szCs w:val="20"/>
        </w:rPr>
        <w:t xml:space="preserve"> światłami przeszkodowymi wysokiej intensywności w dzień, jeżeli światła średniej intensywności, </w:t>
      </w:r>
      <w:r w:rsidR="007655D0" w:rsidRPr="009E064B">
        <w:rPr>
          <w:rFonts w:cs="Times New Roman"/>
          <w:szCs w:val="20"/>
        </w:rPr>
        <w:t>typ</w:t>
      </w:r>
      <w:r w:rsidRPr="009E064B">
        <w:rPr>
          <w:rFonts w:cs="Times New Roman"/>
          <w:szCs w:val="20"/>
        </w:rPr>
        <w:t>u A, uznano za niewystarczające; oraz</w:t>
      </w:r>
    </w:p>
    <w:p w14:paraId="008DF235"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t>oznakowanie świetlne (oświetlenie) może być pominięte, gdy przeszkodą lotniczą jest latarnia morska oraz ocena bezpieczeństwa wykaże, że światła latarni są wystarczające.</w:t>
      </w:r>
    </w:p>
    <w:p w14:paraId="60917BB2" w14:textId="77777777" w:rsidR="00C36D76" w:rsidRPr="009E064B" w:rsidRDefault="00C36D76" w:rsidP="00B06A9A">
      <w:pPr>
        <w:tabs>
          <w:tab w:val="left" w:pos="567"/>
        </w:tabs>
        <w:ind w:left="567" w:hanging="567"/>
        <w:rPr>
          <w:rFonts w:eastAsia="Times New Roman,Italic" w:cs="Times New Roman,Italic"/>
          <w:iCs/>
          <w:szCs w:val="20"/>
        </w:rPr>
      </w:pPr>
      <w:r w:rsidRPr="009E064B">
        <w:rPr>
          <w:rFonts w:cs="Times New Roman"/>
          <w:szCs w:val="20"/>
        </w:rPr>
        <w:t xml:space="preserve">(e) </w:t>
      </w:r>
      <w:r w:rsidRPr="009E064B">
        <w:rPr>
          <w:rFonts w:cs="Times New Roman"/>
          <w:szCs w:val="20"/>
        </w:rPr>
        <w:tab/>
      </w:r>
      <w:r w:rsidRPr="009E064B">
        <w:rPr>
          <w:rFonts w:eastAsia="Times New Roman,Italic" w:cs="Times New Roman,Italic"/>
          <w:iCs/>
          <w:szCs w:val="20"/>
        </w:rPr>
        <w:t>Stały obiekt, inny niż przeszkoda lotnicza, przylegający do powierzchni wznoszenia, powierzchni podejścia lub powierzchni przejściowej powinien być oznakowany, a jeżeli droga startowa jest wykorzystywana w nocy – oświetlony, jeżeli uznano, że takie oznakowanie i oświetlenie jest konieczne dla zapewnienia możliwości ominięcia tej przeszkody, za wyjątkiem następujących przypadków, w których takie oznakowanie może być pominięte:</w:t>
      </w:r>
    </w:p>
    <w:p w14:paraId="48434E75" w14:textId="5DF78BD7"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(1) </w:t>
      </w:r>
      <w:r w:rsidRPr="009E064B">
        <w:rPr>
          <w:rFonts w:cs="Times New Roman"/>
          <w:szCs w:val="20"/>
        </w:rPr>
        <w:tab/>
        <w:t xml:space="preserve">gdy </w:t>
      </w:r>
      <w:r w:rsidRPr="009E064B">
        <w:rPr>
          <w:rFonts w:eastAsia="Times New Roman,Italic" w:cs="Times New Roman,Italic"/>
          <w:iCs/>
          <w:szCs w:val="20"/>
        </w:rPr>
        <w:t xml:space="preserve">obiekt jest oznakowany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w dzień, oraz jego wysokość nie przekracza 150 m ponad poziom otaczającego terenu; lub</w:t>
      </w:r>
    </w:p>
    <w:p w14:paraId="5925A7EF" w14:textId="581D9368"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t xml:space="preserve">gdy </w:t>
      </w:r>
      <w:r w:rsidRPr="009E064B">
        <w:rPr>
          <w:szCs w:val="20"/>
        </w:rPr>
        <w:t>obiekt</w:t>
      </w:r>
      <w:r w:rsidRPr="009E064B">
        <w:rPr>
          <w:rFonts w:eastAsia="Times New Roman,Italic" w:cs="Times New Roman,Italic"/>
          <w:iCs/>
          <w:szCs w:val="20"/>
        </w:rPr>
        <w:t xml:space="preserve"> jest oznakowany światłami przeszkodowymi wy</w:t>
      </w:r>
      <w:r w:rsidR="00BF12AD" w:rsidRPr="009E064B">
        <w:rPr>
          <w:rFonts w:eastAsia="Times New Roman,Italic" w:cs="Times New Roman,Italic"/>
          <w:iCs/>
          <w:szCs w:val="20"/>
        </w:rPr>
        <w:t>sokiej intensywności w </w:t>
      </w:r>
      <w:r w:rsidRPr="009E064B">
        <w:rPr>
          <w:rFonts w:eastAsia="Times New Roman,Italic" w:cs="Times New Roman,Italic"/>
          <w:iCs/>
          <w:szCs w:val="20"/>
        </w:rPr>
        <w:t xml:space="preserve">dzień, jeśli światła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uznano za niewystarczające.</w:t>
      </w:r>
    </w:p>
    <w:p w14:paraId="14A855F7" w14:textId="37202DF9" w:rsidR="00C36D76" w:rsidRPr="009E064B" w:rsidRDefault="00C36D76" w:rsidP="00B06A9A">
      <w:pPr>
        <w:tabs>
          <w:tab w:val="left" w:pos="567"/>
        </w:tabs>
        <w:ind w:left="567" w:hanging="567"/>
        <w:rPr>
          <w:rFonts w:eastAsia="Times New Roman,Italic" w:cs="Times New Roman,Italic"/>
          <w:iCs/>
          <w:szCs w:val="20"/>
        </w:rPr>
      </w:pPr>
      <w:r w:rsidRPr="009E064B">
        <w:rPr>
          <w:rFonts w:cs="Times New Roman"/>
          <w:szCs w:val="20"/>
        </w:rPr>
        <w:t xml:space="preserve">(f) </w:t>
      </w:r>
      <w:r w:rsidRPr="009E064B">
        <w:rPr>
          <w:rFonts w:cs="Times New Roman"/>
          <w:szCs w:val="20"/>
        </w:rPr>
        <w:tab/>
      </w:r>
      <w:r w:rsidRPr="009E064B">
        <w:rPr>
          <w:rFonts w:eastAsia="Times New Roman,Italic" w:cs="Times New Roman,Italic"/>
          <w:iCs/>
          <w:szCs w:val="20"/>
        </w:rPr>
        <w:t>Przeszkoda</w:t>
      </w:r>
      <w:r w:rsidRPr="009E064B">
        <w:rPr>
          <w:szCs w:val="20"/>
        </w:rPr>
        <w:t xml:space="preserve"> stała</w:t>
      </w:r>
      <w:r w:rsidRPr="009E064B">
        <w:rPr>
          <w:rFonts w:eastAsia="Times New Roman,Italic" w:cs="Times New Roman,Italic"/>
          <w:iCs/>
          <w:szCs w:val="20"/>
        </w:rPr>
        <w:t>, która wystaje ponad powierzchnię poz</w:t>
      </w:r>
      <w:r w:rsidR="00BF12AD" w:rsidRPr="009E064B">
        <w:rPr>
          <w:rFonts w:eastAsia="Times New Roman,Italic" w:cs="Times New Roman,Italic"/>
          <w:iCs/>
          <w:szCs w:val="20"/>
        </w:rPr>
        <w:t>iomą, powinna być oznakowana, a </w:t>
      </w:r>
      <w:r w:rsidRPr="009E064B">
        <w:rPr>
          <w:rFonts w:eastAsia="Times New Roman,Italic" w:cs="Times New Roman,Italic"/>
          <w:iCs/>
          <w:szCs w:val="20"/>
        </w:rPr>
        <w:t>jeżeli droga startowa użytkowana jest w nocy oświetlona, z następującymi wyjątkami:</w:t>
      </w:r>
    </w:p>
    <w:p w14:paraId="18F6ABEA" w14:textId="77777777"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(1) </w:t>
      </w:r>
      <w:r w:rsidRPr="009E064B">
        <w:rPr>
          <w:rFonts w:cs="Times New Roman"/>
          <w:szCs w:val="20"/>
        </w:rPr>
        <w:tab/>
      </w:r>
      <w:r w:rsidRPr="009E064B">
        <w:rPr>
          <w:szCs w:val="20"/>
        </w:rPr>
        <w:t>oznakowanie</w:t>
      </w:r>
      <w:r w:rsidRPr="009E064B">
        <w:rPr>
          <w:rFonts w:eastAsia="Times New Roman,Italic" w:cs="Times New Roman,Italic"/>
          <w:iCs/>
          <w:szCs w:val="20"/>
        </w:rPr>
        <w:t xml:space="preserve"> i oświetlenie może być pominięte, jeżeli:</w:t>
      </w:r>
    </w:p>
    <w:p w14:paraId="4A2DF8EA" w14:textId="77777777" w:rsidR="00C36D76" w:rsidRPr="009E064B" w:rsidRDefault="00C36D76" w:rsidP="00B06A9A">
      <w:pPr>
        <w:tabs>
          <w:tab w:val="left" w:pos="1701"/>
        </w:tabs>
        <w:autoSpaceDE w:val="0"/>
        <w:autoSpaceDN w:val="0"/>
        <w:adjustRightInd w:val="0"/>
        <w:ind w:left="1701" w:hanging="567"/>
        <w:rPr>
          <w:rFonts w:eastAsia="Times New Roman,Italic" w:cs="Times New Roman,Italic"/>
          <w:iCs/>
          <w:szCs w:val="20"/>
        </w:rPr>
      </w:pPr>
      <w:r w:rsidRPr="009E064B">
        <w:rPr>
          <w:rFonts w:cs="Times New Roman"/>
          <w:szCs w:val="20"/>
        </w:rPr>
        <w:t xml:space="preserve">(i) </w:t>
      </w:r>
      <w:r w:rsidRPr="009E064B">
        <w:rPr>
          <w:rFonts w:cs="Times New Roman"/>
          <w:szCs w:val="20"/>
        </w:rPr>
        <w:tab/>
      </w:r>
      <w:r w:rsidRPr="009E064B">
        <w:rPr>
          <w:szCs w:val="20"/>
        </w:rPr>
        <w:t>przeszkoda</w:t>
      </w:r>
      <w:r w:rsidRPr="009E064B">
        <w:rPr>
          <w:rFonts w:eastAsia="Times New Roman,Italic" w:cs="Times New Roman,Italic"/>
          <w:iCs/>
          <w:szCs w:val="20"/>
        </w:rPr>
        <w:t xml:space="preserve"> jest zasłonięta przez inną stałą przeszkodę lotniczą; lub</w:t>
      </w:r>
    </w:p>
    <w:p w14:paraId="60B2F8BB" w14:textId="77777777" w:rsidR="00C36D76" w:rsidRPr="009E064B" w:rsidRDefault="00C36D76" w:rsidP="00B06A9A">
      <w:pPr>
        <w:tabs>
          <w:tab w:val="left" w:pos="1701"/>
        </w:tabs>
        <w:autoSpaceDE w:val="0"/>
        <w:autoSpaceDN w:val="0"/>
        <w:adjustRightInd w:val="0"/>
        <w:ind w:left="1701" w:hanging="567"/>
        <w:rPr>
          <w:rFonts w:eastAsia="Times New Roman,Italic" w:cs="Times New Roman,Italic"/>
          <w:iCs/>
          <w:szCs w:val="20"/>
        </w:rPr>
      </w:pPr>
      <w:r w:rsidRPr="009E064B">
        <w:rPr>
          <w:rFonts w:cs="Times New Roman"/>
          <w:szCs w:val="20"/>
        </w:rPr>
        <w:t xml:space="preserve">(ii) </w:t>
      </w:r>
      <w:r w:rsidRPr="009E064B">
        <w:rPr>
          <w:rFonts w:cs="Times New Roman"/>
          <w:szCs w:val="20"/>
        </w:rPr>
        <w:tab/>
      </w:r>
      <w:r w:rsidRPr="009E064B">
        <w:rPr>
          <w:rFonts w:eastAsia="Times New Roman,Italic" w:cs="Times New Roman,Italic"/>
          <w:iCs/>
          <w:szCs w:val="20"/>
        </w:rPr>
        <w:t>gdy w kręgu nadlotniskowym znajduje się znaczna ilość przeszkód, w postaci obiektów stałych lub nierówności terenowych i wprowadzono procedury zapewniające bezpieczną separację pionową nad przeszkodami, w stosunku do wyznaczonych ścieżek lotu; lub</w:t>
      </w:r>
    </w:p>
    <w:p w14:paraId="4CFD01F6" w14:textId="77777777" w:rsidR="00C36D76" w:rsidRPr="009E064B" w:rsidRDefault="00C36D76" w:rsidP="00B06A9A">
      <w:pPr>
        <w:tabs>
          <w:tab w:val="left" w:pos="1701"/>
        </w:tabs>
        <w:autoSpaceDE w:val="0"/>
        <w:autoSpaceDN w:val="0"/>
        <w:adjustRightInd w:val="0"/>
        <w:ind w:left="1701" w:hanging="567"/>
        <w:rPr>
          <w:rFonts w:eastAsia="Times New Roman,Italic" w:cs="Times New Roman,Italic"/>
          <w:iCs/>
          <w:szCs w:val="20"/>
        </w:rPr>
      </w:pPr>
      <w:r w:rsidRPr="009E064B">
        <w:rPr>
          <w:rFonts w:cs="Times New Roman"/>
          <w:szCs w:val="20"/>
        </w:rPr>
        <w:t xml:space="preserve">(iii) </w:t>
      </w:r>
      <w:r w:rsidRPr="009E064B">
        <w:rPr>
          <w:rFonts w:cs="Times New Roman"/>
          <w:szCs w:val="20"/>
        </w:rPr>
        <w:tab/>
      </w:r>
      <w:r w:rsidRPr="009E064B">
        <w:rPr>
          <w:rFonts w:eastAsia="Times New Roman,Italic" w:cs="Times New Roman,Italic"/>
          <w:iCs/>
          <w:szCs w:val="20"/>
        </w:rPr>
        <w:t>ocena bezpieczeństwa wykaże, że przeszkoda lotnicza nie ma znaczenia operacyjnego.</w:t>
      </w:r>
    </w:p>
    <w:p w14:paraId="21412704" w14:textId="5B5931D9"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(2) </w:t>
      </w:r>
      <w:r w:rsidRPr="009E064B">
        <w:rPr>
          <w:rFonts w:cs="Times New Roman"/>
          <w:szCs w:val="20"/>
        </w:rPr>
        <w:tab/>
      </w:r>
      <w:r w:rsidRPr="009E064B">
        <w:rPr>
          <w:rFonts w:eastAsia="Times New Roman,Italic" w:cs="Times New Roman,Italic"/>
          <w:iCs/>
          <w:szCs w:val="20"/>
        </w:rPr>
        <w:t xml:space="preserve">oznakowanie może być pominięte, jeżeli przeszkoda lotnicza jest </w:t>
      </w:r>
      <w:r w:rsidRPr="009E064B">
        <w:rPr>
          <w:szCs w:val="20"/>
        </w:rPr>
        <w:t>oznakowana</w:t>
      </w:r>
      <w:r w:rsidRPr="009E064B">
        <w:rPr>
          <w:rFonts w:eastAsia="Times New Roman,Italic" w:cs="Times New Roman,Italic"/>
          <w:iCs/>
          <w:szCs w:val="20"/>
        </w:rPr>
        <w:t xml:space="preserve">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w dzień oraz jej wysokość nie przekracza </w:t>
      </w:r>
      <w:r w:rsidRPr="009E064B">
        <w:rPr>
          <w:rFonts w:eastAsia="Times New Roman,Italic" w:cs="Times New Roman,BoldItalic"/>
          <w:bCs/>
          <w:iCs/>
          <w:szCs w:val="20"/>
        </w:rPr>
        <w:t>150</w:t>
      </w:r>
      <w:r w:rsidRPr="009E064B">
        <w:rPr>
          <w:rFonts w:eastAsia="Times New Roman,Italic" w:cs="Times New Roman,BoldItalic"/>
          <w:b/>
          <w:bCs/>
          <w:iCs/>
          <w:szCs w:val="20"/>
        </w:rPr>
        <w:t xml:space="preserve"> </w:t>
      </w:r>
      <w:r w:rsidRPr="009E064B">
        <w:rPr>
          <w:rFonts w:eastAsia="Times New Roman,Italic" w:cs="Times New Roman,Italic"/>
          <w:iCs/>
          <w:szCs w:val="20"/>
        </w:rPr>
        <w:t>m ponad poziom otaczającego terenu;</w:t>
      </w:r>
    </w:p>
    <w:p w14:paraId="5B828677" w14:textId="3B9F32AC" w:rsidR="00C36D76" w:rsidRPr="009E064B" w:rsidRDefault="00C36D76" w:rsidP="00B06A9A">
      <w:pPr>
        <w:tabs>
          <w:tab w:val="left" w:pos="1134"/>
        </w:tabs>
        <w:ind w:left="1134" w:hanging="567"/>
        <w:rPr>
          <w:rFonts w:eastAsia="Times New Roman,Italic" w:cs="Times New Roman,Italic"/>
          <w:iCs/>
          <w:szCs w:val="20"/>
        </w:rPr>
      </w:pPr>
      <w:r w:rsidRPr="009E064B">
        <w:rPr>
          <w:rFonts w:cs="Times New Roman"/>
          <w:szCs w:val="20"/>
        </w:rPr>
        <w:t xml:space="preserve">(3) </w:t>
      </w:r>
      <w:r w:rsidRPr="009E064B">
        <w:rPr>
          <w:rFonts w:cs="Times New Roman"/>
          <w:szCs w:val="20"/>
        </w:rPr>
        <w:tab/>
      </w:r>
      <w:r w:rsidRPr="009E064B">
        <w:rPr>
          <w:szCs w:val="20"/>
        </w:rPr>
        <w:t>oznakowanie</w:t>
      </w:r>
      <w:r w:rsidRPr="009E064B">
        <w:rPr>
          <w:rFonts w:eastAsia="Times New Roman,Italic" w:cs="Times New Roman,Italic"/>
          <w:iCs/>
          <w:szCs w:val="20"/>
        </w:rPr>
        <w:t xml:space="preserve"> może być pominięte, jeżeli przeszkoda lotnicza jest oznakowana światłami przeszkodowymi wysokiej intensywności w dzień, jeżeli światła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uznano za niewystarczające; oraz</w:t>
      </w:r>
    </w:p>
    <w:p w14:paraId="396D5E0B" w14:textId="77777777" w:rsidR="00C36D76" w:rsidRPr="009E064B" w:rsidRDefault="00C36D76" w:rsidP="00B06A9A">
      <w:pPr>
        <w:tabs>
          <w:tab w:val="left" w:pos="1134"/>
        </w:tabs>
        <w:ind w:left="1134" w:hanging="567"/>
        <w:rPr>
          <w:szCs w:val="20"/>
        </w:rPr>
      </w:pPr>
      <w:r w:rsidRPr="009E064B">
        <w:rPr>
          <w:rFonts w:cs="Times New Roman"/>
          <w:szCs w:val="20"/>
        </w:rPr>
        <w:t>(4)</w:t>
      </w:r>
      <w:r w:rsidRPr="009E064B">
        <w:rPr>
          <w:rFonts w:cs="Times New Roman"/>
          <w:szCs w:val="20"/>
        </w:rPr>
        <w:tab/>
        <w:t>oświetlenie może być pominięte, jeżeli przeszkodą jest latarnia morska oraz ocena bezpieczeństwa wskazuje że światło latarni morskiej jest wystarczające.</w:t>
      </w:r>
    </w:p>
    <w:p w14:paraId="33BDAB88" w14:textId="66868763" w:rsidR="00C36D76" w:rsidRPr="009E064B" w:rsidRDefault="00C36D76" w:rsidP="00B06A9A">
      <w:pPr>
        <w:tabs>
          <w:tab w:val="left" w:pos="567"/>
        </w:tabs>
        <w:spacing w:after="0"/>
        <w:ind w:left="567" w:hanging="567"/>
        <w:rPr>
          <w:rFonts w:cs="Times New Roman"/>
          <w:szCs w:val="20"/>
        </w:rPr>
      </w:pPr>
      <w:r w:rsidRPr="009E064B">
        <w:rPr>
          <w:rFonts w:cs="Times New Roman"/>
          <w:szCs w:val="20"/>
        </w:rPr>
        <w:t xml:space="preserve">(g) </w:t>
      </w:r>
      <w:r w:rsidRPr="009E064B">
        <w:rPr>
          <w:rFonts w:cs="Times New Roman"/>
          <w:szCs w:val="20"/>
        </w:rPr>
        <w:tab/>
        <w:t xml:space="preserve">Obiekt stały, który wystaje ponad powierzchnię zabezpieczenia przeszkodowego </w:t>
      </w:r>
      <w:r w:rsidRPr="009E064B">
        <w:rPr>
          <w:szCs w:val="20"/>
        </w:rPr>
        <w:t>powinien</w:t>
      </w:r>
      <w:r w:rsidRPr="009E064B">
        <w:rPr>
          <w:rFonts w:cs="Times New Roman"/>
          <w:szCs w:val="20"/>
        </w:rPr>
        <w:t xml:space="preserve"> być oznakowany, a jeżeli droga startowa użytkowana jest w nocy powinien być oświetlon</w:t>
      </w:r>
      <w:r w:rsidR="00CD112F" w:rsidRPr="009E064B">
        <w:rPr>
          <w:rFonts w:cs="Times New Roman"/>
          <w:szCs w:val="20"/>
        </w:rPr>
        <w:t>y, z </w:t>
      </w:r>
      <w:r w:rsidRPr="009E064B">
        <w:rPr>
          <w:rFonts w:cs="Times New Roman"/>
          <w:szCs w:val="20"/>
        </w:rPr>
        <w:t xml:space="preserve">wyjątkiem przypadku, gdy </w:t>
      </w:r>
      <w:r w:rsidRPr="009E064B">
        <w:rPr>
          <w:szCs w:val="20"/>
        </w:rPr>
        <w:t>takie oznakowanie i oświetlenie może być pominięte, jeżeli przeszkoda jest zasłonięta przez inną przeszkodę stałą.</w:t>
      </w:r>
    </w:p>
    <w:p w14:paraId="0E6A4A97" w14:textId="77777777" w:rsidR="00C36D76" w:rsidRPr="009E064B" w:rsidRDefault="00C36D7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EBC2F97" w14:textId="51159A17" w:rsidR="00832086" w:rsidRPr="009E064B" w:rsidRDefault="00832086" w:rsidP="00133B99">
      <w:pPr>
        <w:pStyle w:val="Nagwek6"/>
      </w:pPr>
      <w:bookmarkStart w:id="1720" w:name="_Toc401059075"/>
      <w:bookmarkStart w:id="1721" w:name="_Toc482886941"/>
      <w:bookmarkStart w:id="1722" w:name="_Toc12533273"/>
      <w:bookmarkStart w:id="1723" w:name="_Toc482886718"/>
      <w:r w:rsidRPr="009E064B">
        <w:t xml:space="preserve">GM1 ADR-DSN.Q.840 </w:t>
      </w:r>
      <w:bookmarkEnd w:id="1720"/>
      <w:r w:rsidR="008B787C" w:rsidRPr="009E064B">
        <w:t xml:space="preserve">    </w:t>
      </w:r>
      <w:r w:rsidRPr="009E064B">
        <w:t xml:space="preserve">Obiekty znajdujące się w obrębie granic bocznych powierzchni </w:t>
      </w:r>
      <w:r w:rsidR="007D1946">
        <w:br/>
        <w:t xml:space="preserve">   </w:t>
      </w:r>
      <w:r w:rsidRPr="009E064B">
        <w:t xml:space="preserve">ograniczających przeszkody, które muszą być oznakowane </w:t>
      </w:r>
      <w:r w:rsidR="007D1946">
        <w:br/>
        <w:t xml:space="preserve">   </w:t>
      </w:r>
      <w:r w:rsidR="008B787C" w:rsidRPr="009E064B">
        <w:t>i / </w:t>
      </w:r>
      <w:r w:rsidRPr="009E064B">
        <w:t>lub oświetlone</w:t>
      </w:r>
      <w:bookmarkEnd w:id="1721"/>
      <w:bookmarkEnd w:id="1722"/>
    </w:p>
    <w:p w14:paraId="394A85FA" w14:textId="46139575"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961BC74" w14:textId="77777777" w:rsidR="00832086" w:rsidRPr="009E064B" w:rsidRDefault="00832086"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Oznakowanie i/lub oświetlenie przeszkód ma na celu zmniejszenie niebezpieczeństwa dla statków powietrznych poprzez zaznaczenie obecności tych przeszkód. Oznakowanie to jednak nie musi zmniejszać ograniczeń operacyjnych narzuconych w następstwie obecności przeszkód.</w:t>
      </w:r>
    </w:p>
    <w:p w14:paraId="15878104" w14:textId="77777777" w:rsidR="00832086" w:rsidRPr="009E064B" w:rsidRDefault="00832086" w:rsidP="00B06A9A">
      <w:pPr>
        <w:tabs>
          <w:tab w:val="left" w:pos="567"/>
        </w:tabs>
        <w:autoSpaceDE w:val="0"/>
        <w:autoSpaceDN w:val="0"/>
        <w:adjustRightInd w:val="0"/>
        <w:ind w:left="567" w:hanging="567"/>
        <w:rPr>
          <w:szCs w:val="20"/>
        </w:rPr>
      </w:pPr>
      <w:r w:rsidRPr="009E064B">
        <w:rPr>
          <w:rFonts w:eastAsia="Times New Roman,Italic" w:cs="Times New Roman,Italic"/>
          <w:iCs/>
          <w:szCs w:val="20"/>
        </w:rPr>
        <w:t>(b)</w:t>
      </w:r>
      <w:r w:rsidRPr="009E064B">
        <w:rPr>
          <w:rFonts w:eastAsia="Times New Roman,Italic" w:cs="Times New Roman,Italic"/>
          <w:iCs/>
          <w:szCs w:val="20"/>
        </w:rPr>
        <w:tab/>
        <w:t>Inne</w:t>
      </w:r>
      <w:r w:rsidRPr="009E064B">
        <w:rPr>
          <w:szCs w:val="20"/>
        </w:rPr>
        <w:t xml:space="preserve"> obiekty znajdujące się w obrębie powierzchni ograniczających przeszkody powinny być oznakowane i/lub oświetlone jeśli ocena bezpieczeństwa wskazuje, że dany obiekt może stanowić zagrożenie dla statków powietrznych (dotyczy to także obiektów przylegających do wzrokowych tras lotu, np.: śródlądowe szlaki wodne, autostrady).</w:t>
      </w:r>
    </w:p>
    <w:p w14:paraId="0A6D25E3" w14:textId="68206585" w:rsidR="00832086" w:rsidRPr="009E064B" w:rsidRDefault="00832086" w:rsidP="00B06A9A">
      <w:pPr>
        <w:tabs>
          <w:tab w:val="left" w:pos="567"/>
        </w:tabs>
        <w:autoSpaceDE w:val="0"/>
        <w:autoSpaceDN w:val="0"/>
        <w:adjustRightInd w:val="0"/>
        <w:ind w:left="567" w:hanging="567"/>
        <w:rPr>
          <w:szCs w:val="20"/>
        </w:rPr>
      </w:pPr>
      <w:r w:rsidRPr="009E064B">
        <w:rPr>
          <w:szCs w:val="20"/>
        </w:rPr>
        <w:t>(c)</w:t>
      </w:r>
      <w:r w:rsidRPr="009E064B">
        <w:rPr>
          <w:szCs w:val="20"/>
        </w:rPr>
        <w:tab/>
        <w:t>Przewody napowietrzne, kable, itp. przeprowadzone nad rzeką, szlakiem wodnym, doliną lub autostradą powinny być oznakowane, a ich konstrukcje ws</w:t>
      </w:r>
      <w:r w:rsidR="00CD112F" w:rsidRPr="009E064B">
        <w:rPr>
          <w:szCs w:val="20"/>
        </w:rPr>
        <w:t>porcze powinny być oznakowane i </w:t>
      </w:r>
      <w:r w:rsidRPr="009E064B">
        <w:rPr>
          <w:szCs w:val="20"/>
        </w:rPr>
        <w:t>oświetlone, jeśli ocena bezpieczeństwa wskazuje, że te przewody lub kable mogą stanowić zagrożenie dla statków powietrznych.</w:t>
      </w:r>
    </w:p>
    <w:p w14:paraId="1853281E" w14:textId="5EBE13CA" w:rsidR="00E2149E" w:rsidRPr="009E064B" w:rsidRDefault="00832086" w:rsidP="006C24CC">
      <w:pPr>
        <w:pStyle w:val="Tekstpodstawowy"/>
        <w:spacing w:before="12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D0A12A9" w14:textId="77777777" w:rsidR="00E2149E" w:rsidRPr="009E064B" w:rsidRDefault="00E2149E">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5822124C" w14:textId="11F94741" w:rsidR="00C36D76" w:rsidRPr="009E064B" w:rsidRDefault="008B787C" w:rsidP="008B787C">
      <w:pPr>
        <w:pStyle w:val="Nagwek4"/>
        <w:tabs>
          <w:tab w:val="clear" w:pos="2694"/>
          <w:tab w:val="left" w:pos="2552"/>
        </w:tabs>
        <w:ind w:left="2552" w:hanging="2552"/>
        <w:rPr>
          <w:color w:val="auto"/>
        </w:rPr>
      </w:pPr>
      <w:bookmarkStart w:id="1724" w:name="_CS_ADR-DSN.Q.841_"/>
      <w:bookmarkStart w:id="1725" w:name="_Toc12533274"/>
      <w:bookmarkEnd w:id="1724"/>
      <w:r w:rsidRPr="009E064B">
        <w:rPr>
          <w:color w:val="auto"/>
        </w:rPr>
        <w:t xml:space="preserve">CS ADR-DSN.Q.841     </w:t>
      </w:r>
      <w:r w:rsidR="00C36D76" w:rsidRPr="009E064B">
        <w:rPr>
          <w:color w:val="auto"/>
        </w:rPr>
        <w:t xml:space="preserve">Obiekty znajdujące się poza granicami bocznymi powierzchni ograniczających przeszkody, które </w:t>
      </w:r>
      <w:r w:rsidR="006B294A" w:rsidRPr="009E064B">
        <w:rPr>
          <w:color w:val="auto"/>
        </w:rPr>
        <w:br/>
      </w:r>
      <w:r w:rsidR="00C36D76" w:rsidRPr="009E064B">
        <w:rPr>
          <w:color w:val="auto"/>
        </w:rPr>
        <w:t>muszą być oznakowane i</w:t>
      </w:r>
      <w:r w:rsidRPr="009E064B">
        <w:rPr>
          <w:color w:val="auto"/>
        </w:rPr>
        <w:t> </w:t>
      </w:r>
      <w:r w:rsidR="00C36D76" w:rsidRPr="009E064B">
        <w:rPr>
          <w:color w:val="auto"/>
        </w:rPr>
        <w:t>/</w:t>
      </w:r>
      <w:r w:rsidRPr="009E064B">
        <w:rPr>
          <w:color w:val="auto"/>
        </w:rPr>
        <w:t> </w:t>
      </w:r>
      <w:r w:rsidR="00C36D76" w:rsidRPr="009E064B">
        <w:rPr>
          <w:color w:val="auto"/>
        </w:rPr>
        <w:t>lub oświetlone</w:t>
      </w:r>
      <w:bookmarkEnd w:id="1723"/>
      <w:bookmarkEnd w:id="1725"/>
    </w:p>
    <w:p w14:paraId="1D370F1B" w14:textId="1AE3D9D2"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E24DE14" w14:textId="28D0AD9D" w:rsidR="00C36D76" w:rsidRPr="009E064B" w:rsidRDefault="00C36D76" w:rsidP="00B06A9A">
      <w:pPr>
        <w:tabs>
          <w:tab w:val="left" w:pos="567"/>
        </w:tabs>
        <w:ind w:left="567" w:hanging="567"/>
        <w:rPr>
          <w:rFonts w:cs="Times New Roman"/>
          <w:szCs w:val="20"/>
        </w:rPr>
      </w:pPr>
      <w:r w:rsidRPr="009E064B">
        <w:rPr>
          <w:rFonts w:cs="Times New Roman"/>
          <w:szCs w:val="20"/>
        </w:rPr>
        <w:t>(a)</w:t>
      </w:r>
      <w:r w:rsidRPr="009E064B">
        <w:rPr>
          <w:rFonts w:cs="Times New Roman"/>
          <w:szCs w:val="20"/>
        </w:rPr>
        <w:tab/>
        <w:t>Zastosowanie: Niniejsze specyfikacje dla obiektów znajdujących się poza granicami bocznymi powierzchni ograniczających przeszkody, które powinny być oznakowane lub oświetlone, mają zastosowanie tylko do obszaru będącego pod kontrolą zarządzającego lotniskiem.</w:t>
      </w:r>
    </w:p>
    <w:p w14:paraId="57687164" w14:textId="31333C54" w:rsidR="00C36D76" w:rsidRPr="009E064B" w:rsidRDefault="00C36D76" w:rsidP="00B06A9A">
      <w:pPr>
        <w:tabs>
          <w:tab w:val="left" w:pos="567"/>
        </w:tabs>
        <w:ind w:left="567" w:hanging="567"/>
        <w:rPr>
          <w:rFonts w:cs="Times New Roman"/>
          <w:szCs w:val="20"/>
        </w:rPr>
      </w:pPr>
      <w:r w:rsidRPr="009E064B">
        <w:rPr>
          <w:rFonts w:cs="Times New Roman"/>
          <w:szCs w:val="20"/>
        </w:rPr>
        <w:t xml:space="preserve"> (b)</w:t>
      </w:r>
      <w:r w:rsidRPr="009E064B">
        <w:rPr>
          <w:rFonts w:cs="Times New Roman"/>
          <w:szCs w:val="20"/>
        </w:rPr>
        <w:tab/>
        <w:t xml:space="preserve">Zgodnie z </w:t>
      </w:r>
      <w:hyperlink w:anchor="_CS_ADR-DSN.J.487_" w:history="1">
        <w:r w:rsidRPr="009E064B">
          <w:rPr>
            <w:rStyle w:val="Hipercze"/>
            <w:rFonts w:cs="Times New Roman"/>
            <w:szCs w:val="20"/>
          </w:rPr>
          <w:t>CS ADR-DSN.J.487</w:t>
        </w:r>
      </w:hyperlink>
      <w:r w:rsidRPr="009E064B">
        <w:rPr>
          <w:rFonts w:cs="Times New Roman"/>
          <w:szCs w:val="20"/>
        </w:rPr>
        <w:t xml:space="preserve"> przeszkody powinny b</w:t>
      </w:r>
      <w:r w:rsidR="00965419" w:rsidRPr="009E064B">
        <w:rPr>
          <w:rFonts w:cs="Times New Roman"/>
          <w:szCs w:val="20"/>
        </w:rPr>
        <w:t>yć oznakowane lub oświetlone, z </w:t>
      </w:r>
      <w:r w:rsidRPr="009E064B">
        <w:rPr>
          <w:rFonts w:cs="Times New Roman"/>
          <w:szCs w:val="20"/>
        </w:rPr>
        <w:t>wyjątkiem przypadku gdy takie oznakowanie i oświetlenie może być pominięte, jeśli taka przeszkoda jest oświetlona światłami przeszkodowymi wysokiej intensywności w ciągu dnia.</w:t>
      </w:r>
    </w:p>
    <w:p w14:paraId="5CD2F825"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(c)</w:t>
      </w:r>
      <w:r w:rsidRPr="009E064B">
        <w:rPr>
          <w:rFonts w:cs="Times New Roman"/>
          <w:szCs w:val="20"/>
        </w:rPr>
        <w:tab/>
        <w:t>Inne obiekty znajdujące się na zewnątrz powierzchni ograniczających przeszkody powinny być oznakowane i/lub oświetlone, jeśli zostały uznane za przeszkodę.</w:t>
      </w:r>
    </w:p>
    <w:p w14:paraId="24869615"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A387A05" w14:textId="776FFDF7" w:rsidR="00865BD1" w:rsidRPr="009E064B" w:rsidRDefault="008B787C" w:rsidP="00133B99">
      <w:pPr>
        <w:pStyle w:val="Nagwek6"/>
      </w:pPr>
      <w:bookmarkStart w:id="1726" w:name="_Toc482886942"/>
      <w:bookmarkStart w:id="1727" w:name="_Toc12533275"/>
      <w:r w:rsidRPr="009E064B">
        <w:t xml:space="preserve">GM1 ADR-DSN.Q.841     </w:t>
      </w:r>
      <w:r w:rsidR="00865BD1" w:rsidRPr="009E064B">
        <w:t xml:space="preserve">Obiekty znajdujące się poza granicami bocznymi powierzchni </w:t>
      </w:r>
      <w:r w:rsidR="007D1946">
        <w:br/>
        <w:t xml:space="preserve">   </w:t>
      </w:r>
      <w:r w:rsidR="00865BD1" w:rsidRPr="009E064B">
        <w:t>ograniczających przeszkody, które muszą być oznakowane</w:t>
      </w:r>
      <w:r w:rsidR="007D1946">
        <w:br/>
        <w:t xml:space="preserve">  </w:t>
      </w:r>
      <w:r w:rsidR="00865BD1" w:rsidRPr="009E064B">
        <w:t xml:space="preserve"> i</w:t>
      </w:r>
      <w:r w:rsidRPr="009E064B">
        <w:t> </w:t>
      </w:r>
      <w:r w:rsidR="00865BD1" w:rsidRPr="009E064B">
        <w:t>/</w:t>
      </w:r>
      <w:r w:rsidRPr="009E064B">
        <w:t> </w:t>
      </w:r>
      <w:r w:rsidR="00003210" w:rsidRPr="009E064B">
        <w:t xml:space="preserve">lub </w:t>
      </w:r>
      <w:r w:rsidR="00865BD1" w:rsidRPr="009E064B">
        <w:t>oświetlone</w:t>
      </w:r>
      <w:bookmarkEnd w:id="1726"/>
      <w:bookmarkEnd w:id="1727"/>
    </w:p>
    <w:p w14:paraId="6A9A71AE" w14:textId="7EA3E714"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3ADFC37" w14:textId="5BD376F3" w:rsidR="00865BD1" w:rsidRPr="009E064B" w:rsidRDefault="00865BD1"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(a)</w:t>
      </w:r>
      <w:r w:rsidRPr="009E064B">
        <w:rPr>
          <w:rFonts w:eastAsia="Times New Roman,Italic" w:cs="Times New Roman,Italic"/>
          <w:iCs/>
          <w:szCs w:val="20"/>
        </w:rPr>
        <w:tab/>
        <w:t>Inne obiekty znajdujące się poza powierzchniami ograniczającymi przeszkody powinny być oznakowane i/lub oświetlone jeśli ocena bezpieczeństwa wskazuje, że dany obiekt może stanowić zagrożenie dla statków powietrznych (dotyczy to także obiektów przylegających do wzrokowych tras lotu, np.: śródlądowe szlaki wodne, autostrady).</w:t>
      </w:r>
    </w:p>
    <w:p w14:paraId="04B1A120" w14:textId="7E0ADF73" w:rsidR="00865BD1" w:rsidRPr="009E064B" w:rsidRDefault="00865BD1" w:rsidP="00B06A9A">
      <w:pPr>
        <w:tabs>
          <w:tab w:val="left" w:pos="567"/>
        </w:tabs>
        <w:autoSpaceDE w:val="0"/>
        <w:autoSpaceDN w:val="0"/>
        <w:adjustRightInd w:val="0"/>
        <w:ind w:left="567" w:hanging="567"/>
        <w:rPr>
          <w:szCs w:val="20"/>
        </w:rPr>
      </w:pPr>
      <w:r w:rsidRPr="009E064B">
        <w:rPr>
          <w:szCs w:val="20"/>
        </w:rPr>
        <w:t>(b)</w:t>
      </w:r>
      <w:r w:rsidRPr="009E064B">
        <w:rPr>
          <w:szCs w:val="20"/>
        </w:rPr>
        <w:tab/>
        <w:t xml:space="preserve">Przewody napowietrzne, kable, itp. przeprowadzone nad rzeką, szlakiem wodnym, doliną lub autostradą powinny być oznakowane, a ich konstrukcje wsporcze powinny być oznakowane </w:t>
      </w:r>
      <w:r w:rsidR="00CD112F" w:rsidRPr="009E064B">
        <w:t>i </w:t>
      </w:r>
      <w:r w:rsidRPr="009E064B">
        <w:t>oświetlone</w:t>
      </w:r>
      <w:r w:rsidRPr="009E064B">
        <w:rPr>
          <w:szCs w:val="20"/>
        </w:rPr>
        <w:t>, jeśli ocena bezpieczeństwa wskazuje, że przewody lub kable mogą stanowić zagrożenie dla statków powietrznych.</w:t>
      </w:r>
    </w:p>
    <w:p w14:paraId="2D7F059E"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2E641DD" w14:textId="4713C55D" w:rsidR="00C36D76" w:rsidRPr="009E064B" w:rsidRDefault="00C36D76" w:rsidP="00B06A9A">
      <w:pPr>
        <w:pStyle w:val="Nagwek4"/>
        <w:rPr>
          <w:color w:val="auto"/>
        </w:rPr>
      </w:pPr>
      <w:bookmarkStart w:id="1728" w:name="_CS_ADR-DSN.Q.845_"/>
      <w:bookmarkStart w:id="1729" w:name="_Toc415743117"/>
      <w:bookmarkStart w:id="1730" w:name="_Toc482886719"/>
      <w:bookmarkStart w:id="1731" w:name="_Toc12533276"/>
      <w:bookmarkEnd w:id="1728"/>
      <w:r w:rsidRPr="009E064B">
        <w:rPr>
          <w:color w:val="auto"/>
        </w:rPr>
        <w:t xml:space="preserve">CS ADR-DSN.Q.845 </w:t>
      </w:r>
      <w:r w:rsidR="008B787C" w:rsidRPr="009E064B">
        <w:rPr>
          <w:color w:val="auto"/>
        </w:rPr>
        <w:t xml:space="preserve">    </w:t>
      </w:r>
      <w:r w:rsidRPr="009E064B">
        <w:rPr>
          <w:color w:val="auto"/>
        </w:rPr>
        <w:t>Oznakowanie obiektów</w:t>
      </w:r>
      <w:bookmarkEnd w:id="1729"/>
      <w:r w:rsidRPr="009E064B">
        <w:rPr>
          <w:color w:val="auto"/>
        </w:rPr>
        <w:t xml:space="preserve"> stałych</w:t>
      </w:r>
      <w:bookmarkEnd w:id="1730"/>
      <w:bookmarkEnd w:id="1731"/>
    </w:p>
    <w:p w14:paraId="5CCCCDEE" w14:textId="7AC46DC4"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6796DCA" w14:textId="620B8BD6"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Ogólne: Wszystkie obiekty stałe, które muszą być oznakowane, powinny być oznakowane kolorami, a jeśli nie jest to możliwe, to powinny być oznakowane za pomocą oznaczników lub flag umieszczonych na obiekcie lub powyżej niego, chyba że obiekty te są wystarczająco widoczne ze względu na ich kształt, rozmiar lub kolor, wówczas nie muszą być oznakowane.</w:t>
      </w:r>
    </w:p>
    <w:p w14:paraId="1B75A232"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(b) </w:t>
      </w:r>
      <w:r w:rsidRPr="009E064B">
        <w:rPr>
          <w:rFonts w:cs="Times New Roman"/>
          <w:szCs w:val="20"/>
        </w:rPr>
        <w:tab/>
        <w:t>Oznakowanie</w:t>
      </w:r>
      <w:r w:rsidRPr="009E064B">
        <w:rPr>
          <w:rFonts w:cs="Times New Roman"/>
          <w:bCs/>
          <w:iCs/>
          <w:szCs w:val="20"/>
        </w:rPr>
        <w:t xml:space="preserve"> kolorami</w:t>
      </w:r>
    </w:p>
    <w:p w14:paraId="0ADC1A67" w14:textId="07A65DA1" w:rsidR="00C36D76" w:rsidRPr="009E064B" w:rsidRDefault="00C36D76" w:rsidP="00B06A9A">
      <w:pPr>
        <w:tabs>
          <w:tab w:val="left" w:pos="1134"/>
        </w:tabs>
        <w:spacing w:before="120"/>
        <w:ind w:left="1134" w:hanging="567"/>
        <w:rPr>
          <w:rFonts w:eastAsia="Times New Roman,Italic" w:cs="Times New Roman,Italic"/>
          <w:iCs/>
          <w:szCs w:val="20"/>
        </w:rPr>
      </w:pPr>
      <w:r w:rsidRPr="009E064B">
        <w:rPr>
          <w:rFonts w:cs="Times New Roman"/>
          <w:szCs w:val="20"/>
        </w:rPr>
        <w:t xml:space="preserve">(1) </w:t>
      </w:r>
      <w:r w:rsidRPr="009E064B">
        <w:rPr>
          <w:rFonts w:cs="Times New Roman"/>
          <w:szCs w:val="20"/>
        </w:rPr>
        <w:tab/>
      </w:r>
      <w:r w:rsidRPr="009E064B">
        <w:rPr>
          <w:rFonts w:eastAsia="Times New Roman,Italic" w:cs="Times New Roman,Italic"/>
          <w:iCs/>
          <w:szCs w:val="20"/>
        </w:rPr>
        <w:t xml:space="preserve">Obiekt powinien być oznakowany kolorami we wzór szachownicy, jeżeli zasadniczo ma nieprzerwane powierzchnie, a jego rzut na dowolną płaszczyznę pionową jest równy lub większy niż 4.5 m dla obu wymiarów. Wzór </w:t>
      </w:r>
      <w:r w:rsidRPr="009E064B">
        <w:rPr>
          <w:szCs w:val="20"/>
        </w:rPr>
        <w:t>szachownicy</w:t>
      </w:r>
      <w:r w:rsidRPr="009E064B">
        <w:rPr>
          <w:rFonts w:eastAsia="Times New Roman,Italic" w:cs="Times New Roman,Italic"/>
          <w:iCs/>
          <w:szCs w:val="20"/>
        </w:rPr>
        <w:t xml:space="preserve"> powinien składać się z prostokątów o długości boków nie mniejszej</w:t>
      </w:r>
      <w:r w:rsidR="005B0CBD" w:rsidRPr="009E064B">
        <w:rPr>
          <w:rFonts w:eastAsia="Times New Roman,Italic" w:cs="Times New Roman,Italic"/>
          <w:iCs/>
          <w:szCs w:val="20"/>
        </w:rPr>
        <w:t xml:space="preserve"> niż 1.5 m i nie większej niż 3 </w:t>
      </w:r>
      <w:r w:rsidRPr="009E064B">
        <w:rPr>
          <w:rFonts w:eastAsia="Times New Roman,Italic" w:cs="Times New Roman,Italic"/>
          <w:iCs/>
          <w:szCs w:val="20"/>
        </w:rPr>
        <w:t>m, a</w:t>
      </w:r>
      <w:r w:rsidR="00965419" w:rsidRPr="009E064B">
        <w:rPr>
          <w:rFonts w:eastAsia="Times New Roman,Italic" w:cs="Times New Roman,Italic"/>
          <w:iCs/>
          <w:szCs w:val="20"/>
        </w:rPr>
        <w:t> </w:t>
      </w:r>
      <w:r w:rsidRPr="009E064B">
        <w:rPr>
          <w:rFonts w:eastAsia="Times New Roman,Italic" w:cs="Times New Roman,Italic"/>
          <w:iCs/>
          <w:szCs w:val="20"/>
        </w:rPr>
        <w:t>rogi obiektu powinny mieć kolor ciemniejszy. Kolory wzoru powinny kontrastować ze sobą oraz z otoczeniem, na tle którego będą widziane.</w:t>
      </w:r>
    </w:p>
    <w:p w14:paraId="38EDAAC6" w14:textId="77777777" w:rsidR="00C36D76" w:rsidRPr="009E064B" w:rsidRDefault="00C36D76" w:rsidP="00B06A9A">
      <w:pPr>
        <w:tabs>
          <w:tab w:val="left" w:pos="1134"/>
        </w:tabs>
        <w:spacing w:before="120"/>
        <w:ind w:left="1134" w:hanging="567"/>
        <w:rPr>
          <w:rFonts w:eastAsia="Times New Roman,Italic" w:cs="Times New Roman,Italic"/>
          <w:iCs/>
          <w:szCs w:val="20"/>
        </w:rPr>
      </w:pPr>
      <w:r w:rsidRPr="009E064B">
        <w:rPr>
          <w:rFonts w:cs="Times New Roman"/>
          <w:szCs w:val="20"/>
        </w:rPr>
        <w:t xml:space="preserve">(2) </w:t>
      </w:r>
      <w:r w:rsidRPr="009E064B">
        <w:rPr>
          <w:rFonts w:cs="Times New Roman"/>
          <w:szCs w:val="20"/>
        </w:rPr>
        <w:tab/>
      </w:r>
      <w:r w:rsidRPr="009E064B">
        <w:rPr>
          <w:rFonts w:eastAsia="Times New Roman,Italic" w:cs="Times New Roman,Italic"/>
          <w:iCs/>
          <w:szCs w:val="20"/>
        </w:rPr>
        <w:t xml:space="preserve">Obiekt </w:t>
      </w:r>
      <w:r w:rsidRPr="009E064B">
        <w:rPr>
          <w:szCs w:val="20"/>
        </w:rPr>
        <w:t>powinien</w:t>
      </w:r>
      <w:r w:rsidRPr="009E064B">
        <w:rPr>
          <w:rFonts w:eastAsia="Times New Roman,Italic" w:cs="Times New Roman,Italic"/>
          <w:iCs/>
          <w:szCs w:val="20"/>
        </w:rPr>
        <w:t xml:space="preserve"> być oznakowany kolorami w naprzemienne kontrastujące pasy, jeżeli:</w:t>
      </w:r>
    </w:p>
    <w:p w14:paraId="10BD411A" w14:textId="06DEAF26" w:rsidR="00C36D76" w:rsidRPr="009E064B" w:rsidRDefault="00C36D76" w:rsidP="00B06A9A">
      <w:pPr>
        <w:tabs>
          <w:tab w:val="left" w:pos="1701"/>
        </w:tabs>
        <w:autoSpaceDE w:val="0"/>
        <w:autoSpaceDN w:val="0"/>
        <w:adjustRightInd w:val="0"/>
        <w:spacing w:before="120"/>
        <w:ind w:left="1701" w:hanging="567"/>
        <w:rPr>
          <w:rFonts w:eastAsia="Times New Roman,Italic" w:cs="Times New Roman,Italic"/>
          <w:iCs/>
          <w:szCs w:val="20"/>
        </w:rPr>
      </w:pPr>
      <w:r w:rsidRPr="009E064B">
        <w:rPr>
          <w:rFonts w:cs="Times New Roman"/>
          <w:szCs w:val="20"/>
        </w:rPr>
        <w:t xml:space="preserve">(i) </w:t>
      </w:r>
      <w:r w:rsidRPr="009E064B">
        <w:rPr>
          <w:rFonts w:cs="Times New Roman"/>
          <w:szCs w:val="20"/>
        </w:rPr>
        <w:tab/>
      </w:r>
      <w:r w:rsidRPr="009E064B">
        <w:rPr>
          <w:rFonts w:eastAsia="Times New Roman,Italic" w:cs="Times New Roman,Italic"/>
          <w:iCs/>
          <w:szCs w:val="20"/>
        </w:rPr>
        <w:t>ma w zasadzie nieprzerwaną powierzchnię, a jeden z jego wymiarów, poziomy lu</w:t>
      </w:r>
      <w:r w:rsidR="005B0CBD" w:rsidRPr="009E064B">
        <w:rPr>
          <w:rFonts w:eastAsia="Times New Roman,Italic" w:cs="Times New Roman,Italic"/>
          <w:iCs/>
          <w:szCs w:val="20"/>
        </w:rPr>
        <w:t>b pionowy, jest większy niż 1.5 </w:t>
      </w:r>
      <w:r w:rsidRPr="009E064B">
        <w:rPr>
          <w:rFonts w:eastAsia="Times New Roman,Italic" w:cs="Times New Roman,Italic"/>
          <w:iCs/>
          <w:szCs w:val="20"/>
        </w:rPr>
        <w:t>m, a drugi z jego wymiarów, poziomy lub pionowy, jest mniejszy niż 4.5 m; lub</w:t>
      </w:r>
    </w:p>
    <w:p w14:paraId="47774DC0" w14:textId="77777777" w:rsidR="00C36D76" w:rsidRPr="009E064B" w:rsidRDefault="00C36D76" w:rsidP="00B06A9A">
      <w:pPr>
        <w:tabs>
          <w:tab w:val="left" w:pos="1701"/>
        </w:tabs>
        <w:autoSpaceDE w:val="0"/>
        <w:autoSpaceDN w:val="0"/>
        <w:adjustRightInd w:val="0"/>
        <w:spacing w:before="120"/>
        <w:ind w:left="1701" w:hanging="567"/>
        <w:rPr>
          <w:szCs w:val="20"/>
        </w:rPr>
      </w:pPr>
      <w:r w:rsidRPr="009E064B">
        <w:rPr>
          <w:rFonts w:cs="Times New Roman"/>
          <w:szCs w:val="20"/>
        </w:rPr>
        <w:t xml:space="preserve">(ii) </w:t>
      </w:r>
      <w:r w:rsidRPr="009E064B">
        <w:rPr>
          <w:rFonts w:cs="Times New Roman"/>
          <w:szCs w:val="20"/>
        </w:rPr>
        <w:tab/>
        <w:t xml:space="preserve">ma </w:t>
      </w:r>
      <w:r w:rsidRPr="009E064B">
        <w:rPr>
          <w:rFonts w:eastAsia="Times New Roman,Italic" w:cs="Times New Roman,Italic"/>
          <w:iCs/>
          <w:szCs w:val="20"/>
        </w:rPr>
        <w:t>konstrukcję szkieletową, której poziomy lub pionowy wymiar jest większy niż 1.5 m.</w:t>
      </w:r>
    </w:p>
    <w:p w14:paraId="46EE8748" w14:textId="0929DC3D" w:rsidR="00C36D76" w:rsidRPr="009E064B" w:rsidRDefault="00C36D76" w:rsidP="00B06A9A">
      <w:pPr>
        <w:tabs>
          <w:tab w:val="left" w:pos="1134"/>
        </w:tabs>
        <w:spacing w:before="120"/>
        <w:ind w:left="1134" w:hanging="567"/>
        <w:rPr>
          <w:rFonts w:eastAsia="Times New Roman,Italic" w:cs="Times New Roman,Italic"/>
          <w:iCs/>
          <w:szCs w:val="20"/>
        </w:rPr>
      </w:pPr>
      <w:r w:rsidRPr="009E064B">
        <w:rPr>
          <w:rFonts w:eastAsia="Times New Roman,Italic" w:cs="Times New Roman,Italic"/>
          <w:iCs/>
          <w:szCs w:val="20"/>
        </w:rPr>
        <w:t xml:space="preserve">(3) </w:t>
      </w:r>
      <w:r w:rsidRPr="009E064B">
        <w:rPr>
          <w:rFonts w:eastAsia="Times New Roman,Italic" w:cs="Times New Roman,Italic"/>
          <w:iCs/>
          <w:szCs w:val="20"/>
        </w:rPr>
        <w:tab/>
        <w:t>Pasy powinny być prostopadłe do dłuższego z wymiarów, a ich szerokość powinna wynosić w przybliżeniu 1/7 najdłuższego wymiaru lub 30 m, w zależności od tego, która z tych liczb jest mniejsza. Kolory pasów powinny kontrastować ze sobą oraz z otoczeniem, na tle którego będą widziane. Powinno używać się kol</w:t>
      </w:r>
      <w:r w:rsidR="00CD112F" w:rsidRPr="009E064B">
        <w:rPr>
          <w:rFonts w:eastAsia="Times New Roman,Italic" w:cs="Times New Roman,Italic"/>
          <w:iCs/>
          <w:szCs w:val="20"/>
        </w:rPr>
        <w:t>orów pomarańczowego i białego z </w:t>
      </w:r>
      <w:r w:rsidRPr="009E064B">
        <w:rPr>
          <w:rFonts w:eastAsia="Times New Roman,Italic" w:cs="Times New Roman,Italic"/>
          <w:iCs/>
          <w:szCs w:val="20"/>
        </w:rPr>
        <w:t>wyjątkiem, gdy kolory te nie są widoczne na tle otoczenia. Pasy skrajne powinny być koloru ciemniejszego (patrz Rysunek Q-1 i Q-2). Wymiary szerokości pasów oznakowania zawarte są w Tabeli Q-4.</w:t>
      </w:r>
    </w:p>
    <w:p w14:paraId="47C8A867" w14:textId="3D431D32" w:rsidR="00C36D76" w:rsidRPr="009E064B" w:rsidRDefault="00C36D76" w:rsidP="00B06A9A">
      <w:pPr>
        <w:tabs>
          <w:tab w:val="left" w:pos="1134"/>
        </w:tabs>
        <w:spacing w:before="120"/>
        <w:ind w:left="1134" w:hanging="567"/>
        <w:rPr>
          <w:rFonts w:eastAsia="Times New Roman,Italic" w:cs="Times New Roman,Italic"/>
          <w:iCs/>
          <w:szCs w:val="20"/>
        </w:rPr>
      </w:pPr>
      <w:r w:rsidRPr="009E064B">
        <w:rPr>
          <w:rFonts w:cs="Times New Roman"/>
          <w:szCs w:val="20"/>
        </w:rPr>
        <w:t xml:space="preserve">(4) </w:t>
      </w:r>
      <w:r w:rsidRPr="009E064B">
        <w:rPr>
          <w:rFonts w:cs="Times New Roman"/>
          <w:szCs w:val="20"/>
        </w:rPr>
        <w:tab/>
      </w:r>
      <w:r w:rsidRPr="009E064B">
        <w:rPr>
          <w:rFonts w:eastAsia="Times New Roman,Italic" w:cs="Times New Roman,Italic"/>
          <w:iCs/>
          <w:szCs w:val="20"/>
        </w:rPr>
        <w:t>Obiekt powinien być pomalowany w jednym, rzucającym się w oczy kolorze, jeżeli jego rzut na dowolną płaszczyznę ma oba wymiary mniejsze niż 1.5 m. Powinno się używać</w:t>
      </w:r>
      <w:r w:rsidRPr="009E064B">
        <w:rPr>
          <w:szCs w:val="20"/>
        </w:rPr>
        <w:t xml:space="preserve"> koloru</w:t>
      </w:r>
      <w:r w:rsidRPr="009E064B">
        <w:rPr>
          <w:rFonts w:eastAsia="Times New Roman,Italic" w:cs="Times New Roman,Italic"/>
          <w:iCs/>
          <w:szCs w:val="20"/>
        </w:rPr>
        <w:t xml:space="preserve"> pomarańczowego lub czerwonego, z wyjątkiem gdy kolory te zlewają się z</w:t>
      </w:r>
      <w:r w:rsidR="00CD112F" w:rsidRPr="009E064B">
        <w:rPr>
          <w:rFonts w:eastAsia="Times New Roman,Italic" w:cs="Times New Roman,Italic"/>
          <w:iCs/>
          <w:szCs w:val="20"/>
        </w:rPr>
        <w:t> </w:t>
      </w:r>
      <w:r w:rsidRPr="009E064B">
        <w:rPr>
          <w:rFonts w:eastAsia="Times New Roman,Italic" w:cs="Times New Roman,Italic"/>
          <w:iCs/>
          <w:szCs w:val="20"/>
        </w:rPr>
        <w:t>otoczeniem.</w:t>
      </w:r>
    </w:p>
    <w:p w14:paraId="60A27F13" w14:textId="77777777" w:rsidR="00BA548E" w:rsidRPr="009E064B" w:rsidRDefault="00BA548E" w:rsidP="00BA548E">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Oznakowanie flagami</w:t>
      </w:r>
    </w:p>
    <w:p w14:paraId="54F1DFB5" w14:textId="376F9173" w:rsidR="00BA548E" w:rsidRPr="009E064B" w:rsidRDefault="00BA548E" w:rsidP="00BA548E">
      <w:pPr>
        <w:tabs>
          <w:tab w:val="left" w:pos="1134"/>
        </w:tabs>
        <w:spacing w:before="120"/>
        <w:ind w:left="1134" w:hanging="567"/>
        <w:rPr>
          <w:rFonts w:eastAsia="Times New Roman,Italic" w:cs="Times New Roman,Italic"/>
          <w:iCs/>
          <w:szCs w:val="20"/>
        </w:rPr>
      </w:pPr>
      <w:r w:rsidRPr="009E064B">
        <w:rPr>
          <w:rFonts w:eastAsia="Times New Roman,Italic" w:cs="Times New Roman,Italic"/>
          <w:iCs/>
          <w:szCs w:val="20"/>
        </w:rPr>
        <w:t xml:space="preserve">(1) </w:t>
      </w:r>
      <w:r w:rsidRPr="009E064B">
        <w:rPr>
          <w:rFonts w:eastAsia="Times New Roman,Italic" w:cs="Times New Roman,Italic"/>
          <w:iCs/>
          <w:szCs w:val="20"/>
        </w:rPr>
        <w:tab/>
        <w:t xml:space="preserve">Flagi użyte do oznakowania obiektów powinny być umieszczone wokół szczytu lub wokół najwyższej krawędzi obiektu. W przypadku użycia flag do oznakowania dużych obiektów lub grup obiektów rozmieszczonych blisko siebie, flagi powinny być </w:t>
      </w:r>
      <w:r w:rsidR="00CD112F" w:rsidRPr="009E064B">
        <w:rPr>
          <w:rFonts w:eastAsia="Times New Roman,Italic" w:cs="Times New Roman,Italic"/>
          <w:iCs/>
          <w:szCs w:val="20"/>
        </w:rPr>
        <w:t>umieszczone w </w:t>
      </w:r>
      <w:r w:rsidRPr="009E064B">
        <w:rPr>
          <w:rFonts w:eastAsia="Times New Roman,Italic" w:cs="Times New Roman,Italic"/>
          <w:iCs/>
          <w:szCs w:val="20"/>
        </w:rPr>
        <w:t>odległościach nie mniejszych niż 15 m. Flagi nie mogą powodować zwiększenia niebezpieczeństwa przez obiekt, który oznakowują.</w:t>
      </w:r>
    </w:p>
    <w:p w14:paraId="5E1FFA7E" w14:textId="77777777" w:rsidR="00BA548E" w:rsidRPr="009E064B" w:rsidRDefault="00BA548E" w:rsidP="00BA548E">
      <w:pPr>
        <w:tabs>
          <w:tab w:val="left" w:pos="1134"/>
        </w:tabs>
        <w:spacing w:before="120"/>
        <w:ind w:left="1134" w:hanging="567"/>
        <w:rPr>
          <w:rFonts w:eastAsia="Times New Roman,Italic" w:cs="Times New Roman,Italic"/>
          <w:iCs/>
          <w:szCs w:val="20"/>
        </w:rPr>
      </w:pPr>
      <w:r w:rsidRPr="009E064B">
        <w:rPr>
          <w:rFonts w:eastAsia="Times New Roman,Italic" w:cs="Times New Roman,Italic"/>
          <w:iCs/>
          <w:szCs w:val="20"/>
        </w:rPr>
        <w:t xml:space="preserve">(2) </w:t>
      </w:r>
      <w:r w:rsidRPr="009E064B">
        <w:rPr>
          <w:rFonts w:eastAsia="Times New Roman,Italic" w:cs="Times New Roman,Italic"/>
          <w:iCs/>
          <w:szCs w:val="20"/>
        </w:rPr>
        <w:tab/>
        <w:t>Flagi użyte do oznakowania obiektów stałych nie powinny być mniejsze niż 0.6 m na każdej ze stron.</w:t>
      </w:r>
    </w:p>
    <w:p w14:paraId="0BD9A884" w14:textId="77777777" w:rsidR="00BA548E" w:rsidRPr="009E064B" w:rsidRDefault="00BA548E" w:rsidP="00BA548E">
      <w:pPr>
        <w:tabs>
          <w:tab w:val="left" w:pos="1134"/>
        </w:tabs>
        <w:spacing w:before="120"/>
        <w:ind w:left="1134" w:hanging="567"/>
        <w:rPr>
          <w:rFonts w:eastAsia="Times New Roman,Italic" w:cs="Times New Roman,Italic"/>
          <w:iCs/>
          <w:szCs w:val="20"/>
        </w:rPr>
      </w:pPr>
      <w:r w:rsidRPr="009E064B">
        <w:rPr>
          <w:rFonts w:eastAsia="Times New Roman,Italic" w:cs="Times New Roman,Italic"/>
          <w:iCs/>
          <w:szCs w:val="20"/>
        </w:rPr>
        <w:t xml:space="preserve">(3) </w:t>
      </w:r>
      <w:r w:rsidRPr="009E064B">
        <w:rPr>
          <w:rFonts w:eastAsia="Times New Roman,Italic" w:cs="Times New Roman,Italic"/>
          <w:iCs/>
          <w:szCs w:val="20"/>
        </w:rPr>
        <w:tab/>
        <w:t>Flagi użyte do oznakowania obiektów stałych, powinny być koloru pomarańczowego lub powinny być połączeniem dwóch trójkątnych części, jednej w kolorze pomarańczowym i drugiej w kolorze białym, lub jednej w kolorze czerwonym i drugiej w kolorze białym, za wyjątkiem sytuacji, gdy kolory takie zlewają się z tłem, i wtedy należy używać innych wyrazistych kolorów.</w:t>
      </w:r>
    </w:p>
    <w:p w14:paraId="77F149B0" w14:textId="77777777" w:rsidR="00C36D76" w:rsidRPr="009E064B" w:rsidRDefault="00C36D76" w:rsidP="00B06A9A">
      <w:pPr>
        <w:autoSpaceDE w:val="0"/>
        <w:autoSpaceDN w:val="0"/>
        <w:adjustRightInd w:val="0"/>
        <w:rPr>
          <w:rFonts w:eastAsia="Times New Roman,Italic" w:cs="Times New Roman,Italic"/>
          <w:iCs/>
          <w:szCs w:val="20"/>
        </w:rPr>
      </w:pPr>
    </w:p>
    <w:p w14:paraId="7EA4CFB5" w14:textId="42647C89" w:rsidR="00C36D76" w:rsidRPr="009E064B" w:rsidRDefault="00C74249" w:rsidP="005B0CBD">
      <w:pPr>
        <w:autoSpaceDE w:val="0"/>
        <w:autoSpaceDN w:val="0"/>
        <w:adjustRightInd w:val="0"/>
        <w:jc w:val="right"/>
        <w:rPr>
          <w:rFonts w:eastAsia="Times New Roman,Italic" w:cs="Times New Roman,Italic"/>
          <w:b/>
          <w:iCs/>
          <w:szCs w:val="20"/>
        </w:rPr>
      </w:pPr>
      <w:r w:rsidRPr="009E064B">
        <w:rPr>
          <w:noProof/>
          <w:lang w:eastAsia="pl-PL"/>
        </w:rPr>
        <w:drawing>
          <wp:inline distT="0" distB="0" distL="0" distR="0" wp14:anchorId="47B54A50" wp14:editId="0F3393DA">
            <wp:extent cx="5579745" cy="2911651"/>
            <wp:effectExtent l="0" t="0" r="1905" b="0"/>
            <wp:docPr id="3789" name="Obraz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579745" cy="2911651"/>
                    </a:xfrm>
                    <a:prstGeom prst="rect">
                      <a:avLst/>
                    </a:prstGeom>
                    <a:noFill/>
                    <a:ln>
                      <a:noFill/>
                    </a:ln>
                  </pic:spPr>
                </pic:pic>
              </a:graphicData>
            </a:graphic>
          </wp:inline>
        </w:drawing>
      </w:r>
    </w:p>
    <w:p w14:paraId="79AC9D5A" w14:textId="77777777" w:rsidR="00C36D76" w:rsidRPr="00FE5FBD" w:rsidRDefault="00C36D76" w:rsidP="00965419">
      <w:pPr>
        <w:spacing w:before="120" w:after="0"/>
        <w:ind w:right="11"/>
        <w:jc w:val="center"/>
        <w:rPr>
          <w:rFonts w:eastAsia="Times New Roman,Italic" w:cs="Times New Roman,Italic"/>
          <w:b/>
          <w:iCs/>
          <w:sz w:val="20"/>
          <w:szCs w:val="20"/>
        </w:rPr>
      </w:pPr>
      <w:r w:rsidRPr="00FE5FBD">
        <w:rPr>
          <w:rFonts w:eastAsia="Times New Roman,Italic" w:cs="Times New Roman,Italic"/>
          <w:b/>
          <w:iCs/>
          <w:sz w:val="20"/>
          <w:szCs w:val="20"/>
        </w:rPr>
        <w:t>Rysunek Q-1.  Podstawowe wzory oznakowania</w:t>
      </w:r>
    </w:p>
    <w:p w14:paraId="6E1D8512" w14:textId="77777777" w:rsidR="00C36D76" w:rsidRPr="009E064B" w:rsidRDefault="00C36D76" w:rsidP="00B06A9A">
      <w:pPr>
        <w:autoSpaceDE w:val="0"/>
        <w:autoSpaceDN w:val="0"/>
        <w:adjustRightInd w:val="0"/>
        <w:rPr>
          <w:rFonts w:eastAsia="Times New Roman,Italic" w:cs="Times New Roman,Italic"/>
          <w:iCs/>
          <w:szCs w:val="20"/>
        </w:rPr>
      </w:pPr>
    </w:p>
    <w:p w14:paraId="7D86FBA5" w14:textId="77777777" w:rsidR="00C36D76" w:rsidRPr="009E064B" w:rsidRDefault="00C36D76" w:rsidP="00B06A9A">
      <w:pPr>
        <w:spacing w:after="200"/>
        <w:jc w:val="left"/>
        <w:rPr>
          <w:rFonts w:eastAsia="Times New Roman,Italic" w:cs="Times New Roman,Italic"/>
          <w:b/>
          <w:iCs/>
          <w:szCs w:val="20"/>
        </w:rPr>
      </w:pPr>
    </w:p>
    <w:p w14:paraId="3E70EFBD" w14:textId="7006A6A2" w:rsidR="00C36D76" w:rsidRPr="009E064B" w:rsidRDefault="00BA548E" w:rsidP="005B0CBD">
      <w:pPr>
        <w:autoSpaceDE w:val="0"/>
        <w:autoSpaceDN w:val="0"/>
        <w:adjustRightInd w:val="0"/>
        <w:jc w:val="right"/>
        <w:rPr>
          <w:rFonts w:eastAsia="Times New Roman,Italic" w:cs="Times New Roman,Italic"/>
          <w:iCs/>
          <w:szCs w:val="20"/>
        </w:rPr>
      </w:pPr>
      <w:r w:rsidRPr="009E064B">
        <w:rPr>
          <w:noProof/>
          <w:lang w:eastAsia="pl-PL"/>
        </w:rPr>
        <w:drawing>
          <wp:inline distT="0" distB="0" distL="0" distR="0" wp14:anchorId="79228BC1" wp14:editId="2F9D2257">
            <wp:extent cx="5579745" cy="7642932"/>
            <wp:effectExtent l="0" t="0" r="1905" b="0"/>
            <wp:docPr id="3787" name="Obraz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579745" cy="7642932"/>
                    </a:xfrm>
                    <a:prstGeom prst="rect">
                      <a:avLst/>
                    </a:prstGeom>
                    <a:noFill/>
                    <a:ln>
                      <a:noFill/>
                    </a:ln>
                  </pic:spPr>
                </pic:pic>
              </a:graphicData>
            </a:graphic>
          </wp:inline>
        </w:drawing>
      </w:r>
    </w:p>
    <w:p w14:paraId="4C6E322C" w14:textId="77777777" w:rsidR="00C36D76" w:rsidRPr="00FE5FBD" w:rsidRDefault="00C36D76" w:rsidP="00965419">
      <w:pPr>
        <w:tabs>
          <w:tab w:val="left" w:pos="567"/>
        </w:tabs>
        <w:spacing w:before="240"/>
        <w:ind w:left="567" w:hanging="567"/>
        <w:jc w:val="center"/>
        <w:rPr>
          <w:rFonts w:eastAsia="Times New Roman,Italic" w:cs="Times New Roman,Italic"/>
          <w:b/>
          <w:iCs/>
          <w:sz w:val="20"/>
          <w:szCs w:val="20"/>
        </w:rPr>
      </w:pPr>
      <w:r w:rsidRPr="00FE5FBD">
        <w:rPr>
          <w:rFonts w:eastAsia="Times New Roman,Italic" w:cs="Times New Roman,Italic"/>
          <w:b/>
          <w:iCs/>
          <w:sz w:val="20"/>
          <w:szCs w:val="20"/>
        </w:rPr>
        <w:t>Rysunek Q-2.  Przykłady oznakowania i oświetlenia konstrukcji wysokich</w:t>
      </w:r>
    </w:p>
    <w:p w14:paraId="3A87AD0F" w14:textId="4AD20462" w:rsidR="00C74249" w:rsidRPr="009E064B" w:rsidRDefault="00C74249">
      <w:pPr>
        <w:spacing w:after="0"/>
        <w:jc w:val="left"/>
        <w:rPr>
          <w:rFonts w:cs="Times New Roman"/>
          <w:szCs w:val="20"/>
        </w:rPr>
      </w:pPr>
      <w:r w:rsidRPr="009E064B">
        <w:rPr>
          <w:rFonts w:cs="Times New Roman"/>
          <w:szCs w:val="20"/>
        </w:rPr>
        <w:br w:type="page"/>
      </w:r>
    </w:p>
    <w:p w14:paraId="54F3A44E" w14:textId="77777777" w:rsidR="00C74249" w:rsidRPr="009E064B" w:rsidRDefault="00C74249" w:rsidP="00C74249">
      <w:pPr>
        <w:tabs>
          <w:tab w:val="left" w:pos="567"/>
        </w:tabs>
        <w:spacing w:before="120"/>
        <w:ind w:left="567" w:hanging="567"/>
        <w:rPr>
          <w:rFonts w:cs="Times New Roman,BoldItalic"/>
          <w:bCs/>
          <w:iCs/>
          <w:szCs w:val="20"/>
        </w:rPr>
      </w:pPr>
      <w:r w:rsidRPr="009E064B">
        <w:rPr>
          <w:rFonts w:cs="Times New Roman"/>
          <w:szCs w:val="20"/>
        </w:rPr>
        <w:t xml:space="preserve">(d) </w:t>
      </w:r>
      <w:r w:rsidRPr="009E064B">
        <w:rPr>
          <w:rFonts w:cs="Times New Roman"/>
          <w:szCs w:val="20"/>
        </w:rPr>
        <w:tab/>
      </w:r>
      <w:r w:rsidRPr="009E064B">
        <w:rPr>
          <w:szCs w:val="20"/>
        </w:rPr>
        <w:t>Oznakowanie</w:t>
      </w:r>
      <w:r w:rsidRPr="009E064B">
        <w:rPr>
          <w:rFonts w:cs="Times New Roman,BoldItalic"/>
          <w:bCs/>
          <w:iCs/>
          <w:szCs w:val="20"/>
        </w:rPr>
        <w:t xml:space="preserve"> oznacznikami (markerami)</w:t>
      </w:r>
    </w:p>
    <w:p w14:paraId="21F31F87" w14:textId="5EA676C0" w:rsidR="00C74249" w:rsidRPr="009E064B" w:rsidRDefault="00C74249" w:rsidP="00C74249">
      <w:pPr>
        <w:tabs>
          <w:tab w:val="left" w:pos="1134"/>
        </w:tabs>
        <w:spacing w:before="120"/>
        <w:ind w:left="1134" w:hanging="567"/>
        <w:rPr>
          <w:rFonts w:cs="Times New Roman"/>
          <w:szCs w:val="20"/>
        </w:rPr>
      </w:pPr>
      <w:r w:rsidRPr="009E064B">
        <w:rPr>
          <w:rFonts w:cs="Times New Roman"/>
          <w:szCs w:val="20"/>
        </w:rPr>
        <w:t xml:space="preserve">(1) </w:t>
      </w:r>
      <w:r w:rsidRPr="009E064B">
        <w:rPr>
          <w:rFonts w:cs="Times New Roman"/>
          <w:szCs w:val="20"/>
        </w:rPr>
        <w:tab/>
        <w:t>Oznaczniki umieszczone na lub przy obiekcie powinny być zlokalizowane w takich miejscach, aby ogólny kształt obiektu był rozpoznawalny z każdego kierunku, z</w:t>
      </w:r>
      <w:r w:rsidR="00965419" w:rsidRPr="009E064B">
        <w:rPr>
          <w:rFonts w:cs="Times New Roman"/>
          <w:szCs w:val="20"/>
        </w:rPr>
        <w:t> </w:t>
      </w:r>
      <w:r w:rsidRPr="009E064B">
        <w:rPr>
          <w:rFonts w:cs="Times New Roman"/>
          <w:szCs w:val="20"/>
        </w:rPr>
        <w:t>którego może zbliżyć się statek powietrzny, przy do</w:t>
      </w:r>
      <w:r w:rsidR="00AA1B59" w:rsidRPr="009E064B">
        <w:rPr>
          <w:rFonts w:cs="Times New Roman"/>
          <w:szCs w:val="20"/>
        </w:rPr>
        <w:t>brej pogodzie, z odległości, co </w:t>
      </w:r>
      <w:r w:rsidRPr="009E064B">
        <w:rPr>
          <w:rFonts w:cs="Times New Roman"/>
          <w:szCs w:val="20"/>
        </w:rPr>
        <w:t>najm</w:t>
      </w:r>
      <w:r w:rsidR="00CD112F" w:rsidRPr="009E064B">
        <w:rPr>
          <w:rFonts w:cs="Times New Roman"/>
          <w:szCs w:val="20"/>
        </w:rPr>
        <w:t>niej 1000 </w:t>
      </w:r>
      <w:r w:rsidRPr="009E064B">
        <w:rPr>
          <w:rFonts w:cs="Times New Roman"/>
          <w:szCs w:val="20"/>
        </w:rPr>
        <w:t xml:space="preserve">m dla obiektu </w:t>
      </w:r>
      <w:r w:rsidR="00CD112F" w:rsidRPr="009E064B">
        <w:rPr>
          <w:rFonts w:cs="Times New Roman"/>
          <w:szCs w:val="20"/>
        </w:rPr>
        <w:t>widzianego z powietrza oraz 300 </w:t>
      </w:r>
      <w:r w:rsidRPr="009E064B">
        <w:rPr>
          <w:rFonts w:cs="Times New Roman"/>
          <w:szCs w:val="20"/>
        </w:rPr>
        <w:t>m dla obiektu widzianego z ziemi. Kształt oznaczników powinien być taki, aby nie mogły być pomylone z oznacznikami przeznaczonymi do przekazywania innych informacji oraz by nie powodowały zwiększenia niebezpieczeństwa powodowanego przez obiekt, który oznakowują.</w:t>
      </w:r>
    </w:p>
    <w:p w14:paraId="070D33B2" w14:textId="5C9D19CD" w:rsidR="00C74249" w:rsidRPr="009E064B" w:rsidRDefault="00C74249" w:rsidP="00C74249">
      <w:pPr>
        <w:tabs>
          <w:tab w:val="left" w:pos="1134"/>
        </w:tabs>
        <w:spacing w:before="120"/>
        <w:ind w:left="1134" w:hanging="567"/>
        <w:rPr>
          <w:rFonts w:cs="Times New Roman"/>
          <w:szCs w:val="20"/>
        </w:rPr>
      </w:pPr>
      <w:r w:rsidRPr="009E064B">
        <w:rPr>
          <w:rFonts w:cs="Times New Roman"/>
          <w:szCs w:val="20"/>
        </w:rPr>
        <w:t xml:space="preserve">(2) </w:t>
      </w:r>
      <w:r w:rsidRPr="009E064B">
        <w:rPr>
          <w:rFonts w:cs="Times New Roman"/>
          <w:szCs w:val="20"/>
        </w:rPr>
        <w:tab/>
        <w:t>Oznacznik powinien być w jednym kolorze. Jeżeli zainstalowany jest więcej niż jeden marker, to powinno się wystawić na przemi</w:t>
      </w:r>
      <w:r w:rsidR="004B5E15" w:rsidRPr="009E064B">
        <w:rPr>
          <w:rFonts w:cs="Times New Roman"/>
          <w:szCs w:val="20"/>
        </w:rPr>
        <w:t>an białe i czerwone lub białe i </w:t>
      </w:r>
      <w:r w:rsidRPr="009E064B">
        <w:rPr>
          <w:rFonts w:cs="Times New Roman"/>
          <w:szCs w:val="20"/>
        </w:rPr>
        <w:t>pomarańczowe oznaczniki. Wybrany kolor powinien kontrastować z tłem, na którym a być widoczny.</w:t>
      </w:r>
    </w:p>
    <w:p w14:paraId="388187FB" w14:textId="0DCBA6A6"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C4A8432" w14:textId="4BE09124" w:rsidR="00865BD1" w:rsidRPr="009E064B" w:rsidRDefault="008B787C" w:rsidP="00133B99">
      <w:pPr>
        <w:pStyle w:val="Nagwek6"/>
      </w:pPr>
      <w:bookmarkStart w:id="1732" w:name="_Toc401059076"/>
      <w:bookmarkStart w:id="1733" w:name="_Toc482886943"/>
      <w:bookmarkStart w:id="1734" w:name="_Toc12533277"/>
      <w:bookmarkStart w:id="1735" w:name="_Toc482886720"/>
      <w:r w:rsidRPr="009E064B">
        <w:t xml:space="preserve">GM1 ADR-DSN.Q.845     </w:t>
      </w:r>
      <w:r w:rsidR="00865BD1" w:rsidRPr="009E064B">
        <w:t>Oznakowanie obiektów</w:t>
      </w:r>
      <w:bookmarkEnd w:id="1732"/>
      <w:r w:rsidR="00865BD1" w:rsidRPr="009E064B">
        <w:t xml:space="preserve"> stałych</w:t>
      </w:r>
      <w:bookmarkEnd w:id="1733"/>
      <w:bookmarkEnd w:id="1734"/>
    </w:p>
    <w:p w14:paraId="7E6AC699" w14:textId="184B7494"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1BE4E1A" w14:textId="520A697F" w:rsidR="00865BD1" w:rsidRPr="009E064B" w:rsidRDefault="00865BD1"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t>Preferowane jest użycie k</w:t>
      </w:r>
      <w:r w:rsidRPr="009E064B">
        <w:rPr>
          <w:rFonts w:eastAsia="Times New Roman,Italic" w:cs="Times New Roman,Italic"/>
          <w:iCs/>
          <w:szCs w:val="20"/>
        </w:rPr>
        <w:t>oloru pomarańczowego z białym, lub alternatywnie czerwonego z białym, za wyjątkiem przypadków kiedy kolory te zlewają się z tłem.</w:t>
      </w:r>
    </w:p>
    <w:p w14:paraId="6CC71069" w14:textId="77777777" w:rsidR="00865BD1" w:rsidRPr="009E064B" w:rsidRDefault="00865BD1"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Tabela Q-4 zawiera wzór na określenie szerokości pasów z uwzględnieniem nieparzystej ich liczby, gwarantujący, że skrajne pasy będą koloru ciemniejszego.</w:t>
      </w:r>
    </w:p>
    <w:p w14:paraId="2BCD8B99" w14:textId="77777777" w:rsidR="00865BD1" w:rsidRPr="009E064B" w:rsidRDefault="00865BD1"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W celu zapewnienia właściwego kontrastu, w niektórych przypadkach może się okazać konieczne użycie innych kolorów niż pomarańczowy lub czerwony.</w:t>
      </w:r>
    </w:p>
    <w:p w14:paraId="07714560" w14:textId="77777777" w:rsidR="00865BD1" w:rsidRPr="009E064B" w:rsidRDefault="00865BD1"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(d) </w:t>
      </w:r>
      <w:r w:rsidRPr="009E064B">
        <w:rPr>
          <w:rFonts w:cs="TimesNewRomanPS-BoldItalicMT"/>
          <w:bCs/>
          <w:iCs/>
          <w:szCs w:val="20"/>
        </w:rPr>
        <w:tab/>
        <w:t>Zastosowanie alternatywnych rozstawienia może być korzystne. N</w:t>
      </w:r>
      <w:r w:rsidRPr="009E064B">
        <w:rPr>
          <w:rFonts w:eastAsia="Times New Roman,Italic" w:cs="Times New Roman,Italic"/>
          <w:iCs/>
          <w:szCs w:val="20"/>
        </w:rPr>
        <w:t>ajważniejsze jest, aby została wyraźnie wskazana lokalizacja i kształt obiektu.</w:t>
      </w:r>
    </w:p>
    <w:p w14:paraId="1F7F30B8"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D7CC933" w14:textId="19129C67" w:rsidR="00C36D76" w:rsidRPr="009E064B" w:rsidRDefault="008B787C" w:rsidP="00B06A9A">
      <w:pPr>
        <w:pStyle w:val="Nagwek4"/>
        <w:rPr>
          <w:color w:val="auto"/>
        </w:rPr>
      </w:pPr>
      <w:bookmarkStart w:id="1736" w:name="_CS_ADR-DSN.Q.846_"/>
      <w:bookmarkStart w:id="1737" w:name="_Toc12533278"/>
      <w:bookmarkEnd w:id="1736"/>
      <w:r w:rsidRPr="009E064B">
        <w:rPr>
          <w:color w:val="auto"/>
        </w:rPr>
        <w:t xml:space="preserve">CS ADR-DSN.Q.846     </w:t>
      </w:r>
      <w:r w:rsidR="00C36D76" w:rsidRPr="009E064B">
        <w:rPr>
          <w:color w:val="auto"/>
        </w:rPr>
        <w:t>Oświetlenie obiektów stałych</w:t>
      </w:r>
      <w:bookmarkEnd w:id="1735"/>
      <w:bookmarkEnd w:id="1737"/>
    </w:p>
    <w:p w14:paraId="15FE6AFF" w14:textId="1FC0756D"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73F98DE" w14:textId="0AEA6946"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 xml:space="preserve">Obecność obiektów, które muszą być oświetlone, zgodnie z </w:t>
      </w:r>
      <w:hyperlink w:anchor="_CS_ADR-DSN.Q.840_" w:history="1">
        <w:r w:rsidRPr="009E064B">
          <w:rPr>
            <w:rStyle w:val="Hipercze"/>
            <w:rFonts w:eastAsia="Times New Roman,Italic" w:cs="Times New Roman,Italic"/>
            <w:iCs/>
            <w:szCs w:val="20"/>
          </w:rPr>
          <w:t>CS ADR-DSN.Q.840</w:t>
        </w:r>
      </w:hyperlink>
      <w:r w:rsidRPr="009E064B">
        <w:rPr>
          <w:rFonts w:eastAsia="Times New Roman,Italic" w:cs="Times New Roman,Italic"/>
          <w:iCs/>
          <w:szCs w:val="20"/>
        </w:rPr>
        <w:t xml:space="preserve"> oraz </w:t>
      </w:r>
      <w:r w:rsidR="00CD112F" w:rsidRPr="009E064B">
        <w:rPr>
          <w:rFonts w:eastAsia="Times New Roman,Italic" w:cs="Times New Roman,Italic"/>
          <w:iCs/>
          <w:szCs w:val="20"/>
        </w:rPr>
        <w:br/>
      </w:r>
      <w:hyperlink w:anchor="_CS_ADR-DSN.Q.841_" w:history="1">
        <w:r w:rsidRPr="009E064B">
          <w:rPr>
            <w:rStyle w:val="Hipercze"/>
            <w:rFonts w:eastAsia="Times New Roman,Italic" w:cs="Times New Roman,Italic"/>
            <w:iCs/>
            <w:szCs w:val="20"/>
          </w:rPr>
          <w:t>CS ADR-DSN.Q.841</w:t>
        </w:r>
      </w:hyperlink>
      <w:r w:rsidRPr="009E064B">
        <w:rPr>
          <w:rFonts w:eastAsia="Times New Roman,Italic" w:cs="Times New Roman,Italic"/>
          <w:iCs/>
          <w:szCs w:val="20"/>
        </w:rPr>
        <w:t>, powinna być wskazana za pomocą świateł prz</w:t>
      </w:r>
      <w:r w:rsidR="00CD112F" w:rsidRPr="009E064B">
        <w:rPr>
          <w:rFonts w:eastAsia="Times New Roman,Italic" w:cs="Times New Roman,Italic"/>
          <w:iCs/>
          <w:szCs w:val="20"/>
        </w:rPr>
        <w:t>eszkodowych niskiej, średniej i </w:t>
      </w:r>
      <w:r w:rsidRPr="009E064B">
        <w:rPr>
          <w:rFonts w:eastAsia="Times New Roman,Italic" w:cs="Times New Roman,Italic"/>
          <w:iCs/>
          <w:szCs w:val="20"/>
        </w:rPr>
        <w:t>wysokiej intensywności lub kombinacji tych świateł.</w:t>
      </w:r>
    </w:p>
    <w:p w14:paraId="0DD879DB" w14:textId="767FDEA9"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Światła przeszkod</w:t>
      </w:r>
      <w:r w:rsidR="007655D0" w:rsidRPr="009E064B">
        <w:rPr>
          <w:rFonts w:eastAsia="Times New Roman,Italic" w:cs="Times New Roman,Italic"/>
          <w:iCs/>
          <w:szCs w:val="20"/>
        </w:rPr>
        <w:t>owe niskiej intensywności typ</w:t>
      </w:r>
      <w:r w:rsidRPr="009E064B">
        <w:rPr>
          <w:rFonts w:eastAsia="Times New Roman,Italic" w:cs="Times New Roman,Italic"/>
          <w:iCs/>
          <w:szCs w:val="20"/>
        </w:rPr>
        <w:t xml:space="preserve">u A, B, C i D, średniej intensywności typu A, B i C oraz światła przeszkodowe wysokiej intensywności typu A i B, powinny być zgodne ze specyfikacjami w Tabeli Q-1, </w:t>
      </w:r>
      <w:hyperlink w:anchor="_CS_ADR-DSN.U.930_" w:history="1">
        <w:r w:rsidRPr="009E064B">
          <w:rPr>
            <w:rStyle w:val="Hipercze"/>
            <w:rFonts w:eastAsia="Times New Roman,Italic" w:cs="Times New Roman,Italic"/>
            <w:iCs/>
            <w:szCs w:val="20"/>
          </w:rPr>
          <w:t>CS ADR-DSN.U.930</w:t>
        </w:r>
      </w:hyperlink>
      <w:r w:rsidRPr="009E064B">
        <w:rPr>
          <w:rFonts w:eastAsia="Times New Roman,Italic" w:cs="Times New Roman,Italic"/>
          <w:iCs/>
          <w:szCs w:val="20"/>
        </w:rPr>
        <w:t xml:space="preserve"> </w:t>
      </w:r>
      <w:r w:rsidRPr="00FE5FBD">
        <w:rPr>
          <w:rFonts w:eastAsia="Times New Roman,Italic" w:cs="Times New Roman,Italic"/>
          <w:iCs/>
          <w:szCs w:val="20"/>
        </w:rPr>
        <w:t xml:space="preserve">i </w:t>
      </w:r>
      <w:r w:rsidR="00CE235E" w:rsidRPr="00FE5FBD">
        <w:rPr>
          <w:rFonts w:eastAsia="Times New Roman,Italic" w:cs="Times New Roman,Italic"/>
          <w:iCs/>
          <w:szCs w:val="20"/>
        </w:rPr>
        <w:t xml:space="preserve">odpowiednio </w:t>
      </w:r>
      <w:r w:rsidRPr="00FE5FBD">
        <w:rPr>
          <w:rFonts w:eastAsia="Times New Roman,Italic" w:cs="Times New Roman,Italic"/>
          <w:iCs/>
          <w:szCs w:val="20"/>
        </w:rPr>
        <w:t>na Rysunku U-1</w:t>
      </w:r>
      <w:r w:rsidR="00CE235E" w:rsidRPr="00FE5FBD">
        <w:rPr>
          <w:rFonts w:eastAsia="Times New Roman,Italic" w:cs="Times New Roman,Italic"/>
          <w:iCs/>
          <w:szCs w:val="20"/>
        </w:rPr>
        <w:t>A lub U1B</w:t>
      </w:r>
      <w:r w:rsidRPr="00FE5FBD">
        <w:rPr>
          <w:rFonts w:eastAsia="Times New Roman,Italic" w:cs="Times New Roman,Italic"/>
          <w:iCs/>
          <w:szCs w:val="20"/>
        </w:rPr>
        <w:t>.</w:t>
      </w:r>
    </w:p>
    <w:p w14:paraId="44C78E0A" w14:textId="31AA1931"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(c)</w:t>
      </w:r>
      <w:r w:rsidRPr="009E064B">
        <w:rPr>
          <w:rFonts w:eastAsia="Times New Roman,Italic" w:cs="Times New Roman,Italic"/>
          <w:iCs/>
          <w:szCs w:val="20"/>
        </w:rPr>
        <w:tab/>
        <w:t>Liczba i rozmieszczenie świateł przeszkodowych o niskiej, średniej lub wysokiej intensywności na każdym poziomie, który ma być oznakowany, powinny być takie, aby obiekt był widoczny z każdego kąta azymutu. W przypadku</w:t>
      </w:r>
      <w:r w:rsidR="00965419" w:rsidRPr="009E064B">
        <w:rPr>
          <w:rFonts w:eastAsia="Times New Roman,Italic" w:cs="Times New Roman,Italic"/>
          <w:iCs/>
          <w:szCs w:val="20"/>
        </w:rPr>
        <w:t>, gdy światło jest zasłonięte z </w:t>
      </w:r>
      <w:r w:rsidRPr="009E064B">
        <w:rPr>
          <w:rFonts w:eastAsia="Times New Roman,Italic" w:cs="Times New Roman,Italic"/>
          <w:iCs/>
          <w:szCs w:val="20"/>
        </w:rPr>
        <w:t>jakiegokolwiek kierunku przez część tego obiektu lub sąsiedni obiekt, to należy zapewnić dodatkowe światło na sąsiednim obiekcie lub na danej części tego obiektu, która zasłania to światło, w taki sposób, aby zachowana była ogólna wyrazistość oświetlanego obiektu. Jeśli zasłonięte światło nie ma wpływu na wyrazistość oświetlanego obiektu, to może zostać pominięte.</w:t>
      </w:r>
    </w:p>
    <w:p w14:paraId="36A0FA6A" w14:textId="79F389DC"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(d)</w:t>
      </w:r>
      <w:r w:rsidRPr="009E064B">
        <w:rPr>
          <w:rFonts w:eastAsia="Times New Roman,Italic" w:cs="Times New Roman,Italic"/>
          <w:iCs/>
          <w:szCs w:val="20"/>
        </w:rPr>
        <w:tab/>
        <w:t>W przypadku obiektu, który ma być oświetlony, jedno lub więcej świateł przeszkodowych niskiej, średniej lub wysokiej intensywności powinno być zlokalizow</w:t>
      </w:r>
      <w:r w:rsidR="00CD112F" w:rsidRPr="009E064B">
        <w:rPr>
          <w:rFonts w:eastAsia="Times New Roman,Italic" w:cs="Times New Roman,Italic"/>
          <w:iCs/>
          <w:szCs w:val="20"/>
        </w:rPr>
        <w:t>ane tak blisko jak to możliwe w </w:t>
      </w:r>
      <w:r w:rsidRPr="009E064B">
        <w:rPr>
          <w:rFonts w:eastAsia="Times New Roman,Italic" w:cs="Times New Roman,Italic"/>
          <w:iCs/>
          <w:szCs w:val="20"/>
        </w:rPr>
        <w:t>górnej części obiektu</w:t>
      </w:r>
    </w:p>
    <w:p w14:paraId="58B373BF" w14:textId="77777777"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(e)</w:t>
      </w:r>
      <w:r w:rsidRPr="009E064B">
        <w:rPr>
          <w:rFonts w:eastAsia="Times New Roman,Italic" w:cs="Times New Roman,Italic"/>
          <w:iCs/>
          <w:szCs w:val="20"/>
        </w:rPr>
        <w:tab/>
        <w:t>W przypadku komina lub innej konstrukcji o podobnej funkcji, najwyższe światła powinny być umieszczone dostatecznie poniżej wierzchołka, po to, aby zminimalizować zanieczyszczenie dymem (patrz Rysunek Q-2).</w:t>
      </w:r>
    </w:p>
    <w:p w14:paraId="776C4BE9" w14:textId="55514143"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(f) </w:t>
      </w:r>
      <w:r w:rsidRPr="009E064B">
        <w:rPr>
          <w:rFonts w:eastAsia="Times New Roman,Italic" w:cs="Times New Roman,Italic"/>
          <w:iCs/>
          <w:szCs w:val="20"/>
        </w:rPr>
        <w:tab/>
        <w:t>W przypadku wieży lub konstrukcji antenowej oznaczonej światłami przeszkodowymi wysokiej intensywności w dzień, z wierzchołkiem w postaci iglicy lub ant</w:t>
      </w:r>
      <w:r w:rsidR="00CD112F" w:rsidRPr="009E064B">
        <w:rPr>
          <w:rFonts w:eastAsia="Times New Roman,Italic" w:cs="Times New Roman,Italic"/>
          <w:iCs/>
          <w:szCs w:val="20"/>
        </w:rPr>
        <w:t>eny o wysokości większej niż 12 </w:t>
      </w:r>
      <w:r w:rsidRPr="009E064B">
        <w:rPr>
          <w:rFonts w:eastAsia="Times New Roman,Italic" w:cs="Times New Roman,Italic"/>
          <w:iCs/>
          <w:szCs w:val="20"/>
        </w:rPr>
        <w:t>m, na której wierzchołku nie jest praktyczne umieszczanie światła przeszkodowego wysokiej intensywności, światło</w:t>
      </w:r>
      <w:r w:rsidR="004B5E15" w:rsidRPr="009E064B">
        <w:rPr>
          <w:rFonts w:eastAsia="Times New Roman,Italic" w:cs="Times New Roman,Italic"/>
          <w:iCs/>
          <w:szCs w:val="20"/>
        </w:rPr>
        <w:t xml:space="preserve"> to powinno być zlokalizowane w </w:t>
      </w:r>
      <w:r w:rsidRPr="009E064B">
        <w:rPr>
          <w:rFonts w:eastAsia="Times New Roman,Italic" w:cs="Times New Roman,Italic"/>
          <w:iCs/>
          <w:szCs w:val="20"/>
        </w:rPr>
        <w:t>najwyższym możliwym punkcie oraz, jeżeli jest to możliwe, światło przeszkodowe średniej intensywności typu A na wierzchołku.</w:t>
      </w:r>
    </w:p>
    <w:p w14:paraId="10A92E92" w14:textId="77777777"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(g) </w:t>
      </w:r>
      <w:r w:rsidRPr="009E064B">
        <w:rPr>
          <w:rFonts w:eastAsia="Times New Roman,Italic" w:cs="Times New Roman,Italic"/>
          <w:iCs/>
          <w:szCs w:val="20"/>
        </w:rPr>
        <w:tab/>
        <w:t>W przypadku obiektu rozległego lub grupy obiektów położonych blisko siebie, które mają być oświetlone, jeśli:</w:t>
      </w:r>
    </w:p>
    <w:p w14:paraId="456C5382" w14:textId="2E4EBFA2" w:rsidR="00C36D76" w:rsidRPr="009E064B" w:rsidRDefault="00C36D76" w:rsidP="00B06A9A">
      <w:pPr>
        <w:tabs>
          <w:tab w:val="left" w:pos="1134"/>
        </w:tabs>
        <w:ind w:left="1134" w:hanging="567"/>
        <w:rPr>
          <w:rFonts w:eastAsia="Times New Roman,Italic" w:cs="Times New Roman,Italic"/>
          <w:iCs/>
          <w:szCs w:val="20"/>
        </w:rPr>
      </w:pPr>
      <w:r w:rsidRPr="009E064B">
        <w:rPr>
          <w:rFonts w:eastAsia="Times New Roman,Italic" w:cs="Times New Roman,Italic"/>
          <w:iCs/>
          <w:szCs w:val="20"/>
        </w:rPr>
        <w:t xml:space="preserve">(1) </w:t>
      </w:r>
      <w:r w:rsidRPr="009E064B">
        <w:rPr>
          <w:rFonts w:eastAsia="Times New Roman,Italic" w:cs="Times New Roman,Italic"/>
          <w:iCs/>
          <w:szCs w:val="20"/>
        </w:rPr>
        <w:tab/>
        <w:t>Przewyższają powierzchnie poziome ograniczające przeszkody lub są zlokalizowane poza powierzchniami ograniczającymi przeszkody, to światła wierzchołków powinny być umieszczone przynajmniej w punktach lub krawędziach najwyższego obiekt</w:t>
      </w:r>
      <w:r w:rsidR="004B5E15" w:rsidRPr="009E064B">
        <w:rPr>
          <w:rFonts w:eastAsia="Times New Roman,Italic" w:cs="Times New Roman,Italic"/>
          <w:iCs/>
          <w:szCs w:val="20"/>
        </w:rPr>
        <w:t>u w </w:t>
      </w:r>
      <w:r w:rsidRPr="009E064B">
        <w:rPr>
          <w:rFonts w:eastAsia="Times New Roman,Italic" w:cs="Times New Roman,Italic"/>
          <w:iCs/>
          <w:szCs w:val="20"/>
        </w:rPr>
        <w:t>stosunku do powierzchni ograniczających przeszkody, lub nad ziemią, w sposób wyznaczający ogólny obrys i rozległość obiektów;</w:t>
      </w:r>
    </w:p>
    <w:p w14:paraId="67CC6C1B" w14:textId="1896F0AA" w:rsidR="00C36D76" w:rsidRPr="009E064B" w:rsidRDefault="00C36D76" w:rsidP="00B06A9A">
      <w:pPr>
        <w:tabs>
          <w:tab w:val="left" w:pos="1134"/>
        </w:tabs>
        <w:ind w:left="1134" w:hanging="567"/>
        <w:rPr>
          <w:rFonts w:eastAsia="Times New Roman,Italic" w:cs="Times New Roman,Italic"/>
          <w:iCs/>
          <w:szCs w:val="20"/>
        </w:rPr>
      </w:pPr>
      <w:r w:rsidRPr="009E064B">
        <w:rPr>
          <w:rFonts w:eastAsia="Times New Roman,Italic" w:cs="Times New Roman,Italic"/>
          <w:iCs/>
          <w:szCs w:val="20"/>
        </w:rPr>
        <w:t xml:space="preserve">(2) </w:t>
      </w:r>
      <w:r w:rsidRPr="009E064B">
        <w:rPr>
          <w:rFonts w:eastAsia="Times New Roman,Italic" w:cs="Times New Roman,Italic"/>
          <w:iCs/>
          <w:szCs w:val="20"/>
        </w:rPr>
        <w:tab/>
        <w:t>Przewyższają nachylone powierzchnie ograniczające przeszkody, to światła wierzchołków powinny być umieszczone przynajmniej w punktach lub krawędziach najwyższego obiektu w stosunku do powierzchn</w:t>
      </w:r>
      <w:r w:rsidR="00C74249" w:rsidRPr="009E064B">
        <w:rPr>
          <w:rFonts w:eastAsia="Times New Roman,Italic" w:cs="Times New Roman,Italic"/>
          <w:iCs/>
          <w:szCs w:val="20"/>
        </w:rPr>
        <w:t>i ograniczających przeszkody, w </w:t>
      </w:r>
      <w:r w:rsidRPr="009E064B">
        <w:rPr>
          <w:rFonts w:eastAsia="Times New Roman,Italic" w:cs="Times New Roman,Italic"/>
          <w:iCs/>
          <w:szCs w:val="20"/>
        </w:rPr>
        <w:t>sposób wyznaczający ogólny obrys i rozległość obiektów. Jeżeli dwie lub więcej krawędzi znajduje się na tej samej wysokości, wówczas powinna być oznakowana krawędź położona najbliżej pola wzlotów.</w:t>
      </w:r>
    </w:p>
    <w:p w14:paraId="285C2565" w14:textId="5A0712ED"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(h)</w:t>
      </w:r>
      <w:r w:rsidRPr="009E064B">
        <w:rPr>
          <w:rFonts w:eastAsia="Times New Roman,Italic" w:cs="Times New Roman,Italic"/>
          <w:iCs/>
          <w:szCs w:val="20"/>
        </w:rPr>
        <w:tab/>
        <w:t>Jeżeli powierzchnia ograniczająca przeszkody jest nachylona a najwyżej położony punkt powyżej powierzchni ograniczających przeszkody nie jest najwyższym punktem obiektu, to należy zastosować dodatkowe światło przeszkodowe w najwyższym punkcie obiektu.</w:t>
      </w:r>
    </w:p>
    <w:p w14:paraId="72136882" w14:textId="77777777"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(i)</w:t>
      </w:r>
      <w:r w:rsidRPr="009E064B">
        <w:rPr>
          <w:rFonts w:eastAsia="Times New Roman,Italic" w:cs="Times New Roman,Italic"/>
          <w:iCs/>
          <w:szCs w:val="20"/>
        </w:rPr>
        <w:tab/>
        <w:t>Jeżeli światła są wykorzystywane do oświetlenia ogólnego kształtu rozległego obiektu lub grupy obiektów położonych blisko siebie, oraz</w:t>
      </w:r>
    </w:p>
    <w:p w14:paraId="6D9D34BE" w14:textId="4A72AB85" w:rsidR="00C36D76" w:rsidRPr="009E064B" w:rsidRDefault="00C36D76" w:rsidP="00B06A9A">
      <w:pPr>
        <w:tabs>
          <w:tab w:val="left" w:pos="1134"/>
        </w:tabs>
        <w:ind w:left="1134" w:hanging="567"/>
        <w:rPr>
          <w:rFonts w:eastAsia="Times New Roman,Italic" w:cs="Times New Roman,Italic"/>
          <w:iCs/>
          <w:szCs w:val="20"/>
        </w:rPr>
      </w:pPr>
      <w:r w:rsidRPr="009E064B">
        <w:rPr>
          <w:rFonts w:eastAsia="Times New Roman,Italic" w:cs="Times New Roman,Italic"/>
          <w:iCs/>
          <w:szCs w:val="20"/>
        </w:rPr>
        <w:t>(1)</w:t>
      </w:r>
      <w:r w:rsidRPr="009E064B">
        <w:rPr>
          <w:rFonts w:eastAsia="Times New Roman,Italic" w:cs="Times New Roman,Italic"/>
          <w:iCs/>
          <w:szCs w:val="20"/>
        </w:rPr>
        <w:tab/>
        <w:t xml:space="preserve">stosowane są światła niskiej intensywności, to </w:t>
      </w:r>
      <w:r w:rsidR="00C74249" w:rsidRPr="009E064B">
        <w:rPr>
          <w:rFonts w:eastAsia="Times New Roman,Italic" w:cs="Times New Roman,Italic"/>
          <w:iCs/>
          <w:szCs w:val="20"/>
        </w:rPr>
        <w:t>powinny one być rozmieszczone w </w:t>
      </w:r>
      <w:r w:rsidRPr="009E064B">
        <w:rPr>
          <w:rFonts w:eastAsia="Times New Roman,Italic" w:cs="Times New Roman,Italic"/>
          <w:iCs/>
          <w:szCs w:val="20"/>
        </w:rPr>
        <w:t>odstępach nieprzekraczających 45 m.</w:t>
      </w:r>
    </w:p>
    <w:p w14:paraId="42FD3E0E" w14:textId="466EDA27" w:rsidR="00C36D76" w:rsidRPr="009E064B" w:rsidRDefault="00C36D76" w:rsidP="00B06A9A">
      <w:pPr>
        <w:tabs>
          <w:tab w:val="left" w:pos="1134"/>
        </w:tabs>
        <w:ind w:left="1134" w:hanging="567"/>
        <w:rPr>
          <w:rFonts w:eastAsia="Times New Roman,Italic" w:cs="Times New Roman,Italic"/>
          <w:iCs/>
          <w:szCs w:val="20"/>
        </w:rPr>
      </w:pPr>
      <w:r w:rsidRPr="009E064B">
        <w:rPr>
          <w:rFonts w:eastAsia="Times New Roman,Italic" w:cs="Times New Roman,Italic"/>
          <w:iCs/>
          <w:szCs w:val="20"/>
        </w:rPr>
        <w:t>(2)</w:t>
      </w:r>
      <w:r w:rsidRPr="009E064B">
        <w:rPr>
          <w:rFonts w:eastAsia="Times New Roman,Italic" w:cs="Times New Roman,Italic"/>
          <w:iCs/>
          <w:szCs w:val="20"/>
        </w:rPr>
        <w:tab/>
        <w:t xml:space="preserve">stosowane są światła średniej intensywności, to </w:t>
      </w:r>
      <w:r w:rsidR="00C74249" w:rsidRPr="009E064B">
        <w:rPr>
          <w:rFonts w:eastAsia="Times New Roman,Italic" w:cs="Times New Roman,Italic"/>
          <w:iCs/>
          <w:szCs w:val="20"/>
        </w:rPr>
        <w:t>powinny one być rozmieszczone w </w:t>
      </w:r>
      <w:r w:rsidRPr="009E064B">
        <w:rPr>
          <w:rFonts w:eastAsia="Times New Roman,Italic" w:cs="Times New Roman,Italic"/>
          <w:iCs/>
          <w:szCs w:val="20"/>
        </w:rPr>
        <w:t>odstępach nieprzekraczających 900 m.</w:t>
      </w:r>
    </w:p>
    <w:p w14:paraId="0842819F" w14:textId="63068509"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(j)</w:t>
      </w:r>
      <w:r w:rsidRPr="009E064B">
        <w:rPr>
          <w:rFonts w:eastAsia="Times New Roman,Italic" w:cs="Times New Roman,Italic"/>
          <w:iCs/>
          <w:szCs w:val="20"/>
        </w:rPr>
        <w:tab/>
        <w:t xml:space="preserve">Światła przeszkodowe wysokiej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oraz światła przeszkodowe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i B zlokalizowane na obiekcie, powinny błyskać równocześnie.</w:t>
      </w:r>
    </w:p>
    <w:p w14:paraId="7A735EC4" w14:textId="1BF415F8"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(k)</w:t>
      </w:r>
      <w:r w:rsidRPr="009E064B">
        <w:rPr>
          <w:rFonts w:eastAsia="Times New Roman,Italic" w:cs="Times New Roman,Italic"/>
          <w:iCs/>
          <w:szCs w:val="20"/>
        </w:rPr>
        <w:tab/>
        <w:t xml:space="preserve">Kąty, pod jakimi instalowane są światła przeszkodowe wysokiej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w:t>
      </w:r>
      <w:r w:rsidRPr="009E064B">
        <w:rPr>
          <w:rFonts w:eastAsia="Times New Roman,Italic" w:cs="Times New Roman,Italic"/>
          <w:iCs/>
          <w:szCs w:val="20"/>
        </w:rPr>
        <w:t>A powinny być zgodne z Tabelą Q-5.</w:t>
      </w:r>
    </w:p>
    <w:p w14:paraId="37077346" w14:textId="24259837" w:rsidR="00C36D76" w:rsidRPr="009E064B" w:rsidRDefault="00C36D76" w:rsidP="00DF3108">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14D2B1B" w14:textId="763A8D19" w:rsidR="0044331D" w:rsidRPr="009E064B" w:rsidRDefault="0044331D" w:rsidP="00DF3108">
      <w:pPr>
        <w:pStyle w:val="Tekstpodstawowy"/>
        <w:ind w:left="23" w:hanging="23"/>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3DE17D3" w14:textId="7923870E" w:rsidR="00865BD1" w:rsidRPr="009E064B" w:rsidRDefault="00865BD1" w:rsidP="00133B99">
      <w:pPr>
        <w:pStyle w:val="Nagwek6"/>
      </w:pPr>
      <w:bookmarkStart w:id="1738" w:name="_Toc482886944"/>
      <w:bookmarkStart w:id="1739" w:name="_Toc12533279"/>
      <w:bookmarkStart w:id="1740" w:name="_Toc401059077"/>
      <w:r w:rsidRPr="009E064B">
        <w:t>GM1 ADR-DSN.Q.84</w:t>
      </w:r>
      <w:r w:rsidR="008B787C" w:rsidRPr="009E064B">
        <w:t xml:space="preserve">6     </w:t>
      </w:r>
      <w:r w:rsidRPr="009E064B">
        <w:t>Oświetlenie obiektów stałych</w:t>
      </w:r>
      <w:bookmarkEnd w:id="1738"/>
      <w:bookmarkEnd w:id="1739"/>
    </w:p>
    <w:p w14:paraId="242AC16D" w14:textId="61C2E5BE"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A44D9DC" w14:textId="2BC53DCC" w:rsidR="00865BD1" w:rsidRPr="009E064B" w:rsidRDefault="00865BD1"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(a)</w:t>
      </w:r>
      <w:r w:rsidRPr="009E064B">
        <w:rPr>
          <w:rFonts w:cs="TimesNewRomanPS-BoldItalicMT"/>
          <w:bCs/>
          <w:iCs/>
          <w:szCs w:val="20"/>
        </w:rPr>
        <w:tab/>
        <w:t>Wskazówki, w jaki sposób powinna być wyeksponowana na przeszkodach kombinacja świateł niskiej, średniej i/lub wysokiej intensywności określono na Rysunkach GM-Q-1 do GM-Q-8.</w:t>
      </w:r>
    </w:p>
    <w:p w14:paraId="6E66AF73" w14:textId="77777777" w:rsidR="00865BD1" w:rsidRPr="009E064B" w:rsidRDefault="00865BD1"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(b)</w:t>
      </w:r>
      <w:r w:rsidRPr="009E064B">
        <w:rPr>
          <w:rFonts w:cs="TimesNewRomanPS-BoldItalicMT"/>
          <w:bCs/>
          <w:iCs/>
          <w:szCs w:val="20"/>
        </w:rPr>
        <w:tab/>
        <w:t>Światła przeszkodowe wysokiej intensywności przeznaczone są do wykorzystania zarówno w dzień jak i w nocy. Należy zachować ostrożność w celu zapewnienia, że światła te nie powodują oślepienia i nie mają negatywnego wpływu na środowisko. Wytyczne na temat projektowania, działania oraz lokalizacji świateł przeszkodowych wysokiej intensywności zawarte są w „Podręczniku projektowania lotnisk” ICAO Doc 9157, Część 4 „Pomoce wzrokowe”.</w:t>
      </w:r>
    </w:p>
    <w:p w14:paraId="7465C982" w14:textId="46AF41D6" w:rsidR="00865BD1" w:rsidRPr="009E064B" w:rsidRDefault="00865BD1"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(c)</w:t>
      </w:r>
      <w:r w:rsidRPr="009E064B">
        <w:rPr>
          <w:rFonts w:cs="TimesNewRomanPS-BoldItalicMT"/>
          <w:bCs/>
          <w:iCs/>
          <w:szCs w:val="20"/>
        </w:rPr>
        <w:tab/>
        <w:t xml:space="preserve">Jeżeli zastosowanie świateł przeszkodowych wysokiej intensywności </w:t>
      </w:r>
      <w:r w:rsidR="007655D0" w:rsidRPr="009E064B">
        <w:rPr>
          <w:rFonts w:cs="TimesNewRomanPS-BoldItalicMT"/>
          <w:bCs/>
          <w:iCs/>
          <w:szCs w:val="20"/>
        </w:rPr>
        <w:t>typ</w:t>
      </w:r>
      <w:r w:rsidRPr="009E064B">
        <w:rPr>
          <w:rFonts w:cs="TimesNewRomanPS-BoldItalicMT"/>
          <w:bCs/>
          <w:iCs/>
          <w:szCs w:val="20"/>
        </w:rPr>
        <w:t xml:space="preserve">u A albo średniej intensywności </w:t>
      </w:r>
      <w:r w:rsidR="007655D0" w:rsidRPr="009E064B">
        <w:rPr>
          <w:rFonts w:cs="TimesNewRomanPS-BoldItalicMT"/>
          <w:bCs/>
          <w:iCs/>
          <w:szCs w:val="20"/>
        </w:rPr>
        <w:t>typ</w:t>
      </w:r>
      <w:r w:rsidRPr="009E064B">
        <w:rPr>
          <w:rFonts w:cs="TimesNewRomanPS-BoldItalicMT"/>
          <w:bCs/>
          <w:iCs/>
          <w:szCs w:val="20"/>
        </w:rPr>
        <w:t xml:space="preserve">u A, w nocy, może oślepiać pilotów w pobliżu lotniska (w promieniu około 10 000 m) lub wpływa niekorzystnie na środowisko, wówczas powinno się instalować podwójny system oświetlenia przeszkodowego. System ten powinien składać się odpowiednio ze świateł przeszkodowych wysokiej intensywności </w:t>
      </w:r>
      <w:r w:rsidR="007655D0" w:rsidRPr="009E064B">
        <w:rPr>
          <w:rFonts w:cs="TimesNewRomanPS-BoldItalicMT"/>
          <w:bCs/>
          <w:iCs/>
          <w:szCs w:val="20"/>
        </w:rPr>
        <w:t>typ</w:t>
      </w:r>
      <w:r w:rsidRPr="009E064B">
        <w:rPr>
          <w:rFonts w:cs="TimesNewRomanPS-BoldItalicMT"/>
          <w:bCs/>
          <w:iCs/>
          <w:szCs w:val="20"/>
        </w:rPr>
        <w:t xml:space="preserve">u A albo średniej intensywności </w:t>
      </w:r>
      <w:r w:rsidR="007655D0" w:rsidRPr="009E064B">
        <w:rPr>
          <w:rFonts w:cs="TimesNewRomanPS-BoldItalicMT"/>
          <w:bCs/>
          <w:iCs/>
          <w:szCs w:val="20"/>
        </w:rPr>
        <w:t>typ</w:t>
      </w:r>
      <w:r w:rsidR="00CD112F" w:rsidRPr="009E064B">
        <w:rPr>
          <w:rFonts w:cs="TimesNewRomanPS-BoldItalicMT"/>
          <w:bCs/>
          <w:iCs/>
          <w:szCs w:val="20"/>
        </w:rPr>
        <w:t>u </w:t>
      </w:r>
      <w:r w:rsidRPr="009E064B">
        <w:rPr>
          <w:rFonts w:cs="TimesNewRomanPS-BoldItalicMT"/>
          <w:bCs/>
          <w:iCs/>
          <w:szCs w:val="20"/>
        </w:rPr>
        <w:t xml:space="preserve">A wykorzystywanych w dzień i o zmierzchu, oraz świateł średniej intensywności </w:t>
      </w:r>
      <w:r w:rsidR="007655D0" w:rsidRPr="009E064B">
        <w:rPr>
          <w:rFonts w:cs="TimesNewRomanPS-BoldItalicMT"/>
          <w:bCs/>
          <w:iCs/>
          <w:szCs w:val="20"/>
        </w:rPr>
        <w:t>typ</w:t>
      </w:r>
      <w:r w:rsidR="00CD112F" w:rsidRPr="009E064B">
        <w:rPr>
          <w:rFonts w:cs="TimesNewRomanPS-BoldItalicMT"/>
          <w:bCs/>
          <w:iCs/>
          <w:szCs w:val="20"/>
        </w:rPr>
        <w:t xml:space="preserve">u B lub </w:t>
      </w:r>
      <w:r w:rsidRPr="009E064B">
        <w:rPr>
          <w:rFonts w:cs="TimesNewRomanPS-BoldItalicMT"/>
          <w:bCs/>
          <w:iCs/>
          <w:szCs w:val="20"/>
        </w:rPr>
        <w:t>C wykorzystywanych w nocy.</w:t>
      </w:r>
    </w:p>
    <w:p w14:paraId="7FF06E71" w14:textId="77777777" w:rsidR="00865BD1" w:rsidRPr="009E064B" w:rsidRDefault="00865BD1" w:rsidP="005B0CBD">
      <w:pPr>
        <w:autoSpaceDE w:val="0"/>
        <w:autoSpaceDN w:val="0"/>
        <w:adjustRightInd w:val="0"/>
        <w:spacing w:after="0"/>
        <w:rPr>
          <w:rFonts w:eastAsia="Times New Roman,Italic" w:cs="Times New Roman,Italic"/>
          <w:iCs/>
          <w:szCs w:val="20"/>
        </w:rPr>
      </w:pPr>
    </w:p>
    <w:bookmarkEnd w:id="1740"/>
    <w:p w14:paraId="139DC6D9" w14:textId="77777777" w:rsidR="00865BD1" w:rsidRPr="009E064B" w:rsidRDefault="00865BD1" w:rsidP="00B06A9A">
      <w:pPr>
        <w:autoSpaceDE w:val="0"/>
        <w:autoSpaceDN w:val="0"/>
        <w:adjustRightInd w:val="0"/>
        <w:rPr>
          <w:rFonts w:eastAsia="Times New Roman,Italic" w:cs="Times New Roman,Italic"/>
          <w:iCs/>
          <w:szCs w:val="20"/>
        </w:rPr>
      </w:pPr>
      <w:r w:rsidRPr="009E064B">
        <w:rPr>
          <w:rFonts w:eastAsia="Times New Roman,Italic" w:cs="Times New Roman,Italic"/>
          <w:iCs/>
          <w:noProof/>
          <w:szCs w:val="20"/>
          <w:lang w:eastAsia="pl-PL"/>
        </w:rPr>
        <w:drawing>
          <wp:inline distT="0" distB="0" distL="0" distR="0" wp14:anchorId="5EE598ED" wp14:editId="0E12C717">
            <wp:extent cx="5677564" cy="5588000"/>
            <wp:effectExtent l="0" t="0" r="0" b="0"/>
            <wp:docPr id="2418" name="Obraz 91" descr="AA6-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1" descr="AA6-1m"/>
                    <pic:cNvPicPr>
                      <a:picLocks noChangeAspect="1" noChangeArrowheads="1"/>
                    </pic:cNvPicPr>
                  </pic:nvPicPr>
                  <pic:blipFill>
                    <a:blip r:embed="rId228" cstate="print"/>
                    <a:srcRect/>
                    <a:stretch>
                      <a:fillRect/>
                    </a:stretch>
                  </pic:blipFill>
                  <pic:spPr bwMode="auto">
                    <a:xfrm>
                      <a:off x="0" y="0"/>
                      <a:ext cx="5677564" cy="5588000"/>
                    </a:xfrm>
                    <a:prstGeom prst="rect">
                      <a:avLst/>
                    </a:prstGeom>
                    <a:noFill/>
                    <a:ln w="9525">
                      <a:noFill/>
                      <a:miter lim="800000"/>
                      <a:headEnd/>
                      <a:tailEnd/>
                    </a:ln>
                  </pic:spPr>
                </pic:pic>
              </a:graphicData>
            </a:graphic>
          </wp:inline>
        </w:drawing>
      </w:r>
    </w:p>
    <w:p w14:paraId="502BD09B" w14:textId="13BB4913" w:rsidR="00865BD1" w:rsidRPr="009E064B" w:rsidRDefault="00865BD1" w:rsidP="00E55D9B">
      <w:pPr>
        <w:spacing w:before="240"/>
        <w:ind w:left="284" w:right="567" w:firstLine="425"/>
        <w:rPr>
          <w:i/>
          <w:sz w:val="20"/>
        </w:rPr>
      </w:pPr>
      <w:r w:rsidRPr="009E064B">
        <w:rPr>
          <w:i/>
          <w:iCs/>
          <w:sz w:val="20"/>
        </w:rPr>
        <w:t>Uwaga</w:t>
      </w:r>
      <w:r w:rsidRPr="009E064B">
        <w:rPr>
          <w:i/>
          <w:sz w:val="20"/>
        </w:rPr>
        <w:t xml:space="preserve">. – Światła przeszkodowe wysokiej intensywności zalecane są </w:t>
      </w:r>
      <w:r w:rsidR="009766C9" w:rsidRPr="009E064B">
        <w:rPr>
          <w:i/>
          <w:sz w:val="20"/>
        </w:rPr>
        <w:t xml:space="preserve">do stosowania </w:t>
      </w:r>
      <w:r w:rsidRPr="009E064B">
        <w:rPr>
          <w:i/>
          <w:sz w:val="20"/>
        </w:rPr>
        <w:t>na konstrukcjach o</w:t>
      </w:r>
      <w:r w:rsidR="009766C9" w:rsidRPr="009E064B">
        <w:rPr>
          <w:i/>
          <w:sz w:val="20"/>
        </w:rPr>
        <w:t xml:space="preserve"> </w:t>
      </w:r>
      <w:r w:rsidRPr="009E064B">
        <w:rPr>
          <w:i/>
          <w:sz w:val="20"/>
        </w:rPr>
        <w:t>wysokości większej niż 150 m nad poziom terenu. Jeżeli stosuje się światła przeszkodowe średniej intensywności, to wymagane jest także oznakowanie obiektu.</w:t>
      </w:r>
    </w:p>
    <w:p w14:paraId="50AE2E5A" w14:textId="7AA5CB1D" w:rsidR="00865BD1" w:rsidRPr="00FE5FBD" w:rsidRDefault="00865BD1" w:rsidP="00C74249">
      <w:pPr>
        <w:autoSpaceDE w:val="0"/>
        <w:autoSpaceDN w:val="0"/>
        <w:adjustRightInd w:val="0"/>
        <w:spacing w:before="360"/>
        <w:ind w:left="1134" w:hanging="1134"/>
        <w:jc w:val="center"/>
        <w:rPr>
          <w:rFonts w:eastAsia="Times New Roman,Italic" w:cs="Times New Roman,Italic"/>
          <w:b/>
          <w:iCs/>
          <w:szCs w:val="20"/>
        </w:rPr>
      </w:pPr>
      <w:r w:rsidRPr="00FE5FBD">
        <w:rPr>
          <w:rFonts w:eastAsia="Times New Roman,Italic" w:cs="Times New Roman,Italic"/>
          <w:b/>
          <w:iCs/>
          <w:sz w:val="20"/>
          <w:szCs w:val="20"/>
        </w:rPr>
        <w:t xml:space="preserve">Rysunek GM-Q-1.  System świateł przeszkodowych </w:t>
      </w:r>
      <w:r w:rsidR="007655D0" w:rsidRPr="00FE5FBD">
        <w:rPr>
          <w:rFonts w:eastAsia="Times New Roman,Italic" w:cs="Times New Roman,Italic"/>
          <w:b/>
          <w:iCs/>
          <w:sz w:val="20"/>
          <w:szCs w:val="20"/>
        </w:rPr>
        <w:t>typ</w:t>
      </w:r>
      <w:r w:rsidRPr="00FE5FBD">
        <w:rPr>
          <w:rFonts w:eastAsia="Times New Roman,Italic" w:cs="Times New Roman,Italic"/>
          <w:b/>
          <w:iCs/>
          <w:sz w:val="20"/>
          <w:szCs w:val="20"/>
        </w:rPr>
        <w:t xml:space="preserve">u A, ze światłem błyskowym </w:t>
      </w:r>
      <w:r w:rsidR="00FE5FBD">
        <w:rPr>
          <w:rFonts w:eastAsia="Times New Roman,Italic" w:cs="Times New Roman,Italic"/>
          <w:b/>
          <w:iCs/>
          <w:sz w:val="20"/>
          <w:szCs w:val="20"/>
        </w:rPr>
        <w:br/>
      </w:r>
      <w:r w:rsidRPr="00FE5FBD">
        <w:rPr>
          <w:rFonts w:eastAsia="Times New Roman,Italic" w:cs="Times New Roman,Italic"/>
          <w:b/>
          <w:iCs/>
          <w:sz w:val="20"/>
          <w:szCs w:val="20"/>
        </w:rPr>
        <w:t>średniej intensywności koloru białego.</w:t>
      </w:r>
    </w:p>
    <w:p w14:paraId="453505F1" w14:textId="5F6281AC" w:rsidR="00865BD1" w:rsidRPr="009E064B" w:rsidRDefault="00865BD1" w:rsidP="00B06A9A">
      <w:pPr>
        <w:jc w:val="left"/>
        <w:rPr>
          <w:b/>
          <w:szCs w:val="20"/>
        </w:rPr>
      </w:pPr>
    </w:p>
    <w:p w14:paraId="75BF230F" w14:textId="77777777" w:rsidR="00865BD1" w:rsidRPr="009E064B" w:rsidRDefault="00865BD1" w:rsidP="00B06A9A">
      <w:pPr>
        <w:autoSpaceDE w:val="0"/>
        <w:autoSpaceDN w:val="0"/>
        <w:adjustRightInd w:val="0"/>
        <w:rPr>
          <w:rFonts w:eastAsia="Times New Roman,Bold" w:cs="Times New Roman,Bold"/>
          <w:bCs/>
          <w:szCs w:val="20"/>
        </w:rPr>
      </w:pPr>
      <w:r w:rsidRPr="009E064B">
        <w:rPr>
          <w:rFonts w:eastAsia="Times New Roman,Bold" w:cs="Times New Roman,Bold"/>
          <w:bCs/>
          <w:noProof/>
          <w:szCs w:val="20"/>
          <w:lang w:eastAsia="pl-PL"/>
        </w:rPr>
        <w:drawing>
          <wp:inline distT="0" distB="0" distL="0" distR="0" wp14:anchorId="18B31FD5" wp14:editId="2AD8E4C7">
            <wp:extent cx="5759450" cy="5669720"/>
            <wp:effectExtent l="19050" t="0" r="0" b="0"/>
            <wp:docPr id="2419" name="Obraz 92" descr="AA6-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2" descr="AA6-2m"/>
                    <pic:cNvPicPr>
                      <a:picLocks noChangeAspect="1" noChangeArrowheads="1"/>
                    </pic:cNvPicPr>
                  </pic:nvPicPr>
                  <pic:blipFill>
                    <a:blip r:embed="rId229" cstate="print"/>
                    <a:srcRect/>
                    <a:stretch>
                      <a:fillRect/>
                    </a:stretch>
                  </pic:blipFill>
                  <pic:spPr bwMode="auto">
                    <a:xfrm>
                      <a:off x="0" y="0"/>
                      <a:ext cx="5759450" cy="5669720"/>
                    </a:xfrm>
                    <a:prstGeom prst="rect">
                      <a:avLst/>
                    </a:prstGeom>
                    <a:noFill/>
                    <a:ln w="9525">
                      <a:noFill/>
                      <a:miter lim="800000"/>
                      <a:headEnd/>
                      <a:tailEnd/>
                    </a:ln>
                  </pic:spPr>
                </pic:pic>
              </a:graphicData>
            </a:graphic>
          </wp:inline>
        </w:drawing>
      </w:r>
    </w:p>
    <w:p w14:paraId="40B0F06F" w14:textId="77777777" w:rsidR="00865BD1" w:rsidRPr="009E064B" w:rsidRDefault="00865BD1" w:rsidP="00B06A9A">
      <w:pPr>
        <w:autoSpaceDE w:val="0"/>
        <w:autoSpaceDN w:val="0"/>
        <w:adjustRightInd w:val="0"/>
        <w:rPr>
          <w:rFonts w:eastAsia="Times New Roman,Bold" w:cs="Times New Roman,Bold"/>
          <w:bCs/>
          <w:szCs w:val="20"/>
        </w:rPr>
      </w:pPr>
    </w:p>
    <w:p w14:paraId="5F04A113" w14:textId="03CB54B0" w:rsidR="00865BD1" w:rsidRPr="009E064B" w:rsidRDefault="00865BD1" w:rsidP="00B06A9A">
      <w:pPr>
        <w:autoSpaceDE w:val="0"/>
        <w:autoSpaceDN w:val="0"/>
        <w:adjustRightInd w:val="0"/>
        <w:jc w:val="center"/>
        <w:rPr>
          <w:i/>
        </w:rPr>
      </w:pPr>
      <w:r w:rsidRPr="009E064B">
        <w:rPr>
          <w:i/>
          <w:iCs/>
        </w:rPr>
        <w:t>Uwaga</w:t>
      </w:r>
      <w:r w:rsidRPr="009E064B">
        <w:rPr>
          <w:i/>
        </w:rPr>
        <w:t>. – Do użytk</w:t>
      </w:r>
      <w:r w:rsidR="00C74249" w:rsidRPr="009E064B">
        <w:rPr>
          <w:i/>
        </w:rPr>
        <w:t>owania</w:t>
      </w:r>
      <w:r w:rsidRPr="009E064B">
        <w:rPr>
          <w:i/>
        </w:rPr>
        <w:t xml:space="preserve"> tylko w </w:t>
      </w:r>
      <w:r w:rsidR="00C74249" w:rsidRPr="009E064B">
        <w:rPr>
          <w:i/>
        </w:rPr>
        <w:t xml:space="preserve">porze </w:t>
      </w:r>
      <w:r w:rsidRPr="009E064B">
        <w:rPr>
          <w:i/>
        </w:rPr>
        <w:t>noc</w:t>
      </w:r>
      <w:r w:rsidR="00C74249" w:rsidRPr="009E064B">
        <w:rPr>
          <w:i/>
        </w:rPr>
        <w:t>nej</w:t>
      </w:r>
      <w:r w:rsidRPr="009E064B">
        <w:rPr>
          <w:i/>
        </w:rPr>
        <w:t>.</w:t>
      </w:r>
    </w:p>
    <w:p w14:paraId="4FA42C12" w14:textId="77777777" w:rsidR="00865BD1" w:rsidRPr="009E064B" w:rsidRDefault="00865BD1" w:rsidP="00B06A9A">
      <w:pPr>
        <w:autoSpaceDE w:val="0"/>
        <w:autoSpaceDN w:val="0"/>
        <w:adjustRightInd w:val="0"/>
        <w:rPr>
          <w:rFonts w:eastAsia="Times New Roman,Bold" w:cs="Times New Roman,Bold"/>
          <w:bCs/>
          <w:szCs w:val="20"/>
        </w:rPr>
      </w:pPr>
    </w:p>
    <w:p w14:paraId="683B8408" w14:textId="766604A9" w:rsidR="00865BD1" w:rsidRPr="00FE5FBD" w:rsidRDefault="00865BD1" w:rsidP="00B06A9A">
      <w:pPr>
        <w:autoSpaceDE w:val="0"/>
        <w:autoSpaceDN w:val="0"/>
        <w:adjustRightInd w:val="0"/>
        <w:ind w:left="1134" w:hanging="1134"/>
        <w:jc w:val="center"/>
        <w:rPr>
          <w:rFonts w:eastAsia="Times New Roman,Italic" w:cs="Times New Roman,Italic"/>
          <w:b/>
          <w:iCs/>
          <w:sz w:val="20"/>
          <w:szCs w:val="20"/>
        </w:rPr>
      </w:pPr>
      <w:r w:rsidRPr="00FE5FBD">
        <w:rPr>
          <w:rFonts w:eastAsia="Times New Roman,Italic" w:cs="Times New Roman,Italic"/>
          <w:b/>
          <w:iCs/>
          <w:sz w:val="20"/>
          <w:szCs w:val="20"/>
        </w:rPr>
        <w:t xml:space="preserve">Rysunek GM-Q-2.  System świateł przeszkodowych </w:t>
      </w:r>
      <w:r w:rsidR="007655D0" w:rsidRPr="00FE5FBD">
        <w:rPr>
          <w:rFonts w:eastAsia="Times New Roman,Italic" w:cs="Times New Roman,Italic"/>
          <w:b/>
          <w:iCs/>
          <w:sz w:val="20"/>
          <w:szCs w:val="20"/>
        </w:rPr>
        <w:t>typ</w:t>
      </w:r>
      <w:r w:rsidRPr="00FE5FBD">
        <w:rPr>
          <w:rFonts w:eastAsia="Times New Roman,Italic" w:cs="Times New Roman,Italic"/>
          <w:b/>
          <w:iCs/>
          <w:sz w:val="20"/>
          <w:szCs w:val="20"/>
        </w:rPr>
        <w:t xml:space="preserve">u B, ze światłem błyskowym </w:t>
      </w:r>
      <w:r w:rsidR="00FE5FBD">
        <w:rPr>
          <w:rFonts w:eastAsia="Times New Roman,Italic" w:cs="Times New Roman,Italic"/>
          <w:b/>
          <w:iCs/>
          <w:sz w:val="20"/>
          <w:szCs w:val="20"/>
        </w:rPr>
        <w:br/>
      </w:r>
      <w:r w:rsidRPr="00FE5FBD">
        <w:rPr>
          <w:rFonts w:eastAsia="Times New Roman,Italic" w:cs="Times New Roman,Italic"/>
          <w:b/>
          <w:iCs/>
          <w:sz w:val="20"/>
          <w:szCs w:val="20"/>
        </w:rPr>
        <w:t>średniej intensywności koloru czerwonego.</w:t>
      </w:r>
    </w:p>
    <w:p w14:paraId="4E450A69" w14:textId="77777777" w:rsidR="00865BD1" w:rsidRPr="009E064B" w:rsidRDefault="00865BD1" w:rsidP="00B06A9A">
      <w:pPr>
        <w:autoSpaceDE w:val="0"/>
        <w:autoSpaceDN w:val="0"/>
        <w:adjustRightInd w:val="0"/>
        <w:rPr>
          <w:rFonts w:eastAsia="Times New Roman,Bold" w:cs="Times New Roman,Bold"/>
          <w:bCs/>
          <w:szCs w:val="20"/>
        </w:rPr>
      </w:pPr>
    </w:p>
    <w:p w14:paraId="49AD4060" w14:textId="77777777" w:rsidR="00865BD1" w:rsidRPr="009E064B" w:rsidRDefault="00865BD1" w:rsidP="00B06A9A">
      <w:pPr>
        <w:jc w:val="left"/>
        <w:rPr>
          <w:rFonts w:eastAsia="Times New Roman,Bold" w:cs="Times New Roman,Bold"/>
          <w:b/>
          <w:bCs/>
          <w:szCs w:val="20"/>
        </w:rPr>
      </w:pPr>
      <w:r w:rsidRPr="009E064B">
        <w:rPr>
          <w:rFonts w:eastAsia="Times New Roman,Bold" w:cs="Times New Roman,Bold"/>
          <w:b/>
          <w:bCs/>
          <w:szCs w:val="20"/>
        </w:rPr>
        <w:br w:type="page"/>
      </w:r>
    </w:p>
    <w:p w14:paraId="168B81BD" w14:textId="77777777" w:rsidR="00865BD1" w:rsidRPr="009E064B" w:rsidRDefault="00865BD1" w:rsidP="00B06A9A">
      <w:pPr>
        <w:autoSpaceDE w:val="0"/>
        <w:autoSpaceDN w:val="0"/>
        <w:adjustRightInd w:val="0"/>
        <w:rPr>
          <w:rFonts w:eastAsia="Times New Roman,Bold" w:cs="Times New Roman,Bold"/>
          <w:b/>
          <w:bCs/>
          <w:szCs w:val="20"/>
        </w:rPr>
      </w:pPr>
    </w:p>
    <w:p w14:paraId="00FCE17E" w14:textId="77777777" w:rsidR="00865BD1" w:rsidRPr="009E064B" w:rsidRDefault="00865BD1" w:rsidP="00B06A9A">
      <w:pPr>
        <w:autoSpaceDE w:val="0"/>
        <w:autoSpaceDN w:val="0"/>
        <w:adjustRightInd w:val="0"/>
        <w:rPr>
          <w:rFonts w:eastAsia="Times New Roman,Bold" w:cs="Times New Roman,Bold"/>
          <w:b/>
          <w:bCs/>
          <w:szCs w:val="20"/>
        </w:rPr>
      </w:pPr>
      <w:r w:rsidRPr="009E064B">
        <w:rPr>
          <w:rFonts w:eastAsia="Times New Roman,Bold" w:cs="Times New Roman,Bold"/>
          <w:b/>
          <w:bCs/>
          <w:noProof/>
          <w:szCs w:val="20"/>
          <w:lang w:eastAsia="pl-PL"/>
        </w:rPr>
        <w:drawing>
          <wp:inline distT="0" distB="0" distL="0" distR="0" wp14:anchorId="5DCD7B2F" wp14:editId="2EFBB28F">
            <wp:extent cx="5759450" cy="5577617"/>
            <wp:effectExtent l="19050" t="0" r="0" b="0"/>
            <wp:docPr id="2421" name="Obraz 93" descr="AA6-3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3" descr="AA6-3m"/>
                    <pic:cNvPicPr>
                      <a:picLocks noChangeAspect="1" noChangeArrowheads="1"/>
                    </pic:cNvPicPr>
                  </pic:nvPicPr>
                  <pic:blipFill>
                    <a:blip r:embed="rId230" cstate="print"/>
                    <a:srcRect/>
                    <a:stretch>
                      <a:fillRect/>
                    </a:stretch>
                  </pic:blipFill>
                  <pic:spPr bwMode="auto">
                    <a:xfrm>
                      <a:off x="0" y="0"/>
                      <a:ext cx="5759450" cy="5577617"/>
                    </a:xfrm>
                    <a:prstGeom prst="rect">
                      <a:avLst/>
                    </a:prstGeom>
                    <a:noFill/>
                    <a:ln w="9525">
                      <a:noFill/>
                      <a:miter lim="800000"/>
                      <a:headEnd/>
                      <a:tailEnd/>
                    </a:ln>
                  </pic:spPr>
                </pic:pic>
              </a:graphicData>
            </a:graphic>
          </wp:inline>
        </w:drawing>
      </w:r>
    </w:p>
    <w:p w14:paraId="00634A3C" w14:textId="77777777" w:rsidR="00865BD1" w:rsidRPr="009E064B" w:rsidRDefault="00865BD1" w:rsidP="00B06A9A"/>
    <w:p w14:paraId="7C23A0C2" w14:textId="77F637DA" w:rsidR="00865BD1" w:rsidRPr="009E064B" w:rsidRDefault="00865BD1" w:rsidP="00B06A9A">
      <w:pPr>
        <w:autoSpaceDE w:val="0"/>
        <w:autoSpaceDN w:val="0"/>
        <w:adjustRightInd w:val="0"/>
        <w:jc w:val="center"/>
      </w:pPr>
      <w:r w:rsidRPr="009E064B">
        <w:rPr>
          <w:i/>
          <w:iCs/>
        </w:rPr>
        <w:t>Uwaga</w:t>
      </w:r>
      <w:r w:rsidRPr="009E064B">
        <w:rPr>
          <w:i/>
        </w:rPr>
        <w:t>. – To użytk</w:t>
      </w:r>
      <w:r w:rsidR="00C74249" w:rsidRPr="009E064B">
        <w:rPr>
          <w:i/>
        </w:rPr>
        <w:t>owania</w:t>
      </w:r>
      <w:r w:rsidRPr="009E064B">
        <w:rPr>
          <w:i/>
        </w:rPr>
        <w:t xml:space="preserve"> tylko w </w:t>
      </w:r>
      <w:r w:rsidR="00C74249" w:rsidRPr="009E064B">
        <w:rPr>
          <w:i/>
        </w:rPr>
        <w:t xml:space="preserve">porze </w:t>
      </w:r>
      <w:r w:rsidRPr="009E064B">
        <w:rPr>
          <w:i/>
        </w:rPr>
        <w:t>noc</w:t>
      </w:r>
      <w:r w:rsidR="00C74249" w:rsidRPr="009E064B">
        <w:rPr>
          <w:i/>
        </w:rPr>
        <w:t>nej</w:t>
      </w:r>
      <w:r w:rsidRPr="009E064B">
        <w:rPr>
          <w:i/>
        </w:rPr>
        <w:t>.</w:t>
      </w:r>
    </w:p>
    <w:p w14:paraId="7DDB2A52" w14:textId="77777777" w:rsidR="00865BD1" w:rsidRPr="009E064B" w:rsidRDefault="00865BD1" w:rsidP="00B06A9A"/>
    <w:p w14:paraId="5BF37942" w14:textId="1D9ADE6E" w:rsidR="00865BD1" w:rsidRPr="00FE5FBD" w:rsidRDefault="00865BD1" w:rsidP="00B06A9A">
      <w:pPr>
        <w:autoSpaceDE w:val="0"/>
        <w:autoSpaceDN w:val="0"/>
        <w:adjustRightInd w:val="0"/>
        <w:ind w:left="1134" w:hanging="1134"/>
        <w:jc w:val="center"/>
        <w:rPr>
          <w:rFonts w:eastAsia="Times New Roman,Italic" w:cs="Times New Roman,Italic"/>
          <w:b/>
          <w:iCs/>
          <w:sz w:val="20"/>
          <w:szCs w:val="20"/>
        </w:rPr>
      </w:pPr>
      <w:r w:rsidRPr="00FE5FBD">
        <w:rPr>
          <w:rFonts w:eastAsia="Times New Roman,Italic" w:cs="Times New Roman,Italic"/>
          <w:b/>
          <w:iCs/>
          <w:sz w:val="20"/>
          <w:szCs w:val="20"/>
        </w:rPr>
        <w:t xml:space="preserve">Rysunek GM-Q-3.  System świateł przeszkodowych </w:t>
      </w:r>
      <w:r w:rsidR="007655D0" w:rsidRPr="00FE5FBD">
        <w:rPr>
          <w:rFonts w:eastAsia="Times New Roman,Italic" w:cs="Times New Roman,Italic"/>
          <w:b/>
          <w:iCs/>
          <w:sz w:val="20"/>
          <w:szCs w:val="20"/>
        </w:rPr>
        <w:t>typ</w:t>
      </w:r>
      <w:r w:rsidRPr="00FE5FBD">
        <w:rPr>
          <w:rFonts w:eastAsia="Times New Roman,Italic" w:cs="Times New Roman,Italic"/>
          <w:b/>
          <w:iCs/>
          <w:sz w:val="20"/>
          <w:szCs w:val="20"/>
        </w:rPr>
        <w:t xml:space="preserve">u C, ze światłem stałym </w:t>
      </w:r>
      <w:r w:rsidR="00FE5FBD">
        <w:rPr>
          <w:rFonts w:eastAsia="Times New Roman,Italic" w:cs="Times New Roman,Italic"/>
          <w:b/>
          <w:iCs/>
          <w:sz w:val="20"/>
          <w:szCs w:val="20"/>
        </w:rPr>
        <w:br/>
      </w:r>
      <w:r w:rsidRPr="00FE5FBD">
        <w:rPr>
          <w:rFonts w:eastAsia="Times New Roman,Italic" w:cs="Times New Roman,Italic"/>
          <w:b/>
          <w:iCs/>
          <w:sz w:val="20"/>
          <w:szCs w:val="20"/>
        </w:rPr>
        <w:t>średniej intensywności koloru czerwonego.</w:t>
      </w:r>
    </w:p>
    <w:p w14:paraId="267FC15B" w14:textId="77777777" w:rsidR="00865BD1" w:rsidRPr="009E064B" w:rsidRDefault="00865BD1" w:rsidP="00B06A9A"/>
    <w:p w14:paraId="0E297483" w14:textId="77777777" w:rsidR="00865BD1" w:rsidRPr="009E064B" w:rsidRDefault="00865BD1" w:rsidP="00B06A9A">
      <w:pPr>
        <w:jc w:val="left"/>
        <w:rPr>
          <w:b/>
          <w:szCs w:val="20"/>
        </w:rPr>
      </w:pPr>
      <w:r w:rsidRPr="009E064B">
        <w:rPr>
          <w:b/>
          <w:szCs w:val="20"/>
        </w:rPr>
        <w:br w:type="page"/>
      </w:r>
    </w:p>
    <w:p w14:paraId="67677EC2" w14:textId="77777777" w:rsidR="00865BD1" w:rsidRPr="009E064B" w:rsidRDefault="00865BD1" w:rsidP="00B06A9A">
      <w:pPr>
        <w:autoSpaceDE w:val="0"/>
        <w:autoSpaceDN w:val="0"/>
        <w:adjustRightInd w:val="0"/>
        <w:rPr>
          <w:b/>
          <w:szCs w:val="20"/>
        </w:rPr>
      </w:pPr>
    </w:p>
    <w:p w14:paraId="0876C906" w14:textId="77777777" w:rsidR="00865BD1" w:rsidRPr="009E064B" w:rsidRDefault="00865BD1" w:rsidP="00B06A9A">
      <w:pPr>
        <w:autoSpaceDE w:val="0"/>
        <w:autoSpaceDN w:val="0"/>
        <w:adjustRightInd w:val="0"/>
        <w:rPr>
          <w:b/>
          <w:szCs w:val="20"/>
        </w:rPr>
      </w:pPr>
      <w:r w:rsidRPr="009E064B">
        <w:rPr>
          <w:b/>
          <w:noProof/>
          <w:szCs w:val="20"/>
          <w:lang w:eastAsia="pl-PL"/>
        </w:rPr>
        <w:drawing>
          <wp:inline distT="0" distB="0" distL="0" distR="0" wp14:anchorId="08FDF4CA" wp14:editId="6DDABFB9">
            <wp:extent cx="5759450" cy="5690573"/>
            <wp:effectExtent l="0" t="0" r="0" b="5715"/>
            <wp:docPr id="2422" name="Obraz 94" descr="AA6-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4" descr="AA6-4m"/>
                    <pic:cNvPicPr>
                      <a:picLocks noChangeAspect="1" noChangeArrowheads="1"/>
                    </pic:cNvPicPr>
                  </pic:nvPicPr>
                  <pic:blipFill>
                    <a:blip r:embed="rId231" cstate="print"/>
                    <a:srcRect/>
                    <a:stretch>
                      <a:fillRect/>
                    </a:stretch>
                  </pic:blipFill>
                  <pic:spPr bwMode="auto">
                    <a:xfrm>
                      <a:off x="0" y="0"/>
                      <a:ext cx="5759450" cy="5690573"/>
                    </a:xfrm>
                    <a:prstGeom prst="rect">
                      <a:avLst/>
                    </a:prstGeom>
                    <a:noFill/>
                    <a:ln w="9525">
                      <a:noFill/>
                      <a:miter lim="800000"/>
                      <a:headEnd/>
                      <a:tailEnd/>
                    </a:ln>
                  </pic:spPr>
                </pic:pic>
              </a:graphicData>
            </a:graphic>
          </wp:inline>
        </w:drawing>
      </w:r>
    </w:p>
    <w:p w14:paraId="500A97E9" w14:textId="77777777" w:rsidR="00865BD1" w:rsidRPr="009E064B" w:rsidRDefault="00865BD1" w:rsidP="00B06A9A">
      <w:pPr>
        <w:autoSpaceDE w:val="0"/>
        <w:autoSpaceDN w:val="0"/>
        <w:adjustRightInd w:val="0"/>
        <w:rPr>
          <w:rFonts w:eastAsia="Times New Roman,Bold" w:cs="Times New Roman,Bold"/>
          <w:bCs/>
          <w:szCs w:val="20"/>
        </w:rPr>
      </w:pPr>
    </w:p>
    <w:p w14:paraId="4172B058" w14:textId="63612DEF" w:rsidR="00865BD1" w:rsidRPr="009E064B" w:rsidRDefault="00865BD1" w:rsidP="00B06A9A">
      <w:pPr>
        <w:autoSpaceDE w:val="0"/>
        <w:autoSpaceDN w:val="0"/>
        <w:adjustRightInd w:val="0"/>
        <w:ind w:firstLine="567"/>
        <w:rPr>
          <w:rFonts w:eastAsia="Times New Roman,Bold" w:cs="Times New Roman,Bold"/>
          <w:bCs/>
          <w:i/>
          <w:sz w:val="20"/>
          <w:szCs w:val="20"/>
        </w:rPr>
      </w:pPr>
      <w:r w:rsidRPr="009E064B">
        <w:rPr>
          <w:rFonts w:eastAsia="Times New Roman,Bold" w:cs="Times New Roman,Bold"/>
          <w:bCs/>
          <w:i/>
          <w:sz w:val="20"/>
          <w:szCs w:val="20"/>
        </w:rPr>
        <w:t xml:space="preserve">Uwaga. – Światła przeszkodowe wysokiej intensywności zalecane są </w:t>
      </w:r>
      <w:r w:rsidR="009766C9" w:rsidRPr="009E064B">
        <w:rPr>
          <w:rFonts w:eastAsia="Times New Roman,Bold" w:cs="Times New Roman,Bold"/>
          <w:bCs/>
          <w:i/>
          <w:sz w:val="20"/>
          <w:szCs w:val="20"/>
        </w:rPr>
        <w:t xml:space="preserve">do stosowania </w:t>
      </w:r>
      <w:r w:rsidRPr="009E064B">
        <w:rPr>
          <w:rFonts w:eastAsia="Times New Roman,Bold" w:cs="Times New Roman,Bold"/>
          <w:bCs/>
          <w:i/>
          <w:sz w:val="20"/>
          <w:szCs w:val="20"/>
        </w:rPr>
        <w:t>na konstrukcjach o wysokości większej niż 150 m nad poziom terenu. Jeżeli stosuje się światła przeszkodowe średniej intensywności, to wtedy wymagane jest także oznakowanie obiektu.</w:t>
      </w:r>
    </w:p>
    <w:p w14:paraId="67E3EC9E" w14:textId="77777777" w:rsidR="00865BD1" w:rsidRPr="009E064B" w:rsidRDefault="00865BD1" w:rsidP="00B06A9A">
      <w:pPr>
        <w:autoSpaceDE w:val="0"/>
        <w:autoSpaceDN w:val="0"/>
        <w:adjustRightInd w:val="0"/>
        <w:rPr>
          <w:rFonts w:eastAsia="Times New Roman,Bold" w:cs="Times New Roman,Bold"/>
          <w:bCs/>
          <w:szCs w:val="20"/>
        </w:rPr>
      </w:pPr>
    </w:p>
    <w:p w14:paraId="2DF962A2" w14:textId="610047D3" w:rsidR="00865BD1" w:rsidRPr="00FE5FBD" w:rsidRDefault="00865BD1" w:rsidP="00B06A9A">
      <w:pPr>
        <w:autoSpaceDE w:val="0"/>
        <w:autoSpaceDN w:val="0"/>
        <w:adjustRightInd w:val="0"/>
        <w:ind w:left="1134" w:hanging="1134"/>
        <w:jc w:val="center"/>
        <w:rPr>
          <w:rFonts w:eastAsia="Times New Roman,Bold" w:cs="Times New Roman,Bold"/>
          <w:b/>
          <w:bCs/>
          <w:sz w:val="20"/>
          <w:szCs w:val="20"/>
        </w:rPr>
      </w:pPr>
      <w:r w:rsidRPr="00FE5FBD">
        <w:rPr>
          <w:rFonts w:eastAsia="Times New Roman,Italic" w:cs="Times New Roman,Italic"/>
          <w:b/>
          <w:iCs/>
          <w:sz w:val="20"/>
          <w:szCs w:val="20"/>
        </w:rPr>
        <w:t xml:space="preserve">Rysunek GM-Q-4.  System podwójnych świateł przeszkodowych średniej intensywności, </w:t>
      </w:r>
      <w:r w:rsidR="00FE5FBD">
        <w:rPr>
          <w:rFonts w:eastAsia="Times New Roman,Italic" w:cs="Times New Roman,Italic"/>
          <w:b/>
          <w:iCs/>
          <w:sz w:val="20"/>
          <w:szCs w:val="20"/>
        </w:rPr>
        <w:br/>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A/</w:t>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B.</w:t>
      </w:r>
    </w:p>
    <w:p w14:paraId="5349B6A5" w14:textId="77777777" w:rsidR="00865BD1" w:rsidRPr="009E064B" w:rsidRDefault="00865BD1" w:rsidP="00B06A9A">
      <w:pPr>
        <w:jc w:val="left"/>
        <w:rPr>
          <w:rFonts w:eastAsia="Times New Roman,Bold" w:cs="Times New Roman,Bold"/>
          <w:b/>
          <w:bCs/>
          <w:szCs w:val="20"/>
        </w:rPr>
      </w:pPr>
      <w:r w:rsidRPr="009E064B">
        <w:rPr>
          <w:rFonts w:eastAsia="Times New Roman,Bold" w:cs="Times New Roman,Bold"/>
          <w:b/>
          <w:bCs/>
          <w:szCs w:val="20"/>
        </w:rPr>
        <w:br w:type="page"/>
      </w:r>
    </w:p>
    <w:p w14:paraId="4DF0B0F5" w14:textId="77777777" w:rsidR="00865BD1" w:rsidRPr="009E064B" w:rsidRDefault="00865BD1" w:rsidP="00B06A9A">
      <w:pPr>
        <w:autoSpaceDE w:val="0"/>
        <w:autoSpaceDN w:val="0"/>
        <w:adjustRightInd w:val="0"/>
        <w:rPr>
          <w:szCs w:val="20"/>
        </w:rPr>
      </w:pPr>
    </w:p>
    <w:p w14:paraId="25C178C1" w14:textId="5603A7D6" w:rsidR="00865BD1" w:rsidRPr="009E064B" w:rsidRDefault="00715BFB" w:rsidP="00715BFB">
      <w:pPr>
        <w:autoSpaceDE w:val="0"/>
        <w:autoSpaceDN w:val="0"/>
        <w:adjustRightInd w:val="0"/>
        <w:jc w:val="center"/>
        <w:rPr>
          <w:b/>
          <w:szCs w:val="20"/>
        </w:rPr>
      </w:pPr>
      <w:r w:rsidRPr="009E064B">
        <w:rPr>
          <w:b/>
          <w:noProof/>
          <w:szCs w:val="20"/>
          <w:lang w:eastAsia="pl-PL"/>
        </w:rPr>
        <w:drawing>
          <wp:inline distT="0" distB="0" distL="0" distR="0" wp14:anchorId="279217D7" wp14:editId="11D290A4">
            <wp:extent cx="5734685" cy="587756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34685" cy="5877560"/>
                    </a:xfrm>
                    <a:prstGeom prst="rect">
                      <a:avLst/>
                    </a:prstGeom>
                    <a:noFill/>
                  </pic:spPr>
                </pic:pic>
              </a:graphicData>
            </a:graphic>
          </wp:inline>
        </w:drawing>
      </w:r>
    </w:p>
    <w:p w14:paraId="2A558247" w14:textId="190B16DF" w:rsidR="00865BD1" w:rsidRPr="009E064B" w:rsidRDefault="00865BD1" w:rsidP="00B06A9A">
      <w:pPr>
        <w:autoSpaceDE w:val="0"/>
        <w:autoSpaceDN w:val="0"/>
        <w:adjustRightInd w:val="0"/>
        <w:ind w:firstLine="567"/>
        <w:rPr>
          <w:rFonts w:eastAsia="Times New Roman,Bold" w:cs="Times New Roman,Bold"/>
          <w:bCs/>
          <w:i/>
          <w:szCs w:val="20"/>
        </w:rPr>
      </w:pPr>
      <w:r w:rsidRPr="009E064B">
        <w:rPr>
          <w:rFonts w:eastAsia="Times New Roman,Bold" w:cs="Times New Roman,Bold"/>
          <w:bCs/>
          <w:i/>
          <w:szCs w:val="20"/>
        </w:rPr>
        <w:t xml:space="preserve">Uwaga. – Światła przeszkodowe wysokiej intensywności zalecane są </w:t>
      </w:r>
      <w:r w:rsidR="009766C9" w:rsidRPr="009E064B">
        <w:rPr>
          <w:rFonts w:eastAsia="Times New Roman,Bold" w:cs="Times New Roman,Bold"/>
          <w:bCs/>
          <w:i/>
          <w:szCs w:val="20"/>
        </w:rPr>
        <w:t xml:space="preserve">do stosowania na konstrukcjach o </w:t>
      </w:r>
      <w:r w:rsidRPr="009E064B">
        <w:rPr>
          <w:rFonts w:eastAsia="Times New Roman,Bold" w:cs="Times New Roman,Bold"/>
          <w:bCs/>
          <w:i/>
          <w:szCs w:val="20"/>
        </w:rPr>
        <w:t>wysokości większej niż 150 m nad poziom terenu. Jeżeli stosuje się światła przeszkodowe średniej intensywności, to wtedy wymagane jest także oznakowanie obiektu.</w:t>
      </w:r>
    </w:p>
    <w:p w14:paraId="2D73A9EC" w14:textId="77777777" w:rsidR="00865BD1" w:rsidRPr="009E064B" w:rsidRDefault="00865BD1" w:rsidP="00B06A9A">
      <w:pPr>
        <w:autoSpaceDE w:val="0"/>
        <w:autoSpaceDN w:val="0"/>
        <w:adjustRightInd w:val="0"/>
        <w:rPr>
          <w:rFonts w:eastAsia="Times New Roman,Bold" w:cs="Times New Roman,Bold"/>
          <w:bCs/>
          <w:szCs w:val="20"/>
        </w:rPr>
      </w:pPr>
    </w:p>
    <w:p w14:paraId="494A8B31" w14:textId="0F0BD7A4" w:rsidR="00865BD1" w:rsidRPr="00FE5FBD" w:rsidRDefault="00865BD1" w:rsidP="00B06A9A">
      <w:pPr>
        <w:autoSpaceDE w:val="0"/>
        <w:autoSpaceDN w:val="0"/>
        <w:adjustRightInd w:val="0"/>
        <w:ind w:left="1134" w:hanging="1134"/>
        <w:jc w:val="center"/>
        <w:rPr>
          <w:rFonts w:eastAsia="Times New Roman,Bold" w:cs="Times New Roman,Bold"/>
          <w:b/>
          <w:bCs/>
          <w:sz w:val="20"/>
          <w:szCs w:val="20"/>
        </w:rPr>
      </w:pPr>
      <w:r w:rsidRPr="00FE5FBD">
        <w:rPr>
          <w:rFonts w:eastAsia="Times New Roman,Italic" w:cs="Times New Roman,Italic"/>
          <w:b/>
          <w:iCs/>
          <w:sz w:val="20"/>
          <w:szCs w:val="20"/>
        </w:rPr>
        <w:t xml:space="preserve">Rysunek GM-Q-5.  System podwójnych świateł przeszkodowych średniej intensywności, </w:t>
      </w:r>
      <w:r w:rsidR="00FE5FBD">
        <w:rPr>
          <w:rFonts w:eastAsia="Times New Roman,Italic" w:cs="Times New Roman,Italic"/>
          <w:b/>
          <w:iCs/>
          <w:sz w:val="20"/>
          <w:szCs w:val="20"/>
        </w:rPr>
        <w:br/>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A/</w:t>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C.</w:t>
      </w:r>
    </w:p>
    <w:p w14:paraId="4BCAA314" w14:textId="77777777" w:rsidR="00865BD1" w:rsidRPr="009E064B" w:rsidRDefault="00865BD1" w:rsidP="00B06A9A">
      <w:pPr>
        <w:autoSpaceDE w:val="0"/>
        <w:autoSpaceDN w:val="0"/>
        <w:adjustRightInd w:val="0"/>
        <w:rPr>
          <w:rFonts w:eastAsia="Times New Roman,Bold" w:cs="Times New Roman,Bold"/>
          <w:bCs/>
          <w:szCs w:val="20"/>
        </w:rPr>
      </w:pPr>
    </w:p>
    <w:p w14:paraId="37DF0CA9" w14:textId="77777777" w:rsidR="00865BD1" w:rsidRPr="009E064B" w:rsidRDefault="00865BD1" w:rsidP="00B06A9A">
      <w:pPr>
        <w:jc w:val="left"/>
        <w:rPr>
          <w:b/>
          <w:szCs w:val="20"/>
        </w:rPr>
      </w:pPr>
      <w:r w:rsidRPr="009E064B">
        <w:rPr>
          <w:b/>
          <w:szCs w:val="20"/>
        </w:rPr>
        <w:br w:type="page"/>
      </w:r>
    </w:p>
    <w:p w14:paraId="02F5736F" w14:textId="77777777" w:rsidR="00865BD1" w:rsidRPr="009E064B" w:rsidRDefault="00865BD1" w:rsidP="00B06A9A">
      <w:pPr>
        <w:autoSpaceDE w:val="0"/>
        <w:autoSpaceDN w:val="0"/>
        <w:adjustRightInd w:val="0"/>
        <w:rPr>
          <w:b/>
          <w:szCs w:val="20"/>
        </w:rPr>
      </w:pPr>
    </w:p>
    <w:p w14:paraId="1D5A1A1B" w14:textId="77777777" w:rsidR="00865BD1" w:rsidRPr="009E064B" w:rsidRDefault="00865BD1" w:rsidP="00B06A9A">
      <w:pPr>
        <w:autoSpaceDE w:val="0"/>
        <w:autoSpaceDN w:val="0"/>
        <w:adjustRightInd w:val="0"/>
        <w:rPr>
          <w:b/>
          <w:szCs w:val="20"/>
        </w:rPr>
      </w:pPr>
      <w:r w:rsidRPr="009E064B">
        <w:rPr>
          <w:b/>
          <w:noProof/>
          <w:szCs w:val="20"/>
          <w:lang w:eastAsia="pl-PL"/>
        </w:rPr>
        <w:drawing>
          <wp:inline distT="0" distB="0" distL="0" distR="0" wp14:anchorId="3B50A15F" wp14:editId="1F4B9946">
            <wp:extent cx="5759450" cy="5557646"/>
            <wp:effectExtent l="19050" t="0" r="0" b="0"/>
            <wp:docPr id="2424" name="Obraz 96" descr="AA6-6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6" descr="AA6-6m"/>
                    <pic:cNvPicPr>
                      <a:picLocks noChangeAspect="1" noChangeArrowheads="1"/>
                    </pic:cNvPicPr>
                  </pic:nvPicPr>
                  <pic:blipFill>
                    <a:blip r:embed="rId233" cstate="print"/>
                    <a:srcRect/>
                    <a:stretch>
                      <a:fillRect/>
                    </a:stretch>
                  </pic:blipFill>
                  <pic:spPr bwMode="auto">
                    <a:xfrm>
                      <a:off x="0" y="0"/>
                      <a:ext cx="5759450" cy="5557646"/>
                    </a:xfrm>
                    <a:prstGeom prst="rect">
                      <a:avLst/>
                    </a:prstGeom>
                    <a:noFill/>
                    <a:ln w="9525">
                      <a:noFill/>
                      <a:miter lim="800000"/>
                      <a:headEnd/>
                      <a:tailEnd/>
                    </a:ln>
                  </pic:spPr>
                </pic:pic>
              </a:graphicData>
            </a:graphic>
          </wp:inline>
        </w:drawing>
      </w:r>
    </w:p>
    <w:p w14:paraId="24A83ACE" w14:textId="77777777" w:rsidR="00865BD1" w:rsidRPr="009E064B" w:rsidRDefault="00865BD1" w:rsidP="00B06A9A">
      <w:pPr>
        <w:autoSpaceDE w:val="0"/>
        <w:autoSpaceDN w:val="0"/>
        <w:adjustRightInd w:val="0"/>
        <w:rPr>
          <w:rFonts w:eastAsia="Times New Roman,Italic" w:cs="Times New Roman,Italic"/>
          <w:iCs/>
          <w:szCs w:val="20"/>
        </w:rPr>
      </w:pPr>
    </w:p>
    <w:p w14:paraId="351E249A" w14:textId="7E1981A4" w:rsidR="00865BD1" w:rsidRPr="00FE5FBD" w:rsidRDefault="00865BD1" w:rsidP="00B06A9A">
      <w:pPr>
        <w:autoSpaceDE w:val="0"/>
        <w:autoSpaceDN w:val="0"/>
        <w:adjustRightInd w:val="0"/>
        <w:ind w:left="1134" w:hanging="1134"/>
        <w:jc w:val="center"/>
        <w:rPr>
          <w:rFonts w:eastAsia="Times New Roman,Italic" w:cs="Times New Roman,Italic"/>
          <w:b/>
          <w:iCs/>
          <w:sz w:val="20"/>
          <w:szCs w:val="20"/>
        </w:rPr>
      </w:pPr>
      <w:r w:rsidRPr="00FE5FBD">
        <w:rPr>
          <w:rFonts w:eastAsia="Times New Roman,Italic" w:cs="Times New Roman,Italic"/>
          <w:b/>
          <w:iCs/>
          <w:sz w:val="20"/>
          <w:szCs w:val="20"/>
        </w:rPr>
        <w:t xml:space="preserve">Rysunek GM-Q-6.  System świateł przeszkodowych </w:t>
      </w:r>
      <w:r w:rsidR="007655D0" w:rsidRPr="00FE5FBD">
        <w:rPr>
          <w:rFonts w:eastAsia="Times New Roman,Italic" w:cs="Times New Roman,Italic"/>
          <w:b/>
          <w:iCs/>
          <w:sz w:val="20"/>
          <w:szCs w:val="20"/>
        </w:rPr>
        <w:t>typ</w:t>
      </w:r>
      <w:r w:rsidRPr="00FE5FBD">
        <w:rPr>
          <w:rFonts w:eastAsia="Times New Roman,Italic" w:cs="Times New Roman,Italic"/>
          <w:b/>
          <w:iCs/>
          <w:sz w:val="20"/>
          <w:szCs w:val="20"/>
        </w:rPr>
        <w:t xml:space="preserve">u A, ze światłem błyskowym </w:t>
      </w:r>
      <w:r w:rsidR="00FE5FBD">
        <w:rPr>
          <w:rFonts w:eastAsia="Times New Roman,Italic" w:cs="Times New Roman,Italic"/>
          <w:b/>
          <w:iCs/>
          <w:sz w:val="20"/>
          <w:szCs w:val="20"/>
        </w:rPr>
        <w:br/>
      </w:r>
      <w:r w:rsidRPr="00FE5FBD">
        <w:rPr>
          <w:rFonts w:eastAsia="Times New Roman,Italic" w:cs="Times New Roman,Italic"/>
          <w:b/>
          <w:iCs/>
          <w:sz w:val="20"/>
          <w:szCs w:val="20"/>
        </w:rPr>
        <w:t>wysokiej intensywności koloru białego.</w:t>
      </w:r>
    </w:p>
    <w:p w14:paraId="606F0036" w14:textId="77777777" w:rsidR="00865BD1" w:rsidRPr="009E064B" w:rsidRDefault="00865BD1"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br w:type="page"/>
      </w:r>
    </w:p>
    <w:p w14:paraId="1D67F069" w14:textId="77777777" w:rsidR="00865BD1" w:rsidRPr="009E064B" w:rsidRDefault="00865BD1" w:rsidP="00B06A9A">
      <w:pPr>
        <w:autoSpaceDE w:val="0"/>
        <w:autoSpaceDN w:val="0"/>
        <w:adjustRightInd w:val="0"/>
        <w:rPr>
          <w:rFonts w:eastAsia="Times New Roman,Bold" w:cs="Times New Roman,Bold"/>
          <w:b/>
          <w:bCs/>
          <w:szCs w:val="20"/>
        </w:rPr>
      </w:pPr>
    </w:p>
    <w:p w14:paraId="377EA8FD" w14:textId="77777777" w:rsidR="00865BD1" w:rsidRPr="009E064B" w:rsidRDefault="00865BD1" w:rsidP="00B06A9A">
      <w:pPr>
        <w:autoSpaceDE w:val="0"/>
        <w:autoSpaceDN w:val="0"/>
        <w:adjustRightInd w:val="0"/>
        <w:rPr>
          <w:rFonts w:eastAsia="Times New Roman,Bold" w:cs="Times New Roman,Bold"/>
          <w:b/>
          <w:bCs/>
          <w:szCs w:val="20"/>
        </w:rPr>
      </w:pPr>
      <w:r w:rsidRPr="009E064B">
        <w:rPr>
          <w:rFonts w:eastAsia="Times New Roman,Bold" w:cs="Times New Roman,Bold"/>
          <w:b/>
          <w:bCs/>
          <w:noProof/>
          <w:szCs w:val="20"/>
          <w:lang w:eastAsia="pl-PL"/>
        </w:rPr>
        <w:drawing>
          <wp:inline distT="0" distB="0" distL="0" distR="0" wp14:anchorId="3243CB27" wp14:editId="6DD55DE6">
            <wp:extent cx="5759450" cy="5567288"/>
            <wp:effectExtent l="19050" t="0" r="0" b="0"/>
            <wp:docPr id="2425" name="Obraz 97" descr="AA6-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7" descr="AA6-7m"/>
                    <pic:cNvPicPr>
                      <a:picLocks noChangeAspect="1" noChangeArrowheads="1"/>
                    </pic:cNvPicPr>
                  </pic:nvPicPr>
                  <pic:blipFill>
                    <a:blip r:embed="rId234" cstate="print"/>
                    <a:srcRect/>
                    <a:stretch>
                      <a:fillRect/>
                    </a:stretch>
                  </pic:blipFill>
                  <pic:spPr bwMode="auto">
                    <a:xfrm>
                      <a:off x="0" y="0"/>
                      <a:ext cx="5759450" cy="5567288"/>
                    </a:xfrm>
                    <a:prstGeom prst="rect">
                      <a:avLst/>
                    </a:prstGeom>
                    <a:noFill/>
                    <a:ln w="9525">
                      <a:noFill/>
                      <a:miter lim="800000"/>
                      <a:headEnd/>
                      <a:tailEnd/>
                    </a:ln>
                  </pic:spPr>
                </pic:pic>
              </a:graphicData>
            </a:graphic>
          </wp:inline>
        </w:drawing>
      </w:r>
    </w:p>
    <w:p w14:paraId="1125B845" w14:textId="77777777" w:rsidR="00865BD1" w:rsidRPr="009E064B" w:rsidRDefault="00865BD1" w:rsidP="00B06A9A">
      <w:pPr>
        <w:autoSpaceDE w:val="0"/>
        <w:autoSpaceDN w:val="0"/>
        <w:adjustRightInd w:val="0"/>
        <w:rPr>
          <w:szCs w:val="20"/>
        </w:rPr>
      </w:pPr>
    </w:p>
    <w:p w14:paraId="6F1AF80B" w14:textId="77777777" w:rsidR="00865BD1" w:rsidRPr="009E064B" w:rsidRDefault="00865BD1" w:rsidP="00B06A9A">
      <w:pPr>
        <w:autoSpaceDE w:val="0"/>
        <w:autoSpaceDN w:val="0"/>
        <w:adjustRightInd w:val="0"/>
        <w:rPr>
          <w:szCs w:val="20"/>
        </w:rPr>
      </w:pPr>
    </w:p>
    <w:p w14:paraId="78AABB0C" w14:textId="5C486B89" w:rsidR="00865BD1" w:rsidRPr="00FE5FBD" w:rsidRDefault="00865BD1" w:rsidP="00B06A9A">
      <w:pPr>
        <w:autoSpaceDE w:val="0"/>
        <w:autoSpaceDN w:val="0"/>
        <w:adjustRightInd w:val="0"/>
        <w:ind w:left="1134" w:hanging="1134"/>
        <w:jc w:val="center"/>
        <w:rPr>
          <w:rFonts w:eastAsia="Times New Roman,Italic" w:cs="Times New Roman,Italic"/>
          <w:b/>
          <w:iCs/>
          <w:sz w:val="20"/>
          <w:szCs w:val="20"/>
        </w:rPr>
      </w:pPr>
      <w:r w:rsidRPr="00FE5FBD">
        <w:rPr>
          <w:rFonts w:eastAsia="Times New Roman,Italic" w:cs="Times New Roman,Italic"/>
          <w:b/>
          <w:iCs/>
          <w:sz w:val="20"/>
          <w:szCs w:val="20"/>
        </w:rPr>
        <w:t>Rysunek GM-Q-7.  System podwójnych świateł przeszkodowych wysokiej/średniej intensywności</w:t>
      </w:r>
      <w:r w:rsidRPr="00FE5FBD">
        <w:rPr>
          <w:rFonts w:eastAsia="Times New Roman,Italic" w:cs="Times New Roman,Italic"/>
          <w:b/>
          <w:iCs/>
          <w:sz w:val="20"/>
          <w:szCs w:val="20"/>
        </w:rPr>
        <w:br/>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xml:space="preserve"> A/</w:t>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xml:space="preserve"> B.</w:t>
      </w:r>
    </w:p>
    <w:p w14:paraId="48D6C1B5" w14:textId="77777777" w:rsidR="00865BD1" w:rsidRPr="009E064B" w:rsidRDefault="00865BD1" w:rsidP="00B06A9A">
      <w:pPr>
        <w:autoSpaceDE w:val="0"/>
        <w:autoSpaceDN w:val="0"/>
        <w:adjustRightInd w:val="0"/>
        <w:rPr>
          <w:szCs w:val="20"/>
        </w:rPr>
      </w:pPr>
      <w:r w:rsidRPr="009E064B">
        <w:rPr>
          <w:szCs w:val="20"/>
        </w:rPr>
        <w:br w:type="page"/>
      </w:r>
    </w:p>
    <w:p w14:paraId="71D20A74" w14:textId="77777777" w:rsidR="00865BD1" w:rsidRPr="009E064B" w:rsidRDefault="00865BD1" w:rsidP="00B06A9A">
      <w:pPr>
        <w:autoSpaceDE w:val="0"/>
        <w:autoSpaceDN w:val="0"/>
        <w:adjustRightInd w:val="0"/>
        <w:rPr>
          <w:rFonts w:eastAsia="Times New Roman,Bold" w:cs="Times New Roman,Bold"/>
          <w:b/>
          <w:bCs/>
          <w:szCs w:val="20"/>
        </w:rPr>
      </w:pPr>
    </w:p>
    <w:p w14:paraId="21E7EBD8" w14:textId="77777777" w:rsidR="00865BD1" w:rsidRPr="009E064B" w:rsidRDefault="00865BD1" w:rsidP="00B06A9A">
      <w:pPr>
        <w:autoSpaceDE w:val="0"/>
        <w:autoSpaceDN w:val="0"/>
        <w:adjustRightInd w:val="0"/>
        <w:rPr>
          <w:rFonts w:eastAsia="Times New Roman,Bold" w:cs="Times New Roman,Bold"/>
          <w:b/>
          <w:bCs/>
          <w:szCs w:val="20"/>
        </w:rPr>
      </w:pPr>
      <w:r w:rsidRPr="009E064B">
        <w:rPr>
          <w:rFonts w:eastAsia="Times New Roman,Bold" w:cs="Times New Roman,Bold"/>
          <w:b/>
          <w:bCs/>
          <w:noProof/>
          <w:szCs w:val="20"/>
          <w:lang w:eastAsia="pl-PL"/>
        </w:rPr>
        <w:drawing>
          <wp:inline distT="0" distB="0" distL="0" distR="0" wp14:anchorId="2D802C61" wp14:editId="29334767">
            <wp:extent cx="5759450" cy="5674102"/>
            <wp:effectExtent l="19050" t="0" r="0" b="0"/>
            <wp:docPr id="2426" name="Obraz 98" descr="AA6-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8" descr="AA6-8m"/>
                    <pic:cNvPicPr>
                      <a:picLocks noChangeAspect="1" noChangeArrowheads="1"/>
                    </pic:cNvPicPr>
                  </pic:nvPicPr>
                  <pic:blipFill>
                    <a:blip r:embed="rId235" cstate="print"/>
                    <a:srcRect/>
                    <a:stretch>
                      <a:fillRect/>
                    </a:stretch>
                  </pic:blipFill>
                  <pic:spPr bwMode="auto">
                    <a:xfrm>
                      <a:off x="0" y="0"/>
                      <a:ext cx="5759450" cy="5674102"/>
                    </a:xfrm>
                    <a:prstGeom prst="rect">
                      <a:avLst/>
                    </a:prstGeom>
                    <a:noFill/>
                    <a:ln w="9525">
                      <a:noFill/>
                      <a:miter lim="800000"/>
                      <a:headEnd/>
                      <a:tailEnd/>
                    </a:ln>
                  </pic:spPr>
                </pic:pic>
              </a:graphicData>
            </a:graphic>
          </wp:inline>
        </w:drawing>
      </w:r>
    </w:p>
    <w:p w14:paraId="594F7FEE" w14:textId="77777777" w:rsidR="00865BD1" w:rsidRPr="009E064B" w:rsidRDefault="00865BD1" w:rsidP="00B06A9A">
      <w:pPr>
        <w:autoSpaceDE w:val="0"/>
        <w:autoSpaceDN w:val="0"/>
        <w:adjustRightInd w:val="0"/>
        <w:rPr>
          <w:rFonts w:eastAsia="Times New Roman,Bold" w:cs="Times New Roman,Bold"/>
          <w:b/>
          <w:bCs/>
          <w:szCs w:val="20"/>
        </w:rPr>
      </w:pPr>
    </w:p>
    <w:p w14:paraId="59EBABB8" w14:textId="77777777" w:rsidR="00865BD1" w:rsidRPr="009E064B" w:rsidRDefault="00865BD1" w:rsidP="00B06A9A">
      <w:pPr>
        <w:autoSpaceDE w:val="0"/>
        <w:autoSpaceDN w:val="0"/>
        <w:adjustRightInd w:val="0"/>
        <w:rPr>
          <w:b/>
          <w:szCs w:val="20"/>
        </w:rPr>
      </w:pPr>
    </w:p>
    <w:p w14:paraId="41279F04" w14:textId="5E5DAB9B" w:rsidR="00865BD1" w:rsidRPr="00FE5FBD" w:rsidRDefault="00865BD1" w:rsidP="00B06A9A">
      <w:pPr>
        <w:autoSpaceDE w:val="0"/>
        <w:autoSpaceDN w:val="0"/>
        <w:adjustRightInd w:val="0"/>
        <w:ind w:left="1134" w:hanging="1134"/>
        <w:jc w:val="center"/>
        <w:rPr>
          <w:rFonts w:eastAsia="Times New Roman,Italic" w:cs="Times New Roman,Italic"/>
          <w:b/>
          <w:iCs/>
          <w:sz w:val="20"/>
          <w:szCs w:val="20"/>
        </w:rPr>
      </w:pPr>
      <w:r w:rsidRPr="00FE5FBD">
        <w:rPr>
          <w:rFonts w:eastAsia="Times New Roman,Italic" w:cs="Times New Roman,Italic"/>
          <w:b/>
          <w:iCs/>
          <w:sz w:val="20"/>
          <w:szCs w:val="20"/>
        </w:rPr>
        <w:t xml:space="preserve">Rysunek GM-Q-8.  System podwójnych świateł przeszkodowych wysokiej/średniej intensywności, </w:t>
      </w:r>
      <w:r w:rsidR="00003210" w:rsidRPr="00FE5FBD">
        <w:rPr>
          <w:rFonts w:eastAsia="Times New Roman,Italic" w:cs="Times New Roman,Italic"/>
          <w:b/>
          <w:iCs/>
          <w:sz w:val="20"/>
          <w:szCs w:val="20"/>
        </w:rPr>
        <w:br/>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xml:space="preserve"> A</w:t>
      </w:r>
      <w:r w:rsidR="00003210" w:rsidRPr="00FE5FBD">
        <w:rPr>
          <w:rFonts w:eastAsia="Times New Roman,Italic" w:cs="Times New Roman,Italic"/>
          <w:b/>
          <w:iCs/>
          <w:sz w:val="20"/>
          <w:szCs w:val="20"/>
        </w:rPr>
        <w:t> </w:t>
      </w:r>
      <w:r w:rsidRPr="00FE5FBD">
        <w:rPr>
          <w:rFonts w:eastAsia="Times New Roman,Italic" w:cs="Times New Roman,Italic"/>
          <w:b/>
          <w:iCs/>
          <w:sz w:val="20"/>
          <w:szCs w:val="20"/>
        </w:rPr>
        <w:t>/</w:t>
      </w:r>
      <w:r w:rsidR="00003210" w:rsidRPr="00FE5FBD">
        <w:rPr>
          <w:rFonts w:eastAsia="Times New Roman,Italic" w:cs="Times New Roman,Italic"/>
          <w:b/>
          <w:iCs/>
          <w:sz w:val="20"/>
          <w:szCs w:val="20"/>
        </w:rPr>
        <w:t> </w:t>
      </w:r>
      <w:r w:rsidR="004016A7" w:rsidRPr="00FE5FBD">
        <w:rPr>
          <w:rFonts w:eastAsia="Times New Roman,Italic" w:cs="Times New Roman,Italic"/>
          <w:b/>
          <w:iCs/>
          <w:sz w:val="20"/>
          <w:szCs w:val="20"/>
        </w:rPr>
        <w:t>typu</w:t>
      </w:r>
      <w:r w:rsidRPr="00FE5FBD">
        <w:rPr>
          <w:rFonts w:eastAsia="Times New Roman,Italic" w:cs="Times New Roman,Italic"/>
          <w:b/>
          <w:iCs/>
          <w:sz w:val="20"/>
          <w:szCs w:val="20"/>
        </w:rPr>
        <w:t xml:space="preserve"> C.</w:t>
      </w:r>
    </w:p>
    <w:p w14:paraId="280C28E2" w14:textId="77777777" w:rsidR="00865BD1" w:rsidRPr="009E064B" w:rsidRDefault="00865BD1" w:rsidP="00B06A9A">
      <w:pPr>
        <w:rPr>
          <w:szCs w:val="20"/>
        </w:rPr>
      </w:pPr>
    </w:p>
    <w:p w14:paraId="75892410" w14:textId="2E3A75B5" w:rsidR="00865BD1" w:rsidRPr="009E064B" w:rsidRDefault="00865BD1" w:rsidP="00B06A9A">
      <w:pPr>
        <w:rPr>
          <w:szCs w:val="20"/>
        </w:rPr>
      </w:pPr>
      <w:r w:rsidRPr="009E064B">
        <w:rPr>
          <w:szCs w:val="20"/>
        </w:rPr>
        <w:t xml:space="preserve">W przypadkach określonych w </w:t>
      </w:r>
      <w:hyperlink w:anchor="_CS_ADR-DSN.Q.848_" w:history="1">
        <w:r w:rsidRPr="009E064B">
          <w:rPr>
            <w:rStyle w:val="Hipercze"/>
            <w:szCs w:val="20"/>
          </w:rPr>
          <w:t>CS ADR-DSN.Q.848</w:t>
        </w:r>
      </w:hyperlink>
      <w:r w:rsidR="00787943" w:rsidRPr="009E064B">
        <w:rPr>
          <w:szCs w:val="20"/>
        </w:rPr>
        <w:t xml:space="preserve"> lit. </w:t>
      </w:r>
      <w:r w:rsidRPr="009E064B">
        <w:rPr>
          <w:szCs w:val="20"/>
        </w:rPr>
        <w:t>(c) i (d), ods</w:t>
      </w:r>
      <w:r w:rsidR="00787943" w:rsidRPr="009E064B">
        <w:rPr>
          <w:szCs w:val="20"/>
        </w:rPr>
        <w:t>tępy zwykle nie przekraczają 52 </w:t>
      </w:r>
      <w:r w:rsidRPr="009E064B">
        <w:rPr>
          <w:szCs w:val="20"/>
        </w:rPr>
        <w:t>m.</w:t>
      </w:r>
    </w:p>
    <w:p w14:paraId="29398255"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E49CEEC" w14:textId="4E92FA07" w:rsidR="00F73C24" w:rsidRPr="009E064B" w:rsidRDefault="00F73C24">
      <w:pPr>
        <w:spacing w:after="0"/>
        <w:jc w:val="left"/>
        <w:rPr>
          <w:rFonts w:eastAsia="Times New Roman,Italic" w:cs="Times New Roman,Italic"/>
          <w:iCs/>
          <w:szCs w:val="20"/>
        </w:rPr>
      </w:pPr>
      <w:r w:rsidRPr="009E064B">
        <w:rPr>
          <w:rFonts w:eastAsia="Times New Roman,Italic" w:cs="Times New Roman,Italic"/>
          <w:iCs/>
          <w:szCs w:val="20"/>
        </w:rPr>
        <w:br w:type="page"/>
      </w:r>
    </w:p>
    <w:p w14:paraId="1093F79F" w14:textId="5993380A" w:rsidR="00C36D76" w:rsidRPr="009E064B" w:rsidRDefault="008B787C" w:rsidP="008B787C">
      <w:pPr>
        <w:pStyle w:val="Nagwek4"/>
        <w:tabs>
          <w:tab w:val="clear" w:pos="2694"/>
          <w:tab w:val="left" w:pos="2552"/>
        </w:tabs>
        <w:ind w:left="2552" w:hanging="2552"/>
        <w:rPr>
          <w:color w:val="auto"/>
        </w:rPr>
      </w:pPr>
      <w:bookmarkStart w:id="1741" w:name="_Toc482886721"/>
      <w:bookmarkStart w:id="1742" w:name="_Toc12533280"/>
      <w:r w:rsidRPr="009E064B">
        <w:rPr>
          <w:color w:val="auto"/>
        </w:rPr>
        <w:t xml:space="preserve">CS ADR-DSN.Q.847     </w:t>
      </w:r>
      <w:r w:rsidR="00C36D76" w:rsidRPr="009E064B">
        <w:rPr>
          <w:color w:val="auto"/>
        </w:rPr>
        <w:t>Oświetlenie obiektów stałych o</w:t>
      </w:r>
      <w:r w:rsidR="00C36D76" w:rsidRPr="009E064B">
        <w:rPr>
          <w:rFonts w:cs="Times New Roman"/>
          <w:iCs/>
          <w:color w:val="auto"/>
          <w:sz w:val="22"/>
          <w:lang w:eastAsia="pl-PL"/>
        </w:rPr>
        <w:t xml:space="preserve"> </w:t>
      </w:r>
      <w:r w:rsidR="00C36D76" w:rsidRPr="009E064B">
        <w:rPr>
          <w:iCs/>
          <w:color w:val="auto"/>
        </w:rPr>
        <w:t>wysokości mniejszej niż 45 m nad poziomem ziemi</w:t>
      </w:r>
      <w:bookmarkEnd w:id="1741"/>
      <w:bookmarkEnd w:id="1742"/>
    </w:p>
    <w:p w14:paraId="237C7F61" w14:textId="7104118A" w:rsidR="008B787C" w:rsidRPr="009E064B" w:rsidRDefault="00D63D4F" w:rsidP="008B787C">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78F57F8" w14:textId="26B86130"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(a)</w:t>
      </w:r>
      <w:r w:rsidRPr="009E064B">
        <w:rPr>
          <w:rFonts w:eastAsia="Times New Roman,Italic" w:cs="Times New Roman,Italic"/>
          <w:iCs/>
          <w:szCs w:val="20"/>
        </w:rPr>
        <w:tab/>
        <w:t xml:space="preserve">Światła przeszkodowe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lub B, powi</w:t>
      </w:r>
      <w:r w:rsidR="00E042B7" w:rsidRPr="009E064B">
        <w:rPr>
          <w:rFonts w:eastAsia="Times New Roman,Italic" w:cs="Times New Roman,Italic"/>
          <w:iCs/>
          <w:szCs w:val="20"/>
        </w:rPr>
        <w:t>nny być stosowane w </w:t>
      </w:r>
      <w:r w:rsidRPr="009E064B">
        <w:rPr>
          <w:rFonts w:eastAsia="Times New Roman,Italic" w:cs="Times New Roman,Italic"/>
          <w:iCs/>
          <w:szCs w:val="20"/>
        </w:rPr>
        <w:t>przypadku obiektów niezbyt rozległych oraz o wysokości mniejszej niż 45 m ponad poziom otaczającego terenu.</w:t>
      </w:r>
    </w:p>
    <w:p w14:paraId="712E8A53" w14:textId="32A629BF"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(b) </w:t>
      </w:r>
      <w:r w:rsidRPr="009E064B">
        <w:rPr>
          <w:rFonts w:eastAsia="Times New Roman,Italic" w:cs="Times New Roman,Italic"/>
          <w:iCs/>
          <w:szCs w:val="20"/>
        </w:rPr>
        <w:tab/>
        <w:t xml:space="preserve">W przypadku, gdy użycie świateł przeszkodowych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lub B może się okazać niewystarczające lub istnieje konieczność specjalnego wcześniejszego ostrzeżenia, powinno się stosować światła przeszkodowe średniej lub wysokiej intensywności.</w:t>
      </w:r>
    </w:p>
    <w:p w14:paraId="217D8C10" w14:textId="5406ED33"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(c) </w:t>
      </w:r>
      <w:r w:rsidRPr="009E064B">
        <w:rPr>
          <w:rFonts w:eastAsia="Times New Roman,Italic" w:cs="Times New Roman,Italic"/>
          <w:iCs/>
          <w:szCs w:val="20"/>
        </w:rPr>
        <w:tab/>
        <w:t xml:space="preserve">Światła przeszkodowe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B, powinny być używane albo same, albo w połączeniu ze światłami przeszkodowymi średniej </w:t>
      </w:r>
      <w:r w:rsidR="00E042B7" w:rsidRPr="009E064B">
        <w:rPr>
          <w:rFonts w:eastAsia="Times New Roman,Italic" w:cs="Times New Roman,Italic"/>
          <w:iCs/>
          <w:szCs w:val="20"/>
        </w:rPr>
        <w:t xml:space="preserve">intensywności </w:t>
      </w:r>
      <w:r w:rsidR="007655D0" w:rsidRPr="009E064B">
        <w:rPr>
          <w:rFonts w:eastAsia="Times New Roman,Italic" w:cs="Times New Roman,Italic"/>
          <w:iCs/>
          <w:szCs w:val="20"/>
        </w:rPr>
        <w:t>typ</w:t>
      </w:r>
      <w:r w:rsidR="00E042B7" w:rsidRPr="009E064B">
        <w:rPr>
          <w:rFonts w:eastAsia="Times New Roman,Italic" w:cs="Times New Roman,Italic"/>
          <w:iCs/>
          <w:szCs w:val="20"/>
        </w:rPr>
        <w:t>u B, zgodnie z </w:t>
      </w:r>
      <w:r w:rsidR="00AA1B59" w:rsidRPr="009E064B">
        <w:rPr>
          <w:rFonts w:eastAsia="Times New Roman,Italic" w:cs="Times New Roman,Italic"/>
          <w:iCs/>
          <w:szCs w:val="20"/>
        </w:rPr>
        <w:t>lit. </w:t>
      </w:r>
      <w:r w:rsidRPr="009E064B">
        <w:rPr>
          <w:rFonts w:eastAsia="Times New Roman,Italic" w:cs="Times New Roman,Italic"/>
          <w:iCs/>
          <w:szCs w:val="20"/>
        </w:rPr>
        <w:t>(d) poniżej.</w:t>
      </w:r>
    </w:p>
    <w:p w14:paraId="687309AB" w14:textId="3A19011E"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 (d)</w:t>
      </w:r>
      <w:r w:rsidRPr="009E064B">
        <w:rPr>
          <w:rFonts w:eastAsia="Times New Roman,Italic" w:cs="Times New Roman,Italic"/>
          <w:iCs/>
          <w:szCs w:val="20"/>
        </w:rPr>
        <w:tab/>
        <w:t xml:space="preserve">Światła przeszkodowe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w:t>
      </w:r>
      <w:r w:rsidR="00E042B7" w:rsidRPr="009E064B">
        <w:rPr>
          <w:rFonts w:eastAsia="Times New Roman,Italic" w:cs="Times New Roman,Italic"/>
          <w:iCs/>
          <w:szCs w:val="20"/>
        </w:rPr>
        <w:t>B lub C powinny być stosowane w </w:t>
      </w:r>
      <w:r w:rsidRPr="009E064B">
        <w:rPr>
          <w:rFonts w:eastAsia="Times New Roman,Italic" w:cs="Times New Roman,Italic"/>
          <w:iCs/>
          <w:szCs w:val="20"/>
        </w:rPr>
        <w:t xml:space="preserve">przypadku gdy obiekt jest rozległy. Światła przeszkodowe średniej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A i </w:t>
      </w:r>
      <w:r w:rsidRPr="009E064B">
        <w:rPr>
          <w:rFonts w:eastAsia="Times New Roman,Italic" w:cs="Times New Roman,Italic"/>
          <w:iCs/>
          <w:szCs w:val="20"/>
        </w:rPr>
        <w:t xml:space="preserve">C, powinny być stosowane same, zaś światła przeszkodowe średniej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w:t>
      </w:r>
      <w:r w:rsidRPr="009E064B">
        <w:rPr>
          <w:rFonts w:eastAsia="Times New Roman,Italic" w:cs="Times New Roman,Italic"/>
          <w:iCs/>
          <w:szCs w:val="20"/>
        </w:rPr>
        <w:t xml:space="preserve">B powinny być stosowane albo same albo w połączeniu ze światłami przeszkodowymi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u B.</w:t>
      </w:r>
    </w:p>
    <w:p w14:paraId="2046C661"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635483C" w14:textId="7DBC9C59" w:rsidR="00865BD1" w:rsidRPr="009E064B" w:rsidRDefault="00F73C24" w:rsidP="00133B99">
      <w:pPr>
        <w:pStyle w:val="Nagwek6"/>
      </w:pPr>
      <w:bookmarkStart w:id="1743" w:name="_Toc482886945"/>
      <w:bookmarkStart w:id="1744" w:name="_Toc12533281"/>
      <w:r w:rsidRPr="009E064B">
        <w:t xml:space="preserve">GM1 ADR-DSN.Q.847     </w:t>
      </w:r>
      <w:r w:rsidR="00865BD1" w:rsidRPr="009E064B">
        <w:t>Oświetlenie obiektów stałych o w</w:t>
      </w:r>
      <w:r w:rsidRPr="009E064B">
        <w:t xml:space="preserve">ysokości mniejszej niż 45 m </w:t>
      </w:r>
      <w:r w:rsidR="001474BD">
        <w:br/>
        <w:t xml:space="preserve">   </w:t>
      </w:r>
      <w:r w:rsidRPr="009E064B">
        <w:t>nad </w:t>
      </w:r>
      <w:r w:rsidR="00865BD1" w:rsidRPr="009E064B">
        <w:t>poziomem ziemi</w:t>
      </w:r>
      <w:bookmarkEnd w:id="1743"/>
      <w:bookmarkEnd w:id="1744"/>
    </w:p>
    <w:p w14:paraId="4BFC2617" w14:textId="722FDF79"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5210D32" w14:textId="225E3F29" w:rsidR="00865BD1" w:rsidRPr="009E064B" w:rsidRDefault="00865BD1" w:rsidP="00B06A9A">
      <w:r w:rsidRPr="009E064B">
        <w:t>Zespół budynków jest uznawany jako obiekt rozległy.</w:t>
      </w:r>
    </w:p>
    <w:p w14:paraId="70042A7A"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4BD9D61" w14:textId="5C4F6B2E" w:rsidR="00C36D76" w:rsidRPr="009E064B" w:rsidRDefault="00F73C24" w:rsidP="00F73C24">
      <w:pPr>
        <w:pStyle w:val="Nagwek4"/>
        <w:tabs>
          <w:tab w:val="clear" w:pos="2694"/>
          <w:tab w:val="left" w:pos="2552"/>
        </w:tabs>
        <w:ind w:left="2552" w:hanging="2552"/>
        <w:rPr>
          <w:color w:val="auto"/>
        </w:rPr>
      </w:pPr>
      <w:bookmarkStart w:id="1745" w:name="_CS_ADR-DSN.Q.848_"/>
      <w:bookmarkStart w:id="1746" w:name="_Toc482886722"/>
      <w:bookmarkStart w:id="1747" w:name="_Toc12533282"/>
      <w:bookmarkEnd w:id="1745"/>
      <w:r w:rsidRPr="009E064B">
        <w:rPr>
          <w:color w:val="auto"/>
        </w:rPr>
        <w:t xml:space="preserve">CS ADR-DSN.Q.848     </w:t>
      </w:r>
      <w:r w:rsidR="00C36D76" w:rsidRPr="009E064B">
        <w:rPr>
          <w:color w:val="auto"/>
        </w:rPr>
        <w:t>Oświetlenie obiektów stałych o wysokości</w:t>
      </w:r>
      <w:r w:rsidR="009766C9" w:rsidRPr="009E064B">
        <w:rPr>
          <w:color w:val="auto"/>
        </w:rPr>
        <w:t xml:space="preserve"> od 45 m do </w:t>
      </w:r>
      <w:r w:rsidR="00C36D76" w:rsidRPr="009E064B">
        <w:rPr>
          <w:color w:val="auto"/>
        </w:rPr>
        <w:t>150 m nad poziomem ziemi</w:t>
      </w:r>
      <w:bookmarkEnd w:id="1746"/>
      <w:bookmarkEnd w:id="1747"/>
    </w:p>
    <w:p w14:paraId="6CEFC4CE" w14:textId="173B9FBD"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94B54B4" w14:textId="70B47752"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 xml:space="preserve">Światła przeszkodowe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w:t>
      </w:r>
      <w:r w:rsidR="00E042B7" w:rsidRPr="009E064B">
        <w:rPr>
          <w:rFonts w:eastAsia="Times New Roman,Italic" w:cs="Times New Roman,Italic"/>
          <w:iCs/>
          <w:szCs w:val="20"/>
        </w:rPr>
        <w:t>B lub C powinny być stosowane w </w:t>
      </w:r>
      <w:r w:rsidRPr="009E064B">
        <w:rPr>
          <w:rFonts w:eastAsia="Times New Roman,Italic" w:cs="Times New Roman,Italic"/>
          <w:iCs/>
          <w:szCs w:val="20"/>
        </w:rPr>
        <w:t xml:space="preserve">przypadku obiektów rozległych. Światła przeszkodowe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i C, powinny być stosowane same, zaś światła przeszkodowe średniej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w:t>
      </w:r>
      <w:r w:rsidRPr="009E064B">
        <w:rPr>
          <w:rFonts w:eastAsia="Times New Roman,Italic" w:cs="Times New Roman,Italic"/>
          <w:iCs/>
          <w:szCs w:val="20"/>
        </w:rPr>
        <w:t xml:space="preserve">B powinny być stosowane albo same albo w połączeniu ze światłami przeszkodowymi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u B.</w:t>
      </w:r>
    </w:p>
    <w:p w14:paraId="79FD3549" w14:textId="28E8F72F"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 xml:space="preserve">W przypadku obiektu oznaczonego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którego wierzchołek znajduje się na wysokości większej niż 105 m powyżej otaczającego terenu lub wysokości wierzchołków pobliskich budynków (gdy obiekt podlegający oznakowaniu jest otoczony budynkami), to wtedy należy zapewnić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105 m.</w:t>
      </w:r>
    </w:p>
    <w:p w14:paraId="01F21EB2" w14:textId="24ADFC03"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(c)</w:t>
      </w:r>
      <w:r w:rsidRPr="009E064B">
        <w:rPr>
          <w:rFonts w:eastAsia="Times New Roman,Italic" w:cs="Times New Roman,Italic"/>
          <w:iCs/>
          <w:szCs w:val="20"/>
        </w:rPr>
        <w:tab/>
        <w:t xml:space="preserve">W przypadku obiektu oznaczonego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B, którego wierzchołek znajduje się na wysokości większej niż 45 m powyżej otaczającego terenu lub wysokości wierzchołków pobliskich budynków (gdy obiekt podlegający oznakowaniu jest otoczony budynkami), to wtedy należy zapewnić dodatkowe światła na poziomach pośrednich. Dodatkowe światła pośrednie powinny być na przemian światłami przeszkodowymi niskiej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B oraz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B, i powinny być rozmieszczone możliwie równomiernie między światłami wierzchołka, a poziomem terenu lub poziomem wierzchołków budynków sąsiednich, przy czym odstępy między tymi światłami nie mogą przekraczać 52 m.</w:t>
      </w:r>
    </w:p>
    <w:p w14:paraId="409038CE" w14:textId="73EA58E7"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(d)</w:t>
      </w:r>
      <w:r w:rsidRPr="009E064B">
        <w:rPr>
          <w:rFonts w:eastAsia="Times New Roman,Italic" w:cs="Times New Roman,Italic"/>
          <w:iCs/>
          <w:szCs w:val="20"/>
        </w:rPr>
        <w:tab/>
        <w:t xml:space="preserve">W przypadku obiektu oznaczonego światłami przeszkodowymi średniej intensywności </w:t>
      </w:r>
      <w:r w:rsidR="007655D0" w:rsidRPr="009E064B">
        <w:rPr>
          <w:rFonts w:eastAsia="Times New Roman,Italic" w:cs="Times New Roman,Italic"/>
          <w:iCs/>
          <w:szCs w:val="20"/>
        </w:rPr>
        <w:t>typ</w:t>
      </w:r>
      <w:r w:rsidRPr="009E064B">
        <w:rPr>
          <w:rFonts w:eastAsia="Times New Roman,Italic" w:cs="Times New Roman,Italic"/>
          <w:iCs/>
          <w:szCs w:val="20"/>
        </w:rPr>
        <w:t>u C, którego wierzchołek znajduje się na wysokości większej niż 45 m powyżej otaczającego terenu lub wysokości wierzchołków pobliskich budynków (gdy obiekt podlegający oznakowaniu jest otoczony budynkami), to wtedy należy zapewnić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52 m.</w:t>
      </w:r>
    </w:p>
    <w:p w14:paraId="77DFFBC5" w14:textId="2FE920D1"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(e)</w:t>
      </w:r>
      <w:r w:rsidRPr="009E064B">
        <w:rPr>
          <w:rFonts w:eastAsia="Times New Roman,Italic" w:cs="Times New Roman,Italic"/>
          <w:iCs/>
          <w:szCs w:val="20"/>
        </w:rPr>
        <w:tab/>
        <w:t xml:space="preserve">W przypadku stosowania świateł przeszkodowych wysokiej intensywności </w:t>
      </w:r>
      <w:r w:rsidR="007655D0" w:rsidRPr="009E064B">
        <w:rPr>
          <w:rFonts w:eastAsia="Times New Roman,Italic" w:cs="Times New Roman,Italic"/>
          <w:iCs/>
          <w:szCs w:val="20"/>
        </w:rPr>
        <w:t>typ</w:t>
      </w:r>
      <w:r w:rsidRPr="009E064B">
        <w:rPr>
          <w:rFonts w:eastAsia="Times New Roman,Italic" w:cs="Times New Roman,Italic"/>
          <w:iCs/>
          <w:szCs w:val="20"/>
        </w:rPr>
        <w:t xml:space="preserve">u A, powinny być one równomiernie rozmieszczone w jednakowych odstępach nieprzekraczających </w:t>
      </w:r>
      <w:r w:rsidR="00787943" w:rsidRPr="009E064B">
        <w:rPr>
          <w:rFonts w:eastAsia="Times New Roman,Italic" w:cs="Times New Roman,Italic"/>
          <w:iCs/>
          <w:szCs w:val="20"/>
        </w:rPr>
        <w:t>105 </w:t>
      </w:r>
      <w:r w:rsidRPr="009E064B">
        <w:rPr>
          <w:rFonts w:eastAsia="Times New Roman,Italic" w:cs="Times New Roman,Italic"/>
          <w:iCs/>
          <w:szCs w:val="20"/>
        </w:rPr>
        <w:t>m pomiędzy poziomem terenu a światła</w:t>
      </w:r>
      <w:r w:rsidR="00787943" w:rsidRPr="009E064B">
        <w:rPr>
          <w:rFonts w:eastAsia="Times New Roman,Italic" w:cs="Times New Roman,Italic"/>
          <w:iCs/>
          <w:szCs w:val="20"/>
        </w:rPr>
        <w:t xml:space="preserve">mi wierzchołka określonych w </w:t>
      </w:r>
      <w:hyperlink w:anchor="_CS_ADR-DSN.Q.846_" w:history="1">
        <w:r w:rsidR="00787943"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ADR-DSN.Q.846</w:t>
        </w:r>
      </w:hyperlink>
      <w:r w:rsidR="00787943" w:rsidRPr="009E064B">
        <w:rPr>
          <w:rFonts w:eastAsia="Times New Roman,Italic" w:cs="Times New Roman,Italic"/>
          <w:iCs/>
          <w:szCs w:val="20"/>
        </w:rPr>
        <w:t xml:space="preserve"> lit. </w:t>
      </w:r>
      <w:r w:rsidRPr="009E064B">
        <w:rPr>
          <w:rFonts w:eastAsia="Times New Roman,Italic" w:cs="Times New Roman,Italic"/>
          <w:iCs/>
          <w:szCs w:val="20"/>
        </w:rPr>
        <w:t>(d), z</w:t>
      </w:r>
      <w:r w:rsidR="00E55D9B" w:rsidRPr="009E064B">
        <w:rPr>
          <w:rFonts w:eastAsia="Times New Roman,Italic" w:cs="Times New Roman,Italic"/>
          <w:iCs/>
          <w:szCs w:val="20"/>
        </w:rPr>
        <w:t> </w:t>
      </w:r>
      <w:r w:rsidRPr="009E064B">
        <w:rPr>
          <w:rFonts w:eastAsia="Times New Roman,Italic" w:cs="Times New Roman,Italic"/>
          <w:iCs/>
          <w:szCs w:val="20"/>
        </w:rPr>
        <w:t>wyjątkiem, gdy obiekt podlegający oznakowaniu jest otoczony budynkami, wówczas górny poziom budynków może być uznany za poziom terenu w celu określenia ilości poziomów świateł.</w:t>
      </w:r>
    </w:p>
    <w:p w14:paraId="66CAA99A"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7D96EA9" w14:textId="44D23E87" w:rsidR="00865BD1" w:rsidRPr="009E064B" w:rsidRDefault="00F73C24" w:rsidP="00133B99">
      <w:pPr>
        <w:pStyle w:val="Nagwek6"/>
      </w:pPr>
      <w:bookmarkStart w:id="1748" w:name="_Toc482886946"/>
      <w:bookmarkStart w:id="1749" w:name="_Toc12533283"/>
      <w:r w:rsidRPr="009E064B">
        <w:t xml:space="preserve">GM1 ADR-DSN.Q.848     </w:t>
      </w:r>
      <w:r w:rsidR="00865BD1" w:rsidRPr="009E064B">
        <w:t>Oświetlenie obiektów stałych o</w:t>
      </w:r>
      <w:r w:rsidRPr="009E064B">
        <w:t xml:space="preserve"> wysokości od 45 m do 150 m nad </w:t>
      </w:r>
      <w:r w:rsidR="00865BD1" w:rsidRPr="009E064B">
        <w:t>poziomem ziemi</w:t>
      </w:r>
      <w:bookmarkEnd w:id="1748"/>
      <w:bookmarkEnd w:id="1749"/>
    </w:p>
    <w:p w14:paraId="3AA98F01" w14:textId="3364468C"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B770A95" w14:textId="29EB8D98" w:rsidR="00865BD1" w:rsidRPr="009E064B" w:rsidRDefault="00865BD1" w:rsidP="00B06A9A">
      <w:r w:rsidRPr="009E064B">
        <w:t>Światła przeszkodowe niskiej intensywności typu A i B, mogą być stosowane do przeszkód większych niż 45 m, jeżeli uznano, że jest to wystarczające.</w:t>
      </w:r>
    </w:p>
    <w:p w14:paraId="60DDD104"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C906E48" w14:textId="7585A483" w:rsidR="00C36D76" w:rsidRPr="009E064B" w:rsidRDefault="00F73C24" w:rsidP="00F73C24">
      <w:pPr>
        <w:pStyle w:val="Nagwek4"/>
        <w:tabs>
          <w:tab w:val="clear" w:pos="2694"/>
          <w:tab w:val="left" w:pos="2977"/>
        </w:tabs>
        <w:ind w:left="2552" w:hanging="2552"/>
        <w:rPr>
          <w:color w:val="auto"/>
        </w:rPr>
      </w:pPr>
      <w:bookmarkStart w:id="1750" w:name="_Toc482886723"/>
      <w:bookmarkStart w:id="1751" w:name="_Toc12533284"/>
      <w:r w:rsidRPr="009E064B">
        <w:rPr>
          <w:color w:val="auto"/>
        </w:rPr>
        <w:t xml:space="preserve">CS ADR-DSN.Q.849     </w:t>
      </w:r>
      <w:r w:rsidR="00C36D76" w:rsidRPr="009E064B">
        <w:rPr>
          <w:color w:val="auto"/>
        </w:rPr>
        <w:t>Oświetlenie obiek</w:t>
      </w:r>
      <w:r w:rsidR="009766C9" w:rsidRPr="009E064B">
        <w:rPr>
          <w:color w:val="auto"/>
        </w:rPr>
        <w:t>tów stałych o wysokości 150 m i </w:t>
      </w:r>
      <w:r w:rsidR="00C36D76" w:rsidRPr="009E064B">
        <w:rPr>
          <w:color w:val="auto"/>
        </w:rPr>
        <w:t>więcej nad</w:t>
      </w:r>
      <w:r w:rsidRPr="009E064B">
        <w:rPr>
          <w:color w:val="auto"/>
        </w:rPr>
        <w:t> </w:t>
      </w:r>
      <w:r w:rsidR="00C36D76" w:rsidRPr="009E064B">
        <w:rPr>
          <w:color w:val="auto"/>
        </w:rPr>
        <w:t>poziomem ziemi</w:t>
      </w:r>
      <w:bookmarkEnd w:id="1750"/>
      <w:bookmarkEnd w:id="1751"/>
    </w:p>
    <w:p w14:paraId="326F535A" w14:textId="44AA8E5D"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BE3A756" w14:textId="6C336853"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(a)</w:t>
      </w:r>
      <w:r w:rsidRPr="009E064B">
        <w:rPr>
          <w:rFonts w:eastAsia="Times New Roman,Italic" w:cs="Times New Roman,Italic"/>
          <w:iCs/>
          <w:szCs w:val="20"/>
        </w:rPr>
        <w:tab/>
        <w:t xml:space="preserve">Światła przeszkodowe wysokiej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w:t>
      </w:r>
      <w:r w:rsidRPr="009E064B">
        <w:rPr>
          <w:rFonts w:eastAsia="Times New Roman,Italic" w:cs="Times New Roman,Italic"/>
          <w:iCs/>
          <w:szCs w:val="20"/>
        </w:rPr>
        <w:t>A, powinny być stosowane w celu oznaczenia obecności obiektu, jeśli jego wysokość przekracza 150</w:t>
      </w:r>
      <w:r w:rsidR="00AA1B59" w:rsidRPr="009E064B">
        <w:rPr>
          <w:rFonts w:eastAsia="Times New Roman,Italic" w:cs="Times New Roman,Italic"/>
          <w:iCs/>
          <w:szCs w:val="20"/>
        </w:rPr>
        <w:t> </w:t>
      </w:r>
      <w:r w:rsidRPr="009E064B">
        <w:rPr>
          <w:rFonts w:eastAsia="Times New Roman,Italic" w:cs="Times New Roman,Italic"/>
          <w:iCs/>
          <w:szCs w:val="20"/>
        </w:rPr>
        <w:t>m nad</w:t>
      </w:r>
      <w:r w:rsidR="00F73C24" w:rsidRPr="009E064B">
        <w:rPr>
          <w:rFonts w:eastAsia="Times New Roman,Italic" w:cs="Times New Roman,Italic"/>
          <w:iCs/>
          <w:szCs w:val="20"/>
        </w:rPr>
        <w:t xml:space="preserve"> poziomem otaczającego terenu a </w:t>
      </w:r>
      <w:r w:rsidRPr="009E064B">
        <w:rPr>
          <w:rFonts w:eastAsia="Times New Roman,Italic" w:cs="Times New Roman,Italic"/>
          <w:iCs/>
          <w:szCs w:val="20"/>
        </w:rPr>
        <w:t>ocena bezpieczeństwa wskazuje, że zastosowanie takich świateł ma istotne znaczenie dla rozpoznawania danego obiektu w dzień.</w:t>
      </w:r>
    </w:p>
    <w:p w14:paraId="3797464A" w14:textId="57239248"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 xml:space="preserve">W przypadku stosowania świateł przeszkodowych wysokiej intensywności </w:t>
      </w:r>
      <w:r w:rsidR="007655D0" w:rsidRPr="009E064B">
        <w:rPr>
          <w:rFonts w:eastAsia="Times New Roman,Italic" w:cs="Times New Roman,Italic"/>
          <w:iCs/>
          <w:szCs w:val="20"/>
        </w:rPr>
        <w:t>typ</w:t>
      </w:r>
      <w:r w:rsidRPr="009E064B">
        <w:rPr>
          <w:rFonts w:eastAsia="Times New Roman,Italic" w:cs="Times New Roman,Italic"/>
          <w:iCs/>
          <w:szCs w:val="20"/>
        </w:rPr>
        <w:t>u A, powinny być one równomiernie rozmieszczone w jednakowych od</w:t>
      </w:r>
      <w:r w:rsidR="00AA1B59" w:rsidRPr="009E064B">
        <w:rPr>
          <w:rFonts w:eastAsia="Times New Roman,Italic" w:cs="Times New Roman,Italic"/>
          <w:iCs/>
          <w:szCs w:val="20"/>
        </w:rPr>
        <w:t>stępach nieprzekraczających 105 </w:t>
      </w:r>
      <w:r w:rsidRPr="009E064B">
        <w:rPr>
          <w:rFonts w:eastAsia="Times New Roman,Italic" w:cs="Times New Roman,Italic"/>
          <w:iCs/>
          <w:szCs w:val="20"/>
        </w:rPr>
        <w:t xml:space="preserve">m pomiędzy poziomem terenu a światłami wierzchołka, jak określono w </w:t>
      </w:r>
      <w:hyperlink w:anchor="_CS_ADR-DSN.Q.846_" w:history="1">
        <w:r w:rsidR="00AA1B59"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ADR-DSN.Q.846</w:t>
        </w:r>
      </w:hyperlink>
      <w:r w:rsidR="00787943" w:rsidRPr="009E064B">
        <w:rPr>
          <w:rFonts w:eastAsia="Times New Roman,Italic" w:cs="Times New Roman,Italic"/>
          <w:iCs/>
          <w:szCs w:val="20"/>
        </w:rPr>
        <w:t xml:space="preserve"> lit. </w:t>
      </w:r>
      <w:r w:rsidRPr="009E064B">
        <w:rPr>
          <w:rFonts w:eastAsia="Times New Roman,Italic" w:cs="Times New Roman,Italic"/>
          <w:iCs/>
          <w:szCs w:val="20"/>
        </w:rPr>
        <w:t xml:space="preserve">(d), z wyjątkiem, gdy obiekt podlegający oznakowaniu jest otoczony budynkami, wówczas górny poziom budynków może być uznany za poziom terenu w celu określenia ilości poziomów świateł. </w:t>
      </w:r>
    </w:p>
    <w:p w14:paraId="417059A0" w14:textId="11441521"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(c)</w:t>
      </w:r>
      <w:r w:rsidRPr="009E064B">
        <w:rPr>
          <w:rFonts w:eastAsia="Times New Roman,Italic" w:cs="Times New Roman,Italic"/>
          <w:iCs/>
          <w:szCs w:val="20"/>
        </w:rPr>
        <w:tab/>
        <w:t>W przypadku obiektu oznaczonego światłami przeszkodowymi średniej inten</w:t>
      </w:r>
      <w:r w:rsidR="00787943" w:rsidRPr="009E064B">
        <w:rPr>
          <w:rFonts w:eastAsia="Times New Roman,Italic" w:cs="Times New Roman,Italic"/>
          <w:iCs/>
          <w:szCs w:val="20"/>
        </w:rPr>
        <w:t xml:space="preserve">sywności </w:t>
      </w:r>
      <w:r w:rsidR="007655D0" w:rsidRPr="009E064B">
        <w:rPr>
          <w:rFonts w:eastAsia="Times New Roman,Italic" w:cs="Times New Roman,Italic"/>
          <w:iCs/>
          <w:szCs w:val="20"/>
        </w:rPr>
        <w:t>typ</w:t>
      </w:r>
      <w:r w:rsidR="00787943" w:rsidRPr="009E064B">
        <w:rPr>
          <w:rFonts w:eastAsia="Times New Roman,Italic" w:cs="Times New Roman,Italic"/>
          <w:iCs/>
          <w:szCs w:val="20"/>
        </w:rPr>
        <w:t>u </w:t>
      </w:r>
      <w:r w:rsidRPr="009E064B">
        <w:rPr>
          <w:rFonts w:eastAsia="Times New Roman,Italic" w:cs="Times New Roman,Italic"/>
          <w:iCs/>
          <w:szCs w:val="20"/>
        </w:rPr>
        <w:t>A, należy zastosować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105 m.</w:t>
      </w:r>
    </w:p>
    <w:p w14:paraId="0E2B39AD" w14:textId="0724143B"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(d)</w:t>
      </w:r>
      <w:r w:rsidRPr="009E064B">
        <w:rPr>
          <w:rFonts w:eastAsia="Times New Roman,Italic" w:cs="Times New Roman,Italic"/>
          <w:iCs/>
          <w:szCs w:val="20"/>
        </w:rPr>
        <w:tab/>
        <w:t>W przypadku obiektu oznaczonego światłami przeszkodow</w:t>
      </w:r>
      <w:r w:rsidR="00787943" w:rsidRPr="009E064B">
        <w:rPr>
          <w:rFonts w:eastAsia="Times New Roman,Italic" w:cs="Times New Roman,Italic"/>
          <w:iCs/>
          <w:szCs w:val="20"/>
        </w:rPr>
        <w:t xml:space="preserve">ymi średniej intensywności </w:t>
      </w:r>
      <w:r w:rsidR="007655D0" w:rsidRPr="009E064B">
        <w:rPr>
          <w:rFonts w:eastAsia="Times New Roman,Italic" w:cs="Times New Roman,Italic"/>
          <w:iCs/>
          <w:szCs w:val="20"/>
        </w:rPr>
        <w:t>typ</w:t>
      </w:r>
      <w:r w:rsidR="00787943" w:rsidRPr="009E064B">
        <w:rPr>
          <w:rFonts w:eastAsia="Times New Roman,Italic" w:cs="Times New Roman,Italic"/>
          <w:iCs/>
          <w:szCs w:val="20"/>
        </w:rPr>
        <w:t>u </w:t>
      </w:r>
      <w:r w:rsidRPr="009E064B">
        <w:rPr>
          <w:rFonts w:eastAsia="Times New Roman,Italic" w:cs="Times New Roman,Italic"/>
          <w:iCs/>
          <w:szCs w:val="20"/>
        </w:rPr>
        <w:t>B, należy zastosować dodatkowe światła na poziomach pośrednich. Dodatkowe światła pośrednie powinny być rozmieszczonymi naprzemiennie ze światłami przeszkodo</w:t>
      </w:r>
      <w:r w:rsidR="00787943" w:rsidRPr="009E064B">
        <w:rPr>
          <w:rFonts w:eastAsia="Times New Roman,Italic" w:cs="Times New Roman,Italic"/>
          <w:iCs/>
          <w:szCs w:val="20"/>
        </w:rPr>
        <w:t xml:space="preserve">wymi niskiej intensywności </w:t>
      </w:r>
      <w:r w:rsidR="007655D0" w:rsidRPr="009E064B">
        <w:rPr>
          <w:rFonts w:eastAsia="Times New Roman,Italic" w:cs="Times New Roman,Italic"/>
          <w:iCs/>
          <w:szCs w:val="20"/>
        </w:rPr>
        <w:t>typ</w:t>
      </w:r>
      <w:r w:rsidR="00787943" w:rsidRPr="009E064B">
        <w:rPr>
          <w:rFonts w:eastAsia="Times New Roman,Italic" w:cs="Times New Roman,Italic"/>
          <w:iCs/>
          <w:szCs w:val="20"/>
        </w:rPr>
        <w:t>u </w:t>
      </w:r>
      <w:r w:rsidRPr="009E064B">
        <w:rPr>
          <w:rFonts w:eastAsia="Times New Roman,Italic" w:cs="Times New Roman,Italic"/>
          <w:iCs/>
          <w:szCs w:val="20"/>
        </w:rPr>
        <w:t>B oraz światłami przeszkodow</w:t>
      </w:r>
      <w:r w:rsidR="00787943" w:rsidRPr="009E064B">
        <w:rPr>
          <w:rFonts w:eastAsia="Times New Roman,Italic" w:cs="Times New Roman,Italic"/>
          <w:iCs/>
          <w:szCs w:val="20"/>
        </w:rPr>
        <w:t xml:space="preserve">ymi średniej intensywności </w:t>
      </w:r>
      <w:r w:rsidR="007655D0" w:rsidRPr="009E064B">
        <w:rPr>
          <w:rFonts w:eastAsia="Times New Roman,Italic" w:cs="Times New Roman,Italic"/>
          <w:iCs/>
          <w:szCs w:val="20"/>
        </w:rPr>
        <w:t>typ</w:t>
      </w:r>
      <w:r w:rsidR="00787943" w:rsidRPr="009E064B">
        <w:rPr>
          <w:rFonts w:eastAsia="Times New Roman,Italic" w:cs="Times New Roman,Italic"/>
          <w:iCs/>
          <w:szCs w:val="20"/>
        </w:rPr>
        <w:t>u </w:t>
      </w:r>
      <w:r w:rsidR="004016A7" w:rsidRPr="009E064B">
        <w:rPr>
          <w:rFonts w:eastAsia="Times New Roman,Italic" w:cs="Times New Roman,Italic"/>
          <w:iCs/>
          <w:szCs w:val="20"/>
        </w:rPr>
        <w:t>B i </w:t>
      </w:r>
      <w:r w:rsidRPr="009E064B">
        <w:rPr>
          <w:rFonts w:eastAsia="Times New Roman,Italic" w:cs="Times New Roman,Italic"/>
          <w:iCs/>
          <w:szCs w:val="20"/>
        </w:rPr>
        <w:t>powinny być rozmieszczone możliwie równomiernie</w:t>
      </w:r>
      <w:r w:rsidR="00E042B7" w:rsidRPr="009E064B">
        <w:rPr>
          <w:rFonts w:eastAsia="Times New Roman,Italic" w:cs="Times New Roman,Italic"/>
          <w:iCs/>
          <w:szCs w:val="20"/>
        </w:rPr>
        <w:t xml:space="preserve"> między światłami wierzchołka a </w:t>
      </w:r>
      <w:r w:rsidRPr="009E064B">
        <w:rPr>
          <w:rFonts w:eastAsia="Times New Roman,Italic" w:cs="Times New Roman,Italic"/>
          <w:iCs/>
          <w:szCs w:val="20"/>
        </w:rPr>
        <w:t>poziomem terenu lub poziomem wierzchołków budynków sąsiednich, przy czym odstępy między tymi światłami nie mogą przekraczać 52 m.</w:t>
      </w:r>
    </w:p>
    <w:p w14:paraId="2B506090" w14:textId="12FCB2EA" w:rsidR="00C36D76" w:rsidRPr="009E064B" w:rsidRDefault="00C36D76" w:rsidP="00B06A9A">
      <w:pPr>
        <w:tabs>
          <w:tab w:val="left" w:pos="567"/>
        </w:tabs>
        <w:ind w:left="567" w:hanging="567"/>
        <w:rPr>
          <w:rFonts w:eastAsia="Times New Roman,Italic" w:cs="Times New Roman,Italic"/>
          <w:iCs/>
          <w:szCs w:val="20"/>
        </w:rPr>
      </w:pPr>
      <w:r w:rsidRPr="009E064B">
        <w:rPr>
          <w:rFonts w:eastAsia="Times New Roman,Italic" w:cs="Times New Roman,Italic"/>
          <w:iCs/>
          <w:szCs w:val="20"/>
        </w:rPr>
        <w:t>(e)</w:t>
      </w:r>
      <w:r w:rsidRPr="009E064B">
        <w:rPr>
          <w:rFonts w:eastAsia="Times New Roman,Italic" w:cs="Times New Roman,Italic"/>
          <w:iCs/>
          <w:szCs w:val="20"/>
        </w:rPr>
        <w:tab/>
        <w:t xml:space="preserve">W przypadku obiektu oznaczonego światłami przeszkodowymi średniej intensywności </w:t>
      </w:r>
      <w:r w:rsidR="007655D0" w:rsidRPr="009E064B">
        <w:rPr>
          <w:rFonts w:eastAsia="Times New Roman,Italic" w:cs="Times New Roman,Italic"/>
          <w:iCs/>
          <w:szCs w:val="20"/>
        </w:rPr>
        <w:t>typ</w:t>
      </w:r>
      <w:r w:rsidR="00AA1B59" w:rsidRPr="009E064B">
        <w:rPr>
          <w:rFonts w:eastAsia="Times New Roman,Italic" w:cs="Times New Roman,Italic"/>
          <w:iCs/>
          <w:szCs w:val="20"/>
        </w:rPr>
        <w:t>u </w:t>
      </w:r>
      <w:r w:rsidRPr="009E064B">
        <w:rPr>
          <w:rFonts w:eastAsia="Times New Roman,Italic" w:cs="Times New Roman,Italic"/>
          <w:iCs/>
          <w:szCs w:val="20"/>
        </w:rPr>
        <w:t>C należy zastosować dodatkowe światła na poziomach pośrednich. Dodatkowe światła pośrednie powinny być rozmieszczone możliwie równomiernie między światłami wierzchołka a poziomem terenu lub poziomem wierzchołków budynków sąsiednich, przy czym odstępy między tymi światłami nie mogą przekraczać 52 m.</w:t>
      </w:r>
    </w:p>
    <w:p w14:paraId="45954F6D"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C14DDA5" w14:textId="75A94AAA" w:rsidR="00865BD1" w:rsidRPr="009E064B" w:rsidRDefault="00F73C24" w:rsidP="00133B99">
      <w:pPr>
        <w:pStyle w:val="Nagwek6"/>
      </w:pPr>
      <w:bookmarkStart w:id="1752" w:name="_Toc482886947"/>
      <w:bookmarkStart w:id="1753" w:name="_Toc12533285"/>
      <w:r w:rsidRPr="009E064B">
        <w:t xml:space="preserve">GM1 ADR-DSN.Q.849     </w:t>
      </w:r>
      <w:r w:rsidR="00865BD1" w:rsidRPr="009E064B">
        <w:t xml:space="preserve">Oświetlenie obiektów stałych o wysokości 150 m i więcej nad </w:t>
      </w:r>
      <w:r w:rsidR="001474BD">
        <w:br/>
        <w:t xml:space="preserve">   </w:t>
      </w:r>
      <w:r w:rsidR="00865BD1" w:rsidRPr="009E064B">
        <w:t>poziomem ziemi</w:t>
      </w:r>
      <w:bookmarkEnd w:id="1752"/>
      <w:bookmarkEnd w:id="1753"/>
    </w:p>
    <w:p w14:paraId="4B5DEDBF" w14:textId="358D17CB" w:rsidR="00787943" w:rsidRPr="009E064B" w:rsidRDefault="00D63D4F" w:rsidP="00787943">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787BCA4" w14:textId="4E6560FA" w:rsidR="00865BD1" w:rsidRPr="009E064B" w:rsidRDefault="00865BD1" w:rsidP="00B06A9A">
      <w:r w:rsidRPr="009E064B">
        <w:t>W przypadku, gdy zastosowanie świateł przeszk</w:t>
      </w:r>
      <w:r w:rsidR="00787943" w:rsidRPr="009E064B">
        <w:t xml:space="preserve">odowych wysokiej intensywności </w:t>
      </w:r>
      <w:r w:rsidR="007655D0" w:rsidRPr="009E064B">
        <w:t>typu</w:t>
      </w:r>
      <w:r w:rsidRPr="009E064B">
        <w:t xml:space="preserve"> A w nocy, może oślepiać pilotów w pobliżu lotniska (w promieniu około 10 000 m) albo powoduje poważne problemy środowiskowe, to powinno się użyć wyłącznie świateł przeszkodowych średniej intensywności typu C, natomiast światła przeszkodowe średniej intensywności typu </w:t>
      </w:r>
      <w:r w:rsidR="00261753" w:rsidRPr="009E064B">
        <w:t>B, powinny być użyte same lub w </w:t>
      </w:r>
      <w:r w:rsidRPr="009E064B">
        <w:t xml:space="preserve">połączeniu ze światłami przeszkodowymi niskiej intensywności </w:t>
      </w:r>
      <w:r w:rsidR="007655D0" w:rsidRPr="009E064B">
        <w:t>typ</w:t>
      </w:r>
      <w:r w:rsidRPr="009E064B">
        <w:t>u B.</w:t>
      </w:r>
    </w:p>
    <w:p w14:paraId="4D5C8DCF"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18B1CC2" w14:textId="7CFDA446" w:rsidR="00C36D76" w:rsidRPr="009E064B" w:rsidRDefault="00F73C24" w:rsidP="00B06A9A">
      <w:pPr>
        <w:pStyle w:val="Nagwek4"/>
        <w:rPr>
          <w:color w:val="auto"/>
        </w:rPr>
      </w:pPr>
      <w:bookmarkStart w:id="1754" w:name="_CS_ADR-DSN.Q.850_"/>
      <w:bookmarkStart w:id="1755" w:name="_Toc482886724"/>
      <w:bookmarkStart w:id="1756" w:name="_Toc12533286"/>
      <w:bookmarkEnd w:id="1754"/>
      <w:r w:rsidRPr="009E064B">
        <w:rPr>
          <w:color w:val="auto"/>
        </w:rPr>
        <w:t xml:space="preserve">CS ADR-DSN.Q.850     </w:t>
      </w:r>
      <w:r w:rsidR="00C36D76" w:rsidRPr="009E064B">
        <w:rPr>
          <w:color w:val="auto"/>
        </w:rPr>
        <w:t>Oświetlenie innych obiektów</w:t>
      </w:r>
      <w:bookmarkEnd w:id="1755"/>
      <w:bookmarkEnd w:id="1756"/>
    </w:p>
    <w:p w14:paraId="6A882396" w14:textId="4CD28ECF"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0DAFB2A" w14:textId="3852F00B"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 xml:space="preserve">Światła przeszkodowe niskiej intensywności </w:t>
      </w:r>
      <w:r w:rsidR="007655D0" w:rsidRPr="009E064B">
        <w:rPr>
          <w:rFonts w:cs="Times New Roman"/>
          <w:szCs w:val="20"/>
        </w:rPr>
        <w:t>typ</w:t>
      </w:r>
      <w:r w:rsidRPr="009E064B">
        <w:rPr>
          <w:rFonts w:cs="Times New Roman"/>
          <w:szCs w:val="20"/>
        </w:rPr>
        <w:t>u C, powinny być zapewnione na pojazdach i innych obiektach ruchomych z wyjątkiem statków powietrznych.</w:t>
      </w:r>
    </w:p>
    <w:p w14:paraId="1BE27F68" w14:textId="5906C0E9" w:rsidR="00C36D76" w:rsidRPr="009E064B" w:rsidRDefault="00C36D76" w:rsidP="00B06A9A">
      <w:pPr>
        <w:tabs>
          <w:tab w:val="left" w:pos="567"/>
        </w:tabs>
        <w:ind w:left="567" w:hanging="567"/>
        <w:rPr>
          <w:rFonts w:cs="Times New Roman"/>
          <w:szCs w:val="20"/>
        </w:rPr>
      </w:pPr>
      <w:r w:rsidRPr="009E064B">
        <w:rPr>
          <w:rFonts w:cs="Times New Roman"/>
          <w:szCs w:val="20"/>
        </w:rPr>
        <w:t>(b)</w:t>
      </w:r>
      <w:r w:rsidRPr="009E064B">
        <w:rPr>
          <w:rFonts w:cs="Times New Roman"/>
          <w:szCs w:val="20"/>
        </w:rPr>
        <w:tab/>
        <w:t xml:space="preserve">Światła przeszkodowe niskiej intensywności </w:t>
      </w:r>
      <w:r w:rsidR="007655D0" w:rsidRPr="009E064B">
        <w:rPr>
          <w:rFonts w:cs="Times New Roman"/>
          <w:szCs w:val="20"/>
        </w:rPr>
        <w:t>typ</w:t>
      </w:r>
      <w:r w:rsidRPr="009E064B">
        <w:rPr>
          <w:rFonts w:cs="Times New Roman"/>
          <w:szCs w:val="20"/>
        </w:rPr>
        <w:t>u C stosowane na pojazdach związanych z ratownictwem lub ochroną powinny być światłami błyskowymi koloru niebieskiego, a na innych pojazdach powinny być - światłami błyskowymi koloru żółtego.</w:t>
      </w:r>
    </w:p>
    <w:p w14:paraId="5B3E8A14" w14:textId="4737E541"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 xml:space="preserve">Światła przeszkodowe niskiej intensywności </w:t>
      </w:r>
      <w:r w:rsidR="007655D0" w:rsidRPr="009E064B">
        <w:rPr>
          <w:rFonts w:cs="Times New Roman"/>
          <w:szCs w:val="20"/>
        </w:rPr>
        <w:t>typ</w:t>
      </w:r>
      <w:r w:rsidRPr="009E064B">
        <w:rPr>
          <w:rFonts w:cs="Times New Roman"/>
          <w:szCs w:val="20"/>
        </w:rPr>
        <w:t>u D powinny być instalowane na pojazdach prowadzących „</w:t>
      </w:r>
      <w:r w:rsidRPr="009E064B">
        <w:rPr>
          <w:rFonts w:cs="Times New Roman"/>
          <w:i/>
          <w:szCs w:val="20"/>
        </w:rPr>
        <w:t>follow-me</w:t>
      </w:r>
      <w:r w:rsidRPr="009E064B">
        <w:rPr>
          <w:rFonts w:cs="Times New Roman"/>
          <w:szCs w:val="20"/>
        </w:rPr>
        <w:t>”.</w:t>
      </w:r>
    </w:p>
    <w:p w14:paraId="0943FE2E" w14:textId="2371C881" w:rsidR="00C36D76" w:rsidRPr="009E064B" w:rsidRDefault="00C36D76" w:rsidP="00B06A9A">
      <w:pPr>
        <w:tabs>
          <w:tab w:val="left" w:pos="567"/>
        </w:tabs>
        <w:ind w:left="567" w:hanging="567"/>
        <w:rPr>
          <w:rFonts w:cs="Times New Roman"/>
          <w:szCs w:val="20"/>
        </w:rPr>
      </w:pPr>
      <w:r w:rsidRPr="009E064B">
        <w:rPr>
          <w:rFonts w:cs="Times New Roman"/>
          <w:szCs w:val="20"/>
        </w:rPr>
        <w:t xml:space="preserve">(d) </w:t>
      </w:r>
      <w:r w:rsidRPr="009E064B">
        <w:rPr>
          <w:rFonts w:cs="Times New Roman"/>
          <w:szCs w:val="20"/>
        </w:rPr>
        <w:tab/>
        <w:t>Światła przeszkodowe niskiej intensywności umieszczone na obiektach o ograniczonych możliwościach poruszania się takich jak pomosty pasażerskie, powinny być światłami stałymi koloru czerwonego, i jako minimum, powinny być zgodne ze specyfikacjami dla świateł przeszkodowych niskiej intensywnośc</w:t>
      </w:r>
      <w:r w:rsidR="00787943" w:rsidRPr="009E064B">
        <w:rPr>
          <w:rFonts w:cs="Times New Roman"/>
          <w:szCs w:val="20"/>
        </w:rPr>
        <w:t xml:space="preserve">i, </w:t>
      </w:r>
      <w:r w:rsidR="007655D0" w:rsidRPr="009E064B">
        <w:rPr>
          <w:rFonts w:cs="Times New Roman"/>
          <w:szCs w:val="20"/>
        </w:rPr>
        <w:t>typ</w:t>
      </w:r>
      <w:r w:rsidR="00787943" w:rsidRPr="009E064B">
        <w:rPr>
          <w:rFonts w:cs="Times New Roman"/>
          <w:szCs w:val="20"/>
        </w:rPr>
        <w:t>u A, określonych w Tabeli </w:t>
      </w:r>
      <w:r w:rsidRPr="009E064B">
        <w:rPr>
          <w:rFonts w:cs="Times New Roman"/>
          <w:szCs w:val="20"/>
        </w:rPr>
        <w:t>Q-1. Intensywność tych świateł powinna być wystarczająca, aby zapewniać o</w:t>
      </w:r>
      <w:r w:rsidR="009766C9" w:rsidRPr="009E064B">
        <w:rPr>
          <w:rFonts w:cs="Times New Roman"/>
          <w:szCs w:val="20"/>
        </w:rPr>
        <w:t>dpowiednią widoczność z</w:t>
      </w:r>
      <w:r w:rsidR="00787943" w:rsidRPr="009E064B">
        <w:rPr>
          <w:rFonts w:cs="Times New Roman"/>
          <w:szCs w:val="20"/>
        </w:rPr>
        <w:t xml:space="preserve"> </w:t>
      </w:r>
      <w:r w:rsidRPr="009E064B">
        <w:rPr>
          <w:rFonts w:cs="Times New Roman"/>
          <w:szCs w:val="20"/>
        </w:rPr>
        <w:t>uwzględnieniem sąsiednich świateł oraz ogólnego poziomu iluminacji na, tle której będą one normalnie widoczne.</w:t>
      </w:r>
    </w:p>
    <w:p w14:paraId="107AE72E"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6039997" w14:textId="39140A8E" w:rsidR="00865BD1" w:rsidRPr="009E064B" w:rsidRDefault="00F73C24" w:rsidP="00133B99">
      <w:pPr>
        <w:pStyle w:val="Nagwek6"/>
      </w:pPr>
      <w:bookmarkStart w:id="1757" w:name="_Toc482886948"/>
      <w:bookmarkStart w:id="1758" w:name="_Toc12533287"/>
      <w:r w:rsidRPr="009E064B">
        <w:t xml:space="preserve">GM1 ADR-DSN.Q.850     </w:t>
      </w:r>
      <w:r w:rsidR="00865BD1" w:rsidRPr="009E064B">
        <w:t>Oświetlenie innych obiektów</w:t>
      </w:r>
      <w:bookmarkEnd w:id="1757"/>
      <w:bookmarkEnd w:id="1758"/>
    </w:p>
    <w:p w14:paraId="28853CDE" w14:textId="2F1C2C3C"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3281370" w14:textId="44B8A2D0" w:rsidR="00865BD1" w:rsidRPr="009E064B" w:rsidRDefault="00865BD1" w:rsidP="00B06A9A">
      <w:r w:rsidRPr="009E064B">
        <w:t>Celowo pozostawiono puste.</w:t>
      </w:r>
    </w:p>
    <w:p w14:paraId="137EAADF" w14:textId="5187BD7E" w:rsidR="004D153B"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F7D71CC" w14:textId="77777777" w:rsidR="004D153B" w:rsidRPr="009E064B" w:rsidRDefault="004D153B">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7D03CD9D" w14:textId="004D4E2F" w:rsidR="00C36D76" w:rsidRPr="009E064B" w:rsidRDefault="00F73C24" w:rsidP="00B06A9A">
      <w:pPr>
        <w:pStyle w:val="Nagwek4"/>
        <w:rPr>
          <w:color w:val="auto"/>
        </w:rPr>
      </w:pPr>
      <w:bookmarkStart w:id="1759" w:name="_Toc482886725"/>
      <w:bookmarkStart w:id="1760" w:name="_Toc12533288"/>
      <w:r w:rsidRPr="009E064B">
        <w:rPr>
          <w:color w:val="auto"/>
        </w:rPr>
        <w:t xml:space="preserve">CS ADR-DSN.Q.851     </w:t>
      </w:r>
      <w:r w:rsidR="00C36D76" w:rsidRPr="009E064B">
        <w:rPr>
          <w:color w:val="auto"/>
        </w:rPr>
        <w:t>Oznakowanie i oświetlenie turbin wiatrowych</w:t>
      </w:r>
      <w:bookmarkEnd w:id="1759"/>
      <w:bookmarkEnd w:id="1760"/>
    </w:p>
    <w:p w14:paraId="3A9422E2" w14:textId="7B62B744"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5F405EF" w14:textId="01F9C311"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Zastosowanie: Jeśli turbina wiatrowa jest uznana za przeszkodę, to powinna być oznakowana i/lub oświetlona.</w:t>
      </w:r>
    </w:p>
    <w:p w14:paraId="4D946C14"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(b) </w:t>
      </w:r>
      <w:r w:rsidRPr="009E064B">
        <w:rPr>
          <w:rFonts w:cs="Times New Roman"/>
          <w:szCs w:val="20"/>
        </w:rPr>
        <w:tab/>
        <w:t>Oznakowanie: Łopaty wirnika, gondola i górne 2/3 masztu wspierającego turbinę wiatrową powinny być pomalowane na biało, chyba że ocena bezpieczeństwa wskazuje inne rozwiązanie.</w:t>
      </w:r>
    </w:p>
    <w:p w14:paraId="52031554"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 xml:space="preserve">Oświetlenie: </w:t>
      </w:r>
    </w:p>
    <w:p w14:paraId="5B561E17" w14:textId="68A8D792" w:rsidR="00C36D76" w:rsidRPr="009E064B" w:rsidRDefault="00C36D76" w:rsidP="00B06A9A">
      <w:pPr>
        <w:tabs>
          <w:tab w:val="left" w:pos="1134"/>
        </w:tabs>
        <w:ind w:left="1134" w:hanging="567"/>
        <w:rPr>
          <w:szCs w:val="20"/>
        </w:rPr>
      </w:pPr>
      <w:r w:rsidRPr="009E064B">
        <w:rPr>
          <w:szCs w:val="20"/>
        </w:rPr>
        <w:t>(1)</w:t>
      </w:r>
      <w:r w:rsidRPr="009E064B">
        <w:rPr>
          <w:szCs w:val="20"/>
        </w:rPr>
        <w:tab/>
        <w:t xml:space="preserve">Jeżeli konieczne jest zastosowanie oświetlenia dla pojedynczej turbiny wiatrowej lub krótkiej linii kilku turbin to oświetlenie powinno być wykonane zgodnie </w:t>
      </w:r>
      <w:r w:rsidR="00AA1B59" w:rsidRPr="009E064B">
        <w:rPr>
          <w:szCs w:val="20"/>
        </w:rPr>
        <w:t>lit. </w:t>
      </w:r>
      <w:r w:rsidRPr="009E064B">
        <w:rPr>
          <w:szCs w:val="20"/>
        </w:rPr>
        <w:t>(c)</w:t>
      </w:r>
      <w:r w:rsidR="00AA1B59" w:rsidRPr="009E064B">
        <w:rPr>
          <w:szCs w:val="20"/>
        </w:rPr>
        <w:t xml:space="preserve"> pkt (</w:t>
      </w:r>
      <w:r w:rsidRPr="009E064B">
        <w:rPr>
          <w:szCs w:val="20"/>
        </w:rPr>
        <w:t>2)</w:t>
      </w:r>
      <w:r w:rsidR="00AA1B59" w:rsidRPr="009E064B">
        <w:rPr>
          <w:szCs w:val="20"/>
        </w:rPr>
        <w:t xml:space="preserve"> podpunkt </w:t>
      </w:r>
      <w:r w:rsidRPr="009E064B">
        <w:rPr>
          <w:szCs w:val="20"/>
        </w:rPr>
        <w:t>(v) poniżej, lub w sposób wskazany poprzez ocenę bezpieczeństwa.</w:t>
      </w:r>
    </w:p>
    <w:p w14:paraId="11CD4BC0" w14:textId="7F0F2A57" w:rsidR="00C36D76" w:rsidRPr="009E064B" w:rsidRDefault="00C36D76" w:rsidP="00B06A9A">
      <w:pPr>
        <w:tabs>
          <w:tab w:val="left" w:pos="1134"/>
        </w:tabs>
        <w:ind w:left="1134" w:hanging="567"/>
        <w:rPr>
          <w:szCs w:val="20"/>
        </w:rPr>
      </w:pPr>
      <w:r w:rsidRPr="009E064B">
        <w:rPr>
          <w:szCs w:val="20"/>
        </w:rPr>
        <w:t>(2)</w:t>
      </w:r>
      <w:r w:rsidRPr="009E064B">
        <w:rPr>
          <w:szCs w:val="20"/>
        </w:rPr>
        <w:tab/>
        <w:t>Jeżeli konieczne jest zastosowanie oświetlenia w przypadku farmy wiatrowej, tj. grupy dwu lub więcej turbin wiatrowych, to powinna być ona tr</w:t>
      </w:r>
      <w:r w:rsidR="00CD112F" w:rsidRPr="009E064B">
        <w:rPr>
          <w:szCs w:val="20"/>
        </w:rPr>
        <w:t>aktowana jako obiekt rozległy i </w:t>
      </w:r>
      <w:r w:rsidRPr="009E064B">
        <w:rPr>
          <w:szCs w:val="20"/>
        </w:rPr>
        <w:t>powinny być na niej zainstalowane światła:</w:t>
      </w:r>
    </w:p>
    <w:p w14:paraId="0BDFADBD" w14:textId="77777777" w:rsidR="00C36D76" w:rsidRPr="009E064B" w:rsidRDefault="00C36D76" w:rsidP="00B06A9A">
      <w:pPr>
        <w:tabs>
          <w:tab w:val="left" w:pos="1701"/>
        </w:tabs>
        <w:ind w:left="1701" w:hanging="567"/>
        <w:rPr>
          <w:szCs w:val="20"/>
        </w:rPr>
      </w:pPr>
      <w:r w:rsidRPr="009E064B">
        <w:rPr>
          <w:szCs w:val="20"/>
        </w:rPr>
        <w:t>(i)</w:t>
      </w:r>
      <w:r w:rsidRPr="009E064B">
        <w:rPr>
          <w:szCs w:val="20"/>
        </w:rPr>
        <w:tab/>
        <w:t>do identyfikacji obwodu farmy wiatrowej;</w:t>
      </w:r>
    </w:p>
    <w:p w14:paraId="1F18ECDA" w14:textId="7B584D3D" w:rsidR="00C36D76" w:rsidRPr="009E064B" w:rsidRDefault="00C36D76" w:rsidP="00B06A9A">
      <w:pPr>
        <w:tabs>
          <w:tab w:val="left" w:pos="1701"/>
        </w:tabs>
        <w:ind w:left="1701" w:hanging="567"/>
        <w:rPr>
          <w:szCs w:val="20"/>
        </w:rPr>
      </w:pPr>
      <w:r w:rsidRPr="009E064B">
        <w:rPr>
          <w:szCs w:val="20"/>
        </w:rPr>
        <w:t>(ii)</w:t>
      </w:r>
      <w:r w:rsidRPr="009E064B">
        <w:rPr>
          <w:szCs w:val="20"/>
        </w:rPr>
        <w:tab/>
        <w:t>zachowujące maksymalny rozstaw między światłami wzdłuż obwodu, zgodnie z </w:t>
      </w:r>
      <w:hyperlink w:anchor="_CS_ADR-DSN.Q.846_" w:history="1">
        <w:r w:rsidRPr="009E064B">
          <w:rPr>
            <w:rStyle w:val="Hipercze"/>
            <w:szCs w:val="20"/>
          </w:rPr>
          <w:t>CS ADR-DSN.Q.846</w:t>
        </w:r>
      </w:hyperlink>
      <w:r w:rsidR="00787943" w:rsidRPr="009E064B">
        <w:rPr>
          <w:szCs w:val="20"/>
        </w:rPr>
        <w:t xml:space="preserve"> lit. </w:t>
      </w:r>
      <w:r w:rsidRPr="009E064B">
        <w:rPr>
          <w:szCs w:val="20"/>
        </w:rPr>
        <w:t>(i), chyba że ocena bezpieczeństwa wykaże, że może być zastosowany rozstaw większy;</w:t>
      </w:r>
    </w:p>
    <w:p w14:paraId="1A431BB9" w14:textId="77777777" w:rsidR="00C36D76" w:rsidRPr="009E064B" w:rsidRDefault="00C36D76" w:rsidP="00B06A9A">
      <w:pPr>
        <w:tabs>
          <w:tab w:val="left" w:pos="1701"/>
        </w:tabs>
        <w:ind w:left="1701" w:hanging="567"/>
        <w:rPr>
          <w:szCs w:val="20"/>
        </w:rPr>
      </w:pPr>
      <w:r w:rsidRPr="009E064B">
        <w:rPr>
          <w:szCs w:val="20"/>
        </w:rPr>
        <w:t>(iii)</w:t>
      </w:r>
      <w:r w:rsidRPr="009E064B">
        <w:rPr>
          <w:szCs w:val="20"/>
        </w:rPr>
        <w:tab/>
        <w:t>takie, które gdy są typu błyskowego, świecą równocześnie na całej farmie wiatrowej;</w:t>
      </w:r>
    </w:p>
    <w:p w14:paraId="1B8B4859" w14:textId="4388C8BE" w:rsidR="00C36D76" w:rsidRPr="009E064B" w:rsidRDefault="00C36D76" w:rsidP="00B06A9A">
      <w:pPr>
        <w:tabs>
          <w:tab w:val="left" w:pos="1701"/>
        </w:tabs>
        <w:ind w:left="1701" w:hanging="567"/>
        <w:rPr>
          <w:szCs w:val="20"/>
        </w:rPr>
      </w:pPr>
      <w:r w:rsidRPr="009E064B">
        <w:rPr>
          <w:szCs w:val="20"/>
        </w:rPr>
        <w:t>(iv)</w:t>
      </w:r>
      <w:r w:rsidRPr="009E064B">
        <w:rPr>
          <w:szCs w:val="20"/>
        </w:rPr>
        <w:tab/>
        <w:t>takie, które w przypadku istnienia w ob</w:t>
      </w:r>
      <w:r w:rsidR="009766C9" w:rsidRPr="009E064B">
        <w:rPr>
          <w:szCs w:val="20"/>
        </w:rPr>
        <w:t>rębie farmy turbin wiatrowych o </w:t>
      </w:r>
      <w:r w:rsidRPr="009E064B">
        <w:rPr>
          <w:szCs w:val="20"/>
        </w:rPr>
        <w:t>znacząco większej wysokości, zapewniają ich identyfikację niezależnie od tego, gdzie są zlokalizowane.</w:t>
      </w:r>
    </w:p>
    <w:p w14:paraId="49634464" w14:textId="23397B23" w:rsidR="00C36D76" w:rsidRPr="009E064B" w:rsidRDefault="00C36D76" w:rsidP="00B06A9A">
      <w:pPr>
        <w:tabs>
          <w:tab w:val="left" w:pos="1701"/>
        </w:tabs>
        <w:ind w:left="1701" w:hanging="567"/>
        <w:rPr>
          <w:szCs w:val="20"/>
        </w:rPr>
      </w:pPr>
      <w:r w:rsidRPr="009E064B">
        <w:rPr>
          <w:szCs w:val="20"/>
        </w:rPr>
        <w:t>(v)</w:t>
      </w:r>
      <w:r w:rsidRPr="009E064B">
        <w:rPr>
          <w:szCs w:val="20"/>
        </w:rPr>
        <w:tab/>
        <w:t>w lokalizacjach, o których mowa w p</w:t>
      </w:r>
      <w:r w:rsidR="00AA1B59" w:rsidRPr="009E064B">
        <w:rPr>
          <w:szCs w:val="20"/>
        </w:rPr>
        <w:t>odpunktach</w:t>
      </w:r>
      <w:r w:rsidRPr="009E064B">
        <w:rPr>
          <w:szCs w:val="20"/>
        </w:rPr>
        <w:t xml:space="preserve"> (i), (ii) i (iv):</w:t>
      </w:r>
    </w:p>
    <w:p w14:paraId="004383CD" w14:textId="77777777" w:rsidR="00C36D76" w:rsidRPr="009E064B" w:rsidRDefault="00C36D76" w:rsidP="00B06A9A">
      <w:pPr>
        <w:tabs>
          <w:tab w:val="left" w:pos="2268"/>
        </w:tabs>
        <w:ind w:left="2268" w:hanging="567"/>
        <w:rPr>
          <w:szCs w:val="20"/>
        </w:rPr>
      </w:pPr>
      <w:r w:rsidRPr="009E064B">
        <w:rPr>
          <w:szCs w:val="20"/>
        </w:rPr>
        <w:t>(A)</w:t>
      </w:r>
      <w:r w:rsidRPr="009E064B">
        <w:rPr>
          <w:szCs w:val="20"/>
        </w:rPr>
        <w:tab/>
        <w:t>dla turbin wiatrowych o całkowitej wysokości mniejszej niż 150 m, (wysokość piasty plus pionowa wysokość łopaty), na gondoli należy zapewnić światła średniej intensywności;</w:t>
      </w:r>
    </w:p>
    <w:p w14:paraId="39241049" w14:textId="09A1F762" w:rsidR="00C36D76" w:rsidRPr="009E064B" w:rsidRDefault="00C36D76" w:rsidP="00B06A9A">
      <w:pPr>
        <w:tabs>
          <w:tab w:val="left" w:pos="2268"/>
        </w:tabs>
        <w:ind w:left="2268" w:hanging="567"/>
        <w:rPr>
          <w:szCs w:val="20"/>
        </w:rPr>
      </w:pPr>
      <w:r w:rsidRPr="009E064B">
        <w:rPr>
          <w:szCs w:val="20"/>
        </w:rPr>
        <w:t>(B)</w:t>
      </w:r>
      <w:r w:rsidRPr="009E064B">
        <w:rPr>
          <w:szCs w:val="20"/>
        </w:rPr>
        <w:tab/>
        <w:t>dla turbin wiatrowych o całko</w:t>
      </w:r>
      <w:r w:rsidR="00AA1B59" w:rsidRPr="009E064B">
        <w:rPr>
          <w:szCs w:val="20"/>
        </w:rPr>
        <w:t>witej wysokości od 150 m do 315 </w:t>
      </w:r>
      <w:r w:rsidRPr="009E064B">
        <w:rPr>
          <w:szCs w:val="20"/>
        </w:rPr>
        <w:t>m, oprócz światła średniej intensywności zainstalowanego na gondoli, należy zapewnić drugie światło służące jako zapasowe w przypadku awarii działającego światła. Światło powinno być zainstalowane w celu zapewnienia, że wyjście każdego ze świateł nie jest zablokowane przez inne światło;</w:t>
      </w:r>
    </w:p>
    <w:p w14:paraId="37919EEE" w14:textId="15F5524A" w:rsidR="00C36D76" w:rsidRPr="009E064B" w:rsidRDefault="00C36D76" w:rsidP="00B06A9A">
      <w:pPr>
        <w:tabs>
          <w:tab w:val="left" w:pos="2268"/>
        </w:tabs>
        <w:ind w:left="2268" w:hanging="567"/>
        <w:rPr>
          <w:szCs w:val="20"/>
        </w:rPr>
      </w:pPr>
      <w:r w:rsidRPr="009E064B">
        <w:rPr>
          <w:szCs w:val="20"/>
        </w:rPr>
        <w:t>(C)</w:t>
      </w:r>
      <w:r w:rsidRPr="009E064B">
        <w:rPr>
          <w:szCs w:val="20"/>
        </w:rPr>
        <w:tab/>
        <w:t>dodatkowo, w przypadku turbin wiatrowych o całkowitej wysokości od 150 m do 315 m, należy zapewnić co najmniej 3 światła typu E niskiej intensywności poziomu pośredniego w połowie wysoko</w:t>
      </w:r>
      <w:r w:rsidR="004016A7" w:rsidRPr="009E064B">
        <w:rPr>
          <w:szCs w:val="20"/>
        </w:rPr>
        <w:t xml:space="preserve">ści gondoli, jak określono w </w:t>
      </w:r>
      <w:hyperlink w:anchor="_CS_ADR-DSN.Q.846_" w:history="1">
        <w:r w:rsidR="004016A7" w:rsidRPr="009E064B">
          <w:rPr>
            <w:rStyle w:val="Hipercze"/>
            <w:szCs w:val="20"/>
          </w:rPr>
          <w:t>CS </w:t>
        </w:r>
        <w:r w:rsidRPr="009E064B">
          <w:rPr>
            <w:rStyle w:val="Hipercze"/>
            <w:szCs w:val="20"/>
          </w:rPr>
          <w:t>ADR-DSN.Q.846</w:t>
        </w:r>
      </w:hyperlink>
      <w:r w:rsidR="004016A7" w:rsidRPr="009E064B">
        <w:rPr>
          <w:szCs w:val="20"/>
        </w:rPr>
        <w:t xml:space="preserve"> lit. </w:t>
      </w:r>
      <w:r w:rsidRPr="009E064B">
        <w:rPr>
          <w:szCs w:val="20"/>
        </w:rPr>
        <w:t>(c), które są skonfigurowane do błysku na tym samym poziomie jak światła na gondoli. Jeżeli ocena bezpieczeństwa wykaże, że świ</w:t>
      </w:r>
      <w:r w:rsidR="00AA1B59" w:rsidRPr="009E064B">
        <w:rPr>
          <w:szCs w:val="20"/>
        </w:rPr>
        <w:t>atła niskiej intensywności typu </w:t>
      </w:r>
      <w:r w:rsidRPr="009E064B">
        <w:rPr>
          <w:szCs w:val="20"/>
        </w:rPr>
        <w:t>E nie są odpowiednie, można zastosować światła niskiej intensywności typu</w:t>
      </w:r>
      <w:r w:rsidR="00AA1B59" w:rsidRPr="009E064B">
        <w:rPr>
          <w:szCs w:val="20"/>
        </w:rPr>
        <w:t> </w:t>
      </w:r>
      <w:r w:rsidRPr="009E064B">
        <w:rPr>
          <w:szCs w:val="20"/>
        </w:rPr>
        <w:t>A lub B.</w:t>
      </w:r>
    </w:p>
    <w:p w14:paraId="688AF397" w14:textId="1E92A1F1" w:rsidR="00C36D76" w:rsidRPr="009E064B" w:rsidRDefault="00C36D76" w:rsidP="00B06A9A">
      <w:pPr>
        <w:tabs>
          <w:tab w:val="left" w:pos="1134"/>
        </w:tabs>
        <w:ind w:left="1134" w:hanging="567"/>
        <w:rPr>
          <w:szCs w:val="20"/>
        </w:rPr>
      </w:pPr>
      <w:r w:rsidRPr="009E064B">
        <w:rPr>
          <w:szCs w:val="20"/>
        </w:rPr>
        <w:t xml:space="preserve"> (3)</w:t>
      </w:r>
      <w:r w:rsidRPr="009E064B">
        <w:rPr>
          <w:szCs w:val="20"/>
        </w:rPr>
        <w:tab/>
        <w:t xml:space="preserve">Światła przeszkodowe powinny być zainstalowane na gondoli w taki sposób, aby zapewniona była ich niezakłócona widoczność ze statku </w:t>
      </w:r>
      <w:r w:rsidR="00261753" w:rsidRPr="009E064B">
        <w:rPr>
          <w:szCs w:val="20"/>
        </w:rPr>
        <w:t>powietrznego zbliżającego się z </w:t>
      </w:r>
      <w:r w:rsidRPr="009E064B">
        <w:rPr>
          <w:szCs w:val="20"/>
        </w:rPr>
        <w:t>dowolnego kierunku.</w:t>
      </w:r>
    </w:p>
    <w:p w14:paraId="35AFCD9C" w14:textId="3DAC0129" w:rsidR="00261753"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AB54A47" w14:textId="77777777" w:rsidR="00261753" w:rsidRPr="009E064B" w:rsidRDefault="00261753">
      <w:pPr>
        <w:spacing w:after="0"/>
        <w:jc w:val="left"/>
        <w:rPr>
          <w:rFonts w:asciiTheme="minorHAnsi" w:eastAsia="Times New Roman" w:hAnsiTheme="minorHAnsi" w:cstheme="minorHAnsi"/>
          <w:i/>
          <w:sz w:val="16"/>
          <w:szCs w:val="16"/>
        </w:rPr>
      </w:pPr>
      <w:r w:rsidRPr="009E064B">
        <w:rPr>
          <w:rFonts w:asciiTheme="minorHAnsi" w:hAnsiTheme="minorHAnsi" w:cstheme="minorHAnsi"/>
          <w:i/>
          <w:sz w:val="16"/>
          <w:szCs w:val="16"/>
        </w:rPr>
        <w:br w:type="page"/>
      </w:r>
    </w:p>
    <w:p w14:paraId="346FA6C6" w14:textId="086C2AE7" w:rsidR="00865BD1" w:rsidRPr="009E064B" w:rsidRDefault="00865BD1" w:rsidP="00133B99">
      <w:pPr>
        <w:pStyle w:val="Nagwek6"/>
      </w:pPr>
      <w:bookmarkStart w:id="1761" w:name="_Toc482886949"/>
      <w:bookmarkStart w:id="1762" w:name="_Toc12533289"/>
      <w:r w:rsidRPr="009E064B">
        <w:t>GM1 ADR-DSN.Q.8</w:t>
      </w:r>
      <w:r w:rsidR="00F73C24" w:rsidRPr="009E064B">
        <w:t xml:space="preserve">51     </w:t>
      </w:r>
      <w:r w:rsidRPr="009E064B">
        <w:t>Oznakowanie i oświetlenie turbin wiatrowych</w:t>
      </w:r>
      <w:bookmarkEnd w:id="1761"/>
      <w:bookmarkEnd w:id="1762"/>
    </w:p>
    <w:p w14:paraId="35CC517F" w14:textId="5F415FBB"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A5DD03F" w14:textId="2F240762" w:rsidR="00865BD1" w:rsidRPr="009E064B" w:rsidRDefault="00865BD1" w:rsidP="00B06A9A">
      <w:pPr>
        <w:tabs>
          <w:tab w:val="left" w:pos="567"/>
        </w:tabs>
        <w:ind w:left="567" w:hanging="567"/>
      </w:pPr>
      <w:r w:rsidRPr="009E064B">
        <w:t>(a)</w:t>
      </w:r>
      <w:r w:rsidRPr="009E064B">
        <w:tab/>
        <w:t>Na turbinach wiatrowych może być zapewnione dodatkowe oznakowanie i oświetlenie, jeśli tak wykaże ocena bezpieczeństwa.</w:t>
      </w:r>
    </w:p>
    <w:p w14:paraId="3C0AE451" w14:textId="77777777" w:rsidR="00865BD1" w:rsidRPr="009E064B" w:rsidRDefault="00865BD1" w:rsidP="00B06A9A">
      <w:pPr>
        <w:tabs>
          <w:tab w:val="left" w:pos="567"/>
        </w:tabs>
        <w:ind w:left="567" w:hanging="567"/>
      </w:pPr>
      <w:r w:rsidRPr="009E064B">
        <w:t>(b)</w:t>
      </w:r>
      <w:r w:rsidRPr="009E064B">
        <w:tab/>
        <w:t>Analiza przypadków dla turbin wiatrowych o całkowitej wysokości większej niż 315 m może wykazać, że konieczne jest dodatkowe oznakowanie i oświetlenie takich turbin.</w:t>
      </w:r>
    </w:p>
    <w:p w14:paraId="08E5D2B1"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7DD65C7" w14:textId="06CA8EAC" w:rsidR="00C36D76" w:rsidRPr="009E064B" w:rsidRDefault="00F73C24" w:rsidP="00F73C24">
      <w:pPr>
        <w:pStyle w:val="Nagwek4"/>
        <w:tabs>
          <w:tab w:val="clear" w:pos="2694"/>
          <w:tab w:val="left" w:pos="3119"/>
        </w:tabs>
        <w:ind w:left="2552" w:hanging="2552"/>
        <w:rPr>
          <w:color w:val="auto"/>
        </w:rPr>
      </w:pPr>
      <w:bookmarkStart w:id="1763" w:name="_Toc482886726"/>
      <w:bookmarkStart w:id="1764" w:name="_Toc12533290"/>
      <w:r w:rsidRPr="009E064B">
        <w:rPr>
          <w:color w:val="auto"/>
        </w:rPr>
        <w:t xml:space="preserve">CS ADR-DSN.Q.852     </w:t>
      </w:r>
      <w:r w:rsidR="001474BD">
        <w:rPr>
          <w:color w:val="auto"/>
        </w:rPr>
        <w:t xml:space="preserve"> </w:t>
      </w:r>
      <w:r w:rsidR="00C36D76" w:rsidRPr="009E064B">
        <w:rPr>
          <w:color w:val="auto"/>
        </w:rPr>
        <w:t>Oznakowanie i oświetlenie przewodów linii napowietrznych, kabli, konstrukcji wsporczych</w:t>
      </w:r>
      <w:bookmarkEnd w:id="1763"/>
      <w:r w:rsidR="00F47F20" w:rsidRPr="009E064B">
        <w:rPr>
          <w:color w:val="auto"/>
        </w:rPr>
        <w:t>, itp.</w:t>
      </w:r>
      <w:bookmarkEnd w:id="1764"/>
    </w:p>
    <w:p w14:paraId="68E08907" w14:textId="038E5992" w:rsidR="00F73C24" w:rsidRPr="009E064B" w:rsidRDefault="00D63D4F" w:rsidP="00F73C24">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3967F3A" w14:textId="5BE81FEC"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Oznakowanie: Przewody, kable, itp., które muszą być oznakowane, powinny być wyposażone w oznaczniki, a ich konstrukcje wsporcze powinny być pomalowane na kolorowo.</w:t>
      </w:r>
    </w:p>
    <w:p w14:paraId="3F9B9855" w14:textId="1F8996B9" w:rsidR="00C36D76" w:rsidRPr="009E064B" w:rsidRDefault="00C36D76" w:rsidP="00B06A9A">
      <w:pPr>
        <w:tabs>
          <w:tab w:val="left" w:pos="567"/>
        </w:tabs>
        <w:ind w:left="567" w:hanging="567"/>
        <w:rPr>
          <w:rFonts w:cs="Times New Roman"/>
          <w:szCs w:val="20"/>
        </w:rPr>
      </w:pPr>
      <w:r w:rsidRPr="009E064B">
        <w:rPr>
          <w:rFonts w:cs="Times New Roman"/>
          <w:szCs w:val="20"/>
        </w:rPr>
        <w:t>(b)</w:t>
      </w:r>
      <w:r w:rsidRPr="009E064B">
        <w:rPr>
          <w:rFonts w:cs="Times New Roman"/>
          <w:szCs w:val="20"/>
        </w:rPr>
        <w:tab/>
        <w:t>Oznakowanie kolorami: Konstrukcje wsporcze przewodów linii napowietrznych, kabli, itp., które wymagają oznakowania, powi</w:t>
      </w:r>
      <w:r w:rsidR="004016A7" w:rsidRPr="009E064B">
        <w:rPr>
          <w:rFonts w:cs="Times New Roman"/>
          <w:szCs w:val="20"/>
        </w:rPr>
        <w:t xml:space="preserve">nny być oznakowane zgodnie z </w:t>
      </w:r>
      <w:hyperlink w:anchor="_CS_ADR-DSN.Q.845_" w:history="1">
        <w:r w:rsidR="004016A7" w:rsidRPr="009E064B">
          <w:rPr>
            <w:rStyle w:val="Hipercze"/>
            <w:rFonts w:cs="Times New Roman"/>
            <w:szCs w:val="20"/>
          </w:rPr>
          <w:t>CS </w:t>
        </w:r>
        <w:r w:rsidRPr="009E064B">
          <w:rPr>
            <w:rStyle w:val="Hipercze"/>
            <w:rFonts w:cs="Times New Roman"/>
            <w:szCs w:val="20"/>
          </w:rPr>
          <w:t>ADR-DSN.Q.845</w:t>
        </w:r>
      </w:hyperlink>
      <w:r w:rsidR="004016A7" w:rsidRPr="009E064B">
        <w:rPr>
          <w:rFonts w:cs="Times New Roman"/>
          <w:szCs w:val="20"/>
        </w:rPr>
        <w:t xml:space="preserve"> lit. </w:t>
      </w:r>
      <w:r w:rsidRPr="009E064B">
        <w:rPr>
          <w:rFonts w:cs="Times New Roman"/>
          <w:szCs w:val="20"/>
        </w:rPr>
        <w:t>(b), z wyjątkiem przypadku, gdy takie oznakowanie konstrukcji wsporczych może być pominięte, jeżeli są one oświetlone światłami przeszko</w:t>
      </w:r>
      <w:r w:rsidR="00AA1B59" w:rsidRPr="009E064B">
        <w:rPr>
          <w:rFonts w:cs="Times New Roman"/>
          <w:szCs w:val="20"/>
        </w:rPr>
        <w:t>dowymi wysokiej intensywności w </w:t>
      </w:r>
      <w:r w:rsidRPr="009E064B">
        <w:rPr>
          <w:rFonts w:cs="Times New Roman"/>
          <w:szCs w:val="20"/>
        </w:rPr>
        <w:t>dzień.</w:t>
      </w:r>
    </w:p>
    <w:p w14:paraId="4F2FBA90"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Oznakowanie za pomocą oznaczników (markerów):</w:t>
      </w:r>
    </w:p>
    <w:p w14:paraId="7514FD4D" w14:textId="2A2A8D14" w:rsidR="00C36D76" w:rsidRPr="009E064B" w:rsidRDefault="00C36D76" w:rsidP="00B06A9A">
      <w:pPr>
        <w:tabs>
          <w:tab w:val="left" w:pos="1134"/>
        </w:tabs>
        <w:ind w:left="1134" w:hanging="567"/>
        <w:rPr>
          <w:rFonts w:cs="Times New Roman"/>
          <w:szCs w:val="20"/>
        </w:rPr>
      </w:pPr>
      <w:r w:rsidRPr="009E064B">
        <w:rPr>
          <w:rFonts w:cs="Times New Roman"/>
          <w:szCs w:val="20"/>
        </w:rPr>
        <w:t>(1)</w:t>
      </w:r>
      <w:r w:rsidRPr="009E064B">
        <w:rPr>
          <w:rFonts w:cs="Times New Roman"/>
          <w:szCs w:val="20"/>
        </w:rPr>
        <w:tab/>
        <w:t>Oznaczniki umieszczone na obiekcie lub przylegające do niego powinny być</w:t>
      </w:r>
      <w:r w:rsidR="004016A7" w:rsidRPr="009E064B">
        <w:rPr>
          <w:rFonts w:cs="Times New Roman"/>
          <w:szCs w:val="20"/>
        </w:rPr>
        <w:t xml:space="preserve"> umieszczone w </w:t>
      </w:r>
      <w:r w:rsidRPr="009E064B">
        <w:rPr>
          <w:rFonts w:cs="Times New Roman"/>
          <w:szCs w:val="20"/>
        </w:rPr>
        <w:t>takich miejscach, aby ogólny kszt</w:t>
      </w:r>
      <w:r w:rsidR="009766C9" w:rsidRPr="009E064B">
        <w:rPr>
          <w:rFonts w:cs="Times New Roman"/>
          <w:szCs w:val="20"/>
        </w:rPr>
        <w:t>ałt obiektu był rozpoznawalny z </w:t>
      </w:r>
      <w:r w:rsidRPr="009E064B">
        <w:rPr>
          <w:rFonts w:cs="Times New Roman"/>
          <w:szCs w:val="20"/>
        </w:rPr>
        <w:t>każdego kierunku, z</w:t>
      </w:r>
      <w:r w:rsidR="00261753" w:rsidRPr="009E064B">
        <w:rPr>
          <w:rFonts w:cs="Times New Roman"/>
          <w:szCs w:val="20"/>
        </w:rPr>
        <w:t> </w:t>
      </w:r>
      <w:r w:rsidRPr="009E064B">
        <w:rPr>
          <w:rFonts w:cs="Times New Roman"/>
          <w:szCs w:val="20"/>
        </w:rPr>
        <w:t>którego może zbliżyć się statek powietrzny, przy d</w:t>
      </w:r>
      <w:r w:rsidR="00CD112F" w:rsidRPr="009E064B">
        <w:rPr>
          <w:rFonts w:cs="Times New Roman"/>
          <w:szCs w:val="20"/>
        </w:rPr>
        <w:t>obrej pogodzie, z odległości co </w:t>
      </w:r>
      <w:r w:rsidRPr="009E064B">
        <w:rPr>
          <w:rFonts w:cs="Times New Roman"/>
          <w:szCs w:val="20"/>
        </w:rPr>
        <w:t>najmniej 1000 m dla obiektu widzianego z powietrza oraz</w:t>
      </w:r>
      <w:r w:rsidR="00CD112F" w:rsidRPr="009E064B">
        <w:rPr>
          <w:rFonts w:cs="Times New Roman"/>
          <w:szCs w:val="20"/>
        </w:rPr>
        <w:t xml:space="preserve"> 300 m dla obiektu widzianego z </w:t>
      </w:r>
      <w:r w:rsidRPr="009E064B">
        <w:rPr>
          <w:rFonts w:cs="Times New Roman"/>
          <w:szCs w:val="20"/>
        </w:rPr>
        <w:t>ziemi. Kształt oznaczników powinien być tak</w:t>
      </w:r>
      <w:r w:rsidR="00CD112F" w:rsidRPr="009E064B">
        <w:rPr>
          <w:rFonts w:cs="Times New Roman"/>
          <w:szCs w:val="20"/>
        </w:rPr>
        <w:t>i, aby nie mogły być pomylone z </w:t>
      </w:r>
      <w:r w:rsidRPr="009E064B">
        <w:rPr>
          <w:rFonts w:cs="Times New Roman"/>
          <w:szCs w:val="20"/>
        </w:rPr>
        <w:t>oznacznikami przeznaczonymi do przekazywania innych informacji oraz by nie powodowały zwiększenia niebezpieczeństwa powodowanego przez obiekt, który oznakowują.</w:t>
      </w:r>
    </w:p>
    <w:p w14:paraId="41466EC1" w14:textId="77777777"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(2) </w:t>
      </w:r>
      <w:r w:rsidRPr="009E064B">
        <w:rPr>
          <w:rFonts w:cs="Times New Roman"/>
          <w:szCs w:val="20"/>
        </w:rPr>
        <w:tab/>
        <w:t>Oznacznik umieszczony na linii napowietrznej, kablu itp. powinien mieć kształt kuli o średnicy nie mniejszej niż 60 cm.</w:t>
      </w:r>
    </w:p>
    <w:p w14:paraId="4613BEA6" w14:textId="549D7331" w:rsidR="00C36D76" w:rsidRPr="009E064B" w:rsidRDefault="00C36D76" w:rsidP="00B06A9A">
      <w:pPr>
        <w:tabs>
          <w:tab w:val="left" w:pos="1134"/>
        </w:tabs>
        <w:ind w:left="1134" w:hanging="567"/>
        <w:rPr>
          <w:rFonts w:cs="Times New Roman"/>
          <w:szCs w:val="20"/>
        </w:rPr>
      </w:pPr>
      <w:r w:rsidRPr="009E064B">
        <w:rPr>
          <w:rFonts w:cs="Times New Roman"/>
          <w:szCs w:val="20"/>
        </w:rPr>
        <w:t xml:space="preserve">(3) </w:t>
      </w:r>
      <w:r w:rsidRPr="009E064B">
        <w:rPr>
          <w:rFonts w:cs="Times New Roman"/>
          <w:szCs w:val="20"/>
        </w:rPr>
        <w:tab/>
        <w:t>Odstęp pomiędzy dwoma sąsiadującymi oznacznik</w:t>
      </w:r>
      <w:r w:rsidR="009766C9" w:rsidRPr="009E064B">
        <w:rPr>
          <w:rFonts w:cs="Times New Roman"/>
          <w:szCs w:val="20"/>
        </w:rPr>
        <w:t>ami lub pomiędzy oznacznikiem a </w:t>
      </w:r>
      <w:r w:rsidRPr="009E064B">
        <w:rPr>
          <w:rFonts w:cs="Times New Roman"/>
          <w:szCs w:val="20"/>
        </w:rPr>
        <w:t>wieżą linii napowietrznej powinien być odpowiedni do średnicy oznacznika. Odstęp ten zwykle nie powinien przekraczać:</w:t>
      </w:r>
    </w:p>
    <w:p w14:paraId="7E85CCA7"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 xml:space="preserve"> (i)</w:t>
      </w:r>
      <w:r w:rsidRPr="009E064B">
        <w:rPr>
          <w:rFonts w:cs="Times New Roman"/>
          <w:szCs w:val="20"/>
        </w:rPr>
        <w:tab/>
        <w:t>30 m, gdy średnica oznacznika wynosi 60 cm wzrastając stopniowo wraz ze wzrostem średnicy do:</w:t>
      </w:r>
    </w:p>
    <w:p w14:paraId="6E092783"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(ii)</w:t>
      </w:r>
      <w:r w:rsidRPr="009E064B">
        <w:rPr>
          <w:rFonts w:cs="Times New Roman"/>
          <w:szCs w:val="20"/>
        </w:rPr>
        <w:tab/>
        <w:t xml:space="preserve">35 m, gdy średnica oznacznika wynosi 80 cm; oraz </w:t>
      </w:r>
    </w:p>
    <w:p w14:paraId="703DCEBD"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(iii)</w:t>
      </w:r>
      <w:r w:rsidRPr="009E064B">
        <w:rPr>
          <w:rFonts w:cs="Times New Roman"/>
          <w:szCs w:val="20"/>
        </w:rPr>
        <w:tab/>
        <w:t>dalej wzrastając proporcjonalnie do wartości maksymalnej 40 m, gdy średnica oznacznika wynosi co najmniej 130 cm.</w:t>
      </w:r>
    </w:p>
    <w:p w14:paraId="0E311622" w14:textId="77777777" w:rsidR="00C36D76" w:rsidRPr="009E064B" w:rsidRDefault="00C36D76" w:rsidP="00B06A9A">
      <w:pPr>
        <w:tabs>
          <w:tab w:val="left" w:pos="1134"/>
        </w:tabs>
        <w:ind w:left="1134"/>
        <w:rPr>
          <w:rFonts w:cs="Times New Roman"/>
          <w:szCs w:val="20"/>
        </w:rPr>
      </w:pPr>
      <w:r w:rsidRPr="009E064B">
        <w:rPr>
          <w:rFonts w:cs="Times New Roman"/>
          <w:szCs w:val="20"/>
        </w:rPr>
        <w:t>W przypadku linii napowietrznych zawierających większą ilość kabli, oznacznik powinien być umieszczony nie niżej niż poziom najwyższego kabla w tym punkcie.</w:t>
      </w:r>
    </w:p>
    <w:p w14:paraId="0C2AD85E" w14:textId="77777777" w:rsidR="00C36D76" w:rsidRPr="009E064B" w:rsidRDefault="00C36D76" w:rsidP="00B06A9A">
      <w:pPr>
        <w:tabs>
          <w:tab w:val="left" w:pos="1134"/>
        </w:tabs>
        <w:ind w:left="1134" w:hanging="567"/>
        <w:rPr>
          <w:rFonts w:cs="Times New Roman"/>
          <w:szCs w:val="20"/>
        </w:rPr>
      </w:pPr>
      <w:r w:rsidRPr="009E064B">
        <w:rPr>
          <w:rFonts w:cs="Times New Roman"/>
          <w:szCs w:val="20"/>
        </w:rPr>
        <w:t>(4)</w:t>
      </w:r>
      <w:r w:rsidRPr="009E064B">
        <w:rPr>
          <w:rFonts w:cs="Times New Roman"/>
          <w:szCs w:val="20"/>
        </w:rPr>
        <w:tab/>
        <w:t>Oznacznik powinien być jednokolorowy. Oznaczniki powinny być rozmieszczone naprzemiennie: biały i czerwony lub alternatywnie biały i pomarańczowy. Wybrane kolory powinny kontrastować z otoczeniem na tle którego będą widziane.</w:t>
      </w:r>
    </w:p>
    <w:p w14:paraId="62BB4299" w14:textId="3EC03D8A" w:rsidR="00C36D76" w:rsidRPr="009E064B" w:rsidRDefault="00C36D76" w:rsidP="00B06A9A">
      <w:pPr>
        <w:tabs>
          <w:tab w:val="left" w:pos="1134"/>
        </w:tabs>
        <w:ind w:left="1134" w:hanging="567"/>
        <w:rPr>
          <w:rFonts w:cs="Times New Roman"/>
          <w:szCs w:val="20"/>
        </w:rPr>
      </w:pPr>
      <w:r w:rsidRPr="009E064B">
        <w:rPr>
          <w:rFonts w:cs="Times New Roman"/>
          <w:szCs w:val="20"/>
        </w:rPr>
        <w:t>(5)</w:t>
      </w:r>
      <w:r w:rsidRPr="009E064B">
        <w:rPr>
          <w:rFonts w:cs="Times New Roman"/>
          <w:szCs w:val="20"/>
        </w:rPr>
        <w:tab/>
        <w:t xml:space="preserve">Jeżeli ustalono, że kable, przewody linii napowietrznych itp. powinny posiadać oznakowanie, ale nie jest praktyczne instalowanie oznaczników na kablach lub przewodach itp., wówczas na konstrukcjach wsporczych tych kabli lub przewodów powinno się instalować światła przeszkodowe wysokiej intensywności, </w:t>
      </w:r>
      <w:r w:rsidR="007655D0" w:rsidRPr="009E064B">
        <w:rPr>
          <w:rFonts w:cs="Times New Roman"/>
          <w:szCs w:val="20"/>
        </w:rPr>
        <w:t>typ</w:t>
      </w:r>
      <w:r w:rsidRPr="009E064B">
        <w:rPr>
          <w:rFonts w:cs="Times New Roman"/>
          <w:szCs w:val="20"/>
        </w:rPr>
        <w:t>u B.</w:t>
      </w:r>
    </w:p>
    <w:p w14:paraId="44F6C71E"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(d)</w:t>
      </w:r>
      <w:r w:rsidRPr="009E064B">
        <w:rPr>
          <w:rFonts w:cs="Times New Roman"/>
          <w:szCs w:val="20"/>
        </w:rPr>
        <w:tab/>
        <w:t>Oświetlenie</w:t>
      </w:r>
    </w:p>
    <w:p w14:paraId="4A419414" w14:textId="3E87460A" w:rsidR="00C36D76" w:rsidRPr="009E064B" w:rsidRDefault="00C36D76" w:rsidP="00B06A9A">
      <w:pPr>
        <w:tabs>
          <w:tab w:val="left" w:pos="1134"/>
        </w:tabs>
        <w:ind w:left="1134" w:hanging="567"/>
        <w:rPr>
          <w:rFonts w:cs="Times New Roman"/>
          <w:szCs w:val="20"/>
        </w:rPr>
      </w:pPr>
      <w:r w:rsidRPr="009E064B">
        <w:rPr>
          <w:rFonts w:cs="Times New Roman"/>
          <w:szCs w:val="20"/>
        </w:rPr>
        <w:t>(1)</w:t>
      </w:r>
      <w:r w:rsidRPr="009E064B">
        <w:rPr>
          <w:rFonts w:cs="Times New Roman"/>
          <w:szCs w:val="20"/>
        </w:rPr>
        <w:tab/>
        <w:t xml:space="preserve">Światła przeszkodowe wysokiej intensywności </w:t>
      </w:r>
      <w:r w:rsidR="007655D0" w:rsidRPr="009E064B">
        <w:rPr>
          <w:rFonts w:cs="Times New Roman"/>
          <w:szCs w:val="20"/>
        </w:rPr>
        <w:t>typ</w:t>
      </w:r>
      <w:r w:rsidRPr="009E064B">
        <w:rPr>
          <w:rFonts w:cs="Times New Roman"/>
          <w:szCs w:val="20"/>
        </w:rPr>
        <w:t>u B, powinny być stosowane w celu oznaczenia obecności konstrukcji wsporczych kabli oraz linii napowietrznych itp. w przypadku, jeżeli:</w:t>
      </w:r>
    </w:p>
    <w:p w14:paraId="50DA965C"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w:t>
      </w:r>
      <w:r w:rsidRPr="009E064B">
        <w:rPr>
          <w:rFonts w:cs="Times New Roman"/>
          <w:szCs w:val="20"/>
        </w:rPr>
        <w:tab/>
        <w:t xml:space="preserve">ocena bezpieczeństwa wykaże, że zastosowanie takich świateł ma istotne znaczenie dla rozpoznawania obecności kabli oraz linii itp.; lub </w:t>
      </w:r>
    </w:p>
    <w:p w14:paraId="6CC7321E"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(ii)</w:t>
      </w:r>
      <w:r w:rsidRPr="009E064B">
        <w:rPr>
          <w:rFonts w:cs="Times New Roman"/>
          <w:szCs w:val="20"/>
        </w:rPr>
        <w:tab/>
        <w:t>nie jest praktyczne instalowanie oznaczników na kablach lub liniach itp.</w:t>
      </w:r>
    </w:p>
    <w:p w14:paraId="30DA9BEA" w14:textId="32C5D20E" w:rsidR="00C36D76" w:rsidRPr="009E064B" w:rsidRDefault="00C36D76" w:rsidP="00B06A9A">
      <w:pPr>
        <w:tabs>
          <w:tab w:val="left" w:pos="1134"/>
        </w:tabs>
        <w:ind w:left="1134" w:hanging="567"/>
        <w:rPr>
          <w:rFonts w:cs="Times New Roman"/>
          <w:szCs w:val="20"/>
        </w:rPr>
      </w:pPr>
      <w:r w:rsidRPr="009E064B">
        <w:rPr>
          <w:rFonts w:cs="Times New Roman"/>
          <w:szCs w:val="20"/>
        </w:rPr>
        <w:t>(2)</w:t>
      </w:r>
      <w:r w:rsidRPr="009E064B">
        <w:rPr>
          <w:rFonts w:cs="Times New Roman"/>
          <w:szCs w:val="20"/>
        </w:rPr>
        <w:tab/>
        <w:t xml:space="preserve">W przypadku stosowania świateł przeszkodowych wysokiej intensywności </w:t>
      </w:r>
      <w:r w:rsidR="007655D0" w:rsidRPr="009E064B">
        <w:rPr>
          <w:rFonts w:cs="Times New Roman"/>
          <w:szCs w:val="20"/>
        </w:rPr>
        <w:t>typ</w:t>
      </w:r>
      <w:r w:rsidRPr="009E064B">
        <w:rPr>
          <w:rFonts w:cs="Times New Roman"/>
          <w:szCs w:val="20"/>
        </w:rPr>
        <w:t>u B, powinny być one umieszczone na trzech poziomach:</w:t>
      </w:r>
    </w:p>
    <w:p w14:paraId="4D9C32F4"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w:t>
      </w:r>
      <w:r w:rsidRPr="009E064B">
        <w:rPr>
          <w:rFonts w:cs="Times New Roman"/>
          <w:szCs w:val="20"/>
        </w:rPr>
        <w:tab/>
        <w:t>na wierzchołku wieży;</w:t>
      </w:r>
    </w:p>
    <w:p w14:paraId="7C5B9766"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(ii)</w:t>
      </w:r>
      <w:r w:rsidRPr="009E064B">
        <w:rPr>
          <w:rFonts w:cs="Times New Roman"/>
          <w:szCs w:val="20"/>
        </w:rPr>
        <w:tab/>
        <w:t>na najniższym poziomie zwisu kabla lub przewodu; oraz</w:t>
      </w:r>
    </w:p>
    <w:p w14:paraId="60CC1F4F" w14:textId="77777777" w:rsidR="00C36D76" w:rsidRPr="009E064B" w:rsidRDefault="00C36D76" w:rsidP="00B06A9A">
      <w:pPr>
        <w:tabs>
          <w:tab w:val="left" w:pos="1701"/>
        </w:tabs>
        <w:ind w:left="1701" w:hanging="567"/>
        <w:rPr>
          <w:rFonts w:cs="Times New Roman"/>
          <w:szCs w:val="20"/>
        </w:rPr>
      </w:pPr>
      <w:r w:rsidRPr="009E064B">
        <w:rPr>
          <w:rFonts w:cs="Times New Roman"/>
          <w:szCs w:val="20"/>
        </w:rPr>
        <w:t>(iii)</w:t>
      </w:r>
      <w:r w:rsidRPr="009E064B">
        <w:rPr>
          <w:rFonts w:cs="Times New Roman"/>
          <w:szCs w:val="20"/>
        </w:rPr>
        <w:tab/>
        <w:t>w przybliżeniu w połowie odległości pomiędzy tymi dwoma poziomami.</w:t>
      </w:r>
    </w:p>
    <w:p w14:paraId="11DA1243" w14:textId="14FAF982" w:rsidR="00C36D76" w:rsidRPr="009E064B" w:rsidRDefault="00C36D76" w:rsidP="00B06A9A">
      <w:pPr>
        <w:tabs>
          <w:tab w:val="left" w:pos="1134"/>
        </w:tabs>
        <w:spacing w:after="240"/>
        <w:ind w:left="1134" w:hanging="567"/>
        <w:rPr>
          <w:rFonts w:cs="Times New Roman"/>
          <w:szCs w:val="20"/>
        </w:rPr>
      </w:pPr>
      <w:r w:rsidRPr="009E064B">
        <w:rPr>
          <w:rFonts w:cs="Times New Roman"/>
          <w:szCs w:val="20"/>
        </w:rPr>
        <w:t>(3)</w:t>
      </w:r>
      <w:r w:rsidRPr="009E064B">
        <w:rPr>
          <w:rFonts w:cs="Times New Roman"/>
          <w:szCs w:val="20"/>
        </w:rPr>
        <w:tab/>
        <w:t xml:space="preserve">Światła przeszkodowe wysokiej intensywności </w:t>
      </w:r>
      <w:r w:rsidR="007655D0" w:rsidRPr="009E064B">
        <w:rPr>
          <w:rFonts w:cs="Times New Roman"/>
          <w:szCs w:val="20"/>
        </w:rPr>
        <w:t>typ</w:t>
      </w:r>
      <w:r w:rsidRPr="009E064B">
        <w:rPr>
          <w:rFonts w:cs="Times New Roman"/>
          <w:szCs w:val="20"/>
        </w:rPr>
        <w:t xml:space="preserve">u B wskazujące obecność konstrukcji wsporczej przewodów, kabli </w:t>
      </w:r>
      <w:r w:rsidR="005B0CBD" w:rsidRPr="009E064B">
        <w:rPr>
          <w:rFonts w:cs="Times New Roman"/>
          <w:szCs w:val="20"/>
        </w:rPr>
        <w:t>itp., powinny błyskać kolejno w </w:t>
      </w:r>
      <w:r w:rsidRPr="009E064B">
        <w:rPr>
          <w:rFonts w:cs="Times New Roman"/>
          <w:szCs w:val="20"/>
        </w:rPr>
        <w:t>następującym porządku: najpierw światło pośrednie, następnie światło najwyższe, na końcu światło najniższe. Czas przerw pomiędzy błyskami, w porównaniu do czasu stałego cyklu, powinien w przybliżeniu odpowiadać następującej zależności:</w:t>
      </w:r>
    </w:p>
    <w:tbl>
      <w:tblPr>
        <w:tblStyle w:val="Tabela-Siatka"/>
        <w:tblW w:w="0" w:type="auto"/>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top w:w="113" w:type="dxa"/>
          <w:bottom w:w="113" w:type="dxa"/>
        </w:tblCellMar>
        <w:tblLook w:val="04A0" w:firstRow="1" w:lastRow="0" w:firstColumn="1" w:lastColumn="0" w:noHBand="0" w:noVBand="1"/>
      </w:tblPr>
      <w:tblGrid>
        <w:gridCol w:w="3438"/>
        <w:gridCol w:w="2869"/>
      </w:tblGrid>
      <w:tr w:rsidR="00C36D76" w:rsidRPr="009E064B" w14:paraId="70A94081" w14:textId="77777777" w:rsidTr="004016A7">
        <w:trPr>
          <w:jc w:val="center"/>
        </w:trPr>
        <w:tc>
          <w:tcPr>
            <w:tcW w:w="3438" w:type="dxa"/>
          </w:tcPr>
          <w:p w14:paraId="75FB51C7" w14:textId="77777777" w:rsidR="00C36D76" w:rsidRPr="009E064B" w:rsidRDefault="00C36D76" w:rsidP="004016A7">
            <w:pPr>
              <w:tabs>
                <w:tab w:val="left" w:pos="567"/>
              </w:tabs>
              <w:spacing w:after="0"/>
              <w:ind w:left="567" w:hanging="567"/>
              <w:jc w:val="center"/>
              <w:rPr>
                <w:b/>
                <w:iCs/>
                <w:szCs w:val="20"/>
              </w:rPr>
            </w:pPr>
            <w:r w:rsidRPr="009E064B">
              <w:rPr>
                <w:b/>
                <w:bCs/>
                <w:iCs/>
                <w:szCs w:val="20"/>
              </w:rPr>
              <w:t>Przerwa pomiędzy błyskami</w:t>
            </w:r>
          </w:p>
        </w:tc>
        <w:tc>
          <w:tcPr>
            <w:tcW w:w="2869" w:type="dxa"/>
          </w:tcPr>
          <w:p w14:paraId="457D3D66" w14:textId="77777777" w:rsidR="00C36D76" w:rsidRPr="009E064B" w:rsidRDefault="00C36D76" w:rsidP="004016A7">
            <w:pPr>
              <w:tabs>
                <w:tab w:val="left" w:pos="567"/>
              </w:tabs>
              <w:spacing w:after="0"/>
              <w:ind w:left="567" w:hanging="567"/>
              <w:jc w:val="center"/>
              <w:rPr>
                <w:b/>
                <w:iCs/>
                <w:szCs w:val="20"/>
              </w:rPr>
            </w:pPr>
            <w:r w:rsidRPr="009E064B">
              <w:rPr>
                <w:b/>
                <w:bCs/>
                <w:iCs/>
                <w:szCs w:val="20"/>
              </w:rPr>
              <w:t>Współczynnik czasu cyklu</w:t>
            </w:r>
          </w:p>
        </w:tc>
      </w:tr>
      <w:tr w:rsidR="00C36D76" w:rsidRPr="009E064B" w14:paraId="213BBFFF" w14:textId="77777777" w:rsidTr="004016A7">
        <w:trPr>
          <w:jc w:val="center"/>
        </w:trPr>
        <w:tc>
          <w:tcPr>
            <w:tcW w:w="3438" w:type="dxa"/>
            <w:tcMar>
              <w:top w:w="85" w:type="dxa"/>
              <w:bottom w:w="85" w:type="dxa"/>
            </w:tcMar>
          </w:tcPr>
          <w:p w14:paraId="281C7586" w14:textId="77777777" w:rsidR="00C36D76" w:rsidRPr="009E064B" w:rsidRDefault="00C36D76" w:rsidP="004016A7">
            <w:pPr>
              <w:tabs>
                <w:tab w:val="left" w:pos="567"/>
              </w:tabs>
              <w:spacing w:after="0"/>
              <w:ind w:left="567" w:hanging="567"/>
              <w:jc w:val="center"/>
              <w:rPr>
                <w:i/>
                <w:iCs/>
                <w:szCs w:val="20"/>
              </w:rPr>
            </w:pPr>
            <w:r w:rsidRPr="009E064B">
              <w:rPr>
                <w:i/>
                <w:iCs/>
                <w:szCs w:val="20"/>
              </w:rPr>
              <w:t>światło pośrednie i najwyższe</w:t>
            </w:r>
          </w:p>
        </w:tc>
        <w:tc>
          <w:tcPr>
            <w:tcW w:w="2869" w:type="dxa"/>
            <w:tcMar>
              <w:top w:w="85" w:type="dxa"/>
              <w:bottom w:w="85" w:type="dxa"/>
            </w:tcMar>
          </w:tcPr>
          <w:p w14:paraId="66D55571" w14:textId="77777777" w:rsidR="00C36D76" w:rsidRPr="009E064B" w:rsidRDefault="00C36D76" w:rsidP="004016A7">
            <w:pPr>
              <w:tabs>
                <w:tab w:val="left" w:pos="567"/>
              </w:tabs>
              <w:spacing w:after="0"/>
              <w:ind w:left="567" w:hanging="567"/>
              <w:jc w:val="center"/>
              <w:rPr>
                <w:i/>
                <w:iCs/>
                <w:szCs w:val="20"/>
              </w:rPr>
            </w:pPr>
            <w:r w:rsidRPr="009E064B">
              <w:rPr>
                <w:i/>
                <w:iCs/>
                <w:szCs w:val="20"/>
              </w:rPr>
              <w:t>1/13</w:t>
            </w:r>
          </w:p>
        </w:tc>
      </w:tr>
      <w:tr w:rsidR="00C36D76" w:rsidRPr="009E064B" w14:paraId="1CEE18DF" w14:textId="77777777" w:rsidTr="004016A7">
        <w:trPr>
          <w:jc w:val="center"/>
        </w:trPr>
        <w:tc>
          <w:tcPr>
            <w:tcW w:w="3438" w:type="dxa"/>
            <w:tcMar>
              <w:top w:w="85" w:type="dxa"/>
              <w:bottom w:w="85" w:type="dxa"/>
            </w:tcMar>
          </w:tcPr>
          <w:p w14:paraId="0C415B5A" w14:textId="77777777" w:rsidR="00C36D76" w:rsidRPr="009E064B" w:rsidRDefault="00C36D76" w:rsidP="004016A7">
            <w:pPr>
              <w:tabs>
                <w:tab w:val="left" w:pos="567"/>
              </w:tabs>
              <w:spacing w:after="0"/>
              <w:ind w:left="567" w:hanging="567"/>
              <w:jc w:val="center"/>
              <w:rPr>
                <w:i/>
                <w:iCs/>
                <w:szCs w:val="20"/>
              </w:rPr>
            </w:pPr>
            <w:r w:rsidRPr="009E064B">
              <w:rPr>
                <w:i/>
                <w:iCs/>
                <w:szCs w:val="20"/>
              </w:rPr>
              <w:t>światło najwyższe i najniższe</w:t>
            </w:r>
          </w:p>
        </w:tc>
        <w:tc>
          <w:tcPr>
            <w:tcW w:w="2869" w:type="dxa"/>
            <w:tcMar>
              <w:top w:w="85" w:type="dxa"/>
              <w:bottom w:w="85" w:type="dxa"/>
            </w:tcMar>
          </w:tcPr>
          <w:p w14:paraId="425A4AA3" w14:textId="77777777" w:rsidR="00C36D76" w:rsidRPr="009E064B" w:rsidRDefault="00C36D76" w:rsidP="004016A7">
            <w:pPr>
              <w:tabs>
                <w:tab w:val="left" w:pos="567"/>
              </w:tabs>
              <w:spacing w:after="0"/>
              <w:ind w:left="567" w:hanging="567"/>
              <w:jc w:val="center"/>
              <w:rPr>
                <w:i/>
                <w:iCs/>
                <w:szCs w:val="20"/>
              </w:rPr>
            </w:pPr>
            <w:r w:rsidRPr="009E064B">
              <w:rPr>
                <w:i/>
                <w:iCs/>
                <w:szCs w:val="20"/>
              </w:rPr>
              <w:t>2/13</w:t>
            </w:r>
          </w:p>
        </w:tc>
      </w:tr>
      <w:tr w:rsidR="00C36D76" w:rsidRPr="009E064B" w14:paraId="2D0D4D27" w14:textId="77777777" w:rsidTr="004016A7">
        <w:trPr>
          <w:jc w:val="center"/>
        </w:trPr>
        <w:tc>
          <w:tcPr>
            <w:tcW w:w="3438" w:type="dxa"/>
            <w:tcMar>
              <w:top w:w="85" w:type="dxa"/>
              <w:bottom w:w="85" w:type="dxa"/>
            </w:tcMar>
          </w:tcPr>
          <w:p w14:paraId="753CEBB0" w14:textId="77777777" w:rsidR="00C36D76" w:rsidRPr="009E064B" w:rsidRDefault="00C36D76" w:rsidP="004016A7">
            <w:pPr>
              <w:tabs>
                <w:tab w:val="left" w:pos="567"/>
              </w:tabs>
              <w:spacing w:after="0"/>
              <w:ind w:left="567" w:hanging="567"/>
              <w:jc w:val="center"/>
              <w:rPr>
                <w:i/>
                <w:iCs/>
                <w:szCs w:val="20"/>
              </w:rPr>
            </w:pPr>
            <w:r w:rsidRPr="009E064B">
              <w:rPr>
                <w:i/>
                <w:iCs/>
                <w:szCs w:val="20"/>
              </w:rPr>
              <w:t>światło najniższe i pośrednie</w:t>
            </w:r>
          </w:p>
        </w:tc>
        <w:tc>
          <w:tcPr>
            <w:tcW w:w="2869" w:type="dxa"/>
            <w:tcMar>
              <w:top w:w="85" w:type="dxa"/>
              <w:bottom w:w="85" w:type="dxa"/>
            </w:tcMar>
          </w:tcPr>
          <w:p w14:paraId="3D2AC67C" w14:textId="77777777" w:rsidR="00C36D76" w:rsidRPr="009E064B" w:rsidRDefault="00C36D76" w:rsidP="004016A7">
            <w:pPr>
              <w:tabs>
                <w:tab w:val="left" w:pos="567"/>
              </w:tabs>
              <w:spacing w:after="0"/>
              <w:ind w:left="567" w:hanging="567"/>
              <w:jc w:val="center"/>
              <w:rPr>
                <w:i/>
                <w:iCs/>
                <w:szCs w:val="20"/>
              </w:rPr>
            </w:pPr>
            <w:r w:rsidRPr="009E064B">
              <w:rPr>
                <w:i/>
                <w:iCs/>
                <w:szCs w:val="20"/>
              </w:rPr>
              <w:t>10/13</w:t>
            </w:r>
          </w:p>
        </w:tc>
      </w:tr>
    </w:tbl>
    <w:p w14:paraId="72559D4B" w14:textId="77777777" w:rsidR="00C36D76" w:rsidRPr="009E064B" w:rsidRDefault="00C36D76" w:rsidP="00B06A9A">
      <w:pPr>
        <w:tabs>
          <w:tab w:val="left" w:pos="567"/>
        </w:tabs>
        <w:ind w:left="567" w:hanging="567"/>
        <w:rPr>
          <w:szCs w:val="20"/>
        </w:rPr>
      </w:pPr>
    </w:p>
    <w:p w14:paraId="59803510" w14:textId="43A7EB85" w:rsidR="00C36D76" w:rsidRPr="009E064B" w:rsidRDefault="00C36D76" w:rsidP="00B06A9A">
      <w:pPr>
        <w:tabs>
          <w:tab w:val="left" w:pos="1134"/>
        </w:tabs>
        <w:spacing w:after="240"/>
        <w:ind w:left="1134" w:hanging="567"/>
        <w:rPr>
          <w:rFonts w:cs="Times New Roman"/>
          <w:szCs w:val="20"/>
        </w:rPr>
      </w:pPr>
      <w:r w:rsidRPr="009E064B">
        <w:rPr>
          <w:rFonts w:cs="Times New Roman"/>
          <w:szCs w:val="20"/>
        </w:rPr>
        <w:t>(4)</w:t>
      </w:r>
      <w:r w:rsidRPr="009E064B">
        <w:rPr>
          <w:rFonts w:cs="Times New Roman"/>
          <w:szCs w:val="20"/>
        </w:rPr>
        <w:tab/>
        <w:t xml:space="preserve">Kąty, pod jakimi instalowane są światła przeszkodowe wysokiej intensywności </w:t>
      </w:r>
      <w:r w:rsidR="007655D0" w:rsidRPr="009E064B">
        <w:rPr>
          <w:rFonts w:cs="Times New Roman"/>
          <w:szCs w:val="20"/>
        </w:rPr>
        <w:t>typ</w:t>
      </w:r>
      <w:r w:rsidRPr="009E064B">
        <w:rPr>
          <w:rFonts w:cs="Times New Roman"/>
          <w:szCs w:val="20"/>
        </w:rPr>
        <w:t>u B, powinny być zgodne z wymaganiami określonymi w Tabeli Q-5.</w:t>
      </w:r>
    </w:p>
    <w:p w14:paraId="35FB6EF2" w14:textId="77777777" w:rsidR="009766C9" w:rsidRPr="009E064B" w:rsidRDefault="009766C9" w:rsidP="00B06A9A">
      <w:pPr>
        <w:tabs>
          <w:tab w:val="left" w:pos="1134"/>
        </w:tabs>
        <w:spacing w:after="240"/>
        <w:ind w:left="1134" w:hanging="567"/>
        <w:rPr>
          <w:rFonts w:cs="Times New Roman"/>
          <w:szCs w:val="20"/>
        </w:rPr>
      </w:pPr>
    </w:p>
    <w:p w14:paraId="0E93DBDA" w14:textId="77777777" w:rsidR="009766C9" w:rsidRPr="009E064B" w:rsidRDefault="009766C9" w:rsidP="00B06A9A">
      <w:pPr>
        <w:ind w:left="425" w:right="-6" w:hanging="425"/>
        <w:jc w:val="left"/>
        <w:rPr>
          <w:rFonts w:cs="Times New Roman"/>
          <w:szCs w:val="20"/>
        </w:rPr>
        <w:sectPr w:rsidR="009766C9" w:rsidRPr="009E064B" w:rsidSect="00AE1280">
          <w:headerReference w:type="default" r:id="rId236"/>
          <w:headerReference w:type="first" r:id="rId237"/>
          <w:pgSz w:w="11906" w:h="16840" w:code="9"/>
          <w:pgMar w:top="1701" w:right="1418" w:bottom="1418" w:left="1418" w:header="567" w:footer="454" w:gutter="0"/>
          <w:cols w:space="708"/>
          <w:titlePg/>
          <w:docGrid w:linePitch="360"/>
        </w:sectPr>
      </w:pPr>
    </w:p>
    <w:tbl>
      <w:tblPr>
        <w:tblStyle w:val="Tabela-Siatka1"/>
        <w:tblW w:w="5000" w:type="pct"/>
        <w:jc w:val="center"/>
        <w:tblLook w:val="04A0" w:firstRow="1" w:lastRow="0" w:firstColumn="1" w:lastColumn="0" w:noHBand="0" w:noVBand="1"/>
      </w:tblPr>
      <w:tblGrid>
        <w:gridCol w:w="2110"/>
        <w:gridCol w:w="1143"/>
        <w:gridCol w:w="1437"/>
        <w:gridCol w:w="1190"/>
        <w:gridCol w:w="1191"/>
        <w:gridCol w:w="892"/>
        <w:gridCol w:w="1192"/>
      </w:tblGrid>
      <w:tr w:rsidR="00C36D76" w:rsidRPr="009E064B" w14:paraId="797E6E1C" w14:textId="77777777" w:rsidTr="00CD112F">
        <w:trPr>
          <w:trHeight w:val="253"/>
          <w:jc w:val="center"/>
        </w:trPr>
        <w:tc>
          <w:tcPr>
            <w:tcW w:w="2087" w:type="dxa"/>
            <w:vMerge w:val="restart"/>
            <w:tcMar>
              <w:top w:w="85" w:type="dxa"/>
              <w:left w:w="57" w:type="dxa"/>
              <w:bottom w:w="85" w:type="dxa"/>
              <w:right w:w="28" w:type="dxa"/>
            </w:tcMar>
            <w:vAlign w:val="center"/>
          </w:tcPr>
          <w:p w14:paraId="329F2EB2" w14:textId="01C4A978" w:rsidR="00C36D76" w:rsidRPr="009E064B" w:rsidRDefault="007655D0" w:rsidP="00F47F20">
            <w:pPr>
              <w:spacing w:after="0"/>
              <w:ind w:left="11"/>
              <w:jc w:val="center"/>
              <w:rPr>
                <w:rFonts w:asciiTheme="minorHAnsi" w:hAnsiTheme="minorHAnsi" w:cstheme="minorHAnsi"/>
                <w:b/>
              </w:rPr>
            </w:pPr>
            <w:r w:rsidRPr="009E064B">
              <w:rPr>
                <w:rFonts w:asciiTheme="minorHAnsi" w:hAnsiTheme="minorHAnsi" w:cstheme="minorHAnsi"/>
                <w:b/>
              </w:rPr>
              <w:t>Typ</w:t>
            </w:r>
            <w:r w:rsidR="00C36D76" w:rsidRPr="009E064B">
              <w:rPr>
                <w:rFonts w:asciiTheme="minorHAnsi" w:hAnsiTheme="minorHAnsi" w:cstheme="minorHAnsi"/>
                <w:b/>
              </w:rPr>
              <w:t xml:space="preserve"> światła</w:t>
            </w:r>
          </w:p>
        </w:tc>
        <w:tc>
          <w:tcPr>
            <w:tcW w:w="1131" w:type="dxa"/>
            <w:vMerge w:val="restart"/>
            <w:tcMar>
              <w:top w:w="85" w:type="dxa"/>
              <w:left w:w="28" w:type="dxa"/>
              <w:bottom w:w="85" w:type="dxa"/>
              <w:right w:w="28" w:type="dxa"/>
            </w:tcMar>
            <w:vAlign w:val="center"/>
          </w:tcPr>
          <w:p w14:paraId="1FCF3A2F"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Kolor</w:t>
            </w:r>
          </w:p>
        </w:tc>
        <w:tc>
          <w:tcPr>
            <w:tcW w:w="1422" w:type="dxa"/>
            <w:vMerge w:val="restart"/>
            <w:tcMar>
              <w:top w:w="85" w:type="dxa"/>
              <w:left w:w="28" w:type="dxa"/>
              <w:bottom w:w="85" w:type="dxa"/>
              <w:right w:w="28" w:type="dxa"/>
            </w:tcMar>
            <w:vAlign w:val="center"/>
          </w:tcPr>
          <w:p w14:paraId="6BF7D68B"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Rodzaj sygnału/</w:t>
            </w:r>
          </w:p>
          <w:p w14:paraId="1DEE788D"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częstotliwość błysków</w:t>
            </w:r>
          </w:p>
        </w:tc>
        <w:tc>
          <w:tcPr>
            <w:tcW w:w="3240" w:type="dxa"/>
            <w:gridSpan w:val="3"/>
            <w:tcMar>
              <w:top w:w="85" w:type="dxa"/>
              <w:left w:w="28" w:type="dxa"/>
              <w:bottom w:w="85" w:type="dxa"/>
              <w:right w:w="28" w:type="dxa"/>
            </w:tcMar>
            <w:vAlign w:val="center"/>
          </w:tcPr>
          <w:p w14:paraId="60937BFB" w14:textId="637D1271"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 xml:space="preserve">Wartość szczytowa intensywności (cd) </w:t>
            </w:r>
            <w:r w:rsidR="006B294A" w:rsidRPr="009E064B">
              <w:rPr>
                <w:rFonts w:asciiTheme="minorHAnsi" w:hAnsiTheme="minorHAnsi" w:cstheme="minorHAnsi"/>
                <w:b/>
              </w:rPr>
              <w:br/>
            </w:r>
            <w:r w:rsidRPr="009E064B">
              <w:rPr>
                <w:rFonts w:asciiTheme="minorHAnsi" w:hAnsiTheme="minorHAnsi" w:cstheme="minorHAnsi"/>
                <w:b/>
              </w:rPr>
              <w:t>przy danej luminancji tła</w:t>
            </w:r>
            <w:r w:rsidRPr="009E064B">
              <w:rPr>
                <w:rFonts w:asciiTheme="minorHAnsi" w:hAnsiTheme="minorHAnsi" w:cstheme="minorHAnsi"/>
                <w:vertAlign w:val="superscript"/>
              </w:rPr>
              <w:t>(b)</w:t>
            </w:r>
          </w:p>
        </w:tc>
        <w:tc>
          <w:tcPr>
            <w:tcW w:w="1180" w:type="dxa"/>
            <w:vMerge w:val="restart"/>
            <w:tcMar>
              <w:top w:w="85" w:type="dxa"/>
              <w:left w:w="28" w:type="dxa"/>
              <w:bottom w:w="85" w:type="dxa"/>
              <w:right w:w="28" w:type="dxa"/>
            </w:tcMar>
            <w:vAlign w:val="center"/>
          </w:tcPr>
          <w:p w14:paraId="15084652"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Tabela określająca rozsył światła</w:t>
            </w:r>
          </w:p>
        </w:tc>
      </w:tr>
      <w:tr w:rsidR="00C36D76" w:rsidRPr="009E064B" w14:paraId="03FA11A2" w14:textId="77777777" w:rsidTr="00CD112F">
        <w:trPr>
          <w:trHeight w:val="252"/>
          <w:jc w:val="center"/>
        </w:trPr>
        <w:tc>
          <w:tcPr>
            <w:tcW w:w="2087" w:type="dxa"/>
            <w:vMerge/>
            <w:tcMar>
              <w:top w:w="85" w:type="dxa"/>
              <w:left w:w="57" w:type="dxa"/>
              <w:bottom w:w="85" w:type="dxa"/>
              <w:right w:w="28" w:type="dxa"/>
            </w:tcMar>
            <w:vAlign w:val="center"/>
          </w:tcPr>
          <w:p w14:paraId="02531C77" w14:textId="77777777" w:rsidR="00C36D76" w:rsidRPr="009E064B" w:rsidRDefault="00C36D76" w:rsidP="00F47F20">
            <w:pPr>
              <w:spacing w:after="0"/>
              <w:ind w:left="11"/>
              <w:jc w:val="left"/>
              <w:rPr>
                <w:rFonts w:asciiTheme="minorHAnsi" w:hAnsiTheme="minorHAnsi" w:cstheme="minorHAnsi"/>
                <w:b/>
              </w:rPr>
            </w:pPr>
          </w:p>
        </w:tc>
        <w:tc>
          <w:tcPr>
            <w:tcW w:w="1131" w:type="dxa"/>
            <w:vMerge/>
            <w:tcMar>
              <w:top w:w="85" w:type="dxa"/>
              <w:left w:w="28" w:type="dxa"/>
              <w:bottom w:w="85" w:type="dxa"/>
              <w:right w:w="28" w:type="dxa"/>
            </w:tcMar>
            <w:vAlign w:val="center"/>
          </w:tcPr>
          <w:p w14:paraId="4977B11C" w14:textId="77777777" w:rsidR="00C36D76" w:rsidRPr="009E064B" w:rsidRDefault="00C36D76" w:rsidP="00F47F20">
            <w:pPr>
              <w:spacing w:after="0"/>
              <w:ind w:left="11"/>
              <w:jc w:val="center"/>
              <w:rPr>
                <w:rFonts w:asciiTheme="minorHAnsi" w:hAnsiTheme="minorHAnsi" w:cstheme="minorHAnsi"/>
                <w:b/>
              </w:rPr>
            </w:pPr>
          </w:p>
        </w:tc>
        <w:tc>
          <w:tcPr>
            <w:tcW w:w="1422" w:type="dxa"/>
            <w:vMerge/>
            <w:tcMar>
              <w:top w:w="85" w:type="dxa"/>
              <w:left w:w="28" w:type="dxa"/>
              <w:bottom w:w="85" w:type="dxa"/>
              <w:right w:w="28" w:type="dxa"/>
            </w:tcMar>
            <w:vAlign w:val="center"/>
          </w:tcPr>
          <w:p w14:paraId="0FD25BA4" w14:textId="77777777" w:rsidR="00C36D76" w:rsidRPr="009E064B" w:rsidRDefault="00C36D76" w:rsidP="00F47F20">
            <w:pPr>
              <w:spacing w:after="0"/>
              <w:ind w:left="11"/>
              <w:jc w:val="center"/>
              <w:rPr>
                <w:rFonts w:asciiTheme="minorHAnsi" w:hAnsiTheme="minorHAnsi" w:cstheme="minorHAnsi"/>
                <w:b/>
              </w:rPr>
            </w:pPr>
          </w:p>
        </w:tc>
        <w:tc>
          <w:tcPr>
            <w:tcW w:w="1178" w:type="dxa"/>
            <w:tcMar>
              <w:top w:w="85" w:type="dxa"/>
              <w:left w:w="28" w:type="dxa"/>
              <w:bottom w:w="85" w:type="dxa"/>
              <w:right w:w="28" w:type="dxa"/>
            </w:tcMar>
            <w:vAlign w:val="center"/>
          </w:tcPr>
          <w:p w14:paraId="14124C3E"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Dzień</w:t>
            </w:r>
          </w:p>
          <w:p w14:paraId="1D0399B4" w14:textId="77777777" w:rsidR="00C36D76" w:rsidRPr="009E064B" w:rsidRDefault="00C36D76" w:rsidP="00F47F20">
            <w:pPr>
              <w:spacing w:after="0"/>
              <w:ind w:left="11"/>
              <w:jc w:val="center"/>
              <w:rPr>
                <w:rFonts w:asciiTheme="minorHAnsi" w:hAnsiTheme="minorHAnsi" w:cstheme="minorHAnsi"/>
                <w:b/>
                <w:vertAlign w:val="superscript"/>
              </w:rPr>
            </w:pPr>
            <w:r w:rsidRPr="009E064B">
              <w:rPr>
                <w:rFonts w:asciiTheme="minorHAnsi" w:hAnsiTheme="minorHAnsi" w:cstheme="minorHAnsi"/>
                <w:b/>
              </w:rPr>
              <w:t>(Powyżej 500 cd/m</w:t>
            </w:r>
            <w:r w:rsidRPr="009E064B">
              <w:rPr>
                <w:rFonts w:asciiTheme="minorHAnsi" w:hAnsiTheme="minorHAnsi" w:cstheme="minorHAnsi"/>
                <w:b/>
                <w:vertAlign w:val="superscript"/>
              </w:rPr>
              <w:t>2)</w:t>
            </w:r>
          </w:p>
        </w:tc>
        <w:tc>
          <w:tcPr>
            <w:tcW w:w="1179" w:type="dxa"/>
            <w:tcMar>
              <w:top w:w="85" w:type="dxa"/>
              <w:left w:w="28" w:type="dxa"/>
              <w:bottom w:w="85" w:type="dxa"/>
              <w:right w:w="28" w:type="dxa"/>
            </w:tcMar>
            <w:vAlign w:val="center"/>
          </w:tcPr>
          <w:p w14:paraId="2E2C4431"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Zmierzch</w:t>
            </w:r>
          </w:p>
          <w:p w14:paraId="7340CF4F" w14:textId="77777777" w:rsidR="00C36D76" w:rsidRPr="009E064B" w:rsidRDefault="00C36D76" w:rsidP="00F47F20">
            <w:pPr>
              <w:spacing w:after="0"/>
              <w:ind w:left="11"/>
              <w:jc w:val="center"/>
              <w:rPr>
                <w:rFonts w:asciiTheme="minorHAnsi" w:hAnsiTheme="minorHAnsi" w:cstheme="minorHAnsi"/>
                <w:b/>
              </w:rPr>
            </w:pPr>
            <w:r w:rsidRPr="009E064B">
              <w:rPr>
                <w:rFonts w:asciiTheme="minorHAnsi" w:hAnsiTheme="minorHAnsi" w:cstheme="minorHAnsi"/>
                <w:b/>
              </w:rPr>
              <w:t>(50-500 cd/m</w:t>
            </w:r>
            <w:r w:rsidRPr="009E064B">
              <w:rPr>
                <w:rFonts w:asciiTheme="minorHAnsi" w:hAnsiTheme="minorHAnsi" w:cstheme="minorHAnsi"/>
                <w:b/>
                <w:vertAlign w:val="superscript"/>
              </w:rPr>
              <w:t>2)</w:t>
            </w:r>
          </w:p>
        </w:tc>
        <w:tc>
          <w:tcPr>
            <w:tcW w:w="883" w:type="dxa"/>
            <w:tcMar>
              <w:top w:w="85" w:type="dxa"/>
              <w:left w:w="28" w:type="dxa"/>
              <w:bottom w:w="85" w:type="dxa"/>
              <w:right w:w="28" w:type="dxa"/>
            </w:tcMar>
            <w:vAlign w:val="center"/>
          </w:tcPr>
          <w:p w14:paraId="7B812031" w14:textId="77777777" w:rsidR="004E4B48" w:rsidRPr="009E064B" w:rsidRDefault="00C36D76" w:rsidP="004E4B48">
            <w:pPr>
              <w:spacing w:after="0"/>
              <w:ind w:left="11"/>
              <w:jc w:val="center"/>
              <w:rPr>
                <w:rFonts w:asciiTheme="minorHAnsi" w:hAnsiTheme="minorHAnsi" w:cstheme="minorHAnsi"/>
                <w:b/>
              </w:rPr>
            </w:pPr>
            <w:r w:rsidRPr="009E064B">
              <w:rPr>
                <w:rFonts w:asciiTheme="minorHAnsi" w:hAnsiTheme="minorHAnsi" w:cstheme="minorHAnsi"/>
                <w:b/>
              </w:rPr>
              <w:t>Noc</w:t>
            </w:r>
          </w:p>
          <w:p w14:paraId="68B7AB38" w14:textId="095D1C21" w:rsidR="00C36D76" w:rsidRPr="009E064B" w:rsidRDefault="00C36D76" w:rsidP="00CD112F">
            <w:pPr>
              <w:spacing w:after="0"/>
              <w:ind w:left="11"/>
              <w:jc w:val="center"/>
              <w:rPr>
                <w:rFonts w:asciiTheme="minorHAnsi" w:hAnsiTheme="minorHAnsi" w:cstheme="minorHAnsi"/>
                <w:b/>
              </w:rPr>
            </w:pPr>
            <w:r w:rsidRPr="009E064B">
              <w:rPr>
                <w:rFonts w:asciiTheme="minorHAnsi" w:hAnsiTheme="minorHAnsi" w:cstheme="minorHAnsi"/>
                <w:b/>
              </w:rPr>
              <w:t>(Poniżej</w:t>
            </w:r>
            <w:r w:rsidR="004E4B48" w:rsidRPr="009E064B">
              <w:rPr>
                <w:rFonts w:asciiTheme="minorHAnsi" w:hAnsiTheme="minorHAnsi" w:cstheme="minorHAnsi"/>
                <w:b/>
              </w:rPr>
              <w:t xml:space="preserve"> </w:t>
            </w:r>
            <w:r w:rsidR="00CD112F" w:rsidRPr="009E064B">
              <w:rPr>
                <w:rFonts w:asciiTheme="minorHAnsi" w:hAnsiTheme="minorHAnsi" w:cstheme="minorHAnsi"/>
                <w:b/>
              </w:rPr>
              <w:t>50 </w:t>
            </w:r>
            <w:r w:rsidRPr="009E064B">
              <w:rPr>
                <w:rFonts w:asciiTheme="minorHAnsi" w:hAnsiTheme="minorHAnsi" w:cstheme="minorHAnsi"/>
                <w:b/>
              </w:rPr>
              <w:t>cd/m</w:t>
            </w:r>
            <w:r w:rsidRPr="009E064B">
              <w:rPr>
                <w:rFonts w:asciiTheme="minorHAnsi" w:hAnsiTheme="minorHAnsi" w:cstheme="minorHAnsi"/>
                <w:b/>
                <w:vertAlign w:val="superscript"/>
              </w:rPr>
              <w:t>2</w:t>
            </w:r>
            <w:r w:rsidRPr="009E064B">
              <w:rPr>
                <w:rFonts w:asciiTheme="minorHAnsi" w:hAnsiTheme="minorHAnsi" w:cstheme="minorHAnsi"/>
                <w:b/>
              </w:rPr>
              <w:t>)</w:t>
            </w:r>
          </w:p>
        </w:tc>
        <w:tc>
          <w:tcPr>
            <w:tcW w:w="1180" w:type="dxa"/>
            <w:vMerge/>
            <w:tcMar>
              <w:top w:w="85" w:type="dxa"/>
              <w:left w:w="28" w:type="dxa"/>
              <w:bottom w:w="85" w:type="dxa"/>
              <w:right w:w="28" w:type="dxa"/>
            </w:tcMar>
            <w:vAlign w:val="center"/>
          </w:tcPr>
          <w:p w14:paraId="69307B60" w14:textId="77777777" w:rsidR="00C36D76" w:rsidRPr="009E064B" w:rsidRDefault="00C36D76" w:rsidP="00F47F20">
            <w:pPr>
              <w:spacing w:after="0"/>
              <w:ind w:left="11"/>
              <w:jc w:val="center"/>
              <w:rPr>
                <w:rFonts w:asciiTheme="minorHAnsi" w:hAnsiTheme="minorHAnsi" w:cstheme="minorHAnsi"/>
                <w:b/>
              </w:rPr>
            </w:pPr>
          </w:p>
        </w:tc>
      </w:tr>
      <w:tr w:rsidR="00C36D76" w:rsidRPr="009E064B" w14:paraId="120F6C6F" w14:textId="77777777" w:rsidTr="00CD112F">
        <w:trPr>
          <w:jc w:val="center"/>
        </w:trPr>
        <w:tc>
          <w:tcPr>
            <w:tcW w:w="2087" w:type="dxa"/>
            <w:tcMar>
              <w:top w:w="0" w:type="dxa"/>
              <w:left w:w="57" w:type="dxa"/>
              <w:bottom w:w="0" w:type="dxa"/>
              <w:right w:w="28" w:type="dxa"/>
            </w:tcMar>
            <w:vAlign w:val="center"/>
          </w:tcPr>
          <w:p w14:paraId="2B831BB7" w14:textId="77777777" w:rsidR="00C36D76" w:rsidRPr="009E064B" w:rsidRDefault="00C36D76" w:rsidP="00F47F20">
            <w:pPr>
              <w:spacing w:after="0"/>
              <w:ind w:left="11"/>
              <w:jc w:val="center"/>
              <w:rPr>
                <w:rFonts w:asciiTheme="minorHAnsi" w:hAnsiTheme="minorHAnsi" w:cstheme="minorHAnsi"/>
                <w:b/>
                <w:sz w:val="18"/>
              </w:rPr>
            </w:pPr>
            <w:r w:rsidRPr="009E064B">
              <w:rPr>
                <w:rFonts w:asciiTheme="minorHAnsi" w:hAnsiTheme="minorHAnsi" w:cstheme="minorHAnsi"/>
                <w:sz w:val="18"/>
              </w:rPr>
              <w:t>1</w:t>
            </w:r>
          </w:p>
        </w:tc>
        <w:tc>
          <w:tcPr>
            <w:tcW w:w="1131" w:type="dxa"/>
            <w:tcMar>
              <w:top w:w="0" w:type="dxa"/>
              <w:left w:w="28" w:type="dxa"/>
              <w:bottom w:w="0" w:type="dxa"/>
              <w:right w:w="28" w:type="dxa"/>
            </w:tcMar>
            <w:vAlign w:val="center"/>
          </w:tcPr>
          <w:p w14:paraId="5FCB073B"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2</w:t>
            </w:r>
          </w:p>
        </w:tc>
        <w:tc>
          <w:tcPr>
            <w:tcW w:w="1422" w:type="dxa"/>
            <w:tcMar>
              <w:top w:w="0" w:type="dxa"/>
              <w:left w:w="28" w:type="dxa"/>
              <w:bottom w:w="0" w:type="dxa"/>
              <w:right w:w="28" w:type="dxa"/>
            </w:tcMar>
            <w:vAlign w:val="center"/>
          </w:tcPr>
          <w:p w14:paraId="0AE154C7"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3</w:t>
            </w:r>
          </w:p>
        </w:tc>
        <w:tc>
          <w:tcPr>
            <w:tcW w:w="1178" w:type="dxa"/>
            <w:tcMar>
              <w:top w:w="0" w:type="dxa"/>
              <w:left w:w="28" w:type="dxa"/>
              <w:bottom w:w="0" w:type="dxa"/>
              <w:right w:w="28" w:type="dxa"/>
            </w:tcMar>
            <w:vAlign w:val="center"/>
          </w:tcPr>
          <w:p w14:paraId="017E10D1"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4</w:t>
            </w:r>
          </w:p>
        </w:tc>
        <w:tc>
          <w:tcPr>
            <w:tcW w:w="1179" w:type="dxa"/>
            <w:tcMar>
              <w:top w:w="0" w:type="dxa"/>
              <w:left w:w="28" w:type="dxa"/>
              <w:bottom w:w="0" w:type="dxa"/>
              <w:right w:w="28" w:type="dxa"/>
            </w:tcMar>
            <w:vAlign w:val="center"/>
          </w:tcPr>
          <w:p w14:paraId="5C57D015"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5</w:t>
            </w:r>
          </w:p>
        </w:tc>
        <w:tc>
          <w:tcPr>
            <w:tcW w:w="883" w:type="dxa"/>
            <w:tcMar>
              <w:top w:w="0" w:type="dxa"/>
              <w:left w:w="28" w:type="dxa"/>
              <w:bottom w:w="0" w:type="dxa"/>
              <w:right w:w="28" w:type="dxa"/>
            </w:tcMar>
            <w:vAlign w:val="center"/>
          </w:tcPr>
          <w:p w14:paraId="2FD68B46"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6</w:t>
            </w:r>
          </w:p>
        </w:tc>
        <w:tc>
          <w:tcPr>
            <w:tcW w:w="1180" w:type="dxa"/>
            <w:tcMar>
              <w:top w:w="0" w:type="dxa"/>
              <w:left w:w="28" w:type="dxa"/>
              <w:bottom w:w="0" w:type="dxa"/>
              <w:right w:w="28" w:type="dxa"/>
            </w:tcMar>
            <w:vAlign w:val="center"/>
          </w:tcPr>
          <w:p w14:paraId="54A9D2F9" w14:textId="77777777" w:rsidR="00C36D76" w:rsidRPr="009E064B" w:rsidRDefault="00C36D76" w:rsidP="00F47F20">
            <w:pPr>
              <w:spacing w:after="0"/>
              <w:ind w:left="11"/>
              <w:jc w:val="center"/>
              <w:rPr>
                <w:rFonts w:asciiTheme="minorHAnsi" w:hAnsiTheme="minorHAnsi" w:cstheme="minorHAnsi"/>
                <w:sz w:val="18"/>
              </w:rPr>
            </w:pPr>
            <w:r w:rsidRPr="009E064B">
              <w:rPr>
                <w:rFonts w:asciiTheme="minorHAnsi" w:hAnsiTheme="minorHAnsi" w:cstheme="minorHAnsi"/>
                <w:sz w:val="18"/>
              </w:rPr>
              <w:t>7</w:t>
            </w:r>
          </w:p>
        </w:tc>
      </w:tr>
      <w:tr w:rsidR="00C36D76" w:rsidRPr="009E064B" w14:paraId="643AA2C6" w14:textId="77777777" w:rsidTr="00CD112F">
        <w:trPr>
          <w:jc w:val="center"/>
        </w:trPr>
        <w:tc>
          <w:tcPr>
            <w:tcW w:w="2087" w:type="dxa"/>
            <w:tcMar>
              <w:top w:w="85" w:type="dxa"/>
              <w:left w:w="57" w:type="dxa"/>
              <w:bottom w:w="85" w:type="dxa"/>
              <w:right w:w="28" w:type="dxa"/>
            </w:tcMar>
            <w:vAlign w:val="center"/>
          </w:tcPr>
          <w:p w14:paraId="74BF86DC" w14:textId="46ED82E1"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b/>
              </w:rPr>
              <w:t>Niskiej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A</w:t>
            </w:r>
          </w:p>
          <w:p w14:paraId="72A58A06" w14:textId="1799D935" w:rsidR="00C36D76" w:rsidRPr="009E064B" w:rsidRDefault="004E4B48" w:rsidP="00F47F20">
            <w:pPr>
              <w:spacing w:after="0"/>
              <w:ind w:left="11"/>
              <w:jc w:val="left"/>
              <w:rPr>
                <w:rFonts w:asciiTheme="minorHAnsi" w:hAnsiTheme="minorHAnsi" w:cstheme="minorHAnsi"/>
              </w:rPr>
            </w:pPr>
            <w:r w:rsidRPr="009E064B">
              <w:rPr>
                <w:rFonts w:asciiTheme="minorHAnsi" w:hAnsiTheme="minorHAnsi" w:cstheme="minorHAnsi"/>
              </w:rPr>
              <w:t>(obiekty stał</w:t>
            </w:r>
            <w:r w:rsidR="00C36D76" w:rsidRPr="009E064B">
              <w:rPr>
                <w:rFonts w:asciiTheme="minorHAnsi" w:hAnsiTheme="minorHAnsi" w:cstheme="minorHAnsi"/>
              </w:rPr>
              <w:t>e)</w:t>
            </w:r>
          </w:p>
        </w:tc>
        <w:tc>
          <w:tcPr>
            <w:tcW w:w="1131" w:type="dxa"/>
            <w:tcMar>
              <w:top w:w="85" w:type="dxa"/>
              <w:left w:w="28" w:type="dxa"/>
              <w:bottom w:w="85" w:type="dxa"/>
              <w:right w:w="28" w:type="dxa"/>
            </w:tcMar>
            <w:vAlign w:val="center"/>
          </w:tcPr>
          <w:p w14:paraId="53ACFBCB"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Czerwony</w:t>
            </w:r>
          </w:p>
        </w:tc>
        <w:tc>
          <w:tcPr>
            <w:tcW w:w="1422" w:type="dxa"/>
            <w:tcMar>
              <w:top w:w="85" w:type="dxa"/>
              <w:left w:w="28" w:type="dxa"/>
              <w:bottom w:w="85" w:type="dxa"/>
              <w:right w:w="28" w:type="dxa"/>
            </w:tcMar>
            <w:vAlign w:val="center"/>
          </w:tcPr>
          <w:p w14:paraId="2E447F14"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Stały</w:t>
            </w:r>
          </w:p>
        </w:tc>
        <w:tc>
          <w:tcPr>
            <w:tcW w:w="1178" w:type="dxa"/>
            <w:tcMar>
              <w:top w:w="85" w:type="dxa"/>
              <w:left w:w="28" w:type="dxa"/>
              <w:bottom w:w="85" w:type="dxa"/>
              <w:right w:w="28" w:type="dxa"/>
            </w:tcMar>
            <w:vAlign w:val="center"/>
          </w:tcPr>
          <w:p w14:paraId="14CBDE10"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85" w:type="dxa"/>
              <w:left w:w="28" w:type="dxa"/>
              <w:bottom w:w="85" w:type="dxa"/>
              <w:right w:w="28" w:type="dxa"/>
            </w:tcMar>
            <w:vAlign w:val="center"/>
          </w:tcPr>
          <w:p w14:paraId="6C12BD56"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883" w:type="dxa"/>
            <w:tcMar>
              <w:top w:w="85" w:type="dxa"/>
              <w:left w:w="28" w:type="dxa"/>
              <w:bottom w:w="85" w:type="dxa"/>
              <w:right w:w="28" w:type="dxa"/>
            </w:tcMar>
            <w:vAlign w:val="center"/>
          </w:tcPr>
          <w:p w14:paraId="25F68EEB"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10</w:t>
            </w:r>
          </w:p>
        </w:tc>
        <w:tc>
          <w:tcPr>
            <w:tcW w:w="1180" w:type="dxa"/>
            <w:tcMar>
              <w:top w:w="85" w:type="dxa"/>
              <w:left w:w="28" w:type="dxa"/>
              <w:bottom w:w="85" w:type="dxa"/>
              <w:right w:w="28" w:type="dxa"/>
            </w:tcMar>
            <w:vAlign w:val="center"/>
          </w:tcPr>
          <w:p w14:paraId="7ED59ED1"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Q-2</w:t>
            </w:r>
          </w:p>
        </w:tc>
      </w:tr>
      <w:tr w:rsidR="00C36D76" w:rsidRPr="009E064B" w14:paraId="43A5A5A6" w14:textId="77777777" w:rsidTr="00CD112F">
        <w:trPr>
          <w:jc w:val="center"/>
        </w:trPr>
        <w:tc>
          <w:tcPr>
            <w:tcW w:w="2087" w:type="dxa"/>
            <w:tcMar>
              <w:top w:w="85" w:type="dxa"/>
              <w:left w:w="57" w:type="dxa"/>
              <w:bottom w:w="85" w:type="dxa"/>
              <w:right w:w="28" w:type="dxa"/>
            </w:tcMar>
            <w:vAlign w:val="center"/>
          </w:tcPr>
          <w:p w14:paraId="232058B0" w14:textId="423CDF74"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b/>
              </w:rPr>
              <w:t>Niskiej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B</w:t>
            </w:r>
          </w:p>
          <w:p w14:paraId="2AF7263D" w14:textId="0CB60EC2" w:rsidR="00C36D76" w:rsidRPr="009E064B" w:rsidRDefault="004E4B48" w:rsidP="00F47F20">
            <w:pPr>
              <w:spacing w:after="0"/>
              <w:ind w:left="11"/>
              <w:jc w:val="left"/>
              <w:rPr>
                <w:rFonts w:asciiTheme="minorHAnsi" w:hAnsiTheme="minorHAnsi" w:cstheme="minorHAnsi"/>
                <w:b/>
              </w:rPr>
            </w:pPr>
            <w:r w:rsidRPr="009E064B">
              <w:rPr>
                <w:rFonts w:asciiTheme="minorHAnsi" w:hAnsiTheme="minorHAnsi" w:cstheme="minorHAnsi"/>
              </w:rPr>
              <w:t>(obiekty stał</w:t>
            </w:r>
            <w:r w:rsidR="00C36D76" w:rsidRPr="009E064B">
              <w:rPr>
                <w:rFonts w:asciiTheme="minorHAnsi" w:hAnsiTheme="minorHAnsi" w:cstheme="minorHAnsi"/>
              </w:rPr>
              <w:t>e</w:t>
            </w:r>
            <w:r w:rsidR="00C36D76" w:rsidRPr="009E064B">
              <w:rPr>
                <w:rFonts w:asciiTheme="minorHAnsi" w:hAnsiTheme="minorHAnsi" w:cstheme="minorHAnsi"/>
                <w:b/>
              </w:rPr>
              <w:t>)</w:t>
            </w:r>
          </w:p>
        </w:tc>
        <w:tc>
          <w:tcPr>
            <w:tcW w:w="1131" w:type="dxa"/>
            <w:tcMar>
              <w:top w:w="85" w:type="dxa"/>
              <w:left w:w="28" w:type="dxa"/>
              <w:bottom w:w="85" w:type="dxa"/>
              <w:right w:w="28" w:type="dxa"/>
            </w:tcMar>
            <w:vAlign w:val="center"/>
          </w:tcPr>
          <w:p w14:paraId="6682C4E1"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Czerwony</w:t>
            </w:r>
          </w:p>
        </w:tc>
        <w:tc>
          <w:tcPr>
            <w:tcW w:w="1422" w:type="dxa"/>
            <w:tcMar>
              <w:top w:w="85" w:type="dxa"/>
              <w:left w:w="28" w:type="dxa"/>
              <w:bottom w:w="85" w:type="dxa"/>
              <w:right w:w="28" w:type="dxa"/>
            </w:tcMar>
            <w:vAlign w:val="center"/>
          </w:tcPr>
          <w:p w14:paraId="41C7D9F5"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Stały</w:t>
            </w:r>
          </w:p>
        </w:tc>
        <w:tc>
          <w:tcPr>
            <w:tcW w:w="1178" w:type="dxa"/>
            <w:tcMar>
              <w:top w:w="85" w:type="dxa"/>
              <w:left w:w="28" w:type="dxa"/>
              <w:bottom w:w="85" w:type="dxa"/>
              <w:right w:w="28" w:type="dxa"/>
            </w:tcMar>
            <w:vAlign w:val="center"/>
          </w:tcPr>
          <w:p w14:paraId="2B016D43"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85" w:type="dxa"/>
              <w:left w:w="28" w:type="dxa"/>
              <w:bottom w:w="85" w:type="dxa"/>
              <w:right w:w="28" w:type="dxa"/>
            </w:tcMar>
            <w:vAlign w:val="center"/>
          </w:tcPr>
          <w:p w14:paraId="70C97456"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883" w:type="dxa"/>
            <w:tcMar>
              <w:top w:w="85" w:type="dxa"/>
              <w:left w:w="28" w:type="dxa"/>
              <w:bottom w:w="85" w:type="dxa"/>
              <w:right w:w="28" w:type="dxa"/>
            </w:tcMar>
            <w:vAlign w:val="center"/>
          </w:tcPr>
          <w:p w14:paraId="7B80EEA4"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32</w:t>
            </w:r>
          </w:p>
        </w:tc>
        <w:tc>
          <w:tcPr>
            <w:tcW w:w="1180" w:type="dxa"/>
            <w:tcMar>
              <w:top w:w="85" w:type="dxa"/>
              <w:left w:w="28" w:type="dxa"/>
              <w:bottom w:w="85" w:type="dxa"/>
              <w:right w:w="28" w:type="dxa"/>
            </w:tcMar>
            <w:vAlign w:val="center"/>
          </w:tcPr>
          <w:p w14:paraId="1C4FFCE5"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Q-2</w:t>
            </w:r>
          </w:p>
        </w:tc>
      </w:tr>
      <w:tr w:rsidR="00C36D76" w:rsidRPr="009E064B" w14:paraId="6B99868D" w14:textId="77777777" w:rsidTr="00CD112F">
        <w:trPr>
          <w:jc w:val="center"/>
        </w:trPr>
        <w:tc>
          <w:tcPr>
            <w:tcW w:w="2087" w:type="dxa"/>
            <w:tcMar>
              <w:top w:w="85" w:type="dxa"/>
              <w:left w:w="57" w:type="dxa"/>
              <w:bottom w:w="85" w:type="dxa"/>
              <w:right w:w="28" w:type="dxa"/>
            </w:tcMar>
            <w:vAlign w:val="center"/>
          </w:tcPr>
          <w:p w14:paraId="123A3386" w14:textId="5ACBEDBD"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b/>
              </w:rPr>
              <w:t>Niskiej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C</w:t>
            </w:r>
          </w:p>
          <w:p w14:paraId="5DD75FB7" w14:textId="77777777"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rPr>
              <w:t>(obiekty ruchome)</w:t>
            </w:r>
          </w:p>
        </w:tc>
        <w:tc>
          <w:tcPr>
            <w:tcW w:w="1131" w:type="dxa"/>
            <w:tcMar>
              <w:top w:w="85" w:type="dxa"/>
              <w:left w:w="28" w:type="dxa"/>
              <w:bottom w:w="85" w:type="dxa"/>
              <w:right w:w="28" w:type="dxa"/>
            </w:tcMar>
            <w:vAlign w:val="center"/>
          </w:tcPr>
          <w:p w14:paraId="02F3A51F" w14:textId="6F045DB6"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Żółty/</w:t>
            </w:r>
            <w:r w:rsidR="00CD112F" w:rsidRPr="009E064B">
              <w:rPr>
                <w:rFonts w:asciiTheme="minorHAnsi" w:hAnsiTheme="minorHAnsi" w:cstheme="minorHAnsi"/>
              </w:rPr>
              <w:br/>
            </w:r>
            <w:r w:rsidRPr="009E064B">
              <w:rPr>
                <w:rFonts w:asciiTheme="minorHAnsi" w:hAnsiTheme="minorHAnsi" w:cstheme="minorHAnsi"/>
              </w:rPr>
              <w:t>niebieski</w:t>
            </w:r>
            <w:r w:rsidRPr="009E064B">
              <w:rPr>
                <w:rFonts w:asciiTheme="minorHAnsi" w:hAnsiTheme="minorHAnsi" w:cstheme="minorHAnsi"/>
                <w:vertAlign w:val="superscript"/>
              </w:rPr>
              <w:t>(a)</w:t>
            </w:r>
          </w:p>
        </w:tc>
        <w:tc>
          <w:tcPr>
            <w:tcW w:w="1422" w:type="dxa"/>
            <w:tcMar>
              <w:top w:w="85" w:type="dxa"/>
              <w:left w:w="28" w:type="dxa"/>
              <w:bottom w:w="85" w:type="dxa"/>
              <w:right w:w="28" w:type="dxa"/>
            </w:tcMar>
            <w:vAlign w:val="center"/>
          </w:tcPr>
          <w:p w14:paraId="4FCEF2E7" w14:textId="05910FED"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Błyskowy</w:t>
            </w:r>
            <w:r w:rsidR="006B294A" w:rsidRPr="009E064B">
              <w:rPr>
                <w:rFonts w:asciiTheme="minorHAnsi" w:hAnsiTheme="minorHAnsi" w:cstheme="minorHAnsi"/>
              </w:rPr>
              <w:t xml:space="preserve"> </w:t>
            </w:r>
            <w:r w:rsidR="00CD112F" w:rsidRPr="009E064B">
              <w:rPr>
                <w:rFonts w:asciiTheme="minorHAnsi" w:hAnsiTheme="minorHAnsi" w:cstheme="minorHAnsi"/>
              </w:rPr>
              <w:br/>
            </w:r>
            <w:r w:rsidRPr="009E064B">
              <w:rPr>
                <w:rFonts w:asciiTheme="minorHAnsi" w:hAnsiTheme="minorHAnsi" w:cstheme="minorHAnsi"/>
              </w:rPr>
              <w:t>(60-90 fpm)</w:t>
            </w:r>
          </w:p>
        </w:tc>
        <w:tc>
          <w:tcPr>
            <w:tcW w:w="1178" w:type="dxa"/>
            <w:tcMar>
              <w:top w:w="85" w:type="dxa"/>
              <w:left w:w="28" w:type="dxa"/>
              <w:bottom w:w="85" w:type="dxa"/>
              <w:right w:w="28" w:type="dxa"/>
            </w:tcMar>
            <w:vAlign w:val="center"/>
          </w:tcPr>
          <w:p w14:paraId="5149765D"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85" w:type="dxa"/>
              <w:left w:w="28" w:type="dxa"/>
              <w:bottom w:w="85" w:type="dxa"/>
              <w:right w:w="28" w:type="dxa"/>
            </w:tcMar>
            <w:vAlign w:val="center"/>
          </w:tcPr>
          <w:p w14:paraId="0A4E9D96"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40</w:t>
            </w:r>
          </w:p>
        </w:tc>
        <w:tc>
          <w:tcPr>
            <w:tcW w:w="883" w:type="dxa"/>
            <w:tcMar>
              <w:top w:w="85" w:type="dxa"/>
              <w:left w:w="28" w:type="dxa"/>
              <w:bottom w:w="85" w:type="dxa"/>
              <w:right w:w="28" w:type="dxa"/>
            </w:tcMar>
            <w:vAlign w:val="center"/>
          </w:tcPr>
          <w:p w14:paraId="05004821"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40</w:t>
            </w:r>
          </w:p>
        </w:tc>
        <w:tc>
          <w:tcPr>
            <w:tcW w:w="1180" w:type="dxa"/>
            <w:tcMar>
              <w:top w:w="85" w:type="dxa"/>
              <w:left w:w="28" w:type="dxa"/>
              <w:bottom w:w="85" w:type="dxa"/>
              <w:right w:w="28" w:type="dxa"/>
            </w:tcMar>
            <w:vAlign w:val="center"/>
          </w:tcPr>
          <w:p w14:paraId="76DBDC26"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Q-2</w:t>
            </w:r>
          </w:p>
        </w:tc>
      </w:tr>
      <w:tr w:rsidR="00C36D76" w:rsidRPr="009E064B" w14:paraId="02A8477F" w14:textId="77777777" w:rsidTr="00CD112F">
        <w:trPr>
          <w:jc w:val="center"/>
        </w:trPr>
        <w:tc>
          <w:tcPr>
            <w:tcW w:w="2087" w:type="dxa"/>
            <w:tcMar>
              <w:top w:w="85" w:type="dxa"/>
              <w:left w:w="57" w:type="dxa"/>
              <w:bottom w:w="85" w:type="dxa"/>
              <w:right w:w="28" w:type="dxa"/>
            </w:tcMar>
            <w:vAlign w:val="center"/>
          </w:tcPr>
          <w:p w14:paraId="54855E7B" w14:textId="0FC3AEC3"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b/>
              </w:rPr>
              <w:t>Niskiej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D</w:t>
            </w:r>
          </w:p>
          <w:p w14:paraId="1B8685E7" w14:textId="77777777" w:rsidR="00C36D76" w:rsidRPr="009E064B" w:rsidRDefault="00C36D76" w:rsidP="00F47F20">
            <w:pPr>
              <w:spacing w:after="0"/>
              <w:ind w:left="11"/>
              <w:jc w:val="left"/>
              <w:rPr>
                <w:rFonts w:asciiTheme="minorHAnsi" w:hAnsiTheme="minorHAnsi" w:cstheme="minorHAnsi"/>
                <w:b/>
              </w:rPr>
            </w:pPr>
            <w:r w:rsidRPr="009E064B">
              <w:rPr>
                <w:rFonts w:asciiTheme="minorHAnsi" w:hAnsiTheme="minorHAnsi" w:cstheme="minorHAnsi"/>
              </w:rPr>
              <w:t>(pojazdy follow-me)</w:t>
            </w:r>
          </w:p>
        </w:tc>
        <w:tc>
          <w:tcPr>
            <w:tcW w:w="1131" w:type="dxa"/>
            <w:tcMar>
              <w:top w:w="85" w:type="dxa"/>
              <w:left w:w="28" w:type="dxa"/>
              <w:bottom w:w="85" w:type="dxa"/>
              <w:right w:w="28" w:type="dxa"/>
            </w:tcMar>
            <w:vAlign w:val="center"/>
          </w:tcPr>
          <w:p w14:paraId="12CBB401"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Żółty</w:t>
            </w:r>
          </w:p>
        </w:tc>
        <w:tc>
          <w:tcPr>
            <w:tcW w:w="1422" w:type="dxa"/>
            <w:tcMar>
              <w:top w:w="85" w:type="dxa"/>
              <w:left w:w="28" w:type="dxa"/>
              <w:bottom w:w="85" w:type="dxa"/>
              <w:right w:w="28" w:type="dxa"/>
            </w:tcMar>
            <w:vAlign w:val="center"/>
          </w:tcPr>
          <w:p w14:paraId="4B99D37B" w14:textId="615A74B7" w:rsidR="00C36D76" w:rsidRPr="009E064B" w:rsidRDefault="00C36D76" w:rsidP="00CD112F">
            <w:pPr>
              <w:spacing w:after="0"/>
              <w:ind w:left="11"/>
              <w:jc w:val="center"/>
              <w:rPr>
                <w:rFonts w:asciiTheme="minorHAnsi" w:hAnsiTheme="minorHAnsi" w:cstheme="minorHAnsi"/>
              </w:rPr>
            </w:pPr>
            <w:r w:rsidRPr="009E064B">
              <w:rPr>
                <w:rFonts w:asciiTheme="minorHAnsi" w:hAnsiTheme="minorHAnsi" w:cstheme="minorHAnsi"/>
              </w:rPr>
              <w:t>Błyskowy</w:t>
            </w:r>
            <w:r w:rsidR="00CD112F" w:rsidRPr="009E064B">
              <w:rPr>
                <w:rFonts w:asciiTheme="minorHAnsi" w:hAnsiTheme="minorHAnsi" w:cstheme="minorHAnsi"/>
              </w:rPr>
              <w:br/>
            </w:r>
            <w:r w:rsidRPr="009E064B">
              <w:rPr>
                <w:rFonts w:asciiTheme="minorHAnsi" w:hAnsiTheme="minorHAnsi" w:cstheme="minorHAnsi"/>
              </w:rPr>
              <w:t>(60-90 fpm)</w:t>
            </w:r>
          </w:p>
        </w:tc>
        <w:tc>
          <w:tcPr>
            <w:tcW w:w="1178" w:type="dxa"/>
            <w:tcMar>
              <w:top w:w="85" w:type="dxa"/>
              <w:left w:w="28" w:type="dxa"/>
              <w:bottom w:w="85" w:type="dxa"/>
              <w:right w:w="28" w:type="dxa"/>
            </w:tcMar>
            <w:vAlign w:val="center"/>
          </w:tcPr>
          <w:p w14:paraId="6752EF39"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85" w:type="dxa"/>
              <w:left w:w="28" w:type="dxa"/>
              <w:bottom w:w="85" w:type="dxa"/>
              <w:right w:w="28" w:type="dxa"/>
            </w:tcMar>
            <w:vAlign w:val="center"/>
          </w:tcPr>
          <w:p w14:paraId="73B039DE"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w:t>
            </w:r>
          </w:p>
        </w:tc>
        <w:tc>
          <w:tcPr>
            <w:tcW w:w="883" w:type="dxa"/>
            <w:tcMar>
              <w:top w:w="85" w:type="dxa"/>
              <w:left w:w="28" w:type="dxa"/>
              <w:bottom w:w="85" w:type="dxa"/>
              <w:right w:w="28" w:type="dxa"/>
            </w:tcMar>
            <w:vAlign w:val="center"/>
          </w:tcPr>
          <w:p w14:paraId="4AA8E386"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w:t>
            </w:r>
          </w:p>
        </w:tc>
        <w:tc>
          <w:tcPr>
            <w:tcW w:w="1180" w:type="dxa"/>
            <w:tcMar>
              <w:top w:w="85" w:type="dxa"/>
              <w:left w:w="28" w:type="dxa"/>
              <w:bottom w:w="85" w:type="dxa"/>
              <w:right w:w="28" w:type="dxa"/>
            </w:tcMar>
            <w:vAlign w:val="center"/>
          </w:tcPr>
          <w:p w14:paraId="4C2D587B"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Q-2</w:t>
            </w:r>
          </w:p>
        </w:tc>
      </w:tr>
      <w:tr w:rsidR="00C36D76" w:rsidRPr="009E064B" w14:paraId="49351832" w14:textId="77777777" w:rsidTr="00CD112F">
        <w:trPr>
          <w:jc w:val="center"/>
        </w:trPr>
        <w:tc>
          <w:tcPr>
            <w:tcW w:w="2087" w:type="dxa"/>
            <w:shd w:val="clear" w:color="auto" w:fill="auto"/>
            <w:tcMar>
              <w:top w:w="113" w:type="dxa"/>
              <w:left w:w="57" w:type="dxa"/>
              <w:bottom w:w="113" w:type="dxa"/>
              <w:right w:w="28" w:type="dxa"/>
            </w:tcMar>
            <w:vAlign w:val="center"/>
          </w:tcPr>
          <w:p w14:paraId="75209BEA" w14:textId="1EF03A0E"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Niskiej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E</w:t>
            </w:r>
          </w:p>
        </w:tc>
        <w:tc>
          <w:tcPr>
            <w:tcW w:w="1131" w:type="dxa"/>
            <w:shd w:val="clear" w:color="auto" w:fill="auto"/>
            <w:tcMar>
              <w:top w:w="113" w:type="dxa"/>
              <w:left w:w="28" w:type="dxa"/>
              <w:bottom w:w="113" w:type="dxa"/>
              <w:right w:w="28" w:type="dxa"/>
            </w:tcMar>
            <w:vAlign w:val="center"/>
          </w:tcPr>
          <w:p w14:paraId="7F0A6811"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Czerwony</w:t>
            </w:r>
          </w:p>
        </w:tc>
        <w:tc>
          <w:tcPr>
            <w:tcW w:w="1422" w:type="dxa"/>
            <w:shd w:val="clear" w:color="auto" w:fill="auto"/>
            <w:tcMar>
              <w:top w:w="113" w:type="dxa"/>
              <w:left w:w="28" w:type="dxa"/>
              <w:bottom w:w="113" w:type="dxa"/>
              <w:right w:w="28" w:type="dxa"/>
            </w:tcMar>
            <w:vAlign w:val="center"/>
          </w:tcPr>
          <w:p w14:paraId="4D473FD9"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Błyskowy</w:t>
            </w:r>
            <w:r w:rsidRPr="009E064B">
              <w:rPr>
                <w:rFonts w:asciiTheme="minorHAnsi" w:hAnsiTheme="minorHAnsi" w:cstheme="minorHAnsi"/>
                <w:vertAlign w:val="superscript"/>
              </w:rPr>
              <w:t>(c)</w:t>
            </w:r>
          </w:p>
        </w:tc>
        <w:tc>
          <w:tcPr>
            <w:tcW w:w="1178" w:type="dxa"/>
            <w:shd w:val="clear" w:color="auto" w:fill="auto"/>
            <w:tcMar>
              <w:top w:w="113" w:type="dxa"/>
              <w:left w:w="28" w:type="dxa"/>
              <w:bottom w:w="113" w:type="dxa"/>
              <w:right w:w="28" w:type="dxa"/>
            </w:tcMar>
            <w:vAlign w:val="center"/>
          </w:tcPr>
          <w:p w14:paraId="4169426C"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shd w:val="clear" w:color="auto" w:fill="auto"/>
            <w:tcMar>
              <w:top w:w="113" w:type="dxa"/>
              <w:left w:w="28" w:type="dxa"/>
              <w:bottom w:w="113" w:type="dxa"/>
              <w:right w:w="28" w:type="dxa"/>
            </w:tcMar>
            <w:vAlign w:val="center"/>
          </w:tcPr>
          <w:p w14:paraId="7E25F3DC"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883" w:type="dxa"/>
            <w:shd w:val="clear" w:color="auto" w:fill="auto"/>
            <w:tcMar>
              <w:top w:w="113" w:type="dxa"/>
              <w:left w:w="28" w:type="dxa"/>
              <w:bottom w:w="113" w:type="dxa"/>
              <w:right w:w="28" w:type="dxa"/>
            </w:tcMar>
            <w:vAlign w:val="center"/>
          </w:tcPr>
          <w:p w14:paraId="11093BD5"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32</w:t>
            </w:r>
          </w:p>
        </w:tc>
        <w:tc>
          <w:tcPr>
            <w:tcW w:w="1180" w:type="dxa"/>
            <w:shd w:val="clear" w:color="auto" w:fill="auto"/>
            <w:tcMar>
              <w:top w:w="113" w:type="dxa"/>
              <w:left w:w="28" w:type="dxa"/>
              <w:bottom w:w="113" w:type="dxa"/>
              <w:right w:w="28" w:type="dxa"/>
            </w:tcMar>
            <w:vAlign w:val="center"/>
          </w:tcPr>
          <w:p w14:paraId="4E7A69AE" w14:textId="571251C6" w:rsidR="00C36D76" w:rsidRPr="009E064B" w:rsidRDefault="00C36D76" w:rsidP="004E4B48">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Q-2</w:t>
            </w:r>
            <w:r w:rsidR="004E4B48" w:rsidRPr="009E064B">
              <w:rPr>
                <w:rFonts w:asciiTheme="minorHAnsi" w:hAnsiTheme="minorHAnsi" w:cstheme="minorHAnsi"/>
              </w:rPr>
              <w:t xml:space="preserve"> </w:t>
            </w:r>
            <w:r w:rsidRPr="009E064B">
              <w:rPr>
                <w:rFonts w:asciiTheme="minorHAnsi" w:hAnsiTheme="minorHAnsi" w:cstheme="minorHAnsi"/>
              </w:rPr>
              <w:t>(</w:t>
            </w:r>
            <w:r w:rsidR="007655D0" w:rsidRPr="009E064B">
              <w:rPr>
                <w:rFonts w:asciiTheme="minorHAnsi" w:hAnsiTheme="minorHAnsi" w:cstheme="minorHAnsi"/>
              </w:rPr>
              <w:t>typ</w:t>
            </w:r>
            <w:r w:rsidRPr="009E064B">
              <w:rPr>
                <w:rFonts w:asciiTheme="minorHAnsi" w:hAnsiTheme="minorHAnsi" w:cstheme="minorHAnsi"/>
              </w:rPr>
              <w:t>u B)</w:t>
            </w:r>
          </w:p>
        </w:tc>
      </w:tr>
      <w:tr w:rsidR="00C36D76" w:rsidRPr="009E064B" w14:paraId="54B48BAC" w14:textId="77777777" w:rsidTr="00CD112F">
        <w:trPr>
          <w:jc w:val="center"/>
        </w:trPr>
        <w:tc>
          <w:tcPr>
            <w:tcW w:w="2087" w:type="dxa"/>
            <w:tcMar>
              <w:top w:w="113" w:type="dxa"/>
              <w:left w:w="57" w:type="dxa"/>
              <w:bottom w:w="113" w:type="dxa"/>
              <w:right w:w="28" w:type="dxa"/>
            </w:tcMar>
            <w:vAlign w:val="center"/>
          </w:tcPr>
          <w:p w14:paraId="0A143D1E" w14:textId="732D2E3D"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Średniej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A</w:t>
            </w:r>
          </w:p>
        </w:tc>
        <w:tc>
          <w:tcPr>
            <w:tcW w:w="1131" w:type="dxa"/>
            <w:tcMar>
              <w:top w:w="113" w:type="dxa"/>
              <w:left w:w="28" w:type="dxa"/>
              <w:bottom w:w="113" w:type="dxa"/>
              <w:right w:w="28" w:type="dxa"/>
            </w:tcMar>
            <w:vAlign w:val="center"/>
          </w:tcPr>
          <w:p w14:paraId="45796E7B"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Biały</w:t>
            </w:r>
          </w:p>
        </w:tc>
        <w:tc>
          <w:tcPr>
            <w:tcW w:w="1422" w:type="dxa"/>
            <w:tcMar>
              <w:top w:w="113" w:type="dxa"/>
              <w:left w:w="28" w:type="dxa"/>
              <w:bottom w:w="113" w:type="dxa"/>
              <w:right w:w="28" w:type="dxa"/>
            </w:tcMar>
            <w:vAlign w:val="center"/>
          </w:tcPr>
          <w:p w14:paraId="5F56A55E" w14:textId="78D6AB4D"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Błyskowy</w:t>
            </w:r>
            <w:r w:rsidR="006B294A" w:rsidRPr="009E064B">
              <w:rPr>
                <w:rFonts w:asciiTheme="minorHAnsi" w:hAnsiTheme="minorHAnsi" w:cstheme="minorHAnsi"/>
              </w:rPr>
              <w:t xml:space="preserve"> </w:t>
            </w:r>
            <w:r w:rsidR="00CD112F" w:rsidRPr="009E064B">
              <w:rPr>
                <w:rFonts w:asciiTheme="minorHAnsi" w:hAnsiTheme="minorHAnsi" w:cstheme="minorHAnsi"/>
              </w:rPr>
              <w:br/>
            </w:r>
            <w:r w:rsidRPr="009E064B">
              <w:rPr>
                <w:rFonts w:asciiTheme="minorHAnsi" w:hAnsiTheme="minorHAnsi" w:cstheme="minorHAnsi"/>
              </w:rPr>
              <w:t>(20-60 fpm)</w:t>
            </w:r>
          </w:p>
        </w:tc>
        <w:tc>
          <w:tcPr>
            <w:tcW w:w="1178" w:type="dxa"/>
            <w:tcMar>
              <w:top w:w="113" w:type="dxa"/>
              <w:left w:w="28" w:type="dxa"/>
              <w:bottom w:w="113" w:type="dxa"/>
              <w:right w:w="28" w:type="dxa"/>
            </w:tcMar>
            <w:vAlign w:val="center"/>
          </w:tcPr>
          <w:p w14:paraId="1A12E82F"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20 000</w:t>
            </w:r>
          </w:p>
        </w:tc>
        <w:tc>
          <w:tcPr>
            <w:tcW w:w="1179" w:type="dxa"/>
            <w:tcMar>
              <w:top w:w="113" w:type="dxa"/>
              <w:left w:w="28" w:type="dxa"/>
              <w:bottom w:w="113" w:type="dxa"/>
              <w:right w:w="28" w:type="dxa"/>
            </w:tcMar>
            <w:vAlign w:val="center"/>
          </w:tcPr>
          <w:p w14:paraId="62620F2A"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20 000</w:t>
            </w:r>
          </w:p>
        </w:tc>
        <w:tc>
          <w:tcPr>
            <w:tcW w:w="883" w:type="dxa"/>
            <w:tcMar>
              <w:top w:w="113" w:type="dxa"/>
              <w:left w:w="28" w:type="dxa"/>
              <w:bottom w:w="113" w:type="dxa"/>
              <w:right w:w="28" w:type="dxa"/>
            </w:tcMar>
            <w:vAlign w:val="center"/>
          </w:tcPr>
          <w:p w14:paraId="66ECB205"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2000</w:t>
            </w:r>
          </w:p>
        </w:tc>
        <w:tc>
          <w:tcPr>
            <w:tcW w:w="1180" w:type="dxa"/>
            <w:tcMar>
              <w:top w:w="113" w:type="dxa"/>
              <w:left w:w="28" w:type="dxa"/>
              <w:bottom w:w="113" w:type="dxa"/>
              <w:right w:w="28" w:type="dxa"/>
            </w:tcMar>
            <w:vAlign w:val="center"/>
          </w:tcPr>
          <w:p w14:paraId="21765C02"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Q-3</w:t>
            </w:r>
          </w:p>
        </w:tc>
      </w:tr>
      <w:tr w:rsidR="00C36D76" w:rsidRPr="009E064B" w14:paraId="60DD51A6" w14:textId="77777777" w:rsidTr="00CD112F">
        <w:trPr>
          <w:jc w:val="center"/>
        </w:trPr>
        <w:tc>
          <w:tcPr>
            <w:tcW w:w="2087" w:type="dxa"/>
            <w:tcMar>
              <w:top w:w="113" w:type="dxa"/>
              <w:left w:w="57" w:type="dxa"/>
              <w:bottom w:w="113" w:type="dxa"/>
              <w:right w:w="28" w:type="dxa"/>
            </w:tcMar>
            <w:vAlign w:val="center"/>
          </w:tcPr>
          <w:p w14:paraId="35B19FC8" w14:textId="0A87C306"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Średniej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B</w:t>
            </w:r>
          </w:p>
        </w:tc>
        <w:tc>
          <w:tcPr>
            <w:tcW w:w="1131" w:type="dxa"/>
            <w:tcMar>
              <w:top w:w="113" w:type="dxa"/>
              <w:left w:w="28" w:type="dxa"/>
              <w:bottom w:w="113" w:type="dxa"/>
              <w:right w:w="28" w:type="dxa"/>
            </w:tcMar>
            <w:vAlign w:val="center"/>
          </w:tcPr>
          <w:p w14:paraId="7A4B8DC6"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Czerwony</w:t>
            </w:r>
          </w:p>
        </w:tc>
        <w:tc>
          <w:tcPr>
            <w:tcW w:w="1422" w:type="dxa"/>
            <w:tcMar>
              <w:top w:w="113" w:type="dxa"/>
              <w:left w:w="28" w:type="dxa"/>
              <w:bottom w:w="113" w:type="dxa"/>
              <w:right w:w="28" w:type="dxa"/>
            </w:tcMar>
            <w:vAlign w:val="center"/>
          </w:tcPr>
          <w:p w14:paraId="4EF815ED" w14:textId="5047D1A1"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Błyskowy</w:t>
            </w:r>
            <w:r w:rsidR="006B294A" w:rsidRPr="009E064B">
              <w:rPr>
                <w:rFonts w:asciiTheme="minorHAnsi" w:hAnsiTheme="minorHAnsi" w:cstheme="minorHAnsi"/>
              </w:rPr>
              <w:t xml:space="preserve"> </w:t>
            </w:r>
            <w:r w:rsidR="00CD112F" w:rsidRPr="009E064B">
              <w:rPr>
                <w:rFonts w:asciiTheme="minorHAnsi" w:hAnsiTheme="minorHAnsi" w:cstheme="minorHAnsi"/>
              </w:rPr>
              <w:br/>
            </w:r>
            <w:r w:rsidRPr="009E064B">
              <w:rPr>
                <w:rFonts w:asciiTheme="minorHAnsi" w:hAnsiTheme="minorHAnsi" w:cstheme="minorHAnsi"/>
              </w:rPr>
              <w:t>(20-60 fpm)</w:t>
            </w:r>
          </w:p>
        </w:tc>
        <w:tc>
          <w:tcPr>
            <w:tcW w:w="1178" w:type="dxa"/>
            <w:tcMar>
              <w:top w:w="113" w:type="dxa"/>
              <w:left w:w="28" w:type="dxa"/>
              <w:bottom w:w="113" w:type="dxa"/>
              <w:right w:w="28" w:type="dxa"/>
            </w:tcMar>
            <w:vAlign w:val="center"/>
          </w:tcPr>
          <w:p w14:paraId="1E6DFA12"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113" w:type="dxa"/>
              <w:left w:w="28" w:type="dxa"/>
              <w:bottom w:w="113" w:type="dxa"/>
              <w:right w:w="28" w:type="dxa"/>
            </w:tcMar>
            <w:vAlign w:val="center"/>
          </w:tcPr>
          <w:p w14:paraId="7C1F3743"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883" w:type="dxa"/>
            <w:tcMar>
              <w:top w:w="113" w:type="dxa"/>
              <w:left w:w="28" w:type="dxa"/>
              <w:bottom w:w="113" w:type="dxa"/>
              <w:right w:w="28" w:type="dxa"/>
            </w:tcMar>
            <w:vAlign w:val="center"/>
          </w:tcPr>
          <w:p w14:paraId="5498046B"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2000</w:t>
            </w:r>
          </w:p>
        </w:tc>
        <w:tc>
          <w:tcPr>
            <w:tcW w:w="1180" w:type="dxa"/>
            <w:tcMar>
              <w:top w:w="113" w:type="dxa"/>
              <w:left w:w="28" w:type="dxa"/>
              <w:bottom w:w="113" w:type="dxa"/>
              <w:right w:w="28" w:type="dxa"/>
            </w:tcMar>
            <w:vAlign w:val="center"/>
          </w:tcPr>
          <w:p w14:paraId="66EE591B"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Q-3</w:t>
            </w:r>
          </w:p>
        </w:tc>
      </w:tr>
      <w:tr w:rsidR="00C36D76" w:rsidRPr="009E064B" w14:paraId="15950098" w14:textId="77777777" w:rsidTr="00CD112F">
        <w:trPr>
          <w:jc w:val="center"/>
        </w:trPr>
        <w:tc>
          <w:tcPr>
            <w:tcW w:w="2087" w:type="dxa"/>
            <w:tcMar>
              <w:top w:w="113" w:type="dxa"/>
              <w:left w:w="57" w:type="dxa"/>
              <w:bottom w:w="113" w:type="dxa"/>
              <w:right w:w="28" w:type="dxa"/>
            </w:tcMar>
            <w:vAlign w:val="center"/>
          </w:tcPr>
          <w:p w14:paraId="761F23A4" w14:textId="0F430D02"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Średniej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C</w:t>
            </w:r>
          </w:p>
        </w:tc>
        <w:tc>
          <w:tcPr>
            <w:tcW w:w="1131" w:type="dxa"/>
            <w:tcMar>
              <w:top w:w="113" w:type="dxa"/>
              <w:left w:w="28" w:type="dxa"/>
              <w:bottom w:w="113" w:type="dxa"/>
              <w:right w:w="28" w:type="dxa"/>
            </w:tcMar>
            <w:vAlign w:val="center"/>
          </w:tcPr>
          <w:p w14:paraId="23A73F18"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Czerwony</w:t>
            </w:r>
          </w:p>
        </w:tc>
        <w:tc>
          <w:tcPr>
            <w:tcW w:w="1422" w:type="dxa"/>
            <w:tcMar>
              <w:top w:w="113" w:type="dxa"/>
              <w:left w:w="28" w:type="dxa"/>
              <w:bottom w:w="113" w:type="dxa"/>
              <w:right w:w="28" w:type="dxa"/>
            </w:tcMar>
            <w:vAlign w:val="center"/>
          </w:tcPr>
          <w:p w14:paraId="622C4093"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Stały</w:t>
            </w:r>
          </w:p>
        </w:tc>
        <w:tc>
          <w:tcPr>
            <w:tcW w:w="1178" w:type="dxa"/>
            <w:tcMar>
              <w:top w:w="113" w:type="dxa"/>
              <w:left w:w="28" w:type="dxa"/>
              <w:bottom w:w="113" w:type="dxa"/>
              <w:right w:w="28" w:type="dxa"/>
            </w:tcMar>
            <w:vAlign w:val="center"/>
          </w:tcPr>
          <w:p w14:paraId="56B644D5"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1179" w:type="dxa"/>
            <w:tcMar>
              <w:top w:w="113" w:type="dxa"/>
              <w:left w:w="28" w:type="dxa"/>
              <w:bottom w:w="113" w:type="dxa"/>
              <w:right w:w="28" w:type="dxa"/>
            </w:tcMar>
            <w:vAlign w:val="center"/>
          </w:tcPr>
          <w:p w14:paraId="297B7BC4"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Nie dotyczy</w:t>
            </w:r>
          </w:p>
        </w:tc>
        <w:tc>
          <w:tcPr>
            <w:tcW w:w="883" w:type="dxa"/>
            <w:tcMar>
              <w:top w:w="113" w:type="dxa"/>
              <w:left w:w="28" w:type="dxa"/>
              <w:bottom w:w="113" w:type="dxa"/>
              <w:right w:w="28" w:type="dxa"/>
            </w:tcMar>
            <w:vAlign w:val="center"/>
          </w:tcPr>
          <w:p w14:paraId="0147E69F"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2000</w:t>
            </w:r>
          </w:p>
        </w:tc>
        <w:tc>
          <w:tcPr>
            <w:tcW w:w="1180" w:type="dxa"/>
            <w:tcMar>
              <w:top w:w="113" w:type="dxa"/>
              <w:left w:w="28" w:type="dxa"/>
              <w:bottom w:w="113" w:type="dxa"/>
              <w:right w:w="28" w:type="dxa"/>
            </w:tcMar>
            <w:vAlign w:val="center"/>
          </w:tcPr>
          <w:p w14:paraId="3E672220"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Q-3</w:t>
            </w:r>
          </w:p>
        </w:tc>
      </w:tr>
      <w:tr w:rsidR="00C36D76" w:rsidRPr="009E064B" w14:paraId="1F45737A" w14:textId="77777777" w:rsidTr="00CD112F">
        <w:trPr>
          <w:jc w:val="center"/>
        </w:trPr>
        <w:tc>
          <w:tcPr>
            <w:tcW w:w="2087" w:type="dxa"/>
            <w:tcMar>
              <w:top w:w="113" w:type="dxa"/>
              <w:left w:w="57" w:type="dxa"/>
              <w:bottom w:w="113" w:type="dxa"/>
              <w:right w:w="28" w:type="dxa"/>
            </w:tcMar>
            <w:vAlign w:val="center"/>
          </w:tcPr>
          <w:p w14:paraId="2D0CFCE2" w14:textId="725017E6"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Wysokiej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A</w:t>
            </w:r>
          </w:p>
        </w:tc>
        <w:tc>
          <w:tcPr>
            <w:tcW w:w="1131" w:type="dxa"/>
            <w:tcMar>
              <w:top w:w="113" w:type="dxa"/>
              <w:left w:w="28" w:type="dxa"/>
              <w:bottom w:w="113" w:type="dxa"/>
              <w:right w:w="28" w:type="dxa"/>
            </w:tcMar>
            <w:vAlign w:val="center"/>
          </w:tcPr>
          <w:p w14:paraId="664E2D3C"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Biały</w:t>
            </w:r>
          </w:p>
        </w:tc>
        <w:tc>
          <w:tcPr>
            <w:tcW w:w="1422" w:type="dxa"/>
            <w:tcMar>
              <w:top w:w="113" w:type="dxa"/>
              <w:left w:w="28" w:type="dxa"/>
              <w:bottom w:w="113" w:type="dxa"/>
              <w:right w:w="28" w:type="dxa"/>
            </w:tcMar>
            <w:vAlign w:val="center"/>
          </w:tcPr>
          <w:p w14:paraId="51E87D3A" w14:textId="55A8CB20"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Błyskowy</w:t>
            </w:r>
            <w:r w:rsidR="006B294A" w:rsidRPr="009E064B">
              <w:rPr>
                <w:rFonts w:asciiTheme="minorHAnsi" w:hAnsiTheme="minorHAnsi" w:cstheme="minorHAnsi"/>
              </w:rPr>
              <w:t xml:space="preserve"> </w:t>
            </w:r>
            <w:r w:rsidR="00CD112F" w:rsidRPr="009E064B">
              <w:rPr>
                <w:rFonts w:asciiTheme="minorHAnsi" w:hAnsiTheme="minorHAnsi" w:cstheme="minorHAnsi"/>
              </w:rPr>
              <w:br/>
            </w:r>
            <w:r w:rsidRPr="009E064B">
              <w:rPr>
                <w:rFonts w:asciiTheme="minorHAnsi" w:hAnsiTheme="minorHAnsi" w:cstheme="minorHAnsi"/>
              </w:rPr>
              <w:t>(40-60 fpm)</w:t>
            </w:r>
          </w:p>
        </w:tc>
        <w:tc>
          <w:tcPr>
            <w:tcW w:w="1178" w:type="dxa"/>
            <w:tcMar>
              <w:top w:w="113" w:type="dxa"/>
              <w:left w:w="28" w:type="dxa"/>
              <w:bottom w:w="113" w:type="dxa"/>
              <w:right w:w="28" w:type="dxa"/>
            </w:tcMar>
            <w:vAlign w:val="center"/>
          </w:tcPr>
          <w:p w14:paraId="5F18E9DE"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200 000</w:t>
            </w:r>
          </w:p>
        </w:tc>
        <w:tc>
          <w:tcPr>
            <w:tcW w:w="1179" w:type="dxa"/>
            <w:tcMar>
              <w:top w:w="113" w:type="dxa"/>
              <w:left w:w="28" w:type="dxa"/>
              <w:bottom w:w="113" w:type="dxa"/>
              <w:right w:w="28" w:type="dxa"/>
            </w:tcMar>
            <w:vAlign w:val="center"/>
          </w:tcPr>
          <w:p w14:paraId="59D0D4A5"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20 000</w:t>
            </w:r>
          </w:p>
        </w:tc>
        <w:tc>
          <w:tcPr>
            <w:tcW w:w="883" w:type="dxa"/>
            <w:tcMar>
              <w:top w:w="113" w:type="dxa"/>
              <w:left w:w="28" w:type="dxa"/>
              <w:bottom w:w="113" w:type="dxa"/>
              <w:right w:w="28" w:type="dxa"/>
            </w:tcMar>
            <w:vAlign w:val="center"/>
          </w:tcPr>
          <w:p w14:paraId="3B7AA678"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2000</w:t>
            </w:r>
          </w:p>
        </w:tc>
        <w:tc>
          <w:tcPr>
            <w:tcW w:w="1180" w:type="dxa"/>
            <w:tcMar>
              <w:top w:w="113" w:type="dxa"/>
              <w:left w:w="28" w:type="dxa"/>
              <w:bottom w:w="113" w:type="dxa"/>
              <w:right w:w="28" w:type="dxa"/>
            </w:tcMar>
            <w:vAlign w:val="center"/>
          </w:tcPr>
          <w:p w14:paraId="6B510BFA"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Q-3</w:t>
            </w:r>
          </w:p>
        </w:tc>
      </w:tr>
      <w:tr w:rsidR="00C36D76" w:rsidRPr="009E064B" w14:paraId="6BC25F90" w14:textId="77777777" w:rsidTr="00CD112F">
        <w:trPr>
          <w:jc w:val="center"/>
        </w:trPr>
        <w:tc>
          <w:tcPr>
            <w:tcW w:w="2087" w:type="dxa"/>
            <w:tcMar>
              <w:top w:w="113" w:type="dxa"/>
              <w:left w:w="57" w:type="dxa"/>
              <w:bottom w:w="113" w:type="dxa"/>
              <w:right w:w="28" w:type="dxa"/>
            </w:tcMar>
            <w:vAlign w:val="center"/>
          </w:tcPr>
          <w:p w14:paraId="32A3752D" w14:textId="699ABF82" w:rsidR="00C36D76" w:rsidRPr="009E064B" w:rsidRDefault="00C36D76" w:rsidP="009766C9">
            <w:pPr>
              <w:spacing w:after="0"/>
              <w:ind w:left="11"/>
              <w:jc w:val="left"/>
              <w:rPr>
                <w:rFonts w:asciiTheme="minorHAnsi" w:hAnsiTheme="minorHAnsi" w:cstheme="minorHAnsi"/>
                <w:b/>
              </w:rPr>
            </w:pPr>
            <w:r w:rsidRPr="009E064B">
              <w:rPr>
                <w:rFonts w:asciiTheme="minorHAnsi" w:hAnsiTheme="minorHAnsi" w:cstheme="minorHAnsi"/>
                <w:b/>
              </w:rPr>
              <w:t>Wysokiej intensywności</w:t>
            </w:r>
            <w:r w:rsidR="009766C9" w:rsidRPr="009E064B">
              <w:rPr>
                <w:rFonts w:asciiTheme="minorHAnsi" w:hAnsiTheme="minorHAnsi" w:cstheme="minorHAnsi"/>
                <w:b/>
              </w:rPr>
              <w:t xml:space="preserve"> </w:t>
            </w:r>
            <w:r w:rsidR="007655D0" w:rsidRPr="009E064B">
              <w:rPr>
                <w:rFonts w:asciiTheme="minorHAnsi" w:hAnsiTheme="minorHAnsi" w:cstheme="minorHAnsi"/>
                <w:b/>
              </w:rPr>
              <w:t>typ</w:t>
            </w:r>
            <w:r w:rsidRPr="009E064B">
              <w:rPr>
                <w:rFonts w:asciiTheme="minorHAnsi" w:hAnsiTheme="minorHAnsi" w:cstheme="minorHAnsi"/>
                <w:b/>
              </w:rPr>
              <w:t>u B</w:t>
            </w:r>
          </w:p>
        </w:tc>
        <w:tc>
          <w:tcPr>
            <w:tcW w:w="1131" w:type="dxa"/>
            <w:tcMar>
              <w:top w:w="113" w:type="dxa"/>
              <w:left w:w="28" w:type="dxa"/>
              <w:bottom w:w="113" w:type="dxa"/>
              <w:right w:w="28" w:type="dxa"/>
            </w:tcMar>
            <w:vAlign w:val="center"/>
          </w:tcPr>
          <w:p w14:paraId="43D2FCB7"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Biały</w:t>
            </w:r>
          </w:p>
        </w:tc>
        <w:tc>
          <w:tcPr>
            <w:tcW w:w="1422" w:type="dxa"/>
            <w:tcMar>
              <w:top w:w="113" w:type="dxa"/>
              <w:left w:w="28" w:type="dxa"/>
              <w:bottom w:w="113" w:type="dxa"/>
              <w:right w:w="28" w:type="dxa"/>
            </w:tcMar>
            <w:vAlign w:val="center"/>
          </w:tcPr>
          <w:p w14:paraId="7A76951B" w14:textId="06576E00" w:rsidR="00C36D76" w:rsidRPr="009E064B" w:rsidRDefault="00C36D76" w:rsidP="006B294A">
            <w:pPr>
              <w:spacing w:after="0"/>
              <w:ind w:left="11"/>
              <w:jc w:val="center"/>
              <w:rPr>
                <w:rFonts w:asciiTheme="minorHAnsi" w:hAnsiTheme="minorHAnsi" w:cstheme="minorHAnsi"/>
              </w:rPr>
            </w:pPr>
            <w:r w:rsidRPr="009E064B">
              <w:rPr>
                <w:rFonts w:asciiTheme="minorHAnsi" w:hAnsiTheme="minorHAnsi" w:cstheme="minorHAnsi"/>
              </w:rPr>
              <w:t>Błyskowy</w:t>
            </w:r>
            <w:r w:rsidR="006B294A" w:rsidRPr="009E064B">
              <w:rPr>
                <w:rFonts w:asciiTheme="minorHAnsi" w:hAnsiTheme="minorHAnsi" w:cstheme="minorHAnsi"/>
              </w:rPr>
              <w:t xml:space="preserve"> </w:t>
            </w:r>
            <w:r w:rsidR="00CD112F" w:rsidRPr="009E064B">
              <w:rPr>
                <w:rFonts w:asciiTheme="minorHAnsi" w:hAnsiTheme="minorHAnsi" w:cstheme="minorHAnsi"/>
              </w:rPr>
              <w:br/>
            </w:r>
            <w:r w:rsidRPr="009E064B">
              <w:rPr>
                <w:rFonts w:asciiTheme="minorHAnsi" w:hAnsiTheme="minorHAnsi" w:cstheme="minorHAnsi"/>
              </w:rPr>
              <w:t>(40-60 fpm)</w:t>
            </w:r>
          </w:p>
        </w:tc>
        <w:tc>
          <w:tcPr>
            <w:tcW w:w="1178" w:type="dxa"/>
            <w:tcMar>
              <w:top w:w="113" w:type="dxa"/>
              <w:left w:w="28" w:type="dxa"/>
              <w:bottom w:w="113" w:type="dxa"/>
              <w:right w:w="28" w:type="dxa"/>
            </w:tcMar>
            <w:vAlign w:val="center"/>
          </w:tcPr>
          <w:p w14:paraId="32432C7D"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100 000</w:t>
            </w:r>
          </w:p>
        </w:tc>
        <w:tc>
          <w:tcPr>
            <w:tcW w:w="1179" w:type="dxa"/>
            <w:tcMar>
              <w:top w:w="113" w:type="dxa"/>
              <w:left w:w="28" w:type="dxa"/>
              <w:bottom w:w="113" w:type="dxa"/>
              <w:right w:w="28" w:type="dxa"/>
            </w:tcMar>
            <w:vAlign w:val="center"/>
          </w:tcPr>
          <w:p w14:paraId="560E7EAA"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20 000</w:t>
            </w:r>
          </w:p>
        </w:tc>
        <w:tc>
          <w:tcPr>
            <w:tcW w:w="883" w:type="dxa"/>
            <w:tcMar>
              <w:top w:w="113" w:type="dxa"/>
              <w:left w:w="28" w:type="dxa"/>
              <w:bottom w:w="113" w:type="dxa"/>
              <w:right w:w="28" w:type="dxa"/>
            </w:tcMar>
            <w:vAlign w:val="center"/>
          </w:tcPr>
          <w:p w14:paraId="051E3600" w14:textId="77777777" w:rsidR="00C36D76" w:rsidRPr="009E064B" w:rsidRDefault="00C36D76" w:rsidP="00F47F20">
            <w:pPr>
              <w:spacing w:after="0"/>
              <w:ind w:left="11"/>
              <w:jc w:val="center"/>
              <w:rPr>
                <w:rFonts w:asciiTheme="minorHAnsi" w:hAnsiTheme="minorHAnsi" w:cstheme="minorHAnsi"/>
              </w:rPr>
            </w:pPr>
            <w:r w:rsidRPr="009E064B">
              <w:rPr>
                <w:rFonts w:asciiTheme="minorHAnsi" w:hAnsiTheme="minorHAnsi" w:cstheme="minorHAnsi"/>
              </w:rPr>
              <w:t>2000</w:t>
            </w:r>
          </w:p>
        </w:tc>
        <w:tc>
          <w:tcPr>
            <w:tcW w:w="1180" w:type="dxa"/>
            <w:tcMar>
              <w:top w:w="113" w:type="dxa"/>
              <w:left w:w="28" w:type="dxa"/>
              <w:bottom w:w="113" w:type="dxa"/>
              <w:right w:w="28" w:type="dxa"/>
            </w:tcMar>
            <w:vAlign w:val="center"/>
          </w:tcPr>
          <w:p w14:paraId="730A433D" w14:textId="77777777" w:rsidR="00C36D76" w:rsidRPr="009E064B" w:rsidRDefault="00C36D76" w:rsidP="00F47F20">
            <w:pPr>
              <w:autoSpaceDE w:val="0"/>
              <w:autoSpaceDN w:val="0"/>
              <w:adjustRightInd w:val="0"/>
              <w:spacing w:after="0"/>
              <w:jc w:val="center"/>
              <w:rPr>
                <w:rFonts w:asciiTheme="minorHAnsi" w:hAnsiTheme="minorHAnsi" w:cstheme="minorHAnsi"/>
              </w:rPr>
            </w:pPr>
            <w:r w:rsidRPr="009E064B">
              <w:rPr>
                <w:rFonts w:asciiTheme="minorHAnsi" w:hAnsiTheme="minorHAnsi" w:cstheme="minorHAnsi"/>
              </w:rPr>
              <w:t>Tabela Q-3</w:t>
            </w:r>
          </w:p>
        </w:tc>
      </w:tr>
      <w:tr w:rsidR="00C36D76" w:rsidRPr="009E064B" w14:paraId="7F0BBC9D" w14:textId="77777777" w:rsidTr="00CD112F">
        <w:trPr>
          <w:jc w:val="center"/>
        </w:trPr>
        <w:tc>
          <w:tcPr>
            <w:tcW w:w="9060" w:type="dxa"/>
            <w:gridSpan w:val="7"/>
            <w:tcMar>
              <w:top w:w="113" w:type="dxa"/>
              <w:left w:w="57" w:type="dxa"/>
              <w:bottom w:w="113" w:type="dxa"/>
              <w:right w:w="28" w:type="dxa"/>
            </w:tcMar>
            <w:vAlign w:val="center"/>
          </w:tcPr>
          <w:p w14:paraId="1AD90071" w14:textId="5DC7992D" w:rsidR="00C36D76" w:rsidRPr="009E064B" w:rsidRDefault="00C36D76" w:rsidP="004E4B48">
            <w:pPr>
              <w:tabs>
                <w:tab w:val="left" w:pos="553"/>
              </w:tabs>
              <w:spacing w:after="60"/>
              <w:ind w:left="555" w:hanging="425"/>
              <w:jc w:val="left"/>
              <w:rPr>
                <w:rFonts w:asciiTheme="minorHAnsi" w:hAnsiTheme="minorHAnsi" w:cstheme="minorHAnsi"/>
              </w:rPr>
            </w:pPr>
            <w:r w:rsidRPr="00932998">
              <w:rPr>
                <w:rFonts w:asciiTheme="minorHAnsi" w:hAnsiTheme="minorHAnsi" w:cstheme="minorHAnsi"/>
                <w:sz w:val="22"/>
                <w:vertAlign w:val="superscript"/>
                <w:lang w:val="en-GB"/>
              </w:rPr>
              <w:t>(a)</w:t>
            </w:r>
            <w:r w:rsidR="004016A7" w:rsidRPr="00932998">
              <w:rPr>
                <w:rFonts w:asciiTheme="minorHAnsi" w:hAnsiTheme="minorHAnsi" w:cstheme="minorHAnsi"/>
                <w:lang w:val="en-GB"/>
              </w:rPr>
              <w:tab/>
            </w:r>
            <w:hyperlink w:anchor="_CS_ADR-DSN.Q.850_" w:history="1">
              <w:r w:rsidR="004016A7" w:rsidRPr="00932998">
                <w:rPr>
                  <w:rStyle w:val="Hipercze"/>
                  <w:rFonts w:asciiTheme="minorHAnsi" w:hAnsiTheme="minorHAnsi" w:cstheme="minorHAnsi"/>
                  <w:lang w:val="en-GB"/>
                </w:rPr>
                <w:t>CS </w:t>
              </w:r>
              <w:r w:rsidRPr="00932998">
                <w:rPr>
                  <w:rStyle w:val="Hipercze"/>
                  <w:rFonts w:asciiTheme="minorHAnsi" w:hAnsiTheme="minorHAnsi" w:cstheme="minorHAnsi"/>
                  <w:lang w:val="en-GB"/>
                </w:rPr>
                <w:t>ADR-DSN.Q.850</w:t>
              </w:r>
            </w:hyperlink>
            <w:r w:rsidR="004016A7" w:rsidRPr="00932998">
              <w:rPr>
                <w:rFonts w:asciiTheme="minorHAnsi" w:hAnsiTheme="minorHAnsi" w:cstheme="minorHAnsi"/>
                <w:lang w:val="en-GB"/>
              </w:rPr>
              <w:t xml:space="preserve"> lit. </w:t>
            </w:r>
            <w:r w:rsidRPr="009E064B">
              <w:rPr>
                <w:rFonts w:asciiTheme="minorHAnsi" w:hAnsiTheme="minorHAnsi" w:cstheme="minorHAnsi"/>
              </w:rPr>
              <w:t>(b)</w:t>
            </w:r>
          </w:p>
          <w:p w14:paraId="11F29C89" w14:textId="5CEC6BAB" w:rsidR="00C36D76" w:rsidRPr="009E064B" w:rsidRDefault="00C36D76" w:rsidP="004E4B48">
            <w:pPr>
              <w:tabs>
                <w:tab w:val="left" w:pos="553"/>
              </w:tabs>
              <w:spacing w:after="60"/>
              <w:ind w:left="555" w:hanging="425"/>
              <w:jc w:val="left"/>
              <w:rPr>
                <w:rFonts w:asciiTheme="minorHAnsi" w:hAnsiTheme="minorHAnsi" w:cstheme="minorHAnsi"/>
              </w:rPr>
            </w:pPr>
            <w:r w:rsidRPr="009E064B">
              <w:rPr>
                <w:rFonts w:asciiTheme="minorHAnsi" w:hAnsiTheme="minorHAnsi" w:cstheme="minorHAnsi"/>
                <w:sz w:val="22"/>
                <w:vertAlign w:val="superscript"/>
              </w:rPr>
              <w:t>(b)</w:t>
            </w:r>
            <w:r w:rsidRPr="009E064B">
              <w:rPr>
                <w:rFonts w:asciiTheme="minorHAnsi" w:hAnsiTheme="minorHAnsi" w:cstheme="minorHAnsi"/>
              </w:rPr>
              <w:tab/>
              <w:t>Intensywność efektywna świateł błyskowych, określona jest zgodnie z „</w:t>
            </w:r>
            <w:r w:rsidRPr="009E064B">
              <w:rPr>
                <w:rFonts w:asciiTheme="minorHAnsi" w:hAnsiTheme="minorHAnsi" w:cstheme="minorHAnsi"/>
                <w:i/>
              </w:rPr>
              <w:t>Podręcznikiem projektowania lotnisk</w:t>
            </w:r>
            <w:r w:rsidRPr="009E064B">
              <w:rPr>
                <w:rFonts w:asciiTheme="minorHAnsi" w:hAnsiTheme="minorHAnsi" w:cstheme="minorHAnsi"/>
              </w:rPr>
              <w:t>”, Część 4 (Doc 9157).</w:t>
            </w:r>
          </w:p>
          <w:p w14:paraId="236BF110" w14:textId="572176C4" w:rsidR="00C36D76" w:rsidRPr="009E064B" w:rsidRDefault="00C36D76" w:rsidP="004E4B48">
            <w:pPr>
              <w:tabs>
                <w:tab w:val="left" w:pos="553"/>
              </w:tabs>
              <w:spacing w:after="0"/>
              <w:ind w:left="555" w:hanging="425"/>
              <w:jc w:val="left"/>
              <w:rPr>
                <w:rFonts w:asciiTheme="minorHAnsi" w:hAnsiTheme="minorHAnsi" w:cstheme="minorHAnsi"/>
              </w:rPr>
            </w:pPr>
            <w:r w:rsidRPr="009E064B">
              <w:rPr>
                <w:rFonts w:asciiTheme="minorHAnsi" w:hAnsiTheme="minorHAnsi" w:cstheme="minorHAnsi"/>
                <w:sz w:val="22"/>
                <w:vertAlign w:val="superscript"/>
              </w:rPr>
              <w:t>(c)</w:t>
            </w:r>
            <w:r w:rsidRPr="009E064B">
              <w:rPr>
                <w:rFonts w:asciiTheme="minorHAnsi" w:hAnsiTheme="minorHAnsi" w:cstheme="minorHAnsi"/>
              </w:rPr>
              <w:tab/>
              <w:t>Do zastosowania na turbinach wiatrowych, światło błyskowe na tym samym poziomie, co oświetlenia na gondoli.</w:t>
            </w:r>
          </w:p>
        </w:tc>
      </w:tr>
    </w:tbl>
    <w:p w14:paraId="004FD005" w14:textId="77777777" w:rsidR="00C36D76" w:rsidRPr="009E064B" w:rsidRDefault="00C36D76" w:rsidP="004E4B48">
      <w:pPr>
        <w:tabs>
          <w:tab w:val="left" w:pos="567"/>
        </w:tabs>
        <w:spacing w:after="0"/>
        <w:ind w:left="567" w:hanging="567"/>
        <w:rPr>
          <w:b/>
          <w:bCs/>
          <w:iCs/>
          <w:szCs w:val="20"/>
        </w:rPr>
      </w:pPr>
    </w:p>
    <w:p w14:paraId="10EC0265" w14:textId="66BFFD5E" w:rsidR="00CD112F" w:rsidRPr="00FE5FBD" w:rsidRDefault="00C36D76" w:rsidP="004E4B48">
      <w:pPr>
        <w:autoSpaceDE w:val="0"/>
        <w:autoSpaceDN w:val="0"/>
        <w:adjustRightInd w:val="0"/>
        <w:spacing w:after="0"/>
        <w:jc w:val="center"/>
        <w:rPr>
          <w:b/>
          <w:sz w:val="20"/>
          <w:szCs w:val="20"/>
        </w:rPr>
      </w:pPr>
      <w:r w:rsidRPr="00FE5FBD">
        <w:rPr>
          <w:b/>
          <w:sz w:val="20"/>
          <w:szCs w:val="20"/>
        </w:rPr>
        <w:t xml:space="preserve">Tabela Q-1. </w:t>
      </w:r>
      <w:r w:rsidR="004E4B48" w:rsidRPr="00FE5FBD">
        <w:rPr>
          <w:b/>
          <w:sz w:val="20"/>
          <w:szCs w:val="20"/>
        </w:rPr>
        <w:t xml:space="preserve">   </w:t>
      </w:r>
      <w:r w:rsidRPr="00FE5FBD">
        <w:rPr>
          <w:b/>
          <w:sz w:val="20"/>
          <w:szCs w:val="20"/>
        </w:rPr>
        <w:t>Charakterystyki świateł przeszkodowych</w:t>
      </w:r>
    </w:p>
    <w:p w14:paraId="6E67E1E7" w14:textId="77777777" w:rsidR="00CD112F" w:rsidRPr="009E064B" w:rsidRDefault="00CD112F">
      <w:pPr>
        <w:spacing w:after="0"/>
        <w:jc w:val="left"/>
        <w:rPr>
          <w:b/>
          <w:szCs w:val="20"/>
        </w:rPr>
      </w:pPr>
      <w:r w:rsidRPr="009E064B">
        <w:rPr>
          <w:b/>
          <w:szCs w:val="20"/>
        </w:rPr>
        <w:br w:type="page"/>
      </w:r>
    </w:p>
    <w:p w14:paraId="22C050DB" w14:textId="77777777" w:rsidR="00C36D76" w:rsidRPr="009E064B" w:rsidRDefault="00C36D76" w:rsidP="00B06A9A">
      <w:pPr>
        <w:autoSpaceDE w:val="0"/>
        <w:autoSpaceDN w:val="0"/>
        <w:adjustRightInd w:val="0"/>
        <w:rPr>
          <w:b/>
          <w:szCs w:val="20"/>
        </w:r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left w:w="28" w:type="dxa"/>
          <w:bottom w:w="85" w:type="dxa"/>
          <w:right w:w="28" w:type="dxa"/>
        </w:tblCellMar>
        <w:tblLook w:val="0000" w:firstRow="0" w:lastRow="0" w:firstColumn="0" w:lastColumn="0" w:noHBand="0" w:noVBand="0"/>
      </w:tblPr>
      <w:tblGrid>
        <w:gridCol w:w="1692"/>
        <w:gridCol w:w="1694"/>
        <w:gridCol w:w="1694"/>
        <w:gridCol w:w="2106"/>
        <w:gridCol w:w="2110"/>
      </w:tblGrid>
      <w:tr w:rsidR="00C36D76" w:rsidRPr="009E064B" w14:paraId="495DFFFE" w14:textId="77777777" w:rsidTr="00C36D76">
        <w:trPr>
          <w:trHeight w:val="20"/>
        </w:trPr>
        <w:tc>
          <w:tcPr>
            <w:tcW w:w="910"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6EA9C01" w14:textId="0F001A75" w:rsidR="00C36D76" w:rsidRPr="009E064B" w:rsidRDefault="00C36D76" w:rsidP="00F47F20">
            <w:pPr>
              <w:autoSpaceDE w:val="0"/>
              <w:autoSpaceDN w:val="0"/>
              <w:adjustRightInd w:val="0"/>
              <w:spacing w:after="0"/>
              <w:jc w:val="center"/>
              <w:rPr>
                <w:b/>
                <w:szCs w:val="20"/>
              </w:rPr>
            </w:pPr>
            <w:r w:rsidRPr="009E064B">
              <w:rPr>
                <w:b/>
                <w:szCs w:val="20"/>
              </w:rPr>
              <w:br w:type="page"/>
            </w:r>
            <w:r w:rsidR="007655D0" w:rsidRPr="009E064B">
              <w:rPr>
                <w:b/>
                <w:szCs w:val="20"/>
              </w:rPr>
              <w:t>Typ</w:t>
            </w:r>
          </w:p>
          <w:p w14:paraId="316F9FEA" w14:textId="77777777" w:rsidR="00C36D76" w:rsidRPr="009E064B" w:rsidRDefault="00C36D76" w:rsidP="00F47F20">
            <w:pPr>
              <w:autoSpaceDE w:val="0"/>
              <w:autoSpaceDN w:val="0"/>
              <w:adjustRightInd w:val="0"/>
              <w:spacing w:after="0"/>
              <w:jc w:val="center"/>
              <w:rPr>
                <w:b/>
                <w:szCs w:val="20"/>
              </w:rPr>
            </w:pPr>
            <w:r w:rsidRPr="009E064B">
              <w:rPr>
                <w:b/>
                <w:szCs w:val="20"/>
              </w:rPr>
              <w:t>świateł</w:t>
            </w:r>
          </w:p>
        </w:tc>
        <w:tc>
          <w:tcPr>
            <w:tcW w:w="911"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256ADC6" w14:textId="77777777" w:rsidR="00C36D76" w:rsidRPr="009E064B" w:rsidRDefault="00C36D76" w:rsidP="00F47F20">
            <w:pPr>
              <w:autoSpaceDE w:val="0"/>
              <w:autoSpaceDN w:val="0"/>
              <w:adjustRightInd w:val="0"/>
              <w:spacing w:after="0"/>
              <w:ind w:left="-63" w:right="-69"/>
              <w:jc w:val="center"/>
              <w:rPr>
                <w:b/>
                <w:szCs w:val="20"/>
              </w:rPr>
            </w:pPr>
            <w:r w:rsidRPr="009E064B">
              <w:rPr>
                <w:b/>
                <w:szCs w:val="20"/>
              </w:rPr>
              <w:t>Minimalna</w:t>
            </w:r>
          </w:p>
          <w:p w14:paraId="72554FA1" w14:textId="77777777" w:rsidR="00C36D76" w:rsidRPr="009E064B" w:rsidRDefault="00C36D76" w:rsidP="00F47F20">
            <w:pPr>
              <w:autoSpaceDE w:val="0"/>
              <w:autoSpaceDN w:val="0"/>
              <w:adjustRightInd w:val="0"/>
              <w:spacing w:after="0"/>
              <w:ind w:left="-63" w:right="-69"/>
              <w:jc w:val="center"/>
              <w:rPr>
                <w:b/>
                <w:szCs w:val="20"/>
              </w:rPr>
            </w:pPr>
            <w:r w:rsidRPr="009E064B">
              <w:rPr>
                <w:b/>
                <w:szCs w:val="20"/>
              </w:rPr>
              <w:t xml:space="preserve">intensywność </w:t>
            </w:r>
            <w:r w:rsidRPr="009E064B">
              <w:rPr>
                <w:b/>
                <w:szCs w:val="20"/>
                <w:vertAlign w:val="superscript"/>
              </w:rPr>
              <w:t>(a)</w:t>
            </w:r>
          </w:p>
        </w:tc>
        <w:tc>
          <w:tcPr>
            <w:tcW w:w="911" w:type="pct"/>
            <w:vMerge w:val="restar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DDCD75D" w14:textId="77777777" w:rsidR="00C36D76" w:rsidRPr="009E064B" w:rsidRDefault="00C36D76" w:rsidP="00F47F20">
            <w:pPr>
              <w:autoSpaceDE w:val="0"/>
              <w:autoSpaceDN w:val="0"/>
              <w:adjustRightInd w:val="0"/>
              <w:spacing w:after="0"/>
              <w:ind w:left="-15"/>
              <w:jc w:val="center"/>
              <w:rPr>
                <w:b/>
                <w:szCs w:val="20"/>
              </w:rPr>
            </w:pPr>
            <w:r w:rsidRPr="009E064B">
              <w:rPr>
                <w:b/>
                <w:szCs w:val="20"/>
              </w:rPr>
              <w:t>Maksymalna</w:t>
            </w:r>
          </w:p>
          <w:p w14:paraId="2C3ED8A3" w14:textId="77777777" w:rsidR="00C36D76" w:rsidRPr="009E064B" w:rsidRDefault="00C36D76" w:rsidP="00F47F20">
            <w:pPr>
              <w:autoSpaceDE w:val="0"/>
              <w:autoSpaceDN w:val="0"/>
              <w:adjustRightInd w:val="0"/>
              <w:spacing w:after="0"/>
              <w:ind w:left="-15" w:right="-117"/>
              <w:jc w:val="center"/>
              <w:rPr>
                <w:b/>
                <w:szCs w:val="20"/>
              </w:rPr>
            </w:pPr>
            <w:r w:rsidRPr="009E064B">
              <w:rPr>
                <w:b/>
                <w:szCs w:val="20"/>
              </w:rPr>
              <w:t xml:space="preserve">intensywność </w:t>
            </w:r>
            <w:r w:rsidRPr="009E064B">
              <w:rPr>
                <w:b/>
                <w:szCs w:val="20"/>
                <w:vertAlign w:val="superscript"/>
              </w:rPr>
              <w:t>(a)</w:t>
            </w:r>
          </w:p>
        </w:tc>
        <w:tc>
          <w:tcPr>
            <w:tcW w:w="2268" w:type="pct"/>
            <w:gridSpan w:val="2"/>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209B47E" w14:textId="77777777" w:rsidR="00C36D76" w:rsidRPr="009E064B" w:rsidRDefault="00C36D76" w:rsidP="00F47F20">
            <w:pPr>
              <w:autoSpaceDE w:val="0"/>
              <w:autoSpaceDN w:val="0"/>
              <w:adjustRightInd w:val="0"/>
              <w:spacing w:after="0"/>
              <w:jc w:val="center"/>
              <w:rPr>
                <w:b/>
                <w:szCs w:val="20"/>
              </w:rPr>
            </w:pPr>
            <w:r w:rsidRPr="009E064B">
              <w:rPr>
                <w:b/>
                <w:szCs w:val="20"/>
              </w:rPr>
              <w:t xml:space="preserve">Pionowe rozproszenie wiązki światła </w:t>
            </w:r>
            <w:r w:rsidRPr="009E064B">
              <w:rPr>
                <w:b/>
                <w:szCs w:val="20"/>
                <w:vertAlign w:val="superscript"/>
              </w:rPr>
              <w:t>(f)</w:t>
            </w:r>
          </w:p>
        </w:tc>
      </w:tr>
      <w:tr w:rsidR="00C36D76" w:rsidRPr="009E064B" w14:paraId="66F233AD" w14:textId="77777777" w:rsidTr="00C36D76">
        <w:trPr>
          <w:trHeight w:val="20"/>
        </w:trPr>
        <w:tc>
          <w:tcPr>
            <w:tcW w:w="910"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6329249" w14:textId="77777777" w:rsidR="00C36D76" w:rsidRPr="009E064B" w:rsidRDefault="00C36D76" w:rsidP="00F47F20">
            <w:pPr>
              <w:autoSpaceDE w:val="0"/>
              <w:autoSpaceDN w:val="0"/>
              <w:adjustRightInd w:val="0"/>
              <w:spacing w:after="0"/>
              <w:jc w:val="center"/>
              <w:rPr>
                <w:b/>
                <w:szCs w:val="20"/>
              </w:rPr>
            </w:pPr>
          </w:p>
        </w:tc>
        <w:tc>
          <w:tcPr>
            <w:tcW w:w="911"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D22D149" w14:textId="77777777" w:rsidR="00C36D76" w:rsidRPr="009E064B" w:rsidRDefault="00C36D76" w:rsidP="00F47F20">
            <w:pPr>
              <w:autoSpaceDE w:val="0"/>
              <w:autoSpaceDN w:val="0"/>
              <w:adjustRightInd w:val="0"/>
              <w:spacing w:after="0"/>
              <w:jc w:val="center"/>
              <w:rPr>
                <w:b/>
                <w:szCs w:val="20"/>
              </w:rPr>
            </w:pPr>
          </w:p>
        </w:tc>
        <w:tc>
          <w:tcPr>
            <w:tcW w:w="911" w:type="pct"/>
            <w:vMerge/>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BC3C465" w14:textId="77777777" w:rsidR="00C36D76" w:rsidRPr="009E064B" w:rsidRDefault="00C36D76" w:rsidP="00F47F20">
            <w:pPr>
              <w:autoSpaceDE w:val="0"/>
              <w:autoSpaceDN w:val="0"/>
              <w:adjustRightInd w:val="0"/>
              <w:spacing w:after="0"/>
              <w:jc w:val="center"/>
              <w:rPr>
                <w:b/>
                <w:szCs w:val="20"/>
              </w:rPr>
            </w:pP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0523F98" w14:textId="77777777" w:rsidR="00C36D76" w:rsidRPr="009E064B" w:rsidRDefault="00C36D76" w:rsidP="00F47F20">
            <w:pPr>
              <w:autoSpaceDE w:val="0"/>
              <w:autoSpaceDN w:val="0"/>
              <w:adjustRightInd w:val="0"/>
              <w:spacing w:after="0"/>
              <w:jc w:val="center"/>
              <w:rPr>
                <w:b/>
                <w:szCs w:val="20"/>
              </w:rPr>
            </w:pPr>
            <w:r w:rsidRPr="009E064B">
              <w:rPr>
                <w:b/>
                <w:szCs w:val="20"/>
              </w:rPr>
              <w:t>Minimalne rozproszenie wiązki światła</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E5E6915" w14:textId="77777777" w:rsidR="00C36D76" w:rsidRPr="009E064B" w:rsidRDefault="00C36D76" w:rsidP="00F47F20">
            <w:pPr>
              <w:autoSpaceDE w:val="0"/>
              <w:autoSpaceDN w:val="0"/>
              <w:adjustRightInd w:val="0"/>
              <w:spacing w:after="0"/>
              <w:jc w:val="center"/>
              <w:rPr>
                <w:b/>
                <w:szCs w:val="20"/>
              </w:rPr>
            </w:pPr>
            <w:r w:rsidRPr="009E064B">
              <w:rPr>
                <w:b/>
                <w:szCs w:val="20"/>
              </w:rPr>
              <w:t>Intensywność</w:t>
            </w:r>
          </w:p>
        </w:tc>
      </w:tr>
      <w:tr w:rsidR="00C36D76" w:rsidRPr="009E064B" w14:paraId="112CE137"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4B56702" w14:textId="5EEA63EA" w:rsidR="00C36D76" w:rsidRPr="009E064B" w:rsidRDefault="007655D0" w:rsidP="00F47F20">
            <w:pPr>
              <w:autoSpaceDE w:val="0"/>
              <w:autoSpaceDN w:val="0"/>
              <w:adjustRightInd w:val="0"/>
              <w:spacing w:after="0"/>
              <w:jc w:val="center"/>
              <w:rPr>
                <w:b/>
                <w:szCs w:val="20"/>
              </w:rPr>
            </w:pPr>
            <w:r w:rsidRPr="009E064B">
              <w:rPr>
                <w:b/>
                <w:szCs w:val="20"/>
              </w:rPr>
              <w:t>typ</w:t>
            </w:r>
            <w:r w:rsidR="00C36D76" w:rsidRPr="009E064B">
              <w:rPr>
                <w:b/>
                <w:szCs w:val="20"/>
              </w:rPr>
              <w:t>u A</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E3DBEE5" w14:textId="77777777" w:rsidR="00C36D76" w:rsidRPr="009E064B" w:rsidRDefault="00C36D76" w:rsidP="00F47F20">
            <w:pPr>
              <w:autoSpaceDE w:val="0"/>
              <w:autoSpaceDN w:val="0"/>
              <w:adjustRightInd w:val="0"/>
              <w:spacing w:after="0"/>
              <w:jc w:val="center"/>
              <w:rPr>
                <w:szCs w:val="20"/>
              </w:rPr>
            </w:pPr>
            <w:r w:rsidRPr="009E064B">
              <w:rPr>
                <w:szCs w:val="20"/>
              </w:rPr>
              <w:t xml:space="preserve">10 cd </w:t>
            </w:r>
            <w:r w:rsidRPr="009E064B">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1D14B1B" w14:textId="77777777" w:rsidR="00C36D76" w:rsidRPr="009E064B" w:rsidRDefault="00C36D76" w:rsidP="00F47F20">
            <w:pPr>
              <w:autoSpaceDE w:val="0"/>
              <w:autoSpaceDN w:val="0"/>
              <w:adjustRightInd w:val="0"/>
              <w:spacing w:after="0"/>
              <w:jc w:val="center"/>
              <w:rPr>
                <w:szCs w:val="20"/>
              </w:rPr>
            </w:pPr>
            <w:r w:rsidRPr="009E064B">
              <w:rPr>
                <w:szCs w:val="20"/>
              </w:rPr>
              <w:t>Nie dotyczy</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53B24A5" w14:textId="77777777" w:rsidR="00C36D76" w:rsidRPr="009E064B" w:rsidRDefault="00C36D76" w:rsidP="00F47F20">
            <w:pPr>
              <w:autoSpaceDE w:val="0"/>
              <w:autoSpaceDN w:val="0"/>
              <w:adjustRightInd w:val="0"/>
              <w:spacing w:after="0"/>
              <w:jc w:val="center"/>
              <w:rPr>
                <w:szCs w:val="20"/>
                <w:vertAlign w:val="superscript"/>
              </w:rPr>
            </w:pPr>
            <w:r w:rsidRPr="009E064B">
              <w:rPr>
                <w:szCs w:val="20"/>
              </w:rPr>
              <w:t>10</w:t>
            </w:r>
            <w:r w:rsidRPr="009E064B">
              <w:rPr>
                <w:szCs w:val="20"/>
              </w:rPr>
              <w:sym w:font="Symbol" w:char="F0B0"/>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8F9C5FA" w14:textId="77777777" w:rsidR="00C36D76" w:rsidRPr="009E064B" w:rsidRDefault="00C36D76" w:rsidP="00F47F20">
            <w:pPr>
              <w:autoSpaceDE w:val="0"/>
              <w:autoSpaceDN w:val="0"/>
              <w:adjustRightInd w:val="0"/>
              <w:spacing w:after="0"/>
              <w:jc w:val="center"/>
              <w:rPr>
                <w:szCs w:val="20"/>
              </w:rPr>
            </w:pPr>
            <w:r w:rsidRPr="009E064B">
              <w:rPr>
                <w:szCs w:val="20"/>
              </w:rPr>
              <w:t>5 cd</w:t>
            </w:r>
          </w:p>
        </w:tc>
      </w:tr>
      <w:tr w:rsidR="00C36D76" w:rsidRPr="009E064B" w14:paraId="07876C0C"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1C8A2D9" w14:textId="195A004C" w:rsidR="00C36D76" w:rsidRPr="009E064B" w:rsidRDefault="007655D0" w:rsidP="00F47F20">
            <w:pPr>
              <w:autoSpaceDE w:val="0"/>
              <w:autoSpaceDN w:val="0"/>
              <w:adjustRightInd w:val="0"/>
              <w:spacing w:after="0"/>
              <w:jc w:val="center"/>
              <w:rPr>
                <w:b/>
                <w:szCs w:val="20"/>
              </w:rPr>
            </w:pPr>
            <w:r w:rsidRPr="009E064B">
              <w:rPr>
                <w:b/>
                <w:szCs w:val="20"/>
              </w:rPr>
              <w:t>typ</w:t>
            </w:r>
            <w:r w:rsidR="00C36D76" w:rsidRPr="009E064B">
              <w:rPr>
                <w:b/>
                <w:szCs w:val="20"/>
              </w:rPr>
              <w:t>u 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91C043A" w14:textId="77777777" w:rsidR="00C36D76" w:rsidRPr="009E064B" w:rsidRDefault="00C36D76" w:rsidP="00F47F20">
            <w:pPr>
              <w:autoSpaceDE w:val="0"/>
              <w:autoSpaceDN w:val="0"/>
              <w:adjustRightInd w:val="0"/>
              <w:spacing w:after="0"/>
              <w:jc w:val="center"/>
              <w:rPr>
                <w:szCs w:val="20"/>
              </w:rPr>
            </w:pPr>
            <w:r w:rsidRPr="009E064B">
              <w:rPr>
                <w:szCs w:val="20"/>
              </w:rPr>
              <w:t xml:space="preserve">32 cd </w:t>
            </w:r>
            <w:r w:rsidRPr="009E064B">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12DACAB1" w14:textId="77777777" w:rsidR="00C36D76" w:rsidRPr="009E064B" w:rsidRDefault="00C36D76" w:rsidP="00F47F20">
            <w:pPr>
              <w:autoSpaceDE w:val="0"/>
              <w:autoSpaceDN w:val="0"/>
              <w:adjustRightInd w:val="0"/>
              <w:spacing w:after="0"/>
              <w:jc w:val="center"/>
              <w:rPr>
                <w:szCs w:val="20"/>
              </w:rPr>
            </w:pPr>
            <w:r w:rsidRPr="009E064B">
              <w:rPr>
                <w:szCs w:val="20"/>
              </w:rPr>
              <w:t>Nie dotyczy</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6E9E9373" w14:textId="77777777" w:rsidR="00C36D76" w:rsidRPr="009E064B" w:rsidRDefault="00C36D76" w:rsidP="00F47F20">
            <w:pPr>
              <w:autoSpaceDE w:val="0"/>
              <w:autoSpaceDN w:val="0"/>
              <w:adjustRightInd w:val="0"/>
              <w:spacing w:after="0"/>
              <w:jc w:val="center"/>
              <w:rPr>
                <w:szCs w:val="20"/>
              </w:rPr>
            </w:pPr>
            <w:r w:rsidRPr="009E064B">
              <w:rPr>
                <w:szCs w:val="20"/>
              </w:rPr>
              <w:t>10</w:t>
            </w:r>
            <w:r w:rsidRPr="009E064B">
              <w:rPr>
                <w:szCs w:val="20"/>
              </w:rPr>
              <w:sym w:font="Symbol" w:char="F0B0"/>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48B8558" w14:textId="77777777" w:rsidR="00C36D76" w:rsidRPr="009E064B" w:rsidRDefault="00C36D76" w:rsidP="00F47F20">
            <w:pPr>
              <w:autoSpaceDE w:val="0"/>
              <w:autoSpaceDN w:val="0"/>
              <w:adjustRightInd w:val="0"/>
              <w:spacing w:after="0"/>
              <w:jc w:val="center"/>
              <w:rPr>
                <w:szCs w:val="20"/>
              </w:rPr>
            </w:pPr>
            <w:r w:rsidRPr="009E064B">
              <w:rPr>
                <w:szCs w:val="20"/>
              </w:rPr>
              <w:t>16 cd</w:t>
            </w:r>
          </w:p>
        </w:tc>
      </w:tr>
      <w:tr w:rsidR="00C36D76" w:rsidRPr="009E064B" w14:paraId="1B4F0A31"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148AB20" w14:textId="50C9C4FB" w:rsidR="00C36D76" w:rsidRPr="009E064B" w:rsidRDefault="007655D0" w:rsidP="00F47F20">
            <w:pPr>
              <w:autoSpaceDE w:val="0"/>
              <w:autoSpaceDN w:val="0"/>
              <w:adjustRightInd w:val="0"/>
              <w:spacing w:after="0"/>
              <w:jc w:val="center"/>
              <w:rPr>
                <w:b/>
                <w:szCs w:val="20"/>
              </w:rPr>
            </w:pPr>
            <w:r w:rsidRPr="009E064B">
              <w:rPr>
                <w:b/>
                <w:szCs w:val="20"/>
              </w:rPr>
              <w:t>typ</w:t>
            </w:r>
            <w:r w:rsidR="00C36D76" w:rsidRPr="009E064B">
              <w:rPr>
                <w:b/>
                <w:szCs w:val="20"/>
              </w:rPr>
              <w:t>u C</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BD9CF42" w14:textId="77777777" w:rsidR="00C36D76" w:rsidRPr="009E064B" w:rsidRDefault="00C36D76" w:rsidP="00F47F20">
            <w:pPr>
              <w:autoSpaceDE w:val="0"/>
              <w:autoSpaceDN w:val="0"/>
              <w:adjustRightInd w:val="0"/>
              <w:spacing w:after="0"/>
              <w:jc w:val="center"/>
              <w:rPr>
                <w:szCs w:val="20"/>
              </w:rPr>
            </w:pPr>
            <w:r w:rsidRPr="009E064B">
              <w:rPr>
                <w:szCs w:val="20"/>
              </w:rPr>
              <w:t xml:space="preserve">40 cd </w:t>
            </w:r>
            <w:r w:rsidRPr="009E064B">
              <w:rPr>
                <w:szCs w:val="20"/>
                <w:vertAlign w:val="superscript"/>
              </w:rPr>
              <w:t>(b)</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3DF0C85B" w14:textId="77777777" w:rsidR="00C36D76" w:rsidRPr="009E064B" w:rsidRDefault="00C36D76" w:rsidP="00F47F20">
            <w:pPr>
              <w:autoSpaceDE w:val="0"/>
              <w:autoSpaceDN w:val="0"/>
              <w:adjustRightInd w:val="0"/>
              <w:spacing w:after="0"/>
              <w:jc w:val="center"/>
              <w:rPr>
                <w:szCs w:val="20"/>
              </w:rPr>
            </w:pPr>
            <w:r w:rsidRPr="009E064B">
              <w:rPr>
                <w:szCs w:val="20"/>
              </w:rPr>
              <w:t>400 cd</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943196F" w14:textId="77777777" w:rsidR="00C36D76" w:rsidRPr="009E064B" w:rsidRDefault="00C36D76" w:rsidP="00F47F20">
            <w:pPr>
              <w:autoSpaceDE w:val="0"/>
              <w:autoSpaceDN w:val="0"/>
              <w:adjustRightInd w:val="0"/>
              <w:spacing w:after="0"/>
              <w:jc w:val="center"/>
              <w:rPr>
                <w:szCs w:val="20"/>
              </w:rPr>
            </w:pPr>
            <w:r w:rsidRPr="009E064B">
              <w:rPr>
                <w:szCs w:val="20"/>
              </w:rPr>
              <w:t>12</w:t>
            </w:r>
            <w:r w:rsidRPr="009E064B">
              <w:rPr>
                <w:szCs w:val="20"/>
              </w:rPr>
              <w:sym w:font="Symbol" w:char="F0B0"/>
            </w:r>
            <w:r w:rsidRPr="009E064B">
              <w:rPr>
                <w:szCs w:val="20"/>
              </w:rPr>
              <w:t xml:space="preserve"> </w:t>
            </w:r>
            <w:r w:rsidRPr="009E064B">
              <w:rPr>
                <w:szCs w:val="20"/>
                <w:vertAlign w:val="superscript"/>
              </w:rPr>
              <w:t>(d)</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7E339103" w14:textId="77777777" w:rsidR="00C36D76" w:rsidRPr="009E064B" w:rsidRDefault="00C36D76" w:rsidP="00F47F20">
            <w:pPr>
              <w:autoSpaceDE w:val="0"/>
              <w:autoSpaceDN w:val="0"/>
              <w:adjustRightInd w:val="0"/>
              <w:spacing w:after="0"/>
              <w:jc w:val="center"/>
              <w:rPr>
                <w:szCs w:val="20"/>
              </w:rPr>
            </w:pPr>
            <w:r w:rsidRPr="009E064B">
              <w:rPr>
                <w:szCs w:val="20"/>
              </w:rPr>
              <w:t>20 cd</w:t>
            </w:r>
          </w:p>
        </w:tc>
      </w:tr>
      <w:tr w:rsidR="00C36D76" w:rsidRPr="009E064B" w14:paraId="56D7B201" w14:textId="77777777" w:rsidTr="00CD112F">
        <w:trPr>
          <w:trHeight w:val="340"/>
        </w:trPr>
        <w:tc>
          <w:tcPr>
            <w:tcW w:w="910"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4246B512" w14:textId="2D41B8A3" w:rsidR="00C36D76" w:rsidRPr="009E064B" w:rsidRDefault="007655D0" w:rsidP="00F47F20">
            <w:pPr>
              <w:autoSpaceDE w:val="0"/>
              <w:autoSpaceDN w:val="0"/>
              <w:adjustRightInd w:val="0"/>
              <w:spacing w:after="0"/>
              <w:jc w:val="center"/>
              <w:rPr>
                <w:b/>
                <w:szCs w:val="20"/>
              </w:rPr>
            </w:pPr>
            <w:r w:rsidRPr="009E064B">
              <w:rPr>
                <w:b/>
                <w:szCs w:val="20"/>
              </w:rPr>
              <w:t>typ</w:t>
            </w:r>
            <w:r w:rsidR="00C36D76" w:rsidRPr="009E064B">
              <w:rPr>
                <w:b/>
                <w:szCs w:val="20"/>
              </w:rPr>
              <w:t>u D</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D9D4104" w14:textId="77777777" w:rsidR="00C36D76" w:rsidRPr="009E064B" w:rsidRDefault="00C36D76" w:rsidP="00F47F20">
            <w:pPr>
              <w:autoSpaceDE w:val="0"/>
              <w:autoSpaceDN w:val="0"/>
              <w:adjustRightInd w:val="0"/>
              <w:spacing w:after="0"/>
              <w:jc w:val="center"/>
              <w:rPr>
                <w:szCs w:val="20"/>
              </w:rPr>
            </w:pPr>
            <w:r w:rsidRPr="009E064B">
              <w:rPr>
                <w:szCs w:val="20"/>
              </w:rPr>
              <w:t xml:space="preserve">200 cd </w:t>
            </w:r>
            <w:r w:rsidRPr="009E064B">
              <w:rPr>
                <w:szCs w:val="20"/>
                <w:vertAlign w:val="superscript"/>
              </w:rPr>
              <w:t>(c)</w:t>
            </w:r>
          </w:p>
        </w:tc>
        <w:tc>
          <w:tcPr>
            <w:tcW w:w="911"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04D40941" w14:textId="77777777" w:rsidR="00C36D76" w:rsidRPr="009E064B" w:rsidRDefault="00C36D76" w:rsidP="00F47F20">
            <w:pPr>
              <w:autoSpaceDE w:val="0"/>
              <w:autoSpaceDN w:val="0"/>
              <w:adjustRightInd w:val="0"/>
              <w:spacing w:after="0"/>
              <w:jc w:val="center"/>
              <w:rPr>
                <w:szCs w:val="20"/>
              </w:rPr>
            </w:pPr>
            <w:r w:rsidRPr="009E064B">
              <w:rPr>
                <w:szCs w:val="20"/>
              </w:rPr>
              <w:t>400 cd</w:t>
            </w:r>
          </w:p>
        </w:tc>
        <w:tc>
          <w:tcPr>
            <w:tcW w:w="1133"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573AB13" w14:textId="77777777" w:rsidR="00C36D76" w:rsidRPr="009E064B" w:rsidRDefault="00C36D76" w:rsidP="00F47F20">
            <w:pPr>
              <w:autoSpaceDE w:val="0"/>
              <w:autoSpaceDN w:val="0"/>
              <w:adjustRightInd w:val="0"/>
              <w:spacing w:after="0"/>
              <w:jc w:val="center"/>
              <w:rPr>
                <w:szCs w:val="20"/>
              </w:rPr>
            </w:pPr>
            <w:r w:rsidRPr="009E064B">
              <w:rPr>
                <w:szCs w:val="20"/>
              </w:rPr>
              <w:t xml:space="preserve">Nie dotyczy </w:t>
            </w:r>
            <w:r w:rsidRPr="009E064B">
              <w:rPr>
                <w:szCs w:val="20"/>
                <w:vertAlign w:val="superscript"/>
              </w:rPr>
              <w:t>(e)</w:t>
            </w:r>
          </w:p>
        </w:tc>
        <w:tc>
          <w:tcPr>
            <w:tcW w:w="1135" w:type="pct"/>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5176D50A" w14:textId="77777777" w:rsidR="00C36D76" w:rsidRPr="009E064B" w:rsidRDefault="00C36D76" w:rsidP="00F47F20">
            <w:pPr>
              <w:autoSpaceDE w:val="0"/>
              <w:autoSpaceDN w:val="0"/>
              <w:adjustRightInd w:val="0"/>
              <w:spacing w:after="0"/>
              <w:jc w:val="center"/>
              <w:rPr>
                <w:szCs w:val="20"/>
              </w:rPr>
            </w:pPr>
            <w:r w:rsidRPr="009E064B">
              <w:rPr>
                <w:szCs w:val="20"/>
              </w:rPr>
              <w:t>Nie dotyczy</w:t>
            </w:r>
          </w:p>
        </w:tc>
      </w:tr>
      <w:tr w:rsidR="00C36D76" w:rsidRPr="009E064B" w14:paraId="51B553C6" w14:textId="77777777" w:rsidTr="00C36D76">
        <w:trPr>
          <w:trHeight w:val="20"/>
        </w:trPr>
        <w:tc>
          <w:tcPr>
            <w:tcW w:w="5000" w:type="pct"/>
            <w:gridSpan w:val="5"/>
            <w:tcBorders>
              <w:top w:val="single" w:sz="6" w:space="0" w:color="auto"/>
              <w:left w:val="single" w:sz="6" w:space="0" w:color="auto"/>
              <w:bottom w:val="single" w:sz="6" w:space="0" w:color="auto"/>
              <w:right w:val="single" w:sz="6" w:space="0" w:color="auto"/>
            </w:tcBorders>
            <w:shd w:val="clear" w:color="auto" w:fill="auto"/>
            <w:tcMar>
              <w:top w:w="113" w:type="dxa"/>
              <w:left w:w="113" w:type="dxa"/>
              <w:bottom w:w="113" w:type="dxa"/>
              <w:right w:w="113" w:type="dxa"/>
            </w:tcMar>
            <w:vAlign w:val="center"/>
          </w:tcPr>
          <w:p w14:paraId="2BD4B43F" w14:textId="774C283C" w:rsidR="00C36D76" w:rsidRPr="009E064B" w:rsidRDefault="00C36D76" w:rsidP="000A5A0E">
            <w:pPr>
              <w:autoSpaceDE w:val="0"/>
              <w:autoSpaceDN w:val="0"/>
              <w:adjustRightInd w:val="0"/>
              <w:ind w:firstLine="454"/>
              <w:rPr>
                <w:i/>
                <w:sz w:val="20"/>
                <w:szCs w:val="20"/>
              </w:rPr>
            </w:pPr>
            <w:r w:rsidRPr="009E064B">
              <w:rPr>
                <w:i/>
                <w:szCs w:val="20"/>
              </w:rPr>
              <w:t>U</w:t>
            </w:r>
            <w:r w:rsidRPr="009E064B">
              <w:rPr>
                <w:i/>
                <w:sz w:val="20"/>
                <w:szCs w:val="20"/>
              </w:rPr>
              <w:t xml:space="preserve">waga. – Niniejsza </w:t>
            </w:r>
            <w:r w:rsidR="00F36957" w:rsidRPr="009E064B">
              <w:rPr>
                <w:i/>
                <w:sz w:val="20"/>
                <w:szCs w:val="20"/>
              </w:rPr>
              <w:t>Tabela</w:t>
            </w:r>
            <w:r w:rsidRPr="009E064B">
              <w:rPr>
                <w:i/>
                <w:sz w:val="20"/>
                <w:szCs w:val="20"/>
              </w:rPr>
              <w:t xml:space="preserve"> nie zawiera zaleceń poziomego rozproszenia wiązki światła. Specyfikacje w CS ADR-DSN.Q.846(c) wymagają 360º strefy pokrycia wokół przeszkody. W związku z tym ilość świateł potrzebnych do spełnienia tego wymagania będzie zależeć od poziomego rozproszenia wiązki każdego światła oraz od kształtu przeszkody lotniczej. Zatem, im mniejsze rozproszenie wiązki, tym więcej świateł będzie potrzebnych.</w:t>
            </w:r>
          </w:p>
          <w:p w14:paraId="1A138D3C" w14:textId="77777777" w:rsidR="00C36D76" w:rsidRPr="009E064B" w:rsidRDefault="00C36D76" w:rsidP="000A5A0E">
            <w:pPr>
              <w:tabs>
                <w:tab w:val="left" w:pos="454"/>
              </w:tabs>
              <w:autoSpaceDE w:val="0"/>
              <w:autoSpaceDN w:val="0"/>
              <w:adjustRightInd w:val="0"/>
              <w:ind w:left="454" w:hanging="454"/>
              <w:jc w:val="left"/>
              <w:rPr>
                <w:sz w:val="20"/>
                <w:szCs w:val="20"/>
              </w:rPr>
            </w:pPr>
            <w:r w:rsidRPr="009E064B">
              <w:rPr>
                <w:sz w:val="20"/>
                <w:szCs w:val="20"/>
              </w:rPr>
              <w:t>(a)</w:t>
            </w:r>
            <w:r w:rsidRPr="009E064B">
              <w:rPr>
                <w:sz w:val="20"/>
                <w:szCs w:val="20"/>
              </w:rPr>
              <w:tab/>
              <w:t xml:space="preserve">Kąt poziomy 360°. W przypadku świateł błyskowych, intensywność efektywna określona zgodnie </w:t>
            </w:r>
            <w:r w:rsidRPr="009E064B">
              <w:rPr>
                <w:sz w:val="20"/>
                <w:szCs w:val="20"/>
              </w:rPr>
              <w:br/>
              <w:t>z “Podręcznikiem projektowania lotnisk” (Doc 9157) Część 4.</w:t>
            </w:r>
          </w:p>
          <w:p w14:paraId="7B1E010C" w14:textId="77777777" w:rsidR="00C36D76" w:rsidRPr="009E064B" w:rsidRDefault="00C36D76" w:rsidP="000A5A0E">
            <w:pPr>
              <w:tabs>
                <w:tab w:val="left" w:pos="454"/>
              </w:tabs>
              <w:autoSpaceDE w:val="0"/>
              <w:autoSpaceDN w:val="0"/>
              <w:adjustRightInd w:val="0"/>
              <w:ind w:left="454" w:hanging="454"/>
              <w:jc w:val="left"/>
              <w:rPr>
                <w:sz w:val="20"/>
                <w:szCs w:val="20"/>
              </w:rPr>
            </w:pPr>
            <w:r w:rsidRPr="009E064B">
              <w:rPr>
                <w:sz w:val="20"/>
                <w:szCs w:val="20"/>
              </w:rPr>
              <w:t>(b)</w:t>
            </w:r>
            <w:r w:rsidRPr="009E064B">
              <w:rPr>
                <w:sz w:val="20"/>
                <w:szCs w:val="20"/>
              </w:rPr>
              <w:tab/>
              <w:t>Kąt pionowy pomiędzy 2 a 10°. Pionowe kąty nachylenia określono w stosunku do płaszczyzny poziomej kiedy światło jest usytuowane w poziomie.</w:t>
            </w:r>
          </w:p>
          <w:p w14:paraId="491B29C9" w14:textId="77777777" w:rsidR="00C36D76" w:rsidRPr="009E064B" w:rsidRDefault="00C36D76" w:rsidP="000A5A0E">
            <w:pPr>
              <w:tabs>
                <w:tab w:val="left" w:pos="454"/>
              </w:tabs>
              <w:autoSpaceDE w:val="0"/>
              <w:autoSpaceDN w:val="0"/>
              <w:adjustRightInd w:val="0"/>
              <w:ind w:left="454" w:hanging="454"/>
              <w:jc w:val="left"/>
              <w:rPr>
                <w:sz w:val="20"/>
                <w:szCs w:val="20"/>
              </w:rPr>
            </w:pPr>
            <w:r w:rsidRPr="009E064B">
              <w:rPr>
                <w:sz w:val="20"/>
                <w:szCs w:val="20"/>
              </w:rPr>
              <w:t>(c)</w:t>
            </w:r>
            <w:r w:rsidRPr="009E064B">
              <w:rPr>
                <w:sz w:val="20"/>
                <w:szCs w:val="20"/>
              </w:rPr>
              <w:tab/>
              <w:t>Kąt pionowy pomiędzy 2 a 20°. Pionowe kąty nachylenia określono w stosunku do płaszczyzny poziomej kiedy światło jest usytuowane w poziomie.</w:t>
            </w:r>
          </w:p>
          <w:p w14:paraId="321EEABF" w14:textId="77777777" w:rsidR="00C36D76" w:rsidRPr="009E064B" w:rsidRDefault="00C36D76" w:rsidP="000A5A0E">
            <w:pPr>
              <w:tabs>
                <w:tab w:val="left" w:pos="454"/>
              </w:tabs>
              <w:autoSpaceDE w:val="0"/>
              <w:autoSpaceDN w:val="0"/>
              <w:adjustRightInd w:val="0"/>
              <w:ind w:left="454" w:hanging="454"/>
              <w:jc w:val="left"/>
              <w:rPr>
                <w:sz w:val="20"/>
                <w:szCs w:val="20"/>
              </w:rPr>
            </w:pPr>
            <w:r w:rsidRPr="009E064B">
              <w:rPr>
                <w:sz w:val="20"/>
                <w:szCs w:val="20"/>
              </w:rPr>
              <w:t>(d)</w:t>
            </w:r>
            <w:r w:rsidRPr="009E064B">
              <w:rPr>
                <w:sz w:val="20"/>
                <w:szCs w:val="20"/>
              </w:rPr>
              <w:tab/>
              <w:t>Intensywność szczytowa powinna być osiągnięta przy kącie pionowym około 2.5°.</w:t>
            </w:r>
          </w:p>
          <w:p w14:paraId="67207C59" w14:textId="77777777" w:rsidR="00C36D76" w:rsidRPr="009E064B" w:rsidRDefault="00C36D76" w:rsidP="000A5A0E">
            <w:pPr>
              <w:tabs>
                <w:tab w:val="left" w:pos="454"/>
              </w:tabs>
              <w:autoSpaceDE w:val="0"/>
              <w:autoSpaceDN w:val="0"/>
              <w:adjustRightInd w:val="0"/>
              <w:ind w:left="454" w:hanging="454"/>
              <w:jc w:val="left"/>
              <w:rPr>
                <w:sz w:val="20"/>
                <w:szCs w:val="20"/>
              </w:rPr>
            </w:pPr>
            <w:r w:rsidRPr="009E064B">
              <w:rPr>
                <w:sz w:val="20"/>
                <w:szCs w:val="20"/>
              </w:rPr>
              <w:t>(e)</w:t>
            </w:r>
            <w:r w:rsidRPr="009E064B">
              <w:rPr>
                <w:sz w:val="20"/>
                <w:szCs w:val="20"/>
              </w:rPr>
              <w:tab/>
              <w:t>Intensywność szczytowa powinna być osiągnięta przy kącie pionowym około 17°.</w:t>
            </w:r>
          </w:p>
          <w:p w14:paraId="644F4FCD" w14:textId="262B7DCE" w:rsidR="00C36D76" w:rsidRPr="009E064B" w:rsidRDefault="00C36D76" w:rsidP="000A5A0E">
            <w:pPr>
              <w:tabs>
                <w:tab w:val="left" w:pos="454"/>
              </w:tabs>
              <w:autoSpaceDE w:val="0"/>
              <w:autoSpaceDN w:val="0"/>
              <w:adjustRightInd w:val="0"/>
              <w:ind w:left="454" w:hanging="454"/>
              <w:jc w:val="left"/>
              <w:rPr>
                <w:sz w:val="16"/>
                <w:szCs w:val="20"/>
              </w:rPr>
            </w:pPr>
            <w:r w:rsidRPr="009E064B">
              <w:rPr>
                <w:sz w:val="20"/>
                <w:szCs w:val="20"/>
              </w:rPr>
              <w:t>(f)</w:t>
            </w:r>
            <w:r w:rsidRPr="009E064B">
              <w:rPr>
                <w:sz w:val="20"/>
                <w:szCs w:val="20"/>
              </w:rPr>
              <w:tab/>
              <w:t>Rozproszenie wiązki światła definiowane jest jako kąt zawarty pomiędzy płaszczyzną poziomą a kierunkami, dla których intensywność</w:t>
            </w:r>
            <w:r w:rsidR="005B0CBD" w:rsidRPr="009E064B">
              <w:rPr>
                <w:sz w:val="20"/>
                <w:szCs w:val="20"/>
              </w:rPr>
              <w:t xml:space="preserve"> przekracza tą, o której mowa w </w:t>
            </w:r>
            <w:r w:rsidRPr="009E064B">
              <w:rPr>
                <w:sz w:val="20"/>
                <w:szCs w:val="20"/>
              </w:rPr>
              <w:t>kolumnie “intensywność”.</w:t>
            </w:r>
          </w:p>
        </w:tc>
      </w:tr>
    </w:tbl>
    <w:p w14:paraId="345BA6C7" w14:textId="77777777" w:rsidR="00C36D76" w:rsidRPr="009E064B" w:rsidRDefault="00C36D76" w:rsidP="00B06A9A">
      <w:pPr>
        <w:autoSpaceDE w:val="0"/>
        <w:autoSpaceDN w:val="0"/>
        <w:adjustRightInd w:val="0"/>
        <w:spacing w:after="0"/>
        <w:rPr>
          <w:bCs/>
          <w:szCs w:val="20"/>
        </w:rPr>
      </w:pPr>
    </w:p>
    <w:p w14:paraId="3B19DD96" w14:textId="1E46E625" w:rsidR="00C36D76" w:rsidRPr="00FE5FBD" w:rsidRDefault="00C36D76" w:rsidP="00B06A9A">
      <w:pPr>
        <w:autoSpaceDE w:val="0"/>
        <w:autoSpaceDN w:val="0"/>
        <w:adjustRightInd w:val="0"/>
        <w:spacing w:after="0"/>
        <w:ind w:left="851" w:hanging="993"/>
        <w:jc w:val="center"/>
        <w:rPr>
          <w:b/>
          <w:bCs/>
          <w:sz w:val="20"/>
          <w:szCs w:val="20"/>
        </w:rPr>
      </w:pPr>
      <w:r w:rsidRPr="00FE5FBD">
        <w:rPr>
          <w:b/>
          <w:bCs/>
          <w:sz w:val="20"/>
          <w:szCs w:val="20"/>
        </w:rPr>
        <w:t>Tabela Q-2    Rozsył wiązki światła dla świateł przeszkodowych niskiej intensywności</w:t>
      </w:r>
    </w:p>
    <w:p w14:paraId="1577733B" w14:textId="53633645" w:rsidR="00C36D76" w:rsidRDefault="00C36D76" w:rsidP="00B06A9A">
      <w:pPr>
        <w:ind w:left="425" w:right="-6" w:hanging="425"/>
        <w:jc w:val="left"/>
        <w:rPr>
          <w:bCs/>
          <w:szCs w:val="20"/>
        </w:rPr>
      </w:pPr>
      <w:r w:rsidRPr="009E064B">
        <w:rPr>
          <w:bCs/>
          <w:szCs w:val="20"/>
        </w:rPr>
        <w:br w:type="page"/>
      </w:r>
    </w:p>
    <w:p w14:paraId="2025E10A" w14:textId="77777777" w:rsidR="00D37A7C" w:rsidRPr="009E064B" w:rsidRDefault="00D37A7C" w:rsidP="00B06A9A">
      <w:pPr>
        <w:ind w:left="425" w:right="-6" w:hanging="425"/>
        <w:jc w:val="left"/>
        <w:rPr>
          <w:bCs/>
          <w:szCs w:val="20"/>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113" w:type="dxa"/>
          <w:left w:w="57" w:type="dxa"/>
          <w:bottom w:w="113" w:type="dxa"/>
          <w:right w:w="57" w:type="dxa"/>
        </w:tblCellMar>
        <w:tblLook w:val="0000" w:firstRow="0" w:lastRow="0" w:firstColumn="0" w:lastColumn="0" w:noHBand="0" w:noVBand="0"/>
      </w:tblPr>
      <w:tblGrid>
        <w:gridCol w:w="930"/>
        <w:gridCol w:w="808"/>
        <w:gridCol w:w="856"/>
        <w:gridCol w:w="821"/>
        <w:gridCol w:w="797"/>
        <w:gridCol w:w="799"/>
        <w:gridCol w:w="821"/>
        <w:gridCol w:w="821"/>
        <w:gridCol w:w="823"/>
        <w:gridCol w:w="856"/>
        <w:gridCol w:w="852"/>
      </w:tblGrid>
      <w:tr w:rsidR="00C36D76" w:rsidRPr="009E064B" w14:paraId="03F0B45E" w14:textId="77777777" w:rsidTr="006B294A">
        <w:tc>
          <w:tcPr>
            <w:tcW w:w="506" w:type="pct"/>
            <w:vMerge w:val="restart"/>
            <w:shd w:val="clear" w:color="auto" w:fill="auto"/>
            <w:tcMar>
              <w:top w:w="85" w:type="dxa"/>
              <w:bottom w:w="85" w:type="dxa"/>
            </w:tcMar>
            <w:vAlign w:val="center"/>
          </w:tcPr>
          <w:p w14:paraId="7C0CAADD" w14:textId="77777777" w:rsidR="00C36D76" w:rsidRPr="009E064B" w:rsidRDefault="00C36D76" w:rsidP="00B06A9A">
            <w:pPr>
              <w:autoSpaceDE w:val="0"/>
              <w:autoSpaceDN w:val="0"/>
              <w:adjustRightInd w:val="0"/>
              <w:spacing w:after="0"/>
              <w:jc w:val="center"/>
              <w:rPr>
                <w:rFonts w:asciiTheme="minorHAnsi" w:hAnsiTheme="minorHAnsi" w:cstheme="minorHAnsi"/>
                <w:b/>
                <w:bCs/>
                <w:i/>
                <w:iCs/>
                <w:sz w:val="20"/>
                <w:szCs w:val="20"/>
              </w:rPr>
            </w:pPr>
            <w:r w:rsidRPr="009E064B">
              <w:rPr>
                <w:rFonts w:asciiTheme="minorHAnsi" w:hAnsiTheme="minorHAnsi" w:cstheme="minorHAnsi"/>
                <w:b/>
                <w:sz w:val="20"/>
                <w:szCs w:val="20"/>
              </w:rPr>
              <w:t>Wzorcowa wartość intensywności</w:t>
            </w:r>
          </w:p>
        </w:tc>
        <w:tc>
          <w:tcPr>
            <w:tcW w:w="2222" w:type="pct"/>
            <w:gridSpan w:val="5"/>
            <w:shd w:val="clear" w:color="auto" w:fill="auto"/>
            <w:tcMar>
              <w:top w:w="85" w:type="dxa"/>
              <w:bottom w:w="85" w:type="dxa"/>
            </w:tcMar>
            <w:vAlign w:val="center"/>
          </w:tcPr>
          <w:p w14:paraId="0D03EB21"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Wymagania minimalne</w:t>
            </w:r>
          </w:p>
        </w:tc>
        <w:tc>
          <w:tcPr>
            <w:tcW w:w="2273" w:type="pct"/>
            <w:gridSpan w:val="5"/>
            <w:shd w:val="clear" w:color="auto" w:fill="auto"/>
            <w:tcMar>
              <w:top w:w="85" w:type="dxa"/>
              <w:bottom w:w="85" w:type="dxa"/>
            </w:tcMar>
            <w:vAlign w:val="center"/>
          </w:tcPr>
          <w:p w14:paraId="6A601ACA"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Zalecenia</w:t>
            </w:r>
          </w:p>
        </w:tc>
      </w:tr>
      <w:tr w:rsidR="00C36D76" w:rsidRPr="009E064B" w14:paraId="2AB47B2B" w14:textId="77777777" w:rsidTr="006B294A">
        <w:tc>
          <w:tcPr>
            <w:tcW w:w="506" w:type="pct"/>
            <w:vMerge/>
            <w:shd w:val="clear" w:color="auto" w:fill="auto"/>
            <w:tcMar>
              <w:top w:w="85" w:type="dxa"/>
              <w:bottom w:w="85" w:type="dxa"/>
            </w:tcMar>
            <w:vAlign w:val="center"/>
          </w:tcPr>
          <w:p w14:paraId="44442CB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p>
        </w:tc>
        <w:tc>
          <w:tcPr>
            <w:tcW w:w="1353" w:type="pct"/>
            <w:gridSpan w:val="3"/>
            <w:shd w:val="clear" w:color="auto" w:fill="auto"/>
            <w:tcMar>
              <w:top w:w="85" w:type="dxa"/>
              <w:bottom w:w="85" w:type="dxa"/>
            </w:tcMar>
            <w:vAlign w:val="center"/>
          </w:tcPr>
          <w:p w14:paraId="0674A65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b/>
                <w:sz w:val="20"/>
                <w:szCs w:val="20"/>
              </w:rPr>
              <w:t>Pionowy kąt nachylenia</w:t>
            </w:r>
            <w:r w:rsidRPr="009E064B">
              <w:rPr>
                <w:rFonts w:asciiTheme="minorHAnsi" w:hAnsiTheme="minorHAnsi" w:cstheme="minorHAnsi"/>
                <w:sz w:val="20"/>
                <w:szCs w:val="20"/>
              </w:rPr>
              <w:t xml:space="preserve"> </w:t>
            </w:r>
            <w:r w:rsidRPr="009E064B">
              <w:rPr>
                <w:rFonts w:asciiTheme="minorHAnsi" w:hAnsiTheme="minorHAnsi" w:cstheme="minorHAnsi"/>
                <w:sz w:val="20"/>
                <w:szCs w:val="20"/>
                <w:vertAlign w:val="superscript"/>
              </w:rPr>
              <w:t>(</w:t>
            </w:r>
            <w:r w:rsidRPr="009E064B">
              <w:rPr>
                <w:rFonts w:asciiTheme="minorHAnsi" w:hAnsiTheme="minorHAnsi" w:cstheme="minorHAnsi"/>
                <w:b/>
                <w:sz w:val="20"/>
                <w:szCs w:val="20"/>
                <w:vertAlign w:val="superscript"/>
              </w:rPr>
              <w:t>b)</w:t>
            </w:r>
          </w:p>
        </w:tc>
        <w:tc>
          <w:tcPr>
            <w:tcW w:w="869" w:type="pct"/>
            <w:gridSpan w:val="2"/>
            <w:vMerge w:val="restart"/>
            <w:shd w:val="clear" w:color="auto" w:fill="auto"/>
            <w:tcMar>
              <w:top w:w="85" w:type="dxa"/>
              <w:bottom w:w="85" w:type="dxa"/>
            </w:tcMar>
            <w:vAlign w:val="center"/>
          </w:tcPr>
          <w:p w14:paraId="441E88D0"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Pionowe</w:t>
            </w:r>
          </w:p>
          <w:p w14:paraId="62735D4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b/>
                <w:sz w:val="20"/>
                <w:szCs w:val="20"/>
              </w:rPr>
              <w:t>rozproszenie</w:t>
            </w:r>
            <w:r w:rsidRPr="009E064B">
              <w:rPr>
                <w:rFonts w:asciiTheme="minorHAnsi" w:hAnsiTheme="minorHAnsi" w:cstheme="minorHAnsi"/>
                <w:b/>
                <w:sz w:val="20"/>
                <w:szCs w:val="20"/>
              </w:rPr>
              <w:br/>
              <w:t>wiązki światła</w:t>
            </w:r>
            <w:r w:rsidRPr="009E064B">
              <w:rPr>
                <w:rFonts w:asciiTheme="minorHAnsi" w:hAnsiTheme="minorHAnsi" w:cstheme="minorHAnsi"/>
                <w:sz w:val="20"/>
                <w:szCs w:val="20"/>
              </w:rPr>
              <w:t xml:space="preserve"> </w:t>
            </w:r>
            <w:r w:rsidRPr="009E064B">
              <w:rPr>
                <w:rFonts w:asciiTheme="minorHAnsi" w:hAnsiTheme="minorHAnsi" w:cstheme="minorHAnsi"/>
                <w:sz w:val="20"/>
                <w:szCs w:val="20"/>
                <w:vertAlign w:val="superscript"/>
              </w:rPr>
              <w:t>(c)</w:t>
            </w:r>
          </w:p>
        </w:tc>
        <w:tc>
          <w:tcPr>
            <w:tcW w:w="1342" w:type="pct"/>
            <w:gridSpan w:val="3"/>
            <w:shd w:val="clear" w:color="auto" w:fill="auto"/>
            <w:tcMar>
              <w:top w:w="85" w:type="dxa"/>
              <w:bottom w:w="85" w:type="dxa"/>
            </w:tcMar>
            <w:vAlign w:val="center"/>
          </w:tcPr>
          <w:p w14:paraId="7ECED5E4"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b/>
                <w:sz w:val="20"/>
                <w:szCs w:val="20"/>
              </w:rPr>
              <w:t>Pionowy kąt nachylenia</w:t>
            </w:r>
            <w:r w:rsidRPr="009E064B">
              <w:rPr>
                <w:rFonts w:asciiTheme="minorHAnsi" w:hAnsiTheme="minorHAnsi" w:cstheme="minorHAnsi"/>
                <w:sz w:val="20"/>
                <w:szCs w:val="20"/>
              </w:rPr>
              <w:t xml:space="preserve"> </w:t>
            </w:r>
            <w:r w:rsidRPr="009E064B">
              <w:rPr>
                <w:rFonts w:asciiTheme="minorHAnsi" w:hAnsiTheme="minorHAnsi" w:cstheme="minorHAnsi"/>
                <w:sz w:val="20"/>
                <w:szCs w:val="20"/>
                <w:vertAlign w:val="superscript"/>
              </w:rPr>
              <w:t>(</w:t>
            </w:r>
            <w:r w:rsidRPr="009E064B">
              <w:rPr>
                <w:rFonts w:asciiTheme="minorHAnsi" w:hAnsiTheme="minorHAnsi" w:cstheme="minorHAnsi"/>
                <w:b/>
                <w:sz w:val="20"/>
                <w:szCs w:val="20"/>
                <w:vertAlign w:val="superscript"/>
              </w:rPr>
              <w:t>b)</w:t>
            </w:r>
          </w:p>
        </w:tc>
        <w:tc>
          <w:tcPr>
            <w:tcW w:w="931" w:type="pct"/>
            <w:gridSpan w:val="2"/>
            <w:vMerge w:val="restart"/>
            <w:shd w:val="clear" w:color="auto" w:fill="auto"/>
            <w:tcMar>
              <w:top w:w="85" w:type="dxa"/>
              <w:bottom w:w="85" w:type="dxa"/>
            </w:tcMar>
            <w:vAlign w:val="center"/>
          </w:tcPr>
          <w:p w14:paraId="5FF08F40" w14:textId="2B22B068"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b/>
                <w:sz w:val="20"/>
                <w:szCs w:val="20"/>
              </w:rPr>
              <w:t xml:space="preserve">Pionowe rozproszenie </w:t>
            </w:r>
            <w:r w:rsidR="006B294A" w:rsidRPr="009E064B">
              <w:rPr>
                <w:rFonts w:asciiTheme="minorHAnsi" w:hAnsiTheme="minorHAnsi" w:cstheme="minorHAnsi"/>
                <w:b/>
                <w:sz w:val="20"/>
                <w:szCs w:val="20"/>
              </w:rPr>
              <w:br/>
            </w:r>
            <w:r w:rsidRPr="009E064B">
              <w:rPr>
                <w:rFonts w:asciiTheme="minorHAnsi" w:hAnsiTheme="minorHAnsi" w:cstheme="minorHAnsi"/>
                <w:b/>
                <w:sz w:val="20"/>
                <w:szCs w:val="20"/>
              </w:rPr>
              <w:t xml:space="preserve">wiązki światła </w:t>
            </w:r>
            <w:r w:rsidRPr="009E064B">
              <w:rPr>
                <w:rFonts w:asciiTheme="minorHAnsi" w:hAnsiTheme="minorHAnsi" w:cstheme="minorHAnsi"/>
                <w:b/>
                <w:sz w:val="20"/>
                <w:szCs w:val="20"/>
                <w:vertAlign w:val="superscript"/>
              </w:rPr>
              <w:t>(c)</w:t>
            </w:r>
          </w:p>
        </w:tc>
      </w:tr>
      <w:tr w:rsidR="00C36D76" w:rsidRPr="009E064B" w14:paraId="454FDE55" w14:textId="77777777" w:rsidTr="006B294A">
        <w:tc>
          <w:tcPr>
            <w:tcW w:w="506" w:type="pct"/>
            <w:vMerge/>
            <w:shd w:val="clear" w:color="auto" w:fill="auto"/>
            <w:tcMar>
              <w:top w:w="85" w:type="dxa"/>
              <w:bottom w:w="85" w:type="dxa"/>
            </w:tcMar>
            <w:vAlign w:val="center"/>
          </w:tcPr>
          <w:p w14:paraId="68E5F031"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p>
        </w:tc>
        <w:tc>
          <w:tcPr>
            <w:tcW w:w="905" w:type="pct"/>
            <w:gridSpan w:val="2"/>
            <w:shd w:val="clear" w:color="auto" w:fill="auto"/>
            <w:tcMar>
              <w:top w:w="85" w:type="dxa"/>
              <w:bottom w:w="85" w:type="dxa"/>
            </w:tcMar>
            <w:vAlign w:val="center"/>
          </w:tcPr>
          <w:p w14:paraId="583C8441"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0</w:t>
            </w:r>
            <w:r w:rsidRPr="009E064B">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24AAA681"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-1</w:t>
            </w:r>
            <w:r w:rsidRPr="009E064B">
              <w:rPr>
                <w:rFonts w:asciiTheme="minorHAnsi" w:hAnsiTheme="minorHAnsi" w:cstheme="minorHAnsi"/>
                <w:b/>
                <w:sz w:val="20"/>
                <w:szCs w:val="20"/>
              </w:rPr>
              <w:sym w:font="Symbol" w:char="F0B0"/>
            </w:r>
          </w:p>
        </w:tc>
        <w:tc>
          <w:tcPr>
            <w:tcW w:w="869" w:type="pct"/>
            <w:gridSpan w:val="2"/>
            <w:vMerge/>
            <w:shd w:val="clear" w:color="auto" w:fill="auto"/>
            <w:tcMar>
              <w:top w:w="85" w:type="dxa"/>
              <w:bottom w:w="85" w:type="dxa"/>
            </w:tcMar>
            <w:vAlign w:val="center"/>
          </w:tcPr>
          <w:p w14:paraId="41C26420"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p>
        </w:tc>
        <w:tc>
          <w:tcPr>
            <w:tcW w:w="447" w:type="pct"/>
            <w:shd w:val="clear" w:color="auto" w:fill="auto"/>
            <w:tcMar>
              <w:top w:w="85" w:type="dxa"/>
              <w:bottom w:w="85" w:type="dxa"/>
            </w:tcMar>
            <w:vAlign w:val="center"/>
          </w:tcPr>
          <w:p w14:paraId="5988017B"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0</w:t>
            </w:r>
            <w:r w:rsidRPr="009E064B">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51ADAE10"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-1</w:t>
            </w:r>
            <w:r w:rsidRPr="009E064B">
              <w:rPr>
                <w:rFonts w:asciiTheme="minorHAnsi" w:hAnsiTheme="minorHAnsi" w:cstheme="minorHAnsi"/>
                <w:b/>
                <w:sz w:val="20"/>
                <w:szCs w:val="20"/>
              </w:rPr>
              <w:sym w:font="Symbol" w:char="F0B0"/>
            </w:r>
          </w:p>
        </w:tc>
        <w:tc>
          <w:tcPr>
            <w:tcW w:w="447" w:type="pct"/>
            <w:shd w:val="clear" w:color="auto" w:fill="auto"/>
            <w:tcMar>
              <w:top w:w="85" w:type="dxa"/>
              <w:bottom w:w="85" w:type="dxa"/>
            </w:tcMar>
            <w:vAlign w:val="center"/>
          </w:tcPr>
          <w:p w14:paraId="0EFB889D"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-10</w:t>
            </w:r>
            <w:r w:rsidRPr="009E064B">
              <w:rPr>
                <w:rFonts w:asciiTheme="minorHAnsi" w:hAnsiTheme="minorHAnsi" w:cstheme="minorHAnsi"/>
                <w:b/>
                <w:sz w:val="20"/>
                <w:szCs w:val="20"/>
              </w:rPr>
              <w:sym w:font="Symbol" w:char="F0B0"/>
            </w:r>
          </w:p>
        </w:tc>
        <w:tc>
          <w:tcPr>
            <w:tcW w:w="931" w:type="pct"/>
            <w:gridSpan w:val="2"/>
            <w:vMerge/>
            <w:shd w:val="clear" w:color="auto" w:fill="auto"/>
            <w:tcMar>
              <w:top w:w="85" w:type="dxa"/>
              <w:bottom w:w="85" w:type="dxa"/>
            </w:tcMar>
            <w:vAlign w:val="center"/>
          </w:tcPr>
          <w:p w14:paraId="62B4989E"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p>
        </w:tc>
      </w:tr>
      <w:tr w:rsidR="00C36D76" w:rsidRPr="009E064B" w14:paraId="240D933B" w14:textId="77777777" w:rsidTr="004E4B48">
        <w:trPr>
          <w:trHeight w:val="1004"/>
        </w:trPr>
        <w:tc>
          <w:tcPr>
            <w:tcW w:w="506" w:type="pct"/>
            <w:vMerge/>
            <w:shd w:val="clear" w:color="auto" w:fill="auto"/>
            <w:tcMar>
              <w:top w:w="85" w:type="dxa"/>
              <w:bottom w:w="85" w:type="dxa"/>
            </w:tcMar>
            <w:vAlign w:val="center"/>
          </w:tcPr>
          <w:p w14:paraId="2411432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p>
        </w:tc>
        <w:tc>
          <w:tcPr>
            <w:tcW w:w="440" w:type="pct"/>
            <w:shd w:val="clear" w:color="auto" w:fill="auto"/>
            <w:tcMar>
              <w:top w:w="85" w:type="dxa"/>
              <w:left w:w="0" w:type="dxa"/>
              <w:bottom w:w="85" w:type="dxa"/>
              <w:right w:w="0" w:type="dxa"/>
            </w:tcMar>
            <w:vAlign w:val="center"/>
          </w:tcPr>
          <w:p w14:paraId="7F0F6BC2"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Minimalna średnia intensywność</w:t>
            </w:r>
          </w:p>
          <w:p w14:paraId="454A6565" w14:textId="7C63153A"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66" w:type="pct"/>
            <w:shd w:val="clear" w:color="auto" w:fill="auto"/>
            <w:tcMar>
              <w:top w:w="85" w:type="dxa"/>
              <w:left w:w="28" w:type="dxa"/>
              <w:bottom w:w="85" w:type="dxa"/>
              <w:right w:w="28" w:type="dxa"/>
            </w:tcMar>
            <w:vAlign w:val="center"/>
          </w:tcPr>
          <w:p w14:paraId="3988A11C"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Minimalna intensywność</w:t>
            </w:r>
          </w:p>
          <w:p w14:paraId="5220A3F0" w14:textId="79270571"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2EF5A96F"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Minimalna intensywność</w:t>
            </w:r>
          </w:p>
          <w:p w14:paraId="493E1CA2" w14:textId="337BD0ED"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34" w:type="pct"/>
            <w:shd w:val="clear" w:color="auto" w:fill="auto"/>
            <w:tcMar>
              <w:top w:w="85" w:type="dxa"/>
              <w:bottom w:w="85" w:type="dxa"/>
            </w:tcMar>
            <w:vAlign w:val="center"/>
          </w:tcPr>
          <w:p w14:paraId="6EDD42A6"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Minimalne rozproszenie wiązki światła</w:t>
            </w:r>
          </w:p>
        </w:tc>
        <w:tc>
          <w:tcPr>
            <w:tcW w:w="435" w:type="pct"/>
            <w:shd w:val="clear" w:color="auto" w:fill="auto"/>
            <w:tcMar>
              <w:top w:w="85" w:type="dxa"/>
              <w:left w:w="28" w:type="dxa"/>
              <w:bottom w:w="85" w:type="dxa"/>
              <w:right w:w="28" w:type="dxa"/>
            </w:tcMar>
            <w:vAlign w:val="center"/>
          </w:tcPr>
          <w:p w14:paraId="2614C511" w14:textId="77777777" w:rsidR="004E4B48" w:rsidRPr="009E064B" w:rsidRDefault="00C36D76" w:rsidP="004E4B48">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Intensywność</w:t>
            </w:r>
          </w:p>
          <w:p w14:paraId="3952C54E" w14:textId="0F5569C5"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5513D9F3"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Maksymalna intensywność</w:t>
            </w:r>
          </w:p>
          <w:p w14:paraId="37680380" w14:textId="3A24CA25"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449C36A5"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Maksymalna intensywność</w:t>
            </w:r>
          </w:p>
          <w:p w14:paraId="2C5B07E3" w14:textId="5E0325C3"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47" w:type="pct"/>
            <w:shd w:val="clear" w:color="auto" w:fill="auto"/>
            <w:tcMar>
              <w:top w:w="85" w:type="dxa"/>
              <w:bottom w:w="85" w:type="dxa"/>
            </w:tcMar>
            <w:vAlign w:val="center"/>
          </w:tcPr>
          <w:p w14:paraId="352A7AEC"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Maksymalna intensywność</w:t>
            </w:r>
          </w:p>
          <w:p w14:paraId="3B4A66C2" w14:textId="28DA546C"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c>
          <w:tcPr>
            <w:tcW w:w="466" w:type="pct"/>
            <w:shd w:val="clear" w:color="auto" w:fill="auto"/>
            <w:tcMar>
              <w:top w:w="85" w:type="dxa"/>
              <w:bottom w:w="85" w:type="dxa"/>
            </w:tcMar>
            <w:vAlign w:val="center"/>
          </w:tcPr>
          <w:p w14:paraId="3054EB68" w14:textId="77777777"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Maksymalne rozproszenie wiązki światła</w:t>
            </w:r>
          </w:p>
        </w:tc>
        <w:tc>
          <w:tcPr>
            <w:tcW w:w="465" w:type="pct"/>
            <w:shd w:val="clear" w:color="auto" w:fill="auto"/>
            <w:noWrap/>
            <w:tcMar>
              <w:top w:w="85" w:type="dxa"/>
              <w:bottom w:w="85" w:type="dxa"/>
            </w:tcMar>
            <w:vAlign w:val="center"/>
          </w:tcPr>
          <w:p w14:paraId="16210ECD" w14:textId="77777777" w:rsidR="004E4B48"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rPr>
              <w:t>Intensywność</w:t>
            </w:r>
          </w:p>
          <w:p w14:paraId="44D7C0D5" w14:textId="32C2B343" w:rsidR="00C36D76" w:rsidRPr="009E064B" w:rsidRDefault="00C36D76" w:rsidP="00B06A9A">
            <w:pPr>
              <w:autoSpaceDE w:val="0"/>
              <w:autoSpaceDN w:val="0"/>
              <w:adjustRightInd w:val="0"/>
              <w:spacing w:after="0"/>
              <w:jc w:val="center"/>
              <w:rPr>
                <w:rFonts w:asciiTheme="minorHAnsi" w:hAnsiTheme="minorHAnsi" w:cstheme="minorHAnsi"/>
                <w:b/>
                <w:sz w:val="20"/>
                <w:szCs w:val="20"/>
              </w:rPr>
            </w:pPr>
            <w:r w:rsidRPr="009E064B">
              <w:rPr>
                <w:rFonts w:asciiTheme="minorHAnsi" w:hAnsiTheme="minorHAnsi" w:cstheme="minorHAnsi"/>
                <w:b/>
                <w:sz w:val="20"/>
                <w:szCs w:val="20"/>
                <w:vertAlign w:val="superscript"/>
              </w:rPr>
              <w:t>(a)</w:t>
            </w:r>
          </w:p>
        </w:tc>
      </w:tr>
      <w:tr w:rsidR="00C36D76" w:rsidRPr="009E064B" w14:paraId="4013D2B5" w14:textId="77777777" w:rsidTr="00CD112F">
        <w:trPr>
          <w:trHeight w:val="454"/>
        </w:trPr>
        <w:tc>
          <w:tcPr>
            <w:tcW w:w="506" w:type="pct"/>
            <w:shd w:val="clear" w:color="auto" w:fill="auto"/>
            <w:tcMar>
              <w:top w:w="85" w:type="dxa"/>
              <w:bottom w:w="85" w:type="dxa"/>
            </w:tcMar>
            <w:vAlign w:val="center"/>
          </w:tcPr>
          <w:p w14:paraId="37D60ED5"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200 000</w:t>
            </w:r>
          </w:p>
        </w:tc>
        <w:tc>
          <w:tcPr>
            <w:tcW w:w="440" w:type="pct"/>
            <w:shd w:val="clear" w:color="auto" w:fill="auto"/>
            <w:tcMar>
              <w:top w:w="85" w:type="dxa"/>
              <w:left w:w="0" w:type="dxa"/>
              <w:bottom w:w="85" w:type="dxa"/>
              <w:right w:w="0" w:type="dxa"/>
            </w:tcMar>
            <w:vAlign w:val="center"/>
          </w:tcPr>
          <w:p w14:paraId="2A03D766"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200 000</w:t>
            </w:r>
          </w:p>
        </w:tc>
        <w:tc>
          <w:tcPr>
            <w:tcW w:w="466" w:type="pct"/>
            <w:shd w:val="clear" w:color="auto" w:fill="auto"/>
            <w:tcMar>
              <w:top w:w="85" w:type="dxa"/>
              <w:bottom w:w="85" w:type="dxa"/>
            </w:tcMar>
            <w:vAlign w:val="center"/>
          </w:tcPr>
          <w:p w14:paraId="706B2B9C"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150 000</w:t>
            </w:r>
          </w:p>
        </w:tc>
        <w:tc>
          <w:tcPr>
            <w:tcW w:w="447" w:type="pct"/>
            <w:shd w:val="clear" w:color="auto" w:fill="auto"/>
            <w:tcMar>
              <w:top w:w="85" w:type="dxa"/>
              <w:bottom w:w="85" w:type="dxa"/>
            </w:tcMar>
            <w:vAlign w:val="center"/>
          </w:tcPr>
          <w:p w14:paraId="5A74EB6B"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75 000</w:t>
            </w:r>
          </w:p>
        </w:tc>
        <w:tc>
          <w:tcPr>
            <w:tcW w:w="434" w:type="pct"/>
            <w:shd w:val="clear" w:color="auto" w:fill="auto"/>
            <w:tcMar>
              <w:top w:w="85" w:type="dxa"/>
              <w:bottom w:w="85" w:type="dxa"/>
            </w:tcMar>
            <w:vAlign w:val="center"/>
          </w:tcPr>
          <w:p w14:paraId="52784980"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w:t>
            </w:r>
            <w:r w:rsidRPr="009E064B">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6BA8A756"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75 000</w:t>
            </w:r>
          </w:p>
        </w:tc>
        <w:tc>
          <w:tcPr>
            <w:tcW w:w="447" w:type="pct"/>
            <w:shd w:val="clear" w:color="auto" w:fill="auto"/>
            <w:tcMar>
              <w:top w:w="85" w:type="dxa"/>
              <w:bottom w:w="85" w:type="dxa"/>
            </w:tcMar>
            <w:vAlign w:val="center"/>
          </w:tcPr>
          <w:p w14:paraId="40288767"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250 000</w:t>
            </w:r>
          </w:p>
        </w:tc>
        <w:tc>
          <w:tcPr>
            <w:tcW w:w="447" w:type="pct"/>
            <w:shd w:val="clear" w:color="auto" w:fill="auto"/>
            <w:tcMar>
              <w:top w:w="85" w:type="dxa"/>
              <w:bottom w:w="85" w:type="dxa"/>
            </w:tcMar>
            <w:vAlign w:val="center"/>
          </w:tcPr>
          <w:p w14:paraId="6DDF4951"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112 500</w:t>
            </w:r>
          </w:p>
        </w:tc>
        <w:tc>
          <w:tcPr>
            <w:tcW w:w="447" w:type="pct"/>
            <w:shd w:val="clear" w:color="auto" w:fill="auto"/>
            <w:tcMar>
              <w:top w:w="85" w:type="dxa"/>
              <w:bottom w:w="85" w:type="dxa"/>
            </w:tcMar>
            <w:vAlign w:val="center"/>
          </w:tcPr>
          <w:p w14:paraId="2A0C8C88"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7500</w:t>
            </w:r>
          </w:p>
        </w:tc>
        <w:tc>
          <w:tcPr>
            <w:tcW w:w="466" w:type="pct"/>
            <w:shd w:val="clear" w:color="auto" w:fill="auto"/>
            <w:tcMar>
              <w:top w:w="85" w:type="dxa"/>
              <w:bottom w:w="85" w:type="dxa"/>
            </w:tcMar>
            <w:vAlign w:val="center"/>
          </w:tcPr>
          <w:p w14:paraId="3E780AA8"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w:t>
            </w:r>
            <w:r w:rsidRPr="009E064B">
              <w:rPr>
                <w:rFonts w:asciiTheme="minorHAnsi" w:hAnsiTheme="minorHAnsi" w:cstheme="minorHAnsi"/>
                <w:sz w:val="20"/>
                <w:szCs w:val="20"/>
              </w:rPr>
              <w:sym w:font="Symbol" w:char="F0B0"/>
            </w:r>
          </w:p>
        </w:tc>
        <w:tc>
          <w:tcPr>
            <w:tcW w:w="465" w:type="pct"/>
            <w:shd w:val="clear" w:color="auto" w:fill="auto"/>
            <w:noWrap/>
            <w:tcMar>
              <w:top w:w="85" w:type="dxa"/>
              <w:bottom w:w="85" w:type="dxa"/>
            </w:tcMar>
            <w:vAlign w:val="center"/>
          </w:tcPr>
          <w:p w14:paraId="1E3DB34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75 000</w:t>
            </w:r>
          </w:p>
        </w:tc>
      </w:tr>
      <w:tr w:rsidR="00C36D76" w:rsidRPr="009E064B" w14:paraId="0502196E" w14:textId="77777777" w:rsidTr="00CD112F">
        <w:trPr>
          <w:trHeight w:val="454"/>
        </w:trPr>
        <w:tc>
          <w:tcPr>
            <w:tcW w:w="506" w:type="pct"/>
            <w:shd w:val="clear" w:color="auto" w:fill="auto"/>
            <w:tcMar>
              <w:top w:w="85" w:type="dxa"/>
              <w:bottom w:w="85" w:type="dxa"/>
            </w:tcMar>
            <w:vAlign w:val="center"/>
          </w:tcPr>
          <w:p w14:paraId="538745C4"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100 000</w:t>
            </w:r>
          </w:p>
        </w:tc>
        <w:tc>
          <w:tcPr>
            <w:tcW w:w="440" w:type="pct"/>
            <w:shd w:val="clear" w:color="auto" w:fill="auto"/>
            <w:tcMar>
              <w:top w:w="85" w:type="dxa"/>
              <w:left w:w="0" w:type="dxa"/>
              <w:bottom w:w="85" w:type="dxa"/>
              <w:right w:w="0" w:type="dxa"/>
            </w:tcMar>
            <w:vAlign w:val="center"/>
          </w:tcPr>
          <w:p w14:paraId="078C4C25"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100 000</w:t>
            </w:r>
          </w:p>
        </w:tc>
        <w:tc>
          <w:tcPr>
            <w:tcW w:w="466" w:type="pct"/>
            <w:shd w:val="clear" w:color="auto" w:fill="auto"/>
            <w:tcMar>
              <w:top w:w="85" w:type="dxa"/>
              <w:bottom w:w="85" w:type="dxa"/>
            </w:tcMar>
            <w:vAlign w:val="center"/>
          </w:tcPr>
          <w:p w14:paraId="2C51D60C"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75 000</w:t>
            </w:r>
          </w:p>
        </w:tc>
        <w:tc>
          <w:tcPr>
            <w:tcW w:w="447" w:type="pct"/>
            <w:shd w:val="clear" w:color="auto" w:fill="auto"/>
            <w:tcMar>
              <w:top w:w="85" w:type="dxa"/>
              <w:bottom w:w="85" w:type="dxa"/>
            </w:tcMar>
            <w:vAlign w:val="center"/>
          </w:tcPr>
          <w:p w14:paraId="5A8D6373"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37 500</w:t>
            </w:r>
          </w:p>
        </w:tc>
        <w:tc>
          <w:tcPr>
            <w:tcW w:w="434" w:type="pct"/>
            <w:shd w:val="clear" w:color="auto" w:fill="auto"/>
            <w:tcMar>
              <w:top w:w="85" w:type="dxa"/>
              <w:bottom w:w="85" w:type="dxa"/>
            </w:tcMar>
            <w:vAlign w:val="center"/>
          </w:tcPr>
          <w:p w14:paraId="7D2D0B7D"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w:t>
            </w:r>
            <w:r w:rsidRPr="009E064B">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441EBD03"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37 500</w:t>
            </w:r>
          </w:p>
        </w:tc>
        <w:tc>
          <w:tcPr>
            <w:tcW w:w="447" w:type="pct"/>
            <w:shd w:val="clear" w:color="auto" w:fill="auto"/>
            <w:tcMar>
              <w:top w:w="85" w:type="dxa"/>
              <w:bottom w:w="85" w:type="dxa"/>
            </w:tcMar>
            <w:vAlign w:val="center"/>
          </w:tcPr>
          <w:p w14:paraId="6A45E6A4"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125 000</w:t>
            </w:r>
          </w:p>
        </w:tc>
        <w:tc>
          <w:tcPr>
            <w:tcW w:w="447" w:type="pct"/>
            <w:shd w:val="clear" w:color="auto" w:fill="auto"/>
            <w:tcMar>
              <w:top w:w="85" w:type="dxa"/>
              <w:bottom w:w="85" w:type="dxa"/>
            </w:tcMar>
            <w:vAlign w:val="center"/>
          </w:tcPr>
          <w:p w14:paraId="16AE1785"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56 250</w:t>
            </w:r>
          </w:p>
        </w:tc>
        <w:tc>
          <w:tcPr>
            <w:tcW w:w="447" w:type="pct"/>
            <w:shd w:val="clear" w:color="auto" w:fill="auto"/>
            <w:tcMar>
              <w:top w:w="85" w:type="dxa"/>
              <w:bottom w:w="85" w:type="dxa"/>
            </w:tcMar>
            <w:vAlign w:val="center"/>
          </w:tcPr>
          <w:p w14:paraId="2FC8F90C"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3750</w:t>
            </w:r>
          </w:p>
        </w:tc>
        <w:tc>
          <w:tcPr>
            <w:tcW w:w="466" w:type="pct"/>
            <w:shd w:val="clear" w:color="auto" w:fill="auto"/>
            <w:tcMar>
              <w:top w:w="85" w:type="dxa"/>
              <w:bottom w:w="85" w:type="dxa"/>
            </w:tcMar>
            <w:vAlign w:val="center"/>
          </w:tcPr>
          <w:p w14:paraId="4C070FE2"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w:t>
            </w:r>
            <w:r w:rsidRPr="009E064B">
              <w:rPr>
                <w:rFonts w:asciiTheme="minorHAnsi" w:hAnsiTheme="minorHAnsi" w:cstheme="minorHAnsi"/>
                <w:sz w:val="20"/>
                <w:szCs w:val="20"/>
              </w:rPr>
              <w:sym w:font="Symbol" w:char="F0B0"/>
            </w:r>
          </w:p>
        </w:tc>
        <w:tc>
          <w:tcPr>
            <w:tcW w:w="465" w:type="pct"/>
            <w:shd w:val="clear" w:color="auto" w:fill="auto"/>
            <w:noWrap/>
            <w:tcMar>
              <w:top w:w="85" w:type="dxa"/>
              <w:bottom w:w="85" w:type="dxa"/>
            </w:tcMar>
            <w:vAlign w:val="center"/>
          </w:tcPr>
          <w:p w14:paraId="45F938B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37 000</w:t>
            </w:r>
          </w:p>
        </w:tc>
      </w:tr>
      <w:tr w:rsidR="00C36D76" w:rsidRPr="009E064B" w14:paraId="1FE8104C" w14:textId="77777777" w:rsidTr="00CD112F">
        <w:trPr>
          <w:trHeight w:val="680"/>
        </w:trPr>
        <w:tc>
          <w:tcPr>
            <w:tcW w:w="506" w:type="pct"/>
            <w:shd w:val="clear" w:color="auto" w:fill="auto"/>
            <w:tcMar>
              <w:top w:w="85" w:type="dxa"/>
              <w:bottom w:w="85" w:type="dxa"/>
            </w:tcMar>
            <w:vAlign w:val="center"/>
          </w:tcPr>
          <w:p w14:paraId="3C964CFB"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20 000</w:t>
            </w:r>
          </w:p>
        </w:tc>
        <w:tc>
          <w:tcPr>
            <w:tcW w:w="440" w:type="pct"/>
            <w:shd w:val="clear" w:color="auto" w:fill="auto"/>
            <w:tcMar>
              <w:top w:w="85" w:type="dxa"/>
              <w:left w:w="0" w:type="dxa"/>
              <w:bottom w:w="85" w:type="dxa"/>
              <w:right w:w="0" w:type="dxa"/>
            </w:tcMar>
            <w:vAlign w:val="center"/>
          </w:tcPr>
          <w:p w14:paraId="6D13FF9D"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20 000</w:t>
            </w:r>
          </w:p>
        </w:tc>
        <w:tc>
          <w:tcPr>
            <w:tcW w:w="466" w:type="pct"/>
            <w:shd w:val="clear" w:color="auto" w:fill="auto"/>
            <w:tcMar>
              <w:top w:w="85" w:type="dxa"/>
              <w:bottom w:w="85" w:type="dxa"/>
            </w:tcMar>
            <w:vAlign w:val="center"/>
          </w:tcPr>
          <w:p w14:paraId="33422059"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15 000</w:t>
            </w:r>
          </w:p>
        </w:tc>
        <w:tc>
          <w:tcPr>
            <w:tcW w:w="447" w:type="pct"/>
            <w:shd w:val="clear" w:color="auto" w:fill="auto"/>
            <w:tcMar>
              <w:top w:w="85" w:type="dxa"/>
              <w:bottom w:w="85" w:type="dxa"/>
            </w:tcMar>
            <w:vAlign w:val="center"/>
          </w:tcPr>
          <w:p w14:paraId="0ADFC8FB"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7500</w:t>
            </w:r>
          </w:p>
        </w:tc>
        <w:tc>
          <w:tcPr>
            <w:tcW w:w="434" w:type="pct"/>
            <w:shd w:val="clear" w:color="auto" w:fill="auto"/>
            <w:tcMar>
              <w:top w:w="85" w:type="dxa"/>
              <w:bottom w:w="85" w:type="dxa"/>
            </w:tcMar>
            <w:vAlign w:val="center"/>
          </w:tcPr>
          <w:p w14:paraId="462E0612"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w:t>
            </w:r>
            <w:r w:rsidRPr="009E064B">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6EABC5EA"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7500</w:t>
            </w:r>
          </w:p>
        </w:tc>
        <w:tc>
          <w:tcPr>
            <w:tcW w:w="447" w:type="pct"/>
            <w:shd w:val="clear" w:color="auto" w:fill="auto"/>
            <w:tcMar>
              <w:top w:w="85" w:type="dxa"/>
              <w:bottom w:w="85" w:type="dxa"/>
            </w:tcMar>
            <w:vAlign w:val="center"/>
          </w:tcPr>
          <w:p w14:paraId="4ED498FE"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25 000</w:t>
            </w:r>
          </w:p>
        </w:tc>
        <w:tc>
          <w:tcPr>
            <w:tcW w:w="447" w:type="pct"/>
            <w:shd w:val="clear" w:color="auto" w:fill="auto"/>
            <w:tcMar>
              <w:top w:w="85" w:type="dxa"/>
              <w:bottom w:w="85" w:type="dxa"/>
            </w:tcMar>
            <w:vAlign w:val="center"/>
          </w:tcPr>
          <w:p w14:paraId="4CFE3332"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11 250</w:t>
            </w:r>
          </w:p>
        </w:tc>
        <w:tc>
          <w:tcPr>
            <w:tcW w:w="447" w:type="pct"/>
            <w:shd w:val="clear" w:color="auto" w:fill="auto"/>
            <w:tcMar>
              <w:top w:w="85" w:type="dxa"/>
              <w:bottom w:w="85" w:type="dxa"/>
            </w:tcMar>
            <w:vAlign w:val="center"/>
          </w:tcPr>
          <w:p w14:paraId="4EFEE6B8"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w:t>
            </w:r>
          </w:p>
        </w:tc>
        <w:tc>
          <w:tcPr>
            <w:tcW w:w="466" w:type="pct"/>
            <w:shd w:val="clear" w:color="auto" w:fill="auto"/>
            <w:tcMar>
              <w:top w:w="85" w:type="dxa"/>
              <w:bottom w:w="85" w:type="dxa"/>
            </w:tcMar>
            <w:vAlign w:val="center"/>
          </w:tcPr>
          <w:p w14:paraId="4BA8FC66" w14:textId="25EDE9AB" w:rsidR="00C36D76" w:rsidRPr="009E064B" w:rsidRDefault="00C36D76" w:rsidP="006B294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Nie</w:t>
            </w:r>
            <w:r w:rsidR="006B294A" w:rsidRPr="009E064B">
              <w:rPr>
                <w:rFonts w:asciiTheme="minorHAnsi" w:hAnsiTheme="minorHAnsi" w:cstheme="minorHAnsi"/>
                <w:sz w:val="20"/>
                <w:szCs w:val="20"/>
              </w:rPr>
              <w:t xml:space="preserve"> </w:t>
            </w:r>
            <w:r w:rsidRPr="009E064B">
              <w:rPr>
                <w:rFonts w:asciiTheme="minorHAnsi" w:hAnsiTheme="minorHAnsi" w:cstheme="minorHAnsi"/>
                <w:sz w:val="20"/>
                <w:szCs w:val="20"/>
              </w:rPr>
              <w:t>dotyczy</w:t>
            </w:r>
          </w:p>
        </w:tc>
        <w:tc>
          <w:tcPr>
            <w:tcW w:w="465" w:type="pct"/>
            <w:shd w:val="clear" w:color="auto" w:fill="auto"/>
            <w:noWrap/>
            <w:tcMar>
              <w:top w:w="85" w:type="dxa"/>
              <w:bottom w:w="85" w:type="dxa"/>
            </w:tcMar>
            <w:vAlign w:val="center"/>
          </w:tcPr>
          <w:p w14:paraId="4D786C85" w14:textId="7FA34268" w:rsidR="00C36D76" w:rsidRPr="009E064B" w:rsidRDefault="00C36D76" w:rsidP="006B294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Nie</w:t>
            </w:r>
            <w:r w:rsidR="006B294A" w:rsidRPr="009E064B">
              <w:rPr>
                <w:rFonts w:asciiTheme="minorHAnsi" w:hAnsiTheme="minorHAnsi" w:cstheme="minorHAnsi"/>
                <w:sz w:val="20"/>
                <w:szCs w:val="20"/>
              </w:rPr>
              <w:t xml:space="preserve"> </w:t>
            </w:r>
            <w:r w:rsidRPr="009E064B">
              <w:rPr>
                <w:rFonts w:asciiTheme="minorHAnsi" w:hAnsiTheme="minorHAnsi" w:cstheme="minorHAnsi"/>
                <w:sz w:val="20"/>
                <w:szCs w:val="20"/>
              </w:rPr>
              <w:t>dotyczy</w:t>
            </w:r>
          </w:p>
        </w:tc>
      </w:tr>
      <w:tr w:rsidR="00C36D76" w:rsidRPr="009E064B" w14:paraId="38DA9CAB" w14:textId="77777777" w:rsidTr="00CD112F">
        <w:trPr>
          <w:trHeight w:val="680"/>
        </w:trPr>
        <w:tc>
          <w:tcPr>
            <w:tcW w:w="506" w:type="pct"/>
            <w:shd w:val="clear" w:color="auto" w:fill="auto"/>
            <w:tcMar>
              <w:top w:w="85" w:type="dxa"/>
              <w:bottom w:w="85" w:type="dxa"/>
            </w:tcMar>
            <w:vAlign w:val="center"/>
          </w:tcPr>
          <w:p w14:paraId="24C5EF41"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2000</w:t>
            </w:r>
          </w:p>
        </w:tc>
        <w:tc>
          <w:tcPr>
            <w:tcW w:w="440" w:type="pct"/>
            <w:shd w:val="clear" w:color="auto" w:fill="auto"/>
            <w:tcMar>
              <w:top w:w="85" w:type="dxa"/>
              <w:left w:w="0" w:type="dxa"/>
              <w:bottom w:w="85" w:type="dxa"/>
              <w:right w:w="0" w:type="dxa"/>
            </w:tcMar>
            <w:vAlign w:val="center"/>
          </w:tcPr>
          <w:p w14:paraId="58785A91"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2000</w:t>
            </w:r>
          </w:p>
        </w:tc>
        <w:tc>
          <w:tcPr>
            <w:tcW w:w="466" w:type="pct"/>
            <w:shd w:val="clear" w:color="auto" w:fill="auto"/>
            <w:tcMar>
              <w:top w:w="85" w:type="dxa"/>
              <w:bottom w:w="85" w:type="dxa"/>
            </w:tcMar>
            <w:vAlign w:val="center"/>
          </w:tcPr>
          <w:p w14:paraId="1C37513B"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1500</w:t>
            </w:r>
          </w:p>
        </w:tc>
        <w:tc>
          <w:tcPr>
            <w:tcW w:w="447" w:type="pct"/>
            <w:shd w:val="clear" w:color="auto" w:fill="auto"/>
            <w:tcMar>
              <w:top w:w="85" w:type="dxa"/>
              <w:bottom w:w="85" w:type="dxa"/>
            </w:tcMar>
            <w:vAlign w:val="center"/>
          </w:tcPr>
          <w:p w14:paraId="11341522"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w:t>
            </w:r>
          </w:p>
        </w:tc>
        <w:tc>
          <w:tcPr>
            <w:tcW w:w="434" w:type="pct"/>
            <w:shd w:val="clear" w:color="auto" w:fill="auto"/>
            <w:tcMar>
              <w:top w:w="85" w:type="dxa"/>
              <w:bottom w:w="85" w:type="dxa"/>
            </w:tcMar>
            <w:vAlign w:val="center"/>
          </w:tcPr>
          <w:p w14:paraId="161B84E2"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3</w:t>
            </w:r>
            <w:r w:rsidRPr="009E064B">
              <w:rPr>
                <w:rFonts w:asciiTheme="minorHAnsi" w:hAnsiTheme="minorHAnsi" w:cstheme="minorHAnsi"/>
                <w:sz w:val="20"/>
                <w:szCs w:val="20"/>
              </w:rPr>
              <w:sym w:font="Symbol" w:char="F0B0"/>
            </w:r>
          </w:p>
        </w:tc>
        <w:tc>
          <w:tcPr>
            <w:tcW w:w="435" w:type="pct"/>
            <w:shd w:val="clear" w:color="auto" w:fill="auto"/>
            <w:tcMar>
              <w:top w:w="85" w:type="dxa"/>
              <w:bottom w:w="85" w:type="dxa"/>
            </w:tcMar>
            <w:vAlign w:val="center"/>
          </w:tcPr>
          <w:p w14:paraId="38C5892D"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750</w:t>
            </w:r>
          </w:p>
        </w:tc>
        <w:tc>
          <w:tcPr>
            <w:tcW w:w="447" w:type="pct"/>
            <w:shd w:val="clear" w:color="auto" w:fill="auto"/>
            <w:tcMar>
              <w:top w:w="85" w:type="dxa"/>
              <w:bottom w:w="85" w:type="dxa"/>
            </w:tcMar>
            <w:vAlign w:val="center"/>
          </w:tcPr>
          <w:p w14:paraId="0D2C4A3C"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2500</w:t>
            </w:r>
          </w:p>
        </w:tc>
        <w:tc>
          <w:tcPr>
            <w:tcW w:w="447" w:type="pct"/>
            <w:shd w:val="clear" w:color="auto" w:fill="auto"/>
            <w:tcMar>
              <w:top w:w="85" w:type="dxa"/>
              <w:bottom w:w="85" w:type="dxa"/>
            </w:tcMar>
            <w:vAlign w:val="center"/>
          </w:tcPr>
          <w:p w14:paraId="77288CD3"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1125</w:t>
            </w:r>
          </w:p>
        </w:tc>
        <w:tc>
          <w:tcPr>
            <w:tcW w:w="447" w:type="pct"/>
            <w:shd w:val="clear" w:color="auto" w:fill="auto"/>
            <w:tcMar>
              <w:top w:w="85" w:type="dxa"/>
              <w:bottom w:w="85" w:type="dxa"/>
            </w:tcMar>
            <w:vAlign w:val="center"/>
          </w:tcPr>
          <w:p w14:paraId="69AF8139" w14:textId="77777777" w:rsidR="00C36D76" w:rsidRPr="009E064B" w:rsidRDefault="00C36D76" w:rsidP="00B06A9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75</w:t>
            </w:r>
          </w:p>
        </w:tc>
        <w:tc>
          <w:tcPr>
            <w:tcW w:w="466" w:type="pct"/>
            <w:shd w:val="clear" w:color="auto" w:fill="auto"/>
            <w:tcMar>
              <w:top w:w="85" w:type="dxa"/>
              <w:bottom w:w="85" w:type="dxa"/>
            </w:tcMar>
            <w:vAlign w:val="center"/>
          </w:tcPr>
          <w:p w14:paraId="6C15DA87" w14:textId="59905D65" w:rsidR="00C36D76" w:rsidRPr="009E064B" w:rsidRDefault="00C36D76" w:rsidP="006B294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Nie</w:t>
            </w:r>
            <w:r w:rsidR="006B294A" w:rsidRPr="009E064B">
              <w:rPr>
                <w:rFonts w:asciiTheme="minorHAnsi" w:hAnsiTheme="minorHAnsi" w:cstheme="minorHAnsi"/>
                <w:sz w:val="20"/>
                <w:szCs w:val="20"/>
              </w:rPr>
              <w:t xml:space="preserve"> </w:t>
            </w:r>
            <w:r w:rsidRPr="009E064B">
              <w:rPr>
                <w:rFonts w:asciiTheme="minorHAnsi" w:hAnsiTheme="minorHAnsi" w:cstheme="minorHAnsi"/>
                <w:sz w:val="20"/>
                <w:szCs w:val="20"/>
              </w:rPr>
              <w:t>dotyczy</w:t>
            </w:r>
          </w:p>
        </w:tc>
        <w:tc>
          <w:tcPr>
            <w:tcW w:w="465" w:type="pct"/>
            <w:shd w:val="clear" w:color="auto" w:fill="auto"/>
            <w:noWrap/>
            <w:tcMar>
              <w:top w:w="85" w:type="dxa"/>
              <w:bottom w:w="85" w:type="dxa"/>
            </w:tcMar>
            <w:vAlign w:val="center"/>
          </w:tcPr>
          <w:p w14:paraId="074D3AEF" w14:textId="2603E376" w:rsidR="00C36D76" w:rsidRPr="009E064B" w:rsidRDefault="00C36D76" w:rsidP="006B294A">
            <w:pPr>
              <w:autoSpaceDE w:val="0"/>
              <w:autoSpaceDN w:val="0"/>
              <w:adjustRightInd w:val="0"/>
              <w:spacing w:after="0"/>
              <w:jc w:val="center"/>
              <w:rPr>
                <w:rFonts w:asciiTheme="minorHAnsi" w:hAnsiTheme="minorHAnsi" w:cstheme="minorHAnsi"/>
                <w:sz w:val="20"/>
                <w:szCs w:val="20"/>
              </w:rPr>
            </w:pPr>
            <w:r w:rsidRPr="009E064B">
              <w:rPr>
                <w:rFonts w:asciiTheme="minorHAnsi" w:hAnsiTheme="minorHAnsi" w:cstheme="minorHAnsi"/>
                <w:sz w:val="20"/>
                <w:szCs w:val="20"/>
              </w:rPr>
              <w:t>Nie</w:t>
            </w:r>
            <w:r w:rsidR="006B294A" w:rsidRPr="009E064B">
              <w:rPr>
                <w:rFonts w:asciiTheme="minorHAnsi" w:hAnsiTheme="minorHAnsi" w:cstheme="minorHAnsi"/>
                <w:sz w:val="20"/>
                <w:szCs w:val="20"/>
              </w:rPr>
              <w:t xml:space="preserve"> </w:t>
            </w:r>
            <w:r w:rsidRPr="009E064B">
              <w:rPr>
                <w:rFonts w:asciiTheme="minorHAnsi" w:hAnsiTheme="minorHAnsi" w:cstheme="minorHAnsi"/>
                <w:sz w:val="20"/>
                <w:szCs w:val="20"/>
              </w:rPr>
              <w:t>dotyczy</w:t>
            </w:r>
          </w:p>
        </w:tc>
      </w:tr>
      <w:tr w:rsidR="00C36D76" w:rsidRPr="009E064B" w14:paraId="232F12E5" w14:textId="77777777" w:rsidTr="004E4B48">
        <w:tc>
          <w:tcPr>
            <w:tcW w:w="5000" w:type="pct"/>
            <w:gridSpan w:val="11"/>
            <w:shd w:val="clear" w:color="auto" w:fill="auto"/>
            <w:tcMar>
              <w:top w:w="113" w:type="dxa"/>
              <w:left w:w="142" w:type="dxa"/>
              <w:bottom w:w="113" w:type="dxa"/>
              <w:right w:w="142" w:type="dxa"/>
            </w:tcMar>
            <w:vAlign w:val="center"/>
          </w:tcPr>
          <w:p w14:paraId="35B92EA7" w14:textId="6424A7B0" w:rsidR="00C36D76" w:rsidRPr="009E064B" w:rsidRDefault="00C36D76" w:rsidP="00B06A9A">
            <w:pPr>
              <w:autoSpaceDE w:val="0"/>
              <w:autoSpaceDN w:val="0"/>
              <w:adjustRightInd w:val="0"/>
              <w:spacing w:before="120"/>
              <w:ind w:firstLine="397"/>
              <w:rPr>
                <w:i/>
                <w:sz w:val="20"/>
                <w:szCs w:val="18"/>
              </w:rPr>
            </w:pPr>
            <w:r w:rsidRPr="009E064B">
              <w:rPr>
                <w:i/>
                <w:sz w:val="20"/>
                <w:szCs w:val="18"/>
              </w:rPr>
              <w:t>Uwaga. – Niniejsza Tabela nie zawiera zaleceń poziomego rozproszenia wiązki światła. Specyfikacje w</w:t>
            </w:r>
            <w:r w:rsidR="00E55D9B" w:rsidRPr="009E064B">
              <w:rPr>
                <w:i/>
                <w:sz w:val="20"/>
                <w:szCs w:val="18"/>
              </w:rPr>
              <w:t> </w:t>
            </w:r>
            <w:hyperlink w:anchor="_CS_ADR-DSN.Q.846_" w:history="1">
              <w:r w:rsidRPr="009E064B">
                <w:rPr>
                  <w:rStyle w:val="Hipercze"/>
                  <w:i/>
                  <w:sz w:val="20"/>
                  <w:szCs w:val="18"/>
                </w:rPr>
                <w:t>CS ADR-DSN.Q.846</w:t>
              </w:r>
            </w:hyperlink>
            <w:r w:rsidR="004016A7" w:rsidRPr="009E064B">
              <w:rPr>
                <w:i/>
                <w:sz w:val="20"/>
                <w:szCs w:val="18"/>
              </w:rPr>
              <w:t xml:space="preserve"> lit. </w:t>
            </w:r>
            <w:r w:rsidRPr="009E064B">
              <w:rPr>
                <w:i/>
                <w:sz w:val="20"/>
                <w:szCs w:val="18"/>
              </w:rPr>
              <w:t>(c) wymagają 360º strefy pokrycia wokół przeszkody. W związku z tym ilość świateł potrzebnych do spełnienia tego wymagania będzie zależeć od poziomego rozproszenia wiązki każdego światła oraz od kształtu przeszkody lotniczej. Zatem, im mniejsze rozproszenie wiązki, tym więcej świateł będzie potrzebnych.</w:t>
            </w:r>
          </w:p>
          <w:p w14:paraId="1C3F910A" w14:textId="77777777" w:rsidR="00C36D76" w:rsidRPr="009E064B" w:rsidRDefault="00C36D76" w:rsidP="00B06A9A">
            <w:pPr>
              <w:autoSpaceDE w:val="0"/>
              <w:autoSpaceDN w:val="0"/>
              <w:adjustRightInd w:val="0"/>
              <w:spacing w:before="120"/>
              <w:ind w:left="397" w:hanging="397"/>
              <w:rPr>
                <w:sz w:val="20"/>
                <w:szCs w:val="18"/>
              </w:rPr>
            </w:pPr>
            <w:r w:rsidRPr="009E064B">
              <w:rPr>
                <w:sz w:val="20"/>
                <w:szCs w:val="18"/>
              </w:rPr>
              <w:t>(a)</w:t>
            </w:r>
            <w:r w:rsidRPr="009E064B">
              <w:rPr>
                <w:sz w:val="20"/>
                <w:szCs w:val="18"/>
              </w:rPr>
              <w:tab/>
              <w:t>Kąt poziomy 360°. Intensywność światła wyrażana jest w kandelach. W przypadku świateł błyskowych, intensywność efektywna określona zgodnie z “Podręcznikiem projektowania lotnisk” Część 4.</w:t>
            </w:r>
          </w:p>
          <w:p w14:paraId="4DABF457" w14:textId="77777777" w:rsidR="00C36D76" w:rsidRPr="009E064B" w:rsidRDefault="00C36D76" w:rsidP="00B06A9A">
            <w:pPr>
              <w:autoSpaceDE w:val="0"/>
              <w:autoSpaceDN w:val="0"/>
              <w:adjustRightInd w:val="0"/>
              <w:spacing w:before="120"/>
              <w:ind w:left="397" w:hanging="397"/>
              <w:rPr>
                <w:sz w:val="20"/>
                <w:szCs w:val="18"/>
              </w:rPr>
            </w:pPr>
            <w:r w:rsidRPr="009E064B">
              <w:rPr>
                <w:sz w:val="20"/>
                <w:szCs w:val="18"/>
              </w:rPr>
              <w:t>(b)</w:t>
            </w:r>
            <w:r w:rsidRPr="009E064B">
              <w:rPr>
                <w:sz w:val="20"/>
                <w:szCs w:val="18"/>
              </w:rPr>
              <w:tab/>
              <w:t xml:space="preserve">Pionowe kąty nachylenia określono w stosunku do płaszczyzny poziomej kiedy jednostka świetlna jest usytuowana w poziomie. </w:t>
            </w:r>
          </w:p>
          <w:p w14:paraId="58C980ED" w14:textId="68245860" w:rsidR="00C36D76" w:rsidRPr="009E064B" w:rsidRDefault="00C36D76" w:rsidP="00B06A9A">
            <w:pPr>
              <w:autoSpaceDE w:val="0"/>
              <w:autoSpaceDN w:val="0"/>
              <w:adjustRightInd w:val="0"/>
              <w:spacing w:before="120"/>
              <w:ind w:left="397" w:hanging="397"/>
              <w:rPr>
                <w:sz w:val="20"/>
                <w:szCs w:val="18"/>
              </w:rPr>
            </w:pPr>
            <w:r w:rsidRPr="009E064B">
              <w:rPr>
                <w:sz w:val="20"/>
                <w:szCs w:val="18"/>
              </w:rPr>
              <w:t>(c)</w:t>
            </w:r>
            <w:r w:rsidRPr="009E064B">
              <w:rPr>
                <w:sz w:val="20"/>
                <w:szCs w:val="18"/>
              </w:rPr>
              <w:tab/>
              <w:t>Rozproszenie wiązki światła definiowane jest jako kąt zawarty pomiędzy płaszczyzną poziomą a</w:t>
            </w:r>
            <w:r w:rsidR="00E55D9B" w:rsidRPr="009E064B">
              <w:rPr>
                <w:sz w:val="20"/>
                <w:szCs w:val="18"/>
              </w:rPr>
              <w:t> </w:t>
            </w:r>
            <w:r w:rsidRPr="009E064B">
              <w:rPr>
                <w:sz w:val="20"/>
                <w:szCs w:val="18"/>
              </w:rPr>
              <w:t>kierunkami, dla których intensywność</w:t>
            </w:r>
            <w:r w:rsidR="005B0CBD" w:rsidRPr="009E064B">
              <w:rPr>
                <w:sz w:val="20"/>
                <w:szCs w:val="18"/>
              </w:rPr>
              <w:t xml:space="preserve"> przekracza tą, o której mowa w </w:t>
            </w:r>
            <w:r w:rsidRPr="009E064B">
              <w:rPr>
                <w:sz w:val="20"/>
                <w:szCs w:val="18"/>
              </w:rPr>
              <w:t>kolumnie “intensywność”.</w:t>
            </w:r>
          </w:p>
          <w:p w14:paraId="4563DD56" w14:textId="77777777" w:rsidR="00C36D76" w:rsidRPr="009E064B" w:rsidRDefault="00C36D76" w:rsidP="00B06A9A">
            <w:pPr>
              <w:autoSpaceDE w:val="0"/>
              <w:autoSpaceDN w:val="0"/>
              <w:adjustRightInd w:val="0"/>
              <w:spacing w:before="120"/>
              <w:ind w:firstLine="397"/>
              <w:rPr>
                <w:rFonts w:ascii="Arial Narrow" w:hAnsi="Arial Narrow"/>
                <w:sz w:val="16"/>
                <w:szCs w:val="18"/>
              </w:rPr>
            </w:pPr>
            <w:r w:rsidRPr="009E064B">
              <w:rPr>
                <w:sz w:val="20"/>
                <w:szCs w:val="18"/>
              </w:rPr>
              <w:t>Uwaga.— Zwiększone rozproszenie wiązki światła może być konieczne w warunkach szczególnej konfiguracji i poparte oceną bezpieczeństwa.</w:t>
            </w:r>
          </w:p>
        </w:tc>
      </w:tr>
    </w:tbl>
    <w:p w14:paraId="48F18FAA" w14:textId="77777777" w:rsidR="00C36D76" w:rsidRPr="009E064B" w:rsidRDefault="00C36D76" w:rsidP="00E55D9B">
      <w:pPr>
        <w:autoSpaceDE w:val="0"/>
        <w:autoSpaceDN w:val="0"/>
        <w:adjustRightInd w:val="0"/>
        <w:jc w:val="center"/>
        <w:rPr>
          <w:szCs w:val="20"/>
        </w:rPr>
      </w:pPr>
    </w:p>
    <w:p w14:paraId="77BA94F0" w14:textId="1C367073" w:rsidR="00C36D76" w:rsidRPr="00FE5FBD" w:rsidRDefault="00C36D76" w:rsidP="004E4B48">
      <w:pPr>
        <w:autoSpaceDE w:val="0"/>
        <w:autoSpaceDN w:val="0"/>
        <w:adjustRightInd w:val="0"/>
        <w:spacing w:after="0"/>
        <w:ind w:left="1276" w:hanging="1276"/>
        <w:jc w:val="center"/>
        <w:rPr>
          <w:sz w:val="20"/>
          <w:szCs w:val="20"/>
        </w:rPr>
      </w:pPr>
      <w:r w:rsidRPr="00FE5FBD">
        <w:rPr>
          <w:b/>
          <w:bCs/>
          <w:sz w:val="20"/>
          <w:szCs w:val="20"/>
        </w:rPr>
        <w:t>Tabela Q-3    Rozsył wiązki światła dla świateł przeszkodowych średniej i wysokiej intensywności w</w:t>
      </w:r>
      <w:r w:rsidR="00E55D9B" w:rsidRPr="00FE5FBD">
        <w:rPr>
          <w:b/>
          <w:bCs/>
          <w:sz w:val="20"/>
          <w:szCs w:val="20"/>
        </w:rPr>
        <w:t> </w:t>
      </w:r>
      <w:r w:rsidRPr="00FE5FBD">
        <w:rPr>
          <w:b/>
          <w:bCs/>
          <w:sz w:val="20"/>
          <w:szCs w:val="20"/>
        </w:rPr>
        <w:t>odniesieniu</w:t>
      </w:r>
      <w:r w:rsidR="00E55D9B" w:rsidRPr="00FE5FBD">
        <w:rPr>
          <w:b/>
          <w:bCs/>
          <w:sz w:val="20"/>
          <w:szCs w:val="20"/>
        </w:rPr>
        <w:t xml:space="preserve"> </w:t>
      </w:r>
      <w:r w:rsidRPr="00FE5FBD">
        <w:rPr>
          <w:b/>
          <w:bCs/>
          <w:sz w:val="20"/>
          <w:szCs w:val="20"/>
        </w:rPr>
        <w:t xml:space="preserve"> do wzorcowych wartości intensywności podanych w Tabeli Q-1</w:t>
      </w:r>
      <w:r w:rsidR="004E4B48" w:rsidRPr="00FE5FBD">
        <w:rPr>
          <w:b/>
          <w:bCs/>
          <w:sz w:val="20"/>
          <w:szCs w:val="20"/>
        </w:rPr>
        <w:t xml:space="preserve"> </w:t>
      </w:r>
    </w:p>
    <w:p w14:paraId="0EC3F24C" w14:textId="77777777" w:rsidR="009766C9" w:rsidRPr="00FE5FBD" w:rsidRDefault="009766C9" w:rsidP="00B06A9A">
      <w:pPr>
        <w:ind w:left="425" w:right="-6" w:hanging="425"/>
        <w:jc w:val="left"/>
        <w:rPr>
          <w:sz w:val="20"/>
          <w:szCs w:val="20"/>
        </w:rPr>
        <w:sectPr w:rsidR="009766C9" w:rsidRPr="00FE5FBD" w:rsidSect="00AE1280">
          <w:headerReference w:type="default" r:id="rId238"/>
          <w:footerReference w:type="default" r:id="rId239"/>
          <w:headerReference w:type="first" r:id="rId240"/>
          <w:footerReference w:type="first" r:id="rId241"/>
          <w:pgSz w:w="11906" w:h="16840" w:code="9"/>
          <w:pgMar w:top="1701" w:right="1418" w:bottom="1418" w:left="1418" w:header="567" w:footer="454" w:gutter="0"/>
          <w:cols w:space="708"/>
          <w:titlePg/>
          <w:docGrid w:linePitch="360"/>
        </w:sect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57" w:type="dxa"/>
          <w:left w:w="57" w:type="dxa"/>
          <w:bottom w:w="57" w:type="dxa"/>
          <w:right w:w="57" w:type="dxa"/>
        </w:tblCellMar>
        <w:tblLook w:val="0000" w:firstRow="0" w:lastRow="0" w:firstColumn="0" w:lastColumn="0" w:noHBand="0" w:noVBand="0"/>
      </w:tblPr>
      <w:tblGrid>
        <w:gridCol w:w="1557"/>
        <w:gridCol w:w="1842"/>
        <w:gridCol w:w="3266"/>
      </w:tblGrid>
      <w:tr w:rsidR="00C36D76" w:rsidRPr="009E064B" w14:paraId="30715D77" w14:textId="77777777" w:rsidTr="00E55D9B">
        <w:trPr>
          <w:trHeight w:hRule="exact" w:val="307"/>
          <w:jc w:val="center"/>
        </w:trPr>
        <w:tc>
          <w:tcPr>
            <w:tcW w:w="3399" w:type="dxa"/>
            <w:gridSpan w:val="2"/>
            <w:shd w:val="clear" w:color="auto" w:fill="auto"/>
            <w:tcMar>
              <w:top w:w="85" w:type="dxa"/>
              <w:left w:w="57" w:type="dxa"/>
              <w:bottom w:w="85" w:type="dxa"/>
              <w:right w:w="57" w:type="dxa"/>
            </w:tcMar>
            <w:vAlign w:val="center"/>
          </w:tcPr>
          <w:p w14:paraId="1EF8D982" w14:textId="77777777" w:rsidR="00C36D76" w:rsidRPr="009E064B" w:rsidRDefault="00C36D76" w:rsidP="00B06A9A">
            <w:pPr>
              <w:autoSpaceDE w:val="0"/>
              <w:autoSpaceDN w:val="0"/>
              <w:adjustRightInd w:val="0"/>
              <w:spacing w:after="0"/>
              <w:jc w:val="center"/>
              <w:rPr>
                <w:b/>
                <w:sz w:val="20"/>
              </w:rPr>
            </w:pPr>
            <w:r w:rsidRPr="009E064B">
              <w:rPr>
                <w:b/>
                <w:sz w:val="20"/>
              </w:rPr>
              <w:t>Najdłuższy wymiar</w:t>
            </w:r>
          </w:p>
        </w:tc>
        <w:tc>
          <w:tcPr>
            <w:tcW w:w="3266" w:type="dxa"/>
            <w:vMerge w:val="restart"/>
            <w:shd w:val="clear" w:color="auto" w:fill="auto"/>
            <w:tcMar>
              <w:top w:w="85" w:type="dxa"/>
              <w:left w:w="57" w:type="dxa"/>
              <w:bottom w:w="85" w:type="dxa"/>
              <w:right w:w="57" w:type="dxa"/>
            </w:tcMar>
            <w:vAlign w:val="center"/>
          </w:tcPr>
          <w:p w14:paraId="4BBD18E8" w14:textId="77777777" w:rsidR="00C36D76" w:rsidRPr="009E064B" w:rsidRDefault="00C36D76" w:rsidP="00B06A9A">
            <w:pPr>
              <w:autoSpaceDE w:val="0"/>
              <w:autoSpaceDN w:val="0"/>
              <w:adjustRightInd w:val="0"/>
              <w:spacing w:after="0"/>
              <w:jc w:val="center"/>
              <w:rPr>
                <w:b/>
                <w:sz w:val="20"/>
              </w:rPr>
            </w:pPr>
            <w:r w:rsidRPr="009E064B">
              <w:rPr>
                <w:b/>
                <w:sz w:val="20"/>
              </w:rPr>
              <w:t>Szerokość pasa</w:t>
            </w:r>
          </w:p>
        </w:tc>
      </w:tr>
      <w:tr w:rsidR="00C36D76" w:rsidRPr="009E064B" w14:paraId="0B74892C" w14:textId="77777777" w:rsidTr="00E55D9B">
        <w:trPr>
          <w:jc w:val="center"/>
        </w:trPr>
        <w:tc>
          <w:tcPr>
            <w:tcW w:w="1557" w:type="dxa"/>
            <w:shd w:val="clear" w:color="auto" w:fill="auto"/>
            <w:tcMar>
              <w:top w:w="85" w:type="dxa"/>
              <w:left w:w="57" w:type="dxa"/>
              <w:bottom w:w="85" w:type="dxa"/>
              <w:right w:w="57" w:type="dxa"/>
            </w:tcMar>
            <w:vAlign w:val="center"/>
          </w:tcPr>
          <w:p w14:paraId="081B6843" w14:textId="77777777" w:rsidR="00C36D76" w:rsidRPr="009E064B" w:rsidRDefault="00C36D76" w:rsidP="00B06A9A">
            <w:pPr>
              <w:autoSpaceDE w:val="0"/>
              <w:autoSpaceDN w:val="0"/>
              <w:adjustRightInd w:val="0"/>
              <w:spacing w:after="0"/>
              <w:jc w:val="center"/>
              <w:rPr>
                <w:b/>
                <w:sz w:val="20"/>
              </w:rPr>
            </w:pPr>
            <w:r w:rsidRPr="009E064B">
              <w:rPr>
                <w:b/>
                <w:sz w:val="20"/>
              </w:rPr>
              <w:t>Większy niż</w:t>
            </w:r>
          </w:p>
        </w:tc>
        <w:tc>
          <w:tcPr>
            <w:tcW w:w="1842" w:type="dxa"/>
            <w:shd w:val="clear" w:color="auto" w:fill="auto"/>
            <w:tcMar>
              <w:top w:w="85" w:type="dxa"/>
              <w:left w:w="57" w:type="dxa"/>
              <w:bottom w:w="85" w:type="dxa"/>
              <w:right w:w="57" w:type="dxa"/>
            </w:tcMar>
            <w:vAlign w:val="center"/>
          </w:tcPr>
          <w:p w14:paraId="1E7B9780" w14:textId="77777777" w:rsidR="00C36D76" w:rsidRPr="009E064B" w:rsidRDefault="00C36D76" w:rsidP="00B06A9A">
            <w:pPr>
              <w:autoSpaceDE w:val="0"/>
              <w:autoSpaceDN w:val="0"/>
              <w:adjustRightInd w:val="0"/>
              <w:spacing w:after="0"/>
              <w:jc w:val="center"/>
              <w:rPr>
                <w:b/>
                <w:sz w:val="20"/>
              </w:rPr>
            </w:pPr>
            <w:r w:rsidRPr="009E064B">
              <w:rPr>
                <w:b/>
                <w:sz w:val="20"/>
              </w:rPr>
              <w:t>Nieprzekraczający</w:t>
            </w:r>
          </w:p>
        </w:tc>
        <w:tc>
          <w:tcPr>
            <w:tcW w:w="3266" w:type="dxa"/>
            <w:vMerge/>
            <w:shd w:val="clear" w:color="auto" w:fill="auto"/>
            <w:tcMar>
              <w:top w:w="85" w:type="dxa"/>
              <w:left w:w="57" w:type="dxa"/>
              <w:bottom w:w="85" w:type="dxa"/>
              <w:right w:w="57" w:type="dxa"/>
            </w:tcMar>
            <w:vAlign w:val="center"/>
          </w:tcPr>
          <w:p w14:paraId="066FD615" w14:textId="77777777" w:rsidR="00C36D76" w:rsidRPr="009E064B" w:rsidRDefault="00C36D76" w:rsidP="00B06A9A">
            <w:pPr>
              <w:spacing w:after="0"/>
              <w:ind w:left="480"/>
              <w:jc w:val="center"/>
              <w:rPr>
                <w:b/>
                <w:sz w:val="20"/>
                <w:szCs w:val="20"/>
              </w:rPr>
            </w:pPr>
          </w:p>
        </w:tc>
      </w:tr>
      <w:tr w:rsidR="00C36D76" w:rsidRPr="009E064B" w14:paraId="0B530E1C"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10BF108A"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1.5 m"/>
              </w:smartTagPr>
              <w:r w:rsidRPr="009E064B">
                <w:rPr>
                  <w:sz w:val="20"/>
                </w:rPr>
                <w:t>1.5 m</w:t>
              </w:r>
            </w:smartTag>
          </w:p>
        </w:tc>
        <w:tc>
          <w:tcPr>
            <w:tcW w:w="1842" w:type="dxa"/>
            <w:shd w:val="clear" w:color="auto" w:fill="auto"/>
            <w:tcMar>
              <w:top w:w="113" w:type="dxa"/>
              <w:left w:w="57" w:type="dxa"/>
              <w:bottom w:w="113" w:type="dxa"/>
              <w:right w:w="57" w:type="dxa"/>
            </w:tcMar>
            <w:vAlign w:val="center"/>
          </w:tcPr>
          <w:p w14:paraId="0CEA306A" w14:textId="77777777" w:rsidR="00C36D76" w:rsidRPr="009E064B" w:rsidRDefault="00C36D76" w:rsidP="00B06A9A">
            <w:pPr>
              <w:autoSpaceDE w:val="0"/>
              <w:autoSpaceDN w:val="0"/>
              <w:adjustRightInd w:val="0"/>
              <w:spacing w:after="0"/>
              <w:jc w:val="center"/>
              <w:rPr>
                <w:sz w:val="20"/>
              </w:rPr>
            </w:pPr>
            <w:r w:rsidRPr="009E064B">
              <w:rPr>
                <w:sz w:val="20"/>
              </w:rPr>
              <w:t>210 m</w:t>
            </w:r>
          </w:p>
        </w:tc>
        <w:tc>
          <w:tcPr>
            <w:tcW w:w="3266" w:type="dxa"/>
            <w:shd w:val="clear" w:color="auto" w:fill="auto"/>
            <w:tcMar>
              <w:top w:w="113" w:type="dxa"/>
              <w:left w:w="57" w:type="dxa"/>
              <w:bottom w:w="113" w:type="dxa"/>
              <w:right w:w="57" w:type="dxa"/>
            </w:tcMar>
            <w:vAlign w:val="center"/>
          </w:tcPr>
          <w:p w14:paraId="0F50016B" w14:textId="77777777" w:rsidR="00C36D76" w:rsidRPr="009E064B" w:rsidRDefault="00C36D76" w:rsidP="00B06A9A">
            <w:pPr>
              <w:tabs>
                <w:tab w:val="center" w:pos="-6721"/>
                <w:tab w:val="left" w:pos="543"/>
                <w:tab w:val="center" w:pos="1502"/>
                <w:tab w:val="center" w:pos="2914"/>
              </w:tabs>
              <w:autoSpaceDE w:val="0"/>
              <w:autoSpaceDN w:val="0"/>
              <w:adjustRightInd w:val="0"/>
              <w:spacing w:after="0"/>
              <w:rPr>
                <w:sz w:val="20"/>
              </w:rPr>
            </w:pPr>
            <w:r w:rsidRPr="009E064B">
              <w:rPr>
                <w:sz w:val="20"/>
              </w:rPr>
              <w:tab/>
              <w:t xml:space="preserve">1/7  </w:t>
            </w:r>
            <w:r w:rsidRPr="009E064B">
              <w:rPr>
                <w:sz w:val="20"/>
              </w:rPr>
              <w:tab/>
              <w:t>najdłuższego wymiaru</w:t>
            </w:r>
          </w:p>
        </w:tc>
      </w:tr>
      <w:tr w:rsidR="00C36D76" w:rsidRPr="009E064B" w14:paraId="1BC09E03"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0C511068" w14:textId="77777777" w:rsidR="00C36D76" w:rsidRPr="009E064B" w:rsidRDefault="00C36D76" w:rsidP="00B06A9A">
            <w:pPr>
              <w:autoSpaceDE w:val="0"/>
              <w:autoSpaceDN w:val="0"/>
              <w:adjustRightInd w:val="0"/>
              <w:spacing w:after="0"/>
              <w:jc w:val="center"/>
              <w:rPr>
                <w:sz w:val="20"/>
              </w:rPr>
            </w:pPr>
            <w:r w:rsidRPr="009E064B">
              <w:rPr>
                <w:sz w:val="20"/>
              </w:rPr>
              <w:t>210m</w:t>
            </w:r>
          </w:p>
        </w:tc>
        <w:tc>
          <w:tcPr>
            <w:tcW w:w="1842" w:type="dxa"/>
            <w:shd w:val="clear" w:color="auto" w:fill="auto"/>
            <w:tcMar>
              <w:top w:w="113" w:type="dxa"/>
              <w:left w:w="57" w:type="dxa"/>
              <w:bottom w:w="113" w:type="dxa"/>
              <w:right w:w="57" w:type="dxa"/>
            </w:tcMar>
            <w:vAlign w:val="center"/>
          </w:tcPr>
          <w:p w14:paraId="1CEF1D28"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270 m"/>
              </w:smartTagPr>
              <w:r w:rsidRPr="009E064B">
                <w:rPr>
                  <w:sz w:val="20"/>
                </w:rPr>
                <w:t>270 m</w:t>
              </w:r>
            </w:smartTag>
          </w:p>
        </w:tc>
        <w:tc>
          <w:tcPr>
            <w:tcW w:w="3266" w:type="dxa"/>
            <w:shd w:val="clear" w:color="auto" w:fill="auto"/>
            <w:tcMar>
              <w:top w:w="113" w:type="dxa"/>
              <w:left w:w="57" w:type="dxa"/>
              <w:bottom w:w="113" w:type="dxa"/>
              <w:right w:w="57" w:type="dxa"/>
            </w:tcMar>
            <w:vAlign w:val="center"/>
          </w:tcPr>
          <w:p w14:paraId="1C3E43ED"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1/9 </w:t>
            </w:r>
            <w:r w:rsidRPr="009E064B">
              <w:rPr>
                <w:sz w:val="20"/>
              </w:rPr>
              <w:tab/>
              <w:t>−//−</w:t>
            </w:r>
            <w:r w:rsidRPr="009E064B">
              <w:rPr>
                <w:sz w:val="20"/>
              </w:rPr>
              <w:tab/>
              <w:t>−//−</w:t>
            </w:r>
          </w:p>
        </w:tc>
      </w:tr>
      <w:tr w:rsidR="00C36D76" w:rsidRPr="009E064B" w14:paraId="7B3327B8"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477A946F"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270 m"/>
              </w:smartTagPr>
              <w:r w:rsidRPr="009E064B">
                <w:rPr>
                  <w:sz w:val="20"/>
                </w:rPr>
                <w:t>270 m</w:t>
              </w:r>
            </w:smartTag>
          </w:p>
        </w:tc>
        <w:tc>
          <w:tcPr>
            <w:tcW w:w="1842" w:type="dxa"/>
            <w:shd w:val="clear" w:color="auto" w:fill="auto"/>
            <w:tcMar>
              <w:top w:w="113" w:type="dxa"/>
              <w:left w:w="57" w:type="dxa"/>
              <w:bottom w:w="113" w:type="dxa"/>
              <w:right w:w="57" w:type="dxa"/>
            </w:tcMar>
            <w:vAlign w:val="center"/>
          </w:tcPr>
          <w:p w14:paraId="449D3AC5"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330 m"/>
              </w:smartTagPr>
              <w:r w:rsidRPr="009E064B">
                <w:rPr>
                  <w:sz w:val="20"/>
                </w:rPr>
                <w:t>330 m</w:t>
              </w:r>
            </w:smartTag>
          </w:p>
        </w:tc>
        <w:tc>
          <w:tcPr>
            <w:tcW w:w="3266" w:type="dxa"/>
            <w:shd w:val="clear" w:color="auto" w:fill="auto"/>
            <w:tcMar>
              <w:top w:w="113" w:type="dxa"/>
              <w:left w:w="57" w:type="dxa"/>
              <w:bottom w:w="113" w:type="dxa"/>
              <w:right w:w="57" w:type="dxa"/>
            </w:tcMar>
            <w:vAlign w:val="center"/>
          </w:tcPr>
          <w:p w14:paraId="5EE4663D"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1/11 </w:t>
            </w:r>
            <w:r w:rsidRPr="009E064B">
              <w:rPr>
                <w:sz w:val="20"/>
              </w:rPr>
              <w:tab/>
              <w:t xml:space="preserve">−//− </w:t>
            </w:r>
            <w:r w:rsidRPr="009E064B">
              <w:rPr>
                <w:sz w:val="20"/>
              </w:rPr>
              <w:tab/>
              <w:t>−//−</w:t>
            </w:r>
          </w:p>
        </w:tc>
      </w:tr>
      <w:tr w:rsidR="00C36D76" w:rsidRPr="009E064B" w14:paraId="534F4119"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7487BDD2"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330 m"/>
              </w:smartTagPr>
              <w:r w:rsidRPr="009E064B">
                <w:rPr>
                  <w:sz w:val="20"/>
                </w:rPr>
                <w:t>330 m</w:t>
              </w:r>
            </w:smartTag>
          </w:p>
        </w:tc>
        <w:tc>
          <w:tcPr>
            <w:tcW w:w="1842" w:type="dxa"/>
            <w:shd w:val="clear" w:color="auto" w:fill="auto"/>
            <w:tcMar>
              <w:top w:w="113" w:type="dxa"/>
              <w:left w:w="57" w:type="dxa"/>
              <w:bottom w:w="113" w:type="dxa"/>
              <w:right w:w="57" w:type="dxa"/>
            </w:tcMar>
            <w:vAlign w:val="center"/>
          </w:tcPr>
          <w:p w14:paraId="168A046C"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390 m"/>
              </w:smartTagPr>
              <w:r w:rsidRPr="009E064B">
                <w:rPr>
                  <w:sz w:val="20"/>
                </w:rPr>
                <w:t>390 m</w:t>
              </w:r>
            </w:smartTag>
          </w:p>
        </w:tc>
        <w:tc>
          <w:tcPr>
            <w:tcW w:w="3266" w:type="dxa"/>
            <w:shd w:val="clear" w:color="auto" w:fill="auto"/>
            <w:tcMar>
              <w:top w:w="113" w:type="dxa"/>
              <w:left w:w="57" w:type="dxa"/>
              <w:bottom w:w="113" w:type="dxa"/>
              <w:right w:w="57" w:type="dxa"/>
            </w:tcMar>
            <w:vAlign w:val="center"/>
          </w:tcPr>
          <w:p w14:paraId="47D862B3"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1/13 </w:t>
            </w:r>
            <w:r w:rsidRPr="009E064B">
              <w:rPr>
                <w:sz w:val="20"/>
              </w:rPr>
              <w:tab/>
              <w:t xml:space="preserve">−//− </w:t>
            </w:r>
            <w:r w:rsidRPr="009E064B">
              <w:rPr>
                <w:sz w:val="20"/>
              </w:rPr>
              <w:tab/>
              <w:t>−//−</w:t>
            </w:r>
          </w:p>
        </w:tc>
      </w:tr>
      <w:tr w:rsidR="00C36D76" w:rsidRPr="009E064B" w14:paraId="25EFB487"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22812E48"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390 m"/>
              </w:smartTagPr>
              <w:r w:rsidRPr="009E064B">
                <w:rPr>
                  <w:sz w:val="20"/>
                </w:rPr>
                <w:t>390 m</w:t>
              </w:r>
            </w:smartTag>
          </w:p>
        </w:tc>
        <w:tc>
          <w:tcPr>
            <w:tcW w:w="1842" w:type="dxa"/>
            <w:shd w:val="clear" w:color="auto" w:fill="auto"/>
            <w:tcMar>
              <w:top w:w="113" w:type="dxa"/>
              <w:left w:w="57" w:type="dxa"/>
              <w:bottom w:w="113" w:type="dxa"/>
              <w:right w:w="57" w:type="dxa"/>
            </w:tcMar>
            <w:vAlign w:val="center"/>
          </w:tcPr>
          <w:p w14:paraId="50D93D99"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450 m"/>
              </w:smartTagPr>
              <w:r w:rsidRPr="009E064B">
                <w:rPr>
                  <w:sz w:val="20"/>
                </w:rPr>
                <w:t>450 m</w:t>
              </w:r>
            </w:smartTag>
          </w:p>
        </w:tc>
        <w:tc>
          <w:tcPr>
            <w:tcW w:w="3266" w:type="dxa"/>
            <w:shd w:val="clear" w:color="auto" w:fill="auto"/>
            <w:tcMar>
              <w:top w:w="113" w:type="dxa"/>
              <w:left w:w="57" w:type="dxa"/>
              <w:bottom w:w="113" w:type="dxa"/>
              <w:right w:w="57" w:type="dxa"/>
            </w:tcMar>
            <w:vAlign w:val="center"/>
          </w:tcPr>
          <w:p w14:paraId="391CEE53"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1/15 </w:t>
            </w:r>
            <w:r w:rsidRPr="009E064B">
              <w:rPr>
                <w:sz w:val="20"/>
              </w:rPr>
              <w:tab/>
              <w:t xml:space="preserve">−//− </w:t>
            </w:r>
            <w:r w:rsidRPr="009E064B">
              <w:rPr>
                <w:sz w:val="20"/>
              </w:rPr>
              <w:tab/>
              <w:t>−//−</w:t>
            </w:r>
          </w:p>
        </w:tc>
      </w:tr>
      <w:tr w:rsidR="00C36D76" w:rsidRPr="009E064B" w14:paraId="67EE87AE"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77ED78BB"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450 m"/>
              </w:smartTagPr>
              <w:r w:rsidRPr="009E064B">
                <w:rPr>
                  <w:sz w:val="20"/>
                </w:rPr>
                <w:t>450 m</w:t>
              </w:r>
            </w:smartTag>
          </w:p>
        </w:tc>
        <w:tc>
          <w:tcPr>
            <w:tcW w:w="1842" w:type="dxa"/>
            <w:shd w:val="clear" w:color="auto" w:fill="auto"/>
            <w:tcMar>
              <w:top w:w="113" w:type="dxa"/>
              <w:left w:w="57" w:type="dxa"/>
              <w:bottom w:w="113" w:type="dxa"/>
              <w:right w:w="57" w:type="dxa"/>
            </w:tcMar>
            <w:vAlign w:val="center"/>
          </w:tcPr>
          <w:p w14:paraId="6C3D8808" w14:textId="77777777" w:rsidR="00C36D76" w:rsidRPr="009E064B" w:rsidRDefault="00C36D76" w:rsidP="00B06A9A">
            <w:pPr>
              <w:autoSpaceDE w:val="0"/>
              <w:autoSpaceDN w:val="0"/>
              <w:adjustRightInd w:val="0"/>
              <w:spacing w:after="0"/>
              <w:jc w:val="center"/>
              <w:rPr>
                <w:sz w:val="20"/>
              </w:rPr>
            </w:pPr>
            <w:r w:rsidRPr="009E064B">
              <w:rPr>
                <w:sz w:val="20"/>
              </w:rPr>
              <w:t>510m</w:t>
            </w:r>
          </w:p>
        </w:tc>
        <w:tc>
          <w:tcPr>
            <w:tcW w:w="3266" w:type="dxa"/>
            <w:shd w:val="clear" w:color="auto" w:fill="auto"/>
            <w:tcMar>
              <w:top w:w="113" w:type="dxa"/>
              <w:left w:w="57" w:type="dxa"/>
              <w:bottom w:w="113" w:type="dxa"/>
              <w:right w:w="57" w:type="dxa"/>
            </w:tcMar>
            <w:vAlign w:val="center"/>
          </w:tcPr>
          <w:p w14:paraId="0F987C8B"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1/17 </w:t>
            </w:r>
            <w:r w:rsidRPr="009E064B">
              <w:rPr>
                <w:sz w:val="20"/>
              </w:rPr>
              <w:tab/>
              <w:t xml:space="preserve">−//− </w:t>
            </w:r>
            <w:r w:rsidRPr="009E064B">
              <w:rPr>
                <w:sz w:val="20"/>
              </w:rPr>
              <w:tab/>
              <w:t>−//−</w:t>
            </w:r>
          </w:p>
        </w:tc>
      </w:tr>
      <w:tr w:rsidR="00C36D76" w:rsidRPr="009E064B" w14:paraId="0C3A5379"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44D81E57" w14:textId="77777777" w:rsidR="00C36D76" w:rsidRPr="009E064B" w:rsidRDefault="00C36D76" w:rsidP="00B06A9A">
            <w:pPr>
              <w:autoSpaceDE w:val="0"/>
              <w:autoSpaceDN w:val="0"/>
              <w:adjustRightInd w:val="0"/>
              <w:spacing w:after="0"/>
              <w:jc w:val="center"/>
              <w:rPr>
                <w:sz w:val="20"/>
              </w:rPr>
            </w:pPr>
            <w:r w:rsidRPr="009E064B">
              <w:rPr>
                <w:sz w:val="20"/>
              </w:rPr>
              <w:t>510m</w:t>
            </w:r>
          </w:p>
        </w:tc>
        <w:tc>
          <w:tcPr>
            <w:tcW w:w="1842" w:type="dxa"/>
            <w:shd w:val="clear" w:color="auto" w:fill="auto"/>
            <w:tcMar>
              <w:top w:w="113" w:type="dxa"/>
              <w:left w:w="57" w:type="dxa"/>
              <w:bottom w:w="113" w:type="dxa"/>
              <w:right w:w="57" w:type="dxa"/>
            </w:tcMar>
            <w:vAlign w:val="center"/>
          </w:tcPr>
          <w:p w14:paraId="3210BA4F"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570 m"/>
              </w:smartTagPr>
              <w:r w:rsidRPr="009E064B">
                <w:rPr>
                  <w:sz w:val="20"/>
                </w:rPr>
                <w:t>570 m</w:t>
              </w:r>
            </w:smartTag>
          </w:p>
        </w:tc>
        <w:tc>
          <w:tcPr>
            <w:tcW w:w="3266" w:type="dxa"/>
            <w:shd w:val="clear" w:color="auto" w:fill="auto"/>
            <w:tcMar>
              <w:top w:w="113" w:type="dxa"/>
              <w:left w:w="57" w:type="dxa"/>
              <w:bottom w:w="113" w:type="dxa"/>
              <w:right w:w="57" w:type="dxa"/>
            </w:tcMar>
            <w:vAlign w:val="center"/>
          </w:tcPr>
          <w:p w14:paraId="46C84636"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1/19 </w:t>
            </w:r>
            <w:r w:rsidRPr="009E064B">
              <w:rPr>
                <w:sz w:val="20"/>
              </w:rPr>
              <w:tab/>
              <w:t xml:space="preserve">−//− </w:t>
            </w:r>
            <w:r w:rsidRPr="009E064B">
              <w:rPr>
                <w:sz w:val="20"/>
              </w:rPr>
              <w:tab/>
              <w:t>−//−</w:t>
            </w:r>
          </w:p>
        </w:tc>
      </w:tr>
      <w:tr w:rsidR="00C36D76" w:rsidRPr="009E064B" w14:paraId="14FDB52E" w14:textId="77777777" w:rsidTr="00E55D9B">
        <w:trPr>
          <w:trHeight w:val="340"/>
          <w:jc w:val="center"/>
        </w:trPr>
        <w:tc>
          <w:tcPr>
            <w:tcW w:w="1557" w:type="dxa"/>
            <w:shd w:val="clear" w:color="auto" w:fill="auto"/>
            <w:tcMar>
              <w:top w:w="113" w:type="dxa"/>
              <w:left w:w="57" w:type="dxa"/>
              <w:bottom w:w="113" w:type="dxa"/>
              <w:right w:w="57" w:type="dxa"/>
            </w:tcMar>
            <w:vAlign w:val="center"/>
          </w:tcPr>
          <w:p w14:paraId="34A0F1DE"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570 m"/>
              </w:smartTagPr>
              <w:r w:rsidRPr="009E064B">
                <w:rPr>
                  <w:sz w:val="20"/>
                </w:rPr>
                <w:t>570 m</w:t>
              </w:r>
            </w:smartTag>
          </w:p>
        </w:tc>
        <w:tc>
          <w:tcPr>
            <w:tcW w:w="1842" w:type="dxa"/>
            <w:shd w:val="clear" w:color="auto" w:fill="auto"/>
            <w:tcMar>
              <w:top w:w="113" w:type="dxa"/>
              <w:left w:w="57" w:type="dxa"/>
              <w:bottom w:w="113" w:type="dxa"/>
              <w:right w:w="57" w:type="dxa"/>
            </w:tcMar>
            <w:vAlign w:val="center"/>
          </w:tcPr>
          <w:p w14:paraId="1D6BB23C" w14:textId="77777777" w:rsidR="00C36D76" w:rsidRPr="009E064B" w:rsidRDefault="00C36D76" w:rsidP="00B06A9A">
            <w:pPr>
              <w:autoSpaceDE w:val="0"/>
              <w:autoSpaceDN w:val="0"/>
              <w:adjustRightInd w:val="0"/>
              <w:spacing w:after="0"/>
              <w:jc w:val="center"/>
              <w:rPr>
                <w:sz w:val="20"/>
              </w:rPr>
            </w:pPr>
            <w:smartTag w:uri="urn:schemas-microsoft-com:office:smarttags" w:element="metricconverter">
              <w:smartTagPr>
                <w:attr w:name="ProductID" w:val="630 m"/>
              </w:smartTagPr>
              <w:r w:rsidRPr="009E064B">
                <w:rPr>
                  <w:sz w:val="20"/>
                </w:rPr>
                <w:t>630 m</w:t>
              </w:r>
            </w:smartTag>
          </w:p>
        </w:tc>
        <w:tc>
          <w:tcPr>
            <w:tcW w:w="3266" w:type="dxa"/>
            <w:shd w:val="clear" w:color="auto" w:fill="auto"/>
            <w:tcMar>
              <w:top w:w="113" w:type="dxa"/>
              <w:left w:w="57" w:type="dxa"/>
              <w:bottom w:w="113" w:type="dxa"/>
              <w:right w:w="57" w:type="dxa"/>
            </w:tcMar>
            <w:vAlign w:val="center"/>
          </w:tcPr>
          <w:p w14:paraId="47A16071" w14:textId="77777777" w:rsidR="00C36D76" w:rsidRPr="009E064B" w:rsidRDefault="00C36D76" w:rsidP="00B06A9A">
            <w:pPr>
              <w:tabs>
                <w:tab w:val="center" w:pos="-6721"/>
                <w:tab w:val="left" w:pos="543"/>
                <w:tab w:val="left" w:pos="1360"/>
                <w:tab w:val="left" w:pos="2352"/>
              </w:tabs>
              <w:autoSpaceDE w:val="0"/>
              <w:autoSpaceDN w:val="0"/>
              <w:adjustRightInd w:val="0"/>
              <w:spacing w:after="0"/>
              <w:rPr>
                <w:sz w:val="20"/>
              </w:rPr>
            </w:pPr>
            <w:r w:rsidRPr="009E064B">
              <w:rPr>
                <w:sz w:val="20"/>
              </w:rPr>
              <w:tab/>
              <w:t xml:space="preserve">1/21 </w:t>
            </w:r>
            <w:r w:rsidRPr="009E064B">
              <w:rPr>
                <w:sz w:val="20"/>
              </w:rPr>
              <w:tab/>
              <w:t xml:space="preserve">−//− </w:t>
            </w:r>
            <w:r w:rsidRPr="009E064B">
              <w:rPr>
                <w:sz w:val="20"/>
              </w:rPr>
              <w:tab/>
              <w:t>−//−</w:t>
            </w:r>
          </w:p>
        </w:tc>
      </w:tr>
    </w:tbl>
    <w:p w14:paraId="641C6F4A" w14:textId="77777777" w:rsidR="00C36D76" w:rsidRPr="009E064B" w:rsidRDefault="00C36D76" w:rsidP="00B06A9A">
      <w:pPr>
        <w:autoSpaceDE w:val="0"/>
        <w:autoSpaceDN w:val="0"/>
        <w:adjustRightInd w:val="0"/>
        <w:spacing w:after="0"/>
        <w:rPr>
          <w:szCs w:val="20"/>
        </w:rPr>
      </w:pPr>
    </w:p>
    <w:p w14:paraId="31E651F6" w14:textId="77777777" w:rsidR="00C36D76" w:rsidRPr="00FE5FBD" w:rsidRDefault="00C36D76" w:rsidP="00B06A9A">
      <w:pPr>
        <w:autoSpaceDE w:val="0"/>
        <w:autoSpaceDN w:val="0"/>
        <w:adjustRightInd w:val="0"/>
        <w:jc w:val="center"/>
        <w:rPr>
          <w:b/>
          <w:sz w:val="20"/>
          <w:szCs w:val="20"/>
        </w:rPr>
      </w:pPr>
      <w:r w:rsidRPr="00FE5FBD">
        <w:rPr>
          <w:b/>
          <w:sz w:val="20"/>
          <w:szCs w:val="20"/>
        </w:rPr>
        <w:t>Tabela Q-4.   Szerokości pasów oznakowania</w:t>
      </w:r>
    </w:p>
    <w:p w14:paraId="6BE3094E" w14:textId="44CA17D1" w:rsidR="00C36D76" w:rsidRPr="009E064B" w:rsidRDefault="00C36D76" w:rsidP="00B06A9A">
      <w:pPr>
        <w:autoSpaceDE w:val="0"/>
        <w:autoSpaceDN w:val="0"/>
        <w:adjustRightInd w:val="0"/>
        <w:rPr>
          <w:szCs w:val="20"/>
        </w:rPr>
      </w:pPr>
    </w:p>
    <w:p w14:paraId="18009049" w14:textId="77777777" w:rsidR="00E55D9B" w:rsidRPr="009E064B" w:rsidRDefault="00E55D9B" w:rsidP="00B06A9A">
      <w:pPr>
        <w:autoSpaceDE w:val="0"/>
        <w:autoSpaceDN w:val="0"/>
        <w:adjustRightInd w:val="0"/>
        <w:rPr>
          <w:szCs w:val="20"/>
        </w:rPr>
      </w:pPr>
    </w:p>
    <w:tbl>
      <w:tblPr>
        <w:tblW w:w="73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0A0" w:firstRow="1" w:lastRow="0" w:firstColumn="1" w:lastColumn="0" w:noHBand="0" w:noVBand="0"/>
      </w:tblPr>
      <w:tblGrid>
        <w:gridCol w:w="2126"/>
        <w:gridCol w:w="2128"/>
        <w:gridCol w:w="3115"/>
      </w:tblGrid>
      <w:tr w:rsidR="00CE235E" w:rsidRPr="00FE5FBD" w14:paraId="5B798F31" w14:textId="77777777" w:rsidTr="00E55D9B">
        <w:trPr>
          <w:jc w:val="center"/>
        </w:trPr>
        <w:tc>
          <w:tcPr>
            <w:tcW w:w="4254" w:type="dxa"/>
            <w:gridSpan w:val="2"/>
            <w:shd w:val="clear" w:color="auto" w:fill="auto"/>
            <w:tcMar>
              <w:top w:w="85" w:type="dxa"/>
              <w:bottom w:w="85" w:type="dxa"/>
            </w:tcMar>
            <w:vAlign w:val="center"/>
          </w:tcPr>
          <w:p w14:paraId="1F20449D" w14:textId="78EA8D26" w:rsidR="00CE235E" w:rsidRPr="00FE5FBD" w:rsidRDefault="00CE235E" w:rsidP="00E70319">
            <w:pPr>
              <w:tabs>
                <w:tab w:val="left" w:pos="1418"/>
              </w:tabs>
              <w:spacing w:after="0"/>
              <w:ind w:right="11"/>
              <w:jc w:val="center"/>
              <w:rPr>
                <w:rFonts w:eastAsia="Times New Roman,Italic"/>
                <w:b/>
                <w:iCs/>
              </w:rPr>
            </w:pPr>
            <w:r w:rsidRPr="00FE5FBD">
              <w:rPr>
                <w:rFonts w:eastAsia="Times New Roman,Italic"/>
                <w:b/>
                <w:iCs/>
              </w:rPr>
              <w:t xml:space="preserve">Wysokość jednostki świetlnej </w:t>
            </w:r>
            <w:r w:rsidR="00E55D9B" w:rsidRPr="00FE5FBD">
              <w:rPr>
                <w:rFonts w:eastAsia="Times New Roman,Italic"/>
                <w:b/>
                <w:iCs/>
              </w:rPr>
              <w:br/>
            </w:r>
            <w:r w:rsidRPr="00FE5FBD">
              <w:rPr>
                <w:rFonts w:eastAsia="Times New Roman,Italic"/>
                <w:b/>
                <w:iCs/>
              </w:rPr>
              <w:t>nad poziomem terenu (AGL)</w:t>
            </w:r>
          </w:p>
        </w:tc>
        <w:tc>
          <w:tcPr>
            <w:tcW w:w="3115" w:type="dxa"/>
            <w:vMerge w:val="restart"/>
            <w:shd w:val="clear" w:color="auto" w:fill="auto"/>
            <w:tcMar>
              <w:top w:w="85" w:type="dxa"/>
              <w:bottom w:w="85" w:type="dxa"/>
            </w:tcMar>
            <w:vAlign w:val="center"/>
          </w:tcPr>
          <w:p w14:paraId="33F51028" w14:textId="77777777" w:rsidR="00CE235E" w:rsidRPr="00FE5FBD" w:rsidRDefault="00CE235E" w:rsidP="00E70319">
            <w:pPr>
              <w:tabs>
                <w:tab w:val="left" w:pos="1418"/>
              </w:tabs>
              <w:spacing w:after="0"/>
              <w:ind w:right="11"/>
              <w:jc w:val="center"/>
              <w:rPr>
                <w:rFonts w:eastAsia="Times New Roman,Italic"/>
                <w:b/>
                <w:iCs/>
              </w:rPr>
            </w:pPr>
            <w:r w:rsidRPr="00FE5FBD">
              <w:rPr>
                <w:rFonts w:eastAsia="Times New Roman,Italic"/>
                <w:b/>
                <w:iCs/>
              </w:rPr>
              <w:t>Kąt pomiędzy szczytem wiązki światła a płaszczyzną poziomą</w:t>
            </w:r>
          </w:p>
        </w:tc>
      </w:tr>
      <w:tr w:rsidR="00CE235E" w:rsidRPr="00FE5FBD" w14:paraId="31AA5146" w14:textId="77777777" w:rsidTr="00E55D9B">
        <w:trPr>
          <w:jc w:val="center"/>
        </w:trPr>
        <w:tc>
          <w:tcPr>
            <w:tcW w:w="2126" w:type="dxa"/>
            <w:shd w:val="clear" w:color="auto" w:fill="auto"/>
            <w:tcMar>
              <w:top w:w="85" w:type="dxa"/>
              <w:bottom w:w="85" w:type="dxa"/>
            </w:tcMar>
            <w:vAlign w:val="center"/>
          </w:tcPr>
          <w:p w14:paraId="617741A3" w14:textId="77777777" w:rsidR="00CE235E" w:rsidRPr="00FE5FBD" w:rsidRDefault="00CE235E" w:rsidP="00E70319">
            <w:pPr>
              <w:tabs>
                <w:tab w:val="left" w:pos="1418"/>
              </w:tabs>
              <w:spacing w:after="0"/>
              <w:ind w:right="11"/>
              <w:jc w:val="center"/>
              <w:rPr>
                <w:rFonts w:eastAsia="Times New Roman,Italic"/>
                <w:b/>
                <w:iCs/>
              </w:rPr>
            </w:pPr>
            <w:r w:rsidRPr="00FE5FBD">
              <w:rPr>
                <w:rFonts w:eastAsia="Times New Roman,Italic"/>
                <w:b/>
                <w:iCs/>
              </w:rPr>
              <w:t>Większa niż:</w:t>
            </w:r>
          </w:p>
        </w:tc>
        <w:tc>
          <w:tcPr>
            <w:tcW w:w="2128" w:type="dxa"/>
            <w:vAlign w:val="center"/>
          </w:tcPr>
          <w:p w14:paraId="371DE734" w14:textId="77777777" w:rsidR="00CE235E" w:rsidRPr="00FE5FBD" w:rsidRDefault="00CE235E" w:rsidP="00E70319">
            <w:pPr>
              <w:tabs>
                <w:tab w:val="left" w:pos="1418"/>
              </w:tabs>
              <w:spacing w:after="0"/>
              <w:ind w:right="11"/>
              <w:jc w:val="center"/>
              <w:rPr>
                <w:rFonts w:eastAsia="Times New Roman,Italic"/>
                <w:b/>
                <w:iCs/>
              </w:rPr>
            </w:pPr>
            <w:r w:rsidRPr="00FE5FBD">
              <w:rPr>
                <w:rFonts w:eastAsia="Times New Roman,Italic"/>
                <w:b/>
                <w:iCs/>
              </w:rPr>
              <w:t>Nie większa niż</w:t>
            </w:r>
          </w:p>
        </w:tc>
        <w:tc>
          <w:tcPr>
            <w:tcW w:w="3115" w:type="dxa"/>
            <w:vMerge/>
            <w:shd w:val="clear" w:color="auto" w:fill="auto"/>
            <w:tcMar>
              <w:top w:w="85" w:type="dxa"/>
              <w:bottom w:w="85" w:type="dxa"/>
            </w:tcMar>
            <w:vAlign w:val="center"/>
          </w:tcPr>
          <w:p w14:paraId="113B7954" w14:textId="77777777" w:rsidR="00CE235E" w:rsidRPr="00FE5FBD" w:rsidRDefault="00CE235E" w:rsidP="00E70319">
            <w:pPr>
              <w:tabs>
                <w:tab w:val="left" w:pos="1418"/>
              </w:tabs>
              <w:spacing w:after="0"/>
              <w:ind w:right="11"/>
              <w:jc w:val="center"/>
              <w:rPr>
                <w:rFonts w:eastAsia="Times New Roman,Italic"/>
                <w:b/>
                <w:iCs/>
              </w:rPr>
            </w:pPr>
          </w:p>
        </w:tc>
      </w:tr>
      <w:tr w:rsidR="00CE235E" w:rsidRPr="00FE5FBD" w14:paraId="2BBA13F9" w14:textId="77777777" w:rsidTr="00E55D9B">
        <w:trPr>
          <w:trHeight w:val="454"/>
          <w:jc w:val="center"/>
        </w:trPr>
        <w:tc>
          <w:tcPr>
            <w:tcW w:w="2126" w:type="dxa"/>
            <w:shd w:val="clear" w:color="auto" w:fill="auto"/>
            <w:tcMar>
              <w:top w:w="85" w:type="dxa"/>
              <w:bottom w:w="85" w:type="dxa"/>
            </w:tcMar>
            <w:vAlign w:val="center"/>
          </w:tcPr>
          <w:p w14:paraId="6DFCC863"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151 m</w:t>
            </w:r>
          </w:p>
        </w:tc>
        <w:tc>
          <w:tcPr>
            <w:tcW w:w="2128" w:type="dxa"/>
            <w:vAlign w:val="center"/>
          </w:tcPr>
          <w:p w14:paraId="15A075A1"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w:t>
            </w:r>
          </w:p>
        </w:tc>
        <w:tc>
          <w:tcPr>
            <w:tcW w:w="3115" w:type="dxa"/>
            <w:shd w:val="clear" w:color="auto" w:fill="auto"/>
            <w:tcMar>
              <w:top w:w="85" w:type="dxa"/>
              <w:bottom w:w="85" w:type="dxa"/>
            </w:tcMar>
            <w:vAlign w:val="center"/>
          </w:tcPr>
          <w:p w14:paraId="47CD581C" w14:textId="77777777" w:rsidR="00CE235E" w:rsidRPr="00FE5FBD" w:rsidRDefault="00CE235E" w:rsidP="00E70319">
            <w:pPr>
              <w:tabs>
                <w:tab w:val="left" w:pos="1418"/>
              </w:tabs>
              <w:spacing w:after="0"/>
              <w:ind w:right="11"/>
              <w:jc w:val="center"/>
              <w:rPr>
                <w:rFonts w:eastAsia="Times New Roman,Italic"/>
                <w:iCs/>
                <w:vertAlign w:val="superscript"/>
              </w:rPr>
            </w:pPr>
            <w:r w:rsidRPr="00FE5FBD">
              <w:rPr>
                <w:rFonts w:eastAsia="Times New Roman,Italic"/>
                <w:iCs/>
              </w:rPr>
              <w:t>0</w:t>
            </w:r>
            <w:r w:rsidRPr="00FE5FBD">
              <w:rPr>
                <w:rFonts w:eastAsia="Times New Roman,Italic"/>
                <w:iCs/>
                <w:vertAlign w:val="superscript"/>
              </w:rPr>
              <w:t>o</w:t>
            </w:r>
          </w:p>
        </w:tc>
      </w:tr>
      <w:tr w:rsidR="00CE235E" w:rsidRPr="00FE5FBD" w14:paraId="7881FBBD" w14:textId="77777777" w:rsidTr="00E55D9B">
        <w:trPr>
          <w:trHeight w:val="454"/>
          <w:jc w:val="center"/>
        </w:trPr>
        <w:tc>
          <w:tcPr>
            <w:tcW w:w="2126" w:type="dxa"/>
            <w:shd w:val="clear" w:color="auto" w:fill="auto"/>
            <w:tcMar>
              <w:top w:w="85" w:type="dxa"/>
              <w:bottom w:w="85" w:type="dxa"/>
            </w:tcMar>
            <w:vAlign w:val="center"/>
          </w:tcPr>
          <w:p w14:paraId="1C9CFD38"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122 m</w:t>
            </w:r>
          </w:p>
        </w:tc>
        <w:tc>
          <w:tcPr>
            <w:tcW w:w="2128" w:type="dxa"/>
            <w:vAlign w:val="center"/>
          </w:tcPr>
          <w:p w14:paraId="4DAB04F1"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151 m</w:t>
            </w:r>
          </w:p>
        </w:tc>
        <w:tc>
          <w:tcPr>
            <w:tcW w:w="3115" w:type="dxa"/>
            <w:shd w:val="clear" w:color="auto" w:fill="auto"/>
            <w:tcMar>
              <w:top w:w="85" w:type="dxa"/>
              <w:bottom w:w="85" w:type="dxa"/>
            </w:tcMar>
            <w:vAlign w:val="center"/>
          </w:tcPr>
          <w:p w14:paraId="34E962D9" w14:textId="77777777" w:rsidR="00CE235E" w:rsidRPr="00FE5FBD" w:rsidRDefault="00CE235E" w:rsidP="00E70319">
            <w:pPr>
              <w:tabs>
                <w:tab w:val="left" w:pos="1418"/>
              </w:tabs>
              <w:spacing w:after="0"/>
              <w:ind w:right="11"/>
              <w:jc w:val="center"/>
              <w:rPr>
                <w:rFonts w:eastAsia="Times New Roman,Italic"/>
                <w:iCs/>
                <w:vertAlign w:val="superscript"/>
              </w:rPr>
            </w:pPr>
            <w:r w:rsidRPr="00FE5FBD">
              <w:rPr>
                <w:rFonts w:eastAsia="Times New Roman,Italic"/>
                <w:iCs/>
              </w:rPr>
              <w:t>1</w:t>
            </w:r>
            <w:r w:rsidRPr="00FE5FBD">
              <w:rPr>
                <w:rFonts w:eastAsia="Times New Roman,Italic"/>
                <w:iCs/>
                <w:vertAlign w:val="superscript"/>
              </w:rPr>
              <w:t>o</w:t>
            </w:r>
          </w:p>
        </w:tc>
      </w:tr>
      <w:tr w:rsidR="00CE235E" w:rsidRPr="00FE5FBD" w14:paraId="57066F4A" w14:textId="77777777" w:rsidTr="00E55D9B">
        <w:trPr>
          <w:trHeight w:val="454"/>
          <w:jc w:val="center"/>
        </w:trPr>
        <w:tc>
          <w:tcPr>
            <w:tcW w:w="2126" w:type="dxa"/>
            <w:shd w:val="clear" w:color="auto" w:fill="auto"/>
            <w:tcMar>
              <w:top w:w="85" w:type="dxa"/>
              <w:bottom w:w="85" w:type="dxa"/>
            </w:tcMar>
            <w:vAlign w:val="center"/>
          </w:tcPr>
          <w:p w14:paraId="2DA38ADB"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92 m</w:t>
            </w:r>
          </w:p>
        </w:tc>
        <w:tc>
          <w:tcPr>
            <w:tcW w:w="2128" w:type="dxa"/>
            <w:vAlign w:val="center"/>
          </w:tcPr>
          <w:p w14:paraId="7612BD83"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122 m</w:t>
            </w:r>
          </w:p>
        </w:tc>
        <w:tc>
          <w:tcPr>
            <w:tcW w:w="3115" w:type="dxa"/>
            <w:shd w:val="clear" w:color="auto" w:fill="auto"/>
            <w:tcMar>
              <w:top w:w="85" w:type="dxa"/>
              <w:bottom w:w="85" w:type="dxa"/>
            </w:tcMar>
            <w:vAlign w:val="center"/>
          </w:tcPr>
          <w:p w14:paraId="47FD2F25" w14:textId="77777777" w:rsidR="00CE235E" w:rsidRPr="00FE5FBD" w:rsidRDefault="00CE235E" w:rsidP="00E70319">
            <w:pPr>
              <w:tabs>
                <w:tab w:val="left" w:pos="1418"/>
              </w:tabs>
              <w:spacing w:after="0"/>
              <w:ind w:right="11"/>
              <w:jc w:val="center"/>
              <w:rPr>
                <w:rFonts w:eastAsia="Times New Roman,Italic"/>
                <w:iCs/>
                <w:vertAlign w:val="superscript"/>
              </w:rPr>
            </w:pPr>
            <w:r w:rsidRPr="00FE5FBD">
              <w:rPr>
                <w:rFonts w:eastAsia="Times New Roman,Italic"/>
                <w:iCs/>
              </w:rPr>
              <w:t>2</w:t>
            </w:r>
            <w:r w:rsidRPr="00FE5FBD">
              <w:rPr>
                <w:rFonts w:eastAsia="Times New Roman,Italic"/>
                <w:iCs/>
                <w:vertAlign w:val="superscript"/>
              </w:rPr>
              <w:t>o</w:t>
            </w:r>
          </w:p>
        </w:tc>
      </w:tr>
      <w:tr w:rsidR="00CE235E" w:rsidRPr="00FE5FBD" w14:paraId="189C8534" w14:textId="77777777" w:rsidTr="00E55D9B">
        <w:trPr>
          <w:trHeight w:val="454"/>
          <w:jc w:val="center"/>
        </w:trPr>
        <w:tc>
          <w:tcPr>
            <w:tcW w:w="2126" w:type="dxa"/>
            <w:shd w:val="clear" w:color="auto" w:fill="auto"/>
            <w:tcMar>
              <w:top w:w="85" w:type="dxa"/>
              <w:bottom w:w="85" w:type="dxa"/>
            </w:tcMar>
            <w:vAlign w:val="center"/>
          </w:tcPr>
          <w:p w14:paraId="2CE84359"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w:t>
            </w:r>
          </w:p>
        </w:tc>
        <w:tc>
          <w:tcPr>
            <w:tcW w:w="2128" w:type="dxa"/>
            <w:vAlign w:val="center"/>
          </w:tcPr>
          <w:p w14:paraId="656C8286" w14:textId="77777777" w:rsidR="00CE235E" w:rsidRPr="00FE5FBD" w:rsidRDefault="00CE235E" w:rsidP="00E70319">
            <w:pPr>
              <w:tabs>
                <w:tab w:val="left" w:pos="1418"/>
              </w:tabs>
              <w:spacing w:after="0"/>
              <w:ind w:right="11"/>
              <w:jc w:val="center"/>
              <w:rPr>
                <w:rFonts w:eastAsia="Times New Roman,Italic"/>
                <w:iCs/>
              </w:rPr>
            </w:pPr>
            <w:r w:rsidRPr="00FE5FBD">
              <w:rPr>
                <w:rFonts w:eastAsia="Times New Roman,Italic"/>
                <w:iCs/>
              </w:rPr>
              <w:t>92 m</w:t>
            </w:r>
          </w:p>
        </w:tc>
        <w:tc>
          <w:tcPr>
            <w:tcW w:w="3115" w:type="dxa"/>
            <w:shd w:val="clear" w:color="auto" w:fill="auto"/>
            <w:tcMar>
              <w:top w:w="85" w:type="dxa"/>
              <w:bottom w:w="85" w:type="dxa"/>
            </w:tcMar>
            <w:vAlign w:val="center"/>
          </w:tcPr>
          <w:p w14:paraId="0ED83CAE" w14:textId="77777777" w:rsidR="00CE235E" w:rsidRPr="00FE5FBD" w:rsidRDefault="00CE235E" w:rsidP="00E70319">
            <w:pPr>
              <w:tabs>
                <w:tab w:val="left" w:pos="1418"/>
              </w:tabs>
              <w:spacing w:after="0"/>
              <w:ind w:right="11"/>
              <w:jc w:val="center"/>
              <w:rPr>
                <w:rFonts w:eastAsia="Times New Roman,Italic"/>
                <w:iCs/>
                <w:vertAlign w:val="superscript"/>
              </w:rPr>
            </w:pPr>
            <w:r w:rsidRPr="00FE5FBD">
              <w:rPr>
                <w:rFonts w:eastAsia="Times New Roman,Italic"/>
                <w:iCs/>
              </w:rPr>
              <w:t>3</w:t>
            </w:r>
            <w:r w:rsidRPr="00FE5FBD">
              <w:rPr>
                <w:rFonts w:eastAsia="Times New Roman,Italic"/>
                <w:iCs/>
                <w:vertAlign w:val="superscript"/>
              </w:rPr>
              <w:t>o</w:t>
            </w:r>
          </w:p>
        </w:tc>
      </w:tr>
    </w:tbl>
    <w:p w14:paraId="7B15477A" w14:textId="77777777" w:rsidR="00C36D76" w:rsidRPr="00FE5FBD" w:rsidRDefault="00C36D76" w:rsidP="000A5A0E">
      <w:pPr>
        <w:autoSpaceDE w:val="0"/>
        <w:autoSpaceDN w:val="0"/>
        <w:adjustRightInd w:val="0"/>
        <w:spacing w:after="0"/>
        <w:rPr>
          <w:szCs w:val="20"/>
        </w:rPr>
      </w:pPr>
    </w:p>
    <w:p w14:paraId="7A6415FE" w14:textId="77777777" w:rsidR="00C36D76" w:rsidRPr="00FE5FBD" w:rsidRDefault="00C36D76" w:rsidP="00B06A9A">
      <w:pPr>
        <w:autoSpaceDE w:val="0"/>
        <w:autoSpaceDN w:val="0"/>
        <w:adjustRightInd w:val="0"/>
        <w:jc w:val="center"/>
        <w:rPr>
          <w:b/>
          <w:sz w:val="20"/>
          <w:szCs w:val="20"/>
        </w:rPr>
      </w:pPr>
      <w:r w:rsidRPr="00FE5FBD">
        <w:rPr>
          <w:b/>
          <w:sz w:val="20"/>
          <w:szCs w:val="20"/>
        </w:rPr>
        <w:t>Tabela Q-5.   Kąty ustawienia instalacji świateł przeszkodowych wysokiej intensywności</w:t>
      </w:r>
    </w:p>
    <w:p w14:paraId="6CACA915" w14:textId="701C0F60" w:rsidR="00C36D76" w:rsidRPr="00FE5FBD" w:rsidRDefault="00C36D76" w:rsidP="00E55D9B">
      <w:pPr>
        <w:pStyle w:val="Tekstpodstawowy"/>
        <w:spacing w:before="200" w:after="0"/>
        <w:ind w:left="23" w:hanging="23"/>
        <w:rPr>
          <w:rFonts w:asciiTheme="minorHAnsi" w:hAnsiTheme="minorHAnsi" w:cstheme="minorHAnsi"/>
          <w:i/>
          <w:sz w:val="16"/>
          <w:szCs w:val="16"/>
        </w:rPr>
      </w:pPr>
      <w:r w:rsidRPr="00FE5FBD">
        <w:rPr>
          <w:rFonts w:asciiTheme="minorHAnsi" w:hAnsiTheme="minorHAnsi" w:cstheme="minorHAnsi"/>
          <w:i/>
          <w:sz w:val="16"/>
          <w:szCs w:val="16"/>
        </w:rPr>
        <w:t>[Wydanie: ADR-DSN/3]</w:t>
      </w:r>
    </w:p>
    <w:p w14:paraId="7F86C896" w14:textId="360B15C6" w:rsidR="00E55D9B" w:rsidRPr="00FE5FBD" w:rsidRDefault="0044331D" w:rsidP="00E55D9B">
      <w:pPr>
        <w:pStyle w:val="Tekstpodstawowy"/>
        <w:spacing w:after="360"/>
        <w:ind w:left="23" w:hanging="23"/>
        <w:rPr>
          <w:rFonts w:asciiTheme="minorHAnsi" w:hAnsiTheme="minorHAnsi" w:cstheme="minorHAnsi"/>
          <w:i/>
          <w:sz w:val="16"/>
          <w:szCs w:val="16"/>
        </w:rPr>
      </w:pPr>
      <w:r w:rsidRPr="00FE5FBD">
        <w:rPr>
          <w:rFonts w:asciiTheme="minorHAnsi" w:hAnsiTheme="minorHAnsi" w:cstheme="minorHAnsi"/>
          <w:i/>
          <w:sz w:val="16"/>
          <w:szCs w:val="16"/>
        </w:rPr>
        <w:t>[Wydanie: ADR-DSN/4]</w:t>
      </w:r>
    </w:p>
    <w:p w14:paraId="624F1D2D" w14:textId="77777777" w:rsidR="00E55D9B" w:rsidRPr="00FE5FBD" w:rsidRDefault="00E55D9B">
      <w:pPr>
        <w:spacing w:after="0"/>
        <w:jc w:val="left"/>
        <w:rPr>
          <w:rFonts w:asciiTheme="minorHAnsi" w:eastAsia="Times New Roman" w:hAnsiTheme="minorHAnsi" w:cstheme="minorHAnsi"/>
          <w:i/>
          <w:sz w:val="16"/>
          <w:szCs w:val="16"/>
        </w:rPr>
      </w:pPr>
      <w:r w:rsidRPr="00FE5FBD">
        <w:rPr>
          <w:rFonts w:asciiTheme="minorHAnsi" w:hAnsiTheme="minorHAnsi" w:cstheme="minorHAnsi"/>
          <w:i/>
          <w:sz w:val="16"/>
          <w:szCs w:val="16"/>
        </w:rPr>
        <w:br w:type="page"/>
      </w:r>
    </w:p>
    <w:p w14:paraId="36DF758D" w14:textId="1C4BCF65" w:rsidR="00865BD1" w:rsidRPr="009E064B" w:rsidRDefault="00865BD1" w:rsidP="00133B99">
      <w:pPr>
        <w:pStyle w:val="Nagwek6"/>
      </w:pPr>
      <w:bookmarkStart w:id="1765" w:name="_Toc482886950"/>
      <w:bookmarkStart w:id="1766" w:name="_Toc12533291"/>
      <w:r w:rsidRPr="009E064B">
        <w:t xml:space="preserve">GM1 ADR-DSN.Q.852 </w:t>
      </w:r>
      <w:r w:rsidR="00F47F20" w:rsidRPr="009E064B">
        <w:t xml:space="preserve">    </w:t>
      </w:r>
      <w:r w:rsidRPr="009E064B">
        <w:t xml:space="preserve">Oznakowanie i oświetlenie przewodów linii napowietrznych, </w:t>
      </w:r>
      <w:r w:rsidR="001474BD">
        <w:br/>
        <w:t xml:space="preserve">   </w:t>
      </w:r>
      <w:r w:rsidRPr="009E064B">
        <w:t>kabli, konstrukcji wsporczych</w:t>
      </w:r>
      <w:bookmarkEnd w:id="1765"/>
      <w:r w:rsidR="00F47F20" w:rsidRPr="009E064B">
        <w:t>, itp.</w:t>
      </w:r>
      <w:bookmarkEnd w:id="1766"/>
    </w:p>
    <w:p w14:paraId="17995B25" w14:textId="27381C03" w:rsidR="00F47F20" w:rsidRPr="009E064B" w:rsidRDefault="00D63D4F" w:rsidP="00F47F2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5AD83DB" w14:textId="007999E1" w:rsidR="00865BD1" w:rsidRPr="009E064B" w:rsidRDefault="00865BD1" w:rsidP="00B06A9A">
      <w:pPr>
        <w:tabs>
          <w:tab w:val="left" w:pos="567"/>
        </w:tabs>
        <w:ind w:left="567" w:hanging="567"/>
      </w:pPr>
      <w:r w:rsidRPr="009E064B">
        <w:t>(a)</w:t>
      </w:r>
      <w:r w:rsidRPr="009E064B">
        <w:tab/>
        <w:t xml:space="preserve">W przypadku, gdy używane są światła przeszkodowe wysokiej intensywności </w:t>
      </w:r>
      <w:r w:rsidR="007655D0" w:rsidRPr="009E064B">
        <w:t>typ</w:t>
      </w:r>
      <w:r w:rsidRPr="009E064B">
        <w:t>u B i nie jest możliwe zlokalizowanie ich jak opisano w CS ADR DSN.Q.852(d)(2), w niektórych przypadkach, może być wymagane zlokalizowanie tych świateł na wieży.</w:t>
      </w:r>
    </w:p>
    <w:p w14:paraId="5CA83608" w14:textId="77777777" w:rsidR="00865BD1" w:rsidRPr="009E064B" w:rsidRDefault="00865BD1" w:rsidP="00B06A9A">
      <w:pPr>
        <w:tabs>
          <w:tab w:val="left" w:pos="567"/>
        </w:tabs>
        <w:ind w:left="567" w:hanging="567"/>
        <w:rPr>
          <w:bCs/>
          <w:iCs/>
        </w:rPr>
      </w:pPr>
      <w:r w:rsidRPr="009E064B">
        <w:rPr>
          <w:bCs/>
          <w:iCs/>
        </w:rPr>
        <w:t>(b)</w:t>
      </w:r>
      <w:r w:rsidRPr="009E064B">
        <w:rPr>
          <w:bCs/>
          <w:iCs/>
        </w:rPr>
        <w:tab/>
        <w:t>Światła przeszkodowe wysokiej intensywności przeznaczone są do wykorzystania zarówno w dzień jak i w nocy. Należy zachować ostrożność w celu zapewnienia, że światła te nie powodują oślepienia i nie mają negatywnego wpływu na środowisko. Wytyczne na temat projektowania, działania oraz lokalizacji świateł przeszkodowych wysokiej intensywności zawarte są w „Podręczniku projektowania lotnisk” ICAO Doc 9157, Część 4 „Pomoce wzrokowe”.</w:t>
      </w:r>
    </w:p>
    <w:p w14:paraId="3C2DCA11" w14:textId="37FA7BB5" w:rsidR="00865BD1" w:rsidRPr="009E064B" w:rsidRDefault="00865BD1" w:rsidP="00B06A9A">
      <w:pPr>
        <w:tabs>
          <w:tab w:val="left" w:pos="567"/>
        </w:tabs>
        <w:ind w:left="567" w:hanging="567"/>
        <w:rPr>
          <w:bCs/>
          <w:iCs/>
        </w:rPr>
      </w:pPr>
      <w:r w:rsidRPr="009E064B">
        <w:rPr>
          <w:bCs/>
          <w:iCs/>
        </w:rPr>
        <w:t>(c)</w:t>
      </w:r>
      <w:r w:rsidRPr="009E064B">
        <w:rPr>
          <w:bCs/>
          <w:iCs/>
        </w:rPr>
        <w:tab/>
        <w:t xml:space="preserve">Jeżeli zastosowanie świateł przeszkodowych wysokiej intensywności </w:t>
      </w:r>
      <w:r w:rsidR="007655D0" w:rsidRPr="009E064B">
        <w:rPr>
          <w:bCs/>
          <w:iCs/>
        </w:rPr>
        <w:t>typ</w:t>
      </w:r>
      <w:r w:rsidRPr="009E064B">
        <w:rPr>
          <w:bCs/>
          <w:iCs/>
        </w:rPr>
        <w:t xml:space="preserve">u B w nocy, może oślepiać pilotów w pobliżu lotniska (w promieniu około 10 000 m) lub wpływa niekorzystnie na środowisko, wówczas powinno się instalować podwójny system oświetlenia przeszkodowego. System ten powinien składać się ze świateł przeszkodowych wysokiej intensywności </w:t>
      </w:r>
      <w:r w:rsidR="007655D0" w:rsidRPr="009E064B">
        <w:rPr>
          <w:bCs/>
          <w:iCs/>
        </w:rPr>
        <w:t>typ</w:t>
      </w:r>
      <w:r w:rsidRPr="009E064B">
        <w:rPr>
          <w:bCs/>
          <w:iCs/>
        </w:rPr>
        <w:t>u</w:t>
      </w:r>
      <w:r w:rsidR="000A5A0E" w:rsidRPr="009E064B">
        <w:rPr>
          <w:bCs/>
          <w:iCs/>
        </w:rPr>
        <w:t> B wykorzystywanych w dzień i o </w:t>
      </w:r>
      <w:r w:rsidRPr="009E064B">
        <w:rPr>
          <w:bCs/>
          <w:iCs/>
        </w:rPr>
        <w:t xml:space="preserve">zmierzchu oraz ze świateł średniej intensywności </w:t>
      </w:r>
      <w:r w:rsidR="007655D0" w:rsidRPr="009E064B">
        <w:rPr>
          <w:bCs/>
          <w:iCs/>
        </w:rPr>
        <w:t>typ</w:t>
      </w:r>
      <w:r w:rsidRPr="009E064B">
        <w:rPr>
          <w:bCs/>
          <w:iCs/>
        </w:rPr>
        <w:t xml:space="preserve">u B wykorzystywanych w nocy. Gdy stosowane są światła średniej intensywności to powinny być one instalowane na tym samym poziomie, co światła przeszkodowe wysokiej intensywności </w:t>
      </w:r>
      <w:r w:rsidR="007655D0" w:rsidRPr="009E064B">
        <w:rPr>
          <w:bCs/>
          <w:iCs/>
        </w:rPr>
        <w:t>typ</w:t>
      </w:r>
      <w:r w:rsidRPr="009E064B">
        <w:rPr>
          <w:bCs/>
          <w:iCs/>
        </w:rPr>
        <w:t>u B.</w:t>
      </w:r>
    </w:p>
    <w:p w14:paraId="43ADBD00" w14:textId="77777777" w:rsidR="00865BD1" w:rsidRPr="009E064B" w:rsidRDefault="00865BD1"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B388622" w14:textId="77777777" w:rsidR="00C36D76" w:rsidRPr="009E064B" w:rsidRDefault="00C36D76" w:rsidP="00B06A9A">
      <w:pPr>
        <w:autoSpaceDE w:val="0"/>
        <w:autoSpaceDN w:val="0"/>
        <w:adjustRightInd w:val="0"/>
        <w:rPr>
          <w:szCs w:val="20"/>
        </w:rPr>
      </w:pPr>
    </w:p>
    <w:p w14:paraId="427EBE16" w14:textId="77777777" w:rsidR="00C36D76" w:rsidRPr="009E064B" w:rsidRDefault="00C36D76" w:rsidP="00B06A9A">
      <w:pPr>
        <w:autoSpaceDE w:val="0"/>
        <w:autoSpaceDN w:val="0"/>
        <w:adjustRightInd w:val="0"/>
        <w:rPr>
          <w:szCs w:val="20"/>
        </w:rPr>
      </w:pPr>
    </w:p>
    <w:p w14:paraId="134F3606" w14:textId="77777777" w:rsidR="00C36D76" w:rsidRPr="009E064B" w:rsidRDefault="00C36D76" w:rsidP="00B06A9A">
      <w:pPr>
        <w:autoSpaceDE w:val="0"/>
        <w:autoSpaceDN w:val="0"/>
        <w:adjustRightInd w:val="0"/>
        <w:spacing w:after="0"/>
        <w:rPr>
          <w:szCs w:val="20"/>
        </w:rPr>
        <w:sectPr w:rsidR="00C36D76" w:rsidRPr="009E064B" w:rsidSect="00AE1280">
          <w:headerReference w:type="default" r:id="rId242"/>
          <w:footerReference w:type="default" r:id="rId243"/>
          <w:headerReference w:type="first" r:id="rId244"/>
          <w:footerReference w:type="first" r:id="rId245"/>
          <w:pgSz w:w="11906" w:h="16840" w:code="9"/>
          <w:pgMar w:top="1701" w:right="1418" w:bottom="1418" w:left="1418" w:header="567" w:footer="454" w:gutter="0"/>
          <w:cols w:space="708"/>
          <w:titlePg/>
          <w:docGrid w:linePitch="360"/>
        </w:sectPr>
      </w:pPr>
    </w:p>
    <w:p w14:paraId="60D84A76" w14:textId="77777777" w:rsidR="00C36D76" w:rsidRPr="009E064B" w:rsidRDefault="00C36D76" w:rsidP="00B06A9A">
      <w:pPr>
        <w:rPr>
          <w:szCs w:val="20"/>
        </w:rPr>
      </w:pPr>
    </w:p>
    <w:p w14:paraId="64AD793E" w14:textId="4646F053" w:rsidR="00C36D76" w:rsidRPr="009E064B" w:rsidRDefault="00C36D76" w:rsidP="00020EA3">
      <w:pPr>
        <w:pStyle w:val="Nagwek2"/>
      </w:pPr>
      <w:bookmarkStart w:id="1767" w:name="_Toc382725622"/>
      <w:bookmarkStart w:id="1768" w:name="_Toc482886727"/>
      <w:bookmarkStart w:id="1769" w:name="_Toc12533292"/>
      <w:r w:rsidRPr="009E064B">
        <w:t xml:space="preserve">ROZDZIAŁ R </w:t>
      </w:r>
      <w:r w:rsidR="008441EB" w:rsidRPr="009E064B">
        <w:t xml:space="preserve">— </w:t>
      </w:r>
      <w:r w:rsidRPr="009E064B">
        <w:t xml:space="preserve">POMOCE </w:t>
      </w:r>
      <w:r w:rsidR="00AB2D76" w:rsidRPr="009E064B">
        <w:t xml:space="preserve">WZROKOWE DO OZNAKOWANIA STREF O </w:t>
      </w:r>
      <w:r w:rsidRPr="009E064B">
        <w:t>OGRANICZONYM UŻYTKOWANIU</w:t>
      </w:r>
      <w:bookmarkEnd w:id="1767"/>
      <w:bookmarkEnd w:id="1768"/>
      <w:bookmarkEnd w:id="1769"/>
    </w:p>
    <w:p w14:paraId="6E111A56" w14:textId="77777777" w:rsidR="00C36D76" w:rsidRPr="009E064B" w:rsidRDefault="00C36D76" w:rsidP="00B06A9A">
      <w:pPr>
        <w:rPr>
          <w:sz w:val="20"/>
          <w:szCs w:val="20"/>
        </w:rPr>
      </w:pPr>
    </w:p>
    <w:p w14:paraId="46DD54EC" w14:textId="2DC8EC9F" w:rsidR="00C36D76" w:rsidRPr="009E064B" w:rsidRDefault="00C36D76" w:rsidP="00F47F20">
      <w:pPr>
        <w:pStyle w:val="Nagwek4"/>
        <w:tabs>
          <w:tab w:val="clear" w:pos="2694"/>
          <w:tab w:val="left" w:pos="2552"/>
        </w:tabs>
        <w:ind w:left="2552" w:hanging="2552"/>
        <w:rPr>
          <w:color w:val="auto"/>
        </w:rPr>
      </w:pPr>
      <w:bookmarkStart w:id="1770" w:name="_CS_ADR-DSN.R.855_"/>
      <w:bookmarkStart w:id="1771" w:name="_Toc482886728"/>
      <w:bookmarkStart w:id="1772" w:name="_Toc12533293"/>
      <w:bookmarkEnd w:id="1770"/>
      <w:r w:rsidRPr="009E064B">
        <w:rPr>
          <w:color w:val="auto"/>
        </w:rPr>
        <w:t>C</w:t>
      </w:r>
      <w:r w:rsidR="00F47F20" w:rsidRPr="009E064B">
        <w:rPr>
          <w:color w:val="auto"/>
        </w:rPr>
        <w:t xml:space="preserve">S ADR-DSN.R.855      </w:t>
      </w:r>
      <w:r w:rsidRPr="009E064B">
        <w:rPr>
          <w:color w:val="auto"/>
        </w:rPr>
        <w:t>Drogi startowe i drogi kołowania całkowicie lub częściowo zamknięte</w:t>
      </w:r>
      <w:bookmarkEnd w:id="1771"/>
      <w:bookmarkEnd w:id="1772"/>
    </w:p>
    <w:p w14:paraId="6E61F234" w14:textId="17366E26" w:rsidR="00F47F20" w:rsidRPr="009E064B" w:rsidRDefault="00D63D4F" w:rsidP="00F47F2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40FC850" w14:textId="6B7028E6"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w:t>
      </w:r>
    </w:p>
    <w:p w14:paraId="5C847216" w14:textId="77777777" w:rsidR="00C36D76" w:rsidRPr="009E064B" w:rsidRDefault="00C36D76" w:rsidP="00B06A9A">
      <w:pPr>
        <w:tabs>
          <w:tab w:val="left" w:pos="567"/>
        </w:tabs>
        <w:ind w:left="567"/>
        <w:rPr>
          <w:szCs w:val="20"/>
        </w:rPr>
      </w:pPr>
      <w:r w:rsidRPr="009E064B">
        <w:rPr>
          <w:szCs w:val="20"/>
        </w:rPr>
        <w:t>Oznakowanie zamknięcia drogi powinno być umieszczone na drodze startowej, drodze kołowania lub na ich częściach, które są na stałe wyłączone z użytkowania dla wszystkich statków powietrznych.</w:t>
      </w:r>
    </w:p>
    <w:p w14:paraId="6019ABB4"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oznakowania zamknięcia drogi: Na drodze startowej, oznakowanie zamknięcia drogi powinno być umieszczone na każdym końcu drogi startowej lub na jej części, która jest zamknięta, natomiast dodatkowe oznakowanie powinno być umieszczone tak, aby maksymalny odstęp pomiędzy znakami nie przekraczał 300 m. Na drodze kołowania, oznakowanie zamknięcia drogi powinno być umieszczone, co najmniej na każdym końcu drogi kołowania lub jej części, która ma być zamknięta.</w:t>
      </w:r>
    </w:p>
    <w:p w14:paraId="53DCFFF1"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 oznakowania zamknięcia drogi: Oznakowanie zamknięcia drogi powinno mieć kształt i proporcje jak określono na Rysunku R-1, Ilustracja (a), w przypadku drogi startowej, oraz kształt i proporcje jak określono na Rysunku R-1, Ilustracja (b), w przypadku drogi kołowania. Oznakowanie powinno być koloru białego na drodze startowej oraz koloru żółtego – na drodze kołowania.</w:t>
      </w:r>
    </w:p>
    <w:p w14:paraId="60539B70"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Jeżeli droga startowa, droga kołowania lub ich części są na stałe zamknięte, wówczas całe normalne oznakowanie drogi startowej i drogi kołowania powinno być usunięte.</w:t>
      </w:r>
    </w:p>
    <w:p w14:paraId="027EFE32" w14:textId="7BABA906"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Jeżeli zamknięta droga startowa, droga kołowania lub ich części przecinają się z czynną drogą startową lub drogą kołowania wykorzystywaną w nocy, to oznakowanie zamkniętej drogi powinno być uzupełnione o światła umieszczone w poprz</w:t>
      </w:r>
      <w:r w:rsidR="007676B9" w:rsidRPr="009E064B">
        <w:rPr>
          <w:szCs w:val="20"/>
        </w:rPr>
        <w:t>ek wjazdu na obszar zamknięty w </w:t>
      </w:r>
      <w:r w:rsidRPr="009E064B">
        <w:rPr>
          <w:szCs w:val="20"/>
        </w:rPr>
        <w:t xml:space="preserve">odstępach nieprzekraczających 3 m (patrz </w:t>
      </w:r>
      <w:hyperlink w:anchor="_CS_ADR-DSN.R.870_" w:history="1">
        <w:r w:rsidRPr="009E064B">
          <w:rPr>
            <w:rStyle w:val="Hipercze"/>
            <w:szCs w:val="20"/>
          </w:rPr>
          <w:t>CS</w:t>
        </w:r>
        <w:r w:rsidR="004016A7" w:rsidRPr="009E064B">
          <w:rPr>
            <w:rStyle w:val="Hipercze"/>
            <w:szCs w:val="20"/>
          </w:rPr>
          <w:t> </w:t>
        </w:r>
        <w:r w:rsidRPr="009E064B">
          <w:rPr>
            <w:rStyle w:val="Hipercze"/>
            <w:szCs w:val="20"/>
          </w:rPr>
          <w:t>ADR-DSN.R.870</w:t>
        </w:r>
      </w:hyperlink>
      <w:r w:rsidR="004016A7" w:rsidRPr="009E064B">
        <w:rPr>
          <w:szCs w:val="20"/>
        </w:rPr>
        <w:t xml:space="preserve"> lit. </w:t>
      </w:r>
      <w:r w:rsidRPr="009E064B">
        <w:rPr>
          <w:szCs w:val="20"/>
        </w:rPr>
        <w:t xml:space="preserve">(c) </w:t>
      </w:r>
      <w:r w:rsidR="004016A7" w:rsidRPr="009E064B">
        <w:rPr>
          <w:szCs w:val="20"/>
        </w:rPr>
        <w:t xml:space="preserve">pkt </w:t>
      </w:r>
      <w:r w:rsidRPr="009E064B">
        <w:rPr>
          <w:szCs w:val="20"/>
        </w:rPr>
        <w:t>(2)).</w:t>
      </w:r>
    </w:p>
    <w:p w14:paraId="5CEA63DB" w14:textId="77777777" w:rsidR="00C36D76" w:rsidRPr="009E064B" w:rsidRDefault="00C36D76" w:rsidP="00B06A9A">
      <w:pPr>
        <w:rPr>
          <w:szCs w:val="20"/>
        </w:rPr>
      </w:pPr>
    </w:p>
    <w:p w14:paraId="2705C265" w14:textId="77777777" w:rsidR="00C36D76" w:rsidRPr="009E064B" w:rsidRDefault="00C36D76" w:rsidP="00B06A9A">
      <w:pPr>
        <w:rPr>
          <w:szCs w:val="20"/>
        </w:rPr>
      </w:pPr>
    </w:p>
    <w:p w14:paraId="22FF7482" w14:textId="77777777" w:rsidR="00C36D76" w:rsidRPr="009E064B" w:rsidRDefault="00C36D76" w:rsidP="00B06A9A">
      <w:pPr>
        <w:rPr>
          <w:szCs w:val="20"/>
        </w:rPr>
      </w:pPr>
    </w:p>
    <w:p w14:paraId="3D257492" w14:textId="77777777" w:rsidR="00C36D76" w:rsidRPr="009E064B" w:rsidRDefault="00C36D76" w:rsidP="00B06A9A">
      <w:pPr>
        <w:spacing w:after="200"/>
        <w:jc w:val="left"/>
        <w:rPr>
          <w:szCs w:val="20"/>
        </w:rPr>
      </w:pPr>
    </w:p>
    <w:p w14:paraId="60F5DA9B" w14:textId="2E7770E1" w:rsidR="00C36D76" w:rsidRPr="009E064B" w:rsidRDefault="00452375" w:rsidP="007676B9">
      <w:pPr>
        <w:spacing w:after="0"/>
      </w:pPr>
      <w:r w:rsidRPr="009E064B">
        <w:rPr>
          <w:noProof/>
          <w:lang w:eastAsia="pl-PL"/>
        </w:rPr>
        <w:drawing>
          <wp:inline distT="0" distB="0" distL="0" distR="0" wp14:anchorId="5FF27F6D" wp14:editId="51782FDA">
            <wp:extent cx="5760720" cy="5310763"/>
            <wp:effectExtent l="0" t="0" r="0" b="0"/>
            <wp:docPr id="3737" name="Obraz 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60720" cy="5310763"/>
                    </a:xfrm>
                    <a:prstGeom prst="rect">
                      <a:avLst/>
                    </a:prstGeom>
                    <a:noFill/>
                    <a:ln>
                      <a:noFill/>
                    </a:ln>
                  </pic:spPr>
                </pic:pic>
              </a:graphicData>
            </a:graphic>
          </wp:inline>
        </w:drawing>
      </w:r>
    </w:p>
    <w:p w14:paraId="52D056C8" w14:textId="77777777" w:rsidR="00C36D76" w:rsidRPr="009E064B" w:rsidRDefault="00C36D76" w:rsidP="00B06A9A">
      <w:pPr>
        <w:spacing w:after="0"/>
      </w:pPr>
    </w:p>
    <w:p w14:paraId="1D9E14C5" w14:textId="6971B73A" w:rsidR="00C36D76" w:rsidRPr="00FE5FBD" w:rsidRDefault="00C36D76" w:rsidP="00B06A9A">
      <w:pPr>
        <w:spacing w:after="0"/>
        <w:ind w:right="10"/>
        <w:jc w:val="center"/>
        <w:rPr>
          <w:b/>
          <w:sz w:val="20"/>
        </w:rPr>
      </w:pPr>
      <w:r w:rsidRPr="00FE5FBD">
        <w:rPr>
          <w:b/>
          <w:sz w:val="20"/>
        </w:rPr>
        <w:t xml:space="preserve">Rysunek R-1. </w:t>
      </w:r>
      <w:r w:rsidR="000A5A0E" w:rsidRPr="00FE5FBD">
        <w:rPr>
          <w:b/>
          <w:sz w:val="20"/>
        </w:rPr>
        <w:t xml:space="preserve">  </w:t>
      </w:r>
      <w:r w:rsidRPr="00FE5FBD">
        <w:rPr>
          <w:b/>
          <w:sz w:val="20"/>
        </w:rPr>
        <w:t>Oznakowanie zamkniętej drogi startowej i drogi kołowania</w:t>
      </w:r>
    </w:p>
    <w:p w14:paraId="548F8270" w14:textId="7C2EA07C"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3CFB301" w14:textId="77777777" w:rsidR="000A5A0E" w:rsidRPr="009E064B" w:rsidRDefault="000A5A0E" w:rsidP="000A5A0E">
      <w:pPr>
        <w:spacing w:after="0"/>
      </w:pPr>
    </w:p>
    <w:p w14:paraId="208BD75C" w14:textId="5162FB88" w:rsidR="00BF7ED4" w:rsidRPr="009E064B" w:rsidRDefault="000A5A0E" w:rsidP="00133B99">
      <w:pPr>
        <w:pStyle w:val="Nagwek6"/>
      </w:pPr>
      <w:bookmarkStart w:id="1773" w:name="_Toc401059079"/>
      <w:bookmarkStart w:id="1774" w:name="_Toc482886952"/>
      <w:bookmarkStart w:id="1775" w:name="_Toc12533294"/>
      <w:r w:rsidRPr="009E064B">
        <w:t xml:space="preserve">GM1 ADR-DSN.R.855     </w:t>
      </w:r>
      <w:r w:rsidR="00BF7ED4" w:rsidRPr="009E064B">
        <w:t>Drogi startowe i drogi kołowania zamknięte całkowicie lub</w:t>
      </w:r>
      <w:r w:rsidR="001474BD">
        <w:br/>
        <w:t xml:space="preserve">  </w:t>
      </w:r>
      <w:r w:rsidR="00BF7ED4" w:rsidRPr="009E064B">
        <w:t>częściowo</w:t>
      </w:r>
      <w:bookmarkEnd w:id="1773"/>
      <w:bookmarkEnd w:id="1774"/>
      <w:bookmarkEnd w:id="1775"/>
    </w:p>
    <w:p w14:paraId="0FF43507" w14:textId="73D5682D" w:rsidR="000A5A0E" w:rsidRPr="009E064B" w:rsidRDefault="001F74A1" w:rsidP="000A5A0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2FD1A1A4" w14:textId="77777777" w:rsidR="00BF7ED4" w:rsidRPr="009E064B" w:rsidRDefault="00BF7ED4" w:rsidP="000A5A0E">
      <w:pPr>
        <w:rPr>
          <w:rFonts w:cs="Times New Roman"/>
          <w:szCs w:val="20"/>
        </w:rPr>
      </w:pPr>
      <w:r w:rsidRPr="009E064B">
        <w:rPr>
          <w:rFonts w:cs="Times New Roman"/>
          <w:szCs w:val="20"/>
        </w:rPr>
        <w:t>Celowo pozostawiono puste.</w:t>
      </w:r>
    </w:p>
    <w:p w14:paraId="70E5643E" w14:textId="0834DF54" w:rsidR="00C36D76" w:rsidRPr="009E064B" w:rsidRDefault="00F47F20" w:rsidP="00B06A9A">
      <w:pPr>
        <w:pStyle w:val="Nagwek4"/>
        <w:rPr>
          <w:color w:val="auto"/>
        </w:rPr>
      </w:pPr>
      <w:bookmarkStart w:id="1776" w:name="_Toc482886729"/>
      <w:bookmarkStart w:id="1777" w:name="_Toc12533295"/>
      <w:r w:rsidRPr="009E064B">
        <w:rPr>
          <w:color w:val="auto"/>
        </w:rPr>
        <w:t xml:space="preserve">CS ADR-DSN.R.860     </w:t>
      </w:r>
      <w:r w:rsidR="00C36D76" w:rsidRPr="009E064B">
        <w:rPr>
          <w:color w:val="auto"/>
        </w:rPr>
        <w:t>Powierzchnie nienośne</w:t>
      </w:r>
      <w:bookmarkEnd w:id="1776"/>
      <w:bookmarkEnd w:id="1777"/>
    </w:p>
    <w:p w14:paraId="227E074D" w14:textId="34B799FC" w:rsidR="00F47F20" w:rsidRPr="009E064B" w:rsidRDefault="00D63D4F" w:rsidP="00F47F2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B439D74" w14:textId="3C281981"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 xml:space="preserve">Pobocza dróg kołowania, płaszczyzn do zawracania na drodze startowej, zatok oczekiwania oraz płyt </w:t>
      </w:r>
      <w:r w:rsidRPr="009E064B">
        <w:rPr>
          <w:rFonts w:cs="TimesNewRomanPS-ItalicMT"/>
          <w:iCs/>
          <w:szCs w:val="20"/>
        </w:rPr>
        <w:t xml:space="preserve">postojowych </w:t>
      </w:r>
      <w:r w:rsidRPr="009E064B">
        <w:rPr>
          <w:szCs w:val="20"/>
        </w:rPr>
        <w:t>i innych powierzchni nienośnych, które nie wyróżniają się wyraźnie od nawierzchni nośnych i które, jeżeli zostałyby użyte przez statek powietrzny, mogłyby spowodować jego uszkodzenie, powinny posiadać oznakowaną granicę, oddzielającą je od powierzchni przygotowanych do przenoszenia obciążeń, w postaci oznakowania linii bocznej drogi kołowania.</w:t>
      </w:r>
    </w:p>
    <w:p w14:paraId="5BFC3997"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Oznakowanie linii bocznych drogi kołowania powinno składać się z dwóch linii ciągłych o szerokości 15 cm z przerwą o szerokości 15 cm, kolor linii powinien być taki sam jak oznakowania linii środkowej drogi kołowania.</w:t>
      </w:r>
    </w:p>
    <w:p w14:paraId="763A3683"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1900DC1" w14:textId="5FD22E0A" w:rsidR="000B1D95" w:rsidRPr="009E064B" w:rsidRDefault="00F47F20" w:rsidP="00133B99">
      <w:pPr>
        <w:pStyle w:val="Nagwek6"/>
      </w:pPr>
      <w:bookmarkStart w:id="1778" w:name="_Toc401059080"/>
      <w:bookmarkStart w:id="1779" w:name="_Toc482886953"/>
      <w:bookmarkStart w:id="1780" w:name="_Toc12533296"/>
      <w:bookmarkStart w:id="1781" w:name="_Toc482886730"/>
      <w:r w:rsidRPr="009E064B">
        <w:t xml:space="preserve">GM1 ADR-DSN.R.860     </w:t>
      </w:r>
      <w:r w:rsidR="000B1D95" w:rsidRPr="009E064B">
        <w:t>Powierzchnie nienośne</w:t>
      </w:r>
      <w:bookmarkEnd w:id="1778"/>
      <w:bookmarkEnd w:id="1779"/>
      <w:bookmarkEnd w:id="1780"/>
    </w:p>
    <w:p w14:paraId="42BE3F8D" w14:textId="75DBA35B" w:rsidR="00F47F20" w:rsidRPr="009E064B" w:rsidRDefault="00D63D4F" w:rsidP="00F47F2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E6C9C66" w14:textId="7B9D6678"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(a) </w:t>
      </w:r>
      <w:r w:rsidRPr="009E064B">
        <w:rPr>
          <w:rFonts w:eastAsia="Times New Roman,Italic" w:cs="Times New Roman,Italic"/>
          <w:iCs/>
          <w:szCs w:val="20"/>
        </w:rPr>
        <w:tab/>
        <w:t>Oznakowanie linii bocznych drogi kołowania może być również zlokalizowane wzdłuż krawędzi powierzchni nośnej dla podkreślenia lokalizacji krawędzi drogi kołowania, z zewnętrzną krawędzią oznakowania pokrywającą się w przybliżeniu z krawędzią nawierzchni nośnej.</w:t>
      </w:r>
    </w:p>
    <w:p w14:paraId="57B8D57C" w14:textId="6740941B"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(b) </w:t>
      </w:r>
      <w:r w:rsidRPr="009E064B">
        <w:rPr>
          <w:rFonts w:eastAsia="Times New Roman,Italic" w:cs="Times New Roman,Italic"/>
          <w:iCs/>
          <w:szCs w:val="20"/>
        </w:rPr>
        <w:tab/>
        <w:t xml:space="preserve">Na skrzyżowaniach dróg kołowania oraz na innych obszarach, gdzie w związku z wykonywaniem zakrętu istnieje możliwość pomylenia oznakowania </w:t>
      </w:r>
      <w:r w:rsidR="007676B9" w:rsidRPr="009E064B">
        <w:rPr>
          <w:rFonts w:eastAsia="Times New Roman,Italic" w:cs="Times New Roman,Italic"/>
          <w:iCs/>
          <w:szCs w:val="20"/>
        </w:rPr>
        <w:t>linii bocznej drogi kołowania z </w:t>
      </w:r>
      <w:r w:rsidRPr="009E064B">
        <w:rPr>
          <w:rFonts w:eastAsia="Times New Roman,Italic" w:cs="Times New Roman,Italic"/>
          <w:iCs/>
          <w:szCs w:val="20"/>
        </w:rPr>
        <w:t>oznakowaniem linii środkowej, lub kiedy pilot nie jest pewien, po której stronie oznakowania linii bocznej znajduje się powierzchnia nienośna, pomocne jest zastosowanie na powierzchni nienośnej dodatkowych pasów poprzecznych.</w:t>
      </w:r>
    </w:p>
    <w:p w14:paraId="68E2ED8E"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(c) </w:t>
      </w:r>
      <w:r w:rsidRPr="009E064B">
        <w:rPr>
          <w:rFonts w:eastAsia="Times New Roman,Italic" w:cs="Times New Roman,Italic"/>
          <w:iCs/>
          <w:szCs w:val="20"/>
        </w:rPr>
        <w:tab/>
        <w:t>Jak przedstawiono na Rysunku GM-R-1, poprzeczne pasy powinny być umieszczone prostopadle do oznakowania linii bocznej drogi kołowania.</w:t>
      </w:r>
    </w:p>
    <w:p w14:paraId="64C055EC"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(d) </w:t>
      </w:r>
      <w:r w:rsidRPr="009E064B">
        <w:rPr>
          <w:rFonts w:eastAsia="Times New Roman,Italic" w:cs="Times New Roman,Italic"/>
          <w:iCs/>
          <w:szCs w:val="20"/>
        </w:rPr>
        <w:tab/>
        <w:t>Na łukach, pas powinien być umieszczony w każdym punkcie styczności łuku oraz w punktach pośrednich wzdłuż łuku tak aby przerwa pomiędzy pasami nie przekraczała 15 m. Jeżeli zajdzie potrzeba umieszczenia poprzecznych pasów na krótkich odcinkach prostych, odstępy pomiędzy nimi nie powinny przekraczać 30 m.</w:t>
      </w:r>
    </w:p>
    <w:p w14:paraId="41AD29CF"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 xml:space="preserve">(e) </w:t>
      </w:r>
      <w:r w:rsidRPr="009E064B">
        <w:rPr>
          <w:rFonts w:eastAsia="Times New Roman,Italic" w:cs="Times New Roman,Italic"/>
          <w:iCs/>
          <w:szCs w:val="20"/>
        </w:rPr>
        <w:tab/>
        <w:t>Szerokość znaków powinna wynosić 0.9 m i powinny rozciągać się na odległość 1.5 m od zewnętrznej krawędzi ustabilizowanej nawierzchni sztucznej lub mieć długość 7.5 m, w zależności od tego, która odległość jest mniejsza. Kolor pasów poprzecznych powinien być taki sam jak kolor pasów krawędzi tj. żółty.</w:t>
      </w:r>
    </w:p>
    <w:p w14:paraId="2B29B355" w14:textId="77777777" w:rsidR="000B1D95" w:rsidRPr="009E064B" w:rsidRDefault="000B1D95" w:rsidP="00B06A9A">
      <w:pPr>
        <w:jc w:val="left"/>
        <w:rPr>
          <w:szCs w:val="20"/>
          <w:lang w:eastAsia="pl-PL"/>
        </w:rPr>
      </w:pPr>
    </w:p>
    <w:p w14:paraId="79D18224" w14:textId="77777777" w:rsidR="000B1D95" w:rsidRPr="009E064B" w:rsidRDefault="000B1D95" w:rsidP="00B06A9A">
      <w:pPr>
        <w:autoSpaceDE w:val="0"/>
        <w:autoSpaceDN w:val="0"/>
        <w:adjustRightInd w:val="0"/>
        <w:rPr>
          <w:szCs w:val="20"/>
        </w:rPr>
      </w:pPr>
      <w:r w:rsidRPr="009E064B">
        <w:rPr>
          <w:noProof/>
          <w:szCs w:val="20"/>
          <w:lang w:eastAsia="pl-PL"/>
        </w:rPr>
        <w:drawing>
          <wp:inline distT="0" distB="0" distL="0" distR="0" wp14:anchorId="01BEB6EC" wp14:editId="0C7C216D">
            <wp:extent cx="5760085" cy="4124325"/>
            <wp:effectExtent l="19050" t="0" r="0" b="0"/>
            <wp:docPr id="2427" name="Obraz 7" descr="bez tytułu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 1.bmp"/>
                    <pic:cNvPicPr/>
                  </pic:nvPicPr>
                  <pic:blipFill>
                    <a:blip r:embed="rId247" cstate="print"/>
                    <a:stretch>
                      <a:fillRect/>
                    </a:stretch>
                  </pic:blipFill>
                  <pic:spPr>
                    <a:xfrm>
                      <a:off x="0" y="0"/>
                      <a:ext cx="5760085" cy="4124325"/>
                    </a:xfrm>
                    <a:prstGeom prst="rect">
                      <a:avLst/>
                    </a:prstGeom>
                  </pic:spPr>
                </pic:pic>
              </a:graphicData>
            </a:graphic>
          </wp:inline>
        </w:drawing>
      </w:r>
    </w:p>
    <w:p w14:paraId="757A9D1B" w14:textId="77777777" w:rsidR="000B1D95" w:rsidRPr="009E064B" w:rsidRDefault="000B1D95" w:rsidP="00B06A9A">
      <w:pPr>
        <w:spacing w:after="0"/>
        <w:rPr>
          <w:szCs w:val="20"/>
        </w:rPr>
      </w:pPr>
    </w:p>
    <w:p w14:paraId="7BEA02BA" w14:textId="77777777" w:rsidR="000B1D95" w:rsidRPr="00FE5FBD" w:rsidRDefault="000B1D95" w:rsidP="00B06A9A">
      <w:pPr>
        <w:spacing w:after="0"/>
        <w:ind w:left="993" w:right="10" w:hanging="993"/>
        <w:jc w:val="center"/>
        <w:rPr>
          <w:b/>
          <w:sz w:val="20"/>
          <w:szCs w:val="20"/>
        </w:rPr>
      </w:pPr>
      <w:r w:rsidRPr="00FE5FBD">
        <w:rPr>
          <w:b/>
          <w:sz w:val="20"/>
          <w:szCs w:val="20"/>
        </w:rPr>
        <w:t xml:space="preserve">Rysunek GM-R-1.  Oznakowanie powierzchni nienośnej pobocza drogi kołowania </w:t>
      </w:r>
      <w:r w:rsidRPr="00FE5FBD">
        <w:rPr>
          <w:b/>
          <w:sz w:val="20"/>
          <w:szCs w:val="20"/>
        </w:rPr>
        <w:br/>
        <w:t>o nawierzchni sztucznej</w:t>
      </w:r>
    </w:p>
    <w:p w14:paraId="5B778564" w14:textId="77777777" w:rsidR="000B1D95" w:rsidRPr="009E064B" w:rsidRDefault="000B1D95" w:rsidP="00B06A9A">
      <w:pPr>
        <w:rPr>
          <w:szCs w:val="20"/>
        </w:rPr>
      </w:pPr>
    </w:p>
    <w:p w14:paraId="134535DB" w14:textId="77777777" w:rsidR="000B1D95" w:rsidRPr="009E064B" w:rsidRDefault="000B1D95" w:rsidP="00B06A9A">
      <w:pPr>
        <w:rPr>
          <w:iCs/>
          <w:szCs w:val="20"/>
        </w:rPr>
      </w:pPr>
      <w:r w:rsidRPr="009E064B">
        <w:rPr>
          <w:iCs/>
          <w:szCs w:val="20"/>
        </w:rPr>
        <w:t>Więcej wskazówek dotyczących stosowania dodatkowych pasów poprzecznych na skrzyżowaniach oraz niewielkich obszarach płyty postojowej znajdują się w „</w:t>
      </w:r>
      <w:r w:rsidRPr="009E064B">
        <w:rPr>
          <w:i/>
          <w:iCs/>
          <w:szCs w:val="20"/>
        </w:rPr>
        <w:t>Podręczniku projektowania lotnisk</w:t>
      </w:r>
      <w:r w:rsidRPr="009E064B">
        <w:rPr>
          <w:iCs/>
          <w:szCs w:val="20"/>
        </w:rPr>
        <w:t>” ICAO Doc 9157, Część 4 „</w:t>
      </w:r>
      <w:r w:rsidRPr="009E064B">
        <w:rPr>
          <w:i/>
          <w:iCs/>
          <w:szCs w:val="20"/>
        </w:rPr>
        <w:t>Pomoce wzrokowe</w:t>
      </w:r>
      <w:r w:rsidRPr="009E064B">
        <w:rPr>
          <w:iCs/>
          <w:szCs w:val="20"/>
        </w:rPr>
        <w:t>”.</w:t>
      </w:r>
    </w:p>
    <w:p w14:paraId="612FD4F2"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3091F36" w14:textId="77777777" w:rsidR="000B1D95" w:rsidRPr="009E064B" w:rsidRDefault="000B1D95" w:rsidP="000A5A0E">
      <w:pPr>
        <w:spacing w:after="0"/>
        <w:rPr>
          <w:szCs w:val="20"/>
        </w:rPr>
      </w:pPr>
    </w:p>
    <w:p w14:paraId="0FFEFF2F" w14:textId="53AF7B61" w:rsidR="00C36D76" w:rsidRPr="009E064B" w:rsidRDefault="000A5A0E" w:rsidP="00B06A9A">
      <w:pPr>
        <w:pStyle w:val="Nagwek4"/>
        <w:rPr>
          <w:color w:val="auto"/>
        </w:rPr>
      </w:pPr>
      <w:bookmarkStart w:id="1782" w:name="_Toc12533297"/>
      <w:r w:rsidRPr="009E064B">
        <w:rPr>
          <w:color w:val="auto"/>
        </w:rPr>
        <w:t xml:space="preserve">CS ADR-DSN.R.865     </w:t>
      </w:r>
      <w:r w:rsidR="00C36D76" w:rsidRPr="009E064B">
        <w:rPr>
          <w:color w:val="auto"/>
        </w:rPr>
        <w:t>Powierzchnia przed progiem</w:t>
      </w:r>
      <w:bookmarkEnd w:id="1781"/>
      <w:bookmarkEnd w:id="1782"/>
    </w:p>
    <w:p w14:paraId="21346502" w14:textId="7429B63A" w:rsidR="000A5A0E" w:rsidRPr="009E064B" w:rsidRDefault="001F74A1" w:rsidP="000A5A0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4907A21" w14:textId="2900D21D" w:rsidR="00C36D76" w:rsidRPr="009E064B" w:rsidRDefault="00C36D76" w:rsidP="000A5A0E">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Zastosowanie: Jeżeli powierzchnia przed progiem drogi startowej posiada nawierzchnię sztuczną i jest dłuższa niż 60 m oraz nie jest przeznaczona do normalnego wykorzystania przez statki powietrzne, wówczas cała długość przed progiem powinna posiadać oznakowanie typu „</w:t>
      </w:r>
      <w:r w:rsidRPr="009E064B">
        <w:rPr>
          <w:i/>
          <w:szCs w:val="20"/>
        </w:rPr>
        <w:t>chevron</w:t>
      </w:r>
      <w:r w:rsidRPr="009E064B">
        <w:rPr>
          <w:szCs w:val="20"/>
        </w:rPr>
        <w:t>”.</w:t>
      </w:r>
    </w:p>
    <w:p w14:paraId="75AA1C7A"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Oznakowanie typu „</w:t>
      </w:r>
      <w:r w:rsidRPr="009E064B">
        <w:rPr>
          <w:i/>
          <w:szCs w:val="20"/>
        </w:rPr>
        <w:t>chevron</w:t>
      </w:r>
      <w:r w:rsidRPr="009E064B">
        <w:rPr>
          <w:szCs w:val="20"/>
        </w:rPr>
        <w:t>” powinno wskazywać kierunek drogi startowej i być umieszczone zgodnie z Rysunkiem R-2.</w:t>
      </w:r>
    </w:p>
    <w:p w14:paraId="1A136205"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 Kolor oznakowania typu „</w:t>
      </w:r>
      <w:r w:rsidRPr="009E064B">
        <w:rPr>
          <w:i/>
          <w:szCs w:val="20"/>
        </w:rPr>
        <w:t>chevron</w:t>
      </w:r>
      <w:r w:rsidRPr="009E064B">
        <w:rPr>
          <w:szCs w:val="20"/>
        </w:rPr>
        <w:t>” powinien zapewniać widoczność oznakowania oraz kontrastować z oznakowaniem drogi startowej; preferowanym kolorem jest żółty. Całkowita szerokość oznakowania powinna być nie mniejsza niż 0.9 m.</w:t>
      </w:r>
    </w:p>
    <w:p w14:paraId="74A40A4B" w14:textId="77777777" w:rsidR="00C36D76" w:rsidRPr="009E064B" w:rsidRDefault="00C36D76" w:rsidP="00B06A9A">
      <w:pPr>
        <w:jc w:val="center"/>
        <w:rPr>
          <w:szCs w:val="20"/>
          <w:lang w:eastAsia="pl-PL"/>
        </w:rPr>
      </w:pPr>
    </w:p>
    <w:p w14:paraId="542BCD17" w14:textId="2446C2B7" w:rsidR="00C36D76" w:rsidRPr="009E064B" w:rsidRDefault="00F507C4" w:rsidP="00B06A9A">
      <w:pPr>
        <w:jc w:val="center"/>
        <w:rPr>
          <w:szCs w:val="20"/>
          <w:lang w:eastAsia="pl-PL"/>
        </w:rPr>
      </w:pPr>
      <w:r w:rsidRPr="009E064B">
        <w:rPr>
          <w:noProof/>
          <w:lang w:eastAsia="pl-PL"/>
        </w:rPr>
        <w:drawing>
          <wp:inline distT="0" distB="0" distL="0" distR="0" wp14:anchorId="6C725907" wp14:editId="45984BBA">
            <wp:extent cx="5760720" cy="2664948"/>
            <wp:effectExtent l="0" t="0" r="0" b="0"/>
            <wp:docPr id="3738" name="Obraz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60720" cy="2664948"/>
                    </a:xfrm>
                    <a:prstGeom prst="rect">
                      <a:avLst/>
                    </a:prstGeom>
                    <a:noFill/>
                    <a:ln>
                      <a:noFill/>
                    </a:ln>
                  </pic:spPr>
                </pic:pic>
              </a:graphicData>
            </a:graphic>
          </wp:inline>
        </w:drawing>
      </w:r>
    </w:p>
    <w:p w14:paraId="3CAE4DB2" w14:textId="77777777" w:rsidR="00C36D76" w:rsidRPr="00FE5FBD" w:rsidRDefault="00C36D76" w:rsidP="00F507C4">
      <w:pPr>
        <w:spacing w:before="120" w:after="0"/>
        <w:ind w:right="11"/>
        <w:jc w:val="center"/>
        <w:rPr>
          <w:b/>
          <w:sz w:val="20"/>
        </w:rPr>
      </w:pPr>
      <w:r w:rsidRPr="00FE5FBD">
        <w:rPr>
          <w:b/>
          <w:sz w:val="20"/>
        </w:rPr>
        <w:t>Rysunek R-2. Oznakowanie powierzchni przed progiem drogi startowej</w:t>
      </w:r>
    </w:p>
    <w:p w14:paraId="05E782F4" w14:textId="77777777" w:rsidR="00C36D76" w:rsidRPr="009E064B" w:rsidRDefault="00C36D76" w:rsidP="000A5A0E">
      <w:pPr>
        <w:spacing w:after="0"/>
      </w:pPr>
    </w:p>
    <w:p w14:paraId="1D978397" w14:textId="032A1A0A" w:rsidR="000B1D95" w:rsidRPr="009E064B" w:rsidRDefault="000A5A0E" w:rsidP="00133B99">
      <w:pPr>
        <w:pStyle w:val="Nagwek6"/>
      </w:pPr>
      <w:bookmarkStart w:id="1783" w:name="_Toc401059081"/>
      <w:bookmarkStart w:id="1784" w:name="_Toc482886954"/>
      <w:bookmarkStart w:id="1785" w:name="_Toc12533298"/>
      <w:r w:rsidRPr="009E064B">
        <w:t xml:space="preserve">GM1 ADR-DSN.R.865     </w:t>
      </w:r>
      <w:r w:rsidR="000B1D95" w:rsidRPr="009E064B">
        <w:t>Powierzchnia przed progiem</w:t>
      </w:r>
      <w:bookmarkEnd w:id="1783"/>
      <w:bookmarkEnd w:id="1784"/>
      <w:bookmarkEnd w:id="1785"/>
    </w:p>
    <w:p w14:paraId="0B4294B7" w14:textId="6F742CF5" w:rsidR="000A5A0E" w:rsidRPr="009E064B" w:rsidRDefault="001F74A1" w:rsidP="000A5A0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89FED21" w14:textId="130FAAA6" w:rsidR="00C36D76" w:rsidRPr="009E064B" w:rsidRDefault="000B1D95" w:rsidP="00533218">
      <w:pPr>
        <w:rPr>
          <w:szCs w:val="20"/>
        </w:rPr>
      </w:pPr>
      <w:r w:rsidRPr="009E064B">
        <w:rPr>
          <w:szCs w:val="20"/>
        </w:rPr>
        <w:t xml:space="preserve">W przypadku powierzchni przed progiem o długości mniejszej niż 60 m, oznakowanie </w:t>
      </w:r>
      <w:r w:rsidR="00533218" w:rsidRPr="009E064B">
        <w:rPr>
          <w:szCs w:val="20"/>
        </w:rPr>
        <w:t xml:space="preserve">poziome </w:t>
      </w:r>
      <w:r w:rsidRPr="009E064B">
        <w:rPr>
          <w:szCs w:val="20"/>
        </w:rPr>
        <w:t>może być</w:t>
      </w:r>
      <w:r w:rsidR="00533218" w:rsidRPr="009E064B">
        <w:rPr>
          <w:szCs w:val="20"/>
        </w:rPr>
        <w:t xml:space="preserve"> zmodyfikowane lub zmniejszone tak, aby przedstawić właściwy obraz dla załogi statku powietrznego.</w:t>
      </w:r>
    </w:p>
    <w:p w14:paraId="0A58EA73" w14:textId="73069591" w:rsidR="00C36D76" w:rsidRPr="009E064B" w:rsidRDefault="000A5A0E" w:rsidP="00B06A9A">
      <w:pPr>
        <w:pStyle w:val="Nagwek4"/>
        <w:rPr>
          <w:color w:val="auto"/>
        </w:rPr>
      </w:pPr>
      <w:bookmarkStart w:id="1786" w:name="_CS_ADR-DSN.R.870_"/>
      <w:bookmarkStart w:id="1787" w:name="_Toc482886731"/>
      <w:bookmarkStart w:id="1788" w:name="_Toc12533299"/>
      <w:bookmarkEnd w:id="1786"/>
      <w:r w:rsidRPr="009E064B">
        <w:rPr>
          <w:color w:val="auto"/>
        </w:rPr>
        <w:t xml:space="preserve">CS ADR-DSN.R.870     </w:t>
      </w:r>
      <w:r w:rsidR="00C36D76" w:rsidRPr="009E064B">
        <w:rPr>
          <w:color w:val="auto"/>
        </w:rPr>
        <w:t>Strefy wyłączone z użytkowania</w:t>
      </w:r>
      <w:bookmarkEnd w:id="1787"/>
      <w:bookmarkEnd w:id="1788"/>
    </w:p>
    <w:p w14:paraId="01BBD9DB" w14:textId="37270F92" w:rsidR="000A5A0E" w:rsidRPr="009E064B" w:rsidRDefault="001F74A1" w:rsidP="000A5A0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02700FE" w14:textId="250D3763" w:rsidR="00C36D76" w:rsidRPr="009E064B" w:rsidRDefault="00C36D76" w:rsidP="000A5A0E">
      <w:pPr>
        <w:tabs>
          <w:tab w:val="left" w:pos="567"/>
        </w:tabs>
        <w:ind w:left="567" w:hanging="567"/>
        <w:rPr>
          <w:szCs w:val="20"/>
        </w:rPr>
      </w:pPr>
      <w:r w:rsidRPr="009E064B">
        <w:rPr>
          <w:rFonts w:cs="Times New Roman"/>
          <w:szCs w:val="20"/>
        </w:rPr>
        <w:t xml:space="preserve">(a) </w:t>
      </w:r>
      <w:r w:rsidRPr="009E064B">
        <w:rPr>
          <w:rFonts w:cs="Times New Roman"/>
          <w:szCs w:val="20"/>
        </w:rPr>
        <w:tab/>
      </w:r>
      <w:r w:rsidR="00F507C4" w:rsidRPr="009E064B">
        <w:rPr>
          <w:szCs w:val="20"/>
        </w:rPr>
        <w:t xml:space="preserve">Zastosowanie oznaczników i świateł </w:t>
      </w:r>
    </w:p>
    <w:p w14:paraId="435DC120" w14:textId="77777777" w:rsidR="00C36D76" w:rsidRPr="009E064B" w:rsidRDefault="00C36D76" w:rsidP="00B06A9A">
      <w:pPr>
        <w:pStyle w:val="Akapitzlist"/>
        <w:ind w:left="567"/>
        <w:rPr>
          <w:szCs w:val="20"/>
        </w:rPr>
      </w:pPr>
      <w:r w:rsidRPr="009E064B">
        <w:rPr>
          <w:szCs w:val="20"/>
        </w:rPr>
        <w:t xml:space="preserve">Oznaczniki strefy wyłączonej z użytkowania powinny być stosowane, jeżeli pewna część drogi kołowania, płyty </w:t>
      </w:r>
      <w:r w:rsidRPr="009E064B">
        <w:rPr>
          <w:rFonts w:cs="TimesNewRomanPS-ItalicMT"/>
          <w:iCs/>
          <w:szCs w:val="20"/>
        </w:rPr>
        <w:t>postojowej</w:t>
      </w:r>
      <w:r w:rsidRPr="009E064B">
        <w:rPr>
          <w:szCs w:val="20"/>
        </w:rPr>
        <w:t xml:space="preserve"> lub zatoki oczekiwania nie jest dostosowana do ruchu statków powietrznych, ale jest możliwe, aby statek powietrzny bezpiecznie ominął tę strefę. Światła strefy wyłączonej z użytkowania powinny być stosowane w polu ruchu naziemnego użytkowanym w nocy.</w:t>
      </w:r>
    </w:p>
    <w:p w14:paraId="7EC6D2F2"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Lokalizacja: Oznaczniki oraz światła strefy wyłączonej z użytkowania powinny być rozmieszczone w odstępach zapewniających wyraźne określenie strefy wyłączonej z użytkowania.</w:t>
      </w:r>
    </w:p>
    <w:p w14:paraId="2C978474"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Charakterystyki:</w:t>
      </w:r>
    </w:p>
    <w:p w14:paraId="4BC11767"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Oznaczniki strefy wyłączonej z użytkowania powinny się składać z wystających, rzucających się w oczy elementów, takich jak flagi, oznaczniki stożkowe lub tablice.</w:t>
      </w:r>
    </w:p>
    <w:p w14:paraId="49ABAC46"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strefy wyłączonej z użytkowania powinny być stałymi światłami koloru czerwonego. Intensywność światła powinna być wystarczająca do zapewnienia wyraźnej widzialności, uwzględniając światła sąsiednie oraz ogólny poziom oświetlenia, na tle którego będą one normalnie widziane. W żadnym przypadku, intensywność nie powinna być mniejsza niż 10 cd światła czerwonego.</w:t>
      </w:r>
    </w:p>
    <w:p w14:paraId="59FCDBCF"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Oznaczniki stożkowe strefy wyłączonej z użytkowania powinny mieć wysokość nie mniejszą niż 0.5 m oraz być koloru czerwonego, pomarańczowego lub żółtego albo kombinacji jednego z tych kolorów z białym.</w:t>
      </w:r>
    </w:p>
    <w:p w14:paraId="548980FF"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Flagi wyznaczające strefę wyłączoną z użytkowania powinny mieć powierzchnię nie mniejszą niż 0.5 m</w:t>
      </w:r>
      <w:r w:rsidRPr="009E064B">
        <w:rPr>
          <w:szCs w:val="20"/>
          <w:vertAlign w:val="superscript"/>
        </w:rPr>
        <w:t>2</w:t>
      </w:r>
      <w:r w:rsidRPr="009E064B">
        <w:rPr>
          <w:szCs w:val="20"/>
        </w:rPr>
        <w:t xml:space="preserve"> oraz być koloru czerwonego, pomarańczowego lub żółtego albo kombinacji jednego z tych kolorów z białym.</w:t>
      </w:r>
    </w:p>
    <w:p w14:paraId="3A268696" w14:textId="777777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Tablice wyznaczające strefę wyłączoną z użytkowania powinny mieć wysokość nie mniejszą niż 0.5 m, szerokość nie mniejszą niż 0.9 m oraz być pomalowane w pionowe pasy koloru na przemian czerwonego i białego lub pomarańczowego i białego.</w:t>
      </w:r>
    </w:p>
    <w:p w14:paraId="477D7518" w14:textId="4C4007D9" w:rsidR="000B1D95" w:rsidRPr="009E064B" w:rsidRDefault="000A5A0E" w:rsidP="00133B99">
      <w:pPr>
        <w:pStyle w:val="Nagwek6"/>
      </w:pPr>
      <w:bookmarkStart w:id="1789" w:name="_Toc401059082"/>
      <w:bookmarkStart w:id="1790" w:name="_Toc482886955"/>
      <w:bookmarkStart w:id="1791" w:name="_Toc12533300"/>
      <w:r w:rsidRPr="009E064B">
        <w:t xml:space="preserve">GM1 ADR-DSN.R.870     </w:t>
      </w:r>
      <w:r w:rsidR="00DB5627" w:rsidRPr="009E064B">
        <w:t>Strefy wyłączone</w:t>
      </w:r>
      <w:r w:rsidR="000B1D95" w:rsidRPr="009E064B">
        <w:t xml:space="preserve"> z użytkowania</w:t>
      </w:r>
      <w:bookmarkEnd w:id="1789"/>
      <w:bookmarkEnd w:id="1790"/>
      <w:bookmarkEnd w:id="1791"/>
    </w:p>
    <w:p w14:paraId="3E00A3DD" w14:textId="7DBBC6D5" w:rsidR="000A5A0E" w:rsidRPr="009E064B" w:rsidRDefault="001F74A1" w:rsidP="000A5A0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302034B" w14:textId="0FA8B13E" w:rsidR="000B1D95" w:rsidRPr="009E064B" w:rsidRDefault="000B1D95" w:rsidP="000A5A0E">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Stosowanie oznaczników oraz świateł strefy wyłączonej z użytkowania ma na celu ostrzeżenie pilotów przed występowaniem dziury w nawierzchni drogi kołowania lub płyty postojowej, albo w celu wyznaczenia granic części nawierzchni, np. na płycie postojowej, będącej w naprawie. Nie należy ich używać, jeżeli część drogi startowej lub też znaczna część szerokości drogi kołowania staje się nieużyteczna. W takich przypadkach droga startowa i droga kołowania jest normalnie zamknięta dla ruchu.</w:t>
      </w:r>
    </w:p>
    <w:p w14:paraId="6F452B76"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Odległości wymagane dla oznakowania oraz świateł powinny uwzględniać warunki dotyczące widoczności, konfigurację geometryczną obszaru, ewentualne różnice wysokości terenu, tak, aby granice strefy wyłączonej z użytkowania były widoczne dla pilota.</w:t>
      </w:r>
    </w:p>
    <w:p w14:paraId="4BA13831" w14:textId="77777777"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
          <w:szCs w:val="20"/>
        </w:rPr>
        <w:t>Obszary czasowo wyłączone z użytkowania, mogą posiadać oznakowanie świetlne w postaci stałych świateł koloru czerwonego. Światła te powinny wskazywać potencjalnie najbardziej niebezpieczne granice tego obszaru.</w:t>
      </w:r>
    </w:p>
    <w:p w14:paraId="02F5800E" w14:textId="77777777"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(d) </w:t>
      </w:r>
      <w:r w:rsidRPr="009E064B">
        <w:rPr>
          <w:rFonts w:cs="TimesNewRomanPS-BoldItalicMT"/>
          <w:bCs/>
          <w:iCs/>
          <w:szCs w:val="20"/>
        </w:rPr>
        <w:tab/>
      </w:r>
      <w:r w:rsidRPr="009E064B">
        <w:rPr>
          <w:rFonts w:cs="Times New Roman"/>
          <w:szCs w:val="20"/>
        </w:rPr>
        <w:t>Można stosować minimum cztery światła, wyjątkiem jest strefa o kształcie trójkątnym, gdzie można zastosować trzy światła.</w:t>
      </w:r>
    </w:p>
    <w:p w14:paraId="1F3E3ACE" w14:textId="77777777"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(e) </w:t>
      </w:r>
      <w:r w:rsidRPr="009E064B">
        <w:rPr>
          <w:rFonts w:cs="TimesNewRomanPS-BoldItalicMT"/>
          <w:bCs/>
          <w:iCs/>
          <w:szCs w:val="20"/>
        </w:rPr>
        <w:tab/>
      </w:r>
      <w:r w:rsidRPr="009E064B">
        <w:rPr>
          <w:rFonts w:cs="Times New Roman"/>
          <w:szCs w:val="20"/>
        </w:rPr>
        <w:t>Ilość świateł może być zwiększona, jeżeli wielkość obszaru jest większa lub obszar jest o nietypowej konfiguracji. Na każde 7.5 m obrysu strefy powinno przypadać, co najmniej jedno światło.</w:t>
      </w:r>
    </w:p>
    <w:p w14:paraId="3162C0A3" w14:textId="77777777"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(f) </w:t>
      </w:r>
      <w:r w:rsidRPr="009E064B">
        <w:rPr>
          <w:rFonts w:cs="TimesNewRomanPS-BoldItalicMT"/>
          <w:bCs/>
          <w:iCs/>
          <w:szCs w:val="20"/>
        </w:rPr>
        <w:tab/>
      </w:r>
      <w:r w:rsidRPr="009E064B">
        <w:rPr>
          <w:rFonts w:cs="Times New Roman"/>
          <w:szCs w:val="20"/>
        </w:rPr>
        <w:t>Jeżeli zastosowano światła kierunkowe, powinny być one ukierunkowane w taki sposób, aby tam gdzie jest to możliwe, wiązka światła była ustawiona w kierunku, z którego może kołować statek powietrzny lub pojazd.</w:t>
      </w:r>
    </w:p>
    <w:p w14:paraId="348508DA" w14:textId="362824BA"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(g) </w:t>
      </w:r>
      <w:r w:rsidRPr="009E064B">
        <w:rPr>
          <w:rFonts w:cs="TimesNewRomanPS-BoldItalicMT"/>
          <w:bCs/>
          <w:iCs/>
          <w:szCs w:val="20"/>
        </w:rPr>
        <w:tab/>
      </w:r>
      <w:r w:rsidRPr="009E064B">
        <w:rPr>
          <w:rFonts w:cs="Times New Roman"/>
          <w:szCs w:val="20"/>
        </w:rPr>
        <w:t xml:space="preserve">Jeżeli istnieje możliwość, że statki powietrzne lub pojazdy będą kołowały z różnych kierunków, należy rozważyć zastosowanie dodatkowych świateł lub świateł </w:t>
      </w:r>
      <w:r w:rsidR="00930B8E">
        <w:rPr>
          <w:rFonts w:cs="Times New Roman"/>
          <w:szCs w:val="20"/>
        </w:rPr>
        <w:t xml:space="preserve">dookólnych </w:t>
      </w:r>
      <w:r w:rsidRPr="009E064B">
        <w:rPr>
          <w:rFonts w:cs="Times New Roman"/>
          <w:szCs w:val="20"/>
        </w:rPr>
        <w:t>tak, aby strefa była widoczna z tych kierunków.</w:t>
      </w:r>
    </w:p>
    <w:p w14:paraId="6EB172A7" w14:textId="77777777" w:rsidR="000B1D95" w:rsidRPr="009E064B" w:rsidRDefault="000B1D95" w:rsidP="00B06A9A">
      <w:pPr>
        <w:tabs>
          <w:tab w:val="left" w:pos="567"/>
        </w:tabs>
        <w:autoSpaceDE w:val="0"/>
        <w:autoSpaceDN w:val="0"/>
        <w:adjustRightInd w:val="0"/>
        <w:ind w:left="567" w:hanging="567"/>
        <w:rPr>
          <w:rFonts w:cs="Times New Roman"/>
          <w:szCs w:val="20"/>
        </w:rPr>
      </w:pPr>
      <w:r w:rsidRPr="009E064B">
        <w:rPr>
          <w:rFonts w:cs="TimesNewRomanPS-BoldItalicMT"/>
          <w:bCs/>
          <w:iCs/>
          <w:szCs w:val="20"/>
        </w:rPr>
        <w:t xml:space="preserve">(h) </w:t>
      </w:r>
      <w:r w:rsidRPr="009E064B">
        <w:rPr>
          <w:rFonts w:cs="TimesNewRomanPS-BoldItalicMT"/>
          <w:bCs/>
          <w:iCs/>
          <w:szCs w:val="20"/>
        </w:rPr>
        <w:tab/>
      </w:r>
      <w:r w:rsidRPr="009E064B">
        <w:rPr>
          <w:rFonts w:cs="Times New Roman"/>
          <w:szCs w:val="20"/>
        </w:rPr>
        <w:t>Światła strefy wyłączonej z użytkowania powinny mieć konstrukcję łamliwą. Ich wysokość powinna być na tyle mała, aby zapewniała bezpieczną odległość między lampą a śmigłem lub gondolą silnika statku powietrznego o napędzie odrzutowym.</w:t>
      </w:r>
    </w:p>
    <w:p w14:paraId="11FAD3D1" w14:textId="77777777" w:rsidR="00C36D76" w:rsidRPr="009E064B" w:rsidRDefault="00C36D76" w:rsidP="00B06A9A">
      <w:pPr>
        <w:rPr>
          <w:szCs w:val="20"/>
        </w:rPr>
      </w:pPr>
    </w:p>
    <w:p w14:paraId="5E9CC3DA" w14:textId="77777777" w:rsidR="00C36D76" w:rsidRPr="009E064B" w:rsidRDefault="00C36D76" w:rsidP="00B06A9A">
      <w:pPr>
        <w:ind w:left="1134" w:hanging="567"/>
        <w:rPr>
          <w:b/>
          <w:szCs w:val="20"/>
        </w:rPr>
        <w:sectPr w:rsidR="00C36D76" w:rsidRPr="009E064B" w:rsidSect="00AE1280">
          <w:headerReference w:type="default" r:id="rId249"/>
          <w:headerReference w:type="first" r:id="rId250"/>
          <w:pgSz w:w="11906" w:h="16840" w:code="9"/>
          <w:pgMar w:top="1701" w:right="1417" w:bottom="1418" w:left="1418" w:header="567" w:footer="454" w:gutter="0"/>
          <w:cols w:space="708"/>
          <w:titlePg/>
          <w:docGrid w:linePitch="360"/>
        </w:sectPr>
      </w:pPr>
    </w:p>
    <w:p w14:paraId="3F12749C" w14:textId="77777777" w:rsidR="00C36D76" w:rsidRPr="009E064B" w:rsidRDefault="00C36D76" w:rsidP="00B06A9A">
      <w:pPr>
        <w:rPr>
          <w:szCs w:val="20"/>
        </w:rPr>
      </w:pPr>
    </w:p>
    <w:p w14:paraId="42106C86" w14:textId="505F2C06" w:rsidR="00C36D76" w:rsidRPr="009E064B" w:rsidRDefault="00C36D76" w:rsidP="00020EA3">
      <w:pPr>
        <w:pStyle w:val="Nagwek2"/>
      </w:pPr>
      <w:bookmarkStart w:id="1792" w:name="_Toc382725623"/>
      <w:bookmarkStart w:id="1793" w:name="_Toc482886732"/>
      <w:bookmarkStart w:id="1794" w:name="_Toc12533301"/>
      <w:r w:rsidRPr="009E064B">
        <w:t xml:space="preserve">ROZDZIAŁ S </w:t>
      </w:r>
      <w:r w:rsidR="00AB2D76" w:rsidRPr="009E064B">
        <w:t xml:space="preserve">— </w:t>
      </w:r>
      <w:r w:rsidRPr="009E064B">
        <w:t>SYSTEMY ELEKTRYCZNE</w:t>
      </w:r>
      <w:bookmarkEnd w:id="1792"/>
      <w:bookmarkEnd w:id="1793"/>
      <w:bookmarkEnd w:id="1794"/>
      <w:r w:rsidRPr="009E064B">
        <w:t xml:space="preserve"> </w:t>
      </w:r>
    </w:p>
    <w:p w14:paraId="6AA1D248" w14:textId="77777777" w:rsidR="00C36D76" w:rsidRPr="009E064B" w:rsidRDefault="00C36D76" w:rsidP="00B06A9A">
      <w:pPr>
        <w:rPr>
          <w:szCs w:val="20"/>
        </w:rPr>
      </w:pPr>
    </w:p>
    <w:p w14:paraId="57157EA6" w14:textId="7E2F004D" w:rsidR="00C36D76" w:rsidRPr="009E064B" w:rsidRDefault="006F5AD2" w:rsidP="006F5AD2">
      <w:pPr>
        <w:pStyle w:val="Nagwek4"/>
        <w:tabs>
          <w:tab w:val="clear" w:pos="2694"/>
          <w:tab w:val="left" w:pos="3119"/>
        </w:tabs>
        <w:ind w:left="2410" w:hanging="2410"/>
        <w:rPr>
          <w:color w:val="auto"/>
        </w:rPr>
      </w:pPr>
      <w:bookmarkStart w:id="1795" w:name="_CS_ADR-DSN.S.875_"/>
      <w:bookmarkStart w:id="1796" w:name="_Toc482886733"/>
      <w:bookmarkStart w:id="1797" w:name="_Toc12533302"/>
      <w:bookmarkEnd w:id="1795"/>
      <w:r w:rsidRPr="009E064B">
        <w:rPr>
          <w:color w:val="auto"/>
        </w:rPr>
        <w:t xml:space="preserve">CS ADR-DSN.S.875     </w:t>
      </w:r>
      <w:r w:rsidR="00C36D76" w:rsidRPr="009E064B">
        <w:rPr>
          <w:color w:val="auto"/>
        </w:rPr>
        <w:t>Systemy zasilania elektrycznego dla urządzeń nawigacji lotniczej</w:t>
      </w:r>
      <w:bookmarkEnd w:id="1796"/>
      <w:bookmarkEnd w:id="1797"/>
    </w:p>
    <w:p w14:paraId="0B4E218F" w14:textId="28C369F7"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EA887C9" w14:textId="5420A9EF" w:rsidR="00C36D76" w:rsidRPr="009E064B" w:rsidRDefault="00C36D76" w:rsidP="006F5AD2">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W celu bezpiecznego funkcjonowania lotniczych urządzeń nawigacyjnych na lotnisku, należy zapewnić odpowiednie podstawowe źródło zasilania.</w:t>
      </w:r>
    </w:p>
    <w:p w14:paraId="526E0FEC"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Systemy elektryczne lotniska, stanowiące źródło zasilania dla wzrokowych i radiowych pomocy nawigacyjnych powinny być zaprojektowane i wykonane w taki sposób, aby w przypadku awarii urządzeń systemu, pilot miał zapewnione wystarczające wzrokowe i niewzrokowe prowadzenie oraz nie otrzymał informacji wprowadzających w błąd.</w:t>
      </w:r>
    </w:p>
    <w:p w14:paraId="6365ABC5"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System zasilania elektrycznego urządzeń, które wymagają zasilania rezerwowego, powinien zapewniać automatyczne przełączenie tych urządzeń do źródła zasilania rezerwowego w przypadku uszkodzenia podstawowego źródła zasilania.</w:t>
      </w:r>
    </w:p>
    <w:p w14:paraId="4E7B9901" w14:textId="3C48E6A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Przerwa pomiędzy awarią podstawowego źródła zasilania a całkowitym wznowieniem działania ur</w:t>
      </w:r>
      <w:r w:rsidR="00561DCC" w:rsidRPr="009E064B">
        <w:rPr>
          <w:szCs w:val="20"/>
        </w:rPr>
        <w:t xml:space="preserve">ządzeń określonych w </w:t>
      </w:r>
      <w:hyperlink w:anchor="_CS_ADR-DSN.S.880_" w:history="1">
        <w:r w:rsidR="00561DCC" w:rsidRPr="009E064B">
          <w:rPr>
            <w:rStyle w:val="Hipercze"/>
            <w:szCs w:val="20"/>
          </w:rPr>
          <w:t>CS </w:t>
        </w:r>
        <w:r w:rsidRPr="009E064B">
          <w:rPr>
            <w:rStyle w:val="Hipercze"/>
            <w:szCs w:val="20"/>
          </w:rPr>
          <w:t>ADR-DSN.S.880</w:t>
        </w:r>
      </w:hyperlink>
      <w:r w:rsidR="00561DCC" w:rsidRPr="009E064B">
        <w:rPr>
          <w:szCs w:val="20"/>
        </w:rPr>
        <w:t xml:space="preserve"> lit. </w:t>
      </w:r>
      <w:r w:rsidRPr="009E064B">
        <w:rPr>
          <w:szCs w:val="20"/>
        </w:rPr>
        <w:t>(e) powinna by</w:t>
      </w:r>
      <w:r w:rsidR="00AA1B59" w:rsidRPr="009E064B">
        <w:rPr>
          <w:szCs w:val="20"/>
        </w:rPr>
        <w:t>ć tak krótka, jak to możliwe, z </w:t>
      </w:r>
      <w:r w:rsidRPr="009E064B">
        <w:rPr>
          <w:szCs w:val="20"/>
        </w:rPr>
        <w:t>wyjątkiem pomocy wzrokowych obsługujących drogę startową</w:t>
      </w:r>
      <w:r w:rsidR="00AA1B59" w:rsidRPr="009E064B">
        <w:rPr>
          <w:szCs w:val="20"/>
        </w:rPr>
        <w:t xml:space="preserve"> z podejściem nieprecyzyjnym, z </w:t>
      </w:r>
      <w:r w:rsidRPr="009E064B">
        <w:rPr>
          <w:szCs w:val="20"/>
        </w:rPr>
        <w:t>podejściem precyzyjnym lub przeznaczoną do startów, do których powinny mieć zastosowanie wymagania określone w Tabeli S-1, dotyczące maksymalnego czasu przełączenia.</w:t>
      </w:r>
    </w:p>
    <w:p w14:paraId="76A99F8A" w14:textId="72F9DC13" w:rsidR="000B1D95" w:rsidRPr="001474BD" w:rsidRDefault="00F47F20" w:rsidP="001474BD">
      <w:pPr>
        <w:pStyle w:val="Nagwek6"/>
      </w:pPr>
      <w:bookmarkStart w:id="1798" w:name="_Toc401059084"/>
      <w:bookmarkStart w:id="1799" w:name="_Toc482886957"/>
      <w:bookmarkStart w:id="1800" w:name="_Toc12533303"/>
      <w:r w:rsidRPr="001474BD">
        <w:t xml:space="preserve">GM1 ADR-DSN.S.875     </w:t>
      </w:r>
      <w:r w:rsidR="000B1D95" w:rsidRPr="001474BD">
        <w:t>Systemy zasilania elektrycznego dla urządzeń nawigacji lotniczej</w:t>
      </w:r>
      <w:bookmarkEnd w:id="1798"/>
      <w:bookmarkEnd w:id="1799"/>
      <w:bookmarkEnd w:id="1800"/>
    </w:p>
    <w:p w14:paraId="18C17279" w14:textId="592BC0B4" w:rsidR="00F47F20" w:rsidRPr="009E064B" w:rsidRDefault="00D63D4F" w:rsidP="00F47F20">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45A6BB7" w14:textId="6FFEB79D"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Bezpieczeństwo operacji lotniczych na lotnisku zależy, od jakości dostarczanej energii elektrycznej. Pełny system elektryczny może składać się z połączeń z jednym lub kilkoma zewnętrznymi źródłami zasilania w energię elektryczną, lokalnymi urządzeniami generującymi oraz z siecią przesyłową wraz z transformatorami oraz aparaturą rozdzielczą. W trakcie projektowania systemu elektrycznego lotniska, należy wziąć pod uwagę również wiele innych urządzeń, które będą zasilane z jednego systemu.</w:t>
      </w:r>
    </w:p>
    <w:p w14:paraId="7BE32B9C"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Projekt i instalacja systemów elektrycznych musi uwzględniać czynniki, które mogą prowadzić do awarii, takie jak zaburzenia elektromagnetyczne, straty w sieci, jakość energii elektrycznej itp. Dodatkowe wytyczne znajdują się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5 „</w:t>
      </w:r>
      <w:r w:rsidRPr="009E064B">
        <w:rPr>
          <w:rFonts w:eastAsia="Times New Roman,Italic" w:cs="Times New Roman,Italic"/>
          <w:i/>
          <w:iCs/>
          <w:szCs w:val="20"/>
        </w:rPr>
        <w:t>Systemy elektryczne</w:t>
      </w:r>
      <w:r w:rsidRPr="009E064B">
        <w:rPr>
          <w:rFonts w:eastAsia="Times New Roman,Italic" w:cs="Times New Roman,Italic"/>
          <w:iCs/>
          <w:szCs w:val="20"/>
        </w:rPr>
        <w:t>”.</w:t>
      </w:r>
    </w:p>
    <w:p w14:paraId="550D0199"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rFonts w:cs="Times New Roman,BoldItalic"/>
          <w:bCs/>
          <w:iCs/>
          <w:szCs w:val="20"/>
        </w:rPr>
        <w:t xml:space="preserve">Czas przełączenia to </w:t>
      </w:r>
      <w:r w:rsidRPr="009E064B">
        <w:rPr>
          <w:rFonts w:cs="Times New Roman"/>
          <w:szCs w:val="20"/>
        </w:rPr>
        <w:t>czas wymagany dla przywrócenia wartości 50% faktycznej intensywności światła na danym kierunku od momentu jej spadku poniżej 50% przy przełączeniu źródeł zasilania, gdy światło pracuje przy intensywności 25% lub większej.</w:t>
      </w:r>
    </w:p>
    <w:p w14:paraId="6F032338" w14:textId="77777777" w:rsidR="000B1D95" w:rsidRPr="009E064B" w:rsidRDefault="000B1D95" w:rsidP="00B06A9A">
      <w:pPr>
        <w:tabs>
          <w:tab w:val="left" w:pos="567"/>
        </w:tabs>
        <w:autoSpaceDE w:val="0"/>
        <w:autoSpaceDN w:val="0"/>
        <w:adjustRightInd w:val="0"/>
        <w:ind w:left="567" w:hanging="567"/>
        <w:rPr>
          <w:rFonts w:cs="Times New Roman,BoldItalic"/>
          <w:bCs/>
          <w:iCs/>
          <w:szCs w:val="20"/>
        </w:rPr>
      </w:pPr>
      <w:r w:rsidRPr="009E064B">
        <w:rPr>
          <w:rFonts w:cs="Times New Roman,BoldItalic"/>
          <w:bCs/>
          <w:iCs/>
          <w:szCs w:val="20"/>
        </w:rPr>
        <w:t>(d)</w:t>
      </w:r>
      <w:r w:rsidRPr="009E064B">
        <w:rPr>
          <w:rFonts w:cs="Times New Roman,BoldItalic"/>
          <w:bCs/>
          <w:iCs/>
          <w:szCs w:val="20"/>
        </w:rPr>
        <w:tab/>
        <w:t>Zgodnie z dobrą praktyką, pomiar parametrów fotometrycznych może być stosowany do oceny czasu przełączenia.</w:t>
      </w:r>
    </w:p>
    <w:p w14:paraId="666B16F9" w14:textId="77777777" w:rsidR="000B1D95" w:rsidRPr="009E064B" w:rsidRDefault="000B1D95" w:rsidP="00B06A9A">
      <w:pPr>
        <w:tabs>
          <w:tab w:val="left" w:pos="1134"/>
        </w:tabs>
        <w:autoSpaceDE w:val="0"/>
        <w:autoSpaceDN w:val="0"/>
        <w:adjustRightInd w:val="0"/>
        <w:ind w:left="1134" w:hanging="425"/>
        <w:rPr>
          <w:bCs/>
          <w:iCs/>
          <w:szCs w:val="20"/>
        </w:rPr>
      </w:pPr>
      <w:r w:rsidRPr="009E064B">
        <w:rPr>
          <w:bCs/>
          <w:iCs/>
          <w:szCs w:val="20"/>
        </w:rPr>
        <w:t xml:space="preserve">(1) </w:t>
      </w:r>
      <w:r w:rsidRPr="009E064B">
        <w:rPr>
          <w:bCs/>
          <w:iCs/>
          <w:szCs w:val="20"/>
        </w:rPr>
        <w:tab/>
        <w:t>Jeśli czas przełączenia jest dłuższy niż 1 sekunda, to można zastosować poniższe działania korekcyjne do zmniejszenia czasu przełączania:</w:t>
      </w:r>
    </w:p>
    <w:p w14:paraId="355D4392" w14:textId="77777777" w:rsidR="000B1D95" w:rsidRPr="009E064B" w:rsidRDefault="000B1D95" w:rsidP="00B06A9A">
      <w:pPr>
        <w:tabs>
          <w:tab w:val="left" w:pos="1701"/>
        </w:tabs>
        <w:autoSpaceDE w:val="0"/>
        <w:autoSpaceDN w:val="0"/>
        <w:adjustRightInd w:val="0"/>
        <w:ind w:left="1560" w:hanging="425"/>
        <w:rPr>
          <w:rFonts w:eastAsia="Times New Roman,Italic" w:cs="Times New Roman,Italic"/>
          <w:iCs/>
          <w:szCs w:val="20"/>
        </w:rPr>
      </w:pPr>
      <w:r w:rsidRPr="009E064B">
        <w:rPr>
          <w:rFonts w:eastAsia="Times New Roman,Italic" w:cs="Times New Roman,Italic"/>
          <w:iCs/>
          <w:szCs w:val="20"/>
        </w:rPr>
        <w:t xml:space="preserve">(i) </w:t>
      </w:r>
      <w:r w:rsidRPr="009E064B">
        <w:rPr>
          <w:rFonts w:eastAsia="Times New Roman,Italic" w:cs="Times New Roman,Italic"/>
          <w:iCs/>
          <w:szCs w:val="20"/>
        </w:rPr>
        <w:tab/>
      </w:r>
      <w:r w:rsidRPr="009E064B">
        <w:rPr>
          <w:bCs/>
          <w:iCs/>
          <w:szCs w:val="20"/>
        </w:rPr>
        <w:t xml:space="preserve">użycie wzmocnionych regulatorów natężenia prądu stałego </w:t>
      </w:r>
      <w:r w:rsidRPr="009E064B">
        <w:rPr>
          <w:rFonts w:eastAsia="Times New Roman,Italic" w:cs="Times New Roman,Italic"/>
          <w:iCs/>
          <w:szCs w:val="20"/>
        </w:rPr>
        <w:t>(CCR</w:t>
      </w:r>
      <w:r w:rsidRPr="009E064B">
        <w:rPr>
          <w:rStyle w:val="Odwoanieprzypisudolnego"/>
          <w:rFonts w:eastAsia="Times New Roman,Italic" w:cs="Times New Roman,Italic"/>
          <w:iCs/>
          <w:szCs w:val="20"/>
        </w:rPr>
        <w:footnoteReference w:id="52"/>
      </w:r>
      <w:r w:rsidRPr="009E064B">
        <w:rPr>
          <w:rFonts w:eastAsia="Times New Roman,Italic" w:cs="Times New Roman,Italic"/>
          <w:iCs/>
          <w:szCs w:val="20"/>
        </w:rPr>
        <w:t>), lub</w:t>
      </w:r>
    </w:p>
    <w:p w14:paraId="55F60E35" w14:textId="29180DAA" w:rsidR="000B1D95" w:rsidRPr="009E064B" w:rsidRDefault="000B1D95" w:rsidP="00B06A9A">
      <w:pPr>
        <w:tabs>
          <w:tab w:val="left" w:pos="1701"/>
        </w:tabs>
        <w:autoSpaceDE w:val="0"/>
        <w:autoSpaceDN w:val="0"/>
        <w:adjustRightInd w:val="0"/>
        <w:ind w:left="1560" w:hanging="425"/>
        <w:rPr>
          <w:rFonts w:eastAsia="Times New Roman,Italic" w:cs="Times New Roman,Italic"/>
          <w:iCs/>
          <w:szCs w:val="20"/>
        </w:rPr>
      </w:pPr>
      <w:r w:rsidRPr="009E064B">
        <w:rPr>
          <w:iCs/>
          <w:szCs w:val="20"/>
        </w:rPr>
        <w:t xml:space="preserve">(ii) </w:t>
      </w:r>
      <w:r w:rsidRPr="009E064B">
        <w:rPr>
          <w:iCs/>
          <w:szCs w:val="20"/>
        </w:rPr>
        <w:tab/>
        <w:t>z</w:t>
      </w:r>
      <w:r w:rsidRPr="009E064B">
        <w:rPr>
          <w:szCs w:val="20"/>
        </w:rPr>
        <w:t xml:space="preserve">astosowanie </w:t>
      </w:r>
      <w:r w:rsidR="00323E9D" w:rsidRPr="00323E9D">
        <w:rPr>
          <w:szCs w:val="20"/>
        </w:rPr>
        <w:t>awaryjnego źródło zasilania</w:t>
      </w:r>
      <w:r w:rsidRPr="009E064B">
        <w:rPr>
          <w:szCs w:val="20"/>
        </w:rPr>
        <w:t xml:space="preserve"> </w:t>
      </w:r>
      <w:r w:rsidRPr="009E064B">
        <w:rPr>
          <w:rFonts w:eastAsia="Times New Roman,Italic" w:cs="Times New Roman,Italic"/>
          <w:iCs/>
          <w:szCs w:val="20"/>
        </w:rPr>
        <w:t>(UPS</w:t>
      </w:r>
      <w:r w:rsidRPr="009E064B">
        <w:rPr>
          <w:rStyle w:val="Odwoanieprzypisudolnego"/>
          <w:rFonts w:eastAsia="Times New Roman,Italic" w:cs="Times New Roman,Italic"/>
          <w:iCs/>
          <w:szCs w:val="20"/>
        </w:rPr>
        <w:footnoteReference w:id="53"/>
      </w:r>
      <w:r w:rsidRPr="009E064B">
        <w:rPr>
          <w:rFonts w:eastAsia="Times New Roman,Italic" w:cs="Times New Roman,Italic"/>
          <w:iCs/>
          <w:szCs w:val="20"/>
        </w:rPr>
        <w:t>).</w:t>
      </w:r>
    </w:p>
    <w:p w14:paraId="5B8BDCBF" w14:textId="77777777" w:rsidR="000B1D95" w:rsidRPr="009E064B" w:rsidRDefault="000B1D95" w:rsidP="00B06A9A">
      <w:pPr>
        <w:tabs>
          <w:tab w:val="left" w:pos="1134"/>
        </w:tabs>
        <w:autoSpaceDE w:val="0"/>
        <w:autoSpaceDN w:val="0"/>
        <w:adjustRightInd w:val="0"/>
        <w:ind w:left="1134" w:hanging="425"/>
        <w:rPr>
          <w:bCs/>
          <w:iCs/>
          <w:szCs w:val="20"/>
        </w:rPr>
      </w:pPr>
      <w:r w:rsidRPr="009E064B">
        <w:rPr>
          <w:bCs/>
          <w:iCs/>
          <w:szCs w:val="20"/>
        </w:rPr>
        <w:t>(2)</w:t>
      </w:r>
      <w:r w:rsidRPr="009E064B">
        <w:rPr>
          <w:bCs/>
          <w:iCs/>
          <w:szCs w:val="20"/>
        </w:rPr>
        <w:tab/>
        <w:t>Jeśli fotometryczny czas przełączania wynosi 1 sekundę lub mniej, to zaleca się dokonanie analizy systemu zasilania elektrycznego, aby dowiedzieć się jaki jest równoważny elektryczny czas przełączania.</w:t>
      </w:r>
    </w:p>
    <w:p w14:paraId="1FA06EE5" w14:textId="77777777" w:rsidR="000B1D95" w:rsidRPr="009E064B" w:rsidRDefault="000B1D95" w:rsidP="00B06A9A">
      <w:pPr>
        <w:tabs>
          <w:tab w:val="left" w:pos="567"/>
        </w:tabs>
        <w:autoSpaceDE w:val="0"/>
        <w:autoSpaceDN w:val="0"/>
        <w:adjustRightInd w:val="0"/>
        <w:ind w:left="567" w:hanging="567"/>
        <w:rPr>
          <w:rFonts w:cs="Times New Roman,BoldItalic"/>
          <w:bCs/>
          <w:iCs/>
          <w:szCs w:val="20"/>
        </w:rPr>
      </w:pPr>
      <w:r w:rsidRPr="009E064B">
        <w:rPr>
          <w:rFonts w:cs="Times New Roman,BoldItalic"/>
          <w:bCs/>
          <w:iCs/>
          <w:szCs w:val="20"/>
        </w:rPr>
        <w:t>(e)</w:t>
      </w:r>
      <w:r w:rsidRPr="009E064B">
        <w:rPr>
          <w:rFonts w:cs="Times New Roman,BoldItalic"/>
          <w:bCs/>
          <w:iCs/>
          <w:szCs w:val="20"/>
        </w:rPr>
        <w:tab/>
        <w:t>W ramach okresowego pomiaru czasu przełączania, może być ustanowiony pomiar równoważnego elektrycznego czasu przełączania w punkcie zasilania naziemnych świateł lotniczych (AGL</w:t>
      </w:r>
      <w:r w:rsidRPr="009E064B">
        <w:rPr>
          <w:rStyle w:val="Odwoanieprzypisudolnego"/>
          <w:rFonts w:cs="Times New Roman,BoldItalic"/>
          <w:bCs/>
          <w:iCs/>
          <w:szCs w:val="20"/>
        </w:rPr>
        <w:footnoteReference w:id="54"/>
      </w:r>
      <w:r w:rsidRPr="009E064B">
        <w:rPr>
          <w:rFonts w:cs="Times New Roman,BoldItalic"/>
          <w:bCs/>
          <w:iCs/>
          <w:szCs w:val="20"/>
        </w:rPr>
        <w:t>).</w:t>
      </w:r>
    </w:p>
    <w:p w14:paraId="68CB030F"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64DCFA7" w14:textId="6D05FAA3" w:rsidR="00C36D76" w:rsidRPr="009E064B" w:rsidRDefault="004E2C6D" w:rsidP="00B06A9A">
      <w:pPr>
        <w:pStyle w:val="Nagwek4"/>
        <w:rPr>
          <w:color w:val="auto"/>
        </w:rPr>
      </w:pPr>
      <w:bookmarkStart w:id="1801" w:name="_CS_ADR-DSN.S.880_"/>
      <w:bookmarkStart w:id="1802" w:name="_Toc482886734"/>
      <w:bookmarkStart w:id="1803" w:name="_Toc12533304"/>
      <w:bookmarkEnd w:id="1801"/>
      <w:r w:rsidRPr="009E064B">
        <w:rPr>
          <w:color w:val="auto"/>
        </w:rPr>
        <w:t xml:space="preserve">CS ADR-DSN.S.880     </w:t>
      </w:r>
      <w:r w:rsidR="00C36D76" w:rsidRPr="009E064B">
        <w:rPr>
          <w:color w:val="auto"/>
        </w:rPr>
        <w:t>Systemy zasilania elektrycznego</w:t>
      </w:r>
      <w:bookmarkEnd w:id="1802"/>
      <w:bookmarkEnd w:id="1803"/>
    </w:p>
    <w:p w14:paraId="24EF9706" w14:textId="425AC798" w:rsidR="004E2C6D" w:rsidRPr="009E064B" w:rsidRDefault="00D63D4F" w:rsidP="004E2C6D">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223FAA1" w14:textId="166DD0CE"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W przypadku drogi startowej z podejściem precyzyjnym, należy zapewnić rezerwowe źródło zasilania, spełniające wymagania określone w Tabeli S-1, dla odpowiedniej kategorii podejścia. Połączenia zasilania elektrycznego do tych urządzeń, które wymagają rezerwowego źródła zasilania, powinny być wykonane w taki sposób, aby urządzenia te były automatycznie podłączone do rezerwowego źródła zasilania w przypadku awarii podstawowego źródła zasilania.</w:t>
      </w:r>
    </w:p>
    <w:p w14:paraId="6952DED5"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W przypadku drogi startowej przeznaczonej wyłącznie do startów, wykorzystywanej w warunkach widzialności wzdłuż drogi startowej mniejszej niż 800 m, należy zapewnić rezerwowe źródło zasilania, które spełnia wymagania określone w Tabeli S-1.</w:t>
      </w:r>
    </w:p>
    <w:p w14:paraId="2B3B8465" w14:textId="671A747B" w:rsidR="00C36D76" w:rsidRPr="009E064B" w:rsidRDefault="00C36D76" w:rsidP="00B06A9A">
      <w:pPr>
        <w:tabs>
          <w:tab w:val="left" w:pos="567"/>
        </w:tabs>
        <w:ind w:left="567" w:hanging="567"/>
        <w:rPr>
          <w:szCs w:val="20"/>
        </w:rPr>
      </w:pPr>
      <w:r w:rsidRPr="009E064B">
        <w:rPr>
          <w:szCs w:val="20"/>
        </w:rPr>
        <w:t xml:space="preserve">(c) </w:t>
      </w:r>
      <w:r w:rsidRPr="009E064B">
        <w:rPr>
          <w:szCs w:val="20"/>
        </w:rPr>
        <w:tab/>
        <w:t>Lotnisko, którego główna droga startowa jest drogą startową z podejściem nieprecyzyjnym, powinno posiadać rezerwowe źródło zasilania, które spełnia war</w:t>
      </w:r>
      <w:r w:rsidR="004D153B" w:rsidRPr="009E064B">
        <w:rPr>
          <w:szCs w:val="20"/>
        </w:rPr>
        <w:t>unki określone w Tabeli S-1, z </w:t>
      </w:r>
      <w:r w:rsidRPr="009E064B">
        <w:rPr>
          <w:szCs w:val="20"/>
        </w:rPr>
        <w:t>wyjątkiem, że rezerwowe źródło zasilania dla pomocy wzrokowych nie musi być zapewnione dla więcej niż jednej drogi startowej z podejściem nieprecyzyjnym.</w:t>
      </w:r>
    </w:p>
    <w:p w14:paraId="2552E990"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W przypadku awarii podstawowego źródła zasilania, następujące urządzenia na lotnisku powinny mieć zapewnione zasilanie z rezerwowego źródła zasilania:</w:t>
      </w:r>
    </w:p>
    <w:p w14:paraId="78D70F1A"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lampa sygnałowa oraz minimalne oświetlenie umożliwiające wykonywanie zadań przez personel służb ruchu lotniczego;</w:t>
      </w:r>
    </w:p>
    <w:p w14:paraId="6D6B57D2"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światła przeszkodowe, konieczne do zapewnienia bezpieczeństwa operacji statków powietrznych;</w:t>
      </w:r>
    </w:p>
    <w:p w14:paraId="4A150B66" w14:textId="6546F1A9"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światła podejścia, drogi startowej i dróg kołowania, zgod</w:t>
      </w:r>
      <w:r w:rsidR="00561DCC" w:rsidRPr="009E064B">
        <w:rPr>
          <w:szCs w:val="20"/>
        </w:rPr>
        <w:t xml:space="preserve">nie z wymaganiami </w:t>
      </w:r>
      <w:r w:rsidR="00AA1B59" w:rsidRPr="009E064B">
        <w:rPr>
          <w:szCs w:val="20"/>
        </w:rPr>
        <w:t>specyfikacji</w:t>
      </w:r>
      <w:r w:rsidR="00AA1B59" w:rsidRPr="009E064B">
        <w:rPr>
          <w:szCs w:val="20"/>
        </w:rPr>
        <w:br/>
      </w:r>
      <w:r w:rsidR="00561DCC" w:rsidRPr="009E064B">
        <w:rPr>
          <w:szCs w:val="20"/>
        </w:rPr>
        <w:t xml:space="preserve">od </w:t>
      </w:r>
      <w:hyperlink w:anchor="_CS_ADR-DSN.M.625_" w:history="1">
        <w:r w:rsidR="00561DCC" w:rsidRPr="009E064B">
          <w:rPr>
            <w:rStyle w:val="Hipercze"/>
            <w:szCs w:val="20"/>
          </w:rPr>
          <w:t>CS </w:t>
        </w:r>
        <w:r w:rsidRPr="009E064B">
          <w:rPr>
            <w:rStyle w:val="Hipercze"/>
            <w:szCs w:val="20"/>
          </w:rPr>
          <w:t>ADR-DSN</w:t>
        </w:r>
        <w:r w:rsidR="00561DCC" w:rsidRPr="009E064B">
          <w:rPr>
            <w:rStyle w:val="Hipercze"/>
            <w:szCs w:val="20"/>
          </w:rPr>
          <w:t>.M.625</w:t>
        </w:r>
      </w:hyperlink>
      <w:r w:rsidR="00561DCC" w:rsidRPr="009E064B">
        <w:rPr>
          <w:szCs w:val="20"/>
        </w:rPr>
        <w:t xml:space="preserve"> do </w:t>
      </w:r>
      <w:hyperlink w:anchor="_CS_ADR-DSN.M.745_" w:history="1">
        <w:r w:rsidR="00561DCC" w:rsidRPr="009E064B">
          <w:rPr>
            <w:rStyle w:val="Hipercze"/>
            <w:szCs w:val="20"/>
          </w:rPr>
          <w:t>CS </w:t>
        </w:r>
        <w:r w:rsidRPr="009E064B">
          <w:rPr>
            <w:rStyle w:val="Hipercze"/>
            <w:szCs w:val="20"/>
          </w:rPr>
          <w:t>ADR-DSN.M.745</w:t>
        </w:r>
      </w:hyperlink>
      <w:r w:rsidRPr="009E064B">
        <w:rPr>
          <w:szCs w:val="20"/>
        </w:rPr>
        <w:t>;</w:t>
      </w:r>
    </w:p>
    <w:p w14:paraId="2463287D" w14:textId="77777777" w:rsidR="00C36D76" w:rsidRPr="009E064B" w:rsidRDefault="00C36D76" w:rsidP="00B06A9A">
      <w:pPr>
        <w:tabs>
          <w:tab w:val="left" w:pos="1134"/>
        </w:tabs>
        <w:ind w:left="1134" w:hanging="567"/>
        <w:rPr>
          <w:szCs w:val="20"/>
        </w:rPr>
      </w:pPr>
      <w:r w:rsidRPr="009E064B">
        <w:rPr>
          <w:rFonts w:cs="Times New Roman"/>
          <w:szCs w:val="20"/>
        </w:rPr>
        <w:t xml:space="preserve">(4) </w:t>
      </w:r>
      <w:r w:rsidRPr="009E064B">
        <w:rPr>
          <w:rFonts w:cs="Times New Roman"/>
          <w:szCs w:val="20"/>
        </w:rPr>
        <w:tab/>
      </w:r>
      <w:r w:rsidRPr="009E064B">
        <w:rPr>
          <w:szCs w:val="20"/>
        </w:rPr>
        <w:t>urządzenia meteorologiczne;</w:t>
      </w:r>
    </w:p>
    <w:p w14:paraId="0B15147C" w14:textId="5B09CB77" w:rsidR="00C36D76" w:rsidRPr="009E064B" w:rsidRDefault="00C36D76" w:rsidP="00B06A9A">
      <w:pPr>
        <w:tabs>
          <w:tab w:val="left" w:pos="1134"/>
        </w:tabs>
        <w:ind w:left="1134" w:hanging="567"/>
        <w:rPr>
          <w:szCs w:val="20"/>
        </w:rPr>
      </w:pPr>
      <w:r w:rsidRPr="009E064B">
        <w:rPr>
          <w:rFonts w:cs="Times New Roman"/>
          <w:szCs w:val="20"/>
        </w:rPr>
        <w:t xml:space="preserve">(5) </w:t>
      </w:r>
      <w:r w:rsidRPr="009E064B">
        <w:rPr>
          <w:rFonts w:cs="Times New Roman"/>
          <w:szCs w:val="20"/>
        </w:rPr>
        <w:tab/>
      </w:r>
      <w:r w:rsidRPr="009E064B">
        <w:rPr>
          <w:szCs w:val="20"/>
        </w:rPr>
        <w:t>niezbędne wyposażenie i urządzenia dla stanowisk postoju statków powietrznych, jeżeli są z</w:t>
      </w:r>
      <w:r w:rsidR="00561DCC" w:rsidRPr="009E064B">
        <w:rPr>
          <w:szCs w:val="20"/>
        </w:rPr>
        <w:t xml:space="preserve">apewniane, zgodnie z </w:t>
      </w:r>
      <w:hyperlink w:anchor="_CS_ADR-DSN.M.750_" w:history="1">
        <w:r w:rsidR="00561DCC" w:rsidRPr="009E064B">
          <w:rPr>
            <w:rStyle w:val="Hipercze"/>
            <w:szCs w:val="20"/>
          </w:rPr>
          <w:t>CS </w:t>
        </w:r>
        <w:r w:rsidRPr="009E064B">
          <w:rPr>
            <w:rStyle w:val="Hipercze"/>
            <w:szCs w:val="20"/>
          </w:rPr>
          <w:t>ADR-DSN.M.750</w:t>
        </w:r>
      </w:hyperlink>
      <w:r w:rsidR="00561DCC" w:rsidRPr="009E064B">
        <w:rPr>
          <w:szCs w:val="20"/>
        </w:rPr>
        <w:t xml:space="preserve"> lit. (a) i </w:t>
      </w:r>
      <w:hyperlink w:anchor="_CS_ADR-DSN.M.755_" w:history="1">
        <w:r w:rsidR="00561DCC" w:rsidRPr="009E064B">
          <w:rPr>
            <w:rStyle w:val="Hipercze"/>
            <w:szCs w:val="20"/>
          </w:rPr>
          <w:t>CS </w:t>
        </w:r>
        <w:r w:rsidRPr="009E064B">
          <w:rPr>
            <w:rStyle w:val="Hipercze"/>
            <w:szCs w:val="20"/>
          </w:rPr>
          <w:t>ADR-DSN.M.755</w:t>
        </w:r>
      </w:hyperlink>
      <w:r w:rsidR="00561DCC" w:rsidRPr="009E064B">
        <w:rPr>
          <w:szCs w:val="20"/>
        </w:rPr>
        <w:t xml:space="preserve"> lit. </w:t>
      </w:r>
      <w:r w:rsidRPr="009E064B">
        <w:rPr>
          <w:szCs w:val="20"/>
        </w:rPr>
        <w:t>(a); oraz</w:t>
      </w:r>
    </w:p>
    <w:p w14:paraId="42BFA10E" w14:textId="77777777" w:rsidR="00C36D76" w:rsidRPr="009E064B" w:rsidRDefault="00C36D76" w:rsidP="00B06A9A">
      <w:pPr>
        <w:tabs>
          <w:tab w:val="left" w:pos="1134"/>
        </w:tabs>
        <w:ind w:left="1134" w:hanging="567"/>
        <w:rPr>
          <w:szCs w:val="20"/>
        </w:rPr>
      </w:pPr>
      <w:r w:rsidRPr="009E064B">
        <w:rPr>
          <w:rFonts w:cs="Times New Roman"/>
          <w:szCs w:val="20"/>
        </w:rPr>
        <w:t xml:space="preserve">(6) </w:t>
      </w:r>
      <w:r w:rsidRPr="009E064B">
        <w:rPr>
          <w:rFonts w:cs="Times New Roman"/>
          <w:szCs w:val="20"/>
        </w:rPr>
        <w:tab/>
      </w:r>
      <w:r w:rsidRPr="009E064B">
        <w:rPr>
          <w:szCs w:val="20"/>
        </w:rPr>
        <w:t xml:space="preserve">oświetlenie tej części płyty </w:t>
      </w:r>
      <w:r w:rsidRPr="009E064B">
        <w:rPr>
          <w:rFonts w:cs="TimesNewRomanPS-ItalicMT"/>
          <w:iCs/>
          <w:szCs w:val="20"/>
        </w:rPr>
        <w:t>postojowej</w:t>
      </w:r>
      <w:r w:rsidRPr="009E064B">
        <w:rPr>
          <w:szCs w:val="20"/>
        </w:rPr>
        <w:t>, po której mogą chodzić pasażerowie.</w:t>
      </w:r>
    </w:p>
    <w:p w14:paraId="4C925EEA" w14:textId="77777777" w:rsidR="00C36D76" w:rsidRPr="009E064B" w:rsidRDefault="00C36D76" w:rsidP="00B06A9A">
      <w:pPr>
        <w:tabs>
          <w:tab w:val="left" w:pos="1134"/>
        </w:tabs>
        <w:ind w:left="1134" w:hanging="567"/>
        <w:rPr>
          <w:szCs w:val="20"/>
        </w:rPr>
      </w:pPr>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firstRow="1" w:lastRow="1" w:firstColumn="1" w:lastColumn="1" w:noHBand="0" w:noVBand="0"/>
      </w:tblPr>
      <w:tblGrid>
        <w:gridCol w:w="2741"/>
        <w:gridCol w:w="3869"/>
        <w:gridCol w:w="2435"/>
      </w:tblGrid>
      <w:tr w:rsidR="00AE1280" w:rsidRPr="009E064B" w14:paraId="217D619E" w14:textId="77777777" w:rsidTr="00E300A0">
        <w:trPr>
          <w:trHeight w:val="285"/>
          <w:jc w:val="center"/>
        </w:trPr>
        <w:tc>
          <w:tcPr>
            <w:tcW w:w="1515" w:type="pct"/>
            <w:tcMar>
              <w:top w:w="57" w:type="dxa"/>
              <w:left w:w="57" w:type="dxa"/>
              <w:bottom w:w="57" w:type="dxa"/>
              <w:right w:w="57" w:type="dxa"/>
            </w:tcMar>
            <w:vAlign w:val="center"/>
          </w:tcPr>
          <w:p w14:paraId="7BDDFBB1" w14:textId="0D855D31" w:rsidR="00AE1280" w:rsidRPr="009E064B" w:rsidRDefault="00AE1280" w:rsidP="00AE1280">
            <w:pPr>
              <w:tabs>
                <w:tab w:val="left" w:pos="0"/>
              </w:tabs>
              <w:spacing w:after="0"/>
              <w:ind w:left="57"/>
              <w:jc w:val="center"/>
              <w:rPr>
                <w:rFonts w:asciiTheme="minorHAnsi" w:hAnsiTheme="minorHAnsi" w:cstheme="minorHAnsi"/>
                <w:sz w:val="20"/>
                <w:szCs w:val="20"/>
              </w:rPr>
            </w:pPr>
            <w:r w:rsidRPr="009E064B">
              <w:rPr>
                <w:rFonts w:asciiTheme="minorHAnsi" w:hAnsiTheme="minorHAnsi" w:cstheme="minorHAnsi"/>
                <w:b/>
                <w:sz w:val="20"/>
                <w:szCs w:val="20"/>
              </w:rPr>
              <w:t>Droga startowa</w:t>
            </w:r>
          </w:p>
        </w:tc>
        <w:tc>
          <w:tcPr>
            <w:tcW w:w="2139" w:type="pct"/>
            <w:tcMar>
              <w:top w:w="85" w:type="dxa"/>
              <w:left w:w="113" w:type="dxa"/>
              <w:bottom w:w="85" w:type="dxa"/>
              <w:right w:w="57" w:type="dxa"/>
            </w:tcMar>
            <w:vAlign w:val="center"/>
          </w:tcPr>
          <w:p w14:paraId="0E0DA3F9" w14:textId="3B3DEED0"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b/>
                <w:sz w:val="20"/>
                <w:szCs w:val="20"/>
              </w:rPr>
              <w:t>Pomoce świetlne wymagające zasilania</w:t>
            </w:r>
          </w:p>
        </w:tc>
        <w:tc>
          <w:tcPr>
            <w:tcW w:w="1346" w:type="pct"/>
            <w:tcMar>
              <w:top w:w="85" w:type="dxa"/>
              <w:left w:w="113" w:type="dxa"/>
              <w:bottom w:w="85" w:type="dxa"/>
              <w:right w:w="57" w:type="dxa"/>
            </w:tcMar>
            <w:vAlign w:val="center"/>
          </w:tcPr>
          <w:p w14:paraId="3C5845DF" w14:textId="1ECCD93E" w:rsidR="00AE1280" w:rsidRPr="009E064B" w:rsidRDefault="00AE1280" w:rsidP="00AE1280">
            <w:pPr>
              <w:tabs>
                <w:tab w:val="left" w:pos="0"/>
              </w:tabs>
              <w:spacing w:after="40"/>
              <w:jc w:val="center"/>
              <w:rPr>
                <w:rFonts w:asciiTheme="minorHAnsi" w:hAnsiTheme="minorHAnsi" w:cstheme="minorHAnsi"/>
                <w:sz w:val="20"/>
                <w:szCs w:val="20"/>
              </w:rPr>
            </w:pPr>
            <w:r w:rsidRPr="009E064B">
              <w:rPr>
                <w:rFonts w:asciiTheme="minorHAnsi" w:hAnsiTheme="minorHAnsi" w:cstheme="minorHAnsi"/>
                <w:b/>
                <w:sz w:val="20"/>
                <w:szCs w:val="20"/>
              </w:rPr>
              <w:t>Maksymalny czas przełączenia</w:t>
            </w:r>
          </w:p>
        </w:tc>
      </w:tr>
      <w:tr w:rsidR="00AE1280" w:rsidRPr="009E064B" w14:paraId="39C2D196" w14:textId="77777777" w:rsidTr="00E300A0">
        <w:trPr>
          <w:trHeight w:val="285"/>
          <w:jc w:val="center"/>
        </w:trPr>
        <w:tc>
          <w:tcPr>
            <w:tcW w:w="1515" w:type="pct"/>
            <w:vMerge w:val="restart"/>
            <w:tcMar>
              <w:top w:w="57" w:type="dxa"/>
              <w:left w:w="57" w:type="dxa"/>
              <w:bottom w:w="57" w:type="dxa"/>
              <w:right w:w="57" w:type="dxa"/>
            </w:tcMar>
            <w:vAlign w:val="center"/>
          </w:tcPr>
          <w:p w14:paraId="588B2B86" w14:textId="77777777" w:rsidR="00AE1280" w:rsidRPr="009E064B" w:rsidRDefault="00AE1280" w:rsidP="00AE1280">
            <w:pPr>
              <w:tabs>
                <w:tab w:val="left" w:pos="0"/>
              </w:tabs>
              <w:spacing w:after="0"/>
              <w:ind w:left="57"/>
              <w:jc w:val="left"/>
              <w:rPr>
                <w:rFonts w:asciiTheme="minorHAnsi" w:hAnsiTheme="minorHAnsi" w:cstheme="minorHAnsi"/>
                <w:sz w:val="20"/>
                <w:szCs w:val="20"/>
              </w:rPr>
            </w:pPr>
            <w:r w:rsidRPr="009E064B">
              <w:rPr>
                <w:rFonts w:asciiTheme="minorHAnsi" w:hAnsiTheme="minorHAnsi" w:cstheme="minorHAnsi"/>
                <w:sz w:val="20"/>
                <w:szCs w:val="20"/>
              </w:rPr>
              <w:t>Nieprzyrządowa</w:t>
            </w:r>
          </w:p>
        </w:tc>
        <w:tc>
          <w:tcPr>
            <w:tcW w:w="2139" w:type="pct"/>
            <w:tcMar>
              <w:top w:w="85" w:type="dxa"/>
              <w:left w:w="113" w:type="dxa"/>
              <w:bottom w:w="85" w:type="dxa"/>
              <w:right w:w="57" w:type="dxa"/>
            </w:tcMar>
            <w:vAlign w:val="center"/>
          </w:tcPr>
          <w:p w14:paraId="6E118D37"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Wzrokowy wskaźnik ścieżki podejścia </w:t>
            </w:r>
            <w:r w:rsidRPr="009E064B">
              <w:rPr>
                <w:rFonts w:asciiTheme="minorHAnsi" w:hAnsiTheme="minorHAnsi" w:cstheme="minorHAnsi"/>
                <w:sz w:val="20"/>
                <w:szCs w:val="20"/>
                <w:vertAlign w:val="superscript"/>
              </w:rPr>
              <w:t>a</w:t>
            </w:r>
          </w:p>
        </w:tc>
        <w:tc>
          <w:tcPr>
            <w:tcW w:w="1346" w:type="pct"/>
            <w:vMerge w:val="restart"/>
            <w:tcMar>
              <w:top w:w="85" w:type="dxa"/>
              <w:left w:w="113" w:type="dxa"/>
              <w:bottom w:w="85" w:type="dxa"/>
              <w:right w:w="57" w:type="dxa"/>
            </w:tcMar>
            <w:vAlign w:val="center"/>
          </w:tcPr>
          <w:p w14:paraId="32637982" w14:textId="77777777" w:rsidR="00AE1280" w:rsidRPr="00932998" w:rsidRDefault="00AE1280" w:rsidP="00AE1280">
            <w:pPr>
              <w:tabs>
                <w:tab w:val="left" w:pos="0"/>
              </w:tabs>
              <w:spacing w:after="40"/>
              <w:jc w:val="left"/>
              <w:rPr>
                <w:rFonts w:asciiTheme="minorHAnsi" w:hAnsiTheme="minorHAnsi" w:cstheme="minorHAnsi"/>
                <w:sz w:val="20"/>
                <w:szCs w:val="20"/>
                <w:lang w:val="en-GB"/>
              </w:rPr>
            </w:pPr>
            <w:r w:rsidRPr="00932998">
              <w:rPr>
                <w:rFonts w:asciiTheme="minorHAnsi" w:hAnsiTheme="minorHAnsi" w:cstheme="minorHAnsi"/>
                <w:sz w:val="20"/>
                <w:szCs w:val="20"/>
                <w:lang w:val="en-GB"/>
              </w:rPr>
              <w:t xml:space="preserve">Patrz: </w:t>
            </w:r>
          </w:p>
          <w:p w14:paraId="2D3933E3" w14:textId="10CF5D91" w:rsidR="00AE1280" w:rsidRPr="00932998" w:rsidRDefault="00870777" w:rsidP="00AE1280">
            <w:pPr>
              <w:tabs>
                <w:tab w:val="left" w:pos="0"/>
              </w:tabs>
              <w:spacing w:after="40"/>
              <w:jc w:val="left"/>
              <w:rPr>
                <w:rFonts w:asciiTheme="minorHAnsi" w:hAnsiTheme="minorHAnsi" w:cstheme="minorHAnsi"/>
                <w:sz w:val="20"/>
                <w:szCs w:val="20"/>
                <w:lang w:val="en-GB"/>
              </w:rPr>
            </w:pPr>
            <w:hyperlink w:anchor="_CS_ADR-DSN.S.875_" w:history="1">
              <w:r w:rsidR="00AE1280" w:rsidRPr="00FE5FBD">
                <w:rPr>
                  <w:rStyle w:val="Hipercze"/>
                  <w:rFonts w:asciiTheme="minorHAnsi" w:hAnsiTheme="minorHAnsi" w:cstheme="minorHAnsi"/>
                  <w:color w:val="0000FF"/>
                  <w:sz w:val="20"/>
                  <w:szCs w:val="20"/>
                  <w:lang w:val="en-GB"/>
                </w:rPr>
                <w:t>CS ADR-DSN.</w:t>
              </w:r>
              <w:r w:rsidR="00E70319" w:rsidRPr="00FE5FBD">
                <w:rPr>
                  <w:rStyle w:val="Hipercze"/>
                  <w:rFonts w:asciiTheme="minorHAnsi" w:hAnsiTheme="minorHAnsi" w:cstheme="minorHAnsi"/>
                  <w:color w:val="0000FF"/>
                  <w:sz w:val="20"/>
                  <w:szCs w:val="20"/>
                  <w:lang w:val="en-GB"/>
                </w:rPr>
                <w:t>S</w:t>
              </w:r>
              <w:r w:rsidR="00AE1280" w:rsidRPr="00FE5FBD">
                <w:rPr>
                  <w:rStyle w:val="Hipercze"/>
                  <w:rFonts w:asciiTheme="minorHAnsi" w:hAnsiTheme="minorHAnsi" w:cstheme="minorHAnsi"/>
                  <w:color w:val="0000FF"/>
                  <w:sz w:val="20"/>
                  <w:szCs w:val="20"/>
                  <w:lang w:val="en-GB"/>
                </w:rPr>
                <w:t>.875</w:t>
              </w:r>
            </w:hyperlink>
            <w:r w:rsidR="00AE1280" w:rsidRPr="00932998">
              <w:rPr>
                <w:rFonts w:asciiTheme="minorHAnsi" w:hAnsiTheme="minorHAnsi" w:cstheme="minorHAnsi"/>
                <w:sz w:val="20"/>
                <w:szCs w:val="20"/>
                <w:lang w:val="en-GB"/>
              </w:rPr>
              <w:t xml:space="preserve"> lit. (d), i</w:t>
            </w:r>
          </w:p>
          <w:p w14:paraId="06886622" w14:textId="213EC24D" w:rsidR="00AE1280" w:rsidRPr="009E064B" w:rsidRDefault="00870777" w:rsidP="00AE1280">
            <w:pPr>
              <w:tabs>
                <w:tab w:val="left" w:pos="0"/>
              </w:tabs>
              <w:spacing w:after="40"/>
              <w:jc w:val="left"/>
              <w:rPr>
                <w:rFonts w:asciiTheme="minorHAnsi" w:hAnsiTheme="minorHAnsi" w:cstheme="minorHAnsi"/>
                <w:sz w:val="20"/>
                <w:szCs w:val="20"/>
              </w:rPr>
            </w:pPr>
            <w:hyperlink w:anchor="_CS_ADR-DSN.S.880_" w:history="1">
              <w:r w:rsidR="00AE1280" w:rsidRPr="00FE5FBD">
                <w:rPr>
                  <w:rStyle w:val="Hipercze"/>
                  <w:rFonts w:asciiTheme="minorHAnsi" w:hAnsiTheme="minorHAnsi" w:cstheme="minorHAnsi"/>
                  <w:color w:val="0000FF"/>
                  <w:sz w:val="20"/>
                  <w:szCs w:val="20"/>
                  <w:lang w:val="en-GB"/>
                </w:rPr>
                <w:t>CS ADR-DSN.</w:t>
              </w:r>
              <w:r w:rsidR="00E70319" w:rsidRPr="00FE5FBD">
                <w:rPr>
                  <w:rStyle w:val="Hipercze"/>
                  <w:rFonts w:asciiTheme="minorHAnsi" w:hAnsiTheme="minorHAnsi" w:cstheme="minorHAnsi"/>
                  <w:color w:val="0000FF"/>
                  <w:sz w:val="20"/>
                  <w:szCs w:val="20"/>
                  <w:lang w:val="en-GB"/>
                </w:rPr>
                <w:t>S</w:t>
              </w:r>
              <w:r w:rsidR="00AE1280" w:rsidRPr="00FE5FBD">
                <w:rPr>
                  <w:rStyle w:val="Hipercze"/>
                  <w:rFonts w:asciiTheme="minorHAnsi" w:hAnsiTheme="minorHAnsi" w:cstheme="minorHAnsi"/>
                  <w:color w:val="0000FF"/>
                  <w:sz w:val="20"/>
                  <w:szCs w:val="20"/>
                  <w:lang w:val="en-GB"/>
                </w:rPr>
                <w:t>.880</w:t>
              </w:r>
            </w:hyperlink>
            <w:r w:rsidR="00AE1280" w:rsidRPr="00932998">
              <w:rPr>
                <w:rFonts w:asciiTheme="minorHAnsi" w:hAnsiTheme="minorHAnsi" w:cstheme="minorHAnsi"/>
                <w:sz w:val="20"/>
                <w:szCs w:val="20"/>
                <w:lang w:val="en-GB"/>
              </w:rPr>
              <w:t xml:space="preserve"> lit. </w:t>
            </w:r>
            <w:r w:rsidR="00AE1280" w:rsidRPr="009E064B">
              <w:rPr>
                <w:rFonts w:asciiTheme="minorHAnsi" w:hAnsiTheme="minorHAnsi" w:cstheme="minorHAnsi"/>
                <w:sz w:val="20"/>
                <w:szCs w:val="20"/>
              </w:rPr>
              <w:t>(d)</w:t>
            </w:r>
          </w:p>
        </w:tc>
      </w:tr>
      <w:tr w:rsidR="00AE1280" w:rsidRPr="009E064B" w14:paraId="596FFD30" w14:textId="77777777" w:rsidTr="00E300A0">
        <w:trPr>
          <w:trHeight w:val="285"/>
          <w:jc w:val="center"/>
        </w:trPr>
        <w:tc>
          <w:tcPr>
            <w:tcW w:w="1515" w:type="pct"/>
            <w:vMerge/>
            <w:tcMar>
              <w:top w:w="57" w:type="dxa"/>
              <w:left w:w="57" w:type="dxa"/>
              <w:bottom w:w="57" w:type="dxa"/>
              <w:right w:w="57" w:type="dxa"/>
            </w:tcMar>
            <w:vAlign w:val="center"/>
          </w:tcPr>
          <w:p w14:paraId="01EF39EB"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18D985A"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krawędzi drogi startowej </w:t>
            </w:r>
            <w:r w:rsidRPr="009E064B">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401AA670" w14:textId="77777777" w:rsidR="00AE1280" w:rsidRPr="009E064B" w:rsidRDefault="00AE1280" w:rsidP="00AE1280">
            <w:pPr>
              <w:tabs>
                <w:tab w:val="left" w:pos="0"/>
              </w:tabs>
              <w:spacing w:after="0"/>
              <w:rPr>
                <w:rFonts w:asciiTheme="minorHAnsi" w:hAnsiTheme="minorHAnsi" w:cstheme="minorHAnsi"/>
                <w:sz w:val="20"/>
                <w:szCs w:val="20"/>
              </w:rPr>
            </w:pPr>
          </w:p>
        </w:tc>
      </w:tr>
      <w:tr w:rsidR="00AE1280" w:rsidRPr="009E064B" w14:paraId="0B0C2B47" w14:textId="77777777" w:rsidTr="00E300A0">
        <w:trPr>
          <w:trHeight w:val="285"/>
          <w:jc w:val="center"/>
        </w:trPr>
        <w:tc>
          <w:tcPr>
            <w:tcW w:w="1515" w:type="pct"/>
            <w:vMerge/>
            <w:tcMar>
              <w:top w:w="57" w:type="dxa"/>
              <w:left w:w="57" w:type="dxa"/>
              <w:bottom w:w="57" w:type="dxa"/>
              <w:right w:w="57" w:type="dxa"/>
            </w:tcMar>
            <w:vAlign w:val="center"/>
          </w:tcPr>
          <w:p w14:paraId="385106DC"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780F965"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progu drogi startowej </w:t>
            </w:r>
            <w:r w:rsidRPr="009E064B">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49EC5881" w14:textId="77777777" w:rsidR="00AE1280" w:rsidRPr="009E064B" w:rsidRDefault="00AE1280" w:rsidP="00AE1280">
            <w:pPr>
              <w:tabs>
                <w:tab w:val="left" w:pos="0"/>
              </w:tabs>
              <w:spacing w:after="0"/>
              <w:rPr>
                <w:rFonts w:asciiTheme="minorHAnsi" w:hAnsiTheme="minorHAnsi" w:cstheme="minorHAnsi"/>
                <w:sz w:val="20"/>
                <w:szCs w:val="20"/>
              </w:rPr>
            </w:pPr>
          </w:p>
        </w:tc>
      </w:tr>
      <w:tr w:rsidR="00AE1280" w:rsidRPr="009E064B" w14:paraId="2DAB64E7" w14:textId="77777777" w:rsidTr="00E300A0">
        <w:trPr>
          <w:trHeight w:val="285"/>
          <w:jc w:val="center"/>
        </w:trPr>
        <w:tc>
          <w:tcPr>
            <w:tcW w:w="1515" w:type="pct"/>
            <w:vMerge/>
            <w:tcMar>
              <w:top w:w="57" w:type="dxa"/>
              <w:left w:w="57" w:type="dxa"/>
              <w:bottom w:w="57" w:type="dxa"/>
              <w:right w:w="57" w:type="dxa"/>
            </w:tcMar>
            <w:vAlign w:val="center"/>
          </w:tcPr>
          <w:p w14:paraId="6CE4F12C"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6050F89"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 xml:space="preserve">Światła końca drogi startowej </w:t>
            </w:r>
            <w:r w:rsidRPr="009E064B">
              <w:rPr>
                <w:rFonts w:asciiTheme="minorHAnsi" w:hAnsiTheme="minorHAnsi" w:cstheme="minorHAnsi"/>
                <w:sz w:val="20"/>
                <w:szCs w:val="20"/>
                <w:vertAlign w:val="superscript"/>
              </w:rPr>
              <w:t>b</w:t>
            </w:r>
          </w:p>
        </w:tc>
        <w:tc>
          <w:tcPr>
            <w:tcW w:w="1346" w:type="pct"/>
            <w:vMerge/>
            <w:tcMar>
              <w:top w:w="85" w:type="dxa"/>
              <w:left w:w="113" w:type="dxa"/>
              <w:bottom w:w="85" w:type="dxa"/>
              <w:right w:w="57" w:type="dxa"/>
            </w:tcMar>
            <w:vAlign w:val="center"/>
          </w:tcPr>
          <w:p w14:paraId="2B31B9A3" w14:textId="77777777" w:rsidR="00AE1280" w:rsidRPr="009E064B" w:rsidRDefault="00AE1280" w:rsidP="00AE1280">
            <w:pPr>
              <w:tabs>
                <w:tab w:val="left" w:pos="0"/>
              </w:tabs>
              <w:spacing w:after="0"/>
              <w:rPr>
                <w:rFonts w:asciiTheme="minorHAnsi" w:hAnsiTheme="minorHAnsi" w:cstheme="minorHAnsi"/>
                <w:sz w:val="20"/>
                <w:szCs w:val="20"/>
              </w:rPr>
            </w:pPr>
          </w:p>
        </w:tc>
      </w:tr>
      <w:tr w:rsidR="00AE1280" w:rsidRPr="009E064B" w14:paraId="40DA431C" w14:textId="77777777" w:rsidTr="00E300A0">
        <w:trPr>
          <w:trHeight w:val="254"/>
          <w:jc w:val="center"/>
        </w:trPr>
        <w:tc>
          <w:tcPr>
            <w:tcW w:w="1515" w:type="pct"/>
            <w:vMerge/>
            <w:tcMar>
              <w:top w:w="57" w:type="dxa"/>
              <w:left w:w="57" w:type="dxa"/>
              <w:bottom w:w="57" w:type="dxa"/>
              <w:right w:w="57" w:type="dxa"/>
            </w:tcMar>
            <w:vAlign w:val="center"/>
          </w:tcPr>
          <w:p w14:paraId="234ABEB9"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58379A8"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przeszkodowe</w:t>
            </w:r>
            <w:r w:rsidRPr="009E064B">
              <w:rPr>
                <w:rFonts w:asciiTheme="minorHAnsi" w:hAnsiTheme="minorHAnsi" w:cstheme="minorHAnsi"/>
                <w:sz w:val="20"/>
                <w:szCs w:val="20"/>
                <w:vertAlign w:val="superscript"/>
              </w:rPr>
              <w:t xml:space="preserve"> a</w:t>
            </w:r>
          </w:p>
        </w:tc>
        <w:tc>
          <w:tcPr>
            <w:tcW w:w="1346" w:type="pct"/>
            <w:vMerge/>
            <w:tcMar>
              <w:top w:w="85" w:type="dxa"/>
              <w:left w:w="113" w:type="dxa"/>
              <w:bottom w:w="85" w:type="dxa"/>
              <w:right w:w="57" w:type="dxa"/>
            </w:tcMar>
            <w:vAlign w:val="center"/>
          </w:tcPr>
          <w:p w14:paraId="1FDEC939" w14:textId="77777777" w:rsidR="00AE1280" w:rsidRPr="009E064B" w:rsidRDefault="00AE1280" w:rsidP="00AE1280">
            <w:pPr>
              <w:tabs>
                <w:tab w:val="left" w:pos="0"/>
              </w:tabs>
              <w:spacing w:after="0"/>
              <w:rPr>
                <w:rFonts w:asciiTheme="minorHAnsi" w:hAnsiTheme="minorHAnsi" w:cstheme="minorHAnsi"/>
                <w:sz w:val="20"/>
                <w:szCs w:val="20"/>
              </w:rPr>
            </w:pPr>
          </w:p>
        </w:tc>
      </w:tr>
      <w:tr w:rsidR="00AE1280" w:rsidRPr="009E064B" w14:paraId="424C39B4" w14:textId="77777777" w:rsidTr="00E300A0">
        <w:trPr>
          <w:trHeight w:val="285"/>
          <w:jc w:val="center"/>
        </w:trPr>
        <w:tc>
          <w:tcPr>
            <w:tcW w:w="1515" w:type="pct"/>
            <w:vMerge w:val="restart"/>
            <w:tcMar>
              <w:top w:w="57" w:type="dxa"/>
              <w:left w:w="57" w:type="dxa"/>
              <w:bottom w:w="57" w:type="dxa"/>
              <w:right w:w="57" w:type="dxa"/>
            </w:tcMar>
            <w:vAlign w:val="center"/>
          </w:tcPr>
          <w:p w14:paraId="104D53E1" w14:textId="131075CE" w:rsidR="00AE1280" w:rsidRPr="009E064B" w:rsidRDefault="00AE1280" w:rsidP="00AE1280">
            <w:pPr>
              <w:tabs>
                <w:tab w:val="left" w:pos="0"/>
              </w:tabs>
              <w:spacing w:after="0"/>
              <w:ind w:left="57"/>
              <w:jc w:val="left"/>
              <w:rPr>
                <w:rFonts w:asciiTheme="minorHAnsi" w:hAnsiTheme="minorHAnsi" w:cstheme="minorHAnsi"/>
                <w:sz w:val="20"/>
                <w:szCs w:val="20"/>
              </w:rPr>
            </w:pPr>
            <w:r w:rsidRPr="009E064B">
              <w:rPr>
                <w:rFonts w:asciiTheme="minorHAnsi" w:hAnsiTheme="minorHAnsi" w:cstheme="minorHAnsi"/>
                <w:sz w:val="20"/>
                <w:szCs w:val="20"/>
              </w:rPr>
              <w:t xml:space="preserve">Przyrządowa z podejściem </w:t>
            </w:r>
            <w:r w:rsidRPr="009E064B">
              <w:rPr>
                <w:rFonts w:asciiTheme="minorHAnsi" w:hAnsiTheme="minorHAnsi" w:cstheme="minorHAnsi"/>
                <w:sz w:val="20"/>
                <w:szCs w:val="20"/>
              </w:rPr>
              <w:br/>
              <w:t>nieprecyzyjnym</w:t>
            </w:r>
          </w:p>
        </w:tc>
        <w:tc>
          <w:tcPr>
            <w:tcW w:w="2139" w:type="pct"/>
            <w:tcMar>
              <w:top w:w="85" w:type="dxa"/>
              <w:left w:w="113" w:type="dxa"/>
              <w:bottom w:w="85" w:type="dxa"/>
              <w:right w:w="57" w:type="dxa"/>
            </w:tcMar>
            <w:vAlign w:val="center"/>
          </w:tcPr>
          <w:p w14:paraId="019795E4"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System świateł podejścia</w:t>
            </w:r>
          </w:p>
        </w:tc>
        <w:tc>
          <w:tcPr>
            <w:tcW w:w="1346" w:type="pct"/>
            <w:tcMar>
              <w:top w:w="85" w:type="dxa"/>
              <w:left w:w="113" w:type="dxa"/>
              <w:bottom w:w="85" w:type="dxa"/>
              <w:right w:w="57" w:type="dxa"/>
            </w:tcMar>
            <w:vAlign w:val="center"/>
          </w:tcPr>
          <w:p w14:paraId="2F5DF351"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455E1EB8" w14:textId="77777777" w:rsidTr="00E300A0">
        <w:trPr>
          <w:trHeight w:val="285"/>
          <w:jc w:val="center"/>
        </w:trPr>
        <w:tc>
          <w:tcPr>
            <w:tcW w:w="1515" w:type="pct"/>
            <w:vMerge/>
            <w:tcMar>
              <w:top w:w="57" w:type="dxa"/>
              <w:left w:w="57" w:type="dxa"/>
              <w:bottom w:w="57" w:type="dxa"/>
              <w:right w:w="57" w:type="dxa"/>
            </w:tcMar>
            <w:vAlign w:val="center"/>
          </w:tcPr>
          <w:p w14:paraId="014E741E"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9C943DE"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Wzrokowych wskaźnik ścieżki podejścia </w:t>
            </w:r>
            <w:r w:rsidRPr="009E064B">
              <w:rPr>
                <w:rFonts w:asciiTheme="minorHAnsi" w:hAnsiTheme="minorHAnsi" w:cstheme="minorHAnsi"/>
                <w:sz w:val="20"/>
                <w:szCs w:val="20"/>
                <w:vertAlign w:val="superscript"/>
              </w:rPr>
              <w:t>a, d</w:t>
            </w:r>
          </w:p>
        </w:tc>
        <w:tc>
          <w:tcPr>
            <w:tcW w:w="1346" w:type="pct"/>
            <w:tcMar>
              <w:top w:w="85" w:type="dxa"/>
              <w:left w:w="113" w:type="dxa"/>
              <w:bottom w:w="85" w:type="dxa"/>
              <w:right w:w="57" w:type="dxa"/>
            </w:tcMar>
            <w:vAlign w:val="center"/>
          </w:tcPr>
          <w:p w14:paraId="793D727D"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EF21920" w14:textId="77777777" w:rsidTr="00E300A0">
        <w:trPr>
          <w:trHeight w:val="285"/>
          <w:jc w:val="center"/>
        </w:trPr>
        <w:tc>
          <w:tcPr>
            <w:tcW w:w="1515" w:type="pct"/>
            <w:vMerge/>
            <w:tcMar>
              <w:top w:w="57" w:type="dxa"/>
              <w:left w:w="57" w:type="dxa"/>
              <w:bottom w:w="57" w:type="dxa"/>
              <w:right w:w="57" w:type="dxa"/>
            </w:tcMar>
            <w:vAlign w:val="center"/>
          </w:tcPr>
          <w:p w14:paraId="46CD55AE"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E5CD013"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krawędzi drogi startowej </w:t>
            </w:r>
            <w:r w:rsidRPr="009E064B">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59A736E7"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0C856594" w14:textId="77777777" w:rsidTr="00E300A0">
        <w:trPr>
          <w:trHeight w:val="285"/>
          <w:jc w:val="center"/>
        </w:trPr>
        <w:tc>
          <w:tcPr>
            <w:tcW w:w="1515" w:type="pct"/>
            <w:vMerge/>
            <w:tcMar>
              <w:top w:w="57" w:type="dxa"/>
              <w:left w:w="57" w:type="dxa"/>
              <w:bottom w:w="57" w:type="dxa"/>
              <w:right w:w="57" w:type="dxa"/>
            </w:tcMar>
            <w:vAlign w:val="center"/>
          </w:tcPr>
          <w:p w14:paraId="28BADF55"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416795A"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progu drogi startowej </w:t>
            </w:r>
            <w:r w:rsidRPr="009E064B">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0D3A3163"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5884285C" w14:textId="77777777" w:rsidTr="00E300A0">
        <w:trPr>
          <w:trHeight w:val="285"/>
          <w:jc w:val="center"/>
        </w:trPr>
        <w:tc>
          <w:tcPr>
            <w:tcW w:w="1515" w:type="pct"/>
            <w:vMerge/>
            <w:tcMar>
              <w:top w:w="57" w:type="dxa"/>
              <w:left w:w="57" w:type="dxa"/>
              <w:bottom w:w="57" w:type="dxa"/>
              <w:right w:w="57" w:type="dxa"/>
            </w:tcMar>
            <w:vAlign w:val="center"/>
          </w:tcPr>
          <w:p w14:paraId="7496A499"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2356682"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65AA7CD7"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0CD20F90" w14:textId="77777777" w:rsidTr="00E300A0">
        <w:trPr>
          <w:trHeight w:val="286"/>
          <w:jc w:val="center"/>
        </w:trPr>
        <w:tc>
          <w:tcPr>
            <w:tcW w:w="1515" w:type="pct"/>
            <w:vMerge/>
            <w:tcMar>
              <w:top w:w="57" w:type="dxa"/>
              <w:left w:w="57" w:type="dxa"/>
              <w:bottom w:w="57" w:type="dxa"/>
              <w:right w:w="57" w:type="dxa"/>
            </w:tcMar>
            <w:vAlign w:val="center"/>
          </w:tcPr>
          <w:p w14:paraId="610D2C9C"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17538AF"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 xml:space="preserve">Światła przeszkodowe </w:t>
            </w:r>
            <w:r w:rsidRPr="009E064B">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190C6D84"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03F88F86" w14:textId="77777777" w:rsidTr="00E300A0">
        <w:trPr>
          <w:trHeight w:val="285"/>
          <w:jc w:val="center"/>
        </w:trPr>
        <w:tc>
          <w:tcPr>
            <w:tcW w:w="1515" w:type="pct"/>
            <w:vMerge w:val="restart"/>
            <w:tcMar>
              <w:top w:w="57" w:type="dxa"/>
              <w:left w:w="57" w:type="dxa"/>
              <w:bottom w:w="57" w:type="dxa"/>
              <w:right w:w="57" w:type="dxa"/>
            </w:tcMar>
            <w:vAlign w:val="center"/>
          </w:tcPr>
          <w:p w14:paraId="71ABBA09" w14:textId="106E2CAA" w:rsidR="00AE1280" w:rsidRPr="009E064B" w:rsidRDefault="00AE1280" w:rsidP="00AE1280">
            <w:pPr>
              <w:tabs>
                <w:tab w:val="left" w:pos="0"/>
              </w:tabs>
              <w:spacing w:after="0"/>
              <w:ind w:left="57"/>
              <w:jc w:val="left"/>
              <w:rPr>
                <w:rFonts w:asciiTheme="minorHAnsi" w:hAnsiTheme="minorHAnsi" w:cstheme="minorHAnsi"/>
                <w:sz w:val="20"/>
                <w:szCs w:val="20"/>
              </w:rPr>
            </w:pPr>
            <w:r w:rsidRPr="009E064B">
              <w:rPr>
                <w:rFonts w:asciiTheme="minorHAnsi" w:hAnsiTheme="minorHAnsi" w:cstheme="minorHAnsi"/>
                <w:sz w:val="20"/>
                <w:szCs w:val="20"/>
              </w:rPr>
              <w:t>Przyrządowa z podejściem precyzyjnym kategorii I</w:t>
            </w:r>
          </w:p>
        </w:tc>
        <w:tc>
          <w:tcPr>
            <w:tcW w:w="2139" w:type="pct"/>
            <w:tcMar>
              <w:top w:w="85" w:type="dxa"/>
              <w:left w:w="113" w:type="dxa"/>
              <w:bottom w:w="85" w:type="dxa"/>
              <w:right w:w="57" w:type="dxa"/>
            </w:tcMar>
            <w:vAlign w:val="center"/>
          </w:tcPr>
          <w:p w14:paraId="640CEA59"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System świateł podejścia</w:t>
            </w:r>
          </w:p>
        </w:tc>
        <w:tc>
          <w:tcPr>
            <w:tcW w:w="1346" w:type="pct"/>
            <w:tcMar>
              <w:top w:w="85" w:type="dxa"/>
              <w:left w:w="113" w:type="dxa"/>
              <w:bottom w:w="85" w:type="dxa"/>
              <w:right w:w="57" w:type="dxa"/>
            </w:tcMar>
            <w:vAlign w:val="center"/>
          </w:tcPr>
          <w:p w14:paraId="5E873491"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C0E14BE" w14:textId="77777777" w:rsidTr="00E300A0">
        <w:trPr>
          <w:trHeight w:val="285"/>
          <w:jc w:val="center"/>
        </w:trPr>
        <w:tc>
          <w:tcPr>
            <w:tcW w:w="1515" w:type="pct"/>
            <w:vMerge/>
            <w:tcMar>
              <w:top w:w="57" w:type="dxa"/>
              <w:left w:w="57" w:type="dxa"/>
              <w:bottom w:w="57" w:type="dxa"/>
              <w:right w:w="57" w:type="dxa"/>
            </w:tcMar>
            <w:vAlign w:val="center"/>
          </w:tcPr>
          <w:p w14:paraId="71A6A9EB"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21D19CF3"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krawędzi drogi startowej </w:t>
            </w:r>
            <w:r w:rsidRPr="009E064B">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017EE46F"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0EBA06C" w14:textId="77777777" w:rsidTr="00E300A0">
        <w:trPr>
          <w:trHeight w:val="285"/>
          <w:jc w:val="center"/>
        </w:trPr>
        <w:tc>
          <w:tcPr>
            <w:tcW w:w="1515" w:type="pct"/>
            <w:vMerge/>
            <w:tcMar>
              <w:top w:w="57" w:type="dxa"/>
              <w:left w:w="57" w:type="dxa"/>
              <w:bottom w:w="57" w:type="dxa"/>
              <w:right w:w="57" w:type="dxa"/>
            </w:tcMar>
            <w:vAlign w:val="center"/>
          </w:tcPr>
          <w:p w14:paraId="433EB37D"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778882B"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Wzrokowy wskaźnik ścieżki podejścia </w:t>
            </w:r>
            <w:r w:rsidRPr="009E064B">
              <w:rPr>
                <w:rFonts w:asciiTheme="minorHAnsi" w:hAnsiTheme="minorHAnsi" w:cstheme="minorHAnsi"/>
                <w:sz w:val="20"/>
                <w:szCs w:val="20"/>
                <w:vertAlign w:val="superscript"/>
              </w:rPr>
              <w:t>a, d</w:t>
            </w:r>
          </w:p>
        </w:tc>
        <w:tc>
          <w:tcPr>
            <w:tcW w:w="1346" w:type="pct"/>
            <w:tcMar>
              <w:top w:w="85" w:type="dxa"/>
              <w:left w:w="113" w:type="dxa"/>
              <w:bottom w:w="85" w:type="dxa"/>
              <w:right w:w="57" w:type="dxa"/>
            </w:tcMar>
            <w:vAlign w:val="center"/>
          </w:tcPr>
          <w:p w14:paraId="460CB795"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0915211B" w14:textId="77777777" w:rsidTr="00E300A0">
        <w:trPr>
          <w:trHeight w:val="285"/>
          <w:jc w:val="center"/>
        </w:trPr>
        <w:tc>
          <w:tcPr>
            <w:tcW w:w="1515" w:type="pct"/>
            <w:vMerge/>
            <w:tcMar>
              <w:top w:w="57" w:type="dxa"/>
              <w:left w:w="57" w:type="dxa"/>
              <w:bottom w:w="57" w:type="dxa"/>
              <w:right w:w="57" w:type="dxa"/>
            </w:tcMar>
            <w:vAlign w:val="center"/>
          </w:tcPr>
          <w:p w14:paraId="1A765283"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848280F" w14:textId="77777777" w:rsidR="00AE1280" w:rsidRPr="009E064B" w:rsidRDefault="00AE1280" w:rsidP="00AE1280">
            <w:pPr>
              <w:tabs>
                <w:tab w:val="left" w:pos="0"/>
              </w:tabs>
              <w:spacing w:after="0"/>
              <w:jc w:val="left"/>
              <w:rPr>
                <w:rFonts w:asciiTheme="minorHAnsi" w:hAnsiTheme="minorHAnsi" w:cstheme="minorHAnsi"/>
                <w:sz w:val="20"/>
                <w:szCs w:val="20"/>
                <w:vertAlign w:val="superscript"/>
              </w:rPr>
            </w:pPr>
            <w:r w:rsidRPr="009E064B">
              <w:rPr>
                <w:rFonts w:asciiTheme="minorHAnsi" w:hAnsiTheme="minorHAnsi" w:cstheme="minorHAnsi"/>
                <w:sz w:val="20"/>
                <w:szCs w:val="20"/>
              </w:rPr>
              <w:t xml:space="preserve">Światła progu drogi startowej </w:t>
            </w:r>
            <w:r w:rsidRPr="009E064B">
              <w:rPr>
                <w:rFonts w:asciiTheme="minorHAnsi" w:hAnsiTheme="minorHAnsi" w:cstheme="minorHAnsi"/>
                <w:sz w:val="20"/>
                <w:szCs w:val="20"/>
                <w:vertAlign w:val="superscript"/>
              </w:rPr>
              <w:t>d</w:t>
            </w:r>
          </w:p>
        </w:tc>
        <w:tc>
          <w:tcPr>
            <w:tcW w:w="1346" w:type="pct"/>
            <w:tcMar>
              <w:top w:w="85" w:type="dxa"/>
              <w:left w:w="113" w:type="dxa"/>
              <w:bottom w:w="85" w:type="dxa"/>
              <w:right w:w="57" w:type="dxa"/>
            </w:tcMar>
            <w:vAlign w:val="center"/>
          </w:tcPr>
          <w:p w14:paraId="13359155"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35AAF371" w14:textId="77777777" w:rsidTr="00E300A0">
        <w:trPr>
          <w:trHeight w:val="286"/>
          <w:jc w:val="center"/>
        </w:trPr>
        <w:tc>
          <w:tcPr>
            <w:tcW w:w="1515" w:type="pct"/>
            <w:vMerge/>
            <w:tcMar>
              <w:top w:w="57" w:type="dxa"/>
              <w:left w:w="57" w:type="dxa"/>
              <w:bottom w:w="57" w:type="dxa"/>
              <w:right w:w="57" w:type="dxa"/>
            </w:tcMar>
            <w:vAlign w:val="center"/>
          </w:tcPr>
          <w:p w14:paraId="0AA3B745"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5BA76DB"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1D6E9085"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0E1C46A" w14:textId="77777777" w:rsidTr="00E300A0">
        <w:trPr>
          <w:trHeight w:val="285"/>
          <w:jc w:val="center"/>
        </w:trPr>
        <w:tc>
          <w:tcPr>
            <w:tcW w:w="1515" w:type="pct"/>
            <w:vMerge/>
            <w:tcMar>
              <w:top w:w="57" w:type="dxa"/>
              <w:left w:w="57" w:type="dxa"/>
              <w:bottom w:w="57" w:type="dxa"/>
              <w:right w:w="57" w:type="dxa"/>
            </w:tcMar>
            <w:vAlign w:val="center"/>
          </w:tcPr>
          <w:p w14:paraId="7A4A0792"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5115DDC"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Niezbędna droga kołowania</w:t>
            </w:r>
            <w:r w:rsidRPr="009E064B">
              <w:rPr>
                <w:rFonts w:asciiTheme="minorHAnsi" w:hAnsiTheme="minorHAnsi" w:cstheme="minorHAnsi"/>
                <w:sz w:val="20"/>
                <w:szCs w:val="20"/>
                <w:vertAlign w:val="superscript"/>
              </w:rPr>
              <w:t xml:space="preserve"> a</w:t>
            </w:r>
          </w:p>
        </w:tc>
        <w:tc>
          <w:tcPr>
            <w:tcW w:w="1346" w:type="pct"/>
            <w:tcMar>
              <w:top w:w="85" w:type="dxa"/>
              <w:left w:w="113" w:type="dxa"/>
              <w:bottom w:w="85" w:type="dxa"/>
              <w:right w:w="57" w:type="dxa"/>
            </w:tcMar>
            <w:vAlign w:val="center"/>
          </w:tcPr>
          <w:p w14:paraId="064A711B"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5DCB8971" w14:textId="77777777" w:rsidTr="00E300A0">
        <w:trPr>
          <w:trHeight w:val="285"/>
          <w:jc w:val="center"/>
        </w:trPr>
        <w:tc>
          <w:tcPr>
            <w:tcW w:w="1515" w:type="pct"/>
            <w:vMerge/>
            <w:tcMar>
              <w:top w:w="57" w:type="dxa"/>
              <w:left w:w="57" w:type="dxa"/>
              <w:bottom w:w="57" w:type="dxa"/>
              <w:right w:w="57" w:type="dxa"/>
            </w:tcMar>
            <w:vAlign w:val="center"/>
          </w:tcPr>
          <w:p w14:paraId="20390BC6"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78568BF"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 xml:space="preserve">Światła przeszkodowe </w:t>
            </w:r>
            <w:r w:rsidRPr="009E064B">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64103B9B"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49C555B8" w14:textId="77777777" w:rsidTr="00E300A0">
        <w:trPr>
          <w:trHeight w:val="285"/>
          <w:jc w:val="center"/>
        </w:trPr>
        <w:tc>
          <w:tcPr>
            <w:tcW w:w="1515" w:type="pct"/>
            <w:vMerge w:val="restart"/>
            <w:tcMar>
              <w:top w:w="57" w:type="dxa"/>
              <w:left w:w="57" w:type="dxa"/>
              <w:bottom w:w="57" w:type="dxa"/>
              <w:right w:w="57" w:type="dxa"/>
            </w:tcMar>
            <w:vAlign w:val="center"/>
          </w:tcPr>
          <w:p w14:paraId="64648F9C" w14:textId="20A4E999" w:rsidR="00AE1280" w:rsidRPr="009E064B" w:rsidRDefault="00AE1280" w:rsidP="00AE1280">
            <w:pPr>
              <w:tabs>
                <w:tab w:val="left" w:pos="0"/>
              </w:tabs>
              <w:spacing w:after="0"/>
              <w:ind w:left="57"/>
              <w:jc w:val="left"/>
              <w:rPr>
                <w:rFonts w:asciiTheme="minorHAnsi" w:hAnsiTheme="minorHAnsi" w:cstheme="minorHAnsi"/>
                <w:sz w:val="20"/>
                <w:szCs w:val="20"/>
              </w:rPr>
            </w:pPr>
            <w:r w:rsidRPr="009E064B">
              <w:rPr>
                <w:rFonts w:asciiTheme="minorHAnsi" w:hAnsiTheme="minorHAnsi" w:cstheme="minorHAnsi"/>
                <w:sz w:val="20"/>
                <w:szCs w:val="20"/>
              </w:rPr>
              <w:t>Przyrządowa z podejściem precyzyjnym kategorii II/III</w:t>
            </w:r>
          </w:p>
        </w:tc>
        <w:tc>
          <w:tcPr>
            <w:tcW w:w="2139" w:type="pct"/>
            <w:tcMar>
              <w:top w:w="85" w:type="dxa"/>
              <w:left w:w="113" w:type="dxa"/>
              <w:bottom w:w="85" w:type="dxa"/>
              <w:right w:w="57" w:type="dxa"/>
            </w:tcMar>
            <w:vAlign w:val="center"/>
          </w:tcPr>
          <w:p w14:paraId="00E65288" w14:textId="77777777" w:rsidR="00AE1280" w:rsidRPr="009E064B" w:rsidRDefault="00AE1280" w:rsidP="00AE1280">
            <w:pPr>
              <w:tabs>
                <w:tab w:val="left" w:pos="0"/>
              </w:tabs>
              <w:spacing w:after="0"/>
              <w:jc w:val="left"/>
              <w:rPr>
                <w:rFonts w:asciiTheme="minorHAnsi" w:hAnsiTheme="minorHAnsi" w:cstheme="minorHAnsi"/>
                <w:sz w:val="20"/>
                <w:szCs w:val="20"/>
              </w:rPr>
            </w:pPr>
            <w:smartTag w:uri="urn:schemas-microsoft-com:office:smarttags" w:element="metricconverter">
              <w:smartTagPr>
                <w:attr w:name="ProductID" w:val="300 m"/>
              </w:smartTagPr>
              <w:r w:rsidRPr="009E064B">
                <w:rPr>
                  <w:rFonts w:asciiTheme="minorHAnsi" w:hAnsiTheme="minorHAnsi" w:cstheme="minorHAnsi"/>
                  <w:sz w:val="20"/>
                  <w:szCs w:val="20"/>
                </w:rPr>
                <w:t>300 m</w:t>
              </w:r>
            </w:smartTag>
            <w:r w:rsidRPr="009E064B">
              <w:rPr>
                <w:rFonts w:asciiTheme="minorHAnsi" w:hAnsiTheme="minorHAnsi" w:cstheme="minorHAnsi"/>
                <w:sz w:val="20"/>
                <w:szCs w:val="20"/>
              </w:rPr>
              <w:t xml:space="preserve"> wewnętrznej części systemu świateł podejścia</w:t>
            </w:r>
          </w:p>
        </w:tc>
        <w:tc>
          <w:tcPr>
            <w:tcW w:w="1346" w:type="pct"/>
            <w:tcMar>
              <w:top w:w="85" w:type="dxa"/>
              <w:left w:w="113" w:type="dxa"/>
              <w:bottom w:w="85" w:type="dxa"/>
              <w:right w:w="57" w:type="dxa"/>
            </w:tcMar>
            <w:vAlign w:val="center"/>
          </w:tcPr>
          <w:p w14:paraId="1EF8CC61"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55809898" w14:textId="77777777" w:rsidTr="00E300A0">
        <w:trPr>
          <w:trHeight w:val="285"/>
          <w:jc w:val="center"/>
        </w:trPr>
        <w:tc>
          <w:tcPr>
            <w:tcW w:w="1515" w:type="pct"/>
            <w:vMerge/>
            <w:tcMar>
              <w:top w:w="57" w:type="dxa"/>
              <w:left w:w="57" w:type="dxa"/>
              <w:bottom w:w="57" w:type="dxa"/>
              <w:right w:w="57" w:type="dxa"/>
            </w:tcMar>
            <w:vAlign w:val="center"/>
          </w:tcPr>
          <w:p w14:paraId="327646D4"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E88000A"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Inne części systemu świateł podejścia</w:t>
            </w:r>
          </w:p>
        </w:tc>
        <w:tc>
          <w:tcPr>
            <w:tcW w:w="1346" w:type="pct"/>
            <w:tcMar>
              <w:top w:w="85" w:type="dxa"/>
              <w:left w:w="113" w:type="dxa"/>
              <w:bottom w:w="85" w:type="dxa"/>
              <w:right w:w="57" w:type="dxa"/>
            </w:tcMar>
            <w:vAlign w:val="center"/>
          </w:tcPr>
          <w:p w14:paraId="42767558"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1319B698" w14:textId="77777777" w:rsidTr="00E300A0">
        <w:trPr>
          <w:trHeight w:val="285"/>
          <w:jc w:val="center"/>
        </w:trPr>
        <w:tc>
          <w:tcPr>
            <w:tcW w:w="1515" w:type="pct"/>
            <w:vMerge/>
            <w:tcMar>
              <w:top w:w="57" w:type="dxa"/>
              <w:left w:w="57" w:type="dxa"/>
              <w:bottom w:w="57" w:type="dxa"/>
              <w:right w:w="57" w:type="dxa"/>
            </w:tcMar>
            <w:vAlign w:val="center"/>
          </w:tcPr>
          <w:p w14:paraId="416AE113"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C497849"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 xml:space="preserve">Światła przeszkodowe </w:t>
            </w:r>
            <w:r w:rsidRPr="009E064B">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69984EF3"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EBCE368" w14:textId="77777777" w:rsidTr="00E300A0">
        <w:trPr>
          <w:trHeight w:val="286"/>
          <w:jc w:val="center"/>
        </w:trPr>
        <w:tc>
          <w:tcPr>
            <w:tcW w:w="1515" w:type="pct"/>
            <w:vMerge/>
            <w:tcMar>
              <w:top w:w="57" w:type="dxa"/>
              <w:left w:w="57" w:type="dxa"/>
              <w:bottom w:w="57" w:type="dxa"/>
              <w:right w:w="57" w:type="dxa"/>
            </w:tcMar>
            <w:vAlign w:val="center"/>
          </w:tcPr>
          <w:p w14:paraId="5C7E916D"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E9DE2E1"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krawędzi drogi startowej</w:t>
            </w:r>
          </w:p>
        </w:tc>
        <w:tc>
          <w:tcPr>
            <w:tcW w:w="1346" w:type="pct"/>
            <w:tcMar>
              <w:top w:w="85" w:type="dxa"/>
              <w:left w:w="113" w:type="dxa"/>
              <w:bottom w:w="85" w:type="dxa"/>
              <w:right w:w="57" w:type="dxa"/>
            </w:tcMar>
            <w:vAlign w:val="center"/>
          </w:tcPr>
          <w:p w14:paraId="0A15BB3E"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480DF040" w14:textId="77777777" w:rsidTr="00E300A0">
        <w:trPr>
          <w:trHeight w:val="285"/>
          <w:jc w:val="center"/>
        </w:trPr>
        <w:tc>
          <w:tcPr>
            <w:tcW w:w="1515" w:type="pct"/>
            <w:vMerge/>
            <w:tcMar>
              <w:top w:w="57" w:type="dxa"/>
              <w:left w:w="57" w:type="dxa"/>
              <w:bottom w:w="57" w:type="dxa"/>
              <w:right w:w="57" w:type="dxa"/>
            </w:tcMar>
            <w:vAlign w:val="center"/>
          </w:tcPr>
          <w:p w14:paraId="2F6CFB3A"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2EEB006"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progu drogi startowej</w:t>
            </w:r>
          </w:p>
        </w:tc>
        <w:tc>
          <w:tcPr>
            <w:tcW w:w="1346" w:type="pct"/>
            <w:tcMar>
              <w:top w:w="85" w:type="dxa"/>
              <w:left w:w="113" w:type="dxa"/>
              <w:bottom w:w="85" w:type="dxa"/>
              <w:right w:w="57" w:type="dxa"/>
            </w:tcMar>
            <w:vAlign w:val="center"/>
          </w:tcPr>
          <w:p w14:paraId="19E38264"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2C0E99DD" w14:textId="77777777" w:rsidTr="00E300A0">
        <w:trPr>
          <w:trHeight w:val="285"/>
          <w:jc w:val="center"/>
        </w:trPr>
        <w:tc>
          <w:tcPr>
            <w:tcW w:w="1515" w:type="pct"/>
            <w:vMerge/>
            <w:tcMar>
              <w:top w:w="57" w:type="dxa"/>
              <w:left w:w="57" w:type="dxa"/>
              <w:bottom w:w="57" w:type="dxa"/>
              <w:right w:w="57" w:type="dxa"/>
            </w:tcMar>
            <w:vAlign w:val="center"/>
          </w:tcPr>
          <w:p w14:paraId="59C6A163"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42A4083"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53F9AA7F"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69B030FC" w14:textId="77777777" w:rsidTr="00E300A0">
        <w:trPr>
          <w:trHeight w:val="285"/>
          <w:jc w:val="center"/>
        </w:trPr>
        <w:tc>
          <w:tcPr>
            <w:tcW w:w="1515" w:type="pct"/>
            <w:vMerge/>
            <w:tcMar>
              <w:top w:w="57" w:type="dxa"/>
              <w:left w:w="57" w:type="dxa"/>
              <w:bottom w:w="57" w:type="dxa"/>
              <w:right w:w="57" w:type="dxa"/>
            </w:tcMar>
            <w:vAlign w:val="center"/>
          </w:tcPr>
          <w:p w14:paraId="473170F3"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EC706EC"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linii środkowej drogi startowej</w:t>
            </w:r>
          </w:p>
        </w:tc>
        <w:tc>
          <w:tcPr>
            <w:tcW w:w="1346" w:type="pct"/>
            <w:tcMar>
              <w:top w:w="85" w:type="dxa"/>
              <w:left w:w="113" w:type="dxa"/>
              <w:bottom w:w="85" w:type="dxa"/>
              <w:right w:w="57" w:type="dxa"/>
            </w:tcMar>
            <w:vAlign w:val="center"/>
          </w:tcPr>
          <w:p w14:paraId="4461741C"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6C87A5F1" w14:textId="77777777" w:rsidTr="00E300A0">
        <w:trPr>
          <w:trHeight w:val="285"/>
          <w:jc w:val="center"/>
        </w:trPr>
        <w:tc>
          <w:tcPr>
            <w:tcW w:w="1515" w:type="pct"/>
            <w:vMerge/>
            <w:tcMar>
              <w:top w:w="57" w:type="dxa"/>
              <w:left w:w="57" w:type="dxa"/>
              <w:bottom w:w="57" w:type="dxa"/>
              <w:right w:w="57" w:type="dxa"/>
            </w:tcMar>
            <w:vAlign w:val="center"/>
          </w:tcPr>
          <w:p w14:paraId="27541315"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5F6CD6CE"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strefy przyziemienia drogi startowej</w:t>
            </w:r>
          </w:p>
        </w:tc>
        <w:tc>
          <w:tcPr>
            <w:tcW w:w="1346" w:type="pct"/>
            <w:tcMar>
              <w:top w:w="85" w:type="dxa"/>
              <w:left w:w="113" w:type="dxa"/>
              <w:bottom w:w="85" w:type="dxa"/>
              <w:right w:w="57" w:type="dxa"/>
            </w:tcMar>
            <w:vAlign w:val="center"/>
          </w:tcPr>
          <w:p w14:paraId="6D79964B"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2E41F6" w:rsidRPr="009E064B" w14:paraId="67C5B9CC" w14:textId="77777777" w:rsidTr="00E300A0">
        <w:trPr>
          <w:trHeight w:val="285"/>
          <w:jc w:val="center"/>
        </w:trPr>
        <w:tc>
          <w:tcPr>
            <w:tcW w:w="1515" w:type="pct"/>
            <w:vMerge/>
            <w:tcMar>
              <w:top w:w="57" w:type="dxa"/>
              <w:left w:w="57" w:type="dxa"/>
              <w:bottom w:w="57" w:type="dxa"/>
              <w:right w:w="57" w:type="dxa"/>
            </w:tcMar>
            <w:vAlign w:val="center"/>
          </w:tcPr>
          <w:p w14:paraId="49A3FC0C" w14:textId="77777777" w:rsidR="002E41F6" w:rsidRPr="009E064B" w:rsidRDefault="002E41F6" w:rsidP="00AE1280">
            <w:pPr>
              <w:tabs>
                <w:tab w:val="left" w:pos="0"/>
              </w:tabs>
              <w:spacing w:after="0"/>
              <w:ind w:left="57"/>
              <w:jc w:val="left"/>
              <w:rPr>
                <w:rFonts w:asciiTheme="minorHAnsi" w:hAnsiTheme="minorHAnsi" w:cstheme="minorHAnsi"/>
                <w:color w:val="FF0000"/>
                <w:sz w:val="20"/>
                <w:szCs w:val="20"/>
              </w:rPr>
            </w:pPr>
          </w:p>
        </w:tc>
        <w:tc>
          <w:tcPr>
            <w:tcW w:w="2139" w:type="pct"/>
            <w:tcMar>
              <w:top w:w="85" w:type="dxa"/>
              <w:left w:w="113" w:type="dxa"/>
              <w:bottom w:w="85" w:type="dxa"/>
              <w:right w:w="57" w:type="dxa"/>
            </w:tcMar>
            <w:vAlign w:val="center"/>
          </w:tcPr>
          <w:p w14:paraId="33093FFC" w14:textId="2775B3E8" w:rsidR="002E41F6" w:rsidRPr="00FE5FBD" w:rsidRDefault="002E41F6" w:rsidP="00AE1280">
            <w:pPr>
              <w:tabs>
                <w:tab w:val="left" w:pos="0"/>
              </w:tabs>
              <w:spacing w:after="0"/>
              <w:jc w:val="left"/>
              <w:rPr>
                <w:rFonts w:asciiTheme="minorHAnsi" w:hAnsiTheme="minorHAnsi" w:cstheme="minorHAnsi"/>
                <w:sz w:val="20"/>
                <w:szCs w:val="20"/>
              </w:rPr>
            </w:pPr>
            <w:r w:rsidRPr="00FE5FBD">
              <w:rPr>
                <w:rFonts w:asciiTheme="minorHAnsi" w:hAnsiTheme="minorHAnsi" w:cstheme="minorHAnsi"/>
                <w:sz w:val="20"/>
                <w:szCs w:val="20"/>
              </w:rPr>
              <w:t>Światła ochronne drogi startowej</w:t>
            </w:r>
          </w:p>
        </w:tc>
        <w:tc>
          <w:tcPr>
            <w:tcW w:w="1346" w:type="pct"/>
            <w:tcMar>
              <w:top w:w="85" w:type="dxa"/>
              <w:left w:w="113" w:type="dxa"/>
              <w:bottom w:w="85" w:type="dxa"/>
              <w:right w:w="57" w:type="dxa"/>
            </w:tcMar>
            <w:vAlign w:val="center"/>
          </w:tcPr>
          <w:p w14:paraId="04E88868" w14:textId="4FEB7BA5" w:rsidR="002E41F6" w:rsidRPr="00FE5FBD" w:rsidRDefault="002E41F6" w:rsidP="00AE1280">
            <w:pPr>
              <w:tabs>
                <w:tab w:val="left" w:pos="0"/>
              </w:tabs>
              <w:spacing w:after="0"/>
              <w:jc w:val="center"/>
              <w:rPr>
                <w:rFonts w:asciiTheme="minorHAnsi" w:hAnsiTheme="minorHAnsi" w:cstheme="minorHAnsi"/>
                <w:sz w:val="20"/>
                <w:szCs w:val="20"/>
              </w:rPr>
            </w:pPr>
            <w:r w:rsidRPr="00FE5FBD">
              <w:rPr>
                <w:rFonts w:asciiTheme="minorHAnsi" w:hAnsiTheme="minorHAnsi" w:cstheme="minorHAnsi"/>
                <w:sz w:val="20"/>
                <w:szCs w:val="20"/>
              </w:rPr>
              <w:t>15 sekund</w:t>
            </w:r>
          </w:p>
        </w:tc>
      </w:tr>
      <w:tr w:rsidR="00AE1280" w:rsidRPr="009E064B" w14:paraId="47649393" w14:textId="77777777" w:rsidTr="00E300A0">
        <w:trPr>
          <w:trHeight w:val="285"/>
          <w:jc w:val="center"/>
        </w:trPr>
        <w:tc>
          <w:tcPr>
            <w:tcW w:w="1515" w:type="pct"/>
            <w:vMerge/>
            <w:tcMar>
              <w:top w:w="57" w:type="dxa"/>
              <w:left w:w="57" w:type="dxa"/>
              <w:bottom w:w="57" w:type="dxa"/>
              <w:right w:w="57" w:type="dxa"/>
            </w:tcMar>
            <w:vAlign w:val="center"/>
          </w:tcPr>
          <w:p w14:paraId="2AF60191"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3AA6EA9F"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Wszystkie poprzeczki zatrzymania</w:t>
            </w:r>
          </w:p>
        </w:tc>
        <w:tc>
          <w:tcPr>
            <w:tcW w:w="1346" w:type="pct"/>
            <w:tcMar>
              <w:top w:w="85" w:type="dxa"/>
              <w:left w:w="113" w:type="dxa"/>
              <w:bottom w:w="85" w:type="dxa"/>
              <w:right w:w="57" w:type="dxa"/>
            </w:tcMar>
            <w:vAlign w:val="center"/>
          </w:tcPr>
          <w:p w14:paraId="3083B286"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787DAFCB" w14:textId="77777777" w:rsidTr="00E300A0">
        <w:trPr>
          <w:trHeight w:val="286"/>
          <w:jc w:val="center"/>
        </w:trPr>
        <w:tc>
          <w:tcPr>
            <w:tcW w:w="1515" w:type="pct"/>
            <w:vMerge/>
            <w:tcMar>
              <w:top w:w="57" w:type="dxa"/>
              <w:left w:w="57" w:type="dxa"/>
              <w:bottom w:w="57" w:type="dxa"/>
              <w:right w:w="57" w:type="dxa"/>
            </w:tcMar>
            <w:vAlign w:val="center"/>
          </w:tcPr>
          <w:p w14:paraId="787E4085" w14:textId="77777777" w:rsidR="00AE1280" w:rsidRPr="009E064B" w:rsidRDefault="00AE1280" w:rsidP="00AE1280">
            <w:pPr>
              <w:tabs>
                <w:tab w:val="left" w:pos="0"/>
              </w:tabs>
              <w:spacing w:after="0"/>
              <w:ind w:left="57"/>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E7E3185"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Niezbędna droga kołowania</w:t>
            </w:r>
          </w:p>
        </w:tc>
        <w:tc>
          <w:tcPr>
            <w:tcW w:w="1346" w:type="pct"/>
            <w:tcMar>
              <w:top w:w="85" w:type="dxa"/>
              <w:left w:w="113" w:type="dxa"/>
              <w:bottom w:w="85" w:type="dxa"/>
              <w:right w:w="57" w:type="dxa"/>
            </w:tcMar>
            <w:vAlign w:val="center"/>
          </w:tcPr>
          <w:p w14:paraId="6A3E70E3"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44F55636" w14:textId="77777777" w:rsidTr="00E300A0">
        <w:trPr>
          <w:trHeight w:val="285"/>
          <w:jc w:val="center"/>
        </w:trPr>
        <w:tc>
          <w:tcPr>
            <w:tcW w:w="1515" w:type="pct"/>
            <w:vMerge w:val="restart"/>
            <w:tcMar>
              <w:top w:w="57" w:type="dxa"/>
              <w:left w:w="57" w:type="dxa"/>
              <w:bottom w:w="57" w:type="dxa"/>
              <w:right w:w="57" w:type="dxa"/>
            </w:tcMar>
            <w:vAlign w:val="center"/>
          </w:tcPr>
          <w:p w14:paraId="08CDFE34" w14:textId="77777777" w:rsidR="00AE1280" w:rsidRPr="009E064B" w:rsidRDefault="00AE1280" w:rsidP="00AE1280">
            <w:pPr>
              <w:tabs>
                <w:tab w:val="left" w:pos="0"/>
              </w:tabs>
              <w:spacing w:after="0"/>
              <w:ind w:left="57"/>
              <w:jc w:val="left"/>
              <w:rPr>
                <w:rFonts w:asciiTheme="minorHAnsi" w:hAnsiTheme="minorHAnsi" w:cstheme="minorHAnsi"/>
                <w:sz w:val="20"/>
                <w:szCs w:val="20"/>
              </w:rPr>
            </w:pPr>
            <w:r w:rsidRPr="009E064B">
              <w:rPr>
                <w:rFonts w:asciiTheme="minorHAnsi" w:hAnsiTheme="minorHAnsi" w:cstheme="minorHAnsi"/>
                <w:sz w:val="20"/>
                <w:szCs w:val="20"/>
              </w:rPr>
              <w:t xml:space="preserve">Droga startowa przeznaczona do startów w warunkach widzialności wzdłuż drogi startowej poniżej </w:t>
            </w:r>
            <w:smartTag w:uri="urn:schemas-microsoft-com:office:smarttags" w:element="metricconverter">
              <w:smartTagPr>
                <w:attr w:name="ProductID" w:val="800 m"/>
              </w:smartTagPr>
              <w:r w:rsidRPr="009E064B">
                <w:rPr>
                  <w:rFonts w:asciiTheme="minorHAnsi" w:hAnsiTheme="minorHAnsi" w:cstheme="minorHAnsi"/>
                  <w:sz w:val="20"/>
                  <w:szCs w:val="20"/>
                </w:rPr>
                <w:t>800 m</w:t>
              </w:r>
            </w:smartTag>
          </w:p>
        </w:tc>
        <w:tc>
          <w:tcPr>
            <w:tcW w:w="2139" w:type="pct"/>
            <w:tcMar>
              <w:top w:w="85" w:type="dxa"/>
              <w:left w:w="113" w:type="dxa"/>
              <w:bottom w:w="85" w:type="dxa"/>
              <w:right w:w="57" w:type="dxa"/>
            </w:tcMar>
            <w:vAlign w:val="center"/>
          </w:tcPr>
          <w:p w14:paraId="619DC351"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krawędzi drogi startowej</w:t>
            </w:r>
          </w:p>
        </w:tc>
        <w:tc>
          <w:tcPr>
            <w:tcW w:w="1346" w:type="pct"/>
            <w:tcMar>
              <w:top w:w="85" w:type="dxa"/>
              <w:left w:w="113" w:type="dxa"/>
              <w:bottom w:w="85" w:type="dxa"/>
              <w:right w:w="57" w:type="dxa"/>
            </w:tcMar>
            <w:vAlign w:val="center"/>
          </w:tcPr>
          <w:p w14:paraId="7C5ADDA1"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 xml:space="preserve">15 sekund </w:t>
            </w:r>
            <w:r w:rsidRPr="009E064B">
              <w:rPr>
                <w:rFonts w:asciiTheme="minorHAnsi" w:hAnsiTheme="minorHAnsi" w:cstheme="minorHAnsi"/>
                <w:sz w:val="20"/>
                <w:szCs w:val="20"/>
                <w:vertAlign w:val="superscript"/>
              </w:rPr>
              <w:t>c</w:t>
            </w:r>
          </w:p>
        </w:tc>
      </w:tr>
      <w:tr w:rsidR="00AE1280" w:rsidRPr="009E064B" w14:paraId="18C7638B" w14:textId="77777777" w:rsidTr="00E300A0">
        <w:trPr>
          <w:trHeight w:val="285"/>
          <w:jc w:val="center"/>
        </w:trPr>
        <w:tc>
          <w:tcPr>
            <w:tcW w:w="1515" w:type="pct"/>
            <w:vMerge/>
            <w:tcMar>
              <w:top w:w="57" w:type="dxa"/>
              <w:left w:w="57" w:type="dxa"/>
              <w:bottom w:w="57" w:type="dxa"/>
              <w:right w:w="57" w:type="dxa"/>
            </w:tcMar>
            <w:vAlign w:val="center"/>
          </w:tcPr>
          <w:p w14:paraId="12F91EAD" w14:textId="77777777" w:rsidR="00AE1280" w:rsidRPr="009E064B"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A1A8A24"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końca drogi startowej</w:t>
            </w:r>
          </w:p>
        </w:tc>
        <w:tc>
          <w:tcPr>
            <w:tcW w:w="1346" w:type="pct"/>
            <w:tcMar>
              <w:top w:w="85" w:type="dxa"/>
              <w:left w:w="113" w:type="dxa"/>
              <w:bottom w:w="85" w:type="dxa"/>
              <w:right w:w="57" w:type="dxa"/>
            </w:tcMar>
            <w:vAlign w:val="center"/>
          </w:tcPr>
          <w:p w14:paraId="6732893A"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1E6FB5C0" w14:textId="77777777" w:rsidTr="00E300A0">
        <w:trPr>
          <w:trHeight w:val="285"/>
          <w:jc w:val="center"/>
        </w:trPr>
        <w:tc>
          <w:tcPr>
            <w:tcW w:w="1515" w:type="pct"/>
            <w:vMerge/>
            <w:tcMar>
              <w:top w:w="57" w:type="dxa"/>
              <w:left w:w="57" w:type="dxa"/>
              <w:bottom w:w="57" w:type="dxa"/>
              <w:right w:w="57" w:type="dxa"/>
            </w:tcMar>
            <w:vAlign w:val="center"/>
          </w:tcPr>
          <w:p w14:paraId="34428D6F" w14:textId="77777777" w:rsidR="00AE1280" w:rsidRPr="009E064B"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7838AF2A"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Światła linii środkowej drogi startowej</w:t>
            </w:r>
          </w:p>
        </w:tc>
        <w:tc>
          <w:tcPr>
            <w:tcW w:w="1346" w:type="pct"/>
            <w:tcMar>
              <w:top w:w="85" w:type="dxa"/>
              <w:left w:w="113" w:type="dxa"/>
              <w:bottom w:w="85" w:type="dxa"/>
              <w:right w:w="57" w:type="dxa"/>
            </w:tcMar>
            <w:vAlign w:val="center"/>
          </w:tcPr>
          <w:p w14:paraId="31A4E847"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2A267BBB" w14:textId="77777777" w:rsidTr="00E300A0">
        <w:trPr>
          <w:trHeight w:val="285"/>
          <w:jc w:val="center"/>
        </w:trPr>
        <w:tc>
          <w:tcPr>
            <w:tcW w:w="1515" w:type="pct"/>
            <w:vMerge/>
            <w:tcMar>
              <w:top w:w="57" w:type="dxa"/>
              <w:left w:w="57" w:type="dxa"/>
              <w:bottom w:w="57" w:type="dxa"/>
              <w:right w:w="57" w:type="dxa"/>
            </w:tcMar>
            <w:vAlign w:val="center"/>
          </w:tcPr>
          <w:p w14:paraId="3E9C44F1" w14:textId="77777777" w:rsidR="00AE1280" w:rsidRPr="009E064B"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0C0DA241"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Wszystkie poprzeczki zatrzymania</w:t>
            </w:r>
          </w:p>
        </w:tc>
        <w:tc>
          <w:tcPr>
            <w:tcW w:w="1346" w:type="pct"/>
            <w:tcMar>
              <w:top w:w="85" w:type="dxa"/>
              <w:left w:w="113" w:type="dxa"/>
              <w:bottom w:w="85" w:type="dxa"/>
              <w:right w:w="57" w:type="dxa"/>
            </w:tcMar>
            <w:vAlign w:val="center"/>
          </w:tcPr>
          <w:p w14:paraId="02163CC8"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 sekunda</w:t>
            </w:r>
          </w:p>
        </w:tc>
      </w:tr>
      <w:tr w:rsidR="00AE1280" w:rsidRPr="009E064B" w14:paraId="45EB6E9A" w14:textId="77777777" w:rsidTr="00E300A0">
        <w:trPr>
          <w:trHeight w:val="286"/>
          <w:jc w:val="center"/>
        </w:trPr>
        <w:tc>
          <w:tcPr>
            <w:tcW w:w="1515" w:type="pct"/>
            <w:vMerge/>
            <w:tcMar>
              <w:top w:w="57" w:type="dxa"/>
              <w:left w:w="57" w:type="dxa"/>
              <w:bottom w:w="57" w:type="dxa"/>
              <w:right w:w="57" w:type="dxa"/>
            </w:tcMar>
            <w:vAlign w:val="center"/>
          </w:tcPr>
          <w:p w14:paraId="21657BD2" w14:textId="77777777" w:rsidR="00AE1280" w:rsidRPr="009E064B"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4D4BEB53"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Niezbędna droga kołowania</w:t>
            </w:r>
            <w:r w:rsidRPr="009E064B">
              <w:rPr>
                <w:rFonts w:asciiTheme="minorHAnsi" w:hAnsiTheme="minorHAnsi" w:cstheme="minorHAnsi"/>
                <w:sz w:val="20"/>
                <w:szCs w:val="20"/>
                <w:vertAlign w:val="superscript"/>
              </w:rPr>
              <w:t xml:space="preserve"> a</w:t>
            </w:r>
          </w:p>
        </w:tc>
        <w:tc>
          <w:tcPr>
            <w:tcW w:w="1346" w:type="pct"/>
            <w:tcMar>
              <w:top w:w="85" w:type="dxa"/>
              <w:left w:w="113" w:type="dxa"/>
              <w:bottom w:w="85" w:type="dxa"/>
              <w:right w:w="57" w:type="dxa"/>
            </w:tcMar>
            <w:vAlign w:val="center"/>
          </w:tcPr>
          <w:p w14:paraId="748FA64B"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7956E7AA" w14:textId="77777777" w:rsidTr="00E300A0">
        <w:trPr>
          <w:trHeight w:val="285"/>
          <w:jc w:val="center"/>
        </w:trPr>
        <w:tc>
          <w:tcPr>
            <w:tcW w:w="1515" w:type="pct"/>
            <w:vMerge/>
            <w:tcMar>
              <w:top w:w="57" w:type="dxa"/>
              <w:left w:w="57" w:type="dxa"/>
              <w:bottom w:w="57" w:type="dxa"/>
              <w:right w:w="57" w:type="dxa"/>
            </w:tcMar>
            <w:vAlign w:val="center"/>
          </w:tcPr>
          <w:p w14:paraId="73FEDE63" w14:textId="77777777" w:rsidR="00AE1280" w:rsidRPr="009E064B" w:rsidRDefault="00AE1280" w:rsidP="00AE1280">
            <w:pPr>
              <w:tabs>
                <w:tab w:val="left" w:pos="0"/>
              </w:tabs>
              <w:spacing w:after="0"/>
              <w:jc w:val="left"/>
              <w:rPr>
                <w:rFonts w:asciiTheme="minorHAnsi" w:hAnsiTheme="minorHAnsi" w:cstheme="minorHAnsi"/>
                <w:sz w:val="20"/>
                <w:szCs w:val="20"/>
              </w:rPr>
            </w:pPr>
          </w:p>
        </w:tc>
        <w:tc>
          <w:tcPr>
            <w:tcW w:w="2139" w:type="pct"/>
            <w:tcMar>
              <w:top w:w="85" w:type="dxa"/>
              <w:left w:w="113" w:type="dxa"/>
              <w:bottom w:w="85" w:type="dxa"/>
              <w:right w:w="57" w:type="dxa"/>
            </w:tcMar>
            <w:vAlign w:val="center"/>
          </w:tcPr>
          <w:p w14:paraId="13A67102" w14:textId="77777777" w:rsidR="00AE1280" w:rsidRPr="009E064B" w:rsidRDefault="00AE1280" w:rsidP="00AE1280">
            <w:pPr>
              <w:tabs>
                <w:tab w:val="left" w:pos="0"/>
              </w:tabs>
              <w:spacing w:after="0"/>
              <w:jc w:val="left"/>
              <w:rPr>
                <w:rFonts w:asciiTheme="minorHAnsi" w:hAnsiTheme="minorHAnsi" w:cstheme="minorHAnsi"/>
                <w:sz w:val="20"/>
                <w:szCs w:val="20"/>
              </w:rPr>
            </w:pPr>
            <w:r w:rsidRPr="009E064B">
              <w:rPr>
                <w:rFonts w:asciiTheme="minorHAnsi" w:hAnsiTheme="minorHAnsi" w:cstheme="minorHAnsi"/>
                <w:sz w:val="20"/>
                <w:szCs w:val="20"/>
              </w:rPr>
              <w:t xml:space="preserve">Światła przeszkodowe </w:t>
            </w:r>
            <w:r w:rsidRPr="009E064B">
              <w:rPr>
                <w:rFonts w:asciiTheme="minorHAnsi" w:hAnsiTheme="minorHAnsi" w:cstheme="minorHAnsi"/>
                <w:sz w:val="20"/>
                <w:szCs w:val="20"/>
                <w:vertAlign w:val="superscript"/>
              </w:rPr>
              <w:t>a</w:t>
            </w:r>
          </w:p>
        </w:tc>
        <w:tc>
          <w:tcPr>
            <w:tcW w:w="1346" w:type="pct"/>
            <w:tcMar>
              <w:top w:w="85" w:type="dxa"/>
              <w:left w:w="113" w:type="dxa"/>
              <w:bottom w:w="85" w:type="dxa"/>
              <w:right w:w="57" w:type="dxa"/>
            </w:tcMar>
            <w:vAlign w:val="center"/>
          </w:tcPr>
          <w:p w14:paraId="734A02B6" w14:textId="77777777" w:rsidR="00AE1280" w:rsidRPr="009E064B" w:rsidRDefault="00AE1280" w:rsidP="00AE1280">
            <w:pPr>
              <w:tabs>
                <w:tab w:val="left" w:pos="0"/>
              </w:tabs>
              <w:spacing w:after="0"/>
              <w:jc w:val="center"/>
              <w:rPr>
                <w:rFonts w:asciiTheme="minorHAnsi" w:hAnsiTheme="minorHAnsi" w:cstheme="minorHAnsi"/>
                <w:sz w:val="20"/>
                <w:szCs w:val="20"/>
              </w:rPr>
            </w:pPr>
            <w:r w:rsidRPr="009E064B">
              <w:rPr>
                <w:rFonts w:asciiTheme="minorHAnsi" w:hAnsiTheme="minorHAnsi" w:cstheme="minorHAnsi"/>
                <w:sz w:val="20"/>
                <w:szCs w:val="20"/>
              </w:rPr>
              <w:t>15 sekund</w:t>
            </w:r>
          </w:p>
        </w:tc>
      </w:tr>
      <w:tr w:rsidR="00AE1280" w:rsidRPr="009E064B" w14:paraId="26073B62" w14:textId="77777777" w:rsidTr="00E300A0">
        <w:trPr>
          <w:trHeight w:val="862"/>
          <w:jc w:val="center"/>
        </w:trPr>
        <w:tc>
          <w:tcPr>
            <w:tcW w:w="5000" w:type="pct"/>
            <w:gridSpan w:val="3"/>
            <w:tcBorders>
              <w:left w:val="single" w:sz="4" w:space="0" w:color="auto"/>
              <w:right w:val="single" w:sz="4" w:space="0" w:color="auto"/>
            </w:tcBorders>
            <w:tcMar>
              <w:top w:w="57" w:type="dxa"/>
              <w:bottom w:w="57" w:type="dxa"/>
            </w:tcMar>
          </w:tcPr>
          <w:p w14:paraId="16026629" w14:textId="77777777" w:rsidR="00AE1280" w:rsidRPr="009E064B" w:rsidRDefault="00AE1280" w:rsidP="00AE1280">
            <w:pPr>
              <w:tabs>
                <w:tab w:val="left" w:pos="531"/>
              </w:tabs>
              <w:spacing w:before="120" w:after="80"/>
              <w:ind w:left="533" w:hanging="425"/>
              <w:jc w:val="left"/>
              <w:rPr>
                <w:rFonts w:asciiTheme="minorHAnsi" w:hAnsiTheme="minorHAnsi" w:cstheme="minorHAnsi"/>
                <w:sz w:val="20"/>
                <w:szCs w:val="20"/>
              </w:rPr>
            </w:pPr>
            <w:r w:rsidRPr="009E064B">
              <w:rPr>
                <w:rFonts w:asciiTheme="minorHAnsi" w:hAnsiTheme="minorHAnsi" w:cstheme="minorHAnsi"/>
                <w:sz w:val="20"/>
                <w:szCs w:val="20"/>
              </w:rPr>
              <w:t xml:space="preserve">a. </w:t>
            </w:r>
            <w:r w:rsidRPr="009E064B">
              <w:rPr>
                <w:rFonts w:asciiTheme="minorHAnsi" w:hAnsiTheme="minorHAnsi" w:cstheme="minorHAnsi"/>
                <w:sz w:val="20"/>
                <w:szCs w:val="20"/>
              </w:rPr>
              <w:tab/>
              <w:t>Wyposażone w rezerwowe źródło zasilania, jeżeli ich działanie jest niezbędne dla bezpieczeństwa operacji lotniczych.</w:t>
            </w:r>
          </w:p>
          <w:p w14:paraId="7516010B" w14:textId="77777777" w:rsidR="00AE1280" w:rsidRPr="009E064B" w:rsidRDefault="00AE1280" w:rsidP="00AE1280">
            <w:pPr>
              <w:tabs>
                <w:tab w:val="left" w:pos="531"/>
              </w:tabs>
              <w:spacing w:before="120" w:after="80"/>
              <w:ind w:left="533" w:hanging="425"/>
              <w:jc w:val="left"/>
              <w:rPr>
                <w:rFonts w:asciiTheme="minorHAnsi" w:hAnsiTheme="minorHAnsi" w:cstheme="minorHAnsi"/>
                <w:sz w:val="20"/>
                <w:szCs w:val="20"/>
              </w:rPr>
            </w:pPr>
            <w:r w:rsidRPr="009E064B">
              <w:rPr>
                <w:rFonts w:asciiTheme="minorHAnsi" w:hAnsiTheme="minorHAnsi" w:cstheme="minorHAnsi"/>
                <w:sz w:val="20"/>
                <w:szCs w:val="20"/>
              </w:rPr>
              <w:t xml:space="preserve">b. </w:t>
            </w:r>
            <w:r w:rsidRPr="009E064B">
              <w:rPr>
                <w:rFonts w:asciiTheme="minorHAnsi" w:hAnsiTheme="minorHAnsi" w:cstheme="minorHAnsi"/>
                <w:sz w:val="20"/>
                <w:szCs w:val="20"/>
              </w:rPr>
              <w:tab/>
              <w:t>Użycie świateł awaryjnych, powinno się odbywać zgodnie ustanowionymi procedurami.</w:t>
            </w:r>
          </w:p>
          <w:p w14:paraId="6832EE24" w14:textId="77777777" w:rsidR="00AE1280" w:rsidRPr="009E064B" w:rsidRDefault="00AE1280" w:rsidP="00AE1280">
            <w:pPr>
              <w:tabs>
                <w:tab w:val="left" w:pos="531"/>
              </w:tabs>
              <w:spacing w:before="120" w:after="80"/>
              <w:ind w:left="533" w:hanging="425"/>
              <w:jc w:val="left"/>
              <w:rPr>
                <w:rFonts w:asciiTheme="minorHAnsi" w:hAnsiTheme="minorHAnsi" w:cstheme="minorHAnsi"/>
                <w:sz w:val="20"/>
                <w:szCs w:val="20"/>
              </w:rPr>
            </w:pPr>
            <w:r w:rsidRPr="009E064B">
              <w:rPr>
                <w:rFonts w:asciiTheme="minorHAnsi" w:hAnsiTheme="minorHAnsi" w:cstheme="minorHAnsi"/>
                <w:sz w:val="20"/>
                <w:szCs w:val="20"/>
              </w:rPr>
              <w:t xml:space="preserve">c. </w:t>
            </w:r>
            <w:r w:rsidRPr="009E064B">
              <w:rPr>
                <w:rFonts w:asciiTheme="minorHAnsi" w:hAnsiTheme="minorHAnsi" w:cstheme="minorHAnsi"/>
                <w:sz w:val="20"/>
                <w:szCs w:val="20"/>
              </w:rPr>
              <w:tab/>
              <w:t>1 sekunda, jeżeli światła linii środkowej drogi kołowania nie są zainstalowane.</w:t>
            </w:r>
          </w:p>
          <w:p w14:paraId="04E6D1B2" w14:textId="77777777" w:rsidR="00AE1280" w:rsidRPr="009E064B" w:rsidRDefault="00AE1280" w:rsidP="00AE1280">
            <w:pPr>
              <w:tabs>
                <w:tab w:val="left" w:pos="531"/>
              </w:tabs>
              <w:spacing w:before="120"/>
              <w:ind w:left="533" w:hanging="425"/>
              <w:jc w:val="left"/>
              <w:rPr>
                <w:rFonts w:asciiTheme="minorHAnsi" w:hAnsiTheme="minorHAnsi" w:cstheme="minorHAnsi"/>
                <w:sz w:val="20"/>
                <w:szCs w:val="20"/>
              </w:rPr>
            </w:pPr>
            <w:r w:rsidRPr="009E064B">
              <w:rPr>
                <w:rFonts w:asciiTheme="minorHAnsi" w:hAnsiTheme="minorHAnsi" w:cstheme="minorHAnsi"/>
                <w:sz w:val="20"/>
                <w:szCs w:val="20"/>
              </w:rPr>
              <w:t xml:space="preserve">d. </w:t>
            </w:r>
            <w:r w:rsidRPr="009E064B">
              <w:rPr>
                <w:rFonts w:asciiTheme="minorHAnsi" w:hAnsiTheme="minorHAnsi" w:cstheme="minorHAnsi"/>
                <w:sz w:val="20"/>
                <w:szCs w:val="20"/>
              </w:rPr>
              <w:tab/>
              <w:t>1 sekunda, jeżeli podejście znajduje się nad stromym lub niebezpiecznym terenem.</w:t>
            </w:r>
          </w:p>
        </w:tc>
      </w:tr>
    </w:tbl>
    <w:p w14:paraId="7E7DEE66" w14:textId="77777777" w:rsidR="00C36D76" w:rsidRPr="009E064B" w:rsidRDefault="00C36D76" w:rsidP="00B06A9A">
      <w:pPr>
        <w:tabs>
          <w:tab w:val="left" w:pos="0"/>
        </w:tabs>
        <w:spacing w:after="0"/>
        <w:rPr>
          <w:szCs w:val="20"/>
        </w:rPr>
      </w:pPr>
    </w:p>
    <w:p w14:paraId="4F2FEBD1" w14:textId="753D5C3D" w:rsidR="00F507C4" w:rsidRPr="00FE5FBD" w:rsidRDefault="00C36D76" w:rsidP="00F507C4">
      <w:pPr>
        <w:tabs>
          <w:tab w:val="left" w:pos="0"/>
        </w:tabs>
        <w:jc w:val="center"/>
        <w:rPr>
          <w:b/>
          <w:sz w:val="20"/>
          <w:szCs w:val="20"/>
        </w:rPr>
      </w:pPr>
      <w:r w:rsidRPr="00FE5FBD">
        <w:rPr>
          <w:b/>
          <w:sz w:val="20"/>
          <w:szCs w:val="20"/>
        </w:rPr>
        <w:t>Tabela S-1.   Wymagania dla awaryjnego źródła zasilania</w:t>
      </w:r>
      <w:r w:rsidR="00F507C4" w:rsidRPr="00FE5FBD">
        <w:rPr>
          <w:b/>
          <w:sz w:val="20"/>
          <w:szCs w:val="20"/>
        </w:rPr>
        <w:t xml:space="preserve"> (patrz</w:t>
      </w:r>
      <w:r w:rsidR="00B71205" w:rsidRPr="00FE5FBD">
        <w:rPr>
          <w:b/>
          <w:sz w:val="20"/>
          <w:szCs w:val="20"/>
        </w:rPr>
        <w:t xml:space="preserve"> </w:t>
      </w:r>
      <w:hyperlink w:anchor="_CS_ADR-DSN.S.875_" w:history="1">
        <w:r w:rsidR="00B71205" w:rsidRPr="00FE5FBD">
          <w:rPr>
            <w:rStyle w:val="Hipercze"/>
            <w:b/>
            <w:sz w:val="20"/>
            <w:szCs w:val="20"/>
          </w:rPr>
          <w:t>CS </w:t>
        </w:r>
        <w:r w:rsidR="00F507C4" w:rsidRPr="00FE5FBD">
          <w:rPr>
            <w:rStyle w:val="Hipercze"/>
            <w:b/>
            <w:sz w:val="20"/>
            <w:szCs w:val="20"/>
          </w:rPr>
          <w:t>ADR-DSN.S.875</w:t>
        </w:r>
      </w:hyperlink>
      <w:r w:rsidR="00B71205" w:rsidRPr="00FE5FBD">
        <w:rPr>
          <w:b/>
          <w:sz w:val="20"/>
          <w:szCs w:val="20"/>
        </w:rPr>
        <w:t xml:space="preserve"> lit. </w:t>
      </w:r>
      <w:r w:rsidR="00F507C4" w:rsidRPr="00FE5FBD">
        <w:rPr>
          <w:b/>
          <w:sz w:val="20"/>
          <w:szCs w:val="20"/>
        </w:rPr>
        <w:t>(d))</w:t>
      </w:r>
    </w:p>
    <w:p w14:paraId="7F9B9D3E" w14:textId="73BA6D76" w:rsidR="00C36D76" w:rsidRPr="009E064B" w:rsidRDefault="00C36D76" w:rsidP="00EB3D01">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2063A5B" w14:textId="336D480A" w:rsidR="006F5AD2" w:rsidRPr="009E064B" w:rsidRDefault="0044331D" w:rsidP="00EB3D01">
      <w:pPr>
        <w:spacing w:after="360"/>
      </w:pPr>
      <w:r w:rsidRPr="000412BF">
        <w:rPr>
          <w:rFonts w:asciiTheme="minorHAnsi" w:hAnsiTheme="minorHAnsi" w:cstheme="minorHAnsi"/>
          <w:i/>
          <w:sz w:val="16"/>
          <w:szCs w:val="16"/>
        </w:rPr>
        <w:t>[Wydanie: ADR-DSN/4]</w:t>
      </w:r>
    </w:p>
    <w:p w14:paraId="0FEC62A4" w14:textId="7EF25BCA" w:rsidR="000B1D95" w:rsidRPr="009E064B" w:rsidRDefault="00A74326" w:rsidP="00133B99">
      <w:pPr>
        <w:pStyle w:val="Nagwek6"/>
      </w:pPr>
      <w:bookmarkStart w:id="1804" w:name="_Toc401059085"/>
      <w:bookmarkStart w:id="1805" w:name="_Toc482886958"/>
      <w:bookmarkStart w:id="1806" w:name="_Toc12533305"/>
      <w:bookmarkStart w:id="1807" w:name="_Toc482886735"/>
      <w:r w:rsidRPr="009E064B">
        <w:t xml:space="preserve">GM1 ADR-DSN.S.880     </w:t>
      </w:r>
      <w:r w:rsidR="000B1D95" w:rsidRPr="009E064B">
        <w:t>Systemy zasilania elektrycznego</w:t>
      </w:r>
      <w:bookmarkEnd w:id="1804"/>
      <w:bookmarkEnd w:id="1805"/>
      <w:bookmarkEnd w:id="1806"/>
    </w:p>
    <w:p w14:paraId="4914A0E8" w14:textId="597B866F"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A90DEA7" w14:textId="16D218DF" w:rsidR="000B1D95" w:rsidRPr="009E064B" w:rsidRDefault="000B1D95"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 xml:space="preserve">(a) </w:t>
      </w:r>
      <w:r w:rsidRPr="009E064B">
        <w:rPr>
          <w:rFonts w:cs="TimesNewRomanPS-BoldItalicMT"/>
          <w:bCs/>
          <w:iCs/>
          <w:szCs w:val="20"/>
        </w:rPr>
        <w:tab/>
        <w:t>Na lotnisku, gdzie główna droga startowa jest drogą nieprzyrządową, powinno być zapewnione rezerwowe źródło zasilania elektrycznego zgodnie ze specyfik</w:t>
      </w:r>
      <w:r w:rsidR="00F507C4" w:rsidRPr="009E064B">
        <w:rPr>
          <w:rFonts w:cs="TimesNewRomanPS-BoldItalicMT"/>
          <w:bCs/>
          <w:iCs/>
          <w:szCs w:val="20"/>
        </w:rPr>
        <w:t xml:space="preserve">acjami w </w:t>
      </w:r>
      <w:hyperlink w:anchor="_CS_ADR-DSN.S.875_" w:history="1">
        <w:r w:rsidR="00F507C4" w:rsidRPr="009E064B">
          <w:rPr>
            <w:rStyle w:val="Hipercze"/>
            <w:rFonts w:cs="TimesNewRomanPS-BoldItalicMT"/>
            <w:bCs/>
            <w:iCs/>
            <w:szCs w:val="20"/>
          </w:rPr>
          <w:t>CS ADR-DSN.S.875</w:t>
        </w:r>
      </w:hyperlink>
      <w:r w:rsidR="00B71205" w:rsidRPr="009E064B">
        <w:rPr>
          <w:rFonts w:cs="TimesNewRomanPS-BoldItalicMT"/>
          <w:bCs/>
          <w:iCs/>
          <w:szCs w:val="20"/>
        </w:rPr>
        <w:t xml:space="preserve"> lit. </w:t>
      </w:r>
      <w:r w:rsidR="00F507C4" w:rsidRPr="009E064B">
        <w:rPr>
          <w:rFonts w:cs="TimesNewRomanPS-BoldItalicMT"/>
          <w:bCs/>
          <w:iCs/>
          <w:szCs w:val="20"/>
        </w:rPr>
        <w:t>(d), z </w:t>
      </w:r>
      <w:r w:rsidRPr="009E064B">
        <w:rPr>
          <w:rFonts w:cs="TimesNewRomanPS-BoldItalicMT"/>
          <w:bCs/>
          <w:iCs/>
          <w:szCs w:val="20"/>
        </w:rPr>
        <w:t>wyjątkiem przypadku, gdy rezerwowe źródło zasilania dla pomocy wzrokowych nie musi być zapewnione, jeśli zapewniony jest system świateł awaryjnych i może być on rozwinięty w ciągu 15 minut.</w:t>
      </w:r>
    </w:p>
    <w:p w14:paraId="22BAABE6" w14:textId="2C205D3C" w:rsidR="000B1D95" w:rsidRPr="009E064B" w:rsidRDefault="000B1D95" w:rsidP="00B06A9A">
      <w:pPr>
        <w:tabs>
          <w:tab w:val="left" w:pos="567"/>
        </w:tabs>
        <w:autoSpaceDE w:val="0"/>
        <w:autoSpaceDN w:val="0"/>
        <w:adjustRightInd w:val="0"/>
        <w:ind w:left="567" w:hanging="567"/>
        <w:rPr>
          <w:rFonts w:cs="TimesNewRomanPS-BoldItalicMT"/>
          <w:bCs/>
          <w:iCs/>
          <w:szCs w:val="20"/>
        </w:rPr>
      </w:pPr>
      <w:r w:rsidRPr="009E064B">
        <w:rPr>
          <w:rFonts w:cs="TimesNewRomanPS-BoldItalicMT"/>
          <w:bCs/>
          <w:iCs/>
          <w:szCs w:val="20"/>
        </w:rPr>
        <w:t>(b)</w:t>
      </w:r>
      <w:r w:rsidRPr="009E064B">
        <w:rPr>
          <w:rFonts w:cs="TimesNewRomanPS-BoldItalicMT"/>
          <w:bCs/>
          <w:iCs/>
          <w:szCs w:val="20"/>
        </w:rPr>
        <w:tab/>
        <w:t>Specyfikacje dotyczące rezerwowego źródła zasilania dla pomocy radionawigacyjnych oraz elementów naziemnych systemów łączności znajdują się w Załącznik</w:t>
      </w:r>
      <w:r w:rsidR="00B71205" w:rsidRPr="009E064B">
        <w:rPr>
          <w:rFonts w:cs="TimesNewRomanPS-BoldItalicMT"/>
          <w:bCs/>
          <w:iCs/>
          <w:szCs w:val="20"/>
        </w:rPr>
        <w:t>u 10 ICAO, Tom </w:t>
      </w:r>
      <w:r w:rsidRPr="009E064B">
        <w:rPr>
          <w:rFonts w:cs="TimesNewRomanPS-BoldItalicMT"/>
          <w:bCs/>
          <w:iCs/>
          <w:szCs w:val="20"/>
        </w:rPr>
        <w:t>I „Łączność lotnicza”, Rozdział 2.</w:t>
      </w:r>
    </w:p>
    <w:p w14:paraId="6E615A83"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Wymagania dotyczące rezerwowego źródła zasilania powinny być spełnione przy użyciu jednego z poniższych warunków:</w:t>
      </w:r>
    </w:p>
    <w:p w14:paraId="27DA4A21" w14:textId="77777777" w:rsidR="000B1D95" w:rsidRPr="009E064B" w:rsidRDefault="000B1D95"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niezależne źródło zasilania z sieci publicznej lotniska powinno być wyprowadzone z innej podstacji niż podstawowa podstacja poprzez linię przesyłową przebiegającą po innej trasie niż linia podstawowego źródła zasilania, tak, aby prawdopodobieństwo równoczesnej awarii podstawowego i rezerwowego źródła zasilania z sieci publicznej było jak najmniejsze; lub</w:t>
      </w:r>
    </w:p>
    <w:p w14:paraId="7C5A953F" w14:textId="77777777" w:rsidR="000B1D95" w:rsidRPr="009E064B" w:rsidRDefault="000B1D95"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rezerwowe jednostki zasilania, którymi są awaryjne zespoły prądotwórcze, akumulatory itp., z których można otrzymać energię elektryczną.</w:t>
      </w:r>
    </w:p>
    <w:p w14:paraId="3A1C9A1B"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Wytyczne dotyczące systemów elektrycznych znajdują się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5 „</w:t>
      </w:r>
      <w:r w:rsidRPr="009E064B">
        <w:rPr>
          <w:rFonts w:eastAsia="Times New Roman,Italic" w:cs="Times New Roman,Italic"/>
          <w:i/>
          <w:iCs/>
          <w:szCs w:val="20"/>
        </w:rPr>
        <w:t>Systemy elektryczne</w:t>
      </w:r>
      <w:r w:rsidRPr="009E064B">
        <w:rPr>
          <w:rFonts w:eastAsia="Times New Roman,Italic" w:cs="Times New Roman,Italic"/>
          <w:iCs/>
          <w:szCs w:val="20"/>
        </w:rPr>
        <w:t>”.</w:t>
      </w:r>
    </w:p>
    <w:p w14:paraId="7650E056"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Wymóg zapewnienia minimalnego oświetlenia może być spełniony innymi środkami.</w:t>
      </w:r>
    </w:p>
    <w:p w14:paraId="17BB3DFA"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2A7391B" w14:textId="372C42FD" w:rsidR="00C36D76" w:rsidRPr="009E064B" w:rsidRDefault="006F5AD2" w:rsidP="00B06A9A">
      <w:pPr>
        <w:pStyle w:val="Nagwek4"/>
        <w:rPr>
          <w:color w:val="auto"/>
        </w:rPr>
      </w:pPr>
      <w:bookmarkStart w:id="1808" w:name="_Toc12533306"/>
      <w:r w:rsidRPr="009E064B">
        <w:rPr>
          <w:color w:val="auto"/>
        </w:rPr>
        <w:t xml:space="preserve">CS ADR-DSN.S.885     </w:t>
      </w:r>
      <w:r w:rsidR="00C36D76" w:rsidRPr="009E064B">
        <w:rPr>
          <w:color w:val="auto"/>
        </w:rPr>
        <w:t>Projekt systemu</w:t>
      </w:r>
      <w:bookmarkEnd w:id="1807"/>
      <w:r w:rsidR="00E90C25" w:rsidRPr="009E064B">
        <w:rPr>
          <w:color w:val="auto"/>
        </w:rPr>
        <w:t xml:space="preserve"> elektrycznego</w:t>
      </w:r>
      <w:bookmarkEnd w:id="1808"/>
    </w:p>
    <w:p w14:paraId="0A3F08C2" w14:textId="02641660"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744691CE" w14:textId="30FA9535" w:rsidR="00C36D76" w:rsidRPr="009E064B" w:rsidRDefault="00C36D76" w:rsidP="006F5AD2">
      <w:pPr>
        <w:tabs>
          <w:tab w:val="left" w:pos="567"/>
        </w:tabs>
        <w:ind w:left="567" w:hanging="567"/>
        <w:rPr>
          <w:szCs w:val="20"/>
        </w:rPr>
      </w:pPr>
      <w:r w:rsidRPr="009E064B">
        <w:rPr>
          <w:rFonts w:cs="Times New Roman"/>
          <w:szCs w:val="20"/>
        </w:rPr>
        <w:t xml:space="preserve">(a) </w:t>
      </w:r>
      <w:r w:rsidRPr="009E064B">
        <w:rPr>
          <w:rFonts w:cs="Times New Roman"/>
          <w:szCs w:val="20"/>
        </w:rPr>
        <w:tab/>
        <w:t xml:space="preserve">Dla drogi startowej przeznaczonej do użytkowania </w:t>
      </w:r>
      <w:r w:rsidRPr="009E064B">
        <w:rPr>
          <w:szCs w:val="20"/>
        </w:rPr>
        <w:t>w warunkach widzialności wzdłuż drogi startowej mniejszej</w:t>
      </w:r>
      <w:r w:rsidR="00E90C25" w:rsidRPr="009E064B">
        <w:rPr>
          <w:szCs w:val="20"/>
        </w:rPr>
        <w:t xml:space="preserve"> niż 550 m, systemy elektryczne</w:t>
      </w:r>
      <w:r w:rsidRPr="009E064B">
        <w:rPr>
          <w:szCs w:val="20"/>
        </w:rPr>
        <w:t xml:space="preserve"> służące do zasilania w energię elektryczną, </w:t>
      </w:r>
      <w:r w:rsidR="00E90C25" w:rsidRPr="009E064B">
        <w:rPr>
          <w:szCs w:val="20"/>
        </w:rPr>
        <w:t xml:space="preserve">do </w:t>
      </w:r>
      <w:r w:rsidRPr="009E064B">
        <w:rPr>
          <w:szCs w:val="20"/>
        </w:rPr>
        <w:t>oświetlenia oraz do kontroli systemów świetlnych, zawarte w Tabeli S-1, powinny być zaprojektowane w taki sposób, aby w przypadku awarii, pilot miał zapewnione wystarczające wzrokowe prowadzenie oraz nie otrzymał informacji wprowadzającej w błąd.</w:t>
      </w:r>
    </w:p>
    <w:p w14:paraId="5254733C" w14:textId="21723786"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00E90C25" w:rsidRPr="009E064B">
        <w:rPr>
          <w:szCs w:val="20"/>
        </w:rPr>
        <w:t>Na lotnisku</w:t>
      </w:r>
      <w:r w:rsidRPr="009E064B">
        <w:rPr>
          <w:szCs w:val="20"/>
        </w:rPr>
        <w:t xml:space="preserve"> wyposażonym w rezerwowe źródło zasilania z podwójnym systemem zasilającym, systemy zasilania muszą być oddzielone, zarówno fizycznie jak i elektrycznie, w</w:t>
      </w:r>
      <w:r w:rsidR="000971D5" w:rsidRPr="009E064B">
        <w:rPr>
          <w:szCs w:val="20"/>
        </w:rPr>
        <w:t xml:space="preserve"> </w:t>
      </w:r>
      <w:r w:rsidRPr="009E064B">
        <w:rPr>
          <w:szCs w:val="20"/>
        </w:rPr>
        <w:t>taki sposób, aby zachowany był wymagany poziom dostępności i niezależności tych systemów.</w:t>
      </w:r>
    </w:p>
    <w:p w14:paraId="0CD5B81D"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Jeżeli droga startowa stanowiąca część standardowej trasy kołowania jest wyposażona w światła drogi startowej oraz światła drogi kołowania, to systemy te powinny się wzajemnie blokować tak, aby nie było możliwe równoczesne włączenie obu systemów.</w:t>
      </w:r>
    </w:p>
    <w:p w14:paraId="7E04F8EA" w14:textId="14D90867" w:rsidR="000B1D95" w:rsidRPr="009E064B" w:rsidRDefault="000B1D95" w:rsidP="00133B99">
      <w:pPr>
        <w:pStyle w:val="Nagwek6"/>
      </w:pPr>
      <w:bookmarkStart w:id="1809" w:name="_Toc401059086"/>
      <w:bookmarkStart w:id="1810" w:name="_Toc482886959"/>
      <w:bookmarkStart w:id="1811" w:name="_Toc12533307"/>
      <w:r w:rsidRPr="009E064B">
        <w:t xml:space="preserve">GM1 ADR-DSN.S.885 </w:t>
      </w:r>
      <w:r w:rsidR="00A74326" w:rsidRPr="009E064B">
        <w:t xml:space="preserve">    </w:t>
      </w:r>
      <w:r w:rsidRPr="009E064B">
        <w:t>Projekt systemu</w:t>
      </w:r>
      <w:bookmarkEnd w:id="1809"/>
      <w:bookmarkEnd w:id="1810"/>
      <w:r w:rsidR="00E90C25" w:rsidRPr="009E064B">
        <w:t xml:space="preserve"> elektrycznego</w:t>
      </w:r>
      <w:bookmarkEnd w:id="1811"/>
    </w:p>
    <w:p w14:paraId="2A1F097E" w14:textId="0BBA693C"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FCE14AF" w14:textId="4A8C416A" w:rsidR="000B1D95" w:rsidRPr="009E064B" w:rsidRDefault="000B1D95" w:rsidP="00B06A9A">
      <w:pPr>
        <w:autoSpaceDE w:val="0"/>
        <w:autoSpaceDN w:val="0"/>
        <w:adjustRightInd w:val="0"/>
        <w:rPr>
          <w:rFonts w:eastAsia="Times New Roman,Italic" w:cs="Times New Roman,Italic"/>
          <w:iCs/>
          <w:szCs w:val="20"/>
        </w:rPr>
      </w:pPr>
      <w:r w:rsidRPr="009E064B">
        <w:rPr>
          <w:rFonts w:eastAsia="Times New Roman,Italic" w:cs="Times New Roman,Italic"/>
          <w:iCs/>
          <w:szCs w:val="20"/>
        </w:rPr>
        <w:t>Wytyczne dotyczące środków zapewniających tą ochronę znajdują się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5 „</w:t>
      </w:r>
      <w:r w:rsidRPr="009E064B">
        <w:rPr>
          <w:rFonts w:eastAsia="Times New Roman,Italic" w:cs="Times New Roman,Italic"/>
          <w:i/>
          <w:iCs/>
          <w:szCs w:val="20"/>
        </w:rPr>
        <w:t>Systemy elektryczne</w:t>
      </w:r>
      <w:r w:rsidRPr="009E064B">
        <w:rPr>
          <w:rFonts w:eastAsia="Times New Roman,Italic" w:cs="Times New Roman,Italic"/>
          <w:iCs/>
          <w:szCs w:val="20"/>
        </w:rPr>
        <w:t>”.</w:t>
      </w:r>
    </w:p>
    <w:p w14:paraId="3FFC31CD"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B80CBFC" w14:textId="3342099A" w:rsidR="00C36D76" w:rsidRPr="009E064B" w:rsidRDefault="00A74326" w:rsidP="00B06A9A">
      <w:pPr>
        <w:pStyle w:val="Nagwek4"/>
        <w:rPr>
          <w:color w:val="auto"/>
        </w:rPr>
      </w:pPr>
      <w:bookmarkStart w:id="1812" w:name="_Toc482886736"/>
      <w:bookmarkStart w:id="1813" w:name="_Toc12533308"/>
      <w:r w:rsidRPr="009E064B">
        <w:rPr>
          <w:color w:val="auto"/>
        </w:rPr>
        <w:t xml:space="preserve">CS ADR-DSN.S.890     </w:t>
      </w:r>
      <w:r w:rsidR="00C36D76" w:rsidRPr="009E064B">
        <w:rPr>
          <w:color w:val="auto"/>
        </w:rPr>
        <w:t>Monitor</w:t>
      </w:r>
      <w:bookmarkEnd w:id="1812"/>
      <w:r w:rsidR="00E90C25" w:rsidRPr="009E064B">
        <w:rPr>
          <w:color w:val="auto"/>
        </w:rPr>
        <w:t>owanie systemów świetlnych</w:t>
      </w:r>
      <w:bookmarkEnd w:id="1813"/>
      <w:r w:rsidR="00E90C25" w:rsidRPr="009E064B">
        <w:rPr>
          <w:color w:val="auto"/>
        </w:rPr>
        <w:t xml:space="preserve"> </w:t>
      </w:r>
    </w:p>
    <w:p w14:paraId="0829A8F2" w14:textId="794008D3"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71E7AE2" w14:textId="2C94DAE4"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System monitor</w:t>
      </w:r>
      <w:r w:rsidR="00E90C25" w:rsidRPr="009E064B">
        <w:rPr>
          <w:szCs w:val="20"/>
        </w:rPr>
        <w:t>owania</w:t>
      </w:r>
      <w:r w:rsidRPr="009E064B">
        <w:rPr>
          <w:szCs w:val="20"/>
        </w:rPr>
        <w:t xml:space="preserve"> powinien być zainstalowany w celu wskazywania operacyjnego statusu systemów świetlnych.</w:t>
      </w:r>
    </w:p>
    <w:p w14:paraId="775CFF26" w14:textId="27986CAE"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Jeżeli systemy świetlne są wykorzystywane do kontrolowania</w:t>
      </w:r>
      <w:r w:rsidR="003F1EC3" w:rsidRPr="009E064B">
        <w:rPr>
          <w:szCs w:val="20"/>
        </w:rPr>
        <w:t xml:space="preserve"> ruchu statków powietrznych, to </w:t>
      </w:r>
      <w:r w:rsidRPr="009E064B">
        <w:rPr>
          <w:szCs w:val="20"/>
        </w:rPr>
        <w:t>systemy te powinny być automatycznie monitorowane tak, aby zapewnić wskazania jakiejkolwiek awarii, która może mieć wpływ na funkcje kontrolne. Informacja ta powinna być automatycznie przekazana do służb ruchu lotniczego.</w:t>
      </w:r>
    </w:p>
    <w:p w14:paraId="45B546D8" w14:textId="78787773"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Jeżeli zaszły zmiany w statusie operacyjnym świateł, wskazanie te</w:t>
      </w:r>
      <w:r w:rsidR="003F1EC3" w:rsidRPr="009E064B">
        <w:rPr>
          <w:szCs w:val="20"/>
        </w:rPr>
        <w:t>j zmiany powinno nastąpić w </w:t>
      </w:r>
      <w:r w:rsidRPr="009E064B">
        <w:rPr>
          <w:szCs w:val="20"/>
        </w:rPr>
        <w:t>czasie nie dłuższym niż 2 sekundy w przypadku poprzeczek zatrzymania w miejscu oczekiwania przed drogą startową oraz w czasie nie dłuższym niż 5 sekund w przypadku innych rodzajów pomocy wzrokowych.</w:t>
      </w:r>
    </w:p>
    <w:p w14:paraId="566BB7FD" w14:textId="44565A1D"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W przypadku dróg startowych wykorzystywanych w warunkach widzialności wzdłuż drogi startowej mniejszej niż 550 m, systemy świetlne określone w Tabeli S-1 powinny być monitorowane automatycznie tak, aby zapewnić wskazanie, że poziom niezawodności jakiegokolwiek elementu spadł poniżej minimalnego poziomu niezawodności okreś</w:t>
      </w:r>
      <w:r w:rsidR="00B71205" w:rsidRPr="009E064B">
        <w:rPr>
          <w:szCs w:val="20"/>
        </w:rPr>
        <w:t xml:space="preserve">lonego odpowiednio w </w:t>
      </w:r>
      <w:hyperlink w:anchor="_CS_ADR-DSN.S.895_" w:history="1">
        <w:r w:rsidR="00B71205" w:rsidRPr="009E064B">
          <w:rPr>
            <w:rStyle w:val="Hipercze"/>
            <w:szCs w:val="20"/>
          </w:rPr>
          <w:t>CS </w:t>
        </w:r>
        <w:r w:rsidRPr="009E064B">
          <w:rPr>
            <w:rStyle w:val="Hipercze"/>
            <w:szCs w:val="20"/>
          </w:rPr>
          <w:t>ADR-DSN.S.895</w:t>
        </w:r>
      </w:hyperlink>
      <w:r w:rsidR="00B71205" w:rsidRPr="009E064B">
        <w:rPr>
          <w:szCs w:val="20"/>
        </w:rPr>
        <w:t xml:space="preserve"> lit. </w:t>
      </w:r>
      <w:r w:rsidRPr="009E064B">
        <w:rPr>
          <w:szCs w:val="20"/>
        </w:rPr>
        <w:t>(c) do (g). Informacja ta powinna być automatycznie przekazana służbom utrzymania.</w:t>
      </w:r>
    </w:p>
    <w:p w14:paraId="7D7E57D9" w14:textId="77777777"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W przypadku dróg startowych wykorzystywanych w warunkach widzialności wzdłuż drogi startowej mniejszej niż 550 m, systemy świetlne określone w Tabeli S-1 powinny być monitorowane automatycznie tak, aby zapewnić wskazanie, że poziom niezawodności jakiegokolwiek elementu spadł poniżej minimalnego poziomu niezawodności, poniżej którego operacje nie powinny być kontynuowane. Informacja ta powinna być automatycznie przekazana służbom ruchu lotniczego oraz wyświetlona w widocznym miejscu.</w:t>
      </w:r>
    </w:p>
    <w:p w14:paraId="72FD1218"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71AC2311" w14:textId="0E926EEB" w:rsidR="000B1D95" w:rsidRPr="009E064B" w:rsidRDefault="000B1D95" w:rsidP="00133B99">
      <w:pPr>
        <w:pStyle w:val="Nagwek6"/>
      </w:pPr>
      <w:bookmarkStart w:id="1814" w:name="_Toc482886960"/>
      <w:bookmarkStart w:id="1815" w:name="_Toc12533309"/>
      <w:r w:rsidRPr="009E064B">
        <w:t xml:space="preserve">GM1 ADR-DSN.S.890 </w:t>
      </w:r>
      <w:r w:rsidR="00A74326" w:rsidRPr="009E064B">
        <w:t xml:space="preserve">    </w:t>
      </w:r>
      <w:r w:rsidRPr="009E064B">
        <w:t>Monitoring</w:t>
      </w:r>
      <w:bookmarkEnd w:id="1814"/>
      <w:bookmarkEnd w:id="1815"/>
    </w:p>
    <w:p w14:paraId="5FC3BC08" w14:textId="5BA0FD03"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73CA4938" w14:textId="209D77AF"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(a)</w:t>
      </w:r>
      <w:r w:rsidRPr="009E064B">
        <w:rPr>
          <w:rFonts w:eastAsia="Times New Roman,Italic" w:cs="Times New Roman,Italic"/>
          <w:iCs/>
          <w:szCs w:val="20"/>
        </w:rPr>
        <w:tab/>
        <w:t>Dla drogi startowej przeznaczonej do użycia w warunkach widzialności wzdłuż drogi startowej poniżej warto</w:t>
      </w:r>
      <w:r w:rsidR="00E90C25" w:rsidRPr="009E064B">
        <w:rPr>
          <w:rFonts w:eastAsia="Times New Roman,Italic" w:cs="Times New Roman,Italic"/>
          <w:iCs/>
          <w:szCs w:val="20"/>
        </w:rPr>
        <w:t>ści 550 m powinien być ustalony</w:t>
      </w:r>
      <w:r w:rsidRPr="009E064B">
        <w:rPr>
          <w:rFonts w:eastAsia="Times New Roman,Italic" w:cs="Times New Roman,Italic"/>
          <w:iCs/>
          <w:szCs w:val="20"/>
        </w:rPr>
        <w:t xml:space="preserve"> przez właściwy organ, minimalny poziom niezawodności jakiegokolwiek elementu systemu świateł, wyszczególnionego w Tabeli S-1, poniżej którego operacje nie powinny kontynuowane.</w:t>
      </w:r>
    </w:p>
    <w:p w14:paraId="3267E7E6"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eastAsia="Times New Roman,Italic" w:cs="Times New Roman,Italic"/>
          <w:iCs/>
          <w:szCs w:val="20"/>
        </w:rPr>
        <w:t>(b)</w:t>
      </w:r>
      <w:r w:rsidRPr="009E064B">
        <w:rPr>
          <w:rFonts w:eastAsia="Times New Roman,Italic" w:cs="Times New Roman,Italic"/>
          <w:iCs/>
          <w:szCs w:val="20"/>
        </w:rPr>
        <w:tab/>
        <w:t>Dodatkowe wytyczne dotyczące monitorowania pomocy wzrokowych oraz połączenia ze służbami ruchu lotniczego są określone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ICAO Doc 9157, Część 5 „</w:t>
      </w:r>
      <w:r w:rsidRPr="009E064B">
        <w:rPr>
          <w:rFonts w:eastAsia="Times New Roman,Italic" w:cs="Times New Roman,Italic"/>
          <w:i/>
          <w:iCs/>
          <w:szCs w:val="20"/>
        </w:rPr>
        <w:t>Systemy elektryczne</w:t>
      </w:r>
      <w:r w:rsidRPr="009E064B">
        <w:rPr>
          <w:rFonts w:eastAsia="Times New Roman,Italic" w:cs="Times New Roman,Italic"/>
          <w:iCs/>
          <w:szCs w:val="20"/>
        </w:rPr>
        <w:t>”.</w:t>
      </w:r>
    </w:p>
    <w:p w14:paraId="57383473"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34C5B0C4" w14:textId="2A0F136B" w:rsidR="00C36D76" w:rsidRPr="009E064B" w:rsidRDefault="00A74326" w:rsidP="00B06A9A">
      <w:pPr>
        <w:pStyle w:val="Nagwek4"/>
        <w:rPr>
          <w:color w:val="auto"/>
        </w:rPr>
      </w:pPr>
      <w:bookmarkStart w:id="1816" w:name="_CS_ADR-DSN.S.895_"/>
      <w:bookmarkStart w:id="1817" w:name="_Toc482886737"/>
      <w:bookmarkStart w:id="1818" w:name="_Toc12533310"/>
      <w:bookmarkEnd w:id="1816"/>
      <w:r w:rsidRPr="009E064B">
        <w:rPr>
          <w:color w:val="auto"/>
        </w:rPr>
        <w:t xml:space="preserve">CS ADR-DSN.S.895     </w:t>
      </w:r>
      <w:r w:rsidR="00C36D76" w:rsidRPr="009E064B">
        <w:rPr>
          <w:color w:val="auto"/>
        </w:rPr>
        <w:t>Poziomy niezawodności</w:t>
      </w:r>
      <w:bookmarkEnd w:id="1817"/>
      <w:bookmarkEnd w:id="1818"/>
    </w:p>
    <w:p w14:paraId="44E878BA" w14:textId="06E3ACA5"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F1B1C15" w14:textId="03CE484B"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Światło powinno być uważane za niesprawne, jeżeli średnia intensywność jego głównej wiązki jest mniejsza niż 50% wartości określonej na o</w:t>
      </w:r>
      <w:r w:rsidR="003F1EC3" w:rsidRPr="009E064B">
        <w:rPr>
          <w:rFonts w:cs="Times New Roman"/>
          <w:szCs w:val="20"/>
        </w:rPr>
        <w:t xml:space="preserve">dpowiednim rysunku w </w:t>
      </w:r>
      <w:hyperlink w:anchor="_CS_ADR-DSN.U.940_" w:history="1">
        <w:r w:rsidR="003F1EC3" w:rsidRPr="009E064B">
          <w:rPr>
            <w:rStyle w:val="Hipercze"/>
            <w:rFonts w:cs="Times New Roman"/>
            <w:szCs w:val="20"/>
          </w:rPr>
          <w:t>CS </w:t>
        </w:r>
        <w:r w:rsidRPr="009E064B">
          <w:rPr>
            <w:rStyle w:val="Hipercze"/>
            <w:rFonts w:cs="Times New Roman"/>
            <w:szCs w:val="20"/>
          </w:rPr>
          <w:t>ADR-DSN.U.940</w:t>
        </w:r>
      </w:hyperlink>
      <w:r w:rsidRPr="009E064B">
        <w:rPr>
          <w:rFonts w:cs="Times New Roman"/>
          <w:szCs w:val="20"/>
        </w:rPr>
        <w:t xml:space="preserve">. </w:t>
      </w:r>
      <w:r w:rsidR="00B7240A" w:rsidRPr="009E064B">
        <w:rPr>
          <w:rFonts w:cs="Times New Roman"/>
          <w:szCs w:val="20"/>
        </w:rPr>
        <w:br/>
      </w:r>
      <w:r w:rsidRPr="009E064B">
        <w:rPr>
          <w:rFonts w:cs="Times New Roman"/>
          <w:szCs w:val="20"/>
        </w:rPr>
        <w:t>Dla jednostek świetlnych, których projektowana, średnia intensywność głównej wiązki jest większa niż war</w:t>
      </w:r>
      <w:r w:rsidR="00B71205" w:rsidRPr="009E064B">
        <w:rPr>
          <w:rFonts w:cs="Times New Roman"/>
          <w:szCs w:val="20"/>
        </w:rPr>
        <w:t xml:space="preserve">tość przedstawiona w </w:t>
      </w:r>
      <w:hyperlink w:anchor="_CS_ADR-DSN.U.940_" w:history="1">
        <w:r w:rsidR="00B71205" w:rsidRPr="009E064B">
          <w:rPr>
            <w:rStyle w:val="Hipercze"/>
            <w:rFonts w:cs="Times New Roman"/>
            <w:szCs w:val="20"/>
          </w:rPr>
          <w:t>CS </w:t>
        </w:r>
        <w:r w:rsidRPr="009E064B">
          <w:rPr>
            <w:rStyle w:val="Hipercze"/>
            <w:rFonts w:cs="Times New Roman"/>
            <w:szCs w:val="20"/>
          </w:rPr>
          <w:t>ADR-DSN.U.940</w:t>
        </w:r>
      </w:hyperlink>
      <w:r w:rsidRPr="009E064B">
        <w:rPr>
          <w:rFonts w:cs="Times New Roman"/>
          <w:szCs w:val="20"/>
        </w:rPr>
        <w:t>, wartość 50% należy odnieść do wartości projektowanej.</w:t>
      </w:r>
    </w:p>
    <w:p w14:paraId="6E11130A"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t xml:space="preserve">W celu zapewnienia niezawodności systemu świetlnego oraz systemu </w:t>
      </w:r>
      <w:r w:rsidRPr="009E064B">
        <w:rPr>
          <w:szCs w:val="20"/>
        </w:rPr>
        <w:t>oznakowania</w:t>
      </w:r>
      <w:r w:rsidRPr="009E064B">
        <w:rPr>
          <w:rFonts w:cs="Times New Roman"/>
          <w:szCs w:val="20"/>
        </w:rPr>
        <w:t>, należy wdrożyć system utrzymania prewencyjnego pomocy wzrokowych.</w:t>
      </w:r>
    </w:p>
    <w:p w14:paraId="2014566E"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System utrzymania prewencyjnego wdrożony dla drogi startowej z podejściem precyzyjnym kategorii II lub III powinien zakładać, że w czasie trwania operacji lotniczych w warunkach kategorii II lub III, wszystkie światła systemu podejścia oraz drogi startowej są sprawne, a w żadnym przypadku nie mniej niż:</w:t>
      </w:r>
    </w:p>
    <w:p w14:paraId="47446DBC"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(1)</w:t>
      </w:r>
      <w:r w:rsidRPr="009E064B">
        <w:rPr>
          <w:rFonts w:cs="Times New Roman"/>
          <w:szCs w:val="20"/>
        </w:rPr>
        <w:tab/>
        <w:t xml:space="preserve"> 95% świateł jest sprawnych w każdym z poniższych elementów:</w:t>
      </w:r>
    </w:p>
    <w:p w14:paraId="2732B2D8" w14:textId="1C88563E"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 </w:t>
      </w:r>
      <w:r w:rsidRPr="009E064B">
        <w:rPr>
          <w:rFonts w:cs="Times New Roman"/>
          <w:szCs w:val="20"/>
        </w:rPr>
        <w:tab/>
        <w:t>system świateł podejścia precyzyjnego kategorii II i</w:t>
      </w:r>
      <w:r w:rsidR="00B7240A" w:rsidRPr="009E064B">
        <w:rPr>
          <w:rFonts w:cs="Times New Roman"/>
          <w:szCs w:val="20"/>
        </w:rPr>
        <w:t xml:space="preserve"> III na długości pierwszych 450 </w:t>
      </w:r>
      <w:r w:rsidRPr="009E064B">
        <w:rPr>
          <w:rFonts w:cs="Times New Roman"/>
          <w:szCs w:val="20"/>
        </w:rPr>
        <w:t>m licząc od progu;</w:t>
      </w:r>
    </w:p>
    <w:p w14:paraId="5F03D15F"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(ii) </w:t>
      </w:r>
      <w:r w:rsidRPr="009E064B">
        <w:rPr>
          <w:rFonts w:cs="Times New Roman"/>
          <w:szCs w:val="20"/>
        </w:rPr>
        <w:tab/>
        <w:t>światła linii środkowej drogi startowej;</w:t>
      </w:r>
    </w:p>
    <w:p w14:paraId="30841F9A"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(iii) </w:t>
      </w:r>
      <w:r w:rsidRPr="009E064B">
        <w:rPr>
          <w:rFonts w:cs="Times New Roman"/>
          <w:szCs w:val="20"/>
        </w:rPr>
        <w:tab/>
        <w:t>światła progu drogi startowej; oraz</w:t>
      </w:r>
    </w:p>
    <w:p w14:paraId="57BD149C"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(iv) </w:t>
      </w:r>
      <w:r w:rsidRPr="009E064B">
        <w:rPr>
          <w:rFonts w:cs="Times New Roman"/>
          <w:szCs w:val="20"/>
        </w:rPr>
        <w:tab/>
        <w:t>światła krawędzi drogi startowej;</w:t>
      </w:r>
    </w:p>
    <w:p w14:paraId="0BCC9152"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90% świateł jest sprawnych w światłach strefy przyziemienia;</w:t>
      </w:r>
    </w:p>
    <w:p w14:paraId="41EFB8CD"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(3) </w:t>
      </w:r>
      <w:r w:rsidRPr="009E064B">
        <w:rPr>
          <w:rFonts w:cs="Times New Roman"/>
          <w:szCs w:val="20"/>
        </w:rPr>
        <w:tab/>
        <w:t>85% świateł jest sprawnych w systemie świateł podejścia na długości poza 450 m licząc od progu; oraz</w:t>
      </w:r>
    </w:p>
    <w:p w14:paraId="24916B4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(4) </w:t>
      </w:r>
      <w:r w:rsidRPr="009E064B">
        <w:rPr>
          <w:rFonts w:cs="Times New Roman"/>
          <w:szCs w:val="20"/>
        </w:rPr>
        <w:tab/>
        <w:t>75% świateł jest sprawnych w światłach końca drogi startowej.</w:t>
      </w:r>
    </w:p>
    <w:p w14:paraId="79CDAF0D"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(5) </w:t>
      </w:r>
      <w:r w:rsidRPr="009E064B">
        <w:rPr>
          <w:rFonts w:cs="Times New Roman"/>
          <w:szCs w:val="20"/>
        </w:rPr>
        <w:tab/>
        <w:t>W celu zapewnienia ciągłości prowadzenia, niedopuszczalne jest występowanie świateł niesprawnych, nawet w dozwolonej ilości, jeżeli powoduje to fałszowanie podstawowego układu geometrycznego systemu świetlnego.</w:t>
      </w:r>
    </w:p>
    <w:p w14:paraId="62C17643"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(6) </w:t>
      </w:r>
      <w:r w:rsidRPr="009E064B">
        <w:rPr>
          <w:rFonts w:cs="Times New Roman"/>
          <w:szCs w:val="20"/>
        </w:rPr>
        <w:tab/>
        <w:t xml:space="preserve">Ponadto nie zezwala się, aby niesprawne światło sąsiadowało z innym niesprawnym światłem, za wyjątkiem baretki lub poprzeczki, gdzie niesprawność dwóch sąsiednich świateł może być dopuszczalna. </w:t>
      </w:r>
    </w:p>
    <w:p w14:paraId="32E2E1F3"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(d) </w:t>
      </w:r>
      <w:r w:rsidRPr="009E064B">
        <w:rPr>
          <w:rFonts w:cs="Times New Roman"/>
          <w:szCs w:val="20"/>
        </w:rPr>
        <w:tab/>
        <w:t xml:space="preserve">System utrzymania prewencyjnego wdrożony dla poprzeczki zatrzymania </w:t>
      </w:r>
      <w:r w:rsidRPr="009E064B">
        <w:rPr>
          <w:szCs w:val="20"/>
        </w:rPr>
        <w:t>zainstalowanej</w:t>
      </w:r>
      <w:r w:rsidRPr="009E064B">
        <w:rPr>
          <w:rFonts w:cs="Times New Roman"/>
          <w:szCs w:val="20"/>
        </w:rPr>
        <w:t xml:space="preserve"> w miejscu oczekiwania przed drogą startową, wykorzystywanej w połączeniu z drogą startową przeznaczoną do użytkowania w warunkach widzialności wzdłuż drogi startowej mniejszej niż 350 m, powinien zakładać, że:</w:t>
      </w:r>
    </w:p>
    <w:p w14:paraId="4502F98C"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nie więcej niż dwa światła powinny być niesprawne; oraz</w:t>
      </w:r>
    </w:p>
    <w:p w14:paraId="1E2C5AA2"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dwa sąsiednie światła nie powinny być niesprawne, chyba, że odległość pomiędzy światłami jest znacząco mniejsza niż ta określona w przepisach.</w:t>
      </w:r>
    </w:p>
    <w:p w14:paraId="269DCC79"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(e) </w:t>
      </w:r>
      <w:r w:rsidRPr="009E064B">
        <w:rPr>
          <w:rFonts w:cs="Times New Roman"/>
          <w:szCs w:val="20"/>
        </w:rPr>
        <w:tab/>
        <w:t xml:space="preserve">System utrzymania prewencyjnego wdrożony dla drogi kołowania przeznaczonej do </w:t>
      </w:r>
      <w:r w:rsidRPr="009E064B">
        <w:rPr>
          <w:szCs w:val="20"/>
        </w:rPr>
        <w:t>użytkowania</w:t>
      </w:r>
      <w:r w:rsidRPr="009E064B">
        <w:rPr>
          <w:rFonts w:cs="Times New Roman"/>
          <w:szCs w:val="20"/>
        </w:rPr>
        <w:t xml:space="preserve"> w warunkach widzialności wzdłuż drogi startowej mniejszej niż 350 m, powinien zakładać, że nie może być uszkodzonych, dwóch sąsiednich świateł linii środkowej drogi kołowania.</w:t>
      </w:r>
    </w:p>
    <w:p w14:paraId="0EBA0CB6" w14:textId="77777777" w:rsidR="00C36D76" w:rsidRPr="009E064B" w:rsidRDefault="00C36D76" w:rsidP="00B06A9A">
      <w:pPr>
        <w:tabs>
          <w:tab w:val="left" w:pos="567"/>
        </w:tabs>
        <w:ind w:left="567" w:hanging="567"/>
        <w:rPr>
          <w:szCs w:val="20"/>
        </w:rPr>
      </w:pPr>
      <w:r w:rsidRPr="009E064B">
        <w:rPr>
          <w:rFonts w:cs="Times New Roman"/>
          <w:szCs w:val="20"/>
        </w:rPr>
        <w:t xml:space="preserve">(f) </w:t>
      </w:r>
      <w:r w:rsidRPr="009E064B">
        <w:rPr>
          <w:rFonts w:cs="Times New Roman"/>
          <w:szCs w:val="20"/>
        </w:rPr>
        <w:tab/>
      </w:r>
      <w:r w:rsidRPr="009E064B">
        <w:rPr>
          <w:szCs w:val="20"/>
        </w:rPr>
        <w:t>System</w:t>
      </w:r>
      <w:r w:rsidRPr="009E064B">
        <w:rPr>
          <w:rFonts w:cs="Times New Roman"/>
          <w:szCs w:val="20"/>
        </w:rPr>
        <w:t xml:space="preserve"> utrzymania prewencyjnego wdrożony dla drogi startowej z podejściem precyzyjnym kategorii I powinien zakładać, że w czasie trwania operacji lotniczych w warunkach kategorii I, wszystkie światła systemu podejścia oraz drogi startowej są sprawne, a w żadnym przypadku nie mniej niż 85% świateł jest sprawnych w każdym z poniższych elementów:</w:t>
      </w:r>
    </w:p>
    <w:p w14:paraId="128651ED"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system świateł podejścia precyzyjnego kategorii I;</w:t>
      </w:r>
    </w:p>
    <w:p w14:paraId="4601A03A"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światła progu drogi startowej;</w:t>
      </w:r>
    </w:p>
    <w:p w14:paraId="476CB493"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(3) </w:t>
      </w:r>
      <w:r w:rsidRPr="009E064B">
        <w:rPr>
          <w:rFonts w:cs="Times New Roman"/>
          <w:szCs w:val="20"/>
        </w:rPr>
        <w:tab/>
        <w:t>światła krawędzi drogi startowej; oraz</w:t>
      </w:r>
    </w:p>
    <w:p w14:paraId="30584DA2"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(4) </w:t>
      </w:r>
      <w:r w:rsidRPr="009E064B">
        <w:rPr>
          <w:rFonts w:cs="Times New Roman"/>
          <w:szCs w:val="20"/>
        </w:rPr>
        <w:tab/>
        <w:t>światła końca drogi startowej.</w:t>
      </w:r>
    </w:p>
    <w:p w14:paraId="46A71EB6" w14:textId="77777777" w:rsidR="00C36D76" w:rsidRPr="009E064B" w:rsidRDefault="00C36D76" w:rsidP="00B06A9A">
      <w:pPr>
        <w:pStyle w:val="Akapitzlist"/>
        <w:autoSpaceDE w:val="0"/>
        <w:autoSpaceDN w:val="0"/>
        <w:adjustRightInd w:val="0"/>
        <w:ind w:left="567"/>
        <w:rPr>
          <w:rFonts w:cs="Times New Roman"/>
          <w:szCs w:val="20"/>
        </w:rPr>
      </w:pPr>
      <w:r w:rsidRPr="009E064B">
        <w:rPr>
          <w:rFonts w:cs="Times New Roman"/>
          <w:szCs w:val="20"/>
        </w:rPr>
        <w:t>W celu zapewnienia ciągłości prowadzenia, niedopuszczalne jest występowanie światła niesprawnego w sąsiedztwie innego niesprawnego światła, chyba, że odległość pomiędzy światłami jest znacząco mniejsza niż ta określona w przepisach.</w:t>
      </w:r>
    </w:p>
    <w:p w14:paraId="14520450"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(g) </w:t>
      </w:r>
      <w:r w:rsidRPr="009E064B">
        <w:rPr>
          <w:rFonts w:cs="Times New Roman"/>
          <w:szCs w:val="20"/>
        </w:rPr>
        <w:tab/>
        <w:t xml:space="preserve">System utrzymania prewencyjnego wdrożony dla drogi startowej przeznaczonej </w:t>
      </w:r>
      <w:r w:rsidRPr="009E064B">
        <w:rPr>
          <w:szCs w:val="20"/>
        </w:rPr>
        <w:t>wyłącznie</w:t>
      </w:r>
      <w:r w:rsidRPr="009E064B">
        <w:rPr>
          <w:rFonts w:cs="Times New Roman"/>
          <w:szCs w:val="20"/>
        </w:rPr>
        <w:t xml:space="preserve"> do startów, użytkowanej w warunkach widzialności wzdłuż drogi startowej mniejszej niż 550 m, powinien zakładać, że w dowolnym przedziale czasowym, podczas wykonywania operacji lotniczych, wszystkie światła drogi startowej są sprawne, a w żadnym przypadku nie mniej niż:</w:t>
      </w:r>
    </w:p>
    <w:p w14:paraId="297C1C86"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95% świateł linii środkowej drogi startowej (tam, gdzie są zainstalowane) oraz świateł krawędzi drogi startowej jest sprawnych; oraz</w:t>
      </w:r>
    </w:p>
    <w:p w14:paraId="195F01A5"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75% świateł końca drogi startowej jest sprawnych.</w:t>
      </w:r>
    </w:p>
    <w:p w14:paraId="6CCEDCEC" w14:textId="77777777" w:rsidR="00C36D76" w:rsidRPr="009E064B" w:rsidRDefault="00C36D76" w:rsidP="00B06A9A">
      <w:pPr>
        <w:pStyle w:val="Akapitzlist"/>
        <w:autoSpaceDE w:val="0"/>
        <w:autoSpaceDN w:val="0"/>
        <w:adjustRightInd w:val="0"/>
        <w:ind w:left="567"/>
        <w:rPr>
          <w:rFonts w:cs="Times New Roman"/>
          <w:szCs w:val="20"/>
        </w:rPr>
      </w:pPr>
      <w:r w:rsidRPr="009E064B">
        <w:rPr>
          <w:rFonts w:cs="Times New Roman"/>
          <w:szCs w:val="20"/>
        </w:rPr>
        <w:t>W celu zapewnienia ciągłości prowadzenia, niedopuszczalne jest występowanie światła niesprawnego w sąsiedztwie innego niesprawnego światła.</w:t>
      </w:r>
    </w:p>
    <w:p w14:paraId="56FE3C99"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(h) </w:t>
      </w:r>
      <w:r w:rsidRPr="009E064B">
        <w:rPr>
          <w:rFonts w:cs="Times New Roman"/>
          <w:szCs w:val="20"/>
        </w:rPr>
        <w:tab/>
        <w:t>System utrzymania prewencyjnego wdrożony dla drogi startowej przeznaczonej wyłącznie do startu, użytkowanej w warunkach widzialności wzdłuż drogi startowej równej lub większej niż 550 m, powinien zakładać, że w dowolnym przedziale czasowym, podczas wykonywania operacji lotniczych, wszystkie światła drogi startowej są sprawne, a w żadnym przypadku nie mniej niż 85% świateł krawędzi oraz końca drogi startowej jest sprawna. W celu zapewnienia ciągłości prowadzenia, niedopuszczalne jest występowanie światła niesprawnego w sąsiedztwie innego niesprawnego światła.</w:t>
      </w:r>
    </w:p>
    <w:p w14:paraId="7267A4F4" w14:textId="27009189" w:rsidR="00F507C4" w:rsidRPr="009E064B" w:rsidRDefault="00F507C4">
      <w:pPr>
        <w:spacing w:after="0"/>
        <w:jc w:val="left"/>
        <w:rPr>
          <w:rFonts w:cs="Times New Roman"/>
          <w:szCs w:val="20"/>
        </w:rPr>
      </w:pPr>
      <w:r w:rsidRPr="009E064B">
        <w:rPr>
          <w:rFonts w:cs="Times New Roman"/>
          <w:szCs w:val="20"/>
        </w:rPr>
        <w:br w:type="page"/>
      </w:r>
    </w:p>
    <w:tbl>
      <w:tblPr>
        <w:tblW w:w="4751"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3"/>
        <w:gridCol w:w="1282"/>
        <w:gridCol w:w="1136"/>
        <w:gridCol w:w="1136"/>
        <w:gridCol w:w="1015"/>
      </w:tblGrid>
      <w:tr w:rsidR="00860781" w:rsidRPr="009E064B" w14:paraId="0AD5F9EB" w14:textId="77777777" w:rsidTr="00B7240A">
        <w:trPr>
          <w:jc w:val="right"/>
        </w:trPr>
        <w:tc>
          <w:tcPr>
            <w:tcW w:w="2365" w:type="pct"/>
            <w:tcMar>
              <w:top w:w="85" w:type="dxa"/>
              <w:left w:w="28" w:type="dxa"/>
              <w:bottom w:w="85" w:type="dxa"/>
              <w:right w:w="28" w:type="dxa"/>
            </w:tcMar>
            <w:vAlign w:val="center"/>
          </w:tcPr>
          <w:p w14:paraId="0E445873" w14:textId="667B97B2" w:rsidR="00860781" w:rsidRPr="009E064B" w:rsidRDefault="00860781" w:rsidP="00B7240A">
            <w:pPr>
              <w:spacing w:after="0"/>
              <w:ind w:left="57"/>
              <w:jc w:val="center"/>
              <w:rPr>
                <w:rFonts w:cs="Arial"/>
                <w:sz w:val="20"/>
                <w:szCs w:val="20"/>
              </w:rPr>
            </w:pPr>
            <w:r w:rsidRPr="009E064B">
              <w:rPr>
                <w:rFonts w:asciiTheme="minorHAnsi" w:hAnsiTheme="minorHAnsi" w:cstheme="minorHAnsi"/>
                <w:b/>
                <w:sz w:val="20"/>
                <w:szCs w:val="20"/>
              </w:rPr>
              <w:t>Rodzaj świateł</w:t>
            </w:r>
          </w:p>
        </w:tc>
        <w:tc>
          <w:tcPr>
            <w:tcW w:w="739" w:type="pct"/>
            <w:tcMar>
              <w:top w:w="85" w:type="dxa"/>
              <w:left w:w="28" w:type="dxa"/>
              <w:bottom w:w="85" w:type="dxa"/>
              <w:right w:w="28" w:type="dxa"/>
            </w:tcMar>
            <w:vAlign w:val="center"/>
          </w:tcPr>
          <w:p w14:paraId="54277D15" w14:textId="77777777" w:rsidR="00860781" w:rsidRPr="009E064B" w:rsidRDefault="00860781" w:rsidP="00860781">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Podejście</w:t>
            </w:r>
          </w:p>
          <w:p w14:paraId="6F01FB68" w14:textId="09F67596" w:rsidR="00860781" w:rsidRPr="009E064B" w:rsidRDefault="00860781" w:rsidP="00860781">
            <w:pPr>
              <w:spacing w:after="0"/>
              <w:ind w:left="-46"/>
              <w:jc w:val="center"/>
              <w:rPr>
                <w:rFonts w:cs="Arial"/>
                <w:sz w:val="20"/>
                <w:szCs w:val="20"/>
              </w:rPr>
            </w:pPr>
            <w:r w:rsidRPr="009E064B">
              <w:rPr>
                <w:rFonts w:asciiTheme="minorHAnsi" w:hAnsiTheme="minorHAnsi" w:cstheme="minorHAnsi"/>
                <w:b/>
                <w:sz w:val="20"/>
                <w:szCs w:val="20"/>
              </w:rPr>
              <w:t>kategorii II/II</w:t>
            </w:r>
          </w:p>
        </w:tc>
        <w:tc>
          <w:tcPr>
            <w:tcW w:w="655" w:type="pct"/>
            <w:tcMar>
              <w:top w:w="85" w:type="dxa"/>
              <w:left w:w="28" w:type="dxa"/>
              <w:bottom w:w="85" w:type="dxa"/>
              <w:right w:w="28" w:type="dxa"/>
            </w:tcMar>
            <w:vAlign w:val="center"/>
          </w:tcPr>
          <w:p w14:paraId="3CDDF8AA" w14:textId="77777777" w:rsidR="00860781" w:rsidRPr="009E064B" w:rsidRDefault="00860781" w:rsidP="00860781">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Podejście</w:t>
            </w:r>
          </w:p>
          <w:p w14:paraId="3A16B77F" w14:textId="2A9959EA" w:rsidR="00860781" w:rsidRPr="009E064B" w:rsidRDefault="00860781" w:rsidP="00860781">
            <w:pPr>
              <w:spacing w:after="0"/>
              <w:ind w:left="-46"/>
              <w:jc w:val="center"/>
              <w:rPr>
                <w:rFonts w:cs="Arial"/>
                <w:sz w:val="20"/>
                <w:szCs w:val="20"/>
              </w:rPr>
            </w:pPr>
            <w:r w:rsidRPr="009E064B">
              <w:rPr>
                <w:rFonts w:asciiTheme="minorHAnsi" w:hAnsiTheme="minorHAnsi" w:cstheme="minorHAnsi"/>
                <w:b/>
                <w:sz w:val="20"/>
                <w:szCs w:val="20"/>
              </w:rPr>
              <w:t>kategorii I</w:t>
            </w:r>
          </w:p>
        </w:tc>
        <w:tc>
          <w:tcPr>
            <w:tcW w:w="655" w:type="pct"/>
            <w:tcMar>
              <w:top w:w="85" w:type="dxa"/>
              <w:left w:w="28" w:type="dxa"/>
              <w:bottom w:w="85" w:type="dxa"/>
              <w:right w:w="28" w:type="dxa"/>
            </w:tcMar>
            <w:vAlign w:val="center"/>
          </w:tcPr>
          <w:p w14:paraId="2C8F0A30" w14:textId="77777777" w:rsidR="00860781" w:rsidRPr="009E064B" w:rsidRDefault="00860781" w:rsidP="00860781">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RVR&lt;550m</w:t>
            </w:r>
          </w:p>
          <w:p w14:paraId="148A6093" w14:textId="0686A33D" w:rsidR="00860781" w:rsidRPr="009E064B" w:rsidRDefault="00860781" w:rsidP="00860781">
            <w:pPr>
              <w:spacing w:after="0"/>
              <w:ind w:left="-45"/>
              <w:jc w:val="center"/>
              <w:rPr>
                <w:rFonts w:cs="Arial"/>
                <w:sz w:val="20"/>
                <w:szCs w:val="20"/>
              </w:rPr>
            </w:pPr>
            <w:r w:rsidRPr="009E064B">
              <w:rPr>
                <w:rFonts w:asciiTheme="minorHAnsi" w:hAnsiTheme="minorHAnsi" w:cstheme="minorHAnsi"/>
                <w:b/>
                <w:sz w:val="20"/>
                <w:szCs w:val="20"/>
              </w:rPr>
              <w:t>dla startu</w:t>
            </w:r>
          </w:p>
        </w:tc>
        <w:tc>
          <w:tcPr>
            <w:tcW w:w="585" w:type="pct"/>
            <w:tcMar>
              <w:top w:w="85" w:type="dxa"/>
              <w:left w:w="28" w:type="dxa"/>
              <w:bottom w:w="85" w:type="dxa"/>
              <w:right w:w="28" w:type="dxa"/>
            </w:tcMar>
            <w:vAlign w:val="center"/>
          </w:tcPr>
          <w:p w14:paraId="5606BB6D" w14:textId="77777777" w:rsidR="00860781" w:rsidRPr="009E064B" w:rsidRDefault="00860781" w:rsidP="00860781">
            <w:pPr>
              <w:spacing w:after="0"/>
              <w:jc w:val="center"/>
              <w:rPr>
                <w:rFonts w:asciiTheme="minorHAnsi" w:hAnsiTheme="minorHAnsi" w:cstheme="minorHAnsi"/>
                <w:b/>
                <w:sz w:val="20"/>
                <w:szCs w:val="20"/>
              </w:rPr>
            </w:pPr>
            <w:r w:rsidRPr="009E064B">
              <w:rPr>
                <w:rFonts w:asciiTheme="minorHAnsi" w:hAnsiTheme="minorHAnsi" w:cstheme="minorHAnsi"/>
                <w:b/>
                <w:sz w:val="20"/>
                <w:szCs w:val="20"/>
              </w:rPr>
              <w:t>RVR&gt;550m</w:t>
            </w:r>
          </w:p>
          <w:p w14:paraId="1BA7AE49" w14:textId="5B513909" w:rsidR="00860781" w:rsidRPr="009E064B" w:rsidRDefault="00860781" w:rsidP="00860781">
            <w:pPr>
              <w:spacing w:after="0"/>
              <w:jc w:val="center"/>
              <w:rPr>
                <w:rFonts w:cs="Arial"/>
                <w:sz w:val="20"/>
                <w:szCs w:val="20"/>
              </w:rPr>
            </w:pPr>
            <w:r w:rsidRPr="009E064B">
              <w:rPr>
                <w:rFonts w:asciiTheme="minorHAnsi" w:hAnsiTheme="minorHAnsi" w:cstheme="minorHAnsi"/>
                <w:b/>
                <w:sz w:val="20"/>
                <w:szCs w:val="20"/>
              </w:rPr>
              <w:t>dla startu</w:t>
            </w:r>
          </w:p>
        </w:tc>
      </w:tr>
      <w:tr w:rsidR="00860781" w:rsidRPr="009E064B" w14:paraId="55C50667" w14:textId="77777777" w:rsidTr="006C7CCF">
        <w:trPr>
          <w:trHeight w:val="397"/>
          <w:jc w:val="right"/>
        </w:trPr>
        <w:tc>
          <w:tcPr>
            <w:tcW w:w="2365" w:type="pct"/>
            <w:tcMar>
              <w:top w:w="85" w:type="dxa"/>
              <w:left w:w="28" w:type="dxa"/>
              <w:bottom w:w="85" w:type="dxa"/>
              <w:right w:w="28" w:type="dxa"/>
            </w:tcMar>
            <w:vAlign w:val="center"/>
          </w:tcPr>
          <w:p w14:paraId="2ACC3A34" w14:textId="77777777" w:rsidR="00C36D76" w:rsidRPr="009E064B" w:rsidRDefault="00C36D76" w:rsidP="00B7240A">
            <w:pPr>
              <w:spacing w:after="0"/>
              <w:ind w:left="57"/>
              <w:jc w:val="left"/>
              <w:rPr>
                <w:rFonts w:cs="Arial"/>
                <w:sz w:val="20"/>
                <w:szCs w:val="20"/>
              </w:rPr>
            </w:pPr>
            <w:r w:rsidRPr="009E064B">
              <w:rPr>
                <w:rFonts w:cs="Arial"/>
                <w:sz w:val="20"/>
                <w:szCs w:val="20"/>
              </w:rPr>
              <w:t>450 m wewnętrznej części świateł podejścia</w:t>
            </w:r>
          </w:p>
        </w:tc>
        <w:tc>
          <w:tcPr>
            <w:tcW w:w="739" w:type="pct"/>
            <w:tcMar>
              <w:top w:w="85" w:type="dxa"/>
              <w:left w:w="28" w:type="dxa"/>
              <w:bottom w:w="85" w:type="dxa"/>
              <w:right w:w="28" w:type="dxa"/>
            </w:tcMar>
            <w:vAlign w:val="center"/>
          </w:tcPr>
          <w:p w14:paraId="77E1A066"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655" w:type="pct"/>
            <w:tcMar>
              <w:top w:w="85" w:type="dxa"/>
              <w:left w:w="28" w:type="dxa"/>
              <w:bottom w:w="85" w:type="dxa"/>
              <w:right w:w="28" w:type="dxa"/>
            </w:tcMar>
            <w:vAlign w:val="center"/>
          </w:tcPr>
          <w:p w14:paraId="25D35C25"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3882D148" w14:textId="77777777" w:rsidR="00C36D76" w:rsidRPr="009E064B" w:rsidRDefault="00C36D76" w:rsidP="00B06A9A">
            <w:pPr>
              <w:spacing w:after="0"/>
              <w:ind w:left="-45"/>
              <w:jc w:val="center"/>
              <w:rPr>
                <w:rFonts w:cs="Arial"/>
                <w:sz w:val="20"/>
                <w:szCs w:val="20"/>
              </w:rPr>
            </w:pPr>
            <w:r w:rsidRPr="009E064B">
              <w:rPr>
                <w:rFonts w:cs="Arial"/>
                <w:sz w:val="20"/>
                <w:szCs w:val="20"/>
              </w:rPr>
              <w:t>―</w:t>
            </w:r>
          </w:p>
        </w:tc>
        <w:tc>
          <w:tcPr>
            <w:tcW w:w="585" w:type="pct"/>
            <w:tcMar>
              <w:top w:w="85" w:type="dxa"/>
              <w:left w:w="28" w:type="dxa"/>
              <w:bottom w:w="85" w:type="dxa"/>
              <w:right w:w="28" w:type="dxa"/>
            </w:tcMar>
            <w:vAlign w:val="center"/>
          </w:tcPr>
          <w:p w14:paraId="0DA388D5" w14:textId="77777777" w:rsidR="00C36D76" w:rsidRPr="009E064B" w:rsidRDefault="00C36D76" w:rsidP="00B06A9A">
            <w:pPr>
              <w:spacing w:after="0"/>
              <w:jc w:val="center"/>
              <w:rPr>
                <w:rFonts w:cs="Arial"/>
                <w:sz w:val="20"/>
                <w:szCs w:val="20"/>
              </w:rPr>
            </w:pPr>
            <w:r w:rsidRPr="009E064B">
              <w:rPr>
                <w:rFonts w:cs="Arial"/>
                <w:sz w:val="20"/>
                <w:szCs w:val="20"/>
              </w:rPr>
              <w:t>―</w:t>
            </w:r>
          </w:p>
        </w:tc>
      </w:tr>
      <w:tr w:rsidR="00860781" w:rsidRPr="009E064B" w14:paraId="7FA48907" w14:textId="77777777" w:rsidTr="006C7CCF">
        <w:trPr>
          <w:trHeight w:val="397"/>
          <w:jc w:val="right"/>
        </w:trPr>
        <w:tc>
          <w:tcPr>
            <w:tcW w:w="2365" w:type="pct"/>
            <w:tcMar>
              <w:top w:w="85" w:type="dxa"/>
              <w:left w:w="28" w:type="dxa"/>
              <w:bottom w:w="85" w:type="dxa"/>
              <w:right w:w="28" w:type="dxa"/>
            </w:tcMar>
            <w:vAlign w:val="center"/>
          </w:tcPr>
          <w:p w14:paraId="02939203" w14:textId="77777777" w:rsidR="00C36D76" w:rsidRPr="009E064B" w:rsidRDefault="00C36D76" w:rsidP="00B7240A">
            <w:pPr>
              <w:spacing w:after="0"/>
              <w:ind w:left="57"/>
              <w:jc w:val="left"/>
              <w:rPr>
                <w:rFonts w:cs="Arial"/>
                <w:sz w:val="20"/>
                <w:szCs w:val="20"/>
              </w:rPr>
            </w:pPr>
            <w:r w:rsidRPr="009E064B">
              <w:rPr>
                <w:rFonts w:cs="Arial"/>
                <w:sz w:val="20"/>
                <w:szCs w:val="20"/>
              </w:rPr>
              <w:t>450 m zewnętrznej części świateł podejścia</w:t>
            </w:r>
          </w:p>
        </w:tc>
        <w:tc>
          <w:tcPr>
            <w:tcW w:w="739" w:type="pct"/>
            <w:tcMar>
              <w:top w:w="85" w:type="dxa"/>
              <w:left w:w="28" w:type="dxa"/>
              <w:bottom w:w="85" w:type="dxa"/>
              <w:right w:w="28" w:type="dxa"/>
            </w:tcMar>
            <w:vAlign w:val="center"/>
          </w:tcPr>
          <w:p w14:paraId="7255227A"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471894AA"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150C0F5C" w14:textId="77777777" w:rsidR="00C36D76" w:rsidRPr="009E064B" w:rsidRDefault="00C36D76" w:rsidP="00B06A9A">
            <w:pPr>
              <w:spacing w:after="0"/>
              <w:ind w:left="-46"/>
              <w:jc w:val="center"/>
              <w:rPr>
                <w:rFonts w:cs="Arial"/>
                <w:sz w:val="20"/>
                <w:szCs w:val="20"/>
              </w:rPr>
            </w:pPr>
            <w:r w:rsidRPr="009E064B">
              <w:rPr>
                <w:rFonts w:cs="Arial"/>
                <w:sz w:val="20"/>
                <w:szCs w:val="20"/>
              </w:rPr>
              <w:t>―</w:t>
            </w:r>
          </w:p>
        </w:tc>
        <w:tc>
          <w:tcPr>
            <w:tcW w:w="585" w:type="pct"/>
            <w:tcMar>
              <w:top w:w="85" w:type="dxa"/>
              <w:left w:w="28" w:type="dxa"/>
              <w:bottom w:w="85" w:type="dxa"/>
              <w:right w:w="28" w:type="dxa"/>
            </w:tcMar>
            <w:vAlign w:val="center"/>
          </w:tcPr>
          <w:p w14:paraId="0AB5E87C" w14:textId="77777777" w:rsidR="00C36D76" w:rsidRPr="009E064B" w:rsidRDefault="00C36D76" w:rsidP="00B06A9A">
            <w:pPr>
              <w:spacing w:after="0"/>
              <w:jc w:val="center"/>
              <w:rPr>
                <w:rFonts w:cs="Arial"/>
                <w:sz w:val="20"/>
                <w:szCs w:val="20"/>
              </w:rPr>
            </w:pPr>
            <w:r w:rsidRPr="009E064B">
              <w:rPr>
                <w:rFonts w:cs="Arial"/>
                <w:sz w:val="20"/>
                <w:szCs w:val="20"/>
              </w:rPr>
              <w:t>―</w:t>
            </w:r>
          </w:p>
        </w:tc>
      </w:tr>
      <w:tr w:rsidR="00860781" w:rsidRPr="009E064B" w14:paraId="0BA38F69" w14:textId="77777777" w:rsidTr="006C7CCF">
        <w:trPr>
          <w:trHeight w:val="397"/>
          <w:jc w:val="right"/>
        </w:trPr>
        <w:tc>
          <w:tcPr>
            <w:tcW w:w="2365" w:type="pct"/>
            <w:tcMar>
              <w:top w:w="85" w:type="dxa"/>
              <w:left w:w="28" w:type="dxa"/>
              <w:bottom w:w="85" w:type="dxa"/>
              <w:right w:w="28" w:type="dxa"/>
            </w:tcMar>
            <w:vAlign w:val="center"/>
          </w:tcPr>
          <w:p w14:paraId="6629C348" w14:textId="77777777" w:rsidR="00C36D76" w:rsidRPr="009E064B" w:rsidRDefault="00C36D76" w:rsidP="00B7240A">
            <w:pPr>
              <w:spacing w:after="0"/>
              <w:ind w:left="57"/>
              <w:jc w:val="left"/>
              <w:rPr>
                <w:rFonts w:cs="Arial"/>
                <w:sz w:val="20"/>
                <w:szCs w:val="20"/>
              </w:rPr>
            </w:pPr>
            <w:r w:rsidRPr="009E064B">
              <w:rPr>
                <w:rFonts w:cs="Arial"/>
                <w:sz w:val="20"/>
                <w:szCs w:val="20"/>
              </w:rPr>
              <w:t>Światła progu drogi startowej</w:t>
            </w:r>
          </w:p>
        </w:tc>
        <w:tc>
          <w:tcPr>
            <w:tcW w:w="739" w:type="pct"/>
            <w:tcMar>
              <w:top w:w="85" w:type="dxa"/>
              <w:left w:w="28" w:type="dxa"/>
              <w:bottom w:w="85" w:type="dxa"/>
              <w:right w:w="28" w:type="dxa"/>
            </w:tcMar>
            <w:vAlign w:val="center"/>
          </w:tcPr>
          <w:p w14:paraId="6B35972A"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655" w:type="pct"/>
            <w:tcMar>
              <w:top w:w="85" w:type="dxa"/>
              <w:left w:w="28" w:type="dxa"/>
              <w:bottom w:w="85" w:type="dxa"/>
              <w:right w:w="28" w:type="dxa"/>
            </w:tcMar>
            <w:vAlign w:val="center"/>
          </w:tcPr>
          <w:p w14:paraId="01F529B0"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354CE921" w14:textId="77777777" w:rsidR="00C36D76" w:rsidRPr="009E064B" w:rsidRDefault="00C36D76" w:rsidP="00B06A9A">
            <w:pPr>
              <w:spacing w:after="0"/>
              <w:ind w:left="-46"/>
              <w:jc w:val="center"/>
              <w:rPr>
                <w:rFonts w:cs="Arial"/>
                <w:sz w:val="20"/>
                <w:szCs w:val="20"/>
              </w:rPr>
            </w:pPr>
            <w:r w:rsidRPr="009E064B">
              <w:rPr>
                <w:rFonts w:cs="Arial"/>
                <w:sz w:val="20"/>
                <w:szCs w:val="20"/>
              </w:rPr>
              <w:t>―</w:t>
            </w:r>
          </w:p>
        </w:tc>
        <w:tc>
          <w:tcPr>
            <w:tcW w:w="585" w:type="pct"/>
            <w:tcMar>
              <w:top w:w="85" w:type="dxa"/>
              <w:left w:w="28" w:type="dxa"/>
              <w:bottom w:w="85" w:type="dxa"/>
              <w:right w:w="28" w:type="dxa"/>
            </w:tcMar>
            <w:vAlign w:val="center"/>
          </w:tcPr>
          <w:p w14:paraId="62986690" w14:textId="77777777" w:rsidR="00C36D76" w:rsidRPr="009E064B" w:rsidRDefault="00C36D76" w:rsidP="00B06A9A">
            <w:pPr>
              <w:spacing w:after="0"/>
              <w:jc w:val="center"/>
              <w:rPr>
                <w:rFonts w:cs="Arial"/>
                <w:sz w:val="20"/>
                <w:szCs w:val="20"/>
              </w:rPr>
            </w:pPr>
            <w:r w:rsidRPr="009E064B">
              <w:rPr>
                <w:rFonts w:cs="Arial"/>
                <w:sz w:val="20"/>
                <w:szCs w:val="20"/>
              </w:rPr>
              <w:t>―</w:t>
            </w:r>
          </w:p>
        </w:tc>
      </w:tr>
      <w:tr w:rsidR="00860781" w:rsidRPr="009E064B" w14:paraId="47C1BFC0" w14:textId="77777777" w:rsidTr="006C7CCF">
        <w:trPr>
          <w:trHeight w:val="397"/>
          <w:jc w:val="right"/>
        </w:trPr>
        <w:tc>
          <w:tcPr>
            <w:tcW w:w="2365" w:type="pct"/>
            <w:tcMar>
              <w:top w:w="85" w:type="dxa"/>
              <w:left w:w="28" w:type="dxa"/>
              <w:bottom w:w="85" w:type="dxa"/>
              <w:right w:w="28" w:type="dxa"/>
            </w:tcMar>
            <w:vAlign w:val="center"/>
          </w:tcPr>
          <w:p w14:paraId="1CC1749B" w14:textId="77777777" w:rsidR="00C36D76" w:rsidRPr="009E064B" w:rsidRDefault="00C36D76" w:rsidP="00B7240A">
            <w:pPr>
              <w:spacing w:after="0"/>
              <w:ind w:left="57"/>
              <w:jc w:val="left"/>
              <w:rPr>
                <w:rFonts w:cs="Arial"/>
                <w:sz w:val="20"/>
                <w:szCs w:val="20"/>
              </w:rPr>
            </w:pPr>
            <w:r w:rsidRPr="009E064B">
              <w:rPr>
                <w:rFonts w:cs="Arial"/>
                <w:sz w:val="20"/>
                <w:szCs w:val="20"/>
              </w:rPr>
              <w:t>Światła linii środkowej drogi startowej</w:t>
            </w:r>
          </w:p>
        </w:tc>
        <w:tc>
          <w:tcPr>
            <w:tcW w:w="739" w:type="pct"/>
            <w:tcMar>
              <w:top w:w="85" w:type="dxa"/>
              <w:left w:w="28" w:type="dxa"/>
              <w:bottom w:w="85" w:type="dxa"/>
              <w:right w:w="28" w:type="dxa"/>
            </w:tcMar>
            <w:vAlign w:val="center"/>
          </w:tcPr>
          <w:p w14:paraId="44A32065"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655" w:type="pct"/>
            <w:tcMar>
              <w:top w:w="85" w:type="dxa"/>
              <w:left w:w="28" w:type="dxa"/>
              <w:bottom w:w="85" w:type="dxa"/>
              <w:right w:w="28" w:type="dxa"/>
            </w:tcMar>
            <w:vAlign w:val="center"/>
          </w:tcPr>
          <w:p w14:paraId="411EA479"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4F98915E"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585" w:type="pct"/>
            <w:tcMar>
              <w:top w:w="85" w:type="dxa"/>
              <w:left w:w="28" w:type="dxa"/>
              <w:bottom w:w="85" w:type="dxa"/>
              <w:right w:w="28" w:type="dxa"/>
            </w:tcMar>
            <w:vAlign w:val="center"/>
          </w:tcPr>
          <w:p w14:paraId="2B0DB411" w14:textId="77777777" w:rsidR="00C36D76" w:rsidRPr="009E064B" w:rsidRDefault="00C36D76" w:rsidP="00B06A9A">
            <w:pPr>
              <w:spacing w:after="0"/>
              <w:jc w:val="center"/>
              <w:rPr>
                <w:rFonts w:cs="Arial"/>
                <w:sz w:val="20"/>
                <w:szCs w:val="20"/>
              </w:rPr>
            </w:pPr>
            <w:r w:rsidRPr="009E064B">
              <w:rPr>
                <w:rFonts w:cs="Arial"/>
                <w:sz w:val="20"/>
                <w:szCs w:val="20"/>
              </w:rPr>
              <w:t>85 %</w:t>
            </w:r>
          </w:p>
        </w:tc>
      </w:tr>
      <w:tr w:rsidR="00860781" w:rsidRPr="009E064B" w14:paraId="67DC2D79" w14:textId="77777777" w:rsidTr="006C7CCF">
        <w:trPr>
          <w:trHeight w:val="397"/>
          <w:jc w:val="right"/>
        </w:trPr>
        <w:tc>
          <w:tcPr>
            <w:tcW w:w="2365" w:type="pct"/>
            <w:tcMar>
              <w:top w:w="85" w:type="dxa"/>
              <w:left w:w="28" w:type="dxa"/>
              <w:bottom w:w="85" w:type="dxa"/>
              <w:right w:w="28" w:type="dxa"/>
            </w:tcMar>
            <w:vAlign w:val="center"/>
          </w:tcPr>
          <w:p w14:paraId="6EE5FED7" w14:textId="77777777" w:rsidR="00C36D76" w:rsidRPr="009E064B" w:rsidRDefault="00C36D76" w:rsidP="00B7240A">
            <w:pPr>
              <w:spacing w:after="0"/>
              <w:ind w:left="57"/>
              <w:jc w:val="left"/>
              <w:rPr>
                <w:rFonts w:cs="Arial"/>
                <w:sz w:val="20"/>
                <w:szCs w:val="20"/>
              </w:rPr>
            </w:pPr>
            <w:r w:rsidRPr="009E064B">
              <w:rPr>
                <w:rFonts w:cs="Arial"/>
                <w:sz w:val="20"/>
                <w:szCs w:val="20"/>
              </w:rPr>
              <w:t>Światła krawędzi drogi startowej</w:t>
            </w:r>
          </w:p>
        </w:tc>
        <w:tc>
          <w:tcPr>
            <w:tcW w:w="739" w:type="pct"/>
            <w:tcMar>
              <w:top w:w="85" w:type="dxa"/>
              <w:left w:w="28" w:type="dxa"/>
              <w:bottom w:w="85" w:type="dxa"/>
              <w:right w:w="28" w:type="dxa"/>
            </w:tcMar>
            <w:vAlign w:val="center"/>
          </w:tcPr>
          <w:p w14:paraId="086E72FF"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655" w:type="pct"/>
            <w:tcMar>
              <w:top w:w="85" w:type="dxa"/>
              <w:left w:w="28" w:type="dxa"/>
              <w:bottom w:w="85" w:type="dxa"/>
              <w:right w:w="28" w:type="dxa"/>
            </w:tcMar>
            <w:vAlign w:val="center"/>
          </w:tcPr>
          <w:p w14:paraId="103E61E7"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443E9669" w14:textId="77777777" w:rsidR="00C36D76" w:rsidRPr="009E064B" w:rsidRDefault="00C36D76" w:rsidP="00B06A9A">
            <w:pPr>
              <w:spacing w:after="0"/>
              <w:ind w:left="-46"/>
              <w:jc w:val="center"/>
              <w:rPr>
                <w:rFonts w:cs="Arial"/>
                <w:sz w:val="20"/>
                <w:szCs w:val="20"/>
              </w:rPr>
            </w:pPr>
            <w:r w:rsidRPr="009E064B">
              <w:rPr>
                <w:rFonts w:cs="Arial"/>
                <w:sz w:val="20"/>
                <w:szCs w:val="20"/>
              </w:rPr>
              <w:t>95 %</w:t>
            </w:r>
          </w:p>
        </w:tc>
        <w:tc>
          <w:tcPr>
            <w:tcW w:w="585" w:type="pct"/>
            <w:tcMar>
              <w:top w:w="85" w:type="dxa"/>
              <w:left w:w="28" w:type="dxa"/>
              <w:bottom w:w="85" w:type="dxa"/>
              <w:right w:w="28" w:type="dxa"/>
            </w:tcMar>
            <w:vAlign w:val="center"/>
          </w:tcPr>
          <w:p w14:paraId="301D1C87" w14:textId="77777777" w:rsidR="00C36D76" w:rsidRPr="009E064B" w:rsidRDefault="00C36D76" w:rsidP="00B06A9A">
            <w:pPr>
              <w:spacing w:after="0"/>
              <w:jc w:val="center"/>
              <w:rPr>
                <w:rFonts w:cs="Arial"/>
                <w:sz w:val="20"/>
                <w:szCs w:val="20"/>
              </w:rPr>
            </w:pPr>
            <w:r w:rsidRPr="009E064B">
              <w:rPr>
                <w:rFonts w:cs="Arial"/>
                <w:sz w:val="20"/>
                <w:szCs w:val="20"/>
              </w:rPr>
              <w:t>85 %</w:t>
            </w:r>
          </w:p>
        </w:tc>
      </w:tr>
      <w:tr w:rsidR="00860781" w:rsidRPr="009E064B" w14:paraId="0C789651" w14:textId="77777777" w:rsidTr="006C7CCF">
        <w:trPr>
          <w:trHeight w:val="397"/>
          <w:jc w:val="right"/>
        </w:trPr>
        <w:tc>
          <w:tcPr>
            <w:tcW w:w="2365" w:type="pct"/>
            <w:tcMar>
              <w:top w:w="85" w:type="dxa"/>
              <w:left w:w="28" w:type="dxa"/>
              <w:bottom w:w="85" w:type="dxa"/>
              <w:right w:w="28" w:type="dxa"/>
            </w:tcMar>
            <w:vAlign w:val="center"/>
          </w:tcPr>
          <w:p w14:paraId="04C97146" w14:textId="77777777" w:rsidR="00C36D76" w:rsidRPr="009E064B" w:rsidRDefault="00C36D76" w:rsidP="00B7240A">
            <w:pPr>
              <w:spacing w:after="0"/>
              <w:ind w:left="57"/>
              <w:jc w:val="left"/>
              <w:rPr>
                <w:rFonts w:cs="Arial"/>
                <w:sz w:val="20"/>
                <w:szCs w:val="20"/>
              </w:rPr>
            </w:pPr>
            <w:r w:rsidRPr="009E064B">
              <w:rPr>
                <w:rFonts w:cs="Arial"/>
                <w:sz w:val="20"/>
                <w:szCs w:val="20"/>
              </w:rPr>
              <w:t>Światła końca drogi startowej</w:t>
            </w:r>
          </w:p>
        </w:tc>
        <w:tc>
          <w:tcPr>
            <w:tcW w:w="739" w:type="pct"/>
            <w:tcMar>
              <w:top w:w="85" w:type="dxa"/>
              <w:left w:w="28" w:type="dxa"/>
              <w:bottom w:w="85" w:type="dxa"/>
              <w:right w:w="28" w:type="dxa"/>
            </w:tcMar>
            <w:vAlign w:val="center"/>
          </w:tcPr>
          <w:p w14:paraId="3F0B36A3" w14:textId="77777777" w:rsidR="00C36D76" w:rsidRPr="009E064B" w:rsidRDefault="00C36D76" w:rsidP="00B06A9A">
            <w:pPr>
              <w:spacing w:after="0"/>
              <w:ind w:left="-46"/>
              <w:jc w:val="center"/>
              <w:rPr>
                <w:rFonts w:cs="Arial"/>
                <w:sz w:val="20"/>
                <w:szCs w:val="20"/>
              </w:rPr>
            </w:pPr>
            <w:r w:rsidRPr="009E064B">
              <w:rPr>
                <w:rFonts w:cs="Arial"/>
                <w:sz w:val="20"/>
                <w:szCs w:val="20"/>
              </w:rPr>
              <w:t>75 %</w:t>
            </w:r>
          </w:p>
        </w:tc>
        <w:tc>
          <w:tcPr>
            <w:tcW w:w="655" w:type="pct"/>
            <w:tcMar>
              <w:top w:w="85" w:type="dxa"/>
              <w:left w:w="28" w:type="dxa"/>
              <w:bottom w:w="85" w:type="dxa"/>
              <w:right w:w="28" w:type="dxa"/>
            </w:tcMar>
            <w:vAlign w:val="center"/>
          </w:tcPr>
          <w:p w14:paraId="2C3BEB80" w14:textId="77777777" w:rsidR="00C36D76" w:rsidRPr="009E064B" w:rsidRDefault="00C36D76" w:rsidP="00B06A9A">
            <w:pPr>
              <w:spacing w:after="0"/>
              <w:ind w:left="-46"/>
              <w:jc w:val="center"/>
              <w:rPr>
                <w:rFonts w:cs="Arial"/>
                <w:sz w:val="20"/>
                <w:szCs w:val="20"/>
              </w:rPr>
            </w:pPr>
            <w:r w:rsidRPr="009E064B">
              <w:rPr>
                <w:rFonts w:cs="Arial"/>
                <w:sz w:val="20"/>
                <w:szCs w:val="20"/>
              </w:rPr>
              <w:t>85 %</w:t>
            </w:r>
          </w:p>
        </w:tc>
        <w:tc>
          <w:tcPr>
            <w:tcW w:w="655" w:type="pct"/>
            <w:tcMar>
              <w:top w:w="85" w:type="dxa"/>
              <w:left w:w="28" w:type="dxa"/>
              <w:bottom w:w="85" w:type="dxa"/>
              <w:right w:w="28" w:type="dxa"/>
            </w:tcMar>
            <w:vAlign w:val="center"/>
          </w:tcPr>
          <w:p w14:paraId="11C650A4" w14:textId="77777777" w:rsidR="00C36D76" w:rsidRPr="009E064B" w:rsidRDefault="00C36D76" w:rsidP="00B06A9A">
            <w:pPr>
              <w:spacing w:after="0"/>
              <w:ind w:left="-46"/>
              <w:jc w:val="center"/>
              <w:rPr>
                <w:rFonts w:cs="Arial"/>
                <w:sz w:val="20"/>
                <w:szCs w:val="20"/>
              </w:rPr>
            </w:pPr>
            <w:r w:rsidRPr="009E064B">
              <w:rPr>
                <w:rFonts w:cs="Arial"/>
                <w:sz w:val="20"/>
                <w:szCs w:val="20"/>
              </w:rPr>
              <w:t>75 %</w:t>
            </w:r>
          </w:p>
        </w:tc>
        <w:tc>
          <w:tcPr>
            <w:tcW w:w="585" w:type="pct"/>
            <w:tcMar>
              <w:top w:w="85" w:type="dxa"/>
              <w:left w:w="28" w:type="dxa"/>
              <w:bottom w:w="85" w:type="dxa"/>
              <w:right w:w="28" w:type="dxa"/>
            </w:tcMar>
            <w:vAlign w:val="center"/>
          </w:tcPr>
          <w:p w14:paraId="00104D78" w14:textId="77777777" w:rsidR="00C36D76" w:rsidRPr="009E064B" w:rsidRDefault="00C36D76" w:rsidP="00B06A9A">
            <w:pPr>
              <w:spacing w:after="0"/>
              <w:jc w:val="center"/>
              <w:rPr>
                <w:rFonts w:cs="Arial"/>
                <w:sz w:val="20"/>
                <w:szCs w:val="20"/>
              </w:rPr>
            </w:pPr>
            <w:r w:rsidRPr="009E064B">
              <w:rPr>
                <w:rFonts w:cs="Arial"/>
                <w:sz w:val="20"/>
                <w:szCs w:val="20"/>
              </w:rPr>
              <w:t>85 %</w:t>
            </w:r>
          </w:p>
        </w:tc>
      </w:tr>
      <w:tr w:rsidR="00860781" w:rsidRPr="009E064B" w14:paraId="7FBDE5FF" w14:textId="77777777" w:rsidTr="006C7CCF">
        <w:trPr>
          <w:trHeight w:val="397"/>
          <w:jc w:val="right"/>
        </w:trPr>
        <w:tc>
          <w:tcPr>
            <w:tcW w:w="2365" w:type="pct"/>
            <w:tcMar>
              <w:top w:w="85" w:type="dxa"/>
              <w:left w:w="28" w:type="dxa"/>
              <w:bottom w:w="85" w:type="dxa"/>
              <w:right w:w="28" w:type="dxa"/>
            </w:tcMar>
            <w:vAlign w:val="center"/>
          </w:tcPr>
          <w:p w14:paraId="092B4ADE" w14:textId="77777777" w:rsidR="00C36D76" w:rsidRPr="009E064B" w:rsidRDefault="00C36D76" w:rsidP="00B7240A">
            <w:pPr>
              <w:spacing w:after="0"/>
              <w:ind w:left="57"/>
              <w:jc w:val="left"/>
              <w:rPr>
                <w:rFonts w:cs="Arial"/>
                <w:sz w:val="20"/>
                <w:szCs w:val="20"/>
              </w:rPr>
            </w:pPr>
            <w:r w:rsidRPr="009E064B">
              <w:rPr>
                <w:rFonts w:cs="Arial"/>
                <w:sz w:val="20"/>
                <w:szCs w:val="20"/>
              </w:rPr>
              <w:t>Światła strefy przyziemienia drogi startowej</w:t>
            </w:r>
          </w:p>
        </w:tc>
        <w:tc>
          <w:tcPr>
            <w:tcW w:w="739" w:type="pct"/>
            <w:tcMar>
              <w:top w:w="85" w:type="dxa"/>
              <w:left w:w="28" w:type="dxa"/>
              <w:bottom w:w="85" w:type="dxa"/>
              <w:right w:w="28" w:type="dxa"/>
            </w:tcMar>
            <w:vAlign w:val="center"/>
          </w:tcPr>
          <w:p w14:paraId="5CE3D293" w14:textId="77777777" w:rsidR="00C36D76" w:rsidRPr="009E064B" w:rsidRDefault="00C36D76" w:rsidP="00B06A9A">
            <w:pPr>
              <w:spacing w:after="0"/>
              <w:ind w:left="-46"/>
              <w:jc w:val="center"/>
              <w:rPr>
                <w:rFonts w:cs="Arial"/>
                <w:sz w:val="20"/>
                <w:szCs w:val="20"/>
              </w:rPr>
            </w:pPr>
            <w:r w:rsidRPr="009E064B">
              <w:rPr>
                <w:rFonts w:cs="Arial"/>
                <w:sz w:val="20"/>
                <w:szCs w:val="20"/>
              </w:rPr>
              <w:t>90 %</w:t>
            </w:r>
          </w:p>
        </w:tc>
        <w:tc>
          <w:tcPr>
            <w:tcW w:w="655" w:type="pct"/>
            <w:tcMar>
              <w:top w:w="85" w:type="dxa"/>
              <w:left w:w="28" w:type="dxa"/>
              <w:bottom w:w="85" w:type="dxa"/>
              <w:right w:w="28" w:type="dxa"/>
            </w:tcMar>
            <w:vAlign w:val="center"/>
          </w:tcPr>
          <w:p w14:paraId="2B123454" w14:textId="77777777" w:rsidR="00C36D76" w:rsidRPr="009E064B" w:rsidRDefault="00C36D76" w:rsidP="00B06A9A">
            <w:pPr>
              <w:spacing w:after="0"/>
              <w:ind w:left="-46"/>
              <w:jc w:val="center"/>
              <w:rPr>
                <w:rFonts w:cs="Arial"/>
                <w:sz w:val="20"/>
                <w:szCs w:val="20"/>
              </w:rPr>
            </w:pPr>
            <w:r w:rsidRPr="009E064B">
              <w:rPr>
                <w:rFonts w:cs="Arial"/>
                <w:sz w:val="20"/>
                <w:szCs w:val="20"/>
              </w:rPr>
              <w:t>(85 %)</w:t>
            </w:r>
            <w:r w:rsidRPr="009E064B">
              <w:rPr>
                <w:rFonts w:cs="Arial"/>
                <w:sz w:val="20"/>
                <w:szCs w:val="20"/>
                <w:vertAlign w:val="superscript"/>
              </w:rPr>
              <w:t>(a)</w:t>
            </w:r>
          </w:p>
        </w:tc>
        <w:tc>
          <w:tcPr>
            <w:tcW w:w="655" w:type="pct"/>
            <w:tcMar>
              <w:top w:w="85" w:type="dxa"/>
              <w:left w:w="28" w:type="dxa"/>
              <w:bottom w:w="85" w:type="dxa"/>
              <w:right w:w="28" w:type="dxa"/>
            </w:tcMar>
            <w:vAlign w:val="center"/>
          </w:tcPr>
          <w:p w14:paraId="746E437E" w14:textId="77777777" w:rsidR="00C36D76" w:rsidRPr="009E064B" w:rsidRDefault="00C36D76" w:rsidP="00B06A9A">
            <w:pPr>
              <w:spacing w:after="0"/>
              <w:ind w:left="-46"/>
              <w:jc w:val="center"/>
              <w:rPr>
                <w:rFonts w:cs="Arial"/>
                <w:sz w:val="20"/>
                <w:szCs w:val="20"/>
              </w:rPr>
            </w:pPr>
            <w:r w:rsidRPr="009E064B">
              <w:rPr>
                <w:rFonts w:cs="Arial"/>
                <w:sz w:val="20"/>
                <w:szCs w:val="20"/>
              </w:rPr>
              <w:t>―</w:t>
            </w:r>
          </w:p>
        </w:tc>
        <w:tc>
          <w:tcPr>
            <w:tcW w:w="585" w:type="pct"/>
            <w:tcMar>
              <w:top w:w="85" w:type="dxa"/>
              <w:left w:w="28" w:type="dxa"/>
              <w:bottom w:w="85" w:type="dxa"/>
              <w:right w:w="28" w:type="dxa"/>
            </w:tcMar>
            <w:vAlign w:val="center"/>
          </w:tcPr>
          <w:p w14:paraId="452035D4" w14:textId="77777777" w:rsidR="00C36D76" w:rsidRPr="009E064B" w:rsidRDefault="00C36D76" w:rsidP="00B06A9A">
            <w:pPr>
              <w:spacing w:after="0"/>
              <w:jc w:val="center"/>
              <w:rPr>
                <w:rFonts w:cs="Arial"/>
                <w:sz w:val="20"/>
                <w:szCs w:val="20"/>
              </w:rPr>
            </w:pPr>
            <w:r w:rsidRPr="009E064B">
              <w:rPr>
                <w:rFonts w:cs="Arial"/>
                <w:sz w:val="20"/>
                <w:szCs w:val="20"/>
              </w:rPr>
              <w:t>―</w:t>
            </w:r>
          </w:p>
        </w:tc>
      </w:tr>
    </w:tbl>
    <w:p w14:paraId="7FB86380" w14:textId="5EE9CFF5" w:rsidR="00C36D76" w:rsidRPr="009E064B" w:rsidRDefault="00860781" w:rsidP="00860781">
      <w:pPr>
        <w:spacing w:before="120"/>
        <w:ind w:left="709"/>
        <w:rPr>
          <w:szCs w:val="18"/>
        </w:rPr>
      </w:pPr>
      <w:r w:rsidRPr="009E064B">
        <w:rPr>
          <w:rFonts w:cs="Arial"/>
          <w:i/>
          <w:sz w:val="20"/>
          <w:szCs w:val="20"/>
        </w:rPr>
        <w:t>Uwaga (a):  Jeśli światła strefy przyziemienia są dostępne.</w:t>
      </w:r>
    </w:p>
    <w:p w14:paraId="5FCE29E6" w14:textId="77777777" w:rsidR="00C36D76" w:rsidRPr="00FE5FBD" w:rsidRDefault="00C36D76" w:rsidP="00860781">
      <w:pPr>
        <w:spacing w:before="240" w:after="0"/>
        <w:jc w:val="center"/>
        <w:rPr>
          <w:b/>
          <w:sz w:val="20"/>
          <w:szCs w:val="18"/>
        </w:rPr>
      </w:pPr>
      <w:r w:rsidRPr="00FE5FBD">
        <w:rPr>
          <w:b/>
          <w:sz w:val="20"/>
          <w:szCs w:val="18"/>
        </w:rPr>
        <w:t>Tabela S-2.   Dopuszczalny procent sprawności świateł</w:t>
      </w:r>
    </w:p>
    <w:p w14:paraId="032A34E6" w14:textId="679B5938"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4DBAB786" w14:textId="77777777" w:rsidR="006F5AD2" w:rsidRPr="009E064B" w:rsidRDefault="006F5AD2" w:rsidP="006F5AD2">
      <w:pPr>
        <w:spacing w:after="0"/>
      </w:pPr>
    </w:p>
    <w:p w14:paraId="053C14F4" w14:textId="5969FD53" w:rsidR="000B1D95" w:rsidRPr="009E064B" w:rsidRDefault="00A74326" w:rsidP="00133B99">
      <w:pPr>
        <w:pStyle w:val="Nagwek6"/>
      </w:pPr>
      <w:bookmarkStart w:id="1819" w:name="_Toc401059088"/>
      <w:bookmarkStart w:id="1820" w:name="_Toc482886961"/>
      <w:bookmarkStart w:id="1821" w:name="_Toc12533311"/>
      <w:r w:rsidRPr="009E064B">
        <w:t xml:space="preserve">GM1 ADR-DSN.S.895     </w:t>
      </w:r>
      <w:r w:rsidR="000B1D95" w:rsidRPr="009E064B">
        <w:t>Poziomy niezawodności</w:t>
      </w:r>
      <w:bookmarkEnd w:id="1819"/>
      <w:bookmarkEnd w:id="1820"/>
      <w:bookmarkEnd w:id="1821"/>
    </w:p>
    <w:p w14:paraId="64F017B9" w14:textId="6B71E48B"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CFC8D5C" w14:textId="5CA15925"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Poziomy niezawodności mają na celu określenie wskaźników sprawności utrzymania.</w:t>
      </w:r>
    </w:p>
    <w:p w14:paraId="2FC80683"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Wytyczne dotyczące utrzymania prewencyjnego pomocy wzrokowych znajdują się w </w:t>
      </w:r>
      <w:r w:rsidRPr="009E064B">
        <w:rPr>
          <w:rFonts w:eastAsia="Times New Roman,Italic" w:cs="Times New Roman,Italic"/>
          <w:i/>
          <w:iCs/>
          <w:szCs w:val="20"/>
        </w:rPr>
        <w:t xml:space="preserve">„Podręczniku służb portu lotniczego” ICAO Doc 9137, </w:t>
      </w:r>
      <w:r w:rsidRPr="009E064B">
        <w:rPr>
          <w:rFonts w:eastAsia="Times New Roman,Italic" w:cs="Times New Roman,Italic"/>
          <w:iCs/>
          <w:szCs w:val="20"/>
        </w:rPr>
        <w:t xml:space="preserve">Część 9 </w:t>
      </w:r>
      <w:r w:rsidRPr="009E064B">
        <w:rPr>
          <w:rFonts w:eastAsia="Times New Roman,Italic" w:cs="Times New Roman,Italic"/>
          <w:i/>
          <w:iCs/>
          <w:szCs w:val="20"/>
        </w:rPr>
        <w:t>„Eksploatacja i utrzymanie portu lotniczego”.</w:t>
      </w:r>
    </w:p>
    <w:p w14:paraId="27AEA323"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W odniesieniu do baretek, poprzeczek oraz świateł krawędzi drogi startowej, światła uważa się za sąsiednie, jeżeli występują w następującej kolejności:</w:t>
      </w:r>
    </w:p>
    <w:p w14:paraId="71B53D7E" w14:textId="77777777" w:rsidR="000B1D95" w:rsidRPr="009E064B" w:rsidRDefault="000B1D95"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 </w:t>
      </w:r>
      <w:r w:rsidRPr="009E064B">
        <w:rPr>
          <w:rFonts w:cs="TimesNewRomanPS-BoldItalicMT"/>
          <w:bCs/>
          <w:iCs/>
          <w:szCs w:val="20"/>
        </w:rPr>
        <w:tab/>
      </w:r>
      <w:r w:rsidRPr="009E064B">
        <w:rPr>
          <w:rFonts w:eastAsia="Times New Roman,Italic" w:cs="Times New Roman,Italic"/>
          <w:iCs/>
          <w:szCs w:val="20"/>
        </w:rPr>
        <w:t>poprzecznie: w tej samej baretce lub poprzeczce; lub</w:t>
      </w:r>
    </w:p>
    <w:p w14:paraId="51050B6D"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rFonts w:eastAsia="Times New Roman,Italic" w:cs="Times New Roman,Italic"/>
          <w:iCs/>
          <w:szCs w:val="20"/>
        </w:rPr>
        <w:t>podłużnie: w tym samym rzędzie świateł krawędzi lub baretek.</w:t>
      </w:r>
    </w:p>
    <w:p w14:paraId="499429CA"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W przypadku baretek i poprzeczek, prowadzenie nie będzie utracone w przypadku niesprawności dwóch sąsiadujących ze sobą świateł.</w:t>
      </w:r>
    </w:p>
    <w:p w14:paraId="54141860"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21F80D98" w14:textId="77777777" w:rsidR="00C36D76" w:rsidRPr="009E064B" w:rsidRDefault="00C36D76" w:rsidP="00B06A9A">
      <w:pPr>
        <w:spacing w:after="0"/>
        <w:rPr>
          <w:szCs w:val="18"/>
        </w:rPr>
      </w:pPr>
    </w:p>
    <w:p w14:paraId="442E3737" w14:textId="77777777" w:rsidR="00C36D76" w:rsidRPr="009E064B" w:rsidRDefault="00C36D76" w:rsidP="00B06A9A">
      <w:pPr>
        <w:rPr>
          <w:szCs w:val="20"/>
        </w:rPr>
      </w:pPr>
    </w:p>
    <w:p w14:paraId="3C091F42" w14:textId="77777777" w:rsidR="00C36D76" w:rsidRPr="009E064B" w:rsidRDefault="00C36D76" w:rsidP="00B06A9A">
      <w:pPr>
        <w:jc w:val="center"/>
        <w:rPr>
          <w:b/>
          <w:szCs w:val="20"/>
        </w:rPr>
        <w:sectPr w:rsidR="00C36D76" w:rsidRPr="009E064B" w:rsidSect="00AE1280">
          <w:headerReference w:type="default" r:id="rId251"/>
          <w:headerReference w:type="first" r:id="rId252"/>
          <w:pgSz w:w="11906" w:h="16840" w:code="9"/>
          <w:pgMar w:top="1701" w:right="1417" w:bottom="1418" w:left="1418" w:header="567" w:footer="454" w:gutter="0"/>
          <w:cols w:space="708"/>
          <w:titlePg/>
          <w:docGrid w:linePitch="360"/>
        </w:sectPr>
      </w:pPr>
    </w:p>
    <w:p w14:paraId="4500FE7E" w14:textId="77777777" w:rsidR="00C36D76" w:rsidRPr="009E064B" w:rsidRDefault="00C36D76" w:rsidP="00B06A9A"/>
    <w:p w14:paraId="5230079B" w14:textId="759DE8FF" w:rsidR="00C36D76" w:rsidRPr="009E064B" w:rsidRDefault="00C36D76" w:rsidP="00020EA3">
      <w:pPr>
        <w:pStyle w:val="Nagwek2"/>
      </w:pPr>
      <w:bookmarkStart w:id="1822" w:name="_Toc382725624"/>
      <w:bookmarkStart w:id="1823" w:name="_Toc482886738"/>
      <w:bookmarkStart w:id="1824" w:name="_Toc12533312"/>
      <w:r w:rsidRPr="009E064B">
        <w:t xml:space="preserve">ROZDZIAŁ T </w:t>
      </w:r>
      <w:r w:rsidR="00AB2D76" w:rsidRPr="009E064B">
        <w:t xml:space="preserve">— </w:t>
      </w:r>
      <w:r w:rsidRPr="009E064B">
        <w:t>LOTNISKOWE SŁUŻBY OPERACYJNE, WYPOSAŻENIE I INSTALACJE</w:t>
      </w:r>
      <w:bookmarkEnd w:id="1822"/>
      <w:bookmarkEnd w:id="1823"/>
      <w:bookmarkEnd w:id="1824"/>
    </w:p>
    <w:p w14:paraId="17A0AB5D" w14:textId="77777777" w:rsidR="00C36D76" w:rsidRPr="009E064B" w:rsidRDefault="00C36D76" w:rsidP="00B06A9A"/>
    <w:p w14:paraId="568F1864" w14:textId="1D28340D" w:rsidR="00C36D76" w:rsidRPr="009E064B" w:rsidRDefault="00A74326" w:rsidP="00B06A9A">
      <w:pPr>
        <w:pStyle w:val="Nagwek4"/>
        <w:rPr>
          <w:color w:val="auto"/>
        </w:rPr>
      </w:pPr>
      <w:bookmarkStart w:id="1825" w:name="_Toc482886739"/>
      <w:bookmarkStart w:id="1826" w:name="_Toc12533313"/>
      <w:r w:rsidRPr="009E064B">
        <w:rPr>
          <w:color w:val="auto"/>
        </w:rPr>
        <w:t xml:space="preserve">CS ADR-DSN.T.900     </w:t>
      </w:r>
      <w:r w:rsidR="00C36D76" w:rsidRPr="009E064B">
        <w:rPr>
          <w:color w:val="auto"/>
        </w:rPr>
        <w:t>Awaryjne drogi dojazdowe i drogi serwisowe</w:t>
      </w:r>
      <w:bookmarkEnd w:id="1825"/>
      <w:bookmarkEnd w:id="1826"/>
    </w:p>
    <w:p w14:paraId="54B8927E" w14:textId="78B838DE"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AA7A7DE" w14:textId="57968B0B" w:rsidR="00C36D76" w:rsidRPr="009E064B" w:rsidRDefault="00C36D76" w:rsidP="00B06A9A">
      <w:pPr>
        <w:rPr>
          <w:szCs w:val="20"/>
        </w:rPr>
      </w:pPr>
      <w:r w:rsidRPr="009E064B">
        <w:rPr>
          <w:szCs w:val="20"/>
        </w:rPr>
        <w:t xml:space="preserve">Awaryjne drogi dojazdowe i drogi serwisowe powinny posiadać miejsca oczekiwania na drodze, zgodnie ze specyfikacjami odpowiednio w </w:t>
      </w:r>
      <w:hyperlink w:anchor="_CS_ADR-DSN.L.600_" w:history="1">
        <w:r w:rsidRPr="009E064B">
          <w:rPr>
            <w:rStyle w:val="Hipercze"/>
            <w:szCs w:val="20"/>
          </w:rPr>
          <w:t>CS ADR-DSN.L.600</w:t>
        </w:r>
      </w:hyperlink>
      <w:r w:rsidRPr="009E064B">
        <w:rPr>
          <w:szCs w:val="20"/>
        </w:rPr>
        <w:t xml:space="preserve">, </w:t>
      </w:r>
      <w:hyperlink w:anchor="_CS_ADR-DSN.M.770_" w:history="1">
        <w:r w:rsidRPr="009E064B">
          <w:rPr>
            <w:rStyle w:val="Hipercze"/>
            <w:szCs w:val="20"/>
          </w:rPr>
          <w:t>CS ADR-DSN.M.770</w:t>
        </w:r>
      </w:hyperlink>
      <w:r w:rsidRPr="009E064B">
        <w:rPr>
          <w:szCs w:val="20"/>
        </w:rPr>
        <w:t xml:space="preserve"> </w:t>
      </w:r>
      <w:r w:rsidR="00B7240A" w:rsidRPr="009E064B">
        <w:rPr>
          <w:szCs w:val="20"/>
        </w:rPr>
        <w:br/>
      </w:r>
      <w:r w:rsidRPr="009E064B">
        <w:rPr>
          <w:szCs w:val="20"/>
        </w:rPr>
        <w:t xml:space="preserve">i </w:t>
      </w:r>
      <w:hyperlink w:anchor="_CS_ADR-DSN.N.800_" w:history="1">
        <w:r w:rsidRPr="009E064B">
          <w:rPr>
            <w:rStyle w:val="Hipercze"/>
            <w:szCs w:val="20"/>
          </w:rPr>
          <w:t>CS ADR-DSN.N.800</w:t>
        </w:r>
      </w:hyperlink>
      <w:r w:rsidRPr="009E064B">
        <w:rPr>
          <w:szCs w:val="20"/>
        </w:rPr>
        <w:t>, na wszystkich skrzyżowaniach z drogą startową i z drogami kołowania.</w:t>
      </w:r>
    </w:p>
    <w:p w14:paraId="1CDFCCF0" w14:textId="77777777"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0C5CC22" w14:textId="128C55B8" w:rsidR="000B1D95" w:rsidRPr="009E064B" w:rsidRDefault="00A74326" w:rsidP="00133B99">
      <w:pPr>
        <w:pStyle w:val="Nagwek6"/>
      </w:pPr>
      <w:bookmarkStart w:id="1827" w:name="_Toc401059090"/>
      <w:bookmarkStart w:id="1828" w:name="_Toc482886963"/>
      <w:bookmarkStart w:id="1829" w:name="_Toc12533314"/>
      <w:r w:rsidRPr="009E064B">
        <w:t xml:space="preserve">GM1 ADR-DSN.T.900     </w:t>
      </w:r>
      <w:r w:rsidR="000B1D95" w:rsidRPr="009E064B">
        <w:t>Awaryjne drogi dojazdowe oraz drogi serwisowe</w:t>
      </w:r>
      <w:bookmarkEnd w:id="1827"/>
      <w:bookmarkEnd w:id="1828"/>
      <w:bookmarkEnd w:id="1829"/>
    </w:p>
    <w:p w14:paraId="2AF1F13B" w14:textId="1290CFD2"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F350FFD" w14:textId="126480B5"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Drogi serwisowe znajdujące się w części lotniczej, są zapewniane w celu zabezpieczenia wszystkich procesów, jakie mają </w:t>
      </w:r>
      <w:r w:rsidRPr="009E064B">
        <w:rPr>
          <w:rFonts w:eastAsia="Times New Roman,Italic" w:cs="Times New Roman,Italic"/>
          <w:iCs/>
          <w:szCs w:val="20"/>
        </w:rPr>
        <w:t>miejsce</w:t>
      </w:r>
      <w:r w:rsidRPr="009E064B">
        <w:rPr>
          <w:szCs w:val="20"/>
        </w:rPr>
        <w:t xml:space="preserve"> na płycie postojowej. Ponadto, drogi serwisowe mogą być wykorzystywane, jako lotniskowe obwodowe drogi serwisowe zapewniające dostęp do pomocy nawigacyjnych, jako tymczasowe drogi dla pojazdów budowlanych, itp.</w:t>
      </w:r>
    </w:p>
    <w:p w14:paraId="41B33C5E" w14:textId="77777777"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Ogólne uwarunkowania do uwzględnienia przy planowaniu dróg są następujące:</w:t>
      </w:r>
    </w:p>
    <w:p w14:paraId="141FCBBA"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(1) </w:t>
      </w:r>
      <w:r w:rsidRPr="009E064B">
        <w:rPr>
          <w:rFonts w:cs="TimesNewRomanPS-BoldItalicMT"/>
          <w:bCs/>
          <w:iCs/>
          <w:szCs w:val="20"/>
        </w:rPr>
        <w:tab/>
      </w:r>
      <w:r w:rsidRPr="009E064B">
        <w:rPr>
          <w:szCs w:val="20"/>
        </w:rPr>
        <w:t>Należy dołożyć wszelkich starań, aby zaplanować drogi serwisowe w części lotniczej w taki sposób, aby nie przecinały one dróg startowych i dróg kołowania.</w:t>
      </w:r>
    </w:p>
    <w:p w14:paraId="22D74F6D" w14:textId="190F8C0D"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(2) </w:t>
      </w:r>
      <w:r w:rsidRPr="009E064B">
        <w:rPr>
          <w:rFonts w:cs="TimesNewRomanPS-BoldItalicMT"/>
          <w:bCs/>
          <w:iCs/>
          <w:szCs w:val="20"/>
        </w:rPr>
        <w:tab/>
      </w:r>
      <w:r w:rsidRPr="009E064B">
        <w:rPr>
          <w:szCs w:val="20"/>
        </w:rPr>
        <w:t>Przy planowaniu układu dróg lotniskowych należy brać pod uwagę potrzebę zapewnienia awaryjnych dróg dojazdowych do wykorzystania przez pojazdy ratownicze-gaśnicze zapewniających dost</w:t>
      </w:r>
      <w:r w:rsidR="00860781" w:rsidRPr="009E064B">
        <w:rPr>
          <w:szCs w:val="20"/>
        </w:rPr>
        <w:t xml:space="preserve">ęp do różnych stref lotniska, a w </w:t>
      </w:r>
      <w:r w:rsidRPr="009E064B">
        <w:rPr>
          <w:szCs w:val="20"/>
        </w:rPr>
        <w:t>szczególności do stref podejścia. Drogi serwisowe do pomocy nawigacyjnych powinny być zaplanowane w taki sposób, aby powodować minimalne zakłócenia dla funkcjonowania pomocy nawigacyjnych. Jeżeli konieczne jest przecięcie strefy podejścia przez drogę serwisową, droga ta powinna być zlokalizowana w taki sposób, aby pojazdy z niej kor</w:t>
      </w:r>
      <w:r w:rsidR="006C7CCF" w:rsidRPr="009E064B">
        <w:rPr>
          <w:szCs w:val="20"/>
        </w:rPr>
        <w:t>zystające nie były przeszkodą w </w:t>
      </w:r>
      <w:r w:rsidRPr="009E064B">
        <w:rPr>
          <w:szCs w:val="20"/>
        </w:rPr>
        <w:t>wykonywaniu operacji statków powietrznych.</w:t>
      </w:r>
    </w:p>
    <w:p w14:paraId="390ECC8F"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(3) </w:t>
      </w:r>
      <w:r w:rsidRPr="009E064B">
        <w:rPr>
          <w:rFonts w:cs="TimesNewRomanPS-BoldItalicMT"/>
          <w:bCs/>
          <w:iCs/>
          <w:szCs w:val="20"/>
        </w:rPr>
        <w:tab/>
      </w:r>
      <w:r w:rsidRPr="009E064B">
        <w:rPr>
          <w:szCs w:val="20"/>
        </w:rPr>
        <w:t>System dróg serwisowych w części lotniczej powinien być zaprojektowany w taki sposób, aby brać pod uwagę lokalne środki ochrony. Dlatego punkty dostępu do systemu muszą być ograniczone. Jeżeli ruch naziemny pojazdów ma negatywny wpływ na ruch naziemny statków powietrznych na drogach startowych i drogach kołowania, należy wprowadzić wymóg koordynacji działań pojazdów naziemnych przez odpowiednią służbę kontroli lotniska. Kontrola jest zwykle sprawowana przy użyciu dwukierunkowej łączności radiowej, aczkolwiek sygnały wzrokowe, takie jak przy użyciu lamp sygnałowych, są odpowiednie, jeżeli ruch na lotnisku jest mały. Znaki lub sygnały mogą być również wykorzystywane dla wspomagania kontroli na skrzyżowaniach.</w:t>
      </w:r>
    </w:p>
    <w:p w14:paraId="0162111D" w14:textId="69430408"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(4) </w:t>
      </w:r>
      <w:r w:rsidRPr="009E064B">
        <w:rPr>
          <w:rFonts w:cs="TimesNewRomanPS-BoldItalicMT"/>
          <w:bCs/>
          <w:iCs/>
          <w:szCs w:val="20"/>
        </w:rPr>
        <w:tab/>
      </w:r>
      <w:r w:rsidRPr="009E064B">
        <w:rPr>
          <w:szCs w:val="20"/>
        </w:rPr>
        <w:t xml:space="preserve">Na skrzyżowaniach z drogami startowymi, uwzględnić należy zapewnienie świateł ochronnych drogi startowej oraz światła miejsca oczekiwania na drodze ruchu kołowego w ramach programu zapobiegania nieuprawnionym wtargnięciom na drogę startową. Światła ochronne drogi startowej powinny spełniać zapisy specyfikacji </w:t>
      </w:r>
      <w:r w:rsidR="00B7240A" w:rsidRPr="009E064B">
        <w:rPr>
          <w:szCs w:val="20"/>
        </w:rPr>
        <w:br/>
      </w:r>
      <w:r w:rsidRPr="009E064B">
        <w:rPr>
          <w:szCs w:val="20"/>
        </w:rPr>
        <w:t>w</w:t>
      </w:r>
      <w:r w:rsidR="00F507C4" w:rsidRPr="009E064B">
        <w:rPr>
          <w:szCs w:val="20"/>
        </w:rPr>
        <w:t xml:space="preserve"> </w:t>
      </w:r>
      <w:hyperlink w:anchor="_CS_ADR-DSN.M.745_" w:history="1">
        <w:r w:rsidR="003F1EC3" w:rsidRPr="009E064B">
          <w:rPr>
            <w:rStyle w:val="Hipercze"/>
            <w:szCs w:val="20"/>
          </w:rPr>
          <w:t>CS </w:t>
        </w:r>
        <w:r w:rsidRPr="009E064B">
          <w:rPr>
            <w:rStyle w:val="Hipercze"/>
            <w:szCs w:val="20"/>
          </w:rPr>
          <w:t>ADR-DSN.M.745.</w:t>
        </w:r>
      </w:hyperlink>
      <w:r w:rsidR="001474BD" w:rsidRPr="001474BD">
        <w:rPr>
          <w:rStyle w:val="Hipercze"/>
          <w:color w:val="auto"/>
          <w:szCs w:val="20"/>
          <w:u w:val="none"/>
        </w:rPr>
        <w:t xml:space="preserve"> </w:t>
      </w:r>
      <w:r w:rsidR="001474BD">
        <w:rPr>
          <w:rStyle w:val="Hipercze"/>
          <w:color w:val="auto"/>
          <w:szCs w:val="20"/>
          <w:u w:val="none"/>
        </w:rPr>
        <w:br w:type="page"/>
      </w:r>
    </w:p>
    <w:p w14:paraId="78F03EBC"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(5) </w:t>
      </w:r>
      <w:r w:rsidRPr="009E064B">
        <w:rPr>
          <w:rFonts w:cs="TimesNewRomanPS-BoldItalicMT"/>
          <w:bCs/>
          <w:iCs/>
          <w:szCs w:val="20"/>
        </w:rPr>
        <w:tab/>
      </w:r>
      <w:r w:rsidRPr="009E064B">
        <w:rPr>
          <w:szCs w:val="20"/>
        </w:rPr>
        <w:t>Drogi powinny być zaprojektowane i zbudowane w taki sposób, aby zapobiec przemieszczaniu ciał obcych (FOD) nad drogi startowe i drogi kołowania.</w:t>
      </w:r>
    </w:p>
    <w:p w14:paraId="33A3AC95"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(6) </w:t>
      </w:r>
      <w:r w:rsidRPr="009E064B">
        <w:rPr>
          <w:rFonts w:cs="TimesNewRomanPS-BoldItalicMT"/>
          <w:bCs/>
          <w:iCs/>
          <w:szCs w:val="20"/>
        </w:rPr>
        <w:tab/>
      </w:r>
      <w:r w:rsidRPr="009E064B">
        <w:rPr>
          <w:szCs w:val="20"/>
        </w:rPr>
        <w:t>Drogi znajdujące się w odległości 90 m od linii środkowej drogi startowej powinny mieć powierzchnię zapobiegającą erozji oraz zanieczyszczaniu drogi startowej i dróg kołowania przez kruszące się fragmenty.</w:t>
      </w:r>
    </w:p>
    <w:p w14:paraId="29209464"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(7) </w:t>
      </w:r>
      <w:r w:rsidRPr="009E064B">
        <w:rPr>
          <w:rFonts w:cs="TimesNewRomanPS-BoldItalicMT"/>
          <w:bCs/>
          <w:iCs/>
          <w:szCs w:val="20"/>
        </w:rPr>
        <w:tab/>
      </w:r>
      <w:r w:rsidRPr="009E064B">
        <w:rPr>
          <w:szCs w:val="20"/>
        </w:rPr>
        <w:t>Dla ułatwienia kontroli i utrzymania ogrodzenia, obwodowa droga serwisowa powinna być znajdować się wewnątrz ogrodzenia.</w:t>
      </w:r>
    </w:p>
    <w:p w14:paraId="61E98602"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(8) </w:t>
      </w:r>
      <w:r w:rsidRPr="009E064B">
        <w:rPr>
          <w:rFonts w:cs="TimesNewRomanPS-BoldItalicMT"/>
          <w:bCs/>
          <w:iCs/>
          <w:szCs w:val="20"/>
        </w:rPr>
        <w:tab/>
      </w:r>
      <w:r w:rsidRPr="009E064B">
        <w:rPr>
          <w:szCs w:val="20"/>
        </w:rPr>
        <w:t>Droga wewnętrzna jest również wykorzystywana przez patrole ochrony.</w:t>
      </w:r>
    </w:p>
    <w:p w14:paraId="56C6F815"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 xml:space="preserve">(9) </w:t>
      </w:r>
      <w:r w:rsidRPr="009E064B">
        <w:rPr>
          <w:rFonts w:cs="TimesNewRomanPS-BoldItalicMT"/>
          <w:bCs/>
          <w:iCs/>
          <w:szCs w:val="20"/>
        </w:rPr>
        <w:tab/>
      </w:r>
      <w:r w:rsidRPr="009E064B">
        <w:rPr>
          <w:szCs w:val="20"/>
        </w:rPr>
        <w:t>Jeżeli zapewniane jest ogrodzenie, należy wziąć pod uwagę konieczność zapewnienia wygodnego dostępu do obszarów zewnętrznych. Takie punkty dostępu powinno być odpowiedniej wielkości tak, aby umożliwić przejazd największego pojazdu RFFS, jakim dysponuje lotnisko.</w:t>
      </w:r>
    </w:p>
    <w:p w14:paraId="2A28130C" w14:textId="77777777" w:rsidR="000B1D95" w:rsidRPr="009E064B" w:rsidRDefault="000B1D95" w:rsidP="00B06A9A">
      <w:pPr>
        <w:tabs>
          <w:tab w:val="left" w:pos="1134"/>
        </w:tabs>
        <w:autoSpaceDE w:val="0"/>
        <w:autoSpaceDN w:val="0"/>
        <w:adjustRightInd w:val="0"/>
        <w:ind w:left="1134" w:hanging="567"/>
        <w:rPr>
          <w:rFonts w:eastAsia="Times New Roman,Italic" w:cs="Times New Roman,Italic"/>
          <w:iCs/>
          <w:szCs w:val="20"/>
        </w:rPr>
      </w:pPr>
      <w:r w:rsidRPr="009E064B">
        <w:rPr>
          <w:rFonts w:cs="TimesNewRomanPS-BoldItalicMT"/>
          <w:bCs/>
          <w:iCs/>
          <w:szCs w:val="20"/>
        </w:rPr>
        <w:t xml:space="preserve">(10) </w:t>
      </w:r>
      <w:r w:rsidRPr="009E064B">
        <w:rPr>
          <w:rFonts w:cs="TimesNewRomanPS-BoldItalicMT"/>
          <w:bCs/>
          <w:iCs/>
          <w:szCs w:val="20"/>
        </w:rPr>
        <w:tab/>
      </w:r>
      <w:r w:rsidRPr="009E064B">
        <w:rPr>
          <w:rFonts w:eastAsia="Times New Roman,Italic" w:cs="Times New Roman,Italic"/>
          <w:iCs/>
          <w:szCs w:val="20"/>
        </w:rPr>
        <w:t xml:space="preserve">Gdy większy poziom ochrony jest uważany za niezbędny, strefa wolna powinna być </w:t>
      </w:r>
      <w:r w:rsidRPr="009E064B">
        <w:rPr>
          <w:szCs w:val="20"/>
        </w:rPr>
        <w:t>zapewniona</w:t>
      </w:r>
      <w:r w:rsidRPr="009E064B">
        <w:rPr>
          <w:rFonts w:eastAsia="Times New Roman,Italic" w:cs="Times New Roman,Italic"/>
          <w:iCs/>
          <w:szCs w:val="20"/>
        </w:rPr>
        <w:t xml:space="preserve"> po obu stronach ogrodzenia lub bariery, aby ułatwić pracę patrolowi oraz utrudnić wkraczanie do niej. Należy rozważyć istnienie drogi wewnętrznej wzdłuż ogrodzenia lotniska dla użytku personelu utrzymania i patroli ochrony.</w:t>
      </w:r>
    </w:p>
    <w:p w14:paraId="5E6F8FE5" w14:textId="77777777" w:rsidR="000B1D95" w:rsidRPr="009E064B" w:rsidRDefault="000B1D95" w:rsidP="00B06A9A">
      <w:pPr>
        <w:tabs>
          <w:tab w:val="left" w:pos="1134"/>
        </w:tabs>
        <w:autoSpaceDE w:val="0"/>
        <w:autoSpaceDN w:val="0"/>
        <w:adjustRightInd w:val="0"/>
        <w:ind w:left="1134" w:hanging="567"/>
        <w:rPr>
          <w:szCs w:val="20"/>
        </w:rPr>
      </w:pPr>
      <w:r w:rsidRPr="009E064B">
        <w:rPr>
          <w:rFonts w:cs="TimesNewRomanPS-BoldItalicMT"/>
          <w:bCs/>
          <w:iCs/>
          <w:szCs w:val="20"/>
        </w:rPr>
        <w:t>(11)</w:t>
      </w:r>
      <w:r w:rsidRPr="009E064B">
        <w:rPr>
          <w:rFonts w:cs="TimesNewRomanPS-BoldItalicMT"/>
          <w:bCs/>
          <w:iCs/>
          <w:szCs w:val="20"/>
        </w:rPr>
        <w:tab/>
      </w:r>
      <w:r w:rsidRPr="009E064B">
        <w:rPr>
          <w:rFonts w:eastAsia="Times New Roman,Italic" w:cs="Times New Roman,Italic"/>
          <w:iCs/>
          <w:szCs w:val="20"/>
        </w:rPr>
        <w:t>Specjalne środki powinny być wymagane, aby zapobiec dostępowi osób nieupoważnionych do dróg startowych i dróg kołowania krzyżujących się z drogami publicznymi.</w:t>
      </w:r>
    </w:p>
    <w:p w14:paraId="78F02A8A"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Zapewnienie awaryjnych dróg dojazdowych powinno być wzięte pod uwagę w celu zmniejszenia do minimum czasu reakcji pojazdów ratowniczo-gaśniczych (RFF).</w:t>
      </w:r>
    </w:p>
    <w:p w14:paraId="309CF4FB"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(d) </w:t>
      </w:r>
      <w:r w:rsidRPr="009E064B">
        <w:rPr>
          <w:rFonts w:cs="TimesNewRomanPS-BoldItalicMT"/>
          <w:bCs/>
          <w:iCs/>
          <w:szCs w:val="20"/>
        </w:rPr>
        <w:tab/>
        <w:t xml:space="preserve">Awaryjne drogi dojazdowe powinny być zapewnione na lotnisku, gdy warunki terenowe pozwalają na ich budowę, po to aby ułatwić osiągnięcie minimalnych czasów reakcji. </w:t>
      </w:r>
      <w:r w:rsidRPr="009E064B">
        <w:rPr>
          <w:rFonts w:eastAsia="Times New Roman,Italic" w:cs="Times New Roman,Italic"/>
          <w:iCs/>
          <w:szCs w:val="20"/>
        </w:rPr>
        <w:t>Szczególną uwagę należy zwrócić na zapewnienie łatwego dostępu do stref podejścia do lądowania na odległości do 1000 m od progu drogi startowej, lub co najmniej do granic lotniska.</w:t>
      </w:r>
    </w:p>
    <w:p w14:paraId="106F1CF9"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(e) </w:t>
      </w:r>
      <w:r w:rsidRPr="009E064B">
        <w:rPr>
          <w:rFonts w:cs="TimesNewRomanPS-BoldItalicMT"/>
          <w:bCs/>
          <w:iCs/>
          <w:szCs w:val="20"/>
        </w:rPr>
        <w:tab/>
      </w:r>
      <w:r w:rsidRPr="009E064B">
        <w:rPr>
          <w:rFonts w:eastAsia="Times New Roman,Italic" w:cs="Times New Roman,Italic"/>
          <w:iCs/>
          <w:szCs w:val="20"/>
        </w:rPr>
        <w:t>Awaryjne drogi serwisowe nie są przeznaczone do wykorzystania do tych samych celów jak drogi serwisowe lotniska. Dlatego możliwe jest zapewnienie innej kontroli dostępu, co powinno być jednoznacznie widoczne dla całego ruchu służb naziemnych. Oznakowanie, światła miejsca oczekiwania na drodze ruchu kołowego lub światła ochronne drogi startowej nie są konieczne, jeżeli dostęp do awaryjnych dróg serwisowych jest zapewniany tyko dla pojazdów ratowniczo-gaśniczych.</w:t>
      </w:r>
    </w:p>
    <w:p w14:paraId="11B7437E"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(f) </w:t>
      </w:r>
      <w:r w:rsidRPr="009E064B">
        <w:rPr>
          <w:rFonts w:cs="TimesNewRomanPS-BoldItalicMT"/>
          <w:bCs/>
          <w:iCs/>
          <w:szCs w:val="20"/>
        </w:rPr>
        <w:tab/>
      </w:r>
      <w:r w:rsidRPr="009E064B">
        <w:rPr>
          <w:rFonts w:eastAsia="Times New Roman,Italic" w:cs="Times New Roman,Italic"/>
          <w:iCs/>
          <w:szCs w:val="20"/>
        </w:rPr>
        <w:t>Lotniskowe drogi serwisowe mogą służyć, jako awaryjne drogi dojazdowe, jeżeli są odpowiednio zlokalizowane i skonstruowane.</w:t>
      </w:r>
    </w:p>
    <w:p w14:paraId="3EA4F3BE" w14:textId="77777777" w:rsidR="000B1D95" w:rsidRPr="009E064B" w:rsidRDefault="000B1D95"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(g) </w:t>
      </w:r>
      <w:r w:rsidRPr="009E064B">
        <w:rPr>
          <w:rFonts w:cs="TimesNewRomanPS-BoldItalicMT"/>
          <w:bCs/>
          <w:iCs/>
          <w:szCs w:val="20"/>
        </w:rPr>
        <w:tab/>
      </w:r>
      <w:r w:rsidRPr="009E064B">
        <w:rPr>
          <w:rFonts w:eastAsia="Times New Roman,Italic" w:cs="Times New Roman,Italic"/>
          <w:iCs/>
          <w:szCs w:val="20"/>
        </w:rPr>
        <w:t>Awaryjne drogi dojazdowe powinny być zdolne do przenoszenia ciężaru najcięższych pojazdów, jakie mogłyby się na nich znaleźć i nadawały się do użycia w każdych warunkach meteorologicznych. Drogi zlokalizowane w odległości mniejszej niż 90 m od drogi startowej, powinny być wyposażone w nawierzchnię zapobiegającą erozji powierzchni tej drogi i zapobiegającą zanieczyszczaniu drogi startowej przez kruszące się fragmenty tej drogi. Na drogach tych należy zapewnić wystarczający odstęp pionowy, pod ewentualnymi przeszkodami, umożliwiający przejazd pod nimi największych pojazdów.</w:t>
      </w:r>
    </w:p>
    <w:p w14:paraId="592797FD" w14:textId="77777777" w:rsidR="000B1D95" w:rsidRPr="009E064B" w:rsidRDefault="000B1D95" w:rsidP="00B06A9A">
      <w:pPr>
        <w:tabs>
          <w:tab w:val="left" w:pos="567"/>
        </w:tabs>
        <w:autoSpaceDE w:val="0"/>
        <w:autoSpaceDN w:val="0"/>
        <w:adjustRightInd w:val="0"/>
        <w:spacing w:after="0"/>
        <w:ind w:left="567" w:hanging="567"/>
        <w:rPr>
          <w:rFonts w:eastAsia="Times New Roman,Italic" w:cs="Times New Roman,Italic"/>
          <w:iCs/>
          <w:szCs w:val="20"/>
        </w:rPr>
      </w:pPr>
      <w:r w:rsidRPr="009E064B">
        <w:rPr>
          <w:rFonts w:cs="TimesNewRomanPS-BoldItalicMT"/>
          <w:bCs/>
          <w:iCs/>
          <w:szCs w:val="20"/>
        </w:rPr>
        <w:t xml:space="preserve">(h) </w:t>
      </w:r>
      <w:r w:rsidRPr="009E064B">
        <w:rPr>
          <w:rFonts w:cs="TimesNewRomanPS-BoldItalicMT"/>
          <w:bCs/>
          <w:iCs/>
          <w:szCs w:val="20"/>
        </w:rPr>
        <w:tab/>
      </w:r>
      <w:r w:rsidRPr="009E064B">
        <w:rPr>
          <w:rFonts w:eastAsia="Times New Roman,Italic" w:cs="Times New Roman,Italic"/>
          <w:iCs/>
          <w:szCs w:val="20"/>
        </w:rPr>
        <w:t>Kiedy nawierzchnia drogi nie odróżnia się od otoczenia lub gdzie śnieg może uniemożliwić zlokalizowanie dróg dojazdowych, należy umieszczać znaki krawędziowe na krawędziach tych dróg w odstępach około 10 m.</w:t>
      </w:r>
    </w:p>
    <w:p w14:paraId="5EFEA830"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5EDB0FD9" w14:textId="5C9597CF" w:rsidR="00C36D76" w:rsidRPr="009E064B" w:rsidRDefault="006F5AD2" w:rsidP="00B06A9A">
      <w:pPr>
        <w:pStyle w:val="Nagwek4"/>
        <w:rPr>
          <w:color w:val="auto"/>
        </w:rPr>
      </w:pPr>
      <w:bookmarkStart w:id="1830" w:name="_Toc482886740"/>
      <w:bookmarkStart w:id="1831" w:name="_Toc12533315"/>
      <w:r w:rsidRPr="009E064B">
        <w:rPr>
          <w:color w:val="auto"/>
        </w:rPr>
        <w:t xml:space="preserve">CS ADR-DSN.T.905     </w:t>
      </w:r>
      <w:r w:rsidR="00C36D76" w:rsidRPr="009E064B">
        <w:rPr>
          <w:color w:val="auto"/>
        </w:rPr>
        <w:t>Strażnice przeciwpożarowe</w:t>
      </w:r>
      <w:bookmarkEnd w:id="1830"/>
      <w:bookmarkEnd w:id="1831"/>
    </w:p>
    <w:p w14:paraId="1C7901DB" w14:textId="080CA2A4"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14FBCEE7" w14:textId="350D9B58" w:rsidR="00C36D76" w:rsidRPr="009E064B" w:rsidRDefault="00C36D76" w:rsidP="006F5AD2">
      <w:pPr>
        <w:tabs>
          <w:tab w:val="left" w:pos="567"/>
        </w:tabs>
        <w:ind w:left="567" w:hanging="567"/>
        <w:rPr>
          <w:rFonts w:eastAsia="Times New Roman,Italic" w:cs="Times New Roman,Italic"/>
          <w:iCs/>
          <w:szCs w:val="20"/>
        </w:rPr>
      </w:pPr>
      <w:r w:rsidRPr="009E064B">
        <w:rPr>
          <w:rFonts w:cs="Times New Roman"/>
          <w:szCs w:val="20"/>
        </w:rPr>
        <w:t>(a)</w:t>
      </w:r>
      <w:r w:rsidRPr="009E064B">
        <w:rPr>
          <w:rFonts w:cs="Times New Roman"/>
          <w:szCs w:val="20"/>
        </w:rPr>
        <w:tab/>
      </w:r>
      <w:r w:rsidRPr="009E064B">
        <w:rPr>
          <w:rFonts w:eastAsia="Times New Roman,Italic" w:cs="Times New Roman,Italic"/>
          <w:iCs/>
          <w:szCs w:val="20"/>
        </w:rPr>
        <w:t xml:space="preserve">Wszystkie pojazdy ratowniczo-gaśnicze powinny garażować w strażnicy </w:t>
      </w:r>
      <w:r w:rsidRPr="009E064B">
        <w:rPr>
          <w:szCs w:val="20"/>
        </w:rPr>
        <w:t>przeciwpożarowej</w:t>
      </w:r>
      <w:r w:rsidRPr="009E064B">
        <w:rPr>
          <w:rFonts w:eastAsia="Times New Roman,Italic" w:cs="Times New Roman,Italic"/>
          <w:iCs/>
          <w:szCs w:val="20"/>
        </w:rPr>
        <w:t>. Jeżeli jedna strażnica nie zapewnia zachowania określonego czasu reakcji, powinny być wybudowane strażnice satelitarne.</w:t>
      </w:r>
    </w:p>
    <w:p w14:paraId="1B3D29F2"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rFonts w:eastAsia="Times New Roman,Italic" w:cs="Times New Roman,Italic"/>
          <w:iCs/>
          <w:szCs w:val="20"/>
        </w:rPr>
        <w:t>Strażnica przeciwpożarowa powinna być zlokalizowana w taki sposób, aby pojazdy ratowniczo-gaśnicze miały prosty i bezpośredni dostęp do drogi startowej przy minimalnej liczbie zakrętów.</w:t>
      </w:r>
    </w:p>
    <w:p w14:paraId="147EDAF8"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Strażnica przeciwpożarowa oraz strażnice satelitarne powinny być zlokalizowane poza drogą kołowania i pasami drogi startowej oraz nie powinny naruszać powierzchni ograniczających przeszkody lotnicze.</w:t>
      </w:r>
    </w:p>
    <w:p w14:paraId="61A31C75" w14:textId="19913F13" w:rsidR="000B1D95" w:rsidRPr="009E064B" w:rsidRDefault="006F5AD2" w:rsidP="00133B99">
      <w:pPr>
        <w:pStyle w:val="Nagwek6"/>
      </w:pPr>
      <w:bookmarkStart w:id="1832" w:name="_Toc401059091"/>
      <w:bookmarkStart w:id="1833" w:name="_Toc482886964"/>
      <w:bookmarkStart w:id="1834" w:name="_Toc12533316"/>
      <w:r w:rsidRPr="009E064B">
        <w:t xml:space="preserve">GM1 ADR-DSN.T.905     </w:t>
      </w:r>
      <w:r w:rsidR="000B1D95" w:rsidRPr="009E064B">
        <w:t>Strażnice przeciwpożarowe</w:t>
      </w:r>
      <w:bookmarkEnd w:id="1832"/>
      <w:bookmarkEnd w:id="1833"/>
      <w:bookmarkEnd w:id="1834"/>
    </w:p>
    <w:p w14:paraId="0B06ED59" w14:textId="3BB54291"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9878F77" w14:textId="77777777" w:rsidR="000B1D95" w:rsidRPr="009E064B" w:rsidRDefault="000B1D95" w:rsidP="00B06A9A">
      <w:r w:rsidRPr="009E064B">
        <w:t>Celowo pozostawiono puste.</w:t>
      </w:r>
    </w:p>
    <w:p w14:paraId="07227C55" w14:textId="4AADF6D5" w:rsidR="00C36D76" w:rsidRPr="009E064B" w:rsidRDefault="006F5AD2" w:rsidP="00B06A9A">
      <w:pPr>
        <w:pStyle w:val="Nagwek4"/>
        <w:rPr>
          <w:color w:val="auto"/>
        </w:rPr>
      </w:pPr>
      <w:bookmarkStart w:id="1835" w:name="_CS_ADR-DSN.T.910_"/>
      <w:bookmarkStart w:id="1836" w:name="_Toc482886741"/>
      <w:bookmarkStart w:id="1837" w:name="_Toc12533317"/>
      <w:bookmarkEnd w:id="1835"/>
      <w:r w:rsidRPr="009E064B">
        <w:rPr>
          <w:color w:val="auto"/>
        </w:rPr>
        <w:t xml:space="preserve">CS ADR-DSN.T.910     </w:t>
      </w:r>
      <w:r w:rsidR="00C36D76" w:rsidRPr="009E064B">
        <w:rPr>
          <w:color w:val="auto"/>
        </w:rPr>
        <w:t>Wymagania dotyczące łamliwości</w:t>
      </w:r>
      <w:bookmarkEnd w:id="1836"/>
      <w:bookmarkEnd w:id="1837"/>
    </w:p>
    <w:p w14:paraId="3272F064" w14:textId="79A1876B"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5108765C" w14:textId="77777777" w:rsidR="00C36D76" w:rsidRPr="009E064B" w:rsidRDefault="00C36D76" w:rsidP="00B06A9A">
      <w:pPr>
        <w:rPr>
          <w:szCs w:val="20"/>
        </w:rPr>
      </w:pPr>
      <w:r w:rsidRPr="009E064B">
        <w:rPr>
          <w:szCs w:val="20"/>
        </w:rPr>
        <w:t>Sprzęt oraz konstrukcje powinny być zaprojektowane w taki sposób, aby spełniać odpowiednie charakterystyki w zakresie łamliwości, jeżeli zajdzie taka konieczność.</w:t>
      </w:r>
    </w:p>
    <w:p w14:paraId="4CB18B13" w14:textId="0C1B2306" w:rsidR="000B1D95" w:rsidRPr="009E064B" w:rsidRDefault="00A74326" w:rsidP="00133B99">
      <w:pPr>
        <w:pStyle w:val="Nagwek6"/>
      </w:pPr>
      <w:bookmarkStart w:id="1838" w:name="_Toc401059092"/>
      <w:bookmarkStart w:id="1839" w:name="_Toc482886965"/>
      <w:bookmarkStart w:id="1840" w:name="_Toc12533318"/>
      <w:r w:rsidRPr="009E064B">
        <w:t xml:space="preserve">GM1 ADR-DSN.T.910     </w:t>
      </w:r>
      <w:r w:rsidR="000B1D95" w:rsidRPr="009E064B">
        <w:t>Wymagania dotyczące łamliwości</w:t>
      </w:r>
      <w:bookmarkEnd w:id="1838"/>
      <w:bookmarkEnd w:id="1839"/>
      <w:bookmarkEnd w:id="1840"/>
    </w:p>
    <w:p w14:paraId="2516104F" w14:textId="44AAA9A6"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52314812" w14:textId="4BFA8F2B"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 xml:space="preserve">Wyposażenie oraz elementy zabezpieczające, od których wymaga się, aby były łamliwe, </w:t>
      </w:r>
      <w:r w:rsidRPr="009E064B">
        <w:rPr>
          <w:rFonts w:eastAsia="Times New Roman,Italic" w:cs="Times New Roman,Italic"/>
          <w:iCs/>
          <w:szCs w:val="20"/>
        </w:rPr>
        <w:t>powinny</w:t>
      </w:r>
      <w:r w:rsidRPr="009E064B">
        <w:rPr>
          <w:szCs w:val="20"/>
        </w:rPr>
        <w:t xml:space="preserve"> być zaprojektowane i zbudowane w taki sposób, że powinny się łamać lub odkształcać, jeżeli zostaną przypadkowo uderzone przez statek powietrzny. Materiały konstrukcyjne powinny wykluczać jakąkolwiek możliwość, aby elementy składowe, w tym przewody elektryczne, „owijały się dookoła” uderzającego statku powietrznego lub jakiejkolwiek jego części.</w:t>
      </w:r>
    </w:p>
    <w:p w14:paraId="47A6B128" w14:textId="7632E09E" w:rsidR="000B1D95" w:rsidRPr="009E064B" w:rsidRDefault="000B1D95"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(b) </w:t>
      </w:r>
      <w:r w:rsidRPr="009E064B">
        <w:rPr>
          <w:rFonts w:cs="TimesNewRomanPS-BoldItalicMT"/>
          <w:bCs/>
          <w:iCs/>
          <w:szCs w:val="20"/>
        </w:rPr>
        <w:tab/>
      </w:r>
      <w:r w:rsidRPr="009E064B">
        <w:rPr>
          <w:szCs w:val="20"/>
        </w:rPr>
        <w:t>Konstrukcje łamliwe powinny być zaprojektowane w taki sposób, aby wytrzymać warunki wietrzne w czasie postoju oraz w czasie wykonywania operacji lub podmuchy silników odrzutowych o odpowiednim współczynniku bezpieczeństwa, ale powinny ulec złamaniu lub odkształceniu w przypadku zadziałania na nie n</w:t>
      </w:r>
      <w:r w:rsidR="00B7240A" w:rsidRPr="009E064B">
        <w:rPr>
          <w:szCs w:val="20"/>
        </w:rPr>
        <w:t>agłymi siłami wynoszącymi 3 000 </w:t>
      </w:r>
      <w:r w:rsidRPr="009E064B">
        <w:rPr>
          <w:szCs w:val="20"/>
        </w:rPr>
        <w:t>kg w przypadku statku powietrznego wykonującego lot z prędkością 140 km/h (75 węzłów), lub poruszającego się na ziemi z prędkością 50 km/h (27 węzłów).</w:t>
      </w:r>
    </w:p>
    <w:p w14:paraId="60E72478" w14:textId="77777777" w:rsidR="000B1D95" w:rsidRPr="009E064B" w:rsidRDefault="000B1D95" w:rsidP="00B06A9A">
      <w:pPr>
        <w:tabs>
          <w:tab w:val="left" w:pos="567"/>
        </w:tabs>
        <w:autoSpaceDE w:val="0"/>
        <w:autoSpaceDN w:val="0"/>
        <w:adjustRightInd w:val="0"/>
        <w:spacing w:after="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Wytyczne dotyczące łamliwości znajdują się w „</w:t>
      </w:r>
      <w:r w:rsidRPr="009E064B">
        <w:rPr>
          <w:i/>
          <w:szCs w:val="20"/>
        </w:rPr>
        <w:t>Podręczniku projektowania lotnisk</w:t>
      </w:r>
      <w:r w:rsidRPr="009E064B">
        <w:rPr>
          <w:szCs w:val="20"/>
        </w:rPr>
        <w:t>” ICAO Doc 9157, Część 6 „</w:t>
      </w:r>
      <w:r w:rsidRPr="009E064B">
        <w:rPr>
          <w:i/>
          <w:szCs w:val="20"/>
        </w:rPr>
        <w:t>Łamliwość</w:t>
      </w:r>
      <w:r w:rsidRPr="009E064B">
        <w:rPr>
          <w:szCs w:val="20"/>
        </w:rPr>
        <w:t xml:space="preserve">”. </w:t>
      </w:r>
    </w:p>
    <w:p w14:paraId="1E6F00BD" w14:textId="77777777" w:rsidR="000B1D95" w:rsidRPr="009E064B" w:rsidRDefault="000B1D95"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699C6C05" w14:textId="49E2AFF4" w:rsidR="00C36D76" w:rsidRPr="009E064B" w:rsidRDefault="00A74326" w:rsidP="00A74326">
      <w:pPr>
        <w:pStyle w:val="Nagwek4"/>
        <w:tabs>
          <w:tab w:val="clear" w:pos="2694"/>
          <w:tab w:val="left" w:pos="2410"/>
        </w:tabs>
        <w:ind w:left="2410" w:hanging="2410"/>
        <w:rPr>
          <w:color w:val="auto"/>
        </w:rPr>
      </w:pPr>
      <w:bookmarkStart w:id="1841" w:name="_CS_ADR-DSN.T.915_"/>
      <w:bookmarkStart w:id="1842" w:name="_Toc482886742"/>
      <w:bookmarkStart w:id="1843" w:name="_Toc12533319"/>
      <w:bookmarkEnd w:id="1841"/>
      <w:r w:rsidRPr="009E064B">
        <w:rPr>
          <w:color w:val="auto"/>
        </w:rPr>
        <w:t xml:space="preserve">CS ADR-DSN.T.915     </w:t>
      </w:r>
      <w:r w:rsidR="00C36D76" w:rsidRPr="009E064B">
        <w:rPr>
          <w:color w:val="auto"/>
        </w:rPr>
        <w:t>Rozmieszczenie urządzeń i instalacji w strefach operacyjnych</w:t>
      </w:r>
      <w:bookmarkEnd w:id="1842"/>
      <w:bookmarkEnd w:id="1843"/>
    </w:p>
    <w:p w14:paraId="407123E0" w14:textId="611C685E"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30E8F1D4" w14:textId="139E21D5" w:rsidR="00C36D76" w:rsidRPr="009E064B" w:rsidRDefault="00C36D76" w:rsidP="00B06A9A">
      <w:pPr>
        <w:tabs>
          <w:tab w:val="left" w:pos="567"/>
        </w:tabs>
        <w:ind w:left="567" w:hanging="567"/>
        <w:rPr>
          <w:rFonts w:cs="Times New Roman"/>
          <w:szCs w:val="20"/>
        </w:rPr>
      </w:pPr>
      <w:r w:rsidRPr="009E064B">
        <w:rPr>
          <w:rFonts w:cs="Times New Roman"/>
          <w:szCs w:val="20"/>
        </w:rPr>
        <w:t xml:space="preserve">(a) </w:t>
      </w:r>
      <w:r w:rsidRPr="009E064B">
        <w:rPr>
          <w:rFonts w:cs="Times New Roman"/>
          <w:szCs w:val="20"/>
        </w:rPr>
        <w:tab/>
        <w:t xml:space="preserve">Urządzenia oraz instalacje powinny być rozmieszczone możliwie jak najdalej od linii </w:t>
      </w:r>
      <w:r w:rsidRPr="009E064B">
        <w:rPr>
          <w:szCs w:val="20"/>
        </w:rPr>
        <w:t>środkowej</w:t>
      </w:r>
      <w:r w:rsidRPr="009E064B">
        <w:rPr>
          <w:rFonts w:cs="Times New Roman"/>
          <w:szCs w:val="20"/>
        </w:rPr>
        <w:t xml:space="preserve"> drogi startowej i drogi kołowania.</w:t>
      </w:r>
    </w:p>
    <w:p w14:paraId="73922F13"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(b) </w:t>
      </w:r>
      <w:r w:rsidRPr="009E064B">
        <w:rPr>
          <w:rFonts w:cs="Times New Roman"/>
          <w:szCs w:val="20"/>
        </w:rPr>
        <w:tab/>
        <w:t>Żadne urządzenie ani instalacja, jeśli jej funkcja nie jest niezbędna w danym miejscu ze względu na potrzeby nawigacji lotniczej lub bezpieczeństwo statku powietrznego, nie powinno się znajdować:</w:t>
      </w:r>
    </w:p>
    <w:p w14:paraId="4A24DCAB"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na pasie drogi startowej, w strefie bezpieczeństwa końca drogi startowej ani na pasie drogi kołowania odległościach mniejszych niż podano w poniższej:</w:t>
      </w:r>
    </w:p>
    <w:p w14:paraId="03327433" w14:textId="77777777" w:rsidR="00C36D76" w:rsidRPr="009E064B" w:rsidRDefault="00C36D76" w:rsidP="006F5AD2">
      <w:pPr>
        <w:tabs>
          <w:tab w:val="left" w:pos="1134"/>
        </w:tabs>
        <w:autoSpaceDE w:val="0"/>
        <w:autoSpaceDN w:val="0"/>
        <w:adjustRightInd w:val="0"/>
        <w:spacing w:after="0"/>
        <w:ind w:left="1134" w:hanging="567"/>
        <w:rPr>
          <w:rFonts w:cs="Times New Roman"/>
          <w:szCs w:val="20"/>
        </w:rPr>
      </w:pPr>
    </w:p>
    <w:tbl>
      <w:tblPr>
        <w:tblStyle w:val="Tabela-Siatka"/>
        <w:tblW w:w="6379" w:type="dxa"/>
        <w:tblInd w:w="1838" w:type="dxa"/>
        <w:tblLook w:val="04A0" w:firstRow="1" w:lastRow="0" w:firstColumn="1" w:lastColumn="0" w:noHBand="0" w:noVBand="1"/>
      </w:tblPr>
      <w:tblGrid>
        <w:gridCol w:w="1276"/>
        <w:gridCol w:w="5103"/>
      </w:tblGrid>
      <w:tr w:rsidR="00C36D76" w:rsidRPr="009E064B" w14:paraId="3C11D6F1" w14:textId="77777777" w:rsidTr="00F507C4">
        <w:tc>
          <w:tcPr>
            <w:tcW w:w="1276" w:type="dxa"/>
            <w:tcMar>
              <w:top w:w="85" w:type="dxa"/>
              <w:bottom w:w="85" w:type="dxa"/>
            </w:tcMar>
            <w:vAlign w:val="center"/>
          </w:tcPr>
          <w:p w14:paraId="41A08778" w14:textId="77777777" w:rsidR="00C36D76" w:rsidRPr="009E064B" w:rsidRDefault="00C36D76" w:rsidP="00B7240A">
            <w:pPr>
              <w:pStyle w:val="Default"/>
              <w:tabs>
                <w:tab w:val="left" w:pos="1026"/>
              </w:tabs>
              <w:spacing w:before="40" w:after="40"/>
              <w:ind w:right="-57"/>
              <w:jc w:val="center"/>
              <w:rPr>
                <w:color w:val="auto"/>
                <w:sz w:val="18"/>
                <w:szCs w:val="18"/>
              </w:rPr>
            </w:pPr>
            <w:r w:rsidRPr="009E064B">
              <w:rPr>
                <w:color w:val="auto"/>
                <w:sz w:val="18"/>
                <w:szCs w:val="18"/>
              </w:rPr>
              <w:t>Litera kodu</w:t>
            </w:r>
          </w:p>
        </w:tc>
        <w:tc>
          <w:tcPr>
            <w:tcW w:w="5103" w:type="dxa"/>
            <w:tcMar>
              <w:top w:w="85" w:type="dxa"/>
              <w:bottom w:w="85" w:type="dxa"/>
            </w:tcMar>
            <w:vAlign w:val="center"/>
          </w:tcPr>
          <w:p w14:paraId="4679D040"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Odległość pomiędzy drogą kołowania, inną niż droga kołowania na stanowisko postojowe, a obiektem</w:t>
            </w:r>
          </w:p>
          <w:p w14:paraId="4A3706EF"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(w metrach)</w:t>
            </w:r>
          </w:p>
        </w:tc>
      </w:tr>
      <w:tr w:rsidR="00C36D76" w:rsidRPr="009E064B" w14:paraId="340E1242" w14:textId="77777777" w:rsidTr="006C7CCF">
        <w:trPr>
          <w:trHeight w:val="397"/>
        </w:trPr>
        <w:tc>
          <w:tcPr>
            <w:tcW w:w="1276" w:type="dxa"/>
            <w:tcMar>
              <w:top w:w="85" w:type="dxa"/>
              <w:bottom w:w="85" w:type="dxa"/>
            </w:tcMar>
            <w:vAlign w:val="center"/>
          </w:tcPr>
          <w:p w14:paraId="136FA668"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A</w:t>
            </w:r>
          </w:p>
        </w:tc>
        <w:tc>
          <w:tcPr>
            <w:tcW w:w="5103" w:type="dxa"/>
            <w:tcMar>
              <w:top w:w="85" w:type="dxa"/>
              <w:bottom w:w="85" w:type="dxa"/>
            </w:tcMar>
            <w:vAlign w:val="center"/>
          </w:tcPr>
          <w:p w14:paraId="3D4FA8DE"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15.5</w:t>
            </w:r>
          </w:p>
        </w:tc>
      </w:tr>
      <w:tr w:rsidR="00C36D76" w:rsidRPr="009E064B" w14:paraId="03100D4C" w14:textId="77777777" w:rsidTr="006C7CCF">
        <w:trPr>
          <w:trHeight w:val="397"/>
        </w:trPr>
        <w:tc>
          <w:tcPr>
            <w:tcW w:w="1276" w:type="dxa"/>
            <w:tcMar>
              <w:top w:w="85" w:type="dxa"/>
              <w:bottom w:w="85" w:type="dxa"/>
            </w:tcMar>
            <w:vAlign w:val="center"/>
          </w:tcPr>
          <w:p w14:paraId="1ADF3E01"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B</w:t>
            </w:r>
          </w:p>
        </w:tc>
        <w:tc>
          <w:tcPr>
            <w:tcW w:w="5103" w:type="dxa"/>
            <w:tcMar>
              <w:top w:w="85" w:type="dxa"/>
              <w:bottom w:w="85" w:type="dxa"/>
            </w:tcMar>
            <w:vAlign w:val="center"/>
          </w:tcPr>
          <w:p w14:paraId="015A5F8B"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20</w:t>
            </w:r>
          </w:p>
        </w:tc>
      </w:tr>
      <w:tr w:rsidR="00C36D76" w:rsidRPr="009E064B" w14:paraId="0D41D5E6" w14:textId="77777777" w:rsidTr="006C7CCF">
        <w:trPr>
          <w:trHeight w:val="397"/>
        </w:trPr>
        <w:tc>
          <w:tcPr>
            <w:tcW w:w="1276" w:type="dxa"/>
            <w:tcMar>
              <w:top w:w="85" w:type="dxa"/>
              <w:bottom w:w="85" w:type="dxa"/>
            </w:tcMar>
            <w:vAlign w:val="center"/>
          </w:tcPr>
          <w:p w14:paraId="19DAE020"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C</w:t>
            </w:r>
          </w:p>
        </w:tc>
        <w:tc>
          <w:tcPr>
            <w:tcW w:w="5103" w:type="dxa"/>
            <w:tcMar>
              <w:top w:w="85" w:type="dxa"/>
              <w:bottom w:w="85" w:type="dxa"/>
            </w:tcMar>
            <w:vAlign w:val="center"/>
          </w:tcPr>
          <w:p w14:paraId="7CD4DD7C"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26</w:t>
            </w:r>
          </w:p>
        </w:tc>
      </w:tr>
      <w:tr w:rsidR="00C36D76" w:rsidRPr="009E064B" w14:paraId="443ED930" w14:textId="77777777" w:rsidTr="006C7CCF">
        <w:trPr>
          <w:trHeight w:val="397"/>
        </w:trPr>
        <w:tc>
          <w:tcPr>
            <w:tcW w:w="1276" w:type="dxa"/>
            <w:tcMar>
              <w:top w:w="85" w:type="dxa"/>
              <w:bottom w:w="85" w:type="dxa"/>
            </w:tcMar>
            <w:vAlign w:val="center"/>
          </w:tcPr>
          <w:p w14:paraId="31B78D61"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D</w:t>
            </w:r>
          </w:p>
        </w:tc>
        <w:tc>
          <w:tcPr>
            <w:tcW w:w="5103" w:type="dxa"/>
            <w:tcMar>
              <w:top w:w="85" w:type="dxa"/>
              <w:bottom w:w="85" w:type="dxa"/>
            </w:tcMar>
            <w:vAlign w:val="center"/>
          </w:tcPr>
          <w:p w14:paraId="69B79E3F"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37</w:t>
            </w:r>
          </w:p>
        </w:tc>
      </w:tr>
      <w:tr w:rsidR="00C36D76" w:rsidRPr="009E064B" w14:paraId="7BBF2CB9" w14:textId="77777777" w:rsidTr="006C7CCF">
        <w:trPr>
          <w:trHeight w:val="397"/>
        </w:trPr>
        <w:tc>
          <w:tcPr>
            <w:tcW w:w="1276" w:type="dxa"/>
            <w:tcMar>
              <w:top w:w="85" w:type="dxa"/>
              <w:bottom w:w="85" w:type="dxa"/>
            </w:tcMar>
            <w:vAlign w:val="center"/>
          </w:tcPr>
          <w:p w14:paraId="3A1EDB68"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E</w:t>
            </w:r>
          </w:p>
        </w:tc>
        <w:tc>
          <w:tcPr>
            <w:tcW w:w="5103" w:type="dxa"/>
            <w:tcMar>
              <w:top w:w="85" w:type="dxa"/>
              <w:bottom w:w="85" w:type="dxa"/>
            </w:tcMar>
            <w:vAlign w:val="center"/>
          </w:tcPr>
          <w:p w14:paraId="4CD3FDDF"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43.5</w:t>
            </w:r>
          </w:p>
        </w:tc>
      </w:tr>
      <w:tr w:rsidR="00C36D76" w:rsidRPr="009E064B" w14:paraId="6DF39DC2" w14:textId="77777777" w:rsidTr="006C7CCF">
        <w:trPr>
          <w:trHeight w:val="397"/>
        </w:trPr>
        <w:tc>
          <w:tcPr>
            <w:tcW w:w="1276" w:type="dxa"/>
            <w:tcMar>
              <w:top w:w="85" w:type="dxa"/>
              <w:bottom w:w="85" w:type="dxa"/>
            </w:tcMar>
            <w:vAlign w:val="center"/>
          </w:tcPr>
          <w:p w14:paraId="7023B7CE" w14:textId="77777777" w:rsidR="00C36D76" w:rsidRPr="009E064B" w:rsidRDefault="00C36D76" w:rsidP="00B7240A">
            <w:pPr>
              <w:pStyle w:val="Default"/>
              <w:spacing w:before="40" w:after="40"/>
              <w:ind w:right="85"/>
              <w:jc w:val="center"/>
              <w:rPr>
                <w:color w:val="auto"/>
                <w:sz w:val="18"/>
                <w:szCs w:val="18"/>
              </w:rPr>
            </w:pPr>
            <w:r w:rsidRPr="009E064B">
              <w:rPr>
                <w:color w:val="auto"/>
                <w:sz w:val="18"/>
                <w:szCs w:val="18"/>
              </w:rPr>
              <w:t>F</w:t>
            </w:r>
          </w:p>
        </w:tc>
        <w:tc>
          <w:tcPr>
            <w:tcW w:w="5103" w:type="dxa"/>
            <w:tcMar>
              <w:top w:w="85" w:type="dxa"/>
              <w:bottom w:w="85" w:type="dxa"/>
            </w:tcMar>
            <w:vAlign w:val="center"/>
          </w:tcPr>
          <w:p w14:paraId="254F4AC1" w14:textId="77777777" w:rsidR="00C36D76" w:rsidRPr="009E064B" w:rsidRDefault="00C36D76" w:rsidP="00B7240A">
            <w:pPr>
              <w:pStyle w:val="Default"/>
              <w:spacing w:before="40" w:after="40"/>
              <w:jc w:val="center"/>
              <w:rPr>
                <w:color w:val="auto"/>
                <w:sz w:val="18"/>
                <w:szCs w:val="18"/>
              </w:rPr>
            </w:pPr>
            <w:r w:rsidRPr="009E064B">
              <w:rPr>
                <w:color w:val="auto"/>
                <w:sz w:val="18"/>
                <w:szCs w:val="18"/>
              </w:rPr>
              <w:t>51</w:t>
            </w:r>
          </w:p>
        </w:tc>
      </w:tr>
    </w:tbl>
    <w:p w14:paraId="35F81EE7" w14:textId="77777777" w:rsidR="00C36D76" w:rsidRPr="009E064B" w:rsidRDefault="00C36D76" w:rsidP="00B06A9A">
      <w:pPr>
        <w:pStyle w:val="Akapitzlist"/>
        <w:autoSpaceDE w:val="0"/>
        <w:autoSpaceDN w:val="0"/>
        <w:adjustRightInd w:val="0"/>
        <w:spacing w:before="240" w:after="200"/>
        <w:ind w:left="1134"/>
        <w:rPr>
          <w:rFonts w:cs="Times New Roman"/>
          <w:szCs w:val="20"/>
        </w:rPr>
      </w:pPr>
      <w:r w:rsidRPr="009E064B">
        <w:rPr>
          <w:rFonts w:cs="Times New Roman"/>
          <w:szCs w:val="20"/>
        </w:rPr>
        <w:t>jeśli mogłyby stanowić zagrożenie dla statków powietrznych; lub</w:t>
      </w:r>
    </w:p>
    <w:p w14:paraId="0AC64E7A"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(2) </w:t>
      </w:r>
      <w:r w:rsidRPr="009E064B">
        <w:rPr>
          <w:rFonts w:cs="Times New Roman"/>
          <w:szCs w:val="20"/>
        </w:rPr>
        <w:tab/>
        <w:t>w strefie zabezpieczenia wydłużonego startu</w:t>
      </w:r>
      <w:r w:rsidRPr="009E064B">
        <w:rPr>
          <w:rFonts w:eastAsia="Times New Roman,Italic" w:cs="Times New Roman,Italic"/>
          <w:iCs/>
          <w:szCs w:val="20"/>
        </w:rPr>
        <w:t xml:space="preserve">, </w:t>
      </w:r>
      <w:r w:rsidRPr="009E064B">
        <w:rPr>
          <w:rFonts w:cs="Times New Roman"/>
          <w:szCs w:val="20"/>
        </w:rPr>
        <w:t>jeżeli stanowiłoby to zagrożenie dla statku powietrznego znajdującego się w locie.</w:t>
      </w:r>
    </w:p>
    <w:p w14:paraId="74BD4787"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(c) </w:t>
      </w:r>
      <w:r w:rsidRPr="009E064B">
        <w:rPr>
          <w:rFonts w:cs="Times New Roman"/>
          <w:szCs w:val="20"/>
        </w:rPr>
        <w:tab/>
        <w:t xml:space="preserve">Każde urządzenie lub instalacja niezbędna dla potrzeb nawigacji lotniczej lub </w:t>
      </w:r>
      <w:r w:rsidRPr="009E064B">
        <w:rPr>
          <w:szCs w:val="20"/>
        </w:rPr>
        <w:t>bezpieczeństwa</w:t>
      </w:r>
      <w:r w:rsidRPr="009E064B">
        <w:rPr>
          <w:rFonts w:cs="Times New Roman"/>
          <w:szCs w:val="20"/>
        </w:rPr>
        <w:t xml:space="preserve"> statków powietrznych, które musi znajdować się:</w:t>
      </w:r>
    </w:p>
    <w:p w14:paraId="1C6E0280"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na tej części pasa drogi startowej, która jest w odległości:</w:t>
      </w:r>
    </w:p>
    <w:p w14:paraId="4362B71A"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 </w:t>
      </w:r>
      <w:r w:rsidRPr="009E064B">
        <w:rPr>
          <w:rFonts w:cs="Times New Roman"/>
          <w:szCs w:val="20"/>
        </w:rPr>
        <w:tab/>
        <w:t>75 m od linii środkowej drogi startowej, gdy cyfrą kodu jest 3 lub 4; lub</w:t>
      </w:r>
    </w:p>
    <w:p w14:paraId="3D1728AD"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(ii) </w:t>
      </w:r>
      <w:r w:rsidRPr="009E064B">
        <w:rPr>
          <w:rFonts w:cs="Times New Roman"/>
          <w:szCs w:val="20"/>
        </w:rPr>
        <w:tab/>
        <w:t>45 m od linii środkowej drogi startowej, gdy cyfrą kodu jest 1 lub 2; lub</w:t>
      </w:r>
    </w:p>
    <w:p w14:paraId="3C805295"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w strefie bezpieczeństwa końca drogi startowej, na pasie drogi kołowania lub w odległościach określonych w Tabeli D-1; lub</w:t>
      </w:r>
    </w:p>
    <w:p w14:paraId="21ED00E3"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(3) </w:t>
      </w:r>
      <w:r w:rsidRPr="009E064B">
        <w:rPr>
          <w:rFonts w:cs="Times New Roman"/>
          <w:szCs w:val="20"/>
        </w:rPr>
        <w:tab/>
        <w:t>w strefie zabezpieczenia wydłużonego startu, i które będzie zagrażało bezpieczeństwu statku powietrznego znajdującego się w powietrzu;</w:t>
      </w:r>
    </w:p>
    <w:p w14:paraId="1C47C761" w14:textId="77777777" w:rsidR="00C36D76" w:rsidRPr="009E064B" w:rsidRDefault="00C36D76" w:rsidP="00B06A9A">
      <w:pPr>
        <w:pStyle w:val="Akapitzlist"/>
        <w:autoSpaceDE w:val="0"/>
        <w:autoSpaceDN w:val="0"/>
        <w:adjustRightInd w:val="0"/>
        <w:ind w:left="567"/>
        <w:rPr>
          <w:rFonts w:cs="Times New Roman"/>
          <w:szCs w:val="20"/>
        </w:rPr>
      </w:pPr>
      <w:r w:rsidRPr="009E064B">
        <w:rPr>
          <w:rFonts w:cs="Times New Roman"/>
          <w:szCs w:val="20"/>
        </w:rPr>
        <w:t>powinno być łamliwe i instalowane tak nisko, jak to jest możliwe.</w:t>
      </w:r>
    </w:p>
    <w:p w14:paraId="08B88F96" w14:textId="7252CF10" w:rsidR="00C36D76" w:rsidRPr="009E064B" w:rsidRDefault="00C36D76" w:rsidP="00B06A9A">
      <w:pPr>
        <w:tabs>
          <w:tab w:val="left" w:pos="567"/>
        </w:tabs>
        <w:ind w:left="567" w:hanging="567"/>
        <w:rPr>
          <w:rFonts w:cs="Times New Roman"/>
          <w:szCs w:val="20"/>
        </w:rPr>
      </w:pPr>
      <w:r w:rsidRPr="009E064B">
        <w:rPr>
          <w:rFonts w:cs="Times New Roman"/>
          <w:szCs w:val="20"/>
        </w:rPr>
        <w:t xml:space="preserve">(d) </w:t>
      </w:r>
      <w:r w:rsidRPr="009E064B">
        <w:rPr>
          <w:rFonts w:cs="Times New Roman"/>
          <w:szCs w:val="20"/>
        </w:rPr>
        <w:tab/>
        <w:t xml:space="preserve">Jeżeli nie jest to wymagane dla celów nawigacji lotniczej lub bezpieczeństwa statków </w:t>
      </w:r>
      <w:r w:rsidRPr="009E064B">
        <w:rPr>
          <w:szCs w:val="20"/>
        </w:rPr>
        <w:t>powietrznych</w:t>
      </w:r>
      <w:r w:rsidRPr="009E064B">
        <w:rPr>
          <w:rFonts w:cs="Times New Roman"/>
          <w:szCs w:val="20"/>
        </w:rPr>
        <w:t xml:space="preserve"> lub jeśli po przeprowadzeniu oceny bezpieczeństwa stwierdzono, że nie wpłynie to negatywnie na bezpieczeństwo lub regularność operacji lotniczych, żadne urządzenie ani instalacja nie może znajdować się</w:t>
      </w:r>
      <w:r w:rsidR="00B7240A" w:rsidRPr="009E064B">
        <w:rPr>
          <w:rFonts w:cs="Times New Roman"/>
          <w:szCs w:val="20"/>
        </w:rPr>
        <w:t xml:space="preserve"> w odległości mniejszej niż 240 </w:t>
      </w:r>
      <w:r w:rsidRPr="009E064B">
        <w:rPr>
          <w:rFonts w:cs="Times New Roman"/>
          <w:szCs w:val="20"/>
        </w:rPr>
        <w:t>m od końca pasa i w odległości:</w:t>
      </w:r>
    </w:p>
    <w:p w14:paraId="2B691B93"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60 m od przedłużonej linii środkowej, gdy cyfrą kodu jest 3 lub 4; lub</w:t>
      </w:r>
    </w:p>
    <w:p w14:paraId="7A53A513"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45 m od przedłużonej linii środkowej, gdy cyfrą kodu jest 1 lub 2;</w:t>
      </w:r>
    </w:p>
    <w:p w14:paraId="75F0BF76" w14:textId="77777777" w:rsidR="00C36D76" w:rsidRPr="009E064B" w:rsidRDefault="00C36D76" w:rsidP="00B06A9A">
      <w:pPr>
        <w:pStyle w:val="Akapitzlist"/>
        <w:autoSpaceDE w:val="0"/>
        <w:autoSpaceDN w:val="0"/>
        <w:adjustRightInd w:val="0"/>
        <w:ind w:left="567"/>
        <w:rPr>
          <w:rFonts w:cs="Times New Roman"/>
          <w:szCs w:val="20"/>
        </w:rPr>
      </w:pPr>
      <w:r w:rsidRPr="009E064B">
        <w:rPr>
          <w:rFonts w:cs="Times New Roman"/>
          <w:szCs w:val="20"/>
        </w:rPr>
        <w:t>drogi startowej podejścia precyzyjnego kategorii I, II lub III.</w:t>
      </w:r>
    </w:p>
    <w:p w14:paraId="2FEE11EC" w14:textId="77777777" w:rsidR="00C36D76" w:rsidRPr="009E064B" w:rsidRDefault="00C36D76" w:rsidP="00B06A9A">
      <w:pPr>
        <w:tabs>
          <w:tab w:val="left" w:pos="567"/>
        </w:tabs>
        <w:ind w:left="567" w:hanging="567"/>
        <w:rPr>
          <w:rFonts w:cs="Times New Roman"/>
          <w:szCs w:val="20"/>
        </w:rPr>
      </w:pPr>
      <w:r w:rsidRPr="009E064B">
        <w:rPr>
          <w:rFonts w:cs="Times New Roman"/>
          <w:szCs w:val="20"/>
        </w:rPr>
        <w:t xml:space="preserve">(e) </w:t>
      </w:r>
      <w:r w:rsidRPr="009E064B">
        <w:rPr>
          <w:rFonts w:cs="Times New Roman"/>
          <w:szCs w:val="20"/>
        </w:rPr>
        <w:tab/>
        <w:t>Każde urządzenie lub instalacja wymagana dla celów nawigacji lotniczej lub bezpieczeństwa statku powietrznego, która powinna być umieszczona na pasie lub w pobliżu pasa drogi startowej podejścia precyzyjnego kategorii I, II lub III oraz:</w:t>
      </w:r>
    </w:p>
    <w:p w14:paraId="5B324E8B"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(1) </w:t>
      </w:r>
      <w:r w:rsidRPr="009E064B">
        <w:rPr>
          <w:rFonts w:cs="Times New Roman"/>
          <w:szCs w:val="20"/>
        </w:rPr>
        <w:tab/>
        <w:t>znajduje się na tej części pasa drogi startowej, w odległości 77.5 m od linii środkowej drogi startowej, gdzie cyfrą kodu jest 4, a literą kodu jest F; lub</w:t>
      </w:r>
    </w:p>
    <w:p w14:paraId="33FC1319" w14:textId="77777777" w:rsidR="00C36D76" w:rsidRPr="009E064B" w:rsidRDefault="00C36D76" w:rsidP="00B06A9A">
      <w:pPr>
        <w:tabs>
          <w:tab w:val="left" w:pos="1134"/>
        </w:tabs>
        <w:autoSpaceDE w:val="0"/>
        <w:autoSpaceDN w:val="0"/>
        <w:adjustRightInd w:val="0"/>
        <w:ind w:left="1134" w:hanging="567"/>
        <w:rPr>
          <w:rFonts w:cs="Times New Roman"/>
          <w:szCs w:val="20"/>
        </w:rPr>
      </w:pPr>
      <w:r w:rsidRPr="009E064B">
        <w:rPr>
          <w:rFonts w:cs="Times New Roman"/>
          <w:szCs w:val="20"/>
        </w:rPr>
        <w:t xml:space="preserve">(2) </w:t>
      </w:r>
      <w:r w:rsidRPr="009E064B">
        <w:rPr>
          <w:rFonts w:cs="Times New Roman"/>
          <w:szCs w:val="20"/>
        </w:rPr>
        <w:tab/>
        <w:t>znajduje się w odległości 240 m od końca pasa lub w odległości:</w:t>
      </w:r>
    </w:p>
    <w:p w14:paraId="68756F6F"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 </w:t>
      </w:r>
      <w:r w:rsidRPr="009E064B">
        <w:rPr>
          <w:rFonts w:cs="Times New Roman"/>
          <w:szCs w:val="20"/>
        </w:rPr>
        <w:tab/>
        <w:t>60 m od przedłużonej linii środkowej drogi startowej, gdzie cyfrą kodu jest 3 lub 4; lub</w:t>
      </w:r>
    </w:p>
    <w:p w14:paraId="7C40EEDB" w14:textId="77777777" w:rsidR="00C36D76" w:rsidRPr="009E064B" w:rsidRDefault="00C36D76" w:rsidP="00B06A9A">
      <w:pPr>
        <w:tabs>
          <w:tab w:val="left" w:pos="1701"/>
        </w:tabs>
        <w:autoSpaceDE w:val="0"/>
        <w:autoSpaceDN w:val="0"/>
        <w:adjustRightInd w:val="0"/>
        <w:ind w:left="1701" w:hanging="567"/>
        <w:rPr>
          <w:rFonts w:cs="Times New Roman"/>
          <w:szCs w:val="20"/>
        </w:rPr>
      </w:pPr>
      <w:r w:rsidRPr="009E064B">
        <w:rPr>
          <w:rFonts w:cs="Times New Roman"/>
          <w:szCs w:val="20"/>
        </w:rPr>
        <w:t xml:space="preserve">(ii) </w:t>
      </w:r>
      <w:r w:rsidRPr="009E064B">
        <w:rPr>
          <w:rFonts w:cs="Times New Roman"/>
          <w:szCs w:val="20"/>
        </w:rPr>
        <w:tab/>
        <w:t>45 m od przedłużonej linii środkowej drogi startowej, gdzie cyfrą kodu jest 1 lub 2; lub</w:t>
      </w:r>
    </w:p>
    <w:p w14:paraId="62183939" w14:textId="77777777" w:rsidR="00C36D76" w:rsidRPr="009E064B" w:rsidRDefault="00C36D76" w:rsidP="00B06A9A">
      <w:pPr>
        <w:tabs>
          <w:tab w:val="left" w:pos="1134"/>
        </w:tabs>
        <w:autoSpaceDE w:val="0"/>
        <w:autoSpaceDN w:val="0"/>
        <w:adjustRightInd w:val="0"/>
        <w:ind w:left="1134" w:hanging="567"/>
        <w:rPr>
          <w:szCs w:val="20"/>
        </w:rPr>
      </w:pPr>
      <w:r w:rsidRPr="009E064B">
        <w:rPr>
          <w:rFonts w:cs="Times New Roman"/>
          <w:szCs w:val="20"/>
        </w:rPr>
        <w:t xml:space="preserve">(3) </w:t>
      </w:r>
      <w:r w:rsidRPr="009E064B">
        <w:rPr>
          <w:rFonts w:cs="Times New Roman"/>
          <w:szCs w:val="20"/>
        </w:rPr>
        <w:tab/>
        <w:t xml:space="preserve">wystaje ponad powierzchnię podejścia wewnętrzną, powierzchnię przejściową wewnętrzną lub powierzchnię </w:t>
      </w:r>
      <w:r w:rsidRPr="009E064B">
        <w:rPr>
          <w:rFonts w:cs="TimesNewRomanPS-ItalicMT"/>
          <w:iCs/>
          <w:szCs w:val="20"/>
        </w:rPr>
        <w:t>przerwanego</w:t>
      </w:r>
      <w:r w:rsidRPr="009E064B">
        <w:rPr>
          <w:rFonts w:cs="Times New Roman"/>
          <w:szCs w:val="20"/>
        </w:rPr>
        <w:t xml:space="preserve"> lądowania;</w:t>
      </w:r>
    </w:p>
    <w:p w14:paraId="56582EAD" w14:textId="77777777" w:rsidR="00C36D76" w:rsidRPr="009E064B" w:rsidRDefault="00C36D76" w:rsidP="00B06A9A">
      <w:pPr>
        <w:pStyle w:val="Akapitzlist"/>
        <w:autoSpaceDE w:val="0"/>
        <w:autoSpaceDN w:val="0"/>
        <w:adjustRightInd w:val="0"/>
        <w:ind w:left="567"/>
        <w:rPr>
          <w:rFonts w:cs="Times New Roman"/>
          <w:szCs w:val="20"/>
        </w:rPr>
      </w:pPr>
      <w:r w:rsidRPr="009E064B">
        <w:rPr>
          <w:rFonts w:cs="Times New Roman"/>
          <w:szCs w:val="20"/>
        </w:rPr>
        <w:t>powinna być łamliwa i instalowana tak nisko jak to jest możliwe.</w:t>
      </w:r>
    </w:p>
    <w:p w14:paraId="10037D11" w14:textId="07D6BFA3" w:rsidR="00C36D76" w:rsidRPr="009E064B" w:rsidRDefault="00C36D76" w:rsidP="00B06A9A">
      <w:pPr>
        <w:tabs>
          <w:tab w:val="left" w:pos="567"/>
        </w:tabs>
        <w:ind w:left="567" w:hanging="567"/>
        <w:rPr>
          <w:rFonts w:eastAsia="Times New Roman,Italic" w:cs="Times New Roman,Italic"/>
          <w:iCs/>
          <w:szCs w:val="20"/>
        </w:rPr>
      </w:pPr>
      <w:r w:rsidRPr="009E064B">
        <w:rPr>
          <w:rFonts w:cs="Times New Roman"/>
          <w:szCs w:val="20"/>
        </w:rPr>
        <w:t xml:space="preserve">(f) </w:t>
      </w:r>
      <w:r w:rsidRPr="009E064B">
        <w:rPr>
          <w:rFonts w:cs="Times New Roman"/>
          <w:szCs w:val="20"/>
        </w:rPr>
        <w:tab/>
      </w:r>
      <w:r w:rsidRPr="009E064B">
        <w:rPr>
          <w:rFonts w:eastAsia="Times New Roman,Italic" w:cs="Times New Roman,Italic"/>
          <w:iCs/>
          <w:szCs w:val="20"/>
        </w:rPr>
        <w:t xml:space="preserve">Każde urządzenie lub instalacja, wymagana dla potrzeb nawigacji lotniczej lub bezpieczeństwa statku powietrznego, która jest przeszkodą o znaczeniu operacyjnym, zgodnie z wymaganiami w </w:t>
      </w:r>
      <w:r w:rsidR="00B7240A" w:rsidRPr="009E064B">
        <w:rPr>
          <w:rFonts w:eastAsia="Times New Roman,Italic" w:cs="Times New Roman,Italic"/>
          <w:iCs/>
          <w:szCs w:val="20"/>
        </w:rPr>
        <w:t xml:space="preserve">specyfikacjach: </w:t>
      </w:r>
      <w:hyperlink w:anchor="_CS_ADR-DSN.J.470_" w:history="1">
        <w:r w:rsidRPr="009E064B">
          <w:rPr>
            <w:rStyle w:val="Hipercze"/>
            <w:rFonts w:eastAsia="Times New Roman,Italic" w:cs="Times New Roman,Italic"/>
            <w:iCs/>
            <w:szCs w:val="20"/>
          </w:rPr>
          <w:t>CS ADR-DSN.J.470</w:t>
        </w:r>
      </w:hyperlink>
      <w:r w:rsidR="00860781" w:rsidRPr="009E064B">
        <w:rPr>
          <w:rFonts w:eastAsia="Times New Roman,Italic" w:cs="Times New Roman,Italic"/>
          <w:iCs/>
          <w:szCs w:val="20"/>
        </w:rPr>
        <w:t xml:space="preserve"> lit.</w:t>
      </w:r>
      <w:r w:rsidRPr="009E064B">
        <w:rPr>
          <w:rFonts w:eastAsia="Times New Roman,Italic" w:cs="Times New Roman,Italic"/>
          <w:iCs/>
          <w:szCs w:val="20"/>
        </w:rPr>
        <w:t> </w:t>
      </w:r>
      <w:r w:rsidRPr="00932998">
        <w:rPr>
          <w:rFonts w:eastAsia="Times New Roman,Italic" w:cs="Times New Roman,Italic"/>
          <w:iCs/>
          <w:szCs w:val="20"/>
          <w:lang w:val="en-GB"/>
        </w:rPr>
        <w:t xml:space="preserve">(d), </w:t>
      </w:r>
      <w:hyperlink w:anchor="_CS_ADR-DSN.J.475_" w:history="1">
        <w:r w:rsidRPr="00932998">
          <w:rPr>
            <w:rStyle w:val="Hipercze"/>
            <w:rFonts w:eastAsia="Times New Roman,Italic" w:cs="Times New Roman,Italic"/>
            <w:iCs/>
            <w:szCs w:val="20"/>
            <w:lang w:val="en-GB"/>
          </w:rPr>
          <w:t>CS ADR-DSN.J.475</w:t>
        </w:r>
      </w:hyperlink>
      <w:r w:rsidR="00860781" w:rsidRPr="00932998">
        <w:rPr>
          <w:rFonts w:eastAsia="Times New Roman,Italic" w:cs="Times New Roman,Italic"/>
          <w:iCs/>
          <w:szCs w:val="20"/>
          <w:lang w:val="en-GB"/>
        </w:rPr>
        <w:t xml:space="preserve"> lit.</w:t>
      </w:r>
      <w:r w:rsidRPr="00932998">
        <w:rPr>
          <w:rFonts w:eastAsia="Times New Roman,Italic" w:cs="Times New Roman,Italic"/>
          <w:iCs/>
          <w:szCs w:val="20"/>
          <w:lang w:val="en-GB"/>
        </w:rPr>
        <w:t xml:space="preserve"> (e), </w:t>
      </w:r>
      <w:hyperlink w:anchor="_CS_ADR-DSN.J.480_" w:history="1">
        <w:r w:rsidRPr="00932998">
          <w:rPr>
            <w:rStyle w:val="Hipercze"/>
            <w:rFonts w:eastAsia="Times New Roman,Italic" w:cs="Times New Roman,Italic"/>
            <w:iCs/>
            <w:szCs w:val="20"/>
            <w:lang w:val="en-GB"/>
          </w:rPr>
          <w:t>CS ADR-DSN.J.480</w:t>
        </w:r>
      </w:hyperlink>
      <w:r w:rsidR="00860781" w:rsidRPr="00932998">
        <w:rPr>
          <w:rFonts w:eastAsia="Times New Roman,Italic" w:cs="Times New Roman,Italic"/>
          <w:iCs/>
          <w:szCs w:val="20"/>
          <w:lang w:val="en-GB"/>
        </w:rPr>
        <w:t xml:space="preserve"> lit.</w:t>
      </w:r>
      <w:r w:rsidRPr="00932998">
        <w:rPr>
          <w:rFonts w:eastAsia="Times New Roman,Italic" w:cs="Times New Roman,Italic"/>
          <w:iCs/>
          <w:szCs w:val="20"/>
          <w:lang w:val="en-GB"/>
        </w:rPr>
        <w:t> </w:t>
      </w:r>
      <w:r w:rsidRPr="009E064B">
        <w:rPr>
          <w:rFonts w:eastAsia="Times New Roman,Italic" w:cs="Times New Roman,Italic"/>
          <w:iCs/>
          <w:szCs w:val="20"/>
        </w:rPr>
        <w:t xml:space="preserve">(g) lub </w:t>
      </w:r>
      <w:hyperlink w:anchor="_CS_ADR-DSN.J.485_" w:history="1">
        <w:r w:rsidRPr="009E064B">
          <w:rPr>
            <w:rStyle w:val="Hipercze"/>
            <w:rFonts w:eastAsia="Times New Roman,Italic" w:cs="Times New Roman,Italic"/>
            <w:iCs/>
            <w:szCs w:val="20"/>
          </w:rPr>
          <w:t>CS ADR-DSN.J.485</w:t>
        </w:r>
      </w:hyperlink>
      <w:r w:rsidR="00860781" w:rsidRPr="009E064B">
        <w:rPr>
          <w:rFonts w:eastAsia="Times New Roman,Italic" w:cs="Times New Roman,Italic"/>
          <w:iCs/>
          <w:szCs w:val="20"/>
        </w:rPr>
        <w:t xml:space="preserve"> lit.</w:t>
      </w:r>
      <w:r w:rsidRPr="009E064B">
        <w:rPr>
          <w:rFonts w:eastAsia="Times New Roman,Italic" w:cs="Times New Roman,Italic"/>
          <w:iCs/>
          <w:szCs w:val="20"/>
        </w:rPr>
        <w:t> (e), powinna być łamliwa i instalowana tak nisko jak to jest możliwe.</w:t>
      </w:r>
    </w:p>
    <w:p w14:paraId="70E19CF6" w14:textId="3E7EA6D4" w:rsidR="00C36D76" w:rsidRPr="009E064B" w:rsidRDefault="00C36D76" w:rsidP="00B06A9A">
      <w:pPr>
        <w:tabs>
          <w:tab w:val="left" w:pos="567"/>
        </w:tabs>
        <w:ind w:left="567" w:hanging="567"/>
        <w:rPr>
          <w:rFonts w:eastAsia="Times New Roman,Italic" w:cs="Times New Roman,Italic"/>
          <w:iCs/>
          <w:szCs w:val="20"/>
        </w:rPr>
      </w:pPr>
      <w:r w:rsidRPr="009E064B">
        <w:rPr>
          <w:rFonts w:cs="Times New Roman"/>
          <w:szCs w:val="20"/>
        </w:rPr>
        <w:t xml:space="preserve">(g) </w:t>
      </w:r>
      <w:r w:rsidRPr="009E064B">
        <w:rPr>
          <w:rFonts w:cs="Times New Roman"/>
          <w:szCs w:val="20"/>
        </w:rPr>
        <w:tab/>
      </w:r>
      <w:r w:rsidRPr="009E064B">
        <w:rPr>
          <w:rFonts w:eastAsia="Times New Roman,Italic" w:cs="Times New Roman,Italic"/>
          <w:iCs/>
          <w:szCs w:val="20"/>
        </w:rPr>
        <w:t xml:space="preserve">Każde urządzenie lub instalacja, wymagana dla potrzeb nawigacji lotniczej lub </w:t>
      </w:r>
      <w:r w:rsidRPr="009E064B">
        <w:rPr>
          <w:szCs w:val="20"/>
        </w:rPr>
        <w:t>bezpieczeństwa</w:t>
      </w:r>
      <w:r w:rsidRPr="009E064B">
        <w:rPr>
          <w:rFonts w:eastAsia="Times New Roman,Italic" w:cs="Times New Roman,Italic"/>
          <w:iCs/>
          <w:szCs w:val="20"/>
        </w:rPr>
        <w:t xml:space="preserve"> statku powietrznego, która powinna być umieszczona na niewyrównanej części pasa drogi startowej, powinna być uznawana za przeszkodę lotn</w:t>
      </w:r>
      <w:r w:rsidR="003A4675" w:rsidRPr="009E064B">
        <w:rPr>
          <w:rFonts w:eastAsia="Times New Roman,Italic" w:cs="Times New Roman,Italic"/>
          <w:iCs/>
          <w:szCs w:val="20"/>
        </w:rPr>
        <w:t>iczą oraz powinna być łamliwa i </w:t>
      </w:r>
      <w:r w:rsidRPr="009E064B">
        <w:rPr>
          <w:rFonts w:eastAsia="Times New Roman,Italic" w:cs="Times New Roman,Italic"/>
          <w:iCs/>
          <w:szCs w:val="20"/>
        </w:rPr>
        <w:t>instalowana tak nisko jak to jest możliwe.</w:t>
      </w:r>
    </w:p>
    <w:p w14:paraId="1A4F7484" w14:textId="77777777" w:rsidR="00C36D76" w:rsidRPr="009E064B" w:rsidRDefault="00C36D76" w:rsidP="00B06A9A">
      <w:pPr>
        <w:pStyle w:val="Tekstpodstawowy"/>
        <w:rPr>
          <w:i/>
        </w:rPr>
      </w:pPr>
      <w:r w:rsidRPr="009E064B">
        <w:rPr>
          <w:i/>
        </w:rPr>
        <w:t>[Wydanie: ADR-DSN/2, Wydanie: ADR-DSN/3]</w:t>
      </w:r>
    </w:p>
    <w:p w14:paraId="7535BC33" w14:textId="4F4BF666" w:rsidR="0061499D" w:rsidRPr="009E064B" w:rsidRDefault="00A74326" w:rsidP="00133B99">
      <w:pPr>
        <w:pStyle w:val="Nagwek6"/>
      </w:pPr>
      <w:bookmarkStart w:id="1844" w:name="_Toc401059093"/>
      <w:bookmarkStart w:id="1845" w:name="_Toc482886966"/>
      <w:bookmarkStart w:id="1846" w:name="_Toc12533320"/>
      <w:r w:rsidRPr="009E064B">
        <w:t xml:space="preserve">GM1 ADR-DSN.T.915     </w:t>
      </w:r>
      <w:r w:rsidR="0061499D" w:rsidRPr="009E064B">
        <w:t>Rozmieszczenie urządzeń i instalacji w strefach operacyjnych</w:t>
      </w:r>
      <w:bookmarkEnd w:id="1844"/>
      <w:bookmarkEnd w:id="1845"/>
      <w:bookmarkEnd w:id="1846"/>
    </w:p>
    <w:p w14:paraId="69FADDB8" w14:textId="6A7DB467" w:rsidR="00A74326" w:rsidRPr="009E064B" w:rsidRDefault="00D63D4F" w:rsidP="00A74326">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2981DEF9" w14:textId="5C01FA11" w:rsidR="0061499D" w:rsidRPr="009E064B" w:rsidRDefault="0061499D"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(a) </w:t>
      </w:r>
      <w:r w:rsidRPr="009E064B">
        <w:rPr>
          <w:rFonts w:cs="TimesNewRomanPS-BoldItalicMT"/>
          <w:bCs/>
          <w:iCs/>
          <w:szCs w:val="20"/>
        </w:rPr>
        <w:tab/>
      </w:r>
      <w:r w:rsidRPr="009E064B">
        <w:rPr>
          <w:rFonts w:eastAsia="Times New Roman,Italic" w:cs="Times New Roman,Italic"/>
          <w:iCs/>
          <w:szCs w:val="20"/>
        </w:rPr>
        <w:t>Zapisy dotyczące projektowania elementów instalacji i konstrukcji wsporczych świateł, jednostek świetlnych wskaźnika kąta schodzenia, tablic sygnalizacyjnych i oznaczników, znajdują się odpo</w:t>
      </w:r>
      <w:r w:rsidR="00860781" w:rsidRPr="009E064B">
        <w:rPr>
          <w:rFonts w:eastAsia="Times New Roman,Italic" w:cs="Times New Roman,Italic"/>
          <w:iCs/>
          <w:szCs w:val="20"/>
        </w:rPr>
        <w:t xml:space="preserve">wiednio w </w:t>
      </w:r>
      <w:r w:rsidR="00B7240A" w:rsidRPr="009E064B">
        <w:rPr>
          <w:rFonts w:eastAsia="Times New Roman,Italic" w:cs="Times New Roman,Italic"/>
          <w:iCs/>
          <w:szCs w:val="20"/>
        </w:rPr>
        <w:t>specyfikacjach:</w:t>
      </w:r>
      <w:r w:rsidR="00860781" w:rsidRPr="009E064B">
        <w:rPr>
          <w:rFonts w:eastAsia="Times New Roman,Italic" w:cs="Times New Roman,Italic"/>
          <w:iCs/>
          <w:szCs w:val="20"/>
        </w:rPr>
        <w:t xml:space="preserve"> </w:t>
      </w:r>
      <w:hyperlink w:anchor="_CS_ADR-DSN.M.615_" w:history="1">
        <w:r w:rsidR="00860781"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w:t>
        </w:r>
        <w:r w:rsidR="00860781" w:rsidRPr="009E064B">
          <w:rPr>
            <w:rStyle w:val="Hipercze"/>
            <w:rFonts w:eastAsia="Times New Roman,Italic" w:cs="Times New Roman,Italic"/>
            <w:iCs/>
            <w:szCs w:val="20"/>
          </w:rPr>
          <w:t>.M.615</w:t>
        </w:r>
      </w:hyperlink>
      <w:r w:rsidR="00860781" w:rsidRPr="009E064B">
        <w:rPr>
          <w:rFonts w:eastAsia="Times New Roman,Italic" w:cs="Times New Roman,Italic"/>
          <w:iCs/>
          <w:szCs w:val="20"/>
        </w:rPr>
        <w:t xml:space="preserve">, </w:t>
      </w:r>
      <w:hyperlink w:anchor="_CS_ADR-DSN.M.640_" w:history="1">
        <w:r w:rsidR="00860781"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w:t>
        </w:r>
        <w:r w:rsidR="00860781" w:rsidRPr="009E064B">
          <w:rPr>
            <w:rStyle w:val="Hipercze"/>
            <w:rFonts w:eastAsia="Times New Roman,Italic" w:cs="Times New Roman,Italic"/>
            <w:iCs/>
            <w:szCs w:val="20"/>
          </w:rPr>
          <w:t>.M.640</w:t>
        </w:r>
      </w:hyperlink>
      <w:r w:rsidR="00860781" w:rsidRPr="009E064B">
        <w:rPr>
          <w:rFonts w:eastAsia="Times New Roman,Italic" w:cs="Times New Roman,Italic"/>
          <w:iCs/>
          <w:szCs w:val="20"/>
        </w:rPr>
        <w:t xml:space="preserve">, </w:t>
      </w:r>
      <w:r w:rsidR="00860781" w:rsidRPr="009E064B">
        <w:rPr>
          <w:rFonts w:eastAsia="Times New Roman,Italic" w:cs="Times New Roman,Italic"/>
          <w:iCs/>
          <w:szCs w:val="20"/>
        </w:rPr>
        <w:br/>
      </w:r>
      <w:hyperlink w:anchor="_CS_ADR-DSN.N.775_" w:history="1">
        <w:r w:rsidR="00860781" w:rsidRPr="009E064B">
          <w:rPr>
            <w:rStyle w:val="Hipercze"/>
            <w:rFonts w:eastAsia="Times New Roman,Italic" w:cs="Times New Roman,Italic"/>
            <w:iCs/>
            <w:szCs w:val="20"/>
          </w:rPr>
          <w:t>CS </w:t>
        </w:r>
        <w:r w:rsidRPr="009E064B">
          <w:rPr>
            <w:rStyle w:val="Hipercze"/>
            <w:rFonts w:eastAsia="Times New Roman,Italic" w:cs="Times New Roman,Italic"/>
            <w:iCs/>
            <w:szCs w:val="20"/>
          </w:rPr>
          <w:t>ADR-DSN.N.775</w:t>
        </w:r>
      </w:hyperlink>
      <w:r w:rsidRPr="009E064B">
        <w:rPr>
          <w:rFonts w:eastAsia="Times New Roman,Italic" w:cs="Times New Roman,Italic"/>
          <w:iCs/>
          <w:szCs w:val="20"/>
        </w:rPr>
        <w:t xml:space="preserve"> oraz w Części 1, Rozdział P.</w:t>
      </w:r>
    </w:p>
    <w:p w14:paraId="7653C667" w14:textId="459007CA" w:rsidR="0061499D" w:rsidRPr="009E064B" w:rsidRDefault="0061499D"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Wytyczne dotyczące rozmieszczenia urządzeń i instalacji w strefach operacyjnych znajdują</w:t>
      </w:r>
      <w:r w:rsidR="006F5AD2" w:rsidRPr="009E064B">
        <w:rPr>
          <w:rFonts w:eastAsia="Times New Roman,Italic" w:cs="Times New Roman,Italic"/>
          <w:iCs/>
          <w:szCs w:val="20"/>
        </w:rPr>
        <w:t xml:space="preserve"> się w </w:t>
      </w:r>
      <w:r w:rsidRPr="009E064B">
        <w:rPr>
          <w:rFonts w:eastAsia="Times New Roman,Italic" w:cs="Times New Roman,Italic"/>
          <w:i/>
          <w:iCs/>
          <w:szCs w:val="20"/>
        </w:rPr>
        <w:t>„Podręczniku projektowania lotnisk”</w:t>
      </w:r>
      <w:r w:rsidRPr="009E064B">
        <w:rPr>
          <w:rFonts w:eastAsia="Times New Roman,Italic" w:cs="Times New Roman,Italic"/>
          <w:iCs/>
          <w:szCs w:val="20"/>
        </w:rPr>
        <w:t xml:space="preserve"> ICAO Doc 9157, Część 2 „</w:t>
      </w:r>
      <w:r w:rsidRPr="009E064B">
        <w:rPr>
          <w:rFonts w:eastAsia="Times New Roman,Italic" w:cs="Times New Roman,Italic"/>
          <w:i/>
          <w:iCs/>
          <w:szCs w:val="20"/>
        </w:rPr>
        <w:t>Drogi kołowania, płyty postojowe i zatoki oczekiwania”</w:t>
      </w:r>
      <w:r w:rsidRPr="009E064B">
        <w:rPr>
          <w:rFonts w:eastAsia="Times New Roman,Italic" w:cs="Times New Roman,Italic"/>
          <w:iCs/>
          <w:szCs w:val="20"/>
        </w:rPr>
        <w:t xml:space="preserve"> oraz Część 6 </w:t>
      </w:r>
      <w:r w:rsidRPr="009E064B">
        <w:rPr>
          <w:rFonts w:eastAsia="Times New Roman,Italic" w:cs="Times New Roman,Italic"/>
          <w:i/>
          <w:iCs/>
          <w:szCs w:val="20"/>
        </w:rPr>
        <w:t>„Łamliwość</w:t>
      </w:r>
      <w:r w:rsidRPr="009E064B">
        <w:rPr>
          <w:rFonts w:eastAsia="Times New Roman,Italic" w:cs="Times New Roman,Italic"/>
          <w:iCs/>
          <w:szCs w:val="20"/>
        </w:rPr>
        <w:t>”.</w:t>
      </w:r>
    </w:p>
    <w:p w14:paraId="06EF565B" w14:textId="77777777" w:rsidR="0061499D" w:rsidRPr="009E064B" w:rsidRDefault="0061499D" w:rsidP="00B06A9A">
      <w:pPr>
        <w:tabs>
          <w:tab w:val="left" w:pos="567"/>
        </w:tabs>
        <w:autoSpaceDE w:val="0"/>
        <w:autoSpaceDN w:val="0"/>
        <w:adjustRightInd w:val="0"/>
        <w:ind w:left="567" w:hanging="567"/>
        <w:rPr>
          <w:i/>
          <w:szCs w:val="20"/>
        </w:rPr>
      </w:pPr>
      <w:r w:rsidRPr="009E064B">
        <w:rPr>
          <w:rFonts w:cs="TimesNewRomanPS-BoldItalicMT"/>
          <w:bCs/>
          <w:iCs/>
          <w:szCs w:val="20"/>
        </w:rPr>
        <w:t xml:space="preserve">(c) </w:t>
      </w:r>
      <w:r w:rsidRPr="009E064B">
        <w:rPr>
          <w:rFonts w:cs="TimesNewRomanPS-BoldItalicMT"/>
          <w:bCs/>
          <w:iCs/>
          <w:szCs w:val="20"/>
        </w:rPr>
        <w:tab/>
      </w:r>
      <w:r w:rsidRPr="009E064B">
        <w:rPr>
          <w:rFonts w:eastAsia="Times New Roman,Italic" w:cs="Times New Roman,Italic"/>
          <w:iCs/>
          <w:szCs w:val="20"/>
        </w:rPr>
        <w:t xml:space="preserve">Wytyczne dotyczące projektowania konstrukcji łamliwej dla pomocy </w:t>
      </w:r>
      <w:r w:rsidRPr="009E064B">
        <w:rPr>
          <w:szCs w:val="20"/>
        </w:rPr>
        <w:t>wzrokowych</w:t>
      </w:r>
      <w:r w:rsidRPr="009E064B">
        <w:rPr>
          <w:rFonts w:eastAsia="Times New Roman,Italic" w:cs="Times New Roman,Italic"/>
          <w:iCs/>
          <w:szCs w:val="20"/>
        </w:rPr>
        <w:t xml:space="preserve"> i niewzrokowych są określone w </w:t>
      </w:r>
      <w:r w:rsidRPr="009E064B">
        <w:rPr>
          <w:szCs w:val="20"/>
        </w:rPr>
        <w:t>„</w:t>
      </w:r>
      <w:r w:rsidRPr="009E064B">
        <w:rPr>
          <w:i/>
          <w:szCs w:val="20"/>
        </w:rPr>
        <w:t>Podręczniku projektowania lotnisk</w:t>
      </w:r>
      <w:r w:rsidRPr="009E064B">
        <w:rPr>
          <w:szCs w:val="20"/>
        </w:rPr>
        <w:t xml:space="preserve">” ICAO Doc 9157, Część 5 </w:t>
      </w:r>
      <w:r w:rsidRPr="009E064B">
        <w:rPr>
          <w:i/>
          <w:szCs w:val="20"/>
        </w:rPr>
        <w:t>„Systemy elektryczne”.</w:t>
      </w:r>
    </w:p>
    <w:p w14:paraId="26D09B21" w14:textId="44D96160" w:rsidR="0061499D" w:rsidRPr="009E064B" w:rsidRDefault="0061499D" w:rsidP="00B06A9A">
      <w:pPr>
        <w:tabs>
          <w:tab w:val="left" w:pos="567"/>
        </w:tabs>
        <w:autoSpaceDE w:val="0"/>
        <w:autoSpaceDN w:val="0"/>
        <w:adjustRightInd w:val="0"/>
        <w:spacing w:after="0"/>
        <w:ind w:left="567" w:hanging="567"/>
        <w:rPr>
          <w:rFonts w:eastAsia="Times New Roman,Bold" w:cs="Times New Roman,Bold"/>
          <w:bCs/>
          <w:szCs w:val="20"/>
        </w:rPr>
      </w:pPr>
      <w:r w:rsidRPr="009E064B">
        <w:rPr>
          <w:rFonts w:cs="TimesNewRomanPS-BoldItalicMT"/>
          <w:bCs/>
          <w:iCs/>
          <w:szCs w:val="20"/>
        </w:rPr>
        <w:t xml:space="preserve">(d) </w:t>
      </w:r>
      <w:r w:rsidRPr="009E064B">
        <w:rPr>
          <w:rFonts w:cs="TimesNewRomanPS-BoldItalicMT"/>
          <w:bCs/>
          <w:iCs/>
          <w:szCs w:val="20"/>
        </w:rPr>
        <w:tab/>
      </w:r>
      <w:r w:rsidRPr="009E064B">
        <w:rPr>
          <w:rFonts w:eastAsia="Times New Roman,Italic" w:cs="Times New Roman,Italic"/>
          <w:iCs/>
          <w:szCs w:val="20"/>
        </w:rPr>
        <w:t>Wymagania dotyczące powierzchni ograniczających przeszkody zn</w:t>
      </w:r>
      <w:r w:rsidR="003A4675" w:rsidRPr="009E064B">
        <w:rPr>
          <w:rFonts w:eastAsia="Times New Roman,Italic" w:cs="Times New Roman,Italic"/>
          <w:iCs/>
          <w:szCs w:val="20"/>
        </w:rPr>
        <w:t>ajdują się w Części </w:t>
      </w:r>
      <w:r w:rsidR="006F5AD2" w:rsidRPr="009E064B">
        <w:rPr>
          <w:rFonts w:eastAsia="Times New Roman,Italic" w:cs="Times New Roman,Italic"/>
          <w:iCs/>
          <w:szCs w:val="20"/>
        </w:rPr>
        <w:t>1, Rozdział </w:t>
      </w:r>
      <w:r w:rsidRPr="009E064B">
        <w:rPr>
          <w:rFonts w:eastAsia="Times New Roman,Italic" w:cs="Times New Roman,Italic"/>
          <w:iCs/>
          <w:szCs w:val="20"/>
        </w:rPr>
        <w:t>J.</w:t>
      </w:r>
    </w:p>
    <w:p w14:paraId="2BDC1210" w14:textId="77777777" w:rsidR="0061499D" w:rsidRPr="009E064B" w:rsidRDefault="0061499D"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771BC20" w14:textId="06D463C6" w:rsidR="00C36D76" w:rsidRPr="009E064B" w:rsidRDefault="00C36D76" w:rsidP="00B06A9A">
      <w:pPr>
        <w:pStyle w:val="Nagwek4"/>
        <w:rPr>
          <w:color w:val="auto"/>
        </w:rPr>
      </w:pPr>
      <w:bookmarkStart w:id="1847" w:name="_Toc482886743"/>
      <w:bookmarkStart w:id="1848" w:name="_Toc12533321"/>
      <w:r w:rsidRPr="009E064B">
        <w:rPr>
          <w:color w:val="auto"/>
        </w:rPr>
        <w:t xml:space="preserve">CS ADR-DSN.T.920 </w:t>
      </w:r>
      <w:r w:rsidR="006F5AD2" w:rsidRPr="009E064B">
        <w:rPr>
          <w:color w:val="auto"/>
        </w:rPr>
        <w:t xml:space="preserve">    </w:t>
      </w:r>
      <w:r w:rsidRPr="009E064B">
        <w:rPr>
          <w:color w:val="auto"/>
        </w:rPr>
        <w:t>Ogrodzenie</w:t>
      </w:r>
      <w:bookmarkEnd w:id="1847"/>
      <w:bookmarkEnd w:id="1848"/>
    </w:p>
    <w:p w14:paraId="0532A2A9" w14:textId="29137C2C"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14ABA05" w14:textId="692851D1" w:rsidR="00C36D76" w:rsidRPr="009E064B" w:rsidRDefault="00C36D76" w:rsidP="006F5AD2">
      <w:pPr>
        <w:tabs>
          <w:tab w:val="left" w:pos="567"/>
        </w:tabs>
        <w:ind w:left="567" w:hanging="567"/>
        <w:rPr>
          <w:rFonts w:eastAsia="Times New Roman,Bold" w:cs="Times New Roman"/>
          <w:szCs w:val="20"/>
        </w:rPr>
      </w:pPr>
      <w:r w:rsidRPr="009E064B">
        <w:rPr>
          <w:rFonts w:cs="Times New Roman"/>
          <w:szCs w:val="20"/>
        </w:rPr>
        <w:t xml:space="preserve">(a) </w:t>
      </w:r>
      <w:r w:rsidRPr="009E064B">
        <w:rPr>
          <w:rFonts w:cs="Times New Roman"/>
          <w:szCs w:val="20"/>
        </w:rPr>
        <w:tab/>
      </w:r>
      <w:r w:rsidRPr="009E064B">
        <w:rPr>
          <w:rFonts w:eastAsia="Times New Roman,Bold" w:cs="Times New Roman"/>
          <w:szCs w:val="20"/>
        </w:rPr>
        <w:t xml:space="preserve">Celem bezpieczeństwa ogrodzenia jest zapobieganie wtargnięciom na lotnisko </w:t>
      </w:r>
      <w:r w:rsidRPr="009E064B">
        <w:rPr>
          <w:szCs w:val="20"/>
        </w:rPr>
        <w:t>zwierząt</w:t>
      </w:r>
      <w:r w:rsidRPr="009E064B">
        <w:rPr>
          <w:rFonts w:eastAsia="Times New Roman,Bold" w:cs="Times New Roman"/>
          <w:szCs w:val="20"/>
        </w:rPr>
        <w:t xml:space="preserve"> lub nieupoważnionych osób, mogących stanowić zagrożenie dla bezpieczeństwa operacji statków powietrznych.</w:t>
      </w:r>
    </w:p>
    <w:p w14:paraId="1ACF139B" w14:textId="77777777" w:rsidR="00C36D76" w:rsidRPr="009E064B" w:rsidRDefault="00C36D76" w:rsidP="00B06A9A">
      <w:pPr>
        <w:tabs>
          <w:tab w:val="left" w:pos="567"/>
        </w:tabs>
        <w:ind w:left="567" w:hanging="567"/>
        <w:rPr>
          <w:rFonts w:eastAsia="Times New Roman,Bold" w:cs="Times New Roman"/>
          <w:szCs w:val="20"/>
        </w:rPr>
      </w:pPr>
      <w:r w:rsidRPr="009E064B">
        <w:rPr>
          <w:rFonts w:cs="Times New Roman"/>
          <w:szCs w:val="20"/>
        </w:rPr>
        <w:t xml:space="preserve">(b) </w:t>
      </w:r>
      <w:r w:rsidRPr="009E064B">
        <w:rPr>
          <w:rFonts w:cs="Times New Roman"/>
          <w:szCs w:val="20"/>
        </w:rPr>
        <w:tab/>
      </w:r>
      <w:r w:rsidRPr="009E064B">
        <w:rPr>
          <w:szCs w:val="20"/>
        </w:rPr>
        <w:t>Ogrodzenie</w:t>
      </w:r>
      <w:r w:rsidRPr="009E064B">
        <w:rPr>
          <w:rFonts w:eastAsia="Times New Roman,Bold" w:cs="Times New Roman"/>
          <w:szCs w:val="20"/>
        </w:rPr>
        <w:t xml:space="preserve"> powinno być zlokalizowane możliwie jak najdalej od linii środkowej drogi startowej oraz drogi kołowania.</w:t>
      </w:r>
    </w:p>
    <w:p w14:paraId="152FE738" w14:textId="77777777" w:rsidR="00C36D76" w:rsidRPr="009E064B" w:rsidRDefault="00C36D76" w:rsidP="00B06A9A">
      <w:pPr>
        <w:tabs>
          <w:tab w:val="left" w:pos="567"/>
        </w:tabs>
        <w:ind w:left="567" w:hanging="567"/>
        <w:rPr>
          <w:rFonts w:eastAsia="Times New Roman,Bold" w:cs="Times New Roman"/>
          <w:szCs w:val="20"/>
        </w:rPr>
      </w:pPr>
      <w:r w:rsidRPr="009E064B">
        <w:rPr>
          <w:rFonts w:cs="Times New Roman"/>
          <w:szCs w:val="20"/>
        </w:rPr>
        <w:t xml:space="preserve">(c) </w:t>
      </w:r>
      <w:r w:rsidRPr="009E064B">
        <w:rPr>
          <w:rFonts w:cs="Times New Roman"/>
          <w:szCs w:val="20"/>
        </w:rPr>
        <w:tab/>
      </w:r>
      <w:r w:rsidRPr="009E064B">
        <w:rPr>
          <w:szCs w:val="20"/>
        </w:rPr>
        <w:t>Lotnisko</w:t>
      </w:r>
      <w:r w:rsidRPr="009E064B">
        <w:rPr>
          <w:rFonts w:eastAsia="Times New Roman,Bold" w:cs="Times New Roman"/>
          <w:szCs w:val="20"/>
        </w:rPr>
        <w:t xml:space="preserve"> powinno posiadać odpowiednie środki ochrony, takie jak ogrodzenie lub odpowiednia bariera, zapobiegające przedostaniu się na lotnisko:</w:t>
      </w:r>
    </w:p>
    <w:p w14:paraId="69C614E0" w14:textId="77777777" w:rsidR="00C36D76" w:rsidRPr="009E064B" w:rsidRDefault="00C36D76" w:rsidP="00B06A9A">
      <w:pPr>
        <w:tabs>
          <w:tab w:val="left" w:pos="1134"/>
        </w:tabs>
        <w:autoSpaceDE w:val="0"/>
        <w:autoSpaceDN w:val="0"/>
        <w:adjustRightInd w:val="0"/>
        <w:ind w:left="1134" w:hanging="567"/>
        <w:rPr>
          <w:rFonts w:eastAsia="Times New Roman,Bold" w:cs="Times New Roman"/>
          <w:szCs w:val="20"/>
        </w:rPr>
      </w:pPr>
      <w:r w:rsidRPr="009E064B">
        <w:rPr>
          <w:rFonts w:cs="Times New Roman"/>
          <w:szCs w:val="20"/>
        </w:rPr>
        <w:t xml:space="preserve">(1) </w:t>
      </w:r>
      <w:r w:rsidRPr="009E064B">
        <w:rPr>
          <w:rFonts w:cs="Times New Roman"/>
          <w:szCs w:val="20"/>
        </w:rPr>
        <w:tab/>
        <w:t xml:space="preserve">nielatających </w:t>
      </w:r>
      <w:r w:rsidRPr="009E064B">
        <w:rPr>
          <w:rFonts w:eastAsia="Times New Roman,Bold" w:cs="Times New Roman"/>
          <w:szCs w:val="20"/>
        </w:rPr>
        <w:t>zwierząt, wystarczająco dużych, aby stanowić zagrożenie dla statków powietrznych; oraz/lub</w:t>
      </w:r>
    </w:p>
    <w:p w14:paraId="6F1BC4CA" w14:textId="77777777" w:rsidR="00C36D76" w:rsidRPr="009E064B" w:rsidRDefault="00C36D76" w:rsidP="00B06A9A">
      <w:pPr>
        <w:tabs>
          <w:tab w:val="left" w:pos="1134"/>
        </w:tabs>
        <w:autoSpaceDE w:val="0"/>
        <w:autoSpaceDN w:val="0"/>
        <w:adjustRightInd w:val="0"/>
        <w:ind w:left="1134" w:hanging="567"/>
        <w:rPr>
          <w:rFonts w:eastAsia="Times New Roman,Bold" w:cs="Times New Roman"/>
          <w:szCs w:val="20"/>
        </w:rPr>
      </w:pPr>
      <w:r w:rsidRPr="009E064B">
        <w:rPr>
          <w:rFonts w:cs="Times New Roman"/>
          <w:szCs w:val="20"/>
        </w:rPr>
        <w:t xml:space="preserve">(2) </w:t>
      </w:r>
      <w:r w:rsidRPr="009E064B">
        <w:rPr>
          <w:rFonts w:cs="Times New Roman"/>
          <w:szCs w:val="20"/>
        </w:rPr>
        <w:tab/>
      </w:r>
      <w:r w:rsidRPr="009E064B">
        <w:rPr>
          <w:rFonts w:eastAsia="Times New Roman,Bold" w:cs="Times New Roman"/>
          <w:szCs w:val="20"/>
        </w:rPr>
        <w:t>nieupoważnionej osoby.</w:t>
      </w:r>
    </w:p>
    <w:p w14:paraId="17597D69" w14:textId="77777777" w:rsidR="00C36D76" w:rsidRPr="009E064B" w:rsidRDefault="00C36D76" w:rsidP="006F5AD2">
      <w:pPr>
        <w:autoSpaceDE w:val="0"/>
        <w:autoSpaceDN w:val="0"/>
        <w:adjustRightInd w:val="0"/>
        <w:ind w:left="567"/>
        <w:rPr>
          <w:rFonts w:eastAsia="Times New Roman,Italic" w:cs="Times New Roman,Italic"/>
          <w:iCs/>
          <w:szCs w:val="20"/>
        </w:rPr>
      </w:pPr>
      <w:r w:rsidRPr="009E064B">
        <w:rPr>
          <w:rFonts w:eastAsia="Times New Roman,Italic" w:cs="Times New Roman,Italic"/>
          <w:iCs/>
          <w:szCs w:val="20"/>
        </w:rPr>
        <w:t>Dotyczy to zabezpieczenia systemu kanalizacji, kanałów, tuneli itp., gdzie niezbędne jest zapobieganie dostępowi.</w:t>
      </w:r>
    </w:p>
    <w:p w14:paraId="5F2CDAB7" w14:textId="77777777" w:rsidR="00C36D76" w:rsidRPr="009E064B" w:rsidRDefault="00C36D76" w:rsidP="00B06A9A">
      <w:pPr>
        <w:tabs>
          <w:tab w:val="left" w:pos="567"/>
        </w:tabs>
        <w:ind w:left="567" w:hanging="567"/>
        <w:rPr>
          <w:rFonts w:eastAsia="Times New Roman,Bold" w:cs="Times New Roman"/>
          <w:szCs w:val="20"/>
        </w:rPr>
      </w:pPr>
      <w:r w:rsidRPr="009E064B">
        <w:rPr>
          <w:rFonts w:cs="Times New Roman"/>
          <w:szCs w:val="20"/>
        </w:rPr>
        <w:t xml:space="preserve">(d) </w:t>
      </w:r>
      <w:r w:rsidRPr="009E064B">
        <w:rPr>
          <w:rFonts w:cs="Times New Roman"/>
          <w:szCs w:val="20"/>
        </w:rPr>
        <w:tab/>
      </w:r>
      <w:r w:rsidRPr="009E064B">
        <w:rPr>
          <w:rFonts w:eastAsia="Times New Roman,Bold" w:cs="Times New Roman"/>
          <w:szCs w:val="20"/>
        </w:rPr>
        <w:t xml:space="preserve">Odpowiednie środki ochrony powinny być zapewnione w celu zapobiegania </w:t>
      </w:r>
      <w:r w:rsidRPr="009E064B">
        <w:rPr>
          <w:szCs w:val="20"/>
        </w:rPr>
        <w:t>nieumyślnemu</w:t>
      </w:r>
      <w:r w:rsidRPr="009E064B">
        <w:rPr>
          <w:rFonts w:eastAsia="Times New Roman,Bold" w:cs="Times New Roman"/>
          <w:szCs w:val="20"/>
        </w:rPr>
        <w:t xml:space="preserve"> lub zamierzonemu dostępowi osób nieupoważnionych do urządzeń i instalacji naziemnych znajdujących się poza lotniskiem, które mają duże znaczenie dla bezpieczeństwa lotnictwa cywilnego.</w:t>
      </w:r>
    </w:p>
    <w:p w14:paraId="754C99A6" w14:textId="062B7FC4" w:rsidR="0061499D" w:rsidRPr="009E064B" w:rsidRDefault="00F2513E" w:rsidP="00133B99">
      <w:pPr>
        <w:pStyle w:val="Nagwek6"/>
      </w:pPr>
      <w:bookmarkStart w:id="1849" w:name="_Toc401059094"/>
      <w:bookmarkStart w:id="1850" w:name="_Toc482886967"/>
      <w:bookmarkStart w:id="1851" w:name="_Toc12533322"/>
      <w:r w:rsidRPr="009E064B">
        <w:t xml:space="preserve">GM1 ADR-DSN.T.920     </w:t>
      </w:r>
      <w:r w:rsidR="0061499D" w:rsidRPr="009E064B">
        <w:t>Ogrodzenie</w:t>
      </w:r>
      <w:bookmarkEnd w:id="1849"/>
      <w:bookmarkEnd w:id="1850"/>
      <w:bookmarkEnd w:id="1851"/>
    </w:p>
    <w:p w14:paraId="37DEDEFD" w14:textId="207C5A1C" w:rsidR="00F2513E" w:rsidRPr="009E064B" w:rsidRDefault="00D63D4F" w:rsidP="00F2513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6AF7463" w14:textId="7417A8A7" w:rsidR="0061499D" w:rsidRPr="009E064B" w:rsidRDefault="0061499D"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(a) </w:t>
      </w:r>
      <w:r w:rsidRPr="009E064B">
        <w:rPr>
          <w:rFonts w:cs="TimesNewRomanPS-BoldItalicMT"/>
          <w:bCs/>
          <w:iCs/>
          <w:szCs w:val="20"/>
        </w:rPr>
        <w:tab/>
      </w:r>
      <w:r w:rsidRPr="009E064B">
        <w:rPr>
          <w:szCs w:val="20"/>
        </w:rPr>
        <w:t>Ogrodzenia lub bariery powinny być zlokalizowane w taki sposób, aby oddzielić pole ruchu naziemnego i inne obiekty lub strefy na lotnisku istotne dla bezpiecznego użytkowania statków powietrznych z terenów otwartych dla dostępu publicznego.</w:t>
      </w:r>
    </w:p>
    <w:p w14:paraId="6410AFD6" w14:textId="77777777" w:rsidR="0061499D" w:rsidRPr="009E064B" w:rsidRDefault="0061499D" w:rsidP="00B06A9A">
      <w:pPr>
        <w:tabs>
          <w:tab w:val="left" w:pos="567"/>
        </w:tabs>
        <w:autoSpaceDE w:val="0"/>
        <w:autoSpaceDN w:val="0"/>
        <w:adjustRightInd w:val="0"/>
        <w:ind w:left="567" w:hanging="567"/>
        <w:rPr>
          <w:rFonts w:eastAsia="Times New Roman,Italic" w:cs="Times New Roman,Italic"/>
          <w:iCs/>
          <w:szCs w:val="20"/>
        </w:rPr>
      </w:pPr>
      <w:r w:rsidRPr="009E064B">
        <w:rPr>
          <w:rFonts w:cs="TimesNewRomanPS-BoldItalicMT"/>
          <w:bCs/>
          <w:iCs/>
          <w:szCs w:val="20"/>
        </w:rPr>
        <w:t xml:space="preserve">(b) </w:t>
      </w:r>
      <w:r w:rsidRPr="009E064B">
        <w:rPr>
          <w:rFonts w:cs="TimesNewRomanPS-BoldItalicMT"/>
          <w:bCs/>
          <w:iCs/>
          <w:szCs w:val="20"/>
        </w:rPr>
        <w:tab/>
      </w:r>
      <w:r w:rsidRPr="009E064B">
        <w:rPr>
          <w:rFonts w:eastAsia="Times New Roman,Italic" w:cs="Times New Roman,Italic"/>
          <w:iCs/>
          <w:szCs w:val="20"/>
        </w:rPr>
        <w:t>Należy rozważyć istnienie drogi wewnętrznej wzdłuż ogrodzenia lotniska dla użytku zarówno przez personel utrzymania jak i patroli ochrony.</w:t>
      </w:r>
    </w:p>
    <w:p w14:paraId="6F369595" w14:textId="77777777" w:rsidR="0061499D" w:rsidRPr="009E064B" w:rsidRDefault="0061499D"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(c) </w:t>
      </w:r>
      <w:r w:rsidRPr="009E064B">
        <w:rPr>
          <w:rFonts w:cs="TimesNewRomanPS-BoldItalicMT"/>
          <w:bCs/>
          <w:iCs/>
          <w:szCs w:val="20"/>
        </w:rPr>
        <w:tab/>
      </w:r>
      <w:r w:rsidRPr="009E064B">
        <w:rPr>
          <w:szCs w:val="20"/>
        </w:rPr>
        <w:t>Specjalne środki powinny być wymagane, aby zapobiec dostępowi osób nieupoważnionych do dróg startowych i dróg kołowania krzyżujących się z drogami publicznymi</w:t>
      </w:r>
    </w:p>
    <w:p w14:paraId="1C15641A" w14:textId="5E719A78" w:rsidR="0061499D" w:rsidRPr="009E064B" w:rsidRDefault="0061499D"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(d) </w:t>
      </w:r>
      <w:r w:rsidRPr="009E064B">
        <w:rPr>
          <w:rFonts w:cs="TimesNewRomanPS-BoldItalicMT"/>
          <w:bCs/>
          <w:iCs/>
          <w:szCs w:val="20"/>
        </w:rPr>
        <w:tab/>
      </w:r>
      <w:r w:rsidRPr="009E064B">
        <w:rPr>
          <w:szCs w:val="20"/>
        </w:rPr>
        <w:t>Ogrodzenie może się różnić w zakresie projektowania, wysokości i rodzaju w zależności od lokalnych potrzeb. Generalnie zaleca się, aby ogrodzenie wykonane było z siatki ze stali ocynkowanej, zainstalowanej do wysokości 2,5 m, oraz zwieńczonej trzema pasmami drutu kolczastego. Pasma drutu powinny mieć minimum 1</w:t>
      </w:r>
      <w:r w:rsidR="003A4675" w:rsidRPr="009E064B">
        <w:rPr>
          <w:szCs w:val="20"/>
        </w:rPr>
        <w:t xml:space="preserve">5 cm odległości pomiędzy sobą i </w:t>
      </w:r>
      <w:r w:rsidRPr="009E064B">
        <w:rPr>
          <w:szCs w:val="20"/>
        </w:rPr>
        <w:t>rozciągać się na zewnątrz pod kątem 45 stopni od poziomu. Słupki ogrodzeniowe powinny być umieszczone w odstępach nie większych niż 3 m i znajdować się w odległości 5 cm od każdej ściany lub konstrukcji stanowiącej część obwodu. Br</w:t>
      </w:r>
      <w:r w:rsidR="003A4675" w:rsidRPr="009E064B">
        <w:rPr>
          <w:szCs w:val="20"/>
        </w:rPr>
        <w:t>amy powinny być skonstruowane z </w:t>
      </w:r>
      <w:r w:rsidRPr="009E064B">
        <w:rPr>
          <w:szCs w:val="20"/>
        </w:rPr>
        <w:t>materiału o porównywalnej wytrzymałości i trwałości, otwi</w:t>
      </w:r>
      <w:r w:rsidR="00B7240A" w:rsidRPr="009E064B">
        <w:rPr>
          <w:szCs w:val="20"/>
        </w:rPr>
        <w:t>erane pod kątem, co najmniej 90 </w:t>
      </w:r>
      <w:r w:rsidRPr="009E064B">
        <w:rPr>
          <w:szCs w:val="20"/>
        </w:rPr>
        <w:t>stopni. Zawiasy powinny wykluczyć możliwość ich usunięcia przez osoby nieupoważnione.</w:t>
      </w:r>
    </w:p>
    <w:p w14:paraId="7BADED5E" w14:textId="77777777" w:rsidR="0061499D" w:rsidRPr="009E064B" w:rsidRDefault="0061499D"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(e) </w:t>
      </w:r>
      <w:r w:rsidRPr="009E064B">
        <w:rPr>
          <w:rFonts w:cs="TimesNewRomanPS-BoldItalicMT"/>
          <w:bCs/>
          <w:iCs/>
          <w:szCs w:val="20"/>
        </w:rPr>
        <w:tab/>
      </w:r>
      <w:r w:rsidRPr="009E064B">
        <w:rPr>
          <w:szCs w:val="20"/>
        </w:rPr>
        <w:t>Górne i dolne wykończenie ogrodzenia to skręcany i kolczasty drut. Dolna część ogrodzenia powinna być zainstalowana w odległości 5 cm od utwardzanej powierzchni lub gruntu. Jednak w miejscach, gdzie powszechne są niestabilne warunki glebowe, ogrodzenie należy przedłużyć, co najmniej 5 cm poniżej powierzchni lub osadzić w betonowych słupkach. Wszystkie ogrodzenia powinny być uziemione. Należy uważać, aby nie instalować metalowego ogrodzenia, jeżeli ma ono współpracować z pomocami nawigacyjnymi. Samo ogrodzenie powinno umożliwiać dobrą widoczność oraz być łatwe w utrzymaniu.</w:t>
      </w:r>
    </w:p>
    <w:p w14:paraId="5A782AA1" w14:textId="77777777" w:rsidR="0061499D" w:rsidRPr="009E064B" w:rsidRDefault="0061499D" w:rsidP="00B06A9A">
      <w:pPr>
        <w:tabs>
          <w:tab w:val="left" w:pos="567"/>
        </w:tabs>
        <w:autoSpaceDE w:val="0"/>
        <w:autoSpaceDN w:val="0"/>
        <w:adjustRightInd w:val="0"/>
        <w:ind w:left="567" w:hanging="567"/>
        <w:rPr>
          <w:szCs w:val="20"/>
        </w:rPr>
      </w:pPr>
      <w:r w:rsidRPr="009E064B">
        <w:rPr>
          <w:rFonts w:cs="TimesNewRomanPS-BoldItalicMT"/>
          <w:bCs/>
          <w:iCs/>
          <w:szCs w:val="20"/>
        </w:rPr>
        <w:t xml:space="preserve">(f) </w:t>
      </w:r>
      <w:r w:rsidRPr="009E064B">
        <w:rPr>
          <w:rFonts w:cs="TimesNewRomanPS-BoldItalicMT"/>
          <w:bCs/>
          <w:iCs/>
          <w:szCs w:val="20"/>
        </w:rPr>
        <w:tab/>
      </w:r>
      <w:r w:rsidRPr="009E064B">
        <w:rPr>
          <w:szCs w:val="20"/>
        </w:rPr>
        <w:t xml:space="preserve">Liczba bram powinna być ograniczona do minimum niezbędnego do bezpiecznej i efektywnej eksploatacji obiektu. Punkty dostępu powinny być wykonane w ogrodzeniu, aby umożliwić przejazd/przejście uprawnionych pojazdów i osób. Podczas gdy liczba punktów dostępu powinny być ograniczona do minimum, odpowiednie punkty dostępu powinny być planowane dla działań rutynowych, utrzymania oraz operacji awaryjnych. </w:t>
      </w:r>
    </w:p>
    <w:p w14:paraId="6EEABB95" w14:textId="3A57E691" w:rsidR="00FE5FBD" w:rsidRDefault="0061499D"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r w:rsidR="00A033BB" w:rsidRPr="009E064B">
        <w:rPr>
          <w:rFonts w:asciiTheme="minorHAnsi" w:hAnsiTheme="minorHAnsi" w:cstheme="minorHAnsi"/>
          <w:i/>
          <w:sz w:val="16"/>
          <w:szCs w:val="16"/>
        </w:rPr>
        <w:t xml:space="preserve">  </w:t>
      </w:r>
    </w:p>
    <w:p w14:paraId="593518A0" w14:textId="77777777" w:rsidR="00FE5FBD" w:rsidRDefault="00FE5FBD">
      <w:pPr>
        <w:spacing w:after="0"/>
        <w:jc w:val="left"/>
        <w:rPr>
          <w:rFonts w:asciiTheme="minorHAnsi" w:eastAsia="Times New Roman" w:hAnsiTheme="minorHAnsi" w:cstheme="minorHAnsi"/>
          <w:i/>
          <w:sz w:val="16"/>
          <w:szCs w:val="16"/>
        </w:rPr>
      </w:pPr>
      <w:r>
        <w:rPr>
          <w:rFonts w:asciiTheme="minorHAnsi" w:hAnsiTheme="minorHAnsi" w:cstheme="minorHAnsi"/>
          <w:i/>
          <w:sz w:val="16"/>
          <w:szCs w:val="16"/>
        </w:rPr>
        <w:br w:type="page"/>
      </w:r>
    </w:p>
    <w:p w14:paraId="09672B00" w14:textId="478F9FBC" w:rsidR="002E41F6" w:rsidRPr="009E064B" w:rsidRDefault="002E41F6" w:rsidP="00EE2E0D">
      <w:pPr>
        <w:pStyle w:val="Nagwek4"/>
        <w:tabs>
          <w:tab w:val="clear" w:pos="2694"/>
          <w:tab w:val="left" w:pos="2552"/>
        </w:tabs>
        <w:ind w:left="2552" w:hanging="2552"/>
      </w:pPr>
      <w:bookmarkStart w:id="1852" w:name="_CS_ADR-DSN.T.921_"/>
      <w:bookmarkStart w:id="1853" w:name="_Toc12533323"/>
      <w:bookmarkEnd w:id="1852"/>
      <w:r w:rsidRPr="009E064B">
        <w:t>CS ADR-DSN.T.92</w:t>
      </w:r>
      <w:r w:rsidR="005D55B0" w:rsidRPr="009E064B">
        <w:t>1</w:t>
      </w:r>
      <w:r w:rsidRPr="009E064B">
        <w:t xml:space="preserve">     </w:t>
      </w:r>
      <w:r w:rsidR="001474BD">
        <w:t xml:space="preserve"> </w:t>
      </w:r>
      <w:r w:rsidRPr="009E064B">
        <w:t xml:space="preserve">Autonomiczny system ostrzegania o wtargnięciu </w:t>
      </w:r>
      <w:r w:rsidRPr="009E064B">
        <w:br/>
        <w:t>na drogę startową</w:t>
      </w:r>
      <w:r w:rsidR="002141B2" w:rsidRPr="009E064B">
        <w:t xml:space="preserve"> (ARIWS)</w:t>
      </w:r>
      <w:bookmarkEnd w:id="1853"/>
    </w:p>
    <w:p w14:paraId="55E94CA1" w14:textId="49266940" w:rsidR="002E41F6" w:rsidRPr="009E064B" w:rsidRDefault="001F74A1" w:rsidP="002E41F6">
      <w:pPr>
        <w:spacing w:after="80"/>
        <w:ind w:left="23"/>
        <w:jc w:val="right"/>
        <w:rPr>
          <w:rFonts w:asciiTheme="minorHAnsi" w:eastAsia="Times New Roman" w:hAnsiTheme="minorHAnsi" w:cstheme="minorHAnsi"/>
          <w:bCs/>
          <w:i/>
          <w:color w:val="FF0000"/>
          <w:sz w:val="16"/>
          <w:szCs w:val="20"/>
        </w:rPr>
      </w:pPr>
      <w:r>
        <w:rPr>
          <w:rFonts w:asciiTheme="minorHAnsi" w:eastAsia="Times New Roman" w:hAnsiTheme="minorHAnsi" w:cstheme="minorHAnsi"/>
          <w:i/>
          <w:sz w:val="16"/>
          <w:szCs w:val="20"/>
        </w:rPr>
        <w:t>Decyzja ED 2017/021/R</w:t>
      </w:r>
    </w:p>
    <w:p w14:paraId="069F79C2" w14:textId="62315F08" w:rsidR="002E41F6" w:rsidRPr="00FE5FBD" w:rsidRDefault="002E41F6" w:rsidP="00EE2E0D">
      <w:pPr>
        <w:tabs>
          <w:tab w:val="left" w:pos="567"/>
        </w:tabs>
        <w:autoSpaceDE w:val="0"/>
        <w:autoSpaceDN w:val="0"/>
        <w:adjustRightInd w:val="0"/>
        <w:ind w:left="567" w:hanging="567"/>
        <w:rPr>
          <w:iCs/>
        </w:rPr>
      </w:pPr>
      <w:r w:rsidRPr="00FE5FBD">
        <w:rPr>
          <w:szCs w:val="20"/>
        </w:rPr>
        <w:t xml:space="preserve">(a) </w:t>
      </w:r>
      <w:r w:rsidRPr="00FE5FBD">
        <w:rPr>
          <w:szCs w:val="20"/>
        </w:rPr>
        <w:tab/>
        <w:t>Zastosowanie:</w:t>
      </w:r>
      <w:r w:rsidR="002141B2" w:rsidRPr="00FE5FBD">
        <w:rPr>
          <w:szCs w:val="20"/>
        </w:rPr>
        <w:t xml:space="preserve"> </w:t>
      </w:r>
      <w:r w:rsidRPr="00FE5FBD">
        <w:rPr>
          <w:iCs/>
        </w:rPr>
        <w:t xml:space="preserve">Włączenie szczegółowych </w:t>
      </w:r>
      <w:r w:rsidR="002141B2" w:rsidRPr="00FE5FBD">
        <w:rPr>
          <w:iCs/>
        </w:rPr>
        <w:t>specyfikacji</w:t>
      </w:r>
      <w:r w:rsidRPr="00FE5FBD">
        <w:rPr>
          <w:iCs/>
        </w:rPr>
        <w:t xml:space="preserve"> dla systemu ostrzegania o wtargnięciu na drogę startową</w:t>
      </w:r>
      <w:r w:rsidR="002141B2" w:rsidRPr="00FE5FBD">
        <w:rPr>
          <w:iCs/>
        </w:rPr>
        <w:t xml:space="preserve"> (</w:t>
      </w:r>
      <w:r w:rsidRPr="00FE5FBD">
        <w:rPr>
          <w:iCs/>
        </w:rPr>
        <w:t>ARIWS</w:t>
      </w:r>
      <w:r w:rsidRPr="00FE5FBD">
        <w:rPr>
          <w:rStyle w:val="Odwoanieprzypisudolnego"/>
          <w:iCs/>
        </w:rPr>
        <w:footnoteReference w:id="55"/>
      </w:r>
      <w:r w:rsidR="002141B2" w:rsidRPr="00FE5FBD">
        <w:rPr>
          <w:iCs/>
        </w:rPr>
        <w:t>)</w:t>
      </w:r>
      <w:r w:rsidRPr="00FE5FBD">
        <w:rPr>
          <w:iCs/>
        </w:rPr>
        <w:t>, nie oznacza, że system ten musi być zapewniany na lotnisku.</w:t>
      </w:r>
    </w:p>
    <w:p w14:paraId="26FA480C" w14:textId="7F4D562F" w:rsidR="002E41F6" w:rsidRPr="00FE5FBD" w:rsidRDefault="002141B2" w:rsidP="00EE2E0D">
      <w:pPr>
        <w:tabs>
          <w:tab w:val="left" w:pos="567"/>
        </w:tabs>
        <w:autoSpaceDE w:val="0"/>
        <w:autoSpaceDN w:val="0"/>
        <w:adjustRightInd w:val="0"/>
        <w:ind w:left="567" w:hanging="567"/>
      </w:pPr>
      <w:r w:rsidRPr="00FE5FBD">
        <w:rPr>
          <w:szCs w:val="20"/>
        </w:rPr>
        <w:t>(b)</w:t>
      </w:r>
      <w:r w:rsidRPr="00FE5FBD">
        <w:rPr>
          <w:szCs w:val="20"/>
        </w:rPr>
        <w:tab/>
        <w:t>Charakterystyk</w:t>
      </w:r>
      <w:r w:rsidR="00EB3D01" w:rsidRPr="00FE5FBD">
        <w:rPr>
          <w:szCs w:val="20"/>
        </w:rPr>
        <w:t>a</w:t>
      </w:r>
      <w:r w:rsidRPr="00FE5FBD">
        <w:rPr>
          <w:szCs w:val="20"/>
        </w:rPr>
        <w:t xml:space="preserve">: </w:t>
      </w:r>
      <w:r w:rsidR="002E41F6" w:rsidRPr="00FE5FBD">
        <w:t xml:space="preserve">Jeżeli </w:t>
      </w:r>
      <w:r w:rsidR="00EB3D01" w:rsidRPr="00FE5FBD">
        <w:rPr>
          <w:iCs/>
        </w:rPr>
        <w:t>system</w:t>
      </w:r>
      <w:r w:rsidRPr="00FE5FBD">
        <w:rPr>
          <w:iCs/>
        </w:rPr>
        <w:t xml:space="preserve"> ostrzegania o wtargnięciu na drogę startową</w:t>
      </w:r>
      <w:r w:rsidRPr="00FE5FBD">
        <w:t xml:space="preserve"> (</w:t>
      </w:r>
      <w:r w:rsidR="002E41F6" w:rsidRPr="00FE5FBD">
        <w:t>ARIWS</w:t>
      </w:r>
      <w:r w:rsidRPr="00FE5FBD">
        <w:t>)</w:t>
      </w:r>
      <w:r w:rsidR="002E41F6" w:rsidRPr="00FE5FBD">
        <w:t xml:space="preserve"> jest zainstalowany na lotnisku:</w:t>
      </w:r>
    </w:p>
    <w:p w14:paraId="6AAAAA3B" w14:textId="72480C51" w:rsidR="002E41F6" w:rsidRPr="00FE5FBD" w:rsidRDefault="002141B2" w:rsidP="00EE2E0D">
      <w:pPr>
        <w:tabs>
          <w:tab w:val="left" w:pos="1134"/>
        </w:tabs>
        <w:suppressAutoHyphens/>
        <w:autoSpaceDE w:val="0"/>
        <w:ind w:left="1134" w:hanging="567"/>
      </w:pPr>
      <w:r w:rsidRPr="00FE5FBD">
        <w:t>(1</w:t>
      </w:r>
      <w:r w:rsidR="002E41F6" w:rsidRPr="00FE5FBD">
        <w:t>)</w:t>
      </w:r>
      <w:r w:rsidR="002E41F6" w:rsidRPr="00FE5FBD">
        <w:tab/>
        <w:t>to powinien zapewnić autonomiczne wykrywanie potencjalnego (nieuprawnionego) wtargnięcia na drogę startową lub zajętości aktywnej drogi startowej i przekazywać bezpośrednie ostrzeżenia dla załogi statku powietrznego lub kierowc</w:t>
      </w:r>
      <w:r w:rsidRPr="00FE5FBD">
        <w:t>y</w:t>
      </w:r>
      <w:r w:rsidR="002E41F6" w:rsidRPr="00FE5FBD">
        <w:t xml:space="preserve"> pojazd</w:t>
      </w:r>
      <w:r w:rsidRPr="00FE5FBD">
        <w:t>u</w:t>
      </w:r>
      <w:r w:rsidR="002E41F6" w:rsidRPr="00FE5FBD">
        <w:t>;</w:t>
      </w:r>
    </w:p>
    <w:p w14:paraId="30518A47" w14:textId="77777777" w:rsidR="002E41F6" w:rsidRPr="00FE5FBD" w:rsidRDefault="002E41F6" w:rsidP="00EE2E0D">
      <w:pPr>
        <w:tabs>
          <w:tab w:val="left" w:pos="1134"/>
        </w:tabs>
        <w:suppressAutoHyphens/>
        <w:autoSpaceDE w:val="0"/>
        <w:ind w:left="1134" w:hanging="567"/>
      </w:pPr>
      <w:r w:rsidRPr="00FE5FBD">
        <w:t>b)</w:t>
      </w:r>
      <w:r w:rsidRPr="00FE5FBD">
        <w:tab/>
        <w:t>powinien działać i być kontrolowany niezależnie od wszelkich innych systemów wzrokowych znajdujących się na lotnisku;</w:t>
      </w:r>
    </w:p>
    <w:p w14:paraId="43328E66" w14:textId="1EDBC4EB" w:rsidR="002E41F6" w:rsidRPr="00FE5FBD" w:rsidRDefault="002E41F6" w:rsidP="00EE2E0D">
      <w:pPr>
        <w:tabs>
          <w:tab w:val="left" w:pos="1134"/>
        </w:tabs>
        <w:suppressAutoHyphens/>
        <w:autoSpaceDE w:val="0"/>
        <w:ind w:left="1134" w:hanging="567"/>
      </w:pPr>
      <w:r w:rsidRPr="00FE5FBD">
        <w:t>c)</w:t>
      </w:r>
      <w:r w:rsidRPr="00FE5FBD">
        <w:tab/>
        <w:t>wchodzące w jego skład pomoce wzrokowe, tj. światła, powinny być zaprojektowane zgodnie z</w:t>
      </w:r>
      <w:r w:rsidR="002141B2" w:rsidRPr="00FE5FBD">
        <w:t xml:space="preserve"> </w:t>
      </w:r>
      <w:r w:rsidRPr="00FE5FBD">
        <w:t xml:space="preserve">odpowiednimi </w:t>
      </w:r>
      <w:r w:rsidR="002141B2" w:rsidRPr="00FE5FBD">
        <w:t xml:space="preserve">specyfikacjami </w:t>
      </w:r>
      <w:r w:rsidR="00F9764F" w:rsidRPr="00FE5FBD">
        <w:t xml:space="preserve">określonymi </w:t>
      </w:r>
      <w:r w:rsidR="002141B2" w:rsidRPr="00FE5FBD">
        <w:t>w Rozdziale M</w:t>
      </w:r>
      <w:r w:rsidRPr="00FE5FBD">
        <w:t>; oraz</w:t>
      </w:r>
    </w:p>
    <w:p w14:paraId="058DB946" w14:textId="77777777" w:rsidR="002E41F6" w:rsidRPr="00FE5FBD" w:rsidRDefault="002E41F6" w:rsidP="00EE2E0D">
      <w:pPr>
        <w:tabs>
          <w:tab w:val="left" w:pos="1134"/>
        </w:tabs>
        <w:suppressAutoHyphens/>
        <w:autoSpaceDE w:val="0"/>
        <w:ind w:left="1134" w:hanging="567"/>
      </w:pPr>
      <w:r w:rsidRPr="00FE5FBD">
        <w:t>d)</w:t>
      </w:r>
      <w:r w:rsidRPr="00FE5FBD">
        <w:tab/>
        <w:t>awaria części lub całości systemu nie powinna zakłócać rutynowych operacji lotniskowych. W tym celu, należy umożliwić organowi kontroli ruchu lotniczego częściowe lub całkowite wyłączenie systemu.</w:t>
      </w:r>
    </w:p>
    <w:p w14:paraId="7110E1A6" w14:textId="671F44F6" w:rsidR="00D61759" w:rsidRPr="00FE5FBD" w:rsidRDefault="008379FD" w:rsidP="00EE2E0D">
      <w:pPr>
        <w:tabs>
          <w:tab w:val="left" w:pos="567"/>
        </w:tabs>
        <w:autoSpaceDE w:val="0"/>
        <w:autoSpaceDN w:val="0"/>
        <w:adjustRightInd w:val="0"/>
        <w:ind w:left="567" w:hanging="567"/>
        <w:rPr>
          <w:szCs w:val="20"/>
        </w:rPr>
      </w:pPr>
      <w:r w:rsidRPr="00FE5FBD">
        <w:rPr>
          <w:szCs w:val="20"/>
        </w:rPr>
        <w:t>(c)</w:t>
      </w:r>
      <w:r w:rsidR="002141B2" w:rsidRPr="00FE5FBD">
        <w:rPr>
          <w:szCs w:val="20"/>
        </w:rPr>
        <w:tab/>
      </w:r>
      <w:r w:rsidR="002E41F6" w:rsidRPr="00FE5FBD">
        <w:rPr>
          <w:szCs w:val="20"/>
        </w:rPr>
        <w:t xml:space="preserve">Jeżeli </w:t>
      </w:r>
      <w:r w:rsidR="002141B2" w:rsidRPr="00FE5FBD">
        <w:rPr>
          <w:szCs w:val="20"/>
        </w:rPr>
        <w:t xml:space="preserve">systemu ostrzegania o wtargnięciu na drogę startową (ARIWS) </w:t>
      </w:r>
      <w:r w:rsidR="002E41F6" w:rsidRPr="00FE5FBD">
        <w:rPr>
          <w:szCs w:val="20"/>
        </w:rPr>
        <w:t>jest zainstalowany na lotnisku, informacje na temat jego charakterystyk oraz statusu powinny być udostępniane odpowiednim służbom informacji lotni</w:t>
      </w:r>
      <w:r w:rsidR="002141B2" w:rsidRPr="00FE5FBD">
        <w:rPr>
          <w:szCs w:val="20"/>
        </w:rPr>
        <w:t xml:space="preserve">czej do publikacji w AIP wraz z </w:t>
      </w:r>
      <w:r w:rsidR="002E41F6" w:rsidRPr="00FE5FBD">
        <w:rPr>
          <w:szCs w:val="20"/>
        </w:rPr>
        <w:t>opisem lotniskowego systemu kierowania i kontroli ruchu naziemnego (SMGCS)</w:t>
      </w:r>
      <w:r w:rsidR="002141B2" w:rsidRPr="00FE5FBD">
        <w:rPr>
          <w:szCs w:val="20"/>
        </w:rPr>
        <w:t>.</w:t>
      </w:r>
    </w:p>
    <w:p w14:paraId="35A581FC" w14:textId="62E1B99B" w:rsidR="0044331D" w:rsidRPr="009E064B" w:rsidRDefault="0044331D" w:rsidP="008960B1">
      <w:pPr>
        <w:tabs>
          <w:tab w:val="left" w:pos="567"/>
        </w:tabs>
        <w:autoSpaceDE w:val="0"/>
        <w:autoSpaceDN w:val="0"/>
        <w:adjustRightInd w:val="0"/>
        <w:spacing w:before="60"/>
        <w:ind w:left="567" w:hanging="567"/>
        <w:rPr>
          <w:rFonts w:asciiTheme="minorHAnsi" w:hAnsiTheme="minorHAnsi" w:cstheme="minorHAnsi"/>
          <w:sz w:val="16"/>
          <w:szCs w:val="16"/>
        </w:rPr>
      </w:pPr>
      <w:r w:rsidRPr="000412BF">
        <w:rPr>
          <w:rFonts w:asciiTheme="minorHAnsi" w:hAnsiTheme="minorHAnsi" w:cstheme="minorHAnsi"/>
          <w:i/>
          <w:sz w:val="16"/>
          <w:szCs w:val="16"/>
        </w:rPr>
        <w:t>[Wydanie: ADR-DSN/4]</w:t>
      </w:r>
    </w:p>
    <w:p w14:paraId="0A53C11D" w14:textId="5FD10F23" w:rsidR="00D61759" w:rsidRPr="009E064B" w:rsidRDefault="005D55B0" w:rsidP="00133B99">
      <w:pPr>
        <w:pStyle w:val="Nagwek6"/>
      </w:pPr>
      <w:bookmarkStart w:id="1854" w:name="_Toc12533324"/>
      <w:r w:rsidRPr="009E064B">
        <w:t>GM1 ADR-DSN.T.921</w:t>
      </w:r>
      <w:r w:rsidR="00D61759" w:rsidRPr="009E064B">
        <w:t xml:space="preserve">     Autonomiczny system ostrzegania o wtargnięciu </w:t>
      </w:r>
      <w:r w:rsidR="00D61759" w:rsidRPr="009E064B">
        <w:br/>
      </w:r>
      <w:r w:rsidR="001A686D" w:rsidRPr="009E064B">
        <w:t xml:space="preserve">  </w:t>
      </w:r>
      <w:r w:rsidR="00D61759" w:rsidRPr="009E064B">
        <w:t>na drogę startową (ARIWS)</w:t>
      </w:r>
      <w:bookmarkEnd w:id="1854"/>
    </w:p>
    <w:p w14:paraId="4A241AED" w14:textId="18F58410" w:rsidR="00D61759" w:rsidRPr="00FE5FBD" w:rsidRDefault="001F74A1" w:rsidP="00D61759">
      <w:pPr>
        <w:spacing w:after="80"/>
        <w:ind w:left="23"/>
        <w:jc w:val="right"/>
        <w:rPr>
          <w:rFonts w:asciiTheme="minorHAnsi" w:eastAsia="Times New Roman" w:hAnsiTheme="minorHAnsi" w:cstheme="minorHAnsi"/>
          <w:bCs/>
          <w:i/>
          <w:sz w:val="16"/>
          <w:szCs w:val="20"/>
        </w:rPr>
      </w:pPr>
      <w:r>
        <w:rPr>
          <w:rFonts w:asciiTheme="minorHAnsi" w:eastAsia="Times New Roman" w:hAnsiTheme="minorHAnsi" w:cstheme="minorHAnsi"/>
          <w:i/>
          <w:sz w:val="16"/>
          <w:szCs w:val="20"/>
        </w:rPr>
        <w:t>Decyzja ED 2017/021/R</w:t>
      </w:r>
    </w:p>
    <w:p w14:paraId="7C134F8D" w14:textId="77777777" w:rsidR="001A686D" w:rsidRPr="00FE5FBD" w:rsidRDefault="00D61759" w:rsidP="00195630">
      <w:pPr>
        <w:tabs>
          <w:tab w:val="left" w:pos="567"/>
        </w:tabs>
        <w:autoSpaceDE w:val="0"/>
        <w:autoSpaceDN w:val="0"/>
        <w:adjustRightInd w:val="0"/>
        <w:ind w:left="567" w:hanging="567"/>
        <w:rPr>
          <w:szCs w:val="20"/>
        </w:rPr>
      </w:pPr>
      <w:r w:rsidRPr="00FE5FBD">
        <w:rPr>
          <w:szCs w:val="20"/>
        </w:rPr>
        <w:t xml:space="preserve">a) </w:t>
      </w:r>
      <w:r w:rsidRPr="00FE5FBD">
        <w:rPr>
          <w:szCs w:val="20"/>
        </w:rPr>
        <w:tab/>
        <w:t>Wdrożenie systemów autonomicznych jest na ogół dość skomplikowane pod względem projektowania i działania, a zatem musi być dokładnie rozważane przez wszystkie zaangażowane strony, takie jak operatorzy lotnisk, służby ruchu lotniczego (ATS) i operatorzy statków powietrznych. Niniejsze wytyczne zawierają bardziej przejrzysty opis systemu (-ów) i proponują kilka sugerowanych działań wymaganych w celu prawidłowego wdrożenia tego</w:t>
      </w:r>
      <w:r w:rsidR="001A686D" w:rsidRPr="00FE5FBD">
        <w:rPr>
          <w:szCs w:val="20"/>
        </w:rPr>
        <w:t xml:space="preserve"> systemu na lotnisku.</w:t>
      </w:r>
    </w:p>
    <w:p w14:paraId="529A9DFC" w14:textId="1C438644" w:rsidR="00D61759" w:rsidRPr="00FE5FBD" w:rsidRDefault="001A686D" w:rsidP="00195630">
      <w:pPr>
        <w:tabs>
          <w:tab w:val="left" w:pos="567"/>
        </w:tabs>
        <w:autoSpaceDE w:val="0"/>
        <w:autoSpaceDN w:val="0"/>
        <w:adjustRightInd w:val="0"/>
        <w:ind w:left="567" w:hanging="567"/>
        <w:rPr>
          <w:szCs w:val="20"/>
        </w:rPr>
      </w:pPr>
      <w:r w:rsidRPr="00FE5FBD">
        <w:rPr>
          <w:szCs w:val="20"/>
        </w:rPr>
        <w:t xml:space="preserve">(b) </w:t>
      </w:r>
      <w:r w:rsidRPr="00FE5FBD">
        <w:rPr>
          <w:szCs w:val="20"/>
        </w:rPr>
        <w:tab/>
      </w:r>
      <w:r w:rsidR="00D61759" w:rsidRPr="00FE5FBD">
        <w:rPr>
          <w:szCs w:val="20"/>
        </w:rPr>
        <w:t>System ARIWS może być instalowany w połączeniu z oznakowaniem linii środkowej drogi kołowania, poprzeczkami zatrzymania oraz światłami ochronnymi drogi startowej.</w:t>
      </w:r>
    </w:p>
    <w:p w14:paraId="40B8C423" w14:textId="45F4DA93" w:rsidR="00D61759" w:rsidRPr="00FE5FBD" w:rsidRDefault="00D61759" w:rsidP="00195630">
      <w:pPr>
        <w:tabs>
          <w:tab w:val="left" w:pos="567"/>
        </w:tabs>
        <w:autoSpaceDE w:val="0"/>
        <w:autoSpaceDN w:val="0"/>
        <w:adjustRightInd w:val="0"/>
        <w:ind w:left="567" w:hanging="567"/>
        <w:rPr>
          <w:szCs w:val="20"/>
        </w:rPr>
      </w:pPr>
      <w:r w:rsidRPr="00FE5FBD">
        <w:rPr>
          <w:szCs w:val="20"/>
        </w:rPr>
        <w:t xml:space="preserve">(c) </w:t>
      </w:r>
      <w:r w:rsidRPr="00FE5FBD">
        <w:rPr>
          <w:szCs w:val="20"/>
        </w:rPr>
        <w:tab/>
        <w:t>System ARIWS powinien funkcjonować w każdych warunk</w:t>
      </w:r>
      <w:r w:rsidR="00F9764F" w:rsidRPr="00FE5FBD">
        <w:rPr>
          <w:szCs w:val="20"/>
        </w:rPr>
        <w:t>ach pogodowych, w tym również w </w:t>
      </w:r>
      <w:r w:rsidRPr="00FE5FBD">
        <w:rPr>
          <w:szCs w:val="20"/>
        </w:rPr>
        <w:t>warunkach ograniczonej widzialności.</w:t>
      </w:r>
    </w:p>
    <w:p w14:paraId="3687EE88" w14:textId="054C28C3" w:rsidR="00D61759" w:rsidRPr="00FE5FBD" w:rsidRDefault="00D61759" w:rsidP="00195630">
      <w:pPr>
        <w:tabs>
          <w:tab w:val="left" w:pos="567"/>
        </w:tabs>
        <w:autoSpaceDE w:val="0"/>
        <w:autoSpaceDN w:val="0"/>
        <w:adjustRightInd w:val="0"/>
        <w:ind w:left="567" w:hanging="567"/>
        <w:rPr>
          <w:szCs w:val="20"/>
        </w:rPr>
      </w:pPr>
      <w:r w:rsidRPr="00FE5FBD">
        <w:rPr>
          <w:szCs w:val="20"/>
        </w:rPr>
        <w:t xml:space="preserve">(d) </w:t>
      </w:r>
      <w:r w:rsidRPr="00FE5FBD">
        <w:rPr>
          <w:szCs w:val="20"/>
        </w:rPr>
        <w:tab/>
        <w:t>ARIWS może korzystać ze wspólnych elementów sensorycznych (czujników) systemu SMGCS lub A-SMGCS, niemniej jednak, działa on niezależnie od obydwu tych systemów.</w:t>
      </w:r>
    </w:p>
    <w:p w14:paraId="55C47AC2" w14:textId="44259186" w:rsidR="005D55B0" w:rsidRPr="00FE5FBD" w:rsidRDefault="005D55B0" w:rsidP="00195630">
      <w:pPr>
        <w:tabs>
          <w:tab w:val="left" w:pos="567"/>
        </w:tabs>
        <w:autoSpaceDE w:val="0"/>
        <w:autoSpaceDN w:val="0"/>
        <w:adjustRightInd w:val="0"/>
        <w:ind w:left="567" w:hanging="567"/>
        <w:rPr>
          <w:szCs w:val="20"/>
        </w:rPr>
      </w:pPr>
      <w:r w:rsidRPr="00FE5FBD">
        <w:rPr>
          <w:szCs w:val="20"/>
        </w:rPr>
        <w:t xml:space="preserve">(e) </w:t>
      </w:r>
      <w:r w:rsidRPr="00FE5FBD">
        <w:rPr>
          <w:szCs w:val="20"/>
        </w:rPr>
        <w:tab/>
        <w:t>Opis ogólny:</w:t>
      </w:r>
    </w:p>
    <w:p w14:paraId="39B76FC6" w14:textId="1E797A8A" w:rsidR="005D55B0" w:rsidRPr="00FE5FBD" w:rsidRDefault="005D55B0" w:rsidP="00195630">
      <w:pPr>
        <w:tabs>
          <w:tab w:val="left" w:pos="1134"/>
        </w:tabs>
        <w:suppressAutoHyphens/>
        <w:autoSpaceDE w:val="0"/>
        <w:ind w:left="1134" w:hanging="567"/>
        <w:rPr>
          <w:szCs w:val="20"/>
        </w:rPr>
      </w:pPr>
      <w:r w:rsidRPr="00FE5FBD">
        <w:rPr>
          <w:szCs w:val="20"/>
        </w:rPr>
        <w:t xml:space="preserve">(1) </w:t>
      </w:r>
      <w:r w:rsidRPr="00FE5FBD">
        <w:rPr>
          <w:szCs w:val="20"/>
        </w:rPr>
        <w:tab/>
        <w:t>Eksploatacja systemu ARIWS opiera się na systemie nadzoru, który monitoruje aktualną sytuację na drodze startowej i automatycznie przekazuje tą informację do świateł ostrzegawczych na progach drogi startowej (do startu) i wjazdach na drogę startową. Kiedy statek powietrzny odlatuje z drogi startowej (rozbieg) lub dolatuje do drogi startowej (ostatnia prosta), czerwone światła ostrzegawcze na wjazdach zapalają się, wskazując, że wjazd lub przejazd przez drogę startową jest niebezpieczny. Kiedy statek powietrzny zajął pozycję na drodze startowej do startu i inny statek powietrzny lub pojazd wjeżdża lub przecina drogę startową, czerwone światła ostrzegawcze zapalają się w strefie progu, wskazując że rozpoczęcie startu jest niebezpieczne.</w:t>
      </w:r>
    </w:p>
    <w:p w14:paraId="4D47DF23" w14:textId="3662FFEA" w:rsidR="005D55B0" w:rsidRPr="00FE5FBD" w:rsidRDefault="005D55B0" w:rsidP="00195630">
      <w:pPr>
        <w:tabs>
          <w:tab w:val="left" w:pos="1134"/>
        </w:tabs>
        <w:suppressAutoHyphens/>
        <w:autoSpaceDE w:val="0"/>
        <w:ind w:left="1134" w:hanging="567"/>
        <w:rPr>
          <w:szCs w:val="20"/>
        </w:rPr>
      </w:pPr>
      <w:r w:rsidRPr="00FE5FBD">
        <w:rPr>
          <w:szCs w:val="20"/>
        </w:rPr>
        <w:t>(2)</w:t>
      </w:r>
      <w:r w:rsidRPr="00FE5FBD">
        <w:rPr>
          <w:szCs w:val="20"/>
        </w:rPr>
        <w:tab/>
        <w:t xml:space="preserve">Ogólnie mówiąc, ARIWS składa się z niezależnego systemu nadzoru (radar pierwotny, multilateracja, specjalistyczne kamery, dedykowany radar, itp.) oraz systemu ostrzegania w postaci dodatkowych systemów </w:t>
      </w:r>
      <w:r w:rsidR="00F9764F" w:rsidRPr="00FE5FBD">
        <w:rPr>
          <w:szCs w:val="20"/>
        </w:rPr>
        <w:t xml:space="preserve">świateł </w:t>
      </w:r>
      <w:r w:rsidRPr="00FE5FBD">
        <w:rPr>
          <w:szCs w:val="20"/>
        </w:rPr>
        <w:t>lotniskow</w:t>
      </w:r>
      <w:r w:rsidR="00F9764F" w:rsidRPr="00FE5FBD">
        <w:rPr>
          <w:szCs w:val="20"/>
        </w:rPr>
        <w:t>ych</w:t>
      </w:r>
      <w:r w:rsidRPr="00FE5FBD">
        <w:rPr>
          <w:szCs w:val="20"/>
        </w:rPr>
        <w:t xml:space="preserve"> połączonych przez procesor, który generuje alarmy niezależne od kontroli ruchu lotniczego bezpośrednio do załóg lotniczych i operatorów pojazdów.</w:t>
      </w:r>
    </w:p>
    <w:p w14:paraId="5948243F" w14:textId="518F26C4" w:rsidR="005D55B0" w:rsidRPr="00FE5FBD" w:rsidRDefault="005D55B0" w:rsidP="00195630">
      <w:pPr>
        <w:tabs>
          <w:tab w:val="left" w:pos="1134"/>
        </w:tabs>
        <w:suppressAutoHyphens/>
        <w:autoSpaceDE w:val="0"/>
        <w:ind w:left="1134" w:hanging="567"/>
        <w:rPr>
          <w:szCs w:val="20"/>
        </w:rPr>
      </w:pPr>
      <w:r w:rsidRPr="00FE5FBD">
        <w:rPr>
          <w:szCs w:val="20"/>
        </w:rPr>
        <w:t>(3)</w:t>
      </w:r>
      <w:r w:rsidRPr="00FE5FBD">
        <w:rPr>
          <w:szCs w:val="20"/>
        </w:rPr>
        <w:tab/>
        <w:t>ARIWS nie wymaga przeplatania obwodów, rezerwowego źródła zasilania lub podłączenia do innych systemów pomocy wzrokowych.</w:t>
      </w:r>
    </w:p>
    <w:p w14:paraId="3FA35942" w14:textId="1AD14BF3" w:rsidR="005D55B0" w:rsidRPr="00FE5FBD" w:rsidRDefault="005D55B0" w:rsidP="00195630">
      <w:pPr>
        <w:tabs>
          <w:tab w:val="left" w:pos="1134"/>
        </w:tabs>
        <w:suppressAutoHyphens/>
        <w:autoSpaceDE w:val="0"/>
        <w:ind w:left="1134" w:hanging="567"/>
        <w:rPr>
          <w:szCs w:val="20"/>
        </w:rPr>
      </w:pPr>
      <w:r w:rsidRPr="00FE5FBD">
        <w:rPr>
          <w:szCs w:val="20"/>
        </w:rPr>
        <w:t>(4)</w:t>
      </w:r>
      <w:r w:rsidRPr="00FE5FBD">
        <w:rPr>
          <w:szCs w:val="20"/>
        </w:rPr>
        <w:tab/>
        <w:t>W praktyce, nie każdy wjazd lub próg wymaga wyposażenia w światła ostrzegawcze. Każde lotnisko będzie musiało ocenić swoje potrzeby indywidualnie w zależności od charakterystyki lotniska. Istnieje kilka opracowanych systemów oferujących te same lub podobne funkcje.</w:t>
      </w:r>
    </w:p>
    <w:p w14:paraId="05294231" w14:textId="6A95DDEE" w:rsidR="005D55B0" w:rsidRPr="00FE5FBD" w:rsidRDefault="005D55B0" w:rsidP="00195630">
      <w:pPr>
        <w:tabs>
          <w:tab w:val="left" w:pos="567"/>
        </w:tabs>
        <w:autoSpaceDE w:val="0"/>
        <w:autoSpaceDN w:val="0"/>
        <w:adjustRightInd w:val="0"/>
        <w:ind w:left="567" w:hanging="567"/>
        <w:rPr>
          <w:szCs w:val="20"/>
        </w:rPr>
      </w:pPr>
      <w:r w:rsidRPr="00FE5FBD">
        <w:rPr>
          <w:szCs w:val="20"/>
        </w:rPr>
        <w:t xml:space="preserve">(f) </w:t>
      </w:r>
      <w:r w:rsidRPr="00FE5FBD">
        <w:rPr>
          <w:szCs w:val="20"/>
        </w:rPr>
        <w:tab/>
        <w:t>Działania załogi lotniczej:</w:t>
      </w:r>
    </w:p>
    <w:p w14:paraId="4EB3C482" w14:textId="25CB2B5D" w:rsidR="005D55B0" w:rsidRPr="00FE5FBD" w:rsidRDefault="005D55B0" w:rsidP="00195630">
      <w:pPr>
        <w:tabs>
          <w:tab w:val="left" w:pos="1134"/>
        </w:tabs>
        <w:suppressAutoHyphens/>
        <w:autoSpaceDE w:val="0"/>
        <w:ind w:left="1134" w:hanging="567"/>
        <w:rPr>
          <w:szCs w:val="20"/>
        </w:rPr>
      </w:pPr>
      <w:r w:rsidRPr="00FE5FBD">
        <w:rPr>
          <w:szCs w:val="20"/>
        </w:rPr>
        <w:t xml:space="preserve">(1) </w:t>
      </w:r>
      <w:r w:rsidRPr="00FE5FBD">
        <w:rPr>
          <w:szCs w:val="20"/>
        </w:rPr>
        <w:tab/>
        <w:t>Kwestią o zasadniczym znaczeniu jest to, aby załogi lotnicze rozumiały ostrzeżenia, jakie są przesyłane przez system ARIWS. Ostrzeżenia są przekazywane w czasie niemal rzeczywistym, bezpośrednio do załogi lotniczej, ponieważ nie ma czasu na „sztafetowy” rodzaj komunikacji. Innymi słowy, ostrzeżenie o konflikcie generowane dla służb ruchu lotniczego, które muszą interpretować ostrzeżenie, ocenić sytuację oraz przekazać informację do danego statku powietrznego, zajęłoby kilka sekund podczas gdy każda sekunda ma decydujące znaczenie dla bezpiecznego zatrzymania statku powietrznego oraz dla zapobieżenia potencjalnej kolizji. Piloci otrzymują spójny w skali globalnej sygnał, który oznacza „NATYCHMIAST ZATRZYMAJ SIĘ”, i mus</w:t>
      </w:r>
      <w:r w:rsidR="00F9764F" w:rsidRPr="00FE5FBD">
        <w:rPr>
          <w:szCs w:val="20"/>
        </w:rPr>
        <w:t>zą być nauczeni, aby reagować w </w:t>
      </w:r>
      <w:r w:rsidRPr="00FE5FBD">
        <w:rPr>
          <w:szCs w:val="20"/>
        </w:rPr>
        <w:t>odpowiedni sposób. Podobnie piloci otrzymujący zezwolenie ATS na start lub przecięcie drogi startowej, widząc tablicę z czerwonym światłem, muszą ZATRZYMAĆ SIĘ oraz poinformować ATS że przerwali start/zatrzymali się ze względu na czerwone światło. Ponownie, znaczenie osi czasu jest tak duże, że nie ma możliwości błędnej interpretacji sygnału. Niezwykle ważne jest to, aby sygnał wzrokowy był identyczny w skali światowej.</w:t>
      </w:r>
    </w:p>
    <w:p w14:paraId="618688FD" w14:textId="01E4C892" w:rsidR="005D55B0" w:rsidRPr="00FE5FBD" w:rsidRDefault="005D55B0" w:rsidP="00195630">
      <w:pPr>
        <w:tabs>
          <w:tab w:val="left" w:pos="1134"/>
        </w:tabs>
        <w:suppressAutoHyphens/>
        <w:autoSpaceDE w:val="0"/>
        <w:ind w:left="1134" w:hanging="567"/>
        <w:rPr>
          <w:szCs w:val="20"/>
        </w:rPr>
      </w:pPr>
      <w:r w:rsidRPr="00FE5FBD">
        <w:rPr>
          <w:szCs w:val="20"/>
        </w:rPr>
        <w:t>(2)</w:t>
      </w:r>
      <w:r w:rsidRPr="00FE5FBD">
        <w:rPr>
          <w:szCs w:val="20"/>
        </w:rPr>
        <w:tab/>
        <w:t>Należy również podkreślić, że wyłączenie czerwonych świateł nie oznacza samo w sobie zezwolenia na kontynuację jazdy. Zezwolenie to jest nadal wymagane do uzyskania od służb kontroli ruchu lotniczego. Nieobecność czerwonych świateł ostrzegawczych oznacza jedynie, że potencjalne konflikty nie zostały wykryte.</w:t>
      </w:r>
    </w:p>
    <w:p w14:paraId="014242FB" w14:textId="5C465E7E" w:rsidR="005D55B0" w:rsidRPr="00FE5FBD" w:rsidRDefault="005D55B0" w:rsidP="00195630">
      <w:pPr>
        <w:tabs>
          <w:tab w:val="left" w:pos="1134"/>
        </w:tabs>
        <w:suppressAutoHyphens/>
        <w:autoSpaceDE w:val="0"/>
        <w:ind w:left="1134" w:hanging="567"/>
        <w:rPr>
          <w:szCs w:val="20"/>
        </w:rPr>
      </w:pPr>
      <w:r w:rsidRPr="00FE5FBD">
        <w:rPr>
          <w:szCs w:val="20"/>
        </w:rPr>
        <w:t>(3)</w:t>
      </w:r>
      <w:r w:rsidRPr="00FE5FBD">
        <w:rPr>
          <w:szCs w:val="20"/>
        </w:rPr>
        <w:tab/>
        <w:t>W sytuacji</w:t>
      </w:r>
      <w:r w:rsidR="00F9764F" w:rsidRPr="00FE5FBD">
        <w:rPr>
          <w:szCs w:val="20"/>
        </w:rPr>
        <w:t>,</w:t>
      </w:r>
      <w:r w:rsidRPr="00FE5FBD">
        <w:rPr>
          <w:szCs w:val="20"/>
        </w:rPr>
        <w:t xml:space="preserve"> gdy system jest niesprawny, mogą mieć miejsce dwie opcje. Jeżeli system ulegnie awarii przy wyłączonych światłach, wówczas żadne zmiany proceduralne nie muszą być realizowane. Jedyne, co się stanie, to utrata automatycznego, niezależnego systemu ostrzegania. Zarówno operacje ATS jak i procedury załogi lotniczej (w odpowiedzi na zezwolenia ATS) pozostaną bez zmian.</w:t>
      </w:r>
    </w:p>
    <w:p w14:paraId="66104E54" w14:textId="188739BF" w:rsidR="005D55B0" w:rsidRPr="00FE5FBD" w:rsidRDefault="005D55B0" w:rsidP="00195630">
      <w:pPr>
        <w:tabs>
          <w:tab w:val="left" w:pos="1134"/>
        </w:tabs>
        <w:suppressAutoHyphens/>
        <w:autoSpaceDE w:val="0"/>
        <w:ind w:left="1134" w:hanging="567"/>
        <w:rPr>
          <w:szCs w:val="20"/>
        </w:rPr>
      </w:pPr>
      <w:r w:rsidRPr="00FE5FBD">
        <w:rPr>
          <w:szCs w:val="20"/>
        </w:rPr>
        <w:t>(4)</w:t>
      </w:r>
      <w:r w:rsidRPr="00FE5FBD">
        <w:rPr>
          <w:szCs w:val="20"/>
        </w:rPr>
        <w:tab/>
        <w:t>Należy opracować procedury dotyczące okoliczności kiedy system ulega awarii przy włączonych światłach. Ich opracowanie należy do służb ruchu lotniczego oraz operatora lotniska z uwzględnieniem ich indywidualnych uwarunkowań. Należy pamiętać, że załogi lotnicze są instruowane, aby „ZATRZYMAĆ SIĘ” na wszystkich czerwonych światłach. Jeżeli określona część systemu lub też cały system jest wyłączony, sytuacja wraca do scenariusza z wyłączonymi światłami, o którym mowa powyżej.</w:t>
      </w:r>
    </w:p>
    <w:p w14:paraId="4DC8FB4A" w14:textId="7BD36C27" w:rsidR="005D55B0" w:rsidRPr="00FE5FBD" w:rsidRDefault="005D55B0" w:rsidP="00195630">
      <w:pPr>
        <w:tabs>
          <w:tab w:val="left" w:pos="567"/>
        </w:tabs>
        <w:autoSpaceDE w:val="0"/>
        <w:autoSpaceDN w:val="0"/>
        <w:adjustRightInd w:val="0"/>
        <w:ind w:left="567" w:hanging="567"/>
        <w:rPr>
          <w:szCs w:val="20"/>
        </w:rPr>
      </w:pPr>
      <w:r w:rsidRPr="00FE5FBD">
        <w:rPr>
          <w:szCs w:val="20"/>
        </w:rPr>
        <w:t xml:space="preserve">(g) </w:t>
      </w:r>
      <w:r w:rsidRPr="00FE5FBD">
        <w:rPr>
          <w:szCs w:val="20"/>
        </w:rPr>
        <w:tab/>
      </w:r>
      <w:r w:rsidRPr="00FE5FBD">
        <w:t>Lotniska</w:t>
      </w:r>
      <w:r w:rsidRPr="00FE5FBD">
        <w:rPr>
          <w:szCs w:val="20"/>
        </w:rPr>
        <w:t>:</w:t>
      </w:r>
    </w:p>
    <w:p w14:paraId="7ABE4676" w14:textId="4E1DA991" w:rsidR="005D55B0" w:rsidRPr="00FE5FBD" w:rsidRDefault="005D55B0" w:rsidP="00195630">
      <w:pPr>
        <w:tabs>
          <w:tab w:val="left" w:pos="1134"/>
        </w:tabs>
        <w:suppressAutoHyphens/>
        <w:autoSpaceDE w:val="0"/>
        <w:ind w:left="1134" w:hanging="567"/>
        <w:rPr>
          <w:szCs w:val="20"/>
        </w:rPr>
      </w:pPr>
      <w:r w:rsidRPr="00FE5FBD">
        <w:rPr>
          <w:szCs w:val="20"/>
        </w:rPr>
        <w:t>(1)</w:t>
      </w:r>
      <w:r w:rsidRPr="00FE5FBD">
        <w:rPr>
          <w:szCs w:val="20"/>
        </w:rPr>
        <w:tab/>
        <w:t xml:space="preserve">ARIWS nie musi być zapewniany na wszystkich lotniskach. Lotnisko rozważające instalację takiego systemu może chcieć oceniać swoje potrzeby indywidualnie, w zależności od natężenia ruchu lotniczego, geometrii lotniska, naziemnego układu dróg kołowania, itp. Grupy lokalnych użytkowników takie jak lokalne zespoły ds. bezpieczeństwa na drodze startowej (LRST) mogą być pomocne w tym procesie. Ponadto, nie każda droga startowa lub droga kołowania musi być wyposażona w tablicę </w:t>
      </w:r>
      <w:r w:rsidR="00D6029C" w:rsidRPr="00FE5FBD">
        <w:rPr>
          <w:szCs w:val="20"/>
        </w:rPr>
        <w:t xml:space="preserve">świetlną </w:t>
      </w:r>
      <w:r w:rsidRPr="00FE5FBD">
        <w:rPr>
          <w:szCs w:val="20"/>
        </w:rPr>
        <w:t>i nie każda instalacja wymaga kompleksowego naziemnego systemu nadzoru, który przekazuje informacje do komputera wykrywającego konflikty.</w:t>
      </w:r>
    </w:p>
    <w:p w14:paraId="70A20983" w14:textId="53CAD8BA" w:rsidR="005D55B0" w:rsidRPr="00FE5FBD" w:rsidRDefault="005D55B0" w:rsidP="00195630">
      <w:pPr>
        <w:tabs>
          <w:tab w:val="left" w:pos="1134"/>
        </w:tabs>
        <w:suppressAutoHyphens/>
        <w:autoSpaceDE w:val="0"/>
        <w:ind w:left="1134" w:hanging="567"/>
        <w:rPr>
          <w:szCs w:val="20"/>
        </w:rPr>
      </w:pPr>
      <w:r w:rsidRPr="00FE5FBD">
        <w:rPr>
          <w:szCs w:val="20"/>
        </w:rPr>
        <w:t>(2)</w:t>
      </w:r>
      <w:r w:rsidRPr="00FE5FBD">
        <w:rPr>
          <w:szCs w:val="20"/>
        </w:rPr>
        <w:tab/>
        <w:t>Pomimo występowania lokalnych specyficznych wymagań, niektóre podstawowe wymagania systemowe mają zastosowanie do wszystkich systemów ARIWS:</w:t>
      </w:r>
    </w:p>
    <w:p w14:paraId="22CAA811" w14:textId="0E14D243" w:rsidR="00D6029C" w:rsidRPr="00FE5FBD" w:rsidRDefault="00195630" w:rsidP="00EE2E0D">
      <w:pPr>
        <w:tabs>
          <w:tab w:val="left" w:pos="1701"/>
        </w:tabs>
        <w:suppressAutoHyphens/>
        <w:autoSpaceDE w:val="0"/>
        <w:ind w:left="1701" w:hanging="567"/>
        <w:rPr>
          <w:szCs w:val="20"/>
        </w:rPr>
      </w:pPr>
      <w:r w:rsidRPr="00FE5FBD">
        <w:rPr>
          <w:szCs w:val="20"/>
        </w:rPr>
        <w:t xml:space="preserve">(i) </w:t>
      </w:r>
      <w:r w:rsidRPr="00FE5FBD">
        <w:rPr>
          <w:szCs w:val="20"/>
        </w:rPr>
        <w:tab/>
        <w:t xml:space="preserve">system kontroli oraz zasilanie systemu energią elektryczną musi być niezależne od jakiegokolwiek innego systemu stosowanego na lotnisku, zwłaszcza w innych częściach systemu </w:t>
      </w:r>
      <w:r w:rsidR="00D6029C" w:rsidRPr="00FE5FBD">
        <w:rPr>
          <w:szCs w:val="20"/>
        </w:rPr>
        <w:t>świateł</w:t>
      </w:r>
      <w:r w:rsidRPr="00FE5FBD">
        <w:rPr>
          <w:szCs w:val="20"/>
        </w:rPr>
        <w:t>;</w:t>
      </w:r>
    </w:p>
    <w:p w14:paraId="65381F04" w14:textId="5B3F346A" w:rsidR="00195630" w:rsidRPr="00FE5FBD" w:rsidRDefault="00195630" w:rsidP="00EE2E0D">
      <w:pPr>
        <w:tabs>
          <w:tab w:val="left" w:pos="1701"/>
        </w:tabs>
        <w:suppressAutoHyphens/>
        <w:autoSpaceDE w:val="0"/>
        <w:ind w:left="1701" w:hanging="567"/>
        <w:rPr>
          <w:szCs w:val="20"/>
        </w:rPr>
      </w:pPr>
      <w:r w:rsidRPr="00FE5FBD">
        <w:rPr>
          <w:szCs w:val="20"/>
        </w:rPr>
        <w:t xml:space="preserve">(ii) </w:t>
      </w:r>
      <w:r w:rsidRPr="00FE5FBD">
        <w:rPr>
          <w:szCs w:val="20"/>
        </w:rPr>
        <w:tab/>
        <w:t>system musi działać niezależnie od łączności ATS;</w:t>
      </w:r>
    </w:p>
    <w:p w14:paraId="350AB6AB" w14:textId="76FFC5BB" w:rsidR="00195630" w:rsidRPr="00FE5FBD" w:rsidRDefault="00195630" w:rsidP="00EE2E0D">
      <w:pPr>
        <w:tabs>
          <w:tab w:val="left" w:pos="1701"/>
        </w:tabs>
        <w:suppressAutoHyphens/>
        <w:autoSpaceDE w:val="0"/>
        <w:ind w:left="1701" w:hanging="567"/>
        <w:rPr>
          <w:szCs w:val="20"/>
        </w:rPr>
      </w:pPr>
      <w:r w:rsidRPr="00FE5FBD">
        <w:rPr>
          <w:szCs w:val="20"/>
        </w:rPr>
        <w:t xml:space="preserve">(iii) </w:t>
      </w:r>
      <w:r w:rsidRPr="00FE5FBD">
        <w:rPr>
          <w:szCs w:val="20"/>
        </w:rPr>
        <w:tab/>
        <w:t>system musi zapewniać sygnał wzrokowy akceptowany w skali światowej, który jest spójny i natychmiast zrozumiały dla załóg; oraz</w:t>
      </w:r>
    </w:p>
    <w:p w14:paraId="770E8C45" w14:textId="5BA51F51" w:rsidR="00195630" w:rsidRPr="00FE5FBD" w:rsidRDefault="00195630" w:rsidP="00EE2E0D">
      <w:pPr>
        <w:tabs>
          <w:tab w:val="left" w:pos="1701"/>
        </w:tabs>
        <w:suppressAutoHyphens/>
        <w:autoSpaceDE w:val="0"/>
        <w:ind w:left="1701" w:hanging="567"/>
        <w:rPr>
          <w:szCs w:val="20"/>
        </w:rPr>
      </w:pPr>
      <w:r w:rsidRPr="00FE5FBD">
        <w:rPr>
          <w:szCs w:val="20"/>
        </w:rPr>
        <w:t xml:space="preserve">(iv) </w:t>
      </w:r>
      <w:r w:rsidRPr="00FE5FBD">
        <w:rPr>
          <w:szCs w:val="20"/>
        </w:rPr>
        <w:tab/>
        <w:t>należy opracować lokalne procedury na wypadek awarii lub uszkodzenia części lub całego systemu.</w:t>
      </w:r>
    </w:p>
    <w:p w14:paraId="3A3FC9C0" w14:textId="563ACBDB" w:rsidR="00195630" w:rsidRPr="00FE5FBD" w:rsidRDefault="0037139F" w:rsidP="00EE2E0D">
      <w:pPr>
        <w:tabs>
          <w:tab w:val="left" w:pos="567"/>
        </w:tabs>
        <w:autoSpaceDE w:val="0"/>
        <w:autoSpaceDN w:val="0"/>
        <w:adjustRightInd w:val="0"/>
        <w:ind w:left="567" w:hanging="567"/>
        <w:rPr>
          <w:szCs w:val="20"/>
        </w:rPr>
      </w:pPr>
      <w:r w:rsidRPr="00FE5FBD">
        <w:rPr>
          <w:szCs w:val="20"/>
        </w:rPr>
        <w:t xml:space="preserve">(h) </w:t>
      </w:r>
      <w:r w:rsidRPr="00FE5FBD">
        <w:rPr>
          <w:szCs w:val="20"/>
        </w:rPr>
        <w:tab/>
      </w:r>
      <w:r w:rsidR="00195630" w:rsidRPr="00FE5FBD">
        <w:rPr>
          <w:szCs w:val="20"/>
        </w:rPr>
        <w:t>Służby ruchu lotniczego</w:t>
      </w:r>
    </w:p>
    <w:p w14:paraId="12A0BE2A" w14:textId="2353BE36" w:rsidR="00EE2E0D" w:rsidRPr="00FE5FBD" w:rsidRDefault="0037139F" w:rsidP="00985FA8">
      <w:pPr>
        <w:tabs>
          <w:tab w:val="left" w:pos="1134"/>
        </w:tabs>
        <w:suppressAutoHyphens/>
        <w:autoSpaceDE w:val="0"/>
        <w:ind w:left="1134" w:hanging="567"/>
      </w:pPr>
      <w:r w:rsidRPr="00FE5FBD">
        <w:t>(1)</w:t>
      </w:r>
      <w:r w:rsidRPr="00FE5FBD">
        <w:tab/>
      </w:r>
      <w:r w:rsidR="00EE2E0D" w:rsidRPr="00FE5FBD">
        <w:t>ARIWS ma na celu stanowić uzupełnienie normalnych funkcji zapewnianych przez ATS, zapewniając ostrzeżenia dla załóg lotniczych oraz operatorów pojazdów w sytuacji</w:t>
      </w:r>
      <w:r w:rsidR="00D6029C" w:rsidRPr="00FE5FBD">
        <w:t>,</w:t>
      </w:r>
      <w:r w:rsidR="00EE2E0D" w:rsidRPr="00FE5FBD">
        <w:t xml:space="preserve"> gdy konflikt został nieumyślnie stworzony lub przeoczony w trakcie rutynowych operacji lotniskowych. ARIWS zapewnia bezpośrednie ostrzeżenie</w:t>
      </w:r>
      <w:r w:rsidR="00D6029C" w:rsidRPr="00FE5FBD">
        <w:t>,</w:t>
      </w:r>
      <w:r w:rsidR="00EE2E0D" w:rsidRPr="00FE5FBD">
        <w:t xml:space="preserve"> kiedy</w:t>
      </w:r>
      <w:r w:rsidR="00D6029C" w:rsidRPr="00FE5FBD">
        <w:t xml:space="preserve"> na przykład</w:t>
      </w:r>
      <w:r w:rsidR="00EE2E0D" w:rsidRPr="00FE5FBD">
        <w:t xml:space="preserve"> kontrola naziemna lub wieża (lokalna) wydały zgodę na oczekiwanie przed drogą startową ale załoga lotnicza lub operator pojazdu „przeoczyli” część zezwolenia dotyczącą oczekiwania, a wieża wydała zezwolenie na start lub lądowanie na tej samej drodze startow</w:t>
      </w:r>
      <w:r w:rsidR="00D6029C" w:rsidRPr="00FE5FBD">
        <w:t xml:space="preserve">ej i </w:t>
      </w:r>
      <w:r w:rsidR="00EE2E0D" w:rsidRPr="00FE5FBD">
        <w:t>brak potwierdzenia przez załogę lub operatora pojazdu został przeoczony przez kontrolę ruchu lotniczego.</w:t>
      </w:r>
    </w:p>
    <w:p w14:paraId="3BAC10F3" w14:textId="32EC8286" w:rsidR="00EE2E0D" w:rsidRPr="00FE5FBD" w:rsidRDefault="0037139F" w:rsidP="00985FA8">
      <w:pPr>
        <w:tabs>
          <w:tab w:val="left" w:pos="1134"/>
        </w:tabs>
        <w:suppressAutoHyphens/>
        <w:autoSpaceDE w:val="0"/>
        <w:ind w:left="1134" w:hanging="567"/>
      </w:pPr>
      <w:r w:rsidRPr="00FE5FBD">
        <w:t>(</w:t>
      </w:r>
      <w:r w:rsidR="00EE2E0D" w:rsidRPr="00FE5FBD">
        <w:t>2</w:t>
      </w:r>
      <w:r w:rsidRPr="00FE5FBD">
        <w:t>)</w:t>
      </w:r>
      <w:r w:rsidR="00EE2E0D" w:rsidRPr="00FE5FBD">
        <w:tab/>
        <w:t>Jeżeli zezwolenie zostało wydane a załoga zgłasza niezgodność ze względu na „czerwone światła” lub przerywa czynności z powodu „czerwonych świateł” koniecznym jest, aby kontroler ocenił sytuację i w miarę potrzeb przedstawił dodatkowe informacje. Może się również okazać, że system wygenerował fałszywe ostrzeżenie lub że potencjalne nieuprawnione wtargnięcie nadal ma miejsce, niemniej jednak, może to również być prawdziwe ostrzeżenie. W każdym razie, powinny zostać wydane dodatkowe instrukcje i/lub nowe zezwolenie. W sytuacji gdy system uległ awarii, należy wdrożyć procedury jak określono w pkt 21.2.3 oraz 21.2.4 powyżej. W żadnym razie oświetlenie ARIWS nie powinno być wyłączone z użytkowania bez potwierdzenia, że faktycznie, nie ma miejsca żaden konflikt. Warto zauważyć, że miały miejsce również fałszywe ostrzeżenia, zazwyczaj w wyniku kalibracji oprogramowania, ale w każdym wypadku, musi być wykonane potwierdzenie o istnieniu lub nieistnieniu konfliktu.</w:t>
      </w:r>
    </w:p>
    <w:p w14:paraId="5312FCE3" w14:textId="75498F30" w:rsidR="00EE2E0D" w:rsidRPr="00FE5FBD" w:rsidRDefault="0037139F" w:rsidP="00985FA8">
      <w:pPr>
        <w:tabs>
          <w:tab w:val="left" w:pos="1134"/>
        </w:tabs>
        <w:suppressAutoHyphens/>
        <w:autoSpaceDE w:val="0"/>
        <w:ind w:left="1134" w:hanging="567"/>
      </w:pPr>
      <w:r w:rsidRPr="00FE5FBD">
        <w:t xml:space="preserve">(3) </w:t>
      </w:r>
      <w:r w:rsidRPr="00FE5FBD">
        <w:tab/>
      </w:r>
      <w:r w:rsidR="00EE2E0D" w:rsidRPr="00FE5FBD">
        <w:t>Pomimo tego, że wiele instalacji może posiadać funkcje wzrokowych lub dźwiękowych ostrzeżeń dla personelu ATS, to w żadnym razie personel ATS nie ma obowiązku aktywnego monitorowania systemu. Ostrzeżenia takie</w:t>
      </w:r>
      <w:r w:rsidR="00D6029C" w:rsidRPr="00FE5FBD">
        <w:t xml:space="preserve"> mogą pomagać personelowi ATS w </w:t>
      </w:r>
      <w:r w:rsidR="00EE2E0D" w:rsidRPr="00FE5FBD">
        <w:t>szybkiej ocenie konfliktu oraz w przekazaniu odpowiednich dalszych instrukcji, ale system ARIWS nie powinien odgrywać aktywnej roli w normalnym funkcjonowaniu jakiegokolwiek organu ATS.</w:t>
      </w:r>
    </w:p>
    <w:p w14:paraId="1A7C7CAA" w14:textId="56CBC2A5" w:rsidR="00EE2E0D" w:rsidRPr="00FE5FBD" w:rsidRDefault="0037139F" w:rsidP="00985FA8">
      <w:pPr>
        <w:tabs>
          <w:tab w:val="left" w:pos="1134"/>
        </w:tabs>
        <w:suppressAutoHyphens/>
        <w:autoSpaceDE w:val="0"/>
        <w:ind w:left="1134" w:hanging="567"/>
      </w:pPr>
      <w:r w:rsidRPr="00FE5FBD">
        <w:t>(</w:t>
      </w:r>
      <w:r w:rsidR="00EE2E0D" w:rsidRPr="00FE5FBD">
        <w:t>4</w:t>
      </w:r>
      <w:r w:rsidRPr="00FE5FBD">
        <w:t>)</w:t>
      </w:r>
      <w:r w:rsidR="00EE2E0D" w:rsidRPr="00FE5FBD">
        <w:tab/>
        <w:t>Każde lotnisko, na którym zainstalowano system, opracuje procedury w zależności od indywidualnych uwarunkowań. Ponownie należy podkreślić, że w żadnym wypadku nie należy instruować pilotów lub operatorów, aby „przejeżdżali przez czerwone światło”. Jak wskazano powyżej, wykorzystanie lokalnych zespołów ds. bezpieczeństwa na drodze startowej może znacząco pomóc w tym procesie.</w:t>
      </w:r>
    </w:p>
    <w:p w14:paraId="04281E38" w14:textId="48B969B3" w:rsidR="00195630" w:rsidRPr="00FE5FBD" w:rsidRDefault="0037139F" w:rsidP="00195630">
      <w:pPr>
        <w:tabs>
          <w:tab w:val="left" w:pos="567"/>
        </w:tabs>
        <w:autoSpaceDE w:val="0"/>
        <w:autoSpaceDN w:val="0"/>
        <w:adjustRightInd w:val="0"/>
        <w:ind w:left="567" w:hanging="567"/>
        <w:rPr>
          <w:szCs w:val="20"/>
        </w:rPr>
      </w:pPr>
      <w:r w:rsidRPr="00FE5FBD">
        <w:rPr>
          <w:szCs w:val="20"/>
        </w:rPr>
        <w:t xml:space="preserve">(i) </w:t>
      </w:r>
      <w:r w:rsidRPr="00FE5FBD">
        <w:rPr>
          <w:szCs w:val="20"/>
        </w:rPr>
        <w:tab/>
        <w:t>Publikacja informacji</w:t>
      </w:r>
    </w:p>
    <w:p w14:paraId="54F8DF39" w14:textId="3FF0610E" w:rsidR="0037139F" w:rsidRPr="00FE5FBD" w:rsidRDefault="0037139F" w:rsidP="00985FA8">
      <w:pPr>
        <w:tabs>
          <w:tab w:val="left" w:pos="1134"/>
        </w:tabs>
        <w:suppressAutoHyphens/>
        <w:autoSpaceDE w:val="0"/>
        <w:ind w:left="1134" w:hanging="567"/>
      </w:pPr>
      <w:r w:rsidRPr="00FE5FBD">
        <w:t xml:space="preserve">(1) </w:t>
      </w:r>
      <w:r w:rsidRPr="00FE5FBD">
        <w:tab/>
        <w:t>Informacje na temat charakterystyki oraz statusu systemu ARIWS na lotnisku publikowane są w Zbiorze Informacji Lotniczych (AIP), sekcja AD 2.9, a jego status powinien być aktualizowany w miarę potrzeb poprzez komu</w:t>
      </w:r>
      <w:r w:rsidR="00D6029C" w:rsidRPr="00FE5FBD">
        <w:t>nikaty NOTAM lub ATIS zgodnie z </w:t>
      </w:r>
      <w:r w:rsidRPr="00FE5FBD">
        <w:t>Załącznikiem 14</w:t>
      </w:r>
      <w:r w:rsidR="00D6029C" w:rsidRPr="00FE5FBD">
        <w:t xml:space="preserve"> ICAO </w:t>
      </w:r>
      <w:r w:rsidRPr="00FE5FBD">
        <w:t>, Tom I, pkt 2.9.1.</w:t>
      </w:r>
    </w:p>
    <w:p w14:paraId="6A986333" w14:textId="2EA49695" w:rsidR="0037139F" w:rsidRPr="00FE5FBD" w:rsidRDefault="0037139F" w:rsidP="00985FA8">
      <w:pPr>
        <w:tabs>
          <w:tab w:val="left" w:pos="1134"/>
        </w:tabs>
        <w:suppressAutoHyphens/>
        <w:autoSpaceDE w:val="0"/>
        <w:ind w:left="1134" w:hanging="567"/>
      </w:pPr>
      <w:r w:rsidRPr="00FE5FBD">
        <w:t>(2)</w:t>
      </w:r>
      <w:r w:rsidRPr="00FE5FBD">
        <w:tab/>
        <w:t>Operatorzy statków powietrznych powinni zapewnić, że dokumentacja załóg lotniczych obejmuje procedury dotyczące ARIWS oraz odpowiednie informacje z</w:t>
      </w:r>
      <w:r w:rsidR="00D6029C" w:rsidRPr="00FE5FBD">
        <w:t>a</w:t>
      </w:r>
      <w:r w:rsidRPr="00FE5FBD">
        <w:t>wierające wytyczne zgodnie z Załącznikiem 6</w:t>
      </w:r>
      <w:r w:rsidR="00D6029C" w:rsidRPr="00FE5FBD">
        <w:t xml:space="preserve"> ICAO</w:t>
      </w:r>
      <w:r w:rsidRPr="00FE5FBD">
        <w:t>, Część I.</w:t>
      </w:r>
    </w:p>
    <w:p w14:paraId="0A61ABDD" w14:textId="3E98DF0F" w:rsidR="00D61759" w:rsidRPr="00FE5FBD" w:rsidRDefault="0037139F" w:rsidP="00E2149E">
      <w:pPr>
        <w:tabs>
          <w:tab w:val="left" w:pos="1134"/>
        </w:tabs>
        <w:suppressAutoHyphens/>
        <w:autoSpaceDE w:val="0"/>
        <w:ind w:left="1134" w:hanging="567"/>
      </w:pPr>
      <w:r w:rsidRPr="00FE5FBD">
        <w:t>(3)</w:t>
      </w:r>
      <w:r w:rsidRPr="00FE5FBD">
        <w:tab/>
        <w:t>Lotniska mogą zapewnić dodatkowe źródła wytycznych w sprawie operacji oraz procedury dla swojego personelu, operatorów statków powietrznych, ATS oraz dla personelu stron trzecich, którzy mogą mieć do czynienia z ARIWS.</w:t>
      </w:r>
    </w:p>
    <w:p w14:paraId="0B053BD6" w14:textId="77777777" w:rsidR="003F4B5A" w:rsidRPr="009E064B" w:rsidRDefault="003F4B5A" w:rsidP="003F4B5A">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53C34711" w14:textId="77777777" w:rsidR="003F4B5A" w:rsidRPr="009E064B" w:rsidRDefault="003F4B5A" w:rsidP="003F4B5A">
      <w:pPr>
        <w:tabs>
          <w:tab w:val="left" w:pos="1134"/>
        </w:tabs>
        <w:suppressAutoHyphens/>
        <w:autoSpaceDE w:val="0"/>
        <w:rPr>
          <w:szCs w:val="20"/>
        </w:rPr>
      </w:pPr>
    </w:p>
    <w:p w14:paraId="6A33F960" w14:textId="77777777" w:rsidR="00D61759" w:rsidRPr="009E064B" w:rsidRDefault="00D61759" w:rsidP="00195630">
      <w:pPr>
        <w:tabs>
          <w:tab w:val="left" w:pos="567"/>
        </w:tabs>
        <w:autoSpaceDE w:val="0"/>
        <w:autoSpaceDN w:val="0"/>
        <w:adjustRightInd w:val="0"/>
        <w:ind w:left="567" w:hanging="567"/>
        <w:rPr>
          <w:szCs w:val="20"/>
        </w:rPr>
        <w:sectPr w:rsidR="00D61759" w:rsidRPr="009E064B" w:rsidSect="00AE1280">
          <w:headerReference w:type="default" r:id="rId253"/>
          <w:headerReference w:type="first" r:id="rId254"/>
          <w:pgSz w:w="11906" w:h="16840" w:code="9"/>
          <w:pgMar w:top="1701" w:right="1417" w:bottom="1418" w:left="1418" w:header="567" w:footer="454" w:gutter="0"/>
          <w:cols w:space="708"/>
          <w:titlePg/>
          <w:docGrid w:linePitch="360"/>
        </w:sectPr>
      </w:pPr>
    </w:p>
    <w:p w14:paraId="19676C39" w14:textId="77777777" w:rsidR="00C36D76" w:rsidRPr="009E064B" w:rsidRDefault="00C36D76" w:rsidP="00B06A9A">
      <w:pPr>
        <w:rPr>
          <w:rFonts w:cs="TimesNewRomanPS-BoldItalicMT"/>
          <w:bCs/>
          <w:iCs/>
        </w:rPr>
      </w:pPr>
    </w:p>
    <w:p w14:paraId="2FAF7E4E" w14:textId="6DAAA6A4" w:rsidR="00C36D76" w:rsidRPr="009E064B" w:rsidRDefault="00C36D76" w:rsidP="00020EA3">
      <w:pPr>
        <w:pStyle w:val="Nagwek2"/>
      </w:pPr>
      <w:bookmarkStart w:id="1855" w:name="_Toc382725625"/>
      <w:bookmarkStart w:id="1856" w:name="_Toc482886744"/>
      <w:bookmarkStart w:id="1857" w:name="_Toc12533325"/>
      <w:r w:rsidRPr="009E064B">
        <w:t xml:space="preserve">ROZDZIAŁ U </w:t>
      </w:r>
      <w:r w:rsidR="00AB2D76" w:rsidRPr="009E064B">
        <w:t xml:space="preserve">— </w:t>
      </w:r>
      <w:r w:rsidRPr="009E064B">
        <w:t xml:space="preserve">KOLORY NAZIEMNYCH ŚWIATEŁ LOTNICZYCH, OZNAKOWANIA POZIOMEGO, </w:t>
      </w:r>
      <w:r w:rsidR="006B4154" w:rsidRPr="009E064B">
        <w:br/>
      </w:r>
      <w:r w:rsidRPr="009E064B">
        <w:t>ZNAKÓW PIONOWYCH</w:t>
      </w:r>
      <w:r w:rsidR="00AB2D76" w:rsidRPr="009E064B">
        <w:t xml:space="preserve"> </w:t>
      </w:r>
      <w:r w:rsidRPr="009E064B">
        <w:t>I TABLIC</w:t>
      </w:r>
      <w:bookmarkEnd w:id="1855"/>
      <w:bookmarkEnd w:id="1856"/>
      <w:bookmarkEnd w:id="1857"/>
    </w:p>
    <w:p w14:paraId="7A8D47A1" w14:textId="77777777" w:rsidR="00C36D76" w:rsidRPr="009E064B" w:rsidRDefault="00C36D76" w:rsidP="00B06A9A">
      <w:pPr>
        <w:spacing w:after="0"/>
        <w:rPr>
          <w:rFonts w:cs="TimesNewRomanPS-BoldItalicMT"/>
          <w:bCs/>
          <w:iCs/>
        </w:rPr>
      </w:pPr>
    </w:p>
    <w:p w14:paraId="5AAE3D5D" w14:textId="3DC7E8CA" w:rsidR="00C36D76" w:rsidRPr="009E064B" w:rsidRDefault="006F5AD2" w:rsidP="00B06A9A">
      <w:pPr>
        <w:pStyle w:val="Nagwek4"/>
        <w:rPr>
          <w:color w:val="auto"/>
        </w:rPr>
      </w:pPr>
      <w:bookmarkStart w:id="1858" w:name="_Toc482886745"/>
      <w:bookmarkStart w:id="1859" w:name="_Toc12533326"/>
      <w:r w:rsidRPr="009E064B">
        <w:rPr>
          <w:color w:val="auto"/>
        </w:rPr>
        <w:t xml:space="preserve">CS ADR-DSN.U.925     </w:t>
      </w:r>
      <w:r w:rsidR="009B0A08" w:rsidRPr="009E064B">
        <w:rPr>
          <w:color w:val="auto"/>
        </w:rPr>
        <w:t>Wymagania ogólne</w:t>
      </w:r>
      <w:bookmarkEnd w:id="1858"/>
      <w:bookmarkEnd w:id="1859"/>
    </w:p>
    <w:p w14:paraId="2DF32292" w14:textId="7DCAA53B"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974F685" w14:textId="4DAAFC08" w:rsidR="00C36D76" w:rsidRPr="00FE5FBD" w:rsidRDefault="00C36D76" w:rsidP="006F5AD2">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 xml:space="preserve">Specyfikacje zawarte w niniejszym Rozdziale określają granice chromatyczności kolorów, jakie powinny być stosowane dla naziemnych świateł lotniczych, oznakowania poziomego, znaków </w:t>
      </w:r>
      <w:r w:rsidRPr="00FE5FBD">
        <w:rPr>
          <w:szCs w:val="20"/>
        </w:rPr>
        <w:t>pionowych i tablic. Specyfikacje te są zgodne ze specyfikacjami Międzynarodowej Komisji Oświetleniowej (CIE)</w:t>
      </w:r>
      <w:r w:rsidR="006B4154" w:rsidRPr="00FE5FBD">
        <w:rPr>
          <w:szCs w:val="20"/>
        </w:rPr>
        <w:t xml:space="preserve"> z wyjątkiem koloru pomarańczowego na Rysunku U2</w:t>
      </w:r>
      <w:r w:rsidRPr="00FE5FBD">
        <w:rPr>
          <w:szCs w:val="20"/>
        </w:rPr>
        <w:t>.</w:t>
      </w:r>
    </w:p>
    <w:p w14:paraId="47222F12" w14:textId="77777777" w:rsidR="00C36D76" w:rsidRPr="00FE5FBD" w:rsidRDefault="00C36D76" w:rsidP="00B06A9A">
      <w:pPr>
        <w:tabs>
          <w:tab w:val="left" w:pos="0"/>
        </w:tabs>
        <w:ind w:left="567" w:hanging="567"/>
        <w:rPr>
          <w:szCs w:val="20"/>
        </w:rPr>
      </w:pPr>
      <w:r w:rsidRPr="00FE5FBD">
        <w:rPr>
          <w:rFonts w:cs="Times New Roman"/>
          <w:szCs w:val="20"/>
        </w:rPr>
        <w:t xml:space="preserve">(b) </w:t>
      </w:r>
      <w:r w:rsidRPr="00FE5FBD">
        <w:rPr>
          <w:rFonts w:cs="Times New Roman"/>
          <w:szCs w:val="20"/>
        </w:rPr>
        <w:tab/>
      </w:r>
      <w:r w:rsidRPr="00FE5FBD">
        <w:rPr>
          <w:szCs w:val="20"/>
        </w:rPr>
        <w:t>Chromatyczność jest wyrażona z punktu widzenia obserwatora w układzie współrzędnych, przyjętym przez Międzynarodową Komisję Oświetleniową (CIE).</w:t>
      </w:r>
    </w:p>
    <w:p w14:paraId="706F072D" w14:textId="37AE58D8" w:rsidR="006B4154" w:rsidRPr="00FE5FBD" w:rsidRDefault="006B4154" w:rsidP="00B06A9A">
      <w:pPr>
        <w:tabs>
          <w:tab w:val="left" w:pos="0"/>
        </w:tabs>
        <w:ind w:left="567" w:hanging="567"/>
        <w:rPr>
          <w:szCs w:val="20"/>
        </w:rPr>
      </w:pPr>
      <w:r w:rsidRPr="00FE5FBD">
        <w:rPr>
          <w:szCs w:val="20"/>
        </w:rPr>
        <w:t xml:space="preserve">(c) </w:t>
      </w:r>
      <w:r w:rsidRPr="00FE5FBD">
        <w:rPr>
          <w:szCs w:val="20"/>
        </w:rPr>
        <w:tab/>
        <w:t>Chromatyczność świateł stałych (np. LED) opiera się na granicach podanych w normie S 004/E-2001 Międzynarodowej Komisji Oświetleniowej (CIE) za wyjątkiem niebieskiej granicy białego.</w:t>
      </w:r>
    </w:p>
    <w:p w14:paraId="2ED2EC5E" w14:textId="77777777" w:rsidR="005339C0" w:rsidRPr="00FE5FBD" w:rsidRDefault="005339C0" w:rsidP="008960B1">
      <w:pPr>
        <w:pStyle w:val="Tekstpodstawowy"/>
        <w:spacing w:before="60"/>
        <w:ind w:hanging="20"/>
        <w:rPr>
          <w:rFonts w:asciiTheme="minorHAnsi" w:hAnsiTheme="minorHAnsi" w:cstheme="minorHAnsi"/>
          <w:i/>
          <w:sz w:val="16"/>
          <w:szCs w:val="16"/>
        </w:rPr>
      </w:pPr>
      <w:r w:rsidRPr="00FE5FBD">
        <w:rPr>
          <w:rFonts w:asciiTheme="minorHAnsi" w:hAnsiTheme="minorHAnsi" w:cstheme="minorHAnsi"/>
          <w:i/>
          <w:sz w:val="16"/>
          <w:szCs w:val="16"/>
        </w:rPr>
        <w:t>[Wydanie: ADR-DSN/4]</w:t>
      </w:r>
    </w:p>
    <w:p w14:paraId="0574AED1" w14:textId="117F1ECA" w:rsidR="0061499D" w:rsidRPr="009E064B" w:rsidRDefault="006F5AD2" w:rsidP="00133B99">
      <w:pPr>
        <w:pStyle w:val="Nagwek6"/>
      </w:pPr>
      <w:bookmarkStart w:id="1860" w:name="_Toc401059096"/>
      <w:bookmarkStart w:id="1861" w:name="_Toc482886969"/>
      <w:bookmarkStart w:id="1862" w:name="_Toc12533327"/>
      <w:r w:rsidRPr="009E064B">
        <w:t xml:space="preserve">GM1 ADR-DSN.U.925     </w:t>
      </w:r>
      <w:r w:rsidR="009B0A08" w:rsidRPr="009E064B">
        <w:t>Wymagania ogólne</w:t>
      </w:r>
      <w:bookmarkEnd w:id="1860"/>
      <w:bookmarkEnd w:id="1861"/>
      <w:bookmarkEnd w:id="1862"/>
    </w:p>
    <w:p w14:paraId="04F64915" w14:textId="639E5A53"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68634344" w14:textId="77777777" w:rsidR="0061499D" w:rsidRPr="009E064B" w:rsidRDefault="0061499D" w:rsidP="00B06A9A">
      <w:pPr>
        <w:autoSpaceDE w:val="0"/>
        <w:autoSpaceDN w:val="0"/>
        <w:adjustRightInd w:val="0"/>
        <w:spacing w:after="0"/>
        <w:rPr>
          <w:rFonts w:eastAsia="Times New Roman,Italic" w:cs="Times New Roman,Italic"/>
          <w:iCs/>
          <w:szCs w:val="20"/>
        </w:rPr>
      </w:pPr>
      <w:r w:rsidRPr="009E064B">
        <w:rPr>
          <w:rFonts w:eastAsia="Times New Roman,Italic" w:cs="Times New Roman,Italic"/>
          <w:iCs/>
          <w:szCs w:val="20"/>
        </w:rPr>
        <w:t>Nie jest możliwe ustalenie takich charakterystyk kolorów, które wykluczałyby wszelkie możliwości pomyłki. Dla rozpoznania kolorów w sposób wystarczająco pewny, ważne jest, aby natężenie światła odbierane przez oko obserwatora znacznie przekraczało próg postrzegania, aby kolor nie był zbytnio zmieniony przez selektywną absorpcję atmosferyczną oraz aby obserwator posiadał w wystarczającym stopniu zdolność rozróżniania kolorów. Występuje również ryzyko pomylenia kolorów, jeżeli natężenie światła odbierane przez oko jest niezwykle duże, na przykład w przypadku źródła światła o wysokiej intensywności obserwowanego z bliska. Doświadczenia wskazują, że można uzyskać zadowalające rozpoznanie kolorów, jeżeli poświęci się należytą uwagę wymienionym czynnikom.</w:t>
      </w:r>
    </w:p>
    <w:p w14:paraId="1E53AA44" w14:textId="13A7C8D8" w:rsidR="00C36D76" w:rsidRPr="009E064B" w:rsidRDefault="00F2513E" w:rsidP="00B06A9A">
      <w:pPr>
        <w:pStyle w:val="Nagwek4"/>
        <w:rPr>
          <w:color w:val="auto"/>
        </w:rPr>
      </w:pPr>
      <w:bookmarkStart w:id="1863" w:name="_CS_ADR-DSN.U.930_"/>
      <w:bookmarkStart w:id="1864" w:name="_Toc482886746"/>
      <w:bookmarkStart w:id="1865" w:name="_Toc12533328"/>
      <w:bookmarkEnd w:id="1863"/>
      <w:r w:rsidRPr="009E064B">
        <w:rPr>
          <w:color w:val="auto"/>
        </w:rPr>
        <w:t xml:space="preserve">CS ADR-DSN.U.930     </w:t>
      </w:r>
      <w:r w:rsidR="00C36D76" w:rsidRPr="009E064B">
        <w:rPr>
          <w:color w:val="auto"/>
        </w:rPr>
        <w:t>Kolory naziemnych świateł lotniczych</w:t>
      </w:r>
      <w:bookmarkEnd w:id="1864"/>
      <w:bookmarkEnd w:id="1865"/>
    </w:p>
    <w:p w14:paraId="66C6CA68" w14:textId="0DAA093B" w:rsidR="00F2513E" w:rsidRPr="009E064B" w:rsidRDefault="00D63D4F" w:rsidP="00F2513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0AB7C1E8" w14:textId="11D983B4" w:rsidR="00C36D76" w:rsidRPr="00FE5FBD" w:rsidRDefault="00C36D76" w:rsidP="00B06A9A">
      <w:pPr>
        <w:tabs>
          <w:tab w:val="left" w:pos="567"/>
        </w:tabs>
        <w:ind w:left="567" w:hanging="567"/>
        <w:rPr>
          <w:szCs w:val="20"/>
        </w:rPr>
      </w:pPr>
      <w:r w:rsidRPr="00FE5FBD">
        <w:rPr>
          <w:rFonts w:cs="Times New Roman"/>
          <w:szCs w:val="20"/>
        </w:rPr>
        <w:t xml:space="preserve">(a) </w:t>
      </w:r>
      <w:r w:rsidRPr="00FE5FBD">
        <w:rPr>
          <w:rFonts w:cs="Times New Roman"/>
          <w:szCs w:val="20"/>
        </w:rPr>
        <w:tab/>
      </w:r>
      <w:r w:rsidRPr="00FE5FBD">
        <w:rPr>
          <w:szCs w:val="20"/>
        </w:rPr>
        <w:t xml:space="preserve">Chromatyczność naziemnych świateł lotniczych </w:t>
      </w:r>
      <w:r w:rsidR="006B4154" w:rsidRPr="00FE5FBD">
        <w:t xml:space="preserve">posiadających źródło światła typu żarnikowego </w:t>
      </w:r>
      <w:r w:rsidRPr="00FE5FBD">
        <w:rPr>
          <w:szCs w:val="20"/>
        </w:rPr>
        <w:t>powinna zawierać się w następujących granicach:</w:t>
      </w:r>
    </w:p>
    <w:p w14:paraId="46969488" w14:textId="31C6D705" w:rsidR="00C36D76" w:rsidRPr="00FE5FBD" w:rsidRDefault="00C36D76" w:rsidP="00B06A9A">
      <w:pPr>
        <w:pStyle w:val="Akapitzlist"/>
        <w:ind w:left="567"/>
        <w:rPr>
          <w:szCs w:val="20"/>
        </w:rPr>
      </w:pPr>
      <w:r w:rsidRPr="00FE5FBD">
        <w:rPr>
          <w:szCs w:val="20"/>
        </w:rPr>
        <w:t>Równania CIE (patrz Rysunek U-1</w:t>
      </w:r>
      <w:r w:rsidR="006B4154" w:rsidRPr="00FE5FBD">
        <w:rPr>
          <w:szCs w:val="20"/>
        </w:rPr>
        <w:t>A</w:t>
      </w:r>
      <w:r w:rsidRPr="00FE5FBD">
        <w:rPr>
          <w:szCs w:val="20"/>
        </w:rPr>
        <w:t>):</w:t>
      </w:r>
    </w:p>
    <w:p w14:paraId="19CD088A" w14:textId="77777777" w:rsidR="00C36D76" w:rsidRPr="00FE5FBD" w:rsidRDefault="00C36D76" w:rsidP="00B06A9A">
      <w:pPr>
        <w:tabs>
          <w:tab w:val="left" w:pos="1134"/>
        </w:tabs>
        <w:spacing w:before="240" w:after="60"/>
        <w:ind w:left="1134" w:hanging="567"/>
      </w:pPr>
      <w:r w:rsidRPr="00FE5FBD">
        <w:t xml:space="preserve">(1) </w:t>
      </w:r>
      <w:r w:rsidRPr="00FE5FBD">
        <w:tab/>
        <w:t>Czerwony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FE5FBD" w14:paraId="6C7B48F9" w14:textId="77777777" w:rsidTr="00C36D76">
        <w:tc>
          <w:tcPr>
            <w:tcW w:w="2551" w:type="dxa"/>
            <w:tcMar>
              <w:top w:w="28" w:type="dxa"/>
              <w:bottom w:w="28" w:type="dxa"/>
            </w:tcMar>
          </w:tcPr>
          <w:p w14:paraId="69CD5585" w14:textId="77777777" w:rsidR="00C36D76" w:rsidRPr="00FE5FBD" w:rsidRDefault="00C36D76" w:rsidP="00B06A9A">
            <w:pPr>
              <w:spacing w:after="0"/>
              <w:ind w:left="141"/>
            </w:pPr>
            <w:r w:rsidRPr="00FE5FBD">
              <w:t>Granica fioletowego</w:t>
            </w:r>
          </w:p>
        </w:tc>
        <w:tc>
          <w:tcPr>
            <w:tcW w:w="1985" w:type="dxa"/>
            <w:tcMar>
              <w:top w:w="28" w:type="dxa"/>
              <w:bottom w:w="28" w:type="dxa"/>
            </w:tcMar>
          </w:tcPr>
          <w:p w14:paraId="0556C2C9" w14:textId="71DCC4BF" w:rsidR="00C36D76" w:rsidRPr="00FE5FBD" w:rsidRDefault="00C36D76" w:rsidP="00B06A9A">
            <w:pPr>
              <w:spacing w:after="0"/>
            </w:pPr>
            <w:r w:rsidRPr="00FE5FBD">
              <w:t xml:space="preserve">y = 0.980 </w:t>
            </w:r>
            <w:r w:rsidR="00467C7D" w:rsidRPr="00FE5FBD">
              <w:rPr>
                <w:iCs/>
              </w:rPr>
              <w:t>–</w:t>
            </w:r>
            <w:r w:rsidRPr="00FE5FBD">
              <w:t xml:space="preserve"> x</w:t>
            </w:r>
          </w:p>
        </w:tc>
      </w:tr>
      <w:tr w:rsidR="00C36D76" w:rsidRPr="009E064B" w14:paraId="2E06186C" w14:textId="77777777" w:rsidTr="00C36D76">
        <w:tc>
          <w:tcPr>
            <w:tcW w:w="2551" w:type="dxa"/>
            <w:tcMar>
              <w:top w:w="28" w:type="dxa"/>
              <w:bottom w:w="28" w:type="dxa"/>
            </w:tcMar>
          </w:tcPr>
          <w:p w14:paraId="50AB5BE3" w14:textId="77777777" w:rsidR="00C36D76" w:rsidRPr="009E064B" w:rsidRDefault="00C36D76" w:rsidP="00B06A9A">
            <w:pPr>
              <w:spacing w:after="0"/>
              <w:ind w:left="141"/>
            </w:pPr>
            <w:r w:rsidRPr="009E064B">
              <w:t>Granica żółtego</w:t>
            </w:r>
          </w:p>
        </w:tc>
        <w:tc>
          <w:tcPr>
            <w:tcW w:w="1985" w:type="dxa"/>
            <w:tcMar>
              <w:top w:w="28" w:type="dxa"/>
              <w:bottom w:w="28" w:type="dxa"/>
            </w:tcMar>
          </w:tcPr>
          <w:p w14:paraId="58F0EECD" w14:textId="77777777" w:rsidR="00C36D76" w:rsidRPr="009E064B" w:rsidRDefault="00C36D76" w:rsidP="00B06A9A">
            <w:pPr>
              <w:spacing w:after="0"/>
            </w:pPr>
            <w:r w:rsidRPr="009E064B">
              <w:t>y = 0.335</w:t>
            </w:r>
          </w:p>
        </w:tc>
      </w:tr>
      <w:tr w:rsidR="002B42AA" w:rsidRPr="00FE5FBD" w14:paraId="4DADBD6A" w14:textId="77777777" w:rsidTr="008A3991">
        <w:tc>
          <w:tcPr>
            <w:tcW w:w="4536" w:type="dxa"/>
            <w:gridSpan w:val="2"/>
            <w:tcMar>
              <w:top w:w="28" w:type="dxa"/>
              <w:bottom w:w="28" w:type="dxa"/>
            </w:tcMar>
          </w:tcPr>
          <w:p w14:paraId="52A6378B" w14:textId="2522FB18" w:rsidR="006B4154" w:rsidRPr="00FE5FBD" w:rsidRDefault="006B4154" w:rsidP="002B42AA">
            <w:pPr>
              <w:spacing w:after="0"/>
              <w:ind w:left="141"/>
            </w:pPr>
            <w:r w:rsidRPr="00FE5FBD">
              <w:t xml:space="preserve">Uwaga: Patrz </w:t>
            </w:r>
            <w:hyperlink w:anchor="_CS_ADR-DSN.M.645_" w:history="1">
              <w:r w:rsidRPr="00FE5FBD">
                <w:rPr>
                  <w:rStyle w:val="Hipercze"/>
                  <w:color w:val="0000FF"/>
                </w:rPr>
                <w:t>CS ADR-DSN.M.645</w:t>
              </w:r>
            </w:hyperlink>
            <w:r w:rsidRPr="00FE5FBD">
              <w:t xml:space="preserve"> lit. (c) pkt (2)(i)</w:t>
            </w:r>
          </w:p>
        </w:tc>
      </w:tr>
    </w:tbl>
    <w:p w14:paraId="17A334FC" w14:textId="77777777" w:rsidR="00FE5FBD" w:rsidRDefault="00FE5FBD">
      <w:pPr>
        <w:spacing w:after="0"/>
        <w:jc w:val="left"/>
      </w:pPr>
      <w:r>
        <w:br w:type="page"/>
      </w:r>
    </w:p>
    <w:p w14:paraId="3AE3BAEE" w14:textId="303BC095" w:rsidR="00C36D76" w:rsidRPr="009E064B" w:rsidRDefault="00C36D76" w:rsidP="00B06A9A">
      <w:pPr>
        <w:tabs>
          <w:tab w:val="left" w:pos="1134"/>
        </w:tabs>
        <w:spacing w:before="240" w:after="60"/>
        <w:ind w:left="1134" w:hanging="567"/>
      </w:pPr>
      <w:r w:rsidRPr="009E064B">
        <w:t xml:space="preserve">2) </w:t>
      </w:r>
      <w:r w:rsidRPr="009E064B">
        <w:tab/>
        <w:t>Żółty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9E064B" w14:paraId="63AE2858" w14:textId="77777777" w:rsidTr="00C36D76">
        <w:tc>
          <w:tcPr>
            <w:tcW w:w="2551" w:type="dxa"/>
            <w:tcMar>
              <w:top w:w="28" w:type="dxa"/>
              <w:bottom w:w="28" w:type="dxa"/>
            </w:tcMar>
          </w:tcPr>
          <w:p w14:paraId="4D87122E" w14:textId="77777777" w:rsidR="00C36D76" w:rsidRPr="009E064B" w:rsidRDefault="00C36D76" w:rsidP="00B06A9A">
            <w:pPr>
              <w:spacing w:after="0"/>
              <w:ind w:left="141"/>
            </w:pPr>
            <w:r w:rsidRPr="009E064B">
              <w:t>Granica czerwonego</w:t>
            </w:r>
          </w:p>
        </w:tc>
        <w:tc>
          <w:tcPr>
            <w:tcW w:w="1985" w:type="dxa"/>
            <w:tcMar>
              <w:top w:w="28" w:type="dxa"/>
              <w:bottom w:w="28" w:type="dxa"/>
            </w:tcMar>
          </w:tcPr>
          <w:p w14:paraId="51D140C2" w14:textId="77777777" w:rsidR="00C36D76" w:rsidRPr="009E064B" w:rsidRDefault="00C36D76" w:rsidP="00B06A9A">
            <w:pPr>
              <w:spacing w:after="60"/>
            </w:pPr>
            <w:r w:rsidRPr="009E064B">
              <w:t>y = 0.382</w:t>
            </w:r>
          </w:p>
        </w:tc>
      </w:tr>
      <w:tr w:rsidR="00C36D76" w:rsidRPr="009E064B" w14:paraId="7F29C66F" w14:textId="77777777" w:rsidTr="00C36D76">
        <w:tc>
          <w:tcPr>
            <w:tcW w:w="2551" w:type="dxa"/>
            <w:tcMar>
              <w:top w:w="28" w:type="dxa"/>
              <w:bottom w:w="28" w:type="dxa"/>
            </w:tcMar>
          </w:tcPr>
          <w:p w14:paraId="2B4E97F4" w14:textId="77777777" w:rsidR="00C36D76" w:rsidRPr="009E064B" w:rsidRDefault="00C36D76" w:rsidP="00B06A9A">
            <w:pPr>
              <w:spacing w:after="0"/>
              <w:ind w:left="141"/>
            </w:pPr>
            <w:r w:rsidRPr="009E064B">
              <w:t>Granica białego</w:t>
            </w:r>
          </w:p>
        </w:tc>
        <w:tc>
          <w:tcPr>
            <w:tcW w:w="1985" w:type="dxa"/>
            <w:tcMar>
              <w:top w:w="28" w:type="dxa"/>
              <w:bottom w:w="28" w:type="dxa"/>
            </w:tcMar>
          </w:tcPr>
          <w:p w14:paraId="01283945" w14:textId="3D991EEF" w:rsidR="00C36D76" w:rsidRPr="009E064B" w:rsidRDefault="00C36D76" w:rsidP="00B06A9A">
            <w:pPr>
              <w:spacing w:after="60"/>
            </w:pPr>
            <w:r w:rsidRPr="009E064B">
              <w:t xml:space="preserve">y = 0.790 </w:t>
            </w:r>
            <w:r w:rsidR="00467C7D" w:rsidRPr="009E064B">
              <w:rPr>
                <w:iCs/>
              </w:rPr>
              <w:t xml:space="preserve">– </w:t>
            </w:r>
            <w:r w:rsidRPr="009E064B">
              <w:t>0.667x</w:t>
            </w:r>
          </w:p>
        </w:tc>
      </w:tr>
      <w:tr w:rsidR="00C36D76" w:rsidRPr="009E064B" w14:paraId="045B100F" w14:textId="77777777" w:rsidTr="00C36D76">
        <w:tc>
          <w:tcPr>
            <w:tcW w:w="2551" w:type="dxa"/>
            <w:tcMar>
              <w:top w:w="28" w:type="dxa"/>
              <w:bottom w:w="28" w:type="dxa"/>
            </w:tcMar>
          </w:tcPr>
          <w:p w14:paraId="00AE7D46" w14:textId="77777777" w:rsidR="00C36D76" w:rsidRPr="009E064B" w:rsidRDefault="00C36D76" w:rsidP="00B06A9A">
            <w:pPr>
              <w:spacing w:after="0"/>
              <w:ind w:left="141"/>
            </w:pPr>
            <w:r w:rsidRPr="009E064B">
              <w:t>Granica zielonego</w:t>
            </w:r>
          </w:p>
        </w:tc>
        <w:tc>
          <w:tcPr>
            <w:tcW w:w="1985" w:type="dxa"/>
            <w:tcMar>
              <w:top w:w="28" w:type="dxa"/>
              <w:bottom w:w="28" w:type="dxa"/>
            </w:tcMar>
          </w:tcPr>
          <w:p w14:paraId="4108A97E" w14:textId="77777777" w:rsidR="00C36D76" w:rsidRPr="009E064B" w:rsidRDefault="00C36D76" w:rsidP="00B06A9A">
            <w:pPr>
              <w:spacing w:after="60"/>
            </w:pPr>
            <w:r w:rsidRPr="009E064B">
              <w:t>y = x – 0.120</w:t>
            </w:r>
          </w:p>
        </w:tc>
      </w:tr>
    </w:tbl>
    <w:p w14:paraId="3483C0C1" w14:textId="77777777" w:rsidR="00C36D76" w:rsidRPr="009E064B" w:rsidRDefault="00C36D76" w:rsidP="00B06A9A">
      <w:pPr>
        <w:tabs>
          <w:tab w:val="left" w:pos="1134"/>
        </w:tabs>
        <w:spacing w:before="240" w:after="60"/>
        <w:ind w:left="1134" w:hanging="567"/>
      </w:pPr>
      <w:r w:rsidRPr="009E064B">
        <w:t xml:space="preserve">(3) </w:t>
      </w:r>
      <w:r w:rsidRPr="009E064B">
        <w:tab/>
        <w:t>Zielony</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9E064B" w14:paraId="32BB1C5A" w14:textId="77777777" w:rsidTr="00C36D76">
        <w:tc>
          <w:tcPr>
            <w:tcW w:w="2551" w:type="dxa"/>
            <w:tcMar>
              <w:top w:w="28" w:type="dxa"/>
              <w:bottom w:w="28" w:type="dxa"/>
            </w:tcMar>
          </w:tcPr>
          <w:p w14:paraId="3D867385" w14:textId="77777777" w:rsidR="00C36D76" w:rsidRPr="009E064B" w:rsidRDefault="00C36D76" w:rsidP="00B06A9A">
            <w:pPr>
              <w:spacing w:after="0"/>
              <w:ind w:left="141"/>
            </w:pPr>
            <w:r w:rsidRPr="009E064B">
              <w:t>Granica żółtego</w:t>
            </w:r>
          </w:p>
        </w:tc>
        <w:tc>
          <w:tcPr>
            <w:tcW w:w="1985" w:type="dxa"/>
            <w:tcMar>
              <w:top w:w="28" w:type="dxa"/>
              <w:bottom w:w="28" w:type="dxa"/>
            </w:tcMar>
          </w:tcPr>
          <w:p w14:paraId="6A0A9320" w14:textId="77777777" w:rsidR="00C36D76" w:rsidRPr="009E064B" w:rsidRDefault="00C36D76" w:rsidP="00B06A9A">
            <w:pPr>
              <w:spacing w:after="60"/>
            </w:pPr>
            <w:r w:rsidRPr="009E064B">
              <w:t>x = 0.360 – 0.080y</w:t>
            </w:r>
          </w:p>
        </w:tc>
      </w:tr>
      <w:tr w:rsidR="00C36D76" w:rsidRPr="009E064B" w14:paraId="0AD8DCEA" w14:textId="77777777" w:rsidTr="00C36D76">
        <w:tc>
          <w:tcPr>
            <w:tcW w:w="2551" w:type="dxa"/>
            <w:tcMar>
              <w:top w:w="28" w:type="dxa"/>
              <w:bottom w:w="28" w:type="dxa"/>
            </w:tcMar>
          </w:tcPr>
          <w:p w14:paraId="4F3B677C" w14:textId="77777777" w:rsidR="00C36D76" w:rsidRPr="009E064B" w:rsidRDefault="00C36D76" w:rsidP="00B06A9A">
            <w:pPr>
              <w:spacing w:after="0"/>
              <w:ind w:left="141"/>
            </w:pPr>
            <w:r w:rsidRPr="009E064B">
              <w:t>Granica białego</w:t>
            </w:r>
          </w:p>
        </w:tc>
        <w:tc>
          <w:tcPr>
            <w:tcW w:w="1985" w:type="dxa"/>
            <w:tcMar>
              <w:top w:w="28" w:type="dxa"/>
              <w:bottom w:w="28" w:type="dxa"/>
            </w:tcMar>
          </w:tcPr>
          <w:p w14:paraId="34FDE221" w14:textId="77777777" w:rsidR="00C36D76" w:rsidRPr="009E064B" w:rsidRDefault="00C36D76" w:rsidP="00B06A9A">
            <w:pPr>
              <w:spacing w:after="60"/>
            </w:pPr>
            <w:r w:rsidRPr="009E064B">
              <w:t>x = 0.650y</w:t>
            </w:r>
          </w:p>
        </w:tc>
      </w:tr>
      <w:tr w:rsidR="00C36D76" w:rsidRPr="009E064B" w14:paraId="553A109C" w14:textId="77777777" w:rsidTr="00C36D76">
        <w:tc>
          <w:tcPr>
            <w:tcW w:w="2551" w:type="dxa"/>
            <w:tcMar>
              <w:top w:w="28" w:type="dxa"/>
              <w:bottom w:w="28" w:type="dxa"/>
            </w:tcMar>
          </w:tcPr>
          <w:p w14:paraId="3C9FB714" w14:textId="77777777" w:rsidR="00C36D76" w:rsidRPr="009E064B" w:rsidRDefault="00C36D76" w:rsidP="00B06A9A">
            <w:pPr>
              <w:spacing w:after="0"/>
              <w:ind w:left="141"/>
            </w:pPr>
            <w:r w:rsidRPr="009E064B">
              <w:t>Granica niebieskiego</w:t>
            </w:r>
          </w:p>
        </w:tc>
        <w:tc>
          <w:tcPr>
            <w:tcW w:w="1985" w:type="dxa"/>
            <w:tcMar>
              <w:top w:w="28" w:type="dxa"/>
              <w:bottom w:w="28" w:type="dxa"/>
            </w:tcMar>
          </w:tcPr>
          <w:p w14:paraId="563F4B56" w14:textId="77777777" w:rsidR="00C36D76" w:rsidRPr="009E064B" w:rsidRDefault="00C36D76" w:rsidP="00B06A9A">
            <w:pPr>
              <w:spacing w:after="60"/>
            </w:pPr>
            <w:r w:rsidRPr="009E064B">
              <w:t>y = 0.390 –</w:t>
            </w:r>
            <w:r w:rsidRPr="009E064B">
              <w:rPr>
                <w:i/>
              </w:rPr>
              <w:t xml:space="preserve"> </w:t>
            </w:r>
            <w:r w:rsidRPr="009E064B">
              <w:t>0.171x</w:t>
            </w:r>
          </w:p>
        </w:tc>
      </w:tr>
    </w:tbl>
    <w:p w14:paraId="2F9C1FDE" w14:textId="77777777" w:rsidR="00C36D76" w:rsidRPr="009E064B" w:rsidRDefault="00C36D76" w:rsidP="00B06A9A">
      <w:pPr>
        <w:tabs>
          <w:tab w:val="left" w:pos="1134"/>
        </w:tabs>
        <w:spacing w:before="240" w:after="60"/>
        <w:ind w:left="1134" w:hanging="567"/>
      </w:pPr>
      <w:r w:rsidRPr="009E064B">
        <w:t xml:space="preserve">(4) </w:t>
      </w:r>
      <w:r w:rsidRPr="009E064B">
        <w:tab/>
        <w:t>Niebieski</w:t>
      </w:r>
    </w:p>
    <w:tbl>
      <w:tblPr>
        <w:tblW w:w="0" w:type="auto"/>
        <w:tblInd w:w="993" w:type="dxa"/>
        <w:tblCellMar>
          <w:left w:w="0" w:type="dxa"/>
          <w:right w:w="0" w:type="dxa"/>
        </w:tblCellMar>
        <w:tblLook w:val="01E0" w:firstRow="1" w:lastRow="1" w:firstColumn="1" w:lastColumn="1" w:noHBand="0" w:noVBand="0"/>
      </w:tblPr>
      <w:tblGrid>
        <w:gridCol w:w="2551"/>
        <w:gridCol w:w="1985"/>
      </w:tblGrid>
      <w:tr w:rsidR="00C36D76" w:rsidRPr="009E064B" w14:paraId="265E11F3" w14:textId="77777777" w:rsidTr="00C36D76">
        <w:tc>
          <w:tcPr>
            <w:tcW w:w="2551" w:type="dxa"/>
            <w:tcMar>
              <w:top w:w="28" w:type="dxa"/>
              <w:bottom w:w="28" w:type="dxa"/>
            </w:tcMar>
          </w:tcPr>
          <w:p w14:paraId="137F5068" w14:textId="77777777" w:rsidR="00C36D76" w:rsidRPr="009E064B" w:rsidRDefault="00C36D76" w:rsidP="00B06A9A">
            <w:pPr>
              <w:spacing w:after="0"/>
              <w:ind w:left="141"/>
            </w:pPr>
            <w:r w:rsidRPr="009E064B">
              <w:t>Granica zielonego</w:t>
            </w:r>
          </w:p>
        </w:tc>
        <w:tc>
          <w:tcPr>
            <w:tcW w:w="1985" w:type="dxa"/>
            <w:tcMar>
              <w:top w:w="28" w:type="dxa"/>
              <w:bottom w:w="28" w:type="dxa"/>
            </w:tcMar>
          </w:tcPr>
          <w:p w14:paraId="163C6792" w14:textId="77777777" w:rsidR="00C36D76" w:rsidRPr="009E064B" w:rsidRDefault="00C36D76" w:rsidP="00B06A9A">
            <w:pPr>
              <w:spacing w:after="60"/>
            </w:pPr>
            <w:r w:rsidRPr="009E064B">
              <w:t>y = 0.805x + 0.065</w:t>
            </w:r>
          </w:p>
        </w:tc>
      </w:tr>
      <w:tr w:rsidR="00C36D76" w:rsidRPr="009E064B" w14:paraId="7AC36B0F" w14:textId="77777777" w:rsidTr="00C36D76">
        <w:tc>
          <w:tcPr>
            <w:tcW w:w="2551" w:type="dxa"/>
            <w:tcMar>
              <w:top w:w="28" w:type="dxa"/>
              <w:bottom w:w="28" w:type="dxa"/>
            </w:tcMar>
          </w:tcPr>
          <w:p w14:paraId="01E35CD1" w14:textId="77777777" w:rsidR="00C36D76" w:rsidRPr="009E064B" w:rsidRDefault="00C36D76" w:rsidP="00B06A9A">
            <w:pPr>
              <w:spacing w:after="0"/>
              <w:ind w:left="141"/>
            </w:pPr>
            <w:r w:rsidRPr="009E064B">
              <w:t>Granica białego</w:t>
            </w:r>
          </w:p>
        </w:tc>
        <w:tc>
          <w:tcPr>
            <w:tcW w:w="1985" w:type="dxa"/>
            <w:tcMar>
              <w:top w:w="28" w:type="dxa"/>
              <w:bottom w:w="28" w:type="dxa"/>
            </w:tcMar>
          </w:tcPr>
          <w:p w14:paraId="0A6C609F" w14:textId="77777777" w:rsidR="00C36D76" w:rsidRPr="009E064B" w:rsidRDefault="00C36D76" w:rsidP="00B06A9A">
            <w:pPr>
              <w:spacing w:after="60"/>
            </w:pPr>
            <w:r w:rsidRPr="009E064B">
              <w:t>y = 0.400 –</w:t>
            </w:r>
            <w:r w:rsidRPr="009E064B">
              <w:rPr>
                <w:i/>
              </w:rPr>
              <w:t xml:space="preserve"> </w:t>
            </w:r>
            <w:r w:rsidRPr="009E064B">
              <w:t>x</w:t>
            </w:r>
          </w:p>
        </w:tc>
      </w:tr>
      <w:tr w:rsidR="00C36D76" w:rsidRPr="009E064B" w14:paraId="30CDBD1F" w14:textId="77777777" w:rsidTr="00C36D76">
        <w:tc>
          <w:tcPr>
            <w:tcW w:w="2551" w:type="dxa"/>
            <w:tcMar>
              <w:top w:w="28" w:type="dxa"/>
              <w:bottom w:w="28" w:type="dxa"/>
            </w:tcMar>
          </w:tcPr>
          <w:p w14:paraId="35EF113B" w14:textId="77777777" w:rsidR="00C36D76" w:rsidRPr="009E064B" w:rsidRDefault="00C36D76" w:rsidP="00B06A9A">
            <w:pPr>
              <w:spacing w:after="0"/>
              <w:ind w:left="141"/>
            </w:pPr>
            <w:r w:rsidRPr="009E064B">
              <w:t>Granica fioletowego</w:t>
            </w:r>
          </w:p>
        </w:tc>
        <w:tc>
          <w:tcPr>
            <w:tcW w:w="1985" w:type="dxa"/>
            <w:tcMar>
              <w:top w:w="28" w:type="dxa"/>
              <w:bottom w:w="28" w:type="dxa"/>
            </w:tcMar>
          </w:tcPr>
          <w:p w14:paraId="2F74D9A1" w14:textId="77777777" w:rsidR="00C36D76" w:rsidRPr="009E064B" w:rsidRDefault="00C36D76" w:rsidP="00B06A9A">
            <w:pPr>
              <w:spacing w:after="60"/>
            </w:pPr>
            <w:r w:rsidRPr="009E064B">
              <w:t>x = 0.600y + 0.133</w:t>
            </w:r>
          </w:p>
        </w:tc>
      </w:tr>
    </w:tbl>
    <w:p w14:paraId="4052D665" w14:textId="77777777" w:rsidR="00C36D76" w:rsidRPr="00FE5FBD" w:rsidRDefault="00C36D76" w:rsidP="00B06A9A">
      <w:pPr>
        <w:tabs>
          <w:tab w:val="left" w:pos="1134"/>
        </w:tabs>
        <w:spacing w:before="240" w:after="60"/>
        <w:ind w:left="1134" w:hanging="567"/>
      </w:pPr>
      <w:r w:rsidRPr="00FE5FBD">
        <w:t xml:space="preserve">(5) </w:t>
      </w:r>
      <w:r w:rsidRPr="00FE5FBD">
        <w:tab/>
        <w:t>Biały</w:t>
      </w:r>
    </w:p>
    <w:tbl>
      <w:tblPr>
        <w:tblW w:w="0" w:type="auto"/>
        <w:tblInd w:w="1134" w:type="dxa"/>
        <w:tblCellMar>
          <w:left w:w="0" w:type="dxa"/>
          <w:right w:w="0" w:type="dxa"/>
        </w:tblCellMar>
        <w:tblLook w:val="01E0" w:firstRow="1" w:lastRow="1" w:firstColumn="1" w:lastColumn="1" w:noHBand="0" w:noVBand="0"/>
      </w:tblPr>
      <w:tblGrid>
        <w:gridCol w:w="2410"/>
        <w:gridCol w:w="4820"/>
      </w:tblGrid>
      <w:tr w:rsidR="00C36D76" w:rsidRPr="00FE5FBD" w14:paraId="362D1382" w14:textId="77777777" w:rsidTr="00EE2E0D">
        <w:tc>
          <w:tcPr>
            <w:tcW w:w="2410" w:type="dxa"/>
            <w:tcMar>
              <w:top w:w="28" w:type="dxa"/>
              <w:bottom w:w="28" w:type="dxa"/>
            </w:tcMar>
          </w:tcPr>
          <w:p w14:paraId="44F7C6F8" w14:textId="77777777" w:rsidR="00C36D76" w:rsidRPr="00FE5FBD" w:rsidRDefault="00C36D76" w:rsidP="00B06A9A">
            <w:pPr>
              <w:spacing w:after="60"/>
            </w:pPr>
            <w:r w:rsidRPr="00FE5FBD">
              <w:t>Granica żółtego</w:t>
            </w:r>
          </w:p>
        </w:tc>
        <w:tc>
          <w:tcPr>
            <w:tcW w:w="4820" w:type="dxa"/>
            <w:tcMar>
              <w:top w:w="28" w:type="dxa"/>
              <w:bottom w:w="28" w:type="dxa"/>
            </w:tcMar>
          </w:tcPr>
          <w:p w14:paraId="7098EF9B" w14:textId="77777777" w:rsidR="00C36D76" w:rsidRPr="00FE5FBD" w:rsidRDefault="00C36D76" w:rsidP="00B06A9A">
            <w:pPr>
              <w:spacing w:after="60"/>
            </w:pPr>
            <w:r w:rsidRPr="00FE5FBD">
              <w:t>x = 0.500</w:t>
            </w:r>
          </w:p>
        </w:tc>
      </w:tr>
      <w:tr w:rsidR="00C36D76" w:rsidRPr="00FE5FBD" w14:paraId="54B5516B" w14:textId="77777777" w:rsidTr="00EE2E0D">
        <w:tc>
          <w:tcPr>
            <w:tcW w:w="2410" w:type="dxa"/>
            <w:tcMar>
              <w:top w:w="28" w:type="dxa"/>
              <w:bottom w:w="28" w:type="dxa"/>
            </w:tcMar>
          </w:tcPr>
          <w:p w14:paraId="7A5221FD" w14:textId="77777777" w:rsidR="00C36D76" w:rsidRPr="00FE5FBD" w:rsidRDefault="00C36D76" w:rsidP="00B06A9A">
            <w:pPr>
              <w:spacing w:after="60"/>
            </w:pPr>
            <w:r w:rsidRPr="00FE5FBD">
              <w:t>Granica niebieskiego</w:t>
            </w:r>
          </w:p>
        </w:tc>
        <w:tc>
          <w:tcPr>
            <w:tcW w:w="4820" w:type="dxa"/>
            <w:tcMar>
              <w:top w:w="28" w:type="dxa"/>
              <w:bottom w:w="28" w:type="dxa"/>
            </w:tcMar>
          </w:tcPr>
          <w:p w14:paraId="3BEED6DB" w14:textId="77777777" w:rsidR="00C36D76" w:rsidRPr="00FE5FBD" w:rsidRDefault="00C36D76" w:rsidP="00B06A9A">
            <w:pPr>
              <w:spacing w:after="60"/>
            </w:pPr>
            <w:r w:rsidRPr="00FE5FBD">
              <w:t>x = 0.285</w:t>
            </w:r>
          </w:p>
        </w:tc>
      </w:tr>
      <w:tr w:rsidR="00C36D76" w:rsidRPr="00FE5FBD" w14:paraId="3FBDB9B5" w14:textId="77777777" w:rsidTr="00EE2E0D">
        <w:tc>
          <w:tcPr>
            <w:tcW w:w="2410" w:type="dxa"/>
            <w:tcMar>
              <w:top w:w="28" w:type="dxa"/>
              <w:bottom w:w="28" w:type="dxa"/>
            </w:tcMar>
          </w:tcPr>
          <w:p w14:paraId="4B01691C" w14:textId="77777777" w:rsidR="00C36D76" w:rsidRPr="00FE5FBD" w:rsidRDefault="00C36D76" w:rsidP="00B06A9A">
            <w:r w:rsidRPr="00FE5FBD">
              <w:t>Granica zielonego</w:t>
            </w:r>
          </w:p>
        </w:tc>
        <w:tc>
          <w:tcPr>
            <w:tcW w:w="4820" w:type="dxa"/>
            <w:tcMar>
              <w:top w:w="28" w:type="dxa"/>
              <w:bottom w:w="28" w:type="dxa"/>
            </w:tcMar>
          </w:tcPr>
          <w:p w14:paraId="102A3EF3" w14:textId="61BCBE09" w:rsidR="00C36D76" w:rsidRPr="00FE5FBD" w:rsidRDefault="00C36D76" w:rsidP="00B06A9A">
            <w:r w:rsidRPr="00FE5FBD">
              <w:t>y = 0.440</w:t>
            </w:r>
            <w:r w:rsidR="00CC15D6" w:rsidRPr="00FE5FBD">
              <w:t xml:space="preserve"> oraz y = 0.150 + 0.640x</w:t>
            </w:r>
          </w:p>
        </w:tc>
      </w:tr>
      <w:tr w:rsidR="00C36D76" w:rsidRPr="00FE5FBD" w14:paraId="3F0263D4" w14:textId="77777777" w:rsidTr="00EE2E0D">
        <w:tc>
          <w:tcPr>
            <w:tcW w:w="2410" w:type="dxa"/>
            <w:tcMar>
              <w:top w:w="28" w:type="dxa"/>
              <w:bottom w:w="28" w:type="dxa"/>
            </w:tcMar>
          </w:tcPr>
          <w:p w14:paraId="7DC5E51E" w14:textId="77777777" w:rsidR="00C36D76" w:rsidRPr="00FE5FBD" w:rsidRDefault="00C36D76" w:rsidP="00B06A9A">
            <w:r w:rsidRPr="00FE5FBD">
              <w:t>Granica fioletowego</w:t>
            </w:r>
          </w:p>
        </w:tc>
        <w:tc>
          <w:tcPr>
            <w:tcW w:w="4820" w:type="dxa"/>
            <w:tcMar>
              <w:top w:w="28" w:type="dxa"/>
              <w:bottom w:w="28" w:type="dxa"/>
            </w:tcMar>
          </w:tcPr>
          <w:p w14:paraId="2BF3B20D" w14:textId="42CC7833" w:rsidR="00C36D76" w:rsidRPr="00FE5FBD" w:rsidRDefault="00C36D76" w:rsidP="00B06A9A">
            <w:r w:rsidRPr="00FE5FBD">
              <w:t>y = 0.050 + 0.750x</w:t>
            </w:r>
            <w:r w:rsidR="00CC15D6" w:rsidRPr="00FE5FBD">
              <w:t xml:space="preserve"> oraz y = 0.382</w:t>
            </w:r>
          </w:p>
        </w:tc>
      </w:tr>
    </w:tbl>
    <w:p w14:paraId="2FF8B803" w14:textId="77777777" w:rsidR="00C36D76" w:rsidRPr="00FE5FBD" w:rsidRDefault="00C36D76" w:rsidP="00B06A9A">
      <w:pPr>
        <w:tabs>
          <w:tab w:val="left" w:pos="1134"/>
        </w:tabs>
        <w:spacing w:before="240" w:after="60"/>
        <w:ind w:left="1134" w:hanging="567"/>
      </w:pPr>
      <w:r w:rsidRPr="00FE5FBD">
        <w:t xml:space="preserve">(6) </w:t>
      </w:r>
      <w:r w:rsidRPr="00FE5FBD">
        <w:tab/>
        <w:t>Biały zmienny</w:t>
      </w:r>
    </w:p>
    <w:tbl>
      <w:tblPr>
        <w:tblW w:w="0" w:type="auto"/>
        <w:tblInd w:w="1134" w:type="dxa"/>
        <w:tblCellMar>
          <w:left w:w="0" w:type="dxa"/>
          <w:right w:w="0" w:type="dxa"/>
        </w:tblCellMar>
        <w:tblLook w:val="01E0" w:firstRow="1" w:lastRow="1" w:firstColumn="1" w:lastColumn="1" w:noHBand="0" w:noVBand="0"/>
      </w:tblPr>
      <w:tblGrid>
        <w:gridCol w:w="2410"/>
        <w:gridCol w:w="4536"/>
      </w:tblGrid>
      <w:tr w:rsidR="00C36D76" w:rsidRPr="00FE5FBD" w14:paraId="526B7884" w14:textId="77777777" w:rsidTr="00EE2E0D">
        <w:tc>
          <w:tcPr>
            <w:tcW w:w="2410" w:type="dxa"/>
            <w:tcMar>
              <w:top w:w="28" w:type="dxa"/>
              <w:bottom w:w="28" w:type="dxa"/>
            </w:tcMar>
          </w:tcPr>
          <w:p w14:paraId="73B821B4" w14:textId="77777777" w:rsidR="00C36D76" w:rsidRPr="00FE5FBD" w:rsidRDefault="00C36D76" w:rsidP="00B06A9A">
            <w:pPr>
              <w:spacing w:after="60"/>
            </w:pPr>
            <w:r w:rsidRPr="00FE5FBD">
              <w:t>Granica żółtego</w:t>
            </w:r>
          </w:p>
        </w:tc>
        <w:tc>
          <w:tcPr>
            <w:tcW w:w="4536" w:type="dxa"/>
            <w:tcMar>
              <w:top w:w="28" w:type="dxa"/>
              <w:bottom w:w="28" w:type="dxa"/>
            </w:tcMar>
          </w:tcPr>
          <w:p w14:paraId="79F1F5B1" w14:textId="6DB538D3" w:rsidR="00C36D76" w:rsidRPr="00FE5FBD" w:rsidRDefault="00C36D76" w:rsidP="00B06A9A">
            <w:pPr>
              <w:spacing w:after="60"/>
            </w:pPr>
            <w:r w:rsidRPr="00FE5FBD">
              <w:t>x = 0.255 + 0.750y</w:t>
            </w:r>
            <w:r w:rsidR="00CC15D6" w:rsidRPr="00FE5FBD">
              <w:t xml:space="preserve"> oraz</w:t>
            </w:r>
            <w:r w:rsidR="008A3991" w:rsidRPr="00FE5FBD">
              <w:t xml:space="preserve"> y = 1.185 </w:t>
            </w:r>
            <w:r w:rsidR="00467C7D" w:rsidRPr="00FE5FBD">
              <w:rPr>
                <w:iCs/>
              </w:rPr>
              <w:t>–</w:t>
            </w:r>
            <w:r w:rsidR="008A3991" w:rsidRPr="00FE5FBD">
              <w:t xml:space="preserve"> 1.500y</w:t>
            </w:r>
          </w:p>
        </w:tc>
      </w:tr>
      <w:tr w:rsidR="00C36D76" w:rsidRPr="00FE5FBD" w14:paraId="6F39D843" w14:textId="77777777" w:rsidTr="00EE2E0D">
        <w:tc>
          <w:tcPr>
            <w:tcW w:w="2410" w:type="dxa"/>
            <w:tcMar>
              <w:top w:w="28" w:type="dxa"/>
              <w:bottom w:w="28" w:type="dxa"/>
            </w:tcMar>
          </w:tcPr>
          <w:p w14:paraId="4BECA429" w14:textId="77777777" w:rsidR="00C36D76" w:rsidRPr="00FE5FBD" w:rsidRDefault="00C36D76" w:rsidP="00B06A9A">
            <w:pPr>
              <w:spacing w:after="60"/>
            </w:pPr>
            <w:r w:rsidRPr="00FE5FBD">
              <w:t>Granica niebieskiego</w:t>
            </w:r>
          </w:p>
        </w:tc>
        <w:tc>
          <w:tcPr>
            <w:tcW w:w="4536" w:type="dxa"/>
            <w:tcMar>
              <w:top w:w="28" w:type="dxa"/>
              <w:bottom w:w="28" w:type="dxa"/>
            </w:tcMar>
          </w:tcPr>
          <w:p w14:paraId="5062894B" w14:textId="77777777" w:rsidR="00C36D76" w:rsidRPr="00FE5FBD" w:rsidRDefault="00C36D76" w:rsidP="00B06A9A">
            <w:pPr>
              <w:spacing w:after="60"/>
            </w:pPr>
            <w:r w:rsidRPr="00FE5FBD">
              <w:t>x = 0.285</w:t>
            </w:r>
          </w:p>
        </w:tc>
      </w:tr>
      <w:tr w:rsidR="00C36D76" w:rsidRPr="00FE5FBD" w14:paraId="7C309D8E" w14:textId="77777777" w:rsidTr="00EE2E0D">
        <w:tc>
          <w:tcPr>
            <w:tcW w:w="2410" w:type="dxa"/>
            <w:tcMar>
              <w:top w:w="28" w:type="dxa"/>
              <w:bottom w:w="28" w:type="dxa"/>
            </w:tcMar>
          </w:tcPr>
          <w:p w14:paraId="192A7043" w14:textId="77777777" w:rsidR="00C36D76" w:rsidRPr="00FE5FBD" w:rsidRDefault="00C36D76" w:rsidP="00B06A9A">
            <w:r w:rsidRPr="00FE5FBD">
              <w:t>Granica zielonego</w:t>
            </w:r>
          </w:p>
        </w:tc>
        <w:tc>
          <w:tcPr>
            <w:tcW w:w="4536" w:type="dxa"/>
            <w:tcMar>
              <w:top w:w="28" w:type="dxa"/>
              <w:bottom w:w="28" w:type="dxa"/>
            </w:tcMar>
          </w:tcPr>
          <w:p w14:paraId="0C217FCD" w14:textId="57158BF6" w:rsidR="00C36D76" w:rsidRPr="00FE5FBD" w:rsidRDefault="00C36D76" w:rsidP="00B06A9A">
            <w:r w:rsidRPr="00FE5FBD">
              <w:t>y = 0.440</w:t>
            </w:r>
            <w:r w:rsidR="008A3991" w:rsidRPr="00FE5FBD">
              <w:t xml:space="preserve"> oraz y = 0.150 + 0.640x</w:t>
            </w:r>
          </w:p>
        </w:tc>
      </w:tr>
      <w:tr w:rsidR="00C36D76" w:rsidRPr="00FE5FBD" w14:paraId="73B0F3AA" w14:textId="77777777" w:rsidTr="00EE2E0D">
        <w:tc>
          <w:tcPr>
            <w:tcW w:w="2410" w:type="dxa"/>
            <w:tcMar>
              <w:top w:w="28" w:type="dxa"/>
              <w:bottom w:w="28" w:type="dxa"/>
            </w:tcMar>
          </w:tcPr>
          <w:p w14:paraId="282A1ECD" w14:textId="77777777" w:rsidR="00C36D76" w:rsidRPr="00FE5FBD" w:rsidRDefault="00C36D76" w:rsidP="00B06A9A">
            <w:r w:rsidRPr="00FE5FBD">
              <w:t>Granica fioletowego</w:t>
            </w:r>
          </w:p>
        </w:tc>
        <w:tc>
          <w:tcPr>
            <w:tcW w:w="4536" w:type="dxa"/>
            <w:tcMar>
              <w:top w:w="28" w:type="dxa"/>
              <w:bottom w:w="28" w:type="dxa"/>
            </w:tcMar>
          </w:tcPr>
          <w:p w14:paraId="72EC70D1" w14:textId="2943734A" w:rsidR="00C36D76" w:rsidRPr="00FE5FBD" w:rsidRDefault="00C36D76" w:rsidP="00B06A9A">
            <w:r w:rsidRPr="00FE5FBD">
              <w:t>y = 0.050 + 0.750x</w:t>
            </w:r>
            <w:r w:rsidR="00F36771" w:rsidRPr="00FE5FBD">
              <w:t xml:space="preserve"> oraz y = 0.382</w:t>
            </w:r>
          </w:p>
        </w:tc>
      </w:tr>
    </w:tbl>
    <w:p w14:paraId="2DEEFEDF" w14:textId="75B8DD94" w:rsidR="00C36D76" w:rsidRPr="00FE5FBD" w:rsidRDefault="00C36D76" w:rsidP="00B06A9A">
      <w:pPr>
        <w:tabs>
          <w:tab w:val="left" w:pos="567"/>
        </w:tabs>
        <w:spacing w:before="240"/>
        <w:ind w:left="567" w:hanging="567"/>
        <w:rPr>
          <w:szCs w:val="20"/>
        </w:rPr>
      </w:pPr>
      <w:r w:rsidRPr="00FE5FBD">
        <w:rPr>
          <w:rFonts w:cs="Times New Roman"/>
          <w:szCs w:val="20"/>
        </w:rPr>
        <w:t xml:space="preserve">(b) </w:t>
      </w:r>
      <w:r w:rsidRPr="00FE5FBD">
        <w:rPr>
          <w:rFonts w:cs="Times New Roman"/>
          <w:szCs w:val="20"/>
        </w:rPr>
        <w:tab/>
      </w:r>
      <w:r w:rsidR="00F36771" w:rsidRPr="00FE5FBD">
        <w:rPr>
          <w:szCs w:val="20"/>
        </w:rPr>
        <w:t>Tam, gdzie ważniejsza jest większa pewność rozpoznawania z białego niż</w:t>
      </w:r>
      <w:r w:rsidRPr="00FE5FBD">
        <w:rPr>
          <w:szCs w:val="20"/>
        </w:rPr>
        <w:t xml:space="preserve"> maksymaln</w:t>
      </w:r>
      <w:r w:rsidR="00F36771" w:rsidRPr="00FE5FBD">
        <w:rPr>
          <w:szCs w:val="20"/>
        </w:rPr>
        <w:t>y</w:t>
      </w:r>
      <w:r w:rsidRPr="00FE5FBD">
        <w:rPr>
          <w:szCs w:val="20"/>
        </w:rPr>
        <w:t xml:space="preserve"> zasięg widzialności, sygnały zielone powinny zawierać się w poniższych granicach:</w:t>
      </w:r>
    </w:p>
    <w:p w14:paraId="44B4774B" w14:textId="478D8587" w:rsidR="00C36D76" w:rsidRPr="00FE5FBD" w:rsidRDefault="00C36D76" w:rsidP="00B06A9A">
      <w:pPr>
        <w:tabs>
          <w:tab w:val="left" w:pos="1134"/>
        </w:tabs>
        <w:ind w:left="1134" w:hanging="567"/>
        <w:rPr>
          <w:szCs w:val="20"/>
        </w:rPr>
      </w:pPr>
      <w:r w:rsidRPr="00FE5FBD">
        <w:rPr>
          <w:rFonts w:cs="Times New Roman"/>
          <w:szCs w:val="20"/>
        </w:rPr>
        <w:t xml:space="preserve">(1) </w:t>
      </w:r>
      <w:r w:rsidRPr="00FE5FBD">
        <w:rPr>
          <w:rFonts w:cs="Times New Roman"/>
          <w:szCs w:val="20"/>
        </w:rPr>
        <w:tab/>
      </w:r>
      <w:r w:rsidRPr="00FE5FBD">
        <w:rPr>
          <w:szCs w:val="20"/>
        </w:rPr>
        <w:t>Granica żółtego</w:t>
      </w:r>
      <w:r w:rsidRPr="00FE5FBD">
        <w:rPr>
          <w:szCs w:val="20"/>
        </w:rPr>
        <w:tab/>
      </w:r>
      <w:r w:rsidRPr="00FE5FBD">
        <w:rPr>
          <w:szCs w:val="20"/>
        </w:rPr>
        <w:tab/>
        <w:t xml:space="preserve">y = 0.726 </w:t>
      </w:r>
      <w:r w:rsidR="000F7DD4" w:rsidRPr="00FE5FBD">
        <w:rPr>
          <w:iCs/>
        </w:rPr>
        <w:t>–</w:t>
      </w:r>
      <w:r w:rsidRPr="00FE5FBD">
        <w:rPr>
          <w:szCs w:val="20"/>
        </w:rPr>
        <w:t xml:space="preserve"> 0.726x</w:t>
      </w:r>
    </w:p>
    <w:p w14:paraId="5A51609F" w14:textId="340CE29E" w:rsidR="00C36D76" w:rsidRPr="00FE5FBD" w:rsidRDefault="00C36D76" w:rsidP="00B06A9A">
      <w:pPr>
        <w:tabs>
          <w:tab w:val="left" w:pos="1134"/>
        </w:tabs>
        <w:ind w:left="1134" w:hanging="567"/>
        <w:rPr>
          <w:szCs w:val="20"/>
        </w:rPr>
      </w:pPr>
      <w:r w:rsidRPr="00FE5FBD">
        <w:rPr>
          <w:rFonts w:cs="Times New Roman"/>
          <w:szCs w:val="20"/>
        </w:rPr>
        <w:t xml:space="preserve">(2) </w:t>
      </w:r>
      <w:r w:rsidRPr="00FE5FBD">
        <w:rPr>
          <w:rFonts w:cs="Times New Roman"/>
          <w:szCs w:val="20"/>
        </w:rPr>
        <w:tab/>
      </w:r>
      <w:r w:rsidRPr="00FE5FBD">
        <w:rPr>
          <w:szCs w:val="20"/>
        </w:rPr>
        <w:t>Granica białego</w:t>
      </w:r>
      <w:r w:rsidRPr="00FE5FBD">
        <w:rPr>
          <w:szCs w:val="20"/>
        </w:rPr>
        <w:tab/>
      </w:r>
      <w:r w:rsidRPr="00FE5FBD">
        <w:rPr>
          <w:szCs w:val="20"/>
        </w:rPr>
        <w:tab/>
        <w:t xml:space="preserve">x = 0.625y </w:t>
      </w:r>
      <w:r w:rsidR="000F7DD4" w:rsidRPr="00FE5FBD">
        <w:rPr>
          <w:iCs/>
        </w:rPr>
        <w:t>–</w:t>
      </w:r>
      <w:r w:rsidRPr="00FE5FBD">
        <w:rPr>
          <w:szCs w:val="20"/>
        </w:rPr>
        <w:t xml:space="preserve"> 0.041</w:t>
      </w:r>
    </w:p>
    <w:p w14:paraId="7EF48E92" w14:textId="1753925C" w:rsidR="00C36D76" w:rsidRPr="00FE5FBD" w:rsidRDefault="00C36D76" w:rsidP="00B06A9A">
      <w:pPr>
        <w:tabs>
          <w:tab w:val="left" w:pos="1134"/>
        </w:tabs>
        <w:ind w:left="1134" w:hanging="567"/>
        <w:rPr>
          <w:szCs w:val="20"/>
        </w:rPr>
      </w:pPr>
      <w:r w:rsidRPr="00FE5FBD">
        <w:rPr>
          <w:rFonts w:cs="Times New Roman"/>
          <w:szCs w:val="20"/>
        </w:rPr>
        <w:t xml:space="preserve">(3) </w:t>
      </w:r>
      <w:r w:rsidRPr="00FE5FBD">
        <w:rPr>
          <w:rFonts w:cs="Times New Roman"/>
          <w:szCs w:val="20"/>
        </w:rPr>
        <w:tab/>
      </w:r>
      <w:r w:rsidRPr="00FE5FBD">
        <w:rPr>
          <w:szCs w:val="20"/>
        </w:rPr>
        <w:t>Granica niebieskiego</w:t>
      </w:r>
      <w:r w:rsidRPr="00FE5FBD">
        <w:rPr>
          <w:szCs w:val="20"/>
        </w:rPr>
        <w:tab/>
        <w:t xml:space="preserve">y = 0.390 </w:t>
      </w:r>
      <w:r w:rsidR="000F7DD4" w:rsidRPr="00FE5FBD">
        <w:rPr>
          <w:iCs/>
        </w:rPr>
        <w:t>–</w:t>
      </w:r>
      <w:r w:rsidRPr="00FE5FBD">
        <w:rPr>
          <w:szCs w:val="20"/>
        </w:rPr>
        <w:t xml:space="preserve"> 0.171x</w:t>
      </w:r>
    </w:p>
    <w:p w14:paraId="070E7CF1" w14:textId="1C9F9475" w:rsidR="00C36D76" w:rsidRPr="00FE5FBD" w:rsidRDefault="00C36D76" w:rsidP="00B06A9A">
      <w:pPr>
        <w:tabs>
          <w:tab w:val="left" w:pos="567"/>
        </w:tabs>
        <w:spacing w:before="240"/>
        <w:ind w:left="567" w:hanging="567"/>
        <w:rPr>
          <w:szCs w:val="20"/>
        </w:rPr>
      </w:pPr>
      <w:r w:rsidRPr="00FE5FBD">
        <w:rPr>
          <w:rFonts w:cs="Times New Roman"/>
          <w:szCs w:val="20"/>
        </w:rPr>
        <w:t xml:space="preserve">(c) </w:t>
      </w:r>
      <w:r w:rsidRPr="00FE5FBD">
        <w:rPr>
          <w:rFonts w:cs="Times New Roman"/>
          <w:szCs w:val="20"/>
        </w:rPr>
        <w:tab/>
      </w:r>
      <w:r w:rsidRPr="00FE5FBD">
        <w:rPr>
          <w:szCs w:val="20"/>
        </w:rPr>
        <w:t xml:space="preserve">Rozróżnianie </w:t>
      </w:r>
      <w:r w:rsidR="00F36771" w:rsidRPr="00FE5FBD">
        <w:rPr>
          <w:szCs w:val="20"/>
        </w:rPr>
        <w:t xml:space="preserve">pomiędzy światłami </w:t>
      </w:r>
      <w:r w:rsidR="00F36771" w:rsidRPr="00FE5FBD">
        <w:t>posiadającymi źródło światła typu żarnikowego</w:t>
      </w:r>
    </w:p>
    <w:p w14:paraId="51DBCD71"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Jeżeli zachodzi konieczność odróżnienia od siebie koloru żółtego od białego, wówczas powinny być one zapalane w bliskim sąsiedztwie przestrzennym lub czasowym, na przykład przez sukcesywne zapalanie ich w tej samej latarni.</w:t>
      </w:r>
    </w:p>
    <w:p w14:paraId="7865421D"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Jeżeli zachodzi konieczność odróżnienia od siebie koloru żółtego od zielonego i/lub białego, na przykład w przypadku świateł linii środkowej drogi kołowania szybkiego zjazdu, wówczas współrzędna y światła żółtego nie powinna przekraczać wartości 0.40. Granice dla koloru białego określono przy założeniu, że kolor ten będzie występować w takich warunkach, w których charakterystyki (temperatura barwy) źródła światła będą wyraźnie stałe.</w:t>
      </w:r>
    </w:p>
    <w:p w14:paraId="5FA6391C"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Kolor biały zmienny powinien być używany wyłącznie w przypadku świateł, które mają posiadać zmienną intensywność, np. w celu zapobieganiu oślepiania. Jeżeli kolor ten ma być odróżniany od koloru żółtego, wówczas światła powinny być zbudowane oraz eksploatowane w taki sposób, aby:</w:t>
      </w:r>
    </w:p>
    <w:p w14:paraId="06E9DAA4" w14:textId="1B85980A" w:rsidR="00C36D76" w:rsidRPr="009E064B" w:rsidRDefault="00C36D76" w:rsidP="00B06A9A">
      <w:pPr>
        <w:tabs>
          <w:tab w:val="left" w:pos="1701"/>
        </w:tabs>
        <w:ind w:left="1701" w:hanging="567"/>
        <w:rPr>
          <w:szCs w:val="20"/>
        </w:rPr>
      </w:pPr>
      <w:r w:rsidRPr="009E064B">
        <w:rPr>
          <w:rFonts w:cs="Times New Roman"/>
          <w:szCs w:val="20"/>
        </w:rPr>
        <w:t xml:space="preserve">(i) </w:t>
      </w:r>
      <w:r w:rsidRPr="009E064B">
        <w:rPr>
          <w:rFonts w:cs="Times New Roman"/>
          <w:szCs w:val="20"/>
        </w:rPr>
        <w:tab/>
      </w:r>
      <w:r w:rsidRPr="009E064B">
        <w:rPr>
          <w:szCs w:val="20"/>
        </w:rPr>
        <w:t xml:space="preserve">współrzędna x koloru żółtego była, o co najmniej 0.050 większa niż współrzędna </w:t>
      </w:r>
      <w:r w:rsidR="003F1EC3" w:rsidRPr="009E064B">
        <w:rPr>
          <w:szCs w:val="20"/>
        </w:rPr>
        <w:t>X</w:t>
      </w:r>
      <w:r w:rsidRPr="009E064B">
        <w:rPr>
          <w:szCs w:val="20"/>
        </w:rPr>
        <w:t xml:space="preserve"> koloru białego; oraz</w:t>
      </w:r>
    </w:p>
    <w:p w14:paraId="5DC1065D" w14:textId="61B28CDA" w:rsidR="00BB280A" w:rsidRPr="009E064B" w:rsidRDefault="00C36D76" w:rsidP="002B42AA">
      <w:pPr>
        <w:tabs>
          <w:tab w:val="left" w:pos="1701"/>
        </w:tabs>
        <w:ind w:left="1701" w:hanging="567"/>
        <w:rPr>
          <w:szCs w:val="20"/>
        </w:rPr>
      </w:pPr>
      <w:r w:rsidRPr="009E064B">
        <w:rPr>
          <w:rFonts w:cs="Times New Roman"/>
          <w:szCs w:val="20"/>
        </w:rPr>
        <w:t xml:space="preserve">(ii) </w:t>
      </w:r>
      <w:r w:rsidRPr="009E064B">
        <w:rPr>
          <w:rFonts w:cs="Times New Roman"/>
          <w:szCs w:val="20"/>
        </w:rPr>
        <w:tab/>
      </w:r>
      <w:r w:rsidRPr="009E064B">
        <w:rPr>
          <w:szCs w:val="20"/>
        </w:rPr>
        <w:t>rozmieszczenie świateł było takie, aby światła koloru żółtego były zapalone równocześnie oraz w bezpośrednim sąsiedztwie świateł białych.</w:t>
      </w:r>
    </w:p>
    <w:p w14:paraId="564FF518" w14:textId="77777777" w:rsidR="00D9252F" w:rsidRPr="00FE5FBD" w:rsidRDefault="00D9252F" w:rsidP="000F7DD4">
      <w:pPr>
        <w:tabs>
          <w:tab w:val="left" w:pos="567"/>
        </w:tabs>
        <w:spacing w:before="240" w:after="240"/>
        <w:ind w:left="567" w:hanging="567"/>
        <w:rPr>
          <w:iCs/>
        </w:rPr>
      </w:pPr>
      <w:r w:rsidRPr="00FE5FBD">
        <w:rPr>
          <w:iCs/>
        </w:rPr>
        <w:t>(d)</w:t>
      </w:r>
      <w:r w:rsidRPr="00FE5FBD">
        <w:rPr>
          <w:iCs/>
        </w:rPr>
        <w:tab/>
      </w:r>
      <w:r w:rsidRPr="00FE5FBD">
        <w:rPr>
          <w:bCs/>
          <w:iCs/>
        </w:rPr>
        <w:t>Chromatyczność</w:t>
      </w:r>
      <w:r w:rsidRPr="00FE5FBD">
        <w:rPr>
          <w:iCs/>
        </w:rPr>
        <w:t xml:space="preserve"> naziemnych świateł lotniczych </w:t>
      </w:r>
      <w:r w:rsidRPr="00FE5FBD">
        <w:rPr>
          <w:bCs/>
          <w:iCs/>
        </w:rPr>
        <w:t xml:space="preserve">posiadających źródło światła o charakterze stałym, np. </w:t>
      </w:r>
      <w:r w:rsidRPr="00FE5FBD">
        <w:rPr>
          <w:iCs/>
        </w:rPr>
        <w:t>świateł LED, powinna zawierać się w następujących granicach:</w:t>
      </w:r>
    </w:p>
    <w:p w14:paraId="547A80F8" w14:textId="0E6F37B9" w:rsidR="00D9252F" w:rsidRPr="00FE5FBD" w:rsidRDefault="00D9252F" w:rsidP="00EE2E0D">
      <w:pPr>
        <w:tabs>
          <w:tab w:val="left" w:pos="851"/>
        </w:tabs>
        <w:ind w:left="567"/>
        <w:rPr>
          <w:iCs/>
        </w:rPr>
      </w:pPr>
      <w:r w:rsidRPr="00FE5FBD">
        <w:rPr>
          <w:iCs/>
        </w:rPr>
        <w:t xml:space="preserve">Równania CIE (patrz Rysunek </w:t>
      </w:r>
      <w:r w:rsidR="005C2D01" w:rsidRPr="00FE5FBD">
        <w:rPr>
          <w:iCs/>
        </w:rPr>
        <w:t>U1B</w:t>
      </w:r>
      <w:r w:rsidRPr="00FE5FBD">
        <w:rPr>
          <w:iCs/>
        </w:rPr>
        <w:t>):</w:t>
      </w:r>
    </w:p>
    <w:p w14:paraId="7AB28F78" w14:textId="535A1B59" w:rsidR="00D9252F" w:rsidRPr="00FE5FBD" w:rsidRDefault="005C2D01" w:rsidP="00EE2E0D">
      <w:pPr>
        <w:tabs>
          <w:tab w:val="left" w:pos="1134"/>
        </w:tabs>
        <w:spacing w:before="240" w:after="60"/>
        <w:ind w:left="1134" w:hanging="567"/>
        <w:rPr>
          <w:iCs/>
        </w:rPr>
      </w:pPr>
      <w:r w:rsidRPr="00FE5FBD">
        <w:rPr>
          <w:iCs/>
        </w:rPr>
        <w:t>(1</w:t>
      </w:r>
      <w:r w:rsidR="00D9252F" w:rsidRPr="00FE5FBD">
        <w:rPr>
          <w:iCs/>
        </w:rPr>
        <w:t>)</w:t>
      </w:r>
      <w:r w:rsidR="00D9252F" w:rsidRPr="00FE5FBD">
        <w:rPr>
          <w:iCs/>
        </w:rPr>
        <w:tab/>
        <w:t>Czerwony</w:t>
      </w:r>
    </w:p>
    <w:tbl>
      <w:tblPr>
        <w:tblW w:w="8077" w:type="dxa"/>
        <w:tblInd w:w="1134" w:type="dxa"/>
        <w:tblCellMar>
          <w:left w:w="0" w:type="dxa"/>
          <w:right w:w="0" w:type="dxa"/>
        </w:tblCellMar>
        <w:tblLook w:val="01E0" w:firstRow="1" w:lastRow="1" w:firstColumn="1" w:lastColumn="1" w:noHBand="0" w:noVBand="0"/>
      </w:tblPr>
      <w:tblGrid>
        <w:gridCol w:w="2550"/>
        <w:gridCol w:w="5527"/>
      </w:tblGrid>
      <w:tr w:rsidR="00D9252F" w:rsidRPr="00FE5FBD" w14:paraId="20A1C67F" w14:textId="77777777" w:rsidTr="00EE2E0D">
        <w:tc>
          <w:tcPr>
            <w:tcW w:w="2550" w:type="dxa"/>
            <w:tcMar>
              <w:top w:w="28" w:type="dxa"/>
              <w:bottom w:w="28" w:type="dxa"/>
            </w:tcMar>
          </w:tcPr>
          <w:p w14:paraId="2F36E595" w14:textId="77777777" w:rsidR="00D9252F" w:rsidRPr="00FE5FBD" w:rsidRDefault="00D9252F" w:rsidP="005C2D01">
            <w:pPr>
              <w:tabs>
                <w:tab w:val="left" w:pos="851"/>
              </w:tabs>
              <w:spacing w:after="60"/>
              <w:rPr>
                <w:iCs/>
              </w:rPr>
            </w:pPr>
            <w:r w:rsidRPr="00FE5FBD">
              <w:rPr>
                <w:iCs/>
              </w:rPr>
              <w:t>Granica fioletowego</w:t>
            </w:r>
          </w:p>
        </w:tc>
        <w:tc>
          <w:tcPr>
            <w:tcW w:w="5527" w:type="dxa"/>
            <w:tcMar>
              <w:top w:w="28" w:type="dxa"/>
              <w:bottom w:w="28" w:type="dxa"/>
            </w:tcMar>
          </w:tcPr>
          <w:p w14:paraId="681249B0" w14:textId="63AF649C" w:rsidR="00D9252F" w:rsidRPr="00FE5FBD" w:rsidRDefault="00D9252F" w:rsidP="005C2D01">
            <w:pPr>
              <w:tabs>
                <w:tab w:val="left" w:pos="851"/>
              </w:tabs>
              <w:spacing w:after="60"/>
              <w:rPr>
                <w:iCs/>
              </w:rPr>
            </w:pPr>
            <w:r w:rsidRPr="00FE5FBD">
              <w:rPr>
                <w:iCs/>
              </w:rPr>
              <w:t xml:space="preserve">y = 0.980 </w:t>
            </w:r>
            <w:r w:rsidR="000F7DD4" w:rsidRPr="00FE5FBD">
              <w:rPr>
                <w:iCs/>
              </w:rPr>
              <w:t>–</w:t>
            </w:r>
            <w:r w:rsidRPr="00FE5FBD">
              <w:rPr>
                <w:iCs/>
              </w:rPr>
              <w:t xml:space="preserve"> x</w:t>
            </w:r>
          </w:p>
        </w:tc>
      </w:tr>
      <w:tr w:rsidR="00D9252F" w:rsidRPr="00FE5FBD" w14:paraId="6BA3137A" w14:textId="77777777" w:rsidTr="00EE2E0D">
        <w:tc>
          <w:tcPr>
            <w:tcW w:w="2550" w:type="dxa"/>
            <w:tcMar>
              <w:top w:w="28" w:type="dxa"/>
              <w:bottom w:w="28" w:type="dxa"/>
            </w:tcMar>
          </w:tcPr>
          <w:p w14:paraId="7948BCA4" w14:textId="77777777" w:rsidR="00D9252F" w:rsidRPr="00FE5FBD" w:rsidRDefault="00D9252F" w:rsidP="000F7DD4">
            <w:pPr>
              <w:tabs>
                <w:tab w:val="left" w:pos="851"/>
              </w:tabs>
              <w:spacing w:after="60"/>
              <w:rPr>
                <w:iCs/>
              </w:rPr>
            </w:pPr>
            <w:r w:rsidRPr="00FE5FBD">
              <w:rPr>
                <w:iCs/>
              </w:rPr>
              <w:t>Granica żółtego</w:t>
            </w:r>
          </w:p>
          <w:p w14:paraId="3C1AB25F" w14:textId="5FF4B612" w:rsidR="00D9252F" w:rsidRPr="00FE5FBD" w:rsidRDefault="000F7DD4" w:rsidP="000F7DD4">
            <w:pPr>
              <w:tabs>
                <w:tab w:val="left" w:pos="851"/>
              </w:tabs>
              <w:spacing w:after="0"/>
              <w:rPr>
                <w:iCs/>
              </w:rPr>
            </w:pPr>
            <w:r w:rsidRPr="00FE5FBD">
              <w:rPr>
                <w:iCs/>
              </w:rPr>
              <w:t>Granica żółtego</w:t>
            </w:r>
          </w:p>
        </w:tc>
        <w:tc>
          <w:tcPr>
            <w:tcW w:w="5527" w:type="dxa"/>
            <w:tcMar>
              <w:top w:w="28" w:type="dxa"/>
              <w:bottom w:w="28" w:type="dxa"/>
            </w:tcMar>
          </w:tcPr>
          <w:p w14:paraId="6739C73E" w14:textId="0F7F11F4" w:rsidR="00D9252F" w:rsidRPr="00FE5FBD" w:rsidRDefault="000F7DD4" w:rsidP="005C2D01">
            <w:pPr>
              <w:tabs>
                <w:tab w:val="left" w:pos="851"/>
              </w:tabs>
              <w:spacing w:after="60"/>
              <w:rPr>
                <w:iCs/>
              </w:rPr>
            </w:pPr>
            <w:r w:rsidRPr="00FE5FBD">
              <w:rPr>
                <w:iCs/>
              </w:rPr>
              <w:t>y = 0.335</w:t>
            </w:r>
            <w:r w:rsidR="00D9252F" w:rsidRPr="00FE5FBD">
              <w:rPr>
                <w:iCs/>
              </w:rPr>
              <w:t xml:space="preserve">; </w:t>
            </w:r>
          </w:p>
          <w:p w14:paraId="2E9D8278" w14:textId="1A6CD217" w:rsidR="00D9252F" w:rsidRPr="00FE5FBD" w:rsidRDefault="00D9252F" w:rsidP="000F7DD4">
            <w:pPr>
              <w:tabs>
                <w:tab w:val="left" w:pos="851"/>
              </w:tabs>
              <w:spacing w:after="0"/>
              <w:rPr>
                <w:iCs/>
              </w:rPr>
            </w:pPr>
            <w:r w:rsidRPr="00FE5FBD">
              <w:rPr>
                <w:iCs/>
              </w:rPr>
              <w:t xml:space="preserve">y = 0.320 </w:t>
            </w:r>
          </w:p>
        </w:tc>
      </w:tr>
      <w:tr w:rsidR="00D9252F" w:rsidRPr="00FE5FBD" w14:paraId="2CEBF420" w14:textId="77777777" w:rsidTr="00EE2E0D">
        <w:tc>
          <w:tcPr>
            <w:tcW w:w="8077" w:type="dxa"/>
            <w:gridSpan w:val="2"/>
            <w:tcMar>
              <w:top w:w="28" w:type="dxa"/>
              <w:bottom w:w="28" w:type="dxa"/>
            </w:tcMar>
          </w:tcPr>
          <w:p w14:paraId="6A2F2003" w14:textId="4C0ED91D" w:rsidR="00D9252F" w:rsidRPr="00FE5FBD" w:rsidRDefault="00D9252F" w:rsidP="000F7DD4">
            <w:pPr>
              <w:tabs>
                <w:tab w:val="left" w:pos="851"/>
              </w:tabs>
              <w:spacing w:before="120"/>
              <w:rPr>
                <w:iCs/>
              </w:rPr>
            </w:pPr>
            <w:r w:rsidRPr="00FE5FBD">
              <w:rPr>
                <w:iCs/>
              </w:rPr>
              <w:t xml:space="preserve">Uwaga. – Patrz </w:t>
            </w:r>
            <w:hyperlink w:anchor="_CS_ADR-DSN.M.645_" w:history="1">
              <w:r w:rsidR="000F7DD4" w:rsidRPr="00FE5FBD">
                <w:rPr>
                  <w:rStyle w:val="Hipercze"/>
                  <w:iCs/>
                  <w:color w:val="0000FF"/>
                </w:rPr>
                <w:t>CS ADR-DSN.M.645</w:t>
              </w:r>
            </w:hyperlink>
            <w:r w:rsidR="000F7DD4" w:rsidRPr="00FE5FBD">
              <w:rPr>
                <w:iCs/>
              </w:rPr>
              <w:t xml:space="preserve"> lit. (c) pkt (2)(i)</w:t>
            </w:r>
          </w:p>
        </w:tc>
      </w:tr>
    </w:tbl>
    <w:p w14:paraId="73012BB7" w14:textId="73AFC94A" w:rsidR="00D9252F" w:rsidRPr="00FE5FBD" w:rsidRDefault="005C2D01" w:rsidP="00EE2E0D">
      <w:pPr>
        <w:tabs>
          <w:tab w:val="left" w:pos="1134"/>
        </w:tabs>
        <w:spacing w:before="240" w:after="60"/>
        <w:ind w:left="1134" w:hanging="567"/>
        <w:rPr>
          <w:iCs/>
        </w:rPr>
      </w:pPr>
      <w:r w:rsidRPr="00FE5FBD">
        <w:rPr>
          <w:iCs/>
        </w:rPr>
        <w:t>(2</w:t>
      </w:r>
      <w:r w:rsidR="00D9252F" w:rsidRPr="00FE5FBD">
        <w:rPr>
          <w:iCs/>
        </w:rPr>
        <w:t>)</w:t>
      </w:r>
      <w:r w:rsidR="00D9252F" w:rsidRPr="00FE5FBD">
        <w:rPr>
          <w:iCs/>
        </w:rPr>
        <w:tab/>
        <w:t>Żółty</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FE5FBD" w14:paraId="1A58224D" w14:textId="77777777" w:rsidTr="00EE2E0D">
        <w:tc>
          <w:tcPr>
            <w:tcW w:w="2551" w:type="dxa"/>
            <w:tcMar>
              <w:top w:w="28" w:type="dxa"/>
              <w:bottom w:w="28" w:type="dxa"/>
            </w:tcMar>
          </w:tcPr>
          <w:p w14:paraId="0EF6FF3F" w14:textId="77777777" w:rsidR="00D9252F" w:rsidRPr="00FE5FBD" w:rsidRDefault="00D9252F" w:rsidP="005C2D01">
            <w:pPr>
              <w:tabs>
                <w:tab w:val="left" w:pos="851"/>
              </w:tabs>
              <w:spacing w:after="60"/>
              <w:rPr>
                <w:iCs/>
              </w:rPr>
            </w:pPr>
            <w:r w:rsidRPr="00FE5FBD">
              <w:rPr>
                <w:iCs/>
              </w:rPr>
              <w:t>Granica czerwonego</w:t>
            </w:r>
          </w:p>
        </w:tc>
        <w:tc>
          <w:tcPr>
            <w:tcW w:w="1985" w:type="dxa"/>
            <w:tcMar>
              <w:top w:w="28" w:type="dxa"/>
              <w:bottom w:w="28" w:type="dxa"/>
            </w:tcMar>
          </w:tcPr>
          <w:p w14:paraId="34AADFCA" w14:textId="77777777" w:rsidR="00D9252F" w:rsidRPr="00FE5FBD" w:rsidRDefault="00D9252F" w:rsidP="005C2D01">
            <w:pPr>
              <w:tabs>
                <w:tab w:val="left" w:pos="851"/>
              </w:tabs>
              <w:spacing w:after="60"/>
              <w:rPr>
                <w:iCs/>
              </w:rPr>
            </w:pPr>
            <w:r w:rsidRPr="00FE5FBD">
              <w:rPr>
                <w:iCs/>
              </w:rPr>
              <w:t>y = 0.387</w:t>
            </w:r>
          </w:p>
        </w:tc>
      </w:tr>
      <w:tr w:rsidR="00D9252F" w:rsidRPr="00FE5FBD" w14:paraId="18E9BEEB" w14:textId="77777777" w:rsidTr="00EE2E0D">
        <w:tc>
          <w:tcPr>
            <w:tcW w:w="2551" w:type="dxa"/>
            <w:tcMar>
              <w:top w:w="28" w:type="dxa"/>
              <w:bottom w:w="28" w:type="dxa"/>
            </w:tcMar>
          </w:tcPr>
          <w:p w14:paraId="42289640" w14:textId="77777777" w:rsidR="00D9252F" w:rsidRPr="00FE5FBD" w:rsidRDefault="00D9252F" w:rsidP="005C2D01">
            <w:pPr>
              <w:tabs>
                <w:tab w:val="left" w:pos="851"/>
              </w:tabs>
              <w:spacing w:after="60"/>
              <w:rPr>
                <w:iCs/>
              </w:rPr>
            </w:pPr>
            <w:r w:rsidRPr="00FE5FBD">
              <w:rPr>
                <w:iCs/>
              </w:rPr>
              <w:t>Granica białego</w:t>
            </w:r>
          </w:p>
        </w:tc>
        <w:tc>
          <w:tcPr>
            <w:tcW w:w="1985" w:type="dxa"/>
            <w:tcMar>
              <w:top w:w="28" w:type="dxa"/>
              <w:bottom w:w="28" w:type="dxa"/>
            </w:tcMar>
          </w:tcPr>
          <w:p w14:paraId="2A18EA85" w14:textId="2AE4836A" w:rsidR="00D9252F" w:rsidRPr="00FE5FBD" w:rsidRDefault="00D9252F" w:rsidP="005C2D01">
            <w:pPr>
              <w:tabs>
                <w:tab w:val="left" w:pos="851"/>
              </w:tabs>
              <w:spacing w:after="60"/>
              <w:rPr>
                <w:iCs/>
              </w:rPr>
            </w:pPr>
            <w:r w:rsidRPr="00FE5FBD">
              <w:rPr>
                <w:iCs/>
              </w:rPr>
              <w:t xml:space="preserve">y = 0.980 </w:t>
            </w:r>
            <w:r w:rsidR="000F7DD4" w:rsidRPr="00FE5FBD">
              <w:rPr>
                <w:iCs/>
              </w:rPr>
              <w:t>–</w:t>
            </w:r>
            <w:r w:rsidRPr="00FE5FBD">
              <w:rPr>
                <w:iCs/>
              </w:rPr>
              <w:t xml:space="preserve"> x</w:t>
            </w:r>
          </w:p>
        </w:tc>
      </w:tr>
      <w:tr w:rsidR="00D9252F" w:rsidRPr="00FE5FBD" w14:paraId="08EE6FF8" w14:textId="77777777" w:rsidTr="00EE2E0D">
        <w:tc>
          <w:tcPr>
            <w:tcW w:w="2551" w:type="dxa"/>
            <w:tcMar>
              <w:top w:w="28" w:type="dxa"/>
              <w:bottom w:w="28" w:type="dxa"/>
            </w:tcMar>
          </w:tcPr>
          <w:p w14:paraId="5A4E059A" w14:textId="77777777" w:rsidR="00D9252F" w:rsidRPr="00FE5FBD" w:rsidRDefault="00D9252F" w:rsidP="005C2D01">
            <w:pPr>
              <w:tabs>
                <w:tab w:val="left" w:pos="851"/>
              </w:tabs>
              <w:rPr>
                <w:iCs/>
              </w:rPr>
            </w:pPr>
            <w:r w:rsidRPr="00FE5FBD">
              <w:rPr>
                <w:iCs/>
              </w:rPr>
              <w:t>Granica zielonego</w:t>
            </w:r>
          </w:p>
        </w:tc>
        <w:tc>
          <w:tcPr>
            <w:tcW w:w="1985" w:type="dxa"/>
            <w:tcMar>
              <w:top w:w="28" w:type="dxa"/>
              <w:bottom w:w="28" w:type="dxa"/>
            </w:tcMar>
          </w:tcPr>
          <w:p w14:paraId="7E39C2AD" w14:textId="77777777" w:rsidR="00D9252F" w:rsidRPr="00FE5FBD" w:rsidRDefault="00D9252F" w:rsidP="005C2D01">
            <w:pPr>
              <w:tabs>
                <w:tab w:val="left" w:pos="851"/>
              </w:tabs>
              <w:rPr>
                <w:iCs/>
              </w:rPr>
            </w:pPr>
            <w:r w:rsidRPr="00FE5FBD">
              <w:rPr>
                <w:iCs/>
              </w:rPr>
              <w:t>y = 0.727x + 0.054</w:t>
            </w:r>
          </w:p>
        </w:tc>
      </w:tr>
    </w:tbl>
    <w:p w14:paraId="3E4A4028" w14:textId="6F0C9A10" w:rsidR="00D9252F" w:rsidRPr="00FE5FBD" w:rsidRDefault="005C2D01" w:rsidP="00EE2E0D">
      <w:pPr>
        <w:tabs>
          <w:tab w:val="left" w:pos="1134"/>
        </w:tabs>
        <w:spacing w:before="240" w:after="60"/>
        <w:ind w:left="1134" w:hanging="567"/>
        <w:rPr>
          <w:iCs/>
        </w:rPr>
      </w:pPr>
      <w:r w:rsidRPr="00FE5FBD">
        <w:rPr>
          <w:iCs/>
        </w:rPr>
        <w:t>(3</w:t>
      </w:r>
      <w:r w:rsidR="00D9252F" w:rsidRPr="00FE5FBD">
        <w:rPr>
          <w:iCs/>
        </w:rPr>
        <w:t>)</w:t>
      </w:r>
      <w:r w:rsidR="00D9252F" w:rsidRPr="00FE5FBD">
        <w:rPr>
          <w:iCs/>
        </w:rPr>
        <w:tab/>
        <w:t xml:space="preserve">Zielony (patrz </w:t>
      </w:r>
      <w:r w:rsidR="000F7DD4" w:rsidRPr="00FE5FBD">
        <w:rPr>
          <w:iCs/>
        </w:rPr>
        <w:t xml:space="preserve">także </w:t>
      </w:r>
      <w:hyperlink w:anchor="_CS_ADR-DSN.U.930_" w:history="1">
        <w:r w:rsidR="000F7DD4" w:rsidRPr="00FE5FBD">
          <w:rPr>
            <w:rStyle w:val="Hipercze"/>
            <w:iCs/>
            <w:color w:val="0000FF"/>
          </w:rPr>
          <w:t>GM ADR-DSN.U.930</w:t>
        </w:r>
      </w:hyperlink>
      <w:r w:rsidR="000F7DD4" w:rsidRPr="00FE5FBD">
        <w:rPr>
          <w:iCs/>
        </w:rPr>
        <w:t xml:space="preserve"> lit (d) i lit (e)</w:t>
      </w:r>
      <w:r w:rsidR="00D9252F" w:rsidRPr="00FE5FBD">
        <w:rPr>
          <w:iCs/>
        </w:rPr>
        <w:t>)</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FE5FBD" w14:paraId="11E968A1" w14:textId="77777777" w:rsidTr="00EE2E0D">
        <w:tc>
          <w:tcPr>
            <w:tcW w:w="2551" w:type="dxa"/>
            <w:tcMar>
              <w:top w:w="28" w:type="dxa"/>
              <w:bottom w:w="28" w:type="dxa"/>
            </w:tcMar>
          </w:tcPr>
          <w:p w14:paraId="418C07D0" w14:textId="77777777" w:rsidR="00D9252F" w:rsidRPr="00FE5FBD" w:rsidRDefault="00D9252F" w:rsidP="005C2D01">
            <w:pPr>
              <w:tabs>
                <w:tab w:val="left" w:pos="851"/>
              </w:tabs>
              <w:spacing w:after="60"/>
              <w:rPr>
                <w:iCs/>
              </w:rPr>
            </w:pPr>
            <w:r w:rsidRPr="00FE5FBD">
              <w:rPr>
                <w:iCs/>
              </w:rPr>
              <w:t>Granica żółtego</w:t>
            </w:r>
          </w:p>
        </w:tc>
        <w:tc>
          <w:tcPr>
            <w:tcW w:w="1985" w:type="dxa"/>
            <w:tcMar>
              <w:top w:w="28" w:type="dxa"/>
              <w:bottom w:w="28" w:type="dxa"/>
            </w:tcMar>
          </w:tcPr>
          <w:p w14:paraId="341482C4" w14:textId="77777777" w:rsidR="00D9252F" w:rsidRPr="00FE5FBD" w:rsidRDefault="00D9252F" w:rsidP="005C2D01">
            <w:pPr>
              <w:tabs>
                <w:tab w:val="left" w:pos="851"/>
              </w:tabs>
              <w:spacing w:after="60"/>
              <w:rPr>
                <w:iCs/>
              </w:rPr>
            </w:pPr>
            <w:r w:rsidRPr="00FE5FBD">
              <w:rPr>
                <w:iCs/>
              </w:rPr>
              <w:t>x = 0.310</w:t>
            </w:r>
          </w:p>
        </w:tc>
      </w:tr>
      <w:tr w:rsidR="00D9252F" w:rsidRPr="00FE5FBD" w14:paraId="1D3E86A2" w14:textId="77777777" w:rsidTr="00EE2E0D">
        <w:tc>
          <w:tcPr>
            <w:tcW w:w="2551" w:type="dxa"/>
            <w:tcMar>
              <w:top w:w="28" w:type="dxa"/>
              <w:bottom w:w="28" w:type="dxa"/>
            </w:tcMar>
          </w:tcPr>
          <w:p w14:paraId="425FB0A5" w14:textId="77777777" w:rsidR="00D9252F" w:rsidRPr="00FE5FBD" w:rsidRDefault="00D9252F" w:rsidP="005C2D01">
            <w:pPr>
              <w:tabs>
                <w:tab w:val="left" w:pos="851"/>
              </w:tabs>
              <w:spacing w:after="60"/>
              <w:rPr>
                <w:iCs/>
              </w:rPr>
            </w:pPr>
            <w:r w:rsidRPr="00FE5FBD">
              <w:rPr>
                <w:iCs/>
              </w:rPr>
              <w:t>Granica białego</w:t>
            </w:r>
          </w:p>
        </w:tc>
        <w:tc>
          <w:tcPr>
            <w:tcW w:w="1985" w:type="dxa"/>
            <w:tcMar>
              <w:top w:w="28" w:type="dxa"/>
              <w:bottom w:w="28" w:type="dxa"/>
            </w:tcMar>
          </w:tcPr>
          <w:p w14:paraId="6C0880B5" w14:textId="77777777" w:rsidR="00D9252F" w:rsidRPr="00FE5FBD" w:rsidRDefault="00D9252F" w:rsidP="005C2D01">
            <w:pPr>
              <w:tabs>
                <w:tab w:val="left" w:pos="851"/>
              </w:tabs>
              <w:spacing w:after="60"/>
              <w:rPr>
                <w:iCs/>
              </w:rPr>
            </w:pPr>
            <w:r w:rsidRPr="00FE5FBD">
              <w:rPr>
                <w:iCs/>
              </w:rPr>
              <w:t>x = 0.625y – 0.041</w:t>
            </w:r>
          </w:p>
        </w:tc>
      </w:tr>
      <w:tr w:rsidR="00D9252F" w:rsidRPr="00FE5FBD" w14:paraId="3BD148BE" w14:textId="77777777" w:rsidTr="00EE2E0D">
        <w:tc>
          <w:tcPr>
            <w:tcW w:w="2551" w:type="dxa"/>
            <w:tcMar>
              <w:top w:w="28" w:type="dxa"/>
              <w:bottom w:w="28" w:type="dxa"/>
            </w:tcMar>
          </w:tcPr>
          <w:p w14:paraId="02BFB778" w14:textId="77777777" w:rsidR="00D9252F" w:rsidRPr="00FE5FBD" w:rsidRDefault="00D9252F" w:rsidP="005C2D01">
            <w:pPr>
              <w:tabs>
                <w:tab w:val="left" w:pos="851"/>
              </w:tabs>
              <w:rPr>
                <w:iCs/>
              </w:rPr>
            </w:pPr>
            <w:r w:rsidRPr="00FE5FBD">
              <w:rPr>
                <w:iCs/>
              </w:rPr>
              <w:t>Granica niebieskiego</w:t>
            </w:r>
          </w:p>
        </w:tc>
        <w:tc>
          <w:tcPr>
            <w:tcW w:w="1985" w:type="dxa"/>
            <w:tcMar>
              <w:top w:w="28" w:type="dxa"/>
              <w:bottom w:w="28" w:type="dxa"/>
            </w:tcMar>
          </w:tcPr>
          <w:p w14:paraId="0FEE1611" w14:textId="77777777" w:rsidR="00D9252F" w:rsidRPr="00FE5FBD" w:rsidRDefault="00D9252F" w:rsidP="005C2D01">
            <w:pPr>
              <w:tabs>
                <w:tab w:val="left" w:pos="851"/>
              </w:tabs>
              <w:rPr>
                <w:iCs/>
              </w:rPr>
            </w:pPr>
            <w:r w:rsidRPr="00FE5FBD">
              <w:rPr>
                <w:iCs/>
              </w:rPr>
              <w:t>y = 0.400</w:t>
            </w:r>
          </w:p>
        </w:tc>
      </w:tr>
    </w:tbl>
    <w:p w14:paraId="66E08533" w14:textId="4348B632" w:rsidR="00D9252F" w:rsidRPr="00FE5FBD" w:rsidRDefault="005C2D01" w:rsidP="00EE2E0D">
      <w:pPr>
        <w:tabs>
          <w:tab w:val="left" w:pos="1134"/>
        </w:tabs>
        <w:spacing w:before="240" w:after="60"/>
        <w:ind w:left="1134" w:hanging="567"/>
        <w:rPr>
          <w:iCs/>
        </w:rPr>
      </w:pPr>
      <w:r w:rsidRPr="00FE5FBD">
        <w:rPr>
          <w:iCs/>
        </w:rPr>
        <w:t>(4</w:t>
      </w:r>
      <w:r w:rsidR="00D9252F" w:rsidRPr="00FE5FBD">
        <w:rPr>
          <w:iCs/>
        </w:rPr>
        <w:t>)</w:t>
      </w:r>
      <w:r w:rsidR="00D9252F" w:rsidRPr="00FE5FBD">
        <w:rPr>
          <w:iCs/>
        </w:rPr>
        <w:tab/>
        <w:t>Niebieski</w:t>
      </w:r>
    </w:p>
    <w:tbl>
      <w:tblPr>
        <w:tblW w:w="0" w:type="auto"/>
        <w:tblInd w:w="1134" w:type="dxa"/>
        <w:tblCellMar>
          <w:left w:w="0" w:type="dxa"/>
          <w:right w:w="0" w:type="dxa"/>
        </w:tblCellMar>
        <w:tblLook w:val="01E0" w:firstRow="1" w:lastRow="1" w:firstColumn="1" w:lastColumn="1" w:noHBand="0" w:noVBand="0"/>
      </w:tblPr>
      <w:tblGrid>
        <w:gridCol w:w="2551"/>
        <w:gridCol w:w="1985"/>
      </w:tblGrid>
      <w:tr w:rsidR="00D9252F" w:rsidRPr="00FE5FBD" w14:paraId="1FD685E7" w14:textId="77777777" w:rsidTr="00EE2E0D">
        <w:tc>
          <w:tcPr>
            <w:tcW w:w="2551" w:type="dxa"/>
            <w:tcMar>
              <w:top w:w="28" w:type="dxa"/>
              <w:bottom w:w="28" w:type="dxa"/>
            </w:tcMar>
          </w:tcPr>
          <w:p w14:paraId="4E62F01C" w14:textId="77777777" w:rsidR="00D9252F" w:rsidRPr="00FE5FBD" w:rsidRDefault="00D9252F" w:rsidP="005C2D01">
            <w:pPr>
              <w:tabs>
                <w:tab w:val="left" w:pos="851"/>
              </w:tabs>
              <w:spacing w:after="60"/>
              <w:rPr>
                <w:iCs/>
              </w:rPr>
            </w:pPr>
            <w:r w:rsidRPr="00FE5FBD">
              <w:rPr>
                <w:iCs/>
              </w:rPr>
              <w:t>Granica zielonego</w:t>
            </w:r>
          </w:p>
        </w:tc>
        <w:tc>
          <w:tcPr>
            <w:tcW w:w="1985" w:type="dxa"/>
            <w:tcMar>
              <w:top w:w="28" w:type="dxa"/>
              <w:bottom w:w="28" w:type="dxa"/>
            </w:tcMar>
          </w:tcPr>
          <w:p w14:paraId="44A2424E" w14:textId="77777777" w:rsidR="00D9252F" w:rsidRPr="00FE5FBD" w:rsidRDefault="00D9252F" w:rsidP="005C2D01">
            <w:pPr>
              <w:tabs>
                <w:tab w:val="left" w:pos="851"/>
              </w:tabs>
              <w:spacing w:after="60"/>
              <w:rPr>
                <w:iCs/>
              </w:rPr>
            </w:pPr>
            <w:r w:rsidRPr="00FE5FBD">
              <w:rPr>
                <w:iCs/>
              </w:rPr>
              <w:t>y = 1.141x – 0.037</w:t>
            </w:r>
          </w:p>
        </w:tc>
      </w:tr>
      <w:tr w:rsidR="00D9252F" w:rsidRPr="00FE5FBD" w14:paraId="65932D24" w14:textId="77777777" w:rsidTr="00EE2E0D">
        <w:tc>
          <w:tcPr>
            <w:tcW w:w="2551" w:type="dxa"/>
            <w:tcMar>
              <w:top w:w="28" w:type="dxa"/>
              <w:bottom w:w="28" w:type="dxa"/>
            </w:tcMar>
          </w:tcPr>
          <w:p w14:paraId="03DBA10D" w14:textId="77777777" w:rsidR="00D9252F" w:rsidRPr="00FE5FBD" w:rsidRDefault="00D9252F" w:rsidP="005C2D01">
            <w:pPr>
              <w:tabs>
                <w:tab w:val="left" w:pos="851"/>
              </w:tabs>
              <w:spacing w:after="60"/>
              <w:rPr>
                <w:iCs/>
              </w:rPr>
            </w:pPr>
            <w:r w:rsidRPr="00FE5FBD">
              <w:rPr>
                <w:iCs/>
              </w:rPr>
              <w:t>Granica białego</w:t>
            </w:r>
          </w:p>
        </w:tc>
        <w:tc>
          <w:tcPr>
            <w:tcW w:w="1985" w:type="dxa"/>
            <w:tcMar>
              <w:top w:w="28" w:type="dxa"/>
              <w:bottom w:w="28" w:type="dxa"/>
            </w:tcMar>
          </w:tcPr>
          <w:p w14:paraId="1BBE10B2" w14:textId="77777777" w:rsidR="00D9252F" w:rsidRPr="00FE5FBD" w:rsidRDefault="00D9252F" w:rsidP="005C2D01">
            <w:pPr>
              <w:tabs>
                <w:tab w:val="left" w:pos="851"/>
              </w:tabs>
              <w:spacing w:after="60"/>
              <w:rPr>
                <w:iCs/>
              </w:rPr>
            </w:pPr>
            <w:r w:rsidRPr="00FE5FBD">
              <w:rPr>
                <w:iCs/>
              </w:rPr>
              <w:t>y = 0.400 – y</w:t>
            </w:r>
          </w:p>
        </w:tc>
      </w:tr>
      <w:tr w:rsidR="00D9252F" w:rsidRPr="00FE5FBD" w14:paraId="2968C432" w14:textId="77777777" w:rsidTr="00EE2E0D">
        <w:tc>
          <w:tcPr>
            <w:tcW w:w="2551" w:type="dxa"/>
            <w:tcMar>
              <w:top w:w="28" w:type="dxa"/>
              <w:bottom w:w="28" w:type="dxa"/>
            </w:tcMar>
          </w:tcPr>
          <w:p w14:paraId="5A37ABEC" w14:textId="77777777" w:rsidR="00D9252F" w:rsidRPr="00FE5FBD" w:rsidRDefault="00D9252F" w:rsidP="005C2D01">
            <w:pPr>
              <w:tabs>
                <w:tab w:val="left" w:pos="851"/>
              </w:tabs>
              <w:rPr>
                <w:iCs/>
              </w:rPr>
            </w:pPr>
            <w:r w:rsidRPr="00FE5FBD">
              <w:rPr>
                <w:iCs/>
              </w:rPr>
              <w:t>Granica fioletowego</w:t>
            </w:r>
          </w:p>
        </w:tc>
        <w:tc>
          <w:tcPr>
            <w:tcW w:w="1985" w:type="dxa"/>
            <w:tcMar>
              <w:top w:w="28" w:type="dxa"/>
              <w:bottom w:w="28" w:type="dxa"/>
            </w:tcMar>
          </w:tcPr>
          <w:p w14:paraId="24CB6184" w14:textId="77777777" w:rsidR="00D9252F" w:rsidRPr="00FE5FBD" w:rsidRDefault="00D9252F" w:rsidP="005C2D01">
            <w:pPr>
              <w:tabs>
                <w:tab w:val="left" w:pos="851"/>
              </w:tabs>
              <w:rPr>
                <w:iCs/>
              </w:rPr>
            </w:pPr>
            <w:r w:rsidRPr="00FE5FBD">
              <w:rPr>
                <w:iCs/>
              </w:rPr>
              <w:t>x = 0.134 + 0.590y</w:t>
            </w:r>
          </w:p>
        </w:tc>
      </w:tr>
    </w:tbl>
    <w:p w14:paraId="0E215F08" w14:textId="77777777" w:rsidR="00467C7D" w:rsidRPr="00FE5FBD" w:rsidRDefault="00467C7D">
      <w:pPr>
        <w:spacing w:after="0"/>
        <w:jc w:val="left"/>
        <w:rPr>
          <w:iCs/>
        </w:rPr>
      </w:pPr>
      <w:r w:rsidRPr="00FE5FBD">
        <w:rPr>
          <w:iCs/>
        </w:rPr>
        <w:br w:type="page"/>
      </w:r>
    </w:p>
    <w:p w14:paraId="333B7154" w14:textId="7FAC4008" w:rsidR="00D9252F" w:rsidRPr="00FE5FBD" w:rsidRDefault="005C2D01" w:rsidP="00EE2E0D">
      <w:pPr>
        <w:tabs>
          <w:tab w:val="left" w:pos="1134"/>
        </w:tabs>
        <w:spacing w:before="240" w:after="60"/>
        <w:ind w:left="1134" w:hanging="567"/>
        <w:rPr>
          <w:iCs/>
        </w:rPr>
      </w:pPr>
      <w:r w:rsidRPr="00FE5FBD">
        <w:rPr>
          <w:iCs/>
        </w:rPr>
        <w:t>(5</w:t>
      </w:r>
      <w:r w:rsidR="00D9252F" w:rsidRPr="00FE5FBD">
        <w:rPr>
          <w:iCs/>
        </w:rPr>
        <w:t>)</w:t>
      </w:r>
      <w:r w:rsidR="00D9252F" w:rsidRPr="00FE5FBD">
        <w:rPr>
          <w:iCs/>
        </w:rPr>
        <w:tab/>
        <w:t>Biały</w:t>
      </w:r>
    </w:p>
    <w:tbl>
      <w:tblPr>
        <w:tblW w:w="0" w:type="auto"/>
        <w:tblInd w:w="1134" w:type="dxa"/>
        <w:tblCellMar>
          <w:left w:w="0" w:type="dxa"/>
          <w:right w:w="0" w:type="dxa"/>
        </w:tblCellMar>
        <w:tblLook w:val="01E0" w:firstRow="1" w:lastRow="1" w:firstColumn="1" w:lastColumn="1" w:noHBand="0" w:noVBand="0"/>
      </w:tblPr>
      <w:tblGrid>
        <w:gridCol w:w="2585"/>
        <w:gridCol w:w="5068"/>
      </w:tblGrid>
      <w:tr w:rsidR="00D9252F" w:rsidRPr="00FE5FBD" w14:paraId="366B3770" w14:textId="77777777" w:rsidTr="00EE2E0D">
        <w:tc>
          <w:tcPr>
            <w:tcW w:w="2585" w:type="dxa"/>
            <w:tcMar>
              <w:top w:w="28" w:type="dxa"/>
              <w:bottom w:w="28" w:type="dxa"/>
            </w:tcMar>
          </w:tcPr>
          <w:p w14:paraId="0A778214" w14:textId="77777777" w:rsidR="00D9252F" w:rsidRPr="00FE5FBD" w:rsidRDefault="00D9252F" w:rsidP="005C2D01">
            <w:pPr>
              <w:tabs>
                <w:tab w:val="left" w:pos="851"/>
              </w:tabs>
              <w:spacing w:after="60"/>
              <w:rPr>
                <w:iCs/>
              </w:rPr>
            </w:pPr>
            <w:r w:rsidRPr="00FE5FBD">
              <w:rPr>
                <w:iCs/>
              </w:rPr>
              <w:t>Granica żółtego</w:t>
            </w:r>
          </w:p>
        </w:tc>
        <w:tc>
          <w:tcPr>
            <w:tcW w:w="5068" w:type="dxa"/>
            <w:tcMar>
              <w:top w:w="28" w:type="dxa"/>
              <w:bottom w:w="28" w:type="dxa"/>
            </w:tcMar>
          </w:tcPr>
          <w:p w14:paraId="25C5F596" w14:textId="77777777" w:rsidR="00D9252F" w:rsidRPr="00FE5FBD" w:rsidRDefault="00D9252F" w:rsidP="005C2D01">
            <w:pPr>
              <w:tabs>
                <w:tab w:val="left" w:pos="851"/>
              </w:tabs>
              <w:spacing w:after="60"/>
              <w:rPr>
                <w:iCs/>
              </w:rPr>
            </w:pPr>
            <w:r w:rsidRPr="00FE5FBD">
              <w:rPr>
                <w:iCs/>
              </w:rPr>
              <w:t>x = 0.440</w:t>
            </w:r>
          </w:p>
        </w:tc>
      </w:tr>
      <w:tr w:rsidR="00D9252F" w:rsidRPr="00FE5FBD" w14:paraId="6E0E4D5B" w14:textId="77777777" w:rsidTr="00EE2E0D">
        <w:tc>
          <w:tcPr>
            <w:tcW w:w="2585" w:type="dxa"/>
            <w:tcMar>
              <w:top w:w="28" w:type="dxa"/>
              <w:bottom w:w="28" w:type="dxa"/>
            </w:tcMar>
          </w:tcPr>
          <w:p w14:paraId="4A3A8327" w14:textId="77777777" w:rsidR="00D9252F" w:rsidRPr="00FE5FBD" w:rsidRDefault="00D9252F" w:rsidP="005C2D01">
            <w:pPr>
              <w:tabs>
                <w:tab w:val="left" w:pos="851"/>
              </w:tabs>
              <w:spacing w:after="60"/>
              <w:rPr>
                <w:iCs/>
              </w:rPr>
            </w:pPr>
            <w:r w:rsidRPr="00FE5FBD">
              <w:rPr>
                <w:iCs/>
              </w:rPr>
              <w:t>Granica niebieskiego</w:t>
            </w:r>
          </w:p>
        </w:tc>
        <w:tc>
          <w:tcPr>
            <w:tcW w:w="5068" w:type="dxa"/>
            <w:tcMar>
              <w:top w:w="28" w:type="dxa"/>
              <w:bottom w:w="28" w:type="dxa"/>
            </w:tcMar>
          </w:tcPr>
          <w:p w14:paraId="41C6433D" w14:textId="77777777" w:rsidR="00D9252F" w:rsidRPr="00FE5FBD" w:rsidRDefault="00D9252F" w:rsidP="005C2D01">
            <w:pPr>
              <w:tabs>
                <w:tab w:val="left" w:pos="851"/>
              </w:tabs>
              <w:spacing w:after="60"/>
              <w:rPr>
                <w:iCs/>
              </w:rPr>
            </w:pPr>
            <w:r w:rsidRPr="00FE5FBD">
              <w:rPr>
                <w:iCs/>
              </w:rPr>
              <w:t>x = 0.320</w:t>
            </w:r>
          </w:p>
        </w:tc>
      </w:tr>
      <w:tr w:rsidR="00D9252F" w:rsidRPr="00FE5FBD" w14:paraId="6D74EFEA" w14:textId="77777777" w:rsidTr="00EE2E0D">
        <w:tc>
          <w:tcPr>
            <w:tcW w:w="2585" w:type="dxa"/>
            <w:tcMar>
              <w:top w:w="28" w:type="dxa"/>
              <w:bottom w:w="28" w:type="dxa"/>
            </w:tcMar>
          </w:tcPr>
          <w:p w14:paraId="35BA7FDD" w14:textId="77777777" w:rsidR="00D9252F" w:rsidRPr="00FE5FBD" w:rsidRDefault="00D9252F" w:rsidP="005C2D01">
            <w:pPr>
              <w:tabs>
                <w:tab w:val="left" w:pos="851"/>
              </w:tabs>
              <w:spacing w:after="60"/>
              <w:rPr>
                <w:iCs/>
              </w:rPr>
            </w:pPr>
            <w:r w:rsidRPr="00FE5FBD">
              <w:rPr>
                <w:iCs/>
              </w:rPr>
              <w:t>Granica zielonego</w:t>
            </w:r>
          </w:p>
        </w:tc>
        <w:tc>
          <w:tcPr>
            <w:tcW w:w="5068" w:type="dxa"/>
            <w:tcMar>
              <w:top w:w="28" w:type="dxa"/>
              <w:bottom w:w="28" w:type="dxa"/>
            </w:tcMar>
          </w:tcPr>
          <w:p w14:paraId="4EC81907" w14:textId="77777777" w:rsidR="00D9252F" w:rsidRPr="00FE5FBD" w:rsidRDefault="00D9252F" w:rsidP="005C2D01">
            <w:pPr>
              <w:tabs>
                <w:tab w:val="left" w:pos="851"/>
              </w:tabs>
              <w:spacing w:after="60"/>
              <w:rPr>
                <w:iCs/>
              </w:rPr>
            </w:pPr>
            <w:r w:rsidRPr="00FE5FBD">
              <w:rPr>
                <w:iCs/>
              </w:rPr>
              <w:t>y = 0.150 + 0.643x</w:t>
            </w:r>
          </w:p>
        </w:tc>
      </w:tr>
      <w:tr w:rsidR="00D9252F" w:rsidRPr="00FE5FBD" w14:paraId="2F07A55D" w14:textId="77777777" w:rsidTr="00EE2E0D">
        <w:tc>
          <w:tcPr>
            <w:tcW w:w="2585" w:type="dxa"/>
            <w:tcMar>
              <w:top w:w="28" w:type="dxa"/>
              <w:bottom w:w="28" w:type="dxa"/>
            </w:tcMar>
          </w:tcPr>
          <w:p w14:paraId="3A24E410" w14:textId="77777777" w:rsidR="00D9252F" w:rsidRPr="00FE5FBD" w:rsidRDefault="00D9252F" w:rsidP="005C2D01">
            <w:pPr>
              <w:tabs>
                <w:tab w:val="left" w:pos="851"/>
              </w:tabs>
              <w:rPr>
                <w:iCs/>
              </w:rPr>
            </w:pPr>
            <w:r w:rsidRPr="00FE5FBD">
              <w:rPr>
                <w:iCs/>
              </w:rPr>
              <w:t>Granica fioletowego</w:t>
            </w:r>
          </w:p>
        </w:tc>
        <w:tc>
          <w:tcPr>
            <w:tcW w:w="5068" w:type="dxa"/>
            <w:tcMar>
              <w:top w:w="28" w:type="dxa"/>
              <w:bottom w:w="28" w:type="dxa"/>
            </w:tcMar>
          </w:tcPr>
          <w:p w14:paraId="344DFDA0" w14:textId="77777777" w:rsidR="00D9252F" w:rsidRPr="00FE5FBD" w:rsidRDefault="00D9252F" w:rsidP="005C2D01">
            <w:pPr>
              <w:tabs>
                <w:tab w:val="left" w:pos="851"/>
              </w:tabs>
              <w:rPr>
                <w:iCs/>
              </w:rPr>
            </w:pPr>
            <w:r w:rsidRPr="00FE5FBD">
              <w:rPr>
                <w:iCs/>
              </w:rPr>
              <w:t>y = 0.050 + 0.757x</w:t>
            </w:r>
          </w:p>
        </w:tc>
      </w:tr>
    </w:tbl>
    <w:p w14:paraId="535FAA24" w14:textId="546391AD" w:rsidR="00D9252F" w:rsidRPr="00FE5FBD" w:rsidRDefault="005C2D01" w:rsidP="00EE2E0D">
      <w:pPr>
        <w:tabs>
          <w:tab w:val="left" w:pos="1134"/>
        </w:tabs>
        <w:spacing w:before="240" w:after="60"/>
        <w:ind w:left="1134" w:hanging="567"/>
        <w:rPr>
          <w:iCs/>
        </w:rPr>
      </w:pPr>
      <w:r w:rsidRPr="00FE5FBD">
        <w:rPr>
          <w:iCs/>
        </w:rPr>
        <w:t>(6</w:t>
      </w:r>
      <w:r w:rsidR="00D9252F" w:rsidRPr="00FE5FBD">
        <w:rPr>
          <w:iCs/>
        </w:rPr>
        <w:t>)</w:t>
      </w:r>
      <w:r w:rsidR="00D9252F" w:rsidRPr="00FE5FBD">
        <w:rPr>
          <w:iCs/>
        </w:rPr>
        <w:tab/>
        <w:t>Biały zmienny</w:t>
      </w:r>
    </w:p>
    <w:tbl>
      <w:tblPr>
        <w:tblW w:w="8077" w:type="dxa"/>
        <w:tblInd w:w="1134" w:type="dxa"/>
        <w:tblCellMar>
          <w:left w:w="0" w:type="dxa"/>
          <w:right w:w="0" w:type="dxa"/>
        </w:tblCellMar>
        <w:tblLook w:val="01E0" w:firstRow="1" w:lastRow="1" w:firstColumn="1" w:lastColumn="1" w:noHBand="0" w:noVBand="0"/>
      </w:tblPr>
      <w:tblGrid>
        <w:gridCol w:w="8077"/>
      </w:tblGrid>
      <w:tr w:rsidR="00D9252F" w:rsidRPr="00FE5FBD" w14:paraId="11A3348E" w14:textId="77777777" w:rsidTr="00EE2E0D">
        <w:tc>
          <w:tcPr>
            <w:tcW w:w="8077" w:type="dxa"/>
            <w:tcMar>
              <w:top w:w="28" w:type="dxa"/>
              <w:bottom w:w="28" w:type="dxa"/>
            </w:tcMar>
          </w:tcPr>
          <w:p w14:paraId="180EFA40" w14:textId="1AB7B69B" w:rsidR="00D9252F" w:rsidRPr="00FE5FBD" w:rsidRDefault="00D9252F" w:rsidP="00087459">
            <w:pPr>
              <w:tabs>
                <w:tab w:val="left" w:pos="851"/>
              </w:tabs>
              <w:rPr>
                <w:iCs/>
              </w:rPr>
            </w:pPr>
            <w:r w:rsidRPr="00FE5FBD">
              <w:rPr>
                <w:iCs/>
              </w:rPr>
              <w:t xml:space="preserve">Granice dla koloru białego zmiennego dla świateł </w:t>
            </w:r>
            <w:r w:rsidR="00230CA6" w:rsidRPr="00FE5FBD">
              <w:rPr>
                <w:iCs/>
              </w:rPr>
              <w:t xml:space="preserve">półprzewodnikowych </w:t>
            </w:r>
            <w:r w:rsidRPr="00FE5FBD">
              <w:rPr>
                <w:iCs/>
              </w:rPr>
              <w:t xml:space="preserve">LED są takie jak </w:t>
            </w:r>
            <w:r w:rsidR="00230CA6" w:rsidRPr="00FE5FBD">
              <w:rPr>
                <w:iCs/>
              </w:rPr>
              <w:t xml:space="preserve">określono </w:t>
            </w:r>
            <w:r w:rsidRPr="00FE5FBD">
              <w:rPr>
                <w:iCs/>
              </w:rPr>
              <w:t xml:space="preserve">w </w:t>
            </w:r>
            <w:hyperlink w:anchor="_CS_ADR-DSN.U.930_" w:history="1">
              <w:r w:rsidR="005C2D01" w:rsidRPr="00FE5FBD">
                <w:rPr>
                  <w:rStyle w:val="Hipercze"/>
                  <w:color w:val="0000FF"/>
                </w:rPr>
                <w:t>CS ADR-DSN.U.930</w:t>
              </w:r>
            </w:hyperlink>
            <w:r w:rsidR="005C2D01" w:rsidRPr="00FE5FBD">
              <w:t xml:space="preserve"> lit. (d) pkt (5)</w:t>
            </w:r>
            <w:r w:rsidR="00467C7D" w:rsidRPr="00FE5FBD">
              <w:t xml:space="preserve"> powyżej</w:t>
            </w:r>
            <w:r w:rsidRPr="00FE5FBD">
              <w:rPr>
                <w:iCs/>
              </w:rPr>
              <w:t>.</w:t>
            </w:r>
          </w:p>
        </w:tc>
      </w:tr>
    </w:tbl>
    <w:p w14:paraId="0F953D8E" w14:textId="020AD08A" w:rsidR="00230CA6" w:rsidRPr="00FE5FBD" w:rsidRDefault="005C2D01" w:rsidP="00EE2E0D">
      <w:pPr>
        <w:tabs>
          <w:tab w:val="left" w:pos="567"/>
        </w:tabs>
        <w:spacing w:before="120"/>
        <w:ind w:left="567" w:hanging="556"/>
      </w:pPr>
      <w:r w:rsidRPr="00FE5FBD">
        <w:rPr>
          <w:iCs/>
        </w:rPr>
        <w:t xml:space="preserve">(e) </w:t>
      </w:r>
      <w:r w:rsidRPr="00FE5FBD">
        <w:rPr>
          <w:iCs/>
        </w:rPr>
        <w:tab/>
      </w:r>
      <w:r w:rsidR="00230CA6" w:rsidRPr="00FE5FBD">
        <w:t>Pomiar koloru dla źródeł światła typu żarnikowego oraz źródeł światła o charakterze stałym (</w:t>
      </w:r>
      <w:r w:rsidR="00230CA6" w:rsidRPr="00FE5FBD">
        <w:rPr>
          <w:iCs/>
        </w:rPr>
        <w:t>półprzewodnikowych):</w:t>
      </w:r>
    </w:p>
    <w:p w14:paraId="06AF7DB8" w14:textId="31C0511C" w:rsidR="00230CA6" w:rsidRPr="00FE5FBD" w:rsidRDefault="00230CA6" w:rsidP="00EE2E0D">
      <w:pPr>
        <w:tabs>
          <w:tab w:val="left" w:pos="1134"/>
        </w:tabs>
        <w:spacing w:before="240" w:after="60"/>
        <w:ind w:left="1134" w:hanging="567"/>
        <w:rPr>
          <w:iCs/>
        </w:rPr>
      </w:pPr>
      <w:r w:rsidRPr="00FE5FBD">
        <w:rPr>
          <w:iCs/>
        </w:rPr>
        <w:t>(1)</w:t>
      </w:r>
      <w:r w:rsidRPr="00FE5FBD">
        <w:rPr>
          <w:iCs/>
        </w:rPr>
        <w:tab/>
        <w:t>Kolor naziemnych świateł lotniczych należy weryfikować, czy zawiera się w granicach określonych odpowiednio na Rysunku U1A lub U1B,</w:t>
      </w:r>
      <w:r w:rsidR="00467C7D" w:rsidRPr="00FE5FBD">
        <w:rPr>
          <w:iCs/>
        </w:rPr>
        <w:t xml:space="preserve"> poprzez dokonywanie pomiarów w </w:t>
      </w:r>
      <w:r w:rsidRPr="00FE5FBD">
        <w:rPr>
          <w:iCs/>
        </w:rPr>
        <w:t xml:space="preserve">pięciu punktach wewnątrz obszaru ograniczonego przez wewnętrzną krzywą izokandeli w </w:t>
      </w:r>
      <w:hyperlink w:anchor="_CS_ADR-DSN.U.940_" w:history="1">
        <w:r w:rsidRPr="00FE5FBD">
          <w:rPr>
            <w:rStyle w:val="Hipercze"/>
            <w:color w:val="0000FF"/>
          </w:rPr>
          <w:t>CS ADR-DSN.U.940</w:t>
        </w:r>
      </w:hyperlink>
      <w:r w:rsidRPr="00FE5FBD">
        <w:t>,</w:t>
      </w:r>
      <w:r w:rsidRPr="00FE5FBD">
        <w:rPr>
          <w:iCs/>
        </w:rPr>
        <w:t xml:space="preserve"> przy określonym natężeniu lub napięciu. W przypadku krzywych izokandeli o kształcie elipsy lub okręgu, pomiar koloru jest wykonywany w jej środku oraz na granicach poziomych i pionowych. W przypadku krzywych izokandeli o kształcie prostokątnym, pomiar koloru jest wykonywany w jej środku oraz na granicy przekątnych (w narożach). Ponadto, kolor świateł jest sprawdzany na zewnętrznej krzywej izokandeli w celu zapewnienia, że nie występuje zmiana koloru, która mogłaby powodować wysyłanie sygnału wprowadzającego w błąd pilota.</w:t>
      </w:r>
    </w:p>
    <w:p w14:paraId="5E2F4630" w14:textId="59B0CBC6" w:rsidR="00087459" w:rsidRPr="00FE5FBD" w:rsidRDefault="00230CA6" w:rsidP="00EE2E0D">
      <w:pPr>
        <w:tabs>
          <w:tab w:val="left" w:pos="1134"/>
        </w:tabs>
        <w:spacing w:before="240" w:after="60"/>
        <w:ind w:left="1134" w:hanging="567"/>
        <w:rPr>
          <w:szCs w:val="20"/>
        </w:rPr>
      </w:pPr>
      <w:r w:rsidRPr="00FE5FBD">
        <w:rPr>
          <w:iCs/>
        </w:rPr>
        <w:t>(2)</w:t>
      </w:r>
      <w:r w:rsidRPr="00FE5FBD">
        <w:rPr>
          <w:iCs/>
        </w:rPr>
        <w:tab/>
        <w:t xml:space="preserve">W przypadku systemu wskaźników ścieżki podejścia i innych jednostek świetlnych posiadających sektor przejściowy kolorów, kolor powinien być mierzony w punktach zgodnie z </w:t>
      </w:r>
      <w:hyperlink w:anchor="_CS_ADR-DSN.U.930_" w:history="1">
        <w:r w:rsidRPr="00FE5FBD">
          <w:rPr>
            <w:rStyle w:val="Hipercze"/>
            <w:color w:val="0000FF"/>
          </w:rPr>
          <w:t>CS ADR-DSN.U.930</w:t>
        </w:r>
      </w:hyperlink>
      <w:r w:rsidRPr="00FE5FBD">
        <w:t xml:space="preserve"> lit. (e) pkt (1)</w:t>
      </w:r>
      <w:r w:rsidR="00467C7D" w:rsidRPr="00FE5FBD">
        <w:t xml:space="preserve"> powyżej</w:t>
      </w:r>
      <w:r w:rsidRPr="00FE5FBD">
        <w:rPr>
          <w:iCs/>
        </w:rPr>
        <w:t>, z wyjątkiem przypadku, gdy takie kolorowe obszary powinny być traktowane oddzielnie i żaden punkt nie powinien znajdować się w zakresie 0.5° sektora przejściowego.</w:t>
      </w:r>
    </w:p>
    <w:p w14:paraId="56A4875D" w14:textId="77777777" w:rsidR="00087459" w:rsidRPr="009E064B" w:rsidRDefault="00087459" w:rsidP="00EE2E0D">
      <w:pPr>
        <w:tabs>
          <w:tab w:val="left" w:pos="1134"/>
        </w:tabs>
        <w:spacing w:before="240" w:after="60"/>
        <w:ind w:left="1134" w:hanging="567"/>
        <w:rPr>
          <w:szCs w:val="20"/>
        </w:rPr>
      </w:pPr>
    </w:p>
    <w:p w14:paraId="511DF35A" w14:textId="7584D6BE" w:rsidR="00C36D76" w:rsidRPr="009E064B" w:rsidRDefault="00087459" w:rsidP="00B06A9A">
      <w:pPr>
        <w:jc w:val="center"/>
        <w:rPr>
          <w:szCs w:val="20"/>
        </w:rPr>
      </w:pPr>
      <w:r w:rsidRPr="009E064B">
        <w:rPr>
          <w:noProof/>
          <w:lang w:eastAsia="pl-PL"/>
        </w:rPr>
        <w:drawing>
          <wp:inline distT="0" distB="0" distL="0" distR="0" wp14:anchorId="042F27F2" wp14:editId="39796C0D">
            <wp:extent cx="5759450" cy="6367078"/>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59450" cy="6367078"/>
                    </a:xfrm>
                    <a:prstGeom prst="rect">
                      <a:avLst/>
                    </a:prstGeom>
                    <a:noFill/>
                    <a:ln>
                      <a:noFill/>
                    </a:ln>
                  </pic:spPr>
                </pic:pic>
              </a:graphicData>
            </a:graphic>
          </wp:inline>
        </w:drawing>
      </w:r>
    </w:p>
    <w:p w14:paraId="523BEDAA" w14:textId="416B7953" w:rsidR="00087459" w:rsidRPr="00FE5FBD" w:rsidRDefault="00087459" w:rsidP="00087459">
      <w:pPr>
        <w:jc w:val="center"/>
        <w:rPr>
          <w:b/>
          <w:sz w:val="20"/>
          <w:szCs w:val="20"/>
        </w:rPr>
      </w:pPr>
      <w:r w:rsidRPr="00FE5FBD">
        <w:rPr>
          <w:b/>
          <w:sz w:val="20"/>
          <w:szCs w:val="20"/>
        </w:rPr>
        <w:t>Rysunek U-1</w:t>
      </w:r>
      <w:r w:rsidR="00E67E95" w:rsidRPr="00FE5FBD">
        <w:rPr>
          <w:b/>
          <w:sz w:val="20"/>
          <w:szCs w:val="20"/>
        </w:rPr>
        <w:t>A</w:t>
      </w:r>
      <w:r w:rsidRPr="00FE5FBD">
        <w:rPr>
          <w:b/>
          <w:sz w:val="20"/>
          <w:szCs w:val="20"/>
        </w:rPr>
        <w:t>.   Kolory naziemnych świateł lotniczych (lampy typu żarnikowego)</w:t>
      </w:r>
    </w:p>
    <w:p w14:paraId="467CDAE2" w14:textId="7BA577FC" w:rsidR="00087459" w:rsidRPr="009E064B" w:rsidRDefault="00C36D76" w:rsidP="00467C7D">
      <w:pPr>
        <w:pStyle w:val="Tekstpodstawowy"/>
        <w:spacing w:before="200" w:after="0"/>
        <w:ind w:left="23" w:hanging="23"/>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5F8FC5B" w14:textId="43A4B5A1" w:rsidR="00E67E95" w:rsidRPr="009E064B" w:rsidRDefault="00E67E95" w:rsidP="00467C7D">
      <w:pPr>
        <w:pStyle w:val="Tekstpodstawowy"/>
        <w:ind w:left="23" w:hanging="23"/>
      </w:pPr>
      <w:r w:rsidRPr="000412BF">
        <w:rPr>
          <w:rFonts w:asciiTheme="minorHAnsi" w:hAnsiTheme="minorHAnsi" w:cstheme="minorHAnsi"/>
          <w:i/>
          <w:sz w:val="16"/>
          <w:szCs w:val="16"/>
        </w:rPr>
        <w:t>[Wydanie: ADR-DSN/4]</w:t>
      </w:r>
    </w:p>
    <w:p w14:paraId="3EE5E598" w14:textId="4957780D" w:rsidR="00087459" w:rsidRPr="009E064B" w:rsidRDefault="00087459" w:rsidP="00087459">
      <w:r w:rsidRPr="009E064B">
        <w:rPr>
          <w:noProof/>
          <w:lang w:eastAsia="pl-PL"/>
        </w:rPr>
        <w:drawing>
          <wp:inline distT="0" distB="0" distL="0" distR="0" wp14:anchorId="3BA55C8C" wp14:editId="729753C6">
            <wp:extent cx="5759450" cy="7292806"/>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759450" cy="7292806"/>
                    </a:xfrm>
                    <a:prstGeom prst="rect">
                      <a:avLst/>
                    </a:prstGeom>
                    <a:noFill/>
                    <a:ln>
                      <a:noFill/>
                    </a:ln>
                  </pic:spPr>
                </pic:pic>
              </a:graphicData>
            </a:graphic>
          </wp:inline>
        </w:drawing>
      </w:r>
    </w:p>
    <w:p w14:paraId="7825B164" w14:textId="414D3739" w:rsidR="00087459" w:rsidRPr="00FE5FBD" w:rsidRDefault="00E67E95" w:rsidP="00087459">
      <w:pPr>
        <w:jc w:val="center"/>
        <w:rPr>
          <w:b/>
          <w:sz w:val="20"/>
          <w:szCs w:val="20"/>
        </w:rPr>
      </w:pPr>
      <w:r w:rsidRPr="00FE5FBD">
        <w:rPr>
          <w:b/>
          <w:sz w:val="20"/>
          <w:szCs w:val="20"/>
        </w:rPr>
        <w:t>Rysunek U</w:t>
      </w:r>
      <w:r w:rsidR="00087459" w:rsidRPr="00FE5FBD">
        <w:rPr>
          <w:b/>
          <w:sz w:val="20"/>
          <w:szCs w:val="20"/>
        </w:rPr>
        <w:t>-1b.   Kolory naziemnych świateł lotniczych o charakterze stałym (półprzewodnikowych)</w:t>
      </w:r>
    </w:p>
    <w:p w14:paraId="4A4C4D57" w14:textId="3F2EACA7" w:rsidR="0044331D" w:rsidRPr="00FE5FBD" w:rsidRDefault="0044331D" w:rsidP="00467C7D">
      <w:pPr>
        <w:spacing w:before="200"/>
        <w:rPr>
          <w:iCs/>
        </w:rPr>
      </w:pPr>
      <w:r w:rsidRPr="00FE5FBD">
        <w:rPr>
          <w:rFonts w:asciiTheme="minorHAnsi" w:hAnsiTheme="minorHAnsi" w:cstheme="minorHAnsi"/>
          <w:i/>
          <w:sz w:val="16"/>
          <w:szCs w:val="16"/>
        </w:rPr>
        <w:t>[Wydanie: ADR-DSN/4]</w:t>
      </w:r>
    </w:p>
    <w:p w14:paraId="329CE45E" w14:textId="1168B862" w:rsidR="002B42AA" w:rsidRPr="009E064B" w:rsidRDefault="002B42AA">
      <w:pPr>
        <w:spacing w:after="0"/>
        <w:jc w:val="left"/>
        <w:rPr>
          <w:szCs w:val="20"/>
        </w:rPr>
      </w:pPr>
      <w:r w:rsidRPr="009E064B">
        <w:rPr>
          <w:szCs w:val="20"/>
        </w:rPr>
        <w:br w:type="page"/>
      </w:r>
    </w:p>
    <w:p w14:paraId="47F1AE55" w14:textId="0DB06AD6" w:rsidR="0061499D" w:rsidRPr="009E064B" w:rsidRDefault="0061499D" w:rsidP="00133B99">
      <w:pPr>
        <w:pStyle w:val="Nagwek6"/>
      </w:pPr>
      <w:bookmarkStart w:id="1866" w:name="_GM1_ADR-DSN.U.930_"/>
      <w:bookmarkStart w:id="1867" w:name="_Toc401059097"/>
      <w:bookmarkStart w:id="1868" w:name="_Toc482886970"/>
      <w:bookmarkStart w:id="1869" w:name="_Toc12533329"/>
      <w:bookmarkEnd w:id="1866"/>
      <w:r w:rsidRPr="009E064B">
        <w:t xml:space="preserve">GM1 ADR-DSN.U.930 </w:t>
      </w:r>
      <w:r w:rsidR="00F2513E" w:rsidRPr="009E064B">
        <w:t xml:space="preserve">    </w:t>
      </w:r>
      <w:r w:rsidRPr="009E064B">
        <w:t>Kolory naziemnych świateł lotniczych</w:t>
      </w:r>
      <w:bookmarkEnd w:id="1867"/>
      <w:bookmarkEnd w:id="1868"/>
      <w:bookmarkEnd w:id="1869"/>
    </w:p>
    <w:p w14:paraId="2EECE8FC" w14:textId="722E8679" w:rsidR="00F2513E" w:rsidRPr="009E064B" w:rsidRDefault="00D63D4F" w:rsidP="00F2513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1DB9D7F6" w14:textId="04F86C67" w:rsidR="0061499D" w:rsidRPr="00FE5FBD" w:rsidRDefault="0061499D" w:rsidP="00B06A9A">
      <w:pPr>
        <w:tabs>
          <w:tab w:val="left" w:pos="567"/>
        </w:tabs>
        <w:autoSpaceDE w:val="0"/>
        <w:autoSpaceDN w:val="0"/>
        <w:adjustRightInd w:val="0"/>
        <w:ind w:left="567" w:hanging="567"/>
        <w:rPr>
          <w:rFonts w:eastAsia="Times New Roman,Italic" w:cs="Times New Roman,Italic"/>
          <w:iCs/>
          <w:szCs w:val="20"/>
        </w:rPr>
      </w:pPr>
      <w:r w:rsidRPr="00FE5FBD">
        <w:rPr>
          <w:rFonts w:cs="TimesNewRomanPS-BoldItalicMT"/>
          <w:bCs/>
          <w:iCs/>
          <w:szCs w:val="20"/>
        </w:rPr>
        <w:t xml:space="preserve">(a) </w:t>
      </w:r>
      <w:r w:rsidRPr="00FE5FBD">
        <w:rPr>
          <w:rFonts w:cs="TimesNewRomanPS-BoldItalicMT"/>
          <w:bCs/>
          <w:iCs/>
          <w:szCs w:val="20"/>
        </w:rPr>
        <w:tab/>
      </w:r>
      <w:r w:rsidR="00342C07" w:rsidRPr="00FE5FBD">
        <w:rPr>
          <w:rFonts w:eastAsia="Times New Roman,Italic" w:cs="Times New Roman,Italic"/>
          <w:iCs/>
          <w:szCs w:val="20"/>
        </w:rPr>
        <w:t>Chromatyczność świateł naziemnych posiadających źródło światła typu żarnikowego, w</w:t>
      </w:r>
      <w:r w:rsidR="002B42AA" w:rsidRPr="00FE5FBD">
        <w:rPr>
          <w:rFonts w:eastAsia="Times New Roman,Italic" w:cs="Times New Roman,Italic"/>
          <w:iCs/>
          <w:szCs w:val="20"/>
        </w:rPr>
        <w:t> </w:t>
      </w:r>
      <w:r w:rsidRPr="00FE5FBD">
        <w:rPr>
          <w:rFonts w:eastAsia="Times New Roman,Italic" w:cs="Times New Roman,Italic"/>
          <w:iCs/>
          <w:szCs w:val="20"/>
        </w:rPr>
        <w:t>przypadku, gdy nie jest wymagane przyciemnianie, lub gdy obserwatorzy z wadą rozpoznawania kolorów powinn</w:t>
      </w:r>
      <w:r w:rsidR="00467C7D" w:rsidRPr="00FE5FBD">
        <w:rPr>
          <w:rFonts w:eastAsia="Times New Roman,Italic" w:cs="Times New Roman,Italic"/>
          <w:iCs/>
          <w:szCs w:val="20"/>
        </w:rPr>
        <w:t>i</w:t>
      </w:r>
      <w:r w:rsidRPr="00FE5FBD">
        <w:rPr>
          <w:rFonts w:eastAsia="Times New Roman,Italic" w:cs="Times New Roman,Italic"/>
          <w:iCs/>
          <w:szCs w:val="20"/>
        </w:rPr>
        <w:t xml:space="preserve"> być w stanie określić kolor światła, wówczas sygnały koloru zielonego powinny zawierać się w poniższych granicach:</w:t>
      </w:r>
    </w:p>
    <w:p w14:paraId="7D9EAD1D" w14:textId="1A605685" w:rsidR="0061499D" w:rsidRPr="00FE5FBD" w:rsidRDefault="0061499D" w:rsidP="002F68DE">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Granica żółtego</w:t>
      </w:r>
      <w:r w:rsidRPr="00FE5FBD">
        <w:rPr>
          <w:rFonts w:eastAsia="Times New Roman,Italic" w:cs="Times New Roman,Italic"/>
          <w:iCs/>
          <w:szCs w:val="20"/>
        </w:rPr>
        <w:tab/>
        <w:t xml:space="preserve">y = 0.726 </w:t>
      </w:r>
      <w:r w:rsidR="00467C7D" w:rsidRPr="00FE5FBD">
        <w:rPr>
          <w:iCs/>
        </w:rPr>
        <w:t>–</w:t>
      </w:r>
      <w:r w:rsidRPr="00FE5FBD">
        <w:rPr>
          <w:rFonts w:eastAsia="Times New Roman,Italic" w:cs="Times New Roman,Italic"/>
          <w:iCs/>
          <w:szCs w:val="20"/>
        </w:rPr>
        <w:t xml:space="preserve"> 0.726x</w:t>
      </w:r>
    </w:p>
    <w:p w14:paraId="4B642CF1" w14:textId="05C9AF64" w:rsidR="0061499D" w:rsidRPr="00FE5FBD" w:rsidRDefault="0061499D" w:rsidP="002F68DE">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Granica białego</w:t>
      </w:r>
      <w:r w:rsidRPr="00FE5FBD">
        <w:rPr>
          <w:rFonts w:eastAsia="Times New Roman,Italic" w:cs="Times New Roman,Italic"/>
          <w:iCs/>
          <w:szCs w:val="20"/>
        </w:rPr>
        <w:tab/>
        <w:t>x = 0.650y</w:t>
      </w:r>
    </w:p>
    <w:p w14:paraId="5D1CF9AF" w14:textId="726AA5FC" w:rsidR="0061499D" w:rsidRPr="00FE5FBD" w:rsidRDefault="0061499D" w:rsidP="002F68DE">
      <w:pPr>
        <w:tabs>
          <w:tab w:val="left" w:pos="1134"/>
          <w:tab w:val="left" w:pos="3119"/>
        </w:tabs>
        <w:autoSpaceDE w:val="0"/>
        <w:autoSpaceDN w:val="0"/>
        <w:adjustRightInd w:val="0"/>
        <w:ind w:left="1134" w:hanging="567"/>
        <w:rPr>
          <w:szCs w:val="20"/>
        </w:rPr>
      </w:pPr>
      <w:r w:rsidRPr="00FE5FBD">
        <w:rPr>
          <w:rFonts w:eastAsia="Times New Roman,Italic" w:cs="Times New Roman,Italic"/>
          <w:iCs/>
          <w:szCs w:val="20"/>
        </w:rPr>
        <w:t>Granica niebieskiego</w:t>
      </w:r>
      <w:r w:rsidRPr="00FE5FBD">
        <w:rPr>
          <w:rFonts w:eastAsia="Times New Roman,Italic" w:cs="Times New Roman,Italic"/>
          <w:iCs/>
          <w:szCs w:val="20"/>
        </w:rPr>
        <w:tab/>
        <w:t xml:space="preserve">y = 0.390 </w:t>
      </w:r>
      <w:r w:rsidR="00467C7D" w:rsidRPr="00FE5FBD">
        <w:rPr>
          <w:iCs/>
        </w:rPr>
        <w:t>–</w:t>
      </w:r>
      <w:r w:rsidRPr="00FE5FBD">
        <w:rPr>
          <w:rFonts w:eastAsia="Times New Roman,Italic" w:cs="Times New Roman,Italic"/>
          <w:iCs/>
          <w:szCs w:val="20"/>
        </w:rPr>
        <w:t xml:space="preserve"> 0.171x</w:t>
      </w:r>
    </w:p>
    <w:p w14:paraId="3BA38A23" w14:textId="1E0CFD63" w:rsidR="0061499D" w:rsidRPr="00FE5FBD" w:rsidRDefault="0061499D" w:rsidP="00B06A9A">
      <w:pPr>
        <w:tabs>
          <w:tab w:val="left" w:pos="567"/>
        </w:tabs>
        <w:autoSpaceDE w:val="0"/>
        <w:autoSpaceDN w:val="0"/>
        <w:adjustRightInd w:val="0"/>
        <w:ind w:left="567" w:hanging="567"/>
        <w:rPr>
          <w:rFonts w:eastAsia="Times New Roman,Italic" w:cs="Times New Roman,Italic"/>
          <w:iCs/>
          <w:szCs w:val="20"/>
        </w:rPr>
      </w:pPr>
      <w:r w:rsidRPr="00FE5FBD">
        <w:rPr>
          <w:rFonts w:eastAsia="Times New Roman,Italic" w:cs="Times New Roman,Italic"/>
          <w:iCs/>
          <w:szCs w:val="20"/>
        </w:rPr>
        <w:t>(b)</w:t>
      </w:r>
      <w:r w:rsidRPr="00FE5FBD">
        <w:rPr>
          <w:rFonts w:eastAsia="Times New Roman,Italic" w:cs="Times New Roman,Italic"/>
          <w:iCs/>
          <w:szCs w:val="20"/>
        </w:rPr>
        <w:tab/>
        <w:t>Wytyczne dotyczące zmian chromatyczności wynikających z wpływu temperatury na elementy filtrujące są określone w „</w:t>
      </w:r>
      <w:r w:rsidRPr="00FE5FBD">
        <w:rPr>
          <w:rFonts w:eastAsia="Times New Roman,Italic" w:cs="Times New Roman,Italic"/>
          <w:i/>
          <w:iCs/>
          <w:szCs w:val="20"/>
        </w:rPr>
        <w:t>Podręczniku projektowania lotnisk</w:t>
      </w:r>
      <w:r w:rsidRPr="00FE5FBD">
        <w:rPr>
          <w:rFonts w:eastAsia="Times New Roman,Italic" w:cs="Times New Roman,Italic"/>
          <w:iCs/>
          <w:szCs w:val="20"/>
        </w:rPr>
        <w:t>” ICAO Doc 9157, Część 4 „</w:t>
      </w:r>
      <w:r w:rsidRPr="00FE5FBD">
        <w:rPr>
          <w:rFonts w:eastAsia="Times New Roman,Italic" w:cs="Times New Roman,Italic"/>
          <w:i/>
          <w:iCs/>
          <w:szCs w:val="20"/>
        </w:rPr>
        <w:t>Pomoce wzrokowe</w:t>
      </w:r>
      <w:r w:rsidRPr="00FE5FBD">
        <w:rPr>
          <w:rFonts w:eastAsia="Times New Roman,Italic" w:cs="Times New Roman,Italic"/>
          <w:iCs/>
          <w:szCs w:val="20"/>
        </w:rPr>
        <w:t>”.</w:t>
      </w:r>
    </w:p>
    <w:p w14:paraId="7361785B" w14:textId="0A8C9EAB" w:rsidR="0089409F" w:rsidRPr="00FE5FBD" w:rsidRDefault="0089409F" w:rsidP="00B06A9A">
      <w:pPr>
        <w:tabs>
          <w:tab w:val="left" w:pos="567"/>
        </w:tabs>
        <w:autoSpaceDE w:val="0"/>
        <w:autoSpaceDN w:val="0"/>
        <w:adjustRightInd w:val="0"/>
        <w:ind w:left="567" w:hanging="567"/>
        <w:rPr>
          <w:rFonts w:eastAsia="Times New Roman,Italic" w:cs="Times New Roman,Italic"/>
          <w:iCs/>
          <w:szCs w:val="20"/>
        </w:rPr>
      </w:pPr>
      <w:r w:rsidRPr="00FE5FBD">
        <w:rPr>
          <w:rFonts w:eastAsia="Times New Roman,Italic" w:cs="Times New Roman,Italic"/>
          <w:iCs/>
          <w:szCs w:val="20"/>
        </w:rPr>
        <w:t xml:space="preserve">(c) </w:t>
      </w:r>
      <w:r w:rsidRPr="00FE5FBD">
        <w:rPr>
          <w:rFonts w:eastAsia="Times New Roman,Italic" w:cs="Times New Roman,Italic"/>
          <w:iCs/>
          <w:szCs w:val="20"/>
        </w:rPr>
        <w:tab/>
        <w:t>Tam, gdzie kolor</w:t>
      </w:r>
      <w:r w:rsidR="002F68DE" w:rsidRPr="00FE5FBD">
        <w:rPr>
          <w:rFonts w:eastAsia="Times New Roman,Italic" w:cs="Times New Roman,Italic"/>
          <w:iCs/>
          <w:szCs w:val="20"/>
        </w:rPr>
        <w:t>owy</w:t>
      </w:r>
      <w:r w:rsidRPr="00FE5FBD">
        <w:rPr>
          <w:rFonts w:eastAsia="Times New Roman,Italic" w:cs="Times New Roman,Italic"/>
          <w:iCs/>
          <w:szCs w:val="20"/>
        </w:rPr>
        <w:t xml:space="preserve"> </w:t>
      </w:r>
      <w:r w:rsidR="002F68DE" w:rsidRPr="00FE5FBD">
        <w:rPr>
          <w:rFonts w:eastAsia="Times New Roman,Italic" w:cs="Times New Roman,Italic"/>
          <w:iCs/>
          <w:szCs w:val="20"/>
        </w:rPr>
        <w:t xml:space="preserve">sygnał </w:t>
      </w:r>
      <w:r w:rsidRPr="00FE5FBD">
        <w:rPr>
          <w:rFonts w:eastAsia="Times New Roman,Italic" w:cs="Times New Roman,Italic"/>
          <w:iCs/>
          <w:szCs w:val="20"/>
        </w:rPr>
        <w:t>ma być widoczny z dużej odległości, obecna praktyka polega na użyciu kolorów w granicach określonych w punkcie (a) powyżej.</w:t>
      </w:r>
    </w:p>
    <w:p w14:paraId="06E4AB20" w14:textId="1F4A1BA7" w:rsidR="00CC5603" w:rsidRPr="00FE5FBD" w:rsidRDefault="00CC5603" w:rsidP="00B06A9A">
      <w:pPr>
        <w:tabs>
          <w:tab w:val="left" w:pos="567"/>
        </w:tabs>
        <w:autoSpaceDE w:val="0"/>
        <w:autoSpaceDN w:val="0"/>
        <w:adjustRightInd w:val="0"/>
        <w:ind w:left="567" w:hanging="567"/>
        <w:rPr>
          <w:rFonts w:eastAsia="Times New Roman,Italic" w:cs="Times New Roman,Italic"/>
          <w:iCs/>
          <w:szCs w:val="20"/>
        </w:rPr>
      </w:pPr>
      <w:r w:rsidRPr="00FE5FBD">
        <w:rPr>
          <w:rFonts w:ascii="Arial" w:hAnsi="Arial" w:cs="Arial"/>
        </w:rPr>
        <w:t>(</w:t>
      </w:r>
      <w:r w:rsidRPr="00FE5FBD">
        <w:rPr>
          <w:rFonts w:eastAsia="Times New Roman,Italic" w:cs="Times New Roman,Italic"/>
          <w:iCs/>
          <w:szCs w:val="20"/>
        </w:rPr>
        <w:t xml:space="preserve">d) </w:t>
      </w:r>
      <w:r w:rsidRPr="00FE5FBD">
        <w:rPr>
          <w:rFonts w:eastAsia="Times New Roman,Italic" w:cs="Times New Roman,Italic"/>
          <w:iCs/>
          <w:szCs w:val="20"/>
        </w:rPr>
        <w:tab/>
      </w:r>
      <w:r w:rsidR="002F68DE" w:rsidRPr="00FE5FBD">
        <w:rPr>
          <w:rFonts w:eastAsia="Times New Roman,Italic" w:cs="Times New Roman,Italic"/>
          <w:iCs/>
          <w:szCs w:val="20"/>
        </w:rPr>
        <w:t>Dla chromatyczności</w:t>
      </w:r>
      <w:r w:rsidRPr="00FE5FBD">
        <w:rPr>
          <w:rFonts w:eastAsia="Times New Roman,Italic" w:cs="Times New Roman,Italic"/>
          <w:iCs/>
          <w:szCs w:val="20"/>
        </w:rPr>
        <w:t xml:space="preserve"> świateł naziemnych z</w:t>
      </w:r>
      <w:r w:rsidR="002F68DE" w:rsidRPr="00FE5FBD">
        <w:rPr>
          <w:rFonts w:eastAsia="Times New Roman,Italic" w:cs="Times New Roman,Italic"/>
          <w:iCs/>
          <w:szCs w:val="20"/>
        </w:rPr>
        <w:t>e stałymi</w:t>
      </w:r>
      <w:r w:rsidRPr="00FE5FBD">
        <w:rPr>
          <w:rFonts w:eastAsia="Times New Roman,Italic" w:cs="Times New Roman,Italic"/>
          <w:iCs/>
          <w:szCs w:val="20"/>
        </w:rPr>
        <w:t xml:space="preserve"> </w:t>
      </w:r>
      <w:r w:rsidR="002F68DE" w:rsidRPr="00FE5FBD">
        <w:rPr>
          <w:rFonts w:eastAsia="Times New Roman,Italic" w:cs="Times New Roman,Italic"/>
          <w:iCs/>
          <w:szCs w:val="20"/>
        </w:rPr>
        <w:t>(</w:t>
      </w:r>
      <w:r w:rsidRPr="00FE5FBD">
        <w:rPr>
          <w:rFonts w:eastAsia="Times New Roman,Italic" w:cs="Times New Roman,Italic"/>
          <w:iCs/>
          <w:szCs w:val="20"/>
        </w:rPr>
        <w:t>półprzewodnikowymi</w:t>
      </w:r>
      <w:r w:rsidR="002F68DE" w:rsidRPr="00FE5FBD">
        <w:rPr>
          <w:rFonts w:eastAsia="Times New Roman,Italic" w:cs="Times New Roman,Italic"/>
          <w:iCs/>
          <w:szCs w:val="20"/>
        </w:rPr>
        <w:t>)</w:t>
      </w:r>
      <w:r w:rsidRPr="00FE5FBD">
        <w:rPr>
          <w:rFonts w:eastAsia="Times New Roman,Italic" w:cs="Times New Roman,Italic"/>
          <w:iCs/>
          <w:szCs w:val="20"/>
        </w:rPr>
        <w:t xml:space="preserve"> źródłami światła, gdzie obserwatorzy z wadliwym widzeniem kolorów powinni być w stanie określić kolor światła, sygnały </w:t>
      </w:r>
      <w:r w:rsidR="00E7182D" w:rsidRPr="00FE5FBD">
        <w:rPr>
          <w:rFonts w:eastAsia="Times New Roman,Italic" w:cs="Times New Roman,Italic"/>
          <w:iCs/>
          <w:szCs w:val="20"/>
        </w:rPr>
        <w:t xml:space="preserve">koloru zielonego </w:t>
      </w:r>
      <w:r w:rsidRPr="00FE5FBD">
        <w:rPr>
          <w:rFonts w:eastAsia="Times New Roman,Italic" w:cs="Times New Roman,Italic"/>
          <w:iCs/>
          <w:szCs w:val="20"/>
        </w:rPr>
        <w:t xml:space="preserve">powinny mieścić się w następujących granicach: </w:t>
      </w:r>
    </w:p>
    <w:p w14:paraId="2C7FB8E4" w14:textId="072078E5" w:rsidR="00CC5603" w:rsidRPr="00FE5FBD" w:rsidRDefault="002F68DE"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Granica żółtego</w:t>
      </w:r>
      <w:r w:rsidR="00CC5603" w:rsidRPr="00FE5FBD">
        <w:rPr>
          <w:rFonts w:eastAsia="Times New Roman,Italic" w:cs="Times New Roman,Italic"/>
          <w:iCs/>
          <w:szCs w:val="20"/>
        </w:rPr>
        <w:t xml:space="preserve"> </w:t>
      </w:r>
      <w:r w:rsidR="00E7182D" w:rsidRPr="00FE5FBD">
        <w:rPr>
          <w:rFonts w:eastAsia="Times New Roman,Italic" w:cs="Times New Roman,Italic"/>
          <w:iCs/>
          <w:szCs w:val="20"/>
        </w:rPr>
        <w:tab/>
      </w:r>
      <w:r w:rsidR="00CC5603" w:rsidRPr="00FE5FBD">
        <w:rPr>
          <w:rFonts w:eastAsia="Times New Roman,Italic" w:cs="Times New Roman,Italic"/>
          <w:iCs/>
          <w:szCs w:val="20"/>
        </w:rPr>
        <w:t xml:space="preserve">y = 0,726 </w:t>
      </w:r>
      <w:r w:rsidR="00467C7D" w:rsidRPr="00FE5FBD">
        <w:rPr>
          <w:iCs/>
        </w:rPr>
        <w:t>–</w:t>
      </w:r>
      <w:r w:rsidR="00CC5603" w:rsidRPr="00FE5FBD">
        <w:rPr>
          <w:rFonts w:eastAsia="Times New Roman,Italic" w:cs="Times New Roman,Italic"/>
          <w:iCs/>
          <w:szCs w:val="20"/>
        </w:rPr>
        <w:t xml:space="preserve"> 0,726x </w:t>
      </w:r>
    </w:p>
    <w:p w14:paraId="438D374B" w14:textId="76A5D7FF" w:rsidR="00CC5603" w:rsidRPr="00FE5FBD" w:rsidRDefault="00E7182D"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Granica białego</w:t>
      </w:r>
      <w:r w:rsidR="00CC5603" w:rsidRPr="00FE5FBD">
        <w:rPr>
          <w:rFonts w:eastAsia="Times New Roman,Italic" w:cs="Times New Roman,Italic"/>
          <w:iCs/>
          <w:szCs w:val="20"/>
        </w:rPr>
        <w:t xml:space="preserve"> </w:t>
      </w:r>
      <w:r w:rsidRPr="00FE5FBD">
        <w:rPr>
          <w:rFonts w:eastAsia="Times New Roman,Italic" w:cs="Times New Roman,Italic"/>
          <w:iCs/>
          <w:szCs w:val="20"/>
        </w:rPr>
        <w:tab/>
      </w:r>
      <w:r w:rsidR="00CC5603" w:rsidRPr="00FE5FBD">
        <w:rPr>
          <w:rFonts w:eastAsia="Times New Roman,Italic" w:cs="Times New Roman,Italic"/>
          <w:iCs/>
          <w:szCs w:val="20"/>
        </w:rPr>
        <w:t xml:space="preserve">x = 0,625y </w:t>
      </w:r>
      <w:r w:rsidR="00467C7D" w:rsidRPr="00FE5FBD">
        <w:rPr>
          <w:iCs/>
        </w:rPr>
        <w:t>–</w:t>
      </w:r>
      <w:r w:rsidR="00CC5603" w:rsidRPr="00FE5FBD">
        <w:rPr>
          <w:rFonts w:eastAsia="Times New Roman,Italic" w:cs="Times New Roman,Italic"/>
          <w:iCs/>
          <w:szCs w:val="20"/>
        </w:rPr>
        <w:t xml:space="preserve"> 0,041 </w:t>
      </w:r>
    </w:p>
    <w:p w14:paraId="2378B405" w14:textId="6FE1184E" w:rsidR="00CC5603" w:rsidRPr="00FE5FBD" w:rsidRDefault="00E7182D"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Granica nie</w:t>
      </w:r>
      <w:r w:rsidR="00CC5603" w:rsidRPr="00FE5FBD">
        <w:rPr>
          <w:rFonts w:eastAsia="Times New Roman,Italic" w:cs="Times New Roman,Italic"/>
          <w:iCs/>
          <w:szCs w:val="20"/>
        </w:rPr>
        <w:t>biesk</w:t>
      </w:r>
      <w:r w:rsidRPr="00FE5FBD">
        <w:rPr>
          <w:rFonts w:eastAsia="Times New Roman,Italic" w:cs="Times New Roman,Italic"/>
          <w:iCs/>
          <w:szCs w:val="20"/>
        </w:rPr>
        <w:t>iego</w:t>
      </w:r>
      <w:r w:rsidR="00CC5603" w:rsidRPr="00FE5FBD">
        <w:rPr>
          <w:rFonts w:eastAsia="Times New Roman,Italic" w:cs="Times New Roman,Italic"/>
          <w:iCs/>
          <w:szCs w:val="20"/>
        </w:rPr>
        <w:t xml:space="preserve"> </w:t>
      </w:r>
      <w:r w:rsidRPr="00FE5FBD">
        <w:rPr>
          <w:rFonts w:eastAsia="Times New Roman,Italic" w:cs="Times New Roman,Italic"/>
          <w:iCs/>
          <w:szCs w:val="20"/>
        </w:rPr>
        <w:tab/>
      </w:r>
      <w:r w:rsidR="00CC5603" w:rsidRPr="00FE5FBD">
        <w:rPr>
          <w:rFonts w:eastAsia="Times New Roman,Italic" w:cs="Times New Roman,Italic"/>
          <w:iCs/>
          <w:szCs w:val="20"/>
        </w:rPr>
        <w:t xml:space="preserve">y = 0,400 </w:t>
      </w:r>
    </w:p>
    <w:p w14:paraId="6809FF41" w14:textId="710E5FEC" w:rsidR="00CC5603" w:rsidRPr="00FE5FBD" w:rsidRDefault="00CC5603" w:rsidP="00B06A9A">
      <w:pPr>
        <w:tabs>
          <w:tab w:val="left" w:pos="567"/>
        </w:tabs>
        <w:autoSpaceDE w:val="0"/>
        <w:autoSpaceDN w:val="0"/>
        <w:adjustRightInd w:val="0"/>
        <w:ind w:left="567" w:hanging="567"/>
        <w:rPr>
          <w:rFonts w:eastAsia="Times New Roman,Italic" w:cs="Times New Roman,Italic"/>
          <w:iCs/>
          <w:szCs w:val="20"/>
        </w:rPr>
      </w:pPr>
      <w:r w:rsidRPr="00FE5FBD">
        <w:rPr>
          <w:rFonts w:eastAsia="Times New Roman,Italic" w:cs="Times New Roman,Italic"/>
          <w:iCs/>
          <w:szCs w:val="20"/>
        </w:rPr>
        <w:t xml:space="preserve">(e) </w:t>
      </w:r>
      <w:r w:rsidRPr="00FE5FBD">
        <w:rPr>
          <w:rFonts w:eastAsia="Times New Roman,Italic" w:cs="Times New Roman,Italic"/>
          <w:iCs/>
          <w:szCs w:val="20"/>
        </w:rPr>
        <w:tab/>
      </w:r>
      <w:r w:rsidR="00E7182D" w:rsidRPr="00FE5FBD">
        <w:rPr>
          <w:rFonts w:eastAsia="Times New Roman,Italic" w:cs="Times New Roman,Italic"/>
          <w:iCs/>
          <w:szCs w:val="20"/>
        </w:rPr>
        <w:t>Dla chromatyczności świateł naziemnych ze stałymi (półprzewodnikowymi) źródłami światła</w:t>
      </w:r>
      <w:r w:rsidR="00467C7D" w:rsidRPr="00FE5FBD">
        <w:rPr>
          <w:rFonts w:eastAsia="Times New Roman,Italic" w:cs="Times New Roman,Italic"/>
          <w:iCs/>
          <w:szCs w:val="20"/>
        </w:rPr>
        <w:t>, w </w:t>
      </w:r>
      <w:r w:rsidRPr="00FE5FBD">
        <w:rPr>
          <w:rFonts w:eastAsia="Times New Roman,Italic" w:cs="Times New Roman,Italic"/>
          <w:iCs/>
          <w:szCs w:val="20"/>
        </w:rPr>
        <w:t xml:space="preserve">celu uniknięcia dużych zmian odcieni zieleni i wyboru kolorów w ramach poniższych granic nie należy stosować kolorów w granicach określonych w punkcie (d) powyżej: </w:t>
      </w:r>
    </w:p>
    <w:p w14:paraId="33E88A4E" w14:textId="59B592E8" w:rsidR="00CC5603" w:rsidRPr="00FE5FBD" w:rsidRDefault="00E7182D"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w:t>
      </w:r>
      <w:r w:rsidR="00CC5603" w:rsidRPr="00FE5FBD">
        <w:rPr>
          <w:rFonts w:eastAsia="Times New Roman,Italic" w:cs="Times New Roman,Italic"/>
          <w:iCs/>
          <w:szCs w:val="20"/>
        </w:rPr>
        <w:t>ranica żółt</w:t>
      </w:r>
      <w:r w:rsidRPr="00FE5FBD">
        <w:rPr>
          <w:rFonts w:eastAsia="Times New Roman,Italic" w:cs="Times New Roman,Italic"/>
          <w:iCs/>
          <w:szCs w:val="20"/>
        </w:rPr>
        <w:t>ego</w:t>
      </w:r>
      <w:r w:rsidR="00CC5603" w:rsidRPr="00FE5FBD">
        <w:rPr>
          <w:rFonts w:eastAsia="Times New Roman,Italic" w:cs="Times New Roman,Italic"/>
          <w:iCs/>
          <w:szCs w:val="20"/>
        </w:rPr>
        <w:t xml:space="preserve"> </w:t>
      </w:r>
      <w:r w:rsidRPr="00FE5FBD">
        <w:rPr>
          <w:rFonts w:eastAsia="Times New Roman,Italic" w:cs="Times New Roman,Italic"/>
          <w:iCs/>
          <w:szCs w:val="20"/>
        </w:rPr>
        <w:tab/>
      </w:r>
      <w:r w:rsidR="00CC5603" w:rsidRPr="00FE5FBD">
        <w:rPr>
          <w:rFonts w:eastAsia="Times New Roman,Italic" w:cs="Times New Roman,Italic"/>
          <w:iCs/>
          <w:szCs w:val="20"/>
        </w:rPr>
        <w:t xml:space="preserve">x = 0,310 </w:t>
      </w:r>
    </w:p>
    <w:p w14:paraId="1048E023" w14:textId="60765BA2" w:rsidR="00CC5603" w:rsidRPr="00FE5FBD" w:rsidRDefault="00E7182D"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w:t>
      </w:r>
      <w:r w:rsidR="00CC5603" w:rsidRPr="00FE5FBD">
        <w:rPr>
          <w:rFonts w:eastAsia="Times New Roman,Italic" w:cs="Times New Roman,Italic"/>
          <w:iCs/>
          <w:szCs w:val="20"/>
        </w:rPr>
        <w:t xml:space="preserve">ranica bieli </w:t>
      </w:r>
      <w:r w:rsidRPr="00FE5FBD">
        <w:rPr>
          <w:rFonts w:eastAsia="Times New Roman,Italic" w:cs="Times New Roman,Italic"/>
          <w:iCs/>
          <w:szCs w:val="20"/>
        </w:rPr>
        <w:tab/>
      </w:r>
      <w:r w:rsidR="00CC5603" w:rsidRPr="00FE5FBD">
        <w:rPr>
          <w:rFonts w:eastAsia="Times New Roman,Italic" w:cs="Times New Roman,Italic"/>
          <w:iCs/>
          <w:szCs w:val="20"/>
        </w:rPr>
        <w:t xml:space="preserve">x = 0,625y </w:t>
      </w:r>
      <w:r w:rsidR="00467C7D" w:rsidRPr="00FE5FBD">
        <w:rPr>
          <w:iCs/>
        </w:rPr>
        <w:t>–</w:t>
      </w:r>
      <w:r w:rsidR="00CC5603" w:rsidRPr="00FE5FBD">
        <w:rPr>
          <w:rFonts w:eastAsia="Times New Roman,Italic" w:cs="Times New Roman,Italic"/>
          <w:iCs/>
          <w:szCs w:val="20"/>
        </w:rPr>
        <w:t xml:space="preserve"> 0,041 </w:t>
      </w:r>
    </w:p>
    <w:p w14:paraId="48769CE1" w14:textId="480D0233" w:rsidR="00CC5603" w:rsidRPr="00FE5FBD" w:rsidRDefault="00E7182D" w:rsidP="00985FA8">
      <w:pPr>
        <w:tabs>
          <w:tab w:val="left" w:pos="1134"/>
          <w:tab w:val="left" w:pos="3119"/>
        </w:tabs>
        <w:autoSpaceDE w:val="0"/>
        <w:autoSpaceDN w:val="0"/>
        <w:adjustRightInd w:val="0"/>
        <w:ind w:left="1134" w:hanging="567"/>
        <w:rPr>
          <w:rFonts w:eastAsia="Times New Roman,Italic" w:cs="Times New Roman,Italic"/>
          <w:iCs/>
          <w:szCs w:val="20"/>
        </w:rPr>
      </w:pPr>
      <w:r w:rsidRPr="00FE5FBD">
        <w:rPr>
          <w:rFonts w:eastAsia="Times New Roman,Italic" w:cs="Times New Roman,Italic"/>
          <w:iCs/>
          <w:szCs w:val="20"/>
        </w:rPr>
        <w:t>G</w:t>
      </w:r>
      <w:r w:rsidR="00CC5603" w:rsidRPr="00FE5FBD">
        <w:rPr>
          <w:rFonts w:eastAsia="Times New Roman,Italic" w:cs="Times New Roman,Italic"/>
          <w:iCs/>
          <w:szCs w:val="20"/>
        </w:rPr>
        <w:t>ranica niebiesk</w:t>
      </w:r>
      <w:r w:rsidRPr="00FE5FBD">
        <w:rPr>
          <w:rFonts w:eastAsia="Times New Roman,Italic" w:cs="Times New Roman,Italic"/>
          <w:iCs/>
          <w:szCs w:val="20"/>
        </w:rPr>
        <w:t>iego</w:t>
      </w:r>
      <w:r w:rsidR="00CC5603" w:rsidRPr="00FE5FBD">
        <w:rPr>
          <w:rFonts w:eastAsia="Times New Roman,Italic" w:cs="Times New Roman,Italic"/>
          <w:iCs/>
          <w:szCs w:val="20"/>
        </w:rPr>
        <w:t xml:space="preserve"> </w:t>
      </w:r>
      <w:r w:rsidRPr="00FE5FBD">
        <w:rPr>
          <w:rFonts w:eastAsia="Times New Roman,Italic" w:cs="Times New Roman,Italic"/>
          <w:iCs/>
          <w:szCs w:val="20"/>
        </w:rPr>
        <w:tab/>
      </w:r>
      <w:r w:rsidR="00CC5603" w:rsidRPr="00FE5FBD">
        <w:rPr>
          <w:rFonts w:eastAsia="Times New Roman,Italic" w:cs="Times New Roman,Italic"/>
          <w:iCs/>
          <w:szCs w:val="20"/>
        </w:rPr>
        <w:t xml:space="preserve">y = 0,726 </w:t>
      </w:r>
      <w:r w:rsidR="00467C7D" w:rsidRPr="00FE5FBD">
        <w:rPr>
          <w:iCs/>
        </w:rPr>
        <w:t>–</w:t>
      </w:r>
      <w:r w:rsidR="00CC5603" w:rsidRPr="00FE5FBD">
        <w:rPr>
          <w:rFonts w:eastAsia="Times New Roman,Italic" w:cs="Times New Roman,Italic"/>
          <w:iCs/>
          <w:szCs w:val="20"/>
        </w:rPr>
        <w:t xml:space="preserve"> 0,726x </w:t>
      </w:r>
    </w:p>
    <w:p w14:paraId="0B114E44" w14:textId="2403C2AB" w:rsidR="00CC5603" w:rsidRPr="00FE5FBD" w:rsidRDefault="00CC5603" w:rsidP="00B06A9A">
      <w:pPr>
        <w:tabs>
          <w:tab w:val="left" w:pos="567"/>
        </w:tabs>
        <w:autoSpaceDE w:val="0"/>
        <w:autoSpaceDN w:val="0"/>
        <w:adjustRightInd w:val="0"/>
        <w:ind w:left="567" w:hanging="567"/>
        <w:rPr>
          <w:rFonts w:eastAsia="Times New Roman,Italic" w:cs="Times New Roman,Italic"/>
          <w:iCs/>
          <w:szCs w:val="20"/>
        </w:rPr>
      </w:pPr>
      <w:r w:rsidRPr="00FE5FBD">
        <w:rPr>
          <w:rFonts w:eastAsia="Times New Roman,Italic" w:cs="Times New Roman,Italic"/>
          <w:iCs/>
          <w:szCs w:val="20"/>
        </w:rPr>
        <w:t xml:space="preserve">(f) </w:t>
      </w:r>
      <w:r w:rsidR="00E7182D" w:rsidRPr="00FE5FBD">
        <w:rPr>
          <w:rFonts w:eastAsia="Times New Roman,Italic" w:cs="Times New Roman,Italic"/>
          <w:iCs/>
          <w:szCs w:val="20"/>
        </w:rPr>
        <w:tab/>
        <w:t>P</w:t>
      </w:r>
      <w:r w:rsidRPr="00FE5FBD">
        <w:rPr>
          <w:rFonts w:eastAsia="Times New Roman,Italic" w:cs="Times New Roman,Italic"/>
          <w:iCs/>
          <w:szCs w:val="20"/>
        </w:rPr>
        <w:t xml:space="preserve">omiar </w:t>
      </w:r>
      <w:r w:rsidR="00E7182D" w:rsidRPr="00FE5FBD">
        <w:rPr>
          <w:rFonts w:eastAsia="Times New Roman,Italic" w:cs="Times New Roman,Italic"/>
          <w:iCs/>
          <w:szCs w:val="20"/>
        </w:rPr>
        <w:t>koloru</w:t>
      </w:r>
      <w:r w:rsidRPr="00FE5FBD">
        <w:rPr>
          <w:rFonts w:eastAsia="Times New Roman,Italic" w:cs="Times New Roman,Italic"/>
          <w:iCs/>
          <w:szCs w:val="20"/>
        </w:rPr>
        <w:t xml:space="preserve"> dla </w:t>
      </w:r>
      <w:r w:rsidR="00E7182D" w:rsidRPr="00FE5FBD">
        <w:rPr>
          <w:rFonts w:eastAsia="Times New Roman,Italic" w:cs="Times New Roman,Italic"/>
          <w:iCs/>
          <w:szCs w:val="20"/>
        </w:rPr>
        <w:t xml:space="preserve">źródeł światła </w:t>
      </w:r>
      <w:r w:rsidRPr="00FE5FBD">
        <w:rPr>
          <w:rFonts w:eastAsia="Times New Roman,Italic" w:cs="Times New Roman,Italic"/>
          <w:iCs/>
          <w:szCs w:val="20"/>
        </w:rPr>
        <w:t xml:space="preserve">typu </w:t>
      </w:r>
      <w:r w:rsidR="00E7182D" w:rsidRPr="00FE5FBD">
        <w:rPr>
          <w:rFonts w:eastAsia="Times New Roman,Italic" w:cs="Times New Roman,Italic"/>
          <w:iCs/>
          <w:szCs w:val="20"/>
        </w:rPr>
        <w:t xml:space="preserve">żarnikowego </w:t>
      </w:r>
      <w:r w:rsidR="005B3A70" w:rsidRPr="00FE5FBD">
        <w:rPr>
          <w:rFonts w:eastAsia="Times New Roman,Italic" w:cs="Times New Roman,Italic"/>
          <w:iCs/>
          <w:szCs w:val="20"/>
        </w:rPr>
        <w:t>i</w:t>
      </w:r>
      <w:r w:rsidR="00E7182D" w:rsidRPr="00FE5FBD">
        <w:rPr>
          <w:rFonts w:eastAsia="Times New Roman,Italic" w:cs="Times New Roman,Italic"/>
          <w:iCs/>
          <w:szCs w:val="20"/>
        </w:rPr>
        <w:t xml:space="preserve"> typu stałego (półprzewodnikow</w:t>
      </w:r>
      <w:r w:rsidR="005B3A70" w:rsidRPr="00FE5FBD">
        <w:rPr>
          <w:rFonts w:eastAsia="Times New Roman,Italic" w:cs="Times New Roman,Italic"/>
          <w:iCs/>
          <w:szCs w:val="20"/>
        </w:rPr>
        <w:t>ego</w:t>
      </w:r>
      <w:r w:rsidR="00E7182D" w:rsidRPr="00FE5FBD">
        <w:rPr>
          <w:rFonts w:eastAsia="Times New Roman,Italic" w:cs="Times New Roman,Italic"/>
          <w:iCs/>
          <w:szCs w:val="20"/>
        </w:rPr>
        <w:t>)</w:t>
      </w:r>
      <w:r w:rsidRPr="00FE5FBD">
        <w:rPr>
          <w:rFonts w:eastAsia="Times New Roman,Italic" w:cs="Times New Roman,Italic"/>
          <w:iCs/>
          <w:szCs w:val="20"/>
        </w:rPr>
        <w:t xml:space="preserve">: </w:t>
      </w:r>
    </w:p>
    <w:p w14:paraId="49D6C820" w14:textId="28D20EF7" w:rsidR="00CC5603" w:rsidRPr="00FE5FBD" w:rsidRDefault="00CC5603" w:rsidP="00985FA8">
      <w:pPr>
        <w:tabs>
          <w:tab w:val="left" w:pos="1134"/>
        </w:tabs>
        <w:ind w:left="1134" w:hanging="567"/>
        <w:rPr>
          <w:rFonts w:eastAsia="Times New Roman,Italic" w:cs="Times New Roman,Italic"/>
          <w:iCs/>
          <w:szCs w:val="20"/>
        </w:rPr>
      </w:pPr>
      <w:r w:rsidRPr="00FE5FBD">
        <w:rPr>
          <w:rFonts w:eastAsia="Times New Roman,Italic" w:cs="Times New Roman,Italic"/>
          <w:iCs/>
          <w:szCs w:val="20"/>
        </w:rPr>
        <w:t xml:space="preserve">(1) </w:t>
      </w:r>
      <w:r w:rsidR="00E7182D" w:rsidRPr="00FE5FBD">
        <w:rPr>
          <w:rFonts w:eastAsia="Times New Roman,Italic" w:cs="Times New Roman,Italic"/>
          <w:iCs/>
          <w:szCs w:val="20"/>
        </w:rPr>
        <w:tab/>
        <w:t>dla zewnętrznej krzywej izok</w:t>
      </w:r>
      <w:r w:rsidRPr="00FE5FBD">
        <w:rPr>
          <w:rFonts w:eastAsia="Times New Roman,Italic" w:cs="Times New Roman,Italic"/>
          <w:iCs/>
          <w:szCs w:val="20"/>
        </w:rPr>
        <w:t xml:space="preserve">andeli, pomiar współrzędnych koloru powinien być wykonany i zapisany dla </w:t>
      </w:r>
      <w:r w:rsidR="00985FA8" w:rsidRPr="00FE5FBD">
        <w:rPr>
          <w:rFonts w:eastAsia="Times New Roman,Italic" w:cs="Times New Roman,Italic"/>
          <w:iCs/>
          <w:szCs w:val="20"/>
        </w:rPr>
        <w:t xml:space="preserve">potrzeb dokonania </w:t>
      </w:r>
      <w:r w:rsidRPr="00FE5FBD">
        <w:rPr>
          <w:rFonts w:eastAsia="Times New Roman,Italic" w:cs="Times New Roman,Italic"/>
          <w:iCs/>
          <w:szCs w:val="20"/>
        </w:rPr>
        <w:t>przeglądu</w:t>
      </w:r>
      <w:r w:rsidR="005B3A70" w:rsidRPr="00FE5FBD">
        <w:rPr>
          <w:rFonts w:eastAsia="Times New Roman,Italic" w:cs="Times New Roman,Italic"/>
          <w:iCs/>
          <w:szCs w:val="20"/>
        </w:rPr>
        <w:t xml:space="preserve"> i</w:t>
      </w:r>
      <w:r w:rsidRPr="00FE5FBD">
        <w:rPr>
          <w:rFonts w:eastAsia="Times New Roman,Italic" w:cs="Times New Roman,Italic"/>
          <w:iCs/>
          <w:szCs w:val="20"/>
        </w:rPr>
        <w:t xml:space="preserve"> oceny </w:t>
      </w:r>
      <w:r w:rsidR="005B3A70" w:rsidRPr="00FE5FBD">
        <w:rPr>
          <w:rFonts w:eastAsia="Times New Roman,Italic" w:cs="Times New Roman,Italic"/>
          <w:iCs/>
          <w:szCs w:val="20"/>
        </w:rPr>
        <w:t>dopuszczalności; oraz</w:t>
      </w:r>
    </w:p>
    <w:p w14:paraId="196F621B" w14:textId="610B7CD4" w:rsidR="00985FA8" w:rsidRPr="00FE5FBD" w:rsidRDefault="00CC5603" w:rsidP="00C76FA2">
      <w:pPr>
        <w:tabs>
          <w:tab w:val="left" w:pos="1134"/>
        </w:tabs>
        <w:ind w:left="1134" w:hanging="567"/>
        <w:rPr>
          <w:szCs w:val="20"/>
        </w:rPr>
      </w:pPr>
      <w:r w:rsidRPr="00FE5FBD">
        <w:rPr>
          <w:szCs w:val="20"/>
        </w:rPr>
        <w:t xml:space="preserve">(2) </w:t>
      </w:r>
      <w:r w:rsidR="00985FA8" w:rsidRPr="00FE5FBD">
        <w:rPr>
          <w:szCs w:val="20"/>
        </w:rPr>
        <w:tab/>
      </w:r>
      <w:r w:rsidR="00985FA8" w:rsidRPr="00FE5FBD">
        <w:rPr>
          <w:rFonts w:eastAsia="Times New Roman,Italic" w:cs="Times New Roman,Italic"/>
          <w:iCs/>
          <w:szCs w:val="20"/>
        </w:rPr>
        <w:t>niektóre</w:t>
      </w:r>
      <w:r w:rsidRPr="00FE5FBD">
        <w:rPr>
          <w:rFonts w:eastAsia="Times New Roman,Italic" w:cs="Times New Roman,Italic"/>
          <w:iCs/>
          <w:szCs w:val="20"/>
        </w:rPr>
        <w:t xml:space="preserve"> jednostki świetlne mogą być stosowane po to, aby mogły być widoczne i wykorzystywane przez pilota z kierunków, które </w:t>
      </w:r>
      <w:r w:rsidR="005B3A70" w:rsidRPr="00FE5FBD">
        <w:rPr>
          <w:rFonts w:eastAsia="Times New Roman,Italic" w:cs="Times New Roman,Italic"/>
          <w:iCs/>
          <w:szCs w:val="20"/>
        </w:rPr>
        <w:t xml:space="preserve">są </w:t>
      </w:r>
      <w:r w:rsidRPr="00FE5FBD">
        <w:rPr>
          <w:rFonts w:eastAsia="Times New Roman,Italic" w:cs="Times New Roman,Italic"/>
          <w:iCs/>
          <w:szCs w:val="20"/>
        </w:rPr>
        <w:t xml:space="preserve">najbardziej na zewnętrz krzywej izokandeli (np. światła poprzeczki zatrzymania na znacząco szerokich miejscach oczekiwania przed drogą startową). W takich przypadkach </w:t>
      </w:r>
      <w:r w:rsidR="00985FA8" w:rsidRPr="00FE5FBD">
        <w:rPr>
          <w:rFonts w:eastAsia="Times New Roman,Italic" w:cs="Times New Roman,Italic"/>
          <w:iCs/>
          <w:szCs w:val="20"/>
        </w:rPr>
        <w:t>należy dokonać</w:t>
      </w:r>
      <w:r w:rsidRPr="00FE5FBD">
        <w:rPr>
          <w:rFonts w:eastAsia="Times New Roman,Italic" w:cs="Times New Roman,Italic"/>
          <w:iCs/>
          <w:szCs w:val="20"/>
        </w:rPr>
        <w:t xml:space="preserve"> ocen</w:t>
      </w:r>
      <w:r w:rsidR="00985FA8" w:rsidRPr="00FE5FBD">
        <w:rPr>
          <w:rFonts w:eastAsia="Times New Roman,Italic" w:cs="Times New Roman,Italic"/>
          <w:iCs/>
          <w:szCs w:val="20"/>
        </w:rPr>
        <w:t>y</w:t>
      </w:r>
      <w:r w:rsidRPr="00FE5FBD">
        <w:rPr>
          <w:rFonts w:eastAsia="Times New Roman,Italic" w:cs="Times New Roman,Italic"/>
          <w:iCs/>
          <w:szCs w:val="20"/>
        </w:rPr>
        <w:t xml:space="preserve"> rzeczywist</w:t>
      </w:r>
      <w:r w:rsidR="00985FA8" w:rsidRPr="00FE5FBD">
        <w:rPr>
          <w:rFonts w:eastAsia="Times New Roman,Italic" w:cs="Times New Roman,Italic"/>
          <w:iCs/>
          <w:szCs w:val="20"/>
        </w:rPr>
        <w:t>ego zastosowania</w:t>
      </w:r>
      <w:r w:rsidRPr="00FE5FBD">
        <w:rPr>
          <w:rFonts w:eastAsia="Times New Roman,Italic" w:cs="Times New Roman,Italic"/>
          <w:iCs/>
          <w:szCs w:val="20"/>
        </w:rPr>
        <w:t xml:space="preserve"> i </w:t>
      </w:r>
      <w:r w:rsidR="00985FA8" w:rsidRPr="00FE5FBD">
        <w:rPr>
          <w:rFonts w:eastAsia="Times New Roman,Italic" w:cs="Times New Roman,Italic"/>
          <w:iCs/>
          <w:szCs w:val="20"/>
        </w:rPr>
        <w:t>jeśli to konieczne, sprawdzić przesunięcie koloru w zakresie kątowym poza najbardziej zewnętrzną krzywą.</w:t>
      </w:r>
    </w:p>
    <w:p w14:paraId="0BF73935" w14:textId="5750FAEB" w:rsidR="0061499D" w:rsidRPr="00FE5FBD" w:rsidRDefault="0061499D" w:rsidP="005B3A70">
      <w:pPr>
        <w:pStyle w:val="Tekstpodstawowy"/>
        <w:spacing w:before="200" w:after="0"/>
        <w:ind w:left="23" w:hanging="23"/>
        <w:rPr>
          <w:rFonts w:asciiTheme="minorHAnsi" w:hAnsiTheme="minorHAnsi" w:cstheme="minorHAnsi"/>
          <w:i/>
          <w:sz w:val="16"/>
          <w:szCs w:val="16"/>
        </w:rPr>
      </w:pPr>
      <w:r w:rsidRPr="00FE5FBD">
        <w:rPr>
          <w:rFonts w:asciiTheme="minorHAnsi" w:hAnsiTheme="minorHAnsi" w:cstheme="minorHAnsi"/>
          <w:i/>
          <w:sz w:val="16"/>
          <w:szCs w:val="16"/>
        </w:rPr>
        <w:t>[Wydanie: ADR-DSN/3]</w:t>
      </w:r>
    </w:p>
    <w:p w14:paraId="4CA3D184" w14:textId="52F12AFA" w:rsidR="003F4B5A" w:rsidRPr="00FE5FBD" w:rsidRDefault="003F4B5A" w:rsidP="005B3A70">
      <w:pPr>
        <w:pStyle w:val="Tekstpodstawowy"/>
        <w:ind w:left="23" w:hanging="23"/>
        <w:rPr>
          <w:rFonts w:asciiTheme="minorHAnsi" w:hAnsiTheme="minorHAnsi" w:cstheme="minorHAnsi"/>
          <w:i/>
          <w:sz w:val="16"/>
          <w:szCs w:val="16"/>
        </w:rPr>
      </w:pPr>
      <w:r w:rsidRPr="00FE5FBD">
        <w:rPr>
          <w:rFonts w:asciiTheme="minorHAnsi" w:hAnsiTheme="minorHAnsi" w:cstheme="minorHAnsi"/>
          <w:i/>
          <w:sz w:val="16"/>
          <w:szCs w:val="16"/>
        </w:rPr>
        <w:t>[Wydanie: ADR-DSN/4]</w:t>
      </w:r>
    </w:p>
    <w:p w14:paraId="090AA026" w14:textId="77777777" w:rsidR="003F4B5A" w:rsidRPr="00FE5FBD" w:rsidRDefault="003F4B5A">
      <w:pPr>
        <w:spacing w:after="0"/>
        <w:jc w:val="left"/>
        <w:rPr>
          <w:rFonts w:asciiTheme="minorHAnsi" w:eastAsia="Times New Roman" w:hAnsiTheme="minorHAnsi" w:cstheme="minorHAnsi"/>
          <w:i/>
          <w:sz w:val="16"/>
          <w:szCs w:val="16"/>
        </w:rPr>
      </w:pPr>
      <w:r w:rsidRPr="00FE5FBD">
        <w:rPr>
          <w:rFonts w:asciiTheme="minorHAnsi" w:hAnsiTheme="minorHAnsi" w:cstheme="minorHAnsi"/>
          <w:i/>
          <w:sz w:val="16"/>
          <w:szCs w:val="16"/>
        </w:rPr>
        <w:br w:type="page"/>
      </w:r>
    </w:p>
    <w:p w14:paraId="676CACB9" w14:textId="3C38D3AD" w:rsidR="00C36D76" w:rsidRPr="009E064B" w:rsidRDefault="00F2513E" w:rsidP="00F2513E">
      <w:pPr>
        <w:pStyle w:val="Nagwek4"/>
        <w:tabs>
          <w:tab w:val="clear" w:pos="2694"/>
          <w:tab w:val="left" w:pos="2552"/>
        </w:tabs>
        <w:ind w:left="2552" w:hanging="2552"/>
        <w:rPr>
          <w:color w:val="auto"/>
        </w:rPr>
      </w:pPr>
      <w:bookmarkStart w:id="1870" w:name="_CS_ADR-DSN.U.935_"/>
      <w:bookmarkStart w:id="1871" w:name="_Toc482886747"/>
      <w:bookmarkStart w:id="1872" w:name="_Toc12533330"/>
      <w:bookmarkEnd w:id="1870"/>
      <w:r w:rsidRPr="009E064B">
        <w:rPr>
          <w:color w:val="auto"/>
        </w:rPr>
        <w:t xml:space="preserve">CS ADR-DSN.U.935     </w:t>
      </w:r>
      <w:r w:rsidR="001474BD">
        <w:rPr>
          <w:color w:val="auto"/>
        </w:rPr>
        <w:t xml:space="preserve"> </w:t>
      </w:r>
      <w:r w:rsidR="00C36D76" w:rsidRPr="009E064B">
        <w:rPr>
          <w:color w:val="auto"/>
        </w:rPr>
        <w:t>Kolory oznakowania poziomego, znaków pionowych oraz tablic</w:t>
      </w:r>
      <w:bookmarkEnd w:id="1871"/>
      <w:bookmarkEnd w:id="1872"/>
    </w:p>
    <w:p w14:paraId="1ACA214B" w14:textId="13FD7038" w:rsidR="00F2513E" w:rsidRPr="009E064B" w:rsidRDefault="00D63D4F" w:rsidP="00F2513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4F2B1A23" w14:textId="6DC39751"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Zamieszczone poniżej specyfikacje dotyczące kolorów powierzchni mają zastosowanie jedynie do świeżo wykonanych powierzchni. Kolory użyte przy wykonywaniu oznakowania poziomego, znaków pionowych oraz tablic zwykle z czasem ulegają zmianie, w związku z tym wymagają odnawiania.</w:t>
      </w:r>
    </w:p>
    <w:p w14:paraId="43967DE4" w14:textId="58424FC2"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Specyfikacje zawarte w </w:t>
      </w:r>
      <w:r w:rsidR="00B7240A" w:rsidRPr="009E064B">
        <w:rPr>
          <w:szCs w:val="20"/>
        </w:rPr>
        <w:t>lit. </w:t>
      </w:r>
      <w:r w:rsidRPr="009E064B">
        <w:rPr>
          <w:szCs w:val="20"/>
        </w:rPr>
        <w:t>(f) poniżej dotyczące tablic podświetlanych mają charakter przejściowy i są one oparte na wymaganiach CIE dotyczących podświetlanych znaków pionowych. Przewiduje się, że wymagania te będą podlegać przeglądowi i aktualizacji wówczas, gdy CIE opracuje wymagania dotyczące tablic podświetlanych.</w:t>
      </w:r>
    </w:p>
    <w:p w14:paraId="7F68711C"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Współczynniki chromatyczności oraz luminancji kolorów zwykłych, kolorów materiałów odblaskowych oraz kolorów znaków i tablic podświetlanych (tj. oświetlanych od środka) powinny być określone w poniższych warunkach standardowych:</w:t>
      </w:r>
    </w:p>
    <w:p w14:paraId="64C844D8" w14:textId="77777777" w:rsidR="00C36D76" w:rsidRPr="009E064B" w:rsidRDefault="00C36D76" w:rsidP="00B06A9A">
      <w:pPr>
        <w:tabs>
          <w:tab w:val="left" w:pos="1134"/>
        </w:tabs>
        <w:ind w:left="1134" w:hanging="567"/>
        <w:rPr>
          <w:szCs w:val="20"/>
        </w:rPr>
      </w:pPr>
      <w:r w:rsidRPr="009E064B">
        <w:rPr>
          <w:rFonts w:cs="Times New Roman"/>
          <w:szCs w:val="20"/>
        </w:rPr>
        <w:t xml:space="preserve">(1) </w:t>
      </w:r>
      <w:r w:rsidRPr="009E064B">
        <w:rPr>
          <w:rFonts w:cs="Times New Roman"/>
          <w:szCs w:val="20"/>
        </w:rPr>
        <w:tab/>
      </w:r>
      <w:r w:rsidRPr="009E064B">
        <w:rPr>
          <w:szCs w:val="20"/>
        </w:rPr>
        <w:t>kąt świecenia: 45º;</w:t>
      </w:r>
    </w:p>
    <w:p w14:paraId="7205EE1A" w14:textId="77777777" w:rsidR="00C36D76" w:rsidRPr="009E064B" w:rsidRDefault="00C36D76" w:rsidP="00B06A9A">
      <w:pPr>
        <w:tabs>
          <w:tab w:val="left" w:pos="1134"/>
        </w:tabs>
        <w:ind w:left="1134" w:hanging="567"/>
        <w:rPr>
          <w:szCs w:val="20"/>
        </w:rPr>
      </w:pPr>
      <w:r w:rsidRPr="009E064B">
        <w:rPr>
          <w:rFonts w:cs="Times New Roman"/>
          <w:szCs w:val="20"/>
        </w:rPr>
        <w:t xml:space="preserve">(2) </w:t>
      </w:r>
      <w:r w:rsidRPr="009E064B">
        <w:rPr>
          <w:rFonts w:cs="Times New Roman"/>
          <w:szCs w:val="20"/>
        </w:rPr>
        <w:tab/>
      </w:r>
      <w:r w:rsidRPr="009E064B">
        <w:rPr>
          <w:szCs w:val="20"/>
        </w:rPr>
        <w:t>kierunek obserwacji: prostopadły do powierzchni; oraz</w:t>
      </w:r>
    </w:p>
    <w:p w14:paraId="688C6144" w14:textId="77777777" w:rsidR="00C36D76" w:rsidRPr="009E064B" w:rsidRDefault="00C36D76" w:rsidP="00B06A9A">
      <w:pPr>
        <w:tabs>
          <w:tab w:val="left" w:pos="1134"/>
        </w:tabs>
        <w:ind w:left="1134" w:hanging="567"/>
        <w:rPr>
          <w:szCs w:val="20"/>
        </w:rPr>
      </w:pPr>
      <w:r w:rsidRPr="009E064B">
        <w:rPr>
          <w:rFonts w:cs="Times New Roman"/>
          <w:szCs w:val="20"/>
        </w:rPr>
        <w:t xml:space="preserve">(3) </w:t>
      </w:r>
      <w:r w:rsidRPr="009E064B">
        <w:rPr>
          <w:rFonts w:cs="Times New Roman"/>
          <w:szCs w:val="20"/>
        </w:rPr>
        <w:tab/>
      </w:r>
      <w:r w:rsidRPr="009E064B">
        <w:rPr>
          <w:szCs w:val="20"/>
        </w:rPr>
        <w:t>źródło światła: standardowe źródło światła CIE D65.</w:t>
      </w:r>
    </w:p>
    <w:p w14:paraId="6C7C576D"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Współczynniki chromatyczności oraz luminancji kolorów zwykłych oznakowania oraz znaków i tablic oświetlanych powinny zawierać się wewnątrz poniższych granic, określonych dla warunków standardowych.</w:t>
      </w:r>
    </w:p>
    <w:p w14:paraId="7932D5BF" w14:textId="77777777" w:rsidR="00C36D76" w:rsidRPr="009E064B" w:rsidRDefault="00C36D76" w:rsidP="00B06A9A">
      <w:pPr>
        <w:pStyle w:val="Akapitzlist"/>
        <w:ind w:left="567"/>
        <w:rPr>
          <w:szCs w:val="20"/>
        </w:rPr>
      </w:pPr>
      <w:r w:rsidRPr="009E064B">
        <w:rPr>
          <w:szCs w:val="20"/>
        </w:rPr>
        <w:t>Równania CIE (patrz Rysunek U-2):</w:t>
      </w:r>
    </w:p>
    <w:p w14:paraId="2E3F08FB" w14:textId="77777777" w:rsidR="00C36D76" w:rsidRPr="009E064B" w:rsidRDefault="00C36D76" w:rsidP="00B06A9A">
      <w:pPr>
        <w:tabs>
          <w:tab w:val="left" w:pos="1134"/>
        </w:tabs>
        <w:spacing w:before="240" w:after="60"/>
        <w:ind w:left="1134" w:hanging="567"/>
        <w:rPr>
          <w:iCs/>
        </w:rPr>
      </w:pPr>
      <w:r w:rsidRPr="009E064B">
        <w:rPr>
          <w:iCs/>
        </w:rPr>
        <w:t>(1)</w:t>
      </w:r>
      <w:r w:rsidRPr="009E064B">
        <w:rPr>
          <w:iCs/>
        </w:rPr>
        <w:tab/>
        <w:t>Czerwony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65FCB726" w14:textId="77777777" w:rsidTr="00363B46">
        <w:tc>
          <w:tcPr>
            <w:tcW w:w="2977" w:type="dxa"/>
            <w:tcMar>
              <w:top w:w="57" w:type="dxa"/>
              <w:left w:w="0" w:type="dxa"/>
              <w:bottom w:w="57" w:type="dxa"/>
            </w:tcMar>
          </w:tcPr>
          <w:p w14:paraId="4348641E" w14:textId="77777777" w:rsidR="00C36D76" w:rsidRPr="009E064B" w:rsidRDefault="00C36D76" w:rsidP="00B06A9A">
            <w:pPr>
              <w:spacing w:after="0"/>
            </w:pPr>
            <w:r w:rsidRPr="009E064B">
              <w:t>Granica fioletowego</w:t>
            </w:r>
          </w:p>
        </w:tc>
        <w:tc>
          <w:tcPr>
            <w:tcW w:w="2268" w:type="dxa"/>
            <w:tcMar>
              <w:top w:w="57" w:type="dxa"/>
              <w:left w:w="0" w:type="dxa"/>
              <w:bottom w:w="57" w:type="dxa"/>
            </w:tcMar>
          </w:tcPr>
          <w:p w14:paraId="4B35B20F" w14:textId="77777777" w:rsidR="00C36D76" w:rsidRPr="009E064B" w:rsidRDefault="00C36D76" w:rsidP="00B06A9A">
            <w:pPr>
              <w:spacing w:after="0"/>
            </w:pPr>
            <w:r w:rsidRPr="009E064B">
              <w:t>y = 0.345 – 0.051x</w:t>
            </w:r>
          </w:p>
        </w:tc>
      </w:tr>
      <w:tr w:rsidR="00C36D76" w:rsidRPr="009E064B" w14:paraId="24621B33" w14:textId="77777777" w:rsidTr="00363B46">
        <w:tc>
          <w:tcPr>
            <w:tcW w:w="2977" w:type="dxa"/>
            <w:tcMar>
              <w:top w:w="57" w:type="dxa"/>
              <w:left w:w="0" w:type="dxa"/>
              <w:bottom w:w="57" w:type="dxa"/>
            </w:tcMar>
          </w:tcPr>
          <w:p w14:paraId="2B0B1482"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631E81B0" w14:textId="77777777" w:rsidR="00C36D76" w:rsidRPr="009E064B" w:rsidRDefault="00C36D76" w:rsidP="00B06A9A">
            <w:pPr>
              <w:spacing w:after="0"/>
            </w:pPr>
            <w:r w:rsidRPr="009E064B">
              <w:t>y = 0.910 – x</w:t>
            </w:r>
          </w:p>
        </w:tc>
      </w:tr>
      <w:tr w:rsidR="00C36D76" w:rsidRPr="009E064B" w14:paraId="0A7EA174" w14:textId="77777777" w:rsidTr="00363B46">
        <w:tc>
          <w:tcPr>
            <w:tcW w:w="2977" w:type="dxa"/>
            <w:tcMar>
              <w:top w:w="57" w:type="dxa"/>
              <w:left w:w="0" w:type="dxa"/>
              <w:bottom w:w="57" w:type="dxa"/>
            </w:tcMar>
          </w:tcPr>
          <w:p w14:paraId="62BA3A55" w14:textId="77777777" w:rsidR="00C36D76" w:rsidRPr="009E064B" w:rsidRDefault="00C36D76" w:rsidP="00B06A9A">
            <w:pPr>
              <w:spacing w:after="0"/>
            </w:pPr>
            <w:r w:rsidRPr="009E064B">
              <w:t>Granica pomarańcz.</w:t>
            </w:r>
          </w:p>
        </w:tc>
        <w:tc>
          <w:tcPr>
            <w:tcW w:w="2268" w:type="dxa"/>
            <w:tcMar>
              <w:top w:w="57" w:type="dxa"/>
              <w:left w:w="0" w:type="dxa"/>
              <w:bottom w:w="57" w:type="dxa"/>
            </w:tcMar>
          </w:tcPr>
          <w:p w14:paraId="1D5CC1AC" w14:textId="77777777" w:rsidR="00C36D76" w:rsidRPr="009E064B" w:rsidRDefault="00C36D76" w:rsidP="00B06A9A">
            <w:pPr>
              <w:spacing w:after="0"/>
            </w:pPr>
            <w:r w:rsidRPr="009E064B">
              <w:t>y = 0.314 + 0.047x</w:t>
            </w:r>
          </w:p>
        </w:tc>
      </w:tr>
      <w:tr w:rsidR="00C36D76" w:rsidRPr="009E064B" w14:paraId="33143ACB" w14:textId="77777777" w:rsidTr="00363B46">
        <w:tc>
          <w:tcPr>
            <w:tcW w:w="2977" w:type="dxa"/>
            <w:tcMar>
              <w:top w:w="57" w:type="dxa"/>
              <w:left w:w="0" w:type="dxa"/>
              <w:bottom w:w="57" w:type="dxa"/>
            </w:tcMar>
          </w:tcPr>
          <w:p w14:paraId="37049AEF"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46B89AB7" w14:textId="7CFF459D" w:rsidR="00C36D76" w:rsidRPr="009E064B" w:rsidRDefault="00C36D76" w:rsidP="00AF52F5">
            <w:pPr>
              <w:spacing w:after="0"/>
            </w:pPr>
            <w:r w:rsidRPr="009E064B">
              <w:sym w:font="Symbol" w:char="F062"/>
            </w:r>
            <w:r w:rsidRPr="009E064B">
              <w:t xml:space="preserve"> = 0.07 (min</w:t>
            </w:r>
            <w:r w:rsidR="00AF52F5" w:rsidRPr="009E064B">
              <w:t>imum</w:t>
            </w:r>
            <w:r w:rsidRPr="009E064B">
              <w:t>)</w:t>
            </w:r>
          </w:p>
        </w:tc>
      </w:tr>
    </w:tbl>
    <w:p w14:paraId="2A204F32" w14:textId="77777777" w:rsidR="00C36D76" w:rsidRPr="009E064B" w:rsidRDefault="00C36D76" w:rsidP="00B06A9A">
      <w:pPr>
        <w:tabs>
          <w:tab w:val="left" w:pos="1134"/>
        </w:tabs>
        <w:spacing w:before="240" w:after="60"/>
        <w:ind w:left="1134" w:hanging="567"/>
        <w:rPr>
          <w:iCs/>
        </w:rPr>
      </w:pPr>
      <w:r w:rsidRPr="009E064B">
        <w:rPr>
          <w:iCs/>
        </w:rPr>
        <w:t>(2)</w:t>
      </w:r>
      <w:r w:rsidRPr="009E064B">
        <w:rPr>
          <w:iCs/>
        </w:rPr>
        <w:tab/>
        <w:t>Pomarańczowy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347B0AD2" w14:textId="77777777" w:rsidTr="00363B46">
        <w:tc>
          <w:tcPr>
            <w:tcW w:w="2977" w:type="dxa"/>
            <w:tcMar>
              <w:top w:w="57" w:type="dxa"/>
              <w:left w:w="0" w:type="dxa"/>
              <w:bottom w:w="57" w:type="dxa"/>
            </w:tcMar>
          </w:tcPr>
          <w:p w14:paraId="348AF5A6" w14:textId="77777777" w:rsidR="00C36D76" w:rsidRPr="009E064B" w:rsidRDefault="00C36D76" w:rsidP="00B06A9A">
            <w:pPr>
              <w:spacing w:after="0"/>
            </w:pPr>
            <w:r w:rsidRPr="009E064B">
              <w:t>Granica czerwonego</w:t>
            </w:r>
          </w:p>
        </w:tc>
        <w:tc>
          <w:tcPr>
            <w:tcW w:w="2268" w:type="dxa"/>
            <w:tcMar>
              <w:top w:w="57" w:type="dxa"/>
              <w:left w:w="0" w:type="dxa"/>
              <w:bottom w:w="57" w:type="dxa"/>
            </w:tcMar>
          </w:tcPr>
          <w:p w14:paraId="51FEBBE4" w14:textId="77777777" w:rsidR="00C36D76" w:rsidRPr="009E064B" w:rsidRDefault="00C36D76" w:rsidP="00B06A9A">
            <w:pPr>
              <w:spacing w:after="0"/>
            </w:pPr>
            <w:r w:rsidRPr="009E064B">
              <w:t>y = 0.285 + 0.100x</w:t>
            </w:r>
          </w:p>
        </w:tc>
      </w:tr>
      <w:tr w:rsidR="00C36D76" w:rsidRPr="009E064B" w14:paraId="3FFF64BF" w14:textId="77777777" w:rsidTr="00363B46">
        <w:tc>
          <w:tcPr>
            <w:tcW w:w="2977" w:type="dxa"/>
            <w:tcMar>
              <w:top w:w="57" w:type="dxa"/>
              <w:left w:w="0" w:type="dxa"/>
              <w:bottom w:w="57" w:type="dxa"/>
            </w:tcMar>
          </w:tcPr>
          <w:p w14:paraId="6F5AF0D4" w14:textId="77777777" w:rsidR="00C36D76" w:rsidRPr="009E064B" w:rsidRDefault="00C36D76" w:rsidP="00B06A9A">
            <w:pPr>
              <w:spacing w:after="0"/>
            </w:pPr>
            <w:r w:rsidRPr="009E064B">
              <w:t>Granica białego</w:t>
            </w:r>
          </w:p>
        </w:tc>
        <w:tc>
          <w:tcPr>
            <w:tcW w:w="2268" w:type="dxa"/>
            <w:tcMar>
              <w:top w:w="57" w:type="dxa"/>
              <w:left w:w="0" w:type="dxa"/>
              <w:bottom w:w="57" w:type="dxa"/>
            </w:tcMar>
          </w:tcPr>
          <w:p w14:paraId="0ED5ED5B" w14:textId="77777777" w:rsidR="00C36D76" w:rsidRPr="009E064B" w:rsidRDefault="00C36D76" w:rsidP="00B06A9A">
            <w:pPr>
              <w:spacing w:after="0"/>
            </w:pPr>
            <w:r w:rsidRPr="009E064B">
              <w:t>y = 0.940 – x</w:t>
            </w:r>
          </w:p>
        </w:tc>
      </w:tr>
      <w:tr w:rsidR="00C36D76" w:rsidRPr="009E064B" w14:paraId="244B5414" w14:textId="77777777" w:rsidTr="00363B46">
        <w:tc>
          <w:tcPr>
            <w:tcW w:w="2977" w:type="dxa"/>
            <w:tcMar>
              <w:top w:w="57" w:type="dxa"/>
              <w:left w:w="0" w:type="dxa"/>
              <w:bottom w:w="57" w:type="dxa"/>
            </w:tcMar>
          </w:tcPr>
          <w:p w14:paraId="43C8BF10"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0756B430" w14:textId="77777777" w:rsidR="00C36D76" w:rsidRPr="009E064B" w:rsidRDefault="00C36D76" w:rsidP="00B06A9A">
            <w:pPr>
              <w:spacing w:after="0"/>
            </w:pPr>
            <w:r w:rsidRPr="009E064B">
              <w:t>y = 0.250 + 0.220x</w:t>
            </w:r>
          </w:p>
        </w:tc>
      </w:tr>
      <w:tr w:rsidR="00C36D76" w:rsidRPr="009E064B" w14:paraId="58E52688" w14:textId="77777777" w:rsidTr="00363B46">
        <w:tc>
          <w:tcPr>
            <w:tcW w:w="2977" w:type="dxa"/>
            <w:tcMar>
              <w:top w:w="57" w:type="dxa"/>
              <w:left w:w="0" w:type="dxa"/>
              <w:bottom w:w="57" w:type="dxa"/>
            </w:tcMar>
          </w:tcPr>
          <w:p w14:paraId="78E55768"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11573050" w14:textId="301EB373" w:rsidR="00C36D76" w:rsidRPr="009E064B" w:rsidRDefault="00C36D76" w:rsidP="00AF52F5">
            <w:pPr>
              <w:spacing w:after="0"/>
            </w:pPr>
            <w:r w:rsidRPr="009E064B">
              <w:sym w:font="Symbol" w:char="F062"/>
            </w:r>
            <w:r w:rsidRPr="009E064B">
              <w:t xml:space="preserve"> = 0.20 (</w:t>
            </w:r>
            <w:r w:rsidR="00AF52F5" w:rsidRPr="009E064B">
              <w:t>minimum</w:t>
            </w:r>
            <w:r w:rsidRPr="009E064B">
              <w:t>)</w:t>
            </w:r>
          </w:p>
        </w:tc>
      </w:tr>
    </w:tbl>
    <w:p w14:paraId="6A041575" w14:textId="77777777" w:rsidR="00C36D76" w:rsidRPr="009E064B" w:rsidRDefault="00C36D76" w:rsidP="00B06A9A">
      <w:pPr>
        <w:tabs>
          <w:tab w:val="left" w:pos="1134"/>
        </w:tabs>
        <w:spacing w:before="240" w:after="60"/>
        <w:ind w:left="1134" w:hanging="567"/>
        <w:rPr>
          <w:iCs/>
        </w:rPr>
      </w:pPr>
      <w:r w:rsidRPr="009E064B">
        <w:rPr>
          <w:iCs/>
        </w:rPr>
        <w:t>(3)</w:t>
      </w:r>
      <w:r w:rsidRPr="009E064B">
        <w:rPr>
          <w:iCs/>
        </w:rPr>
        <w:tab/>
        <w:t>Żółty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3BFEB2E2" w14:textId="77777777" w:rsidTr="00363B46">
        <w:tc>
          <w:tcPr>
            <w:tcW w:w="2977" w:type="dxa"/>
            <w:tcMar>
              <w:top w:w="57" w:type="dxa"/>
              <w:left w:w="0" w:type="dxa"/>
              <w:bottom w:w="57" w:type="dxa"/>
            </w:tcMar>
          </w:tcPr>
          <w:p w14:paraId="39B8127B" w14:textId="77777777" w:rsidR="00C36D76" w:rsidRPr="009E064B" w:rsidRDefault="00C36D76" w:rsidP="00B06A9A">
            <w:pPr>
              <w:spacing w:after="0"/>
            </w:pPr>
            <w:r w:rsidRPr="009E064B">
              <w:t>Granica pomarańcz.</w:t>
            </w:r>
          </w:p>
        </w:tc>
        <w:tc>
          <w:tcPr>
            <w:tcW w:w="2268" w:type="dxa"/>
            <w:tcMar>
              <w:top w:w="57" w:type="dxa"/>
              <w:left w:w="0" w:type="dxa"/>
              <w:bottom w:w="57" w:type="dxa"/>
            </w:tcMar>
          </w:tcPr>
          <w:p w14:paraId="65A9BE84" w14:textId="77777777" w:rsidR="00C36D76" w:rsidRPr="009E064B" w:rsidRDefault="00C36D76" w:rsidP="00B06A9A">
            <w:pPr>
              <w:spacing w:after="0"/>
            </w:pPr>
            <w:r w:rsidRPr="009E064B">
              <w:t>y = 0.108 + 0.707x</w:t>
            </w:r>
          </w:p>
        </w:tc>
      </w:tr>
      <w:tr w:rsidR="00C36D76" w:rsidRPr="009E064B" w14:paraId="2DAC7893" w14:textId="77777777" w:rsidTr="00363B46">
        <w:tc>
          <w:tcPr>
            <w:tcW w:w="2977" w:type="dxa"/>
            <w:tcMar>
              <w:top w:w="57" w:type="dxa"/>
              <w:left w:w="0" w:type="dxa"/>
              <w:bottom w:w="57" w:type="dxa"/>
            </w:tcMar>
          </w:tcPr>
          <w:p w14:paraId="35215547" w14:textId="77777777" w:rsidR="00C36D76" w:rsidRPr="009E064B" w:rsidRDefault="00C36D76" w:rsidP="00B06A9A">
            <w:pPr>
              <w:spacing w:after="0"/>
            </w:pPr>
            <w:r w:rsidRPr="009E064B">
              <w:t>Granica białego</w:t>
            </w:r>
          </w:p>
        </w:tc>
        <w:tc>
          <w:tcPr>
            <w:tcW w:w="2268" w:type="dxa"/>
            <w:tcMar>
              <w:top w:w="57" w:type="dxa"/>
              <w:left w:w="0" w:type="dxa"/>
              <w:bottom w:w="57" w:type="dxa"/>
            </w:tcMar>
          </w:tcPr>
          <w:p w14:paraId="5AD16214" w14:textId="77777777" w:rsidR="00C36D76" w:rsidRPr="009E064B" w:rsidRDefault="00C36D76" w:rsidP="00B06A9A">
            <w:pPr>
              <w:spacing w:after="0"/>
            </w:pPr>
            <w:r w:rsidRPr="009E064B">
              <w:t>y = 0.910 – x</w:t>
            </w:r>
          </w:p>
        </w:tc>
      </w:tr>
      <w:tr w:rsidR="00C36D76" w:rsidRPr="009E064B" w14:paraId="087C71EF" w14:textId="77777777" w:rsidTr="00363B46">
        <w:tc>
          <w:tcPr>
            <w:tcW w:w="2977" w:type="dxa"/>
            <w:tcMar>
              <w:top w:w="57" w:type="dxa"/>
              <w:left w:w="0" w:type="dxa"/>
              <w:bottom w:w="57" w:type="dxa"/>
            </w:tcMar>
          </w:tcPr>
          <w:p w14:paraId="4C9A7B0A" w14:textId="77777777" w:rsidR="00C36D76" w:rsidRPr="009E064B" w:rsidRDefault="00C36D76" w:rsidP="00B06A9A">
            <w:pPr>
              <w:spacing w:after="0"/>
            </w:pPr>
            <w:r w:rsidRPr="009E064B">
              <w:t>Granica zielonego</w:t>
            </w:r>
          </w:p>
        </w:tc>
        <w:tc>
          <w:tcPr>
            <w:tcW w:w="2268" w:type="dxa"/>
            <w:tcMar>
              <w:top w:w="57" w:type="dxa"/>
              <w:left w:w="0" w:type="dxa"/>
              <w:bottom w:w="57" w:type="dxa"/>
            </w:tcMar>
          </w:tcPr>
          <w:p w14:paraId="5D6F0E17" w14:textId="77777777" w:rsidR="00C36D76" w:rsidRPr="009E064B" w:rsidRDefault="00C36D76" w:rsidP="00B06A9A">
            <w:pPr>
              <w:spacing w:after="0"/>
            </w:pPr>
            <w:r w:rsidRPr="009E064B">
              <w:t>y = 1.35x – 0.093</w:t>
            </w:r>
          </w:p>
        </w:tc>
      </w:tr>
      <w:tr w:rsidR="00C36D76" w:rsidRPr="009E064B" w14:paraId="29220129" w14:textId="77777777" w:rsidTr="00363B46">
        <w:tc>
          <w:tcPr>
            <w:tcW w:w="2977" w:type="dxa"/>
            <w:tcMar>
              <w:top w:w="57" w:type="dxa"/>
              <w:left w:w="0" w:type="dxa"/>
              <w:bottom w:w="57" w:type="dxa"/>
            </w:tcMar>
          </w:tcPr>
          <w:p w14:paraId="292B8EAE"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070D6D2D" w14:textId="17E003A9" w:rsidR="00C36D76" w:rsidRPr="009E064B" w:rsidRDefault="00C36D76" w:rsidP="00AF52F5">
            <w:pPr>
              <w:spacing w:after="0"/>
            </w:pPr>
            <w:r w:rsidRPr="009E064B">
              <w:sym w:font="Symbol" w:char="F062"/>
            </w:r>
            <w:r w:rsidRPr="009E064B">
              <w:t xml:space="preserve"> = 0.45 (</w:t>
            </w:r>
            <w:r w:rsidR="00AF52F5" w:rsidRPr="009E064B">
              <w:t>minimum</w:t>
            </w:r>
            <w:r w:rsidRPr="009E064B">
              <w:t>)</w:t>
            </w:r>
          </w:p>
        </w:tc>
      </w:tr>
    </w:tbl>
    <w:p w14:paraId="034EC962" w14:textId="77777777" w:rsidR="00363B46" w:rsidRPr="009E064B" w:rsidRDefault="00363B46" w:rsidP="00B06A9A">
      <w:pPr>
        <w:tabs>
          <w:tab w:val="left" w:pos="1134"/>
        </w:tabs>
        <w:spacing w:before="240" w:after="60"/>
        <w:ind w:left="1134" w:hanging="567"/>
        <w:rPr>
          <w:iCs/>
        </w:rPr>
      </w:pPr>
    </w:p>
    <w:p w14:paraId="18934303" w14:textId="495CAC67" w:rsidR="00C36D76" w:rsidRPr="009E064B" w:rsidRDefault="00C36D76" w:rsidP="00B06A9A">
      <w:pPr>
        <w:tabs>
          <w:tab w:val="left" w:pos="1134"/>
        </w:tabs>
        <w:spacing w:before="240" w:after="60"/>
        <w:ind w:left="1134" w:hanging="567"/>
        <w:rPr>
          <w:iCs/>
        </w:rPr>
      </w:pPr>
      <w:r w:rsidRPr="009E064B">
        <w:rPr>
          <w:iCs/>
        </w:rPr>
        <w:t>(4)</w:t>
      </w:r>
      <w:r w:rsidRPr="009E064B">
        <w:rPr>
          <w:iCs/>
        </w:rPr>
        <w:tab/>
        <w:t>Biały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1C4D835D" w14:textId="77777777" w:rsidTr="00363B46">
        <w:tc>
          <w:tcPr>
            <w:tcW w:w="2977" w:type="dxa"/>
            <w:tcMar>
              <w:top w:w="57" w:type="dxa"/>
              <w:left w:w="0" w:type="dxa"/>
              <w:bottom w:w="57" w:type="dxa"/>
            </w:tcMar>
          </w:tcPr>
          <w:p w14:paraId="647E77A5" w14:textId="77777777" w:rsidR="00C36D76" w:rsidRPr="009E064B" w:rsidRDefault="00C36D76" w:rsidP="00B06A9A">
            <w:pPr>
              <w:spacing w:after="0"/>
            </w:pPr>
            <w:r w:rsidRPr="009E064B">
              <w:t>Granica fioletowego</w:t>
            </w:r>
          </w:p>
        </w:tc>
        <w:tc>
          <w:tcPr>
            <w:tcW w:w="2268" w:type="dxa"/>
            <w:tcMar>
              <w:top w:w="57" w:type="dxa"/>
              <w:left w:w="0" w:type="dxa"/>
              <w:bottom w:w="57" w:type="dxa"/>
            </w:tcMar>
          </w:tcPr>
          <w:p w14:paraId="62C0DF90" w14:textId="77777777" w:rsidR="00C36D76" w:rsidRPr="009E064B" w:rsidRDefault="00C36D76" w:rsidP="00B06A9A">
            <w:pPr>
              <w:spacing w:after="0"/>
            </w:pPr>
            <w:r w:rsidRPr="009E064B">
              <w:t>y = 0.010 + x</w:t>
            </w:r>
          </w:p>
        </w:tc>
      </w:tr>
      <w:tr w:rsidR="00C36D76" w:rsidRPr="009E064B" w14:paraId="1CAC0AA3" w14:textId="77777777" w:rsidTr="00363B46">
        <w:tc>
          <w:tcPr>
            <w:tcW w:w="2977" w:type="dxa"/>
            <w:tcMar>
              <w:top w:w="57" w:type="dxa"/>
              <w:left w:w="0" w:type="dxa"/>
              <w:bottom w:w="57" w:type="dxa"/>
            </w:tcMar>
          </w:tcPr>
          <w:p w14:paraId="64B53769" w14:textId="77777777" w:rsidR="00C36D76" w:rsidRPr="009E064B" w:rsidRDefault="00C36D76" w:rsidP="00B06A9A">
            <w:pPr>
              <w:spacing w:after="0"/>
            </w:pPr>
            <w:r w:rsidRPr="009E064B">
              <w:t>Granica niebieskiego</w:t>
            </w:r>
          </w:p>
        </w:tc>
        <w:tc>
          <w:tcPr>
            <w:tcW w:w="2268" w:type="dxa"/>
            <w:tcMar>
              <w:top w:w="57" w:type="dxa"/>
              <w:left w:w="0" w:type="dxa"/>
              <w:bottom w:w="57" w:type="dxa"/>
            </w:tcMar>
          </w:tcPr>
          <w:p w14:paraId="171BB2EE" w14:textId="77777777" w:rsidR="00C36D76" w:rsidRPr="009E064B" w:rsidRDefault="00C36D76" w:rsidP="00B06A9A">
            <w:pPr>
              <w:spacing w:after="0"/>
            </w:pPr>
            <w:r w:rsidRPr="009E064B">
              <w:t>y = 0.610 – x</w:t>
            </w:r>
          </w:p>
        </w:tc>
      </w:tr>
      <w:tr w:rsidR="00C36D76" w:rsidRPr="009E064B" w14:paraId="0D482A97" w14:textId="77777777" w:rsidTr="00363B46">
        <w:tc>
          <w:tcPr>
            <w:tcW w:w="2977" w:type="dxa"/>
            <w:tcMar>
              <w:top w:w="57" w:type="dxa"/>
              <w:left w:w="0" w:type="dxa"/>
              <w:bottom w:w="57" w:type="dxa"/>
            </w:tcMar>
          </w:tcPr>
          <w:p w14:paraId="0F20CF35" w14:textId="77777777" w:rsidR="00C36D76" w:rsidRPr="009E064B" w:rsidRDefault="00C36D76" w:rsidP="00B06A9A">
            <w:pPr>
              <w:spacing w:after="0"/>
            </w:pPr>
            <w:r w:rsidRPr="009E064B">
              <w:t>Granica zielonego</w:t>
            </w:r>
          </w:p>
        </w:tc>
        <w:tc>
          <w:tcPr>
            <w:tcW w:w="2268" w:type="dxa"/>
            <w:tcMar>
              <w:top w:w="57" w:type="dxa"/>
              <w:left w:w="0" w:type="dxa"/>
              <w:bottom w:w="57" w:type="dxa"/>
            </w:tcMar>
          </w:tcPr>
          <w:p w14:paraId="78B9DC5F" w14:textId="77777777" w:rsidR="00C36D76" w:rsidRPr="009E064B" w:rsidRDefault="00C36D76" w:rsidP="00B06A9A">
            <w:pPr>
              <w:spacing w:after="0"/>
            </w:pPr>
            <w:r w:rsidRPr="009E064B">
              <w:t>y = 0.030 + x</w:t>
            </w:r>
          </w:p>
        </w:tc>
      </w:tr>
      <w:tr w:rsidR="00C36D76" w:rsidRPr="009E064B" w14:paraId="6DADD43E" w14:textId="77777777" w:rsidTr="00363B46">
        <w:tc>
          <w:tcPr>
            <w:tcW w:w="2977" w:type="dxa"/>
            <w:tcMar>
              <w:top w:w="57" w:type="dxa"/>
              <w:left w:w="0" w:type="dxa"/>
              <w:bottom w:w="57" w:type="dxa"/>
            </w:tcMar>
          </w:tcPr>
          <w:p w14:paraId="2496A2EC"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41F4F6D3" w14:textId="77777777" w:rsidR="00C36D76" w:rsidRPr="009E064B" w:rsidRDefault="00C36D76" w:rsidP="00B06A9A">
            <w:pPr>
              <w:spacing w:after="0"/>
            </w:pPr>
            <w:r w:rsidRPr="009E064B">
              <w:t>y = 0.710 – x</w:t>
            </w:r>
          </w:p>
        </w:tc>
      </w:tr>
      <w:tr w:rsidR="00C36D76" w:rsidRPr="009E064B" w14:paraId="190D75FB" w14:textId="77777777" w:rsidTr="00363B46">
        <w:tc>
          <w:tcPr>
            <w:tcW w:w="2977" w:type="dxa"/>
            <w:tcMar>
              <w:top w:w="57" w:type="dxa"/>
              <w:left w:w="0" w:type="dxa"/>
              <w:bottom w:w="57" w:type="dxa"/>
            </w:tcMar>
          </w:tcPr>
          <w:p w14:paraId="40B43553"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5C6E9315" w14:textId="36089F04" w:rsidR="00C36D76" w:rsidRPr="009E064B" w:rsidRDefault="00C36D76" w:rsidP="00AF52F5">
            <w:pPr>
              <w:spacing w:after="0"/>
            </w:pPr>
            <w:r w:rsidRPr="009E064B">
              <w:sym w:font="Symbol" w:char="F062"/>
            </w:r>
            <w:r w:rsidRPr="009E064B">
              <w:t xml:space="preserve"> = 0.75 (</w:t>
            </w:r>
            <w:r w:rsidR="00AF52F5" w:rsidRPr="009E064B">
              <w:t>minimum</w:t>
            </w:r>
            <w:r w:rsidRPr="009E064B">
              <w:t>)</w:t>
            </w:r>
          </w:p>
        </w:tc>
      </w:tr>
    </w:tbl>
    <w:p w14:paraId="3473E07F" w14:textId="77777777" w:rsidR="00C36D76" w:rsidRPr="009E064B" w:rsidRDefault="00C36D76" w:rsidP="00B06A9A">
      <w:pPr>
        <w:tabs>
          <w:tab w:val="left" w:pos="1134"/>
        </w:tabs>
        <w:spacing w:before="240" w:after="60"/>
        <w:ind w:left="1134" w:hanging="567"/>
        <w:rPr>
          <w:iCs/>
        </w:rPr>
      </w:pPr>
      <w:r w:rsidRPr="009E064B">
        <w:rPr>
          <w:iCs/>
        </w:rPr>
        <w:t>(5)</w:t>
      </w:r>
      <w:r w:rsidRPr="009E064B">
        <w:rPr>
          <w:iCs/>
        </w:rPr>
        <w:tab/>
        <w:t>Czarny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1F8D640D" w14:textId="77777777" w:rsidTr="00363B46">
        <w:trPr>
          <w:trHeight w:val="331"/>
        </w:trPr>
        <w:tc>
          <w:tcPr>
            <w:tcW w:w="2977" w:type="dxa"/>
            <w:tcMar>
              <w:top w:w="57" w:type="dxa"/>
              <w:left w:w="0" w:type="dxa"/>
              <w:bottom w:w="57" w:type="dxa"/>
            </w:tcMar>
          </w:tcPr>
          <w:p w14:paraId="5C783875" w14:textId="77777777" w:rsidR="00C36D76" w:rsidRPr="009E064B" w:rsidRDefault="00C36D76" w:rsidP="00B06A9A">
            <w:pPr>
              <w:spacing w:after="0"/>
            </w:pPr>
            <w:r w:rsidRPr="009E064B">
              <w:t>Granica fioletowego</w:t>
            </w:r>
          </w:p>
        </w:tc>
        <w:tc>
          <w:tcPr>
            <w:tcW w:w="2268" w:type="dxa"/>
            <w:tcMar>
              <w:top w:w="57" w:type="dxa"/>
              <w:left w:w="0" w:type="dxa"/>
              <w:bottom w:w="57" w:type="dxa"/>
            </w:tcMar>
          </w:tcPr>
          <w:p w14:paraId="0B1AD5EC" w14:textId="77777777" w:rsidR="00C36D76" w:rsidRPr="009E064B" w:rsidRDefault="00C36D76" w:rsidP="00B06A9A">
            <w:pPr>
              <w:spacing w:after="0"/>
            </w:pPr>
            <w:r w:rsidRPr="009E064B">
              <w:t>y = x – 0.030</w:t>
            </w:r>
          </w:p>
        </w:tc>
      </w:tr>
      <w:tr w:rsidR="00C36D76" w:rsidRPr="009E064B" w14:paraId="30557055" w14:textId="77777777" w:rsidTr="00363B46">
        <w:tc>
          <w:tcPr>
            <w:tcW w:w="2977" w:type="dxa"/>
            <w:tcMar>
              <w:top w:w="57" w:type="dxa"/>
              <w:left w:w="0" w:type="dxa"/>
              <w:bottom w:w="57" w:type="dxa"/>
            </w:tcMar>
          </w:tcPr>
          <w:p w14:paraId="0E440BBC" w14:textId="77777777" w:rsidR="00C36D76" w:rsidRPr="009E064B" w:rsidRDefault="00C36D76" w:rsidP="00B06A9A">
            <w:pPr>
              <w:spacing w:after="0"/>
            </w:pPr>
            <w:r w:rsidRPr="009E064B">
              <w:t>Granica niebieskiego</w:t>
            </w:r>
          </w:p>
        </w:tc>
        <w:tc>
          <w:tcPr>
            <w:tcW w:w="2268" w:type="dxa"/>
            <w:tcMar>
              <w:top w:w="57" w:type="dxa"/>
              <w:left w:w="0" w:type="dxa"/>
              <w:bottom w:w="57" w:type="dxa"/>
            </w:tcMar>
          </w:tcPr>
          <w:p w14:paraId="6382E9EF" w14:textId="77777777" w:rsidR="00C36D76" w:rsidRPr="009E064B" w:rsidRDefault="00C36D76" w:rsidP="00B06A9A">
            <w:pPr>
              <w:spacing w:after="0"/>
            </w:pPr>
            <w:r w:rsidRPr="009E064B">
              <w:t>y = 0.570 – x</w:t>
            </w:r>
          </w:p>
        </w:tc>
      </w:tr>
      <w:tr w:rsidR="00C36D76" w:rsidRPr="009E064B" w14:paraId="2D2B3254" w14:textId="77777777" w:rsidTr="00363B46">
        <w:tc>
          <w:tcPr>
            <w:tcW w:w="2977" w:type="dxa"/>
            <w:tcMar>
              <w:top w:w="57" w:type="dxa"/>
              <w:left w:w="0" w:type="dxa"/>
              <w:bottom w:w="57" w:type="dxa"/>
            </w:tcMar>
          </w:tcPr>
          <w:p w14:paraId="58C3460B" w14:textId="77777777" w:rsidR="00C36D76" w:rsidRPr="009E064B" w:rsidRDefault="00C36D76" w:rsidP="00B06A9A">
            <w:pPr>
              <w:spacing w:after="0"/>
            </w:pPr>
            <w:r w:rsidRPr="009E064B">
              <w:t>Granica zielonego</w:t>
            </w:r>
          </w:p>
        </w:tc>
        <w:tc>
          <w:tcPr>
            <w:tcW w:w="2268" w:type="dxa"/>
            <w:tcMar>
              <w:top w:w="57" w:type="dxa"/>
              <w:left w:w="0" w:type="dxa"/>
              <w:bottom w:w="57" w:type="dxa"/>
            </w:tcMar>
          </w:tcPr>
          <w:p w14:paraId="5662F3AE" w14:textId="77777777" w:rsidR="00C36D76" w:rsidRPr="009E064B" w:rsidRDefault="00C36D76" w:rsidP="00B06A9A">
            <w:pPr>
              <w:spacing w:after="0"/>
            </w:pPr>
            <w:r w:rsidRPr="009E064B">
              <w:t>y = 0.050 + x</w:t>
            </w:r>
          </w:p>
        </w:tc>
      </w:tr>
      <w:tr w:rsidR="00C36D76" w:rsidRPr="009E064B" w14:paraId="2F8B3357" w14:textId="77777777" w:rsidTr="00363B46">
        <w:tc>
          <w:tcPr>
            <w:tcW w:w="2977" w:type="dxa"/>
            <w:tcMar>
              <w:top w:w="57" w:type="dxa"/>
              <w:left w:w="0" w:type="dxa"/>
              <w:bottom w:w="57" w:type="dxa"/>
            </w:tcMar>
          </w:tcPr>
          <w:p w14:paraId="6D368B5E"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608D8098" w14:textId="77777777" w:rsidR="00C36D76" w:rsidRPr="009E064B" w:rsidRDefault="00C36D76" w:rsidP="00B06A9A">
            <w:pPr>
              <w:spacing w:after="0"/>
            </w:pPr>
            <w:r w:rsidRPr="009E064B">
              <w:t>y = 0.740 – x</w:t>
            </w:r>
          </w:p>
        </w:tc>
      </w:tr>
      <w:tr w:rsidR="00C36D76" w:rsidRPr="009E064B" w14:paraId="0DD20A5F" w14:textId="77777777" w:rsidTr="00363B46">
        <w:tc>
          <w:tcPr>
            <w:tcW w:w="2977" w:type="dxa"/>
            <w:tcMar>
              <w:top w:w="57" w:type="dxa"/>
              <w:left w:w="0" w:type="dxa"/>
              <w:bottom w:w="57" w:type="dxa"/>
            </w:tcMar>
          </w:tcPr>
          <w:p w14:paraId="0A3D6E92"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71C781F8" w14:textId="77777777" w:rsidR="00C36D76" w:rsidRPr="009E064B" w:rsidRDefault="00C36D76" w:rsidP="00B06A9A">
            <w:pPr>
              <w:spacing w:after="0"/>
            </w:pPr>
            <w:r w:rsidRPr="009E064B">
              <w:sym w:font="Symbol" w:char="F062"/>
            </w:r>
            <w:r w:rsidRPr="009E064B">
              <w:t xml:space="preserve"> = 0.03 (maks.)</w:t>
            </w:r>
          </w:p>
        </w:tc>
      </w:tr>
    </w:tbl>
    <w:p w14:paraId="4DE49AFA" w14:textId="77777777" w:rsidR="00C36D76" w:rsidRPr="009E064B" w:rsidRDefault="00C36D76" w:rsidP="00B06A9A">
      <w:pPr>
        <w:tabs>
          <w:tab w:val="left" w:pos="1134"/>
        </w:tabs>
        <w:spacing w:before="240" w:after="60"/>
        <w:ind w:left="1134" w:hanging="567"/>
        <w:rPr>
          <w:iCs/>
        </w:rPr>
      </w:pPr>
      <w:r w:rsidRPr="009E064B">
        <w:rPr>
          <w:iCs/>
        </w:rPr>
        <w:t>(6)</w:t>
      </w:r>
      <w:r w:rsidRPr="009E064B">
        <w:rPr>
          <w:iCs/>
        </w:rPr>
        <w:tab/>
        <w:t>Żółtozielony</w:t>
      </w:r>
    </w:p>
    <w:tbl>
      <w:tblPr>
        <w:tblW w:w="0" w:type="auto"/>
        <w:tblInd w:w="1134" w:type="dxa"/>
        <w:tblCellMar>
          <w:top w:w="28" w:type="dxa"/>
          <w:bottom w:w="28" w:type="dxa"/>
        </w:tblCellMar>
        <w:tblLook w:val="01E0" w:firstRow="1" w:lastRow="1" w:firstColumn="1" w:lastColumn="1" w:noHBand="0" w:noVBand="0"/>
      </w:tblPr>
      <w:tblGrid>
        <w:gridCol w:w="2977"/>
        <w:gridCol w:w="2268"/>
      </w:tblGrid>
      <w:tr w:rsidR="00C36D76" w:rsidRPr="009E064B" w14:paraId="28FE55E0" w14:textId="77777777" w:rsidTr="00363B46">
        <w:tc>
          <w:tcPr>
            <w:tcW w:w="2977" w:type="dxa"/>
            <w:tcMar>
              <w:top w:w="57" w:type="dxa"/>
              <w:left w:w="0" w:type="dxa"/>
              <w:bottom w:w="57" w:type="dxa"/>
            </w:tcMar>
          </w:tcPr>
          <w:p w14:paraId="561A5910" w14:textId="77777777" w:rsidR="00C36D76" w:rsidRPr="009E064B" w:rsidRDefault="00C36D76" w:rsidP="00B06A9A">
            <w:pPr>
              <w:spacing w:after="0"/>
            </w:pPr>
            <w:r w:rsidRPr="009E064B">
              <w:t>Granica zielonego</w:t>
            </w:r>
          </w:p>
        </w:tc>
        <w:tc>
          <w:tcPr>
            <w:tcW w:w="2268" w:type="dxa"/>
            <w:tcMar>
              <w:top w:w="57" w:type="dxa"/>
              <w:left w:w="0" w:type="dxa"/>
              <w:bottom w:w="57" w:type="dxa"/>
            </w:tcMar>
          </w:tcPr>
          <w:p w14:paraId="4BD79866" w14:textId="77777777" w:rsidR="00C36D76" w:rsidRPr="009E064B" w:rsidRDefault="00C36D76" w:rsidP="00B06A9A">
            <w:pPr>
              <w:spacing w:after="0"/>
            </w:pPr>
            <w:r w:rsidRPr="009E064B">
              <w:t>y = 1.317x + 0.4</w:t>
            </w:r>
          </w:p>
        </w:tc>
      </w:tr>
      <w:tr w:rsidR="00C36D76" w:rsidRPr="009E064B" w14:paraId="23EDEC7D" w14:textId="77777777" w:rsidTr="00363B46">
        <w:tc>
          <w:tcPr>
            <w:tcW w:w="2977" w:type="dxa"/>
            <w:tcMar>
              <w:top w:w="57" w:type="dxa"/>
              <w:left w:w="0" w:type="dxa"/>
              <w:bottom w:w="57" w:type="dxa"/>
            </w:tcMar>
          </w:tcPr>
          <w:p w14:paraId="40313D87" w14:textId="77777777" w:rsidR="00C36D76" w:rsidRPr="009E064B" w:rsidRDefault="00C36D76" w:rsidP="00B06A9A">
            <w:pPr>
              <w:spacing w:after="0"/>
            </w:pPr>
            <w:r w:rsidRPr="009E064B">
              <w:t>Granica białego</w:t>
            </w:r>
          </w:p>
        </w:tc>
        <w:tc>
          <w:tcPr>
            <w:tcW w:w="2268" w:type="dxa"/>
            <w:tcMar>
              <w:top w:w="57" w:type="dxa"/>
              <w:left w:w="0" w:type="dxa"/>
              <w:bottom w:w="57" w:type="dxa"/>
            </w:tcMar>
          </w:tcPr>
          <w:p w14:paraId="3C124500" w14:textId="77777777" w:rsidR="00C36D76" w:rsidRPr="009E064B" w:rsidRDefault="00C36D76" w:rsidP="00B06A9A">
            <w:pPr>
              <w:spacing w:after="0"/>
            </w:pPr>
            <w:r w:rsidRPr="009E064B">
              <w:t xml:space="preserve">y = 0.910 – x </w:t>
            </w:r>
          </w:p>
        </w:tc>
      </w:tr>
      <w:tr w:rsidR="00C36D76" w:rsidRPr="009E064B" w14:paraId="550EAE56" w14:textId="77777777" w:rsidTr="00363B46">
        <w:tc>
          <w:tcPr>
            <w:tcW w:w="2977" w:type="dxa"/>
            <w:tcMar>
              <w:top w:w="57" w:type="dxa"/>
              <w:left w:w="0" w:type="dxa"/>
              <w:bottom w:w="57" w:type="dxa"/>
            </w:tcMar>
          </w:tcPr>
          <w:p w14:paraId="799648EE"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1578C448" w14:textId="77777777" w:rsidR="00C36D76" w:rsidRPr="009E064B" w:rsidRDefault="00C36D76" w:rsidP="00B06A9A">
            <w:pPr>
              <w:spacing w:after="0"/>
            </w:pPr>
            <w:r w:rsidRPr="009E064B">
              <w:t>y = 0.867x + 0.4</w:t>
            </w:r>
          </w:p>
        </w:tc>
      </w:tr>
    </w:tbl>
    <w:p w14:paraId="2F42EB37" w14:textId="77777777" w:rsidR="00C36D76" w:rsidRPr="009E064B" w:rsidRDefault="00C36D76" w:rsidP="00B06A9A">
      <w:pPr>
        <w:tabs>
          <w:tab w:val="left" w:pos="1134"/>
        </w:tabs>
        <w:spacing w:before="240" w:after="60"/>
        <w:ind w:left="1134" w:hanging="567"/>
        <w:rPr>
          <w:iCs/>
        </w:rPr>
      </w:pPr>
      <w:r w:rsidRPr="009E064B">
        <w:rPr>
          <w:iCs/>
        </w:rPr>
        <w:t>(7)</w:t>
      </w:r>
      <w:r w:rsidRPr="009E064B">
        <w:rPr>
          <w:iCs/>
        </w:rPr>
        <w:tab/>
        <w:t>Zielony</w:t>
      </w:r>
    </w:p>
    <w:tbl>
      <w:tblPr>
        <w:tblW w:w="0" w:type="auto"/>
        <w:tblInd w:w="1134" w:type="dxa"/>
        <w:tblLook w:val="01E0" w:firstRow="1" w:lastRow="1" w:firstColumn="1" w:lastColumn="1" w:noHBand="0" w:noVBand="0"/>
      </w:tblPr>
      <w:tblGrid>
        <w:gridCol w:w="2977"/>
        <w:gridCol w:w="2835"/>
      </w:tblGrid>
      <w:tr w:rsidR="00C36D76" w:rsidRPr="009E064B" w14:paraId="0C667DB9" w14:textId="77777777" w:rsidTr="00363B46">
        <w:tc>
          <w:tcPr>
            <w:tcW w:w="2977" w:type="dxa"/>
            <w:tcMar>
              <w:top w:w="57" w:type="dxa"/>
              <w:left w:w="0" w:type="dxa"/>
              <w:bottom w:w="57" w:type="dxa"/>
            </w:tcMar>
          </w:tcPr>
          <w:p w14:paraId="35466BE2" w14:textId="77777777" w:rsidR="00C36D76" w:rsidRPr="009E064B" w:rsidRDefault="00C36D76" w:rsidP="00B06A9A">
            <w:pPr>
              <w:spacing w:after="0"/>
            </w:pPr>
            <w:r w:rsidRPr="009E064B">
              <w:t>Granica żółtego</w:t>
            </w:r>
          </w:p>
        </w:tc>
        <w:tc>
          <w:tcPr>
            <w:tcW w:w="2835" w:type="dxa"/>
            <w:tcMar>
              <w:top w:w="57" w:type="dxa"/>
              <w:left w:w="0" w:type="dxa"/>
              <w:bottom w:w="57" w:type="dxa"/>
            </w:tcMar>
          </w:tcPr>
          <w:p w14:paraId="69A57AD7" w14:textId="77777777" w:rsidR="00C36D76" w:rsidRPr="009E064B" w:rsidRDefault="00C36D76" w:rsidP="00B06A9A">
            <w:pPr>
              <w:spacing w:after="0"/>
            </w:pPr>
            <w:r w:rsidRPr="009E064B">
              <w:t>y = 0.313</w:t>
            </w:r>
          </w:p>
        </w:tc>
      </w:tr>
      <w:tr w:rsidR="00C36D76" w:rsidRPr="009E064B" w14:paraId="39440514" w14:textId="77777777" w:rsidTr="00363B46">
        <w:tc>
          <w:tcPr>
            <w:tcW w:w="2977" w:type="dxa"/>
            <w:tcMar>
              <w:top w:w="57" w:type="dxa"/>
              <w:left w:w="0" w:type="dxa"/>
              <w:bottom w:w="57" w:type="dxa"/>
            </w:tcMar>
          </w:tcPr>
          <w:p w14:paraId="52F1E019" w14:textId="77777777" w:rsidR="00C36D76" w:rsidRPr="009E064B" w:rsidRDefault="00C36D76" w:rsidP="00B06A9A">
            <w:pPr>
              <w:spacing w:after="0"/>
            </w:pPr>
            <w:r w:rsidRPr="009E064B">
              <w:t>Granica białego</w:t>
            </w:r>
          </w:p>
        </w:tc>
        <w:tc>
          <w:tcPr>
            <w:tcW w:w="2835" w:type="dxa"/>
            <w:tcMar>
              <w:top w:w="57" w:type="dxa"/>
              <w:left w:w="0" w:type="dxa"/>
              <w:bottom w:w="57" w:type="dxa"/>
            </w:tcMar>
          </w:tcPr>
          <w:p w14:paraId="242EFA46" w14:textId="77777777" w:rsidR="00C36D76" w:rsidRPr="009E064B" w:rsidRDefault="00C36D76" w:rsidP="00B06A9A">
            <w:pPr>
              <w:spacing w:after="0"/>
            </w:pPr>
            <w:r w:rsidRPr="009E064B">
              <w:t>y = 0.243 + 0.670 x</w:t>
            </w:r>
          </w:p>
        </w:tc>
      </w:tr>
      <w:tr w:rsidR="00C36D76" w:rsidRPr="009E064B" w14:paraId="3BA3A003" w14:textId="77777777" w:rsidTr="00363B46">
        <w:tc>
          <w:tcPr>
            <w:tcW w:w="2977" w:type="dxa"/>
            <w:tcMar>
              <w:top w:w="57" w:type="dxa"/>
              <w:left w:w="0" w:type="dxa"/>
              <w:bottom w:w="57" w:type="dxa"/>
            </w:tcMar>
          </w:tcPr>
          <w:p w14:paraId="0183AC35" w14:textId="77777777" w:rsidR="00C36D76" w:rsidRPr="009E064B" w:rsidRDefault="00C36D76" w:rsidP="00B06A9A">
            <w:pPr>
              <w:spacing w:after="0"/>
            </w:pPr>
            <w:r w:rsidRPr="009E064B">
              <w:t>Granica niebieskiego</w:t>
            </w:r>
          </w:p>
        </w:tc>
        <w:tc>
          <w:tcPr>
            <w:tcW w:w="2835" w:type="dxa"/>
            <w:tcMar>
              <w:top w:w="57" w:type="dxa"/>
              <w:left w:w="0" w:type="dxa"/>
              <w:bottom w:w="57" w:type="dxa"/>
            </w:tcMar>
          </w:tcPr>
          <w:p w14:paraId="33721BDC" w14:textId="77777777" w:rsidR="00C36D76" w:rsidRPr="009E064B" w:rsidRDefault="00C36D76" w:rsidP="00B06A9A">
            <w:pPr>
              <w:spacing w:after="0"/>
            </w:pPr>
            <w:r w:rsidRPr="009E064B">
              <w:t>y = 0.493 – 0.524 x</w:t>
            </w:r>
          </w:p>
        </w:tc>
      </w:tr>
      <w:tr w:rsidR="00C36D76" w:rsidRPr="009E064B" w14:paraId="78ECA3A9" w14:textId="77777777" w:rsidTr="00363B46">
        <w:tc>
          <w:tcPr>
            <w:tcW w:w="2977" w:type="dxa"/>
            <w:tcMar>
              <w:top w:w="57" w:type="dxa"/>
              <w:left w:w="0" w:type="dxa"/>
              <w:bottom w:w="57" w:type="dxa"/>
            </w:tcMar>
          </w:tcPr>
          <w:p w14:paraId="0F3E774F"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6A73D62E" w14:textId="58D15A09" w:rsidR="00C36D76" w:rsidRPr="009E064B" w:rsidRDefault="00C36D76" w:rsidP="00AF52F5">
            <w:pPr>
              <w:spacing w:after="0"/>
            </w:pPr>
            <w:r w:rsidRPr="009E064B">
              <w:sym w:font="Symbol" w:char="F062"/>
            </w:r>
            <w:r w:rsidRPr="009E064B">
              <w:t xml:space="preserve"> = 0.10 (</w:t>
            </w:r>
            <w:r w:rsidR="00AF52F5" w:rsidRPr="009E064B">
              <w:t>minimum</w:t>
            </w:r>
            <w:r w:rsidRPr="009E064B">
              <w:t>)</w:t>
            </w:r>
          </w:p>
        </w:tc>
      </w:tr>
    </w:tbl>
    <w:p w14:paraId="294F7B63" w14:textId="77777777" w:rsidR="00C36D76" w:rsidRPr="009E064B" w:rsidRDefault="00C36D76" w:rsidP="00B06A9A">
      <w:pPr>
        <w:pStyle w:val="Akapitzlist"/>
        <w:spacing w:before="240" w:after="240"/>
        <w:ind w:left="567"/>
        <w:rPr>
          <w:szCs w:val="20"/>
        </w:rPr>
      </w:pPr>
      <w:r w:rsidRPr="009E064B">
        <w:rPr>
          <w:szCs w:val="20"/>
        </w:rPr>
        <w:t>Mała odległość pomiędzy kolorem czerwonym a pomarańczowym nie jest wystarczająca do rozróżnienia tych kolorów widzianych oddzielnie.</w:t>
      </w:r>
    </w:p>
    <w:p w14:paraId="693D5B81" w14:textId="39E1E53B" w:rsidR="00B7240A"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Współczynniki chromatyczności oraz luminancji kolorów materiałów odblaskowych do oznakowania, znaków i tablic powinny zawierać się wewnątrz poniższych granic, określonych dla warunków standardowych.</w:t>
      </w:r>
    </w:p>
    <w:p w14:paraId="71EC5C32" w14:textId="77777777" w:rsidR="00C36D76" w:rsidRPr="009E064B" w:rsidRDefault="00C36D76" w:rsidP="00B06A9A">
      <w:pPr>
        <w:pStyle w:val="Akapitzlist"/>
        <w:ind w:left="567"/>
        <w:rPr>
          <w:szCs w:val="20"/>
        </w:rPr>
      </w:pPr>
      <w:r w:rsidRPr="009E064B">
        <w:rPr>
          <w:szCs w:val="20"/>
        </w:rPr>
        <w:t>Równania CIE (patrz Rysunek U-3):</w:t>
      </w:r>
    </w:p>
    <w:p w14:paraId="1399DF6E" w14:textId="77777777" w:rsidR="00C36D76" w:rsidRPr="009E064B" w:rsidRDefault="00C36D76" w:rsidP="00B06A9A">
      <w:pPr>
        <w:tabs>
          <w:tab w:val="left" w:pos="1134"/>
        </w:tabs>
        <w:spacing w:before="240" w:after="60"/>
        <w:ind w:left="1134" w:hanging="567"/>
        <w:rPr>
          <w:iCs/>
        </w:rPr>
      </w:pPr>
      <w:r w:rsidRPr="009E064B">
        <w:rPr>
          <w:iCs/>
        </w:rPr>
        <w:t>(1)</w:t>
      </w:r>
      <w:r w:rsidRPr="009E064B">
        <w:rPr>
          <w:iCs/>
        </w:rPr>
        <w:tab/>
        <w:t>Czerwony</w:t>
      </w:r>
    </w:p>
    <w:tbl>
      <w:tblPr>
        <w:tblW w:w="0" w:type="auto"/>
        <w:tblInd w:w="1134" w:type="dxa"/>
        <w:tblLook w:val="01E0" w:firstRow="1" w:lastRow="1" w:firstColumn="1" w:lastColumn="1" w:noHBand="0" w:noVBand="0"/>
      </w:tblPr>
      <w:tblGrid>
        <w:gridCol w:w="2977"/>
        <w:gridCol w:w="2268"/>
      </w:tblGrid>
      <w:tr w:rsidR="00C36D76" w:rsidRPr="009E064B" w14:paraId="1782EBBA" w14:textId="77777777" w:rsidTr="00363B46">
        <w:tc>
          <w:tcPr>
            <w:tcW w:w="2977" w:type="dxa"/>
            <w:tcMar>
              <w:top w:w="57" w:type="dxa"/>
              <w:left w:w="0" w:type="dxa"/>
              <w:bottom w:w="57" w:type="dxa"/>
            </w:tcMar>
          </w:tcPr>
          <w:p w14:paraId="111D3CC8" w14:textId="77777777" w:rsidR="00C36D76" w:rsidRPr="009E064B" w:rsidRDefault="00C36D76" w:rsidP="00B06A9A">
            <w:pPr>
              <w:spacing w:after="0"/>
            </w:pPr>
            <w:r w:rsidRPr="009E064B">
              <w:t>Granica fioletowego</w:t>
            </w:r>
          </w:p>
        </w:tc>
        <w:tc>
          <w:tcPr>
            <w:tcW w:w="2268" w:type="dxa"/>
            <w:tcMar>
              <w:top w:w="57" w:type="dxa"/>
              <w:left w:w="0" w:type="dxa"/>
              <w:bottom w:w="57" w:type="dxa"/>
            </w:tcMar>
          </w:tcPr>
          <w:p w14:paraId="29B17284" w14:textId="488AC350" w:rsidR="00C36D76" w:rsidRPr="009E064B" w:rsidRDefault="00C36D76" w:rsidP="00B06A9A">
            <w:pPr>
              <w:spacing w:after="0"/>
            </w:pPr>
            <w:r w:rsidRPr="009E064B">
              <w:t xml:space="preserve">y = 0.345 </w:t>
            </w:r>
            <w:r w:rsidR="00A94044" w:rsidRPr="009E064B">
              <w:t>–</w:t>
            </w:r>
            <w:r w:rsidRPr="009E064B">
              <w:t xml:space="preserve"> 0.051x</w:t>
            </w:r>
          </w:p>
        </w:tc>
      </w:tr>
      <w:tr w:rsidR="00C36D76" w:rsidRPr="009E064B" w14:paraId="65ADF7C7" w14:textId="77777777" w:rsidTr="00363B46">
        <w:tc>
          <w:tcPr>
            <w:tcW w:w="2977" w:type="dxa"/>
            <w:tcMar>
              <w:top w:w="57" w:type="dxa"/>
              <w:left w:w="0" w:type="dxa"/>
              <w:bottom w:w="57" w:type="dxa"/>
            </w:tcMar>
          </w:tcPr>
          <w:p w14:paraId="1499F3C6" w14:textId="77777777" w:rsidR="00C36D76" w:rsidRPr="009E064B" w:rsidRDefault="00C36D76" w:rsidP="00B06A9A">
            <w:pPr>
              <w:spacing w:after="0"/>
            </w:pPr>
            <w:r w:rsidRPr="009E064B">
              <w:t>Granica żółtego</w:t>
            </w:r>
          </w:p>
        </w:tc>
        <w:tc>
          <w:tcPr>
            <w:tcW w:w="2268" w:type="dxa"/>
            <w:tcMar>
              <w:top w:w="57" w:type="dxa"/>
              <w:left w:w="0" w:type="dxa"/>
              <w:bottom w:w="57" w:type="dxa"/>
            </w:tcMar>
          </w:tcPr>
          <w:p w14:paraId="7129A50E" w14:textId="77777777" w:rsidR="00C36D76" w:rsidRPr="009E064B" w:rsidRDefault="00C36D76" w:rsidP="00B06A9A">
            <w:pPr>
              <w:spacing w:after="0"/>
            </w:pPr>
            <w:r w:rsidRPr="009E064B">
              <w:t>y = 0.910 – x</w:t>
            </w:r>
          </w:p>
        </w:tc>
      </w:tr>
      <w:tr w:rsidR="00C36D76" w:rsidRPr="009E064B" w14:paraId="0EF9DCF7" w14:textId="77777777" w:rsidTr="00363B46">
        <w:tc>
          <w:tcPr>
            <w:tcW w:w="2977" w:type="dxa"/>
            <w:tcMar>
              <w:top w:w="57" w:type="dxa"/>
              <w:left w:w="0" w:type="dxa"/>
              <w:bottom w:w="57" w:type="dxa"/>
            </w:tcMar>
          </w:tcPr>
          <w:p w14:paraId="5E078A7F" w14:textId="77777777" w:rsidR="00C36D76" w:rsidRPr="009E064B" w:rsidRDefault="00C36D76" w:rsidP="00B06A9A">
            <w:pPr>
              <w:spacing w:after="0"/>
            </w:pPr>
            <w:r w:rsidRPr="009E064B">
              <w:t>Granica pomarańcz.</w:t>
            </w:r>
          </w:p>
        </w:tc>
        <w:tc>
          <w:tcPr>
            <w:tcW w:w="2268" w:type="dxa"/>
            <w:tcMar>
              <w:top w:w="57" w:type="dxa"/>
              <w:left w:w="0" w:type="dxa"/>
              <w:bottom w:w="57" w:type="dxa"/>
            </w:tcMar>
          </w:tcPr>
          <w:p w14:paraId="625917FB" w14:textId="77777777" w:rsidR="00C36D76" w:rsidRPr="009E064B" w:rsidRDefault="00C36D76" w:rsidP="00B06A9A">
            <w:pPr>
              <w:spacing w:after="0"/>
            </w:pPr>
            <w:r w:rsidRPr="009E064B">
              <w:t>y = 0.314 + 0.047x</w:t>
            </w:r>
          </w:p>
        </w:tc>
      </w:tr>
      <w:tr w:rsidR="00C36D76" w:rsidRPr="009E064B" w14:paraId="119AC353" w14:textId="77777777" w:rsidTr="00363B46">
        <w:tc>
          <w:tcPr>
            <w:tcW w:w="2977" w:type="dxa"/>
            <w:tcMar>
              <w:top w:w="57" w:type="dxa"/>
              <w:left w:w="0" w:type="dxa"/>
              <w:bottom w:w="57" w:type="dxa"/>
            </w:tcMar>
          </w:tcPr>
          <w:p w14:paraId="229EAEF9" w14:textId="77777777" w:rsidR="00C36D76" w:rsidRPr="009E064B" w:rsidRDefault="00C36D76" w:rsidP="00B06A9A">
            <w:pPr>
              <w:spacing w:after="0"/>
            </w:pPr>
            <w:r w:rsidRPr="009E064B">
              <w:t>Współczynnik luminancji</w:t>
            </w:r>
          </w:p>
        </w:tc>
        <w:tc>
          <w:tcPr>
            <w:tcW w:w="2268" w:type="dxa"/>
            <w:tcMar>
              <w:top w:w="57" w:type="dxa"/>
              <w:left w:w="0" w:type="dxa"/>
              <w:bottom w:w="57" w:type="dxa"/>
            </w:tcMar>
          </w:tcPr>
          <w:p w14:paraId="3CAB459F" w14:textId="3AE66AEF" w:rsidR="00C36D76" w:rsidRPr="009E064B" w:rsidRDefault="00C36D76" w:rsidP="00AF52F5">
            <w:pPr>
              <w:spacing w:after="0"/>
            </w:pPr>
            <w:r w:rsidRPr="009E064B">
              <w:sym w:font="Symbol" w:char="F062"/>
            </w:r>
            <w:r w:rsidRPr="009E064B">
              <w:t xml:space="preserve"> = 0.03 (</w:t>
            </w:r>
            <w:r w:rsidR="00AF52F5" w:rsidRPr="009E064B">
              <w:t>minimum</w:t>
            </w:r>
            <w:r w:rsidRPr="009E064B">
              <w:t>)</w:t>
            </w:r>
          </w:p>
        </w:tc>
      </w:tr>
    </w:tbl>
    <w:p w14:paraId="7D428A92" w14:textId="77777777" w:rsidR="00363B46" w:rsidRPr="009E064B" w:rsidRDefault="00363B46" w:rsidP="00B06A9A">
      <w:pPr>
        <w:tabs>
          <w:tab w:val="left" w:pos="1134"/>
        </w:tabs>
        <w:spacing w:before="240" w:after="60"/>
        <w:ind w:left="1134" w:hanging="567"/>
        <w:rPr>
          <w:iCs/>
        </w:rPr>
      </w:pPr>
    </w:p>
    <w:p w14:paraId="79440377" w14:textId="4BC26FA9" w:rsidR="00C36D76" w:rsidRPr="009E064B" w:rsidRDefault="00C36D76" w:rsidP="00B06A9A">
      <w:pPr>
        <w:tabs>
          <w:tab w:val="left" w:pos="1134"/>
        </w:tabs>
        <w:spacing w:before="240" w:after="60"/>
        <w:ind w:left="1134" w:hanging="567"/>
        <w:rPr>
          <w:iCs/>
        </w:rPr>
      </w:pPr>
      <w:r w:rsidRPr="009E064B">
        <w:rPr>
          <w:iCs/>
        </w:rPr>
        <w:t>(2)</w:t>
      </w:r>
      <w:r w:rsidRPr="009E064B">
        <w:rPr>
          <w:iCs/>
        </w:rPr>
        <w:tab/>
        <w:t>Pomarańczowy</w:t>
      </w:r>
    </w:p>
    <w:tbl>
      <w:tblPr>
        <w:tblW w:w="0" w:type="auto"/>
        <w:tblInd w:w="1134" w:type="dxa"/>
        <w:tblLook w:val="01E0" w:firstRow="1" w:lastRow="1" w:firstColumn="1" w:lastColumn="1" w:noHBand="0" w:noVBand="0"/>
      </w:tblPr>
      <w:tblGrid>
        <w:gridCol w:w="2977"/>
        <w:gridCol w:w="2835"/>
      </w:tblGrid>
      <w:tr w:rsidR="00C36D76" w:rsidRPr="009E064B" w14:paraId="742EE0AB" w14:textId="77777777" w:rsidTr="00363B46">
        <w:tc>
          <w:tcPr>
            <w:tcW w:w="2977" w:type="dxa"/>
            <w:tcMar>
              <w:top w:w="57" w:type="dxa"/>
              <w:left w:w="0" w:type="dxa"/>
              <w:bottom w:w="57" w:type="dxa"/>
            </w:tcMar>
          </w:tcPr>
          <w:p w14:paraId="4145F4E6" w14:textId="77777777" w:rsidR="00C36D76" w:rsidRPr="009E064B" w:rsidRDefault="00C36D76" w:rsidP="00B06A9A">
            <w:pPr>
              <w:spacing w:after="0"/>
            </w:pPr>
            <w:r w:rsidRPr="009E064B">
              <w:t>Granica czerwonego</w:t>
            </w:r>
          </w:p>
        </w:tc>
        <w:tc>
          <w:tcPr>
            <w:tcW w:w="2835" w:type="dxa"/>
            <w:tcMar>
              <w:top w:w="57" w:type="dxa"/>
              <w:left w:w="0" w:type="dxa"/>
              <w:bottom w:w="57" w:type="dxa"/>
            </w:tcMar>
          </w:tcPr>
          <w:p w14:paraId="33D10162" w14:textId="77777777" w:rsidR="00C36D76" w:rsidRPr="009E064B" w:rsidRDefault="00C36D76" w:rsidP="00B06A9A">
            <w:pPr>
              <w:spacing w:after="0"/>
            </w:pPr>
            <w:r w:rsidRPr="009E064B">
              <w:t>y = 0.265 + 0.205x</w:t>
            </w:r>
          </w:p>
        </w:tc>
      </w:tr>
      <w:tr w:rsidR="00C36D76" w:rsidRPr="009E064B" w14:paraId="7C51C410" w14:textId="77777777" w:rsidTr="00363B46">
        <w:tc>
          <w:tcPr>
            <w:tcW w:w="2977" w:type="dxa"/>
            <w:tcMar>
              <w:top w:w="57" w:type="dxa"/>
              <w:left w:w="0" w:type="dxa"/>
              <w:bottom w:w="57" w:type="dxa"/>
            </w:tcMar>
          </w:tcPr>
          <w:p w14:paraId="456DF8AE" w14:textId="77777777" w:rsidR="00C36D76" w:rsidRPr="009E064B" w:rsidRDefault="00C36D76" w:rsidP="00B06A9A">
            <w:pPr>
              <w:spacing w:after="0"/>
            </w:pPr>
            <w:r w:rsidRPr="009E064B">
              <w:t>Granica białego</w:t>
            </w:r>
          </w:p>
        </w:tc>
        <w:tc>
          <w:tcPr>
            <w:tcW w:w="2835" w:type="dxa"/>
            <w:tcMar>
              <w:top w:w="57" w:type="dxa"/>
              <w:left w:w="0" w:type="dxa"/>
              <w:bottom w:w="57" w:type="dxa"/>
            </w:tcMar>
          </w:tcPr>
          <w:p w14:paraId="26EA0F18" w14:textId="77777777" w:rsidR="00C36D76" w:rsidRPr="009E064B" w:rsidRDefault="00C36D76" w:rsidP="00B06A9A">
            <w:pPr>
              <w:spacing w:after="0"/>
            </w:pPr>
            <w:r w:rsidRPr="009E064B">
              <w:t>y = 0.910 – x</w:t>
            </w:r>
          </w:p>
        </w:tc>
      </w:tr>
      <w:tr w:rsidR="00C36D76" w:rsidRPr="009E064B" w14:paraId="65BE44A0" w14:textId="77777777" w:rsidTr="00363B46">
        <w:tc>
          <w:tcPr>
            <w:tcW w:w="2977" w:type="dxa"/>
            <w:tcMar>
              <w:top w:w="57" w:type="dxa"/>
              <w:left w:w="0" w:type="dxa"/>
              <w:bottom w:w="57" w:type="dxa"/>
            </w:tcMar>
          </w:tcPr>
          <w:p w14:paraId="67DB8A6D" w14:textId="77777777" w:rsidR="00C36D76" w:rsidRPr="009E064B" w:rsidRDefault="00C36D76" w:rsidP="00B06A9A">
            <w:pPr>
              <w:spacing w:after="0"/>
            </w:pPr>
            <w:r w:rsidRPr="009E064B">
              <w:t>Granica żółtego</w:t>
            </w:r>
          </w:p>
        </w:tc>
        <w:tc>
          <w:tcPr>
            <w:tcW w:w="2835" w:type="dxa"/>
            <w:tcMar>
              <w:top w:w="57" w:type="dxa"/>
              <w:left w:w="0" w:type="dxa"/>
              <w:bottom w:w="57" w:type="dxa"/>
            </w:tcMar>
          </w:tcPr>
          <w:p w14:paraId="6C5A7819" w14:textId="77777777" w:rsidR="00C36D76" w:rsidRPr="009E064B" w:rsidRDefault="00C36D76" w:rsidP="00B06A9A">
            <w:pPr>
              <w:spacing w:after="0"/>
            </w:pPr>
            <w:r w:rsidRPr="009E064B">
              <w:t>y = 0.207 + 0.390x</w:t>
            </w:r>
          </w:p>
        </w:tc>
      </w:tr>
      <w:tr w:rsidR="00C36D76" w:rsidRPr="009E064B" w14:paraId="0B93C952" w14:textId="77777777" w:rsidTr="00363B46">
        <w:tc>
          <w:tcPr>
            <w:tcW w:w="2977" w:type="dxa"/>
            <w:tcMar>
              <w:top w:w="57" w:type="dxa"/>
              <w:left w:w="0" w:type="dxa"/>
              <w:bottom w:w="57" w:type="dxa"/>
            </w:tcMar>
          </w:tcPr>
          <w:p w14:paraId="4F5B9D8B"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08B7BB29" w14:textId="3D703437" w:rsidR="00C36D76" w:rsidRPr="009E064B" w:rsidRDefault="00C36D76" w:rsidP="00AF52F5">
            <w:pPr>
              <w:spacing w:after="0"/>
            </w:pPr>
            <w:r w:rsidRPr="009E064B">
              <w:sym w:font="Symbol" w:char="F062"/>
            </w:r>
            <w:r w:rsidRPr="009E064B">
              <w:t xml:space="preserve"> = 0.14 (</w:t>
            </w:r>
            <w:r w:rsidR="00AF52F5" w:rsidRPr="009E064B">
              <w:t>minimum</w:t>
            </w:r>
            <w:r w:rsidRPr="009E064B">
              <w:t>)</w:t>
            </w:r>
          </w:p>
        </w:tc>
      </w:tr>
    </w:tbl>
    <w:p w14:paraId="3F9F15D2" w14:textId="77777777" w:rsidR="00C36D76" w:rsidRPr="009E064B" w:rsidRDefault="00C36D76" w:rsidP="00B06A9A">
      <w:pPr>
        <w:tabs>
          <w:tab w:val="left" w:pos="1134"/>
        </w:tabs>
        <w:spacing w:before="240" w:after="60"/>
        <w:ind w:left="1134" w:hanging="567"/>
        <w:rPr>
          <w:iCs/>
        </w:rPr>
      </w:pPr>
      <w:r w:rsidRPr="009E064B">
        <w:rPr>
          <w:iCs/>
        </w:rPr>
        <w:t>(3)</w:t>
      </w:r>
      <w:r w:rsidRPr="009E064B">
        <w:rPr>
          <w:iCs/>
        </w:rPr>
        <w:tab/>
        <w:t>Żółty</w:t>
      </w:r>
    </w:p>
    <w:tbl>
      <w:tblPr>
        <w:tblW w:w="0" w:type="auto"/>
        <w:tblInd w:w="1134" w:type="dxa"/>
        <w:tblLook w:val="01E0" w:firstRow="1" w:lastRow="1" w:firstColumn="1" w:lastColumn="1" w:noHBand="0" w:noVBand="0"/>
      </w:tblPr>
      <w:tblGrid>
        <w:gridCol w:w="2977"/>
        <w:gridCol w:w="2835"/>
      </w:tblGrid>
      <w:tr w:rsidR="00C36D76" w:rsidRPr="009E064B" w14:paraId="38E72BDA" w14:textId="77777777" w:rsidTr="00363B46">
        <w:tc>
          <w:tcPr>
            <w:tcW w:w="2977" w:type="dxa"/>
            <w:tcMar>
              <w:top w:w="57" w:type="dxa"/>
              <w:left w:w="0" w:type="dxa"/>
              <w:bottom w:w="57" w:type="dxa"/>
            </w:tcMar>
          </w:tcPr>
          <w:p w14:paraId="5514FA9F" w14:textId="16566F63" w:rsidR="00C36D76" w:rsidRPr="009E064B" w:rsidRDefault="005B3A70" w:rsidP="00B06A9A">
            <w:pPr>
              <w:spacing w:after="0"/>
            </w:pPr>
            <w:r w:rsidRPr="009E064B">
              <w:t>Granica pomarańczowego</w:t>
            </w:r>
          </w:p>
        </w:tc>
        <w:tc>
          <w:tcPr>
            <w:tcW w:w="2835" w:type="dxa"/>
            <w:tcMar>
              <w:top w:w="57" w:type="dxa"/>
              <w:left w:w="0" w:type="dxa"/>
              <w:bottom w:w="57" w:type="dxa"/>
            </w:tcMar>
          </w:tcPr>
          <w:p w14:paraId="20DF7DBB" w14:textId="77777777" w:rsidR="00C36D76" w:rsidRPr="009E064B" w:rsidRDefault="00C36D76" w:rsidP="00B06A9A">
            <w:pPr>
              <w:spacing w:after="0"/>
            </w:pPr>
            <w:r w:rsidRPr="009E064B">
              <w:t>y = 0.160 + 0.540x</w:t>
            </w:r>
          </w:p>
        </w:tc>
      </w:tr>
      <w:tr w:rsidR="00C36D76" w:rsidRPr="009E064B" w14:paraId="6DAD6932" w14:textId="77777777" w:rsidTr="00363B46">
        <w:tc>
          <w:tcPr>
            <w:tcW w:w="2977" w:type="dxa"/>
            <w:tcMar>
              <w:top w:w="57" w:type="dxa"/>
              <w:left w:w="0" w:type="dxa"/>
              <w:bottom w:w="57" w:type="dxa"/>
            </w:tcMar>
          </w:tcPr>
          <w:p w14:paraId="178A1786" w14:textId="77777777" w:rsidR="00C36D76" w:rsidRPr="009E064B" w:rsidRDefault="00C36D76" w:rsidP="00B06A9A">
            <w:pPr>
              <w:spacing w:after="0"/>
            </w:pPr>
            <w:r w:rsidRPr="009E064B">
              <w:t>Granica białego</w:t>
            </w:r>
          </w:p>
        </w:tc>
        <w:tc>
          <w:tcPr>
            <w:tcW w:w="2835" w:type="dxa"/>
            <w:tcMar>
              <w:top w:w="57" w:type="dxa"/>
              <w:left w:w="0" w:type="dxa"/>
              <w:bottom w:w="57" w:type="dxa"/>
            </w:tcMar>
          </w:tcPr>
          <w:p w14:paraId="27B5348A" w14:textId="77777777" w:rsidR="00C36D76" w:rsidRPr="009E064B" w:rsidRDefault="00C36D76" w:rsidP="00B06A9A">
            <w:pPr>
              <w:spacing w:after="0"/>
            </w:pPr>
            <w:r w:rsidRPr="009E064B">
              <w:t>y = 0.910 – x</w:t>
            </w:r>
          </w:p>
        </w:tc>
      </w:tr>
      <w:tr w:rsidR="00C36D76" w:rsidRPr="009E064B" w14:paraId="272127D5" w14:textId="77777777" w:rsidTr="00363B46">
        <w:tc>
          <w:tcPr>
            <w:tcW w:w="2977" w:type="dxa"/>
            <w:tcMar>
              <w:top w:w="57" w:type="dxa"/>
              <w:left w:w="0" w:type="dxa"/>
              <w:bottom w:w="57" w:type="dxa"/>
            </w:tcMar>
          </w:tcPr>
          <w:p w14:paraId="30A9A5EA" w14:textId="77777777" w:rsidR="00C36D76" w:rsidRPr="009E064B" w:rsidRDefault="00C36D76" w:rsidP="00B06A9A">
            <w:pPr>
              <w:spacing w:after="0"/>
            </w:pPr>
            <w:r w:rsidRPr="009E064B">
              <w:t>Granica zielonego</w:t>
            </w:r>
          </w:p>
        </w:tc>
        <w:tc>
          <w:tcPr>
            <w:tcW w:w="2835" w:type="dxa"/>
            <w:tcMar>
              <w:top w:w="57" w:type="dxa"/>
              <w:left w:w="0" w:type="dxa"/>
              <w:bottom w:w="57" w:type="dxa"/>
            </w:tcMar>
          </w:tcPr>
          <w:p w14:paraId="774EDA7F" w14:textId="77777777" w:rsidR="00C36D76" w:rsidRPr="009E064B" w:rsidRDefault="00C36D76" w:rsidP="00B06A9A">
            <w:pPr>
              <w:spacing w:after="0"/>
            </w:pPr>
            <w:r w:rsidRPr="009E064B">
              <w:t>y = 1.35x – 0.093</w:t>
            </w:r>
          </w:p>
        </w:tc>
      </w:tr>
      <w:tr w:rsidR="00C36D76" w:rsidRPr="009E064B" w14:paraId="0A7AF538" w14:textId="77777777" w:rsidTr="00363B46">
        <w:tc>
          <w:tcPr>
            <w:tcW w:w="2977" w:type="dxa"/>
            <w:tcMar>
              <w:top w:w="57" w:type="dxa"/>
              <w:left w:w="0" w:type="dxa"/>
              <w:bottom w:w="57" w:type="dxa"/>
            </w:tcMar>
          </w:tcPr>
          <w:p w14:paraId="3E01ED39"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6AF66B30" w14:textId="44ED9855" w:rsidR="00C36D76" w:rsidRPr="009E064B" w:rsidRDefault="00C36D76" w:rsidP="00AF52F5">
            <w:pPr>
              <w:spacing w:after="0"/>
            </w:pPr>
            <w:r w:rsidRPr="009E064B">
              <w:sym w:font="Symbol" w:char="F062"/>
            </w:r>
            <w:r w:rsidRPr="009E064B">
              <w:t xml:space="preserve"> = 0.16 (</w:t>
            </w:r>
            <w:r w:rsidR="00AF52F5" w:rsidRPr="009E064B">
              <w:t>minimum</w:t>
            </w:r>
            <w:r w:rsidRPr="009E064B">
              <w:t>)</w:t>
            </w:r>
          </w:p>
        </w:tc>
      </w:tr>
    </w:tbl>
    <w:p w14:paraId="2A1E24A9" w14:textId="77777777" w:rsidR="00C36D76" w:rsidRPr="009E064B" w:rsidRDefault="00C36D76" w:rsidP="00B06A9A">
      <w:pPr>
        <w:tabs>
          <w:tab w:val="left" w:pos="1134"/>
        </w:tabs>
        <w:spacing w:before="240" w:after="60"/>
        <w:ind w:left="1134" w:hanging="567"/>
        <w:rPr>
          <w:iCs/>
        </w:rPr>
      </w:pPr>
      <w:r w:rsidRPr="009E064B">
        <w:rPr>
          <w:iCs/>
        </w:rPr>
        <w:t>(4)</w:t>
      </w:r>
      <w:r w:rsidRPr="009E064B">
        <w:rPr>
          <w:iCs/>
        </w:rPr>
        <w:tab/>
        <w:t>Biały</w:t>
      </w:r>
    </w:p>
    <w:tbl>
      <w:tblPr>
        <w:tblW w:w="0" w:type="auto"/>
        <w:tblInd w:w="1134" w:type="dxa"/>
        <w:tblLook w:val="01E0" w:firstRow="1" w:lastRow="1" w:firstColumn="1" w:lastColumn="1" w:noHBand="0" w:noVBand="0"/>
      </w:tblPr>
      <w:tblGrid>
        <w:gridCol w:w="2977"/>
        <w:gridCol w:w="2835"/>
      </w:tblGrid>
      <w:tr w:rsidR="00C36D76" w:rsidRPr="009E064B" w14:paraId="025747BE" w14:textId="77777777" w:rsidTr="00363B46">
        <w:tc>
          <w:tcPr>
            <w:tcW w:w="2977" w:type="dxa"/>
            <w:tcMar>
              <w:top w:w="57" w:type="dxa"/>
              <w:left w:w="0" w:type="dxa"/>
              <w:bottom w:w="57" w:type="dxa"/>
            </w:tcMar>
          </w:tcPr>
          <w:p w14:paraId="61712D87" w14:textId="77777777" w:rsidR="00C36D76" w:rsidRPr="009E064B" w:rsidRDefault="00C36D76" w:rsidP="00B06A9A">
            <w:pPr>
              <w:spacing w:after="0"/>
            </w:pPr>
            <w:r w:rsidRPr="009E064B">
              <w:t>Granica fioletowego</w:t>
            </w:r>
          </w:p>
        </w:tc>
        <w:tc>
          <w:tcPr>
            <w:tcW w:w="2835" w:type="dxa"/>
            <w:tcMar>
              <w:top w:w="57" w:type="dxa"/>
              <w:left w:w="0" w:type="dxa"/>
              <w:bottom w:w="57" w:type="dxa"/>
            </w:tcMar>
          </w:tcPr>
          <w:p w14:paraId="4DEC6E7B" w14:textId="77777777" w:rsidR="00C36D76" w:rsidRPr="009E064B" w:rsidRDefault="00C36D76" w:rsidP="00B06A9A">
            <w:pPr>
              <w:spacing w:after="0"/>
            </w:pPr>
            <w:r w:rsidRPr="009E064B">
              <w:t>y =  x</w:t>
            </w:r>
          </w:p>
        </w:tc>
      </w:tr>
      <w:tr w:rsidR="00C36D76" w:rsidRPr="009E064B" w14:paraId="70D6C428" w14:textId="77777777" w:rsidTr="00363B46">
        <w:tc>
          <w:tcPr>
            <w:tcW w:w="2977" w:type="dxa"/>
            <w:tcMar>
              <w:top w:w="57" w:type="dxa"/>
              <w:left w:w="0" w:type="dxa"/>
              <w:bottom w:w="57" w:type="dxa"/>
            </w:tcMar>
          </w:tcPr>
          <w:p w14:paraId="6967FC71" w14:textId="77777777" w:rsidR="00C36D76" w:rsidRPr="009E064B" w:rsidRDefault="00C36D76" w:rsidP="00B06A9A">
            <w:pPr>
              <w:spacing w:after="0"/>
            </w:pPr>
            <w:r w:rsidRPr="009E064B">
              <w:t>Granica niebieskiego</w:t>
            </w:r>
          </w:p>
        </w:tc>
        <w:tc>
          <w:tcPr>
            <w:tcW w:w="2835" w:type="dxa"/>
            <w:tcMar>
              <w:top w:w="57" w:type="dxa"/>
              <w:left w:w="0" w:type="dxa"/>
              <w:bottom w:w="57" w:type="dxa"/>
            </w:tcMar>
          </w:tcPr>
          <w:p w14:paraId="554C72A3" w14:textId="77777777" w:rsidR="00C36D76" w:rsidRPr="009E064B" w:rsidRDefault="00C36D76" w:rsidP="00B06A9A">
            <w:pPr>
              <w:spacing w:after="0"/>
            </w:pPr>
            <w:r w:rsidRPr="009E064B">
              <w:t>y = 0.610 – x</w:t>
            </w:r>
          </w:p>
        </w:tc>
      </w:tr>
      <w:tr w:rsidR="00C36D76" w:rsidRPr="009E064B" w14:paraId="24426487" w14:textId="77777777" w:rsidTr="00363B46">
        <w:tc>
          <w:tcPr>
            <w:tcW w:w="2977" w:type="dxa"/>
            <w:tcMar>
              <w:top w:w="57" w:type="dxa"/>
              <w:left w:w="0" w:type="dxa"/>
              <w:bottom w:w="57" w:type="dxa"/>
            </w:tcMar>
          </w:tcPr>
          <w:p w14:paraId="7A3036C7" w14:textId="77777777" w:rsidR="00C36D76" w:rsidRPr="009E064B" w:rsidRDefault="00C36D76" w:rsidP="00B06A9A">
            <w:pPr>
              <w:spacing w:after="0"/>
            </w:pPr>
            <w:r w:rsidRPr="009E064B">
              <w:t>Granica zielonego</w:t>
            </w:r>
          </w:p>
        </w:tc>
        <w:tc>
          <w:tcPr>
            <w:tcW w:w="2835" w:type="dxa"/>
            <w:tcMar>
              <w:top w:w="57" w:type="dxa"/>
              <w:left w:w="0" w:type="dxa"/>
              <w:bottom w:w="57" w:type="dxa"/>
            </w:tcMar>
          </w:tcPr>
          <w:p w14:paraId="26B26110" w14:textId="77777777" w:rsidR="00C36D76" w:rsidRPr="009E064B" w:rsidRDefault="00C36D76" w:rsidP="00B06A9A">
            <w:pPr>
              <w:spacing w:after="0"/>
            </w:pPr>
            <w:r w:rsidRPr="009E064B">
              <w:t>y = 0.040 + x</w:t>
            </w:r>
          </w:p>
        </w:tc>
      </w:tr>
      <w:tr w:rsidR="00C36D76" w:rsidRPr="009E064B" w14:paraId="68844192" w14:textId="77777777" w:rsidTr="00363B46">
        <w:tc>
          <w:tcPr>
            <w:tcW w:w="2977" w:type="dxa"/>
            <w:tcMar>
              <w:top w:w="57" w:type="dxa"/>
              <w:left w:w="0" w:type="dxa"/>
              <w:bottom w:w="57" w:type="dxa"/>
            </w:tcMar>
          </w:tcPr>
          <w:p w14:paraId="22174DFC" w14:textId="77777777" w:rsidR="00C36D76" w:rsidRPr="009E064B" w:rsidRDefault="00C36D76" w:rsidP="00B06A9A">
            <w:pPr>
              <w:spacing w:after="0"/>
            </w:pPr>
            <w:r w:rsidRPr="009E064B">
              <w:t>Granica żółtego</w:t>
            </w:r>
          </w:p>
        </w:tc>
        <w:tc>
          <w:tcPr>
            <w:tcW w:w="2835" w:type="dxa"/>
            <w:tcMar>
              <w:top w:w="57" w:type="dxa"/>
              <w:left w:w="0" w:type="dxa"/>
              <w:bottom w:w="57" w:type="dxa"/>
            </w:tcMar>
          </w:tcPr>
          <w:p w14:paraId="73178633" w14:textId="77777777" w:rsidR="00C36D76" w:rsidRPr="009E064B" w:rsidRDefault="00C36D76" w:rsidP="00B06A9A">
            <w:pPr>
              <w:spacing w:after="0"/>
            </w:pPr>
            <w:r w:rsidRPr="009E064B">
              <w:t>y = 0.710 – x</w:t>
            </w:r>
          </w:p>
        </w:tc>
      </w:tr>
      <w:tr w:rsidR="00C36D76" w:rsidRPr="009E064B" w14:paraId="1ECF069A" w14:textId="77777777" w:rsidTr="00363B46">
        <w:tc>
          <w:tcPr>
            <w:tcW w:w="2977" w:type="dxa"/>
            <w:tcMar>
              <w:top w:w="57" w:type="dxa"/>
              <w:left w:w="0" w:type="dxa"/>
              <w:bottom w:w="57" w:type="dxa"/>
            </w:tcMar>
          </w:tcPr>
          <w:p w14:paraId="34D45F5F"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525B977A" w14:textId="57634938" w:rsidR="00C36D76" w:rsidRPr="009E064B" w:rsidRDefault="00C36D76" w:rsidP="00AF52F5">
            <w:pPr>
              <w:spacing w:after="0"/>
            </w:pPr>
            <w:r w:rsidRPr="009E064B">
              <w:sym w:font="Symbol" w:char="F062"/>
            </w:r>
            <w:r w:rsidRPr="009E064B">
              <w:t xml:space="preserve"> = 0.27 (</w:t>
            </w:r>
            <w:r w:rsidR="00AF52F5" w:rsidRPr="009E064B">
              <w:t>minimum</w:t>
            </w:r>
            <w:r w:rsidRPr="009E064B">
              <w:t>)</w:t>
            </w:r>
          </w:p>
        </w:tc>
      </w:tr>
    </w:tbl>
    <w:p w14:paraId="073D0F46" w14:textId="77777777" w:rsidR="00C36D76" w:rsidRPr="009E064B" w:rsidRDefault="00C36D76" w:rsidP="00B06A9A">
      <w:pPr>
        <w:tabs>
          <w:tab w:val="left" w:pos="1134"/>
        </w:tabs>
        <w:spacing w:before="240" w:after="60"/>
        <w:ind w:left="1134" w:hanging="567"/>
        <w:rPr>
          <w:iCs/>
        </w:rPr>
      </w:pPr>
      <w:r w:rsidRPr="009E064B">
        <w:rPr>
          <w:iCs/>
        </w:rPr>
        <w:t>(5)</w:t>
      </w:r>
      <w:r w:rsidRPr="009E064B">
        <w:rPr>
          <w:iCs/>
        </w:rPr>
        <w:tab/>
        <w:t>Niebieski</w:t>
      </w:r>
    </w:p>
    <w:tbl>
      <w:tblPr>
        <w:tblW w:w="0" w:type="auto"/>
        <w:tblInd w:w="1134" w:type="dxa"/>
        <w:tblLook w:val="01E0" w:firstRow="1" w:lastRow="1" w:firstColumn="1" w:lastColumn="1" w:noHBand="0" w:noVBand="0"/>
      </w:tblPr>
      <w:tblGrid>
        <w:gridCol w:w="2977"/>
        <w:gridCol w:w="2835"/>
      </w:tblGrid>
      <w:tr w:rsidR="00C36D76" w:rsidRPr="009E064B" w14:paraId="63F67CA9" w14:textId="77777777" w:rsidTr="00363B46">
        <w:tc>
          <w:tcPr>
            <w:tcW w:w="2977" w:type="dxa"/>
            <w:tcMar>
              <w:top w:w="57" w:type="dxa"/>
              <w:left w:w="0" w:type="dxa"/>
              <w:bottom w:w="57" w:type="dxa"/>
            </w:tcMar>
          </w:tcPr>
          <w:p w14:paraId="4C7FB54A" w14:textId="77777777" w:rsidR="00C36D76" w:rsidRPr="009E064B" w:rsidRDefault="00C36D76" w:rsidP="00B06A9A">
            <w:pPr>
              <w:spacing w:after="0"/>
            </w:pPr>
            <w:r w:rsidRPr="009E064B">
              <w:t>Granica zielonego</w:t>
            </w:r>
          </w:p>
        </w:tc>
        <w:tc>
          <w:tcPr>
            <w:tcW w:w="2835" w:type="dxa"/>
            <w:tcMar>
              <w:top w:w="57" w:type="dxa"/>
              <w:left w:w="0" w:type="dxa"/>
              <w:bottom w:w="57" w:type="dxa"/>
            </w:tcMar>
          </w:tcPr>
          <w:p w14:paraId="5A5AAEF3" w14:textId="77777777" w:rsidR="00C36D76" w:rsidRPr="009E064B" w:rsidRDefault="00C36D76" w:rsidP="00B06A9A">
            <w:pPr>
              <w:spacing w:after="0"/>
            </w:pPr>
            <w:r w:rsidRPr="009E064B">
              <w:t>y = 0.118 + 0.675x</w:t>
            </w:r>
          </w:p>
        </w:tc>
      </w:tr>
      <w:tr w:rsidR="00C36D76" w:rsidRPr="009E064B" w14:paraId="5841B515" w14:textId="77777777" w:rsidTr="00363B46">
        <w:tc>
          <w:tcPr>
            <w:tcW w:w="2977" w:type="dxa"/>
            <w:tcMar>
              <w:top w:w="57" w:type="dxa"/>
              <w:left w:w="0" w:type="dxa"/>
              <w:bottom w:w="57" w:type="dxa"/>
            </w:tcMar>
          </w:tcPr>
          <w:p w14:paraId="02195E2D" w14:textId="77777777" w:rsidR="00C36D76" w:rsidRPr="009E064B" w:rsidRDefault="00C36D76" w:rsidP="00B06A9A">
            <w:pPr>
              <w:spacing w:after="0"/>
            </w:pPr>
            <w:r w:rsidRPr="009E064B">
              <w:t>Granica białego</w:t>
            </w:r>
          </w:p>
        </w:tc>
        <w:tc>
          <w:tcPr>
            <w:tcW w:w="2835" w:type="dxa"/>
            <w:tcMar>
              <w:top w:w="57" w:type="dxa"/>
              <w:left w:w="0" w:type="dxa"/>
              <w:bottom w:w="57" w:type="dxa"/>
            </w:tcMar>
          </w:tcPr>
          <w:p w14:paraId="223EA4B7" w14:textId="77777777" w:rsidR="00C36D76" w:rsidRPr="009E064B" w:rsidRDefault="00C36D76" w:rsidP="00B06A9A">
            <w:pPr>
              <w:spacing w:after="0"/>
            </w:pPr>
            <w:r w:rsidRPr="009E064B">
              <w:t>y = 0.370 – x</w:t>
            </w:r>
          </w:p>
        </w:tc>
      </w:tr>
      <w:tr w:rsidR="00C36D76" w:rsidRPr="009E064B" w14:paraId="22E5D6F0" w14:textId="77777777" w:rsidTr="00363B46">
        <w:tc>
          <w:tcPr>
            <w:tcW w:w="2977" w:type="dxa"/>
            <w:tcMar>
              <w:top w:w="57" w:type="dxa"/>
              <w:left w:w="0" w:type="dxa"/>
              <w:bottom w:w="57" w:type="dxa"/>
            </w:tcMar>
          </w:tcPr>
          <w:p w14:paraId="6BCCC4BD" w14:textId="77777777" w:rsidR="00C36D76" w:rsidRPr="009E064B" w:rsidRDefault="00C36D76" w:rsidP="00B06A9A">
            <w:pPr>
              <w:spacing w:after="0"/>
            </w:pPr>
            <w:r w:rsidRPr="009E064B">
              <w:t>Granica fioletowego</w:t>
            </w:r>
          </w:p>
        </w:tc>
        <w:tc>
          <w:tcPr>
            <w:tcW w:w="2835" w:type="dxa"/>
            <w:tcMar>
              <w:top w:w="57" w:type="dxa"/>
              <w:left w:w="0" w:type="dxa"/>
              <w:bottom w:w="57" w:type="dxa"/>
            </w:tcMar>
          </w:tcPr>
          <w:p w14:paraId="29A465E5" w14:textId="77777777" w:rsidR="00C36D76" w:rsidRPr="009E064B" w:rsidRDefault="00C36D76" w:rsidP="00B06A9A">
            <w:pPr>
              <w:spacing w:after="0"/>
            </w:pPr>
            <w:r w:rsidRPr="009E064B">
              <w:t>y = 1.65x – 0.187</w:t>
            </w:r>
          </w:p>
        </w:tc>
      </w:tr>
      <w:tr w:rsidR="00C36D76" w:rsidRPr="009E064B" w14:paraId="72E379F7" w14:textId="77777777" w:rsidTr="00363B46">
        <w:tc>
          <w:tcPr>
            <w:tcW w:w="2977" w:type="dxa"/>
            <w:tcMar>
              <w:top w:w="57" w:type="dxa"/>
              <w:left w:w="0" w:type="dxa"/>
              <w:bottom w:w="57" w:type="dxa"/>
            </w:tcMar>
          </w:tcPr>
          <w:p w14:paraId="6673795F"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77041696" w14:textId="18D17AAB" w:rsidR="00C36D76" w:rsidRPr="009E064B" w:rsidRDefault="00C36D76" w:rsidP="00AF52F5">
            <w:pPr>
              <w:spacing w:after="0"/>
            </w:pPr>
            <w:r w:rsidRPr="009E064B">
              <w:sym w:font="Symbol" w:char="F062"/>
            </w:r>
            <w:r w:rsidRPr="009E064B">
              <w:t xml:space="preserve"> = 0.01 (</w:t>
            </w:r>
            <w:r w:rsidR="00AF52F5" w:rsidRPr="009E064B">
              <w:t>minimum</w:t>
            </w:r>
            <w:r w:rsidRPr="009E064B">
              <w:t>)</w:t>
            </w:r>
          </w:p>
        </w:tc>
      </w:tr>
    </w:tbl>
    <w:p w14:paraId="1BCAF424" w14:textId="77777777" w:rsidR="00C36D76" w:rsidRPr="009E064B" w:rsidRDefault="00C36D76" w:rsidP="00B06A9A">
      <w:pPr>
        <w:tabs>
          <w:tab w:val="left" w:pos="1134"/>
        </w:tabs>
        <w:spacing w:before="240" w:after="60"/>
        <w:ind w:left="1134" w:hanging="567"/>
        <w:rPr>
          <w:iCs/>
        </w:rPr>
      </w:pPr>
      <w:r w:rsidRPr="009E064B">
        <w:rPr>
          <w:iCs/>
        </w:rPr>
        <w:t>(6)</w:t>
      </w:r>
      <w:r w:rsidRPr="009E064B">
        <w:rPr>
          <w:iCs/>
        </w:rPr>
        <w:tab/>
        <w:t>Zielony</w:t>
      </w:r>
    </w:p>
    <w:tbl>
      <w:tblPr>
        <w:tblW w:w="0" w:type="auto"/>
        <w:tblInd w:w="1134" w:type="dxa"/>
        <w:tblLook w:val="01E0" w:firstRow="1" w:lastRow="1" w:firstColumn="1" w:lastColumn="1" w:noHBand="0" w:noVBand="0"/>
      </w:tblPr>
      <w:tblGrid>
        <w:gridCol w:w="2977"/>
        <w:gridCol w:w="2835"/>
      </w:tblGrid>
      <w:tr w:rsidR="00C36D76" w:rsidRPr="009E064B" w14:paraId="6FCE2D2E" w14:textId="77777777" w:rsidTr="00363B46">
        <w:tc>
          <w:tcPr>
            <w:tcW w:w="2977" w:type="dxa"/>
            <w:tcMar>
              <w:top w:w="57" w:type="dxa"/>
              <w:left w:w="0" w:type="dxa"/>
              <w:bottom w:w="57" w:type="dxa"/>
            </w:tcMar>
          </w:tcPr>
          <w:p w14:paraId="5404C2D9" w14:textId="77777777" w:rsidR="00C36D76" w:rsidRPr="009E064B" w:rsidRDefault="00C36D76" w:rsidP="00B06A9A">
            <w:pPr>
              <w:spacing w:after="0"/>
            </w:pPr>
            <w:r w:rsidRPr="009E064B">
              <w:t>Granica żółtego</w:t>
            </w:r>
          </w:p>
        </w:tc>
        <w:tc>
          <w:tcPr>
            <w:tcW w:w="2835" w:type="dxa"/>
            <w:tcMar>
              <w:top w:w="57" w:type="dxa"/>
              <w:left w:w="0" w:type="dxa"/>
              <w:bottom w:w="57" w:type="dxa"/>
            </w:tcMar>
          </w:tcPr>
          <w:p w14:paraId="55B3DA65" w14:textId="77777777" w:rsidR="00C36D76" w:rsidRPr="009E064B" w:rsidRDefault="00C36D76" w:rsidP="00B06A9A">
            <w:pPr>
              <w:spacing w:after="0"/>
            </w:pPr>
            <w:r w:rsidRPr="009E064B">
              <w:t>y = 0.711 – 1.22x</w:t>
            </w:r>
          </w:p>
        </w:tc>
      </w:tr>
      <w:tr w:rsidR="00C36D76" w:rsidRPr="009E064B" w14:paraId="1848C09C" w14:textId="77777777" w:rsidTr="00363B46">
        <w:tc>
          <w:tcPr>
            <w:tcW w:w="2977" w:type="dxa"/>
            <w:tcMar>
              <w:top w:w="57" w:type="dxa"/>
              <w:left w:w="0" w:type="dxa"/>
              <w:bottom w:w="57" w:type="dxa"/>
            </w:tcMar>
          </w:tcPr>
          <w:p w14:paraId="53A82B68" w14:textId="77777777" w:rsidR="00C36D76" w:rsidRPr="009E064B" w:rsidRDefault="00C36D76" w:rsidP="00B06A9A">
            <w:pPr>
              <w:spacing w:after="0"/>
            </w:pPr>
            <w:r w:rsidRPr="009E064B">
              <w:t>Granica białego</w:t>
            </w:r>
          </w:p>
        </w:tc>
        <w:tc>
          <w:tcPr>
            <w:tcW w:w="2835" w:type="dxa"/>
            <w:tcMar>
              <w:top w:w="57" w:type="dxa"/>
              <w:left w:w="0" w:type="dxa"/>
              <w:bottom w:w="57" w:type="dxa"/>
            </w:tcMar>
          </w:tcPr>
          <w:p w14:paraId="75960B9F" w14:textId="77777777" w:rsidR="00C36D76" w:rsidRPr="009E064B" w:rsidRDefault="00C36D76" w:rsidP="00B06A9A">
            <w:pPr>
              <w:spacing w:after="0"/>
            </w:pPr>
            <w:r w:rsidRPr="009E064B">
              <w:t>y = 0.243 + 0.670 x</w:t>
            </w:r>
          </w:p>
        </w:tc>
      </w:tr>
      <w:tr w:rsidR="00C36D76" w:rsidRPr="009E064B" w14:paraId="5E836487" w14:textId="77777777" w:rsidTr="00363B46">
        <w:tc>
          <w:tcPr>
            <w:tcW w:w="2977" w:type="dxa"/>
            <w:tcMar>
              <w:top w:w="57" w:type="dxa"/>
              <w:left w:w="0" w:type="dxa"/>
              <w:bottom w:w="57" w:type="dxa"/>
            </w:tcMar>
          </w:tcPr>
          <w:p w14:paraId="3A11DF3D" w14:textId="77777777" w:rsidR="00C36D76" w:rsidRPr="009E064B" w:rsidRDefault="00C36D76" w:rsidP="00B06A9A">
            <w:pPr>
              <w:spacing w:after="0"/>
            </w:pPr>
            <w:r w:rsidRPr="009E064B">
              <w:t>Granica niebieskiego</w:t>
            </w:r>
          </w:p>
        </w:tc>
        <w:tc>
          <w:tcPr>
            <w:tcW w:w="2835" w:type="dxa"/>
            <w:tcMar>
              <w:top w:w="57" w:type="dxa"/>
              <w:left w:w="0" w:type="dxa"/>
              <w:bottom w:w="57" w:type="dxa"/>
            </w:tcMar>
          </w:tcPr>
          <w:p w14:paraId="5AADF456" w14:textId="77777777" w:rsidR="00C36D76" w:rsidRPr="009E064B" w:rsidRDefault="00C36D76" w:rsidP="00B06A9A">
            <w:pPr>
              <w:spacing w:after="0"/>
            </w:pPr>
            <w:r w:rsidRPr="009E064B">
              <w:t>y = 0.405 – 0.243x</w:t>
            </w:r>
          </w:p>
        </w:tc>
      </w:tr>
      <w:tr w:rsidR="00C36D76" w:rsidRPr="009E064B" w14:paraId="6A9BF269" w14:textId="77777777" w:rsidTr="00363B46">
        <w:tc>
          <w:tcPr>
            <w:tcW w:w="2977" w:type="dxa"/>
            <w:tcMar>
              <w:top w:w="57" w:type="dxa"/>
              <w:left w:w="0" w:type="dxa"/>
              <w:bottom w:w="57" w:type="dxa"/>
            </w:tcMar>
          </w:tcPr>
          <w:p w14:paraId="71B46E59" w14:textId="77777777" w:rsidR="00C36D76" w:rsidRPr="009E064B" w:rsidRDefault="00C36D76" w:rsidP="00B06A9A">
            <w:pPr>
              <w:spacing w:after="0"/>
            </w:pPr>
            <w:r w:rsidRPr="009E064B">
              <w:t>Współczynnik luminancji</w:t>
            </w:r>
          </w:p>
        </w:tc>
        <w:tc>
          <w:tcPr>
            <w:tcW w:w="2835" w:type="dxa"/>
            <w:tcMar>
              <w:top w:w="57" w:type="dxa"/>
              <w:left w:w="0" w:type="dxa"/>
              <w:bottom w:w="57" w:type="dxa"/>
            </w:tcMar>
          </w:tcPr>
          <w:p w14:paraId="31FA4E55" w14:textId="65935752" w:rsidR="00C36D76" w:rsidRPr="009E064B" w:rsidRDefault="00C36D76" w:rsidP="00AF52F5">
            <w:pPr>
              <w:spacing w:after="0"/>
            </w:pPr>
            <w:r w:rsidRPr="009E064B">
              <w:sym w:font="Symbol" w:char="F062"/>
            </w:r>
            <w:r w:rsidRPr="009E064B">
              <w:t xml:space="preserve"> = 0.03 (</w:t>
            </w:r>
            <w:r w:rsidR="00AF52F5" w:rsidRPr="009E064B">
              <w:t>minimum</w:t>
            </w:r>
            <w:r w:rsidRPr="009E064B">
              <w:t>)</w:t>
            </w:r>
          </w:p>
        </w:tc>
      </w:tr>
    </w:tbl>
    <w:p w14:paraId="1A34B109" w14:textId="77777777" w:rsidR="00C36D76" w:rsidRPr="009E064B" w:rsidRDefault="00C36D76" w:rsidP="006F5AD2">
      <w:pPr>
        <w:tabs>
          <w:tab w:val="left" w:pos="567"/>
        </w:tabs>
        <w:spacing w:before="240"/>
        <w:ind w:left="567" w:hanging="567"/>
        <w:rPr>
          <w:szCs w:val="20"/>
        </w:rPr>
      </w:pPr>
      <w:r w:rsidRPr="009E064B">
        <w:rPr>
          <w:rFonts w:cs="Times New Roman"/>
          <w:szCs w:val="20"/>
        </w:rPr>
        <w:t xml:space="preserve">(f) </w:t>
      </w:r>
      <w:r w:rsidRPr="009E064B">
        <w:rPr>
          <w:rFonts w:cs="Times New Roman"/>
          <w:szCs w:val="20"/>
        </w:rPr>
        <w:tab/>
      </w:r>
      <w:r w:rsidRPr="009E064B">
        <w:rPr>
          <w:szCs w:val="20"/>
        </w:rPr>
        <w:t>Współczynniki chromatyczności oraz luminancji kolorów podświetlanych lub oświetlanych od środka znaków oraz tablic powinny zawierać się wewnątrz poniższych granic, określonych dla warunków standardowych.</w:t>
      </w:r>
    </w:p>
    <w:p w14:paraId="72786AAD" w14:textId="77777777" w:rsidR="00C36D76" w:rsidRPr="009E064B" w:rsidRDefault="00C36D76" w:rsidP="00A94044">
      <w:pPr>
        <w:pStyle w:val="Akapitzlist"/>
        <w:spacing w:before="240"/>
        <w:ind w:left="567"/>
        <w:rPr>
          <w:szCs w:val="20"/>
        </w:rPr>
      </w:pPr>
      <w:r w:rsidRPr="009E064B">
        <w:rPr>
          <w:szCs w:val="20"/>
        </w:rPr>
        <w:t>Równania CIE (patrz Rysunek U-4):</w:t>
      </w:r>
    </w:p>
    <w:p w14:paraId="10A168D6" w14:textId="297E1F53" w:rsidR="00C36D76" w:rsidRPr="009E064B" w:rsidRDefault="00C36D76" w:rsidP="00985FA8">
      <w:pPr>
        <w:tabs>
          <w:tab w:val="left" w:pos="1134"/>
        </w:tabs>
        <w:spacing w:before="240"/>
        <w:ind w:left="1134" w:hanging="567"/>
        <w:rPr>
          <w:iCs/>
        </w:rPr>
      </w:pPr>
      <w:r w:rsidRPr="009E064B">
        <w:rPr>
          <w:iCs/>
        </w:rPr>
        <w:t>(1)</w:t>
      </w:r>
      <w:r w:rsidRPr="009E064B">
        <w:rPr>
          <w:iCs/>
        </w:rPr>
        <w:tab/>
        <w:t>Czerwony</w:t>
      </w:r>
    </w:p>
    <w:tbl>
      <w:tblPr>
        <w:tblW w:w="0" w:type="auto"/>
        <w:tblInd w:w="1134" w:type="dxa"/>
        <w:tblLook w:val="01E0" w:firstRow="1" w:lastRow="1" w:firstColumn="1" w:lastColumn="1" w:noHBand="0" w:noVBand="0"/>
      </w:tblPr>
      <w:tblGrid>
        <w:gridCol w:w="3828"/>
        <w:gridCol w:w="3119"/>
      </w:tblGrid>
      <w:tr w:rsidR="00C36D76" w:rsidRPr="009E064B" w14:paraId="5A0F8E06" w14:textId="77777777" w:rsidTr="00363B46">
        <w:tc>
          <w:tcPr>
            <w:tcW w:w="3828" w:type="dxa"/>
            <w:tcMar>
              <w:top w:w="57" w:type="dxa"/>
              <w:left w:w="0" w:type="dxa"/>
              <w:bottom w:w="57" w:type="dxa"/>
            </w:tcMar>
            <w:vAlign w:val="center"/>
          </w:tcPr>
          <w:p w14:paraId="1B3F8222" w14:textId="77777777" w:rsidR="00C36D76" w:rsidRPr="009E064B" w:rsidRDefault="00C36D76" w:rsidP="00985FA8">
            <w:r w:rsidRPr="009E064B">
              <w:t>Granica fioletowego</w:t>
            </w:r>
          </w:p>
        </w:tc>
        <w:tc>
          <w:tcPr>
            <w:tcW w:w="3119" w:type="dxa"/>
            <w:tcMar>
              <w:top w:w="57" w:type="dxa"/>
              <w:left w:w="0" w:type="dxa"/>
              <w:bottom w:w="57" w:type="dxa"/>
            </w:tcMar>
            <w:vAlign w:val="center"/>
          </w:tcPr>
          <w:p w14:paraId="6E700227" w14:textId="48B6E916" w:rsidR="00C36D76" w:rsidRPr="009E064B" w:rsidRDefault="00C36D76" w:rsidP="00985FA8">
            <w:r w:rsidRPr="009E064B">
              <w:t xml:space="preserve">y = 0.345 </w:t>
            </w:r>
            <w:r w:rsidR="00A94044" w:rsidRPr="009E064B">
              <w:t>–</w:t>
            </w:r>
            <w:r w:rsidRPr="009E064B">
              <w:t xml:space="preserve"> 0.051x</w:t>
            </w:r>
          </w:p>
        </w:tc>
      </w:tr>
      <w:tr w:rsidR="00C36D76" w:rsidRPr="00FE5FBD" w14:paraId="0A1E8D97" w14:textId="77777777" w:rsidTr="00363B46">
        <w:tc>
          <w:tcPr>
            <w:tcW w:w="3828" w:type="dxa"/>
            <w:tcMar>
              <w:top w:w="57" w:type="dxa"/>
              <w:left w:w="0" w:type="dxa"/>
              <w:bottom w:w="57" w:type="dxa"/>
            </w:tcMar>
            <w:vAlign w:val="center"/>
          </w:tcPr>
          <w:p w14:paraId="21C85FC3" w14:textId="77777777" w:rsidR="00C36D76" w:rsidRPr="00FE5FBD" w:rsidRDefault="00C36D76" w:rsidP="00985FA8">
            <w:r w:rsidRPr="00FE5FBD">
              <w:t>Granica żółtego</w:t>
            </w:r>
          </w:p>
        </w:tc>
        <w:tc>
          <w:tcPr>
            <w:tcW w:w="3119" w:type="dxa"/>
            <w:tcMar>
              <w:top w:w="57" w:type="dxa"/>
              <w:left w:w="0" w:type="dxa"/>
              <w:bottom w:w="57" w:type="dxa"/>
            </w:tcMar>
            <w:vAlign w:val="center"/>
          </w:tcPr>
          <w:p w14:paraId="1F0E7EAE" w14:textId="77777777" w:rsidR="00C36D76" w:rsidRPr="00FE5FBD" w:rsidRDefault="00C36D76" w:rsidP="00985FA8">
            <w:r w:rsidRPr="00FE5FBD">
              <w:t>y = 0.910 – x</w:t>
            </w:r>
          </w:p>
        </w:tc>
      </w:tr>
      <w:tr w:rsidR="00C36D76" w:rsidRPr="00FE5FBD" w14:paraId="43533D79" w14:textId="77777777" w:rsidTr="00363B46">
        <w:tc>
          <w:tcPr>
            <w:tcW w:w="3828" w:type="dxa"/>
            <w:tcMar>
              <w:top w:w="57" w:type="dxa"/>
              <w:left w:w="0" w:type="dxa"/>
              <w:bottom w:w="57" w:type="dxa"/>
            </w:tcMar>
            <w:vAlign w:val="center"/>
          </w:tcPr>
          <w:p w14:paraId="512A8C0F" w14:textId="77777777" w:rsidR="00C36D76" w:rsidRPr="00FE5FBD" w:rsidRDefault="00C36D76" w:rsidP="00985FA8">
            <w:r w:rsidRPr="00FE5FBD">
              <w:t>Granica pomarańczowego</w:t>
            </w:r>
          </w:p>
        </w:tc>
        <w:tc>
          <w:tcPr>
            <w:tcW w:w="3119" w:type="dxa"/>
            <w:tcMar>
              <w:top w:w="57" w:type="dxa"/>
              <w:left w:w="0" w:type="dxa"/>
              <w:bottom w:w="57" w:type="dxa"/>
            </w:tcMar>
            <w:vAlign w:val="center"/>
          </w:tcPr>
          <w:p w14:paraId="684BE9BF" w14:textId="77777777" w:rsidR="00C36D76" w:rsidRPr="00FE5FBD" w:rsidRDefault="00C36D76" w:rsidP="00985FA8">
            <w:r w:rsidRPr="00FE5FBD">
              <w:t>y = 0.314 + 0.047x</w:t>
            </w:r>
          </w:p>
        </w:tc>
      </w:tr>
      <w:tr w:rsidR="009449A9" w:rsidRPr="00FE5FBD" w14:paraId="1786C770" w14:textId="77777777" w:rsidTr="00363B46">
        <w:tc>
          <w:tcPr>
            <w:tcW w:w="3828" w:type="dxa"/>
            <w:tcMar>
              <w:top w:w="57" w:type="dxa"/>
              <w:left w:w="0" w:type="dxa"/>
              <w:bottom w:w="57" w:type="dxa"/>
            </w:tcMar>
            <w:vAlign w:val="center"/>
          </w:tcPr>
          <w:p w14:paraId="6B6A12D0" w14:textId="78E64F22" w:rsidR="00C36D76" w:rsidRPr="00FE5FBD" w:rsidRDefault="00C36D76" w:rsidP="009449A9">
            <w:pPr>
              <w:jc w:val="left"/>
            </w:pPr>
            <w:r w:rsidRPr="00FE5FBD">
              <w:t xml:space="preserve">Współczynnik luminancji </w:t>
            </w:r>
            <w:r w:rsidR="00E2590C" w:rsidRPr="00FE5FBD">
              <w:br/>
            </w:r>
            <w:r w:rsidRPr="00FE5FBD">
              <w:t>(w</w:t>
            </w:r>
            <w:r w:rsidR="00E2590C" w:rsidRPr="00FE5FBD">
              <w:t>arunki</w:t>
            </w:r>
            <w:r w:rsidRPr="00FE5FBD">
              <w:t xml:space="preserve"> dzie</w:t>
            </w:r>
            <w:r w:rsidR="00E2590C" w:rsidRPr="00FE5FBD">
              <w:t>nne</w:t>
            </w:r>
            <w:r w:rsidRPr="00FE5FBD">
              <w:t>)</w:t>
            </w:r>
          </w:p>
        </w:tc>
        <w:tc>
          <w:tcPr>
            <w:tcW w:w="3119" w:type="dxa"/>
            <w:tcMar>
              <w:top w:w="57" w:type="dxa"/>
              <w:left w:w="0" w:type="dxa"/>
              <w:bottom w:w="57" w:type="dxa"/>
            </w:tcMar>
            <w:vAlign w:val="center"/>
          </w:tcPr>
          <w:p w14:paraId="5F6096D1" w14:textId="4ADA3222" w:rsidR="00C36D76" w:rsidRPr="00FE5FBD" w:rsidRDefault="00E2590C" w:rsidP="00AF52F5">
            <w:r w:rsidRPr="00FE5FBD">
              <w:br/>
            </w:r>
            <w:r w:rsidR="00C36D76" w:rsidRPr="00FE5FBD">
              <w:sym w:font="Symbol" w:char="F062"/>
            </w:r>
            <w:r w:rsidR="00C36D76" w:rsidRPr="00FE5FBD">
              <w:t xml:space="preserve"> = 0.07 (</w:t>
            </w:r>
            <w:r w:rsidR="00AF52F5" w:rsidRPr="00FE5FBD">
              <w:t>minimum</w:t>
            </w:r>
            <w:r w:rsidR="00C36D76" w:rsidRPr="00FE5FBD">
              <w:t>)</w:t>
            </w:r>
          </w:p>
        </w:tc>
      </w:tr>
      <w:tr w:rsidR="009449A9" w:rsidRPr="00FE5FBD" w14:paraId="3EDFE9D6" w14:textId="77777777" w:rsidTr="00363B46">
        <w:tc>
          <w:tcPr>
            <w:tcW w:w="3828" w:type="dxa"/>
            <w:tcMar>
              <w:top w:w="57" w:type="dxa"/>
              <w:left w:w="0" w:type="dxa"/>
              <w:bottom w:w="57" w:type="dxa"/>
            </w:tcMar>
          </w:tcPr>
          <w:p w14:paraId="289DE2AA" w14:textId="6CC53DAC" w:rsidR="00C36D76" w:rsidRPr="00FE5FBD" w:rsidRDefault="00C36D76" w:rsidP="00FE5FBD">
            <w:pPr>
              <w:jc w:val="left"/>
            </w:pPr>
            <w:r w:rsidRPr="00FE5FBD">
              <w:t xml:space="preserve">Luminancja </w:t>
            </w:r>
            <w:r w:rsidR="00E2590C" w:rsidRPr="00FE5FBD">
              <w:t>względna</w:t>
            </w:r>
            <w:r w:rsidRPr="00FE5FBD">
              <w:t xml:space="preserve"> do białego </w:t>
            </w:r>
            <w:r w:rsidRPr="00FE5FBD">
              <w:br/>
              <w:t>(</w:t>
            </w:r>
            <w:r w:rsidR="00E2590C" w:rsidRPr="00FE5FBD">
              <w:t xml:space="preserve">warunki </w:t>
            </w:r>
            <w:r w:rsidRPr="00FE5FBD">
              <w:t>noc</w:t>
            </w:r>
            <w:r w:rsidR="00E2590C" w:rsidRPr="00FE5FBD">
              <w:t>ne</w:t>
            </w:r>
            <w:r w:rsidRPr="00FE5FBD">
              <w:t>)</w:t>
            </w:r>
          </w:p>
        </w:tc>
        <w:tc>
          <w:tcPr>
            <w:tcW w:w="3119" w:type="dxa"/>
            <w:tcMar>
              <w:top w:w="57" w:type="dxa"/>
              <w:left w:w="0" w:type="dxa"/>
              <w:bottom w:w="57" w:type="dxa"/>
            </w:tcMar>
            <w:vAlign w:val="center"/>
          </w:tcPr>
          <w:p w14:paraId="3707BCBA" w14:textId="794B3FA6" w:rsidR="00C36D76" w:rsidRPr="00FE5FBD" w:rsidRDefault="00E2590C" w:rsidP="00AF52F5">
            <w:r w:rsidRPr="00FE5FBD">
              <w:br/>
            </w:r>
            <w:r w:rsidR="00AF52F5" w:rsidRPr="00FE5FBD">
              <w:t>5% (minimum</w:t>
            </w:r>
            <w:r w:rsidR="00C36D76" w:rsidRPr="00FE5FBD">
              <w:t>)</w:t>
            </w:r>
            <w:r w:rsidRPr="00FE5FBD">
              <w:t xml:space="preserve">   </w:t>
            </w:r>
            <w:r w:rsidR="00C36D76" w:rsidRPr="00FE5FBD">
              <w:t>20% (maks.)</w:t>
            </w:r>
          </w:p>
        </w:tc>
      </w:tr>
    </w:tbl>
    <w:p w14:paraId="2F1A8E69" w14:textId="77777777" w:rsidR="00C36D76" w:rsidRPr="009E064B" w:rsidRDefault="00C36D76" w:rsidP="00985FA8">
      <w:pPr>
        <w:tabs>
          <w:tab w:val="left" w:pos="1134"/>
        </w:tabs>
        <w:spacing w:before="240"/>
        <w:ind w:left="1134" w:hanging="567"/>
        <w:rPr>
          <w:iCs/>
        </w:rPr>
      </w:pPr>
      <w:r w:rsidRPr="009E064B">
        <w:rPr>
          <w:iCs/>
        </w:rPr>
        <w:t>(2)</w:t>
      </w:r>
      <w:r w:rsidRPr="009E064B">
        <w:rPr>
          <w:iCs/>
        </w:rPr>
        <w:tab/>
        <w:t>Żółty</w:t>
      </w:r>
    </w:p>
    <w:tbl>
      <w:tblPr>
        <w:tblW w:w="0" w:type="auto"/>
        <w:tblInd w:w="1134" w:type="dxa"/>
        <w:tblLook w:val="01E0" w:firstRow="1" w:lastRow="1" w:firstColumn="1" w:lastColumn="1" w:noHBand="0" w:noVBand="0"/>
      </w:tblPr>
      <w:tblGrid>
        <w:gridCol w:w="3828"/>
        <w:gridCol w:w="2835"/>
      </w:tblGrid>
      <w:tr w:rsidR="00C36D76" w:rsidRPr="009E064B" w14:paraId="49D060A1" w14:textId="77777777" w:rsidTr="00A94044">
        <w:tc>
          <w:tcPr>
            <w:tcW w:w="3828" w:type="dxa"/>
            <w:tcMar>
              <w:top w:w="57" w:type="dxa"/>
              <w:left w:w="0" w:type="dxa"/>
              <w:bottom w:w="57" w:type="dxa"/>
            </w:tcMar>
            <w:vAlign w:val="center"/>
          </w:tcPr>
          <w:p w14:paraId="28D6198E" w14:textId="77777777" w:rsidR="00C36D76" w:rsidRPr="009E064B" w:rsidRDefault="00C36D76" w:rsidP="00985FA8">
            <w:r w:rsidRPr="009E064B">
              <w:t>Granica pomarańczowego</w:t>
            </w:r>
          </w:p>
        </w:tc>
        <w:tc>
          <w:tcPr>
            <w:tcW w:w="2835" w:type="dxa"/>
            <w:tcMar>
              <w:top w:w="57" w:type="dxa"/>
              <w:left w:w="0" w:type="dxa"/>
              <w:bottom w:w="57" w:type="dxa"/>
            </w:tcMar>
            <w:vAlign w:val="center"/>
          </w:tcPr>
          <w:p w14:paraId="389F1409" w14:textId="77777777" w:rsidR="00C36D76" w:rsidRPr="009E064B" w:rsidRDefault="00C36D76" w:rsidP="00985FA8">
            <w:r w:rsidRPr="009E064B">
              <w:t>y = 0.108 + 0.707x</w:t>
            </w:r>
          </w:p>
        </w:tc>
      </w:tr>
      <w:tr w:rsidR="00C36D76" w:rsidRPr="009E064B" w14:paraId="42F37251" w14:textId="77777777" w:rsidTr="00A94044">
        <w:tc>
          <w:tcPr>
            <w:tcW w:w="3828" w:type="dxa"/>
            <w:tcMar>
              <w:top w:w="57" w:type="dxa"/>
              <w:left w:w="0" w:type="dxa"/>
              <w:bottom w:w="57" w:type="dxa"/>
            </w:tcMar>
            <w:vAlign w:val="center"/>
          </w:tcPr>
          <w:p w14:paraId="5A17E5A4" w14:textId="77777777" w:rsidR="00C36D76" w:rsidRPr="009E064B" w:rsidRDefault="00C36D76" w:rsidP="00985FA8">
            <w:r w:rsidRPr="009E064B">
              <w:t>Granica białego</w:t>
            </w:r>
          </w:p>
        </w:tc>
        <w:tc>
          <w:tcPr>
            <w:tcW w:w="2835" w:type="dxa"/>
            <w:tcMar>
              <w:top w:w="57" w:type="dxa"/>
              <w:left w:w="0" w:type="dxa"/>
              <w:bottom w:w="57" w:type="dxa"/>
            </w:tcMar>
            <w:vAlign w:val="center"/>
          </w:tcPr>
          <w:p w14:paraId="61D1A6A8" w14:textId="77777777" w:rsidR="00C36D76" w:rsidRPr="009E064B" w:rsidRDefault="00C36D76" w:rsidP="00985FA8">
            <w:r w:rsidRPr="009E064B">
              <w:t>y = 0.910 – x</w:t>
            </w:r>
          </w:p>
        </w:tc>
      </w:tr>
      <w:tr w:rsidR="00C36D76" w:rsidRPr="009E064B" w14:paraId="37303BA5" w14:textId="77777777" w:rsidTr="00A94044">
        <w:tc>
          <w:tcPr>
            <w:tcW w:w="3828" w:type="dxa"/>
            <w:tcMar>
              <w:top w:w="57" w:type="dxa"/>
              <w:left w:w="0" w:type="dxa"/>
              <w:bottom w:w="57" w:type="dxa"/>
            </w:tcMar>
            <w:vAlign w:val="center"/>
          </w:tcPr>
          <w:p w14:paraId="10756DDD" w14:textId="77777777" w:rsidR="00C36D76" w:rsidRPr="009E064B" w:rsidRDefault="00C36D76" w:rsidP="00985FA8">
            <w:r w:rsidRPr="009E064B">
              <w:t>Granica zielonego</w:t>
            </w:r>
          </w:p>
        </w:tc>
        <w:tc>
          <w:tcPr>
            <w:tcW w:w="2835" w:type="dxa"/>
            <w:tcMar>
              <w:top w:w="57" w:type="dxa"/>
              <w:left w:w="0" w:type="dxa"/>
              <w:bottom w:w="57" w:type="dxa"/>
            </w:tcMar>
            <w:vAlign w:val="center"/>
          </w:tcPr>
          <w:p w14:paraId="04046200" w14:textId="77777777" w:rsidR="00C36D76" w:rsidRPr="009E064B" w:rsidRDefault="00C36D76" w:rsidP="00985FA8">
            <w:r w:rsidRPr="009E064B">
              <w:t>y = 1.35x – 0.093</w:t>
            </w:r>
          </w:p>
        </w:tc>
      </w:tr>
      <w:tr w:rsidR="009449A9" w:rsidRPr="009E064B" w14:paraId="29417EBA" w14:textId="77777777" w:rsidTr="00A94044">
        <w:tc>
          <w:tcPr>
            <w:tcW w:w="3828" w:type="dxa"/>
            <w:tcMar>
              <w:top w:w="57" w:type="dxa"/>
              <w:left w:w="0" w:type="dxa"/>
              <w:bottom w:w="57" w:type="dxa"/>
            </w:tcMar>
            <w:vAlign w:val="center"/>
          </w:tcPr>
          <w:p w14:paraId="506CF1C5" w14:textId="6DA90D64" w:rsidR="00C36D76" w:rsidRPr="009E064B" w:rsidRDefault="00C36D76" w:rsidP="009449A9">
            <w:pPr>
              <w:jc w:val="left"/>
            </w:pPr>
            <w:r w:rsidRPr="009E064B">
              <w:t xml:space="preserve">Współczynnik luminancji </w:t>
            </w:r>
            <w:r w:rsidR="00E2590C" w:rsidRPr="009E064B">
              <w:br/>
            </w:r>
            <w:r w:rsidRPr="009E064B">
              <w:t>(w</w:t>
            </w:r>
            <w:r w:rsidR="00E2590C" w:rsidRPr="009E064B">
              <w:t>arunki</w:t>
            </w:r>
            <w:r w:rsidRPr="009E064B">
              <w:t xml:space="preserve"> dzie</w:t>
            </w:r>
            <w:r w:rsidR="00E2590C" w:rsidRPr="009E064B">
              <w:t>nne</w:t>
            </w:r>
            <w:r w:rsidRPr="009E064B">
              <w:t>)</w:t>
            </w:r>
          </w:p>
        </w:tc>
        <w:tc>
          <w:tcPr>
            <w:tcW w:w="2835" w:type="dxa"/>
            <w:tcMar>
              <w:top w:w="57" w:type="dxa"/>
              <w:left w:w="0" w:type="dxa"/>
              <w:bottom w:w="57" w:type="dxa"/>
            </w:tcMar>
            <w:vAlign w:val="center"/>
          </w:tcPr>
          <w:p w14:paraId="7E8401AE" w14:textId="4BB25CD2" w:rsidR="00C36D76" w:rsidRPr="009E064B" w:rsidRDefault="00E2590C" w:rsidP="00AF52F5">
            <w:r w:rsidRPr="009E064B">
              <w:br/>
            </w:r>
            <w:r w:rsidR="00C36D76" w:rsidRPr="009E064B">
              <w:sym w:font="Symbol" w:char="F062"/>
            </w:r>
            <w:r w:rsidR="00C36D76" w:rsidRPr="009E064B">
              <w:t xml:space="preserve"> = 0.45 (</w:t>
            </w:r>
            <w:r w:rsidR="00AF52F5" w:rsidRPr="009E064B">
              <w:t>minimum</w:t>
            </w:r>
            <w:r w:rsidR="00C36D76" w:rsidRPr="009E064B">
              <w:t>)</w:t>
            </w:r>
          </w:p>
        </w:tc>
      </w:tr>
      <w:tr w:rsidR="009449A9" w:rsidRPr="00FE5FBD" w14:paraId="01187903" w14:textId="77777777" w:rsidTr="00A94044">
        <w:tc>
          <w:tcPr>
            <w:tcW w:w="3828" w:type="dxa"/>
            <w:tcBorders>
              <w:top w:val="nil"/>
              <w:left w:val="nil"/>
              <w:bottom w:val="nil"/>
              <w:right w:val="nil"/>
            </w:tcBorders>
            <w:tcMar>
              <w:top w:w="57" w:type="dxa"/>
              <w:left w:w="0" w:type="dxa"/>
              <w:bottom w:w="57" w:type="dxa"/>
            </w:tcMar>
            <w:vAlign w:val="center"/>
          </w:tcPr>
          <w:p w14:paraId="41D8D2F5" w14:textId="788F7064" w:rsidR="00C36D76" w:rsidRPr="00FE5FBD" w:rsidRDefault="00C36D76" w:rsidP="00FE5FBD">
            <w:pPr>
              <w:jc w:val="left"/>
            </w:pPr>
            <w:r w:rsidRPr="00FE5FBD">
              <w:t xml:space="preserve">Luminancja </w:t>
            </w:r>
            <w:r w:rsidR="00E2590C" w:rsidRPr="00FE5FBD">
              <w:t>względna</w:t>
            </w:r>
            <w:r w:rsidR="00FE5FBD" w:rsidRPr="00FE5FBD">
              <w:t xml:space="preserve"> </w:t>
            </w:r>
            <w:r w:rsidRPr="00FE5FBD">
              <w:t>do białego</w:t>
            </w:r>
            <w:r w:rsidRPr="00FE5FBD">
              <w:br/>
              <w:t>(w</w:t>
            </w:r>
            <w:r w:rsidR="00FD5796" w:rsidRPr="00FE5FBD">
              <w:t>arunki</w:t>
            </w:r>
            <w:r w:rsidRPr="00FE5FBD">
              <w:t xml:space="preserve"> noc</w:t>
            </w:r>
            <w:r w:rsidR="00FD5796" w:rsidRPr="00FE5FBD">
              <w:t>ne</w:t>
            </w:r>
            <w:r w:rsidRPr="00FE5FBD">
              <w:t>)</w:t>
            </w:r>
          </w:p>
        </w:tc>
        <w:tc>
          <w:tcPr>
            <w:tcW w:w="2835" w:type="dxa"/>
            <w:tcBorders>
              <w:top w:val="nil"/>
              <w:left w:val="nil"/>
              <w:bottom w:val="nil"/>
              <w:right w:val="nil"/>
            </w:tcBorders>
            <w:tcMar>
              <w:top w:w="57" w:type="dxa"/>
              <w:left w:w="0" w:type="dxa"/>
              <w:bottom w:w="57" w:type="dxa"/>
            </w:tcMar>
            <w:vAlign w:val="center"/>
          </w:tcPr>
          <w:p w14:paraId="4DD50B1F" w14:textId="3DB4EF25" w:rsidR="00C36D76" w:rsidRPr="00FE5FBD" w:rsidRDefault="00FD5796" w:rsidP="00AF52F5">
            <w:r w:rsidRPr="00FE5FBD">
              <w:br/>
            </w:r>
            <w:r w:rsidR="00C36D76" w:rsidRPr="00FE5FBD">
              <w:t>30% (</w:t>
            </w:r>
            <w:r w:rsidR="00AF52F5" w:rsidRPr="00FE5FBD">
              <w:t>minimum</w:t>
            </w:r>
            <w:r w:rsidR="00C36D76" w:rsidRPr="00FE5FBD">
              <w:t>)</w:t>
            </w:r>
            <w:r w:rsidRPr="00FE5FBD">
              <w:t xml:space="preserve">   </w:t>
            </w:r>
            <w:r w:rsidR="00C36D76" w:rsidRPr="00FE5FBD">
              <w:t>80% (maks.)</w:t>
            </w:r>
          </w:p>
        </w:tc>
      </w:tr>
    </w:tbl>
    <w:p w14:paraId="22E705EA" w14:textId="77777777" w:rsidR="00C36D76" w:rsidRPr="009E064B" w:rsidRDefault="00C36D76" w:rsidP="00985FA8">
      <w:pPr>
        <w:tabs>
          <w:tab w:val="left" w:pos="1134"/>
        </w:tabs>
        <w:spacing w:before="240"/>
        <w:ind w:left="1134" w:hanging="567"/>
        <w:rPr>
          <w:iCs/>
        </w:rPr>
      </w:pPr>
      <w:r w:rsidRPr="009E064B">
        <w:rPr>
          <w:iCs/>
        </w:rPr>
        <w:t>(3)</w:t>
      </w:r>
      <w:r w:rsidRPr="009E064B">
        <w:rPr>
          <w:iCs/>
        </w:rPr>
        <w:tab/>
        <w:t>Biały</w:t>
      </w:r>
    </w:p>
    <w:tbl>
      <w:tblPr>
        <w:tblW w:w="0" w:type="auto"/>
        <w:tblInd w:w="1134" w:type="dxa"/>
        <w:tblLook w:val="01E0" w:firstRow="1" w:lastRow="1" w:firstColumn="1" w:lastColumn="1" w:noHBand="0" w:noVBand="0"/>
      </w:tblPr>
      <w:tblGrid>
        <w:gridCol w:w="3828"/>
        <w:gridCol w:w="2551"/>
      </w:tblGrid>
      <w:tr w:rsidR="00C36D76" w:rsidRPr="009E064B" w14:paraId="5F4FBEFB" w14:textId="77777777" w:rsidTr="00A94044">
        <w:tc>
          <w:tcPr>
            <w:tcW w:w="3828" w:type="dxa"/>
            <w:tcMar>
              <w:top w:w="57" w:type="dxa"/>
              <w:left w:w="0" w:type="dxa"/>
              <w:bottom w:w="57" w:type="dxa"/>
            </w:tcMar>
            <w:vAlign w:val="center"/>
          </w:tcPr>
          <w:p w14:paraId="13DAA0BA" w14:textId="77777777" w:rsidR="00C36D76" w:rsidRPr="009E064B" w:rsidRDefault="00C36D76" w:rsidP="00985FA8">
            <w:r w:rsidRPr="009E064B">
              <w:t>Granica fioletowego</w:t>
            </w:r>
          </w:p>
        </w:tc>
        <w:tc>
          <w:tcPr>
            <w:tcW w:w="2551" w:type="dxa"/>
            <w:tcMar>
              <w:top w:w="57" w:type="dxa"/>
              <w:left w:w="0" w:type="dxa"/>
              <w:bottom w:w="57" w:type="dxa"/>
            </w:tcMar>
            <w:vAlign w:val="center"/>
          </w:tcPr>
          <w:p w14:paraId="4554BFD2" w14:textId="77777777" w:rsidR="00C36D76" w:rsidRPr="009E064B" w:rsidRDefault="00C36D76" w:rsidP="00985FA8">
            <w:r w:rsidRPr="009E064B">
              <w:t>y = 0.010 + x</w:t>
            </w:r>
          </w:p>
        </w:tc>
      </w:tr>
      <w:tr w:rsidR="00C36D76" w:rsidRPr="009E064B" w14:paraId="7746F4DA" w14:textId="77777777" w:rsidTr="00A94044">
        <w:tc>
          <w:tcPr>
            <w:tcW w:w="3828" w:type="dxa"/>
            <w:tcMar>
              <w:top w:w="57" w:type="dxa"/>
              <w:left w:w="0" w:type="dxa"/>
              <w:bottom w:w="57" w:type="dxa"/>
            </w:tcMar>
            <w:vAlign w:val="center"/>
          </w:tcPr>
          <w:p w14:paraId="115E83B2" w14:textId="77777777" w:rsidR="00C36D76" w:rsidRPr="009E064B" w:rsidRDefault="00C36D76" w:rsidP="00985FA8">
            <w:r w:rsidRPr="009E064B">
              <w:t>Granica niebieskiego</w:t>
            </w:r>
          </w:p>
        </w:tc>
        <w:tc>
          <w:tcPr>
            <w:tcW w:w="2551" w:type="dxa"/>
            <w:tcMar>
              <w:top w:w="57" w:type="dxa"/>
              <w:left w:w="0" w:type="dxa"/>
              <w:bottom w:w="57" w:type="dxa"/>
            </w:tcMar>
            <w:vAlign w:val="center"/>
          </w:tcPr>
          <w:p w14:paraId="71EEF557" w14:textId="77777777" w:rsidR="00C36D76" w:rsidRPr="009E064B" w:rsidRDefault="00C36D76" w:rsidP="00985FA8">
            <w:r w:rsidRPr="009E064B">
              <w:t>y = 0.610 – x</w:t>
            </w:r>
          </w:p>
        </w:tc>
      </w:tr>
      <w:tr w:rsidR="00C36D76" w:rsidRPr="009E064B" w14:paraId="5DD711F5" w14:textId="77777777" w:rsidTr="00A94044">
        <w:tc>
          <w:tcPr>
            <w:tcW w:w="3828" w:type="dxa"/>
            <w:tcMar>
              <w:top w:w="57" w:type="dxa"/>
              <w:left w:w="0" w:type="dxa"/>
              <w:bottom w:w="57" w:type="dxa"/>
            </w:tcMar>
            <w:vAlign w:val="center"/>
          </w:tcPr>
          <w:p w14:paraId="782C3EE9" w14:textId="77777777" w:rsidR="00C36D76" w:rsidRPr="009E064B" w:rsidRDefault="00C36D76" w:rsidP="00985FA8">
            <w:r w:rsidRPr="009E064B">
              <w:t>Granica zielonego</w:t>
            </w:r>
          </w:p>
        </w:tc>
        <w:tc>
          <w:tcPr>
            <w:tcW w:w="2551" w:type="dxa"/>
            <w:tcMar>
              <w:top w:w="57" w:type="dxa"/>
              <w:left w:w="0" w:type="dxa"/>
              <w:bottom w:w="57" w:type="dxa"/>
            </w:tcMar>
            <w:vAlign w:val="center"/>
          </w:tcPr>
          <w:p w14:paraId="54766A41" w14:textId="77777777" w:rsidR="00C36D76" w:rsidRPr="009E064B" w:rsidRDefault="00C36D76" w:rsidP="00985FA8">
            <w:r w:rsidRPr="009E064B">
              <w:t>y = 0.030 + x</w:t>
            </w:r>
          </w:p>
        </w:tc>
      </w:tr>
      <w:tr w:rsidR="00C36D76" w:rsidRPr="009E064B" w14:paraId="58100697" w14:textId="77777777" w:rsidTr="00A94044">
        <w:tc>
          <w:tcPr>
            <w:tcW w:w="3828" w:type="dxa"/>
            <w:tcMar>
              <w:top w:w="57" w:type="dxa"/>
              <w:left w:w="0" w:type="dxa"/>
              <w:bottom w:w="57" w:type="dxa"/>
            </w:tcMar>
            <w:vAlign w:val="center"/>
          </w:tcPr>
          <w:p w14:paraId="1ED8D5BF" w14:textId="77777777" w:rsidR="00C36D76" w:rsidRPr="009E064B" w:rsidRDefault="00C36D76" w:rsidP="00985FA8">
            <w:r w:rsidRPr="009E064B">
              <w:t>Granica żółtego</w:t>
            </w:r>
          </w:p>
        </w:tc>
        <w:tc>
          <w:tcPr>
            <w:tcW w:w="2551" w:type="dxa"/>
            <w:tcMar>
              <w:top w:w="57" w:type="dxa"/>
              <w:left w:w="0" w:type="dxa"/>
              <w:bottom w:w="57" w:type="dxa"/>
            </w:tcMar>
            <w:vAlign w:val="center"/>
          </w:tcPr>
          <w:p w14:paraId="7F8CCFE2" w14:textId="77777777" w:rsidR="00C36D76" w:rsidRPr="009E064B" w:rsidRDefault="00C36D76" w:rsidP="00985FA8">
            <w:r w:rsidRPr="009E064B">
              <w:t>y = 0.710 – x</w:t>
            </w:r>
          </w:p>
        </w:tc>
      </w:tr>
      <w:tr w:rsidR="009449A9" w:rsidRPr="009E064B" w14:paraId="2FABB547" w14:textId="77777777" w:rsidTr="00A94044">
        <w:tc>
          <w:tcPr>
            <w:tcW w:w="3828" w:type="dxa"/>
            <w:tcMar>
              <w:top w:w="57" w:type="dxa"/>
              <w:left w:w="0" w:type="dxa"/>
              <w:bottom w:w="57" w:type="dxa"/>
            </w:tcMar>
            <w:vAlign w:val="center"/>
          </w:tcPr>
          <w:p w14:paraId="79D9A180" w14:textId="0E452EAB" w:rsidR="00C36D76" w:rsidRPr="009E064B" w:rsidRDefault="00C36D76" w:rsidP="009449A9">
            <w:pPr>
              <w:jc w:val="left"/>
            </w:pPr>
            <w:r w:rsidRPr="009E064B">
              <w:t xml:space="preserve">Współczynnik luminancji </w:t>
            </w:r>
            <w:r w:rsidR="00FD5796" w:rsidRPr="009E064B">
              <w:br/>
            </w:r>
            <w:r w:rsidRPr="009E064B">
              <w:t>(w</w:t>
            </w:r>
            <w:r w:rsidR="00FD5796" w:rsidRPr="009E064B">
              <w:t>arunki</w:t>
            </w:r>
            <w:r w:rsidRPr="009E064B">
              <w:t xml:space="preserve"> dzie</w:t>
            </w:r>
            <w:r w:rsidR="00FD5796" w:rsidRPr="009E064B">
              <w:t>nne</w:t>
            </w:r>
            <w:r w:rsidRPr="009E064B">
              <w:t>)</w:t>
            </w:r>
          </w:p>
        </w:tc>
        <w:tc>
          <w:tcPr>
            <w:tcW w:w="2551" w:type="dxa"/>
            <w:tcMar>
              <w:top w:w="57" w:type="dxa"/>
              <w:left w:w="0" w:type="dxa"/>
              <w:bottom w:w="57" w:type="dxa"/>
            </w:tcMar>
            <w:vAlign w:val="center"/>
          </w:tcPr>
          <w:p w14:paraId="2D1592C1" w14:textId="38CDB5AA" w:rsidR="00C36D76" w:rsidRPr="009E064B" w:rsidRDefault="00FD5796" w:rsidP="00AF52F5">
            <w:r w:rsidRPr="009E064B">
              <w:br/>
            </w:r>
            <w:r w:rsidR="00C36D76" w:rsidRPr="009E064B">
              <w:sym w:font="Symbol" w:char="F062"/>
            </w:r>
            <w:r w:rsidR="00C36D76" w:rsidRPr="009E064B">
              <w:t xml:space="preserve"> = 0.75 (</w:t>
            </w:r>
            <w:r w:rsidR="00AF52F5" w:rsidRPr="009E064B">
              <w:t>minimum</w:t>
            </w:r>
            <w:r w:rsidR="00C36D76" w:rsidRPr="009E064B">
              <w:t>)</w:t>
            </w:r>
          </w:p>
        </w:tc>
      </w:tr>
      <w:tr w:rsidR="009449A9" w:rsidRPr="00FE5FBD" w14:paraId="3EFB632E" w14:textId="77777777" w:rsidTr="00A94044">
        <w:tc>
          <w:tcPr>
            <w:tcW w:w="3828" w:type="dxa"/>
            <w:tcBorders>
              <w:top w:val="nil"/>
              <w:left w:val="nil"/>
              <w:bottom w:val="nil"/>
              <w:right w:val="nil"/>
            </w:tcBorders>
            <w:tcMar>
              <w:top w:w="57" w:type="dxa"/>
              <w:left w:w="0" w:type="dxa"/>
              <w:bottom w:w="57" w:type="dxa"/>
            </w:tcMar>
            <w:vAlign w:val="center"/>
          </w:tcPr>
          <w:p w14:paraId="6956435A" w14:textId="25499023" w:rsidR="00C36D76" w:rsidRPr="00FE5FBD" w:rsidRDefault="00C36D76" w:rsidP="00FE5FBD">
            <w:pPr>
              <w:jc w:val="left"/>
            </w:pPr>
            <w:r w:rsidRPr="00FE5FBD">
              <w:t xml:space="preserve">Luminancja </w:t>
            </w:r>
            <w:r w:rsidR="00FD5796" w:rsidRPr="00FE5FBD">
              <w:t>względna</w:t>
            </w:r>
            <w:r w:rsidRPr="00FE5FBD">
              <w:t xml:space="preserve"> do białego</w:t>
            </w:r>
            <w:r w:rsidRPr="00FE5FBD">
              <w:br/>
              <w:t>(w</w:t>
            </w:r>
            <w:r w:rsidR="00FD5796" w:rsidRPr="00FE5FBD">
              <w:t>arunki</w:t>
            </w:r>
            <w:r w:rsidRPr="00FE5FBD">
              <w:t xml:space="preserve"> noc</w:t>
            </w:r>
            <w:r w:rsidR="00FD5796" w:rsidRPr="00FE5FBD">
              <w:t>ne</w:t>
            </w:r>
            <w:r w:rsidRPr="00FE5FBD">
              <w:t>)</w:t>
            </w:r>
          </w:p>
        </w:tc>
        <w:tc>
          <w:tcPr>
            <w:tcW w:w="2551" w:type="dxa"/>
            <w:tcBorders>
              <w:top w:val="nil"/>
              <w:left w:val="nil"/>
              <w:bottom w:val="nil"/>
              <w:right w:val="nil"/>
            </w:tcBorders>
            <w:tcMar>
              <w:top w:w="57" w:type="dxa"/>
              <w:left w:w="0" w:type="dxa"/>
              <w:bottom w:w="57" w:type="dxa"/>
            </w:tcMar>
            <w:vAlign w:val="center"/>
          </w:tcPr>
          <w:p w14:paraId="2D62B661" w14:textId="0C50E955" w:rsidR="00C36D76" w:rsidRPr="00FE5FBD" w:rsidRDefault="00FD5796" w:rsidP="00FD5796">
            <w:r w:rsidRPr="00FE5FBD">
              <w:br/>
              <w:t>100%</w:t>
            </w:r>
          </w:p>
        </w:tc>
      </w:tr>
    </w:tbl>
    <w:p w14:paraId="4D18C18A" w14:textId="77777777" w:rsidR="00C36D76" w:rsidRPr="009E064B" w:rsidRDefault="00C36D76" w:rsidP="00985FA8">
      <w:pPr>
        <w:tabs>
          <w:tab w:val="left" w:pos="1134"/>
        </w:tabs>
        <w:spacing w:before="240"/>
        <w:ind w:left="1134" w:hanging="567"/>
        <w:rPr>
          <w:iCs/>
        </w:rPr>
      </w:pPr>
      <w:r w:rsidRPr="009E064B">
        <w:rPr>
          <w:iCs/>
        </w:rPr>
        <w:t>(4)</w:t>
      </w:r>
      <w:r w:rsidRPr="009E064B">
        <w:rPr>
          <w:iCs/>
        </w:rPr>
        <w:tab/>
        <w:t>Czarny</w:t>
      </w:r>
    </w:p>
    <w:tbl>
      <w:tblPr>
        <w:tblW w:w="0" w:type="auto"/>
        <w:tblInd w:w="1134" w:type="dxa"/>
        <w:tblLook w:val="01E0" w:firstRow="1" w:lastRow="1" w:firstColumn="1" w:lastColumn="1" w:noHBand="0" w:noVBand="0"/>
      </w:tblPr>
      <w:tblGrid>
        <w:gridCol w:w="3828"/>
        <w:gridCol w:w="2835"/>
      </w:tblGrid>
      <w:tr w:rsidR="00C36D76" w:rsidRPr="009E064B" w14:paraId="74680FCB" w14:textId="77777777" w:rsidTr="00A94044">
        <w:tc>
          <w:tcPr>
            <w:tcW w:w="3828" w:type="dxa"/>
            <w:tcMar>
              <w:top w:w="57" w:type="dxa"/>
              <w:left w:w="0" w:type="dxa"/>
              <w:bottom w:w="57" w:type="dxa"/>
            </w:tcMar>
            <w:vAlign w:val="center"/>
          </w:tcPr>
          <w:p w14:paraId="49C59F34" w14:textId="77777777" w:rsidR="00C36D76" w:rsidRPr="009E064B" w:rsidRDefault="00C36D76" w:rsidP="00985FA8">
            <w:r w:rsidRPr="009E064B">
              <w:t>Granica fioletowego</w:t>
            </w:r>
          </w:p>
        </w:tc>
        <w:tc>
          <w:tcPr>
            <w:tcW w:w="2835" w:type="dxa"/>
            <w:tcMar>
              <w:top w:w="57" w:type="dxa"/>
              <w:left w:w="0" w:type="dxa"/>
              <w:bottom w:w="57" w:type="dxa"/>
            </w:tcMar>
            <w:vAlign w:val="center"/>
          </w:tcPr>
          <w:p w14:paraId="3D796016" w14:textId="77777777" w:rsidR="00C36D76" w:rsidRPr="009E064B" w:rsidRDefault="00C36D76" w:rsidP="00985FA8">
            <w:r w:rsidRPr="009E064B">
              <w:t>y = x – 0.030</w:t>
            </w:r>
          </w:p>
        </w:tc>
      </w:tr>
      <w:tr w:rsidR="00C36D76" w:rsidRPr="009E064B" w14:paraId="61FB4B99" w14:textId="77777777" w:rsidTr="00A94044">
        <w:tc>
          <w:tcPr>
            <w:tcW w:w="3828" w:type="dxa"/>
            <w:tcMar>
              <w:top w:w="57" w:type="dxa"/>
              <w:left w:w="0" w:type="dxa"/>
              <w:bottom w:w="57" w:type="dxa"/>
            </w:tcMar>
            <w:vAlign w:val="center"/>
          </w:tcPr>
          <w:p w14:paraId="5732DCD9" w14:textId="77777777" w:rsidR="00C36D76" w:rsidRPr="009E064B" w:rsidRDefault="00C36D76" w:rsidP="00985FA8">
            <w:r w:rsidRPr="009E064B">
              <w:t>Granica niebieskiego</w:t>
            </w:r>
          </w:p>
        </w:tc>
        <w:tc>
          <w:tcPr>
            <w:tcW w:w="2835" w:type="dxa"/>
            <w:tcMar>
              <w:top w:w="57" w:type="dxa"/>
              <w:left w:w="0" w:type="dxa"/>
              <w:bottom w:w="57" w:type="dxa"/>
            </w:tcMar>
            <w:vAlign w:val="center"/>
          </w:tcPr>
          <w:p w14:paraId="554F65A5" w14:textId="77777777" w:rsidR="00C36D76" w:rsidRPr="009E064B" w:rsidRDefault="00C36D76" w:rsidP="00985FA8">
            <w:r w:rsidRPr="009E064B">
              <w:t>y = 0.570 – x</w:t>
            </w:r>
          </w:p>
        </w:tc>
      </w:tr>
      <w:tr w:rsidR="00C36D76" w:rsidRPr="009E064B" w14:paraId="4ACA55F5" w14:textId="77777777" w:rsidTr="00A94044">
        <w:tc>
          <w:tcPr>
            <w:tcW w:w="3828" w:type="dxa"/>
            <w:tcMar>
              <w:top w:w="57" w:type="dxa"/>
              <w:left w:w="0" w:type="dxa"/>
              <w:bottom w:w="57" w:type="dxa"/>
            </w:tcMar>
            <w:vAlign w:val="center"/>
          </w:tcPr>
          <w:p w14:paraId="00901290" w14:textId="77777777" w:rsidR="00C36D76" w:rsidRPr="009E064B" w:rsidRDefault="00C36D76" w:rsidP="00985FA8">
            <w:r w:rsidRPr="009E064B">
              <w:t>Granica zielonego</w:t>
            </w:r>
          </w:p>
        </w:tc>
        <w:tc>
          <w:tcPr>
            <w:tcW w:w="2835" w:type="dxa"/>
            <w:tcMar>
              <w:top w:w="57" w:type="dxa"/>
              <w:left w:w="0" w:type="dxa"/>
              <w:bottom w:w="57" w:type="dxa"/>
            </w:tcMar>
            <w:vAlign w:val="center"/>
          </w:tcPr>
          <w:p w14:paraId="3224D9F5" w14:textId="77777777" w:rsidR="00C36D76" w:rsidRPr="009E064B" w:rsidRDefault="00C36D76" w:rsidP="00985FA8">
            <w:r w:rsidRPr="009E064B">
              <w:t>y = 0.050 + x</w:t>
            </w:r>
          </w:p>
        </w:tc>
      </w:tr>
      <w:tr w:rsidR="00C36D76" w:rsidRPr="009E064B" w14:paraId="60BE9C1D" w14:textId="77777777" w:rsidTr="00A94044">
        <w:tc>
          <w:tcPr>
            <w:tcW w:w="3828" w:type="dxa"/>
            <w:tcMar>
              <w:top w:w="57" w:type="dxa"/>
              <w:left w:w="0" w:type="dxa"/>
              <w:bottom w:w="57" w:type="dxa"/>
            </w:tcMar>
            <w:vAlign w:val="center"/>
          </w:tcPr>
          <w:p w14:paraId="4F50880F" w14:textId="77777777" w:rsidR="00C36D76" w:rsidRPr="009E064B" w:rsidRDefault="00C36D76" w:rsidP="00985FA8">
            <w:r w:rsidRPr="009E064B">
              <w:t>Granica żółtego</w:t>
            </w:r>
          </w:p>
        </w:tc>
        <w:tc>
          <w:tcPr>
            <w:tcW w:w="2835" w:type="dxa"/>
            <w:tcMar>
              <w:top w:w="57" w:type="dxa"/>
              <w:left w:w="0" w:type="dxa"/>
              <w:bottom w:w="57" w:type="dxa"/>
            </w:tcMar>
            <w:vAlign w:val="center"/>
          </w:tcPr>
          <w:p w14:paraId="5F8086C2" w14:textId="77777777" w:rsidR="00C36D76" w:rsidRPr="009E064B" w:rsidRDefault="00C36D76" w:rsidP="00985FA8">
            <w:r w:rsidRPr="009E064B">
              <w:t>y = 0.740 – x</w:t>
            </w:r>
          </w:p>
        </w:tc>
      </w:tr>
      <w:tr w:rsidR="00A94044" w:rsidRPr="009E064B" w14:paraId="6E600C0C" w14:textId="77777777" w:rsidTr="00A94044">
        <w:tc>
          <w:tcPr>
            <w:tcW w:w="3828" w:type="dxa"/>
            <w:tcMar>
              <w:top w:w="57" w:type="dxa"/>
              <w:left w:w="0" w:type="dxa"/>
              <w:bottom w:w="57" w:type="dxa"/>
            </w:tcMar>
            <w:vAlign w:val="center"/>
          </w:tcPr>
          <w:p w14:paraId="0B77E3FF" w14:textId="003B01A1" w:rsidR="00C36D76" w:rsidRPr="009E064B" w:rsidRDefault="00C36D76" w:rsidP="009449A9">
            <w:pPr>
              <w:jc w:val="left"/>
            </w:pPr>
            <w:r w:rsidRPr="009E064B">
              <w:t>Współczynnik luminancji</w:t>
            </w:r>
            <w:r w:rsidR="00FD5796" w:rsidRPr="009E064B">
              <w:br/>
            </w:r>
            <w:r w:rsidRPr="009E064B">
              <w:t>(w</w:t>
            </w:r>
            <w:r w:rsidR="009449A9" w:rsidRPr="009E064B">
              <w:t>arunki</w:t>
            </w:r>
            <w:r w:rsidRPr="009E064B">
              <w:t xml:space="preserve"> dzie</w:t>
            </w:r>
            <w:r w:rsidR="009449A9" w:rsidRPr="009E064B">
              <w:t>nne</w:t>
            </w:r>
            <w:r w:rsidRPr="009E064B">
              <w:t>)</w:t>
            </w:r>
          </w:p>
        </w:tc>
        <w:tc>
          <w:tcPr>
            <w:tcW w:w="2835" w:type="dxa"/>
            <w:tcMar>
              <w:top w:w="57" w:type="dxa"/>
              <w:left w:w="0" w:type="dxa"/>
              <w:bottom w:w="57" w:type="dxa"/>
            </w:tcMar>
            <w:vAlign w:val="center"/>
          </w:tcPr>
          <w:p w14:paraId="117270DA" w14:textId="0E0FE026" w:rsidR="00C36D76" w:rsidRPr="009E064B" w:rsidRDefault="009449A9" w:rsidP="00FD5796">
            <w:r w:rsidRPr="009E064B">
              <w:br/>
            </w:r>
            <w:r w:rsidR="00C36D76" w:rsidRPr="009E064B">
              <w:sym w:font="Symbol" w:char="F062"/>
            </w:r>
            <w:r w:rsidR="00C36D76" w:rsidRPr="009E064B">
              <w:t xml:space="preserve"> = 0.03 (maks.)</w:t>
            </w:r>
          </w:p>
        </w:tc>
      </w:tr>
      <w:tr w:rsidR="009449A9" w:rsidRPr="00FE5FBD" w14:paraId="347354F8" w14:textId="77777777" w:rsidTr="00A94044">
        <w:tc>
          <w:tcPr>
            <w:tcW w:w="3828" w:type="dxa"/>
            <w:tcBorders>
              <w:top w:val="nil"/>
              <w:left w:val="nil"/>
              <w:bottom w:val="nil"/>
              <w:right w:val="nil"/>
            </w:tcBorders>
            <w:tcMar>
              <w:top w:w="57" w:type="dxa"/>
              <w:left w:w="0" w:type="dxa"/>
              <w:bottom w:w="57" w:type="dxa"/>
            </w:tcMar>
            <w:vAlign w:val="center"/>
          </w:tcPr>
          <w:p w14:paraId="75BB12AE" w14:textId="798CC887" w:rsidR="00C36D76" w:rsidRPr="00FE5FBD" w:rsidRDefault="00C36D76" w:rsidP="00FE5FBD">
            <w:pPr>
              <w:jc w:val="left"/>
            </w:pPr>
            <w:r w:rsidRPr="00FE5FBD">
              <w:t xml:space="preserve">Luminancja </w:t>
            </w:r>
            <w:r w:rsidR="00FD5796" w:rsidRPr="00FE5FBD">
              <w:t>względna</w:t>
            </w:r>
            <w:r w:rsidRPr="00FE5FBD">
              <w:t xml:space="preserve"> do białego </w:t>
            </w:r>
            <w:r w:rsidRPr="00FE5FBD">
              <w:br/>
              <w:t>(w</w:t>
            </w:r>
            <w:r w:rsidR="009449A9" w:rsidRPr="00FE5FBD">
              <w:t>arunki</w:t>
            </w:r>
            <w:r w:rsidRPr="00FE5FBD">
              <w:t xml:space="preserve"> noc</w:t>
            </w:r>
            <w:r w:rsidR="009449A9" w:rsidRPr="00FE5FBD">
              <w:t>ne</w:t>
            </w:r>
            <w:r w:rsidRPr="00FE5FBD">
              <w:t>)</w:t>
            </w:r>
          </w:p>
        </w:tc>
        <w:tc>
          <w:tcPr>
            <w:tcW w:w="2835" w:type="dxa"/>
            <w:tcBorders>
              <w:top w:val="nil"/>
              <w:left w:val="nil"/>
              <w:bottom w:val="nil"/>
              <w:right w:val="nil"/>
            </w:tcBorders>
            <w:tcMar>
              <w:top w:w="57" w:type="dxa"/>
              <w:left w:w="0" w:type="dxa"/>
              <w:bottom w:w="57" w:type="dxa"/>
            </w:tcMar>
            <w:vAlign w:val="center"/>
          </w:tcPr>
          <w:p w14:paraId="3DDBCDCF" w14:textId="1350C3B3" w:rsidR="00C36D76" w:rsidRPr="00FE5FBD" w:rsidRDefault="009449A9" w:rsidP="00AF52F5">
            <w:r w:rsidRPr="00FE5FBD">
              <w:br/>
            </w:r>
            <w:r w:rsidR="00C36D76" w:rsidRPr="00FE5FBD">
              <w:t>0% (</w:t>
            </w:r>
            <w:r w:rsidR="00AF52F5" w:rsidRPr="00FE5FBD">
              <w:t>minimum</w:t>
            </w:r>
            <w:r w:rsidR="00C36D76" w:rsidRPr="00FE5FBD">
              <w:t>)</w:t>
            </w:r>
            <w:r w:rsidRPr="00FE5FBD">
              <w:t xml:space="preserve">   </w:t>
            </w:r>
            <w:r w:rsidR="00C36D76" w:rsidRPr="00FE5FBD">
              <w:t>2% (maks)</w:t>
            </w:r>
          </w:p>
        </w:tc>
      </w:tr>
    </w:tbl>
    <w:p w14:paraId="478F6E9B" w14:textId="77777777" w:rsidR="00C36D76" w:rsidRPr="00FE5FBD" w:rsidRDefault="00C36D76" w:rsidP="00985FA8">
      <w:pPr>
        <w:tabs>
          <w:tab w:val="left" w:pos="1134"/>
        </w:tabs>
        <w:spacing w:before="240"/>
        <w:ind w:left="1134" w:hanging="567"/>
        <w:rPr>
          <w:iCs/>
        </w:rPr>
      </w:pPr>
      <w:r w:rsidRPr="00FE5FBD">
        <w:rPr>
          <w:iCs/>
        </w:rPr>
        <w:t>(5)</w:t>
      </w:r>
      <w:r w:rsidRPr="00FE5FBD">
        <w:rPr>
          <w:iCs/>
        </w:rPr>
        <w:tab/>
        <w:t>Zielony</w:t>
      </w:r>
    </w:p>
    <w:tbl>
      <w:tblPr>
        <w:tblW w:w="0" w:type="auto"/>
        <w:tblInd w:w="1134" w:type="dxa"/>
        <w:tblLook w:val="01E0" w:firstRow="1" w:lastRow="1" w:firstColumn="1" w:lastColumn="1" w:noHBand="0" w:noVBand="0"/>
      </w:tblPr>
      <w:tblGrid>
        <w:gridCol w:w="3828"/>
        <w:gridCol w:w="2835"/>
      </w:tblGrid>
      <w:tr w:rsidR="00C36D76" w:rsidRPr="00FE5FBD" w14:paraId="4168B6BC" w14:textId="77777777" w:rsidTr="00A94044">
        <w:tc>
          <w:tcPr>
            <w:tcW w:w="3828" w:type="dxa"/>
            <w:tcMar>
              <w:top w:w="57" w:type="dxa"/>
              <w:left w:w="0" w:type="dxa"/>
              <w:bottom w:w="57" w:type="dxa"/>
            </w:tcMar>
            <w:vAlign w:val="center"/>
          </w:tcPr>
          <w:p w14:paraId="64931935" w14:textId="77777777" w:rsidR="00C36D76" w:rsidRPr="00FE5FBD" w:rsidRDefault="00C36D76" w:rsidP="00985FA8">
            <w:r w:rsidRPr="00FE5FBD">
              <w:t>Granica żółtego</w:t>
            </w:r>
          </w:p>
        </w:tc>
        <w:tc>
          <w:tcPr>
            <w:tcW w:w="2835" w:type="dxa"/>
            <w:tcMar>
              <w:top w:w="57" w:type="dxa"/>
              <w:left w:w="0" w:type="dxa"/>
              <w:bottom w:w="57" w:type="dxa"/>
            </w:tcMar>
            <w:vAlign w:val="center"/>
          </w:tcPr>
          <w:p w14:paraId="7A3AEB7B" w14:textId="77777777" w:rsidR="00C36D76" w:rsidRPr="00FE5FBD" w:rsidRDefault="00C36D76" w:rsidP="00985FA8">
            <w:r w:rsidRPr="00FE5FBD">
              <w:t>y = 0.313</w:t>
            </w:r>
          </w:p>
        </w:tc>
      </w:tr>
      <w:tr w:rsidR="00C36D76" w:rsidRPr="00FE5FBD" w14:paraId="359B9E29" w14:textId="77777777" w:rsidTr="00A94044">
        <w:tc>
          <w:tcPr>
            <w:tcW w:w="3828" w:type="dxa"/>
            <w:tcMar>
              <w:top w:w="57" w:type="dxa"/>
              <w:left w:w="0" w:type="dxa"/>
              <w:bottom w:w="57" w:type="dxa"/>
            </w:tcMar>
            <w:vAlign w:val="center"/>
          </w:tcPr>
          <w:p w14:paraId="6937173F" w14:textId="77777777" w:rsidR="00C36D76" w:rsidRPr="00FE5FBD" w:rsidRDefault="00C36D76" w:rsidP="00985FA8">
            <w:r w:rsidRPr="00FE5FBD">
              <w:t>Granica białego</w:t>
            </w:r>
          </w:p>
        </w:tc>
        <w:tc>
          <w:tcPr>
            <w:tcW w:w="2835" w:type="dxa"/>
            <w:tcMar>
              <w:top w:w="57" w:type="dxa"/>
              <w:left w:w="0" w:type="dxa"/>
              <w:bottom w:w="57" w:type="dxa"/>
            </w:tcMar>
            <w:vAlign w:val="center"/>
          </w:tcPr>
          <w:p w14:paraId="0183BAA3" w14:textId="77777777" w:rsidR="00C36D76" w:rsidRPr="00FE5FBD" w:rsidRDefault="00C36D76" w:rsidP="00985FA8">
            <w:r w:rsidRPr="00FE5FBD">
              <w:t>y = 0.243 + 0,670 x</w:t>
            </w:r>
          </w:p>
        </w:tc>
      </w:tr>
      <w:tr w:rsidR="00C36D76" w:rsidRPr="00FE5FBD" w14:paraId="13BEF5B7" w14:textId="77777777" w:rsidTr="00A94044">
        <w:tc>
          <w:tcPr>
            <w:tcW w:w="3828" w:type="dxa"/>
            <w:tcMar>
              <w:top w:w="57" w:type="dxa"/>
              <w:left w:w="0" w:type="dxa"/>
              <w:bottom w:w="57" w:type="dxa"/>
            </w:tcMar>
            <w:vAlign w:val="center"/>
          </w:tcPr>
          <w:p w14:paraId="2E0F6569" w14:textId="77777777" w:rsidR="00C36D76" w:rsidRPr="00FE5FBD" w:rsidRDefault="00C36D76" w:rsidP="00985FA8">
            <w:r w:rsidRPr="00FE5FBD">
              <w:t>Granica niebieskiego</w:t>
            </w:r>
          </w:p>
        </w:tc>
        <w:tc>
          <w:tcPr>
            <w:tcW w:w="2835" w:type="dxa"/>
            <w:tcMar>
              <w:top w:w="57" w:type="dxa"/>
              <w:left w:w="0" w:type="dxa"/>
              <w:bottom w:w="57" w:type="dxa"/>
            </w:tcMar>
            <w:vAlign w:val="center"/>
          </w:tcPr>
          <w:p w14:paraId="1FB23C45" w14:textId="77777777" w:rsidR="00C36D76" w:rsidRPr="00FE5FBD" w:rsidRDefault="00C36D76" w:rsidP="00985FA8">
            <w:r w:rsidRPr="00FE5FBD">
              <w:t>y = 0.493 – 0.524 x</w:t>
            </w:r>
          </w:p>
        </w:tc>
      </w:tr>
      <w:tr w:rsidR="009449A9" w:rsidRPr="00FE5FBD" w14:paraId="051758AB" w14:textId="77777777" w:rsidTr="00A94044">
        <w:tc>
          <w:tcPr>
            <w:tcW w:w="3828" w:type="dxa"/>
            <w:tcMar>
              <w:top w:w="57" w:type="dxa"/>
              <w:left w:w="0" w:type="dxa"/>
              <w:bottom w:w="57" w:type="dxa"/>
            </w:tcMar>
            <w:vAlign w:val="center"/>
          </w:tcPr>
          <w:p w14:paraId="1FE52E5F" w14:textId="7CE7E788" w:rsidR="00C36D76" w:rsidRPr="00FE5FBD" w:rsidRDefault="00C36D76" w:rsidP="009449A9">
            <w:pPr>
              <w:jc w:val="left"/>
            </w:pPr>
            <w:r w:rsidRPr="00FE5FBD">
              <w:t xml:space="preserve">Współczynnik luminancji </w:t>
            </w:r>
            <w:r w:rsidR="009449A9" w:rsidRPr="00FE5FBD">
              <w:br/>
            </w:r>
            <w:r w:rsidRPr="00FE5FBD">
              <w:t>(w</w:t>
            </w:r>
            <w:r w:rsidR="009449A9" w:rsidRPr="00FE5FBD">
              <w:t>arunki</w:t>
            </w:r>
            <w:r w:rsidRPr="00FE5FBD">
              <w:t xml:space="preserve"> dzie</w:t>
            </w:r>
            <w:r w:rsidR="009449A9" w:rsidRPr="00FE5FBD">
              <w:t>nne</w:t>
            </w:r>
            <w:r w:rsidRPr="00FE5FBD">
              <w:t>)</w:t>
            </w:r>
          </w:p>
        </w:tc>
        <w:tc>
          <w:tcPr>
            <w:tcW w:w="2835" w:type="dxa"/>
            <w:tcMar>
              <w:top w:w="57" w:type="dxa"/>
              <w:left w:w="0" w:type="dxa"/>
              <w:bottom w:w="57" w:type="dxa"/>
            </w:tcMar>
            <w:vAlign w:val="center"/>
          </w:tcPr>
          <w:p w14:paraId="3630B187" w14:textId="068FD3EB" w:rsidR="00C36D76" w:rsidRPr="00FE5FBD" w:rsidRDefault="009449A9" w:rsidP="00AF52F5">
            <w:r w:rsidRPr="00FE5FBD">
              <w:br/>
            </w:r>
            <w:r w:rsidR="00C36D76" w:rsidRPr="00FE5FBD">
              <w:sym w:font="Symbol" w:char="F062"/>
            </w:r>
            <w:r w:rsidR="00C36D76" w:rsidRPr="00FE5FBD">
              <w:t xml:space="preserve"> = 0.10 </w:t>
            </w:r>
            <w:r w:rsidRPr="00FE5FBD">
              <w:t>(</w:t>
            </w:r>
            <w:r w:rsidR="00AF52F5" w:rsidRPr="00FE5FBD">
              <w:t>minimum</w:t>
            </w:r>
            <w:r w:rsidRPr="00FE5FBD">
              <w:t>)</w:t>
            </w:r>
          </w:p>
        </w:tc>
      </w:tr>
      <w:tr w:rsidR="009449A9" w:rsidRPr="00FE5FBD" w14:paraId="3CEA3985" w14:textId="77777777" w:rsidTr="00A94044">
        <w:tc>
          <w:tcPr>
            <w:tcW w:w="3828" w:type="dxa"/>
            <w:tcBorders>
              <w:top w:val="nil"/>
              <w:left w:val="nil"/>
              <w:bottom w:val="nil"/>
              <w:right w:val="nil"/>
            </w:tcBorders>
            <w:tcMar>
              <w:top w:w="57" w:type="dxa"/>
              <w:left w:w="0" w:type="dxa"/>
              <w:bottom w:w="57" w:type="dxa"/>
            </w:tcMar>
            <w:vAlign w:val="center"/>
          </w:tcPr>
          <w:p w14:paraId="0E3D60C5" w14:textId="5977879F" w:rsidR="00C36D76" w:rsidRPr="00FE5FBD" w:rsidRDefault="00C36D76" w:rsidP="00FE5FBD">
            <w:pPr>
              <w:jc w:val="left"/>
            </w:pPr>
            <w:r w:rsidRPr="00FE5FBD">
              <w:t>Luminancja</w:t>
            </w:r>
            <w:r w:rsidR="006F5AD2" w:rsidRPr="00FE5FBD">
              <w:t xml:space="preserve"> </w:t>
            </w:r>
            <w:r w:rsidR="00FD5796" w:rsidRPr="00FE5FBD">
              <w:t>względna</w:t>
            </w:r>
            <w:r w:rsidR="006F5AD2" w:rsidRPr="00FE5FBD">
              <w:t xml:space="preserve"> do białego </w:t>
            </w:r>
            <w:r w:rsidR="006F5AD2" w:rsidRPr="00FE5FBD">
              <w:br/>
              <w:t>(w</w:t>
            </w:r>
            <w:r w:rsidR="009449A9" w:rsidRPr="00FE5FBD">
              <w:t>arunki</w:t>
            </w:r>
            <w:r w:rsidR="006F5AD2" w:rsidRPr="00FE5FBD">
              <w:t xml:space="preserve"> noc</w:t>
            </w:r>
            <w:r w:rsidR="009449A9" w:rsidRPr="00FE5FBD">
              <w:t>ne</w:t>
            </w:r>
            <w:r w:rsidR="006F5AD2" w:rsidRPr="00FE5FBD">
              <w:t>)</w:t>
            </w:r>
          </w:p>
        </w:tc>
        <w:tc>
          <w:tcPr>
            <w:tcW w:w="2835" w:type="dxa"/>
            <w:tcBorders>
              <w:top w:val="nil"/>
              <w:left w:val="nil"/>
              <w:bottom w:val="nil"/>
              <w:right w:val="nil"/>
            </w:tcBorders>
            <w:tcMar>
              <w:top w:w="57" w:type="dxa"/>
              <w:left w:w="0" w:type="dxa"/>
              <w:bottom w:w="57" w:type="dxa"/>
            </w:tcMar>
            <w:vAlign w:val="center"/>
          </w:tcPr>
          <w:p w14:paraId="5ECB6B8F" w14:textId="3B2F73E7" w:rsidR="00C36D76" w:rsidRPr="00FE5FBD" w:rsidRDefault="009449A9" w:rsidP="009449A9">
            <w:r w:rsidRPr="00FE5FBD">
              <w:br/>
            </w:r>
            <w:r w:rsidR="00C36D76" w:rsidRPr="00FE5FBD">
              <w:t>5% (</w:t>
            </w:r>
            <w:r w:rsidR="00AF52F5" w:rsidRPr="00FE5FBD">
              <w:t>minimum</w:t>
            </w:r>
            <w:r w:rsidR="00C36D76" w:rsidRPr="00FE5FBD">
              <w:t>)</w:t>
            </w:r>
            <w:r w:rsidRPr="00FE5FBD">
              <w:t xml:space="preserve">   </w:t>
            </w:r>
            <w:r w:rsidR="00C36D76" w:rsidRPr="00FE5FBD">
              <w:t>30% (maks.)</w:t>
            </w:r>
          </w:p>
        </w:tc>
      </w:tr>
    </w:tbl>
    <w:p w14:paraId="1BC98C25" w14:textId="02D1D554" w:rsidR="00882DA7" w:rsidRPr="009E064B" w:rsidRDefault="00882DA7">
      <w:pPr>
        <w:spacing w:after="0"/>
        <w:jc w:val="left"/>
        <w:rPr>
          <w:rFonts w:eastAsia="Times New Roman" w:cs="Calibri"/>
          <w:sz w:val="18"/>
          <w:szCs w:val="18"/>
          <w:lang w:eastAsia="pl-PL"/>
        </w:rPr>
      </w:pPr>
      <w:r w:rsidRPr="009E064B">
        <w:rPr>
          <w:rFonts w:eastAsia="Times New Roman" w:cs="Calibri"/>
          <w:sz w:val="18"/>
          <w:szCs w:val="18"/>
          <w:lang w:eastAsia="pl-PL"/>
        </w:rPr>
        <w:br w:type="page"/>
      </w:r>
    </w:p>
    <w:p w14:paraId="46F1AD2A" w14:textId="77777777" w:rsidR="00C36D76" w:rsidRPr="009E064B" w:rsidRDefault="00C36D76" w:rsidP="00B06A9A">
      <w:pPr>
        <w:rPr>
          <w:szCs w:val="20"/>
        </w:rPr>
      </w:pPr>
    </w:p>
    <w:p w14:paraId="1E12203E" w14:textId="2726C442" w:rsidR="00C36D76" w:rsidRPr="009E064B" w:rsidRDefault="00882DA7" w:rsidP="00B06A9A">
      <w:pPr>
        <w:rPr>
          <w:szCs w:val="20"/>
        </w:rPr>
      </w:pPr>
      <w:r w:rsidRPr="009E064B">
        <w:rPr>
          <w:noProof/>
          <w:lang w:eastAsia="pl-PL"/>
        </w:rPr>
        <w:drawing>
          <wp:inline distT="0" distB="0" distL="0" distR="0" wp14:anchorId="694C118E" wp14:editId="10D21D76">
            <wp:extent cx="5759450" cy="6564126"/>
            <wp:effectExtent l="0" t="0" r="0" b="0"/>
            <wp:docPr id="3739" name="Obraz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759450" cy="6564126"/>
                    </a:xfrm>
                    <a:prstGeom prst="rect">
                      <a:avLst/>
                    </a:prstGeom>
                    <a:noFill/>
                    <a:ln>
                      <a:noFill/>
                    </a:ln>
                  </pic:spPr>
                </pic:pic>
              </a:graphicData>
            </a:graphic>
          </wp:inline>
        </w:drawing>
      </w:r>
    </w:p>
    <w:p w14:paraId="386B9D5D" w14:textId="77777777" w:rsidR="00C36D76" w:rsidRPr="00FE5FBD" w:rsidRDefault="00C36D76" w:rsidP="00882DA7">
      <w:pPr>
        <w:spacing w:before="240"/>
        <w:ind w:left="709" w:hanging="709"/>
        <w:jc w:val="center"/>
        <w:rPr>
          <w:b/>
          <w:sz w:val="20"/>
        </w:rPr>
      </w:pPr>
      <w:r w:rsidRPr="00FE5FBD">
        <w:rPr>
          <w:b/>
          <w:sz w:val="20"/>
        </w:rPr>
        <w:t>Rysunek U-2.  Zwykłe kolory używane do oznakowania zewnętrznie oświetlanych znaków i tablic</w:t>
      </w:r>
    </w:p>
    <w:p w14:paraId="1380C8C6" w14:textId="77777777" w:rsidR="00C36D76" w:rsidRPr="009E064B" w:rsidRDefault="00C36D76" w:rsidP="00B06A9A">
      <w:pPr>
        <w:spacing w:after="200"/>
        <w:jc w:val="left"/>
        <w:rPr>
          <w:b/>
          <w:szCs w:val="20"/>
        </w:rPr>
      </w:pPr>
      <w:r w:rsidRPr="009E064B">
        <w:rPr>
          <w:b/>
          <w:szCs w:val="20"/>
        </w:rPr>
        <w:br w:type="page"/>
      </w:r>
    </w:p>
    <w:p w14:paraId="4EA316C4" w14:textId="77777777" w:rsidR="00C36D76" w:rsidRPr="009E064B" w:rsidRDefault="00C36D76" w:rsidP="00B06A9A">
      <w:pPr>
        <w:rPr>
          <w:b/>
          <w:szCs w:val="20"/>
        </w:rPr>
      </w:pPr>
    </w:p>
    <w:p w14:paraId="61AD37F1" w14:textId="77777777" w:rsidR="00C36D76" w:rsidRPr="009E064B" w:rsidRDefault="00C36D76" w:rsidP="00B06A9A">
      <w:pPr>
        <w:jc w:val="center"/>
        <w:rPr>
          <w:b/>
          <w:szCs w:val="20"/>
        </w:rPr>
      </w:pPr>
      <w:r w:rsidRPr="009E064B">
        <w:rPr>
          <w:b/>
          <w:noProof/>
          <w:szCs w:val="20"/>
          <w:lang w:eastAsia="pl-PL"/>
        </w:rPr>
        <w:drawing>
          <wp:inline distT="0" distB="0" distL="0" distR="0" wp14:anchorId="4930D3B8" wp14:editId="71370EA9">
            <wp:extent cx="5760720" cy="6325362"/>
            <wp:effectExtent l="19050" t="0" r="0" b="0"/>
            <wp:docPr id="1398" name="Obraz 37" descr="A14-D1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descr="A14-D1A1-3"/>
                    <pic:cNvPicPr>
                      <a:picLocks noChangeAspect="1" noChangeArrowheads="1"/>
                    </pic:cNvPicPr>
                  </pic:nvPicPr>
                  <pic:blipFill>
                    <a:blip r:embed="rId258" cstate="print"/>
                    <a:srcRect/>
                    <a:stretch>
                      <a:fillRect/>
                    </a:stretch>
                  </pic:blipFill>
                  <pic:spPr bwMode="auto">
                    <a:xfrm>
                      <a:off x="0" y="0"/>
                      <a:ext cx="5760720" cy="6325362"/>
                    </a:xfrm>
                    <a:prstGeom prst="rect">
                      <a:avLst/>
                    </a:prstGeom>
                    <a:noFill/>
                    <a:ln w="9525">
                      <a:noFill/>
                      <a:miter lim="800000"/>
                      <a:headEnd/>
                      <a:tailEnd/>
                    </a:ln>
                  </pic:spPr>
                </pic:pic>
              </a:graphicData>
            </a:graphic>
          </wp:inline>
        </w:drawing>
      </w:r>
    </w:p>
    <w:p w14:paraId="4D47F11E" w14:textId="77777777" w:rsidR="00C36D76" w:rsidRPr="009E064B" w:rsidRDefault="00C36D76" w:rsidP="00B06A9A">
      <w:pPr>
        <w:rPr>
          <w:szCs w:val="20"/>
        </w:rPr>
      </w:pPr>
    </w:p>
    <w:p w14:paraId="5BF9DA32" w14:textId="77777777" w:rsidR="00C36D76" w:rsidRPr="00FE5FBD" w:rsidRDefault="00C36D76" w:rsidP="00FE5FBD">
      <w:pPr>
        <w:spacing w:before="240"/>
        <w:ind w:left="709" w:hanging="709"/>
        <w:jc w:val="center"/>
        <w:rPr>
          <w:b/>
          <w:sz w:val="20"/>
        </w:rPr>
      </w:pPr>
      <w:r w:rsidRPr="00FE5FBD">
        <w:rPr>
          <w:b/>
          <w:sz w:val="20"/>
        </w:rPr>
        <w:t>Rysunek U-3.  Kolory materiałów odblaskowych do oznakowania poziomego, znaków i tablic</w:t>
      </w:r>
    </w:p>
    <w:p w14:paraId="1B34A940" w14:textId="77777777" w:rsidR="00C36D76" w:rsidRPr="009E064B" w:rsidRDefault="00C36D76" w:rsidP="00B06A9A">
      <w:pPr>
        <w:rPr>
          <w:szCs w:val="20"/>
        </w:rPr>
      </w:pPr>
    </w:p>
    <w:p w14:paraId="4E4DC41B" w14:textId="77777777" w:rsidR="00C36D76" w:rsidRPr="009E064B" w:rsidRDefault="00C36D76" w:rsidP="00B06A9A">
      <w:pPr>
        <w:spacing w:after="200"/>
        <w:jc w:val="left"/>
        <w:rPr>
          <w:b/>
          <w:szCs w:val="20"/>
        </w:rPr>
      </w:pPr>
      <w:r w:rsidRPr="009E064B">
        <w:rPr>
          <w:b/>
          <w:szCs w:val="20"/>
        </w:rPr>
        <w:br w:type="page"/>
      </w:r>
    </w:p>
    <w:p w14:paraId="18692111" w14:textId="77777777" w:rsidR="00C36D76" w:rsidRPr="009E064B" w:rsidRDefault="00C36D76" w:rsidP="00B06A9A">
      <w:pPr>
        <w:rPr>
          <w:szCs w:val="20"/>
        </w:rPr>
      </w:pPr>
    </w:p>
    <w:p w14:paraId="14265A2D" w14:textId="7C4DBB70" w:rsidR="00C36D76" w:rsidRPr="009E064B" w:rsidRDefault="00882DA7" w:rsidP="00B06A9A">
      <w:pPr>
        <w:jc w:val="center"/>
        <w:rPr>
          <w:b/>
          <w:szCs w:val="20"/>
        </w:rPr>
      </w:pPr>
      <w:r w:rsidRPr="009E064B">
        <w:rPr>
          <w:noProof/>
          <w:lang w:eastAsia="pl-PL"/>
        </w:rPr>
        <w:drawing>
          <wp:inline distT="0" distB="0" distL="0" distR="0" wp14:anchorId="19DB207E" wp14:editId="305D55F3">
            <wp:extent cx="5759450" cy="6343650"/>
            <wp:effectExtent l="0" t="0" r="0" b="0"/>
            <wp:docPr id="3743" name="Obraz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759450" cy="6343650"/>
                    </a:xfrm>
                    <a:prstGeom prst="rect">
                      <a:avLst/>
                    </a:prstGeom>
                    <a:noFill/>
                    <a:ln>
                      <a:noFill/>
                    </a:ln>
                  </pic:spPr>
                </pic:pic>
              </a:graphicData>
            </a:graphic>
          </wp:inline>
        </w:drawing>
      </w:r>
    </w:p>
    <w:p w14:paraId="1E996FEB" w14:textId="77777777" w:rsidR="00C36D76" w:rsidRPr="00FE5FBD" w:rsidRDefault="00C36D76" w:rsidP="00FE5FBD">
      <w:pPr>
        <w:spacing w:before="240"/>
        <w:ind w:left="709" w:hanging="709"/>
        <w:jc w:val="center"/>
        <w:rPr>
          <w:b/>
          <w:sz w:val="20"/>
        </w:rPr>
      </w:pPr>
      <w:r w:rsidRPr="00FE5FBD">
        <w:rPr>
          <w:b/>
          <w:sz w:val="20"/>
        </w:rPr>
        <w:t>Rysunek U-4. Kolory świecących lub podświetlanych od środka znaków i tablic</w:t>
      </w:r>
    </w:p>
    <w:p w14:paraId="7F6752C0" w14:textId="7494BA9F" w:rsidR="00C36D76" w:rsidRPr="009E064B" w:rsidRDefault="00C36D76" w:rsidP="006C24CC">
      <w:pPr>
        <w:pStyle w:val="Tekstpodstawowy"/>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08C855A2" w14:textId="353C94CE" w:rsidR="0044331D" w:rsidRPr="009E064B" w:rsidRDefault="0044331D" w:rsidP="008960B1">
      <w:pPr>
        <w:pStyle w:val="Tekstpodstawowy"/>
        <w:spacing w:before="60"/>
        <w:ind w:hanging="20"/>
        <w:rPr>
          <w:rFonts w:asciiTheme="minorHAnsi" w:hAnsiTheme="minorHAnsi" w:cstheme="minorHAnsi"/>
          <w:i/>
          <w:sz w:val="16"/>
          <w:szCs w:val="16"/>
        </w:rPr>
      </w:pPr>
      <w:r w:rsidRPr="000412BF">
        <w:rPr>
          <w:rFonts w:asciiTheme="minorHAnsi" w:hAnsiTheme="minorHAnsi" w:cstheme="minorHAnsi"/>
          <w:i/>
          <w:sz w:val="16"/>
          <w:szCs w:val="16"/>
        </w:rPr>
        <w:t>[Wydanie: ADR-DSN/4]</w:t>
      </w:r>
    </w:p>
    <w:p w14:paraId="39DE7B6C" w14:textId="77777777" w:rsidR="00C36D76" w:rsidRPr="009E064B" w:rsidRDefault="00C36D76" w:rsidP="00B06A9A">
      <w:pPr>
        <w:rPr>
          <w:szCs w:val="20"/>
        </w:rPr>
      </w:pPr>
    </w:p>
    <w:p w14:paraId="2731B8D3" w14:textId="5A93D63A" w:rsidR="0061499D" w:rsidRPr="009E064B" w:rsidRDefault="003567AE" w:rsidP="00133B99">
      <w:pPr>
        <w:pStyle w:val="Nagwek6"/>
      </w:pPr>
      <w:bookmarkStart w:id="1873" w:name="_Toc401059098"/>
      <w:bookmarkStart w:id="1874" w:name="_Toc482886971"/>
      <w:bookmarkStart w:id="1875" w:name="_Toc12533331"/>
      <w:r w:rsidRPr="009E064B">
        <w:t xml:space="preserve">GM1 ADR-DSN.U.935     </w:t>
      </w:r>
      <w:r w:rsidR="0061499D" w:rsidRPr="009E064B">
        <w:t>Kolory oznakowania poziomego, znaków pionowych oraz tablic</w:t>
      </w:r>
      <w:bookmarkEnd w:id="1873"/>
      <w:bookmarkEnd w:id="1874"/>
      <w:bookmarkEnd w:id="1875"/>
    </w:p>
    <w:p w14:paraId="200A60F6" w14:textId="482D8C0D" w:rsidR="006F5AD2" w:rsidRPr="009E064B" w:rsidRDefault="001F74A1" w:rsidP="006F5AD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398C4148" w14:textId="77777777" w:rsidR="0061499D" w:rsidRPr="009E064B" w:rsidRDefault="0061499D" w:rsidP="00B06A9A">
      <w:pPr>
        <w:autoSpaceDE w:val="0"/>
        <w:autoSpaceDN w:val="0"/>
        <w:adjustRightInd w:val="0"/>
        <w:spacing w:after="0"/>
        <w:rPr>
          <w:rFonts w:cs="Times New Roman"/>
          <w:szCs w:val="20"/>
        </w:rPr>
      </w:pPr>
      <w:r w:rsidRPr="009E064B">
        <w:rPr>
          <w:rFonts w:cs="Times New Roman"/>
          <w:szCs w:val="20"/>
        </w:rPr>
        <w:t>Celowo pozostawiono puste.</w:t>
      </w:r>
    </w:p>
    <w:p w14:paraId="54B13DB3" w14:textId="77777777" w:rsidR="00C36D76" w:rsidRPr="009E064B" w:rsidRDefault="00C36D76" w:rsidP="00B06A9A">
      <w:pPr>
        <w:spacing w:after="200"/>
        <w:jc w:val="left"/>
        <w:rPr>
          <w:szCs w:val="20"/>
        </w:rPr>
      </w:pPr>
      <w:r w:rsidRPr="009E064B">
        <w:rPr>
          <w:szCs w:val="20"/>
        </w:rPr>
        <w:br w:type="page"/>
      </w:r>
    </w:p>
    <w:p w14:paraId="3723A4E6" w14:textId="525EDC73" w:rsidR="00C36D76" w:rsidRPr="009E064B" w:rsidRDefault="00F2513E" w:rsidP="00B06A9A">
      <w:pPr>
        <w:pStyle w:val="Nagwek4"/>
        <w:rPr>
          <w:color w:val="auto"/>
        </w:rPr>
      </w:pPr>
      <w:bookmarkStart w:id="1876" w:name="_CS_ADR-DSN.U.940_"/>
      <w:bookmarkStart w:id="1877" w:name="_Toc482886748"/>
      <w:bookmarkStart w:id="1878" w:name="_Toc12533332"/>
      <w:bookmarkEnd w:id="1876"/>
      <w:r w:rsidRPr="009E064B">
        <w:rPr>
          <w:color w:val="auto"/>
        </w:rPr>
        <w:t xml:space="preserve">CS ADR-DSN.U.940     </w:t>
      </w:r>
      <w:r w:rsidR="00C36D76" w:rsidRPr="009E064B">
        <w:rPr>
          <w:color w:val="auto"/>
        </w:rPr>
        <w:t>Charakterystyki naziemnych świateł lotniczych</w:t>
      </w:r>
      <w:bookmarkEnd w:id="1877"/>
      <w:bookmarkEnd w:id="1878"/>
    </w:p>
    <w:p w14:paraId="1C5B095F" w14:textId="0DE55C04" w:rsidR="00F2513E" w:rsidRPr="009E064B" w:rsidRDefault="00D63D4F" w:rsidP="00F2513E">
      <w:pPr>
        <w:pStyle w:val="Tekstpodstawowy"/>
        <w:spacing w:after="80"/>
        <w:ind w:left="23" w:firstLine="0"/>
        <w:jc w:val="right"/>
        <w:rPr>
          <w:rFonts w:asciiTheme="minorHAnsi" w:hAnsiTheme="minorHAnsi" w:cstheme="minorHAnsi"/>
          <w:bCs/>
          <w:i/>
          <w:color w:val="1A171C"/>
          <w:sz w:val="16"/>
          <w:szCs w:val="20"/>
        </w:rPr>
      </w:pPr>
      <w:r w:rsidRPr="009E064B">
        <w:rPr>
          <w:rFonts w:asciiTheme="minorHAnsi" w:hAnsiTheme="minorHAnsi" w:cstheme="minorHAnsi"/>
          <w:bCs/>
          <w:i/>
          <w:color w:val="1A171C"/>
          <w:sz w:val="16"/>
          <w:szCs w:val="20"/>
        </w:rPr>
        <w:t>Decyzja ED 2016/027/R</w:t>
      </w:r>
    </w:p>
    <w:p w14:paraId="6B9E1038" w14:textId="77777777" w:rsidR="003567AE" w:rsidRPr="009E064B" w:rsidRDefault="003567AE" w:rsidP="00F2513E">
      <w:pPr>
        <w:pStyle w:val="Tekstpodstawowy"/>
        <w:spacing w:after="80"/>
        <w:ind w:left="23" w:firstLine="0"/>
        <w:jc w:val="right"/>
        <w:rPr>
          <w:rFonts w:asciiTheme="minorHAnsi" w:hAnsiTheme="minorHAnsi" w:cstheme="minorHAnsi"/>
          <w:bCs/>
          <w:i/>
          <w:color w:val="1A171C"/>
          <w:sz w:val="16"/>
          <w:szCs w:val="20"/>
        </w:rPr>
      </w:pPr>
    </w:p>
    <w:p w14:paraId="6D79EFA8" w14:textId="77777777" w:rsidR="00C36D76" w:rsidRPr="009E064B" w:rsidRDefault="00C36D76" w:rsidP="00BB280A">
      <w:pPr>
        <w:spacing w:after="0"/>
        <w:jc w:val="center"/>
        <w:rPr>
          <w:szCs w:val="20"/>
        </w:rPr>
      </w:pPr>
      <w:r w:rsidRPr="009E064B">
        <w:rPr>
          <w:noProof/>
          <w:szCs w:val="20"/>
          <w:lang w:eastAsia="pl-PL"/>
        </w:rPr>
        <w:drawing>
          <wp:inline distT="0" distB="0" distL="0" distR="0" wp14:anchorId="23E8384E" wp14:editId="01C1721A">
            <wp:extent cx="5442974" cy="3329186"/>
            <wp:effectExtent l="0" t="0" r="5715" b="5080"/>
            <wp:docPr id="1400" name="Obraz 39" descr="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descr="A2-1"/>
                    <pic:cNvPicPr>
                      <a:picLocks noChangeAspect="1" noChangeArrowheads="1"/>
                    </pic:cNvPicPr>
                  </pic:nvPicPr>
                  <pic:blipFill>
                    <a:blip r:embed="rId260" cstate="print"/>
                    <a:srcRect/>
                    <a:stretch>
                      <a:fillRect/>
                    </a:stretch>
                  </pic:blipFill>
                  <pic:spPr bwMode="auto">
                    <a:xfrm>
                      <a:off x="0" y="0"/>
                      <a:ext cx="5447407" cy="3331897"/>
                    </a:xfrm>
                    <a:prstGeom prst="rect">
                      <a:avLst/>
                    </a:prstGeom>
                    <a:noFill/>
                    <a:ln w="9525">
                      <a:noFill/>
                      <a:miter lim="800000"/>
                      <a:headEnd/>
                      <a:tailEnd/>
                    </a:ln>
                  </pic:spPr>
                </pic:pic>
              </a:graphicData>
            </a:graphic>
          </wp:inline>
        </w:drawing>
      </w:r>
    </w:p>
    <w:p w14:paraId="79EBF3A4" w14:textId="77777777" w:rsidR="00C36D76" w:rsidRPr="00FE5FBD" w:rsidRDefault="00C36D76" w:rsidP="00FE5FBD">
      <w:pPr>
        <w:spacing w:before="240"/>
        <w:ind w:left="709" w:hanging="709"/>
        <w:jc w:val="center"/>
        <w:rPr>
          <w:b/>
          <w:sz w:val="20"/>
        </w:rPr>
      </w:pPr>
      <w:r w:rsidRPr="00FE5FBD">
        <w:rPr>
          <w:b/>
          <w:sz w:val="20"/>
        </w:rPr>
        <w:t xml:space="preserve">Rysunek U-5.  Wykres izokandeli dla świateł linii środkowej oraz poprzeczek </w:t>
      </w:r>
      <w:r w:rsidRPr="00FE5FBD">
        <w:rPr>
          <w:b/>
          <w:sz w:val="20"/>
        </w:rPr>
        <w:br/>
        <w:t>systemu podejścia (światło białe)</w:t>
      </w:r>
    </w:p>
    <w:p w14:paraId="46DE6A4C" w14:textId="77777777" w:rsidR="00C36D76" w:rsidRPr="009E064B" w:rsidRDefault="00C36D76" w:rsidP="000B7988">
      <w:pPr>
        <w:rPr>
          <w:rFonts w:cs="Arial"/>
          <w:iCs/>
          <w:szCs w:val="18"/>
        </w:rPr>
      </w:pPr>
      <w:r w:rsidRPr="009E064B">
        <w:rPr>
          <w:rFonts w:cs="Arial"/>
          <w:iCs/>
          <w:szCs w:val="18"/>
        </w:rPr>
        <w:t>Uwagi:</w:t>
      </w:r>
    </w:p>
    <w:p w14:paraId="12F8C98B" w14:textId="4408DD29" w:rsidR="00BB280A" w:rsidRPr="009E064B" w:rsidRDefault="00C36D76" w:rsidP="00BB280A">
      <w:pPr>
        <w:tabs>
          <w:tab w:val="left" w:pos="567"/>
        </w:tabs>
        <w:spacing w:after="0"/>
        <w:ind w:left="1134" w:hanging="567"/>
        <w:rPr>
          <w:rFonts w:cs="Arial"/>
          <w:iCs/>
          <w:szCs w:val="18"/>
        </w:rPr>
      </w:pPr>
      <w:r w:rsidRPr="009E064B">
        <w:rPr>
          <w:rFonts w:cs="Arial"/>
          <w:iCs/>
          <w:szCs w:val="18"/>
        </w:rPr>
        <w:t xml:space="preserve">(a) </w:t>
      </w:r>
      <w:r w:rsidRPr="009E064B">
        <w:rPr>
          <w:rFonts w:cs="Arial"/>
          <w:iCs/>
          <w:szCs w:val="18"/>
        </w:rPr>
        <w:tab/>
        <w:t xml:space="preserve">Krzywe obliczono wg wzoru </w:t>
      </w:r>
    </w:p>
    <w:tbl>
      <w:tblPr>
        <w:tblpPr w:leftFromText="141" w:rightFromText="141" w:vertAnchor="text" w:horzAnchor="page" w:tblpX="4439"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9"/>
        <w:gridCol w:w="1037"/>
        <w:gridCol w:w="1037"/>
        <w:gridCol w:w="1037"/>
      </w:tblGrid>
      <w:tr w:rsidR="00BB280A" w:rsidRPr="009E064B" w14:paraId="15E8F1AA" w14:textId="77777777" w:rsidTr="00BB280A">
        <w:trPr>
          <w:trHeight w:val="313"/>
        </w:trPr>
        <w:tc>
          <w:tcPr>
            <w:tcW w:w="899" w:type="dxa"/>
            <w:vAlign w:val="center"/>
          </w:tcPr>
          <w:p w14:paraId="1D70F47A" w14:textId="77777777" w:rsidR="00BB280A" w:rsidRPr="009E064B" w:rsidRDefault="00BB280A" w:rsidP="00BB280A">
            <w:pPr>
              <w:spacing w:before="60" w:after="60"/>
              <w:ind w:left="57"/>
              <w:jc w:val="center"/>
              <w:rPr>
                <w:rFonts w:cs="Arial"/>
                <w:iCs/>
                <w:szCs w:val="18"/>
              </w:rPr>
            </w:pPr>
            <w:r w:rsidRPr="009E064B">
              <w:rPr>
                <w:rFonts w:cs="Arial"/>
                <w:iCs/>
                <w:szCs w:val="18"/>
              </w:rPr>
              <w:t>a</w:t>
            </w:r>
          </w:p>
        </w:tc>
        <w:tc>
          <w:tcPr>
            <w:tcW w:w="1037" w:type="dxa"/>
            <w:vAlign w:val="center"/>
          </w:tcPr>
          <w:p w14:paraId="115F9C81"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10</w:t>
            </w:r>
          </w:p>
        </w:tc>
        <w:tc>
          <w:tcPr>
            <w:tcW w:w="1037" w:type="dxa"/>
            <w:vAlign w:val="center"/>
          </w:tcPr>
          <w:p w14:paraId="1C03AC79"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14</w:t>
            </w:r>
          </w:p>
        </w:tc>
        <w:tc>
          <w:tcPr>
            <w:tcW w:w="1037" w:type="dxa"/>
            <w:vAlign w:val="center"/>
          </w:tcPr>
          <w:p w14:paraId="53FC6CDB"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15</w:t>
            </w:r>
          </w:p>
        </w:tc>
      </w:tr>
      <w:tr w:rsidR="00BB280A" w:rsidRPr="009E064B" w14:paraId="1BF6E49F" w14:textId="77777777" w:rsidTr="00BB280A">
        <w:trPr>
          <w:trHeight w:val="314"/>
        </w:trPr>
        <w:tc>
          <w:tcPr>
            <w:tcW w:w="899" w:type="dxa"/>
            <w:vAlign w:val="center"/>
          </w:tcPr>
          <w:p w14:paraId="248BD403" w14:textId="77777777" w:rsidR="00BB280A" w:rsidRPr="009E064B" w:rsidRDefault="00BB280A" w:rsidP="00BB280A">
            <w:pPr>
              <w:spacing w:before="60" w:after="60"/>
              <w:ind w:left="57"/>
              <w:jc w:val="center"/>
              <w:rPr>
                <w:rFonts w:cs="Arial"/>
                <w:iCs/>
                <w:szCs w:val="18"/>
              </w:rPr>
            </w:pPr>
            <w:r w:rsidRPr="009E064B">
              <w:rPr>
                <w:rFonts w:cs="Arial"/>
                <w:iCs/>
                <w:szCs w:val="18"/>
              </w:rPr>
              <w:t>b</w:t>
            </w:r>
          </w:p>
        </w:tc>
        <w:tc>
          <w:tcPr>
            <w:tcW w:w="1037" w:type="dxa"/>
            <w:vAlign w:val="center"/>
          </w:tcPr>
          <w:p w14:paraId="235134FC"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5.5</w:t>
            </w:r>
          </w:p>
        </w:tc>
        <w:tc>
          <w:tcPr>
            <w:tcW w:w="1037" w:type="dxa"/>
            <w:vAlign w:val="center"/>
          </w:tcPr>
          <w:p w14:paraId="7D6A5C5E"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6.5</w:t>
            </w:r>
          </w:p>
        </w:tc>
        <w:tc>
          <w:tcPr>
            <w:tcW w:w="1037" w:type="dxa"/>
            <w:vAlign w:val="center"/>
          </w:tcPr>
          <w:p w14:paraId="74668485" w14:textId="77777777" w:rsidR="00BB280A" w:rsidRPr="009E064B" w:rsidRDefault="00BB280A" w:rsidP="00BB280A">
            <w:pPr>
              <w:spacing w:before="60" w:after="60"/>
              <w:ind w:left="57"/>
              <w:jc w:val="center"/>
              <w:rPr>
                <w:rFonts w:cs="Arial"/>
                <w:iCs/>
                <w:sz w:val="20"/>
                <w:szCs w:val="18"/>
              </w:rPr>
            </w:pPr>
            <w:r w:rsidRPr="009E064B">
              <w:rPr>
                <w:rFonts w:cs="Arial"/>
                <w:iCs/>
                <w:sz w:val="20"/>
                <w:szCs w:val="18"/>
              </w:rPr>
              <w:t>8.5</w:t>
            </w:r>
          </w:p>
        </w:tc>
      </w:tr>
    </w:tbl>
    <w:p w14:paraId="2319457D" w14:textId="77777777" w:rsidR="00BB280A" w:rsidRPr="009E064B" w:rsidRDefault="00BB280A" w:rsidP="00BB280A">
      <w:pPr>
        <w:tabs>
          <w:tab w:val="left" w:pos="567"/>
        </w:tabs>
        <w:spacing w:after="0"/>
        <w:ind w:left="1134" w:hanging="567"/>
        <w:rPr>
          <w:rFonts w:cs="Arial"/>
          <w:iCs/>
          <w:szCs w:val="18"/>
        </w:rPr>
      </w:pPr>
    </w:p>
    <w:p w14:paraId="75E822B6" w14:textId="3B884683" w:rsidR="00C36D76" w:rsidRPr="009E064B" w:rsidRDefault="00C36D76" w:rsidP="00BB280A">
      <w:pPr>
        <w:tabs>
          <w:tab w:val="left" w:pos="3261"/>
        </w:tabs>
        <w:spacing w:after="0"/>
        <w:ind w:left="1134"/>
        <w:rPr>
          <w:rFonts w:cs="Arial"/>
          <w:iCs/>
          <w:szCs w:val="18"/>
        </w:rPr>
      </w:pPr>
      <w:r w:rsidRPr="009E064B">
        <w:rPr>
          <w:rFonts w:cs="Arial"/>
          <w:iCs/>
          <w:position w:val="-24"/>
          <w:szCs w:val="18"/>
        </w:rPr>
        <w:object w:dxaOrig="1219" w:dyaOrig="660" w14:anchorId="00487F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9.25pt" o:ole="">
            <v:imagedata r:id="rId261" o:title=""/>
          </v:shape>
          <o:OLEObject Type="Embed" ProgID="Equation.3" ShapeID="_x0000_i1025" DrawAspect="Content" ObjectID="_1623657792" r:id="rId262"/>
        </w:object>
      </w:r>
      <w:r w:rsidR="00BB280A" w:rsidRPr="009E064B">
        <w:rPr>
          <w:rFonts w:cs="Arial"/>
          <w:iCs/>
          <w:szCs w:val="18"/>
        </w:rPr>
        <w:t xml:space="preserve"> </w:t>
      </w:r>
    </w:p>
    <w:p w14:paraId="65889A40" w14:textId="77777777" w:rsidR="00C36D76" w:rsidRPr="009E064B" w:rsidRDefault="00C36D76" w:rsidP="00BB280A">
      <w:pPr>
        <w:ind w:left="1134" w:hanging="567"/>
        <w:rPr>
          <w:rFonts w:cs="Arial"/>
          <w:iCs/>
          <w:szCs w:val="18"/>
        </w:rPr>
      </w:pPr>
    </w:p>
    <w:p w14:paraId="44926616" w14:textId="77777777" w:rsidR="00C36D76" w:rsidRPr="009E064B" w:rsidRDefault="00C36D76" w:rsidP="00BB280A">
      <w:pPr>
        <w:tabs>
          <w:tab w:val="left" w:pos="567"/>
        </w:tabs>
        <w:spacing w:after="0"/>
        <w:ind w:left="1134" w:hanging="567"/>
        <w:rPr>
          <w:rFonts w:cs="Arial"/>
          <w:iCs/>
          <w:szCs w:val="18"/>
        </w:rPr>
      </w:pPr>
      <w:r w:rsidRPr="009E064B">
        <w:rPr>
          <w:rFonts w:cs="Arial"/>
          <w:iCs/>
          <w:szCs w:val="18"/>
        </w:rPr>
        <w:t>(b)</w:t>
      </w:r>
      <w:r w:rsidRPr="009E064B">
        <w:rPr>
          <w:rFonts w:cs="Arial"/>
          <w:iCs/>
          <w:szCs w:val="18"/>
        </w:rPr>
        <w:tab/>
        <w:t>Kątowe ustawienie świateł w pionie powinno spełniać następujące wymagania odnośnie pokrycia przez wiązkę główną:</w:t>
      </w:r>
    </w:p>
    <w:p w14:paraId="3F6335DB" w14:textId="77777777" w:rsidR="00C36D76" w:rsidRPr="009E064B" w:rsidRDefault="00C36D76" w:rsidP="00B06A9A">
      <w:pPr>
        <w:tabs>
          <w:tab w:val="left" w:pos="567"/>
        </w:tabs>
        <w:spacing w:after="0"/>
        <w:rPr>
          <w:rFonts w:cs="Arial"/>
          <w:iCs/>
          <w:szCs w:val="18"/>
        </w:rPr>
      </w:pPr>
    </w:p>
    <w:tbl>
      <w:tblPr>
        <w:tblW w:w="4329"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4985"/>
      </w:tblGrid>
      <w:tr w:rsidR="00C36D76" w:rsidRPr="009E064B" w14:paraId="21371C3D" w14:textId="77777777" w:rsidTr="00BB280A">
        <w:trPr>
          <w:trHeight w:val="456"/>
          <w:jc w:val="right"/>
        </w:trPr>
        <w:tc>
          <w:tcPr>
            <w:tcW w:w="1900" w:type="pct"/>
            <w:vAlign w:val="center"/>
          </w:tcPr>
          <w:p w14:paraId="5C15E08F" w14:textId="77777777" w:rsidR="00C36D76" w:rsidRPr="009E064B" w:rsidRDefault="00C36D76" w:rsidP="00B06A9A">
            <w:pPr>
              <w:tabs>
                <w:tab w:val="left" w:pos="567"/>
              </w:tabs>
              <w:spacing w:after="0"/>
              <w:jc w:val="center"/>
              <w:rPr>
                <w:rFonts w:cs="Arial"/>
                <w:b/>
                <w:iCs/>
                <w:sz w:val="20"/>
                <w:szCs w:val="20"/>
              </w:rPr>
            </w:pPr>
            <w:r w:rsidRPr="009E064B">
              <w:rPr>
                <w:rFonts w:cs="Arial"/>
                <w:b/>
                <w:iCs/>
                <w:sz w:val="20"/>
                <w:szCs w:val="20"/>
              </w:rPr>
              <w:t>Odległość od progu</w:t>
            </w:r>
          </w:p>
        </w:tc>
        <w:tc>
          <w:tcPr>
            <w:tcW w:w="3100" w:type="pct"/>
            <w:vAlign w:val="center"/>
          </w:tcPr>
          <w:p w14:paraId="4E54AB29" w14:textId="77777777" w:rsidR="00C36D76" w:rsidRPr="009E064B" w:rsidRDefault="00C36D76" w:rsidP="00B06A9A">
            <w:pPr>
              <w:tabs>
                <w:tab w:val="left" w:pos="567"/>
              </w:tabs>
              <w:spacing w:after="0"/>
              <w:jc w:val="center"/>
              <w:rPr>
                <w:rFonts w:cs="Arial"/>
                <w:b/>
                <w:iCs/>
                <w:sz w:val="20"/>
                <w:szCs w:val="20"/>
              </w:rPr>
            </w:pPr>
            <w:r w:rsidRPr="009E064B">
              <w:rPr>
                <w:rFonts w:cs="Arial"/>
                <w:b/>
                <w:iCs/>
                <w:sz w:val="20"/>
                <w:szCs w:val="20"/>
              </w:rPr>
              <w:t>Pokrycie przez wiązkę w płaszczyźnie pionowej</w:t>
            </w:r>
          </w:p>
        </w:tc>
      </w:tr>
      <w:tr w:rsidR="00C36D76" w:rsidRPr="009E064B" w14:paraId="1B796C38" w14:textId="77777777" w:rsidTr="00BB280A">
        <w:trPr>
          <w:trHeight w:val="456"/>
          <w:jc w:val="right"/>
        </w:trPr>
        <w:tc>
          <w:tcPr>
            <w:tcW w:w="1900" w:type="pct"/>
            <w:vAlign w:val="center"/>
          </w:tcPr>
          <w:p w14:paraId="5A43098E" w14:textId="77777777" w:rsidR="00C36D76" w:rsidRPr="009E064B" w:rsidRDefault="00C36D76" w:rsidP="00B06A9A">
            <w:pPr>
              <w:tabs>
                <w:tab w:val="left" w:pos="567"/>
              </w:tabs>
              <w:spacing w:after="0"/>
              <w:rPr>
                <w:rFonts w:cs="Arial"/>
                <w:iCs/>
                <w:sz w:val="20"/>
                <w:szCs w:val="20"/>
              </w:rPr>
            </w:pPr>
            <w:r w:rsidRPr="009E064B">
              <w:rPr>
                <w:rFonts w:cs="Arial"/>
                <w:iCs/>
                <w:sz w:val="20"/>
                <w:szCs w:val="20"/>
              </w:rPr>
              <w:t xml:space="preserve">próg do </w:t>
            </w:r>
            <w:smartTag w:uri="urn:schemas-microsoft-com:office:smarttags" w:element="metricconverter">
              <w:smartTagPr>
                <w:attr w:name="ProductID" w:val="315 m"/>
              </w:smartTagPr>
              <w:r w:rsidRPr="009E064B">
                <w:rPr>
                  <w:rFonts w:cs="Arial"/>
                  <w:iCs/>
                  <w:sz w:val="20"/>
                  <w:szCs w:val="20"/>
                </w:rPr>
                <w:t>315 m</w:t>
              </w:r>
            </w:smartTag>
          </w:p>
        </w:tc>
        <w:tc>
          <w:tcPr>
            <w:tcW w:w="3100" w:type="pct"/>
            <w:vAlign w:val="center"/>
          </w:tcPr>
          <w:p w14:paraId="58D26BAB" w14:textId="77777777" w:rsidR="00C36D76" w:rsidRPr="009E064B" w:rsidRDefault="00C36D76" w:rsidP="00B06A9A">
            <w:pPr>
              <w:tabs>
                <w:tab w:val="left" w:pos="567"/>
              </w:tabs>
              <w:spacing w:after="0"/>
              <w:rPr>
                <w:rFonts w:cs="Arial"/>
                <w:iCs/>
                <w:sz w:val="20"/>
                <w:szCs w:val="20"/>
              </w:rPr>
            </w:pPr>
            <w:r w:rsidRPr="009E064B">
              <w:rPr>
                <w:rFonts w:cs="Arial"/>
                <w:iCs/>
                <w:sz w:val="20"/>
                <w:szCs w:val="20"/>
              </w:rPr>
              <w:t>0º – 11º</w:t>
            </w:r>
          </w:p>
        </w:tc>
      </w:tr>
      <w:tr w:rsidR="00C36D76" w:rsidRPr="009E064B" w14:paraId="576AAC84" w14:textId="77777777" w:rsidTr="00BB280A">
        <w:trPr>
          <w:trHeight w:val="456"/>
          <w:jc w:val="right"/>
        </w:trPr>
        <w:tc>
          <w:tcPr>
            <w:tcW w:w="1900" w:type="pct"/>
            <w:vAlign w:val="center"/>
          </w:tcPr>
          <w:p w14:paraId="1C3965CE" w14:textId="77777777" w:rsidR="00C36D76" w:rsidRPr="009E064B" w:rsidRDefault="00C36D76" w:rsidP="00B06A9A">
            <w:pPr>
              <w:tabs>
                <w:tab w:val="left" w:pos="567"/>
              </w:tabs>
              <w:spacing w:after="0"/>
              <w:rPr>
                <w:rFonts w:cs="Arial"/>
                <w:iCs/>
                <w:sz w:val="20"/>
                <w:szCs w:val="20"/>
              </w:rPr>
            </w:pPr>
            <w:smartTag w:uri="urn:schemas-microsoft-com:office:smarttags" w:element="metricconverter">
              <w:smartTagPr>
                <w:attr w:name="ProductID" w:val="316 m"/>
              </w:smartTagPr>
              <w:r w:rsidRPr="009E064B">
                <w:rPr>
                  <w:rFonts w:cs="Arial"/>
                  <w:iCs/>
                  <w:sz w:val="20"/>
                  <w:szCs w:val="20"/>
                </w:rPr>
                <w:t>316 m</w:t>
              </w:r>
            </w:smartTag>
            <w:r w:rsidRPr="009E064B">
              <w:rPr>
                <w:rFonts w:cs="Arial"/>
                <w:iCs/>
                <w:sz w:val="20"/>
                <w:szCs w:val="20"/>
              </w:rPr>
              <w:t xml:space="preserve"> do </w:t>
            </w:r>
            <w:smartTag w:uri="urn:schemas-microsoft-com:office:smarttags" w:element="metricconverter">
              <w:smartTagPr>
                <w:attr w:name="ProductID" w:val="475 m"/>
              </w:smartTagPr>
              <w:r w:rsidRPr="009E064B">
                <w:rPr>
                  <w:rFonts w:cs="Arial"/>
                  <w:iCs/>
                  <w:sz w:val="20"/>
                  <w:szCs w:val="20"/>
                </w:rPr>
                <w:t>475 m</w:t>
              </w:r>
            </w:smartTag>
          </w:p>
        </w:tc>
        <w:tc>
          <w:tcPr>
            <w:tcW w:w="3100" w:type="pct"/>
            <w:vAlign w:val="center"/>
          </w:tcPr>
          <w:p w14:paraId="610351EC" w14:textId="77777777" w:rsidR="00C36D76" w:rsidRPr="009E064B" w:rsidRDefault="00C36D76" w:rsidP="00B06A9A">
            <w:pPr>
              <w:tabs>
                <w:tab w:val="left" w:pos="567"/>
              </w:tabs>
              <w:spacing w:after="0"/>
              <w:rPr>
                <w:rFonts w:cs="Arial"/>
                <w:iCs/>
                <w:sz w:val="20"/>
                <w:szCs w:val="20"/>
              </w:rPr>
            </w:pPr>
            <w:r w:rsidRPr="009E064B">
              <w:rPr>
                <w:rFonts w:cs="Arial"/>
                <w:iCs/>
                <w:sz w:val="20"/>
                <w:szCs w:val="20"/>
              </w:rPr>
              <w:t>0.5º – 11.5º</w:t>
            </w:r>
          </w:p>
        </w:tc>
      </w:tr>
      <w:tr w:rsidR="00C36D76" w:rsidRPr="009E064B" w14:paraId="42977FF7" w14:textId="77777777" w:rsidTr="00BB280A">
        <w:trPr>
          <w:trHeight w:val="456"/>
          <w:jc w:val="right"/>
        </w:trPr>
        <w:tc>
          <w:tcPr>
            <w:tcW w:w="1900" w:type="pct"/>
            <w:vAlign w:val="center"/>
          </w:tcPr>
          <w:p w14:paraId="32691F5E" w14:textId="77777777" w:rsidR="00C36D76" w:rsidRPr="009E064B" w:rsidRDefault="00C36D76" w:rsidP="00B06A9A">
            <w:pPr>
              <w:tabs>
                <w:tab w:val="left" w:pos="567"/>
              </w:tabs>
              <w:spacing w:after="0"/>
              <w:rPr>
                <w:rFonts w:cs="Arial"/>
                <w:iCs/>
                <w:sz w:val="20"/>
                <w:szCs w:val="20"/>
              </w:rPr>
            </w:pPr>
            <w:smartTag w:uri="urn:schemas-microsoft-com:office:smarttags" w:element="metricconverter">
              <w:smartTagPr>
                <w:attr w:name="ProductID" w:val="476 m"/>
              </w:smartTagPr>
              <w:r w:rsidRPr="009E064B">
                <w:rPr>
                  <w:rFonts w:cs="Arial"/>
                  <w:iCs/>
                  <w:sz w:val="20"/>
                  <w:szCs w:val="20"/>
                </w:rPr>
                <w:t>476 m</w:t>
              </w:r>
            </w:smartTag>
            <w:r w:rsidRPr="009E064B">
              <w:rPr>
                <w:rFonts w:cs="Arial"/>
                <w:iCs/>
                <w:sz w:val="20"/>
                <w:szCs w:val="20"/>
              </w:rPr>
              <w:t xml:space="preserve"> do </w:t>
            </w:r>
            <w:smartTag w:uri="urn:schemas-microsoft-com:office:smarttags" w:element="metricconverter">
              <w:smartTagPr>
                <w:attr w:name="ProductID" w:val="640 m"/>
              </w:smartTagPr>
              <w:r w:rsidRPr="009E064B">
                <w:rPr>
                  <w:rFonts w:cs="Arial"/>
                  <w:iCs/>
                  <w:sz w:val="20"/>
                  <w:szCs w:val="20"/>
                </w:rPr>
                <w:t>640 m</w:t>
              </w:r>
            </w:smartTag>
          </w:p>
        </w:tc>
        <w:tc>
          <w:tcPr>
            <w:tcW w:w="3100" w:type="pct"/>
            <w:vAlign w:val="center"/>
          </w:tcPr>
          <w:p w14:paraId="05E523B5" w14:textId="77777777" w:rsidR="00C36D76" w:rsidRPr="009E064B" w:rsidRDefault="00C36D76" w:rsidP="00B06A9A">
            <w:pPr>
              <w:tabs>
                <w:tab w:val="left" w:pos="567"/>
              </w:tabs>
              <w:spacing w:after="0"/>
              <w:rPr>
                <w:rFonts w:cs="Arial"/>
                <w:iCs/>
                <w:sz w:val="20"/>
                <w:szCs w:val="20"/>
              </w:rPr>
            </w:pPr>
            <w:r w:rsidRPr="009E064B">
              <w:rPr>
                <w:rFonts w:cs="Arial"/>
                <w:iCs/>
                <w:sz w:val="20"/>
                <w:szCs w:val="20"/>
              </w:rPr>
              <w:t>1.5º – 12.5º</w:t>
            </w:r>
          </w:p>
        </w:tc>
      </w:tr>
      <w:tr w:rsidR="00C36D76" w:rsidRPr="009E064B" w14:paraId="75EB1AF8" w14:textId="77777777" w:rsidTr="00BB280A">
        <w:trPr>
          <w:trHeight w:val="457"/>
          <w:jc w:val="right"/>
        </w:trPr>
        <w:tc>
          <w:tcPr>
            <w:tcW w:w="1900" w:type="pct"/>
            <w:vAlign w:val="center"/>
          </w:tcPr>
          <w:p w14:paraId="4914FCD3" w14:textId="77777777" w:rsidR="00C36D76" w:rsidRPr="009E064B" w:rsidRDefault="00C36D76" w:rsidP="00B06A9A">
            <w:pPr>
              <w:tabs>
                <w:tab w:val="left" w:pos="567"/>
              </w:tabs>
              <w:spacing w:after="0"/>
              <w:rPr>
                <w:rFonts w:cs="Arial"/>
                <w:iCs/>
                <w:sz w:val="20"/>
                <w:szCs w:val="20"/>
              </w:rPr>
            </w:pPr>
            <w:smartTag w:uri="urn:schemas-microsoft-com:office:smarttags" w:element="metricconverter">
              <w:smartTagPr>
                <w:attr w:name="ProductID" w:val="641 m"/>
              </w:smartTagPr>
              <w:r w:rsidRPr="009E064B">
                <w:rPr>
                  <w:rFonts w:cs="Arial"/>
                  <w:iCs/>
                  <w:sz w:val="20"/>
                  <w:szCs w:val="20"/>
                </w:rPr>
                <w:t>641 m</w:t>
              </w:r>
            </w:smartTag>
            <w:r w:rsidRPr="009E064B">
              <w:rPr>
                <w:rFonts w:cs="Arial"/>
                <w:iCs/>
                <w:sz w:val="20"/>
                <w:szCs w:val="20"/>
              </w:rPr>
              <w:t xml:space="preserve"> i powyżej</w:t>
            </w:r>
          </w:p>
        </w:tc>
        <w:tc>
          <w:tcPr>
            <w:tcW w:w="3100" w:type="pct"/>
            <w:vAlign w:val="center"/>
          </w:tcPr>
          <w:p w14:paraId="4533F92D" w14:textId="77777777" w:rsidR="00C36D76" w:rsidRPr="009E064B" w:rsidRDefault="00C36D76" w:rsidP="00B06A9A">
            <w:pPr>
              <w:tabs>
                <w:tab w:val="left" w:pos="567"/>
              </w:tabs>
              <w:spacing w:after="0"/>
              <w:rPr>
                <w:rFonts w:cs="Arial"/>
                <w:iCs/>
                <w:sz w:val="20"/>
                <w:szCs w:val="20"/>
              </w:rPr>
            </w:pPr>
            <w:r w:rsidRPr="009E064B">
              <w:rPr>
                <w:rFonts w:cs="Arial"/>
                <w:iCs/>
                <w:sz w:val="20"/>
                <w:szCs w:val="20"/>
              </w:rPr>
              <w:t>2.5º – 13.5º (jak pokazano powyżej)</w:t>
            </w:r>
          </w:p>
        </w:tc>
      </w:tr>
    </w:tbl>
    <w:p w14:paraId="5776A450" w14:textId="77777777" w:rsidR="00C36D76" w:rsidRPr="009E064B" w:rsidRDefault="00C36D76" w:rsidP="00B06A9A">
      <w:pPr>
        <w:tabs>
          <w:tab w:val="left" w:pos="567"/>
        </w:tabs>
        <w:spacing w:after="0"/>
        <w:rPr>
          <w:rFonts w:cs="Arial"/>
          <w:iCs/>
          <w:szCs w:val="18"/>
        </w:rPr>
      </w:pPr>
    </w:p>
    <w:p w14:paraId="7D8A7397" w14:textId="77777777" w:rsidR="00C36D76" w:rsidRPr="009E064B" w:rsidRDefault="00C36D76" w:rsidP="00BB280A">
      <w:pPr>
        <w:tabs>
          <w:tab w:val="left" w:pos="567"/>
        </w:tabs>
        <w:ind w:left="1134" w:hanging="567"/>
        <w:rPr>
          <w:rFonts w:cs="Arial"/>
          <w:iCs/>
          <w:szCs w:val="18"/>
        </w:rPr>
      </w:pPr>
      <w:r w:rsidRPr="009E064B">
        <w:rPr>
          <w:rFonts w:cs="Arial"/>
          <w:iCs/>
          <w:szCs w:val="18"/>
        </w:rPr>
        <w:t xml:space="preserve">(c) </w:t>
      </w:r>
      <w:r w:rsidRPr="009E064B">
        <w:rPr>
          <w:rFonts w:cs="Arial"/>
          <w:iCs/>
          <w:szCs w:val="18"/>
        </w:rPr>
        <w:tab/>
        <w:t xml:space="preserve">Światła poprzeczek zainstalowanych w odległości większej niż </w:t>
      </w:r>
      <w:smartTag w:uri="urn:schemas-microsoft-com:office:smarttags" w:element="metricconverter">
        <w:smartTagPr>
          <w:attr w:name="ProductID" w:val="22.5 m"/>
        </w:smartTagPr>
        <w:r w:rsidRPr="009E064B">
          <w:rPr>
            <w:rFonts w:cs="Arial"/>
            <w:iCs/>
            <w:szCs w:val="18"/>
          </w:rPr>
          <w:t>22.5 m</w:t>
        </w:r>
      </w:smartTag>
      <w:r w:rsidRPr="009E064B">
        <w:rPr>
          <w:rFonts w:cs="Arial"/>
          <w:iCs/>
          <w:szCs w:val="18"/>
        </w:rPr>
        <w:t xml:space="preserve"> od linii środkowej powinno posiadać zbieżność 2 stopnie. Pozostałe światła muszą być ustawione równolegle do linii środkowej drogi startowej.</w:t>
      </w:r>
    </w:p>
    <w:p w14:paraId="43816297" w14:textId="77777777" w:rsidR="00C36D76" w:rsidRPr="009E064B" w:rsidRDefault="00C36D76" w:rsidP="00BB280A">
      <w:pPr>
        <w:tabs>
          <w:tab w:val="left" w:pos="567"/>
        </w:tabs>
        <w:spacing w:after="0"/>
        <w:ind w:left="1134" w:hanging="567"/>
        <w:rPr>
          <w:szCs w:val="20"/>
        </w:rPr>
      </w:pPr>
      <w:r w:rsidRPr="009E064B">
        <w:rPr>
          <w:rFonts w:cs="Arial"/>
          <w:iCs/>
          <w:szCs w:val="18"/>
        </w:rPr>
        <w:t xml:space="preserve">(d) </w:t>
      </w:r>
      <w:r w:rsidRPr="009E064B">
        <w:rPr>
          <w:rFonts w:cs="Arial"/>
          <w:iCs/>
          <w:szCs w:val="18"/>
        </w:rPr>
        <w:tab/>
        <w:t>Patrz uwagi wspólne dla Rysunków U-5 do U-15.</w:t>
      </w:r>
    </w:p>
    <w:p w14:paraId="55B002B6" w14:textId="77777777" w:rsidR="00C36D76" w:rsidRPr="009E064B" w:rsidRDefault="00C36D76" w:rsidP="00B06A9A">
      <w:pPr>
        <w:rPr>
          <w:szCs w:val="20"/>
        </w:rPr>
      </w:pPr>
    </w:p>
    <w:p w14:paraId="5C64E15F" w14:textId="77777777" w:rsidR="00C36D76" w:rsidRPr="009E064B" w:rsidRDefault="00C36D76" w:rsidP="00B06A9A">
      <w:pPr>
        <w:spacing w:after="240"/>
        <w:rPr>
          <w:szCs w:val="20"/>
        </w:rPr>
      </w:pPr>
      <w:r w:rsidRPr="009E064B">
        <w:rPr>
          <w:noProof/>
          <w:szCs w:val="20"/>
          <w:lang w:eastAsia="pl-PL"/>
        </w:rPr>
        <w:drawing>
          <wp:inline distT="0" distB="0" distL="0" distR="0" wp14:anchorId="784FB15A" wp14:editId="2453CCD3">
            <wp:extent cx="5725160" cy="3298825"/>
            <wp:effectExtent l="19050" t="0" r="8890" b="0"/>
            <wp:docPr id="1401" name="Obraz 41" descr="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descr="A2-2"/>
                    <pic:cNvPicPr>
                      <a:picLocks noChangeAspect="1" noChangeArrowheads="1"/>
                    </pic:cNvPicPr>
                  </pic:nvPicPr>
                  <pic:blipFill>
                    <a:blip r:embed="rId263" cstate="print"/>
                    <a:srcRect/>
                    <a:stretch>
                      <a:fillRect/>
                    </a:stretch>
                  </pic:blipFill>
                  <pic:spPr bwMode="auto">
                    <a:xfrm>
                      <a:off x="0" y="0"/>
                      <a:ext cx="5725160" cy="3298825"/>
                    </a:xfrm>
                    <a:prstGeom prst="rect">
                      <a:avLst/>
                    </a:prstGeom>
                    <a:noFill/>
                    <a:ln w="9525">
                      <a:noFill/>
                      <a:miter lim="800000"/>
                      <a:headEnd/>
                      <a:tailEnd/>
                    </a:ln>
                  </pic:spPr>
                </pic:pic>
              </a:graphicData>
            </a:graphic>
          </wp:inline>
        </w:drawing>
      </w:r>
    </w:p>
    <w:p w14:paraId="2526F0E0" w14:textId="77777777" w:rsidR="00C36D76" w:rsidRPr="00FE5FBD" w:rsidRDefault="00C36D76" w:rsidP="00FE5FBD">
      <w:pPr>
        <w:spacing w:before="240"/>
        <w:ind w:left="709" w:hanging="709"/>
        <w:jc w:val="center"/>
        <w:rPr>
          <w:b/>
          <w:sz w:val="20"/>
        </w:rPr>
      </w:pPr>
      <w:r w:rsidRPr="00FE5FBD">
        <w:rPr>
          <w:b/>
          <w:sz w:val="20"/>
        </w:rPr>
        <w:t>Rysunek U-6.  Wykres izokandeli dla świateł rzędów bocznych systemu podejścia</w:t>
      </w:r>
      <w:r w:rsidRPr="00FE5FBD">
        <w:rPr>
          <w:b/>
          <w:sz w:val="20"/>
        </w:rPr>
        <w:br/>
        <w:t>(światło czerwone)</w:t>
      </w:r>
    </w:p>
    <w:p w14:paraId="61F38269" w14:textId="77777777" w:rsidR="00C36D76" w:rsidRPr="009E064B" w:rsidRDefault="00C36D76" w:rsidP="00B06A9A">
      <w:pPr>
        <w:spacing w:after="0"/>
        <w:rPr>
          <w:iCs/>
          <w:szCs w:val="18"/>
        </w:rPr>
      </w:pPr>
    </w:p>
    <w:p w14:paraId="63AF1C3F" w14:textId="7BB01AC4" w:rsidR="00C36D76" w:rsidRPr="009E064B" w:rsidRDefault="000B7988" w:rsidP="000B7988">
      <w:pPr>
        <w:rPr>
          <w:rFonts w:cs="Arial"/>
          <w:iCs/>
          <w:szCs w:val="18"/>
        </w:rPr>
      </w:pPr>
      <w:r w:rsidRPr="009E064B">
        <w:rPr>
          <w:rFonts w:cs="Arial"/>
          <w:iCs/>
          <w:szCs w:val="18"/>
        </w:rPr>
        <w:t>Uwagi:</w:t>
      </w:r>
    </w:p>
    <w:tbl>
      <w:tblPr>
        <w:tblpPr w:leftFromText="141" w:rightFromText="141" w:vertAnchor="text" w:horzAnchor="margin" w:tblpXSpec="center" w:tblpY="6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849"/>
        <w:gridCol w:w="849"/>
        <w:gridCol w:w="850"/>
      </w:tblGrid>
      <w:tr w:rsidR="00BB280A" w:rsidRPr="009E064B" w14:paraId="3A101246" w14:textId="77777777" w:rsidTr="000B7988">
        <w:trPr>
          <w:trHeight w:val="313"/>
        </w:trPr>
        <w:tc>
          <w:tcPr>
            <w:tcW w:w="849" w:type="dxa"/>
            <w:vAlign w:val="center"/>
          </w:tcPr>
          <w:p w14:paraId="031C492A" w14:textId="77777777" w:rsidR="00BB280A" w:rsidRPr="009E064B" w:rsidRDefault="00BB280A" w:rsidP="000B7988">
            <w:pPr>
              <w:spacing w:before="60" w:after="60"/>
              <w:jc w:val="center"/>
              <w:rPr>
                <w:rFonts w:cs="Arial"/>
                <w:iCs/>
                <w:sz w:val="20"/>
                <w:szCs w:val="18"/>
              </w:rPr>
            </w:pPr>
            <w:r w:rsidRPr="009E064B">
              <w:rPr>
                <w:rFonts w:cs="Arial"/>
                <w:iCs/>
                <w:sz w:val="20"/>
                <w:szCs w:val="18"/>
              </w:rPr>
              <w:t>a</w:t>
            </w:r>
          </w:p>
        </w:tc>
        <w:tc>
          <w:tcPr>
            <w:tcW w:w="849" w:type="dxa"/>
            <w:vAlign w:val="center"/>
          </w:tcPr>
          <w:p w14:paraId="6F2F7652" w14:textId="77777777" w:rsidR="00BB280A" w:rsidRPr="009E064B" w:rsidRDefault="00BB280A" w:rsidP="000B7988">
            <w:pPr>
              <w:spacing w:before="60" w:after="60"/>
              <w:jc w:val="center"/>
              <w:rPr>
                <w:rFonts w:cs="Arial"/>
                <w:iCs/>
                <w:sz w:val="20"/>
                <w:szCs w:val="18"/>
              </w:rPr>
            </w:pPr>
            <w:r w:rsidRPr="009E064B">
              <w:rPr>
                <w:rFonts w:cs="Arial"/>
                <w:iCs/>
                <w:sz w:val="20"/>
                <w:szCs w:val="18"/>
              </w:rPr>
              <w:t>7.0</w:t>
            </w:r>
          </w:p>
        </w:tc>
        <w:tc>
          <w:tcPr>
            <w:tcW w:w="849" w:type="dxa"/>
            <w:vAlign w:val="center"/>
          </w:tcPr>
          <w:p w14:paraId="0ADB0C20" w14:textId="77777777" w:rsidR="00BB280A" w:rsidRPr="009E064B" w:rsidRDefault="00BB280A" w:rsidP="000B7988">
            <w:pPr>
              <w:spacing w:before="60" w:after="60"/>
              <w:jc w:val="center"/>
              <w:rPr>
                <w:rFonts w:cs="Arial"/>
                <w:iCs/>
                <w:sz w:val="20"/>
                <w:szCs w:val="18"/>
              </w:rPr>
            </w:pPr>
            <w:r w:rsidRPr="009E064B">
              <w:rPr>
                <w:rFonts w:cs="Arial"/>
                <w:iCs/>
                <w:sz w:val="20"/>
                <w:szCs w:val="18"/>
              </w:rPr>
              <w:t>11.5</w:t>
            </w:r>
          </w:p>
        </w:tc>
        <w:tc>
          <w:tcPr>
            <w:tcW w:w="850" w:type="dxa"/>
            <w:vAlign w:val="center"/>
          </w:tcPr>
          <w:p w14:paraId="106CD410" w14:textId="77777777" w:rsidR="00BB280A" w:rsidRPr="009E064B" w:rsidRDefault="00BB280A" w:rsidP="000B7988">
            <w:pPr>
              <w:spacing w:before="60" w:after="60"/>
              <w:jc w:val="center"/>
              <w:rPr>
                <w:rFonts w:cs="Arial"/>
                <w:iCs/>
                <w:sz w:val="20"/>
                <w:szCs w:val="18"/>
              </w:rPr>
            </w:pPr>
            <w:r w:rsidRPr="009E064B">
              <w:rPr>
                <w:rFonts w:cs="Arial"/>
                <w:iCs/>
                <w:sz w:val="20"/>
                <w:szCs w:val="18"/>
              </w:rPr>
              <w:t>16.5</w:t>
            </w:r>
          </w:p>
        </w:tc>
      </w:tr>
      <w:tr w:rsidR="00BB280A" w:rsidRPr="009E064B" w14:paraId="135CFF45" w14:textId="77777777" w:rsidTr="000B7988">
        <w:trPr>
          <w:trHeight w:val="314"/>
        </w:trPr>
        <w:tc>
          <w:tcPr>
            <w:tcW w:w="849" w:type="dxa"/>
            <w:vAlign w:val="center"/>
          </w:tcPr>
          <w:p w14:paraId="1599E492" w14:textId="77777777" w:rsidR="00BB280A" w:rsidRPr="009E064B" w:rsidRDefault="00BB280A" w:rsidP="000B7988">
            <w:pPr>
              <w:spacing w:before="60" w:after="60"/>
              <w:jc w:val="center"/>
              <w:rPr>
                <w:rFonts w:cs="Arial"/>
                <w:iCs/>
                <w:sz w:val="20"/>
                <w:szCs w:val="18"/>
              </w:rPr>
            </w:pPr>
            <w:r w:rsidRPr="009E064B">
              <w:rPr>
                <w:rFonts w:cs="Arial"/>
                <w:iCs/>
                <w:sz w:val="20"/>
                <w:szCs w:val="18"/>
              </w:rPr>
              <w:t>b</w:t>
            </w:r>
          </w:p>
        </w:tc>
        <w:tc>
          <w:tcPr>
            <w:tcW w:w="849" w:type="dxa"/>
            <w:vAlign w:val="center"/>
          </w:tcPr>
          <w:p w14:paraId="4BE2600C" w14:textId="77777777" w:rsidR="00BB280A" w:rsidRPr="009E064B" w:rsidRDefault="00BB280A" w:rsidP="000B7988">
            <w:pPr>
              <w:spacing w:before="60" w:after="60"/>
              <w:jc w:val="center"/>
              <w:rPr>
                <w:rFonts w:cs="Arial"/>
                <w:iCs/>
                <w:sz w:val="20"/>
                <w:szCs w:val="18"/>
              </w:rPr>
            </w:pPr>
            <w:r w:rsidRPr="009E064B">
              <w:rPr>
                <w:rFonts w:cs="Arial"/>
                <w:iCs/>
                <w:sz w:val="20"/>
                <w:szCs w:val="18"/>
              </w:rPr>
              <w:t>5.0</w:t>
            </w:r>
          </w:p>
        </w:tc>
        <w:tc>
          <w:tcPr>
            <w:tcW w:w="849" w:type="dxa"/>
            <w:vAlign w:val="center"/>
          </w:tcPr>
          <w:p w14:paraId="468B903D" w14:textId="77777777" w:rsidR="00BB280A" w:rsidRPr="009E064B" w:rsidRDefault="00BB280A" w:rsidP="000B7988">
            <w:pPr>
              <w:spacing w:before="60" w:after="60"/>
              <w:jc w:val="center"/>
              <w:rPr>
                <w:rFonts w:cs="Arial"/>
                <w:iCs/>
                <w:sz w:val="20"/>
                <w:szCs w:val="18"/>
              </w:rPr>
            </w:pPr>
            <w:r w:rsidRPr="009E064B">
              <w:rPr>
                <w:rFonts w:cs="Arial"/>
                <w:iCs/>
                <w:sz w:val="20"/>
                <w:szCs w:val="18"/>
              </w:rPr>
              <w:t>6.0</w:t>
            </w:r>
          </w:p>
        </w:tc>
        <w:tc>
          <w:tcPr>
            <w:tcW w:w="850" w:type="dxa"/>
            <w:vAlign w:val="center"/>
          </w:tcPr>
          <w:p w14:paraId="732952DE" w14:textId="77777777" w:rsidR="00BB280A" w:rsidRPr="009E064B" w:rsidRDefault="00BB280A" w:rsidP="000B7988">
            <w:pPr>
              <w:spacing w:before="60" w:after="60"/>
              <w:jc w:val="center"/>
              <w:rPr>
                <w:rFonts w:cs="Arial"/>
                <w:iCs/>
                <w:sz w:val="20"/>
                <w:szCs w:val="18"/>
              </w:rPr>
            </w:pPr>
            <w:r w:rsidRPr="009E064B">
              <w:rPr>
                <w:rFonts w:cs="Arial"/>
                <w:iCs/>
                <w:sz w:val="20"/>
                <w:szCs w:val="18"/>
              </w:rPr>
              <w:t>8.0</w:t>
            </w:r>
          </w:p>
        </w:tc>
      </w:tr>
    </w:tbl>
    <w:p w14:paraId="2D333A97" w14:textId="63C45ABC" w:rsidR="00BB280A"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p>
    <w:p w14:paraId="7ED9CA0A" w14:textId="77777777" w:rsidR="000B7988" w:rsidRPr="009E064B" w:rsidRDefault="000B7988" w:rsidP="000B7988">
      <w:pPr>
        <w:tabs>
          <w:tab w:val="left" w:pos="1134"/>
        </w:tabs>
        <w:ind w:left="1134" w:hanging="567"/>
        <w:rPr>
          <w:rFonts w:cs="Arial"/>
          <w:iCs/>
          <w:szCs w:val="18"/>
        </w:rPr>
      </w:pPr>
    </w:p>
    <w:p w14:paraId="249044BC" w14:textId="5EFF3457" w:rsidR="00C36D76" w:rsidRPr="009E064B" w:rsidRDefault="00C36D76" w:rsidP="000B7988">
      <w:pPr>
        <w:tabs>
          <w:tab w:val="left" w:pos="1134"/>
        </w:tabs>
        <w:spacing w:after="0"/>
        <w:ind w:left="1134"/>
        <w:rPr>
          <w:rFonts w:cs="Arial"/>
          <w:iCs/>
          <w:szCs w:val="18"/>
        </w:rPr>
      </w:pPr>
      <w:r w:rsidRPr="009E064B">
        <w:rPr>
          <w:rFonts w:cs="Arial"/>
          <w:iCs/>
          <w:position w:val="-24"/>
          <w:szCs w:val="18"/>
        </w:rPr>
        <w:object w:dxaOrig="1219" w:dyaOrig="660" w14:anchorId="3DE57792">
          <v:shape id="_x0000_i1026" type="#_x0000_t75" style="width:57.75pt;height:29.25pt" o:ole="">
            <v:imagedata r:id="rId261" o:title=""/>
          </v:shape>
          <o:OLEObject Type="Embed" ProgID="Equation.3" ShapeID="_x0000_i1026" DrawAspect="Content" ObjectID="_1623657793" r:id="rId264"/>
        </w:object>
      </w:r>
    </w:p>
    <w:p w14:paraId="4DA9B0B2" w14:textId="77777777" w:rsidR="00C36D76" w:rsidRPr="009E064B" w:rsidRDefault="00C36D76" w:rsidP="000B7988">
      <w:pPr>
        <w:rPr>
          <w:rFonts w:cs="Arial"/>
          <w:iCs/>
          <w:szCs w:val="18"/>
        </w:rPr>
      </w:pPr>
    </w:p>
    <w:p w14:paraId="01EC72B0"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2 stopnie.</w:t>
      </w:r>
    </w:p>
    <w:p w14:paraId="6332BCBC" w14:textId="77777777" w:rsidR="00C36D76" w:rsidRPr="009E064B" w:rsidRDefault="00C36D76" w:rsidP="000B7988">
      <w:pPr>
        <w:tabs>
          <w:tab w:val="left" w:pos="1134"/>
        </w:tabs>
        <w:spacing w:after="0"/>
        <w:ind w:left="1134" w:hanging="567"/>
        <w:rPr>
          <w:rFonts w:cs="Arial"/>
          <w:iCs/>
          <w:szCs w:val="18"/>
        </w:rPr>
      </w:pPr>
      <w:r w:rsidRPr="009E064B">
        <w:rPr>
          <w:rFonts w:cs="Arial"/>
          <w:iCs/>
          <w:szCs w:val="18"/>
        </w:rPr>
        <w:t>(c)</w:t>
      </w:r>
      <w:r w:rsidRPr="009E064B">
        <w:rPr>
          <w:rFonts w:cs="Arial"/>
          <w:iCs/>
          <w:szCs w:val="18"/>
        </w:rPr>
        <w:tab/>
        <w:t>Kątowe ustawienie świateł w pionie powinno spełniać następujące wymagania odnośnie pokrycia przez wiązkę główną:</w:t>
      </w:r>
    </w:p>
    <w:p w14:paraId="2C7F70C8" w14:textId="77777777" w:rsidR="00C36D76" w:rsidRPr="009E064B" w:rsidRDefault="00C36D76" w:rsidP="00B06A9A">
      <w:pPr>
        <w:spacing w:after="0"/>
        <w:rPr>
          <w:rFonts w:cs="Arial"/>
          <w:iCs/>
          <w:szCs w:val="18"/>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4677"/>
      </w:tblGrid>
      <w:tr w:rsidR="00C36D76" w:rsidRPr="009E064B" w14:paraId="489A5137" w14:textId="77777777" w:rsidTr="000B7988">
        <w:trPr>
          <w:trHeight w:val="456"/>
          <w:jc w:val="right"/>
        </w:trPr>
        <w:tc>
          <w:tcPr>
            <w:tcW w:w="2410" w:type="dxa"/>
            <w:vAlign w:val="center"/>
          </w:tcPr>
          <w:p w14:paraId="3016857E" w14:textId="77777777" w:rsidR="00C36D76" w:rsidRPr="009E064B" w:rsidRDefault="00C36D76" w:rsidP="00B06A9A">
            <w:pPr>
              <w:spacing w:after="0"/>
              <w:jc w:val="center"/>
              <w:rPr>
                <w:rFonts w:cs="Arial"/>
                <w:b/>
                <w:iCs/>
                <w:sz w:val="20"/>
                <w:szCs w:val="18"/>
              </w:rPr>
            </w:pPr>
            <w:r w:rsidRPr="009E064B">
              <w:rPr>
                <w:rFonts w:cs="Arial"/>
                <w:b/>
                <w:iCs/>
                <w:sz w:val="20"/>
                <w:szCs w:val="18"/>
              </w:rPr>
              <w:t>Odległość od progu</w:t>
            </w:r>
          </w:p>
        </w:tc>
        <w:tc>
          <w:tcPr>
            <w:tcW w:w="4677" w:type="dxa"/>
            <w:vAlign w:val="center"/>
          </w:tcPr>
          <w:p w14:paraId="6B0C0EA2" w14:textId="77777777" w:rsidR="00C36D76" w:rsidRPr="009E064B" w:rsidRDefault="00C36D76" w:rsidP="00B06A9A">
            <w:pPr>
              <w:spacing w:after="0"/>
              <w:jc w:val="center"/>
              <w:rPr>
                <w:rFonts w:cs="Arial"/>
                <w:b/>
                <w:iCs/>
                <w:sz w:val="20"/>
                <w:szCs w:val="18"/>
              </w:rPr>
            </w:pPr>
            <w:r w:rsidRPr="009E064B">
              <w:rPr>
                <w:rFonts w:cs="Arial"/>
                <w:b/>
                <w:iCs/>
                <w:sz w:val="20"/>
                <w:szCs w:val="18"/>
              </w:rPr>
              <w:t>Pokrycie przez wiązkę w płaszczyźnie pionowej</w:t>
            </w:r>
          </w:p>
        </w:tc>
      </w:tr>
      <w:tr w:rsidR="00C36D76" w:rsidRPr="009E064B" w14:paraId="199AE6BB" w14:textId="77777777" w:rsidTr="000B7988">
        <w:trPr>
          <w:trHeight w:val="456"/>
          <w:jc w:val="right"/>
        </w:trPr>
        <w:tc>
          <w:tcPr>
            <w:tcW w:w="2410" w:type="dxa"/>
            <w:vAlign w:val="center"/>
          </w:tcPr>
          <w:p w14:paraId="632A8844" w14:textId="77914271" w:rsidR="00C36D76" w:rsidRPr="009E064B" w:rsidRDefault="000B7988" w:rsidP="00B06A9A">
            <w:pPr>
              <w:spacing w:after="0"/>
              <w:rPr>
                <w:rFonts w:cs="Arial"/>
                <w:iCs/>
                <w:sz w:val="20"/>
                <w:szCs w:val="18"/>
              </w:rPr>
            </w:pPr>
            <w:r w:rsidRPr="009E064B">
              <w:rPr>
                <w:rFonts w:cs="Arial"/>
                <w:iCs/>
                <w:sz w:val="20"/>
                <w:szCs w:val="18"/>
              </w:rPr>
              <w:t>P</w:t>
            </w:r>
            <w:r w:rsidR="00C36D76" w:rsidRPr="009E064B">
              <w:rPr>
                <w:rFonts w:cs="Arial"/>
                <w:iCs/>
                <w:sz w:val="20"/>
                <w:szCs w:val="18"/>
              </w:rPr>
              <w:t xml:space="preserve">róg do </w:t>
            </w:r>
            <w:smartTag w:uri="urn:schemas-microsoft-com:office:smarttags" w:element="metricconverter">
              <w:smartTagPr>
                <w:attr w:name="ProductID" w:val="115 m"/>
              </w:smartTagPr>
              <w:r w:rsidR="00C36D76" w:rsidRPr="009E064B">
                <w:rPr>
                  <w:rFonts w:cs="Arial"/>
                  <w:iCs/>
                  <w:sz w:val="20"/>
                  <w:szCs w:val="18"/>
                </w:rPr>
                <w:t>115 m</w:t>
              </w:r>
            </w:smartTag>
          </w:p>
        </w:tc>
        <w:tc>
          <w:tcPr>
            <w:tcW w:w="4677" w:type="dxa"/>
            <w:vAlign w:val="center"/>
          </w:tcPr>
          <w:p w14:paraId="71BA7802" w14:textId="77777777" w:rsidR="00C36D76" w:rsidRPr="009E064B" w:rsidRDefault="00C36D76" w:rsidP="00B06A9A">
            <w:pPr>
              <w:spacing w:after="0"/>
              <w:rPr>
                <w:rFonts w:cs="Arial"/>
                <w:iCs/>
                <w:sz w:val="20"/>
                <w:szCs w:val="18"/>
              </w:rPr>
            </w:pPr>
            <w:r w:rsidRPr="009E064B">
              <w:rPr>
                <w:rFonts w:cs="Arial"/>
                <w:iCs/>
                <w:sz w:val="20"/>
                <w:szCs w:val="18"/>
              </w:rPr>
              <w:t>0.5º - 10.5º</w:t>
            </w:r>
          </w:p>
        </w:tc>
      </w:tr>
      <w:tr w:rsidR="00C36D76" w:rsidRPr="009E064B" w14:paraId="6EA59301" w14:textId="77777777" w:rsidTr="000B7988">
        <w:trPr>
          <w:trHeight w:val="456"/>
          <w:jc w:val="right"/>
        </w:trPr>
        <w:tc>
          <w:tcPr>
            <w:tcW w:w="2410" w:type="dxa"/>
            <w:vAlign w:val="center"/>
          </w:tcPr>
          <w:p w14:paraId="66924D1A" w14:textId="77777777" w:rsidR="00C36D76" w:rsidRPr="009E064B" w:rsidRDefault="00C36D76" w:rsidP="00B06A9A">
            <w:pPr>
              <w:spacing w:after="0"/>
              <w:rPr>
                <w:rFonts w:cs="Arial"/>
                <w:iCs/>
                <w:sz w:val="20"/>
                <w:szCs w:val="18"/>
              </w:rPr>
            </w:pPr>
            <w:smartTag w:uri="urn:schemas-microsoft-com:office:smarttags" w:element="metricconverter">
              <w:smartTagPr>
                <w:attr w:name="ProductID" w:val="116 m"/>
              </w:smartTagPr>
              <w:r w:rsidRPr="009E064B">
                <w:rPr>
                  <w:rFonts w:cs="Arial"/>
                  <w:iCs/>
                  <w:sz w:val="20"/>
                  <w:szCs w:val="18"/>
                </w:rPr>
                <w:t>116 m</w:t>
              </w:r>
            </w:smartTag>
            <w:r w:rsidRPr="009E064B">
              <w:rPr>
                <w:rFonts w:cs="Arial"/>
                <w:iCs/>
                <w:sz w:val="20"/>
                <w:szCs w:val="18"/>
              </w:rPr>
              <w:t xml:space="preserve"> do </w:t>
            </w:r>
            <w:smartTag w:uri="urn:schemas-microsoft-com:office:smarttags" w:element="metricconverter">
              <w:smartTagPr>
                <w:attr w:name="ProductID" w:val="215 m"/>
              </w:smartTagPr>
              <w:r w:rsidRPr="009E064B">
                <w:rPr>
                  <w:rFonts w:cs="Arial"/>
                  <w:iCs/>
                  <w:sz w:val="20"/>
                  <w:szCs w:val="18"/>
                </w:rPr>
                <w:t>215 m</w:t>
              </w:r>
            </w:smartTag>
          </w:p>
        </w:tc>
        <w:tc>
          <w:tcPr>
            <w:tcW w:w="4677" w:type="dxa"/>
            <w:vAlign w:val="center"/>
          </w:tcPr>
          <w:p w14:paraId="15A4CEFE" w14:textId="77777777" w:rsidR="00C36D76" w:rsidRPr="009E064B" w:rsidRDefault="00C36D76" w:rsidP="00B06A9A">
            <w:pPr>
              <w:spacing w:after="0"/>
              <w:rPr>
                <w:rFonts w:cs="Arial"/>
                <w:iCs/>
                <w:sz w:val="20"/>
                <w:szCs w:val="18"/>
              </w:rPr>
            </w:pPr>
            <w:r w:rsidRPr="009E064B">
              <w:rPr>
                <w:rFonts w:cs="Arial"/>
                <w:iCs/>
                <w:sz w:val="20"/>
                <w:szCs w:val="18"/>
              </w:rPr>
              <w:t>1º - 11º</w:t>
            </w:r>
          </w:p>
        </w:tc>
      </w:tr>
      <w:tr w:rsidR="00C36D76" w:rsidRPr="009E064B" w14:paraId="6FF30A19" w14:textId="77777777" w:rsidTr="000B7988">
        <w:trPr>
          <w:trHeight w:val="457"/>
          <w:jc w:val="right"/>
        </w:trPr>
        <w:tc>
          <w:tcPr>
            <w:tcW w:w="2410" w:type="dxa"/>
            <w:vAlign w:val="center"/>
          </w:tcPr>
          <w:p w14:paraId="6105780F" w14:textId="77777777" w:rsidR="00C36D76" w:rsidRPr="009E064B" w:rsidRDefault="00C36D76" w:rsidP="00B06A9A">
            <w:pPr>
              <w:spacing w:after="0"/>
              <w:rPr>
                <w:rFonts w:cs="Arial"/>
                <w:iCs/>
                <w:sz w:val="20"/>
                <w:szCs w:val="18"/>
              </w:rPr>
            </w:pPr>
            <w:smartTag w:uri="urn:schemas-microsoft-com:office:smarttags" w:element="metricconverter">
              <w:smartTagPr>
                <w:attr w:name="ProductID" w:val="216 m"/>
              </w:smartTagPr>
              <w:r w:rsidRPr="009E064B">
                <w:rPr>
                  <w:rFonts w:cs="Arial"/>
                  <w:iCs/>
                  <w:sz w:val="20"/>
                  <w:szCs w:val="18"/>
                </w:rPr>
                <w:t>216 m</w:t>
              </w:r>
            </w:smartTag>
            <w:r w:rsidRPr="009E064B">
              <w:rPr>
                <w:rFonts w:cs="Arial"/>
                <w:iCs/>
                <w:sz w:val="20"/>
                <w:szCs w:val="18"/>
              </w:rPr>
              <w:t xml:space="preserve"> i powyżej</w:t>
            </w:r>
          </w:p>
        </w:tc>
        <w:tc>
          <w:tcPr>
            <w:tcW w:w="4677" w:type="dxa"/>
            <w:vAlign w:val="center"/>
          </w:tcPr>
          <w:p w14:paraId="29DBCA77" w14:textId="77777777" w:rsidR="00C36D76" w:rsidRPr="009E064B" w:rsidRDefault="00C36D76" w:rsidP="00B06A9A">
            <w:pPr>
              <w:spacing w:after="0"/>
              <w:rPr>
                <w:rFonts w:cs="Arial"/>
                <w:iCs/>
                <w:sz w:val="20"/>
                <w:szCs w:val="18"/>
              </w:rPr>
            </w:pPr>
            <w:r w:rsidRPr="009E064B">
              <w:rPr>
                <w:rFonts w:cs="Arial"/>
                <w:iCs/>
                <w:sz w:val="20"/>
                <w:szCs w:val="18"/>
              </w:rPr>
              <w:t>1.5º - 11.5º (jak pokazano powyżej)</w:t>
            </w:r>
          </w:p>
        </w:tc>
      </w:tr>
    </w:tbl>
    <w:p w14:paraId="59D75D3D" w14:textId="77777777" w:rsidR="00C36D76" w:rsidRPr="009E064B" w:rsidRDefault="00C36D76" w:rsidP="00B06A9A">
      <w:pPr>
        <w:spacing w:after="0"/>
        <w:ind w:left="360"/>
        <w:rPr>
          <w:rFonts w:cs="Arial"/>
          <w:iCs/>
          <w:szCs w:val="18"/>
        </w:rPr>
      </w:pPr>
    </w:p>
    <w:p w14:paraId="3620C640" w14:textId="77777777" w:rsidR="00C36D76" w:rsidRPr="009E064B" w:rsidRDefault="00C36D76" w:rsidP="000B7988">
      <w:pPr>
        <w:tabs>
          <w:tab w:val="left" w:pos="1134"/>
        </w:tabs>
        <w:ind w:left="1134" w:hanging="567"/>
        <w:rPr>
          <w:rFonts w:cs="Arial"/>
          <w:iCs/>
          <w:szCs w:val="18"/>
        </w:rPr>
      </w:pPr>
      <w:r w:rsidRPr="009E064B">
        <w:rPr>
          <w:rFonts w:cs="Arial"/>
          <w:iCs/>
          <w:szCs w:val="18"/>
        </w:rPr>
        <w:t>(d)</w:t>
      </w:r>
      <w:r w:rsidRPr="009E064B">
        <w:rPr>
          <w:rFonts w:cs="Arial"/>
          <w:iCs/>
          <w:szCs w:val="18"/>
        </w:rPr>
        <w:tab/>
        <w:t>Patrz uwagi wspólne dla Rysunków U-5 do U-15.</w:t>
      </w:r>
    </w:p>
    <w:p w14:paraId="32BBA8F8" w14:textId="77777777" w:rsidR="00C36D76" w:rsidRPr="009E064B" w:rsidRDefault="00C36D76" w:rsidP="00B06A9A">
      <w:pPr>
        <w:rPr>
          <w:szCs w:val="20"/>
        </w:rPr>
      </w:pPr>
    </w:p>
    <w:p w14:paraId="644DFC92" w14:textId="77777777" w:rsidR="00C36D76" w:rsidRPr="009E064B" w:rsidRDefault="00C36D76" w:rsidP="00B06A9A">
      <w:pPr>
        <w:rPr>
          <w:szCs w:val="20"/>
        </w:rPr>
      </w:pPr>
      <w:r w:rsidRPr="009E064B">
        <w:rPr>
          <w:noProof/>
          <w:szCs w:val="20"/>
          <w:lang w:eastAsia="pl-PL"/>
        </w:rPr>
        <w:drawing>
          <wp:inline distT="0" distB="0" distL="0" distR="0" wp14:anchorId="2728E95E" wp14:editId="678D8001">
            <wp:extent cx="5701665" cy="3263265"/>
            <wp:effectExtent l="19050" t="0" r="0" b="0"/>
            <wp:docPr id="1402" name="Obraz 1402" descr="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2-3"/>
                    <pic:cNvPicPr>
                      <a:picLocks noChangeAspect="1" noChangeArrowheads="1"/>
                    </pic:cNvPicPr>
                  </pic:nvPicPr>
                  <pic:blipFill>
                    <a:blip r:embed="rId265" cstate="print"/>
                    <a:srcRect/>
                    <a:stretch>
                      <a:fillRect/>
                    </a:stretch>
                  </pic:blipFill>
                  <pic:spPr bwMode="auto">
                    <a:xfrm>
                      <a:off x="0" y="0"/>
                      <a:ext cx="5701665" cy="3263265"/>
                    </a:xfrm>
                    <a:prstGeom prst="rect">
                      <a:avLst/>
                    </a:prstGeom>
                    <a:noFill/>
                    <a:ln w="9525">
                      <a:noFill/>
                      <a:miter lim="800000"/>
                      <a:headEnd/>
                      <a:tailEnd/>
                    </a:ln>
                  </pic:spPr>
                </pic:pic>
              </a:graphicData>
            </a:graphic>
          </wp:inline>
        </w:drawing>
      </w:r>
    </w:p>
    <w:p w14:paraId="1EDF5C03" w14:textId="77777777" w:rsidR="00C36D76" w:rsidRPr="009E064B" w:rsidRDefault="00C36D76" w:rsidP="00B06A9A">
      <w:pPr>
        <w:rPr>
          <w:szCs w:val="20"/>
        </w:rPr>
      </w:pPr>
    </w:p>
    <w:p w14:paraId="79D992F0" w14:textId="77777777" w:rsidR="00C36D76" w:rsidRPr="00FE5FBD" w:rsidRDefault="00C36D76" w:rsidP="00FE5FBD">
      <w:pPr>
        <w:spacing w:before="240"/>
        <w:ind w:left="709" w:hanging="709"/>
        <w:jc w:val="center"/>
        <w:rPr>
          <w:b/>
          <w:sz w:val="20"/>
        </w:rPr>
      </w:pPr>
      <w:r w:rsidRPr="00FE5FBD">
        <w:rPr>
          <w:b/>
          <w:sz w:val="20"/>
        </w:rPr>
        <w:t>Rysunek U-7.  Wykres izokandeli dla świateł progu (światło zielone)</w:t>
      </w:r>
    </w:p>
    <w:p w14:paraId="2AE6F5B4" w14:textId="77777777" w:rsidR="00C36D76" w:rsidRPr="009E064B" w:rsidRDefault="00C36D76" w:rsidP="00B06A9A">
      <w:pPr>
        <w:rPr>
          <w:iCs/>
          <w:szCs w:val="18"/>
        </w:rPr>
      </w:pPr>
    </w:p>
    <w:p w14:paraId="796CBF3F" w14:textId="77777777" w:rsidR="00C36D76" w:rsidRPr="009E064B" w:rsidRDefault="00C36D76" w:rsidP="00B06A9A">
      <w:pPr>
        <w:rPr>
          <w:rFonts w:cs="Arial"/>
          <w:iCs/>
          <w:szCs w:val="18"/>
        </w:rPr>
      </w:pPr>
      <w:r w:rsidRPr="009E064B">
        <w:rPr>
          <w:rFonts w:cs="Arial"/>
          <w:iCs/>
          <w:szCs w:val="18"/>
        </w:rPr>
        <w:t>Uwagi:</w:t>
      </w:r>
    </w:p>
    <w:p w14:paraId="4B9D545B" w14:textId="7D878DD6" w:rsidR="000B7988"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0B7988" w:rsidRPr="009E064B">
        <w:rPr>
          <w:rFonts w:cs="Arial"/>
          <w:iCs/>
          <w:szCs w:val="18"/>
        </w:rPr>
        <w:t>:</w:t>
      </w:r>
    </w:p>
    <w:tbl>
      <w:tblPr>
        <w:tblpPr w:leftFromText="141" w:rightFromText="141" w:vertAnchor="text" w:horzAnchor="page" w:tblpX="4525" w:tblpY="3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
        <w:gridCol w:w="849"/>
        <w:gridCol w:w="849"/>
        <w:gridCol w:w="850"/>
      </w:tblGrid>
      <w:tr w:rsidR="000B7988" w:rsidRPr="009E064B" w14:paraId="09CC841F" w14:textId="77777777" w:rsidTr="000B7988">
        <w:trPr>
          <w:trHeight w:val="313"/>
        </w:trPr>
        <w:tc>
          <w:tcPr>
            <w:tcW w:w="849" w:type="dxa"/>
            <w:vAlign w:val="center"/>
          </w:tcPr>
          <w:p w14:paraId="57F7B5DC" w14:textId="77777777" w:rsidR="000B7988" w:rsidRPr="009E064B" w:rsidRDefault="000B7988" w:rsidP="000B7988">
            <w:pPr>
              <w:spacing w:before="60" w:after="60"/>
              <w:jc w:val="center"/>
              <w:rPr>
                <w:rFonts w:cs="Arial"/>
                <w:iCs/>
                <w:sz w:val="20"/>
                <w:szCs w:val="18"/>
              </w:rPr>
            </w:pPr>
            <w:r w:rsidRPr="009E064B">
              <w:rPr>
                <w:rFonts w:cs="Arial"/>
                <w:iCs/>
                <w:sz w:val="20"/>
                <w:szCs w:val="18"/>
              </w:rPr>
              <w:t>a</w:t>
            </w:r>
          </w:p>
        </w:tc>
        <w:tc>
          <w:tcPr>
            <w:tcW w:w="849" w:type="dxa"/>
            <w:vAlign w:val="center"/>
          </w:tcPr>
          <w:p w14:paraId="5508AB69" w14:textId="77777777" w:rsidR="000B7988" w:rsidRPr="009E064B" w:rsidRDefault="000B7988" w:rsidP="000B7988">
            <w:pPr>
              <w:spacing w:before="60" w:after="60"/>
              <w:jc w:val="center"/>
              <w:rPr>
                <w:rFonts w:cs="Arial"/>
                <w:iCs/>
                <w:sz w:val="20"/>
                <w:szCs w:val="18"/>
              </w:rPr>
            </w:pPr>
            <w:r w:rsidRPr="009E064B">
              <w:rPr>
                <w:rFonts w:cs="Arial"/>
                <w:iCs/>
                <w:sz w:val="20"/>
                <w:szCs w:val="18"/>
              </w:rPr>
              <w:t>5.5</w:t>
            </w:r>
          </w:p>
        </w:tc>
        <w:tc>
          <w:tcPr>
            <w:tcW w:w="849" w:type="dxa"/>
            <w:vAlign w:val="center"/>
          </w:tcPr>
          <w:p w14:paraId="48A4C9F7" w14:textId="77777777" w:rsidR="000B7988" w:rsidRPr="009E064B" w:rsidRDefault="000B7988" w:rsidP="000B7988">
            <w:pPr>
              <w:spacing w:before="60" w:after="60"/>
              <w:jc w:val="center"/>
              <w:rPr>
                <w:rFonts w:cs="Arial"/>
                <w:iCs/>
                <w:sz w:val="20"/>
                <w:szCs w:val="18"/>
              </w:rPr>
            </w:pPr>
            <w:r w:rsidRPr="009E064B">
              <w:rPr>
                <w:rFonts w:cs="Arial"/>
                <w:iCs/>
                <w:sz w:val="20"/>
                <w:szCs w:val="18"/>
              </w:rPr>
              <w:t>7.5</w:t>
            </w:r>
          </w:p>
        </w:tc>
        <w:tc>
          <w:tcPr>
            <w:tcW w:w="850" w:type="dxa"/>
            <w:vAlign w:val="center"/>
          </w:tcPr>
          <w:p w14:paraId="74E4D501" w14:textId="77777777" w:rsidR="000B7988" w:rsidRPr="009E064B" w:rsidRDefault="000B7988" w:rsidP="000B7988">
            <w:pPr>
              <w:spacing w:before="60" w:after="60"/>
              <w:jc w:val="center"/>
              <w:rPr>
                <w:rFonts w:cs="Arial"/>
                <w:iCs/>
                <w:sz w:val="20"/>
                <w:szCs w:val="18"/>
              </w:rPr>
            </w:pPr>
            <w:r w:rsidRPr="009E064B">
              <w:rPr>
                <w:rFonts w:cs="Arial"/>
                <w:iCs/>
                <w:sz w:val="20"/>
                <w:szCs w:val="18"/>
              </w:rPr>
              <w:t>9.0</w:t>
            </w:r>
          </w:p>
        </w:tc>
      </w:tr>
      <w:tr w:rsidR="000B7988" w:rsidRPr="009E064B" w14:paraId="1D12C3EB" w14:textId="77777777" w:rsidTr="000B7988">
        <w:trPr>
          <w:trHeight w:val="314"/>
        </w:trPr>
        <w:tc>
          <w:tcPr>
            <w:tcW w:w="849" w:type="dxa"/>
            <w:vAlign w:val="center"/>
          </w:tcPr>
          <w:p w14:paraId="05F55D60" w14:textId="77777777" w:rsidR="000B7988" w:rsidRPr="009E064B" w:rsidRDefault="000B7988" w:rsidP="000B7988">
            <w:pPr>
              <w:spacing w:before="60" w:after="60"/>
              <w:jc w:val="center"/>
              <w:rPr>
                <w:rFonts w:cs="Arial"/>
                <w:iCs/>
                <w:sz w:val="20"/>
                <w:szCs w:val="18"/>
              </w:rPr>
            </w:pPr>
            <w:r w:rsidRPr="009E064B">
              <w:rPr>
                <w:rFonts w:cs="Arial"/>
                <w:iCs/>
                <w:sz w:val="20"/>
                <w:szCs w:val="18"/>
              </w:rPr>
              <w:t>b</w:t>
            </w:r>
          </w:p>
        </w:tc>
        <w:tc>
          <w:tcPr>
            <w:tcW w:w="849" w:type="dxa"/>
            <w:vAlign w:val="center"/>
          </w:tcPr>
          <w:p w14:paraId="310BE39F" w14:textId="77777777" w:rsidR="000B7988" w:rsidRPr="009E064B" w:rsidRDefault="000B7988" w:rsidP="000B7988">
            <w:pPr>
              <w:spacing w:before="60" w:after="60"/>
              <w:jc w:val="center"/>
              <w:rPr>
                <w:rFonts w:cs="Arial"/>
                <w:iCs/>
                <w:sz w:val="20"/>
                <w:szCs w:val="18"/>
              </w:rPr>
            </w:pPr>
            <w:r w:rsidRPr="009E064B">
              <w:rPr>
                <w:rFonts w:cs="Arial"/>
                <w:iCs/>
                <w:sz w:val="20"/>
                <w:szCs w:val="18"/>
              </w:rPr>
              <w:t>4.5</w:t>
            </w:r>
          </w:p>
        </w:tc>
        <w:tc>
          <w:tcPr>
            <w:tcW w:w="849" w:type="dxa"/>
            <w:vAlign w:val="center"/>
          </w:tcPr>
          <w:p w14:paraId="302829FF" w14:textId="77777777" w:rsidR="000B7988" w:rsidRPr="009E064B" w:rsidRDefault="000B7988" w:rsidP="000B7988">
            <w:pPr>
              <w:spacing w:before="60" w:after="60"/>
              <w:jc w:val="center"/>
              <w:rPr>
                <w:rFonts w:cs="Arial"/>
                <w:iCs/>
                <w:sz w:val="20"/>
                <w:szCs w:val="18"/>
              </w:rPr>
            </w:pPr>
            <w:r w:rsidRPr="009E064B">
              <w:rPr>
                <w:rFonts w:cs="Arial"/>
                <w:iCs/>
                <w:sz w:val="20"/>
                <w:szCs w:val="18"/>
              </w:rPr>
              <w:t>6.0</w:t>
            </w:r>
          </w:p>
        </w:tc>
        <w:tc>
          <w:tcPr>
            <w:tcW w:w="850" w:type="dxa"/>
            <w:vAlign w:val="center"/>
          </w:tcPr>
          <w:p w14:paraId="0FDFF04F" w14:textId="77777777" w:rsidR="000B7988" w:rsidRPr="009E064B" w:rsidRDefault="000B7988" w:rsidP="000B7988">
            <w:pPr>
              <w:spacing w:before="60" w:after="60"/>
              <w:jc w:val="center"/>
              <w:rPr>
                <w:rFonts w:cs="Arial"/>
                <w:iCs/>
                <w:sz w:val="20"/>
                <w:szCs w:val="18"/>
              </w:rPr>
            </w:pPr>
            <w:r w:rsidRPr="009E064B">
              <w:rPr>
                <w:rFonts w:cs="Arial"/>
                <w:iCs/>
                <w:sz w:val="20"/>
                <w:szCs w:val="18"/>
              </w:rPr>
              <w:t>8.5</w:t>
            </w:r>
          </w:p>
        </w:tc>
      </w:tr>
    </w:tbl>
    <w:p w14:paraId="5459556F" w14:textId="77777777" w:rsidR="000B7988" w:rsidRPr="009E064B" w:rsidRDefault="000B7988" w:rsidP="000B7988">
      <w:pPr>
        <w:tabs>
          <w:tab w:val="left" w:pos="1134"/>
        </w:tabs>
        <w:ind w:left="1134" w:hanging="567"/>
        <w:rPr>
          <w:rFonts w:cs="Arial"/>
          <w:iCs/>
          <w:szCs w:val="18"/>
        </w:rPr>
      </w:pPr>
    </w:p>
    <w:p w14:paraId="2695C13A" w14:textId="6F2F8209" w:rsidR="00C36D76" w:rsidRPr="009E064B" w:rsidRDefault="00C36D76" w:rsidP="000B7988">
      <w:pPr>
        <w:tabs>
          <w:tab w:val="left" w:pos="1134"/>
        </w:tabs>
        <w:ind w:left="1134"/>
        <w:rPr>
          <w:iCs/>
          <w:szCs w:val="18"/>
        </w:rPr>
      </w:pPr>
      <w:r w:rsidRPr="009E064B">
        <w:rPr>
          <w:iCs/>
          <w:position w:val="-24"/>
          <w:szCs w:val="18"/>
        </w:rPr>
        <w:object w:dxaOrig="1219" w:dyaOrig="660" w14:anchorId="3A74A3CB">
          <v:shape id="_x0000_i1027" type="#_x0000_t75" style="width:57.75pt;height:29.25pt" o:ole="">
            <v:imagedata r:id="rId261" o:title=""/>
          </v:shape>
          <o:OLEObject Type="Embed" ProgID="Equation.3" ShapeID="_x0000_i1027" DrawAspect="Content" ObjectID="_1623657794" r:id="rId266"/>
        </w:object>
      </w:r>
    </w:p>
    <w:p w14:paraId="5A22A1D7" w14:textId="77777777" w:rsidR="00C36D76" w:rsidRPr="009E064B" w:rsidRDefault="00C36D76" w:rsidP="00B06A9A">
      <w:pPr>
        <w:tabs>
          <w:tab w:val="left" w:pos="567"/>
        </w:tabs>
        <w:spacing w:after="0"/>
        <w:ind w:left="567" w:hanging="567"/>
        <w:rPr>
          <w:rFonts w:cs="Arial"/>
          <w:iCs/>
          <w:szCs w:val="18"/>
        </w:rPr>
      </w:pPr>
    </w:p>
    <w:p w14:paraId="7DA791CA"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3.5 stopnia.</w:t>
      </w:r>
    </w:p>
    <w:p w14:paraId="71EE2AB9"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Patrz uwagi wspólne dla Rysunków U-5 do U-15.</w:t>
      </w:r>
    </w:p>
    <w:p w14:paraId="58E9FE08" w14:textId="77777777" w:rsidR="00C36D76" w:rsidRPr="009E064B" w:rsidRDefault="00C36D76" w:rsidP="00B06A9A">
      <w:pPr>
        <w:spacing w:after="200"/>
        <w:jc w:val="left"/>
        <w:rPr>
          <w:szCs w:val="20"/>
        </w:rPr>
      </w:pPr>
      <w:r w:rsidRPr="009E064B">
        <w:rPr>
          <w:szCs w:val="20"/>
        </w:rPr>
        <w:br w:type="page"/>
      </w:r>
    </w:p>
    <w:p w14:paraId="23C35871" w14:textId="77777777" w:rsidR="00C36D76" w:rsidRPr="009E064B" w:rsidRDefault="00C36D76" w:rsidP="00B06A9A">
      <w:pPr>
        <w:rPr>
          <w:szCs w:val="20"/>
        </w:rPr>
      </w:pPr>
    </w:p>
    <w:p w14:paraId="1824B13C" w14:textId="77777777" w:rsidR="00C36D76" w:rsidRPr="009E064B" w:rsidRDefault="00C36D76" w:rsidP="00B06A9A">
      <w:pPr>
        <w:rPr>
          <w:szCs w:val="20"/>
        </w:rPr>
      </w:pPr>
      <w:r w:rsidRPr="009E064B">
        <w:rPr>
          <w:noProof/>
          <w:szCs w:val="20"/>
          <w:lang w:eastAsia="pl-PL"/>
        </w:rPr>
        <w:drawing>
          <wp:inline distT="0" distB="0" distL="0" distR="0" wp14:anchorId="27BC7F22" wp14:editId="056613C5">
            <wp:extent cx="5659755" cy="3514090"/>
            <wp:effectExtent l="19050" t="0" r="0" b="0"/>
            <wp:docPr id="1403" name="Obraz 45" descr="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descr="A2-4"/>
                    <pic:cNvPicPr>
                      <a:picLocks noChangeAspect="1" noChangeArrowheads="1"/>
                    </pic:cNvPicPr>
                  </pic:nvPicPr>
                  <pic:blipFill>
                    <a:blip r:embed="rId267" cstate="print"/>
                    <a:srcRect/>
                    <a:stretch>
                      <a:fillRect/>
                    </a:stretch>
                  </pic:blipFill>
                  <pic:spPr bwMode="auto">
                    <a:xfrm>
                      <a:off x="0" y="0"/>
                      <a:ext cx="5659755" cy="3514090"/>
                    </a:xfrm>
                    <a:prstGeom prst="rect">
                      <a:avLst/>
                    </a:prstGeom>
                    <a:noFill/>
                    <a:ln w="9525">
                      <a:noFill/>
                      <a:miter lim="800000"/>
                      <a:headEnd/>
                      <a:tailEnd/>
                    </a:ln>
                  </pic:spPr>
                </pic:pic>
              </a:graphicData>
            </a:graphic>
          </wp:inline>
        </w:drawing>
      </w:r>
    </w:p>
    <w:p w14:paraId="43B7E0BE" w14:textId="77777777" w:rsidR="00C36D76" w:rsidRPr="009E064B" w:rsidRDefault="00C36D76" w:rsidP="00B06A9A">
      <w:pPr>
        <w:jc w:val="center"/>
        <w:rPr>
          <w:rFonts w:cs="Arial"/>
          <w:iCs/>
          <w:szCs w:val="18"/>
        </w:rPr>
      </w:pPr>
    </w:p>
    <w:p w14:paraId="0035A5AE" w14:textId="77777777" w:rsidR="00C36D76" w:rsidRPr="00FE5FBD" w:rsidRDefault="00C36D76" w:rsidP="00FE5FBD">
      <w:pPr>
        <w:spacing w:before="240"/>
        <w:ind w:left="709" w:hanging="709"/>
        <w:jc w:val="center"/>
        <w:rPr>
          <w:b/>
          <w:sz w:val="20"/>
        </w:rPr>
      </w:pPr>
      <w:r w:rsidRPr="00FE5FBD">
        <w:rPr>
          <w:b/>
          <w:sz w:val="20"/>
        </w:rPr>
        <w:t xml:space="preserve">Rysunek U-8.   Wykres izokandeli dla świateł poprzeczki skrzydłowej progu </w:t>
      </w:r>
      <w:r w:rsidRPr="00FE5FBD">
        <w:rPr>
          <w:b/>
          <w:sz w:val="20"/>
        </w:rPr>
        <w:br/>
        <w:t xml:space="preserve">      (światło zielone)</w:t>
      </w:r>
    </w:p>
    <w:p w14:paraId="188558A4" w14:textId="77777777" w:rsidR="00C36D76" w:rsidRPr="009E064B" w:rsidRDefault="00C36D76" w:rsidP="00B06A9A">
      <w:pPr>
        <w:jc w:val="center"/>
        <w:rPr>
          <w:rFonts w:cs="Arial"/>
          <w:iCs/>
          <w:szCs w:val="18"/>
        </w:rPr>
      </w:pPr>
    </w:p>
    <w:p w14:paraId="4EA64C9E" w14:textId="77777777" w:rsidR="00C36D76" w:rsidRPr="009E064B" w:rsidRDefault="00C36D76" w:rsidP="00B06A9A">
      <w:pPr>
        <w:rPr>
          <w:rFonts w:cs="Arial"/>
          <w:iCs/>
          <w:szCs w:val="18"/>
        </w:rPr>
      </w:pPr>
      <w:r w:rsidRPr="009E064B">
        <w:rPr>
          <w:rFonts w:cs="Arial"/>
          <w:iCs/>
          <w:szCs w:val="18"/>
        </w:rPr>
        <w:t>Uwagi:</w:t>
      </w:r>
    </w:p>
    <w:p w14:paraId="0C0212B3" w14:textId="744A61B1" w:rsidR="000B7988"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0B7988" w:rsidRPr="009E064B">
        <w:rPr>
          <w:rFonts w:cs="Arial"/>
          <w:iCs/>
          <w:szCs w:val="18"/>
        </w:rPr>
        <w:t>:</w:t>
      </w:r>
    </w:p>
    <w:p w14:paraId="440F73CB" w14:textId="77777777" w:rsidR="000B7988" w:rsidRPr="009E064B" w:rsidRDefault="000B7988" w:rsidP="00B06A9A">
      <w:pPr>
        <w:tabs>
          <w:tab w:val="left" w:pos="567"/>
        </w:tabs>
        <w:ind w:left="567" w:hanging="567"/>
        <w:rPr>
          <w:rFonts w:cs="Arial"/>
          <w:iCs/>
          <w:szCs w:val="18"/>
        </w:rPr>
      </w:pPr>
    </w:p>
    <w:tbl>
      <w:tblPr>
        <w:tblpPr w:leftFromText="141" w:rightFromText="141" w:vertAnchor="text" w:horzAnchor="margin" w:tblpXSpec="center" w:tblpY="-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
        <w:gridCol w:w="746"/>
        <w:gridCol w:w="745"/>
        <w:gridCol w:w="746"/>
      </w:tblGrid>
      <w:tr w:rsidR="000B7988" w:rsidRPr="009E064B" w14:paraId="402554D5" w14:textId="77777777" w:rsidTr="000B7988">
        <w:trPr>
          <w:trHeight w:val="313"/>
        </w:trPr>
        <w:tc>
          <w:tcPr>
            <w:tcW w:w="745" w:type="dxa"/>
            <w:vAlign w:val="center"/>
          </w:tcPr>
          <w:p w14:paraId="7B262A43" w14:textId="77777777" w:rsidR="000B7988" w:rsidRPr="009E064B" w:rsidRDefault="000B7988" w:rsidP="000B7988">
            <w:pPr>
              <w:spacing w:before="60" w:after="60"/>
              <w:jc w:val="center"/>
              <w:rPr>
                <w:rFonts w:cs="Arial"/>
                <w:iCs/>
                <w:sz w:val="20"/>
                <w:szCs w:val="18"/>
              </w:rPr>
            </w:pPr>
            <w:r w:rsidRPr="009E064B">
              <w:rPr>
                <w:rFonts w:cs="Arial"/>
                <w:iCs/>
                <w:sz w:val="20"/>
                <w:szCs w:val="18"/>
              </w:rPr>
              <w:t>a</w:t>
            </w:r>
          </w:p>
        </w:tc>
        <w:tc>
          <w:tcPr>
            <w:tcW w:w="746" w:type="dxa"/>
            <w:vAlign w:val="center"/>
          </w:tcPr>
          <w:p w14:paraId="02304D25" w14:textId="77777777" w:rsidR="000B7988" w:rsidRPr="009E064B" w:rsidRDefault="000B7988" w:rsidP="000B7988">
            <w:pPr>
              <w:spacing w:before="60" w:after="60"/>
              <w:jc w:val="center"/>
              <w:rPr>
                <w:rFonts w:cs="Arial"/>
                <w:iCs/>
                <w:sz w:val="20"/>
                <w:szCs w:val="18"/>
              </w:rPr>
            </w:pPr>
            <w:r w:rsidRPr="009E064B">
              <w:rPr>
                <w:rFonts w:cs="Arial"/>
                <w:iCs/>
                <w:sz w:val="20"/>
                <w:szCs w:val="18"/>
              </w:rPr>
              <w:t>7.0</w:t>
            </w:r>
          </w:p>
        </w:tc>
        <w:tc>
          <w:tcPr>
            <w:tcW w:w="745" w:type="dxa"/>
            <w:vAlign w:val="center"/>
          </w:tcPr>
          <w:p w14:paraId="120C4136" w14:textId="77777777" w:rsidR="000B7988" w:rsidRPr="009E064B" w:rsidRDefault="000B7988" w:rsidP="000B7988">
            <w:pPr>
              <w:spacing w:before="60" w:after="60"/>
              <w:jc w:val="center"/>
              <w:rPr>
                <w:rFonts w:cs="Arial"/>
                <w:iCs/>
                <w:sz w:val="20"/>
                <w:szCs w:val="18"/>
              </w:rPr>
            </w:pPr>
            <w:r w:rsidRPr="009E064B">
              <w:rPr>
                <w:rFonts w:cs="Arial"/>
                <w:iCs/>
                <w:sz w:val="20"/>
                <w:szCs w:val="18"/>
              </w:rPr>
              <w:t>11.5</w:t>
            </w:r>
          </w:p>
        </w:tc>
        <w:tc>
          <w:tcPr>
            <w:tcW w:w="746" w:type="dxa"/>
            <w:vAlign w:val="center"/>
          </w:tcPr>
          <w:p w14:paraId="7B2E7401" w14:textId="77777777" w:rsidR="000B7988" w:rsidRPr="009E064B" w:rsidRDefault="000B7988" w:rsidP="000B7988">
            <w:pPr>
              <w:spacing w:before="60" w:after="60"/>
              <w:jc w:val="center"/>
              <w:rPr>
                <w:rFonts w:cs="Arial"/>
                <w:iCs/>
                <w:sz w:val="20"/>
                <w:szCs w:val="18"/>
              </w:rPr>
            </w:pPr>
            <w:r w:rsidRPr="009E064B">
              <w:rPr>
                <w:rFonts w:cs="Arial"/>
                <w:iCs/>
                <w:sz w:val="20"/>
                <w:szCs w:val="18"/>
              </w:rPr>
              <w:t>16.5</w:t>
            </w:r>
          </w:p>
        </w:tc>
      </w:tr>
      <w:tr w:rsidR="000B7988" w:rsidRPr="009E064B" w14:paraId="3D791B35" w14:textId="77777777" w:rsidTr="000B7988">
        <w:trPr>
          <w:trHeight w:val="314"/>
        </w:trPr>
        <w:tc>
          <w:tcPr>
            <w:tcW w:w="745" w:type="dxa"/>
            <w:vAlign w:val="center"/>
          </w:tcPr>
          <w:p w14:paraId="73343CA1" w14:textId="77777777" w:rsidR="000B7988" w:rsidRPr="009E064B" w:rsidRDefault="000B7988" w:rsidP="000B7988">
            <w:pPr>
              <w:spacing w:before="60" w:after="60"/>
              <w:jc w:val="center"/>
              <w:rPr>
                <w:rFonts w:cs="Arial"/>
                <w:iCs/>
                <w:sz w:val="20"/>
                <w:szCs w:val="18"/>
              </w:rPr>
            </w:pPr>
            <w:r w:rsidRPr="009E064B">
              <w:rPr>
                <w:rFonts w:cs="Arial"/>
                <w:iCs/>
                <w:sz w:val="20"/>
                <w:szCs w:val="18"/>
              </w:rPr>
              <w:t>b</w:t>
            </w:r>
          </w:p>
        </w:tc>
        <w:tc>
          <w:tcPr>
            <w:tcW w:w="746" w:type="dxa"/>
            <w:vAlign w:val="center"/>
          </w:tcPr>
          <w:p w14:paraId="3606D0BE" w14:textId="77777777" w:rsidR="000B7988" w:rsidRPr="009E064B" w:rsidRDefault="000B7988" w:rsidP="000B7988">
            <w:pPr>
              <w:spacing w:before="60" w:after="60"/>
              <w:jc w:val="center"/>
              <w:rPr>
                <w:rFonts w:cs="Arial"/>
                <w:iCs/>
                <w:sz w:val="20"/>
                <w:szCs w:val="18"/>
              </w:rPr>
            </w:pPr>
            <w:r w:rsidRPr="009E064B">
              <w:rPr>
                <w:rFonts w:cs="Arial"/>
                <w:iCs/>
                <w:sz w:val="20"/>
                <w:szCs w:val="18"/>
              </w:rPr>
              <w:t>5.0</w:t>
            </w:r>
          </w:p>
        </w:tc>
        <w:tc>
          <w:tcPr>
            <w:tcW w:w="745" w:type="dxa"/>
            <w:vAlign w:val="center"/>
          </w:tcPr>
          <w:p w14:paraId="3E82E45D" w14:textId="77777777" w:rsidR="000B7988" w:rsidRPr="009E064B" w:rsidRDefault="000B7988" w:rsidP="000B7988">
            <w:pPr>
              <w:spacing w:before="60" w:after="60"/>
              <w:jc w:val="center"/>
              <w:rPr>
                <w:rFonts w:cs="Arial"/>
                <w:iCs/>
                <w:sz w:val="20"/>
                <w:szCs w:val="18"/>
              </w:rPr>
            </w:pPr>
            <w:r w:rsidRPr="009E064B">
              <w:rPr>
                <w:rFonts w:cs="Arial"/>
                <w:iCs/>
                <w:sz w:val="20"/>
                <w:szCs w:val="18"/>
              </w:rPr>
              <w:t>6.0</w:t>
            </w:r>
          </w:p>
        </w:tc>
        <w:tc>
          <w:tcPr>
            <w:tcW w:w="746" w:type="dxa"/>
            <w:vAlign w:val="center"/>
          </w:tcPr>
          <w:p w14:paraId="3E7F875F" w14:textId="77777777" w:rsidR="000B7988" w:rsidRPr="009E064B" w:rsidRDefault="000B7988" w:rsidP="000B7988">
            <w:pPr>
              <w:spacing w:before="60" w:after="60"/>
              <w:jc w:val="center"/>
              <w:rPr>
                <w:rFonts w:cs="Arial"/>
                <w:iCs/>
                <w:sz w:val="20"/>
                <w:szCs w:val="18"/>
              </w:rPr>
            </w:pPr>
            <w:r w:rsidRPr="009E064B">
              <w:rPr>
                <w:rFonts w:cs="Arial"/>
                <w:iCs/>
                <w:sz w:val="20"/>
                <w:szCs w:val="18"/>
              </w:rPr>
              <w:t>8.0</w:t>
            </w:r>
          </w:p>
        </w:tc>
      </w:tr>
    </w:tbl>
    <w:p w14:paraId="581BCBCF" w14:textId="6C6043A1" w:rsidR="00C36D76" w:rsidRPr="009E064B" w:rsidRDefault="00C36D76" w:rsidP="000B7988">
      <w:pPr>
        <w:tabs>
          <w:tab w:val="left" w:pos="1134"/>
        </w:tabs>
        <w:ind w:left="1134"/>
        <w:rPr>
          <w:rFonts w:cs="Arial"/>
          <w:iCs/>
          <w:szCs w:val="18"/>
        </w:rPr>
      </w:pPr>
      <w:r w:rsidRPr="009E064B">
        <w:rPr>
          <w:rFonts w:cs="Arial"/>
          <w:iCs/>
          <w:position w:val="-24"/>
          <w:szCs w:val="18"/>
        </w:rPr>
        <w:object w:dxaOrig="1219" w:dyaOrig="660" w14:anchorId="38112CEE">
          <v:shape id="_x0000_i1028" type="#_x0000_t75" style="width:57.75pt;height:29.25pt" o:ole="">
            <v:imagedata r:id="rId261" o:title=""/>
          </v:shape>
          <o:OLEObject Type="Embed" ProgID="Equation.3" ShapeID="_x0000_i1028" DrawAspect="Content" ObjectID="_1623657795" r:id="rId268"/>
        </w:object>
      </w:r>
    </w:p>
    <w:p w14:paraId="3D66AC80" w14:textId="77777777" w:rsidR="00C36D76" w:rsidRPr="009E064B" w:rsidRDefault="00C36D76" w:rsidP="00B06A9A">
      <w:pPr>
        <w:spacing w:after="0"/>
        <w:rPr>
          <w:rFonts w:cs="Arial"/>
          <w:iCs/>
          <w:szCs w:val="18"/>
        </w:rPr>
      </w:pPr>
    </w:p>
    <w:p w14:paraId="26F47E59"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2 stopnie.</w:t>
      </w:r>
    </w:p>
    <w:p w14:paraId="6B6C98ED"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Patrz uwagi wspólne dla Rysunków U-5 do U-15.</w:t>
      </w:r>
    </w:p>
    <w:p w14:paraId="4033B914" w14:textId="77777777" w:rsidR="00C36D76" w:rsidRPr="009E064B" w:rsidRDefault="00C36D76" w:rsidP="00B06A9A">
      <w:pPr>
        <w:spacing w:after="0"/>
        <w:rPr>
          <w:rFonts w:cs="Arial"/>
          <w:iCs/>
          <w:szCs w:val="18"/>
        </w:rPr>
      </w:pPr>
    </w:p>
    <w:p w14:paraId="1B500D35" w14:textId="77777777" w:rsidR="00C36D76" w:rsidRPr="009E064B" w:rsidRDefault="00C36D76" w:rsidP="00B06A9A">
      <w:pPr>
        <w:spacing w:after="200"/>
        <w:jc w:val="center"/>
        <w:rPr>
          <w:szCs w:val="20"/>
        </w:rPr>
      </w:pPr>
      <w:r w:rsidRPr="009E064B">
        <w:rPr>
          <w:szCs w:val="20"/>
        </w:rPr>
        <w:br w:type="page"/>
      </w:r>
    </w:p>
    <w:p w14:paraId="69177508" w14:textId="77777777" w:rsidR="00C36D76" w:rsidRPr="009E064B" w:rsidRDefault="00C36D76" w:rsidP="00B06A9A">
      <w:pPr>
        <w:rPr>
          <w:szCs w:val="20"/>
        </w:rPr>
      </w:pPr>
    </w:p>
    <w:p w14:paraId="43F19863" w14:textId="77777777" w:rsidR="00C36D76" w:rsidRPr="009E064B" w:rsidRDefault="00C36D76" w:rsidP="00B06A9A">
      <w:pPr>
        <w:rPr>
          <w:szCs w:val="20"/>
        </w:rPr>
      </w:pPr>
      <w:r w:rsidRPr="009E064B">
        <w:rPr>
          <w:noProof/>
          <w:szCs w:val="20"/>
          <w:lang w:eastAsia="pl-PL"/>
        </w:rPr>
        <w:drawing>
          <wp:inline distT="0" distB="0" distL="0" distR="0" wp14:anchorId="05F5816E" wp14:editId="3672F9B5">
            <wp:extent cx="5719445" cy="3705225"/>
            <wp:effectExtent l="19050" t="0" r="0" b="0"/>
            <wp:docPr id="1404" name="Obraz 1404" descr="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2-5"/>
                    <pic:cNvPicPr>
                      <a:picLocks noChangeAspect="1" noChangeArrowheads="1"/>
                    </pic:cNvPicPr>
                  </pic:nvPicPr>
                  <pic:blipFill>
                    <a:blip r:embed="rId269" cstate="print"/>
                    <a:srcRect/>
                    <a:stretch>
                      <a:fillRect/>
                    </a:stretch>
                  </pic:blipFill>
                  <pic:spPr bwMode="auto">
                    <a:xfrm>
                      <a:off x="0" y="0"/>
                      <a:ext cx="5719445" cy="3705225"/>
                    </a:xfrm>
                    <a:prstGeom prst="rect">
                      <a:avLst/>
                    </a:prstGeom>
                    <a:noFill/>
                    <a:ln w="9525">
                      <a:noFill/>
                      <a:miter lim="800000"/>
                      <a:headEnd/>
                      <a:tailEnd/>
                    </a:ln>
                  </pic:spPr>
                </pic:pic>
              </a:graphicData>
            </a:graphic>
          </wp:inline>
        </w:drawing>
      </w:r>
    </w:p>
    <w:p w14:paraId="266FD7B2" w14:textId="77777777" w:rsidR="00C36D76" w:rsidRPr="009E064B" w:rsidRDefault="00C36D76" w:rsidP="00B06A9A">
      <w:pPr>
        <w:jc w:val="center"/>
        <w:rPr>
          <w:szCs w:val="18"/>
        </w:rPr>
      </w:pPr>
    </w:p>
    <w:p w14:paraId="2BB29750" w14:textId="77777777" w:rsidR="00C36D76" w:rsidRPr="00FE5FBD" w:rsidRDefault="00C36D76" w:rsidP="00FE5FBD">
      <w:pPr>
        <w:spacing w:before="240"/>
        <w:ind w:left="709" w:hanging="709"/>
        <w:jc w:val="center"/>
        <w:rPr>
          <w:b/>
          <w:sz w:val="20"/>
        </w:rPr>
      </w:pPr>
      <w:r w:rsidRPr="00FE5FBD">
        <w:rPr>
          <w:b/>
          <w:sz w:val="20"/>
        </w:rPr>
        <w:t>Rysunek U-9.  Wykres izokandeli dla świateł strefy przyziemienia (światło białe)</w:t>
      </w:r>
    </w:p>
    <w:p w14:paraId="75285707" w14:textId="77777777" w:rsidR="00C36D76" w:rsidRPr="009E064B" w:rsidRDefault="00C36D76" w:rsidP="00B06A9A">
      <w:pPr>
        <w:rPr>
          <w:iCs/>
        </w:rPr>
      </w:pPr>
    </w:p>
    <w:p w14:paraId="2F5585C7" w14:textId="49D16D00" w:rsidR="00C36D76" w:rsidRPr="009E064B" w:rsidRDefault="000B7988" w:rsidP="00B06A9A">
      <w:pPr>
        <w:rPr>
          <w:rFonts w:cs="Arial"/>
          <w:iCs/>
          <w:szCs w:val="18"/>
        </w:rPr>
      </w:pPr>
      <w:r w:rsidRPr="009E064B">
        <w:rPr>
          <w:rFonts w:cs="Arial"/>
          <w:iCs/>
          <w:szCs w:val="18"/>
        </w:rPr>
        <w:t>Uwagi:</w:t>
      </w:r>
    </w:p>
    <w:p w14:paraId="4C4D167C" w14:textId="77777777" w:rsidR="000B7988"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0B7988" w:rsidRPr="009E064B">
        <w:rPr>
          <w:rFonts w:cs="Arial"/>
          <w:iCs/>
          <w:szCs w:val="18"/>
        </w:rPr>
        <w:t>:</w:t>
      </w:r>
    </w:p>
    <w:p w14:paraId="135FA9CA" w14:textId="77777777" w:rsidR="000B7988" w:rsidRPr="009E064B" w:rsidRDefault="000B7988" w:rsidP="00B06A9A">
      <w:pPr>
        <w:tabs>
          <w:tab w:val="left" w:pos="567"/>
        </w:tabs>
        <w:ind w:left="567" w:hanging="567"/>
        <w:rPr>
          <w:rFonts w:cs="Arial"/>
          <w:iCs/>
          <w:szCs w:val="18"/>
        </w:rPr>
      </w:pPr>
    </w:p>
    <w:tbl>
      <w:tblPr>
        <w:tblpPr w:leftFromText="141" w:rightFromText="141" w:vertAnchor="text" w:horzAnchor="margin" w:tblpXSpec="center"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743"/>
        <w:gridCol w:w="743"/>
        <w:gridCol w:w="743"/>
      </w:tblGrid>
      <w:tr w:rsidR="000B7988" w:rsidRPr="009E064B" w14:paraId="0B0A1700" w14:textId="77777777" w:rsidTr="000B7988">
        <w:trPr>
          <w:trHeight w:val="313"/>
        </w:trPr>
        <w:tc>
          <w:tcPr>
            <w:tcW w:w="743" w:type="dxa"/>
            <w:vAlign w:val="center"/>
          </w:tcPr>
          <w:p w14:paraId="261F979F" w14:textId="77777777" w:rsidR="000B7988" w:rsidRPr="009E064B" w:rsidRDefault="000B7988" w:rsidP="000B7988">
            <w:pPr>
              <w:spacing w:before="60" w:after="60"/>
              <w:jc w:val="center"/>
              <w:rPr>
                <w:rFonts w:cs="Arial"/>
                <w:iCs/>
                <w:sz w:val="20"/>
                <w:szCs w:val="18"/>
              </w:rPr>
            </w:pPr>
            <w:r w:rsidRPr="009E064B">
              <w:rPr>
                <w:rFonts w:cs="Arial"/>
                <w:iCs/>
                <w:sz w:val="20"/>
                <w:szCs w:val="18"/>
              </w:rPr>
              <w:t>a</w:t>
            </w:r>
          </w:p>
        </w:tc>
        <w:tc>
          <w:tcPr>
            <w:tcW w:w="743" w:type="dxa"/>
            <w:vAlign w:val="center"/>
          </w:tcPr>
          <w:p w14:paraId="250882D5" w14:textId="77777777" w:rsidR="000B7988" w:rsidRPr="009E064B" w:rsidRDefault="000B7988" w:rsidP="000B7988">
            <w:pPr>
              <w:spacing w:before="60" w:after="60"/>
              <w:jc w:val="center"/>
              <w:rPr>
                <w:rFonts w:cs="Arial"/>
                <w:iCs/>
                <w:sz w:val="20"/>
                <w:szCs w:val="18"/>
              </w:rPr>
            </w:pPr>
            <w:r w:rsidRPr="009E064B">
              <w:rPr>
                <w:rFonts w:cs="Arial"/>
                <w:iCs/>
                <w:sz w:val="20"/>
                <w:szCs w:val="18"/>
              </w:rPr>
              <w:t>5.0</w:t>
            </w:r>
          </w:p>
        </w:tc>
        <w:tc>
          <w:tcPr>
            <w:tcW w:w="743" w:type="dxa"/>
            <w:vAlign w:val="center"/>
          </w:tcPr>
          <w:p w14:paraId="528FF793" w14:textId="77777777" w:rsidR="000B7988" w:rsidRPr="009E064B" w:rsidRDefault="000B7988" w:rsidP="000B7988">
            <w:pPr>
              <w:spacing w:before="60" w:after="60"/>
              <w:jc w:val="center"/>
              <w:rPr>
                <w:rFonts w:cs="Arial"/>
                <w:iCs/>
                <w:sz w:val="20"/>
                <w:szCs w:val="18"/>
              </w:rPr>
            </w:pPr>
            <w:r w:rsidRPr="009E064B">
              <w:rPr>
                <w:rFonts w:cs="Arial"/>
                <w:iCs/>
                <w:sz w:val="20"/>
                <w:szCs w:val="18"/>
              </w:rPr>
              <w:t>7.0</w:t>
            </w:r>
          </w:p>
        </w:tc>
        <w:tc>
          <w:tcPr>
            <w:tcW w:w="743" w:type="dxa"/>
            <w:vAlign w:val="center"/>
          </w:tcPr>
          <w:p w14:paraId="7819A634" w14:textId="77777777" w:rsidR="000B7988" w:rsidRPr="009E064B" w:rsidRDefault="000B7988" w:rsidP="000B7988">
            <w:pPr>
              <w:spacing w:before="60" w:after="60"/>
              <w:jc w:val="center"/>
              <w:rPr>
                <w:rFonts w:cs="Arial"/>
                <w:iCs/>
                <w:sz w:val="20"/>
                <w:szCs w:val="18"/>
              </w:rPr>
            </w:pPr>
            <w:r w:rsidRPr="009E064B">
              <w:rPr>
                <w:rFonts w:cs="Arial"/>
                <w:iCs/>
                <w:sz w:val="20"/>
                <w:szCs w:val="18"/>
              </w:rPr>
              <w:t>8.5</w:t>
            </w:r>
          </w:p>
        </w:tc>
      </w:tr>
      <w:tr w:rsidR="000B7988" w:rsidRPr="009E064B" w14:paraId="41E45636" w14:textId="77777777" w:rsidTr="000B7988">
        <w:trPr>
          <w:trHeight w:val="314"/>
        </w:trPr>
        <w:tc>
          <w:tcPr>
            <w:tcW w:w="743" w:type="dxa"/>
            <w:vAlign w:val="center"/>
          </w:tcPr>
          <w:p w14:paraId="1D210317" w14:textId="77777777" w:rsidR="000B7988" w:rsidRPr="009E064B" w:rsidRDefault="000B7988" w:rsidP="000B7988">
            <w:pPr>
              <w:spacing w:before="60" w:after="60"/>
              <w:jc w:val="center"/>
              <w:rPr>
                <w:rFonts w:cs="Arial"/>
                <w:iCs/>
                <w:sz w:val="20"/>
                <w:szCs w:val="18"/>
              </w:rPr>
            </w:pPr>
            <w:r w:rsidRPr="009E064B">
              <w:rPr>
                <w:rFonts w:cs="Arial"/>
                <w:iCs/>
                <w:sz w:val="20"/>
                <w:szCs w:val="18"/>
              </w:rPr>
              <w:t>b</w:t>
            </w:r>
          </w:p>
        </w:tc>
        <w:tc>
          <w:tcPr>
            <w:tcW w:w="743" w:type="dxa"/>
            <w:vAlign w:val="center"/>
          </w:tcPr>
          <w:p w14:paraId="168043A7" w14:textId="77777777" w:rsidR="000B7988" w:rsidRPr="009E064B" w:rsidRDefault="000B7988" w:rsidP="000B7988">
            <w:pPr>
              <w:spacing w:before="60" w:after="60"/>
              <w:jc w:val="center"/>
              <w:rPr>
                <w:rFonts w:cs="Arial"/>
                <w:iCs/>
                <w:sz w:val="20"/>
                <w:szCs w:val="18"/>
              </w:rPr>
            </w:pPr>
            <w:r w:rsidRPr="009E064B">
              <w:rPr>
                <w:rFonts w:cs="Arial"/>
                <w:iCs/>
                <w:sz w:val="20"/>
                <w:szCs w:val="18"/>
              </w:rPr>
              <w:t>3.5</w:t>
            </w:r>
          </w:p>
        </w:tc>
        <w:tc>
          <w:tcPr>
            <w:tcW w:w="743" w:type="dxa"/>
            <w:vAlign w:val="center"/>
          </w:tcPr>
          <w:p w14:paraId="51B01D48" w14:textId="77777777" w:rsidR="000B7988" w:rsidRPr="009E064B" w:rsidRDefault="000B7988" w:rsidP="000B7988">
            <w:pPr>
              <w:spacing w:before="60" w:after="60"/>
              <w:jc w:val="center"/>
              <w:rPr>
                <w:rFonts w:cs="Arial"/>
                <w:iCs/>
                <w:sz w:val="20"/>
                <w:szCs w:val="18"/>
              </w:rPr>
            </w:pPr>
            <w:r w:rsidRPr="009E064B">
              <w:rPr>
                <w:rFonts w:cs="Arial"/>
                <w:iCs/>
                <w:sz w:val="20"/>
                <w:szCs w:val="18"/>
              </w:rPr>
              <w:t>6.0</w:t>
            </w:r>
          </w:p>
        </w:tc>
        <w:tc>
          <w:tcPr>
            <w:tcW w:w="743" w:type="dxa"/>
            <w:vAlign w:val="center"/>
          </w:tcPr>
          <w:p w14:paraId="6C603529" w14:textId="77777777" w:rsidR="000B7988" w:rsidRPr="009E064B" w:rsidRDefault="000B7988" w:rsidP="000B7988">
            <w:pPr>
              <w:spacing w:before="60" w:after="60"/>
              <w:jc w:val="center"/>
              <w:rPr>
                <w:rFonts w:cs="Arial"/>
                <w:iCs/>
                <w:sz w:val="20"/>
                <w:szCs w:val="18"/>
              </w:rPr>
            </w:pPr>
            <w:r w:rsidRPr="009E064B">
              <w:rPr>
                <w:rFonts w:cs="Arial"/>
                <w:iCs/>
                <w:sz w:val="20"/>
                <w:szCs w:val="18"/>
              </w:rPr>
              <w:t>8.5</w:t>
            </w:r>
          </w:p>
        </w:tc>
      </w:tr>
    </w:tbl>
    <w:p w14:paraId="195485D4" w14:textId="6B8F7FBC" w:rsidR="00C36D76" w:rsidRPr="009E064B" w:rsidRDefault="00C36D76" w:rsidP="000B7988">
      <w:pPr>
        <w:tabs>
          <w:tab w:val="left" w:pos="1134"/>
        </w:tabs>
        <w:ind w:left="1134"/>
        <w:rPr>
          <w:rFonts w:cs="Arial"/>
          <w:iCs/>
          <w:szCs w:val="18"/>
        </w:rPr>
      </w:pPr>
      <w:r w:rsidRPr="009E064B">
        <w:rPr>
          <w:rFonts w:cs="Arial"/>
          <w:iCs/>
          <w:position w:val="-24"/>
          <w:szCs w:val="18"/>
        </w:rPr>
        <w:object w:dxaOrig="1219" w:dyaOrig="660" w14:anchorId="73E256B0">
          <v:shape id="_x0000_i1029" type="#_x0000_t75" style="width:57.75pt;height:29.25pt" o:ole="">
            <v:imagedata r:id="rId261" o:title=""/>
          </v:shape>
          <o:OLEObject Type="Embed" ProgID="Equation.3" ShapeID="_x0000_i1029" DrawAspect="Content" ObjectID="_1623657796" r:id="rId270"/>
        </w:object>
      </w:r>
      <w:r w:rsidR="000B7988" w:rsidRPr="009E064B">
        <w:rPr>
          <w:rFonts w:cs="Arial"/>
          <w:iCs/>
          <w:szCs w:val="18"/>
        </w:rPr>
        <w:t xml:space="preserve">  </w:t>
      </w:r>
    </w:p>
    <w:p w14:paraId="5A9EC9CA" w14:textId="77777777" w:rsidR="00C36D76" w:rsidRPr="009E064B" w:rsidRDefault="00C36D76" w:rsidP="00B06A9A">
      <w:pPr>
        <w:spacing w:after="0"/>
        <w:rPr>
          <w:rFonts w:cs="Arial"/>
          <w:iCs/>
          <w:szCs w:val="18"/>
        </w:rPr>
      </w:pPr>
    </w:p>
    <w:p w14:paraId="18B037EE"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4 stopnie.</w:t>
      </w:r>
    </w:p>
    <w:p w14:paraId="30BCDBE0"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Patrz uwagi wspólne dla Rysunków U-5 do U-15.</w:t>
      </w:r>
    </w:p>
    <w:p w14:paraId="584BDE0A" w14:textId="77777777" w:rsidR="00C36D76" w:rsidRPr="009E064B" w:rsidRDefault="00C36D76" w:rsidP="00B06A9A">
      <w:pPr>
        <w:spacing w:after="200"/>
        <w:jc w:val="left"/>
        <w:rPr>
          <w:szCs w:val="20"/>
        </w:rPr>
      </w:pPr>
      <w:r w:rsidRPr="009E064B">
        <w:rPr>
          <w:szCs w:val="20"/>
        </w:rPr>
        <w:br w:type="page"/>
      </w:r>
    </w:p>
    <w:p w14:paraId="71921247" w14:textId="77777777" w:rsidR="00C36D76" w:rsidRPr="009E064B" w:rsidRDefault="00C36D76" w:rsidP="00B06A9A">
      <w:pPr>
        <w:rPr>
          <w:szCs w:val="20"/>
        </w:rPr>
      </w:pPr>
    </w:p>
    <w:p w14:paraId="0BD4162C" w14:textId="77777777" w:rsidR="00C36D76" w:rsidRPr="009E064B" w:rsidRDefault="00C36D76" w:rsidP="00B06A9A">
      <w:pPr>
        <w:spacing w:after="0"/>
        <w:rPr>
          <w:szCs w:val="20"/>
        </w:rPr>
      </w:pPr>
      <w:r w:rsidRPr="009E064B">
        <w:rPr>
          <w:noProof/>
          <w:szCs w:val="20"/>
          <w:lang w:eastAsia="pl-PL"/>
        </w:rPr>
        <w:drawing>
          <wp:inline distT="0" distB="0" distL="0" distR="0" wp14:anchorId="4D249825" wp14:editId="0FEDA72D">
            <wp:extent cx="5665470" cy="3657600"/>
            <wp:effectExtent l="19050" t="0" r="0" b="0"/>
            <wp:docPr id="1405" name="Obraz 1405" descr="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2-6"/>
                    <pic:cNvPicPr>
                      <a:picLocks noChangeAspect="1" noChangeArrowheads="1"/>
                    </pic:cNvPicPr>
                  </pic:nvPicPr>
                  <pic:blipFill>
                    <a:blip r:embed="rId271" cstate="print"/>
                    <a:srcRect/>
                    <a:stretch>
                      <a:fillRect/>
                    </a:stretch>
                  </pic:blipFill>
                  <pic:spPr bwMode="auto">
                    <a:xfrm>
                      <a:off x="0" y="0"/>
                      <a:ext cx="5665470" cy="3657600"/>
                    </a:xfrm>
                    <a:prstGeom prst="rect">
                      <a:avLst/>
                    </a:prstGeom>
                    <a:noFill/>
                    <a:ln w="9525">
                      <a:noFill/>
                      <a:miter lim="800000"/>
                      <a:headEnd/>
                      <a:tailEnd/>
                    </a:ln>
                  </pic:spPr>
                </pic:pic>
              </a:graphicData>
            </a:graphic>
          </wp:inline>
        </w:drawing>
      </w:r>
    </w:p>
    <w:p w14:paraId="62634A82" w14:textId="77777777" w:rsidR="00C36D76" w:rsidRPr="009E064B" w:rsidRDefault="00C36D76" w:rsidP="00B06A9A">
      <w:pPr>
        <w:spacing w:after="0"/>
        <w:rPr>
          <w:szCs w:val="18"/>
        </w:rPr>
      </w:pPr>
    </w:p>
    <w:p w14:paraId="162E43BB" w14:textId="77777777" w:rsidR="00C36D76" w:rsidRPr="00FE5FBD" w:rsidRDefault="00C36D76" w:rsidP="00B06A9A">
      <w:pPr>
        <w:tabs>
          <w:tab w:val="left" w:pos="2127"/>
          <w:tab w:val="left" w:pos="8647"/>
        </w:tabs>
        <w:ind w:left="2127" w:right="426" w:hanging="1560"/>
        <w:rPr>
          <w:b/>
          <w:sz w:val="20"/>
        </w:rPr>
      </w:pPr>
      <w:r w:rsidRPr="00FE5FBD">
        <w:rPr>
          <w:b/>
          <w:sz w:val="20"/>
        </w:rPr>
        <w:t xml:space="preserve">Rysunek U-10. </w:t>
      </w:r>
      <w:r w:rsidRPr="00FE5FBD">
        <w:rPr>
          <w:b/>
          <w:sz w:val="20"/>
        </w:rPr>
        <w:tab/>
        <w:t>Wykres izokandeli dla świateł linii środkowej drogi startowej o odstępie podłużnym 30 m (światło białe) oraz świateł wskazania drogi kołowania szybkiego zjazdu (światło żółte)</w:t>
      </w:r>
    </w:p>
    <w:p w14:paraId="07E922FF" w14:textId="77777777" w:rsidR="00C36D76" w:rsidRPr="009E064B" w:rsidRDefault="00C36D76" w:rsidP="00B06A9A">
      <w:pPr>
        <w:rPr>
          <w:szCs w:val="18"/>
        </w:rPr>
      </w:pPr>
    </w:p>
    <w:p w14:paraId="717806C0" w14:textId="777FA825" w:rsidR="000B7988" w:rsidRPr="009E064B" w:rsidRDefault="00C36D76" w:rsidP="00B06A9A">
      <w:pPr>
        <w:rPr>
          <w:rFonts w:cs="Arial"/>
          <w:iCs/>
          <w:szCs w:val="18"/>
        </w:rPr>
      </w:pPr>
      <w:r w:rsidRPr="009E064B">
        <w:rPr>
          <w:rFonts w:cs="Arial"/>
          <w:iCs/>
          <w:szCs w:val="18"/>
        </w:rPr>
        <w:t>Uwagi</w:t>
      </w:r>
      <w:r w:rsidR="000B7988" w:rsidRPr="009E064B">
        <w:rPr>
          <w:rFonts w:cs="Arial"/>
          <w:iCs/>
          <w:szCs w:val="18"/>
        </w:rPr>
        <w:t>:</w:t>
      </w:r>
    </w:p>
    <w:p w14:paraId="276C054E" w14:textId="23101893" w:rsidR="000B7988"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0B7988" w:rsidRPr="009E064B">
        <w:rPr>
          <w:rFonts w:cs="Arial"/>
          <w:iCs/>
          <w:szCs w:val="18"/>
        </w:rPr>
        <w:t>:</w:t>
      </w:r>
    </w:p>
    <w:tbl>
      <w:tblPr>
        <w:tblpPr w:leftFromText="141" w:rightFromText="141" w:vertAnchor="text" w:horzAnchor="margin" w:tblpXSpec="center" w:tblpY="3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672"/>
        <w:gridCol w:w="672"/>
        <w:gridCol w:w="673"/>
      </w:tblGrid>
      <w:tr w:rsidR="00D66FD5" w:rsidRPr="009E064B" w14:paraId="63876191" w14:textId="77777777" w:rsidTr="00D66FD5">
        <w:trPr>
          <w:trHeight w:val="313"/>
        </w:trPr>
        <w:tc>
          <w:tcPr>
            <w:tcW w:w="672" w:type="dxa"/>
            <w:vAlign w:val="center"/>
          </w:tcPr>
          <w:p w14:paraId="0588C556" w14:textId="77777777" w:rsidR="00D66FD5" w:rsidRPr="009E064B" w:rsidRDefault="00D66FD5" w:rsidP="00D66FD5">
            <w:pPr>
              <w:spacing w:before="60" w:after="60"/>
              <w:jc w:val="center"/>
              <w:rPr>
                <w:rFonts w:cs="Arial"/>
                <w:iCs/>
                <w:sz w:val="20"/>
                <w:szCs w:val="18"/>
              </w:rPr>
            </w:pPr>
            <w:r w:rsidRPr="009E064B">
              <w:rPr>
                <w:rFonts w:cs="Arial"/>
                <w:iCs/>
                <w:sz w:val="20"/>
                <w:szCs w:val="18"/>
              </w:rPr>
              <w:t>a</w:t>
            </w:r>
          </w:p>
        </w:tc>
        <w:tc>
          <w:tcPr>
            <w:tcW w:w="672" w:type="dxa"/>
            <w:vAlign w:val="center"/>
          </w:tcPr>
          <w:p w14:paraId="6B073368" w14:textId="77777777" w:rsidR="00D66FD5" w:rsidRPr="009E064B" w:rsidRDefault="00D66FD5" w:rsidP="00D66FD5">
            <w:pPr>
              <w:spacing w:before="60" w:after="60"/>
              <w:jc w:val="center"/>
              <w:rPr>
                <w:rFonts w:cs="Arial"/>
                <w:iCs/>
                <w:sz w:val="20"/>
                <w:szCs w:val="18"/>
              </w:rPr>
            </w:pPr>
            <w:r w:rsidRPr="009E064B">
              <w:rPr>
                <w:rFonts w:cs="Arial"/>
                <w:iCs/>
                <w:sz w:val="20"/>
                <w:szCs w:val="18"/>
              </w:rPr>
              <w:t>5.0</w:t>
            </w:r>
          </w:p>
        </w:tc>
        <w:tc>
          <w:tcPr>
            <w:tcW w:w="672" w:type="dxa"/>
            <w:vAlign w:val="center"/>
          </w:tcPr>
          <w:p w14:paraId="0E4BFB58" w14:textId="77777777" w:rsidR="00D66FD5" w:rsidRPr="009E064B" w:rsidRDefault="00D66FD5" w:rsidP="00D66FD5">
            <w:pPr>
              <w:spacing w:before="60" w:after="60"/>
              <w:jc w:val="center"/>
              <w:rPr>
                <w:rFonts w:cs="Arial"/>
                <w:iCs/>
                <w:sz w:val="20"/>
                <w:szCs w:val="18"/>
              </w:rPr>
            </w:pPr>
            <w:r w:rsidRPr="009E064B">
              <w:rPr>
                <w:rFonts w:cs="Arial"/>
                <w:iCs/>
                <w:sz w:val="20"/>
                <w:szCs w:val="18"/>
              </w:rPr>
              <w:t>7.0</w:t>
            </w:r>
          </w:p>
        </w:tc>
        <w:tc>
          <w:tcPr>
            <w:tcW w:w="673" w:type="dxa"/>
            <w:vAlign w:val="center"/>
          </w:tcPr>
          <w:p w14:paraId="13F61B70"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r>
      <w:tr w:rsidR="00D66FD5" w:rsidRPr="009E064B" w14:paraId="2CCB87EA" w14:textId="77777777" w:rsidTr="00D66FD5">
        <w:trPr>
          <w:trHeight w:val="314"/>
        </w:trPr>
        <w:tc>
          <w:tcPr>
            <w:tcW w:w="672" w:type="dxa"/>
            <w:vAlign w:val="center"/>
          </w:tcPr>
          <w:p w14:paraId="5BB6D543" w14:textId="77777777" w:rsidR="00D66FD5" w:rsidRPr="009E064B" w:rsidRDefault="00D66FD5" w:rsidP="00D66FD5">
            <w:pPr>
              <w:spacing w:before="60" w:after="60"/>
              <w:jc w:val="center"/>
              <w:rPr>
                <w:rFonts w:cs="Arial"/>
                <w:iCs/>
                <w:sz w:val="20"/>
                <w:szCs w:val="18"/>
              </w:rPr>
            </w:pPr>
            <w:r w:rsidRPr="009E064B">
              <w:rPr>
                <w:rFonts w:cs="Arial"/>
                <w:iCs/>
                <w:sz w:val="20"/>
                <w:szCs w:val="18"/>
              </w:rPr>
              <w:t>b</w:t>
            </w:r>
          </w:p>
        </w:tc>
        <w:tc>
          <w:tcPr>
            <w:tcW w:w="672" w:type="dxa"/>
            <w:vAlign w:val="center"/>
          </w:tcPr>
          <w:p w14:paraId="10204029" w14:textId="77777777" w:rsidR="00D66FD5" w:rsidRPr="009E064B" w:rsidRDefault="00D66FD5" w:rsidP="00D66FD5">
            <w:pPr>
              <w:spacing w:before="60" w:after="60"/>
              <w:jc w:val="center"/>
              <w:rPr>
                <w:rFonts w:cs="Arial"/>
                <w:iCs/>
                <w:sz w:val="20"/>
                <w:szCs w:val="18"/>
              </w:rPr>
            </w:pPr>
            <w:r w:rsidRPr="009E064B">
              <w:rPr>
                <w:rFonts w:cs="Arial"/>
                <w:iCs/>
                <w:sz w:val="20"/>
                <w:szCs w:val="18"/>
              </w:rPr>
              <w:t>3.5</w:t>
            </w:r>
          </w:p>
        </w:tc>
        <w:tc>
          <w:tcPr>
            <w:tcW w:w="672" w:type="dxa"/>
            <w:vAlign w:val="center"/>
          </w:tcPr>
          <w:p w14:paraId="404A300C" w14:textId="77777777" w:rsidR="00D66FD5" w:rsidRPr="009E064B" w:rsidRDefault="00D66FD5" w:rsidP="00D66FD5">
            <w:pPr>
              <w:spacing w:before="60" w:after="60"/>
              <w:jc w:val="center"/>
              <w:rPr>
                <w:rFonts w:cs="Arial"/>
                <w:iCs/>
                <w:sz w:val="20"/>
                <w:szCs w:val="18"/>
              </w:rPr>
            </w:pPr>
            <w:r w:rsidRPr="009E064B">
              <w:rPr>
                <w:rFonts w:cs="Arial"/>
                <w:iCs/>
                <w:sz w:val="20"/>
                <w:szCs w:val="18"/>
              </w:rPr>
              <w:t>6.0</w:t>
            </w:r>
          </w:p>
        </w:tc>
        <w:tc>
          <w:tcPr>
            <w:tcW w:w="673" w:type="dxa"/>
            <w:vAlign w:val="center"/>
          </w:tcPr>
          <w:p w14:paraId="79221D50"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r>
    </w:tbl>
    <w:p w14:paraId="3B8B8ED4" w14:textId="77777777" w:rsidR="000B7988" w:rsidRPr="009E064B" w:rsidRDefault="000B7988" w:rsidP="00B06A9A">
      <w:pPr>
        <w:tabs>
          <w:tab w:val="left" w:pos="567"/>
        </w:tabs>
        <w:ind w:left="567" w:hanging="567"/>
        <w:rPr>
          <w:rFonts w:cs="Arial"/>
          <w:iCs/>
          <w:szCs w:val="18"/>
        </w:rPr>
      </w:pPr>
    </w:p>
    <w:p w14:paraId="75CA5BC3" w14:textId="114D69F1" w:rsidR="00C36D76" w:rsidRPr="009E064B" w:rsidRDefault="00C36D76" w:rsidP="00D66FD5">
      <w:pPr>
        <w:tabs>
          <w:tab w:val="left" w:pos="1134"/>
        </w:tabs>
        <w:ind w:left="1134"/>
        <w:rPr>
          <w:rFonts w:cs="Arial"/>
          <w:iCs/>
          <w:szCs w:val="18"/>
        </w:rPr>
      </w:pPr>
      <w:r w:rsidRPr="009E064B">
        <w:rPr>
          <w:rFonts w:cs="Arial"/>
          <w:iCs/>
          <w:position w:val="-24"/>
          <w:szCs w:val="18"/>
        </w:rPr>
        <w:object w:dxaOrig="1219" w:dyaOrig="660" w14:anchorId="2B3313C2">
          <v:shape id="_x0000_i1030" type="#_x0000_t75" style="width:57.75pt;height:29.25pt" o:ole="">
            <v:imagedata r:id="rId261" o:title=""/>
          </v:shape>
          <o:OLEObject Type="Embed" ProgID="Equation.3" ShapeID="_x0000_i1030" DrawAspect="Content" ObjectID="_1623657797" r:id="rId272"/>
        </w:object>
      </w:r>
    </w:p>
    <w:p w14:paraId="6F2F4A4A" w14:textId="77777777" w:rsidR="00C36D76" w:rsidRPr="009E064B" w:rsidRDefault="00C36D76" w:rsidP="00B06A9A">
      <w:pPr>
        <w:spacing w:after="0"/>
        <w:rPr>
          <w:rFonts w:cs="Arial"/>
          <w:iCs/>
          <w:szCs w:val="18"/>
        </w:rPr>
      </w:pPr>
    </w:p>
    <w:p w14:paraId="0441DBDE"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W przypadku światła czerwonego, powyższe wartości należy pomnożyć przez 0.15.</w:t>
      </w:r>
    </w:p>
    <w:p w14:paraId="28ADEBA9"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W przypadku światła żółtego, powyższe wartości należy pomnożyć przez 0.40.</w:t>
      </w:r>
    </w:p>
    <w:p w14:paraId="4D6CB9F4" w14:textId="77777777" w:rsidR="00C36D76" w:rsidRPr="009E064B" w:rsidRDefault="00C36D76" w:rsidP="000B7988">
      <w:pPr>
        <w:tabs>
          <w:tab w:val="left" w:pos="1134"/>
        </w:tabs>
        <w:ind w:left="1134" w:hanging="567"/>
        <w:rPr>
          <w:rFonts w:cs="Arial"/>
          <w:iCs/>
          <w:szCs w:val="18"/>
        </w:rPr>
      </w:pPr>
      <w:r w:rsidRPr="009E064B">
        <w:rPr>
          <w:rFonts w:cs="Arial"/>
          <w:iCs/>
          <w:szCs w:val="18"/>
        </w:rPr>
        <w:t>(d)</w:t>
      </w:r>
      <w:r w:rsidRPr="009E064B">
        <w:rPr>
          <w:rFonts w:cs="Arial"/>
          <w:iCs/>
          <w:szCs w:val="18"/>
        </w:rPr>
        <w:tab/>
        <w:t>Patrz uwagi wspólne dla Rysunków U-5 do U-15.</w:t>
      </w:r>
    </w:p>
    <w:p w14:paraId="5F26A03A" w14:textId="77777777" w:rsidR="00C36D76" w:rsidRPr="009E064B" w:rsidRDefault="00C36D76" w:rsidP="00B06A9A">
      <w:pPr>
        <w:rPr>
          <w:iCs/>
          <w:szCs w:val="18"/>
        </w:rPr>
      </w:pPr>
    </w:p>
    <w:p w14:paraId="67DDC20F" w14:textId="77777777" w:rsidR="00C36D76" w:rsidRPr="009E064B" w:rsidRDefault="00C36D76" w:rsidP="00B06A9A">
      <w:pPr>
        <w:spacing w:after="200"/>
        <w:jc w:val="left"/>
        <w:rPr>
          <w:szCs w:val="20"/>
        </w:rPr>
      </w:pPr>
      <w:r w:rsidRPr="009E064B">
        <w:rPr>
          <w:szCs w:val="20"/>
        </w:rPr>
        <w:br w:type="page"/>
      </w:r>
    </w:p>
    <w:p w14:paraId="416AB65B" w14:textId="77777777" w:rsidR="00C36D76" w:rsidRPr="009E064B" w:rsidRDefault="00C36D76" w:rsidP="00B06A9A">
      <w:pPr>
        <w:rPr>
          <w:szCs w:val="20"/>
        </w:rPr>
      </w:pPr>
    </w:p>
    <w:p w14:paraId="35E29308" w14:textId="77777777" w:rsidR="00C36D76" w:rsidRPr="009E064B" w:rsidRDefault="00C36D76" w:rsidP="00B06A9A">
      <w:pPr>
        <w:spacing w:after="0"/>
        <w:rPr>
          <w:szCs w:val="20"/>
        </w:rPr>
      </w:pPr>
      <w:r w:rsidRPr="009E064B">
        <w:rPr>
          <w:noProof/>
          <w:szCs w:val="20"/>
          <w:lang w:eastAsia="pl-PL"/>
        </w:rPr>
        <w:drawing>
          <wp:inline distT="0" distB="0" distL="0" distR="0" wp14:anchorId="6189CBF9" wp14:editId="7E62E8C5">
            <wp:extent cx="5665470" cy="3591560"/>
            <wp:effectExtent l="19050" t="0" r="0" b="0"/>
            <wp:docPr id="1406" name="Obraz 51" descr="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descr="A2-7"/>
                    <pic:cNvPicPr>
                      <a:picLocks noChangeAspect="1" noChangeArrowheads="1"/>
                    </pic:cNvPicPr>
                  </pic:nvPicPr>
                  <pic:blipFill>
                    <a:blip r:embed="rId273" cstate="print"/>
                    <a:srcRect/>
                    <a:stretch>
                      <a:fillRect/>
                    </a:stretch>
                  </pic:blipFill>
                  <pic:spPr bwMode="auto">
                    <a:xfrm>
                      <a:off x="0" y="0"/>
                      <a:ext cx="5665470" cy="3591560"/>
                    </a:xfrm>
                    <a:prstGeom prst="rect">
                      <a:avLst/>
                    </a:prstGeom>
                    <a:noFill/>
                    <a:ln w="9525">
                      <a:noFill/>
                      <a:miter lim="800000"/>
                      <a:headEnd/>
                      <a:tailEnd/>
                    </a:ln>
                  </pic:spPr>
                </pic:pic>
              </a:graphicData>
            </a:graphic>
          </wp:inline>
        </w:drawing>
      </w:r>
    </w:p>
    <w:p w14:paraId="502F68CE" w14:textId="77777777" w:rsidR="00C36D76" w:rsidRPr="009E064B" w:rsidRDefault="00C36D76" w:rsidP="00B06A9A">
      <w:pPr>
        <w:spacing w:after="0"/>
        <w:rPr>
          <w:szCs w:val="20"/>
        </w:rPr>
      </w:pPr>
    </w:p>
    <w:p w14:paraId="45D48AF1" w14:textId="1C30AB80" w:rsidR="00C36D76" w:rsidRPr="00FE5FBD" w:rsidRDefault="00C36D76" w:rsidP="00FE5FBD">
      <w:pPr>
        <w:spacing w:before="240"/>
        <w:ind w:left="709" w:hanging="709"/>
        <w:jc w:val="center"/>
        <w:rPr>
          <w:b/>
          <w:sz w:val="20"/>
        </w:rPr>
      </w:pPr>
      <w:r w:rsidRPr="00FE5FBD">
        <w:rPr>
          <w:b/>
          <w:sz w:val="20"/>
        </w:rPr>
        <w:t xml:space="preserve">Rysunek U-11. </w:t>
      </w:r>
      <w:r w:rsidRPr="00FE5FBD">
        <w:rPr>
          <w:b/>
          <w:sz w:val="20"/>
        </w:rPr>
        <w:tab/>
        <w:t xml:space="preserve">Wykres izokandeli dla świateł linii środkowej drogi startowej o odstępie podłużnym 15 m </w:t>
      </w:r>
      <w:r w:rsidR="001474BD">
        <w:rPr>
          <w:b/>
          <w:sz w:val="20"/>
        </w:rPr>
        <w:br/>
        <w:t xml:space="preserve">           </w:t>
      </w:r>
      <w:r w:rsidRPr="00FE5FBD">
        <w:rPr>
          <w:b/>
          <w:sz w:val="20"/>
        </w:rPr>
        <w:t>(światło białe) oraz świateł wskazania drogi kołowania szybkiego zjazdu (światło żółte)</w:t>
      </w:r>
    </w:p>
    <w:p w14:paraId="05E30CCE" w14:textId="77777777" w:rsidR="00C36D76" w:rsidRPr="009E064B" w:rsidRDefault="00C36D76" w:rsidP="00B06A9A">
      <w:pPr>
        <w:rPr>
          <w:szCs w:val="20"/>
        </w:rPr>
      </w:pPr>
    </w:p>
    <w:p w14:paraId="52CA3890" w14:textId="3BADBA4C" w:rsidR="00C36D76" w:rsidRPr="009E064B" w:rsidRDefault="00D66FD5" w:rsidP="00B06A9A">
      <w:pPr>
        <w:rPr>
          <w:rFonts w:cs="Arial"/>
          <w:iCs/>
          <w:szCs w:val="18"/>
        </w:rPr>
      </w:pPr>
      <w:r w:rsidRPr="009E064B">
        <w:rPr>
          <w:rFonts w:cs="Arial"/>
          <w:iCs/>
          <w:szCs w:val="18"/>
        </w:rPr>
        <w:t>Uwagi:</w:t>
      </w:r>
    </w:p>
    <w:p w14:paraId="1E36D110" w14:textId="77777777" w:rsidR="00D66FD5"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D66FD5" w:rsidRPr="009E064B">
        <w:rPr>
          <w:rFonts w:cs="Arial"/>
          <w:iCs/>
          <w:szCs w:val="18"/>
        </w:rPr>
        <w:t>:</w:t>
      </w:r>
    </w:p>
    <w:tbl>
      <w:tblPr>
        <w:tblpPr w:leftFromText="141" w:rightFromText="141" w:vertAnchor="text" w:horzAnchor="margin" w:tblpXSpec="center" w:tblpY="3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
        <w:gridCol w:w="743"/>
        <w:gridCol w:w="743"/>
        <w:gridCol w:w="743"/>
      </w:tblGrid>
      <w:tr w:rsidR="00D66FD5" w:rsidRPr="009E064B" w14:paraId="4C7BE6E6" w14:textId="77777777" w:rsidTr="00D66FD5">
        <w:trPr>
          <w:trHeight w:val="313"/>
        </w:trPr>
        <w:tc>
          <w:tcPr>
            <w:tcW w:w="743" w:type="dxa"/>
            <w:vAlign w:val="center"/>
          </w:tcPr>
          <w:p w14:paraId="3D74AB98" w14:textId="77777777" w:rsidR="00D66FD5" w:rsidRPr="009E064B" w:rsidRDefault="00D66FD5" w:rsidP="00D66FD5">
            <w:pPr>
              <w:spacing w:before="60" w:after="60"/>
              <w:jc w:val="center"/>
              <w:rPr>
                <w:rFonts w:cs="Arial"/>
                <w:iCs/>
                <w:sz w:val="20"/>
                <w:szCs w:val="18"/>
              </w:rPr>
            </w:pPr>
            <w:r w:rsidRPr="009E064B">
              <w:rPr>
                <w:rFonts w:cs="Arial"/>
                <w:iCs/>
                <w:sz w:val="20"/>
                <w:szCs w:val="18"/>
              </w:rPr>
              <w:t>a</w:t>
            </w:r>
          </w:p>
        </w:tc>
        <w:tc>
          <w:tcPr>
            <w:tcW w:w="743" w:type="dxa"/>
            <w:vAlign w:val="center"/>
          </w:tcPr>
          <w:p w14:paraId="3FE7B558" w14:textId="77777777" w:rsidR="00D66FD5" w:rsidRPr="009E064B" w:rsidRDefault="00D66FD5" w:rsidP="00D66FD5">
            <w:pPr>
              <w:spacing w:before="60" w:after="60"/>
              <w:jc w:val="center"/>
              <w:rPr>
                <w:rFonts w:cs="Arial"/>
                <w:iCs/>
                <w:sz w:val="20"/>
                <w:szCs w:val="18"/>
              </w:rPr>
            </w:pPr>
            <w:r w:rsidRPr="009E064B">
              <w:rPr>
                <w:rFonts w:cs="Arial"/>
                <w:iCs/>
                <w:sz w:val="20"/>
                <w:szCs w:val="18"/>
              </w:rPr>
              <w:t>5.0</w:t>
            </w:r>
          </w:p>
        </w:tc>
        <w:tc>
          <w:tcPr>
            <w:tcW w:w="743" w:type="dxa"/>
            <w:vAlign w:val="center"/>
          </w:tcPr>
          <w:p w14:paraId="3724C39E" w14:textId="77777777" w:rsidR="00D66FD5" w:rsidRPr="009E064B" w:rsidRDefault="00D66FD5" w:rsidP="00D66FD5">
            <w:pPr>
              <w:spacing w:before="60" w:after="60"/>
              <w:jc w:val="center"/>
              <w:rPr>
                <w:rFonts w:cs="Arial"/>
                <w:iCs/>
                <w:sz w:val="20"/>
                <w:szCs w:val="18"/>
              </w:rPr>
            </w:pPr>
            <w:r w:rsidRPr="009E064B">
              <w:rPr>
                <w:rFonts w:cs="Arial"/>
                <w:iCs/>
                <w:sz w:val="20"/>
                <w:szCs w:val="18"/>
              </w:rPr>
              <w:t>7.0</w:t>
            </w:r>
          </w:p>
        </w:tc>
        <w:tc>
          <w:tcPr>
            <w:tcW w:w="743" w:type="dxa"/>
            <w:vAlign w:val="center"/>
          </w:tcPr>
          <w:p w14:paraId="1871454A"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r>
      <w:tr w:rsidR="00D66FD5" w:rsidRPr="009E064B" w14:paraId="2329D8C5" w14:textId="77777777" w:rsidTr="00D66FD5">
        <w:trPr>
          <w:trHeight w:val="314"/>
        </w:trPr>
        <w:tc>
          <w:tcPr>
            <w:tcW w:w="743" w:type="dxa"/>
            <w:vAlign w:val="center"/>
          </w:tcPr>
          <w:p w14:paraId="4855D62D" w14:textId="77777777" w:rsidR="00D66FD5" w:rsidRPr="009E064B" w:rsidRDefault="00D66FD5" w:rsidP="00D66FD5">
            <w:pPr>
              <w:spacing w:before="60" w:after="60"/>
              <w:jc w:val="center"/>
              <w:rPr>
                <w:rFonts w:cs="Arial"/>
                <w:iCs/>
                <w:sz w:val="20"/>
                <w:szCs w:val="18"/>
              </w:rPr>
            </w:pPr>
            <w:r w:rsidRPr="009E064B">
              <w:rPr>
                <w:rFonts w:cs="Arial"/>
                <w:iCs/>
                <w:sz w:val="20"/>
                <w:szCs w:val="18"/>
              </w:rPr>
              <w:t>b</w:t>
            </w:r>
          </w:p>
        </w:tc>
        <w:tc>
          <w:tcPr>
            <w:tcW w:w="743" w:type="dxa"/>
            <w:vAlign w:val="center"/>
          </w:tcPr>
          <w:p w14:paraId="20066746" w14:textId="77777777" w:rsidR="00D66FD5" w:rsidRPr="009E064B" w:rsidRDefault="00D66FD5" w:rsidP="00D66FD5">
            <w:pPr>
              <w:spacing w:before="60" w:after="60"/>
              <w:jc w:val="center"/>
              <w:rPr>
                <w:rFonts w:cs="Arial"/>
                <w:iCs/>
                <w:sz w:val="20"/>
                <w:szCs w:val="18"/>
              </w:rPr>
            </w:pPr>
            <w:r w:rsidRPr="009E064B">
              <w:rPr>
                <w:rFonts w:cs="Arial"/>
                <w:iCs/>
                <w:sz w:val="20"/>
                <w:szCs w:val="18"/>
              </w:rPr>
              <w:t>4.5</w:t>
            </w:r>
          </w:p>
        </w:tc>
        <w:tc>
          <w:tcPr>
            <w:tcW w:w="743" w:type="dxa"/>
            <w:vAlign w:val="center"/>
          </w:tcPr>
          <w:p w14:paraId="30B4A3A0"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c>
          <w:tcPr>
            <w:tcW w:w="743" w:type="dxa"/>
            <w:vAlign w:val="center"/>
          </w:tcPr>
          <w:p w14:paraId="1CF5F7A3" w14:textId="77777777" w:rsidR="00D66FD5" w:rsidRPr="009E064B" w:rsidRDefault="00D66FD5" w:rsidP="00D66FD5">
            <w:pPr>
              <w:spacing w:before="60" w:after="60"/>
              <w:jc w:val="center"/>
              <w:rPr>
                <w:rFonts w:cs="Arial"/>
                <w:iCs/>
                <w:sz w:val="20"/>
                <w:szCs w:val="18"/>
              </w:rPr>
            </w:pPr>
            <w:r w:rsidRPr="009E064B">
              <w:rPr>
                <w:rFonts w:cs="Arial"/>
                <w:iCs/>
                <w:sz w:val="20"/>
                <w:szCs w:val="18"/>
              </w:rPr>
              <w:t>10</w:t>
            </w:r>
          </w:p>
        </w:tc>
      </w:tr>
    </w:tbl>
    <w:p w14:paraId="5F92742C" w14:textId="77777777" w:rsidR="00D66FD5" w:rsidRPr="009E064B" w:rsidRDefault="00D66FD5" w:rsidP="000B7988">
      <w:pPr>
        <w:tabs>
          <w:tab w:val="left" w:pos="1134"/>
        </w:tabs>
        <w:ind w:left="1134" w:hanging="567"/>
        <w:rPr>
          <w:rFonts w:cs="Arial"/>
          <w:iCs/>
          <w:szCs w:val="18"/>
        </w:rPr>
      </w:pPr>
    </w:p>
    <w:p w14:paraId="24CE52BA" w14:textId="57046B3A" w:rsidR="00C36D76" w:rsidRPr="009E064B" w:rsidRDefault="00C36D76" w:rsidP="00D66FD5">
      <w:pPr>
        <w:tabs>
          <w:tab w:val="left" w:pos="1134"/>
        </w:tabs>
        <w:ind w:left="1134"/>
        <w:rPr>
          <w:rFonts w:cs="Arial"/>
          <w:iCs/>
          <w:szCs w:val="18"/>
        </w:rPr>
      </w:pPr>
      <w:r w:rsidRPr="009E064B">
        <w:rPr>
          <w:rFonts w:cs="Arial"/>
          <w:iCs/>
          <w:position w:val="-24"/>
          <w:szCs w:val="18"/>
        </w:rPr>
        <w:object w:dxaOrig="1219" w:dyaOrig="660" w14:anchorId="3388BB30">
          <v:shape id="_x0000_i1031" type="#_x0000_t75" style="width:57.75pt;height:29.25pt" o:ole="">
            <v:imagedata r:id="rId261" o:title=""/>
          </v:shape>
          <o:OLEObject Type="Embed" ProgID="Equation.3" ShapeID="_x0000_i1031" DrawAspect="Content" ObjectID="_1623657798" r:id="rId274"/>
        </w:object>
      </w:r>
    </w:p>
    <w:p w14:paraId="1A487EB1" w14:textId="77777777" w:rsidR="00C36D76" w:rsidRPr="009E064B" w:rsidRDefault="00C36D76" w:rsidP="00B06A9A">
      <w:pPr>
        <w:spacing w:after="0"/>
        <w:rPr>
          <w:rFonts w:cs="Arial"/>
          <w:iCs/>
          <w:szCs w:val="18"/>
        </w:rPr>
      </w:pPr>
    </w:p>
    <w:p w14:paraId="6A310CF6"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W przypadku światła czerwonego, powyższe wartości należy pomnożyć przez 0.15.</w:t>
      </w:r>
    </w:p>
    <w:p w14:paraId="6C0517E0"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W przypadku światła żółtego, powyższe wartości należy pomnożyć przez 0.40.</w:t>
      </w:r>
    </w:p>
    <w:p w14:paraId="1C35220E" w14:textId="77777777" w:rsidR="00C36D76" w:rsidRPr="009E064B" w:rsidRDefault="00C36D76" w:rsidP="000B7988">
      <w:pPr>
        <w:tabs>
          <w:tab w:val="left" w:pos="1134"/>
        </w:tabs>
        <w:ind w:left="1134" w:hanging="567"/>
        <w:rPr>
          <w:rFonts w:cs="Arial"/>
          <w:iCs/>
          <w:szCs w:val="18"/>
        </w:rPr>
      </w:pPr>
      <w:r w:rsidRPr="009E064B">
        <w:rPr>
          <w:rFonts w:cs="Arial"/>
          <w:iCs/>
          <w:szCs w:val="18"/>
        </w:rPr>
        <w:t>(d)</w:t>
      </w:r>
      <w:r w:rsidRPr="009E064B">
        <w:rPr>
          <w:rFonts w:cs="Arial"/>
          <w:iCs/>
          <w:szCs w:val="18"/>
        </w:rPr>
        <w:tab/>
        <w:t>Patrz uwagi wspólne dla Rysunków U-5 do U-15.</w:t>
      </w:r>
    </w:p>
    <w:p w14:paraId="3D682D88" w14:textId="77777777" w:rsidR="00C36D76" w:rsidRPr="009E064B" w:rsidRDefault="00C36D76" w:rsidP="00B06A9A">
      <w:pPr>
        <w:rPr>
          <w:iCs/>
          <w:szCs w:val="18"/>
        </w:rPr>
      </w:pPr>
    </w:p>
    <w:p w14:paraId="60A787F5" w14:textId="77777777" w:rsidR="00C36D76" w:rsidRPr="009E064B" w:rsidRDefault="00C36D76" w:rsidP="00B06A9A">
      <w:pPr>
        <w:spacing w:after="200"/>
        <w:jc w:val="left"/>
        <w:rPr>
          <w:szCs w:val="20"/>
        </w:rPr>
      </w:pPr>
      <w:r w:rsidRPr="009E064B">
        <w:rPr>
          <w:szCs w:val="20"/>
        </w:rPr>
        <w:br w:type="page"/>
      </w:r>
    </w:p>
    <w:p w14:paraId="16179BC5" w14:textId="77777777" w:rsidR="00C36D76" w:rsidRPr="009E064B" w:rsidRDefault="00C36D76" w:rsidP="00B06A9A">
      <w:pPr>
        <w:rPr>
          <w:szCs w:val="20"/>
        </w:rPr>
      </w:pPr>
    </w:p>
    <w:p w14:paraId="22BF9F46" w14:textId="77777777" w:rsidR="00C36D76" w:rsidRPr="009E064B" w:rsidRDefault="00C36D76" w:rsidP="00B06A9A">
      <w:pPr>
        <w:spacing w:after="0"/>
        <w:rPr>
          <w:b/>
          <w:szCs w:val="20"/>
        </w:rPr>
      </w:pPr>
      <w:r w:rsidRPr="009E064B">
        <w:rPr>
          <w:b/>
          <w:noProof/>
          <w:szCs w:val="20"/>
          <w:lang w:eastAsia="pl-PL"/>
        </w:rPr>
        <w:drawing>
          <wp:inline distT="0" distB="0" distL="0" distR="0" wp14:anchorId="1F81F063" wp14:editId="56EFD889">
            <wp:extent cx="5719445" cy="3699510"/>
            <wp:effectExtent l="19050" t="0" r="0" b="0"/>
            <wp:docPr id="1407" name="Obraz 1407"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2-8"/>
                    <pic:cNvPicPr>
                      <a:picLocks noChangeAspect="1" noChangeArrowheads="1"/>
                    </pic:cNvPicPr>
                  </pic:nvPicPr>
                  <pic:blipFill>
                    <a:blip r:embed="rId275" cstate="print"/>
                    <a:srcRect/>
                    <a:stretch>
                      <a:fillRect/>
                    </a:stretch>
                  </pic:blipFill>
                  <pic:spPr bwMode="auto">
                    <a:xfrm>
                      <a:off x="0" y="0"/>
                      <a:ext cx="5719445" cy="3699510"/>
                    </a:xfrm>
                    <a:prstGeom prst="rect">
                      <a:avLst/>
                    </a:prstGeom>
                    <a:noFill/>
                    <a:ln w="9525">
                      <a:noFill/>
                      <a:miter lim="800000"/>
                      <a:headEnd/>
                      <a:tailEnd/>
                    </a:ln>
                  </pic:spPr>
                </pic:pic>
              </a:graphicData>
            </a:graphic>
          </wp:inline>
        </w:drawing>
      </w:r>
    </w:p>
    <w:p w14:paraId="2C4DF794" w14:textId="77777777" w:rsidR="00C36D76" w:rsidRPr="009E064B" w:rsidRDefault="00C36D76" w:rsidP="00B06A9A">
      <w:pPr>
        <w:spacing w:after="0"/>
        <w:rPr>
          <w:szCs w:val="20"/>
        </w:rPr>
      </w:pPr>
    </w:p>
    <w:p w14:paraId="461FB69E" w14:textId="77777777" w:rsidR="00C36D76" w:rsidRPr="00FE5FBD" w:rsidRDefault="00C36D76" w:rsidP="00FE5FBD">
      <w:pPr>
        <w:spacing w:before="240"/>
        <w:ind w:left="709" w:hanging="709"/>
        <w:jc w:val="center"/>
        <w:rPr>
          <w:b/>
          <w:sz w:val="20"/>
        </w:rPr>
      </w:pPr>
      <w:r w:rsidRPr="00FE5FBD">
        <w:rPr>
          <w:b/>
          <w:sz w:val="20"/>
        </w:rPr>
        <w:t>Rysunek U-12.   Wykres izokandeli dla świateł końca drogi startowej (światło czerwone)</w:t>
      </w:r>
    </w:p>
    <w:p w14:paraId="49AD9AAC" w14:textId="77777777" w:rsidR="00C36D76" w:rsidRPr="009E064B" w:rsidRDefault="00C36D76" w:rsidP="00B06A9A">
      <w:pPr>
        <w:rPr>
          <w:iCs/>
          <w:szCs w:val="18"/>
        </w:rPr>
      </w:pPr>
    </w:p>
    <w:p w14:paraId="1EE40030" w14:textId="77777777" w:rsidR="00C36D76" w:rsidRPr="009E064B" w:rsidRDefault="00C36D76" w:rsidP="00B06A9A">
      <w:pPr>
        <w:rPr>
          <w:rFonts w:cs="Arial"/>
          <w:iCs/>
          <w:szCs w:val="18"/>
        </w:rPr>
      </w:pPr>
      <w:r w:rsidRPr="009E064B">
        <w:rPr>
          <w:rFonts w:cs="Arial"/>
          <w:iCs/>
          <w:szCs w:val="18"/>
        </w:rPr>
        <w:t>Uwagi:</w:t>
      </w:r>
    </w:p>
    <w:p w14:paraId="54EF4736" w14:textId="77777777" w:rsidR="00D66FD5"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D66FD5" w:rsidRPr="009E064B">
        <w:rPr>
          <w:rFonts w:cs="Arial"/>
          <w:iCs/>
          <w:szCs w:val="18"/>
        </w:rPr>
        <w:t>:</w:t>
      </w:r>
    </w:p>
    <w:p w14:paraId="7D7B3DD6" w14:textId="77777777" w:rsidR="00D66FD5" w:rsidRPr="009E064B" w:rsidRDefault="00D66FD5" w:rsidP="000B7988">
      <w:pPr>
        <w:tabs>
          <w:tab w:val="left" w:pos="1134"/>
        </w:tabs>
        <w:ind w:left="1134" w:hanging="567"/>
        <w:rPr>
          <w:rFonts w:cs="Arial"/>
          <w:iCs/>
          <w:szCs w:val="18"/>
        </w:rPr>
      </w:pPr>
    </w:p>
    <w:tbl>
      <w:tblPr>
        <w:tblpPr w:leftFromText="141" w:rightFromText="141" w:vertAnchor="text" w:horzAnchor="margin" w:tblpXSpec="center" w:tblpY="-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823"/>
        <w:gridCol w:w="823"/>
        <w:gridCol w:w="824"/>
      </w:tblGrid>
      <w:tr w:rsidR="00D66FD5" w:rsidRPr="009E064B" w14:paraId="1ABE4CA3" w14:textId="77777777" w:rsidTr="00D66FD5">
        <w:trPr>
          <w:trHeight w:val="313"/>
        </w:trPr>
        <w:tc>
          <w:tcPr>
            <w:tcW w:w="823" w:type="dxa"/>
            <w:vAlign w:val="center"/>
          </w:tcPr>
          <w:p w14:paraId="1CCC0E55" w14:textId="77777777" w:rsidR="00D66FD5" w:rsidRPr="009E064B" w:rsidRDefault="00D66FD5" w:rsidP="00D66FD5">
            <w:pPr>
              <w:spacing w:before="60" w:after="60"/>
              <w:jc w:val="center"/>
              <w:rPr>
                <w:rFonts w:cs="Arial"/>
                <w:iCs/>
                <w:sz w:val="20"/>
                <w:szCs w:val="18"/>
              </w:rPr>
            </w:pPr>
            <w:r w:rsidRPr="009E064B">
              <w:rPr>
                <w:rFonts w:cs="Arial"/>
                <w:iCs/>
                <w:sz w:val="20"/>
                <w:szCs w:val="18"/>
              </w:rPr>
              <w:t>a</w:t>
            </w:r>
          </w:p>
        </w:tc>
        <w:tc>
          <w:tcPr>
            <w:tcW w:w="823" w:type="dxa"/>
            <w:vAlign w:val="center"/>
          </w:tcPr>
          <w:p w14:paraId="5B4E9B7C" w14:textId="77777777" w:rsidR="00D66FD5" w:rsidRPr="009E064B" w:rsidRDefault="00D66FD5" w:rsidP="00D66FD5">
            <w:pPr>
              <w:spacing w:before="60" w:after="60"/>
              <w:jc w:val="center"/>
              <w:rPr>
                <w:rFonts w:cs="Arial"/>
                <w:iCs/>
                <w:sz w:val="20"/>
                <w:szCs w:val="18"/>
              </w:rPr>
            </w:pPr>
            <w:r w:rsidRPr="009E064B">
              <w:rPr>
                <w:rFonts w:cs="Arial"/>
                <w:iCs/>
                <w:sz w:val="20"/>
                <w:szCs w:val="18"/>
              </w:rPr>
              <w:t>6.0</w:t>
            </w:r>
          </w:p>
        </w:tc>
        <w:tc>
          <w:tcPr>
            <w:tcW w:w="823" w:type="dxa"/>
            <w:vAlign w:val="center"/>
          </w:tcPr>
          <w:p w14:paraId="71AFBE42" w14:textId="77777777" w:rsidR="00D66FD5" w:rsidRPr="009E064B" w:rsidRDefault="00D66FD5" w:rsidP="00D66FD5">
            <w:pPr>
              <w:spacing w:before="60" w:after="60"/>
              <w:jc w:val="center"/>
              <w:rPr>
                <w:rFonts w:cs="Arial"/>
                <w:iCs/>
                <w:sz w:val="20"/>
                <w:szCs w:val="18"/>
              </w:rPr>
            </w:pPr>
            <w:r w:rsidRPr="009E064B">
              <w:rPr>
                <w:rFonts w:cs="Arial"/>
                <w:iCs/>
                <w:sz w:val="20"/>
                <w:szCs w:val="18"/>
              </w:rPr>
              <w:t>7.5</w:t>
            </w:r>
          </w:p>
        </w:tc>
        <w:tc>
          <w:tcPr>
            <w:tcW w:w="824" w:type="dxa"/>
            <w:vAlign w:val="center"/>
          </w:tcPr>
          <w:p w14:paraId="7E22DE7D" w14:textId="77777777" w:rsidR="00D66FD5" w:rsidRPr="009E064B" w:rsidRDefault="00D66FD5" w:rsidP="00D66FD5">
            <w:pPr>
              <w:spacing w:before="60" w:after="60"/>
              <w:jc w:val="center"/>
              <w:rPr>
                <w:rFonts w:cs="Arial"/>
                <w:iCs/>
                <w:sz w:val="20"/>
                <w:szCs w:val="18"/>
              </w:rPr>
            </w:pPr>
            <w:r w:rsidRPr="009E064B">
              <w:rPr>
                <w:rFonts w:cs="Arial"/>
                <w:iCs/>
                <w:sz w:val="20"/>
                <w:szCs w:val="18"/>
              </w:rPr>
              <w:t>9.0</w:t>
            </w:r>
          </w:p>
        </w:tc>
      </w:tr>
      <w:tr w:rsidR="00D66FD5" w:rsidRPr="009E064B" w14:paraId="7BC948EA" w14:textId="77777777" w:rsidTr="00D66FD5">
        <w:trPr>
          <w:trHeight w:val="314"/>
        </w:trPr>
        <w:tc>
          <w:tcPr>
            <w:tcW w:w="823" w:type="dxa"/>
            <w:vAlign w:val="center"/>
          </w:tcPr>
          <w:p w14:paraId="118EB9FF" w14:textId="77777777" w:rsidR="00D66FD5" w:rsidRPr="009E064B" w:rsidRDefault="00D66FD5" w:rsidP="00D66FD5">
            <w:pPr>
              <w:spacing w:before="60" w:after="60"/>
              <w:jc w:val="center"/>
              <w:rPr>
                <w:rFonts w:cs="Arial"/>
                <w:iCs/>
                <w:sz w:val="20"/>
                <w:szCs w:val="18"/>
              </w:rPr>
            </w:pPr>
            <w:r w:rsidRPr="009E064B">
              <w:rPr>
                <w:rFonts w:cs="Arial"/>
                <w:iCs/>
                <w:sz w:val="20"/>
                <w:szCs w:val="18"/>
              </w:rPr>
              <w:t>b</w:t>
            </w:r>
          </w:p>
        </w:tc>
        <w:tc>
          <w:tcPr>
            <w:tcW w:w="823" w:type="dxa"/>
            <w:vAlign w:val="center"/>
          </w:tcPr>
          <w:p w14:paraId="2B8228A1" w14:textId="77777777" w:rsidR="00D66FD5" w:rsidRPr="009E064B" w:rsidRDefault="00D66FD5" w:rsidP="00D66FD5">
            <w:pPr>
              <w:spacing w:before="60" w:after="60"/>
              <w:jc w:val="center"/>
              <w:rPr>
                <w:rFonts w:cs="Arial"/>
                <w:iCs/>
                <w:sz w:val="20"/>
                <w:szCs w:val="18"/>
              </w:rPr>
            </w:pPr>
            <w:r w:rsidRPr="009E064B">
              <w:rPr>
                <w:rFonts w:cs="Arial"/>
                <w:iCs/>
                <w:sz w:val="20"/>
                <w:szCs w:val="18"/>
              </w:rPr>
              <w:t>2.25</w:t>
            </w:r>
          </w:p>
        </w:tc>
        <w:tc>
          <w:tcPr>
            <w:tcW w:w="823" w:type="dxa"/>
            <w:vAlign w:val="center"/>
          </w:tcPr>
          <w:p w14:paraId="3B5D7CC9" w14:textId="77777777" w:rsidR="00D66FD5" w:rsidRPr="009E064B" w:rsidRDefault="00D66FD5" w:rsidP="00D66FD5">
            <w:pPr>
              <w:spacing w:before="60" w:after="60"/>
              <w:jc w:val="center"/>
              <w:rPr>
                <w:rFonts w:cs="Arial"/>
                <w:iCs/>
                <w:sz w:val="20"/>
                <w:szCs w:val="18"/>
              </w:rPr>
            </w:pPr>
            <w:r w:rsidRPr="009E064B">
              <w:rPr>
                <w:rFonts w:cs="Arial"/>
                <w:iCs/>
                <w:sz w:val="20"/>
                <w:szCs w:val="18"/>
              </w:rPr>
              <w:t>5.0</w:t>
            </w:r>
          </w:p>
        </w:tc>
        <w:tc>
          <w:tcPr>
            <w:tcW w:w="824" w:type="dxa"/>
            <w:vAlign w:val="center"/>
          </w:tcPr>
          <w:p w14:paraId="0C88EBC3" w14:textId="77777777" w:rsidR="00D66FD5" w:rsidRPr="009E064B" w:rsidRDefault="00D66FD5" w:rsidP="00D66FD5">
            <w:pPr>
              <w:spacing w:before="60" w:after="60"/>
              <w:jc w:val="center"/>
              <w:rPr>
                <w:rFonts w:cs="Arial"/>
                <w:iCs/>
                <w:sz w:val="20"/>
                <w:szCs w:val="18"/>
              </w:rPr>
            </w:pPr>
            <w:r w:rsidRPr="009E064B">
              <w:rPr>
                <w:rFonts w:cs="Arial"/>
                <w:iCs/>
                <w:sz w:val="20"/>
                <w:szCs w:val="18"/>
              </w:rPr>
              <w:t>6.5</w:t>
            </w:r>
          </w:p>
        </w:tc>
      </w:tr>
    </w:tbl>
    <w:p w14:paraId="0CAFBC02" w14:textId="0C063B6D" w:rsidR="00C36D76" w:rsidRPr="009E064B" w:rsidRDefault="00C36D76" w:rsidP="00D66FD5">
      <w:pPr>
        <w:tabs>
          <w:tab w:val="left" w:pos="1134"/>
        </w:tabs>
        <w:ind w:left="1134"/>
        <w:rPr>
          <w:rFonts w:cs="Arial"/>
          <w:iCs/>
          <w:szCs w:val="18"/>
        </w:rPr>
      </w:pPr>
      <w:r w:rsidRPr="009E064B">
        <w:rPr>
          <w:rFonts w:cs="Arial"/>
          <w:iCs/>
          <w:position w:val="-24"/>
          <w:szCs w:val="18"/>
        </w:rPr>
        <w:object w:dxaOrig="1219" w:dyaOrig="660" w14:anchorId="4A52E00D">
          <v:shape id="_x0000_i1032" type="#_x0000_t75" style="width:57.75pt;height:29.25pt" o:ole="">
            <v:imagedata r:id="rId261" o:title=""/>
          </v:shape>
          <o:OLEObject Type="Embed" ProgID="Equation.3" ShapeID="_x0000_i1032" DrawAspect="Content" ObjectID="_1623657799" r:id="rId276"/>
        </w:object>
      </w:r>
      <w:r w:rsidR="00D66FD5" w:rsidRPr="009E064B">
        <w:rPr>
          <w:rFonts w:cs="Arial"/>
          <w:iCs/>
          <w:szCs w:val="18"/>
        </w:rPr>
        <w:t xml:space="preserve"> </w:t>
      </w:r>
    </w:p>
    <w:p w14:paraId="4CCC4B4D" w14:textId="77777777" w:rsidR="00C36D76" w:rsidRPr="009E064B" w:rsidRDefault="00C36D76" w:rsidP="00B06A9A">
      <w:pPr>
        <w:spacing w:after="0"/>
        <w:rPr>
          <w:rFonts w:cs="Arial"/>
          <w:iCs/>
          <w:szCs w:val="18"/>
        </w:rPr>
      </w:pPr>
    </w:p>
    <w:p w14:paraId="5471BA1D"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Patrz uwagi wspólne dla Rysunków U-5 do U-15.</w:t>
      </w:r>
    </w:p>
    <w:p w14:paraId="29FDCF04" w14:textId="77777777" w:rsidR="00C36D76" w:rsidRPr="009E064B" w:rsidRDefault="00C36D76" w:rsidP="00B06A9A">
      <w:pPr>
        <w:rPr>
          <w:szCs w:val="18"/>
        </w:rPr>
      </w:pPr>
    </w:p>
    <w:p w14:paraId="08FB9630" w14:textId="77777777" w:rsidR="00C36D76" w:rsidRPr="009E064B" w:rsidRDefault="00C36D76" w:rsidP="00B06A9A">
      <w:pPr>
        <w:spacing w:after="200"/>
        <w:jc w:val="left"/>
        <w:rPr>
          <w:szCs w:val="20"/>
        </w:rPr>
      </w:pPr>
      <w:r w:rsidRPr="009E064B">
        <w:rPr>
          <w:szCs w:val="20"/>
        </w:rPr>
        <w:br w:type="page"/>
      </w:r>
    </w:p>
    <w:p w14:paraId="36BD58B9" w14:textId="77777777" w:rsidR="00C36D76" w:rsidRPr="009E064B" w:rsidRDefault="00C36D76" w:rsidP="00B06A9A">
      <w:pPr>
        <w:rPr>
          <w:szCs w:val="20"/>
        </w:rPr>
      </w:pPr>
    </w:p>
    <w:p w14:paraId="19018E45" w14:textId="77777777" w:rsidR="00C36D76" w:rsidRPr="009E064B" w:rsidRDefault="00C36D76" w:rsidP="00B06A9A">
      <w:pPr>
        <w:rPr>
          <w:szCs w:val="20"/>
        </w:rPr>
      </w:pPr>
      <w:r w:rsidRPr="009E064B">
        <w:rPr>
          <w:noProof/>
          <w:szCs w:val="20"/>
          <w:lang w:eastAsia="pl-PL"/>
        </w:rPr>
        <w:drawing>
          <wp:inline distT="0" distB="0" distL="0" distR="0" wp14:anchorId="686A3C38" wp14:editId="4E9526F4">
            <wp:extent cx="5665470" cy="3729355"/>
            <wp:effectExtent l="19050" t="0" r="0" b="0"/>
            <wp:docPr id="897" name="Obraz 897" descr="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2-9"/>
                    <pic:cNvPicPr>
                      <a:picLocks noChangeAspect="1" noChangeArrowheads="1"/>
                    </pic:cNvPicPr>
                  </pic:nvPicPr>
                  <pic:blipFill>
                    <a:blip r:embed="rId277" cstate="print"/>
                    <a:srcRect/>
                    <a:stretch>
                      <a:fillRect/>
                    </a:stretch>
                  </pic:blipFill>
                  <pic:spPr bwMode="auto">
                    <a:xfrm>
                      <a:off x="0" y="0"/>
                      <a:ext cx="5665470" cy="3729355"/>
                    </a:xfrm>
                    <a:prstGeom prst="rect">
                      <a:avLst/>
                    </a:prstGeom>
                    <a:noFill/>
                    <a:ln w="9525">
                      <a:noFill/>
                      <a:miter lim="800000"/>
                      <a:headEnd/>
                      <a:tailEnd/>
                    </a:ln>
                  </pic:spPr>
                </pic:pic>
              </a:graphicData>
            </a:graphic>
          </wp:inline>
        </w:drawing>
      </w:r>
    </w:p>
    <w:p w14:paraId="6BBBB778" w14:textId="77777777" w:rsidR="00C36D76" w:rsidRPr="009E064B" w:rsidRDefault="00C36D76" w:rsidP="00B06A9A">
      <w:pPr>
        <w:spacing w:after="0"/>
        <w:rPr>
          <w:szCs w:val="20"/>
        </w:rPr>
      </w:pPr>
    </w:p>
    <w:p w14:paraId="1B7A5E99" w14:textId="77777777" w:rsidR="00C36D76" w:rsidRPr="00FE5FBD" w:rsidRDefault="00C36D76" w:rsidP="00FE5FBD">
      <w:pPr>
        <w:spacing w:before="240"/>
        <w:ind w:left="709" w:hanging="709"/>
        <w:jc w:val="center"/>
        <w:rPr>
          <w:b/>
          <w:sz w:val="20"/>
        </w:rPr>
      </w:pPr>
      <w:r w:rsidRPr="00FE5FBD">
        <w:rPr>
          <w:b/>
          <w:sz w:val="20"/>
        </w:rPr>
        <w:t xml:space="preserve">Rysunek U-13.   Wykres izokandeli dla świateł krawędzi drogi startowej o szerokości 45 m </w:t>
      </w:r>
      <w:r w:rsidRPr="00FE5FBD">
        <w:rPr>
          <w:b/>
          <w:sz w:val="20"/>
        </w:rPr>
        <w:br/>
        <w:t xml:space="preserve">     (światło białe)</w:t>
      </w:r>
    </w:p>
    <w:p w14:paraId="4E0CD45C" w14:textId="77777777" w:rsidR="00C36D76" w:rsidRPr="009E064B" w:rsidRDefault="00C36D76" w:rsidP="00B06A9A">
      <w:pPr>
        <w:rPr>
          <w:iCs/>
        </w:rPr>
      </w:pPr>
    </w:p>
    <w:p w14:paraId="5D3BBC17" w14:textId="77777777" w:rsidR="00C36D76" w:rsidRPr="009E064B" w:rsidRDefault="00C36D76" w:rsidP="00B06A9A">
      <w:pPr>
        <w:rPr>
          <w:rFonts w:cs="Arial"/>
          <w:iCs/>
          <w:szCs w:val="18"/>
        </w:rPr>
      </w:pPr>
      <w:r w:rsidRPr="009E064B">
        <w:rPr>
          <w:rFonts w:cs="Arial"/>
          <w:iCs/>
          <w:szCs w:val="18"/>
        </w:rPr>
        <w:t>Uwagi:</w:t>
      </w:r>
    </w:p>
    <w:p w14:paraId="13E434F2" w14:textId="77777777" w:rsidR="00D66FD5"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D66FD5" w:rsidRPr="009E064B">
        <w:rPr>
          <w:rFonts w:cs="Arial"/>
          <w:iCs/>
          <w:szCs w:val="18"/>
        </w:rPr>
        <w:t>:</w:t>
      </w:r>
    </w:p>
    <w:tbl>
      <w:tblPr>
        <w:tblpPr w:leftFromText="141" w:rightFromText="141" w:vertAnchor="text" w:horzAnchor="margin" w:tblpXSpec="center" w:tblpY="3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724"/>
        <w:gridCol w:w="724"/>
        <w:gridCol w:w="724"/>
      </w:tblGrid>
      <w:tr w:rsidR="00D66FD5" w:rsidRPr="009E064B" w14:paraId="07A7D6FC" w14:textId="77777777" w:rsidTr="00D66FD5">
        <w:trPr>
          <w:trHeight w:val="313"/>
        </w:trPr>
        <w:tc>
          <w:tcPr>
            <w:tcW w:w="724" w:type="dxa"/>
            <w:vAlign w:val="center"/>
          </w:tcPr>
          <w:p w14:paraId="5A8CAF0D" w14:textId="77777777" w:rsidR="00D66FD5" w:rsidRPr="009E064B" w:rsidRDefault="00D66FD5" w:rsidP="00D66FD5">
            <w:pPr>
              <w:spacing w:before="60" w:after="60"/>
              <w:jc w:val="center"/>
              <w:rPr>
                <w:rFonts w:cs="Arial"/>
                <w:iCs/>
                <w:szCs w:val="18"/>
              </w:rPr>
            </w:pPr>
            <w:r w:rsidRPr="009E064B">
              <w:rPr>
                <w:rFonts w:cs="Arial"/>
                <w:iCs/>
                <w:szCs w:val="18"/>
              </w:rPr>
              <w:t>a</w:t>
            </w:r>
          </w:p>
        </w:tc>
        <w:tc>
          <w:tcPr>
            <w:tcW w:w="724" w:type="dxa"/>
            <w:vAlign w:val="center"/>
          </w:tcPr>
          <w:p w14:paraId="62245EA9" w14:textId="77777777" w:rsidR="00D66FD5" w:rsidRPr="009E064B" w:rsidRDefault="00D66FD5" w:rsidP="00D66FD5">
            <w:pPr>
              <w:spacing w:before="60" w:after="60"/>
              <w:jc w:val="center"/>
              <w:rPr>
                <w:rFonts w:cs="Arial"/>
                <w:iCs/>
                <w:szCs w:val="18"/>
              </w:rPr>
            </w:pPr>
            <w:r w:rsidRPr="009E064B">
              <w:rPr>
                <w:rFonts w:cs="Arial"/>
                <w:iCs/>
                <w:szCs w:val="18"/>
              </w:rPr>
              <w:t>5.5</w:t>
            </w:r>
          </w:p>
        </w:tc>
        <w:tc>
          <w:tcPr>
            <w:tcW w:w="724" w:type="dxa"/>
            <w:vAlign w:val="center"/>
          </w:tcPr>
          <w:p w14:paraId="28506A8A" w14:textId="77777777" w:rsidR="00D66FD5" w:rsidRPr="009E064B" w:rsidRDefault="00D66FD5" w:rsidP="00D66FD5">
            <w:pPr>
              <w:spacing w:before="60" w:after="60"/>
              <w:jc w:val="center"/>
              <w:rPr>
                <w:rFonts w:cs="Arial"/>
                <w:iCs/>
                <w:szCs w:val="18"/>
              </w:rPr>
            </w:pPr>
            <w:r w:rsidRPr="009E064B">
              <w:rPr>
                <w:rFonts w:cs="Arial"/>
                <w:iCs/>
                <w:szCs w:val="18"/>
              </w:rPr>
              <w:t>7.5</w:t>
            </w:r>
          </w:p>
        </w:tc>
        <w:tc>
          <w:tcPr>
            <w:tcW w:w="724" w:type="dxa"/>
            <w:vAlign w:val="center"/>
          </w:tcPr>
          <w:p w14:paraId="3013EE40" w14:textId="77777777" w:rsidR="00D66FD5" w:rsidRPr="009E064B" w:rsidRDefault="00D66FD5" w:rsidP="00D66FD5">
            <w:pPr>
              <w:spacing w:before="60" w:after="60"/>
              <w:jc w:val="center"/>
              <w:rPr>
                <w:rFonts w:cs="Arial"/>
                <w:iCs/>
                <w:szCs w:val="18"/>
              </w:rPr>
            </w:pPr>
            <w:r w:rsidRPr="009E064B">
              <w:rPr>
                <w:rFonts w:cs="Arial"/>
                <w:iCs/>
                <w:szCs w:val="18"/>
              </w:rPr>
              <w:t>9.0</w:t>
            </w:r>
          </w:p>
        </w:tc>
      </w:tr>
      <w:tr w:rsidR="00D66FD5" w:rsidRPr="009E064B" w14:paraId="5C419869" w14:textId="77777777" w:rsidTr="00D66FD5">
        <w:trPr>
          <w:trHeight w:val="314"/>
        </w:trPr>
        <w:tc>
          <w:tcPr>
            <w:tcW w:w="724" w:type="dxa"/>
            <w:vAlign w:val="center"/>
          </w:tcPr>
          <w:p w14:paraId="4CEF2AD5" w14:textId="77777777" w:rsidR="00D66FD5" w:rsidRPr="009E064B" w:rsidRDefault="00D66FD5" w:rsidP="00D66FD5">
            <w:pPr>
              <w:spacing w:before="60" w:after="60"/>
              <w:jc w:val="center"/>
              <w:rPr>
                <w:rFonts w:cs="Arial"/>
                <w:iCs/>
                <w:szCs w:val="18"/>
              </w:rPr>
            </w:pPr>
            <w:r w:rsidRPr="009E064B">
              <w:rPr>
                <w:rFonts w:cs="Arial"/>
                <w:iCs/>
                <w:szCs w:val="18"/>
              </w:rPr>
              <w:t>b</w:t>
            </w:r>
          </w:p>
        </w:tc>
        <w:tc>
          <w:tcPr>
            <w:tcW w:w="724" w:type="dxa"/>
            <w:vAlign w:val="center"/>
          </w:tcPr>
          <w:p w14:paraId="0E4B0A71" w14:textId="77777777" w:rsidR="00D66FD5" w:rsidRPr="009E064B" w:rsidRDefault="00D66FD5" w:rsidP="00D66FD5">
            <w:pPr>
              <w:spacing w:before="60" w:after="60"/>
              <w:jc w:val="center"/>
              <w:rPr>
                <w:rFonts w:cs="Arial"/>
                <w:iCs/>
                <w:szCs w:val="18"/>
              </w:rPr>
            </w:pPr>
            <w:r w:rsidRPr="009E064B">
              <w:rPr>
                <w:rFonts w:cs="Arial"/>
                <w:iCs/>
                <w:szCs w:val="18"/>
              </w:rPr>
              <w:t>3.5</w:t>
            </w:r>
          </w:p>
        </w:tc>
        <w:tc>
          <w:tcPr>
            <w:tcW w:w="724" w:type="dxa"/>
            <w:vAlign w:val="center"/>
          </w:tcPr>
          <w:p w14:paraId="6FDC5B74" w14:textId="77777777" w:rsidR="00D66FD5" w:rsidRPr="009E064B" w:rsidRDefault="00D66FD5" w:rsidP="00D66FD5">
            <w:pPr>
              <w:spacing w:before="60" w:after="60"/>
              <w:jc w:val="center"/>
              <w:rPr>
                <w:rFonts w:cs="Arial"/>
                <w:iCs/>
                <w:szCs w:val="18"/>
              </w:rPr>
            </w:pPr>
            <w:r w:rsidRPr="009E064B">
              <w:rPr>
                <w:rFonts w:cs="Arial"/>
                <w:iCs/>
                <w:szCs w:val="18"/>
              </w:rPr>
              <w:t>6.0</w:t>
            </w:r>
          </w:p>
        </w:tc>
        <w:tc>
          <w:tcPr>
            <w:tcW w:w="724" w:type="dxa"/>
            <w:vAlign w:val="center"/>
          </w:tcPr>
          <w:p w14:paraId="73AD5923" w14:textId="77777777" w:rsidR="00D66FD5" w:rsidRPr="009E064B" w:rsidRDefault="00D66FD5" w:rsidP="00D66FD5">
            <w:pPr>
              <w:spacing w:before="60" w:after="60"/>
              <w:jc w:val="center"/>
              <w:rPr>
                <w:rFonts w:cs="Arial"/>
                <w:iCs/>
                <w:szCs w:val="18"/>
              </w:rPr>
            </w:pPr>
            <w:r w:rsidRPr="009E064B">
              <w:rPr>
                <w:rFonts w:cs="Arial"/>
                <w:iCs/>
                <w:szCs w:val="18"/>
              </w:rPr>
              <w:t>8.5</w:t>
            </w:r>
          </w:p>
        </w:tc>
      </w:tr>
    </w:tbl>
    <w:p w14:paraId="5EC27377" w14:textId="77777777" w:rsidR="00D66FD5" w:rsidRPr="009E064B" w:rsidRDefault="00D66FD5" w:rsidP="000B7988">
      <w:pPr>
        <w:tabs>
          <w:tab w:val="left" w:pos="1134"/>
        </w:tabs>
        <w:ind w:left="1134" w:hanging="567"/>
        <w:rPr>
          <w:rFonts w:cs="Arial"/>
          <w:iCs/>
          <w:szCs w:val="18"/>
        </w:rPr>
      </w:pPr>
    </w:p>
    <w:p w14:paraId="370D832D" w14:textId="4EC8C816" w:rsidR="00C36D76" w:rsidRPr="009E064B" w:rsidRDefault="00C36D76" w:rsidP="00D66FD5">
      <w:pPr>
        <w:tabs>
          <w:tab w:val="left" w:pos="1134"/>
        </w:tabs>
        <w:ind w:left="1134"/>
        <w:rPr>
          <w:rFonts w:cs="Arial"/>
          <w:iCs/>
          <w:szCs w:val="18"/>
        </w:rPr>
      </w:pPr>
      <w:r w:rsidRPr="009E064B">
        <w:rPr>
          <w:rFonts w:cs="Arial"/>
          <w:iCs/>
          <w:position w:val="-24"/>
          <w:szCs w:val="18"/>
        </w:rPr>
        <w:object w:dxaOrig="1219" w:dyaOrig="660" w14:anchorId="4B044D16">
          <v:shape id="_x0000_i1033" type="#_x0000_t75" style="width:57.75pt;height:29.25pt" o:ole="">
            <v:imagedata r:id="rId261" o:title=""/>
          </v:shape>
          <o:OLEObject Type="Embed" ProgID="Equation.3" ShapeID="_x0000_i1033" DrawAspect="Content" ObjectID="_1623657800" r:id="rId278"/>
        </w:object>
      </w:r>
    </w:p>
    <w:p w14:paraId="1C6E394E" w14:textId="77777777" w:rsidR="00C36D76" w:rsidRPr="009E064B" w:rsidRDefault="00C36D76" w:rsidP="00D66FD5">
      <w:pPr>
        <w:tabs>
          <w:tab w:val="left" w:pos="1134"/>
        </w:tabs>
        <w:ind w:left="1134" w:hanging="567"/>
        <w:rPr>
          <w:rFonts w:cs="Arial"/>
          <w:iCs/>
          <w:szCs w:val="18"/>
        </w:rPr>
      </w:pPr>
    </w:p>
    <w:p w14:paraId="4B9924A6"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3.5 stopnia.</w:t>
      </w:r>
    </w:p>
    <w:p w14:paraId="5AFFF2E9"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W przypadku światła żółtego, powyższe wartości należy pomnożyć przez 0.40.</w:t>
      </w:r>
    </w:p>
    <w:p w14:paraId="0A922CD1" w14:textId="77777777" w:rsidR="00C36D76" w:rsidRPr="009E064B" w:rsidRDefault="00C36D76" w:rsidP="000B7988">
      <w:pPr>
        <w:tabs>
          <w:tab w:val="left" w:pos="1134"/>
        </w:tabs>
        <w:ind w:left="1134" w:hanging="567"/>
        <w:rPr>
          <w:rFonts w:cs="Arial"/>
          <w:iCs/>
          <w:szCs w:val="18"/>
        </w:rPr>
      </w:pPr>
      <w:r w:rsidRPr="009E064B">
        <w:rPr>
          <w:rFonts w:cs="Arial"/>
          <w:iCs/>
          <w:szCs w:val="18"/>
        </w:rPr>
        <w:t>(d)</w:t>
      </w:r>
      <w:r w:rsidRPr="009E064B">
        <w:rPr>
          <w:rFonts w:cs="Arial"/>
          <w:iCs/>
          <w:szCs w:val="18"/>
        </w:rPr>
        <w:tab/>
        <w:t>Patrz uwagi wspólne dla Rysunków U-5 do U-15.</w:t>
      </w:r>
    </w:p>
    <w:p w14:paraId="24CDF8C9" w14:textId="77777777" w:rsidR="00C36D76" w:rsidRPr="009E064B" w:rsidRDefault="00C36D76" w:rsidP="00B06A9A">
      <w:pPr>
        <w:spacing w:after="0"/>
        <w:rPr>
          <w:iCs/>
          <w:szCs w:val="18"/>
        </w:rPr>
      </w:pPr>
    </w:p>
    <w:p w14:paraId="0CCE0CF7" w14:textId="77777777" w:rsidR="00C36D76" w:rsidRPr="009E064B" w:rsidRDefault="00C36D76" w:rsidP="00B06A9A">
      <w:pPr>
        <w:spacing w:after="200"/>
        <w:jc w:val="left"/>
        <w:rPr>
          <w:szCs w:val="20"/>
        </w:rPr>
      </w:pPr>
      <w:r w:rsidRPr="009E064B">
        <w:rPr>
          <w:szCs w:val="20"/>
        </w:rPr>
        <w:br w:type="page"/>
      </w:r>
    </w:p>
    <w:p w14:paraId="57D42051" w14:textId="77777777" w:rsidR="00C36D76" w:rsidRPr="009E064B" w:rsidRDefault="00C36D76" w:rsidP="00B06A9A">
      <w:pPr>
        <w:rPr>
          <w:szCs w:val="20"/>
        </w:rPr>
      </w:pPr>
    </w:p>
    <w:p w14:paraId="7FE8B34A" w14:textId="77777777" w:rsidR="00C36D76" w:rsidRPr="009E064B" w:rsidRDefault="00C36D76" w:rsidP="00B06A9A">
      <w:pPr>
        <w:rPr>
          <w:szCs w:val="20"/>
        </w:rPr>
      </w:pPr>
      <w:r w:rsidRPr="009E064B">
        <w:rPr>
          <w:noProof/>
          <w:szCs w:val="20"/>
          <w:lang w:eastAsia="pl-PL"/>
        </w:rPr>
        <w:drawing>
          <wp:inline distT="0" distB="0" distL="0" distR="0" wp14:anchorId="7F0E14CA" wp14:editId="5A407461">
            <wp:extent cx="5665470" cy="3705225"/>
            <wp:effectExtent l="19050" t="0" r="0" b="0"/>
            <wp:docPr id="898" name="Obraz 57" descr="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descr="A2-10"/>
                    <pic:cNvPicPr>
                      <a:picLocks noChangeAspect="1" noChangeArrowheads="1"/>
                    </pic:cNvPicPr>
                  </pic:nvPicPr>
                  <pic:blipFill>
                    <a:blip r:embed="rId279" cstate="print"/>
                    <a:srcRect/>
                    <a:stretch>
                      <a:fillRect/>
                    </a:stretch>
                  </pic:blipFill>
                  <pic:spPr bwMode="auto">
                    <a:xfrm>
                      <a:off x="0" y="0"/>
                      <a:ext cx="5665470" cy="3705225"/>
                    </a:xfrm>
                    <a:prstGeom prst="rect">
                      <a:avLst/>
                    </a:prstGeom>
                    <a:noFill/>
                    <a:ln w="9525">
                      <a:noFill/>
                      <a:miter lim="800000"/>
                      <a:headEnd/>
                      <a:tailEnd/>
                    </a:ln>
                  </pic:spPr>
                </pic:pic>
              </a:graphicData>
            </a:graphic>
          </wp:inline>
        </w:drawing>
      </w:r>
    </w:p>
    <w:p w14:paraId="1D33255B" w14:textId="77777777" w:rsidR="00C36D76" w:rsidRPr="009E064B" w:rsidRDefault="00C36D76" w:rsidP="00B06A9A">
      <w:pPr>
        <w:spacing w:after="0"/>
        <w:rPr>
          <w:szCs w:val="20"/>
        </w:rPr>
      </w:pPr>
    </w:p>
    <w:p w14:paraId="2945898B" w14:textId="1F19365F" w:rsidR="00C36D76" w:rsidRPr="009E064B" w:rsidRDefault="00C36D76" w:rsidP="00FE5FBD">
      <w:pPr>
        <w:spacing w:before="240"/>
        <w:ind w:left="709" w:hanging="709"/>
        <w:jc w:val="center"/>
        <w:rPr>
          <w:szCs w:val="20"/>
        </w:rPr>
      </w:pPr>
      <w:r w:rsidRPr="00FE5FBD">
        <w:rPr>
          <w:b/>
          <w:sz w:val="20"/>
        </w:rPr>
        <w:t>Rysunek U-14.  Wykres izokandeli dla świateł krawędzi drogi startowej o szerokości 60 m</w:t>
      </w:r>
      <w:r w:rsidRPr="00FE5FBD">
        <w:rPr>
          <w:b/>
          <w:sz w:val="20"/>
        </w:rPr>
        <w:br/>
      </w:r>
    </w:p>
    <w:p w14:paraId="6BBA65B2" w14:textId="77777777" w:rsidR="00C36D76" w:rsidRPr="009E064B" w:rsidRDefault="00C36D76" w:rsidP="00B06A9A">
      <w:pPr>
        <w:rPr>
          <w:iCs/>
          <w:szCs w:val="18"/>
        </w:rPr>
      </w:pPr>
    </w:p>
    <w:p w14:paraId="677A514B" w14:textId="3C6EEC07" w:rsidR="00C36D76" w:rsidRPr="009E064B" w:rsidRDefault="00D66FD5" w:rsidP="00B06A9A">
      <w:pPr>
        <w:rPr>
          <w:rFonts w:cs="Arial"/>
          <w:iCs/>
          <w:szCs w:val="18"/>
        </w:rPr>
      </w:pPr>
      <w:r w:rsidRPr="009E064B">
        <w:rPr>
          <w:rFonts w:cs="Arial"/>
          <w:iCs/>
          <w:szCs w:val="18"/>
        </w:rPr>
        <w:t>Uwagi:</w:t>
      </w:r>
    </w:p>
    <w:p w14:paraId="2CDB9B4D" w14:textId="77777777" w:rsidR="00D66FD5" w:rsidRPr="009E064B" w:rsidRDefault="00C36D76" w:rsidP="000B7988">
      <w:pPr>
        <w:tabs>
          <w:tab w:val="left" w:pos="1134"/>
        </w:tabs>
        <w:ind w:left="1134" w:hanging="567"/>
        <w:rPr>
          <w:rFonts w:cs="Arial"/>
          <w:iCs/>
          <w:szCs w:val="18"/>
        </w:rPr>
      </w:pPr>
      <w:r w:rsidRPr="009E064B">
        <w:rPr>
          <w:rFonts w:cs="Arial"/>
          <w:iCs/>
          <w:szCs w:val="18"/>
        </w:rPr>
        <w:t>(a)</w:t>
      </w:r>
      <w:r w:rsidRPr="009E064B">
        <w:rPr>
          <w:rFonts w:cs="Arial"/>
          <w:iCs/>
          <w:szCs w:val="18"/>
        </w:rPr>
        <w:tab/>
        <w:t>Krzywe obliczono wg wzoru</w:t>
      </w:r>
      <w:r w:rsidR="00D66FD5" w:rsidRPr="009E064B">
        <w:rPr>
          <w:rFonts w:cs="Arial"/>
          <w:iCs/>
          <w:szCs w:val="18"/>
        </w:rPr>
        <w:t>:</w:t>
      </w:r>
    </w:p>
    <w:tbl>
      <w:tblPr>
        <w:tblpPr w:leftFromText="141" w:rightFromText="141" w:vertAnchor="text" w:horzAnchor="margin" w:tblpXSpec="center"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7"/>
        <w:gridCol w:w="717"/>
        <w:gridCol w:w="717"/>
        <w:gridCol w:w="717"/>
      </w:tblGrid>
      <w:tr w:rsidR="00D66FD5" w:rsidRPr="009E064B" w14:paraId="4776BD40" w14:textId="77777777" w:rsidTr="00D66FD5">
        <w:trPr>
          <w:trHeight w:val="313"/>
        </w:trPr>
        <w:tc>
          <w:tcPr>
            <w:tcW w:w="717" w:type="dxa"/>
            <w:vAlign w:val="center"/>
          </w:tcPr>
          <w:p w14:paraId="648AD2AD" w14:textId="77777777" w:rsidR="00D66FD5" w:rsidRPr="009E064B" w:rsidRDefault="00D66FD5" w:rsidP="00D66FD5">
            <w:pPr>
              <w:spacing w:before="60" w:after="60"/>
              <w:jc w:val="center"/>
              <w:rPr>
                <w:rFonts w:cs="Arial"/>
                <w:iCs/>
                <w:sz w:val="20"/>
                <w:szCs w:val="18"/>
              </w:rPr>
            </w:pPr>
            <w:r w:rsidRPr="009E064B">
              <w:rPr>
                <w:rFonts w:cs="Arial"/>
                <w:iCs/>
                <w:sz w:val="20"/>
                <w:szCs w:val="18"/>
              </w:rPr>
              <w:t>a</w:t>
            </w:r>
          </w:p>
        </w:tc>
        <w:tc>
          <w:tcPr>
            <w:tcW w:w="717" w:type="dxa"/>
            <w:vAlign w:val="center"/>
          </w:tcPr>
          <w:p w14:paraId="3CC11BDA" w14:textId="77777777" w:rsidR="00D66FD5" w:rsidRPr="009E064B" w:rsidRDefault="00D66FD5" w:rsidP="00D66FD5">
            <w:pPr>
              <w:spacing w:before="60" w:after="60"/>
              <w:jc w:val="center"/>
              <w:rPr>
                <w:rFonts w:cs="Arial"/>
                <w:iCs/>
                <w:sz w:val="20"/>
                <w:szCs w:val="18"/>
              </w:rPr>
            </w:pPr>
            <w:r w:rsidRPr="009E064B">
              <w:rPr>
                <w:rFonts w:cs="Arial"/>
                <w:iCs/>
                <w:sz w:val="20"/>
                <w:szCs w:val="18"/>
              </w:rPr>
              <w:t>6.5</w:t>
            </w:r>
          </w:p>
        </w:tc>
        <w:tc>
          <w:tcPr>
            <w:tcW w:w="717" w:type="dxa"/>
            <w:vAlign w:val="center"/>
          </w:tcPr>
          <w:p w14:paraId="57564E57"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c>
          <w:tcPr>
            <w:tcW w:w="717" w:type="dxa"/>
            <w:vAlign w:val="center"/>
          </w:tcPr>
          <w:p w14:paraId="250838C6" w14:textId="77777777" w:rsidR="00D66FD5" w:rsidRPr="009E064B" w:rsidRDefault="00D66FD5" w:rsidP="00D66FD5">
            <w:pPr>
              <w:spacing w:before="60" w:after="60"/>
              <w:jc w:val="center"/>
              <w:rPr>
                <w:rFonts w:cs="Arial"/>
                <w:iCs/>
                <w:sz w:val="20"/>
                <w:szCs w:val="18"/>
              </w:rPr>
            </w:pPr>
            <w:r w:rsidRPr="009E064B">
              <w:rPr>
                <w:rFonts w:cs="Arial"/>
                <w:iCs/>
                <w:sz w:val="20"/>
                <w:szCs w:val="18"/>
              </w:rPr>
              <w:t>10.0</w:t>
            </w:r>
          </w:p>
        </w:tc>
      </w:tr>
      <w:tr w:rsidR="00D66FD5" w:rsidRPr="009E064B" w14:paraId="54CC82FD" w14:textId="77777777" w:rsidTr="00D66FD5">
        <w:trPr>
          <w:trHeight w:val="314"/>
        </w:trPr>
        <w:tc>
          <w:tcPr>
            <w:tcW w:w="717" w:type="dxa"/>
            <w:vAlign w:val="center"/>
          </w:tcPr>
          <w:p w14:paraId="3147185E" w14:textId="77777777" w:rsidR="00D66FD5" w:rsidRPr="009E064B" w:rsidRDefault="00D66FD5" w:rsidP="00D66FD5">
            <w:pPr>
              <w:spacing w:before="60" w:after="60"/>
              <w:jc w:val="center"/>
              <w:rPr>
                <w:rFonts w:cs="Arial"/>
                <w:iCs/>
                <w:sz w:val="20"/>
                <w:szCs w:val="18"/>
              </w:rPr>
            </w:pPr>
            <w:r w:rsidRPr="009E064B">
              <w:rPr>
                <w:rFonts w:cs="Arial"/>
                <w:iCs/>
                <w:sz w:val="20"/>
                <w:szCs w:val="18"/>
              </w:rPr>
              <w:t>b</w:t>
            </w:r>
          </w:p>
        </w:tc>
        <w:tc>
          <w:tcPr>
            <w:tcW w:w="717" w:type="dxa"/>
            <w:vAlign w:val="center"/>
          </w:tcPr>
          <w:p w14:paraId="0F7E9901" w14:textId="77777777" w:rsidR="00D66FD5" w:rsidRPr="009E064B" w:rsidRDefault="00D66FD5" w:rsidP="00D66FD5">
            <w:pPr>
              <w:spacing w:before="60" w:after="60"/>
              <w:jc w:val="center"/>
              <w:rPr>
                <w:rFonts w:cs="Arial"/>
                <w:iCs/>
                <w:sz w:val="20"/>
                <w:szCs w:val="18"/>
              </w:rPr>
            </w:pPr>
            <w:r w:rsidRPr="009E064B">
              <w:rPr>
                <w:rFonts w:cs="Arial"/>
                <w:iCs/>
                <w:sz w:val="20"/>
                <w:szCs w:val="18"/>
              </w:rPr>
              <w:t>3.5</w:t>
            </w:r>
          </w:p>
        </w:tc>
        <w:tc>
          <w:tcPr>
            <w:tcW w:w="717" w:type="dxa"/>
            <w:vAlign w:val="center"/>
          </w:tcPr>
          <w:p w14:paraId="06C08073" w14:textId="77777777" w:rsidR="00D66FD5" w:rsidRPr="009E064B" w:rsidRDefault="00D66FD5" w:rsidP="00D66FD5">
            <w:pPr>
              <w:spacing w:before="60" w:after="60"/>
              <w:jc w:val="center"/>
              <w:rPr>
                <w:rFonts w:cs="Arial"/>
                <w:iCs/>
                <w:sz w:val="20"/>
                <w:szCs w:val="18"/>
              </w:rPr>
            </w:pPr>
            <w:r w:rsidRPr="009E064B">
              <w:rPr>
                <w:rFonts w:cs="Arial"/>
                <w:iCs/>
                <w:sz w:val="20"/>
                <w:szCs w:val="18"/>
              </w:rPr>
              <w:t>6.0</w:t>
            </w:r>
          </w:p>
        </w:tc>
        <w:tc>
          <w:tcPr>
            <w:tcW w:w="717" w:type="dxa"/>
            <w:vAlign w:val="center"/>
          </w:tcPr>
          <w:p w14:paraId="220C8163" w14:textId="77777777" w:rsidR="00D66FD5" w:rsidRPr="009E064B" w:rsidRDefault="00D66FD5" w:rsidP="00D66FD5">
            <w:pPr>
              <w:spacing w:before="60" w:after="60"/>
              <w:jc w:val="center"/>
              <w:rPr>
                <w:rFonts w:cs="Arial"/>
                <w:iCs/>
                <w:sz w:val="20"/>
                <w:szCs w:val="18"/>
              </w:rPr>
            </w:pPr>
            <w:r w:rsidRPr="009E064B">
              <w:rPr>
                <w:rFonts w:cs="Arial"/>
                <w:iCs/>
                <w:sz w:val="20"/>
                <w:szCs w:val="18"/>
              </w:rPr>
              <w:t>8.5</w:t>
            </w:r>
          </w:p>
        </w:tc>
      </w:tr>
    </w:tbl>
    <w:p w14:paraId="1841D417" w14:textId="77777777" w:rsidR="00D66FD5" w:rsidRPr="009E064B" w:rsidRDefault="00D66FD5" w:rsidP="000B7988">
      <w:pPr>
        <w:tabs>
          <w:tab w:val="left" w:pos="1134"/>
        </w:tabs>
        <w:ind w:left="1134" w:hanging="567"/>
        <w:rPr>
          <w:rFonts w:cs="Arial"/>
          <w:iCs/>
          <w:szCs w:val="18"/>
        </w:rPr>
      </w:pPr>
    </w:p>
    <w:p w14:paraId="1B981BC1" w14:textId="70586C9A" w:rsidR="00C36D76" w:rsidRPr="009E064B" w:rsidRDefault="00C36D76" w:rsidP="00D66FD5">
      <w:pPr>
        <w:tabs>
          <w:tab w:val="left" w:pos="1134"/>
        </w:tabs>
        <w:ind w:left="1134"/>
        <w:rPr>
          <w:rFonts w:cs="Arial"/>
          <w:iCs/>
          <w:szCs w:val="18"/>
        </w:rPr>
      </w:pPr>
      <w:r w:rsidRPr="009E064B">
        <w:rPr>
          <w:rFonts w:cs="Arial"/>
          <w:iCs/>
          <w:position w:val="-24"/>
          <w:szCs w:val="18"/>
        </w:rPr>
        <w:object w:dxaOrig="1219" w:dyaOrig="660" w14:anchorId="75BD95C3">
          <v:shape id="_x0000_i1034" type="#_x0000_t75" style="width:57.75pt;height:29.25pt" o:ole="">
            <v:imagedata r:id="rId261" o:title=""/>
          </v:shape>
          <o:OLEObject Type="Embed" ProgID="Equation.3" ShapeID="_x0000_i1034" DrawAspect="Content" ObjectID="_1623657801" r:id="rId280"/>
        </w:object>
      </w:r>
    </w:p>
    <w:p w14:paraId="356D88F7" w14:textId="77777777" w:rsidR="00C36D76" w:rsidRPr="009E064B" w:rsidRDefault="00C36D76" w:rsidP="00B06A9A">
      <w:pPr>
        <w:spacing w:after="0"/>
        <w:rPr>
          <w:rFonts w:cs="Arial"/>
          <w:iCs/>
          <w:szCs w:val="18"/>
        </w:rPr>
      </w:pPr>
    </w:p>
    <w:p w14:paraId="462C3B01" w14:textId="77777777" w:rsidR="00C36D76" w:rsidRPr="009E064B" w:rsidRDefault="00C36D76" w:rsidP="000B7988">
      <w:pPr>
        <w:tabs>
          <w:tab w:val="left" w:pos="1134"/>
        </w:tabs>
        <w:ind w:left="1134" w:hanging="567"/>
        <w:rPr>
          <w:rFonts w:cs="Arial"/>
          <w:iCs/>
          <w:szCs w:val="18"/>
        </w:rPr>
      </w:pPr>
      <w:r w:rsidRPr="009E064B">
        <w:rPr>
          <w:rFonts w:cs="Arial"/>
          <w:iCs/>
          <w:szCs w:val="18"/>
        </w:rPr>
        <w:t>(b)</w:t>
      </w:r>
      <w:r w:rsidRPr="009E064B">
        <w:rPr>
          <w:rFonts w:cs="Arial"/>
          <w:iCs/>
          <w:szCs w:val="18"/>
        </w:rPr>
        <w:tab/>
        <w:t>Ustawienie zbieżne 4.5 stopnia.</w:t>
      </w:r>
    </w:p>
    <w:p w14:paraId="2319A3ED" w14:textId="77777777" w:rsidR="00C36D76" w:rsidRPr="009E064B" w:rsidRDefault="00C36D76" w:rsidP="000B7988">
      <w:pPr>
        <w:tabs>
          <w:tab w:val="left" w:pos="1134"/>
        </w:tabs>
        <w:ind w:left="1134" w:hanging="567"/>
        <w:rPr>
          <w:rFonts w:cs="Arial"/>
          <w:iCs/>
          <w:szCs w:val="18"/>
        </w:rPr>
      </w:pPr>
      <w:r w:rsidRPr="009E064B">
        <w:rPr>
          <w:rFonts w:cs="Arial"/>
          <w:iCs/>
          <w:szCs w:val="18"/>
        </w:rPr>
        <w:t>(c)</w:t>
      </w:r>
      <w:r w:rsidRPr="009E064B">
        <w:rPr>
          <w:rFonts w:cs="Arial"/>
          <w:iCs/>
          <w:szCs w:val="18"/>
        </w:rPr>
        <w:tab/>
        <w:t>W przypadku światła czerwonego, powyższe wartości należy pomnożyć przez 0.15.</w:t>
      </w:r>
    </w:p>
    <w:p w14:paraId="3F2039DD" w14:textId="77777777" w:rsidR="00C36D76" w:rsidRPr="009E064B" w:rsidRDefault="00C36D76" w:rsidP="000B7988">
      <w:pPr>
        <w:tabs>
          <w:tab w:val="left" w:pos="1134"/>
        </w:tabs>
        <w:ind w:left="1134" w:hanging="567"/>
        <w:rPr>
          <w:rFonts w:cs="Arial"/>
          <w:iCs/>
          <w:szCs w:val="18"/>
        </w:rPr>
      </w:pPr>
      <w:r w:rsidRPr="009E064B">
        <w:rPr>
          <w:rFonts w:cs="Arial"/>
          <w:iCs/>
          <w:szCs w:val="18"/>
        </w:rPr>
        <w:t>(d)</w:t>
      </w:r>
      <w:r w:rsidRPr="009E064B">
        <w:rPr>
          <w:rFonts w:cs="Arial"/>
          <w:iCs/>
          <w:szCs w:val="18"/>
        </w:rPr>
        <w:tab/>
        <w:t>W przypadku światła żółtego, powyższe wartości należy pomnożyć przez 0.40.</w:t>
      </w:r>
    </w:p>
    <w:p w14:paraId="31189DBA" w14:textId="77777777" w:rsidR="00C36D76" w:rsidRPr="009E064B" w:rsidRDefault="00C36D76" w:rsidP="000B7988">
      <w:pPr>
        <w:tabs>
          <w:tab w:val="left" w:pos="1134"/>
        </w:tabs>
        <w:ind w:left="1134" w:hanging="567"/>
        <w:rPr>
          <w:rFonts w:cs="Arial"/>
          <w:iCs/>
          <w:szCs w:val="18"/>
        </w:rPr>
      </w:pPr>
      <w:r w:rsidRPr="009E064B">
        <w:rPr>
          <w:rFonts w:cs="Arial"/>
          <w:iCs/>
          <w:szCs w:val="18"/>
        </w:rPr>
        <w:t>(e)</w:t>
      </w:r>
      <w:r w:rsidRPr="009E064B">
        <w:rPr>
          <w:rFonts w:cs="Arial"/>
          <w:iCs/>
          <w:szCs w:val="18"/>
        </w:rPr>
        <w:tab/>
        <w:t>Patrz uwagi wspólne dla Rysunków  U-5 do U-15.</w:t>
      </w:r>
    </w:p>
    <w:p w14:paraId="1867B23A" w14:textId="77777777" w:rsidR="00C36D76" w:rsidRPr="009E064B" w:rsidRDefault="00C36D76" w:rsidP="00B06A9A">
      <w:pPr>
        <w:spacing w:after="200"/>
        <w:jc w:val="left"/>
        <w:rPr>
          <w:szCs w:val="20"/>
        </w:rPr>
      </w:pPr>
      <w:r w:rsidRPr="009E064B">
        <w:rPr>
          <w:szCs w:val="20"/>
        </w:rPr>
        <w:br w:type="page"/>
      </w:r>
    </w:p>
    <w:p w14:paraId="5D2D23C0" w14:textId="77777777" w:rsidR="00C36D76" w:rsidRPr="009E064B" w:rsidRDefault="00C36D76" w:rsidP="00B06A9A">
      <w:pPr>
        <w:rPr>
          <w:szCs w:val="20"/>
        </w:rPr>
      </w:pPr>
    </w:p>
    <w:p w14:paraId="27C15DEF" w14:textId="77777777" w:rsidR="00C36D76" w:rsidRPr="009E064B" w:rsidRDefault="00C36D76" w:rsidP="00B06A9A">
      <w:pPr>
        <w:rPr>
          <w:szCs w:val="20"/>
        </w:rPr>
      </w:pPr>
      <w:r w:rsidRPr="009E064B">
        <w:rPr>
          <w:noProof/>
          <w:szCs w:val="20"/>
          <w:lang w:eastAsia="pl-PL"/>
        </w:rPr>
        <w:drawing>
          <wp:inline distT="0" distB="0" distL="0" distR="0" wp14:anchorId="05274298" wp14:editId="4E32724C">
            <wp:extent cx="5737225" cy="3693160"/>
            <wp:effectExtent l="19050" t="0" r="0" b="0"/>
            <wp:docPr id="899" name="Obraz 59" descr="A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A2-11"/>
                    <pic:cNvPicPr>
                      <a:picLocks noChangeAspect="1" noChangeArrowheads="1"/>
                    </pic:cNvPicPr>
                  </pic:nvPicPr>
                  <pic:blipFill>
                    <a:blip r:embed="rId281" cstate="print"/>
                    <a:srcRect/>
                    <a:stretch>
                      <a:fillRect/>
                    </a:stretch>
                  </pic:blipFill>
                  <pic:spPr bwMode="auto">
                    <a:xfrm>
                      <a:off x="0" y="0"/>
                      <a:ext cx="5737225" cy="3693160"/>
                    </a:xfrm>
                    <a:prstGeom prst="rect">
                      <a:avLst/>
                    </a:prstGeom>
                    <a:noFill/>
                    <a:ln w="9525">
                      <a:noFill/>
                      <a:miter lim="800000"/>
                      <a:headEnd/>
                      <a:tailEnd/>
                    </a:ln>
                  </pic:spPr>
                </pic:pic>
              </a:graphicData>
            </a:graphic>
          </wp:inline>
        </w:drawing>
      </w:r>
    </w:p>
    <w:p w14:paraId="403D63DB" w14:textId="77777777" w:rsidR="00C36D76" w:rsidRPr="009E064B" w:rsidRDefault="00C36D76" w:rsidP="00B06A9A">
      <w:pPr>
        <w:spacing w:after="0"/>
        <w:rPr>
          <w:szCs w:val="20"/>
        </w:rPr>
      </w:pPr>
    </w:p>
    <w:p w14:paraId="0E2C8DB9" w14:textId="77777777" w:rsidR="00C36D76" w:rsidRPr="00FE5FBD" w:rsidRDefault="00C36D76" w:rsidP="00FE5FBD">
      <w:pPr>
        <w:spacing w:before="240"/>
        <w:ind w:left="709" w:hanging="709"/>
        <w:jc w:val="center"/>
        <w:rPr>
          <w:b/>
          <w:sz w:val="20"/>
        </w:rPr>
      </w:pPr>
      <w:r w:rsidRPr="00FE5FBD">
        <w:rPr>
          <w:b/>
          <w:sz w:val="20"/>
        </w:rPr>
        <w:t>Rysunek U-15.   Punkty siatki służące do obliczania średniej intensywności świateł podejścia</w:t>
      </w:r>
      <w:r w:rsidRPr="00FE5FBD">
        <w:rPr>
          <w:b/>
          <w:sz w:val="20"/>
        </w:rPr>
        <w:br/>
        <w:t>i świateł drogi startowej</w:t>
      </w:r>
    </w:p>
    <w:p w14:paraId="0FB79FA2" w14:textId="78B008AA" w:rsidR="00D66FD5" w:rsidRPr="009E064B" w:rsidRDefault="00D66FD5">
      <w:pPr>
        <w:spacing w:after="0"/>
        <w:jc w:val="left"/>
        <w:rPr>
          <w:b/>
          <w:szCs w:val="20"/>
        </w:rPr>
      </w:pPr>
    </w:p>
    <w:p w14:paraId="7A20CB4C" w14:textId="4DB55D29" w:rsidR="00C36D76" w:rsidRPr="009E064B" w:rsidRDefault="00C36D76" w:rsidP="00B06A9A">
      <w:pPr>
        <w:rPr>
          <w:b/>
          <w:szCs w:val="20"/>
        </w:rPr>
      </w:pPr>
    </w:p>
    <w:p w14:paraId="41C3C76F" w14:textId="77777777" w:rsidR="00D66FD5" w:rsidRPr="009E064B" w:rsidRDefault="00D66FD5" w:rsidP="00B06A9A">
      <w:pPr>
        <w:rPr>
          <w:b/>
          <w:szCs w:val="20"/>
        </w:rPr>
      </w:pPr>
    </w:p>
    <w:p w14:paraId="1273BC22" w14:textId="28AB224A" w:rsidR="00C36D76" w:rsidRPr="009E064B" w:rsidRDefault="000E0B48" w:rsidP="00B06A9A">
      <w:pPr>
        <w:spacing w:before="240" w:after="240"/>
        <w:jc w:val="center"/>
        <w:rPr>
          <w:b/>
          <w:sz w:val="24"/>
          <w:szCs w:val="20"/>
        </w:rPr>
      </w:pPr>
      <w:r w:rsidRPr="009E064B">
        <w:rPr>
          <w:b/>
          <w:sz w:val="24"/>
          <w:szCs w:val="20"/>
        </w:rPr>
        <w:t>Uwagi wspólne do R</w:t>
      </w:r>
      <w:r w:rsidR="00C36D76" w:rsidRPr="009E064B">
        <w:rPr>
          <w:b/>
          <w:sz w:val="24"/>
          <w:szCs w:val="20"/>
        </w:rPr>
        <w:t>ysunków U-5 do U-15</w:t>
      </w:r>
    </w:p>
    <w:p w14:paraId="46C09994" w14:textId="77777777"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Pr="009E064B">
        <w:rPr>
          <w:szCs w:val="20"/>
        </w:rPr>
        <w:t>Elipsy na każdym rysunku są symetryczne względem pionowych i poziomych linii środkowych.</w:t>
      </w:r>
    </w:p>
    <w:p w14:paraId="65D08B12" w14:textId="77777777"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 xml:space="preserve">Rysunki U-5 do U-14 przedstawiają minimalne dopuszczalne intensywności. Intensywność średnia wiązki głównej obliczana jest na podstawie siatki punktów, zgodnie z Rysunkiem </w:t>
      </w:r>
      <w:r w:rsidRPr="009E064B">
        <w:rPr>
          <w:szCs w:val="20"/>
        </w:rPr>
        <w:br/>
        <w:t>U-15 oraz mierzona we wszystkich punktach siatki znajdujących się wewnątrz oraz na granicy elipsy określającej wiązkę główną. Wartość średnią stanowi średnia arytmetyczna z pomiarów intensywności światła we wszystkich określonych punktach siatki.</w:t>
      </w:r>
    </w:p>
    <w:p w14:paraId="0C74163F"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Jeżeli światło jest prawidłowo ustawione, niedopuszczalne jest żadne odchylenie kształtu wiązki głównej.</w:t>
      </w:r>
    </w:p>
    <w:p w14:paraId="5C862728"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Stosunek intensywności średnich. Stosunek intensywności średniej wewnątrz elipsy określającej wiązkę główną typowej nowej lampy do średniej intensywności wiązki głównej nowej lampy krawędzi drogi startowej powinien być następujący:</w:t>
      </w:r>
    </w:p>
    <w:p w14:paraId="2199132F" w14:textId="77777777" w:rsidR="00C36D76" w:rsidRPr="009E064B" w:rsidRDefault="00C36D76" w:rsidP="00B06A9A">
      <w:pPr>
        <w:ind w:left="425" w:right="-6" w:hanging="425"/>
        <w:jc w:val="left"/>
        <w:rPr>
          <w:szCs w:val="20"/>
        </w:rPr>
      </w:pPr>
      <w:r w:rsidRPr="009E064B">
        <w:rPr>
          <w:szCs w:val="20"/>
        </w:rPr>
        <w:br w:type="page"/>
      </w:r>
    </w:p>
    <w:p w14:paraId="0881A9E6" w14:textId="77777777" w:rsidR="00C36D76" w:rsidRPr="009E064B" w:rsidRDefault="00C36D76" w:rsidP="00B06A9A">
      <w:pPr>
        <w:tabs>
          <w:tab w:val="left" w:pos="567"/>
        </w:tabs>
        <w:ind w:left="567" w:hanging="567"/>
        <w:rPr>
          <w:szCs w:val="20"/>
        </w:rPr>
      </w:pPr>
    </w:p>
    <w:tbl>
      <w:tblPr>
        <w:tblW w:w="469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1E0" w:firstRow="1" w:lastRow="1" w:firstColumn="1" w:lastColumn="1" w:noHBand="0" w:noVBand="0"/>
      </w:tblPr>
      <w:tblGrid>
        <w:gridCol w:w="1724"/>
        <w:gridCol w:w="3305"/>
        <w:gridCol w:w="1873"/>
        <w:gridCol w:w="1713"/>
      </w:tblGrid>
      <w:tr w:rsidR="00C36D76" w:rsidRPr="009E064B" w14:paraId="1B4036E1" w14:textId="77777777" w:rsidTr="003F1EC3">
        <w:tc>
          <w:tcPr>
            <w:tcW w:w="1001" w:type="pct"/>
            <w:tcMar>
              <w:top w:w="113" w:type="dxa"/>
              <w:left w:w="57" w:type="dxa"/>
              <w:bottom w:w="113" w:type="dxa"/>
              <w:right w:w="57" w:type="dxa"/>
            </w:tcMar>
            <w:vAlign w:val="center"/>
          </w:tcPr>
          <w:p w14:paraId="715F9C64" w14:textId="77777777" w:rsidR="00C36D76" w:rsidRPr="009E064B" w:rsidRDefault="00C36D76" w:rsidP="00B06A9A">
            <w:pPr>
              <w:spacing w:after="0"/>
              <w:rPr>
                <w:iCs/>
              </w:rPr>
            </w:pPr>
            <w:r w:rsidRPr="009E064B">
              <w:rPr>
                <w:iCs/>
              </w:rPr>
              <w:t>Rysunek U-5</w:t>
            </w:r>
          </w:p>
        </w:tc>
        <w:tc>
          <w:tcPr>
            <w:tcW w:w="1918" w:type="pct"/>
            <w:tcMar>
              <w:top w:w="113" w:type="dxa"/>
              <w:left w:w="85" w:type="dxa"/>
              <w:bottom w:w="113" w:type="dxa"/>
              <w:right w:w="28" w:type="dxa"/>
            </w:tcMar>
          </w:tcPr>
          <w:p w14:paraId="7BFF9F3C" w14:textId="77777777" w:rsidR="00C36D76" w:rsidRPr="009E064B" w:rsidRDefault="00C36D76" w:rsidP="00B06A9A">
            <w:pPr>
              <w:spacing w:after="0"/>
              <w:jc w:val="left"/>
              <w:rPr>
                <w:iCs/>
              </w:rPr>
            </w:pPr>
            <w:r w:rsidRPr="009E064B">
              <w:rPr>
                <w:iCs/>
              </w:rPr>
              <w:t xml:space="preserve">Linia środkowa systemu podejścia </w:t>
            </w:r>
            <w:r w:rsidRPr="009E064B">
              <w:rPr>
                <w:iCs/>
              </w:rPr>
              <w:br/>
              <w:t>oraz poprzeczki</w:t>
            </w:r>
          </w:p>
        </w:tc>
        <w:tc>
          <w:tcPr>
            <w:tcW w:w="1087" w:type="pct"/>
            <w:tcMar>
              <w:top w:w="113" w:type="dxa"/>
              <w:left w:w="28" w:type="dxa"/>
              <w:bottom w:w="113" w:type="dxa"/>
              <w:right w:w="28" w:type="dxa"/>
            </w:tcMar>
            <w:vAlign w:val="center"/>
          </w:tcPr>
          <w:p w14:paraId="188CCB31" w14:textId="77777777" w:rsidR="00C36D76" w:rsidRPr="009E064B" w:rsidRDefault="00C36D76" w:rsidP="00B06A9A">
            <w:pPr>
              <w:spacing w:after="0"/>
              <w:jc w:val="center"/>
              <w:rPr>
                <w:iCs/>
              </w:rPr>
            </w:pPr>
            <w:r w:rsidRPr="009E064B">
              <w:rPr>
                <w:iCs/>
              </w:rPr>
              <w:t>od 1.5 do 2.0</w:t>
            </w:r>
          </w:p>
        </w:tc>
        <w:tc>
          <w:tcPr>
            <w:tcW w:w="994" w:type="pct"/>
            <w:tcMar>
              <w:top w:w="113" w:type="dxa"/>
              <w:left w:w="57" w:type="dxa"/>
              <w:bottom w:w="113" w:type="dxa"/>
              <w:right w:w="57" w:type="dxa"/>
            </w:tcMar>
            <w:vAlign w:val="center"/>
          </w:tcPr>
          <w:p w14:paraId="6C5BDD28" w14:textId="77777777" w:rsidR="00C36D76" w:rsidRPr="009E064B" w:rsidRDefault="00C36D76" w:rsidP="00B06A9A">
            <w:pPr>
              <w:spacing w:after="0"/>
              <w:jc w:val="center"/>
              <w:rPr>
                <w:iCs/>
              </w:rPr>
            </w:pPr>
            <w:r w:rsidRPr="009E064B">
              <w:rPr>
                <w:iCs/>
              </w:rPr>
              <w:t>światło białe</w:t>
            </w:r>
          </w:p>
        </w:tc>
      </w:tr>
      <w:tr w:rsidR="00C36D76" w:rsidRPr="009E064B" w14:paraId="35B82EC9" w14:textId="77777777" w:rsidTr="003F1EC3">
        <w:tc>
          <w:tcPr>
            <w:tcW w:w="1001" w:type="pct"/>
            <w:tcMar>
              <w:top w:w="113" w:type="dxa"/>
              <w:left w:w="57" w:type="dxa"/>
              <w:bottom w:w="113" w:type="dxa"/>
              <w:right w:w="57" w:type="dxa"/>
            </w:tcMar>
            <w:vAlign w:val="center"/>
          </w:tcPr>
          <w:p w14:paraId="09860638" w14:textId="77777777" w:rsidR="00C36D76" w:rsidRPr="009E064B" w:rsidRDefault="00C36D76" w:rsidP="00B06A9A">
            <w:pPr>
              <w:spacing w:after="0"/>
              <w:rPr>
                <w:iCs/>
              </w:rPr>
            </w:pPr>
            <w:r w:rsidRPr="009E064B">
              <w:rPr>
                <w:iCs/>
              </w:rPr>
              <w:t>Rysunek U-6</w:t>
            </w:r>
          </w:p>
        </w:tc>
        <w:tc>
          <w:tcPr>
            <w:tcW w:w="1918" w:type="pct"/>
            <w:tcMar>
              <w:top w:w="113" w:type="dxa"/>
              <w:left w:w="85" w:type="dxa"/>
              <w:bottom w:w="113" w:type="dxa"/>
              <w:right w:w="28" w:type="dxa"/>
            </w:tcMar>
          </w:tcPr>
          <w:p w14:paraId="75A959D3" w14:textId="77777777" w:rsidR="00C36D76" w:rsidRPr="009E064B" w:rsidRDefault="00C36D76" w:rsidP="00B06A9A">
            <w:pPr>
              <w:spacing w:after="0"/>
              <w:jc w:val="left"/>
              <w:rPr>
                <w:iCs/>
              </w:rPr>
            </w:pPr>
            <w:r w:rsidRPr="009E064B">
              <w:rPr>
                <w:iCs/>
              </w:rPr>
              <w:t>Rząd boczny systemu podejścia</w:t>
            </w:r>
          </w:p>
        </w:tc>
        <w:tc>
          <w:tcPr>
            <w:tcW w:w="1087" w:type="pct"/>
            <w:tcMar>
              <w:top w:w="113" w:type="dxa"/>
              <w:left w:w="28" w:type="dxa"/>
              <w:bottom w:w="113" w:type="dxa"/>
              <w:right w:w="28" w:type="dxa"/>
            </w:tcMar>
            <w:vAlign w:val="center"/>
          </w:tcPr>
          <w:p w14:paraId="7CE7D86D" w14:textId="77777777" w:rsidR="00C36D76" w:rsidRPr="009E064B" w:rsidRDefault="00C36D76" w:rsidP="00B06A9A">
            <w:pPr>
              <w:spacing w:after="0"/>
              <w:jc w:val="center"/>
              <w:rPr>
                <w:iCs/>
              </w:rPr>
            </w:pPr>
            <w:r w:rsidRPr="009E064B">
              <w:rPr>
                <w:iCs/>
              </w:rPr>
              <w:t>od 0.5 do 1.0</w:t>
            </w:r>
          </w:p>
        </w:tc>
        <w:tc>
          <w:tcPr>
            <w:tcW w:w="994" w:type="pct"/>
            <w:tcMar>
              <w:top w:w="113" w:type="dxa"/>
              <w:left w:w="57" w:type="dxa"/>
              <w:bottom w:w="113" w:type="dxa"/>
              <w:right w:w="57" w:type="dxa"/>
            </w:tcMar>
            <w:vAlign w:val="center"/>
          </w:tcPr>
          <w:p w14:paraId="6566D9A3" w14:textId="77777777" w:rsidR="00C36D76" w:rsidRPr="009E064B" w:rsidRDefault="00C36D76" w:rsidP="00B06A9A">
            <w:pPr>
              <w:spacing w:after="0"/>
              <w:jc w:val="center"/>
              <w:rPr>
                <w:iCs/>
              </w:rPr>
            </w:pPr>
            <w:r w:rsidRPr="009E064B">
              <w:rPr>
                <w:iCs/>
              </w:rPr>
              <w:t>światło czerwone</w:t>
            </w:r>
          </w:p>
        </w:tc>
      </w:tr>
      <w:tr w:rsidR="00C36D76" w:rsidRPr="009E064B" w14:paraId="0F0FF678" w14:textId="77777777" w:rsidTr="003F1EC3">
        <w:tc>
          <w:tcPr>
            <w:tcW w:w="1001" w:type="pct"/>
            <w:tcMar>
              <w:top w:w="113" w:type="dxa"/>
              <w:left w:w="57" w:type="dxa"/>
              <w:bottom w:w="113" w:type="dxa"/>
              <w:right w:w="57" w:type="dxa"/>
            </w:tcMar>
            <w:vAlign w:val="center"/>
          </w:tcPr>
          <w:p w14:paraId="75E7B66C" w14:textId="77777777" w:rsidR="00C36D76" w:rsidRPr="009E064B" w:rsidRDefault="00C36D76" w:rsidP="00B06A9A">
            <w:pPr>
              <w:spacing w:after="0"/>
              <w:rPr>
                <w:iCs/>
              </w:rPr>
            </w:pPr>
            <w:r w:rsidRPr="009E064B">
              <w:rPr>
                <w:iCs/>
              </w:rPr>
              <w:t>Rysunek U-7</w:t>
            </w:r>
          </w:p>
        </w:tc>
        <w:tc>
          <w:tcPr>
            <w:tcW w:w="1918" w:type="pct"/>
            <w:tcMar>
              <w:top w:w="113" w:type="dxa"/>
              <w:left w:w="85" w:type="dxa"/>
              <w:bottom w:w="113" w:type="dxa"/>
              <w:right w:w="28" w:type="dxa"/>
            </w:tcMar>
          </w:tcPr>
          <w:p w14:paraId="554E5288" w14:textId="77777777" w:rsidR="00C36D76" w:rsidRPr="009E064B" w:rsidRDefault="00C36D76" w:rsidP="00B06A9A">
            <w:pPr>
              <w:spacing w:after="0"/>
              <w:jc w:val="left"/>
              <w:rPr>
                <w:iCs/>
              </w:rPr>
            </w:pPr>
            <w:r w:rsidRPr="009E064B">
              <w:rPr>
                <w:iCs/>
              </w:rPr>
              <w:t>Próg</w:t>
            </w:r>
          </w:p>
        </w:tc>
        <w:tc>
          <w:tcPr>
            <w:tcW w:w="1087" w:type="pct"/>
            <w:tcMar>
              <w:top w:w="113" w:type="dxa"/>
              <w:left w:w="28" w:type="dxa"/>
              <w:bottom w:w="113" w:type="dxa"/>
              <w:right w:w="28" w:type="dxa"/>
            </w:tcMar>
            <w:vAlign w:val="center"/>
          </w:tcPr>
          <w:p w14:paraId="38C10AA4" w14:textId="77777777" w:rsidR="00C36D76" w:rsidRPr="009E064B" w:rsidRDefault="00C36D76" w:rsidP="00B06A9A">
            <w:pPr>
              <w:spacing w:after="0"/>
              <w:jc w:val="center"/>
              <w:rPr>
                <w:iCs/>
              </w:rPr>
            </w:pPr>
            <w:r w:rsidRPr="009E064B">
              <w:rPr>
                <w:iCs/>
              </w:rPr>
              <w:t>od 1.0 do 1.5</w:t>
            </w:r>
          </w:p>
        </w:tc>
        <w:tc>
          <w:tcPr>
            <w:tcW w:w="994" w:type="pct"/>
            <w:tcMar>
              <w:top w:w="113" w:type="dxa"/>
              <w:left w:w="57" w:type="dxa"/>
              <w:bottom w:w="113" w:type="dxa"/>
              <w:right w:w="57" w:type="dxa"/>
            </w:tcMar>
            <w:vAlign w:val="center"/>
          </w:tcPr>
          <w:p w14:paraId="60C20A3F" w14:textId="77777777" w:rsidR="00C36D76" w:rsidRPr="009E064B" w:rsidRDefault="00C36D76" w:rsidP="00B06A9A">
            <w:pPr>
              <w:spacing w:after="0"/>
              <w:jc w:val="center"/>
              <w:rPr>
                <w:iCs/>
              </w:rPr>
            </w:pPr>
            <w:r w:rsidRPr="009E064B">
              <w:rPr>
                <w:iCs/>
              </w:rPr>
              <w:t>światło zielone</w:t>
            </w:r>
          </w:p>
        </w:tc>
      </w:tr>
      <w:tr w:rsidR="00C36D76" w:rsidRPr="009E064B" w14:paraId="539318ED" w14:textId="77777777" w:rsidTr="003F1EC3">
        <w:tc>
          <w:tcPr>
            <w:tcW w:w="1001" w:type="pct"/>
            <w:tcMar>
              <w:top w:w="113" w:type="dxa"/>
              <w:left w:w="57" w:type="dxa"/>
              <w:bottom w:w="113" w:type="dxa"/>
              <w:right w:w="57" w:type="dxa"/>
            </w:tcMar>
            <w:vAlign w:val="center"/>
          </w:tcPr>
          <w:p w14:paraId="726F1C6D" w14:textId="77777777" w:rsidR="00C36D76" w:rsidRPr="009E064B" w:rsidRDefault="00C36D76" w:rsidP="00B06A9A">
            <w:pPr>
              <w:spacing w:after="0"/>
              <w:rPr>
                <w:iCs/>
              </w:rPr>
            </w:pPr>
            <w:r w:rsidRPr="009E064B">
              <w:rPr>
                <w:iCs/>
              </w:rPr>
              <w:t>Rysunek U-8</w:t>
            </w:r>
          </w:p>
        </w:tc>
        <w:tc>
          <w:tcPr>
            <w:tcW w:w="1918" w:type="pct"/>
            <w:tcMar>
              <w:top w:w="113" w:type="dxa"/>
              <w:left w:w="85" w:type="dxa"/>
              <w:bottom w:w="113" w:type="dxa"/>
              <w:right w:w="28" w:type="dxa"/>
            </w:tcMar>
          </w:tcPr>
          <w:p w14:paraId="2BA282B3" w14:textId="77777777" w:rsidR="00C36D76" w:rsidRPr="009E064B" w:rsidRDefault="00C36D76" w:rsidP="00B06A9A">
            <w:pPr>
              <w:spacing w:after="0"/>
              <w:jc w:val="left"/>
              <w:rPr>
                <w:iCs/>
              </w:rPr>
            </w:pPr>
            <w:r w:rsidRPr="009E064B">
              <w:rPr>
                <w:iCs/>
              </w:rPr>
              <w:t xml:space="preserve">Poprzeczka skrzydłowa </w:t>
            </w:r>
          </w:p>
        </w:tc>
        <w:tc>
          <w:tcPr>
            <w:tcW w:w="1087" w:type="pct"/>
            <w:tcMar>
              <w:top w:w="113" w:type="dxa"/>
              <w:left w:w="28" w:type="dxa"/>
              <w:bottom w:w="113" w:type="dxa"/>
              <w:right w:w="28" w:type="dxa"/>
            </w:tcMar>
            <w:vAlign w:val="center"/>
          </w:tcPr>
          <w:p w14:paraId="147CE5AC" w14:textId="77777777" w:rsidR="00C36D76" w:rsidRPr="009E064B" w:rsidRDefault="00C36D76" w:rsidP="00B06A9A">
            <w:pPr>
              <w:spacing w:after="0"/>
              <w:jc w:val="center"/>
              <w:rPr>
                <w:iCs/>
              </w:rPr>
            </w:pPr>
            <w:r w:rsidRPr="009E064B">
              <w:rPr>
                <w:iCs/>
              </w:rPr>
              <w:t>od 1.0 do 1.5</w:t>
            </w:r>
          </w:p>
        </w:tc>
        <w:tc>
          <w:tcPr>
            <w:tcW w:w="994" w:type="pct"/>
            <w:tcMar>
              <w:top w:w="113" w:type="dxa"/>
              <w:left w:w="57" w:type="dxa"/>
              <w:bottom w:w="113" w:type="dxa"/>
              <w:right w:w="57" w:type="dxa"/>
            </w:tcMar>
            <w:vAlign w:val="center"/>
          </w:tcPr>
          <w:p w14:paraId="1683A664" w14:textId="77777777" w:rsidR="00C36D76" w:rsidRPr="009E064B" w:rsidRDefault="00C36D76" w:rsidP="00B06A9A">
            <w:pPr>
              <w:spacing w:after="0"/>
              <w:jc w:val="center"/>
              <w:rPr>
                <w:iCs/>
              </w:rPr>
            </w:pPr>
            <w:r w:rsidRPr="009E064B">
              <w:rPr>
                <w:iCs/>
              </w:rPr>
              <w:t>światło zielone</w:t>
            </w:r>
          </w:p>
        </w:tc>
      </w:tr>
      <w:tr w:rsidR="00C36D76" w:rsidRPr="009E064B" w14:paraId="5F72D0D8" w14:textId="77777777" w:rsidTr="003F1EC3">
        <w:tc>
          <w:tcPr>
            <w:tcW w:w="1001" w:type="pct"/>
            <w:tcMar>
              <w:top w:w="113" w:type="dxa"/>
              <w:left w:w="57" w:type="dxa"/>
              <w:bottom w:w="113" w:type="dxa"/>
              <w:right w:w="57" w:type="dxa"/>
            </w:tcMar>
            <w:vAlign w:val="center"/>
          </w:tcPr>
          <w:p w14:paraId="4D302AB1" w14:textId="77777777" w:rsidR="00C36D76" w:rsidRPr="009E064B" w:rsidRDefault="00C36D76" w:rsidP="00B06A9A">
            <w:pPr>
              <w:spacing w:after="0"/>
              <w:rPr>
                <w:iCs/>
              </w:rPr>
            </w:pPr>
            <w:r w:rsidRPr="009E064B">
              <w:rPr>
                <w:iCs/>
              </w:rPr>
              <w:t>Rysunek U-9</w:t>
            </w:r>
          </w:p>
        </w:tc>
        <w:tc>
          <w:tcPr>
            <w:tcW w:w="1918" w:type="pct"/>
            <w:tcMar>
              <w:top w:w="113" w:type="dxa"/>
              <w:left w:w="85" w:type="dxa"/>
              <w:bottom w:w="113" w:type="dxa"/>
              <w:right w:w="28" w:type="dxa"/>
            </w:tcMar>
          </w:tcPr>
          <w:p w14:paraId="4BE2A609" w14:textId="77777777" w:rsidR="00C36D76" w:rsidRPr="009E064B" w:rsidRDefault="00C36D76" w:rsidP="00B06A9A">
            <w:pPr>
              <w:spacing w:after="0"/>
              <w:jc w:val="left"/>
              <w:rPr>
                <w:iCs/>
              </w:rPr>
            </w:pPr>
            <w:r w:rsidRPr="009E064B">
              <w:rPr>
                <w:iCs/>
              </w:rPr>
              <w:t>Strefa przyziemienia</w:t>
            </w:r>
          </w:p>
        </w:tc>
        <w:tc>
          <w:tcPr>
            <w:tcW w:w="1087" w:type="pct"/>
            <w:tcMar>
              <w:top w:w="113" w:type="dxa"/>
              <w:left w:w="28" w:type="dxa"/>
              <w:bottom w:w="113" w:type="dxa"/>
              <w:right w:w="28" w:type="dxa"/>
            </w:tcMar>
            <w:vAlign w:val="center"/>
          </w:tcPr>
          <w:p w14:paraId="51088A06" w14:textId="77777777" w:rsidR="00C36D76" w:rsidRPr="009E064B" w:rsidRDefault="00C36D76" w:rsidP="00B06A9A">
            <w:pPr>
              <w:spacing w:after="0"/>
              <w:jc w:val="center"/>
              <w:rPr>
                <w:iCs/>
              </w:rPr>
            </w:pPr>
            <w:r w:rsidRPr="009E064B">
              <w:rPr>
                <w:iCs/>
              </w:rPr>
              <w:t>od 0.5 do 1.0</w:t>
            </w:r>
          </w:p>
        </w:tc>
        <w:tc>
          <w:tcPr>
            <w:tcW w:w="994" w:type="pct"/>
            <w:tcMar>
              <w:top w:w="113" w:type="dxa"/>
              <w:left w:w="57" w:type="dxa"/>
              <w:bottom w:w="113" w:type="dxa"/>
              <w:right w:w="57" w:type="dxa"/>
            </w:tcMar>
            <w:vAlign w:val="center"/>
          </w:tcPr>
          <w:p w14:paraId="4FA3F174" w14:textId="77777777" w:rsidR="00C36D76" w:rsidRPr="009E064B" w:rsidRDefault="00C36D76" w:rsidP="00B06A9A">
            <w:pPr>
              <w:spacing w:after="0"/>
              <w:jc w:val="center"/>
              <w:rPr>
                <w:iCs/>
              </w:rPr>
            </w:pPr>
            <w:r w:rsidRPr="009E064B">
              <w:rPr>
                <w:iCs/>
              </w:rPr>
              <w:t>światło białe</w:t>
            </w:r>
          </w:p>
        </w:tc>
      </w:tr>
      <w:tr w:rsidR="00C36D76" w:rsidRPr="009E064B" w14:paraId="0DC3CA8E" w14:textId="77777777" w:rsidTr="003F1EC3">
        <w:tc>
          <w:tcPr>
            <w:tcW w:w="1001" w:type="pct"/>
            <w:tcMar>
              <w:top w:w="113" w:type="dxa"/>
              <w:left w:w="57" w:type="dxa"/>
              <w:bottom w:w="113" w:type="dxa"/>
              <w:right w:w="57" w:type="dxa"/>
            </w:tcMar>
            <w:vAlign w:val="center"/>
          </w:tcPr>
          <w:p w14:paraId="52C2E947" w14:textId="77777777" w:rsidR="00C36D76" w:rsidRPr="009E064B" w:rsidRDefault="00C36D76" w:rsidP="00B06A9A">
            <w:pPr>
              <w:spacing w:after="0"/>
              <w:rPr>
                <w:iCs/>
              </w:rPr>
            </w:pPr>
            <w:r w:rsidRPr="009E064B">
              <w:rPr>
                <w:iCs/>
              </w:rPr>
              <w:t>Rysunek U-10</w:t>
            </w:r>
          </w:p>
        </w:tc>
        <w:tc>
          <w:tcPr>
            <w:tcW w:w="1918" w:type="pct"/>
            <w:tcMar>
              <w:top w:w="113" w:type="dxa"/>
              <w:left w:w="85" w:type="dxa"/>
              <w:bottom w:w="113" w:type="dxa"/>
              <w:right w:w="28" w:type="dxa"/>
            </w:tcMar>
          </w:tcPr>
          <w:p w14:paraId="1A7C1778" w14:textId="77777777" w:rsidR="00C36D76" w:rsidRPr="009E064B" w:rsidRDefault="00C36D76" w:rsidP="00B06A9A">
            <w:pPr>
              <w:spacing w:after="0"/>
              <w:jc w:val="left"/>
              <w:rPr>
                <w:iCs/>
              </w:rPr>
            </w:pPr>
            <w:r w:rsidRPr="009E064B">
              <w:rPr>
                <w:iCs/>
              </w:rPr>
              <w:t xml:space="preserve">Linia środkowa drogi startowej </w:t>
            </w:r>
            <w:r w:rsidRPr="009E064B">
              <w:rPr>
                <w:iCs/>
              </w:rPr>
              <w:br/>
              <w:t xml:space="preserve">(odstęp podłużny </w:t>
            </w:r>
            <w:smartTag w:uri="urn:schemas-microsoft-com:office:smarttags" w:element="metricconverter">
              <w:smartTagPr>
                <w:attr w:name="ProductID" w:val="30 m"/>
              </w:smartTagPr>
              <w:r w:rsidRPr="009E064B">
                <w:rPr>
                  <w:iCs/>
                </w:rPr>
                <w:t>30 m</w:t>
              </w:r>
            </w:smartTag>
            <w:r w:rsidRPr="009E064B">
              <w:rPr>
                <w:iCs/>
              </w:rPr>
              <w:t>)</w:t>
            </w:r>
          </w:p>
        </w:tc>
        <w:tc>
          <w:tcPr>
            <w:tcW w:w="1087" w:type="pct"/>
            <w:tcMar>
              <w:top w:w="113" w:type="dxa"/>
              <w:left w:w="28" w:type="dxa"/>
              <w:bottom w:w="113" w:type="dxa"/>
              <w:right w:w="28" w:type="dxa"/>
            </w:tcMar>
            <w:vAlign w:val="center"/>
          </w:tcPr>
          <w:p w14:paraId="259D25CB" w14:textId="77777777" w:rsidR="00C36D76" w:rsidRPr="009E064B" w:rsidRDefault="00C36D76" w:rsidP="00B06A9A">
            <w:pPr>
              <w:spacing w:after="0"/>
              <w:jc w:val="center"/>
              <w:rPr>
                <w:iCs/>
              </w:rPr>
            </w:pPr>
            <w:r w:rsidRPr="009E064B">
              <w:rPr>
                <w:iCs/>
              </w:rPr>
              <w:t>od 0.5 do 1.0</w:t>
            </w:r>
          </w:p>
        </w:tc>
        <w:tc>
          <w:tcPr>
            <w:tcW w:w="994" w:type="pct"/>
            <w:tcMar>
              <w:top w:w="113" w:type="dxa"/>
              <w:left w:w="57" w:type="dxa"/>
              <w:bottom w:w="113" w:type="dxa"/>
              <w:right w:w="57" w:type="dxa"/>
            </w:tcMar>
            <w:vAlign w:val="center"/>
          </w:tcPr>
          <w:p w14:paraId="18BFB65D" w14:textId="77777777" w:rsidR="00C36D76" w:rsidRPr="009E064B" w:rsidRDefault="00C36D76" w:rsidP="00B06A9A">
            <w:pPr>
              <w:spacing w:after="0"/>
              <w:jc w:val="center"/>
              <w:rPr>
                <w:iCs/>
              </w:rPr>
            </w:pPr>
            <w:r w:rsidRPr="009E064B">
              <w:rPr>
                <w:iCs/>
              </w:rPr>
              <w:t>światło białe</w:t>
            </w:r>
          </w:p>
        </w:tc>
      </w:tr>
      <w:tr w:rsidR="00C36D76" w:rsidRPr="009E064B" w14:paraId="7AD36AF0" w14:textId="77777777" w:rsidTr="003F1EC3">
        <w:tc>
          <w:tcPr>
            <w:tcW w:w="1001" w:type="pct"/>
            <w:vMerge w:val="restart"/>
            <w:tcMar>
              <w:top w:w="113" w:type="dxa"/>
              <w:left w:w="57" w:type="dxa"/>
              <w:bottom w:w="113" w:type="dxa"/>
              <w:right w:w="57" w:type="dxa"/>
            </w:tcMar>
            <w:vAlign w:val="center"/>
          </w:tcPr>
          <w:p w14:paraId="2B3E68FA" w14:textId="77777777" w:rsidR="00C36D76" w:rsidRPr="009E064B" w:rsidRDefault="00C36D76" w:rsidP="00B06A9A">
            <w:pPr>
              <w:spacing w:after="0"/>
              <w:rPr>
                <w:iCs/>
              </w:rPr>
            </w:pPr>
            <w:r w:rsidRPr="009E064B">
              <w:rPr>
                <w:iCs/>
              </w:rPr>
              <w:t>Rysunek U-11</w:t>
            </w:r>
          </w:p>
        </w:tc>
        <w:tc>
          <w:tcPr>
            <w:tcW w:w="1918" w:type="pct"/>
            <w:vMerge w:val="restart"/>
            <w:tcMar>
              <w:top w:w="113" w:type="dxa"/>
              <w:left w:w="85" w:type="dxa"/>
              <w:bottom w:w="113" w:type="dxa"/>
              <w:right w:w="28" w:type="dxa"/>
            </w:tcMar>
            <w:vAlign w:val="center"/>
          </w:tcPr>
          <w:p w14:paraId="144E0BED" w14:textId="77777777" w:rsidR="00C36D76" w:rsidRPr="009E064B" w:rsidRDefault="00C36D76" w:rsidP="00B06A9A">
            <w:pPr>
              <w:spacing w:after="0"/>
              <w:jc w:val="left"/>
              <w:rPr>
                <w:iCs/>
              </w:rPr>
            </w:pPr>
            <w:r w:rsidRPr="009E064B">
              <w:rPr>
                <w:iCs/>
              </w:rPr>
              <w:t xml:space="preserve">Linia środkowa drogi startowej </w:t>
            </w:r>
            <w:r w:rsidRPr="009E064B">
              <w:rPr>
                <w:iCs/>
              </w:rPr>
              <w:br/>
              <w:t xml:space="preserve">(odstęp podłużny </w:t>
            </w:r>
            <w:smartTag w:uri="urn:schemas-microsoft-com:office:smarttags" w:element="metricconverter">
              <w:smartTagPr>
                <w:attr w:name="ProductID" w:val="15 m"/>
              </w:smartTagPr>
              <w:r w:rsidRPr="009E064B">
                <w:rPr>
                  <w:iCs/>
                </w:rPr>
                <w:t>15 m</w:t>
              </w:r>
            </w:smartTag>
            <w:r w:rsidRPr="009E064B">
              <w:rPr>
                <w:iCs/>
              </w:rPr>
              <w:t>)</w:t>
            </w:r>
          </w:p>
        </w:tc>
        <w:tc>
          <w:tcPr>
            <w:tcW w:w="1087" w:type="pct"/>
            <w:tcMar>
              <w:top w:w="113" w:type="dxa"/>
              <w:left w:w="28" w:type="dxa"/>
              <w:bottom w:w="113" w:type="dxa"/>
              <w:right w:w="28" w:type="dxa"/>
            </w:tcMar>
            <w:vAlign w:val="center"/>
          </w:tcPr>
          <w:p w14:paraId="112C330E" w14:textId="77777777" w:rsidR="00C36D76" w:rsidRPr="009E064B" w:rsidRDefault="00C36D76" w:rsidP="00B06A9A">
            <w:pPr>
              <w:spacing w:after="0"/>
              <w:jc w:val="center"/>
              <w:rPr>
                <w:iCs/>
              </w:rPr>
            </w:pPr>
            <w:r w:rsidRPr="009E064B">
              <w:rPr>
                <w:iCs/>
              </w:rPr>
              <w:t xml:space="preserve">od 0.5 do 1.0 </w:t>
            </w:r>
          </w:p>
          <w:p w14:paraId="67AF5D27" w14:textId="77777777" w:rsidR="00C36D76" w:rsidRPr="009E064B" w:rsidRDefault="00C36D76" w:rsidP="00B06A9A">
            <w:pPr>
              <w:spacing w:after="0"/>
              <w:jc w:val="center"/>
              <w:rPr>
                <w:iCs/>
              </w:rPr>
            </w:pPr>
            <w:r w:rsidRPr="009E064B">
              <w:rPr>
                <w:iCs/>
              </w:rPr>
              <w:t>dla kat. III</w:t>
            </w:r>
          </w:p>
        </w:tc>
        <w:tc>
          <w:tcPr>
            <w:tcW w:w="994" w:type="pct"/>
            <w:tcMar>
              <w:top w:w="113" w:type="dxa"/>
              <w:left w:w="57" w:type="dxa"/>
              <w:bottom w:w="113" w:type="dxa"/>
              <w:right w:w="57" w:type="dxa"/>
            </w:tcMar>
            <w:vAlign w:val="center"/>
          </w:tcPr>
          <w:p w14:paraId="4D957C6E" w14:textId="77777777" w:rsidR="00C36D76" w:rsidRPr="009E064B" w:rsidRDefault="00C36D76" w:rsidP="00B06A9A">
            <w:pPr>
              <w:spacing w:after="0"/>
              <w:jc w:val="center"/>
              <w:rPr>
                <w:iCs/>
              </w:rPr>
            </w:pPr>
            <w:r w:rsidRPr="009E064B">
              <w:rPr>
                <w:iCs/>
              </w:rPr>
              <w:t>światło białe</w:t>
            </w:r>
          </w:p>
        </w:tc>
      </w:tr>
      <w:tr w:rsidR="00C36D76" w:rsidRPr="009E064B" w14:paraId="3D52B81C" w14:textId="77777777" w:rsidTr="003F1EC3">
        <w:tc>
          <w:tcPr>
            <w:tcW w:w="1001" w:type="pct"/>
            <w:vMerge/>
            <w:tcMar>
              <w:top w:w="113" w:type="dxa"/>
              <w:left w:w="57" w:type="dxa"/>
              <w:bottom w:w="113" w:type="dxa"/>
              <w:right w:w="57" w:type="dxa"/>
            </w:tcMar>
            <w:vAlign w:val="center"/>
          </w:tcPr>
          <w:p w14:paraId="1BBA775F" w14:textId="77777777" w:rsidR="00C36D76" w:rsidRPr="009E064B" w:rsidRDefault="00C36D76" w:rsidP="00B06A9A">
            <w:pPr>
              <w:spacing w:after="0"/>
              <w:rPr>
                <w:iCs/>
              </w:rPr>
            </w:pPr>
          </w:p>
        </w:tc>
        <w:tc>
          <w:tcPr>
            <w:tcW w:w="1918" w:type="pct"/>
            <w:vMerge/>
            <w:tcMar>
              <w:top w:w="113" w:type="dxa"/>
              <w:left w:w="85" w:type="dxa"/>
              <w:bottom w:w="113" w:type="dxa"/>
              <w:right w:w="28" w:type="dxa"/>
            </w:tcMar>
          </w:tcPr>
          <w:p w14:paraId="5B82267E" w14:textId="77777777" w:rsidR="00C36D76" w:rsidRPr="009E064B" w:rsidRDefault="00C36D76" w:rsidP="00B06A9A">
            <w:pPr>
              <w:spacing w:after="0"/>
              <w:jc w:val="left"/>
              <w:rPr>
                <w:iCs/>
              </w:rPr>
            </w:pPr>
          </w:p>
        </w:tc>
        <w:tc>
          <w:tcPr>
            <w:tcW w:w="1087" w:type="pct"/>
            <w:tcMar>
              <w:top w:w="113" w:type="dxa"/>
              <w:left w:w="28" w:type="dxa"/>
              <w:bottom w:w="113" w:type="dxa"/>
              <w:right w:w="28" w:type="dxa"/>
            </w:tcMar>
            <w:vAlign w:val="center"/>
          </w:tcPr>
          <w:p w14:paraId="2B0B8558" w14:textId="77777777" w:rsidR="00C36D76" w:rsidRPr="009E064B" w:rsidRDefault="00C36D76" w:rsidP="00B06A9A">
            <w:pPr>
              <w:spacing w:after="0"/>
              <w:jc w:val="center"/>
              <w:rPr>
                <w:iCs/>
              </w:rPr>
            </w:pPr>
            <w:r w:rsidRPr="009E064B">
              <w:rPr>
                <w:iCs/>
              </w:rPr>
              <w:t xml:space="preserve">od 0.25 do 0.5 </w:t>
            </w:r>
          </w:p>
          <w:p w14:paraId="74074513" w14:textId="77777777" w:rsidR="00C36D76" w:rsidRPr="009E064B" w:rsidRDefault="00C36D76" w:rsidP="00B06A9A">
            <w:pPr>
              <w:spacing w:after="0"/>
              <w:jc w:val="center"/>
              <w:rPr>
                <w:iCs/>
              </w:rPr>
            </w:pPr>
            <w:r w:rsidRPr="009E064B">
              <w:rPr>
                <w:iCs/>
              </w:rPr>
              <w:t>dla kat. I, II</w:t>
            </w:r>
          </w:p>
        </w:tc>
        <w:tc>
          <w:tcPr>
            <w:tcW w:w="994" w:type="pct"/>
            <w:tcMar>
              <w:top w:w="113" w:type="dxa"/>
              <w:left w:w="57" w:type="dxa"/>
              <w:bottom w:w="113" w:type="dxa"/>
              <w:right w:w="57" w:type="dxa"/>
            </w:tcMar>
            <w:vAlign w:val="center"/>
          </w:tcPr>
          <w:p w14:paraId="55F1EE60" w14:textId="77777777" w:rsidR="00C36D76" w:rsidRPr="009E064B" w:rsidRDefault="00C36D76" w:rsidP="00B06A9A">
            <w:pPr>
              <w:spacing w:after="0"/>
              <w:jc w:val="center"/>
              <w:rPr>
                <w:iCs/>
              </w:rPr>
            </w:pPr>
            <w:r w:rsidRPr="009E064B">
              <w:rPr>
                <w:iCs/>
              </w:rPr>
              <w:t>światło białe</w:t>
            </w:r>
          </w:p>
        </w:tc>
      </w:tr>
      <w:tr w:rsidR="00C36D76" w:rsidRPr="009E064B" w14:paraId="2A4E9DC3" w14:textId="77777777" w:rsidTr="003F1EC3">
        <w:tc>
          <w:tcPr>
            <w:tcW w:w="1001" w:type="pct"/>
            <w:tcMar>
              <w:top w:w="113" w:type="dxa"/>
              <w:left w:w="57" w:type="dxa"/>
              <w:bottom w:w="113" w:type="dxa"/>
              <w:right w:w="57" w:type="dxa"/>
            </w:tcMar>
            <w:vAlign w:val="center"/>
          </w:tcPr>
          <w:p w14:paraId="296DDED8" w14:textId="77777777" w:rsidR="00C36D76" w:rsidRPr="009E064B" w:rsidRDefault="00C36D76" w:rsidP="00B06A9A">
            <w:pPr>
              <w:spacing w:after="0"/>
              <w:rPr>
                <w:iCs/>
              </w:rPr>
            </w:pPr>
            <w:r w:rsidRPr="009E064B">
              <w:rPr>
                <w:iCs/>
              </w:rPr>
              <w:t>Rysunek U-12</w:t>
            </w:r>
          </w:p>
        </w:tc>
        <w:tc>
          <w:tcPr>
            <w:tcW w:w="1918" w:type="pct"/>
            <w:tcMar>
              <w:top w:w="113" w:type="dxa"/>
              <w:left w:w="85" w:type="dxa"/>
              <w:bottom w:w="113" w:type="dxa"/>
              <w:right w:w="28" w:type="dxa"/>
            </w:tcMar>
          </w:tcPr>
          <w:p w14:paraId="770AC1AF" w14:textId="77777777" w:rsidR="00C36D76" w:rsidRPr="009E064B" w:rsidRDefault="00C36D76" w:rsidP="00B06A9A">
            <w:pPr>
              <w:spacing w:after="0"/>
              <w:jc w:val="left"/>
              <w:rPr>
                <w:iCs/>
              </w:rPr>
            </w:pPr>
            <w:r w:rsidRPr="009E064B">
              <w:rPr>
                <w:iCs/>
              </w:rPr>
              <w:t>Koniec drogi startowej</w:t>
            </w:r>
          </w:p>
        </w:tc>
        <w:tc>
          <w:tcPr>
            <w:tcW w:w="1087" w:type="pct"/>
            <w:tcMar>
              <w:top w:w="113" w:type="dxa"/>
              <w:left w:w="28" w:type="dxa"/>
              <w:bottom w:w="113" w:type="dxa"/>
              <w:right w:w="28" w:type="dxa"/>
            </w:tcMar>
            <w:vAlign w:val="center"/>
          </w:tcPr>
          <w:p w14:paraId="72B53FC5" w14:textId="77777777" w:rsidR="00C36D76" w:rsidRPr="009E064B" w:rsidRDefault="00C36D76" w:rsidP="00B06A9A">
            <w:pPr>
              <w:spacing w:after="0"/>
              <w:jc w:val="center"/>
              <w:rPr>
                <w:iCs/>
              </w:rPr>
            </w:pPr>
            <w:r w:rsidRPr="009E064B">
              <w:rPr>
                <w:iCs/>
              </w:rPr>
              <w:t>0.25 do 0.5</w:t>
            </w:r>
          </w:p>
        </w:tc>
        <w:tc>
          <w:tcPr>
            <w:tcW w:w="994" w:type="pct"/>
            <w:tcMar>
              <w:top w:w="113" w:type="dxa"/>
              <w:left w:w="57" w:type="dxa"/>
              <w:bottom w:w="113" w:type="dxa"/>
              <w:right w:w="57" w:type="dxa"/>
            </w:tcMar>
            <w:vAlign w:val="center"/>
          </w:tcPr>
          <w:p w14:paraId="2E5C69AB" w14:textId="77777777" w:rsidR="00C36D76" w:rsidRPr="009E064B" w:rsidRDefault="00C36D76" w:rsidP="00B06A9A">
            <w:pPr>
              <w:spacing w:after="0"/>
              <w:jc w:val="center"/>
              <w:rPr>
                <w:iCs/>
              </w:rPr>
            </w:pPr>
            <w:r w:rsidRPr="009E064B">
              <w:rPr>
                <w:iCs/>
              </w:rPr>
              <w:t>światło czerwone</w:t>
            </w:r>
          </w:p>
        </w:tc>
      </w:tr>
      <w:tr w:rsidR="00C36D76" w:rsidRPr="009E064B" w14:paraId="3FB19852" w14:textId="77777777" w:rsidTr="003F1EC3">
        <w:tc>
          <w:tcPr>
            <w:tcW w:w="1001" w:type="pct"/>
            <w:tcMar>
              <w:top w:w="113" w:type="dxa"/>
              <w:left w:w="57" w:type="dxa"/>
              <w:bottom w:w="113" w:type="dxa"/>
              <w:right w:w="57" w:type="dxa"/>
            </w:tcMar>
            <w:vAlign w:val="center"/>
          </w:tcPr>
          <w:p w14:paraId="2507171C" w14:textId="77777777" w:rsidR="00C36D76" w:rsidRPr="009E064B" w:rsidRDefault="00C36D76" w:rsidP="00B06A9A">
            <w:pPr>
              <w:spacing w:after="0"/>
              <w:rPr>
                <w:iCs/>
              </w:rPr>
            </w:pPr>
            <w:r w:rsidRPr="009E064B">
              <w:rPr>
                <w:iCs/>
              </w:rPr>
              <w:t>Rysunek U-13</w:t>
            </w:r>
          </w:p>
        </w:tc>
        <w:tc>
          <w:tcPr>
            <w:tcW w:w="1918" w:type="pct"/>
            <w:tcMar>
              <w:top w:w="113" w:type="dxa"/>
              <w:left w:w="85" w:type="dxa"/>
              <w:bottom w:w="113" w:type="dxa"/>
              <w:right w:w="28" w:type="dxa"/>
            </w:tcMar>
          </w:tcPr>
          <w:p w14:paraId="1C0E5BC6" w14:textId="77777777" w:rsidR="00C36D76" w:rsidRPr="009E064B" w:rsidRDefault="00C36D76" w:rsidP="00B06A9A">
            <w:pPr>
              <w:spacing w:after="0"/>
              <w:jc w:val="left"/>
              <w:rPr>
                <w:iCs/>
              </w:rPr>
            </w:pPr>
            <w:r w:rsidRPr="009E064B">
              <w:rPr>
                <w:iCs/>
              </w:rPr>
              <w:t xml:space="preserve">Krawędź drogi startowej </w:t>
            </w:r>
            <w:r w:rsidRPr="009E064B">
              <w:rPr>
                <w:iCs/>
              </w:rPr>
              <w:br/>
              <w:t xml:space="preserve">(o szerokości </w:t>
            </w:r>
            <w:smartTag w:uri="urn:schemas-microsoft-com:office:smarttags" w:element="metricconverter">
              <w:smartTagPr>
                <w:attr w:name="ProductID" w:val="45 m"/>
              </w:smartTagPr>
              <w:r w:rsidRPr="009E064B">
                <w:rPr>
                  <w:iCs/>
                </w:rPr>
                <w:t>45 m</w:t>
              </w:r>
            </w:smartTag>
            <w:r w:rsidRPr="009E064B">
              <w:rPr>
                <w:iCs/>
              </w:rPr>
              <w:t>)</w:t>
            </w:r>
          </w:p>
        </w:tc>
        <w:tc>
          <w:tcPr>
            <w:tcW w:w="1087" w:type="pct"/>
            <w:tcMar>
              <w:top w:w="113" w:type="dxa"/>
              <w:left w:w="28" w:type="dxa"/>
              <w:bottom w:w="113" w:type="dxa"/>
              <w:right w:w="28" w:type="dxa"/>
            </w:tcMar>
            <w:vAlign w:val="center"/>
          </w:tcPr>
          <w:p w14:paraId="6DE38328" w14:textId="77777777" w:rsidR="00C36D76" w:rsidRPr="009E064B" w:rsidRDefault="00C36D76" w:rsidP="00B06A9A">
            <w:pPr>
              <w:spacing w:after="0"/>
              <w:jc w:val="center"/>
              <w:rPr>
                <w:iCs/>
              </w:rPr>
            </w:pPr>
            <w:r w:rsidRPr="009E064B">
              <w:rPr>
                <w:iCs/>
              </w:rPr>
              <w:t>1.0</w:t>
            </w:r>
          </w:p>
        </w:tc>
        <w:tc>
          <w:tcPr>
            <w:tcW w:w="994" w:type="pct"/>
            <w:tcMar>
              <w:top w:w="113" w:type="dxa"/>
              <w:left w:w="57" w:type="dxa"/>
              <w:bottom w:w="113" w:type="dxa"/>
              <w:right w:w="57" w:type="dxa"/>
            </w:tcMar>
            <w:vAlign w:val="center"/>
          </w:tcPr>
          <w:p w14:paraId="4C2B99A1" w14:textId="77777777" w:rsidR="00C36D76" w:rsidRPr="009E064B" w:rsidRDefault="00C36D76" w:rsidP="00B06A9A">
            <w:pPr>
              <w:spacing w:after="0"/>
              <w:jc w:val="center"/>
              <w:rPr>
                <w:iCs/>
              </w:rPr>
            </w:pPr>
            <w:r w:rsidRPr="009E064B">
              <w:rPr>
                <w:iCs/>
              </w:rPr>
              <w:t>światło białe</w:t>
            </w:r>
          </w:p>
        </w:tc>
      </w:tr>
      <w:tr w:rsidR="00C36D76" w:rsidRPr="009E064B" w14:paraId="6906B28A" w14:textId="77777777" w:rsidTr="003F1EC3">
        <w:tc>
          <w:tcPr>
            <w:tcW w:w="1001" w:type="pct"/>
            <w:tcMar>
              <w:top w:w="113" w:type="dxa"/>
              <w:left w:w="57" w:type="dxa"/>
              <w:bottom w:w="113" w:type="dxa"/>
              <w:right w:w="57" w:type="dxa"/>
            </w:tcMar>
            <w:vAlign w:val="center"/>
          </w:tcPr>
          <w:p w14:paraId="1B2D4BAC" w14:textId="77777777" w:rsidR="00C36D76" w:rsidRPr="009E064B" w:rsidRDefault="00C36D76" w:rsidP="00B06A9A">
            <w:pPr>
              <w:spacing w:after="0"/>
              <w:rPr>
                <w:iCs/>
              </w:rPr>
            </w:pPr>
            <w:r w:rsidRPr="009E064B">
              <w:rPr>
                <w:iCs/>
              </w:rPr>
              <w:t>Rysunek U-14</w:t>
            </w:r>
          </w:p>
        </w:tc>
        <w:tc>
          <w:tcPr>
            <w:tcW w:w="1918" w:type="pct"/>
            <w:tcMar>
              <w:top w:w="113" w:type="dxa"/>
              <w:left w:w="85" w:type="dxa"/>
              <w:bottom w:w="113" w:type="dxa"/>
              <w:right w:w="28" w:type="dxa"/>
            </w:tcMar>
          </w:tcPr>
          <w:p w14:paraId="33BCBCB5" w14:textId="77777777" w:rsidR="00C36D76" w:rsidRPr="009E064B" w:rsidRDefault="00C36D76" w:rsidP="00B06A9A">
            <w:pPr>
              <w:spacing w:after="0"/>
              <w:jc w:val="left"/>
              <w:rPr>
                <w:iCs/>
              </w:rPr>
            </w:pPr>
            <w:r w:rsidRPr="009E064B">
              <w:rPr>
                <w:iCs/>
              </w:rPr>
              <w:t xml:space="preserve">Krawędź drogi startowej </w:t>
            </w:r>
            <w:r w:rsidRPr="009E064B">
              <w:rPr>
                <w:iCs/>
              </w:rPr>
              <w:br/>
              <w:t xml:space="preserve">(o szerokości </w:t>
            </w:r>
            <w:smartTag w:uri="urn:schemas-microsoft-com:office:smarttags" w:element="metricconverter">
              <w:smartTagPr>
                <w:attr w:name="ProductID" w:val="60 m"/>
              </w:smartTagPr>
              <w:r w:rsidRPr="009E064B">
                <w:rPr>
                  <w:iCs/>
                </w:rPr>
                <w:t>60 m</w:t>
              </w:r>
            </w:smartTag>
            <w:r w:rsidRPr="009E064B">
              <w:rPr>
                <w:iCs/>
              </w:rPr>
              <w:t>)</w:t>
            </w:r>
          </w:p>
        </w:tc>
        <w:tc>
          <w:tcPr>
            <w:tcW w:w="1087" w:type="pct"/>
            <w:tcMar>
              <w:top w:w="113" w:type="dxa"/>
              <w:left w:w="28" w:type="dxa"/>
              <w:bottom w:w="113" w:type="dxa"/>
              <w:right w:w="28" w:type="dxa"/>
            </w:tcMar>
            <w:vAlign w:val="center"/>
          </w:tcPr>
          <w:p w14:paraId="6AA04092" w14:textId="77777777" w:rsidR="00C36D76" w:rsidRPr="009E064B" w:rsidRDefault="00C36D76" w:rsidP="00B06A9A">
            <w:pPr>
              <w:spacing w:after="0"/>
              <w:jc w:val="center"/>
              <w:rPr>
                <w:iCs/>
              </w:rPr>
            </w:pPr>
            <w:r w:rsidRPr="009E064B">
              <w:rPr>
                <w:iCs/>
              </w:rPr>
              <w:t>1.0</w:t>
            </w:r>
          </w:p>
        </w:tc>
        <w:tc>
          <w:tcPr>
            <w:tcW w:w="994" w:type="pct"/>
            <w:tcMar>
              <w:top w:w="113" w:type="dxa"/>
              <w:left w:w="57" w:type="dxa"/>
              <w:bottom w:w="113" w:type="dxa"/>
              <w:right w:w="57" w:type="dxa"/>
            </w:tcMar>
            <w:vAlign w:val="center"/>
          </w:tcPr>
          <w:p w14:paraId="20DA128F" w14:textId="77777777" w:rsidR="00C36D76" w:rsidRPr="009E064B" w:rsidRDefault="00C36D76" w:rsidP="00B06A9A">
            <w:pPr>
              <w:spacing w:after="0"/>
              <w:jc w:val="center"/>
              <w:rPr>
                <w:iCs/>
              </w:rPr>
            </w:pPr>
            <w:r w:rsidRPr="009E064B">
              <w:rPr>
                <w:iCs/>
              </w:rPr>
              <w:t>światło białe</w:t>
            </w:r>
          </w:p>
        </w:tc>
      </w:tr>
    </w:tbl>
    <w:p w14:paraId="40FC59FC" w14:textId="77777777" w:rsidR="00C36D76" w:rsidRPr="009E064B" w:rsidRDefault="00C36D76" w:rsidP="00B06A9A">
      <w:pPr>
        <w:tabs>
          <w:tab w:val="left" w:pos="567"/>
        </w:tabs>
        <w:ind w:left="567" w:hanging="567"/>
        <w:rPr>
          <w:szCs w:val="20"/>
        </w:rPr>
      </w:pPr>
    </w:p>
    <w:p w14:paraId="2C14EA12" w14:textId="77777777"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Pokrycie wiązki światła na Rysunkach zapewnia odpowiednie prowadzenie, w przypadku podejścia do lądowania do wartości RVR rzędu 150 m oraz w przypadku startu – do RVR rzędu 100 m.</w:t>
      </w:r>
    </w:p>
    <w:p w14:paraId="39647FFE" w14:textId="77777777" w:rsidR="00C36D76" w:rsidRPr="009E064B" w:rsidRDefault="00C36D76" w:rsidP="00B06A9A">
      <w:pPr>
        <w:tabs>
          <w:tab w:val="left" w:pos="567"/>
        </w:tabs>
        <w:ind w:left="567" w:hanging="567"/>
        <w:rPr>
          <w:szCs w:val="20"/>
        </w:rPr>
      </w:pPr>
      <w:r w:rsidRPr="009E064B">
        <w:rPr>
          <w:rFonts w:cs="Times New Roman"/>
          <w:szCs w:val="20"/>
        </w:rPr>
        <w:t xml:space="preserve">(f) </w:t>
      </w:r>
      <w:r w:rsidRPr="009E064B">
        <w:rPr>
          <w:rFonts w:cs="Times New Roman"/>
          <w:szCs w:val="20"/>
        </w:rPr>
        <w:tab/>
      </w:r>
      <w:r w:rsidRPr="009E064B">
        <w:rPr>
          <w:szCs w:val="20"/>
        </w:rPr>
        <w:t>Kąty poziome mierzone są w odniesieniu do płaszczyzny pionowej przechodzącej przez linię środkową drogi startowej. W przypadku świateł innych niż światła linii środkowej, kierunek w stronę linii środkowej drogi startowej przyjęto za dodatni. Kąty pionowe mierzone są w odniesieniu do płaszczyzny poziomej.</w:t>
      </w:r>
    </w:p>
    <w:p w14:paraId="5F8F09BD" w14:textId="77777777" w:rsidR="00C36D76" w:rsidRPr="009E064B" w:rsidRDefault="00C36D76" w:rsidP="00B06A9A">
      <w:pPr>
        <w:tabs>
          <w:tab w:val="left" w:pos="567"/>
        </w:tabs>
        <w:ind w:left="567" w:hanging="567"/>
        <w:rPr>
          <w:szCs w:val="20"/>
        </w:rPr>
      </w:pPr>
      <w:r w:rsidRPr="009E064B">
        <w:rPr>
          <w:rFonts w:cs="Times New Roman"/>
          <w:szCs w:val="20"/>
        </w:rPr>
        <w:t xml:space="preserve">(g) </w:t>
      </w:r>
      <w:r w:rsidRPr="009E064B">
        <w:rPr>
          <w:rFonts w:cs="Times New Roman"/>
          <w:szCs w:val="20"/>
        </w:rPr>
        <w:tab/>
      </w:r>
      <w:r w:rsidRPr="009E064B">
        <w:rPr>
          <w:szCs w:val="20"/>
        </w:rPr>
        <w:t>W przypadku świateł linii środkowej systemu podejścia, poprzeczek oraz świateł rzędów bocznych systemu podejścia, tam gdzie użyto świateł zagłębionych zamiast świateł nadziemnych, np. na drogach startowych z przesuniętym progiem, wymagania dotyczące intensywności mogą zostać spełnione poprzez zainstalowanie dwóch lub trzech opraw (o mniejszej intensywności) w każdym punkcie.</w:t>
      </w:r>
    </w:p>
    <w:p w14:paraId="0D758908" w14:textId="77777777" w:rsidR="00C36D76" w:rsidRPr="009E064B" w:rsidRDefault="00C36D76" w:rsidP="00B06A9A">
      <w:pPr>
        <w:tabs>
          <w:tab w:val="left" w:pos="567"/>
        </w:tabs>
        <w:ind w:left="567" w:hanging="567"/>
        <w:rPr>
          <w:szCs w:val="20"/>
        </w:rPr>
      </w:pPr>
      <w:r w:rsidRPr="009E064B">
        <w:rPr>
          <w:rFonts w:cs="Times New Roman"/>
          <w:szCs w:val="20"/>
        </w:rPr>
        <w:t xml:space="preserve">(h) </w:t>
      </w:r>
      <w:r w:rsidRPr="009E064B">
        <w:rPr>
          <w:rFonts w:cs="Times New Roman"/>
          <w:szCs w:val="20"/>
        </w:rPr>
        <w:tab/>
      </w:r>
      <w:r w:rsidRPr="009E064B">
        <w:rPr>
          <w:szCs w:val="20"/>
        </w:rPr>
        <w:t>Należy podkreślić konieczność właściwego utrzymania. Średnia intensywność w żadnym przypadku nie powinna spaść do wartości mniejszej niż 50% wartości określonych na Rysunkach. Celem władz lotniska powinno być zachowanie takiego poziomu utrzymania świateł, aby zachowywały one intensywność średnią zbliżoną do określonego minimum.</w:t>
      </w:r>
    </w:p>
    <w:p w14:paraId="7116A490" w14:textId="77777777" w:rsidR="00C36D76" w:rsidRPr="009E064B" w:rsidRDefault="00C36D76" w:rsidP="00B06A9A">
      <w:pPr>
        <w:tabs>
          <w:tab w:val="left" w:pos="567"/>
        </w:tabs>
        <w:ind w:left="567" w:hanging="567"/>
        <w:rPr>
          <w:szCs w:val="20"/>
        </w:rPr>
      </w:pPr>
      <w:r w:rsidRPr="009E064B">
        <w:rPr>
          <w:rFonts w:cs="Times New Roman"/>
          <w:szCs w:val="20"/>
        </w:rPr>
        <w:t xml:space="preserve">(i) </w:t>
      </w:r>
      <w:r w:rsidRPr="009E064B">
        <w:rPr>
          <w:rFonts w:cs="Times New Roman"/>
          <w:szCs w:val="20"/>
        </w:rPr>
        <w:tab/>
      </w:r>
      <w:r w:rsidRPr="009E064B">
        <w:rPr>
          <w:szCs w:val="20"/>
        </w:rPr>
        <w:t>Jednostka świetlna powinna być zainstalowana w taki sposób, aby wiązka główna była ustawiona z dokładnością do pół stopnia względem wymaganego kierunku.</w:t>
      </w:r>
    </w:p>
    <w:p w14:paraId="0CB40C0C" w14:textId="0EA7321E" w:rsidR="00C36D76" w:rsidRPr="009E064B" w:rsidRDefault="00C36D76" w:rsidP="00B06A9A">
      <w:pPr>
        <w:tabs>
          <w:tab w:val="left" w:pos="567"/>
        </w:tabs>
        <w:ind w:left="567" w:hanging="567"/>
        <w:rPr>
          <w:b/>
          <w:szCs w:val="20"/>
        </w:rPr>
      </w:pPr>
    </w:p>
    <w:p w14:paraId="723ED2D7" w14:textId="77777777" w:rsidR="00C36D76" w:rsidRPr="009E064B" w:rsidRDefault="00C36D76" w:rsidP="00B06A9A">
      <w:pPr>
        <w:rPr>
          <w:szCs w:val="20"/>
        </w:rPr>
      </w:pPr>
    </w:p>
    <w:p w14:paraId="6F2B81EE" w14:textId="77777777" w:rsidR="00C36D76" w:rsidRPr="009E064B" w:rsidRDefault="00C36D76" w:rsidP="00A4182C">
      <w:pPr>
        <w:ind w:left="284"/>
        <w:rPr>
          <w:b/>
          <w:szCs w:val="20"/>
        </w:rPr>
      </w:pPr>
      <w:r w:rsidRPr="009E064B">
        <w:rPr>
          <w:b/>
          <w:noProof/>
          <w:szCs w:val="20"/>
          <w:lang w:eastAsia="pl-PL"/>
        </w:rPr>
        <w:drawing>
          <wp:inline distT="0" distB="0" distL="0" distR="0" wp14:anchorId="0057A67B" wp14:editId="3D9A5A22">
            <wp:extent cx="5719445" cy="2480310"/>
            <wp:effectExtent l="19050" t="0" r="0" b="0"/>
            <wp:docPr id="900" name="Obraz 60" descr="A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descr="A2-12"/>
                    <pic:cNvPicPr>
                      <a:picLocks noChangeAspect="1" noChangeArrowheads="1"/>
                    </pic:cNvPicPr>
                  </pic:nvPicPr>
                  <pic:blipFill>
                    <a:blip r:embed="rId282" cstate="print"/>
                    <a:srcRect/>
                    <a:stretch>
                      <a:fillRect/>
                    </a:stretch>
                  </pic:blipFill>
                  <pic:spPr bwMode="auto">
                    <a:xfrm>
                      <a:off x="0" y="0"/>
                      <a:ext cx="5719445" cy="2480310"/>
                    </a:xfrm>
                    <a:prstGeom prst="rect">
                      <a:avLst/>
                    </a:prstGeom>
                    <a:noFill/>
                    <a:ln w="9525">
                      <a:noFill/>
                      <a:miter lim="800000"/>
                      <a:headEnd/>
                      <a:tailEnd/>
                    </a:ln>
                  </pic:spPr>
                </pic:pic>
              </a:graphicData>
            </a:graphic>
          </wp:inline>
        </w:drawing>
      </w:r>
    </w:p>
    <w:p w14:paraId="7324832A" w14:textId="77777777" w:rsidR="00C36D76" w:rsidRPr="009E064B" w:rsidRDefault="00C36D76" w:rsidP="00B06A9A">
      <w:pPr>
        <w:rPr>
          <w:iCs/>
        </w:rPr>
      </w:pPr>
    </w:p>
    <w:p w14:paraId="5AC8DE43" w14:textId="7A9437C7" w:rsidR="00C36D76" w:rsidRPr="00FE5FBD" w:rsidRDefault="00C36D76" w:rsidP="00FE5FBD">
      <w:pPr>
        <w:spacing w:before="240"/>
        <w:ind w:left="1418" w:hanging="1418"/>
        <w:rPr>
          <w:b/>
          <w:sz w:val="20"/>
        </w:rPr>
      </w:pPr>
      <w:r w:rsidRPr="00FE5FBD">
        <w:rPr>
          <w:b/>
          <w:sz w:val="20"/>
        </w:rPr>
        <w:t xml:space="preserve">Rysunek U-16. </w:t>
      </w:r>
      <w:r w:rsidRPr="00FE5FBD">
        <w:rPr>
          <w:b/>
          <w:sz w:val="20"/>
        </w:rPr>
        <w:tab/>
        <w:t xml:space="preserve">Wykres izokandeli dla świateł linii środkowej drogi kołowania (rozstaw 15 m), </w:t>
      </w:r>
      <w:r w:rsidR="00087459" w:rsidRPr="00FE5FBD">
        <w:rPr>
          <w:b/>
          <w:sz w:val="20"/>
        </w:rPr>
        <w:t>świateł wjazdu na drogę startową (RELs),</w:t>
      </w:r>
      <w:r w:rsidRPr="00FE5FBD">
        <w:rPr>
          <w:b/>
          <w:sz w:val="20"/>
        </w:rPr>
        <w:t xml:space="preserve"> </w:t>
      </w:r>
      <w:r w:rsidR="00087459" w:rsidRPr="00FE5FBD">
        <w:rPr>
          <w:b/>
          <w:sz w:val="20"/>
        </w:rPr>
        <w:t xml:space="preserve">świateł </w:t>
      </w:r>
      <w:r w:rsidRPr="00FE5FBD">
        <w:rPr>
          <w:b/>
          <w:sz w:val="20"/>
        </w:rPr>
        <w:t>poprzeczki zakazu wjazdu oraz świateł poprzeczki zatrzymania na odcinkach prostych przeznaczonych do użytkowania w warunkach widzialności wzdłuż drogi startowej mniejszej niż 350 m w przypadku możliwości występowania dużego przesunięcia oraz dla świateł ochronnych drogi startowej, Układ B.</w:t>
      </w:r>
    </w:p>
    <w:p w14:paraId="6703A1DB" w14:textId="77777777" w:rsidR="00C36D76" w:rsidRPr="009E064B" w:rsidRDefault="00C36D76" w:rsidP="00B06A9A">
      <w:pPr>
        <w:rPr>
          <w:szCs w:val="20"/>
        </w:rPr>
      </w:pPr>
    </w:p>
    <w:p w14:paraId="11652F85" w14:textId="77777777" w:rsidR="00C36D76" w:rsidRPr="009E064B" w:rsidRDefault="00C36D76" w:rsidP="00B06A9A">
      <w:pPr>
        <w:spacing w:after="240"/>
        <w:rPr>
          <w:szCs w:val="20"/>
        </w:rPr>
      </w:pPr>
      <w:r w:rsidRPr="009E064B">
        <w:rPr>
          <w:szCs w:val="20"/>
        </w:rPr>
        <w:t>Uwagi:</w:t>
      </w:r>
    </w:p>
    <w:p w14:paraId="71DCB670" w14:textId="77777777" w:rsidR="00C36D76" w:rsidRPr="009E064B" w:rsidRDefault="00C36D76" w:rsidP="000B7988">
      <w:pPr>
        <w:tabs>
          <w:tab w:val="left" w:pos="1134"/>
        </w:tabs>
        <w:ind w:left="1134" w:hanging="567"/>
        <w:rPr>
          <w:szCs w:val="20"/>
        </w:rPr>
      </w:pPr>
      <w:r w:rsidRPr="009E064B">
        <w:rPr>
          <w:szCs w:val="20"/>
        </w:rPr>
        <w:t>(a)</w:t>
      </w:r>
      <w:r w:rsidRPr="009E064B">
        <w:rPr>
          <w:szCs w:val="20"/>
        </w:rPr>
        <w:tab/>
      </w:r>
      <w:r w:rsidRPr="009E064B">
        <w:rPr>
          <w:rFonts w:cs="Arial"/>
          <w:iCs/>
          <w:szCs w:val="18"/>
        </w:rPr>
        <w:t>Powyższe</w:t>
      </w:r>
      <w:r w:rsidRPr="009E064B">
        <w:rPr>
          <w:szCs w:val="20"/>
        </w:rPr>
        <w:t xml:space="preserve"> pokrycie wiązki uwzględnia przesunięcie kabiny pilota względem linii środkowej o odległość do 12 m i jest przeznaczone do użycia przed i za łukami.</w:t>
      </w:r>
    </w:p>
    <w:p w14:paraId="3B4FDE93" w14:textId="317FF098"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 xml:space="preserve">Patrz </w:t>
      </w:r>
      <w:r w:rsidRPr="009E064B">
        <w:rPr>
          <w:rFonts w:cs="Arial"/>
          <w:iCs/>
          <w:szCs w:val="18"/>
        </w:rPr>
        <w:t>uwagi</w:t>
      </w:r>
      <w:r w:rsidRPr="009E064B">
        <w:rPr>
          <w:szCs w:val="20"/>
        </w:rPr>
        <w:t xml:space="preserve"> w</w:t>
      </w:r>
      <w:r w:rsidR="000E0B48" w:rsidRPr="009E064B">
        <w:rPr>
          <w:szCs w:val="20"/>
        </w:rPr>
        <w:t>spólne dla R</w:t>
      </w:r>
      <w:r w:rsidRPr="009E064B">
        <w:rPr>
          <w:szCs w:val="20"/>
        </w:rPr>
        <w:t>ysunków U-16 do U-25.</w:t>
      </w:r>
    </w:p>
    <w:p w14:paraId="021A78DC" w14:textId="6BB0A5DA" w:rsidR="00C36D76" w:rsidRPr="009E064B" w:rsidRDefault="00C36D76" w:rsidP="000B7988">
      <w:pPr>
        <w:tabs>
          <w:tab w:val="left" w:pos="1134"/>
        </w:tabs>
        <w:ind w:left="1134" w:hanging="567"/>
        <w:rPr>
          <w:szCs w:val="20"/>
        </w:rPr>
      </w:pPr>
      <w:r w:rsidRPr="009E064B">
        <w:rPr>
          <w:rFonts w:cs="Times New Roman"/>
          <w:szCs w:val="20"/>
        </w:rPr>
        <w:t xml:space="preserve">(c) </w:t>
      </w:r>
      <w:r w:rsidRPr="009E064B">
        <w:rPr>
          <w:rFonts w:cs="Times New Roman"/>
          <w:szCs w:val="20"/>
        </w:rPr>
        <w:tab/>
      </w:r>
      <w:r w:rsidRPr="009E064B">
        <w:rPr>
          <w:rFonts w:cs="Arial"/>
          <w:iCs/>
          <w:szCs w:val="18"/>
        </w:rPr>
        <w:t>Zwiększona</w:t>
      </w:r>
      <w:r w:rsidRPr="009E064B">
        <w:rPr>
          <w:szCs w:val="20"/>
        </w:rPr>
        <w:t xml:space="preserve"> intensywność dla wzmocnionych świateł linii środkowej drogi kołowania szybkiego zjazdu jest cztery razy większa od intensywności określone</w:t>
      </w:r>
      <w:r w:rsidR="003F1EC3" w:rsidRPr="009E064B">
        <w:rPr>
          <w:szCs w:val="20"/>
        </w:rPr>
        <w:t>j na rysunku (tj. 800 kandeli w </w:t>
      </w:r>
      <w:r w:rsidRPr="009E064B">
        <w:rPr>
          <w:szCs w:val="20"/>
        </w:rPr>
        <w:t>przypadku średniej minimalnej wiązki głównej).</w:t>
      </w:r>
    </w:p>
    <w:p w14:paraId="72D7882A" w14:textId="5907CEBB" w:rsidR="0044331D" w:rsidRPr="009E064B" w:rsidRDefault="0044331D" w:rsidP="008960B1">
      <w:pPr>
        <w:tabs>
          <w:tab w:val="left" w:pos="1134"/>
        </w:tabs>
        <w:spacing w:before="60"/>
        <w:rPr>
          <w:szCs w:val="20"/>
        </w:rPr>
      </w:pPr>
      <w:r w:rsidRPr="000412BF">
        <w:rPr>
          <w:rFonts w:asciiTheme="minorHAnsi" w:hAnsiTheme="minorHAnsi" w:cstheme="minorHAnsi"/>
          <w:i/>
          <w:sz w:val="16"/>
          <w:szCs w:val="16"/>
        </w:rPr>
        <w:t>[Wydanie: ADR-DSN/4]</w:t>
      </w:r>
    </w:p>
    <w:p w14:paraId="4C9B4007" w14:textId="77777777" w:rsidR="00C36D76" w:rsidRPr="009E064B" w:rsidRDefault="00C36D76" w:rsidP="00B06A9A">
      <w:pPr>
        <w:spacing w:after="200"/>
        <w:jc w:val="left"/>
        <w:rPr>
          <w:b/>
          <w:szCs w:val="20"/>
        </w:rPr>
      </w:pPr>
      <w:r w:rsidRPr="009E064B">
        <w:rPr>
          <w:b/>
          <w:szCs w:val="20"/>
        </w:rPr>
        <w:br w:type="page"/>
      </w:r>
    </w:p>
    <w:p w14:paraId="7AF4178C" w14:textId="77777777" w:rsidR="00C36D76" w:rsidRPr="009E064B" w:rsidRDefault="00C36D76" w:rsidP="00B06A9A">
      <w:pPr>
        <w:spacing w:after="200"/>
        <w:jc w:val="left"/>
        <w:rPr>
          <w:b/>
          <w:szCs w:val="20"/>
        </w:rPr>
      </w:pPr>
    </w:p>
    <w:p w14:paraId="01383FE3" w14:textId="77777777" w:rsidR="00C36D76" w:rsidRPr="009E064B" w:rsidRDefault="00C36D76" w:rsidP="00B06A9A">
      <w:pPr>
        <w:rPr>
          <w:b/>
          <w:szCs w:val="20"/>
        </w:rPr>
      </w:pPr>
      <w:r w:rsidRPr="009E064B">
        <w:rPr>
          <w:b/>
          <w:noProof/>
          <w:szCs w:val="20"/>
          <w:lang w:eastAsia="pl-PL"/>
        </w:rPr>
        <w:drawing>
          <wp:inline distT="0" distB="0" distL="0" distR="0" wp14:anchorId="65808C96" wp14:editId="0F9E549A">
            <wp:extent cx="5719445" cy="2468245"/>
            <wp:effectExtent l="19050" t="0" r="0" b="0"/>
            <wp:docPr id="901" name="Obraz 61" descr="A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A2-13"/>
                    <pic:cNvPicPr>
                      <a:picLocks noChangeAspect="1" noChangeArrowheads="1"/>
                    </pic:cNvPicPr>
                  </pic:nvPicPr>
                  <pic:blipFill>
                    <a:blip r:embed="rId283" cstate="print"/>
                    <a:srcRect/>
                    <a:stretch>
                      <a:fillRect/>
                    </a:stretch>
                  </pic:blipFill>
                  <pic:spPr bwMode="auto">
                    <a:xfrm>
                      <a:off x="0" y="0"/>
                      <a:ext cx="5719445" cy="2468245"/>
                    </a:xfrm>
                    <a:prstGeom prst="rect">
                      <a:avLst/>
                    </a:prstGeom>
                    <a:noFill/>
                    <a:ln w="9525">
                      <a:noFill/>
                      <a:miter lim="800000"/>
                      <a:headEnd/>
                      <a:tailEnd/>
                    </a:ln>
                  </pic:spPr>
                </pic:pic>
              </a:graphicData>
            </a:graphic>
          </wp:inline>
        </w:drawing>
      </w:r>
    </w:p>
    <w:p w14:paraId="65F79BD6" w14:textId="77777777" w:rsidR="00C36D76" w:rsidRPr="009E064B" w:rsidRDefault="00C36D76" w:rsidP="00B06A9A">
      <w:pPr>
        <w:rPr>
          <w:szCs w:val="20"/>
        </w:rPr>
      </w:pPr>
    </w:p>
    <w:p w14:paraId="67225FAB" w14:textId="77777777" w:rsidR="00C36D76" w:rsidRPr="009E064B" w:rsidRDefault="00C36D76" w:rsidP="00B06A9A">
      <w:pPr>
        <w:rPr>
          <w:szCs w:val="20"/>
        </w:rPr>
      </w:pPr>
    </w:p>
    <w:p w14:paraId="2CBD2340" w14:textId="77777777" w:rsidR="00C36D76" w:rsidRPr="00FE5FBD" w:rsidRDefault="00C36D76" w:rsidP="00FE5FBD">
      <w:pPr>
        <w:spacing w:before="240"/>
        <w:ind w:left="1418" w:hanging="1418"/>
        <w:rPr>
          <w:b/>
          <w:sz w:val="20"/>
        </w:rPr>
      </w:pPr>
      <w:r w:rsidRPr="00FE5FBD">
        <w:rPr>
          <w:b/>
          <w:sz w:val="20"/>
        </w:rPr>
        <w:t xml:space="preserve">Rysunek U-17. </w:t>
      </w:r>
      <w:r w:rsidRPr="00FE5FBD">
        <w:rPr>
          <w:b/>
          <w:sz w:val="20"/>
        </w:rPr>
        <w:tab/>
        <w:t>Wykres izokandeli dla świateł linii środkowej drogi kołowania (rozstaw 15 m), poprzeczki zakazu wjazdu oraz świateł poprzeczki zatrzymania na odcinkach prostych przeznaczonych do użytkowania w warunkach widzialności wzdłuż drogi startowej poniżej 350 m</w:t>
      </w:r>
    </w:p>
    <w:p w14:paraId="6EFE18F3" w14:textId="77777777" w:rsidR="00C36D76" w:rsidRPr="009E064B" w:rsidRDefault="00C36D76" w:rsidP="00B06A9A">
      <w:pPr>
        <w:rPr>
          <w:szCs w:val="20"/>
        </w:rPr>
      </w:pPr>
    </w:p>
    <w:p w14:paraId="25102627" w14:textId="77777777" w:rsidR="00C36D76" w:rsidRPr="009E064B" w:rsidRDefault="00C36D76" w:rsidP="00B06A9A">
      <w:pPr>
        <w:spacing w:after="240"/>
        <w:rPr>
          <w:szCs w:val="20"/>
        </w:rPr>
      </w:pPr>
      <w:r w:rsidRPr="009E064B">
        <w:rPr>
          <w:szCs w:val="20"/>
        </w:rPr>
        <w:t>Uwagi:</w:t>
      </w:r>
    </w:p>
    <w:p w14:paraId="77947404" w14:textId="77777777" w:rsidR="00C36D76" w:rsidRPr="009E064B" w:rsidRDefault="00C36D76" w:rsidP="000B7988">
      <w:pPr>
        <w:tabs>
          <w:tab w:val="left" w:pos="1134"/>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Powyższe pokrycie wiązki jest wystarczające w warunkach normalnych i uwzględnia normalne przesunięcie kabiny pilota o około 3 m względem linii środkowej.</w:t>
      </w:r>
    </w:p>
    <w:p w14:paraId="1533B318" w14:textId="77777777"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 xml:space="preserve">Patrz </w:t>
      </w:r>
      <w:r w:rsidRPr="009E064B">
        <w:rPr>
          <w:rFonts w:cs="Arial"/>
          <w:iCs/>
          <w:szCs w:val="18"/>
        </w:rPr>
        <w:t>uwagi</w:t>
      </w:r>
      <w:r w:rsidRPr="009E064B">
        <w:rPr>
          <w:szCs w:val="20"/>
        </w:rPr>
        <w:t xml:space="preserve"> wspólne dla Rysunków U-16 do U-25.</w:t>
      </w:r>
    </w:p>
    <w:p w14:paraId="7B6A5A16" w14:textId="77777777" w:rsidR="00C36D76" w:rsidRPr="009E064B" w:rsidRDefault="00C36D76" w:rsidP="00B06A9A">
      <w:pPr>
        <w:spacing w:after="200"/>
        <w:jc w:val="left"/>
        <w:rPr>
          <w:b/>
          <w:szCs w:val="20"/>
        </w:rPr>
      </w:pPr>
      <w:r w:rsidRPr="009E064B">
        <w:rPr>
          <w:b/>
          <w:szCs w:val="20"/>
        </w:rPr>
        <w:br w:type="page"/>
      </w:r>
    </w:p>
    <w:p w14:paraId="3A0EEAF0" w14:textId="77777777" w:rsidR="00C36D76" w:rsidRPr="009E064B" w:rsidRDefault="00C36D76" w:rsidP="00B06A9A">
      <w:pPr>
        <w:rPr>
          <w:b/>
          <w:szCs w:val="20"/>
        </w:rPr>
      </w:pPr>
    </w:p>
    <w:p w14:paraId="6957D738" w14:textId="77777777" w:rsidR="00C36D76" w:rsidRPr="009E064B" w:rsidRDefault="00C36D76" w:rsidP="00B06A9A">
      <w:pPr>
        <w:rPr>
          <w:b/>
          <w:szCs w:val="20"/>
        </w:rPr>
      </w:pPr>
      <w:r w:rsidRPr="009E064B">
        <w:rPr>
          <w:b/>
          <w:noProof/>
          <w:szCs w:val="20"/>
          <w:lang w:eastAsia="pl-PL"/>
        </w:rPr>
        <w:drawing>
          <wp:inline distT="0" distB="0" distL="0" distR="0" wp14:anchorId="48203FF5" wp14:editId="184273B2">
            <wp:extent cx="5665470" cy="2569845"/>
            <wp:effectExtent l="19050" t="0" r="0" b="0"/>
            <wp:docPr id="902" name="Obraz 62" descr="A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A2-14"/>
                    <pic:cNvPicPr>
                      <a:picLocks noChangeAspect="1" noChangeArrowheads="1"/>
                    </pic:cNvPicPr>
                  </pic:nvPicPr>
                  <pic:blipFill>
                    <a:blip r:embed="rId284" cstate="print"/>
                    <a:srcRect/>
                    <a:stretch>
                      <a:fillRect/>
                    </a:stretch>
                  </pic:blipFill>
                  <pic:spPr bwMode="auto">
                    <a:xfrm>
                      <a:off x="0" y="0"/>
                      <a:ext cx="5665470" cy="2569845"/>
                    </a:xfrm>
                    <a:prstGeom prst="rect">
                      <a:avLst/>
                    </a:prstGeom>
                    <a:noFill/>
                    <a:ln w="9525">
                      <a:noFill/>
                      <a:miter lim="800000"/>
                      <a:headEnd/>
                      <a:tailEnd/>
                    </a:ln>
                  </pic:spPr>
                </pic:pic>
              </a:graphicData>
            </a:graphic>
          </wp:inline>
        </w:drawing>
      </w:r>
    </w:p>
    <w:p w14:paraId="69E87DF8" w14:textId="77777777" w:rsidR="00C36D76" w:rsidRPr="009E064B" w:rsidRDefault="00C36D76" w:rsidP="00B06A9A">
      <w:pPr>
        <w:rPr>
          <w:szCs w:val="20"/>
        </w:rPr>
      </w:pPr>
    </w:p>
    <w:p w14:paraId="17359240" w14:textId="77777777" w:rsidR="00C36D76" w:rsidRPr="009E064B" w:rsidRDefault="00C36D76" w:rsidP="00B06A9A">
      <w:pPr>
        <w:rPr>
          <w:szCs w:val="20"/>
        </w:rPr>
      </w:pPr>
    </w:p>
    <w:p w14:paraId="7D385E17" w14:textId="138A2439" w:rsidR="00C36D76" w:rsidRPr="00FE5FBD" w:rsidRDefault="00C36D76" w:rsidP="00FE5FBD">
      <w:pPr>
        <w:spacing w:before="240"/>
        <w:ind w:left="1418" w:hanging="1418"/>
        <w:rPr>
          <w:b/>
          <w:sz w:val="20"/>
        </w:rPr>
      </w:pPr>
      <w:r w:rsidRPr="00FE5FBD">
        <w:rPr>
          <w:b/>
          <w:sz w:val="20"/>
        </w:rPr>
        <w:t xml:space="preserve">Rysunek U-18. </w:t>
      </w:r>
      <w:r w:rsidRPr="00FE5FBD">
        <w:rPr>
          <w:b/>
          <w:sz w:val="20"/>
        </w:rPr>
        <w:tab/>
        <w:t xml:space="preserve">Wykres izokandeli dla świateł linii środkowej drogi kołowania (rozstaw 7.5 m), </w:t>
      </w:r>
      <w:r w:rsidR="001C42F8" w:rsidRPr="00FE5FBD">
        <w:rPr>
          <w:b/>
          <w:sz w:val="20"/>
        </w:rPr>
        <w:t xml:space="preserve">świateł wjazdu na drogę startową (RELs), świateł </w:t>
      </w:r>
      <w:r w:rsidRPr="00FE5FBD">
        <w:rPr>
          <w:b/>
          <w:sz w:val="20"/>
        </w:rPr>
        <w:t>poprzeczki zakazu wjazdu oraz świateł poprzeczki zatrzymania na łukach, przeznaczonych do użytkowania w warunkach widzialności wzdłuż drogi startowej mniejszej niż 350 m</w:t>
      </w:r>
    </w:p>
    <w:p w14:paraId="767E8513" w14:textId="77777777" w:rsidR="00C36D76" w:rsidRPr="007A1C17" w:rsidRDefault="00C36D76" w:rsidP="00B06A9A">
      <w:pPr>
        <w:rPr>
          <w:szCs w:val="20"/>
        </w:rPr>
      </w:pPr>
    </w:p>
    <w:p w14:paraId="6EC41951" w14:textId="77777777" w:rsidR="00C36D76" w:rsidRPr="007A1C17" w:rsidRDefault="00C36D76" w:rsidP="00B06A9A">
      <w:pPr>
        <w:spacing w:after="240"/>
        <w:rPr>
          <w:szCs w:val="20"/>
        </w:rPr>
      </w:pPr>
      <w:r w:rsidRPr="007A1C17">
        <w:rPr>
          <w:szCs w:val="20"/>
        </w:rPr>
        <w:t>Uwagi:</w:t>
      </w:r>
    </w:p>
    <w:p w14:paraId="740C3C86" w14:textId="44F31D84" w:rsidR="00C36D76" w:rsidRPr="007A1C17" w:rsidRDefault="00C36D76" w:rsidP="000B7988">
      <w:pPr>
        <w:tabs>
          <w:tab w:val="left" w:pos="1134"/>
        </w:tabs>
        <w:ind w:left="1134" w:hanging="567"/>
      </w:pPr>
      <w:r w:rsidRPr="007A1C17">
        <w:rPr>
          <w:rFonts w:cs="Times New Roman"/>
          <w:szCs w:val="20"/>
        </w:rPr>
        <w:t xml:space="preserve">(a) </w:t>
      </w:r>
      <w:r w:rsidRPr="007A1C17">
        <w:rPr>
          <w:rFonts w:cs="Times New Roman"/>
          <w:szCs w:val="20"/>
        </w:rPr>
        <w:tab/>
      </w:r>
      <w:r w:rsidRPr="007A1C17">
        <w:rPr>
          <w:rFonts w:cs="Arial"/>
          <w:iCs/>
          <w:szCs w:val="18"/>
        </w:rPr>
        <w:t>Światła</w:t>
      </w:r>
      <w:r w:rsidRPr="007A1C17">
        <w:rPr>
          <w:szCs w:val="20"/>
        </w:rPr>
        <w:t xml:space="preserve"> na łuku powinny być zbieżne pod kątem 15.75 stopni względem stycznej do łuku.</w:t>
      </w:r>
      <w:r w:rsidR="001C42F8" w:rsidRPr="007A1C17">
        <w:rPr>
          <w:szCs w:val="20"/>
        </w:rPr>
        <w:t xml:space="preserve"> Nie dotyczy to </w:t>
      </w:r>
      <w:r w:rsidR="001C42F8" w:rsidRPr="007A1C17">
        <w:rPr>
          <w:rFonts w:eastAsia="Calibri"/>
        </w:rPr>
        <w:t>świateł wjazdu na drogę startową (</w:t>
      </w:r>
      <w:r w:rsidR="001C42F8" w:rsidRPr="007A1C17">
        <w:t>RELs)</w:t>
      </w:r>
      <w:r w:rsidR="00EF2ADB" w:rsidRPr="007A1C17">
        <w:t>.</w:t>
      </w:r>
    </w:p>
    <w:p w14:paraId="57541D33" w14:textId="0BD5CD7D" w:rsidR="00EF2ADB" w:rsidRPr="007A1C17" w:rsidRDefault="00EF2ADB" w:rsidP="0006183A">
      <w:pPr>
        <w:tabs>
          <w:tab w:val="left" w:pos="1134"/>
        </w:tabs>
        <w:ind w:left="1134" w:hanging="567"/>
        <w:rPr>
          <w:szCs w:val="20"/>
        </w:rPr>
      </w:pPr>
      <w:r w:rsidRPr="007A1C17">
        <w:t xml:space="preserve">(b) </w:t>
      </w:r>
      <w:r w:rsidRPr="007A1C17">
        <w:tab/>
        <w:t xml:space="preserve">Jeśli </w:t>
      </w:r>
      <w:r w:rsidR="00B42931" w:rsidRPr="007A1C17">
        <w:rPr>
          <w:rFonts w:eastAsia="Calibri"/>
        </w:rPr>
        <w:t>światł</w:t>
      </w:r>
      <w:r w:rsidR="00A94044" w:rsidRPr="007A1C17">
        <w:rPr>
          <w:rFonts w:eastAsia="Calibri"/>
        </w:rPr>
        <w:t>a</w:t>
      </w:r>
      <w:r w:rsidR="00B42931" w:rsidRPr="007A1C17">
        <w:rPr>
          <w:rFonts w:eastAsia="Calibri"/>
        </w:rPr>
        <w:t xml:space="preserve"> wjazdu na drogę startową (</w:t>
      </w:r>
      <w:r w:rsidR="00B42931" w:rsidRPr="007A1C17">
        <w:t xml:space="preserve">RELs) </w:t>
      </w:r>
      <w:r w:rsidRPr="007A1C17">
        <w:t xml:space="preserve">są zapewnione, </w:t>
      </w:r>
      <w:r w:rsidR="00B42931" w:rsidRPr="007A1C17">
        <w:t>z</w:t>
      </w:r>
      <w:r w:rsidRPr="007A1C17">
        <w:t>większona intensywność świateł RELs powinna być dwukrotnie wyższa od określonej intensywności, to jest minimum 20 cd, minimum 100 cd dla wiązki głównej i 200 cd minimalnej średniej.</w:t>
      </w:r>
    </w:p>
    <w:p w14:paraId="147AC383" w14:textId="79D0EC45" w:rsidR="00C36D76" w:rsidRPr="009E064B" w:rsidRDefault="00C36D76" w:rsidP="000B7988">
      <w:pPr>
        <w:tabs>
          <w:tab w:val="left" w:pos="1134"/>
        </w:tabs>
        <w:ind w:left="1134" w:hanging="567"/>
        <w:rPr>
          <w:szCs w:val="20"/>
        </w:rPr>
      </w:pPr>
      <w:r w:rsidRPr="007A1C17">
        <w:rPr>
          <w:rFonts w:cs="Times New Roman"/>
          <w:szCs w:val="20"/>
        </w:rPr>
        <w:t>(</w:t>
      </w:r>
      <w:r w:rsidR="00EF2ADB" w:rsidRPr="007A1C17">
        <w:rPr>
          <w:rFonts w:cs="Times New Roman"/>
          <w:szCs w:val="20"/>
        </w:rPr>
        <w:t>c</w:t>
      </w:r>
      <w:r w:rsidRPr="007A1C17">
        <w:rPr>
          <w:rFonts w:cs="Times New Roman"/>
          <w:szCs w:val="20"/>
        </w:rPr>
        <w:t xml:space="preserve">) </w:t>
      </w:r>
      <w:r w:rsidRPr="007A1C17">
        <w:rPr>
          <w:rFonts w:cs="Times New Roman"/>
          <w:szCs w:val="20"/>
        </w:rPr>
        <w:tab/>
      </w:r>
      <w:r w:rsidRPr="007A1C17">
        <w:rPr>
          <w:rFonts w:cs="Arial"/>
          <w:iCs/>
          <w:szCs w:val="18"/>
        </w:rPr>
        <w:t>Patrz</w:t>
      </w:r>
      <w:r w:rsidR="000E0B48" w:rsidRPr="007A1C17">
        <w:rPr>
          <w:szCs w:val="20"/>
        </w:rPr>
        <w:t xml:space="preserve"> uwagi wspólne dla R</w:t>
      </w:r>
      <w:r w:rsidRPr="007A1C17">
        <w:rPr>
          <w:szCs w:val="20"/>
        </w:rPr>
        <w:t>ysunków U-16 do U</w:t>
      </w:r>
      <w:r w:rsidRPr="009E064B">
        <w:rPr>
          <w:szCs w:val="20"/>
        </w:rPr>
        <w:t>-25</w:t>
      </w:r>
      <w:r w:rsidRPr="009E064B">
        <w:rPr>
          <w:rFonts w:ascii="Arial" w:hAnsi="Arial" w:cs="Arial"/>
          <w:iCs/>
          <w:sz w:val="16"/>
        </w:rPr>
        <w:t>.</w:t>
      </w:r>
    </w:p>
    <w:p w14:paraId="44AB428B" w14:textId="6AC24A29" w:rsidR="00C36D76" w:rsidRPr="009E064B" w:rsidRDefault="0044331D" w:rsidP="008960B1">
      <w:pPr>
        <w:spacing w:before="60"/>
        <w:rPr>
          <w:b/>
          <w:szCs w:val="20"/>
        </w:rPr>
      </w:pPr>
      <w:r w:rsidRPr="000412BF">
        <w:rPr>
          <w:rFonts w:asciiTheme="minorHAnsi" w:hAnsiTheme="minorHAnsi" w:cstheme="minorHAnsi"/>
          <w:i/>
          <w:sz w:val="16"/>
          <w:szCs w:val="16"/>
        </w:rPr>
        <w:t>[Wydanie: ADR-DSN/4]</w:t>
      </w:r>
    </w:p>
    <w:p w14:paraId="7924B30C" w14:textId="77777777" w:rsidR="00C36D76" w:rsidRPr="009E064B" w:rsidRDefault="00C36D76" w:rsidP="00B06A9A">
      <w:pPr>
        <w:spacing w:after="200"/>
        <w:jc w:val="left"/>
        <w:rPr>
          <w:b/>
          <w:szCs w:val="20"/>
        </w:rPr>
      </w:pPr>
      <w:r w:rsidRPr="009E064B">
        <w:rPr>
          <w:b/>
          <w:szCs w:val="20"/>
        </w:rPr>
        <w:br w:type="page"/>
      </w:r>
    </w:p>
    <w:p w14:paraId="0FF5CA6C" w14:textId="77777777" w:rsidR="00C36D76" w:rsidRPr="009E064B" w:rsidRDefault="00C36D76" w:rsidP="00B06A9A">
      <w:pPr>
        <w:rPr>
          <w:b/>
          <w:szCs w:val="20"/>
        </w:rPr>
      </w:pPr>
    </w:p>
    <w:p w14:paraId="63635CD6" w14:textId="77777777" w:rsidR="00C36D76" w:rsidRPr="009E064B" w:rsidRDefault="00C36D76" w:rsidP="00B06A9A">
      <w:pPr>
        <w:rPr>
          <w:b/>
          <w:szCs w:val="20"/>
        </w:rPr>
      </w:pPr>
      <w:r w:rsidRPr="009E064B">
        <w:rPr>
          <w:b/>
          <w:noProof/>
          <w:szCs w:val="20"/>
          <w:lang w:eastAsia="pl-PL"/>
        </w:rPr>
        <w:drawing>
          <wp:inline distT="0" distB="0" distL="0" distR="0" wp14:anchorId="485D3766" wp14:editId="3B2325B0">
            <wp:extent cx="5665470" cy="2402840"/>
            <wp:effectExtent l="19050" t="0" r="0" b="0"/>
            <wp:docPr id="903" name="Obraz 63" descr="A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A2-15"/>
                    <pic:cNvPicPr>
                      <a:picLocks noChangeAspect="1" noChangeArrowheads="1"/>
                    </pic:cNvPicPr>
                  </pic:nvPicPr>
                  <pic:blipFill>
                    <a:blip r:embed="rId285" cstate="print"/>
                    <a:srcRect/>
                    <a:stretch>
                      <a:fillRect/>
                    </a:stretch>
                  </pic:blipFill>
                  <pic:spPr bwMode="auto">
                    <a:xfrm>
                      <a:off x="0" y="0"/>
                      <a:ext cx="5665470" cy="2402840"/>
                    </a:xfrm>
                    <a:prstGeom prst="rect">
                      <a:avLst/>
                    </a:prstGeom>
                    <a:noFill/>
                    <a:ln w="9525">
                      <a:noFill/>
                      <a:miter lim="800000"/>
                      <a:headEnd/>
                      <a:tailEnd/>
                    </a:ln>
                  </pic:spPr>
                </pic:pic>
              </a:graphicData>
            </a:graphic>
          </wp:inline>
        </w:drawing>
      </w:r>
    </w:p>
    <w:p w14:paraId="75ED6225" w14:textId="77777777" w:rsidR="00C36D76" w:rsidRPr="009E064B" w:rsidRDefault="00C36D76" w:rsidP="00B06A9A">
      <w:pPr>
        <w:rPr>
          <w:iCs/>
        </w:rPr>
      </w:pPr>
    </w:p>
    <w:p w14:paraId="2EDB0E91" w14:textId="77777777" w:rsidR="00C36D76" w:rsidRPr="009E064B" w:rsidRDefault="00C36D76" w:rsidP="00B06A9A">
      <w:pPr>
        <w:rPr>
          <w:iCs/>
        </w:rPr>
      </w:pPr>
    </w:p>
    <w:p w14:paraId="24CAA486" w14:textId="77777777" w:rsidR="00C36D76" w:rsidRPr="00FE5FBD" w:rsidRDefault="00C36D76" w:rsidP="00FE5FBD">
      <w:pPr>
        <w:spacing w:before="240"/>
        <w:ind w:left="1418" w:hanging="1418"/>
        <w:rPr>
          <w:b/>
          <w:sz w:val="20"/>
        </w:rPr>
      </w:pPr>
      <w:r w:rsidRPr="00FE5FBD">
        <w:rPr>
          <w:b/>
          <w:sz w:val="20"/>
        </w:rPr>
        <w:t xml:space="preserve">Rysunek U-19. </w:t>
      </w:r>
      <w:r w:rsidRPr="00FE5FBD">
        <w:rPr>
          <w:b/>
          <w:sz w:val="20"/>
        </w:rPr>
        <w:tab/>
        <w:t>Wykres izokandeli dla świateł linii środkowej drogi kołowania (rozstaw 30 m, 60 m), poprzeczki zakazu wjazdu oraz świateł poprzeczki zatrzymania na odcinkach prostych, przeznaczonych do użytkowania w warunkach widzialności wzdłuż drogi startowej równej lub większej niż 350 m</w:t>
      </w:r>
    </w:p>
    <w:p w14:paraId="0D1665F9" w14:textId="77777777" w:rsidR="00C36D76" w:rsidRPr="009E064B" w:rsidRDefault="00C36D76" w:rsidP="00B06A9A">
      <w:pPr>
        <w:rPr>
          <w:szCs w:val="20"/>
        </w:rPr>
      </w:pPr>
    </w:p>
    <w:p w14:paraId="2F52CB43" w14:textId="77777777" w:rsidR="00C36D76" w:rsidRPr="009E064B" w:rsidRDefault="00C36D76" w:rsidP="00B06A9A">
      <w:pPr>
        <w:spacing w:after="240"/>
        <w:rPr>
          <w:szCs w:val="20"/>
        </w:rPr>
      </w:pPr>
      <w:r w:rsidRPr="009E064B">
        <w:rPr>
          <w:szCs w:val="20"/>
        </w:rPr>
        <w:t>Uwagi:</w:t>
      </w:r>
    </w:p>
    <w:p w14:paraId="164C9FF6" w14:textId="77777777" w:rsidR="00C36D76" w:rsidRPr="009E064B" w:rsidRDefault="00C36D76" w:rsidP="000B7988">
      <w:pPr>
        <w:tabs>
          <w:tab w:val="left" w:pos="1134"/>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 xml:space="preserve">W miejscach o dużej luminacji tła oraz w których występuje znaczne obniżenie emisji z powodu kurzu, </w:t>
      </w:r>
      <w:r w:rsidRPr="009E064B">
        <w:rPr>
          <w:rFonts w:cs="Arial"/>
          <w:iCs/>
          <w:szCs w:val="18"/>
        </w:rPr>
        <w:t>śniegu</w:t>
      </w:r>
      <w:r w:rsidRPr="009E064B">
        <w:rPr>
          <w:szCs w:val="20"/>
        </w:rPr>
        <w:t xml:space="preserve"> i zanieczyszczeń, wartości cd należy pomnożyć przez 2.5.</w:t>
      </w:r>
    </w:p>
    <w:p w14:paraId="14A152F2" w14:textId="34E21E5D"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 xml:space="preserve">Jeżeli </w:t>
      </w:r>
      <w:r w:rsidRPr="009E064B">
        <w:rPr>
          <w:rFonts w:cs="Arial"/>
          <w:iCs/>
          <w:szCs w:val="18"/>
        </w:rPr>
        <w:t>stosowane</w:t>
      </w:r>
      <w:r w:rsidRPr="009E064B">
        <w:rPr>
          <w:szCs w:val="20"/>
        </w:rPr>
        <w:t xml:space="preserve"> są światła dookólne, to ich charakterystyka powinna odpowiadać wymaganiom wiązki w linii środkowej pionowej określonej na tym rysunku.</w:t>
      </w:r>
    </w:p>
    <w:p w14:paraId="0BF7D8B2" w14:textId="3914A5BB" w:rsidR="00C36D76" w:rsidRPr="009E064B" w:rsidRDefault="00C36D76" w:rsidP="000B7988">
      <w:pPr>
        <w:tabs>
          <w:tab w:val="left" w:pos="1134"/>
        </w:tabs>
        <w:ind w:left="1134" w:hanging="567"/>
        <w:rPr>
          <w:szCs w:val="20"/>
        </w:rPr>
      </w:pPr>
      <w:r w:rsidRPr="009E064B">
        <w:rPr>
          <w:rFonts w:cs="Times New Roman"/>
          <w:szCs w:val="20"/>
        </w:rPr>
        <w:t xml:space="preserve">(c) </w:t>
      </w:r>
      <w:r w:rsidRPr="009E064B">
        <w:rPr>
          <w:rFonts w:cs="Times New Roman"/>
          <w:szCs w:val="20"/>
        </w:rPr>
        <w:tab/>
      </w:r>
      <w:r w:rsidRPr="009E064B">
        <w:rPr>
          <w:szCs w:val="20"/>
        </w:rPr>
        <w:t xml:space="preserve">Patrz </w:t>
      </w:r>
      <w:r w:rsidRPr="009E064B">
        <w:rPr>
          <w:rFonts w:cs="Arial"/>
          <w:iCs/>
          <w:szCs w:val="18"/>
        </w:rPr>
        <w:t>uwagi</w:t>
      </w:r>
      <w:r w:rsidR="000E0B48" w:rsidRPr="009E064B">
        <w:rPr>
          <w:szCs w:val="20"/>
        </w:rPr>
        <w:t xml:space="preserve"> wspólne dla R</w:t>
      </w:r>
      <w:r w:rsidRPr="009E064B">
        <w:rPr>
          <w:szCs w:val="20"/>
        </w:rPr>
        <w:t>ysunków U-16 do U-25</w:t>
      </w:r>
      <w:r w:rsidRPr="009E064B">
        <w:rPr>
          <w:rFonts w:ascii="Arial" w:hAnsi="Arial" w:cs="Arial"/>
          <w:iCs/>
          <w:sz w:val="16"/>
        </w:rPr>
        <w:t>.</w:t>
      </w:r>
    </w:p>
    <w:p w14:paraId="3E40E2C8" w14:textId="77777777" w:rsidR="00C36D76" w:rsidRPr="009E064B" w:rsidRDefault="00C36D76" w:rsidP="00B06A9A">
      <w:pPr>
        <w:spacing w:after="200"/>
        <w:jc w:val="left"/>
        <w:rPr>
          <w:b/>
          <w:szCs w:val="20"/>
        </w:rPr>
      </w:pPr>
      <w:r w:rsidRPr="009E064B">
        <w:rPr>
          <w:b/>
          <w:szCs w:val="20"/>
        </w:rPr>
        <w:br w:type="page"/>
      </w:r>
    </w:p>
    <w:p w14:paraId="5A48DC62" w14:textId="77777777" w:rsidR="00C36D76" w:rsidRPr="009E064B" w:rsidRDefault="00C36D76" w:rsidP="00B06A9A">
      <w:pPr>
        <w:rPr>
          <w:b/>
          <w:szCs w:val="20"/>
        </w:rPr>
      </w:pPr>
    </w:p>
    <w:p w14:paraId="383B919D" w14:textId="77777777" w:rsidR="00C36D76" w:rsidRPr="009E064B" w:rsidRDefault="00C36D76" w:rsidP="00B06A9A">
      <w:pPr>
        <w:rPr>
          <w:b/>
          <w:szCs w:val="20"/>
        </w:rPr>
      </w:pPr>
      <w:r w:rsidRPr="009E064B">
        <w:rPr>
          <w:b/>
          <w:noProof/>
          <w:szCs w:val="20"/>
          <w:lang w:eastAsia="pl-PL"/>
        </w:rPr>
        <w:drawing>
          <wp:inline distT="0" distB="0" distL="0" distR="0" wp14:anchorId="4E699E6A" wp14:editId="44EF1B4E">
            <wp:extent cx="5665470" cy="2569845"/>
            <wp:effectExtent l="19050" t="0" r="0" b="0"/>
            <wp:docPr id="904" name="Obraz 64" descr="A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A2-16"/>
                    <pic:cNvPicPr>
                      <a:picLocks noChangeAspect="1" noChangeArrowheads="1"/>
                    </pic:cNvPicPr>
                  </pic:nvPicPr>
                  <pic:blipFill>
                    <a:blip r:embed="rId286" cstate="print"/>
                    <a:srcRect/>
                    <a:stretch>
                      <a:fillRect/>
                    </a:stretch>
                  </pic:blipFill>
                  <pic:spPr bwMode="auto">
                    <a:xfrm>
                      <a:off x="0" y="0"/>
                      <a:ext cx="5665470" cy="2569845"/>
                    </a:xfrm>
                    <a:prstGeom prst="rect">
                      <a:avLst/>
                    </a:prstGeom>
                    <a:noFill/>
                    <a:ln w="9525">
                      <a:noFill/>
                      <a:miter lim="800000"/>
                      <a:headEnd/>
                      <a:tailEnd/>
                    </a:ln>
                  </pic:spPr>
                </pic:pic>
              </a:graphicData>
            </a:graphic>
          </wp:inline>
        </w:drawing>
      </w:r>
    </w:p>
    <w:p w14:paraId="604E1118" w14:textId="77777777" w:rsidR="00C36D76" w:rsidRPr="009E064B" w:rsidRDefault="00C36D76" w:rsidP="00B06A9A">
      <w:pPr>
        <w:rPr>
          <w:b/>
          <w:szCs w:val="20"/>
        </w:rPr>
      </w:pPr>
    </w:p>
    <w:p w14:paraId="2DF2B67D" w14:textId="77777777" w:rsidR="00C36D76" w:rsidRPr="009E064B" w:rsidRDefault="00C36D76" w:rsidP="00B06A9A">
      <w:pPr>
        <w:rPr>
          <w:b/>
          <w:szCs w:val="20"/>
        </w:rPr>
      </w:pPr>
    </w:p>
    <w:p w14:paraId="534F9B0C" w14:textId="7EB7C403" w:rsidR="00C36D76" w:rsidRPr="00FE5FBD" w:rsidRDefault="00C36D76" w:rsidP="00FE5FBD">
      <w:pPr>
        <w:spacing w:before="240"/>
        <w:ind w:left="1418" w:hanging="1418"/>
        <w:rPr>
          <w:b/>
          <w:sz w:val="20"/>
        </w:rPr>
      </w:pPr>
      <w:r w:rsidRPr="00FE5FBD">
        <w:rPr>
          <w:b/>
          <w:sz w:val="20"/>
        </w:rPr>
        <w:t xml:space="preserve">Rysunek U-20. </w:t>
      </w:r>
      <w:r w:rsidRPr="00FE5FBD">
        <w:rPr>
          <w:b/>
          <w:sz w:val="20"/>
        </w:rPr>
        <w:tab/>
        <w:t>Wykres izokandeli dla świateł linii środkowej drogi kołowania (rozstaw 7.5 m, 15 m, 30 m), poprzeczki zakazu wjazdu oraz świateł poprzeczki zatrzymania na łukach, przeznaczonych do użytkowania w warunkach widzialności wzdłuż drogi starto</w:t>
      </w:r>
      <w:r w:rsidR="00FE5FBD">
        <w:rPr>
          <w:b/>
          <w:sz w:val="20"/>
        </w:rPr>
        <w:t>wej równej lub większej niż 350 </w:t>
      </w:r>
      <w:r w:rsidRPr="00FE5FBD">
        <w:rPr>
          <w:b/>
          <w:sz w:val="20"/>
        </w:rPr>
        <w:t>m</w:t>
      </w:r>
    </w:p>
    <w:p w14:paraId="2FFBF9B2" w14:textId="77777777" w:rsidR="00C36D76" w:rsidRPr="009E064B" w:rsidRDefault="00C36D76" w:rsidP="00B06A9A">
      <w:pPr>
        <w:rPr>
          <w:szCs w:val="20"/>
        </w:rPr>
      </w:pPr>
    </w:p>
    <w:p w14:paraId="70A6EF70" w14:textId="77777777" w:rsidR="00C36D76" w:rsidRPr="009E064B" w:rsidRDefault="00C36D76" w:rsidP="000B7988">
      <w:pPr>
        <w:tabs>
          <w:tab w:val="left" w:pos="0"/>
        </w:tabs>
        <w:rPr>
          <w:szCs w:val="20"/>
        </w:rPr>
      </w:pPr>
      <w:r w:rsidRPr="009E064B">
        <w:rPr>
          <w:szCs w:val="20"/>
        </w:rPr>
        <w:t>Uwagi:</w:t>
      </w:r>
    </w:p>
    <w:p w14:paraId="4F3C8A5B" w14:textId="77777777" w:rsidR="00C36D76" w:rsidRPr="009E064B" w:rsidRDefault="00C36D76" w:rsidP="000B7988">
      <w:pPr>
        <w:tabs>
          <w:tab w:val="left" w:pos="1134"/>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Światła na łuku powinny być zbieżne pod kątem 15.75 stopni względem stycznej do łuku.</w:t>
      </w:r>
    </w:p>
    <w:p w14:paraId="6094A9D6" w14:textId="77777777"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W miejscach o dużej luminacji tła oraz w których występuje znaczne obniżenie emisji z powodu kurzu, śniegu i zanieczyszczeń, wartości cd należy pomnożyć przez 2.5.</w:t>
      </w:r>
    </w:p>
    <w:p w14:paraId="42445C58" w14:textId="77777777" w:rsidR="00C36D76" w:rsidRPr="009E064B" w:rsidRDefault="00C36D76" w:rsidP="000B7988">
      <w:pPr>
        <w:tabs>
          <w:tab w:val="left" w:pos="1134"/>
        </w:tabs>
        <w:ind w:left="1134" w:hanging="567"/>
        <w:rPr>
          <w:szCs w:val="20"/>
        </w:rPr>
      </w:pPr>
      <w:r w:rsidRPr="009E064B">
        <w:rPr>
          <w:rFonts w:cs="Times New Roman"/>
          <w:szCs w:val="20"/>
        </w:rPr>
        <w:t xml:space="preserve">(c) </w:t>
      </w:r>
      <w:r w:rsidRPr="009E064B">
        <w:rPr>
          <w:rFonts w:cs="Times New Roman"/>
          <w:szCs w:val="20"/>
        </w:rPr>
        <w:tab/>
      </w:r>
      <w:r w:rsidRPr="009E064B">
        <w:rPr>
          <w:szCs w:val="20"/>
        </w:rPr>
        <w:t xml:space="preserve">Powyższe </w:t>
      </w:r>
      <w:r w:rsidRPr="009E064B">
        <w:rPr>
          <w:rFonts w:cs="Arial"/>
          <w:iCs/>
          <w:szCs w:val="18"/>
        </w:rPr>
        <w:t>pokrycie</w:t>
      </w:r>
      <w:r w:rsidRPr="009E064B">
        <w:rPr>
          <w:szCs w:val="20"/>
        </w:rPr>
        <w:t xml:space="preserve"> wiązki uwzględnia przesunięcie kabiny pilota względem linii środkowej o odległość do 12 m, jakie może wystąpić na końcu łuku.</w:t>
      </w:r>
    </w:p>
    <w:p w14:paraId="5397817F" w14:textId="0CFB8025" w:rsidR="00C36D76" w:rsidRPr="009E064B" w:rsidRDefault="00C36D76" w:rsidP="000B7988">
      <w:pPr>
        <w:tabs>
          <w:tab w:val="left" w:pos="1134"/>
        </w:tabs>
        <w:ind w:left="1134" w:hanging="567"/>
        <w:rPr>
          <w:szCs w:val="20"/>
        </w:rPr>
      </w:pPr>
      <w:r w:rsidRPr="009E064B">
        <w:rPr>
          <w:rFonts w:cs="Times New Roman"/>
          <w:szCs w:val="20"/>
        </w:rPr>
        <w:t xml:space="preserve">(d) </w:t>
      </w:r>
      <w:r w:rsidRPr="009E064B">
        <w:rPr>
          <w:rFonts w:cs="Times New Roman"/>
          <w:szCs w:val="20"/>
        </w:rPr>
        <w:tab/>
      </w:r>
      <w:r w:rsidRPr="009E064B">
        <w:rPr>
          <w:szCs w:val="20"/>
        </w:rPr>
        <w:t xml:space="preserve">Patrz uwagi </w:t>
      </w:r>
      <w:r w:rsidRPr="009E064B">
        <w:rPr>
          <w:rFonts w:cs="Arial"/>
          <w:iCs/>
          <w:szCs w:val="18"/>
        </w:rPr>
        <w:t>wspólne</w:t>
      </w:r>
      <w:r w:rsidR="000E0B48" w:rsidRPr="009E064B">
        <w:rPr>
          <w:szCs w:val="20"/>
        </w:rPr>
        <w:t xml:space="preserve"> dla R</w:t>
      </w:r>
      <w:r w:rsidRPr="009E064B">
        <w:rPr>
          <w:szCs w:val="20"/>
        </w:rPr>
        <w:t>ysunków U-16 do U-25</w:t>
      </w:r>
      <w:r w:rsidRPr="009E064B">
        <w:rPr>
          <w:rFonts w:ascii="Arial" w:hAnsi="Arial" w:cs="Arial"/>
          <w:iCs/>
          <w:sz w:val="16"/>
        </w:rPr>
        <w:t>.</w:t>
      </w:r>
    </w:p>
    <w:p w14:paraId="764FC3B1" w14:textId="77777777" w:rsidR="00C36D76" w:rsidRPr="009E064B" w:rsidRDefault="00C36D76" w:rsidP="00B06A9A">
      <w:pPr>
        <w:spacing w:before="240"/>
        <w:rPr>
          <w:b/>
          <w:szCs w:val="20"/>
        </w:rPr>
      </w:pPr>
    </w:p>
    <w:p w14:paraId="6D136658" w14:textId="77777777" w:rsidR="00C36D76" w:rsidRPr="009E064B" w:rsidRDefault="00C36D76" w:rsidP="00B06A9A">
      <w:pPr>
        <w:spacing w:before="240"/>
        <w:rPr>
          <w:b/>
          <w:szCs w:val="20"/>
        </w:rPr>
      </w:pPr>
    </w:p>
    <w:p w14:paraId="1C4A205A" w14:textId="77777777" w:rsidR="00C36D76" w:rsidRPr="009E064B" w:rsidRDefault="00C36D76" w:rsidP="00B06A9A">
      <w:pPr>
        <w:spacing w:before="240"/>
        <w:rPr>
          <w:b/>
          <w:szCs w:val="20"/>
        </w:rPr>
      </w:pPr>
    </w:p>
    <w:p w14:paraId="62C7E333" w14:textId="77777777" w:rsidR="00C36D76" w:rsidRPr="009E064B" w:rsidRDefault="00C36D76" w:rsidP="00B06A9A">
      <w:pPr>
        <w:spacing w:before="240"/>
        <w:rPr>
          <w:b/>
          <w:szCs w:val="20"/>
        </w:rPr>
      </w:pPr>
      <w:r w:rsidRPr="009E064B">
        <w:rPr>
          <w:b/>
          <w:noProof/>
          <w:szCs w:val="20"/>
          <w:lang w:eastAsia="pl-PL"/>
        </w:rPr>
        <w:drawing>
          <wp:inline distT="0" distB="0" distL="0" distR="0" wp14:anchorId="23F74E2A" wp14:editId="617E5807">
            <wp:extent cx="5665470" cy="3251200"/>
            <wp:effectExtent l="19050" t="0" r="0" b="0"/>
            <wp:docPr id="905" name="Obraz 65" descr="A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A2-17"/>
                    <pic:cNvPicPr>
                      <a:picLocks noChangeAspect="1" noChangeArrowheads="1"/>
                    </pic:cNvPicPr>
                  </pic:nvPicPr>
                  <pic:blipFill>
                    <a:blip r:embed="rId287" cstate="print"/>
                    <a:srcRect/>
                    <a:stretch>
                      <a:fillRect/>
                    </a:stretch>
                  </pic:blipFill>
                  <pic:spPr bwMode="auto">
                    <a:xfrm>
                      <a:off x="0" y="0"/>
                      <a:ext cx="5665470" cy="3251200"/>
                    </a:xfrm>
                    <a:prstGeom prst="rect">
                      <a:avLst/>
                    </a:prstGeom>
                    <a:noFill/>
                    <a:ln w="9525">
                      <a:noFill/>
                      <a:miter lim="800000"/>
                      <a:headEnd/>
                      <a:tailEnd/>
                    </a:ln>
                  </pic:spPr>
                </pic:pic>
              </a:graphicData>
            </a:graphic>
          </wp:inline>
        </w:drawing>
      </w:r>
    </w:p>
    <w:p w14:paraId="296418CF" w14:textId="77777777" w:rsidR="00C36D76" w:rsidRPr="009E064B" w:rsidRDefault="00C36D76" w:rsidP="00B06A9A">
      <w:pPr>
        <w:rPr>
          <w:iCs/>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1985"/>
        <w:gridCol w:w="729"/>
        <w:gridCol w:w="992"/>
        <w:gridCol w:w="992"/>
        <w:gridCol w:w="992"/>
        <w:gridCol w:w="993"/>
      </w:tblGrid>
      <w:tr w:rsidR="00C36D76" w:rsidRPr="009E064B" w14:paraId="399FA96F" w14:textId="77777777" w:rsidTr="00D66FD5">
        <w:trPr>
          <w:jc w:val="center"/>
        </w:trPr>
        <w:tc>
          <w:tcPr>
            <w:tcW w:w="1985" w:type="dxa"/>
            <w:tcMar>
              <w:top w:w="85" w:type="dxa"/>
              <w:bottom w:w="85" w:type="dxa"/>
            </w:tcMar>
          </w:tcPr>
          <w:p w14:paraId="00188BA7" w14:textId="77777777" w:rsidR="00C36D76" w:rsidRPr="009E064B" w:rsidRDefault="00C36D76" w:rsidP="003F1EC3">
            <w:pPr>
              <w:spacing w:after="0"/>
              <w:rPr>
                <w:rFonts w:cs="Arial"/>
                <w:iCs/>
              </w:rPr>
            </w:pPr>
            <w:r w:rsidRPr="009E064B">
              <w:rPr>
                <w:rFonts w:cs="Arial"/>
                <w:iCs/>
              </w:rPr>
              <w:t>Łuk</w:t>
            </w:r>
          </w:p>
        </w:tc>
        <w:tc>
          <w:tcPr>
            <w:tcW w:w="729" w:type="dxa"/>
            <w:tcMar>
              <w:top w:w="85" w:type="dxa"/>
              <w:bottom w:w="85" w:type="dxa"/>
            </w:tcMar>
            <w:vAlign w:val="center"/>
          </w:tcPr>
          <w:p w14:paraId="48B23FF6" w14:textId="77777777" w:rsidR="00C36D76" w:rsidRPr="009E064B" w:rsidRDefault="00C36D76" w:rsidP="003F1EC3">
            <w:pPr>
              <w:spacing w:after="0"/>
              <w:jc w:val="center"/>
              <w:rPr>
                <w:rFonts w:cs="Arial"/>
                <w:iCs/>
              </w:rPr>
            </w:pPr>
            <w:r w:rsidRPr="009E064B">
              <w:rPr>
                <w:rFonts w:cs="Arial"/>
                <w:iCs/>
              </w:rPr>
              <w:t>a</w:t>
            </w:r>
          </w:p>
        </w:tc>
        <w:tc>
          <w:tcPr>
            <w:tcW w:w="992" w:type="dxa"/>
            <w:tcMar>
              <w:top w:w="85" w:type="dxa"/>
              <w:bottom w:w="85" w:type="dxa"/>
            </w:tcMar>
            <w:vAlign w:val="center"/>
          </w:tcPr>
          <w:p w14:paraId="794CA658" w14:textId="77777777" w:rsidR="00C36D76" w:rsidRPr="009E064B" w:rsidRDefault="00C36D76" w:rsidP="003F1EC3">
            <w:pPr>
              <w:spacing w:after="0"/>
              <w:jc w:val="center"/>
              <w:rPr>
                <w:rFonts w:cs="Arial"/>
                <w:iCs/>
              </w:rPr>
            </w:pPr>
            <w:r w:rsidRPr="009E064B">
              <w:rPr>
                <w:rFonts w:cs="Arial"/>
                <w:iCs/>
              </w:rPr>
              <w:t>b</w:t>
            </w:r>
          </w:p>
        </w:tc>
        <w:tc>
          <w:tcPr>
            <w:tcW w:w="992" w:type="dxa"/>
            <w:tcMar>
              <w:top w:w="85" w:type="dxa"/>
              <w:bottom w:w="85" w:type="dxa"/>
            </w:tcMar>
            <w:vAlign w:val="center"/>
          </w:tcPr>
          <w:p w14:paraId="0C966D9E" w14:textId="77777777" w:rsidR="00C36D76" w:rsidRPr="009E064B" w:rsidRDefault="00C36D76" w:rsidP="003F1EC3">
            <w:pPr>
              <w:spacing w:after="0"/>
              <w:jc w:val="center"/>
              <w:rPr>
                <w:rFonts w:cs="Arial"/>
                <w:iCs/>
              </w:rPr>
            </w:pPr>
            <w:r w:rsidRPr="009E064B">
              <w:rPr>
                <w:rFonts w:cs="Arial"/>
                <w:iCs/>
              </w:rPr>
              <w:t>c</w:t>
            </w:r>
          </w:p>
        </w:tc>
        <w:tc>
          <w:tcPr>
            <w:tcW w:w="992" w:type="dxa"/>
            <w:tcMar>
              <w:top w:w="85" w:type="dxa"/>
              <w:bottom w:w="85" w:type="dxa"/>
            </w:tcMar>
            <w:vAlign w:val="center"/>
          </w:tcPr>
          <w:p w14:paraId="01F7EC64" w14:textId="77777777" w:rsidR="00C36D76" w:rsidRPr="009E064B" w:rsidRDefault="00C36D76" w:rsidP="003F1EC3">
            <w:pPr>
              <w:spacing w:after="0"/>
              <w:jc w:val="center"/>
              <w:rPr>
                <w:rFonts w:cs="Arial"/>
                <w:iCs/>
              </w:rPr>
            </w:pPr>
            <w:r w:rsidRPr="009E064B">
              <w:rPr>
                <w:rFonts w:cs="Arial"/>
                <w:iCs/>
              </w:rPr>
              <w:t>d</w:t>
            </w:r>
          </w:p>
        </w:tc>
        <w:tc>
          <w:tcPr>
            <w:tcW w:w="993" w:type="dxa"/>
            <w:tcMar>
              <w:top w:w="85" w:type="dxa"/>
              <w:bottom w:w="85" w:type="dxa"/>
            </w:tcMar>
            <w:vAlign w:val="center"/>
          </w:tcPr>
          <w:p w14:paraId="1F346F54" w14:textId="77777777" w:rsidR="00C36D76" w:rsidRPr="009E064B" w:rsidRDefault="00C36D76" w:rsidP="003F1EC3">
            <w:pPr>
              <w:spacing w:after="0"/>
              <w:jc w:val="center"/>
              <w:rPr>
                <w:rFonts w:cs="Arial"/>
                <w:iCs/>
              </w:rPr>
            </w:pPr>
            <w:r w:rsidRPr="009E064B">
              <w:rPr>
                <w:rFonts w:cs="Arial"/>
                <w:iCs/>
              </w:rPr>
              <w:t>e</w:t>
            </w:r>
          </w:p>
        </w:tc>
      </w:tr>
      <w:tr w:rsidR="00C36D76" w:rsidRPr="009E064B" w14:paraId="488700E5" w14:textId="77777777" w:rsidTr="00D66FD5">
        <w:trPr>
          <w:jc w:val="center"/>
        </w:trPr>
        <w:tc>
          <w:tcPr>
            <w:tcW w:w="1985" w:type="dxa"/>
            <w:tcMar>
              <w:top w:w="85" w:type="dxa"/>
              <w:bottom w:w="85" w:type="dxa"/>
            </w:tcMar>
          </w:tcPr>
          <w:p w14:paraId="3D33CF7B" w14:textId="77777777" w:rsidR="00C36D76" w:rsidRPr="009E064B" w:rsidRDefault="00C36D76" w:rsidP="003F1EC3">
            <w:pPr>
              <w:spacing w:after="0"/>
              <w:rPr>
                <w:rFonts w:cs="Arial"/>
                <w:iCs/>
              </w:rPr>
            </w:pPr>
            <w:r w:rsidRPr="009E064B">
              <w:rPr>
                <w:rFonts w:cs="Arial"/>
                <w:iCs/>
              </w:rPr>
              <w:t>Intensywność (cd)</w:t>
            </w:r>
          </w:p>
        </w:tc>
        <w:tc>
          <w:tcPr>
            <w:tcW w:w="729" w:type="dxa"/>
            <w:tcMar>
              <w:top w:w="85" w:type="dxa"/>
              <w:bottom w:w="85" w:type="dxa"/>
            </w:tcMar>
            <w:vAlign w:val="center"/>
          </w:tcPr>
          <w:p w14:paraId="07AB7874" w14:textId="77777777" w:rsidR="00C36D76" w:rsidRPr="009E064B" w:rsidRDefault="00C36D76" w:rsidP="003F1EC3">
            <w:pPr>
              <w:spacing w:after="0"/>
              <w:jc w:val="center"/>
              <w:rPr>
                <w:rFonts w:cs="Arial"/>
                <w:iCs/>
              </w:rPr>
            </w:pPr>
            <w:r w:rsidRPr="009E064B">
              <w:rPr>
                <w:rFonts w:cs="Arial"/>
                <w:iCs/>
              </w:rPr>
              <w:t>8</w:t>
            </w:r>
          </w:p>
        </w:tc>
        <w:tc>
          <w:tcPr>
            <w:tcW w:w="992" w:type="dxa"/>
            <w:tcMar>
              <w:top w:w="85" w:type="dxa"/>
              <w:bottom w:w="85" w:type="dxa"/>
            </w:tcMar>
            <w:vAlign w:val="center"/>
          </w:tcPr>
          <w:p w14:paraId="5838BAA7" w14:textId="77777777" w:rsidR="00C36D76" w:rsidRPr="009E064B" w:rsidRDefault="00C36D76" w:rsidP="003F1EC3">
            <w:pPr>
              <w:spacing w:after="0"/>
              <w:jc w:val="center"/>
              <w:rPr>
                <w:rFonts w:cs="Arial"/>
                <w:iCs/>
              </w:rPr>
            </w:pPr>
            <w:r w:rsidRPr="009E064B">
              <w:rPr>
                <w:rFonts w:cs="Arial"/>
                <w:iCs/>
              </w:rPr>
              <w:t>20</w:t>
            </w:r>
          </w:p>
        </w:tc>
        <w:tc>
          <w:tcPr>
            <w:tcW w:w="992" w:type="dxa"/>
            <w:tcMar>
              <w:top w:w="85" w:type="dxa"/>
              <w:bottom w:w="85" w:type="dxa"/>
            </w:tcMar>
            <w:vAlign w:val="center"/>
          </w:tcPr>
          <w:p w14:paraId="135D8192" w14:textId="77777777" w:rsidR="00C36D76" w:rsidRPr="009E064B" w:rsidRDefault="00C36D76" w:rsidP="003F1EC3">
            <w:pPr>
              <w:spacing w:after="0"/>
              <w:jc w:val="center"/>
              <w:rPr>
                <w:rFonts w:cs="Arial"/>
                <w:iCs/>
              </w:rPr>
            </w:pPr>
            <w:r w:rsidRPr="009E064B">
              <w:rPr>
                <w:rFonts w:cs="Arial"/>
                <w:iCs/>
              </w:rPr>
              <w:t>100</w:t>
            </w:r>
          </w:p>
        </w:tc>
        <w:tc>
          <w:tcPr>
            <w:tcW w:w="992" w:type="dxa"/>
            <w:tcMar>
              <w:top w:w="85" w:type="dxa"/>
              <w:bottom w:w="85" w:type="dxa"/>
            </w:tcMar>
            <w:vAlign w:val="center"/>
          </w:tcPr>
          <w:p w14:paraId="05407CE8" w14:textId="77777777" w:rsidR="00C36D76" w:rsidRPr="009E064B" w:rsidRDefault="00C36D76" w:rsidP="003F1EC3">
            <w:pPr>
              <w:spacing w:after="0"/>
              <w:jc w:val="center"/>
              <w:rPr>
                <w:rFonts w:cs="Arial"/>
                <w:iCs/>
              </w:rPr>
            </w:pPr>
            <w:r w:rsidRPr="009E064B">
              <w:rPr>
                <w:rFonts w:cs="Arial"/>
                <w:iCs/>
              </w:rPr>
              <w:t>450</w:t>
            </w:r>
          </w:p>
        </w:tc>
        <w:tc>
          <w:tcPr>
            <w:tcW w:w="993" w:type="dxa"/>
            <w:tcMar>
              <w:top w:w="85" w:type="dxa"/>
              <w:bottom w:w="85" w:type="dxa"/>
            </w:tcMar>
            <w:vAlign w:val="center"/>
          </w:tcPr>
          <w:p w14:paraId="160492F8" w14:textId="77777777" w:rsidR="00C36D76" w:rsidRPr="009E064B" w:rsidRDefault="00C36D76" w:rsidP="003F1EC3">
            <w:pPr>
              <w:spacing w:after="0"/>
              <w:jc w:val="center"/>
              <w:rPr>
                <w:rFonts w:cs="Arial"/>
                <w:iCs/>
              </w:rPr>
            </w:pPr>
            <w:r w:rsidRPr="009E064B">
              <w:rPr>
                <w:rFonts w:cs="Arial"/>
                <w:iCs/>
              </w:rPr>
              <w:t>1 800</w:t>
            </w:r>
          </w:p>
        </w:tc>
      </w:tr>
    </w:tbl>
    <w:p w14:paraId="7E3A31FF" w14:textId="77777777" w:rsidR="00C36D76" w:rsidRPr="009E064B" w:rsidRDefault="00C36D76" w:rsidP="00B06A9A">
      <w:pPr>
        <w:rPr>
          <w:iCs/>
        </w:rPr>
      </w:pPr>
    </w:p>
    <w:p w14:paraId="199CF78E" w14:textId="77777777" w:rsidR="00C36D76" w:rsidRPr="00FE5FBD" w:rsidRDefault="00C36D76" w:rsidP="00FE5FBD">
      <w:pPr>
        <w:spacing w:before="240"/>
        <w:ind w:left="1418" w:hanging="1418"/>
        <w:rPr>
          <w:b/>
          <w:sz w:val="20"/>
        </w:rPr>
      </w:pPr>
      <w:r w:rsidRPr="00FE5FBD">
        <w:rPr>
          <w:b/>
          <w:sz w:val="20"/>
        </w:rPr>
        <w:t xml:space="preserve">Rysunek U-21. </w:t>
      </w:r>
      <w:r w:rsidRPr="00FE5FBD">
        <w:rPr>
          <w:b/>
          <w:sz w:val="20"/>
        </w:rPr>
        <w:tab/>
        <w:t>Wykres izokandeli dla wysokiej intensywności świateł linii środkowej drogi kołowania (rozstaw 15 m), poprzeczki zakazu wjazdu oraz świateł poprzeczki zatrzymania na odcinkach prostych, przeznaczonych do zaawansowanego systemu prowadzenia i kontroli ruchu naziemnego, w przypadku, gdy wymagane jest zastosowanie większej intensywności oraz istnieje możliwość wystąpienia dużych przesunięć.</w:t>
      </w:r>
    </w:p>
    <w:p w14:paraId="35D1B610" w14:textId="77777777" w:rsidR="00C36D76" w:rsidRPr="009E064B" w:rsidRDefault="00C36D76" w:rsidP="00B06A9A">
      <w:pPr>
        <w:rPr>
          <w:iCs/>
        </w:rPr>
      </w:pPr>
    </w:p>
    <w:p w14:paraId="4942557C" w14:textId="77777777" w:rsidR="00C36D76" w:rsidRPr="009E064B" w:rsidRDefault="00C36D76" w:rsidP="00B06A9A">
      <w:pPr>
        <w:spacing w:after="240"/>
        <w:rPr>
          <w:szCs w:val="20"/>
        </w:rPr>
      </w:pPr>
      <w:r w:rsidRPr="009E064B">
        <w:rPr>
          <w:szCs w:val="20"/>
        </w:rPr>
        <w:t>Uwagi:</w:t>
      </w:r>
    </w:p>
    <w:p w14:paraId="10D64F71" w14:textId="77777777" w:rsidR="00C36D76" w:rsidRPr="009E064B" w:rsidRDefault="00C36D76" w:rsidP="000B7988">
      <w:pPr>
        <w:tabs>
          <w:tab w:val="left" w:pos="1134"/>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Powyższe pokrycie wiązki uwzględnia przesunięcie kabiny pilota względem linii środkowej o odległość do 12 m i są one przeznaczone do użycia przed oraz za łukami.</w:t>
      </w:r>
    </w:p>
    <w:p w14:paraId="08B249EB" w14:textId="42CB867F"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000E0B48" w:rsidRPr="009E064B">
        <w:rPr>
          <w:szCs w:val="20"/>
        </w:rPr>
        <w:t>Patrz uwagi wspólne dla R</w:t>
      </w:r>
      <w:r w:rsidRPr="009E064B">
        <w:rPr>
          <w:szCs w:val="20"/>
        </w:rPr>
        <w:t>ysunków U-16 do U-25</w:t>
      </w:r>
      <w:r w:rsidRPr="009E064B">
        <w:rPr>
          <w:rFonts w:ascii="Arial" w:hAnsi="Arial" w:cs="Arial"/>
          <w:iCs/>
          <w:sz w:val="16"/>
        </w:rPr>
        <w:t>.</w:t>
      </w:r>
    </w:p>
    <w:p w14:paraId="3ACA61C3" w14:textId="77777777" w:rsidR="00C36D76" w:rsidRPr="009E064B" w:rsidRDefault="00C36D76" w:rsidP="00B06A9A">
      <w:pPr>
        <w:spacing w:after="200"/>
        <w:jc w:val="left"/>
        <w:rPr>
          <w:b/>
          <w:szCs w:val="20"/>
        </w:rPr>
      </w:pPr>
      <w:r w:rsidRPr="009E064B">
        <w:rPr>
          <w:b/>
          <w:szCs w:val="20"/>
        </w:rPr>
        <w:br w:type="page"/>
      </w:r>
    </w:p>
    <w:p w14:paraId="011541D2" w14:textId="77777777" w:rsidR="00C36D76" w:rsidRPr="009E064B" w:rsidRDefault="00C36D76" w:rsidP="00B06A9A">
      <w:pPr>
        <w:rPr>
          <w:b/>
          <w:szCs w:val="20"/>
        </w:rPr>
      </w:pPr>
    </w:p>
    <w:p w14:paraId="278ACFCF" w14:textId="77777777" w:rsidR="00C36D76" w:rsidRPr="009E064B" w:rsidRDefault="00C36D76" w:rsidP="00B06A9A">
      <w:pPr>
        <w:rPr>
          <w:b/>
          <w:szCs w:val="20"/>
        </w:rPr>
      </w:pPr>
      <w:r w:rsidRPr="009E064B">
        <w:rPr>
          <w:b/>
          <w:noProof/>
          <w:szCs w:val="20"/>
          <w:lang w:eastAsia="pl-PL"/>
        </w:rPr>
        <w:drawing>
          <wp:inline distT="0" distB="0" distL="0" distR="0" wp14:anchorId="4703FC47" wp14:editId="7EF213AB">
            <wp:extent cx="5719445" cy="3268980"/>
            <wp:effectExtent l="19050" t="0" r="0" b="0"/>
            <wp:docPr id="906" name="Obraz 66" descr="A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descr="A2-18"/>
                    <pic:cNvPicPr>
                      <a:picLocks noChangeAspect="1" noChangeArrowheads="1"/>
                    </pic:cNvPicPr>
                  </pic:nvPicPr>
                  <pic:blipFill>
                    <a:blip r:embed="rId288" cstate="print"/>
                    <a:srcRect/>
                    <a:stretch>
                      <a:fillRect/>
                    </a:stretch>
                  </pic:blipFill>
                  <pic:spPr bwMode="auto">
                    <a:xfrm>
                      <a:off x="0" y="0"/>
                      <a:ext cx="5719445" cy="3268980"/>
                    </a:xfrm>
                    <a:prstGeom prst="rect">
                      <a:avLst/>
                    </a:prstGeom>
                    <a:noFill/>
                    <a:ln w="9525">
                      <a:noFill/>
                      <a:miter lim="800000"/>
                      <a:headEnd/>
                      <a:tailEnd/>
                    </a:ln>
                  </pic:spPr>
                </pic:pic>
              </a:graphicData>
            </a:graphic>
          </wp:inline>
        </w:drawing>
      </w:r>
    </w:p>
    <w:p w14:paraId="13530CB9" w14:textId="77777777" w:rsidR="00C36D76" w:rsidRPr="009E064B" w:rsidRDefault="00C36D76" w:rsidP="00B06A9A">
      <w:pPr>
        <w:rPr>
          <w:b/>
          <w:szCs w:val="20"/>
        </w:rPr>
      </w:pP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7"/>
        <w:gridCol w:w="1049"/>
        <w:gridCol w:w="1049"/>
        <w:gridCol w:w="1049"/>
        <w:gridCol w:w="1049"/>
        <w:gridCol w:w="1049"/>
      </w:tblGrid>
      <w:tr w:rsidR="00C36D76" w:rsidRPr="009E064B" w14:paraId="303D4BF4" w14:textId="77777777" w:rsidTr="00C36D76">
        <w:tc>
          <w:tcPr>
            <w:tcW w:w="2137" w:type="dxa"/>
            <w:tcMar>
              <w:top w:w="85" w:type="dxa"/>
              <w:bottom w:w="85" w:type="dxa"/>
            </w:tcMar>
          </w:tcPr>
          <w:p w14:paraId="741BCFFC" w14:textId="77777777" w:rsidR="00C36D76" w:rsidRPr="009E064B" w:rsidRDefault="00C36D76" w:rsidP="003F1EC3">
            <w:pPr>
              <w:spacing w:after="0"/>
              <w:rPr>
                <w:rFonts w:cs="Arial"/>
                <w:iCs/>
              </w:rPr>
            </w:pPr>
            <w:r w:rsidRPr="009E064B">
              <w:rPr>
                <w:rFonts w:cs="Arial"/>
                <w:iCs/>
              </w:rPr>
              <w:t>Łuk</w:t>
            </w:r>
          </w:p>
        </w:tc>
        <w:tc>
          <w:tcPr>
            <w:tcW w:w="1049" w:type="dxa"/>
            <w:tcMar>
              <w:top w:w="85" w:type="dxa"/>
              <w:bottom w:w="85" w:type="dxa"/>
            </w:tcMar>
            <w:vAlign w:val="center"/>
          </w:tcPr>
          <w:p w14:paraId="6A06F6A2" w14:textId="77777777" w:rsidR="00C36D76" w:rsidRPr="009E064B" w:rsidRDefault="00C36D76" w:rsidP="003F1EC3">
            <w:pPr>
              <w:spacing w:after="0"/>
              <w:jc w:val="center"/>
              <w:rPr>
                <w:rFonts w:cs="Arial"/>
                <w:iCs/>
              </w:rPr>
            </w:pPr>
            <w:r w:rsidRPr="009E064B">
              <w:rPr>
                <w:rFonts w:cs="Arial"/>
                <w:iCs/>
              </w:rPr>
              <w:t>a</w:t>
            </w:r>
          </w:p>
        </w:tc>
        <w:tc>
          <w:tcPr>
            <w:tcW w:w="1049" w:type="dxa"/>
            <w:tcMar>
              <w:top w:w="85" w:type="dxa"/>
              <w:bottom w:w="85" w:type="dxa"/>
            </w:tcMar>
            <w:vAlign w:val="center"/>
          </w:tcPr>
          <w:p w14:paraId="2830A5A8" w14:textId="77777777" w:rsidR="00C36D76" w:rsidRPr="009E064B" w:rsidRDefault="00C36D76" w:rsidP="003F1EC3">
            <w:pPr>
              <w:spacing w:after="0"/>
              <w:jc w:val="center"/>
              <w:rPr>
                <w:rFonts w:cs="Arial"/>
                <w:iCs/>
              </w:rPr>
            </w:pPr>
            <w:r w:rsidRPr="009E064B">
              <w:rPr>
                <w:rFonts w:cs="Arial"/>
                <w:iCs/>
              </w:rPr>
              <w:t>b</w:t>
            </w:r>
          </w:p>
        </w:tc>
        <w:tc>
          <w:tcPr>
            <w:tcW w:w="1049" w:type="dxa"/>
            <w:tcMar>
              <w:top w:w="85" w:type="dxa"/>
              <w:bottom w:w="85" w:type="dxa"/>
            </w:tcMar>
            <w:vAlign w:val="center"/>
          </w:tcPr>
          <w:p w14:paraId="6D4FDAB9" w14:textId="77777777" w:rsidR="00C36D76" w:rsidRPr="009E064B" w:rsidRDefault="00C36D76" w:rsidP="003F1EC3">
            <w:pPr>
              <w:spacing w:after="0"/>
              <w:jc w:val="center"/>
              <w:rPr>
                <w:rFonts w:cs="Arial"/>
                <w:iCs/>
              </w:rPr>
            </w:pPr>
            <w:r w:rsidRPr="009E064B">
              <w:rPr>
                <w:rFonts w:cs="Arial"/>
                <w:iCs/>
              </w:rPr>
              <w:t>c</w:t>
            </w:r>
          </w:p>
        </w:tc>
        <w:tc>
          <w:tcPr>
            <w:tcW w:w="1049" w:type="dxa"/>
            <w:tcMar>
              <w:top w:w="85" w:type="dxa"/>
              <w:bottom w:w="85" w:type="dxa"/>
            </w:tcMar>
            <w:vAlign w:val="center"/>
          </w:tcPr>
          <w:p w14:paraId="2B86C9FE" w14:textId="77777777" w:rsidR="00C36D76" w:rsidRPr="009E064B" w:rsidRDefault="00C36D76" w:rsidP="003F1EC3">
            <w:pPr>
              <w:spacing w:after="0"/>
              <w:jc w:val="center"/>
              <w:rPr>
                <w:rFonts w:cs="Arial"/>
                <w:iCs/>
              </w:rPr>
            </w:pPr>
            <w:r w:rsidRPr="009E064B">
              <w:rPr>
                <w:rFonts w:cs="Arial"/>
                <w:iCs/>
              </w:rPr>
              <w:t>d</w:t>
            </w:r>
          </w:p>
        </w:tc>
        <w:tc>
          <w:tcPr>
            <w:tcW w:w="1049" w:type="dxa"/>
            <w:tcMar>
              <w:top w:w="85" w:type="dxa"/>
              <w:bottom w:w="85" w:type="dxa"/>
            </w:tcMar>
            <w:vAlign w:val="center"/>
          </w:tcPr>
          <w:p w14:paraId="6CFFE691" w14:textId="77777777" w:rsidR="00C36D76" w:rsidRPr="009E064B" w:rsidRDefault="00C36D76" w:rsidP="003F1EC3">
            <w:pPr>
              <w:spacing w:after="0"/>
              <w:jc w:val="center"/>
              <w:rPr>
                <w:rFonts w:cs="Arial"/>
                <w:iCs/>
              </w:rPr>
            </w:pPr>
            <w:r w:rsidRPr="009E064B">
              <w:rPr>
                <w:rFonts w:cs="Arial"/>
                <w:iCs/>
              </w:rPr>
              <w:t>e</w:t>
            </w:r>
          </w:p>
        </w:tc>
      </w:tr>
      <w:tr w:rsidR="00C36D76" w:rsidRPr="009E064B" w14:paraId="377748B6" w14:textId="77777777" w:rsidTr="00C36D76">
        <w:tc>
          <w:tcPr>
            <w:tcW w:w="2137" w:type="dxa"/>
            <w:tcMar>
              <w:top w:w="85" w:type="dxa"/>
              <w:bottom w:w="85" w:type="dxa"/>
            </w:tcMar>
          </w:tcPr>
          <w:p w14:paraId="3A978C1C" w14:textId="77777777" w:rsidR="00C36D76" w:rsidRPr="009E064B" w:rsidRDefault="00C36D76" w:rsidP="003F1EC3">
            <w:pPr>
              <w:spacing w:after="0"/>
              <w:rPr>
                <w:rFonts w:cs="Arial"/>
                <w:iCs/>
              </w:rPr>
            </w:pPr>
            <w:r w:rsidRPr="009E064B">
              <w:rPr>
                <w:rFonts w:cs="Arial"/>
                <w:iCs/>
              </w:rPr>
              <w:t>Intensywność (cd)</w:t>
            </w:r>
          </w:p>
        </w:tc>
        <w:tc>
          <w:tcPr>
            <w:tcW w:w="1049" w:type="dxa"/>
            <w:tcMar>
              <w:top w:w="85" w:type="dxa"/>
              <w:bottom w:w="85" w:type="dxa"/>
            </w:tcMar>
            <w:vAlign w:val="center"/>
          </w:tcPr>
          <w:p w14:paraId="62E6D80D" w14:textId="77777777" w:rsidR="00C36D76" w:rsidRPr="009E064B" w:rsidRDefault="00C36D76" w:rsidP="003F1EC3">
            <w:pPr>
              <w:spacing w:after="0"/>
              <w:jc w:val="center"/>
              <w:rPr>
                <w:rFonts w:cs="Arial"/>
                <w:iCs/>
              </w:rPr>
            </w:pPr>
            <w:r w:rsidRPr="009E064B">
              <w:rPr>
                <w:rFonts w:cs="Arial"/>
                <w:iCs/>
              </w:rPr>
              <w:t>8</w:t>
            </w:r>
          </w:p>
        </w:tc>
        <w:tc>
          <w:tcPr>
            <w:tcW w:w="1049" w:type="dxa"/>
            <w:tcMar>
              <w:top w:w="85" w:type="dxa"/>
              <w:bottom w:w="85" w:type="dxa"/>
            </w:tcMar>
            <w:vAlign w:val="center"/>
          </w:tcPr>
          <w:p w14:paraId="4CFB484F" w14:textId="77777777" w:rsidR="00C36D76" w:rsidRPr="009E064B" w:rsidRDefault="00C36D76" w:rsidP="003F1EC3">
            <w:pPr>
              <w:spacing w:after="0"/>
              <w:jc w:val="center"/>
              <w:rPr>
                <w:rFonts w:cs="Arial"/>
                <w:iCs/>
              </w:rPr>
            </w:pPr>
            <w:r w:rsidRPr="009E064B">
              <w:rPr>
                <w:rFonts w:cs="Arial"/>
                <w:iCs/>
              </w:rPr>
              <w:t>20</w:t>
            </w:r>
          </w:p>
        </w:tc>
        <w:tc>
          <w:tcPr>
            <w:tcW w:w="1049" w:type="dxa"/>
            <w:tcMar>
              <w:top w:w="85" w:type="dxa"/>
              <w:bottom w:w="85" w:type="dxa"/>
            </w:tcMar>
            <w:vAlign w:val="center"/>
          </w:tcPr>
          <w:p w14:paraId="5F11D384" w14:textId="77777777" w:rsidR="00C36D76" w:rsidRPr="009E064B" w:rsidRDefault="00C36D76" w:rsidP="003F1EC3">
            <w:pPr>
              <w:spacing w:after="0"/>
              <w:jc w:val="center"/>
              <w:rPr>
                <w:rFonts w:cs="Arial"/>
                <w:iCs/>
              </w:rPr>
            </w:pPr>
            <w:r w:rsidRPr="009E064B">
              <w:rPr>
                <w:rFonts w:cs="Arial"/>
                <w:iCs/>
              </w:rPr>
              <w:t>100</w:t>
            </w:r>
          </w:p>
        </w:tc>
        <w:tc>
          <w:tcPr>
            <w:tcW w:w="1049" w:type="dxa"/>
            <w:tcMar>
              <w:top w:w="85" w:type="dxa"/>
              <w:bottom w:w="85" w:type="dxa"/>
            </w:tcMar>
            <w:vAlign w:val="center"/>
          </w:tcPr>
          <w:p w14:paraId="49EC6078" w14:textId="77777777" w:rsidR="00C36D76" w:rsidRPr="009E064B" w:rsidRDefault="00C36D76" w:rsidP="003F1EC3">
            <w:pPr>
              <w:spacing w:after="0"/>
              <w:jc w:val="center"/>
              <w:rPr>
                <w:rFonts w:cs="Arial"/>
                <w:iCs/>
              </w:rPr>
            </w:pPr>
            <w:r w:rsidRPr="009E064B">
              <w:rPr>
                <w:rFonts w:cs="Arial"/>
                <w:iCs/>
              </w:rPr>
              <w:t>450</w:t>
            </w:r>
          </w:p>
        </w:tc>
        <w:tc>
          <w:tcPr>
            <w:tcW w:w="1049" w:type="dxa"/>
            <w:tcMar>
              <w:top w:w="85" w:type="dxa"/>
              <w:bottom w:w="85" w:type="dxa"/>
            </w:tcMar>
            <w:vAlign w:val="center"/>
          </w:tcPr>
          <w:p w14:paraId="0C3DBC8E" w14:textId="77777777" w:rsidR="00C36D76" w:rsidRPr="009E064B" w:rsidRDefault="00C36D76" w:rsidP="003F1EC3">
            <w:pPr>
              <w:spacing w:after="0"/>
              <w:jc w:val="center"/>
              <w:rPr>
                <w:rFonts w:cs="Arial"/>
                <w:iCs/>
              </w:rPr>
            </w:pPr>
            <w:r w:rsidRPr="009E064B">
              <w:rPr>
                <w:rFonts w:cs="Arial"/>
                <w:iCs/>
              </w:rPr>
              <w:t>1 800</w:t>
            </w:r>
          </w:p>
        </w:tc>
      </w:tr>
    </w:tbl>
    <w:p w14:paraId="762D3FA3" w14:textId="77777777" w:rsidR="00C36D76" w:rsidRPr="009E064B" w:rsidRDefault="00C36D76" w:rsidP="00B06A9A">
      <w:pPr>
        <w:rPr>
          <w:b/>
          <w:szCs w:val="20"/>
        </w:rPr>
      </w:pPr>
    </w:p>
    <w:p w14:paraId="40EF4208" w14:textId="77777777" w:rsidR="00C36D76" w:rsidRPr="00FE5FBD" w:rsidRDefault="00C36D76" w:rsidP="00FE5FBD">
      <w:pPr>
        <w:spacing w:before="240"/>
        <w:ind w:left="1418" w:hanging="1418"/>
        <w:rPr>
          <w:b/>
          <w:sz w:val="20"/>
        </w:rPr>
      </w:pPr>
      <w:r w:rsidRPr="00FE5FBD">
        <w:rPr>
          <w:b/>
          <w:sz w:val="20"/>
        </w:rPr>
        <w:t>Rysunek U-22.</w:t>
      </w:r>
      <w:r w:rsidRPr="00FE5FBD">
        <w:rPr>
          <w:b/>
          <w:sz w:val="20"/>
        </w:rPr>
        <w:tab/>
        <w:t>Wykres izokandeli dla wysokiej intensywności świateł linii środkowej drogi kołowania (rozstaw 15 m), poprzeczki zakazu wjazdu oraz świateł poprzeczki zatrzymania na odcinkach prostych, przeznaczonych do zaawansowanego systemu prowadzenia i kontroli ruchu naziemnego, w przypadku, gdy wymagane jest zastosowanie większej intensywności.</w:t>
      </w:r>
    </w:p>
    <w:p w14:paraId="35C50373" w14:textId="77777777" w:rsidR="00C36D76" w:rsidRPr="009E064B" w:rsidRDefault="00C36D76" w:rsidP="000B7988">
      <w:pPr>
        <w:spacing w:after="240"/>
        <w:rPr>
          <w:szCs w:val="20"/>
        </w:rPr>
      </w:pPr>
      <w:r w:rsidRPr="009E064B">
        <w:rPr>
          <w:szCs w:val="20"/>
        </w:rPr>
        <w:t>Uwagi:</w:t>
      </w:r>
    </w:p>
    <w:p w14:paraId="622224BF" w14:textId="1C39AC69" w:rsidR="00C36D76" w:rsidRPr="009E064B" w:rsidRDefault="00C36D76" w:rsidP="00BB280A">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Powyższe pokrycie wiązki jest wystarczające w warunkach normalnych i uwzględnia normalne przesunięcie kabiny pilota odpowiadające rozmieszczeniu zewnętrznych kół podwozia głównego na krawędzi drogi kołowania.</w:t>
      </w:r>
    </w:p>
    <w:p w14:paraId="52E8A8A6" w14:textId="704F2E7B" w:rsidR="00C36D76" w:rsidRPr="009E064B" w:rsidRDefault="00C36D76" w:rsidP="000B7988">
      <w:pPr>
        <w:tabs>
          <w:tab w:val="left" w:pos="1134"/>
        </w:tabs>
        <w:ind w:left="1134" w:hanging="567"/>
        <w:rPr>
          <w:szCs w:val="20"/>
        </w:rPr>
      </w:pPr>
      <w:r w:rsidRPr="009E064B">
        <w:rPr>
          <w:rFonts w:cs="Times New Roman"/>
          <w:szCs w:val="20"/>
        </w:rPr>
        <w:t xml:space="preserve">(b) </w:t>
      </w:r>
      <w:r w:rsidRPr="009E064B">
        <w:rPr>
          <w:rFonts w:cs="Times New Roman"/>
          <w:szCs w:val="20"/>
        </w:rPr>
        <w:tab/>
      </w:r>
      <w:r w:rsidR="000E0B48" w:rsidRPr="009E064B">
        <w:rPr>
          <w:szCs w:val="20"/>
        </w:rPr>
        <w:t>Patrz uwagi wspólne dla R</w:t>
      </w:r>
      <w:r w:rsidRPr="009E064B">
        <w:rPr>
          <w:szCs w:val="20"/>
        </w:rPr>
        <w:t>ysunków U-16 do U-25</w:t>
      </w:r>
      <w:r w:rsidRPr="009E064B">
        <w:rPr>
          <w:rFonts w:ascii="Arial" w:hAnsi="Arial" w:cs="Arial"/>
          <w:iCs/>
          <w:sz w:val="16"/>
        </w:rPr>
        <w:t>.</w:t>
      </w:r>
    </w:p>
    <w:p w14:paraId="429ACC69" w14:textId="77777777" w:rsidR="00C36D76" w:rsidRPr="009E064B" w:rsidRDefault="00C36D76" w:rsidP="00B06A9A">
      <w:pPr>
        <w:spacing w:after="200"/>
        <w:jc w:val="left"/>
        <w:rPr>
          <w:b/>
          <w:szCs w:val="20"/>
        </w:rPr>
      </w:pPr>
      <w:r w:rsidRPr="009E064B">
        <w:rPr>
          <w:b/>
          <w:szCs w:val="20"/>
        </w:rPr>
        <w:br w:type="page"/>
      </w:r>
    </w:p>
    <w:p w14:paraId="47A0A565" w14:textId="77777777" w:rsidR="00C36D76" w:rsidRPr="009E064B" w:rsidRDefault="00C36D76" w:rsidP="00B06A9A">
      <w:pPr>
        <w:rPr>
          <w:b/>
          <w:szCs w:val="20"/>
        </w:rPr>
      </w:pPr>
    </w:p>
    <w:p w14:paraId="78F5F7F1" w14:textId="77777777" w:rsidR="00C36D76" w:rsidRPr="009E064B" w:rsidRDefault="00C36D76" w:rsidP="00B06A9A">
      <w:pPr>
        <w:rPr>
          <w:b/>
          <w:szCs w:val="20"/>
        </w:rPr>
      </w:pPr>
      <w:r w:rsidRPr="009E064B">
        <w:rPr>
          <w:b/>
          <w:noProof/>
          <w:szCs w:val="20"/>
          <w:lang w:eastAsia="pl-PL"/>
        </w:rPr>
        <w:drawing>
          <wp:inline distT="0" distB="0" distL="0" distR="0" wp14:anchorId="27E98C32" wp14:editId="45B4246B">
            <wp:extent cx="5719445" cy="3239135"/>
            <wp:effectExtent l="19050" t="0" r="0" b="0"/>
            <wp:docPr id="907" name="Obraz 67" descr="A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A2-19"/>
                    <pic:cNvPicPr>
                      <a:picLocks noChangeAspect="1" noChangeArrowheads="1"/>
                    </pic:cNvPicPr>
                  </pic:nvPicPr>
                  <pic:blipFill>
                    <a:blip r:embed="rId289" cstate="print"/>
                    <a:srcRect/>
                    <a:stretch>
                      <a:fillRect/>
                    </a:stretch>
                  </pic:blipFill>
                  <pic:spPr bwMode="auto">
                    <a:xfrm>
                      <a:off x="0" y="0"/>
                      <a:ext cx="5719445" cy="3239135"/>
                    </a:xfrm>
                    <a:prstGeom prst="rect">
                      <a:avLst/>
                    </a:prstGeom>
                    <a:noFill/>
                    <a:ln w="9525">
                      <a:noFill/>
                      <a:miter lim="800000"/>
                      <a:headEnd/>
                      <a:tailEnd/>
                    </a:ln>
                  </pic:spPr>
                </pic:pic>
              </a:graphicData>
            </a:graphic>
          </wp:inline>
        </w:drawing>
      </w:r>
    </w:p>
    <w:p w14:paraId="1FFCF389" w14:textId="77777777" w:rsidR="00C36D76" w:rsidRPr="009E064B" w:rsidRDefault="00C36D76" w:rsidP="00B06A9A">
      <w:pPr>
        <w:spacing w:after="0"/>
        <w:rPr>
          <w:iCs/>
        </w:rPr>
      </w:pPr>
    </w:p>
    <w:tbl>
      <w:tblPr>
        <w:tblW w:w="0" w:type="auto"/>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9"/>
        <w:gridCol w:w="1098"/>
        <w:gridCol w:w="1098"/>
        <w:gridCol w:w="1098"/>
        <w:gridCol w:w="1099"/>
      </w:tblGrid>
      <w:tr w:rsidR="00C36D76" w:rsidRPr="009E064B" w14:paraId="42ED6D02" w14:textId="77777777" w:rsidTr="00C36D76">
        <w:tc>
          <w:tcPr>
            <w:tcW w:w="2059" w:type="dxa"/>
            <w:tcMar>
              <w:top w:w="85" w:type="dxa"/>
              <w:bottom w:w="85" w:type="dxa"/>
            </w:tcMar>
          </w:tcPr>
          <w:p w14:paraId="46178B50" w14:textId="77777777" w:rsidR="00C36D76" w:rsidRPr="009E064B" w:rsidRDefault="00C36D76" w:rsidP="00B06A9A">
            <w:pPr>
              <w:spacing w:after="0"/>
              <w:rPr>
                <w:iCs/>
              </w:rPr>
            </w:pPr>
            <w:r w:rsidRPr="009E064B">
              <w:rPr>
                <w:iCs/>
              </w:rPr>
              <w:t>Krzywa</w:t>
            </w:r>
          </w:p>
        </w:tc>
        <w:tc>
          <w:tcPr>
            <w:tcW w:w="1098" w:type="dxa"/>
            <w:tcMar>
              <w:top w:w="85" w:type="dxa"/>
              <w:bottom w:w="85" w:type="dxa"/>
            </w:tcMar>
            <w:vAlign w:val="center"/>
          </w:tcPr>
          <w:p w14:paraId="10484CEA" w14:textId="77777777" w:rsidR="00C36D76" w:rsidRPr="009E064B" w:rsidRDefault="00C36D76" w:rsidP="00B06A9A">
            <w:pPr>
              <w:spacing w:after="0"/>
              <w:jc w:val="center"/>
              <w:rPr>
                <w:iCs/>
              </w:rPr>
            </w:pPr>
            <w:r w:rsidRPr="009E064B">
              <w:rPr>
                <w:iCs/>
              </w:rPr>
              <w:t>a</w:t>
            </w:r>
          </w:p>
        </w:tc>
        <w:tc>
          <w:tcPr>
            <w:tcW w:w="1098" w:type="dxa"/>
            <w:tcMar>
              <w:top w:w="85" w:type="dxa"/>
              <w:bottom w:w="85" w:type="dxa"/>
            </w:tcMar>
            <w:vAlign w:val="center"/>
          </w:tcPr>
          <w:p w14:paraId="40BB601C" w14:textId="77777777" w:rsidR="00C36D76" w:rsidRPr="009E064B" w:rsidRDefault="00C36D76" w:rsidP="00B06A9A">
            <w:pPr>
              <w:spacing w:after="0"/>
              <w:jc w:val="center"/>
              <w:rPr>
                <w:iCs/>
              </w:rPr>
            </w:pPr>
            <w:r w:rsidRPr="009E064B">
              <w:rPr>
                <w:iCs/>
              </w:rPr>
              <w:t>b</w:t>
            </w:r>
          </w:p>
        </w:tc>
        <w:tc>
          <w:tcPr>
            <w:tcW w:w="1098" w:type="dxa"/>
            <w:tcMar>
              <w:top w:w="85" w:type="dxa"/>
              <w:bottom w:w="85" w:type="dxa"/>
            </w:tcMar>
            <w:vAlign w:val="center"/>
          </w:tcPr>
          <w:p w14:paraId="6F62E75D" w14:textId="77777777" w:rsidR="00C36D76" w:rsidRPr="009E064B" w:rsidRDefault="00C36D76" w:rsidP="00B06A9A">
            <w:pPr>
              <w:spacing w:after="0"/>
              <w:jc w:val="center"/>
              <w:rPr>
                <w:iCs/>
              </w:rPr>
            </w:pPr>
            <w:r w:rsidRPr="009E064B">
              <w:rPr>
                <w:iCs/>
              </w:rPr>
              <w:t>c</w:t>
            </w:r>
          </w:p>
        </w:tc>
        <w:tc>
          <w:tcPr>
            <w:tcW w:w="1099" w:type="dxa"/>
            <w:tcMar>
              <w:top w:w="85" w:type="dxa"/>
              <w:bottom w:w="85" w:type="dxa"/>
            </w:tcMar>
            <w:vAlign w:val="center"/>
          </w:tcPr>
          <w:p w14:paraId="4052C8C8" w14:textId="77777777" w:rsidR="00C36D76" w:rsidRPr="009E064B" w:rsidRDefault="00C36D76" w:rsidP="00B06A9A">
            <w:pPr>
              <w:spacing w:after="0"/>
              <w:jc w:val="center"/>
              <w:rPr>
                <w:iCs/>
              </w:rPr>
            </w:pPr>
            <w:r w:rsidRPr="009E064B">
              <w:rPr>
                <w:iCs/>
              </w:rPr>
              <w:t>d</w:t>
            </w:r>
          </w:p>
        </w:tc>
      </w:tr>
      <w:tr w:rsidR="00C36D76" w:rsidRPr="009E064B" w14:paraId="75EF12D8" w14:textId="77777777" w:rsidTr="00C36D76">
        <w:tc>
          <w:tcPr>
            <w:tcW w:w="2059" w:type="dxa"/>
            <w:tcMar>
              <w:top w:w="85" w:type="dxa"/>
              <w:bottom w:w="85" w:type="dxa"/>
            </w:tcMar>
          </w:tcPr>
          <w:p w14:paraId="297BC317" w14:textId="77777777" w:rsidR="00C36D76" w:rsidRPr="009E064B" w:rsidRDefault="00C36D76" w:rsidP="00B06A9A">
            <w:pPr>
              <w:spacing w:after="0"/>
              <w:rPr>
                <w:iCs/>
              </w:rPr>
            </w:pPr>
            <w:r w:rsidRPr="009E064B">
              <w:rPr>
                <w:iCs/>
              </w:rPr>
              <w:t>Intensywność (cd)</w:t>
            </w:r>
          </w:p>
        </w:tc>
        <w:tc>
          <w:tcPr>
            <w:tcW w:w="1098" w:type="dxa"/>
            <w:tcMar>
              <w:top w:w="85" w:type="dxa"/>
              <w:bottom w:w="85" w:type="dxa"/>
            </w:tcMar>
            <w:vAlign w:val="center"/>
          </w:tcPr>
          <w:p w14:paraId="0BF80946" w14:textId="77777777" w:rsidR="00C36D76" w:rsidRPr="009E064B" w:rsidRDefault="00C36D76" w:rsidP="00B06A9A">
            <w:pPr>
              <w:spacing w:after="0"/>
              <w:jc w:val="center"/>
              <w:rPr>
                <w:iCs/>
              </w:rPr>
            </w:pPr>
            <w:r w:rsidRPr="009E064B">
              <w:rPr>
                <w:iCs/>
              </w:rPr>
              <w:t>8</w:t>
            </w:r>
          </w:p>
        </w:tc>
        <w:tc>
          <w:tcPr>
            <w:tcW w:w="1098" w:type="dxa"/>
            <w:tcMar>
              <w:top w:w="85" w:type="dxa"/>
              <w:bottom w:w="85" w:type="dxa"/>
            </w:tcMar>
            <w:vAlign w:val="center"/>
          </w:tcPr>
          <w:p w14:paraId="45887395" w14:textId="77777777" w:rsidR="00C36D76" w:rsidRPr="009E064B" w:rsidRDefault="00C36D76" w:rsidP="00B06A9A">
            <w:pPr>
              <w:spacing w:after="0"/>
              <w:jc w:val="center"/>
              <w:rPr>
                <w:iCs/>
              </w:rPr>
            </w:pPr>
            <w:r w:rsidRPr="009E064B">
              <w:rPr>
                <w:iCs/>
              </w:rPr>
              <w:t>100</w:t>
            </w:r>
          </w:p>
        </w:tc>
        <w:tc>
          <w:tcPr>
            <w:tcW w:w="1098" w:type="dxa"/>
            <w:tcMar>
              <w:top w:w="85" w:type="dxa"/>
              <w:bottom w:w="85" w:type="dxa"/>
            </w:tcMar>
            <w:vAlign w:val="center"/>
          </w:tcPr>
          <w:p w14:paraId="1EC6FAF7" w14:textId="77777777" w:rsidR="00C36D76" w:rsidRPr="009E064B" w:rsidRDefault="00C36D76" w:rsidP="00B06A9A">
            <w:pPr>
              <w:spacing w:after="0"/>
              <w:jc w:val="center"/>
              <w:rPr>
                <w:iCs/>
              </w:rPr>
            </w:pPr>
            <w:r w:rsidRPr="009E064B">
              <w:rPr>
                <w:iCs/>
              </w:rPr>
              <w:t>200</w:t>
            </w:r>
          </w:p>
        </w:tc>
        <w:tc>
          <w:tcPr>
            <w:tcW w:w="1099" w:type="dxa"/>
            <w:tcMar>
              <w:top w:w="85" w:type="dxa"/>
              <w:bottom w:w="85" w:type="dxa"/>
            </w:tcMar>
            <w:vAlign w:val="center"/>
          </w:tcPr>
          <w:p w14:paraId="5296956B" w14:textId="77777777" w:rsidR="00C36D76" w:rsidRPr="009E064B" w:rsidRDefault="00C36D76" w:rsidP="00B06A9A">
            <w:pPr>
              <w:spacing w:after="0"/>
              <w:jc w:val="center"/>
              <w:rPr>
                <w:iCs/>
              </w:rPr>
            </w:pPr>
            <w:r w:rsidRPr="009E064B">
              <w:rPr>
                <w:iCs/>
              </w:rPr>
              <w:t>400</w:t>
            </w:r>
          </w:p>
        </w:tc>
      </w:tr>
    </w:tbl>
    <w:p w14:paraId="6BE02C99" w14:textId="77777777" w:rsidR="00C36D76" w:rsidRPr="009E064B" w:rsidRDefault="00C36D76" w:rsidP="00BB280A">
      <w:pPr>
        <w:rPr>
          <w:b/>
          <w:szCs w:val="18"/>
        </w:rPr>
      </w:pPr>
    </w:p>
    <w:p w14:paraId="121BE48B" w14:textId="011213D5" w:rsidR="00C36D76" w:rsidRPr="00FE5FBD" w:rsidRDefault="00C36D76" w:rsidP="00FE5FBD">
      <w:pPr>
        <w:spacing w:before="240"/>
        <w:ind w:left="1418" w:hanging="1418"/>
        <w:rPr>
          <w:b/>
          <w:sz w:val="20"/>
        </w:rPr>
      </w:pPr>
      <w:r w:rsidRPr="00FE5FBD">
        <w:rPr>
          <w:b/>
          <w:sz w:val="20"/>
        </w:rPr>
        <w:t xml:space="preserve">Rysunek U-23. </w:t>
      </w:r>
      <w:r w:rsidRPr="00FE5FBD">
        <w:rPr>
          <w:b/>
          <w:sz w:val="20"/>
        </w:rPr>
        <w:tab/>
        <w:t>Wykres izokandeli dla świateł wysokiej intensywności linii środkowej drogi kołowania (rozstaw 7.5 m), poprzeczki zakazu wjazdu oraz świateł poprzeczki zatrzymania na łukowych, przeznaczonych do zaawansowanego systemu prowadzenia</w:t>
      </w:r>
      <w:r w:rsidR="001474BD">
        <w:rPr>
          <w:b/>
          <w:sz w:val="20"/>
        </w:rPr>
        <w:t xml:space="preserve"> i kontroli ruchu naziemnego, w </w:t>
      </w:r>
      <w:r w:rsidRPr="00FE5FBD">
        <w:rPr>
          <w:b/>
          <w:sz w:val="20"/>
        </w:rPr>
        <w:t xml:space="preserve">przypadku, gdy wymagane jest zastosowanie większej intensywności </w:t>
      </w:r>
    </w:p>
    <w:p w14:paraId="531B5ED1" w14:textId="77777777" w:rsidR="00C36D76" w:rsidRPr="009E064B" w:rsidRDefault="00C36D76" w:rsidP="00B06A9A">
      <w:pPr>
        <w:tabs>
          <w:tab w:val="left" w:pos="1701"/>
        </w:tabs>
        <w:ind w:left="1701" w:right="1" w:hanging="1701"/>
        <w:rPr>
          <w:szCs w:val="20"/>
        </w:rPr>
      </w:pPr>
    </w:p>
    <w:p w14:paraId="5C116C37" w14:textId="77777777" w:rsidR="00C36D76" w:rsidRPr="009E064B" w:rsidRDefault="00C36D76" w:rsidP="00D66FD5">
      <w:pPr>
        <w:spacing w:after="240"/>
        <w:rPr>
          <w:szCs w:val="20"/>
        </w:rPr>
      </w:pPr>
      <w:r w:rsidRPr="009E064B">
        <w:rPr>
          <w:szCs w:val="20"/>
        </w:rPr>
        <w:t>Uwagi:</w:t>
      </w:r>
    </w:p>
    <w:p w14:paraId="2371503A" w14:textId="77777777" w:rsidR="00C36D76" w:rsidRPr="009E064B" w:rsidRDefault="00C36D76" w:rsidP="00BB280A">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Światła na łuku powinny być zbieżne pod kątem 17 stopni względem stycznej do łuku.</w:t>
      </w:r>
    </w:p>
    <w:p w14:paraId="4D1F772B" w14:textId="49181095" w:rsidR="00C36D76" w:rsidRPr="009E064B" w:rsidRDefault="00C36D76" w:rsidP="00BB280A">
      <w:pPr>
        <w:tabs>
          <w:tab w:val="left" w:pos="567"/>
        </w:tabs>
        <w:ind w:left="1134" w:hanging="567"/>
        <w:rPr>
          <w:szCs w:val="20"/>
        </w:rPr>
      </w:pPr>
      <w:r w:rsidRPr="009E064B">
        <w:rPr>
          <w:rFonts w:cs="Times New Roman"/>
          <w:szCs w:val="20"/>
        </w:rPr>
        <w:t xml:space="preserve">(b) </w:t>
      </w:r>
      <w:r w:rsidRPr="009E064B">
        <w:rPr>
          <w:rFonts w:cs="Times New Roman"/>
          <w:szCs w:val="20"/>
        </w:rPr>
        <w:tab/>
      </w:r>
      <w:r w:rsidR="000E0B48" w:rsidRPr="009E064B">
        <w:rPr>
          <w:szCs w:val="20"/>
        </w:rPr>
        <w:t>Patrz uwagi wspólne dla R</w:t>
      </w:r>
      <w:r w:rsidRPr="009E064B">
        <w:rPr>
          <w:szCs w:val="20"/>
        </w:rPr>
        <w:t>ysunków U-16 do U-25</w:t>
      </w:r>
      <w:r w:rsidRPr="009E064B">
        <w:rPr>
          <w:rFonts w:ascii="Arial" w:hAnsi="Arial" w:cs="Arial"/>
          <w:iCs/>
          <w:sz w:val="16"/>
        </w:rPr>
        <w:t>.</w:t>
      </w:r>
    </w:p>
    <w:p w14:paraId="4B2B8C01" w14:textId="77777777" w:rsidR="00C36D76" w:rsidRPr="009E064B" w:rsidRDefault="00C36D76" w:rsidP="00B06A9A">
      <w:pPr>
        <w:spacing w:after="200"/>
        <w:jc w:val="left"/>
        <w:rPr>
          <w:b/>
          <w:szCs w:val="20"/>
        </w:rPr>
      </w:pPr>
      <w:r w:rsidRPr="009E064B">
        <w:rPr>
          <w:b/>
          <w:szCs w:val="20"/>
        </w:rPr>
        <w:br w:type="page"/>
      </w:r>
    </w:p>
    <w:p w14:paraId="7DAAD96E" w14:textId="77777777" w:rsidR="00C36D76" w:rsidRPr="009E064B" w:rsidRDefault="00C36D76" w:rsidP="00B06A9A">
      <w:pPr>
        <w:rPr>
          <w:b/>
          <w:szCs w:val="20"/>
        </w:rPr>
      </w:pPr>
      <w:r w:rsidRPr="009E064B">
        <w:rPr>
          <w:b/>
          <w:noProof/>
          <w:szCs w:val="20"/>
          <w:lang w:eastAsia="pl-PL"/>
        </w:rPr>
        <w:drawing>
          <wp:inline distT="0" distB="0" distL="0" distR="0" wp14:anchorId="2AE5F6F0" wp14:editId="533F1566">
            <wp:extent cx="5719445" cy="2432685"/>
            <wp:effectExtent l="19050" t="0" r="0" b="0"/>
            <wp:docPr id="908" name="Obraz 68" descr="A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descr="A2-20"/>
                    <pic:cNvPicPr>
                      <a:picLocks noChangeAspect="1" noChangeArrowheads="1"/>
                    </pic:cNvPicPr>
                  </pic:nvPicPr>
                  <pic:blipFill>
                    <a:blip r:embed="rId290" cstate="print"/>
                    <a:srcRect/>
                    <a:stretch>
                      <a:fillRect/>
                    </a:stretch>
                  </pic:blipFill>
                  <pic:spPr bwMode="auto">
                    <a:xfrm>
                      <a:off x="0" y="0"/>
                      <a:ext cx="5719445" cy="2432685"/>
                    </a:xfrm>
                    <a:prstGeom prst="rect">
                      <a:avLst/>
                    </a:prstGeom>
                    <a:noFill/>
                    <a:ln w="9525">
                      <a:noFill/>
                      <a:miter lim="800000"/>
                      <a:headEnd/>
                      <a:tailEnd/>
                    </a:ln>
                  </pic:spPr>
                </pic:pic>
              </a:graphicData>
            </a:graphic>
          </wp:inline>
        </w:drawing>
      </w:r>
    </w:p>
    <w:p w14:paraId="1E643AE9" w14:textId="77777777" w:rsidR="00C36D76" w:rsidRPr="009E064B" w:rsidRDefault="00C36D76" w:rsidP="00BB280A">
      <w:pPr>
        <w:spacing w:after="0"/>
        <w:rPr>
          <w:b/>
          <w:szCs w:val="20"/>
        </w:rPr>
      </w:pPr>
    </w:p>
    <w:p w14:paraId="0634D07E" w14:textId="77777777" w:rsidR="00C36D76" w:rsidRPr="00FE5FBD" w:rsidRDefault="00C36D76" w:rsidP="00FE5FBD">
      <w:pPr>
        <w:spacing w:before="240"/>
        <w:ind w:left="1418" w:hanging="1418"/>
        <w:rPr>
          <w:b/>
          <w:sz w:val="20"/>
        </w:rPr>
      </w:pPr>
      <w:r w:rsidRPr="00FE5FBD">
        <w:rPr>
          <w:b/>
          <w:sz w:val="20"/>
        </w:rPr>
        <w:t xml:space="preserve">Rysunek U-24. </w:t>
      </w:r>
      <w:r w:rsidRPr="00FE5FBD">
        <w:rPr>
          <w:b/>
          <w:sz w:val="20"/>
        </w:rPr>
        <w:tab/>
        <w:t>Wykres izokandeli dla świateł ochronnych drogi startowej wysokiej intensywności, Układ B.</w:t>
      </w:r>
    </w:p>
    <w:p w14:paraId="332F2F11" w14:textId="77777777" w:rsidR="00C36D76" w:rsidRPr="009E064B" w:rsidRDefault="00C36D76" w:rsidP="00BB280A">
      <w:pPr>
        <w:spacing w:after="0"/>
        <w:rPr>
          <w:szCs w:val="20"/>
        </w:rPr>
      </w:pPr>
    </w:p>
    <w:p w14:paraId="342D68FB" w14:textId="77777777" w:rsidR="00C36D76" w:rsidRPr="009E064B" w:rsidRDefault="00C36D76" w:rsidP="00D66FD5">
      <w:pPr>
        <w:spacing w:after="240"/>
        <w:rPr>
          <w:szCs w:val="20"/>
        </w:rPr>
      </w:pPr>
      <w:r w:rsidRPr="009E064B">
        <w:rPr>
          <w:szCs w:val="20"/>
        </w:rPr>
        <w:t>Uwagi:</w:t>
      </w:r>
    </w:p>
    <w:p w14:paraId="4D213BCD" w14:textId="77777777" w:rsidR="00C36D76" w:rsidRPr="009E064B" w:rsidRDefault="00C36D76" w:rsidP="00BB280A">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Pomimo tego, że światła te pracują emitując błyski, ich intensywność została określona tak, jakby były żarówkami, które emitują światło stałe.</w:t>
      </w:r>
    </w:p>
    <w:p w14:paraId="0F00006A" w14:textId="43220689" w:rsidR="00C36D76" w:rsidRPr="009E064B" w:rsidRDefault="00C36D76" w:rsidP="00BB280A">
      <w:pPr>
        <w:tabs>
          <w:tab w:val="left" w:pos="567"/>
        </w:tabs>
        <w:ind w:left="1134" w:hanging="567"/>
        <w:rPr>
          <w:szCs w:val="20"/>
        </w:rPr>
      </w:pPr>
      <w:r w:rsidRPr="009E064B">
        <w:rPr>
          <w:rFonts w:cs="Times New Roman"/>
          <w:szCs w:val="20"/>
        </w:rPr>
        <w:t xml:space="preserve">(b) </w:t>
      </w:r>
      <w:r w:rsidRPr="009E064B">
        <w:rPr>
          <w:rFonts w:cs="Times New Roman"/>
          <w:szCs w:val="20"/>
        </w:rPr>
        <w:tab/>
      </w:r>
      <w:r w:rsidR="000E0B48" w:rsidRPr="009E064B">
        <w:rPr>
          <w:szCs w:val="20"/>
        </w:rPr>
        <w:t>Patrz uwagi wspólne dla R</w:t>
      </w:r>
      <w:r w:rsidRPr="009E064B">
        <w:rPr>
          <w:szCs w:val="20"/>
        </w:rPr>
        <w:t>ysunków U-16 do U-25</w:t>
      </w:r>
      <w:r w:rsidRPr="009E064B">
        <w:rPr>
          <w:rFonts w:ascii="Arial" w:hAnsi="Arial" w:cs="Arial"/>
          <w:iCs/>
          <w:sz w:val="16"/>
        </w:rPr>
        <w:t>.</w:t>
      </w:r>
    </w:p>
    <w:p w14:paraId="0E1CAD4A" w14:textId="77777777" w:rsidR="00C36D76" w:rsidRPr="009E064B" w:rsidRDefault="00C36D76" w:rsidP="00B06A9A">
      <w:pPr>
        <w:rPr>
          <w:szCs w:val="20"/>
        </w:rPr>
      </w:pPr>
    </w:p>
    <w:p w14:paraId="7D30ADFF" w14:textId="77777777" w:rsidR="00C36D76" w:rsidRPr="009E064B" w:rsidRDefault="00C36D76" w:rsidP="00B06A9A">
      <w:pPr>
        <w:rPr>
          <w:b/>
          <w:szCs w:val="20"/>
        </w:rPr>
      </w:pPr>
    </w:p>
    <w:p w14:paraId="4F8FFFBB" w14:textId="77777777" w:rsidR="00C36D76" w:rsidRPr="009E064B" w:rsidRDefault="00C36D76" w:rsidP="00B06A9A">
      <w:pPr>
        <w:rPr>
          <w:b/>
          <w:szCs w:val="20"/>
        </w:rPr>
      </w:pPr>
    </w:p>
    <w:p w14:paraId="62527895" w14:textId="77777777" w:rsidR="00C36D76" w:rsidRPr="009E064B" w:rsidRDefault="00C36D76" w:rsidP="00B06A9A">
      <w:pPr>
        <w:rPr>
          <w:b/>
          <w:szCs w:val="20"/>
        </w:rPr>
      </w:pPr>
      <w:r w:rsidRPr="009E064B">
        <w:rPr>
          <w:b/>
          <w:noProof/>
          <w:szCs w:val="20"/>
          <w:lang w:eastAsia="pl-PL"/>
        </w:rPr>
        <w:drawing>
          <wp:inline distT="0" distB="0" distL="0" distR="0" wp14:anchorId="3624DD72" wp14:editId="3F502DC3">
            <wp:extent cx="5665470" cy="2354580"/>
            <wp:effectExtent l="19050" t="0" r="0" b="0"/>
            <wp:docPr id="909" name="Obraz 69" descr="A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A2-21"/>
                    <pic:cNvPicPr>
                      <a:picLocks noChangeAspect="1" noChangeArrowheads="1"/>
                    </pic:cNvPicPr>
                  </pic:nvPicPr>
                  <pic:blipFill>
                    <a:blip r:embed="rId291" cstate="print"/>
                    <a:srcRect/>
                    <a:stretch>
                      <a:fillRect/>
                    </a:stretch>
                  </pic:blipFill>
                  <pic:spPr bwMode="auto">
                    <a:xfrm>
                      <a:off x="0" y="0"/>
                      <a:ext cx="5665470" cy="2354580"/>
                    </a:xfrm>
                    <a:prstGeom prst="rect">
                      <a:avLst/>
                    </a:prstGeom>
                    <a:noFill/>
                    <a:ln w="9525">
                      <a:noFill/>
                      <a:miter lim="800000"/>
                      <a:headEnd/>
                      <a:tailEnd/>
                    </a:ln>
                  </pic:spPr>
                </pic:pic>
              </a:graphicData>
            </a:graphic>
          </wp:inline>
        </w:drawing>
      </w:r>
    </w:p>
    <w:p w14:paraId="10E8C931" w14:textId="77777777" w:rsidR="00C36D76" w:rsidRPr="009E064B" w:rsidRDefault="00C36D76" w:rsidP="00B06A9A">
      <w:pPr>
        <w:rPr>
          <w:b/>
          <w:szCs w:val="20"/>
        </w:rPr>
      </w:pPr>
    </w:p>
    <w:p w14:paraId="4D7B2734" w14:textId="77777777" w:rsidR="00C36D76" w:rsidRPr="00FE5FBD" w:rsidRDefault="00C36D76" w:rsidP="00FE5FBD">
      <w:pPr>
        <w:spacing w:before="240"/>
        <w:ind w:left="1418" w:hanging="1418"/>
        <w:rPr>
          <w:b/>
          <w:sz w:val="20"/>
        </w:rPr>
      </w:pPr>
      <w:r w:rsidRPr="00FE5FBD">
        <w:rPr>
          <w:b/>
          <w:sz w:val="20"/>
        </w:rPr>
        <w:t xml:space="preserve">Rysunek U-25. </w:t>
      </w:r>
      <w:r w:rsidRPr="00FE5FBD">
        <w:rPr>
          <w:b/>
          <w:sz w:val="20"/>
        </w:rPr>
        <w:tab/>
        <w:t>Punkty siatki służące do obliczania średniej intensywności świateł linii środkowej drogi kołowania oraz świateł poprzeczki zatrzymania.</w:t>
      </w:r>
    </w:p>
    <w:p w14:paraId="089BDDE5" w14:textId="77777777" w:rsidR="00C36D76" w:rsidRPr="009E064B" w:rsidRDefault="00C36D76" w:rsidP="00B06A9A">
      <w:pPr>
        <w:ind w:left="425" w:right="-6" w:hanging="425"/>
        <w:jc w:val="left"/>
        <w:rPr>
          <w:b/>
          <w:szCs w:val="20"/>
        </w:rPr>
      </w:pPr>
      <w:r w:rsidRPr="009E064B">
        <w:rPr>
          <w:b/>
          <w:szCs w:val="20"/>
        </w:rPr>
        <w:br w:type="page"/>
      </w:r>
    </w:p>
    <w:p w14:paraId="38ECFD76" w14:textId="77777777" w:rsidR="00B638F6" w:rsidRPr="009E064B" w:rsidRDefault="00B638F6" w:rsidP="00B06A9A">
      <w:pPr>
        <w:spacing w:before="240" w:after="240"/>
        <w:jc w:val="center"/>
        <w:rPr>
          <w:b/>
          <w:sz w:val="24"/>
          <w:szCs w:val="20"/>
        </w:rPr>
      </w:pPr>
    </w:p>
    <w:p w14:paraId="5E9C5229" w14:textId="4CD30312" w:rsidR="00C36D76" w:rsidRPr="009E064B" w:rsidRDefault="000E0B48" w:rsidP="00B638F6">
      <w:pPr>
        <w:spacing w:before="240" w:after="360"/>
        <w:jc w:val="center"/>
        <w:rPr>
          <w:b/>
          <w:sz w:val="24"/>
          <w:szCs w:val="20"/>
        </w:rPr>
      </w:pPr>
      <w:r w:rsidRPr="009E064B">
        <w:rPr>
          <w:b/>
          <w:sz w:val="24"/>
          <w:szCs w:val="20"/>
        </w:rPr>
        <w:t>Uwagi wspólne do R</w:t>
      </w:r>
      <w:r w:rsidR="00C36D76" w:rsidRPr="009E064B">
        <w:rPr>
          <w:b/>
          <w:sz w:val="24"/>
          <w:szCs w:val="20"/>
        </w:rPr>
        <w:t>ysunków U-16 do U-25</w:t>
      </w:r>
    </w:p>
    <w:p w14:paraId="2E08E309" w14:textId="398323D7" w:rsidR="00C36D76" w:rsidRPr="009E064B" w:rsidRDefault="00C36D76" w:rsidP="00B06A9A">
      <w:pPr>
        <w:tabs>
          <w:tab w:val="left" w:pos="567"/>
        </w:tabs>
        <w:ind w:left="567" w:hanging="567"/>
        <w:rPr>
          <w:szCs w:val="20"/>
        </w:rPr>
      </w:pPr>
      <w:r w:rsidRPr="009E064B">
        <w:rPr>
          <w:rFonts w:cs="Times New Roman"/>
          <w:szCs w:val="20"/>
        </w:rPr>
        <w:t xml:space="preserve">(a) </w:t>
      </w:r>
      <w:r w:rsidRPr="009E064B">
        <w:rPr>
          <w:rFonts w:cs="Times New Roman"/>
          <w:szCs w:val="20"/>
        </w:rPr>
        <w:tab/>
      </w:r>
      <w:r w:rsidR="000E0B48" w:rsidRPr="009E064B">
        <w:rPr>
          <w:szCs w:val="20"/>
        </w:rPr>
        <w:t>Intensywności określone na R</w:t>
      </w:r>
      <w:r w:rsidRPr="009E064B">
        <w:rPr>
          <w:szCs w:val="20"/>
        </w:rPr>
        <w:t>ysunkach U-16 do U-24 odnoszą się do zielonych i żółtych świateł linii środkowej drogi kołowania, żółtych świateł ochronnych drogi startowej oraz czerwonych świateł poprzeczki zatrzymania.</w:t>
      </w:r>
    </w:p>
    <w:p w14:paraId="25FA9894" w14:textId="208D3A08" w:rsidR="00C36D76" w:rsidRPr="009E064B" w:rsidRDefault="00C36D76" w:rsidP="00B06A9A">
      <w:pPr>
        <w:tabs>
          <w:tab w:val="left" w:pos="567"/>
        </w:tabs>
        <w:ind w:left="567" w:hanging="567"/>
        <w:rPr>
          <w:szCs w:val="20"/>
        </w:rPr>
      </w:pPr>
      <w:r w:rsidRPr="009E064B">
        <w:rPr>
          <w:rFonts w:cs="Times New Roman"/>
          <w:szCs w:val="20"/>
        </w:rPr>
        <w:t xml:space="preserve">(b) </w:t>
      </w:r>
      <w:r w:rsidRPr="009E064B">
        <w:rPr>
          <w:rFonts w:cs="Times New Roman"/>
          <w:szCs w:val="20"/>
        </w:rPr>
        <w:tab/>
      </w:r>
      <w:r w:rsidRPr="009E064B">
        <w:rPr>
          <w:szCs w:val="20"/>
        </w:rPr>
        <w:t>Rysunki U-16 do U-24 przedstawiają minimalne dopuszczalne intensywności. Intensywność średnia wiązki głównej obliczana jest na podst</w:t>
      </w:r>
      <w:r w:rsidR="000E0B48" w:rsidRPr="009E064B">
        <w:rPr>
          <w:szCs w:val="20"/>
        </w:rPr>
        <w:t>awie siatki punktów, zgodnie z R</w:t>
      </w:r>
      <w:r w:rsidRPr="009E064B">
        <w:rPr>
          <w:szCs w:val="20"/>
        </w:rPr>
        <w:t>ysunkiem U-25 oraz mierzona we wszystkich punktach siatki znajdujących się wewnątrz oraz na granicy prostokąta określającej wiązkę główną. Wartość średnią stanowi średnia arytmetyczna z pomiarów intensywności światła we wszystkich określonych punktach siatki.</w:t>
      </w:r>
    </w:p>
    <w:p w14:paraId="19BC241C" w14:textId="77777777" w:rsidR="00C36D76" w:rsidRPr="009E064B" w:rsidRDefault="00C36D76" w:rsidP="00B06A9A">
      <w:pPr>
        <w:tabs>
          <w:tab w:val="left" w:pos="567"/>
        </w:tabs>
        <w:ind w:left="567" w:hanging="567"/>
        <w:rPr>
          <w:szCs w:val="20"/>
        </w:rPr>
      </w:pPr>
      <w:r w:rsidRPr="009E064B">
        <w:rPr>
          <w:rFonts w:cs="Times New Roman"/>
          <w:szCs w:val="20"/>
        </w:rPr>
        <w:t xml:space="preserve">(c) </w:t>
      </w:r>
      <w:r w:rsidRPr="009E064B">
        <w:rPr>
          <w:rFonts w:cs="Times New Roman"/>
          <w:szCs w:val="20"/>
        </w:rPr>
        <w:tab/>
      </w:r>
      <w:r w:rsidRPr="009E064B">
        <w:rPr>
          <w:szCs w:val="20"/>
        </w:rPr>
        <w:t>Jeżeli światło jest prawidłowo ustawione, niedopuszczalne jest żadne odchylenie kształtu wiązki głównej lub wiązki wewnętrznej.</w:t>
      </w:r>
    </w:p>
    <w:p w14:paraId="61C1FE71" w14:textId="77777777" w:rsidR="00C36D76" w:rsidRPr="009E064B" w:rsidRDefault="00C36D76" w:rsidP="00B06A9A">
      <w:pPr>
        <w:tabs>
          <w:tab w:val="left" w:pos="567"/>
        </w:tabs>
        <w:ind w:left="567" w:hanging="567"/>
        <w:rPr>
          <w:szCs w:val="20"/>
        </w:rPr>
      </w:pPr>
      <w:r w:rsidRPr="009E064B">
        <w:rPr>
          <w:rFonts w:cs="Times New Roman"/>
          <w:szCs w:val="20"/>
        </w:rPr>
        <w:t xml:space="preserve">(d) </w:t>
      </w:r>
      <w:r w:rsidRPr="009E064B">
        <w:rPr>
          <w:rFonts w:cs="Times New Roman"/>
          <w:szCs w:val="20"/>
        </w:rPr>
        <w:tab/>
      </w:r>
      <w:r w:rsidRPr="009E064B">
        <w:rPr>
          <w:szCs w:val="20"/>
        </w:rPr>
        <w:t>Kąty poziome mierzone są w odniesieniu do płaszczyzny pionowej przechodzącej przez linię środkową drogi kołowania, w przypadku łuków – w odniesieniu do stycznej łuku.</w:t>
      </w:r>
    </w:p>
    <w:p w14:paraId="6A4B1EB3" w14:textId="77777777" w:rsidR="00C36D76" w:rsidRPr="009E064B" w:rsidRDefault="00C36D76" w:rsidP="00B06A9A">
      <w:pPr>
        <w:tabs>
          <w:tab w:val="left" w:pos="567"/>
        </w:tabs>
        <w:ind w:left="567" w:hanging="567"/>
        <w:rPr>
          <w:szCs w:val="20"/>
        </w:rPr>
      </w:pPr>
      <w:r w:rsidRPr="009E064B">
        <w:rPr>
          <w:rFonts w:cs="Times New Roman"/>
          <w:szCs w:val="20"/>
        </w:rPr>
        <w:t xml:space="preserve">(e) </w:t>
      </w:r>
      <w:r w:rsidRPr="009E064B">
        <w:rPr>
          <w:rFonts w:cs="Times New Roman"/>
          <w:szCs w:val="20"/>
        </w:rPr>
        <w:tab/>
      </w:r>
      <w:r w:rsidRPr="009E064B">
        <w:rPr>
          <w:szCs w:val="20"/>
        </w:rPr>
        <w:t>Kąty pionowe mierzone są w odniesieniu do płaszczyzny nachylenia podłużnego powierzchni drogi kołowania.</w:t>
      </w:r>
    </w:p>
    <w:p w14:paraId="5EE59736" w14:textId="77777777" w:rsidR="00C36D76" w:rsidRPr="009E064B" w:rsidRDefault="00C36D76" w:rsidP="00B06A9A">
      <w:pPr>
        <w:tabs>
          <w:tab w:val="left" w:pos="567"/>
        </w:tabs>
        <w:ind w:left="567" w:hanging="567"/>
        <w:rPr>
          <w:szCs w:val="20"/>
        </w:rPr>
      </w:pPr>
      <w:r w:rsidRPr="009E064B">
        <w:rPr>
          <w:rFonts w:cs="Times New Roman"/>
          <w:szCs w:val="20"/>
        </w:rPr>
        <w:t xml:space="preserve">(f) </w:t>
      </w:r>
      <w:r w:rsidRPr="009E064B">
        <w:rPr>
          <w:rFonts w:cs="Times New Roman"/>
          <w:szCs w:val="20"/>
        </w:rPr>
        <w:tab/>
      </w:r>
      <w:r w:rsidRPr="009E064B">
        <w:rPr>
          <w:szCs w:val="20"/>
        </w:rPr>
        <w:t>Należy podkreślić konieczność właściwego utrzymania. Intensywność, odpowiednio średnia lub określona wg właściwych krzywych izokandeli, w żadnym przypadku nie powinna spaść poniżej wartości mniejszej niż 50% wartości określonych na rysunkach. Celem władz lotniska powinno być zachowanie takiego poziomu utrzymania świateł, aby zachowywały one intensywność średnią zbliżoną do określonego minimum.</w:t>
      </w:r>
    </w:p>
    <w:p w14:paraId="28E6D8D2" w14:textId="77777777" w:rsidR="00C36D76" w:rsidRPr="009E064B" w:rsidRDefault="00C36D76" w:rsidP="00B06A9A">
      <w:pPr>
        <w:tabs>
          <w:tab w:val="left" w:pos="567"/>
        </w:tabs>
        <w:ind w:left="567" w:hanging="567"/>
        <w:rPr>
          <w:szCs w:val="20"/>
        </w:rPr>
      </w:pPr>
      <w:r w:rsidRPr="009E064B">
        <w:rPr>
          <w:rFonts w:cs="Times New Roman"/>
          <w:szCs w:val="20"/>
        </w:rPr>
        <w:t xml:space="preserve">(g) </w:t>
      </w:r>
      <w:r w:rsidRPr="009E064B">
        <w:rPr>
          <w:rFonts w:cs="Times New Roman"/>
          <w:szCs w:val="20"/>
        </w:rPr>
        <w:tab/>
      </w:r>
      <w:r w:rsidRPr="009E064B">
        <w:rPr>
          <w:szCs w:val="20"/>
        </w:rPr>
        <w:t>Jednostka świetlna powinna być zainstalowana w taki sposób, aby wiązka główna była ustawiona z dokładnością do pół stopnia względem wymaganego kierunku.</w:t>
      </w:r>
    </w:p>
    <w:p w14:paraId="3B18C0D6" w14:textId="77777777" w:rsidR="00C36D76" w:rsidRPr="009E064B" w:rsidRDefault="00C36D76" w:rsidP="00B06A9A">
      <w:pPr>
        <w:ind w:left="425" w:right="-6" w:hanging="425"/>
        <w:jc w:val="left"/>
        <w:rPr>
          <w:b/>
          <w:szCs w:val="20"/>
        </w:rPr>
      </w:pPr>
    </w:p>
    <w:p w14:paraId="3FAAB5B2" w14:textId="3307479C" w:rsidR="00D66FD5" w:rsidRPr="009E064B" w:rsidRDefault="00D66FD5">
      <w:pPr>
        <w:spacing w:after="0"/>
        <w:jc w:val="left"/>
        <w:rPr>
          <w:b/>
          <w:szCs w:val="20"/>
        </w:rPr>
      </w:pPr>
      <w:r w:rsidRPr="009E064B">
        <w:rPr>
          <w:b/>
          <w:szCs w:val="20"/>
        </w:rPr>
        <w:br w:type="page"/>
      </w:r>
    </w:p>
    <w:p w14:paraId="3952F9D3" w14:textId="77777777" w:rsidR="003F1EC3" w:rsidRPr="009E064B" w:rsidRDefault="003F1EC3">
      <w:pPr>
        <w:spacing w:after="0"/>
        <w:jc w:val="left"/>
        <w:rPr>
          <w:b/>
          <w:szCs w:val="20"/>
        </w:rPr>
      </w:pPr>
    </w:p>
    <w:p w14:paraId="13095358" w14:textId="08E12FAE" w:rsidR="00C36D76" w:rsidRPr="009E064B" w:rsidRDefault="00B42931" w:rsidP="00B06A9A">
      <w:pPr>
        <w:rPr>
          <w:b/>
          <w:szCs w:val="20"/>
        </w:rPr>
      </w:pPr>
      <w:r w:rsidRPr="009E064B">
        <w:rPr>
          <w:noProof/>
          <w:lang w:eastAsia="pl-PL"/>
        </w:rPr>
        <w:drawing>
          <wp:inline distT="0" distB="0" distL="0" distR="0" wp14:anchorId="41EEE11B" wp14:editId="2C1D20FE">
            <wp:extent cx="5759450" cy="3379732"/>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759450" cy="3379732"/>
                    </a:xfrm>
                    <a:prstGeom prst="rect">
                      <a:avLst/>
                    </a:prstGeom>
                    <a:noFill/>
                    <a:ln>
                      <a:noFill/>
                    </a:ln>
                  </pic:spPr>
                </pic:pic>
              </a:graphicData>
            </a:graphic>
          </wp:inline>
        </w:drawing>
      </w:r>
    </w:p>
    <w:p w14:paraId="0A118883" w14:textId="3CF15938" w:rsidR="00B42931" w:rsidRPr="00FE5FBD" w:rsidRDefault="00B42931" w:rsidP="00FE5FBD">
      <w:pPr>
        <w:spacing w:before="240"/>
        <w:ind w:left="1418" w:hanging="1418"/>
        <w:jc w:val="center"/>
        <w:rPr>
          <w:b/>
          <w:sz w:val="20"/>
        </w:rPr>
      </w:pPr>
      <w:r w:rsidRPr="00FE5FBD">
        <w:rPr>
          <w:b/>
          <w:sz w:val="20"/>
        </w:rPr>
        <w:t xml:space="preserve">Rysunek U-26.   Rozkład intensywności światła </w:t>
      </w:r>
      <w:r w:rsidR="00EC4926" w:rsidRPr="00FE5FBD">
        <w:rPr>
          <w:b/>
          <w:sz w:val="20"/>
        </w:rPr>
        <w:t xml:space="preserve">dla </w:t>
      </w:r>
      <w:r w:rsidRPr="00FE5FBD">
        <w:rPr>
          <w:b/>
          <w:sz w:val="20"/>
        </w:rPr>
        <w:t>PAPI i APAPI</w:t>
      </w:r>
    </w:p>
    <w:p w14:paraId="0F9C48E3" w14:textId="77777777" w:rsidR="00C36D76" w:rsidRPr="009E064B" w:rsidRDefault="00C36D76" w:rsidP="00B06A9A">
      <w:pPr>
        <w:spacing w:after="0"/>
        <w:rPr>
          <w:szCs w:val="20"/>
        </w:rPr>
      </w:pPr>
    </w:p>
    <w:p w14:paraId="79A4E927" w14:textId="77777777" w:rsidR="00C36D76" w:rsidRPr="009E064B" w:rsidRDefault="00C36D76" w:rsidP="00D66FD5">
      <w:pPr>
        <w:spacing w:after="240"/>
        <w:rPr>
          <w:szCs w:val="20"/>
        </w:rPr>
      </w:pPr>
      <w:r w:rsidRPr="009E064B">
        <w:rPr>
          <w:szCs w:val="20"/>
        </w:rPr>
        <w:t>Uwagi:</w:t>
      </w:r>
    </w:p>
    <w:p w14:paraId="46918251" w14:textId="77777777" w:rsidR="00C36D76" w:rsidRPr="009E064B" w:rsidRDefault="00C36D76" w:rsidP="003F1EC3">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Powyższe krzywe określają intensywności minimalne światła czerwonego.</w:t>
      </w:r>
    </w:p>
    <w:p w14:paraId="57412EB9" w14:textId="77777777" w:rsidR="00C36D76" w:rsidRPr="009E064B" w:rsidRDefault="00C36D76" w:rsidP="003F1EC3">
      <w:pPr>
        <w:tabs>
          <w:tab w:val="left" w:pos="567"/>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Wartość intensywności w sektorze białym wiązki jest nie mniej niż 2 i nie więcej niż 6.5 razy mniejsza od odpowiadającej intensywności sektora czerwonego.</w:t>
      </w:r>
    </w:p>
    <w:p w14:paraId="7AAA4C1D" w14:textId="77777777" w:rsidR="00C36D76" w:rsidRPr="009E064B" w:rsidRDefault="00C36D76" w:rsidP="003F1EC3">
      <w:pPr>
        <w:tabs>
          <w:tab w:val="left" w:pos="567"/>
        </w:tabs>
        <w:ind w:left="1134" w:hanging="567"/>
        <w:rPr>
          <w:szCs w:val="20"/>
        </w:rPr>
      </w:pPr>
      <w:r w:rsidRPr="009E064B">
        <w:rPr>
          <w:rFonts w:cs="Times New Roman"/>
          <w:szCs w:val="20"/>
        </w:rPr>
        <w:t xml:space="preserve">(c) </w:t>
      </w:r>
      <w:r w:rsidRPr="009E064B">
        <w:rPr>
          <w:rFonts w:cs="Times New Roman"/>
          <w:szCs w:val="20"/>
        </w:rPr>
        <w:tab/>
      </w:r>
      <w:r w:rsidRPr="009E064B">
        <w:rPr>
          <w:szCs w:val="20"/>
        </w:rPr>
        <w:t>Wartości intensywności podane w nawiasach odnoszą się do APAPI.</w:t>
      </w:r>
    </w:p>
    <w:p w14:paraId="7236FDBA" w14:textId="484F98C3" w:rsidR="00C36D76" w:rsidRPr="009E064B" w:rsidRDefault="0044331D" w:rsidP="008960B1">
      <w:pPr>
        <w:spacing w:before="60"/>
        <w:ind w:left="425" w:right="-6" w:hanging="425"/>
        <w:jc w:val="left"/>
        <w:rPr>
          <w:szCs w:val="20"/>
        </w:rPr>
      </w:pPr>
      <w:r w:rsidRPr="000412BF">
        <w:rPr>
          <w:rFonts w:asciiTheme="minorHAnsi" w:hAnsiTheme="minorHAnsi" w:cstheme="minorHAnsi"/>
          <w:i/>
          <w:sz w:val="16"/>
          <w:szCs w:val="16"/>
        </w:rPr>
        <w:t>[Wydanie: ADR-DSN/4]</w:t>
      </w:r>
    </w:p>
    <w:p w14:paraId="42B0B8E3" w14:textId="48989649" w:rsidR="00D66FD5" w:rsidRPr="009E064B" w:rsidRDefault="00D66FD5">
      <w:pPr>
        <w:spacing w:after="0"/>
        <w:jc w:val="left"/>
        <w:rPr>
          <w:szCs w:val="20"/>
        </w:rPr>
      </w:pPr>
      <w:r w:rsidRPr="009E064B">
        <w:rPr>
          <w:szCs w:val="20"/>
        </w:rPr>
        <w:br w:type="page"/>
      </w:r>
    </w:p>
    <w:p w14:paraId="20CA5B18" w14:textId="77777777" w:rsidR="00C36D76" w:rsidRPr="009E064B" w:rsidRDefault="00C36D76" w:rsidP="00B06A9A">
      <w:pPr>
        <w:rPr>
          <w:szCs w:val="20"/>
        </w:rPr>
      </w:pPr>
    </w:p>
    <w:p w14:paraId="10B1C119" w14:textId="77777777" w:rsidR="00C36D76" w:rsidRPr="009E064B" w:rsidRDefault="00C36D76" w:rsidP="00D66FD5">
      <w:pPr>
        <w:spacing w:after="0"/>
        <w:rPr>
          <w:b/>
          <w:szCs w:val="20"/>
        </w:rPr>
      </w:pPr>
      <w:r w:rsidRPr="009E064B">
        <w:rPr>
          <w:b/>
          <w:noProof/>
          <w:szCs w:val="20"/>
          <w:lang w:eastAsia="pl-PL"/>
        </w:rPr>
        <w:drawing>
          <wp:inline distT="0" distB="0" distL="0" distR="0" wp14:anchorId="5A88407C" wp14:editId="381EB21C">
            <wp:extent cx="5725160" cy="3347085"/>
            <wp:effectExtent l="19050" t="0" r="8890" b="0"/>
            <wp:docPr id="910" name="Obraz 73" descr="A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A2-24"/>
                    <pic:cNvPicPr>
                      <a:picLocks noChangeAspect="1" noChangeArrowheads="1"/>
                    </pic:cNvPicPr>
                  </pic:nvPicPr>
                  <pic:blipFill>
                    <a:blip r:embed="rId293" cstate="print"/>
                    <a:srcRect/>
                    <a:stretch>
                      <a:fillRect/>
                    </a:stretch>
                  </pic:blipFill>
                  <pic:spPr bwMode="auto">
                    <a:xfrm>
                      <a:off x="0" y="0"/>
                      <a:ext cx="5725160" cy="3347085"/>
                    </a:xfrm>
                    <a:prstGeom prst="rect">
                      <a:avLst/>
                    </a:prstGeom>
                    <a:noFill/>
                    <a:ln w="9525">
                      <a:noFill/>
                      <a:miter lim="800000"/>
                      <a:headEnd/>
                      <a:tailEnd/>
                    </a:ln>
                  </pic:spPr>
                </pic:pic>
              </a:graphicData>
            </a:graphic>
          </wp:inline>
        </w:drawing>
      </w:r>
    </w:p>
    <w:p w14:paraId="0E498D63" w14:textId="77777777" w:rsidR="00C36D76" w:rsidRPr="009E064B" w:rsidRDefault="00C36D76" w:rsidP="00D66FD5">
      <w:pPr>
        <w:spacing w:after="0"/>
        <w:rPr>
          <w:rFonts w:ascii="Arial" w:hAnsi="Arial" w:cs="Arial"/>
          <w:iCs/>
          <w:sz w:val="16"/>
        </w:rPr>
      </w:pPr>
    </w:p>
    <w:p w14:paraId="36C1D65F" w14:textId="77777777" w:rsidR="00C36D76" w:rsidRPr="00FE5FBD" w:rsidRDefault="00C36D76" w:rsidP="00B06A9A">
      <w:pPr>
        <w:tabs>
          <w:tab w:val="left" w:pos="1843"/>
        </w:tabs>
        <w:ind w:left="1843" w:right="566" w:hanging="1276"/>
        <w:jc w:val="center"/>
        <w:rPr>
          <w:b/>
          <w:sz w:val="20"/>
          <w:szCs w:val="20"/>
        </w:rPr>
      </w:pPr>
      <w:r w:rsidRPr="00FE5FBD">
        <w:rPr>
          <w:b/>
          <w:sz w:val="20"/>
          <w:szCs w:val="20"/>
        </w:rPr>
        <w:t xml:space="preserve">Rysunek U-27. </w:t>
      </w:r>
      <w:r w:rsidRPr="00FE5FBD">
        <w:rPr>
          <w:b/>
          <w:sz w:val="20"/>
          <w:szCs w:val="20"/>
        </w:rPr>
        <w:tab/>
        <w:t>Wykres izokandeli dla każdej jednostki świateł ochronnych drogi startowej niskiej intensywności, Układ A</w:t>
      </w:r>
    </w:p>
    <w:p w14:paraId="3CFCAB83" w14:textId="77777777" w:rsidR="00C36D76" w:rsidRPr="009E064B" w:rsidRDefault="00C36D76" w:rsidP="00D66FD5">
      <w:pPr>
        <w:spacing w:after="240"/>
        <w:rPr>
          <w:szCs w:val="20"/>
        </w:rPr>
      </w:pPr>
      <w:r w:rsidRPr="009E064B">
        <w:rPr>
          <w:szCs w:val="20"/>
        </w:rPr>
        <w:t>Uwagi:</w:t>
      </w:r>
    </w:p>
    <w:p w14:paraId="444CA5BE" w14:textId="77777777" w:rsidR="00C36D76" w:rsidRPr="009E064B" w:rsidRDefault="00C36D76" w:rsidP="003F1EC3">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Pomimo tego, że światła te pracują emitując błyski, ich intensywność została określona tak, jakby były żarówkami, które emitują światło stałe.</w:t>
      </w:r>
    </w:p>
    <w:p w14:paraId="4B7F4C1B" w14:textId="77777777" w:rsidR="00C36D76" w:rsidRPr="009E064B" w:rsidRDefault="00C36D76" w:rsidP="003F1EC3">
      <w:pPr>
        <w:tabs>
          <w:tab w:val="left" w:pos="567"/>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Podane intensywności odnoszą się do świateł koloru żółtego.</w:t>
      </w:r>
    </w:p>
    <w:p w14:paraId="729FAD4B" w14:textId="062E68C3" w:rsidR="00C36D76" w:rsidRPr="009E064B" w:rsidRDefault="00C36D76" w:rsidP="00B06A9A">
      <w:pPr>
        <w:spacing w:after="200"/>
        <w:jc w:val="left"/>
        <w:rPr>
          <w:b/>
          <w:szCs w:val="20"/>
        </w:rPr>
      </w:pPr>
    </w:p>
    <w:p w14:paraId="72C80B95" w14:textId="77777777" w:rsidR="00C36D76" w:rsidRPr="009E064B" w:rsidRDefault="00C36D76" w:rsidP="00B06A9A">
      <w:pPr>
        <w:rPr>
          <w:b/>
          <w:szCs w:val="20"/>
        </w:rPr>
      </w:pPr>
    </w:p>
    <w:p w14:paraId="7F713E59" w14:textId="77777777" w:rsidR="00C36D76" w:rsidRPr="009E064B" w:rsidRDefault="00C36D76" w:rsidP="00B06A9A">
      <w:pPr>
        <w:rPr>
          <w:b/>
          <w:szCs w:val="20"/>
        </w:rPr>
      </w:pPr>
      <w:r w:rsidRPr="009E064B">
        <w:rPr>
          <w:b/>
          <w:noProof/>
          <w:szCs w:val="20"/>
          <w:lang w:eastAsia="pl-PL"/>
        </w:rPr>
        <w:drawing>
          <wp:inline distT="0" distB="0" distL="0" distR="0" wp14:anchorId="0CA3A694" wp14:editId="7D3A3D66">
            <wp:extent cx="5719445" cy="3322955"/>
            <wp:effectExtent l="19050" t="0" r="0" b="0"/>
            <wp:docPr id="911" name="Obraz 74" descr="A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4" descr="A2-25"/>
                    <pic:cNvPicPr>
                      <a:picLocks noChangeAspect="1" noChangeArrowheads="1"/>
                    </pic:cNvPicPr>
                  </pic:nvPicPr>
                  <pic:blipFill>
                    <a:blip r:embed="rId294" cstate="print"/>
                    <a:srcRect/>
                    <a:stretch>
                      <a:fillRect/>
                    </a:stretch>
                  </pic:blipFill>
                  <pic:spPr bwMode="auto">
                    <a:xfrm>
                      <a:off x="0" y="0"/>
                      <a:ext cx="5719445" cy="3322955"/>
                    </a:xfrm>
                    <a:prstGeom prst="rect">
                      <a:avLst/>
                    </a:prstGeom>
                    <a:noFill/>
                    <a:ln w="9525">
                      <a:noFill/>
                      <a:miter lim="800000"/>
                      <a:headEnd/>
                      <a:tailEnd/>
                    </a:ln>
                  </pic:spPr>
                </pic:pic>
              </a:graphicData>
            </a:graphic>
          </wp:inline>
        </w:drawing>
      </w:r>
    </w:p>
    <w:p w14:paraId="48BECA2C" w14:textId="77777777" w:rsidR="00C36D76" w:rsidRPr="00FE5FBD" w:rsidRDefault="00C36D76" w:rsidP="00B06A9A">
      <w:pPr>
        <w:tabs>
          <w:tab w:val="left" w:pos="1843"/>
        </w:tabs>
        <w:ind w:left="1843" w:right="566" w:hanging="1276"/>
        <w:jc w:val="center"/>
        <w:rPr>
          <w:b/>
          <w:sz w:val="20"/>
          <w:szCs w:val="20"/>
        </w:rPr>
      </w:pPr>
      <w:r w:rsidRPr="00FE5FBD">
        <w:rPr>
          <w:b/>
          <w:sz w:val="20"/>
          <w:szCs w:val="20"/>
        </w:rPr>
        <w:t xml:space="preserve">Rysunek U-28. </w:t>
      </w:r>
      <w:r w:rsidRPr="00FE5FBD">
        <w:rPr>
          <w:b/>
          <w:sz w:val="20"/>
          <w:szCs w:val="20"/>
        </w:rPr>
        <w:tab/>
        <w:t>Wykres izokandeli dla każdej jednostki świateł ochronnych drogi startowej wysokiej intensywności, Układ A</w:t>
      </w:r>
    </w:p>
    <w:p w14:paraId="0327B4DF" w14:textId="77777777" w:rsidR="00C36D76" w:rsidRPr="009E064B" w:rsidRDefault="00C36D76" w:rsidP="00D66FD5">
      <w:pPr>
        <w:spacing w:after="240"/>
        <w:rPr>
          <w:szCs w:val="20"/>
        </w:rPr>
      </w:pPr>
      <w:r w:rsidRPr="009E064B">
        <w:rPr>
          <w:szCs w:val="20"/>
        </w:rPr>
        <w:t>Uwagi:</w:t>
      </w:r>
    </w:p>
    <w:p w14:paraId="25528077" w14:textId="77777777" w:rsidR="00C36D76" w:rsidRPr="009E064B" w:rsidRDefault="00C36D76" w:rsidP="003F1EC3">
      <w:pPr>
        <w:tabs>
          <w:tab w:val="left" w:pos="567"/>
        </w:tabs>
        <w:ind w:left="1134" w:hanging="567"/>
        <w:rPr>
          <w:szCs w:val="20"/>
        </w:rPr>
      </w:pPr>
      <w:r w:rsidRPr="009E064B">
        <w:rPr>
          <w:rFonts w:cs="Times New Roman"/>
          <w:szCs w:val="20"/>
        </w:rPr>
        <w:t xml:space="preserve">(a) </w:t>
      </w:r>
      <w:r w:rsidRPr="009E064B">
        <w:rPr>
          <w:rFonts w:cs="Times New Roman"/>
          <w:szCs w:val="20"/>
        </w:rPr>
        <w:tab/>
      </w:r>
      <w:r w:rsidRPr="009E064B">
        <w:rPr>
          <w:szCs w:val="20"/>
        </w:rPr>
        <w:t>Pomimo tego, że światła te pracują emitując błyski, ich intensywność została określona tak, jakby były żarówkami, które emitują światło stałe.</w:t>
      </w:r>
    </w:p>
    <w:p w14:paraId="69172A93" w14:textId="77777777" w:rsidR="00C36D76" w:rsidRPr="009E064B" w:rsidRDefault="00C36D76" w:rsidP="003F1EC3">
      <w:pPr>
        <w:tabs>
          <w:tab w:val="left" w:pos="567"/>
        </w:tabs>
        <w:ind w:left="1134" w:hanging="567"/>
        <w:rPr>
          <w:szCs w:val="20"/>
        </w:rPr>
      </w:pPr>
      <w:r w:rsidRPr="009E064B">
        <w:rPr>
          <w:rFonts w:cs="Times New Roman"/>
          <w:szCs w:val="20"/>
        </w:rPr>
        <w:t xml:space="preserve">(b) </w:t>
      </w:r>
      <w:r w:rsidRPr="009E064B">
        <w:rPr>
          <w:rFonts w:cs="Times New Roman"/>
          <w:szCs w:val="20"/>
        </w:rPr>
        <w:tab/>
      </w:r>
      <w:r w:rsidRPr="009E064B">
        <w:rPr>
          <w:szCs w:val="20"/>
        </w:rPr>
        <w:t>Podane intensywności odnoszą się do świateł koloru żółtego.</w:t>
      </w:r>
    </w:p>
    <w:p w14:paraId="38C935F9" w14:textId="77777777" w:rsidR="00C36D76" w:rsidRPr="009E064B" w:rsidRDefault="00C36D76" w:rsidP="006C24CC">
      <w:pPr>
        <w:spacing w:before="120" w:after="0"/>
        <w:ind w:hanging="20"/>
        <w:rPr>
          <w:rFonts w:asciiTheme="minorHAnsi" w:hAnsiTheme="minorHAnsi" w:cstheme="minorHAnsi"/>
          <w:i/>
          <w:sz w:val="16"/>
          <w:szCs w:val="16"/>
        </w:rPr>
      </w:pPr>
      <w:r w:rsidRPr="009E064B">
        <w:rPr>
          <w:rFonts w:asciiTheme="minorHAnsi" w:hAnsiTheme="minorHAnsi" w:cstheme="minorHAnsi"/>
          <w:i/>
          <w:sz w:val="16"/>
          <w:szCs w:val="16"/>
        </w:rPr>
        <w:t>[Wydanie: ADR-DSN/3]</w:t>
      </w:r>
    </w:p>
    <w:p w14:paraId="1A2872DE" w14:textId="69AAB91D" w:rsidR="0006183A" w:rsidRPr="009E064B" w:rsidRDefault="0006183A">
      <w:pPr>
        <w:spacing w:after="0"/>
        <w:jc w:val="left"/>
      </w:pPr>
      <w:r w:rsidRPr="009E064B">
        <w:br w:type="page"/>
      </w:r>
    </w:p>
    <w:p w14:paraId="558C728A" w14:textId="77777777" w:rsidR="00C36D76" w:rsidRPr="009E064B" w:rsidRDefault="00C36D76" w:rsidP="00B06A9A"/>
    <w:p w14:paraId="5DAEC156" w14:textId="1021A1F1" w:rsidR="00B42931" w:rsidRPr="00FE5FBD" w:rsidRDefault="00B42931" w:rsidP="00B06A9A">
      <w:r w:rsidRPr="00FE5FBD">
        <w:rPr>
          <w:noProof/>
          <w:lang w:eastAsia="pl-PL"/>
        </w:rPr>
        <w:drawing>
          <wp:inline distT="0" distB="0" distL="0" distR="0" wp14:anchorId="754E4A5A" wp14:editId="7C840438">
            <wp:extent cx="5759450" cy="3311160"/>
            <wp:effectExtent l="0" t="0" r="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759450" cy="3311160"/>
                    </a:xfrm>
                    <a:prstGeom prst="rect">
                      <a:avLst/>
                    </a:prstGeom>
                    <a:noFill/>
                    <a:ln>
                      <a:noFill/>
                    </a:ln>
                  </pic:spPr>
                </pic:pic>
              </a:graphicData>
            </a:graphic>
          </wp:inline>
        </w:drawing>
      </w:r>
    </w:p>
    <w:p w14:paraId="22C07A04" w14:textId="3782A109" w:rsidR="00B42931" w:rsidRPr="00FE5FBD" w:rsidRDefault="00B42931" w:rsidP="00B42931">
      <w:pPr>
        <w:tabs>
          <w:tab w:val="left" w:pos="1843"/>
        </w:tabs>
        <w:ind w:left="1843" w:right="566" w:hanging="1276"/>
        <w:jc w:val="center"/>
        <w:rPr>
          <w:b/>
          <w:sz w:val="20"/>
          <w:szCs w:val="20"/>
        </w:rPr>
      </w:pPr>
      <w:r w:rsidRPr="00FE5FBD">
        <w:rPr>
          <w:b/>
          <w:sz w:val="20"/>
          <w:szCs w:val="20"/>
        </w:rPr>
        <w:t xml:space="preserve">Rysunek U-28. </w:t>
      </w:r>
      <w:r w:rsidRPr="00FE5FBD">
        <w:rPr>
          <w:b/>
          <w:sz w:val="20"/>
          <w:szCs w:val="20"/>
        </w:rPr>
        <w:tab/>
        <w:t xml:space="preserve">Wykres izokandeli dla świateł oczekiwania na start (THLs) </w:t>
      </w:r>
      <w:r w:rsidR="0006183A" w:rsidRPr="00FE5FBD">
        <w:rPr>
          <w:b/>
          <w:sz w:val="20"/>
          <w:szCs w:val="20"/>
        </w:rPr>
        <w:br/>
      </w:r>
      <w:r w:rsidRPr="00FE5FBD">
        <w:rPr>
          <w:b/>
          <w:sz w:val="20"/>
          <w:szCs w:val="20"/>
        </w:rPr>
        <w:t>(światło czerwone)</w:t>
      </w:r>
    </w:p>
    <w:p w14:paraId="5E8B5079" w14:textId="77777777" w:rsidR="00B42931" w:rsidRPr="007A1C17" w:rsidRDefault="00B42931" w:rsidP="00B42931">
      <w:pPr>
        <w:tabs>
          <w:tab w:val="left" w:pos="922"/>
        </w:tabs>
        <w:spacing w:after="0"/>
        <w:ind w:left="19"/>
      </w:pPr>
    </w:p>
    <w:p w14:paraId="219B177D" w14:textId="77777777" w:rsidR="00B42931" w:rsidRPr="007A1C17" w:rsidRDefault="00B42931" w:rsidP="00B42931">
      <w:pPr>
        <w:tabs>
          <w:tab w:val="left" w:pos="1134"/>
        </w:tabs>
        <w:ind w:left="1134" w:hanging="850"/>
      </w:pPr>
      <w:r w:rsidRPr="007A1C17">
        <w:t>Uwagi:</w:t>
      </w:r>
    </w:p>
    <w:p w14:paraId="55E0CE9B" w14:textId="77777777" w:rsidR="00B42931" w:rsidRPr="007A1C17" w:rsidRDefault="00B42931" w:rsidP="00B42931">
      <w:pPr>
        <w:tabs>
          <w:tab w:val="left" w:pos="1134"/>
        </w:tabs>
        <w:ind w:left="1134" w:hanging="425"/>
      </w:pPr>
      <w:r w:rsidRPr="007A1C17">
        <w:t xml:space="preserve">1. </w:t>
      </w:r>
      <w:r w:rsidRPr="007A1C17">
        <w:tab/>
        <w:t>Krzywe obliczono według wzoru:</w:t>
      </w:r>
    </w:p>
    <w:tbl>
      <w:tblPr>
        <w:tblpPr w:leftFromText="141" w:rightFromText="141" w:vertAnchor="text" w:horzAnchor="page" w:tblpX="6558" w:tblpY="1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1"/>
        <w:gridCol w:w="981"/>
        <w:gridCol w:w="981"/>
      </w:tblGrid>
      <w:tr w:rsidR="00B42931" w:rsidRPr="007A1C17" w14:paraId="45887658" w14:textId="77777777" w:rsidTr="00B42931">
        <w:tc>
          <w:tcPr>
            <w:tcW w:w="981" w:type="dxa"/>
            <w:tcMar>
              <w:top w:w="85" w:type="dxa"/>
              <w:bottom w:w="85" w:type="dxa"/>
            </w:tcMar>
            <w:vAlign w:val="center"/>
          </w:tcPr>
          <w:p w14:paraId="2C62F2FE"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a</w:t>
            </w:r>
          </w:p>
        </w:tc>
        <w:tc>
          <w:tcPr>
            <w:tcW w:w="981" w:type="dxa"/>
            <w:tcMar>
              <w:top w:w="85" w:type="dxa"/>
              <w:bottom w:w="85" w:type="dxa"/>
            </w:tcMar>
            <w:vAlign w:val="center"/>
          </w:tcPr>
          <w:p w14:paraId="6B10B637"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5.0</w:t>
            </w:r>
          </w:p>
        </w:tc>
        <w:tc>
          <w:tcPr>
            <w:tcW w:w="981" w:type="dxa"/>
            <w:tcMar>
              <w:top w:w="85" w:type="dxa"/>
              <w:bottom w:w="85" w:type="dxa"/>
            </w:tcMar>
            <w:vAlign w:val="center"/>
          </w:tcPr>
          <w:p w14:paraId="7B2B41CE"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7.0</w:t>
            </w:r>
          </w:p>
        </w:tc>
      </w:tr>
      <w:tr w:rsidR="00B42931" w:rsidRPr="007A1C17" w14:paraId="5075F905" w14:textId="77777777" w:rsidTr="00B42931">
        <w:tc>
          <w:tcPr>
            <w:tcW w:w="981" w:type="dxa"/>
            <w:tcMar>
              <w:top w:w="85" w:type="dxa"/>
              <w:bottom w:w="85" w:type="dxa"/>
            </w:tcMar>
            <w:vAlign w:val="center"/>
          </w:tcPr>
          <w:p w14:paraId="1F30E736"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b</w:t>
            </w:r>
          </w:p>
        </w:tc>
        <w:tc>
          <w:tcPr>
            <w:tcW w:w="981" w:type="dxa"/>
            <w:tcMar>
              <w:top w:w="85" w:type="dxa"/>
              <w:bottom w:w="85" w:type="dxa"/>
            </w:tcMar>
            <w:vAlign w:val="center"/>
          </w:tcPr>
          <w:p w14:paraId="3222C2E8"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4.5</w:t>
            </w:r>
          </w:p>
        </w:tc>
        <w:tc>
          <w:tcPr>
            <w:tcW w:w="981" w:type="dxa"/>
            <w:tcMar>
              <w:top w:w="85" w:type="dxa"/>
              <w:bottom w:w="85" w:type="dxa"/>
            </w:tcMar>
            <w:vAlign w:val="center"/>
          </w:tcPr>
          <w:p w14:paraId="7A9C1246" w14:textId="77777777" w:rsidR="00B42931" w:rsidRPr="007A1C17" w:rsidRDefault="00B42931" w:rsidP="00B42931">
            <w:pPr>
              <w:spacing w:after="0"/>
              <w:jc w:val="center"/>
              <w:rPr>
                <w:rFonts w:asciiTheme="minorHAnsi" w:hAnsiTheme="minorHAnsi" w:cstheme="minorHAnsi"/>
                <w:iCs/>
              </w:rPr>
            </w:pPr>
            <w:r w:rsidRPr="007A1C17">
              <w:rPr>
                <w:rFonts w:asciiTheme="minorHAnsi" w:hAnsiTheme="minorHAnsi" w:cstheme="minorHAnsi"/>
                <w:iCs/>
              </w:rPr>
              <w:t>8.5</w:t>
            </w:r>
          </w:p>
        </w:tc>
      </w:tr>
    </w:tbl>
    <w:p w14:paraId="58DF1CBE" w14:textId="202146AC" w:rsidR="00B42931" w:rsidRPr="007A1C17" w:rsidRDefault="00B42931" w:rsidP="00B42931">
      <w:pPr>
        <w:tabs>
          <w:tab w:val="left" w:pos="1701"/>
        </w:tabs>
        <w:ind w:left="1701"/>
      </w:pPr>
      <w:r w:rsidRPr="007A1C17">
        <w:rPr>
          <w:noProof/>
        </w:rPr>
        <w:t xml:space="preserve"> </w:t>
      </w:r>
      <w:r w:rsidRPr="007A1C17">
        <w:rPr>
          <w:noProof/>
          <w:lang w:eastAsia="pl-PL"/>
        </w:rPr>
        <mc:AlternateContent>
          <mc:Choice Requires="wpc">
            <w:drawing>
              <wp:inline distT="0" distB="0" distL="0" distR="0" wp14:anchorId="367EAB01" wp14:editId="34731E4E">
                <wp:extent cx="1325526" cy="737190"/>
                <wp:effectExtent l="0" t="0" r="0" b="0"/>
                <wp:docPr id="94" name="Kanwa 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3" name="Picture 2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120528" y="70924"/>
                            <a:ext cx="1098502"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3F575C" id="Kanwa 94" o:spid="_x0000_s1026" editas="canvas" style="width:104.35pt;height:58.05pt;mso-position-horizontal-relative:char;mso-position-vertical-relative:line" coordsize="13252,7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">
                <v:shape id="_x0000_s1027" type="#_x0000_t75" style="position:absolute;width:13252;height:7366;visibility:visible;mso-wrap-style:square">
                  <v:fill o:detectmouseclick="t"/>
                  <v:path o:connecttype="none"/>
                </v:shape>
                <v:shape id="Picture 23" o:spid="_x0000_s1028" type="#_x0000_t75" style="position:absolute;left:1205;top:709;width:10985;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">
                  <v:imagedata r:id="rId297" o:title=""/>
                </v:shape>
                <w10:anchorlock/>
              </v:group>
            </w:pict>
          </mc:Fallback>
        </mc:AlternateContent>
      </w:r>
    </w:p>
    <w:p w14:paraId="025E7C65" w14:textId="77777777" w:rsidR="00B42931" w:rsidRPr="007A1C17" w:rsidRDefault="00B42931" w:rsidP="00B42931">
      <w:pPr>
        <w:tabs>
          <w:tab w:val="left" w:pos="1134"/>
        </w:tabs>
        <w:ind w:left="1134" w:hanging="425"/>
      </w:pPr>
    </w:p>
    <w:p w14:paraId="7DD6DA39" w14:textId="1CBCB5DB" w:rsidR="00B42931" w:rsidRPr="007A1C17" w:rsidRDefault="00B42931" w:rsidP="00B42931">
      <w:pPr>
        <w:tabs>
          <w:tab w:val="left" w:pos="1134"/>
        </w:tabs>
        <w:ind w:left="1134" w:hanging="425"/>
      </w:pPr>
      <w:r w:rsidRPr="007A1C17">
        <w:t>2.</w:t>
      </w:r>
      <w:r w:rsidRPr="007A1C17">
        <w:tab/>
        <w:t>P</w:t>
      </w:r>
      <w:r w:rsidR="0006183A" w:rsidRPr="007A1C17">
        <w:t xml:space="preserve">atrz uwagi wspólne do Rysunków </w:t>
      </w:r>
      <w:r w:rsidR="00EC4926" w:rsidRPr="007A1C17">
        <w:t>od U-5 do U-15 i do Rysunku U-29</w:t>
      </w:r>
      <w:r w:rsidR="0006183A" w:rsidRPr="007A1C17">
        <w:t>.</w:t>
      </w:r>
    </w:p>
    <w:p w14:paraId="143BDF7B" w14:textId="731F0296" w:rsidR="00B42931" w:rsidRPr="007A1C17" w:rsidRDefault="0044331D" w:rsidP="00EC4926">
      <w:pPr>
        <w:spacing w:before="200" w:after="360"/>
      </w:pPr>
      <w:r w:rsidRPr="007A1C17">
        <w:rPr>
          <w:rFonts w:asciiTheme="minorHAnsi" w:hAnsiTheme="minorHAnsi" w:cstheme="minorHAnsi"/>
          <w:i/>
          <w:sz w:val="16"/>
          <w:szCs w:val="16"/>
        </w:rPr>
        <w:t>[Wydanie: ADR-DSN/4]</w:t>
      </w:r>
    </w:p>
    <w:p w14:paraId="1CCB6739" w14:textId="6930C0D0" w:rsidR="0061499D" w:rsidRPr="009E064B" w:rsidRDefault="003567AE" w:rsidP="00133B99">
      <w:pPr>
        <w:pStyle w:val="Nagwek6"/>
      </w:pPr>
      <w:bookmarkStart w:id="1879" w:name="_Toc401059099"/>
      <w:bookmarkStart w:id="1880" w:name="_Toc482886972"/>
      <w:bookmarkStart w:id="1881" w:name="_Toc12533333"/>
      <w:r w:rsidRPr="009E064B">
        <w:t xml:space="preserve">GM1 ADR-DSN.U.940     </w:t>
      </w:r>
      <w:r w:rsidR="0061499D" w:rsidRPr="009E064B">
        <w:t>Charakterystyki naziemnych świateł lotniczych</w:t>
      </w:r>
      <w:bookmarkEnd w:id="1879"/>
      <w:bookmarkEnd w:id="1880"/>
      <w:bookmarkEnd w:id="1881"/>
    </w:p>
    <w:p w14:paraId="68D72432" w14:textId="053A7C35" w:rsidR="003567AE" w:rsidRPr="009E064B" w:rsidRDefault="001F74A1" w:rsidP="003567AE">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i/>
          <w:color w:val="1A171C"/>
          <w:sz w:val="16"/>
          <w:szCs w:val="20"/>
        </w:rPr>
        <w:t>Decyzja ED 2014/013/R</w:t>
      </w:r>
    </w:p>
    <w:p w14:paraId="4243AE81" w14:textId="45D4ED72" w:rsidR="0061499D" w:rsidRPr="009E064B" w:rsidRDefault="0061499D" w:rsidP="00B06A9A">
      <w:pPr>
        <w:autoSpaceDE w:val="0"/>
        <w:autoSpaceDN w:val="0"/>
        <w:adjustRightInd w:val="0"/>
        <w:spacing w:after="0"/>
        <w:rPr>
          <w:rFonts w:cs="Times New Roman"/>
          <w:szCs w:val="20"/>
        </w:rPr>
      </w:pPr>
      <w:r w:rsidRPr="009E064B">
        <w:rPr>
          <w:rFonts w:cs="Times New Roman"/>
          <w:szCs w:val="20"/>
        </w:rPr>
        <w:t>Celowo pozostawiono puste.</w:t>
      </w:r>
    </w:p>
    <w:p w14:paraId="14A612AC" w14:textId="77777777" w:rsidR="00554EDA" w:rsidRPr="009E064B" w:rsidRDefault="00554EDA" w:rsidP="00B06A9A">
      <w:pPr>
        <w:autoSpaceDE w:val="0"/>
        <w:autoSpaceDN w:val="0"/>
        <w:adjustRightInd w:val="0"/>
        <w:spacing w:after="0"/>
        <w:rPr>
          <w:rFonts w:cs="Times New Roman"/>
          <w:szCs w:val="20"/>
        </w:rPr>
      </w:pPr>
    </w:p>
    <w:p w14:paraId="7731DFDE" w14:textId="77777777" w:rsidR="00554EDA" w:rsidRPr="009E064B" w:rsidRDefault="00554EDA" w:rsidP="00B06A9A">
      <w:pPr>
        <w:sectPr w:rsidR="00554EDA" w:rsidRPr="009E064B" w:rsidSect="00E300A0">
          <w:headerReference w:type="default" r:id="rId298"/>
          <w:headerReference w:type="first" r:id="rId299"/>
          <w:pgSz w:w="11906" w:h="16840" w:code="9"/>
          <w:pgMar w:top="1701" w:right="1418" w:bottom="1418" w:left="1418" w:header="567" w:footer="454" w:gutter="0"/>
          <w:cols w:space="708"/>
          <w:titlePg/>
        </w:sectPr>
      </w:pPr>
    </w:p>
    <w:p w14:paraId="398A5891" w14:textId="40593CB2" w:rsidR="00C36D76" w:rsidRPr="009E064B" w:rsidRDefault="00C36D76" w:rsidP="00B06A9A"/>
    <w:p w14:paraId="3A7A605E" w14:textId="361188E5" w:rsidR="00554EDA" w:rsidRPr="009E064B" w:rsidRDefault="00554EDA" w:rsidP="00B06A9A"/>
    <w:p w14:paraId="59BD77C1" w14:textId="77777777" w:rsidR="00554EDA" w:rsidRPr="009E064B" w:rsidRDefault="00554EDA" w:rsidP="00B06A9A"/>
    <w:p w14:paraId="67F66164" w14:textId="76586EFE" w:rsidR="00C838DA" w:rsidRPr="009E064B" w:rsidRDefault="00C838DA" w:rsidP="00C838DA">
      <w:pPr>
        <w:pStyle w:val="Nagwek1"/>
      </w:pPr>
      <w:bookmarkStart w:id="1882" w:name="_Toc12533334"/>
      <w:r w:rsidRPr="00042D60">
        <w:t>CS</w:t>
      </w:r>
      <w:r w:rsidRPr="009E064B">
        <w:t>-</w:t>
      </w:r>
      <w:r w:rsidR="008E6E91" w:rsidRPr="009E064B">
        <w:t>HPT</w:t>
      </w:r>
      <w:r w:rsidRPr="009E064B">
        <w:t xml:space="preserve">-DSN — Wydanie </w:t>
      </w:r>
      <w:r w:rsidR="008E6E91" w:rsidRPr="009E064B">
        <w:t>1</w:t>
      </w:r>
      <w:bookmarkEnd w:id="1882"/>
    </w:p>
    <w:p w14:paraId="72032C44" w14:textId="0A52D70D" w:rsidR="00C838DA" w:rsidRPr="009E064B" w:rsidRDefault="00C838DA" w:rsidP="00C838DA">
      <w:pPr>
        <w:pStyle w:val="Nagwek11"/>
        <w:ind w:right="-2"/>
        <w:outlineLvl w:val="9"/>
        <w:rPr>
          <w:rFonts w:eastAsiaTheme="minorHAnsi"/>
          <w:b w:val="0"/>
          <w:bCs w:val="0"/>
          <w:sz w:val="22"/>
          <w:szCs w:val="22"/>
        </w:rPr>
      </w:pPr>
    </w:p>
    <w:p w14:paraId="7EC61EF7" w14:textId="77777777" w:rsidR="00C838DA" w:rsidRPr="009E064B" w:rsidRDefault="00C838DA" w:rsidP="00C838DA">
      <w:pPr>
        <w:pStyle w:val="Nagwek11"/>
        <w:ind w:right="-2"/>
        <w:outlineLvl w:val="9"/>
        <w:rPr>
          <w:rFonts w:eastAsiaTheme="minorHAnsi"/>
          <w:b w:val="0"/>
          <w:bCs w:val="0"/>
          <w:sz w:val="22"/>
          <w:szCs w:val="22"/>
        </w:rPr>
      </w:pPr>
    </w:p>
    <w:p w14:paraId="119EEA16" w14:textId="082A1B69" w:rsidR="00C838DA" w:rsidRPr="009E064B" w:rsidRDefault="00C838DA" w:rsidP="00C838DA">
      <w:pPr>
        <w:spacing w:line="288" w:lineRule="auto"/>
        <w:jc w:val="center"/>
        <w:rPr>
          <w:b/>
          <w:color w:val="003399"/>
          <w:sz w:val="24"/>
        </w:rPr>
      </w:pPr>
      <w:r w:rsidRPr="00DD79BF">
        <w:rPr>
          <w:b/>
          <w:color w:val="003399"/>
          <w:sz w:val="40"/>
        </w:rPr>
        <w:t>Specyfikacje Certyfikacyjne (</w:t>
      </w:r>
      <w:r w:rsidRPr="00042D60">
        <w:rPr>
          <w:b/>
          <w:color w:val="003399"/>
          <w:sz w:val="40"/>
        </w:rPr>
        <w:t>CS</w:t>
      </w:r>
      <w:r w:rsidRPr="00DD79BF">
        <w:rPr>
          <w:b/>
          <w:color w:val="003399"/>
          <w:sz w:val="40"/>
        </w:rPr>
        <w:t>) oraz Materiały</w:t>
      </w:r>
      <w:r w:rsidR="00FD48AA" w:rsidRPr="00DD79BF">
        <w:rPr>
          <w:b/>
          <w:color w:val="003399"/>
          <w:sz w:val="40"/>
        </w:rPr>
        <w:t xml:space="preserve"> Zawierające Wytyczne (GM) do projektowania naziemnych l</w:t>
      </w:r>
      <w:r w:rsidRPr="00DD79BF">
        <w:rPr>
          <w:b/>
          <w:color w:val="003399"/>
          <w:sz w:val="40"/>
        </w:rPr>
        <w:t>otnisk</w:t>
      </w:r>
      <w:r w:rsidR="00FD48AA" w:rsidRPr="00DD79BF">
        <w:rPr>
          <w:b/>
          <w:color w:val="003399"/>
          <w:sz w:val="40"/>
        </w:rPr>
        <w:t xml:space="preserve"> </w:t>
      </w:r>
      <w:r w:rsidR="001119A4" w:rsidRPr="00DD79BF">
        <w:rPr>
          <w:b/>
          <w:color w:val="003399"/>
          <w:sz w:val="40"/>
        </w:rPr>
        <w:t xml:space="preserve">VFR </w:t>
      </w:r>
      <w:r w:rsidR="00FD48AA" w:rsidRPr="00DD79BF">
        <w:rPr>
          <w:b/>
          <w:color w:val="003399"/>
          <w:sz w:val="40"/>
        </w:rPr>
        <w:t>dla śmigłowców znajdujących się na lotniskach podlegających wymaganiom Rozporządzenia (UE) 2</w:t>
      </w:r>
      <w:r w:rsidR="008E6E91" w:rsidRPr="00DD79BF">
        <w:rPr>
          <w:b/>
          <w:color w:val="003399"/>
          <w:sz w:val="40"/>
        </w:rPr>
        <w:t>018/1139</w:t>
      </w:r>
    </w:p>
    <w:p w14:paraId="1E144ED1" w14:textId="22AD1264" w:rsidR="00554EDA" w:rsidRPr="009E064B" w:rsidRDefault="00554EDA" w:rsidP="00554EDA">
      <w:pPr>
        <w:pStyle w:val="Nagwek11"/>
        <w:ind w:right="-2"/>
        <w:outlineLvl w:val="9"/>
        <w:rPr>
          <w:rFonts w:asciiTheme="minorHAnsi" w:hAnsiTheme="minorHAnsi" w:cstheme="minorHAnsi"/>
          <w:sz w:val="24"/>
          <w:szCs w:val="22"/>
        </w:rPr>
      </w:pPr>
    </w:p>
    <w:p w14:paraId="64A73F7F" w14:textId="5F46077F" w:rsidR="00AC725F" w:rsidRPr="009E064B" w:rsidRDefault="00AC725F" w:rsidP="00554EDA">
      <w:pPr>
        <w:pStyle w:val="Nagwek11"/>
        <w:ind w:right="-2"/>
        <w:outlineLvl w:val="9"/>
        <w:rPr>
          <w:rFonts w:asciiTheme="minorHAnsi" w:hAnsiTheme="minorHAnsi" w:cstheme="minorHAnsi"/>
          <w:sz w:val="24"/>
          <w:szCs w:val="22"/>
        </w:rPr>
      </w:pPr>
    </w:p>
    <w:p w14:paraId="1C9A6962" w14:textId="27604ED5" w:rsidR="00AC725F" w:rsidRPr="009E064B" w:rsidRDefault="00AC725F" w:rsidP="00554EDA">
      <w:pPr>
        <w:pStyle w:val="Nagwek11"/>
        <w:ind w:right="-2"/>
        <w:outlineLvl w:val="9"/>
        <w:rPr>
          <w:rFonts w:asciiTheme="minorHAnsi" w:hAnsiTheme="minorHAnsi" w:cstheme="minorHAnsi"/>
          <w:sz w:val="24"/>
          <w:szCs w:val="22"/>
        </w:rPr>
      </w:pPr>
    </w:p>
    <w:p w14:paraId="34BD1573" w14:textId="77777777" w:rsidR="00AC725F" w:rsidRPr="009E064B" w:rsidRDefault="00AC725F" w:rsidP="00554EDA">
      <w:pPr>
        <w:pStyle w:val="Nagwek11"/>
        <w:ind w:right="-2"/>
        <w:outlineLvl w:val="9"/>
        <w:rPr>
          <w:rFonts w:asciiTheme="minorHAnsi" w:hAnsiTheme="minorHAnsi" w:cstheme="minorHAnsi"/>
          <w:sz w:val="24"/>
          <w:szCs w:val="22"/>
        </w:rPr>
      </w:pPr>
    </w:p>
    <w:p w14:paraId="0C2077A7" w14:textId="77777777" w:rsidR="00554EDA" w:rsidRPr="009E064B" w:rsidRDefault="00554EDA" w:rsidP="00554EDA">
      <w:pPr>
        <w:pStyle w:val="Nagwek11"/>
        <w:ind w:right="-2"/>
        <w:outlineLvl w:val="9"/>
        <w:rPr>
          <w:rFonts w:asciiTheme="minorHAnsi" w:hAnsiTheme="minorHAnsi" w:cstheme="minorHAnsi"/>
          <w:sz w:val="24"/>
          <w:szCs w:val="22"/>
        </w:rPr>
      </w:pPr>
    </w:p>
    <w:p w14:paraId="62BF2A54" w14:textId="77777777" w:rsidR="00AC725F" w:rsidRPr="009E064B" w:rsidRDefault="00AC725F" w:rsidP="00B06A9A">
      <w:pPr>
        <w:sectPr w:rsidR="00AC725F" w:rsidRPr="009E064B" w:rsidSect="00E300A0">
          <w:headerReference w:type="first" r:id="rId300"/>
          <w:footerReference w:type="first" r:id="rId301"/>
          <w:pgSz w:w="11906" w:h="16840" w:code="9"/>
          <w:pgMar w:top="1701" w:right="1418" w:bottom="1418" w:left="1418" w:header="567" w:footer="454" w:gutter="0"/>
          <w:cols w:space="708"/>
          <w:titlePg/>
        </w:sectPr>
      </w:pPr>
    </w:p>
    <w:p w14:paraId="5E68E147" w14:textId="412B007D" w:rsidR="00AC725F" w:rsidRPr="009E064B" w:rsidRDefault="00AC725F" w:rsidP="00B06A9A"/>
    <w:p w14:paraId="0F7ACBCC" w14:textId="77777777" w:rsidR="00FD48AA" w:rsidRPr="009E064B" w:rsidRDefault="00FD48AA" w:rsidP="00FD48AA">
      <w:pPr>
        <w:pStyle w:val="Nagwek2"/>
      </w:pPr>
      <w:bookmarkStart w:id="1883" w:name="_Toc12533335"/>
      <w:r w:rsidRPr="009E064B">
        <w:t>Lista skrótów</w:t>
      </w:r>
      <w:bookmarkEnd w:id="1883"/>
    </w:p>
    <w:p w14:paraId="5489E729" w14:textId="1FAFF7BF" w:rsidR="00AC725F" w:rsidRPr="009E064B" w:rsidRDefault="00FD48AA" w:rsidP="008E6E91">
      <w:pPr>
        <w:spacing w:before="240"/>
        <w:jc w:val="center"/>
      </w:pPr>
      <w:r w:rsidRPr="009E064B">
        <w:t xml:space="preserve">(używanych w </w:t>
      </w:r>
      <w:r w:rsidRPr="00042D60">
        <w:t>CS</w:t>
      </w:r>
      <w:r w:rsidRPr="009E064B">
        <w:t>-</w:t>
      </w:r>
      <w:r w:rsidR="008E6E91" w:rsidRPr="009E064B">
        <w:t>HPT</w:t>
      </w:r>
      <w:r w:rsidRPr="009E064B">
        <w:t>-DSN)</w:t>
      </w:r>
    </w:p>
    <w:p w14:paraId="64EFF487" w14:textId="2949513C" w:rsidR="00FD48AA" w:rsidRPr="009E064B" w:rsidRDefault="001F74A1" w:rsidP="001F74A1">
      <w:pPr>
        <w:jc w:val="right"/>
      </w:pPr>
      <w:r>
        <w:rPr>
          <w:rFonts w:asciiTheme="minorHAnsi" w:hAnsiTheme="minorHAnsi" w:cstheme="minorHAnsi"/>
          <w:bCs/>
          <w:i/>
          <w:color w:val="1A171C"/>
          <w:sz w:val="16"/>
          <w:szCs w:val="20"/>
        </w:rPr>
        <w:t>Decyzja ED 2019/012/R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000" w:firstRow="0" w:lastRow="0" w:firstColumn="0" w:lastColumn="0" w:noHBand="0" w:noVBand="0"/>
      </w:tblPr>
      <w:tblGrid>
        <w:gridCol w:w="1441"/>
        <w:gridCol w:w="3903"/>
        <w:gridCol w:w="3896"/>
      </w:tblGrid>
      <w:tr w:rsidR="008E6E91" w:rsidRPr="009E064B" w14:paraId="72399D81" w14:textId="77777777" w:rsidTr="00652973">
        <w:trPr>
          <w:trHeight w:val="99"/>
        </w:trPr>
        <w:tc>
          <w:tcPr>
            <w:tcW w:w="78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85" w:type="dxa"/>
              <w:bottom w:w="85" w:type="dxa"/>
            </w:tcMar>
          </w:tcPr>
          <w:p w14:paraId="3B452097" w14:textId="77777777" w:rsidR="008E6E91" w:rsidRPr="009E064B" w:rsidRDefault="008E6E91" w:rsidP="008E6E91">
            <w:pPr>
              <w:spacing w:after="0"/>
              <w:jc w:val="center"/>
              <w:rPr>
                <w:rFonts w:asciiTheme="minorHAnsi" w:hAnsiTheme="minorHAnsi" w:cstheme="minorHAnsi"/>
                <w:b/>
                <w:color w:val="000000"/>
                <w:sz w:val="20"/>
                <w:szCs w:val="18"/>
              </w:rPr>
            </w:pPr>
            <w:r w:rsidRPr="009E064B">
              <w:rPr>
                <w:rFonts w:asciiTheme="minorHAnsi" w:hAnsiTheme="minorHAnsi" w:cstheme="minorHAnsi"/>
                <w:b/>
                <w:color w:val="000000"/>
                <w:sz w:val="20"/>
                <w:szCs w:val="18"/>
              </w:rPr>
              <w:t>Skrót</w:t>
            </w:r>
          </w:p>
        </w:tc>
        <w:tc>
          <w:tcPr>
            <w:tcW w:w="211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85" w:type="dxa"/>
              <w:bottom w:w="85" w:type="dxa"/>
            </w:tcMar>
          </w:tcPr>
          <w:p w14:paraId="66001A18" w14:textId="77777777" w:rsidR="008E6E91" w:rsidRPr="009E064B" w:rsidRDefault="008E6E91" w:rsidP="008E6E91">
            <w:pPr>
              <w:spacing w:after="0"/>
              <w:jc w:val="center"/>
              <w:rPr>
                <w:rFonts w:asciiTheme="minorHAnsi" w:hAnsiTheme="minorHAnsi" w:cstheme="minorHAnsi"/>
                <w:b/>
                <w:color w:val="000000"/>
                <w:sz w:val="20"/>
                <w:szCs w:val="18"/>
              </w:rPr>
            </w:pPr>
            <w:r w:rsidRPr="009E064B">
              <w:rPr>
                <w:rFonts w:asciiTheme="minorHAnsi" w:hAnsiTheme="minorHAnsi" w:cstheme="minorHAnsi"/>
                <w:b/>
                <w:color w:val="000000"/>
                <w:sz w:val="20"/>
                <w:szCs w:val="18"/>
              </w:rPr>
              <w:t>Nazwa w j. ang.</w:t>
            </w:r>
          </w:p>
        </w:tc>
        <w:tc>
          <w:tcPr>
            <w:tcW w:w="2108"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85" w:type="dxa"/>
              <w:bottom w:w="85" w:type="dxa"/>
            </w:tcMar>
          </w:tcPr>
          <w:p w14:paraId="2CF5F15F" w14:textId="77777777" w:rsidR="008E6E91" w:rsidRPr="009E064B" w:rsidRDefault="008E6E91" w:rsidP="008E6E91">
            <w:pPr>
              <w:spacing w:after="0"/>
              <w:jc w:val="center"/>
              <w:rPr>
                <w:rFonts w:asciiTheme="minorHAnsi" w:hAnsiTheme="minorHAnsi" w:cstheme="minorHAnsi"/>
                <w:b/>
                <w:color w:val="000000"/>
                <w:sz w:val="20"/>
                <w:szCs w:val="18"/>
              </w:rPr>
            </w:pPr>
            <w:r w:rsidRPr="009E064B">
              <w:rPr>
                <w:rFonts w:asciiTheme="minorHAnsi" w:hAnsiTheme="minorHAnsi" w:cstheme="minorHAnsi"/>
                <w:b/>
                <w:color w:val="000000"/>
                <w:sz w:val="20"/>
                <w:szCs w:val="18"/>
              </w:rPr>
              <w:t>Nazwa w j. pol.</w:t>
            </w:r>
          </w:p>
        </w:tc>
      </w:tr>
      <w:tr w:rsidR="008E6E91" w:rsidRPr="009E064B" w14:paraId="6EB24453" w14:textId="79F72B2A" w:rsidTr="00652973">
        <w:trPr>
          <w:trHeight w:val="99"/>
        </w:trPr>
        <w:tc>
          <w:tcPr>
            <w:tcW w:w="780" w:type="pct"/>
            <w:tcMar>
              <w:top w:w="57" w:type="dxa"/>
              <w:bottom w:w="57" w:type="dxa"/>
            </w:tcMar>
            <w:vAlign w:val="center"/>
          </w:tcPr>
          <w:p w14:paraId="2C32086F"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ASPSL </w:t>
            </w:r>
          </w:p>
        </w:tc>
        <w:tc>
          <w:tcPr>
            <w:tcW w:w="2112" w:type="pct"/>
            <w:tcMar>
              <w:top w:w="57" w:type="dxa"/>
              <w:bottom w:w="57" w:type="dxa"/>
            </w:tcMar>
            <w:vAlign w:val="center"/>
          </w:tcPr>
          <w:p w14:paraId="167A58ED" w14:textId="063E6D4D"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Arrays of segmented point source lighting </w:t>
            </w:r>
          </w:p>
        </w:tc>
        <w:tc>
          <w:tcPr>
            <w:tcW w:w="2108" w:type="pct"/>
            <w:shd w:val="clear" w:color="auto" w:fill="auto"/>
            <w:tcMar>
              <w:top w:w="57" w:type="dxa"/>
              <w:bottom w:w="57" w:type="dxa"/>
            </w:tcMar>
            <w:vAlign w:val="center"/>
          </w:tcPr>
          <w:p w14:paraId="1A3FDB54" w14:textId="165C89A6"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Wskaźniki </w:t>
            </w:r>
            <w:r w:rsidR="00D2204C" w:rsidRPr="009E064B">
              <w:rPr>
                <w:rFonts w:asciiTheme="minorHAnsi" w:hAnsiTheme="minorHAnsi" w:cstheme="minorHAnsi"/>
                <w:color w:val="000000"/>
                <w:sz w:val="18"/>
                <w:szCs w:val="18"/>
              </w:rPr>
              <w:t>segmentowego punktu źródła światła</w:t>
            </w:r>
          </w:p>
        </w:tc>
      </w:tr>
      <w:tr w:rsidR="008E6E91" w:rsidRPr="009E064B" w14:paraId="6091A982" w14:textId="1ECDDCBD" w:rsidTr="00652973">
        <w:trPr>
          <w:trHeight w:val="99"/>
        </w:trPr>
        <w:tc>
          <w:tcPr>
            <w:tcW w:w="780" w:type="pct"/>
            <w:tcMar>
              <w:top w:w="57" w:type="dxa"/>
              <w:bottom w:w="57" w:type="dxa"/>
            </w:tcMar>
            <w:vAlign w:val="center"/>
          </w:tcPr>
          <w:p w14:paraId="47F42840"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APAPI </w:t>
            </w:r>
          </w:p>
        </w:tc>
        <w:tc>
          <w:tcPr>
            <w:tcW w:w="2112" w:type="pct"/>
            <w:tcMar>
              <w:top w:w="57" w:type="dxa"/>
              <w:bottom w:w="57" w:type="dxa"/>
            </w:tcMar>
            <w:vAlign w:val="center"/>
          </w:tcPr>
          <w:p w14:paraId="7CB90214" w14:textId="5A322592"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Abbreviated precision approach path indicator </w:t>
            </w:r>
          </w:p>
        </w:tc>
        <w:tc>
          <w:tcPr>
            <w:tcW w:w="2108" w:type="pct"/>
            <w:shd w:val="clear" w:color="auto" w:fill="auto"/>
            <w:tcMar>
              <w:top w:w="57" w:type="dxa"/>
              <w:bottom w:w="57" w:type="dxa"/>
            </w:tcMar>
            <w:vAlign w:val="center"/>
          </w:tcPr>
          <w:p w14:paraId="5A9A137A" w14:textId="262457A7"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Skrócony wskaźnik ścieżki podejścia precyzyjnego</w:t>
            </w:r>
          </w:p>
        </w:tc>
      </w:tr>
      <w:tr w:rsidR="008E6E91" w:rsidRPr="009E064B" w14:paraId="2DE1B38A" w14:textId="63EA20D6" w:rsidTr="00652973">
        <w:trPr>
          <w:trHeight w:val="99"/>
        </w:trPr>
        <w:tc>
          <w:tcPr>
            <w:tcW w:w="780" w:type="pct"/>
            <w:tcMar>
              <w:top w:w="57" w:type="dxa"/>
              <w:bottom w:w="57" w:type="dxa"/>
            </w:tcMar>
            <w:vAlign w:val="center"/>
          </w:tcPr>
          <w:p w14:paraId="4F20BDF6" w14:textId="77777777" w:rsidR="008E6E91" w:rsidRPr="009E064B" w:rsidRDefault="008E6E91" w:rsidP="008E6E91">
            <w:pPr>
              <w:spacing w:after="0"/>
              <w:rPr>
                <w:rFonts w:asciiTheme="minorHAnsi" w:hAnsiTheme="minorHAnsi" w:cstheme="minorHAnsi"/>
                <w:color w:val="000000"/>
                <w:sz w:val="18"/>
                <w:szCs w:val="18"/>
              </w:rPr>
            </w:pPr>
            <w:r w:rsidRPr="00042D60">
              <w:rPr>
                <w:rFonts w:asciiTheme="minorHAnsi" w:hAnsiTheme="minorHAnsi" w:cstheme="minorHAnsi"/>
                <w:color w:val="000000"/>
                <w:sz w:val="18"/>
                <w:szCs w:val="18"/>
              </w:rPr>
              <w:t>CS</w:t>
            </w:r>
            <w:r w:rsidRPr="009E064B">
              <w:rPr>
                <w:rFonts w:asciiTheme="minorHAnsi" w:hAnsiTheme="minorHAnsi" w:cstheme="minorHAnsi"/>
                <w:color w:val="000000"/>
                <w:sz w:val="18"/>
                <w:szCs w:val="18"/>
              </w:rPr>
              <w:t xml:space="preserve">-ADR-DSN </w:t>
            </w:r>
          </w:p>
        </w:tc>
        <w:tc>
          <w:tcPr>
            <w:tcW w:w="2112" w:type="pct"/>
            <w:tcMar>
              <w:top w:w="57" w:type="dxa"/>
              <w:bottom w:w="57" w:type="dxa"/>
            </w:tcMar>
            <w:vAlign w:val="center"/>
          </w:tcPr>
          <w:p w14:paraId="36246920" w14:textId="140BFAE4"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Certification specifications for aerodromes design </w:t>
            </w:r>
          </w:p>
        </w:tc>
        <w:tc>
          <w:tcPr>
            <w:tcW w:w="2108" w:type="pct"/>
            <w:shd w:val="clear" w:color="auto" w:fill="auto"/>
            <w:tcMar>
              <w:top w:w="57" w:type="dxa"/>
              <w:bottom w:w="57" w:type="dxa"/>
            </w:tcMar>
            <w:vAlign w:val="center"/>
          </w:tcPr>
          <w:p w14:paraId="27FA92B4" w14:textId="443F9A6B"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Specyfikacje certyfikacyjne do projektowania lotnisk</w:t>
            </w:r>
          </w:p>
        </w:tc>
      </w:tr>
      <w:tr w:rsidR="008E6E91" w:rsidRPr="009E064B" w14:paraId="24A049E1" w14:textId="52DAB884" w:rsidTr="00652973">
        <w:trPr>
          <w:trHeight w:val="99"/>
        </w:trPr>
        <w:tc>
          <w:tcPr>
            <w:tcW w:w="780" w:type="pct"/>
            <w:tcMar>
              <w:top w:w="57" w:type="dxa"/>
              <w:bottom w:w="57" w:type="dxa"/>
            </w:tcMar>
            <w:vAlign w:val="center"/>
          </w:tcPr>
          <w:p w14:paraId="46B1707A"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FATO </w:t>
            </w:r>
          </w:p>
        </w:tc>
        <w:tc>
          <w:tcPr>
            <w:tcW w:w="2112" w:type="pct"/>
            <w:tcMar>
              <w:top w:w="57" w:type="dxa"/>
              <w:bottom w:w="57" w:type="dxa"/>
            </w:tcMar>
            <w:vAlign w:val="center"/>
          </w:tcPr>
          <w:p w14:paraId="2034CCC4" w14:textId="0C0F265F"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Final approach and take-off area </w:t>
            </w:r>
          </w:p>
        </w:tc>
        <w:tc>
          <w:tcPr>
            <w:tcW w:w="2108" w:type="pct"/>
            <w:shd w:val="clear" w:color="auto" w:fill="auto"/>
            <w:tcMar>
              <w:top w:w="57" w:type="dxa"/>
              <w:bottom w:w="57" w:type="dxa"/>
            </w:tcMar>
            <w:vAlign w:val="center"/>
          </w:tcPr>
          <w:p w14:paraId="2BE5717A" w14:textId="30C8454A"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Strefa podejścia końcowego i startu</w:t>
            </w:r>
          </w:p>
        </w:tc>
      </w:tr>
      <w:tr w:rsidR="008E6E91" w:rsidRPr="009E064B" w14:paraId="769A33F0" w14:textId="1C3F20C7" w:rsidTr="00652973">
        <w:trPr>
          <w:trHeight w:val="99"/>
        </w:trPr>
        <w:tc>
          <w:tcPr>
            <w:tcW w:w="780" w:type="pct"/>
            <w:tcMar>
              <w:top w:w="57" w:type="dxa"/>
              <w:bottom w:w="57" w:type="dxa"/>
            </w:tcMar>
            <w:vAlign w:val="center"/>
          </w:tcPr>
          <w:p w14:paraId="732A1E36"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HAPI </w:t>
            </w:r>
          </w:p>
        </w:tc>
        <w:tc>
          <w:tcPr>
            <w:tcW w:w="2112" w:type="pct"/>
            <w:tcMar>
              <w:top w:w="57" w:type="dxa"/>
              <w:bottom w:w="57" w:type="dxa"/>
            </w:tcMar>
            <w:vAlign w:val="center"/>
          </w:tcPr>
          <w:p w14:paraId="31D5EAB7" w14:textId="763FCF5F"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Helicopter approach path indicator </w:t>
            </w:r>
          </w:p>
        </w:tc>
        <w:tc>
          <w:tcPr>
            <w:tcW w:w="2108" w:type="pct"/>
            <w:shd w:val="clear" w:color="auto" w:fill="auto"/>
            <w:tcMar>
              <w:top w:w="57" w:type="dxa"/>
              <w:bottom w:w="57" w:type="dxa"/>
            </w:tcMar>
            <w:vAlign w:val="center"/>
          </w:tcPr>
          <w:p w14:paraId="3CD92266" w14:textId="1F9F1670"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Wskaźnik ścieżki podejścia śmigłowca</w:t>
            </w:r>
          </w:p>
        </w:tc>
      </w:tr>
      <w:tr w:rsidR="008E6E91" w:rsidRPr="009E064B" w14:paraId="22373DCB" w14:textId="71096E0E" w:rsidTr="00652973">
        <w:trPr>
          <w:trHeight w:val="99"/>
        </w:trPr>
        <w:tc>
          <w:tcPr>
            <w:tcW w:w="780" w:type="pct"/>
            <w:tcMar>
              <w:top w:w="57" w:type="dxa"/>
              <w:bottom w:w="57" w:type="dxa"/>
            </w:tcMar>
            <w:vAlign w:val="center"/>
          </w:tcPr>
          <w:p w14:paraId="14C766A4"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HFM </w:t>
            </w:r>
          </w:p>
        </w:tc>
        <w:tc>
          <w:tcPr>
            <w:tcW w:w="2112" w:type="pct"/>
            <w:tcMar>
              <w:top w:w="57" w:type="dxa"/>
              <w:bottom w:w="57" w:type="dxa"/>
            </w:tcMar>
            <w:vAlign w:val="center"/>
          </w:tcPr>
          <w:p w14:paraId="40B95D25" w14:textId="6043FADE"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Helicopter (aircraft) flight manual </w:t>
            </w:r>
          </w:p>
        </w:tc>
        <w:tc>
          <w:tcPr>
            <w:tcW w:w="2108" w:type="pct"/>
            <w:shd w:val="clear" w:color="auto" w:fill="auto"/>
            <w:tcMar>
              <w:top w:w="57" w:type="dxa"/>
              <w:bottom w:w="57" w:type="dxa"/>
            </w:tcMar>
            <w:vAlign w:val="center"/>
          </w:tcPr>
          <w:p w14:paraId="11D00879" w14:textId="0A230339"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Instrukcja użytkowania śmigłowca w locie</w:t>
            </w:r>
          </w:p>
        </w:tc>
      </w:tr>
      <w:tr w:rsidR="008E6E91" w:rsidRPr="009E064B" w14:paraId="4D763CFB" w14:textId="74E1C752" w:rsidTr="00652973">
        <w:trPr>
          <w:trHeight w:val="99"/>
        </w:trPr>
        <w:tc>
          <w:tcPr>
            <w:tcW w:w="780" w:type="pct"/>
            <w:tcMar>
              <w:top w:w="57" w:type="dxa"/>
              <w:bottom w:w="57" w:type="dxa"/>
            </w:tcMar>
            <w:vAlign w:val="center"/>
          </w:tcPr>
          <w:p w14:paraId="3C4A570F"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LDAH </w:t>
            </w:r>
          </w:p>
        </w:tc>
        <w:tc>
          <w:tcPr>
            <w:tcW w:w="2112" w:type="pct"/>
            <w:tcMar>
              <w:top w:w="57" w:type="dxa"/>
              <w:bottom w:w="57" w:type="dxa"/>
            </w:tcMar>
            <w:vAlign w:val="center"/>
          </w:tcPr>
          <w:p w14:paraId="0AFAAAC7" w14:textId="22A3EAC7"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Landing distance available (helicopters) </w:t>
            </w:r>
          </w:p>
        </w:tc>
        <w:tc>
          <w:tcPr>
            <w:tcW w:w="2108" w:type="pct"/>
            <w:shd w:val="clear" w:color="auto" w:fill="auto"/>
            <w:tcMar>
              <w:top w:w="57" w:type="dxa"/>
              <w:bottom w:w="57" w:type="dxa"/>
            </w:tcMar>
            <w:vAlign w:val="center"/>
          </w:tcPr>
          <w:p w14:paraId="14A88BEE" w14:textId="22DC52F5"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Rozporządzalna długość lądowania</w:t>
            </w:r>
          </w:p>
        </w:tc>
      </w:tr>
      <w:tr w:rsidR="008E6E91" w:rsidRPr="009E064B" w14:paraId="4A006D40" w14:textId="210CD5BF" w:rsidTr="00652973">
        <w:trPr>
          <w:trHeight w:val="99"/>
        </w:trPr>
        <w:tc>
          <w:tcPr>
            <w:tcW w:w="780" w:type="pct"/>
            <w:tcMar>
              <w:top w:w="57" w:type="dxa"/>
              <w:bottom w:w="57" w:type="dxa"/>
            </w:tcMar>
            <w:vAlign w:val="center"/>
          </w:tcPr>
          <w:p w14:paraId="4C0E34DC"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LP </w:t>
            </w:r>
          </w:p>
        </w:tc>
        <w:tc>
          <w:tcPr>
            <w:tcW w:w="2112" w:type="pct"/>
            <w:tcMar>
              <w:top w:w="57" w:type="dxa"/>
              <w:bottom w:w="57" w:type="dxa"/>
            </w:tcMar>
            <w:vAlign w:val="center"/>
          </w:tcPr>
          <w:p w14:paraId="580EC74B" w14:textId="16F774EC"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Luminescent panel </w:t>
            </w:r>
          </w:p>
        </w:tc>
        <w:tc>
          <w:tcPr>
            <w:tcW w:w="2108" w:type="pct"/>
            <w:shd w:val="clear" w:color="auto" w:fill="auto"/>
            <w:tcMar>
              <w:top w:w="57" w:type="dxa"/>
              <w:bottom w:w="57" w:type="dxa"/>
            </w:tcMar>
            <w:vAlign w:val="center"/>
          </w:tcPr>
          <w:p w14:paraId="0470C147" w14:textId="0AD5FC02"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Panel świetlny</w:t>
            </w:r>
          </w:p>
        </w:tc>
      </w:tr>
      <w:tr w:rsidR="008E6E91" w:rsidRPr="009E064B" w14:paraId="605D043E" w14:textId="74B37FCE" w:rsidTr="00652973">
        <w:trPr>
          <w:trHeight w:val="99"/>
        </w:trPr>
        <w:tc>
          <w:tcPr>
            <w:tcW w:w="780" w:type="pct"/>
            <w:tcMar>
              <w:top w:w="57" w:type="dxa"/>
              <w:bottom w:w="57" w:type="dxa"/>
            </w:tcMar>
            <w:vAlign w:val="center"/>
          </w:tcPr>
          <w:p w14:paraId="0D6C0466"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MTOM </w:t>
            </w:r>
          </w:p>
        </w:tc>
        <w:tc>
          <w:tcPr>
            <w:tcW w:w="2112" w:type="pct"/>
            <w:tcMar>
              <w:top w:w="57" w:type="dxa"/>
              <w:bottom w:w="57" w:type="dxa"/>
            </w:tcMar>
            <w:vAlign w:val="center"/>
          </w:tcPr>
          <w:p w14:paraId="03F16FDC" w14:textId="628F0F55"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Maximum take-off mass </w:t>
            </w:r>
          </w:p>
        </w:tc>
        <w:tc>
          <w:tcPr>
            <w:tcW w:w="2108" w:type="pct"/>
            <w:shd w:val="clear" w:color="auto" w:fill="auto"/>
            <w:tcMar>
              <w:top w:w="57" w:type="dxa"/>
              <w:bottom w:w="57" w:type="dxa"/>
            </w:tcMar>
            <w:vAlign w:val="center"/>
          </w:tcPr>
          <w:p w14:paraId="253AF8D3" w14:textId="6099D901"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Maksymalna masa do startu</w:t>
            </w:r>
          </w:p>
        </w:tc>
      </w:tr>
      <w:tr w:rsidR="008E6E91" w:rsidRPr="009E064B" w14:paraId="5610537B" w14:textId="62687B36" w:rsidTr="00652973">
        <w:trPr>
          <w:trHeight w:val="99"/>
        </w:trPr>
        <w:tc>
          <w:tcPr>
            <w:tcW w:w="780" w:type="pct"/>
            <w:tcMar>
              <w:top w:w="57" w:type="dxa"/>
              <w:bottom w:w="57" w:type="dxa"/>
            </w:tcMar>
            <w:vAlign w:val="center"/>
          </w:tcPr>
          <w:p w14:paraId="6B7896A3"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PAPI </w:t>
            </w:r>
          </w:p>
        </w:tc>
        <w:tc>
          <w:tcPr>
            <w:tcW w:w="2112" w:type="pct"/>
            <w:tcMar>
              <w:top w:w="57" w:type="dxa"/>
              <w:bottom w:w="57" w:type="dxa"/>
            </w:tcMar>
            <w:vAlign w:val="center"/>
          </w:tcPr>
          <w:p w14:paraId="0C37DC6F" w14:textId="72233DBF"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Precision approach path indicator </w:t>
            </w:r>
          </w:p>
        </w:tc>
        <w:tc>
          <w:tcPr>
            <w:tcW w:w="2108" w:type="pct"/>
            <w:shd w:val="clear" w:color="auto" w:fill="auto"/>
            <w:tcMar>
              <w:top w:w="57" w:type="dxa"/>
              <w:bottom w:w="57" w:type="dxa"/>
            </w:tcMar>
            <w:vAlign w:val="center"/>
          </w:tcPr>
          <w:p w14:paraId="5D4BA82C" w14:textId="36460A17"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Wskaźnik ścieżki podejścia precyzyjnego</w:t>
            </w:r>
          </w:p>
        </w:tc>
      </w:tr>
      <w:tr w:rsidR="008E6E91" w:rsidRPr="009E064B" w14:paraId="1A379C76" w14:textId="3A7F8CDB" w:rsidTr="00652973">
        <w:trPr>
          <w:trHeight w:val="99"/>
        </w:trPr>
        <w:tc>
          <w:tcPr>
            <w:tcW w:w="780" w:type="pct"/>
            <w:tcMar>
              <w:top w:w="57" w:type="dxa"/>
              <w:bottom w:w="57" w:type="dxa"/>
            </w:tcMar>
            <w:vAlign w:val="center"/>
          </w:tcPr>
          <w:p w14:paraId="4B5F88A0"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RTODAH </w:t>
            </w:r>
          </w:p>
        </w:tc>
        <w:tc>
          <w:tcPr>
            <w:tcW w:w="2112" w:type="pct"/>
            <w:tcMar>
              <w:top w:w="57" w:type="dxa"/>
              <w:bottom w:w="57" w:type="dxa"/>
            </w:tcMar>
            <w:vAlign w:val="center"/>
          </w:tcPr>
          <w:p w14:paraId="2B092E07" w14:textId="4709AEA5"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Rejected take-off distance available (helicopters) </w:t>
            </w:r>
          </w:p>
        </w:tc>
        <w:tc>
          <w:tcPr>
            <w:tcW w:w="2108" w:type="pct"/>
            <w:shd w:val="clear" w:color="auto" w:fill="auto"/>
            <w:tcMar>
              <w:top w:w="57" w:type="dxa"/>
              <w:bottom w:w="57" w:type="dxa"/>
            </w:tcMar>
            <w:vAlign w:val="center"/>
          </w:tcPr>
          <w:p w14:paraId="4A4B847A" w14:textId="2500B652"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Rozporządzalna długość przerwanego startu</w:t>
            </w:r>
          </w:p>
        </w:tc>
      </w:tr>
      <w:tr w:rsidR="008E6E91" w:rsidRPr="009E064B" w14:paraId="4B8229B7" w14:textId="4E260AC5" w:rsidTr="00652973">
        <w:trPr>
          <w:trHeight w:val="99"/>
        </w:trPr>
        <w:tc>
          <w:tcPr>
            <w:tcW w:w="780" w:type="pct"/>
            <w:tcMar>
              <w:top w:w="57" w:type="dxa"/>
              <w:bottom w:w="57" w:type="dxa"/>
            </w:tcMar>
            <w:vAlign w:val="center"/>
          </w:tcPr>
          <w:p w14:paraId="627A0D24"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TLOF </w:t>
            </w:r>
          </w:p>
        </w:tc>
        <w:tc>
          <w:tcPr>
            <w:tcW w:w="2112" w:type="pct"/>
            <w:tcMar>
              <w:top w:w="57" w:type="dxa"/>
              <w:bottom w:w="57" w:type="dxa"/>
            </w:tcMar>
            <w:vAlign w:val="center"/>
          </w:tcPr>
          <w:p w14:paraId="7F5719B5" w14:textId="4B4DDCD6"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Touchdown and lift-off area </w:t>
            </w:r>
          </w:p>
        </w:tc>
        <w:tc>
          <w:tcPr>
            <w:tcW w:w="2108" w:type="pct"/>
            <w:shd w:val="clear" w:color="auto" w:fill="auto"/>
            <w:tcMar>
              <w:top w:w="57" w:type="dxa"/>
              <w:bottom w:w="57" w:type="dxa"/>
            </w:tcMar>
            <w:vAlign w:val="center"/>
          </w:tcPr>
          <w:p w14:paraId="2478083A" w14:textId="07358AEA"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Strefa przyziemienia i wznoszenia</w:t>
            </w:r>
          </w:p>
        </w:tc>
      </w:tr>
      <w:tr w:rsidR="008E6E91" w:rsidRPr="009E064B" w14:paraId="2A9617DD" w14:textId="2BE058B0" w:rsidTr="00652973">
        <w:trPr>
          <w:trHeight w:val="99"/>
        </w:trPr>
        <w:tc>
          <w:tcPr>
            <w:tcW w:w="780" w:type="pct"/>
            <w:tcMar>
              <w:top w:w="57" w:type="dxa"/>
              <w:bottom w:w="57" w:type="dxa"/>
            </w:tcMar>
            <w:vAlign w:val="center"/>
          </w:tcPr>
          <w:p w14:paraId="5B874026"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TODAH </w:t>
            </w:r>
          </w:p>
        </w:tc>
        <w:tc>
          <w:tcPr>
            <w:tcW w:w="2112" w:type="pct"/>
            <w:tcMar>
              <w:top w:w="57" w:type="dxa"/>
              <w:bottom w:w="57" w:type="dxa"/>
            </w:tcMar>
            <w:vAlign w:val="center"/>
          </w:tcPr>
          <w:p w14:paraId="6EB4D681" w14:textId="62BF3980" w:rsidR="008E6E91" w:rsidRPr="00932998" w:rsidRDefault="008E6E91" w:rsidP="00652973">
            <w:pPr>
              <w:spacing w:after="0"/>
              <w:jc w:val="left"/>
              <w:rPr>
                <w:rFonts w:asciiTheme="minorHAnsi" w:hAnsiTheme="minorHAnsi" w:cstheme="minorHAnsi"/>
                <w:color w:val="000000"/>
                <w:sz w:val="18"/>
                <w:szCs w:val="18"/>
                <w:lang w:val="en-GB"/>
              </w:rPr>
            </w:pPr>
            <w:r w:rsidRPr="00932998">
              <w:rPr>
                <w:rFonts w:asciiTheme="minorHAnsi" w:hAnsiTheme="minorHAnsi" w:cstheme="minorHAnsi"/>
                <w:color w:val="000000"/>
                <w:sz w:val="18"/>
                <w:szCs w:val="18"/>
                <w:lang w:val="en-GB"/>
              </w:rPr>
              <w:t xml:space="preserve">Take-off distance available (helicopters) </w:t>
            </w:r>
          </w:p>
        </w:tc>
        <w:tc>
          <w:tcPr>
            <w:tcW w:w="2108" w:type="pct"/>
            <w:shd w:val="clear" w:color="auto" w:fill="auto"/>
            <w:tcMar>
              <w:top w:w="57" w:type="dxa"/>
              <w:bottom w:w="57" w:type="dxa"/>
            </w:tcMar>
            <w:vAlign w:val="center"/>
          </w:tcPr>
          <w:p w14:paraId="58B71394" w14:textId="36498E11"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Rozporządzalna długość startu</w:t>
            </w:r>
          </w:p>
        </w:tc>
      </w:tr>
      <w:tr w:rsidR="008E6E91" w:rsidRPr="009E064B" w14:paraId="2E5E59CD" w14:textId="02770516" w:rsidTr="00652973">
        <w:trPr>
          <w:trHeight w:val="99"/>
        </w:trPr>
        <w:tc>
          <w:tcPr>
            <w:tcW w:w="780" w:type="pct"/>
            <w:tcMar>
              <w:top w:w="57" w:type="dxa"/>
              <w:bottom w:w="57" w:type="dxa"/>
            </w:tcMar>
            <w:vAlign w:val="center"/>
          </w:tcPr>
          <w:p w14:paraId="5B1E3CA5" w14:textId="77777777" w:rsidR="008E6E91" w:rsidRPr="009E064B" w:rsidRDefault="008E6E91" w:rsidP="008E6E91">
            <w:pPr>
              <w:spacing w:after="0"/>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UCW </w:t>
            </w:r>
          </w:p>
        </w:tc>
        <w:tc>
          <w:tcPr>
            <w:tcW w:w="2112" w:type="pct"/>
            <w:tcMar>
              <w:top w:w="57" w:type="dxa"/>
              <w:bottom w:w="57" w:type="dxa"/>
            </w:tcMar>
            <w:vAlign w:val="center"/>
          </w:tcPr>
          <w:p w14:paraId="32096B19" w14:textId="760E02C7" w:rsidR="008E6E91" w:rsidRPr="009E064B" w:rsidRDefault="008E6E91"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 xml:space="preserve">Undercarriage width </w:t>
            </w:r>
          </w:p>
        </w:tc>
        <w:tc>
          <w:tcPr>
            <w:tcW w:w="2108" w:type="pct"/>
            <w:shd w:val="clear" w:color="auto" w:fill="auto"/>
            <w:tcMar>
              <w:top w:w="57" w:type="dxa"/>
              <w:bottom w:w="57" w:type="dxa"/>
            </w:tcMar>
            <w:vAlign w:val="center"/>
          </w:tcPr>
          <w:p w14:paraId="2B0ADB2F" w14:textId="189F3448" w:rsidR="008E6E91" w:rsidRPr="009E064B" w:rsidRDefault="00FF1694" w:rsidP="00652973">
            <w:pPr>
              <w:spacing w:after="0"/>
              <w:jc w:val="left"/>
              <w:rPr>
                <w:rFonts w:asciiTheme="minorHAnsi" w:hAnsiTheme="minorHAnsi" w:cstheme="minorHAnsi"/>
                <w:color w:val="000000"/>
                <w:sz w:val="18"/>
                <w:szCs w:val="18"/>
              </w:rPr>
            </w:pPr>
            <w:r w:rsidRPr="009E064B">
              <w:rPr>
                <w:rFonts w:asciiTheme="minorHAnsi" w:hAnsiTheme="minorHAnsi" w:cstheme="minorHAnsi"/>
                <w:color w:val="000000"/>
                <w:sz w:val="18"/>
                <w:szCs w:val="18"/>
              </w:rPr>
              <w:t>Szerokość podwozia</w:t>
            </w:r>
          </w:p>
        </w:tc>
      </w:tr>
    </w:tbl>
    <w:p w14:paraId="649C955C" w14:textId="4900E649" w:rsidR="00AC725F" w:rsidRPr="009E064B" w:rsidRDefault="00AC725F" w:rsidP="00B06A9A"/>
    <w:p w14:paraId="428F5955" w14:textId="77777777" w:rsidR="00D2204C" w:rsidRPr="009E064B" w:rsidRDefault="00D2204C" w:rsidP="00B06A9A"/>
    <w:p w14:paraId="744A1413" w14:textId="77777777" w:rsidR="00AC725F" w:rsidRPr="009E064B" w:rsidRDefault="00AC725F" w:rsidP="00B06A9A">
      <w:pPr>
        <w:sectPr w:rsidR="00AC725F" w:rsidRPr="009E064B" w:rsidSect="00E300A0">
          <w:headerReference w:type="first" r:id="rId302"/>
          <w:footerReference w:type="first" r:id="rId303"/>
          <w:pgSz w:w="11906" w:h="16840" w:code="9"/>
          <w:pgMar w:top="1701" w:right="1418" w:bottom="1418" w:left="1418" w:header="567" w:footer="454" w:gutter="0"/>
          <w:cols w:space="708"/>
          <w:titlePg/>
        </w:sectPr>
      </w:pPr>
    </w:p>
    <w:p w14:paraId="6F70530F" w14:textId="2B5E1156" w:rsidR="00AC725F" w:rsidRPr="009E064B" w:rsidRDefault="00AC725F" w:rsidP="00B06A9A"/>
    <w:p w14:paraId="40BAD95A" w14:textId="77777777" w:rsidR="0058485A" w:rsidRPr="009E064B" w:rsidRDefault="0058485A" w:rsidP="0058485A">
      <w:pPr>
        <w:pStyle w:val="Nagwek2"/>
      </w:pPr>
      <w:bookmarkStart w:id="1884" w:name="_Toc12533336"/>
      <w:r w:rsidRPr="009E064B">
        <w:t>ROZDZIAŁ A — WYMAGANIA OGÓLNE</w:t>
      </w:r>
      <w:bookmarkEnd w:id="1884"/>
    </w:p>
    <w:p w14:paraId="5B312730" w14:textId="77777777" w:rsidR="0058485A" w:rsidRPr="009E064B" w:rsidRDefault="0058485A" w:rsidP="0058485A"/>
    <w:p w14:paraId="07B93FF2" w14:textId="19B73381" w:rsidR="0058485A" w:rsidRPr="009E064B" w:rsidRDefault="0058485A" w:rsidP="0058485A">
      <w:pPr>
        <w:pStyle w:val="Nagwek4"/>
        <w:rPr>
          <w:color w:val="auto"/>
        </w:rPr>
      </w:pPr>
      <w:bookmarkStart w:id="1885" w:name="_Toc12533337"/>
      <w:r w:rsidRPr="00042D60">
        <w:rPr>
          <w:color w:val="auto"/>
        </w:rPr>
        <w:t>CS</w:t>
      </w:r>
      <w:r w:rsidRPr="009E064B">
        <w:rPr>
          <w:color w:val="auto"/>
        </w:rPr>
        <w:t xml:space="preserve"> HPT-DSN.A.010     Zastosowanie</w:t>
      </w:r>
      <w:bookmarkEnd w:id="1885"/>
    </w:p>
    <w:p w14:paraId="68D6E2C8" w14:textId="1CDF957C" w:rsidR="0058485A" w:rsidRPr="009E064B" w:rsidRDefault="001F74A1" w:rsidP="0058485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FC30FC6" w14:textId="36642C0C" w:rsidR="0058485A" w:rsidRPr="00FF1694" w:rsidRDefault="0058485A" w:rsidP="0058485A">
      <w:pPr>
        <w:tabs>
          <w:tab w:val="left" w:pos="567"/>
        </w:tabs>
        <w:autoSpaceDE w:val="0"/>
        <w:autoSpaceDN w:val="0"/>
        <w:adjustRightInd w:val="0"/>
        <w:ind w:left="567" w:hanging="567"/>
        <w:rPr>
          <w:rFonts w:cs="TimesNewRomanPS-BoldItalicMT"/>
          <w:bCs/>
          <w:iCs/>
          <w:szCs w:val="20"/>
        </w:rPr>
      </w:pPr>
      <w:r w:rsidRPr="00FF1694">
        <w:rPr>
          <w:rFonts w:cs="TimesNewRomanPS-BoldItalicMT"/>
          <w:bCs/>
          <w:iCs/>
          <w:szCs w:val="20"/>
        </w:rPr>
        <w:t>(a)</w:t>
      </w:r>
      <w:r w:rsidRPr="00FF1694">
        <w:rPr>
          <w:rFonts w:cs="TimesNewRomanPS-BoldItalicMT"/>
          <w:bCs/>
          <w:iCs/>
          <w:szCs w:val="20"/>
        </w:rPr>
        <w:tab/>
        <w:t>Specyfikacje certyfikacyjne (</w:t>
      </w:r>
      <w:r w:rsidRPr="00042D60">
        <w:rPr>
          <w:rFonts w:cs="TimesNewRomanPS-BoldItalicMT"/>
          <w:bCs/>
          <w:iCs/>
          <w:szCs w:val="20"/>
        </w:rPr>
        <w:t>CS</w:t>
      </w:r>
      <w:r w:rsidRPr="00FF1694">
        <w:rPr>
          <w:rFonts w:cs="TimesNewRomanPS-BoldItalicMT"/>
          <w:bCs/>
          <w:iCs/>
          <w:szCs w:val="20"/>
        </w:rPr>
        <w:t>) oraz związane z nimi materiały zawierające wytyczne (GM) mają zastosowanie do projektowania naziemnych lotnisk</w:t>
      </w:r>
      <w:r w:rsidR="00FF1694" w:rsidRPr="00FF1694">
        <w:rPr>
          <w:rFonts w:cs="TimesNewRomanPS-BoldItalicMT"/>
          <w:bCs/>
          <w:iCs/>
          <w:szCs w:val="20"/>
        </w:rPr>
        <w:t xml:space="preserve"> VFR</w:t>
      </w:r>
      <w:r w:rsidRPr="00FF1694">
        <w:rPr>
          <w:rFonts w:cs="TimesNewRomanPS-BoldItalicMT"/>
          <w:bCs/>
          <w:iCs/>
          <w:szCs w:val="20"/>
        </w:rPr>
        <w:t xml:space="preserve"> dla śmigłowców</w:t>
      </w:r>
      <w:r w:rsidR="00FF1694" w:rsidRPr="00FF1694">
        <w:rPr>
          <w:rFonts w:cs="TimesNewRomanPS-BoldItalicMT"/>
          <w:bCs/>
          <w:iCs/>
          <w:szCs w:val="20"/>
        </w:rPr>
        <w:t>,</w:t>
      </w:r>
      <w:r w:rsidRPr="00FF1694">
        <w:rPr>
          <w:rFonts w:cs="TimesNewRomanPS-BoldItalicMT"/>
          <w:bCs/>
          <w:iCs/>
          <w:szCs w:val="20"/>
        </w:rPr>
        <w:t xml:space="preserve"> lub ich części znajdujących się na lotniskach (dla samolotów) podlegających wymaganiom Rozporządzenia (UE) 2018/1139.</w:t>
      </w:r>
    </w:p>
    <w:p w14:paraId="7CB570B2" w14:textId="50AAC0FF" w:rsidR="0058485A" w:rsidRPr="00FF1694" w:rsidRDefault="00356139" w:rsidP="0058485A">
      <w:pPr>
        <w:tabs>
          <w:tab w:val="left" w:pos="567"/>
        </w:tabs>
        <w:autoSpaceDE w:val="0"/>
        <w:autoSpaceDN w:val="0"/>
        <w:adjustRightInd w:val="0"/>
        <w:ind w:left="567" w:hanging="567"/>
        <w:rPr>
          <w:rFonts w:cs="TimesNewRomanPS-BoldItalicMT"/>
          <w:bCs/>
          <w:iCs/>
          <w:szCs w:val="20"/>
        </w:rPr>
      </w:pPr>
      <w:r w:rsidRPr="00FF1694">
        <w:rPr>
          <w:rFonts w:cs="TimesNewRomanPS-BoldItalicMT"/>
          <w:bCs/>
          <w:iCs/>
          <w:szCs w:val="20"/>
        </w:rPr>
        <w:t xml:space="preserve">(b) </w:t>
      </w:r>
      <w:r w:rsidRPr="00FF1694">
        <w:rPr>
          <w:rFonts w:cs="TimesNewRomanPS-BoldItalicMT"/>
          <w:bCs/>
          <w:iCs/>
          <w:szCs w:val="20"/>
        </w:rPr>
        <w:tab/>
        <w:t xml:space="preserve">W stosownych przypadkach, </w:t>
      </w:r>
      <w:r w:rsidRPr="00042D60">
        <w:rPr>
          <w:rFonts w:cs="TimesNewRomanPS-BoldItalicMT"/>
          <w:bCs/>
          <w:iCs/>
          <w:szCs w:val="20"/>
        </w:rPr>
        <w:t>CS</w:t>
      </w:r>
      <w:r w:rsidRPr="00FF1694">
        <w:rPr>
          <w:rFonts w:cs="TimesNewRomanPS-BoldItalicMT"/>
          <w:bCs/>
          <w:iCs/>
          <w:szCs w:val="20"/>
        </w:rPr>
        <w:t xml:space="preserve"> i GM dla projektowania lotnisk dla samolotów (</w:t>
      </w:r>
      <w:r w:rsidRPr="00042D60">
        <w:rPr>
          <w:rFonts w:cs="TimesNewRomanPS-BoldItalicMT"/>
          <w:bCs/>
          <w:iCs/>
          <w:szCs w:val="20"/>
        </w:rPr>
        <w:t>CS</w:t>
      </w:r>
      <w:r w:rsidRPr="00FF1694">
        <w:rPr>
          <w:rFonts w:cs="TimesNewRomanPS-BoldItalicMT"/>
          <w:bCs/>
          <w:iCs/>
          <w:szCs w:val="20"/>
        </w:rPr>
        <w:t>-ADR-DSN) mają zastosowanie do obszarów i infrastruktury lotniska dla śmigłowców.</w:t>
      </w:r>
    </w:p>
    <w:p w14:paraId="70B3026F" w14:textId="4E5D5FF7" w:rsidR="00356139" w:rsidRPr="00FF1694" w:rsidRDefault="00356139" w:rsidP="00356139">
      <w:pPr>
        <w:tabs>
          <w:tab w:val="left" w:pos="567"/>
        </w:tabs>
        <w:autoSpaceDE w:val="0"/>
        <w:autoSpaceDN w:val="0"/>
        <w:adjustRightInd w:val="0"/>
        <w:ind w:left="567" w:hanging="567"/>
        <w:rPr>
          <w:rFonts w:cs="TimesNewRomanPS-BoldItalicMT"/>
          <w:bCs/>
          <w:iCs/>
          <w:szCs w:val="20"/>
        </w:rPr>
      </w:pPr>
      <w:r w:rsidRPr="00FF1694">
        <w:rPr>
          <w:rFonts w:cs="TimesNewRomanPS-BoldItalicMT"/>
          <w:bCs/>
          <w:iCs/>
          <w:szCs w:val="20"/>
        </w:rPr>
        <w:t xml:space="preserve">(c) </w:t>
      </w:r>
      <w:r w:rsidRPr="00FF1694">
        <w:rPr>
          <w:rFonts w:cs="TimesNewRomanPS-BoldItalicMT"/>
          <w:bCs/>
          <w:iCs/>
          <w:szCs w:val="20"/>
        </w:rPr>
        <w:tab/>
      </w:r>
      <w:r w:rsidR="00FF1694" w:rsidRPr="00FF1694">
        <w:rPr>
          <w:rFonts w:cs="TimesNewRomanPS-BoldItalicMT"/>
          <w:bCs/>
          <w:iCs/>
          <w:szCs w:val="20"/>
        </w:rPr>
        <w:t>Jeśli</w:t>
      </w:r>
      <w:r w:rsidRPr="00FF1694">
        <w:rPr>
          <w:rFonts w:cs="TimesNewRomanPS-BoldItalicMT"/>
          <w:bCs/>
          <w:iCs/>
          <w:szCs w:val="20"/>
        </w:rPr>
        <w:t xml:space="preserve"> nie określono inaczej, wymagania dotyczące koloru, o którym mowa w </w:t>
      </w:r>
      <w:r w:rsidRPr="00042D60">
        <w:rPr>
          <w:rFonts w:cs="TimesNewRomanPS-BoldItalicMT"/>
          <w:bCs/>
          <w:iCs/>
          <w:szCs w:val="20"/>
        </w:rPr>
        <w:t>CS</w:t>
      </w:r>
      <w:r w:rsidRPr="00FF1694">
        <w:rPr>
          <w:rFonts w:cs="TimesNewRomanPS-BoldItalicMT"/>
          <w:bCs/>
          <w:iCs/>
          <w:szCs w:val="20"/>
        </w:rPr>
        <w:t>-HPT-DSN powinny być zawart</w:t>
      </w:r>
      <w:r w:rsidR="00FF1694" w:rsidRPr="00FF1694">
        <w:rPr>
          <w:rFonts w:cs="TimesNewRomanPS-BoldItalicMT"/>
          <w:bCs/>
          <w:iCs/>
          <w:szCs w:val="20"/>
        </w:rPr>
        <w:t>e</w:t>
      </w:r>
      <w:r w:rsidRPr="00FF1694">
        <w:rPr>
          <w:rFonts w:cs="TimesNewRomanPS-BoldItalicMT"/>
          <w:bCs/>
          <w:iCs/>
          <w:szCs w:val="20"/>
        </w:rPr>
        <w:t xml:space="preserve"> w </w:t>
      </w:r>
      <w:r w:rsidRPr="00042D60">
        <w:rPr>
          <w:rFonts w:cs="TimesNewRomanPS-BoldItalicMT"/>
          <w:bCs/>
          <w:iCs/>
          <w:szCs w:val="20"/>
        </w:rPr>
        <w:t>CS</w:t>
      </w:r>
      <w:r w:rsidRPr="00FF1694">
        <w:rPr>
          <w:rFonts w:cs="TimesNewRomanPS-BoldItalicMT"/>
          <w:bCs/>
          <w:iCs/>
          <w:szCs w:val="20"/>
        </w:rPr>
        <w:t>-ADR-DSN.</w:t>
      </w:r>
    </w:p>
    <w:p w14:paraId="692C2D24" w14:textId="44913DBB" w:rsidR="0058485A" w:rsidRPr="009E064B" w:rsidRDefault="0058485A" w:rsidP="00133B99">
      <w:pPr>
        <w:pStyle w:val="Nagwek6"/>
      </w:pPr>
      <w:bookmarkStart w:id="1886" w:name="_Toc12533338"/>
      <w:r w:rsidRPr="009E064B">
        <w:t>GM1 HPT-DSN.A.010     Zastosowanie</w:t>
      </w:r>
      <w:bookmarkEnd w:id="1886"/>
    </w:p>
    <w:p w14:paraId="5ECCB643" w14:textId="38D29F2B" w:rsidR="0058485A" w:rsidRPr="009E064B" w:rsidRDefault="001F74A1" w:rsidP="0058485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E3B65B7" w14:textId="25C053F7" w:rsidR="00356139" w:rsidRPr="00FF1694" w:rsidRDefault="00FF1694" w:rsidP="00C10C20">
      <w:pPr>
        <w:tabs>
          <w:tab w:val="left" w:pos="0"/>
        </w:tabs>
        <w:autoSpaceDE w:val="0"/>
        <w:autoSpaceDN w:val="0"/>
        <w:adjustRightInd w:val="0"/>
        <w:rPr>
          <w:rFonts w:cs="TimesNewRomanPS-BoldItalicMT"/>
          <w:bCs/>
          <w:iCs/>
          <w:szCs w:val="20"/>
        </w:rPr>
      </w:pPr>
      <w:r w:rsidRPr="00FF1694">
        <w:rPr>
          <w:rFonts w:cs="TimesNewRomanPS-BoldItalicMT"/>
          <w:bCs/>
          <w:iCs/>
          <w:szCs w:val="20"/>
        </w:rPr>
        <w:t xml:space="preserve">Specyfikacje certyfikacyjne </w:t>
      </w:r>
      <w:r w:rsidR="00C10C20" w:rsidRPr="00FF1694">
        <w:rPr>
          <w:rFonts w:cs="TimesNewRomanPS-BoldItalicMT"/>
          <w:bCs/>
          <w:iCs/>
          <w:szCs w:val="20"/>
        </w:rPr>
        <w:t>i związane z nimi GM mają zastosowanie do projektowania naziemnych lotnisk VFR dla śmigłowców, w tym do lotnisk dla śmigłowców, które nie są otwarte do użytku publicznego lub dla komercyjnego transportu lotniczego, które znajdują się na lotniskach podlegających wymaganiom Rozporządzenia (UE) 2018/1139.</w:t>
      </w:r>
    </w:p>
    <w:p w14:paraId="7947AD75" w14:textId="047A5064" w:rsidR="0058485A" w:rsidRPr="009E064B" w:rsidRDefault="00C10C20" w:rsidP="0058485A">
      <w:pPr>
        <w:pStyle w:val="Nagwek4"/>
        <w:rPr>
          <w:color w:val="auto"/>
        </w:rPr>
      </w:pPr>
      <w:bookmarkStart w:id="1887" w:name="_Toc12533339"/>
      <w:r w:rsidRPr="00042D60">
        <w:rPr>
          <w:color w:val="auto"/>
        </w:rPr>
        <w:t>CS</w:t>
      </w:r>
      <w:r w:rsidRPr="009E064B">
        <w:rPr>
          <w:color w:val="auto"/>
        </w:rPr>
        <w:t xml:space="preserve"> HPT</w:t>
      </w:r>
      <w:r w:rsidR="0058485A" w:rsidRPr="009E064B">
        <w:rPr>
          <w:color w:val="auto"/>
        </w:rPr>
        <w:t>-DSN.A.0</w:t>
      </w:r>
      <w:r w:rsidRPr="009E064B">
        <w:rPr>
          <w:color w:val="auto"/>
        </w:rPr>
        <w:t xml:space="preserve">20 </w:t>
      </w:r>
      <w:r w:rsidR="0058485A" w:rsidRPr="009E064B">
        <w:rPr>
          <w:color w:val="auto"/>
        </w:rPr>
        <w:t xml:space="preserve">    Definicje</w:t>
      </w:r>
      <w:bookmarkEnd w:id="1887"/>
    </w:p>
    <w:p w14:paraId="4DD65ABD" w14:textId="434AEC1D" w:rsidR="0058485A" w:rsidRPr="009E064B" w:rsidRDefault="001F74A1" w:rsidP="0058485A">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1E8C82B" w14:textId="51B62854" w:rsidR="00C10C20" w:rsidRPr="007244F9" w:rsidRDefault="00C10C20" w:rsidP="0058485A">
      <w:pPr>
        <w:autoSpaceDE w:val="0"/>
        <w:autoSpaceDN w:val="0"/>
        <w:adjustRightInd w:val="0"/>
        <w:ind w:left="142" w:hanging="142"/>
        <w:rPr>
          <w:rFonts w:eastAsia="Calibri" w:cs="TimesNewRomanPS-BoldItalicMT"/>
          <w:iCs/>
          <w:szCs w:val="20"/>
        </w:rPr>
      </w:pPr>
      <w:r w:rsidRPr="007244F9">
        <w:rPr>
          <w:rFonts w:eastAsia="Calibri" w:cs="TimesNewRomanPS-BoldItalicMT"/>
          <w:iCs/>
          <w:szCs w:val="20"/>
        </w:rPr>
        <w:t xml:space="preserve">Dla potrzeb </w:t>
      </w:r>
      <w:r w:rsidRPr="00042D60">
        <w:t>CS</w:t>
      </w:r>
      <w:r w:rsidRPr="007244F9">
        <w:t xml:space="preserve"> HPT-DSN, zastosowanie mają następujące definicje:</w:t>
      </w:r>
    </w:p>
    <w:p w14:paraId="16527BDF" w14:textId="224B76B3" w:rsidR="00C10C20" w:rsidRPr="00652973" w:rsidRDefault="00C10C20" w:rsidP="00C10C20">
      <w:pPr>
        <w:tabs>
          <w:tab w:val="left" w:pos="-1843"/>
        </w:tabs>
        <w:spacing w:before="240"/>
        <w:ind w:left="426" w:hanging="426"/>
        <w:rPr>
          <w:rStyle w:val="FontStyle221"/>
          <w:rFonts w:asciiTheme="minorHAnsi" w:hAnsiTheme="minorHAnsi" w:cstheme="minorHAnsi"/>
          <w:sz w:val="22"/>
        </w:rPr>
      </w:pPr>
      <w:r w:rsidRPr="00652973">
        <w:rPr>
          <w:rStyle w:val="FontStyle200"/>
          <w:rFonts w:asciiTheme="minorHAnsi" w:hAnsiTheme="minorHAnsi" w:cstheme="minorHAnsi"/>
          <w:i w:val="0"/>
          <w:sz w:val="22"/>
        </w:rPr>
        <w:t>D.</w:t>
      </w:r>
      <w:r w:rsidRPr="00652973">
        <w:rPr>
          <w:rStyle w:val="FontStyle200"/>
          <w:rFonts w:asciiTheme="minorHAnsi" w:hAnsiTheme="minorHAnsi" w:cstheme="minorHAnsi"/>
          <w:sz w:val="22"/>
        </w:rPr>
        <w:t xml:space="preserve"> </w:t>
      </w:r>
      <w:r w:rsidRPr="00652973">
        <w:rPr>
          <w:rStyle w:val="FontStyle219"/>
          <w:rFonts w:asciiTheme="minorHAnsi" w:hAnsiTheme="minorHAnsi" w:cstheme="minorHAnsi"/>
          <w:sz w:val="22"/>
        </w:rPr>
        <w:t xml:space="preserve">– </w:t>
      </w:r>
      <w:r w:rsidRPr="00652973">
        <w:rPr>
          <w:rStyle w:val="FontStyle219"/>
          <w:rFonts w:asciiTheme="minorHAnsi" w:hAnsiTheme="minorHAnsi" w:cstheme="minorHAnsi"/>
          <w:sz w:val="22"/>
        </w:rPr>
        <w:tab/>
      </w:r>
      <w:r w:rsidR="00D34E8A" w:rsidRPr="00652973">
        <w:rPr>
          <w:rStyle w:val="FontStyle221"/>
          <w:rFonts w:asciiTheme="minorHAnsi" w:hAnsiTheme="minorHAnsi" w:cstheme="minorHAnsi"/>
          <w:iCs/>
          <w:sz w:val="22"/>
        </w:rPr>
        <w:t xml:space="preserve">oznacza </w:t>
      </w:r>
      <w:r w:rsidRPr="00652973">
        <w:rPr>
          <w:rStyle w:val="FontStyle221"/>
          <w:rFonts w:asciiTheme="minorHAnsi" w:hAnsiTheme="minorHAnsi" w:cstheme="minorHAnsi"/>
          <w:sz w:val="22"/>
        </w:rPr>
        <w:t xml:space="preserve">największy całkowity wymiar śmigłowca w czasie obrotów wirnika(-ów), mierzony od najbardziej wysuniętej do przodu pozycji płaszczyzny wirowania końców łopat wirnika głównego do najbardziej </w:t>
      </w:r>
      <w:r w:rsidRPr="00652973">
        <w:rPr>
          <w:rFonts w:asciiTheme="minorHAnsi" w:hAnsiTheme="minorHAnsi" w:cstheme="minorHAnsi"/>
          <w:szCs w:val="20"/>
        </w:rPr>
        <w:t>wysuniętej</w:t>
      </w:r>
      <w:r w:rsidRPr="00652973">
        <w:rPr>
          <w:rStyle w:val="FontStyle221"/>
          <w:rFonts w:asciiTheme="minorHAnsi" w:hAnsiTheme="minorHAnsi" w:cstheme="minorHAnsi"/>
          <w:sz w:val="22"/>
        </w:rPr>
        <w:t xml:space="preserve"> do tyłu pozycji płaszczyzny wir</w:t>
      </w:r>
      <w:r w:rsidR="00C62047" w:rsidRPr="00652973">
        <w:rPr>
          <w:rStyle w:val="FontStyle221"/>
          <w:rFonts w:asciiTheme="minorHAnsi" w:hAnsiTheme="minorHAnsi" w:cstheme="minorHAnsi"/>
          <w:sz w:val="22"/>
        </w:rPr>
        <w:t>nika ogonowego lub konstrukcji śmigłowca</w:t>
      </w:r>
      <w:r w:rsidRPr="00652973">
        <w:rPr>
          <w:rStyle w:val="FontStyle221"/>
          <w:rFonts w:asciiTheme="minorHAnsi" w:hAnsiTheme="minorHAnsi" w:cstheme="minorHAnsi"/>
          <w:sz w:val="22"/>
        </w:rPr>
        <w:t>.</w:t>
      </w:r>
    </w:p>
    <w:p w14:paraId="19942897" w14:textId="0D8F783E" w:rsidR="00D34E8A" w:rsidRPr="009E064B" w:rsidRDefault="00D34E8A" w:rsidP="00D34E8A">
      <w:pPr>
        <w:tabs>
          <w:tab w:val="left" w:pos="-1843"/>
        </w:tabs>
        <w:spacing w:before="240"/>
        <w:ind w:left="851" w:hanging="426"/>
        <w:rPr>
          <w:rStyle w:val="FontStyle221"/>
          <w:rFonts w:asciiTheme="minorHAnsi" w:hAnsiTheme="minorHAnsi" w:cstheme="minorHAnsi"/>
          <w:sz w:val="22"/>
        </w:rPr>
      </w:pPr>
      <w:r w:rsidRPr="00652973">
        <w:rPr>
          <w:rStyle w:val="FontStyle200"/>
          <w:rFonts w:asciiTheme="minorHAnsi" w:hAnsiTheme="minorHAnsi" w:cstheme="minorHAnsi"/>
          <w:b w:val="0"/>
          <w:i w:val="0"/>
          <w:sz w:val="22"/>
        </w:rPr>
        <w:t>Uwaga:</w:t>
      </w:r>
      <w:r w:rsidRPr="00652973">
        <w:rPr>
          <w:rStyle w:val="FontStyle221"/>
          <w:rFonts w:asciiTheme="minorHAnsi" w:hAnsiTheme="minorHAnsi" w:cstheme="minorHAnsi"/>
          <w:sz w:val="22"/>
        </w:rPr>
        <w:t xml:space="preserve"> „D” jest czasami określane w tekście jak „wartość D”.</w:t>
      </w:r>
    </w:p>
    <w:p w14:paraId="41F01E66" w14:textId="3529FB02" w:rsidR="00C10C20" w:rsidRPr="009E064B" w:rsidRDefault="00C10C20" w:rsidP="00C10C20">
      <w:pPr>
        <w:tabs>
          <w:tab w:val="left" w:pos="-1843"/>
        </w:tabs>
        <w:spacing w:before="240"/>
        <w:ind w:left="284" w:hanging="284"/>
        <w:rPr>
          <w:rFonts w:asciiTheme="minorHAnsi" w:hAnsiTheme="minorHAnsi" w:cstheme="minorHAnsi"/>
          <w:i/>
          <w:szCs w:val="20"/>
        </w:rPr>
      </w:pPr>
      <w:r w:rsidRPr="009E064B">
        <w:rPr>
          <w:rFonts w:asciiTheme="minorHAnsi" w:hAnsiTheme="minorHAnsi" w:cstheme="minorHAnsi"/>
          <w:b/>
          <w:szCs w:val="20"/>
        </w:rPr>
        <w:t>Długości deklarowane lotnisk</w:t>
      </w:r>
      <w:r w:rsidR="00D34E8A" w:rsidRPr="009E064B">
        <w:rPr>
          <w:rFonts w:asciiTheme="minorHAnsi" w:hAnsiTheme="minorHAnsi" w:cstheme="minorHAnsi"/>
          <w:b/>
          <w:szCs w:val="20"/>
        </w:rPr>
        <w:t>a</w:t>
      </w:r>
      <w:r w:rsidRPr="009E064B">
        <w:rPr>
          <w:rFonts w:asciiTheme="minorHAnsi" w:hAnsiTheme="minorHAnsi" w:cstheme="minorHAnsi"/>
          <w:b/>
          <w:szCs w:val="20"/>
        </w:rPr>
        <w:t xml:space="preserve"> dla śmigłowców</w:t>
      </w:r>
      <w:r w:rsidRPr="009E064B">
        <w:rPr>
          <w:rFonts w:asciiTheme="minorHAnsi" w:hAnsiTheme="minorHAnsi" w:cstheme="minorHAnsi"/>
          <w:b/>
          <w:i/>
          <w:szCs w:val="20"/>
        </w:rPr>
        <w:t xml:space="preserve"> </w:t>
      </w:r>
      <w:r w:rsidRPr="009E064B">
        <w:rPr>
          <w:rFonts w:asciiTheme="minorHAnsi" w:hAnsiTheme="minorHAnsi" w:cstheme="minorHAnsi"/>
          <w:i/>
          <w:szCs w:val="20"/>
        </w:rPr>
        <w:t>(Declared distances heliports)</w:t>
      </w:r>
      <w:r w:rsidR="00746366" w:rsidRPr="009E064B">
        <w:rPr>
          <w:rFonts w:asciiTheme="minorHAnsi" w:hAnsiTheme="minorHAnsi" w:cstheme="minorHAnsi"/>
          <w:i/>
          <w:szCs w:val="20"/>
        </w:rPr>
        <w:t xml:space="preserve"> </w:t>
      </w:r>
      <w:r w:rsidR="00746366" w:rsidRPr="009E064B">
        <w:rPr>
          <w:rFonts w:asciiTheme="minorHAnsi" w:hAnsiTheme="minorHAnsi" w:cstheme="minorHAnsi"/>
          <w:szCs w:val="20"/>
        </w:rPr>
        <w:t>oznaczają:</w:t>
      </w:r>
    </w:p>
    <w:p w14:paraId="33CB0526" w14:textId="77777777" w:rsidR="00C10C20" w:rsidRPr="009E064B" w:rsidRDefault="00C10C20" w:rsidP="00C10C20">
      <w:pPr>
        <w:pStyle w:val="Bezodstpw1"/>
        <w:tabs>
          <w:tab w:val="left" w:pos="709"/>
        </w:tabs>
        <w:spacing w:before="120" w:after="0"/>
        <w:ind w:left="709" w:hanging="425"/>
        <w:jc w:val="both"/>
        <w:rPr>
          <w:rFonts w:asciiTheme="minorHAnsi" w:hAnsiTheme="minorHAnsi" w:cstheme="minorHAnsi"/>
          <w:szCs w:val="20"/>
        </w:rPr>
      </w:pPr>
      <w:r w:rsidRPr="009E064B">
        <w:rPr>
          <w:rFonts w:asciiTheme="minorHAnsi" w:hAnsiTheme="minorHAnsi" w:cstheme="minorHAnsi"/>
          <w:szCs w:val="20"/>
        </w:rPr>
        <w:t>a)</w:t>
      </w:r>
      <w:r w:rsidRPr="009E064B">
        <w:rPr>
          <w:rFonts w:asciiTheme="minorHAnsi" w:hAnsiTheme="minorHAnsi" w:cstheme="minorHAnsi"/>
          <w:b/>
          <w:szCs w:val="20"/>
        </w:rPr>
        <w:tab/>
        <w:t>Rozporządzalna długość startu</w:t>
      </w:r>
      <w:r w:rsidRPr="009E064B">
        <w:rPr>
          <w:rFonts w:asciiTheme="minorHAnsi" w:hAnsiTheme="minorHAnsi" w:cstheme="minorHAnsi"/>
          <w:i/>
          <w:szCs w:val="20"/>
        </w:rPr>
        <w:t xml:space="preserve"> </w:t>
      </w:r>
      <w:r w:rsidRPr="009E064B">
        <w:rPr>
          <w:rFonts w:asciiTheme="minorHAnsi" w:hAnsiTheme="minorHAnsi" w:cstheme="minorHAnsi"/>
          <w:b/>
          <w:szCs w:val="20"/>
        </w:rPr>
        <w:t>(dla śmigłowca)</w:t>
      </w:r>
      <w:r w:rsidRPr="009E064B">
        <w:rPr>
          <w:rFonts w:asciiTheme="minorHAnsi" w:hAnsiTheme="minorHAnsi" w:cstheme="minorHAnsi"/>
          <w:i/>
          <w:szCs w:val="20"/>
        </w:rPr>
        <w:t xml:space="preserve"> (</w:t>
      </w:r>
      <w:r w:rsidRPr="009E064B">
        <w:rPr>
          <w:rFonts w:asciiTheme="minorHAnsi" w:hAnsiTheme="minorHAnsi" w:cstheme="minorHAnsi"/>
          <w:i/>
          <w:iCs/>
          <w:szCs w:val="20"/>
        </w:rPr>
        <w:t xml:space="preserve">Take-off distance available </w:t>
      </w:r>
      <w:r w:rsidRPr="009E064B">
        <w:rPr>
          <w:rFonts w:asciiTheme="minorHAnsi" w:hAnsiTheme="minorHAnsi" w:cstheme="minorHAnsi"/>
          <w:i/>
          <w:szCs w:val="20"/>
        </w:rPr>
        <w:t xml:space="preserve">TODAH). </w:t>
      </w:r>
      <w:r w:rsidRPr="009E064B">
        <w:rPr>
          <w:rStyle w:val="FontStyle219"/>
          <w:rFonts w:asciiTheme="minorHAnsi" w:eastAsiaTheme="majorEastAsia" w:hAnsiTheme="minorHAnsi" w:cstheme="minorHAnsi"/>
          <w:sz w:val="22"/>
          <w:lang w:eastAsia="en-US"/>
        </w:rPr>
        <w:t xml:space="preserve">– </w:t>
      </w:r>
      <w:r w:rsidRPr="009E064B">
        <w:rPr>
          <w:rFonts w:asciiTheme="minorHAnsi" w:hAnsiTheme="minorHAnsi" w:cstheme="minorHAnsi"/>
          <w:szCs w:val="20"/>
        </w:rPr>
        <w:t>Długość strefy FATO plus zabezpieczenie wydłużonego startu (jeśli istnieje) dla śmigłowców, zadeklarowana jako dostępna i nadająca się do wykonania startu przez śmigłowce.</w:t>
      </w:r>
    </w:p>
    <w:p w14:paraId="0E915155" w14:textId="77777777" w:rsidR="00C10C20" w:rsidRPr="009E064B" w:rsidRDefault="00C10C20" w:rsidP="00C10C20">
      <w:pPr>
        <w:pStyle w:val="Bezodstpw1"/>
        <w:tabs>
          <w:tab w:val="left" w:pos="709"/>
        </w:tabs>
        <w:spacing w:before="120" w:after="0"/>
        <w:ind w:left="709" w:hanging="425"/>
        <w:jc w:val="both"/>
        <w:rPr>
          <w:rFonts w:asciiTheme="minorHAnsi" w:hAnsiTheme="minorHAnsi" w:cstheme="minorHAnsi"/>
          <w:szCs w:val="20"/>
        </w:rPr>
      </w:pPr>
      <w:r w:rsidRPr="009E064B">
        <w:rPr>
          <w:rFonts w:asciiTheme="minorHAnsi" w:hAnsiTheme="minorHAnsi" w:cstheme="minorHAnsi"/>
          <w:szCs w:val="20"/>
        </w:rPr>
        <w:t>b)</w:t>
      </w:r>
      <w:r w:rsidRPr="009E064B">
        <w:rPr>
          <w:rFonts w:asciiTheme="minorHAnsi" w:hAnsiTheme="minorHAnsi" w:cstheme="minorHAnsi"/>
          <w:b/>
          <w:i/>
          <w:szCs w:val="20"/>
        </w:rPr>
        <w:tab/>
      </w:r>
      <w:r w:rsidRPr="009E064B">
        <w:rPr>
          <w:rFonts w:asciiTheme="minorHAnsi" w:hAnsiTheme="minorHAnsi" w:cstheme="minorHAnsi"/>
          <w:b/>
          <w:szCs w:val="20"/>
        </w:rPr>
        <w:t>Rozporządzalna długość przerwanego startu</w:t>
      </w:r>
      <w:r w:rsidRPr="009E064B">
        <w:rPr>
          <w:rFonts w:asciiTheme="minorHAnsi" w:hAnsiTheme="minorHAnsi" w:cstheme="minorHAnsi"/>
          <w:i/>
          <w:szCs w:val="20"/>
        </w:rPr>
        <w:t xml:space="preserve"> </w:t>
      </w:r>
      <w:r w:rsidRPr="009E064B">
        <w:rPr>
          <w:rFonts w:asciiTheme="minorHAnsi" w:hAnsiTheme="minorHAnsi" w:cstheme="minorHAnsi"/>
          <w:b/>
          <w:szCs w:val="20"/>
        </w:rPr>
        <w:t>(dla śmigłowca</w:t>
      </w:r>
      <w:r w:rsidRPr="009E064B">
        <w:rPr>
          <w:rFonts w:asciiTheme="minorHAnsi" w:hAnsiTheme="minorHAnsi" w:cstheme="minorHAnsi"/>
          <w:i/>
          <w:szCs w:val="20"/>
        </w:rPr>
        <w:t xml:space="preserve">) (Rejected take-off distance available RTODAH). </w:t>
      </w:r>
      <w:r w:rsidRPr="009E064B">
        <w:rPr>
          <w:rStyle w:val="FontStyle219"/>
          <w:rFonts w:asciiTheme="minorHAnsi" w:eastAsiaTheme="majorEastAsia" w:hAnsiTheme="minorHAnsi" w:cstheme="minorHAnsi"/>
          <w:sz w:val="22"/>
          <w:lang w:eastAsia="en-US"/>
        </w:rPr>
        <w:t xml:space="preserve">– </w:t>
      </w:r>
      <w:r w:rsidRPr="009E064B">
        <w:rPr>
          <w:rFonts w:asciiTheme="minorHAnsi" w:hAnsiTheme="minorHAnsi" w:cstheme="minorHAnsi"/>
          <w:szCs w:val="20"/>
        </w:rPr>
        <w:t>długość strefy FATO zadeklarowana jako dostępna i nadająca się dla śmigłowców operujących w 1 klasie osiągów do wykonania przerwanego startu śmigłowca.</w:t>
      </w:r>
    </w:p>
    <w:p w14:paraId="77E9EB23" w14:textId="77777777" w:rsidR="00C10C20" w:rsidRPr="009E064B" w:rsidRDefault="00C10C20" w:rsidP="00C10C20">
      <w:pPr>
        <w:pStyle w:val="Bezodstpw1"/>
        <w:tabs>
          <w:tab w:val="left" w:pos="709"/>
        </w:tabs>
        <w:spacing w:before="120" w:after="0"/>
        <w:ind w:left="709" w:hanging="425"/>
        <w:jc w:val="both"/>
        <w:rPr>
          <w:rFonts w:asciiTheme="minorHAnsi" w:hAnsiTheme="minorHAnsi" w:cstheme="minorHAnsi"/>
          <w:szCs w:val="20"/>
        </w:rPr>
      </w:pPr>
      <w:r w:rsidRPr="009E064B">
        <w:rPr>
          <w:rFonts w:asciiTheme="minorHAnsi" w:hAnsiTheme="minorHAnsi" w:cstheme="minorHAnsi"/>
          <w:szCs w:val="20"/>
        </w:rPr>
        <w:t>c)</w:t>
      </w:r>
      <w:r w:rsidRPr="009E064B">
        <w:rPr>
          <w:rFonts w:asciiTheme="minorHAnsi" w:hAnsiTheme="minorHAnsi" w:cstheme="minorHAnsi"/>
          <w:b/>
          <w:i/>
          <w:szCs w:val="20"/>
        </w:rPr>
        <w:tab/>
      </w:r>
      <w:r w:rsidRPr="009E064B">
        <w:rPr>
          <w:rFonts w:asciiTheme="minorHAnsi" w:hAnsiTheme="minorHAnsi" w:cstheme="minorHAnsi"/>
          <w:b/>
          <w:szCs w:val="20"/>
        </w:rPr>
        <w:t>Rozporządzalna długość lądowania</w:t>
      </w:r>
      <w:r w:rsidRPr="009E064B">
        <w:rPr>
          <w:rFonts w:asciiTheme="minorHAnsi" w:hAnsiTheme="minorHAnsi" w:cstheme="minorHAnsi"/>
          <w:i/>
          <w:szCs w:val="20"/>
        </w:rPr>
        <w:t xml:space="preserve"> </w:t>
      </w:r>
      <w:r w:rsidRPr="009E064B">
        <w:rPr>
          <w:rFonts w:asciiTheme="minorHAnsi" w:hAnsiTheme="minorHAnsi" w:cstheme="minorHAnsi"/>
          <w:b/>
          <w:szCs w:val="20"/>
        </w:rPr>
        <w:t>(dla śmigłowca)</w:t>
      </w:r>
      <w:r w:rsidRPr="009E064B">
        <w:rPr>
          <w:rFonts w:asciiTheme="minorHAnsi" w:hAnsiTheme="minorHAnsi" w:cstheme="minorHAnsi"/>
          <w:i/>
          <w:szCs w:val="20"/>
        </w:rPr>
        <w:t xml:space="preserve"> (</w:t>
      </w:r>
      <w:r w:rsidRPr="009E064B">
        <w:rPr>
          <w:rFonts w:asciiTheme="minorHAnsi" w:hAnsiTheme="minorHAnsi" w:cstheme="minorHAnsi"/>
          <w:i/>
          <w:iCs/>
          <w:szCs w:val="20"/>
        </w:rPr>
        <w:t xml:space="preserve">Landing distance available </w:t>
      </w:r>
      <w:r w:rsidRPr="009E064B">
        <w:rPr>
          <w:rFonts w:asciiTheme="minorHAnsi" w:hAnsiTheme="minorHAnsi" w:cstheme="minorHAnsi"/>
          <w:i/>
          <w:szCs w:val="20"/>
        </w:rPr>
        <w:t xml:space="preserve">LDAH). </w:t>
      </w:r>
      <w:r w:rsidRPr="009E064B">
        <w:rPr>
          <w:rStyle w:val="FontStyle219"/>
          <w:rFonts w:asciiTheme="minorHAnsi" w:eastAsiaTheme="majorEastAsia" w:hAnsiTheme="minorHAnsi" w:cstheme="minorHAnsi"/>
          <w:sz w:val="22"/>
          <w:lang w:eastAsia="en-US"/>
        </w:rPr>
        <w:t xml:space="preserve">– </w:t>
      </w:r>
      <w:r w:rsidRPr="009E064B">
        <w:rPr>
          <w:rFonts w:asciiTheme="minorHAnsi" w:hAnsiTheme="minorHAnsi" w:cstheme="minorHAnsi"/>
          <w:szCs w:val="20"/>
        </w:rPr>
        <w:t>Długość strefy FATO plus długość dowolnego dodatkowego obszaru, zadeklarowanego jako odpowiednia dla śmigłowców do wykonania manewru lądowania z określonej wysokości.</w:t>
      </w:r>
    </w:p>
    <w:p w14:paraId="63EEA5EF"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Powierzchnia przenosząca obciążenia dynamiczne</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Dynamic load-bearing surface</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w:t>
      </w:r>
      <w:r w:rsidRPr="009E064B">
        <w:rPr>
          <w:rFonts w:asciiTheme="minorHAnsi" w:hAnsiTheme="minorHAnsi" w:cstheme="minorHAnsi"/>
          <w:szCs w:val="20"/>
        </w:rPr>
        <w:t xml:space="preserve"> Powierzchnia zdolna do przyjmowania obciążeń wygenerowanych przez śmigłowiec, który wykonuje na niej przyziemienie awaryjne.</w:t>
      </w:r>
    </w:p>
    <w:p w14:paraId="778E0B6D"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Strefa podejścia końcowego i startu</w:t>
      </w:r>
      <w:r w:rsidRPr="009E064B">
        <w:rPr>
          <w:rFonts w:asciiTheme="minorHAnsi" w:hAnsiTheme="minorHAnsi" w:cstheme="minorHAnsi"/>
          <w:b/>
          <w:i/>
          <w:szCs w:val="20"/>
        </w:rPr>
        <w:t xml:space="preserve"> </w:t>
      </w:r>
      <w:r w:rsidRPr="009E064B">
        <w:rPr>
          <w:rFonts w:asciiTheme="minorHAnsi" w:hAnsiTheme="minorHAnsi" w:cstheme="minorHAnsi"/>
          <w:b/>
          <w:szCs w:val="20"/>
        </w:rPr>
        <w:t>(FATO)</w:t>
      </w:r>
      <w:r w:rsidRPr="009E064B">
        <w:rPr>
          <w:rFonts w:asciiTheme="minorHAnsi" w:hAnsiTheme="minorHAnsi" w:cstheme="minorHAnsi"/>
          <w:szCs w:val="20"/>
        </w:rPr>
        <w:t xml:space="preserve"> (</w:t>
      </w:r>
      <w:r w:rsidRPr="009E064B">
        <w:rPr>
          <w:rFonts w:asciiTheme="minorHAnsi" w:hAnsiTheme="minorHAnsi" w:cstheme="minorHAnsi"/>
          <w:i/>
          <w:szCs w:val="20"/>
        </w:rPr>
        <w:t>Final approach and take - off area</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szCs w:val="20"/>
        </w:rPr>
        <w:t>Określony obszar, nad którym wykonywana jest ostatnia faza manewru podejścia do zawisu, lądowania lub z którego rozpoczynany jest manewr startu. Jeśli strefa FATO ma być wykorzystywana przez śmigłowce wykonujące loty w 1 klasie osiągów, to strefa ta obejmuje dostępną strefę przerwanego startu.</w:t>
      </w:r>
    </w:p>
    <w:p w14:paraId="1F5942AB"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Droga kołowania śmigłowca w powietrzu</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Helicopter air taxiway</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szCs w:val="20"/>
        </w:rPr>
        <w:t>Określona ścieżka na powierzchni ziemi wyznaczona dla kołowania śmigłowców w powietrzu.</w:t>
      </w:r>
    </w:p>
    <w:p w14:paraId="3E5F6D84"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Zabezpieczenie wydłużonego startu dla śmigłowca</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Helicopter clearway</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O</w:t>
      </w:r>
      <w:r w:rsidRPr="009E064B">
        <w:rPr>
          <w:rFonts w:asciiTheme="minorHAnsi" w:hAnsiTheme="minorHAnsi" w:cstheme="minorHAnsi"/>
          <w:szCs w:val="20"/>
        </w:rPr>
        <w:t>kreślony obszar na ziemi lub wodzie, wybrany i/lub przygotowany jako teren, nad którym śmigłowiec wykonujący loty w 1 klasie osiągów może przyspieszać i osiągać określoną wysokość.</w:t>
      </w:r>
    </w:p>
    <w:p w14:paraId="6DF94129"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Droga kołowania śmigłowca</w:t>
      </w:r>
      <w:r w:rsidRPr="009E064B">
        <w:rPr>
          <w:rFonts w:asciiTheme="minorHAnsi" w:hAnsiTheme="minorHAnsi" w:cstheme="minorHAnsi"/>
          <w:b/>
          <w:i/>
          <w:szCs w:val="20"/>
        </w:rPr>
        <w:t xml:space="preserve"> </w:t>
      </w:r>
      <w:r w:rsidRPr="009E064B">
        <w:rPr>
          <w:rFonts w:asciiTheme="minorHAnsi" w:hAnsiTheme="minorHAnsi" w:cstheme="minorHAnsi"/>
          <w:b/>
          <w:szCs w:val="20"/>
        </w:rPr>
        <w:t>na ziemi</w:t>
      </w:r>
      <w:r w:rsidRPr="009E064B">
        <w:rPr>
          <w:rFonts w:asciiTheme="minorHAnsi" w:hAnsiTheme="minorHAnsi" w:cstheme="minorHAnsi"/>
          <w:szCs w:val="20"/>
        </w:rPr>
        <w:t xml:space="preserve"> </w:t>
      </w:r>
      <w:r w:rsidRPr="009E064B">
        <w:rPr>
          <w:rFonts w:asciiTheme="minorHAnsi" w:hAnsiTheme="minorHAnsi" w:cstheme="minorHAnsi"/>
          <w:i/>
          <w:szCs w:val="20"/>
        </w:rPr>
        <w:t>(Helicopter ground taxiway)</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szCs w:val="20"/>
        </w:rPr>
        <w:t>Droga kołowania na powierzchni ziemi przeznaczona dla ruchu śmigłowców z podwoziem kołowym.</w:t>
      </w:r>
    </w:p>
    <w:p w14:paraId="0E45A46E"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Stanowisko postojowe śmigłowca</w:t>
      </w:r>
      <w:r w:rsidRPr="009E064B">
        <w:rPr>
          <w:rFonts w:asciiTheme="minorHAnsi" w:hAnsiTheme="minorHAnsi" w:cstheme="minorHAnsi"/>
          <w:b/>
          <w:i/>
          <w:szCs w:val="20"/>
        </w:rPr>
        <w:t xml:space="preserve"> </w:t>
      </w:r>
      <w:r w:rsidRPr="009E064B">
        <w:rPr>
          <w:rFonts w:asciiTheme="minorHAnsi" w:hAnsiTheme="minorHAnsi" w:cstheme="minorHAnsi"/>
          <w:i/>
          <w:szCs w:val="20"/>
        </w:rPr>
        <w:t>(Helicopter stand)</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S</w:t>
      </w:r>
      <w:r w:rsidRPr="009E064B">
        <w:rPr>
          <w:rFonts w:asciiTheme="minorHAnsi" w:hAnsiTheme="minorHAnsi" w:cstheme="minorHAnsi"/>
          <w:szCs w:val="20"/>
        </w:rPr>
        <w:t xml:space="preserve">tanowisko postojowe statku powietrznego, które umożliwia parkowanie śmigłowca po zakończeniu operacji kołowania po ziemi lub w którym śmigłowiec przyziemia i odrywa się od ziemi wykonując kołowanie w powietrzu. </w:t>
      </w:r>
    </w:p>
    <w:p w14:paraId="20C1BE0B" w14:textId="383D7AB1" w:rsidR="00C10C20" w:rsidRPr="009E064B" w:rsidRDefault="00C10C20" w:rsidP="00C10C20">
      <w:pPr>
        <w:tabs>
          <w:tab w:val="left" w:pos="-1843"/>
        </w:tabs>
        <w:spacing w:before="200"/>
        <w:ind w:left="284" w:hanging="284"/>
        <w:rPr>
          <w:rStyle w:val="FontStyle221"/>
          <w:rFonts w:asciiTheme="minorHAnsi" w:hAnsiTheme="minorHAnsi" w:cstheme="minorHAnsi"/>
          <w:sz w:val="22"/>
        </w:rPr>
      </w:pPr>
      <w:r w:rsidRPr="009E064B">
        <w:rPr>
          <w:rFonts w:asciiTheme="minorHAnsi" w:hAnsiTheme="minorHAnsi" w:cstheme="minorHAnsi"/>
          <w:b/>
          <w:szCs w:val="20"/>
        </w:rPr>
        <w:t>Trasa</w:t>
      </w:r>
      <w:r w:rsidRPr="009E064B">
        <w:rPr>
          <w:rFonts w:asciiTheme="minorHAnsi" w:hAnsiTheme="minorHAnsi" w:cstheme="minorHAnsi"/>
          <w:b/>
          <w:bCs/>
          <w:iCs/>
          <w:szCs w:val="20"/>
        </w:rPr>
        <w:t xml:space="preserve"> kołowania śmigłowca</w:t>
      </w:r>
      <w:r w:rsidRPr="009E064B">
        <w:rPr>
          <w:rFonts w:asciiTheme="minorHAnsi" w:hAnsiTheme="minorHAnsi" w:cstheme="minorHAnsi"/>
          <w:b/>
          <w:bCs/>
          <w:i/>
          <w:iCs/>
          <w:szCs w:val="20"/>
        </w:rPr>
        <w:t xml:space="preserve"> (</w:t>
      </w:r>
      <w:r w:rsidRPr="009E064B">
        <w:rPr>
          <w:rStyle w:val="FontStyle200"/>
          <w:rFonts w:asciiTheme="minorHAnsi" w:hAnsiTheme="minorHAnsi" w:cstheme="minorHAnsi"/>
          <w:b w:val="0"/>
          <w:sz w:val="22"/>
        </w:rPr>
        <w:t>Helicopter taxi-route)</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W</w:t>
      </w:r>
      <w:r w:rsidRPr="009E064B">
        <w:rPr>
          <w:rFonts w:asciiTheme="minorHAnsi" w:hAnsiTheme="minorHAnsi" w:cstheme="minorHAnsi"/>
          <w:szCs w:val="20"/>
        </w:rPr>
        <w:t>yznaczona trasa, która przeznaczona jest do przemieszczania śmigłowców z jednej części lotniska do drugiej. Trasa kołowania obejmuje drogę kołowania śmigłowca na ziemi lub w powietrzu, zlokalizowaną w jej osi</w:t>
      </w:r>
      <w:r w:rsidRPr="009E064B">
        <w:rPr>
          <w:rStyle w:val="FontStyle221"/>
          <w:rFonts w:asciiTheme="minorHAnsi" w:hAnsiTheme="minorHAnsi" w:cstheme="minorHAnsi"/>
          <w:sz w:val="22"/>
        </w:rPr>
        <w:t>.</w:t>
      </w:r>
    </w:p>
    <w:p w14:paraId="558B49C1" w14:textId="47349E98" w:rsidR="00746366" w:rsidRPr="00A675EA" w:rsidRDefault="007F7F4E" w:rsidP="00746366">
      <w:pPr>
        <w:tabs>
          <w:tab w:val="left" w:pos="-1843"/>
        </w:tabs>
        <w:spacing w:before="200"/>
        <w:ind w:left="284" w:hanging="284"/>
        <w:rPr>
          <w:rFonts w:asciiTheme="minorHAnsi" w:hAnsiTheme="minorHAnsi" w:cstheme="minorHAnsi"/>
          <w:szCs w:val="20"/>
        </w:rPr>
      </w:pPr>
      <w:r w:rsidRPr="00A675EA">
        <w:rPr>
          <w:rFonts w:asciiTheme="minorHAnsi" w:hAnsiTheme="minorHAnsi" w:cstheme="minorHAnsi"/>
          <w:b/>
          <w:szCs w:val="20"/>
        </w:rPr>
        <w:t>Lotnisko dla śmigłowców</w:t>
      </w:r>
      <w:r w:rsidR="00746366" w:rsidRPr="00A675EA">
        <w:rPr>
          <w:rFonts w:asciiTheme="minorHAnsi" w:hAnsiTheme="minorHAnsi" w:cstheme="minorHAnsi"/>
          <w:szCs w:val="20"/>
        </w:rPr>
        <w:t xml:space="preserve"> </w:t>
      </w:r>
      <w:r w:rsidRPr="00A675EA">
        <w:rPr>
          <w:rFonts w:asciiTheme="minorHAnsi" w:hAnsiTheme="minorHAnsi" w:cstheme="minorHAnsi"/>
          <w:i/>
          <w:szCs w:val="20"/>
        </w:rPr>
        <w:t>(heliport)</w:t>
      </w:r>
      <w:r w:rsidRPr="00A675EA">
        <w:rPr>
          <w:rFonts w:asciiTheme="minorHAnsi" w:hAnsiTheme="minorHAnsi" w:cstheme="minorHAnsi"/>
          <w:szCs w:val="20"/>
        </w:rPr>
        <w:t xml:space="preserve"> </w:t>
      </w:r>
      <w:r w:rsidR="00746366" w:rsidRPr="00A675EA">
        <w:rPr>
          <w:rFonts w:asciiTheme="minorHAnsi" w:hAnsiTheme="minorHAnsi" w:cstheme="minorHAnsi"/>
          <w:szCs w:val="20"/>
        </w:rPr>
        <w:t>oznacza lotnisko lub określony obszar na konstrukcji przeznaczonej do wykorzystania w całości lub w części na potrzeby przylotu, odlotu i ruchu naziemnego śmigłowców.</w:t>
      </w:r>
    </w:p>
    <w:p w14:paraId="1802E7B0" w14:textId="0D9070EA" w:rsidR="00C10C20" w:rsidRPr="009E064B" w:rsidRDefault="00C10C20" w:rsidP="00C10C20">
      <w:pPr>
        <w:tabs>
          <w:tab w:val="left" w:pos="-1843"/>
        </w:tabs>
        <w:spacing w:before="200"/>
        <w:ind w:left="284" w:hanging="284"/>
        <w:rPr>
          <w:rStyle w:val="FontStyle221"/>
          <w:rFonts w:asciiTheme="minorHAnsi" w:hAnsiTheme="minorHAnsi" w:cstheme="minorHAnsi"/>
          <w:sz w:val="22"/>
        </w:rPr>
      </w:pPr>
      <w:r w:rsidRPr="009E064B">
        <w:rPr>
          <w:b/>
        </w:rPr>
        <w:t>Wysokość lotniska dla śmigłowców</w:t>
      </w:r>
      <w:r w:rsidRPr="009E064B">
        <w:rPr>
          <w:i/>
        </w:rPr>
        <w:t xml:space="preserve"> (Heliport elevation)</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szCs w:val="20"/>
        </w:rPr>
        <w:t>Wysokość</w:t>
      </w:r>
      <w:r w:rsidRPr="009E064B">
        <w:rPr>
          <w:rStyle w:val="FontStyle219"/>
          <w:rFonts w:asciiTheme="minorHAnsi" w:hAnsiTheme="minorHAnsi" w:cstheme="minorHAnsi"/>
          <w:sz w:val="22"/>
        </w:rPr>
        <w:t xml:space="preserve"> </w:t>
      </w:r>
      <w:r w:rsidRPr="009E064B">
        <w:rPr>
          <w:rStyle w:val="FontStyle221"/>
          <w:rFonts w:asciiTheme="minorHAnsi" w:hAnsiTheme="minorHAnsi" w:cstheme="minorHAnsi"/>
          <w:sz w:val="22"/>
        </w:rPr>
        <w:t>najwyższego punktu strefy FATO.</w:t>
      </w:r>
    </w:p>
    <w:p w14:paraId="2C9C8C6B"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Strefa ochronna</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Protection area</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Obszar</w:t>
      </w:r>
      <w:r w:rsidRPr="009E064B">
        <w:rPr>
          <w:rFonts w:asciiTheme="minorHAnsi" w:hAnsiTheme="minorHAnsi" w:cstheme="minorHAnsi"/>
          <w:szCs w:val="20"/>
        </w:rPr>
        <w:t xml:space="preserve"> zapewniający bezpieczne manewrowanie śmigłowców, znajdujący się w obrębie drogi kołowania i wokół stanowiska postojowego dla śmigłowca, zapewniający separację od obiektów, strefy podejścia końcowego i startu (FATO) oraz innych dróg kołowania i stanowisk postojowych dla śmigłowców.</w:t>
      </w:r>
    </w:p>
    <w:p w14:paraId="0CC3C023"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Strefa przerwanego startu</w:t>
      </w:r>
      <w:r w:rsidRPr="009E064B">
        <w:rPr>
          <w:rFonts w:asciiTheme="minorHAnsi" w:hAnsiTheme="minorHAnsi" w:cstheme="minorHAnsi"/>
          <w:b/>
          <w:i/>
          <w:szCs w:val="20"/>
        </w:rPr>
        <w:t xml:space="preserve"> </w:t>
      </w:r>
      <w:r w:rsidRPr="009E064B">
        <w:rPr>
          <w:rFonts w:asciiTheme="minorHAnsi" w:hAnsiTheme="minorHAnsi" w:cstheme="minorHAnsi"/>
          <w:i/>
          <w:szCs w:val="20"/>
        </w:rPr>
        <w:t>(Rejected take off area)</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O</w:t>
      </w:r>
      <w:r w:rsidRPr="009E064B">
        <w:rPr>
          <w:rFonts w:asciiTheme="minorHAnsi" w:hAnsiTheme="minorHAnsi" w:cstheme="minorHAnsi"/>
          <w:szCs w:val="20"/>
        </w:rPr>
        <w:t xml:space="preserve">kreślony obszar lotniska dla śmigłowców, nadający się do wykonania przerwanego startu przez śmigłowce operujące w 1 klasie osiągów. </w:t>
      </w:r>
    </w:p>
    <w:p w14:paraId="4CAEBB55" w14:textId="77777777" w:rsidR="00C10C20" w:rsidRPr="009E064B" w:rsidRDefault="00C10C20" w:rsidP="00C10C20">
      <w:pPr>
        <w:tabs>
          <w:tab w:val="left" w:pos="-1843"/>
        </w:tabs>
        <w:spacing w:before="200"/>
        <w:ind w:left="284" w:hanging="284"/>
        <w:rPr>
          <w:rStyle w:val="FontStyle221"/>
          <w:rFonts w:asciiTheme="minorHAnsi" w:hAnsiTheme="minorHAnsi" w:cstheme="minorHAnsi"/>
          <w:sz w:val="22"/>
        </w:rPr>
      </w:pPr>
      <w:r w:rsidRPr="009E064B">
        <w:rPr>
          <w:rStyle w:val="FontStyle221"/>
          <w:rFonts w:asciiTheme="minorHAnsi" w:hAnsiTheme="minorHAnsi" w:cstheme="minorHAnsi"/>
          <w:b/>
          <w:sz w:val="22"/>
        </w:rPr>
        <w:t xml:space="preserve">Strefa FATO typu „droga startowa” </w:t>
      </w:r>
      <w:r w:rsidRPr="009E064B">
        <w:rPr>
          <w:rStyle w:val="FontStyle221"/>
          <w:rFonts w:asciiTheme="minorHAnsi" w:hAnsiTheme="minorHAnsi" w:cstheme="minorHAnsi"/>
          <w:i/>
          <w:sz w:val="22"/>
        </w:rPr>
        <w:t>(</w:t>
      </w:r>
      <w:r w:rsidRPr="009E064B">
        <w:rPr>
          <w:rStyle w:val="FontStyle200"/>
          <w:rFonts w:asciiTheme="minorHAnsi" w:hAnsiTheme="minorHAnsi" w:cstheme="minorHAnsi"/>
          <w:b w:val="0"/>
          <w:sz w:val="22"/>
        </w:rPr>
        <w:t>Runway-type FATO)</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S</w:t>
      </w:r>
      <w:r w:rsidRPr="009E064B">
        <w:rPr>
          <w:rStyle w:val="FontStyle221"/>
          <w:rFonts w:asciiTheme="minorHAnsi" w:hAnsiTheme="minorHAnsi" w:cstheme="minorHAnsi"/>
          <w:sz w:val="22"/>
        </w:rPr>
        <w:t xml:space="preserve">trefa </w:t>
      </w:r>
      <w:r w:rsidRPr="009E064B">
        <w:rPr>
          <w:rFonts w:asciiTheme="minorHAnsi" w:hAnsiTheme="minorHAnsi" w:cstheme="minorHAnsi"/>
          <w:szCs w:val="20"/>
        </w:rPr>
        <w:t>podejścia</w:t>
      </w:r>
      <w:r w:rsidRPr="009E064B">
        <w:rPr>
          <w:rStyle w:val="FontStyle221"/>
          <w:rFonts w:asciiTheme="minorHAnsi" w:hAnsiTheme="minorHAnsi" w:cstheme="minorHAnsi"/>
          <w:sz w:val="22"/>
        </w:rPr>
        <w:t xml:space="preserve"> końcowego i startu (FATO) posiadająca charakterystykę podobną kształtem do drogi startowej.</w:t>
      </w:r>
    </w:p>
    <w:p w14:paraId="665583B1"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Strefa bezpieczeństwa</w:t>
      </w:r>
      <w:r w:rsidRPr="009E064B">
        <w:rPr>
          <w:rFonts w:asciiTheme="minorHAnsi" w:hAnsiTheme="minorHAnsi" w:cstheme="minorHAnsi"/>
          <w:b/>
          <w:i/>
          <w:szCs w:val="20"/>
        </w:rPr>
        <w:t xml:space="preserve"> </w:t>
      </w:r>
      <w:r w:rsidRPr="009E064B">
        <w:rPr>
          <w:rFonts w:asciiTheme="minorHAnsi" w:hAnsiTheme="minorHAnsi" w:cstheme="minorHAnsi"/>
          <w:i/>
          <w:szCs w:val="20"/>
        </w:rPr>
        <w:t>(Safety area</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w:t>
      </w:r>
      <w:r w:rsidRPr="009E064B">
        <w:rPr>
          <w:rFonts w:asciiTheme="minorHAnsi" w:hAnsiTheme="minorHAnsi" w:cstheme="minorHAnsi"/>
          <w:szCs w:val="20"/>
        </w:rPr>
        <w:t xml:space="preserve"> Określony obszar na lotnisku dla śmigłowców, otaczający strefę podejścia końcowego i startu (FATO), który jest wolny od przeszkód, innych niż te, które są niezbędne ze względów nawigacyjnych, przeznaczony do tego, aby zredukować ryzyko uszkodzenia śmigłowca, który przypadkowo zjechałby poza strefę FATO.</w:t>
      </w:r>
    </w:p>
    <w:p w14:paraId="0D8E374C"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Powierzchnia przenosząca obciążenia statyczne</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Static load-bearing surface</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iCs/>
          <w:szCs w:val="20"/>
        </w:rPr>
        <w:t>P</w:t>
      </w:r>
      <w:r w:rsidRPr="009E064B">
        <w:rPr>
          <w:rFonts w:asciiTheme="minorHAnsi" w:hAnsiTheme="minorHAnsi" w:cstheme="minorHAnsi"/>
          <w:szCs w:val="20"/>
        </w:rPr>
        <w:t xml:space="preserve">owierzchnia zdolna do przyjmowania obciążeń masą śmigłowca, który się na niej znajduje. </w:t>
      </w:r>
    </w:p>
    <w:p w14:paraId="23EC22DF" w14:textId="79BFB0BF" w:rsidR="00C10C20" w:rsidRPr="009E064B" w:rsidRDefault="00C10C20" w:rsidP="00C10C20">
      <w:pPr>
        <w:tabs>
          <w:tab w:val="left" w:pos="-1843"/>
        </w:tabs>
        <w:spacing w:before="200"/>
        <w:ind w:left="284" w:hanging="284"/>
        <w:rPr>
          <w:rStyle w:val="FontStyle221"/>
          <w:rFonts w:asciiTheme="minorHAnsi" w:hAnsiTheme="minorHAnsi" w:cstheme="minorHAnsi"/>
          <w:sz w:val="22"/>
        </w:rPr>
      </w:pPr>
      <w:r w:rsidRPr="009E064B">
        <w:rPr>
          <w:b/>
          <w:bCs/>
          <w:iCs/>
        </w:rPr>
        <w:t>Lotnisko dla śmigłowców na ziemi</w:t>
      </w:r>
      <w:r w:rsidRPr="009E064B">
        <w:rPr>
          <w:rStyle w:val="FontStyle200"/>
          <w:rFonts w:asciiTheme="minorHAnsi" w:hAnsiTheme="minorHAnsi" w:cstheme="minorHAnsi"/>
          <w:sz w:val="22"/>
        </w:rPr>
        <w:t xml:space="preserve"> </w:t>
      </w:r>
      <w:r w:rsidRPr="009E064B">
        <w:rPr>
          <w:rStyle w:val="FontStyle200"/>
          <w:rFonts w:asciiTheme="minorHAnsi" w:hAnsiTheme="minorHAnsi" w:cstheme="minorHAnsi"/>
          <w:b w:val="0"/>
          <w:sz w:val="22"/>
        </w:rPr>
        <w:t>(Surface-level heliport)</w:t>
      </w:r>
      <w:r w:rsidRPr="009E064B">
        <w:rPr>
          <w:rStyle w:val="FontStyle200"/>
          <w:rFonts w:asciiTheme="minorHAnsi" w:hAnsiTheme="minorHAnsi" w:cstheme="minorHAnsi"/>
          <w:sz w:val="22"/>
        </w:rPr>
        <w:t xml:space="preserve"> </w:t>
      </w:r>
      <w:r w:rsidRPr="009E064B">
        <w:rPr>
          <w:rStyle w:val="FontStyle219"/>
          <w:rFonts w:asciiTheme="minorHAnsi" w:hAnsiTheme="minorHAnsi" w:cstheme="minorHAnsi"/>
          <w:sz w:val="22"/>
        </w:rPr>
        <w:t xml:space="preserve">– </w:t>
      </w:r>
      <w:r w:rsidRPr="009E064B">
        <w:rPr>
          <w:rStyle w:val="FontStyle221"/>
          <w:rFonts w:asciiTheme="minorHAnsi" w:hAnsiTheme="minorHAnsi" w:cstheme="minorHAnsi"/>
          <w:sz w:val="22"/>
        </w:rPr>
        <w:t xml:space="preserve">Lotnisko dla śmigłowców zlokalizowane na ziemi lub na konstrukcji znajdującej się na </w:t>
      </w:r>
      <w:r w:rsidRPr="009E064B">
        <w:rPr>
          <w:rFonts w:asciiTheme="minorHAnsi" w:hAnsiTheme="minorHAnsi" w:cstheme="minorHAnsi"/>
          <w:szCs w:val="20"/>
        </w:rPr>
        <w:t>powierzchni</w:t>
      </w:r>
      <w:r w:rsidRPr="009E064B">
        <w:rPr>
          <w:rStyle w:val="FontStyle221"/>
          <w:rFonts w:asciiTheme="minorHAnsi" w:hAnsiTheme="minorHAnsi" w:cstheme="minorHAnsi"/>
          <w:sz w:val="22"/>
        </w:rPr>
        <w:t xml:space="preserve"> wody.</w:t>
      </w:r>
      <w:r w:rsidRPr="009E064B">
        <w:rPr>
          <w:rFonts w:asciiTheme="minorHAnsi" w:hAnsiTheme="minorHAnsi" w:cstheme="minorHAnsi"/>
          <w:noProof/>
          <w:szCs w:val="20"/>
          <w:lang w:eastAsia="pl-PL"/>
        </w:rPr>
        <w:t xml:space="preserve"> </w:t>
      </w:r>
    </w:p>
    <w:p w14:paraId="35028AB2" w14:textId="77777777" w:rsidR="00C10C20" w:rsidRPr="009E064B" w:rsidRDefault="00C10C20" w:rsidP="00C10C20">
      <w:pPr>
        <w:tabs>
          <w:tab w:val="left" w:pos="-1843"/>
        </w:tabs>
        <w:spacing w:before="200"/>
        <w:ind w:left="284" w:hanging="284"/>
        <w:rPr>
          <w:rFonts w:asciiTheme="minorHAnsi" w:hAnsiTheme="minorHAnsi" w:cstheme="minorHAnsi"/>
          <w:szCs w:val="20"/>
        </w:rPr>
      </w:pPr>
      <w:r w:rsidRPr="009E064B">
        <w:rPr>
          <w:rFonts w:asciiTheme="minorHAnsi" w:hAnsiTheme="minorHAnsi" w:cstheme="minorHAnsi"/>
          <w:b/>
          <w:szCs w:val="20"/>
        </w:rPr>
        <w:t>Strefa przyziemienia i wznoszenia (TLOF)</w:t>
      </w:r>
      <w:r w:rsidRPr="009E064B">
        <w:rPr>
          <w:rFonts w:asciiTheme="minorHAnsi" w:hAnsiTheme="minorHAnsi" w:cstheme="minorHAnsi"/>
          <w:b/>
          <w:i/>
          <w:szCs w:val="20"/>
        </w:rPr>
        <w:t xml:space="preserve"> </w:t>
      </w:r>
      <w:r w:rsidRPr="009E064B">
        <w:rPr>
          <w:rFonts w:asciiTheme="minorHAnsi" w:hAnsiTheme="minorHAnsi" w:cstheme="minorHAnsi"/>
          <w:szCs w:val="20"/>
        </w:rPr>
        <w:t>(</w:t>
      </w:r>
      <w:r w:rsidRPr="009E064B">
        <w:rPr>
          <w:rFonts w:asciiTheme="minorHAnsi" w:hAnsiTheme="minorHAnsi" w:cstheme="minorHAnsi"/>
          <w:i/>
          <w:szCs w:val="20"/>
        </w:rPr>
        <w:t>Touchdown and lift-off area)</w:t>
      </w:r>
      <w:r w:rsidRPr="009E064B">
        <w:rPr>
          <w:rFonts w:asciiTheme="minorHAnsi" w:hAnsiTheme="minorHAnsi" w:cstheme="minorHAnsi"/>
          <w:szCs w:val="20"/>
        </w:rPr>
        <w:t xml:space="preserve"> </w:t>
      </w:r>
      <w:r w:rsidRPr="009E064B">
        <w:rPr>
          <w:rStyle w:val="FontStyle219"/>
          <w:rFonts w:asciiTheme="minorHAnsi" w:hAnsiTheme="minorHAnsi" w:cstheme="minorHAnsi"/>
          <w:sz w:val="22"/>
        </w:rPr>
        <w:t xml:space="preserve">– </w:t>
      </w:r>
      <w:r w:rsidRPr="009E064B">
        <w:rPr>
          <w:rFonts w:asciiTheme="minorHAnsi" w:hAnsiTheme="minorHAnsi" w:cstheme="minorHAnsi"/>
          <w:szCs w:val="20"/>
        </w:rPr>
        <w:t>Obszar, na którym śmigłowiec może wykonywać prz</w:t>
      </w:r>
      <w:r w:rsidRPr="009E064B">
        <w:rPr>
          <w:rStyle w:val="FontStyle221"/>
          <w:rFonts w:asciiTheme="minorHAnsi" w:hAnsiTheme="minorHAnsi" w:cstheme="minorHAnsi"/>
          <w:sz w:val="22"/>
        </w:rPr>
        <w:t>y</w:t>
      </w:r>
      <w:r w:rsidRPr="009E064B">
        <w:rPr>
          <w:rFonts w:asciiTheme="minorHAnsi" w:hAnsiTheme="minorHAnsi" w:cstheme="minorHAnsi"/>
          <w:szCs w:val="20"/>
        </w:rPr>
        <w:t>ziemienie lub wznosić się do startu.</w:t>
      </w:r>
    </w:p>
    <w:p w14:paraId="33FB8935" w14:textId="20FA6C52" w:rsidR="007F7F4E" w:rsidRPr="00A675EA" w:rsidRDefault="007F7F4E" w:rsidP="00C10C20">
      <w:pPr>
        <w:tabs>
          <w:tab w:val="left" w:pos="-1843"/>
        </w:tabs>
        <w:spacing w:before="200"/>
        <w:ind w:left="284" w:hanging="284"/>
        <w:rPr>
          <w:rFonts w:asciiTheme="minorHAnsi" w:hAnsiTheme="minorHAnsi" w:cstheme="minorHAnsi"/>
          <w:szCs w:val="20"/>
        </w:rPr>
      </w:pPr>
      <w:r w:rsidRPr="00A675EA">
        <w:rPr>
          <w:rFonts w:asciiTheme="minorHAnsi" w:hAnsiTheme="minorHAnsi" w:cstheme="minorHAnsi"/>
          <w:szCs w:val="20"/>
        </w:rPr>
        <w:t xml:space="preserve">Uwaga: Powyższe definicje są uzupełnieniem definicji wymienionych w </w:t>
      </w:r>
      <w:r w:rsidRPr="00042D60">
        <w:rPr>
          <w:rFonts w:asciiTheme="minorHAnsi" w:hAnsiTheme="minorHAnsi" w:cstheme="minorHAnsi"/>
          <w:szCs w:val="20"/>
        </w:rPr>
        <w:t>CS</w:t>
      </w:r>
      <w:r w:rsidRPr="00A675EA">
        <w:rPr>
          <w:rFonts w:asciiTheme="minorHAnsi" w:hAnsiTheme="minorHAnsi" w:cstheme="minorHAnsi"/>
          <w:szCs w:val="20"/>
        </w:rPr>
        <w:t>-ADR-DSN.</w:t>
      </w:r>
    </w:p>
    <w:p w14:paraId="32AC53E1" w14:textId="4B81035A" w:rsidR="007F7F4E" w:rsidRPr="009E064B" w:rsidRDefault="007F7F4E" w:rsidP="00133B99">
      <w:pPr>
        <w:pStyle w:val="Nagwek6"/>
      </w:pPr>
      <w:bookmarkStart w:id="1888" w:name="_Toc12533340"/>
      <w:r w:rsidRPr="009E064B">
        <w:t>GM1 HPT-DSN.A.020      Definicje</w:t>
      </w:r>
      <w:bookmarkEnd w:id="1888"/>
    </w:p>
    <w:p w14:paraId="181AB103" w14:textId="1A708711" w:rsidR="007F7F4E" w:rsidRPr="009E064B" w:rsidRDefault="001F74A1" w:rsidP="007F7F4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24C4DAC" w14:textId="64907611" w:rsidR="007F7F4E" w:rsidRPr="00A675EA" w:rsidRDefault="007F7F4E" w:rsidP="00C643ED">
      <w:pPr>
        <w:tabs>
          <w:tab w:val="left" w:pos="0"/>
        </w:tabs>
        <w:autoSpaceDE w:val="0"/>
        <w:autoSpaceDN w:val="0"/>
        <w:adjustRightInd w:val="0"/>
        <w:rPr>
          <w:rFonts w:cs="TimesNewRomanPS-BoldItalicMT"/>
          <w:bCs/>
          <w:iCs/>
          <w:szCs w:val="20"/>
        </w:rPr>
      </w:pPr>
      <w:r w:rsidRPr="00A675EA">
        <w:rPr>
          <w:rFonts w:cs="TimesNewRomanPS-BoldItalicMT"/>
          <w:bCs/>
          <w:iCs/>
          <w:szCs w:val="20"/>
        </w:rPr>
        <w:t>Dalsze informacje na temat operacji w klasach osiągów 1, 2 i 3 śmigłowców podano w Rozporządzeniu Komisji (UE) nr 965/2012 w sprawie operacji lotniczych oraz w Załączniku 6 ICAO „Operacje statków powietrznych”, Część III „Śmigłowce”.</w:t>
      </w:r>
    </w:p>
    <w:p w14:paraId="6FB22201" w14:textId="760E68D7" w:rsidR="00554EDA" w:rsidRPr="009E064B" w:rsidRDefault="00554EDA" w:rsidP="00B06A9A"/>
    <w:p w14:paraId="49B35582" w14:textId="77777777" w:rsidR="0058485A" w:rsidRPr="009E064B" w:rsidRDefault="0058485A" w:rsidP="00B06A9A">
      <w:pPr>
        <w:sectPr w:rsidR="0058485A" w:rsidRPr="009E064B" w:rsidSect="00E300A0">
          <w:headerReference w:type="default" r:id="rId304"/>
          <w:headerReference w:type="first" r:id="rId305"/>
          <w:pgSz w:w="11906" w:h="16840" w:code="9"/>
          <w:pgMar w:top="1701" w:right="1418" w:bottom="1418" w:left="1418" w:header="567" w:footer="454" w:gutter="0"/>
          <w:cols w:space="708"/>
          <w:titlePg/>
        </w:sectPr>
      </w:pPr>
    </w:p>
    <w:p w14:paraId="21D8F9DE" w14:textId="6B565A28" w:rsidR="0058485A" w:rsidRPr="009E064B" w:rsidRDefault="0058485A" w:rsidP="00B06A9A"/>
    <w:p w14:paraId="15C353B4" w14:textId="327DAA8D" w:rsidR="00C643ED" w:rsidRPr="009E064B" w:rsidRDefault="00C643ED" w:rsidP="00C643ED">
      <w:pPr>
        <w:pStyle w:val="Nagwek2"/>
      </w:pPr>
      <w:bookmarkStart w:id="1889" w:name="_Toc12533341"/>
      <w:r w:rsidRPr="009E064B">
        <w:t>ROZDZIAŁ B — STREFY OPERACYJNE LOTNISKA DLA ŚMIGŁOWCÓW</w:t>
      </w:r>
      <w:bookmarkEnd w:id="1889"/>
    </w:p>
    <w:p w14:paraId="016ED991" w14:textId="77777777" w:rsidR="00C643ED" w:rsidRPr="009E064B" w:rsidRDefault="00C643ED" w:rsidP="00C643ED"/>
    <w:p w14:paraId="2840EB44" w14:textId="2DCF890F" w:rsidR="00C643ED" w:rsidRPr="009E064B" w:rsidRDefault="00C643ED" w:rsidP="00C643ED">
      <w:pPr>
        <w:pStyle w:val="Nagwek4"/>
        <w:rPr>
          <w:color w:val="auto"/>
        </w:rPr>
      </w:pPr>
      <w:bookmarkStart w:id="1890" w:name="_Toc12533342"/>
      <w:r w:rsidRPr="00042D60">
        <w:rPr>
          <w:color w:val="auto"/>
        </w:rPr>
        <w:t>CS</w:t>
      </w:r>
      <w:r w:rsidRPr="009E064B">
        <w:rPr>
          <w:color w:val="auto"/>
        </w:rPr>
        <w:t xml:space="preserve"> HPT-DSN.B.100</w:t>
      </w:r>
      <w:r w:rsidRPr="009E064B">
        <w:rPr>
          <w:b w:val="0"/>
          <w:bCs w:val="0"/>
          <w:color w:val="FFFFFF"/>
          <w:sz w:val="32"/>
          <w:szCs w:val="32"/>
        </w:rPr>
        <w:t xml:space="preserve">     </w:t>
      </w:r>
      <w:r w:rsidR="003802E3">
        <w:rPr>
          <w:szCs w:val="20"/>
        </w:rPr>
        <w:t>Strefy</w:t>
      </w:r>
      <w:r w:rsidRPr="009E064B">
        <w:rPr>
          <w:szCs w:val="20"/>
        </w:rPr>
        <w:t xml:space="preserve"> podejścia końcowego i startu (FATO</w:t>
      </w:r>
      <w:r w:rsidR="003802E3">
        <w:rPr>
          <w:szCs w:val="20"/>
        </w:rPr>
        <w:t>s</w:t>
      </w:r>
      <w:r w:rsidRPr="009E064B">
        <w:rPr>
          <w:szCs w:val="20"/>
        </w:rPr>
        <w:t>)</w:t>
      </w:r>
      <w:bookmarkEnd w:id="1890"/>
    </w:p>
    <w:p w14:paraId="5D8E4D5E" w14:textId="304AF015" w:rsidR="00C643ED" w:rsidRPr="009E064B" w:rsidRDefault="001F74A1" w:rsidP="00C643E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904CDAC" w14:textId="6F07DA90" w:rsidR="00860C39" w:rsidRPr="00A675EA" w:rsidRDefault="00C643ED" w:rsidP="00860C39">
      <w:pPr>
        <w:tabs>
          <w:tab w:val="left" w:pos="567"/>
        </w:tabs>
        <w:autoSpaceDE w:val="0"/>
        <w:autoSpaceDN w:val="0"/>
        <w:adjustRightInd w:val="0"/>
        <w:ind w:left="567" w:hanging="567"/>
        <w:rPr>
          <w:rFonts w:cs="TimesNewRomanPS-BoldItalicMT"/>
          <w:bCs/>
          <w:iCs/>
          <w:szCs w:val="20"/>
        </w:rPr>
      </w:pPr>
      <w:r w:rsidRPr="00A675EA">
        <w:rPr>
          <w:rFonts w:cs="TimesNewRomanPS-BoldItalicMT"/>
          <w:bCs/>
          <w:iCs/>
          <w:szCs w:val="20"/>
        </w:rPr>
        <w:t>(a)</w:t>
      </w:r>
      <w:r w:rsidRPr="00A675EA">
        <w:rPr>
          <w:rFonts w:cs="TimesNewRomanPS-BoldItalicMT"/>
          <w:bCs/>
          <w:iCs/>
          <w:szCs w:val="20"/>
        </w:rPr>
        <w:tab/>
      </w:r>
      <w:r w:rsidR="00860C39" w:rsidRPr="00A675EA">
        <w:rPr>
          <w:rFonts w:cs="TimesNewRomanPS-BoldItalicMT"/>
          <w:bCs/>
          <w:iCs/>
          <w:szCs w:val="20"/>
        </w:rPr>
        <w:t>Zastosowanie: Lotni</w:t>
      </w:r>
      <w:r w:rsidR="00A675EA" w:rsidRPr="00A675EA">
        <w:rPr>
          <w:rFonts w:cs="TimesNewRomanPS-BoldItalicMT"/>
          <w:bCs/>
          <w:iCs/>
          <w:szCs w:val="20"/>
        </w:rPr>
        <w:t>sko dla śmigłowców powinno mieć</w:t>
      </w:r>
      <w:r w:rsidR="00860C39" w:rsidRPr="00A675EA">
        <w:rPr>
          <w:rFonts w:cs="TimesNewRomanPS-BoldItalicMT"/>
          <w:bCs/>
          <w:iCs/>
          <w:szCs w:val="20"/>
        </w:rPr>
        <w:t xml:space="preserve"> co najmniej jedną strefę podejścia końcowego i startu (FATO).</w:t>
      </w:r>
    </w:p>
    <w:p w14:paraId="79518C46" w14:textId="5BC06A52" w:rsidR="00860C39" w:rsidRPr="00A675EA" w:rsidRDefault="00C643ED" w:rsidP="00860C39">
      <w:pPr>
        <w:tabs>
          <w:tab w:val="left" w:pos="567"/>
        </w:tabs>
        <w:autoSpaceDE w:val="0"/>
        <w:autoSpaceDN w:val="0"/>
        <w:adjustRightInd w:val="0"/>
        <w:ind w:left="567" w:hanging="567"/>
        <w:rPr>
          <w:rFonts w:cs="TimesNewRomanPS-BoldItalicMT"/>
          <w:bCs/>
          <w:iCs/>
          <w:szCs w:val="20"/>
        </w:rPr>
      </w:pPr>
      <w:r w:rsidRPr="00A675EA">
        <w:rPr>
          <w:rFonts w:cs="TimesNewRomanPS-BoldItalicMT"/>
          <w:bCs/>
          <w:iCs/>
          <w:szCs w:val="20"/>
        </w:rPr>
        <w:t xml:space="preserve">(b) </w:t>
      </w:r>
      <w:r w:rsidRPr="00A675EA">
        <w:rPr>
          <w:rFonts w:cs="TimesNewRomanPS-BoldItalicMT"/>
          <w:bCs/>
          <w:iCs/>
          <w:szCs w:val="20"/>
        </w:rPr>
        <w:tab/>
      </w:r>
      <w:r w:rsidR="00860C39" w:rsidRPr="00A675EA">
        <w:rPr>
          <w:rFonts w:cs="TimesNewRomanPS-BoldItalicMT"/>
          <w:bCs/>
          <w:iCs/>
          <w:szCs w:val="20"/>
        </w:rPr>
        <w:t>Lokalizacja: FATO w pobliżu innych elementów infrastruktury i obiektów powinno być zlokalizowane w taki sposób, aby zminimalizować:</w:t>
      </w:r>
    </w:p>
    <w:p w14:paraId="34C6EF5A" w14:textId="2ACBBF3E" w:rsidR="00CE5660" w:rsidRPr="00A675EA" w:rsidRDefault="00CE5660" w:rsidP="00CE5660">
      <w:pPr>
        <w:tabs>
          <w:tab w:val="left" w:pos="1134"/>
        </w:tabs>
        <w:autoSpaceDE w:val="0"/>
        <w:autoSpaceDN w:val="0"/>
        <w:adjustRightInd w:val="0"/>
        <w:ind w:left="1134" w:hanging="567"/>
        <w:rPr>
          <w:rFonts w:cs="TimesNewRomanPS-BoldItalicMT"/>
          <w:bCs/>
          <w:iCs/>
          <w:szCs w:val="20"/>
        </w:rPr>
      </w:pPr>
      <w:r w:rsidRPr="00A675EA">
        <w:rPr>
          <w:rFonts w:cs="TimesNewRomanPS-BoldItalicMT"/>
          <w:bCs/>
          <w:iCs/>
          <w:szCs w:val="20"/>
        </w:rPr>
        <w:t xml:space="preserve">(1) </w:t>
      </w:r>
      <w:r w:rsidRPr="00A675EA">
        <w:rPr>
          <w:rFonts w:cs="TimesNewRomanPS-BoldItalicMT"/>
          <w:bCs/>
          <w:iCs/>
          <w:szCs w:val="20"/>
        </w:rPr>
        <w:tab/>
        <w:t xml:space="preserve">wpływ otaczającego środowiska, w tym turbulencje spowodowane przez </w:t>
      </w:r>
      <w:r w:rsidR="00A675EA" w:rsidRPr="00A675EA">
        <w:rPr>
          <w:rFonts w:cs="TimesNewRomanPS-BoldItalicMT"/>
          <w:bCs/>
          <w:iCs/>
          <w:szCs w:val="20"/>
        </w:rPr>
        <w:t>konstrukcje</w:t>
      </w:r>
      <w:r w:rsidR="00245D48" w:rsidRPr="00A675EA">
        <w:rPr>
          <w:rFonts w:cs="TimesNewRomanPS-BoldItalicMT"/>
          <w:bCs/>
          <w:iCs/>
          <w:szCs w:val="20"/>
        </w:rPr>
        <w:t>;</w:t>
      </w:r>
    </w:p>
    <w:p w14:paraId="416B21BD" w14:textId="4828EAA4" w:rsidR="00CE5660" w:rsidRPr="00A675EA" w:rsidRDefault="00CE5660" w:rsidP="00CE5660">
      <w:pPr>
        <w:tabs>
          <w:tab w:val="left" w:pos="1134"/>
        </w:tabs>
        <w:autoSpaceDE w:val="0"/>
        <w:autoSpaceDN w:val="0"/>
        <w:adjustRightInd w:val="0"/>
        <w:ind w:left="1134" w:hanging="567"/>
        <w:rPr>
          <w:rFonts w:cs="TimesNewRomanPS-BoldItalicMT"/>
          <w:bCs/>
          <w:iCs/>
          <w:szCs w:val="20"/>
        </w:rPr>
      </w:pPr>
      <w:r w:rsidRPr="00A675EA">
        <w:rPr>
          <w:rFonts w:cs="TimesNewRomanPS-BoldItalicMT"/>
          <w:bCs/>
          <w:iCs/>
          <w:szCs w:val="20"/>
        </w:rPr>
        <w:t>(2)</w:t>
      </w:r>
      <w:r w:rsidRPr="00A675EA">
        <w:rPr>
          <w:rFonts w:cs="TimesNewRomanPS-BoldItalicMT"/>
          <w:bCs/>
          <w:iCs/>
          <w:szCs w:val="20"/>
        </w:rPr>
        <w:tab/>
        <w:t>wpływ otaczającego ruchu</w:t>
      </w:r>
      <w:r w:rsidR="00245D48" w:rsidRPr="00A675EA">
        <w:rPr>
          <w:rFonts w:cs="TimesNewRomanPS-BoldItalicMT"/>
          <w:bCs/>
          <w:iCs/>
          <w:szCs w:val="20"/>
        </w:rPr>
        <w:t xml:space="preserve"> oraz</w:t>
      </w:r>
      <w:r w:rsidRPr="00A675EA">
        <w:rPr>
          <w:rFonts w:cs="TimesNewRomanPS-BoldItalicMT"/>
          <w:bCs/>
          <w:iCs/>
          <w:szCs w:val="20"/>
        </w:rPr>
        <w:t xml:space="preserve"> na otaczający ruch, w tym turbulencj</w:t>
      </w:r>
      <w:r w:rsidR="00245D48" w:rsidRPr="00A675EA">
        <w:rPr>
          <w:rFonts w:cs="TimesNewRomanPS-BoldItalicMT"/>
          <w:bCs/>
          <w:iCs/>
          <w:szCs w:val="20"/>
        </w:rPr>
        <w:t>e</w:t>
      </w:r>
      <w:r w:rsidRPr="00A675EA">
        <w:rPr>
          <w:rFonts w:cs="TimesNewRomanPS-BoldItalicMT"/>
          <w:bCs/>
          <w:iCs/>
          <w:szCs w:val="20"/>
        </w:rPr>
        <w:t xml:space="preserve">, gdy planowane </w:t>
      </w:r>
      <w:r w:rsidR="00245D48" w:rsidRPr="00A675EA">
        <w:rPr>
          <w:rFonts w:cs="TimesNewRomanPS-BoldItalicMT"/>
          <w:bCs/>
          <w:iCs/>
          <w:szCs w:val="20"/>
        </w:rPr>
        <w:t>jest wykonywanie jednoczesnych operacji</w:t>
      </w:r>
      <w:r w:rsidRPr="00A675EA">
        <w:rPr>
          <w:rFonts w:cs="TimesNewRomanPS-BoldItalicMT"/>
          <w:bCs/>
          <w:iCs/>
          <w:szCs w:val="20"/>
        </w:rPr>
        <w:t xml:space="preserve"> </w:t>
      </w:r>
      <w:r w:rsidR="00A675EA" w:rsidRPr="00A675EA">
        <w:rPr>
          <w:rFonts w:cs="TimesNewRomanPS-BoldItalicMT"/>
          <w:bCs/>
          <w:iCs/>
          <w:szCs w:val="20"/>
        </w:rPr>
        <w:t>statków powietrznych</w:t>
      </w:r>
      <w:r w:rsidRPr="00A675EA">
        <w:rPr>
          <w:rFonts w:cs="TimesNewRomanPS-BoldItalicMT"/>
          <w:bCs/>
          <w:iCs/>
          <w:szCs w:val="20"/>
        </w:rPr>
        <w:t>.</w:t>
      </w:r>
    </w:p>
    <w:p w14:paraId="4E54260B" w14:textId="77777777" w:rsidR="001B42A7" w:rsidRPr="00A675EA" w:rsidRDefault="00C643ED" w:rsidP="00C643ED">
      <w:pPr>
        <w:tabs>
          <w:tab w:val="left" w:pos="567"/>
        </w:tabs>
        <w:autoSpaceDE w:val="0"/>
        <w:autoSpaceDN w:val="0"/>
        <w:adjustRightInd w:val="0"/>
        <w:ind w:left="567" w:hanging="567"/>
        <w:rPr>
          <w:rFonts w:cs="TimesNewRomanPS-BoldItalicMT"/>
          <w:bCs/>
          <w:iCs/>
          <w:szCs w:val="20"/>
        </w:rPr>
      </w:pPr>
      <w:r w:rsidRPr="00A675EA">
        <w:rPr>
          <w:rFonts w:cs="TimesNewRomanPS-BoldItalicMT"/>
          <w:bCs/>
          <w:iCs/>
          <w:szCs w:val="20"/>
        </w:rPr>
        <w:t xml:space="preserve">(c) </w:t>
      </w:r>
      <w:r w:rsidRPr="00A675EA">
        <w:rPr>
          <w:rFonts w:cs="TimesNewRomanPS-BoldItalicMT"/>
          <w:bCs/>
          <w:iCs/>
          <w:szCs w:val="20"/>
        </w:rPr>
        <w:tab/>
      </w:r>
      <w:r w:rsidR="00CE5660" w:rsidRPr="00A675EA">
        <w:rPr>
          <w:rFonts w:cs="TimesNewRomanPS-BoldItalicMT"/>
          <w:bCs/>
          <w:iCs/>
          <w:szCs w:val="20"/>
        </w:rPr>
        <w:t xml:space="preserve">Charakterystyka: </w:t>
      </w:r>
    </w:p>
    <w:p w14:paraId="111A526E" w14:textId="29EAC6E9" w:rsidR="00245D48" w:rsidRPr="00FD1B9F" w:rsidRDefault="001B42A7" w:rsidP="001B42A7">
      <w:pPr>
        <w:tabs>
          <w:tab w:val="left" w:pos="1134"/>
        </w:tabs>
        <w:autoSpaceDE w:val="0"/>
        <w:autoSpaceDN w:val="0"/>
        <w:adjustRightInd w:val="0"/>
        <w:ind w:left="1134" w:hanging="567"/>
        <w:rPr>
          <w:rFonts w:cs="TimesNewRomanPS-BoldItalicMT"/>
          <w:bCs/>
          <w:iCs/>
          <w:szCs w:val="20"/>
        </w:rPr>
      </w:pPr>
      <w:r w:rsidRPr="00FD1B9F">
        <w:rPr>
          <w:rFonts w:cs="TimesNewRomanPS-BoldItalicMT"/>
          <w:bCs/>
          <w:iCs/>
          <w:szCs w:val="20"/>
        </w:rPr>
        <w:t>(1)</w:t>
      </w:r>
      <w:r w:rsidRPr="00FD1B9F">
        <w:rPr>
          <w:rFonts w:cs="TimesNewRomanPS-BoldItalicMT"/>
          <w:bCs/>
          <w:iCs/>
          <w:szCs w:val="20"/>
        </w:rPr>
        <w:tab/>
      </w:r>
      <w:r w:rsidR="00245D48" w:rsidRPr="00FD1B9F">
        <w:rPr>
          <w:rFonts w:cs="TimesNewRomanPS-BoldItalicMT"/>
          <w:bCs/>
          <w:iCs/>
          <w:szCs w:val="20"/>
        </w:rPr>
        <w:t>Strefa FATO powinna być wolna od przeszkód</w:t>
      </w:r>
      <w:r w:rsidR="00D2204C" w:rsidRPr="00FD1B9F">
        <w:rPr>
          <w:rFonts w:cs="TimesNewRomanPS-BoldItalicMT"/>
          <w:bCs/>
          <w:iCs/>
          <w:szCs w:val="20"/>
        </w:rPr>
        <w:t xml:space="preserve">. Jednakże w przypadku, gdy FATO jest </w:t>
      </w:r>
      <w:r w:rsidR="0037727D" w:rsidRPr="00FD1B9F">
        <w:rPr>
          <w:rFonts w:cs="TimesNewRomanPS-BoldItalicMT"/>
          <w:bCs/>
          <w:iCs/>
          <w:szCs w:val="20"/>
        </w:rPr>
        <w:t>zlokalizowana razem</w:t>
      </w:r>
      <w:r w:rsidR="00D2204C" w:rsidRPr="00FD1B9F">
        <w:rPr>
          <w:rFonts w:cs="TimesNewRomanPS-BoldItalicMT"/>
          <w:bCs/>
          <w:iCs/>
          <w:szCs w:val="20"/>
        </w:rPr>
        <w:t xml:space="preserve"> z</w:t>
      </w:r>
      <w:r w:rsidR="0037727D" w:rsidRPr="00FD1B9F">
        <w:rPr>
          <w:rFonts w:cs="TimesNewRomanPS-BoldItalicMT"/>
          <w:bCs/>
          <w:iCs/>
          <w:szCs w:val="20"/>
        </w:rPr>
        <w:t>e</w:t>
      </w:r>
      <w:r w:rsidR="00D2204C" w:rsidRPr="00FD1B9F">
        <w:rPr>
          <w:rFonts w:cs="TimesNewRomanPS-BoldItalicMT"/>
          <w:bCs/>
          <w:iCs/>
          <w:szCs w:val="20"/>
        </w:rPr>
        <w:t xml:space="preserve"> </w:t>
      </w:r>
      <w:r w:rsidR="0037727D" w:rsidRPr="00FD1B9F">
        <w:rPr>
          <w:rFonts w:cs="TimesNewRomanPS-BoldItalicMT"/>
          <w:bCs/>
          <w:iCs/>
          <w:szCs w:val="20"/>
        </w:rPr>
        <w:t>strefą przyziemienia i wznoszenia</w:t>
      </w:r>
      <w:r w:rsidR="00D2204C" w:rsidRPr="00FD1B9F">
        <w:rPr>
          <w:rFonts w:cs="TimesNewRomanPS-BoldItalicMT"/>
          <w:bCs/>
          <w:iCs/>
          <w:szCs w:val="20"/>
        </w:rPr>
        <w:t xml:space="preserve"> (TLOF), </w:t>
      </w:r>
      <w:r w:rsidR="0037727D" w:rsidRPr="00FD1B9F">
        <w:rPr>
          <w:rFonts w:cs="TimesNewRomanPS-BoldItalicMT"/>
          <w:bCs/>
          <w:iCs/>
          <w:szCs w:val="20"/>
        </w:rPr>
        <w:t xml:space="preserve">jako pomoce nawigacyjne </w:t>
      </w:r>
      <w:r w:rsidR="00D2204C" w:rsidRPr="00FD1B9F">
        <w:rPr>
          <w:rFonts w:cs="TimesNewRomanPS-BoldItalicMT"/>
          <w:bCs/>
          <w:iCs/>
          <w:szCs w:val="20"/>
        </w:rPr>
        <w:t xml:space="preserve">można zainstalować </w:t>
      </w:r>
      <w:r w:rsidR="0037727D" w:rsidRPr="00FD1B9F">
        <w:rPr>
          <w:rFonts w:cs="TimesNewRomanPS-BoldItalicMT"/>
          <w:bCs/>
          <w:iCs/>
          <w:szCs w:val="20"/>
        </w:rPr>
        <w:t xml:space="preserve">wskaźniki segmentowego punktu źródła światła </w:t>
      </w:r>
      <w:r w:rsidR="00D2204C" w:rsidRPr="00FD1B9F">
        <w:rPr>
          <w:rFonts w:cs="TimesNewRomanPS-BoldItalicMT"/>
          <w:bCs/>
          <w:iCs/>
          <w:szCs w:val="20"/>
        </w:rPr>
        <w:t xml:space="preserve">(ASPSL) </w:t>
      </w:r>
      <w:r w:rsidR="0037727D" w:rsidRPr="00FD1B9F">
        <w:rPr>
          <w:rFonts w:cs="TimesNewRomanPS-BoldItalicMT"/>
          <w:bCs/>
          <w:iCs/>
          <w:szCs w:val="20"/>
        </w:rPr>
        <w:t>TLOF lub panele świetlne</w:t>
      </w:r>
      <w:r w:rsidR="00D2204C" w:rsidRPr="00FD1B9F">
        <w:rPr>
          <w:rFonts w:cs="TimesNewRomanPS-BoldItalicMT"/>
          <w:bCs/>
          <w:iCs/>
          <w:szCs w:val="20"/>
        </w:rPr>
        <w:t xml:space="preserve"> (LP</w:t>
      </w:r>
      <w:r w:rsidR="0037727D" w:rsidRPr="00FD1B9F">
        <w:rPr>
          <w:rFonts w:cs="TimesNewRomanPS-BoldItalicMT"/>
          <w:bCs/>
          <w:iCs/>
          <w:szCs w:val="20"/>
        </w:rPr>
        <w:t>s</w:t>
      </w:r>
      <w:r w:rsidR="00D2204C" w:rsidRPr="00FD1B9F">
        <w:rPr>
          <w:rFonts w:cs="TimesNewRomanPS-BoldItalicMT"/>
          <w:bCs/>
          <w:iCs/>
          <w:szCs w:val="20"/>
        </w:rPr>
        <w:t>) o wysokości nie większej niż 5 cm</w:t>
      </w:r>
      <w:r w:rsidR="0037727D" w:rsidRPr="00FD1B9F">
        <w:rPr>
          <w:rFonts w:cs="TimesNewRomanPS-BoldItalicMT"/>
          <w:bCs/>
          <w:iCs/>
          <w:szCs w:val="20"/>
        </w:rPr>
        <w:t>.</w:t>
      </w:r>
    </w:p>
    <w:p w14:paraId="0E14262A" w14:textId="25F144F0" w:rsidR="00D2204C" w:rsidRPr="00FD1B9F" w:rsidRDefault="001B42A7" w:rsidP="001B42A7">
      <w:pPr>
        <w:tabs>
          <w:tab w:val="left" w:pos="1134"/>
        </w:tabs>
        <w:autoSpaceDE w:val="0"/>
        <w:autoSpaceDN w:val="0"/>
        <w:adjustRightInd w:val="0"/>
        <w:ind w:left="1134" w:hanging="567"/>
        <w:rPr>
          <w:rFonts w:cs="TimesNewRomanPS-BoldItalicMT"/>
          <w:bCs/>
          <w:iCs/>
          <w:szCs w:val="20"/>
        </w:rPr>
      </w:pPr>
      <w:r w:rsidRPr="00FD1B9F">
        <w:rPr>
          <w:rFonts w:cs="TimesNewRomanPS-BoldItalicMT"/>
          <w:bCs/>
          <w:iCs/>
          <w:szCs w:val="20"/>
        </w:rPr>
        <w:t>(2)</w:t>
      </w:r>
      <w:r w:rsidRPr="00FD1B9F">
        <w:rPr>
          <w:rFonts w:cs="TimesNewRomanPS-BoldItalicMT"/>
          <w:bCs/>
          <w:iCs/>
          <w:szCs w:val="20"/>
        </w:rPr>
        <w:tab/>
        <w:t>W</w:t>
      </w:r>
      <w:r w:rsidR="00D2204C" w:rsidRPr="00FD1B9F">
        <w:rPr>
          <w:rFonts w:cs="TimesNewRomanPS-BoldItalicMT"/>
          <w:bCs/>
          <w:iCs/>
          <w:szCs w:val="20"/>
        </w:rPr>
        <w:t xml:space="preserve"> przypadku, gdy </w:t>
      </w:r>
      <w:r w:rsidRPr="00FD1B9F">
        <w:rPr>
          <w:rFonts w:cs="TimesNewRomanPS-BoldItalicMT"/>
          <w:bCs/>
          <w:iCs/>
          <w:szCs w:val="20"/>
        </w:rPr>
        <w:t xml:space="preserve">strefa FATO </w:t>
      </w:r>
      <w:r w:rsidR="00D2204C" w:rsidRPr="00FD1B9F">
        <w:rPr>
          <w:rFonts w:cs="TimesNewRomanPS-BoldItalicMT"/>
          <w:bCs/>
          <w:iCs/>
          <w:szCs w:val="20"/>
        </w:rPr>
        <w:t>ma być wykorzystywan</w:t>
      </w:r>
      <w:r w:rsidR="00FD1B9F" w:rsidRPr="00FD1B9F">
        <w:rPr>
          <w:rFonts w:cs="TimesNewRomanPS-BoldItalicMT"/>
          <w:bCs/>
          <w:iCs/>
          <w:szCs w:val="20"/>
        </w:rPr>
        <w:t>a przez śmigłowce operujące w 1 </w:t>
      </w:r>
      <w:r w:rsidR="00D2204C" w:rsidRPr="00FD1B9F">
        <w:rPr>
          <w:rFonts w:cs="TimesNewRomanPS-BoldItalicMT"/>
          <w:bCs/>
          <w:iCs/>
          <w:szCs w:val="20"/>
        </w:rPr>
        <w:t xml:space="preserve">klasie osiągów, </w:t>
      </w:r>
      <w:r w:rsidRPr="00FD1B9F">
        <w:rPr>
          <w:rFonts w:cs="TimesNewRomanPS-BoldItalicMT"/>
          <w:bCs/>
          <w:iCs/>
          <w:szCs w:val="20"/>
        </w:rPr>
        <w:t>to wymiary strefy FATO powinny b</w:t>
      </w:r>
      <w:r w:rsidR="00D2204C" w:rsidRPr="00FD1B9F">
        <w:rPr>
          <w:rFonts w:cs="TimesNewRomanPS-BoldItalicMT"/>
          <w:bCs/>
          <w:iCs/>
          <w:szCs w:val="20"/>
        </w:rPr>
        <w:t>yć zgodne z podanymi w instrukcji użytkowania śmigłowca w locie (HFM</w:t>
      </w:r>
      <w:r w:rsidRPr="00FD1B9F">
        <w:rPr>
          <w:rStyle w:val="Odwoanieprzypisudolnego"/>
          <w:rFonts w:cs="TimesNewRomanPS-BoldItalicMT"/>
          <w:bCs/>
          <w:iCs/>
          <w:szCs w:val="20"/>
        </w:rPr>
        <w:footnoteReference w:id="56"/>
      </w:r>
      <w:r w:rsidR="00D2204C" w:rsidRPr="00FD1B9F">
        <w:rPr>
          <w:rFonts w:cs="TimesNewRomanPS-BoldItalicMT"/>
          <w:bCs/>
          <w:iCs/>
          <w:szCs w:val="20"/>
        </w:rPr>
        <w:t xml:space="preserve">) </w:t>
      </w:r>
      <w:r w:rsidRPr="00FD1B9F">
        <w:rPr>
          <w:rFonts w:cs="TimesNewRomanPS-BoldItalicMT"/>
          <w:bCs/>
          <w:iCs/>
          <w:szCs w:val="20"/>
        </w:rPr>
        <w:t>oprócz przypadku</w:t>
      </w:r>
      <w:r w:rsidR="00D2204C" w:rsidRPr="00FD1B9F">
        <w:rPr>
          <w:rFonts w:cs="TimesNewRomanPS-BoldItalicMT"/>
          <w:bCs/>
          <w:iCs/>
          <w:szCs w:val="20"/>
        </w:rPr>
        <w:t xml:space="preserve">, </w:t>
      </w:r>
      <w:r w:rsidRPr="00FD1B9F">
        <w:rPr>
          <w:rFonts w:cs="TimesNewRomanPS-BoldItalicMT"/>
          <w:bCs/>
          <w:iCs/>
          <w:szCs w:val="20"/>
        </w:rPr>
        <w:t>gdy w</w:t>
      </w:r>
      <w:r w:rsidR="00FD1B9F" w:rsidRPr="00FD1B9F">
        <w:rPr>
          <w:rFonts w:cs="TimesNewRomanPS-BoldItalicMT"/>
          <w:bCs/>
          <w:iCs/>
          <w:szCs w:val="20"/>
        </w:rPr>
        <w:t xml:space="preserve"> HMF nie ma wymagań dotyczących </w:t>
      </w:r>
      <w:r w:rsidR="00D2204C" w:rsidRPr="00FD1B9F">
        <w:rPr>
          <w:rFonts w:cs="TimesNewRomanPS-BoldItalicMT"/>
          <w:bCs/>
          <w:iCs/>
          <w:szCs w:val="20"/>
        </w:rPr>
        <w:t xml:space="preserve">szerokości, to </w:t>
      </w:r>
      <w:r w:rsidR="00FD1B9F" w:rsidRPr="00FD1B9F">
        <w:rPr>
          <w:rFonts w:cs="TimesNewRomanPS-BoldItalicMT"/>
          <w:bCs/>
          <w:iCs/>
          <w:szCs w:val="20"/>
        </w:rPr>
        <w:t xml:space="preserve">szerokość </w:t>
      </w:r>
      <w:r w:rsidR="00D2204C" w:rsidRPr="00FD1B9F">
        <w:rPr>
          <w:rFonts w:cs="TimesNewRomanPS-BoldItalicMT"/>
          <w:bCs/>
          <w:iCs/>
          <w:szCs w:val="20"/>
        </w:rPr>
        <w:t xml:space="preserve">powinna być nie mniejsza niż największy wymiar </w:t>
      </w:r>
      <w:r w:rsidRPr="00FD1B9F">
        <w:rPr>
          <w:rFonts w:cs="TimesNewRomanPS-BoldItalicMT"/>
          <w:bCs/>
          <w:iCs/>
          <w:szCs w:val="20"/>
        </w:rPr>
        <w:t>całkowity</w:t>
      </w:r>
      <w:r w:rsidR="00D2204C" w:rsidRPr="00FD1B9F">
        <w:rPr>
          <w:rFonts w:cs="TimesNewRomanPS-BoldItalicMT"/>
          <w:bCs/>
          <w:iCs/>
          <w:szCs w:val="20"/>
        </w:rPr>
        <w:t xml:space="preserve"> (D) największego śmigłowca, do obsługi którego strefa FATO jest przeznaczona; </w:t>
      </w:r>
    </w:p>
    <w:p w14:paraId="3608BFB2" w14:textId="6CF5658C" w:rsidR="00D2204C" w:rsidRPr="00FD1B9F" w:rsidRDefault="001B42A7" w:rsidP="001B42A7">
      <w:pPr>
        <w:tabs>
          <w:tab w:val="left" w:pos="1134"/>
        </w:tabs>
        <w:autoSpaceDE w:val="0"/>
        <w:autoSpaceDN w:val="0"/>
        <w:adjustRightInd w:val="0"/>
        <w:ind w:left="1134" w:hanging="567"/>
        <w:rPr>
          <w:rFonts w:cs="TimesNewRomanPS-BoldItalicMT"/>
          <w:bCs/>
          <w:iCs/>
          <w:szCs w:val="20"/>
        </w:rPr>
      </w:pPr>
      <w:r w:rsidRPr="00FD1B9F">
        <w:rPr>
          <w:rFonts w:cs="TimesNewRomanPS-BoldItalicMT"/>
          <w:bCs/>
          <w:iCs/>
          <w:szCs w:val="20"/>
        </w:rPr>
        <w:t>(3)</w:t>
      </w:r>
      <w:r w:rsidRPr="00FD1B9F">
        <w:rPr>
          <w:rFonts w:cs="TimesNewRomanPS-BoldItalicMT"/>
          <w:bCs/>
          <w:iCs/>
          <w:szCs w:val="20"/>
        </w:rPr>
        <w:tab/>
        <w:t>W</w:t>
      </w:r>
      <w:r w:rsidR="00D2204C" w:rsidRPr="00FD1B9F">
        <w:rPr>
          <w:rFonts w:cs="TimesNewRomanPS-BoldItalicMT"/>
          <w:bCs/>
          <w:iCs/>
          <w:szCs w:val="20"/>
        </w:rPr>
        <w:t xml:space="preserve"> przypadku, gdy </w:t>
      </w:r>
      <w:r w:rsidRPr="00FD1B9F">
        <w:rPr>
          <w:rFonts w:cs="TimesNewRomanPS-BoldItalicMT"/>
          <w:bCs/>
          <w:iCs/>
          <w:szCs w:val="20"/>
        </w:rPr>
        <w:t xml:space="preserve">strefa FATO </w:t>
      </w:r>
      <w:r w:rsidR="00D2204C" w:rsidRPr="00FD1B9F">
        <w:rPr>
          <w:rFonts w:cs="TimesNewRomanPS-BoldItalicMT"/>
          <w:bCs/>
          <w:iCs/>
          <w:szCs w:val="20"/>
        </w:rPr>
        <w:t>ma być wykorzystywan</w:t>
      </w:r>
      <w:r w:rsidR="00FD1B9F" w:rsidRPr="00FD1B9F">
        <w:rPr>
          <w:rFonts w:cs="TimesNewRomanPS-BoldItalicMT"/>
          <w:bCs/>
          <w:iCs/>
          <w:szCs w:val="20"/>
        </w:rPr>
        <w:t>a przez śmigłowce operujące w 2 </w:t>
      </w:r>
      <w:r w:rsidR="00D2204C" w:rsidRPr="00FD1B9F">
        <w:rPr>
          <w:rFonts w:cs="TimesNewRomanPS-BoldItalicMT"/>
          <w:bCs/>
          <w:iCs/>
          <w:szCs w:val="20"/>
        </w:rPr>
        <w:t xml:space="preserve">lub 3 klasie osiągów, </w:t>
      </w:r>
      <w:r w:rsidRPr="00FD1B9F">
        <w:rPr>
          <w:rFonts w:cs="TimesNewRomanPS-BoldItalicMT"/>
          <w:bCs/>
          <w:iCs/>
          <w:szCs w:val="20"/>
        </w:rPr>
        <w:t xml:space="preserve">to powinna </w:t>
      </w:r>
      <w:r w:rsidR="00D2204C" w:rsidRPr="00FD1B9F">
        <w:rPr>
          <w:rFonts w:cs="TimesNewRomanPS-BoldItalicMT"/>
          <w:bCs/>
          <w:iCs/>
          <w:szCs w:val="20"/>
        </w:rPr>
        <w:t xml:space="preserve">mieć </w:t>
      </w:r>
      <w:r w:rsidR="00FD1B9F" w:rsidRPr="00FD1B9F">
        <w:rPr>
          <w:rFonts w:cs="TimesNewRomanPS-BoldItalicMT"/>
          <w:bCs/>
          <w:iCs/>
          <w:szCs w:val="20"/>
        </w:rPr>
        <w:t xml:space="preserve">ona </w:t>
      </w:r>
      <w:r w:rsidR="00D2204C" w:rsidRPr="00FD1B9F">
        <w:rPr>
          <w:rFonts w:cs="TimesNewRomanPS-BoldItalicMT"/>
          <w:bCs/>
          <w:iCs/>
          <w:szCs w:val="20"/>
        </w:rPr>
        <w:t>wystarczającą wielkość i kształt, aby obejmować obszar, w którym można wykreślić okrąg o</w:t>
      </w:r>
      <w:r w:rsidRPr="00FD1B9F">
        <w:rPr>
          <w:rFonts w:cs="TimesNewRomanPS-BoldItalicMT"/>
          <w:bCs/>
          <w:iCs/>
          <w:szCs w:val="20"/>
        </w:rPr>
        <w:t xml:space="preserve"> </w:t>
      </w:r>
      <w:r w:rsidR="00D2204C" w:rsidRPr="00FD1B9F">
        <w:rPr>
          <w:rFonts w:cs="TimesNewRomanPS-BoldItalicMT"/>
          <w:bCs/>
          <w:iCs/>
          <w:szCs w:val="20"/>
        </w:rPr>
        <w:t>średnicy nie mniejszej niż:</w:t>
      </w:r>
    </w:p>
    <w:p w14:paraId="08AEF07A" w14:textId="61557109" w:rsidR="00D2204C" w:rsidRPr="00FD1B9F" w:rsidRDefault="001B42A7" w:rsidP="001B42A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 xml:space="preserve">(i) </w:t>
      </w:r>
      <w:r w:rsidRPr="00FD1B9F">
        <w:rPr>
          <w:rFonts w:cs="TimesNewRomanPS-BoldItalicMT"/>
          <w:bCs/>
          <w:iCs/>
          <w:szCs w:val="20"/>
        </w:rPr>
        <w:tab/>
        <w:t>1 </w:t>
      </w:r>
      <w:r w:rsidR="00D2204C" w:rsidRPr="00FD1B9F">
        <w:rPr>
          <w:rFonts w:cs="TimesNewRomanPS-BoldItalicMT"/>
          <w:bCs/>
          <w:iCs/>
          <w:szCs w:val="20"/>
        </w:rPr>
        <w:t>D największego śmigłowca, gdy maksymalna masa do startu (MTOM) śmigłowc</w:t>
      </w:r>
      <w:r w:rsidR="00FD1B9F" w:rsidRPr="00FD1B9F">
        <w:rPr>
          <w:rFonts w:cs="TimesNewRomanPS-BoldItalicMT"/>
          <w:bCs/>
          <w:iCs/>
          <w:szCs w:val="20"/>
        </w:rPr>
        <w:t>ów</w:t>
      </w:r>
      <w:r w:rsidR="00D2204C" w:rsidRPr="00FD1B9F">
        <w:rPr>
          <w:rFonts w:cs="TimesNewRomanPS-BoldItalicMT"/>
          <w:bCs/>
          <w:iCs/>
          <w:szCs w:val="20"/>
        </w:rPr>
        <w:t>, do obsługi któr</w:t>
      </w:r>
      <w:r w:rsidR="00FD1B9F" w:rsidRPr="00FD1B9F">
        <w:rPr>
          <w:rFonts w:cs="TimesNewRomanPS-BoldItalicMT"/>
          <w:bCs/>
          <w:iCs/>
          <w:szCs w:val="20"/>
        </w:rPr>
        <w:t>ych</w:t>
      </w:r>
      <w:r w:rsidR="00D2204C" w:rsidRPr="00FD1B9F">
        <w:rPr>
          <w:rFonts w:cs="TimesNewRomanPS-BoldItalicMT"/>
          <w:bCs/>
          <w:iCs/>
          <w:szCs w:val="20"/>
        </w:rPr>
        <w:t xml:space="preserve"> strefa FATO jest przeznaczona, jest większa niż</w:t>
      </w:r>
      <w:r w:rsidRPr="00FD1B9F">
        <w:rPr>
          <w:rFonts w:cs="TimesNewRomanPS-BoldItalicMT"/>
          <w:bCs/>
          <w:iCs/>
          <w:szCs w:val="20"/>
        </w:rPr>
        <w:t xml:space="preserve"> 3</w:t>
      </w:r>
      <w:r w:rsidR="00D2204C" w:rsidRPr="00FD1B9F">
        <w:rPr>
          <w:rFonts w:cs="TimesNewRomanPS-BoldItalicMT"/>
          <w:bCs/>
          <w:iCs/>
          <w:szCs w:val="20"/>
        </w:rPr>
        <w:t xml:space="preserve">175 kg, </w:t>
      </w:r>
    </w:p>
    <w:p w14:paraId="3A4C1F82" w14:textId="26521B50" w:rsidR="00D2204C" w:rsidRPr="00FD1B9F" w:rsidRDefault="001B42A7" w:rsidP="001B42A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(ii</w:t>
      </w:r>
      <w:r w:rsidR="00D2204C" w:rsidRPr="00FD1B9F">
        <w:rPr>
          <w:rFonts w:cs="TimesNewRomanPS-BoldItalicMT"/>
          <w:bCs/>
          <w:iCs/>
          <w:szCs w:val="20"/>
        </w:rPr>
        <w:t xml:space="preserve">) </w:t>
      </w:r>
      <w:r w:rsidR="00D2204C" w:rsidRPr="00FD1B9F">
        <w:rPr>
          <w:rFonts w:cs="TimesNewRomanPS-BoldItalicMT"/>
          <w:bCs/>
          <w:iCs/>
          <w:szCs w:val="20"/>
        </w:rPr>
        <w:tab/>
      </w:r>
      <w:r w:rsidRPr="00FD1B9F">
        <w:rPr>
          <w:rFonts w:cs="TimesNewRomanPS-BoldItalicMT"/>
          <w:bCs/>
          <w:iCs/>
          <w:szCs w:val="20"/>
        </w:rPr>
        <w:t>0,83 </w:t>
      </w:r>
      <w:r w:rsidR="00D2204C" w:rsidRPr="00FD1B9F">
        <w:rPr>
          <w:rFonts w:cs="TimesNewRomanPS-BoldItalicMT"/>
          <w:bCs/>
          <w:iCs/>
          <w:szCs w:val="20"/>
        </w:rPr>
        <w:t>D największego śmigłowca, gdy maksymalna masa do startu (MTOM) śmigłowc</w:t>
      </w:r>
      <w:r w:rsidR="00FD1B9F" w:rsidRPr="00FD1B9F">
        <w:rPr>
          <w:rFonts w:cs="TimesNewRomanPS-BoldItalicMT"/>
          <w:bCs/>
          <w:iCs/>
          <w:szCs w:val="20"/>
        </w:rPr>
        <w:t>ów</w:t>
      </w:r>
      <w:r w:rsidR="00D2204C" w:rsidRPr="00FD1B9F">
        <w:rPr>
          <w:rFonts w:cs="TimesNewRomanPS-BoldItalicMT"/>
          <w:bCs/>
          <w:iCs/>
          <w:szCs w:val="20"/>
        </w:rPr>
        <w:t xml:space="preserve">, do obsługi których strefa FATO jest przeznaczona, wynosi 3175 kg lub mniej. </w:t>
      </w:r>
    </w:p>
    <w:p w14:paraId="744CDF02" w14:textId="31D8D906" w:rsidR="001B42A7" w:rsidRPr="00FD1B9F" w:rsidRDefault="007E6D67" w:rsidP="001B42A7">
      <w:pPr>
        <w:tabs>
          <w:tab w:val="left" w:pos="1134"/>
        </w:tabs>
        <w:autoSpaceDE w:val="0"/>
        <w:autoSpaceDN w:val="0"/>
        <w:adjustRightInd w:val="0"/>
        <w:ind w:left="1134" w:hanging="567"/>
        <w:rPr>
          <w:rFonts w:cs="TimesNewRomanPS-BoldItalicMT"/>
          <w:bCs/>
          <w:iCs/>
          <w:szCs w:val="20"/>
        </w:rPr>
      </w:pPr>
      <w:r w:rsidRPr="00FD1B9F">
        <w:rPr>
          <w:rFonts w:cs="TimesNewRomanPS-BoldItalicMT"/>
          <w:bCs/>
          <w:iCs/>
          <w:szCs w:val="20"/>
        </w:rPr>
        <w:t xml:space="preserve">(4) </w:t>
      </w:r>
      <w:r w:rsidRPr="00FD1B9F">
        <w:rPr>
          <w:rFonts w:cs="TimesNewRomanPS-BoldItalicMT"/>
          <w:bCs/>
          <w:iCs/>
          <w:szCs w:val="20"/>
        </w:rPr>
        <w:tab/>
      </w:r>
      <w:r w:rsidR="001B42A7" w:rsidRPr="00FD1B9F">
        <w:rPr>
          <w:rFonts w:cs="TimesNewRomanPS-BoldItalicMT"/>
          <w:bCs/>
          <w:iCs/>
          <w:szCs w:val="20"/>
        </w:rPr>
        <w:t>Powierzchnia strefy FATO powinna:</w:t>
      </w:r>
    </w:p>
    <w:p w14:paraId="44143362" w14:textId="7186C2EB" w:rsidR="001B42A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(i</w:t>
      </w:r>
      <w:r w:rsidR="001B42A7" w:rsidRPr="00FD1B9F">
        <w:rPr>
          <w:rFonts w:cs="TimesNewRomanPS-BoldItalicMT"/>
          <w:bCs/>
          <w:iCs/>
          <w:szCs w:val="20"/>
        </w:rPr>
        <w:t>)</w:t>
      </w:r>
      <w:r w:rsidR="001B42A7" w:rsidRPr="00FD1B9F">
        <w:rPr>
          <w:rFonts w:cs="TimesNewRomanPS-BoldItalicMT"/>
          <w:bCs/>
          <w:iCs/>
          <w:szCs w:val="20"/>
        </w:rPr>
        <w:tab/>
        <w:t>być odporna na efekty podmuchu podwirnikowego;</w:t>
      </w:r>
    </w:p>
    <w:p w14:paraId="5604008E" w14:textId="614A58AA" w:rsidR="001B42A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(ii</w:t>
      </w:r>
      <w:r w:rsidR="001B42A7" w:rsidRPr="00FD1B9F">
        <w:rPr>
          <w:rFonts w:cs="TimesNewRomanPS-BoldItalicMT"/>
          <w:bCs/>
          <w:iCs/>
          <w:szCs w:val="20"/>
        </w:rPr>
        <w:t>)</w:t>
      </w:r>
      <w:r w:rsidR="001B42A7" w:rsidRPr="00FD1B9F">
        <w:rPr>
          <w:rFonts w:cs="TimesNewRomanPS-BoldItalicMT"/>
          <w:bCs/>
          <w:iCs/>
          <w:szCs w:val="20"/>
        </w:rPr>
        <w:tab/>
        <w:t xml:space="preserve">być wolna od nierówności, które mogłyby oddziaływać negatywnie na start lub lądowanie śmigłowców; </w:t>
      </w:r>
    </w:p>
    <w:p w14:paraId="72962C23" w14:textId="542DF62C" w:rsidR="001B42A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(iii</w:t>
      </w:r>
      <w:r w:rsidR="001B42A7" w:rsidRPr="00FD1B9F">
        <w:rPr>
          <w:rFonts w:cs="TimesNewRomanPS-BoldItalicMT"/>
          <w:bCs/>
          <w:iCs/>
          <w:szCs w:val="20"/>
        </w:rPr>
        <w:t>)</w:t>
      </w:r>
      <w:r w:rsidR="001B42A7" w:rsidRPr="00FD1B9F">
        <w:rPr>
          <w:rFonts w:cs="TimesNewRomanPS-BoldItalicMT"/>
          <w:bCs/>
          <w:iCs/>
          <w:szCs w:val="20"/>
        </w:rPr>
        <w:tab/>
        <w:t>mieć zdolność przenoszenia obciążeń wystarczającą do przyjmowania przerwanego startu śmigłowców</w:t>
      </w:r>
      <w:r w:rsidRPr="00FD1B9F">
        <w:rPr>
          <w:rFonts w:cs="TimesNewRomanPS-BoldItalicMT"/>
          <w:bCs/>
          <w:iCs/>
          <w:szCs w:val="20"/>
        </w:rPr>
        <w:t xml:space="preserve"> operujących w 1 klasie osiągów;</w:t>
      </w:r>
    </w:p>
    <w:p w14:paraId="615F97FB" w14:textId="2BA24937" w:rsidR="007E6D6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 xml:space="preserve">(iv) </w:t>
      </w:r>
      <w:r w:rsidRPr="00FD1B9F">
        <w:rPr>
          <w:rFonts w:cs="TimesNewRomanPS-BoldItalicMT"/>
          <w:bCs/>
          <w:iCs/>
          <w:szCs w:val="20"/>
        </w:rPr>
        <w:tab/>
        <w:t>zapewniać efekt ziemi.</w:t>
      </w:r>
    </w:p>
    <w:p w14:paraId="361DA8BB" w14:textId="020AA0EB" w:rsidR="007E6D6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 xml:space="preserve">(v) </w:t>
      </w:r>
      <w:r w:rsidRPr="00FD1B9F">
        <w:rPr>
          <w:rFonts w:cs="TimesNewRomanPS-BoldItalicMT"/>
          <w:bCs/>
          <w:iCs/>
          <w:szCs w:val="20"/>
        </w:rPr>
        <w:tab/>
        <w:t>posiadać średnie nachylenie w każdym kierunku, które nie przekracza 3 %; oraz</w:t>
      </w:r>
    </w:p>
    <w:p w14:paraId="3587BECA" w14:textId="52F9E7A4" w:rsidR="007E6D67" w:rsidRPr="00FD1B9F"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 xml:space="preserve">(vi) </w:t>
      </w:r>
      <w:r w:rsidRPr="00FD1B9F">
        <w:rPr>
          <w:rFonts w:cs="TimesNewRomanPS-BoldItalicMT"/>
          <w:bCs/>
          <w:iCs/>
          <w:szCs w:val="20"/>
        </w:rPr>
        <w:tab/>
        <w:t>zapewni</w:t>
      </w:r>
      <w:r w:rsidR="00FD1B9F" w:rsidRPr="00FD1B9F">
        <w:rPr>
          <w:rFonts w:cs="TimesNewRomanPS-BoldItalicMT"/>
          <w:bCs/>
          <w:iCs/>
          <w:szCs w:val="20"/>
        </w:rPr>
        <w:t>a</w:t>
      </w:r>
      <w:r w:rsidRPr="00FD1B9F">
        <w:rPr>
          <w:rFonts w:cs="TimesNewRomanPS-BoldItalicMT"/>
          <w:bCs/>
          <w:iCs/>
          <w:szCs w:val="20"/>
        </w:rPr>
        <w:t>ć szybkie odprowadzenie wody.</w:t>
      </w:r>
    </w:p>
    <w:p w14:paraId="71783246" w14:textId="4A2315BB" w:rsidR="007E6D67" w:rsidRPr="00FD1B9F" w:rsidRDefault="007E6D67" w:rsidP="007E6D67">
      <w:pPr>
        <w:tabs>
          <w:tab w:val="left" w:pos="1134"/>
        </w:tabs>
        <w:autoSpaceDE w:val="0"/>
        <w:autoSpaceDN w:val="0"/>
        <w:adjustRightInd w:val="0"/>
        <w:ind w:left="1134" w:hanging="567"/>
        <w:rPr>
          <w:rFonts w:cs="TimesNewRomanPS-BoldItalicMT"/>
          <w:bCs/>
          <w:iCs/>
          <w:szCs w:val="20"/>
        </w:rPr>
      </w:pPr>
      <w:r w:rsidRPr="00FD1B9F">
        <w:rPr>
          <w:rFonts w:cs="TimesNewRomanPS-BoldItalicMT"/>
          <w:bCs/>
          <w:iCs/>
          <w:szCs w:val="20"/>
        </w:rPr>
        <w:t xml:space="preserve">(5) </w:t>
      </w:r>
      <w:r w:rsidRPr="00FD1B9F">
        <w:rPr>
          <w:rFonts w:cs="TimesNewRomanPS-BoldItalicMT"/>
          <w:bCs/>
          <w:iCs/>
          <w:szCs w:val="20"/>
        </w:rPr>
        <w:tab/>
        <w:t xml:space="preserve">W żadnej części strefy FATO </w:t>
      </w:r>
      <w:r w:rsidR="0053730E" w:rsidRPr="00FD1B9F">
        <w:rPr>
          <w:rFonts w:cs="TimesNewRomanPS-BoldItalicMT"/>
          <w:bCs/>
          <w:iCs/>
          <w:szCs w:val="20"/>
        </w:rPr>
        <w:t xml:space="preserve">nachylenie miejscowe </w:t>
      </w:r>
      <w:r w:rsidRPr="00FD1B9F">
        <w:rPr>
          <w:rFonts w:cs="TimesNewRomanPS-BoldItalicMT"/>
          <w:bCs/>
          <w:iCs/>
          <w:szCs w:val="20"/>
        </w:rPr>
        <w:t xml:space="preserve">nie może </w:t>
      </w:r>
      <w:r w:rsidR="00FD1B9F">
        <w:rPr>
          <w:rFonts w:cs="TimesNewRomanPS-BoldItalicMT"/>
          <w:bCs/>
          <w:iCs/>
          <w:szCs w:val="20"/>
        </w:rPr>
        <w:t>być</w:t>
      </w:r>
      <w:r w:rsidRPr="00FD1B9F">
        <w:rPr>
          <w:rFonts w:cs="TimesNewRomanPS-BoldItalicMT"/>
          <w:bCs/>
          <w:iCs/>
          <w:szCs w:val="20"/>
        </w:rPr>
        <w:t xml:space="preserve"> większe niż:</w:t>
      </w:r>
    </w:p>
    <w:p w14:paraId="2B2D8910" w14:textId="652EB4A2" w:rsidR="007E6D67" w:rsidRPr="0053730E" w:rsidRDefault="007E6D67" w:rsidP="007E6D67">
      <w:pPr>
        <w:tabs>
          <w:tab w:val="left" w:pos="1701"/>
        </w:tabs>
        <w:autoSpaceDE w:val="0"/>
        <w:autoSpaceDN w:val="0"/>
        <w:adjustRightInd w:val="0"/>
        <w:ind w:left="1701" w:hanging="567"/>
        <w:rPr>
          <w:rFonts w:cs="TimesNewRomanPS-BoldItalicMT"/>
          <w:bCs/>
          <w:iCs/>
          <w:szCs w:val="20"/>
        </w:rPr>
      </w:pPr>
      <w:r w:rsidRPr="00FD1B9F">
        <w:rPr>
          <w:rFonts w:cs="TimesNewRomanPS-BoldItalicMT"/>
          <w:bCs/>
          <w:iCs/>
          <w:szCs w:val="20"/>
        </w:rPr>
        <w:t>(i)</w:t>
      </w:r>
      <w:r w:rsidRPr="00FD1B9F">
        <w:rPr>
          <w:rFonts w:cs="TimesNewRomanPS-BoldItalicMT"/>
          <w:bCs/>
          <w:iCs/>
          <w:szCs w:val="20"/>
        </w:rPr>
        <w:tab/>
        <w:t xml:space="preserve">5% jeśli lotnisko </w:t>
      </w:r>
      <w:r w:rsidRPr="0053730E">
        <w:rPr>
          <w:rFonts w:cs="TimesNewRomanPS-BoldItalicMT"/>
          <w:bCs/>
          <w:iCs/>
          <w:szCs w:val="20"/>
        </w:rPr>
        <w:t>dla śmigłowców jest przeznaczone do użytkowania przez śmigłowce operujące w 1 klasie osiągów;</w:t>
      </w:r>
    </w:p>
    <w:p w14:paraId="0CEFF85E" w14:textId="54996555" w:rsidR="007E6D67" w:rsidRPr="0053730E" w:rsidRDefault="007E6D67" w:rsidP="007E6D67">
      <w:pPr>
        <w:tabs>
          <w:tab w:val="left" w:pos="1701"/>
        </w:tabs>
        <w:autoSpaceDE w:val="0"/>
        <w:autoSpaceDN w:val="0"/>
        <w:adjustRightInd w:val="0"/>
        <w:ind w:left="1701" w:hanging="567"/>
        <w:rPr>
          <w:rFonts w:cs="TimesNewRomanPS-BoldItalicMT"/>
          <w:bCs/>
          <w:iCs/>
          <w:szCs w:val="20"/>
        </w:rPr>
      </w:pPr>
      <w:r w:rsidRPr="0053730E">
        <w:rPr>
          <w:rFonts w:cs="TimesNewRomanPS-BoldItalicMT"/>
          <w:bCs/>
          <w:iCs/>
          <w:szCs w:val="20"/>
        </w:rPr>
        <w:t>(ii)</w:t>
      </w:r>
      <w:r w:rsidRPr="0053730E">
        <w:rPr>
          <w:rFonts w:cs="TimesNewRomanPS-BoldItalicMT"/>
          <w:bCs/>
          <w:iCs/>
          <w:szCs w:val="20"/>
        </w:rPr>
        <w:tab/>
        <w:t>7% jeśli lotnisko dla śmigłowców jest przeznaczone do użytkowania przez śmigłowce operujące w 2 lub 3 klasie osiągów.</w:t>
      </w:r>
    </w:p>
    <w:p w14:paraId="10B31370" w14:textId="1E14A0B5" w:rsidR="00C643ED" w:rsidRPr="009E064B" w:rsidRDefault="003802E3" w:rsidP="00133B99">
      <w:pPr>
        <w:pStyle w:val="Nagwek6"/>
      </w:pPr>
      <w:bookmarkStart w:id="1891" w:name="_Toc12533343"/>
      <w:r>
        <w:t>GM1 HPT-DSN.B.</w:t>
      </w:r>
      <w:r w:rsidR="00C643ED" w:rsidRPr="009E064B">
        <w:t>10</w:t>
      </w:r>
      <w:r>
        <w:t>0</w:t>
      </w:r>
      <w:r w:rsidR="00C643ED" w:rsidRPr="009E064B">
        <w:t xml:space="preserve">     </w:t>
      </w:r>
      <w:r w:rsidR="00860C39" w:rsidRPr="009E064B">
        <w:t>Stref</w:t>
      </w:r>
      <w:r>
        <w:t>y</w:t>
      </w:r>
      <w:r w:rsidR="00860C39" w:rsidRPr="009E064B">
        <w:t xml:space="preserve"> podejścia końcowego i startu (FATO</w:t>
      </w:r>
      <w:r>
        <w:t>s</w:t>
      </w:r>
      <w:r w:rsidR="00860C39" w:rsidRPr="009E064B">
        <w:t>)</w:t>
      </w:r>
      <w:bookmarkEnd w:id="1891"/>
    </w:p>
    <w:p w14:paraId="40FD79DE" w14:textId="5B68A014" w:rsidR="00C643ED" w:rsidRPr="009E064B" w:rsidRDefault="001F74A1" w:rsidP="00C643ED">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A228DAA" w14:textId="77777777" w:rsidR="00FC3608" w:rsidRPr="0053730E" w:rsidRDefault="00FC3608" w:rsidP="00FC3608">
      <w:pPr>
        <w:tabs>
          <w:tab w:val="left" w:pos="567"/>
        </w:tabs>
        <w:autoSpaceDE w:val="0"/>
        <w:autoSpaceDN w:val="0"/>
        <w:adjustRightInd w:val="0"/>
        <w:ind w:left="567" w:hanging="567"/>
        <w:rPr>
          <w:rFonts w:eastAsia="Verdana" w:cs="Verdana"/>
          <w:bCs/>
          <w:szCs w:val="20"/>
        </w:rPr>
      </w:pPr>
      <w:r w:rsidRPr="0053730E">
        <w:rPr>
          <w:rFonts w:cs="TimesNewRomanPS-BoldItalicMT"/>
          <w:bCs/>
          <w:iCs/>
          <w:szCs w:val="20"/>
        </w:rPr>
        <w:t xml:space="preserve">(a) </w:t>
      </w:r>
      <w:r w:rsidRPr="0053730E">
        <w:rPr>
          <w:rFonts w:cs="TimesNewRomanPS-BoldItalicMT"/>
          <w:bCs/>
          <w:iCs/>
          <w:szCs w:val="20"/>
        </w:rPr>
        <w:tab/>
        <w:t>Wymagania</w:t>
      </w:r>
      <w:r w:rsidRPr="0053730E">
        <w:rPr>
          <w:rFonts w:eastAsia="Verdana" w:cs="Verdana"/>
          <w:bCs/>
          <w:szCs w:val="20"/>
        </w:rPr>
        <w:t xml:space="preserve"> ogólne</w:t>
      </w:r>
    </w:p>
    <w:p w14:paraId="561FDA63" w14:textId="3567D938" w:rsidR="00FC3608" w:rsidRPr="0053730E" w:rsidRDefault="00FC3608" w:rsidP="00FC3608">
      <w:pPr>
        <w:tabs>
          <w:tab w:val="left" w:pos="1134"/>
        </w:tabs>
        <w:autoSpaceDE w:val="0"/>
        <w:autoSpaceDN w:val="0"/>
        <w:adjustRightInd w:val="0"/>
        <w:ind w:left="1134" w:hanging="567"/>
        <w:rPr>
          <w:rFonts w:cs="TimesNewRomanPS-BoldItalicMT"/>
          <w:bCs/>
          <w:iCs/>
          <w:szCs w:val="20"/>
        </w:rPr>
      </w:pPr>
      <w:r w:rsidRPr="0053730E">
        <w:rPr>
          <w:rFonts w:cs="TimesNewRomanPS-BoldItalicMT"/>
          <w:bCs/>
          <w:iCs/>
          <w:szCs w:val="20"/>
        </w:rPr>
        <w:t xml:space="preserve">(1) </w:t>
      </w:r>
      <w:r w:rsidRPr="0053730E">
        <w:rPr>
          <w:rFonts w:cs="TimesNewRomanPS-BoldItalicMT"/>
          <w:bCs/>
          <w:iCs/>
          <w:szCs w:val="20"/>
        </w:rPr>
        <w:tab/>
      </w:r>
      <w:r w:rsidR="0053730E" w:rsidRPr="0053730E">
        <w:rPr>
          <w:rFonts w:cs="TimesNewRomanPS-BoldItalicMT"/>
          <w:bCs/>
          <w:iCs/>
          <w:szCs w:val="20"/>
        </w:rPr>
        <w:t xml:space="preserve">Strefa </w:t>
      </w:r>
      <w:r w:rsidRPr="0053730E">
        <w:rPr>
          <w:rFonts w:cs="TimesNewRomanPS-BoldItalicMT"/>
          <w:bCs/>
          <w:iCs/>
          <w:szCs w:val="20"/>
        </w:rPr>
        <w:t>FATO nie musi być konieczne zapewnian</w:t>
      </w:r>
      <w:r w:rsidR="0053730E" w:rsidRPr="0053730E">
        <w:rPr>
          <w:rFonts w:cs="TimesNewRomanPS-BoldItalicMT"/>
          <w:bCs/>
          <w:iCs/>
          <w:szCs w:val="20"/>
        </w:rPr>
        <w:t xml:space="preserve">a na lotnisku </w:t>
      </w:r>
      <w:r w:rsidRPr="0053730E">
        <w:rPr>
          <w:rFonts w:cs="TimesNewRomanPS-BoldItalicMT"/>
          <w:bCs/>
          <w:iCs/>
          <w:szCs w:val="20"/>
        </w:rPr>
        <w:t>dla samolotów</w:t>
      </w:r>
      <w:r w:rsidR="0053730E" w:rsidRPr="0053730E">
        <w:rPr>
          <w:rFonts w:cs="TimesNewRomanPS-BoldItalicMT"/>
          <w:bCs/>
          <w:iCs/>
          <w:szCs w:val="20"/>
        </w:rPr>
        <w:t>, na którym</w:t>
      </w:r>
      <w:r w:rsidRPr="0053730E">
        <w:rPr>
          <w:rFonts w:cs="TimesNewRomanPS-BoldItalicMT"/>
          <w:bCs/>
          <w:iCs/>
          <w:szCs w:val="20"/>
        </w:rPr>
        <w:t xml:space="preserve"> droga startowa jest wykorzystywana do celów końcowego podejścia i startu śmigłowców.</w:t>
      </w:r>
    </w:p>
    <w:p w14:paraId="2925CB9D" w14:textId="6450BC51" w:rsidR="00C643ED" w:rsidRPr="0053730E" w:rsidRDefault="00FC3608" w:rsidP="00FC3608">
      <w:pPr>
        <w:tabs>
          <w:tab w:val="left" w:pos="1134"/>
        </w:tabs>
        <w:autoSpaceDE w:val="0"/>
        <w:autoSpaceDN w:val="0"/>
        <w:adjustRightInd w:val="0"/>
        <w:ind w:left="1134" w:hanging="567"/>
        <w:rPr>
          <w:rFonts w:cs="TimesNewRomanPS-BoldItalicMT"/>
          <w:bCs/>
          <w:iCs/>
          <w:szCs w:val="20"/>
        </w:rPr>
      </w:pPr>
      <w:r w:rsidRPr="0053730E">
        <w:rPr>
          <w:rFonts w:cs="TimesNewRomanPS-BoldItalicMT"/>
          <w:bCs/>
          <w:iCs/>
          <w:szCs w:val="20"/>
        </w:rPr>
        <w:t xml:space="preserve">(2) </w:t>
      </w:r>
      <w:r w:rsidRPr="0053730E">
        <w:rPr>
          <w:rFonts w:cs="TimesNewRomanPS-BoldItalicMT"/>
          <w:bCs/>
          <w:iCs/>
          <w:szCs w:val="20"/>
        </w:rPr>
        <w:tab/>
        <w:t>Jeżeli FATO znajduje się w pobliżu drogi startowej lub drogi kołowania, i gdy planowane jest wykonywanie jednoczesnych operacji śmigłowca i samolotu, to odległość między krawędzią drogi startowej lub drogi kołowania a krawędzią FATO nie powinna być mniejsza niż odpowiedni wymiar w tabeli GM1- B-1.</w:t>
      </w:r>
    </w:p>
    <w:p w14:paraId="085550C3" w14:textId="6F0A2009" w:rsidR="00FC3608" w:rsidRDefault="00FC3608" w:rsidP="009E064B">
      <w:pPr>
        <w:tabs>
          <w:tab w:val="left" w:pos="1134"/>
        </w:tabs>
        <w:autoSpaceDE w:val="0"/>
        <w:autoSpaceDN w:val="0"/>
        <w:adjustRightInd w:val="0"/>
        <w:spacing w:after="360"/>
        <w:ind w:left="1134" w:hanging="567"/>
        <w:rPr>
          <w:rFonts w:cs="TimesNewRomanPS-BoldItalicMT"/>
          <w:bCs/>
          <w:iCs/>
          <w:szCs w:val="20"/>
        </w:rPr>
      </w:pPr>
      <w:r w:rsidRPr="0053730E">
        <w:rPr>
          <w:rFonts w:cs="TimesNewRomanPS-BoldItalicMT"/>
          <w:bCs/>
          <w:iCs/>
          <w:szCs w:val="20"/>
        </w:rPr>
        <w:t xml:space="preserve">(3) </w:t>
      </w:r>
      <w:r w:rsidRPr="0053730E">
        <w:rPr>
          <w:rFonts w:cs="TimesNewRomanPS-BoldItalicMT"/>
          <w:bCs/>
          <w:iCs/>
          <w:szCs w:val="20"/>
        </w:rPr>
        <w:tab/>
        <w:t xml:space="preserve">Przy pewnych warunkach </w:t>
      </w:r>
      <w:r w:rsidR="0053730E" w:rsidRPr="0053730E">
        <w:rPr>
          <w:rFonts w:cs="TimesNewRomanPS-BoldItalicMT"/>
          <w:bCs/>
          <w:iCs/>
          <w:szCs w:val="20"/>
        </w:rPr>
        <w:t xml:space="preserve">wiatrowych </w:t>
      </w:r>
      <w:r w:rsidRPr="0053730E">
        <w:rPr>
          <w:rFonts w:cs="TimesNewRomanPS-BoldItalicMT"/>
          <w:bCs/>
          <w:iCs/>
          <w:szCs w:val="20"/>
        </w:rPr>
        <w:t xml:space="preserve">powinny być brane pod uwagę ograniczenia operacyjne </w:t>
      </w:r>
    </w:p>
    <w:tbl>
      <w:tblPr>
        <w:tblStyle w:val="Tabela-Siatka"/>
        <w:tblW w:w="0" w:type="auto"/>
        <w:tblInd w:w="562" w:type="dxa"/>
        <w:tblCellMar>
          <w:top w:w="57" w:type="dxa"/>
          <w:left w:w="85" w:type="dxa"/>
          <w:bottom w:w="57" w:type="dxa"/>
          <w:right w:w="85" w:type="dxa"/>
        </w:tblCellMar>
        <w:tblLook w:val="04A0" w:firstRow="1" w:lastRow="0" w:firstColumn="1" w:lastColumn="0" w:noHBand="0" w:noVBand="1"/>
      </w:tblPr>
      <w:tblGrid>
        <w:gridCol w:w="5245"/>
        <w:gridCol w:w="3253"/>
      </w:tblGrid>
      <w:tr w:rsidR="00797B45" w:rsidRPr="00797B45" w14:paraId="4732CCD5" w14:textId="77777777" w:rsidTr="0053730E">
        <w:tc>
          <w:tcPr>
            <w:tcW w:w="5245" w:type="dxa"/>
            <w:vAlign w:val="center"/>
          </w:tcPr>
          <w:p w14:paraId="4DC6F256" w14:textId="407004ED" w:rsidR="007656BF" w:rsidRPr="00797B45" w:rsidRDefault="007656BF" w:rsidP="007656BF">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 xml:space="preserve">Jeśli masa samolotu i/lub masa </w:t>
            </w:r>
            <w:r w:rsidRPr="00797B45">
              <w:rPr>
                <w:rFonts w:cs="TimesNewRomanPS-BoldItalicMT"/>
                <w:bCs/>
                <w:iCs/>
                <w:szCs w:val="20"/>
              </w:rPr>
              <w:br/>
              <w:t>śmigłowca wynosi:</w:t>
            </w:r>
          </w:p>
        </w:tc>
        <w:tc>
          <w:tcPr>
            <w:tcW w:w="3253" w:type="dxa"/>
            <w:vAlign w:val="center"/>
          </w:tcPr>
          <w:p w14:paraId="644BB384" w14:textId="5DF061A2" w:rsidR="007656BF" w:rsidRPr="00797B45" w:rsidRDefault="007656BF" w:rsidP="007656BF">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 xml:space="preserve">Odległość między krawędzią FATO a krawędzią drogi startowej </w:t>
            </w:r>
            <w:r w:rsidRPr="00797B45">
              <w:rPr>
                <w:rFonts w:cs="TimesNewRomanPS-BoldItalicMT"/>
                <w:bCs/>
                <w:iCs/>
                <w:szCs w:val="20"/>
              </w:rPr>
              <w:br/>
              <w:t>lub drogi kołowania</w:t>
            </w:r>
          </w:p>
        </w:tc>
      </w:tr>
      <w:tr w:rsidR="00797B45" w:rsidRPr="00797B45" w14:paraId="23BCD11A" w14:textId="77777777" w:rsidTr="0053730E">
        <w:tc>
          <w:tcPr>
            <w:tcW w:w="5245" w:type="dxa"/>
          </w:tcPr>
          <w:p w14:paraId="02E8E737" w14:textId="57D958BA" w:rsidR="007656BF" w:rsidRPr="00797B45" w:rsidRDefault="007656BF" w:rsidP="007656BF">
            <w:pPr>
              <w:tabs>
                <w:tab w:val="left" w:pos="1134"/>
              </w:tabs>
              <w:autoSpaceDE w:val="0"/>
              <w:autoSpaceDN w:val="0"/>
              <w:adjustRightInd w:val="0"/>
              <w:spacing w:after="0"/>
              <w:rPr>
                <w:rFonts w:cs="TimesNewRomanPS-BoldItalicMT"/>
                <w:bCs/>
                <w:iCs/>
                <w:szCs w:val="20"/>
              </w:rPr>
            </w:pPr>
            <w:r w:rsidRPr="00797B45">
              <w:rPr>
                <w:rFonts w:cs="TimesNewRomanPS-BoldItalicMT"/>
                <w:bCs/>
                <w:iCs/>
                <w:szCs w:val="20"/>
              </w:rPr>
              <w:t>do 3175 kg (bez wartości 3175 kg)</w:t>
            </w:r>
          </w:p>
        </w:tc>
        <w:tc>
          <w:tcPr>
            <w:tcW w:w="3253" w:type="dxa"/>
          </w:tcPr>
          <w:p w14:paraId="3BFAE8AC" w14:textId="7C798BE9" w:rsidR="007656BF" w:rsidRPr="00797B45" w:rsidRDefault="007656BF" w:rsidP="007656BF">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60 m</w:t>
            </w:r>
          </w:p>
        </w:tc>
      </w:tr>
      <w:tr w:rsidR="00797B45" w:rsidRPr="00797B45" w14:paraId="3ECF7ACC" w14:textId="77777777" w:rsidTr="0053730E">
        <w:tc>
          <w:tcPr>
            <w:tcW w:w="5245" w:type="dxa"/>
          </w:tcPr>
          <w:p w14:paraId="1DAE88EC" w14:textId="5F043EA2" w:rsidR="007656BF" w:rsidRPr="00797B45" w:rsidRDefault="007656BF" w:rsidP="009E064B">
            <w:pPr>
              <w:tabs>
                <w:tab w:val="left" w:pos="1134"/>
              </w:tabs>
              <w:autoSpaceDE w:val="0"/>
              <w:autoSpaceDN w:val="0"/>
              <w:adjustRightInd w:val="0"/>
              <w:spacing w:after="0"/>
              <w:rPr>
                <w:rFonts w:cs="TimesNewRomanPS-BoldItalicMT"/>
                <w:bCs/>
                <w:iCs/>
                <w:szCs w:val="20"/>
              </w:rPr>
            </w:pPr>
            <w:r w:rsidRPr="00797B45">
              <w:rPr>
                <w:rFonts w:cs="TimesNewRomanPS-BoldItalicMT"/>
                <w:bCs/>
                <w:iCs/>
                <w:szCs w:val="20"/>
              </w:rPr>
              <w:t xml:space="preserve">od </w:t>
            </w:r>
            <w:r w:rsidR="009E064B" w:rsidRPr="00797B45">
              <w:rPr>
                <w:rFonts w:cs="TimesNewRomanPS-BoldItalicMT"/>
                <w:bCs/>
                <w:iCs/>
                <w:szCs w:val="20"/>
              </w:rPr>
              <w:t xml:space="preserve">3175 kg </w:t>
            </w:r>
            <w:r w:rsidRPr="00797B45">
              <w:rPr>
                <w:rFonts w:cs="TimesNewRomanPS-BoldItalicMT"/>
                <w:bCs/>
                <w:iCs/>
                <w:szCs w:val="20"/>
              </w:rPr>
              <w:t xml:space="preserve">do </w:t>
            </w:r>
            <w:r w:rsidR="009E064B" w:rsidRPr="00797B45">
              <w:rPr>
                <w:rFonts w:cs="TimesNewRomanPS-BoldItalicMT"/>
                <w:bCs/>
                <w:iCs/>
                <w:szCs w:val="20"/>
              </w:rPr>
              <w:t xml:space="preserve">5760 kg </w:t>
            </w:r>
            <w:r w:rsidRPr="00797B45">
              <w:rPr>
                <w:rFonts w:cs="TimesNewRomanPS-BoldItalicMT"/>
                <w:bCs/>
                <w:iCs/>
                <w:szCs w:val="20"/>
              </w:rPr>
              <w:t xml:space="preserve">(bez wartości </w:t>
            </w:r>
            <w:r w:rsidR="009E064B" w:rsidRPr="00797B45">
              <w:rPr>
                <w:rFonts w:cs="TimesNewRomanPS-BoldItalicMT"/>
                <w:bCs/>
                <w:iCs/>
                <w:szCs w:val="20"/>
              </w:rPr>
              <w:t>5760 kg</w:t>
            </w:r>
            <w:r w:rsidRPr="00797B45">
              <w:rPr>
                <w:rFonts w:cs="TimesNewRomanPS-BoldItalicMT"/>
                <w:bCs/>
                <w:iCs/>
                <w:szCs w:val="20"/>
              </w:rPr>
              <w:t>)</w:t>
            </w:r>
          </w:p>
        </w:tc>
        <w:tc>
          <w:tcPr>
            <w:tcW w:w="3253" w:type="dxa"/>
          </w:tcPr>
          <w:p w14:paraId="4BC77B3C" w14:textId="1A0C4AD9" w:rsidR="007656BF" w:rsidRPr="00797B45" w:rsidRDefault="007656BF" w:rsidP="009E064B">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120 m</w:t>
            </w:r>
          </w:p>
        </w:tc>
      </w:tr>
      <w:tr w:rsidR="00797B45" w:rsidRPr="00797B45" w14:paraId="44A9B4BF" w14:textId="77777777" w:rsidTr="0053730E">
        <w:tc>
          <w:tcPr>
            <w:tcW w:w="5245" w:type="dxa"/>
          </w:tcPr>
          <w:p w14:paraId="38A6C152" w14:textId="406C1EBB" w:rsidR="007656BF" w:rsidRPr="00797B45" w:rsidRDefault="009E064B" w:rsidP="009E064B">
            <w:pPr>
              <w:tabs>
                <w:tab w:val="left" w:pos="1134"/>
              </w:tabs>
              <w:autoSpaceDE w:val="0"/>
              <w:autoSpaceDN w:val="0"/>
              <w:adjustRightInd w:val="0"/>
              <w:spacing w:after="0"/>
              <w:rPr>
                <w:rFonts w:cs="TimesNewRomanPS-BoldItalicMT"/>
                <w:bCs/>
                <w:iCs/>
                <w:szCs w:val="20"/>
              </w:rPr>
            </w:pPr>
            <w:r w:rsidRPr="00797B45">
              <w:rPr>
                <w:rFonts w:cs="TimesNewRomanPS-BoldItalicMT"/>
                <w:bCs/>
                <w:iCs/>
                <w:szCs w:val="20"/>
              </w:rPr>
              <w:t>od 5760 kg do 100 000 kg (bez wartości 10000 kg)</w:t>
            </w:r>
          </w:p>
        </w:tc>
        <w:tc>
          <w:tcPr>
            <w:tcW w:w="3253" w:type="dxa"/>
          </w:tcPr>
          <w:p w14:paraId="70533F20" w14:textId="39C1D48F" w:rsidR="007656BF" w:rsidRPr="00797B45" w:rsidRDefault="007656BF" w:rsidP="007656BF">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180 m</w:t>
            </w:r>
          </w:p>
        </w:tc>
      </w:tr>
      <w:tr w:rsidR="00797B45" w:rsidRPr="00797B45" w14:paraId="27E8D98B" w14:textId="77777777" w:rsidTr="0053730E">
        <w:tc>
          <w:tcPr>
            <w:tcW w:w="5245" w:type="dxa"/>
          </w:tcPr>
          <w:p w14:paraId="3D87E29F" w14:textId="7567DFAE" w:rsidR="007656BF" w:rsidRPr="00797B45" w:rsidRDefault="009E064B" w:rsidP="007656BF">
            <w:pPr>
              <w:tabs>
                <w:tab w:val="left" w:pos="1134"/>
              </w:tabs>
              <w:autoSpaceDE w:val="0"/>
              <w:autoSpaceDN w:val="0"/>
              <w:adjustRightInd w:val="0"/>
              <w:spacing w:after="0"/>
              <w:rPr>
                <w:rFonts w:cs="TimesNewRomanPS-BoldItalicMT"/>
                <w:bCs/>
                <w:iCs/>
                <w:szCs w:val="20"/>
              </w:rPr>
            </w:pPr>
            <w:r w:rsidRPr="00797B45">
              <w:rPr>
                <w:rFonts w:cs="TimesNewRomanPS-BoldItalicMT"/>
                <w:bCs/>
                <w:iCs/>
                <w:szCs w:val="20"/>
              </w:rPr>
              <w:t>100 000 kg i więcej</w:t>
            </w:r>
          </w:p>
        </w:tc>
        <w:tc>
          <w:tcPr>
            <w:tcW w:w="3253" w:type="dxa"/>
          </w:tcPr>
          <w:p w14:paraId="210DC26F" w14:textId="242814D6" w:rsidR="007656BF" w:rsidRPr="00797B45" w:rsidRDefault="007656BF" w:rsidP="007656BF">
            <w:pPr>
              <w:tabs>
                <w:tab w:val="left" w:pos="1134"/>
              </w:tabs>
              <w:autoSpaceDE w:val="0"/>
              <w:autoSpaceDN w:val="0"/>
              <w:adjustRightInd w:val="0"/>
              <w:spacing w:after="0"/>
              <w:jc w:val="center"/>
              <w:rPr>
                <w:rFonts w:cs="TimesNewRomanPS-BoldItalicMT"/>
                <w:bCs/>
                <w:iCs/>
                <w:szCs w:val="20"/>
              </w:rPr>
            </w:pPr>
            <w:r w:rsidRPr="00797B45">
              <w:rPr>
                <w:rFonts w:cs="TimesNewRomanPS-BoldItalicMT"/>
                <w:bCs/>
                <w:iCs/>
                <w:szCs w:val="20"/>
              </w:rPr>
              <w:t>250 m</w:t>
            </w:r>
          </w:p>
        </w:tc>
      </w:tr>
      <w:tr w:rsidR="00797B45" w:rsidRPr="00797B45" w14:paraId="0EC92CF8" w14:textId="77777777" w:rsidTr="0053730E">
        <w:tc>
          <w:tcPr>
            <w:tcW w:w="8498" w:type="dxa"/>
            <w:gridSpan w:val="2"/>
          </w:tcPr>
          <w:p w14:paraId="17BED39F" w14:textId="5F461E6E" w:rsidR="009E064B" w:rsidRPr="00797B45" w:rsidRDefault="009E064B" w:rsidP="0053730E">
            <w:pPr>
              <w:tabs>
                <w:tab w:val="left" w:pos="764"/>
              </w:tabs>
              <w:autoSpaceDE w:val="0"/>
              <w:autoSpaceDN w:val="0"/>
              <w:adjustRightInd w:val="0"/>
              <w:spacing w:after="0"/>
              <w:ind w:left="764" w:hanging="764"/>
              <w:rPr>
                <w:rFonts w:cs="TimesNewRomanPS-BoldItalicMT"/>
                <w:bCs/>
                <w:iCs/>
                <w:szCs w:val="20"/>
              </w:rPr>
            </w:pPr>
            <w:r w:rsidRPr="00797B45">
              <w:rPr>
                <w:rFonts w:cs="TimesNewRomanPS-BoldItalicMT"/>
                <w:bCs/>
                <w:iCs/>
                <w:szCs w:val="20"/>
              </w:rPr>
              <w:t xml:space="preserve">Uwaga: Wartości podane w tej tabeli mają przede wszystkim na celu złagodzenie ryzyka wystąpienia turbulencji. Oprócz tej tabeli, podczas ustawiania FATO przeznaczonego do jednoczesnego użycia z pobliską drogą startową lub drogą kołowania dla samolotów, należy zwrócić uwagę na inne wymagania </w:t>
            </w:r>
            <w:r w:rsidRPr="00042D60">
              <w:rPr>
                <w:rFonts w:cs="TimesNewRomanPS-BoldItalicMT"/>
                <w:bCs/>
                <w:iCs/>
                <w:szCs w:val="20"/>
              </w:rPr>
              <w:t>CS</w:t>
            </w:r>
            <w:r w:rsidR="0053730E" w:rsidRPr="00797B45">
              <w:rPr>
                <w:rFonts w:cs="TimesNewRomanPS-BoldItalicMT"/>
                <w:bCs/>
                <w:iCs/>
                <w:szCs w:val="20"/>
              </w:rPr>
              <w:t> </w:t>
            </w:r>
            <w:r w:rsidRPr="00797B45">
              <w:rPr>
                <w:rFonts w:cs="TimesNewRomanPS-BoldItalicMT"/>
                <w:bCs/>
                <w:iCs/>
                <w:szCs w:val="20"/>
              </w:rPr>
              <w:t>ADR-DSN, takie jak minimalna szerokość pasa drogi startowej. Przy ustawianiu separacji między FATO a pobliskimi elementami infrastruktury, powinno być brane pod uwagę środowisko lokalne, aby zapewnić bezpieczeństwo jednoczesnych operacji.</w:t>
            </w:r>
          </w:p>
        </w:tc>
      </w:tr>
    </w:tbl>
    <w:p w14:paraId="10D62AB2" w14:textId="4B842F5C" w:rsidR="007656BF" w:rsidRPr="00E97240" w:rsidRDefault="009E064B" w:rsidP="009E064B">
      <w:pPr>
        <w:tabs>
          <w:tab w:val="left" w:pos="1134"/>
        </w:tabs>
        <w:autoSpaceDE w:val="0"/>
        <w:autoSpaceDN w:val="0"/>
        <w:adjustRightInd w:val="0"/>
        <w:spacing w:before="240" w:after="0"/>
        <w:ind w:left="567"/>
        <w:jc w:val="center"/>
        <w:rPr>
          <w:rFonts w:cs="TimesNewRomanPS-BoldItalicMT"/>
          <w:b/>
          <w:bCs/>
          <w:iCs/>
          <w:sz w:val="20"/>
          <w:szCs w:val="20"/>
        </w:rPr>
      </w:pPr>
      <w:r w:rsidRPr="00E97240">
        <w:rPr>
          <w:rFonts w:cs="TimesNewRomanPS-BoldItalicMT"/>
          <w:b/>
          <w:bCs/>
          <w:iCs/>
          <w:sz w:val="20"/>
          <w:szCs w:val="20"/>
        </w:rPr>
        <w:t>Tabela GM1-B-1.   Minimaln</w:t>
      </w:r>
      <w:r w:rsidR="00797B45" w:rsidRPr="00E97240">
        <w:rPr>
          <w:rFonts w:cs="TimesNewRomanPS-BoldItalicMT"/>
          <w:b/>
          <w:bCs/>
          <w:iCs/>
          <w:sz w:val="20"/>
          <w:szCs w:val="20"/>
        </w:rPr>
        <w:t>a odległość</w:t>
      </w:r>
      <w:r w:rsidRPr="00E97240">
        <w:rPr>
          <w:rFonts w:cs="TimesNewRomanPS-BoldItalicMT"/>
          <w:b/>
          <w:bCs/>
          <w:iCs/>
          <w:sz w:val="20"/>
          <w:szCs w:val="20"/>
        </w:rPr>
        <w:t xml:space="preserve"> separacji FATO</w:t>
      </w:r>
    </w:p>
    <w:p w14:paraId="3AEE3D32" w14:textId="18AB4794" w:rsidR="009E064B" w:rsidRPr="00797B45" w:rsidRDefault="009E064B" w:rsidP="0053730E">
      <w:pPr>
        <w:tabs>
          <w:tab w:val="left" w:pos="1134"/>
        </w:tabs>
        <w:autoSpaceDE w:val="0"/>
        <w:autoSpaceDN w:val="0"/>
        <w:adjustRightInd w:val="0"/>
        <w:rPr>
          <w:rFonts w:cs="TimesNewRomanPS-BoldItalicMT"/>
          <w:bCs/>
          <w:iCs/>
          <w:szCs w:val="20"/>
        </w:rPr>
      </w:pPr>
    </w:p>
    <w:p w14:paraId="26F89278" w14:textId="25D773C8" w:rsidR="00F20501" w:rsidRPr="00797B45" w:rsidRDefault="00F20501" w:rsidP="00F20501">
      <w:pPr>
        <w:tabs>
          <w:tab w:val="left" w:pos="567"/>
        </w:tabs>
        <w:autoSpaceDE w:val="0"/>
        <w:autoSpaceDN w:val="0"/>
        <w:adjustRightInd w:val="0"/>
        <w:ind w:left="567" w:hanging="567"/>
        <w:rPr>
          <w:rFonts w:cs="TimesNewRomanPS-BoldItalicMT"/>
          <w:bCs/>
          <w:iCs/>
          <w:szCs w:val="20"/>
        </w:rPr>
      </w:pPr>
      <w:r w:rsidRPr="00797B45">
        <w:rPr>
          <w:rFonts w:cs="TimesNewRomanPS-BoldItalicMT"/>
          <w:bCs/>
          <w:iCs/>
        </w:rPr>
        <w:t xml:space="preserve">(b) </w:t>
      </w:r>
      <w:r w:rsidRPr="00797B45">
        <w:rPr>
          <w:rFonts w:cs="TimesNewRomanPS-BoldItalicMT"/>
          <w:bCs/>
          <w:iCs/>
        </w:rPr>
        <w:tab/>
        <w:t>Strefa</w:t>
      </w:r>
      <w:r w:rsidRPr="00797B45">
        <w:rPr>
          <w:rFonts w:cs="TimesNewRomanPS-BoldItalicMT"/>
          <w:bCs/>
          <w:iCs/>
          <w:szCs w:val="20"/>
        </w:rPr>
        <w:t xml:space="preserve"> FATO nie powinna być zlokalizowana:</w:t>
      </w:r>
    </w:p>
    <w:p w14:paraId="2917D17F" w14:textId="4A08A100" w:rsidR="00F20501" w:rsidRPr="00797B45" w:rsidRDefault="00F20501" w:rsidP="00F20501">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(i) </w:t>
      </w:r>
      <w:r w:rsidRPr="00797B45">
        <w:rPr>
          <w:rFonts w:cs="TimesNewRomanPS-BoldItalicMT"/>
          <w:bCs/>
          <w:iCs/>
          <w:szCs w:val="20"/>
        </w:rPr>
        <w:tab/>
        <w:t>w pobliżu skrzyżowania dróg kołowania lub punktów oczekiwania, w których istnieje prawdopodobieństwo wysokiej turbulencji wywoływanej gazami wylotowymi silników odrzutowych; lub</w:t>
      </w:r>
    </w:p>
    <w:p w14:paraId="11CCCF0E" w14:textId="4B4F264D" w:rsidR="00F20501" w:rsidRPr="00797B45" w:rsidRDefault="00F20501" w:rsidP="00F20501">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(ii) </w:t>
      </w:r>
      <w:r w:rsidRPr="00797B45">
        <w:rPr>
          <w:rFonts w:cs="TimesNewRomanPS-BoldItalicMT"/>
          <w:bCs/>
          <w:iCs/>
          <w:szCs w:val="20"/>
        </w:rPr>
        <w:tab/>
        <w:t>w pobliżu obszarów, w których prawdopodobne jest wytwarzanie przez samoloty śladu wirowego.</w:t>
      </w:r>
    </w:p>
    <w:p w14:paraId="6EC96599" w14:textId="377C4354" w:rsidR="00F20501" w:rsidRPr="009E064B" w:rsidRDefault="0043393E" w:rsidP="00F20501">
      <w:pPr>
        <w:pStyle w:val="Nagwek4"/>
        <w:rPr>
          <w:color w:val="auto"/>
        </w:rPr>
      </w:pPr>
      <w:bookmarkStart w:id="1892" w:name="_Toc12533344"/>
      <w:r w:rsidRPr="00042D60">
        <w:rPr>
          <w:color w:val="auto"/>
        </w:rPr>
        <w:t>CS</w:t>
      </w:r>
      <w:r>
        <w:rPr>
          <w:color w:val="auto"/>
        </w:rPr>
        <w:t xml:space="preserve"> HPT-DSN.B.11</w:t>
      </w:r>
      <w:r w:rsidR="00F20501" w:rsidRPr="009E064B">
        <w:rPr>
          <w:color w:val="auto"/>
        </w:rPr>
        <w:t>0</w:t>
      </w:r>
      <w:r w:rsidR="00F20501" w:rsidRPr="009E064B">
        <w:rPr>
          <w:b w:val="0"/>
          <w:bCs w:val="0"/>
          <w:color w:val="FFFFFF"/>
          <w:sz w:val="32"/>
          <w:szCs w:val="32"/>
        </w:rPr>
        <w:t xml:space="preserve">     </w:t>
      </w:r>
      <w:r w:rsidR="00F20501" w:rsidRPr="00F20501">
        <w:rPr>
          <w:szCs w:val="20"/>
        </w:rPr>
        <w:t>Zabezpieczenie wydłużonego startu dla śmigłowców</w:t>
      </w:r>
      <w:bookmarkEnd w:id="1892"/>
    </w:p>
    <w:p w14:paraId="3F4B92CC" w14:textId="1FB0A706" w:rsidR="00F20501" w:rsidRPr="009E064B" w:rsidRDefault="001F74A1" w:rsidP="00F2050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6F65FC1" w14:textId="554DC25D" w:rsidR="00E32CAD" w:rsidRPr="00797B45" w:rsidRDefault="00F20501" w:rsidP="00E32CAD">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(a)</w:t>
      </w:r>
      <w:r w:rsidRPr="00797B45">
        <w:rPr>
          <w:rFonts w:cs="TimesNewRomanPS-BoldItalicMT"/>
          <w:bCs/>
          <w:iCs/>
          <w:szCs w:val="20"/>
        </w:rPr>
        <w:tab/>
      </w:r>
      <w:r w:rsidR="00E32CAD" w:rsidRPr="00797B45">
        <w:rPr>
          <w:rFonts w:cs="TimesNewRomanPS-BoldItalicMT"/>
          <w:bCs/>
          <w:iCs/>
          <w:szCs w:val="20"/>
        </w:rPr>
        <w:t xml:space="preserve">Zastosowanie: Jeśli na lotnisku dla śmigłowców istnieje zabezpieczenie wydłużonego startu, to powinno być ono zlokalizowane poza </w:t>
      </w:r>
      <w:r w:rsidR="00797B45" w:rsidRPr="00797B45">
        <w:rPr>
          <w:rFonts w:cs="TimesNewRomanPS-BoldItalicMT"/>
          <w:bCs/>
          <w:iCs/>
          <w:szCs w:val="20"/>
        </w:rPr>
        <w:t xml:space="preserve">końcem </w:t>
      </w:r>
      <w:r w:rsidR="00E32CAD" w:rsidRPr="00797B45">
        <w:rPr>
          <w:rFonts w:cs="TimesNewRomanPS-BoldItalicMT"/>
          <w:bCs/>
          <w:iCs/>
          <w:szCs w:val="20"/>
        </w:rPr>
        <w:t>stref</w:t>
      </w:r>
      <w:r w:rsidR="00797B45" w:rsidRPr="00797B45">
        <w:rPr>
          <w:rFonts w:cs="TimesNewRomanPS-BoldItalicMT"/>
          <w:bCs/>
          <w:iCs/>
          <w:szCs w:val="20"/>
        </w:rPr>
        <w:t>y FATO.</w:t>
      </w:r>
    </w:p>
    <w:p w14:paraId="4F7036F6" w14:textId="4DEB21A1" w:rsidR="00E32CAD" w:rsidRPr="00797B45" w:rsidRDefault="00E32CAD" w:rsidP="00E32CAD">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 xml:space="preserve">(b) </w:t>
      </w:r>
      <w:r w:rsidRPr="00797B45">
        <w:rPr>
          <w:rFonts w:cs="TimesNewRomanPS-BoldItalicMT"/>
          <w:bCs/>
          <w:iCs/>
          <w:szCs w:val="20"/>
        </w:rPr>
        <w:tab/>
        <w:t>Charakterystyka:</w:t>
      </w:r>
    </w:p>
    <w:p w14:paraId="54C4467B" w14:textId="164926BD" w:rsidR="00E32CAD" w:rsidRPr="00797B45" w:rsidRDefault="00E32CAD" w:rsidP="00E32CAD">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(1) </w:t>
      </w:r>
      <w:r w:rsidRPr="00797B45">
        <w:rPr>
          <w:rFonts w:cs="TimesNewRomanPS-BoldItalicMT"/>
          <w:bCs/>
          <w:iCs/>
          <w:szCs w:val="20"/>
        </w:rPr>
        <w:tab/>
        <w:t>Szerokość zabezpieczenia wydłużonego startu śmigłowca nie powinna być mniejsza niż szerokość związanej z nią strefy bezpieczeństwa (Patrz Rysunek B-1).</w:t>
      </w:r>
    </w:p>
    <w:p w14:paraId="555F5358" w14:textId="1C100485" w:rsidR="00E32CAD" w:rsidRPr="00797B45" w:rsidRDefault="00E32CAD" w:rsidP="00E32CAD">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(2) </w:t>
      </w:r>
      <w:r w:rsidRPr="00797B45">
        <w:rPr>
          <w:rFonts w:cs="TimesNewRomanPS-BoldItalicMT"/>
          <w:bCs/>
          <w:iCs/>
          <w:szCs w:val="20"/>
        </w:rPr>
        <w:tab/>
        <w:t>Teren w strefie zabezpieczenia wydłużonego startu śmigłowca nie powinien wystawać ponad płaszczyznę o nachyleniu 3% w górę, począwszy od obrzeży FATO.</w:t>
      </w:r>
    </w:p>
    <w:p w14:paraId="4AEE393B" w14:textId="17D88FF1" w:rsidR="00E32CAD" w:rsidRPr="00797B45" w:rsidRDefault="00E32CAD" w:rsidP="00E32CAD">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(3) </w:t>
      </w:r>
      <w:r w:rsidRPr="00797B45">
        <w:rPr>
          <w:rFonts w:cs="TimesNewRomanPS-BoldItalicMT"/>
          <w:bCs/>
          <w:iCs/>
          <w:szCs w:val="20"/>
        </w:rPr>
        <w:tab/>
        <w:t>Dowolny obiekt znajdujący się na zabezpieczeniu wydłużonego startu śmigłowca, który mógłby stanowić zagrożenie dla śmigłowców w powietrzu, powinien być potraktowany jako przeszkoda i zostać usunięty.</w:t>
      </w:r>
    </w:p>
    <w:p w14:paraId="5AF9D817" w14:textId="0BDF5575" w:rsidR="0043393E" w:rsidRPr="009E064B" w:rsidRDefault="003802E3" w:rsidP="00133B99">
      <w:pPr>
        <w:pStyle w:val="Nagwek6"/>
      </w:pPr>
      <w:bookmarkStart w:id="1893" w:name="_Toc12533345"/>
      <w:r>
        <w:t>GM1 HPT-DSN.B.1</w:t>
      </w:r>
      <w:r w:rsidR="0043393E" w:rsidRPr="009E064B">
        <w:t xml:space="preserve">10     </w:t>
      </w:r>
      <w:r w:rsidR="0043393E" w:rsidRPr="0043393E">
        <w:t>Zabezpieczenie wydłużonego startu dla śmigłowców</w:t>
      </w:r>
      <w:bookmarkEnd w:id="1893"/>
    </w:p>
    <w:p w14:paraId="3DE3CCF6" w14:textId="382AB096"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A5B5AE6" w14:textId="0113AB70" w:rsidR="009E064B" w:rsidRPr="00797B45" w:rsidRDefault="0043393E" w:rsidP="00797B45">
      <w:pPr>
        <w:tabs>
          <w:tab w:val="left" w:pos="0"/>
        </w:tabs>
        <w:autoSpaceDE w:val="0"/>
        <w:autoSpaceDN w:val="0"/>
        <w:adjustRightInd w:val="0"/>
        <w:rPr>
          <w:rFonts w:cs="TimesNewRomanPS-BoldItalicMT"/>
          <w:bCs/>
          <w:iCs/>
          <w:szCs w:val="20"/>
        </w:rPr>
      </w:pPr>
      <w:r w:rsidRPr="00797B45">
        <w:rPr>
          <w:rFonts w:cs="TimesNewRomanPS-BoldItalicMT"/>
          <w:bCs/>
          <w:iCs/>
          <w:szCs w:val="20"/>
        </w:rPr>
        <w:t>Wymagania</w:t>
      </w:r>
      <w:r w:rsidRPr="00797B45">
        <w:rPr>
          <w:rFonts w:eastAsia="Verdana" w:cs="Verdana"/>
          <w:bCs/>
          <w:szCs w:val="20"/>
        </w:rPr>
        <w:t xml:space="preserve"> ogólne</w:t>
      </w:r>
      <w:r w:rsidR="00E32CAD" w:rsidRPr="00797B45">
        <w:rPr>
          <w:rFonts w:eastAsia="Verdana" w:cs="Verdana"/>
          <w:bCs/>
          <w:szCs w:val="20"/>
        </w:rPr>
        <w:t>:</w:t>
      </w:r>
      <w:r w:rsidR="00E32CAD" w:rsidRPr="00797B45">
        <w:rPr>
          <w:rFonts w:cs="TimesNewRomanPS-BoldItalicMT"/>
          <w:bCs/>
        </w:rPr>
        <w:t xml:space="preserve"> </w:t>
      </w:r>
      <w:r w:rsidR="00B64444" w:rsidRPr="00797B45">
        <w:rPr>
          <w:rFonts w:cs="TimesNewRomanPS-BoldItalicMT"/>
          <w:bCs/>
        </w:rPr>
        <w:t>Zapewnienie z</w:t>
      </w:r>
      <w:r w:rsidR="00E32CAD" w:rsidRPr="00797B45">
        <w:rPr>
          <w:rFonts w:cs="TimesNewRomanPS-BoldItalicMT"/>
          <w:bCs/>
        </w:rPr>
        <w:t>abezpieczenia wydłużonego startu</w:t>
      </w:r>
      <w:r w:rsidR="00B64444" w:rsidRPr="00797B45">
        <w:rPr>
          <w:rFonts w:cs="TimesNewRomanPS-BoldItalicMT"/>
          <w:bCs/>
        </w:rPr>
        <w:t xml:space="preserve"> powinno być brane pod uwagę j</w:t>
      </w:r>
      <w:r w:rsidR="00E32CAD" w:rsidRPr="00797B45">
        <w:rPr>
          <w:rFonts w:cs="TimesNewRomanPS-BoldItalicMT"/>
          <w:bCs/>
        </w:rPr>
        <w:t>eżeli lotnisko dla śmigłowców jest przeznaczone do użytku przez śmigłowce w 1 klasie osiągów</w:t>
      </w:r>
      <w:r w:rsidR="00B64444" w:rsidRPr="00797B45">
        <w:rPr>
          <w:rFonts w:cs="TimesNewRomanPS-BoldItalicMT"/>
          <w:bCs/>
        </w:rPr>
        <w:t>.</w:t>
      </w:r>
    </w:p>
    <w:p w14:paraId="2A1F9C79" w14:textId="08C08ECE" w:rsidR="0043393E" w:rsidRPr="009E064B" w:rsidRDefault="0043393E" w:rsidP="0043393E">
      <w:pPr>
        <w:pStyle w:val="Nagwek4"/>
        <w:rPr>
          <w:bCs w:val="0"/>
          <w:i/>
          <w:color w:val="1A171C"/>
          <w:sz w:val="16"/>
          <w:szCs w:val="20"/>
        </w:rPr>
      </w:pPr>
      <w:bookmarkStart w:id="1894" w:name="_Toc12533346"/>
      <w:r w:rsidRPr="00042D60">
        <w:rPr>
          <w:szCs w:val="20"/>
        </w:rPr>
        <w:t>CS</w:t>
      </w:r>
      <w:r w:rsidRPr="0043393E">
        <w:rPr>
          <w:szCs w:val="20"/>
        </w:rPr>
        <w:t xml:space="preserve"> HPT-DSN.B.1</w:t>
      </w:r>
      <w:r>
        <w:rPr>
          <w:szCs w:val="20"/>
        </w:rPr>
        <w:t>2</w:t>
      </w:r>
      <w:r w:rsidR="004B05A2">
        <w:rPr>
          <w:szCs w:val="20"/>
        </w:rPr>
        <w:t>0     Strefy</w:t>
      </w:r>
      <w:r w:rsidRPr="0043393E">
        <w:rPr>
          <w:szCs w:val="20"/>
        </w:rPr>
        <w:t xml:space="preserve"> przyziemienia i wznoszenia (TLOF</w:t>
      </w:r>
      <w:r w:rsidR="004B05A2">
        <w:rPr>
          <w:szCs w:val="20"/>
        </w:rPr>
        <w:t>s</w:t>
      </w:r>
      <w:r w:rsidRPr="0043393E">
        <w:rPr>
          <w:szCs w:val="20"/>
        </w:rPr>
        <w:t>)</w:t>
      </w:r>
      <w:r w:rsidRPr="009E064B">
        <w:rPr>
          <w:bCs w:val="0"/>
          <w:i/>
          <w:color w:val="1A171C"/>
          <w:sz w:val="16"/>
          <w:szCs w:val="20"/>
        </w:rPr>
        <w:t>019/012/R</w:t>
      </w:r>
      <w:bookmarkEnd w:id="1894"/>
    </w:p>
    <w:p w14:paraId="19C29537" w14:textId="64BB7B5D"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E89532A" w14:textId="69A64C07" w:rsidR="0043393E" w:rsidRPr="00797B45" w:rsidRDefault="0043393E" w:rsidP="0043393E">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(a)</w:t>
      </w:r>
      <w:r w:rsidRPr="00797B45">
        <w:rPr>
          <w:rFonts w:cs="TimesNewRomanPS-BoldItalicMT"/>
          <w:bCs/>
          <w:iCs/>
          <w:szCs w:val="20"/>
        </w:rPr>
        <w:tab/>
      </w:r>
      <w:r w:rsidR="00B64444" w:rsidRPr="00797B45">
        <w:rPr>
          <w:rFonts w:cs="TimesNewRomanPS-BoldItalicMT"/>
          <w:bCs/>
          <w:iCs/>
          <w:szCs w:val="20"/>
        </w:rPr>
        <w:t>Wymagania</w:t>
      </w:r>
      <w:r w:rsidR="00B64444" w:rsidRPr="00797B45">
        <w:rPr>
          <w:rFonts w:eastAsia="Verdana" w:cs="Verdana"/>
          <w:bCs/>
          <w:szCs w:val="20"/>
        </w:rPr>
        <w:t xml:space="preserve"> ogólne:</w:t>
      </w:r>
    </w:p>
    <w:p w14:paraId="4E7D67D7" w14:textId="70EABDB6" w:rsidR="00B64444" w:rsidRPr="00797B45" w:rsidRDefault="00B64444" w:rsidP="00B64444">
      <w:pPr>
        <w:tabs>
          <w:tab w:val="left" w:pos="1134"/>
        </w:tabs>
        <w:autoSpaceDE w:val="0"/>
        <w:autoSpaceDN w:val="0"/>
        <w:adjustRightInd w:val="0"/>
        <w:ind w:left="1134" w:hanging="567"/>
        <w:rPr>
          <w:rFonts w:cs="TimesNewRomanPS-BoldItalicMT"/>
          <w:bCs/>
          <w:iCs/>
          <w:szCs w:val="20"/>
        </w:rPr>
      </w:pPr>
      <w:r w:rsidRPr="00797B45">
        <w:rPr>
          <w:rFonts w:cs="TimesNewRomanPS-BoldItalicMT"/>
          <w:bCs/>
          <w:iCs/>
          <w:szCs w:val="20"/>
        </w:rPr>
        <w:t xml:space="preserve">(1) </w:t>
      </w:r>
      <w:r w:rsidRPr="00797B45">
        <w:rPr>
          <w:rFonts w:cs="TimesNewRomanPS-BoldItalicMT"/>
          <w:bCs/>
          <w:iCs/>
          <w:szCs w:val="20"/>
        </w:rPr>
        <w:tab/>
        <w:t>Na lotnisku dla śmigłowców powinna być zapewniona, co najmniej jedna strefa TLOF.</w:t>
      </w:r>
    </w:p>
    <w:p w14:paraId="13E29695" w14:textId="77777777" w:rsidR="00B64444" w:rsidRPr="00797B45" w:rsidRDefault="00B64444" w:rsidP="00B64444">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(2) </w:t>
      </w:r>
      <w:r w:rsidRPr="00797B45">
        <w:rPr>
          <w:rFonts w:cs="TimesNewRomanPS-BoldItalicMT"/>
          <w:bCs/>
          <w:iCs/>
        </w:rPr>
        <w:tab/>
        <w:t>W strefie FATO powinna być zlokalizowana jedna strefa TLOF, bądź też jedna lub więcej stref TLOF powinno być rozmieszczonych na stanowiskach postojowych dla śmigłowców.</w:t>
      </w:r>
    </w:p>
    <w:p w14:paraId="2E268516" w14:textId="77777777" w:rsidR="00B64444" w:rsidRPr="00797B45" w:rsidRDefault="00B64444" w:rsidP="00B64444">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(b)</w:t>
      </w:r>
      <w:r w:rsidRPr="00797B45">
        <w:rPr>
          <w:rFonts w:cs="TimesNewRomanPS-BoldItalicMT"/>
          <w:bCs/>
          <w:iCs/>
          <w:szCs w:val="20"/>
        </w:rPr>
        <w:tab/>
        <w:t>Charakterystyka:</w:t>
      </w:r>
    </w:p>
    <w:p w14:paraId="13517997" w14:textId="5170386C" w:rsidR="00B64444" w:rsidRPr="00797B45" w:rsidRDefault="00B64444" w:rsidP="00B64444">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(1) </w:t>
      </w:r>
      <w:r w:rsidRPr="00797B45">
        <w:rPr>
          <w:rFonts w:cs="TimesNewRomanPS-BoldItalicMT"/>
          <w:bCs/>
          <w:iCs/>
        </w:rPr>
        <w:tab/>
        <w:t>Strefa TLOF powinna mieć wystarczającą wielkość, aby zawierać okrąg o śr</w:t>
      </w:r>
      <w:r w:rsidR="00797B45" w:rsidRPr="00797B45">
        <w:rPr>
          <w:rFonts w:cs="TimesNewRomanPS-BoldItalicMT"/>
          <w:bCs/>
          <w:iCs/>
        </w:rPr>
        <w:t>ednicy równej, co najmniej 0,83 </w:t>
      </w:r>
      <w:r w:rsidRPr="00797B45">
        <w:rPr>
          <w:rFonts w:cs="TimesNewRomanPS-BoldItalicMT"/>
          <w:bCs/>
          <w:iCs/>
        </w:rPr>
        <w:t>D największego śmigłowca, do obsługi którego ta strefa jest przeznaczona.</w:t>
      </w:r>
    </w:p>
    <w:p w14:paraId="52BE713A" w14:textId="2BA87188" w:rsidR="00B64444" w:rsidRPr="00797B45" w:rsidRDefault="00B64444" w:rsidP="00B64444">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(2) </w:t>
      </w:r>
      <w:r w:rsidRPr="00797B45">
        <w:rPr>
          <w:rFonts w:cs="TimesNewRomanPS-BoldItalicMT"/>
          <w:bCs/>
          <w:iCs/>
        </w:rPr>
        <w:tab/>
        <w:t>Jeśli strefa TLOF znajduje się w obrębie strefy FATO, to strefa TLOF powinna mieć zdolność przenoszenia obciążeń dynamicznych.</w:t>
      </w:r>
    </w:p>
    <w:p w14:paraId="164479C7" w14:textId="387530F7" w:rsidR="005A6AAF" w:rsidRPr="00797B45" w:rsidRDefault="005A6AAF" w:rsidP="005A6AAF">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(3) </w:t>
      </w:r>
      <w:r w:rsidRPr="00797B45">
        <w:rPr>
          <w:rFonts w:cs="TimesNewRomanPS-BoldItalicMT"/>
          <w:bCs/>
          <w:iCs/>
        </w:rPr>
        <w:tab/>
        <w:t>Jeśli strefa TLOF jest umieszczona w tym samym miejscu co stanowisko postojowe śmigłowca, to TLOF powinna mieć zdolność przenoszenia obciążeń statycznych ruchu śmigłowców, dla których obsługi obszar ten jest przeznaczony.</w:t>
      </w:r>
    </w:p>
    <w:p w14:paraId="46F92581" w14:textId="62299EF8" w:rsidR="005A6AAF" w:rsidRPr="00797B45" w:rsidRDefault="005A6AAF" w:rsidP="005A6AAF">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(4) </w:t>
      </w:r>
      <w:r w:rsidRPr="00797B45">
        <w:rPr>
          <w:rFonts w:cs="TimesNewRomanPS-BoldItalicMT"/>
          <w:bCs/>
          <w:iCs/>
        </w:rPr>
        <w:tab/>
        <w:t xml:space="preserve">Nachylenia w strefie TLOF muszą być wystarczające, aby zapobiegać gromadzeniu się wody na jej powierzchni, ale nie mogą być większe niż 2% w każdą stronę. </w:t>
      </w:r>
    </w:p>
    <w:p w14:paraId="48D35771" w14:textId="62BFC2A1" w:rsidR="005A6AAF" w:rsidRPr="00797B45" w:rsidRDefault="005A6AAF" w:rsidP="005A6AAF">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(5) </w:t>
      </w:r>
      <w:r w:rsidRPr="00797B45">
        <w:rPr>
          <w:rFonts w:cs="TimesNewRomanPS-BoldItalicMT"/>
          <w:bCs/>
          <w:iCs/>
        </w:rPr>
        <w:tab/>
        <w:t xml:space="preserve">W przypadku, gdy strefa TLOF zlokalizowana jest w strefie FATO, która zawiera okrąg o średnicy większej niż 1 D, to środek strefy TLOF powinien być zlokalizowany nie bliżej niż 0,5 D od krawędzi strefy FATO. </w:t>
      </w:r>
    </w:p>
    <w:p w14:paraId="1548304D" w14:textId="77777777" w:rsidR="0043393E" w:rsidRPr="00F20501" w:rsidRDefault="0043393E" w:rsidP="0043393E">
      <w:pPr>
        <w:tabs>
          <w:tab w:val="left" w:pos="567"/>
        </w:tabs>
        <w:autoSpaceDE w:val="0"/>
        <w:autoSpaceDN w:val="0"/>
        <w:adjustRightInd w:val="0"/>
        <w:ind w:left="567" w:hanging="567"/>
        <w:rPr>
          <w:rFonts w:cstheme="minorHAnsi"/>
          <w:color w:val="FFFFFF" w:themeColor="background1"/>
          <w:szCs w:val="20"/>
        </w:rPr>
      </w:pPr>
    </w:p>
    <w:p w14:paraId="0D71BCBD" w14:textId="161A6F72" w:rsidR="0043393E" w:rsidRPr="009E064B" w:rsidRDefault="0043393E" w:rsidP="00133B99">
      <w:pPr>
        <w:pStyle w:val="Nagwek6"/>
      </w:pPr>
      <w:bookmarkStart w:id="1895" w:name="_Toc12533347"/>
      <w:r w:rsidRPr="009E064B">
        <w:t>G</w:t>
      </w:r>
      <w:r w:rsidR="003802E3">
        <w:t>M1 HPT-DSN.B.1</w:t>
      </w:r>
      <w:r>
        <w:t>2</w:t>
      </w:r>
      <w:r w:rsidRPr="009E064B">
        <w:t xml:space="preserve">0     </w:t>
      </w:r>
      <w:r w:rsidR="004B05A2">
        <w:t>Strefy</w:t>
      </w:r>
      <w:r w:rsidRPr="0043393E">
        <w:t xml:space="preserve"> przyziemienia i wznoszenia (TLOF</w:t>
      </w:r>
      <w:r w:rsidR="004B05A2">
        <w:t>s</w:t>
      </w:r>
      <w:r w:rsidRPr="0043393E">
        <w:t>)</w:t>
      </w:r>
      <w:bookmarkEnd w:id="1895"/>
    </w:p>
    <w:p w14:paraId="5F624C11" w14:textId="50F96E91"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6F88BEC" w14:textId="74DAA863" w:rsidR="005A6AAF" w:rsidRPr="00797B45" w:rsidRDefault="005A6AAF" w:rsidP="005A6AAF">
      <w:pPr>
        <w:tabs>
          <w:tab w:val="left" w:pos="567"/>
        </w:tabs>
        <w:autoSpaceDE w:val="0"/>
        <w:autoSpaceDN w:val="0"/>
        <w:adjustRightInd w:val="0"/>
        <w:ind w:left="567" w:hanging="567"/>
        <w:rPr>
          <w:rFonts w:eastAsia="Verdana" w:cs="Verdana"/>
          <w:bCs/>
          <w:szCs w:val="20"/>
        </w:rPr>
      </w:pPr>
      <w:r w:rsidRPr="00797B45">
        <w:rPr>
          <w:rFonts w:cs="TimesNewRomanPS-BoldItalicMT"/>
          <w:bCs/>
          <w:iCs/>
          <w:szCs w:val="20"/>
        </w:rPr>
        <w:t>W strefie FATO typu droga startowa mogą być zlokalizowane dodatkowe strefy TLOF.</w:t>
      </w:r>
    </w:p>
    <w:p w14:paraId="5A5D0A96" w14:textId="2D09487A" w:rsidR="0043393E" w:rsidRPr="009E064B" w:rsidRDefault="0043393E" w:rsidP="0043393E">
      <w:pPr>
        <w:pStyle w:val="Nagwek4"/>
        <w:rPr>
          <w:color w:val="auto"/>
        </w:rPr>
      </w:pPr>
      <w:bookmarkStart w:id="1896" w:name="_Toc12533348"/>
      <w:r w:rsidRPr="00042D60">
        <w:rPr>
          <w:color w:val="auto"/>
        </w:rPr>
        <w:t>CS</w:t>
      </w:r>
      <w:r>
        <w:rPr>
          <w:color w:val="auto"/>
        </w:rPr>
        <w:t xml:space="preserve"> HPT-DSN.B.13</w:t>
      </w:r>
      <w:r w:rsidRPr="009E064B">
        <w:rPr>
          <w:color w:val="auto"/>
        </w:rPr>
        <w:t>0</w:t>
      </w:r>
      <w:r w:rsidRPr="009E064B">
        <w:rPr>
          <w:b w:val="0"/>
          <w:bCs w:val="0"/>
          <w:color w:val="FFFFFF"/>
          <w:sz w:val="32"/>
          <w:szCs w:val="32"/>
        </w:rPr>
        <w:t xml:space="preserve">     </w:t>
      </w:r>
      <w:r>
        <w:rPr>
          <w:szCs w:val="20"/>
        </w:rPr>
        <w:t>Strefy</w:t>
      </w:r>
      <w:r w:rsidRPr="0043393E">
        <w:rPr>
          <w:szCs w:val="20"/>
        </w:rPr>
        <w:t xml:space="preserve"> bezpieczeństwa</w:t>
      </w:r>
      <w:bookmarkEnd w:id="1896"/>
    </w:p>
    <w:p w14:paraId="3E6BF61B" w14:textId="00A2810D"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7EFCD12" w14:textId="509E8AB6" w:rsidR="005A6AAF" w:rsidRPr="00797B45" w:rsidRDefault="005A6AAF" w:rsidP="005A6AAF">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(a)</w:t>
      </w:r>
      <w:r w:rsidRPr="00797B45">
        <w:rPr>
          <w:rFonts w:cs="TimesNewRomanPS-BoldItalicMT"/>
          <w:bCs/>
          <w:iCs/>
          <w:szCs w:val="20"/>
        </w:rPr>
        <w:tab/>
        <w:t>Wymagania</w:t>
      </w:r>
      <w:r w:rsidRPr="00797B45">
        <w:rPr>
          <w:rFonts w:eastAsia="Verdana" w:cs="Verdana"/>
          <w:bCs/>
          <w:szCs w:val="20"/>
        </w:rPr>
        <w:t xml:space="preserve"> ogólne:</w:t>
      </w:r>
      <w:r w:rsidR="00E348E5" w:rsidRPr="00797B45">
        <w:rPr>
          <w:rFonts w:cs="TimesNewRomanPS-BoldItalicMT"/>
          <w:bCs/>
          <w:iCs/>
          <w:szCs w:val="20"/>
        </w:rPr>
        <w:t xml:space="preserve"> S</w:t>
      </w:r>
      <w:r w:rsidR="00E348E5" w:rsidRPr="00797B45">
        <w:rPr>
          <w:rFonts w:cs="TimesNewRomanPS-BoldItalicMT"/>
          <w:bCs/>
          <w:iCs/>
        </w:rPr>
        <w:t>trefa</w:t>
      </w:r>
      <w:r w:rsidR="00E348E5" w:rsidRPr="00797B45">
        <w:rPr>
          <w:rFonts w:cs="TimesNewRomanPS-BoldItalicMT"/>
          <w:bCs/>
          <w:iCs/>
          <w:szCs w:val="20"/>
        </w:rPr>
        <w:t xml:space="preserve"> FATO powinna być otoczona strefą bezpieczeństwa, która nie musi być stała.</w:t>
      </w:r>
    </w:p>
    <w:p w14:paraId="3227D63E" w14:textId="7EB733B6" w:rsidR="005A6AAF" w:rsidRPr="00797B45" w:rsidRDefault="00E348E5" w:rsidP="00E348E5">
      <w:pPr>
        <w:tabs>
          <w:tab w:val="left" w:pos="567"/>
        </w:tabs>
        <w:autoSpaceDE w:val="0"/>
        <w:autoSpaceDN w:val="0"/>
        <w:adjustRightInd w:val="0"/>
        <w:ind w:left="567" w:hanging="567"/>
        <w:rPr>
          <w:rFonts w:cs="TimesNewRomanPS-BoldItalicMT"/>
          <w:bCs/>
          <w:iCs/>
          <w:szCs w:val="20"/>
        </w:rPr>
      </w:pPr>
      <w:r w:rsidRPr="00797B45">
        <w:rPr>
          <w:rFonts w:cs="TimesNewRomanPS-BoldItalicMT"/>
          <w:bCs/>
          <w:iCs/>
          <w:szCs w:val="20"/>
        </w:rPr>
        <w:t>(b</w:t>
      </w:r>
      <w:r w:rsidR="005A6AAF" w:rsidRPr="00797B45">
        <w:rPr>
          <w:rFonts w:cs="TimesNewRomanPS-BoldItalicMT"/>
          <w:bCs/>
          <w:iCs/>
          <w:szCs w:val="20"/>
        </w:rPr>
        <w:t xml:space="preserve">) </w:t>
      </w:r>
      <w:r w:rsidR="005A6AAF" w:rsidRPr="00797B45">
        <w:rPr>
          <w:rFonts w:cs="TimesNewRomanPS-BoldItalicMT"/>
          <w:bCs/>
          <w:iCs/>
          <w:szCs w:val="20"/>
        </w:rPr>
        <w:tab/>
      </w:r>
      <w:r w:rsidRPr="00797B45">
        <w:rPr>
          <w:rFonts w:cs="TimesNewRomanPS-BoldItalicMT"/>
          <w:bCs/>
          <w:iCs/>
          <w:szCs w:val="20"/>
        </w:rPr>
        <w:t>Charakterystyka:</w:t>
      </w:r>
    </w:p>
    <w:p w14:paraId="3D52CD15" w14:textId="672FE8DC" w:rsidR="005A6AAF" w:rsidRPr="00797B45" w:rsidRDefault="00E348E5" w:rsidP="00E348E5">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(1) </w:t>
      </w:r>
      <w:r w:rsidRPr="00797B45">
        <w:rPr>
          <w:rFonts w:cs="TimesNewRomanPS-BoldItalicMT"/>
          <w:bCs/>
          <w:iCs/>
        </w:rPr>
        <w:tab/>
      </w:r>
      <w:r w:rsidR="005A6AAF" w:rsidRPr="00797B45">
        <w:rPr>
          <w:rFonts w:cs="TimesNewRomanPS-BoldItalicMT"/>
          <w:bCs/>
          <w:iCs/>
        </w:rPr>
        <w:t>Strefa bezpieczeństwa otaczająca strefę FATO powinna się rozciągać na zewnątrz od obrzeża strefy FATO na odle</w:t>
      </w:r>
      <w:r w:rsidRPr="00797B45">
        <w:rPr>
          <w:rFonts w:cs="TimesNewRomanPS-BoldItalicMT"/>
          <w:bCs/>
          <w:iCs/>
        </w:rPr>
        <w:t>głość, co najmniej 3 m lub 0,25 D (w zależności, która jest większa)</w:t>
      </w:r>
      <w:r w:rsidR="005A6AAF" w:rsidRPr="00797B45">
        <w:rPr>
          <w:rFonts w:cs="TimesNewRomanPS-BoldItalicMT"/>
          <w:bCs/>
          <w:iCs/>
        </w:rPr>
        <w:t xml:space="preserve"> największego śmigłowca, do obsługi którego stref</w:t>
      </w:r>
      <w:r w:rsidR="003802E3">
        <w:rPr>
          <w:rFonts w:cs="TimesNewRomanPS-BoldItalicMT"/>
          <w:bCs/>
          <w:iCs/>
        </w:rPr>
        <w:t>a FATO jest przeznaczona, oraz:</w:t>
      </w:r>
    </w:p>
    <w:p w14:paraId="2C928030" w14:textId="1ACE101F" w:rsidR="005A6AAF" w:rsidRPr="00797B45" w:rsidRDefault="00E348E5" w:rsidP="00E348E5">
      <w:pPr>
        <w:tabs>
          <w:tab w:val="left" w:pos="1701"/>
        </w:tabs>
        <w:autoSpaceDE w:val="0"/>
        <w:autoSpaceDN w:val="0"/>
        <w:adjustRightInd w:val="0"/>
        <w:ind w:left="1701" w:hanging="567"/>
        <w:rPr>
          <w:rFonts w:cs="TimesNewRomanPS-BoldItalicMT"/>
          <w:bCs/>
          <w:iCs/>
        </w:rPr>
      </w:pPr>
      <w:r w:rsidRPr="00797B45">
        <w:rPr>
          <w:rFonts w:cs="TimesNewRomanPS-BoldItalicMT"/>
          <w:bCs/>
          <w:iCs/>
        </w:rPr>
        <w:t>(i</w:t>
      </w:r>
      <w:r w:rsidR="005A6AAF" w:rsidRPr="00797B45">
        <w:rPr>
          <w:rFonts w:cs="TimesNewRomanPS-BoldItalicMT"/>
          <w:bCs/>
          <w:iCs/>
        </w:rPr>
        <w:t>)</w:t>
      </w:r>
      <w:r w:rsidR="005A6AAF" w:rsidRPr="00797B45">
        <w:rPr>
          <w:rFonts w:cs="TimesNewRomanPS-BoldItalicMT"/>
          <w:bCs/>
          <w:iCs/>
        </w:rPr>
        <w:tab/>
        <w:t>każdy zewnętrzny bok strefy bezpieczeństwa powinien być równy co najmniej 2 D w przypadku, gdy strefa FATO jest czworoboczna</w:t>
      </w:r>
      <w:r w:rsidRPr="00797B45">
        <w:rPr>
          <w:rFonts w:cs="TimesNewRomanPS-BoldItalicMT"/>
          <w:bCs/>
          <w:iCs/>
        </w:rPr>
        <w:t xml:space="preserve"> (patrz rysunek B-1)</w:t>
      </w:r>
      <w:r w:rsidR="005A6AAF" w:rsidRPr="00797B45">
        <w:rPr>
          <w:rFonts w:cs="TimesNewRomanPS-BoldItalicMT"/>
          <w:bCs/>
          <w:iCs/>
        </w:rPr>
        <w:t>; lub</w:t>
      </w:r>
    </w:p>
    <w:p w14:paraId="0B4C77F3" w14:textId="29A88629" w:rsidR="005A6AAF" w:rsidRPr="00797B45" w:rsidRDefault="00E348E5" w:rsidP="00E348E5">
      <w:pPr>
        <w:tabs>
          <w:tab w:val="left" w:pos="1701"/>
        </w:tabs>
        <w:autoSpaceDE w:val="0"/>
        <w:autoSpaceDN w:val="0"/>
        <w:adjustRightInd w:val="0"/>
        <w:ind w:left="1701" w:hanging="567"/>
        <w:rPr>
          <w:rFonts w:cs="TimesNewRomanPS-BoldItalicMT"/>
          <w:bCs/>
          <w:iCs/>
        </w:rPr>
      </w:pPr>
      <w:r w:rsidRPr="00797B45">
        <w:rPr>
          <w:rFonts w:cs="TimesNewRomanPS-BoldItalicMT"/>
          <w:bCs/>
          <w:iCs/>
        </w:rPr>
        <w:t>(ii</w:t>
      </w:r>
      <w:r w:rsidR="005A6AAF" w:rsidRPr="00797B45">
        <w:rPr>
          <w:rFonts w:cs="TimesNewRomanPS-BoldItalicMT"/>
          <w:bCs/>
          <w:iCs/>
        </w:rPr>
        <w:t>)</w:t>
      </w:r>
      <w:r w:rsidR="005A6AAF" w:rsidRPr="00797B45">
        <w:rPr>
          <w:rFonts w:cs="TimesNewRomanPS-BoldItalicMT"/>
          <w:bCs/>
          <w:iCs/>
        </w:rPr>
        <w:tab/>
        <w:t>zewnętrzna średnica strefy bezpieczeństwa powinn</w:t>
      </w:r>
      <w:r w:rsidR="00797B45" w:rsidRPr="00797B45">
        <w:rPr>
          <w:rFonts w:cs="TimesNewRomanPS-BoldItalicMT"/>
          <w:bCs/>
          <w:iCs/>
        </w:rPr>
        <w:t>a być równa co najmniej 2D w </w:t>
      </w:r>
      <w:r w:rsidR="005A6AAF" w:rsidRPr="00797B45">
        <w:rPr>
          <w:rFonts w:cs="TimesNewRomanPS-BoldItalicMT"/>
          <w:bCs/>
          <w:iCs/>
        </w:rPr>
        <w:t xml:space="preserve">przypadku, gdy strefa FATO jest okrągła. </w:t>
      </w:r>
    </w:p>
    <w:p w14:paraId="0FF8C6EC" w14:textId="16E5B6FD" w:rsidR="00E348E5" w:rsidRPr="00797B45" w:rsidRDefault="00E348E5" w:rsidP="00E348E5">
      <w:pPr>
        <w:tabs>
          <w:tab w:val="left" w:pos="1134"/>
        </w:tabs>
        <w:autoSpaceDE w:val="0"/>
        <w:autoSpaceDN w:val="0"/>
        <w:adjustRightInd w:val="0"/>
        <w:ind w:left="1134" w:hanging="567"/>
        <w:rPr>
          <w:rFonts w:cs="TimesNewRomanPS-BoldItalicMT"/>
          <w:bCs/>
          <w:iCs/>
        </w:rPr>
      </w:pPr>
      <w:r w:rsidRPr="00797B45">
        <w:rPr>
          <w:rFonts w:cs="TimesNewRomanPS-BoldItalicMT"/>
          <w:bCs/>
          <w:iCs/>
        </w:rPr>
        <w:t xml:space="preserve">(2) </w:t>
      </w:r>
      <w:r w:rsidRPr="00797B45">
        <w:rPr>
          <w:rFonts w:cs="TimesNewRomanPS-BoldItalicMT"/>
          <w:bCs/>
          <w:iCs/>
        </w:rPr>
        <w:tab/>
        <w:t xml:space="preserve">Powierzchnia strefy bezpieczeństwa powinna być </w:t>
      </w:r>
      <w:r w:rsidR="00797B45" w:rsidRPr="00797B45">
        <w:rPr>
          <w:rFonts w:cs="TimesNewRomanPS-BoldItalicMT"/>
          <w:bCs/>
          <w:iCs/>
        </w:rPr>
        <w:t>utrzymana</w:t>
      </w:r>
      <w:r w:rsidRPr="00797B45">
        <w:rPr>
          <w:rFonts w:cs="TimesNewRomanPS-BoldItalicMT"/>
          <w:bCs/>
          <w:iCs/>
        </w:rPr>
        <w:t xml:space="preserve"> tak, aby zapobiec latającym zanieczyszczeniom spowodowanym przez podmuchy wirnika.</w:t>
      </w:r>
    </w:p>
    <w:p w14:paraId="04153908" w14:textId="45CE305F" w:rsidR="00E348E5" w:rsidRPr="00D96B7E" w:rsidRDefault="00E348E5" w:rsidP="00135DCC">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(3) </w:t>
      </w:r>
      <w:r w:rsidRPr="00D96B7E">
        <w:rPr>
          <w:rFonts w:cs="TimesNewRomanPS-BoldItalicMT"/>
          <w:bCs/>
          <w:iCs/>
        </w:rPr>
        <w:tab/>
      </w:r>
      <w:r w:rsidR="00135DCC" w:rsidRPr="00D96B7E">
        <w:rPr>
          <w:rFonts w:cs="TimesNewRomanPS-BoldItalicMT"/>
          <w:bCs/>
          <w:iCs/>
        </w:rPr>
        <w:t xml:space="preserve">Gdy </w:t>
      </w:r>
      <w:r w:rsidR="00D96B7E" w:rsidRPr="00D96B7E">
        <w:rPr>
          <w:rFonts w:cs="TimesNewRomanPS-BoldItalicMT"/>
          <w:bCs/>
          <w:iCs/>
        </w:rPr>
        <w:t xml:space="preserve">strefa bezpieczeństwa </w:t>
      </w:r>
      <w:r w:rsidR="00135DCC" w:rsidRPr="00D96B7E">
        <w:rPr>
          <w:rFonts w:cs="TimesNewRomanPS-BoldItalicMT"/>
          <w:bCs/>
          <w:iCs/>
        </w:rPr>
        <w:t xml:space="preserve">jest stała, </w:t>
      </w:r>
      <w:r w:rsidR="00D96B7E" w:rsidRPr="00D96B7E">
        <w:rPr>
          <w:rFonts w:cs="TimesNewRomanPS-BoldItalicMT"/>
          <w:bCs/>
          <w:iCs/>
        </w:rPr>
        <w:t xml:space="preserve">to </w:t>
      </w:r>
      <w:r w:rsidRPr="00D96B7E">
        <w:rPr>
          <w:rFonts w:cs="TimesNewRomanPS-BoldItalicMT"/>
          <w:bCs/>
          <w:iCs/>
        </w:rPr>
        <w:t xml:space="preserve">powierzchnia </w:t>
      </w:r>
      <w:r w:rsidR="00135DCC" w:rsidRPr="00D96B7E">
        <w:rPr>
          <w:rFonts w:cs="TimesNewRomanPS-BoldItalicMT"/>
          <w:bCs/>
          <w:iCs/>
        </w:rPr>
        <w:t>strefy bezpieczeństwa przylegająca</w:t>
      </w:r>
      <w:r w:rsidRPr="00D96B7E">
        <w:rPr>
          <w:rFonts w:cs="TimesNewRomanPS-BoldItalicMT"/>
          <w:bCs/>
          <w:iCs/>
        </w:rPr>
        <w:t xml:space="preserve"> do FATO powinna być ciągła z FATO.</w:t>
      </w:r>
    </w:p>
    <w:p w14:paraId="44A7CF8D" w14:textId="00902C24" w:rsidR="00135DCC" w:rsidRPr="00D96B7E" w:rsidRDefault="00135DCC" w:rsidP="00135DCC">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(4) </w:t>
      </w:r>
      <w:r w:rsidRPr="00D96B7E">
        <w:rPr>
          <w:rFonts w:cs="TimesNewRomanPS-BoldItalicMT"/>
          <w:bCs/>
          <w:iCs/>
        </w:rPr>
        <w:tab/>
      </w:r>
      <w:r w:rsidR="00D96B7E" w:rsidRPr="00D96B7E">
        <w:rPr>
          <w:rFonts w:cs="TimesNewRomanPS-BoldItalicMT"/>
          <w:bCs/>
          <w:iCs/>
        </w:rPr>
        <w:t xml:space="preserve">Gdy strefa bezpieczeństwa </w:t>
      </w:r>
      <w:r w:rsidRPr="00D96B7E">
        <w:rPr>
          <w:rFonts w:cs="TimesNewRomanPS-BoldItalicMT"/>
          <w:bCs/>
          <w:iCs/>
        </w:rPr>
        <w:t xml:space="preserve">jest stała, </w:t>
      </w:r>
      <w:r w:rsidR="00D96B7E" w:rsidRPr="00D96B7E">
        <w:rPr>
          <w:rFonts w:cs="TimesNewRomanPS-BoldItalicMT"/>
          <w:bCs/>
          <w:iCs/>
        </w:rPr>
        <w:t xml:space="preserve">to </w:t>
      </w:r>
      <w:r w:rsidRPr="00D96B7E">
        <w:rPr>
          <w:rFonts w:cs="TimesNewRomanPS-BoldItalicMT"/>
          <w:bCs/>
          <w:iCs/>
        </w:rPr>
        <w:t>powierzchnia strefy bezpieczeństwa nie powinna wystawać ponad płaszczyznę o nachyleniu do góry wynoszącym 4%, rozpoczynającą się od obrzeża FATO.</w:t>
      </w:r>
    </w:p>
    <w:p w14:paraId="1FC61F55" w14:textId="16860FE1" w:rsidR="00135DCC" w:rsidRPr="00D96B7E" w:rsidRDefault="00135DCC" w:rsidP="00135DCC">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(5) </w:t>
      </w:r>
      <w:r w:rsidRPr="00D96B7E">
        <w:rPr>
          <w:rFonts w:cs="TimesNewRomanPS-BoldItalicMT"/>
          <w:bCs/>
          <w:iCs/>
        </w:rPr>
        <w:tab/>
      </w:r>
      <w:r w:rsidR="00D96B7E" w:rsidRPr="00D96B7E">
        <w:rPr>
          <w:rFonts w:cs="TimesNewRomanPS-BoldItalicMT"/>
          <w:bCs/>
          <w:iCs/>
        </w:rPr>
        <w:t>Od zewnętrznej krawędzi strefy bezpieczeństwa n</w:t>
      </w:r>
      <w:r w:rsidR="005A6AAF" w:rsidRPr="00D96B7E">
        <w:rPr>
          <w:rFonts w:cs="TimesNewRomanPS-BoldItalicMT"/>
          <w:bCs/>
          <w:iCs/>
        </w:rPr>
        <w:t xml:space="preserve">ależy zapewnić nachylenie </w:t>
      </w:r>
      <w:r w:rsidRPr="00D96B7E">
        <w:rPr>
          <w:rFonts w:cs="TimesNewRomanPS-BoldItalicMT"/>
          <w:bCs/>
          <w:iCs/>
        </w:rPr>
        <w:t xml:space="preserve">boczne ochronne </w:t>
      </w:r>
      <w:r w:rsidR="005A6AAF" w:rsidRPr="00D96B7E">
        <w:rPr>
          <w:rFonts w:cs="TimesNewRomanPS-BoldItalicMT"/>
          <w:bCs/>
          <w:iCs/>
        </w:rPr>
        <w:t>wznoszące się pod kątem 45°</w:t>
      </w:r>
      <w:r w:rsidR="00D96B7E" w:rsidRPr="00D96B7E">
        <w:rPr>
          <w:rFonts w:cs="TimesNewRomanPS-BoldItalicMT"/>
          <w:bCs/>
          <w:iCs/>
        </w:rPr>
        <w:t>,</w:t>
      </w:r>
      <w:r w:rsidR="005A6AAF" w:rsidRPr="00D96B7E">
        <w:rPr>
          <w:rFonts w:cs="TimesNewRomanPS-BoldItalicMT"/>
          <w:bCs/>
          <w:iCs/>
        </w:rPr>
        <w:t xml:space="preserve"> na odległość 10 metrów, </w:t>
      </w:r>
    </w:p>
    <w:p w14:paraId="61C39AD4" w14:textId="55236AC7" w:rsidR="005A6AAF" w:rsidRPr="00D96B7E" w:rsidRDefault="00135DCC" w:rsidP="00135DCC">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(6) </w:t>
      </w:r>
      <w:r w:rsidRPr="00D96B7E">
        <w:rPr>
          <w:rFonts w:cs="TimesNewRomanPS-BoldItalicMT"/>
          <w:bCs/>
          <w:iCs/>
        </w:rPr>
        <w:tab/>
        <w:t xml:space="preserve">Nachylenie boczne ochronne </w:t>
      </w:r>
      <w:r w:rsidR="005A6AAF" w:rsidRPr="00D96B7E">
        <w:rPr>
          <w:rFonts w:cs="TimesNewRomanPS-BoldItalicMT"/>
          <w:bCs/>
          <w:iCs/>
        </w:rPr>
        <w:t xml:space="preserve">nie </w:t>
      </w:r>
      <w:r w:rsidR="00D96B7E" w:rsidRPr="00D96B7E">
        <w:rPr>
          <w:rFonts w:cs="TimesNewRomanPS-BoldItalicMT"/>
          <w:bCs/>
          <w:iCs/>
        </w:rPr>
        <w:t>powinno</w:t>
      </w:r>
      <w:r w:rsidR="005A6AAF" w:rsidRPr="00D96B7E">
        <w:rPr>
          <w:rFonts w:cs="TimesNewRomanPS-BoldItalicMT"/>
          <w:bCs/>
          <w:iCs/>
        </w:rPr>
        <w:t xml:space="preserve"> być przebijan</w:t>
      </w:r>
      <w:r w:rsidRPr="00D96B7E">
        <w:rPr>
          <w:rFonts w:cs="TimesNewRomanPS-BoldItalicMT"/>
          <w:bCs/>
          <w:iCs/>
        </w:rPr>
        <w:t xml:space="preserve">e przez przeszkody, z </w:t>
      </w:r>
      <w:r w:rsidR="005A6AAF" w:rsidRPr="00D96B7E">
        <w:rPr>
          <w:rFonts w:cs="TimesNewRomanPS-BoldItalicMT"/>
          <w:bCs/>
          <w:iCs/>
        </w:rPr>
        <w:t>wyjątkiem przypadku, gdy przeszkody zlokalizowane są tylko po jednej stronie strefy FATO, może być dozwolone przebijanie nachylonej powierzchni bocznej</w:t>
      </w:r>
      <w:r w:rsidR="00D96B7E" w:rsidRPr="00D96B7E">
        <w:rPr>
          <w:rFonts w:cs="TimesNewRomanPS-BoldItalicMT"/>
          <w:bCs/>
          <w:iCs/>
        </w:rPr>
        <w:t xml:space="preserve"> przez przeszkody</w:t>
      </w:r>
      <w:r w:rsidR="005A6AAF" w:rsidRPr="00D96B7E">
        <w:rPr>
          <w:rFonts w:cs="TimesNewRomanPS-BoldItalicMT"/>
          <w:bCs/>
          <w:iCs/>
        </w:rPr>
        <w:t>.</w:t>
      </w:r>
    </w:p>
    <w:p w14:paraId="0BE87F73" w14:textId="6CB520C6" w:rsidR="00135DCC" w:rsidRPr="00D96B7E" w:rsidRDefault="0044392B" w:rsidP="00135DCC">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(7) </w:t>
      </w:r>
      <w:r w:rsidRPr="00D96B7E">
        <w:rPr>
          <w:rFonts w:cs="TimesNewRomanPS-BoldItalicMT"/>
          <w:bCs/>
          <w:iCs/>
        </w:rPr>
        <w:tab/>
      </w:r>
      <w:r w:rsidR="00135DCC" w:rsidRPr="00D96B7E">
        <w:rPr>
          <w:rFonts w:cs="TimesNewRomanPS-BoldItalicMT"/>
          <w:bCs/>
          <w:iCs/>
        </w:rPr>
        <w:t xml:space="preserve">Nie </w:t>
      </w:r>
      <w:r w:rsidRPr="00D96B7E">
        <w:rPr>
          <w:rFonts w:cs="TimesNewRomanPS-BoldItalicMT"/>
          <w:bCs/>
          <w:iCs/>
        </w:rPr>
        <w:t>należy</w:t>
      </w:r>
      <w:r w:rsidR="00135DCC" w:rsidRPr="00D96B7E">
        <w:rPr>
          <w:rFonts w:cs="TimesNewRomanPS-BoldItalicMT"/>
          <w:bCs/>
          <w:iCs/>
        </w:rPr>
        <w:t xml:space="preserve"> zezwalać na obecność żadnych obiektów ruchomych w strefie bezpieczeństwa podczas operacji śmigłow</w:t>
      </w:r>
      <w:r w:rsidRPr="00D96B7E">
        <w:rPr>
          <w:rFonts w:cs="TimesNewRomanPS-BoldItalicMT"/>
          <w:bCs/>
          <w:iCs/>
        </w:rPr>
        <w:t>ców.</w:t>
      </w:r>
    </w:p>
    <w:p w14:paraId="26ACED78" w14:textId="136596A9" w:rsidR="0044392B" w:rsidRPr="00D96B7E" w:rsidRDefault="0044392B" w:rsidP="0044392B">
      <w:pPr>
        <w:tabs>
          <w:tab w:val="left" w:pos="1134"/>
        </w:tabs>
        <w:autoSpaceDE w:val="0"/>
        <w:autoSpaceDN w:val="0"/>
        <w:adjustRightInd w:val="0"/>
        <w:ind w:left="1134" w:hanging="567"/>
        <w:rPr>
          <w:rFonts w:cs="TimesNewRomanPS-BoldItalicMT"/>
          <w:bCs/>
          <w:iCs/>
        </w:rPr>
      </w:pPr>
      <w:r w:rsidRPr="00D96B7E">
        <w:rPr>
          <w:rFonts w:cs="TimesNewRomanPS-BoldItalicMT"/>
          <w:bCs/>
          <w:iCs/>
        </w:rPr>
        <w:t xml:space="preserve">(8) </w:t>
      </w:r>
      <w:r w:rsidRPr="00D96B7E">
        <w:rPr>
          <w:rFonts w:cs="TimesNewRomanPS-BoldItalicMT"/>
          <w:bCs/>
          <w:iCs/>
        </w:rPr>
        <w:tab/>
        <w:t xml:space="preserve">W strefie bezpieczeństwa powyżej płaszczyzny strefy FATO nie wolno zezwalać na istnienie żadnych obiektów stałych, z wyjątkiem obiektów łamliwych, które ze względu na swoje funkcję muszą być umieszczone w tej strefie. </w:t>
      </w:r>
    </w:p>
    <w:p w14:paraId="43B39BE0" w14:textId="2A96178D" w:rsidR="005A6AAF" w:rsidRPr="00D45BC9" w:rsidRDefault="0044392B" w:rsidP="0044392B">
      <w:pPr>
        <w:tabs>
          <w:tab w:val="left" w:pos="1134"/>
        </w:tabs>
        <w:autoSpaceDE w:val="0"/>
        <w:autoSpaceDN w:val="0"/>
        <w:adjustRightInd w:val="0"/>
        <w:ind w:left="1134" w:hanging="567"/>
        <w:rPr>
          <w:rFonts w:cs="TimesNewRomanPS-BoldItalicMT"/>
          <w:bCs/>
          <w:iCs/>
        </w:rPr>
      </w:pPr>
      <w:r w:rsidRPr="00D45BC9">
        <w:rPr>
          <w:rFonts w:cs="TimesNewRomanPS-BoldItalicMT"/>
          <w:bCs/>
          <w:iCs/>
        </w:rPr>
        <w:t xml:space="preserve">(9) </w:t>
      </w:r>
      <w:r w:rsidRPr="00D45BC9">
        <w:rPr>
          <w:rFonts w:cs="TimesNewRomanPS-BoldItalicMT"/>
          <w:bCs/>
          <w:iCs/>
        </w:rPr>
        <w:tab/>
      </w:r>
      <w:r w:rsidR="005A6AAF" w:rsidRPr="00D45BC9">
        <w:rPr>
          <w:rFonts w:cs="TimesNewRomanPS-BoldItalicMT"/>
          <w:bCs/>
          <w:iCs/>
        </w:rPr>
        <w:t>Obiekty, których funkcja wymaga umieszczenia ich w strefie bezpieczeństwa nie mogą:</w:t>
      </w:r>
    </w:p>
    <w:p w14:paraId="5C6FAA54" w14:textId="57C7B6C2" w:rsidR="005A6AAF" w:rsidRPr="00D45BC9" w:rsidRDefault="0044392B" w:rsidP="0044392B">
      <w:pPr>
        <w:tabs>
          <w:tab w:val="left" w:pos="1701"/>
        </w:tabs>
        <w:autoSpaceDE w:val="0"/>
        <w:autoSpaceDN w:val="0"/>
        <w:adjustRightInd w:val="0"/>
        <w:ind w:left="1701" w:hanging="567"/>
        <w:rPr>
          <w:rFonts w:cs="TimesNewRomanPS-BoldItalicMT"/>
          <w:bCs/>
          <w:iCs/>
        </w:rPr>
      </w:pPr>
      <w:r w:rsidRPr="00D45BC9">
        <w:rPr>
          <w:rFonts w:cs="TimesNewRomanPS-BoldItalicMT"/>
          <w:bCs/>
          <w:iCs/>
        </w:rPr>
        <w:t>(i</w:t>
      </w:r>
      <w:r w:rsidR="005A6AAF" w:rsidRPr="00D45BC9">
        <w:rPr>
          <w:rFonts w:cs="TimesNewRomanPS-BoldItalicMT"/>
          <w:bCs/>
          <w:iCs/>
        </w:rPr>
        <w:t>)</w:t>
      </w:r>
      <w:r w:rsidR="005A6AAF" w:rsidRPr="00D45BC9">
        <w:rPr>
          <w:rFonts w:cs="TimesNewRomanPS-BoldItalicMT"/>
          <w:bCs/>
          <w:iCs/>
        </w:rPr>
        <w:tab/>
        <w:t>w przypadku zlokalizowania ich w odległości mniejszej niż 0.75 D od środka strefy FATO, przebijać płaszczyzny na wysokości 5 cm powyżej płaszczyzny strefy FATO; oraz</w:t>
      </w:r>
    </w:p>
    <w:p w14:paraId="42E63D12" w14:textId="4F32F1B4" w:rsidR="005A6AAF" w:rsidRPr="00D45BC9" w:rsidRDefault="0044392B" w:rsidP="0044392B">
      <w:pPr>
        <w:tabs>
          <w:tab w:val="left" w:pos="1701"/>
        </w:tabs>
        <w:autoSpaceDE w:val="0"/>
        <w:autoSpaceDN w:val="0"/>
        <w:adjustRightInd w:val="0"/>
        <w:ind w:left="1701" w:hanging="567"/>
        <w:rPr>
          <w:rFonts w:cs="TimesNewRomanPS-BoldItalicMT"/>
          <w:bCs/>
          <w:iCs/>
        </w:rPr>
      </w:pPr>
      <w:r w:rsidRPr="00D45BC9">
        <w:rPr>
          <w:rFonts w:cs="TimesNewRomanPS-BoldItalicMT"/>
          <w:bCs/>
          <w:iCs/>
        </w:rPr>
        <w:t>(ii</w:t>
      </w:r>
      <w:r w:rsidR="005A6AAF" w:rsidRPr="00D45BC9">
        <w:rPr>
          <w:rFonts w:cs="TimesNewRomanPS-BoldItalicMT"/>
          <w:bCs/>
          <w:iCs/>
        </w:rPr>
        <w:t>)</w:t>
      </w:r>
      <w:r w:rsidR="005A6AAF" w:rsidRPr="00D45BC9">
        <w:rPr>
          <w:rFonts w:cs="TimesNewRomanPS-BoldItalicMT"/>
          <w:bCs/>
          <w:iCs/>
        </w:rPr>
        <w:tab/>
        <w:t>w przypadku zlokalizowania ich w odległości 0.75 D lub więcej od środka strefy FATO, przebijać płaszczyzny, która ma swój początek na wysokości 25 cm nad płaszczyzną strefy FATO, nachylonej w górę i na zewnątrz z pochyleniem 5%.</w:t>
      </w:r>
    </w:p>
    <w:p w14:paraId="3E894227" w14:textId="77777777" w:rsidR="0044392B" w:rsidRPr="00900AA5" w:rsidRDefault="0044392B" w:rsidP="0044392B">
      <w:pPr>
        <w:pStyle w:val="Style101"/>
        <w:widowControl/>
        <w:tabs>
          <w:tab w:val="left" w:pos="1276"/>
        </w:tabs>
        <w:spacing w:after="120" w:line="23" w:lineRule="atLeast"/>
        <w:ind w:firstLine="0"/>
        <w:rPr>
          <w:rFonts w:ascii="Times New Roman" w:hAnsi="Times New Roman"/>
          <w:i/>
          <w:sz w:val="20"/>
          <w:szCs w:val="20"/>
        </w:rPr>
      </w:pPr>
      <w:r w:rsidRPr="00900AA5">
        <w:rPr>
          <w:rFonts w:ascii="Times New Roman" w:hAnsi="Times New Roman"/>
          <w:i/>
          <w:noProof/>
          <w:sz w:val="20"/>
          <w:szCs w:val="20"/>
        </w:rPr>
        <w:drawing>
          <wp:inline distT="0" distB="0" distL="0" distR="0" wp14:anchorId="3A173F7E" wp14:editId="28EB9D1E">
            <wp:extent cx="5756910" cy="2962275"/>
            <wp:effectExtent l="19050" t="19050" r="15240" b="28575"/>
            <wp:docPr id="139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306"/>
                    <a:srcRect/>
                    <a:stretch>
                      <a:fillRect/>
                    </a:stretch>
                  </pic:blipFill>
                  <pic:spPr bwMode="auto">
                    <a:xfrm>
                      <a:off x="0" y="0"/>
                      <a:ext cx="5756910" cy="2962275"/>
                    </a:xfrm>
                    <a:prstGeom prst="rect">
                      <a:avLst/>
                    </a:prstGeom>
                    <a:noFill/>
                    <a:ln w="9525" cmpd="sng">
                      <a:solidFill>
                        <a:srgbClr val="000000"/>
                      </a:solidFill>
                      <a:miter lim="800000"/>
                      <a:headEnd/>
                      <a:tailEnd/>
                    </a:ln>
                    <a:effectLst/>
                  </pic:spPr>
                </pic:pic>
              </a:graphicData>
            </a:graphic>
          </wp:inline>
        </w:drawing>
      </w:r>
    </w:p>
    <w:p w14:paraId="651036E8" w14:textId="558611A4" w:rsidR="0044392B" w:rsidRPr="00EC757C" w:rsidRDefault="0044392B" w:rsidP="0044392B">
      <w:pPr>
        <w:spacing w:before="240" w:line="23" w:lineRule="atLeast"/>
        <w:jc w:val="center"/>
        <w:rPr>
          <w:b/>
          <w:bCs/>
          <w:sz w:val="20"/>
          <w:szCs w:val="20"/>
        </w:rPr>
      </w:pPr>
      <w:r w:rsidRPr="00EC757C">
        <w:rPr>
          <w:b/>
          <w:bCs/>
          <w:sz w:val="20"/>
          <w:szCs w:val="20"/>
        </w:rPr>
        <w:t>Rysunek B-1.   Strefa FATO i związana z nią strefa bezpieczeństwa</w:t>
      </w:r>
    </w:p>
    <w:p w14:paraId="60E582A6" w14:textId="77777777" w:rsidR="0043393E" w:rsidRPr="00E97240" w:rsidRDefault="0043393E" w:rsidP="0043393E">
      <w:pPr>
        <w:tabs>
          <w:tab w:val="left" w:pos="567"/>
        </w:tabs>
        <w:autoSpaceDE w:val="0"/>
        <w:autoSpaceDN w:val="0"/>
        <w:adjustRightInd w:val="0"/>
        <w:ind w:left="567" w:hanging="567"/>
        <w:rPr>
          <w:rFonts w:cstheme="minorHAnsi"/>
          <w:szCs w:val="20"/>
        </w:rPr>
      </w:pPr>
    </w:p>
    <w:p w14:paraId="5FD216FC" w14:textId="6B27847A" w:rsidR="0043393E" w:rsidRPr="009E064B" w:rsidRDefault="0043393E" w:rsidP="00133B99">
      <w:pPr>
        <w:pStyle w:val="Nagwek6"/>
      </w:pPr>
      <w:bookmarkStart w:id="1897" w:name="_Toc12533349"/>
      <w:r w:rsidRPr="009E064B">
        <w:t>G</w:t>
      </w:r>
      <w:r w:rsidR="003802E3">
        <w:t>M1 HPT-DSN.B.1</w:t>
      </w:r>
      <w:r>
        <w:t>3</w:t>
      </w:r>
      <w:r w:rsidRPr="009E064B">
        <w:t xml:space="preserve">0     </w:t>
      </w:r>
      <w:r>
        <w:t>Strefy</w:t>
      </w:r>
      <w:r w:rsidRPr="0043393E">
        <w:t xml:space="preserve"> bezpieczeństwa</w:t>
      </w:r>
      <w:bookmarkEnd w:id="1897"/>
    </w:p>
    <w:p w14:paraId="19C8A4FB" w14:textId="48DB0E39"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198524E" w14:textId="4F1A7634" w:rsidR="0044392B" w:rsidRPr="00EC757C" w:rsidRDefault="0044392B" w:rsidP="00383FA2">
      <w:pPr>
        <w:tabs>
          <w:tab w:val="left" w:pos="0"/>
        </w:tabs>
        <w:autoSpaceDE w:val="0"/>
        <w:autoSpaceDN w:val="0"/>
        <w:adjustRightInd w:val="0"/>
        <w:rPr>
          <w:rFonts w:eastAsia="Verdana" w:cs="Verdana"/>
          <w:bCs/>
          <w:szCs w:val="20"/>
        </w:rPr>
      </w:pPr>
      <w:r w:rsidRPr="00EC757C">
        <w:rPr>
          <w:rFonts w:cs="TimesNewRomanPS-BoldItalicMT"/>
          <w:bCs/>
        </w:rPr>
        <w:t xml:space="preserve">Jeżeli zapewniana jest tylko pojedyncza powierzchnia podejścia i wznoszenia przy starcie, konieczność zapewnienia określonych nachyleń ochronnych bocznych powinna być zbadana </w:t>
      </w:r>
      <w:r w:rsidR="00383FA2" w:rsidRPr="00EC757C">
        <w:rPr>
          <w:rFonts w:cs="TimesNewRomanPS-BoldItalicMT"/>
          <w:bCs/>
          <w:iCs/>
          <w:szCs w:val="20"/>
        </w:rPr>
        <w:t>na podstawie oceny bezpieczeństwa.</w:t>
      </w:r>
    </w:p>
    <w:p w14:paraId="71079A34" w14:textId="5031DD29" w:rsidR="0043393E" w:rsidRPr="00E97240" w:rsidRDefault="0043393E" w:rsidP="009E064B">
      <w:pPr>
        <w:tabs>
          <w:tab w:val="left" w:pos="1134"/>
        </w:tabs>
        <w:autoSpaceDE w:val="0"/>
        <w:autoSpaceDN w:val="0"/>
        <w:adjustRightInd w:val="0"/>
        <w:spacing w:after="0"/>
        <w:rPr>
          <w:rFonts w:cs="TimesNewRomanPS-BoldItalicMT"/>
          <w:bCs/>
          <w:iCs/>
          <w:szCs w:val="20"/>
        </w:rPr>
      </w:pPr>
    </w:p>
    <w:p w14:paraId="5E4FCF76" w14:textId="77777777" w:rsidR="00F64242" w:rsidRPr="00E97240" w:rsidRDefault="00F64242" w:rsidP="009E064B">
      <w:pPr>
        <w:tabs>
          <w:tab w:val="left" w:pos="1134"/>
        </w:tabs>
        <w:autoSpaceDE w:val="0"/>
        <w:autoSpaceDN w:val="0"/>
        <w:adjustRightInd w:val="0"/>
        <w:spacing w:after="0"/>
        <w:rPr>
          <w:rFonts w:cs="TimesNewRomanPS-BoldItalicMT"/>
          <w:bCs/>
          <w:iCs/>
          <w:szCs w:val="20"/>
        </w:rPr>
        <w:sectPr w:rsidR="00F64242" w:rsidRPr="00E97240" w:rsidSect="00E300A0">
          <w:headerReference w:type="default" r:id="rId307"/>
          <w:headerReference w:type="first" r:id="rId308"/>
          <w:pgSz w:w="11906" w:h="16840" w:code="9"/>
          <w:pgMar w:top="1701" w:right="1418" w:bottom="1418" w:left="1418" w:header="567" w:footer="454" w:gutter="0"/>
          <w:cols w:space="708"/>
          <w:titlePg/>
        </w:sectPr>
      </w:pPr>
    </w:p>
    <w:p w14:paraId="23FE4F87" w14:textId="11EA2310" w:rsidR="0043393E" w:rsidRDefault="0043393E" w:rsidP="00F64242"/>
    <w:p w14:paraId="78E80C26" w14:textId="4CAF3D9F" w:rsidR="0043393E" w:rsidRPr="00F64242" w:rsidRDefault="00531A22" w:rsidP="00F64242">
      <w:pPr>
        <w:pStyle w:val="Nagwek2"/>
      </w:pPr>
      <w:bookmarkStart w:id="1898" w:name="_Toc12533350"/>
      <w:r>
        <w:t>ROZDZIAŁ C</w:t>
      </w:r>
      <w:r w:rsidRPr="009E064B">
        <w:t xml:space="preserve"> — </w:t>
      </w:r>
      <w:r w:rsidRPr="00F64242">
        <w:t>DROGI KOŁOWANIA I TRASY KOŁOWANIA ŚMIGŁOWCÓW PO ZIEMI</w:t>
      </w:r>
      <w:bookmarkEnd w:id="1898"/>
    </w:p>
    <w:p w14:paraId="4D13106B" w14:textId="3E827FA4" w:rsidR="0043393E" w:rsidRDefault="0043393E" w:rsidP="00F64242"/>
    <w:p w14:paraId="2BE23D3B" w14:textId="2659574C" w:rsidR="0043393E" w:rsidRPr="009E064B" w:rsidRDefault="00F64242" w:rsidP="0043393E">
      <w:pPr>
        <w:pStyle w:val="Nagwek4"/>
        <w:rPr>
          <w:color w:val="auto"/>
        </w:rPr>
      </w:pPr>
      <w:bookmarkStart w:id="1899" w:name="_Toc12533351"/>
      <w:r w:rsidRPr="00042D60">
        <w:rPr>
          <w:color w:val="auto"/>
        </w:rPr>
        <w:t>CS</w:t>
      </w:r>
      <w:r>
        <w:rPr>
          <w:color w:val="auto"/>
        </w:rPr>
        <w:t xml:space="preserve"> HPT-DSN.C</w:t>
      </w:r>
      <w:r w:rsidR="0043393E">
        <w:rPr>
          <w:color w:val="auto"/>
        </w:rPr>
        <w:t>.</w:t>
      </w:r>
      <w:r>
        <w:rPr>
          <w:color w:val="auto"/>
        </w:rPr>
        <w:t>200</w:t>
      </w:r>
      <w:r w:rsidR="0043393E" w:rsidRPr="009E064B">
        <w:rPr>
          <w:b w:val="0"/>
          <w:bCs w:val="0"/>
          <w:color w:val="FFFFFF"/>
          <w:sz w:val="32"/>
          <w:szCs w:val="32"/>
        </w:rPr>
        <w:t xml:space="preserve">     </w:t>
      </w:r>
      <w:r w:rsidRPr="00F64242">
        <w:rPr>
          <w:szCs w:val="20"/>
        </w:rPr>
        <w:t>Drogi kołowania i trasy kołowania śmigłowców po ziemi</w:t>
      </w:r>
      <w:bookmarkEnd w:id="1899"/>
    </w:p>
    <w:p w14:paraId="2153CB84" w14:textId="2C4BD2F6"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55B9DC5" w14:textId="3458C047" w:rsidR="00383FA2" w:rsidRPr="00EC757C" w:rsidRDefault="0043393E" w:rsidP="00383FA2">
      <w:pPr>
        <w:tabs>
          <w:tab w:val="left" w:pos="567"/>
        </w:tabs>
        <w:autoSpaceDE w:val="0"/>
        <w:autoSpaceDN w:val="0"/>
        <w:adjustRightInd w:val="0"/>
        <w:ind w:left="567" w:hanging="567"/>
        <w:rPr>
          <w:rFonts w:cs="TimesNewRomanPS-BoldItalicMT"/>
          <w:bCs/>
          <w:iCs/>
          <w:szCs w:val="20"/>
        </w:rPr>
      </w:pPr>
      <w:r w:rsidRPr="00EC757C">
        <w:rPr>
          <w:rFonts w:cs="TimesNewRomanPS-BoldItalicMT"/>
          <w:bCs/>
          <w:iCs/>
          <w:szCs w:val="20"/>
        </w:rPr>
        <w:t>(a)</w:t>
      </w:r>
      <w:r w:rsidRPr="00EC757C">
        <w:rPr>
          <w:rFonts w:cs="TimesNewRomanPS-BoldItalicMT"/>
          <w:bCs/>
          <w:iCs/>
          <w:szCs w:val="20"/>
        </w:rPr>
        <w:tab/>
      </w:r>
      <w:r w:rsidR="00383FA2" w:rsidRPr="00EC757C">
        <w:rPr>
          <w:rFonts w:cs="TimesNewRomanPS-BoldItalicMT"/>
          <w:bCs/>
          <w:iCs/>
          <w:szCs w:val="20"/>
        </w:rPr>
        <w:t>Wymagania ogólne: Droga kołowania śmigłowca po ziemi powinna być zaprojektowana tak, aby umożliwić przemieszczanie się śmigłowca z podwoziem kołowym po powierzchni ziemi przy użyciu własnego napędu.</w:t>
      </w:r>
    </w:p>
    <w:p w14:paraId="4BD538E9" w14:textId="503839A4" w:rsidR="00383FA2" w:rsidRPr="00EC757C" w:rsidRDefault="00383FA2" w:rsidP="00383FA2">
      <w:pPr>
        <w:tabs>
          <w:tab w:val="left" w:pos="567"/>
        </w:tabs>
        <w:autoSpaceDE w:val="0"/>
        <w:autoSpaceDN w:val="0"/>
        <w:adjustRightInd w:val="0"/>
        <w:ind w:left="567" w:hanging="567"/>
        <w:rPr>
          <w:rFonts w:cs="TimesNewRomanPS-BoldItalicMT"/>
          <w:bCs/>
          <w:iCs/>
          <w:szCs w:val="20"/>
        </w:rPr>
      </w:pPr>
      <w:r w:rsidRPr="00EC757C">
        <w:rPr>
          <w:rFonts w:cs="TimesNewRomanPS-BoldItalicMT"/>
          <w:bCs/>
          <w:iCs/>
          <w:szCs w:val="20"/>
        </w:rPr>
        <w:t xml:space="preserve">(b) </w:t>
      </w:r>
      <w:r w:rsidRPr="00EC757C">
        <w:rPr>
          <w:rFonts w:cs="TimesNewRomanPS-BoldItalicMT"/>
          <w:bCs/>
          <w:iCs/>
          <w:szCs w:val="20"/>
        </w:rPr>
        <w:tab/>
        <w:t>Charakterystyka:</w:t>
      </w:r>
    </w:p>
    <w:p w14:paraId="43FD16DF" w14:textId="4D752147" w:rsidR="00383FA2" w:rsidRPr="00EC757C" w:rsidRDefault="00383FA2" w:rsidP="00383FA2">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(1) </w:t>
      </w:r>
      <w:r w:rsidRPr="00EC757C">
        <w:rPr>
          <w:rFonts w:cs="TimesNewRomanPS-BoldItalicMT"/>
          <w:bCs/>
          <w:iCs/>
        </w:rPr>
        <w:tab/>
        <w:t>Szerokość drogi kołowania śmigłowców po ziemi powinna wynosić nie mniej niż 1,5 raz</w:t>
      </w:r>
      <w:r w:rsidR="00EC757C" w:rsidRPr="00EC757C">
        <w:rPr>
          <w:rFonts w:cs="TimesNewRomanPS-BoldItalicMT"/>
          <w:bCs/>
          <w:iCs/>
        </w:rPr>
        <w:t>a</w:t>
      </w:r>
      <w:r w:rsidRPr="00EC757C">
        <w:rPr>
          <w:rFonts w:cs="TimesNewRomanPS-BoldItalicMT"/>
          <w:bCs/>
          <w:iCs/>
        </w:rPr>
        <w:t xml:space="preserve"> największej szerokości podwozia (UCW) śmigłowców, do obsługi, których droga kołowania śmigłowców po ziemi jest przeznaczona (patrz Rysunek C-1).</w:t>
      </w:r>
    </w:p>
    <w:p w14:paraId="5F632FBE" w14:textId="6A4AE225" w:rsidR="00383FA2"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(2) </w:t>
      </w:r>
      <w:r w:rsidRPr="00EC757C">
        <w:rPr>
          <w:rFonts w:cs="TimesNewRomanPS-BoldItalicMT"/>
          <w:bCs/>
          <w:iCs/>
        </w:rPr>
        <w:tab/>
      </w:r>
      <w:r w:rsidR="00EC757C" w:rsidRPr="00EC757C">
        <w:rPr>
          <w:rFonts w:cs="TimesNewRomanPS-BoldItalicMT"/>
          <w:bCs/>
          <w:iCs/>
        </w:rPr>
        <w:t>N</w:t>
      </w:r>
      <w:r w:rsidR="00383FA2" w:rsidRPr="00EC757C">
        <w:rPr>
          <w:rFonts w:cs="TimesNewRomanPS-BoldItalicMT"/>
          <w:bCs/>
          <w:iCs/>
        </w:rPr>
        <w:t xml:space="preserve">achylenie </w:t>
      </w:r>
      <w:r w:rsidR="00EC757C" w:rsidRPr="00EC757C">
        <w:rPr>
          <w:rFonts w:cs="TimesNewRomanPS-BoldItalicMT"/>
          <w:bCs/>
          <w:iCs/>
        </w:rPr>
        <w:t xml:space="preserve">podłużne </w:t>
      </w:r>
      <w:r w:rsidR="00383FA2" w:rsidRPr="00EC757C">
        <w:rPr>
          <w:rFonts w:cs="TimesNewRomanPS-BoldItalicMT"/>
          <w:bCs/>
          <w:iCs/>
        </w:rPr>
        <w:t xml:space="preserve">drogi kołowania śmigłowców po ziemi nie może być większe niż 3%. </w:t>
      </w:r>
    </w:p>
    <w:p w14:paraId="7B2B77D8" w14:textId="4C6B238B" w:rsidR="00383FA2"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(3) </w:t>
      </w:r>
      <w:r w:rsidRPr="00EC757C">
        <w:rPr>
          <w:rFonts w:cs="TimesNewRomanPS-BoldItalicMT"/>
          <w:bCs/>
          <w:iCs/>
        </w:rPr>
        <w:tab/>
      </w:r>
      <w:r w:rsidR="00383FA2" w:rsidRPr="00EC757C">
        <w:rPr>
          <w:rFonts w:cs="TimesNewRomanPS-BoldItalicMT"/>
          <w:bCs/>
          <w:iCs/>
        </w:rPr>
        <w:t>Droga kołowania śmigłowców po ziemi powinna mieć zdolność przenoszenia obciążeń statycznych i być zdatna do wytrzymywania ruchu śmigłowców, do obsługi których jest przeznaczona.</w:t>
      </w:r>
    </w:p>
    <w:p w14:paraId="64DE41ED" w14:textId="797FD5BF"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(4) </w:t>
      </w:r>
      <w:r w:rsidRPr="00EC757C">
        <w:rPr>
          <w:rFonts w:cs="TimesNewRomanPS-BoldItalicMT"/>
          <w:bCs/>
          <w:iCs/>
        </w:rPr>
        <w:tab/>
        <w:t>Droga kołowania śmigłowców po ziemi powinna być zlokalizowana centralnie na trasie kołowania po ziemi.</w:t>
      </w:r>
    </w:p>
    <w:p w14:paraId="3D940008" w14:textId="0D43B595"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(5) </w:t>
      </w:r>
      <w:r w:rsidRPr="00EC757C">
        <w:rPr>
          <w:rFonts w:cs="TimesNewRomanPS-BoldItalicMT"/>
          <w:bCs/>
          <w:iCs/>
        </w:rPr>
        <w:tab/>
        <w:t xml:space="preserve">Trasa kołowania śmigłowców po ziemi powinna rozciągać się symetrycznie po każdej stronie linii środkowej na odległość nie mniejszą niż 0,75 największej całkowitej szerokości śmigłowców, do obsługi których jest przeznaczona. </w:t>
      </w:r>
    </w:p>
    <w:p w14:paraId="7766F5B5" w14:textId="484C3E9D"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(6) </w:t>
      </w:r>
      <w:r w:rsidRPr="00EC757C">
        <w:rPr>
          <w:rFonts w:cs="TimesNewRomanPS-BoldItalicMT"/>
          <w:bCs/>
          <w:iCs/>
        </w:rPr>
        <w:tab/>
        <w:t xml:space="preserve">Zabronione jest, aby na trasie kołowania śmigłowców po ziemi znajdowały się jakiekolwiek obiekty stałe powyżej powierzchni ziemi, z wyjątkiem obiektów łamliwych, które muszą być na niej umieszczone ze względu na swoje funkcje. </w:t>
      </w:r>
    </w:p>
    <w:p w14:paraId="230BE3E1" w14:textId="7D564B9D"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(7) </w:t>
      </w:r>
      <w:r w:rsidRPr="00EC757C">
        <w:rPr>
          <w:rFonts w:cs="TimesNewRomanPS-BoldItalicMT"/>
          <w:bCs/>
          <w:iCs/>
        </w:rPr>
        <w:tab/>
        <w:t>Zabronione jest, aby na trasie kołowania śmigłowców po ziemi znajdował się jakikolwiek obiekt ruchomy, podczas operacji śmigłowców.</w:t>
      </w:r>
    </w:p>
    <w:p w14:paraId="1A31F027" w14:textId="426472DA"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(8) </w:t>
      </w:r>
      <w:r w:rsidRPr="00EC757C">
        <w:rPr>
          <w:rFonts w:cs="TimesNewRomanPS-BoldItalicMT"/>
          <w:bCs/>
          <w:iCs/>
        </w:rPr>
        <w:tab/>
        <w:t xml:space="preserve">Obiekty, których funkcja wymaga umieszczenia </w:t>
      </w:r>
      <w:r w:rsidR="00EC757C" w:rsidRPr="00EC757C">
        <w:rPr>
          <w:rFonts w:cs="TimesNewRomanPS-BoldItalicMT"/>
          <w:bCs/>
          <w:iCs/>
        </w:rPr>
        <w:t xml:space="preserve">ich </w:t>
      </w:r>
      <w:r w:rsidRPr="00EC757C">
        <w:rPr>
          <w:rFonts w:cs="TimesNewRomanPS-BoldItalicMT"/>
          <w:bCs/>
          <w:iCs/>
        </w:rPr>
        <w:t>na trasie kołowania śmigłowców po ziemi nie mogą:</w:t>
      </w:r>
    </w:p>
    <w:p w14:paraId="08D6D19A" w14:textId="029B9323" w:rsidR="005B20C7" w:rsidRPr="00EC757C" w:rsidRDefault="005B20C7" w:rsidP="005B20C7">
      <w:pPr>
        <w:tabs>
          <w:tab w:val="left" w:pos="1701"/>
        </w:tabs>
        <w:autoSpaceDE w:val="0"/>
        <w:autoSpaceDN w:val="0"/>
        <w:adjustRightInd w:val="0"/>
        <w:ind w:left="1701" w:hanging="567"/>
        <w:rPr>
          <w:rFonts w:cs="TimesNewRomanPS-BoldItalicMT"/>
          <w:bCs/>
          <w:iCs/>
        </w:rPr>
      </w:pPr>
      <w:r w:rsidRPr="00EC757C">
        <w:rPr>
          <w:rFonts w:cs="TimesNewRomanPS-BoldItalicMT"/>
          <w:bCs/>
          <w:iCs/>
        </w:rPr>
        <w:t>(i)</w:t>
      </w:r>
      <w:r w:rsidRPr="00EC757C">
        <w:rPr>
          <w:rFonts w:cs="TimesNewRomanPS-BoldItalicMT"/>
          <w:bCs/>
          <w:iCs/>
        </w:rPr>
        <w:tab/>
        <w:t xml:space="preserve">być umieszczone w odległości mniejszej niż 50 cm od krawędzi drogi kołowania śmigłowców po ziemi; oraz </w:t>
      </w:r>
    </w:p>
    <w:p w14:paraId="3433B4B9" w14:textId="7503F560" w:rsidR="005B20C7" w:rsidRPr="00EC757C" w:rsidRDefault="005B20C7" w:rsidP="005B20C7">
      <w:pPr>
        <w:tabs>
          <w:tab w:val="left" w:pos="1701"/>
        </w:tabs>
        <w:autoSpaceDE w:val="0"/>
        <w:autoSpaceDN w:val="0"/>
        <w:adjustRightInd w:val="0"/>
        <w:ind w:left="1701" w:hanging="567"/>
        <w:rPr>
          <w:rFonts w:cs="TimesNewRomanPS-BoldItalicMT"/>
          <w:bCs/>
          <w:iCs/>
        </w:rPr>
      </w:pPr>
      <w:r w:rsidRPr="00EC757C">
        <w:rPr>
          <w:rFonts w:cs="TimesNewRomanPS-BoldItalicMT"/>
          <w:bCs/>
          <w:iCs/>
        </w:rPr>
        <w:t>(ii)</w:t>
      </w:r>
      <w:r w:rsidRPr="00EC757C">
        <w:rPr>
          <w:rFonts w:cs="TimesNewRomanPS-BoldItalicMT"/>
          <w:bCs/>
          <w:iCs/>
        </w:rPr>
        <w:tab/>
        <w:t>przebijać płaszczyzny, która ma swój początek na wysokości 25 cm nad drogą kołowania śmigłowców po ziemi, w odległości 50 cm od krawędzi drogi kołowania śmigłowców po ziemi, nachylonej w górę i na zewnątrz z pochyleniem 5%.</w:t>
      </w:r>
    </w:p>
    <w:p w14:paraId="3EA8E464" w14:textId="4395E55C"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(9) </w:t>
      </w:r>
      <w:r w:rsidRPr="00EC757C">
        <w:rPr>
          <w:rFonts w:cs="TimesNewRomanPS-BoldItalicMT"/>
          <w:bCs/>
          <w:iCs/>
        </w:rPr>
        <w:tab/>
        <w:t>Droga kołowania śmigłowców po ziemi i trasa kołowania śmigłowców po ziemi powinny zapewniać szybkie odprowadzanie wody, ale nachylenie poprzeczne drogi kołowania śmigłowców po ziemi nie może być większe niż 2%.</w:t>
      </w:r>
    </w:p>
    <w:p w14:paraId="704E993B" w14:textId="7C415467"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(10) </w:t>
      </w:r>
      <w:r w:rsidRPr="00EC757C">
        <w:rPr>
          <w:rFonts w:cs="TimesNewRomanPS-BoldItalicMT"/>
          <w:bCs/>
          <w:iCs/>
        </w:rPr>
        <w:tab/>
        <w:t>Nawierzchnia trasy kołowania śmigłowców po ziemi powinna być odporna na działanie podmuchu podwirnikowego.</w:t>
      </w:r>
    </w:p>
    <w:p w14:paraId="12596286" w14:textId="059424F8" w:rsidR="005B20C7" w:rsidRPr="00EC757C" w:rsidRDefault="005B20C7" w:rsidP="005B20C7">
      <w:pPr>
        <w:tabs>
          <w:tab w:val="left" w:pos="1134"/>
        </w:tabs>
        <w:autoSpaceDE w:val="0"/>
        <w:autoSpaceDN w:val="0"/>
        <w:adjustRightInd w:val="0"/>
        <w:ind w:left="1134" w:hanging="567"/>
        <w:rPr>
          <w:rFonts w:cs="TimesNewRomanPS-BoldItalicMT"/>
          <w:bCs/>
          <w:iCs/>
        </w:rPr>
      </w:pPr>
      <w:r w:rsidRPr="00EC757C">
        <w:rPr>
          <w:rFonts w:cs="TimesNewRomanPS-BoldItalicMT"/>
          <w:bCs/>
          <w:iCs/>
        </w:rPr>
        <w:t xml:space="preserve">(11) </w:t>
      </w:r>
      <w:r w:rsidRPr="00EC757C">
        <w:rPr>
          <w:rFonts w:cs="TimesNewRomanPS-BoldItalicMT"/>
          <w:bCs/>
          <w:iCs/>
        </w:rPr>
        <w:tab/>
        <w:t>Aby możliwe było wykonywanie jednoczesnych operacji, trasy kołowania śmigłowców po ziemi nie mogą się pokrywać.</w:t>
      </w:r>
    </w:p>
    <w:p w14:paraId="1F5B04AE" w14:textId="77777777" w:rsidR="005B20C7" w:rsidRPr="00E97240" w:rsidRDefault="005B20C7" w:rsidP="005B20C7">
      <w:pPr>
        <w:tabs>
          <w:tab w:val="left" w:pos="1134"/>
        </w:tabs>
        <w:autoSpaceDE w:val="0"/>
        <w:autoSpaceDN w:val="0"/>
        <w:adjustRightInd w:val="0"/>
        <w:ind w:left="1134" w:hanging="567"/>
        <w:rPr>
          <w:rFonts w:cs="TimesNewRomanPS-BoldItalicMT"/>
          <w:bCs/>
          <w:iCs/>
        </w:rPr>
      </w:pPr>
    </w:p>
    <w:p w14:paraId="71536B67" w14:textId="77777777" w:rsidR="005B20C7" w:rsidRPr="00900AA5" w:rsidRDefault="005B20C7" w:rsidP="005B20C7">
      <w:pPr>
        <w:spacing w:line="23" w:lineRule="atLeast"/>
        <w:jc w:val="center"/>
        <w:rPr>
          <w:b/>
          <w:bCs/>
          <w:szCs w:val="20"/>
        </w:rPr>
      </w:pPr>
      <w:r w:rsidRPr="00900AA5">
        <w:rPr>
          <w:noProof/>
          <w:lang w:eastAsia="pl-PL"/>
        </w:rPr>
        <w:drawing>
          <wp:inline distT="0" distB="0" distL="0" distR="0" wp14:anchorId="175D4FB1" wp14:editId="71C701E7">
            <wp:extent cx="5381385" cy="3060700"/>
            <wp:effectExtent l="0" t="0" r="0" b="6350"/>
            <wp:docPr id="1397" name="Obraz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384542" cy="3062496"/>
                    </a:xfrm>
                    <a:prstGeom prst="rect">
                      <a:avLst/>
                    </a:prstGeom>
                    <a:noFill/>
                    <a:ln>
                      <a:noFill/>
                    </a:ln>
                  </pic:spPr>
                </pic:pic>
              </a:graphicData>
            </a:graphic>
          </wp:inline>
        </w:drawing>
      </w:r>
    </w:p>
    <w:p w14:paraId="716C49EB" w14:textId="4EB800DF" w:rsidR="005B20C7" w:rsidRPr="00EC757C" w:rsidRDefault="005B20C7" w:rsidP="00E97240">
      <w:pPr>
        <w:spacing w:before="240"/>
        <w:jc w:val="center"/>
        <w:rPr>
          <w:b/>
          <w:sz w:val="20"/>
        </w:rPr>
      </w:pPr>
      <w:r w:rsidRPr="00EC757C">
        <w:rPr>
          <w:b/>
          <w:sz w:val="20"/>
        </w:rPr>
        <w:t xml:space="preserve">Rysunek C-1   </w:t>
      </w:r>
      <w:r w:rsidR="00EC757C">
        <w:rPr>
          <w:b/>
          <w:sz w:val="20"/>
        </w:rPr>
        <w:t>Droga /</w:t>
      </w:r>
      <w:r w:rsidRPr="00EC757C">
        <w:rPr>
          <w:b/>
          <w:sz w:val="20"/>
        </w:rPr>
        <w:t xml:space="preserve"> trasa kołowania śmigłowców </w:t>
      </w:r>
      <w:r w:rsidR="00EE7F6D">
        <w:rPr>
          <w:b/>
          <w:sz w:val="20"/>
        </w:rPr>
        <w:t>po</w:t>
      </w:r>
      <w:r w:rsidRPr="00EC757C">
        <w:rPr>
          <w:b/>
          <w:sz w:val="20"/>
        </w:rPr>
        <w:t xml:space="preserve"> ziemi</w:t>
      </w:r>
    </w:p>
    <w:p w14:paraId="592BB81B" w14:textId="77777777" w:rsidR="00371244" w:rsidRDefault="00371244" w:rsidP="00371244">
      <w:pPr>
        <w:pStyle w:val="Akapitzlist1"/>
        <w:spacing w:after="120" w:line="23" w:lineRule="atLeast"/>
        <w:ind w:left="0"/>
        <w:rPr>
          <w:i/>
          <w:szCs w:val="20"/>
          <w:lang w:val="pl-PL"/>
        </w:rPr>
      </w:pPr>
    </w:p>
    <w:p w14:paraId="7495F027" w14:textId="799DA362" w:rsidR="0043393E" w:rsidRPr="009E064B" w:rsidRDefault="0043393E" w:rsidP="00133B99">
      <w:pPr>
        <w:pStyle w:val="Nagwek6"/>
      </w:pPr>
      <w:bookmarkStart w:id="1900" w:name="_Toc12533352"/>
      <w:r w:rsidRPr="009E064B">
        <w:t>GM1 HPT-DSN.</w:t>
      </w:r>
      <w:r w:rsidR="00F64242">
        <w:t>C.200</w:t>
      </w:r>
      <w:r w:rsidRPr="009E064B">
        <w:t xml:space="preserve">     </w:t>
      </w:r>
      <w:r w:rsidR="00F64242" w:rsidRPr="00F64242">
        <w:t>Drogi kołowania i trasy kołowania śmigłowców po ziemi</w:t>
      </w:r>
      <w:bookmarkEnd w:id="1900"/>
    </w:p>
    <w:p w14:paraId="372AF33E" w14:textId="34473BA4"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206E427" w14:textId="785C6EB0" w:rsidR="0043393E" w:rsidRPr="00EE7F6D" w:rsidRDefault="00371244" w:rsidP="00371244">
      <w:pPr>
        <w:tabs>
          <w:tab w:val="left" w:pos="0"/>
        </w:tabs>
        <w:autoSpaceDE w:val="0"/>
        <w:autoSpaceDN w:val="0"/>
        <w:adjustRightInd w:val="0"/>
        <w:rPr>
          <w:rFonts w:cs="TimesNewRomanPS-BoldItalicMT"/>
          <w:bCs/>
          <w:iCs/>
          <w:szCs w:val="20"/>
        </w:rPr>
      </w:pPr>
      <w:r w:rsidRPr="00EE7F6D">
        <w:rPr>
          <w:rFonts w:cs="TimesNewRomanPS-BoldItalicMT"/>
          <w:bCs/>
          <w:iCs/>
          <w:szCs w:val="20"/>
        </w:rPr>
        <w:t>Jeśli droga kołowania jest przeznaczona do użytku przez samoloty i przez śmigłowce, to powinny być uwzględnione wszystkie przepisy dotyczące naziemnych dróg kołowania dla samolotów i śmigłowców i </w:t>
      </w:r>
      <w:r w:rsidR="00EE7F6D" w:rsidRPr="00EE7F6D">
        <w:rPr>
          <w:rFonts w:cs="TimesNewRomanPS-BoldItalicMT"/>
          <w:bCs/>
          <w:iCs/>
          <w:szCs w:val="20"/>
        </w:rPr>
        <w:t xml:space="preserve">powinny być </w:t>
      </w:r>
      <w:r w:rsidRPr="00EE7F6D">
        <w:rPr>
          <w:rFonts w:cs="TimesNewRomanPS-BoldItalicMT"/>
          <w:bCs/>
          <w:iCs/>
          <w:szCs w:val="20"/>
        </w:rPr>
        <w:t xml:space="preserve">zastosowane </w:t>
      </w:r>
      <w:r w:rsidR="00EE7F6D" w:rsidRPr="00EE7F6D">
        <w:rPr>
          <w:rFonts w:cs="TimesNewRomanPS-BoldItalicMT"/>
          <w:bCs/>
          <w:iCs/>
          <w:szCs w:val="20"/>
        </w:rPr>
        <w:t xml:space="preserve">wymagania </w:t>
      </w:r>
      <w:r w:rsidRPr="00EE7F6D">
        <w:rPr>
          <w:rFonts w:cs="TimesNewRomanPS-BoldItalicMT"/>
          <w:bCs/>
          <w:iCs/>
          <w:szCs w:val="20"/>
        </w:rPr>
        <w:t>bardziej rygorystyczne.</w:t>
      </w:r>
    </w:p>
    <w:p w14:paraId="46C48A83" w14:textId="68F8CDE9" w:rsidR="00F64242" w:rsidRPr="009E064B" w:rsidRDefault="00F64242" w:rsidP="00F64242">
      <w:pPr>
        <w:pStyle w:val="Nagwek4"/>
        <w:rPr>
          <w:color w:val="auto"/>
        </w:rPr>
      </w:pPr>
      <w:bookmarkStart w:id="1901" w:name="_Toc12533353"/>
      <w:r w:rsidRPr="00042D60">
        <w:rPr>
          <w:color w:val="auto"/>
        </w:rPr>
        <w:t>CS</w:t>
      </w:r>
      <w:r>
        <w:rPr>
          <w:color w:val="auto"/>
        </w:rPr>
        <w:t xml:space="preserve"> HPT-DSN.C.210</w:t>
      </w:r>
      <w:r w:rsidRPr="009E064B">
        <w:rPr>
          <w:b w:val="0"/>
          <w:bCs w:val="0"/>
          <w:color w:val="FFFFFF"/>
          <w:sz w:val="32"/>
          <w:szCs w:val="32"/>
        </w:rPr>
        <w:t xml:space="preserve">     </w:t>
      </w:r>
      <w:r w:rsidRPr="00F64242">
        <w:rPr>
          <w:szCs w:val="20"/>
        </w:rPr>
        <w:t xml:space="preserve">Drogi kołowania i trasy kołowania śmigłowców </w:t>
      </w:r>
      <w:r w:rsidR="00EE7F6D">
        <w:rPr>
          <w:szCs w:val="20"/>
        </w:rPr>
        <w:t>w </w:t>
      </w:r>
      <w:r>
        <w:rPr>
          <w:szCs w:val="20"/>
        </w:rPr>
        <w:t>powietrzu</w:t>
      </w:r>
      <w:bookmarkEnd w:id="1901"/>
    </w:p>
    <w:p w14:paraId="7D02A272" w14:textId="6763C9F7"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36C94D2" w14:textId="612FDEF4" w:rsidR="00371244" w:rsidRPr="00EE7F6D" w:rsidRDefault="00F64242" w:rsidP="00371244">
      <w:pPr>
        <w:tabs>
          <w:tab w:val="left" w:pos="567"/>
        </w:tabs>
        <w:autoSpaceDE w:val="0"/>
        <w:autoSpaceDN w:val="0"/>
        <w:adjustRightInd w:val="0"/>
        <w:ind w:left="567" w:hanging="567"/>
        <w:rPr>
          <w:rFonts w:cs="TimesNewRomanPS-BoldItalicMT"/>
          <w:bCs/>
          <w:iCs/>
          <w:szCs w:val="20"/>
        </w:rPr>
      </w:pPr>
      <w:r w:rsidRPr="00EE7F6D">
        <w:rPr>
          <w:rFonts w:cs="TimesNewRomanPS-BoldItalicMT"/>
          <w:bCs/>
          <w:iCs/>
          <w:szCs w:val="20"/>
        </w:rPr>
        <w:t>(a)</w:t>
      </w:r>
      <w:r w:rsidRPr="00EE7F6D">
        <w:rPr>
          <w:rFonts w:cs="TimesNewRomanPS-BoldItalicMT"/>
          <w:bCs/>
          <w:iCs/>
          <w:szCs w:val="20"/>
        </w:rPr>
        <w:tab/>
      </w:r>
      <w:r w:rsidR="00371244" w:rsidRPr="00EE7F6D">
        <w:rPr>
          <w:rFonts w:cs="TimesNewRomanPS-BoldItalicMT"/>
          <w:bCs/>
          <w:iCs/>
          <w:szCs w:val="20"/>
        </w:rPr>
        <w:t>Wymagania ogólne. Droga kołowania śmigłowca w powietrzu jest przeznaczona dla umożliwienia ruchu śmigłowca nad powierzchnią na wysokości zazwyczaj związanej z wykorzystaniem wpływu ziemi i z prędkością mniejszą niż 37 km/h (20 węzłów).</w:t>
      </w:r>
    </w:p>
    <w:p w14:paraId="04893174" w14:textId="2E0AE5FC" w:rsidR="00371244" w:rsidRPr="00EE7F6D" w:rsidRDefault="00371244" w:rsidP="00371244">
      <w:pPr>
        <w:tabs>
          <w:tab w:val="left" w:pos="567"/>
        </w:tabs>
        <w:autoSpaceDE w:val="0"/>
        <w:autoSpaceDN w:val="0"/>
        <w:adjustRightInd w:val="0"/>
        <w:ind w:left="567" w:hanging="567"/>
        <w:rPr>
          <w:rFonts w:cs="TimesNewRomanPS-BoldItalicMT"/>
          <w:bCs/>
          <w:iCs/>
          <w:szCs w:val="20"/>
        </w:rPr>
      </w:pPr>
      <w:r w:rsidRPr="00EE7F6D">
        <w:rPr>
          <w:rFonts w:cs="TimesNewRomanPS-BoldItalicMT"/>
          <w:bCs/>
          <w:iCs/>
          <w:szCs w:val="20"/>
        </w:rPr>
        <w:t xml:space="preserve">(b) </w:t>
      </w:r>
      <w:r w:rsidRPr="00EE7F6D">
        <w:rPr>
          <w:rFonts w:cs="TimesNewRomanPS-BoldItalicMT"/>
          <w:bCs/>
          <w:iCs/>
          <w:szCs w:val="20"/>
        </w:rPr>
        <w:tab/>
        <w:t>Charakterystyka:</w:t>
      </w:r>
    </w:p>
    <w:p w14:paraId="7795E532" w14:textId="1385A853" w:rsidR="00371244" w:rsidRPr="00EE7F6D" w:rsidRDefault="00371244" w:rsidP="00371244">
      <w:pPr>
        <w:tabs>
          <w:tab w:val="left" w:pos="1134"/>
        </w:tabs>
        <w:autoSpaceDE w:val="0"/>
        <w:autoSpaceDN w:val="0"/>
        <w:adjustRightInd w:val="0"/>
        <w:ind w:left="1134" w:hanging="567"/>
        <w:rPr>
          <w:rFonts w:cs="TimesNewRomanPS-BoldItalicMT"/>
          <w:bCs/>
          <w:iCs/>
          <w:szCs w:val="20"/>
        </w:rPr>
      </w:pPr>
      <w:r w:rsidRPr="00EE7F6D">
        <w:rPr>
          <w:rFonts w:cs="TimesNewRomanPS-BoldItalicMT"/>
          <w:bCs/>
          <w:iCs/>
          <w:szCs w:val="20"/>
        </w:rPr>
        <w:t xml:space="preserve">(1) </w:t>
      </w:r>
      <w:r w:rsidRPr="00EE7F6D">
        <w:rPr>
          <w:rFonts w:cs="TimesNewRomanPS-BoldItalicMT"/>
          <w:bCs/>
          <w:iCs/>
          <w:szCs w:val="20"/>
        </w:rPr>
        <w:tab/>
        <w:t xml:space="preserve">Szerokość drogi kołowania śmigłowców w powietrzu powinna wynosić nie mniej niż dwukrotność największej szerokości podwozia (UCW) śmigłowców, do obsługi których droga do kołowania śmigłowców w powietrzu jest przeznaczona (patrz Rysunek C-2). </w:t>
      </w:r>
    </w:p>
    <w:p w14:paraId="44991E10" w14:textId="77777777" w:rsidR="00371244" w:rsidRPr="00E97240" w:rsidRDefault="00371244" w:rsidP="00371244">
      <w:pPr>
        <w:tabs>
          <w:tab w:val="left" w:pos="1134"/>
        </w:tabs>
        <w:autoSpaceDE w:val="0"/>
        <w:autoSpaceDN w:val="0"/>
        <w:adjustRightInd w:val="0"/>
        <w:ind w:left="1134" w:hanging="567"/>
        <w:rPr>
          <w:rFonts w:cs="TimesNewRomanPS-BoldItalicMT"/>
          <w:bCs/>
          <w:iCs/>
          <w:szCs w:val="20"/>
        </w:rPr>
      </w:pPr>
      <w:r w:rsidRPr="00E97240">
        <w:rPr>
          <w:rFonts w:cs="TimesNewRomanPS-BoldItalicMT"/>
          <w:bCs/>
          <w:iCs/>
          <w:szCs w:val="20"/>
        </w:rPr>
        <w:t xml:space="preserve">(2) </w:t>
      </w:r>
      <w:r w:rsidRPr="00E97240">
        <w:rPr>
          <w:rFonts w:cs="TimesNewRomanPS-BoldItalicMT"/>
          <w:bCs/>
          <w:iCs/>
          <w:szCs w:val="20"/>
        </w:rPr>
        <w:tab/>
        <w:t>Nawierzchnia drogi kołowania śmigłowców w powietrzu powinna być zdolna do przenoszenia obciążeń statycznych.</w:t>
      </w:r>
    </w:p>
    <w:p w14:paraId="1D8B6EDE" w14:textId="62112F7E" w:rsidR="00371244" w:rsidRPr="00E97240" w:rsidRDefault="00371244" w:rsidP="00371244">
      <w:pPr>
        <w:tabs>
          <w:tab w:val="left" w:pos="1134"/>
        </w:tabs>
        <w:autoSpaceDE w:val="0"/>
        <w:autoSpaceDN w:val="0"/>
        <w:adjustRightInd w:val="0"/>
        <w:ind w:left="1134" w:hanging="567"/>
        <w:rPr>
          <w:rFonts w:cs="TimesNewRomanPS-BoldItalicMT"/>
          <w:bCs/>
        </w:rPr>
      </w:pPr>
      <w:r w:rsidRPr="00EE7F6D">
        <w:rPr>
          <w:rFonts w:cs="TimesNewRomanPS-BoldItalicMT"/>
          <w:bCs/>
          <w:iCs/>
          <w:szCs w:val="20"/>
        </w:rPr>
        <w:t xml:space="preserve">(3) </w:t>
      </w:r>
      <w:r w:rsidRPr="00EE7F6D">
        <w:rPr>
          <w:rFonts w:cs="TimesNewRomanPS-BoldItalicMT"/>
          <w:bCs/>
          <w:iCs/>
          <w:szCs w:val="20"/>
        </w:rPr>
        <w:tab/>
      </w:r>
      <w:r w:rsidR="00E1041E" w:rsidRPr="00EE7F6D">
        <w:rPr>
          <w:rFonts w:cs="TimesNewRomanPS-BoldItalicMT"/>
          <w:bCs/>
          <w:iCs/>
          <w:szCs w:val="20"/>
        </w:rPr>
        <w:t>Nachylenia po</w:t>
      </w:r>
      <w:r w:rsidRPr="00EE7F6D">
        <w:rPr>
          <w:rFonts w:cs="TimesNewRomanPS-BoldItalicMT"/>
          <w:bCs/>
          <w:iCs/>
          <w:szCs w:val="20"/>
        </w:rPr>
        <w:t>wierzchni drogi kołowania śmigłowców w powietrzu nie powinny być większe niż ograniczenia nachylenia lądowania śmigłowców, do obsługi których droga kołowania w powietrzu jest przeznaczona.</w:t>
      </w:r>
    </w:p>
    <w:p w14:paraId="15CFD01C" w14:textId="77777777" w:rsidR="00E1041E" w:rsidRPr="00EE7F6D" w:rsidRDefault="00E1041E" w:rsidP="00371244">
      <w:pPr>
        <w:tabs>
          <w:tab w:val="left" w:pos="1134"/>
        </w:tabs>
        <w:autoSpaceDE w:val="0"/>
        <w:autoSpaceDN w:val="0"/>
        <w:adjustRightInd w:val="0"/>
        <w:ind w:left="1134" w:hanging="567"/>
        <w:rPr>
          <w:rFonts w:cs="TimesNewRomanPS-BoldItalicMT"/>
          <w:bCs/>
        </w:rPr>
      </w:pPr>
      <w:r w:rsidRPr="00EE7F6D">
        <w:rPr>
          <w:rFonts w:cs="TimesNewRomanPS-BoldItalicMT"/>
          <w:bCs/>
        </w:rPr>
        <w:t xml:space="preserve">(4) </w:t>
      </w:r>
      <w:r w:rsidRPr="00EE7F6D">
        <w:rPr>
          <w:rFonts w:cs="TimesNewRomanPS-BoldItalicMT"/>
          <w:bCs/>
        </w:rPr>
        <w:tab/>
        <w:t>N</w:t>
      </w:r>
      <w:r w:rsidR="00371244" w:rsidRPr="00EE7F6D">
        <w:rPr>
          <w:rFonts w:cs="TimesNewRomanPS-BoldItalicMT"/>
          <w:bCs/>
        </w:rPr>
        <w:t xml:space="preserve">achylenie poprzeczne </w:t>
      </w:r>
      <w:r w:rsidRPr="00EE7F6D">
        <w:rPr>
          <w:rFonts w:cs="TimesNewRomanPS-BoldItalicMT"/>
          <w:bCs/>
          <w:iCs/>
          <w:szCs w:val="20"/>
        </w:rPr>
        <w:t xml:space="preserve">powierzchni drogi kołowania śmigłowców w powietrzu </w:t>
      </w:r>
      <w:r w:rsidR="00371244" w:rsidRPr="00EE7F6D">
        <w:rPr>
          <w:rFonts w:cs="TimesNewRomanPS-BoldItalicMT"/>
          <w:bCs/>
        </w:rPr>
        <w:t xml:space="preserve">nie powinno być większe niż 10% </w:t>
      </w:r>
    </w:p>
    <w:p w14:paraId="67052F41" w14:textId="25A088DE" w:rsidR="00371244" w:rsidRPr="00EE7F6D" w:rsidRDefault="00E1041E" w:rsidP="00371244">
      <w:pPr>
        <w:tabs>
          <w:tab w:val="left" w:pos="1134"/>
        </w:tabs>
        <w:autoSpaceDE w:val="0"/>
        <w:autoSpaceDN w:val="0"/>
        <w:adjustRightInd w:val="0"/>
        <w:ind w:left="1134" w:hanging="567"/>
        <w:rPr>
          <w:rFonts w:cs="TimesNewRomanPS-BoldItalicMT"/>
          <w:bCs/>
          <w:iCs/>
        </w:rPr>
      </w:pPr>
      <w:r w:rsidRPr="00EE7F6D">
        <w:rPr>
          <w:rFonts w:cs="TimesNewRomanPS-BoldItalicMT"/>
          <w:bCs/>
        </w:rPr>
        <w:t xml:space="preserve">(5) </w:t>
      </w:r>
      <w:r w:rsidRPr="00EE7F6D">
        <w:rPr>
          <w:rFonts w:cs="TimesNewRomanPS-BoldItalicMT"/>
          <w:bCs/>
        </w:rPr>
        <w:tab/>
        <w:t xml:space="preserve">Nachylenie podłużne </w:t>
      </w:r>
      <w:r w:rsidRPr="00EE7F6D">
        <w:rPr>
          <w:rFonts w:cs="TimesNewRomanPS-BoldItalicMT"/>
          <w:bCs/>
          <w:iCs/>
          <w:szCs w:val="20"/>
        </w:rPr>
        <w:t xml:space="preserve">powierzchni drogi kołowania śmigłowców w powietrzu </w:t>
      </w:r>
      <w:r w:rsidRPr="00EE7F6D">
        <w:rPr>
          <w:rFonts w:cs="TimesNewRomanPS-BoldItalicMT"/>
          <w:bCs/>
        </w:rPr>
        <w:t xml:space="preserve">nie powinno być większe niż </w:t>
      </w:r>
      <w:r w:rsidR="00371244" w:rsidRPr="00EE7F6D">
        <w:rPr>
          <w:rFonts w:cs="TimesNewRomanPS-BoldItalicMT"/>
          <w:bCs/>
        </w:rPr>
        <w:t xml:space="preserve">7%. </w:t>
      </w:r>
    </w:p>
    <w:p w14:paraId="4CF2BDB5" w14:textId="5D0AC5E0" w:rsidR="00371244" w:rsidRPr="00EE7F6D" w:rsidRDefault="00E1041E" w:rsidP="00E1041E">
      <w:pPr>
        <w:tabs>
          <w:tab w:val="left" w:pos="1134"/>
        </w:tabs>
        <w:autoSpaceDE w:val="0"/>
        <w:autoSpaceDN w:val="0"/>
        <w:adjustRightInd w:val="0"/>
        <w:ind w:left="1134" w:hanging="567"/>
        <w:rPr>
          <w:rFonts w:cs="TimesNewRomanPS-BoldItalicMT"/>
          <w:bCs/>
          <w:iCs/>
        </w:rPr>
      </w:pPr>
      <w:r w:rsidRPr="00EE7F6D">
        <w:rPr>
          <w:rFonts w:cs="TimesNewRomanPS-BoldItalicMT"/>
          <w:bCs/>
          <w:iCs/>
        </w:rPr>
        <w:t xml:space="preserve">(6) </w:t>
      </w:r>
      <w:r w:rsidRPr="00EE7F6D">
        <w:rPr>
          <w:rFonts w:cs="TimesNewRomanPS-BoldItalicMT"/>
          <w:bCs/>
          <w:iCs/>
        </w:rPr>
        <w:tab/>
      </w:r>
      <w:r w:rsidR="00371244" w:rsidRPr="00EE7F6D">
        <w:rPr>
          <w:rFonts w:cs="TimesNewRomanPS-BoldItalicMT"/>
          <w:bCs/>
          <w:iCs/>
        </w:rPr>
        <w:t>Droga kołowania śmigłowców w powietrzu powinna być zlokalizowana centralnie w trasie kołowania w powietrzu.</w:t>
      </w:r>
    </w:p>
    <w:p w14:paraId="1764B494" w14:textId="48C18BD5" w:rsidR="00371244" w:rsidRPr="00EE7F6D" w:rsidRDefault="00E1041E" w:rsidP="00E1041E">
      <w:pPr>
        <w:tabs>
          <w:tab w:val="left" w:pos="1134"/>
        </w:tabs>
        <w:autoSpaceDE w:val="0"/>
        <w:autoSpaceDN w:val="0"/>
        <w:adjustRightInd w:val="0"/>
        <w:ind w:left="1134" w:hanging="567"/>
        <w:rPr>
          <w:rFonts w:cs="TimesNewRomanPS-BoldItalicMT"/>
          <w:bCs/>
          <w:iCs/>
        </w:rPr>
      </w:pPr>
      <w:r w:rsidRPr="00EE7F6D">
        <w:rPr>
          <w:rFonts w:cs="TimesNewRomanPS-BoldItalicMT"/>
          <w:bCs/>
          <w:iCs/>
        </w:rPr>
        <w:t xml:space="preserve">(7) </w:t>
      </w:r>
      <w:r w:rsidRPr="00EE7F6D">
        <w:rPr>
          <w:rFonts w:cs="TimesNewRomanPS-BoldItalicMT"/>
          <w:bCs/>
          <w:iCs/>
        </w:rPr>
        <w:tab/>
      </w:r>
      <w:r w:rsidR="00371244" w:rsidRPr="00EE7F6D">
        <w:rPr>
          <w:rFonts w:cs="TimesNewRomanPS-BoldItalicMT"/>
          <w:bCs/>
          <w:iCs/>
        </w:rPr>
        <w:t xml:space="preserve">Trasa kołowania śmigłowców w powietrzu powinna rozciągać się symetrycznie po każdej stronie linii środkowej na odległość równą, co najmniej największej całkowitej szerokości śmigłowców, do obsługi których trasa kołowania w powietrzu jest przeznaczona. </w:t>
      </w:r>
    </w:p>
    <w:p w14:paraId="4DFEDA6E" w14:textId="7031CC3D" w:rsidR="00E1041E" w:rsidRPr="00D45BC9" w:rsidRDefault="00E1041E" w:rsidP="00E1041E">
      <w:pPr>
        <w:tabs>
          <w:tab w:val="left" w:pos="1134"/>
        </w:tabs>
        <w:autoSpaceDE w:val="0"/>
        <w:autoSpaceDN w:val="0"/>
        <w:adjustRightInd w:val="0"/>
        <w:ind w:left="1134" w:hanging="567"/>
        <w:rPr>
          <w:rFonts w:cs="TimesNewRomanPS-BoldItalicMT"/>
          <w:bCs/>
          <w:iCs/>
        </w:rPr>
      </w:pPr>
      <w:r w:rsidRPr="00D45BC9">
        <w:rPr>
          <w:rFonts w:cs="TimesNewRomanPS-BoldItalicMT"/>
          <w:bCs/>
          <w:iCs/>
        </w:rPr>
        <w:t xml:space="preserve">(8) </w:t>
      </w:r>
      <w:r w:rsidRPr="00D45BC9">
        <w:rPr>
          <w:rFonts w:cs="TimesNewRomanPS-BoldItalicMT"/>
          <w:bCs/>
          <w:iCs/>
        </w:rPr>
        <w:tab/>
      </w:r>
      <w:r w:rsidR="00371244" w:rsidRPr="00D45BC9">
        <w:rPr>
          <w:rFonts w:cs="TimesNewRomanPS-BoldItalicMT"/>
          <w:bCs/>
          <w:iCs/>
        </w:rPr>
        <w:t xml:space="preserve">Zabronione jest, aby na trasie kołowania śmigłowców w powietrzu znajdował się jakikolwiek obiekt stały powyżej powierzchni ziemi, z wyjątkiem obiektów łamliwych, które muszą być na niej umieszczone ze względu na swoje funkcje. </w:t>
      </w:r>
    </w:p>
    <w:p w14:paraId="294DB3FA" w14:textId="36857A31" w:rsidR="00371244" w:rsidRPr="00D45BC9" w:rsidRDefault="00E1041E" w:rsidP="00E1041E">
      <w:pPr>
        <w:tabs>
          <w:tab w:val="left" w:pos="1134"/>
        </w:tabs>
        <w:autoSpaceDE w:val="0"/>
        <w:autoSpaceDN w:val="0"/>
        <w:adjustRightInd w:val="0"/>
        <w:ind w:left="1134" w:hanging="567"/>
        <w:rPr>
          <w:rFonts w:cs="TimesNewRomanPS-BoldItalicMT"/>
          <w:bCs/>
          <w:iCs/>
        </w:rPr>
      </w:pPr>
      <w:r w:rsidRPr="00D45BC9">
        <w:rPr>
          <w:rFonts w:cs="TimesNewRomanPS-BoldItalicMT"/>
          <w:bCs/>
          <w:iCs/>
        </w:rPr>
        <w:t xml:space="preserve">(9) </w:t>
      </w:r>
      <w:r w:rsidRPr="00D45BC9">
        <w:rPr>
          <w:rFonts w:cs="TimesNewRomanPS-BoldItalicMT"/>
          <w:bCs/>
          <w:iCs/>
        </w:rPr>
        <w:tab/>
      </w:r>
      <w:r w:rsidR="00371244" w:rsidRPr="00D45BC9">
        <w:rPr>
          <w:rFonts w:cs="TimesNewRomanPS-BoldItalicMT"/>
          <w:bCs/>
          <w:iCs/>
        </w:rPr>
        <w:t>Zabronione jest, aby na trasie kołowania śmigłowców w powietrzu znajdował się jakikolwiek obiekt ruchomy w czasie wykonywania operacji.</w:t>
      </w:r>
    </w:p>
    <w:p w14:paraId="35B4C3DF" w14:textId="37E517E6" w:rsidR="00B0531C" w:rsidRPr="00D45BC9" w:rsidRDefault="00B0531C" w:rsidP="00B0531C">
      <w:pPr>
        <w:tabs>
          <w:tab w:val="left" w:pos="1134"/>
        </w:tabs>
        <w:autoSpaceDE w:val="0"/>
        <w:autoSpaceDN w:val="0"/>
        <w:adjustRightInd w:val="0"/>
        <w:ind w:left="1134" w:hanging="567"/>
        <w:rPr>
          <w:rFonts w:cs="TimesNewRomanPS-BoldItalicMT"/>
          <w:bCs/>
          <w:iCs/>
        </w:rPr>
      </w:pPr>
      <w:r w:rsidRPr="00D45BC9">
        <w:rPr>
          <w:rFonts w:cs="TimesNewRomanPS-BoldItalicMT"/>
          <w:bCs/>
          <w:iCs/>
        </w:rPr>
        <w:t xml:space="preserve">(10) </w:t>
      </w:r>
      <w:r w:rsidRPr="00D45BC9">
        <w:rPr>
          <w:rFonts w:cs="TimesNewRomanPS-BoldItalicMT"/>
          <w:bCs/>
          <w:iCs/>
        </w:rPr>
        <w:tab/>
        <w:t>Obiekty znajdujące się nad poziomem ziemi, których funkcja wymaga umieszczenia</w:t>
      </w:r>
      <w:r w:rsidR="00EE7F6D" w:rsidRPr="00D45BC9">
        <w:rPr>
          <w:rFonts w:cs="TimesNewRomanPS-BoldItalicMT"/>
          <w:bCs/>
          <w:iCs/>
        </w:rPr>
        <w:t xml:space="preserve"> ich</w:t>
      </w:r>
      <w:r w:rsidRPr="00D45BC9">
        <w:rPr>
          <w:rFonts w:cs="TimesNewRomanPS-BoldItalicMT"/>
          <w:bCs/>
          <w:iCs/>
        </w:rPr>
        <w:t xml:space="preserve"> na trasie kołowania śmigłowców w powietrzu nie mogą: </w:t>
      </w:r>
    </w:p>
    <w:p w14:paraId="5DFFE09E" w14:textId="225774E4" w:rsidR="00B0531C" w:rsidRPr="00D45BC9" w:rsidRDefault="00B0531C" w:rsidP="00B0531C">
      <w:pPr>
        <w:tabs>
          <w:tab w:val="left" w:pos="1701"/>
        </w:tabs>
        <w:autoSpaceDE w:val="0"/>
        <w:autoSpaceDN w:val="0"/>
        <w:adjustRightInd w:val="0"/>
        <w:ind w:left="1701" w:hanging="567"/>
        <w:rPr>
          <w:rFonts w:cs="TimesNewRomanPS-BoldItalicMT"/>
          <w:bCs/>
          <w:iCs/>
        </w:rPr>
      </w:pPr>
      <w:r w:rsidRPr="00D45BC9">
        <w:rPr>
          <w:rFonts w:cs="TimesNewRomanPS-BoldItalicMT"/>
          <w:bCs/>
          <w:iCs/>
        </w:rPr>
        <w:t>(i)</w:t>
      </w:r>
      <w:r w:rsidRPr="00D45BC9">
        <w:rPr>
          <w:rFonts w:cs="TimesNewRomanPS-BoldItalicMT"/>
          <w:bCs/>
          <w:iCs/>
        </w:rPr>
        <w:tab/>
        <w:t>znajdować się w odległości mniejszej niż 1 m od krawędzi drogi kołowania śmigłowców w powietrzu, lub w odległości mniejszej niż 0,5</w:t>
      </w:r>
      <w:r w:rsidR="00EE7F6D" w:rsidRPr="00D45BC9">
        <w:rPr>
          <w:rFonts w:cs="TimesNewRomanPS-BoldItalicMT"/>
          <w:bCs/>
          <w:iCs/>
        </w:rPr>
        <w:t xml:space="preserve"> </w:t>
      </w:r>
      <w:r w:rsidR="00D45BC9" w:rsidRPr="00D45BC9">
        <w:rPr>
          <w:rFonts w:cs="TimesNewRomanPS-BoldItalicMT"/>
          <w:bCs/>
          <w:iCs/>
        </w:rPr>
        <w:t xml:space="preserve">(raza) </w:t>
      </w:r>
      <w:r w:rsidRPr="00D45BC9">
        <w:rPr>
          <w:rFonts w:cs="TimesNewRomanPS-BoldItalicMT"/>
          <w:bCs/>
          <w:iCs/>
        </w:rPr>
        <w:t>największej całkowitej szerokości śmigłowca, dla której trasa kołowania śmigłowców w powietrzu jest zaprojektowana od linii środkowej drogi kołowania śmigłowca</w:t>
      </w:r>
      <w:r w:rsidR="00EE7F6D" w:rsidRPr="00D45BC9">
        <w:rPr>
          <w:rFonts w:cs="TimesNewRomanPS-BoldItalicMT"/>
          <w:bCs/>
          <w:iCs/>
        </w:rPr>
        <w:t xml:space="preserve"> w powietrzu w </w:t>
      </w:r>
      <w:r w:rsidRPr="00D45BC9">
        <w:rPr>
          <w:rFonts w:cs="TimesNewRomanPS-BoldItalicMT"/>
          <w:bCs/>
          <w:iCs/>
        </w:rPr>
        <w:t>zależności od tego, która z tych wartości jest większa, oraz</w:t>
      </w:r>
    </w:p>
    <w:p w14:paraId="2E3B87F8" w14:textId="77B968B3" w:rsidR="00B0531C" w:rsidRPr="00D45BC9" w:rsidRDefault="00B0531C" w:rsidP="00B0531C">
      <w:pPr>
        <w:tabs>
          <w:tab w:val="left" w:pos="1701"/>
        </w:tabs>
        <w:autoSpaceDE w:val="0"/>
        <w:autoSpaceDN w:val="0"/>
        <w:adjustRightInd w:val="0"/>
        <w:ind w:left="1701" w:hanging="567"/>
        <w:rPr>
          <w:rFonts w:cs="TimesNewRomanPS-BoldItalicMT"/>
          <w:bCs/>
          <w:iCs/>
        </w:rPr>
      </w:pPr>
      <w:r w:rsidRPr="00D45BC9">
        <w:rPr>
          <w:rFonts w:cs="TimesNewRomanPS-BoldItalicMT"/>
          <w:bCs/>
          <w:iCs/>
        </w:rPr>
        <w:t>(ii)</w:t>
      </w:r>
      <w:r w:rsidRPr="00D45BC9">
        <w:rPr>
          <w:rFonts w:cs="TimesNewRomanPS-BoldItalicMT"/>
          <w:bCs/>
          <w:iCs/>
        </w:rPr>
        <w:tab/>
        <w:t>przebi</w:t>
      </w:r>
      <w:r w:rsidR="00D45BC9" w:rsidRPr="00D45BC9">
        <w:rPr>
          <w:rFonts w:cs="TimesNewRomanPS-BoldItalicMT"/>
          <w:bCs/>
          <w:iCs/>
        </w:rPr>
        <w:t>ja</w:t>
      </w:r>
      <w:r w:rsidRPr="00D45BC9">
        <w:rPr>
          <w:rFonts w:cs="TimesNewRomanPS-BoldItalicMT"/>
          <w:bCs/>
          <w:iCs/>
        </w:rPr>
        <w:t>ć płaszczyzn</w:t>
      </w:r>
      <w:r w:rsidR="00EE7F6D" w:rsidRPr="00D45BC9">
        <w:rPr>
          <w:rFonts w:cs="TimesNewRomanPS-BoldItalicMT"/>
          <w:bCs/>
          <w:iCs/>
        </w:rPr>
        <w:t>y</w:t>
      </w:r>
      <w:r w:rsidRPr="00D45BC9">
        <w:rPr>
          <w:rFonts w:cs="TimesNewRomanPS-BoldItalicMT"/>
          <w:bCs/>
          <w:iCs/>
        </w:rPr>
        <w:t xml:space="preserve"> rozpoczynając</w:t>
      </w:r>
      <w:r w:rsidR="00D45BC9" w:rsidRPr="00D45BC9">
        <w:rPr>
          <w:rFonts w:cs="TimesNewRomanPS-BoldItalicMT"/>
          <w:bCs/>
          <w:iCs/>
        </w:rPr>
        <w:t>ej</w:t>
      </w:r>
      <w:r w:rsidRPr="00D45BC9">
        <w:rPr>
          <w:rFonts w:cs="TimesNewRomanPS-BoldItalicMT"/>
          <w:bCs/>
          <w:iCs/>
        </w:rPr>
        <w:t xml:space="preserve"> się na wysokości 25 cm ponad płaszczyzną drogi kołowania śmigłowców w powietrzu i nachylon</w:t>
      </w:r>
      <w:r w:rsidR="00D45BC9" w:rsidRPr="00D45BC9">
        <w:rPr>
          <w:rFonts w:cs="TimesNewRomanPS-BoldItalicMT"/>
          <w:bCs/>
          <w:iCs/>
        </w:rPr>
        <w:t>ej</w:t>
      </w:r>
      <w:r w:rsidRPr="00D45BC9">
        <w:rPr>
          <w:rFonts w:cs="TimesNewRomanPS-BoldItalicMT"/>
          <w:bCs/>
          <w:iCs/>
        </w:rPr>
        <w:t xml:space="preserve"> do góry i na zewnątrz pod kątem 5%, w odległości 1 m od krawędzi drogi kołowania śmigłowców w powietrzu lub w odległości odległość 0,5</w:t>
      </w:r>
      <w:r w:rsidR="00D45BC9" w:rsidRPr="00D45BC9">
        <w:rPr>
          <w:rFonts w:cs="TimesNewRomanPS-BoldItalicMT"/>
          <w:bCs/>
          <w:iCs/>
        </w:rPr>
        <w:t xml:space="preserve"> (raza)</w:t>
      </w:r>
      <w:r w:rsidRPr="00D45BC9">
        <w:rPr>
          <w:rFonts w:cs="TimesNewRomanPS-BoldItalicMT"/>
          <w:bCs/>
          <w:iCs/>
        </w:rPr>
        <w:t xml:space="preserve"> największej całkowitej szerokości śmigłowca, dla której trasa kołowania śmigłowców w powietrzu jest zaprojektowana od linii środkowej drogi kołowania śmigłowca w powietrzu, w zależności od tego, która z tych wartości jest niższa.</w:t>
      </w:r>
    </w:p>
    <w:p w14:paraId="08A28E3B" w14:textId="0C5B0188" w:rsidR="00B0531C" w:rsidRPr="00D45BC9" w:rsidRDefault="00B0531C" w:rsidP="00B0531C">
      <w:pPr>
        <w:tabs>
          <w:tab w:val="left" w:pos="1134"/>
        </w:tabs>
        <w:autoSpaceDE w:val="0"/>
        <w:autoSpaceDN w:val="0"/>
        <w:adjustRightInd w:val="0"/>
        <w:ind w:left="1134" w:hanging="567"/>
        <w:rPr>
          <w:rFonts w:cs="TimesNewRomanPS-BoldItalicMT"/>
          <w:bCs/>
          <w:iCs/>
        </w:rPr>
      </w:pPr>
      <w:r w:rsidRPr="00D45BC9">
        <w:rPr>
          <w:rFonts w:cs="TimesNewRomanPS-BoldItalicMT"/>
          <w:bCs/>
          <w:iCs/>
        </w:rPr>
        <w:t>(11)</w:t>
      </w:r>
      <w:r w:rsidRPr="00D45BC9">
        <w:rPr>
          <w:rFonts w:cs="TimesNewRomanPS-BoldItalicMT"/>
          <w:bCs/>
          <w:iCs/>
        </w:rPr>
        <w:tab/>
        <w:t>Powierzchnia trasy kołowania śmigłowców w powietrzu powinna być odporna na działanie podmuchu podwirnikowego.</w:t>
      </w:r>
    </w:p>
    <w:p w14:paraId="2C3CE198" w14:textId="77777777" w:rsidR="00B0531C" w:rsidRPr="00D45BC9" w:rsidRDefault="00B0531C" w:rsidP="00B0531C">
      <w:pPr>
        <w:tabs>
          <w:tab w:val="left" w:pos="1134"/>
        </w:tabs>
        <w:autoSpaceDE w:val="0"/>
        <w:autoSpaceDN w:val="0"/>
        <w:adjustRightInd w:val="0"/>
        <w:ind w:left="1134" w:hanging="567"/>
        <w:rPr>
          <w:rFonts w:cs="TimesNewRomanPS-BoldItalicMT"/>
          <w:bCs/>
          <w:iCs/>
        </w:rPr>
      </w:pPr>
      <w:r w:rsidRPr="00D45BC9">
        <w:rPr>
          <w:rFonts w:cs="TimesNewRomanPS-BoldItalicMT"/>
          <w:bCs/>
          <w:iCs/>
        </w:rPr>
        <w:t xml:space="preserve">(12) </w:t>
      </w:r>
      <w:r w:rsidRPr="00D45BC9">
        <w:rPr>
          <w:rFonts w:cs="TimesNewRomanPS-BoldItalicMT"/>
          <w:bCs/>
          <w:iCs/>
        </w:rPr>
        <w:tab/>
        <w:t>Powierzchnia trasy kołowania śmigłowców w powietrzu powinna zapewniać wykorzystywanie wpływu ziemi.</w:t>
      </w:r>
    </w:p>
    <w:p w14:paraId="1A56745B" w14:textId="323481BE" w:rsidR="00B0531C" w:rsidRPr="00E97240" w:rsidRDefault="00BF1BA8" w:rsidP="00B0531C">
      <w:pPr>
        <w:tabs>
          <w:tab w:val="left" w:pos="1134"/>
        </w:tabs>
        <w:autoSpaceDE w:val="0"/>
        <w:autoSpaceDN w:val="0"/>
        <w:adjustRightInd w:val="0"/>
        <w:ind w:left="1134" w:hanging="567"/>
        <w:rPr>
          <w:rFonts w:cs="TimesNewRomanPS-BoldItalicMT"/>
          <w:bCs/>
          <w:iCs/>
        </w:rPr>
      </w:pPr>
      <w:r w:rsidRPr="00E97240">
        <w:rPr>
          <w:rFonts w:cs="TimesNewRomanPS-BoldItalicMT"/>
          <w:bCs/>
          <w:iCs/>
        </w:rPr>
        <w:t xml:space="preserve">(13) </w:t>
      </w:r>
      <w:r w:rsidRPr="00E97240">
        <w:rPr>
          <w:rFonts w:cs="TimesNewRomanPS-BoldItalicMT"/>
          <w:bCs/>
          <w:iCs/>
        </w:rPr>
        <w:tab/>
        <w:t xml:space="preserve">W celu wykonywania równoczesnych operacji, trasy kołowania śmigłowców w powietrzu nie mogą się pokrywać. </w:t>
      </w:r>
    </w:p>
    <w:p w14:paraId="23621FAE" w14:textId="77777777" w:rsidR="00BF1BA8" w:rsidRPr="00E97240" w:rsidRDefault="00BF1BA8" w:rsidP="00BF1BA8">
      <w:pPr>
        <w:tabs>
          <w:tab w:val="left" w:pos="1134"/>
        </w:tabs>
        <w:autoSpaceDE w:val="0"/>
        <w:autoSpaceDN w:val="0"/>
        <w:adjustRightInd w:val="0"/>
        <w:rPr>
          <w:rFonts w:cs="TimesNewRomanPS-BoldItalicMT"/>
          <w:bCs/>
          <w:iCs/>
        </w:rPr>
      </w:pPr>
    </w:p>
    <w:p w14:paraId="61D67B58" w14:textId="77777777" w:rsidR="00BF1BA8" w:rsidRPr="00900AA5" w:rsidRDefault="00BF1BA8" w:rsidP="00BF1BA8">
      <w:pPr>
        <w:pStyle w:val="Style101"/>
        <w:widowControl/>
        <w:tabs>
          <w:tab w:val="left" w:pos="1276"/>
        </w:tabs>
        <w:spacing w:line="240" w:lineRule="auto"/>
        <w:ind w:firstLine="142"/>
        <w:rPr>
          <w:rFonts w:ascii="Times New Roman" w:hAnsi="Times New Roman"/>
          <w:sz w:val="20"/>
          <w:szCs w:val="20"/>
        </w:rPr>
      </w:pPr>
      <w:r w:rsidRPr="00900AA5">
        <w:rPr>
          <w:noProof/>
        </w:rPr>
        <w:drawing>
          <wp:inline distT="0" distB="0" distL="0" distR="0" wp14:anchorId="25F70F62" wp14:editId="1215EE48">
            <wp:extent cx="5759450" cy="3162300"/>
            <wp:effectExtent l="0" t="0" r="0" b="0"/>
            <wp:docPr id="1399" name="Obraz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759450" cy="3162300"/>
                    </a:xfrm>
                    <a:prstGeom prst="rect">
                      <a:avLst/>
                    </a:prstGeom>
                    <a:noFill/>
                    <a:ln>
                      <a:noFill/>
                    </a:ln>
                  </pic:spPr>
                </pic:pic>
              </a:graphicData>
            </a:graphic>
          </wp:inline>
        </w:drawing>
      </w:r>
    </w:p>
    <w:p w14:paraId="1F9C6A58" w14:textId="7EDD4882" w:rsidR="00B0531C" w:rsidRPr="00D45BC9" w:rsidRDefault="00BF1BA8" w:rsidP="00BF1BA8">
      <w:pPr>
        <w:tabs>
          <w:tab w:val="left" w:pos="0"/>
        </w:tabs>
        <w:autoSpaceDE w:val="0"/>
        <w:autoSpaceDN w:val="0"/>
        <w:adjustRightInd w:val="0"/>
        <w:spacing w:before="240"/>
        <w:jc w:val="center"/>
        <w:rPr>
          <w:rFonts w:cs="TimesNewRomanPS-BoldItalicMT"/>
          <w:b/>
          <w:bCs/>
          <w:iCs/>
          <w:sz w:val="20"/>
        </w:rPr>
      </w:pPr>
      <w:r w:rsidRPr="00D45BC9">
        <w:rPr>
          <w:rFonts w:cs="TimesNewRomanPS-BoldItalicMT"/>
          <w:b/>
          <w:bCs/>
          <w:iCs/>
          <w:sz w:val="20"/>
        </w:rPr>
        <w:t>Rysunek C-2.   Droga kołowania / trasa kołowania śmigłowców w powietrzu</w:t>
      </w:r>
    </w:p>
    <w:p w14:paraId="18DE1C35" w14:textId="77777777" w:rsidR="00F64242" w:rsidRPr="00B0531C" w:rsidRDefault="00F64242" w:rsidP="00BF1BA8"/>
    <w:p w14:paraId="1BECDF1E" w14:textId="08FC6856" w:rsidR="00F64242" w:rsidRPr="009E064B" w:rsidRDefault="00F64242" w:rsidP="00133B99">
      <w:pPr>
        <w:pStyle w:val="Nagwek6"/>
      </w:pPr>
      <w:bookmarkStart w:id="1902" w:name="_Toc12533354"/>
      <w:r w:rsidRPr="009E064B">
        <w:t>GM1 HPT-DSN.</w:t>
      </w:r>
      <w:r>
        <w:t>C.210</w:t>
      </w:r>
      <w:r w:rsidRPr="009E064B">
        <w:t xml:space="preserve">     </w:t>
      </w:r>
      <w:r w:rsidRPr="00F64242">
        <w:t xml:space="preserve">Drogi kołowania i trasy kołowania śmigłowców </w:t>
      </w:r>
      <w:r>
        <w:t>w powietrzu</w:t>
      </w:r>
      <w:bookmarkEnd w:id="1902"/>
    </w:p>
    <w:p w14:paraId="69384EC6" w14:textId="64C8A1BA"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1504EC7" w14:textId="5EE51E0D" w:rsidR="00BF1BA8" w:rsidRPr="00D45BC9" w:rsidRDefault="00BF1BA8" w:rsidP="00BF1BA8">
      <w:pPr>
        <w:tabs>
          <w:tab w:val="left" w:pos="1134"/>
        </w:tabs>
        <w:autoSpaceDE w:val="0"/>
        <w:autoSpaceDN w:val="0"/>
        <w:adjustRightInd w:val="0"/>
        <w:spacing w:after="0"/>
        <w:rPr>
          <w:rFonts w:cs="TimesNewRomanPS-BoldItalicMT"/>
          <w:bCs/>
        </w:rPr>
      </w:pPr>
      <w:r w:rsidRPr="00D45BC9">
        <w:rPr>
          <w:rFonts w:cs="TimesNewRomanPS-BoldItalicMT"/>
          <w:bCs/>
        </w:rPr>
        <w:t xml:space="preserve">Ta część trasy kołowania śmigłowca w powietrzu, która rozciąga się symetrycznie po każdej stronie linii środkowej na odległość 0.5 </w:t>
      </w:r>
      <w:r w:rsidR="00D45BC9" w:rsidRPr="00D45BC9">
        <w:rPr>
          <w:rFonts w:cs="TimesNewRomanPS-BoldItalicMT"/>
          <w:bCs/>
        </w:rPr>
        <w:t>(</w:t>
      </w:r>
      <w:r w:rsidRPr="00D45BC9">
        <w:rPr>
          <w:rFonts w:cs="TimesNewRomanPS-BoldItalicMT"/>
          <w:bCs/>
        </w:rPr>
        <w:t>raza</w:t>
      </w:r>
      <w:r w:rsidR="00D45BC9" w:rsidRPr="00D45BC9">
        <w:rPr>
          <w:rFonts w:cs="TimesNewRomanPS-BoldItalicMT"/>
          <w:bCs/>
        </w:rPr>
        <w:t>)</w:t>
      </w:r>
      <w:r w:rsidRPr="00D45BC9">
        <w:rPr>
          <w:rFonts w:cs="TimesNewRomanPS-BoldItalicMT"/>
          <w:bCs/>
        </w:rPr>
        <w:t xml:space="preserve"> największej, całkowitej szerokości śmigłowca</w:t>
      </w:r>
      <w:r w:rsidR="00D45BC9" w:rsidRPr="00D45BC9">
        <w:rPr>
          <w:rFonts w:cs="TimesNewRomanPS-BoldItalicMT"/>
          <w:bCs/>
        </w:rPr>
        <w:t>,</w:t>
      </w:r>
      <w:r w:rsidRPr="00D45BC9">
        <w:rPr>
          <w:rFonts w:cs="TimesNewRomanPS-BoldItalicMT"/>
          <w:bCs/>
        </w:rPr>
        <w:t xml:space="preserve"> do obsługi którego trasa kołowani</w:t>
      </w:r>
      <w:r w:rsidR="00D45BC9" w:rsidRPr="00D45BC9">
        <w:rPr>
          <w:rFonts w:cs="TimesNewRomanPS-BoldItalicMT"/>
          <w:bCs/>
        </w:rPr>
        <w:t>a w powietrzu jest przeznaczona</w:t>
      </w:r>
      <w:r w:rsidRPr="00D45BC9">
        <w:rPr>
          <w:rFonts w:cs="TimesNewRomanPS-BoldItalicMT"/>
          <w:bCs/>
        </w:rPr>
        <w:t xml:space="preserve"> do zewnętrznej gran</w:t>
      </w:r>
      <w:r w:rsidR="00D45BC9" w:rsidRPr="00D45BC9">
        <w:rPr>
          <w:rFonts w:cs="TimesNewRomanPS-BoldItalicMT"/>
          <w:bCs/>
        </w:rPr>
        <w:t>icy trasy kołowania śmigłowca w </w:t>
      </w:r>
      <w:r w:rsidRPr="00D45BC9">
        <w:rPr>
          <w:rFonts w:cs="TimesNewRomanPS-BoldItalicMT"/>
          <w:bCs/>
        </w:rPr>
        <w:t>powietrzu, stanowi jego strefę ochronną.</w:t>
      </w:r>
    </w:p>
    <w:p w14:paraId="65EF2557" w14:textId="072B177A" w:rsidR="00F64242" w:rsidRPr="00E97240" w:rsidRDefault="00F64242" w:rsidP="009E064B">
      <w:pPr>
        <w:tabs>
          <w:tab w:val="left" w:pos="1134"/>
        </w:tabs>
        <w:autoSpaceDE w:val="0"/>
        <w:autoSpaceDN w:val="0"/>
        <w:adjustRightInd w:val="0"/>
        <w:spacing w:after="0"/>
        <w:rPr>
          <w:rFonts w:cs="TimesNewRomanPS-BoldItalicMT"/>
          <w:bCs/>
          <w:iCs/>
          <w:szCs w:val="20"/>
        </w:rPr>
      </w:pPr>
    </w:p>
    <w:p w14:paraId="6B068A63" w14:textId="77777777" w:rsidR="00F64242" w:rsidRPr="00E97240" w:rsidRDefault="00F64242" w:rsidP="009E064B">
      <w:pPr>
        <w:tabs>
          <w:tab w:val="left" w:pos="1134"/>
        </w:tabs>
        <w:autoSpaceDE w:val="0"/>
        <w:autoSpaceDN w:val="0"/>
        <w:adjustRightInd w:val="0"/>
        <w:spacing w:after="0"/>
        <w:rPr>
          <w:rFonts w:cs="TimesNewRomanPS-BoldItalicMT"/>
          <w:bCs/>
          <w:iCs/>
          <w:szCs w:val="20"/>
        </w:rPr>
        <w:sectPr w:rsidR="00F64242" w:rsidRPr="00E97240" w:rsidSect="00E300A0">
          <w:headerReference w:type="default" r:id="rId311"/>
          <w:headerReference w:type="first" r:id="rId312"/>
          <w:pgSz w:w="11906" w:h="16840" w:code="9"/>
          <w:pgMar w:top="1701" w:right="1418" w:bottom="1418" w:left="1418" w:header="567" w:footer="454" w:gutter="0"/>
          <w:cols w:space="708"/>
          <w:titlePg/>
        </w:sectPr>
      </w:pPr>
    </w:p>
    <w:p w14:paraId="1B305C91" w14:textId="10B78218" w:rsidR="00F64242" w:rsidRDefault="00F64242" w:rsidP="00F64242"/>
    <w:p w14:paraId="22A3F782" w14:textId="0AA1C246" w:rsidR="00F64242" w:rsidRPr="00F64242" w:rsidRDefault="00531A22" w:rsidP="00F64242">
      <w:pPr>
        <w:pStyle w:val="Nagwek2"/>
      </w:pPr>
      <w:bookmarkStart w:id="1903" w:name="_Toc12533355"/>
      <w:r>
        <w:t>ROZDZIAŁ D</w:t>
      </w:r>
      <w:r w:rsidRPr="009E064B">
        <w:t xml:space="preserve"> — </w:t>
      </w:r>
      <w:r>
        <w:t xml:space="preserve">STANOWISKA POSTOJOWE </w:t>
      </w:r>
      <w:r>
        <w:br/>
      </w:r>
      <w:r w:rsidRPr="00F64242">
        <w:t>ŚMIGŁOWC</w:t>
      </w:r>
      <w:r w:rsidR="00983668">
        <w:t>A</w:t>
      </w:r>
      <w:bookmarkEnd w:id="1903"/>
    </w:p>
    <w:p w14:paraId="075B0402" w14:textId="77777777" w:rsidR="00F64242" w:rsidRDefault="00F64242" w:rsidP="00F64242"/>
    <w:p w14:paraId="49B562AB" w14:textId="630BAA65" w:rsidR="00F64242" w:rsidRPr="009E064B" w:rsidRDefault="00B45F2C" w:rsidP="00F64242">
      <w:pPr>
        <w:pStyle w:val="Nagwek4"/>
        <w:rPr>
          <w:color w:val="auto"/>
        </w:rPr>
      </w:pPr>
      <w:bookmarkStart w:id="1904" w:name="_Toc12533356"/>
      <w:r w:rsidRPr="00042D60">
        <w:rPr>
          <w:color w:val="auto"/>
        </w:rPr>
        <w:t>CS</w:t>
      </w:r>
      <w:r>
        <w:rPr>
          <w:color w:val="auto"/>
        </w:rPr>
        <w:t xml:space="preserve"> HPT-DSN.D</w:t>
      </w:r>
      <w:r w:rsidR="00F64242">
        <w:rPr>
          <w:color w:val="auto"/>
        </w:rPr>
        <w:t>.300</w:t>
      </w:r>
      <w:r w:rsidR="00F64242" w:rsidRPr="009E064B">
        <w:rPr>
          <w:b w:val="0"/>
          <w:bCs w:val="0"/>
          <w:color w:val="FFFFFF"/>
          <w:sz w:val="32"/>
          <w:szCs w:val="32"/>
        </w:rPr>
        <w:t xml:space="preserve">     </w:t>
      </w:r>
      <w:r w:rsidR="00F64242" w:rsidRPr="00F64242">
        <w:rPr>
          <w:color w:val="auto"/>
        </w:rPr>
        <w:t>Stanowiska postojowe śmigłowc</w:t>
      </w:r>
      <w:r w:rsidR="00983668">
        <w:rPr>
          <w:color w:val="auto"/>
        </w:rPr>
        <w:t>a</w:t>
      </w:r>
      <w:bookmarkEnd w:id="1904"/>
    </w:p>
    <w:p w14:paraId="4E971ED3" w14:textId="00566A99"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4E1152D" w14:textId="15D01357" w:rsidR="00BC4806" w:rsidRPr="00AA3432" w:rsidRDefault="00BC4806" w:rsidP="00A16DEB">
      <w:pPr>
        <w:tabs>
          <w:tab w:val="left" w:pos="567"/>
        </w:tabs>
        <w:autoSpaceDE w:val="0"/>
        <w:autoSpaceDN w:val="0"/>
        <w:adjustRightInd w:val="0"/>
        <w:ind w:left="567" w:hanging="567"/>
        <w:rPr>
          <w:rFonts w:cs="TimesNewRomanPS-BoldItalicMT"/>
          <w:bCs/>
          <w:iCs/>
          <w:szCs w:val="20"/>
        </w:rPr>
      </w:pPr>
      <w:r w:rsidRPr="00AA3432">
        <w:rPr>
          <w:rFonts w:cs="TimesNewRomanPS-BoldItalicMT"/>
          <w:bCs/>
          <w:iCs/>
          <w:szCs w:val="20"/>
        </w:rPr>
        <w:t xml:space="preserve">(a) </w:t>
      </w:r>
      <w:r w:rsidRPr="00AA3432">
        <w:rPr>
          <w:rFonts w:cs="TimesNewRomanPS-BoldItalicMT"/>
          <w:bCs/>
          <w:iCs/>
          <w:szCs w:val="20"/>
        </w:rPr>
        <w:tab/>
        <w:t>Charakterystyka:</w:t>
      </w:r>
    </w:p>
    <w:p w14:paraId="3628D78A" w14:textId="25A8EC43" w:rsidR="00A16DEB" w:rsidRPr="00AA3432" w:rsidRDefault="00BC4806" w:rsidP="00BC4806">
      <w:pPr>
        <w:tabs>
          <w:tab w:val="left" w:pos="1134"/>
        </w:tabs>
        <w:autoSpaceDE w:val="0"/>
        <w:autoSpaceDN w:val="0"/>
        <w:adjustRightInd w:val="0"/>
        <w:ind w:left="1134" w:hanging="567"/>
        <w:rPr>
          <w:rFonts w:cs="TimesNewRomanPS-BoldItalicMT"/>
          <w:bCs/>
          <w:iCs/>
        </w:rPr>
      </w:pPr>
      <w:r w:rsidRPr="00AA3432">
        <w:rPr>
          <w:rFonts w:cs="TimesNewRomanPS-BoldItalicMT"/>
          <w:bCs/>
          <w:iCs/>
          <w:szCs w:val="20"/>
        </w:rPr>
        <w:t>(1</w:t>
      </w:r>
      <w:r w:rsidR="00F64242" w:rsidRPr="00AA3432">
        <w:rPr>
          <w:rFonts w:cs="TimesNewRomanPS-BoldItalicMT"/>
          <w:bCs/>
          <w:iCs/>
          <w:szCs w:val="20"/>
        </w:rPr>
        <w:t>)</w:t>
      </w:r>
      <w:r w:rsidR="00F64242" w:rsidRPr="00AA3432">
        <w:rPr>
          <w:rFonts w:cs="TimesNewRomanPS-BoldItalicMT"/>
          <w:bCs/>
          <w:iCs/>
          <w:szCs w:val="20"/>
        </w:rPr>
        <w:tab/>
      </w:r>
      <w:r w:rsidR="00A16DEB" w:rsidRPr="00AA3432">
        <w:rPr>
          <w:rFonts w:cs="TimesNewRomanPS-BoldItalicMT"/>
          <w:bCs/>
          <w:iCs/>
        </w:rPr>
        <w:t>Jeżeli strefa TLOF jest umieszczona wspólnie ze stanowiskie</w:t>
      </w:r>
      <w:r w:rsidR="00D45BC9" w:rsidRPr="00AA3432">
        <w:rPr>
          <w:rFonts w:cs="TimesNewRomanPS-BoldItalicMT"/>
          <w:bCs/>
          <w:iCs/>
        </w:rPr>
        <w:t>m postojowym śmigłowca, to </w:t>
      </w:r>
      <w:r w:rsidR="00A16DEB" w:rsidRPr="00AA3432">
        <w:rPr>
          <w:rFonts w:cs="TimesNewRomanPS-BoldItalicMT"/>
          <w:bCs/>
          <w:iCs/>
        </w:rPr>
        <w:t>strefa ochronna tego stanowiska nie może pokrywać się z żadną inną strefą ochronną stanowiska postojowego śmigłowca lub związaną z nim trasą kołowania.</w:t>
      </w:r>
    </w:p>
    <w:p w14:paraId="0150F293" w14:textId="3281D0FB" w:rsidR="00A16DEB" w:rsidRPr="00AA3432" w:rsidRDefault="00BC4806" w:rsidP="00BC4806">
      <w:pPr>
        <w:tabs>
          <w:tab w:val="left" w:pos="1134"/>
        </w:tabs>
        <w:autoSpaceDE w:val="0"/>
        <w:autoSpaceDN w:val="0"/>
        <w:adjustRightInd w:val="0"/>
        <w:ind w:left="1134" w:hanging="567"/>
        <w:rPr>
          <w:rFonts w:cs="TimesNewRomanPS-BoldItalicMT"/>
          <w:bCs/>
          <w:iCs/>
        </w:rPr>
      </w:pPr>
      <w:r w:rsidRPr="00AA3432">
        <w:rPr>
          <w:rFonts w:cs="TimesNewRomanPS-BoldItalicMT"/>
          <w:bCs/>
          <w:iCs/>
        </w:rPr>
        <w:t>(2</w:t>
      </w:r>
      <w:r w:rsidR="00A16DEB" w:rsidRPr="00AA3432">
        <w:rPr>
          <w:rFonts w:cs="TimesNewRomanPS-BoldItalicMT"/>
          <w:bCs/>
          <w:iCs/>
        </w:rPr>
        <w:t xml:space="preserve">) </w:t>
      </w:r>
      <w:r w:rsidR="00A16DEB" w:rsidRPr="00AA3432">
        <w:rPr>
          <w:rFonts w:cs="TimesNewRomanPS-BoldItalicMT"/>
          <w:bCs/>
          <w:iCs/>
        </w:rPr>
        <w:tab/>
        <w:t>Stanowisko postojowe śmigłowca powinno zapewni</w:t>
      </w:r>
      <w:r w:rsidR="00D45BC9" w:rsidRPr="00AA3432">
        <w:rPr>
          <w:rFonts w:cs="TimesNewRomanPS-BoldItalicMT"/>
          <w:bCs/>
          <w:iCs/>
        </w:rPr>
        <w:t>a</w:t>
      </w:r>
      <w:r w:rsidR="00A16DEB" w:rsidRPr="00AA3432">
        <w:rPr>
          <w:rFonts w:cs="TimesNewRomanPS-BoldItalicMT"/>
          <w:bCs/>
          <w:iCs/>
        </w:rPr>
        <w:t>ć szybkie odprowadzanie wody.</w:t>
      </w:r>
    </w:p>
    <w:p w14:paraId="57E1AC09" w14:textId="712A6E62" w:rsidR="00A16DEB" w:rsidRPr="00AA3432" w:rsidRDefault="00BC4806" w:rsidP="00BC4806">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(3) </w:t>
      </w:r>
      <w:r w:rsidRPr="00AA3432">
        <w:rPr>
          <w:rFonts w:cs="TimesNewRomanPS-BoldItalicMT"/>
          <w:bCs/>
          <w:iCs/>
        </w:rPr>
        <w:tab/>
        <w:t>N</w:t>
      </w:r>
      <w:r w:rsidR="00A16DEB" w:rsidRPr="00AA3432">
        <w:rPr>
          <w:rFonts w:cs="TimesNewRomanPS-BoldItalicMT"/>
          <w:bCs/>
          <w:iCs/>
        </w:rPr>
        <w:t xml:space="preserve">achylenie </w:t>
      </w:r>
      <w:r w:rsidRPr="00AA3432">
        <w:rPr>
          <w:rFonts w:cs="TimesNewRomanPS-BoldItalicMT"/>
          <w:bCs/>
          <w:iCs/>
        </w:rPr>
        <w:t xml:space="preserve">stanowiska postojowego </w:t>
      </w:r>
      <w:r w:rsidR="00A16DEB" w:rsidRPr="00AA3432">
        <w:rPr>
          <w:rFonts w:cs="TimesNewRomanPS-BoldItalicMT"/>
          <w:bCs/>
          <w:iCs/>
        </w:rPr>
        <w:t>w jakimkolwiek kier</w:t>
      </w:r>
      <w:r w:rsidR="00D45BC9" w:rsidRPr="00AA3432">
        <w:rPr>
          <w:rFonts w:cs="TimesNewRomanPS-BoldItalicMT"/>
          <w:bCs/>
          <w:iCs/>
        </w:rPr>
        <w:t>unku nie może być większe niż </w:t>
      </w:r>
      <w:r w:rsidRPr="00AA3432">
        <w:rPr>
          <w:rFonts w:cs="TimesNewRomanPS-BoldItalicMT"/>
          <w:bCs/>
          <w:iCs/>
        </w:rPr>
        <w:t>2 </w:t>
      </w:r>
      <w:r w:rsidR="00A16DEB" w:rsidRPr="00AA3432">
        <w:rPr>
          <w:rFonts w:cs="TimesNewRomanPS-BoldItalicMT"/>
          <w:bCs/>
          <w:iCs/>
        </w:rPr>
        <w:t>%.</w:t>
      </w:r>
    </w:p>
    <w:p w14:paraId="7F5E6425" w14:textId="45BAC534" w:rsidR="00A16DEB" w:rsidRPr="00AA3432" w:rsidRDefault="00BC4806" w:rsidP="00BC4806">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(4) </w:t>
      </w:r>
      <w:r w:rsidR="00A16DEB" w:rsidRPr="00AA3432">
        <w:rPr>
          <w:rFonts w:cs="TimesNewRomanPS-BoldItalicMT"/>
          <w:bCs/>
          <w:iCs/>
        </w:rPr>
        <w:tab/>
        <w:t xml:space="preserve">Stanowisko postojowe śmigłowca przeznaczone do wykorzystania przez śmigłowce wykonujące </w:t>
      </w:r>
      <w:r w:rsidR="00D45BC9" w:rsidRPr="00AA3432">
        <w:rPr>
          <w:rFonts w:cs="TimesNewRomanPS-BoldItalicMT"/>
          <w:bCs/>
          <w:iCs/>
        </w:rPr>
        <w:t>obrót</w:t>
      </w:r>
      <w:r w:rsidR="00A16DEB" w:rsidRPr="00AA3432">
        <w:rPr>
          <w:rFonts w:cs="TimesNewRomanPS-BoldItalicMT"/>
          <w:bCs/>
          <w:iCs/>
        </w:rPr>
        <w:t xml:space="preserve"> w zawisie powinno mieć wystarczającą wielkość, aby pomieścić okrąg o średnicy, co najmniej 1.2 D naj</w:t>
      </w:r>
      <w:r w:rsidR="00D45BC9" w:rsidRPr="00AA3432">
        <w:rPr>
          <w:rFonts w:cs="TimesNewRomanPS-BoldItalicMT"/>
          <w:bCs/>
          <w:iCs/>
        </w:rPr>
        <w:t>większego śmigłowca, do obsługi</w:t>
      </w:r>
      <w:r w:rsidR="00A16DEB" w:rsidRPr="00AA3432">
        <w:rPr>
          <w:rFonts w:cs="TimesNewRomanPS-BoldItalicMT"/>
          <w:bCs/>
          <w:iCs/>
        </w:rPr>
        <w:t xml:space="preserve"> którego stanowisko jest przeznaczone (patrz Rysunek </w:t>
      </w:r>
      <w:r w:rsidRPr="00AA3432">
        <w:rPr>
          <w:rFonts w:cs="TimesNewRomanPS-BoldItalicMT"/>
          <w:bCs/>
          <w:iCs/>
        </w:rPr>
        <w:t>D-1</w:t>
      </w:r>
      <w:r w:rsidR="00A16DEB" w:rsidRPr="00AA3432">
        <w:rPr>
          <w:rFonts w:cs="TimesNewRomanPS-BoldItalicMT"/>
          <w:bCs/>
          <w:iCs/>
        </w:rPr>
        <w:t>).</w:t>
      </w:r>
    </w:p>
    <w:p w14:paraId="77B9EDFC" w14:textId="224AF602" w:rsidR="00AA3432" w:rsidRPr="00AA3432" w:rsidRDefault="00AA3432" w:rsidP="00AA3432">
      <w:pPr>
        <w:tabs>
          <w:tab w:val="left" w:pos="1134"/>
        </w:tabs>
        <w:autoSpaceDE w:val="0"/>
        <w:autoSpaceDN w:val="0"/>
        <w:adjustRightInd w:val="0"/>
        <w:spacing w:after="0"/>
        <w:ind w:left="1134" w:hanging="567"/>
        <w:rPr>
          <w:rFonts w:cs="TimesNewRomanPS-BoldItalicMT"/>
          <w:bCs/>
          <w:iCs/>
        </w:rPr>
      </w:pPr>
    </w:p>
    <w:p w14:paraId="4067DEF2" w14:textId="77777777" w:rsidR="00BC4806" w:rsidRPr="00900AA5" w:rsidRDefault="00BC4806" w:rsidP="00BC4806">
      <w:pPr>
        <w:pStyle w:val="Akapitzlist1"/>
        <w:spacing w:line="23" w:lineRule="atLeast"/>
        <w:ind w:left="0"/>
        <w:jc w:val="center"/>
        <w:rPr>
          <w:noProof/>
          <w:szCs w:val="20"/>
          <w:lang w:val="pl-PL" w:eastAsia="pl-PL"/>
        </w:rPr>
      </w:pPr>
      <w:r w:rsidRPr="00900AA5">
        <w:rPr>
          <w:noProof/>
          <w:lang w:val="pl-PL" w:eastAsia="pl-PL"/>
        </w:rPr>
        <w:drawing>
          <wp:inline distT="0" distB="0" distL="0" distR="0" wp14:anchorId="295AEDEF" wp14:editId="2066A8B1">
            <wp:extent cx="5428895" cy="3696904"/>
            <wp:effectExtent l="0" t="0" r="635"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434395" cy="3700650"/>
                    </a:xfrm>
                    <a:prstGeom prst="rect">
                      <a:avLst/>
                    </a:prstGeom>
                    <a:noFill/>
                    <a:ln>
                      <a:noFill/>
                    </a:ln>
                  </pic:spPr>
                </pic:pic>
              </a:graphicData>
            </a:graphic>
          </wp:inline>
        </w:drawing>
      </w:r>
    </w:p>
    <w:p w14:paraId="15C81B59" w14:textId="63A10726" w:rsidR="00AA3432" w:rsidRDefault="00BC4806" w:rsidP="00AA3432">
      <w:pPr>
        <w:tabs>
          <w:tab w:val="left" w:pos="1701"/>
        </w:tabs>
        <w:autoSpaceDE w:val="0"/>
        <w:autoSpaceDN w:val="0"/>
        <w:adjustRightInd w:val="0"/>
        <w:spacing w:before="240"/>
        <w:ind w:left="1701" w:hanging="1701"/>
        <w:jc w:val="center"/>
        <w:rPr>
          <w:b/>
          <w:bCs/>
          <w:sz w:val="20"/>
          <w:szCs w:val="20"/>
        </w:rPr>
      </w:pPr>
      <w:r w:rsidRPr="00AA3432">
        <w:rPr>
          <w:b/>
          <w:bCs/>
          <w:sz w:val="20"/>
          <w:szCs w:val="20"/>
        </w:rPr>
        <w:t xml:space="preserve">Rysunek </w:t>
      </w:r>
      <w:r w:rsidR="00AA3432" w:rsidRPr="00AA3432">
        <w:rPr>
          <w:b/>
          <w:bCs/>
          <w:sz w:val="20"/>
          <w:szCs w:val="20"/>
        </w:rPr>
        <w:t>D-1</w:t>
      </w:r>
      <w:r w:rsidRPr="00AA3432">
        <w:rPr>
          <w:b/>
          <w:bCs/>
          <w:sz w:val="20"/>
          <w:szCs w:val="20"/>
        </w:rPr>
        <w:t>.   Stanowisko postojowe śmigłowca i związana z nim strefa ochronna</w:t>
      </w:r>
      <w:r w:rsidR="00AA3432" w:rsidRPr="00AA3432">
        <w:rPr>
          <w:b/>
          <w:bCs/>
          <w:sz w:val="20"/>
          <w:szCs w:val="20"/>
        </w:rPr>
        <w:t xml:space="preserve"> umożliwiająca </w:t>
      </w:r>
      <w:r w:rsidR="00E97240">
        <w:rPr>
          <w:b/>
          <w:bCs/>
          <w:sz w:val="20"/>
          <w:szCs w:val="20"/>
        </w:rPr>
        <w:br/>
      </w:r>
      <w:r w:rsidR="00AA3432" w:rsidRPr="00AA3432">
        <w:rPr>
          <w:b/>
          <w:bCs/>
          <w:sz w:val="20"/>
          <w:szCs w:val="20"/>
        </w:rPr>
        <w:t>wykonanie obrotu w zwisie w czasie operacji</w:t>
      </w:r>
      <w:r w:rsidR="00AA3432">
        <w:rPr>
          <w:b/>
          <w:bCs/>
          <w:sz w:val="20"/>
          <w:szCs w:val="20"/>
        </w:rPr>
        <w:t xml:space="preserve"> śmigłowca</w:t>
      </w:r>
      <w:r w:rsidR="00AA3432" w:rsidRPr="00AA3432">
        <w:rPr>
          <w:b/>
          <w:bCs/>
          <w:sz w:val="20"/>
          <w:szCs w:val="20"/>
        </w:rPr>
        <w:t>.</w:t>
      </w:r>
      <w:r w:rsidR="00AA3432">
        <w:rPr>
          <w:b/>
          <w:bCs/>
          <w:sz w:val="20"/>
          <w:szCs w:val="20"/>
        </w:rPr>
        <w:br w:type="page"/>
      </w:r>
    </w:p>
    <w:p w14:paraId="06C10437" w14:textId="41BC519B" w:rsidR="00AA3432" w:rsidRPr="00AA3432" w:rsidRDefault="00AA3432" w:rsidP="00AA3432">
      <w:pPr>
        <w:tabs>
          <w:tab w:val="left" w:pos="1134"/>
        </w:tabs>
        <w:autoSpaceDE w:val="0"/>
        <w:autoSpaceDN w:val="0"/>
        <w:adjustRightInd w:val="0"/>
        <w:ind w:left="1134" w:hanging="567"/>
        <w:rPr>
          <w:rFonts w:cs="TimesNewRomanPS-BoldItalicMT"/>
          <w:bCs/>
          <w:iCs/>
        </w:rPr>
      </w:pPr>
      <w:r w:rsidRPr="00AA3432">
        <w:rPr>
          <w:rFonts w:cs="TimesNewRomanPS-BoldItalicMT"/>
          <w:bCs/>
          <w:iCs/>
        </w:rPr>
        <w:t>(5)</w:t>
      </w:r>
      <w:r w:rsidRPr="00AA3432">
        <w:rPr>
          <w:rFonts w:cs="TimesNewRomanPS-BoldItalicMT"/>
          <w:bCs/>
          <w:iCs/>
        </w:rPr>
        <w:tab/>
        <w:t>Jeżeli stanowisko postojowe śmigłowca jest przeznaczone do przejazdu przy kołowaniu oraz jeżeli od śmigłowca wykorzystującego to stanowisko nie wymaga się wykonania obrotu, minimalna szerokość stanowiska i związanej z nim strefy ochronnej powinna być taka sama jak szerokość trasy kołowania.</w:t>
      </w:r>
    </w:p>
    <w:p w14:paraId="35CB6468" w14:textId="41585F9F" w:rsidR="00AA3432" w:rsidRPr="00AA3432" w:rsidRDefault="00AA3432" w:rsidP="00AA3432">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(6) </w:t>
      </w:r>
      <w:r w:rsidRPr="00AA3432">
        <w:rPr>
          <w:rFonts w:cs="TimesNewRomanPS-BoldItalicMT"/>
          <w:bCs/>
          <w:iCs/>
        </w:rPr>
        <w:tab/>
        <w:t xml:space="preserve">Jeśli stanowisko postojowe śmigłowca jest przeznaczone do wykonywania obrotu, minimalny wymiar tego stanowiska i związanej z nim strefy ochronnej nie powinien </w:t>
      </w:r>
      <w:r w:rsidR="00DD79BF">
        <w:rPr>
          <w:rFonts w:cs="TimesNewRomanPS-BoldItalicMT"/>
          <w:bCs/>
          <w:iCs/>
        </w:rPr>
        <w:t>być mniejszy niż 2 D.</w:t>
      </w:r>
    </w:p>
    <w:p w14:paraId="56D7CCFC" w14:textId="77777777" w:rsidR="00AA3432" w:rsidRPr="00AA3432" w:rsidRDefault="00AA3432" w:rsidP="00AA3432">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(7) </w:t>
      </w:r>
      <w:r w:rsidRPr="00AA3432">
        <w:rPr>
          <w:rFonts w:cs="TimesNewRomanPS-BoldItalicMT"/>
          <w:bCs/>
          <w:iCs/>
        </w:rPr>
        <w:tab/>
        <w:t>Jeśli stanowisko postojowe śmigłowca jest przeznaczone do wykonywania obrotu, to powinno być ono otoczone strefą ochronną, która rozciąga się na odległość 0,4 D od krawędzi stanowiska postojowego śmigłowca.</w:t>
      </w:r>
    </w:p>
    <w:p w14:paraId="2FDFCC45" w14:textId="77777777" w:rsidR="00AA3432" w:rsidRPr="00AA3432" w:rsidRDefault="00AA3432" w:rsidP="00AA3432">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(8) </w:t>
      </w:r>
      <w:r w:rsidRPr="00AA3432">
        <w:rPr>
          <w:rFonts w:cs="TimesNewRomanPS-BoldItalicMT"/>
          <w:bCs/>
          <w:iCs/>
        </w:rPr>
        <w:tab/>
        <w:t>Aby możliwe było wykonywanie jednoczesnych operacji lotniczych, strefy ochronne stanowisk postojowych śmigłowców i związane z nimi trasy kołowania nie mogą się pokrywać (patrz Rysunek D-2).</w:t>
      </w:r>
    </w:p>
    <w:p w14:paraId="632A9C9A" w14:textId="0DFE6F1E" w:rsidR="00BC4806" w:rsidRPr="00AA3432" w:rsidRDefault="00AA3432" w:rsidP="00AA3432">
      <w:pPr>
        <w:tabs>
          <w:tab w:val="left" w:pos="1134"/>
        </w:tabs>
        <w:autoSpaceDE w:val="0"/>
        <w:autoSpaceDN w:val="0"/>
        <w:adjustRightInd w:val="0"/>
        <w:ind w:left="1134" w:hanging="567"/>
        <w:rPr>
          <w:rFonts w:cs="TimesNewRomanPS-BoldItalicMT"/>
          <w:bCs/>
          <w:iCs/>
        </w:rPr>
      </w:pPr>
      <w:r w:rsidRPr="00AA3432">
        <w:rPr>
          <w:rFonts w:cs="TimesNewRomanPS-BoldItalicMT"/>
          <w:bCs/>
          <w:iCs/>
        </w:rPr>
        <w:t xml:space="preserve">(9) </w:t>
      </w:r>
      <w:r w:rsidRPr="00AA3432">
        <w:rPr>
          <w:rFonts w:cs="TimesNewRomanPS-BoldItalicMT"/>
          <w:bCs/>
          <w:iCs/>
        </w:rPr>
        <w:tab/>
        <w:t>Stanowisko postojowe śmigłowca i związana z nim strefa ochronna, przeznaczone do wykonywania kołowania w powietrzu, powinny zapewniać wykorzystywanie wpływu ziemi.</w:t>
      </w:r>
    </w:p>
    <w:p w14:paraId="74C6B6EE" w14:textId="4DF4004E" w:rsidR="00BC4806" w:rsidRPr="00983668" w:rsidRDefault="00932998" w:rsidP="00932998">
      <w:pPr>
        <w:tabs>
          <w:tab w:val="left" w:pos="1134"/>
        </w:tabs>
        <w:autoSpaceDE w:val="0"/>
        <w:autoSpaceDN w:val="0"/>
        <w:adjustRightInd w:val="0"/>
        <w:ind w:left="1134" w:hanging="567"/>
        <w:rPr>
          <w:rFonts w:cs="TimesNewRomanPS-BoldItalicMT"/>
          <w:bCs/>
          <w:iCs/>
        </w:rPr>
      </w:pPr>
      <w:r w:rsidRPr="00983668">
        <w:rPr>
          <w:rFonts w:cs="TimesNewRomanPS-BoldItalicMT"/>
          <w:bCs/>
          <w:iCs/>
        </w:rPr>
        <w:t xml:space="preserve">(10) </w:t>
      </w:r>
      <w:r w:rsidRPr="00983668">
        <w:rPr>
          <w:rFonts w:cs="TimesNewRomanPS-BoldItalicMT"/>
          <w:bCs/>
          <w:iCs/>
        </w:rPr>
        <w:tab/>
      </w:r>
      <w:r w:rsidR="00BC4806" w:rsidRPr="00983668">
        <w:rPr>
          <w:rFonts w:cs="TimesNewRomanPS-BoldItalicMT"/>
          <w:bCs/>
          <w:iCs/>
        </w:rPr>
        <w:t>Zabronione jest, aby na stanowisku postojowym śmigłowca powyżej powierzchni ziemi znajdował się jakiekolwiek obiekt stały</w:t>
      </w:r>
      <w:r w:rsidRPr="00983668">
        <w:rPr>
          <w:rFonts w:cs="TimesNewRomanPS-BoldItalicMT"/>
          <w:bCs/>
          <w:iCs/>
        </w:rPr>
        <w:t xml:space="preserve">, z wyjątkiem punktów mocowania o wysokości mniejszej niż 5 cm, które można w razie potrzeby </w:t>
      </w:r>
      <w:r w:rsidR="00200399" w:rsidRPr="00983668">
        <w:rPr>
          <w:rFonts w:cs="TimesNewRomanPS-BoldItalicMT"/>
          <w:bCs/>
          <w:iCs/>
        </w:rPr>
        <w:t>można za</w:t>
      </w:r>
      <w:r w:rsidRPr="00983668">
        <w:rPr>
          <w:rFonts w:cs="TimesNewRomanPS-BoldItalicMT"/>
          <w:bCs/>
          <w:iCs/>
        </w:rPr>
        <w:t>mieścić.</w:t>
      </w:r>
    </w:p>
    <w:p w14:paraId="0664B363" w14:textId="57C1BD93" w:rsidR="00BC4806" w:rsidRPr="00983668" w:rsidRDefault="00932998" w:rsidP="00932998">
      <w:pPr>
        <w:tabs>
          <w:tab w:val="left" w:pos="1134"/>
        </w:tabs>
        <w:autoSpaceDE w:val="0"/>
        <w:autoSpaceDN w:val="0"/>
        <w:adjustRightInd w:val="0"/>
        <w:ind w:left="1134" w:hanging="567"/>
        <w:rPr>
          <w:rFonts w:cs="TimesNewRomanPS-BoldItalicMT"/>
          <w:bCs/>
          <w:iCs/>
        </w:rPr>
      </w:pPr>
      <w:r w:rsidRPr="00983668">
        <w:rPr>
          <w:rFonts w:cs="TimesNewRomanPS-BoldItalicMT"/>
          <w:bCs/>
          <w:iCs/>
        </w:rPr>
        <w:t xml:space="preserve">(11) </w:t>
      </w:r>
      <w:r w:rsidRPr="00983668">
        <w:rPr>
          <w:rFonts w:cs="TimesNewRomanPS-BoldItalicMT"/>
          <w:bCs/>
          <w:iCs/>
        </w:rPr>
        <w:tab/>
      </w:r>
      <w:r w:rsidR="00BC4806" w:rsidRPr="00983668">
        <w:rPr>
          <w:rFonts w:cs="TimesNewRomanPS-BoldItalicMT"/>
          <w:bCs/>
          <w:iCs/>
        </w:rPr>
        <w:t>Zabronione jest, aby w strefie ochronnej dokoła stanowiska postojowego śmigłowca znajdowały się jakiekolwiek obiekty stałe powyżej powierzchni ziemi, z wyjątkiem obiektów łamliwych, które muszą być na niej umieszczone ze względu na swoje funkcje.</w:t>
      </w:r>
    </w:p>
    <w:p w14:paraId="6042983B" w14:textId="60F1B115" w:rsidR="00BC4806" w:rsidRPr="00983668" w:rsidRDefault="00932998" w:rsidP="00932998">
      <w:pPr>
        <w:tabs>
          <w:tab w:val="left" w:pos="1134"/>
        </w:tabs>
        <w:autoSpaceDE w:val="0"/>
        <w:autoSpaceDN w:val="0"/>
        <w:adjustRightInd w:val="0"/>
        <w:ind w:left="1134" w:hanging="567"/>
        <w:rPr>
          <w:rFonts w:cs="TimesNewRomanPS-BoldItalicMT"/>
          <w:bCs/>
          <w:iCs/>
        </w:rPr>
      </w:pPr>
      <w:r w:rsidRPr="00983668">
        <w:rPr>
          <w:rFonts w:cs="TimesNewRomanPS-BoldItalicMT"/>
          <w:bCs/>
          <w:iCs/>
        </w:rPr>
        <w:t xml:space="preserve">(12) </w:t>
      </w:r>
      <w:r w:rsidRPr="00983668">
        <w:rPr>
          <w:rFonts w:cs="TimesNewRomanPS-BoldItalicMT"/>
          <w:bCs/>
          <w:iCs/>
        </w:rPr>
        <w:tab/>
      </w:r>
      <w:r w:rsidR="00BC4806" w:rsidRPr="00983668">
        <w:rPr>
          <w:rFonts w:cs="TimesNewRomanPS-BoldItalicMT"/>
          <w:bCs/>
          <w:iCs/>
        </w:rPr>
        <w:t xml:space="preserve">Zabronione jest, aby na stanowisku postojowym śmigłowca i w jego strefie ochronnej znajdowały się jakiekolwiek obiekty ruchome podczas operacji </w:t>
      </w:r>
      <w:r w:rsidRPr="00983668">
        <w:rPr>
          <w:rFonts w:cs="TimesNewRomanPS-BoldItalicMT"/>
          <w:bCs/>
          <w:iCs/>
        </w:rPr>
        <w:t>śmigłowca</w:t>
      </w:r>
      <w:r w:rsidR="00BC4806" w:rsidRPr="00983668">
        <w:rPr>
          <w:rFonts w:cs="TimesNewRomanPS-BoldItalicMT"/>
          <w:bCs/>
          <w:iCs/>
        </w:rPr>
        <w:t>.</w:t>
      </w:r>
    </w:p>
    <w:p w14:paraId="7E47F833" w14:textId="46F9AC50" w:rsidR="004B6C1E" w:rsidRPr="00983668" w:rsidRDefault="004B6C1E" w:rsidP="004B6C1E">
      <w:pPr>
        <w:tabs>
          <w:tab w:val="left" w:pos="1134"/>
        </w:tabs>
        <w:autoSpaceDE w:val="0"/>
        <w:autoSpaceDN w:val="0"/>
        <w:adjustRightInd w:val="0"/>
        <w:ind w:left="1134" w:hanging="567"/>
        <w:rPr>
          <w:rFonts w:cs="TimesNewRomanPS-BoldItalicMT"/>
          <w:bCs/>
          <w:iCs/>
        </w:rPr>
      </w:pPr>
      <w:r w:rsidRPr="00983668">
        <w:rPr>
          <w:rFonts w:cs="TimesNewRomanPS-BoldItalicMT"/>
          <w:bCs/>
          <w:iCs/>
        </w:rPr>
        <w:t xml:space="preserve">(13) </w:t>
      </w:r>
      <w:r w:rsidRPr="00983668">
        <w:rPr>
          <w:rFonts w:cs="TimesNewRomanPS-BoldItalicMT"/>
          <w:bCs/>
          <w:iCs/>
        </w:rPr>
        <w:tab/>
        <w:t>Obiekty, których funkcja wymaga umieszczenia ich w strefie ochronnej w odległości mniejszej niż 0.75 D od środka stanowiska postojowego śmigłowca, nie powinny przekraczać wysokości 5 cm.</w:t>
      </w:r>
    </w:p>
    <w:p w14:paraId="7196264C" w14:textId="09BC2E05" w:rsidR="004B6C1E" w:rsidRPr="00983668" w:rsidRDefault="004B6C1E" w:rsidP="004B6C1E">
      <w:pPr>
        <w:tabs>
          <w:tab w:val="left" w:pos="1134"/>
        </w:tabs>
        <w:autoSpaceDE w:val="0"/>
        <w:autoSpaceDN w:val="0"/>
        <w:adjustRightInd w:val="0"/>
        <w:ind w:left="1134" w:hanging="567"/>
        <w:rPr>
          <w:rFonts w:cs="TimesNewRomanPS-BoldItalicMT"/>
          <w:bCs/>
          <w:iCs/>
        </w:rPr>
      </w:pPr>
      <w:r w:rsidRPr="00983668">
        <w:rPr>
          <w:rFonts w:cs="TimesNewRomanPS-BoldItalicMT"/>
          <w:bCs/>
          <w:iCs/>
        </w:rPr>
        <w:t xml:space="preserve">(14) </w:t>
      </w:r>
      <w:r w:rsidRPr="00983668">
        <w:rPr>
          <w:rFonts w:cs="TimesNewRomanPS-BoldItalicMT"/>
          <w:bCs/>
          <w:iCs/>
        </w:rPr>
        <w:tab/>
        <w:t>Obiekty, których funkcja wymaga umieszczenia ich w strefie ochronnej</w:t>
      </w:r>
      <w:r w:rsidR="00B37CA8" w:rsidRPr="00983668">
        <w:rPr>
          <w:rFonts w:cs="TimesNewRomanPS-BoldItalicMT"/>
          <w:bCs/>
          <w:iCs/>
        </w:rPr>
        <w:t xml:space="preserve"> nie powinny:</w:t>
      </w:r>
    </w:p>
    <w:p w14:paraId="470E9F4E" w14:textId="068E7FDB" w:rsidR="004B6C1E" w:rsidRPr="00983668" w:rsidRDefault="00B37CA8" w:rsidP="00B37CA8">
      <w:pPr>
        <w:tabs>
          <w:tab w:val="left" w:pos="1701"/>
        </w:tabs>
        <w:autoSpaceDE w:val="0"/>
        <w:autoSpaceDN w:val="0"/>
        <w:adjustRightInd w:val="0"/>
        <w:ind w:left="1701" w:hanging="567"/>
        <w:rPr>
          <w:rFonts w:cs="TimesNewRomanPS-BoldItalicMT"/>
          <w:bCs/>
          <w:iCs/>
        </w:rPr>
      </w:pPr>
      <w:r w:rsidRPr="00983668">
        <w:rPr>
          <w:rFonts w:cs="TimesNewRomanPS-BoldItalicMT"/>
          <w:bCs/>
          <w:iCs/>
        </w:rPr>
        <w:t xml:space="preserve">(a) </w:t>
      </w:r>
      <w:r w:rsidRPr="00983668">
        <w:rPr>
          <w:rFonts w:cs="TimesNewRomanPS-BoldItalicMT"/>
          <w:bCs/>
          <w:iCs/>
        </w:rPr>
        <w:tab/>
        <w:t>w przypadku ich lokalizacji w odległości mniejszej niż 0.75 D od środka stanowiska postojowego śmigłowca, przebijać płaszczyzny na wysokości 5 cm powyżej płaszczyzny środkowej części stanowiska postojowego; oraz</w:t>
      </w:r>
    </w:p>
    <w:p w14:paraId="2A09B5C3" w14:textId="77777777" w:rsidR="004B6C1E" w:rsidRPr="00212CCF" w:rsidRDefault="004B6C1E" w:rsidP="00B37CA8">
      <w:pPr>
        <w:tabs>
          <w:tab w:val="left" w:pos="1701"/>
        </w:tabs>
        <w:autoSpaceDE w:val="0"/>
        <w:autoSpaceDN w:val="0"/>
        <w:adjustRightInd w:val="0"/>
        <w:ind w:left="1701" w:hanging="567"/>
        <w:rPr>
          <w:rFonts w:cs="TimesNewRomanPS-BoldItalicMT"/>
          <w:bCs/>
          <w:iCs/>
        </w:rPr>
      </w:pPr>
      <w:r w:rsidRPr="00983668">
        <w:rPr>
          <w:rFonts w:cs="TimesNewRomanPS-BoldItalicMT"/>
          <w:bCs/>
          <w:iCs/>
        </w:rPr>
        <w:t>b)</w:t>
      </w:r>
      <w:r w:rsidRPr="00983668">
        <w:rPr>
          <w:rFonts w:cs="TimesNewRomanPS-BoldItalicMT"/>
          <w:bCs/>
          <w:iCs/>
        </w:rPr>
        <w:tab/>
        <w:t xml:space="preserve">w przypadku ich lokalizacji w odległości 0.75 D lub więcej od środka stanowiska postojowego śmigłowca, przebijać płaszczyzny na wysokości 25 cm powyżej </w:t>
      </w:r>
      <w:r w:rsidRPr="00212CCF">
        <w:rPr>
          <w:rFonts w:cs="TimesNewRomanPS-BoldItalicMT"/>
          <w:bCs/>
          <w:iCs/>
        </w:rPr>
        <w:t>płaszczyzny środkowej części stanowiska postojowego, nachylonej w górę i na zewnątrz z pochyleniem 5%.</w:t>
      </w:r>
    </w:p>
    <w:p w14:paraId="518ECFC8" w14:textId="5F5A6EE9" w:rsidR="004B6C1E" w:rsidRPr="00212CCF" w:rsidRDefault="00B37CA8" w:rsidP="00B37CA8">
      <w:pPr>
        <w:tabs>
          <w:tab w:val="left" w:pos="1134"/>
        </w:tabs>
        <w:autoSpaceDE w:val="0"/>
        <w:autoSpaceDN w:val="0"/>
        <w:adjustRightInd w:val="0"/>
        <w:ind w:left="1134" w:hanging="567"/>
        <w:rPr>
          <w:rFonts w:cs="TimesNewRomanPS-BoldItalicMT"/>
          <w:bCs/>
          <w:iCs/>
        </w:rPr>
      </w:pPr>
      <w:r w:rsidRPr="00212CCF">
        <w:rPr>
          <w:rFonts w:cs="TimesNewRomanPS-BoldItalicMT"/>
          <w:bCs/>
          <w:iCs/>
        </w:rPr>
        <w:t xml:space="preserve">(15) </w:t>
      </w:r>
      <w:r w:rsidRPr="00212CCF">
        <w:rPr>
          <w:rFonts w:cs="TimesNewRomanPS-BoldItalicMT"/>
          <w:bCs/>
          <w:iCs/>
        </w:rPr>
        <w:tab/>
      </w:r>
      <w:r w:rsidR="004B6C1E" w:rsidRPr="00212CCF">
        <w:rPr>
          <w:rFonts w:cs="TimesNewRomanPS-BoldItalicMT"/>
          <w:bCs/>
          <w:iCs/>
        </w:rPr>
        <w:t>Środkowa część stanowiska postojowego śmigłowca powinna być w stanie wytrzymać ruch śmigłowców, dla których stanowisko jest przeznaczone, i posiadać obszar zdolny do przenoszenia obciążeń statycznych:</w:t>
      </w:r>
    </w:p>
    <w:p w14:paraId="6EC6129B" w14:textId="084E6875" w:rsidR="004B6C1E" w:rsidRPr="00212CCF" w:rsidRDefault="004B6C1E" w:rsidP="00B37CA8">
      <w:pPr>
        <w:tabs>
          <w:tab w:val="left" w:pos="1701"/>
        </w:tabs>
        <w:autoSpaceDE w:val="0"/>
        <w:autoSpaceDN w:val="0"/>
        <w:adjustRightInd w:val="0"/>
        <w:ind w:left="1701" w:hanging="567"/>
        <w:rPr>
          <w:rFonts w:cs="TimesNewRomanPS-BoldItalicMT"/>
          <w:bCs/>
          <w:iCs/>
        </w:rPr>
      </w:pPr>
      <w:r w:rsidRPr="00212CCF">
        <w:rPr>
          <w:rFonts w:cs="TimesNewRomanPS-BoldItalicMT"/>
          <w:bCs/>
          <w:iCs/>
        </w:rPr>
        <w:t>a)</w:t>
      </w:r>
      <w:r w:rsidRPr="00212CCF">
        <w:rPr>
          <w:rFonts w:cs="TimesNewRomanPS-BoldItalicMT"/>
          <w:bCs/>
          <w:iCs/>
        </w:rPr>
        <w:tab/>
        <w:t xml:space="preserve">o średnicy nie mniejszej niż 0.83 D największego śmigłowca, do obsługi którego stanowisko </w:t>
      </w:r>
      <w:r w:rsidR="00983668" w:rsidRPr="00212CCF">
        <w:rPr>
          <w:rFonts w:cs="TimesNewRomanPS-BoldItalicMT"/>
          <w:bCs/>
          <w:iCs/>
        </w:rPr>
        <w:t xml:space="preserve">postojowe </w:t>
      </w:r>
      <w:r w:rsidRPr="00212CCF">
        <w:rPr>
          <w:rFonts w:cs="TimesNewRomanPS-BoldItalicMT"/>
          <w:bCs/>
          <w:iCs/>
        </w:rPr>
        <w:t>jest przeznaczone; lub</w:t>
      </w:r>
    </w:p>
    <w:p w14:paraId="3B19E675" w14:textId="4C0D22C6" w:rsidR="00B37CA8" w:rsidRPr="00212CCF" w:rsidRDefault="004B6C1E" w:rsidP="00B37CA8">
      <w:pPr>
        <w:tabs>
          <w:tab w:val="left" w:pos="1701"/>
        </w:tabs>
        <w:autoSpaceDE w:val="0"/>
        <w:autoSpaceDN w:val="0"/>
        <w:adjustRightInd w:val="0"/>
        <w:ind w:left="1701" w:hanging="567"/>
        <w:rPr>
          <w:rFonts w:cs="TimesNewRomanPS-BoldItalicMT"/>
          <w:bCs/>
          <w:iCs/>
        </w:rPr>
      </w:pPr>
      <w:r w:rsidRPr="00212CCF">
        <w:rPr>
          <w:rFonts w:cs="TimesNewRomanPS-BoldItalicMT"/>
          <w:bCs/>
          <w:iCs/>
        </w:rPr>
        <w:t>b)</w:t>
      </w:r>
      <w:r w:rsidRPr="00212CCF">
        <w:rPr>
          <w:rFonts w:cs="TimesNewRomanPS-BoldItalicMT"/>
          <w:bCs/>
          <w:iCs/>
        </w:rPr>
        <w:tab/>
      </w:r>
      <w:r w:rsidR="00983668" w:rsidRPr="00212CCF">
        <w:rPr>
          <w:rFonts w:cs="TimesNewRomanPS-BoldItalicMT"/>
          <w:bCs/>
          <w:iCs/>
        </w:rPr>
        <w:t xml:space="preserve">o tej samej szerokości co droga kołowania śmigłowca po ziemi, </w:t>
      </w:r>
      <w:r w:rsidR="00B37CA8" w:rsidRPr="00212CCF">
        <w:rPr>
          <w:rFonts w:cs="TimesNewRomanPS-BoldItalicMT"/>
          <w:bCs/>
          <w:iCs/>
        </w:rPr>
        <w:t xml:space="preserve">w przypadku stanowiska </w:t>
      </w:r>
      <w:r w:rsidR="00983668" w:rsidRPr="00212CCF">
        <w:rPr>
          <w:rFonts w:cs="TimesNewRomanPS-BoldItalicMT"/>
          <w:bCs/>
          <w:iCs/>
        </w:rPr>
        <w:t>postojowego</w:t>
      </w:r>
      <w:r w:rsidR="00B37CA8" w:rsidRPr="00212CCF">
        <w:rPr>
          <w:rFonts w:cs="TimesNewRomanPS-BoldItalicMT"/>
          <w:bCs/>
          <w:iCs/>
        </w:rPr>
        <w:t xml:space="preserve"> śmigłowca, które ma być używane do kołowania, i gd</w:t>
      </w:r>
      <w:r w:rsidR="00983668" w:rsidRPr="00212CCF">
        <w:rPr>
          <w:rFonts w:cs="TimesNewRomanPS-BoldItalicMT"/>
          <w:bCs/>
          <w:iCs/>
        </w:rPr>
        <w:t>y</w:t>
      </w:r>
      <w:r w:rsidR="00B37CA8" w:rsidRPr="00212CCF">
        <w:rPr>
          <w:rFonts w:cs="TimesNewRomanPS-BoldItalicMT"/>
          <w:bCs/>
          <w:iCs/>
        </w:rPr>
        <w:t xml:space="preserve"> śmigłowiec korzystający z </w:t>
      </w:r>
      <w:r w:rsidR="00983668" w:rsidRPr="00212CCF">
        <w:rPr>
          <w:rFonts w:cs="TimesNewRomanPS-BoldItalicMT"/>
          <w:bCs/>
          <w:iCs/>
        </w:rPr>
        <w:t>tego stanowiska</w:t>
      </w:r>
      <w:r w:rsidR="00B37CA8" w:rsidRPr="00212CCF">
        <w:rPr>
          <w:rFonts w:cs="TimesNewRomanPS-BoldItalicMT"/>
          <w:bCs/>
          <w:iCs/>
        </w:rPr>
        <w:t xml:space="preserve"> nie musi </w:t>
      </w:r>
      <w:r w:rsidR="00212CCF" w:rsidRPr="00212CCF">
        <w:rPr>
          <w:rFonts w:cs="TimesNewRomanPS-BoldItalicMT"/>
          <w:bCs/>
          <w:iCs/>
        </w:rPr>
        <w:t>wykonywać obrotu.</w:t>
      </w:r>
    </w:p>
    <w:p w14:paraId="3C202F6E" w14:textId="77777777" w:rsidR="00B37CA8" w:rsidRPr="00212CCF" w:rsidRDefault="00B37CA8" w:rsidP="00B37CA8">
      <w:pPr>
        <w:tabs>
          <w:tab w:val="left" w:pos="1701"/>
        </w:tabs>
        <w:autoSpaceDE w:val="0"/>
        <w:autoSpaceDN w:val="0"/>
        <w:adjustRightInd w:val="0"/>
        <w:ind w:left="1701" w:hanging="567"/>
        <w:rPr>
          <w:rFonts w:cs="TimesNewRomanPS-BoldItalicMT"/>
          <w:bCs/>
          <w:iCs/>
        </w:rPr>
      </w:pPr>
    </w:p>
    <w:p w14:paraId="0BBBF85E" w14:textId="77777777" w:rsidR="00B37CA8" w:rsidRPr="00900AA5" w:rsidRDefault="00B37CA8" w:rsidP="00E97240">
      <w:pPr>
        <w:spacing w:line="23" w:lineRule="atLeast"/>
        <w:jc w:val="right"/>
        <w:rPr>
          <w:noProof/>
          <w:szCs w:val="20"/>
          <w:lang w:eastAsia="pl-PL"/>
        </w:rPr>
      </w:pPr>
      <w:r w:rsidRPr="00900AA5">
        <w:rPr>
          <w:noProof/>
          <w:lang w:eastAsia="pl-PL"/>
        </w:rPr>
        <w:drawing>
          <wp:inline distT="0" distB="0" distL="0" distR="0" wp14:anchorId="74EA4BB2" wp14:editId="5B66E4E6">
            <wp:extent cx="5435600" cy="3344063"/>
            <wp:effectExtent l="0" t="0" r="0" b="889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442076" cy="3348047"/>
                    </a:xfrm>
                    <a:prstGeom prst="rect">
                      <a:avLst/>
                    </a:prstGeom>
                    <a:noFill/>
                    <a:ln>
                      <a:noFill/>
                    </a:ln>
                  </pic:spPr>
                </pic:pic>
              </a:graphicData>
            </a:graphic>
          </wp:inline>
        </w:drawing>
      </w:r>
    </w:p>
    <w:p w14:paraId="3C9BD12B" w14:textId="03DAFBAF" w:rsidR="00F64242" w:rsidRPr="00212CCF" w:rsidRDefault="00453730" w:rsidP="00212CCF">
      <w:pPr>
        <w:tabs>
          <w:tab w:val="left" w:pos="1134"/>
        </w:tabs>
        <w:autoSpaceDE w:val="0"/>
        <w:autoSpaceDN w:val="0"/>
        <w:adjustRightInd w:val="0"/>
        <w:ind w:left="1134" w:hanging="1134"/>
        <w:jc w:val="center"/>
        <w:rPr>
          <w:rFonts w:cs="TimesNewRomanPS-BoldItalicMT"/>
          <w:b/>
          <w:bCs/>
          <w:iCs/>
          <w:sz w:val="20"/>
          <w:szCs w:val="20"/>
        </w:rPr>
      </w:pPr>
      <w:r w:rsidRPr="00212CCF">
        <w:rPr>
          <w:b/>
          <w:bCs/>
          <w:sz w:val="20"/>
          <w:szCs w:val="20"/>
        </w:rPr>
        <w:t>Rysunek D</w:t>
      </w:r>
      <w:r w:rsidR="00B37CA8" w:rsidRPr="00212CCF">
        <w:rPr>
          <w:b/>
          <w:bCs/>
          <w:sz w:val="20"/>
          <w:szCs w:val="20"/>
        </w:rPr>
        <w:t>-</w:t>
      </w:r>
      <w:r w:rsidRPr="00212CCF">
        <w:rPr>
          <w:b/>
          <w:bCs/>
          <w:sz w:val="20"/>
          <w:szCs w:val="20"/>
        </w:rPr>
        <w:t>2</w:t>
      </w:r>
      <w:r w:rsidR="00B37CA8" w:rsidRPr="00212CCF">
        <w:rPr>
          <w:b/>
          <w:bCs/>
          <w:sz w:val="20"/>
          <w:szCs w:val="20"/>
        </w:rPr>
        <w:t xml:space="preserve">.   </w:t>
      </w:r>
      <w:r w:rsidR="00B37CA8" w:rsidRPr="00212CCF">
        <w:rPr>
          <w:b/>
          <w:sz w:val="20"/>
          <w:szCs w:val="20"/>
        </w:rPr>
        <w:t xml:space="preserve">Stanowiska postojowe dla śmigłowców zaprojektowane w sposób umożliwiający wykonywanie obrotu w zawisie z trasy kołowania lub drogi kołowania w powietrzu </w:t>
      </w:r>
      <w:r w:rsidR="00212CCF" w:rsidRPr="00212CCF">
        <w:rPr>
          <w:b/>
          <w:sz w:val="20"/>
          <w:szCs w:val="20"/>
        </w:rPr>
        <w:br/>
      </w:r>
      <w:r w:rsidR="00B37CA8" w:rsidRPr="00212CCF">
        <w:rPr>
          <w:b/>
          <w:bCs/>
          <w:sz w:val="20"/>
          <w:szCs w:val="20"/>
        </w:rPr>
        <w:t xml:space="preserve">— przy </w:t>
      </w:r>
      <w:r w:rsidR="00B37CA8" w:rsidRPr="00212CCF">
        <w:rPr>
          <w:b/>
          <w:sz w:val="20"/>
          <w:szCs w:val="20"/>
        </w:rPr>
        <w:t>operacjach wykonywanych jednocześnie.</w:t>
      </w:r>
    </w:p>
    <w:p w14:paraId="45FE1675" w14:textId="77777777" w:rsidR="00B37CA8" w:rsidRPr="00212CCF" w:rsidRDefault="00B37CA8" w:rsidP="00F64242">
      <w:pPr>
        <w:tabs>
          <w:tab w:val="left" w:pos="567"/>
        </w:tabs>
        <w:autoSpaceDE w:val="0"/>
        <w:autoSpaceDN w:val="0"/>
        <w:adjustRightInd w:val="0"/>
        <w:ind w:left="567" w:hanging="567"/>
        <w:rPr>
          <w:rFonts w:cs="TimesNewRomanPS-BoldItalicMT"/>
          <w:bCs/>
          <w:iCs/>
          <w:szCs w:val="20"/>
        </w:rPr>
      </w:pPr>
    </w:p>
    <w:p w14:paraId="5D8D9109" w14:textId="47042603" w:rsidR="00F64242" w:rsidRPr="009E064B" w:rsidRDefault="00F64242" w:rsidP="00133B99">
      <w:pPr>
        <w:pStyle w:val="Nagwek6"/>
      </w:pPr>
      <w:bookmarkStart w:id="1905" w:name="_Toc12533357"/>
      <w:r w:rsidRPr="009E064B">
        <w:t>GM1 HPT-DSN.</w:t>
      </w:r>
      <w:r w:rsidR="00B45F2C">
        <w:t>D</w:t>
      </w:r>
      <w:r>
        <w:t>.300</w:t>
      </w:r>
      <w:r w:rsidRPr="009E064B">
        <w:t xml:space="preserve">     </w:t>
      </w:r>
      <w:r>
        <w:t xml:space="preserve">Stanowiska postojowe </w:t>
      </w:r>
      <w:r w:rsidRPr="00F64242">
        <w:t>śmigłowc</w:t>
      </w:r>
      <w:r w:rsidR="00212CCF">
        <w:t>a</w:t>
      </w:r>
      <w:bookmarkEnd w:id="1905"/>
    </w:p>
    <w:p w14:paraId="1B01FD2F" w14:textId="43BEA91C"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65AB1AB" w14:textId="08C5235A" w:rsidR="00F64242" w:rsidRPr="00212CCF" w:rsidRDefault="00F64242" w:rsidP="00F64242">
      <w:pPr>
        <w:tabs>
          <w:tab w:val="left" w:pos="567"/>
        </w:tabs>
        <w:autoSpaceDE w:val="0"/>
        <w:autoSpaceDN w:val="0"/>
        <w:adjustRightInd w:val="0"/>
        <w:ind w:left="567" w:hanging="567"/>
        <w:rPr>
          <w:rFonts w:eastAsia="Verdana" w:cs="Verdana"/>
          <w:bCs/>
          <w:szCs w:val="20"/>
        </w:rPr>
      </w:pPr>
      <w:r w:rsidRPr="00212CCF">
        <w:rPr>
          <w:rFonts w:cs="TimesNewRomanPS-BoldItalicMT"/>
          <w:bCs/>
          <w:iCs/>
          <w:szCs w:val="20"/>
        </w:rPr>
        <w:t xml:space="preserve">(a) </w:t>
      </w:r>
      <w:r w:rsidRPr="00212CCF">
        <w:rPr>
          <w:rFonts w:cs="TimesNewRomanPS-BoldItalicMT"/>
          <w:bCs/>
          <w:iCs/>
          <w:szCs w:val="20"/>
        </w:rPr>
        <w:tab/>
      </w:r>
      <w:r w:rsidR="00453730" w:rsidRPr="00212CCF">
        <w:rPr>
          <w:rFonts w:cs="TimesNewRomanPS-BoldItalicMT"/>
          <w:bCs/>
          <w:iCs/>
          <w:szCs w:val="20"/>
        </w:rPr>
        <w:t>N</w:t>
      </w:r>
      <w:r w:rsidR="00453730" w:rsidRPr="00212CCF">
        <w:rPr>
          <w:rFonts w:eastAsia="Verdana" w:cs="Verdana"/>
          <w:bCs/>
          <w:szCs w:val="20"/>
        </w:rPr>
        <w:t>ie jest dobrą praktyką umieszczanie stanowisk postojowych śmigłowców pod ścieżką lotu.</w:t>
      </w:r>
    </w:p>
    <w:p w14:paraId="7023A3D2" w14:textId="168DEFAE" w:rsidR="00453730" w:rsidRPr="00212CCF" w:rsidRDefault="00453730" w:rsidP="00453730">
      <w:pPr>
        <w:tabs>
          <w:tab w:val="left" w:pos="567"/>
        </w:tabs>
        <w:autoSpaceDE w:val="0"/>
        <w:autoSpaceDN w:val="0"/>
        <w:adjustRightInd w:val="0"/>
        <w:ind w:left="567" w:hanging="567"/>
        <w:rPr>
          <w:rFonts w:eastAsia="Verdana" w:cs="Verdana"/>
          <w:bCs/>
          <w:szCs w:val="20"/>
        </w:rPr>
      </w:pPr>
      <w:r w:rsidRPr="00212CCF">
        <w:rPr>
          <w:rFonts w:eastAsia="Verdana" w:cs="Verdana"/>
          <w:bCs/>
          <w:szCs w:val="20"/>
        </w:rPr>
        <w:t xml:space="preserve">(b) </w:t>
      </w:r>
      <w:r w:rsidRPr="00212CCF">
        <w:rPr>
          <w:rFonts w:eastAsia="Verdana" w:cs="Verdana"/>
          <w:bCs/>
          <w:szCs w:val="20"/>
        </w:rPr>
        <w:tab/>
        <w:t>Jeśli nie przewiduje się wykonywania jednoczesnych operacji lotniczych, strefy ochronne stanowisk postojowych śmigłowców i związane z nimi trasy kołowania mogą się pokrywać (patrz Rysunek GM1-D-1).</w:t>
      </w:r>
    </w:p>
    <w:p w14:paraId="5E30B542" w14:textId="619A6F1F" w:rsidR="00453730" w:rsidRPr="00212CCF" w:rsidRDefault="00453730" w:rsidP="00453730">
      <w:pPr>
        <w:tabs>
          <w:tab w:val="left" w:pos="567"/>
        </w:tabs>
        <w:autoSpaceDE w:val="0"/>
        <w:autoSpaceDN w:val="0"/>
        <w:adjustRightInd w:val="0"/>
        <w:ind w:left="567" w:hanging="567"/>
        <w:rPr>
          <w:rFonts w:eastAsia="Verdana" w:cs="Verdana"/>
          <w:bCs/>
          <w:szCs w:val="20"/>
        </w:rPr>
      </w:pPr>
      <w:r w:rsidRPr="00212CCF">
        <w:rPr>
          <w:rFonts w:eastAsia="Verdana" w:cs="Verdana"/>
          <w:bCs/>
          <w:szCs w:val="20"/>
        </w:rPr>
        <w:t xml:space="preserve">(c) </w:t>
      </w:r>
      <w:r w:rsidRPr="00212CCF">
        <w:rPr>
          <w:rFonts w:eastAsia="Verdana" w:cs="Verdana"/>
          <w:bCs/>
          <w:szCs w:val="20"/>
        </w:rPr>
        <w:tab/>
        <w:t xml:space="preserve">W przypadku stanowiska postojowego śmigłowca przeznaczonego do wykorzystania w celu wykonania </w:t>
      </w:r>
      <w:r w:rsidR="00212CCF">
        <w:rPr>
          <w:rFonts w:eastAsia="Verdana" w:cs="Verdana"/>
          <w:bCs/>
          <w:szCs w:val="20"/>
        </w:rPr>
        <w:t>ob</w:t>
      </w:r>
      <w:r w:rsidR="00212CCF" w:rsidRPr="00212CCF">
        <w:rPr>
          <w:rFonts w:eastAsia="Verdana" w:cs="Verdana"/>
          <w:bCs/>
          <w:szCs w:val="20"/>
        </w:rPr>
        <w:t>rotu</w:t>
      </w:r>
      <w:r w:rsidRPr="00212CCF">
        <w:rPr>
          <w:rFonts w:eastAsia="Verdana" w:cs="Verdana"/>
          <w:bCs/>
          <w:szCs w:val="20"/>
        </w:rPr>
        <w:t xml:space="preserve"> na ziemi przez śmigłowce z podwoziem kołowym, wymiary stanowiska postojowego śmigłowca i jego strefy ochronnej, w tym wymiary jego środkowej części, powinny być znacząco zwiększone.</w:t>
      </w:r>
    </w:p>
    <w:p w14:paraId="272A5001" w14:textId="77777777" w:rsidR="00453730" w:rsidRPr="00900AA5" w:rsidRDefault="00453730" w:rsidP="00453730">
      <w:pPr>
        <w:pStyle w:val="Default"/>
        <w:spacing w:after="120"/>
        <w:ind w:left="567" w:hanging="425"/>
        <w:jc w:val="center"/>
        <w:rPr>
          <w:color w:val="auto"/>
          <w:sz w:val="20"/>
          <w:szCs w:val="20"/>
        </w:rPr>
      </w:pPr>
      <w:r w:rsidRPr="00900AA5">
        <w:rPr>
          <w:noProof/>
          <w:lang w:eastAsia="pl-PL"/>
        </w:rPr>
        <w:drawing>
          <wp:inline distT="0" distB="0" distL="0" distR="0" wp14:anchorId="096154B7" wp14:editId="75FB9A96">
            <wp:extent cx="5505450" cy="3538784"/>
            <wp:effectExtent l="0" t="0" r="0" b="508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515127" cy="3545004"/>
                    </a:xfrm>
                    <a:prstGeom prst="rect">
                      <a:avLst/>
                    </a:prstGeom>
                    <a:noFill/>
                    <a:ln>
                      <a:noFill/>
                    </a:ln>
                  </pic:spPr>
                </pic:pic>
              </a:graphicData>
            </a:graphic>
          </wp:inline>
        </w:drawing>
      </w:r>
    </w:p>
    <w:p w14:paraId="69661242" w14:textId="47EBCCA1" w:rsidR="00453730" w:rsidRPr="00212CCF" w:rsidRDefault="00453730" w:rsidP="00212CCF">
      <w:pPr>
        <w:tabs>
          <w:tab w:val="left" w:pos="1560"/>
        </w:tabs>
        <w:autoSpaceDE w:val="0"/>
        <w:autoSpaceDN w:val="0"/>
        <w:adjustRightInd w:val="0"/>
        <w:ind w:left="1560" w:hanging="1560"/>
        <w:jc w:val="center"/>
        <w:rPr>
          <w:rFonts w:eastAsia="Verdana" w:cs="Verdana"/>
          <w:b/>
          <w:bCs/>
          <w:szCs w:val="20"/>
        </w:rPr>
      </w:pPr>
      <w:r w:rsidRPr="00212CCF">
        <w:rPr>
          <w:b/>
          <w:bCs/>
          <w:sz w:val="20"/>
          <w:szCs w:val="20"/>
        </w:rPr>
        <w:t xml:space="preserve">Rysunek </w:t>
      </w:r>
      <w:r w:rsidRPr="00212CCF">
        <w:rPr>
          <w:rFonts w:eastAsia="Verdana" w:cs="Verdana"/>
          <w:b/>
          <w:bCs/>
          <w:sz w:val="20"/>
          <w:szCs w:val="20"/>
        </w:rPr>
        <w:t>GM1-D-1</w:t>
      </w:r>
      <w:r w:rsidR="00212CCF" w:rsidRPr="00212CCF">
        <w:rPr>
          <w:b/>
          <w:bCs/>
          <w:sz w:val="20"/>
          <w:szCs w:val="20"/>
        </w:rPr>
        <w:t xml:space="preserve">.  </w:t>
      </w:r>
      <w:r w:rsidRPr="00212CCF">
        <w:rPr>
          <w:b/>
          <w:sz w:val="20"/>
          <w:szCs w:val="20"/>
        </w:rPr>
        <w:t xml:space="preserve">Stanowiska postojowe dla śmigłowców zaprojektowane w sposób umożliwiający wykonywanie obrotu w zawisie z trasy kołowania lub drogi kołowania w powietrzu </w:t>
      </w:r>
      <w:r w:rsidR="00212CCF" w:rsidRPr="00212CCF">
        <w:rPr>
          <w:b/>
          <w:sz w:val="20"/>
          <w:szCs w:val="20"/>
        </w:rPr>
        <w:br/>
      </w:r>
      <w:r w:rsidRPr="00212CCF">
        <w:rPr>
          <w:b/>
          <w:bCs/>
          <w:sz w:val="20"/>
          <w:szCs w:val="20"/>
        </w:rPr>
        <w:t xml:space="preserve">— gdy </w:t>
      </w:r>
      <w:r w:rsidRPr="00212CCF">
        <w:rPr>
          <w:b/>
          <w:sz w:val="20"/>
          <w:szCs w:val="20"/>
        </w:rPr>
        <w:t>operacje nie są wykonywane jednocześnie.</w:t>
      </w:r>
    </w:p>
    <w:p w14:paraId="2E4967A6" w14:textId="77777777" w:rsidR="00453730" w:rsidRPr="00212CCF" w:rsidRDefault="00453730" w:rsidP="00453730">
      <w:pPr>
        <w:tabs>
          <w:tab w:val="left" w:pos="567"/>
        </w:tabs>
        <w:autoSpaceDE w:val="0"/>
        <w:autoSpaceDN w:val="0"/>
        <w:adjustRightInd w:val="0"/>
        <w:ind w:left="567" w:hanging="567"/>
        <w:rPr>
          <w:rFonts w:eastAsia="Verdana" w:cs="Verdana"/>
          <w:bCs/>
          <w:szCs w:val="20"/>
        </w:rPr>
      </w:pPr>
    </w:p>
    <w:p w14:paraId="5B0A0AD2" w14:textId="77777777" w:rsidR="00F64242" w:rsidRPr="00212CCF" w:rsidRDefault="00F64242" w:rsidP="00F64242">
      <w:pPr>
        <w:tabs>
          <w:tab w:val="left" w:pos="1134"/>
        </w:tabs>
        <w:autoSpaceDE w:val="0"/>
        <w:autoSpaceDN w:val="0"/>
        <w:adjustRightInd w:val="0"/>
        <w:spacing w:after="0"/>
        <w:rPr>
          <w:rFonts w:cs="TimesNewRomanPS-BoldItalicMT"/>
          <w:bCs/>
          <w:iCs/>
          <w:szCs w:val="20"/>
        </w:rPr>
      </w:pPr>
    </w:p>
    <w:p w14:paraId="51DD112D" w14:textId="77777777" w:rsidR="00B45F2C" w:rsidRPr="00212CCF" w:rsidRDefault="00B45F2C" w:rsidP="00F64242">
      <w:pPr>
        <w:tabs>
          <w:tab w:val="left" w:pos="1134"/>
        </w:tabs>
        <w:autoSpaceDE w:val="0"/>
        <w:autoSpaceDN w:val="0"/>
        <w:adjustRightInd w:val="0"/>
        <w:spacing w:after="0"/>
        <w:rPr>
          <w:rFonts w:cs="TimesNewRomanPS-BoldItalicMT"/>
          <w:bCs/>
          <w:iCs/>
          <w:szCs w:val="20"/>
        </w:rPr>
        <w:sectPr w:rsidR="00B45F2C" w:rsidRPr="00212CCF" w:rsidSect="00E300A0">
          <w:headerReference w:type="default" r:id="rId316"/>
          <w:headerReference w:type="first" r:id="rId317"/>
          <w:pgSz w:w="11906" w:h="16840" w:code="9"/>
          <w:pgMar w:top="1701" w:right="1418" w:bottom="1418" w:left="1418" w:header="567" w:footer="454" w:gutter="0"/>
          <w:cols w:space="708"/>
          <w:titlePg/>
        </w:sectPr>
      </w:pPr>
    </w:p>
    <w:p w14:paraId="2B4DF4BB" w14:textId="64D06692" w:rsidR="00F64242" w:rsidRDefault="00F64242" w:rsidP="00F64242">
      <w:pPr>
        <w:tabs>
          <w:tab w:val="left" w:pos="1134"/>
        </w:tabs>
        <w:autoSpaceDE w:val="0"/>
        <w:autoSpaceDN w:val="0"/>
        <w:adjustRightInd w:val="0"/>
        <w:spacing w:after="0"/>
        <w:rPr>
          <w:rFonts w:cs="TimesNewRomanPS-BoldItalicMT"/>
          <w:bCs/>
          <w:iCs/>
          <w:color w:val="0000FF"/>
          <w:szCs w:val="20"/>
        </w:rPr>
      </w:pPr>
    </w:p>
    <w:p w14:paraId="7AFB934A" w14:textId="37ACD8D4" w:rsidR="00B45F2C" w:rsidRDefault="00531A22" w:rsidP="00B45F2C">
      <w:pPr>
        <w:pStyle w:val="Nagwek2"/>
      </w:pPr>
      <w:bookmarkStart w:id="1906" w:name="_Toc12533358"/>
      <w:r>
        <w:t>ROZDZIAŁ E</w:t>
      </w:r>
      <w:r w:rsidRPr="009E064B">
        <w:t xml:space="preserve"> — </w:t>
      </w:r>
      <w:r w:rsidRPr="00900AA5">
        <w:t>POWIERZCHNIE OGRANICZAJĄCE PRZESZKODY</w:t>
      </w:r>
      <w:r>
        <w:t xml:space="preserve"> I WYMAGANIA</w:t>
      </w:r>
      <w:bookmarkEnd w:id="1906"/>
    </w:p>
    <w:p w14:paraId="50194722" w14:textId="77777777" w:rsidR="00B45F2C" w:rsidRPr="00B45F2C" w:rsidRDefault="00B45F2C" w:rsidP="00B45F2C"/>
    <w:p w14:paraId="7D10B504" w14:textId="2755C4CB" w:rsidR="00B45F2C" w:rsidRPr="009E064B" w:rsidRDefault="00B45F2C" w:rsidP="00B45F2C">
      <w:pPr>
        <w:pStyle w:val="Nagwek4"/>
        <w:rPr>
          <w:color w:val="auto"/>
        </w:rPr>
      </w:pPr>
      <w:bookmarkStart w:id="1907" w:name="_Toc12533359"/>
      <w:r w:rsidRPr="00042D60">
        <w:rPr>
          <w:color w:val="auto"/>
        </w:rPr>
        <w:t>CS</w:t>
      </w:r>
      <w:r>
        <w:rPr>
          <w:color w:val="auto"/>
        </w:rPr>
        <w:t xml:space="preserve"> HPT-DSN.E.400</w:t>
      </w:r>
      <w:r w:rsidRPr="009E064B">
        <w:rPr>
          <w:b w:val="0"/>
          <w:bCs w:val="0"/>
          <w:color w:val="FFFFFF"/>
          <w:sz w:val="32"/>
          <w:szCs w:val="32"/>
        </w:rPr>
        <w:t xml:space="preserve">     </w:t>
      </w:r>
      <w:r w:rsidRPr="00B45F2C">
        <w:rPr>
          <w:color w:val="auto"/>
        </w:rPr>
        <w:t>Zastosowanie</w:t>
      </w:r>
      <w:bookmarkEnd w:id="1907"/>
    </w:p>
    <w:p w14:paraId="04FD59D6" w14:textId="0200917C" w:rsidR="00B45F2C" w:rsidRPr="009E064B" w:rsidRDefault="001F74A1" w:rsidP="00B45F2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04D5733" w14:textId="384060C9" w:rsidR="00453730" w:rsidRPr="00F136EC" w:rsidRDefault="00453730" w:rsidP="00453730">
      <w:pPr>
        <w:tabs>
          <w:tab w:val="left" w:pos="0"/>
        </w:tabs>
        <w:autoSpaceDE w:val="0"/>
        <w:autoSpaceDN w:val="0"/>
        <w:adjustRightInd w:val="0"/>
        <w:rPr>
          <w:rFonts w:cs="TimesNewRomanPS-BoldItalicMT"/>
          <w:bCs/>
          <w:iCs/>
          <w:szCs w:val="20"/>
        </w:rPr>
      </w:pPr>
      <w:r w:rsidRPr="00F136EC">
        <w:rPr>
          <w:rFonts w:cs="TimesNewRomanPS-BoldItalicMT"/>
          <w:bCs/>
          <w:iCs/>
          <w:szCs w:val="20"/>
        </w:rPr>
        <w:t>Celem powierzchni ograniczających przeszkody jest określenie przestrzeni powietrznej wokół lotnisk dla śmigłowców, aby umożliwić bezpieczne prowadzenie operacji śmigłowców</w:t>
      </w:r>
      <w:r w:rsidR="00734CE2" w:rsidRPr="00F136EC">
        <w:rPr>
          <w:rFonts w:cs="TimesNewRomanPS-BoldItalicMT"/>
          <w:bCs/>
          <w:iCs/>
          <w:szCs w:val="20"/>
        </w:rPr>
        <w:t xml:space="preserve"> dla których </w:t>
      </w:r>
      <w:r w:rsidR="00F136EC" w:rsidRPr="00F136EC">
        <w:rPr>
          <w:rFonts w:cs="TimesNewRomanPS-BoldItalicMT"/>
          <w:bCs/>
          <w:iCs/>
          <w:szCs w:val="20"/>
        </w:rPr>
        <w:t xml:space="preserve">lotniska te </w:t>
      </w:r>
      <w:r w:rsidR="00212CCF" w:rsidRPr="00F136EC">
        <w:rPr>
          <w:rFonts w:cs="TimesNewRomanPS-BoldItalicMT"/>
          <w:bCs/>
          <w:iCs/>
          <w:szCs w:val="20"/>
        </w:rPr>
        <w:t>są</w:t>
      </w:r>
      <w:r w:rsidR="00734CE2" w:rsidRPr="00F136EC">
        <w:rPr>
          <w:rFonts w:cs="TimesNewRomanPS-BoldItalicMT"/>
          <w:bCs/>
          <w:iCs/>
          <w:szCs w:val="20"/>
        </w:rPr>
        <w:t xml:space="preserve"> przeznaczone</w:t>
      </w:r>
      <w:r w:rsidRPr="00F136EC">
        <w:rPr>
          <w:rFonts w:cs="TimesNewRomanPS-BoldItalicMT"/>
          <w:bCs/>
          <w:iCs/>
          <w:szCs w:val="20"/>
        </w:rPr>
        <w:t>.</w:t>
      </w:r>
    </w:p>
    <w:p w14:paraId="344A4270" w14:textId="31380E8D" w:rsidR="00B45F2C" w:rsidRPr="009E064B" w:rsidRDefault="00B45F2C" w:rsidP="00133B99">
      <w:pPr>
        <w:pStyle w:val="Nagwek6"/>
      </w:pPr>
      <w:bookmarkStart w:id="1908" w:name="_Toc12533360"/>
      <w:r w:rsidRPr="009E064B">
        <w:t>GM1 HPT-DSN.</w:t>
      </w:r>
      <w:r>
        <w:t>E.400</w:t>
      </w:r>
      <w:r w:rsidRPr="009E064B">
        <w:t xml:space="preserve">     </w:t>
      </w:r>
      <w:r>
        <w:t>Zastosowanie</w:t>
      </w:r>
      <w:bookmarkEnd w:id="1908"/>
    </w:p>
    <w:p w14:paraId="1FE38AD9" w14:textId="50927E4E" w:rsidR="00B45F2C" w:rsidRPr="009E064B" w:rsidRDefault="001F74A1" w:rsidP="00B45F2C">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8B266A0" w14:textId="241D1116" w:rsidR="00F64242" w:rsidRPr="00F136EC" w:rsidRDefault="00734CE2" w:rsidP="00F64242">
      <w:pPr>
        <w:tabs>
          <w:tab w:val="left" w:pos="1134"/>
        </w:tabs>
        <w:autoSpaceDE w:val="0"/>
        <w:autoSpaceDN w:val="0"/>
        <w:adjustRightInd w:val="0"/>
        <w:spacing w:after="0"/>
        <w:rPr>
          <w:rFonts w:cs="TimesNewRomanPS-BoldItalicMT"/>
          <w:bCs/>
          <w:iCs/>
          <w:szCs w:val="20"/>
        </w:rPr>
      </w:pPr>
      <w:r w:rsidRPr="00F136EC">
        <w:rPr>
          <w:rFonts w:asciiTheme="minorHAnsi" w:eastAsia="Calibri" w:hAnsiTheme="minorHAnsi" w:cstheme="minorHAnsi"/>
        </w:rPr>
        <w:t>Celowo pozostawiono puste</w:t>
      </w:r>
    </w:p>
    <w:p w14:paraId="730249DD" w14:textId="0AB1B360" w:rsidR="00F64242" w:rsidRPr="009E064B" w:rsidRDefault="00B45F2C" w:rsidP="00F64242">
      <w:pPr>
        <w:pStyle w:val="Nagwek4"/>
        <w:rPr>
          <w:color w:val="auto"/>
        </w:rPr>
      </w:pPr>
      <w:bookmarkStart w:id="1909" w:name="_Toc12533361"/>
      <w:r w:rsidRPr="00042D60">
        <w:rPr>
          <w:color w:val="auto"/>
        </w:rPr>
        <w:t>CS</w:t>
      </w:r>
      <w:r>
        <w:rPr>
          <w:color w:val="auto"/>
        </w:rPr>
        <w:t xml:space="preserve"> HPT-DSN.E</w:t>
      </w:r>
      <w:r w:rsidR="00F64242">
        <w:rPr>
          <w:color w:val="auto"/>
        </w:rPr>
        <w:t>.</w:t>
      </w:r>
      <w:r>
        <w:rPr>
          <w:color w:val="auto"/>
        </w:rPr>
        <w:t>4</w:t>
      </w:r>
      <w:r w:rsidR="00F64242">
        <w:rPr>
          <w:color w:val="auto"/>
        </w:rPr>
        <w:t>10</w:t>
      </w:r>
      <w:r w:rsidR="00F64242" w:rsidRPr="009E064B">
        <w:rPr>
          <w:b w:val="0"/>
          <w:bCs w:val="0"/>
          <w:color w:val="FFFFFF"/>
          <w:sz w:val="32"/>
          <w:szCs w:val="32"/>
        </w:rPr>
        <w:t xml:space="preserve">     </w:t>
      </w:r>
      <w:r w:rsidRPr="00B45F2C">
        <w:rPr>
          <w:szCs w:val="20"/>
        </w:rPr>
        <w:t>Powierzchnia podejścia</w:t>
      </w:r>
      <w:bookmarkEnd w:id="1909"/>
      <w:r>
        <w:rPr>
          <w:b w:val="0"/>
          <w:bCs w:val="0"/>
          <w:color w:val="FFFFFF"/>
          <w:sz w:val="32"/>
          <w:szCs w:val="32"/>
        </w:rPr>
        <w:t xml:space="preserve"> </w:t>
      </w:r>
    </w:p>
    <w:p w14:paraId="39D89F98" w14:textId="0D4B923B"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4B62DBB" w14:textId="40809433" w:rsidR="00734CE2" w:rsidRPr="00E751D2" w:rsidRDefault="00F64242" w:rsidP="00734CE2">
      <w:pPr>
        <w:tabs>
          <w:tab w:val="left" w:pos="567"/>
        </w:tabs>
        <w:autoSpaceDE w:val="0"/>
        <w:autoSpaceDN w:val="0"/>
        <w:adjustRightInd w:val="0"/>
        <w:ind w:left="567" w:hanging="567"/>
        <w:rPr>
          <w:rFonts w:cs="TimesNewRomanPS-BoldItalicMT"/>
          <w:bCs/>
          <w:iCs/>
          <w:szCs w:val="20"/>
        </w:rPr>
      </w:pPr>
      <w:r w:rsidRPr="00E751D2">
        <w:rPr>
          <w:rFonts w:cs="TimesNewRomanPS-BoldItalicMT"/>
          <w:bCs/>
          <w:iCs/>
          <w:szCs w:val="20"/>
        </w:rPr>
        <w:t>(a)</w:t>
      </w:r>
      <w:r w:rsidRPr="00E751D2">
        <w:rPr>
          <w:rFonts w:cs="TimesNewRomanPS-BoldItalicMT"/>
          <w:bCs/>
          <w:iCs/>
          <w:szCs w:val="20"/>
        </w:rPr>
        <w:tab/>
      </w:r>
      <w:r w:rsidR="00734CE2" w:rsidRPr="00E751D2">
        <w:rPr>
          <w:rFonts w:cs="TimesNewRomanPS-BoldItalicMT"/>
          <w:bCs/>
          <w:iCs/>
          <w:szCs w:val="20"/>
        </w:rPr>
        <w:t xml:space="preserve">Zastosowanie: Celem powierzchni podejścia jest ochrona śmigłowca podczas końcowego podejścia do </w:t>
      </w:r>
      <w:r w:rsidR="00212CCF" w:rsidRPr="00E751D2">
        <w:rPr>
          <w:rFonts w:cs="TimesNewRomanPS-BoldItalicMT"/>
          <w:bCs/>
          <w:iCs/>
          <w:szCs w:val="20"/>
        </w:rPr>
        <w:t xml:space="preserve">strefy </w:t>
      </w:r>
      <w:r w:rsidR="00734CE2" w:rsidRPr="00E751D2">
        <w:rPr>
          <w:rFonts w:cs="TimesNewRomanPS-BoldItalicMT"/>
          <w:bCs/>
          <w:iCs/>
          <w:szCs w:val="20"/>
        </w:rPr>
        <w:t>FATO poprzez określenie obszaru, który powinien być wolny od przeszkód, aby chronić śmigłowiec w końcowej fazie podejścia do manewru lądow</w:t>
      </w:r>
      <w:r w:rsidR="00C5392F" w:rsidRPr="00E751D2">
        <w:rPr>
          <w:rFonts w:cs="TimesNewRomanPS-BoldItalicMT"/>
          <w:bCs/>
          <w:iCs/>
          <w:szCs w:val="20"/>
        </w:rPr>
        <w:t>ania.</w:t>
      </w:r>
    </w:p>
    <w:p w14:paraId="15EF3464" w14:textId="6D4B6A41" w:rsidR="00F64242" w:rsidRPr="00E751D2" w:rsidRDefault="00C5392F" w:rsidP="00C5392F">
      <w:pPr>
        <w:tabs>
          <w:tab w:val="left" w:pos="567"/>
        </w:tabs>
        <w:autoSpaceDE w:val="0"/>
        <w:autoSpaceDN w:val="0"/>
        <w:adjustRightInd w:val="0"/>
        <w:ind w:left="567" w:hanging="567"/>
        <w:rPr>
          <w:rFonts w:cs="TimesNewRomanPS-BoldItalicMT"/>
          <w:bCs/>
          <w:iCs/>
          <w:szCs w:val="20"/>
        </w:rPr>
      </w:pPr>
      <w:r w:rsidRPr="00E751D2">
        <w:rPr>
          <w:rFonts w:cs="TimesNewRomanPS-BoldItalicMT"/>
          <w:bCs/>
          <w:iCs/>
          <w:szCs w:val="20"/>
        </w:rPr>
        <w:t xml:space="preserve">(b) </w:t>
      </w:r>
      <w:r w:rsidRPr="00E751D2">
        <w:rPr>
          <w:rFonts w:cs="TimesNewRomanPS-BoldItalicMT"/>
          <w:bCs/>
          <w:iCs/>
          <w:szCs w:val="20"/>
        </w:rPr>
        <w:tab/>
        <w:t>Opis: P</w:t>
      </w:r>
      <w:r w:rsidRPr="00E751D2">
        <w:rPr>
          <w:rFonts w:cs="TimesNewRomanPS-BoldItalicMT"/>
          <w:bCs/>
          <w:iCs/>
        </w:rPr>
        <w:t>łaszczyzna nachylona</w:t>
      </w:r>
      <w:r w:rsidRPr="00E751D2">
        <w:rPr>
          <w:rFonts w:cs="TimesNewRomanPS-BoldItalicMT"/>
          <w:bCs/>
          <w:iCs/>
          <w:szCs w:val="20"/>
        </w:rPr>
        <w:t xml:space="preserve"> lub układ płaszczyzn lub w przypadku, gdy </w:t>
      </w:r>
      <w:r w:rsidR="00EF0251">
        <w:rPr>
          <w:rFonts w:cs="TimesNewRomanPS-BoldItalicMT"/>
          <w:bCs/>
          <w:iCs/>
          <w:szCs w:val="20"/>
        </w:rPr>
        <w:t>obejmuje zakręt</w:t>
      </w:r>
      <w:r w:rsidRPr="00E751D2">
        <w:rPr>
          <w:rFonts w:cs="TimesNewRomanPS-BoldItalicMT"/>
          <w:bCs/>
          <w:iCs/>
          <w:szCs w:val="20"/>
        </w:rPr>
        <w:t>, powierzchnia złożona nachylona ku górze od końca strefy bezpieczeństwa, wyśrodkowana na linii przechodzącej przez środek strefy FATO (patrz Rysunek E-1, E-2, E-3 i E-4 oraz Tabela E-1).</w:t>
      </w:r>
    </w:p>
    <w:p w14:paraId="6A747B60" w14:textId="77777777" w:rsidR="00C5392F" w:rsidRPr="00E751D2" w:rsidRDefault="00C5392F" w:rsidP="00C5392F">
      <w:pPr>
        <w:tabs>
          <w:tab w:val="left" w:pos="567"/>
        </w:tabs>
        <w:autoSpaceDE w:val="0"/>
        <w:autoSpaceDN w:val="0"/>
        <w:adjustRightInd w:val="0"/>
        <w:ind w:left="567" w:hanging="567"/>
        <w:rPr>
          <w:rFonts w:cs="TimesNewRomanPS-BoldItalicMT"/>
          <w:bCs/>
        </w:rPr>
      </w:pPr>
      <w:r w:rsidRPr="00E751D2">
        <w:rPr>
          <w:rFonts w:cs="TimesNewRomanPS-BoldItalicMT"/>
          <w:bCs/>
        </w:rPr>
        <w:t xml:space="preserve">(c) </w:t>
      </w:r>
      <w:r w:rsidRPr="00E751D2">
        <w:rPr>
          <w:rFonts w:cs="TimesNewRomanPS-BoldItalicMT"/>
          <w:bCs/>
        </w:rPr>
        <w:tab/>
        <w:t>Charakterystyka:</w:t>
      </w:r>
    </w:p>
    <w:p w14:paraId="28508BF3" w14:textId="3F835AC0" w:rsidR="00C5392F" w:rsidRPr="00E751D2" w:rsidRDefault="00C5392F" w:rsidP="00C5392F">
      <w:pPr>
        <w:tabs>
          <w:tab w:val="left" w:pos="1134"/>
        </w:tabs>
        <w:autoSpaceDE w:val="0"/>
        <w:autoSpaceDN w:val="0"/>
        <w:adjustRightInd w:val="0"/>
        <w:ind w:left="1134" w:hanging="567"/>
        <w:rPr>
          <w:rFonts w:cs="TimesNewRomanPS-BoldItalicMT"/>
          <w:bCs/>
        </w:rPr>
      </w:pPr>
      <w:r w:rsidRPr="00E751D2">
        <w:rPr>
          <w:rFonts w:cs="TimesNewRomanPS-BoldItalicMT"/>
          <w:bCs/>
          <w:iCs/>
          <w:szCs w:val="20"/>
        </w:rPr>
        <w:t xml:space="preserve">(1) </w:t>
      </w:r>
      <w:r w:rsidRPr="00E751D2">
        <w:rPr>
          <w:rFonts w:cs="TimesNewRomanPS-BoldItalicMT"/>
          <w:bCs/>
          <w:iCs/>
          <w:szCs w:val="20"/>
        </w:rPr>
        <w:tab/>
        <w:t xml:space="preserve">Granice powierzchni podejścia </w:t>
      </w:r>
      <w:r w:rsidR="00EF0251">
        <w:rPr>
          <w:rFonts w:cs="TimesNewRomanPS-BoldItalicMT"/>
          <w:bCs/>
          <w:iCs/>
          <w:szCs w:val="20"/>
        </w:rPr>
        <w:t>stanowi</w:t>
      </w:r>
      <w:r w:rsidRPr="00E751D2">
        <w:rPr>
          <w:rFonts w:cs="TimesNewRomanPS-BoldItalicMT"/>
          <w:bCs/>
          <w:iCs/>
          <w:szCs w:val="20"/>
        </w:rPr>
        <w:t>:</w:t>
      </w:r>
    </w:p>
    <w:p w14:paraId="3515C25E" w14:textId="0826C0F9" w:rsidR="00C5392F" w:rsidRPr="00E751D2" w:rsidRDefault="00C5392F" w:rsidP="00C5392F">
      <w:pPr>
        <w:tabs>
          <w:tab w:val="left" w:pos="1701"/>
        </w:tabs>
        <w:autoSpaceDE w:val="0"/>
        <w:autoSpaceDN w:val="0"/>
        <w:adjustRightInd w:val="0"/>
        <w:ind w:left="1701" w:hanging="567"/>
        <w:rPr>
          <w:rFonts w:cs="TimesNewRomanPS-BoldItalicMT"/>
          <w:bCs/>
          <w:iCs/>
          <w:szCs w:val="20"/>
        </w:rPr>
      </w:pPr>
      <w:r w:rsidRPr="00E751D2">
        <w:rPr>
          <w:rFonts w:cs="TimesNewRomanPS-BoldItalicMT"/>
          <w:bCs/>
          <w:iCs/>
          <w:szCs w:val="20"/>
        </w:rPr>
        <w:t>(i</w:t>
      </w:r>
      <w:r w:rsidR="00F136EC" w:rsidRPr="00E751D2">
        <w:rPr>
          <w:rFonts w:cs="TimesNewRomanPS-BoldItalicMT"/>
          <w:bCs/>
          <w:iCs/>
          <w:szCs w:val="20"/>
        </w:rPr>
        <w:t xml:space="preserve">) </w:t>
      </w:r>
      <w:r w:rsidR="00F136EC" w:rsidRPr="00E751D2">
        <w:rPr>
          <w:rFonts w:cs="TimesNewRomanPS-BoldItalicMT"/>
          <w:bCs/>
          <w:iCs/>
          <w:szCs w:val="20"/>
        </w:rPr>
        <w:tab/>
        <w:t>krawędź wewnętrzna</w:t>
      </w:r>
      <w:r w:rsidRPr="00E751D2">
        <w:rPr>
          <w:rFonts w:cs="TimesNewRomanPS-BoldItalicMT"/>
          <w:bCs/>
          <w:iCs/>
          <w:szCs w:val="20"/>
        </w:rPr>
        <w:t xml:space="preserve"> pozioma i równa długości minimalnej szerokości / średnicy strefy FATO plus strefa bezpieczeństwa, prostopadła do linii środkowej powierzchni podejścia i zlokalizowana na zewnętrznej krawędzi strefy bezpieczeństwa;</w:t>
      </w:r>
    </w:p>
    <w:p w14:paraId="1ECE68DE" w14:textId="48869761" w:rsidR="00C5392F" w:rsidRPr="00E751D2" w:rsidRDefault="00C5392F" w:rsidP="00C5392F">
      <w:pPr>
        <w:tabs>
          <w:tab w:val="left" w:pos="1701"/>
        </w:tabs>
        <w:autoSpaceDE w:val="0"/>
        <w:autoSpaceDN w:val="0"/>
        <w:adjustRightInd w:val="0"/>
        <w:ind w:left="1701" w:hanging="567"/>
        <w:rPr>
          <w:rFonts w:cs="TimesNewRomanPS-BoldItalicMT"/>
          <w:bCs/>
          <w:iCs/>
          <w:szCs w:val="20"/>
        </w:rPr>
      </w:pPr>
      <w:r w:rsidRPr="00E751D2">
        <w:rPr>
          <w:rFonts w:cs="TimesNewRomanPS-BoldItalicMT"/>
          <w:bCs/>
          <w:iCs/>
          <w:szCs w:val="20"/>
        </w:rPr>
        <w:t xml:space="preserve">(ii) </w:t>
      </w:r>
      <w:r w:rsidRPr="00E751D2">
        <w:rPr>
          <w:rFonts w:cs="TimesNewRomanPS-BoldItalicMT"/>
          <w:bCs/>
          <w:iCs/>
          <w:szCs w:val="20"/>
        </w:rPr>
        <w:tab/>
        <w:t>dwie krawędzie boczne wychodzące z końców krawędzi wewnętrznej, rozchodzące się jednolicie pod określonym kątem od płaszczyzny pionowej zawierającej linię środkową strefy FATO; oraz</w:t>
      </w:r>
    </w:p>
    <w:p w14:paraId="6F99C285" w14:textId="45D5589C" w:rsidR="00C5392F" w:rsidRPr="00E751D2" w:rsidRDefault="00C5392F" w:rsidP="00C5392F">
      <w:pPr>
        <w:tabs>
          <w:tab w:val="left" w:pos="1701"/>
        </w:tabs>
        <w:autoSpaceDE w:val="0"/>
        <w:autoSpaceDN w:val="0"/>
        <w:adjustRightInd w:val="0"/>
        <w:ind w:left="1701" w:hanging="567"/>
        <w:rPr>
          <w:rFonts w:cs="TimesNewRomanPS-BoldItalicMT"/>
          <w:bCs/>
          <w:iCs/>
          <w:szCs w:val="20"/>
        </w:rPr>
      </w:pPr>
      <w:r w:rsidRPr="00E751D2">
        <w:rPr>
          <w:rFonts w:cs="TimesNewRomanPS-BoldItalicMT"/>
          <w:bCs/>
          <w:iCs/>
          <w:szCs w:val="20"/>
        </w:rPr>
        <w:t>(iii)</w:t>
      </w:r>
      <w:r w:rsidRPr="00E751D2">
        <w:rPr>
          <w:rFonts w:cs="TimesNewRomanPS-BoldItalicMT"/>
          <w:bCs/>
          <w:iCs/>
          <w:szCs w:val="20"/>
        </w:rPr>
        <w:tab/>
        <w:t xml:space="preserve">krawędź zewnętrzna, pozioma i prostopadła do linii środkowej powierzchni podejścia, znajdująca się na określonej wysokości </w:t>
      </w:r>
      <w:r w:rsidRPr="00E751D2">
        <w:rPr>
          <w:rFonts w:cs="TimesNewRomanPS-BoldItalicMT"/>
          <w:bCs/>
          <w:iCs/>
          <w:szCs w:val="20"/>
        </w:rPr>
        <w:sym w:font="Symbol" w:char="F02D"/>
      </w:r>
      <w:r w:rsidRPr="00E751D2">
        <w:rPr>
          <w:rFonts w:cs="TimesNewRomanPS-BoldItalicMT"/>
          <w:bCs/>
          <w:iCs/>
          <w:szCs w:val="20"/>
        </w:rPr>
        <w:t xml:space="preserve"> 152 m (500 ft) nad wysokością strefy FATO.</w:t>
      </w:r>
    </w:p>
    <w:p w14:paraId="78C85928" w14:textId="2234EB84" w:rsidR="00C5392F" w:rsidRPr="00E751D2" w:rsidRDefault="00C5392F" w:rsidP="00C5392F">
      <w:pPr>
        <w:tabs>
          <w:tab w:val="left" w:pos="1134"/>
        </w:tabs>
        <w:autoSpaceDE w:val="0"/>
        <w:autoSpaceDN w:val="0"/>
        <w:adjustRightInd w:val="0"/>
        <w:ind w:left="1134" w:hanging="567"/>
        <w:rPr>
          <w:rFonts w:cs="TimesNewRomanPS-BoldItalicMT"/>
          <w:bCs/>
          <w:iCs/>
          <w:szCs w:val="20"/>
        </w:rPr>
      </w:pPr>
      <w:r w:rsidRPr="00E751D2">
        <w:rPr>
          <w:rFonts w:cs="TimesNewRomanPS-BoldItalicMT"/>
          <w:bCs/>
          <w:iCs/>
          <w:szCs w:val="20"/>
        </w:rPr>
        <w:t xml:space="preserve">(2) </w:t>
      </w:r>
      <w:r w:rsidRPr="00E751D2">
        <w:rPr>
          <w:rFonts w:cs="TimesNewRomanPS-BoldItalicMT"/>
          <w:bCs/>
          <w:iCs/>
          <w:szCs w:val="20"/>
        </w:rPr>
        <w:tab/>
        <w:t>Wysokość krawędzi wewnętrznej powinna być wysokością strefy FATO w punkcie leżącym na krawędzi wewnętrznej w miejscu jej przecięcia z linią środkową powierzchni podejścia. W przypadku lotnisk dla śmigłowców przeznaczonych do wykorzystania przez śmigłowce w 1 klasie osiągów, płaszczyzna nachylona</w:t>
      </w:r>
      <w:r w:rsidR="00E751D2" w:rsidRPr="00E751D2">
        <w:rPr>
          <w:rFonts w:cs="TimesNewRomanPS-BoldItalicMT"/>
          <w:bCs/>
          <w:iCs/>
          <w:szCs w:val="20"/>
        </w:rPr>
        <w:t xml:space="preserve"> może zostać podniesiona</w:t>
      </w:r>
      <w:r w:rsidRPr="00E751D2">
        <w:rPr>
          <w:rFonts w:cs="TimesNewRomanPS-BoldItalicMT"/>
          <w:bCs/>
          <w:iCs/>
          <w:szCs w:val="20"/>
        </w:rPr>
        <w:t xml:space="preserve"> bezpośrednio nad strefę FATO.</w:t>
      </w:r>
    </w:p>
    <w:p w14:paraId="391142A7" w14:textId="678C48C3" w:rsidR="00C5392F" w:rsidRPr="001C51C1" w:rsidRDefault="00C5392F" w:rsidP="00C5392F">
      <w:pPr>
        <w:tabs>
          <w:tab w:val="left" w:pos="1134"/>
        </w:tabs>
        <w:autoSpaceDE w:val="0"/>
        <w:autoSpaceDN w:val="0"/>
        <w:adjustRightInd w:val="0"/>
        <w:ind w:left="1134" w:hanging="567"/>
        <w:rPr>
          <w:rFonts w:cs="TimesNewRomanPS-BoldItalicMT"/>
          <w:bCs/>
          <w:iCs/>
          <w:color w:val="000000" w:themeColor="text1"/>
          <w:szCs w:val="20"/>
        </w:rPr>
      </w:pPr>
      <w:r w:rsidRPr="00E751D2">
        <w:rPr>
          <w:rFonts w:cs="TimesNewRomanPS-BoldItalicMT"/>
          <w:bCs/>
          <w:iCs/>
          <w:szCs w:val="20"/>
        </w:rPr>
        <w:t xml:space="preserve">(3) </w:t>
      </w:r>
      <w:r w:rsidRPr="00E751D2">
        <w:rPr>
          <w:rFonts w:cs="TimesNewRomanPS-BoldItalicMT"/>
          <w:bCs/>
          <w:iCs/>
          <w:szCs w:val="20"/>
        </w:rPr>
        <w:tab/>
        <w:t xml:space="preserve">Nachylenie (nachylenia) powierzchni podejścia powinno </w:t>
      </w:r>
      <w:r w:rsidRPr="001C51C1">
        <w:rPr>
          <w:rFonts w:cs="TimesNewRomanPS-BoldItalicMT"/>
          <w:bCs/>
          <w:iCs/>
          <w:color w:val="000000" w:themeColor="text1"/>
          <w:szCs w:val="20"/>
        </w:rPr>
        <w:t>być mierzone w płaszczyźnie pionowej przechodzącej przez linię środkową tej powierzchni.</w:t>
      </w:r>
    </w:p>
    <w:p w14:paraId="5DD1A848" w14:textId="3FA040A8" w:rsidR="00C5392F" w:rsidRPr="00E751D2" w:rsidRDefault="00C5392F" w:rsidP="00C5392F">
      <w:pPr>
        <w:tabs>
          <w:tab w:val="left" w:pos="1134"/>
        </w:tabs>
        <w:autoSpaceDE w:val="0"/>
        <w:autoSpaceDN w:val="0"/>
        <w:adjustRightInd w:val="0"/>
        <w:ind w:left="1134" w:hanging="567"/>
        <w:rPr>
          <w:rStyle w:val="FontStyle221"/>
          <w:i/>
        </w:rPr>
      </w:pPr>
      <w:r w:rsidRPr="00E751D2">
        <w:rPr>
          <w:rFonts w:cs="TimesNewRomanPS-BoldItalicMT"/>
          <w:bCs/>
          <w:iCs/>
        </w:rPr>
        <w:t xml:space="preserve">(4) </w:t>
      </w:r>
      <w:r w:rsidRPr="00E751D2">
        <w:rPr>
          <w:rFonts w:cs="TimesNewRomanPS-BoldItalicMT"/>
          <w:bCs/>
          <w:iCs/>
        </w:rPr>
        <w:tab/>
        <w:t xml:space="preserve">W przypadku, gdy powierzchnia podejścia obejmuje </w:t>
      </w:r>
      <w:r w:rsidR="00EF0251">
        <w:rPr>
          <w:rFonts w:cs="TimesNewRomanPS-BoldItalicMT"/>
          <w:bCs/>
          <w:iCs/>
        </w:rPr>
        <w:t>zakręt</w:t>
      </w:r>
      <w:r w:rsidRPr="00E751D2">
        <w:rPr>
          <w:rFonts w:cs="TimesNewRomanPS-BoldItalicMT"/>
          <w:bCs/>
          <w:iCs/>
        </w:rPr>
        <w:t>, to powierzchnia ta powinna być powierzchnią złożoną, zawierającą powierzchnie poziome prostopadłe do jej linii środkowej, a nachylenie tej linii środkowej powinno być takie samo jak dla prostej powierzchni podejścia (patrz Rysunek E-3).</w:t>
      </w:r>
    </w:p>
    <w:p w14:paraId="4F31B9EE" w14:textId="73D46DAA" w:rsidR="00C5392F" w:rsidRPr="00E751D2" w:rsidRDefault="00C5392F" w:rsidP="00C5392F">
      <w:pPr>
        <w:tabs>
          <w:tab w:val="left" w:pos="1134"/>
        </w:tabs>
        <w:autoSpaceDE w:val="0"/>
        <w:autoSpaceDN w:val="0"/>
        <w:adjustRightInd w:val="0"/>
        <w:ind w:left="1134" w:hanging="567"/>
        <w:rPr>
          <w:rFonts w:cs="TimesNewRomanPS-BoldItalicMT"/>
          <w:bCs/>
          <w:iCs/>
        </w:rPr>
      </w:pPr>
      <w:r w:rsidRPr="00E751D2">
        <w:rPr>
          <w:rFonts w:cs="TimesNewRomanPS-BoldItalicMT"/>
          <w:bCs/>
          <w:iCs/>
        </w:rPr>
        <w:t xml:space="preserve">(5) </w:t>
      </w:r>
      <w:r w:rsidRPr="00E751D2">
        <w:rPr>
          <w:rFonts w:cs="TimesNewRomanPS-BoldItalicMT"/>
          <w:bCs/>
          <w:iCs/>
        </w:rPr>
        <w:tab/>
        <w:t xml:space="preserve">W przypadku, gdy powierzchnia podejścia obejmuje </w:t>
      </w:r>
      <w:r w:rsidR="00EF0251">
        <w:rPr>
          <w:rFonts w:cs="TimesNewRomanPS-BoldItalicMT"/>
          <w:bCs/>
          <w:iCs/>
        </w:rPr>
        <w:t>zakręt</w:t>
      </w:r>
      <w:r w:rsidRPr="00E751D2">
        <w:rPr>
          <w:rFonts w:cs="TimesNewRomanPS-BoldItalicMT"/>
          <w:bCs/>
          <w:iCs/>
        </w:rPr>
        <w:t>, to powierzchnia ta nie powinna zawierać więcej niż jedną część zakrzywioną.</w:t>
      </w:r>
    </w:p>
    <w:p w14:paraId="41B6CF41" w14:textId="5D5CF9DF" w:rsidR="00C5392F" w:rsidRPr="00E751D2" w:rsidRDefault="00C5392F" w:rsidP="00C5392F">
      <w:pPr>
        <w:tabs>
          <w:tab w:val="left" w:pos="1134"/>
        </w:tabs>
        <w:autoSpaceDE w:val="0"/>
        <w:autoSpaceDN w:val="0"/>
        <w:adjustRightInd w:val="0"/>
        <w:ind w:left="1134" w:hanging="567"/>
        <w:rPr>
          <w:rFonts w:cs="TimesNewRomanPS-BoldItalicMT"/>
          <w:bCs/>
          <w:iCs/>
        </w:rPr>
      </w:pPr>
      <w:r w:rsidRPr="00E751D2">
        <w:rPr>
          <w:rFonts w:cs="TimesNewRomanPS-BoldItalicMT"/>
          <w:bCs/>
          <w:iCs/>
        </w:rPr>
        <w:t xml:space="preserve">(6) </w:t>
      </w:r>
      <w:r w:rsidRPr="00E751D2">
        <w:rPr>
          <w:rFonts w:cs="TimesNewRomanPS-BoldItalicMT"/>
          <w:bCs/>
          <w:iCs/>
        </w:rPr>
        <w:tab/>
        <w:t>Jeżeli powierzchni podejścia posiada część zakrzywioną, to suma promienia łuku określającego linię środkową powierzchni podejścia oraz długości części prostej mającej początek przy krawędzi wewnętrznej nie powinna być mniejsza niż 575 m.</w:t>
      </w:r>
    </w:p>
    <w:p w14:paraId="1D39CAC1" w14:textId="3FC1FB96" w:rsidR="00C5392F" w:rsidRPr="00E751D2" w:rsidRDefault="00C5392F" w:rsidP="00C5392F">
      <w:pPr>
        <w:tabs>
          <w:tab w:val="left" w:pos="1134"/>
        </w:tabs>
        <w:autoSpaceDE w:val="0"/>
        <w:autoSpaceDN w:val="0"/>
        <w:adjustRightInd w:val="0"/>
        <w:ind w:left="1134" w:hanging="567"/>
        <w:rPr>
          <w:rFonts w:cs="TimesNewRomanPS-BoldItalicMT"/>
          <w:bCs/>
          <w:iCs/>
        </w:rPr>
      </w:pPr>
      <w:r w:rsidRPr="00E751D2">
        <w:rPr>
          <w:rFonts w:cs="TimesNewRomanPS-BoldItalicMT"/>
          <w:bCs/>
          <w:iCs/>
        </w:rPr>
        <w:t xml:space="preserve">(7) </w:t>
      </w:r>
      <w:r w:rsidRPr="00E751D2">
        <w:rPr>
          <w:rFonts w:cs="TimesNewRomanPS-BoldItalicMT"/>
          <w:bCs/>
          <w:iCs/>
        </w:rPr>
        <w:tab/>
        <w:t>Wszelkie zmiany kierunku linii środkowej powierzchni podejścia powinny być projektowane w</w:t>
      </w:r>
      <w:r w:rsidR="002B6703" w:rsidRPr="00E751D2">
        <w:rPr>
          <w:rFonts w:cs="TimesNewRomanPS-BoldItalicMT"/>
          <w:bCs/>
          <w:iCs/>
        </w:rPr>
        <w:t xml:space="preserve"> </w:t>
      </w:r>
      <w:r w:rsidRPr="00E751D2">
        <w:rPr>
          <w:rFonts w:cs="TimesNewRomanPS-BoldItalicMT"/>
          <w:bCs/>
          <w:iCs/>
        </w:rPr>
        <w:t xml:space="preserve">taki sposób, aby nie powodowało to konieczności wykonywania </w:t>
      </w:r>
      <w:r w:rsidR="00E751D2" w:rsidRPr="00E751D2">
        <w:rPr>
          <w:rFonts w:cs="TimesNewRomanPS-BoldItalicMT"/>
          <w:bCs/>
          <w:iCs/>
        </w:rPr>
        <w:t>obrotów</w:t>
      </w:r>
      <w:r w:rsidR="002B6703" w:rsidRPr="00E751D2">
        <w:rPr>
          <w:rFonts w:cs="TimesNewRomanPS-BoldItalicMT"/>
          <w:bCs/>
          <w:iCs/>
        </w:rPr>
        <w:t xml:space="preserve"> </w:t>
      </w:r>
      <w:r w:rsidRPr="00E751D2">
        <w:rPr>
          <w:rFonts w:cs="TimesNewRomanPS-BoldItalicMT"/>
          <w:bCs/>
          <w:iCs/>
        </w:rPr>
        <w:t>o promieniu mniejszym niż 270 m.</w:t>
      </w:r>
    </w:p>
    <w:p w14:paraId="1ADC7BB5" w14:textId="1F581007" w:rsidR="002B6703" w:rsidRPr="00E751D2" w:rsidRDefault="002B6703" w:rsidP="002B6703">
      <w:pPr>
        <w:tabs>
          <w:tab w:val="left" w:pos="0"/>
        </w:tabs>
        <w:autoSpaceDE w:val="0"/>
        <w:autoSpaceDN w:val="0"/>
        <w:adjustRightInd w:val="0"/>
        <w:rPr>
          <w:rFonts w:cs="TimesNewRomanPS-BoldItalicMT"/>
          <w:bCs/>
          <w:iCs/>
        </w:rPr>
      </w:pPr>
    </w:p>
    <w:p w14:paraId="021D6B08" w14:textId="677F7589" w:rsidR="002B6703" w:rsidRDefault="002B6703" w:rsidP="00E97240">
      <w:pPr>
        <w:pStyle w:val="Default"/>
        <w:jc w:val="right"/>
      </w:pPr>
      <w:r w:rsidRPr="00900AA5">
        <w:rPr>
          <w:b/>
          <w:bCs/>
          <w:noProof/>
          <w:color w:val="auto"/>
          <w:sz w:val="20"/>
          <w:szCs w:val="20"/>
          <w:lang w:eastAsia="pl-PL"/>
        </w:rPr>
        <mc:AlternateContent>
          <mc:Choice Requires="wps">
            <w:drawing>
              <wp:anchor distT="0" distB="0" distL="114300" distR="114300" simplePos="0" relativeHeight="251689472" behindDoc="0" locked="0" layoutInCell="1" allowOverlap="1" wp14:anchorId="748C6CA7" wp14:editId="10B5AA25">
                <wp:simplePos x="0" y="0"/>
                <wp:positionH relativeFrom="column">
                  <wp:posOffset>-1656715</wp:posOffset>
                </wp:positionH>
                <wp:positionV relativeFrom="paragraph">
                  <wp:posOffset>-1296670</wp:posOffset>
                </wp:positionV>
                <wp:extent cx="3187700" cy="877570"/>
                <wp:effectExtent l="635" t="4445" r="2540" b="3810"/>
                <wp:wrapNone/>
                <wp:docPr id="110" name="AutoShape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87700" cy="87757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0">
                              <a:solidFill>
                                <a:srgbClr val="000000"/>
                              </a:solidFill>
                              <a:round/>
                              <a:headEnd/>
                              <a:tailEnd/>
                            </a14:hiddenLine>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D18D0F2" id="AutoShape 979" o:spid="_x0000_s1026" type="#_x0000_t32" style="position:absolute;margin-left:-130.45pt;margin-top:-102.1pt;width:251pt;height:69.1pt;flip:x 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" stroked="f" strokeweight="0"/>
            </w:pict>
          </mc:Fallback>
        </mc:AlternateContent>
      </w:r>
      <w:r w:rsidR="00367104">
        <w:rPr>
          <w:noProof/>
          <w:lang w:eastAsia="pl-PL"/>
        </w:rPr>
        <mc:AlternateContent>
          <mc:Choice Requires="wpc">
            <w:drawing>
              <wp:inline distT="0" distB="0" distL="0" distR="0" wp14:anchorId="7C0A8F8F" wp14:editId="751BF799">
                <wp:extent cx="5760000" cy="4474800"/>
                <wp:effectExtent l="0" t="0" r="12700" b="21590"/>
                <wp:docPr id="1472" name="Kanwa 14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solidFill>
                            <a:schemeClr val="tx1"/>
                          </a:solidFill>
                        </a:ln>
                      </wpc:whole>
                      <wpg:wgp>
                        <wpg:cNvPr id="150" name="Grupa 150"/>
                        <wpg:cNvGrpSpPr/>
                        <wpg:grpSpPr>
                          <a:xfrm>
                            <a:off x="180000" y="309630"/>
                            <a:ext cx="5423535" cy="4014625"/>
                            <a:chOff x="180000" y="309630"/>
                            <a:chExt cx="5423535" cy="4014625"/>
                          </a:xfrm>
                        </wpg:grpSpPr>
                        <wpg:grpSp>
                          <wpg:cNvPr id="143" name="Grupa 143"/>
                          <wpg:cNvGrpSpPr/>
                          <wpg:grpSpPr>
                            <a:xfrm>
                              <a:off x="180000" y="309630"/>
                              <a:ext cx="5423535" cy="2825774"/>
                              <a:chOff x="180000" y="418812"/>
                              <a:chExt cx="5423535" cy="2825774"/>
                            </a:xfrm>
                          </wpg:grpSpPr>
                          <wpg:grpSp>
                            <wpg:cNvPr id="142" name="Grupa 142"/>
                            <wpg:cNvGrpSpPr/>
                            <wpg:grpSpPr>
                              <a:xfrm>
                                <a:off x="180000" y="418812"/>
                                <a:ext cx="5423535" cy="2825774"/>
                                <a:chOff x="180000" y="418812"/>
                                <a:chExt cx="5423535" cy="2825774"/>
                              </a:xfrm>
                            </wpg:grpSpPr>
                            <wpg:grpSp>
                              <wpg:cNvPr id="135" name="Grupa 135"/>
                              <wpg:cNvGrpSpPr/>
                              <wpg:grpSpPr>
                                <a:xfrm>
                                  <a:off x="180000" y="418812"/>
                                  <a:ext cx="5423535" cy="2825774"/>
                                  <a:chOff x="180000" y="418812"/>
                                  <a:chExt cx="5423535" cy="2825774"/>
                                </a:xfrm>
                              </wpg:grpSpPr>
                              <wpg:grpSp>
                                <wpg:cNvPr id="134" name="Grupa 134"/>
                                <wpg:cNvGrpSpPr/>
                                <wpg:grpSpPr>
                                  <a:xfrm>
                                    <a:off x="180000" y="418812"/>
                                    <a:ext cx="5423535" cy="2825774"/>
                                    <a:chOff x="180000" y="418812"/>
                                    <a:chExt cx="5423535" cy="2825774"/>
                                  </a:xfrm>
                                </wpg:grpSpPr>
                                <wpg:grpSp>
                                  <wpg:cNvPr id="133" name="Grupa 133"/>
                                  <wpg:cNvGrpSpPr/>
                                  <wpg:grpSpPr>
                                    <a:xfrm>
                                      <a:off x="180000" y="418812"/>
                                      <a:ext cx="5423535" cy="2825774"/>
                                      <a:chOff x="180000" y="418812"/>
                                      <a:chExt cx="5423535" cy="2825774"/>
                                    </a:xfrm>
                                  </wpg:grpSpPr>
                                  <wpg:grpSp>
                                    <wpg:cNvPr id="1526" name="Grupa 1526"/>
                                    <wpg:cNvGrpSpPr/>
                                    <wpg:grpSpPr>
                                      <a:xfrm>
                                        <a:off x="180000" y="418836"/>
                                        <a:ext cx="5423535" cy="2825750"/>
                                        <a:chOff x="180000" y="418836"/>
                                        <a:chExt cx="5423535" cy="2825750"/>
                                      </a:xfrm>
                                    </wpg:grpSpPr>
                                    <wpg:grpSp>
                                      <wpg:cNvPr id="524" name="Grupa 524"/>
                                      <wpg:cNvGrpSpPr/>
                                      <wpg:grpSpPr>
                                        <a:xfrm>
                                          <a:off x="180000" y="418836"/>
                                          <a:ext cx="5423535" cy="2825750"/>
                                          <a:chOff x="0" y="0"/>
                                          <a:chExt cx="5424991" cy="2827331"/>
                                        </a:xfrm>
                                      </wpg:grpSpPr>
                                      <wpg:grpSp>
                                        <wpg:cNvPr id="525" name="Grupa 525"/>
                                        <wpg:cNvGrpSpPr/>
                                        <wpg:grpSpPr>
                                          <a:xfrm>
                                            <a:off x="0" y="0"/>
                                            <a:ext cx="5424991" cy="2827331"/>
                                            <a:chOff x="0" y="0"/>
                                            <a:chExt cx="5424991" cy="2827331"/>
                                          </a:xfrm>
                                        </wpg:grpSpPr>
                                        <pic:pic xmlns:pic="http://schemas.openxmlformats.org/drawingml/2006/picture">
                                          <pic:nvPicPr>
                                            <pic:cNvPr id="527" name="Picture 15"/>
                                            <pic:cNvPicPr preferRelativeResize="0">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24991" cy="2827331"/>
                                            </a:xfrm>
                                            <a:prstGeom prst="rect">
                                              <a:avLst/>
                                            </a:prstGeom>
                                            <a:solidFill>
                                              <a:schemeClr val="bg1"/>
                                            </a:solidFill>
                                            <a:ln>
                                              <a:noFill/>
                                            </a:ln>
                                          </pic:spPr>
                                        </pic:pic>
                                        <wps:wsp>
                                          <wps:cNvPr id="528" name="Prostokąt 528"/>
                                          <wps:cNvSpPr/>
                                          <wps:spPr>
                                            <a:xfrm>
                                              <a:off x="3765972" y="1471816"/>
                                              <a:ext cx="552423" cy="1442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26" name="Prostokąt 526"/>
                                        <wps:cNvSpPr/>
                                        <wps:spPr>
                                          <a:xfrm>
                                            <a:off x="864454" y="1636505"/>
                                            <a:ext cx="179610" cy="15012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525" name="Łącznik prosty 1525"/>
                                      <wps:cNvCnPr/>
                                      <wps:spPr>
                                        <a:xfrm flipH="1">
                                          <a:off x="3024341" y="787314"/>
                                          <a:ext cx="298889" cy="546586"/>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9" name="Pole tekstowe 2"/>
                                    <wps:cNvSpPr txBox="1">
                                      <a:spLocks noChangeArrowheads="1"/>
                                    </wps:cNvSpPr>
                                    <wps:spPr bwMode="auto">
                                      <a:xfrm>
                                        <a:off x="2251960" y="418812"/>
                                        <a:ext cx="1930644" cy="343779"/>
                                      </a:xfrm>
                                      <a:prstGeom prst="rect">
                                        <a:avLst/>
                                      </a:prstGeom>
                                      <a:noFill/>
                                      <a:ln w="9525">
                                        <a:noFill/>
                                        <a:miter lim="800000"/>
                                        <a:headEnd/>
                                        <a:tailEnd/>
                                      </a:ln>
                                    </wps:spPr>
                                    <wps:txbx>
                                      <w:txbxContent>
                                        <w:p w14:paraId="2FA5E33A" w14:textId="77777777" w:rsidR="003832F2" w:rsidRPr="00A81345" w:rsidRDefault="003832F2" w:rsidP="00367104">
                                          <w:pPr>
                                            <w:pStyle w:val="NormalnyWeb"/>
                                            <w:spacing w:before="0" w:beforeAutospacing="0" w:after="0" w:afterAutospacing="0"/>
                                            <w:jc w:val="center"/>
                                            <w:rPr>
                                              <w:sz w:val="22"/>
                                            </w:rPr>
                                          </w:pPr>
                                          <w:r w:rsidRPr="00A81345">
                                            <w:rPr>
                                              <w:rFonts w:ascii="Arial Narrow" w:eastAsia="Calibri" w:hAnsi="Arial Narrow"/>
                                              <w:sz w:val="18"/>
                                              <w:szCs w:val="20"/>
                                            </w:rPr>
                                            <w:t>Powierzchnia wznoszenia przy starcie /</w:t>
                                          </w:r>
                                        </w:p>
                                        <w:p w14:paraId="0A0AE8AA" w14:textId="66A8CE05" w:rsidR="003832F2" w:rsidRDefault="003832F2" w:rsidP="00367104">
                                          <w:pPr>
                                            <w:pStyle w:val="NormalnyWeb"/>
                                            <w:spacing w:before="0" w:beforeAutospacing="0" w:after="0" w:afterAutospacing="0"/>
                                            <w:jc w:val="center"/>
                                          </w:pPr>
                                          <w:r w:rsidRPr="00A81345">
                                            <w:rPr>
                                              <w:rFonts w:ascii="Arial Narrow" w:eastAsia="Calibri" w:hAnsi="Arial Narrow"/>
                                              <w:sz w:val="18"/>
                                              <w:szCs w:val="20"/>
                                            </w:rPr>
                                            <w:t>Powierzchnia podejścia</w:t>
                                          </w:r>
                                        </w:p>
                                      </w:txbxContent>
                                    </wps:txbx>
                                    <wps:bodyPr rot="0" vert="horz" wrap="square" lIns="36000" tIns="36000" rIns="36000" bIns="36000" anchor="t" anchorCtr="0">
                                      <a:spAutoFit/>
                                    </wps:bodyPr>
                                  </wps:wsp>
                                </wpg:grpSp>
                                <wps:wsp>
                                  <wps:cNvPr id="537" name="Pole tekstowe 2"/>
                                  <wps:cNvSpPr txBox="1">
                                    <a:spLocks noChangeArrowheads="1"/>
                                  </wps:cNvSpPr>
                                  <wps:spPr bwMode="auto">
                                    <a:xfrm>
                                      <a:off x="452955" y="875976"/>
                                      <a:ext cx="1930644" cy="343779"/>
                                    </a:xfrm>
                                    <a:prstGeom prst="rect">
                                      <a:avLst/>
                                    </a:prstGeom>
                                    <a:noFill/>
                                    <a:ln w="9525">
                                      <a:noFill/>
                                      <a:miter lim="800000"/>
                                      <a:headEnd/>
                                      <a:tailEnd/>
                                    </a:ln>
                                  </wps:spPr>
                                  <wps:txbx>
                                    <w:txbxContent>
                                      <w:p w14:paraId="1D1F1EF9" w14:textId="77777777" w:rsidR="003832F2" w:rsidRPr="00A81345" w:rsidRDefault="003832F2" w:rsidP="003E0F2B">
                                        <w:pPr>
                                          <w:pStyle w:val="NormalnyWeb"/>
                                          <w:spacing w:before="0" w:beforeAutospacing="0" w:after="0" w:afterAutospacing="0"/>
                                          <w:jc w:val="center"/>
                                          <w:rPr>
                                            <w:sz w:val="22"/>
                                          </w:rPr>
                                        </w:pPr>
                                        <w:r w:rsidRPr="00A81345">
                                          <w:rPr>
                                            <w:rFonts w:ascii="Arial Narrow" w:eastAsia="Calibri" w:hAnsi="Arial Narrow"/>
                                            <w:sz w:val="18"/>
                                            <w:szCs w:val="20"/>
                                          </w:rPr>
                                          <w:t>Powierzchnia wznoszenia przy starcie /</w:t>
                                        </w:r>
                                      </w:p>
                                      <w:p w14:paraId="4DF3F146" w14:textId="77777777" w:rsidR="003832F2" w:rsidRDefault="003832F2" w:rsidP="003E0F2B">
                                        <w:pPr>
                                          <w:pStyle w:val="NormalnyWeb"/>
                                          <w:spacing w:before="0" w:beforeAutospacing="0" w:after="0" w:afterAutospacing="0"/>
                                          <w:jc w:val="center"/>
                                        </w:pPr>
                                        <w:r w:rsidRPr="00A81345">
                                          <w:rPr>
                                            <w:rFonts w:ascii="Arial Narrow" w:eastAsia="Calibri" w:hAnsi="Arial Narrow"/>
                                            <w:sz w:val="18"/>
                                            <w:szCs w:val="20"/>
                                          </w:rPr>
                                          <w:t>Powierzchnia podejścia</w:t>
                                        </w:r>
                                      </w:p>
                                    </w:txbxContent>
                                  </wps:txbx>
                                  <wps:bodyPr rot="0" vert="horz" wrap="square" lIns="36000" tIns="36000" rIns="36000" bIns="36000" anchor="t" anchorCtr="0">
                                    <a:spAutoFit/>
                                  </wps:bodyPr>
                                </wps:wsp>
                              </wpg:grpSp>
                              <wpg:grpSp>
                                <wpg:cNvPr id="1529" name="Grupa 1529"/>
                                <wpg:cNvGrpSpPr/>
                                <wpg:grpSpPr>
                                  <a:xfrm>
                                    <a:off x="1269238" y="1978926"/>
                                    <a:ext cx="2675377" cy="769813"/>
                                    <a:chOff x="1269238" y="1978926"/>
                                    <a:chExt cx="2675377" cy="769813"/>
                                  </a:xfrm>
                                </wpg:grpSpPr>
                                <wps:wsp>
                                  <wps:cNvPr id="1527" name="Łącznik prosty ze strzałką 1527"/>
                                  <wps:cNvCnPr>
                                    <a:stCxn id="511" idx="0"/>
                                  </wps:cNvCnPr>
                                  <wps:spPr>
                                    <a:xfrm flipH="1" flipV="1">
                                      <a:off x="1269238" y="1978926"/>
                                      <a:ext cx="72633" cy="7698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3" name="Łącznik prosty ze strzałką 533"/>
                                  <wps:cNvCnPr/>
                                  <wps:spPr>
                                    <a:xfrm flipH="1" flipV="1">
                                      <a:off x="3872225" y="1979119"/>
                                      <a:ext cx="72390" cy="7696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511" name="Pole tekstowe 2"/>
                              <wps:cNvSpPr txBox="1">
                                <a:spLocks noChangeArrowheads="1"/>
                              </wps:cNvSpPr>
                              <wps:spPr bwMode="auto">
                                <a:xfrm>
                                  <a:off x="623179" y="2748327"/>
                                  <a:ext cx="1437249" cy="226939"/>
                                </a:xfrm>
                                <a:prstGeom prst="rect">
                                  <a:avLst/>
                                </a:prstGeom>
                                <a:noFill/>
                                <a:ln w="9525">
                                  <a:noFill/>
                                  <a:miter lim="800000"/>
                                  <a:headEnd/>
                                  <a:tailEnd/>
                                </a:ln>
                              </wps:spPr>
                              <wps:txbx>
                                <w:txbxContent>
                                  <w:p w14:paraId="463FD936" w14:textId="54A59946" w:rsidR="003832F2" w:rsidRPr="00A81345" w:rsidRDefault="003832F2" w:rsidP="00367104">
                                    <w:pPr>
                                      <w:pStyle w:val="NormalnyWeb"/>
                                      <w:spacing w:before="0" w:beforeAutospacing="0" w:after="0" w:afterAutospacing="0"/>
                                      <w:jc w:val="center"/>
                                      <w:rPr>
                                        <w:rFonts w:ascii="Arial Narrow" w:hAnsi="Arial Narrow"/>
                                      </w:rPr>
                                    </w:pPr>
                                    <w:r w:rsidRPr="00A81345">
                                      <w:rPr>
                                        <w:rFonts w:ascii="Arial Narrow" w:eastAsia="Calibri" w:hAnsi="Arial Narrow"/>
                                        <w:sz w:val="20"/>
                                        <w:szCs w:val="22"/>
                                      </w:rPr>
                                      <w:t>Strefa bezpieczeństwa</w:t>
                                    </w:r>
                                  </w:p>
                                </w:txbxContent>
                              </wps:txbx>
                              <wps:bodyPr rot="0" vert="horz" wrap="square" lIns="36000" tIns="36000" rIns="36000" bIns="36000" anchor="t" anchorCtr="0">
                                <a:spAutoFit/>
                              </wps:bodyPr>
                            </wps:wsp>
                          </wpg:grpSp>
                          <wps:wsp>
                            <wps:cNvPr id="512" name="Pole tekstowe 2"/>
                            <wps:cNvSpPr txBox="1">
                              <a:spLocks noChangeArrowheads="1"/>
                            </wps:cNvSpPr>
                            <wps:spPr bwMode="auto">
                              <a:xfrm>
                                <a:off x="3107445" y="2692500"/>
                                <a:ext cx="1436614" cy="226939"/>
                              </a:xfrm>
                              <a:prstGeom prst="rect">
                                <a:avLst/>
                              </a:prstGeom>
                              <a:noFill/>
                              <a:ln w="9525">
                                <a:noFill/>
                                <a:miter lim="800000"/>
                                <a:headEnd/>
                                <a:tailEnd/>
                              </a:ln>
                            </wps:spPr>
                            <wps:txbx>
                              <w:txbxContent>
                                <w:p w14:paraId="35867297" w14:textId="5C32BFD7" w:rsidR="003832F2" w:rsidRPr="00A81345" w:rsidRDefault="003832F2" w:rsidP="00367104">
                                  <w:pPr>
                                    <w:pStyle w:val="NormalnyWeb"/>
                                    <w:spacing w:before="0" w:beforeAutospacing="0" w:after="0" w:afterAutospacing="0"/>
                                    <w:jc w:val="center"/>
                                    <w:rPr>
                                      <w:rFonts w:ascii="Arial Narrow" w:hAnsi="Arial Narrow"/>
                                    </w:rPr>
                                  </w:pPr>
                                  <w:r w:rsidRPr="00A81345">
                                    <w:rPr>
                                      <w:rFonts w:ascii="Arial Narrow" w:eastAsia="Calibri" w:hAnsi="Arial Narrow"/>
                                      <w:sz w:val="20"/>
                                      <w:szCs w:val="22"/>
                                    </w:rPr>
                                    <w:t>Strefa bezpieczeństwa</w:t>
                                  </w:r>
                                </w:p>
                              </w:txbxContent>
                            </wps:txbx>
                            <wps:bodyPr rot="0" vert="horz" wrap="square" lIns="36000" tIns="36000" rIns="36000" bIns="36000" anchor="t" anchorCtr="0">
                              <a:spAutoFit/>
                            </wps:bodyPr>
                          </wps:wsp>
                        </wpg:grpSp>
                        <wps:wsp>
                          <wps:cNvPr id="546" name="Pole tekstowe 2"/>
                          <wps:cNvSpPr txBox="1">
                            <a:spLocks noChangeArrowheads="1"/>
                          </wps:cNvSpPr>
                          <wps:spPr bwMode="auto">
                            <a:xfrm>
                              <a:off x="225390" y="3155497"/>
                              <a:ext cx="5322179" cy="1168758"/>
                            </a:xfrm>
                            <a:prstGeom prst="rect">
                              <a:avLst/>
                            </a:prstGeom>
                            <a:noFill/>
                            <a:ln w="9525">
                              <a:noFill/>
                              <a:miter lim="800000"/>
                              <a:headEnd/>
                              <a:tailEnd/>
                            </a:ln>
                          </wps:spPr>
                          <wps:txbx>
                            <w:txbxContent>
                              <w:p w14:paraId="34E23DB8" w14:textId="379EC620" w:rsidR="003832F2"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Pr>
                                    <w:rFonts w:asciiTheme="minorHAnsi" w:eastAsia="Calibri" w:hAnsiTheme="minorHAnsi" w:cstheme="minorHAnsi"/>
                                    <w:sz w:val="20"/>
                                    <w:szCs w:val="20"/>
                                  </w:rPr>
                                  <w:t xml:space="preserve">Uwaga 1 – </w:t>
                                </w:r>
                                <w:r>
                                  <w:rPr>
                                    <w:rFonts w:asciiTheme="minorHAnsi" w:eastAsia="Calibri" w:hAnsiTheme="minorHAnsi" w:cstheme="minorHAnsi"/>
                                    <w:sz w:val="20"/>
                                    <w:szCs w:val="20"/>
                                  </w:rPr>
                                  <w:tab/>
                                  <w:t>Wymagane jest, aby obszar zaznaczony  kolorem ciemnoszarym miał taką samą charakterystykę jak strefa bezpieczeństwa.</w:t>
                                </w:r>
                              </w:p>
                              <w:p w14:paraId="427D508C" w14:textId="77777777" w:rsidR="003832F2"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Pr>
                                    <w:rFonts w:asciiTheme="minorHAnsi" w:eastAsia="Calibri" w:hAnsiTheme="minorHAnsi" w:cstheme="minorHAnsi"/>
                                    <w:sz w:val="20"/>
                                    <w:szCs w:val="20"/>
                                  </w:rPr>
                                  <w:t xml:space="preserve">Uwaga 1 – </w:t>
                                </w:r>
                                <w:r>
                                  <w:rPr>
                                    <w:rFonts w:asciiTheme="minorHAnsi" w:eastAsia="Calibri" w:hAnsiTheme="minorHAnsi" w:cstheme="minorHAnsi"/>
                                    <w:sz w:val="20"/>
                                    <w:szCs w:val="20"/>
                                  </w:rPr>
                                  <w:tab/>
                                  <w:t xml:space="preserve">Kąt pomiędzy powierzchniami podejścia / wznoszenia przy starcie, od jednej linii środkowej do drugiej został przedstawiony tylko </w:t>
                                </w:r>
                                <w:r w:rsidRPr="00A81345">
                                  <w:rPr>
                                    <w:rFonts w:asciiTheme="minorHAnsi" w:eastAsia="Calibri" w:hAnsiTheme="minorHAnsi" w:cstheme="minorHAnsi"/>
                                    <w:sz w:val="20"/>
                                    <w:szCs w:val="20"/>
                                  </w:rPr>
                                  <w:t>dla potrzeb rysunku</w:t>
                                </w:r>
                                <w:r>
                                  <w:rPr>
                                    <w:rFonts w:asciiTheme="minorHAnsi" w:eastAsia="Calibri" w:hAnsiTheme="minorHAnsi" w:cstheme="minorHAnsi"/>
                                    <w:sz w:val="20"/>
                                    <w:szCs w:val="20"/>
                                  </w:rPr>
                                  <w:t>.</w:t>
                                </w:r>
                              </w:p>
                              <w:p w14:paraId="21BA539A" w14:textId="2A5A97E0" w:rsidR="003832F2" w:rsidRPr="00A81345"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sidRPr="00A81345">
                                  <w:rPr>
                                    <w:rFonts w:asciiTheme="minorHAnsi" w:eastAsia="Calibri" w:hAnsiTheme="minorHAnsi" w:cstheme="minorHAnsi"/>
                                    <w:sz w:val="20"/>
                                    <w:szCs w:val="20"/>
                                  </w:rPr>
                                  <w:t xml:space="preserve">Uwaga 3 – </w:t>
                                </w:r>
                                <w:r>
                                  <w:rPr>
                                    <w:rFonts w:asciiTheme="minorHAnsi" w:eastAsia="Calibri" w:hAnsiTheme="minorHAnsi" w:cstheme="minorHAnsi"/>
                                    <w:sz w:val="20"/>
                                    <w:szCs w:val="20"/>
                                  </w:rPr>
                                  <w:tab/>
                                  <w:t>Przesunięta p</w:t>
                                </w:r>
                                <w:r w:rsidRPr="00A81345">
                                  <w:rPr>
                                    <w:rFonts w:asciiTheme="minorHAnsi" w:eastAsia="Calibri" w:hAnsiTheme="minorHAnsi" w:cstheme="minorHAnsi"/>
                                    <w:sz w:val="20"/>
                                    <w:szCs w:val="20"/>
                                  </w:rPr>
                                  <w:t>owierzchnia podejścia / wznoszenia przy starcie</w:t>
                                </w:r>
                                <w:r>
                                  <w:rPr>
                                    <w:rFonts w:asciiTheme="minorHAnsi" w:eastAsia="Calibri" w:hAnsiTheme="minorHAnsi" w:cstheme="minorHAnsi"/>
                                    <w:sz w:val="20"/>
                                    <w:szCs w:val="20"/>
                                  </w:rPr>
                                  <w:t xml:space="preserve"> jest obrócona wokół punktu środkowego FATO.</w:t>
                                </w:r>
                              </w:p>
                            </w:txbxContent>
                          </wps:txbx>
                          <wps:bodyPr rot="0" vert="horz" wrap="square" lIns="36000" tIns="36000" rIns="36000" bIns="36000" anchor="t" anchorCtr="0">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C0A8F8F" id="Kanwa 1472" o:spid="_x0000_s1209" editas="canvas" style="width:453.55pt;height:352.35pt;mso-position-horizontal-relative:char;mso-position-vertical-relative:line" coordsize="57594,447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">
                <v:shape id="_x0000_s1210" type="#_x0000_t75" style="position:absolute;width:57594;height:44742;visibility:visible;mso-wrap-style:square" filled="t" fillcolor="white [3212]" stroked="t" strokecolor="black [3213]">
                  <v:fill o:detectmouseclick="t"/>
                  <v:path o:connecttype="none"/>
                </v:shape>
                <v:group id="Grupa 150" o:spid="_x0000_s1211" style="position:absolute;left:1800;top:3096;width:54235;height:40146" coordorigin="1800,3096" coordsize="54235,4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upa 143" o:spid="_x0000_s1212" style="position:absolute;left:1800;top:3096;width:54235;height:28258"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Grupa 142" o:spid="_x0000_s1213" style="position:absolute;left:1800;top:4188;width:54235;height:28257"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Grupa 135" o:spid="_x0000_s1214" style="position:absolute;left:1800;top:4188;width:54235;height:28257"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upa 134" o:spid="_x0000_s1215" style="position:absolute;left:1800;top:4188;width:54235;height:28257"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upa 133" o:spid="_x0000_s1216" style="position:absolute;left:1800;top:4188;width:54235;height:28257"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group id="Grupa 1526" o:spid="_x0000_s1217" style="position:absolute;left:1800;top:4188;width:54235;height:28257" coordorigin="1800,4188" coordsize="54235,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group id="Grupa 524" o:spid="_x0000_s1218" style="position:absolute;left:1800;top:4188;width:54235;height:28257" coordsize="54249,2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group id="Grupa 525" o:spid="_x0000_s1219" style="position:absolute;width:54249;height:28273" coordsize="54249,2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shape id="Picture 15" o:spid="_x0000_s1220" type="#_x0000_t75" style="position:absolute;width:54249;height:282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" filled="t" fillcolor="white [3212]">
                                    <v:imagedata r:id="rId319" o:title=""/>
                                  </v:shape>
                                  <v:rect id="Prostokąt 528" o:spid="_x0000_s1221" style="position:absolute;left:37659;top:14718;width:5524;height:1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" fillcolor="white [3212]" stroked="f" strokeweight="2pt"/>
                                </v:group>
                                <v:rect id="Prostokąt 526" o:spid="_x0000_s1222" style="position:absolute;left:8644;top:16365;width:1796;height:1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" fillcolor="white [3212]" stroked="f" strokeweight="2pt"/>
                              </v:group>
                              <v:line id="Łącznik prosty 1525" o:spid="_x0000_s1223" style="position:absolute;flip:x;visibility:visible;mso-wrap-style:square" from="30243,7873" to="33232,13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" strokecolor="black [3213]"/>
                            </v:group>
                            <v:shape id="_x0000_s1224" type="#_x0000_t202" style="position:absolute;left:22519;top:4188;width:19307;height:3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" filled="f" stroked="f">
                              <v:textbox style="mso-fit-shape-to-text:t" inset="1mm,1mm,1mm,1mm">
                                <w:txbxContent>
                                  <w:p w14:paraId="2FA5E33A" w14:textId="77777777" w:rsidR="003832F2" w:rsidRPr="00A81345" w:rsidRDefault="003832F2" w:rsidP="00367104">
                                    <w:pPr>
                                      <w:pStyle w:val="NormalnyWeb"/>
                                      <w:spacing w:before="0" w:beforeAutospacing="0" w:after="0" w:afterAutospacing="0"/>
                                      <w:jc w:val="center"/>
                                      <w:rPr>
                                        <w:sz w:val="22"/>
                                      </w:rPr>
                                    </w:pPr>
                                    <w:r w:rsidRPr="00A81345">
                                      <w:rPr>
                                        <w:rFonts w:ascii="Arial Narrow" w:eastAsia="Calibri" w:hAnsi="Arial Narrow"/>
                                        <w:sz w:val="18"/>
                                        <w:szCs w:val="20"/>
                                      </w:rPr>
                                      <w:t>Powierzchnia wznoszenia przy starcie /</w:t>
                                    </w:r>
                                  </w:p>
                                  <w:p w14:paraId="0A0AE8AA" w14:textId="66A8CE05" w:rsidR="003832F2" w:rsidRDefault="003832F2" w:rsidP="00367104">
                                    <w:pPr>
                                      <w:pStyle w:val="NormalnyWeb"/>
                                      <w:spacing w:before="0" w:beforeAutospacing="0" w:after="0" w:afterAutospacing="0"/>
                                      <w:jc w:val="center"/>
                                    </w:pPr>
                                    <w:r w:rsidRPr="00A81345">
                                      <w:rPr>
                                        <w:rFonts w:ascii="Arial Narrow" w:eastAsia="Calibri" w:hAnsi="Arial Narrow"/>
                                        <w:sz w:val="18"/>
                                        <w:szCs w:val="20"/>
                                      </w:rPr>
                                      <w:t>Powierzchnia podejścia</w:t>
                                    </w:r>
                                  </w:p>
                                </w:txbxContent>
                              </v:textbox>
                            </v:shape>
                          </v:group>
                          <v:shape id="_x0000_s1225" type="#_x0000_t202" style="position:absolute;left:4529;top:8759;width:19306;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" filled="f" stroked="f">
                            <v:textbox style="mso-fit-shape-to-text:t" inset="1mm,1mm,1mm,1mm">
                              <w:txbxContent>
                                <w:p w14:paraId="1D1F1EF9" w14:textId="77777777" w:rsidR="003832F2" w:rsidRPr="00A81345" w:rsidRDefault="003832F2" w:rsidP="003E0F2B">
                                  <w:pPr>
                                    <w:pStyle w:val="NormalnyWeb"/>
                                    <w:spacing w:before="0" w:beforeAutospacing="0" w:after="0" w:afterAutospacing="0"/>
                                    <w:jc w:val="center"/>
                                    <w:rPr>
                                      <w:sz w:val="22"/>
                                    </w:rPr>
                                  </w:pPr>
                                  <w:r w:rsidRPr="00A81345">
                                    <w:rPr>
                                      <w:rFonts w:ascii="Arial Narrow" w:eastAsia="Calibri" w:hAnsi="Arial Narrow"/>
                                      <w:sz w:val="18"/>
                                      <w:szCs w:val="20"/>
                                    </w:rPr>
                                    <w:t>Powierzchnia wznoszenia przy starcie /</w:t>
                                  </w:r>
                                </w:p>
                                <w:p w14:paraId="4DF3F146" w14:textId="77777777" w:rsidR="003832F2" w:rsidRDefault="003832F2" w:rsidP="003E0F2B">
                                  <w:pPr>
                                    <w:pStyle w:val="NormalnyWeb"/>
                                    <w:spacing w:before="0" w:beforeAutospacing="0" w:after="0" w:afterAutospacing="0"/>
                                    <w:jc w:val="center"/>
                                  </w:pPr>
                                  <w:r w:rsidRPr="00A81345">
                                    <w:rPr>
                                      <w:rFonts w:ascii="Arial Narrow" w:eastAsia="Calibri" w:hAnsi="Arial Narrow"/>
                                      <w:sz w:val="18"/>
                                      <w:szCs w:val="20"/>
                                    </w:rPr>
                                    <w:t>Powierzchnia podejścia</w:t>
                                  </w:r>
                                </w:p>
                              </w:txbxContent>
                            </v:textbox>
                          </v:shape>
                        </v:group>
                        <v:group id="Grupa 1529" o:spid="_x0000_s1226" style="position:absolute;left:12692;top:19789;width:26754;height:7698" coordorigin="12692,19789" coordsize="26753,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">
                          <v:shape id="Łącznik prosty ze strzałką 1527" o:spid="_x0000_s1227" type="#_x0000_t32" style="position:absolute;left:12692;top:19789;width:726;height:769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" strokecolor="black [3213]">
                            <v:stroke endarrow="block"/>
                          </v:shape>
                          <v:shape id="Łącznik prosty ze strzałką 533" o:spid="_x0000_s1228" type="#_x0000_t32" style="position:absolute;left:38722;top:19791;width:724;height:76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" strokecolor="black [3213]">
                            <v:stroke endarrow="block"/>
                          </v:shape>
                        </v:group>
                      </v:group>
                      <v:shape id="_x0000_s1229" type="#_x0000_t202" style="position:absolute;left:6231;top:27483;width:14373;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" filled="f" stroked="f">
                        <v:textbox style="mso-fit-shape-to-text:t" inset="1mm,1mm,1mm,1mm">
                          <w:txbxContent>
                            <w:p w14:paraId="463FD936" w14:textId="54A59946" w:rsidR="003832F2" w:rsidRPr="00A81345" w:rsidRDefault="003832F2" w:rsidP="00367104">
                              <w:pPr>
                                <w:pStyle w:val="NormalnyWeb"/>
                                <w:spacing w:before="0" w:beforeAutospacing="0" w:after="0" w:afterAutospacing="0"/>
                                <w:jc w:val="center"/>
                                <w:rPr>
                                  <w:rFonts w:ascii="Arial Narrow" w:hAnsi="Arial Narrow"/>
                                </w:rPr>
                              </w:pPr>
                              <w:r w:rsidRPr="00A81345">
                                <w:rPr>
                                  <w:rFonts w:ascii="Arial Narrow" w:eastAsia="Calibri" w:hAnsi="Arial Narrow"/>
                                  <w:sz w:val="20"/>
                                  <w:szCs w:val="22"/>
                                </w:rPr>
                                <w:t>Strefa bezpieczeństwa</w:t>
                              </w:r>
                            </w:p>
                          </w:txbxContent>
                        </v:textbox>
                      </v:shape>
                    </v:group>
                    <v:shape id="_x0000_s1230" type="#_x0000_t202" style="position:absolute;left:31074;top:26925;width:14366;height:2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" filled="f" stroked="f">
                      <v:textbox style="mso-fit-shape-to-text:t" inset="1mm,1mm,1mm,1mm">
                        <w:txbxContent>
                          <w:p w14:paraId="35867297" w14:textId="5C32BFD7" w:rsidR="003832F2" w:rsidRPr="00A81345" w:rsidRDefault="003832F2" w:rsidP="00367104">
                            <w:pPr>
                              <w:pStyle w:val="NormalnyWeb"/>
                              <w:spacing w:before="0" w:beforeAutospacing="0" w:after="0" w:afterAutospacing="0"/>
                              <w:jc w:val="center"/>
                              <w:rPr>
                                <w:rFonts w:ascii="Arial Narrow" w:hAnsi="Arial Narrow"/>
                              </w:rPr>
                            </w:pPr>
                            <w:r w:rsidRPr="00A81345">
                              <w:rPr>
                                <w:rFonts w:ascii="Arial Narrow" w:eastAsia="Calibri" w:hAnsi="Arial Narrow"/>
                                <w:sz w:val="20"/>
                                <w:szCs w:val="22"/>
                              </w:rPr>
                              <w:t>Strefa bezpieczeństwa</w:t>
                            </w:r>
                          </w:p>
                        </w:txbxContent>
                      </v:textbox>
                    </v:shape>
                  </v:group>
                  <v:shape id="_x0000_s1231" type="#_x0000_t202" style="position:absolute;left:2253;top:31554;width:53222;height:1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" filled="f" stroked="f">
                    <v:textbox inset="1mm,1mm,1mm,1mm">
                      <w:txbxContent>
                        <w:p w14:paraId="34E23DB8" w14:textId="379EC620" w:rsidR="003832F2"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Pr>
                              <w:rFonts w:asciiTheme="minorHAnsi" w:eastAsia="Calibri" w:hAnsiTheme="minorHAnsi" w:cstheme="minorHAnsi"/>
                              <w:sz w:val="20"/>
                              <w:szCs w:val="20"/>
                            </w:rPr>
                            <w:t xml:space="preserve">Uwaga 1 – </w:t>
                          </w:r>
                          <w:r>
                            <w:rPr>
                              <w:rFonts w:asciiTheme="minorHAnsi" w:eastAsia="Calibri" w:hAnsiTheme="minorHAnsi" w:cstheme="minorHAnsi"/>
                              <w:sz w:val="20"/>
                              <w:szCs w:val="20"/>
                            </w:rPr>
                            <w:tab/>
                            <w:t>Wymagane jest, aby obszar zaznaczony  kolorem ciemnoszarym miał taką samą charakterystykę jak strefa bezpieczeństwa.</w:t>
                          </w:r>
                        </w:p>
                        <w:p w14:paraId="427D508C" w14:textId="77777777" w:rsidR="003832F2"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Pr>
                              <w:rFonts w:asciiTheme="minorHAnsi" w:eastAsia="Calibri" w:hAnsiTheme="minorHAnsi" w:cstheme="minorHAnsi"/>
                              <w:sz w:val="20"/>
                              <w:szCs w:val="20"/>
                            </w:rPr>
                            <w:t xml:space="preserve">Uwaga 1 – </w:t>
                          </w:r>
                          <w:r>
                            <w:rPr>
                              <w:rFonts w:asciiTheme="minorHAnsi" w:eastAsia="Calibri" w:hAnsiTheme="minorHAnsi" w:cstheme="minorHAnsi"/>
                              <w:sz w:val="20"/>
                              <w:szCs w:val="20"/>
                            </w:rPr>
                            <w:tab/>
                            <w:t xml:space="preserve">Kąt pomiędzy powierzchniami podejścia / wznoszenia przy starcie, od jednej linii środkowej do drugiej został przedstawiony tylko </w:t>
                          </w:r>
                          <w:r w:rsidRPr="00A81345">
                            <w:rPr>
                              <w:rFonts w:asciiTheme="minorHAnsi" w:eastAsia="Calibri" w:hAnsiTheme="minorHAnsi" w:cstheme="minorHAnsi"/>
                              <w:sz w:val="20"/>
                              <w:szCs w:val="20"/>
                            </w:rPr>
                            <w:t>dla potrzeb rysunku</w:t>
                          </w:r>
                          <w:r>
                            <w:rPr>
                              <w:rFonts w:asciiTheme="minorHAnsi" w:eastAsia="Calibri" w:hAnsiTheme="minorHAnsi" w:cstheme="minorHAnsi"/>
                              <w:sz w:val="20"/>
                              <w:szCs w:val="20"/>
                            </w:rPr>
                            <w:t>.</w:t>
                          </w:r>
                        </w:p>
                        <w:p w14:paraId="21BA539A" w14:textId="2A5A97E0" w:rsidR="003832F2" w:rsidRPr="00A81345" w:rsidRDefault="003832F2" w:rsidP="00A81345">
                          <w:pPr>
                            <w:pStyle w:val="NormalnyWeb"/>
                            <w:spacing w:before="0" w:beforeAutospacing="0" w:after="120" w:afterAutospacing="0"/>
                            <w:ind w:left="992" w:hanging="992"/>
                            <w:rPr>
                              <w:rFonts w:asciiTheme="minorHAnsi" w:eastAsia="Calibri" w:hAnsiTheme="minorHAnsi" w:cstheme="minorHAnsi"/>
                              <w:sz w:val="20"/>
                              <w:szCs w:val="20"/>
                            </w:rPr>
                          </w:pPr>
                          <w:r w:rsidRPr="00A81345">
                            <w:rPr>
                              <w:rFonts w:asciiTheme="minorHAnsi" w:eastAsia="Calibri" w:hAnsiTheme="minorHAnsi" w:cstheme="minorHAnsi"/>
                              <w:sz w:val="20"/>
                              <w:szCs w:val="20"/>
                            </w:rPr>
                            <w:t xml:space="preserve">Uwaga 3 – </w:t>
                          </w:r>
                          <w:r>
                            <w:rPr>
                              <w:rFonts w:asciiTheme="minorHAnsi" w:eastAsia="Calibri" w:hAnsiTheme="minorHAnsi" w:cstheme="minorHAnsi"/>
                              <w:sz w:val="20"/>
                              <w:szCs w:val="20"/>
                            </w:rPr>
                            <w:tab/>
                            <w:t>Przesunięta p</w:t>
                          </w:r>
                          <w:r w:rsidRPr="00A81345">
                            <w:rPr>
                              <w:rFonts w:asciiTheme="minorHAnsi" w:eastAsia="Calibri" w:hAnsiTheme="minorHAnsi" w:cstheme="minorHAnsi"/>
                              <w:sz w:val="20"/>
                              <w:szCs w:val="20"/>
                            </w:rPr>
                            <w:t>owierzchnia podejścia / wznoszenia przy starcie</w:t>
                          </w:r>
                          <w:r>
                            <w:rPr>
                              <w:rFonts w:asciiTheme="minorHAnsi" w:eastAsia="Calibri" w:hAnsiTheme="minorHAnsi" w:cstheme="minorHAnsi"/>
                              <w:sz w:val="20"/>
                              <w:szCs w:val="20"/>
                            </w:rPr>
                            <w:t xml:space="preserve"> jest obrócona wokół punktu środkowego FATO.</w:t>
                          </w:r>
                        </w:p>
                      </w:txbxContent>
                    </v:textbox>
                  </v:shape>
                </v:group>
                <w10:anchorlock/>
              </v:group>
            </w:pict>
          </mc:Fallback>
        </mc:AlternateContent>
      </w:r>
    </w:p>
    <w:p w14:paraId="1FCCFF15" w14:textId="77777777" w:rsidR="00F52B3A" w:rsidRDefault="00F52B3A" w:rsidP="00F52B3A">
      <w:pPr>
        <w:pStyle w:val="Default"/>
        <w:jc w:val="center"/>
      </w:pPr>
    </w:p>
    <w:p w14:paraId="257556B6" w14:textId="72AFEB32" w:rsidR="005C5597" w:rsidRPr="00E97240" w:rsidRDefault="00F52B3A" w:rsidP="001C51C1">
      <w:pPr>
        <w:ind w:left="851" w:hanging="851"/>
        <w:jc w:val="center"/>
        <w:rPr>
          <w:b/>
        </w:rPr>
      </w:pPr>
      <w:r w:rsidRPr="00E97240">
        <w:rPr>
          <w:b/>
          <w:bCs/>
          <w:sz w:val="20"/>
          <w:szCs w:val="20"/>
        </w:rPr>
        <w:t xml:space="preserve">Rysunek E-1.  Powierzchnie ograniczające przeszkody. Powierzchnia wznoszenia przy starcie </w:t>
      </w:r>
      <w:r w:rsidRPr="00E97240">
        <w:rPr>
          <w:b/>
          <w:bCs/>
          <w:sz w:val="20"/>
          <w:szCs w:val="20"/>
        </w:rPr>
        <w:br/>
        <w:t>i powierzchnia podejścia.</w:t>
      </w:r>
    </w:p>
    <w:p w14:paraId="6A793BC9" w14:textId="7930CAD9" w:rsidR="00F52B3A" w:rsidRPr="00E751D2" w:rsidRDefault="00F52B3A">
      <w:pPr>
        <w:spacing w:after="0"/>
        <w:jc w:val="left"/>
        <w:rPr>
          <w:rFonts w:cs="TimesNewRomanPS-BoldItalicMT"/>
          <w:bCs/>
          <w:iCs/>
        </w:rPr>
      </w:pPr>
      <w:r w:rsidRPr="00E751D2">
        <w:rPr>
          <w:rFonts w:cs="TimesNewRomanPS-BoldItalicMT"/>
          <w:bCs/>
          <w:iCs/>
        </w:rPr>
        <w:br w:type="page"/>
      </w:r>
    </w:p>
    <w:p w14:paraId="4F3DC037" w14:textId="77777777" w:rsidR="00F52B3A" w:rsidRPr="00F52B3A" w:rsidRDefault="00F52B3A" w:rsidP="00F52B3A">
      <w:pPr>
        <w:pStyle w:val="Default"/>
        <w:jc w:val="center"/>
        <w:rPr>
          <w:bCs/>
          <w:color w:val="auto"/>
          <w:sz w:val="20"/>
          <w:szCs w:val="20"/>
        </w:rPr>
      </w:pPr>
    </w:p>
    <w:p w14:paraId="0F03DF64" w14:textId="77777777" w:rsidR="00F52B3A" w:rsidRPr="00F52B3A" w:rsidRDefault="00F52B3A" w:rsidP="00F52B3A">
      <w:pPr>
        <w:pStyle w:val="Default"/>
        <w:spacing w:line="276" w:lineRule="auto"/>
        <w:rPr>
          <w:bCs/>
          <w:sz w:val="20"/>
          <w:szCs w:val="20"/>
        </w:rPr>
      </w:pPr>
      <w:r w:rsidRPr="0033081C">
        <w:rPr>
          <w:noProof/>
          <w:sz w:val="20"/>
          <w:szCs w:val="20"/>
          <w:lang w:eastAsia="pl-PL"/>
        </w:rPr>
        <mc:AlternateContent>
          <mc:Choice Requires="wpc">
            <w:drawing>
              <wp:inline distT="0" distB="0" distL="0" distR="0" wp14:anchorId="290E272F" wp14:editId="61E3B8E4">
                <wp:extent cx="5759450" cy="2921606"/>
                <wp:effectExtent l="0" t="0" r="0" b="0"/>
                <wp:docPr id="194" name="Kanwa 1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51" name="Group 13"/>
                        <wpg:cNvGrpSpPr>
                          <a:grpSpLocks/>
                        </wpg:cNvGrpSpPr>
                        <wpg:grpSpPr bwMode="auto">
                          <a:xfrm>
                            <a:off x="34925" y="52070"/>
                            <a:ext cx="5709285" cy="2837180"/>
                            <a:chOff x="55" y="-22"/>
                            <a:chExt cx="8991" cy="4468"/>
                          </a:xfrm>
                        </wpg:grpSpPr>
                        <wpg:grpSp>
                          <wpg:cNvPr id="153" name="Group 14"/>
                          <wpg:cNvGrpSpPr>
                            <a:grpSpLocks/>
                          </wpg:cNvGrpSpPr>
                          <wpg:grpSpPr bwMode="auto">
                            <a:xfrm>
                              <a:off x="55" y="-22"/>
                              <a:ext cx="8991" cy="4468"/>
                              <a:chOff x="55" y="-22"/>
                              <a:chExt cx="8991" cy="4468"/>
                            </a:xfrm>
                          </wpg:grpSpPr>
                          <wpg:grpSp>
                            <wpg:cNvPr id="154" name="Group 15"/>
                            <wpg:cNvGrpSpPr>
                              <a:grpSpLocks/>
                            </wpg:cNvGrpSpPr>
                            <wpg:grpSpPr bwMode="auto">
                              <a:xfrm>
                                <a:off x="55" y="-22"/>
                                <a:ext cx="8991" cy="4468"/>
                                <a:chOff x="55" y="-22"/>
                                <a:chExt cx="8991" cy="4468"/>
                              </a:xfrm>
                            </wpg:grpSpPr>
                            <wpg:grpSp>
                              <wpg:cNvPr id="178" name="Group 16"/>
                              <wpg:cNvGrpSpPr>
                                <a:grpSpLocks/>
                              </wpg:cNvGrpSpPr>
                              <wpg:grpSpPr bwMode="auto">
                                <a:xfrm>
                                  <a:off x="55" y="-22"/>
                                  <a:ext cx="8991" cy="4468"/>
                                  <a:chOff x="55" y="-22"/>
                                  <a:chExt cx="8991" cy="4468"/>
                                </a:xfrm>
                              </wpg:grpSpPr>
                              <pic:pic xmlns:pic="http://schemas.openxmlformats.org/drawingml/2006/picture">
                                <pic:nvPicPr>
                                  <pic:cNvPr id="179" name="Picture 1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55" y="-22"/>
                                    <a:ext cx="8991" cy="4468"/>
                                  </a:xfrm>
                                  <a:prstGeom prst="rect">
                                    <a:avLst/>
                                  </a:prstGeom>
                                  <a:noFill/>
                                  <a:extLst>
                                    <a:ext uri="{909E8E84-426E-40DD-AFC4-6F175D3DCCD1}">
                                      <a14:hiddenFill xmlns:a14="http://schemas.microsoft.com/office/drawing/2010/main">
                                        <a:solidFill>
                                          <a:srgbClr val="FFFFFF"/>
                                        </a:solidFill>
                                      </a14:hiddenFill>
                                    </a:ext>
                                  </a:extLst>
                                </pic:spPr>
                              </pic:pic>
                              <wpg:grpSp>
                                <wpg:cNvPr id="180" name="Group 18"/>
                                <wpg:cNvGrpSpPr>
                                  <a:grpSpLocks/>
                                </wpg:cNvGrpSpPr>
                                <wpg:grpSpPr bwMode="auto">
                                  <a:xfrm>
                                    <a:off x="867" y="572"/>
                                    <a:ext cx="3726" cy="1152"/>
                                    <a:chOff x="867" y="572"/>
                                    <a:chExt cx="3726" cy="1152"/>
                                  </a:xfrm>
                                </wpg:grpSpPr>
                                <wps:wsp>
                                  <wps:cNvPr id="181" name="Text Box 19"/>
                                  <wps:cNvSpPr txBox="1">
                                    <a:spLocks noChangeArrowheads="1"/>
                                  </wps:cNvSpPr>
                                  <wps:spPr bwMode="auto">
                                    <a:xfrm>
                                      <a:off x="867" y="572"/>
                                      <a:ext cx="1979"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D0C65" w14:textId="77777777" w:rsidR="003832F2" w:rsidRDefault="003832F2" w:rsidP="00F52B3A">
                                        <w:pPr>
                                          <w:spacing w:after="0"/>
                                          <w:jc w:val="center"/>
                                          <w:rPr>
                                            <w:rFonts w:ascii="Arial Narrow" w:hAnsi="Arial Narrow"/>
                                            <w:sz w:val="18"/>
                                          </w:rPr>
                                        </w:pPr>
                                        <w:r>
                                          <w:rPr>
                                            <w:rFonts w:ascii="Arial Narrow" w:hAnsi="Arial Narrow"/>
                                            <w:sz w:val="18"/>
                                          </w:rPr>
                                          <w:t>R</w:t>
                                        </w:r>
                                        <w:r w:rsidRPr="00B62FD0">
                                          <w:rPr>
                                            <w:rFonts w:ascii="Arial Narrow" w:hAnsi="Arial Narrow"/>
                                            <w:sz w:val="18"/>
                                          </w:rPr>
                                          <w:t>ozbieżność w nocy</w:t>
                                        </w:r>
                                      </w:p>
                                      <w:p w14:paraId="336185CA" w14:textId="77777777" w:rsidR="003832F2" w:rsidRPr="00AC6C66" w:rsidRDefault="003832F2" w:rsidP="00F52B3A">
                                        <w:pPr>
                                          <w:spacing w:after="0"/>
                                          <w:jc w:val="center"/>
                                          <w:rPr>
                                            <w:rFonts w:ascii="Arial Narrow" w:hAnsi="Arial Narrow"/>
                                            <w:sz w:val="18"/>
                                          </w:rPr>
                                        </w:pPr>
                                        <w:r>
                                          <w:rPr>
                                            <w:rFonts w:ascii="Arial Narrow" w:hAnsi="Arial Narrow"/>
                                            <w:sz w:val="18"/>
                                          </w:rPr>
                                          <w:t>15 %</w:t>
                                        </w:r>
                                      </w:p>
                                    </w:txbxContent>
                                  </wps:txbx>
                                  <wps:bodyPr rot="0" vert="horz" wrap="square" lIns="18000" tIns="18000" rIns="18000" bIns="18000" anchor="ctr" anchorCtr="0" upright="1">
                                    <a:spAutoFit/>
                                  </wps:bodyPr>
                                </wps:wsp>
                                <wps:wsp>
                                  <wps:cNvPr id="183" name="Text Box 20"/>
                                  <wps:cNvSpPr txBox="1">
                                    <a:spLocks noChangeArrowheads="1"/>
                                  </wps:cNvSpPr>
                                  <wps:spPr bwMode="auto">
                                    <a:xfrm>
                                      <a:off x="2223" y="1226"/>
                                      <a:ext cx="2370"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C2D7C" w14:textId="77777777" w:rsidR="003832F2" w:rsidRPr="00AC6C66" w:rsidRDefault="003832F2" w:rsidP="00F52B3A">
                                        <w:pPr>
                                          <w:spacing w:after="0"/>
                                          <w:jc w:val="center"/>
                                          <w:rPr>
                                            <w:rFonts w:ascii="Arial Narrow" w:hAnsi="Arial Narrow"/>
                                            <w:sz w:val="18"/>
                                          </w:rPr>
                                        </w:pPr>
                                        <w:r>
                                          <w:rPr>
                                            <w:rFonts w:ascii="Arial Narrow" w:hAnsi="Arial Narrow"/>
                                            <w:sz w:val="18"/>
                                          </w:rPr>
                                          <w:t xml:space="preserve">10 % </w:t>
                                        </w:r>
                                        <w:r>
                                          <w:rPr>
                                            <w:rFonts w:ascii="Arial Narrow" w:hAnsi="Arial Narrow"/>
                                            <w:sz w:val="18"/>
                                          </w:rPr>
                                          <w:br/>
                                          <w:t>R</w:t>
                                        </w:r>
                                        <w:r w:rsidRPr="00B62FD0">
                                          <w:rPr>
                                            <w:rFonts w:ascii="Arial Narrow" w:hAnsi="Arial Narrow"/>
                                            <w:sz w:val="18"/>
                                          </w:rPr>
                                          <w:t>ozbieżność w dzień</w:t>
                                        </w:r>
                                        <w:r>
                                          <w:rPr>
                                            <w:rFonts w:ascii="Arial Narrow" w:hAnsi="Arial Narrow"/>
                                            <w:sz w:val="18"/>
                                          </w:rPr>
                                          <w:t xml:space="preserve"> </w:t>
                                        </w:r>
                                      </w:p>
                                    </w:txbxContent>
                                  </wps:txbx>
                                  <wps:bodyPr rot="0" vert="horz" wrap="square" lIns="18000" tIns="36000" rIns="18000" bIns="18000" anchor="ctr" anchorCtr="0" upright="1">
                                    <a:spAutoFit/>
                                  </wps:bodyPr>
                                </wps:wsp>
                              </wpg:grpSp>
                            </wpg:grpSp>
                            <wps:wsp>
                              <wps:cNvPr id="184" name="Text Box 21"/>
                              <wps:cNvSpPr txBox="1">
                                <a:spLocks noChangeArrowheads="1"/>
                              </wps:cNvSpPr>
                              <wps:spPr bwMode="auto">
                                <a:xfrm>
                                  <a:off x="645" y="1127"/>
                                  <a:ext cx="589"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4C0E1" w14:textId="77777777" w:rsidR="003832F2" w:rsidRPr="007C23FC" w:rsidRDefault="003832F2" w:rsidP="00F52B3A">
                                    <w:pPr>
                                      <w:spacing w:after="0"/>
                                      <w:rPr>
                                        <w:rFonts w:ascii="Arial Narrow" w:hAnsi="Arial Narrow"/>
                                      </w:rPr>
                                    </w:pPr>
                                    <w:r>
                                      <w:rPr>
                                        <w:rFonts w:ascii="Arial Narrow" w:hAnsi="Arial Narrow"/>
                                      </w:rPr>
                                      <w:t>FATO</w:t>
                                    </w:r>
                                  </w:p>
                                </w:txbxContent>
                              </wps:txbx>
                              <wps:bodyPr rot="0" vert="horz" wrap="square" lIns="18000" tIns="18000" rIns="18000" bIns="18000" anchor="ctr" anchorCtr="0" upright="1">
                                <a:spAutoFit/>
                              </wps:bodyPr>
                            </wps:wsp>
                          </wpg:grpSp>
                          <wpg:grpSp>
                            <wpg:cNvPr id="185" name="Group 22"/>
                            <wpg:cNvGrpSpPr>
                              <a:grpSpLocks/>
                            </wpg:cNvGrpSpPr>
                            <wpg:grpSpPr bwMode="auto">
                              <a:xfrm>
                                <a:off x="281" y="1625"/>
                                <a:ext cx="8046" cy="2441"/>
                                <a:chOff x="281" y="1625"/>
                                <a:chExt cx="8046" cy="2441"/>
                              </a:xfrm>
                            </wpg:grpSpPr>
                            <wps:wsp>
                              <wps:cNvPr id="186" name="Text Box 23"/>
                              <wps:cNvSpPr txBox="1">
                                <a:spLocks noChangeArrowheads="1"/>
                              </wps:cNvSpPr>
                              <wps:spPr bwMode="auto">
                                <a:xfrm>
                                  <a:off x="1698" y="1995"/>
                                  <a:ext cx="2806"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01790" w14:textId="77777777" w:rsidR="003832F2" w:rsidRDefault="003832F2" w:rsidP="00F52B3A">
                                    <w:pPr>
                                      <w:spacing w:after="0"/>
                                      <w:jc w:val="center"/>
                                      <w:rPr>
                                        <w:rFonts w:ascii="Arial Narrow" w:hAnsi="Arial Narrow"/>
                                        <w:sz w:val="18"/>
                                      </w:rPr>
                                    </w:pPr>
                                    <w:r w:rsidRPr="00875050">
                                      <w:rPr>
                                        <w:rFonts w:ascii="Arial Narrow" w:hAnsi="Arial Narrow"/>
                                        <w:sz w:val="18"/>
                                      </w:rPr>
                                      <w:t>Linia środkowa</w:t>
                                    </w:r>
                                    <w:r>
                                      <w:rPr>
                                        <w:rFonts w:ascii="Arial Narrow" w:hAnsi="Arial Narrow"/>
                                        <w:sz w:val="18"/>
                                      </w:rPr>
                                      <w:t xml:space="preserve"> powierzchni</w:t>
                                    </w:r>
                                  </w:p>
                                  <w:p w14:paraId="2CE4C050" w14:textId="77777777" w:rsidR="003832F2" w:rsidRPr="00AC6C66" w:rsidRDefault="003832F2" w:rsidP="00F52B3A">
                                    <w:pPr>
                                      <w:spacing w:after="0"/>
                                      <w:jc w:val="center"/>
                                      <w:rPr>
                                        <w:rFonts w:ascii="Arial Narrow" w:hAnsi="Arial Narrow"/>
                                        <w:sz w:val="18"/>
                                      </w:rPr>
                                    </w:pPr>
                                    <w:r w:rsidRPr="00AC6C66">
                                      <w:rPr>
                                        <w:rFonts w:ascii="Arial Narrow" w:hAnsi="Arial Narrow"/>
                                        <w:sz w:val="18"/>
                                      </w:rPr>
                                      <w:t xml:space="preserve">podejścia </w:t>
                                    </w:r>
                                    <w:r>
                                      <w:rPr>
                                        <w:rFonts w:ascii="Arial Narrow" w:hAnsi="Arial Narrow"/>
                                        <w:sz w:val="18"/>
                                      </w:rPr>
                                      <w:t>/</w:t>
                                    </w:r>
                                    <w:r w:rsidRPr="00AC6C66">
                                      <w:rPr>
                                        <w:rFonts w:ascii="Arial Narrow" w:hAnsi="Arial Narrow"/>
                                        <w:sz w:val="18"/>
                                      </w:rPr>
                                      <w:t xml:space="preserve"> wznoszenia </w:t>
                                    </w:r>
                                    <w:r w:rsidRPr="0042174E">
                                      <w:rPr>
                                        <w:rFonts w:ascii="Arial Narrow" w:hAnsi="Arial Narrow"/>
                                        <w:sz w:val="18"/>
                                      </w:rPr>
                                      <w:t>przy starcie</w:t>
                                    </w:r>
                                  </w:p>
                                </w:txbxContent>
                              </wps:txbx>
                              <wps:bodyPr rot="0" vert="horz" wrap="square" lIns="18000" tIns="18000" rIns="18000" bIns="18000" anchor="ctr" anchorCtr="0" upright="1">
                                <a:spAutoFit/>
                              </wps:bodyPr>
                            </wps:wsp>
                            <wps:wsp>
                              <wps:cNvPr id="187" name="Text Box 24"/>
                              <wps:cNvSpPr txBox="1">
                                <a:spLocks noChangeArrowheads="1"/>
                              </wps:cNvSpPr>
                              <wps:spPr bwMode="auto">
                                <a:xfrm>
                                  <a:off x="2502" y="2787"/>
                                  <a:ext cx="2167"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C7867" w14:textId="77777777" w:rsidR="003832F2" w:rsidRDefault="003832F2" w:rsidP="00F52B3A">
                                    <w:pPr>
                                      <w:spacing w:after="0"/>
                                      <w:jc w:val="center"/>
                                      <w:rPr>
                                        <w:rFonts w:ascii="Arial Narrow" w:hAnsi="Arial Narrow"/>
                                        <w:sz w:val="18"/>
                                      </w:rPr>
                                    </w:pPr>
                                    <w:r>
                                      <w:rPr>
                                        <w:rFonts w:ascii="Arial Narrow" w:hAnsi="Arial Narrow"/>
                                        <w:sz w:val="18"/>
                                      </w:rPr>
                                      <w:t>R</w:t>
                                    </w:r>
                                    <w:r w:rsidRPr="00B62FD0">
                                      <w:rPr>
                                        <w:rFonts w:ascii="Arial Narrow" w:hAnsi="Arial Narrow"/>
                                        <w:sz w:val="18"/>
                                      </w:rPr>
                                      <w:t>ozbieżność w dzień</w:t>
                                    </w:r>
                                  </w:p>
                                  <w:p w14:paraId="0DC3A970" w14:textId="77777777" w:rsidR="003832F2" w:rsidRPr="00AC6C66" w:rsidRDefault="003832F2" w:rsidP="00F52B3A">
                                    <w:pPr>
                                      <w:spacing w:after="0"/>
                                      <w:jc w:val="center"/>
                                      <w:rPr>
                                        <w:rFonts w:ascii="Arial Narrow" w:hAnsi="Arial Narrow"/>
                                        <w:sz w:val="18"/>
                                      </w:rPr>
                                    </w:pPr>
                                    <w:r>
                                      <w:rPr>
                                        <w:rFonts w:ascii="Arial Narrow" w:hAnsi="Arial Narrow"/>
                                        <w:sz w:val="18"/>
                                      </w:rPr>
                                      <w:t>10 %</w:t>
                                    </w:r>
                                  </w:p>
                                </w:txbxContent>
                              </wps:txbx>
                              <wps:bodyPr rot="0" vert="horz" wrap="square" lIns="18000" tIns="18000" rIns="18000" bIns="18000" anchor="ctr" anchorCtr="0" upright="1">
                                <a:spAutoFit/>
                              </wps:bodyPr>
                            </wps:wsp>
                            <wpg:grpSp>
                              <wpg:cNvPr id="188" name="Group 25"/>
                              <wpg:cNvGrpSpPr>
                                <a:grpSpLocks/>
                              </wpg:cNvGrpSpPr>
                              <wpg:grpSpPr bwMode="auto">
                                <a:xfrm>
                                  <a:off x="281" y="1625"/>
                                  <a:ext cx="8046" cy="2441"/>
                                  <a:chOff x="281" y="1625"/>
                                  <a:chExt cx="8046" cy="2441"/>
                                </a:xfrm>
                              </wpg:grpSpPr>
                              <wpg:grpSp>
                                <wpg:cNvPr id="189" name="Group 26"/>
                                <wpg:cNvGrpSpPr>
                                  <a:grpSpLocks/>
                                </wpg:cNvGrpSpPr>
                                <wpg:grpSpPr bwMode="auto">
                                  <a:xfrm>
                                    <a:off x="281" y="3100"/>
                                    <a:ext cx="3174" cy="966"/>
                                    <a:chOff x="281" y="3100"/>
                                    <a:chExt cx="3174" cy="966"/>
                                  </a:xfrm>
                                </wpg:grpSpPr>
                                <wps:wsp>
                                  <wps:cNvPr id="190" name="Text Box 27"/>
                                  <wps:cNvSpPr txBox="1">
                                    <a:spLocks noChangeArrowheads="1"/>
                                  </wps:cNvSpPr>
                                  <wps:spPr bwMode="auto">
                                    <a:xfrm>
                                      <a:off x="281" y="3100"/>
                                      <a:ext cx="1878"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206A7" w14:textId="77777777" w:rsidR="003832F2" w:rsidRPr="00AC6C66" w:rsidRDefault="003832F2" w:rsidP="00F52B3A">
                                        <w:pPr>
                                          <w:spacing w:after="0"/>
                                          <w:jc w:val="center"/>
                                          <w:rPr>
                                            <w:rFonts w:ascii="Arial Narrow" w:hAnsi="Arial Narrow"/>
                                            <w:sz w:val="18"/>
                                          </w:rPr>
                                        </w:pPr>
                                        <w:r w:rsidRPr="00B62FD0">
                                          <w:rPr>
                                            <w:rFonts w:ascii="Arial Narrow" w:hAnsi="Arial Narrow"/>
                                            <w:sz w:val="18"/>
                                          </w:rPr>
                                          <w:t>Strefa</w:t>
                                        </w:r>
                                        <w:r>
                                          <w:rPr>
                                            <w:rFonts w:ascii="Arial Narrow" w:hAnsi="Arial Narrow"/>
                                            <w:sz w:val="18"/>
                                          </w:rPr>
                                          <w:t xml:space="preserve"> </w:t>
                                        </w:r>
                                        <w:r w:rsidRPr="00AC6C66">
                                          <w:rPr>
                                            <w:rFonts w:ascii="Arial Narrow" w:hAnsi="Arial Narrow"/>
                                            <w:sz w:val="18"/>
                                          </w:rPr>
                                          <w:t>bezpieczeństwa</w:t>
                                        </w:r>
                                      </w:p>
                                    </w:txbxContent>
                                  </wps:txbx>
                                  <wps:bodyPr rot="0" vert="horz" wrap="square" lIns="18000" tIns="18000" rIns="18000" bIns="18000" anchor="ctr" anchorCtr="0" upright="1">
                                    <a:noAutofit/>
                                  </wps:bodyPr>
                                </wps:wsp>
                                <wps:wsp>
                                  <wps:cNvPr id="191" name="Text Box 28"/>
                                  <wps:cNvSpPr txBox="1">
                                    <a:spLocks noChangeArrowheads="1"/>
                                  </wps:cNvSpPr>
                                  <wps:spPr bwMode="auto">
                                    <a:xfrm>
                                      <a:off x="1425" y="3596"/>
                                      <a:ext cx="203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7FE4" w14:textId="77777777" w:rsidR="003832F2" w:rsidRDefault="003832F2" w:rsidP="00F52B3A">
                                        <w:pPr>
                                          <w:spacing w:after="0"/>
                                          <w:contextualSpacing/>
                                          <w:jc w:val="center"/>
                                          <w:rPr>
                                            <w:rFonts w:ascii="Arial Narrow" w:hAnsi="Arial Narrow"/>
                                            <w:sz w:val="18"/>
                                          </w:rPr>
                                        </w:pPr>
                                        <w:r>
                                          <w:rPr>
                                            <w:rFonts w:ascii="Arial Narrow" w:hAnsi="Arial Narrow"/>
                                            <w:sz w:val="18"/>
                                          </w:rPr>
                                          <w:t>15 %</w:t>
                                        </w:r>
                                      </w:p>
                                      <w:p w14:paraId="5AA558E5" w14:textId="77777777" w:rsidR="003832F2" w:rsidRPr="00AC6C66" w:rsidRDefault="003832F2" w:rsidP="00F52B3A">
                                        <w:pPr>
                                          <w:spacing w:after="0"/>
                                          <w:contextualSpacing/>
                                          <w:jc w:val="center"/>
                                          <w:rPr>
                                            <w:rFonts w:ascii="Arial Narrow" w:hAnsi="Arial Narrow"/>
                                            <w:sz w:val="18"/>
                                          </w:rPr>
                                        </w:pPr>
                                        <w:r>
                                          <w:rPr>
                                            <w:rFonts w:ascii="Arial Narrow" w:hAnsi="Arial Narrow"/>
                                            <w:sz w:val="18"/>
                                          </w:rPr>
                                          <w:t>R</w:t>
                                        </w:r>
                                        <w:r w:rsidRPr="00B62FD0">
                                          <w:rPr>
                                            <w:rFonts w:ascii="Arial Narrow" w:hAnsi="Arial Narrow"/>
                                            <w:sz w:val="18"/>
                                          </w:rPr>
                                          <w:t>ozbieżność w nocy</w:t>
                                        </w:r>
                                      </w:p>
                                    </w:txbxContent>
                                  </wps:txbx>
                                  <wps:bodyPr rot="0" vert="horz" wrap="square" lIns="18000" tIns="18000" rIns="18000" bIns="18000" anchor="ctr" anchorCtr="0" upright="1">
                                    <a:spAutoFit/>
                                  </wps:bodyPr>
                                </wps:wsp>
                              </wpg:grpSp>
                              <wps:wsp>
                                <wps:cNvPr id="192" name="Rectangle 29"/>
                                <wps:cNvSpPr>
                                  <a:spLocks noChangeArrowheads="1"/>
                                </wps:cNvSpPr>
                                <wps:spPr bwMode="auto">
                                  <a:xfrm>
                                    <a:off x="5399" y="1625"/>
                                    <a:ext cx="2928"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4B34D" w14:textId="77777777" w:rsidR="003832F2" w:rsidRDefault="003832F2" w:rsidP="00F52B3A">
                                      <w:pPr>
                                        <w:spacing w:after="0"/>
                                        <w:rPr>
                                          <w:rFonts w:ascii="Arial Narrow" w:hAnsi="Arial Narrow"/>
                                          <w:sz w:val="16"/>
                                          <w:szCs w:val="16"/>
                                        </w:rPr>
                                      </w:pPr>
                                      <w:r w:rsidRPr="00875050">
                                        <w:rPr>
                                          <w:rFonts w:ascii="Arial Narrow" w:hAnsi="Arial Narrow"/>
                                          <w:sz w:val="16"/>
                                          <w:szCs w:val="16"/>
                                        </w:rPr>
                                        <w:t>Odległość, przy której nachylenie powierzchni</w:t>
                                      </w:r>
                                    </w:p>
                                    <w:p w14:paraId="4F2F6F28" w14:textId="77777777" w:rsidR="003832F2" w:rsidRPr="00B2069E" w:rsidRDefault="003832F2" w:rsidP="00F52B3A">
                                      <w:pPr>
                                        <w:spacing w:after="0"/>
                                        <w:rPr>
                                          <w:rFonts w:ascii="Arial Narrow" w:hAnsi="Arial Narrow"/>
                                          <w:sz w:val="16"/>
                                          <w:szCs w:val="16"/>
                                        </w:rPr>
                                      </w:pPr>
                                      <w:r>
                                        <w:rPr>
                                          <w:rFonts w:ascii="Arial Narrow" w:hAnsi="Arial Narrow"/>
                                          <w:sz w:val="16"/>
                                          <w:szCs w:val="16"/>
                                        </w:rPr>
                                        <w:t>osią</w:t>
                                      </w:r>
                                      <w:r w:rsidRPr="00B2069E">
                                        <w:rPr>
                                          <w:rFonts w:ascii="Arial Narrow" w:hAnsi="Arial Narrow"/>
                                          <w:sz w:val="16"/>
                                          <w:szCs w:val="16"/>
                                        </w:rPr>
                                        <w:t>ga 152 m ponad wysokość FATO</w:t>
                                      </w:r>
                                    </w:p>
                                  </w:txbxContent>
                                </wps:txbx>
                                <wps:bodyPr rot="0" vert="horz" wrap="square" lIns="18000" tIns="10800" rIns="18000" bIns="10800" anchor="ctr" anchorCtr="0" upright="1">
                                  <a:noAutofit/>
                                </wps:bodyPr>
                              </wps:wsp>
                            </wpg:grpSp>
                          </wpg:grpSp>
                        </wpg:grpSp>
                        <wps:wsp>
                          <wps:cNvPr id="193" name="Rectangle 30"/>
                          <wps:cNvSpPr>
                            <a:spLocks noChangeArrowheads="1"/>
                          </wps:cNvSpPr>
                          <wps:spPr bwMode="auto">
                            <a:xfrm>
                              <a:off x="4545" y="877"/>
                              <a:ext cx="854" cy="2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EF7D8" w14:textId="77777777" w:rsidR="003832F2" w:rsidRPr="005B53DA" w:rsidRDefault="003832F2" w:rsidP="00F52B3A">
                                <w:pPr>
                                  <w:spacing w:after="0"/>
                                  <w:jc w:val="center"/>
                                  <w:rPr>
                                    <w:rFonts w:ascii="Arial Narrow" w:hAnsi="Arial Narrow"/>
                                    <w:sz w:val="16"/>
                                    <w:szCs w:val="14"/>
                                  </w:rPr>
                                </w:pPr>
                                <w:r w:rsidRPr="00875050">
                                  <w:rPr>
                                    <w:rFonts w:ascii="Arial Narrow" w:hAnsi="Arial Narrow"/>
                                    <w:sz w:val="16"/>
                                    <w:szCs w:val="14"/>
                                  </w:rPr>
                                  <w:t>Szerokość w dzień = 7 x</w:t>
                                </w:r>
                                <w:r w:rsidRPr="005B53DA">
                                  <w:rPr>
                                    <w:rFonts w:ascii="Arial Narrow" w:hAnsi="Arial Narrow"/>
                                    <w:sz w:val="16"/>
                                    <w:szCs w:val="14"/>
                                  </w:rPr>
                                  <w:t xml:space="preserve"> średnica wirnika</w:t>
                                </w:r>
                              </w:p>
                              <w:p w14:paraId="7646FD6C" w14:textId="77777777" w:rsidR="003832F2" w:rsidRPr="005B53DA" w:rsidRDefault="003832F2" w:rsidP="00F52B3A">
                                <w:pPr>
                                  <w:spacing w:after="0"/>
                                  <w:jc w:val="center"/>
                                  <w:rPr>
                                    <w:rFonts w:ascii="Arial Narrow" w:hAnsi="Arial Narrow"/>
                                    <w:sz w:val="18"/>
                                    <w:szCs w:val="16"/>
                                  </w:rPr>
                                </w:pPr>
                                <w:r>
                                  <w:rPr>
                                    <w:rFonts w:ascii="Arial Narrow" w:hAnsi="Arial Narrow"/>
                                    <w:sz w:val="16"/>
                                    <w:szCs w:val="14"/>
                                  </w:rPr>
                                  <w:t xml:space="preserve">Szerokość w nocy = 10 x </w:t>
                                </w:r>
                                <w:r w:rsidRPr="005B53DA">
                                  <w:rPr>
                                    <w:rFonts w:ascii="Arial Narrow" w:hAnsi="Arial Narrow"/>
                                    <w:sz w:val="16"/>
                                    <w:szCs w:val="14"/>
                                  </w:rPr>
                                  <w:t>średnica wirnika</w:t>
                                </w:r>
                              </w:p>
                            </w:txbxContent>
                          </wps:txbx>
                          <wps:bodyPr rot="0" vert="vert270" wrap="square" lIns="91440" tIns="45720" rIns="91440" bIns="45720" anchor="t"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0E272F" id="Kanwa 194" o:spid="_x0000_s1232" editas="canvas" style="width:453.5pt;height:230.05pt;mso-position-horizontal-relative:char;mso-position-vertical-relative:line" coordsize="57594,2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">
                <v:shape id="_x0000_s1233" type="#_x0000_t75" style="position:absolute;width:57594;height:29210;visibility:visible;mso-wrap-style:square">
                  <v:fill o:detectmouseclick="t"/>
                  <v:path o:connecttype="none"/>
                </v:shape>
                <v:group id="Group 13" o:spid="_x0000_s1234" style="position:absolute;left:349;top:520;width:57093;height:28372" coordorigin="55,-22" coordsize="899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14" o:spid="_x0000_s1235" style="position:absolute;left:55;top:-22;width:8991;height:4468" coordorigin="55,-22" coordsize="899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 o:spid="_x0000_s1236" style="position:absolute;left:55;top:-22;width:8991;height:4468" coordorigin="55,-22" coordsize="899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group id="Group 16" o:spid="_x0000_s1237" style="position:absolute;left:55;top:-22;width:8991;height:4468" coordorigin="55,-22" coordsize="8991,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Picture 17" o:spid="_x0000_s1238" type="#_x0000_t75" style="position:absolute;left:55;top:-22;width:8991;height: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">
                          <v:imagedata r:id="rId321" o:title=""/>
                        </v:shape>
                        <v:group id="Group 18" o:spid="_x0000_s1239" style="position:absolute;left:867;top:572;width:3726;height:1152" coordorigin="867,572" coordsize="372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Text Box 19" o:spid="_x0000_s1240" type="#_x0000_t202" style="position:absolute;left:867;top:572;width:1979;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" filled="f" stroked="f">
                            <v:textbox style="mso-fit-shape-to-text:t" inset=".5mm,.5mm,.5mm,.5mm">
                              <w:txbxContent>
                                <w:p w14:paraId="76CD0C65" w14:textId="77777777" w:rsidR="003832F2" w:rsidRDefault="003832F2" w:rsidP="00F52B3A">
                                  <w:pPr>
                                    <w:spacing w:after="0"/>
                                    <w:jc w:val="center"/>
                                    <w:rPr>
                                      <w:rFonts w:ascii="Arial Narrow" w:hAnsi="Arial Narrow"/>
                                      <w:sz w:val="18"/>
                                    </w:rPr>
                                  </w:pPr>
                                  <w:r>
                                    <w:rPr>
                                      <w:rFonts w:ascii="Arial Narrow" w:hAnsi="Arial Narrow"/>
                                      <w:sz w:val="18"/>
                                    </w:rPr>
                                    <w:t>R</w:t>
                                  </w:r>
                                  <w:r w:rsidRPr="00B62FD0">
                                    <w:rPr>
                                      <w:rFonts w:ascii="Arial Narrow" w:hAnsi="Arial Narrow"/>
                                      <w:sz w:val="18"/>
                                    </w:rPr>
                                    <w:t>ozbieżność w nocy</w:t>
                                  </w:r>
                                </w:p>
                                <w:p w14:paraId="336185CA" w14:textId="77777777" w:rsidR="003832F2" w:rsidRPr="00AC6C66" w:rsidRDefault="003832F2" w:rsidP="00F52B3A">
                                  <w:pPr>
                                    <w:spacing w:after="0"/>
                                    <w:jc w:val="center"/>
                                    <w:rPr>
                                      <w:rFonts w:ascii="Arial Narrow" w:hAnsi="Arial Narrow"/>
                                      <w:sz w:val="18"/>
                                    </w:rPr>
                                  </w:pPr>
                                  <w:r>
                                    <w:rPr>
                                      <w:rFonts w:ascii="Arial Narrow" w:hAnsi="Arial Narrow"/>
                                      <w:sz w:val="18"/>
                                    </w:rPr>
                                    <w:t>15 %</w:t>
                                  </w:r>
                                </w:p>
                              </w:txbxContent>
                            </v:textbox>
                          </v:shape>
                          <v:shape id="Text Box 20" o:spid="_x0000_s1241" type="#_x0000_t202" style="position:absolute;left:2223;top:1226;width:2370;height: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" filled="f" stroked="f">
                            <v:textbox style="mso-fit-shape-to-text:t" inset=".5mm,1mm,.5mm,.5mm">
                              <w:txbxContent>
                                <w:p w14:paraId="6F3C2D7C" w14:textId="77777777" w:rsidR="003832F2" w:rsidRPr="00AC6C66" w:rsidRDefault="003832F2" w:rsidP="00F52B3A">
                                  <w:pPr>
                                    <w:spacing w:after="0"/>
                                    <w:jc w:val="center"/>
                                    <w:rPr>
                                      <w:rFonts w:ascii="Arial Narrow" w:hAnsi="Arial Narrow"/>
                                      <w:sz w:val="18"/>
                                    </w:rPr>
                                  </w:pPr>
                                  <w:r>
                                    <w:rPr>
                                      <w:rFonts w:ascii="Arial Narrow" w:hAnsi="Arial Narrow"/>
                                      <w:sz w:val="18"/>
                                    </w:rPr>
                                    <w:t xml:space="preserve">10 % </w:t>
                                  </w:r>
                                  <w:r>
                                    <w:rPr>
                                      <w:rFonts w:ascii="Arial Narrow" w:hAnsi="Arial Narrow"/>
                                      <w:sz w:val="18"/>
                                    </w:rPr>
                                    <w:br/>
                                    <w:t>R</w:t>
                                  </w:r>
                                  <w:r w:rsidRPr="00B62FD0">
                                    <w:rPr>
                                      <w:rFonts w:ascii="Arial Narrow" w:hAnsi="Arial Narrow"/>
                                      <w:sz w:val="18"/>
                                    </w:rPr>
                                    <w:t>ozbieżność w dzień</w:t>
                                  </w:r>
                                  <w:r>
                                    <w:rPr>
                                      <w:rFonts w:ascii="Arial Narrow" w:hAnsi="Arial Narrow"/>
                                      <w:sz w:val="18"/>
                                    </w:rPr>
                                    <w:t xml:space="preserve"> </w:t>
                                  </w:r>
                                </w:p>
                              </w:txbxContent>
                            </v:textbox>
                          </v:shape>
                        </v:group>
                      </v:group>
                      <v:shape id="Text Box 21" o:spid="_x0000_s1242" type="#_x0000_t202" style="position:absolute;left:645;top:1127;width:589;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" filled="f" stroked="f">
                        <v:textbox style="mso-fit-shape-to-text:t" inset=".5mm,.5mm,.5mm,.5mm">
                          <w:txbxContent>
                            <w:p w14:paraId="7934C0E1" w14:textId="77777777" w:rsidR="003832F2" w:rsidRPr="007C23FC" w:rsidRDefault="003832F2" w:rsidP="00F52B3A">
                              <w:pPr>
                                <w:spacing w:after="0"/>
                                <w:rPr>
                                  <w:rFonts w:ascii="Arial Narrow" w:hAnsi="Arial Narrow"/>
                                </w:rPr>
                              </w:pPr>
                              <w:r>
                                <w:rPr>
                                  <w:rFonts w:ascii="Arial Narrow" w:hAnsi="Arial Narrow"/>
                                </w:rPr>
                                <w:t>FATO</w:t>
                              </w:r>
                            </w:p>
                          </w:txbxContent>
                        </v:textbox>
                      </v:shape>
                    </v:group>
                    <v:group id="Group 22" o:spid="_x0000_s1243" style="position:absolute;left:281;top:1625;width:8046;height:2441" coordorigin="281,1625" coordsize="804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Text Box 23" o:spid="_x0000_s1244" type="#_x0000_t202" style="position:absolute;left:1698;top:1995;width:2806;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" filled="f" stroked="f">
                        <v:textbox style="mso-fit-shape-to-text:t" inset=".5mm,.5mm,.5mm,.5mm">
                          <w:txbxContent>
                            <w:p w14:paraId="42901790" w14:textId="77777777" w:rsidR="003832F2" w:rsidRDefault="003832F2" w:rsidP="00F52B3A">
                              <w:pPr>
                                <w:spacing w:after="0"/>
                                <w:jc w:val="center"/>
                                <w:rPr>
                                  <w:rFonts w:ascii="Arial Narrow" w:hAnsi="Arial Narrow"/>
                                  <w:sz w:val="18"/>
                                </w:rPr>
                              </w:pPr>
                              <w:r w:rsidRPr="00875050">
                                <w:rPr>
                                  <w:rFonts w:ascii="Arial Narrow" w:hAnsi="Arial Narrow"/>
                                  <w:sz w:val="18"/>
                                </w:rPr>
                                <w:t>Linia środkowa</w:t>
                              </w:r>
                              <w:r>
                                <w:rPr>
                                  <w:rFonts w:ascii="Arial Narrow" w:hAnsi="Arial Narrow"/>
                                  <w:sz w:val="18"/>
                                </w:rPr>
                                <w:t xml:space="preserve"> powierzchni</w:t>
                              </w:r>
                            </w:p>
                            <w:p w14:paraId="2CE4C050" w14:textId="77777777" w:rsidR="003832F2" w:rsidRPr="00AC6C66" w:rsidRDefault="003832F2" w:rsidP="00F52B3A">
                              <w:pPr>
                                <w:spacing w:after="0"/>
                                <w:jc w:val="center"/>
                                <w:rPr>
                                  <w:rFonts w:ascii="Arial Narrow" w:hAnsi="Arial Narrow"/>
                                  <w:sz w:val="18"/>
                                </w:rPr>
                              </w:pPr>
                              <w:r w:rsidRPr="00AC6C66">
                                <w:rPr>
                                  <w:rFonts w:ascii="Arial Narrow" w:hAnsi="Arial Narrow"/>
                                  <w:sz w:val="18"/>
                                </w:rPr>
                                <w:t xml:space="preserve">podejścia </w:t>
                              </w:r>
                              <w:r>
                                <w:rPr>
                                  <w:rFonts w:ascii="Arial Narrow" w:hAnsi="Arial Narrow"/>
                                  <w:sz w:val="18"/>
                                </w:rPr>
                                <w:t>/</w:t>
                              </w:r>
                              <w:r w:rsidRPr="00AC6C66">
                                <w:rPr>
                                  <w:rFonts w:ascii="Arial Narrow" w:hAnsi="Arial Narrow"/>
                                  <w:sz w:val="18"/>
                                </w:rPr>
                                <w:t xml:space="preserve"> wznoszenia </w:t>
                              </w:r>
                              <w:r w:rsidRPr="0042174E">
                                <w:rPr>
                                  <w:rFonts w:ascii="Arial Narrow" w:hAnsi="Arial Narrow"/>
                                  <w:sz w:val="18"/>
                                </w:rPr>
                                <w:t>przy starcie</w:t>
                              </w:r>
                            </w:p>
                          </w:txbxContent>
                        </v:textbox>
                      </v:shape>
                      <v:shape id="Text Box 24" o:spid="_x0000_s1245" type="#_x0000_t202" style="position:absolute;left:2502;top:2787;width:2167;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" filled="f" stroked="f">
                        <v:textbox style="mso-fit-shape-to-text:t" inset=".5mm,.5mm,.5mm,.5mm">
                          <w:txbxContent>
                            <w:p w14:paraId="009C7867" w14:textId="77777777" w:rsidR="003832F2" w:rsidRDefault="003832F2" w:rsidP="00F52B3A">
                              <w:pPr>
                                <w:spacing w:after="0"/>
                                <w:jc w:val="center"/>
                                <w:rPr>
                                  <w:rFonts w:ascii="Arial Narrow" w:hAnsi="Arial Narrow"/>
                                  <w:sz w:val="18"/>
                                </w:rPr>
                              </w:pPr>
                              <w:r>
                                <w:rPr>
                                  <w:rFonts w:ascii="Arial Narrow" w:hAnsi="Arial Narrow"/>
                                  <w:sz w:val="18"/>
                                </w:rPr>
                                <w:t>R</w:t>
                              </w:r>
                              <w:r w:rsidRPr="00B62FD0">
                                <w:rPr>
                                  <w:rFonts w:ascii="Arial Narrow" w:hAnsi="Arial Narrow"/>
                                  <w:sz w:val="18"/>
                                </w:rPr>
                                <w:t>ozbieżność w dzień</w:t>
                              </w:r>
                            </w:p>
                            <w:p w14:paraId="0DC3A970" w14:textId="77777777" w:rsidR="003832F2" w:rsidRPr="00AC6C66" w:rsidRDefault="003832F2" w:rsidP="00F52B3A">
                              <w:pPr>
                                <w:spacing w:after="0"/>
                                <w:jc w:val="center"/>
                                <w:rPr>
                                  <w:rFonts w:ascii="Arial Narrow" w:hAnsi="Arial Narrow"/>
                                  <w:sz w:val="18"/>
                                </w:rPr>
                              </w:pPr>
                              <w:r>
                                <w:rPr>
                                  <w:rFonts w:ascii="Arial Narrow" w:hAnsi="Arial Narrow"/>
                                  <w:sz w:val="18"/>
                                </w:rPr>
                                <w:t>10 %</w:t>
                              </w:r>
                            </w:p>
                          </w:txbxContent>
                        </v:textbox>
                      </v:shape>
                      <v:group id="Group 25" o:spid="_x0000_s1246" style="position:absolute;left:281;top:1625;width:8046;height:2441" coordorigin="281,1625" coordsize="804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group id="Group 26" o:spid="_x0000_s1247" style="position:absolute;left:281;top:3100;width:3174;height:966" coordorigin="281,3100" coordsize="317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Text Box 27" o:spid="_x0000_s1248" type="#_x0000_t202" style="position:absolute;left:281;top:3100;width:1878;height: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" filled="f" stroked="f">
                            <v:textbox inset=".5mm,.5mm,.5mm,.5mm">
                              <w:txbxContent>
                                <w:p w14:paraId="314206A7" w14:textId="77777777" w:rsidR="003832F2" w:rsidRPr="00AC6C66" w:rsidRDefault="003832F2" w:rsidP="00F52B3A">
                                  <w:pPr>
                                    <w:spacing w:after="0"/>
                                    <w:jc w:val="center"/>
                                    <w:rPr>
                                      <w:rFonts w:ascii="Arial Narrow" w:hAnsi="Arial Narrow"/>
                                      <w:sz w:val="18"/>
                                    </w:rPr>
                                  </w:pPr>
                                  <w:r w:rsidRPr="00B62FD0">
                                    <w:rPr>
                                      <w:rFonts w:ascii="Arial Narrow" w:hAnsi="Arial Narrow"/>
                                      <w:sz w:val="18"/>
                                    </w:rPr>
                                    <w:t>Strefa</w:t>
                                  </w:r>
                                  <w:r>
                                    <w:rPr>
                                      <w:rFonts w:ascii="Arial Narrow" w:hAnsi="Arial Narrow"/>
                                      <w:sz w:val="18"/>
                                    </w:rPr>
                                    <w:t xml:space="preserve"> </w:t>
                                  </w:r>
                                  <w:r w:rsidRPr="00AC6C66">
                                    <w:rPr>
                                      <w:rFonts w:ascii="Arial Narrow" w:hAnsi="Arial Narrow"/>
                                      <w:sz w:val="18"/>
                                    </w:rPr>
                                    <w:t>bezpieczeństwa</w:t>
                                  </w:r>
                                </w:p>
                              </w:txbxContent>
                            </v:textbox>
                          </v:shape>
                          <v:shape id="Text Box 28" o:spid="_x0000_s1249" type="#_x0000_t202" style="position:absolute;left:1425;top:3596;width:2030;height: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" filled="f" stroked="f">
                            <v:textbox style="mso-fit-shape-to-text:t" inset=".5mm,.5mm,.5mm,.5mm">
                              <w:txbxContent>
                                <w:p w14:paraId="7B467FE4" w14:textId="77777777" w:rsidR="003832F2" w:rsidRDefault="003832F2" w:rsidP="00F52B3A">
                                  <w:pPr>
                                    <w:spacing w:after="0"/>
                                    <w:contextualSpacing/>
                                    <w:jc w:val="center"/>
                                    <w:rPr>
                                      <w:rFonts w:ascii="Arial Narrow" w:hAnsi="Arial Narrow"/>
                                      <w:sz w:val="18"/>
                                    </w:rPr>
                                  </w:pPr>
                                  <w:r>
                                    <w:rPr>
                                      <w:rFonts w:ascii="Arial Narrow" w:hAnsi="Arial Narrow"/>
                                      <w:sz w:val="18"/>
                                    </w:rPr>
                                    <w:t>15 %</w:t>
                                  </w:r>
                                </w:p>
                                <w:p w14:paraId="5AA558E5" w14:textId="77777777" w:rsidR="003832F2" w:rsidRPr="00AC6C66" w:rsidRDefault="003832F2" w:rsidP="00F52B3A">
                                  <w:pPr>
                                    <w:spacing w:after="0"/>
                                    <w:contextualSpacing/>
                                    <w:jc w:val="center"/>
                                    <w:rPr>
                                      <w:rFonts w:ascii="Arial Narrow" w:hAnsi="Arial Narrow"/>
                                      <w:sz w:val="18"/>
                                    </w:rPr>
                                  </w:pPr>
                                  <w:r>
                                    <w:rPr>
                                      <w:rFonts w:ascii="Arial Narrow" w:hAnsi="Arial Narrow"/>
                                      <w:sz w:val="18"/>
                                    </w:rPr>
                                    <w:t>R</w:t>
                                  </w:r>
                                  <w:r w:rsidRPr="00B62FD0">
                                    <w:rPr>
                                      <w:rFonts w:ascii="Arial Narrow" w:hAnsi="Arial Narrow"/>
                                      <w:sz w:val="18"/>
                                    </w:rPr>
                                    <w:t>ozbieżność w nocy</w:t>
                                  </w:r>
                                </w:p>
                              </w:txbxContent>
                            </v:textbox>
                          </v:shape>
                        </v:group>
                        <v:rect id="Rectangle 29" o:spid="_x0000_s1250" style="position:absolute;left:5399;top:1625;width:2928;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" filled="f" stroked="f">
                          <v:textbox inset=".5mm,.3mm,.5mm,.3mm">
                            <w:txbxContent>
                              <w:p w14:paraId="6214B34D" w14:textId="77777777" w:rsidR="003832F2" w:rsidRDefault="003832F2" w:rsidP="00F52B3A">
                                <w:pPr>
                                  <w:spacing w:after="0"/>
                                  <w:rPr>
                                    <w:rFonts w:ascii="Arial Narrow" w:hAnsi="Arial Narrow"/>
                                    <w:sz w:val="16"/>
                                    <w:szCs w:val="16"/>
                                  </w:rPr>
                                </w:pPr>
                                <w:r w:rsidRPr="00875050">
                                  <w:rPr>
                                    <w:rFonts w:ascii="Arial Narrow" w:hAnsi="Arial Narrow"/>
                                    <w:sz w:val="16"/>
                                    <w:szCs w:val="16"/>
                                  </w:rPr>
                                  <w:t>Odległość, przy której nachylenie powierzchni</w:t>
                                </w:r>
                              </w:p>
                              <w:p w14:paraId="4F2F6F28" w14:textId="77777777" w:rsidR="003832F2" w:rsidRPr="00B2069E" w:rsidRDefault="003832F2" w:rsidP="00F52B3A">
                                <w:pPr>
                                  <w:spacing w:after="0"/>
                                  <w:rPr>
                                    <w:rFonts w:ascii="Arial Narrow" w:hAnsi="Arial Narrow"/>
                                    <w:sz w:val="16"/>
                                    <w:szCs w:val="16"/>
                                  </w:rPr>
                                </w:pPr>
                                <w:r>
                                  <w:rPr>
                                    <w:rFonts w:ascii="Arial Narrow" w:hAnsi="Arial Narrow"/>
                                    <w:sz w:val="16"/>
                                    <w:szCs w:val="16"/>
                                  </w:rPr>
                                  <w:t>osią</w:t>
                                </w:r>
                                <w:r w:rsidRPr="00B2069E">
                                  <w:rPr>
                                    <w:rFonts w:ascii="Arial Narrow" w:hAnsi="Arial Narrow"/>
                                    <w:sz w:val="16"/>
                                    <w:szCs w:val="16"/>
                                  </w:rPr>
                                  <w:t>ga 152 m ponad wysokość FATO</w:t>
                                </w:r>
                              </w:p>
                            </w:txbxContent>
                          </v:textbox>
                        </v:rect>
                      </v:group>
                    </v:group>
                  </v:group>
                  <v:rect id="Rectangle 30" o:spid="_x0000_s1251" style="position:absolute;left:4545;top:877;width:854;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" filled="f" stroked="f">
                    <v:textbox style="layout-flow:vertical;mso-layout-flow-alt:bottom-to-top">
                      <w:txbxContent>
                        <w:p w14:paraId="410EF7D8" w14:textId="77777777" w:rsidR="003832F2" w:rsidRPr="005B53DA" w:rsidRDefault="003832F2" w:rsidP="00F52B3A">
                          <w:pPr>
                            <w:spacing w:after="0"/>
                            <w:jc w:val="center"/>
                            <w:rPr>
                              <w:rFonts w:ascii="Arial Narrow" w:hAnsi="Arial Narrow"/>
                              <w:sz w:val="16"/>
                              <w:szCs w:val="14"/>
                            </w:rPr>
                          </w:pPr>
                          <w:r w:rsidRPr="00875050">
                            <w:rPr>
                              <w:rFonts w:ascii="Arial Narrow" w:hAnsi="Arial Narrow"/>
                              <w:sz w:val="16"/>
                              <w:szCs w:val="14"/>
                            </w:rPr>
                            <w:t>Szerokość w dzień = 7 x</w:t>
                          </w:r>
                          <w:r w:rsidRPr="005B53DA">
                            <w:rPr>
                              <w:rFonts w:ascii="Arial Narrow" w:hAnsi="Arial Narrow"/>
                              <w:sz w:val="16"/>
                              <w:szCs w:val="14"/>
                            </w:rPr>
                            <w:t xml:space="preserve"> średnica wirnika</w:t>
                          </w:r>
                        </w:p>
                        <w:p w14:paraId="7646FD6C" w14:textId="77777777" w:rsidR="003832F2" w:rsidRPr="005B53DA" w:rsidRDefault="003832F2" w:rsidP="00F52B3A">
                          <w:pPr>
                            <w:spacing w:after="0"/>
                            <w:jc w:val="center"/>
                            <w:rPr>
                              <w:rFonts w:ascii="Arial Narrow" w:hAnsi="Arial Narrow"/>
                              <w:sz w:val="18"/>
                              <w:szCs w:val="16"/>
                            </w:rPr>
                          </w:pPr>
                          <w:r>
                            <w:rPr>
                              <w:rFonts w:ascii="Arial Narrow" w:hAnsi="Arial Narrow"/>
                              <w:sz w:val="16"/>
                              <w:szCs w:val="14"/>
                            </w:rPr>
                            <w:t xml:space="preserve">Szerokość w nocy = 10 x </w:t>
                          </w:r>
                          <w:r w:rsidRPr="005B53DA">
                            <w:rPr>
                              <w:rFonts w:ascii="Arial Narrow" w:hAnsi="Arial Narrow"/>
                              <w:sz w:val="16"/>
                              <w:szCs w:val="14"/>
                            </w:rPr>
                            <w:t>średnica wirnika</w:t>
                          </w:r>
                        </w:p>
                      </w:txbxContent>
                    </v:textbox>
                  </v:rect>
                </v:group>
                <w10:anchorlock/>
              </v:group>
            </w:pict>
          </mc:Fallback>
        </mc:AlternateContent>
      </w:r>
    </w:p>
    <w:p w14:paraId="229DB7E7" w14:textId="77777777" w:rsidR="00F52B3A" w:rsidRPr="00F52B3A" w:rsidRDefault="00F52B3A" w:rsidP="00F52B3A">
      <w:pPr>
        <w:pStyle w:val="Default"/>
        <w:spacing w:line="276" w:lineRule="auto"/>
        <w:rPr>
          <w:bCs/>
          <w:sz w:val="20"/>
          <w:szCs w:val="20"/>
        </w:rPr>
      </w:pPr>
    </w:p>
    <w:p w14:paraId="55A01A40" w14:textId="1F37345A" w:rsidR="00F52B3A" w:rsidRPr="00E751D2" w:rsidRDefault="00F52B3A" w:rsidP="00F52B3A">
      <w:pPr>
        <w:tabs>
          <w:tab w:val="left" w:pos="0"/>
        </w:tabs>
        <w:autoSpaceDE w:val="0"/>
        <w:autoSpaceDN w:val="0"/>
        <w:adjustRightInd w:val="0"/>
        <w:jc w:val="center"/>
        <w:rPr>
          <w:b/>
          <w:bCs/>
          <w:sz w:val="20"/>
          <w:szCs w:val="20"/>
        </w:rPr>
      </w:pPr>
      <w:r w:rsidRPr="00E751D2">
        <w:rPr>
          <w:b/>
          <w:bCs/>
          <w:sz w:val="20"/>
          <w:szCs w:val="20"/>
        </w:rPr>
        <w:t>Rysunek E-2.    Szerokość powierzchni wznoszenia przy starcie oraz powierzchni podejścia</w:t>
      </w:r>
    </w:p>
    <w:p w14:paraId="7A1BE7A8" w14:textId="5349B0CC" w:rsidR="00F52B3A" w:rsidRDefault="00F52B3A" w:rsidP="00F52B3A">
      <w:pPr>
        <w:pStyle w:val="Style10"/>
        <w:widowControl/>
        <w:tabs>
          <w:tab w:val="left" w:pos="0"/>
        </w:tabs>
        <w:spacing w:line="276" w:lineRule="auto"/>
        <w:rPr>
          <w:rStyle w:val="FontStyle221"/>
          <w:lang w:eastAsia="en-US"/>
        </w:rPr>
      </w:pPr>
    </w:p>
    <w:p w14:paraId="25E7D0BC" w14:textId="7083D5E5" w:rsidR="00F52B3A" w:rsidRPr="001C51C1" w:rsidRDefault="001C51C1" w:rsidP="00F52B3A">
      <w:pPr>
        <w:widowControl/>
        <w:autoSpaceDE w:val="0"/>
        <w:autoSpaceDN w:val="0"/>
        <w:adjustRightInd w:val="0"/>
        <w:spacing w:after="0" w:line="276" w:lineRule="auto"/>
        <w:jc w:val="left"/>
        <w:rPr>
          <w:rFonts w:ascii="Times New Roman" w:eastAsia="Times New Roman" w:hAnsi="Times New Roman" w:cs="Times New Roman"/>
          <w:sz w:val="20"/>
          <w:szCs w:val="20"/>
          <w:lang w:eastAsia="pl-PL"/>
        </w:rPr>
      </w:pPr>
      <w:r>
        <w:rPr>
          <w:rFonts w:ascii="Times New Roman" w:eastAsia="Times New Roman" w:hAnsi="Times New Roman" w:cs="Times New Roman"/>
          <w:noProof/>
          <w:sz w:val="20"/>
          <w:szCs w:val="20"/>
          <w:lang w:eastAsia="pl-PL"/>
        </w:rPr>
        <w:drawing>
          <wp:inline distT="0" distB="0" distL="0" distR="0" wp14:anchorId="0CB1A8F5" wp14:editId="6C5D60BE">
            <wp:extent cx="5759450" cy="5534660"/>
            <wp:effectExtent l="0" t="0" r="0"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yunek 7.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5759450" cy="5534660"/>
                    </a:xfrm>
                    <a:prstGeom prst="rect">
                      <a:avLst/>
                    </a:prstGeom>
                  </pic:spPr>
                </pic:pic>
              </a:graphicData>
            </a:graphic>
          </wp:inline>
        </w:drawing>
      </w:r>
    </w:p>
    <w:p w14:paraId="493F8580" w14:textId="77777777" w:rsidR="00F52B3A" w:rsidRPr="00F52B3A" w:rsidRDefault="00F52B3A" w:rsidP="00F52B3A">
      <w:pPr>
        <w:widowControl/>
        <w:tabs>
          <w:tab w:val="left" w:pos="0"/>
        </w:tabs>
        <w:autoSpaceDE w:val="0"/>
        <w:autoSpaceDN w:val="0"/>
        <w:adjustRightInd w:val="0"/>
        <w:spacing w:after="0" w:line="276" w:lineRule="auto"/>
        <w:rPr>
          <w:rFonts w:ascii="Times New Roman" w:eastAsia="Times New Roman" w:hAnsi="Times New Roman" w:cs="Times New Roman"/>
          <w:sz w:val="20"/>
          <w:szCs w:val="20"/>
        </w:rPr>
      </w:pPr>
    </w:p>
    <w:p w14:paraId="4D10737A" w14:textId="6492FA65" w:rsidR="00F52B3A" w:rsidRPr="001C51C1" w:rsidRDefault="00F52B3A" w:rsidP="00F52B3A">
      <w:pPr>
        <w:tabs>
          <w:tab w:val="left" w:pos="0"/>
        </w:tabs>
        <w:autoSpaceDE w:val="0"/>
        <w:autoSpaceDN w:val="0"/>
        <w:adjustRightInd w:val="0"/>
        <w:jc w:val="center"/>
        <w:rPr>
          <w:b/>
          <w:bCs/>
        </w:rPr>
      </w:pPr>
      <w:r w:rsidRPr="001C51C1">
        <w:rPr>
          <w:b/>
          <w:bCs/>
          <w:sz w:val="20"/>
          <w:szCs w:val="20"/>
        </w:rPr>
        <w:t xml:space="preserve">Rysunek E-3.   Zakrzywiona powierzchnia wznoszenia przy starcie </w:t>
      </w:r>
      <w:r w:rsidR="001C51C1" w:rsidRPr="001C51C1">
        <w:rPr>
          <w:b/>
          <w:bCs/>
          <w:sz w:val="20"/>
          <w:szCs w:val="20"/>
        </w:rPr>
        <w:t>i</w:t>
      </w:r>
      <w:r w:rsidRPr="001C51C1">
        <w:rPr>
          <w:b/>
          <w:bCs/>
          <w:sz w:val="20"/>
          <w:szCs w:val="20"/>
        </w:rPr>
        <w:t xml:space="preserve"> powierzchnia podejścia </w:t>
      </w:r>
      <w:r w:rsidRPr="001C51C1">
        <w:rPr>
          <w:b/>
          <w:bCs/>
          <w:sz w:val="20"/>
          <w:szCs w:val="20"/>
        </w:rPr>
        <w:br/>
        <w:t>dla wszystkich stref FATO</w:t>
      </w:r>
    </w:p>
    <w:p w14:paraId="2C0681E1" w14:textId="0B0334FE" w:rsidR="001C51C1" w:rsidRDefault="001C51C1">
      <w:pPr>
        <w:spacing w:after="0"/>
        <w:jc w:val="left"/>
        <w:rPr>
          <w:rStyle w:val="FontStyle221"/>
          <w:rFonts w:eastAsia="Times New Roman"/>
        </w:rPr>
      </w:pPr>
      <w:r>
        <w:rPr>
          <w:rStyle w:val="FontStyle221"/>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28" w:type="dxa"/>
          <w:bottom w:w="85" w:type="dxa"/>
          <w:right w:w="113" w:type="dxa"/>
        </w:tblCellMar>
        <w:tblLook w:val="00A0" w:firstRow="1" w:lastRow="0" w:firstColumn="1" w:lastColumn="0" w:noHBand="0" w:noVBand="0"/>
      </w:tblPr>
      <w:tblGrid>
        <w:gridCol w:w="4030"/>
        <w:gridCol w:w="2163"/>
        <w:gridCol w:w="1463"/>
        <w:gridCol w:w="1555"/>
      </w:tblGrid>
      <w:tr w:rsidR="005D1BFF" w:rsidRPr="005D1BFF" w14:paraId="504A534B" w14:textId="77777777" w:rsidTr="001C51C1">
        <w:trPr>
          <w:trHeight w:val="412"/>
        </w:trPr>
        <w:tc>
          <w:tcPr>
            <w:tcW w:w="2188" w:type="pct"/>
            <w:vMerge w:val="restart"/>
            <w:tcBorders>
              <w:top w:val="single" w:sz="4" w:space="0" w:color="auto"/>
              <w:left w:val="single" w:sz="4" w:space="0" w:color="auto"/>
            </w:tcBorders>
            <w:tcMar>
              <w:top w:w="28" w:type="dxa"/>
              <w:left w:w="113" w:type="dxa"/>
              <w:bottom w:w="28" w:type="dxa"/>
              <w:right w:w="28" w:type="dxa"/>
            </w:tcMar>
            <w:vAlign w:val="center"/>
          </w:tcPr>
          <w:p w14:paraId="182C21C0"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Cs w:val="20"/>
                <w:lang w:eastAsia="pl-PL"/>
              </w:rPr>
            </w:pPr>
            <w:r w:rsidRPr="005D1BFF">
              <w:rPr>
                <w:rFonts w:asciiTheme="minorHAnsi" w:eastAsia="Times New Roman" w:hAnsiTheme="minorHAnsi" w:cstheme="minorHAnsi"/>
                <w:b/>
                <w:sz w:val="20"/>
                <w:szCs w:val="20"/>
                <w:lang w:eastAsia="pl-PL"/>
              </w:rPr>
              <w:t>POWIERZCHNIA I WYMIARY</w:t>
            </w:r>
          </w:p>
        </w:tc>
        <w:tc>
          <w:tcPr>
            <w:tcW w:w="2812" w:type="pct"/>
            <w:gridSpan w:val="3"/>
            <w:tcBorders>
              <w:top w:val="single" w:sz="4" w:space="0" w:color="auto"/>
              <w:right w:val="single" w:sz="4" w:space="0" w:color="auto"/>
            </w:tcBorders>
            <w:tcMar>
              <w:top w:w="28" w:type="dxa"/>
              <w:left w:w="28" w:type="dxa"/>
              <w:bottom w:w="28" w:type="dxa"/>
              <w:right w:w="28" w:type="dxa"/>
            </w:tcMar>
            <w:vAlign w:val="center"/>
          </w:tcPr>
          <w:p w14:paraId="70177E04"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b/>
                <w:szCs w:val="20"/>
                <w:lang w:eastAsia="pl-PL"/>
              </w:rPr>
            </w:pPr>
            <w:r w:rsidRPr="005D1BFF">
              <w:rPr>
                <w:rFonts w:asciiTheme="minorHAnsi" w:eastAsia="Times New Roman" w:hAnsiTheme="minorHAnsi" w:cstheme="minorHAnsi"/>
                <w:b/>
                <w:sz w:val="20"/>
                <w:szCs w:val="20"/>
                <w:lang w:eastAsia="pl-PL"/>
              </w:rPr>
              <w:t>KATEGORIE PROJEKTOWANEGO NACHYLENIA</w:t>
            </w:r>
          </w:p>
        </w:tc>
      </w:tr>
      <w:tr w:rsidR="005D1BFF" w:rsidRPr="005D1BFF" w14:paraId="5FFE72B6" w14:textId="77777777" w:rsidTr="001C51C1">
        <w:tc>
          <w:tcPr>
            <w:tcW w:w="2188" w:type="pct"/>
            <w:vMerge/>
            <w:tcBorders>
              <w:left w:val="single" w:sz="4" w:space="0" w:color="auto"/>
              <w:bottom w:val="single" w:sz="4" w:space="0" w:color="auto"/>
            </w:tcBorders>
            <w:vAlign w:val="center"/>
          </w:tcPr>
          <w:p w14:paraId="4E6A3731"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Cs w:val="20"/>
                <w:lang w:eastAsia="pl-PL"/>
              </w:rPr>
            </w:pPr>
          </w:p>
        </w:tc>
        <w:tc>
          <w:tcPr>
            <w:tcW w:w="1174" w:type="pct"/>
            <w:tcBorders>
              <w:bottom w:val="single" w:sz="4" w:space="0" w:color="auto"/>
            </w:tcBorders>
            <w:tcMar>
              <w:top w:w="28" w:type="dxa"/>
              <w:left w:w="28" w:type="dxa"/>
              <w:bottom w:w="28" w:type="dxa"/>
              <w:right w:w="28" w:type="dxa"/>
            </w:tcMar>
            <w:vAlign w:val="center"/>
          </w:tcPr>
          <w:p w14:paraId="5BD42F90"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b/>
                <w:sz w:val="20"/>
                <w:szCs w:val="20"/>
                <w:lang w:eastAsia="pl-PL"/>
              </w:rPr>
            </w:pPr>
            <w:r w:rsidRPr="005D1BFF">
              <w:rPr>
                <w:rFonts w:asciiTheme="minorHAnsi" w:eastAsia="Times New Roman" w:hAnsiTheme="minorHAnsi" w:cstheme="minorHAnsi"/>
                <w:b/>
                <w:sz w:val="20"/>
                <w:szCs w:val="20"/>
                <w:lang w:eastAsia="pl-PL"/>
              </w:rPr>
              <w:t>A</w:t>
            </w:r>
          </w:p>
        </w:tc>
        <w:tc>
          <w:tcPr>
            <w:tcW w:w="794" w:type="pct"/>
            <w:tcBorders>
              <w:bottom w:val="single" w:sz="4" w:space="0" w:color="auto"/>
            </w:tcBorders>
            <w:tcMar>
              <w:top w:w="28" w:type="dxa"/>
              <w:left w:w="113" w:type="dxa"/>
              <w:bottom w:w="28" w:type="dxa"/>
              <w:right w:w="28" w:type="dxa"/>
            </w:tcMar>
            <w:vAlign w:val="center"/>
          </w:tcPr>
          <w:p w14:paraId="76317C34"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b/>
                <w:sz w:val="20"/>
                <w:szCs w:val="20"/>
                <w:lang w:eastAsia="pl-PL"/>
              </w:rPr>
            </w:pPr>
            <w:r w:rsidRPr="005D1BFF">
              <w:rPr>
                <w:rFonts w:asciiTheme="minorHAnsi" w:eastAsia="Times New Roman" w:hAnsiTheme="minorHAnsi" w:cstheme="minorHAnsi"/>
                <w:b/>
                <w:sz w:val="20"/>
                <w:szCs w:val="20"/>
                <w:lang w:eastAsia="pl-PL"/>
              </w:rPr>
              <w:t>B</w:t>
            </w:r>
          </w:p>
        </w:tc>
        <w:tc>
          <w:tcPr>
            <w:tcW w:w="844" w:type="pct"/>
            <w:tcBorders>
              <w:bottom w:val="single" w:sz="4" w:space="0" w:color="auto"/>
              <w:right w:val="single" w:sz="4" w:space="0" w:color="auto"/>
            </w:tcBorders>
            <w:tcMar>
              <w:top w:w="28" w:type="dxa"/>
              <w:left w:w="113" w:type="dxa"/>
              <w:bottom w:w="28" w:type="dxa"/>
            </w:tcMar>
            <w:vAlign w:val="center"/>
          </w:tcPr>
          <w:p w14:paraId="6376CF60"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b/>
                <w:sz w:val="20"/>
                <w:szCs w:val="20"/>
                <w:lang w:eastAsia="pl-PL"/>
              </w:rPr>
            </w:pPr>
            <w:r w:rsidRPr="005D1BFF">
              <w:rPr>
                <w:rFonts w:asciiTheme="minorHAnsi" w:eastAsia="Times New Roman" w:hAnsiTheme="minorHAnsi" w:cstheme="minorHAnsi"/>
                <w:b/>
                <w:sz w:val="20"/>
                <w:szCs w:val="20"/>
                <w:lang w:eastAsia="pl-PL"/>
              </w:rPr>
              <w:t>C</w:t>
            </w:r>
          </w:p>
        </w:tc>
      </w:tr>
      <w:tr w:rsidR="005D1BFF" w:rsidRPr="005D1BFF" w14:paraId="4B5039AE" w14:textId="77777777" w:rsidTr="001C51C1">
        <w:tc>
          <w:tcPr>
            <w:tcW w:w="2188" w:type="pct"/>
            <w:tcBorders>
              <w:top w:val="single" w:sz="4" w:space="0" w:color="auto"/>
              <w:left w:val="single" w:sz="4" w:space="0" w:color="auto"/>
              <w:bottom w:val="single" w:sz="4" w:space="0" w:color="auto"/>
              <w:right w:val="nil"/>
            </w:tcBorders>
          </w:tcPr>
          <w:p w14:paraId="3F838BFB" w14:textId="61723B9E" w:rsidR="005D1BFF" w:rsidRPr="005D1BFF" w:rsidRDefault="005D1BFF" w:rsidP="001C51C1">
            <w:pPr>
              <w:widowControl/>
              <w:autoSpaceDE w:val="0"/>
              <w:autoSpaceDN w:val="0"/>
              <w:adjustRightInd w:val="0"/>
              <w:spacing w:after="0"/>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POWIERZCHNIA PODEJŚCIA I POWIERZCHNIA WZNOSZENIA PRZY STARCIE:</w:t>
            </w:r>
          </w:p>
        </w:tc>
        <w:tc>
          <w:tcPr>
            <w:tcW w:w="1174" w:type="pct"/>
            <w:tcBorders>
              <w:top w:val="single" w:sz="4" w:space="0" w:color="auto"/>
              <w:left w:val="nil"/>
              <w:bottom w:val="single" w:sz="4" w:space="0" w:color="auto"/>
              <w:right w:val="nil"/>
            </w:tcBorders>
            <w:tcMar>
              <w:left w:w="28" w:type="dxa"/>
              <w:right w:w="28" w:type="dxa"/>
            </w:tcMar>
            <w:vAlign w:val="center"/>
          </w:tcPr>
          <w:p w14:paraId="349DEA2F"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794" w:type="pct"/>
            <w:tcBorders>
              <w:top w:val="single" w:sz="4" w:space="0" w:color="auto"/>
              <w:left w:val="nil"/>
              <w:bottom w:val="single" w:sz="4" w:space="0" w:color="auto"/>
              <w:right w:val="nil"/>
            </w:tcBorders>
            <w:tcMar>
              <w:top w:w="85" w:type="dxa"/>
              <w:left w:w="113" w:type="dxa"/>
              <w:bottom w:w="85" w:type="dxa"/>
              <w:right w:w="28" w:type="dxa"/>
            </w:tcMar>
            <w:vAlign w:val="center"/>
          </w:tcPr>
          <w:p w14:paraId="292DEA49"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844" w:type="pct"/>
            <w:tcBorders>
              <w:top w:val="single" w:sz="4" w:space="0" w:color="auto"/>
              <w:left w:val="nil"/>
              <w:bottom w:val="single" w:sz="4" w:space="0" w:color="auto"/>
              <w:right w:val="single" w:sz="4" w:space="0" w:color="auto"/>
            </w:tcBorders>
            <w:tcMar>
              <w:top w:w="85" w:type="dxa"/>
              <w:bottom w:w="85" w:type="dxa"/>
              <w:right w:w="28" w:type="dxa"/>
            </w:tcMar>
            <w:vAlign w:val="center"/>
          </w:tcPr>
          <w:p w14:paraId="6181CADC"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r>
      <w:tr w:rsidR="005D1BFF" w:rsidRPr="005D1BFF" w14:paraId="05B7BA25" w14:textId="77777777" w:rsidTr="001C51C1">
        <w:tc>
          <w:tcPr>
            <w:tcW w:w="2188" w:type="pct"/>
            <w:tcBorders>
              <w:top w:val="single" w:sz="4" w:space="0" w:color="auto"/>
              <w:left w:val="single" w:sz="4" w:space="0" w:color="auto"/>
              <w:bottom w:val="single" w:sz="4" w:space="0" w:color="auto"/>
            </w:tcBorders>
          </w:tcPr>
          <w:p w14:paraId="5FC1A74B"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Długość krawędzi wewnętrznej</w:t>
            </w:r>
          </w:p>
        </w:tc>
        <w:tc>
          <w:tcPr>
            <w:tcW w:w="1174" w:type="pct"/>
            <w:tcBorders>
              <w:top w:val="single" w:sz="4" w:space="0" w:color="auto"/>
              <w:bottom w:val="single" w:sz="4" w:space="0" w:color="auto"/>
            </w:tcBorders>
            <w:tcMar>
              <w:left w:w="28" w:type="dxa"/>
              <w:right w:w="28" w:type="dxa"/>
            </w:tcMar>
          </w:tcPr>
          <w:p w14:paraId="233BD558"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Szerokość strefy bezpieczeństwa</w:t>
            </w:r>
          </w:p>
        </w:tc>
        <w:tc>
          <w:tcPr>
            <w:tcW w:w="794" w:type="pct"/>
            <w:tcBorders>
              <w:top w:val="single" w:sz="4" w:space="0" w:color="auto"/>
              <w:bottom w:val="single" w:sz="4" w:space="0" w:color="auto"/>
            </w:tcBorders>
            <w:tcMar>
              <w:top w:w="85" w:type="dxa"/>
              <w:left w:w="113" w:type="dxa"/>
              <w:bottom w:w="85" w:type="dxa"/>
              <w:right w:w="28" w:type="dxa"/>
            </w:tcMar>
          </w:tcPr>
          <w:p w14:paraId="4974566D" w14:textId="77777777" w:rsidR="005D1BFF" w:rsidRPr="005D1BFF" w:rsidRDefault="005D1BFF" w:rsidP="001C51C1">
            <w:pPr>
              <w:widowControl/>
              <w:autoSpaceDE w:val="0"/>
              <w:autoSpaceDN w:val="0"/>
              <w:adjustRightInd w:val="0"/>
              <w:spacing w:after="0"/>
              <w:ind w:left="-114"/>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Szerokość strefy bezpieczeństwa</w:t>
            </w:r>
          </w:p>
        </w:tc>
        <w:tc>
          <w:tcPr>
            <w:tcW w:w="844" w:type="pct"/>
            <w:tcBorders>
              <w:top w:val="single" w:sz="4" w:space="0" w:color="auto"/>
              <w:bottom w:val="single" w:sz="4" w:space="0" w:color="auto"/>
              <w:right w:val="single" w:sz="4" w:space="0" w:color="auto"/>
            </w:tcBorders>
            <w:tcMar>
              <w:top w:w="85" w:type="dxa"/>
              <w:bottom w:w="85" w:type="dxa"/>
              <w:right w:w="28" w:type="dxa"/>
            </w:tcMar>
          </w:tcPr>
          <w:p w14:paraId="0F247C0D" w14:textId="77777777" w:rsidR="005D1BFF" w:rsidRPr="005D1BFF" w:rsidRDefault="005D1BFF" w:rsidP="001C51C1">
            <w:pPr>
              <w:widowControl/>
              <w:autoSpaceDE w:val="0"/>
              <w:autoSpaceDN w:val="0"/>
              <w:adjustRightInd w:val="0"/>
              <w:spacing w:after="0"/>
              <w:ind w:left="-114"/>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Szerokość strefy bezpieczeństwa</w:t>
            </w:r>
          </w:p>
        </w:tc>
      </w:tr>
      <w:tr w:rsidR="005D1BFF" w:rsidRPr="005D1BFF" w14:paraId="41167E74" w14:textId="77777777" w:rsidTr="001C51C1">
        <w:tc>
          <w:tcPr>
            <w:tcW w:w="2188" w:type="pct"/>
            <w:tcBorders>
              <w:top w:val="single" w:sz="4" w:space="0" w:color="auto"/>
              <w:left w:val="single" w:sz="4" w:space="0" w:color="auto"/>
            </w:tcBorders>
          </w:tcPr>
          <w:p w14:paraId="746CD27D"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Położenie krawędzi wewnętrznej</w:t>
            </w:r>
          </w:p>
        </w:tc>
        <w:tc>
          <w:tcPr>
            <w:tcW w:w="1174" w:type="pct"/>
            <w:tcBorders>
              <w:top w:val="single" w:sz="4" w:space="0" w:color="auto"/>
            </w:tcBorders>
            <w:tcMar>
              <w:left w:w="28" w:type="dxa"/>
              <w:right w:w="28" w:type="dxa"/>
            </w:tcMar>
          </w:tcPr>
          <w:p w14:paraId="0DD3F655"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Granica strefy bezpieczeństwa</w:t>
            </w:r>
          </w:p>
          <w:p w14:paraId="179DC42B"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 xml:space="preserve">(Granica zabezpieczenia wydłużonego startu </w:t>
            </w:r>
            <w:r w:rsidRPr="00DD79BF">
              <w:rPr>
                <w:rFonts w:asciiTheme="minorHAnsi" w:eastAsia="Times New Roman" w:hAnsiTheme="minorHAnsi" w:cstheme="minorHAnsi"/>
                <w:i/>
                <w:sz w:val="20"/>
                <w:szCs w:val="20"/>
                <w:lang w:eastAsia="pl-PL"/>
              </w:rPr>
              <w:t>[clearway]</w:t>
            </w:r>
            <w:r w:rsidRPr="005D1BFF">
              <w:rPr>
                <w:rFonts w:asciiTheme="minorHAnsi" w:eastAsia="Times New Roman" w:hAnsiTheme="minorHAnsi" w:cstheme="minorHAnsi"/>
                <w:sz w:val="20"/>
                <w:szCs w:val="20"/>
                <w:lang w:eastAsia="pl-PL"/>
              </w:rPr>
              <w:t>, jeżeli istnieje)</w:t>
            </w:r>
          </w:p>
        </w:tc>
        <w:tc>
          <w:tcPr>
            <w:tcW w:w="794" w:type="pct"/>
            <w:tcBorders>
              <w:top w:val="single" w:sz="4" w:space="0" w:color="auto"/>
            </w:tcBorders>
            <w:tcMar>
              <w:top w:w="85" w:type="dxa"/>
              <w:left w:w="113" w:type="dxa"/>
              <w:bottom w:w="85" w:type="dxa"/>
              <w:right w:w="28" w:type="dxa"/>
            </w:tcMar>
          </w:tcPr>
          <w:p w14:paraId="619DF9CE" w14:textId="1A7CF195" w:rsidR="005D1BFF" w:rsidRPr="005D1BFF" w:rsidRDefault="005D1BFF" w:rsidP="001C51C1">
            <w:pPr>
              <w:widowControl/>
              <w:autoSpaceDE w:val="0"/>
              <w:autoSpaceDN w:val="0"/>
              <w:adjustRightInd w:val="0"/>
              <w:spacing w:after="0"/>
              <w:ind w:left="-114"/>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Granica strefy bezpieczeństwa</w:t>
            </w:r>
          </w:p>
        </w:tc>
        <w:tc>
          <w:tcPr>
            <w:tcW w:w="844" w:type="pct"/>
            <w:tcBorders>
              <w:top w:val="single" w:sz="4" w:space="0" w:color="auto"/>
              <w:right w:val="single" w:sz="4" w:space="0" w:color="auto"/>
            </w:tcBorders>
            <w:tcMar>
              <w:top w:w="85" w:type="dxa"/>
              <w:bottom w:w="85" w:type="dxa"/>
              <w:right w:w="28" w:type="dxa"/>
            </w:tcMar>
          </w:tcPr>
          <w:p w14:paraId="3FAF3F27" w14:textId="6FA8B545" w:rsidR="005D1BFF" w:rsidRPr="005D1BFF" w:rsidRDefault="005D1BFF" w:rsidP="001C51C1">
            <w:pPr>
              <w:widowControl/>
              <w:autoSpaceDE w:val="0"/>
              <w:autoSpaceDN w:val="0"/>
              <w:adjustRightInd w:val="0"/>
              <w:spacing w:after="0"/>
              <w:ind w:left="-114"/>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Granica strefy bezpieczeństwa</w:t>
            </w:r>
          </w:p>
        </w:tc>
      </w:tr>
      <w:tr w:rsidR="005D1BFF" w:rsidRPr="005D1BFF" w14:paraId="5DD0B504" w14:textId="77777777" w:rsidTr="001C51C1">
        <w:tc>
          <w:tcPr>
            <w:tcW w:w="2188" w:type="pct"/>
            <w:tcBorders>
              <w:left w:val="single" w:sz="4" w:space="0" w:color="auto"/>
              <w:bottom w:val="single" w:sz="4" w:space="0" w:color="auto"/>
              <w:right w:val="nil"/>
            </w:tcBorders>
          </w:tcPr>
          <w:p w14:paraId="16FE0654" w14:textId="77777777" w:rsidR="005D1BFF" w:rsidRPr="001C51C1" w:rsidRDefault="005D1BFF" w:rsidP="001C51C1">
            <w:pPr>
              <w:widowControl/>
              <w:autoSpaceDE w:val="0"/>
              <w:autoSpaceDN w:val="0"/>
              <w:adjustRightInd w:val="0"/>
              <w:spacing w:after="0"/>
              <w:ind w:left="82"/>
              <w:jc w:val="left"/>
              <w:rPr>
                <w:rFonts w:asciiTheme="minorHAnsi" w:eastAsia="Times New Roman" w:hAnsiTheme="minorHAnsi" w:cstheme="minorHAnsi"/>
                <w:b/>
                <w:sz w:val="20"/>
                <w:szCs w:val="20"/>
                <w:lang w:eastAsia="pl-PL"/>
              </w:rPr>
            </w:pPr>
            <w:r w:rsidRPr="001C51C1">
              <w:rPr>
                <w:rFonts w:asciiTheme="minorHAnsi" w:eastAsia="Times New Roman" w:hAnsiTheme="minorHAnsi" w:cstheme="minorHAnsi"/>
                <w:b/>
                <w:sz w:val="20"/>
                <w:szCs w:val="20"/>
                <w:lang w:eastAsia="pl-PL"/>
              </w:rPr>
              <w:t>Rozbieżność:  (pierwsza i druga sekcja)</w:t>
            </w:r>
          </w:p>
        </w:tc>
        <w:tc>
          <w:tcPr>
            <w:tcW w:w="1174" w:type="pct"/>
            <w:tcBorders>
              <w:left w:val="nil"/>
              <w:bottom w:val="single" w:sz="4" w:space="0" w:color="auto"/>
              <w:right w:val="nil"/>
            </w:tcBorders>
            <w:tcMar>
              <w:left w:w="28" w:type="dxa"/>
              <w:right w:w="28" w:type="dxa"/>
            </w:tcMar>
            <w:vAlign w:val="center"/>
          </w:tcPr>
          <w:p w14:paraId="2A45845B"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794" w:type="pct"/>
            <w:tcBorders>
              <w:left w:val="nil"/>
              <w:bottom w:val="single" w:sz="4" w:space="0" w:color="auto"/>
              <w:right w:val="nil"/>
            </w:tcBorders>
            <w:tcMar>
              <w:top w:w="85" w:type="dxa"/>
              <w:left w:w="113" w:type="dxa"/>
              <w:bottom w:w="85" w:type="dxa"/>
              <w:right w:w="28" w:type="dxa"/>
            </w:tcMar>
            <w:vAlign w:val="center"/>
          </w:tcPr>
          <w:p w14:paraId="47F3679B"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844" w:type="pct"/>
            <w:tcBorders>
              <w:left w:val="nil"/>
              <w:bottom w:val="single" w:sz="4" w:space="0" w:color="auto"/>
              <w:right w:val="single" w:sz="4" w:space="0" w:color="auto"/>
            </w:tcBorders>
            <w:tcMar>
              <w:top w:w="85" w:type="dxa"/>
              <w:bottom w:w="85" w:type="dxa"/>
              <w:right w:w="28" w:type="dxa"/>
            </w:tcMar>
            <w:vAlign w:val="center"/>
          </w:tcPr>
          <w:p w14:paraId="5FDA8943"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r>
      <w:tr w:rsidR="005D1BFF" w:rsidRPr="005D1BFF" w14:paraId="4E27A7CF" w14:textId="77777777" w:rsidTr="001C51C1">
        <w:tc>
          <w:tcPr>
            <w:tcW w:w="2188" w:type="pct"/>
            <w:tcBorders>
              <w:top w:val="single" w:sz="4" w:space="0" w:color="auto"/>
              <w:left w:val="single" w:sz="4" w:space="0" w:color="auto"/>
              <w:bottom w:val="single" w:sz="4" w:space="0" w:color="auto"/>
            </w:tcBorders>
          </w:tcPr>
          <w:p w14:paraId="2ABD46F3"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Tylko w dzień</w:t>
            </w:r>
          </w:p>
        </w:tc>
        <w:tc>
          <w:tcPr>
            <w:tcW w:w="1174" w:type="pct"/>
            <w:tcBorders>
              <w:top w:val="single" w:sz="4" w:space="0" w:color="auto"/>
              <w:bottom w:val="single" w:sz="4" w:space="0" w:color="auto"/>
            </w:tcBorders>
            <w:tcMar>
              <w:left w:w="28" w:type="dxa"/>
              <w:right w:w="28" w:type="dxa"/>
            </w:tcMar>
            <w:vAlign w:val="center"/>
          </w:tcPr>
          <w:p w14:paraId="3A57B2B7"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10%</w:t>
            </w:r>
          </w:p>
        </w:tc>
        <w:tc>
          <w:tcPr>
            <w:tcW w:w="794" w:type="pct"/>
            <w:tcBorders>
              <w:top w:val="single" w:sz="4" w:space="0" w:color="auto"/>
              <w:bottom w:val="single" w:sz="4" w:space="0" w:color="auto"/>
            </w:tcBorders>
            <w:tcMar>
              <w:top w:w="85" w:type="dxa"/>
              <w:left w:w="113" w:type="dxa"/>
              <w:bottom w:w="85" w:type="dxa"/>
              <w:right w:w="28" w:type="dxa"/>
            </w:tcMar>
            <w:vAlign w:val="center"/>
          </w:tcPr>
          <w:p w14:paraId="516FF989"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10%</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4FC4DB8E"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10%</w:t>
            </w:r>
          </w:p>
        </w:tc>
      </w:tr>
      <w:tr w:rsidR="005D1BFF" w:rsidRPr="005D1BFF" w14:paraId="6ED047AC" w14:textId="77777777" w:rsidTr="001C51C1">
        <w:tc>
          <w:tcPr>
            <w:tcW w:w="2188" w:type="pct"/>
            <w:tcBorders>
              <w:top w:val="single" w:sz="4" w:space="0" w:color="auto"/>
              <w:left w:val="single" w:sz="4" w:space="0" w:color="auto"/>
            </w:tcBorders>
          </w:tcPr>
          <w:p w14:paraId="625D8624"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W nocy</w:t>
            </w:r>
          </w:p>
        </w:tc>
        <w:tc>
          <w:tcPr>
            <w:tcW w:w="1174" w:type="pct"/>
            <w:tcBorders>
              <w:top w:val="single" w:sz="4" w:space="0" w:color="auto"/>
            </w:tcBorders>
            <w:tcMar>
              <w:left w:w="28" w:type="dxa"/>
              <w:right w:w="28" w:type="dxa"/>
            </w:tcMar>
            <w:vAlign w:val="center"/>
          </w:tcPr>
          <w:p w14:paraId="38EFFA08"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15%</w:t>
            </w:r>
          </w:p>
        </w:tc>
        <w:tc>
          <w:tcPr>
            <w:tcW w:w="794" w:type="pct"/>
            <w:tcBorders>
              <w:top w:val="single" w:sz="4" w:space="0" w:color="auto"/>
            </w:tcBorders>
            <w:tcMar>
              <w:top w:w="85" w:type="dxa"/>
              <w:left w:w="113" w:type="dxa"/>
              <w:bottom w:w="85" w:type="dxa"/>
              <w:right w:w="28" w:type="dxa"/>
            </w:tcMar>
            <w:vAlign w:val="center"/>
          </w:tcPr>
          <w:p w14:paraId="6957CE69"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15%</w:t>
            </w:r>
          </w:p>
        </w:tc>
        <w:tc>
          <w:tcPr>
            <w:tcW w:w="844" w:type="pct"/>
            <w:tcBorders>
              <w:top w:val="single" w:sz="4" w:space="0" w:color="auto"/>
              <w:right w:val="single" w:sz="4" w:space="0" w:color="auto"/>
            </w:tcBorders>
            <w:tcMar>
              <w:top w:w="85" w:type="dxa"/>
              <w:bottom w:w="85" w:type="dxa"/>
              <w:right w:w="28" w:type="dxa"/>
            </w:tcMar>
            <w:vAlign w:val="center"/>
          </w:tcPr>
          <w:p w14:paraId="68967340"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15%</w:t>
            </w:r>
          </w:p>
        </w:tc>
      </w:tr>
      <w:tr w:rsidR="005D1BFF" w:rsidRPr="005D1BFF" w14:paraId="2DA782FC" w14:textId="77777777" w:rsidTr="001C51C1">
        <w:tc>
          <w:tcPr>
            <w:tcW w:w="2188" w:type="pct"/>
            <w:tcBorders>
              <w:left w:val="single" w:sz="4" w:space="0" w:color="auto"/>
              <w:bottom w:val="single" w:sz="4" w:space="0" w:color="auto"/>
              <w:right w:val="nil"/>
            </w:tcBorders>
          </w:tcPr>
          <w:p w14:paraId="475A8121" w14:textId="77777777" w:rsidR="005D1BFF" w:rsidRPr="005D1BFF" w:rsidRDefault="005D1BFF" w:rsidP="001C51C1">
            <w:pPr>
              <w:widowControl/>
              <w:autoSpaceDE w:val="0"/>
              <w:autoSpaceDN w:val="0"/>
              <w:adjustRightInd w:val="0"/>
              <w:spacing w:after="0"/>
              <w:ind w:left="82"/>
              <w:jc w:val="left"/>
              <w:rPr>
                <w:rFonts w:asciiTheme="minorHAnsi" w:eastAsia="Times New Roman" w:hAnsiTheme="minorHAnsi" w:cstheme="minorHAnsi"/>
                <w:sz w:val="20"/>
                <w:szCs w:val="20"/>
                <w:lang w:eastAsia="pl-PL"/>
              </w:rPr>
            </w:pPr>
            <w:r w:rsidRPr="001C51C1">
              <w:rPr>
                <w:rFonts w:asciiTheme="minorHAnsi" w:eastAsia="Times New Roman" w:hAnsiTheme="minorHAnsi" w:cstheme="minorHAnsi"/>
                <w:b/>
                <w:sz w:val="20"/>
                <w:szCs w:val="20"/>
                <w:lang w:eastAsia="pl-PL"/>
              </w:rPr>
              <w:t>Pierwsza sekcja</w:t>
            </w:r>
            <w:r w:rsidRPr="005D1BFF">
              <w:rPr>
                <w:rFonts w:asciiTheme="minorHAnsi" w:eastAsia="Times New Roman" w:hAnsiTheme="minorHAnsi" w:cstheme="minorHAnsi"/>
                <w:sz w:val="20"/>
                <w:szCs w:val="20"/>
                <w:lang w:eastAsia="pl-PL"/>
              </w:rPr>
              <w:t>:</w:t>
            </w:r>
          </w:p>
        </w:tc>
        <w:tc>
          <w:tcPr>
            <w:tcW w:w="1174" w:type="pct"/>
            <w:tcBorders>
              <w:left w:val="nil"/>
              <w:bottom w:val="single" w:sz="4" w:space="0" w:color="auto"/>
              <w:right w:val="nil"/>
            </w:tcBorders>
            <w:tcMar>
              <w:left w:w="28" w:type="dxa"/>
              <w:right w:w="28" w:type="dxa"/>
            </w:tcMar>
            <w:vAlign w:val="center"/>
          </w:tcPr>
          <w:p w14:paraId="76189B56"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794" w:type="pct"/>
            <w:tcBorders>
              <w:left w:val="nil"/>
              <w:bottom w:val="single" w:sz="4" w:space="0" w:color="auto"/>
              <w:right w:val="nil"/>
            </w:tcBorders>
            <w:tcMar>
              <w:top w:w="85" w:type="dxa"/>
              <w:left w:w="113" w:type="dxa"/>
              <w:bottom w:w="85" w:type="dxa"/>
              <w:right w:w="28" w:type="dxa"/>
            </w:tcMar>
            <w:vAlign w:val="center"/>
          </w:tcPr>
          <w:p w14:paraId="290C35F8"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844" w:type="pct"/>
            <w:tcBorders>
              <w:left w:val="nil"/>
              <w:bottom w:val="single" w:sz="4" w:space="0" w:color="auto"/>
              <w:right w:val="single" w:sz="4" w:space="0" w:color="auto"/>
            </w:tcBorders>
            <w:tcMar>
              <w:top w:w="85" w:type="dxa"/>
              <w:bottom w:w="85" w:type="dxa"/>
              <w:right w:w="28" w:type="dxa"/>
            </w:tcMar>
            <w:vAlign w:val="center"/>
          </w:tcPr>
          <w:p w14:paraId="547F2B28"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r>
      <w:tr w:rsidR="005D1BFF" w:rsidRPr="005D1BFF" w14:paraId="348BC9EB" w14:textId="77777777" w:rsidTr="001C51C1">
        <w:tc>
          <w:tcPr>
            <w:tcW w:w="2188" w:type="pct"/>
            <w:tcBorders>
              <w:top w:val="single" w:sz="4" w:space="0" w:color="auto"/>
              <w:left w:val="single" w:sz="4" w:space="0" w:color="auto"/>
              <w:bottom w:val="single" w:sz="4" w:space="0" w:color="auto"/>
            </w:tcBorders>
          </w:tcPr>
          <w:p w14:paraId="0E58D524"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Długość</w:t>
            </w:r>
          </w:p>
        </w:tc>
        <w:tc>
          <w:tcPr>
            <w:tcW w:w="1174" w:type="pct"/>
            <w:tcBorders>
              <w:top w:val="single" w:sz="4" w:space="0" w:color="auto"/>
              <w:bottom w:val="single" w:sz="4" w:space="0" w:color="auto"/>
            </w:tcBorders>
            <w:tcMar>
              <w:left w:w="28" w:type="dxa"/>
              <w:right w:w="28" w:type="dxa"/>
            </w:tcMar>
            <w:vAlign w:val="center"/>
          </w:tcPr>
          <w:p w14:paraId="00F58685"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3386 m</w:t>
            </w:r>
          </w:p>
        </w:tc>
        <w:tc>
          <w:tcPr>
            <w:tcW w:w="794" w:type="pct"/>
            <w:tcBorders>
              <w:top w:val="single" w:sz="4" w:space="0" w:color="auto"/>
              <w:bottom w:val="single" w:sz="4" w:space="0" w:color="auto"/>
            </w:tcBorders>
            <w:tcMar>
              <w:top w:w="85" w:type="dxa"/>
              <w:left w:w="113" w:type="dxa"/>
              <w:bottom w:w="85" w:type="dxa"/>
              <w:right w:w="28" w:type="dxa"/>
            </w:tcMar>
            <w:vAlign w:val="center"/>
          </w:tcPr>
          <w:p w14:paraId="663657E2"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245 m</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4DD66274"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1220 m</w:t>
            </w:r>
          </w:p>
        </w:tc>
      </w:tr>
      <w:tr w:rsidR="005D1BFF" w:rsidRPr="005D1BFF" w14:paraId="6D5E99D4" w14:textId="77777777" w:rsidTr="001C51C1">
        <w:tc>
          <w:tcPr>
            <w:tcW w:w="2188" w:type="pct"/>
            <w:tcBorders>
              <w:top w:val="single" w:sz="4" w:space="0" w:color="auto"/>
              <w:left w:val="single" w:sz="4" w:space="0" w:color="auto"/>
              <w:bottom w:val="single" w:sz="4" w:space="0" w:color="auto"/>
            </w:tcBorders>
          </w:tcPr>
          <w:p w14:paraId="71CE04AD"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Nachylenie</w:t>
            </w:r>
          </w:p>
        </w:tc>
        <w:tc>
          <w:tcPr>
            <w:tcW w:w="1174" w:type="pct"/>
            <w:tcBorders>
              <w:top w:val="single" w:sz="4" w:space="0" w:color="auto"/>
              <w:bottom w:val="single" w:sz="4" w:space="0" w:color="auto"/>
            </w:tcBorders>
            <w:tcMar>
              <w:left w:w="28" w:type="dxa"/>
              <w:right w:w="28" w:type="dxa"/>
            </w:tcMar>
            <w:vAlign w:val="center"/>
          </w:tcPr>
          <w:p w14:paraId="0796458E"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4.5%</w:t>
            </w:r>
          </w:p>
          <w:p w14:paraId="2AF710DC"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(1:22.2)</w:t>
            </w:r>
          </w:p>
        </w:tc>
        <w:tc>
          <w:tcPr>
            <w:tcW w:w="794" w:type="pct"/>
            <w:tcBorders>
              <w:top w:val="single" w:sz="4" w:space="0" w:color="auto"/>
              <w:bottom w:val="single" w:sz="4" w:space="0" w:color="auto"/>
            </w:tcBorders>
            <w:tcMar>
              <w:top w:w="85" w:type="dxa"/>
              <w:left w:w="113" w:type="dxa"/>
              <w:bottom w:w="85" w:type="dxa"/>
              <w:right w:w="28" w:type="dxa"/>
            </w:tcMar>
            <w:vAlign w:val="center"/>
          </w:tcPr>
          <w:p w14:paraId="634E8B35"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8%</w:t>
            </w:r>
          </w:p>
          <w:p w14:paraId="573F4E70"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(1:12.5)</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32B104E4"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12.5%</w:t>
            </w:r>
          </w:p>
          <w:p w14:paraId="4C156F60"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(1:8)</w:t>
            </w:r>
          </w:p>
        </w:tc>
      </w:tr>
      <w:tr w:rsidR="005D1BFF" w:rsidRPr="005D1BFF" w14:paraId="660CFDFE" w14:textId="77777777" w:rsidTr="001C51C1">
        <w:tc>
          <w:tcPr>
            <w:tcW w:w="2188" w:type="pct"/>
            <w:tcBorders>
              <w:top w:val="single" w:sz="4" w:space="0" w:color="auto"/>
              <w:left w:val="single" w:sz="4" w:space="0" w:color="auto"/>
            </w:tcBorders>
          </w:tcPr>
          <w:p w14:paraId="61403FB1"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 xml:space="preserve">Szerokość zewnętrzna </w:t>
            </w:r>
          </w:p>
        </w:tc>
        <w:tc>
          <w:tcPr>
            <w:tcW w:w="1174" w:type="pct"/>
            <w:tcBorders>
              <w:top w:val="single" w:sz="4" w:space="0" w:color="auto"/>
            </w:tcBorders>
            <w:tcMar>
              <w:left w:w="28" w:type="dxa"/>
              <w:right w:w="28" w:type="dxa"/>
            </w:tcMar>
            <w:vAlign w:val="center"/>
          </w:tcPr>
          <w:p w14:paraId="78D855DE"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(b)</w:t>
            </w:r>
          </w:p>
        </w:tc>
        <w:tc>
          <w:tcPr>
            <w:tcW w:w="794" w:type="pct"/>
            <w:tcBorders>
              <w:top w:val="single" w:sz="4" w:space="0" w:color="auto"/>
            </w:tcBorders>
            <w:tcMar>
              <w:top w:w="85" w:type="dxa"/>
              <w:left w:w="113" w:type="dxa"/>
              <w:bottom w:w="85" w:type="dxa"/>
              <w:right w:w="28" w:type="dxa"/>
            </w:tcMar>
            <w:vAlign w:val="center"/>
          </w:tcPr>
          <w:p w14:paraId="1E632D6C"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Nie dotyczy</w:t>
            </w:r>
          </w:p>
        </w:tc>
        <w:tc>
          <w:tcPr>
            <w:tcW w:w="844" w:type="pct"/>
            <w:tcBorders>
              <w:top w:val="single" w:sz="4" w:space="0" w:color="auto"/>
              <w:right w:val="single" w:sz="4" w:space="0" w:color="auto"/>
            </w:tcBorders>
            <w:tcMar>
              <w:top w:w="85" w:type="dxa"/>
              <w:bottom w:w="85" w:type="dxa"/>
              <w:right w:w="28" w:type="dxa"/>
            </w:tcMar>
            <w:vAlign w:val="center"/>
          </w:tcPr>
          <w:p w14:paraId="5DD240CE"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(b)</w:t>
            </w:r>
          </w:p>
        </w:tc>
      </w:tr>
      <w:tr w:rsidR="005D1BFF" w:rsidRPr="005D1BFF" w14:paraId="64EFC7AC" w14:textId="77777777" w:rsidTr="001C51C1">
        <w:tc>
          <w:tcPr>
            <w:tcW w:w="2188" w:type="pct"/>
            <w:tcBorders>
              <w:left w:val="single" w:sz="4" w:space="0" w:color="auto"/>
              <w:bottom w:val="single" w:sz="4" w:space="0" w:color="auto"/>
              <w:right w:val="nil"/>
            </w:tcBorders>
          </w:tcPr>
          <w:p w14:paraId="1B78ED57" w14:textId="77777777" w:rsidR="005D1BFF" w:rsidRPr="001C51C1" w:rsidRDefault="005D1BFF" w:rsidP="001C51C1">
            <w:pPr>
              <w:widowControl/>
              <w:autoSpaceDE w:val="0"/>
              <w:autoSpaceDN w:val="0"/>
              <w:adjustRightInd w:val="0"/>
              <w:spacing w:after="0"/>
              <w:ind w:left="82"/>
              <w:jc w:val="left"/>
              <w:rPr>
                <w:rFonts w:asciiTheme="minorHAnsi" w:eastAsia="Times New Roman" w:hAnsiTheme="minorHAnsi" w:cstheme="minorHAnsi"/>
                <w:b/>
                <w:sz w:val="20"/>
                <w:szCs w:val="20"/>
                <w:lang w:eastAsia="pl-PL"/>
              </w:rPr>
            </w:pPr>
            <w:r w:rsidRPr="001C51C1">
              <w:rPr>
                <w:rFonts w:asciiTheme="minorHAnsi" w:eastAsia="Times New Roman" w:hAnsiTheme="minorHAnsi" w:cstheme="minorHAnsi"/>
                <w:b/>
                <w:sz w:val="20"/>
                <w:szCs w:val="20"/>
                <w:lang w:eastAsia="pl-PL"/>
              </w:rPr>
              <w:t>Druga sekcja:</w:t>
            </w:r>
          </w:p>
        </w:tc>
        <w:tc>
          <w:tcPr>
            <w:tcW w:w="1174" w:type="pct"/>
            <w:tcBorders>
              <w:left w:val="nil"/>
              <w:bottom w:val="single" w:sz="4" w:space="0" w:color="auto"/>
              <w:right w:val="nil"/>
            </w:tcBorders>
            <w:tcMar>
              <w:left w:w="28" w:type="dxa"/>
              <w:right w:w="28" w:type="dxa"/>
            </w:tcMar>
            <w:vAlign w:val="center"/>
          </w:tcPr>
          <w:p w14:paraId="0935E3F2"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794" w:type="pct"/>
            <w:tcBorders>
              <w:left w:val="nil"/>
              <w:bottom w:val="single" w:sz="4" w:space="0" w:color="auto"/>
              <w:right w:val="nil"/>
            </w:tcBorders>
            <w:tcMar>
              <w:top w:w="85" w:type="dxa"/>
              <w:left w:w="113" w:type="dxa"/>
              <w:bottom w:w="85" w:type="dxa"/>
              <w:right w:w="28" w:type="dxa"/>
            </w:tcMar>
            <w:vAlign w:val="center"/>
          </w:tcPr>
          <w:p w14:paraId="73767D5F"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844" w:type="pct"/>
            <w:tcBorders>
              <w:left w:val="nil"/>
              <w:bottom w:val="single" w:sz="4" w:space="0" w:color="auto"/>
              <w:right w:val="single" w:sz="4" w:space="0" w:color="auto"/>
            </w:tcBorders>
            <w:tcMar>
              <w:top w:w="85" w:type="dxa"/>
              <w:bottom w:w="85" w:type="dxa"/>
              <w:right w:w="28" w:type="dxa"/>
            </w:tcMar>
            <w:vAlign w:val="center"/>
          </w:tcPr>
          <w:p w14:paraId="23B4AA23"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r>
      <w:tr w:rsidR="005D1BFF" w:rsidRPr="005D1BFF" w14:paraId="49C3B60B" w14:textId="77777777" w:rsidTr="001C51C1">
        <w:tc>
          <w:tcPr>
            <w:tcW w:w="2188" w:type="pct"/>
            <w:tcBorders>
              <w:top w:val="single" w:sz="4" w:space="0" w:color="auto"/>
              <w:left w:val="single" w:sz="4" w:space="0" w:color="auto"/>
              <w:bottom w:val="single" w:sz="4" w:space="0" w:color="auto"/>
            </w:tcBorders>
          </w:tcPr>
          <w:p w14:paraId="5DCBEBD9"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Długość</w:t>
            </w:r>
          </w:p>
        </w:tc>
        <w:tc>
          <w:tcPr>
            <w:tcW w:w="1174" w:type="pct"/>
            <w:tcBorders>
              <w:top w:val="single" w:sz="4" w:space="0" w:color="auto"/>
              <w:bottom w:val="single" w:sz="4" w:space="0" w:color="auto"/>
            </w:tcBorders>
            <w:tcMar>
              <w:left w:w="28" w:type="dxa"/>
              <w:right w:w="28" w:type="dxa"/>
            </w:tcMar>
            <w:vAlign w:val="center"/>
          </w:tcPr>
          <w:p w14:paraId="7323BFEB"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Nie dotyczy</w:t>
            </w:r>
          </w:p>
        </w:tc>
        <w:tc>
          <w:tcPr>
            <w:tcW w:w="794" w:type="pct"/>
            <w:tcBorders>
              <w:top w:val="single" w:sz="4" w:space="0" w:color="auto"/>
              <w:bottom w:val="single" w:sz="4" w:space="0" w:color="auto"/>
            </w:tcBorders>
            <w:tcMar>
              <w:top w:w="85" w:type="dxa"/>
              <w:left w:w="113" w:type="dxa"/>
              <w:bottom w:w="85" w:type="dxa"/>
              <w:right w:w="28" w:type="dxa"/>
            </w:tcMar>
            <w:vAlign w:val="center"/>
          </w:tcPr>
          <w:p w14:paraId="3D867D47"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830 m</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6B80DDA3"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Nie dotyczy</w:t>
            </w:r>
          </w:p>
        </w:tc>
      </w:tr>
      <w:tr w:rsidR="005D1BFF" w:rsidRPr="005D1BFF" w14:paraId="01592864" w14:textId="77777777" w:rsidTr="001C51C1">
        <w:tc>
          <w:tcPr>
            <w:tcW w:w="2188" w:type="pct"/>
            <w:tcBorders>
              <w:top w:val="single" w:sz="4" w:space="0" w:color="auto"/>
              <w:left w:val="single" w:sz="4" w:space="0" w:color="auto"/>
              <w:bottom w:val="single" w:sz="4" w:space="0" w:color="auto"/>
            </w:tcBorders>
          </w:tcPr>
          <w:p w14:paraId="742B9956"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Nachylenie</w:t>
            </w:r>
          </w:p>
        </w:tc>
        <w:tc>
          <w:tcPr>
            <w:tcW w:w="1174" w:type="pct"/>
            <w:tcBorders>
              <w:top w:val="single" w:sz="4" w:space="0" w:color="auto"/>
              <w:bottom w:val="single" w:sz="4" w:space="0" w:color="auto"/>
            </w:tcBorders>
            <w:tcMar>
              <w:left w:w="28" w:type="dxa"/>
              <w:right w:w="28" w:type="dxa"/>
            </w:tcMar>
            <w:vAlign w:val="center"/>
          </w:tcPr>
          <w:p w14:paraId="47A6742C"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Nie dotyczy</w:t>
            </w:r>
          </w:p>
          <w:p w14:paraId="57C3A69B"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c>
          <w:tcPr>
            <w:tcW w:w="794" w:type="pct"/>
            <w:tcBorders>
              <w:top w:val="single" w:sz="4" w:space="0" w:color="auto"/>
              <w:bottom w:val="single" w:sz="4" w:space="0" w:color="auto"/>
            </w:tcBorders>
            <w:tcMar>
              <w:top w:w="85" w:type="dxa"/>
              <w:left w:w="113" w:type="dxa"/>
              <w:bottom w:w="85" w:type="dxa"/>
              <w:right w:w="28" w:type="dxa"/>
            </w:tcMar>
            <w:vAlign w:val="center"/>
          </w:tcPr>
          <w:p w14:paraId="07DB745C"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16%</w:t>
            </w:r>
          </w:p>
          <w:p w14:paraId="090B9E0E"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(1:6.25)</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1DBB2E25"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1C51C1">
              <w:rPr>
                <w:rFonts w:asciiTheme="minorHAnsi" w:eastAsia="Times New Roman" w:hAnsiTheme="minorHAnsi" w:cstheme="minorHAnsi"/>
                <w:sz w:val="20"/>
                <w:szCs w:val="20"/>
                <w:lang w:eastAsia="pl-PL"/>
              </w:rPr>
              <w:t>Nie dotyczy</w:t>
            </w:r>
          </w:p>
          <w:p w14:paraId="30E5F79E" w14:textId="77777777" w:rsidR="005D1BFF" w:rsidRPr="001C51C1"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p>
        </w:tc>
      </w:tr>
      <w:tr w:rsidR="005D1BFF" w:rsidRPr="005D1BFF" w14:paraId="025E3208" w14:textId="77777777" w:rsidTr="001C51C1">
        <w:tc>
          <w:tcPr>
            <w:tcW w:w="2188" w:type="pct"/>
            <w:tcBorders>
              <w:top w:val="single" w:sz="4" w:space="0" w:color="auto"/>
              <w:left w:val="single" w:sz="4" w:space="0" w:color="auto"/>
              <w:bottom w:val="single" w:sz="4" w:space="0" w:color="auto"/>
            </w:tcBorders>
          </w:tcPr>
          <w:p w14:paraId="546F3C73"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Szerokość zewnętrzna</w:t>
            </w:r>
          </w:p>
        </w:tc>
        <w:tc>
          <w:tcPr>
            <w:tcW w:w="1174" w:type="pct"/>
            <w:tcBorders>
              <w:top w:val="single" w:sz="4" w:space="0" w:color="auto"/>
              <w:bottom w:val="single" w:sz="4" w:space="0" w:color="auto"/>
            </w:tcBorders>
            <w:tcMar>
              <w:left w:w="28" w:type="dxa"/>
              <w:right w:w="28" w:type="dxa"/>
            </w:tcMar>
            <w:vAlign w:val="center"/>
          </w:tcPr>
          <w:p w14:paraId="4A6EE37E"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Nie dotyczy</w:t>
            </w:r>
          </w:p>
        </w:tc>
        <w:tc>
          <w:tcPr>
            <w:tcW w:w="794" w:type="pct"/>
            <w:tcBorders>
              <w:top w:val="single" w:sz="4" w:space="0" w:color="auto"/>
              <w:bottom w:val="single" w:sz="4" w:space="0" w:color="auto"/>
            </w:tcBorders>
            <w:tcMar>
              <w:top w:w="85" w:type="dxa"/>
              <w:left w:w="113" w:type="dxa"/>
              <w:bottom w:w="85" w:type="dxa"/>
              <w:right w:w="28" w:type="dxa"/>
            </w:tcMar>
            <w:vAlign w:val="center"/>
          </w:tcPr>
          <w:p w14:paraId="1B1A244E"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(b)</w:t>
            </w:r>
          </w:p>
        </w:tc>
        <w:tc>
          <w:tcPr>
            <w:tcW w:w="844" w:type="pct"/>
            <w:tcBorders>
              <w:top w:val="single" w:sz="4" w:space="0" w:color="auto"/>
              <w:bottom w:val="single" w:sz="4" w:space="0" w:color="auto"/>
              <w:right w:val="single" w:sz="4" w:space="0" w:color="auto"/>
            </w:tcBorders>
            <w:tcMar>
              <w:top w:w="85" w:type="dxa"/>
              <w:bottom w:w="85" w:type="dxa"/>
              <w:right w:w="28" w:type="dxa"/>
            </w:tcMar>
            <w:vAlign w:val="center"/>
          </w:tcPr>
          <w:p w14:paraId="54EF7B68" w14:textId="77777777"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Nie dotyczy</w:t>
            </w:r>
          </w:p>
        </w:tc>
      </w:tr>
      <w:tr w:rsidR="005D1BFF" w:rsidRPr="005D1BFF" w14:paraId="02F6CBBA" w14:textId="77777777" w:rsidTr="001C51C1">
        <w:tc>
          <w:tcPr>
            <w:tcW w:w="2188" w:type="pct"/>
            <w:tcBorders>
              <w:top w:val="single" w:sz="4" w:space="0" w:color="auto"/>
              <w:left w:val="single" w:sz="4" w:space="0" w:color="auto"/>
            </w:tcBorders>
          </w:tcPr>
          <w:p w14:paraId="72B209EF" w14:textId="77777777" w:rsidR="005D1BFF" w:rsidRPr="005D1BFF" w:rsidRDefault="005D1BFF" w:rsidP="001C51C1">
            <w:pPr>
              <w:widowControl/>
              <w:autoSpaceDE w:val="0"/>
              <w:autoSpaceDN w:val="0"/>
              <w:adjustRightInd w:val="0"/>
              <w:spacing w:after="0"/>
              <w:ind w:left="284"/>
              <w:jc w:val="left"/>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Długość całkowita od krawędzi wewnętrznej (a)</w:t>
            </w:r>
          </w:p>
        </w:tc>
        <w:tc>
          <w:tcPr>
            <w:tcW w:w="1174" w:type="pct"/>
            <w:tcBorders>
              <w:top w:val="single" w:sz="4" w:space="0" w:color="auto"/>
            </w:tcBorders>
            <w:tcMar>
              <w:left w:w="28" w:type="dxa"/>
              <w:right w:w="28" w:type="dxa"/>
            </w:tcMar>
            <w:vAlign w:val="center"/>
          </w:tcPr>
          <w:p w14:paraId="7132484C" w14:textId="3D5355EE" w:rsidR="005D1BFF" w:rsidRPr="005D1BFF" w:rsidRDefault="00497753"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3386 m</w:t>
            </w:r>
          </w:p>
        </w:tc>
        <w:tc>
          <w:tcPr>
            <w:tcW w:w="794" w:type="pct"/>
            <w:tcBorders>
              <w:top w:val="single" w:sz="4" w:space="0" w:color="auto"/>
            </w:tcBorders>
            <w:tcMar>
              <w:top w:w="85" w:type="dxa"/>
              <w:left w:w="113" w:type="dxa"/>
              <w:bottom w:w="85" w:type="dxa"/>
              <w:right w:w="28" w:type="dxa"/>
            </w:tcMar>
            <w:vAlign w:val="center"/>
          </w:tcPr>
          <w:p w14:paraId="483A2972" w14:textId="19B08F22" w:rsidR="005D1BFF" w:rsidRPr="005D1BFF" w:rsidRDefault="005D1BFF"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10</w:t>
            </w:r>
            <w:r w:rsidR="00497753">
              <w:rPr>
                <w:rFonts w:asciiTheme="minorHAnsi" w:eastAsia="Times New Roman" w:hAnsiTheme="minorHAnsi" w:cstheme="minorHAnsi"/>
                <w:sz w:val="20"/>
                <w:szCs w:val="20"/>
                <w:lang w:eastAsia="pl-PL"/>
              </w:rPr>
              <w:t>75 m</w:t>
            </w:r>
          </w:p>
        </w:tc>
        <w:tc>
          <w:tcPr>
            <w:tcW w:w="844" w:type="pct"/>
            <w:tcBorders>
              <w:top w:val="single" w:sz="4" w:space="0" w:color="auto"/>
              <w:right w:val="single" w:sz="4" w:space="0" w:color="auto"/>
            </w:tcBorders>
            <w:tcMar>
              <w:top w:w="85" w:type="dxa"/>
              <w:bottom w:w="85" w:type="dxa"/>
              <w:right w:w="28" w:type="dxa"/>
            </w:tcMar>
            <w:vAlign w:val="center"/>
          </w:tcPr>
          <w:p w14:paraId="2487A5F7" w14:textId="7958457F" w:rsidR="005D1BFF" w:rsidRPr="005D1BFF" w:rsidRDefault="00497753" w:rsidP="001C51C1">
            <w:pPr>
              <w:widowControl/>
              <w:autoSpaceDE w:val="0"/>
              <w:autoSpaceDN w:val="0"/>
              <w:adjustRightInd w:val="0"/>
              <w:spacing w:after="0"/>
              <w:jc w:val="center"/>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1220 m</w:t>
            </w:r>
          </w:p>
        </w:tc>
      </w:tr>
      <w:tr w:rsidR="005D1BFF" w:rsidRPr="005D1BFF" w14:paraId="22198DD8" w14:textId="77777777" w:rsidTr="001C51C1">
        <w:trPr>
          <w:trHeight w:val="284"/>
        </w:trPr>
        <w:tc>
          <w:tcPr>
            <w:tcW w:w="5000" w:type="pct"/>
            <w:gridSpan w:val="4"/>
            <w:tcBorders>
              <w:top w:val="single" w:sz="4" w:space="0" w:color="auto"/>
              <w:left w:val="single" w:sz="4" w:space="0" w:color="auto"/>
              <w:bottom w:val="single" w:sz="4" w:space="0" w:color="auto"/>
              <w:right w:val="single" w:sz="4" w:space="0" w:color="auto"/>
            </w:tcBorders>
          </w:tcPr>
          <w:p w14:paraId="6655D47C" w14:textId="68E4A335" w:rsidR="005D1BFF" w:rsidRPr="005D1BFF" w:rsidRDefault="005D1BFF" w:rsidP="001C51C1">
            <w:pPr>
              <w:widowControl/>
              <w:autoSpaceDE w:val="0"/>
              <w:autoSpaceDN w:val="0"/>
              <w:adjustRightInd w:val="0"/>
              <w:spacing w:after="0"/>
              <w:ind w:left="505" w:hanging="505"/>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 xml:space="preserve">(a) </w:t>
            </w:r>
            <w:r w:rsidRPr="005D1BFF">
              <w:rPr>
                <w:rFonts w:asciiTheme="minorHAnsi" w:eastAsia="Times New Roman" w:hAnsiTheme="minorHAnsi" w:cstheme="minorHAnsi"/>
                <w:sz w:val="20"/>
                <w:szCs w:val="20"/>
                <w:lang w:eastAsia="pl-PL"/>
              </w:rPr>
              <w:tab/>
              <w:t>Długości powierzchni podejścia i powierzchni wznoszenia przy starcie wynoszące:</w:t>
            </w:r>
            <w:r w:rsidR="001C51C1">
              <w:rPr>
                <w:rFonts w:asciiTheme="minorHAnsi" w:eastAsia="Times New Roman" w:hAnsiTheme="minorHAnsi" w:cstheme="minorHAnsi"/>
                <w:sz w:val="20"/>
                <w:szCs w:val="20"/>
                <w:lang w:eastAsia="pl-PL"/>
              </w:rPr>
              <w:t xml:space="preserve"> 3386 m, 1075 m i 1220 m wraz z </w:t>
            </w:r>
            <w:r w:rsidRPr="005D1BFF">
              <w:rPr>
                <w:rFonts w:asciiTheme="minorHAnsi" w:eastAsia="Times New Roman" w:hAnsiTheme="minorHAnsi" w:cstheme="minorHAnsi"/>
                <w:sz w:val="20"/>
                <w:szCs w:val="20"/>
                <w:lang w:eastAsia="pl-PL"/>
              </w:rPr>
              <w:t xml:space="preserve">odpowiednimi nachyleniami powodują wznoszenie śmigłowca na wysokość 152 m </w:t>
            </w:r>
            <w:r>
              <w:rPr>
                <w:rFonts w:asciiTheme="minorHAnsi" w:eastAsia="Times New Roman" w:hAnsiTheme="minorHAnsi" w:cstheme="minorHAnsi"/>
                <w:sz w:val="20"/>
                <w:szCs w:val="20"/>
                <w:lang w:eastAsia="pl-PL"/>
              </w:rPr>
              <w:br/>
            </w:r>
            <w:r w:rsidRPr="005D1BFF">
              <w:rPr>
                <w:rFonts w:asciiTheme="minorHAnsi" w:eastAsia="Times New Roman" w:hAnsiTheme="minorHAnsi" w:cstheme="minorHAnsi"/>
                <w:sz w:val="20"/>
                <w:szCs w:val="20"/>
                <w:lang w:eastAsia="pl-PL"/>
              </w:rPr>
              <w:t>(500 ft) ponad poziomem strefy FATO.</w:t>
            </w:r>
          </w:p>
          <w:p w14:paraId="4E11F60F" w14:textId="05C582D9" w:rsidR="005D1BFF" w:rsidRPr="005D1BFF" w:rsidRDefault="005D1BFF" w:rsidP="001C51C1">
            <w:pPr>
              <w:widowControl/>
              <w:autoSpaceDE w:val="0"/>
              <w:autoSpaceDN w:val="0"/>
              <w:adjustRightInd w:val="0"/>
              <w:spacing w:after="0"/>
              <w:ind w:left="505" w:hanging="505"/>
              <w:rPr>
                <w:rFonts w:asciiTheme="minorHAnsi" w:eastAsia="Times New Roman" w:hAnsiTheme="minorHAnsi" w:cstheme="minorHAnsi"/>
                <w:sz w:val="20"/>
                <w:szCs w:val="20"/>
                <w:lang w:eastAsia="pl-PL"/>
              </w:rPr>
            </w:pPr>
            <w:r w:rsidRPr="005D1BFF">
              <w:rPr>
                <w:rFonts w:asciiTheme="minorHAnsi" w:eastAsia="Times New Roman" w:hAnsiTheme="minorHAnsi" w:cstheme="minorHAnsi"/>
                <w:sz w:val="20"/>
                <w:szCs w:val="20"/>
                <w:lang w:eastAsia="pl-PL"/>
              </w:rPr>
              <w:t xml:space="preserve">(b) </w:t>
            </w:r>
            <w:r w:rsidRPr="005D1BFF">
              <w:rPr>
                <w:rFonts w:asciiTheme="minorHAnsi" w:eastAsia="Times New Roman" w:hAnsiTheme="minorHAnsi" w:cstheme="minorHAnsi"/>
                <w:sz w:val="20"/>
                <w:szCs w:val="20"/>
                <w:lang w:eastAsia="pl-PL"/>
              </w:rPr>
              <w:tab/>
              <w:t>Szerokość całkowita wynosząca 7 średnic wirnika dla operacji w dzień lub 10 średnic wirnika dla operacji w nocy.</w:t>
            </w:r>
          </w:p>
        </w:tc>
      </w:tr>
      <w:tr w:rsidR="005D1BFF" w:rsidRPr="005D1BFF" w14:paraId="0E57C3B8" w14:textId="77777777" w:rsidTr="001C51C1">
        <w:trPr>
          <w:trHeight w:val="284"/>
        </w:trPr>
        <w:tc>
          <w:tcPr>
            <w:tcW w:w="5000" w:type="pct"/>
            <w:gridSpan w:val="4"/>
            <w:tcBorders>
              <w:top w:val="single" w:sz="4" w:space="0" w:color="auto"/>
              <w:left w:val="single" w:sz="4" w:space="0" w:color="auto"/>
              <w:bottom w:val="single" w:sz="4" w:space="0" w:color="auto"/>
              <w:right w:val="single" w:sz="4" w:space="0" w:color="auto"/>
            </w:tcBorders>
          </w:tcPr>
          <w:p w14:paraId="566F7E93" w14:textId="55441656" w:rsidR="005D1BFF" w:rsidRPr="005D1BFF" w:rsidRDefault="005D1BFF" w:rsidP="001C51C1">
            <w:pPr>
              <w:widowControl/>
              <w:autoSpaceDE w:val="0"/>
              <w:autoSpaceDN w:val="0"/>
              <w:adjustRightInd w:val="0"/>
              <w:spacing w:after="0"/>
              <w:ind w:left="650" w:hanging="650"/>
              <w:rPr>
                <w:rFonts w:asciiTheme="minorHAnsi" w:eastAsia="Times New Roman" w:hAnsiTheme="minorHAnsi" w:cstheme="minorHAnsi"/>
                <w:iCs/>
                <w:sz w:val="20"/>
                <w:szCs w:val="20"/>
              </w:rPr>
            </w:pPr>
            <w:r w:rsidRPr="005D1BFF">
              <w:rPr>
                <w:rFonts w:asciiTheme="minorHAnsi" w:eastAsia="Times New Roman" w:hAnsiTheme="minorHAnsi" w:cstheme="minorHAnsi"/>
                <w:iCs/>
                <w:sz w:val="20"/>
                <w:szCs w:val="20"/>
              </w:rPr>
              <w:t>Uwaga:</w:t>
            </w:r>
            <w:r w:rsidR="001C51C1">
              <w:rPr>
                <w:rFonts w:asciiTheme="minorHAnsi" w:eastAsia="Times New Roman" w:hAnsiTheme="minorHAnsi" w:cstheme="minorHAnsi"/>
                <w:iCs/>
                <w:sz w:val="20"/>
                <w:szCs w:val="20"/>
              </w:rPr>
              <w:t xml:space="preserve"> </w:t>
            </w:r>
            <w:r>
              <w:rPr>
                <w:rFonts w:asciiTheme="minorHAnsi" w:eastAsia="Times New Roman" w:hAnsiTheme="minorHAnsi" w:cstheme="minorHAnsi"/>
                <w:iCs/>
                <w:sz w:val="20"/>
                <w:szCs w:val="20"/>
              </w:rPr>
              <w:t>P</w:t>
            </w:r>
            <w:r w:rsidRPr="005D1BFF">
              <w:rPr>
                <w:rFonts w:asciiTheme="minorHAnsi" w:eastAsia="Times New Roman" w:hAnsiTheme="minorHAnsi" w:cstheme="minorHAnsi"/>
                <w:iCs/>
                <w:sz w:val="20"/>
                <w:szCs w:val="20"/>
              </w:rPr>
              <w:t xml:space="preserve">rzedstawione </w:t>
            </w:r>
            <w:r>
              <w:rPr>
                <w:rFonts w:asciiTheme="minorHAnsi" w:eastAsia="Times New Roman" w:hAnsiTheme="minorHAnsi" w:cstheme="minorHAnsi"/>
                <w:iCs/>
                <w:sz w:val="20"/>
                <w:szCs w:val="20"/>
              </w:rPr>
              <w:t>powyżej k</w:t>
            </w:r>
            <w:r w:rsidRPr="005D1BFF">
              <w:rPr>
                <w:rFonts w:asciiTheme="minorHAnsi" w:eastAsia="Times New Roman" w:hAnsiTheme="minorHAnsi" w:cstheme="minorHAnsi"/>
                <w:iCs/>
                <w:sz w:val="20"/>
                <w:szCs w:val="20"/>
              </w:rPr>
              <w:t>ategorie projektowanego nachylenia przedstawiają minimalne projektowane kąty nachylenia a</w:t>
            </w:r>
            <w:r>
              <w:rPr>
                <w:rFonts w:asciiTheme="minorHAnsi" w:eastAsia="Times New Roman" w:hAnsiTheme="minorHAnsi" w:cstheme="minorHAnsi"/>
                <w:iCs/>
                <w:sz w:val="20"/>
                <w:szCs w:val="20"/>
              </w:rPr>
              <w:t xml:space="preserve"> </w:t>
            </w:r>
            <w:r w:rsidRPr="005D1BFF">
              <w:rPr>
                <w:rFonts w:asciiTheme="minorHAnsi" w:eastAsia="Times New Roman" w:hAnsiTheme="minorHAnsi" w:cstheme="minorHAnsi"/>
                <w:iCs/>
                <w:sz w:val="20"/>
                <w:szCs w:val="20"/>
              </w:rPr>
              <w:t xml:space="preserve">nie nachylenia operacyjne. Kategoria nachylenia „A” zazwyczaj odpowiada śmigłowcom wykonującym operacje w 1 klasie osiągów. Kategoria nachylenia „B” zazwyczaj odpowiada śmigłowcom wykonującym operacje w 3 klasie osiągów, a kategoria nachylenia „C” zazwyczaj odpowiada śmigłowcom wykonującym operacje w 2 klasie osiągów. </w:t>
            </w:r>
          </w:p>
        </w:tc>
      </w:tr>
    </w:tbl>
    <w:p w14:paraId="67509A30" w14:textId="05E1C6B1" w:rsidR="005D1BFF" w:rsidRPr="005D1BFF" w:rsidRDefault="005D1BFF" w:rsidP="00F52B3A">
      <w:pPr>
        <w:pStyle w:val="Style10"/>
        <w:widowControl/>
        <w:tabs>
          <w:tab w:val="left" w:pos="0"/>
        </w:tabs>
        <w:spacing w:line="276" w:lineRule="auto"/>
        <w:rPr>
          <w:rStyle w:val="FontStyle221"/>
          <w:rFonts w:asciiTheme="minorHAnsi" w:hAnsiTheme="minorHAnsi" w:cstheme="minorHAnsi"/>
          <w:lang w:eastAsia="en-US"/>
        </w:rPr>
      </w:pPr>
    </w:p>
    <w:p w14:paraId="662D8A89" w14:textId="0A65EA35" w:rsidR="005D1BFF" w:rsidRPr="005D1BFF" w:rsidRDefault="005D1BFF" w:rsidP="005D1BFF">
      <w:pPr>
        <w:pStyle w:val="Default"/>
        <w:spacing w:line="276" w:lineRule="auto"/>
        <w:ind w:left="709" w:hanging="709"/>
        <w:jc w:val="center"/>
        <w:rPr>
          <w:rFonts w:asciiTheme="minorHAnsi" w:hAnsiTheme="minorHAnsi" w:cstheme="minorHAnsi"/>
          <w:b/>
          <w:color w:val="auto"/>
          <w:sz w:val="20"/>
          <w:szCs w:val="20"/>
        </w:rPr>
      </w:pPr>
      <w:r w:rsidRPr="005D1BFF">
        <w:rPr>
          <w:rFonts w:asciiTheme="minorHAnsi" w:hAnsiTheme="minorHAnsi" w:cstheme="minorHAnsi"/>
          <w:b/>
          <w:color w:val="auto"/>
          <w:sz w:val="20"/>
          <w:szCs w:val="20"/>
        </w:rPr>
        <w:t>Tabela</w:t>
      </w:r>
      <w:r>
        <w:rPr>
          <w:rFonts w:asciiTheme="minorHAnsi" w:hAnsiTheme="minorHAnsi" w:cstheme="minorHAnsi"/>
          <w:b/>
          <w:color w:val="auto"/>
          <w:sz w:val="20"/>
          <w:szCs w:val="20"/>
        </w:rPr>
        <w:t xml:space="preserve"> E</w:t>
      </w:r>
      <w:r w:rsidRPr="005D1BFF">
        <w:rPr>
          <w:rFonts w:asciiTheme="minorHAnsi" w:hAnsiTheme="minorHAnsi" w:cstheme="minorHAnsi"/>
          <w:b/>
          <w:color w:val="auto"/>
          <w:sz w:val="20"/>
          <w:szCs w:val="20"/>
        </w:rPr>
        <w:t xml:space="preserve">-1   Wymiary i nachylenia powierzchni ograniczających przeszkody </w:t>
      </w:r>
      <w:r w:rsidRPr="005D1BFF">
        <w:rPr>
          <w:rFonts w:asciiTheme="minorHAnsi" w:hAnsiTheme="minorHAnsi" w:cstheme="minorHAnsi"/>
          <w:b/>
          <w:color w:val="auto"/>
          <w:sz w:val="20"/>
          <w:szCs w:val="20"/>
        </w:rPr>
        <w:br/>
        <w:t>dla wszystkich stref FATO z widzialnością</w:t>
      </w:r>
    </w:p>
    <w:p w14:paraId="483E6179" w14:textId="04B4EF41" w:rsidR="001C51C1" w:rsidRDefault="001C51C1">
      <w:pPr>
        <w:spacing w:after="0"/>
        <w:jc w:val="left"/>
        <w:rPr>
          <w:rStyle w:val="FontStyle221"/>
          <w:rFonts w:eastAsia="Times New Roman"/>
          <w:b/>
        </w:rPr>
      </w:pPr>
      <w:r>
        <w:rPr>
          <w:rStyle w:val="FontStyle221"/>
          <w:b/>
        </w:rPr>
        <w:br w:type="page"/>
      </w:r>
    </w:p>
    <w:p w14:paraId="2C4B345B" w14:textId="77777777" w:rsidR="00BC2BB6" w:rsidRDefault="00BC2BB6" w:rsidP="00F52B3A">
      <w:pPr>
        <w:pStyle w:val="Style10"/>
        <w:widowControl/>
        <w:tabs>
          <w:tab w:val="left" w:pos="0"/>
        </w:tabs>
        <w:spacing w:line="276" w:lineRule="auto"/>
        <w:rPr>
          <w:rStyle w:val="FontStyle221"/>
          <w:b/>
          <w:lang w:eastAsia="en-US"/>
        </w:rPr>
      </w:pPr>
    </w:p>
    <w:p w14:paraId="1C185CAB" w14:textId="77777777" w:rsidR="00BC2BB6" w:rsidRPr="00BC2BB6" w:rsidRDefault="00BC2BB6" w:rsidP="00BC2BB6">
      <w:pPr>
        <w:widowControl/>
        <w:autoSpaceDE w:val="0"/>
        <w:autoSpaceDN w:val="0"/>
        <w:adjustRightInd w:val="0"/>
        <w:spacing w:after="0"/>
        <w:jc w:val="center"/>
        <w:rPr>
          <w:rFonts w:ascii="Times New Roman" w:eastAsia="Times New Roman" w:hAnsi="Times New Roman" w:cs="Times New Roman"/>
          <w:b/>
          <w:sz w:val="20"/>
          <w:szCs w:val="20"/>
          <w:lang w:eastAsia="pl-PL"/>
        </w:rPr>
      </w:pPr>
      <w:r w:rsidRPr="00BC2BB6">
        <w:rPr>
          <w:rFonts w:ascii="Times New Roman" w:eastAsia="Times New Roman" w:hAnsi="Times New Roman" w:cs="Times New Roman"/>
          <w:noProof/>
          <w:sz w:val="24"/>
          <w:szCs w:val="24"/>
          <w:lang w:eastAsia="pl-PL"/>
        </w:rPr>
        <mc:AlternateContent>
          <mc:Choice Requires="wpg">
            <w:drawing>
              <wp:anchor distT="0" distB="0" distL="114300" distR="114300" simplePos="0" relativeHeight="251691520" behindDoc="0" locked="0" layoutInCell="1" allowOverlap="1" wp14:anchorId="535AF73C" wp14:editId="56F2B69B">
                <wp:simplePos x="0" y="0"/>
                <wp:positionH relativeFrom="column">
                  <wp:posOffset>-2166</wp:posOffset>
                </wp:positionH>
                <wp:positionV relativeFrom="paragraph">
                  <wp:posOffset>1009</wp:posOffset>
                </wp:positionV>
                <wp:extent cx="5768340" cy="1855470"/>
                <wp:effectExtent l="0" t="0" r="3810" b="0"/>
                <wp:wrapNone/>
                <wp:docPr id="812" name="Grupa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855470"/>
                          <a:chOff x="1418" y="1878"/>
                          <a:chExt cx="9084" cy="2922"/>
                        </a:xfrm>
                      </wpg:grpSpPr>
                      <pic:pic xmlns:pic="http://schemas.openxmlformats.org/drawingml/2006/picture">
                        <pic:nvPicPr>
                          <pic:cNvPr id="813" name="Picture 10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418" y="1878"/>
                            <a:ext cx="9084" cy="2922"/>
                          </a:xfrm>
                          <a:prstGeom prst="rect">
                            <a:avLst/>
                          </a:prstGeom>
                          <a:noFill/>
                          <a:extLst>
                            <a:ext uri="{909E8E84-426E-40DD-AFC4-6F175D3DCCD1}">
                              <a14:hiddenFill xmlns:a14="http://schemas.microsoft.com/office/drawing/2010/main">
                                <a:solidFill>
                                  <a:srgbClr val="FFFFFF"/>
                                </a:solidFill>
                              </a14:hiddenFill>
                            </a:ext>
                          </a:extLst>
                        </pic:spPr>
                      </pic:pic>
                      <wps:wsp>
                        <wps:cNvPr id="814" name="Rectangle 105"/>
                        <wps:cNvSpPr>
                          <a:spLocks noChangeArrowheads="1"/>
                        </wps:cNvSpPr>
                        <wps:spPr bwMode="auto">
                          <a:xfrm>
                            <a:off x="4915" y="2192"/>
                            <a:ext cx="2540"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93E1" w14:textId="77777777" w:rsidR="003832F2" w:rsidRDefault="003832F2" w:rsidP="00BC2BB6">
                              <w:pPr>
                                <w:jc w:val="center"/>
                                <w:rPr>
                                  <w:rFonts w:ascii="Arial" w:hAnsi="Arial" w:cs="Arial"/>
                                  <w:sz w:val="16"/>
                                  <w:szCs w:val="20"/>
                                </w:rPr>
                              </w:pPr>
                              <w:r w:rsidRPr="00875050">
                                <w:rPr>
                                  <w:rFonts w:ascii="Arial" w:hAnsi="Arial" w:cs="Arial"/>
                                  <w:sz w:val="16"/>
                                  <w:szCs w:val="20"/>
                                </w:rPr>
                                <w:t xml:space="preserve">Sekcja pierwsza zgodnie </w:t>
                              </w:r>
                            </w:p>
                            <w:p w14:paraId="55F3F31B" w14:textId="0B145582" w:rsidR="003832F2" w:rsidRPr="002D55D1" w:rsidRDefault="003832F2" w:rsidP="00BC2BB6">
                              <w:pPr>
                                <w:jc w:val="center"/>
                                <w:rPr>
                                  <w:rFonts w:ascii="Arial" w:hAnsi="Arial" w:cs="Arial"/>
                                  <w:sz w:val="16"/>
                                  <w:szCs w:val="20"/>
                                </w:rPr>
                              </w:pPr>
                              <w:r w:rsidRPr="002D55D1">
                                <w:rPr>
                                  <w:rFonts w:ascii="Arial" w:hAnsi="Arial" w:cs="Arial"/>
                                  <w:sz w:val="16"/>
                                  <w:szCs w:val="20"/>
                                </w:rPr>
                                <w:t xml:space="preserve">z </w:t>
                              </w:r>
                              <w:r>
                                <w:rPr>
                                  <w:rFonts w:ascii="Arial" w:hAnsi="Arial" w:cs="Arial"/>
                                  <w:sz w:val="16"/>
                                  <w:szCs w:val="20"/>
                                </w:rPr>
                                <w:t>Tabelą E</w:t>
                              </w:r>
                              <w:r w:rsidRPr="002D55D1">
                                <w:rPr>
                                  <w:rFonts w:ascii="Arial" w:hAnsi="Arial" w:cs="Arial"/>
                                  <w:sz w:val="16"/>
                                  <w:szCs w:val="20"/>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35AF73C" id="Grupa 812" o:spid="_x0000_s1252" style="position:absolute;left:0;text-align:left;margin-left:-.15pt;margin-top:.1pt;width:454.2pt;height:146.1pt;z-index:251691520;mso-position-horizontal-relative:text;mso-position-vertical-relative:text" coordorigin="1418,1878" coordsize="9084,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">
                <v:shape id="Picture 104" o:spid="_x0000_s1253" type="#_x0000_t75" style="position:absolute;left:1418;top:1878;width:9084;height: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">
                  <v:imagedata r:id="rId324" o:title=""/>
                </v:shape>
                <v:rect id="Rectangle 105" o:spid="_x0000_s1254" style="position:absolute;left:4915;top:2192;width:2540;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" filled="f" stroked="f">
                  <v:textbox>
                    <w:txbxContent>
                      <w:p w14:paraId="2FD693E1" w14:textId="77777777" w:rsidR="003832F2" w:rsidRDefault="003832F2" w:rsidP="00BC2BB6">
                        <w:pPr>
                          <w:jc w:val="center"/>
                          <w:rPr>
                            <w:rFonts w:ascii="Arial" w:hAnsi="Arial" w:cs="Arial"/>
                            <w:sz w:val="16"/>
                            <w:szCs w:val="20"/>
                          </w:rPr>
                        </w:pPr>
                        <w:r w:rsidRPr="00875050">
                          <w:rPr>
                            <w:rFonts w:ascii="Arial" w:hAnsi="Arial" w:cs="Arial"/>
                            <w:sz w:val="16"/>
                            <w:szCs w:val="20"/>
                          </w:rPr>
                          <w:t xml:space="preserve">Sekcja pierwsza zgodnie </w:t>
                        </w:r>
                      </w:p>
                      <w:p w14:paraId="55F3F31B" w14:textId="0B145582" w:rsidR="003832F2" w:rsidRPr="002D55D1" w:rsidRDefault="003832F2" w:rsidP="00BC2BB6">
                        <w:pPr>
                          <w:jc w:val="center"/>
                          <w:rPr>
                            <w:rFonts w:ascii="Arial" w:hAnsi="Arial" w:cs="Arial"/>
                            <w:sz w:val="16"/>
                            <w:szCs w:val="20"/>
                          </w:rPr>
                        </w:pPr>
                        <w:r w:rsidRPr="002D55D1">
                          <w:rPr>
                            <w:rFonts w:ascii="Arial" w:hAnsi="Arial" w:cs="Arial"/>
                            <w:sz w:val="16"/>
                            <w:szCs w:val="20"/>
                          </w:rPr>
                          <w:t xml:space="preserve">z </w:t>
                        </w:r>
                        <w:r>
                          <w:rPr>
                            <w:rFonts w:ascii="Arial" w:hAnsi="Arial" w:cs="Arial"/>
                            <w:sz w:val="16"/>
                            <w:szCs w:val="20"/>
                          </w:rPr>
                          <w:t>Tabelą E</w:t>
                        </w:r>
                        <w:r w:rsidRPr="002D55D1">
                          <w:rPr>
                            <w:rFonts w:ascii="Arial" w:hAnsi="Arial" w:cs="Arial"/>
                            <w:sz w:val="16"/>
                            <w:szCs w:val="20"/>
                          </w:rPr>
                          <w:t>-1</w:t>
                        </w:r>
                      </w:p>
                    </w:txbxContent>
                  </v:textbox>
                </v:rect>
              </v:group>
            </w:pict>
          </mc:Fallback>
        </mc:AlternateContent>
      </w:r>
      <w:r w:rsidRPr="00BC2BB6">
        <w:rPr>
          <w:rFonts w:ascii="Times New Roman" w:eastAsia="Times New Roman" w:hAnsi="Times New Roman" w:cs="Times New Roman"/>
          <w:b/>
          <w:noProof/>
          <w:sz w:val="20"/>
          <w:szCs w:val="20"/>
          <w:lang w:eastAsia="pl-PL"/>
        </w:rPr>
        <mc:AlternateContent>
          <mc:Choice Requires="wpc">
            <w:drawing>
              <wp:inline distT="0" distB="0" distL="0" distR="0" wp14:anchorId="12721826" wp14:editId="3E1536C2">
                <wp:extent cx="5761990" cy="1849120"/>
                <wp:effectExtent l="0" t="0" r="635" b="0"/>
                <wp:docPr id="811" name="Kanwa 8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98EBC97" id="Kanwa 811" o:spid="_x0000_s1026" editas="canvas" style="width:453.7pt;height:145.6pt;mso-position-horizontal-relative:char;mso-position-vertical-relative:line" coordsize="57619,18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">
                <v:shape id="_x0000_s1027" type="#_x0000_t75" style="position:absolute;width:57619;height:18491;visibility:visible;mso-wrap-style:square">
                  <v:fill o:detectmouseclick="t"/>
                  <v:path o:connecttype="none"/>
                </v:shape>
                <w10:anchorlock/>
              </v:group>
            </w:pict>
          </mc:Fallback>
        </mc:AlternateContent>
      </w:r>
    </w:p>
    <w:p w14:paraId="6DA7D16D" w14:textId="77777777" w:rsidR="00BC2BB6" w:rsidRPr="00BC2B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5A1A4379" w14:textId="77777777" w:rsidR="00BC2BB6" w:rsidRPr="00BC2BB6" w:rsidRDefault="00BC2BB6" w:rsidP="00BC2BB6">
      <w:pPr>
        <w:widowControl/>
        <w:autoSpaceDE w:val="0"/>
        <w:autoSpaceDN w:val="0"/>
        <w:adjustRightInd w:val="0"/>
        <w:spacing w:after="0"/>
        <w:jc w:val="center"/>
        <w:rPr>
          <w:rFonts w:asciiTheme="minorHAnsi" w:eastAsia="Times New Roman" w:hAnsiTheme="minorHAnsi" w:cstheme="minorHAnsi"/>
          <w:b/>
          <w:sz w:val="20"/>
          <w:szCs w:val="20"/>
          <w:lang w:eastAsia="pl-PL"/>
        </w:rPr>
      </w:pPr>
      <w:r w:rsidRPr="00BC2BB6">
        <w:rPr>
          <w:rFonts w:asciiTheme="minorHAnsi" w:eastAsia="Times New Roman" w:hAnsiTheme="minorHAnsi" w:cstheme="minorHAnsi"/>
          <w:sz w:val="20"/>
          <w:szCs w:val="20"/>
          <w:lang w:eastAsia="pl-PL"/>
        </w:rPr>
        <w:t>a)  Powierzchnie podejścia i wznoszenia przy starcie. Projektowany profil nachylenia „</w:t>
      </w:r>
      <w:r w:rsidRPr="00BC2BB6">
        <w:rPr>
          <w:rFonts w:asciiTheme="minorHAnsi" w:eastAsia="Times New Roman" w:hAnsiTheme="minorHAnsi" w:cstheme="minorHAnsi"/>
          <w:b/>
          <w:sz w:val="20"/>
          <w:szCs w:val="20"/>
          <w:lang w:eastAsia="pl-PL"/>
        </w:rPr>
        <w:t>A</w:t>
      </w:r>
      <w:r w:rsidRPr="00BC2BB6">
        <w:rPr>
          <w:rFonts w:asciiTheme="minorHAnsi" w:eastAsia="Times New Roman" w:hAnsiTheme="minorHAnsi" w:cstheme="minorHAnsi"/>
          <w:sz w:val="20"/>
          <w:szCs w:val="20"/>
          <w:lang w:eastAsia="pl-PL"/>
        </w:rPr>
        <w:t xml:space="preserve">” </w:t>
      </w:r>
      <w:r w:rsidRPr="00BC2BB6">
        <w:rPr>
          <w:rFonts w:asciiTheme="minorHAnsi" w:eastAsia="Times New Roman" w:hAnsiTheme="minorHAnsi" w:cstheme="minorHAnsi"/>
          <w:sz w:val="20"/>
          <w:szCs w:val="20"/>
          <w:lang w:eastAsia="pl-PL"/>
        </w:rPr>
        <w:sym w:font="Symbol" w:char="F02D"/>
      </w:r>
      <w:r w:rsidRPr="00BC2BB6">
        <w:rPr>
          <w:rFonts w:asciiTheme="minorHAnsi" w:eastAsia="Times New Roman" w:hAnsiTheme="minorHAnsi" w:cstheme="minorHAnsi"/>
          <w:sz w:val="20"/>
          <w:szCs w:val="20"/>
          <w:lang w:eastAsia="pl-PL"/>
        </w:rPr>
        <w:t xml:space="preserve">  4.5%</w:t>
      </w:r>
    </w:p>
    <w:p w14:paraId="3C9B62FB" w14:textId="77777777" w:rsidR="00BC2BB6" w:rsidRPr="00BC2B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746CE561" w14:textId="72926CA3" w:rsidR="00BC2B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765EAB5D" w14:textId="77777777" w:rsidR="001C51C1" w:rsidRDefault="001C51C1"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24EBED0C" w14:textId="77777777" w:rsidR="001C51C1" w:rsidRPr="00BC2BB6" w:rsidRDefault="001C51C1"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10A8B2F3" w14:textId="77777777" w:rsidR="00BC2BB6" w:rsidRPr="00BC2BB6" w:rsidRDefault="00BC2BB6" w:rsidP="00BC2BB6">
      <w:pPr>
        <w:widowControl/>
        <w:autoSpaceDE w:val="0"/>
        <w:autoSpaceDN w:val="0"/>
        <w:adjustRightInd w:val="0"/>
        <w:spacing w:after="0"/>
        <w:jc w:val="center"/>
        <w:rPr>
          <w:rFonts w:ascii="Times New Roman" w:eastAsia="Times New Roman" w:hAnsi="Times New Roman" w:cs="Times New Roman"/>
          <w:b/>
          <w:sz w:val="20"/>
          <w:szCs w:val="20"/>
          <w:lang w:eastAsia="pl-PL"/>
        </w:rPr>
      </w:pPr>
      <w:r w:rsidRPr="00BC2BB6">
        <w:rPr>
          <w:rFonts w:ascii="Times New Roman" w:eastAsia="Times New Roman" w:hAnsi="Times New Roman" w:cs="Times New Roman"/>
          <w:noProof/>
          <w:sz w:val="24"/>
          <w:szCs w:val="24"/>
          <w:lang w:eastAsia="pl-PL"/>
        </w:rPr>
        <mc:AlternateContent>
          <mc:Choice Requires="wpg">
            <w:drawing>
              <wp:anchor distT="0" distB="0" distL="114300" distR="114300" simplePos="0" relativeHeight="251692544" behindDoc="0" locked="0" layoutInCell="1" allowOverlap="1" wp14:anchorId="4EE278DB" wp14:editId="6143553B">
                <wp:simplePos x="0" y="0"/>
                <wp:positionH relativeFrom="column">
                  <wp:posOffset>0</wp:posOffset>
                </wp:positionH>
                <wp:positionV relativeFrom="paragraph">
                  <wp:posOffset>0</wp:posOffset>
                </wp:positionV>
                <wp:extent cx="5768340" cy="1842135"/>
                <wp:effectExtent l="0" t="0" r="3810" b="0"/>
                <wp:wrapNone/>
                <wp:docPr id="816" name="Grupa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340" cy="1842135"/>
                          <a:chOff x="1418" y="5938"/>
                          <a:chExt cx="9084" cy="2901"/>
                        </a:xfrm>
                      </wpg:grpSpPr>
                      <pic:pic xmlns:pic="http://schemas.openxmlformats.org/drawingml/2006/picture">
                        <pic:nvPicPr>
                          <pic:cNvPr id="817" name="Picture 10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418" y="5938"/>
                            <a:ext cx="9084" cy="2901"/>
                          </a:xfrm>
                          <a:prstGeom prst="rect">
                            <a:avLst/>
                          </a:prstGeom>
                          <a:noFill/>
                          <a:extLst>
                            <a:ext uri="{909E8E84-426E-40DD-AFC4-6F175D3DCCD1}">
                              <a14:hiddenFill xmlns:a14="http://schemas.microsoft.com/office/drawing/2010/main">
                                <a:solidFill>
                                  <a:srgbClr val="FFFFFF"/>
                                </a:solidFill>
                              </a14:hiddenFill>
                            </a:ext>
                          </a:extLst>
                        </pic:spPr>
                      </pic:pic>
                      <wps:wsp>
                        <wps:cNvPr id="818" name="Rectangle 110"/>
                        <wps:cNvSpPr>
                          <a:spLocks noChangeArrowheads="1"/>
                        </wps:cNvSpPr>
                        <wps:spPr bwMode="auto">
                          <a:xfrm>
                            <a:off x="2694" y="6750"/>
                            <a:ext cx="2620"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FCB0F" w14:textId="77777777" w:rsidR="003832F2" w:rsidRDefault="003832F2" w:rsidP="00BC2BB6">
                              <w:pPr>
                                <w:spacing w:line="216" w:lineRule="auto"/>
                                <w:jc w:val="center"/>
                                <w:rPr>
                                  <w:rFonts w:ascii="Arial Narrow" w:hAnsi="Arial Narrow"/>
                                  <w:sz w:val="18"/>
                                  <w:szCs w:val="20"/>
                                </w:rPr>
                              </w:pPr>
                              <w:r w:rsidRPr="00875050">
                                <w:rPr>
                                  <w:rFonts w:ascii="Arial Narrow" w:hAnsi="Arial Narrow"/>
                                  <w:sz w:val="18"/>
                                  <w:szCs w:val="20"/>
                                </w:rPr>
                                <w:t xml:space="preserve">Sekcja pierwsza zgodnie </w:t>
                              </w:r>
                            </w:p>
                            <w:p w14:paraId="7F5DD7AF" w14:textId="77777777" w:rsidR="003832F2" w:rsidRPr="002D55D1" w:rsidRDefault="003832F2" w:rsidP="00BC2BB6">
                              <w:pPr>
                                <w:spacing w:line="216" w:lineRule="auto"/>
                                <w:jc w:val="center"/>
                                <w:rPr>
                                  <w:rFonts w:ascii="Arial Narrow" w:hAnsi="Arial Narrow"/>
                                  <w:sz w:val="18"/>
                                  <w:szCs w:val="20"/>
                                </w:rPr>
                              </w:pPr>
                              <w:r w:rsidRPr="002D55D1">
                                <w:rPr>
                                  <w:rFonts w:ascii="Arial Narrow" w:hAnsi="Arial Narrow"/>
                                  <w:sz w:val="18"/>
                                  <w:szCs w:val="20"/>
                                </w:rPr>
                                <w:t xml:space="preserve">z </w:t>
                              </w:r>
                              <w:r>
                                <w:rPr>
                                  <w:rFonts w:ascii="Arial Narrow" w:hAnsi="Arial Narrow"/>
                                  <w:sz w:val="18"/>
                                  <w:szCs w:val="20"/>
                                </w:rPr>
                                <w:t>Tabel</w:t>
                              </w:r>
                              <w:r w:rsidRPr="002D55D1">
                                <w:rPr>
                                  <w:rFonts w:ascii="Arial Narrow" w:hAnsi="Arial Narrow"/>
                                  <w:sz w:val="18"/>
                                  <w:szCs w:val="20"/>
                                </w:rPr>
                                <w:t>ą 4-1</w:t>
                              </w:r>
                            </w:p>
                            <w:p w14:paraId="4E286197" w14:textId="77777777" w:rsidR="003832F2" w:rsidRPr="007A06B6" w:rsidRDefault="003832F2" w:rsidP="00BC2BB6"/>
                          </w:txbxContent>
                        </wps:txbx>
                        <wps:bodyPr rot="0" vert="horz" wrap="square" lIns="91440" tIns="45720" rIns="91440" bIns="45720" anchor="t" anchorCtr="0" upright="1">
                          <a:noAutofit/>
                        </wps:bodyPr>
                      </wps:wsp>
                      <wps:wsp>
                        <wps:cNvPr id="819" name="Rectangle 111"/>
                        <wps:cNvSpPr>
                          <a:spLocks noChangeArrowheads="1"/>
                        </wps:cNvSpPr>
                        <wps:spPr bwMode="auto">
                          <a:xfrm>
                            <a:off x="5747" y="6192"/>
                            <a:ext cx="230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D832A" w14:textId="77777777" w:rsidR="003832F2" w:rsidRDefault="003832F2" w:rsidP="00BC2BB6">
                              <w:pPr>
                                <w:spacing w:line="216" w:lineRule="auto"/>
                                <w:jc w:val="center"/>
                                <w:rPr>
                                  <w:rFonts w:ascii="Arial Narrow" w:hAnsi="Arial Narrow"/>
                                  <w:sz w:val="18"/>
                                  <w:szCs w:val="20"/>
                                </w:rPr>
                              </w:pPr>
                              <w:r w:rsidRPr="00875050">
                                <w:rPr>
                                  <w:rFonts w:ascii="Arial Narrow" w:hAnsi="Arial Narrow"/>
                                  <w:sz w:val="18"/>
                                  <w:szCs w:val="20"/>
                                </w:rPr>
                                <w:t xml:space="preserve">Sekcja druga zgodnie </w:t>
                              </w:r>
                            </w:p>
                            <w:p w14:paraId="23BDC218" w14:textId="77777777" w:rsidR="003832F2" w:rsidRPr="00760C22" w:rsidRDefault="003832F2" w:rsidP="00BC2BB6">
                              <w:pPr>
                                <w:jc w:val="center"/>
                                <w:rPr>
                                  <w:rFonts w:ascii="Arial Narrow" w:hAnsi="Arial Narrow"/>
                                  <w:sz w:val="18"/>
                                  <w:szCs w:val="20"/>
                                </w:rPr>
                              </w:pPr>
                              <w:r>
                                <w:rPr>
                                  <w:rFonts w:ascii="Arial Narrow" w:hAnsi="Arial Narrow"/>
                                  <w:sz w:val="18"/>
                                  <w:szCs w:val="20"/>
                                </w:rPr>
                                <w:t>z Tabelą 4-1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EE278DB" id="Grupa 816" o:spid="_x0000_s1255" style="position:absolute;left:0;text-align:left;margin-left:0;margin-top:0;width:454.2pt;height:145.05pt;z-index:251692544;mso-position-horizontal-relative:text;mso-position-vertical-relative:text" coordorigin="1418,5938" coordsize="9084,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">
                <v:shape id="Picture 109" o:spid="_x0000_s1256" type="#_x0000_t75" style="position:absolute;left:1418;top:5938;width:9084;height:2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">
                  <v:imagedata r:id="rId326" o:title=""/>
                </v:shape>
                <v:rect id="Rectangle 110" o:spid="_x0000_s1257" style="position:absolute;left:2694;top:6750;width:262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" filled="f" stroked="f">
                  <v:textbox>
                    <w:txbxContent>
                      <w:p w14:paraId="593FCB0F" w14:textId="77777777" w:rsidR="003832F2" w:rsidRDefault="003832F2" w:rsidP="00BC2BB6">
                        <w:pPr>
                          <w:spacing w:line="216" w:lineRule="auto"/>
                          <w:jc w:val="center"/>
                          <w:rPr>
                            <w:rFonts w:ascii="Arial Narrow" w:hAnsi="Arial Narrow"/>
                            <w:sz w:val="18"/>
                            <w:szCs w:val="20"/>
                          </w:rPr>
                        </w:pPr>
                        <w:r w:rsidRPr="00875050">
                          <w:rPr>
                            <w:rFonts w:ascii="Arial Narrow" w:hAnsi="Arial Narrow"/>
                            <w:sz w:val="18"/>
                            <w:szCs w:val="20"/>
                          </w:rPr>
                          <w:t xml:space="preserve">Sekcja pierwsza zgodnie </w:t>
                        </w:r>
                      </w:p>
                      <w:p w14:paraId="7F5DD7AF" w14:textId="77777777" w:rsidR="003832F2" w:rsidRPr="002D55D1" w:rsidRDefault="003832F2" w:rsidP="00BC2BB6">
                        <w:pPr>
                          <w:spacing w:line="216" w:lineRule="auto"/>
                          <w:jc w:val="center"/>
                          <w:rPr>
                            <w:rFonts w:ascii="Arial Narrow" w:hAnsi="Arial Narrow"/>
                            <w:sz w:val="18"/>
                            <w:szCs w:val="20"/>
                          </w:rPr>
                        </w:pPr>
                        <w:r w:rsidRPr="002D55D1">
                          <w:rPr>
                            <w:rFonts w:ascii="Arial Narrow" w:hAnsi="Arial Narrow"/>
                            <w:sz w:val="18"/>
                            <w:szCs w:val="20"/>
                          </w:rPr>
                          <w:t xml:space="preserve">z </w:t>
                        </w:r>
                        <w:r>
                          <w:rPr>
                            <w:rFonts w:ascii="Arial Narrow" w:hAnsi="Arial Narrow"/>
                            <w:sz w:val="18"/>
                            <w:szCs w:val="20"/>
                          </w:rPr>
                          <w:t>Tabel</w:t>
                        </w:r>
                        <w:r w:rsidRPr="002D55D1">
                          <w:rPr>
                            <w:rFonts w:ascii="Arial Narrow" w:hAnsi="Arial Narrow"/>
                            <w:sz w:val="18"/>
                            <w:szCs w:val="20"/>
                          </w:rPr>
                          <w:t>ą 4-1</w:t>
                        </w:r>
                      </w:p>
                      <w:p w14:paraId="4E286197" w14:textId="77777777" w:rsidR="003832F2" w:rsidRPr="007A06B6" w:rsidRDefault="003832F2" w:rsidP="00BC2BB6"/>
                    </w:txbxContent>
                  </v:textbox>
                </v:rect>
                <v:rect id="Rectangle 111" o:spid="_x0000_s1258" style="position:absolute;left:5747;top:6192;width:230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" filled="f" stroked="f">
                  <v:textbox>
                    <w:txbxContent>
                      <w:p w14:paraId="469D832A" w14:textId="77777777" w:rsidR="003832F2" w:rsidRDefault="003832F2" w:rsidP="00BC2BB6">
                        <w:pPr>
                          <w:spacing w:line="216" w:lineRule="auto"/>
                          <w:jc w:val="center"/>
                          <w:rPr>
                            <w:rFonts w:ascii="Arial Narrow" w:hAnsi="Arial Narrow"/>
                            <w:sz w:val="18"/>
                            <w:szCs w:val="20"/>
                          </w:rPr>
                        </w:pPr>
                        <w:r w:rsidRPr="00875050">
                          <w:rPr>
                            <w:rFonts w:ascii="Arial Narrow" w:hAnsi="Arial Narrow"/>
                            <w:sz w:val="18"/>
                            <w:szCs w:val="20"/>
                          </w:rPr>
                          <w:t xml:space="preserve">Sekcja druga zgodnie </w:t>
                        </w:r>
                      </w:p>
                      <w:p w14:paraId="23BDC218" w14:textId="77777777" w:rsidR="003832F2" w:rsidRPr="00760C22" w:rsidRDefault="003832F2" w:rsidP="00BC2BB6">
                        <w:pPr>
                          <w:jc w:val="center"/>
                          <w:rPr>
                            <w:rFonts w:ascii="Arial Narrow" w:hAnsi="Arial Narrow"/>
                            <w:sz w:val="18"/>
                            <w:szCs w:val="20"/>
                          </w:rPr>
                        </w:pPr>
                        <w:r>
                          <w:rPr>
                            <w:rFonts w:ascii="Arial Narrow" w:hAnsi="Arial Narrow"/>
                            <w:sz w:val="18"/>
                            <w:szCs w:val="20"/>
                          </w:rPr>
                          <w:t>z Tabelą 4-1</w:t>
                        </w:r>
                      </w:p>
                    </w:txbxContent>
                  </v:textbox>
                </v:rect>
              </v:group>
            </w:pict>
          </mc:Fallback>
        </mc:AlternateContent>
      </w:r>
      <w:r w:rsidRPr="00BC2BB6">
        <w:rPr>
          <w:rFonts w:ascii="Times New Roman" w:eastAsia="Times New Roman" w:hAnsi="Times New Roman" w:cs="Times New Roman"/>
          <w:b/>
          <w:noProof/>
          <w:sz w:val="20"/>
          <w:szCs w:val="20"/>
          <w:lang w:eastAsia="pl-PL"/>
        </w:rPr>
        <mc:AlternateContent>
          <mc:Choice Requires="wpc">
            <w:drawing>
              <wp:inline distT="0" distB="0" distL="0" distR="0" wp14:anchorId="6F2992F2" wp14:editId="28F737F0">
                <wp:extent cx="5761990" cy="1835785"/>
                <wp:effectExtent l="0" t="0" r="635" b="2540"/>
                <wp:docPr id="815" name="Kanwa 81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0728A335" id="Kanwa 815" o:spid="_x0000_s1026" editas="canvas" style="width:453.7pt;height:144.55pt;mso-position-horizontal-relative:char;mso-position-vertical-relative:line" coordsize="57619,18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">
                <v:shape id="_x0000_s1027" type="#_x0000_t75" style="position:absolute;width:57619;height:18357;visibility:visible;mso-wrap-style:square">
                  <v:fill o:detectmouseclick="t"/>
                  <v:path o:connecttype="none"/>
                </v:shape>
                <w10:anchorlock/>
              </v:group>
            </w:pict>
          </mc:Fallback>
        </mc:AlternateContent>
      </w:r>
    </w:p>
    <w:p w14:paraId="32E5DFBB" w14:textId="77777777" w:rsidR="00BC2BB6" w:rsidRPr="00040E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37C4DF67" w14:textId="77777777" w:rsidR="00BC2BB6" w:rsidRPr="00BC2BB6" w:rsidRDefault="00BC2BB6" w:rsidP="00BC2BB6">
      <w:pPr>
        <w:widowControl/>
        <w:autoSpaceDE w:val="0"/>
        <w:autoSpaceDN w:val="0"/>
        <w:adjustRightInd w:val="0"/>
        <w:spacing w:after="0"/>
        <w:jc w:val="center"/>
        <w:rPr>
          <w:rFonts w:asciiTheme="minorHAnsi" w:eastAsia="Times New Roman" w:hAnsiTheme="minorHAnsi" w:cstheme="minorHAnsi"/>
          <w:sz w:val="20"/>
          <w:szCs w:val="20"/>
          <w:lang w:eastAsia="pl-PL"/>
        </w:rPr>
      </w:pPr>
      <w:r w:rsidRPr="00BC2BB6">
        <w:rPr>
          <w:rFonts w:asciiTheme="minorHAnsi" w:eastAsia="Times New Roman" w:hAnsiTheme="minorHAnsi" w:cstheme="minorHAnsi"/>
          <w:sz w:val="20"/>
          <w:szCs w:val="20"/>
          <w:lang w:eastAsia="pl-PL"/>
        </w:rPr>
        <w:t>b)  Powierzchnie podejścia i wznoszenia przy starcie. Projektowany profil nachylenia „</w:t>
      </w:r>
      <w:r w:rsidRPr="00BC2BB6">
        <w:rPr>
          <w:rFonts w:asciiTheme="minorHAnsi" w:eastAsia="Times New Roman" w:hAnsiTheme="minorHAnsi" w:cstheme="minorHAnsi"/>
          <w:b/>
          <w:sz w:val="20"/>
          <w:szCs w:val="20"/>
          <w:lang w:eastAsia="pl-PL"/>
        </w:rPr>
        <w:t>B</w:t>
      </w:r>
      <w:r w:rsidRPr="00BC2BB6">
        <w:rPr>
          <w:rFonts w:asciiTheme="minorHAnsi" w:eastAsia="Times New Roman" w:hAnsiTheme="minorHAnsi" w:cstheme="minorHAnsi"/>
          <w:sz w:val="20"/>
          <w:szCs w:val="20"/>
          <w:lang w:eastAsia="pl-PL"/>
        </w:rPr>
        <w:t xml:space="preserve">” </w:t>
      </w:r>
      <w:r w:rsidRPr="00BC2BB6">
        <w:rPr>
          <w:rFonts w:asciiTheme="minorHAnsi" w:eastAsia="Times New Roman" w:hAnsiTheme="minorHAnsi" w:cstheme="minorHAnsi"/>
          <w:sz w:val="20"/>
          <w:szCs w:val="20"/>
          <w:lang w:eastAsia="pl-PL"/>
        </w:rPr>
        <w:sym w:font="Symbol" w:char="F02D"/>
      </w:r>
      <w:r w:rsidRPr="00BC2BB6">
        <w:rPr>
          <w:rFonts w:asciiTheme="minorHAnsi" w:eastAsia="Times New Roman" w:hAnsiTheme="minorHAnsi" w:cstheme="minorHAnsi"/>
          <w:sz w:val="20"/>
          <w:szCs w:val="20"/>
          <w:lang w:eastAsia="pl-PL"/>
        </w:rPr>
        <w:t xml:space="preserve"> 8% i 16%</w:t>
      </w:r>
    </w:p>
    <w:p w14:paraId="16BB3D6D" w14:textId="77777777" w:rsidR="00BC2BB6" w:rsidRPr="00040E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5AF84057" w14:textId="77777777" w:rsidR="00BC2BB6" w:rsidRPr="00BC2B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00C940BF" w14:textId="5D6C4AC9" w:rsidR="00BC2BB6" w:rsidRDefault="00BC2BB6"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1E7DEA39" w14:textId="77777777" w:rsidR="001C51C1" w:rsidRPr="00BC2BB6" w:rsidRDefault="001C51C1" w:rsidP="00BC2BB6">
      <w:pPr>
        <w:widowControl/>
        <w:autoSpaceDE w:val="0"/>
        <w:autoSpaceDN w:val="0"/>
        <w:adjustRightInd w:val="0"/>
        <w:spacing w:after="0"/>
        <w:jc w:val="left"/>
        <w:rPr>
          <w:rFonts w:ascii="Times New Roman" w:eastAsia="Times New Roman" w:hAnsi="Times New Roman" w:cs="Times New Roman"/>
          <w:sz w:val="20"/>
          <w:szCs w:val="20"/>
          <w:lang w:eastAsia="pl-PL"/>
        </w:rPr>
      </w:pPr>
    </w:p>
    <w:p w14:paraId="43C58B85" w14:textId="77777777" w:rsidR="00BC2BB6" w:rsidRPr="00BC2BB6" w:rsidRDefault="00BC2BB6" w:rsidP="00BC2BB6">
      <w:pPr>
        <w:widowControl/>
        <w:autoSpaceDE w:val="0"/>
        <w:autoSpaceDN w:val="0"/>
        <w:adjustRightInd w:val="0"/>
        <w:spacing w:after="0"/>
        <w:jc w:val="center"/>
        <w:rPr>
          <w:rFonts w:ascii="Times New Roman" w:eastAsia="Times New Roman" w:hAnsi="Times New Roman" w:cs="Times New Roman"/>
          <w:b/>
          <w:sz w:val="20"/>
          <w:szCs w:val="20"/>
          <w:lang w:eastAsia="pl-PL"/>
        </w:rPr>
      </w:pPr>
      <w:r w:rsidRPr="00BC2BB6">
        <w:rPr>
          <w:rFonts w:ascii="Times New Roman" w:eastAsia="Times New Roman" w:hAnsi="Times New Roman" w:cs="Times New Roman"/>
          <w:b/>
          <w:noProof/>
          <w:sz w:val="20"/>
          <w:szCs w:val="20"/>
          <w:lang w:eastAsia="pl-PL"/>
        </w:rPr>
        <mc:AlternateContent>
          <mc:Choice Requires="wpc">
            <w:drawing>
              <wp:inline distT="0" distB="0" distL="0" distR="0" wp14:anchorId="2F29CCED" wp14:editId="71A778A9">
                <wp:extent cx="5768340" cy="1876425"/>
                <wp:effectExtent l="0" t="0" r="3810" b="9525"/>
                <wp:docPr id="823" name="Kanwa 8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20" name="Group 114"/>
                        <wpg:cNvGrpSpPr>
                          <a:grpSpLocks/>
                        </wpg:cNvGrpSpPr>
                        <wpg:grpSpPr bwMode="auto">
                          <a:xfrm>
                            <a:off x="0" y="27940"/>
                            <a:ext cx="5768340" cy="1848485"/>
                            <a:chOff x="0" y="44"/>
                            <a:chExt cx="9084" cy="2911"/>
                          </a:xfrm>
                        </wpg:grpSpPr>
                        <pic:pic xmlns:pic="http://schemas.openxmlformats.org/drawingml/2006/picture">
                          <pic:nvPicPr>
                            <pic:cNvPr id="821" name="Picture 11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44"/>
                              <a:ext cx="9084" cy="2911"/>
                            </a:xfrm>
                            <a:prstGeom prst="rect">
                              <a:avLst/>
                            </a:prstGeom>
                            <a:noFill/>
                            <a:extLst>
                              <a:ext uri="{909E8E84-426E-40DD-AFC4-6F175D3DCCD1}">
                                <a14:hiddenFill xmlns:a14="http://schemas.microsoft.com/office/drawing/2010/main">
                                  <a:solidFill>
                                    <a:srgbClr val="FFFFFF"/>
                                  </a:solidFill>
                                </a14:hiddenFill>
                              </a:ext>
                            </a:extLst>
                          </pic:spPr>
                        </pic:pic>
                        <wps:wsp>
                          <wps:cNvPr id="822" name="Rectangle 116"/>
                          <wps:cNvSpPr>
                            <a:spLocks noChangeArrowheads="1"/>
                          </wps:cNvSpPr>
                          <wps:spPr bwMode="auto">
                            <a:xfrm>
                              <a:off x="2713" y="301"/>
                              <a:ext cx="2252"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3C8C2" w14:textId="77777777" w:rsidR="003832F2" w:rsidRDefault="003832F2" w:rsidP="00BC2BB6">
                                <w:pPr>
                                  <w:jc w:val="center"/>
                                  <w:rPr>
                                    <w:rFonts w:ascii="Arial Narrow" w:hAnsi="Arial Narrow"/>
                                    <w:sz w:val="18"/>
                                    <w:szCs w:val="20"/>
                                  </w:rPr>
                                </w:pPr>
                                <w:r w:rsidRPr="00875050">
                                  <w:rPr>
                                    <w:rFonts w:ascii="Arial Narrow" w:hAnsi="Arial Narrow"/>
                                    <w:sz w:val="18"/>
                                    <w:szCs w:val="20"/>
                                  </w:rPr>
                                  <w:t xml:space="preserve">Sekcja pierwsza zgodnie </w:t>
                                </w:r>
                              </w:p>
                              <w:p w14:paraId="00498050" w14:textId="77777777" w:rsidR="003832F2" w:rsidRPr="007A06B6" w:rsidRDefault="003832F2" w:rsidP="00BC2BB6">
                                <w:pPr>
                                  <w:jc w:val="center"/>
                                </w:pPr>
                                <w:r w:rsidRPr="002D55D1">
                                  <w:rPr>
                                    <w:rFonts w:ascii="Arial Narrow" w:hAnsi="Arial Narrow"/>
                                    <w:sz w:val="18"/>
                                    <w:szCs w:val="20"/>
                                  </w:rPr>
                                  <w:t xml:space="preserve">z </w:t>
                                </w:r>
                                <w:r>
                                  <w:rPr>
                                    <w:rFonts w:ascii="Arial Narrow" w:hAnsi="Arial Narrow"/>
                                    <w:sz w:val="18"/>
                                    <w:szCs w:val="20"/>
                                  </w:rPr>
                                  <w:t>Tabel</w:t>
                                </w:r>
                                <w:r w:rsidRPr="002D55D1">
                                  <w:rPr>
                                    <w:rFonts w:ascii="Arial Narrow" w:hAnsi="Arial Narrow"/>
                                    <w:sz w:val="18"/>
                                    <w:szCs w:val="20"/>
                                  </w:rPr>
                                  <w:t>ą 4-1</w:t>
                                </w:r>
                              </w:p>
                            </w:txbxContent>
                          </wps:txbx>
                          <wps:bodyPr rot="0" vert="horz" wrap="square" lIns="91440" tIns="45720" rIns="91440" bIns="45720" anchor="t" anchorCtr="0" upright="1">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29CCED" id="Kanwa 823" o:spid="_x0000_s1259" editas="canvas" style="width:454.2pt;height:147.75pt;mso-position-horizontal-relative:char;mso-position-vertical-relative:line" coordsize="57683,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">
                <v:shape id="_x0000_s1260" type="#_x0000_t75" style="position:absolute;width:57683;height:18764;visibility:visible;mso-wrap-style:square">
                  <v:fill o:detectmouseclick="t"/>
                  <v:path o:connecttype="none"/>
                </v:shape>
                <v:group id="Group 114" o:spid="_x0000_s1261" style="position:absolute;top:279;width:57683;height:18485" coordorigin=",44" coordsize="9084,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shape id="Picture 115" o:spid="_x0000_s1262" type="#_x0000_t75" style="position:absolute;top:44;width:9084;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">
                    <v:imagedata r:id="rId328" o:title=""/>
                  </v:shape>
                  <v:rect id="Rectangle 116" o:spid="_x0000_s1263" style="position:absolute;left:2713;top:301;width:2252;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" filled="f" stroked="f">
                    <v:textbox>
                      <w:txbxContent>
                        <w:p w14:paraId="4353C8C2" w14:textId="77777777" w:rsidR="003832F2" w:rsidRDefault="003832F2" w:rsidP="00BC2BB6">
                          <w:pPr>
                            <w:jc w:val="center"/>
                            <w:rPr>
                              <w:rFonts w:ascii="Arial Narrow" w:hAnsi="Arial Narrow"/>
                              <w:sz w:val="18"/>
                              <w:szCs w:val="20"/>
                            </w:rPr>
                          </w:pPr>
                          <w:r w:rsidRPr="00875050">
                            <w:rPr>
                              <w:rFonts w:ascii="Arial Narrow" w:hAnsi="Arial Narrow"/>
                              <w:sz w:val="18"/>
                              <w:szCs w:val="20"/>
                            </w:rPr>
                            <w:t xml:space="preserve">Sekcja pierwsza zgodnie </w:t>
                          </w:r>
                        </w:p>
                        <w:p w14:paraId="00498050" w14:textId="77777777" w:rsidR="003832F2" w:rsidRPr="007A06B6" w:rsidRDefault="003832F2" w:rsidP="00BC2BB6">
                          <w:pPr>
                            <w:jc w:val="center"/>
                          </w:pPr>
                          <w:r w:rsidRPr="002D55D1">
                            <w:rPr>
                              <w:rFonts w:ascii="Arial Narrow" w:hAnsi="Arial Narrow"/>
                              <w:sz w:val="18"/>
                              <w:szCs w:val="20"/>
                            </w:rPr>
                            <w:t xml:space="preserve">z </w:t>
                          </w:r>
                          <w:r>
                            <w:rPr>
                              <w:rFonts w:ascii="Arial Narrow" w:hAnsi="Arial Narrow"/>
                              <w:sz w:val="18"/>
                              <w:szCs w:val="20"/>
                            </w:rPr>
                            <w:t>Tabel</w:t>
                          </w:r>
                          <w:r w:rsidRPr="002D55D1">
                            <w:rPr>
                              <w:rFonts w:ascii="Arial Narrow" w:hAnsi="Arial Narrow"/>
                              <w:sz w:val="18"/>
                              <w:szCs w:val="20"/>
                            </w:rPr>
                            <w:t>ą 4-1</w:t>
                          </w:r>
                        </w:p>
                      </w:txbxContent>
                    </v:textbox>
                  </v:rect>
                </v:group>
                <w10:anchorlock/>
              </v:group>
            </w:pict>
          </mc:Fallback>
        </mc:AlternateContent>
      </w:r>
    </w:p>
    <w:p w14:paraId="0C8646A3" w14:textId="77777777" w:rsidR="00BC2BB6" w:rsidRPr="00BC2BB6" w:rsidRDefault="00BC2BB6" w:rsidP="00BC2BB6">
      <w:pPr>
        <w:widowControl/>
        <w:autoSpaceDE w:val="0"/>
        <w:autoSpaceDN w:val="0"/>
        <w:adjustRightInd w:val="0"/>
        <w:spacing w:before="240" w:after="0"/>
        <w:jc w:val="center"/>
        <w:rPr>
          <w:rFonts w:asciiTheme="minorHAnsi" w:eastAsia="Times New Roman" w:hAnsiTheme="minorHAnsi" w:cstheme="minorHAnsi"/>
          <w:sz w:val="20"/>
          <w:szCs w:val="20"/>
          <w:lang w:eastAsia="pl-PL"/>
        </w:rPr>
      </w:pPr>
      <w:r w:rsidRPr="00BC2BB6">
        <w:rPr>
          <w:rFonts w:asciiTheme="minorHAnsi" w:eastAsia="Times New Roman" w:hAnsiTheme="minorHAnsi" w:cstheme="minorHAnsi"/>
          <w:sz w:val="20"/>
          <w:szCs w:val="20"/>
          <w:lang w:eastAsia="pl-PL"/>
        </w:rPr>
        <w:t>c)  Powierzchnie podejścia i wznoszenia przy starcie. Projektowany profil nachylenia „</w:t>
      </w:r>
      <w:r w:rsidRPr="00BC2BB6">
        <w:rPr>
          <w:rFonts w:asciiTheme="minorHAnsi" w:eastAsia="Times New Roman" w:hAnsiTheme="minorHAnsi" w:cstheme="minorHAnsi"/>
          <w:b/>
          <w:sz w:val="20"/>
          <w:szCs w:val="20"/>
          <w:lang w:eastAsia="pl-PL"/>
        </w:rPr>
        <w:t>C</w:t>
      </w:r>
      <w:r w:rsidRPr="00BC2BB6">
        <w:rPr>
          <w:rFonts w:asciiTheme="minorHAnsi" w:eastAsia="Times New Roman" w:hAnsiTheme="minorHAnsi" w:cstheme="minorHAnsi"/>
          <w:sz w:val="20"/>
          <w:szCs w:val="20"/>
          <w:lang w:eastAsia="pl-PL"/>
        </w:rPr>
        <w:t xml:space="preserve">” </w:t>
      </w:r>
      <w:r w:rsidRPr="00BC2BB6">
        <w:rPr>
          <w:rFonts w:asciiTheme="minorHAnsi" w:eastAsia="Times New Roman" w:hAnsiTheme="minorHAnsi" w:cstheme="minorHAnsi"/>
          <w:sz w:val="20"/>
          <w:szCs w:val="20"/>
          <w:lang w:eastAsia="pl-PL"/>
        </w:rPr>
        <w:sym w:font="Symbol" w:char="F02D"/>
      </w:r>
      <w:r w:rsidRPr="00BC2BB6">
        <w:rPr>
          <w:rFonts w:asciiTheme="minorHAnsi" w:eastAsia="Times New Roman" w:hAnsiTheme="minorHAnsi" w:cstheme="minorHAnsi"/>
          <w:sz w:val="20"/>
          <w:szCs w:val="20"/>
          <w:lang w:eastAsia="pl-PL"/>
        </w:rPr>
        <w:t xml:space="preserve"> 12.5%</w:t>
      </w:r>
    </w:p>
    <w:p w14:paraId="16508793" w14:textId="77777777" w:rsidR="00BC2BB6" w:rsidRPr="00BC2BB6" w:rsidRDefault="00BC2BB6" w:rsidP="00BC2BB6">
      <w:pPr>
        <w:widowControl/>
        <w:autoSpaceDE w:val="0"/>
        <w:autoSpaceDN w:val="0"/>
        <w:adjustRightInd w:val="0"/>
        <w:spacing w:after="0"/>
        <w:jc w:val="left"/>
        <w:rPr>
          <w:rFonts w:ascii="Times New Roman" w:eastAsia="Times New Roman" w:hAnsi="Times New Roman" w:cs="Times New Roman"/>
          <w:b/>
          <w:sz w:val="20"/>
          <w:szCs w:val="20"/>
          <w:lang w:eastAsia="pl-PL"/>
        </w:rPr>
      </w:pPr>
    </w:p>
    <w:p w14:paraId="2A6DDA43" w14:textId="28FB7042" w:rsidR="00040EB6" w:rsidRDefault="00BC2BB6" w:rsidP="00BC2BB6">
      <w:pPr>
        <w:widowControl/>
        <w:autoSpaceDE w:val="0"/>
        <w:autoSpaceDN w:val="0"/>
        <w:adjustRightInd w:val="0"/>
        <w:spacing w:before="240" w:after="0"/>
        <w:jc w:val="center"/>
        <w:rPr>
          <w:rFonts w:asciiTheme="minorHAnsi" w:eastAsia="Times New Roman" w:hAnsiTheme="minorHAnsi" w:cstheme="minorHAnsi"/>
          <w:b/>
          <w:sz w:val="20"/>
          <w:szCs w:val="20"/>
          <w:lang w:eastAsia="pl-PL"/>
        </w:rPr>
      </w:pPr>
      <w:r w:rsidRPr="00040EB6">
        <w:rPr>
          <w:rFonts w:asciiTheme="minorHAnsi" w:eastAsia="Times New Roman" w:hAnsiTheme="minorHAnsi" w:cstheme="minorHAnsi"/>
          <w:b/>
          <w:sz w:val="20"/>
          <w:szCs w:val="20"/>
          <w:lang w:eastAsia="pl-PL"/>
        </w:rPr>
        <w:t xml:space="preserve">Rysunek E-4.  Powierzchnie podejścia i wznoszenia przy starcie dla różnych kategorii </w:t>
      </w:r>
      <w:r w:rsidRPr="00040EB6">
        <w:rPr>
          <w:rFonts w:asciiTheme="minorHAnsi" w:eastAsia="Times New Roman" w:hAnsiTheme="minorHAnsi" w:cstheme="minorHAnsi"/>
          <w:b/>
          <w:sz w:val="20"/>
          <w:szCs w:val="20"/>
          <w:lang w:eastAsia="pl-PL"/>
        </w:rPr>
        <w:br/>
        <w:t>projektowanego nachylenia</w:t>
      </w:r>
    </w:p>
    <w:p w14:paraId="510E4BF3" w14:textId="77777777" w:rsidR="00040EB6" w:rsidRDefault="00040EB6">
      <w:pPr>
        <w:spacing w:after="0"/>
        <w:jc w:val="left"/>
        <w:rPr>
          <w:rFonts w:asciiTheme="minorHAnsi" w:eastAsia="Times New Roman" w:hAnsiTheme="minorHAnsi" w:cstheme="minorHAnsi"/>
          <w:b/>
          <w:sz w:val="20"/>
          <w:szCs w:val="20"/>
          <w:lang w:eastAsia="pl-PL"/>
        </w:rPr>
      </w:pPr>
      <w:r>
        <w:rPr>
          <w:rFonts w:asciiTheme="minorHAnsi" w:eastAsia="Times New Roman" w:hAnsiTheme="minorHAnsi" w:cstheme="minorHAnsi"/>
          <w:b/>
          <w:sz w:val="20"/>
          <w:szCs w:val="20"/>
          <w:lang w:eastAsia="pl-PL"/>
        </w:rPr>
        <w:br w:type="page"/>
      </w:r>
    </w:p>
    <w:p w14:paraId="14B9A3C4" w14:textId="04487413" w:rsidR="00F64242" w:rsidRPr="009E064B" w:rsidRDefault="00F64242" w:rsidP="00133B99">
      <w:pPr>
        <w:pStyle w:val="Nagwek6"/>
      </w:pPr>
      <w:bookmarkStart w:id="1910" w:name="_Toc12533362"/>
      <w:r w:rsidRPr="009E064B">
        <w:t>GM1 HPT-DSN.</w:t>
      </w:r>
      <w:r w:rsidR="00B45F2C">
        <w:t>E.4</w:t>
      </w:r>
      <w:r>
        <w:t>10</w:t>
      </w:r>
      <w:r w:rsidRPr="009E064B">
        <w:t xml:space="preserve">     </w:t>
      </w:r>
      <w:r w:rsidR="00B45F2C" w:rsidRPr="00B45F2C">
        <w:t>Powierzchnia podejścia</w:t>
      </w:r>
      <w:bookmarkEnd w:id="1910"/>
      <w:r w:rsidR="00B45F2C">
        <w:t xml:space="preserve"> </w:t>
      </w:r>
    </w:p>
    <w:p w14:paraId="30CC5BF6" w14:textId="7D8D98BA" w:rsidR="00F64242" w:rsidRPr="009E064B" w:rsidRDefault="001F74A1" w:rsidP="00F64242">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74B0E0F" w14:textId="5DCC2A77" w:rsidR="00F64242" w:rsidRPr="00040EB6" w:rsidRDefault="00F64242" w:rsidP="00BC2BB6">
      <w:pPr>
        <w:tabs>
          <w:tab w:val="left" w:pos="567"/>
        </w:tabs>
        <w:autoSpaceDE w:val="0"/>
        <w:autoSpaceDN w:val="0"/>
        <w:adjustRightInd w:val="0"/>
        <w:ind w:left="567" w:hanging="567"/>
        <w:rPr>
          <w:rFonts w:cs="TimesNewRomanPS-BoldItalicMT"/>
          <w:bCs/>
          <w:iCs/>
          <w:color w:val="000000" w:themeColor="text1"/>
          <w:szCs w:val="20"/>
        </w:rPr>
      </w:pPr>
      <w:r w:rsidRPr="00040EB6">
        <w:rPr>
          <w:rFonts w:cs="TimesNewRomanPS-BoldItalicMT"/>
          <w:bCs/>
          <w:iCs/>
          <w:color w:val="000000" w:themeColor="text1"/>
          <w:szCs w:val="20"/>
        </w:rPr>
        <w:t xml:space="preserve">(a) </w:t>
      </w:r>
      <w:r w:rsidRPr="00040EB6">
        <w:rPr>
          <w:rFonts w:cs="TimesNewRomanPS-BoldItalicMT"/>
          <w:bCs/>
          <w:iCs/>
          <w:color w:val="000000" w:themeColor="text1"/>
          <w:szCs w:val="20"/>
        </w:rPr>
        <w:tab/>
      </w:r>
      <w:r w:rsidR="00BC2BB6" w:rsidRPr="00040EB6">
        <w:rPr>
          <w:rFonts w:eastAsia="Verdana" w:cs="Verdana"/>
          <w:bCs/>
          <w:color w:val="000000" w:themeColor="text1"/>
          <w:szCs w:val="20"/>
        </w:rPr>
        <w:t>Konsultacje z operatorami śmigłowców pomogą operatom lotnisk określić odpowiednią kategorię nachylenia, która będzie stosowana w zależności od otoczenia lotniska dla śmigłowców oraz najbardziej krytycznego typu śmigłowca, do którego obsługi dane lotnisko dla śmigłowców jest przeznaczone.</w:t>
      </w:r>
    </w:p>
    <w:p w14:paraId="6D2A99A0" w14:textId="5E6FBA06" w:rsidR="00F64242" w:rsidRDefault="00F64242" w:rsidP="00040EB6">
      <w:pPr>
        <w:spacing w:after="0"/>
      </w:pPr>
    </w:p>
    <w:p w14:paraId="00806911" w14:textId="77777777" w:rsidR="00BD5151" w:rsidRPr="00900AA5" w:rsidRDefault="00BD5151" w:rsidP="00040EB6">
      <w:pPr>
        <w:pStyle w:val="Default"/>
        <w:jc w:val="center"/>
        <w:rPr>
          <w:b/>
          <w:bCs/>
          <w:color w:val="auto"/>
          <w:sz w:val="20"/>
          <w:szCs w:val="20"/>
        </w:rPr>
      </w:pPr>
      <w:r w:rsidRPr="00900AA5">
        <w:rPr>
          <w:noProof/>
          <w:lang w:eastAsia="pl-PL"/>
        </w:rPr>
        <w:drawing>
          <wp:inline distT="0" distB="0" distL="0" distR="0" wp14:anchorId="4BFDA7AA" wp14:editId="5D160544">
            <wp:extent cx="5499100" cy="3074766"/>
            <wp:effectExtent l="0" t="0" r="635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504855" cy="3077984"/>
                    </a:xfrm>
                    <a:prstGeom prst="rect">
                      <a:avLst/>
                    </a:prstGeom>
                    <a:noFill/>
                    <a:ln>
                      <a:noFill/>
                    </a:ln>
                  </pic:spPr>
                </pic:pic>
              </a:graphicData>
            </a:graphic>
          </wp:inline>
        </w:drawing>
      </w:r>
    </w:p>
    <w:p w14:paraId="594B5EF5" w14:textId="77777777" w:rsidR="00BD5151" w:rsidRPr="00BD5151" w:rsidRDefault="00BD5151" w:rsidP="00BD5151">
      <w:pPr>
        <w:pStyle w:val="Default"/>
        <w:rPr>
          <w:rFonts w:asciiTheme="minorHAnsi" w:hAnsiTheme="minorHAnsi" w:cstheme="minorHAnsi"/>
          <w:b/>
          <w:bCs/>
          <w:color w:val="auto"/>
          <w:sz w:val="20"/>
          <w:szCs w:val="20"/>
        </w:rPr>
      </w:pPr>
    </w:p>
    <w:p w14:paraId="3B86B62C" w14:textId="7CD1418B" w:rsidR="00BD5151" w:rsidRPr="00BD5151" w:rsidRDefault="00BD5151" w:rsidP="00BD5151">
      <w:pPr>
        <w:pStyle w:val="Default"/>
        <w:spacing w:line="360" w:lineRule="auto"/>
        <w:jc w:val="center"/>
        <w:rPr>
          <w:rFonts w:asciiTheme="minorHAnsi" w:hAnsiTheme="minorHAnsi" w:cstheme="minorHAnsi"/>
          <w:b/>
          <w:color w:val="auto"/>
          <w:sz w:val="20"/>
          <w:szCs w:val="20"/>
        </w:rPr>
      </w:pPr>
      <w:r w:rsidRPr="00BD5151">
        <w:rPr>
          <w:rFonts w:asciiTheme="minorHAnsi" w:hAnsiTheme="minorHAnsi" w:cstheme="minorHAnsi"/>
          <w:b/>
          <w:color w:val="auto"/>
          <w:sz w:val="20"/>
          <w:szCs w:val="20"/>
        </w:rPr>
        <w:t>Rysunek GM1-E-1.   Przykład podniesionej płaszczyzny nachylonej podczas operacji w 1 klasie osiągów</w:t>
      </w:r>
    </w:p>
    <w:p w14:paraId="3A077AC5" w14:textId="77777777" w:rsidR="00BD5151" w:rsidRPr="00900AA5" w:rsidRDefault="00BD5151" w:rsidP="00BD5151">
      <w:pPr>
        <w:tabs>
          <w:tab w:val="left" w:pos="1276"/>
        </w:tabs>
        <w:spacing w:line="360" w:lineRule="auto"/>
        <w:ind w:firstLine="426"/>
        <w:rPr>
          <w:rStyle w:val="FontStyle219"/>
        </w:rPr>
      </w:pPr>
    </w:p>
    <w:p w14:paraId="642E7B2A" w14:textId="6727307D" w:rsidR="00F35D9B" w:rsidRPr="00040EB6" w:rsidRDefault="00F35D9B" w:rsidP="00F35D9B">
      <w:pPr>
        <w:tabs>
          <w:tab w:val="left" w:pos="567"/>
        </w:tabs>
        <w:autoSpaceDE w:val="0"/>
        <w:autoSpaceDN w:val="0"/>
        <w:adjustRightInd w:val="0"/>
        <w:ind w:left="567" w:hanging="567"/>
        <w:rPr>
          <w:rFonts w:eastAsia="Verdana" w:cs="Verdana"/>
          <w:bCs/>
          <w:iCs/>
          <w:color w:val="000000" w:themeColor="text1"/>
        </w:rPr>
      </w:pPr>
      <w:r w:rsidRPr="00040EB6">
        <w:rPr>
          <w:rFonts w:eastAsia="Verdana" w:cs="Verdana"/>
          <w:bCs/>
          <w:iCs/>
          <w:color w:val="000000" w:themeColor="text1"/>
        </w:rPr>
        <w:t xml:space="preserve">(b) </w:t>
      </w:r>
      <w:r w:rsidRPr="00040EB6">
        <w:rPr>
          <w:rFonts w:eastAsia="Verdana" w:cs="Verdana"/>
          <w:bCs/>
          <w:iCs/>
          <w:color w:val="000000" w:themeColor="text1"/>
        </w:rPr>
        <w:tab/>
        <w:t>P</w:t>
      </w:r>
      <w:r w:rsidR="00BD5151" w:rsidRPr="00040EB6">
        <w:rPr>
          <w:rFonts w:eastAsia="Verdana" w:cs="Verdana"/>
          <w:bCs/>
          <w:iCs/>
          <w:color w:val="000000" w:themeColor="text1"/>
        </w:rPr>
        <w:t>rzykład</w:t>
      </w:r>
      <w:r w:rsidRPr="00040EB6">
        <w:rPr>
          <w:rFonts w:eastAsia="Verdana" w:cs="Verdana"/>
          <w:bCs/>
          <w:iCs/>
          <w:color w:val="000000" w:themeColor="text1"/>
        </w:rPr>
        <w:t xml:space="preserve"> przedstawiony na R</w:t>
      </w:r>
      <w:r w:rsidR="00BD5151" w:rsidRPr="00040EB6">
        <w:rPr>
          <w:rFonts w:eastAsia="Verdana" w:cs="Verdana"/>
          <w:bCs/>
          <w:iCs/>
          <w:color w:val="000000" w:themeColor="text1"/>
        </w:rPr>
        <w:t>ysun</w:t>
      </w:r>
      <w:r w:rsidRPr="00040EB6">
        <w:rPr>
          <w:rFonts w:eastAsia="Verdana" w:cs="Verdana"/>
          <w:bCs/>
          <w:iCs/>
          <w:color w:val="000000" w:themeColor="text1"/>
        </w:rPr>
        <w:t>ku GM1-E-1</w:t>
      </w:r>
      <w:r w:rsidR="00BD5151" w:rsidRPr="00040EB6">
        <w:rPr>
          <w:rFonts w:eastAsia="Verdana" w:cs="Verdana"/>
          <w:bCs/>
          <w:iCs/>
          <w:color w:val="000000" w:themeColor="text1"/>
        </w:rPr>
        <w:t xml:space="preserve"> nie przedstawia żadnego konkretnego profilu, techniki czy typu śmigłowca i ma na celu pokazanie ogólnego przykładu. Przedstawiony został profil podejścia i procedura zapasowa dla profilu odlotu. Konkretne operacje </w:t>
      </w:r>
      <w:r w:rsidRPr="00040EB6">
        <w:rPr>
          <w:rFonts w:eastAsia="Verdana" w:cs="Verdana"/>
          <w:bCs/>
          <w:iCs/>
          <w:color w:val="000000" w:themeColor="text1"/>
        </w:rPr>
        <w:t>producentów w 1 </w:t>
      </w:r>
      <w:r w:rsidR="00BD5151" w:rsidRPr="00040EB6">
        <w:rPr>
          <w:rFonts w:eastAsia="Verdana" w:cs="Verdana"/>
          <w:bCs/>
          <w:iCs/>
          <w:color w:val="000000" w:themeColor="text1"/>
        </w:rPr>
        <w:t>klasie osiągów mogą być różnie przedstawiane w instrukcji użytkowania śmigłowca w locie</w:t>
      </w:r>
      <w:r w:rsidRPr="00040EB6">
        <w:rPr>
          <w:rFonts w:eastAsia="Verdana" w:cs="Verdana"/>
          <w:bCs/>
          <w:iCs/>
          <w:color w:val="000000" w:themeColor="text1"/>
        </w:rPr>
        <w:t xml:space="preserve"> (HFM)</w:t>
      </w:r>
      <w:r w:rsidR="00BD5151" w:rsidRPr="00040EB6">
        <w:rPr>
          <w:rFonts w:eastAsia="Verdana" w:cs="Verdana"/>
          <w:bCs/>
          <w:iCs/>
          <w:color w:val="000000" w:themeColor="text1"/>
        </w:rPr>
        <w:t xml:space="preserve">. </w:t>
      </w:r>
    </w:p>
    <w:p w14:paraId="4CED6DFE" w14:textId="6D4133E9" w:rsidR="00BD5151" w:rsidRPr="00040EB6" w:rsidRDefault="00F35D9B" w:rsidP="00F35D9B">
      <w:pPr>
        <w:tabs>
          <w:tab w:val="left" w:pos="567"/>
        </w:tabs>
        <w:autoSpaceDE w:val="0"/>
        <w:autoSpaceDN w:val="0"/>
        <w:adjustRightInd w:val="0"/>
        <w:ind w:left="567" w:hanging="567"/>
        <w:rPr>
          <w:rFonts w:eastAsia="Verdana" w:cs="Verdana"/>
          <w:bCs/>
          <w:color w:val="000000" w:themeColor="text1"/>
        </w:rPr>
      </w:pPr>
      <w:r w:rsidRPr="00040EB6">
        <w:rPr>
          <w:rFonts w:eastAsia="Verdana" w:cs="Verdana"/>
          <w:bCs/>
          <w:color w:val="000000" w:themeColor="text1"/>
        </w:rPr>
        <w:t xml:space="preserve">(c) </w:t>
      </w:r>
      <w:r w:rsidRPr="00040EB6">
        <w:rPr>
          <w:rFonts w:eastAsia="Verdana" w:cs="Verdana"/>
          <w:bCs/>
          <w:color w:val="000000" w:themeColor="text1"/>
        </w:rPr>
        <w:tab/>
      </w:r>
      <w:r w:rsidR="00040EB6" w:rsidRPr="00040EB6">
        <w:rPr>
          <w:rFonts w:eastAsia="Verdana" w:cs="Verdana"/>
          <w:bCs/>
          <w:color w:val="000000" w:themeColor="text1"/>
        </w:rPr>
        <w:t>Profil podejścia do lądowania </w:t>
      </w:r>
      <w:r w:rsidR="00BD5151" w:rsidRPr="00040EB6">
        <w:rPr>
          <w:rFonts w:eastAsia="Verdana" w:cs="Verdana"/>
          <w:bCs/>
          <w:color w:val="000000" w:themeColor="text1"/>
        </w:rPr>
        <w:t>/ lądowania nie musi być odwrotnością profilu startu.</w:t>
      </w:r>
    </w:p>
    <w:p w14:paraId="4BA18FDA" w14:textId="673A90B1" w:rsidR="00BD5151" w:rsidRPr="00040EB6" w:rsidRDefault="00F35D9B" w:rsidP="00F35D9B">
      <w:pPr>
        <w:tabs>
          <w:tab w:val="left" w:pos="567"/>
        </w:tabs>
        <w:autoSpaceDE w:val="0"/>
        <w:autoSpaceDN w:val="0"/>
        <w:adjustRightInd w:val="0"/>
        <w:ind w:left="567" w:hanging="567"/>
        <w:rPr>
          <w:rFonts w:eastAsia="Verdana" w:cs="Verdana"/>
          <w:bCs/>
          <w:color w:val="000000" w:themeColor="text1"/>
        </w:rPr>
      </w:pPr>
      <w:r w:rsidRPr="00040EB6">
        <w:rPr>
          <w:rFonts w:eastAsia="Verdana" w:cs="Verdana"/>
          <w:bCs/>
          <w:color w:val="000000" w:themeColor="text1"/>
        </w:rPr>
        <w:t xml:space="preserve">(d) </w:t>
      </w:r>
      <w:r w:rsidRPr="00040EB6">
        <w:rPr>
          <w:rFonts w:eastAsia="Verdana" w:cs="Verdana"/>
          <w:bCs/>
          <w:color w:val="000000" w:themeColor="text1"/>
        </w:rPr>
        <w:tab/>
      </w:r>
      <w:r w:rsidR="00BD5151" w:rsidRPr="00040EB6">
        <w:rPr>
          <w:rFonts w:eastAsia="Verdana" w:cs="Verdana"/>
          <w:bCs/>
          <w:color w:val="000000" w:themeColor="text1"/>
        </w:rPr>
        <w:t>Na obszarze, gdzie planuje się zastosowanie procedury zapasowej może być wymagane wykonanie dodatkowej oceny przeszkód. Ograniczenia wynikające z o</w:t>
      </w:r>
      <w:r w:rsidRPr="00040EB6">
        <w:rPr>
          <w:rFonts w:eastAsia="Verdana" w:cs="Verdana"/>
          <w:bCs/>
          <w:color w:val="000000" w:themeColor="text1"/>
        </w:rPr>
        <w:t>siągów śmigłowca oraz z </w:t>
      </w:r>
      <w:r w:rsidR="00BD5151" w:rsidRPr="00040EB6">
        <w:rPr>
          <w:rFonts w:eastAsia="Verdana" w:cs="Verdana"/>
          <w:bCs/>
          <w:color w:val="000000" w:themeColor="text1"/>
        </w:rPr>
        <w:t>instrukcji użytkowania śmigłowca w locie</w:t>
      </w:r>
      <w:r w:rsidRPr="00040EB6">
        <w:rPr>
          <w:rFonts w:eastAsia="Verdana" w:cs="Verdana"/>
          <w:bCs/>
          <w:color w:val="000000" w:themeColor="text1"/>
        </w:rPr>
        <w:t xml:space="preserve"> (HFM) </w:t>
      </w:r>
      <w:r w:rsidR="00BD5151" w:rsidRPr="00040EB6">
        <w:rPr>
          <w:rFonts w:eastAsia="Verdana" w:cs="Verdana"/>
          <w:bCs/>
          <w:color w:val="000000" w:themeColor="text1"/>
        </w:rPr>
        <w:t>określą zakres wymaganej oceny.</w:t>
      </w:r>
    </w:p>
    <w:p w14:paraId="67E780B8" w14:textId="0D5C9B40" w:rsidR="00F35D9B" w:rsidRPr="00040EB6" w:rsidRDefault="00F35D9B" w:rsidP="00F35D9B">
      <w:pPr>
        <w:tabs>
          <w:tab w:val="left" w:pos="567"/>
        </w:tabs>
        <w:autoSpaceDE w:val="0"/>
        <w:autoSpaceDN w:val="0"/>
        <w:adjustRightInd w:val="0"/>
        <w:ind w:left="567" w:hanging="567"/>
        <w:rPr>
          <w:rFonts w:eastAsia="Verdana" w:cs="Verdana"/>
          <w:bCs/>
          <w:color w:val="000000" w:themeColor="text1"/>
        </w:rPr>
      </w:pPr>
      <w:r w:rsidRPr="00040EB6">
        <w:rPr>
          <w:rFonts w:eastAsia="Verdana" w:cs="Verdana"/>
          <w:bCs/>
          <w:color w:val="000000" w:themeColor="text1"/>
        </w:rPr>
        <w:t xml:space="preserve">(e) </w:t>
      </w:r>
      <w:r w:rsidRPr="00040EB6">
        <w:rPr>
          <w:rFonts w:eastAsia="Verdana" w:cs="Verdana"/>
          <w:bCs/>
          <w:color w:val="000000" w:themeColor="text1"/>
        </w:rPr>
        <w:tab/>
        <w:t>W odniesieniu do lotnisk dla śmigłowców przeznaczonych do wykorzystywania przez śmigłowce operujące w 2 i 3 klasie osiągów, dobrą praktyką jest dobieranie ścieżek odlotu w taki sposób, aby możliwe było wykonanie bezpiecznego lądowania przymusowego lub lądowania z jednym silnikiem niepracującym, jako wymaganie minimum, w taki sposób, który pozwala na zminimalizowanie ryzyka zranienia osób na ziemi lub wodzie oraz ryzyka zniszczenia mienia. Czynnikami określającymi przydatność takich obszarów mogą być warunki otoczenia lotniska oraz najbardziej krytyczny typ śmigłowca, dla którego obsługi lotnisko dla śmigłowców jest przeznaczone.</w:t>
      </w:r>
    </w:p>
    <w:p w14:paraId="0A13B441" w14:textId="6503D696" w:rsidR="00F35D9B" w:rsidRPr="00040EB6" w:rsidRDefault="00F35D9B" w:rsidP="00F35D9B">
      <w:pPr>
        <w:tabs>
          <w:tab w:val="left" w:pos="567"/>
        </w:tabs>
        <w:autoSpaceDE w:val="0"/>
        <w:autoSpaceDN w:val="0"/>
        <w:adjustRightInd w:val="0"/>
        <w:ind w:left="567" w:hanging="567"/>
        <w:rPr>
          <w:rFonts w:eastAsia="Verdana" w:cs="Verdana"/>
          <w:bCs/>
          <w:color w:val="000000" w:themeColor="text1"/>
        </w:rPr>
      </w:pPr>
      <w:r w:rsidRPr="00040EB6">
        <w:rPr>
          <w:rFonts w:eastAsia="Verdana" w:cs="Verdana"/>
          <w:bCs/>
          <w:color w:val="000000" w:themeColor="text1"/>
        </w:rPr>
        <w:t xml:space="preserve">(f) </w:t>
      </w:r>
      <w:r w:rsidRPr="00040EB6">
        <w:rPr>
          <w:rFonts w:eastAsia="Verdana" w:cs="Verdana"/>
          <w:bCs/>
          <w:color w:val="000000" w:themeColor="text1"/>
        </w:rPr>
        <w:tab/>
        <w:t>Powierzchnie podejścia i startu powinny być przesunięte względem siebie idealnie o kąt nie mniejszy niż 135 stopni.</w:t>
      </w:r>
    </w:p>
    <w:p w14:paraId="06F297A9" w14:textId="51F68E9C" w:rsidR="0043393E" w:rsidRPr="009E064B" w:rsidRDefault="00831791" w:rsidP="0043393E">
      <w:pPr>
        <w:pStyle w:val="Nagwek4"/>
        <w:rPr>
          <w:color w:val="auto"/>
        </w:rPr>
      </w:pPr>
      <w:bookmarkStart w:id="1911" w:name="_Toc12533363"/>
      <w:r w:rsidRPr="00042D60">
        <w:rPr>
          <w:color w:val="auto"/>
        </w:rPr>
        <w:t>CS</w:t>
      </w:r>
      <w:r>
        <w:rPr>
          <w:color w:val="auto"/>
        </w:rPr>
        <w:t xml:space="preserve"> HPT-DSN.E.42</w:t>
      </w:r>
      <w:r w:rsidR="0043393E" w:rsidRPr="009E064B">
        <w:rPr>
          <w:color w:val="auto"/>
        </w:rPr>
        <w:t>0</w:t>
      </w:r>
      <w:r w:rsidR="0043393E" w:rsidRPr="009E064B">
        <w:rPr>
          <w:b w:val="0"/>
          <w:bCs w:val="0"/>
          <w:color w:val="FFFFFF"/>
          <w:sz w:val="32"/>
          <w:szCs w:val="32"/>
        </w:rPr>
        <w:t xml:space="preserve">     </w:t>
      </w:r>
      <w:r w:rsidRPr="00831791">
        <w:rPr>
          <w:szCs w:val="20"/>
        </w:rPr>
        <w:t>Powierzchnia wznoszenia przy starcie</w:t>
      </w:r>
      <w:bookmarkEnd w:id="1911"/>
    </w:p>
    <w:p w14:paraId="23B0D5F5" w14:textId="4E4D491D"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5A1F900" w14:textId="122B3067" w:rsidR="006355B6" w:rsidRPr="000F04AC" w:rsidRDefault="0043393E" w:rsidP="006355B6">
      <w:pPr>
        <w:tabs>
          <w:tab w:val="left" w:pos="567"/>
        </w:tabs>
        <w:autoSpaceDE w:val="0"/>
        <w:autoSpaceDN w:val="0"/>
        <w:adjustRightInd w:val="0"/>
        <w:ind w:left="567" w:hanging="567"/>
        <w:rPr>
          <w:rFonts w:cs="TimesNewRomanPS-BoldItalicMT"/>
          <w:bCs/>
          <w:iCs/>
          <w:szCs w:val="20"/>
        </w:rPr>
      </w:pPr>
      <w:r w:rsidRPr="000F04AC">
        <w:rPr>
          <w:rFonts w:cs="TimesNewRomanPS-BoldItalicMT"/>
          <w:bCs/>
          <w:iCs/>
          <w:szCs w:val="20"/>
        </w:rPr>
        <w:t>(a)</w:t>
      </w:r>
      <w:r w:rsidRPr="000F04AC">
        <w:rPr>
          <w:rFonts w:cs="TimesNewRomanPS-BoldItalicMT"/>
          <w:bCs/>
          <w:iCs/>
          <w:szCs w:val="20"/>
        </w:rPr>
        <w:tab/>
      </w:r>
      <w:r w:rsidR="006355B6" w:rsidRPr="000F04AC">
        <w:rPr>
          <w:rFonts w:cs="TimesNewRomanPS-BoldItalicMT"/>
          <w:bCs/>
          <w:iCs/>
          <w:szCs w:val="20"/>
        </w:rPr>
        <w:t>Zastosowanie: Celem powierzchni wznoszenia przy starcie jest ochrona śmigłowca podczas startu i podczas wznoszenia.</w:t>
      </w:r>
    </w:p>
    <w:p w14:paraId="3E2483C8" w14:textId="619310F2" w:rsidR="006355B6" w:rsidRPr="000F04AC" w:rsidRDefault="006355B6" w:rsidP="006355B6">
      <w:pPr>
        <w:tabs>
          <w:tab w:val="left" w:pos="567"/>
        </w:tabs>
        <w:autoSpaceDE w:val="0"/>
        <w:autoSpaceDN w:val="0"/>
        <w:adjustRightInd w:val="0"/>
        <w:ind w:left="567" w:hanging="567"/>
        <w:rPr>
          <w:rFonts w:cs="TimesNewRomanPS-BoldItalicMT"/>
          <w:bCs/>
          <w:iCs/>
          <w:szCs w:val="20"/>
        </w:rPr>
      </w:pPr>
      <w:r w:rsidRPr="000F04AC">
        <w:rPr>
          <w:rFonts w:cs="TimesNewRomanPS-BoldItalicMT"/>
          <w:bCs/>
          <w:iCs/>
          <w:szCs w:val="20"/>
        </w:rPr>
        <w:t xml:space="preserve">(b) </w:t>
      </w:r>
      <w:r w:rsidRPr="000F04AC">
        <w:rPr>
          <w:rFonts w:cs="TimesNewRomanPS-BoldItalicMT"/>
          <w:bCs/>
          <w:iCs/>
          <w:szCs w:val="20"/>
        </w:rPr>
        <w:tab/>
        <w:t>Opis. P</w:t>
      </w:r>
      <w:r w:rsidRPr="000F04AC">
        <w:rPr>
          <w:rFonts w:cs="TimesNewRomanPS-BoldItalicMT"/>
          <w:bCs/>
        </w:rPr>
        <w:t>łaszczyzna nachylona</w:t>
      </w:r>
      <w:r w:rsidRPr="000F04AC">
        <w:rPr>
          <w:rFonts w:cs="TimesNewRomanPS-BoldItalicMT"/>
          <w:bCs/>
          <w:iCs/>
          <w:szCs w:val="20"/>
        </w:rPr>
        <w:t xml:space="preserve">, kombinacja płaszczyzn, lub jeśli obejmuje </w:t>
      </w:r>
      <w:r w:rsidR="00EF0251">
        <w:rPr>
          <w:rFonts w:cs="TimesNewRomanPS-BoldItalicMT"/>
          <w:bCs/>
          <w:iCs/>
          <w:szCs w:val="20"/>
        </w:rPr>
        <w:t>zakręt</w:t>
      </w:r>
      <w:r w:rsidRPr="000F04AC">
        <w:rPr>
          <w:rFonts w:cs="TimesNewRomanPS-BoldItalicMT"/>
          <w:bCs/>
          <w:iCs/>
          <w:szCs w:val="20"/>
        </w:rPr>
        <w:t xml:space="preserve">, powierzchnia złożona, nachylona </w:t>
      </w:r>
      <w:r w:rsidR="00E97240" w:rsidRPr="000F04AC">
        <w:rPr>
          <w:rFonts w:cs="TimesNewRomanPS-BoldItalicMT"/>
          <w:bCs/>
          <w:iCs/>
          <w:szCs w:val="20"/>
        </w:rPr>
        <w:t xml:space="preserve">ku </w:t>
      </w:r>
      <w:r w:rsidRPr="000F04AC">
        <w:rPr>
          <w:rFonts w:cs="TimesNewRomanPS-BoldItalicMT"/>
          <w:bCs/>
          <w:iCs/>
          <w:szCs w:val="20"/>
        </w:rPr>
        <w:t>górze od końca strefy bezpieczeństwa, wyśrodkowana na linii przecho</w:t>
      </w:r>
      <w:r w:rsidR="000F04AC">
        <w:rPr>
          <w:rFonts w:cs="TimesNewRomanPS-BoldItalicMT"/>
          <w:bCs/>
          <w:iCs/>
          <w:szCs w:val="20"/>
        </w:rPr>
        <w:t>dzącej przez środek strefy FATO</w:t>
      </w:r>
      <w:r w:rsidRPr="000F04AC">
        <w:rPr>
          <w:rFonts w:cs="TimesNewRomanPS-BoldItalicMT"/>
          <w:bCs/>
          <w:iCs/>
          <w:szCs w:val="20"/>
        </w:rPr>
        <w:t xml:space="preserve"> (patrz Rysunki E-1, E-2, E-3, i E-4, oraz Tabela E-1).</w:t>
      </w:r>
    </w:p>
    <w:p w14:paraId="7F612F72" w14:textId="4DC41663" w:rsidR="006355B6" w:rsidRPr="000F04AC" w:rsidRDefault="006355B6" w:rsidP="006355B6">
      <w:pPr>
        <w:tabs>
          <w:tab w:val="left" w:pos="567"/>
        </w:tabs>
        <w:autoSpaceDE w:val="0"/>
        <w:autoSpaceDN w:val="0"/>
        <w:adjustRightInd w:val="0"/>
        <w:ind w:left="567" w:hanging="567"/>
        <w:rPr>
          <w:rFonts w:cs="TimesNewRomanPS-BoldItalicMT"/>
          <w:bCs/>
          <w:iCs/>
          <w:szCs w:val="20"/>
        </w:rPr>
      </w:pPr>
      <w:r w:rsidRPr="000F04AC">
        <w:rPr>
          <w:rFonts w:cs="TimesNewRomanPS-BoldItalicMT"/>
          <w:bCs/>
          <w:iCs/>
          <w:szCs w:val="20"/>
        </w:rPr>
        <w:t xml:space="preserve">(c) </w:t>
      </w:r>
      <w:r w:rsidRPr="000F04AC">
        <w:rPr>
          <w:rFonts w:cs="TimesNewRomanPS-BoldItalicMT"/>
          <w:bCs/>
          <w:iCs/>
          <w:szCs w:val="20"/>
        </w:rPr>
        <w:tab/>
        <w:t xml:space="preserve">Charakterystyka. </w:t>
      </w:r>
    </w:p>
    <w:p w14:paraId="28202772" w14:textId="365F64FA" w:rsidR="006355B6" w:rsidRPr="000F04AC" w:rsidRDefault="006355B6" w:rsidP="006355B6">
      <w:pPr>
        <w:tabs>
          <w:tab w:val="left" w:pos="1134"/>
        </w:tabs>
        <w:autoSpaceDE w:val="0"/>
        <w:autoSpaceDN w:val="0"/>
        <w:adjustRightInd w:val="0"/>
        <w:ind w:left="1134" w:hanging="567"/>
        <w:rPr>
          <w:rFonts w:cs="TimesNewRomanPS-BoldItalicMT"/>
          <w:bCs/>
          <w:iCs/>
          <w:szCs w:val="20"/>
        </w:rPr>
      </w:pPr>
      <w:r w:rsidRPr="000F04AC">
        <w:rPr>
          <w:rFonts w:cs="TimesNewRomanPS-BoldItalicMT"/>
          <w:bCs/>
          <w:iCs/>
          <w:szCs w:val="20"/>
        </w:rPr>
        <w:t xml:space="preserve">(1) </w:t>
      </w:r>
      <w:r w:rsidRPr="000F04AC">
        <w:rPr>
          <w:rFonts w:cs="TimesNewRomanPS-BoldItalicMT"/>
          <w:bCs/>
          <w:iCs/>
          <w:szCs w:val="20"/>
        </w:rPr>
        <w:tab/>
        <w:t>Granice powierzchni wznoszenia przy starcie stanowi:</w:t>
      </w:r>
    </w:p>
    <w:p w14:paraId="749607BE" w14:textId="4261BAB0" w:rsidR="006355B6" w:rsidRPr="000F04AC" w:rsidRDefault="006355B6" w:rsidP="006355B6">
      <w:pPr>
        <w:tabs>
          <w:tab w:val="left" w:pos="1701"/>
        </w:tabs>
        <w:autoSpaceDE w:val="0"/>
        <w:autoSpaceDN w:val="0"/>
        <w:adjustRightInd w:val="0"/>
        <w:ind w:left="1701" w:hanging="567"/>
        <w:rPr>
          <w:rFonts w:cs="TimesNewRomanPS-BoldItalicMT"/>
          <w:bCs/>
          <w:iCs/>
          <w:szCs w:val="20"/>
        </w:rPr>
      </w:pPr>
      <w:r w:rsidRPr="000F04AC">
        <w:rPr>
          <w:rFonts w:cs="TimesNewRomanPS-BoldItalicMT"/>
          <w:bCs/>
          <w:iCs/>
          <w:szCs w:val="20"/>
        </w:rPr>
        <w:t xml:space="preserve">(i) </w:t>
      </w:r>
      <w:r w:rsidRPr="000F04AC">
        <w:rPr>
          <w:rFonts w:cs="TimesNewRomanPS-BoldItalicMT"/>
          <w:bCs/>
          <w:iCs/>
          <w:szCs w:val="20"/>
        </w:rPr>
        <w:tab/>
        <w:t>krawędź wewnętrzna pozioma, o długości równej minimalnej szerokości/średnicy strefy FATO plus strefa bezpieczeństwa, prostopadła do linii środkowej powierzchni wznoszenia przy starcie i położona na zewnętrznej krawędzi strefy bezpieczeństwa;</w:t>
      </w:r>
    </w:p>
    <w:p w14:paraId="3AB4013B" w14:textId="40FA6F31" w:rsidR="006355B6" w:rsidRPr="000F04AC" w:rsidRDefault="006355B6" w:rsidP="006355B6">
      <w:pPr>
        <w:tabs>
          <w:tab w:val="left" w:pos="1701"/>
        </w:tabs>
        <w:autoSpaceDE w:val="0"/>
        <w:autoSpaceDN w:val="0"/>
        <w:adjustRightInd w:val="0"/>
        <w:ind w:left="1701" w:hanging="567"/>
        <w:rPr>
          <w:rFonts w:cs="TimesNewRomanPS-BoldItalicMT"/>
          <w:bCs/>
          <w:iCs/>
          <w:szCs w:val="20"/>
        </w:rPr>
      </w:pPr>
      <w:r w:rsidRPr="000F04AC">
        <w:rPr>
          <w:rFonts w:cs="TimesNewRomanPS-BoldItalicMT"/>
          <w:bCs/>
          <w:iCs/>
          <w:szCs w:val="20"/>
        </w:rPr>
        <w:t xml:space="preserve">(ii) </w:t>
      </w:r>
      <w:r w:rsidRPr="000F04AC">
        <w:rPr>
          <w:rFonts w:cs="TimesNewRomanPS-BoldItalicMT"/>
          <w:bCs/>
          <w:iCs/>
          <w:szCs w:val="20"/>
        </w:rPr>
        <w:tab/>
        <w:t>dwie krawędzie boczne, wyprowadzone z końców krawędzi wewnętrznej, rozchylone symetrycznie pod określonym kątem od płaszczyzny pionowej przechodzącej przez linię środkową strefy FATO; oraz</w:t>
      </w:r>
    </w:p>
    <w:p w14:paraId="269FFBFE" w14:textId="2AD469A9" w:rsidR="006355B6" w:rsidRPr="000F04AC" w:rsidRDefault="006355B6" w:rsidP="006355B6">
      <w:pPr>
        <w:tabs>
          <w:tab w:val="left" w:pos="1701"/>
        </w:tabs>
        <w:autoSpaceDE w:val="0"/>
        <w:autoSpaceDN w:val="0"/>
        <w:adjustRightInd w:val="0"/>
        <w:ind w:left="1701" w:hanging="567"/>
        <w:rPr>
          <w:rFonts w:cs="TimesNewRomanPS-BoldItalicMT"/>
          <w:bCs/>
          <w:iCs/>
          <w:szCs w:val="20"/>
        </w:rPr>
      </w:pPr>
      <w:r w:rsidRPr="000F04AC">
        <w:rPr>
          <w:rFonts w:cs="TimesNewRomanPS-BoldItalicMT"/>
          <w:bCs/>
          <w:iCs/>
          <w:szCs w:val="20"/>
        </w:rPr>
        <w:t xml:space="preserve">(iii) </w:t>
      </w:r>
      <w:r w:rsidRPr="000F04AC">
        <w:rPr>
          <w:rFonts w:cs="TimesNewRomanPS-BoldItalicMT"/>
          <w:bCs/>
          <w:iCs/>
          <w:szCs w:val="20"/>
        </w:rPr>
        <w:tab/>
        <w:t>krawędź zewnętrzna, pozioma i prostopadła do linii środkowej płaszczyzny wznoszenia przy starcie i umieszczona na określonej wysokości 152 m (500ft) powyżej wysokości strefy FATO.</w:t>
      </w:r>
    </w:p>
    <w:p w14:paraId="629304A8" w14:textId="78CE64B8" w:rsidR="006355B6" w:rsidRPr="000F04AC" w:rsidRDefault="006355B6" w:rsidP="006355B6">
      <w:pPr>
        <w:tabs>
          <w:tab w:val="left" w:pos="1134"/>
        </w:tabs>
        <w:autoSpaceDE w:val="0"/>
        <w:autoSpaceDN w:val="0"/>
        <w:adjustRightInd w:val="0"/>
        <w:ind w:left="1134" w:hanging="567"/>
        <w:rPr>
          <w:rFonts w:cs="TimesNewRomanPS-BoldItalicMT"/>
          <w:bCs/>
          <w:iCs/>
          <w:szCs w:val="20"/>
        </w:rPr>
      </w:pPr>
      <w:r w:rsidRPr="000F04AC">
        <w:rPr>
          <w:rFonts w:cs="TimesNewRomanPS-BoldItalicMT"/>
          <w:bCs/>
          <w:iCs/>
          <w:szCs w:val="20"/>
        </w:rPr>
        <w:t xml:space="preserve">(2) </w:t>
      </w:r>
      <w:r w:rsidRPr="000F04AC">
        <w:rPr>
          <w:rFonts w:cs="TimesNewRomanPS-BoldItalicMT"/>
          <w:bCs/>
          <w:iCs/>
          <w:szCs w:val="20"/>
        </w:rPr>
        <w:tab/>
        <w:t xml:space="preserve">Wysokość krawędzi wewnętrznej powinna być wysokością strefy FATO w punkcie na krawędzi wewnętrznej, </w:t>
      </w:r>
      <w:r w:rsidR="000F04AC" w:rsidRPr="000F04AC">
        <w:rPr>
          <w:rFonts w:cs="TimesNewRomanPS-BoldItalicMT"/>
          <w:bCs/>
          <w:iCs/>
          <w:szCs w:val="20"/>
        </w:rPr>
        <w:t xml:space="preserve">który jest </w:t>
      </w:r>
      <w:r w:rsidRPr="000F04AC">
        <w:rPr>
          <w:rFonts w:cs="TimesNewRomanPS-BoldItalicMT"/>
          <w:bCs/>
          <w:iCs/>
          <w:szCs w:val="20"/>
        </w:rPr>
        <w:t>na przecięciu z linią środkową powierzchni wznoszenia przy starcie. W przypadku lotnisk dla śmigłowców przeznaczonych do wykorzystania przez śmigłowce w 1 klasie osiągów, początek płaszczyzny nachylonej może zostać podniesiony bezpośrednio nad strefę FATO.</w:t>
      </w:r>
    </w:p>
    <w:p w14:paraId="3D268283" w14:textId="5BA9E0DE" w:rsidR="006355B6" w:rsidRPr="00EF0251" w:rsidRDefault="006355B6" w:rsidP="006355B6">
      <w:pPr>
        <w:tabs>
          <w:tab w:val="left" w:pos="1134"/>
        </w:tabs>
        <w:autoSpaceDE w:val="0"/>
        <w:autoSpaceDN w:val="0"/>
        <w:adjustRightInd w:val="0"/>
        <w:ind w:left="1134" w:hanging="567"/>
        <w:rPr>
          <w:rFonts w:cs="TimesNewRomanPS-BoldItalicMT"/>
          <w:bCs/>
          <w:iCs/>
        </w:rPr>
      </w:pPr>
      <w:r w:rsidRPr="000F04AC">
        <w:rPr>
          <w:rFonts w:cs="TimesNewRomanPS-BoldItalicMT"/>
          <w:bCs/>
          <w:iCs/>
        </w:rPr>
        <w:t xml:space="preserve">(3) </w:t>
      </w:r>
      <w:r w:rsidRPr="000F04AC">
        <w:rPr>
          <w:rFonts w:cs="TimesNewRomanPS-BoldItalicMT"/>
          <w:bCs/>
          <w:iCs/>
        </w:rPr>
        <w:tab/>
      </w:r>
      <w:r w:rsidRPr="000F04AC">
        <w:rPr>
          <w:rFonts w:cs="TimesNewRomanPS-BoldItalicMT"/>
          <w:bCs/>
          <w:iCs/>
          <w:szCs w:val="20"/>
        </w:rPr>
        <w:t>W</w:t>
      </w:r>
      <w:r w:rsidRPr="000F04AC">
        <w:rPr>
          <w:rFonts w:cs="TimesNewRomanPS-BoldItalicMT"/>
          <w:bCs/>
          <w:iCs/>
        </w:rPr>
        <w:t xml:space="preserve"> przypadku, gdy zapewnione jest zabezpieczenie wydłużonego startu, wysokość wewnętrznej krawędzi powierzchni wznoszenia przy s</w:t>
      </w:r>
      <w:r w:rsidR="000F04AC" w:rsidRPr="000F04AC">
        <w:rPr>
          <w:rFonts w:cs="TimesNewRomanPS-BoldItalicMT"/>
          <w:bCs/>
          <w:iCs/>
        </w:rPr>
        <w:t>tarcie powinna być zlokalizowana</w:t>
      </w:r>
      <w:r w:rsidRPr="000F04AC">
        <w:rPr>
          <w:rFonts w:cs="TimesNewRomanPS-BoldItalicMT"/>
          <w:bCs/>
          <w:iCs/>
        </w:rPr>
        <w:t xml:space="preserve"> na zewnętrznej krawędzi zabezpieczenia wydłużonego startu, w najwyższym punkcie na </w:t>
      </w:r>
      <w:r w:rsidRPr="00EF0251">
        <w:rPr>
          <w:rFonts w:cs="TimesNewRomanPS-BoldItalicMT"/>
          <w:bCs/>
          <w:iCs/>
        </w:rPr>
        <w:t>ziemi, w oparciu o linię środkową zabezpieczenia wydłużonego startu.</w:t>
      </w:r>
    </w:p>
    <w:p w14:paraId="0969C17F" w14:textId="78D04859" w:rsidR="006355B6" w:rsidRPr="00EF0251" w:rsidRDefault="006355B6" w:rsidP="006355B6">
      <w:pPr>
        <w:tabs>
          <w:tab w:val="left" w:pos="1134"/>
        </w:tabs>
        <w:autoSpaceDE w:val="0"/>
        <w:autoSpaceDN w:val="0"/>
        <w:adjustRightInd w:val="0"/>
        <w:ind w:left="1134" w:hanging="567"/>
        <w:rPr>
          <w:rFonts w:cs="TimesNewRomanPS-BoldItalicMT"/>
          <w:bCs/>
          <w:iCs/>
          <w:szCs w:val="20"/>
        </w:rPr>
      </w:pPr>
      <w:r w:rsidRPr="00EF0251">
        <w:rPr>
          <w:rFonts w:cs="TimesNewRomanPS-BoldItalicMT"/>
          <w:bCs/>
          <w:iCs/>
          <w:szCs w:val="20"/>
        </w:rPr>
        <w:t xml:space="preserve">(4) </w:t>
      </w:r>
      <w:r w:rsidRPr="00EF0251">
        <w:rPr>
          <w:rFonts w:cs="TimesNewRomanPS-BoldItalicMT"/>
          <w:bCs/>
          <w:iCs/>
          <w:szCs w:val="20"/>
        </w:rPr>
        <w:tab/>
        <w:t>W przypadku, gdy powierzchnia wznoszenia przy starcie jest prost</w:t>
      </w:r>
      <w:r w:rsidR="000F04AC" w:rsidRPr="00EF0251">
        <w:rPr>
          <w:rFonts w:cs="TimesNewRomanPS-BoldItalicMT"/>
          <w:bCs/>
          <w:iCs/>
          <w:szCs w:val="20"/>
        </w:rPr>
        <w:t>a</w:t>
      </w:r>
      <w:r w:rsidRPr="00EF0251">
        <w:rPr>
          <w:rFonts w:cs="TimesNewRomanPS-BoldItalicMT"/>
          <w:bCs/>
          <w:iCs/>
          <w:szCs w:val="20"/>
        </w:rPr>
        <w:t xml:space="preserve">, nachylenie tej powierzchni powinno być mierzone w płaszczyźnie pionowej przechodzącej przez linię środkową powierzchni wznoszenia przy starcie </w:t>
      </w:r>
    </w:p>
    <w:p w14:paraId="3930D9D0" w14:textId="1CA3C384" w:rsidR="006355B6" w:rsidRPr="00EF0251" w:rsidRDefault="006355B6" w:rsidP="006355B6">
      <w:pPr>
        <w:tabs>
          <w:tab w:val="left" w:pos="1134"/>
        </w:tabs>
        <w:autoSpaceDE w:val="0"/>
        <w:autoSpaceDN w:val="0"/>
        <w:adjustRightInd w:val="0"/>
        <w:ind w:left="1134" w:hanging="567"/>
        <w:rPr>
          <w:rFonts w:cs="TimesNewRomanPS-BoldItalicMT"/>
          <w:bCs/>
          <w:iCs/>
          <w:szCs w:val="20"/>
        </w:rPr>
      </w:pPr>
      <w:r w:rsidRPr="00EF0251">
        <w:rPr>
          <w:rFonts w:cs="TimesNewRomanPS-BoldItalicMT"/>
          <w:bCs/>
          <w:iCs/>
          <w:szCs w:val="20"/>
        </w:rPr>
        <w:t xml:space="preserve">(5) </w:t>
      </w:r>
      <w:r w:rsidRPr="00EF0251">
        <w:rPr>
          <w:rFonts w:cs="TimesNewRomanPS-BoldItalicMT"/>
          <w:bCs/>
          <w:iCs/>
          <w:szCs w:val="20"/>
        </w:rPr>
        <w:tab/>
        <w:t xml:space="preserve">W przypadku, gdy powierzchnia wznoszenia przy starcie obejmuje </w:t>
      </w:r>
      <w:r w:rsidR="00EF0251">
        <w:rPr>
          <w:rFonts w:cs="TimesNewRomanPS-BoldItalicMT"/>
          <w:bCs/>
          <w:iCs/>
          <w:szCs w:val="20"/>
        </w:rPr>
        <w:t>zakręt</w:t>
      </w:r>
      <w:r w:rsidRPr="00EF0251">
        <w:rPr>
          <w:rFonts w:cs="TimesNewRomanPS-BoldItalicMT"/>
          <w:bCs/>
          <w:iCs/>
          <w:szCs w:val="20"/>
        </w:rPr>
        <w:t xml:space="preserve">, to </w:t>
      </w:r>
      <w:r w:rsidR="00EF0251" w:rsidRPr="00EF0251">
        <w:rPr>
          <w:rFonts w:cs="TimesNewRomanPS-BoldItalicMT"/>
          <w:bCs/>
          <w:iCs/>
          <w:szCs w:val="20"/>
        </w:rPr>
        <w:t>powierzchnia ta powinna być</w:t>
      </w:r>
      <w:r w:rsidRPr="00EF0251">
        <w:rPr>
          <w:rFonts w:cs="TimesNewRomanPS-BoldItalicMT"/>
          <w:bCs/>
          <w:iCs/>
        </w:rPr>
        <w:t xml:space="preserve"> powierzchnią złożoną</w:t>
      </w:r>
      <w:r w:rsidRPr="00EF0251">
        <w:rPr>
          <w:rFonts w:cs="TimesNewRomanPS-BoldItalicMT"/>
          <w:bCs/>
          <w:iCs/>
          <w:szCs w:val="20"/>
        </w:rPr>
        <w:t xml:space="preserve">, </w:t>
      </w:r>
      <w:r w:rsidRPr="00EF0251">
        <w:rPr>
          <w:rFonts w:cs="TimesNewRomanPS-BoldItalicMT"/>
          <w:bCs/>
          <w:iCs/>
        </w:rPr>
        <w:t>zawierającą powierzchnie poziome - prostopadłe do jej linii środkowej zaś nachylenie tej linii środkowej powinno być takie samo jak dla</w:t>
      </w:r>
      <w:r w:rsidRPr="00EF0251">
        <w:rPr>
          <w:rFonts w:cs="TimesNewRomanPS-BoldItalicMT"/>
          <w:bCs/>
          <w:iCs/>
          <w:szCs w:val="20"/>
        </w:rPr>
        <w:t xml:space="preserve"> prostej powierzchni wznoszenia przy starcie</w:t>
      </w:r>
      <w:r w:rsidR="000F04AC" w:rsidRPr="00EF0251">
        <w:rPr>
          <w:rFonts w:cs="TimesNewRomanPS-BoldItalicMT"/>
          <w:bCs/>
          <w:iCs/>
          <w:szCs w:val="20"/>
        </w:rPr>
        <w:t xml:space="preserve"> (patrz Rysunek E-3).</w:t>
      </w:r>
    </w:p>
    <w:p w14:paraId="5FA42764" w14:textId="6BB15F84" w:rsidR="006355B6" w:rsidRPr="00EF0251" w:rsidRDefault="006355B6" w:rsidP="006355B6">
      <w:pPr>
        <w:tabs>
          <w:tab w:val="left" w:pos="1134"/>
        </w:tabs>
        <w:autoSpaceDE w:val="0"/>
        <w:autoSpaceDN w:val="0"/>
        <w:adjustRightInd w:val="0"/>
        <w:ind w:left="1134" w:hanging="567"/>
        <w:rPr>
          <w:rFonts w:cs="TimesNewRomanPS-BoldItalicMT"/>
          <w:bCs/>
          <w:iCs/>
        </w:rPr>
      </w:pPr>
      <w:r w:rsidRPr="00EF0251">
        <w:rPr>
          <w:rFonts w:cs="TimesNewRomanPS-BoldItalicMT"/>
          <w:bCs/>
          <w:iCs/>
        </w:rPr>
        <w:t xml:space="preserve">(6) </w:t>
      </w:r>
      <w:r w:rsidRPr="00EF0251">
        <w:rPr>
          <w:rFonts w:cs="TimesNewRomanPS-BoldItalicMT"/>
          <w:bCs/>
          <w:iCs/>
        </w:rPr>
        <w:tab/>
        <w:t xml:space="preserve">W przypadku, gdy powierzchnia wznoszenia przy starcie obejmuje </w:t>
      </w:r>
      <w:r w:rsidR="00EF0251">
        <w:rPr>
          <w:rFonts w:cs="TimesNewRomanPS-BoldItalicMT"/>
          <w:bCs/>
          <w:iCs/>
        </w:rPr>
        <w:t>zakręt</w:t>
      </w:r>
      <w:r w:rsidRPr="00EF0251">
        <w:rPr>
          <w:rFonts w:cs="TimesNewRomanPS-BoldItalicMT"/>
          <w:bCs/>
          <w:iCs/>
        </w:rPr>
        <w:t>, to powierzchnia ta nie powinna zawierać więcej niż jednej części zakrzywionej.</w:t>
      </w:r>
    </w:p>
    <w:p w14:paraId="378821E9" w14:textId="3237F5D6" w:rsidR="006355B6" w:rsidRPr="00EF0251" w:rsidRDefault="006355B6" w:rsidP="006355B6">
      <w:pPr>
        <w:tabs>
          <w:tab w:val="left" w:pos="1134"/>
        </w:tabs>
        <w:autoSpaceDE w:val="0"/>
        <w:autoSpaceDN w:val="0"/>
        <w:adjustRightInd w:val="0"/>
        <w:ind w:left="1134" w:hanging="567"/>
        <w:rPr>
          <w:rFonts w:cs="TimesNewRomanPS-BoldItalicMT"/>
          <w:bCs/>
          <w:iCs/>
        </w:rPr>
      </w:pPr>
      <w:r w:rsidRPr="00EF0251">
        <w:rPr>
          <w:rFonts w:cs="TimesNewRomanPS-BoldItalicMT"/>
          <w:bCs/>
          <w:iCs/>
        </w:rPr>
        <w:t xml:space="preserve">(7) </w:t>
      </w:r>
      <w:r w:rsidRPr="00EF0251">
        <w:rPr>
          <w:rFonts w:cs="TimesNewRomanPS-BoldItalicMT"/>
          <w:bCs/>
          <w:iCs/>
        </w:rPr>
        <w:tab/>
        <w:t>Jeżeli powierzchnia wznoszenia przy starcie posiada część zakrzywioną, to suma promienia łuku określającego linię środkową powierzchni wznoszenia przy starcie oraz długości części prostej wychodzącej od krawędzi wewnętrznej nie powinna być mniejsza niż 575 m.</w:t>
      </w:r>
    </w:p>
    <w:p w14:paraId="7C89C7C6" w14:textId="5DB93AC3" w:rsidR="006355B6" w:rsidRPr="00EF0251" w:rsidRDefault="006355B6" w:rsidP="006355B6">
      <w:pPr>
        <w:tabs>
          <w:tab w:val="left" w:pos="1134"/>
        </w:tabs>
        <w:autoSpaceDE w:val="0"/>
        <w:autoSpaceDN w:val="0"/>
        <w:adjustRightInd w:val="0"/>
        <w:ind w:left="1134" w:hanging="567"/>
        <w:rPr>
          <w:rFonts w:cs="TimesNewRomanPS-BoldItalicMT"/>
          <w:bCs/>
          <w:iCs/>
          <w:szCs w:val="20"/>
        </w:rPr>
      </w:pPr>
      <w:r w:rsidRPr="00EF0251">
        <w:rPr>
          <w:rFonts w:cs="TimesNewRomanPS-BoldItalicMT"/>
          <w:bCs/>
          <w:iCs/>
          <w:szCs w:val="20"/>
        </w:rPr>
        <w:t xml:space="preserve">(8) </w:t>
      </w:r>
      <w:r w:rsidRPr="00EF0251">
        <w:rPr>
          <w:rFonts w:cs="TimesNewRomanPS-BoldItalicMT"/>
          <w:bCs/>
          <w:iCs/>
          <w:szCs w:val="20"/>
        </w:rPr>
        <w:tab/>
        <w:t xml:space="preserve">Wszelkie zmiany kierunku linii środkowej powierzchni wznoszenia przy starcie powinny </w:t>
      </w:r>
      <w:r w:rsidRPr="00EF0251">
        <w:rPr>
          <w:rFonts w:cs="TimesNewRomanPS-BoldItalicMT"/>
          <w:bCs/>
          <w:iCs/>
        </w:rPr>
        <w:t>być projektowane w taki sposób, aby nie powodowało to konieczności wykonywania zakrętów o promieniu mniejszym</w:t>
      </w:r>
      <w:r w:rsidRPr="00EF0251">
        <w:rPr>
          <w:rFonts w:cs="TimesNewRomanPS-BoldItalicMT"/>
          <w:bCs/>
          <w:iCs/>
          <w:szCs w:val="20"/>
        </w:rPr>
        <w:t xml:space="preserve"> niż 270 m.</w:t>
      </w:r>
    </w:p>
    <w:p w14:paraId="26103504" w14:textId="77777777" w:rsidR="00CE4A3E" w:rsidRPr="00EF0251" w:rsidRDefault="00CE4A3E" w:rsidP="006355B6">
      <w:pPr>
        <w:tabs>
          <w:tab w:val="left" w:pos="1134"/>
        </w:tabs>
        <w:autoSpaceDE w:val="0"/>
        <w:autoSpaceDN w:val="0"/>
        <w:adjustRightInd w:val="0"/>
        <w:ind w:left="1134" w:hanging="567"/>
        <w:rPr>
          <w:rFonts w:cs="TimesNewRomanPS-BoldItalicMT"/>
          <w:bCs/>
          <w:iCs/>
          <w:szCs w:val="20"/>
        </w:rPr>
      </w:pPr>
    </w:p>
    <w:p w14:paraId="6417AB16" w14:textId="3C99C27F" w:rsidR="0043393E" w:rsidRPr="009E064B" w:rsidRDefault="0043393E" w:rsidP="00133B99">
      <w:pPr>
        <w:pStyle w:val="Nagwek6"/>
      </w:pPr>
      <w:bookmarkStart w:id="1912" w:name="_Toc12533364"/>
      <w:r w:rsidRPr="009E064B">
        <w:t>G</w:t>
      </w:r>
      <w:r w:rsidR="00831791">
        <w:t>M1 HPT-DSN.E</w:t>
      </w:r>
      <w:r w:rsidRPr="009E064B">
        <w:t>.</w:t>
      </w:r>
      <w:r w:rsidR="00831791">
        <w:t>42</w:t>
      </w:r>
      <w:r w:rsidRPr="009E064B">
        <w:t xml:space="preserve">0     </w:t>
      </w:r>
      <w:r w:rsidR="00831791" w:rsidRPr="00831791">
        <w:t>Powierzchnia wznoszenia przy starcie</w:t>
      </w:r>
      <w:bookmarkEnd w:id="1912"/>
    </w:p>
    <w:p w14:paraId="7B0B4654" w14:textId="48759FA1" w:rsidR="0043393E" w:rsidRPr="009E064B" w:rsidRDefault="001F74A1" w:rsidP="0043393E">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2A03397" w14:textId="2FAD7AB7" w:rsidR="006355B6" w:rsidRPr="00917587" w:rsidRDefault="0043393E" w:rsidP="006355B6">
      <w:pPr>
        <w:tabs>
          <w:tab w:val="left" w:pos="567"/>
        </w:tabs>
        <w:autoSpaceDE w:val="0"/>
        <w:autoSpaceDN w:val="0"/>
        <w:adjustRightInd w:val="0"/>
        <w:ind w:left="567" w:hanging="567"/>
        <w:rPr>
          <w:rFonts w:cs="TimesNewRomanPS-BoldItalicMT"/>
          <w:bCs/>
          <w:iCs/>
          <w:szCs w:val="20"/>
        </w:rPr>
      </w:pPr>
      <w:r w:rsidRPr="00917587">
        <w:rPr>
          <w:rFonts w:cs="TimesNewRomanPS-BoldItalicMT"/>
          <w:bCs/>
          <w:iCs/>
          <w:szCs w:val="20"/>
        </w:rPr>
        <w:t xml:space="preserve">(a) </w:t>
      </w:r>
      <w:r w:rsidRPr="00917587">
        <w:rPr>
          <w:rFonts w:cs="TimesNewRomanPS-BoldItalicMT"/>
          <w:bCs/>
          <w:iCs/>
          <w:szCs w:val="20"/>
        </w:rPr>
        <w:tab/>
      </w:r>
      <w:r w:rsidR="006355B6" w:rsidRPr="00917587">
        <w:rPr>
          <w:rFonts w:cs="TimesNewRomanPS-BoldItalicMT"/>
          <w:bCs/>
          <w:iCs/>
          <w:szCs w:val="20"/>
        </w:rPr>
        <w:t>Osiągi śmigłowca przy starcie są zmniejszone na części zakrzywionej, więc część prosta wzdłuż powierzchni wznoszenia przy starcie przed początkiem krzywej pozwala na przyspieszenie.</w:t>
      </w:r>
    </w:p>
    <w:p w14:paraId="191FF03E" w14:textId="6619ABEC" w:rsidR="00AA3AED" w:rsidRPr="00917587" w:rsidRDefault="00AA3AED" w:rsidP="00AA3AED">
      <w:pPr>
        <w:tabs>
          <w:tab w:val="left" w:pos="567"/>
        </w:tabs>
        <w:autoSpaceDE w:val="0"/>
        <w:autoSpaceDN w:val="0"/>
        <w:adjustRightInd w:val="0"/>
        <w:ind w:left="567" w:hanging="567"/>
        <w:rPr>
          <w:rFonts w:cs="TimesNewRomanPS-BoldItalicMT"/>
          <w:bCs/>
          <w:iCs/>
          <w:szCs w:val="20"/>
        </w:rPr>
      </w:pPr>
      <w:r w:rsidRPr="00917587">
        <w:rPr>
          <w:rFonts w:cs="TimesNewRomanPS-BoldItalicMT"/>
          <w:bCs/>
          <w:iCs/>
          <w:szCs w:val="20"/>
        </w:rPr>
        <w:t xml:space="preserve">(b) </w:t>
      </w:r>
      <w:r w:rsidRPr="00917587">
        <w:rPr>
          <w:rFonts w:cs="TimesNewRomanPS-BoldItalicMT"/>
          <w:bCs/>
          <w:iCs/>
          <w:szCs w:val="20"/>
        </w:rPr>
        <w:tab/>
        <w:t>W odniesieniu do lotnisk dla śmigłowców przeznaczonych do wykorzystywania przez śmigłowce operujące w 2 i 3 klasie osiągów, dobrą praktyką jest dobieranie ścieżek odlotu w taki sposób, aby możliwe było wykonanie bezpiecznego lądowania przymusowego lub lądowania z jednym silnikiem niepracującym, jako wymaganie minimum, w taki sposób, który pozwala na zminimalizowanie ryzyka zranienia osób na ziemi oraz ryzyka zniszczenia mienia. Czynnikami określającymi przydatność takich obszarów mogą być warunki otoczenia lotniska oraz najbardziej krytyczny typ śmigłowca, dla którego obsługi lotnisko dla śmigłowców jest przeznaczone.</w:t>
      </w:r>
    </w:p>
    <w:p w14:paraId="734EF14E" w14:textId="3056A636" w:rsidR="0043393E" w:rsidRPr="00917587" w:rsidRDefault="006355B6" w:rsidP="006355B6">
      <w:pPr>
        <w:tabs>
          <w:tab w:val="left" w:pos="567"/>
        </w:tabs>
        <w:autoSpaceDE w:val="0"/>
        <w:autoSpaceDN w:val="0"/>
        <w:adjustRightInd w:val="0"/>
        <w:ind w:left="567" w:hanging="567"/>
        <w:rPr>
          <w:rFonts w:cs="TimesNewRomanPS-BoldItalicMT"/>
          <w:bCs/>
          <w:iCs/>
          <w:szCs w:val="20"/>
        </w:rPr>
      </w:pPr>
      <w:r w:rsidRPr="00917587">
        <w:rPr>
          <w:rFonts w:eastAsia="Verdana" w:cs="Verdana"/>
          <w:bCs/>
        </w:rPr>
        <w:t xml:space="preserve">(c) </w:t>
      </w:r>
      <w:r w:rsidRPr="00917587">
        <w:rPr>
          <w:rFonts w:eastAsia="Verdana" w:cs="Verdana"/>
          <w:bCs/>
        </w:rPr>
        <w:tab/>
        <w:t>Powierzchnie podejścia i startu powinny być przesunięte względem siebie idealnie o kąt nie mniejszy niż 135 stopni.</w:t>
      </w:r>
    </w:p>
    <w:p w14:paraId="5BD16C38" w14:textId="046AFEE8" w:rsidR="00831791" w:rsidRPr="009E064B" w:rsidRDefault="00831791" w:rsidP="00831791">
      <w:pPr>
        <w:pStyle w:val="Nagwek4"/>
        <w:rPr>
          <w:color w:val="auto"/>
        </w:rPr>
      </w:pPr>
      <w:bookmarkStart w:id="1913" w:name="_Toc12533365"/>
      <w:r w:rsidRPr="00042D60">
        <w:rPr>
          <w:color w:val="auto"/>
        </w:rPr>
        <w:t>CS</w:t>
      </w:r>
      <w:r>
        <w:rPr>
          <w:color w:val="auto"/>
        </w:rPr>
        <w:t xml:space="preserve"> HPT-DSN.E.43</w:t>
      </w:r>
      <w:r w:rsidRPr="009E064B">
        <w:rPr>
          <w:color w:val="auto"/>
        </w:rPr>
        <w:t>0</w:t>
      </w:r>
      <w:r w:rsidRPr="009E064B">
        <w:rPr>
          <w:b w:val="0"/>
          <w:bCs w:val="0"/>
          <w:color w:val="FFFFFF"/>
          <w:sz w:val="32"/>
          <w:szCs w:val="32"/>
        </w:rPr>
        <w:t xml:space="preserve">     </w:t>
      </w:r>
      <w:r>
        <w:rPr>
          <w:szCs w:val="20"/>
        </w:rPr>
        <w:t>Wymagania dotyczące ograniczania przeszkód</w:t>
      </w:r>
      <w:bookmarkEnd w:id="1913"/>
    </w:p>
    <w:p w14:paraId="0C318DD1" w14:textId="7807537F"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23B6987" w14:textId="74F7A612" w:rsidR="00AA3AED" w:rsidRPr="00917587" w:rsidRDefault="00831791" w:rsidP="00AA3AED">
      <w:pPr>
        <w:tabs>
          <w:tab w:val="left" w:pos="567"/>
        </w:tabs>
        <w:autoSpaceDE w:val="0"/>
        <w:autoSpaceDN w:val="0"/>
        <w:adjustRightInd w:val="0"/>
        <w:ind w:left="567" w:hanging="567"/>
        <w:rPr>
          <w:rFonts w:cs="TimesNewRomanPS-BoldItalicMT"/>
          <w:bCs/>
          <w:iCs/>
          <w:szCs w:val="20"/>
        </w:rPr>
      </w:pPr>
      <w:r w:rsidRPr="00917587">
        <w:rPr>
          <w:rFonts w:cs="TimesNewRomanPS-BoldItalicMT"/>
          <w:bCs/>
          <w:iCs/>
          <w:szCs w:val="20"/>
        </w:rPr>
        <w:t>(a)</w:t>
      </w:r>
      <w:r w:rsidRPr="00917587">
        <w:rPr>
          <w:rFonts w:cs="TimesNewRomanPS-BoldItalicMT"/>
          <w:bCs/>
          <w:iCs/>
          <w:szCs w:val="20"/>
        </w:rPr>
        <w:tab/>
      </w:r>
      <w:r w:rsidR="00AA3AED" w:rsidRPr="00917587">
        <w:rPr>
          <w:rFonts w:cs="TimesNewRomanPS-BoldItalicMT"/>
          <w:bCs/>
          <w:iCs/>
          <w:szCs w:val="20"/>
        </w:rPr>
        <w:t>Wymagania ogólne: Dla strefy FATO powinny być ustalone następujące powierzchnie ograniczające:</w:t>
      </w:r>
    </w:p>
    <w:p w14:paraId="1C4C5588" w14:textId="6612DC84" w:rsidR="00AA3AED" w:rsidRPr="00917587" w:rsidRDefault="00AA3AED" w:rsidP="00AA3AED">
      <w:pPr>
        <w:tabs>
          <w:tab w:val="left" w:pos="1134"/>
        </w:tabs>
        <w:autoSpaceDE w:val="0"/>
        <w:autoSpaceDN w:val="0"/>
        <w:adjustRightInd w:val="0"/>
        <w:ind w:left="1134" w:hanging="567"/>
        <w:rPr>
          <w:rFonts w:cs="TimesNewRomanPS-BoldItalicMT"/>
          <w:bCs/>
          <w:iCs/>
          <w:szCs w:val="20"/>
        </w:rPr>
      </w:pPr>
      <w:r w:rsidRPr="00917587">
        <w:rPr>
          <w:rFonts w:cs="TimesNewRomanPS-BoldItalicMT"/>
          <w:bCs/>
          <w:iCs/>
          <w:szCs w:val="20"/>
        </w:rPr>
        <w:t xml:space="preserve">(1) </w:t>
      </w:r>
      <w:r w:rsidRPr="00917587">
        <w:rPr>
          <w:rFonts w:cs="TimesNewRomanPS-BoldItalicMT"/>
          <w:bCs/>
          <w:iCs/>
          <w:szCs w:val="20"/>
        </w:rPr>
        <w:tab/>
        <w:t>powierzchnia wznoszenia przy starcie; oraz</w:t>
      </w:r>
    </w:p>
    <w:p w14:paraId="377A150E" w14:textId="7E672D6C" w:rsidR="00AA3AED" w:rsidRPr="00917587" w:rsidRDefault="00AA3AED" w:rsidP="00AA3AED">
      <w:pPr>
        <w:tabs>
          <w:tab w:val="left" w:pos="1134"/>
        </w:tabs>
        <w:autoSpaceDE w:val="0"/>
        <w:autoSpaceDN w:val="0"/>
        <w:adjustRightInd w:val="0"/>
        <w:ind w:left="1134" w:hanging="567"/>
        <w:rPr>
          <w:rFonts w:cs="TimesNewRomanPS-BoldItalicMT"/>
          <w:bCs/>
          <w:iCs/>
          <w:szCs w:val="20"/>
        </w:rPr>
      </w:pPr>
      <w:r w:rsidRPr="00917587">
        <w:rPr>
          <w:rFonts w:cs="TimesNewRomanPS-BoldItalicMT"/>
          <w:bCs/>
          <w:iCs/>
          <w:szCs w:val="20"/>
        </w:rPr>
        <w:t xml:space="preserve">(2) </w:t>
      </w:r>
      <w:r w:rsidRPr="00917587">
        <w:rPr>
          <w:rFonts w:cs="TimesNewRomanPS-BoldItalicMT"/>
          <w:bCs/>
          <w:iCs/>
          <w:szCs w:val="20"/>
        </w:rPr>
        <w:tab/>
        <w:t>powierzchnia podejścia.</w:t>
      </w:r>
    </w:p>
    <w:p w14:paraId="654A4076" w14:textId="77777777" w:rsidR="00AA3AED" w:rsidRPr="00917587" w:rsidRDefault="00AA3AED" w:rsidP="00AA3AED">
      <w:pPr>
        <w:tabs>
          <w:tab w:val="left" w:pos="567"/>
        </w:tabs>
        <w:autoSpaceDE w:val="0"/>
        <w:autoSpaceDN w:val="0"/>
        <w:adjustRightInd w:val="0"/>
        <w:ind w:left="567" w:hanging="567"/>
        <w:rPr>
          <w:rFonts w:cs="TimesNewRomanPS-BoldItalicMT"/>
          <w:bCs/>
          <w:iCs/>
          <w:szCs w:val="20"/>
        </w:rPr>
      </w:pPr>
      <w:r w:rsidRPr="00917587">
        <w:rPr>
          <w:rFonts w:cs="TimesNewRomanPS-BoldItalicMT"/>
          <w:bCs/>
          <w:iCs/>
          <w:szCs w:val="20"/>
        </w:rPr>
        <w:t xml:space="preserve">(b) </w:t>
      </w:r>
      <w:r w:rsidRPr="00917587">
        <w:rPr>
          <w:rFonts w:cs="TimesNewRomanPS-BoldItalicMT"/>
          <w:bCs/>
          <w:iCs/>
          <w:szCs w:val="20"/>
        </w:rPr>
        <w:tab/>
        <w:t>Charakterystyka.</w:t>
      </w:r>
    </w:p>
    <w:p w14:paraId="264B1708" w14:textId="4C3B5E87" w:rsidR="00AA3AED" w:rsidRPr="00917587" w:rsidRDefault="00AA3AED" w:rsidP="00AA3AED">
      <w:pPr>
        <w:tabs>
          <w:tab w:val="left" w:pos="1134"/>
        </w:tabs>
        <w:autoSpaceDE w:val="0"/>
        <w:autoSpaceDN w:val="0"/>
        <w:adjustRightInd w:val="0"/>
        <w:ind w:left="1134" w:hanging="567"/>
        <w:rPr>
          <w:rFonts w:cs="TimesNewRomanPS-BoldItalicMT"/>
          <w:bCs/>
          <w:iCs/>
          <w:szCs w:val="20"/>
        </w:rPr>
      </w:pPr>
      <w:r w:rsidRPr="00917587">
        <w:rPr>
          <w:rFonts w:cs="TimesNewRomanPS-BoldItalicMT"/>
          <w:bCs/>
          <w:iCs/>
          <w:szCs w:val="20"/>
        </w:rPr>
        <w:t xml:space="preserve">(1) </w:t>
      </w:r>
      <w:r w:rsidRPr="00917587">
        <w:rPr>
          <w:rFonts w:cs="TimesNewRomanPS-BoldItalicMT"/>
          <w:bCs/>
          <w:iCs/>
          <w:szCs w:val="20"/>
        </w:rPr>
        <w:tab/>
        <w:t>Nachylenia powierzchni ograniczających przeszkody nie powinny być większe, a ich inne wymiary mniejsze niż wartości określone w Tabeli E-1, i powinny być zlokalizowane tak jak pokazano na Rysunkach E-1, E-2 i E-4.</w:t>
      </w:r>
    </w:p>
    <w:p w14:paraId="5210CC3F" w14:textId="7F25171F" w:rsidR="0013797F" w:rsidRPr="00917587" w:rsidRDefault="0013797F" w:rsidP="0013797F">
      <w:pPr>
        <w:tabs>
          <w:tab w:val="left" w:pos="1134"/>
        </w:tabs>
        <w:autoSpaceDE w:val="0"/>
        <w:autoSpaceDN w:val="0"/>
        <w:adjustRightInd w:val="0"/>
        <w:ind w:left="1134" w:hanging="567"/>
        <w:rPr>
          <w:rFonts w:cs="TimesNewRomanPS-BoldItalicMT"/>
          <w:bCs/>
          <w:iCs/>
          <w:szCs w:val="20"/>
        </w:rPr>
      </w:pPr>
      <w:r w:rsidRPr="00917587">
        <w:rPr>
          <w:rFonts w:cs="TimesNewRomanPS-BoldItalicMT"/>
          <w:bCs/>
          <w:iCs/>
          <w:szCs w:val="20"/>
        </w:rPr>
        <w:t xml:space="preserve">(2) </w:t>
      </w:r>
      <w:r w:rsidRPr="00917587">
        <w:rPr>
          <w:rFonts w:cs="TimesNewRomanPS-BoldItalicMT"/>
          <w:bCs/>
          <w:iCs/>
          <w:szCs w:val="20"/>
        </w:rPr>
        <w:tab/>
        <w:t xml:space="preserve">W przypadku gdy na lotnisku dla śmigłowców zainstalowany jest wzrokowy wskaźnik ścieżki podejścia, należy zapewnić dodatkowe powierzchnie zabezpieczające przed przeszkodami, jak określono w </w:t>
      </w:r>
      <w:hyperlink w:anchor="_CS_HPT-DSN.F.660_" w:history="1">
        <w:r w:rsidRPr="003832F2">
          <w:rPr>
            <w:rStyle w:val="Hipercze"/>
            <w:rFonts w:cs="TimesNewRomanPS-BoldItalicMT"/>
            <w:bCs/>
            <w:iCs/>
            <w:szCs w:val="20"/>
          </w:rPr>
          <w:t>CS HPT-DSN.F.660</w:t>
        </w:r>
      </w:hyperlink>
      <w:r w:rsidRPr="00917587">
        <w:rPr>
          <w:rFonts w:cs="TimesNewRomanPS-BoldItalicMT"/>
          <w:bCs/>
          <w:iCs/>
          <w:szCs w:val="20"/>
        </w:rPr>
        <w:t>, które mogą być bardziej wymagające niż powierzchnie ograniczające przeszkody określone w Tabeli E-1.</w:t>
      </w:r>
    </w:p>
    <w:p w14:paraId="58685D80" w14:textId="46A8C4B6" w:rsidR="0013797F" w:rsidRPr="00917587" w:rsidRDefault="0013797F" w:rsidP="0013797F">
      <w:pPr>
        <w:tabs>
          <w:tab w:val="left" w:pos="1134"/>
        </w:tabs>
        <w:autoSpaceDE w:val="0"/>
        <w:autoSpaceDN w:val="0"/>
        <w:adjustRightInd w:val="0"/>
        <w:ind w:left="1134" w:hanging="567"/>
        <w:rPr>
          <w:rFonts w:cs="TimesNewRomanPS-BoldItalicMT"/>
          <w:bCs/>
          <w:iCs/>
        </w:rPr>
      </w:pPr>
      <w:r w:rsidRPr="00917587">
        <w:rPr>
          <w:rFonts w:cs="TimesNewRomanPS-BoldItalicMT"/>
          <w:bCs/>
          <w:iCs/>
        </w:rPr>
        <w:t>(3</w:t>
      </w:r>
      <w:r w:rsidR="00BF4789" w:rsidRPr="00917587">
        <w:rPr>
          <w:rFonts w:cs="TimesNewRomanPS-BoldItalicMT"/>
          <w:bCs/>
          <w:iCs/>
        </w:rPr>
        <w:t xml:space="preserve">) </w:t>
      </w:r>
      <w:r w:rsidR="00BF4789" w:rsidRPr="00917587">
        <w:rPr>
          <w:rFonts w:cs="TimesNewRomanPS-BoldItalicMT"/>
          <w:bCs/>
          <w:iCs/>
        </w:rPr>
        <w:tab/>
      </w:r>
      <w:r w:rsidR="00AA3AED" w:rsidRPr="00917587">
        <w:rPr>
          <w:rFonts w:cs="TimesNewRomanPS-BoldItalicMT"/>
          <w:bCs/>
          <w:iCs/>
        </w:rPr>
        <w:t xml:space="preserve">W przypadku lotnisk dla śmigłowców posiadających powierzchnie podejścia/wznoszenia przy starcie o </w:t>
      </w:r>
      <w:r w:rsidRPr="00917587">
        <w:rPr>
          <w:rFonts w:cs="TimesNewRomanPS-BoldItalicMT"/>
          <w:bCs/>
          <w:iCs/>
        </w:rPr>
        <w:t>nachyleniu</w:t>
      </w:r>
      <w:r w:rsidR="00AA3AED" w:rsidRPr="00917587">
        <w:rPr>
          <w:rFonts w:cs="TimesNewRomanPS-BoldItalicMT"/>
          <w:bCs/>
          <w:iCs/>
        </w:rPr>
        <w:t xml:space="preserve"> 4.5%, można zezwalać, aby obiekty przebijały powierzchnie ograniczające przeszkody, jeżeli </w:t>
      </w:r>
      <w:r w:rsidR="00917587" w:rsidRPr="00917587">
        <w:rPr>
          <w:rFonts w:cs="TimesNewRomanPS-BoldItalicMT"/>
          <w:bCs/>
          <w:iCs/>
        </w:rPr>
        <w:t>w</w:t>
      </w:r>
      <w:r w:rsidRPr="00917587">
        <w:rPr>
          <w:rFonts w:cs="TimesNewRomanPS-BoldItalicMT"/>
          <w:bCs/>
          <w:iCs/>
        </w:rPr>
        <w:t xml:space="preserve"> wyniku przeprowadzonej</w:t>
      </w:r>
      <w:r w:rsidR="00AA3AED" w:rsidRPr="00917587">
        <w:rPr>
          <w:rFonts w:cs="TimesNewRomanPS-BoldItalicMT"/>
          <w:bCs/>
          <w:iCs/>
        </w:rPr>
        <w:t xml:space="preserve"> </w:t>
      </w:r>
      <w:r w:rsidRPr="00917587">
        <w:rPr>
          <w:rFonts w:cs="TimesNewRomanPS-BoldItalicMT"/>
          <w:bCs/>
          <w:iCs/>
        </w:rPr>
        <w:t>oceny bezpieczeństwa</w:t>
      </w:r>
      <w:r w:rsidR="00AA3AED" w:rsidRPr="00917587">
        <w:rPr>
          <w:rFonts w:cs="TimesNewRomanPS-BoldItalicMT"/>
          <w:bCs/>
          <w:iCs/>
        </w:rPr>
        <w:t xml:space="preserve"> </w:t>
      </w:r>
      <w:r w:rsidRPr="00917587">
        <w:rPr>
          <w:rFonts w:cs="TimesNewRomanPS-BoldItalicMT"/>
          <w:bCs/>
          <w:iCs/>
        </w:rPr>
        <w:t>ustalono, że dany obiekt nie wpłynie negatywnie na bezpieczeństwo lub nie wpłynie znacząco na prawidłowość działania śmigłowców.</w:t>
      </w:r>
    </w:p>
    <w:p w14:paraId="17C4526E" w14:textId="68E8A670" w:rsidR="00265B44" w:rsidRPr="00917587" w:rsidRDefault="0013797F" w:rsidP="00265B44">
      <w:pPr>
        <w:tabs>
          <w:tab w:val="left" w:pos="1134"/>
        </w:tabs>
        <w:autoSpaceDE w:val="0"/>
        <w:autoSpaceDN w:val="0"/>
        <w:adjustRightInd w:val="0"/>
        <w:ind w:left="1134" w:hanging="567"/>
        <w:rPr>
          <w:rFonts w:cs="TimesNewRomanPS-BoldItalicMT"/>
          <w:bCs/>
          <w:iCs/>
        </w:rPr>
      </w:pPr>
      <w:r w:rsidRPr="00917587">
        <w:rPr>
          <w:rFonts w:cs="TimesNewRomanPS-BoldItalicMT"/>
          <w:bCs/>
          <w:iCs/>
        </w:rPr>
        <w:t xml:space="preserve">(4) </w:t>
      </w:r>
      <w:r w:rsidR="00AA3AED" w:rsidRPr="00917587">
        <w:rPr>
          <w:rFonts w:cs="TimesNewRomanPS-BoldItalicMT"/>
          <w:bCs/>
          <w:iCs/>
        </w:rPr>
        <w:tab/>
        <w:t>Nie zezwala się na wznoszenie nowych lub powiększanie istniejących obiektów, które wystawałyby ponad powierzchnie</w:t>
      </w:r>
      <w:r w:rsidRPr="00917587">
        <w:rPr>
          <w:rFonts w:cs="TimesNewRomanPS-BoldItalicMT"/>
          <w:bCs/>
          <w:iCs/>
        </w:rPr>
        <w:t xml:space="preserve"> podejścia/wznoszenia przy starcie</w:t>
      </w:r>
      <w:r w:rsidR="00AA3AED" w:rsidRPr="00917587">
        <w:rPr>
          <w:rFonts w:cs="TimesNewRomanPS-BoldItalicMT"/>
          <w:bCs/>
          <w:iCs/>
        </w:rPr>
        <w:t xml:space="preserve"> chyba, że znajdują się one w</w:t>
      </w:r>
      <w:r w:rsidRPr="00917587">
        <w:rPr>
          <w:rFonts w:cs="TimesNewRomanPS-BoldItalicMT"/>
          <w:bCs/>
          <w:iCs/>
        </w:rPr>
        <w:t xml:space="preserve"> </w:t>
      </w:r>
      <w:r w:rsidR="00AA3AED" w:rsidRPr="00917587">
        <w:rPr>
          <w:rFonts w:cs="TimesNewRomanPS-BoldItalicMT"/>
          <w:bCs/>
          <w:iCs/>
        </w:rPr>
        <w:t xml:space="preserve">cieniu stałego obiektu już istniejącego lub po </w:t>
      </w:r>
      <w:r w:rsidR="00917587" w:rsidRPr="00917587">
        <w:rPr>
          <w:rFonts w:cs="TimesNewRomanPS-BoldItalicMT"/>
          <w:bCs/>
          <w:iCs/>
        </w:rPr>
        <w:t xml:space="preserve">przeprowadzeniu </w:t>
      </w:r>
      <w:r w:rsidR="00265B44" w:rsidRPr="00917587">
        <w:rPr>
          <w:rFonts w:cs="TimesNewRomanPS-BoldItalicMT"/>
          <w:bCs/>
          <w:iCs/>
        </w:rPr>
        <w:t>oceny bezpieczeństwa ustalono, że dany obiekt nie wpłynie negatywnie na bezpieczeństwo lub nie wpłynie znacząco na prawidłowość działania śmigłowców.</w:t>
      </w:r>
    </w:p>
    <w:p w14:paraId="66FFD959" w14:textId="751765C7" w:rsidR="00AA3AED" w:rsidRPr="00917587" w:rsidRDefault="00265B44" w:rsidP="00265B44">
      <w:pPr>
        <w:tabs>
          <w:tab w:val="left" w:pos="1134"/>
        </w:tabs>
        <w:autoSpaceDE w:val="0"/>
        <w:autoSpaceDN w:val="0"/>
        <w:adjustRightInd w:val="0"/>
        <w:ind w:left="1134" w:hanging="567"/>
        <w:rPr>
          <w:rFonts w:cs="TimesNewRomanPS-BoldItalicMT"/>
          <w:bCs/>
          <w:iCs/>
        </w:rPr>
      </w:pPr>
      <w:r w:rsidRPr="00917587">
        <w:rPr>
          <w:rFonts w:cs="TimesNewRomanPS-BoldItalicMT"/>
          <w:bCs/>
          <w:iCs/>
        </w:rPr>
        <w:t xml:space="preserve">(5) </w:t>
      </w:r>
      <w:r w:rsidRPr="00917587">
        <w:rPr>
          <w:rFonts w:cs="TimesNewRomanPS-BoldItalicMT"/>
          <w:bCs/>
          <w:iCs/>
        </w:rPr>
        <w:tab/>
      </w:r>
      <w:r w:rsidR="00AA3AED" w:rsidRPr="00917587">
        <w:rPr>
          <w:rFonts w:cs="TimesNewRomanPS-BoldItalicMT"/>
          <w:bCs/>
          <w:iCs/>
        </w:rPr>
        <w:t xml:space="preserve">Obiekty już istniejące, wystające ponad powierzchnie </w:t>
      </w:r>
      <w:r w:rsidRPr="00917587">
        <w:rPr>
          <w:rFonts w:cs="TimesNewRomanPS-BoldItalicMT"/>
          <w:bCs/>
          <w:iCs/>
        </w:rPr>
        <w:t>podejścia/wznoszenia przy starcie</w:t>
      </w:r>
      <w:r w:rsidR="00AA3AED" w:rsidRPr="00917587">
        <w:rPr>
          <w:rFonts w:cs="TimesNewRomanPS-BoldItalicMT"/>
          <w:bCs/>
          <w:iCs/>
        </w:rPr>
        <w:t xml:space="preserve">, w miarę możliwości, powinny być usunięte, z wyjątkiem przypadku, gdy obiekt znajduje się w cieniu już istniejącego obiektu stałego lub </w:t>
      </w:r>
      <w:r w:rsidR="00917587" w:rsidRPr="00917587">
        <w:rPr>
          <w:rFonts w:cs="TimesNewRomanPS-BoldItalicMT"/>
          <w:bCs/>
          <w:iCs/>
        </w:rPr>
        <w:t xml:space="preserve">po </w:t>
      </w:r>
      <w:r w:rsidR="00AA3AED" w:rsidRPr="00917587">
        <w:rPr>
          <w:rFonts w:cs="TimesNewRomanPS-BoldItalicMT"/>
          <w:bCs/>
          <w:iCs/>
        </w:rPr>
        <w:t>przeprowadz</w:t>
      </w:r>
      <w:r w:rsidR="00917587" w:rsidRPr="00917587">
        <w:rPr>
          <w:rFonts w:cs="TimesNewRomanPS-BoldItalicMT"/>
          <w:bCs/>
          <w:iCs/>
        </w:rPr>
        <w:t>eniu</w:t>
      </w:r>
      <w:r w:rsidR="00AA3AED" w:rsidRPr="00917587">
        <w:rPr>
          <w:rFonts w:cs="TimesNewRomanPS-BoldItalicMT"/>
          <w:bCs/>
          <w:iCs/>
        </w:rPr>
        <w:t xml:space="preserve"> </w:t>
      </w:r>
      <w:r w:rsidRPr="00917587">
        <w:rPr>
          <w:rFonts w:cs="TimesNewRomanPS-BoldItalicMT"/>
          <w:bCs/>
          <w:iCs/>
        </w:rPr>
        <w:t>oceny bezpieczeństwa ustalono, że dany obiekt nie wpłynie negatywnie na bezpieczeństwo lub nie wpłynie znacząco na prawidłowość działania śmigłowców.</w:t>
      </w:r>
    </w:p>
    <w:p w14:paraId="12D2794B" w14:textId="7E7B8214" w:rsidR="00265B44" w:rsidRPr="00917587" w:rsidRDefault="00265B44" w:rsidP="00265B44">
      <w:pPr>
        <w:tabs>
          <w:tab w:val="left" w:pos="1134"/>
        </w:tabs>
        <w:autoSpaceDE w:val="0"/>
        <w:autoSpaceDN w:val="0"/>
        <w:adjustRightInd w:val="0"/>
        <w:ind w:left="1134" w:hanging="567"/>
        <w:rPr>
          <w:rFonts w:cs="TimesNewRomanPS-BoldItalicMT"/>
          <w:bCs/>
          <w:iCs/>
        </w:rPr>
      </w:pPr>
      <w:r w:rsidRPr="00917587">
        <w:rPr>
          <w:rFonts w:cs="TimesNewRomanPS-BoldItalicMT"/>
          <w:bCs/>
          <w:iCs/>
        </w:rPr>
        <w:t xml:space="preserve">(6) </w:t>
      </w:r>
      <w:r w:rsidRPr="00917587">
        <w:rPr>
          <w:rFonts w:cs="TimesNewRomanPS-BoldItalicMT"/>
          <w:bCs/>
          <w:iCs/>
        </w:rPr>
        <w:tab/>
        <w:t>Gdy zapewniana jest tylko pojedyncza powierzchnia podejścia i wznoszenia przy starcie, należy przeprowadzić ocenę bezpieczeństwa, biorąc pod uwagę co najmniej następujące czynniki:</w:t>
      </w:r>
    </w:p>
    <w:p w14:paraId="32389F5E" w14:textId="26961DF5" w:rsidR="00AA3AED" w:rsidRPr="00917587" w:rsidRDefault="00265B44" w:rsidP="00265B44">
      <w:pPr>
        <w:tabs>
          <w:tab w:val="left" w:pos="1701"/>
        </w:tabs>
        <w:autoSpaceDE w:val="0"/>
        <w:autoSpaceDN w:val="0"/>
        <w:adjustRightInd w:val="0"/>
        <w:ind w:left="1701" w:hanging="567"/>
        <w:rPr>
          <w:rFonts w:cs="TimesNewRomanPS-BoldItalicMT"/>
          <w:bCs/>
          <w:iCs/>
        </w:rPr>
      </w:pPr>
      <w:r w:rsidRPr="00917587">
        <w:rPr>
          <w:rFonts w:cs="TimesNewRomanPS-BoldItalicMT"/>
          <w:bCs/>
          <w:iCs/>
        </w:rPr>
        <w:t>(i</w:t>
      </w:r>
      <w:r w:rsidR="00AA3AED" w:rsidRPr="00917587">
        <w:rPr>
          <w:rFonts w:cs="TimesNewRomanPS-BoldItalicMT"/>
          <w:bCs/>
          <w:iCs/>
        </w:rPr>
        <w:t>)</w:t>
      </w:r>
      <w:r w:rsidRPr="00917587">
        <w:rPr>
          <w:rFonts w:cs="TimesNewRomanPS-BoldItalicMT"/>
          <w:bCs/>
          <w:iCs/>
        </w:rPr>
        <w:t xml:space="preserve"> </w:t>
      </w:r>
      <w:r w:rsidR="00AA3AED" w:rsidRPr="00917587">
        <w:rPr>
          <w:rFonts w:cs="TimesNewRomanPS-BoldItalicMT"/>
          <w:bCs/>
          <w:iCs/>
        </w:rPr>
        <w:tab/>
        <w:t>obszar/teren, nad którym ma być wykonywany lot;</w:t>
      </w:r>
    </w:p>
    <w:p w14:paraId="4146A377" w14:textId="573DC238" w:rsidR="00AA3AED" w:rsidRPr="00917587" w:rsidRDefault="00265B44" w:rsidP="00265B44">
      <w:pPr>
        <w:tabs>
          <w:tab w:val="left" w:pos="1701"/>
        </w:tabs>
        <w:autoSpaceDE w:val="0"/>
        <w:autoSpaceDN w:val="0"/>
        <w:adjustRightInd w:val="0"/>
        <w:ind w:left="1701" w:hanging="567"/>
        <w:rPr>
          <w:rFonts w:cs="TimesNewRomanPS-BoldItalicMT"/>
          <w:bCs/>
          <w:iCs/>
        </w:rPr>
      </w:pPr>
      <w:r w:rsidRPr="00917587">
        <w:rPr>
          <w:rFonts w:cs="TimesNewRomanPS-BoldItalicMT"/>
          <w:bCs/>
          <w:iCs/>
        </w:rPr>
        <w:t>(ii</w:t>
      </w:r>
      <w:r w:rsidR="00AA3AED" w:rsidRPr="00917587">
        <w:rPr>
          <w:rFonts w:cs="TimesNewRomanPS-BoldItalicMT"/>
          <w:bCs/>
          <w:iCs/>
        </w:rPr>
        <w:t>)</w:t>
      </w:r>
      <w:r w:rsidRPr="00917587">
        <w:rPr>
          <w:rFonts w:cs="TimesNewRomanPS-BoldItalicMT"/>
          <w:bCs/>
          <w:iCs/>
        </w:rPr>
        <w:t xml:space="preserve"> </w:t>
      </w:r>
      <w:r w:rsidR="00AA3AED" w:rsidRPr="00917587">
        <w:rPr>
          <w:rFonts w:cs="TimesNewRomanPS-BoldItalicMT"/>
          <w:bCs/>
          <w:iCs/>
        </w:rPr>
        <w:tab/>
        <w:t>przeszkody lotnicze w otoczeniu lotniska dla śmigłowców;</w:t>
      </w:r>
    </w:p>
    <w:p w14:paraId="4DF9E1DF" w14:textId="6CF959E6" w:rsidR="00AA3AED" w:rsidRPr="00917587" w:rsidRDefault="00265B44" w:rsidP="00265B44">
      <w:pPr>
        <w:tabs>
          <w:tab w:val="left" w:pos="1701"/>
        </w:tabs>
        <w:autoSpaceDE w:val="0"/>
        <w:autoSpaceDN w:val="0"/>
        <w:adjustRightInd w:val="0"/>
        <w:ind w:left="1701" w:hanging="567"/>
        <w:rPr>
          <w:rFonts w:cs="TimesNewRomanPS-BoldItalicMT"/>
          <w:bCs/>
          <w:iCs/>
        </w:rPr>
      </w:pPr>
      <w:r w:rsidRPr="00917587">
        <w:rPr>
          <w:rFonts w:cs="TimesNewRomanPS-BoldItalicMT"/>
          <w:bCs/>
          <w:iCs/>
        </w:rPr>
        <w:t>(iii</w:t>
      </w:r>
      <w:r w:rsidR="00AA3AED" w:rsidRPr="00917587">
        <w:rPr>
          <w:rFonts w:cs="TimesNewRomanPS-BoldItalicMT"/>
          <w:bCs/>
          <w:iCs/>
        </w:rPr>
        <w:t>)</w:t>
      </w:r>
      <w:r w:rsidRPr="00917587">
        <w:rPr>
          <w:rFonts w:cs="TimesNewRomanPS-BoldItalicMT"/>
          <w:bCs/>
          <w:iCs/>
        </w:rPr>
        <w:t xml:space="preserve"> </w:t>
      </w:r>
      <w:r w:rsidR="00AA3AED" w:rsidRPr="00917587">
        <w:rPr>
          <w:rFonts w:cs="TimesNewRomanPS-BoldItalicMT"/>
          <w:bCs/>
          <w:iCs/>
        </w:rPr>
        <w:tab/>
        <w:t>osiągi i ograniczenia operacyjne śmigłowców, dla operacji których lotnisko dla śmigłowców jest przeznaczone; oraz</w:t>
      </w:r>
    </w:p>
    <w:p w14:paraId="065B1975" w14:textId="774A12A2" w:rsidR="00AA3AED" w:rsidRPr="00917587" w:rsidRDefault="00265B44" w:rsidP="00265B44">
      <w:pPr>
        <w:tabs>
          <w:tab w:val="left" w:pos="1701"/>
        </w:tabs>
        <w:autoSpaceDE w:val="0"/>
        <w:autoSpaceDN w:val="0"/>
        <w:adjustRightInd w:val="0"/>
        <w:ind w:left="1701" w:hanging="567"/>
        <w:rPr>
          <w:rFonts w:cs="TimesNewRomanPS-BoldItalicMT"/>
          <w:bCs/>
          <w:iCs/>
        </w:rPr>
      </w:pPr>
      <w:r w:rsidRPr="00917587">
        <w:rPr>
          <w:rFonts w:cs="TimesNewRomanPS-BoldItalicMT"/>
          <w:bCs/>
          <w:iCs/>
        </w:rPr>
        <w:t>(iv</w:t>
      </w:r>
      <w:r w:rsidR="00AA3AED" w:rsidRPr="00917587">
        <w:rPr>
          <w:rFonts w:cs="TimesNewRomanPS-BoldItalicMT"/>
          <w:bCs/>
          <w:iCs/>
        </w:rPr>
        <w:t>)</w:t>
      </w:r>
      <w:r w:rsidRPr="00917587">
        <w:rPr>
          <w:rFonts w:cs="TimesNewRomanPS-BoldItalicMT"/>
          <w:bCs/>
          <w:iCs/>
        </w:rPr>
        <w:t xml:space="preserve"> </w:t>
      </w:r>
      <w:r w:rsidR="00AA3AED" w:rsidRPr="00917587">
        <w:rPr>
          <w:rFonts w:cs="TimesNewRomanPS-BoldItalicMT"/>
          <w:bCs/>
          <w:iCs/>
        </w:rPr>
        <w:tab/>
        <w:t>lokalne warunki meteorologiczne w tym przeważające wiatry.</w:t>
      </w:r>
    </w:p>
    <w:p w14:paraId="03706BA6" w14:textId="77777777" w:rsidR="00831791" w:rsidRPr="00917587" w:rsidRDefault="00831791" w:rsidP="00831791">
      <w:pPr>
        <w:tabs>
          <w:tab w:val="left" w:pos="567"/>
        </w:tabs>
        <w:autoSpaceDE w:val="0"/>
        <w:autoSpaceDN w:val="0"/>
        <w:adjustRightInd w:val="0"/>
        <w:ind w:left="567" w:hanging="567"/>
        <w:rPr>
          <w:rFonts w:cstheme="minorHAnsi"/>
          <w:szCs w:val="20"/>
        </w:rPr>
      </w:pPr>
    </w:p>
    <w:p w14:paraId="0ADE62C0" w14:textId="42CE6340" w:rsidR="00831791" w:rsidRPr="009E064B" w:rsidRDefault="00831791" w:rsidP="00133B99">
      <w:pPr>
        <w:pStyle w:val="Nagwek6"/>
      </w:pPr>
      <w:bookmarkStart w:id="1914" w:name="_Toc12533366"/>
      <w:r w:rsidRPr="009E064B">
        <w:t>G</w:t>
      </w:r>
      <w:r>
        <w:t>M1 HPT-DSN.E</w:t>
      </w:r>
      <w:r w:rsidRPr="009E064B">
        <w:t>.</w:t>
      </w:r>
      <w:r>
        <w:t>43</w:t>
      </w:r>
      <w:r w:rsidRPr="009E064B">
        <w:t xml:space="preserve">0     </w:t>
      </w:r>
      <w:r w:rsidRPr="00831791">
        <w:t>Wymagania dotyczące ograniczania przeszkód</w:t>
      </w:r>
      <w:bookmarkEnd w:id="1914"/>
    </w:p>
    <w:p w14:paraId="107F1002" w14:textId="1DE989CA"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0B04361" w14:textId="51507D36" w:rsidR="0043393E" w:rsidRPr="00917587" w:rsidRDefault="00265B44" w:rsidP="009E064B">
      <w:pPr>
        <w:tabs>
          <w:tab w:val="left" w:pos="1134"/>
        </w:tabs>
        <w:autoSpaceDE w:val="0"/>
        <w:autoSpaceDN w:val="0"/>
        <w:adjustRightInd w:val="0"/>
        <w:spacing w:after="0"/>
        <w:rPr>
          <w:rFonts w:cs="TimesNewRomanPS-BoldItalicMT"/>
          <w:bCs/>
          <w:iCs/>
          <w:szCs w:val="20"/>
        </w:rPr>
      </w:pPr>
      <w:r w:rsidRPr="00917587">
        <w:rPr>
          <w:rFonts w:asciiTheme="minorHAnsi" w:eastAsia="Calibri" w:hAnsiTheme="minorHAnsi" w:cstheme="minorHAnsi"/>
        </w:rPr>
        <w:t>Celowo pozostawiono puste</w:t>
      </w:r>
    </w:p>
    <w:p w14:paraId="29720EE6" w14:textId="6AB54A75" w:rsidR="0043393E" w:rsidRPr="00917587" w:rsidRDefault="0043393E" w:rsidP="009E064B">
      <w:pPr>
        <w:tabs>
          <w:tab w:val="left" w:pos="1134"/>
        </w:tabs>
        <w:autoSpaceDE w:val="0"/>
        <w:autoSpaceDN w:val="0"/>
        <w:adjustRightInd w:val="0"/>
        <w:spacing w:after="0"/>
        <w:rPr>
          <w:rFonts w:cs="TimesNewRomanPS-BoldItalicMT"/>
          <w:bCs/>
          <w:iCs/>
          <w:szCs w:val="20"/>
        </w:rPr>
      </w:pPr>
    </w:p>
    <w:p w14:paraId="47F65115" w14:textId="2E404DE8" w:rsidR="0043393E" w:rsidRPr="00917587" w:rsidRDefault="0043393E" w:rsidP="009E064B">
      <w:pPr>
        <w:tabs>
          <w:tab w:val="left" w:pos="1134"/>
        </w:tabs>
        <w:autoSpaceDE w:val="0"/>
        <w:autoSpaceDN w:val="0"/>
        <w:adjustRightInd w:val="0"/>
        <w:spacing w:after="0"/>
        <w:rPr>
          <w:rFonts w:cs="TimesNewRomanPS-BoldItalicMT"/>
          <w:bCs/>
          <w:iCs/>
          <w:szCs w:val="20"/>
        </w:rPr>
      </w:pPr>
    </w:p>
    <w:p w14:paraId="68966E85" w14:textId="77777777" w:rsidR="00831791" w:rsidRPr="00917587" w:rsidRDefault="00831791" w:rsidP="009E064B">
      <w:pPr>
        <w:tabs>
          <w:tab w:val="left" w:pos="1134"/>
        </w:tabs>
        <w:autoSpaceDE w:val="0"/>
        <w:autoSpaceDN w:val="0"/>
        <w:adjustRightInd w:val="0"/>
        <w:spacing w:after="0"/>
        <w:rPr>
          <w:rFonts w:cs="TimesNewRomanPS-BoldItalicMT"/>
          <w:bCs/>
          <w:iCs/>
          <w:szCs w:val="20"/>
        </w:rPr>
        <w:sectPr w:rsidR="00831791" w:rsidRPr="00917587" w:rsidSect="00E300A0">
          <w:headerReference w:type="default" r:id="rId330"/>
          <w:headerReference w:type="first" r:id="rId331"/>
          <w:pgSz w:w="11906" w:h="16840" w:code="9"/>
          <w:pgMar w:top="1701" w:right="1418" w:bottom="1418" w:left="1418" w:header="567" w:footer="454" w:gutter="0"/>
          <w:cols w:space="708"/>
          <w:titlePg/>
        </w:sectPr>
      </w:pPr>
    </w:p>
    <w:p w14:paraId="73F97879" w14:textId="5E649219" w:rsidR="00831791" w:rsidRDefault="00831791" w:rsidP="009E064B">
      <w:pPr>
        <w:tabs>
          <w:tab w:val="left" w:pos="1134"/>
        </w:tabs>
        <w:autoSpaceDE w:val="0"/>
        <w:autoSpaceDN w:val="0"/>
        <w:adjustRightInd w:val="0"/>
        <w:spacing w:after="0"/>
        <w:rPr>
          <w:rFonts w:cs="TimesNewRomanPS-BoldItalicMT"/>
          <w:bCs/>
          <w:iCs/>
          <w:color w:val="0000FF"/>
          <w:szCs w:val="20"/>
        </w:rPr>
      </w:pPr>
    </w:p>
    <w:p w14:paraId="0DA0642D" w14:textId="5B1DFC92" w:rsidR="00831791" w:rsidRDefault="00831791" w:rsidP="00831791">
      <w:pPr>
        <w:pStyle w:val="Nagwek2"/>
      </w:pPr>
      <w:bookmarkStart w:id="1915" w:name="_Toc12533367"/>
      <w:r>
        <w:t>ROZDZIAŁ F</w:t>
      </w:r>
      <w:r w:rsidRPr="009E064B">
        <w:t xml:space="preserve"> — </w:t>
      </w:r>
      <w:r w:rsidRPr="00900AA5">
        <w:t>Po</w:t>
      </w:r>
      <w:r>
        <w:t>moce wzrokowe</w:t>
      </w:r>
      <w:bookmarkEnd w:id="1915"/>
    </w:p>
    <w:p w14:paraId="5D2FD8B4" w14:textId="77777777" w:rsidR="00831791" w:rsidRPr="00B45F2C" w:rsidRDefault="00831791" w:rsidP="00831791"/>
    <w:p w14:paraId="0F9960BD" w14:textId="0A4D0C5B" w:rsidR="00831791" w:rsidRPr="003832F2" w:rsidRDefault="00831791" w:rsidP="00831791">
      <w:pPr>
        <w:pStyle w:val="Nagwek4"/>
        <w:rPr>
          <w:color w:val="auto"/>
        </w:rPr>
      </w:pPr>
      <w:bookmarkStart w:id="1916" w:name="_Toc12533368"/>
      <w:r w:rsidRPr="003832F2">
        <w:rPr>
          <w:color w:val="auto"/>
        </w:rPr>
        <w:t>CS HPT-DSN.F.500</w:t>
      </w:r>
      <w:r w:rsidRPr="003832F2">
        <w:rPr>
          <w:b w:val="0"/>
          <w:bCs w:val="0"/>
          <w:color w:val="FFFFFF"/>
          <w:sz w:val="32"/>
          <w:szCs w:val="32"/>
        </w:rPr>
        <w:t xml:space="preserve">     </w:t>
      </w:r>
      <w:r w:rsidRPr="003832F2">
        <w:rPr>
          <w:color w:val="auto"/>
        </w:rPr>
        <w:t>Wymagania ogólne</w:t>
      </w:r>
      <w:bookmarkEnd w:id="1916"/>
    </w:p>
    <w:p w14:paraId="0A20E2FE" w14:textId="534A1E7C" w:rsidR="00831791" w:rsidRPr="003832F2"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917471E" w14:textId="0B4B333D" w:rsidR="00973933" w:rsidRPr="003832F2" w:rsidRDefault="00831791" w:rsidP="00973933">
      <w:pPr>
        <w:tabs>
          <w:tab w:val="left" w:pos="567"/>
        </w:tabs>
        <w:autoSpaceDE w:val="0"/>
        <w:autoSpaceDN w:val="0"/>
        <w:adjustRightInd w:val="0"/>
        <w:ind w:left="567" w:hanging="567"/>
        <w:rPr>
          <w:rFonts w:cs="TimesNewRomanPS-BoldItalicMT"/>
          <w:bCs/>
        </w:rPr>
      </w:pPr>
      <w:r w:rsidRPr="003832F2">
        <w:rPr>
          <w:rFonts w:cs="TimesNewRomanPS-BoldItalicMT"/>
          <w:bCs/>
          <w:iCs/>
          <w:szCs w:val="20"/>
        </w:rPr>
        <w:t>(a)</w:t>
      </w:r>
      <w:r w:rsidRPr="003832F2">
        <w:rPr>
          <w:rFonts w:cs="TimesNewRomanPS-BoldItalicMT"/>
          <w:bCs/>
          <w:iCs/>
          <w:szCs w:val="20"/>
        </w:rPr>
        <w:tab/>
      </w:r>
      <w:r w:rsidR="003D347F" w:rsidRPr="003832F2">
        <w:rPr>
          <w:rFonts w:cs="TimesNewRomanPS-BoldItalicMT"/>
          <w:bCs/>
          <w:iCs/>
          <w:szCs w:val="20"/>
        </w:rPr>
        <w:t>Jeżeli</w:t>
      </w:r>
      <w:r w:rsidR="00973933" w:rsidRPr="003832F2">
        <w:rPr>
          <w:rFonts w:cs="TimesNewRomanPS-BoldItalicMT"/>
          <w:bCs/>
        </w:rPr>
        <w:t xml:space="preserve"> strefa FATO posiada charakterystykę podobną jak droga startowa, </w:t>
      </w:r>
      <w:r w:rsidR="00E54EE7" w:rsidRPr="003832F2">
        <w:rPr>
          <w:rFonts w:cs="TimesNewRomanPS-BoldItalicMT"/>
          <w:bCs/>
        </w:rPr>
        <w:t>obowiązujące</w:t>
      </w:r>
      <w:r w:rsidR="00973933" w:rsidRPr="003832F2">
        <w:rPr>
          <w:rFonts w:cs="TimesNewRomanPS-BoldItalicMT"/>
          <w:bCs/>
        </w:rPr>
        <w:t xml:space="preserve"> specyfikacje certyfikacyjne (CS)</w:t>
      </w:r>
      <w:r w:rsidR="003D347F" w:rsidRPr="003832F2">
        <w:rPr>
          <w:rFonts w:cs="TimesNewRomanPS-BoldItalicMT"/>
          <w:bCs/>
        </w:rPr>
        <w:t xml:space="preserve"> są podane w poniższych </w:t>
      </w:r>
      <w:r w:rsidR="00E54EE7" w:rsidRPr="003832F2">
        <w:rPr>
          <w:rFonts w:cs="TimesNewRomanPS-BoldItalicMT"/>
          <w:bCs/>
        </w:rPr>
        <w:t>podpunktach</w:t>
      </w:r>
      <w:r w:rsidR="003D347F" w:rsidRPr="003832F2">
        <w:rPr>
          <w:rFonts w:cs="TimesNewRomanPS-BoldItalicMT"/>
          <w:bCs/>
        </w:rPr>
        <w:t xml:space="preserve"> zatytułowanych</w:t>
      </w:r>
      <w:r w:rsidR="00973933" w:rsidRPr="003832F2">
        <w:rPr>
          <w:rFonts w:cs="TimesNewRomanPS-BoldItalicMT"/>
          <w:bCs/>
        </w:rPr>
        <w:t xml:space="preserve"> „st</w:t>
      </w:r>
      <w:r w:rsidR="00E54EE7" w:rsidRPr="003832F2">
        <w:rPr>
          <w:rFonts w:cs="TimesNewRomanPS-BoldItalicMT"/>
          <w:bCs/>
        </w:rPr>
        <w:t>refa FATO typu droga startowa”.</w:t>
      </w:r>
    </w:p>
    <w:p w14:paraId="0372E14D" w14:textId="439A1728" w:rsidR="003D347F" w:rsidRPr="003832F2" w:rsidRDefault="003D347F" w:rsidP="003D347F">
      <w:pPr>
        <w:tabs>
          <w:tab w:val="left" w:pos="567"/>
        </w:tabs>
        <w:autoSpaceDE w:val="0"/>
        <w:autoSpaceDN w:val="0"/>
        <w:adjustRightInd w:val="0"/>
        <w:ind w:left="567" w:hanging="567"/>
        <w:rPr>
          <w:rFonts w:cs="TimesNewRomanPS-BoldItalicMT"/>
          <w:bCs/>
        </w:rPr>
      </w:pPr>
      <w:r w:rsidRPr="003832F2">
        <w:rPr>
          <w:rFonts w:cs="TimesNewRomanPS-BoldItalicMT"/>
          <w:bCs/>
        </w:rPr>
        <w:t xml:space="preserve">(b) </w:t>
      </w:r>
      <w:r w:rsidRPr="003832F2">
        <w:rPr>
          <w:rFonts w:cs="TimesNewRomanPS-BoldItalicMT"/>
          <w:bCs/>
        </w:rPr>
        <w:tab/>
        <w:t>W przypadku wszystkich innych typów FATO odpowiednie CS-y s</w:t>
      </w:r>
      <w:r w:rsidR="00E54EE7" w:rsidRPr="003832F2">
        <w:rPr>
          <w:rFonts w:cs="TimesNewRomanPS-BoldItalicMT"/>
          <w:bCs/>
        </w:rPr>
        <w:t xml:space="preserve">ą podane w poniższych </w:t>
      </w:r>
      <w:r w:rsidRPr="003832F2">
        <w:rPr>
          <w:rFonts w:cs="TimesNewRomanPS-BoldItalicMT"/>
          <w:bCs/>
        </w:rPr>
        <w:t>podpunktach zatytułowanych „Wszystkie strefy FATO z wyjątkiem FATO typu droga startowa”.</w:t>
      </w:r>
    </w:p>
    <w:p w14:paraId="54D5BD56" w14:textId="3117A3B1" w:rsidR="00831791" w:rsidRPr="003832F2" w:rsidRDefault="00831791" w:rsidP="00133B99">
      <w:pPr>
        <w:pStyle w:val="Nagwek6"/>
      </w:pPr>
      <w:bookmarkStart w:id="1917" w:name="_Toc12533369"/>
      <w:r w:rsidRPr="003832F2">
        <w:t xml:space="preserve">GM1 HPT-DSN.F.500     </w:t>
      </w:r>
      <w:r w:rsidRPr="003832F2">
        <w:rPr>
          <w:iCs/>
        </w:rPr>
        <w:t>Wymagania</w:t>
      </w:r>
      <w:r w:rsidRPr="003832F2">
        <w:t xml:space="preserve"> ogólne</w:t>
      </w:r>
      <w:bookmarkEnd w:id="1917"/>
    </w:p>
    <w:p w14:paraId="26CD6B2E" w14:textId="79DE6C6F" w:rsidR="00831791" w:rsidRPr="003832F2"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ED654ED" w14:textId="4E8A5A1C" w:rsidR="00831791" w:rsidRPr="003832F2" w:rsidRDefault="003D347F" w:rsidP="00831791">
      <w:pPr>
        <w:tabs>
          <w:tab w:val="left" w:pos="1134"/>
        </w:tabs>
        <w:autoSpaceDE w:val="0"/>
        <w:autoSpaceDN w:val="0"/>
        <w:adjustRightInd w:val="0"/>
        <w:spacing w:after="0"/>
        <w:rPr>
          <w:rFonts w:cs="TimesNewRomanPS-BoldItalicMT"/>
          <w:bCs/>
          <w:iCs/>
          <w:szCs w:val="20"/>
        </w:rPr>
      </w:pPr>
      <w:r w:rsidRPr="003832F2">
        <w:rPr>
          <w:rFonts w:cs="TimesNewRomanPS-BoldItalicMT"/>
          <w:bCs/>
        </w:rPr>
        <w:t>Gdy droga startowa jest oznaczona zgodnie z przepisami CS-ADR-DSN i jest</w:t>
      </w:r>
      <w:r w:rsidR="00E54EE7" w:rsidRPr="003832F2">
        <w:rPr>
          <w:rFonts w:cs="TimesNewRomanPS-BoldItalicMT"/>
          <w:bCs/>
        </w:rPr>
        <w:t xml:space="preserve"> wykorzystywana jako FATO, nie jest </w:t>
      </w:r>
      <w:r w:rsidRPr="003832F2">
        <w:rPr>
          <w:rFonts w:cs="TimesNewRomanPS-BoldItalicMT"/>
          <w:bCs/>
        </w:rPr>
        <w:t>wymagane dodatkowe ozn</w:t>
      </w:r>
      <w:r w:rsidR="00E54EE7" w:rsidRPr="003832F2">
        <w:rPr>
          <w:rFonts w:cs="TimesNewRomanPS-BoldItalicMT"/>
          <w:bCs/>
        </w:rPr>
        <w:t>akowanie</w:t>
      </w:r>
      <w:r w:rsidRPr="003832F2">
        <w:rPr>
          <w:rFonts w:cs="TimesNewRomanPS-BoldItalicMT"/>
          <w:bCs/>
        </w:rPr>
        <w:t xml:space="preserve"> drogi startowej ani </w:t>
      </w:r>
      <w:r w:rsidR="00E54EE7" w:rsidRPr="003832F2">
        <w:rPr>
          <w:rFonts w:cs="TimesNewRomanPS-BoldItalicMT"/>
          <w:bCs/>
        </w:rPr>
        <w:t>stosowanie dodatkowych świateł dla potrzeb operacji śmigłowca</w:t>
      </w:r>
      <w:r w:rsidRPr="003832F2">
        <w:rPr>
          <w:rFonts w:cs="TimesNewRomanPS-BoldItalicMT"/>
          <w:bCs/>
        </w:rPr>
        <w:t>.</w:t>
      </w:r>
    </w:p>
    <w:p w14:paraId="6260415B" w14:textId="364A5E11" w:rsidR="00831791" w:rsidRPr="003832F2" w:rsidRDefault="00831791" w:rsidP="00831791">
      <w:pPr>
        <w:pStyle w:val="Nagwek4"/>
        <w:rPr>
          <w:color w:val="auto"/>
        </w:rPr>
      </w:pPr>
      <w:bookmarkStart w:id="1918" w:name="_Toc12533370"/>
      <w:r w:rsidRPr="003832F2">
        <w:rPr>
          <w:color w:val="auto"/>
        </w:rPr>
        <w:t>CS HPT-DSN.F.510</w:t>
      </w:r>
      <w:r w:rsidRPr="003832F2">
        <w:rPr>
          <w:b w:val="0"/>
          <w:bCs w:val="0"/>
          <w:color w:val="FFFFFF"/>
          <w:sz w:val="32"/>
          <w:szCs w:val="32"/>
        </w:rPr>
        <w:t xml:space="preserve">     </w:t>
      </w:r>
      <w:r w:rsidRPr="003832F2">
        <w:rPr>
          <w:color w:val="auto"/>
        </w:rPr>
        <w:t>Wskaźnik kierunku wiatru</w:t>
      </w:r>
      <w:bookmarkEnd w:id="1918"/>
    </w:p>
    <w:p w14:paraId="21B8315A" w14:textId="6046C89E"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63DEC63" w14:textId="0860E767" w:rsidR="003D347F" w:rsidRPr="00E54EE7" w:rsidRDefault="003D347F" w:rsidP="003D347F">
      <w:pPr>
        <w:tabs>
          <w:tab w:val="left" w:pos="0"/>
        </w:tabs>
        <w:autoSpaceDE w:val="0"/>
        <w:autoSpaceDN w:val="0"/>
        <w:adjustRightInd w:val="0"/>
        <w:rPr>
          <w:rFonts w:cs="TimesNewRomanPS-BoldItalicMT"/>
          <w:bCs/>
          <w:iCs/>
          <w:szCs w:val="20"/>
        </w:rPr>
      </w:pPr>
      <w:r w:rsidRPr="00E54EE7">
        <w:rPr>
          <w:rFonts w:cs="TimesNewRomanPS-BoldItalicMT"/>
          <w:bCs/>
          <w:iCs/>
          <w:szCs w:val="20"/>
        </w:rPr>
        <w:t>Zastosowanie: Lotnisko dla śmigłowców powinno być wyposażone w przynajmniej jeden wskaźnik kierunku wiatru.</w:t>
      </w:r>
    </w:p>
    <w:p w14:paraId="434D5C1B" w14:textId="47E9A3D7" w:rsidR="00831791" w:rsidRPr="009E064B" w:rsidRDefault="00831791" w:rsidP="00133B99">
      <w:pPr>
        <w:pStyle w:val="Nagwek6"/>
      </w:pPr>
      <w:bookmarkStart w:id="1919" w:name="_Toc12533371"/>
      <w:r w:rsidRPr="009E064B">
        <w:t>GM1 HPT-DSN.</w:t>
      </w:r>
      <w:r>
        <w:t>F.510</w:t>
      </w:r>
      <w:r w:rsidRPr="009E064B">
        <w:t xml:space="preserve">     </w:t>
      </w:r>
      <w:r w:rsidRPr="00831791">
        <w:t>Wskaźnik kierunku wiatru</w:t>
      </w:r>
      <w:bookmarkEnd w:id="1919"/>
    </w:p>
    <w:p w14:paraId="09D35CBE" w14:textId="7DEB3836"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DEC2BE9" w14:textId="0D7F7E08" w:rsidR="00906335" w:rsidRPr="009420EE" w:rsidRDefault="00831791" w:rsidP="00906335">
      <w:pPr>
        <w:tabs>
          <w:tab w:val="left" w:pos="567"/>
        </w:tabs>
        <w:autoSpaceDE w:val="0"/>
        <w:autoSpaceDN w:val="0"/>
        <w:adjustRightInd w:val="0"/>
        <w:ind w:left="567" w:hanging="567"/>
        <w:rPr>
          <w:rFonts w:cs="TimesNewRomanPS-BoldItalicMT"/>
          <w:bCs/>
          <w:iCs/>
          <w:szCs w:val="20"/>
        </w:rPr>
      </w:pPr>
      <w:r w:rsidRPr="009420EE">
        <w:rPr>
          <w:rFonts w:cs="TimesNewRomanPS-BoldItalicMT"/>
          <w:bCs/>
          <w:iCs/>
          <w:szCs w:val="20"/>
        </w:rPr>
        <w:t xml:space="preserve">(a) </w:t>
      </w:r>
      <w:r w:rsidRPr="009420EE">
        <w:rPr>
          <w:rFonts w:cs="TimesNewRomanPS-BoldItalicMT"/>
          <w:bCs/>
          <w:iCs/>
          <w:szCs w:val="20"/>
        </w:rPr>
        <w:tab/>
        <w:t>Wymagania</w:t>
      </w:r>
      <w:r w:rsidRPr="009420EE">
        <w:rPr>
          <w:rFonts w:eastAsia="Verdana" w:cs="Verdana"/>
          <w:bCs/>
          <w:szCs w:val="20"/>
        </w:rPr>
        <w:t xml:space="preserve"> ogólne</w:t>
      </w:r>
      <w:r w:rsidR="003D347F" w:rsidRPr="009420EE">
        <w:rPr>
          <w:rFonts w:eastAsia="Verdana" w:cs="Verdana"/>
          <w:bCs/>
          <w:szCs w:val="20"/>
        </w:rPr>
        <w:t xml:space="preserve">: </w:t>
      </w:r>
      <w:r w:rsidR="00906335" w:rsidRPr="009420EE">
        <w:rPr>
          <w:rFonts w:cs="TimesNewRomanPS-BoldItalicMT"/>
          <w:bCs/>
          <w:iCs/>
          <w:szCs w:val="20"/>
        </w:rPr>
        <w:t xml:space="preserve">Jeśli wskaźniki kierunku wiatru </w:t>
      </w:r>
      <w:r w:rsidR="009420EE" w:rsidRPr="009420EE">
        <w:rPr>
          <w:rFonts w:cs="TimesNewRomanPS-BoldItalicMT"/>
          <w:bCs/>
          <w:iCs/>
          <w:szCs w:val="20"/>
        </w:rPr>
        <w:t xml:space="preserve">użytkowany na </w:t>
      </w:r>
      <w:r w:rsidR="00906335" w:rsidRPr="009420EE">
        <w:rPr>
          <w:rFonts w:cs="TimesNewRomanPS-BoldItalicMT"/>
          <w:bCs/>
          <w:iCs/>
          <w:szCs w:val="20"/>
        </w:rPr>
        <w:t>lotnisk</w:t>
      </w:r>
      <w:r w:rsidR="009420EE" w:rsidRPr="009420EE">
        <w:rPr>
          <w:rFonts w:cs="TimesNewRomanPS-BoldItalicMT"/>
          <w:bCs/>
          <w:iCs/>
          <w:szCs w:val="20"/>
        </w:rPr>
        <w:t xml:space="preserve">u </w:t>
      </w:r>
      <w:r w:rsidR="00906335" w:rsidRPr="009420EE">
        <w:rPr>
          <w:rFonts w:cs="TimesNewRomanPS-BoldItalicMT"/>
          <w:bCs/>
          <w:iCs/>
          <w:szCs w:val="20"/>
        </w:rPr>
        <w:t xml:space="preserve">dla samolotów nie wskazuje poprawnie informacji o wietrze </w:t>
      </w:r>
      <w:r w:rsidR="009420EE" w:rsidRPr="009420EE">
        <w:rPr>
          <w:rFonts w:cs="TimesNewRomanPS-BoldItalicMT"/>
          <w:bCs/>
          <w:iCs/>
          <w:szCs w:val="20"/>
        </w:rPr>
        <w:t xml:space="preserve">na </w:t>
      </w:r>
      <w:r w:rsidR="00906335" w:rsidRPr="009420EE">
        <w:rPr>
          <w:rFonts w:cs="TimesNewRomanPS-BoldItalicMT"/>
          <w:bCs/>
          <w:iCs/>
          <w:szCs w:val="20"/>
        </w:rPr>
        <w:t xml:space="preserve">lotnisku dla śmigłowców, należy zainstalować dodatkowe wskaźniki kierunku wiatru, aby dostarczyć pilotowi informacje o wietrze </w:t>
      </w:r>
      <w:r w:rsidR="009420EE" w:rsidRPr="009420EE">
        <w:rPr>
          <w:rFonts w:cs="TimesNewRomanPS-BoldItalicMT"/>
          <w:bCs/>
          <w:iCs/>
          <w:szCs w:val="20"/>
        </w:rPr>
        <w:t>w czasie</w:t>
      </w:r>
      <w:r w:rsidR="00906335" w:rsidRPr="009420EE">
        <w:rPr>
          <w:rFonts w:cs="TimesNewRomanPS-BoldItalicMT"/>
          <w:bCs/>
          <w:iCs/>
          <w:szCs w:val="20"/>
        </w:rPr>
        <w:t xml:space="preserve"> podejścia </w:t>
      </w:r>
      <w:r w:rsidR="009420EE" w:rsidRPr="009420EE">
        <w:rPr>
          <w:rFonts w:cs="TimesNewRomanPS-BoldItalicMT"/>
          <w:bCs/>
          <w:iCs/>
          <w:szCs w:val="20"/>
        </w:rPr>
        <w:t xml:space="preserve">do lądowania </w:t>
      </w:r>
      <w:r w:rsidR="00906335" w:rsidRPr="009420EE">
        <w:rPr>
          <w:rFonts w:cs="TimesNewRomanPS-BoldItalicMT"/>
          <w:bCs/>
          <w:iCs/>
          <w:szCs w:val="20"/>
        </w:rPr>
        <w:t>i startu.</w:t>
      </w:r>
    </w:p>
    <w:p w14:paraId="06065B72" w14:textId="77777777" w:rsidR="00906335" w:rsidRPr="009420EE" w:rsidRDefault="00906335" w:rsidP="00906335">
      <w:pPr>
        <w:tabs>
          <w:tab w:val="left" w:pos="567"/>
        </w:tabs>
        <w:autoSpaceDE w:val="0"/>
        <w:autoSpaceDN w:val="0"/>
        <w:adjustRightInd w:val="0"/>
        <w:ind w:left="567" w:hanging="567"/>
        <w:rPr>
          <w:rFonts w:cs="TimesNewRomanPS-BoldItalicMT"/>
          <w:bCs/>
          <w:iCs/>
          <w:szCs w:val="20"/>
        </w:rPr>
      </w:pPr>
      <w:r w:rsidRPr="009420EE">
        <w:rPr>
          <w:rFonts w:cs="TimesNewRomanPS-BoldItalicMT"/>
          <w:bCs/>
          <w:iCs/>
          <w:szCs w:val="20"/>
        </w:rPr>
        <w:t xml:space="preserve">(b) </w:t>
      </w:r>
      <w:r w:rsidRPr="009420EE">
        <w:rPr>
          <w:rFonts w:cs="TimesNewRomanPS-BoldItalicMT"/>
          <w:bCs/>
          <w:iCs/>
          <w:szCs w:val="20"/>
        </w:rPr>
        <w:tab/>
        <w:t xml:space="preserve">Lokalizacja. </w:t>
      </w:r>
    </w:p>
    <w:p w14:paraId="036D5C66" w14:textId="49C4F51B" w:rsidR="00906335" w:rsidRPr="009420EE" w:rsidRDefault="00906335" w:rsidP="00906335">
      <w:pPr>
        <w:tabs>
          <w:tab w:val="left" w:pos="1134"/>
        </w:tabs>
        <w:autoSpaceDE w:val="0"/>
        <w:autoSpaceDN w:val="0"/>
        <w:adjustRightInd w:val="0"/>
        <w:ind w:left="1134" w:hanging="567"/>
        <w:rPr>
          <w:rFonts w:cs="TimesNewRomanPS-BoldItalicMT"/>
          <w:bCs/>
          <w:iCs/>
          <w:szCs w:val="20"/>
        </w:rPr>
      </w:pPr>
      <w:r w:rsidRPr="009420EE">
        <w:rPr>
          <w:rFonts w:cs="TimesNewRomanPS-BoldItalicMT"/>
          <w:bCs/>
          <w:iCs/>
          <w:szCs w:val="20"/>
        </w:rPr>
        <w:t xml:space="preserve">(1) </w:t>
      </w:r>
      <w:r w:rsidRPr="009420EE">
        <w:rPr>
          <w:rFonts w:cs="TimesNewRomanPS-BoldItalicMT"/>
          <w:bCs/>
          <w:iCs/>
          <w:szCs w:val="20"/>
        </w:rPr>
        <w:tab/>
        <w:t>Wskaźnik kierunku wiatru powinien być umieszczony tak, aby wskazywać warunki wietrzne nad strefą FATO i TLOF, w taki sposób, aby był woln</w:t>
      </w:r>
      <w:r w:rsidR="009420EE" w:rsidRPr="009420EE">
        <w:rPr>
          <w:rFonts w:cs="TimesNewRomanPS-BoldItalicMT"/>
          <w:bCs/>
          <w:iCs/>
          <w:szCs w:val="20"/>
        </w:rPr>
        <w:t>y</w:t>
      </w:r>
      <w:r w:rsidRPr="009420EE">
        <w:rPr>
          <w:rFonts w:cs="TimesNewRomanPS-BoldItalicMT"/>
          <w:bCs/>
          <w:iCs/>
          <w:szCs w:val="20"/>
        </w:rPr>
        <w:t xml:space="preserve"> od skutków zaburzeń przepływu powietrza spowodowanych przez znajdujące się w pobliżu obiekty lub podmuchy wirnika śmigłowca. Wskaźnik powinien być widoczny ze śmigłowca w locie, w zawisie lub w polu </w:t>
      </w:r>
      <w:r w:rsidR="009420EE" w:rsidRPr="009420EE">
        <w:rPr>
          <w:rFonts w:cs="TimesNewRomanPS-BoldItalicMT"/>
          <w:bCs/>
          <w:iCs/>
          <w:szCs w:val="20"/>
        </w:rPr>
        <w:t>ruchu naziemnego</w:t>
      </w:r>
      <w:r w:rsidRPr="009420EE">
        <w:rPr>
          <w:rFonts w:cs="TimesNewRomanPS-BoldItalicMT"/>
          <w:bCs/>
          <w:iCs/>
          <w:szCs w:val="20"/>
        </w:rPr>
        <w:t>.</w:t>
      </w:r>
    </w:p>
    <w:p w14:paraId="4F8EE0EC" w14:textId="2A397259" w:rsidR="00906335" w:rsidRPr="009420EE" w:rsidRDefault="00906335" w:rsidP="00906335">
      <w:pPr>
        <w:tabs>
          <w:tab w:val="left" w:pos="1134"/>
        </w:tabs>
        <w:autoSpaceDE w:val="0"/>
        <w:autoSpaceDN w:val="0"/>
        <w:adjustRightInd w:val="0"/>
        <w:ind w:left="1134" w:hanging="567"/>
        <w:rPr>
          <w:rFonts w:cs="TimesNewRomanPS-BoldItalicMT"/>
          <w:bCs/>
          <w:iCs/>
          <w:szCs w:val="20"/>
        </w:rPr>
      </w:pPr>
      <w:r w:rsidRPr="009420EE">
        <w:rPr>
          <w:rFonts w:cs="TimesNewRomanPS-BoldItalicMT"/>
          <w:bCs/>
          <w:iCs/>
          <w:szCs w:val="20"/>
        </w:rPr>
        <w:t xml:space="preserve">(2) </w:t>
      </w:r>
      <w:r w:rsidRPr="009420EE">
        <w:rPr>
          <w:rFonts w:cs="TimesNewRomanPS-BoldItalicMT"/>
          <w:bCs/>
          <w:iCs/>
          <w:szCs w:val="20"/>
        </w:rPr>
        <w:tab/>
        <w:t>Jeśli strefa TLOF i/lub strefa FATO może podlegać zaburzeniom przepływu powietrza, to wtedy w pobliżu tej strefy należy zainstalować dodatkowe wskaźniki kierunku wiatru, aby wskazywały kierunek wiatru przy powierzchni na danym obszarze.</w:t>
      </w:r>
    </w:p>
    <w:p w14:paraId="6E69237C" w14:textId="6DF2CAC8" w:rsidR="00831791" w:rsidRPr="009420EE" w:rsidRDefault="00906335" w:rsidP="00906335">
      <w:pPr>
        <w:tabs>
          <w:tab w:val="left" w:pos="567"/>
        </w:tabs>
        <w:autoSpaceDE w:val="0"/>
        <w:autoSpaceDN w:val="0"/>
        <w:adjustRightInd w:val="0"/>
        <w:ind w:left="567" w:hanging="567"/>
        <w:rPr>
          <w:rFonts w:cs="TimesNewRomanPS-BoldItalicMT"/>
          <w:bCs/>
          <w:iCs/>
          <w:szCs w:val="20"/>
        </w:rPr>
      </w:pPr>
      <w:r w:rsidRPr="009420EE">
        <w:rPr>
          <w:rFonts w:cs="TimesNewRomanPS-BoldItalicMT"/>
          <w:bCs/>
          <w:iCs/>
          <w:szCs w:val="20"/>
        </w:rPr>
        <w:t xml:space="preserve">(c) </w:t>
      </w:r>
      <w:r w:rsidRPr="009420EE">
        <w:rPr>
          <w:rFonts w:cs="TimesNewRomanPS-BoldItalicMT"/>
          <w:bCs/>
          <w:iCs/>
          <w:szCs w:val="20"/>
        </w:rPr>
        <w:tab/>
        <w:t>Charakterystyka:</w:t>
      </w:r>
    </w:p>
    <w:p w14:paraId="27F72BC6" w14:textId="1559109C" w:rsidR="00906335" w:rsidRPr="009420EE" w:rsidRDefault="00C07252" w:rsidP="00906335">
      <w:pPr>
        <w:tabs>
          <w:tab w:val="left" w:pos="1134"/>
        </w:tabs>
        <w:autoSpaceDE w:val="0"/>
        <w:autoSpaceDN w:val="0"/>
        <w:adjustRightInd w:val="0"/>
        <w:ind w:left="1134" w:hanging="567"/>
        <w:rPr>
          <w:rFonts w:cs="TimesNewRomanPS-BoldItalicMT"/>
          <w:bCs/>
          <w:iCs/>
          <w:szCs w:val="20"/>
        </w:rPr>
      </w:pPr>
      <w:r w:rsidRPr="009420EE">
        <w:rPr>
          <w:rFonts w:cs="TimesNewRomanPS-BoldItalicMT"/>
          <w:bCs/>
          <w:iCs/>
          <w:szCs w:val="20"/>
        </w:rPr>
        <w:t xml:space="preserve">(1) </w:t>
      </w:r>
      <w:r w:rsidRPr="009420EE">
        <w:rPr>
          <w:rFonts w:cs="TimesNewRomanPS-BoldItalicMT"/>
          <w:bCs/>
          <w:iCs/>
          <w:szCs w:val="20"/>
        </w:rPr>
        <w:tab/>
      </w:r>
      <w:r w:rsidR="00906335" w:rsidRPr="009420EE">
        <w:rPr>
          <w:rFonts w:cs="TimesNewRomanPS-BoldItalicMT"/>
          <w:bCs/>
          <w:iCs/>
          <w:szCs w:val="20"/>
        </w:rPr>
        <w:t>Wskaźnik kierunku wiatru powinien wyraźnie w</w:t>
      </w:r>
      <w:r w:rsidRPr="009420EE">
        <w:rPr>
          <w:rFonts w:cs="TimesNewRomanPS-BoldItalicMT"/>
          <w:bCs/>
          <w:iCs/>
          <w:szCs w:val="20"/>
        </w:rPr>
        <w:t xml:space="preserve">skazywać kierunek wiatru i </w:t>
      </w:r>
      <w:r w:rsidR="009420EE" w:rsidRPr="009420EE">
        <w:rPr>
          <w:rFonts w:cs="TimesNewRomanPS-BoldItalicMT"/>
          <w:bCs/>
          <w:iCs/>
          <w:szCs w:val="20"/>
        </w:rPr>
        <w:t xml:space="preserve">dawać </w:t>
      </w:r>
      <w:r w:rsidR="00906335" w:rsidRPr="009420EE">
        <w:rPr>
          <w:rFonts w:cs="TimesNewRomanPS-BoldItalicMT"/>
          <w:bCs/>
          <w:iCs/>
          <w:szCs w:val="20"/>
        </w:rPr>
        <w:t>ogóln</w:t>
      </w:r>
      <w:r w:rsidR="009420EE" w:rsidRPr="009420EE">
        <w:rPr>
          <w:rFonts w:cs="TimesNewRomanPS-BoldItalicMT"/>
          <w:bCs/>
          <w:iCs/>
          <w:szCs w:val="20"/>
        </w:rPr>
        <w:t>ą informację o</w:t>
      </w:r>
      <w:r w:rsidR="00906335" w:rsidRPr="009420EE">
        <w:rPr>
          <w:rFonts w:cs="TimesNewRomanPS-BoldItalicMT"/>
          <w:bCs/>
          <w:iCs/>
          <w:szCs w:val="20"/>
        </w:rPr>
        <w:t xml:space="preserve"> prędkości wiatru. </w:t>
      </w:r>
    </w:p>
    <w:p w14:paraId="7C802649" w14:textId="2C6251E9" w:rsidR="00C07252" w:rsidRPr="009420EE" w:rsidRDefault="00C07252" w:rsidP="00C07252">
      <w:pPr>
        <w:tabs>
          <w:tab w:val="left" w:pos="1134"/>
        </w:tabs>
        <w:autoSpaceDE w:val="0"/>
        <w:autoSpaceDN w:val="0"/>
        <w:adjustRightInd w:val="0"/>
        <w:ind w:left="1134" w:hanging="567"/>
        <w:rPr>
          <w:rFonts w:cs="TimesNewRomanPS-BoldItalicMT"/>
          <w:bCs/>
          <w:iCs/>
          <w:szCs w:val="20"/>
        </w:rPr>
      </w:pPr>
      <w:r w:rsidRPr="009420EE">
        <w:rPr>
          <w:rFonts w:cs="TimesNewRomanPS-BoldItalicMT"/>
          <w:bCs/>
          <w:iCs/>
          <w:szCs w:val="20"/>
        </w:rPr>
        <w:t xml:space="preserve">(2) </w:t>
      </w:r>
      <w:r w:rsidRPr="009420EE">
        <w:rPr>
          <w:rFonts w:cs="TimesNewRomanPS-BoldItalicMT"/>
          <w:bCs/>
          <w:iCs/>
          <w:szCs w:val="20"/>
        </w:rPr>
        <w:tab/>
        <w:t>Wskaźnik kierunku wiatru dla lotniska dla śmigłowców powinien być stożkiem ściętym, wykonanym z lekkiej tkaniny i powinien mieć następujące minimalne wymiary:</w:t>
      </w:r>
    </w:p>
    <w:p w14:paraId="36207FFA" w14:textId="27B19F75" w:rsidR="00C07252" w:rsidRPr="009420EE" w:rsidRDefault="00C07252" w:rsidP="00C07252">
      <w:pPr>
        <w:tabs>
          <w:tab w:val="left" w:pos="1701"/>
        </w:tabs>
        <w:autoSpaceDE w:val="0"/>
        <w:autoSpaceDN w:val="0"/>
        <w:adjustRightInd w:val="0"/>
        <w:ind w:left="1701" w:hanging="567"/>
        <w:rPr>
          <w:rFonts w:cs="TimesNewRomanPS-BoldItalicMT"/>
          <w:bCs/>
          <w:iCs/>
          <w:szCs w:val="20"/>
        </w:rPr>
      </w:pPr>
      <w:r w:rsidRPr="009420EE">
        <w:rPr>
          <w:rFonts w:cs="TimesNewRomanPS-BoldItalicMT"/>
          <w:bCs/>
          <w:iCs/>
          <w:szCs w:val="20"/>
        </w:rPr>
        <w:t xml:space="preserve">(i) </w:t>
      </w:r>
      <w:r w:rsidRPr="009420EE">
        <w:rPr>
          <w:rFonts w:cs="TimesNewRomanPS-BoldItalicMT"/>
          <w:bCs/>
          <w:iCs/>
          <w:szCs w:val="20"/>
        </w:rPr>
        <w:tab/>
        <w:t>Długość 2,4 m,</w:t>
      </w:r>
    </w:p>
    <w:p w14:paraId="10BA087D" w14:textId="063915DD" w:rsidR="00C07252" w:rsidRPr="009420EE" w:rsidRDefault="00C07252" w:rsidP="00C07252">
      <w:pPr>
        <w:tabs>
          <w:tab w:val="left" w:pos="1701"/>
        </w:tabs>
        <w:autoSpaceDE w:val="0"/>
        <w:autoSpaceDN w:val="0"/>
        <w:adjustRightInd w:val="0"/>
        <w:ind w:left="1701" w:hanging="567"/>
        <w:rPr>
          <w:rFonts w:cs="TimesNewRomanPS-BoldItalicMT"/>
          <w:bCs/>
          <w:iCs/>
          <w:szCs w:val="20"/>
        </w:rPr>
      </w:pPr>
      <w:r w:rsidRPr="009420EE">
        <w:rPr>
          <w:rFonts w:cs="TimesNewRomanPS-BoldItalicMT"/>
          <w:bCs/>
          <w:iCs/>
          <w:szCs w:val="20"/>
        </w:rPr>
        <w:t xml:space="preserve">(ii) </w:t>
      </w:r>
      <w:r w:rsidRPr="009420EE">
        <w:rPr>
          <w:rFonts w:cs="TimesNewRomanPS-BoldItalicMT"/>
          <w:bCs/>
          <w:iCs/>
          <w:szCs w:val="20"/>
        </w:rPr>
        <w:tab/>
        <w:t>Średnica (większy koniec) 0,6 m, oraz</w:t>
      </w:r>
    </w:p>
    <w:p w14:paraId="6842A828" w14:textId="2C896DA5" w:rsidR="00C07252" w:rsidRPr="009420EE" w:rsidRDefault="00C07252" w:rsidP="00C07252">
      <w:pPr>
        <w:tabs>
          <w:tab w:val="left" w:pos="1701"/>
        </w:tabs>
        <w:autoSpaceDE w:val="0"/>
        <w:autoSpaceDN w:val="0"/>
        <w:adjustRightInd w:val="0"/>
        <w:ind w:left="1701" w:hanging="567"/>
        <w:rPr>
          <w:rFonts w:cs="TimesNewRomanPS-BoldItalicMT"/>
          <w:bCs/>
          <w:iCs/>
          <w:szCs w:val="20"/>
        </w:rPr>
      </w:pPr>
      <w:r w:rsidRPr="009420EE">
        <w:rPr>
          <w:rFonts w:cs="TimesNewRomanPS-BoldItalicMT"/>
          <w:bCs/>
          <w:iCs/>
          <w:szCs w:val="20"/>
        </w:rPr>
        <w:t xml:space="preserve">(iii) </w:t>
      </w:r>
      <w:r w:rsidRPr="009420EE">
        <w:rPr>
          <w:rFonts w:cs="TimesNewRomanPS-BoldItalicMT"/>
          <w:bCs/>
          <w:iCs/>
          <w:szCs w:val="20"/>
        </w:rPr>
        <w:tab/>
        <w:t>Średnica (mniejszy koniec) 0,3 m.</w:t>
      </w:r>
    </w:p>
    <w:p w14:paraId="65E91AD9" w14:textId="77777777" w:rsidR="002D11DC" w:rsidRPr="009420EE" w:rsidRDefault="00C07252" w:rsidP="00C07252">
      <w:pPr>
        <w:tabs>
          <w:tab w:val="left" w:pos="1134"/>
        </w:tabs>
        <w:autoSpaceDE w:val="0"/>
        <w:autoSpaceDN w:val="0"/>
        <w:adjustRightInd w:val="0"/>
        <w:ind w:left="1134" w:hanging="567"/>
        <w:rPr>
          <w:rFonts w:cs="TimesNewRomanPS-BoldItalicMT"/>
          <w:bCs/>
          <w:iCs/>
          <w:szCs w:val="20"/>
        </w:rPr>
      </w:pPr>
      <w:r w:rsidRPr="009420EE">
        <w:rPr>
          <w:rFonts w:cs="TimesNewRomanPS-BoldItalicMT"/>
          <w:bCs/>
          <w:iCs/>
          <w:szCs w:val="20"/>
        </w:rPr>
        <w:t xml:space="preserve">(3) </w:t>
      </w:r>
      <w:r w:rsidRPr="009420EE">
        <w:rPr>
          <w:rFonts w:cs="TimesNewRomanPS-BoldItalicMT"/>
          <w:bCs/>
          <w:iCs/>
          <w:szCs w:val="20"/>
        </w:rPr>
        <w:tab/>
      </w:r>
      <w:r w:rsidR="00906335" w:rsidRPr="009420EE">
        <w:rPr>
          <w:rFonts w:cs="TimesNewRomanPS-BoldItalicMT"/>
          <w:bCs/>
          <w:iCs/>
          <w:szCs w:val="20"/>
        </w:rPr>
        <w:t>Kolor wskaźnika kierunku wiatru powinien być tak dobrany, aby wskaźnik był wyraźnie widoczny</w:t>
      </w:r>
      <w:r w:rsidR="002D11DC" w:rsidRPr="009420EE">
        <w:rPr>
          <w:rFonts w:cs="TimesNewRomanPS-BoldItalicMT"/>
          <w:bCs/>
          <w:iCs/>
          <w:szCs w:val="20"/>
        </w:rPr>
        <w:t>, a jego wskazania</w:t>
      </w:r>
      <w:r w:rsidR="00906335" w:rsidRPr="009420EE">
        <w:rPr>
          <w:rFonts w:cs="TimesNewRomanPS-BoldItalicMT"/>
          <w:bCs/>
          <w:iCs/>
          <w:szCs w:val="20"/>
        </w:rPr>
        <w:t xml:space="preserve"> </w:t>
      </w:r>
      <w:r w:rsidR="002D11DC" w:rsidRPr="009420EE">
        <w:rPr>
          <w:rFonts w:cs="TimesNewRomanPS-BoldItalicMT"/>
          <w:bCs/>
          <w:iCs/>
          <w:szCs w:val="20"/>
        </w:rPr>
        <w:t>zrozumiane</w:t>
      </w:r>
      <w:r w:rsidR="00906335" w:rsidRPr="009420EE">
        <w:rPr>
          <w:rFonts w:cs="TimesNewRomanPS-BoldItalicMT"/>
          <w:bCs/>
          <w:iCs/>
          <w:szCs w:val="20"/>
        </w:rPr>
        <w:t xml:space="preserve"> z wysokości, co najmniej 200 m (650 ft) nad lotniskiem dla śmigłowców, przy uwzględnieniu barwy otaczającego tła.</w:t>
      </w:r>
    </w:p>
    <w:p w14:paraId="56FB4CE9" w14:textId="77777777" w:rsidR="002D11DC" w:rsidRPr="009420EE" w:rsidRDefault="002D11DC" w:rsidP="002D11DC">
      <w:pPr>
        <w:tabs>
          <w:tab w:val="left" w:pos="1701"/>
        </w:tabs>
        <w:autoSpaceDE w:val="0"/>
        <w:autoSpaceDN w:val="0"/>
        <w:adjustRightInd w:val="0"/>
        <w:ind w:left="1701" w:hanging="567"/>
        <w:rPr>
          <w:rFonts w:cs="TimesNewRomanPS-BoldItalicMT"/>
          <w:bCs/>
          <w:iCs/>
          <w:szCs w:val="20"/>
        </w:rPr>
      </w:pPr>
      <w:r w:rsidRPr="009420EE">
        <w:rPr>
          <w:rFonts w:cs="TimesNewRomanPS-BoldItalicMT"/>
          <w:bCs/>
          <w:iCs/>
          <w:szCs w:val="20"/>
        </w:rPr>
        <w:t xml:space="preserve">(i) </w:t>
      </w:r>
      <w:r w:rsidRPr="009420EE">
        <w:rPr>
          <w:rFonts w:cs="TimesNewRomanPS-BoldItalicMT"/>
          <w:bCs/>
          <w:iCs/>
          <w:szCs w:val="20"/>
        </w:rPr>
        <w:tab/>
      </w:r>
      <w:r w:rsidR="00906335" w:rsidRPr="009420EE">
        <w:rPr>
          <w:rFonts w:cs="TimesNewRomanPS-BoldItalicMT"/>
          <w:bCs/>
          <w:iCs/>
          <w:szCs w:val="20"/>
        </w:rPr>
        <w:t xml:space="preserve">Jeżeli jest to możliwe, </w:t>
      </w:r>
      <w:r w:rsidRPr="009420EE">
        <w:rPr>
          <w:rFonts w:cs="TimesNewRomanPS-BoldItalicMT"/>
          <w:bCs/>
          <w:iCs/>
          <w:szCs w:val="20"/>
        </w:rPr>
        <w:t xml:space="preserve">należy użyć </w:t>
      </w:r>
      <w:r w:rsidR="00906335" w:rsidRPr="009420EE">
        <w:rPr>
          <w:rFonts w:cs="TimesNewRomanPS-BoldItalicMT"/>
          <w:bCs/>
          <w:iCs/>
          <w:szCs w:val="20"/>
        </w:rPr>
        <w:t>pojedyncz</w:t>
      </w:r>
      <w:r w:rsidRPr="009420EE">
        <w:rPr>
          <w:rFonts w:cs="TimesNewRomanPS-BoldItalicMT"/>
          <w:bCs/>
          <w:iCs/>
          <w:szCs w:val="20"/>
        </w:rPr>
        <w:t>ego</w:t>
      </w:r>
      <w:r w:rsidR="00906335" w:rsidRPr="009420EE">
        <w:rPr>
          <w:rFonts w:cs="TimesNewRomanPS-BoldItalicMT"/>
          <w:bCs/>
          <w:iCs/>
          <w:szCs w:val="20"/>
        </w:rPr>
        <w:t xml:space="preserve"> kolor</w:t>
      </w:r>
      <w:r w:rsidRPr="009420EE">
        <w:rPr>
          <w:rFonts w:cs="TimesNewRomanPS-BoldItalicMT"/>
          <w:bCs/>
          <w:iCs/>
          <w:szCs w:val="20"/>
        </w:rPr>
        <w:t>u</w:t>
      </w:r>
      <w:r w:rsidR="00906335" w:rsidRPr="009420EE">
        <w:rPr>
          <w:rFonts w:cs="TimesNewRomanPS-BoldItalicMT"/>
          <w:bCs/>
          <w:iCs/>
          <w:szCs w:val="20"/>
        </w:rPr>
        <w:t>, najlepiej biał</w:t>
      </w:r>
      <w:r w:rsidRPr="009420EE">
        <w:rPr>
          <w:rFonts w:cs="TimesNewRomanPS-BoldItalicMT"/>
          <w:bCs/>
          <w:iCs/>
          <w:szCs w:val="20"/>
        </w:rPr>
        <w:t>ego</w:t>
      </w:r>
      <w:r w:rsidR="00906335" w:rsidRPr="009420EE">
        <w:rPr>
          <w:rFonts w:cs="TimesNewRomanPS-BoldItalicMT"/>
          <w:bCs/>
          <w:iCs/>
          <w:szCs w:val="20"/>
        </w:rPr>
        <w:t xml:space="preserve"> lub pomarańczow</w:t>
      </w:r>
      <w:r w:rsidRPr="009420EE">
        <w:rPr>
          <w:rFonts w:cs="TimesNewRomanPS-BoldItalicMT"/>
          <w:bCs/>
          <w:iCs/>
          <w:szCs w:val="20"/>
        </w:rPr>
        <w:t>ego</w:t>
      </w:r>
      <w:r w:rsidR="00906335" w:rsidRPr="009420EE">
        <w:rPr>
          <w:rFonts w:cs="TimesNewRomanPS-BoldItalicMT"/>
          <w:bCs/>
          <w:iCs/>
          <w:szCs w:val="20"/>
        </w:rPr>
        <w:t xml:space="preserve">. </w:t>
      </w:r>
    </w:p>
    <w:p w14:paraId="5CD43602" w14:textId="5C4B23D8" w:rsidR="00906335" w:rsidRPr="009420EE" w:rsidRDefault="002D11DC" w:rsidP="002D11DC">
      <w:pPr>
        <w:tabs>
          <w:tab w:val="left" w:pos="1701"/>
        </w:tabs>
        <w:autoSpaceDE w:val="0"/>
        <w:autoSpaceDN w:val="0"/>
        <w:adjustRightInd w:val="0"/>
        <w:ind w:left="1701" w:hanging="567"/>
        <w:rPr>
          <w:rFonts w:cs="TimesNewRomanPS-BoldItalicMT"/>
          <w:bCs/>
          <w:iCs/>
          <w:szCs w:val="20"/>
        </w:rPr>
      </w:pPr>
      <w:r w:rsidRPr="009420EE">
        <w:rPr>
          <w:rFonts w:cs="TimesNewRomanPS-BoldItalicMT"/>
          <w:bCs/>
          <w:iCs/>
          <w:szCs w:val="20"/>
        </w:rPr>
        <w:t xml:space="preserve">(ii) </w:t>
      </w:r>
      <w:r w:rsidRPr="009420EE">
        <w:rPr>
          <w:rFonts w:cs="TimesNewRomanPS-BoldItalicMT"/>
          <w:bCs/>
          <w:iCs/>
          <w:szCs w:val="20"/>
        </w:rPr>
        <w:tab/>
      </w:r>
      <w:r w:rsidR="00906335" w:rsidRPr="009420EE">
        <w:rPr>
          <w:rFonts w:cs="TimesNewRomanPS-BoldItalicMT"/>
          <w:bCs/>
          <w:iCs/>
          <w:szCs w:val="20"/>
        </w:rPr>
        <w:t xml:space="preserve">Jeżeli zachodzi konieczność zastosowania </w:t>
      </w:r>
      <w:r w:rsidRPr="009420EE">
        <w:rPr>
          <w:rFonts w:cs="TimesNewRomanPS-BoldItalicMT"/>
          <w:bCs/>
          <w:iCs/>
          <w:szCs w:val="20"/>
        </w:rPr>
        <w:t>kombinacji</w:t>
      </w:r>
      <w:r w:rsidR="00906335" w:rsidRPr="009420EE">
        <w:rPr>
          <w:rFonts w:cs="TimesNewRomanPS-BoldItalicMT"/>
          <w:bCs/>
          <w:iCs/>
          <w:szCs w:val="20"/>
        </w:rPr>
        <w:t xml:space="preserve"> dwóch kolorów, w cel</w:t>
      </w:r>
      <w:r w:rsidRPr="009420EE">
        <w:rPr>
          <w:rFonts w:cs="TimesNewRomanPS-BoldItalicMT"/>
          <w:bCs/>
          <w:iCs/>
          <w:szCs w:val="20"/>
        </w:rPr>
        <w:t>u</w:t>
      </w:r>
      <w:r w:rsidR="00906335" w:rsidRPr="009420EE">
        <w:rPr>
          <w:rFonts w:cs="TimesNewRomanPS-BoldItalicMT"/>
          <w:bCs/>
          <w:iCs/>
          <w:szCs w:val="20"/>
        </w:rPr>
        <w:t xml:space="preserve"> odróżnienia wskaźnika kierunku wiatru od </w:t>
      </w:r>
      <w:r w:rsidRPr="009420EE">
        <w:rPr>
          <w:rFonts w:cs="TimesNewRomanPS-BoldItalicMT"/>
          <w:bCs/>
          <w:iCs/>
          <w:szCs w:val="20"/>
        </w:rPr>
        <w:t xml:space="preserve">zmieniającego się </w:t>
      </w:r>
      <w:r w:rsidR="00906335" w:rsidRPr="009420EE">
        <w:rPr>
          <w:rFonts w:cs="TimesNewRomanPS-BoldItalicMT"/>
          <w:bCs/>
          <w:iCs/>
          <w:szCs w:val="20"/>
        </w:rPr>
        <w:t xml:space="preserve">tła, </w:t>
      </w:r>
      <w:r w:rsidRPr="009420EE">
        <w:rPr>
          <w:rFonts w:cs="TimesNewRomanPS-BoldItalicMT"/>
          <w:bCs/>
          <w:iCs/>
          <w:szCs w:val="20"/>
        </w:rPr>
        <w:t xml:space="preserve">to zaleca się zastosowanie kolorów </w:t>
      </w:r>
      <w:r w:rsidR="00906335" w:rsidRPr="009420EE">
        <w:rPr>
          <w:rFonts w:cs="TimesNewRomanPS-BoldItalicMT"/>
          <w:bCs/>
          <w:iCs/>
          <w:szCs w:val="20"/>
        </w:rPr>
        <w:t>pomarańczowy z białym, czerwony z białym</w:t>
      </w:r>
      <w:r w:rsidR="00F52490" w:rsidRPr="009420EE">
        <w:rPr>
          <w:rFonts w:cs="TimesNewRomanPS-BoldItalicMT"/>
          <w:bCs/>
          <w:iCs/>
          <w:szCs w:val="20"/>
        </w:rPr>
        <w:t xml:space="preserve"> lub czarny z białym, i powinny być </w:t>
      </w:r>
      <w:r w:rsidR="00906335" w:rsidRPr="009420EE">
        <w:rPr>
          <w:rFonts w:cs="TimesNewRomanPS-BoldItalicMT"/>
          <w:bCs/>
          <w:iCs/>
          <w:szCs w:val="20"/>
        </w:rPr>
        <w:t>u</w:t>
      </w:r>
      <w:r w:rsidR="00F52490" w:rsidRPr="009420EE">
        <w:rPr>
          <w:rFonts w:cs="TimesNewRomanPS-BoldItalicMT"/>
          <w:bCs/>
          <w:iCs/>
          <w:szCs w:val="20"/>
        </w:rPr>
        <w:t>łożone</w:t>
      </w:r>
      <w:r w:rsidR="00906335" w:rsidRPr="009420EE">
        <w:rPr>
          <w:rFonts w:cs="TimesNewRomanPS-BoldItalicMT"/>
          <w:bCs/>
          <w:iCs/>
          <w:szCs w:val="20"/>
        </w:rPr>
        <w:t xml:space="preserve"> w formie pięciu pasów z dwóch kolorów na przemian, przy czym pas pierwszy i ostatni pow</w:t>
      </w:r>
      <w:r w:rsidR="00F52490" w:rsidRPr="009420EE">
        <w:rPr>
          <w:rFonts w:cs="TimesNewRomanPS-BoldItalicMT"/>
          <w:bCs/>
          <w:iCs/>
          <w:szCs w:val="20"/>
        </w:rPr>
        <w:t>inien być koloru ciemniejszego.</w:t>
      </w:r>
    </w:p>
    <w:p w14:paraId="08C3B5B5" w14:textId="62CAD32C" w:rsidR="00831791" w:rsidRPr="009420EE" w:rsidRDefault="009420EE" w:rsidP="00F52490">
      <w:pPr>
        <w:tabs>
          <w:tab w:val="left" w:pos="567"/>
        </w:tabs>
        <w:autoSpaceDE w:val="0"/>
        <w:autoSpaceDN w:val="0"/>
        <w:adjustRightInd w:val="0"/>
        <w:ind w:left="567" w:hanging="567"/>
        <w:rPr>
          <w:rFonts w:cs="TimesNewRomanPS-BoldItalicMT"/>
          <w:bCs/>
          <w:iCs/>
          <w:szCs w:val="20"/>
        </w:rPr>
      </w:pPr>
      <w:r>
        <w:rPr>
          <w:rFonts w:cs="TimesNewRomanPS-BoldItalicMT"/>
          <w:bCs/>
          <w:iCs/>
          <w:szCs w:val="20"/>
        </w:rPr>
        <w:t>(d</w:t>
      </w:r>
      <w:r w:rsidR="00F52490" w:rsidRPr="009420EE">
        <w:rPr>
          <w:rFonts w:cs="TimesNewRomanPS-BoldItalicMT"/>
          <w:bCs/>
          <w:iCs/>
          <w:szCs w:val="20"/>
        </w:rPr>
        <w:t xml:space="preserve">) </w:t>
      </w:r>
      <w:r w:rsidR="00F52490" w:rsidRPr="009420EE">
        <w:rPr>
          <w:rFonts w:cs="TimesNewRomanPS-BoldItalicMT"/>
          <w:bCs/>
          <w:iCs/>
          <w:szCs w:val="20"/>
        </w:rPr>
        <w:tab/>
      </w:r>
      <w:r w:rsidR="00906335" w:rsidRPr="009420EE">
        <w:rPr>
          <w:rFonts w:cs="TimesNewRomanPS-BoldItalicMT"/>
          <w:bCs/>
          <w:iCs/>
          <w:szCs w:val="20"/>
        </w:rPr>
        <w:t>Na lotnisku przeznaczonym do użytkowania w nocy, wskaźnik kierunku wiatru powinien</w:t>
      </w:r>
      <w:r w:rsidR="00F52490" w:rsidRPr="009420EE">
        <w:rPr>
          <w:rFonts w:cs="TimesNewRomanPS-BoldItalicMT"/>
          <w:bCs/>
          <w:iCs/>
          <w:szCs w:val="20"/>
        </w:rPr>
        <w:t xml:space="preserve"> być oświetlony.</w:t>
      </w:r>
    </w:p>
    <w:p w14:paraId="38513998" w14:textId="6CF4E223" w:rsidR="00831791" w:rsidRPr="003832F2" w:rsidRDefault="00831791" w:rsidP="00F52490">
      <w:pPr>
        <w:pStyle w:val="Nagwek4"/>
      </w:pPr>
      <w:bookmarkStart w:id="1920" w:name="_Toc12533372"/>
      <w:r w:rsidRPr="003832F2">
        <w:t>CS HPT-DSN.F.5</w:t>
      </w:r>
      <w:r w:rsidR="002E5C48" w:rsidRPr="003832F2">
        <w:t>2</w:t>
      </w:r>
      <w:r w:rsidRPr="003832F2">
        <w:t xml:space="preserve">0     </w:t>
      </w:r>
      <w:r w:rsidR="002E5C48" w:rsidRPr="003832F2">
        <w:t>Znak identyfikacji lotniska dla śmigłowców</w:t>
      </w:r>
      <w:bookmarkEnd w:id="1920"/>
    </w:p>
    <w:p w14:paraId="1F1B4820" w14:textId="2A2BA89B"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7547CF4" w14:textId="7E6E7CFF" w:rsidR="00F52490" w:rsidRPr="00E015D5" w:rsidRDefault="00831791" w:rsidP="00F52490">
      <w:pPr>
        <w:tabs>
          <w:tab w:val="left" w:pos="567"/>
        </w:tabs>
        <w:autoSpaceDE w:val="0"/>
        <w:autoSpaceDN w:val="0"/>
        <w:adjustRightInd w:val="0"/>
        <w:ind w:left="567" w:hanging="567"/>
        <w:rPr>
          <w:rFonts w:cs="TimesNewRomanPS-BoldItalicMT"/>
          <w:bCs/>
          <w:iCs/>
          <w:szCs w:val="20"/>
        </w:rPr>
      </w:pPr>
      <w:r w:rsidRPr="00E015D5">
        <w:rPr>
          <w:rFonts w:cs="TimesNewRomanPS-BoldItalicMT"/>
          <w:bCs/>
          <w:iCs/>
          <w:szCs w:val="20"/>
        </w:rPr>
        <w:t>(a)</w:t>
      </w:r>
      <w:r w:rsidRPr="00E015D5">
        <w:rPr>
          <w:rFonts w:cs="TimesNewRomanPS-BoldItalicMT"/>
          <w:bCs/>
          <w:iCs/>
          <w:szCs w:val="20"/>
        </w:rPr>
        <w:tab/>
      </w:r>
      <w:r w:rsidR="00F52490" w:rsidRPr="00E015D5">
        <w:rPr>
          <w:rFonts w:cs="TimesNewRomanPS-BoldItalicMT"/>
          <w:bCs/>
          <w:iCs/>
          <w:szCs w:val="20"/>
        </w:rPr>
        <w:t>Zastosowanie: Lotnisko dla śmigłowców powinno mieć znak identyfikacji.</w:t>
      </w:r>
    </w:p>
    <w:p w14:paraId="3535F7CE" w14:textId="77777777" w:rsidR="00F52490" w:rsidRPr="00E015D5" w:rsidRDefault="00F52490" w:rsidP="00F52490">
      <w:pPr>
        <w:tabs>
          <w:tab w:val="left" w:pos="567"/>
        </w:tabs>
        <w:autoSpaceDE w:val="0"/>
        <w:autoSpaceDN w:val="0"/>
        <w:adjustRightInd w:val="0"/>
        <w:ind w:left="567" w:hanging="567"/>
        <w:rPr>
          <w:rFonts w:cs="TimesNewRomanPS-BoldItalicMT"/>
          <w:bCs/>
          <w:iCs/>
          <w:szCs w:val="20"/>
        </w:rPr>
      </w:pPr>
      <w:r w:rsidRPr="00E015D5">
        <w:rPr>
          <w:rFonts w:cs="TimesNewRomanPS-BoldItalicMT"/>
          <w:bCs/>
          <w:iCs/>
          <w:szCs w:val="20"/>
        </w:rPr>
        <w:t xml:space="preserve">(b) </w:t>
      </w:r>
      <w:r w:rsidRPr="00E015D5">
        <w:rPr>
          <w:rFonts w:cs="TimesNewRomanPS-BoldItalicMT"/>
          <w:bCs/>
          <w:iCs/>
          <w:szCs w:val="20"/>
        </w:rPr>
        <w:tab/>
        <w:t>Lokalizacja:</w:t>
      </w:r>
    </w:p>
    <w:p w14:paraId="78E49A6D" w14:textId="03790D50" w:rsidR="00F52490" w:rsidRPr="00E015D5" w:rsidRDefault="00F52490" w:rsidP="00F52490">
      <w:pPr>
        <w:tabs>
          <w:tab w:val="left" w:pos="1134"/>
        </w:tabs>
        <w:autoSpaceDE w:val="0"/>
        <w:autoSpaceDN w:val="0"/>
        <w:adjustRightInd w:val="0"/>
        <w:ind w:left="1134" w:hanging="567"/>
        <w:rPr>
          <w:rFonts w:cs="TimesNewRomanPS-BoldItalicMT"/>
          <w:bCs/>
          <w:iCs/>
          <w:szCs w:val="20"/>
        </w:rPr>
      </w:pPr>
      <w:r w:rsidRPr="00E015D5">
        <w:rPr>
          <w:rFonts w:cs="TimesNewRomanPS-BoldItalicMT"/>
          <w:bCs/>
          <w:iCs/>
          <w:szCs w:val="20"/>
        </w:rPr>
        <w:t xml:space="preserve">(1) </w:t>
      </w:r>
      <w:r w:rsidRPr="00E015D5">
        <w:rPr>
          <w:rFonts w:cs="TimesNewRomanPS-BoldItalicMT"/>
          <w:bCs/>
          <w:iCs/>
          <w:szCs w:val="20"/>
        </w:rPr>
        <w:tab/>
        <w:t>Dla strefy FATO typu droga startowa.</w:t>
      </w:r>
    </w:p>
    <w:p w14:paraId="2ACBF6EE" w14:textId="099994AC" w:rsidR="006C1890" w:rsidRPr="00E015D5" w:rsidRDefault="006C1890" w:rsidP="00F17233">
      <w:pPr>
        <w:autoSpaceDE w:val="0"/>
        <w:autoSpaceDN w:val="0"/>
        <w:adjustRightInd w:val="0"/>
        <w:ind w:left="1134"/>
        <w:rPr>
          <w:rFonts w:cs="TimesNewRomanPS-BoldItalicMT"/>
          <w:bCs/>
        </w:rPr>
      </w:pPr>
      <w:r w:rsidRPr="00E015D5">
        <w:rPr>
          <w:rFonts w:cs="TimesNewRomanPS-BoldItalicMT"/>
          <w:bCs/>
        </w:rPr>
        <w:t xml:space="preserve">Znak identyfikacji lotniska dla śmigłowców powinien być </w:t>
      </w:r>
      <w:r w:rsidR="00E015D5" w:rsidRPr="00E015D5">
        <w:rPr>
          <w:rFonts w:cs="TimesNewRomanPS-BoldItalicMT"/>
          <w:bCs/>
        </w:rPr>
        <w:t>zlokalizowany w strefie FATO, a </w:t>
      </w:r>
      <w:r w:rsidRPr="00E015D5">
        <w:rPr>
          <w:rFonts w:cs="TimesNewRomanPS-BoldItalicMT"/>
          <w:bCs/>
        </w:rPr>
        <w:t>gdy występuje wspólnie z oznaczeniem identyfikacji strefy FATO, to powinien być umieszczony na każdym końcu tej strefy (patrz Rysunek F-2).</w:t>
      </w:r>
    </w:p>
    <w:p w14:paraId="3293B522" w14:textId="413E0343" w:rsidR="00F17233" w:rsidRPr="00E015D5" w:rsidRDefault="00F17233" w:rsidP="00F17233">
      <w:pPr>
        <w:tabs>
          <w:tab w:val="left" w:pos="1134"/>
        </w:tabs>
        <w:autoSpaceDE w:val="0"/>
        <w:autoSpaceDN w:val="0"/>
        <w:adjustRightInd w:val="0"/>
        <w:ind w:left="1134" w:hanging="567"/>
        <w:rPr>
          <w:rFonts w:cs="TimesNewRomanPS-BoldItalicMT"/>
          <w:bCs/>
          <w:iCs/>
          <w:szCs w:val="20"/>
        </w:rPr>
      </w:pPr>
      <w:r w:rsidRPr="00E015D5">
        <w:rPr>
          <w:rFonts w:cs="TimesNewRomanPS-BoldItalicMT"/>
          <w:bCs/>
          <w:iCs/>
          <w:szCs w:val="20"/>
        </w:rPr>
        <w:t xml:space="preserve">(2) </w:t>
      </w:r>
      <w:r w:rsidRPr="00E015D5">
        <w:rPr>
          <w:rFonts w:cs="TimesNewRomanPS-BoldItalicMT"/>
          <w:bCs/>
          <w:iCs/>
          <w:szCs w:val="20"/>
        </w:rPr>
        <w:tab/>
        <w:t>Dla wszystkich stref FATO, z wyjątkiem FATO typu droga startowa.</w:t>
      </w:r>
    </w:p>
    <w:p w14:paraId="6798B476" w14:textId="6EFDBA89" w:rsidR="00F17233" w:rsidRPr="00E015D5" w:rsidRDefault="00F17233" w:rsidP="00F17233">
      <w:pPr>
        <w:tabs>
          <w:tab w:val="left" w:pos="1701"/>
        </w:tabs>
        <w:autoSpaceDE w:val="0"/>
        <w:autoSpaceDN w:val="0"/>
        <w:adjustRightInd w:val="0"/>
        <w:ind w:left="1701" w:hanging="567"/>
        <w:rPr>
          <w:rFonts w:cs="TimesNewRomanPS-BoldItalicMT"/>
          <w:bCs/>
          <w:iCs/>
          <w:szCs w:val="20"/>
        </w:rPr>
      </w:pPr>
      <w:r w:rsidRPr="00E015D5">
        <w:rPr>
          <w:rFonts w:cs="TimesNewRomanPS-BoldItalicMT"/>
          <w:bCs/>
          <w:iCs/>
          <w:szCs w:val="20"/>
        </w:rPr>
        <w:t xml:space="preserve">(i) </w:t>
      </w:r>
      <w:r w:rsidRPr="00E015D5">
        <w:rPr>
          <w:rFonts w:cs="TimesNewRomanPS-BoldItalicMT"/>
          <w:bCs/>
          <w:iCs/>
          <w:szCs w:val="20"/>
        </w:rPr>
        <w:tab/>
        <w:t xml:space="preserve">Znak identyfikacji lotniska dla śmigłowców powinien być zlokalizowany w środku strefy FATO lub w jej </w:t>
      </w:r>
      <w:r w:rsidR="00E015D5" w:rsidRPr="00E015D5">
        <w:rPr>
          <w:rFonts w:cs="TimesNewRomanPS-BoldItalicMT"/>
          <w:bCs/>
          <w:iCs/>
          <w:szCs w:val="20"/>
        </w:rPr>
        <w:t>pobliżu.</w:t>
      </w:r>
    </w:p>
    <w:p w14:paraId="68500E46" w14:textId="2C85D498" w:rsidR="00F17233" w:rsidRPr="00E015D5" w:rsidRDefault="00F17233" w:rsidP="00F17233">
      <w:pPr>
        <w:tabs>
          <w:tab w:val="left" w:pos="1701"/>
        </w:tabs>
        <w:autoSpaceDE w:val="0"/>
        <w:autoSpaceDN w:val="0"/>
        <w:adjustRightInd w:val="0"/>
        <w:ind w:left="1701" w:hanging="567"/>
        <w:rPr>
          <w:rFonts w:cs="TimesNewRomanPS-BoldItalicMT"/>
          <w:bCs/>
        </w:rPr>
      </w:pPr>
      <w:r w:rsidRPr="00E015D5">
        <w:rPr>
          <w:rFonts w:cs="TimesNewRomanPS-BoldItalicMT"/>
          <w:bCs/>
          <w:iCs/>
          <w:szCs w:val="20"/>
        </w:rPr>
        <w:t xml:space="preserve">(ii) </w:t>
      </w:r>
      <w:r w:rsidRPr="00E015D5">
        <w:rPr>
          <w:rFonts w:cs="TimesNewRomanPS-BoldItalicMT"/>
          <w:bCs/>
          <w:iCs/>
          <w:szCs w:val="20"/>
        </w:rPr>
        <w:tab/>
      </w:r>
      <w:r w:rsidRPr="00E015D5">
        <w:rPr>
          <w:rFonts w:cs="TimesNewRomanPS-BoldItalicMT"/>
          <w:bCs/>
        </w:rPr>
        <w:t>W strefie FATO, która zawiera strefę TLOF,</w:t>
      </w:r>
      <w:r w:rsidRPr="00E015D5">
        <w:rPr>
          <w:rFonts w:cs="TimesNewRomanPS-BoldItalicMT"/>
          <w:bCs/>
          <w:iCs/>
        </w:rPr>
        <w:t xml:space="preserve"> znak</w:t>
      </w:r>
      <w:r w:rsidRPr="00E015D5">
        <w:rPr>
          <w:rFonts w:cs="TimesNewRomanPS-BoldItalicMT"/>
          <w:bCs/>
        </w:rPr>
        <w:t xml:space="preserve"> identyfikacji lotniska dla śmigłowców powinien być zlokalizowany w strefie FATO, tak aby jego położenie pokrywało się ze środkiem strefy TLOF.</w:t>
      </w:r>
    </w:p>
    <w:p w14:paraId="6DCCC500" w14:textId="6F8C8549" w:rsidR="006C1890" w:rsidRPr="00E015D5" w:rsidRDefault="00F17233" w:rsidP="00F17233">
      <w:pPr>
        <w:tabs>
          <w:tab w:val="left" w:pos="567"/>
        </w:tabs>
        <w:autoSpaceDE w:val="0"/>
        <w:autoSpaceDN w:val="0"/>
        <w:adjustRightInd w:val="0"/>
        <w:ind w:left="567" w:hanging="567"/>
        <w:rPr>
          <w:rFonts w:cs="TimesNewRomanPS-BoldItalicMT"/>
          <w:bCs/>
          <w:iCs/>
          <w:szCs w:val="20"/>
        </w:rPr>
      </w:pPr>
      <w:r w:rsidRPr="00E015D5">
        <w:rPr>
          <w:rFonts w:cs="TimesNewRomanPS-BoldItalicMT"/>
          <w:bCs/>
          <w:iCs/>
          <w:szCs w:val="20"/>
        </w:rPr>
        <w:t xml:space="preserve">(c) </w:t>
      </w:r>
      <w:r w:rsidRPr="00E015D5">
        <w:rPr>
          <w:rFonts w:cs="TimesNewRomanPS-BoldItalicMT"/>
          <w:bCs/>
          <w:iCs/>
          <w:szCs w:val="20"/>
        </w:rPr>
        <w:tab/>
        <w:t>Charakterystyka:</w:t>
      </w:r>
    </w:p>
    <w:p w14:paraId="52F8503A" w14:textId="0345F168" w:rsidR="00A57E88" w:rsidRPr="00E015D5" w:rsidRDefault="00A57E88" w:rsidP="00A57E88">
      <w:pPr>
        <w:tabs>
          <w:tab w:val="left" w:pos="1134"/>
        </w:tabs>
        <w:autoSpaceDE w:val="0"/>
        <w:autoSpaceDN w:val="0"/>
        <w:adjustRightInd w:val="0"/>
        <w:ind w:left="1134" w:hanging="567"/>
        <w:rPr>
          <w:rFonts w:cs="TimesNewRomanPS-BoldItalicMT"/>
          <w:bCs/>
          <w:iCs/>
          <w:szCs w:val="20"/>
        </w:rPr>
      </w:pPr>
      <w:r w:rsidRPr="00E015D5">
        <w:rPr>
          <w:rFonts w:cs="TimesNewRomanPS-BoldItalicMT"/>
          <w:bCs/>
          <w:iCs/>
          <w:szCs w:val="20"/>
        </w:rPr>
        <w:t xml:space="preserve">(1) </w:t>
      </w:r>
      <w:r w:rsidRPr="00E015D5">
        <w:rPr>
          <w:rFonts w:cs="TimesNewRomanPS-BoldItalicMT"/>
          <w:bCs/>
          <w:iCs/>
          <w:szCs w:val="20"/>
        </w:rPr>
        <w:tab/>
      </w:r>
      <w:r w:rsidR="006C1890" w:rsidRPr="00E015D5">
        <w:rPr>
          <w:rFonts w:cs="TimesNewRomanPS-BoldItalicMT"/>
          <w:bCs/>
        </w:rPr>
        <w:t xml:space="preserve">Znak identyfikacji </w:t>
      </w:r>
      <w:r w:rsidR="006C1890" w:rsidRPr="00E015D5">
        <w:rPr>
          <w:rFonts w:cs="TimesNewRomanPS-BoldItalicMT"/>
          <w:bCs/>
          <w:iCs/>
          <w:szCs w:val="20"/>
        </w:rPr>
        <w:t xml:space="preserve">lotniska dla śmigłowców powinien mieć kształt litery </w:t>
      </w:r>
      <w:r w:rsidR="00E015D5" w:rsidRPr="00E015D5">
        <w:rPr>
          <w:rFonts w:cs="TimesNewRomanPS-BoldItalicMT"/>
          <w:bCs/>
          <w:iCs/>
          <w:szCs w:val="20"/>
        </w:rPr>
        <w:t>„</w:t>
      </w:r>
      <w:r w:rsidR="006C1890" w:rsidRPr="00E015D5">
        <w:rPr>
          <w:rFonts w:cs="TimesNewRomanPS-BoldItalicMT"/>
          <w:bCs/>
          <w:iCs/>
          <w:szCs w:val="20"/>
        </w:rPr>
        <w:t>H</w:t>
      </w:r>
      <w:r w:rsidR="00E015D5" w:rsidRPr="00E015D5">
        <w:rPr>
          <w:rFonts w:cs="TimesNewRomanPS-BoldItalicMT"/>
          <w:bCs/>
          <w:iCs/>
          <w:szCs w:val="20"/>
        </w:rPr>
        <w:t>”</w:t>
      </w:r>
      <w:r w:rsidR="006C1890" w:rsidRPr="00E015D5">
        <w:rPr>
          <w:rFonts w:cs="TimesNewRomanPS-BoldItalicMT"/>
          <w:bCs/>
          <w:iCs/>
          <w:szCs w:val="20"/>
        </w:rPr>
        <w:t xml:space="preserve"> koloru białego. Wymiary znaku </w:t>
      </w:r>
      <w:r w:rsidR="00E015D5" w:rsidRPr="00E015D5">
        <w:rPr>
          <w:rFonts w:cs="TimesNewRomanPS-BoldItalicMT"/>
          <w:bCs/>
          <w:iCs/>
          <w:szCs w:val="20"/>
        </w:rPr>
        <w:t>„</w:t>
      </w:r>
      <w:r w:rsidR="006C1890" w:rsidRPr="00E015D5">
        <w:rPr>
          <w:rFonts w:cs="TimesNewRomanPS-BoldItalicMT"/>
          <w:bCs/>
          <w:iCs/>
          <w:szCs w:val="20"/>
        </w:rPr>
        <w:t>H</w:t>
      </w:r>
      <w:r w:rsidR="00E015D5" w:rsidRPr="00E015D5">
        <w:rPr>
          <w:rFonts w:cs="TimesNewRomanPS-BoldItalicMT"/>
          <w:bCs/>
          <w:iCs/>
          <w:szCs w:val="20"/>
        </w:rPr>
        <w:t>”</w:t>
      </w:r>
      <w:r w:rsidR="006C1890" w:rsidRPr="00E015D5">
        <w:rPr>
          <w:rFonts w:cs="TimesNewRomanPS-BoldItalicMT"/>
          <w:bCs/>
          <w:iCs/>
          <w:szCs w:val="20"/>
        </w:rPr>
        <w:t xml:space="preserve"> nie powinny być mniejsze </w:t>
      </w:r>
      <w:r w:rsidR="00E015D5" w:rsidRPr="00E015D5">
        <w:rPr>
          <w:rFonts w:cs="TimesNewRomanPS-BoldItalicMT"/>
          <w:bCs/>
          <w:iCs/>
          <w:szCs w:val="20"/>
        </w:rPr>
        <w:t>od tych</w:t>
      </w:r>
      <w:r w:rsidRPr="00E015D5">
        <w:rPr>
          <w:rFonts w:cs="TimesNewRomanPS-BoldItalicMT"/>
          <w:bCs/>
          <w:iCs/>
          <w:szCs w:val="20"/>
        </w:rPr>
        <w:t>, które pokazano na Rysunku F-3.</w:t>
      </w:r>
    </w:p>
    <w:p w14:paraId="63AE8836" w14:textId="5AEA68E3" w:rsidR="006C1890" w:rsidRPr="00E015D5" w:rsidRDefault="00A57E88" w:rsidP="00A57E88">
      <w:pPr>
        <w:tabs>
          <w:tab w:val="left" w:pos="1134"/>
        </w:tabs>
        <w:autoSpaceDE w:val="0"/>
        <w:autoSpaceDN w:val="0"/>
        <w:adjustRightInd w:val="0"/>
        <w:ind w:left="1134" w:hanging="567"/>
        <w:rPr>
          <w:rFonts w:cs="TimesNewRomanPS-BoldItalicMT"/>
          <w:bCs/>
          <w:iCs/>
          <w:szCs w:val="20"/>
        </w:rPr>
      </w:pPr>
      <w:r w:rsidRPr="00E015D5">
        <w:rPr>
          <w:rFonts w:cs="TimesNewRomanPS-BoldItalicMT"/>
          <w:bCs/>
          <w:iCs/>
          <w:szCs w:val="20"/>
        </w:rPr>
        <w:t>(2)</w:t>
      </w:r>
      <w:r w:rsidR="006C1890" w:rsidRPr="00E015D5">
        <w:rPr>
          <w:rFonts w:cs="TimesNewRomanPS-BoldItalicMT"/>
          <w:bCs/>
          <w:iCs/>
          <w:szCs w:val="20"/>
        </w:rPr>
        <w:t xml:space="preserve"> </w:t>
      </w:r>
      <w:r w:rsidRPr="00E015D5">
        <w:rPr>
          <w:rFonts w:cs="TimesNewRomanPS-BoldItalicMT"/>
          <w:bCs/>
          <w:iCs/>
          <w:szCs w:val="20"/>
        </w:rPr>
        <w:tab/>
        <w:t>W</w:t>
      </w:r>
      <w:r w:rsidR="006C1890" w:rsidRPr="00E015D5">
        <w:rPr>
          <w:rFonts w:cs="TimesNewRomanPS-BoldItalicMT"/>
          <w:bCs/>
          <w:iCs/>
          <w:szCs w:val="20"/>
        </w:rPr>
        <w:t xml:space="preserve"> przypadku, gdy znak </w:t>
      </w:r>
      <w:r w:rsidRPr="00E015D5">
        <w:rPr>
          <w:rFonts w:cs="TimesNewRomanPS-BoldItalicMT"/>
          <w:bCs/>
        </w:rPr>
        <w:t xml:space="preserve">identyfikacji </w:t>
      </w:r>
      <w:r w:rsidRPr="00E015D5">
        <w:rPr>
          <w:rFonts w:cs="TimesNewRomanPS-BoldItalicMT"/>
          <w:bCs/>
          <w:iCs/>
          <w:szCs w:val="20"/>
        </w:rPr>
        <w:t xml:space="preserve">lotniska dla śmigłowców </w:t>
      </w:r>
      <w:r w:rsidR="006C1890" w:rsidRPr="00E015D5">
        <w:rPr>
          <w:rFonts w:cs="TimesNewRomanPS-BoldItalicMT"/>
          <w:bCs/>
          <w:iCs/>
          <w:szCs w:val="20"/>
        </w:rPr>
        <w:t xml:space="preserve">jest używany dla strefy FATO typu droga startowa, to jego wymiary powinny być zwiększone trzykrotnie </w:t>
      </w:r>
      <w:r w:rsidRPr="00E015D5">
        <w:rPr>
          <w:rFonts w:cs="TimesNewRomanPS-BoldItalicMT"/>
          <w:bCs/>
          <w:iCs/>
          <w:szCs w:val="20"/>
        </w:rPr>
        <w:t xml:space="preserve">(patrz </w:t>
      </w:r>
      <w:r w:rsidR="006C1890" w:rsidRPr="00E015D5">
        <w:rPr>
          <w:rFonts w:cs="TimesNewRomanPS-BoldItalicMT"/>
          <w:bCs/>
          <w:iCs/>
          <w:szCs w:val="20"/>
        </w:rPr>
        <w:t>Rysun</w:t>
      </w:r>
      <w:r w:rsidRPr="00E015D5">
        <w:rPr>
          <w:rFonts w:cs="TimesNewRomanPS-BoldItalicMT"/>
          <w:bCs/>
          <w:iCs/>
          <w:szCs w:val="20"/>
        </w:rPr>
        <w:t>e</w:t>
      </w:r>
      <w:r w:rsidR="006C1890" w:rsidRPr="00E015D5">
        <w:rPr>
          <w:rFonts w:cs="TimesNewRomanPS-BoldItalicMT"/>
          <w:bCs/>
          <w:iCs/>
          <w:szCs w:val="20"/>
        </w:rPr>
        <w:t>k</w:t>
      </w:r>
      <w:r w:rsidRPr="00E015D5">
        <w:rPr>
          <w:rFonts w:cs="TimesNewRomanPS-BoldItalicMT"/>
          <w:bCs/>
          <w:iCs/>
          <w:szCs w:val="20"/>
        </w:rPr>
        <w:t xml:space="preserve"> F-2 i F-3).</w:t>
      </w:r>
    </w:p>
    <w:p w14:paraId="29119F10" w14:textId="77777777" w:rsidR="00A57E88" w:rsidRPr="00E015D5" w:rsidRDefault="00A57E88" w:rsidP="00A57E88">
      <w:pPr>
        <w:tabs>
          <w:tab w:val="left" w:pos="1134"/>
        </w:tabs>
        <w:autoSpaceDE w:val="0"/>
        <w:autoSpaceDN w:val="0"/>
        <w:adjustRightInd w:val="0"/>
        <w:ind w:left="1134" w:hanging="567"/>
        <w:rPr>
          <w:rFonts w:cs="TimesNewRomanPS-BoldItalicMT"/>
          <w:bCs/>
        </w:rPr>
      </w:pPr>
      <w:r w:rsidRPr="00E015D5">
        <w:rPr>
          <w:rFonts w:cs="TimesNewRomanPS-BoldItalicMT"/>
          <w:bCs/>
          <w:iCs/>
        </w:rPr>
        <w:t xml:space="preserve">(3) </w:t>
      </w:r>
      <w:r w:rsidRPr="00E015D5">
        <w:rPr>
          <w:rFonts w:cs="TimesNewRomanPS-BoldItalicMT"/>
          <w:bCs/>
          <w:iCs/>
        </w:rPr>
        <w:tab/>
      </w:r>
      <w:r w:rsidRPr="00E015D5">
        <w:rPr>
          <w:rFonts w:cs="TimesNewRomanPS-BoldItalicMT"/>
          <w:bCs/>
          <w:iCs/>
          <w:szCs w:val="20"/>
        </w:rPr>
        <w:t>Znak</w:t>
      </w:r>
      <w:r w:rsidRPr="00E015D5">
        <w:rPr>
          <w:rFonts w:cs="TimesNewRomanPS-BoldItalicMT"/>
          <w:bCs/>
        </w:rPr>
        <w:t xml:space="preserve"> identyfikacji lotniska dla śmigłowców powinien być zorientowany w taki sposób, aby łącznik pionowy boków litery H znajdował się pod kątem prostym do preferowanego kierunku podejścia końcowego. </w:t>
      </w:r>
    </w:p>
    <w:p w14:paraId="7DD5D580" w14:textId="44D52F60" w:rsidR="00F52490" w:rsidRPr="00E015D5" w:rsidRDefault="00F52490" w:rsidP="00F52490">
      <w:pPr>
        <w:tabs>
          <w:tab w:val="left" w:pos="567"/>
        </w:tabs>
        <w:autoSpaceDE w:val="0"/>
        <w:autoSpaceDN w:val="0"/>
        <w:adjustRightInd w:val="0"/>
        <w:ind w:left="567" w:hanging="567"/>
        <w:rPr>
          <w:rFonts w:cs="TimesNewRomanPS-BoldItalicMT"/>
          <w:bCs/>
          <w:iCs/>
          <w:szCs w:val="20"/>
        </w:rPr>
      </w:pPr>
    </w:p>
    <w:p w14:paraId="57188E41" w14:textId="54AABE90" w:rsidR="00CE6C4A" w:rsidRPr="00E015D5" w:rsidRDefault="00CE6C4A" w:rsidP="00F52490">
      <w:pPr>
        <w:tabs>
          <w:tab w:val="left" w:pos="567"/>
        </w:tabs>
        <w:autoSpaceDE w:val="0"/>
        <w:autoSpaceDN w:val="0"/>
        <w:adjustRightInd w:val="0"/>
        <w:ind w:left="567" w:hanging="567"/>
        <w:rPr>
          <w:rFonts w:cs="TimesNewRomanPS-BoldItalicMT"/>
          <w:bCs/>
          <w:iCs/>
          <w:szCs w:val="20"/>
        </w:rPr>
      </w:pPr>
    </w:p>
    <w:p w14:paraId="355D7580" w14:textId="6B790C53" w:rsidR="00CE6C4A" w:rsidRPr="00486B83" w:rsidRDefault="00CE6C4A" w:rsidP="00F52490">
      <w:pPr>
        <w:tabs>
          <w:tab w:val="left" w:pos="567"/>
        </w:tabs>
        <w:autoSpaceDE w:val="0"/>
        <w:autoSpaceDN w:val="0"/>
        <w:adjustRightInd w:val="0"/>
        <w:ind w:left="567" w:hanging="567"/>
        <w:rPr>
          <w:rFonts w:cs="TimesNewRomanPS-BoldItalicMT"/>
          <w:bCs/>
          <w:iCs/>
          <w:szCs w:val="20"/>
        </w:rPr>
      </w:pPr>
      <w:r w:rsidRPr="00486B83">
        <w:rPr>
          <w:rFonts w:cs="TimesNewRomanPS-BoldItalicMT"/>
          <w:bCs/>
          <w:iCs/>
          <w:noProof/>
          <w:szCs w:val="20"/>
          <w:lang w:eastAsia="pl-PL"/>
        </w:rPr>
        <w:drawing>
          <wp:inline distT="0" distB="0" distL="0" distR="0" wp14:anchorId="1DDAB521" wp14:editId="2D57597A">
            <wp:extent cx="5759450" cy="5990590"/>
            <wp:effectExtent l="19050" t="19050" r="12700" b="10160"/>
            <wp:docPr id="5814" name="Obraz 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 name="Ryunek 2.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759450" cy="5990590"/>
                    </a:xfrm>
                    <a:prstGeom prst="rect">
                      <a:avLst/>
                    </a:prstGeom>
                    <a:ln w="12700">
                      <a:solidFill>
                        <a:schemeClr val="tx1"/>
                      </a:solidFill>
                    </a:ln>
                  </pic:spPr>
                </pic:pic>
              </a:graphicData>
            </a:graphic>
          </wp:inline>
        </w:drawing>
      </w:r>
    </w:p>
    <w:p w14:paraId="13ED7BB7" w14:textId="7382F654" w:rsidR="00F17233" w:rsidRPr="00B62FFE" w:rsidRDefault="00CE6C4A" w:rsidP="00486B83">
      <w:pPr>
        <w:tabs>
          <w:tab w:val="left" w:pos="0"/>
        </w:tabs>
        <w:autoSpaceDE w:val="0"/>
        <w:autoSpaceDN w:val="0"/>
        <w:adjustRightInd w:val="0"/>
        <w:spacing w:before="240"/>
        <w:jc w:val="center"/>
        <w:rPr>
          <w:rFonts w:cs="TimesNewRomanPS-BoldItalicMT"/>
          <w:b/>
          <w:bCs/>
          <w:iCs/>
          <w:szCs w:val="20"/>
        </w:rPr>
      </w:pPr>
      <w:r w:rsidRPr="00B62FFE">
        <w:rPr>
          <w:b/>
          <w:bCs/>
          <w:sz w:val="20"/>
          <w:szCs w:val="20"/>
        </w:rPr>
        <w:t xml:space="preserve">Rysunek F-1.   Znak identyfikacji lotniska dla śmigłowców oraz oznakowanie punktu celowania </w:t>
      </w:r>
      <w:r w:rsidRPr="00B62FFE">
        <w:rPr>
          <w:b/>
          <w:bCs/>
          <w:sz w:val="20"/>
          <w:szCs w:val="20"/>
        </w:rPr>
        <w:br/>
        <w:t>i obwodu strefy FATO</w:t>
      </w:r>
    </w:p>
    <w:p w14:paraId="50C8B75C" w14:textId="35A0EFF4" w:rsidR="00CE6C4A" w:rsidRPr="00E015D5" w:rsidRDefault="00CE6C4A">
      <w:pPr>
        <w:spacing w:after="0"/>
        <w:jc w:val="left"/>
        <w:rPr>
          <w:rStyle w:val="FontStyle219"/>
          <w:rFonts w:eastAsiaTheme="majorEastAsia"/>
        </w:rPr>
      </w:pPr>
      <w:r w:rsidRPr="00E015D5">
        <w:rPr>
          <w:rStyle w:val="FontStyle219"/>
          <w:rFonts w:eastAsiaTheme="majorEastAsia"/>
        </w:rPr>
        <w:br w:type="page"/>
      </w:r>
    </w:p>
    <w:p w14:paraId="7A222666" w14:textId="7BA1135D" w:rsidR="00CE6C4A" w:rsidRPr="00CE6C4A" w:rsidRDefault="00CE6C4A" w:rsidP="00CE6C4A">
      <w:pPr>
        <w:tabs>
          <w:tab w:val="left" w:pos="1418"/>
        </w:tabs>
        <w:spacing w:before="240"/>
        <w:rPr>
          <w:szCs w:val="20"/>
        </w:rPr>
      </w:pPr>
    </w:p>
    <w:p w14:paraId="3F2F2CDF" w14:textId="77777777" w:rsidR="00CE6C4A" w:rsidRPr="00900AA5" w:rsidRDefault="00CE6C4A" w:rsidP="00CE6C4A">
      <w:pPr>
        <w:rPr>
          <w:rStyle w:val="FontStyle220"/>
          <w:b w:val="0"/>
        </w:rPr>
      </w:pPr>
      <w:r w:rsidRPr="00900AA5">
        <w:rPr>
          <w:b/>
          <w:noProof/>
          <w:szCs w:val="20"/>
          <w:lang w:eastAsia="pl-PL"/>
        </w:rPr>
        <mc:AlternateContent>
          <mc:Choice Requires="wpc">
            <w:drawing>
              <wp:inline distT="0" distB="0" distL="0" distR="0" wp14:anchorId="695D0559" wp14:editId="30A323F0">
                <wp:extent cx="5681980" cy="1519422"/>
                <wp:effectExtent l="0" t="0" r="0" b="0"/>
                <wp:docPr id="5816" name="Kanwa 58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5815" name="Picture 45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252730" y="86360"/>
                            <a:ext cx="5184140" cy="13544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33F180A" id="Kanwa 5816" o:spid="_x0000_s1026" editas="canvas" style="width:447.4pt;height:119.65pt;mso-position-horizontal-relative:char;mso-position-vertical-relative:line" coordsize="56819,15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">
                <v:shape id="_x0000_s1027" type="#_x0000_t75" style="position:absolute;width:56819;height:15189;visibility:visible;mso-wrap-style:square">
                  <v:fill o:detectmouseclick="t"/>
                  <v:path o:connecttype="none"/>
                </v:shape>
                <v:shape id="Picture 455" o:spid="_x0000_s1028" type="#_x0000_t75" style="position:absolute;left:2527;top:863;width:51841;height:1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" stroked="t">
                  <v:imagedata r:id="rId334" o:title=""/>
                </v:shape>
                <w10:anchorlock/>
              </v:group>
            </w:pict>
          </mc:Fallback>
        </mc:AlternateContent>
      </w:r>
    </w:p>
    <w:p w14:paraId="1DCA6F29" w14:textId="7D5546D6" w:rsidR="00CE6C4A" w:rsidRPr="00E015D5" w:rsidRDefault="00CE6C4A" w:rsidP="00486B83">
      <w:pPr>
        <w:pStyle w:val="Default"/>
        <w:spacing w:before="240" w:line="276" w:lineRule="auto"/>
        <w:jc w:val="center"/>
        <w:rPr>
          <w:rFonts w:asciiTheme="minorHAnsi" w:hAnsiTheme="minorHAnsi" w:cstheme="minorHAnsi"/>
          <w:b/>
          <w:color w:val="auto"/>
          <w:sz w:val="20"/>
          <w:szCs w:val="22"/>
        </w:rPr>
      </w:pPr>
      <w:r w:rsidRPr="00E015D5">
        <w:rPr>
          <w:rFonts w:asciiTheme="minorHAnsi" w:eastAsiaTheme="minorHAnsi" w:hAnsiTheme="minorHAnsi" w:cstheme="minorHAnsi"/>
          <w:b/>
          <w:bCs/>
          <w:color w:val="auto"/>
          <w:sz w:val="20"/>
          <w:szCs w:val="22"/>
        </w:rPr>
        <w:t>Rysu</w:t>
      </w:r>
      <w:r w:rsidR="00892F33" w:rsidRPr="00E015D5">
        <w:rPr>
          <w:rFonts w:asciiTheme="minorHAnsi" w:eastAsiaTheme="minorHAnsi" w:hAnsiTheme="minorHAnsi" w:cstheme="minorHAnsi"/>
          <w:b/>
          <w:bCs/>
          <w:color w:val="auto"/>
          <w:sz w:val="20"/>
          <w:szCs w:val="22"/>
        </w:rPr>
        <w:t>nek F</w:t>
      </w:r>
      <w:r w:rsidRPr="00E015D5">
        <w:rPr>
          <w:rFonts w:asciiTheme="minorHAnsi" w:eastAsiaTheme="minorHAnsi" w:hAnsiTheme="minorHAnsi" w:cstheme="minorHAnsi"/>
          <w:b/>
          <w:bCs/>
          <w:color w:val="auto"/>
          <w:sz w:val="20"/>
          <w:szCs w:val="22"/>
        </w:rPr>
        <w:t xml:space="preserve">-2.   </w:t>
      </w:r>
      <w:r w:rsidR="00B62FFE">
        <w:rPr>
          <w:rFonts w:asciiTheme="minorHAnsi" w:eastAsiaTheme="minorHAnsi" w:hAnsiTheme="minorHAnsi" w:cstheme="minorHAnsi"/>
          <w:b/>
          <w:bCs/>
          <w:color w:val="auto"/>
          <w:sz w:val="20"/>
          <w:szCs w:val="22"/>
        </w:rPr>
        <w:t>Oznakowanie</w:t>
      </w:r>
      <w:r w:rsidRPr="00E015D5">
        <w:rPr>
          <w:rFonts w:asciiTheme="minorHAnsi" w:eastAsiaTheme="minorHAnsi" w:hAnsiTheme="minorHAnsi" w:cstheme="minorHAnsi"/>
          <w:b/>
          <w:bCs/>
          <w:color w:val="auto"/>
          <w:sz w:val="20"/>
          <w:szCs w:val="22"/>
        </w:rPr>
        <w:t xml:space="preserve"> identyfikacji strefy FATO oraz znak identyfikacji</w:t>
      </w:r>
      <w:r w:rsidRPr="00E015D5">
        <w:rPr>
          <w:rFonts w:asciiTheme="minorHAnsi" w:hAnsiTheme="minorHAnsi" w:cstheme="minorHAnsi"/>
          <w:b/>
          <w:color w:val="auto"/>
          <w:sz w:val="20"/>
          <w:szCs w:val="22"/>
        </w:rPr>
        <w:t xml:space="preserve"> lotniska dla śmigłowców </w:t>
      </w:r>
      <w:r w:rsidR="00B62FFE">
        <w:rPr>
          <w:rFonts w:asciiTheme="minorHAnsi" w:hAnsiTheme="minorHAnsi" w:cstheme="minorHAnsi"/>
          <w:b/>
          <w:color w:val="auto"/>
          <w:sz w:val="20"/>
          <w:szCs w:val="22"/>
        </w:rPr>
        <w:t>(H)</w:t>
      </w:r>
      <w:r w:rsidR="00E015D5">
        <w:rPr>
          <w:rFonts w:asciiTheme="minorHAnsi" w:hAnsiTheme="minorHAnsi" w:cstheme="minorHAnsi"/>
          <w:b/>
          <w:color w:val="auto"/>
          <w:sz w:val="20"/>
          <w:szCs w:val="22"/>
        </w:rPr>
        <w:br/>
      </w:r>
      <w:r w:rsidRPr="00E015D5">
        <w:rPr>
          <w:rFonts w:asciiTheme="minorHAnsi" w:hAnsiTheme="minorHAnsi" w:cstheme="minorHAnsi"/>
          <w:b/>
          <w:color w:val="auto"/>
          <w:sz w:val="20"/>
          <w:szCs w:val="22"/>
        </w:rPr>
        <w:t>dla strefy FATO typu droga startowa</w:t>
      </w:r>
    </w:p>
    <w:p w14:paraId="7A174272" w14:textId="3ABB59CA" w:rsidR="00CE6C4A" w:rsidRDefault="00CE6C4A" w:rsidP="00486B83">
      <w:pPr>
        <w:pStyle w:val="Style101"/>
        <w:widowControl/>
        <w:spacing w:line="276" w:lineRule="auto"/>
        <w:ind w:firstLine="0"/>
        <w:jc w:val="center"/>
        <w:rPr>
          <w:rStyle w:val="FontStyle219"/>
          <w:rFonts w:eastAsiaTheme="majorEastAsia"/>
          <w:i w:val="0"/>
          <w:lang w:eastAsia="en-US"/>
        </w:rPr>
      </w:pPr>
    </w:p>
    <w:p w14:paraId="40707D23" w14:textId="073B1A1C" w:rsidR="00486B83" w:rsidRDefault="00486B83" w:rsidP="00486B83">
      <w:pPr>
        <w:pStyle w:val="Style101"/>
        <w:widowControl/>
        <w:spacing w:line="276" w:lineRule="auto"/>
        <w:ind w:firstLine="0"/>
        <w:jc w:val="center"/>
        <w:rPr>
          <w:rStyle w:val="FontStyle219"/>
          <w:rFonts w:eastAsiaTheme="majorEastAsia"/>
          <w:i w:val="0"/>
          <w:lang w:eastAsia="en-US"/>
        </w:rPr>
      </w:pPr>
      <w:r>
        <w:rPr>
          <w:noProof/>
        </w:rPr>
        <mc:AlternateContent>
          <mc:Choice Requires="wpc">
            <w:drawing>
              <wp:inline distT="0" distB="0" distL="0" distR="0" wp14:anchorId="7A295A08" wp14:editId="2BA2D2F6">
                <wp:extent cx="4336415" cy="3855493"/>
                <wp:effectExtent l="0" t="0" r="0" b="0"/>
                <wp:docPr id="422" name="Kanwa 4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17" name="Obraz 417"/>
                          <pic:cNvPicPr>
                            <a:picLocks noChangeAspect="1"/>
                          </pic:cNvPicPr>
                        </pic:nvPicPr>
                        <pic:blipFill>
                          <a:blip r:embed="rId335" cstate="print">
                            <a:extLst>
                              <a:ext uri="{28A0092B-C50C-407E-A947-70E740481C1C}">
                                <a14:useLocalDpi xmlns:a14="http://schemas.microsoft.com/office/drawing/2010/main" val="0"/>
                              </a:ext>
                            </a:extLst>
                          </a:blip>
                          <a:stretch>
                            <a:fillRect/>
                          </a:stretch>
                        </pic:blipFill>
                        <pic:spPr>
                          <a:xfrm>
                            <a:off x="578669" y="214180"/>
                            <a:ext cx="3411054" cy="3433203"/>
                          </a:xfrm>
                          <a:prstGeom prst="rect">
                            <a:avLst/>
                          </a:prstGeom>
                          <a:ln>
                            <a:solidFill>
                              <a:schemeClr val="tx1"/>
                            </a:solidFill>
                          </a:ln>
                        </pic:spPr>
                      </pic:pic>
                      <wps:wsp>
                        <wps:cNvPr id="418" name="Prostokąt 418"/>
                        <wps:cNvSpPr/>
                        <wps:spPr>
                          <a:xfrm>
                            <a:off x="2893325" y="620973"/>
                            <a:ext cx="1003111" cy="26596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419" name="Grupa 419"/>
                        <wpg:cNvGrpSpPr/>
                        <wpg:grpSpPr>
                          <a:xfrm>
                            <a:off x="2538561" y="668571"/>
                            <a:ext cx="1275989" cy="1276235"/>
                            <a:chOff x="2538561" y="668571"/>
                            <a:chExt cx="1275989" cy="1276235"/>
                          </a:xfrm>
                        </wpg:grpSpPr>
                        <wps:wsp>
                          <wps:cNvPr id="420" name="Łącznik prosty ze strzałką 420"/>
                          <wps:cNvCnPr/>
                          <wps:spPr>
                            <a:xfrm flipH="1">
                              <a:off x="2538561" y="886935"/>
                              <a:ext cx="798316" cy="1057871"/>
                            </a:xfrm>
                            <a:prstGeom prst="straightConnector1">
                              <a:avLst/>
                            </a:prstGeom>
                            <a:ln w="952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421" name="Pole tekstowe 421"/>
                          <wps:cNvSpPr txBox="1"/>
                          <wps:spPr>
                            <a:xfrm>
                              <a:off x="2893325" y="668571"/>
                              <a:ext cx="921225" cy="307075"/>
                            </a:xfrm>
                            <a:prstGeom prst="rect">
                              <a:avLst/>
                            </a:prstGeom>
                            <a:noFill/>
                            <a:ln w="6350">
                              <a:noFill/>
                            </a:ln>
                          </wps:spPr>
                          <wps:txbx>
                            <w:txbxContent>
                              <w:p w14:paraId="2094CAF7" w14:textId="77777777" w:rsidR="003832F2" w:rsidRPr="009A24F4" w:rsidRDefault="003832F2" w:rsidP="00486B83">
                                <w:pPr>
                                  <w:rPr>
                                    <w:rFonts w:asciiTheme="minorHAnsi" w:hAnsiTheme="minorHAnsi"/>
                                  </w:rPr>
                                </w:pPr>
                                <w:r w:rsidRPr="009A24F4">
                                  <w:rPr>
                                    <w:rFonts w:asciiTheme="minorHAnsi" w:hAnsiTheme="minorHAnsi"/>
                                  </w:rPr>
                                  <w:t>Kolor biały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A295A08" id="Kanwa 422" o:spid="_x0000_s1264" editas="canvas" style="width:341.45pt;height:303.6pt;mso-position-horizontal-relative:char;mso-position-vertical-relative:line" coordsize="43364,38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">
                <v:shape id="_x0000_s1265" type="#_x0000_t75" style="position:absolute;width:43364;height:38550;visibility:visible;mso-wrap-style:square">
                  <v:fill o:detectmouseclick="t"/>
                  <v:path o:connecttype="none"/>
                </v:shape>
                <v:shape id="Obraz 417" o:spid="_x0000_s1266" type="#_x0000_t75" style="position:absolute;left:5786;top:2141;width:34111;height:3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" stroked="t" strokecolor="black [3213]">
                  <v:imagedata r:id="rId336" o:title=""/>
                  <v:path arrowok="t"/>
                </v:shape>
                <v:rect id="Prostokąt 418" o:spid="_x0000_s1267" style="position:absolute;left:28933;top:6209;width:10031;height:2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" filled="f" stroked="f" strokeweight="2pt"/>
                <v:group id="Grupa 419" o:spid="_x0000_s1268" style="position:absolute;left:25385;top:6685;width:12760;height:12763" coordorigin="25385,6685" coordsize="12759,1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Łącznik prosty ze strzałką 420" o:spid="_x0000_s1269" type="#_x0000_t32" style="position:absolute;left:25385;top:8869;width:7983;height:105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" strokecolor="black [3213]">
                    <v:stroke endarrow="classic"/>
                  </v:shape>
                  <v:shape id="Pole tekstowe 421" o:spid="_x0000_s1270" type="#_x0000_t202" style="position:absolute;left:28933;top:6685;width:9212;height:3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" filled="f" stroked="f" strokeweight=".5pt">
                    <v:textbox>
                      <w:txbxContent>
                        <w:p w14:paraId="2094CAF7" w14:textId="77777777" w:rsidR="003832F2" w:rsidRPr="009A24F4" w:rsidRDefault="003832F2" w:rsidP="00486B83">
                          <w:pPr>
                            <w:rPr>
                              <w:rFonts w:asciiTheme="minorHAnsi" w:hAnsiTheme="minorHAnsi"/>
                            </w:rPr>
                          </w:pPr>
                          <w:r w:rsidRPr="009A24F4">
                            <w:rPr>
                              <w:rFonts w:asciiTheme="minorHAnsi" w:hAnsiTheme="minorHAnsi"/>
                            </w:rPr>
                            <w:t>Kolor biały</w:t>
                          </w:r>
                        </w:p>
                      </w:txbxContent>
                    </v:textbox>
                  </v:shape>
                </v:group>
                <w10:anchorlock/>
              </v:group>
            </w:pict>
          </mc:Fallback>
        </mc:AlternateContent>
      </w:r>
    </w:p>
    <w:p w14:paraId="3E2AC3D8" w14:textId="46720099" w:rsidR="00486B83" w:rsidRPr="00E015D5" w:rsidRDefault="00486B83" w:rsidP="00486B83">
      <w:pPr>
        <w:pStyle w:val="Style101"/>
        <w:widowControl/>
        <w:spacing w:line="276" w:lineRule="auto"/>
        <w:ind w:firstLine="0"/>
        <w:jc w:val="center"/>
        <w:rPr>
          <w:rStyle w:val="FontStyle219"/>
          <w:rFonts w:asciiTheme="minorHAnsi" w:eastAsiaTheme="majorEastAsia" w:hAnsiTheme="minorHAnsi"/>
          <w:b/>
          <w:i w:val="0"/>
          <w:lang w:eastAsia="en-US"/>
        </w:rPr>
      </w:pPr>
      <w:r w:rsidRPr="00E015D5">
        <w:rPr>
          <w:rFonts w:asciiTheme="minorHAnsi" w:hAnsiTheme="minorHAnsi"/>
          <w:b/>
          <w:sz w:val="20"/>
          <w:szCs w:val="18"/>
        </w:rPr>
        <w:t>Rysunek F-3.   Znak identyfikacji lotniska dla śmigłowców</w:t>
      </w:r>
    </w:p>
    <w:p w14:paraId="65CBFF2E" w14:textId="77777777" w:rsidR="00831791" w:rsidRPr="00F20501" w:rsidRDefault="00831791" w:rsidP="00831791">
      <w:pPr>
        <w:tabs>
          <w:tab w:val="left" w:pos="567"/>
        </w:tabs>
        <w:autoSpaceDE w:val="0"/>
        <w:autoSpaceDN w:val="0"/>
        <w:adjustRightInd w:val="0"/>
        <w:ind w:left="567" w:hanging="567"/>
        <w:rPr>
          <w:rFonts w:cstheme="minorHAnsi"/>
          <w:color w:val="FFFFFF" w:themeColor="background1"/>
          <w:szCs w:val="20"/>
        </w:rPr>
      </w:pPr>
    </w:p>
    <w:p w14:paraId="5E09722F" w14:textId="746D9200" w:rsidR="00831791" w:rsidRPr="009E064B" w:rsidRDefault="00831791" w:rsidP="00133B99">
      <w:pPr>
        <w:pStyle w:val="Nagwek6"/>
      </w:pPr>
      <w:bookmarkStart w:id="1921" w:name="_Toc12533373"/>
      <w:r w:rsidRPr="009E064B">
        <w:t>GM1 HPT-DSN.</w:t>
      </w:r>
      <w:r>
        <w:t>F.5</w:t>
      </w:r>
      <w:r w:rsidR="002E5C48">
        <w:t>2</w:t>
      </w:r>
      <w:r>
        <w:t>0</w:t>
      </w:r>
      <w:r w:rsidRPr="009E064B">
        <w:t xml:space="preserve">     </w:t>
      </w:r>
      <w:r w:rsidR="002E5C48" w:rsidRPr="002E5C48">
        <w:t>Znak identyfikacji lotniska dla śmigłowców</w:t>
      </w:r>
      <w:bookmarkEnd w:id="1921"/>
    </w:p>
    <w:p w14:paraId="2B6E5330" w14:textId="7758248D" w:rsidR="00831791" w:rsidRPr="009E064B" w:rsidRDefault="001F74A1" w:rsidP="0083179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0E29285" w14:textId="583DA420" w:rsidR="00372014" w:rsidRPr="00B62FFE" w:rsidRDefault="00A57E88" w:rsidP="00486B83">
      <w:pPr>
        <w:tabs>
          <w:tab w:val="left" w:pos="0"/>
        </w:tabs>
        <w:autoSpaceDE w:val="0"/>
        <w:autoSpaceDN w:val="0"/>
        <w:adjustRightInd w:val="0"/>
        <w:rPr>
          <w:rFonts w:eastAsia="Verdana" w:cs="Verdana"/>
          <w:bCs/>
          <w:iCs/>
        </w:rPr>
      </w:pPr>
      <w:r w:rsidRPr="00B62FFE">
        <w:rPr>
          <w:rFonts w:eastAsia="Verdana" w:cs="Verdana"/>
          <w:bCs/>
          <w:iCs/>
        </w:rPr>
        <w:t>W strefie FATO, która nie zawiera strefy TLOF i która posiada oznakowanie punktu celowania (patrz</w:t>
      </w:r>
      <w:r w:rsidR="00372014" w:rsidRPr="00B62FFE">
        <w:rPr>
          <w:rFonts w:eastAsia="Verdana" w:cs="Verdana"/>
          <w:bCs/>
          <w:iCs/>
        </w:rPr>
        <w:t xml:space="preserve"> </w:t>
      </w:r>
      <w:hyperlink w:anchor="_CS_HPT-DSN.F.550_" w:history="1">
        <w:r w:rsidR="00372014" w:rsidRPr="003832F2">
          <w:rPr>
            <w:rStyle w:val="Hipercze"/>
            <w:rFonts w:eastAsia="Verdana" w:cs="Verdana"/>
            <w:bCs/>
            <w:iCs/>
          </w:rPr>
          <w:t>CS HPT-DSN.F.550</w:t>
        </w:r>
      </w:hyperlink>
      <w:r w:rsidRPr="003832F2">
        <w:rPr>
          <w:rFonts w:eastAsia="Verdana" w:cs="Verdana"/>
          <w:bCs/>
          <w:iCs/>
        </w:rPr>
        <w:t xml:space="preserve">), znak identyfikacji lotniska dla śmigłowców </w:t>
      </w:r>
      <w:r w:rsidR="00372014" w:rsidRPr="003832F2">
        <w:rPr>
          <w:rFonts w:eastAsia="Verdana" w:cs="Verdana"/>
          <w:bCs/>
          <w:iCs/>
        </w:rPr>
        <w:t xml:space="preserve">powinien </w:t>
      </w:r>
      <w:r w:rsidRPr="003832F2">
        <w:rPr>
          <w:rFonts w:eastAsia="Verdana" w:cs="Verdana"/>
          <w:bCs/>
          <w:iCs/>
        </w:rPr>
        <w:t>znajd</w:t>
      </w:r>
      <w:r w:rsidR="00372014" w:rsidRPr="003832F2">
        <w:rPr>
          <w:rFonts w:eastAsia="Verdana" w:cs="Verdana"/>
          <w:bCs/>
          <w:iCs/>
        </w:rPr>
        <w:t>ować</w:t>
      </w:r>
      <w:r w:rsidRPr="003832F2">
        <w:rPr>
          <w:rFonts w:eastAsia="Verdana" w:cs="Verdana"/>
          <w:bCs/>
          <w:iCs/>
        </w:rPr>
        <w:t xml:space="preserve"> się w środku</w:t>
      </w:r>
      <w:r w:rsidRPr="00B62FFE">
        <w:rPr>
          <w:rFonts w:eastAsia="Verdana" w:cs="Verdana"/>
          <w:bCs/>
          <w:iCs/>
        </w:rPr>
        <w:t xml:space="preserve"> oznakowania punktu celowani</w:t>
      </w:r>
      <w:r w:rsidR="00372014" w:rsidRPr="00B62FFE">
        <w:rPr>
          <w:rFonts w:eastAsia="Verdana" w:cs="Verdana"/>
          <w:bCs/>
          <w:iCs/>
        </w:rPr>
        <w:t>a jak przedstawiono na Rysunku F</w:t>
      </w:r>
      <w:r w:rsidRPr="00B62FFE">
        <w:rPr>
          <w:rFonts w:eastAsia="Verdana" w:cs="Verdana"/>
          <w:bCs/>
          <w:iCs/>
        </w:rPr>
        <w:t>-1.</w:t>
      </w:r>
    </w:p>
    <w:p w14:paraId="27877E8C" w14:textId="77777777" w:rsidR="00372014" w:rsidRPr="00B62FFE" w:rsidRDefault="00372014">
      <w:pPr>
        <w:spacing w:after="0"/>
        <w:jc w:val="left"/>
        <w:rPr>
          <w:rFonts w:eastAsia="Verdana" w:cs="Verdana"/>
          <w:bCs/>
          <w:iCs/>
        </w:rPr>
      </w:pPr>
      <w:r w:rsidRPr="00B62FFE">
        <w:rPr>
          <w:rFonts w:eastAsia="Verdana" w:cs="Verdana"/>
          <w:bCs/>
          <w:iCs/>
        </w:rPr>
        <w:br w:type="page"/>
      </w:r>
    </w:p>
    <w:p w14:paraId="38AF95BA" w14:textId="43C9B65B" w:rsidR="002E5C48" w:rsidRPr="009E064B" w:rsidRDefault="002E5C48" w:rsidP="002E5C48">
      <w:pPr>
        <w:pStyle w:val="Nagwek4"/>
        <w:rPr>
          <w:color w:val="auto"/>
        </w:rPr>
      </w:pPr>
      <w:bookmarkStart w:id="1922" w:name="_Toc12533374"/>
      <w:r w:rsidRPr="003832F2">
        <w:rPr>
          <w:color w:val="auto"/>
        </w:rPr>
        <w:t>CS HPT-DSN.F.530</w:t>
      </w:r>
      <w:r w:rsidRPr="003832F2">
        <w:rPr>
          <w:b w:val="0"/>
          <w:bCs w:val="0"/>
          <w:color w:val="FFFFFF"/>
          <w:sz w:val="32"/>
          <w:szCs w:val="32"/>
        </w:rPr>
        <w:t xml:space="preserve">     </w:t>
      </w:r>
      <w:r w:rsidR="003832F2">
        <w:rPr>
          <w:b w:val="0"/>
          <w:bCs w:val="0"/>
          <w:color w:val="FFFFFF"/>
          <w:sz w:val="32"/>
          <w:szCs w:val="32"/>
        </w:rPr>
        <w:t xml:space="preserve">   </w:t>
      </w:r>
      <w:r w:rsidRPr="003832F2">
        <w:t>Oznakowanie lub oznaczniki obwodu strefy podejścia</w:t>
      </w:r>
      <w:r w:rsidRPr="00900AA5">
        <w:t xml:space="preserve"> końcowego i startu (FATO)</w:t>
      </w:r>
      <w:bookmarkEnd w:id="1922"/>
    </w:p>
    <w:p w14:paraId="430FD16B" w14:textId="6432A4E7"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40AF474" w14:textId="5B0A06E3" w:rsidR="00372014" w:rsidRPr="00B62FFE" w:rsidRDefault="002E5C48" w:rsidP="00372014">
      <w:pPr>
        <w:tabs>
          <w:tab w:val="left" w:pos="567"/>
        </w:tabs>
        <w:autoSpaceDE w:val="0"/>
        <w:autoSpaceDN w:val="0"/>
        <w:adjustRightInd w:val="0"/>
        <w:ind w:left="567" w:hanging="567"/>
        <w:rPr>
          <w:rFonts w:cs="TimesNewRomanPS-BoldItalicMT"/>
          <w:iCs/>
        </w:rPr>
      </w:pPr>
      <w:r w:rsidRPr="00B62FFE">
        <w:rPr>
          <w:rFonts w:cs="TimesNewRomanPS-BoldItalicMT"/>
          <w:bCs/>
          <w:iCs/>
          <w:szCs w:val="20"/>
        </w:rPr>
        <w:t>(a)</w:t>
      </w:r>
      <w:r w:rsidRPr="00B62FFE">
        <w:rPr>
          <w:rFonts w:cs="TimesNewRomanPS-BoldItalicMT"/>
          <w:bCs/>
          <w:iCs/>
          <w:szCs w:val="20"/>
        </w:rPr>
        <w:tab/>
      </w:r>
      <w:r w:rsidR="00372014" w:rsidRPr="00B62FFE">
        <w:rPr>
          <w:rFonts w:cs="TimesNewRomanPS-BoldItalicMT"/>
          <w:iCs/>
        </w:rPr>
        <w:t xml:space="preserve">Zastosowanie: Oznakowanie </w:t>
      </w:r>
      <w:r w:rsidR="00B62FFE" w:rsidRPr="00B62FFE">
        <w:rPr>
          <w:rFonts w:cs="TimesNewRomanPS-BoldItalicMT"/>
          <w:iCs/>
        </w:rPr>
        <w:t xml:space="preserve">lub oznaczniki </w:t>
      </w:r>
      <w:r w:rsidR="00372014" w:rsidRPr="00B62FFE">
        <w:rPr>
          <w:rFonts w:cs="TimesNewRomanPS-BoldItalicMT"/>
          <w:iCs/>
        </w:rPr>
        <w:t xml:space="preserve">obwodu strefy FATO powinny być stosowane na lotniskach dla śmigłowców na ziemi, na których rozmiar strefy FATO nie </w:t>
      </w:r>
      <w:r w:rsidR="00DD79BF">
        <w:rPr>
          <w:rFonts w:cs="TimesNewRomanPS-BoldItalicMT"/>
          <w:iCs/>
        </w:rPr>
        <w:t>jest oczywisty.</w:t>
      </w:r>
    </w:p>
    <w:p w14:paraId="2495C4DA" w14:textId="03798082" w:rsidR="00372014" w:rsidRPr="00B62FFE" w:rsidRDefault="00372014" w:rsidP="00372014">
      <w:pPr>
        <w:tabs>
          <w:tab w:val="left" w:pos="567"/>
        </w:tabs>
        <w:autoSpaceDE w:val="0"/>
        <w:autoSpaceDN w:val="0"/>
        <w:adjustRightInd w:val="0"/>
        <w:ind w:left="567" w:hanging="567"/>
        <w:rPr>
          <w:rFonts w:cs="TimesNewRomanPS-BoldItalicMT"/>
          <w:iCs/>
        </w:rPr>
      </w:pPr>
      <w:r w:rsidRPr="00B62FFE">
        <w:rPr>
          <w:rFonts w:cs="TimesNewRomanPS-BoldItalicMT"/>
          <w:bCs/>
          <w:iCs/>
        </w:rPr>
        <w:t xml:space="preserve">(b) </w:t>
      </w:r>
      <w:r w:rsidRPr="00B62FFE">
        <w:rPr>
          <w:rFonts w:cs="TimesNewRomanPS-BoldItalicMT"/>
          <w:bCs/>
          <w:iCs/>
        </w:rPr>
        <w:tab/>
        <w:t xml:space="preserve">Lokalizacja: </w:t>
      </w:r>
      <w:r w:rsidRPr="00B62FFE">
        <w:rPr>
          <w:rFonts w:cs="TimesNewRomanPS-BoldItalicMT"/>
          <w:iCs/>
        </w:rPr>
        <w:t xml:space="preserve">Oznakowanie </w:t>
      </w:r>
      <w:r w:rsidR="00B62FFE" w:rsidRPr="00B62FFE">
        <w:rPr>
          <w:rFonts w:cs="TimesNewRomanPS-BoldItalicMT"/>
          <w:iCs/>
        </w:rPr>
        <w:t xml:space="preserve">lub oznaczniki </w:t>
      </w:r>
      <w:r w:rsidRPr="00B62FFE">
        <w:rPr>
          <w:rFonts w:cs="TimesNewRomanPS-BoldItalicMT"/>
          <w:iCs/>
        </w:rPr>
        <w:t>obwodu strefy FATO powinny być zlokalizowane na krawędzi strefy FATO.</w:t>
      </w:r>
    </w:p>
    <w:p w14:paraId="080A533F" w14:textId="77777777" w:rsidR="00372014" w:rsidRPr="00B62FFE" w:rsidRDefault="00372014" w:rsidP="00372014">
      <w:pPr>
        <w:tabs>
          <w:tab w:val="left" w:pos="567"/>
        </w:tabs>
        <w:autoSpaceDE w:val="0"/>
        <w:autoSpaceDN w:val="0"/>
        <w:adjustRightInd w:val="0"/>
        <w:rPr>
          <w:rFonts w:cs="TimesNewRomanPS-BoldItalicMT"/>
          <w:bCs/>
          <w:iCs/>
        </w:rPr>
      </w:pPr>
      <w:r w:rsidRPr="00B62FFE">
        <w:rPr>
          <w:rFonts w:cs="TimesNewRomanPS-BoldItalicMT"/>
          <w:bCs/>
          <w:iCs/>
        </w:rPr>
        <w:t xml:space="preserve">(c) </w:t>
      </w:r>
      <w:r w:rsidRPr="00B62FFE">
        <w:rPr>
          <w:rFonts w:cs="TimesNewRomanPS-BoldItalicMT"/>
          <w:bCs/>
          <w:iCs/>
        </w:rPr>
        <w:tab/>
        <w:t>Charakterystyka:</w:t>
      </w:r>
    </w:p>
    <w:p w14:paraId="20ADA9E7" w14:textId="7579EF26" w:rsidR="00372014" w:rsidRPr="00B62FFE" w:rsidRDefault="00372014" w:rsidP="00372014">
      <w:pPr>
        <w:tabs>
          <w:tab w:val="left" w:pos="1134"/>
        </w:tabs>
        <w:autoSpaceDE w:val="0"/>
        <w:autoSpaceDN w:val="0"/>
        <w:adjustRightInd w:val="0"/>
        <w:ind w:left="1134" w:hanging="567"/>
        <w:rPr>
          <w:rFonts w:cs="TimesNewRomanPS-BoldItalicMT"/>
          <w:bCs/>
          <w:iCs/>
        </w:rPr>
      </w:pPr>
      <w:r w:rsidRPr="00B62FFE">
        <w:rPr>
          <w:rFonts w:cs="TimesNewRomanPS-BoldItalicMT"/>
          <w:bCs/>
          <w:iCs/>
        </w:rPr>
        <w:t xml:space="preserve">(1) </w:t>
      </w:r>
      <w:r w:rsidRPr="00B62FFE">
        <w:rPr>
          <w:rFonts w:cs="TimesNewRomanPS-BoldItalicMT"/>
          <w:bCs/>
          <w:iCs/>
        </w:rPr>
        <w:tab/>
        <w:t>Dla strefy FATO typu droga startowa:</w:t>
      </w:r>
    </w:p>
    <w:p w14:paraId="415BBA11" w14:textId="1A28A98E" w:rsidR="00372014" w:rsidRPr="00B62FFE" w:rsidRDefault="00372014" w:rsidP="00372014">
      <w:pPr>
        <w:tabs>
          <w:tab w:val="left" w:pos="1701"/>
        </w:tabs>
        <w:autoSpaceDE w:val="0"/>
        <w:autoSpaceDN w:val="0"/>
        <w:adjustRightInd w:val="0"/>
        <w:ind w:left="1701" w:hanging="567"/>
        <w:rPr>
          <w:rFonts w:cs="TimesNewRomanPS-BoldItalicMT"/>
          <w:bCs/>
          <w:iCs/>
        </w:rPr>
      </w:pPr>
      <w:r w:rsidRPr="00B62FFE">
        <w:rPr>
          <w:rFonts w:cs="TimesNewRomanPS-BoldItalicMT"/>
          <w:bCs/>
          <w:iCs/>
        </w:rPr>
        <w:t xml:space="preserve">(i) </w:t>
      </w:r>
      <w:r w:rsidRPr="00B62FFE">
        <w:rPr>
          <w:rFonts w:cs="TimesNewRomanPS-BoldItalicMT"/>
          <w:bCs/>
          <w:iCs/>
        </w:rPr>
        <w:tab/>
        <w:t>Obwód strefy FATO powinien być określony za pomocą oznakowania lub oznaczników rozmieszczonych w równych odstępa</w:t>
      </w:r>
      <w:r w:rsidR="00B62FFE" w:rsidRPr="00B62FFE">
        <w:rPr>
          <w:rFonts w:cs="TimesNewRomanPS-BoldItalicMT"/>
          <w:bCs/>
          <w:iCs/>
        </w:rPr>
        <w:t>ch nie większych niż 50 m, z co </w:t>
      </w:r>
      <w:r w:rsidRPr="00B62FFE">
        <w:rPr>
          <w:rFonts w:cs="TimesNewRomanPS-BoldItalicMT"/>
          <w:bCs/>
          <w:iCs/>
        </w:rPr>
        <w:t>najmniej trzema oznakowaniami lub oznacznikami po każdej stronie, włączając w to oznakowanie lub oznacznik w każdym narożniku.</w:t>
      </w:r>
    </w:p>
    <w:p w14:paraId="76FDEC06" w14:textId="38D44374" w:rsidR="00372014" w:rsidRPr="00B62FFE" w:rsidRDefault="00372014" w:rsidP="00372014">
      <w:pPr>
        <w:tabs>
          <w:tab w:val="left" w:pos="1701"/>
        </w:tabs>
        <w:autoSpaceDE w:val="0"/>
        <w:autoSpaceDN w:val="0"/>
        <w:adjustRightInd w:val="0"/>
        <w:ind w:left="1701" w:hanging="567"/>
        <w:rPr>
          <w:rFonts w:cs="TimesNewRomanPS-BoldItalicMT"/>
          <w:bCs/>
          <w:iCs/>
        </w:rPr>
      </w:pPr>
      <w:r w:rsidRPr="00B62FFE">
        <w:rPr>
          <w:rFonts w:cs="TimesNewRomanPS-BoldItalicMT"/>
          <w:bCs/>
          <w:iCs/>
        </w:rPr>
        <w:t xml:space="preserve">(ii) </w:t>
      </w:r>
      <w:r w:rsidRPr="00B62FFE">
        <w:rPr>
          <w:rFonts w:cs="TimesNewRomanPS-BoldItalicMT"/>
          <w:bCs/>
          <w:iCs/>
        </w:rPr>
        <w:tab/>
        <w:t xml:space="preserve">Oznakowanie </w:t>
      </w:r>
      <w:r w:rsidR="00587D6D" w:rsidRPr="00B62FFE">
        <w:rPr>
          <w:rFonts w:cs="TimesNewRomanPS-BoldItalicMT"/>
          <w:bCs/>
          <w:iCs/>
        </w:rPr>
        <w:t xml:space="preserve">obwodu </w:t>
      </w:r>
      <w:r w:rsidRPr="00B62FFE">
        <w:rPr>
          <w:rFonts w:cs="TimesNewRomanPS-BoldItalicMT"/>
          <w:bCs/>
          <w:iCs/>
        </w:rPr>
        <w:t xml:space="preserve">strefy FATO powinno mieć </w:t>
      </w:r>
      <w:r w:rsidR="00B62FFE" w:rsidRPr="00B62FFE">
        <w:rPr>
          <w:rFonts w:cs="TimesNewRomanPS-BoldItalicMT"/>
          <w:bCs/>
          <w:iCs/>
        </w:rPr>
        <w:t>kształt</w:t>
      </w:r>
      <w:r w:rsidR="00587D6D" w:rsidRPr="00B62FFE">
        <w:rPr>
          <w:rFonts w:cs="TimesNewRomanPS-BoldItalicMT"/>
          <w:bCs/>
          <w:iCs/>
        </w:rPr>
        <w:t xml:space="preserve"> prostokątnego pasa o </w:t>
      </w:r>
      <w:r w:rsidRPr="00B62FFE">
        <w:rPr>
          <w:rFonts w:cs="TimesNewRomanPS-BoldItalicMT"/>
          <w:bCs/>
          <w:iCs/>
        </w:rPr>
        <w:t>długości 9 m lub jednej piątej boku strefy FATO</w:t>
      </w:r>
      <w:r w:rsidR="00587D6D" w:rsidRPr="00B62FFE">
        <w:rPr>
          <w:rFonts w:cs="TimesNewRomanPS-BoldItalicMT"/>
          <w:bCs/>
          <w:iCs/>
        </w:rPr>
        <w:t>, którą określa</w:t>
      </w:r>
      <w:r w:rsidRPr="00B62FFE">
        <w:rPr>
          <w:rFonts w:cs="TimesNewRomanPS-BoldItalicMT"/>
          <w:bCs/>
          <w:iCs/>
        </w:rPr>
        <w:t xml:space="preserve"> </w:t>
      </w:r>
      <w:r w:rsidR="00587D6D" w:rsidRPr="00B62FFE">
        <w:rPr>
          <w:rFonts w:cs="TimesNewRomanPS-BoldItalicMT"/>
          <w:bCs/>
          <w:iCs/>
        </w:rPr>
        <w:t>i szerokości</w:t>
      </w:r>
      <w:r w:rsidRPr="00B62FFE">
        <w:rPr>
          <w:rFonts w:cs="TimesNewRomanPS-BoldItalicMT"/>
          <w:bCs/>
          <w:iCs/>
        </w:rPr>
        <w:t xml:space="preserve"> 1 m. </w:t>
      </w:r>
    </w:p>
    <w:p w14:paraId="065497D2" w14:textId="731899C4" w:rsidR="00372014" w:rsidRPr="00B62FFE" w:rsidRDefault="00372014" w:rsidP="00372014">
      <w:pPr>
        <w:tabs>
          <w:tab w:val="left" w:pos="1701"/>
        </w:tabs>
        <w:autoSpaceDE w:val="0"/>
        <w:autoSpaceDN w:val="0"/>
        <w:adjustRightInd w:val="0"/>
        <w:ind w:left="1701" w:hanging="567"/>
        <w:rPr>
          <w:rFonts w:cs="TimesNewRomanPS-BoldItalicMT"/>
          <w:bCs/>
          <w:iCs/>
        </w:rPr>
      </w:pPr>
      <w:r w:rsidRPr="00B62FFE">
        <w:rPr>
          <w:rFonts w:cs="TimesNewRomanPS-BoldItalicMT"/>
          <w:bCs/>
          <w:iCs/>
        </w:rPr>
        <w:t xml:space="preserve">(iii) </w:t>
      </w:r>
      <w:r w:rsidRPr="00B62FFE">
        <w:rPr>
          <w:rFonts w:cs="TimesNewRomanPS-BoldItalicMT"/>
          <w:bCs/>
          <w:iCs/>
        </w:rPr>
        <w:tab/>
        <w:t>Oznakowanie obwodu strefy FATO powinno być białe.</w:t>
      </w:r>
    </w:p>
    <w:p w14:paraId="1E85D2FB" w14:textId="55CDD721" w:rsidR="00372014" w:rsidRPr="00DB4FB6" w:rsidRDefault="00587D6D" w:rsidP="00372014">
      <w:pPr>
        <w:tabs>
          <w:tab w:val="left" w:pos="1701"/>
        </w:tabs>
        <w:autoSpaceDE w:val="0"/>
        <w:autoSpaceDN w:val="0"/>
        <w:adjustRightInd w:val="0"/>
        <w:ind w:left="1701" w:hanging="567"/>
        <w:rPr>
          <w:rFonts w:cs="TimesNewRomanPS-BoldItalicMT"/>
          <w:bCs/>
          <w:iCs/>
        </w:rPr>
      </w:pPr>
      <w:r w:rsidRPr="00B62FFE">
        <w:rPr>
          <w:rFonts w:cs="TimesNewRomanPS-BoldItalicMT"/>
          <w:bCs/>
          <w:iCs/>
        </w:rPr>
        <w:t xml:space="preserve">(iv) </w:t>
      </w:r>
      <w:r w:rsidRPr="00B62FFE">
        <w:rPr>
          <w:rFonts w:cs="TimesNewRomanPS-BoldItalicMT"/>
          <w:bCs/>
          <w:iCs/>
        </w:rPr>
        <w:tab/>
      </w:r>
      <w:r w:rsidR="00372014" w:rsidRPr="00B62FFE">
        <w:rPr>
          <w:rFonts w:cs="TimesNewRomanPS-BoldItalicMT"/>
          <w:bCs/>
          <w:iCs/>
        </w:rPr>
        <w:t xml:space="preserve">Oznaczniki obwodu </w:t>
      </w:r>
      <w:r w:rsidR="00372014" w:rsidRPr="00DB4FB6">
        <w:rPr>
          <w:rFonts w:cs="TimesNewRomanPS-BoldItalicMT"/>
          <w:bCs/>
          <w:iCs/>
        </w:rPr>
        <w:t>strefy FATO powinny mieć kolor, który skutecznie kontrastuje z otaczającym je tłem.</w:t>
      </w:r>
    </w:p>
    <w:p w14:paraId="7FA770FE" w14:textId="21978AE5" w:rsidR="00587D6D" w:rsidRPr="0035571E" w:rsidRDefault="00587D6D" w:rsidP="00587D6D">
      <w:pPr>
        <w:tabs>
          <w:tab w:val="left" w:pos="1134"/>
        </w:tabs>
        <w:autoSpaceDE w:val="0"/>
        <w:autoSpaceDN w:val="0"/>
        <w:adjustRightInd w:val="0"/>
        <w:ind w:left="1134" w:hanging="567"/>
        <w:rPr>
          <w:rFonts w:cs="TimesNewRomanPS-BoldItalicMT"/>
          <w:bCs/>
          <w:iCs/>
          <w:szCs w:val="20"/>
        </w:rPr>
      </w:pPr>
      <w:r w:rsidRPr="0035571E">
        <w:rPr>
          <w:rFonts w:cs="TimesNewRomanPS-BoldItalicMT"/>
          <w:bCs/>
          <w:iCs/>
        </w:rPr>
        <w:t xml:space="preserve">(2) </w:t>
      </w:r>
      <w:r w:rsidRPr="0035571E">
        <w:rPr>
          <w:rFonts w:cs="TimesNewRomanPS-BoldItalicMT"/>
          <w:bCs/>
          <w:iCs/>
        </w:rPr>
        <w:tab/>
        <w:t xml:space="preserve">Dla </w:t>
      </w:r>
      <w:r w:rsidRPr="0035571E">
        <w:rPr>
          <w:rFonts w:cs="TimesNewRomanPS-BoldItalicMT"/>
          <w:bCs/>
          <w:iCs/>
          <w:szCs w:val="20"/>
        </w:rPr>
        <w:t>wszystkich stref FATO, z wyjątkiem FATO typu droga startowa.</w:t>
      </w:r>
    </w:p>
    <w:p w14:paraId="2B0DEA72" w14:textId="702154BE" w:rsidR="00372014" w:rsidRPr="0035571E" w:rsidRDefault="00587D6D" w:rsidP="00587D6D">
      <w:pPr>
        <w:tabs>
          <w:tab w:val="left" w:pos="1701"/>
        </w:tabs>
        <w:autoSpaceDE w:val="0"/>
        <w:autoSpaceDN w:val="0"/>
        <w:adjustRightInd w:val="0"/>
        <w:ind w:left="1701" w:hanging="567"/>
        <w:rPr>
          <w:rFonts w:cs="TimesNewRomanPS-BoldItalicMT"/>
          <w:bCs/>
          <w:iCs/>
        </w:rPr>
      </w:pPr>
      <w:r w:rsidRPr="0035571E">
        <w:rPr>
          <w:rFonts w:cs="TimesNewRomanPS-BoldItalicMT"/>
          <w:bCs/>
          <w:iCs/>
        </w:rPr>
        <w:t xml:space="preserve">(i) </w:t>
      </w:r>
      <w:r w:rsidRPr="0035571E">
        <w:rPr>
          <w:rFonts w:cs="TimesNewRomanPS-BoldItalicMT"/>
          <w:bCs/>
          <w:iCs/>
        </w:rPr>
        <w:tab/>
      </w:r>
      <w:r w:rsidR="00372014" w:rsidRPr="0035571E">
        <w:rPr>
          <w:rFonts w:cs="TimesNewRomanPS-BoldItalicMT"/>
          <w:bCs/>
          <w:iCs/>
        </w:rPr>
        <w:t>W przypadku strefy FATO</w:t>
      </w:r>
      <w:r w:rsidR="004B33CD">
        <w:rPr>
          <w:rFonts w:cs="TimesNewRomanPS-BoldItalicMT"/>
          <w:bCs/>
          <w:iCs/>
        </w:rPr>
        <w:t xml:space="preserve"> bez nawierzchni sztucznej</w:t>
      </w:r>
      <w:r w:rsidR="00372014" w:rsidRPr="0035571E">
        <w:rPr>
          <w:rFonts w:cs="TimesNewRomanPS-BoldItalicMT"/>
          <w:bCs/>
          <w:iCs/>
        </w:rPr>
        <w:t>, obwód powinien być określony przy pomocy oznaczników naziemnych (równo z ziemią). Oznaczniki obwodu strefy FATO powinny mieć 30 cm szerokości i 1,5 m długości, a odległości pomiędzy ich końcami powinny wynosić nie mniej niż 1,5 m i nie więcej niż 2 m. Narożniki kwadratowych lub prostokątnych stref FATO powinny być określone.</w:t>
      </w:r>
    </w:p>
    <w:p w14:paraId="4FE7D441" w14:textId="551E5939" w:rsidR="00372014" w:rsidRPr="0035571E" w:rsidRDefault="00587D6D" w:rsidP="00587D6D">
      <w:pPr>
        <w:tabs>
          <w:tab w:val="left" w:pos="1701"/>
        </w:tabs>
        <w:autoSpaceDE w:val="0"/>
        <w:autoSpaceDN w:val="0"/>
        <w:adjustRightInd w:val="0"/>
        <w:ind w:left="1701" w:hanging="567"/>
        <w:rPr>
          <w:rFonts w:cs="TimesNewRomanPS-BoldItalicMT"/>
          <w:bCs/>
          <w:iCs/>
        </w:rPr>
      </w:pPr>
      <w:r w:rsidRPr="0035571E">
        <w:rPr>
          <w:rFonts w:cs="TimesNewRomanPS-BoldItalicMT"/>
          <w:bCs/>
          <w:iCs/>
        </w:rPr>
        <w:t xml:space="preserve">(ii) </w:t>
      </w:r>
      <w:r w:rsidRPr="0035571E">
        <w:rPr>
          <w:rFonts w:cs="TimesNewRomanPS-BoldItalicMT"/>
          <w:bCs/>
          <w:iCs/>
        </w:rPr>
        <w:tab/>
        <w:t xml:space="preserve">W przypadku </w:t>
      </w:r>
      <w:r w:rsidR="00372014" w:rsidRPr="0035571E">
        <w:rPr>
          <w:rFonts w:cs="TimesNewRomanPS-BoldItalicMT"/>
          <w:bCs/>
          <w:iCs/>
        </w:rPr>
        <w:t>strefy FATO</w:t>
      </w:r>
      <w:r w:rsidR="004B33CD">
        <w:rPr>
          <w:rFonts w:cs="TimesNewRomanPS-BoldItalicMT"/>
          <w:bCs/>
          <w:iCs/>
        </w:rPr>
        <w:t xml:space="preserve"> o nawierzchni sztucznej</w:t>
      </w:r>
      <w:r w:rsidR="00372014" w:rsidRPr="0035571E">
        <w:rPr>
          <w:rFonts w:cs="TimesNewRomanPS-BoldItalicMT"/>
          <w:bCs/>
          <w:iCs/>
        </w:rPr>
        <w:t>, obwód powinien być określony przy pomocy linii przerywanej. Segmenty oznakowania obwodu strefy FATO powinny mieć 30 cm szerokości i 1,5 m długości, a odległości pomiędzy końcami segmentów powinny mieć nie mniej niż 1,5 m i nie więcej niż 2 m. Narożniki kwadratowych lub prostokątnych stref FATO powinny być określone.</w:t>
      </w:r>
    </w:p>
    <w:p w14:paraId="0BC6AE56" w14:textId="0CF7B693" w:rsidR="00372014" w:rsidRPr="00DD79BF" w:rsidRDefault="00587D6D" w:rsidP="00587D6D">
      <w:pPr>
        <w:tabs>
          <w:tab w:val="left" w:pos="1701"/>
        </w:tabs>
        <w:autoSpaceDE w:val="0"/>
        <w:autoSpaceDN w:val="0"/>
        <w:adjustRightInd w:val="0"/>
        <w:ind w:left="1701" w:hanging="567"/>
        <w:rPr>
          <w:rFonts w:cs="TimesNewRomanPS-BoldItalicMT"/>
          <w:bCs/>
          <w:iCs/>
        </w:rPr>
      </w:pPr>
      <w:r w:rsidRPr="0035571E">
        <w:rPr>
          <w:rFonts w:cs="TimesNewRomanPS-BoldItalicMT"/>
          <w:bCs/>
          <w:iCs/>
        </w:rPr>
        <w:t xml:space="preserve">(iii) </w:t>
      </w:r>
      <w:r w:rsidRPr="0035571E">
        <w:rPr>
          <w:rFonts w:cs="TimesNewRomanPS-BoldItalicMT"/>
          <w:bCs/>
          <w:iCs/>
        </w:rPr>
        <w:tab/>
      </w:r>
      <w:r w:rsidR="00372014" w:rsidRPr="0035571E">
        <w:rPr>
          <w:rFonts w:cs="TimesNewRomanPS-BoldItalicMT"/>
          <w:bCs/>
          <w:iCs/>
        </w:rPr>
        <w:t xml:space="preserve">Oznakowanie i oznaczniki naziemne obwodu strefy FATO powinny być </w:t>
      </w:r>
      <w:r w:rsidR="00DD79BF">
        <w:rPr>
          <w:rFonts w:cs="TimesNewRomanPS-BoldItalicMT"/>
          <w:bCs/>
          <w:iCs/>
        </w:rPr>
        <w:t>białe.</w:t>
      </w:r>
    </w:p>
    <w:p w14:paraId="43DCFE71" w14:textId="2D3E6ACA" w:rsidR="002E5C48" w:rsidRPr="009E064B" w:rsidRDefault="002E5C48" w:rsidP="00133B99">
      <w:pPr>
        <w:pStyle w:val="Nagwek6"/>
      </w:pPr>
      <w:bookmarkStart w:id="1923" w:name="_Toc12533375"/>
      <w:r w:rsidRPr="009E064B">
        <w:t>GM1 HPT-DSN.</w:t>
      </w:r>
      <w:r>
        <w:t>F.530</w:t>
      </w:r>
      <w:r w:rsidRPr="009E064B">
        <w:t xml:space="preserve">     </w:t>
      </w:r>
      <w:r w:rsidRPr="00900AA5">
        <w:t>Oznakowanie lub oznaczniki obwodu strefy podejścia końcowego</w:t>
      </w:r>
      <w:r w:rsidR="003832F2">
        <w:br/>
        <w:t xml:space="preserve"> </w:t>
      </w:r>
      <w:r w:rsidRPr="00900AA5">
        <w:t>i startu (FATO)</w:t>
      </w:r>
      <w:bookmarkEnd w:id="1923"/>
    </w:p>
    <w:p w14:paraId="101A1257" w14:textId="1A0CCE84"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EBD18F2" w14:textId="39347E90" w:rsidR="006721F4" w:rsidRPr="0035571E" w:rsidRDefault="002E5C48" w:rsidP="006721F4">
      <w:pPr>
        <w:tabs>
          <w:tab w:val="left" w:pos="567"/>
        </w:tabs>
        <w:autoSpaceDE w:val="0"/>
        <w:autoSpaceDN w:val="0"/>
        <w:adjustRightInd w:val="0"/>
        <w:ind w:left="567" w:hanging="567"/>
        <w:rPr>
          <w:rFonts w:cs="TimesNewRomanPS-BoldItalicMT"/>
          <w:bCs/>
          <w:iCs/>
        </w:rPr>
      </w:pPr>
      <w:r w:rsidRPr="0035571E">
        <w:rPr>
          <w:rFonts w:cs="TimesNewRomanPS-BoldItalicMT"/>
          <w:bCs/>
          <w:iCs/>
          <w:szCs w:val="20"/>
        </w:rPr>
        <w:t xml:space="preserve">(a) </w:t>
      </w:r>
      <w:r w:rsidRPr="0035571E">
        <w:rPr>
          <w:rFonts w:cs="TimesNewRomanPS-BoldItalicMT"/>
          <w:bCs/>
          <w:iCs/>
          <w:szCs w:val="20"/>
        </w:rPr>
        <w:tab/>
      </w:r>
      <w:r w:rsidR="006721F4" w:rsidRPr="0035571E">
        <w:rPr>
          <w:rFonts w:cs="TimesNewRomanPS-BoldItalicMT"/>
          <w:bCs/>
          <w:iCs/>
        </w:rPr>
        <w:t>Jeśli TLOF pokrywa się z FATO, to można użyć oznakowania TLOF.</w:t>
      </w:r>
    </w:p>
    <w:p w14:paraId="713AEE94" w14:textId="1E9DEF97" w:rsidR="002E5C48" w:rsidRPr="0035571E" w:rsidRDefault="006721F4" w:rsidP="006721F4">
      <w:pPr>
        <w:tabs>
          <w:tab w:val="left" w:pos="567"/>
        </w:tabs>
        <w:autoSpaceDE w:val="0"/>
        <w:autoSpaceDN w:val="0"/>
        <w:adjustRightInd w:val="0"/>
        <w:ind w:left="567" w:hanging="567"/>
        <w:rPr>
          <w:rFonts w:cs="TimesNewRomanPS-BoldItalicMT"/>
          <w:bCs/>
          <w:iCs/>
          <w:szCs w:val="20"/>
        </w:rPr>
      </w:pPr>
      <w:r w:rsidRPr="0035571E">
        <w:rPr>
          <w:rFonts w:cs="TimesNewRomanPS-BoldItalicMT"/>
          <w:bCs/>
          <w:iCs/>
          <w:szCs w:val="20"/>
        </w:rPr>
        <w:t xml:space="preserve">(b) </w:t>
      </w:r>
      <w:r w:rsidRPr="0035571E">
        <w:rPr>
          <w:rFonts w:cs="TimesNewRomanPS-BoldItalicMT"/>
          <w:bCs/>
          <w:iCs/>
          <w:szCs w:val="20"/>
        </w:rPr>
        <w:tab/>
      </w:r>
      <w:r w:rsidRPr="0035571E">
        <w:rPr>
          <w:rFonts w:cs="TimesNewRomanPS-BoldItalicMT"/>
          <w:bCs/>
          <w:iCs/>
        </w:rPr>
        <w:t xml:space="preserve">Oznaczniki obwodu strefy FATO powinny mieć jeden kolor, pomarańczowy </w:t>
      </w:r>
      <w:r w:rsidR="0035571E" w:rsidRPr="0035571E">
        <w:rPr>
          <w:rFonts w:cs="TimesNewRomanPS-BoldItalicMT"/>
          <w:bCs/>
          <w:iCs/>
        </w:rPr>
        <w:t>albo</w:t>
      </w:r>
      <w:r w:rsidRPr="0035571E">
        <w:rPr>
          <w:rFonts w:cs="TimesNewRomanPS-BoldItalicMT"/>
          <w:bCs/>
          <w:iCs/>
        </w:rPr>
        <w:t xml:space="preserve"> czerwony, lub </w:t>
      </w:r>
      <w:r w:rsidR="0035571E" w:rsidRPr="0035571E">
        <w:rPr>
          <w:rFonts w:cs="TimesNewRomanPS-BoldItalicMT"/>
          <w:bCs/>
          <w:iCs/>
        </w:rPr>
        <w:t xml:space="preserve">te </w:t>
      </w:r>
      <w:r w:rsidRPr="0035571E">
        <w:rPr>
          <w:rFonts w:cs="TimesNewRomanPS-BoldItalicMT"/>
          <w:bCs/>
          <w:iCs/>
        </w:rPr>
        <w:t xml:space="preserve">dwa kontrastujące kolory pomarańczowy i biały lub </w:t>
      </w:r>
      <w:r w:rsidR="0035571E" w:rsidRPr="0035571E">
        <w:rPr>
          <w:rFonts w:cs="TimesNewRomanPS-BoldItalicMT"/>
          <w:bCs/>
          <w:iCs/>
        </w:rPr>
        <w:t xml:space="preserve">alternatywnie mogą być użyte </w:t>
      </w:r>
      <w:r w:rsidRPr="0035571E">
        <w:rPr>
          <w:rFonts w:cs="TimesNewRomanPS-BoldItalicMT"/>
          <w:bCs/>
          <w:iCs/>
        </w:rPr>
        <w:t>kolor</w:t>
      </w:r>
      <w:r w:rsidR="0035571E" w:rsidRPr="0035571E">
        <w:rPr>
          <w:rFonts w:cs="TimesNewRomanPS-BoldItalicMT"/>
          <w:bCs/>
          <w:iCs/>
        </w:rPr>
        <w:t>y</w:t>
      </w:r>
      <w:r w:rsidRPr="0035571E">
        <w:rPr>
          <w:rFonts w:cs="TimesNewRomanPS-BoldItalicMT"/>
          <w:bCs/>
          <w:iCs/>
        </w:rPr>
        <w:t xml:space="preserve"> czerwony i biały, z wyjątkiem sytuacji, gdy kolory te zlewają się z </w:t>
      </w:r>
      <w:r w:rsidR="0035571E" w:rsidRPr="0035571E">
        <w:rPr>
          <w:rFonts w:cs="TimesNewRomanPS-BoldItalicMT"/>
          <w:bCs/>
          <w:iCs/>
        </w:rPr>
        <w:t>otaczającym tłem</w:t>
      </w:r>
      <w:r w:rsidRPr="0035571E">
        <w:rPr>
          <w:rFonts w:cs="TimesNewRomanPS-BoldItalicMT"/>
          <w:bCs/>
          <w:iCs/>
        </w:rPr>
        <w:t>. Oznacznik obwodu strefy FATO powinien mieć wymiary jak pokazano na Rysunku GM1-F-1.</w:t>
      </w:r>
    </w:p>
    <w:p w14:paraId="6FBD4D2F" w14:textId="0C374B2C" w:rsidR="002E5C48" w:rsidRPr="0035571E" w:rsidRDefault="002E5C48" w:rsidP="006721F4">
      <w:pPr>
        <w:tabs>
          <w:tab w:val="left" w:pos="567"/>
        </w:tabs>
        <w:autoSpaceDE w:val="0"/>
        <w:autoSpaceDN w:val="0"/>
        <w:adjustRightInd w:val="0"/>
        <w:ind w:left="567" w:hanging="567"/>
        <w:rPr>
          <w:rFonts w:cs="TimesNewRomanPS-BoldItalicMT"/>
          <w:bCs/>
          <w:iCs/>
          <w:szCs w:val="20"/>
        </w:rPr>
      </w:pPr>
    </w:p>
    <w:p w14:paraId="5D553EB3" w14:textId="77777777" w:rsidR="006721F4" w:rsidRPr="00900AA5" w:rsidRDefault="006721F4" w:rsidP="006721F4">
      <w:pPr>
        <w:tabs>
          <w:tab w:val="left" w:pos="1418"/>
        </w:tabs>
        <w:spacing w:before="120"/>
        <w:jc w:val="center"/>
        <w:rPr>
          <w:szCs w:val="20"/>
        </w:rPr>
      </w:pPr>
      <w:r w:rsidRPr="00900AA5">
        <w:rPr>
          <w:noProof/>
          <w:szCs w:val="20"/>
          <w:lang w:eastAsia="pl-PL"/>
        </w:rPr>
        <w:drawing>
          <wp:inline distT="0" distB="0" distL="0" distR="0" wp14:anchorId="13B42D99" wp14:editId="0245F963">
            <wp:extent cx="4953635" cy="3467735"/>
            <wp:effectExtent l="0" t="0" r="0" b="0"/>
            <wp:docPr id="424" name="Obraz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953635" cy="3467735"/>
                    </a:xfrm>
                    <a:prstGeom prst="rect">
                      <a:avLst/>
                    </a:prstGeom>
                    <a:noFill/>
                  </pic:spPr>
                </pic:pic>
              </a:graphicData>
            </a:graphic>
          </wp:inline>
        </w:drawing>
      </w:r>
    </w:p>
    <w:p w14:paraId="404B89A3" w14:textId="07E1BAE9" w:rsidR="002E5C48" w:rsidRPr="0035571E" w:rsidRDefault="006721F4" w:rsidP="006721F4">
      <w:pPr>
        <w:tabs>
          <w:tab w:val="left" w:pos="1134"/>
        </w:tabs>
        <w:autoSpaceDE w:val="0"/>
        <w:autoSpaceDN w:val="0"/>
        <w:adjustRightInd w:val="0"/>
        <w:spacing w:before="240" w:after="0"/>
        <w:jc w:val="center"/>
        <w:rPr>
          <w:rFonts w:cs="TimesNewRomanPS-BoldItalicMT"/>
          <w:b/>
          <w:bCs/>
          <w:iCs/>
          <w:sz w:val="20"/>
          <w:szCs w:val="20"/>
        </w:rPr>
      </w:pPr>
      <w:r w:rsidRPr="0035571E">
        <w:rPr>
          <w:b/>
          <w:sz w:val="20"/>
          <w:szCs w:val="20"/>
        </w:rPr>
        <w:t>Rysunek GM1-F-1   Oznacznik krawędzi strefy FATO typu droga startowa</w:t>
      </w:r>
    </w:p>
    <w:p w14:paraId="6F6395F5" w14:textId="4B345E3F" w:rsidR="002E5C48" w:rsidRPr="0035571E" w:rsidRDefault="002E5C48" w:rsidP="006721F4">
      <w:pPr>
        <w:tabs>
          <w:tab w:val="left" w:pos="1134"/>
        </w:tabs>
        <w:autoSpaceDE w:val="0"/>
        <w:autoSpaceDN w:val="0"/>
        <w:adjustRightInd w:val="0"/>
        <w:spacing w:after="0"/>
        <w:rPr>
          <w:rFonts w:cs="TimesNewRomanPS-BoldItalicMT"/>
          <w:bCs/>
          <w:iCs/>
          <w:szCs w:val="20"/>
        </w:rPr>
      </w:pPr>
    </w:p>
    <w:p w14:paraId="73B4C728" w14:textId="2979F709" w:rsidR="002E5C48" w:rsidRPr="009E064B" w:rsidRDefault="002E5C48" w:rsidP="002E5C48">
      <w:pPr>
        <w:pStyle w:val="Nagwek4"/>
        <w:rPr>
          <w:color w:val="auto"/>
        </w:rPr>
      </w:pPr>
      <w:bookmarkStart w:id="1924" w:name="_Toc12533376"/>
      <w:r w:rsidRPr="003832F2">
        <w:rPr>
          <w:color w:val="auto"/>
        </w:rPr>
        <w:t>CS HPT-DSN.F.540</w:t>
      </w:r>
      <w:r w:rsidRPr="003832F2">
        <w:rPr>
          <w:b w:val="0"/>
          <w:bCs w:val="0"/>
          <w:color w:val="FFFFFF"/>
          <w:sz w:val="32"/>
          <w:szCs w:val="32"/>
        </w:rPr>
        <w:t xml:space="preserve">     </w:t>
      </w:r>
      <w:r w:rsidR="003832F2" w:rsidRPr="003832F2">
        <w:rPr>
          <w:b w:val="0"/>
          <w:bCs w:val="0"/>
          <w:color w:val="FFFFFF"/>
          <w:sz w:val="32"/>
          <w:szCs w:val="32"/>
        </w:rPr>
        <w:t xml:space="preserve">   </w:t>
      </w:r>
      <w:r w:rsidRPr="003832F2">
        <w:t>Oznakowanie identyfikac</w:t>
      </w:r>
      <w:r w:rsidR="006721F4" w:rsidRPr="003832F2">
        <w:t>ji strefy podejścia końcowego</w:t>
      </w:r>
      <w:r w:rsidR="006721F4">
        <w:t xml:space="preserve"> i </w:t>
      </w:r>
      <w:r w:rsidRPr="00900AA5">
        <w:t>startu (FATO)</w:t>
      </w:r>
      <w:bookmarkEnd w:id="1924"/>
    </w:p>
    <w:p w14:paraId="79492CBC" w14:textId="4042C639"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DA1015B" w14:textId="082746EA" w:rsidR="00212E86" w:rsidRPr="0035571E" w:rsidRDefault="002E5C48" w:rsidP="00212E86">
      <w:pPr>
        <w:tabs>
          <w:tab w:val="left" w:pos="567"/>
        </w:tabs>
        <w:autoSpaceDE w:val="0"/>
        <w:autoSpaceDN w:val="0"/>
        <w:adjustRightInd w:val="0"/>
        <w:ind w:left="567" w:hanging="567"/>
        <w:rPr>
          <w:rFonts w:cs="TimesNewRomanPS-BoldItalicMT"/>
          <w:bCs/>
          <w:iCs/>
        </w:rPr>
      </w:pPr>
      <w:r w:rsidRPr="0035571E">
        <w:rPr>
          <w:rFonts w:cs="TimesNewRomanPS-BoldItalicMT"/>
          <w:bCs/>
          <w:iCs/>
          <w:szCs w:val="20"/>
        </w:rPr>
        <w:t>(a)</w:t>
      </w:r>
      <w:r w:rsidRPr="0035571E">
        <w:rPr>
          <w:rFonts w:cs="TimesNewRomanPS-BoldItalicMT"/>
          <w:bCs/>
          <w:iCs/>
          <w:szCs w:val="20"/>
        </w:rPr>
        <w:tab/>
      </w:r>
      <w:r w:rsidR="00212E86" w:rsidRPr="0035571E">
        <w:rPr>
          <w:rFonts w:cs="TimesNewRomanPS-BoldItalicMT"/>
          <w:bCs/>
          <w:iCs/>
          <w:szCs w:val="20"/>
        </w:rPr>
        <w:t xml:space="preserve">Zastosowanie: </w:t>
      </w:r>
      <w:r w:rsidR="00212E86" w:rsidRPr="0035571E">
        <w:rPr>
          <w:rFonts w:cs="TimesNewRomanPS-BoldItalicMT"/>
          <w:bCs/>
          <w:iCs/>
        </w:rPr>
        <w:t>Oznakowanie identyfikacji strefy FATO powinno być zapewniane dla strefy FATO typu droga startowa na lotnisku dla śmigłowców, gdy konieczne jest wyznaczenie takiej strefy FATO dla potrzeb pilota.</w:t>
      </w:r>
    </w:p>
    <w:p w14:paraId="137111E4" w14:textId="792C63D7" w:rsidR="00212E86" w:rsidRPr="0035571E" w:rsidRDefault="00212E86" w:rsidP="00212E86">
      <w:pPr>
        <w:tabs>
          <w:tab w:val="left" w:pos="567"/>
        </w:tabs>
        <w:autoSpaceDE w:val="0"/>
        <w:autoSpaceDN w:val="0"/>
        <w:adjustRightInd w:val="0"/>
        <w:ind w:left="567" w:hanging="567"/>
        <w:rPr>
          <w:rFonts w:cs="TimesNewRomanPS-BoldItalicMT"/>
          <w:bCs/>
          <w:iCs/>
          <w:szCs w:val="20"/>
        </w:rPr>
      </w:pPr>
      <w:r w:rsidRPr="0035571E">
        <w:rPr>
          <w:rFonts w:cs="TimesNewRomanPS-BoldItalicMT"/>
          <w:bCs/>
          <w:iCs/>
          <w:szCs w:val="20"/>
        </w:rPr>
        <w:t xml:space="preserve">(b) </w:t>
      </w:r>
      <w:r w:rsidRPr="0035571E">
        <w:rPr>
          <w:rFonts w:cs="TimesNewRomanPS-BoldItalicMT"/>
          <w:bCs/>
          <w:iCs/>
          <w:szCs w:val="20"/>
        </w:rPr>
        <w:tab/>
        <w:t>Lokalizacja: Jeśli jest zapewnione o</w:t>
      </w:r>
      <w:r w:rsidRPr="0035571E">
        <w:rPr>
          <w:rFonts w:cs="TimesNewRomanPS-BoldItalicMT"/>
          <w:bCs/>
          <w:iCs/>
        </w:rPr>
        <w:t>znakowanie identyfikacji strefy FATO powinno być zlokalizowane na początku strefy FATO (Rysunek F-2).</w:t>
      </w:r>
    </w:p>
    <w:p w14:paraId="4CB28BF8" w14:textId="47F54A59" w:rsidR="00212E86" w:rsidRPr="0035571E" w:rsidRDefault="00212E86" w:rsidP="00212E86">
      <w:pPr>
        <w:tabs>
          <w:tab w:val="left" w:pos="567"/>
        </w:tabs>
        <w:autoSpaceDE w:val="0"/>
        <w:autoSpaceDN w:val="0"/>
        <w:adjustRightInd w:val="0"/>
        <w:ind w:left="567" w:hanging="567"/>
        <w:rPr>
          <w:rFonts w:cs="TimesNewRomanPS-BoldItalicMT"/>
          <w:bCs/>
          <w:iCs/>
        </w:rPr>
      </w:pPr>
      <w:r w:rsidRPr="0035571E">
        <w:rPr>
          <w:rFonts w:cs="TimesNewRomanPS-BoldItalicMT"/>
          <w:bCs/>
          <w:iCs/>
          <w:szCs w:val="20"/>
        </w:rPr>
        <w:t xml:space="preserve">(c) </w:t>
      </w:r>
      <w:r w:rsidRPr="0035571E">
        <w:rPr>
          <w:rFonts w:cs="TimesNewRomanPS-BoldItalicMT"/>
          <w:bCs/>
          <w:iCs/>
          <w:szCs w:val="20"/>
        </w:rPr>
        <w:tab/>
        <w:t xml:space="preserve">Charakterystyka: </w:t>
      </w:r>
      <w:r w:rsidRPr="0035571E">
        <w:rPr>
          <w:rFonts w:cs="TimesNewRomanPS-BoldItalicMT"/>
          <w:bCs/>
          <w:iCs/>
        </w:rPr>
        <w:t xml:space="preserve">Oznakowanie identyfikacji strefy FATO powinno składać się z liczby dwucyfrowej. Liczba ta powinna być liczba całkowitą najbliższą jednej dziesiątej północy magnetycznej widzianej z kierunku podejścia. Jeżeli powyższa zasada daje liczbę jednocyfrową to powinna być ona poprzedzona zerem (patrz Rysunek F-2). </w:t>
      </w:r>
    </w:p>
    <w:p w14:paraId="62D87376" w14:textId="7A1938FF" w:rsidR="002E5C48" w:rsidRPr="009E064B" w:rsidRDefault="002E5C48" w:rsidP="00133B99">
      <w:pPr>
        <w:pStyle w:val="Nagwek6"/>
      </w:pPr>
      <w:bookmarkStart w:id="1925" w:name="_Toc12533377"/>
      <w:r w:rsidRPr="009E064B">
        <w:t>GM1 HPT-DSN.</w:t>
      </w:r>
      <w:r w:rsidR="00615F62">
        <w:t>F.54</w:t>
      </w:r>
      <w:r>
        <w:t>0</w:t>
      </w:r>
      <w:r w:rsidRPr="009E064B">
        <w:t xml:space="preserve">     </w:t>
      </w:r>
      <w:r w:rsidRPr="00900AA5">
        <w:t>Oznakowanie identyfikacji strefy podejścia końcowego i startu (FATO)</w:t>
      </w:r>
      <w:bookmarkEnd w:id="1925"/>
    </w:p>
    <w:p w14:paraId="24D25733" w14:textId="1964104B"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24EC6E0" w14:textId="25CFC2D9" w:rsidR="00A42168" w:rsidRPr="0022478F" w:rsidRDefault="00A42168" w:rsidP="0022478F">
      <w:pPr>
        <w:tabs>
          <w:tab w:val="left" w:pos="0"/>
        </w:tabs>
        <w:autoSpaceDE w:val="0"/>
        <w:autoSpaceDN w:val="0"/>
        <w:adjustRightInd w:val="0"/>
        <w:rPr>
          <w:rFonts w:cs="TimesNewRomanPS-BoldItalicMT"/>
          <w:bCs/>
          <w:iCs/>
          <w:szCs w:val="20"/>
        </w:rPr>
      </w:pPr>
      <w:r w:rsidRPr="0022478F">
        <w:rPr>
          <w:rFonts w:cs="TimesNewRomanPS-BoldItalicMT"/>
          <w:bCs/>
          <w:iCs/>
          <w:szCs w:val="20"/>
        </w:rPr>
        <w:t>Dla strefy FATO typu droga startowa cyfry i litery oznakowania pow</w:t>
      </w:r>
      <w:r w:rsidR="0022478F" w:rsidRPr="0022478F">
        <w:rPr>
          <w:rFonts w:cs="TimesNewRomanPS-BoldItalicMT"/>
          <w:bCs/>
          <w:iCs/>
          <w:szCs w:val="20"/>
        </w:rPr>
        <w:t>inny mieć kolor kontrastujący z </w:t>
      </w:r>
      <w:r w:rsidRPr="0022478F">
        <w:rPr>
          <w:rFonts w:cs="TimesNewRomanPS-BoldItalicMT"/>
          <w:bCs/>
          <w:iCs/>
          <w:szCs w:val="20"/>
        </w:rPr>
        <w:t>tłem i powinny mieć kształt i proporcje jak pokazano na Rysunku GM1-F-2.</w:t>
      </w:r>
    </w:p>
    <w:p w14:paraId="548C8669" w14:textId="525C2ECC" w:rsidR="00A42168" w:rsidRPr="000262FE" w:rsidRDefault="00A42168">
      <w:pPr>
        <w:spacing w:after="0"/>
        <w:jc w:val="left"/>
        <w:rPr>
          <w:rFonts w:cs="TimesNewRomanPS-BoldItalicMT"/>
          <w:bCs/>
          <w:iCs/>
          <w:szCs w:val="20"/>
        </w:rPr>
      </w:pPr>
      <w:r w:rsidRPr="000262FE">
        <w:rPr>
          <w:rFonts w:cs="TimesNewRomanPS-BoldItalicMT"/>
          <w:bCs/>
          <w:iCs/>
          <w:szCs w:val="20"/>
        </w:rPr>
        <w:br w:type="page"/>
      </w:r>
    </w:p>
    <w:p w14:paraId="357C1CA1" w14:textId="77777777" w:rsidR="002E5C48" w:rsidRPr="0022478F" w:rsidRDefault="002E5C48" w:rsidP="002E5C48">
      <w:pPr>
        <w:tabs>
          <w:tab w:val="left" w:pos="1134"/>
        </w:tabs>
        <w:autoSpaceDE w:val="0"/>
        <w:autoSpaceDN w:val="0"/>
        <w:adjustRightInd w:val="0"/>
        <w:spacing w:after="0"/>
        <w:rPr>
          <w:rFonts w:cs="TimesNewRomanPS-BoldItalicMT"/>
          <w:bCs/>
          <w:iCs/>
          <w:szCs w:val="20"/>
        </w:rPr>
      </w:pPr>
    </w:p>
    <w:p w14:paraId="7CD9E9A0" w14:textId="7A15034E" w:rsidR="00A42168" w:rsidRDefault="00B4673E" w:rsidP="00A42168">
      <w:pPr>
        <w:jc w:val="left"/>
        <w:rPr>
          <w:szCs w:val="20"/>
        </w:rPr>
      </w:pPr>
      <w:r>
        <w:rPr>
          <w:noProof/>
          <w:szCs w:val="20"/>
          <w:lang w:eastAsia="pl-PL"/>
        </w:rPr>
        <mc:AlternateContent>
          <mc:Choice Requires="wpc">
            <w:drawing>
              <wp:inline distT="0" distB="0" distL="0" distR="0" wp14:anchorId="132CCE5C" wp14:editId="06E6F846">
                <wp:extent cx="5700395" cy="5813947"/>
                <wp:effectExtent l="0" t="0" r="14605" b="15875"/>
                <wp:docPr id="425" name="Kanwa 4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9525">
                          <a:solidFill>
                            <a:schemeClr val="tx1"/>
                          </a:solidFill>
                        </a:ln>
                      </wpc:whole>
                      <wpg:wgp>
                        <wpg:cNvPr id="429" name="Grupa 429"/>
                        <wpg:cNvGrpSpPr/>
                        <wpg:grpSpPr>
                          <a:xfrm>
                            <a:off x="191070" y="269432"/>
                            <a:ext cx="5246604" cy="5352660"/>
                            <a:chOff x="-13647" y="235312"/>
                            <a:chExt cx="5246604" cy="5352660"/>
                          </a:xfrm>
                        </wpg:grpSpPr>
                        <pic:pic xmlns:pic="http://schemas.openxmlformats.org/drawingml/2006/picture">
                          <pic:nvPicPr>
                            <pic:cNvPr id="426" name="Obraz 426"/>
                            <pic:cNvPicPr>
                              <a:picLocks noChangeAspect="1"/>
                            </pic:cNvPicPr>
                          </pic:nvPicPr>
                          <pic:blipFill>
                            <a:blip r:embed="rId338"/>
                            <a:stretch>
                              <a:fillRect/>
                            </a:stretch>
                          </pic:blipFill>
                          <pic:spPr>
                            <a:xfrm>
                              <a:off x="43407" y="235312"/>
                              <a:ext cx="5189550" cy="4698353"/>
                            </a:xfrm>
                            <a:prstGeom prst="rect">
                              <a:avLst/>
                            </a:prstGeom>
                          </pic:spPr>
                        </pic:pic>
                        <wps:wsp>
                          <wps:cNvPr id="427" name="Pole tekstowe 427"/>
                          <wps:cNvSpPr txBox="1"/>
                          <wps:spPr>
                            <a:xfrm>
                              <a:off x="-13647" y="5287721"/>
                              <a:ext cx="3254991" cy="300251"/>
                            </a:xfrm>
                            <a:prstGeom prst="rect">
                              <a:avLst/>
                            </a:prstGeom>
                            <a:solidFill>
                              <a:schemeClr val="lt1"/>
                            </a:solidFill>
                            <a:ln w="6350">
                              <a:noFill/>
                            </a:ln>
                          </wps:spPr>
                          <wps:txbx>
                            <w:txbxContent>
                              <w:p w14:paraId="5FDAFD7D" w14:textId="787D06D7" w:rsidR="003832F2" w:rsidRPr="00B4673E" w:rsidRDefault="003832F2">
                                <w:pPr>
                                  <w:rPr>
                                    <w:sz w:val="20"/>
                                  </w:rPr>
                                </w:pPr>
                                <w:r w:rsidRPr="00B4673E">
                                  <w:rPr>
                                    <w:sz w:val="20"/>
                                  </w:rPr>
                                  <w:t>Uwaga – Wszystkie wymiary podano w centymetrach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32CCE5C" id="Kanwa 425" o:spid="_x0000_s1271" editas="canvas" style="width:448.85pt;height:457.8pt;mso-position-horizontal-relative:char;mso-position-vertical-relative:line" coordsize="57003,58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">
                <v:shape id="_x0000_s1272" type="#_x0000_t75" style="position:absolute;width:57003;height:58134;visibility:visible;mso-wrap-style:square" stroked="t" strokecolor="black [3213]">
                  <v:fill o:detectmouseclick="t"/>
                  <v:path o:connecttype="none"/>
                </v:shape>
                <v:group id="Grupa 429" o:spid="_x0000_s1273" style="position:absolute;left:1910;top:2694;width:52466;height:53526" coordorigin="-136,2353" coordsize="52466,5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Obraz 426" o:spid="_x0000_s1274" type="#_x0000_t75" style="position:absolute;left:434;top:2353;width:51895;height:46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">
                    <v:imagedata r:id="rId339" o:title=""/>
                    <v:path arrowok="t"/>
                  </v:shape>
                  <v:shape id="Pole tekstowe 427" o:spid="_x0000_s1275" type="#_x0000_t202" style="position:absolute;left:-136;top:52877;width:32549;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" fillcolor="white [3201]" stroked="f" strokeweight=".5pt">
                    <v:textbox>
                      <w:txbxContent>
                        <w:p w14:paraId="5FDAFD7D" w14:textId="787D06D7" w:rsidR="003832F2" w:rsidRPr="00B4673E" w:rsidRDefault="003832F2">
                          <w:pPr>
                            <w:rPr>
                              <w:sz w:val="20"/>
                            </w:rPr>
                          </w:pPr>
                          <w:r w:rsidRPr="00B4673E">
                            <w:rPr>
                              <w:sz w:val="20"/>
                            </w:rPr>
                            <w:t>Uwaga – Wszystkie wymiary podano w centymetrach</w:t>
                          </w:r>
                        </w:p>
                      </w:txbxContent>
                    </v:textbox>
                  </v:shape>
                </v:group>
                <w10:anchorlock/>
              </v:group>
            </w:pict>
          </mc:Fallback>
        </mc:AlternateContent>
      </w:r>
    </w:p>
    <w:p w14:paraId="32B2F76C" w14:textId="0E64C8A1" w:rsidR="00A42168" w:rsidRPr="0022478F" w:rsidRDefault="00A42168" w:rsidP="00A42168">
      <w:pPr>
        <w:pStyle w:val="Style101"/>
        <w:widowControl/>
        <w:spacing w:before="240" w:after="120" w:line="276" w:lineRule="auto"/>
        <w:ind w:firstLine="0"/>
        <w:jc w:val="center"/>
        <w:rPr>
          <w:rStyle w:val="FontStyle221"/>
          <w:rFonts w:asciiTheme="minorHAnsi" w:hAnsiTheme="minorHAnsi"/>
          <w:b/>
          <w:sz w:val="16"/>
          <w:lang w:eastAsia="de-DE"/>
        </w:rPr>
      </w:pPr>
      <w:r w:rsidRPr="0022478F">
        <w:rPr>
          <w:rFonts w:asciiTheme="minorHAnsi" w:hAnsiTheme="minorHAnsi"/>
          <w:b/>
          <w:bCs/>
          <w:sz w:val="20"/>
          <w:szCs w:val="20"/>
        </w:rPr>
        <w:t>Rysunek GM1-F-2   Kształt i proporcje liter i cyfr</w:t>
      </w:r>
    </w:p>
    <w:p w14:paraId="2E0D555E" w14:textId="77777777" w:rsidR="002E5C48" w:rsidRPr="0022478F" w:rsidRDefault="002E5C48" w:rsidP="002E5C48">
      <w:pPr>
        <w:tabs>
          <w:tab w:val="left" w:pos="1134"/>
        </w:tabs>
        <w:autoSpaceDE w:val="0"/>
        <w:autoSpaceDN w:val="0"/>
        <w:adjustRightInd w:val="0"/>
        <w:spacing w:after="0"/>
        <w:rPr>
          <w:rFonts w:cs="TimesNewRomanPS-BoldItalicMT"/>
          <w:bCs/>
          <w:iCs/>
          <w:szCs w:val="20"/>
        </w:rPr>
      </w:pPr>
    </w:p>
    <w:p w14:paraId="3288C983" w14:textId="5C429147" w:rsidR="00615F62" w:rsidRPr="00615F62" w:rsidRDefault="002E5C48" w:rsidP="00615F62">
      <w:pPr>
        <w:pStyle w:val="Nagwek4"/>
        <w:rPr>
          <w:color w:val="auto"/>
        </w:rPr>
      </w:pPr>
      <w:bookmarkStart w:id="1926" w:name="_CS_HPT-DSN.F.550_"/>
      <w:bookmarkStart w:id="1927" w:name="_Toc12533378"/>
      <w:bookmarkEnd w:id="1926"/>
      <w:r w:rsidRPr="003832F2">
        <w:rPr>
          <w:color w:val="auto"/>
        </w:rPr>
        <w:t>CS HPT-DSN.F.550</w:t>
      </w:r>
      <w:r w:rsidRPr="003832F2">
        <w:rPr>
          <w:b w:val="0"/>
          <w:bCs w:val="0"/>
          <w:color w:val="FFFFFF"/>
          <w:sz w:val="32"/>
          <w:szCs w:val="32"/>
        </w:rPr>
        <w:t xml:space="preserve">     </w:t>
      </w:r>
      <w:r w:rsidR="00615F62" w:rsidRPr="003832F2">
        <w:t>Oznakowanie punktu celowania</w:t>
      </w:r>
      <w:bookmarkEnd w:id="1927"/>
    </w:p>
    <w:p w14:paraId="44A77CD5" w14:textId="2D056051" w:rsidR="00615F62" w:rsidRPr="00615F62" w:rsidRDefault="001F74A1" w:rsidP="00615F62">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2019/012/R</w:t>
      </w:r>
    </w:p>
    <w:p w14:paraId="4AEDC87C" w14:textId="40CB684F" w:rsidR="005F58CE" w:rsidRPr="00DB4FB6" w:rsidRDefault="00615F62" w:rsidP="005F58CE">
      <w:pPr>
        <w:tabs>
          <w:tab w:val="left" w:pos="567"/>
        </w:tabs>
        <w:autoSpaceDE w:val="0"/>
        <w:autoSpaceDN w:val="0"/>
        <w:adjustRightInd w:val="0"/>
        <w:ind w:left="567" w:hanging="567"/>
        <w:rPr>
          <w:rFonts w:cs="TimesNewRomanPS-BoldItalicMT"/>
          <w:bCs/>
          <w:iCs/>
          <w:szCs w:val="20"/>
        </w:rPr>
      </w:pPr>
      <w:r w:rsidRPr="00DB4FB6">
        <w:rPr>
          <w:rFonts w:cs="TimesNewRomanPS-BoldItalicMT"/>
          <w:bCs/>
          <w:iCs/>
          <w:szCs w:val="20"/>
        </w:rPr>
        <w:t>(a)</w:t>
      </w:r>
      <w:r w:rsidRPr="00DB4FB6">
        <w:rPr>
          <w:rFonts w:cs="TimesNewRomanPS-BoldItalicMT"/>
          <w:bCs/>
          <w:iCs/>
          <w:szCs w:val="20"/>
        </w:rPr>
        <w:tab/>
      </w:r>
      <w:r w:rsidR="005F58CE" w:rsidRPr="00DB4FB6">
        <w:rPr>
          <w:rFonts w:cs="TimesNewRomanPS-BoldItalicMT"/>
          <w:bCs/>
          <w:iCs/>
          <w:szCs w:val="20"/>
        </w:rPr>
        <w:t xml:space="preserve">Celem bezpieczeństwa oznakowania punktu celowania jest zapewnienie </w:t>
      </w:r>
      <w:r w:rsidR="0022478F" w:rsidRPr="00DB4FB6">
        <w:rPr>
          <w:rFonts w:cs="TimesNewRomanPS-BoldItalicMT"/>
          <w:bCs/>
          <w:iCs/>
          <w:szCs w:val="20"/>
        </w:rPr>
        <w:t xml:space="preserve">pilotowi </w:t>
      </w:r>
      <w:r w:rsidR="005F58CE" w:rsidRPr="00DB4FB6">
        <w:rPr>
          <w:rFonts w:cs="TimesNewRomanPS-BoldItalicMT"/>
          <w:bCs/>
          <w:iCs/>
          <w:szCs w:val="20"/>
        </w:rPr>
        <w:t xml:space="preserve">wzrokowej </w:t>
      </w:r>
      <w:r w:rsidR="0022478F" w:rsidRPr="00DB4FB6">
        <w:rPr>
          <w:rFonts w:cs="TimesNewRomanPS-BoldItalicMT"/>
          <w:bCs/>
          <w:iCs/>
          <w:szCs w:val="20"/>
        </w:rPr>
        <w:t xml:space="preserve">informacji </w:t>
      </w:r>
      <w:r w:rsidR="005F58CE" w:rsidRPr="00DB4FB6">
        <w:rPr>
          <w:rFonts w:cs="TimesNewRomanPS-BoldItalicMT"/>
          <w:bCs/>
          <w:iCs/>
          <w:szCs w:val="20"/>
        </w:rPr>
        <w:t>wskaz</w:t>
      </w:r>
      <w:r w:rsidR="0022478F" w:rsidRPr="00DB4FB6">
        <w:rPr>
          <w:rFonts w:cs="TimesNewRomanPS-BoldItalicMT"/>
          <w:bCs/>
          <w:iCs/>
          <w:szCs w:val="20"/>
        </w:rPr>
        <w:t>ującej</w:t>
      </w:r>
      <w:r w:rsidR="00DB4FB6" w:rsidRPr="00DB4FB6">
        <w:rPr>
          <w:rFonts w:cs="TimesNewRomanPS-BoldItalicMT"/>
          <w:bCs/>
          <w:iCs/>
          <w:szCs w:val="20"/>
        </w:rPr>
        <w:t xml:space="preserve"> preferowany kierunek podejścia / </w:t>
      </w:r>
      <w:r w:rsidR="005F58CE" w:rsidRPr="00DB4FB6">
        <w:rPr>
          <w:rFonts w:cs="TimesNewRomanPS-BoldItalicMT"/>
          <w:bCs/>
          <w:iCs/>
          <w:szCs w:val="20"/>
        </w:rPr>
        <w:t>odlotu, do punktu</w:t>
      </w:r>
      <w:r w:rsidR="00DB4FB6" w:rsidRPr="00DB4FB6">
        <w:rPr>
          <w:rFonts w:cs="TimesNewRomanPS-BoldItalicMT"/>
          <w:bCs/>
          <w:iCs/>
          <w:szCs w:val="20"/>
        </w:rPr>
        <w:t xml:space="preserve"> do </w:t>
      </w:r>
      <w:r w:rsidR="005F58CE" w:rsidRPr="00DB4FB6">
        <w:rPr>
          <w:rFonts w:cs="TimesNewRomanPS-BoldItalicMT"/>
          <w:bCs/>
          <w:iCs/>
          <w:szCs w:val="20"/>
        </w:rPr>
        <w:t>któ</w:t>
      </w:r>
      <w:r w:rsidR="00DB4FB6" w:rsidRPr="00DB4FB6">
        <w:rPr>
          <w:rFonts w:cs="TimesNewRomanPS-BoldItalicMT"/>
          <w:bCs/>
          <w:iCs/>
          <w:szCs w:val="20"/>
        </w:rPr>
        <w:t>rego</w:t>
      </w:r>
      <w:r w:rsidR="005F58CE" w:rsidRPr="00DB4FB6">
        <w:rPr>
          <w:rFonts w:cs="TimesNewRomanPS-BoldItalicMT"/>
          <w:bCs/>
          <w:iCs/>
          <w:szCs w:val="20"/>
        </w:rPr>
        <w:t xml:space="preserve"> śmigłowiec zbliża się do </w:t>
      </w:r>
      <w:r w:rsidR="0022478F" w:rsidRPr="00DB4FB6">
        <w:rPr>
          <w:rFonts w:cs="TimesNewRomanPS-BoldItalicMT"/>
          <w:bCs/>
          <w:iCs/>
          <w:szCs w:val="20"/>
        </w:rPr>
        <w:t xml:space="preserve">wykonania </w:t>
      </w:r>
      <w:r w:rsidR="005F58CE" w:rsidRPr="00DB4FB6">
        <w:rPr>
          <w:rFonts w:cs="TimesNewRomanPS-BoldItalicMT"/>
          <w:bCs/>
          <w:iCs/>
          <w:szCs w:val="20"/>
        </w:rPr>
        <w:t xml:space="preserve">zawisu, </w:t>
      </w:r>
      <w:r w:rsidR="0022478F" w:rsidRPr="00DB4FB6">
        <w:rPr>
          <w:rFonts w:cs="TimesNewRomanPS-BoldItalicMT"/>
          <w:bCs/>
          <w:iCs/>
          <w:szCs w:val="20"/>
        </w:rPr>
        <w:t>przed</w:t>
      </w:r>
      <w:r w:rsidR="005F58CE" w:rsidRPr="00DB4FB6">
        <w:rPr>
          <w:rFonts w:cs="TimesNewRomanPS-BoldItalicMT"/>
          <w:bCs/>
          <w:iCs/>
          <w:szCs w:val="20"/>
        </w:rPr>
        <w:t xml:space="preserve"> ustawi</w:t>
      </w:r>
      <w:r w:rsidR="0022478F" w:rsidRPr="00DB4FB6">
        <w:rPr>
          <w:rFonts w:cs="TimesNewRomanPS-BoldItalicMT"/>
          <w:bCs/>
          <w:iCs/>
          <w:szCs w:val="20"/>
        </w:rPr>
        <w:t>eniem</w:t>
      </w:r>
      <w:r w:rsidR="005F58CE" w:rsidRPr="00DB4FB6">
        <w:rPr>
          <w:rFonts w:cs="TimesNewRomanPS-BoldItalicMT"/>
          <w:bCs/>
          <w:iCs/>
          <w:szCs w:val="20"/>
        </w:rPr>
        <w:t xml:space="preserve"> się </w:t>
      </w:r>
      <w:r w:rsidR="0022478F" w:rsidRPr="00DB4FB6">
        <w:rPr>
          <w:rFonts w:cs="TimesNewRomanPS-BoldItalicMT"/>
          <w:bCs/>
          <w:iCs/>
          <w:szCs w:val="20"/>
        </w:rPr>
        <w:t>do stanowiska</w:t>
      </w:r>
      <w:r w:rsidR="005F58CE" w:rsidRPr="00DB4FB6">
        <w:rPr>
          <w:rFonts w:cs="TimesNewRomanPS-BoldItalicMT"/>
          <w:bCs/>
          <w:iCs/>
          <w:szCs w:val="20"/>
        </w:rPr>
        <w:t>, na którym powin</w:t>
      </w:r>
      <w:r w:rsidR="0022478F" w:rsidRPr="00DB4FB6">
        <w:rPr>
          <w:rFonts w:cs="TimesNewRomanPS-BoldItalicMT"/>
          <w:bCs/>
          <w:iCs/>
          <w:szCs w:val="20"/>
        </w:rPr>
        <w:t>ien</w:t>
      </w:r>
      <w:r w:rsidR="005F58CE" w:rsidRPr="00DB4FB6">
        <w:rPr>
          <w:rFonts w:cs="TimesNewRomanPS-BoldItalicMT"/>
          <w:bCs/>
          <w:iCs/>
          <w:szCs w:val="20"/>
        </w:rPr>
        <w:t xml:space="preserve"> </w:t>
      </w:r>
      <w:r w:rsidR="0022478F" w:rsidRPr="00DB4FB6">
        <w:rPr>
          <w:rFonts w:cs="TimesNewRomanPS-BoldItalicMT"/>
          <w:bCs/>
          <w:iCs/>
          <w:szCs w:val="20"/>
        </w:rPr>
        <w:t>wykonać</w:t>
      </w:r>
      <w:r w:rsidR="005F58CE" w:rsidRPr="00DB4FB6">
        <w:rPr>
          <w:rFonts w:cs="TimesNewRomanPS-BoldItalicMT"/>
          <w:bCs/>
          <w:iCs/>
          <w:szCs w:val="20"/>
        </w:rPr>
        <w:t xml:space="preserve"> przyziemienie, oraz że powierzchnia </w:t>
      </w:r>
      <w:r w:rsidR="000262FE">
        <w:rPr>
          <w:rFonts w:cs="TimesNewRomanPS-BoldItalicMT"/>
          <w:bCs/>
          <w:iCs/>
          <w:szCs w:val="20"/>
        </w:rPr>
        <w:t xml:space="preserve">danego </w:t>
      </w:r>
      <w:r w:rsidR="005F58CE" w:rsidRPr="00DB4FB6">
        <w:rPr>
          <w:rFonts w:cs="TimesNewRomanPS-BoldItalicMT"/>
          <w:bCs/>
          <w:iCs/>
          <w:szCs w:val="20"/>
        </w:rPr>
        <w:t>FATO nie jest przeznaczona do przyziemienia.</w:t>
      </w:r>
    </w:p>
    <w:p w14:paraId="39315278" w14:textId="265F718D" w:rsidR="00B4673E" w:rsidRPr="00DB4FB6" w:rsidRDefault="005F58CE" w:rsidP="005F58CE">
      <w:pPr>
        <w:tabs>
          <w:tab w:val="left" w:pos="567"/>
        </w:tabs>
        <w:autoSpaceDE w:val="0"/>
        <w:autoSpaceDN w:val="0"/>
        <w:adjustRightInd w:val="0"/>
        <w:ind w:left="567" w:hanging="567"/>
        <w:rPr>
          <w:rFonts w:cs="TimesNewRomanPS-BoldItalicMT"/>
          <w:bCs/>
          <w:iCs/>
          <w:szCs w:val="20"/>
        </w:rPr>
      </w:pPr>
      <w:r w:rsidRPr="00DB4FB6">
        <w:rPr>
          <w:rFonts w:cs="TimesNewRomanPS-BoldItalicMT"/>
          <w:bCs/>
          <w:iCs/>
          <w:szCs w:val="20"/>
        </w:rPr>
        <w:t xml:space="preserve">(b) </w:t>
      </w:r>
      <w:r w:rsidRPr="00DB4FB6">
        <w:rPr>
          <w:rFonts w:cs="TimesNewRomanPS-BoldItalicMT"/>
          <w:bCs/>
          <w:iCs/>
          <w:szCs w:val="20"/>
        </w:rPr>
        <w:tab/>
        <w:t>Lokalizacja: Jeśli o</w:t>
      </w:r>
      <w:r w:rsidR="00B4673E" w:rsidRPr="00DB4FB6">
        <w:rPr>
          <w:rFonts w:cs="TimesNewRomanPS-BoldItalicMT"/>
          <w:bCs/>
          <w:iCs/>
          <w:szCs w:val="20"/>
        </w:rPr>
        <w:t xml:space="preserve">znakowanie punktu celowania </w:t>
      </w:r>
      <w:r w:rsidRPr="00DB4FB6">
        <w:rPr>
          <w:rFonts w:cs="TimesNewRomanPS-BoldItalicMT"/>
          <w:bCs/>
          <w:iCs/>
          <w:szCs w:val="20"/>
        </w:rPr>
        <w:t xml:space="preserve">jest zapewnione, to </w:t>
      </w:r>
      <w:r w:rsidR="00B4673E" w:rsidRPr="00DB4FB6">
        <w:rPr>
          <w:rFonts w:cs="TimesNewRomanPS-BoldItalicMT"/>
          <w:bCs/>
          <w:iCs/>
          <w:szCs w:val="20"/>
        </w:rPr>
        <w:t>powinno być zlokalizowane w str</w:t>
      </w:r>
      <w:r w:rsidRPr="00DB4FB6">
        <w:rPr>
          <w:rFonts w:cs="TimesNewRomanPS-BoldItalicMT"/>
          <w:bCs/>
          <w:iCs/>
          <w:szCs w:val="20"/>
        </w:rPr>
        <w:t>efie FATO (patrz Rysunek F-1).</w:t>
      </w:r>
    </w:p>
    <w:p w14:paraId="185B8CC6" w14:textId="77777777" w:rsidR="00941D45" w:rsidRPr="000262FE" w:rsidRDefault="005F58CE" w:rsidP="00941D45">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 xml:space="preserve">(c) </w:t>
      </w:r>
      <w:r w:rsidRPr="000262FE">
        <w:rPr>
          <w:rFonts w:cs="TimesNewRomanPS-BoldItalicMT"/>
          <w:bCs/>
          <w:iCs/>
          <w:szCs w:val="20"/>
        </w:rPr>
        <w:tab/>
      </w:r>
      <w:r w:rsidR="00B4673E" w:rsidRPr="000262FE">
        <w:rPr>
          <w:rFonts w:cs="TimesNewRomanPS-BoldItalicMT"/>
          <w:bCs/>
          <w:iCs/>
          <w:szCs w:val="20"/>
        </w:rPr>
        <w:t>Charakterystyka</w:t>
      </w:r>
      <w:r w:rsidRPr="000262FE">
        <w:rPr>
          <w:rFonts w:cs="TimesNewRomanPS-BoldItalicMT"/>
          <w:bCs/>
          <w:iCs/>
          <w:szCs w:val="20"/>
        </w:rPr>
        <w:t>:</w:t>
      </w:r>
    </w:p>
    <w:p w14:paraId="6C14859D" w14:textId="058AD4A3" w:rsidR="00941D45" w:rsidRPr="000262FE" w:rsidRDefault="00941D45" w:rsidP="00941D45">
      <w:pPr>
        <w:tabs>
          <w:tab w:val="left" w:pos="1134"/>
        </w:tabs>
        <w:autoSpaceDE w:val="0"/>
        <w:autoSpaceDN w:val="0"/>
        <w:adjustRightInd w:val="0"/>
        <w:ind w:left="1134" w:hanging="567"/>
        <w:rPr>
          <w:rFonts w:cs="TimesNewRomanPS-BoldItalicMT"/>
          <w:bCs/>
          <w:iCs/>
          <w:szCs w:val="20"/>
        </w:rPr>
      </w:pPr>
      <w:r w:rsidRPr="000262FE">
        <w:rPr>
          <w:rFonts w:cs="TimesNewRomanPS-BoldItalicMT"/>
          <w:bCs/>
          <w:iCs/>
          <w:szCs w:val="20"/>
        </w:rPr>
        <w:t xml:space="preserve">(i) </w:t>
      </w:r>
      <w:r w:rsidRPr="000262FE">
        <w:rPr>
          <w:rFonts w:cs="TimesNewRomanPS-BoldItalicMT"/>
          <w:bCs/>
          <w:iCs/>
          <w:szCs w:val="20"/>
        </w:rPr>
        <w:tab/>
      </w:r>
      <w:r w:rsidR="00B4673E" w:rsidRPr="000262FE">
        <w:rPr>
          <w:rFonts w:cs="TimesNewRomanPS-BoldItalicMT"/>
          <w:bCs/>
          <w:iCs/>
          <w:szCs w:val="20"/>
        </w:rPr>
        <w:t xml:space="preserve">Oznakowanie punktu celowania powinno mieć kształt równobocznego trójkąta, </w:t>
      </w:r>
      <w:r w:rsidRPr="000262FE">
        <w:rPr>
          <w:rFonts w:cs="TimesNewRomanPS-BoldItalicMT"/>
          <w:bCs/>
          <w:iCs/>
          <w:szCs w:val="20"/>
        </w:rPr>
        <w:t xml:space="preserve">o długości boków co najmniej 9 m, </w:t>
      </w:r>
      <w:r w:rsidR="00B4673E" w:rsidRPr="000262FE">
        <w:rPr>
          <w:rFonts w:cs="TimesNewRomanPS-BoldItalicMT"/>
          <w:bCs/>
          <w:iCs/>
          <w:szCs w:val="20"/>
        </w:rPr>
        <w:t>w którym dwusieczna jednego z kątów jest zgodn</w:t>
      </w:r>
      <w:r w:rsidR="00DB4FB6" w:rsidRPr="000262FE">
        <w:rPr>
          <w:rFonts w:cs="TimesNewRomanPS-BoldItalicMT"/>
          <w:bCs/>
          <w:iCs/>
          <w:szCs w:val="20"/>
        </w:rPr>
        <w:t>a z </w:t>
      </w:r>
      <w:r w:rsidR="00B4673E" w:rsidRPr="000262FE">
        <w:rPr>
          <w:rFonts w:cs="TimesNewRomanPS-BoldItalicMT"/>
          <w:bCs/>
          <w:iCs/>
          <w:szCs w:val="20"/>
        </w:rPr>
        <w:t>preferowanym kier</w:t>
      </w:r>
      <w:r w:rsidRPr="000262FE">
        <w:rPr>
          <w:rFonts w:cs="TimesNewRomanPS-BoldItalicMT"/>
          <w:bCs/>
          <w:iCs/>
          <w:szCs w:val="20"/>
        </w:rPr>
        <w:t>unkiem podejścia.</w:t>
      </w:r>
    </w:p>
    <w:p w14:paraId="685808CA" w14:textId="27DA6A9E" w:rsidR="00615F62" w:rsidRPr="000262FE" w:rsidRDefault="00941D45" w:rsidP="00941D45">
      <w:pPr>
        <w:tabs>
          <w:tab w:val="left" w:pos="1134"/>
        </w:tabs>
        <w:autoSpaceDE w:val="0"/>
        <w:autoSpaceDN w:val="0"/>
        <w:adjustRightInd w:val="0"/>
        <w:ind w:left="1134" w:hanging="567"/>
        <w:rPr>
          <w:rFonts w:cstheme="minorHAnsi"/>
          <w:szCs w:val="20"/>
        </w:rPr>
      </w:pPr>
      <w:r w:rsidRPr="000262FE">
        <w:rPr>
          <w:rFonts w:cs="TimesNewRomanPS-BoldItalicMT"/>
          <w:bCs/>
          <w:iCs/>
          <w:szCs w:val="20"/>
        </w:rPr>
        <w:t xml:space="preserve">(ii) </w:t>
      </w:r>
      <w:r w:rsidRPr="000262FE">
        <w:rPr>
          <w:rFonts w:cs="TimesNewRomanPS-BoldItalicMT"/>
          <w:bCs/>
          <w:iCs/>
          <w:szCs w:val="20"/>
        </w:rPr>
        <w:tab/>
      </w:r>
      <w:r w:rsidR="00B4673E" w:rsidRPr="000262FE">
        <w:rPr>
          <w:rFonts w:cs="TimesNewRomanPS-BoldItalicMT"/>
          <w:bCs/>
          <w:iCs/>
          <w:szCs w:val="20"/>
        </w:rPr>
        <w:t>Oznakowanie to powinno się skł</w:t>
      </w:r>
      <w:r w:rsidRPr="000262FE">
        <w:rPr>
          <w:rFonts w:cs="TimesNewRomanPS-BoldItalicMT"/>
          <w:bCs/>
          <w:iCs/>
          <w:szCs w:val="20"/>
        </w:rPr>
        <w:t>adać z białych linii ciągłych o szerokości 1.0 m (patrz R</w:t>
      </w:r>
      <w:r w:rsidR="00B4673E" w:rsidRPr="000262FE">
        <w:rPr>
          <w:rFonts w:cs="TimesNewRomanPS-BoldItalicMT"/>
          <w:bCs/>
          <w:iCs/>
          <w:szCs w:val="20"/>
        </w:rPr>
        <w:t>ysun</w:t>
      </w:r>
      <w:r w:rsidRPr="000262FE">
        <w:rPr>
          <w:rFonts w:cs="TimesNewRomanPS-BoldItalicMT"/>
          <w:bCs/>
          <w:iCs/>
          <w:szCs w:val="20"/>
        </w:rPr>
        <w:t>e</w:t>
      </w:r>
      <w:r w:rsidR="00B4673E" w:rsidRPr="000262FE">
        <w:rPr>
          <w:rFonts w:cs="TimesNewRomanPS-BoldItalicMT"/>
          <w:bCs/>
          <w:iCs/>
          <w:szCs w:val="20"/>
        </w:rPr>
        <w:t>k</w:t>
      </w:r>
      <w:r w:rsidRPr="000262FE">
        <w:rPr>
          <w:rFonts w:cs="TimesNewRomanPS-BoldItalicMT"/>
          <w:bCs/>
          <w:iCs/>
          <w:szCs w:val="20"/>
        </w:rPr>
        <w:t xml:space="preserve"> F-1 i F-12)</w:t>
      </w:r>
      <w:r w:rsidR="00B4673E" w:rsidRPr="000262FE">
        <w:rPr>
          <w:rFonts w:cs="TimesNewRomanPS-BoldItalicMT"/>
          <w:bCs/>
          <w:iCs/>
          <w:szCs w:val="20"/>
        </w:rPr>
        <w:t>.</w:t>
      </w:r>
    </w:p>
    <w:p w14:paraId="14561769" w14:textId="2C99BA35" w:rsidR="00615F62" w:rsidRPr="004B05A2" w:rsidRDefault="001655F4" w:rsidP="004B05A2">
      <w:pPr>
        <w:pStyle w:val="Nagwek6"/>
      </w:pPr>
      <w:bookmarkStart w:id="1928" w:name="_Toc12533379"/>
      <w:r>
        <w:t>GM1 HPT-DSN.F.55</w:t>
      </w:r>
      <w:r w:rsidR="00615F62" w:rsidRPr="004B05A2">
        <w:t>0     Oznakowanie punktu celowania</w:t>
      </w:r>
      <w:bookmarkEnd w:id="1928"/>
      <w:r w:rsidR="00615F62" w:rsidRPr="004B05A2">
        <w:t xml:space="preserve"> </w:t>
      </w:r>
    </w:p>
    <w:p w14:paraId="5CA5A602" w14:textId="2EF9C373" w:rsidR="00615F62" w:rsidRPr="00941D45" w:rsidRDefault="001F74A1" w:rsidP="00941D45">
      <w:pPr>
        <w:spacing w:after="80"/>
        <w:ind w:left="23"/>
        <w:jc w:val="right"/>
        <w:rPr>
          <w:rFonts w:asciiTheme="minorHAnsi" w:eastAsia="Times New Roman" w:hAnsiTheme="minorHAnsi" w:cstheme="minorHAnsi"/>
          <w:bCs/>
          <w:i/>
          <w:color w:val="1A171C"/>
          <w:sz w:val="16"/>
          <w:szCs w:val="20"/>
        </w:rPr>
      </w:pPr>
      <w:r>
        <w:rPr>
          <w:rFonts w:asciiTheme="minorHAnsi" w:eastAsia="Times New Roman" w:hAnsiTheme="minorHAnsi" w:cstheme="minorHAnsi"/>
          <w:bCs/>
          <w:i/>
          <w:color w:val="1A171C"/>
          <w:sz w:val="16"/>
          <w:szCs w:val="20"/>
        </w:rPr>
        <w:t>Decyzja ED 2019/012/R</w:t>
      </w:r>
    </w:p>
    <w:p w14:paraId="30DC3FFE" w14:textId="2FD473D6" w:rsidR="002E5C48" w:rsidRPr="000262FE" w:rsidRDefault="00941D45" w:rsidP="002E5C48">
      <w:pPr>
        <w:tabs>
          <w:tab w:val="left" w:pos="1134"/>
        </w:tabs>
        <w:autoSpaceDE w:val="0"/>
        <w:autoSpaceDN w:val="0"/>
        <w:adjustRightInd w:val="0"/>
        <w:spacing w:after="0"/>
        <w:rPr>
          <w:rFonts w:cs="TimesNewRomanPS-BoldItalicMT"/>
          <w:bCs/>
          <w:iCs/>
          <w:szCs w:val="20"/>
        </w:rPr>
      </w:pPr>
      <w:r w:rsidRPr="000262FE">
        <w:rPr>
          <w:rFonts w:cs="TimesNewRomanPS-BoldItalicMT"/>
          <w:bCs/>
          <w:iCs/>
        </w:rPr>
        <w:t xml:space="preserve">Dla </w:t>
      </w:r>
      <w:r w:rsidRPr="000262FE">
        <w:rPr>
          <w:rFonts w:cs="TimesNewRomanPS-BoldItalicMT"/>
          <w:bCs/>
          <w:iCs/>
          <w:szCs w:val="20"/>
        </w:rPr>
        <w:t>wszystkich stref FATO, z wyjątkiem FATO typu droga startowa, oznakowanie punktu celowania powinno być zlokalizowane w środku strefy FATO, jak pokazano na Rysunku F-1.</w:t>
      </w:r>
    </w:p>
    <w:p w14:paraId="5CE0D94B" w14:textId="3E7239C0" w:rsidR="002E5C48" w:rsidRPr="009E064B" w:rsidRDefault="00615F62" w:rsidP="002E5C48">
      <w:pPr>
        <w:pStyle w:val="Nagwek4"/>
        <w:rPr>
          <w:color w:val="auto"/>
        </w:rPr>
      </w:pPr>
      <w:bookmarkStart w:id="1929" w:name="_Toc12533380"/>
      <w:r w:rsidRPr="003832F2">
        <w:rPr>
          <w:color w:val="auto"/>
        </w:rPr>
        <w:t>CS HPT-DSN.F.56</w:t>
      </w:r>
      <w:r w:rsidR="002E5C48" w:rsidRPr="003832F2">
        <w:rPr>
          <w:color w:val="auto"/>
        </w:rPr>
        <w:t>0</w:t>
      </w:r>
      <w:r w:rsidR="002E5C48" w:rsidRPr="003832F2">
        <w:rPr>
          <w:b w:val="0"/>
          <w:bCs w:val="0"/>
          <w:color w:val="FFFFFF"/>
          <w:sz w:val="32"/>
          <w:szCs w:val="32"/>
        </w:rPr>
        <w:t xml:space="preserve">     </w:t>
      </w:r>
      <w:r w:rsidRPr="003832F2">
        <w:t>Oznakowanie obwodu strefy przyziemienia i wznoszenia</w:t>
      </w:r>
      <w:r w:rsidRPr="00900AA5">
        <w:t xml:space="preserve"> (TLOF)</w:t>
      </w:r>
      <w:bookmarkEnd w:id="1929"/>
    </w:p>
    <w:p w14:paraId="38FCEA23" w14:textId="019C4564"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128F5D9" w14:textId="633825B5" w:rsidR="00941D45" w:rsidRPr="000262FE" w:rsidRDefault="002E5C48" w:rsidP="00941D45">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(a)</w:t>
      </w:r>
      <w:r w:rsidRPr="000262FE">
        <w:rPr>
          <w:rFonts w:cs="TimesNewRomanPS-BoldItalicMT"/>
          <w:bCs/>
          <w:iCs/>
          <w:szCs w:val="20"/>
        </w:rPr>
        <w:tab/>
      </w:r>
      <w:r w:rsidR="00941D45" w:rsidRPr="000262FE">
        <w:rPr>
          <w:rFonts w:cs="TimesNewRomanPS-BoldItalicMT"/>
          <w:bCs/>
          <w:iCs/>
          <w:szCs w:val="20"/>
        </w:rPr>
        <w:t xml:space="preserve">Celem bezpieczeństwa oznakowania obwodu strefy przyziemienia i wznoszenia (TLOF) jest </w:t>
      </w:r>
      <w:r w:rsidR="0052331B" w:rsidRPr="000262FE">
        <w:rPr>
          <w:rFonts w:cs="TimesNewRomanPS-BoldItalicMT"/>
          <w:bCs/>
          <w:iCs/>
          <w:szCs w:val="20"/>
        </w:rPr>
        <w:t>zapewnienie</w:t>
      </w:r>
      <w:r w:rsidR="00941D45" w:rsidRPr="000262FE">
        <w:rPr>
          <w:rFonts w:cs="TimesNewRomanPS-BoldItalicMT"/>
          <w:bCs/>
          <w:iCs/>
          <w:szCs w:val="20"/>
        </w:rPr>
        <w:t xml:space="preserve"> pilotowi wyraźnego wskazania strefy TLOF.</w:t>
      </w:r>
    </w:p>
    <w:p w14:paraId="19BDCFFD" w14:textId="79D48545" w:rsidR="00941D45" w:rsidRPr="000262FE" w:rsidRDefault="0052331B" w:rsidP="0052331B">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 xml:space="preserve">(b) </w:t>
      </w:r>
      <w:r w:rsidRPr="000262FE">
        <w:rPr>
          <w:rFonts w:cs="TimesNewRomanPS-BoldItalicMT"/>
          <w:bCs/>
          <w:iCs/>
          <w:szCs w:val="20"/>
        </w:rPr>
        <w:tab/>
      </w:r>
      <w:r w:rsidR="00941D45" w:rsidRPr="000262FE">
        <w:rPr>
          <w:rFonts w:cs="TimesNewRomanPS-BoldItalicMT"/>
          <w:bCs/>
          <w:iCs/>
          <w:szCs w:val="20"/>
        </w:rPr>
        <w:t>Zastosowanie</w:t>
      </w:r>
      <w:r w:rsidRPr="000262FE">
        <w:rPr>
          <w:rFonts w:cs="TimesNewRomanPS-BoldItalicMT"/>
          <w:bCs/>
          <w:iCs/>
          <w:szCs w:val="20"/>
        </w:rPr>
        <w:t xml:space="preserve">: </w:t>
      </w:r>
      <w:r w:rsidR="00941D45" w:rsidRPr="000262FE">
        <w:rPr>
          <w:rFonts w:cs="TimesNewRomanPS-BoldItalicMT"/>
          <w:bCs/>
          <w:iCs/>
        </w:rPr>
        <w:t>Oznakowanie obwodu strefy TLOF powinno być zobrazowane dla strefy TLOF znajdującej się w strefie FATO lotnisk dla śmigłowców na ziemi, jeżeli obwód strefy TLOF nie jest oczywisty.</w:t>
      </w:r>
    </w:p>
    <w:p w14:paraId="43A73EC9" w14:textId="6EF3C2E0" w:rsidR="0052331B" w:rsidRPr="000262FE" w:rsidRDefault="0052331B" w:rsidP="0052331B">
      <w:pPr>
        <w:tabs>
          <w:tab w:val="left" w:pos="567"/>
        </w:tabs>
        <w:autoSpaceDE w:val="0"/>
        <w:autoSpaceDN w:val="0"/>
        <w:adjustRightInd w:val="0"/>
        <w:ind w:left="567" w:hanging="567"/>
        <w:rPr>
          <w:rFonts w:cs="TimesNewRomanPS-BoldItalicMT"/>
          <w:bCs/>
          <w:iCs/>
        </w:rPr>
      </w:pPr>
      <w:r w:rsidRPr="000262FE">
        <w:rPr>
          <w:rFonts w:cs="TimesNewRomanPS-BoldItalicMT"/>
          <w:bCs/>
          <w:iCs/>
        </w:rPr>
        <w:t xml:space="preserve">(c) </w:t>
      </w:r>
      <w:r w:rsidRPr="000262FE">
        <w:rPr>
          <w:rFonts w:cs="TimesNewRomanPS-BoldItalicMT"/>
          <w:bCs/>
          <w:iCs/>
        </w:rPr>
        <w:tab/>
        <w:t xml:space="preserve">Lokalizacja: Jeśli oznakowanie obwodu strefy TLOF jest zapewnione, to </w:t>
      </w:r>
      <w:r w:rsidR="00941D45" w:rsidRPr="000262FE">
        <w:rPr>
          <w:rFonts w:cs="TimesNewRomanPS-BoldItalicMT"/>
          <w:bCs/>
          <w:iCs/>
        </w:rPr>
        <w:t>powinno być z</w:t>
      </w:r>
      <w:r w:rsidRPr="000262FE">
        <w:rPr>
          <w:rFonts w:cs="TimesNewRomanPS-BoldItalicMT"/>
          <w:bCs/>
          <w:iCs/>
        </w:rPr>
        <w:t>lokalizowane wzdłuż krawędzi tej strefy.</w:t>
      </w:r>
    </w:p>
    <w:p w14:paraId="5B380710" w14:textId="211F6B7F" w:rsidR="002E5C48" w:rsidRPr="000262FE" w:rsidRDefault="0052331B" w:rsidP="002E5C48">
      <w:pPr>
        <w:tabs>
          <w:tab w:val="left" w:pos="567"/>
        </w:tabs>
        <w:autoSpaceDE w:val="0"/>
        <w:autoSpaceDN w:val="0"/>
        <w:adjustRightInd w:val="0"/>
        <w:ind w:left="567" w:hanging="567"/>
        <w:rPr>
          <w:rFonts w:cstheme="minorHAnsi"/>
          <w:szCs w:val="20"/>
        </w:rPr>
      </w:pPr>
      <w:r w:rsidRPr="000262FE">
        <w:rPr>
          <w:rFonts w:cs="TimesNewRomanPS-BoldItalicMT"/>
          <w:bCs/>
          <w:iCs/>
        </w:rPr>
        <w:t xml:space="preserve">(d) </w:t>
      </w:r>
      <w:r w:rsidRPr="000262FE">
        <w:rPr>
          <w:rFonts w:cs="TimesNewRomanPS-BoldItalicMT"/>
          <w:bCs/>
          <w:iCs/>
        </w:rPr>
        <w:tab/>
        <w:t xml:space="preserve">Charakterystyka: </w:t>
      </w:r>
      <w:r w:rsidR="00941D45" w:rsidRPr="000262FE">
        <w:rPr>
          <w:rFonts w:cs="TimesNewRomanPS-BoldItalicMT"/>
          <w:bCs/>
          <w:iCs/>
        </w:rPr>
        <w:t>Oznakowanie obwodu strefy TLOF powinno składać się z białej linii ciągłej o</w:t>
      </w:r>
      <w:r w:rsidRPr="000262FE">
        <w:rPr>
          <w:rFonts w:cs="TimesNewRomanPS-BoldItalicMT"/>
          <w:bCs/>
          <w:iCs/>
        </w:rPr>
        <w:t> </w:t>
      </w:r>
      <w:r w:rsidR="00941D45" w:rsidRPr="000262FE">
        <w:rPr>
          <w:rFonts w:cs="TimesNewRomanPS-BoldItalicMT"/>
          <w:bCs/>
          <w:iCs/>
        </w:rPr>
        <w:t>szerokości, co najmniej 30 cm.</w:t>
      </w:r>
    </w:p>
    <w:p w14:paraId="0F73E1CF" w14:textId="5A37CB6E" w:rsidR="002E5C48" w:rsidRPr="009E064B" w:rsidRDefault="002E5C48" w:rsidP="00133B99">
      <w:pPr>
        <w:pStyle w:val="Nagwek6"/>
      </w:pPr>
      <w:bookmarkStart w:id="1930" w:name="_Toc12533381"/>
      <w:r w:rsidRPr="009E064B">
        <w:t>GM1 HPT-DSN.</w:t>
      </w:r>
      <w:r w:rsidR="00615F62">
        <w:t>F.56</w:t>
      </w:r>
      <w:r>
        <w:t>0</w:t>
      </w:r>
      <w:r w:rsidRPr="009E064B">
        <w:t xml:space="preserve">     </w:t>
      </w:r>
      <w:r w:rsidR="00615F62" w:rsidRPr="00900AA5">
        <w:t>Oznakowanie obwodu strefy przyziemienia i wznoszenia (TLOF)</w:t>
      </w:r>
      <w:bookmarkEnd w:id="1930"/>
    </w:p>
    <w:p w14:paraId="6BAA7260" w14:textId="455A7027"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4EFA6CD" w14:textId="2DEC0437" w:rsidR="002E5C48" w:rsidRPr="000262FE" w:rsidRDefault="0052331B" w:rsidP="002E5C48">
      <w:pPr>
        <w:tabs>
          <w:tab w:val="left" w:pos="1134"/>
        </w:tabs>
        <w:autoSpaceDE w:val="0"/>
        <w:autoSpaceDN w:val="0"/>
        <w:adjustRightInd w:val="0"/>
        <w:spacing w:after="0"/>
        <w:rPr>
          <w:rFonts w:cs="TimesNewRomanPS-BoldItalicMT"/>
          <w:bCs/>
          <w:iCs/>
        </w:rPr>
      </w:pPr>
      <w:r w:rsidRPr="000262FE">
        <w:rPr>
          <w:rFonts w:cs="TimesNewRomanPS-BoldItalicMT"/>
          <w:bCs/>
          <w:iCs/>
        </w:rPr>
        <w:t xml:space="preserve">Oznakowanie obwodu strefy TLOF powinno być zapewnione na każdym TLOF </w:t>
      </w:r>
      <w:r w:rsidR="000262FE" w:rsidRPr="000262FE">
        <w:rPr>
          <w:rFonts w:cs="TimesNewRomanPS-BoldItalicMT"/>
          <w:bCs/>
          <w:iCs/>
        </w:rPr>
        <w:t xml:space="preserve">rozmieszczonym </w:t>
      </w:r>
      <w:r w:rsidRPr="000262FE">
        <w:rPr>
          <w:rFonts w:cs="TimesNewRomanPS-BoldItalicMT"/>
          <w:bCs/>
          <w:iCs/>
        </w:rPr>
        <w:t>na stanowisku postojowym śmigłowca.</w:t>
      </w:r>
    </w:p>
    <w:p w14:paraId="2DEA3848" w14:textId="1EE4D897" w:rsidR="002E5C48" w:rsidRPr="009E064B" w:rsidRDefault="00615F62" w:rsidP="002E5C48">
      <w:pPr>
        <w:pStyle w:val="Nagwek4"/>
        <w:rPr>
          <w:color w:val="auto"/>
        </w:rPr>
      </w:pPr>
      <w:bookmarkStart w:id="1931" w:name="_Toc12533382"/>
      <w:r w:rsidRPr="003832F2">
        <w:rPr>
          <w:color w:val="auto"/>
        </w:rPr>
        <w:t>CS HPT-DSN.F.57</w:t>
      </w:r>
      <w:r w:rsidR="002E5C48" w:rsidRPr="003832F2">
        <w:rPr>
          <w:color w:val="auto"/>
        </w:rPr>
        <w:t>0</w:t>
      </w:r>
      <w:r w:rsidR="002E5C48" w:rsidRPr="003832F2">
        <w:rPr>
          <w:b w:val="0"/>
          <w:bCs w:val="0"/>
          <w:color w:val="FFFFFF"/>
          <w:sz w:val="32"/>
          <w:szCs w:val="32"/>
        </w:rPr>
        <w:t xml:space="preserve">     </w:t>
      </w:r>
      <w:r w:rsidRPr="003832F2">
        <w:t>Oznakowanie punktu przyziemienia/ustawienia</w:t>
      </w:r>
      <w:bookmarkEnd w:id="1931"/>
    </w:p>
    <w:p w14:paraId="0D7DE406" w14:textId="7AB5D8A3"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2A1D2B1" w14:textId="77777777" w:rsidR="00D77EF0" w:rsidRPr="000262FE" w:rsidRDefault="0052331B" w:rsidP="00D77EF0">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 xml:space="preserve">(a) </w:t>
      </w:r>
      <w:r w:rsidRPr="000262FE">
        <w:rPr>
          <w:rFonts w:cs="TimesNewRomanPS-BoldItalicMT"/>
          <w:bCs/>
          <w:iCs/>
          <w:szCs w:val="20"/>
        </w:rPr>
        <w:tab/>
        <w:t>Zastosowanie:</w:t>
      </w:r>
      <w:r w:rsidR="00D77EF0" w:rsidRPr="000262FE">
        <w:rPr>
          <w:rFonts w:cs="TimesNewRomanPS-BoldItalicMT"/>
          <w:bCs/>
          <w:iCs/>
          <w:szCs w:val="20"/>
        </w:rPr>
        <w:t xml:space="preserve"> </w:t>
      </w:r>
    </w:p>
    <w:p w14:paraId="20ECA35B" w14:textId="512F5781" w:rsidR="00D77EF0"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szCs w:val="20"/>
        </w:rPr>
        <w:t xml:space="preserve">(1) </w:t>
      </w:r>
      <w:r w:rsidRPr="000262FE">
        <w:rPr>
          <w:rFonts w:cs="TimesNewRomanPS-BoldItalicMT"/>
          <w:bCs/>
          <w:iCs/>
          <w:szCs w:val="20"/>
        </w:rPr>
        <w:tab/>
      </w:r>
      <w:r w:rsidR="0052331B" w:rsidRPr="000262FE">
        <w:rPr>
          <w:rFonts w:cs="TimesNewRomanPS-BoldItalicMT"/>
          <w:bCs/>
          <w:iCs/>
        </w:rPr>
        <w:t xml:space="preserve">Oznakowanie punktu przyziemienia/ustawienia powinno być zapewnione, gdy konieczne jest, aby </w:t>
      </w:r>
      <w:r w:rsidRPr="000262FE">
        <w:rPr>
          <w:rFonts w:cs="TimesNewRomanPS-BoldItalicMT"/>
          <w:bCs/>
          <w:iCs/>
        </w:rPr>
        <w:t xml:space="preserve">śmigłowiec </w:t>
      </w:r>
      <w:r w:rsidR="0052331B" w:rsidRPr="000262FE">
        <w:rPr>
          <w:rFonts w:cs="TimesNewRomanPS-BoldItalicMT"/>
          <w:bCs/>
          <w:iCs/>
        </w:rPr>
        <w:t xml:space="preserve">przyziemił </w:t>
      </w:r>
      <w:r w:rsidRPr="000262FE">
        <w:rPr>
          <w:rFonts w:cs="TimesNewRomanPS-BoldItalicMT"/>
          <w:bCs/>
          <w:iCs/>
        </w:rPr>
        <w:t xml:space="preserve">dokładnie </w:t>
      </w:r>
      <w:r w:rsidR="0052331B" w:rsidRPr="000262FE">
        <w:rPr>
          <w:rFonts w:cs="TimesNewRomanPS-BoldItalicMT"/>
          <w:bCs/>
          <w:iCs/>
        </w:rPr>
        <w:t xml:space="preserve">lub </w:t>
      </w:r>
      <w:r w:rsidRPr="000262FE">
        <w:rPr>
          <w:rFonts w:cs="TimesNewRomanPS-BoldItalicMT"/>
          <w:bCs/>
          <w:iCs/>
        </w:rPr>
        <w:t xml:space="preserve">został </w:t>
      </w:r>
      <w:r w:rsidR="0052331B" w:rsidRPr="000262FE">
        <w:rPr>
          <w:rFonts w:cs="TimesNewRomanPS-BoldItalicMT"/>
          <w:bCs/>
          <w:iCs/>
        </w:rPr>
        <w:t>ustawi</w:t>
      </w:r>
      <w:r w:rsidRPr="000262FE">
        <w:rPr>
          <w:rFonts w:cs="TimesNewRomanPS-BoldItalicMT"/>
          <w:bCs/>
          <w:iCs/>
        </w:rPr>
        <w:t>ony w określonej pozycji.</w:t>
      </w:r>
    </w:p>
    <w:p w14:paraId="1520A4C5" w14:textId="7190DA7C" w:rsidR="0052331B"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(2) </w:t>
      </w:r>
      <w:r w:rsidRPr="000262FE">
        <w:rPr>
          <w:rFonts w:cs="TimesNewRomanPS-BoldItalicMT"/>
          <w:bCs/>
          <w:iCs/>
        </w:rPr>
        <w:tab/>
      </w:r>
      <w:r w:rsidR="0052331B" w:rsidRPr="000262FE">
        <w:rPr>
          <w:rFonts w:cs="TimesNewRomanPS-BoldItalicMT"/>
          <w:bCs/>
          <w:iCs/>
        </w:rPr>
        <w:t xml:space="preserve">Oznakowanie punktu przyziemienia/ustawienia powinno być zapewnione na stanowisku postojowym śmigłowca, przeznaczonym do wykonania </w:t>
      </w:r>
      <w:r w:rsidR="000262FE" w:rsidRPr="000262FE">
        <w:rPr>
          <w:rFonts w:cs="TimesNewRomanPS-BoldItalicMT"/>
          <w:bCs/>
          <w:iCs/>
        </w:rPr>
        <w:t>obrotu</w:t>
      </w:r>
      <w:r w:rsidR="0052331B" w:rsidRPr="000262FE">
        <w:rPr>
          <w:rFonts w:cs="TimesNewRomanPS-BoldItalicMT"/>
          <w:bCs/>
          <w:iCs/>
        </w:rPr>
        <w:t>.</w:t>
      </w:r>
    </w:p>
    <w:p w14:paraId="205DD24A" w14:textId="45121FD4" w:rsidR="0052331B" w:rsidRPr="000262FE" w:rsidRDefault="00D77EF0" w:rsidP="00D77EF0">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 xml:space="preserve">(b) </w:t>
      </w:r>
      <w:r w:rsidRPr="000262FE">
        <w:rPr>
          <w:rFonts w:cs="TimesNewRomanPS-BoldItalicMT"/>
          <w:bCs/>
          <w:iCs/>
          <w:szCs w:val="20"/>
        </w:rPr>
        <w:tab/>
      </w:r>
      <w:r w:rsidR="0052331B" w:rsidRPr="000262FE">
        <w:rPr>
          <w:rFonts w:cs="TimesNewRomanPS-BoldItalicMT"/>
          <w:bCs/>
          <w:iCs/>
          <w:szCs w:val="20"/>
        </w:rPr>
        <w:t>Lokalizacja</w:t>
      </w:r>
      <w:r w:rsidRPr="000262FE">
        <w:rPr>
          <w:rFonts w:cs="TimesNewRomanPS-BoldItalicMT"/>
          <w:bCs/>
          <w:iCs/>
          <w:szCs w:val="20"/>
        </w:rPr>
        <w:t xml:space="preserve">: </w:t>
      </w:r>
    </w:p>
    <w:p w14:paraId="4A59279D" w14:textId="312CA81E" w:rsidR="0052331B"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(1) </w:t>
      </w:r>
      <w:r w:rsidR="0052331B" w:rsidRPr="000262FE">
        <w:rPr>
          <w:rFonts w:cs="TimesNewRomanPS-BoldItalicMT"/>
          <w:bCs/>
          <w:iCs/>
        </w:rPr>
        <w:tab/>
        <w:t>Oznakowanie punktu przyziemienia/ustawienia powinno być zlokalizowane w taki sposób, że gdy fotel pilota znajduje się nad tym oznakowaniem, całe podwozi</w:t>
      </w:r>
      <w:r w:rsidRPr="000262FE">
        <w:rPr>
          <w:rFonts w:cs="TimesNewRomanPS-BoldItalicMT"/>
          <w:bCs/>
          <w:iCs/>
        </w:rPr>
        <w:t>e</w:t>
      </w:r>
      <w:r w:rsidR="0052331B" w:rsidRPr="000262FE">
        <w:rPr>
          <w:rFonts w:cs="TimesNewRomanPS-BoldItalicMT"/>
          <w:bCs/>
          <w:iCs/>
        </w:rPr>
        <w:t xml:space="preserve"> śmigłowca znajduje się w obrębie strefy TLOF i wszystkie części śmigłowca znajdują się z daleka od jakiejkolwiek przeszkody z zachowaniem bezpiecznego marginesu.</w:t>
      </w:r>
    </w:p>
    <w:p w14:paraId="0B6B4B32" w14:textId="0DF4CE09" w:rsidR="00D77EF0"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(2) </w:t>
      </w:r>
      <w:r w:rsidRPr="000262FE">
        <w:rPr>
          <w:rFonts w:cs="TimesNewRomanPS-BoldItalicMT"/>
          <w:bCs/>
          <w:iCs/>
        </w:rPr>
        <w:tab/>
      </w:r>
      <w:r w:rsidR="0052331B" w:rsidRPr="000262FE">
        <w:rPr>
          <w:rFonts w:cs="TimesNewRomanPS-BoldItalicMT"/>
          <w:bCs/>
          <w:iCs/>
        </w:rPr>
        <w:t xml:space="preserve">Na lotnisku dla śmigłowców, środek oznakowania punktu przyziemienia/ustawienia powinien być zlokalizowany na środku strefy TLOF, z wyjątkiem sytuacji, w której środek oznakowania punktu przyziemienia/ustawienia może być przesunięty od środka strefy TLOF, jeśli </w:t>
      </w:r>
      <w:r w:rsidR="003D15C5">
        <w:rPr>
          <w:rFonts w:cs="TimesNewRomanPS-BoldItalicMT"/>
          <w:bCs/>
          <w:iCs/>
        </w:rPr>
        <w:t>ocena bezpieczeństwa</w:t>
      </w:r>
      <w:r w:rsidR="0052331B" w:rsidRPr="000262FE">
        <w:rPr>
          <w:rFonts w:cs="TimesNewRomanPS-BoldItalicMT"/>
          <w:bCs/>
          <w:iCs/>
        </w:rPr>
        <w:t xml:space="preserve"> wykaże, że takie przesunięcie jest konieczne i że tak przesunięte oznakowanie nie wpłynie ujemnie na bezpieczeństwo. </w:t>
      </w:r>
    </w:p>
    <w:p w14:paraId="59519DDB" w14:textId="79A5FA8D" w:rsidR="0052331B"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(3) </w:t>
      </w:r>
      <w:r w:rsidRPr="000262FE">
        <w:rPr>
          <w:rFonts w:cs="TimesNewRomanPS-BoldItalicMT"/>
          <w:bCs/>
          <w:iCs/>
        </w:rPr>
        <w:tab/>
      </w:r>
      <w:r w:rsidR="0052331B" w:rsidRPr="000262FE">
        <w:rPr>
          <w:rFonts w:cs="TimesNewRomanPS-BoldItalicMT"/>
          <w:bCs/>
          <w:iCs/>
        </w:rPr>
        <w:t>W</w:t>
      </w:r>
      <w:r w:rsidRPr="000262FE">
        <w:rPr>
          <w:rFonts w:cs="TimesNewRomanPS-BoldItalicMT"/>
          <w:bCs/>
          <w:iCs/>
        </w:rPr>
        <w:t xml:space="preserve"> </w:t>
      </w:r>
      <w:r w:rsidR="0052331B" w:rsidRPr="000262FE">
        <w:rPr>
          <w:rFonts w:cs="TimesNewRomanPS-BoldItalicMT"/>
          <w:bCs/>
          <w:iCs/>
        </w:rPr>
        <w:t xml:space="preserve">przypadku stanowiska postojowego śmigłowca przeznaczonego do wykonywania </w:t>
      </w:r>
      <w:r w:rsidR="000262FE" w:rsidRPr="000262FE">
        <w:rPr>
          <w:rFonts w:cs="TimesNewRomanPS-BoldItalicMT"/>
          <w:bCs/>
          <w:iCs/>
        </w:rPr>
        <w:t>obrotu</w:t>
      </w:r>
      <w:r w:rsidR="0052331B" w:rsidRPr="000262FE">
        <w:rPr>
          <w:rFonts w:cs="TimesNewRomanPS-BoldItalicMT"/>
          <w:bCs/>
          <w:iCs/>
        </w:rPr>
        <w:t xml:space="preserve"> w zawisie, oznakowanie punktu przyziemieni</w:t>
      </w:r>
      <w:r w:rsidRPr="000262FE">
        <w:rPr>
          <w:rFonts w:cs="TimesNewRomanPS-BoldItalicMT"/>
          <w:bCs/>
          <w:iCs/>
        </w:rPr>
        <w:t>a/ustawienia jest umieszczane w </w:t>
      </w:r>
      <w:r w:rsidR="0052331B" w:rsidRPr="000262FE">
        <w:rPr>
          <w:rFonts w:cs="TimesNewRomanPS-BoldItalicMT"/>
          <w:bCs/>
          <w:iCs/>
        </w:rPr>
        <w:t xml:space="preserve">środku strefy środkowej (patrz Rysunek </w:t>
      </w:r>
      <w:r w:rsidRPr="000262FE">
        <w:rPr>
          <w:rFonts w:cs="TimesNewRomanPS-BoldItalicMT"/>
          <w:bCs/>
          <w:iCs/>
        </w:rPr>
        <w:t>D-1</w:t>
      </w:r>
      <w:r w:rsidR="0052331B" w:rsidRPr="000262FE">
        <w:rPr>
          <w:rFonts w:cs="TimesNewRomanPS-BoldItalicMT"/>
          <w:bCs/>
          <w:iCs/>
        </w:rPr>
        <w:t>).</w:t>
      </w:r>
    </w:p>
    <w:p w14:paraId="2B3727A4" w14:textId="45086879" w:rsidR="0052331B" w:rsidRPr="000262FE" w:rsidRDefault="00D77EF0" w:rsidP="00D77EF0">
      <w:pPr>
        <w:tabs>
          <w:tab w:val="left" w:pos="567"/>
        </w:tabs>
        <w:autoSpaceDE w:val="0"/>
        <w:autoSpaceDN w:val="0"/>
        <w:adjustRightInd w:val="0"/>
        <w:ind w:left="567" w:hanging="567"/>
        <w:rPr>
          <w:rFonts w:cs="TimesNewRomanPS-BoldItalicMT"/>
          <w:bCs/>
          <w:iCs/>
          <w:szCs w:val="20"/>
        </w:rPr>
      </w:pPr>
      <w:r w:rsidRPr="000262FE">
        <w:rPr>
          <w:rFonts w:cs="TimesNewRomanPS-BoldItalicMT"/>
          <w:bCs/>
          <w:iCs/>
          <w:szCs w:val="20"/>
        </w:rPr>
        <w:t xml:space="preserve">(c) </w:t>
      </w:r>
      <w:r w:rsidRPr="000262FE">
        <w:rPr>
          <w:rFonts w:cs="TimesNewRomanPS-BoldItalicMT"/>
          <w:bCs/>
          <w:iCs/>
          <w:szCs w:val="20"/>
        </w:rPr>
        <w:tab/>
      </w:r>
      <w:r w:rsidR="0052331B" w:rsidRPr="000262FE">
        <w:rPr>
          <w:rFonts w:cs="TimesNewRomanPS-BoldItalicMT"/>
          <w:bCs/>
          <w:iCs/>
          <w:szCs w:val="20"/>
        </w:rPr>
        <w:t>Charakterystyka</w:t>
      </w:r>
      <w:r w:rsidRPr="000262FE">
        <w:rPr>
          <w:rFonts w:cs="TimesNewRomanPS-BoldItalicMT"/>
          <w:bCs/>
          <w:iCs/>
          <w:szCs w:val="20"/>
        </w:rPr>
        <w:t>:</w:t>
      </w:r>
    </w:p>
    <w:p w14:paraId="03CE4D9F" w14:textId="77777777" w:rsidR="00D77EF0"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(1) </w:t>
      </w:r>
      <w:r w:rsidRPr="000262FE">
        <w:rPr>
          <w:rFonts w:cs="TimesNewRomanPS-BoldItalicMT"/>
          <w:bCs/>
          <w:iCs/>
        </w:rPr>
        <w:tab/>
      </w:r>
      <w:r w:rsidR="0052331B" w:rsidRPr="000262FE">
        <w:rPr>
          <w:rFonts w:cs="TimesNewRomanPS-BoldItalicMT"/>
          <w:bCs/>
          <w:iCs/>
        </w:rPr>
        <w:t xml:space="preserve">Oznakowanie punktu przyziemienia/ustawienia powinno mieć kształt żółtego okręgu o szerokości linii, co najmniej 0,5 m. </w:t>
      </w:r>
    </w:p>
    <w:p w14:paraId="42B1ACED" w14:textId="321A6AE7" w:rsidR="0052331B" w:rsidRPr="000262FE" w:rsidRDefault="00D77EF0" w:rsidP="00D77EF0">
      <w:pPr>
        <w:tabs>
          <w:tab w:val="left" w:pos="1134"/>
        </w:tabs>
        <w:autoSpaceDE w:val="0"/>
        <w:autoSpaceDN w:val="0"/>
        <w:adjustRightInd w:val="0"/>
        <w:ind w:left="1134" w:hanging="567"/>
        <w:rPr>
          <w:rFonts w:cs="TimesNewRomanPS-BoldItalicMT"/>
          <w:bCs/>
          <w:iCs/>
        </w:rPr>
      </w:pPr>
      <w:r w:rsidRPr="000262FE">
        <w:rPr>
          <w:rFonts w:cs="TimesNewRomanPS-BoldItalicMT"/>
          <w:bCs/>
          <w:iCs/>
        </w:rPr>
        <w:t xml:space="preserve">(2) </w:t>
      </w:r>
      <w:r w:rsidRPr="000262FE">
        <w:rPr>
          <w:rFonts w:cs="TimesNewRomanPS-BoldItalicMT"/>
          <w:bCs/>
          <w:iCs/>
        </w:rPr>
        <w:tab/>
      </w:r>
      <w:r w:rsidR="0052331B" w:rsidRPr="000262FE">
        <w:rPr>
          <w:rFonts w:cs="TimesNewRomanPS-BoldItalicMT"/>
          <w:bCs/>
          <w:iCs/>
        </w:rPr>
        <w:t xml:space="preserve">Wewnętrzna średnica oznakowania punktu przyziemienia/ustawienia </w:t>
      </w:r>
      <w:r w:rsidR="000262FE" w:rsidRPr="000262FE">
        <w:rPr>
          <w:rFonts w:cs="TimesNewRomanPS-BoldItalicMT"/>
          <w:bCs/>
          <w:iCs/>
        </w:rPr>
        <w:t xml:space="preserve">powinna wynosić </w:t>
      </w:r>
      <w:r w:rsidR="0052331B" w:rsidRPr="000262FE">
        <w:rPr>
          <w:rFonts w:cs="TimesNewRomanPS-BoldItalicMT"/>
          <w:bCs/>
          <w:iCs/>
        </w:rPr>
        <w:t>0,5D największego śmigłowca, do obsługi którego strefa TLOF i/lub stanowisko postojowe śmigłowca są przeznaczone.</w:t>
      </w:r>
    </w:p>
    <w:p w14:paraId="668BE204" w14:textId="768BBF54" w:rsidR="002E5C48" w:rsidRPr="009E064B" w:rsidRDefault="002E5C48" w:rsidP="00133B99">
      <w:pPr>
        <w:pStyle w:val="Nagwek6"/>
      </w:pPr>
      <w:bookmarkStart w:id="1932" w:name="_Toc12533383"/>
      <w:r w:rsidRPr="009E064B">
        <w:t>GM1 HPT-DSN.</w:t>
      </w:r>
      <w:r w:rsidR="00615F62">
        <w:t>F.57</w:t>
      </w:r>
      <w:r>
        <w:t>0</w:t>
      </w:r>
      <w:r w:rsidRPr="009E064B">
        <w:t xml:space="preserve">     </w:t>
      </w:r>
      <w:r w:rsidR="00615F62" w:rsidRPr="00900AA5">
        <w:t>Oznakowanie punktu przyziemienia/ustawienia</w:t>
      </w:r>
      <w:bookmarkEnd w:id="1932"/>
    </w:p>
    <w:p w14:paraId="1F6AA2E0" w14:textId="18E11087"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8F722AC" w14:textId="39E0A848" w:rsidR="002E5C48" w:rsidRPr="000262FE" w:rsidRDefault="00D77EF0" w:rsidP="002E5C48">
      <w:pPr>
        <w:tabs>
          <w:tab w:val="left" w:pos="567"/>
        </w:tabs>
        <w:autoSpaceDE w:val="0"/>
        <w:autoSpaceDN w:val="0"/>
        <w:adjustRightInd w:val="0"/>
        <w:ind w:left="567" w:hanging="567"/>
        <w:rPr>
          <w:rFonts w:eastAsia="Verdana" w:cs="Verdana"/>
          <w:bCs/>
          <w:szCs w:val="20"/>
        </w:rPr>
      </w:pPr>
      <w:r w:rsidRPr="000262FE">
        <w:rPr>
          <w:rFonts w:cs="TimesNewRomanPS-BoldItalicMT"/>
          <w:bCs/>
          <w:iCs/>
          <w:szCs w:val="20"/>
        </w:rPr>
        <w:t>Celowo pozostawiono puste</w:t>
      </w:r>
    </w:p>
    <w:p w14:paraId="3FCAB4A3" w14:textId="06D0D781" w:rsidR="002E5C48" w:rsidRPr="009E064B" w:rsidRDefault="00615F62" w:rsidP="002E5C48">
      <w:pPr>
        <w:pStyle w:val="Nagwek4"/>
        <w:rPr>
          <w:color w:val="auto"/>
        </w:rPr>
      </w:pPr>
      <w:bookmarkStart w:id="1933" w:name="_Toc12533384"/>
      <w:r w:rsidRPr="003832F2">
        <w:rPr>
          <w:color w:val="auto"/>
        </w:rPr>
        <w:t>CS HPT-DSN.F.58</w:t>
      </w:r>
      <w:r w:rsidR="002E5C48" w:rsidRPr="003832F2">
        <w:rPr>
          <w:color w:val="auto"/>
        </w:rPr>
        <w:t>0</w:t>
      </w:r>
      <w:r w:rsidR="002E5C48" w:rsidRPr="003832F2">
        <w:rPr>
          <w:b w:val="0"/>
          <w:bCs w:val="0"/>
          <w:color w:val="FFFFFF"/>
          <w:sz w:val="32"/>
          <w:szCs w:val="32"/>
        </w:rPr>
        <w:t xml:space="preserve">     </w:t>
      </w:r>
      <w:r w:rsidRPr="003832F2">
        <w:t>Oznakowanie nazwy lotniska dla śmigłowców</w:t>
      </w:r>
      <w:bookmarkEnd w:id="1933"/>
      <w:r w:rsidRPr="00900AA5">
        <w:t xml:space="preserve"> </w:t>
      </w:r>
    </w:p>
    <w:p w14:paraId="5E8095EC" w14:textId="33711415"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36B1388" w14:textId="424B4F13" w:rsidR="00D77EF0" w:rsidRPr="004141E7" w:rsidRDefault="002E5C48" w:rsidP="00D77EF0">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(a)</w:t>
      </w:r>
      <w:r w:rsidRPr="004141E7">
        <w:rPr>
          <w:rFonts w:cs="TimesNewRomanPS-BoldItalicMT"/>
          <w:bCs/>
          <w:iCs/>
          <w:szCs w:val="20"/>
        </w:rPr>
        <w:tab/>
      </w:r>
      <w:r w:rsidR="00D77EF0" w:rsidRPr="004141E7">
        <w:rPr>
          <w:rFonts w:cs="TimesNewRomanPS-BoldItalicMT"/>
          <w:bCs/>
          <w:iCs/>
          <w:szCs w:val="20"/>
        </w:rPr>
        <w:t>Zastosowanie: Oznakowanie nazwy lotniska dla śmigłowców powinno być stosowane, gdy nie ma innych alternatywnych środków identyfikacji wzrokowej.</w:t>
      </w:r>
    </w:p>
    <w:p w14:paraId="77C0890F" w14:textId="7F0C6BDE" w:rsidR="00D77EF0" w:rsidRPr="004141E7" w:rsidRDefault="00567DF3" w:rsidP="00567DF3">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(b) </w:t>
      </w:r>
      <w:r w:rsidRPr="004141E7">
        <w:rPr>
          <w:rFonts w:cs="TimesNewRomanPS-BoldItalicMT"/>
          <w:bCs/>
          <w:iCs/>
          <w:szCs w:val="20"/>
        </w:rPr>
        <w:tab/>
      </w:r>
      <w:r w:rsidR="00D77EF0" w:rsidRPr="004141E7">
        <w:rPr>
          <w:rFonts w:cs="TimesNewRomanPS-BoldItalicMT"/>
          <w:bCs/>
          <w:iCs/>
          <w:szCs w:val="20"/>
        </w:rPr>
        <w:t>Charakterystyka</w:t>
      </w:r>
      <w:r w:rsidRPr="004141E7">
        <w:rPr>
          <w:rFonts w:cs="TimesNewRomanPS-BoldItalicMT"/>
          <w:bCs/>
          <w:iCs/>
          <w:szCs w:val="20"/>
        </w:rPr>
        <w:t xml:space="preserve">: </w:t>
      </w:r>
      <w:r w:rsidR="00D77EF0" w:rsidRPr="004141E7">
        <w:rPr>
          <w:rFonts w:cs="TimesNewRomanPS-BoldItalicMT"/>
          <w:bCs/>
          <w:iCs/>
          <w:szCs w:val="20"/>
        </w:rPr>
        <w:t>Oznakowanie nazwy lotniska dla śmigłowców powinno się składać z nazwy albo z alfanumerycznego oznaczenia lotniska używanego w łączności radiowej (R/T).</w:t>
      </w:r>
    </w:p>
    <w:p w14:paraId="68FCA517" w14:textId="1E9DEE05" w:rsidR="002E5C48" w:rsidRPr="009E064B" w:rsidRDefault="002E5C48" w:rsidP="00133B99">
      <w:pPr>
        <w:pStyle w:val="Nagwek6"/>
      </w:pPr>
      <w:bookmarkStart w:id="1934" w:name="_Toc12533385"/>
      <w:r w:rsidRPr="009E064B">
        <w:t>GM1 HPT-DSN.</w:t>
      </w:r>
      <w:r w:rsidR="00615F62">
        <w:t>F.58</w:t>
      </w:r>
      <w:r>
        <w:t>0</w:t>
      </w:r>
      <w:r w:rsidRPr="009E064B">
        <w:t xml:space="preserve">     </w:t>
      </w:r>
      <w:r w:rsidR="00615F62" w:rsidRPr="00900AA5">
        <w:t>Oznakowanie nazwy lotniska dla śmigłowców</w:t>
      </w:r>
      <w:bookmarkEnd w:id="1934"/>
      <w:r w:rsidR="00615F62" w:rsidRPr="00900AA5">
        <w:t xml:space="preserve"> </w:t>
      </w:r>
    </w:p>
    <w:p w14:paraId="3F5644FD" w14:textId="2D512D39"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54E7439" w14:textId="77777777" w:rsidR="00567DF3" w:rsidRPr="004141E7" w:rsidRDefault="002E5C48" w:rsidP="00567DF3">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(a) </w:t>
      </w:r>
      <w:r w:rsidRPr="004141E7">
        <w:rPr>
          <w:rFonts w:cs="TimesNewRomanPS-BoldItalicMT"/>
          <w:bCs/>
          <w:iCs/>
          <w:szCs w:val="20"/>
        </w:rPr>
        <w:tab/>
      </w:r>
      <w:r w:rsidR="00567DF3" w:rsidRPr="004141E7">
        <w:rPr>
          <w:rFonts w:cs="TimesNewRomanPS-BoldItalicMT"/>
          <w:bCs/>
          <w:iCs/>
          <w:szCs w:val="20"/>
        </w:rPr>
        <w:t>Lokalizacja: Oznakowanie nazwy lotniska dla śmigłowców powinno być umieszczone na lotnisku w taki sposób, aby w miarę możliwości było widoczne pod każdym kątem powyżej poziomu lotniska.</w:t>
      </w:r>
    </w:p>
    <w:p w14:paraId="0645C104" w14:textId="77777777" w:rsidR="00567DF3" w:rsidRPr="004141E7" w:rsidRDefault="00567DF3" w:rsidP="00567DF3">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(b) </w:t>
      </w:r>
      <w:r w:rsidRPr="004141E7">
        <w:rPr>
          <w:rFonts w:cs="TimesNewRomanPS-BoldItalicMT"/>
          <w:bCs/>
          <w:iCs/>
          <w:szCs w:val="20"/>
        </w:rPr>
        <w:tab/>
        <w:t xml:space="preserve">Charakterystyka: </w:t>
      </w:r>
    </w:p>
    <w:p w14:paraId="7E5094CC" w14:textId="3069D2D4" w:rsidR="00567DF3" w:rsidRPr="004141E7" w:rsidRDefault="00567DF3" w:rsidP="00567DF3">
      <w:pPr>
        <w:tabs>
          <w:tab w:val="left" w:pos="1134"/>
        </w:tabs>
        <w:autoSpaceDE w:val="0"/>
        <w:autoSpaceDN w:val="0"/>
        <w:adjustRightInd w:val="0"/>
        <w:ind w:left="1134" w:hanging="567"/>
        <w:rPr>
          <w:rFonts w:cs="TimesNewRomanPS-BoldItalicMT"/>
          <w:bCs/>
          <w:iCs/>
          <w:szCs w:val="20"/>
        </w:rPr>
      </w:pPr>
      <w:r w:rsidRPr="004141E7">
        <w:rPr>
          <w:rFonts w:cs="TimesNewRomanPS-BoldItalicMT"/>
          <w:bCs/>
          <w:iCs/>
          <w:szCs w:val="20"/>
        </w:rPr>
        <w:t xml:space="preserve">(1) </w:t>
      </w:r>
      <w:r w:rsidRPr="004141E7">
        <w:rPr>
          <w:rFonts w:cs="TimesNewRomanPS-BoldItalicMT"/>
          <w:bCs/>
          <w:iCs/>
          <w:szCs w:val="20"/>
        </w:rPr>
        <w:tab/>
        <w:t>Oznakowanie nazwy lotniska dla śmigłowców, przeznaczonego do wykorzystania w nocy lub w warunkach złej widoczności powinno być oświetlone światłem z zewnątrz lub od wewnątrz.</w:t>
      </w:r>
    </w:p>
    <w:p w14:paraId="66C9E8A1" w14:textId="7B5DE77A" w:rsidR="00567DF3" w:rsidRPr="004141E7" w:rsidRDefault="00567DF3" w:rsidP="00567DF3">
      <w:pPr>
        <w:tabs>
          <w:tab w:val="left" w:pos="1134"/>
        </w:tabs>
        <w:autoSpaceDE w:val="0"/>
        <w:autoSpaceDN w:val="0"/>
        <w:adjustRightInd w:val="0"/>
        <w:ind w:left="1134" w:hanging="567"/>
        <w:rPr>
          <w:rFonts w:cs="TimesNewRomanPS-BoldItalicMT"/>
          <w:bCs/>
          <w:iCs/>
          <w:szCs w:val="20"/>
        </w:rPr>
      </w:pPr>
      <w:r w:rsidRPr="004141E7">
        <w:rPr>
          <w:rFonts w:cs="TimesNewRomanPS-BoldItalicMT"/>
          <w:bCs/>
          <w:iCs/>
          <w:szCs w:val="20"/>
        </w:rPr>
        <w:t xml:space="preserve">(2) </w:t>
      </w:r>
      <w:r w:rsidRPr="004141E7">
        <w:rPr>
          <w:rFonts w:cs="TimesNewRomanPS-BoldItalicMT"/>
          <w:bCs/>
          <w:iCs/>
          <w:szCs w:val="20"/>
        </w:rPr>
        <w:tab/>
        <w:t>Kolor oznakowania nazwy lotniska dla śmigłowców powinien być taki, aby kontrastować z tłem, najlepiej powinien być biały.</w:t>
      </w:r>
    </w:p>
    <w:p w14:paraId="08F5C33E" w14:textId="5C18A92A" w:rsidR="00567DF3" w:rsidRPr="004141E7" w:rsidRDefault="00567DF3" w:rsidP="00567DF3">
      <w:pPr>
        <w:tabs>
          <w:tab w:val="left" w:pos="1134"/>
        </w:tabs>
        <w:autoSpaceDE w:val="0"/>
        <w:autoSpaceDN w:val="0"/>
        <w:adjustRightInd w:val="0"/>
        <w:ind w:left="1134" w:hanging="567"/>
        <w:rPr>
          <w:rFonts w:cs="TimesNewRomanPS-BoldItalicMT"/>
          <w:bCs/>
          <w:iCs/>
          <w:szCs w:val="20"/>
        </w:rPr>
      </w:pPr>
      <w:r w:rsidRPr="004141E7">
        <w:rPr>
          <w:rFonts w:cs="TimesNewRomanPS-BoldItalicMT"/>
          <w:bCs/>
          <w:iCs/>
          <w:szCs w:val="20"/>
        </w:rPr>
        <w:t xml:space="preserve">(3) </w:t>
      </w:r>
      <w:r w:rsidRPr="004141E7">
        <w:rPr>
          <w:rFonts w:cs="TimesNewRomanPS-BoldItalicMT"/>
          <w:bCs/>
          <w:iCs/>
          <w:szCs w:val="20"/>
        </w:rPr>
        <w:tab/>
        <w:t>Strefa FATO typu droga startowa: Litery i cyfry oznakowania nazwy lotniska dla śmigłowców powinny mieć wysokość nie mniejszą niż 3 m.</w:t>
      </w:r>
    </w:p>
    <w:p w14:paraId="748B232C" w14:textId="04F61AA9" w:rsidR="004141E7" w:rsidRDefault="00567DF3" w:rsidP="00567DF3">
      <w:pPr>
        <w:tabs>
          <w:tab w:val="left" w:pos="1134"/>
        </w:tabs>
        <w:autoSpaceDE w:val="0"/>
        <w:autoSpaceDN w:val="0"/>
        <w:adjustRightInd w:val="0"/>
        <w:ind w:left="1134" w:hanging="567"/>
        <w:rPr>
          <w:rFonts w:cs="TimesNewRomanPS-BoldItalicMT"/>
          <w:bCs/>
          <w:iCs/>
          <w:szCs w:val="20"/>
        </w:rPr>
      </w:pPr>
      <w:r w:rsidRPr="004141E7">
        <w:rPr>
          <w:rFonts w:cs="TimesNewRomanPS-BoldItalicMT"/>
          <w:bCs/>
          <w:iCs/>
          <w:szCs w:val="20"/>
        </w:rPr>
        <w:t xml:space="preserve">(4) </w:t>
      </w:r>
      <w:r w:rsidRPr="004141E7">
        <w:rPr>
          <w:rFonts w:cs="TimesNewRomanPS-BoldItalicMT"/>
          <w:bCs/>
          <w:iCs/>
          <w:szCs w:val="20"/>
        </w:rPr>
        <w:tab/>
        <w:t>Wszystkie strefy FATO z wyjątkiem FATO typu droga startowa: Litery i cyfry takiego oznakowania powinny mieć nie mniej niż 1,5 m</w:t>
      </w:r>
      <w:r w:rsidR="004A34BB" w:rsidRPr="004141E7">
        <w:rPr>
          <w:rFonts w:cs="TimesNewRomanPS-BoldItalicMT"/>
          <w:bCs/>
          <w:iCs/>
          <w:szCs w:val="20"/>
        </w:rPr>
        <w:t xml:space="preserve"> wysokości.</w:t>
      </w:r>
    </w:p>
    <w:p w14:paraId="70697199" w14:textId="77777777" w:rsidR="004141E7" w:rsidRDefault="004141E7">
      <w:pPr>
        <w:spacing w:after="0"/>
        <w:jc w:val="left"/>
        <w:rPr>
          <w:rFonts w:cs="TimesNewRomanPS-BoldItalicMT"/>
          <w:bCs/>
          <w:iCs/>
          <w:szCs w:val="20"/>
        </w:rPr>
      </w:pPr>
      <w:r>
        <w:rPr>
          <w:rFonts w:cs="TimesNewRomanPS-BoldItalicMT"/>
          <w:bCs/>
          <w:iCs/>
          <w:szCs w:val="20"/>
        </w:rPr>
        <w:br w:type="page"/>
      </w:r>
    </w:p>
    <w:p w14:paraId="55052DC1" w14:textId="7C51673F" w:rsidR="002E5C48" w:rsidRPr="009E064B" w:rsidRDefault="00615F62" w:rsidP="002E5C48">
      <w:pPr>
        <w:pStyle w:val="Nagwek4"/>
        <w:rPr>
          <w:color w:val="auto"/>
        </w:rPr>
      </w:pPr>
      <w:bookmarkStart w:id="1935" w:name="_Toc12533386"/>
      <w:r w:rsidRPr="003832F2">
        <w:rPr>
          <w:color w:val="auto"/>
        </w:rPr>
        <w:t>CS HPT-DSN.F.59</w:t>
      </w:r>
      <w:r w:rsidR="002E5C48" w:rsidRPr="003832F2">
        <w:rPr>
          <w:color w:val="auto"/>
        </w:rPr>
        <w:t>0</w:t>
      </w:r>
      <w:r w:rsidR="002E5C48" w:rsidRPr="003832F2">
        <w:rPr>
          <w:b w:val="0"/>
          <w:bCs w:val="0"/>
          <w:color w:val="FFFFFF"/>
          <w:sz w:val="32"/>
          <w:szCs w:val="32"/>
        </w:rPr>
        <w:t xml:space="preserve">     </w:t>
      </w:r>
      <w:r w:rsidR="003832F2" w:rsidRPr="003832F2">
        <w:rPr>
          <w:b w:val="0"/>
          <w:bCs w:val="0"/>
          <w:color w:val="FFFFFF"/>
          <w:sz w:val="32"/>
          <w:szCs w:val="32"/>
        </w:rPr>
        <w:t xml:space="preserve">   </w:t>
      </w:r>
      <w:r w:rsidRPr="003832F2">
        <w:t>Oznakowanie i oznaczniki dróg kołowania śmigłowców</w:t>
      </w:r>
      <w:r w:rsidRPr="00900AA5">
        <w:t xml:space="preserve"> po ziemi</w:t>
      </w:r>
      <w:bookmarkEnd w:id="1935"/>
    </w:p>
    <w:p w14:paraId="42B92B17" w14:textId="0857B00B"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6C2BE04" w14:textId="77777777" w:rsidR="004A34BB" w:rsidRPr="004141E7" w:rsidRDefault="002E5C48" w:rsidP="002E5C48">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(a)</w:t>
      </w:r>
      <w:r w:rsidRPr="004141E7">
        <w:rPr>
          <w:rFonts w:cs="TimesNewRomanPS-BoldItalicMT"/>
          <w:bCs/>
          <w:iCs/>
          <w:szCs w:val="20"/>
        </w:rPr>
        <w:tab/>
      </w:r>
      <w:r w:rsidR="004A34BB" w:rsidRPr="004141E7">
        <w:rPr>
          <w:rFonts w:cs="TimesNewRomanPS-BoldItalicMT"/>
          <w:bCs/>
          <w:iCs/>
          <w:szCs w:val="20"/>
        </w:rPr>
        <w:t>Zastosowanie:</w:t>
      </w:r>
    </w:p>
    <w:p w14:paraId="285DEFC4" w14:textId="1C7D6418" w:rsidR="004A34BB" w:rsidRPr="004141E7" w:rsidRDefault="004A34BB" w:rsidP="004A34BB">
      <w:pPr>
        <w:tabs>
          <w:tab w:val="left" w:pos="1134"/>
        </w:tabs>
        <w:autoSpaceDE w:val="0"/>
        <w:autoSpaceDN w:val="0"/>
        <w:adjustRightInd w:val="0"/>
        <w:ind w:left="1134" w:hanging="567"/>
      </w:pPr>
      <w:r w:rsidRPr="004141E7">
        <w:rPr>
          <w:rFonts w:cs="TimesNewRomanPS-BoldItalicMT"/>
          <w:bCs/>
          <w:iCs/>
          <w:szCs w:val="20"/>
        </w:rPr>
        <w:t xml:space="preserve">(1) </w:t>
      </w:r>
      <w:r w:rsidRPr="004141E7">
        <w:rPr>
          <w:rFonts w:cs="TimesNewRomanPS-BoldItalicMT"/>
          <w:bCs/>
          <w:iCs/>
          <w:szCs w:val="20"/>
        </w:rPr>
        <w:tab/>
        <w:t xml:space="preserve">Specyfikacje dotyczące oznakowania miejsca oczekiwania przed drogą startową </w:t>
      </w:r>
      <w:r w:rsidR="004141E7" w:rsidRPr="004141E7">
        <w:rPr>
          <w:rFonts w:cs="TimesNewRomanPS-BoldItalicMT"/>
          <w:bCs/>
          <w:iCs/>
          <w:szCs w:val="20"/>
        </w:rPr>
        <w:t xml:space="preserve">określone </w:t>
      </w:r>
      <w:r w:rsidR="004141E7" w:rsidRPr="003832F2">
        <w:rPr>
          <w:rFonts w:cs="TimesNewRomanPS-BoldItalicMT"/>
          <w:bCs/>
          <w:iCs/>
          <w:szCs w:val="20"/>
        </w:rPr>
        <w:t>w </w:t>
      </w:r>
      <w:hyperlink w:anchor="_CS_ADR-DSN.L.575_" w:history="1">
        <w:r w:rsidR="004141E7" w:rsidRPr="003832F2">
          <w:rPr>
            <w:rStyle w:val="Hipercze"/>
            <w:rFonts w:cs="TimesNewRomanPS-BoldItalicMT"/>
            <w:bCs/>
            <w:iCs/>
            <w:szCs w:val="20"/>
          </w:rPr>
          <w:t>CS </w:t>
        </w:r>
        <w:r w:rsidRPr="003832F2">
          <w:rPr>
            <w:rStyle w:val="Hipercze"/>
            <w:rFonts w:cs="TimesNewRomanPS-BoldItalicMT"/>
            <w:bCs/>
            <w:iCs/>
            <w:szCs w:val="20"/>
          </w:rPr>
          <w:t>ADR-DSN.L.575</w:t>
        </w:r>
      </w:hyperlink>
      <w:r w:rsidRPr="003832F2">
        <w:rPr>
          <w:rFonts w:cs="TimesNewRomanPS-BoldItalicMT"/>
          <w:bCs/>
          <w:iCs/>
          <w:szCs w:val="20"/>
        </w:rPr>
        <w:t xml:space="preserve"> </w:t>
      </w:r>
      <w:r w:rsidR="004141E7" w:rsidRPr="003832F2">
        <w:rPr>
          <w:rFonts w:cs="TimesNewRomanPS-BoldItalicMT"/>
          <w:bCs/>
          <w:iCs/>
          <w:szCs w:val="20"/>
        </w:rPr>
        <w:t>oraz dotyczące oznakowania</w:t>
      </w:r>
      <w:r w:rsidRPr="003832F2">
        <w:rPr>
          <w:rFonts w:cs="TimesNewRomanPS-BoldItalicMT"/>
          <w:bCs/>
          <w:iCs/>
          <w:szCs w:val="20"/>
        </w:rPr>
        <w:t xml:space="preserve"> pośredniego miejsca oczekiwania </w:t>
      </w:r>
      <w:r w:rsidR="004141E7" w:rsidRPr="003832F2">
        <w:rPr>
          <w:rFonts w:cs="TimesNewRomanPS-BoldItalicMT"/>
          <w:bCs/>
          <w:iCs/>
          <w:szCs w:val="20"/>
        </w:rPr>
        <w:t>w </w:t>
      </w:r>
      <w:hyperlink w:anchor="_CS_ADR-DSN.L.580_" w:history="1">
        <w:r w:rsidR="004141E7" w:rsidRPr="003832F2">
          <w:rPr>
            <w:rStyle w:val="Hipercze"/>
            <w:rFonts w:cs="TimesNewRomanPS-BoldItalicMT"/>
            <w:bCs/>
            <w:iCs/>
            <w:szCs w:val="20"/>
          </w:rPr>
          <w:t>CS </w:t>
        </w:r>
        <w:r w:rsidRPr="003832F2">
          <w:rPr>
            <w:rStyle w:val="Hipercze"/>
            <w:rFonts w:cs="TimesNewRomanPS-BoldItalicMT"/>
            <w:bCs/>
            <w:iCs/>
            <w:szCs w:val="20"/>
          </w:rPr>
          <w:t>ADR-DSN.L.580</w:t>
        </w:r>
      </w:hyperlink>
      <w:r w:rsidRPr="003832F2">
        <w:rPr>
          <w:rFonts w:cs="TimesNewRomanPS-BoldItalicMT"/>
          <w:bCs/>
          <w:iCs/>
          <w:szCs w:val="20"/>
        </w:rPr>
        <w:t xml:space="preserve"> mają również zastosowanie do dróg kołowania przeznaczonych do</w:t>
      </w:r>
      <w:r w:rsidRPr="004141E7">
        <w:rPr>
          <w:rFonts w:cs="TimesNewRomanPS-BoldItalicMT"/>
          <w:bCs/>
          <w:iCs/>
          <w:szCs w:val="20"/>
        </w:rPr>
        <w:t xml:space="preserve"> kołowania śmigłowców po ziemi.</w:t>
      </w:r>
    </w:p>
    <w:p w14:paraId="03CAA7A9" w14:textId="77777777" w:rsidR="004A34BB" w:rsidRPr="004141E7" w:rsidRDefault="004A34BB" w:rsidP="004A34BB">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(2) </w:t>
      </w:r>
      <w:r w:rsidRPr="004141E7">
        <w:rPr>
          <w:rFonts w:cs="TimesNewRomanPS-BoldItalicMT"/>
          <w:bCs/>
        </w:rPr>
        <w:tab/>
        <w:t>Linia środkowa drogi kołowania śmigłowców po ziemi powinna być identyfikowana przy pomocy oznakowania.</w:t>
      </w:r>
    </w:p>
    <w:p w14:paraId="775937D1" w14:textId="022D466F" w:rsidR="004A34BB" w:rsidRPr="00E24BDB" w:rsidRDefault="004A34BB" w:rsidP="004A34BB">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(3) </w:t>
      </w:r>
      <w:r w:rsidRPr="004141E7">
        <w:rPr>
          <w:rFonts w:cs="TimesNewRomanPS-BoldItalicMT"/>
          <w:bCs/>
        </w:rPr>
        <w:tab/>
        <w:t>Krawędzie drogi kołowania śmigłowców po ziemi, jeżeli nie są one oczywiste, powinny być identyfikowane przy pomocy oznaczników lub oznakowania</w:t>
      </w:r>
      <w:r w:rsidR="001044A2" w:rsidRPr="004141E7">
        <w:rPr>
          <w:rFonts w:cs="TimesNewRomanPS-BoldItalicMT"/>
          <w:bCs/>
        </w:rPr>
        <w:t xml:space="preserve"> (</w:t>
      </w:r>
      <w:r w:rsidR="001044A2" w:rsidRPr="00E24BDB">
        <w:rPr>
          <w:rFonts w:cs="TimesNewRomanPS-BoldItalicMT"/>
          <w:bCs/>
        </w:rPr>
        <w:t>poziomego)</w:t>
      </w:r>
      <w:r w:rsidRPr="00E24BDB">
        <w:rPr>
          <w:rFonts w:cs="TimesNewRomanPS-BoldItalicMT"/>
          <w:bCs/>
        </w:rPr>
        <w:t>.</w:t>
      </w:r>
    </w:p>
    <w:p w14:paraId="34BF336E" w14:textId="44361289" w:rsidR="004A34BB" w:rsidRPr="004141E7" w:rsidRDefault="004A34BB" w:rsidP="004A34BB">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(b) </w:t>
      </w:r>
      <w:r w:rsidRPr="004141E7">
        <w:rPr>
          <w:rFonts w:cs="TimesNewRomanPS-BoldItalicMT"/>
          <w:bCs/>
          <w:iCs/>
          <w:szCs w:val="20"/>
        </w:rPr>
        <w:tab/>
        <w:t>Lokalizacja</w:t>
      </w:r>
    </w:p>
    <w:p w14:paraId="655F8038" w14:textId="77777777" w:rsidR="00E10DFC" w:rsidRPr="004141E7" w:rsidRDefault="004A34BB" w:rsidP="00E10DFC">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(1) </w:t>
      </w:r>
      <w:r w:rsidRPr="004141E7">
        <w:rPr>
          <w:rFonts w:cs="TimesNewRomanPS-BoldItalicMT"/>
          <w:bCs/>
        </w:rPr>
        <w:tab/>
        <w:t xml:space="preserve">Oznakowanie drogi kołowania śmigłowców po ziemi </w:t>
      </w:r>
      <w:r w:rsidR="00E10DFC" w:rsidRPr="004141E7">
        <w:rPr>
          <w:rFonts w:cs="TimesNewRomanPS-BoldItalicMT"/>
          <w:bCs/>
        </w:rPr>
        <w:t xml:space="preserve">powinno </w:t>
      </w:r>
      <w:r w:rsidRPr="004141E7">
        <w:rPr>
          <w:rFonts w:cs="TimesNewRomanPS-BoldItalicMT"/>
          <w:bCs/>
        </w:rPr>
        <w:t>przebiega</w:t>
      </w:r>
      <w:r w:rsidR="00E10DFC" w:rsidRPr="004141E7">
        <w:rPr>
          <w:rFonts w:cs="TimesNewRomanPS-BoldItalicMT"/>
          <w:bCs/>
        </w:rPr>
        <w:t>ć</w:t>
      </w:r>
      <w:r w:rsidRPr="004141E7">
        <w:rPr>
          <w:rFonts w:cs="TimesNewRomanPS-BoldItalicMT"/>
          <w:bCs/>
        </w:rPr>
        <w:t xml:space="preserve"> wzdłuż linii środkowej oraz, jeżeli jest to wymagane, wzdłuż krawędzi drogi</w:t>
      </w:r>
      <w:r w:rsidR="00E10DFC" w:rsidRPr="004141E7">
        <w:rPr>
          <w:rFonts w:cs="TimesNewRomanPS-BoldItalicMT"/>
          <w:bCs/>
        </w:rPr>
        <w:t xml:space="preserve"> kołowania śmigłowców po ziemi.</w:t>
      </w:r>
    </w:p>
    <w:p w14:paraId="10E33188" w14:textId="1478020B" w:rsidR="00E10DFC" w:rsidRPr="004141E7" w:rsidRDefault="00E10DFC" w:rsidP="00E10DFC">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(2) </w:t>
      </w:r>
      <w:r w:rsidRPr="004141E7">
        <w:rPr>
          <w:rFonts w:cs="TimesNewRomanPS-BoldItalicMT"/>
          <w:bCs/>
        </w:rPr>
        <w:tab/>
      </w:r>
      <w:r w:rsidR="004A34BB" w:rsidRPr="004141E7">
        <w:rPr>
          <w:rFonts w:cs="TimesNewRomanPS-BoldItalicMT"/>
          <w:bCs/>
        </w:rPr>
        <w:t xml:space="preserve">Oznaczniki krawędzi drogi kołowania śmigłowców po ziemi </w:t>
      </w:r>
      <w:r w:rsidRPr="004141E7">
        <w:rPr>
          <w:rFonts w:cs="TimesNewRomanPS-BoldItalicMT"/>
          <w:bCs/>
        </w:rPr>
        <w:t>powinny znajdować się w odległości od 0,5 m do 3 m poza krawędzią drogi kołowania śmigłowca po ziemi.</w:t>
      </w:r>
    </w:p>
    <w:p w14:paraId="051F0FB3" w14:textId="76F6C7DC" w:rsidR="004A34BB" w:rsidRPr="004141E7" w:rsidRDefault="00E10DFC" w:rsidP="004A34BB">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(3) </w:t>
      </w:r>
      <w:r w:rsidRPr="004141E7">
        <w:rPr>
          <w:rFonts w:cs="TimesNewRomanPS-BoldItalicMT"/>
          <w:bCs/>
        </w:rPr>
        <w:tab/>
      </w:r>
      <w:r w:rsidR="004A34BB" w:rsidRPr="004141E7">
        <w:rPr>
          <w:rFonts w:cs="TimesNewRomanPS-BoldItalicMT"/>
          <w:bCs/>
        </w:rPr>
        <w:t xml:space="preserve">Oznaczniki krawędzi drogi kołowania śmigłowców po ziemi, jeżeli są zapewniane, </w:t>
      </w:r>
      <w:r w:rsidRPr="004141E7">
        <w:rPr>
          <w:rFonts w:cs="TimesNewRomanPS-BoldItalicMT"/>
          <w:bCs/>
        </w:rPr>
        <w:t>to powinny być roz</w:t>
      </w:r>
      <w:r w:rsidR="004A34BB" w:rsidRPr="004141E7">
        <w:rPr>
          <w:rFonts w:cs="TimesNewRomanPS-BoldItalicMT"/>
          <w:bCs/>
        </w:rPr>
        <w:t>mieszczone w</w:t>
      </w:r>
      <w:r w:rsidR="004141E7" w:rsidRPr="004141E7">
        <w:rPr>
          <w:rFonts w:cs="TimesNewRomanPS-BoldItalicMT"/>
          <w:bCs/>
        </w:rPr>
        <w:t xml:space="preserve"> odstępach nie większych niż 15 </w:t>
      </w:r>
      <w:r w:rsidR="004A34BB" w:rsidRPr="004141E7">
        <w:rPr>
          <w:rFonts w:cs="TimesNewRomanPS-BoldItalicMT"/>
          <w:bCs/>
        </w:rPr>
        <w:t xml:space="preserve">m po każdej stronie </w:t>
      </w:r>
      <w:r w:rsidRPr="004141E7">
        <w:rPr>
          <w:rFonts w:cs="TimesNewRomanPS-BoldItalicMT"/>
          <w:bCs/>
        </w:rPr>
        <w:t>odcinków</w:t>
      </w:r>
      <w:r w:rsidR="004A34BB" w:rsidRPr="004141E7">
        <w:rPr>
          <w:rFonts w:cs="TimesNewRomanPS-BoldItalicMT"/>
          <w:bCs/>
        </w:rPr>
        <w:t xml:space="preserve"> prostych oraz 7,5 m po każdej stronie </w:t>
      </w:r>
      <w:r w:rsidRPr="004141E7">
        <w:rPr>
          <w:rFonts w:cs="TimesNewRomanPS-BoldItalicMT"/>
          <w:bCs/>
        </w:rPr>
        <w:t>odcinków</w:t>
      </w:r>
      <w:r w:rsidR="004A34BB" w:rsidRPr="004141E7">
        <w:rPr>
          <w:rFonts w:cs="TimesNewRomanPS-BoldItalicMT"/>
          <w:bCs/>
        </w:rPr>
        <w:t xml:space="preserve"> zakrzywionych, z co najmniej czterema oznacznikami rozmieszczonymi w równych odstępach w</w:t>
      </w:r>
      <w:r w:rsidR="004141E7" w:rsidRPr="004141E7">
        <w:rPr>
          <w:rFonts w:cs="TimesNewRomanPS-BoldItalicMT"/>
          <w:bCs/>
        </w:rPr>
        <w:t xml:space="preserve"> </w:t>
      </w:r>
      <w:r w:rsidR="004A34BB" w:rsidRPr="004141E7">
        <w:rPr>
          <w:rFonts w:cs="TimesNewRomanPS-BoldItalicMT"/>
          <w:bCs/>
        </w:rPr>
        <w:t>obrębie jedne</w:t>
      </w:r>
      <w:r w:rsidRPr="004141E7">
        <w:rPr>
          <w:rFonts w:cs="TimesNewRomanPS-BoldItalicMT"/>
          <w:bCs/>
        </w:rPr>
        <w:t>go odcinka</w:t>
      </w:r>
      <w:r w:rsidR="004A34BB" w:rsidRPr="004141E7">
        <w:rPr>
          <w:rFonts w:cs="TimesNewRomanPS-BoldItalicMT"/>
          <w:bCs/>
        </w:rPr>
        <w:t>.</w:t>
      </w:r>
    </w:p>
    <w:p w14:paraId="13A9FE27" w14:textId="5266C2D2" w:rsidR="004A34BB" w:rsidRPr="004141E7" w:rsidRDefault="00E10DFC" w:rsidP="00E10DFC">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(c) </w:t>
      </w:r>
      <w:r w:rsidRPr="004141E7">
        <w:rPr>
          <w:rFonts w:cs="TimesNewRomanPS-BoldItalicMT"/>
          <w:bCs/>
          <w:iCs/>
          <w:szCs w:val="20"/>
        </w:rPr>
        <w:tab/>
      </w:r>
      <w:r w:rsidR="004A34BB" w:rsidRPr="004141E7">
        <w:rPr>
          <w:rFonts w:cs="TimesNewRomanPS-BoldItalicMT"/>
          <w:bCs/>
          <w:iCs/>
          <w:szCs w:val="20"/>
        </w:rPr>
        <w:t>Charakterystyka</w:t>
      </w:r>
      <w:r w:rsidRPr="004141E7">
        <w:rPr>
          <w:rFonts w:cs="TimesNewRomanPS-BoldItalicMT"/>
          <w:bCs/>
          <w:iCs/>
          <w:szCs w:val="20"/>
        </w:rPr>
        <w:t>:</w:t>
      </w:r>
    </w:p>
    <w:p w14:paraId="7B87D383" w14:textId="5E2501F5" w:rsidR="004A34BB" w:rsidRPr="004141E7" w:rsidRDefault="00E10DFC" w:rsidP="00E10DFC">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(1) </w:t>
      </w:r>
      <w:r w:rsidRPr="004141E7">
        <w:rPr>
          <w:rFonts w:cs="TimesNewRomanPS-BoldItalicMT"/>
          <w:bCs/>
        </w:rPr>
        <w:tab/>
        <w:t>O</w:t>
      </w:r>
      <w:r w:rsidR="004A34BB" w:rsidRPr="004141E7">
        <w:rPr>
          <w:rFonts w:cs="TimesNewRomanPS-BoldItalicMT"/>
          <w:bCs/>
        </w:rPr>
        <w:t>znakowanie linii środkowej drogi kołowania śmigłowców po ziemi powinno być linią ciągłą</w:t>
      </w:r>
      <w:r w:rsidRPr="004141E7">
        <w:rPr>
          <w:rFonts w:cs="TimesNewRomanPS-BoldItalicMT"/>
          <w:bCs/>
        </w:rPr>
        <w:t>,</w:t>
      </w:r>
      <w:r w:rsidR="004A34BB" w:rsidRPr="004141E7">
        <w:rPr>
          <w:rFonts w:cs="TimesNewRomanPS-BoldItalicMT"/>
          <w:bCs/>
        </w:rPr>
        <w:t xml:space="preserve"> </w:t>
      </w:r>
      <w:r w:rsidRPr="004141E7">
        <w:rPr>
          <w:rFonts w:cs="TimesNewRomanPS-BoldItalicMT"/>
          <w:bCs/>
        </w:rPr>
        <w:t xml:space="preserve">koloru żółtego </w:t>
      </w:r>
      <w:r w:rsidR="004A34BB" w:rsidRPr="004141E7">
        <w:rPr>
          <w:rFonts w:cs="TimesNewRomanPS-BoldItalicMT"/>
          <w:bCs/>
        </w:rPr>
        <w:t>o szerokości 15 cm.</w:t>
      </w:r>
    </w:p>
    <w:p w14:paraId="24CA5562" w14:textId="3FA2C964" w:rsidR="004A34BB" w:rsidRPr="004141E7" w:rsidRDefault="00E10DFC" w:rsidP="00E10DFC">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(2) </w:t>
      </w:r>
      <w:r w:rsidRPr="004141E7">
        <w:rPr>
          <w:rFonts w:cs="TimesNewRomanPS-BoldItalicMT"/>
          <w:bCs/>
        </w:rPr>
        <w:tab/>
      </w:r>
      <w:r w:rsidR="004A34BB" w:rsidRPr="004141E7">
        <w:rPr>
          <w:rFonts w:cs="TimesNewRomanPS-BoldItalicMT"/>
          <w:bCs/>
        </w:rPr>
        <w:t xml:space="preserve">Oznaczniki krawędzi drogi kołowania śmigłowców po ziemi </w:t>
      </w:r>
      <w:r w:rsidRPr="004141E7">
        <w:rPr>
          <w:rFonts w:cs="TimesNewRomanPS-BoldItalicMT"/>
          <w:bCs/>
        </w:rPr>
        <w:t xml:space="preserve">powinny być </w:t>
      </w:r>
      <w:r w:rsidR="004A34BB" w:rsidRPr="004141E7">
        <w:rPr>
          <w:rFonts w:cs="TimesNewRomanPS-BoldItalicMT"/>
          <w:bCs/>
        </w:rPr>
        <w:t>ciągłą</w:t>
      </w:r>
      <w:r w:rsidRPr="004141E7">
        <w:rPr>
          <w:rFonts w:cs="TimesNewRomanPS-BoldItalicMT"/>
          <w:bCs/>
        </w:rPr>
        <w:t>,</w:t>
      </w:r>
      <w:r w:rsidR="004A34BB" w:rsidRPr="004141E7">
        <w:rPr>
          <w:rFonts w:cs="TimesNewRomanPS-BoldItalicMT"/>
          <w:bCs/>
        </w:rPr>
        <w:t xml:space="preserve"> podwójną</w:t>
      </w:r>
      <w:r w:rsidRPr="004141E7">
        <w:rPr>
          <w:rFonts w:cs="TimesNewRomanPS-BoldItalicMT"/>
          <w:bCs/>
        </w:rPr>
        <w:t>,</w:t>
      </w:r>
      <w:r w:rsidR="004A34BB" w:rsidRPr="004141E7">
        <w:rPr>
          <w:rFonts w:cs="TimesNewRomanPS-BoldItalicMT"/>
          <w:bCs/>
        </w:rPr>
        <w:t xml:space="preserve"> żółtą linią, każda o szerokości 15 cm w odstępach od siebie 15 cm (najbliższa krawędź do najbliższej krawędzi).</w:t>
      </w:r>
    </w:p>
    <w:p w14:paraId="1C128F93" w14:textId="7B5BC70B" w:rsidR="00C51307" w:rsidRPr="004141E7" w:rsidRDefault="00C51307" w:rsidP="00C51307">
      <w:pPr>
        <w:tabs>
          <w:tab w:val="left" w:pos="1134"/>
        </w:tabs>
        <w:autoSpaceDE w:val="0"/>
        <w:autoSpaceDN w:val="0"/>
        <w:adjustRightInd w:val="0"/>
        <w:ind w:left="1134" w:hanging="567"/>
        <w:rPr>
          <w:rFonts w:cs="TimesNewRomanPS-BoldItalicMT"/>
          <w:bCs/>
          <w:iCs/>
        </w:rPr>
      </w:pPr>
      <w:r w:rsidRPr="004141E7">
        <w:rPr>
          <w:rFonts w:cs="TimesNewRomanPS-BoldItalicMT"/>
          <w:bCs/>
        </w:rPr>
        <w:t xml:space="preserve">(3) </w:t>
      </w:r>
      <w:r w:rsidRPr="004141E7">
        <w:rPr>
          <w:rFonts w:cs="TimesNewRomanPS-BoldItalicMT"/>
          <w:bCs/>
        </w:rPr>
        <w:tab/>
        <w:t>Oznacznik krawędzi drogi kołowania śmigłowców po ziemi nie powinien przekraczać płaszczyzny, która ma swój początek na wysokości 25 cm nad powierzchnią drogi kołowania śmigłowców po ziemi, w odległości 0,5 m od krawędzi drogi kołowania śmigłowców po ziemi, z nachyleniami w górę i na zewnątrz pod kątem 5%, na odległość 3 m poza krawędź drogi kołowania śmigłowców po ziemi.</w:t>
      </w:r>
    </w:p>
    <w:p w14:paraId="3512F0C3" w14:textId="16A6888D" w:rsidR="004A34BB" w:rsidRPr="004141E7" w:rsidRDefault="00C51307" w:rsidP="00C51307">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(4) </w:t>
      </w:r>
      <w:r w:rsidR="004A34BB" w:rsidRPr="004141E7">
        <w:rPr>
          <w:rFonts w:cs="TimesNewRomanPS-BoldItalicMT"/>
          <w:bCs/>
        </w:rPr>
        <w:tab/>
        <w:t>Oznacznik</w:t>
      </w:r>
      <w:r w:rsidRPr="004141E7">
        <w:rPr>
          <w:rFonts w:cs="TimesNewRomanPS-BoldItalicMT"/>
          <w:bCs/>
        </w:rPr>
        <w:t>i</w:t>
      </w:r>
      <w:r w:rsidR="004A34BB" w:rsidRPr="004141E7">
        <w:rPr>
          <w:rFonts w:cs="TimesNewRomanPS-BoldItalicMT"/>
          <w:bCs/>
        </w:rPr>
        <w:t xml:space="preserve"> krawędzi drogi kołowania śmigłowców po ziemi </w:t>
      </w:r>
      <w:r w:rsidRPr="004141E7">
        <w:rPr>
          <w:rFonts w:cs="TimesNewRomanPS-BoldItalicMT"/>
          <w:bCs/>
        </w:rPr>
        <w:t>powinny być łamliwe</w:t>
      </w:r>
      <w:r w:rsidR="001B3016" w:rsidRPr="004141E7">
        <w:rPr>
          <w:rFonts w:cs="TimesNewRomanPS-BoldItalicMT"/>
          <w:bCs/>
        </w:rPr>
        <w:t xml:space="preserve"> dla podwozia kołowego śmigłowca.</w:t>
      </w:r>
    </w:p>
    <w:p w14:paraId="707D1B1F" w14:textId="68E587F1" w:rsidR="004A34BB" w:rsidRPr="004141E7" w:rsidRDefault="001B3016" w:rsidP="001B3016">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(5) </w:t>
      </w:r>
      <w:r w:rsidRPr="004141E7">
        <w:rPr>
          <w:rFonts w:cs="TimesNewRomanPS-BoldItalicMT"/>
          <w:bCs/>
        </w:rPr>
        <w:tab/>
      </w:r>
      <w:r w:rsidR="004A34BB" w:rsidRPr="004141E7">
        <w:rPr>
          <w:rFonts w:cs="TimesNewRomanPS-BoldItalicMT"/>
          <w:bCs/>
        </w:rPr>
        <w:t xml:space="preserve">Oznacznik krawędzi drogi kołowania śmigłowców po ziemi </w:t>
      </w:r>
      <w:r w:rsidRPr="004141E7">
        <w:rPr>
          <w:rFonts w:cs="TimesNewRomanPS-BoldItalicMT"/>
          <w:bCs/>
        </w:rPr>
        <w:t>powinien być</w:t>
      </w:r>
      <w:r w:rsidR="004A34BB" w:rsidRPr="004141E7">
        <w:rPr>
          <w:rFonts w:cs="TimesNewRomanPS-BoldItalicMT"/>
          <w:bCs/>
        </w:rPr>
        <w:t xml:space="preserve"> koloru niebieskiego.</w:t>
      </w:r>
    </w:p>
    <w:p w14:paraId="2B236D3A" w14:textId="61485896" w:rsidR="004141E7" w:rsidRDefault="00D748D4" w:rsidP="001B3016">
      <w:pPr>
        <w:tabs>
          <w:tab w:val="left" w:pos="1134"/>
        </w:tabs>
        <w:autoSpaceDE w:val="0"/>
        <w:autoSpaceDN w:val="0"/>
        <w:adjustRightInd w:val="0"/>
        <w:ind w:left="1134" w:hanging="567"/>
        <w:rPr>
          <w:rFonts w:cs="TimesNewRomanPS-BoldItalicMT"/>
          <w:bCs/>
        </w:rPr>
      </w:pPr>
      <w:r w:rsidRPr="004141E7">
        <w:rPr>
          <w:rFonts w:cs="TimesNewRomanPS-BoldItalicMT"/>
          <w:bCs/>
        </w:rPr>
        <w:t xml:space="preserve">(6) </w:t>
      </w:r>
      <w:r w:rsidRPr="004141E7">
        <w:rPr>
          <w:rFonts w:cs="TimesNewRomanPS-BoldItalicMT"/>
          <w:bCs/>
        </w:rPr>
        <w:tab/>
      </w:r>
      <w:r w:rsidR="004A34BB" w:rsidRPr="004141E7">
        <w:rPr>
          <w:rFonts w:cs="TimesNewRomanPS-BoldItalicMT"/>
          <w:bCs/>
        </w:rPr>
        <w:t xml:space="preserve">Jeżeli droga kołowania śmigłowców po ziemi ma być wykorzystana w nocy, oznaczniki krawędzi </w:t>
      </w:r>
      <w:r w:rsidRPr="004141E7">
        <w:rPr>
          <w:rFonts w:cs="TimesNewRomanPS-BoldItalicMT"/>
          <w:bCs/>
        </w:rPr>
        <w:t>powinny być</w:t>
      </w:r>
      <w:r w:rsidR="004A34BB" w:rsidRPr="004141E7">
        <w:rPr>
          <w:rFonts w:cs="TimesNewRomanPS-BoldItalicMT"/>
          <w:bCs/>
        </w:rPr>
        <w:t xml:space="preserve"> wewnętrznie podświetlane lub odblaskowe.</w:t>
      </w:r>
    </w:p>
    <w:p w14:paraId="2F7B57A6" w14:textId="77777777" w:rsidR="004141E7" w:rsidRDefault="004141E7">
      <w:pPr>
        <w:spacing w:after="0"/>
        <w:jc w:val="left"/>
        <w:rPr>
          <w:rFonts w:cs="TimesNewRomanPS-BoldItalicMT"/>
          <w:bCs/>
        </w:rPr>
      </w:pPr>
      <w:r>
        <w:rPr>
          <w:rFonts w:cs="TimesNewRomanPS-BoldItalicMT"/>
          <w:bCs/>
        </w:rPr>
        <w:br w:type="page"/>
      </w:r>
    </w:p>
    <w:p w14:paraId="640723BD" w14:textId="0716784E" w:rsidR="002E5C48" w:rsidRPr="009E064B" w:rsidRDefault="002E5C48" w:rsidP="00133B99">
      <w:pPr>
        <w:pStyle w:val="Nagwek6"/>
      </w:pPr>
      <w:bookmarkStart w:id="1936" w:name="_Toc12533387"/>
      <w:r w:rsidRPr="009E064B">
        <w:t>GM1 HPT-DSN.</w:t>
      </w:r>
      <w:r w:rsidR="00615F62">
        <w:t>F.59</w:t>
      </w:r>
      <w:r>
        <w:t>0</w:t>
      </w:r>
      <w:r w:rsidRPr="009E064B">
        <w:t xml:space="preserve">     </w:t>
      </w:r>
      <w:r w:rsidR="00615F62" w:rsidRPr="00900AA5">
        <w:t>Oznakowanie i oznaczniki dróg kołowania śmigłowców po ziemi</w:t>
      </w:r>
      <w:bookmarkEnd w:id="1936"/>
    </w:p>
    <w:p w14:paraId="00F2E71A" w14:textId="1861FA4C"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EE9B71F" w14:textId="0F3C33FC" w:rsidR="00D748D4" w:rsidRPr="004141E7" w:rsidRDefault="002E5C48" w:rsidP="00D748D4">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(a) </w:t>
      </w:r>
      <w:r w:rsidRPr="004141E7">
        <w:rPr>
          <w:rFonts w:cs="TimesNewRomanPS-BoldItalicMT"/>
          <w:bCs/>
          <w:iCs/>
          <w:szCs w:val="20"/>
        </w:rPr>
        <w:tab/>
      </w:r>
      <w:r w:rsidR="004141E7" w:rsidRPr="004141E7">
        <w:rPr>
          <w:rFonts w:cs="TimesNewRomanPS-BoldItalicMT"/>
          <w:bCs/>
          <w:iCs/>
          <w:szCs w:val="20"/>
        </w:rPr>
        <w:t>T</w:t>
      </w:r>
      <w:r w:rsidR="00D748D4" w:rsidRPr="004141E7">
        <w:rPr>
          <w:rFonts w:cs="TimesNewRomanPS-BoldItalicMT"/>
          <w:bCs/>
          <w:iCs/>
          <w:szCs w:val="20"/>
        </w:rPr>
        <w:t xml:space="preserve">rasy kołowania śmigłowców </w:t>
      </w:r>
      <w:r w:rsidR="004141E7" w:rsidRPr="004141E7">
        <w:rPr>
          <w:rFonts w:cs="TimesNewRomanPS-BoldItalicMT"/>
          <w:bCs/>
          <w:iCs/>
          <w:szCs w:val="20"/>
        </w:rPr>
        <w:t xml:space="preserve">po ziemi </w:t>
      </w:r>
      <w:r w:rsidR="00D748D4" w:rsidRPr="004141E7">
        <w:rPr>
          <w:rFonts w:cs="TimesNewRomanPS-BoldItalicMT"/>
          <w:bCs/>
          <w:iCs/>
          <w:szCs w:val="20"/>
        </w:rPr>
        <w:t>nie muszą być oznakowane.</w:t>
      </w:r>
    </w:p>
    <w:p w14:paraId="1286C718" w14:textId="370A0577" w:rsidR="00D748D4" w:rsidRPr="004141E7" w:rsidRDefault="00D748D4" w:rsidP="00D748D4">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(b) </w:t>
      </w:r>
      <w:r w:rsidRPr="004141E7">
        <w:rPr>
          <w:rFonts w:cs="TimesNewRomanPS-BoldItalicMT"/>
          <w:bCs/>
          <w:iCs/>
          <w:szCs w:val="20"/>
        </w:rPr>
        <w:tab/>
        <w:t xml:space="preserve">Tam, gdzie to konieczne, na lotnisku </w:t>
      </w:r>
      <w:r w:rsidR="004141E7">
        <w:rPr>
          <w:rFonts w:cs="TimesNewRomanPS-BoldItalicMT"/>
          <w:bCs/>
          <w:iCs/>
          <w:szCs w:val="20"/>
        </w:rPr>
        <w:t>dla samolotów</w:t>
      </w:r>
      <w:r w:rsidRPr="004141E7">
        <w:rPr>
          <w:rFonts w:cs="TimesNewRomanPS-BoldItalicMT"/>
          <w:bCs/>
          <w:iCs/>
          <w:szCs w:val="20"/>
        </w:rPr>
        <w:t xml:space="preserve"> powinny być zapewnione znaki wskazujące, że naziemna droga kołowania jest odpowiednia tylko do użytku śmigłowców.</w:t>
      </w:r>
    </w:p>
    <w:p w14:paraId="50BF9035" w14:textId="28650508" w:rsidR="00D748D4" w:rsidRPr="004141E7" w:rsidRDefault="00D748D4" w:rsidP="00D748D4">
      <w:pPr>
        <w:tabs>
          <w:tab w:val="left" w:pos="567"/>
        </w:tabs>
        <w:autoSpaceDE w:val="0"/>
        <w:autoSpaceDN w:val="0"/>
        <w:adjustRightInd w:val="0"/>
        <w:ind w:left="567" w:hanging="567"/>
        <w:rPr>
          <w:rFonts w:cs="TimesNewRomanPS-BoldItalicMT"/>
          <w:bCs/>
          <w:iCs/>
          <w:szCs w:val="20"/>
        </w:rPr>
      </w:pPr>
      <w:r w:rsidRPr="004141E7">
        <w:rPr>
          <w:rFonts w:cs="TimesNewRomanPS-BoldItalicMT"/>
          <w:bCs/>
          <w:iCs/>
          <w:szCs w:val="20"/>
        </w:rPr>
        <w:t xml:space="preserve">c) </w:t>
      </w:r>
      <w:r w:rsidRPr="004141E7">
        <w:rPr>
          <w:rFonts w:cs="TimesNewRomanPS-BoldItalicMT"/>
          <w:bCs/>
          <w:iCs/>
          <w:szCs w:val="20"/>
        </w:rPr>
        <w:tab/>
        <w:t>Oznacznik krawędzi drogi kołowan</w:t>
      </w:r>
      <w:r w:rsidR="004141E7">
        <w:rPr>
          <w:rFonts w:cs="TimesNewRomanPS-BoldItalicMT"/>
          <w:bCs/>
          <w:iCs/>
          <w:szCs w:val="20"/>
        </w:rPr>
        <w:t>ia śmigłowców</w:t>
      </w:r>
      <w:r w:rsidRPr="004141E7">
        <w:rPr>
          <w:rFonts w:cs="TimesNewRomanPS-BoldItalicMT"/>
          <w:bCs/>
          <w:iCs/>
          <w:szCs w:val="20"/>
        </w:rPr>
        <w:t xml:space="preserve"> po ziemi nie powinien stanowić zagrożenia dla operacji statk</w:t>
      </w:r>
      <w:r w:rsidR="004141E7">
        <w:rPr>
          <w:rFonts w:cs="TimesNewRomanPS-BoldItalicMT"/>
          <w:bCs/>
          <w:iCs/>
          <w:szCs w:val="20"/>
        </w:rPr>
        <w:t>ów</w:t>
      </w:r>
      <w:r w:rsidRPr="004141E7">
        <w:rPr>
          <w:rFonts w:cs="TimesNewRomanPS-BoldItalicMT"/>
          <w:bCs/>
          <w:iCs/>
          <w:szCs w:val="20"/>
        </w:rPr>
        <w:t xml:space="preserve"> powietrzn</w:t>
      </w:r>
      <w:r w:rsidR="004141E7">
        <w:rPr>
          <w:rFonts w:cs="TimesNewRomanPS-BoldItalicMT"/>
          <w:bCs/>
          <w:iCs/>
          <w:szCs w:val="20"/>
        </w:rPr>
        <w:t>ych</w:t>
      </w:r>
      <w:r w:rsidRPr="004141E7">
        <w:rPr>
          <w:rFonts w:cs="TimesNewRomanPS-BoldItalicMT"/>
          <w:bCs/>
          <w:iCs/>
          <w:szCs w:val="20"/>
        </w:rPr>
        <w:t>.</w:t>
      </w:r>
    </w:p>
    <w:p w14:paraId="03F976C1" w14:textId="597E37D8" w:rsidR="002E5C48" w:rsidRPr="009E064B" w:rsidRDefault="00615F62" w:rsidP="002E5C48">
      <w:pPr>
        <w:pStyle w:val="Nagwek4"/>
        <w:rPr>
          <w:color w:val="auto"/>
        </w:rPr>
      </w:pPr>
      <w:bookmarkStart w:id="1937" w:name="_Toc12533388"/>
      <w:r w:rsidRPr="003832F2">
        <w:rPr>
          <w:color w:val="auto"/>
        </w:rPr>
        <w:t>CS HPT-DSN.F.60</w:t>
      </w:r>
      <w:r w:rsidR="002E5C48" w:rsidRPr="003832F2">
        <w:rPr>
          <w:color w:val="auto"/>
        </w:rPr>
        <w:t>0</w:t>
      </w:r>
      <w:r w:rsidR="002E5C48" w:rsidRPr="003832F2">
        <w:rPr>
          <w:b w:val="0"/>
          <w:bCs w:val="0"/>
          <w:color w:val="FFFFFF"/>
          <w:sz w:val="32"/>
          <w:szCs w:val="32"/>
        </w:rPr>
        <w:t xml:space="preserve">     </w:t>
      </w:r>
      <w:r w:rsidR="003832F2">
        <w:rPr>
          <w:b w:val="0"/>
          <w:bCs w:val="0"/>
          <w:color w:val="FFFFFF"/>
          <w:sz w:val="32"/>
          <w:szCs w:val="32"/>
        </w:rPr>
        <w:t xml:space="preserve">   </w:t>
      </w:r>
      <w:r w:rsidRPr="003832F2">
        <w:t>Oznakowanie i oznaczniki drogi kołowania śmigłowców</w:t>
      </w:r>
      <w:r w:rsidRPr="00900AA5">
        <w:t xml:space="preserve"> w powietrzu</w:t>
      </w:r>
      <w:bookmarkEnd w:id="1937"/>
    </w:p>
    <w:p w14:paraId="144D8143" w14:textId="1BDB94AC"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B7B6E45" w14:textId="08213729" w:rsidR="00D748D4" w:rsidRPr="009A6949" w:rsidRDefault="002E5C48" w:rsidP="001044A2">
      <w:pPr>
        <w:tabs>
          <w:tab w:val="left" w:pos="567"/>
        </w:tabs>
        <w:autoSpaceDE w:val="0"/>
        <w:autoSpaceDN w:val="0"/>
        <w:adjustRightInd w:val="0"/>
        <w:ind w:left="567" w:hanging="567"/>
        <w:rPr>
          <w:rFonts w:cs="TimesNewRomanPS-BoldItalicMT"/>
          <w:bCs/>
          <w:iCs/>
          <w:szCs w:val="20"/>
        </w:rPr>
      </w:pPr>
      <w:r w:rsidRPr="009A6949">
        <w:rPr>
          <w:rFonts w:cs="TimesNewRomanPS-BoldItalicMT"/>
          <w:bCs/>
          <w:iCs/>
          <w:szCs w:val="20"/>
        </w:rPr>
        <w:t>(a)</w:t>
      </w:r>
      <w:r w:rsidRPr="009A6949">
        <w:rPr>
          <w:rFonts w:cs="TimesNewRomanPS-BoldItalicMT"/>
          <w:bCs/>
          <w:iCs/>
          <w:szCs w:val="20"/>
        </w:rPr>
        <w:tab/>
      </w:r>
      <w:r w:rsidR="00D748D4" w:rsidRPr="009A6949">
        <w:rPr>
          <w:rFonts w:cs="TimesNewRomanPS-BoldItalicMT"/>
          <w:bCs/>
          <w:iCs/>
          <w:szCs w:val="20"/>
        </w:rPr>
        <w:t>Zastosowanie</w:t>
      </w:r>
      <w:r w:rsidR="001044A2" w:rsidRPr="009A6949">
        <w:rPr>
          <w:rFonts w:cs="TimesNewRomanPS-BoldItalicMT"/>
          <w:bCs/>
          <w:iCs/>
          <w:szCs w:val="20"/>
        </w:rPr>
        <w:t>:</w:t>
      </w:r>
    </w:p>
    <w:p w14:paraId="572F7E34" w14:textId="053A3772" w:rsidR="001044A2" w:rsidRPr="009A6949" w:rsidRDefault="001044A2" w:rsidP="001044A2">
      <w:pPr>
        <w:tabs>
          <w:tab w:val="left" w:pos="1134"/>
        </w:tabs>
        <w:autoSpaceDE w:val="0"/>
        <w:autoSpaceDN w:val="0"/>
        <w:adjustRightInd w:val="0"/>
        <w:ind w:left="1134" w:hanging="567"/>
      </w:pPr>
      <w:r w:rsidRPr="009A6949">
        <w:rPr>
          <w:rFonts w:cs="TimesNewRomanPS-BoldItalicMT"/>
          <w:bCs/>
          <w:iCs/>
          <w:szCs w:val="20"/>
        </w:rPr>
        <w:t xml:space="preserve">(1) </w:t>
      </w:r>
      <w:r w:rsidRPr="009A6949">
        <w:rPr>
          <w:rFonts w:cs="TimesNewRomanPS-BoldItalicMT"/>
          <w:bCs/>
          <w:iCs/>
          <w:szCs w:val="20"/>
        </w:rPr>
        <w:tab/>
        <w:t xml:space="preserve">Specyfikacje dotyczące oznakowania miejsca oczekiwania przed drogą startową określone </w:t>
      </w:r>
      <w:r w:rsidR="003832F2">
        <w:rPr>
          <w:rFonts w:cs="TimesNewRomanPS-BoldItalicMT"/>
          <w:bCs/>
          <w:iCs/>
          <w:szCs w:val="20"/>
        </w:rPr>
        <w:t>w  </w:t>
      </w:r>
      <w:hyperlink w:anchor="_CS_ADR-DSN.L.575_" w:history="1">
        <w:r w:rsidRPr="003832F2">
          <w:rPr>
            <w:rStyle w:val="Hipercze"/>
            <w:rFonts w:cs="TimesNewRomanPS-BoldItalicMT"/>
            <w:bCs/>
            <w:iCs/>
            <w:szCs w:val="20"/>
          </w:rPr>
          <w:t>CS</w:t>
        </w:r>
        <w:r w:rsidR="003832F2" w:rsidRPr="003832F2">
          <w:rPr>
            <w:rStyle w:val="Hipercze"/>
            <w:rFonts w:cs="TimesNewRomanPS-BoldItalicMT"/>
            <w:bCs/>
            <w:iCs/>
            <w:szCs w:val="20"/>
          </w:rPr>
          <w:t> </w:t>
        </w:r>
        <w:r w:rsidRPr="003832F2">
          <w:rPr>
            <w:rStyle w:val="Hipercze"/>
            <w:rFonts w:cs="TimesNewRomanPS-BoldItalicMT"/>
            <w:bCs/>
            <w:iCs/>
            <w:szCs w:val="20"/>
          </w:rPr>
          <w:t>ADR-DSN.L.575</w:t>
        </w:r>
      </w:hyperlink>
      <w:r w:rsidRPr="003832F2">
        <w:rPr>
          <w:rFonts w:cs="TimesNewRomanPS-BoldItalicMT"/>
          <w:bCs/>
          <w:iCs/>
          <w:szCs w:val="20"/>
        </w:rPr>
        <w:t xml:space="preserve"> </w:t>
      </w:r>
      <w:r w:rsidR="004141E7" w:rsidRPr="003832F2">
        <w:rPr>
          <w:rFonts w:cs="TimesNewRomanPS-BoldItalicMT"/>
          <w:bCs/>
          <w:iCs/>
          <w:szCs w:val="20"/>
        </w:rPr>
        <w:t>oraz dotyczące oznakowania</w:t>
      </w:r>
      <w:r w:rsidRPr="003832F2">
        <w:rPr>
          <w:rFonts w:cs="TimesNewRomanPS-BoldItalicMT"/>
          <w:bCs/>
          <w:iCs/>
          <w:szCs w:val="20"/>
        </w:rPr>
        <w:t xml:space="preserve"> pośrednieg</w:t>
      </w:r>
      <w:r w:rsidR="009A6949" w:rsidRPr="003832F2">
        <w:rPr>
          <w:rFonts w:cs="TimesNewRomanPS-BoldItalicMT"/>
          <w:bCs/>
          <w:iCs/>
          <w:szCs w:val="20"/>
        </w:rPr>
        <w:t>o miejsca oczekiwania w </w:t>
      </w:r>
      <w:r w:rsidR="003832F2">
        <w:rPr>
          <w:rFonts w:cs="TimesNewRomanPS-BoldItalicMT"/>
          <w:bCs/>
          <w:iCs/>
          <w:szCs w:val="20"/>
        </w:rPr>
        <w:t> </w:t>
      </w:r>
      <w:hyperlink w:anchor="_CS_ADR-DSN.L.580_" w:history="1">
        <w:r w:rsidR="009A6949" w:rsidRPr="003832F2">
          <w:rPr>
            <w:rStyle w:val="Hipercze"/>
            <w:rFonts w:cs="TimesNewRomanPS-BoldItalicMT"/>
            <w:bCs/>
            <w:iCs/>
            <w:szCs w:val="20"/>
          </w:rPr>
          <w:t>CS </w:t>
        </w:r>
        <w:r w:rsidRPr="003832F2">
          <w:rPr>
            <w:rStyle w:val="Hipercze"/>
            <w:rFonts w:cs="TimesNewRomanPS-BoldItalicMT"/>
            <w:bCs/>
            <w:iCs/>
            <w:szCs w:val="20"/>
          </w:rPr>
          <w:t>ADR-DSN.L.580</w:t>
        </w:r>
      </w:hyperlink>
      <w:r w:rsidRPr="003832F2">
        <w:rPr>
          <w:rFonts w:cs="TimesNewRomanPS-BoldItalicMT"/>
          <w:bCs/>
          <w:iCs/>
          <w:szCs w:val="20"/>
        </w:rPr>
        <w:t xml:space="preserve"> mają również zastosowanie do dróg kołowania przeznaczonych do</w:t>
      </w:r>
      <w:r w:rsidRPr="009A6949">
        <w:rPr>
          <w:rFonts w:cs="TimesNewRomanPS-BoldItalicMT"/>
          <w:bCs/>
          <w:iCs/>
          <w:szCs w:val="20"/>
        </w:rPr>
        <w:t xml:space="preserve"> kołowania śmigłowców w powietrzu.</w:t>
      </w:r>
    </w:p>
    <w:p w14:paraId="094231C7" w14:textId="27DC7B84" w:rsidR="00D748D4" w:rsidRPr="009A6949" w:rsidRDefault="001044A2" w:rsidP="001044A2">
      <w:pPr>
        <w:tabs>
          <w:tab w:val="left" w:pos="1134"/>
        </w:tabs>
        <w:autoSpaceDE w:val="0"/>
        <w:autoSpaceDN w:val="0"/>
        <w:adjustRightInd w:val="0"/>
        <w:ind w:left="1134" w:hanging="567"/>
        <w:rPr>
          <w:rFonts w:cs="TimesNewRomanPS-BoldItalicMT"/>
          <w:bCs/>
          <w:iCs/>
          <w:szCs w:val="20"/>
        </w:rPr>
      </w:pPr>
      <w:r w:rsidRPr="009A6949">
        <w:rPr>
          <w:rFonts w:cs="TimesNewRomanPS-BoldItalicMT"/>
          <w:bCs/>
          <w:iCs/>
          <w:szCs w:val="20"/>
        </w:rPr>
        <w:t xml:space="preserve">(2) </w:t>
      </w:r>
      <w:r w:rsidRPr="009A6949">
        <w:rPr>
          <w:rFonts w:cs="TimesNewRomanPS-BoldItalicMT"/>
          <w:bCs/>
          <w:iCs/>
          <w:szCs w:val="20"/>
        </w:rPr>
        <w:tab/>
      </w:r>
      <w:r w:rsidR="00D748D4" w:rsidRPr="009A6949">
        <w:rPr>
          <w:rFonts w:cs="TimesNewRomanPS-BoldItalicMT"/>
          <w:bCs/>
          <w:iCs/>
          <w:szCs w:val="20"/>
        </w:rPr>
        <w:t>Linia środkowa drogi kołowania śmigłowców w powietrzu lub, jeżeli nie są oczywiste, krawędzie drogi kołowania śmigłowców w powietrzu powinny być identyfikowane przy pomocy oznaczników lub oznakowania</w:t>
      </w:r>
      <w:r w:rsidRPr="009A6949">
        <w:rPr>
          <w:rFonts w:cs="TimesNewRomanPS-BoldItalicMT"/>
          <w:bCs/>
          <w:iCs/>
          <w:szCs w:val="20"/>
        </w:rPr>
        <w:t xml:space="preserve"> (poziomego)</w:t>
      </w:r>
      <w:r w:rsidR="00D748D4" w:rsidRPr="009A6949">
        <w:rPr>
          <w:rFonts w:cs="TimesNewRomanPS-BoldItalicMT"/>
          <w:bCs/>
          <w:iCs/>
          <w:szCs w:val="20"/>
        </w:rPr>
        <w:t>.</w:t>
      </w:r>
    </w:p>
    <w:p w14:paraId="4B7C4834" w14:textId="423A3A2E" w:rsidR="00D748D4" w:rsidRPr="009A6949" w:rsidRDefault="001044A2" w:rsidP="001044A2">
      <w:pPr>
        <w:tabs>
          <w:tab w:val="left" w:pos="567"/>
        </w:tabs>
        <w:autoSpaceDE w:val="0"/>
        <w:autoSpaceDN w:val="0"/>
        <w:adjustRightInd w:val="0"/>
        <w:ind w:left="567" w:hanging="567"/>
        <w:rPr>
          <w:rFonts w:cs="TimesNewRomanPS-BoldItalicMT"/>
          <w:bCs/>
          <w:iCs/>
          <w:szCs w:val="20"/>
        </w:rPr>
      </w:pPr>
      <w:r w:rsidRPr="009A6949">
        <w:rPr>
          <w:rFonts w:cs="TimesNewRomanPS-BoldItalicMT"/>
          <w:bCs/>
          <w:iCs/>
          <w:szCs w:val="20"/>
        </w:rPr>
        <w:t xml:space="preserve">(b) </w:t>
      </w:r>
      <w:r w:rsidRPr="009A6949">
        <w:rPr>
          <w:rFonts w:cs="TimesNewRomanPS-BoldItalicMT"/>
          <w:bCs/>
          <w:iCs/>
          <w:szCs w:val="20"/>
        </w:rPr>
        <w:tab/>
      </w:r>
      <w:r w:rsidR="00D748D4" w:rsidRPr="009A6949">
        <w:rPr>
          <w:rFonts w:cs="TimesNewRomanPS-BoldItalicMT"/>
          <w:bCs/>
          <w:iCs/>
          <w:szCs w:val="20"/>
        </w:rPr>
        <w:t>Lokalizacja</w:t>
      </w:r>
      <w:r w:rsidRPr="009A6949">
        <w:rPr>
          <w:rFonts w:cs="TimesNewRomanPS-BoldItalicMT"/>
          <w:bCs/>
          <w:iCs/>
          <w:szCs w:val="20"/>
        </w:rPr>
        <w:t>:</w:t>
      </w:r>
    </w:p>
    <w:p w14:paraId="79EAD378" w14:textId="1063C1F0" w:rsidR="00D748D4" w:rsidRPr="009A6949" w:rsidRDefault="001044A2" w:rsidP="001044A2">
      <w:pPr>
        <w:tabs>
          <w:tab w:val="left" w:pos="1134"/>
        </w:tabs>
        <w:autoSpaceDE w:val="0"/>
        <w:autoSpaceDN w:val="0"/>
        <w:adjustRightInd w:val="0"/>
        <w:ind w:left="1134" w:hanging="567"/>
        <w:rPr>
          <w:rFonts w:cs="TimesNewRomanPS-BoldItalicMT"/>
          <w:bCs/>
        </w:rPr>
      </w:pPr>
      <w:r w:rsidRPr="009A6949">
        <w:rPr>
          <w:rFonts w:cs="TimesNewRomanPS-BoldItalicMT"/>
          <w:bCs/>
        </w:rPr>
        <w:t xml:space="preserve">(1) </w:t>
      </w:r>
      <w:r w:rsidRPr="009A6949">
        <w:rPr>
          <w:rFonts w:cs="TimesNewRomanPS-BoldItalicMT"/>
          <w:bCs/>
        </w:rPr>
        <w:tab/>
      </w:r>
      <w:r w:rsidR="00D748D4" w:rsidRPr="009A6949">
        <w:rPr>
          <w:rFonts w:cs="TimesNewRomanPS-BoldItalicMT"/>
          <w:bCs/>
        </w:rPr>
        <w:t xml:space="preserve">Oznakowanie linii środkowej drogi kołowania śmigłowców w powietrzu lub naziemne oznaczniki linii środkowej </w:t>
      </w:r>
      <w:r w:rsidRPr="009A6949">
        <w:rPr>
          <w:rFonts w:cs="TimesNewRomanPS-BoldItalicMT"/>
          <w:bCs/>
        </w:rPr>
        <w:t>powinny być zlokalizowane</w:t>
      </w:r>
      <w:r w:rsidR="00D748D4" w:rsidRPr="009A6949">
        <w:rPr>
          <w:rFonts w:cs="TimesNewRomanPS-BoldItalicMT"/>
          <w:bCs/>
        </w:rPr>
        <w:t xml:space="preserve"> wzdłuż linii śro</w:t>
      </w:r>
      <w:r w:rsidR="009A6949" w:rsidRPr="009A6949">
        <w:rPr>
          <w:rFonts w:cs="TimesNewRomanPS-BoldItalicMT"/>
          <w:bCs/>
        </w:rPr>
        <w:t>dkowej drogi kołowania śmigłowców</w:t>
      </w:r>
      <w:r w:rsidR="00D748D4" w:rsidRPr="009A6949">
        <w:rPr>
          <w:rFonts w:cs="TimesNewRomanPS-BoldItalicMT"/>
          <w:bCs/>
        </w:rPr>
        <w:t xml:space="preserve"> w powietrzu.</w:t>
      </w:r>
    </w:p>
    <w:p w14:paraId="40BFA7F7" w14:textId="403B08AF" w:rsidR="00D748D4" w:rsidRPr="009A6949" w:rsidRDefault="001044A2" w:rsidP="001044A2">
      <w:pPr>
        <w:tabs>
          <w:tab w:val="left" w:pos="1134"/>
        </w:tabs>
        <w:autoSpaceDE w:val="0"/>
        <w:autoSpaceDN w:val="0"/>
        <w:adjustRightInd w:val="0"/>
        <w:ind w:left="1134" w:hanging="567"/>
        <w:rPr>
          <w:rFonts w:cs="TimesNewRomanPS-BoldItalicMT"/>
          <w:bCs/>
        </w:rPr>
      </w:pPr>
      <w:r w:rsidRPr="009A6949">
        <w:rPr>
          <w:rFonts w:cs="TimesNewRomanPS-BoldItalicMT"/>
          <w:bCs/>
        </w:rPr>
        <w:t xml:space="preserve">(2) </w:t>
      </w:r>
      <w:r w:rsidRPr="009A6949">
        <w:rPr>
          <w:rFonts w:cs="TimesNewRomanPS-BoldItalicMT"/>
          <w:bCs/>
        </w:rPr>
        <w:tab/>
      </w:r>
      <w:r w:rsidR="00D748D4" w:rsidRPr="009A6949">
        <w:rPr>
          <w:rFonts w:cs="TimesNewRomanPS-BoldItalicMT"/>
          <w:bCs/>
        </w:rPr>
        <w:t>Oznakowanie krawędzi dr</w:t>
      </w:r>
      <w:r w:rsidR="009A6949" w:rsidRPr="009A6949">
        <w:rPr>
          <w:rFonts w:cs="TimesNewRomanPS-BoldItalicMT"/>
          <w:bCs/>
        </w:rPr>
        <w:t>ogi</w:t>
      </w:r>
      <w:r w:rsidR="00D748D4" w:rsidRPr="009A6949">
        <w:rPr>
          <w:rFonts w:cs="TimesNewRomanPS-BoldItalicMT"/>
          <w:bCs/>
        </w:rPr>
        <w:t xml:space="preserve"> kołowania śmigłowców w powietrzu </w:t>
      </w:r>
      <w:r w:rsidRPr="009A6949">
        <w:rPr>
          <w:rFonts w:cs="TimesNewRomanPS-BoldItalicMT"/>
          <w:bCs/>
        </w:rPr>
        <w:t>powinno być zlokalizowane</w:t>
      </w:r>
      <w:r w:rsidR="00D748D4" w:rsidRPr="009A6949">
        <w:rPr>
          <w:rFonts w:cs="TimesNewRomanPS-BoldItalicMT"/>
          <w:bCs/>
        </w:rPr>
        <w:t xml:space="preserve"> wzdłuż krawędzi drogi kołowania śmigłowców w powietrzu.</w:t>
      </w:r>
    </w:p>
    <w:p w14:paraId="139B94DC" w14:textId="1F1F844D" w:rsidR="00D748D4" w:rsidRPr="009A6949" w:rsidRDefault="001044A2" w:rsidP="001044A2">
      <w:pPr>
        <w:tabs>
          <w:tab w:val="left" w:pos="1134"/>
        </w:tabs>
        <w:autoSpaceDE w:val="0"/>
        <w:autoSpaceDN w:val="0"/>
        <w:adjustRightInd w:val="0"/>
        <w:ind w:left="1134" w:hanging="567"/>
        <w:rPr>
          <w:rFonts w:cs="TimesNewRomanPS-BoldItalicMT"/>
          <w:bCs/>
        </w:rPr>
      </w:pPr>
      <w:r w:rsidRPr="009A6949">
        <w:rPr>
          <w:rFonts w:cs="TimesNewRomanPS-BoldItalicMT"/>
          <w:bCs/>
        </w:rPr>
        <w:t xml:space="preserve">(3) </w:t>
      </w:r>
      <w:r w:rsidRPr="009A6949">
        <w:rPr>
          <w:rFonts w:cs="TimesNewRomanPS-BoldItalicMT"/>
          <w:bCs/>
        </w:rPr>
        <w:tab/>
      </w:r>
      <w:r w:rsidR="00D748D4" w:rsidRPr="009A6949">
        <w:rPr>
          <w:rFonts w:cs="TimesNewRomanPS-BoldItalicMT"/>
          <w:bCs/>
        </w:rPr>
        <w:t>Oznaczniki krawędzi dr</w:t>
      </w:r>
      <w:r w:rsidR="009A6949" w:rsidRPr="009A6949">
        <w:rPr>
          <w:rFonts w:cs="TimesNewRomanPS-BoldItalicMT"/>
          <w:bCs/>
        </w:rPr>
        <w:t>ogi</w:t>
      </w:r>
      <w:r w:rsidR="00D748D4" w:rsidRPr="009A6949">
        <w:rPr>
          <w:rFonts w:cs="TimesNewRomanPS-BoldItalicMT"/>
          <w:bCs/>
        </w:rPr>
        <w:t xml:space="preserve"> kołowania śmigłowców w powietrzu </w:t>
      </w:r>
      <w:r w:rsidR="009A6949" w:rsidRPr="009A6949">
        <w:rPr>
          <w:rFonts w:cs="TimesNewRomanPS-BoldItalicMT"/>
          <w:bCs/>
        </w:rPr>
        <w:t>powinny</w:t>
      </w:r>
      <w:r w:rsidRPr="009A6949">
        <w:rPr>
          <w:rFonts w:cs="TimesNewRomanPS-BoldItalicMT"/>
          <w:bCs/>
        </w:rPr>
        <w:t xml:space="preserve"> być zlokalizowane </w:t>
      </w:r>
      <w:r w:rsidR="009A6949" w:rsidRPr="009A6949">
        <w:rPr>
          <w:rFonts w:cs="TimesNewRomanPS-BoldItalicMT"/>
          <w:bCs/>
        </w:rPr>
        <w:t xml:space="preserve">w </w:t>
      </w:r>
      <w:r w:rsidR="00D748D4" w:rsidRPr="009A6949">
        <w:rPr>
          <w:rFonts w:cs="TimesNewRomanPS-BoldItalicMT"/>
          <w:bCs/>
        </w:rPr>
        <w:t xml:space="preserve">odległości od 1 m do 3 m </w:t>
      </w:r>
      <w:r w:rsidRPr="009A6949">
        <w:rPr>
          <w:rFonts w:cs="TimesNewRomanPS-BoldItalicMT"/>
          <w:bCs/>
        </w:rPr>
        <w:t>poza</w:t>
      </w:r>
      <w:r w:rsidR="00D748D4" w:rsidRPr="009A6949">
        <w:rPr>
          <w:rFonts w:cs="TimesNewRomanPS-BoldItalicMT"/>
          <w:bCs/>
        </w:rPr>
        <w:t xml:space="preserve"> krawędzią drogi kołowania śmigłowców w powietrzu.</w:t>
      </w:r>
    </w:p>
    <w:p w14:paraId="72D06793" w14:textId="68D7F2C2" w:rsidR="00D748D4" w:rsidRPr="009A6949" w:rsidRDefault="001044A2" w:rsidP="001044A2">
      <w:pPr>
        <w:tabs>
          <w:tab w:val="left" w:pos="567"/>
        </w:tabs>
        <w:autoSpaceDE w:val="0"/>
        <w:autoSpaceDN w:val="0"/>
        <w:adjustRightInd w:val="0"/>
        <w:ind w:left="567" w:hanging="567"/>
        <w:rPr>
          <w:rFonts w:cs="TimesNewRomanPS-BoldItalicMT"/>
          <w:bCs/>
          <w:iCs/>
          <w:szCs w:val="20"/>
        </w:rPr>
      </w:pPr>
      <w:r w:rsidRPr="009A6949">
        <w:rPr>
          <w:rFonts w:cs="TimesNewRomanPS-BoldItalicMT"/>
          <w:bCs/>
          <w:iCs/>
          <w:szCs w:val="20"/>
        </w:rPr>
        <w:t xml:space="preserve">(c) </w:t>
      </w:r>
      <w:r w:rsidRPr="009A6949">
        <w:rPr>
          <w:rFonts w:cs="TimesNewRomanPS-BoldItalicMT"/>
          <w:bCs/>
          <w:iCs/>
          <w:szCs w:val="20"/>
        </w:rPr>
        <w:tab/>
      </w:r>
      <w:r w:rsidR="00D748D4" w:rsidRPr="009A6949">
        <w:rPr>
          <w:rFonts w:cs="TimesNewRomanPS-BoldItalicMT"/>
          <w:bCs/>
          <w:iCs/>
          <w:szCs w:val="20"/>
        </w:rPr>
        <w:t>Charakterystyki</w:t>
      </w:r>
    </w:p>
    <w:p w14:paraId="402257B5" w14:textId="259864AC" w:rsidR="00D748D4" w:rsidRPr="004B33CD" w:rsidRDefault="00AE69BA" w:rsidP="00AE69BA">
      <w:pPr>
        <w:tabs>
          <w:tab w:val="left" w:pos="1134"/>
        </w:tabs>
        <w:autoSpaceDE w:val="0"/>
        <w:autoSpaceDN w:val="0"/>
        <w:adjustRightInd w:val="0"/>
        <w:ind w:left="1134" w:hanging="567"/>
        <w:rPr>
          <w:rFonts w:cs="TimesNewRomanPS-BoldItalicMT"/>
          <w:bCs/>
        </w:rPr>
      </w:pPr>
      <w:r w:rsidRPr="009A6949">
        <w:rPr>
          <w:rFonts w:cs="TimesNewRomanPS-BoldItalicMT"/>
          <w:bCs/>
        </w:rPr>
        <w:t xml:space="preserve">(1) </w:t>
      </w:r>
      <w:r w:rsidRPr="009A6949">
        <w:rPr>
          <w:rFonts w:cs="TimesNewRomanPS-BoldItalicMT"/>
          <w:bCs/>
        </w:rPr>
        <w:tab/>
      </w:r>
      <w:r w:rsidR="00D748D4" w:rsidRPr="009A6949">
        <w:rPr>
          <w:rFonts w:cs="TimesNewRomanPS-BoldItalicMT"/>
          <w:bCs/>
        </w:rPr>
        <w:t xml:space="preserve">Linia środkowa drogi kołowania śmigłowców w powietrzu, jeżeli znajduje się na </w:t>
      </w:r>
      <w:r w:rsidR="009A6949" w:rsidRPr="009A6949">
        <w:rPr>
          <w:rFonts w:cs="TimesNewRomanPS-BoldItalicMT"/>
          <w:bCs/>
        </w:rPr>
        <w:t>nawierzchni sztucznej</w:t>
      </w:r>
      <w:r w:rsidR="00D748D4" w:rsidRPr="009A6949">
        <w:rPr>
          <w:rFonts w:cs="TimesNewRomanPS-BoldItalicMT"/>
          <w:bCs/>
        </w:rPr>
        <w:t xml:space="preserve">, </w:t>
      </w:r>
      <w:r w:rsidRPr="009A6949">
        <w:rPr>
          <w:rFonts w:cs="TimesNewRomanPS-BoldItalicMT"/>
          <w:bCs/>
        </w:rPr>
        <w:t xml:space="preserve">powinna być </w:t>
      </w:r>
      <w:r w:rsidR="00D748D4" w:rsidRPr="009A6949">
        <w:rPr>
          <w:rFonts w:cs="TimesNewRomanPS-BoldItalicMT"/>
          <w:bCs/>
        </w:rPr>
        <w:t xml:space="preserve">oznakowana </w:t>
      </w:r>
      <w:r w:rsidR="009A6949" w:rsidRPr="009A6949">
        <w:rPr>
          <w:rFonts w:cs="TimesNewRomanPS-BoldItalicMT"/>
          <w:bCs/>
        </w:rPr>
        <w:t xml:space="preserve">linią </w:t>
      </w:r>
      <w:r w:rsidR="00D748D4" w:rsidRPr="009A6949">
        <w:rPr>
          <w:rFonts w:cs="TimesNewRomanPS-BoldItalicMT"/>
          <w:bCs/>
        </w:rPr>
        <w:t>ciągłą</w:t>
      </w:r>
      <w:r w:rsidR="009A6949" w:rsidRPr="009A6949">
        <w:rPr>
          <w:rFonts w:cs="TimesNewRomanPS-BoldItalicMT"/>
          <w:bCs/>
        </w:rPr>
        <w:t>, koloru</w:t>
      </w:r>
      <w:r w:rsidR="00D748D4" w:rsidRPr="009A6949">
        <w:rPr>
          <w:rFonts w:cs="TimesNewRomanPS-BoldItalicMT"/>
          <w:bCs/>
        </w:rPr>
        <w:t xml:space="preserve"> żółt</w:t>
      </w:r>
      <w:r w:rsidR="009A6949" w:rsidRPr="009A6949">
        <w:rPr>
          <w:rFonts w:cs="TimesNewRomanPS-BoldItalicMT"/>
          <w:bCs/>
        </w:rPr>
        <w:t>ego</w:t>
      </w:r>
      <w:r w:rsidR="00D748D4" w:rsidRPr="009A6949">
        <w:rPr>
          <w:rFonts w:cs="TimesNewRomanPS-BoldItalicMT"/>
          <w:bCs/>
        </w:rPr>
        <w:t xml:space="preserve"> </w:t>
      </w:r>
      <w:r w:rsidR="009A6949" w:rsidRPr="009A6949">
        <w:rPr>
          <w:rFonts w:cs="TimesNewRomanPS-BoldItalicMT"/>
          <w:bCs/>
        </w:rPr>
        <w:t>o </w:t>
      </w:r>
      <w:r w:rsidR="00D748D4" w:rsidRPr="009A6949">
        <w:rPr>
          <w:rFonts w:cs="TimesNewRomanPS-BoldItalicMT"/>
          <w:bCs/>
        </w:rPr>
        <w:t xml:space="preserve">szerokości </w:t>
      </w:r>
      <w:r w:rsidR="00D748D4" w:rsidRPr="004B33CD">
        <w:rPr>
          <w:rFonts w:cs="TimesNewRomanPS-BoldItalicMT"/>
          <w:bCs/>
        </w:rPr>
        <w:t>15 cm.</w:t>
      </w:r>
    </w:p>
    <w:p w14:paraId="008B846A" w14:textId="67E6E391" w:rsidR="00D748D4" w:rsidRPr="004B33CD" w:rsidRDefault="00AE69BA" w:rsidP="00AE69BA">
      <w:pPr>
        <w:tabs>
          <w:tab w:val="left" w:pos="1134"/>
        </w:tabs>
        <w:autoSpaceDE w:val="0"/>
        <w:autoSpaceDN w:val="0"/>
        <w:adjustRightInd w:val="0"/>
        <w:ind w:left="1134" w:hanging="567"/>
        <w:rPr>
          <w:rFonts w:cs="TimesNewRomanPS-BoldItalicMT"/>
          <w:bCs/>
        </w:rPr>
      </w:pPr>
      <w:r w:rsidRPr="004B33CD">
        <w:rPr>
          <w:rFonts w:cs="TimesNewRomanPS-BoldItalicMT"/>
          <w:bCs/>
        </w:rPr>
        <w:t xml:space="preserve">(2) </w:t>
      </w:r>
      <w:r w:rsidRPr="004B33CD">
        <w:rPr>
          <w:rFonts w:cs="TimesNewRomanPS-BoldItalicMT"/>
          <w:bCs/>
        </w:rPr>
        <w:tab/>
      </w:r>
      <w:r w:rsidR="00D748D4" w:rsidRPr="004B33CD">
        <w:rPr>
          <w:rFonts w:cs="TimesNewRomanPS-BoldItalicMT"/>
          <w:bCs/>
        </w:rPr>
        <w:t xml:space="preserve">Krawędzie drogi kołowania śmigłowców w powietrzu, jeżeli znajdują się na </w:t>
      </w:r>
      <w:r w:rsidR="009A6949" w:rsidRPr="004B33CD">
        <w:rPr>
          <w:rFonts w:cs="TimesNewRomanPS-BoldItalicMT"/>
          <w:bCs/>
        </w:rPr>
        <w:t>nawierzchni sztucznej</w:t>
      </w:r>
      <w:r w:rsidR="00D748D4" w:rsidRPr="004B33CD">
        <w:rPr>
          <w:rFonts w:cs="TimesNewRomanPS-BoldItalicMT"/>
          <w:bCs/>
        </w:rPr>
        <w:t xml:space="preserve">, </w:t>
      </w:r>
      <w:r w:rsidRPr="004B33CD">
        <w:rPr>
          <w:rFonts w:cs="TimesNewRomanPS-BoldItalicMT"/>
          <w:bCs/>
        </w:rPr>
        <w:t xml:space="preserve">powinny być </w:t>
      </w:r>
      <w:r w:rsidR="00D748D4" w:rsidRPr="004B33CD">
        <w:rPr>
          <w:rFonts w:cs="TimesNewRomanPS-BoldItalicMT"/>
          <w:bCs/>
        </w:rPr>
        <w:t>oznakowane podwójn</w:t>
      </w:r>
      <w:r w:rsidR="004B33CD" w:rsidRPr="004B33CD">
        <w:rPr>
          <w:rFonts w:cs="TimesNewRomanPS-BoldItalicMT"/>
          <w:bCs/>
        </w:rPr>
        <w:t>ą linią ciągłą koloru</w:t>
      </w:r>
      <w:r w:rsidR="00D748D4" w:rsidRPr="004B33CD">
        <w:rPr>
          <w:rFonts w:cs="TimesNewRomanPS-BoldItalicMT"/>
          <w:bCs/>
        </w:rPr>
        <w:t xml:space="preserve"> żółt</w:t>
      </w:r>
      <w:r w:rsidR="004B33CD" w:rsidRPr="004B33CD">
        <w:rPr>
          <w:rFonts w:cs="TimesNewRomanPS-BoldItalicMT"/>
          <w:bCs/>
        </w:rPr>
        <w:t xml:space="preserve">ego </w:t>
      </w:r>
      <w:r w:rsidR="00D748D4" w:rsidRPr="004B33CD">
        <w:rPr>
          <w:rFonts w:cs="TimesNewRomanPS-BoldItalicMT"/>
          <w:bCs/>
        </w:rPr>
        <w:t xml:space="preserve">o szerokości 15 cm </w:t>
      </w:r>
      <w:r w:rsidR="004B33CD" w:rsidRPr="004B33CD">
        <w:rPr>
          <w:rFonts w:cs="TimesNewRomanPS-BoldItalicMT"/>
          <w:bCs/>
        </w:rPr>
        <w:t xml:space="preserve">każda </w:t>
      </w:r>
      <w:r w:rsidR="00D748D4" w:rsidRPr="004B33CD">
        <w:rPr>
          <w:rFonts w:cs="TimesNewRomanPS-BoldItalicMT"/>
          <w:bCs/>
        </w:rPr>
        <w:t>z odstęp</w:t>
      </w:r>
      <w:r w:rsidR="004B33CD" w:rsidRPr="004B33CD">
        <w:rPr>
          <w:rFonts w:cs="TimesNewRomanPS-BoldItalicMT"/>
          <w:bCs/>
        </w:rPr>
        <w:t>em</w:t>
      </w:r>
      <w:r w:rsidR="00D748D4" w:rsidRPr="004B33CD">
        <w:rPr>
          <w:rFonts w:cs="TimesNewRomanPS-BoldItalicMT"/>
          <w:bCs/>
        </w:rPr>
        <w:t xml:space="preserve"> 15 cm (najbliższa krawędź do najbliższej krawędzi).</w:t>
      </w:r>
    </w:p>
    <w:p w14:paraId="1A1F17D7" w14:textId="233F2DA3" w:rsidR="00D748D4" w:rsidRPr="00E24BDB" w:rsidRDefault="00AE69BA" w:rsidP="00AE69BA">
      <w:pPr>
        <w:tabs>
          <w:tab w:val="left" w:pos="1134"/>
        </w:tabs>
        <w:autoSpaceDE w:val="0"/>
        <w:autoSpaceDN w:val="0"/>
        <w:adjustRightInd w:val="0"/>
        <w:ind w:left="1134" w:hanging="567"/>
        <w:rPr>
          <w:rFonts w:cs="TimesNewRomanPS-BoldItalicMT"/>
          <w:bCs/>
        </w:rPr>
      </w:pPr>
      <w:r w:rsidRPr="004B33CD">
        <w:rPr>
          <w:rFonts w:cs="TimesNewRomanPS-BoldItalicMT"/>
          <w:bCs/>
        </w:rPr>
        <w:t xml:space="preserve">(3) </w:t>
      </w:r>
      <w:r w:rsidRPr="004B33CD">
        <w:rPr>
          <w:rFonts w:cs="TimesNewRomanPS-BoldItalicMT"/>
          <w:bCs/>
        </w:rPr>
        <w:tab/>
      </w:r>
      <w:r w:rsidR="00D748D4" w:rsidRPr="004B33CD">
        <w:rPr>
          <w:rFonts w:cs="TimesNewRomanPS-BoldItalicMT"/>
          <w:bCs/>
        </w:rPr>
        <w:t xml:space="preserve">Jeżeli linia środkowa drogi kołowania śmigłowców w powietrzu </w:t>
      </w:r>
      <w:r w:rsidR="004B33CD" w:rsidRPr="004B33CD">
        <w:rPr>
          <w:rFonts w:cs="TimesNewRomanPS-BoldItalicMT"/>
          <w:bCs/>
        </w:rPr>
        <w:t xml:space="preserve">nie </w:t>
      </w:r>
      <w:r w:rsidR="00D748D4" w:rsidRPr="004B33CD">
        <w:rPr>
          <w:rFonts w:cs="TimesNewRomanPS-BoldItalicMT"/>
          <w:bCs/>
        </w:rPr>
        <w:t xml:space="preserve">znajduje się na </w:t>
      </w:r>
      <w:r w:rsidR="004B33CD" w:rsidRPr="004B33CD">
        <w:rPr>
          <w:rFonts w:cs="TimesNewRomanPS-BoldItalicMT"/>
          <w:bCs/>
        </w:rPr>
        <w:t>nawierzchni sztucznej</w:t>
      </w:r>
      <w:r w:rsidR="00D748D4" w:rsidRPr="004B33CD">
        <w:rPr>
          <w:rFonts w:cs="TimesNewRomanPS-BoldItalicMT"/>
          <w:bCs/>
        </w:rPr>
        <w:t xml:space="preserve">, </w:t>
      </w:r>
      <w:r w:rsidRPr="004B33CD">
        <w:rPr>
          <w:rFonts w:cs="TimesNewRomanPS-BoldItalicMT"/>
          <w:bCs/>
        </w:rPr>
        <w:t xml:space="preserve">i </w:t>
      </w:r>
      <w:r w:rsidR="004B33CD" w:rsidRPr="004B33CD">
        <w:rPr>
          <w:rFonts w:cs="TimesNewRomanPS-BoldItalicMT"/>
          <w:bCs/>
        </w:rPr>
        <w:t xml:space="preserve">nie </w:t>
      </w:r>
      <w:r w:rsidRPr="004B33CD">
        <w:rPr>
          <w:rFonts w:cs="TimesNewRomanPS-BoldItalicMT"/>
          <w:bCs/>
        </w:rPr>
        <w:t xml:space="preserve">można zapewnić </w:t>
      </w:r>
      <w:r w:rsidR="00D748D4" w:rsidRPr="004B33CD">
        <w:rPr>
          <w:rFonts w:cs="TimesNewRomanPS-BoldItalicMT"/>
          <w:bCs/>
        </w:rPr>
        <w:t>malowan</w:t>
      </w:r>
      <w:r w:rsidRPr="004B33CD">
        <w:rPr>
          <w:rFonts w:cs="TimesNewRomanPS-BoldItalicMT"/>
          <w:bCs/>
        </w:rPr>
        <w:t>ego</w:t>
      </w:r>
      <w:r w:rsidR="00D748D4" w:rsidRPr="004B33CD">
        <w:rPr>
          <w:rFonts w:cs="TimesNewRomanPS-BoldItalicMT"/>
          <w:bCs/>
        </w:rPr>
        <w:t xml:space="preserve"> oznakowa</w:t>
      </w:r>
      <w:r w:rsidRPr="004B33CD">
        <w:rPr>
          <w:rFonts w:cs="TimesNewRomanPS-BoldItalicMT"/>
          <w:bCs/>
        </w:rPr>
        <w:t>nia linii środkowej drogi kołowania</w:t>
      </w:r>
      <w:r w:rsidR="00D748D4" w:rsidRPr="004B33CD">
        <w:rPr>
          <w:rFonts w:cs="TimesNewRomanPS-BoldItalicMT"/>
          <w:bCs/>
        </w:rPr>
        <w:t xml:space="preserve">, </w:t>
      </w:r>
      <w:r w:rsidRPr="004B33CD">
        <w:rPr>
          <w:rFonts w:cs="TimesNewRomanPS-BoldItalicMT"/>
          <w:bCs/>
        </w:rPr>
        <w:t xml:space="preserve">to powinno być oznakowana </w:t>
      </w:r>
      <w:r w:rsidR="00D748D4" w:rsidRPr="004B33CD">
        <w:rPr>
          <w:rFonts w:cs="TimesNewRomanPS-BoldItalicMT"/>
          <w:bCs/>
        </w:rPr>
        <w:t>przy pomocy równych naziemnych oznaczników</w:t>
      </w:r>
      <w:r w:rsidR="004B33CD">
        <w:rPr>
          <w:rFonts w:cs="TimesNewRomanPS-BoldItalicMT"/>
          <w:bCs/>
        </w:rPr>
        <w:t>, koloru żółtego,</w:t>
      </w:r>
      <w:r w:rsidR="00D748D4" w:rsidRPr="004B33CD">
        <w:rPr>
          <w:rFonts w:cs="TimesNewRomanPS-BoldItalicMT"/>
          <w:bCs/>
        </w:rPr>
        <w:t xml:space="preserve"> o szerokości 15 cm i długości około 1,5 m, w</w:t>
      </w:r>
      <w:r w:rsidRPr="004B33CD">
        <w:rPr>
          <w:rFonts w:cs="TimesNewRomanPS-BoldItalicMT"/>
          <w:bCs/>
        </w:rPr>
        <w:t xml:space="preserve"> odstępach nie większych niż 30 </w:t>
      </w:r>
      <w:r w:rsidR="00D748D4" w:rsidRPr="004B33CD">
        <w:rPr>
          <w:rFonts w:cs="TimesNewRomanPS-BoldItalicMT"/>
          <w:bCs/>
        </w:rPr>
        <w:t xml:space="preserve">m </w:t>
      </w:r>
      <w:r w:rsidRPr="004B33CD">
        <w:rPr>
          <w:rFonts w:cs="TimesNewRomanPS-BoldItalicMT"/>
          <w:bCs/>
        </w:rPr>
        <w:t>na odcinkach</w:t>
      </w:r>
      <w:r w:rsidR="00D748D4" w:rsidRPr="004B33CD">
        <w:rPr>
          <w:rFonts w:cs="TimesNewRomanPS-BoldItalicMT"/>
          <w:bCs/>
        </w:rPr>
        <w:t xml:space="preserve"> prostych i nie większych niż 15 m </w:t>
      </w:r>
      <w:r w:rsidRPr="004B33CD">
        <w:rPr>
          <w:rFonts w:cs="TimesNewRomanPS-BoldItalicMT"/>
          <w:bCs/>
        </w:rPr>
        <w:t>na odcinkach</w:t>
      </w:r>
      <w:r w:rsidR="00D748D4" w:rsidRPr="004B33CD">
        <w:rPr>
          <w:rFonts w:cs="TimesNewRomanPS-BoldItalicMT"/>
          <w:bCs/>
        </w:rPr>
        <w:t xml:space="preserve"> </w:t>
      </w:r>
      <w:r w:rsidR="00D748D4" w:rsidRPr="00E24BDB">
        <w:rPr>
          <w:rFonts w:cs="TimesNewRomanPS-BoldItalicMT"/>
          <w:bCs/>
        </w:rPr>
        <w:t xml:space="preserve">zakrzywionych, z co najmniej czterema oznacznikami </w:t>
      </w:r>
      <w:r w:rsidR="00E24BDB" w:rsidRPr="00E24BDB">
        <w:rPr>
          <w:rFonts w:cs="TimesNewRomanPS-BoldItalicMT"/>
          <w:bCs/>
        </w:rPr>
        <w:t xml:space="preserve">na każdym odcinku rozmieszczonymi </w:t>
      </w:r>
      <w:r w:rsidR="00D748D4" w:rsidRPr="00E24BDB">
        <w:rPr>
          <w:rFonts w:cs="TimesNewRomanPS-BoldItalicMT"/>
          <w:bCs/>
        </w:rPr>
        <w:t>w równych odstępach</w:t>
      </w:r>
      <w:r w:rsidRPr="00E24BDB">
        <w:rPr>
          <w:rFonts w:cs="TimesNewRomanPS-BoldItalicMT"/>
          <w:bCs/>
        </w:rPr>
        <w:t>.</w:t>
      </w:r>
    </w:p>
    <w:p w14:paraId="35E24245" w14:textId="7F00A32D" w:rsidR="00D748D4" w:rsidRPr="00E24BDB" w:rsidRDefault="00AE69BA" w:rsidP="00AE69BA">
      <w:pPr>
        <w:tabs>
          <w:tab w:val="left" w:pos="1134"/>
        </w:tabs>
        <w:autoSpaceDE w:val="0"/>
        <w:autoSpaceDN w:val="0"/>
        <w:adjustRightInd w:val="0"/>
        <w:ind w:left="1134" w:hanging="567"/>
        <w:rPr>
          <w:rFonts w:cs="TimesNewRomanPS-BoldItalicMT"/>
          <w:bCs/>
        </w:rPr>
      </w:pPr>
      <w:r w:rsidRPr="00E24BDB">
        <w:rPr>
          <w:rFonts w:cs="TimesNewRomanPS-BoldItalicMT"/>
          <w:bCs/>
        </w:rPr>
        <w:t xml:space="preserve">(4) </w:t>
      </w:r>
      <w:r w:rsidRPr="00E24BDB">
        <w:rPr>
          <w:rFonts w:cs="TimesNewRomanPS-BoldItalicMT"/>
          <w:bCs/>
        </w:rPr>
        <w:tab/>
      </w:r>
      <w:r w:rsidR="00D748D4" w:rsidRPr="00E24BDB">
        <w:rPr>
          <w:rFonts w:cs="TimesNewRomanPS-BoldItalicMT"/>
          <w:bCs/>
        </w:rPr>
        <w:t xml:space="preserve">Oznaczniki krawędzi drogi kołowania śmigłowców w powietrzu, jeżeli są zapewniane, </w:t>
      </w:r>
      <w:r w:rsidRPr="00E24BDB">
        <w:rPr>
          <w:rFonts w:cs="TimesNewRomanPS-BoldItalicMT"/>
          <w:bCs/>
        </w:rPr>
        <w:t>powinny roz</w:t>
      </w:r>
      <w:r w:rsidR="00D748D4" w:rsidRPr="00E24BDB">
        <w:rPr>
          <w:rFonts w:cs="TimesNewRomanPS-BoldItalicMT"/>
          <w:bCs/>
        </w:rPr>
        <w:t xml:space="preserve">mieszczone w odstępach nie większych niż 30 m po każdej stronie </w:t>
      </w:r>
      <w:r w:rsidR="00875DBD" w:rsidRPr="00E24BDB">
        <w:rPr>
          <w:rFonts w:cs="TimesNewRomanPS-BoldItalicMT"/>
          <w:bCs/>
        </w:rPr>
        <w:t>odcinków</w:t>
      </w:r>
      <w:r w:rsidR="00D748D4" w:rsidRPr="00E24BDB">
        <w:rPr>
          <w:rFonts w:cs="TimesNewRomanPS-BoldItalicMT"/>
          <w:bCs/>
        </w:rPr>
        <w:t xml:space="preserve"> prostych oraz w odstępach nie większych niż 15 m po każdej stronie </w:t>
      </w:r>
      <w:r w:rsidR="00875DBD" w:rsidRPr="00E24BDB">
        <w:rPr>
          <w:rFonts w:cs="TimesNewRomanPS-BoldItalicMT"/>
          <w:bCs/>
        </w:rPr>
        <w:t>odcinków</w:t>
      </w:r>
      <w:r w:rsidR="00D748D4" w:rsidRPr="00E24BDB">
        <w:rPr>
          <w:rFonts w:cs="TimesNewRomanPS-BoldItalicMT"/>
          <w:bCs/>
        </w:rPr>
        <w:t xml:space="preserve"> zakrzywionych, z co najmniej czterema oznacznikami </w:t>
      </w:r>
      <w:r w:rsidR="00E24BDB" w:rsidRPr="00E24BDB">
        <w:rPr>
          <w:rFonts w:cs="TimesNewRomanPS-BoldItalicMT"/>
          <w:bCs/>
        </w:rPr>
        <w:t xml:space="preserve">na danym odcinku </w:t>
      </w:r>
      <w:r w:rsidR="00D748D4" w:rsidRPr="00E24BDB">
        <w:rPr>
          <w:rFonts w:cs="TimesNewRomanPS-BoldItalicMT"/>
          <w:bCs/>
        </w:rPr>
        <w:t>rozmieszczonymi w równych odstępach.</w:t>
      </w:r>
    </w:p>
    <w:p w14:paraId="44151D40" w14:textId="6AC1A2DE" w:rsidR="00D748D4" w:rsidRPr="00E24BDB" w:rsidRDefault="00875DBD" w:rsidP="00AE69BA">
      <w:pPr>
        <w:tabs>
          <w:tab w:val="left" w:pos="1134"/>
        </w:tabs>
        <w:autoSpaceDE w:val="0"/>
        <w:autoSpaceDN w:val="0"/>
        <w:adjustRightInd w:val="0"/>
        <w:ind w:left="1134" w:hanging="567"/>
        <w:rPr>
          <w:rFonts w:cs="TimesNewRomanPS-BoldItalicMT"/>
          <w:bCs/>
        </w:rPr>
      </w:pPr>
      <w:r w:rsidRPr="00E24BDB">
        <w:rPr>
          <w:rFonts w:cs="TimesNewRomanPS-BoldItalicMT"/>
          <w:bCs/>
        </w:rPr>
        <w:t xml:space="preserve">(5) </w:t>
      </w:r>
      <w:r w:rsidRPr="00E24BDB">
        <w:rPr>
          <w:rFonts w:cs="TimesNewRomanPS-BoldItalicMT"/>
          <w:bCs/>
        </w:rPr>
        <w:tab/>
      </w:r>
      <w:r w:rsidR="00D748D4" w:rsidRPr="00E24BDB">
        <w:rPr>
          <w:rFonts w:cs="TimesNewRomanPS-BoldItalicMT"/>
          <w:bCs/>
        </w:rPr>
        <w:t xml:space="preserve">Oznaczniki krawędzi drogi kołowania śmigłowców w powietrzu </w:t>
      </w:r>
      <w:r w:rsidRPr="00E24BDB">
        <w:rPr>
          <w:rFonts w:cs="TimesNewRomanPS-BoldItalicMT"/>
          <w:bCs/>
        </w:rPr>
        <w:t>powinny być</w:t>
      </w:r>
      <w:r w:rsidR="00D748D4" w:rsidRPr="00E24BDB">
        <w:rPr>
          <w:rFonts w:cs="TimesNewRomanPS-BoldItalicMT"/>
          <w:bCs/>
        </w:rPr>
        <w:t xml:space="preserve"> łamliwe.</w:t>
      </w:r>
    </w:p>
    <w:p w14:paraId="790FF78A" w14:textId="09E344FF" w:rsidR="00D748D4" w:rsidRPr="00524BAC" w:rsidRDefault="00875DBD" w:rsidP="00AE69BA">
      <w:pPr>
        <w:tabs>
          <w:tab w:val="left" w:pos="1134"/>
        </w:tabs>
        <w:autoSpaceDE w:val="0"/>
        <w:autoSpaceDN w:val="0"/>
        <w:adjustRightInd w:val="0"/>
        <w:ind w:left="1134" w:hanging="567"/>
        <w:rPr>
          <w:rFonts w:cs="TimesNewRomanPS-BoldItalicMT"/>
          <w:bCs/>
        </w:rPr>
      </w:pPr>
      <w:r w:rsidRPr="00E24BDB">
        <w:rPr>
          <w:rFonts w:cs="TimesNewRomanPS-BoldItalicMT"/>
          <w:bCs/>
        </w:rPr>
        <w:t xml:space="preserve">(6) </w:t>
      </w:r>
      <w:r w:rsidRPr="00E24BDB">
        <w:rPr>
          <w:rFonts w:cs="TimesNewRomanPS-BoldItalicMT"/>
          <w:bCs/>
        </w:rPr>
        <w:tab/>
      </w:r>
      <w:r w:rsidR="00D748D4" w:rsidRPr="00E24BDB">
        <w:rPr>
          <w:rFonts w:cs="TimesNewRomanPS-BoldItalicMT"/>
          <w:bCs/>
        </w:rPr>
        <w:t xml:space="preserve">Oznaczniki krawędzi drogi kołowania śmigłowców w powietrzu nie </w:t>
      </w:r>
      <w:r w:rsidR="00E24BDB" w:rsidRPr="00E24BDB">
        <w:rPr>
          <w:rFonts w:cs="TimesNewRomanPS-BoldItalicMT"/>
          <w:bCs/>
        </w:rPr>
        <w:t xml:space="preserve">powinny </w:t>
      </w:r>
      <w:r w:rsidR="00D748D4" w:rsidRPr="00E24BDB">
        <w:rPr>
          <w:rFonts w:cs="TimesNewRomanPS-BoldItalicMT"/>
          <w:bCs/>
        </w:rPr>
        <w:t>przekracza</w:t>
      </w:r>
      <w:r w:rsidR="00E24BDB" w:rsidRPr="00E24BDB">
        <w:rPr>
          <w:rFonts w:cs="TimesNewRomanPS-BoldItalicMT"/>
          <w:bCs/>
        </w:rPr>
        <w:t xml:space="preserve">ć </w:t>
      </w:r>
      <w:r w:rsidR="00D748D4" w:rsidRPr="00524BAC">
        <w:rPr>
          <w:rFonts w:cs="TimesNewRomanPS-BoldItalicMT"/>
          <w:bCs/>
        </w:rPr>
        <w:t>płaszczyzny, która ma swój początek na wysokości 25 cm nad powierzchnią drogi koło</w:t>
      </w:r>
      <w:r w:rsidR="00E24BDB" w:rsidRPr="00524BAC">
        <w:rPr>
          <w:rFonts w:cs="TimesNewRomanPS-BoldItalicMT"/>
          <w:bCs/>
        </w:rPr>
        <w:t>wania śmigłowców w powietrzu, w odległości 1 </w:t>
      </w:r>
      <w:r w:rsidR="00D748D4" w:rsidRPr="00524BAC">
        <w:rPr>
          <w:rFonts w:cs="TimesNewRomanPS-BoldItalicMT"/>
          <w:bCs/>
        </w:rPr>
        <w:t>m od krawędzi drogi kołowania śmigłowców w powietrzu, z nachyleni</w:t>
      </w:r>
      <w:r w:rsidR="00E24BDB" w:rsidRPr="00524BAC">
        <w:rPr>
          <w:rFonts w:cs="TimesNewRomanPS-BoldItalicMT"/>
          <w:bCs/>
        </w:rPr>
        <w:t>em</w:t>
      </w:r>
      <w:r w:rsidR="00D748D4" w:rsidRPr="00524BAC">
        <w:rPr>
          <w:rFonts w:cs="TimesNewRomanPS-BoldItalicMT"/>
          <w:bCs/>
        </w:rPr>
        <w:t xml:space="preserve"> w górę i na zewnątrz </w:t>
      </w:r>
      <w:r w:rsidRPr="00524BAC">
        <w:rPr>
          <w:rFonts w:cs="TimesNewRomanPS-BoldItalicMT"/>
          <w:bCs/>
        </w:rPr>
        <w:t xml:space="preserve">pod kątem </w:t>
      </w:r>
      <w:r w:rsidR="00E24BDB" w:rsidRPr="00524BAC">
        <w:rPr>
          <w:rFonts w:cs="TimesNewRomanPS-BoldItalicMT"/>
          <w:bCs/>
        </w:rPr>
        <w:t>5%, na odległość 3 </w:t>
      </w:r>
      <w:r w:rsidR="00D748D4" w:rsidRPr="00524BAC">
        <w:rPr>
          <w:rFonts w:cs="TimesNewRomanPS-BoldItalicMT"/>
          <w:bCs/>
        </w:rPr>
        <w:t xml:space="preserve">m </w:t>
      </w:r>
      <w:r w:rsidR="00E24BDB" w:rsidRPr="00524BAC">
        <w:rPr>
          <w:rFonts w:cs="TimesNewRomanPS-BoldItalicMT"/>
          <w:bCs/>
        </w:rPr>
        <w:t>poza</w:t>
      </w:r>
      <w:r w:rsidR="00D748D4" w:rsidRPr="00524BAC">
        <w:rPr>
          <w:rFonts w:cs="TimesNewRomanPS-BoldItalicMT"/>
          <w:bCs/>
        </w:rPr>
        <w:t xml:space="preserve"> krawędź drogi kołowania śmigłowców w powietrzu.</w:t>
      </w:r>
    </w:p>
    <w:p w14:paraId="13D1D3A7" w14:textId="0E3E9BC5" w:rsidR="00D748D4" w:rsidRPr="00524BAC" w:rsidRDefault="00271125" w:rsidP="00875DBD">
      <w:pPr>
        <w:tabs>
          <w:tab w:val="left" w:pos="1134"/>
        </w:tabs>
        <w:autoSpaceDE w:val="0"/>
        <w:autoSpaceDN w:val="0"/>
        <w:adjustRightInd w:val="0"/>
        <w:ind w:left="1134" w:hanging="567"/>
        <w:rPr>
          <w:rFonts w:cs="TimesNewRomanPS-BoldItalicMT"/>
          <w:bCs/>
        </w:rPr>
      </w:pPr>
      <w:r w:rsidRPr="00524BAC">
        <w:rPr>
          <w:rFonts w:cs="TimesNewRomanPS-BoldItalicMT"/>
          <w:bCs/>
        </w:rPr>
        <w:t xml:space="preserve">(7) </w:t>
      </w:r>
      <w:r w:rsidRPr="00524BAC">
        <w:rPr>
          <w:rFonts w:cs="TimesNewRomanPS-BoldItalicMT"/>
          <w:bCs/>
        </w:rPr>
        <w:tab/>
      </w:r>
      <w:r w:rsidR="00D748D4" w:rsidRPr="00524BAC">
        <w:rPr>
          <w:rFonts w:cs="TimesNewRomanPS-BoldItalicMT"/>
          <w:bCs/>
        </w:rPr>
        <w:t xml:space="preserve">Oznacznik krawędzi drogi kołowania śmigłowców w powietrzu </w:t>
      </w:r>
      <w:r w:rsidRPr="00524BAC">
        <w:rPr>
          <w:rFonts w:cs="TimesNewRomanPS-BoldItalicMT"/>
          <w:bCs/>
        </w:rPr>
        <w:t>powin</w:t>
      </w:r>
      <w:r w:rsidR="00524BAC" w:rsidRPr="00524BAC">
        <w:rPr>
          <w:rFonts w:cs="TimesNewRomanPS-BoldItalicMT"/>
          <w:bCs/>
        </w:rPr>
        <w:t>ien</w:t>
      </w:r>
      <w:r w:rsidRPr="00524BAC">
        <w:rPr>
          <w:rFonts w:cs="TimesNewRomanPS-BoldItalicMT"/>
          <w:bCs/>
        </w:rPr>
        <w:t xml:space="preserve"> mieć</w:t>
      </w:r>
      <w:r w:rsidR="00D748D4" w:rsidRPr="00524BAC">
        <w:rPr>
          <w:rFonts w:cs="TimesNewRomanPS-BoldItalicMT"/>
          <w:bCs/>
        </w:rPr>
        <w:t xml:space="preserve"> taki kolor, któr</w:t>
      </w:r>
      <w:r w:rsidR="00524BAC" w:rsidRPr="00524BAC">
        <w:rPr>
          <w:rFonts w:cs="TimesNewRomanPS-BoldItalicMT"/>
          <w:bCs/>
        </w:rPr>
        <w:t>y skutecznie kontrastuje</w:t>
      </w:r>
      <w:r w:rsidR="00D748D4" w:rsidRPr="00524BAC">
        <w:rPr>
          <w:rFonts w:cs="TimesNewRomanPS-BoldItalicMT"/>
          <w:bCs/>
        </w:rPr>
        <w:t xml:space="preserve"> </w:t>
      </w:r>
      <w:r w:rsidRPr="00524BAC">
        <w:rPr>
          <w:rFonts w:cs="TimesNewRomanPS-BoldItalicMT"/>
          <w:bCs/>
        </w:rPr>
        <w:t>z</w:t>
      </w:r>
      <w:r w:rsidR="00D748D4" w:rsidRPr="00524BAC">
        <w:rPr>
          <w:rFonts w:cs="TimesNewRomanPS-BoldItalicMT"/>
          <w:bCs/>
        </w:rPr>
        <w:t xml:space="preserve"> tłem. Kolor czerwony nie </w:t>
      </w:r>
      <w:r w:rsidRPr="00524BAC">
        <w:rPr>
          <w:rFonts w:cs="TimesNewRomanPS-BoldItalicMT"/>
          <w:bCs/>
        </w:rPr>
        <w:t>powinny być stosowany</w:t>
      </w:r>
      <w:r w:rsidR="00D748D4" w:rsidRPr="00524BAC">
        <w:rPr>
          <w:rFonts w:cs="TimesNewRomanPS-BoldItalicMT"/>
          <w:bCs/>
        </w:rPr>
        <w:t xml:space="preserve"> dla oznaczników.</w:t>
      </w:r>
    </w:p>
    <w:p w14:paraId="4C4E90CC" w14:textId="099B2175" w:rsidR="002E5C48" w:rsidRPr="00524BAC" w:rsidRDefault="00271125" w:rsidP="00271125">
      <w:pPr>
        <w:tabs>
          <w:tab w:val="left" w:pos="1134"/>
        </w:tabs>
        <w:autoSpaceDE w:val="0"/>
        <w:autoSpaceDN w:val="0"/>
        <w:adjustRightInd w:val="0"/>
        <w:ind w:left="1134" w:hanging="567"/>
        <w:rPr>
          <w:rFonts w:cstheme="minorHAnsi"/>
          <w:szCs w:val="20"/>
        </w:rPr>
      </w:pPr>
      <w:r w:rsidRPr="00524BAC">
        <w:rPr>
          <w:rFonts w:cs="TimesNewRomanPS-BoldItalicMT"/>
          <w:bCs/>
        </w:rPr>
        <w:t xml:space="preserve">(8) </w:t>
      </w:r>
      <w:r w:rsidRPr="00524BAC">
        <w:rPr>
          <w:rFonts w:cs="TimesNewRomanPS-BoldItalicMT"/>
          <w:bCs/>
        </w:rPr>
        <w:tab/>
        <w:t>J</w:t>
      </w:r>
      <w:r w:rsidR="00D748D4" w:rsidRPr="00524BAC">
        <w:rPr>
          <w:rFonts w:cs="TimesNewRomanPS-BoldItalicMT"/>
          <w:bCs/>
        </w:rPr>
        <w:t xml:space="preserve">eżeli droga kołowania śmigłowców w powietrzu ma być wykorzystana w nocy, oznaczniki krawędzi drogi kołowania śmigłowców w powietrzu </w:t>
      </w:r>
      <w:r w:rsidR="00524BAC" w:rsidRPr="00524BAC">
        <w:rPr>
          <w:rFonts w:cs="TimesNewRomanPS-BoldItalicMT"/>
          <w:bCs/>
        </w:rPr>
        <w:t xml:space="preserve">powinny być </w:t>
      </w:r>
      <w:r w:rsidR="00D748D4" w:rsidRPr="00524BAC">
        <w:rPr>
          <w:rFonts w:cs="TimesNewRomanPS-BoldItalicMT"/>
          <w:bCs/>
        </w:rPr>
        <w:t>wewnętrznie podświetlane lub odblaskowe.</w:t>
      </w:r>
    </w:p>
    <w:p w14:paraId="7D15C024" w14:textId="6C15E612" w:rsidR="002E5C48" w:rsidRPr="009E064B" w:rsidRDefault="002E5C48" w:rsidP="00133B99">
      <w:pPr>
        <w:pStyle w:val="Nagwek6"/>
      </w:pPr>
      <w:bookmarkStart w:id="1938" w:name="_Toc12533389"/>
      <w:r w:rsidRPr="009E064B">
        <w:t>GM1 HPT-DSN.</w:t>
      </w:r>
      <w:r w:rsidR="00615F62">
        <w:t>F.60</w:t>
      </w:r>
      <w:r>
        <w:t>0</w:t>
      </w:r>
      <w:r w:rsidRPr="009E064B">
        <w:t xml:space="preserve">     </w:t>
      </w:r>
      <w:r w:rsidR="00615F62" w:rsidRPr="00133B99">
        <w:t>Oznakowanie</w:t>
      </w:r>
      <w:r w:rsidR="00615F62" w:rsidRPr="00900AA5">
        <w:t xml:space="preserve"> i oznaczniki drogi kołowania śmigłowców </w:t>
      </w:r>
      <w:r w:rsidR="00BD1DB3">
        <w:br/>
        <w:t xml:space="preserve"> </w:t>
      </w:r>
      <w:r w:rsidR="00615F62" w:rsidRPr="00900AA5">
        <w:t>w powietrzu</w:t>
      </w:r>
      <w:bookmarkEnd w:id="1938"/>
      <w:r w:rsidR="00615F62" w:rsidRPr="00900AA5">
        <w:t xml:space="preserve"> </w:t>
      </w:r>
    </w:p>
    <w:p w14:paraId="467923B5" w14:textId="02115F84"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C30EFB0" w14:textId="5F1D40DE" w:rsidR="001044A2" w:rsidRPr="00524BAC" w:rsidRDefault="002E5C48" w:rsidP="00271125">
      <w:pPr>
        <w:tabs>
          <w:tab w:val="left" w:pos="567"/>
        </w:tabs>
        <w:autoSpaceDE w:val="0"/>
        <w:autoSpaceDN w:val="0"/>
        <w:adjustRightInd w:val="0"/>
        <w:ind w:left="567" w:hanging="567"/>
        <w:rPr>
          <w:rFonts w:eastAsia="Verdana" w:cs="Verdana"/>
          <w:bCs/>
          <w:iCs/>
        </w:rPr>
      </w:pPr>
      <w:r w:rsidRPr="00524BAC">
        <w:rPr>
          <w:rFonts w:cs="TimesNewRomanPS-BoldItalicMT"/>
          <w:bCs/>
          <w:iCs/>
          <w:szCs w:val="20"/>
        </w:rPr>
        <w:t xml:space="preserve">(a) </w:t>
      </w:r>
      <w:r w:rsidRPr="00524BAC">
        <w:rPr>
          <w:rFonts w:cs="TimesNewRomanPS-BoldItalicMT"/>
          <w:bCs/>
          <w:iCs/>
          <w:szCs w:val="20"/>
        </w:rPr>
        <w:tab/>
      </w:r>
      <w:r w:rsidR="00271125" w:rsidRPr="00524BAC">
        <w:rPr>
          <w:rFonts w:cs="TimesNewRomanPS-BoldItalicMT"/>
          <w:bCs/>
          <w:iCs/>
          <w:szCs w:val="20"/>
        </w:rPr>
        <w:t>Trasy</w:t>
      </w:r>
      <w:r w:rsidR="001044A2" w:rsidRPr="00524BAC">
        <w:rPr>
          <w:rFonts w:eastAsia="Verdana" w:cs="Verdana"/>
          <w:bCs/>
          <w:iCs/>
        </w:rPr>
        <w:t xml:space="preserve"> kołowania </w:t>
      </w:r>
      <w:r w:rsidR="00271125" w:rsidRPr="00524BAC">
        <w:rPr>
          <w:rFonts w:eastAsia="Verdana" w:cs="Verdana"/>
          <w:bCs/>
          <w:iCs/>
        </w:rPr>
        <w:t xml:space="preserve">śmigłowca </w:t>
      </w:r>
      <w:r w:rsidR="001044A2" w:rsidRPr="00524BAC">
        <w:rPr>
          <w:rFonts w:eastAsia="Verdana" w:cs="Verdana"/>
          <w:bCs/>
          <w:iCs/>
        </w:rPr>
        <w:t>w powietrzu</w:t>
      </w:r>
      <w:r w:rsidR="00271125" w:rsidRPr="00524BAC">
        <w:rPr>
          <w:rFonts w:eastAsia="Verdana" w:cs="Verdana"/>
          <w:bCs/>
          <w:iCs/>
        </w:rPr>
        <w:t xml:space="preserve"> nie muszą być oznakowane</w:t>
      </w:r>
      <w:r w:rsidR="001044A2" w:rsidRPr="00524BAC">
        <w:rPr>
          <w:rFonts w:eastAsia="Verdana" w:cs="Verdana"/>
          <w:bCs/>
          <w:iCs/>
        </w:rPr>
        <w:t>.</w:t>
      </w:r>
    </w:p>
    <w:p w14:paraId="48700A71" w14:textId="2FF4F89B" w:rsidR="002E5C48" w:rsidRPr="00524BAC" w:rsidRDefault="003930F4" w:rsidP="00271125">
      <w:pPr>
        <w:tabs>
          <w:tab w:val="left" w:pos="567"/>
        </w:tabs>
        <w:autoSpaceDE w:val="0"/>
        <w:autoSpaceDN w:val="0"/>
        <w:adjustRightInd w:val="0"/>
        <w:ind w:left="567" w:hanging="567"/>
        <w:rPr>
          <w:rFonts w:eastAsia="Verdana" w:cs="Verdana"/>
          <w:bCs/>
          <w:iCs/>
        </w:rPr>
      </w:pPr>
      <w:r w:rsidRPr="00524BAC">
        <w:rPr>
          <w:rFonts w:eastAsia="Verdana" w:cs="Verdana"/>
          <w:bCs/>
          <w:iCs/>
        </w:rPr>
        <w:t xml:space="preserve">(b) </w:t>
      </w:r>
      <w:r w:rsidRPr="00524BAC">
        <w:rPr>
          <w:rFonts w:eastAsia="Verdana" w:cs="Verdana"/>
          <w:bCs/>
          <w:iCs/>
        </w:rPr>
        <w:tab/>
        <w:t xml:space="preserve">Jeżeli istnieje możliwość pomylenia drogi kołowania śmigłowców w powietrzu z drogą kołowania śmigłowców po ziemi, to powinno być zapewnione oznakowanie </w:t>
      </w:r>
      <w:r w:rsidR="00524BAC" w:rsidRPr="00524BAC">
        <w:rPr>
          <w:rFonts w:eastAsia="Verdana" w:cs="Verdana"/>
          <w:bCs/>
          <w:iCs/>
        </w:rPr>
        <w:t>wskazujące jakiego</w:t>
      </w:r>
      <w:r w:rsidRPr="00524BAC">
        <w:rPr>
          <w:rFonts w:eastAsia="Verdana" w:cs="Verdana"/>
          <w:bCs/>
          <w:iCs/>
        </w:rPr>
        <w:t xml:space="preserve"> rodzaju operacji kołowania są dozwolone.</w:t>
      </w:r>
    </w:p>
    <w:p w14:paraId="04F9FB2A" w14:textId="3B1695F9" w:rsidR="005C09F6" w:rsidRPr="00524BAC" w:rsidRDefault="00271125" w:rsidP="005C09F6">
      <w:pPr>
        <w:tabs>
          <w:tab w:val="left" w:pos="567"/>
        </w:tabs>
        <w:autoSpaceDE w:val="0"/>
        <w:autoSpaceDN w:val="0"/>
        <w:adjustRightInd w:val="0"/>
        <w:ind w:left="567" w:hanging="567"/>
        <w:rPr>
          <w:rFonts w:eastAsia="Verdana" w:cs="Verdana"/>
          <w:bCs/>
          <w:iCs/>
        </w:rPr>
      </w:pPr>
      <w:r w:rsidRPr="00524BAC">
        <w:rPr>
          <w:rFonts w:eastAsia="Verdana" w:cs="Verdana"/>
          <w:bCs/>
          <w:iCs/>
        </w:rPr>
        <w:t xml:space="preserve">(c) </w:t>
      </w:r>
      <w:r w:rsidR="001044A2" w:rsidRPr="00524BAC">
        <w:rPr>
          <w:rFonts w:eastAsia="Verdana" w:cs="Verdana"/>
          <w:bCs/>
          <w:iCs/>
        </w:rPr>
        <w:tab/>
      </w:r>
      <w:r w:rsidR="00524BAC" w:rsidRPr="00524BAC">
        <w:rPr>
          <w:rFonts w:eastAsia="Verdana" w:cs="Verdana"/>
          <w:bCs/>
          <w:iCs/>
        </w:rPr>
        <w:t>Oznaczniki krawędzi drogi</w:t>
      </w:r>
      <w:r w:rsidR="005C09F6" w:rsidRPr="00524BAC">
        <w:rPr>
          <w:rFonts w:eastAsia="Verdana" w:cs="Verdana"/>
          <w:bCs/>
          <w:iCs/>
        </w:rPr>
        <w:t xml:space="preserve"> kołowania śmigłowców w powietrzu </w:t>
      </w:r>
      <w:r w:rsidR="005C09F6" w:rsidRPr="00524BAC">
        <w:rPr>
          <w:rFonts w:eastAsia="Verdana" w:cs="Verdana"/>
          <w:bCs/>
        </w:rPr>
        <w:t>nie powinny znajdować się,</w:t>
      </w:r>
      <w:r w:rsidR="005C09F6" w:rsidRPr="00524BAC">
        <w:rPr>
          <w:rFonts w:eastAsia="Verdana" w:cs="Verdana"/>
          <w:bCs/>
          <w:iCs/>
        </w:rPr>
        <w:t xml:space="preserve"> od linii środkowej drogi kołowania śmigłowców w powietrzu </w:t>
      </w:r>
      <w:r w:rsidR="005C09F6" w:rsidRPr="00524BAC">
        <w:rPr>
          <w:rFonts w:eastAsia="Verdana" w:cs="Verdana"/>
          <w:bCs/>
        </w:rPr>
        <w:t>w</w:t>
      </w:r>
      <w:r w:rsidR="00524BAC" w:rsidRPr="00524BAC">
        <w:rPr>
          <w:rFonts w:eastAsia="Verdana" w:cs="Verdana"/>
          <w:bCs/>
        </w:rPr>
        <w:t xml:space="preserve"> </w:t>
      </w:r>
      <w:r w:rsidR="005C09F6" w:rsidRPr="00524BAC">
        <w:rPr>
          <w:rFonts w:eastAsia="Verdana" w:cs="Verdana"/>
          <w:bCs/>
        </w:rPr>
        <w:t xml:space="preserve">odległości </w:t>
      </w:r>
      <w:r w:rsidR="00524BAC" w:rsidRPr="00524BAC">
        <w:rPr>
          <w:rFonts w:eastAsia="Verdana" w:cs="Verdana"/>
          <w:bCs/>
          <w:iCs/>
        </w:rPr>
        <w:t>mniejszej niż 0,5 raza</w:t>
      </w:r>
      <w:r w:rsidR="005C09F6" w:rsidRPr="00524BAC">
        <w:rPr>
          <w:rFonts w:eastAsia="Verdana" w:cs="Verdana"/>
          <w:bCs/>
          <w:iCs/>
        </w:rPr>
        <w:t xml:space="preserve"> największej całkowitej szerokości śmigłowca, </w:t>
      </w:r>
      <w:r w:rsidR="005C09F6" w:rsidRPr="00524BAC">
        <w:rPr>
          <w:rFonts w:eastAsia="Verdana" w:cs="Verdana"/>
          <w:bCs/>
        </w:rPr>
        <w:t>dla którego zaprojektowana jest droga kołowania w powietrzu.</w:t>
      </w:r>
    </w:p>
    <w:p w14:paraId="42B6315C" w14:textId="1B18B67C" w:rsidR="002E5C48" w:rsidRPr="00524BAC" w:rsidRDefault="003930F4" w:rsidP="005C09F6">
      <w:pPr>
        <w:tabs>
          <w:tab w:val="left" w:pos="567"/>
        </w:tabs>
        <w:autoSpaceDE w:val="0"/>
        <w:autoSpaceDN w:val="0"/>
        <w:adjustRightInd w:val="0"/>
        <w:ind w:left="567" w:hanging="567"/>
        <w:rPr>
          <w:rFonts w:cs="TimesNewRomanPS-BoldItalicMT"/>
          <w:bCs/>
          <w:iCs/>
          <w:szCs w:val="20"/>
        </w:rPr>
      </w:pPr>
      <w:r w:rsidRPr="00524BAC">
        <w:rPr>
          <w:rFonts w:eastAsia="Verdana" w:cs="Verdana"/>
          <w:bCs/>
          <w:iCs/>
        </w:rPr>
        <w:t xml:space="preserve">(d) </w:t>
      </w:r>
      <w:r w:rsidRPr="00524BAC">
        <w:rPr>
          <w:rFonts w:eastAsia="Verdana" w:cs="Verdana"/>
          <w:bCs/>
          <w:iCs/>
        </w:rPr>
        <w:tab/>
        <w:t>Oznaczniki krawędzi drogi kołowania śmigłowców w powietrzu nie powinny przenikać płaszczyzny rozpoczynającej się na wysokości 25 cm powyżej płaszczyzny drogi kołowania śmigłowców w powietrzu, w odległości od linii środkow</w:t>
      </w:r>
      <w:r w:rsidR="00524BAC" w:rsidRPr="00524BAC">
        <w:rPr>
          <w:rFonts w:eastAsia="Verdana" w:cs="Verdana"/>
          <w:bCs/>
          <w:iCs/>
        </w:rPr>
        <w:t>ej drogi kołowania śmigłowców w </w:t>
      </w:r>
      <w:r w:rsidRPr="00524BAC">
        <w:rPr>
          <w:rFonts w:eastAsia="Verdana" w:cs="Verdana"/>
          <w:bCs/>
          <w:iCs/>
        </w:rPr>
        <w:t xml:space="preserve">powietrzu 0,5 razy większej od całkowitej szerokości śmigłowca, dla </w:t>
      </w:r>
      <w:r w:rsidR="005C09F6" w:rsidRPr="00524BAC">
        <w:rPr>
          <w:rFonts w:eastAsia="Verdana" w:cs="Verdana"/>
          <w:bCs/>
        </w:rPr>
        <w:t xml:space="preserve">którego przeznaczona jest droga kołowania w powietrzu, </w:t>
      </w:r>
      <w:r w:rsidR="005C09F6" w:rsidRPr="00524BAC">
        <w:rPr>
          <w:rFonts w:eastAsia="Verdana" w:cs="Verdana"/>
          <w:bCs/>
          <w:iCs/>
        </w:rPr>
        <w:t>i nachylonej</w:t>
      </w:r>
      <w:r w:rsidRPr="00524BAC">
        <w:rPr>
          <w:rFonts w:eastAsia="Verdana" w:cs="Verdana"/>
          <w:bCs/>
          <w:iCs/>
        </w:rPr>
        <w:t xml:space="preserve"> w górę i na zewnątrz </w:t>
      </w:r>
      <w:r w:rsidR="005C09F6" w:rsidRPr="00524BAC">
        <w:rPr>
          <w:rFonts w:eastAsia="Verdana" w:cs="Verdana"/>
          <w:bCs/>
          <w:iCs/>
        </w:rPr>
        <w:t>pod kątem</w:t>
      </w:r>
      <w:r w:rsidRPr="00524BAC">
        <w:rPr>
          <w:rFonts w:eastAsia="Verdana" w:cs="Verdana"/>
          <w:bCs/>
          <w:iCs/>
        </w:rPr>
        <w:t xml:space="preserve"> 5%.</w:t>
      </w:r>
    </w:p>
    <w:p w14:paraId="66F63268" w14:textId="23D480D2" w:rsidR="002E5C48" w:rsidRPr="009E064B" w:rsidRDefault="00133B99" w:rsidP="002E5C48">
      <w:pPr>
        <w:pStyle w:val="Nagwek4"/>
        <w:rPr>
          <w:color w:val="auto"/>
        </w:rPr>
      </w:pPr>
      <w:bookmarkStart w:id="1939" w:name="_Toc12533390"/>
      <w:r w:rsidRPr="00BD1DB3">
        <w:rPr>
          <w:color w:val="auto"/>
        </w:rPr>
        <w:t>CS HPT-DSN.F.61</w:t>
      </w:r>
      <w:r w:rsidR="002E5C48" w:rsidRPr="00BD1DB3">
        <w:rPr>
          <w:color w:val="auto"/>
        </w:rPr>
        <w:t>0</w:t>
      </w:r>
      <w:r w:rsidR="002E5C48" w:rsidRPr="00BD1DB3">
        <w:rPr>
          <w:b w:val="0"/>
          <w:bCs w:val="0"/>
          <w:color w:val="FFFFFF"/>
          <w:sz w:val="32"/>
          <w:szCs w:val="32"/>
        </w:rPr>
        <w:t xml:space="preserve">     </w:t>
      </w:r>
      <w:r w:rsidRPr="00BD1DB3">
        <w:t>Oznakowanie stanowiska postojowego śmigłowca</w:t>
      </w:r>
      <w:bookmarkEnd w:id="1939"/>
    </w:p>
    <w:p w14:paraId="0DF8AE74" w14:textId="7D428078"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8911513" w14:textId="77777777" w:rsidR="004E6439" w:rsidRPr="00524BAC" w:rsidRDefault="002E5C48" w:rsidP="004E6439">
      <w:pPr>
        <w:tabs>
          <w:tab w:val="left" w:pos="567"/>
        </w:tabs>
        <w:autoSpaceDE w:val="0"/>
        <w:autoSpaceDN w:val="0"/>
        <w:adjustRightInd w:val="0"/>
        <w:ind w:left="567" w:hanging="567"/>
        <w:rPr>
          <w:rFonts w:cs="TimesNewRomanPS-BoldItalicMT"/>
          <w:bCs/>
          <w:iCs/>
          <w:szCs w:val="20"/>
        </w:rPr>
      </w:pPr>
      <w:r w:rsidRPr="00524BAC">
        <w:rPr>
          <w:rFonts w:cs="TimesNewRomanPS-BoldItalicMT"/>
          <w:bCs/>
          <w:iCs/>
          <w:szCs w:val="20"/>
        </w:rPr>
        <w:t>(a)</w:t>
      </w:r>
      <w:r w:rsidRPr="00524BAC">
        <w:rPr>
          <w:rFonts w:cs="TimesNewRomanPS-BoldItalicMT"/>
          <w:bCs/>
          <w:iCs/>
          <w:szCs w:val="20"/>
        </w:rPr>
        <w:tab/>
      </w:r>
      <w:r w:rsidR="00086628" w:rsidRPr="00524BAC">
        <w:rPr>
          <w:rFonts w:cs="TimesNewRomanPS-BoldItalicMT"/>
          <w:bCs/>
          <w:iCs/>
          <w:szCs w:val="20"/>
        </w:rPr>
        <w:t>Zastosowanie:</w:t>
      </w:r>
    </w:p>
    <w:p w14:paraId="51F0A89C" w14:textId="7D950122" w:rsidR="00086628" w:rsidRPr="00524BAC" w:rsidRDefault="004E6439" w:rsidP="004E6439">
      <w:pPr>
        <w:tabs>
          <w:tab w:val="left" w:pos="1134"/>
        </w:tabs>
        <w:autoSpaceDE w:val="0"/>
        <w:autoSpaceDN w:val="0"/>
        <w:adjustRightInd w:val="0"/>
        <w:ind w:left="1134" w:hanging="567"/>
        <w:rPr>
          <w:rFonts w:cs="TimesNewRomanPS-BoldItalicMT"/>
          <w:bCs/>
          <w:iCs/>
          <w:szCs w:val="20"/>
        </w:rPr>
      </w:pPr>
      <w:r w:rsidRPr="00524BAC">
        <w:rPr>
          <w:rFonts w:cs="TimesNewRomanPS-BoldItalicMT"/>
          <w:bCs/>
          <w:iCs/>
          <w:szCs w:val="20"/>
        </w:rPr>
        <w:t xml:space="preserve">(1) </w:t>
      </w:r>
      <w:r w:rsidRPr="00524BAC">
        <w:rPr>
          <w:rFonts w:cs="TimesNewRomanPS-BoldItalicMT"/>
          <w:bCs/>
          <w:iCs/>
          <w:szCs w:val="20"/>
        </w:rPr>
        <w:tab/>
      </w:r>
      <w:r w:rsidR="00086628" w:rsidRPr="00524BAC">
        <w:rPr>
          <w:rFonts w:cs="TimesNewRomanPS-BoldItalicMT"/>
          <w:bCs/>
          <w:iCs/>
        </w:rPr>
        <w:t xml:space="preserve">Oznakowanie obwodu stanowiska postojowego śmigłowca </w:t>
      </w:r>
      <w:r w:rsidRPr="00524BAC">
        <w:rPr>
          <w:rFonts w:cs="TimesNewRomanPS-BoldItalicMT"/>
          <w:bCs/>
          <w:iCs/>
        </w:rPr>
        <w:t xml:space="preserve">powinno być zapewnione </w:t>
      </w:r>
      <w:r w:rsidR="00086628" w:rsidRPr="00524BAC">
        <w:rPr>
          <w:rFonts w:cs="TimesNewRomanPS-BoldItalicMT"/>
          <w:bCs/>
          <w:iCs/>
        </w:rPr>
        <w:t xml:space="preserve">na stanowisku postojowym śmigłowca </w:t>
      </w:r>
      <w:r w:rsidRPr="00524BAC">
        <w:rPr>
          <w:rFonts w:cs="TimesNewRomanPS-BoldItalicMT"/>
          <w:bCs/>
          <w:iCs/>
        </w:rPr>
        <w:t>zaprojektowanym</w:t>
      </w:r>
      <w:r w:rsidR="00086628" w:rsidRPr="00524BAC">
        <w:rPr>
          <w:rFonts w:cs="TimesNewRomanPS-BoldItalicMT"/>
          <w:bCs/>
          <w:iCs/>
        </w:rPr>
        <w:t xml:space="preserve"> do wykonywania </w:t>
      </w:r>
      <w:r w:rsidR="00524BAC" w:rsidRPr="00524BAC">
        <w:rPr>
          <w:rFonts w:cs="TimesNewRomanPS-BoldItalicMT"/>
          <w:bCs/>
          <w:iCs/>
        </w:rPr>
        <w:t>obrotu</w:t>
      </w:r>
      <w:r w:rsidR="00086628" w:rsidRPr="00524BAC">
        <w:rPr>
          <w:rFonts w:cs="TimesNewRomanPS-BoldItalicMT"/>
          <w:bCs/>
          <w:iCs/>
        </w:rPr>
        <w:t>. Jeżeli oznakowanie obwodu stanowiska postojowego śmigłowców nie jest możliwe</w:t>
      </w:r>
      <w:r w:rsidR="00406C7A" w:rsidRPr="00524BAC">
        <w:rPr>
          <w:rFonts w:cs="TimesNewRomanPS-BoldItalicMT"/>
          <w:bCs/>
          <w:iCs/>
        </w:rPr>
        <w:t xml:space="preserve"> do wykonania</w:t>
      </w:r>
      <w:r w:rsidR="00086628" w:rsidRPr="00524BAC">
        <w:rPr>
          <w:rFonts w:cs="TimesNewRomanPS-BoldItalicMT"/>
          <w:bCs/>
          <w:iCs/>
        </w:rPr>
        <w:t xml:space="preserve">, </w:t>
      </w:r>
      <w:r w:rsidR="00406C7A" w:rsidRPr="00524BAC">
        <w:rPr>
          <w:rFonts w:cs="TimesNewRomanPS-BoldItalicMT"/>
          <w:bCs/>
          <w:iCs/>
        </w:rPr>
        <w:t xml:space="preserve">to powinno się </w:t>
      </w:r>
      <w:r w:rsidR="00086628" w:rsidRPr="00524BAC">
        <w:rPr>
          <w:rFonts w:cs="TimesNewRomanPS-BoldItalicMT"/>
          <w:bCs/>
          <w:iCs/>
        </w:rPr>
        <w:t>zapewni</w:t>
      </w:r>
      <w:r w:rsidR="00406C7A" w:rsidRPr="00524BAC">
        <w:rPr>
          <w:rFonts w:cs="TimesNewRomanPS-BoldItalicMT"/>
          <w:bCs/>
          <w:iCs/>
        </w:rPr>
        <w:t>ć</w:t>
      </w:r>
      <w:r w:rsidR="00086628" w:rsidRPr="00524BAC">
        <w:rPr>
          <w:rFonts w:cs="TimesNewRomanPS-BoldItalicMT"/>
          <w:bCs/>
          <w:iCs/>
        </w:rPr>
        <w:t xml:space="preserve"> </w:t>
      </w:r>
      <w:r w:rsidR="00524BAC" w:rsidRPr="00524BAC">
        <w:rPr>
          <w:rFonts w:cs="TimesNewRomanPS-BoldItalicMT"/>
          <w:bCs/>
          <w:iCs/>
        </w:rPr>
        <w:t xml:space="preserve">zamiast tego </w:t>
      </w:r>
      <w:r w:rsidR="00086628" w:rsidRPr="00524BAC">
        <w:rPr>
          <w:rFonts w:cs="TimesNewRomanPS-BoldItalicMT"/>
          <w:bCs/>
          <w:iCs/>
        </w:rPr>
        <w:t xml:space="preserve">oznakowanie obwodu strefy środkowej, jeżeli </w:t>
      </w:r>
      <w:r w:rsidR="00406C7A" w:rsidRPr="00524BAC">
        <w:rPr>
          <w:rFonts w:cs="TimesNewRomanPS-BoldItalicMT"/>
          <w:bCs/>
          <w:iCs/>
        </w:rPr>
        <w:t xml:space="preserve">obwód danej strefy środkowej </w:t>
      </w:r>
      <w:r w:rsidR="00086628" w:rsidRPr="00524BAC">
        <w:rPr>
          <w:rFonts w:cs="TimesNewRomanPS-BoldItalicMT"/>
          <w:bCs/>
          <w:iCs/>
        </w:rPr>
        <w:t xml:space="preserve">nie jest oczywisty. </w:t>
      </w:r>
    </w:p>
    <w:p w14:paraId="1881576B" w14:textId="4C13B7AB" w:rsidR="00086628" w:rsidRPr="00524BAC" w:rsidRDefault="00406C7A" w:rsidP="00406C7A">
      <w:pPr>
        <w:tabs>
          <w:tab w:val="left" w:pos="1134"/>
        </w:tabs>
        <w:autoSpaceDE w:val="0"/>
        <w:autoSpaceDN w:val="0"/>
        <w:adjustRightInd w:val="0"/>
        <w:ind w:left="1134" w:hanging="567"/>
        <w:rPr>
          <w:rFonts w:cs="TimesNewRomanPS-BoldItalicMT"/>
          <w:bCs/>
          <w:iCs/>
        </w:rPr>
      </w:pPr>
      <w:r w:rsidRPr="00524BAC">
        <w:rPr>
          <w:rFonts w:cs="TimesNewRomanPS-BoldItalicMT"/>
          <w:bCs/>
          <w:iCs/>
        </w:rPr>
        <w:t>(</w:t>
      </w:r>
      <w:r w:rsidR="00086628" w:rsidRPr="00524BAC">
        <w:rPr>
          <w:rFonts w:cs="TimesNewRomanPS-BoldItalicMT"/>
          <w:bCs/>
          <w:iCs/>
        </w:rPr>
        <w:t>2</w:t>
      </w:r>
      <w:r w:rsidRPr="00524BAC">
        <w:rPr>
          <w:rFonts w:cs="TimesNewRomanPS-BoldItalicMT"/>
          <w:bCs/>
          <w:iCs/>
        </w:rPr>
        <w:t>)</w:t>
      </w:r>
      <w:r w:rsidR="00086628" w:rsidRPr="00524BAC">
        <w:rPr>
          <w:rFonts w:cs="TimesNewRomanPS-BoldItalicMT"/>
          <w:bCs/>
          <w:iCs/>
        </w:rPr>
        <w:t xml:space="preserve"> </w:t>
      </w:r>
      <w:r w:rsidR="00086628" w:rsidRPr="00524BAC">
        <w:rPr>
          <w:rFonts w:cs="TimesNewRomanPS-BoldItalicMT"/>
          <w:bCs/>
          <w:iCs/>
        </w:rPr>
        <w:tab/>
        <w:t xml:space="preserve">W przypadku stanowiska postojowego śmigłowca przeznaczonego do wykorzystania do przejazdu przy kołowaniu, które uniemożliwia wykonanie </w:t>
      </w:r>
      <w:r w:rsidR="00524BAC">
        <w:rPr>
          <w:rFonts w:cs="TimesNewRomanPS-BoldItalicMT"/>
          <w:bCs/>
          <w:iCs/>
        </w:rPr>
        <w:t xml:space="preserve">obrotu </w:t>
      </w:r>
      <w:r w:rsidR="00086628" w:rsidRPr="00524BAC">
        <w:rPr>
          <w:rFonts w:cs="TimesNewRomanPS-BoldItalicMT"/>
          <w:bCs/>
          <w:iCs/>
        </w:rPr>
        <w:t xml:space="preserve">przez śmigłowiec, </w:t>
      </w:r>
      <w:r w:rsidRPr="00524BAC">
        <w:rPr>
          <w:rFonts w:cs="TimesNewRomanPS-BoldItalicMT"/>
          <w:bCs/>
          <w:iCs/>
        </w:rPr>
        <w:t xml:space="preserve">to powinno się </w:t>
      </w:r>
      <w:r w:rsidR="00086628" w:rsidRPr="00524BAC">
        <w:rPr>
          <w:rFonts w:cs="TimesNewRomanPS-BoldItalicMT"/>
          <w:bCs/>
          <w:iCs/>
        </w:rPr>
        <w:t>zapewni</w:t>
      </w:r>
      <w:r w:rsidRPr="00524BAC">
        <w:rPr>
          <w:rFonts w:cs="TimesNewRomanPS-BoldItalicMT"/>
          <w:bCs/>
          <w:iCs/>
        </w:rPr>
        <w:t>ć</w:t>
      </w:r>
      <w:r w:rsidR="00086628" w:rsidRPr="00524BAC">
        <w:rPr>
          <w:rFonts w:cs="TimesNewRomanPS-BoldItalicMT"/>
          <w:bCs/>
          <w:iCs/>
        </w:rPr>
        <w:t xml:space="preserve"> lin</w:t>
      </w:r>
      <w:r w:rsidRPr="00524BAC">
        <w:rPr>
          <w:rFonts w:cs="TimesNewRomanPS-BoldItalicMT"/>
          <w:bCs/>
          <w:iCs/>
        </w:rPr>
        <w:t>ię</w:t>
      </w:r>
      <w:r w:rsidR="00086628" w:rsidRPr="00524BAC">
        <w:rPr>
          <w:rFonts w:cs="TimesNewRomanPS-BoldItalicMT"/>
          <w:bCs/>
          <w:iCs/>
        </w:rPr>
        <w:t xml:space="preserve"> zatrzym</w:t>
      </w:r>
      <w:r w:rsidRPr="00524BAC">
        <w:rPr>
          <w:rFonts w:cs="TimesNewRomanPS-BoldItalicMT"/>
          <w:bCs/>
          <w:iCs/>
        </w:rPr>
        <w:t>ania</w:t>
      </w:r>
      <w:r w:rsidR="00086628" w:rsidRPr="00524BAC">
        <w:rPr>
          <w:rFonts w:cs="TimesNewRomanPS-BoldItalicMT"/>
          <w:bCs/>
          <w:iCs/>
        </w:rPr>
        <w:t>.</w:t>
      </w:r>
    </w:p>
    <w:p w14:paraId="5EE6E439" w14:textId="31FE654C" w:rsidR="00086628" w:rsidRPr="00743CAD" w:rsidRDefault="00406C7A" w:rsidP="00406C7A">
      <w:pPr>
        <w:tabs>
          <w:tab w:val="left" w:pos="1134"/>
        </w:tabs>
        <w:autoSpaceDE w:val="0"/>
        <w:autoSpaceDN w:val="0"/>
        <w:adjustRightInd w:val="0"/>
        <w:ind w:left="1134" w:hanging="567"/>
        <w:rPr>
          <w:rFonts w:cs="TimesNewRomanPS-BoldItalicMT"/>
          <w:bCs/>
        </w:rPr>
      </w:pPr>
      <w:r w:rsidRPr="00524BAC">
        <w:rPr>
          <w:rFonts w:cs="TimesNewRomanPS-BoldItalicMT"/>
          <w:bCs/>
          <w:iCs/>
        </w:rPr>
        <w:t>(</w:t>
      </w:r>
      <w:r w:rsidR="00086628" w:rsidRPr="00524BAC">
        <w:rPr>
          <w:rFonts w:cs="TimesNewRomanPS-BoldItalicMT"/>
          <w:bCs/>
          <w:iCs/>
        </w:rPr>
        <w:t>3</w:t>
      </w:r>
      <w:r w:rsidRPr="00524BAC">
        <w:rPr>
          <w:rFonts w:cs="TimesNewRomanPS-BoldItalicMT"/>
          <w:bCs/>
          <w:iCs/>
        </w:rPr>
        <w:t>)</w:t>
      </w:r>
      <w:r w:rsidR="00086628" w:rsidRPr="00524BAC">
        <w:rPr>
          <w:rFonts w:cs="TimesNewRomanPS-BoldItalicMT"/>
          <w:bCs/>
          <w:iCs/>
        </w:rPr>
        <w:t xml:space="preserve"> </w:t>
      </w:r>
      <w:r w:rsidR="00086628" w:rsidRPr="00524BAC">
        <w:rPr>
          <w:rFonts w:cs="TimesNewRomanPS-BoldItalicMT"/>
          <w:bCs/>
          <w:iCs/>
        </w:rPr>
        <w:tab/>
      </w:r>
      <w:r w:rsidR="00086628" w:rsidRPr="00524BAC">
        <w:rPr>
          <w:rFonts w:cs="TimesNewRomanPS-BoldItalicMT"/>
          <w:bCs/>
        </w:rPr>
        <w:t>Linie wyprostowania oraz linie wjazdu/wyjazdu powinny być zapewniane na s</w:t>
      </w:r>
      <w:r w:rsidRPr="00524BAC">
        <w:rPr>
          <w:rFonts w:cs="TimesNewRomanPS-BoldItalicMT"/>
          <w:bCs/>
        </w:rPr>
        <w:t xml:space="preserve">tanowisku </w:t>
      </w:r>
      <w:r w:rsidRPr="00743CAD">
        <w:rPr>
          <w:rFonts w:cs="TimesNewRomanPS-BoldItalicMT"/>
          <w:bCs/>
        </w:rPr>
        <w:t>postojowym śmigłowca (p</w:t>
      </w:r>
      <w:r w:rsidR="00086628" w:rsidRPr="00743CAD">
        <w:rPr>
          <w:rFonts w:cs="TimesNewRomanPS-BoldItalicMT"/>
          <w:bCs/>
        </w:rPr>
        <w:t xml:space="preserve">atrz Rysunek </w:t>
      </w:r>
      <w:r w:rsidRPr="00743CAD">
        <w:rPr>
          <w:rFonts w:cs="TimesNewRomanPS-BoldItalicMT"/>
          <w:bCs/>
        </w:rPr>
        <w:t>F-4 i F-</w:t>
      </w:r>
      <w:r w:rsidR="00086628" w:rsidRPr="00743CAD">
        <w:rPr>
          <w:rFonts w:cs="TimesNewRomanPS-BoldItalicMT"/>
          <w:bCs/>
        </w:rPr>
        <w:t>5</w:t>
      </w:r>
      <w:r w:rsidRPr="00743CAD">
        <w:rPr>
          <w:rFonts w:cs="TimesNewRomanPS-BoldItalicMT"/>
          <w:bCs/>
        </w:rPr>
        <w:t>)</w:t>
      </w:r>
      <w:r w:rsidR="00086628" w:rsidRPr="00743CAD">
        <w:rPr>
          <w:rFonts w:cs="TimesNewRomanPS-BoldItalicMT"/>
          <w:bCs/>
        </w:rPr>
        <w:t>.</w:t>
      </w:r>
    </w:p>
    <w:p w14:paraId="2C296222" w14:textId="37E908AE" w:rsidR="00086628" w:rsidRPr="00743CAD" w:rsidRDefault="00406C7A" w:rsidP="00406C7A">
      <w:pPr>
        <w:tabs>
          <w:tab w:val="left" w:pos="567"/>
        </w:tabs>
        <w:autoSpaceDE w:val="0"/>
        <w:autoSpaceDN w:val="0"/>
        <w:adjustRightInd w:val="0"/>
        <w:ind w:left="567" w:hanging="567"/>
        <w:rPr>
          <w:rFonts w:cs="TimesNewRomanPS-BoldItalicMT"/>
          <w:bCs/>
          <w:iCs/>
          <w:szCs w:val="20"/>
        </w:rPr>
      </w:pPr>
      <w:r w:rsidRPr="00743CAD">
        <w:rPr>
          <w:rFonts w:cs="TimesNewRomanPS-BoldItalicMT"/>
          <w:bCs/>
          <w:iCs/>
          <w:szCs w:val="20"/>
        </w:rPr>
        <w:t xml:space="preserve">(b) </w:t>
      </w:r>
      <w:r w:rsidRPr="00743CAD">
        <w:rPr>
          <w:rFonts w:cs="TimesNewRomanPS-BoldItalicMT"/>
          <w:bCs/>
          <w:iCs/>
          <w:szCs w:val="20"/>
        </w:rPr>
        <w:tab/>
      </w:r>
      <w:r w:rsidR="00086628" w:rsidRPr="00743CAD">
        <w:rPr>
          <w:rFonts w:cs="TimesNewRomanPS-BoldItalicMT"/>
          <w:bCs/>
          <w:iCs/>
          <w:szCs w:val="20"/>
        </w:rPr>
        <w:t>Lokalizacja</w:t>
      </w:r>
      <w:r w:rsidRPr="00743CAD">
        <w:rPr>
          <w:rFonts w:cs="TimesNewRomanPS-BoldItalicMT"/>
          <w:bCs/>
          <w:iCs/>
          <w:szCs w:val="20"/>
        </w:rPr>
        <w:t>:</w:t>
      </w:r>
    </w:p>
    <w:p w14:paraId="4AA684B3" w14:textId="1E9066E2" w:rsidR="00086628" w:rsidRPr="00743CAD" w:rsidRDefault="00406C7A" w:rsidP="00406C7A">
      <w:pPr>
        <w:tabs>
          <w:tab w:val="left" w:pos="1134"/>
        </w:tabs>
        <w:autoSpaceDE w:val="0"/>
        <w:autoSpaceDN w:val="0"/>
        <w:adjustRightInd w:val="0"/>
        <w:ind w:left="1134" w:hanging="567"/>
        <w:rPr>
          <w:rFonts w:cs="TimesNewRomanPS-BoldItalicMT"/>
          <w:bCs/>
          <w:iCs/>
        </w:rPr>
      </w:pPr>
      <w:r w:rsidRPr="00743CAD">
        <w:rPr>
          <w:rFonts w:cs="TimesNewRomanPS-BoldItalicMT"/>
          <w:bCs/>
          <w:iCs/>
        </w:rPr>
        <w:t xml:space="preserve">(1) </w:t>
      </w:r>
      <w:r w:rsidRPr="00743CAD">
        <w:rPr>
          <w:rFonts w:cs="TimesNewRomanPS-BoldItalicMT"/>
          <w:bCs/>
          <w:iCs/>
        </w:rPr>
        <w:tab/>
      </w:r>
      <w:r w:rsidR="00086628" w:rsidRPr="00743CAD">
        <w:rPr>
          <w:rFonts w:cs="TimesNewRomanPS-BoldItalicMT"/>
          <w:bCs/>
          <w:iCs/>
        </w:rPr>
        <w:t>Oznakowanie obwodu stanowiska postojowego śmigłowc</w:t>
      </w:r>
      <w:r w:rsidR="00524BAC" w:rsidRPr="00743CAD">
        <w:rPr>
          <w:rFonts w:cs="TimesNewRomanPS-BoldItalicMT"/>
          <w:bCs/>
          <w:iCs/>
        </w:rPr>
        <w:t>a</w:t>
      </w:r>
      <w:r w:rsidR="00086628" w:rsidRPr="00743CAD">
        <w:rPr>
          <w:rFonts w:cs="TimesNewRomanPS-BoldItalicMT"/>
          <w:bCs/>
          <w:iCs/>
        </w:rPr>
        <w:t xml:space="preserve"> na stanowisku postojowym śmigłowca przeznaczonym do wykonywania </w:t>
      </w:r>
      <w:r w:rsidR="00524BAC" w:rsidRPr="00743CAD">
        <w:rPr>
          <w:rFonts w:cs="TimesNewRomanPS-BoldItalicMT"/>
          <w:bCs/>
          <w:iCs/>
        </w:rPr>
        <w:t>obrotu</w:t>
      </w:r>
      <w:r w:rsidR="00086628" w:rsidRPr="00743CAD">
        <w:rPr>
          <w:rFonts w:cs="TimesNewRomanPS-BoldItalicMT"/>
          <w:bCs/>
          <w:iCs/>
        </w:rPr>
        <w:t xml:space="preserve"> lub oznakowanie obwodu strefy środkowej powinno być koncentryczne ze strefą środkową </w:t>
      </w:r>
      <w:r w:rsidR="00743CAD" w:rsidRPr="00743CAD">
        <w:rPr>
          <w:rFonts w:cs="TimesNewRomanPS-BoldItalicMT"/>
          <w:bCs/>
          <w:iCs/>
        </w:rPr>
        <w:t xml:space="preserve">tego </w:t>
      </w:r>
      <w:r w:rsidR="00086628" w:rsidRPr="00743CAD">
        <w:rPr>
          <w:rFonts w:cs="TimesNewRomanPS-BoldItalicMT"/>
          <w:bCs/>
          <w:iCs/>
        </w:rPr>
        <w:t>stanowiska.</w:t>
      </w:r>
    </w:p>
    <w:p w14:paraId="713D9267" w14:textId="70663F96" w:rsidR="00086628" w:rsidRPr="00743CAD" w:rsidRDefault="00406C7A" w:rsidP="00406C7A">
      <w:pPr>
        <w:tabs>
          <w:tab w:val="left" w:pos="1134"/>
        </w:tabs>
        <w:autoSpaceDE w:val="0"/>
        <w:autoSpaceDN w:val="0"/>
        <w:adjustRightInd w:val="0"/>
        <w:ind w:left="1134" w:hanging="567"/>
        <w:rPr>
          <w:rFonts w:cs="TimesNewRomanPS-BoldItalicMT"/>
          <w:bCs/>
          <w:iCs/>
        </w:rPr>
      </w:pPr>
      <w:r w:rsidRPr="00743CAD">
        <w:rPr>
          <w:rFonts w:cs="TimesNewRomanPS-BoldItalicMT"/>
          <w:bCs/>
          <w:iCs/>
        </w:rPr>
        <w:t xml:space="preserve">(2) </w:t>
      </w:r>
      <w:r w:rsidR="00086628" w:rsidRPr="00743CAD">
        <w:rPr>
          <w:rFonts w:cs="TimesNewRomanPS-BoldItalicMT"/>
          <w:bCs/>
          <w:iCs/>
        </w:rPr>
        <w:tab/>
        <w:t xml:space="preserve">W przypadku, gdy stanowisko postojowe śmigłowca przeznaczone jest do przejazdu </w:t>
      </w:r>
      <w:r w:rsidR="00524BAC" w:rsidRPr="00743CAD">
        <w:rPr>
          <w:rFonts w:cs="TimesNewRomanPS-BoldItalicMT"/>
          <w:bCs/>
          <w:iCs/>
        </w:rPr>
        <w:t>w czasie kołowania</w:t>
      </w:r>
      <w:r w:rsidR="00086628" w:rsidRPr="00743CAD">
        <w:rPr>
          <w:rFonts w:cs="TimesNewRomanPS-BoldItalicMT"/>
          <w:bCs/>
          <w:iCs/>
        </w:rPr>
        <w:t xml:space="preserve"> i nie </w:t>
      </w:r>
      <w:r w:rsidR="00524BAC" w:rsidRPr="00743CAD">
        <w:rPr>
          <w:rFonts w:cs="TimesNewRomanPS-BoldItalicMT"/>
          <w:bCs/>
          <w:iCs/>
        </w:rPr>
        <w:t>pozwala na</w:t>
      </w:r>
      <w:r w:rsidR="00086628" w:rsidRPr="00743CAD">
        <w:rPr>
          <w:rFonts w:cs="TimesNewRomanPS-BoldItalicMT"/>
          <w:bCs/>
          <w:iCs/>
        </w:rPr>
        <w:t xml:space="preserve"> wykonani</w:t>
      </w:r>
      <w:r w:rsidR="00524BAC" w:rsidRPr="00743CAD">
        <w:rPr>
          <w:rFonts w:cs="TimesNewRomanPS-BoldItalicMT"/>
          <w:bCs/>
          <w:iCs/>
        </w:rPr>
        <w:t>e</w:t>
      </w:r>
      <w:r w:rsidR="00086628" w:rsidRPr="00743CAD">
        <w:rPr>
          <w:rFonts w:cs="TimesNewRomanPS-BoldItalicMT"/>
          <w:bCs/>
          <w:iCs/>
        </w:rPr>
        <w:t xml:space="preserve"> </w:t>
      </w:r>
      <w:r w:rsidR="00524BAC" w:rsidRPr="00743CAD">
        <w:rPr>
          <w:rFonts w:cs="TimesNewRomanPS-BoldItalicMT"/>
          <w:bCs/>
          <w:iCs/>
        </w:rPr>
        <w:t>obrotu</w:t>
      </w:r>
      <w:r w:rsidR="00086628" w:rsidRPr="00743CAD">
        <w:rPr>
          <w:rFonts w:cs="TimesNewRomanPS-BoldItalicMT"/>
          <w:bCs/>
          <w:iCs/>
        </w:rPr>
        <w:t xml:space="preserve"> przez śmigłowiec, </w:t>
      </w:r>
      <w:r w:rsidR="00524BAC" w:rsidRPr="00743CAD">
        <w:rPr>
          <w:rFonts w:cs="TimesNewRomanPS-BoldItalicMT"/>
          <w:bCs/>
          <w:iCs/>
        </w:rPr>
        <w:t xml:space="preserve">to </w:t>
      </w:r>
      <w:r w:rsidR="00086628" w:rsidRPr="00743CAD">
        <w:rPr>
          <w:rFonts w:cs="TimesNewRomanPS-BoldItalicMT"/>
          <w:bCs/>
          <w:iCs/>
        </w:rPr>
        <w:t>powinna być umieszczona linia zatrzymania na osi drogi kołowania śmigłowców po ziemi p</w:t>
      </w:r>
      <w:r w:rsidRPr="00743CAD">
        <w:rPr>
          <w:rFonts w:cs="TimesNewRomanPS-BoldItalicMT"/>
          <w:bCs/>
          <w:iCs/>
        </w:rPr>
        <w:t>od</w:t>
      </w:r>
      <w:r w:rsidR="00086628" w:rsidRPr="00743CAD">
        <w:rPr>
          <w:rFonts w:cs="TimesNewRomanPS-BoldItalicMT"/>
          <w:bCs/>
          <w:iCs/>
        </w:rPr>
        <w:t xml:space="preserve"> ką</w:t>
      </w:r>
      <w:r w:rsidRPr="00743CAD">
        <w:rPr>
          <w:rFonts w:cs="TimesNewRomanPS-BoldItalicMT"/>
          <w:bCs/>
          <w:iCs/>
        </w:rPr>
        <w:t>tem</w:t>
      </w:r>
      <w:r w:rsidR="00086628" w:rsidRPr="00743CAD">
        <w:rPr>
          <w:rFonts w:cs="TimesNewRomanPS-BoldItalicMT"/>
          <w:bCs/>
          <w:iCs/>
        </w:rPr>
        <w:t xml:space="preserve"> prostym do linii środkowej.</w:t>
      </w:r>
    </w:p>
    <w:p w14:paraId="3D6B55DF" w14:textId="77777777" w:rsidR="009316A4" w:rsidRPr="00900AA5" w:rsidRDefault="009316A4" w:rsidP="009316A4">
      <w:pPr>
        <w:spacing w:before="240"/>
        <w:rPr>
          <w:rStyle w:val="FontStyle221"/>
          <w:b/>
          <w:i/>
        </w:rPr>
      </w:pPr>
    </w:p>
    <w:p w14:paraId="59CA2F84" w14:textId="77777777" w:rsidR="009316A4" w:rsidRPr="00900AA5" w:rsidRDefault="009316A4" w:rsidP="009316A4">
      <w:pPr>
        <w:pStyle w:val="Default"/>
        <w:spacing w:line="276" w:lineRule="auto"/>
        <w:jc w:val="center"/>
        <w:rPr>
          <w:color w:val="auto"/>
          <w:sz w:val="20"/>
          <w:szCs w:val="20"/>
        </w:rPr>
      </w:pPr>
      <w:r w:rsidRPr="00900AA5">
        <w:rPr>
          <w:noProof/>
          <w:color w:val="auto"/>
          <w:lang w:eastAsia="pl-PL"/>
        </w:rPr>
        <mc:AlternateContent>
          <mc:Choice Requires="wps">
            <w:drawing>
              <wp:anchor distT="0" distB="0" distL="114300" distR="114300" simplePos="0" relativeHeight="251694592" behindDoc="0" locked="0" layoutInCell="1" allowOverlap="1" wp14:anchorId="18D4B304" wp14:editId="32E47247">
                <wp:simplePos x="0" y="0"/>
                <wp:positionH relativeFrom="column">
                  <wp:posOffset>3892550</wp:posOffset>
                </wp:positionH>
                <wp:positionV relativeFrom="paragraph">
                  <wp:posOffset>690245</wp:posOffset>
                </wp:positionV>
                <wp:extent cx="1436370" cy="960120"/>
                <wp:effectExtent l="0" t="0" r="0" b="0"/>
                <wp:wrapNone/>
                <wp:docPr id="1462" name="Prostokąt 1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6370" cy="960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FD397"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Oznakowanie obwodu stanowiska postojowego śmigłowca</w:t>
                            </w:r>
                          </w:p>
                          <w:p w14:paraId="39654729"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Żółty okrąg</w:t>
                            </w:r>
                          </w:p>
                          <w:p w14:paraId="7D67BAAB"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Szerokość linii 15 cm, jeśli to możliwe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8D4B304" id="Prostokąt 1462" o:spid="_x0000_s1276" style="position:absolute;left:0;text-align:left;margin-left:306.5pt;margin-top:54.35pt;width:113.1pt;height:75.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" filled="f" stroked="f">
                <v:textbox>
                  <w:txbxContent>
                    <w:p w14:paraId="68FFD397"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Oznakowanie obwodu stanowiska postojowego śmigłowca</w:t>
                      </w:r>
                    </w:p>
                    <w:p w14:paraId="39654729"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Żółty okrąg</w:t>
                      </w:r>
                    </w:p>
                    <w:p w14:paraId="7D67BAAB"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Szerokość linii 15 cm, jeśli to możliwe</w:t>
                      </w:r>
                    </w:p>
                  </w:txbxContent>
                </v:textbox>
              </v:rect>
            </w:pict>
          </mc:Fallback>
        </mc:AlternateContent>
      </w:r>
      <w:r w:rsidRPr="00900AA5">
        <w:rPr>
          <w:noProof/>
          <w:color w:val="auto"/>
          <w:lang w:eastAsia="pl-PL"/>
        </w:rPr>
        <mc:AlternateContent>
          <mc:Choice Requires="wpg">
            <w:drawing>
              <wp:anchor distT="0" distB="0" distL="114300" distR="114300" simplePos="0" relativeHeight="251696640" behindDoc="0" locked="0" layoutInCell="1" allowOverlap="1" wp14:anchorId="0100CEC3" wp14:editId="1708AE76">
                <wp:simplePos x="0" y="0"/>
                <wp:positionH relativeFrom="column">
                  <wp:posOffset>1080770</wp:posOffset>
                </wp:positionH>
                <wp:positionV relativeFrom="paragraph">
                  <wp:posOffset>278765</wp:posOffset>
                </wp:positionV>
                <wp:extent cx="4335780" cy="4484370"/>
                <wp:effectExtent l="0" t="0" r="0" b="0"/>
                <wp:wrapNone/>
                <wp:docPr id="1463" name="Grupa 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5780" cy="4484370"/>
                          <a:chOff x="3249" y="1862"/>
                          <a:chExt cx="6828" cy="7062"/>
                        </a:xfrm>
                      </wpg:grpSpPr>
                      <wps:wsp>
                        <wps:cNvPr id="1464" name="Rectangle 528"/>
                        <wps:cNvSpPr>
                          <a:spLocks noChangeArrowheads="1"/>
                        </wps:cNvSpPr>
                        <wps:spPr bwMode="auto">
                          <a:xfrm>
                            <a:off x="7173" y="1862"/>
                            <a:ext cx="1872"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C998A" w14:textId="77777777" w:rsidR="003832F2" w:rsidRPr="001437CF" w:rsidRDefault="003832F2" w:rsidP="009316A4">
                              <w:pPr>
                                <w:pStyle w:val="Default"/>
                                <w:rPr>
                                  <w:rFonts w:ascii="Arial Narrow" w:hAnsi="Arial Narrow" w:cs="Arial"/>
                                  <w:bCs/>
                                  <w:sz w:val="18"/>
                                  <w:szCs w:val="20"/>
                                </w:rPr>
                              </w:pPr>
                              <w:r w:rsidRPr="00B472F9">
                                <w:rPr>
                                  <w:rFonts w:ascii="Arial Narrow" w:hAnsi="Arial Narrow" w:cs="Arial"/>
                                  <w:bCs/>
                                  <w:sz w:val="18"/>
                                  <w:szCs w:val="20"/>
                                </w:rPr>
                                <w:t>Ciągła linia żółta</w:t>
                              </w:r>
                            </w:p>
                            <w:p w14:paraId="5DDAF363" w14:textId="77777777" w:rsidR="003832F2" w:rsidRPr="001437CF" w:rsidRDefault="003832F2" w:rsidP="009316A4">
                              <w:pPr>
                                <w:pStyle w:val="Default"/>
                                <w:rPr>
                                  <w:rFonts w:ascii="Arial Narrow" w:hAnsi="Arial Narrow" w:cs="Arial"/>
                                  <w:sz w:val="18"/>
                                  <w:szCs w:val="20"/>
                                </w:rPr>
                              </w:pPr>
                              <w:r w:rsidRPr="00B472F9">
                                <w:rPr>
                                  <w:rFonts w:ascii="Arial Narrow" w:hAnsi="Arial Narrow" w:cs="Arial"/>
                                  <w:bCs/>
                                  <w:sz w:val="18"/>
                                  <w:szCs w:val="20"/>
                                </w:rPr>
                                <w:t>Szerokość linii 15 cm</w:t>
                              </w:r>
                            </w:p>
                          </w:txbxContent>
                        </wps:txbx>
                        <wps:bodyPr rot="0" vert="horz" wrap="square" lIns="91440" tIns="45720" rIns="91440" bIns="45720" anchor="t" anchorCtr="0" upright="1">
                          <a:noAutofit/>
                        </wps:bodyPr>
                      </wps:wsp>
                      <wps:wsp>
                        <wps:cNvPr id="1465" name="Rectangle 529"/>
                        <wps:cNvSpPr>
                          <a:spLocks noChangeArrowheads="1"/>
                        </wps:cNvSpPr>
                        <wps:spPr bwMode="auto">
                          <a:xfrm>
                            <a:off x="3249" y="8265"/>
                            <a:ext cx="1950"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19010" w14:textId="77777777" w:rsidR="003832F2" w:rsidRDefault="003832F2" w:rsidP="009316A4">
                              <w:pPr>
                                <w:pStyle w:val="Default"/>
                                <w:spacing w:after="60"/>
                                <w:jc w:val="center"/>
                                <w:rPr>
                                  <w:rFonts w:ascii="Arial Narrow" w:hAnsi="Arial Narrow" w:cs="Arial"/>
                                  <w:sz w:val="18"/>
                                  <w:szCs w:val="20"/>
                                </w:rPr>
                              </w:pPr>
                              <w:r w:rsidRPr="0054317B">
                                <w:rPr>
                                  <w:rFonts w:ascii="Arial Narrow" w:hAnsi="Arial Narrow" w:cs="Arial"/>
                                  <w:bCs/>
                                  <w:sz w:val="17"/>
                                  <w:szCs w:val="17"/>
                                </w:rPr>
                                <w:t>Linie wejścia / wyjścia (opcjonalnie)</w:t>
                              </w:r>
                            </w:p>
                          </w:txbxContent>
                        </wps:txbx>
                        <wps:bodyPr rot="0" vert="horz" wrap="square" lIns="91440" tIns="45720" rIns="91440" bIns="45720" anchor="t" anchorCtr="0" upright="1">
                          <a:noAutofit/>
                        </wps:bodyPr>
                      </wps:wsp>
                      <wps:wsp>
                        <wps:cNvPr id="1466" name="Rectangle 530"/>
                        <wps:cNvSpPr>
                          <a:spLocks noChangeArrowheads="1"/>
                        </wps:cNvSpPr>
                        <wps:spPr bwMode="auto">
                          <a:xfrm>
                            <a:off x="5250" y="2030"/>
                            <a:ext cx="1827" cy="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C3B30"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Linia wyprostowania (opcjonalnie)</w:t>
                              </w:r>
                            </w:p>
                          </w:txbxContent>
                        </wps:txbx>
                        <wps:bodyPr rot="0" vert="horz" wrap="square" lIns="91440" tIns="45720" rIns="91440" bIns="45720" anchor="t" anchorCtr="0" upright="1">
                          <a:noAutofit/>
                        </wps:bodyPr>
                      </wps:wsp>
                      <wps:wsp>
                        <wps:cNvPr id="1467" name="Rectangle 531"/>
                        <wps:cNvSpPr>
                          <a:spLocks noChangeArrowheads="1"/>
                        </wps:cNvSpPr>
                        <wps:spPr bwMode="auto">
                          <a:xfrm>
                            <a:off x="7878" y="3980"/>
                            <a:ext cx="2139" cy="1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396EB"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 xml:space="preserve">Oznakowanie obwodu strefy środkowej </w:t>
                              </w:r>
                            </w:p>
                            <w:p w14:paraId="4D616061"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 xml:space="preserve">(wymagane tylko jeżeli oznakowanie obwodu jest niemożliwe i jeżeli obwód jest oczywisty). </w:t>
                              </w:r>
                            </w:p>
                            <w:p w14:paraId="2BBB4D1F"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Żółty okrąg</w:t>
                              </w:r>
                            </w:p>
                            <w:p w14:paraId="4B8A6212" w14:textId="77777777" w:rsidR="003832F2" w:rsidRPr="00E670F6" w:rsidRDefault="003832F2" w:rsidP="009316A4">
                              <w:pPr>
                                <w:pStyle w:val="Default"/>
                                <w:spacing w:after="60"/>
                                <w:rPr>
                                  <w:rFonts w:ascii="Arial Narrow" w:hAnsi="Arial Narrow" w:cs="Arial"/>
                                  <w:sz w:val="22"/>
                                </w:rPr>
                              </w:pPr>
                              <w:r w:rsidRPr="0054317B">
                                <w:rPr>
                                  <w:rFonts w:ascii="Arial Narrow" w:hAnsi="Arial Narrow" w:cs="Arial"/>
                                  <w:bCs/>
                                  <w:sz w:val="17"/>
                                  <w:szCs w:val="17"/>
                                </w:rPr>
                                <w:t>Szerokość linii 15 cm</w:t>
                              </w:r>
                            </w:p>
                          </w:txbxContent>
                        </wps:txbx>
                        <wps:bodyPr rot="0" vert="horz" wrap="square" lIns="91440" tIns="45720" rIns="91440" bIns="45720" anchor="t" anchorCtr="0" upright="1">
                          <a:noAutofit/>
                        </wps:bodyPr>
                      </wps:wsp>
                      <wps:wsp>
                        <wps:cNvPr id="1468" name="Rectangle 532"/>
                        <wps:cNvSpPr>
                          <a:spLocks noChangeArrowheads="1"/>
                        </wps:cNvSpPr>
                        <wps:spPr bwMode="auto">
                          <a:xfrm>
                            <a:off x="5358" y="7580"/>
                            <a:ext cx="3723"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06F6F"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Oznakowanie punktu przyziemienia / ustawienia</w:t>
                              </w:r>
                            </w:p>
                            <w:p w14:paraId="697FC87E"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Szerokość żółtego okręgu 0.5 m</w:t>
                              </w:r>
                            </w:p>
                            <w:p w14:paraId="663B7B70"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Uwaga: średnica wewnętrzna 0.5D</w:t>
                              </w:r>
                            </w:p>
                          </w:txbxContent>
                        </wps:txbx>
                        <wps:bodyPr rot="0" vert="horz" wrap="square" lIns="91440" tIns="45720" rIns="91440" bIns="45720" anchor="t" anchorCtr="0" upright="1">
                          <a:noAutofit/>
                        </wps:bodyPr>
                      </wps:wsp>
                      <wps:wsp>
                        <wps:cNvPr id="1469" name="Rectangle 533"/>
                        <wps:cNvSpPr>
                          <a:spLocks noChangeArrowheads="1"/>
                        </wps:cNvSpPr>
                        <wps:spPr bwMode="auto">
                          <a:xfrm>
                            <a:off x="7794" y="6057"/>
                            <a:ext cx="2283" cy="1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B3560" w14:textId="77777777" w:rsidR="003832F2" w:rsidRPr="001437CF" w:rsidRDefault="003832F2" w:rsidP="009316A4">
                              <w:pPr>
                                <w:pStyle w:val="Default"/>
                                <w:spacing w:after="60"/>
                                <w:rPr>
                                  <w:rFonts w:ascii="Arial Narrow" w:hAnsi="Arial Narrow" w:cs="Arial"/>
                                  <w:bCs/>
                                  <w:sz w:val="18"/>
                                  <w:szCs w:val="20"/>
                                </w:rPr>
                              </w:pPr>
                              <w:r w:rsidRPr="00B472F9">
                                <w:rPr>
                                  <w:rFonts w:ascii="Arial Narrow" w:hAnsi="Arial Narrow" w:cs="Arial"/>
                                  <w:bCs/>
                                  <w:sz w:val="18"/>
                                  <w:szCs w:val="20"/>
                                </w:rPr>
                                <w:t>Kiedy TLOF jest umieszczona na stanowisku postojowym śmigłowca.</w:t>
                              </w:r>
                            </w:p>
                            <w:p w14:paraId="4A5B7625" w14:textId="77777777" w:rsidR="003832F2" w:rsidRPr="001437CF" w:rsidRDefault="003832F2" w:rsidP="009316A4">
                              <w:pPr>
                                <w:pStyle w:val="Default"/>
                                <w:spacing w:after="60"/>
                                <w:rPr>
                                  <w:rFonts w:ascii="Arial Narrow" w:hAnsi="Arial Narrow" w:cs="Arial"/>
                                  <w:bCs/>
                                  <w:sz w:val="18"/>
                                  <w:szCs w:val="20"/>
                                </w:rPr>
                              </w:pPr>
                              <w:r w:rsidRPr="00B472F9">
                                <w:rPr>
                                  <w:rFonts w:ascii="Arial Narrow" w:hAnsi="Arial Narrow" w:cs="Arial"/>
                                  <w:bCs/>
                                  <w:sz w:val="18"/>
                                  <w:szCs w:val="20"/>
                                </w:rPr>
                                <w:t>Biały okrąg</w:t>
                              </w:r>
                            </w:p>
                            <w:p w14:paraId="31D05437" w14:textId="77777777" w:rsidR="003832F2" w:rsidRPr="001437CF" w:rsidRDefault="003832F2" w:rsidP="009316A4">
                              <w:pPr>
                                <w:pStyle w:val="Default"/>
                                <w:spacing w:after="60"/>
                                <w:rPr>
                                  <w:rFonts w:ascii="Arial Narrow" w:hAnsi="Arial Narrow" w:cs="Arial"/>
                                  <w:sz w:val="22"/>
                                </w:rPr>
                              </w:pPr>
                              <w:r w:rsidRPr="00B472F9">
                                <w:rPr>
                                  <w:rFonts w:ascii="Arial Narrow" w:hAnsi="Arial Narrow" w:cs="Arial"/>
                                  <w:bCs/>
                                  <w:sz w:val="18"/>
                                  <w:szCs w:val="20"/>
                                </w:rPr>
                                <w:t>Szerokość linii 30 cm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00CEC3" id="Grupa 1463" o:spid="_x0000_s1277" style="position:absolute;left:0;text-align:left;margin-left:85.1pt;margin-top:21.95pt;width:341.4pt;height:353.1pt;z-index:251696640;mso-position-horizontal-relative:text;mso-position-vertical-relative:text" coordorigin="3249,1862" coordsize="6828,7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">
                <v:rect id="Rectangle 528" o:spid="_x0000_s1278" style="position:absolute;left:7173;top:1862;width:1872;height: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" filled="f" stroked="f">
                  <v:textbox>
                    <w:txbxContent>
                      <w:p w14:paraId="063C998A" w14:textId="77777777" w:rsidR="003832F2" w:rsidRPr="001437CF" w:rsidRDefault="003832F2" w:rsidP="009316A4">
                        <w:pPr>
                          <w:pStyle w:val="Default"/>
                          <w:rPr>
                            <w:rFonts w:ascii="Arial Narrow" w:hAnsi="Arial Narrow" w:cs="Arial"/>
                            <w:bCs/>
                            <w:sz w:val="18"/>
                            <w:szCs w:val="20"/>
                          </w:rPr>
                        </w:pPr>
                        <w:r w:rsidRPr="00B472F9">
                          <w:rPr>
                            <w:rFonts w:ascii="Arial Narrow" w:hAnsi="Arial Narrow" w:cs="Arial"/>
                            <w:bCs/>
                            <w:sz w:val="18"/>
                            <w:szCs w:val="20"/>
                          </w:rPr>
                          <w:t>Ciągła linia żółta</w:t>
                        </w:r>
                      </w:p>
                      <w:p w14:paraId="5DDAF363" w14:textId="77777777" w:rsidR="003832F2" w:rsidRPr="001437CF" w:rsidRDefault="003832F2" w:rsidP="009316A4">
                        <w:pPr>
                          <w:pStyle w:val="Default"/>
                          <w:rPr>
                            <w:rFonts w:ascii="Arial Narrow" w:hAnsi="Arial Narrow" w:cs="Arial"/>
                            <w:sz w:val="18"/>
                            <w:szCs w:val="20"/>
                          </w:rPr>
                        </w:pPr>
                        <w:r w:rsidRPr="00B472F9">
                          <w:rPr>
                            <w:rFonts w:ascii="Arial Narrow" w:hAnsi="Arial Narrow" w:cs="Arial"/>
                            <w:bCs/>
                            <w:sz w:val="18"/>
                            <w:szCs w:val="20"/>
                          </w:rPr>
                          <w:t>Szerokość linii 15 cm</w:t>
                        </w:r>
                      </w:p>
                    </w:txbxContent>
                  </v:textbox>
                </v:rect>
                <v:rect id="Rectangle 529" o:spid="_x0000_s1279" style="position:absolute;left:3249;top:8265;width:1950;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" filled="f" stroked="f">
                  <v:textbox>
                    <w:txbxContent>
                      <w:p w14:paraId="33619010" w14:textId="77777777" w:rsidR="003832F2" w:rsidRDefault="003832F2" w:rsidP="009316A4">
                        <w:pPr>
                          <w:pStyle w:val="Default"/>
                          <w:spacing w:after="60"/>
                          <w:jc w:val="center"/>
                          <w:rPr>
                            <w:rFonts w:ascii="Arial Narrow" w:hAnsi="Arial Narrow" w:cs="Arial"/>
                            <w:sz w:val="18"/>
                            <w:szCs w:val="20"/>
                          </w:rPr>
                        </w:pPr>
                        <w:r w:rsidRPr="0054317B">
                          <w:rPr>
                            <w:rFonts w:ascii="Arial Narrow" w:hAnsi="Arial Narrow" w:cs="Arial"/>
                            <w:bCs/>
                            <w:sz w:val="17"/>
                            <w:szCs w:val="17"/>
                          </w:rPr>
                          <w:t>Linie wejścia / wyjścia (opcjonalnie)</w:t>
                        </w:r>
                      </w:p>
                    </w:txbxContent>
                  </v:textbox>
                </v:rect>
                <v:rect id="Rectangle 530" o:spid="_x0000_s1280" style="position:absolute;left:5250;top:2030;width:1827;height: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" filled="f" stroked="f">
                  <v:textbox>
                    <w:txbxContent>
                      <w:p w14:paraId="7DCC3B30"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Linia wyprostowania (opcjonalnie)</w:t>
                        </w:r>
                      </w:p>
                    </w:txbxContent>
                  </v:textbox>
                </v:rect>
                <v:rect id="Rectangle 531" o:spid="_x0000_s1281" style="position:absolute;left:7878;top:3980;width:2139;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" filled="f" stroked="f">
                  <v:textbox>
                    <w:txbxContent>
                      <w:p w14:paraId="012396EB"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 xml:space="preserve">Oznakowanie obwodu strefy środkowej </w:t>
                        </w:r>
                      </w:p>
                      <w:p w14:paraId="4D616061"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 xml:space="preserve">(wymagane tylko jeżeli oznakowanie obwodu jest niemożliwe i jeżeli obwód jest oczywisty). </w:t>
                        </w:r>
                      </w:p>
                      <w:p w14:paraId="2BBB4D1F" w14:textId="77777777" w:rsidR="003832F2" w:rsidRPr="0054317B" w:rsidRDefault="003832F2" w:rsidP="009316A4">
                        <w:pPr>
                          <w:pStyle w:val="Default"/>
                          <w:spacing w:after="60"/>
                          <w:rPr>
                            <w:rFonts w:ascii="Arial Narrow" w:hAnsi="Arial Narrow" w:cs="Arial"/>
                            <w:bCs/>
                            <w:sz w:val="17"/>
                            <w:szCs w:val="17"/>
                          </w:rPr>
                        </w:pPr>
                        <w:r w:rsidRPr="0054317B">
                          <w:rPr>
                            <w:rFonts w:ascii="Arial Narrow" w:hAnsi="Arial Narrow" w:cs="Arial"/>
                            <w:bCs/>
                            <w:sz w:val="17"/>
                            <w:szCs w:val="17"/>
                          </w:rPr>
                          <w:t>Żółty okrąg</w:t>
                        </w:r>
                      </w:p>
                      <w:p w14:paraId="4B8A6212" w14:textId="77777777" w:rsidR="003832F2" w:rsidRPr="00E670F6" w:rsidRDefault="003832F2" w:rsidP="009316A4">
                        <w:pPr>
                          <w:pStyle w:val="Default"/>
                          <w:spacing w:after="60"/>
                          <w:rPr>
                            <w:rFonts w:ascii="Arial Narrow" w:hAnsi="Arial Narrow" w:cs="Arial"/>
                            <w:sz w:val="22"/>
                          </w:rPr>
                        </w:pPr>
                        <w:r w:rsidRPr="0054317B">
                          <w:rPr>
                            <w:rFonts w:ascii="Arial Narrow" w:hAnsi="Arial Narrow" w:cs="Arial"/>
                            <w:bCs/>
                            <w:sz w:val="17"/>
                            <w:szCs w:val="17"/>
                          </w:rPr>
                          <w:t>Szerokość linii 15 cm</w:t>
                        </w:r>
                      </w:p>
                    </w:txbxContent>
                  </v:textbox>
                </v:rect>
                <v:rect id="Rectangle 532" o:spid="_x0000_s1282" style="position:absolute;left:5358;top:7580;width:3723;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" filled="f" stroked="f">
                  <v:textbox>
                    <w:txbxContent>
                      <w:p w14:paraId="58C06F6F"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Oznakowanie punktu przyziemienia / ustawienia</w:t>
                        </w:r>
                      </w:p>
                      <w:p w14:paraId="697FC87E"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Szerokość żółtego okręgu 0.5 m</w:t>
                        </w:r>
                      </w:p>
                      <w:p w14:paraId="663B7B70" w14:textId="77777777" w:rsidR="003832F2" w:rsidRPr="0054317B" w:rsidRDefault="003832F2" w:rsidP="009316A4">
                        <w:pPr>
                          <w:pStyle w:val="Default"/>
                          <w:spacing w:after="60"/>
                          <w:jc w:val="center"/>
                          <w:rPr>
                            <w:rFonts w:ascii="Arial Narrow" w:hAnsi="Arial Narrow" w:cs="Arial"/>
                            <w:bCs/>
                            <w:sz w:val="17"/>
                            <w:szCs w:val="17"/>
                          </w:rPr>
                        </w:pPr>
                        <w:r w:rsidRPr="0054317B">
                          <w:rPr>
                            <w:rFonts w:ascii="Arial Narrow" w:hAnsi="Arial Narrow" w:cs="Arial"/>
                            <w:bCs/>
                            <w:sz w:val="17"/>
                            <w:szCs w:val="17"/>
                          </w:rPr>
                          <w:t>Uwaga: średnica wewnętrzna 0.5D</w:t>
                        </w:r>
                      </w:p>
                    </w:txbxContent>
                  </v:textbox>
                </v:rect>
                <v:rect id="Rectangle 533" o:spid="_x0000_s1283" style="position:absolute;left:7794;top:6057;width:2283;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" filled="f" stroked="f">
                  <v:textbox>
                    <w:txbxContent>
                      <w:p w14:paraId="519B3560" w14:textId="77777777" w:rsidR="003832F2" w:rsidRPr="001437CF" w:rsidRDefault="003832F2" w:rsidP="009316A4">
                        <w:pPr>
                          <w:pStyle w:val="Default"/>
                          <w:spacing w:after="60"/>
                          <w:rPr>
                            <w:rFonts w:ascii="Arial Narrow" w:hAnsi="Arial Narrow" w:cs="Arial"/>
                            <w:bCs/>
                            <w:sz w:val="18"/>
                            <w:szCs w:val="20"/>
                          </w:rPr>
                        </w:pPr>
                        <w:r w:rsidRPr="00B472F9">
                          <w:rPr>
                            <w:rFonts w:ascii="Arial Narrow" w:hAnsi="Arial Narrow" w:cs="Arial"/>
                            <w:bCs/>
                            <w:sz w:val="18"/>
                            <w:szCs w:val="20"/>
                          </w:rPr>
                          <w:t>Kiedy TLOF jest umieszczona na stanowisku postojowym śmigłowca.</w:t>
                        </w:r>
                      </w:p>
                      <w:p w14:paraId="4A5B7625" w14:textId="77777777" w:rsidR="003832F2" w:rsidRPr="001437CF" w:rsidRDefault="003832F2" w:rsidP="009316A4">
                        <w:pPr>
                          <w:pStyle w:val="Default"/>
                          <w:spacing w:after="60"/>
                          <w:rPr>
                            <w:rFonts w:ascii="Arial Narrow" w:hAnsi="Arial Narrow" w:cs="Arial"/>
                            <w:bCs/>
                            <w:sz w:val="18"/>
                            <w:szCs w:val="20"/>
                          </w:rPr>
                        </w:pPr>
                        <w:r w:rsidRPr="00B472F9">
                          <w:rPr>
                            <w:rFonts w:ascii="Arial Narrow" w:hAnsi="Arial Narrow" w:cs="Arial"/>
                            <w:bCs/>
                            <w:sz w:val="18"/>
                            <w:szCs w:val="20"/>
                          </w:rPr>
                          <w:t>Biały okrąg</w:t>
                        </w:r>
                      </w:p>
                      <w:p w14:paraId="31D05437" w14:textId="77777777" w:rsidR="003832F2" w:rsidRPr="001437CF" w:rsidRDefault="003832F2" w:rsidP="009316A4">
                        <w:pPr>
                          <w:pStyle w:val="Default"/>
                          <w:spacing w:after="60"/>
                          <w:rPr>
                            <w:rFonts w:ascii="Arial Narrow" w:hAnsi="Arial Narrow" w:cs="Arial"/>
                            <w:sz w:val="22"/>
                          </w:rPr>
                        </w:pPr>
                        <w:r w:rsidRPr="00B472F9">
                          <w:rPr>
                            <w:rFonts w:ascii="Arial Narrow" w:hAnsi="Arial Narrow" w:cs="Arial"/>
                            <w:bCs/>
                            <w:sz w:val="18"/>
                            <w:szCs w:val="20"/>
                          </w:rPr>
                          <w:t>Szerokość linii 30 cm</w:t>
                        </w:r>
                      </w:p>
                    </w:txbxContent>
                  </v:textbox>
                </v:rect>
              </v:group>
            </w:pict>
          </mc:Fallback>
        </mc:AlternateContent>
      </w:r>
      <w:r w:rsidRPr="00900AA5">
        <w:rPr>
          <w:noProof/>
          <w:color w:val="auto"/>
          <w:lang w:eastAsia="pl-PL"/>
        </w:rPr>
        <mc:AlternateContent>
          <mc:Choice Requires="wps">
            <w:drawing>
              <wp:anchor distT="0" distB="0" distL="114300" distR="114300" simplePos="0" relativeHeight="251695616" behindDoc="0" locked="0" layoutInCell="1" allowOverlap="1" wp14:anchorId="4319B15F" wp14:editId="4BB659F2">
                <wp:simplePos x="0" y="0"/>
                <wp:positionH relativeFrom="column">
                  <wp:posOffset>3043555</wp:posOffset>
                </wp:positionH>
                <wp:positionV relativeFrom="paragraph">
                  <wp:posOffset>4970145</wp:posOffset>
                </wp:positionV>
                <wp:extent cx="1769745" cy="323850"/>
                <wp:effectExtent l="1905" t="3175" r="0" b="0"/>
                <wp:wrapNone/>
                <wp:docPr id="1461" name="Prostokąt 1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974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703B2" w14:textId="77777777" w:rsidR="003832F2" w:rsidRPr="00046339" w:rsidRDefault="003832F2" w:rsidP="009316A4">
                            <w:pPr>
                              <w:rPr>
                                <w:rFonts w:ascii="Arial Narrow" w:hAnsi="Arial Narrow" w:cs="Arial"/>
                                <w:sz w:val="18"/>
                                <w:szCs w:val="20"/>
                              </w:rPr>
                            </w:pPr>
                            <w:r w:rsidRPr="00046339">
                              <w:rPr>
                                <w:rFonts w:ascii="Arial Narrow" w:hAnsi="Arial Narrow" w:cs="Arial"/>
                                <w:sz w:val="18"/>
                                <w:szCs w:val="20"/>
                              </w:rPr>
                              <w:t>Linia środkowa drogi kołowania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319B15F" id="Prostokąt 1461" o:spid="_x0000_s1284" style="position:absolute;left:0;text-align:left;margin-left:239.65pt;margin-top:391.35pt;width:139.35pt;height:2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" filled="f" stroked="f">
                <v:textbox>
                  <w:txbxContent>
                    <w:p w14:paraId="28E703B2" w14:textId="77777777" w:rsidR="003832F2" w:rsidRPr="00046339" w:rsidRDefault="003832F2" w:rsidP="009316A4">
                      <w:pPr>
                        <w:rPr>
                          <w:rFonts w:ascii="Arial Narrow" w:hAnsi="Arial Narrow" w:cs="Arial"/>
                          <w:sz w:val="18"/>
                          <w:szCs w:val="20"/>
                        </w:rPr>
                      </w:pPr>
                      <w:r w:rsidRPr="00046339">
                        <w:rPr>
                          <w:rFonts w:ascii="Arial Narrow" w:hAnsi="Arial Narrow" w:cs="Arial"/>
                          <w:sz w:val="18"/>
                          <w:szCs w:val="20"/>
                        </w:rPr>
                        <w:t>Linia środkowa drogi kołowania</w:t>
                      </w:r>
                    </w:p>
                  </w:txbxContent>
                </v:textbox>
              </v:rect>
            </w:pict>
          </mc:Fallback>
        </mc:AlternateContent>
      </w:r>
      <w:r w:rsidRPr="00900AA5">
        <w:rPr>
          <w:noProof/>
          <w:color w:val="auto"/>
          <w:sz w:val="20"/>
          <w:szCs w:val="20"/>
          <w:lang w:eastAsia="pl-PL"/>
        </w:rPr>
        <w:drawing>
          <wp:inline distT="0" distB="0" distL="0" distR="0" wp14:anchorId="2DA58590" wp14:editId="2B001E5E">
            <wp:extent cx="5441315" cy="5512435"/>
            <wp:effectExtent l="19050" t="0" r="6985" b="0"/>
            <wp:docPr id="1392"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40"/>
                    <a:srcRect/>
                    <a:stretch>
                      <a:fillRect/>
                    </a:stretch>
                  </pic:blipFill>
                  <pic:spPr bwMode="auto">
                    <a:xfrm>
                      <a:off x="0" y="0"/>
                      <a:ext cx="5441315" cy="5512435"/>
                    </a:xfrm>
                    <a:prstGeom prst="rect">
                      <a:avLst/>
                    </a:prstGeom>
                    <a:noFill/>
                    <a:ln w="9525">
                      <a:noFill/>
                      <a:miter lim="800000"/>
                      <a:headEnd/>
                      <a:tailEnd/>
                    </a:ln>
                  </pic:spPr>
                </pic:pic>
              </a:graphicData>
            </a:graphic>
          </wp:inline>
        </w:drawing>
      </w:r>
    </w:p>
    <w:p w14:paraId="249F92EF" w14:textId="0156AEE8" w:rsidR="009316A4" w:rsidRPr="00524BAC" w:rsidRDefault="009316A4" w:rsidP="00BC27EF">
      <w:pPr>
        <w:pStyle w:val="Default"/>
        <w:spacing w:before="120" w:line="276" w:lineRule="auto"/>
        <w:jc w:val="center"/>
        <w:rPr>
          <w:rFonts w:asciiTheme="minorHAnsi" w:hAnsiTheme="minorHAnsi" w:cstheme="minorHAnsi"/>
          <w:b/>
          <w:bCs/>
          <w:color w:val="auto"/>
          <w:sz w:val="20"/>
          <w:szCs w:val="20"/>
        </w:rPr>
      </w:pPr>
      <w:r w:rsidRPr="00524BAC">
        <w:rPr>
          <w:rFonts w:asciiTheme="minorHAnsi" w:hAnsiTheme="minorHAnsi" w:cstheme="minorHAnsi"/>
          <w:b/>
          <w:bCs/>
          <w:color w:val="auto"/>
          <w:sz w:val="20"/>
          <w:szCs w:val="20"/>
        </w:rPr>
        <w:t xml:space="preserve">Rysunek F-4.   Oznakowanie stanowiska postojowego dla śmigłowca na stanowisku przeznaczonym </w:t>
      </w:r>
      <w:r w:rsidR="00524BAC">
        <w:rPr>
          <w:rFonts w:asciiTheme="minorHAnsi" w:hAnsiTheme="minorHAnsi" w:cstheme="minorHAnsi"/>
          <w:b/>
          <w:bCs/>
          <w:color w:val="auto"/>
          <w:sz w:val="20"/>
          <w:szCs w:val="20"/>
        </w:rPr>
        <w:t>do </w:t>
      </w:r>
      <w:r w:rsidRPr="00524BAC">
        <w:rPr>
          <w:rFonts w:asciiTheme="minorHAnsi" w:hAnsiTheme="minorHAnsi" w:cstheme="minorHAnsi"/>
          <w:b/>
          <w:bCs/>
          <w:color w:val="auto"/>
          <w:sz w:val="20"/>
          <w:szCs w:val="20"/>
        </w:rPr>
        <w:t>wykonywania obrotu w z</w:t>
      </w:r>
      <w:r w:rsidR="00524BAC">
        <w:rPr>
          <w:rFonts w:asciiTheme="minorHAnsi" w:hAnsiTheme="minorHAnsi" w:cstheme="minorHAnsi"/>
          <w:b/>
          <w:bCs/>
          <w:color w:val="auto"/>
          <w:sz w:val="20"/>
          <w:szCs w:val="20"/>
        </w:rPr>
        <w:t>a</w:t>
      </w:r>
      <w:r w:rsidRPr="00524BAC">
        <w:rPr>
          <w:rFonts w:asciiTheme="minorHAnsi" w:hAnsiTheme="minorHAnsi" w:cstheme="minorHAnsi"/>
          <w:b/>
          <w:bCs/>
          <w:color w:val="auto"/>
          <w:sz w:val="20"/>
          <w:szCs w:val="20"/>
        </w:rPr>
        <w:t>wisie.</w:t>
      </w:r>
    </w:p>
    <w:p w14:paraId="7503E0D4" w14:textId="77777777" w:rsidR="002E5C48" w:rsidRPr="00524BAC" w:rsidRDefault="002E5C48" w:rsidP="002E5C48">
      <w:pPr>
        <w:tabs>
          <w:tab w:val="left" w:pos="567"/>
        </w:tabs>
        <w:autoSpaceDE w:val="0"/>
        <w:autoSpaceDN w:val="0"/>
        <w:adjustRightInd w:val="0"/>
        <w:ind w:left="567" w:hanging="567"/>
        <w:rPr>
          <w:rFonts w:cstheme="minorHAnsi"/>
          <w:sz w:val="20"/>
          <w:szCs w:val="20"/>
        </w:rPr>
      </w:pPr>
    </w:p>
    <w:p w14:paraId="68A4910C" w14:textId="77777777" w:rsidR="00BC27EF" w:rsidRDefault="00BC27EF" w:rsidP="00BC27EF">
      <w:pPr>
        <w:jc w:val="center"/>
        <w:rPr>
          <w:rStyle w:val="FontStyle221"/>
        </w:rPr>
      </w:pPr>
      <w:r>
        <w:rPr>
          <w:noProof/>
          <w:szCs w:val="20"/>
          <w:lang w:eastAsia="pl-PL"/>
        </w:rPr>
        <mc:AlternateContent>
          <mc:Choice Requires="wpc">
            <w:drawing>
              <wp:inline distT="0" distB="0" distL="0" distR="0" wp14:anchorId="150FE2D1" wp14:editId="77539855">
                <wp:extent cx="5542592" cy="2079790"/>
                <wp:effectExtent l="0" t="0" r="20320" b="15875"/>
                <wp:docPr id="1441" name="Kanwa 14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a:solidFill>
                            <a:schemeClr val="tx1"/>
                          </a:solidFill>
                        </a:ln>
                      </wpc:whole>
                      <pic:pic xmlns:pic="http://schemas.openxmlformats.org/drawingml/2006/picture">
                        <pic:nvPicPr>
                          <pic:cNvPr id="1440" name="Picture 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45975" y="74786"/>
                            <a:ext cx="5450235" cy="1949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7D3D8D76" id="Kanwa 1441" o:spid="_x0000_s1026" editas="canvas" style="width:436.4pt;height:163.75pt;mso-position-horizontal-relative:char;mso-position-vertical-relative:line" coordsize="55422,2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">
                <v:shape id="_x0000_s1027" type="#_x0000_t75" style="position:absolute;width:55422;height:20796;visibility:visible;mso-wrap-style:square" stroked="t" strokecolor="black [3213]">
                  <v:fill o:detectmouseclick="t"/>
                  <v:path o:connecttype="none"/>
                </v:shape>
                <v:shape id="Picture 5" o:spid="_x0000_s1028" type="#_x0000_t75" style="position:absolute;left:459;top:747;width:54503;height:19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">
                  <v:imagedata r:id="rId342" o:title=""/>
                </v:shape>
                <w10:anchorlock/>
              </v:group>
            </w:pict>
          </mc:Fallback>
        </mc:AlternateContent>
      </w:r>
    </w:p>
    <w:p w14:paraId="74C06C83" w14:textId="4AB87254" w:rsidR="00BC27EF" w:rsidRPr="00524BAC" w:rsidRDefault="00BC27EF" w:rsidP="00524BAC">
      <w:pPr>
        <w:spacing w:before="240" w:after="360"/>
        <w:jc w:val="center"/>
        <w:rPr>
          <w:rStyle w:val="FontStyle221"/>
          <w:rFonts w:asciiTheme="minorHAnsi" w:hAnsiTheme="minorHAnsi" w:cstheme="minorHAnsi"/>
          <w:b/>
        </w:rPr>
      </w:pPr>
      <w:r w:rsidRPr="00E34FE4">
        <w:rPr>
          <w:rStyle w:val="FontStyle221"/>
          <w:rFonts w:asciiTheme="minorHAnsi" w:hAnsiTheme="minorHAnsi" w:cstheme="minorHAnsi"/>
          <w:b/>
        </w:rPr>
        <w:t>Rysunek F-5.</w:t>
      </w:r>
      <w:r w:rsidRPr="00524BAC">
        <w:rPr>
          <w:rStyle w:val="FontStyle221"/>
          <w:rFonts w:asciiTheme="minorHAnsi" w:hAnsiTheme="minorHAnsi" w:cstheme="minorHAnsi"/>
          <w:b/>
        </w:rPr>
        <w:t xml:space="preserve"> </w:t>
      </w:r>
      <w:r w:rsidR="00524BAC">
        <w:rPr>
          <w:rStyle w:val="FontStyle221"/>
          <w:rFonts w:asciiTheme="minorHAnsi" w:hAnsiTheme="minorHAnsi" w:cstheme="minorHAnsi"/>
          <w:b/>
        </w:rPr>
        <w:t xml:space="preserve">  </w:t>
      </w:r>
      <w:r w:rsidRPr="00524BAC">
        <w:rPr>
          <w:rStyle w:val="FontStyle221"/>
          <w:rFonts w:asciiTheme="minorHAnsi" w:hAnsiTheme="minorHAnsi" w:cstheme="minorHAnsi"/>
          <w:b/>
        </w:rPr>
        <w:t>Kołowanie przez oznakowanie stanowiska postojowego dla śmigłowca</w:t>
      </w:r>
    </w:p>
    <w:p w14:paraId="19251239" w14:textId="18E2F348" w:rsidR="00BC27EF" w:rsidRPr="00524BAC" w:rsidRDefault="00BC27EF" w:rsidP="002E5C48">
      <w:pPr>
        <w:tabs>
          <w:tab w:val="left" w:pos="567"/>
        </w:tabs>
        <w:autoSpaceDE w:val="0"/>
        <w:autoSpaceDN w:val="0"/>
        <w:adjustRightInd w:val="0"/>
        <w:ind w:left="567" w:hanging="567"/>
        <w:rPr>
          <w:rFonts w:cs="TimesNewRomanPS-BoldItalicMT"/>
          <w:bCs/>
          <w:iCs/>
          <w:szCs w:val="20"/>
        </w:rPr>
      </w:pPr>
      <w:r w:rsidRPr="00524BAC">
        <w:rPr>
          <w:rFonts w:cs="TimesNewRomanPS-BoldItalicMT"/>
          <w:bCs/>
          <w:iCs/>
          <w:szCs w:val="20"/>
        </w:rPr>
        <w:t xml:space="preserve">(c) </w:t>
      </w:r>
      <w:r w:rsidRPr="00524BAC">
        <w:rPr>
          <w:rFonts w:cs="TimesNewRomanPS-BoldItalicMT"/>
          <w:bCs/>
          <w:iCs/>
          <w:szCs w:val="20"/>
        </w:rPr>
        <w:tab/>
        <w:t>Charakterystyka:</w:t>
      </w:r>
    </w:p>
    <w:p w14:paraId="1798CD27" w14:textId="72AE2C9E" w:rsidR="00F01F01" w:rsidRPr="00524BAC" w:rsidRDefault="00F01F01" w:rsidP="00F01F01">
      <w:pPr>
        <w:tabs>
          <w:tab w:val="left" w:pos="1134"/>
        </w:tabs>
        <w:autoSpaceDE w:val="0"/>
        <w:autoSpaceDN w:val="0"/>
        <w:adjustRightInd w:val="0"/>
        <w:ind w:left="1134" w:hanging="567"/>
        <w:rPr>
          <w:rFonts w:cs="TimesNewRomanPS-BoldItalicMT"/>
          <w:bCs/>
          <w:iCs/>
        </w:rPr>
      </w:pPr>
      <w:r w:rsidRPr="00524BAC">
        <w:rPr>
          <w:rFonts w:cs="TimesNewRomanPS-BoldItalicMT"/>
          <w:bCs/>
          <w:iCs/>
        </w:rPr>
        <w:t xml:space="preserve">(1) </w:t>
      </w:r>
      <w:r w:rsidRPr="00524BAC">
        <w:rPr>
          <w:rFonts w:cs="TimesNewRomanPS-BoldItalicMT"/>
          <w:bCs/>
          <w:iCs/>
        </w:rPr>
        <w:tab/>
        <w:t>Oznakowanie obwodu stanowiska postojowego śmigłowca powinno być żółtym okręgiem o szerokości linii 15 cm.</w:t>
      </w:r>
    </w:p>
    <w:p w14:paraId="5C030757" w14:textId="6F89E0EB" w:rsidR="00F01F01" w:rsidRPr="00524BAC" w:rsidRDefault="00F01F01" w:rsidP="00F01F01">
      <w:pPr>
        <w:tabs>
          <w:tab w:val="left" w:pos="1134"/>
        </w:tabs>
        <w:autoSpaceDE w:val="0"/>
        <w:autoSpaceDN w:val="0"/>
        <w:adjustRightInd w:val="0"/>
        <w:ind w:left="1134" w:hanging="567"/>
        <w:rPr>
          <w:rFonts w:cs="TimesNewRomanPS-BoldItalicMT"/>
          <w:bCs/>
          <w:iCs/>
        </w:rPr>
      </w:pPr>
      <w:r w:rsidRPr="00524BAC">
        <w:rPr>
          <w:rFonts w:cs="TimesNewRomanPS-BoldItalicMT"/>
          <w:bCs/>
          <w:iCs/>
        </w:rPr>
        <w:t xml:space="preserve">(2) </w:t>
      </w:r>
      <w:r w:rsidRPr="00524BAC">
        <w:rPr>
          <w:rFonts w:cs="TimesNewRomanPS-BoldItalicMT"/>
          <w:bCs/>
          <w:iCs/>
        </w:rPr>
        <w:tab/>
        <w:t xml:space="preserve">Oznakowanie obwodu strefy środkowej </w:t>
      </w:r>
      <w:r w:rsidR="00524BAC">
        <w:rPr>
          <w:rFonts w:cs="TimesNewRomanPS-BoldItalicMT"/>
          <w:bCs/>
          <w:iCs/>
        </w:rPr>
        <w:t xml:space="preserve">powinno być </w:t>
      </w:r>
      <w:r w:rsidRPr="00524BAC">
        <w:rPr>
          <w:rFonts w:cs="TimesNewRomanPS-BoldItalicMT"/>
          <w:bCs/>
          <w:iCs/>
        </w:rPr>
        <w:t>żółty</w:t>
      </w:r>
      <w:r w:rsidR="00524BAC">
        <w:rPr>
          <w:rFonts w:cs="TimesNewRomanPS-BoldItalicMT"/>
          <w:bCs/>
          <w:iCs/>
        </w:rPr>
        <w:t>m okręgiem</w:t>
      </w:r>
      <w:r w:rsidRPr="00524BAC">
        <w:rPr>
          <w:rFonts w:cs="TimesNewRomanPS-BoldItalicMT"/>
          <w:bCs/>
          <w:iCs/>
        </w:rPr>
        <w:t xml:space="preserve"> o szerokości li</w:t>
      </w:r>
      <w:r w:rsidR="00524BAC">
        <w:rPr>
          <w:rFonts w:cs="TimesNewRomanPS-BoldItalicMT"/>
          <w:bCs/>
          <w:iCs/>
        </w:rPr>
        <w:t xml:space="preserve">nii 15 cm, z </w:t>
      </w:r>
      <w:r w:rsidRPr="00524BAC">
        <w:rPr>
          <w:rFonts w:cs="TimesNewRomanPS-BoldItalicMT"/>
          <w:bCs/>
          <w:iCs/>
        </w:rPr>
        <w:t xml:space="preserve">wyjątkiem </w:t>
      </w:r>
      <w:r w:rsidR="00524BAC">
        <w:rPr>
          <w:rFonts w:cs="TimesNewRomanPS-BoldItalicMT"/>
          <w:bCs/>
          <w:iCs/>
        </w:rPr>
        <w:t>przypadku, gdy</w:t>
      </w:r>
      <w:r w:rsidRPr="00524BAC">
        <w:rPr>
          <w:rFonts w:cs="TimesNewRomanPS-BoldItalicMT"/>
          <w:bCs/>
          <w:iCs/>
        </w:rPr>
        <w:t xml:space="preserve"> strefa TLOF znajduje się na stanowisku postojowym śmigłowca, </w:t>
      </w:r>
      <w:r w:rsidR="00524BAC">
        <w:rPr>
          <w:rFonts w:cs="TimesNewRomanPS-BoldItalicMT"/>
          <w:bCs/>
          <w:iCs/>
        </w:rPr>
        <w:t xml:space="preserve">i powinno być </w:t>
      </w:r>
      <w:r w:rsidRPr="00524BAC">
        <w:rPr>
          <w:rFonts w:cs="TimesNewRomanPS-BoldItalicMT"/>
          <w:bCs/>
          <w:iCs/>
        </w:rPr>
        <w:t>zastosowan</w:t>
      </w:r>
      <w:r w:rsidR="00524BAC">
        <w:rPr>
          <w:rFonts w:cs="TimesNewRomanPS-BoldItalicMT"/>
          <w:bCs/>
          <w:iCs/>
        </w:rPr>
        <w:t>e</w:t>
      </w:r>
      <w:r w:rsidRPr="00524BAC">
        <w:rPr>
          <w:rFonts w:cs="TimesNewRomanPS-BoldItalicMT"/>
          <w:bCs/>
          <w:iCs/>
        </w:rPr>
        <w:t xml:space="preserve"> oznakowanie obwodu strefy TLOF.</w:t>
      </w:r>
    </w:p>
    <w:p w14:paraId="7B3D7AF4" w14:textId="6356114B" w:rsidR="00F01F01" w:rsidRPr="007A243F" w:rsidRDefault="00F01F01" w:rsidP="00F01F01">
      <w:pPr>
        <w:tabs>
          <w:tab w:val="left" w:pos="1134"/>
        </w:tabs>
        <w:autoSpaceDE w:val="0"/>
        <w:autoSpaceDN w:val="0"/>
        <w:adjustRightInd w:val="0"/>
        <w:ind w:left="1134" w:hanging="567"/>
        <w:rPr>
          <w:rFonts w:cs="TimesNewRomanPS-BoldItalicMT"/>
          <w:bCs/>
          <w:iCs/>
        </w:rPr>
      </w:pPr>
      <w:r w:rsidRPr="00F01F01">
        <w:rPr>
          <w:rFonts w:cs="TimesNewRomanPS-BoldItalicMT"/>
          <w:bCs/>
          <w:iCs/>
        </w:rPr>
        <w:t xml:space="preserve">(3) </w:t>
      </w:r>
      <w:r w:rsidRPr="00F01F01">
        <w:rPr>
          <w:rFonts w:cs="TimesNewRomanPS-BoldItalicMT"/>
          <w:bCs/>
          <w:iCs/>
        </w:rPr>
        <w:tab/>
        <w:t xml:space="preserve">W przypadku, gdy stanowisko postojowe śmigłowca przeznaczone jest do przejazdu przy kołowaniu i nie </w:t>
      </w:r>
      <w:r w:rsidR="00524BAC">
        <w:rPr>
          <w:rFonts w:cs="TimesNewRomanPS-BoldItalicMT"/>
          <w:bCs/>
          <w:iCs/>
        </w:rPr>
        <w:t>pozwala na</w:t>
      </w:r>
      <w:r w:rsidRPr="00F01F01">
        <w:rPr>
          <w:rFonts w:cs="TimesNewRomanPS-BoldItalicMT"/>
          <w:bCs/>
          <w:iCs/>
        </w:rPr>
        <w:t xml:space="preserve"> wykonania </w:t>
      </w:r>
      <w:r w:rsidR="00524BAC">
        <w:rPr>
          <w:rFonts w:cs="TimesNewRomanPS-BoldItalicMT"/>
          <w:bCs/>
          <w:iCs/>
        </w:rPr>
        <w:t>obrotu</w:t>
      </w:r>
      <w:r w:rsidRPr="00F01F01">
        <w:rPr>
          <w:rFonts w:cs="TimesNewRomanPS-BoldItalicMT"/>
          <w:bCs/>
          <w:iCs/>
        </w:rPr>
        <w:t xml:space="preserve"> przez śmigłowiec, żółta linia zatrzymania nie powinna </w:t>
      </w:r>
      <w:r w:rsidR="00524BAC">
        <w:rPr>
          <w:rFonts w:cs="TimesNewRomanPS-BoldItalicMT"/>
          <w:bCs/>
          <w:iCs/>
        </w:rPr>
        <w:t xml:space="preserve">być węższa </w:t>
      </w:r>
      <w:r w:rsidRPr="00F01F01">
        <w:rPr>
          <w:rFonts w:cs="TimesNewRomanPS-BoldItalicMT"/>
          <w:bCs/>
          <w:iCs/>
        </w:rPr>
        <w:t xml:space="preserve">niż szerokość drogi kołowania śmigłowców po ziemi i </w:t>
      </w:r>
      <w:r w:rsidR="00524BAC">
        <w:rPr>
          <w:rFonts w:cs="TimesNewRomanPS-BoldItalicMT"/>
          <w:bCs/>
          <w:iCs/>
        </w:rPr>
        <w:t xml:space="preserve">powinna </w:t>
      </w:r>
      <w:r w:rsidRPr="007A243F">
        <w:rPr>
          <w:rFonts w:cs="TimesNewRomanPS-BoldItalicMT"/>
          <w:bCs/>
          <w:iCs/>
        </w:rPr>
        <w:t>mieć grubość linii 50 cm.</w:t>
      </w:r>
    </w:p>
    <w:p w14:paraId="00A2E77E" w14:textId="7C355B29" w:rsidR="00F01F01" w:rsidRPr="007A243F" w:rsidRDefault="00F01F01" w:rsidP="00F01F01">
      <w:pPr>
        <w:tabs>
          <w:tab w:val="left" w:pos="1134"/>
        </w:tabs>
        <w:autoSpaceDE w:val="0"/>
        <w:autoSpaceDN w:val="0"/>
        <w:adjustRightInd w:val="0"/>
        <w:ind w:left="1134" w:hanging="567"/>
        <w:rPr>
          <w:rFonts w:cs="TimesNewRomanPS-BoldItalicMT"/>
          <w:bCs/>
          <w:iCs/>
        </w:rPr>
      </w:pPr>
      <w:r w:rsidRPr="007A243F">
        <w:rPr>
          <w:rFonts w:cs="TimesNewRomanPS-BoldItalicMT"/>
          <w:bCs/>
        </w:rPr>
        <w:t xml:space="preserve">(4) </w:t>
      </w:r>
      <w:r w:rsidRPr="007A243F">
        <w:rPr>
          <w:rFonts w:cs="TimesNewRomanPS-BoldItalicMT"/>
          <w:bCs/>
        </w:rPr>
        <w:tab/>
        <w:t xml:space="preserve">Linie wyprostowania oraz linie wjazdu/wyjazdu </w:t>
      </w:r>
      <w:r w:rsidR="007A243F" w:rsidRPr="007A243F">
        <w:rPr>
          <w:rFonts w:cs="TimesNewRomanPS-BoldItalicMT"/>
          <w:bCs/>
        </w:rPr>
        <w:t>powinny być</w:t>
      </w:r>
      <w:r w:rsidRPr="007A243F">
        <w:rPr>
          <w:rFonts w:cs="TimesNewRomanPS-BoldItalicMT"/>
          <w:bCs/>
        </w:rPr>
        <w:t xml:space="preserve"> </w:t>
      </w:r>
      <w:r w:rsidR="007A243F" w:rsidRPr="007A243F">
        <w:rPr>
          <w:rFonts w:cs="TimesNewRomanPS-BoldItalicMT"/>
          <w:bCs/>
        </w:rPr>
        <w:t xml:space="preserve">liniami ciągłymi, koloru </w:t>
      </w:r>
      <w:r w:rsidRPr="007A243F">
        <w:rPr>
          <w:rFonts w:cs="TimesNewRomanPS-BoldItalicMT"/>
          <w:bCs/>
        </w:rPr>
        <w:t>żółt</w:t>
      </w:r>
      <w:r w:rsidR="007A243F" w:rsidRPr="007A243F">
        <w:rPr>
          <w:rFonts w:cs="TimesNewRomanPS-BoldItalicMT"/>
          <w:bCs/>
        </w:rPr>
        <w:t>ego,</w:t>
      </w:r>
      <w:r w:rsidRPr="007A243F">
        <w:rPr>
          <w:rFonts w:cs="TimesNewRomanPS-BoldItalicMT"/>
          <w:bCs/>
        </w:rPr>
        <w:t xml:space="preserve"> o szerokości</w:t>
      </w:r>
      <w:r w:rsidRPr="007A243F">
        <w:rPr>
          <w:rFonts w:cs="TimesNewRomanPS-BoldItalicMT"/>
          <w:bCs/>
          <w:i/>
        </w:rPr>
        <w:t xml:space="preserve"> </w:t>
      </w:r>
      <w:r w:rsidRPr="007A243F">
        <w:rPr>
          <w:rFonts w:cs="TimesNewRomanPS-BoldItalicMT"/>
          <w:bCs/>
          <w:iCs/>
        </w:rPr>
        <w:t>15 cm.</w:t>
      </w:r>
    </w:p>
    <w:p w14:paraId="04978234" w14:textId="00D9EE8B" w:rsidR="00F01F01" w:rsidRPr="007A243F" w:rsidRDefault="00F01F01" w:rsidP="00F01F01">
      <w:pPr>
        <w:tabs>
          <w:tab w:val="left" w:pos="1134"/>
        </w:tabs>
        <w:autoSpaceDE w:val="0"/>
        <w:autoSpaceDN w:val="0"/>
        <w:adjustRightInd w:val="0"/>
        <w:ind w:left="1134" w:hanging="567"/>
        <w:rPr>
          <w:rFonts w:cs="TimesNewRomanPS-BoldItalicMT"/>
          <w:bCs/>
        </w:rPr>
      </w:pPr>
      <w:r w:rsidRPr="007A243F">
        <w:rPr>
          <w:rFonts w:cs="TimesNewRomanPS-BoldItalicMT"/>
          <w:bCs/>
          <w:iCs/>
        </w:rPr>
        <w:t xml:space="preserve">(5) </w:t>
      </w:r>
      <w:r w:rsidRPr="007A243F">
        <w:rPr>
          <w:rFonts w:cs="TimesNewRomanPS-BoldItalicMT"/>
          <w:bCs/>
          <w:iCs/>
        </w:rPr>
        <w:tab/>
        <w:t xml:space="preserve">Zakrzywione części linii </w:t>
      </w:r>
      <w:r w:rsidRPr="007A243F">
        <w:rPr>
          <w:rFonts w:cs="TimesNewRomanPS-BoldItalicMT"/>
          <w:bCs/>
        </w:rPr>
        <w:t xml:space="preserve">wyprostowania oraz linii wjazdu/wyjazdu </w:t>
      </w:r>
      <w:r w:rsidR="007A243F" w:rsidRPr="007A243F">
        <w:rPr>
          <w:rFonts w:cs="TimesNewRomanPS-BoldItalicMT"/>
          <w:bCs/>
        </w:rPr>
        <w:t xml:space="preserve">powinny mieć </w:t>
      </w:r>
      <w:r w:rsidRPr="007A243F">
        <w:rPr>
          <w:rFonts w:cs="TimesNewRomanPS-BoldItalicMT"/>
          <w:bCs/>
        </w:rPr>
        <w:t xml:space="preserve">promienie </w:t>
      </w:r>
      <w:r w:rsidR="007A243F" w:rsidRPr="007A243F">
        <w:rPr>
          <w:rFonts w:cs="TimesNewRomanPS-BoldItalicMT"/>
          <w:bCs/>
        </w:rPr>
        <w:t xml:space="preserve">o długości </w:t>
      </w:r>
      <w:r w:rsidRPr="007A243F">
        <w:rPr>
          <w:rFonts w:cs="TimesNewRomanPS-BoldItalicMT"/>
          <w:bCs/>
        </w:rPr>
        <w:t>odpowiednie</w:t>
      </w:r>
      <w:r w:rsidR="007A243F" w:rsidRPr="007A243F">
        <w:rPr>
          <w:rFonts w:cs="TimesNewRomanPS-BoldItalicMT"/>
          <w:bCs/>
        </w:rPr>
        <w:t>j</w:t>
      </w:r>
      <w:r w:rsidRPr="007A243F">
        <w:rPr>
          <w:rFonts w:cs="TimesNewRomanPS-BoldItalicMT"/>
          <w:bCs/>
        </w:rPr>
        <w:t xml:space="preserve"> do najbardziej wymagającego typu śmigłowca, do którego obsługi przeznaczone jest </w:t>
      </w:r>
      <w:r w:rsidR="007A243F" w:rsidRPr="007A243F">
        <w:rPr>
          <w:rFonts w:cs="TimesNewRomanPS-BoldItalicMT"/>
          <w:bCs/>
        </w:rPr>
        <w:t xml:space="preserve">dane </w:t>
      </w:r>
      <w:r w:rsidRPr="007A243F">
        <w:rPr>
          <w:rFonts w:cs="TimesNewRomanPS-BoldItalicMT"/>
          <w:bCs/>
        </w:rPr>
        <w:t>stanowisko postojowe.</w:t>
      </w:r>
    </w:p>
    <w:p w14:paraId="436AA590" w14:textId="1170B3A5" w:rsidR="00F01F01" w:rsidRPr="007A243F" w:rsidRDefault="00F01F01" w:rsidP="00F01F01">
      <w:pPr>
        <w:tabs>
          <w:tab w:val="left" w:pos="1134"/>
        </w:tabs>
        <w:autoSpaceDE w:val="0"/>
        <w:autoSpaceDN w:val="0"/>
        <w:adjustRightInd w:val="0"/>
        <w:ind w:left="1134" w:hanging="567"/>
        <w:rPr>
          <w:rFonts w:cs="TimesNewRomanPS-BoldItalicMT"/>
          <w:bCs/>
          <w:iCs/>
        </w:rPr>
      </w:pPr>
      <w:r w:rsidRPr="007A243F">
        <w:rPr>
          <w:rFonts w:cs="TimesNewRomanPS-BoldItalicMT"/>
          <w:bCs/>
          <w:iCs/>
        </w:rPr>
        <w:t xml:space="preserve">(6) </w:t>
      </w:r>
      <w:r w:rsidRPr="007A243F">
        <w:rPr>
          <w:rFonts w:cs="TimesNewRomanPS-BoldItalicMT"/>
          <w:bCs/>
          <w:iCs/>
        </w:rPr>
        <w:tab/>
        <w:t xml:space="preserve">Znak identyfikacji stanowiska postojowego </w:t>
      </w:r>
      <w:r w:rsidR="007A243F" w:rsidRPr="007A243F">
        <w:rPr>
          <w:rFonts w:cs="TimesNewRomanPS-BoldItalicMT"/>
          <w:bCs/>
          <w:iCs/>
        </w:rPr>
        <w:t xml:space="preserve">śmigłowca powinien być </w:t>
      </w:r>
      <w:r w:rsidRPr="007A243F">
        <w:rPr>
          <w:rFonts w:cs="TimesNewRomanPS-BoldItalicMT"/>
          <w:bCs/>
          <w:iCs/>
        </w:rPr>
        <w:t xml:space="preserve">oznakowany </w:t>
      </w:r>
      <w:r w:rsidR="007A243F" w:rsidRPr="007A243F">
        <w:rPr>
          <w:rFonts w:cs="TimesNewRomanPS-BoldItalicMT"/>
          <w:bCs/>
          <w:iCs/>
        </w:rPr>
        <w:t>w</w:t>
      </w:r>
      <w:r w:rsidRPr="007A243F">
        <w:rPr>
          <w:rFonts w:cs="TimesNewRomanPS-BoldItalicMT"/>
          <w:bCs/>
          <w:iCs/>
        </w:rPr>
        <w:t xml:space="preserve"> kontrastującym kolor</w:t>
      </w:r>
      <w:r w:rsidR="007A243F" w:rsidRPr="007A243F">
        <w:rPr>
          <w:rFonts w:cs="TimesNewRomanPS-BoldItalicMT"/>
          <w:bCs/>
          <w:iCs/>
        </w:rPr>
        <w:t xml:space="preserve">ze </w:t>
      </w:r>
      <w:r w:rsidRPr="007A243F">
        <w:rPr>
          <w:rFonts w:cs="TimesNewRomanPS-BoldItalicMT"/>
          <w:bCs/>
          <w:iCs/>
        </w:rPr>
        <w:t xml:space="preserve">tak, aby mógł być </w:t>
      </w:r>
      <w:r w:rsidR="007A243F" w:rsidRPr="007A243F">
        <w:rPr>
          <w:rFonts w:cs="TimesNewRomanPS-BoldItalicMT"/>
          <w:bCs/>
          <w:iCs/>
        </w:rPr>
        <w:t xml:space="preserve">z łatwością </w:t>
      </w:r>
      <w:r w:rsidRPr="007A243F">
        <w:rPr>
          <w:rFonts w:cs="TimesNewRomanPS-BoldItalicMT"/>
          <w:bCs/>
          <w:iCs/>
        </w:rPr>
        <w:t>czytelny.</w:t>
      </w:r>
    </w:p>
    <w:p w14:paraId="6D5E4BC7" w14:textId="438B81DE" w:rsidR="00F01F01" w:rsidRPr="00DD79BF" w:rsidRDefault="00F01F01" w:rsidP="00F01F01">
      <w:pPr>
        <w:tabs>
          <w:tab w:val="left" w:pos="1134"/>
        </w:tabs>
        <w:autoSpaceDE w:val="0"/>
        <w:autoSpaceDN w:val="0"/>
        <w:adjustRightInd w:val="0"/>
        <w:ind w:left="1134" w:hanging="567"/>
        <w:rPr>
          <w:rFonts w:cs="TimesNewRomanPS-BoldItalicMT"/>
          <w:bCs/>
          <w:iCs/>
        </w:rPr>
      </w:pPr>
      <w:r w:rsidRPr="007A243F">
        <w:rPr>
          <w:rFonts w:cs="TimesNewRomanPS-BoldItalicMT"/>
          <w:bCs/>
          <w:iCs/>
        </w:rPr>
        <w:t xml:space="preserve">(7) </w:t>
      </w:r>
      <w:r w:rsidRPr="007A243F">
        <w:rPr>
          <w:rFonts w:cs="TimesNewRomanPS-BoldItalicMT"/>
          <w:bCs/>
          <w:iCs/>
        </w:rPr>
        <w:tab/>
        <w:t xml:space="preserve">Jeżeli planuje się, że śmigłowce będą przemieszczać się tylko w jednym kierunku, strzałki wskazujące </w:t>
      </w:r>
      <w:r w:rsidRPr="00DD79BF">
        <w:rPr>
          <w:rFonts w:cs="TimesNewRomanPS-BoldItalicMT"/>
          <w:bCs/>
          <w:iCs/>
        </w:rPr>
        <w:t>kierunek, za którymi należy podążać mogą zostać dodane, jako część linii wyprostowania.</w:t>
      </w:r>
    </w:p>
    <w:p w14:paraId="45719945" w14:textId="714B6030" w:rsidR="002E5C48" w:rsidRPr="009E064B" w:rsidRDefault="002E5C48" w:rsidP="00133B99">
      <w:pPr>
        <w:pStyle w:val="Nagwek6"/>
      </w:pPr>
      <w:bookmarkStart w:id="1940" w:name="_Toc12533391"/>
      <w:r w:rsidRPr="009E064B">
        <w:t>GM1 HPT-DSN.</w:t>
      </w:r>
      <w:r w:rsidR="00133B99">
        <w:t>F.61</w:t>
      </w:r>
      <w:r>
        <w:t>0</w:t>
      </w:r>
      <w:r w:rsidRPr="009E064B">
        <w:t xml:space="preserve">     </w:t>
      </w:r>
      <w:r w:rsidR="00133B99" w:rsidRPr="00900AA5">
        <w:t>Oznakowanie stanowiska postojowego śmigłowca</w:t>
      </w:r>
      <w:bookmarkEnd w:id="1940"/>
    </w:p>
    <w:p w14:paraId="3211C395" w14:textId="7F213AC9" w:rsidR="002E5C48" w:rsidRPr="009E064B" w:rsidRDefault="001F74A1" w:rsidP="002E5C48">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EC1C3FA" w14:textId="7F74BB39" w:rsidR="007A243F" w:rsidRDefault="00406C7A" w:rsidP="00BC27EF">
      <w:pPr>
        <w:tabs>
          <w:tab w:val="left" w:pos="0"/>
        </w:tabs>
        <w:autoSpaceDE w:val="0"/>
        <w:autoSpaceDN w:val="0"/>
        <w:adjustRightInd w:val="0"/>
        <w:rPr>
          <w:rFonts w:eastAsia="Verdana" w:cs="Verdana"/>
          <w:bCs/>
          <w:iCs/>
        </w:rPr>
      </w:pPr>
      <w:r w:rsidRPr="007A243F">
        <w:rPr>
          <w:rFonts w:eastAsia="Verdana" w:cs="Verdana"/>
          <w:bCs/>
          <w:iCs/>
        </w:rPr>
        <w:t xml:space="preserve">Oznakowanie identyfikacji stanowiska postojowego śmigłowca </w:t>
      </w:r>
      <w:r w:rsidR="00BC27EF" w:rsidRPr="007A243F">
        <w:rPr>
          <w:rFonts w:eastAsia="Verdana" w:cs="Verdana"/>
          <w:bCs/>
          <w:iCs/>
        </w:rPr>
        <w:t>powinno</w:t>
      </w:r>
      <w:r w:rsidRPr="007A243F">
        <w:rPr>
          <w:rFonts w:eastAsia="Verdana" w:cs="Verdana"/>
          <w:bCs/>
          <w:iCs/>
        </w:rPr>
        <w:t xml:space="preserve"> być zapewniane, jeżeli istnieje potrzeba </w:t>
      </w:r>
      <w:r w:rsidR="00BC27EF" w:rsidRPr="007A243F">
        <w:rPr>
          <w:rFonts w:eastAsia="Verdana" w:cs="Verdana"/>
          <w:bCs/>
          <w:iCs/>
        </w:rPr>
        <w:t xml:space="preserve">identyfikacji pojedynczych - </w:t>
      </w:r>
      <w:r w:rsidRPr="007A243F">
        <w:rPr>
          <w:rFonts w:eastAsia="Verdana" w:cs="Verdana"/>
          <w:bCs/>
          <w:iCs/>
        </w:rPr>
        <w:t>indywidualnych stanowisk.</w:t>
      </w:r>
    </w:p>
    <w:p w14:paraId="3C3F68D4" w14:textId="77777777" w:rsidR="007A243F" w:rsidRDefault="007A243F">
      <w:pPr>
        <w:spacing w:after="0"/>
        <w:jc w:val="left"/>
        <w:rPr>
          <w:rFonts w:eastAsia="Verdana" w:cs="Verdana"/>
          <w:bCs/>
          <w:iCs/>
        </w:rPr>
      </w:pPr>
      <w:r>
        <w:rPr>
          <w:rFonts w:eastAsia="Verdana" w:cs="Verdana"/>
          <w:bCs/>
          <w:iCs/>
        </w:rPr>
        <w:br w:type="page"/>
      </w:r>
    </w:p>
    <w:p w14:paraId="7A573AB9" w14:textId="77777777" w:rsidR="00406C7A" w:rsidRPr="007A243F" w:rsidRDefault="00406C7A" w:rsidP="00BC27EF">
      <w:pPr>
        <w:tabs>
          <w:tab w:val="left" w:pos="0"/>
        </w:tabs>
        <w:autoSpaceDE w:val="0"/>
        <w:autoSpaceDN w:val="0"/>
        <w:adjustRightInd w:val="0"/>
        <w:rPr>
          <w:rFonts w:eastAsia="Verdana" w:cs="Verdana"/>
          <w:bCs/>
          <w:iCs/>
        </w:rPr>
      </w:pPr>
    </w:p>
    <w:p w14:paraId="6DEFD5FB" w14:textId="547B6936" w:rsidR="00133B99" w:rsidRPr="009E064B" w:rsidRDefault="00133B99" w:rsidP="00133B99">
      <w:pPr>
        <w:pStyle w:val="Nagwek4"/>
        <w:rPr>
          <w:color w:val="auto"/>
        </w:rPr>
      </w:pPr>
      <w:bookmarkStart w:id="1941" w:name="_Toc12533392"/>
      <w:r w:rsidRPr="00BD1DB3">
        <w:rPr>
          <w:color w:val="auto"/>
        </w:rPr>
        <w:t>CS HPT-DSN.F.620</w:t>
      </w:r>
      <w:r w:rsidRPr="00BD1DB3">
        <w:rPr>
          <w:b w:val="0"/>
          <w:bCs w:val="0"/>
          <w:color w:val="FFFFFF"/>
          <w:sz w:val="32"/>
          <w:szCs w:val="32"/>
        </w:rPr>
        <w:t xml:space="preserve">     </w:t>
      </w:r>
      <w:r w:rsidRPr="00BD1DB3">
        <w:t>Oznakowanie naprowadzania na ścieżkę lotu</w:t>
      </w:r>
      <w:bookmarkEnd w:id="1941"/>
    </w:p>
    <w:p w14:paraId="24F0E536" w14:textId="146435FB"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967EBEA" w14:textId="605730E6" w:rsidR="00F01F01" w:rsidRPr="00B409F3" w:rsidRDefault="00133B99" w:rsidP="00B409F3">
      <w:pPr>
        <w:tabs>
          <w:tab w:val="left" w:pos="567"/>
        </w:tabs>
        <w:autoSpaceDE w:val="0"/>
        <w:autoSpaceDN w:val="0"/>
        <w:adjustRightInd w:val="0"/>
        <w:ind w:left="567" w:hanging="567"/>
        <w:rPr>
          <w:rFonts w:cs="TimesNewRomanPS-BoldItalicMT"/>
          <w:bCs/>
          <w:iCs/>
          <w:szCs w:val="20"/>
        </w:rPr>
      </w:pPr>
      <w:r w:rsidRPr="00B409F3">
        <w:rPr>
          <w:rFonts w:cs="TimesNewRomanPS-BoldItalicMT"/>
          <w:bCs/>
          <w:iCs/>
          <w:szCs w:val="20"/>
        </w:rPr>
        <w:t>(a)</w:t>
      </w:r>
      <w:r w:rsidRPr="00B409F3">
        <w:rPr>
          <w:rFonts w:cs="TimesNewRomanPS-BoldItalicMT"/>
          <w:bCs/>
          <w:iCs/>
          <w:szCs w:val="20"/>
        </w:rPr>
        <w:tab/>
      </w:r>
      <w:r w:rsidR="00B409F3" w:rsidRPr="00B409F3">
        <w:rPr>
          <w:rFonts w:cs="TimesNewRomanPS-BoldItalicMT"/>
          <w:bCs/>
          <w:iCs/>
          <w:szCs w:val="20"/>
        </w:rPr>
        <w:t xml:space="preserve">Zastosowanie: </w:t>
      </w:r>
      <w:r w:rsidR="00F01F01" w:rsidRPr="00B409F3">
        <w:rPr>
          <w:rFonts w:cs="TimesNewRomanPS-BoldItalicMT"/>
          <w:bCs/>
          <w:iCs/>
        </w:rPr>
        <w:t>Oznakowanie naprowadzania na ścieżkę lotu powinno być zapewniane na lotniskach dla śmigłowców, gdzie pożądane i przydatne jest wskazanie dostępnego kierunku</w:t>
      </w:r>
      <w:r w:rsidR="007A243F">
        <w:rPr>
          <w:rFonts w:cs="TimesNewRomanPS-BoldItalicMT"/>
          <w:bCs/>
          <w:iCs/>
        </w:rPr>
        <w:t xml:space="preserve"> </w:t>
      </w:r>
      <w:r w:rsidR="00F01F01" w:rsidRPr="00B409F3">
        <w:rPr>
          <w:rFonts w:cs="TimesNewRomanPS-BoldItalicMT"/>
          <w:bCs/>
          <w:iCs/>
        </w:rPr>
        <w:t>(-ów) ścieżki podejścia i/lub odlotu.</w:t>
      </w:r>
    </w:p>
    <w:p w14:paraId="397EC5F7" w14:textId="07EAC149" w:rsidR="00F01F01" w:rsidRDefault="00F01F01" w:rsidP="00F01F01">
      <w:pPr>
        <w:tabs>
          <w:tab w:val="left" w:pos="567"/>
        </w:tabs>
        <w:autoSpaceDE w:val="0"/>
        <w:autoSpaceDN w:val="0"/>
        <w:adjustRightInd w:val="0"/>
        <w:ind w:left="567" w:hanging="567"/>
        <w:rPr>
          <w:rFonts w:cs="TimesNewRomanPS-BoldItalicMT"/>
          <w:bCs/>
          <w:iCs/>
        </w:rPr>
      </w:pPr>
      <w:r w:rsidRPr="00B409F3">
        <w:rPr>
          <w:rFonts w:cs="TimesNewRomanPS-BoldItalicMT"/>
          <w:bCs/>
          <w:iCs/>
        </w:rPr>
        <w:t xml:space="preserve">(b) </w:t>
      </w:r>
      <w:r w:rsidRPr="00B409F3">
        <w:rPr>
          <w:rFonts w:cs="TimesNewRomanPS-BoldItalicMT"/>
          <w:bCs/>
          <w:iCs/>
        </w:rPr>
        <w:tab/>
      </w:r>
      <w:r w:rsidR="00B409F3" w:rsidRPr="00B409F3">
        <w:rPr>
          <w:rFonts w:cs="TimesNewRomanPS-BoldItalicMT"/>
          <w:bCs/>
          <w:iCs/>
        </w:rPr>
        <w:t xml:space="preserve">Lokalizacja. </w:t>
      </w:r>
      <w:r w:rsidRPr="00B409F3">
        <w:rPr>
          <w:rFonts w:cs="TimesNewRomanPS-BoldItalicMT"/>
          <w:bCs/>
          <w:iCs/>
        </w:rPr>
        <w:t>Oznakowanie naprowadzania na ścieżkę lotu powinno być umieszczone w linii prostej wzdłuż kierunku(-ów) ścieżki podejścia lub odlotu na jednej lub więcej stref TLOF, stref FATO, na strefie bezpieczeństwa lub każdej innej odpowiedniej powierzchni w bezpośrednim sąsiedztwie strefy FATO, TLOF lub strefy bezpieczeństwa.</w:t>
      </w:r>
    </w:p>
    <w:p w14:paraId="5405C69D" w14:textId="5DD05CF5" w:rsidR="00B409F3" w:rsidRPr="00B409F3" w:rsidRDefault="00B409F3" w:rsidP="00F01F01">
      <w:pPr>
        <w:tabs>
          <w:tab w:val="left" w:pos="567"/>
        </w:tabs>
        <w:autoSpaceDE w:val="0"/>
        <w:autoSpaceDN w:val="0"/>
        <w:adjustRightInd w:val="0"/>
        <w:ind w:left="567" w:hanging="567"/>
        <w:rPr>
          <w:rFonts w:cs="TimesNewRomanPS-BoldItalicMT"/>
          <w:bCs/>
          <w:iCs/>
        </w:rPr>
      </w:pPr>
      <w:r>
        <w:rPr>
          <w:rFonts w:cs="TimesNewRomanPS-BoldItalicMT"/>
          <w:bCs/>
          <w:iCs/>
        </w:rPr>
        <w:t xml:space="preserve">(c) </w:t>
      </w:r>
      <w:r>
        <w:rPr>
          <w:rFonts w:cs="TimesNewRomanPS-BoldItalicMT"/>
          <w:bCs/>
          <w:iCs/>
        </w:rPr>
        <w:tab/>
        <w:t>Charakterystyka:</w:t>
      </w:r>
    </w:p>
    <w:p w14:paraId="4F7D54F2" w14:textId="114040F4" w:rsidR="00F01F01" w:rsidRPr="00B409F3" w:rsidRDefault="00B409F3" w:rsidP="00B409F3">
      <w:pPr>
        <w:tabs>
          <w:tab w:val="left" w:pos="1134"/>
        </w:tabs>
        <w:autoSpaceDE w:val="0"/>
        <w:autoSpaceDN w:val="0"/>
        <w:adjustRightInd w:val="0"/>
        <w:ind w:left="1134" w:hanging="567"/>
        <w:rPr>
          <w:rFonts w:cs="TimesNewRomanPS-BoldItalicMT"/>
          <w:bCs/>
        </w:rPr>
      </w:pPr>
      <w:r w:rsidRPr="00B409F3">
        <w:rPr>
          <w:rFonts w:cs="TimesNewRomanPS-BoldItalicMT"/>
          <w:bCs/>
          <w:iCs/>
        </w:rPr>
        <w:t xml:space="preserve">(1) </w:t>
      </w:r>
      <w:r w:rsidRPr="00B409F3">
        <w:rPr>
          <w:rFonts w:cs="TimesNewRomanPS-BoldItalicMT"/>
          <w:bCs/>
          <w:iCs/>
        </w:rPr>
        <w:tab/>
        <w:t>O</w:t>
      </w:r>
      <w:r w:rsidR="00F01F01" w:rsidRPr="00B409F3">
        <w:rPr>
          <w:rFonts w:cs="TimesNewRomanPS-BoldItalicMT"/>
          <w:bCs/>
          <w:iCs/>
        </w:rPr>
        <w:t xml:space="preserve">znakowanie naprowadzania na ścieżkę lotu powinno składać się z jednej lub większej ilości strzałek oznaczonych na strefie TLOF, strefie FATO i/lub w strefie bezpieczeństwa jak przedstawiono na Rysunku </w:t>
      </w:r>
      <w:r w:rsidR="007A243F">
        <w:rPr>
          <w:rFonts w:cs="TimesNewRomanPS-BoldItalicMT"/>
          <w:bCs/>
          <w:iCs/>
        </w:rPr>
        <w:t>F-6</w:t>
      </w:r>
      <w:r w:rsidR="00F01F01" w:rsidRPr="00B409F3">
        <w:rPr>
          <w:rFonts w:cs="TimesNewRomanPS-BoldItalicMT"/>
          <w:bCs/>
          <w:iCs/>
        </w:rPr>
        <w:t>. Kreska strzałki powinna mieć 50 cm szerokości i co najmniej 3 m dłu</w:t>
      </w:r>
      <w:r w:rsidR="007A243F">
        <w:rPr>
          <w:rFonts w:cs="TimesNewRomanPS-BoldItalicMT"/>
          <w:bCs/>
          <w:iCs/>
        </w:rPr>
        <w:t xml:space="preserve">gości. W przypadku połączenia z </w:t>
      </w:r>
      <w:r w:rsidR="00F01F01" w:rsidRPr="00B409F3">
        <w:rPr>
          <w:rFonts w:cs="TimesNewRomanPS-BoldItalicMT"/>
          <w:bCs/>
          <w:iCs/>
        </w:rPr>
        <w:t>systemem świetlnym naprowadzania na ścieżkę lotu, p</w:t>
      </w:r>
      <w:r w:rsidR="007A243F">
        <w:rPr>
          <w:rFonts w:cs="TimesNewRomanPS-BoldItalicMT"/>
          <w:bCs/>
          <w:iCs/>
        </w:rPr>
        <w:t xml:space="preserve">owinna ona mieć </w:t>
      </w:r>
      <w:r w:rsidR="00F01F01" w:rsidRPr="00B409F3">
        <w:rPr>
          <w:rFonts w:cs="TimesNewRomanPS-BoldItalicMT"/>
          <w:bCs/>
          <w:iCs/>
        </w:rPr>
        <w:t xml:space="preserve">formę przedstawioną na Rysunku </w:t>
      </w:r>
      <w:r w:rsidR="007A243F">
        <w:rPr>
          <w:rFonts w:cs="TimesNewRomanPS-BoldItalicMT"/>
          <w:bCs/>
          <w:iCs/>
        </w:rPr>
        <w:t>F-6</w:t>
      </w:r>
      <w:r w:rsidR="00F01F01" w:rsidRPr="00B409F3">
        <w:rPr>
          <w:rFonts w:cs="TimesNewRomanPS-BoldItalicMT"/>
          <w:bCs/>
          <w:iCs/>
        </w:rPr>
        <w:t>, który zawiera schemat oznakowania strzałkami, które są stałe niezależnie od długości kreski.</w:t>
      </w:r>
    </w:p>
    <w:p w14:paraId="163094F1" w14:textId="689203AB" w:rsidR="00F01F01" w:rsidRPr="00B409F3" w:rsidRDefault="00B409F3" w:rsidP="00B409F3">
      <w:pPr>
        <w:tabs>
          <w:tab w:val="left" w:pos="1134"/>
        </w:tabs>
        <w:autoSpaceDE w:val="0"/>
        <w:autoSpaceDN w:val="0"/>
        <w:adjustRightInd w:val="0"/>
        <w:ind w:left="1134" w:hanging="567"/>
        <w:rPr>
          <w:rFonts w:cs="TimesNewRomanPS-BoldItalicMT"/>
          <w:bCs/>
        </w:rPr>
      </w:pPr>
      <w:r>
        <w:rPr>
          <w:rFonts w:cs="TimesNewRomanPS-BoldItalicMT"/>
          <w:bCs/>
        </w:rPr>
        <w:t xml:space="preserve">(2) </w:t>
      </w:r>
      <w:r>
        <w:rPr>
          <w:rFonts w:cs="TimesNewRomanPS-BoldItalicMT"/>
          <w:bCs/>
        </w:rPr>
        <w:tab/>
      </w:r>
      <w:r w:rsidR="00F01F01" w:rsidRPr="00B409F3">
        <w:rPr>
          <w:rFonts w:cs="TimesNewRomanPS-BoldItalicMT"/>
          <w:bCs/>
        </w:rPr>
        <w:t>W przypadku ścieżki lotu ograniczonej do jednego kierunku podejścia lub jednego kierunku odlotu, oznaczenie strzałkowe może być jednokierunkowe. W przypadku lotniska dla śmigłowców z tylko pojedynczą dostępną ścieżką podejścia/odlotu, oznakowanie stanowi jedna dwukierunkowa strzałka.</w:t>
      </w:r>
    </w:p>
    <w:p w14:paraId="60CEB0E6" w14:textId="6B4BCC3B" w:rsidR="00F01F01" w:rsidRPr="00B409F3" w:rsidRDefault="00B409F3" w:rsidP="00B409F3">
      <w:pPr>
        <w:tabs>
          <w:tab w:val="left" w:pos="1134"/>
        </w:tabs>
        <w:autoSpaceDE w:val="0"/>
        <w:autoSpaceDN w:val="0"/>
        <w:adjustRightInd w:val="0"/>
        <w:ind w:left="1134" w:hanging="567"/>
        <w:rPr>
          <w:rFonts w:cs="TimesNewRomanPS-BoldItalicMT"/>
          <w:bCs/>
        </w:rPr>
      </w:pPr>
      <w:r>
        <w:rPr>
          <w:rFonts w:cs="TimesNewRomanPS-BoldItalicMT"/>
          <w:bCs/>
          <w:iCs/>
        </w:rPr>
        <w:t xml:space="preserve">(3) </w:t>
      </w:r>
      <w:r>
        <w:rPr>
          <w:rFonts w:cs="TimesNewRomanPS-BoldItalicMT"/>
          <w:bCs/>
          <w:iCs/>
        </w:rPr>
        <w:tab/>
      </w:r>
      <w:r w:rsidR="00F01F01" w:rsidRPr="00B409F3">
        <w:rPr>
          <w:rFonts w:cs="TimesNewRomanPS-BoldItalicMT"/>
          <w:bCs/>
        </w:rPr>
        <w:t>Oznakowanie powinno być w kolorze zapewniającym dobry kontrast z tłem powierzchni, na której są oznakowania, preferowany jest kolor biały.</w:t>
      </w:r>
    </w:p>
    <w:p w14:paraId="74654F1A" w14:textId="77777777" w:rsidR="00F01F01" w:rsidRPr="00900AA5" w:rsidRDefault="00F01F01" w:rsidP="00F01F01">
      <w:pPr>
        <w:tabs>
          <w:tab w:val="left" w:pos="1418"/>
        </w:tabs>
        <w:spacing w:before="120"/>
        <w:rPr>
          <w:rStyle w:val="FontStyle219"/>
        </w:rPr>
      </w:pPr>
    </w:p>
    <w:p w14:paraId="6D9899B2" w14:textId="77777777" w:rsidR="00F01F01" w:rsidRPr="00900AA5" w:rsidRDefault="00F01F01" w:rsidP="00F01F01">
      <w:pPr>
        <w:tabs>
          <w:tab w:val="left" w:pos="1418"/>
        </w:tabs>
        <w:spacing w:before="240"/>
        <w:rPr>
          <w:rStyle w:val="FontStyle219"/>
          <w:i w:val="0"/>
          <w:iCs w:val="0"/>
          <w:lang w:eastAsia="de-DE"/>
        </w:rPr>
      </w:pPr>
      <w:r w:rsidRPr="00900AA5">
        <w:rPr>
          <w:rStyle w:val="FontStyle219"/>
          <w:i w:val="0"/>
          <w:iCs w:val="0"/>
          <w:noProof/>
          <w:szCs w:val="22"/>
          <w:lang w:eastAsia="pl-PL"/>
        </w:rPr>
        <w:drawing>
          <wp:inline distT="0" distB="0" distL="0" distR="0" wp14:anchorId="350D9FA0" wp14:editId="66B19371">
            <wp:extent cx="5653726" cy="7131050"/>
            <wp:effectExtent l="0" t="0" r="0" b="0"/>
            <wp:docPr id="1442" name="Obraz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654547" cy="7132086"/>
                    </a:xfrm>
                    <a:prstGeom prst="rect">
                      <a:avLst/>
                    </a:prstGeom>
                    <a:noFill/>
                    <a:ln>
                      <a:noFill/>
                    </a:ln>
                  </pic:spPr>
                </pic:pic>
              </a:graphicData>
            </a:graphic>
          </wp:inline>
        </w:drawing>
      </w:r>
    </w:p>
    <w:p w14:paraId="3F55B14C" w14:textId="6D334080" w:rsidR="00133B99" w:rsidRPr="007A243F" w:rsidRDefault="00F01F01" w:rsidP="00B409F3">
      <w:pPr>
        <w:tabs>
          <w:tab w:val="left" w:pos="567"/>
        </w:tabs>
        <w:autoSpaceDE w:val="0"/>
        <w:autoSpaceDN w:val="0"/>
        <w:adjustRightInd w:val="0"/>
        <w:ind w:left="567" w:hanging="567"/>
        <w:jc w:val="center"/>
        <w:rPr>
          <w:rFonts w:cs="TimesNewRomanPS-BoldItalicMT"/>
          <w:b/>
          <w:bCs/>
          <w:iCs/>
          <w:szCs w:val="20"/>
        </w:rPr>
      </w:pPr>
      <w:r w:rsidRPr="007A243F">
        <w:rPr>
          <w:b/>
          <w:bCs/>
          <w:sz w:val="20"/>
          <w:szCs w:val="20"/>
        </w:rPr>
        <w:t xml:space="preserve">Rysunek </w:t>
      </w:r>
      <w:r w:rsidR="00B409F3" w:rsidRPr="007A243F">
        <w:rPr>
          <w:b/>
          <w:bCs/>
          <w:sz w:val="20"/>
          <w:szCs w:val="20"/>
        </w:rPr>
        <w:t>F-6</w:t>
      </w:r>
      <w:r w:rsidRPr="007A243F">
        <w:rPr>
          <w:b/>
          <w:bCs/>
          <w:sz w:val="20"/>
          <w:szCs w:val="20"/>
        </w:rPr>
        <w:t>.    Oznakowanie i światła naprowadzania na ścieżkę lotu</w:t>
      </w:r>
    </w:p>
    <w:p w14:paraId="557F76BE" w14:textId="77777777" w:rsidR="00133B99" w:rsidRPr="00F20501" w:rsidRDefault="00133B99" w:rsidP="00133B99">
      <w:pPr>
        <w:tabs>
          <w:tab w:val="left" w:pos="567"/>
        </w:tabs>
        <w:autoSpaceDE w:val="0"/>
        <w:autoSpaceDN w:val="0"/>
        <w:adjustRightInd w:val="0"/>
        <w:ind w:left="567" w:hanging="567"/>
        <w:rPr>
          <w:rFonts w:cstheme="minorHAnsi"/>
          <w:color w:val="FFFFFF" w:themeColor="background1"/>
          <w:szCs w:val="20"/>
        </w:rPr>
      </w:pPr>
    </w:p>
    <w:p w14:paraId="15FB3177" w14:textId="613C740A" w:rsidR="00133B99" w:rsidRPr="009E064B" w:rsidRDefault="00133B99" w:rsidP="00133B99">
      <w:pPr>
        <w:pStyle w:val="Nagwek6"/>
      </w:pPr>
      <w:bookmarkStart w:id="1942" w:name="_Toc12533393"/>
      <w:r w:rsidRPr="009E064B">
        <w:t>GM1 HPT-DSN.</w:t>
      </w:r>
      <w:r>
        <w:t>F.620</w:t>
      </w:r>
      <w:r w:rsidRPr="009E064B">
        <w:t xml:space="preserve">     </w:t>
      </w:r>
      <w:r w:rsidRPr="00900AA5">
        <w:t>Oznakowanie naprowadzania na ścieżkę lotu</w:t>
      </w:r>
      <w:bookmarkEnd w:id="1942"/>
      <w:r w:rsidRPr="00900AA5">
        <w:t xml:space="preserve"> </w:t>
      </w:r>
    </w:p>
    <w:p w14:paraId="60A55EEC" w14:textId="6FFD93AE"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3376285" w14:textId="3A67051E" w:rsidR="00133B99" w:rsidRPr="007A243F" w:rsidRDefault="00B409F3" w:rsidP="00133B99">
      <w:pPr>
        <w:tabs>
          <w:tab w:val="left" w:pos="567"/>
        </w:tabs>
        <w:autoSpaceDE w:val="0"/>
        <w:autoSpaceDN w:val="0"/>
        <w:adjustRightInd w:val="0"/>
        <w:ind w:left="567" w:hanging="567"/>
        <w:rPr>
          <w:rFonts w:eastAsia="Verdana" w:cs="Verdana"/>
          <w:bCs/>
          <w:szCs w:val="20"/>
        </w:rPr>
      </w:pPr>
      <w:r w:rsidRPr="007A243F">
        <w:rPr>
          <w:rFonts w:cs="TimesNewRomanPS-BoldItalicMT"/>
          <w:bCs/>
          <w:iCs/>
          <w:szCs w:val="20"/>
        </w:rPr>
        <w:t>Celowo pozostawiono puste</w:t>
      </w:r>
    </w:p>
    <w:p w14:paraId="535853EF" w14:textId="2C2673AA" w:rsidR="00133B99" w:rsidRPr="009E064B" w:rsidRDefault="00133B99" w:rsidP="00133B99">
      <w:pPr>
        <w:pStyle w:val="Nagwek4"/>
        <w:rPr>
          <w:color w:val="auto"/>
        </w:rPr>
      </w:pPr>
      <w:bookmarkStart w:id="1943" w:name="_Toc12533394"/>
      <w:r w:rsidRPr="00BD1DB3">
        <w:rPr>
          <w:color w:val="auto"/>
        </w:rPr>
        <w:t>CS HPT-DSN.F.630</w:t>
      </w:r>
      <w:r w:rsidRPr="00BD1DB3">
        <w:rPr>
          <w:b w:val="0"/>
          <w:bCs w:val="0"/>
          <w:color w:val="FFFFFF"/>
          <w:sz w:val="32"/>
          <w:szCs w:val="32"/>
        </w:rPr>
        <w:t xml:space="preserve">     </w:t>
      </w:r>
      <w:r w:rsidRPr="00BD1DB3">
        <w:t>System świateł podejścia</w:t>
      </w:r>
      <w:bookmarkEnd w:id="1943"/>
      <w:r w:rsidRPr="00900AA5">
        <w:t xml:space="preserve"> </w:t>
      </w:r>
    </w:p>
    <w:p w14:paraId="7E98D256" w14:textId="06E9D58C"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285CE9E" w14:textId="02EB7F96" w:rsidR="00B409F3" w:rsidRPr="00743CAD" w:rsidRDefault="00133B99" w:rsidP="00B409F3">
      <w:pPr>
        <w:tabs>
          <w:tab w:val="left" w:pos="567"/>
        </w:tabs>
        <w:autoSpaceDE w:val="0"/>
        <w:autoSpaceDN w:val="0"/>
        <w:adjustRightInd w:val="0"/>
        <w:ind w:left="567" w:hanging="567"/>
        <w:rPr>
          <w:rFonts w:cs="TimesNewRomanPS-BoldItalicMT"/>
          <w:bCs/>
          <w:iCs/>
          <w:szCs w:val="20"/>
        </w:rPr>
      </w:pPr>
      <w:r w:rsidRPr="00743CAD">
        <w:rPr>
          <w:rFonts w:cs="TimesNewRomanPS-BoldItalicMT"/>
          <w:bCs/>
          <w:iCs/>
          <w:szCs w:val="20"/>
        </w:rPr>
        <w:t>(a)</w:t>
      </w:r>
      <w:r w:rsidRPr="00743CAD">
        <w:rPr>
          <w:rFonts w:cs="TimesNewRomanPS-BoldItalicMT"/>
          <w:bCs/>
          <w:iCs/>
          <w:szCs w:val="20"/>
        </w:rPr>
        <w:tab/>
      </w:r>
      <w:r w:rsidR="00B409F3" w:rsidRPr="00743CAD">
        <w:rPr>
          <w:rFonts w:cs="TimesNewRomanPS-BoldItalicMT"/>
          <w:bCs/>
          <w:iCs/>
          <w:szCs w:val="20"/>
        </w:rPr>
        <w:t>Zastosowanie:</w:t>
      </w:r>
      <w:r w:rsidR="00CF1412" w:rsidRPr="00743CAD">
        <w:rPr>
          <w:rFonts w:cs="TimesNewRomanPS-BoldItalicMT"/>
          <w:bCs/>
          <w:iCs/>
          <w:szCs w:val="20"/>
        </w:rPr>
        <w:t xml:space="preserve"> Jeśli na lotnisku dla śmigłowców zainstalowany jest s</w:t>
      </w:r>
      <w:r w:rsidR="00B409F3" w:rsidRPr="00743CAD">
        <w:rPr>
          <w:rFonts w:cs="TimesNewRomanPS-BoldItalicMT"/>
          <w:bCs/>
          <w:iCs/>
          <w:szCs w:val="20"/>
        </w:rPr>
        <w:t>ystem świateł podejścia</w:t>
      </w:r>
      <w:r w:rsidR="00CF1412" w:rsidRPr="00743CAD">
        <w:rPr>
          <w:rFonts w:cs="TimesNewRomanPS-BoldItalicMT"/>
          <w:bCs/>
          <w:iCs/>
          <w:szCs w:val="20"/>
        </w:rPr>
        <w:t>, to</w:t>
      </w:r>
      <w:r w:rsidR="00B409F3" w:rsidRPr="00743CAD">
        <w:rPr>
          <w:rFonts w:cs="TimesNewRomanPS-BoldItalicMT"/>
          <w:bCs/>
          <w:iCs/>
          <w:szCs w:val="20"/>
        </w:rPr>
        <w:t xml:space="preserve"> powinien </w:t>
      </w:r>
      <w:r w:rsidR="00CF1412" w:rsidRPr="00743CAD">
        <w:rPr>
          <w:rFonts w:cs="TimesNewRomanPS-BoldItalicMT"/>
          <w:bCs/>
          <w:iCs/>
          <w:szCs w:val="20"/>
        </w:rPr>
        <w:t xml:space="preserve">on </w:t>
      </w:r>
      <w:r w:rsidR="00B409F3" w:rsidRPr="00743CAD">
        <w:rPr>
          <w:rFonts w:cs="TimesNewRomanPS-BoldItalicMT"/>
          <w:bCs/>
          <w:iCs/>
          <w:szCs w:val="20"/>
        </w:rPr>
        <w:t>wskazyw</w:t>
      </w:r>
      <w:r w:rsidR="00CF1412" w:rsidRPr="00743CAD">
        <w:rPr>
          <w:rFonts w:cs="TimesNewRomanPS-BoldItalicMT"/>
          <w:bCs/>
          <w:iCs/>
          <w:szCs w:val="20"/>
        </w:rPr>
        <w:t>ać</w:t>
      </w:r>
      <w:r w:rsidR="00B409F3" w:rsidRPr="00743CAD">
        <w:rPr>
          <w:rFonts w:cs="TimesNewRomanPS-BoldItalicMT"/>
          <w:bCs/>
          <w:iCs/>
          <w:szCs w:val="20"/>
        </w:rPr>
        <w:t xml:space="preserve"> preferowan</w:t>
      </w:r>
      <w:r w:rsidR="00CF1412" w:rsidRPr="00743CAD">
        <w:rPr>
          <w:rFonts w:cs="TimesNewRomanPS-BoldItalicMT"/>
          <w:bCs/>
          <w:iCs/>
          <w:szCs w:val="20"/>
        </w:rPr>
        <w:t>y</w:t>
      </w:r>
      <w:r w:rsidR="00B409F3" w:rsidRPr="00743CAD">
        <w:rPr>
          <w:rFonts w:cs="TimesNewRomanPS-BoldItalicMT"/>
          <w:bCs/>
          <w:iCs/>
          <w:szCs w:val="20"/>
        </w:rPr>
        <w:t xml:space="preserve"> kierun</w:t>
      </w:r>
      <w:r w:rsidR="00CF1412" w:rsidRPr="00743CAD">
        <w:rPr>
          <w:rFonts w:cs="TimesNewRomanPS-BoldItalicMT"/>
          <w:bCs/>
          <w:iCs/>
          <w:szCs w:val="20"/>
        </w:rPr>
        <w:t>e</w:t>
      </w:r>
      <w:r w:rsidR="00B409F3" w:rsidRPr="00743CAD">
        <w:rPr>
          <w:rFonts w:cs="TimesNewRomanPS-BoldItalicMT"/>
          <w:bCs/>
          <w:iCs/>
          <w:szCs w:val="20"/>
        </w:rPr>
        <w:t>k podejścia.</w:t>
      </w:r>
    </w:p>
    <w:p w14:paraId="651D31C9" w14:textId="7B8BE3C3" w:rsidR="00B409F3" w:rsidRPr="000D6AE7" w:rsidRDefault="00CF1412" w:rsidP="00B409F3">
      <w:pPr>
        <w:tabs>
          <w:tab w:val="left" w:pos="567"/>
        </w:tabs>
        <w:autoSpaceDE w:val="0"/>
        <w:autoSpaceDN w:val="0"/>
        <w:adjustRightInd w:val="0"/>
        <w:ind w:left="567" w:hanging="567"/>
        <w:rPr>
          <w:rFonts w:cs="TimesNewRomanPS-BoldItalicMT"/>
          <w:bCs/>
          <w:iCs/>
          <w:szCs w:val="20"/>
        </w:rPr>
      </w:pPr>
      <w:r w:rsidRPr="000D6AE7">
        <w:rPr>
          <w:rFonts w:cs="TimesNewRomanPS-BoldItalicMT"/>
          <w:bCs/>
          <w:iCs/>
          <w:szCs w:val="20"/>
        </w:rPr>
        <w:t xml:space="preserve">(b) </w:t>
      </w:r>
      <w:r w:rsidRPr="000D6AE7">
        <w:rPr>
          <w:rFonts w:cs="TimesNewRomanPS-BoldItalicMT"/>
          <w:bCs/>
          <w:iCs/>
          <w:szCs w:val="20"/>
        </w:rPr>
        <w:tab/>
      </w:r>
      <w:r w:rsidR="00B409F3" w:rsidRPr="000D6AE7">
        <w:rPr>
          <w:rFonts w:cs="TimesNewRomanPS-BoldItalicMT"/>
          <w:bCs/>
          <w:iCs/>
          <w:szCs w:val="20"/>
        </w:rPr>
        <w:t>Lokalizacja</w:t>
      </w:r>
      <w:r w:rsidRPr="000D6AE7">
        <w:rPr>
          <w:rFonts w:cs="TimesNewRomanPS-BoldItalicMT"/>
          <w:bCs/>
          <w:iCs/>
          <w:szCs w:val="20"/>
        </w:rPr>
        <w:t xml:space="preserve">: </w:t>
      </w:r>
      <w:r w:rsidR="00B409F3" w:rsidRPr="000D6AE7">
        <w:rPr>
          <w:rFonts w:cs="TimesNewRomanPS-BoldItalicMT"/>
          <w:bCs/>
          <w:iCs/>
          <w:szCs w:val="20"/>
        </w:rPr>
        <w:t>System świateł podejścia powinien być zainstalowany w linii prostej wzdłuż preferowanego kierunku podejścia.</w:t>
      </w:r>
    </w:p>
    <w:p w14:paraId="2C0BD1D9" w14:textId="1F245F6C" w:rsidR="00B409F3" w:rsidRPr="000D6AE7" w:rsidRDefault="00CF1412" w:rsidP="00B409F3">
      <w:pPr>
        <w:tabs>
          <w:tab w:val="left" w:pos="567"/>
        </w:tabs>
        <w:autoSpaceDE w:val="0"/>
        <w:autoSpaceDN w:val="0"/>
        <w:adjustRightInd w:val="0"/>
        <w:ind w:left="567" w:hanging="567"/>
        <w:rPr>
          <w:rFonts w:cs="TimesNewRomanPS-BoldItalicMT"/>
          <w:bCs/>
          <w:iCs/>
          <w:szCs w:val="20"/>
        </w:rPr>
      </w:pPr>
      <w:r w:rsidRPr="000D6AE7">
        <w:rPr>
          <w:rFonts w:cs="TimesNewRomanPS-BoldItalicMT"/>
          <w:bCs/>
          <w:iCs/>
          <w:szCs w:val="20"/>
        </w:rPr>
        <w:t xml:space="preserve">(c) </w:t>
      </w:r>
      <w:r w:rsidRPr="000D6AE7">
        <w:rPr>
          <w:rFonts w:cs="TimesNewRomanPS-BoldItalicMT"/>
          <w:bCs/>
          <w:iCs/>
          <w:szCs w:val="20"/>
        </w:rPr>
        <w:tab/>
      </w:r>
      <w:r w:rsidR="00B409F3" w:rsidRPr="000D6AE7">
        <w:rPr>
          <w:rFonts w:cs="TimesNewRomanPS-BoldItalicMT"/>
          <w:bCs/>
          <w:iCs/>
          <w:szCs w:val="20"/>
        </w:rPr>
        <w:t>Charakterystyka</w:t>
      </w:r>
      <w:r w:rsidRPr="000D6AE7">
        <w:rPr>
          <w:rFonts w:cs="TimesNewRomanPS-BoldItalicMT"/>
          <w:bCs/>
          <w:iCs/>
          <w:szCs w:val="20"/>
        </w:rPr>
        <w:t>:</w:t>
      </w:r>
    </w:p>
    <w:p w14:paraId="219FDD15" w14:textId="21902552" w:rsidR="000D6AE7" w:rsidRPr="00F50ACE" w:rsidRDefault="00CF1412" w:rsidP="000D6AE7">
      <w:pPr>
        <w:tabs>
          <w:tab w:val="left" w:pos="1134"/>
        </w:tabs>
        <w:autoSpaceDE w:val="0"/>
        <w:autoSpaceDN w:val="0"/>
        <w:adjustRightInd w:val="0"/>
        <w:ind w:left="1134" w:hanging="567"/>
        <w:rPr>
          <w:rFonts w:cs="TimesNewRomanPS-BoldItalicMT"/>
          <w:bCs/>
          <w:iCs/>
          <w:szCs w:val="20"/>
        </w:rPr>
      </w:pPr>
      <w:r w:rsidRPr="000D6AE7">
        <w:rPr>
          <w:rFonts w:cs="TimesNewRomanPS-BoldItalicMT"/>
          <w:bCs/>
          <w:iCs/>
          <w:szCs w:val="20"/>
        </w:rPr>
        <w:t xml:space="preserve">(1) </w:t>
      </w:r>
      <w:r w:rsidRPr="000D6AE7">
        <w:rPr>
          <w:rFonts w:cs="TimesNewRomanPS-BoldItalicMT"/>
          <w:bCs/>
          <w:iCs/>
          <w:szCs w:val="20"/>
        </w:rPr>
        <w:tab/>
      </w:r>
      <w:r w:rsidR="00B409F3" w:rsidRPr="000D6AE7">
        <w:rPr>
          <w:rFonts w:cs="TimesNewRomanPS-BoldItalicMT"/>
          <w:bCs/>
          <w:iCs/>
          <w:szCs w:val="20"/>
        </w:rPr>
        <w:t xml:space="preserve">System świateł podejścia powinien składać się z rzędu trzech świateł </w:t>
      </w:r>
      <w:r w:rsidR="00793383" w:rsidRPr="000D6AE7">
        <w:rPr>
          <w:rFonts w:cs="TimesNewRomanPS-BoldItalicMT"/>
          <w:bCs/>
          <w:iCs/>
          <w:szCs w:val="20"/>
        </w:rPr>
        <w:t xml:space="preserve">rozmieszczonych </w:t>
      </w:r>
      <w:r w:rsidR="00B409F3" w:rsidRPr="000D6AE7">
        <w:rPr>
          <w:rFonts w:cs="TimesNewRomanPS-BoldItalicMT"/>
          <w:bCs/>
          <w:iCs/>
          <w:szCs w:val="20"/>
        </w:rPr>
        <w:t xml:space="preserve">równomiernie w odstępach 30 m </w:t>
      </w:r>
      <w:r w:rsidR="00793383" w:rsidRPr="000D6AE7">
        <w:rPr>
          <w:rFonts w:cs="TimesNewRomanPS-BoldItalicMT"/>
          <w:bCs/>
          <w:iCs/>
          <w:szCs w:val="20"/>
        </w:rPr>
        <w:t xml:space="preserve">oraz </w:t>
      </w:r>
      <w:r w:rsidR="00F50ACE">
        <w:rPr>
          <w:rFonts w:cs="TimesNewRomanPS-BoldItalicMT"/>
          <w:bCs/>
          <w:iCs/>
          <w:szCs w:val="20"/>
        </w:rPr>
        <w:t xml:space="preserve">z </w:t>
      </w:r>
      <w:r w:rsidR="00B409F3" w:rsidRPr="000D6AE7">
        <w:rPr>
          <w:rFonts w:cs="TimesNewRomanPS-BoldItalicMT"/>
          <w:bCs/>
          <w:iCs/>
          <w:szCs w:val="20"/>
        </w:rPr>
        <w:t>poprzeczk</w:t>
      </w:r>
      <w:r w:rsidR="00793383" w:rsidRPr="000D6AE7">
        <w:rPr>
          <w:rFonts w:cs="TimesNewRomanPS-BoldItalicMT"/>
          <w:bCs/>
          <w:iCs/>
          <w:szCs w:val="20"/>
        </w:rPr>
        <w:t xml:space="preserve">i </w:t>
      </w:r>
      <w:r w:rsidR="00793383" w:rsidRPr="000D6AE7">
        <w:rPr>
          <w:rFonts w:cs="TimesNewRomanPS-BoldItalicMT"/>
          <w:bCs/>
          <w:i/>
          <w:iCs/>
          <w:szCs w:val="20"/>
        </w:rPr>
        <w:t>(crossbar)</w:t>
      </w:r>
      <w:r w:rsidR="00B409F3" w:rsidRPr="000D6AE7">
        <w:rPr>
          <w:rFonts w:cs="TimesNewRomanPS-BoldItalicMT"/>
          <w:bCs/>
          <w:iCs/>
          <w:szCs w:val="20"/>
        </w:rPr>
        <w:t xml:space="preserve"> </w:t>
      </w:r>
      <w:r w:rsidR="000D6AE7" w:rsidRPr="000D6AE7">
        <w:rPr>
          <w:rFonts w:cs="TimesNewRomanPS-BoldItalicMT"/>
          <w:bCs/>
          <w:iCs/>
          <w:szCs w:val="20"/>
        </w:rPr>
        <w:t>o</w:t>
      </w:r>
      <w:r w:rsidR="00DD79BF">
        <w:rPr>
          <w:rFonts w:cs="TimesNewRomanPS-BoldItalicMT"/>
          <w:bCs/>
          <w:iCs/>
          <w:szCs w:val="20"/>
        </w:rPr>
        <w:t xml:space="preserve"> długości 18 m w </w:t>
      </w:r>
      <w:r w:rsidR="00B409F3" w:rsidRPr="000D6AE7">
        <w:rPr>
          <w:rFonts w:cs="TimesNewRomanPS-BoldItalicMT"/>
          <w:bCs/>
          <w:iCs/>
          <w:szCs w:val="20"/>
        </w:rPr>
        <w:t xml:space="preserve">odległości 90 m </w:t>
      </w:r>
      <w:r w:rsidR="00F50ACE">
        <w:rPr>
          <w:rFonts w:cs="TimesNewRomanPS-BoldItalicMT"/>
          <w:bCs/>
          <w:iCs/>
          <w:szCs w:val="20"/>
        </w:rPr>
        <w:t xml:space="preserve">od </w:t>
      </w:r>
      <w:r w:rsidR="000D6AE7" w:rsidRPr="000D6AE7">
        <w:rPr>
          <w:rFonts w:cs="TimesNewRomanPS-BoldItalicMT"/>
          <w:bCs/>
          <w:iCs/>
          <w:szCs w:val="20"/>
        </w:rPr>
        <w:t>obwodu</w:t>
      </w:r>
      <w:r w:rsidR="00B409F3" w:rsidRPr="000D6AE7">
        <w:rPr>
          <w:rFonts w:cs="TimesNewRomanPS-BoldItalicMT"/>
          <w:bCs/>
          <w:iCs/>
          <w:szCs w:val="20"/>
        </w:rPr>
        <w:t xml:space="preserve"> strefy FATO, tak jak pokazano na Rysunku </w:t>
      </w:r>
      <w:r w:rsidR="00793383" w:rsidRPr="000D6AE7">
        <w:rPr>
          <w:rFonts w:cs="TimesNewRomanPS-BoldItalicMT"/>
          <w:bCs/>
          <w:iCs/>
          <w:szCs w:val="20"/>
        </w:rPr>
        <w:t>F-7</w:t>
      </w:r>
      <w:r w:rsidR="00B409F3" w:rsidRPr="000D6AE7">
        <w:rPr>
          <w:rFonts w:cs="TimesNewRomanPS-BoldItalicMT"/>
          <w:bCs/>
          <w:iCs/>
          <w:szCs w:val="20"/>
        </w:rPr>
        <w:t xml:space="preserve">. </w:t>
      </w:r>
      <w:r w:rsidR="000D6AE7" w:rsidRPr="000D6AE7">
        <w:rPr>
          <w:rFonts w:cs="TimesNewRomanPS-BoldItalicMT"/>
          <w:bCs/>
          <w:iCs/>
          <w:szCs w:val="20"/>
        </w:rPr>
        <w:t xml:space="preserve">Światła tworzące poprzeczkę </w:t>
      </w:r>
      <w:r w:rsidR="00F50ACE" w:rsidRPr="00F50ACE">
        <w:rPr>
          <w:rFonts w:cs="TimesNewRomanPS-BoldItalicMT"/>
          <w:bCs/>
          <w:i/>
          <w:iCs/>
          <w:szCs w:val="20"/>
        </w:rPr>
        <w:t>(crossbar)</w:t>
      </w:r>
      <w:r w:rsidR="00F50ACE" w:rsidRPr="00F50ACE">
        <w:rPr>
          <w:rFonts w:cs="TimesNewRomanPS-BoldItalicMT"/>
          <w:bCs/>
          <w:iCs/>
          <w:szCs w:val="20"/>
        </w:rPr>
        <w:t xml:space="preserve"> </w:t>
      </w:r>
      <w:r w:rsidR="000D6AE7" w:rsidRPr="000D6AE7">
        <w:rPr>
          <w:rFonts w:cs="TimesNewRomanPS-BoldItalicMT"/>
          <w:bCs/>
          <w:iCs/>
          <w:szCs w:val="20"/>
        </w:rPr>
        <w:t xml:space="preserve">powinny być tak blisko, jak to praktycznie możliwe, w poziomej linii prostej pod kątem prostym do </w:t>
      </w:r>
      <w:r w:rsidR="00DD79BF">
        <w:rPr>
          <w:rFonts w:cs="TimesNewRomanPS-BoldItalicMT"/>
          <w:bCs/>
          <w:iCs/>
          <w:szCs w:val="20"/>
        </w:rPr>
        <w:t>linii</w:t>
      </w:r>
      <w:r w:rsidR="00F50ACE" w:rsidRPr="000D6AE7">
        <w:rPr>
          <w:rFonts w:cs="TimesNewRomanPS-BoldItalicMT"/>
          <w:bCs/>
          <w:iCs/>
          <w:szCs w:val="20"/>
        </w:rPr>
        <w:t xml:space="preserve"> świateł linii środkowej</w:t>
      </w:r>
      <w:r w:rsidR="00F50ACE">
        <w:rPr>
          <w:rFonts w:cs="TimesNewRomanPS-BoldItalicMT"/>
          <w:bCs/>
          <w:iCs/>
          <w:szCs w:val="20"/>
        </w:rPr>
        <w:t>,</w:t>
      </w:r>
      <w:r w:rsidR="00F50ACE" w:rsidRPr="000D6AE7">
        <w:rPr>
          <w:rFonts w:cs="TimesNewRomanPS-BoldItalicMT"/>
          <w:bCs/>
          <w:iCs/>
          <w:szCs w:val="20"/>
        </w:rPr>
        <w:t xml:space="preserve"> </w:t>
      </w:r>
      <w:r w:rsidR="000D6AE7" w:rsidRPr="000D6AE7">
        <w:rPr>
          <w:rFonts w:cs="TimesNewRomanPS-BoldItalicMT"/>
          <w:bCs/>
          <w:iCs/>
          <w:szCs w:val="20"/>
        </w:rPr>
        <w:t>przeci</w:t>
      </w:r>
      <w:r w:rsidR="00DD79BF">
        <w:rPr>
          <w:rFonts w:cs="TimesNewRomanPS-BoldItalicMT"/>
          <w:bCs/>
          <w:iCs/>
          <w:szCs w:val="20"/>
        </w:rPr>
        <w:t>ęte</w:t>
      </w:r>
      <w:r w:rsidR="000D6AE7" w:rsidRPr="000D6AE7">
        <w:rPr>
          <w:rFonts w:cs="TimesNewRomanPS-BoldItalicMT"/>
          <w:bCs/>
          <w:iCs/>
          <w:szCs w:val="20"/>
        </w:rPr>
        <w:t xml:space="preserve"> przez</w:t>
      </w:r>
      <w:r w:rsidR="00DD79BF">
        <w:rPr>
          <w:rFonts w:cs="TimesNewRomanPS-BoldItalicMT"/>
          <w:bCs/>
          <w:iCs/>
          <w:szCs w:val="20"/>
        </w:rPr>
        <w:t xml:space="preserve"> tą linię, i </w:t>
      </w:r>
      <w:r w:rsidR="000D6AE7" w:rsidRPr="000D6AE7">
        <w:rPr>
          <w:rFonts w:cs="TimesNewRomanPS-BoldItalicMT"/>
          <w:bCs/>
          <w:iCs/>
          <w:szCs w:val="20"/>
        </w:rPr>
        <w:t>rozmieszczone w odstępach 4,5 m</w:t>
      </w:r>
      <w:r w:rsidR="000D6AE7" w:rsidRPr="00F50ACE">
        <w:rPr>
          <w:rFonts w:cs="TimesNewRomanPS-BoldItalicMT"/>
          <w:bCs/>
          <w:iCs/>
          <w:szCs w:val="20"/>
        </w:rPr>
        <w:t>.</w:t>
      </w:r>
    </w:p>
    <w:p w14:paraId="22840F5E" w14:textId="2DFF682C" w:rsidR="00CF1412" w:rsidRPr="009964F1" w:rsidRDefault="00CF1412" w:rsidP="00CF1412">
      <w:pPr>
        <w:tabs>
          <w:tab w:val="left" w:pos="1134"/>
        </w:tabs>
        <w:autoSpaceDE w:val="0"/>
        <w:autoSpaceDN w:val="0"/>
        <w:adjustRightInd w:val="0"/>
        <w:ind w:left="1134" w:hanging="567"/>
        <w:rPr>
          <w:rFonts w:cs="TimesNewRomanPS-BoldItalicMT"/>
          <w:bCs/>
          <w:iCs/>
          <w:szCs w:val="20"/>
        </w:rPr>
      </w:pPr>
      <w:r w:rsidRPr="009964F1">
        <w:rPr>
          <w:rFonts w:cs="TimesNewRomanPS-BoldItalicMT"/>
          <w:bCs/>
          <w:iCs/>
          <w:szCs w:val="20"/>
        </w:rPr>
        <w:t xml:space="preserve">(2) </w:t>
      </w:r>
      <w:r w:rsidRPr="009964F1">
        <w:rPr>
          <w:rFonts w:cs="TimesNewRomanPS-BoldItalicMT"/>
          <w:bCs/>
          <w:iCs/>
          <w:szCs w:val="20"/>
        </w:rPr>
        <w:tab/>
      </w:r>
      <w:r w:rsidR="00B409F3" w:rsidRPr="009964F1">
        <w:rPr>
          <w:rFonts w:cs="TimesNewRomanPS-BoldItalicMT"/>
          <w:bCs/>
          <w:iCs/>
          <w:szCs w:val="20"/>
        </w:rPr>
        <w:t>Jeśli istnieje potrzeba wskazania kierunku podejścia końcowego w</w:t>
      </w:r>
      <w:r w:rsidR="00DD79BF">
        <w:rPr>
          <w:rFonts w:cs="TimesNewRomanPS-BoldItalicMT"/>
          <w:bCs/>
          <w:iCs/>
          <w:szCs w:val="20"/>
        </w:rPr>
        <w:t xml:space="preserve"> </w:t>
      </w:r>
      <w:r w:rsidR="00B409F3" w:rsidRPr="009964F1">
        <w:rPr>
          <w:rFonts w:cs="TimesNewRomanPS-BoldItalicMT"/>
          <w:bCs/>
          <w:iCs/>
          <w:szCs w:val="20"/>
        </w:rPr>
        <w:t xml:space="preserve">bardziej wyrazisty sposób, </w:t>
      </w:r>
      <w:r w:rsidR="000D6AE7" w:rsidRPr="009964F1">
        <w:rPr>
          <w:rFonts w:cs="TimesNewRomanPS-BoldItalicMT"/>
          <w:bCs/>
          <w:iCs/>
          <w:szCs w:val="20"/>
        </w:rPr>
        <w:t>należy</w:t>
      </w:r>
      <w:r w:rsidR="00B409F3" w:rsidRPr="009964F1">
        <w:rPr>
          <w:rFonts w:cs="TimesNewRomanPS-BoldItalicMT"/>
          <w:bCs/>
          <w:iCs/>
          <w:szCs w:val="20"/>
        </w:rPr>
        <w:t xml:space="preserve"> zainstalować dodatkowe światła</w:t>
      </w:r>
      <w:r w:rsidR="00CA17A3" w:rsidRPr="009964F1">
        <w:rPr>
          <w:rFonts w:cs="TimesNewRomanPS-BoldItalicMT"/>
          <w:bCs/>
          <w:iCs/>
          <w:szCs w:val="20"/>
        </w:rPr>
        <w:t xml:space="preserve"> poza poprzeczką</w:t>
      </w:r>
      <w:r w:rsidR="00B409F3" w:rsidRPr="009964F1">
        <w:rPr>
          <w:rFonts w:cs="TimesNewRomanPS-BoldItalicMT"/>
          <w:bCs/>
          <w:iCs/>
          <w:szCs w:val="20"/>
        </w:rPr>
        <w:t xml:space="preserve">, rozstawione co 30 m. Światła poza poprzeczką mogą świecić światłem stałym lub </w:t>
      </w:r>
      <w:r w:rsidR="00CA17A3" w:rsidRPr="009964F1">
        <w:rPr>
          <w:rFonts w:cs="TimesNewRomanPS-BoldItalicMT"/>
          <w:bCs/>
          <w:iCs/>
          <w:szCs w:val="20"/>
        </w:rPr>
        <w:t xml:space="preserve">sekwencyjnymi </w:t>
      </w:r>
      <w:r w:rsidR="00B409F3" w:rsidRPr="009964F1">
        <w:rPr>
          <w:rFonts w:cs="TimesNewRomanPS-BoldItalicMT"/>
          <w:bCs/>
          <w:iCs/>
          <w:szCs w:val="20"/>
        </w:rPr>
        <w:t>błyskami zależnie od warunków środowiskowych.</w:t>
      </w:r>
    </w:p>
    <w:p w14:paraId="0B3409F4" w14:textId="015C1554" w:rsidR="00CF1412" w:rsidRPr="009964F1" w:rsidRDefault="00CF1412" w:rsidP="00CF1412">
      <w:pPr>
        <w:tabs>
          <w:tab w:val="left" w:pos="1134"/>
        </w:tabs>
        <w:autoSpaceDE w:val="0"/>
        <w:autoSpaceDN w:val="0"/>
        <w:adjustRightInd w:val="0"/>
        <w:ind w:left="1134" w:hanging="567"/>
        <w:rPr>
          <w:rFonts w:cs="TimesNewRomanPS-BoldItalicMT"/>
          <w:bCs/>
          <w:iCs/>
          <w:szCs w:val="20"/>
        </w:rPr>
      </w:pPr>
      <w:r w:rsidRPr="009964F1">
        <w:rPr>
          <w:rFonts w:cs="TimesNewRomanPS-BoldItalicMT"/>
          <w:bCs/>
          <w:iCs/>
          <w:szCs w:val="20"/>
        </w:rPr>
        <w:t xml:space="preserve">(3) </w:t>
      </w:r>
      <w:r w:rsidRPr="009964F1">
        <w:rPr>
          <w:rFonts w:cs="TimesNewRomanPS-BoldItalicMT"/>
          <w:bCs/>
          <w:iCs/>
          <w:szCs w:val="20"/>
        </w:rPr>
        <w:tab/>
      </w:r>
      <w:r w:rsidR="009964F1" w:rsidRPr="009964F1">
        <w:rPr>
          <w:rFonts w:cs="TimesNewRomanPS-BoldItalicMT"/>
          <w:bCs/>
          <w:iCs/>
          <w:szCs w:val="20"/>
        </w:rPr>
        <w:t>Ś</w:t>
      </w:r>
      <w:r w:rsidR="00B409F3" w:rsidRPr="009964F1">
        <w:rPr>
          <w:rFonts w:cs="TimesNewRomanPS-BoldItalicMT"/>
          <w:bCs/>
          <w:iCs/>
          <w:szCs w:val="20"/>
        </w:rPr>
        <w:t xml:space="preserve">wiatła </w:t>
      </w:r>
      <w:r w:rsidR="009964F1" w:rsidRPr="009964F1">
        <w:rPr>
          <w:rFonts w:cs="TimesNewRomanPS-BoldItalicMT"/>
          <w:bCs/>
          <w:iCs/>
          <w:szCs w:val="20"/>
        </w:rPr>
        <w:t>s</w:t>
      </w:r>
      <w:r w:rsidR="00CA17A3" w:rsidRPr="009964F1">
        <w:rPr>
          <w:rFonts w:cs="TimesNewRomanPS-BoldItalicMT"/>
          <w:bCs/>
          <w:iCs/>
          <w:szCs w:val="20"/>
        </w:rPr>
        <w:t xml:space="preserve">tałe </w:t>
      </w:r>
      <w:r w:rsidR="00B409F3" w:rsidRPr="009964F1">
        <w:rPr>
          <w:rFonts w:cs="TimesNewRomanPS-BoldItalicMT"/>
          <w:bCs/>
          <w:iCs/>
          <w:szCs w:val="20"/>
        </w:rPr>
        <w:t xml:space="preserve">powinny być białymi światłami </w:t>
      </w:r>
      <w:r w:rsidR="009964F1" w:rsidRPr="009964F1">
        <w:rPr>
          <w:rFonts w:cs="TimesNewRomanPS-BoldItalicMT"/>
          <w:bCs/>
          <w:iCs/>
          <w:szCs w:val="20"/>
        </w:rPr>
        <w:t>dookólnymi</w:t>
      </w:r>
      <w:r w:rsidR="00B409F3" w:rsidRPr="009964F1">
        <w:rPr>
          <w:rFonts w:cs="TimesNewRomanPS-BoldItalicMT"/>
          <w:bCs/>
          <w:iCs/>
          <w:szCs w:val="20"/>
        </w:rPr>
        <w:t>, widocznymi z</w:t>
      </w:r>
      <w:r w:rsidR="00995433" w:rsidRPr="009964F1">
        <w:rPr>
          <w:rFonts w:cs="TimesNewRomanPS-BoldItalicMT"/>
          <w:bCs/>
          <w:iCs/>
          <w:szCs w:val="20"/>
        </w:rPr>
        <w:t>e</w:t>
      </w:r>
      <w:r w:rsidR="00B409F3" w:rsidRPr="009964F1">
        <w:rPr>
          <w:rFonts w:cs="TimesNewRomanPS-BoldItalicMT"/>
          <w:bCs/>
          <w:iCs/>
          <w:szCs w:val="20"/>
        </w:rPr>
        <w:t xml:space="preserve"> wszystkich stron.</w:t>
      </w:r>
    </w:p>
    <w:p w14:paraId="4092F659" w14:textId="754F1EBD" w:rsidR="00B409F3" w:rsidRPr="009964F1" w:rsidRDefault="00CF1412" w:rsidP="00CF1412">
      <w:pPr>
        <w:tabs>
          <w:tab w:val="left" w:pos="1134"/>
        </w:tabs>
        <w:autoSpaceDE w:val="0"/>
        <w:autoSpaceDN w:val="0"/>
        <w:adjustRightInd w:val="0"/>
        <w:ind w:left="1134" w:hanging="567"/>
        <w:rPr>
          <w:rFonts w:cs="TimesNewRomanPS-BoldItalicMT"/>
          <w:bCs/>
          <w:iCs/>
          <w:szCs w:val="20"/>
        </w:rPr>
      </w:pPr>
      <w:r w:rsidRPr="009964F1">
        <w:rPr>
          <w:rFonts w:cs="TimesNewRomanPS-BoldItalicMT"/>
          <w:bCs/>
          <w:iCs/>
          <w:szCs w:val="20"/>
        </w:rPr>
        <w:t xml:space="preserve">(4) </w:t>
      </w:r>
      <w:r w:rsidRPr="009964F1">
        <w:rPr>
          <w:rFonts w:cs="TimesNewRomanPS-BoldItalicMT"/>
          <w:bCs/>
          <w:iCs/>
          <w:szCs w:val="20"/>
        </w:rPr>
        <w:tab/>
      </w:r>
      <w:r w:rsidR="00B409F3" w:rsidRPr="009964F1">
        <w:rPr>
          <w:rFonts w:cs="TimesNewRomanPS-BoldItalicMT"/>
          <w:bCs/>
          <w:iCs/>
          <w:szCs w:val="20"/>
        </w:rPr>
        <w:t xml:space="preserve">Sekwencyjne światła błyskowe powinny być białymi światłami </w:t>
      </w:r>
      <w:r w:rsidR="009964F1" w:rsidRPr="009964F1">
        <w:rPr>
          <w:rFonts w:cs="TimesNewRomanPS-BoldItalicMT"/>
          <w:bCs/>
          <w:iCs/>
          <w:szCs w:val="20"/>
        </w:rPr>
        <w:t>dookólnymi</w:t>
      </w:r>
      <w:r w:rsidR="00B409F3" w:rsidRPr="009964F1">
        <w:rPr>
          <w:rFonts w:cs="TimesNewRomanPS-BoldItalicMT"/>
          <w:bCs/>
          <w:iCs/>
          <w:szCs w:val="20"/>
        </w:rPr>
        <w:t>, widocznymi z</w:t>
      </w:r>
      <w:r w:rsidR="009964F1" w:rsidRPr="009964F1">
        <w:rPr>
          <w:rFonts w:cs="TimesNewRomanPS-BoldItalicMT"/>
          <w:bCs/>
          <w:iCs/>
          <w:szCs w:val="20"/>
        </w:rPr>
        <w:t>e</w:t>
      </w:r>
      <w:r w:rsidR="00B409F3" w:rsidRPr="009964F1">
        <w:rPr>
          <w:rFonts w:cs="TimesNewRomanPS-BoldItalicMT"/>
          <w:bCs/>
          <w:iCs/>
          <w:szCs w:val="20"/>
        </w:rPr>
        <w:t xml:space="preserve"> wszystkich stron.</w:t>
      </w:r>
    </w:p>
    <w:p w14:paraId="610182B5" w14:textId="200D942E" w:rsidR="00B409F3" w:rsidRPr="009964F1" w:rsidRDefault="00CF1412" w:rsidP="00CF1412">
      <w:pPr>
        <w:tabs>
          <w:tab w:val="left" w:pos="1134"/>
        </w:tabs>
        <w:autoSpaceDE w:val="0"/>
        <w:autoSpaceDN w:val="0"/>
        <w:adjustRightInd w:val="0"/>
        <w:ind w:left="1134" w:hanging="567"/>
        <w:rPr>
          <w:rFonts w:cs="TimesNewRomanPS-BoldItalicMT"/>
          <w:bCs/>
          <w:iCs/>
          <w:szCs w:val="20"/>
        </w:rPr>
      </w:pPr>
      <w:r w:rsidRPr="009964F1">
        <w:rPr>
          <w:rFonts w:cs="TimesNewRomanPS-BoldItalicMT"/>
          <w:bCs/>
          <w:iCs/>
          <w:szCs w:val="20"/>
        </w:rPr>
        <w:t xml:space="preserve">(5) </w:t>
      </w:r>
      <w:r w:rsidRPr="009964F1">
        <w:rPr>
          <w:rFonts w:cs="TimesNewRomanPS-BoldItalicMT"/>
          <w:bCs/>
          <w:iCs/>
          <w:szCs w:val="20"/>
        </w:rPr>
        <w:tab/>
      </w:r>
      <w:r w:rsidR="00B409F3" w:rsidRPr="009964F1">
        <w:rPr>
          <w:rFonts w:cs="TimesNewRomanPS-BoldItalicMT"/>
          <w:bCs/>
          <w:iCs/>
          <w:szCs w:val="20"/>
        </w:rPr>
        <w:t xml:space="preserve">Światła błyskowe powinny mieć częstotliwość błysków </w:t>
      </w:r>
      <w:r w:rsidR="009964F1" w:rsidRPr="009964F1">
        <w:rPr>
          <w:rFonts w:cs="TimesNewRomanPS-BoldItalicMT"/>
          <w:bCs/>
          <w:iCs/>
          <w:szCs w:val="20"/>
        </w:rPr>
        <w:t xml:space="preserve">jednego </w:t>
      </w:r>
      <w:r w:rsidR="00B409F3" w:rsidRPr="009964F1">
        <w:rPr>
          <w:rFonts w:cs="TimesNewRomanPS-BoldItalicMT"/>
          <w:bCs/>
          <w:iCs/>
          <w:szCs w:val="20"/>
        </w:rPr>
        <w:t>raz</w:t>
      </w:r>
      <w:r w:rsidR="009964F1" w:rsidRPr="009964F1">
        <w:rPr>
          <w:rFonts w:cs="TimesNewRomanPS-BoldItalicMT"/>
          <w:bCs/>
          <w:iCs/>
          <w:szCs w:val="20"/>
        </w:rPr>
        <w:t>a</w:t>
      </w:r>
      <w:r w:rsidR="00B409F3" w:rsidRPr="009964F1">
        <w:rPr>
          <w:rFonts w:cs="TimesNewRomanPS-BoldItalicMT"/>
          <w:bCs/>
          <w:iCs/>
          <w:szCs w:val="20"/>
        </w:rPr>
        <w:t xml:space="preserve"> na sekundę, a</w:t>
      </w:r>
      <w:r w:rsidR="00EA7679" w:rsidRPr="009964F1">
        <w:rPr>
          <w:rFonts w:cs="TimesNewRomanPS-BoldItalicMT"/>
          <w:bCs/>
          <w:iCs/>
          <w:szCs w:val="20"/>
        </w:rPr>
        <w:t xml:space="preserve"> </w:t>
      </w:r>
      <w:r w:rsidR="00B409F3" w:rsidRPr="009964F1">
        <w:rPr>
          <w:rFonts w:cs="TimesNewRomanPS-BoldItalicMT"/>
          <w:bCs/>
          <w:iCs/>
          <w:szCs w:val="20"/>
        </w:rPr>
        <w:t xml:space="preserve">rozkład ich światła powinien wyglądać tak, jak pokazano na Rysunku </w:t>
      </w:r>
      <w:r w:rsidRPr="009964F1">
        <w:rPr>
          <w:rFonts w:cs="TimesNewRomanPS-BoldItalicMT"/>
          <w:bCs/>
          <w:iCs/>
          <w:szCs w:val="20"/>
        </w:rPr>
        <w:t>F-9,</w:t>
      </w:r>
      <w:r w:rsidR="00B409F3" w:rsidRPr="009964F1">
        <w:rPr>
          <w:rFonts w:cs="TimesNewRomanPS-BoldItalicMT"/>
          <w:bCs/>
          <w:iCs/>
          <w:szCs w:val="20"/>
        </w:rPr>
        <w:t xml:space="preserve"> ilustracja 3. Kolejność błysków powinna zaczynać się od świateł najdalszych i postępować w stronę poprzeczki.</w:t>
      </w:r>
    </w:p>
    <w:p w14:paraId="15327C09" w14:textId="50254A65" w:rsidR="00CF1412" w:rsidRPr="00F50ACE" w:rsidRDefault="00CF1412" w:rsidP="00C07842">
      <w:pPr>
        <w:tabs>
          <w:tab w:val="left" w:pos="1134"/>
        </w:tabs>
        <w:autoSpaceDE w:val="0"/>
        <w:autoSpaceDN w:val="0"/>
        <w:adjustRightInd w:val="0"/>
        <w:spacing w:after="0"/>
        <w:ind w:left="1134" w:hanging="567"/>
        <w:rPr>
          <w:rFonts w:cs="TimesNewRomanPS-BoldItalicMT"/>
          <w:bCs/>
          <w:iCs/>
          <w:szCs w:val="20"/>
        </w:rPr>
      </w:pPr>
      <w:r w:rsidRPr="00F50ACE">
        <w:rPr>
          <w:rFonts w:cs="TimesNewRomanPS-BoldItalicMT"/>
          <w:bCs/>
          <w:iCs/>
          <w:szCs w:val="20"/>
        </w:rPr>
        <w:t xml:space="preserve">(6) </w:t>
      </w:r>
      <w:r w:rsidRPr="00F50ACE">
        <w:rPr>
          <w:rFonts w:cs="TimesNewRomanPS-BoldItalicMT"/>
          <w:bCs/>
          <w:iCs/>
          <w:szCs w:val="20"/>
        </w:rPr>
        <w:tab/>
        <w:t>Należy zastosować odpowiednią regulację jasności, aby umożliwić regulację natężenia światła w celu dostosowania do panujących warunków.</w:t>
      </w:r>
    </w:p>
    <w:p w14:paraId="41A3E0A1" w14:textId="77777777" w:rsidR="00CF1412" w:rsidRPr="00F50ACE" w:rsidRDefault="00CF1412" w:rsidP="00C07842">
      <w:pPr>
        <w:tabs>
          <w:tab w:val="left" w:pos="1134"/>
        </w:tabs>
        <w:autoSpaceDE w:val="0"/>
        <w:autoSpaceDN w:val="0"/>
        <w:adjustRightInd w:val="0"/>
        <w:spacing w:after="0"/>
        <w:ind w:left="1134" w:hanging="567"/>
        <w:rPr>
          <w:rFonts w:cs="TimesNewRomanPS-BoldItalicMT"/>
          <w:bCs/>
          <w:iCs/>
          <w:szCs w:val="20"/>
        </w:rPr>
      </w:pPr>
    </w:p>
    <w:p w14:paraId="451FA353" w14:textId="77777777" w:rsidR="00CF1412" w:rsidRPr="00900AA5" w:rsidRDefault="00CF1412" w:rsidP="00C07842">
      <w:pPr>
        <w:spacing w:after="0"/>
        <w:jc w:val="center"/>
      </w:pPr>
      <w:r w:rsidRPr="00900AA5">
        <w:rPr>
          <w:noProof/>
          <w:lang w:eastAsia="pl-PL"/>
        </w:rPr>
        <w:drawing>
          <wp:inline distT="0" distB="0" distL="0" distR="0" wp14:anchorId="60F379C0" wp14:editId="7792A7C5">
            <wp:extent cx="5086985" cy="1905000"/>
            <wp:effectExtent l="0" t="0" r="0" b="0"/>
            <wp:docPr id="1443" name="Obraz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086985" cy="1905000"/>
                    </a:xfrm>
                    <a:prstGeom prst="rect">
                      <a:avLst/>
                    </a:prstGeom>
                    <a:noFill/>
                  </pic:spPr>
                </pic:pic>
              </a:graphicData>
            </a:graphic>
          </wp:inline>
        </w:drawing>
      </w:r>
    </w:p>
    <w:p w14:paraId="1BA0DCB3" w14:textId="7AF28686" w:rsidR="00133B99" w:rsidRPr="00E34FE4" w:rsidRDefault="00CF1412" w:rsidP="009964F1">
      <w:pPr>
        <w:tabs>
          <w:tab w:val="left" w:pos="567"/>
        </w:tabs>
        <w:autoSpaceDE w:val="0"/>
        <w:autoSpaceDN w:val="0"/>
        <w:adjustRightInd w:val="0"/>
        <w:spacing w:before="240" w:after="360"/>
        <w:ind w:left="567" w:hanging="567"/>
        <w:jc w:val="center"/>
        <w:rPr>
          <w:b/>
          <w:sz w:val="20"/>
          <w:szCs w:val="20"/>
        </w:rPr>
      </w:pPr>
      <w:r w:rsidRPr="00E34FE4">
        <w:rPr>
          <w:b/>
          <w:sz w:val="20"/>
          <w:szCs w:val="20"/>
        </w:rPr>
        <w:t>Rysunek F-7.   System świateł podejścia</w:t>
      </w:r>
    </w:p>
    <w:p w14:paraId="053F91C1" w14:textId="49E306F5" w:rsidR="00133B99" w:rsidRPr="009E064B" w:rsidRDefault="00133B99" w:rsidP="00133B99">
      <w:pPr>
        <w:pStyle w:val="Nagwek6"/>
      </w:pPr>
      <w:bookmarkStart w:id="1944" w:name="_Toc12533395"/>
      <w:r w:rsidRPr="009E064B">
        <w:t>GM1 HPT-DSN.</w:t>
      </w:r>
      <w:r>
        <w:t>F.630</w:t>
      </w:r>
      <w:r w:rsidRPr="009E064B">
        <w:t xml:space="preserve">     </w:t>
      </w:r>
      <w:r w:rsidRPr="00900AA5">
        <w:t>System świateł podejścia</w:t>
      </w:r>
      <w:bookmarkEnd w:id="1944"/>
      <w:r w:rsidRPr="00900AA5">
        <w:t xml:space="preserve"> </w:t>
      </w:r>
    </w:p>
    <w:p w14:paraId="72C73A9A" w14:textId="394E5A62"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186770F" w14:textId="00F2D467" w:rsidR="00B9664A" w:rsidRPr="009964F1" w:rsidRDefault="00C07842" w:rsidP="00C07842">
      <w:pPr>
        <w:tabs>
          <w:tab w:val="left" w:pos="567"/>
        </w:tabs>
        <w:autoSpaceDE w:val="0"/>
        <w:autoSpaceDN w:val="0"/>
        <w:adjustRightInd w:val="0"/>
        <w:ind w:left="567" w:hanging="567"/>
        <w:rPr>
          <w:rFonts w:cs="TimesNewRomanPS-BoldItalicMT"/>
          <w:bCs/>
          <w:iCs/>
          <w:szCs w:val="20"/>
        </w:rPr>
      </w:pPr>
      <w:r w:rsidRPr="009964F1">
        <w:rPr>
          <w:rFonts w:cs="TimesNewRomanPS-BoldItalicMT"/>
          <w:bCs/>
          <w:iCs/>
          <w:szCs w:val="20"/>
        </w:rPr>
        <w:t xml:space="preserve">Dodatkowe wskazówki dotyczące regulacji natężenia światła podano w </w:t>
      </w:r>
      <w:hyperlink w:anchor="_GM1_ADR-DSN.M.615_" w:history="1">
        <w:r w:rsidRPr="00BD1DB3">
          <w:rPr>
            <w:rStyle w:val="Hipercze"/>
            <w:rFonts w:cs="TimesNewRomanPS-BoldItalicMT"/>
            <w:bCs/>
            <w:iCs/>
            <w:szCs w:val="20"/>
          </w:rPr>
          <w:t>GM1 ADR-DSN.M.615</w:t>
        </w:r>
      </w:hyperlink>
      <w:r w:rsidRPr="009964F1">
        <w:rPr>
          <w:rFonts w:cs="TimesNewRomanPS-BoldItalicMT"/>
          <w:bCs/>
          <w:iCs/>
          <w:szCs w:val="20"/>
        </w:rPr>
        <w:t>.</w:t>
      </w:r>
    </w:p>
    <w:p w14:paraId="16F42013" w14:textId="77777777" w:rsidR="00B9664A" w:rsidRPr="00F50ACE" w:rsidRDefault="00B9664A">
      <w:pPr>
        <w:spacing w:after="0"/>
        <w:jc w:val="left"/>
        <w:rPr>
          <w:rFonts w:cs="TimesNewRomanPS-BoldItalicMT"/>
          <w:bCs/>
          <w:iCs/>
          <w:szCs w:val="20"/>
        </w:rPr>
      </w:pPr>
      <w:r>
        <w:rPr>
          <w:rFonts w:cs="TimesNewRomanPS-BoldItalicMT"/>
          <w:bCs/>
          <w:iCs/>
          <w:color w:val="0000FF"/>
          <w:szCs w:val="20"/>
        </w:rPr>
        <w:br w:type="page"/>
      </w:r>
    </w:p>
    <w:p w14:paraId="127F655C" w14:textId="00390FA2" w:rsidR="00133B99" w:rsidRPr="009E064B" w:rsidRDefault="00046E75" w:rsidP="00133B99">
      <w:pPr>
        <w:pStyle w:val="Nagwek4"/>
        <w:rPr>
          <w:color w:val="auto"/>
        </w:rPr>
      </w:pPr>
      <w:bookmarkStart w:id="1945" w:name="_Toc12533396"/>
      <w:r w:rsidRPr="00BD1DB3">
        <w:rPr>
          <w:color w:val="auto"/>
        </w:rPr>
        <w:t>CS HPT-DSN.F.64</w:t>
      </w:r>
      <w:r w:rsidR="00133B99" w:rsidRPr="00BD1DB3">
        <w:rPr>
          <w:color w:val="auto"/>
        </w:rPr>
        <w:t>0</w:t>
      </w:r>
      <w:r w:rsidR="00133B99" w:rsidRPr="00BD1DB3">
        <w:rPr>
          <w:b w:val="0"/>
          <w:bCs w:val="0"/>
          <w:color w:val="FFFFFF"/>
          <w:sz w:val="32"/>
          <w:szCs w:val="32"/>
        </w:rPr>
        <w:t xml:space="preserve">     </w:t>
      </w:r>
      <w:r w:rsidRPr="00BD1DB3">
        <w:t>System świateł naprowadzania na ścieżkę lotu</w:t>
      </w:r>
      <w:bookmarkEnd w:id="1945"/>
    </w:p>
    <w:p w14:paraId="3C60250E" w14:textId="6FACE161"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D26FFF4" w14:textId="071CD34B" w:rsidR="00C07842" w:rsidRPr="009964F1" w:rsidRDefault="00133B99" w:rsidP="00C07842">
      <w:pPr>
        <w:tabs>
          <w:tab w:val="left" w:pos="567"/>
        </w:tabs>
        <w:autoSpaceDE w:val="0"/>
        <w:autoSpaceDN w:val="0"/>
        <w:adjustRightInd w:val="0"/>
        <w:ind w:left="567" w:hanging="567"/>
        <w:rPr>
          <w:rFonts w:cs="TimesNewRomanPS-BoldItalicMT"/>
          <w:bCs/>
          <w:iCs/>
        </w:rPr>
      </w:pPr>
      <w:r w:rsidRPr="009964F1">
        <w:rPr>
          <w:rFonts w:cs="TimesNewRomanPS-BoldItalicMT"/>
          <w:bCs/>
          <w:iCs/>
          <w:szCs w:val="20"/>
        </w:rPr>
        <w:t>(a)</w:t>
      </w:r>
      <w:r w:rsidRPr="009964F1">
        <w:rPr>
          <w:rFonts w:cs="TimesNewRomanPS-BoldItalicMT"/>
          <w:bCs/>
          <w:iCs/>
          <w:szCs w:val="20"/>
        </w:rPr>
        <w:tab/>
      </w:r>
      <w:r w:rsidR="00C07842" w:rsidRPr="009964F1">
        <w:rPr>
          <w:rFonts w:cs="TimesNewRomanPS-BoldItalicMT"/>
          <w:bCs/>
          <w:iCs/>
        </w:rPr>
        <w:t xml:space="preserve">Zastosowanie: Jeżeli system </w:t>
      </w:r>
      <w:r w:rsidR="009964F1">
        <w:rPr>
          <w:rFonts w:cs="TimesNewRomanPS-BoldItalicMT"/>
          <w:bCs/>
          <w:iCs/>
        </w:rPr>
        <w:t xml:space="preserve">(systemy) </w:t>
      </w:r>
      <w:r w:rsidR="00C07842" w:rsidRPr="009964F1">
        <w:rPr>
          <w:rFonts w:cs="TimesNewRomanPS-BoldItalicMT"/>
          <w:bCs/>
          <w:iCs/>
        </w:rPr>
        <w:t>świateł naprowadzania na ścieżkę lotu jest zainstalowany na lotnisku dla śmigłowców to powinien wskazywać dostępny kierunku(ki) ścieżki podejścia i/lub odlotu.</w:t>
      </w:r>
    </w:p>
    <w:p w14:paraId="1478ADC7" w14:textId="1A9DB58B" w:rsidR="00C07842" w:rsidRPr="009964F1" w:rsidRDefault="0048476E" w:rsidP="00C07842">
      <w:pPr>
        <w:tabs>
          <w:tab w:val="left" w:pos="567"/>
        </w:tabs>
        <w:autoSpaceDE w:val="0"/>
        <w:autoSpaceDN w:val="0"/>
        <w:adjustRightInd w:val="0"/>
        <w:ind w:left="567" w:hanging="567"/>
        <w:rPr>
          <w:rFonts w:cs="TimesNewRomanPS-BoldItalicMT"/>
          <w:bCs/>
          <w:iCs/>
        </w:rPr>
      </w:pPr>
      <w:r w:rsidRPr="009964F1">
        <w:rPr>
          <w:rFonts w:cs="TimesNewRomanPS-BoldItalicMT"/>
          <w:bCs/>
          <w:iCs/>
        </w:rPr>
        <w:t xml:space="preserve">(b) </w:t>
      </w:r>
      <w:r w:rsidRPr="009964F1">
        <w:rPr>
          <w:rFonts w:cs="TimesNewRomanPS-BoldItalicMT"/>
          <w:bCs/>
          <w:iCs/>
        </w:rPr>
        <w:tab/>
      </w:r>
      <w:r w:rsidR="00C07842" w:rsidRPr="009964F1">
        <w:rPr>
          <w:rFonts w:cs="TimesNewRomanPS-BoldItalicMT"/>
          <w:bCs/>
          <w:iCs/>
        </w:rPr>
        <w:t>Lokalizacja</w:t>
      </w:r>
      <w:r w:rsidRPr="009964F1">
        <w:rPr>
          <w:rFonts w:cs="TimesNewRomanPS-BoldItalicMT"/>
          <w:bCs/>
          <w:iCs/>
        </w:rPr>
        <w:t>:</w:t>
      </w:r>
    </w:p>
    <w:p w14:paraId="74AF5699" w14:textId="4F2C7541" w:rsidR="00C07842" w:rsidRPr="009964F1" w:rsidRDefault="0048476E" w:rsidP="0048476E">
      <w:pPr>
        <w:tabs>
          <w:tab w:val="left" w:pos="1134"/>
        </w:tabs>
        <w:autoSpaceDE w:val="0"/>
        <w:autoSpaceDN w:val="0"/>
        <w:adjustRightInd w:val="0"/>
        <w:ind w:left="1134" w:hanging="567"/>
        <w:rPr>
          <w:rFonts w:cs="TimesNewRomanPS-BoldItalicMT"/>
          <w:bCs/>
          <w:iCs/>
        </w:rPr>
      </w:pPr>
      <w:r w:rsidRPr="009964F1">
        <w:rPr>
          <w:rFonts w:cs="TimesNewRomanPS-BoldItalicMT"/>
          <w:bCs/>
          <w:iCs/>
        </w:rPr>
        <w:t xml:space="preserve">(1) </w:t>
      </w:r>
      <w:r w:rsidRPr="009964F1">
        <w:rPr>
          <w:rFonts w:cs="TimesNewRomanPS-BoldItalicMT"/>
          <w:bCs/>
          <w:iCs/>
        </w:rPr>
        <w:tab/>
      </w:r>
      <w:r w:rsidR="00C07842" w:rsidRPr="009964F1">
        <w:rPr>
          <w:rFonts w:cs="TimesNewRomanPS-BoldItalicMT"/>
          <w:bCs/>
          <w:iCs/>
        </w:rPr>
        <w:t>System świateł naprowadzania na ścieżkę lotu powinien być w linii prostej biegnąc</w:t>
      </w:r>
      <w:r w:rsidRPr="009964F1">
        <w:rPr>
          <w:rFonts w:cs="TimesNewRomanPS-BoldItalicMT"/>
          <w:bCs/>
          <w:iCs/>
        </w:rPr>
        <w:t>ej</w:t>
      </w:r>
      <w:r w:rsidR="00C07842" w:rsidRPr="009964F1">
        <w:rPr>
          <w:rFonts w:cs="TimesNewRomanPS-BoldItalicMT"/>
          <w:bCs/>
          <w:iCs/>
        </w:rPr>
        <w:t xml:space="preserve"> wzdłuż kierunku ścieżki podejścia lub odlotu na jednej lub więcej stref TLOF, FATO, stref</w:t>
      </w:r>
      <w:r w:rsidRPr="009964F1">
        <w:rPr>
          <w:rFonts w:cs="TimesNewRomanPS-BoldItalicMT"/>
          <w:bCs/>
          <w:iCs/>
        </w:rPr>
        <w:t>y</w:t>
      </w:r>
      <w:r w:rsidR="00C07842" w:rsidRPr="009964F1">
        <w:rPr>
          <w:rFonts w:cs="TimesNewRomanPS-BoldItalicMT"/>
          <w:bCs/>
          <w:iCs/>
        </w:rPr>
        <w:t xml:space="preserve"> bezpieczeństwa lub każdej innej odpowiedniej powierzchni w bezpośrednim sąsiedztwie strefy FATO, TLOF lub strefy bezpieczeństwa.</w:t>
      </w:r>
    </w:p>
    <w:p w14:paraId="059A2B57" w14:textId="14C7C0FC" w:rsidR="00C07842" w:rsidRPr="009964F1" w:rsidRDefault="0048476E" w:rsidP="0048476E">
      <w:pPr>
        <w:tabs>
          <w:tab w:val="left" w:pos="1134"/>
        </w:tabs>
        <w:autoSpaceDE w:val="0"/>
        <w:autoSpaceDN w:val="0"/>
        <w:adjustRightInd w:val="0"/>
        <w:ind w:left="1134" w:hanging="567"/>
        <w:rPr>
          <w:rFonts w:cs="TimesNewRomanPS-BoldItalicMT"/>
          <w:bCs/>
          <w:iCs/>
        </w:rPr>
      </w:pPr>
      <w:r w:rsidRPr="009964F1">
        <w:rPr>
          <w:rFonts w:cs="TimesNewRomanPS-BoldItalicMT"/>
          <w:bCs/>
          <w:iCs/>
        </w:rPr>
        <w:t xml:space="preserve">(2) </w:t>
      </w:r>
      <w:r w:rsidRPr="009964F1">
        <w:rPr>
          <w:rFonts w:cs="TimesNewRomanPS-BoldItalicMT"/>
          <w:bCs/>
          <w:iCs/>
        </w:rPr>
        <w:tab/>
      </w:r>
      <w:r w:rsidR="009964F1" w:rsidRPr="009964F1">
        <w:rPr>
          <w:rFonts w:cs="TimesNewRomanPS-BoldItalicMT"/>
          <w:bCs/>
          <w:iCs/>
        </w:rPr>
        <w:t xml:space="preserve">Jeżeli światła są </w:t>
      </w:r>
      <w:r w:rsidR="00C07842" w:rsidRPr="009964F1">
        <w:rPr>
          <w:rFonts w:cs="TimesNewRomanPS-BoldItalicMT"/>
          <w:bCs/>
          <w:iCs/>
        </w:rPr>
        <w:t>połącz</w:t>
      </w:r>
      <w:r w:rsidR="009964F1" w:rsidRPr="009964F1">
        <w:rPr>
          <w:rFonts w:cs="TimesNewRomanPS-BoldItalicMT"/>
          <w:bCs/>
          <w:iCs/>
        </w:rPr>
        <w:t>one</w:t>
      </w:r>
      <w:r w:rsidR="00C07842" w:rsidRPr="009964F1">
        <w:rPr>
          <w:rFonts w:cs="TimesNewRomanPS-BoldItalicMT"/>
          <w:bCs/>
          <w:iCs/>
        </w:rPr>
        <w:t xml:space="preserve"> z oznakowaniem naprowadzania na ścieżkę lotu, </w:t>
      </w:r>
      <w:r w:rsidR="009964F1" w:rsidRPr="009964F1">
        <w:rPr>
          <w:rFonts w:cs="TimesNewRomanPS-BoldItalicMT"/>
          <w:bCs/>
          <w:iCs/>
        </w:rPr>
        <w:t xml:space="preserve">wtedy </w:t>
      </w:r>
      <w:r w:rsidR="00C07842" w:rsidRPr="009964F1">
        <w:rPr>
          <w:rFonts w:cs="TimesNewRomanPS-BoldItalicMT"/>
          <w:bCs/>
          <w:iCs/>
        </w:rPr>
        <w:t xml:space="preserve">na ile to możliwe, światła </w:t>
      </w:r>
      <w:r w:rsidR="009964F1" w:rsidRPr="009964F1">
        <w:rPr>
          <w:rFonts w:cs="TimesNewRomanPS-BoldItalicMT"/>
          <w:bCs/>
          <w:iCs/>
        </w:rPr>
        <w:t xml:space="preserve">te </w:t>
      </w:r>
      <w:r w:rsidR="00C07842" w:rsidRPr="009964F1">
        <w:rPr>
          <w:rFonts w:cs="TimesNewRomanPS-BoldItalicMT"/>
          <w:bCs/>
          <w:iCs/>
        </w:rPr>
        <w:t>powin</w:t>
      </w:r>
      <w:r w:rsidRPr="009964F1">
        <w:rPr>
          <w:rFonts w:cs="TimesNewRomanPS-BoldItalicMT"/>
          <w:bCs/>
          <w:iCs/>
        </w:rPr>
        <w:t>ny być umieszczone w oznakowaniu</w:t>
      </w:r>
      <w:r w:rsidR="00C07842" w:rsidRPr="009964F1">
        <w:rPr>
          <w:rFonts w:cs="TimesNewRomanPS-BoldItalicMT"/>
          <w:bCs/>
          <w:iCs/>
        </w:rPr>
        <w:t xml:space="preserve"> typu “strzałka”.</w:t>
      </w:r>
    </w:p>
    <w:p w14:paraId="067D508C" w14:textId="554FB72A" w:rsidR="00C07842" w:rsidRPr="009964F1" w:rsidRDefault="0048476E" w:rsidP="0048476E">
      <w:pPr>
        <w:tabs>
          <w:tab w:val="left" w:pos="567"/>
        </w:tabs>
        <w:autoSpaceDE w:val="0"/>
        <w:autoSpaceDN w:val="0"/>
        <w:adjustRightInd w:val="0"/>
        <w:ind w:left="567" w:hanging="567"/>
        <w:rPr>
          <w:rFonts w:cs="TimesNewRomanPS-BoldItalicMT"/>
          <w:bCs/>
          <w:iCs/>
        </w:rPr>
      </w:pPr>
      <w:r w:rsidRPr="009964F1">
        <w:rPr>
          <w:rFonts w:cs="TimesNewRomanPS-BoldItalicMT"/>
          <w:bCs/>
          <w:iCs/>
        </w:rPr>
        <w:t xml:space="preserve">(c) </w:t>
      </w:r>
      <w:r w:rsidRPr="009964F1">
        <w:rPr>
          <w:rFonts w:cs="TimesNewRomanPS-BoldItalicMT"/>
          <w:bCs/>
          <w:iCs/>
        </w:rPr>
        <w:tab/>
        <w:t>Charakterystyka:</w:t>
      </w:r>
    </w:p>
    <w:p w14:paraId="2228BBC7" w14:textId="3DE4EC45" w:rsidR="0048476E" w:rsidRPr="00C11C1B" w:rsidRDefault="0048476E" w:rsidP="0048476E">
      <w:pPr>
        <w:tabs>
          <w:tab w:val="left" w:pos="1134"/>
        </w:tabs>
        <w:autoSpaceDE w:val="0"/>
        <w:autoSpaceDN w:val="0"/>
        <w:adjustRightInd w:val="0"/>
        <w:ind w:left="1134" w:hanging="567"/>
        <w:rPr>
          <w:rFonts w:cs="TimesNewRomanPS-BoldItalicMT"/>
          <w:bCs/>
          <w:iCs/>
        </w:rPr>
      </w:pPr>
      <w:r w:rsidRPr="009964F1">
        <w:rPr>
          <w:rFonts w:cs="TimesNewRomanPS-BoldItalicMT"/>
          <w:bCs/>
          <w:iCs/>
        </w:rPr>
        <w:t xml:space="preserve">(1) </w:t>
      </w:r>
      <w:r w:rsidRPr="009964F1">
        <w:rPr>
          <w:rFonts w:cs="TimesNewRomanPS-BoldItalicMT"/>
          <w:bCs/>
          <w:iCs/>
        </w:rPr>
        <w:tab/>
      </w:r>
      <w:r w:rsidR="00C07842" w:rsidRPr="009964F1">
        <w:rPr>
          <w:rFonts w:cs="TimesNewRomanPS-BoldItalicMT"/>
          <w:bCs/>
          <w:iCs/>
        </w:rPr>
        <w:t xml:space="preserve">System świateł naprowadzania na ścieżkę lotu powinien składać się z rzędu trzech lub </w:t>
      </w:r>
      <w:r w:rsidR="00C07842" w:rsidRPr="00C11C1B">
        <w:rPr>
          <w:rFonts w:cs="TimesNewRomanPS-BoldItalicMT"/>
          <w:bCs/>
          <w:iCs/>
        </w:rPr>
        <w:t xml:space="preserve">więcej świateł rozmieszczonych </w:t>
      </w:r>
      <w:r w:rsidR="009964F1" w:rsidRPr="00C11C1B">
        <w:rPr>
          <w:rFonts w:cs="TimesNewRomanPS-BoldItalicMT"/>
          <w:bCs/>
          <w:iCs/>
        </w:rPr>
        <w:t xml:space="preserve">równomiernie na całkowitej długości </w:t>
      </w:r>
      <w:r w:rsidR="00C11C1B" w:rsidRPr="00C11C1B">
        <w:rPr>
          <w:rFonts w:cs="TimesNewRomanPS-BoldItalicMT"/>
          <w:bCs/>
          <w:iCs/>
        </w:rPr>
        <w:t>minimum 6 </w:t>
      </w:r>
      <w:r w:rsidR="009964F1" w:rsidRPr="00C11C1B">
        <w:rPr>
          <w:rFonts w:cs="TimesNewRomanPS-BoldItalicMT"/>
          <w:bCs/>
          <w:iCs/>
        </w:rPr>
        <w:t>m.</w:t>
      </w:r>
      <w:r w:rsidR="00C07842" w:rsidRPr="00C11C1B">
        <w:rPr>
          <w:rFonts w:cs="TimesNewRomanPS-BoldItalicMT"/>
          <w:bCs/>
          <w:iCs/>
        </w:rPr>
        <w:t xml:space="preserve"> Przerwy pomiędzy światłami nie powinny być mniejsze niż 1,5 m i nie większe niż 3 m.</w:t>
      </w:r>
    </w:p>
    <w:p w14:paraId="0C05290E" w14:textId="512FF208" w:rsidR="00EA7679" w:rsidRPr="00C11C1B" w:rsidRDefault="0048476E" w:rsidP="00EA7679">
      <w:pPr>
        <w:tabs>
          <w:tab w:val="left" w:pos="1134"/>
        </w:tabs>
        <w:autoSpaceDE w:val="0"/>
        <w:autoSpaceDN w:val="0"/>
        <w:adjustRightInd w:val="0"/>
        <w:ind w:left="1134" w:hanging="567"/>
        <w:rPr>
          <w:rFonts w:cs="TimesNewRomanPS-BoldItalicMT"/>
          <w:bCs/>
          <w:iCs/>
        </w:rPr>
      </w:pPr>
      <w:r w:rsidRPr="00C11C1B">
        <w:rPr>
          <w:rFonts w:cs="TimesNewRomanPS-BoldItalicMT"/>
          <w:bCs/>
          <w:iCs/>
        </w:rPr>
        <w:t xml:space="preserve">(2) </w:t>
      </w:r>
      <w:r w:rsidRPr="00C11C1B">
        <w:rPr>
          <w:rFonts w:cs="TimesNewRomanPS-BoldItalicMT"/>
          <w:bCs/>
          <w:iCs/>
        </w:rPr>
        <w:tab/>
      </w:r>
      <w:r w:rsidR="00C07842" w:rsidRPr="00C11C1B">
        <w:rPr>
          <w:rFonts w:cs="TimesNewRomanPS-BoldItalicMT"/>
          <w:bCs/>
          <w:iCs/>
        </w:rPr>
        <w:t xml:space="preserve">Jeżeli pozwala na to dostępna przestrzeń, </w:t>
      </w:r>
      <w:r w:rsidR="00EA7679" w:rsidRPr="00C11C1B">
        <w:rPr>
          <w:rFonts w:cs="TimesNewRomanPS-BoldItalicMT"/>
          <w:bCs/>
          <w:iCs/>
        </w:rPr>
        <w:t xml:space="preserve">powinno być </w:t>
      </w:r>
      <w:r w:rsidR="00C07842" w:rsidRPr="00C11C1B">
        <w:rPr>
          <w:rFonts w:cs="TimesNewRomanPS-BoldItalicMT"/>
          <w:bCs/>
          <w:iCs/>
        </w:rPr>
        <w:t xml:space="preserve">5 </w:t>
      </w:r>
      <w:r w:rsidR="00EA7679" w:rsidRPr="00C11C1B">
        <w:rPr>
          <w:rFonts w:cs="TimesNewRomanPS-BoldItalicMT"/>
          <w:bCs/>
          <w:iCs/>
        </w:rPr>
        <w:t>świateł</w:t>
      </w:r>
      <w:r w:rsidR="00C07842" w:rsidRPr="00C11C1B">
        <w:rPr>
          <w:rFonts w:cs="TimesNewRomanPS-BoldItalicMT"/>
          <w:bCs/>
          <w:iCs/>
        </w:rPr>
        <w:t xml:space="preserve">. Ilość świateł oraz odstępy pomiędzy nimi mogą być dostosowane dla odzwierciedlenia dostępnej przestrzeni. </w:t>
      </w:r>
    </w:p>
    <w:p w14:paraId="418CA733" w14:textId="63286C14" w:rsidR="00C07842" w:rsidRPr="00C11C1B" w:rsidRDefault="00EA7679" w:rsidP="00EA7679">
      <w:pPr>
        <w:tabs>
          <w:tab w:val="left" w:pos="1134"/>
        </w:tabs>
        <w:autoSpaceDE w:val="0"/>
        <w:autoSpaceDN w:val="0"/>
        <w:adjustRightInd w:val="0"/>
        <w:ind w:left="1134" w:hanging="567"/>
        <w:rPr>
          <w:rFonts w:cs="TimesNewRomanPS-BoldItalicMT"/>
          <w:bCs/>
          <w:iCs/>
        </w:rPr>
      </w:pPr>
      <w:r w:rsidRPr="00C11C1B">
        <w:rPr>
          <w:rFonts w:cs="TimesNewRomanPS-BoldItalicMT"/>
          <w:bCs/>
          <w:iCs/>
        </w:rPr>
        <w:t xml:space="preserve">(3) </w:t>
      </w:r>
      <w:r w:rsidRPr="00C11C1B">
        <w:rPr>
          <w:rFonts w:cs="TimesNewRomanPS-BoldItalicMT"/>
          <w:bCs/>
          <w:iCs/>
        </w:rPr>
        <w:tab/>
      </w:r>
      <w:r w:rsidR="00C07842" w:rsidRPr="00C11C1B">
        <w:rPr>
          <w:rFonts w:cs="TimesNewRomanPS-BoldItalicMT"/>
          <w:bCs/>
          <w:iCs/>
        </w:rPr>
        <w:t xml:space="preserve">Jeżeli wykorzystywany jest więcej niż jeden system naprowadzania na ścieżkę lotu dla wskazania dostępnych kierunków ścieżki podejścia i/lub odlotu, </w:t>
      </w:r>
      <w:r w:rsidR="00C11C1B" w:rsidRPr="00C11C1B">
        <w:rPr>
          <w:rFonts w:cs="TimesNewRomanPS-BoldItalicMT"/>
          <w:bCs/>
          <w:iCs/>
        </w:rPr>
        <w:t xml:space="preserve">to </w:t>
      </w:r>
      <w:r w:rsidR="00C07842" w:rsidRPr="00C11C1B">
        <w:rPr>
          <w:rFonts w:cs="TimesNewRomanPS-BoldItalicMT"/>
          <w:bCs/>
          <w:iCs/>
        </w:rPr>
        <w:t>charakterystyk</w:t>
      </w:r>
      <w:r w:rsidR="00C11C1B" w:rsidRPr="00C11C1B">
        <w:rPr>
          <w:rFonts w:cs="TimesNewRomanPS-BoldItalicMT"/>
          <w:bCs/>
          <w:iCs/>
        </w:rPr>
        <w:t>i</w:t>
      </w:r>
      <w:r w:rsidR="00C07842" w:rsidRPr="00C11C1B">
        <w:rPr>
          <w:rFonts w:cs="TimesNewRomanPS-BoldItalicMT"/>
          <w:bCs/>
          <w:iCs/>
        </w:rPr>
        <w:t xml:space="preserve"> każdego </w:t>
      </w:r>
      <w:r w:rsidR="00C11C1B" w:rsidRPr="00C11C1B">
        <w:rPr>
          <w:rFonts w:cs="TimesNewRomanPS-BoldItalicMT"/>
          <w:bCs/>
          <w:iCs/>
        </w:rPr>
        <w:t>z tych systemów</w:t>
      </w:r>
      <w:r w:rsidR="00C07842" w:rsidRPr="00C11C1B">
        <w:rPr>
          <w:rFonts w:cs="TimesNewRomanPS-BoldItalicMT"/>
          <w:bCs/>
          <w:iCs/>
        </w:rPr>
        <w:t xml:space="preserve"> </w:t>
      </w:r>
      <w:r w:rsidR="00C11C1B" w:rsidRPr="00C11C1B">
        <w:rPr>
          <w:rFonts w:cs="TimesNewRomanPS-BoldItalicMT"/>
          <w:bCs/>
          <w:iCs/>
        </w:rPr>
        <w:t xml:space="preserve">są </w:t>
      </w:r>
      <w:r w:rsidR="00C07842" w:rsidRPr="00C11C1B">
        <w:rPr>
          <w:rFonts w:cs="TimesNewRomanPS-BoldItalicMT"/>
          <w:bCs/>
          <w:iCs/>
        </w:rPr>
        <w:t>zwykle tak</w:t>
      </w:r>
      <w:r w:rsidR="00C11C1B" w:rsidRPr="00C11C1B">
        <w:rPr>
          <w:rFonts w:cs="TimesNewRomanPS-BoldItalicMT"/>
          <w:bCs/>
          <w:iCs/>
        </w:rPr>
        <w:t>ie</w:t>
      </w:r>
      <w:r w:rsidR="00C07842" w:rsidRPr="00C11C1B">
        <w:rPr>
          <w:rFonts w:cs="TimesNewRomanPS-BoldItalicMT"/>
          <w:bCs/>
          <w:iCs/>
        </w:rPr>
        <w:t xml:space="preserve"> sam</w:t>
      </w:r>
      <w:r w:rsidR="00C11C1B" w:rsidRPr="00C11C1B">
        <w:rPr>
          <w:rFonts w:cs="TimesNewRomanPS-BoldItalicMT"/>
          <w:bCs/>
          <w:iCs/>
        </w:rPr>
        <w:t xml:space="preserve">e </w:t>
      </w:r>
      <w:r w:rsidRPr="00C11C1B">
        <w:rPr>
          <w:rFonts w:cs="TimesNewRomanPS-BoldItalicMT"/>
          <w:bCs/>
          <w:iCs/>
        </w:rPr>
        <w:t>(p</w:t>
      </w:r>
      <w:r w:rsidR="00C07842" w:rsidRPr="00C11C1B">
        <w:rPr>
          <w:rFonts w:cs="TimesNewRomanPS-BoldItalicMT"/>
          <w:bCs/>
          <w:iCs/>
        </w:rPr>
        <w:t xml:space="preserve">atrz Rysunek </w:t>
      </w:r>
      <w:r w:rsidRPr="00C11C1B">
        <w:rPr>
          <w:rFonts w:cs="TimesNewRomanPS-BoldItalicMT"/>
          <w:bCs/>
          <w:iCs/>
        </w:rPr>
        <w:t>F</w:t>
      </w:r>
      <w:r w:rsidR="00C07842" w:rsidRPr="00C11C1B">
        <w:rPr>
          <w:rFonts w:cs="TimesNewRomanPS-BoldItalicMT"/>
          <w:bCs/>
          <w:iCs/>
        </w:rPr>
        <w:t>-</w:t>
      </w:r>
      <w:r w:rsidRPr="00C11C1B">
        <w:rPr>
          <w:rFonts w:cs="TimesNewRomanPS-BoldItalicMT"/>
          <w:bCs/>
          <w:iCs/>
        </w:rPr>
        <w:t>6)</w:t>
      </w:r>
      <w:r w:rsidR="00C07842" w:rsidRPr="00C11C1B">
        <w:rPr>
          <w:rFonts w:cs="TimesNewRomanPS-BoldItalicMT"/>
          <w:bCs/>
          <w:iCs/>
        </w:rPr>
        <w:t>.</w:t>
      </w:r>
    </w:p>
    <w:p w14:paraId="0C9EB3D7" w14:textId="67E31B96" w:rsidR="00C07842" w:rsidRPr="00C11C1B" w:rsidRDefault="00EA7679" w:rsidP="00EA7679">
      <w:pPr>
        <w:tabs>
          <w:tab w:val="left" w:pos="1134"/>
        </w:tabs>
        <w:autoSpaceDE w:val="0"/>
        <w:autoSpaceDN w:val="0"/>
        <w:adjustRightInd w:val="0"/>
        <w:ind w:left="1134" w:hanging="567"/>
        <w:rPr>
          <w:rFonts w:cs="TimesNewRomanPS-BoldItalicMT"/>
          <w:bCs/>
          <w:iCs/>
        </w:rPr>
      </w:pPr>
      <w:r w:rsidRPr="00C11C1B">
        <w:rPr>
          <w:rFonts w:cs="TimesNewRomanPS-BoldItalicMT"/>
          <w:bCs/>
          <w:iCs/>
        </w:rPr>
        <w:t xml:space="preserve">(4) </w:t>
      </w:r>
      <w:r w:rsidR="00C07842" w:rsidRPr="00C11C1B">
        <w:rPr>
          <w:rFonts w:cs="TimesNewRomanPS-BoldItalicMT"/>
          <w:bCs/>
          <w:iCs/>
        </w:rPr>
        <w:tab/>
        <w:t xml:space="preserve">Światła </w:t>
      </w:r>
      <w:r w:rsidR="00C11C1B" w:rsidRPr="00C11C1B">
        <w:rPr>
          <w:rFonts w:cs="TimesNewRomanPS-BoldItalicMT"/>
          <w:bCs/>
          <w:iCs/>
        </w:rPr>
        <w:t>powinny być</w:t>
      </w:r>
      <w:r w:rsidR="00C07842" w:rsidRPr="00C11C1B">
        <w:rPr>
          <w:rFonts w:cs="TimesNewRomanPS-BoldItalicMT"/>
          <w:bCs/>
          <w:iCs/>
        </w:rPr>
        <w:t xml:space="preserve"> światłami stałymi zagłębionymi dookólnymi</w:t>
      </w:r>
      <w:r w:rsidR="00C11C1B" w:rsidRPr="00C11C1B">
        <w:rPr>
          <w:rFonts w:cs="TimesNewRomanPS-BoldItalicMT"/>
          <w:bCs/>
          <w:iCs/>
        </w:rPr>
        <w:t xml:space="preserve"> i świecić w</w:t>
      </w:r>
      <w:r w:rsidR="00C07842" w:rsidRPr="00C11C1B">
        <w:rPr>
          <w:rFonts w:cs="TimesNewRomanPS-BoldItalicMT"/>
          <w:bCs/>
          <w:iCs/>
        </w:rPr>
        <w:t xml:space="preserve"> kolor</w:t>
      </w:r>
      <w:r w:rsidR="00C11C1B" w:rsidRPr="00C11C1B">
        <w:rPr>
          <w:rFonts w:cs="TimesNewRomanPS-BoldItalicMT"/>
          <w:bCs/>
          <w:iCs/>
        </w:rPr>
        <w:t>ze</w:t>
      </w:r>
      <w:r w:rsidR="00C07842" w:rsidRPr="00C11C1B">
        <w:rPr>
          <w:rFonts w:cs="TimesNewRomanPS-BoldItalicMT"/>
          <w:bCs/>
          <w:iCs/>
        </w:rPr>
        <w:t xml:space="preserve"> biał</w:t>
      </w:r>
      <w:r w:rsidR="00C11C1B" w:rsidRPr="00C11C1B">
        <w:rPr>
          <w:rFonts w:cs="TimesNewRomanPS-BoldItalicMT"/>
          <w:bCs/>
          <w:iCs/>
        </w:rPr>
        <w:t>ym</w:t>
      </w:r>
      <w:r w:rsidR="00C07842" w:rsidRPr="00C11C1B">
        <w:rPr>
          <w:rFonts w:cs="TimesNewRomanPS-BoldItalicMT"/>
          <w:bCs/>
          <w:iCs/>
        </w:rPr>
        <w:t>.</w:t>
      </w:r>
    </w:p>
    <w:p w14:paraId="3F660709" w14:textId="482C9484" w:rsidR="00C07842" w:rsidRPr="00C11C1B" w:rsidRDefault="00EA7679" w:rsidP="00EA7679">
      <w:pPr>
        <w:tabs>
          <w:tab w:val="left" w:pos="1134"/>
        </w:tabs>
        <w:autoSpaceDE w:val="0"/>
        <w:autoSpaceDN w:val="0"/>
        <w:adjustRightInd w:val="0"/>
        <w:ind w:left="1134" w:hanging="567"/>
        <w:rPr>
          <w:rFonts w:cs="TimesNewRomanPS-BoldItalicMT"/>
          <w:bCs/>
          <w:iCs/>
        </w:rPr>
      </w:pPr>
      <w:r w:rsidRPr="00C11C1B">
        <w:rPr>
          <w:rFonts w:cs="TimesNewRomanPS-BoldItalicMT"/>
          <w:bCs/>
          <w:iCs/>
        </w:rPr>
        <w:t xml:space="preserve">(5) </w:t>
      </w:r>
      <w:r w:rsidRPr="00C11C1B">
        <w:rPr>
          <w:rFonts w:cs="TimesNewRomanPS-BoldItalicMT"/>
          <w:bCs/>
          <w:iCs/>
        </w:rPr>
        <w:tab/>
      </w:r>
      <w:r w:rsidR="00C07842" w:rsidRPr="00C11C1B">
        <w:rPr>
          <w:rFonts w:cs="TimesNewRomanPS-BoldItalicMT"/>
          <w:bCs/>
          <w:iCs/>
        </w:rPr>
        <w:t xml:space="preserve">Rozsył świata powinien być taki jak określono na Rysunku </w:t>
      </w:r>
      <w:r w:rsidRPr="00C11C1B">
        <w:rPr>
          <w:rFonts w:cs="TimesNewRomanPS-BoldItalicMT"/>
          <w:bCs/>
          <w:iCs/>
        </w:rPr>
        <w:t>F-9</w:t>
      </w:r>
      <w:r w:rsidR="00C07842" w:rsidRPr="00C11C1B">
        <w:rPr>
          <w:rFonts w:cs="TimesNewRomanPS-BoldItalicMT"/>
          <w:bCs/>
          <w:iCs/>
        </w:rPr>
        <w:t xml:space="preserve">, </w:t>
      </w:r>
      <w:r w:rsidRPr="00C11C1B">
        <w:rPr>
          <w:rFonts w:cs="TimesNewRomanPS-BoldItalicMT"/>
          <w:bCs/>
          <w:iCs/>
        </w:rPr>
        <w:t>i</w:t>
      </w:r>
      <w:r w:rsidR="00C07842" w:rsidRPr="00C11C1B">
        <w:rPr>
          <w:rFonts w:cs="TimesNewRomanPS-BoldItalicMT"/>
          <w:bCs/>
          <w:iCs/>
        </w:rPr>
        <w:t xml:space="preserve">lustracja </w:t>
      </w:r>
      <w:r w:rsidR="00C11C1B" w:rsidRPr="00C11C1B">
        <w:rPr>
          <w:rFonts w:cs="TimesNewRomanPS-BoldItalicMT"/>
          <w:bCs/>
          <w:iCs/>
        </w:rPr>
        <w:t>5</w:t>
      </w:r>
      <w:r w:rsidR="00C07842" w:rsidRPr="00C11C1B">
        <w:rPr>
          <w:rFonts w:cs="TimesNewRomanPS-BoldItalicMT"/>
          <w:bCs/>
          <w:iCs/>
        </w:rPr>
        <w:t>.</w:t>
      </w:r>
    </w:p>
    <w:p w14:paraId="4EEE0BEE" w14:textId="4BF09E9B" w:rsidR="00133B99" w:rsidRPr="00F20501" w:rsidRDefault="00EA7679" w:rsidP="008B7C62">
      <w:pPr>
        <w:tabs>
          <w:tab w:val="left" w:pos="1134"/>
        </w:tabs>
        <w:autoSpaceDE w:val="0"/>
        <w:autoSpaceDN w:val="0"/>
        <w:adjustRightInd w:val="0"/>
        <w:ind w:left="1134" w:hanging="567"/>
        <w:rPr>
          <w:rFonts w:cstheme="minorHAnsi"/>
          <w:color w:val="FFFFFF" w:themeColor="background1"/>
          <w:szCs w:val="20"/>
        </w:rPr>
      </w:pPr>
      <w:r w:rsidRPr="00C11C1B">
        <w:rPr>
          <w:rFonts w:cs="TimesNewRomanPS-BoldItalicMT"/>
          <w:bCs/>
          <w:iCs/>
        </w:rPr>
        <w:t xml:space="preserve">(6) </w:t>
      </w:r>
      <w:r w:rsidRPr="00C11C1B">
        <w:rPr>
          <w:rFonts w:cs="TimesNewRomanPS-BoldItalicMT"/>
          <w:bCs/>
          <w:iCs/>
        </w:rPr>
        <w:tab/>
      </w:r>
      <w:r w:rsidR="00C07842" w:rsidRPr="00C11C1B">
        <w:rPr>
          <w:rFonts w:cs="TimesNewRomanPS-BoldItalicMT"/>
          <w:bCs/>
          <w:iCs/>
        </w:rPr>
        <w:t>Odpowiednie środki kontrolne powinny być włączone w celu umożliwienia regulacji intensywności świateł dla sprostania przeważającym warunkom oraz dla zrównoważenia systemu świetlnego naprowadzania na ścieżkę lotu z innymi światłami lotniska dla śmigłowców i ogólnego oświetlenia obecnego wokół lotniska dla śmigłowców.</w:t>
      </w:r>
    </w:p>
    <w:p w14:paraId="1D4C83FA" w14:textId="5618F31E" w:rsidR="00133B99" w:rsidRPr="009E064B" w:rsidRDefault="00133B99" w:rsidP="00133B99">
      <w:pPr>
        <w:pStyle w:val="Nagwek6"/>
      </w:pPr>
      <w:bookmarkStart w:id="1946" w:name="_Toc12533397"/>
      <w:r w:rsidRPr="009E064B">
        <w:t>GM1 HPT-DSN.</w:t>
      </w:r>
      <w:r w:rsidR="00046E75">
        <w:t>F.64</w:t>
      </w:r>
      <w:r>
        <w:t>0</w:t>
      </w:r>
      <w:r w:rsidRPr="009E064B">
        <w:t xml:space="preserve">     </w:t>
      </w:r>
      <w:r w:rsidR="00046E75" w:rsidRPr="00900AA5">
        <w:t>System świateł naprowadzania na ścieżkę lotu</w:t>
      </w:r>
      <w:bookmarkEnd w:id="1946"/>
    </w:p>
    <w:p w14:paraId="1B6FD17C" w14:textId="6EDC50FE"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165C5EE" w14:textId="138C7A42" w:rsidR="00133B99" w:rsidRPr="00C11C1B" w:rsidRDefault="008B7C62" w:rsidP="00133B99">
      <w:pPr>
        <w:tabs>
          <w:tab w:val="left" w:pos="1134"/>
        </w:tabs>
        <w:autoSpaceDE w:val="0"/>
        <w:autoSpaceDN w:val="0"/>
        <w:adjustRightInd w:val="0"/>
        <w:spacing w:after="0"/>
        <w:rPr>
          <w:rFonts w:cs="TimesNewRomanPS-BoldItalicMT"/>
          <w:bCs/>
          <w:iCs/>
          <w:szCs w:val="20"/>
        </w:rPr>
      </w:pPr>
      <w:r w:rsidRPr="00C11C1B">
        <w:rPr>
          <w:rFonts w:cs="TimesNewRomanPS-BoldItalicMT"/>
          <w:bCs/>
          <w:iCs/>
        </w:rPr>
        <w:t>System świateł naprowadzania na ścieżkę lotu</w:t>
      </w:r>
      <w:r w:rsidRPr="00C11C1B">
        <w:rPr>
          <w:rFonts w:cs="TimesNewRomanPS-BoldItalicMT"/>
          <w:bCs/>
          <w:iCs/>
          <w:szCs w:val="20"/>
        </w:rPr>
        <w:t xml:space="preserve"> może być połączony z oznakowaniem </w:t>
      </w:r>
      <w:r w:rsidRPr="00C11C1B">
        <w:rPr>
          <w:rFonts w:cs="TimesNewRomanPS-BoldItalicMT"/>
          <w:bCs/>
          <w:iCs/>
        </w:rPr>
        <w:t>naprowadzania na ścieżkę lotu.</w:t>
      </w:r>
    </w:p>
    <w:p w14:paraId="3ECDB21E" w14:textId="0C272209" w:rsidR="00133B99" w:rsidRPr="009E064B" w:rsidRDefault="00046E75" w:rsidP="00133B99">
      <w:pPr>
        <w:pStyle w:val="Nagwek4"/>
        <w:rPr>
          <w:color w:val="auto"/>
        </w:rPr>
      </w:pPr>
      <w:bookmarkStart w:id="1947" w:name="_Toc12533398"/>
      <w:r w:rsidRPr="00BD1DB3">
        <w:rPr>
          <w:color w:val="auto"/>
        </w:rPr>
        <w:t>CS HPT-DSN.F.65</w:t>
      </w:r>
      <w:r w:rsidR="00133B99" w:rsidRPr="00BD1DB3">
        <w:rPr>
          <w:color w:val="auto"/>
        </w:rPr>
        <w:t>0</w:t>
      </w:r>
      <w:r w:rsidR="00133B99" w:rsidRPr="00BD1DB3">
        <w:rPr>
          <w:b w:val="0"/>
          <w:bCs w:val="0"/>
          <w:color w:val="FFFFFF"/>
          <w:sz w:val="32"/>
          <w:szCs w:val="32"/>
        </w:rPr>
        <w:t xml:space="preserve">     </w:t>
      </w:r>
      <w:r w:rsidRPr="00BD1DB3">
        <w:t>Wzrokowy system naprowadzania</w:t>
      </w:r>
      <w:bookmarkEnd w:id="1947"/>
    </w:p>
    <w:p w14:paraId="743703C9" w14:textId="1EE5D5EA"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F639926" w14:textId="5F780111" w:rsidR="008B7C62" w:rsidRPr="00C11C1B" w:rsidRDefault="00133B99" w:rsidP="008B7C62">
      <w:pPr>
        <w:tabs>
          <w:tab w:val="left" w:pos="567"/>
        </w:tabs>
        <w:autoSpaceDE w:val="0"/>
        <w:autoSpaceDN w:val="0"/>
        <w:adjustRightInd w:val="0"/>
        <w:ind w:left="567" w:hanging="567"/>
        <w:rPr>
          <w:rFonts w:cs="TimesNewRomanPS-BoldItalicMT"/>
          <w:bCs/>
          <w:iCs/>
          <w:szCs w:val="20"/>
        </w:rPr>
      </w:pPr>
      <w:r w:rsidRPr="00C11C1B">
        <w:rPr>
          <w:rFonts w:cs="TimesNewRomanPS-BoldItalicMT"/>
          <w:bCs/>
          <w:iCs/>
          <w:szCs w:val="20"/>
        </w:rPr>
        <w:t>(a)</w:t>
      </w:r>
      <w:r w:rsidRPr="00C11C1B">
        <w:rPr>
          <w:rFonts w:cs="TimesNewRomanPS-BoldItalicMT"/>
          <w:bCs/>
          <w:iCs/>
          <w:szCs w:val="20"/>
        </w:rPr>
        <w:tab/>
      </w:r>
      <w:r w:rsidR="008B7C62" w:rsidRPr="00C11C1B">
        <w:rPr>
          <w:rFonts w:cs="TimesNewRomanPS-BoldItalicMT"/>
          <w:bCs/>
          <w:iCs/>
          <w:szCs w:val="20"/>
        </w:rPr>
        <w:t xml:space="preserve">Zastosowanie: Jeżeli wzrokowy system naprowadzania jest zapewniany na lotnisku dla śmigłowców </w:t>
      </w:r>
      <w:r w:rsidR="00C11C1B" w:rsidRPr="00C11C1B">
        <w:rPr>
          <w:rFonts w:cs="TimesNewRomanPS-BoldItalicMT"/>
          <w:bCs/>
          <w:iCs/>
          <w:szCs w:val="20"/>
        </w:rPr>
        <w:t xml:space="preserve">to </w:t>
      </w:r>
      <w:r w:rsidR="008B7C62" w:rsidRPr="00C11C1B">
        <w:rPr>
          <w:rFonts w:cs="TimesNewRomanPS-BoldItalicMT"/>
          <w:bCs/>
          <w:iCs/>
          <w:szCs w:val="20"/>
        </w:rPr>
        <w:t>powinien zapewniać pilotowi wskazówki podczas podejścia do lądowania</w:t>
      </w:r>
      <w:r w:rsidR="00B0428E" w:rsidRPr="00C11C1B">
        <w:rPr>
          <w:rFonts w:cs="TimesNewRomanPS-BoldItalicMT"/>
          <w:bCs/>
          <w:iCs/>
          <w:szCs w:val="20"/>
        </w:rPr>
        <w:t xml:space="preserve"> na tym lotnisku</w:t>
      </w:r>
      <w:r w:rsidR="008B7C62" w:rsidRPr="00C11C1B">
        <w:rPr>
          <w:rFonts w:cs="TimesNewRomanPS-BoldItalicMT"/>
          <w:bCs/>
          <w:iCs/>
          <w:szCs w:val="20"/>
        </w:rPr>
        <w:t>.</w:t>
      </w:r>
    </w:p>
    <w:p w14:paraId="55AD0DA2" w14:textId="02D7CA37" w:rsidR="008B7C62" w:rsidRPr="00C11C1B" w:rsidRDefault="008B7C62" w:rsidP="008B7C62">
      <w:pPr>
        <w:tabs>
          <w:tab w:val="left" w:pos="567"/>
        </w:tabs>
        <w:autoSpaceDE w:val="0"/>
        <w:autoSpaceDN w:val="0"/>
        <w:adjustRightInd w:val="0"/>
        <w:ind w:left="567" w:hanging="567"/>
        <w:rPr>
          <w:rFonts w:cs="TimesNewRomanPS-BoldItalicMT"/>
          <w:bCs/>
          <w:iCs/>
          <w:szCs w:val="20"/>
        </w:rPr>
      </w:pPr>
      <w:r w:rsidRPr="00C11C1B">
        <w:rPr>
          <w:rFonts w:cs="TimesNewRomanPS-BoldItalicMT"/>
          <w:bCs/>
          <w:iCs/>
          <w:szCs w:val="20"/>
        </w:rPr>
        <w:t xml:space="preserve">(b) </w:t>
      </w:r>
      <w:r w:rsidRPr="00C11C1B">
        <w:rPr>
          <w:rFonts w:cs="TimesNewRomanPS-BoldItalicMT"/>
          <w:bCs/>
          <w:iCs/>
          <w:szCs w:val="20"/>
        </w:rPr>
        <w:tab/>
        <w:t>Lokalizacja:</w:t>
      </w:r>
    </w:p>
    <w:p w14:paraId="6AF0DAD0" w14:textId="55894BDB" w:rsidR="008B7C62" w:rsidRPr="00C11C1B" w:rsidRDefault="00C335E0" w:rsidP="00C335E0">
      <w:pPr>
        <w:tabs>
          <w:tab w:val="left" w:pos="1134"/>
        </w:tabs>
        <w:autoSpaceDE w:val="0"/>
        <w:autoSpaceDN w:val="0"/>
        <w:adjustRightInd w:val="0"/>
        <w:ind w:left="1134" w:hanging="567"/>
        <w:rPr>
          <w:rFonts w:cs="TimesNewRomanPS-BoldItalicMT"/>
          <w:bCs/>
          <w:iCs/>
          <w:szCs w:val="20"/>
        </w:rPr>
      </w:pPr>
      <w:r w:rsidRPr="00C11C1B">
        <w:rPr>
          <w:rFonts w:cs="TimesNewRomanPS-BoldItalicMT"/>
          <w:bCs/>
          <w:iCs/>
          <w:szCs w:val="20"/>
        </w:rPr>
        <w:t xml:space="preserve">(1) </w:t>
      </w:r>
      <w:r w:rsidRPr="00C11C1B">
        <w:rPr>
          <w:rFonts w:cs="TimesNewRomanPS-BoldItalicMT"/>
          <w:bCs/>
          <w:iCs/>
          <w:szCs w:val="20"/>
        </w:rPr>
        <w:tab/>
      </w:r>
      <w:r w:rsidR="008B7C62" w:rsidRPr="00C11C1B">
        <w:rPr>
          <w:rFonts w:cs="TimesNewRomanPS-BoldItalicMT"/>
          <w:bCs/>
          <w:iCs/>
          <w:szCs w:val="20"/>
        </w:rPr>
        <w:t>Wzrokowy system naprowadzania powinien być zlokalizowany tak, aby śmigłowiec był naprowadzany do strefy FATO po określonej ścieżce.</w:t>
      </w:r>
    </w:p>
    <w:p w14:paraId="35074B09" w14:textId="4E966329" w:rsidR="008B7C62" w:rsidRPr="000169F0" w:rsidRDefault="00C335E0" w:rsidP="00C335E0">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(2) </w:t>
      </w:r>
      <w:r w:rsidRPr="000169F0">
        <w:rPr>
          <w:rFonts w:cs="TimesNewRomanPS-BoldItalicMT"/>
          <w:bCs/>
          <w:iCs/>
          <w:szCs w:val="20"/>
        </w:rPr>
        <w:tab/>
      </w:r>
      <w:r w:rsidR="008B7C62" w:rsidRPr="000169F0">
        <w:rPr>
          <w:rFonts w:cs="TimesNewRomanPS-BoldItalicMT"/>
          <w:bCs/>
          <w:iCs/>
          <w:szCs w:val="20"/>
        </w:rPr>
        <w:t xml:space="preserve">System powinien być </w:t>
      </w:r>
      <w:r w:rsidR="00594C18" w:rsidRPr="000169F0">
        <w:rPr>
          <w:rFonts w:cs="TimesNewRomanPS-BoldItalicMT"/>
          <w:bCs/>
          <w:iCs/>
          <w:szCs w:val="20"/>
        </w:rPr>
        <w:t>zlokalizowany</w:t>
      </w:r>
      <w:r w:rsidR="008B7C62" w:rsidRPr="000169F0">
        <w:rPr>
          <w:rFonts w:cs="TimesNewRomanPS-BoldItalicMT"/>
          <w:bCs/>
          <w:iCs/>
          <w:szCs w:val="20"/>
        </w:rPr>
        <w:t xml:space="preserve"> </w:t>
      </w:r>
      <w:r w:rsidR="00594C18" w:rsidRPr="000169F0">
        <w:rPr>
          <w:rFonts w:cs="TimesNewRomanPS-BoldItalicMT"/>
          <w:bCs/>
          <w:iCs/>
          <w:szCs w:val="20"/>
        </w:rPr>
        <w:t>na</w:t>
      </w:r>
      <w:r w:rsidR="008B7C62" w:rsidRPr="000169F0">
        <w:rPr>
          <w:rFonts w:cs="TimesNewRomanPS-BoldItalicMT"/>
          <w:bCs/>
          <w:iCs/>
          <w:szCs w:val="20"/>
        </w:rPr>
        <w:t xml:space="preserve"> nawietrznej krawędzi strefy FATO i </w:t>
      </w:r>
      <w:r w:rsidR="00594C18" w:rsidRPr="000169F0">
        <w:rPr>
          <w:rFonts w:cs="TimesNewRomanPS-BoldItalicMT"/>
          <w:bCs/>
          <w:iCs/>
          <w:szCs w:val="20"/>
        </w:rPr>
        <w:t>ustawiony zgodnie z</w:t>
      </w:r>
      <w:r w:rsidR="008B7C62" w:rsidRPr="000169F0">
        <w:rPr>
          <w:rFonts w:cs="TimesNewRomanPS-BoldItalicMT"/>
          <w:bCs/>
          <w:iCs/>
          <w:szCs w:val="20"/>
        </w:rPr>
        <w:t xml:space="preserve"> preferowan</w:t>
      </w:r>
      <w:r w:rsidR="00594C18" w:rsidRPr="000169F0">
        <w:rPr>
          <w:rFonts w:cs="TimesNewRomanPS-BoldItalicMT"/>
          <w:bCs/>
          <w:iCs/>
          <w:szCs w:val="20"/>
        </w:rPr>
        <w:t>ym</w:t>
      </w:r>
      <w:r w:rsidR="008B7C62" w:rsidRPr="000169F0">
        <w:rPr>
          <w:rFonts w:cs="TimesNewRomanPS-BoldItalicMT"/>
          <w:bCs/>
          <w:iCs/>
          <w:szCs w:val="20"/>
        </w:rPr>
        <w:t xml:space="preserve"> kierunk</w:t>
      </w:r>
      <w:r w:rsidR="00594C18" w:rsidRPr="000169F0">
        <w:rPr>
          <w:rFonts w:cs="TimesNewRomanPS-BoldItalicMT"/>
          <w:bCs/>
          <w:iCs/>
          <w:szCs w:val="20"/>
        </w:rPr>
        <w:t>iem</w:t>
      </w:r>
      <w:r w:rsidR="008B7C62" w:rsidRPr="000169F0">
        <w:rPr>
          <w:rFonts w:cs="TimesNewRomanPS-BoldItalicMT"/>
          <w:bCs/>
          <w:iCs/>
          <w:szCs w:val="20"/>
        </w:rPr>
        <w:t xml:space="preserve"> podejścia.</w:t>
      </w:r>
    </w:p>
    <w:p w14:paraId="73D65A47" w14:textId="24377451" w:rsidR="008B7C62" w:rsidRPr="000169F0" w:rsidRDefault="00C335E0" w:rsidP="00C335E0">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(3) </w:t>
      </w:r>
      <w:r w:rsidRPr="000169F0">
        <w:rPr>
          <w:rFonts w:cs="TimesNewRomanPS-BoldItalicMT"/>
          <w:bCs/>
          <w:iCs/>
          <w:szCs w:val="20"/>
        </w:rPr>
        <w:tab/>
      </w:r>
      <w:r w:rsidR="00594C18" w:rsidRPr="000169F0">
        <w:rPr>
          <w:rFonts w:cs="TimesNewRomanPS-BoldItalicMT"/>
          <w:bCs/>
          <w:iCs/>
          <w:szCs w:val="20"/>
        </w:rPr>
        <w:t>Jednostki</w:t>
      </w:r>
      <w:r w:rsidR="008B7C62" w:rsidRPr="000169F0">
        <w:rPr>
          <w:rFonts w:cs="TimesNewRomanPS-BoldItalicMT"/>
          <w:bCs/>
          <w:iCs/>
          <w:szCs w:val="20"/>
        </w:rPr>
        <w:t xml:space="preserve"> świetlne powinny </w:t>
      </w:r>
      <w:r w:rsidR="00594C18" w:rsidRPr="000169F0">
        <w:rPr>
          <w:rFonts w:cs="TimesNewRomanPS-BoldItalicMT"/>
          <w:bCs/>
          <w:iCs/>
          <w:szCs w:val="20"/>
        </w:rPr>
        <w:t>mieć</w:t>
      </w:r>
      <w:r w:rsidR="008B7C62" w:rsidRPr="000169F0">
        <w:rPr>
          <w:rFonts w:cs="TimesNewRomanPS-BoldItalicMT"/>
          <w:bCs/>
          <w:iCs/>
          <w:szCs w:val="20"/>
        </w:rPr>
        <w:t xml:space="preserve"> konstrukcj</w:t>
      </w:r>
      <w:r w:rsidR="00594C18" w:rsidRPr="000169F0">
        <w:rPr>
          <w:rFonts w:cs="TimesNewRomanPS-BoldItalicMT"/>
          <w:bCs/>
          <w:iCs/>
          <w:szCs w:val="20"/>
        </w:rPr>
        <w:t>ę</w:t>
      </w:r>
      <w:r w:rsidR="008B7C62" w:rsidRPr="000169F0">
        <w:rPr>
          <w:rFonts w:cs="TimesNewRomanPS-BoldItalicMT"/>
          <w:bCs/>
          <w:iCs/>
          <w:szCs w:val="20"/>
        </w:rPr>
        <w:t xml:space="preserve"> łamliw</w:t>
      </w:r>
      <w:r w:rsidR="00594C18" w:rsidRPr="000169F0">
        <w:rPr>
          <w:rFonts w:cs="TimesNewRomanPS-BoldItalicMT"/>
          <w:bCs/>
          <w:iCs/>
          <w:szCs w:val="20"/>
        </w:rPr>
        <w:t>ą</w:t>
      </w:r>
      <w:r w:rsidR="008B7C62" w:rsidRPr="000169F0">
        <w:rPr>
          <w:rFonts w:cs="TimesNewRomanPS-BoldItalicMT"/>
          <w:bCs/>
          <w:iCs/>
          <w:szCs w:val="20"/>
        </w:rPr>
        <w:t xml:space="preserve"> i być zamontowane możliwie nisko.</w:t>
      </w:r>
    </w:p>
    <w:p w14:paraId="015256F9" w14:textId="7B9C06DA" w:rsidR="008B7C62" w:rsidRPr="000169F0" w:rsidRDefault="00C335E0" w:rsidP="00C335E0">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(4) </w:t>
      </w:r>
      <w:r w:rsidRPr="000169F0">
        <w:rPr>
          <w:rFonts w:cs="TimesNewRomanPS-BoldItalicMT"/>
          <w:bCs/>
          <w:iCs/>
          <w:szCs w:val="20"/>
        </w:rPr>
        <w:tab/>
      </w:r>
      <w:r w:rsidR="008B7C62" w:rsidRPr="000169F0">
        <w:rPr>
          <w:rFonts w:cs="TimesNewRomanPS-BoldItalicMT"/>
          <w:bCs/>
          <w:iCs/>
          <w:szCs w:val="20"/>
        </w:rPr>
        <w:t xml:space="preserve">Jeśli światła systemu mają być widoczne, jako oddzielne źródła światła, </w:t>
      </w:r>
      <w:r w:rsidR="00594C18" w:rsidRPr="000169F0">
        <w:rPr>
          <w:rFonts w:cs="TimesNewRomanPS-BoldItalicMT"/>
          <w:bCs/>
          <w:iCs/>
          <w:szCs w:val="20"/>
        </w:rPr>
        <w:t xml:space="preserve">to jednostki </w:t>
      </w:r>
      <w:r w:rsidR="008B7C62" w:rsidRPr="000169F0">
        <w:rPr>
          <w:rFonts w:cs="TimesNewRomanPS-BoldItalicMT"/>
          <w:bCs/>
          <w:iCs/>
          <w:szCs w:val="20"/>
        </w:rPr>
        <w:t>świetlne powinny być umieszczane w taki sposób, aby na granicach systemu kąt zawarty między jednostkami świetlnymi, widziany przez pilota, nie był mniejszy niż 3 minuty kątowe.</w:t>
      </w:r>
    </w:p>
    <w:p w14:paraId="4EDF47A0" w14:textId="28BC7905" w:rsidR="008B7C62" w:rsidRPr="000169F0" w:rsidRDefault="00C335E0" w:rsidP="00C335E0">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(5) </w:t>
      </w:r>
      <w:r w:rsidRPr="000169F0">
        <w:rPr>
          <w:rFonts w:cs="TimesNewRomanPS-BoldItalicMT"/>
          <w:bCs/>
          <w:iCs/>
          <w:szCs w:val="20"/>
        </w:rPr>
        <w:tab/>
      </w:r>
      <w:r w:rsidR="008B7C62" w:rsidRPr="000169F0">
        <w:rPr>
          <w:rFonts w:cs="TimesNewRomanPS-BoldItalicMT"/>
          <w:bCs/>
          <w:iCs/>
          <w:szCs w:val="20"/>
        </w:rPr>
        <w:t>Kąty zawarte pomiędzy jednostkami świetlnymi systemu i innymi jednostkami o porównywalnym lub większym natężeniu</w:t>
      </w:r>
      <w:r w:rsidR="00594C18" w:rsidRPr="000169F0">
        <w:rPr>
          <w:rFonts w:cs="TimesNewRomanPS-BoldItalicMT"/>
          <w:bCs/>
          <w:iCs/>
          <w:szCs w:val="20"/>
        </w:rPr>
        <w:t>,</w:t>
      </w:r>
      <w:r w:rsidR="008B7C62" w:rsidRPr="000169F0">
        <w:rPr>
          <w:rFonts w:cs="TimesNewRomanPS-BoldItalicMT"/>
          <w:bCs/>
          <w:iCs/>
          <w:szCs w:val="20"/>
        </w:rPr>
        <w:t xml:space="preserve"> </w:t>
      </w:r>
      <w:r w:rsidR="00594C18" w:rsidRPr="000169F0">
        <w:rPr>
          <w:rFonts w:cs="TimesNewRomanPS-BoldItalicMT"/>
          <w:bCs/>
          <w:iCs/>
          <w:szCs w:val="20"/>
        </w:rPr>
        <w:t xml:space="preserve">nie </w:t>
      </w:r>
      <w:r w:rsidR="008B7C62" w:rsidRPr="000169F0">
        <w:rPr>
          <w:rFonts w:cs="TimesNewRomanPS-BoldItalicMT"/>
          <w:bCs/>
          <w:iCs/>
          <w:szCs w:val="20"/>
        </w:rPr>
        <w:t xml:space="preserve">powinny również być </w:t>
      </w:r>
      <w:r w:rsidR="00594C18" w:rsidRPr="000169F0">
        <w:rPr>
          <w:rFonts w:cs="TimesNewRomanPS-BoldItalicMT"/>
          <w:bCs/>
          <w:iCs/>
          <w:szCs w:val="20"/>
        </w:rPr>
        <w:t>mniejsze niż 3 </w:t>
      </w:r>
      <w:r w:rsidR="008B7C62" w:rsidRPr="000169F0">
        <w:rPr>
          <w:rFonts w:cs="TimesNewRomanPS-BoldItalicMT"/>
          <w:bCs/>
          <w:iCs/>
          <w:szCs w:val="20"/>
        </w:rPr>
        <w:t>minuty kątowe.</w:t>
      </w:r>
    </w:p>
    <w:p w14:paraId="27F441A7" w14:textId="3A52B141" w:rsidR="00594C18" w:rsidRPr="00F50ACE" w:rsidRDefault="00594C18" w:rsidP="00594C18">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(6) </w:t>
      </w:r>
      <w:r w:rsidRPr="000169F0">
        <w:rPr>
          <w:rFonts w:cs="TimesNewRomanPS-BoldItalicMT"/>
          <w:bCs/>
          <w:iCs/>
          <w:szCs w:val="20"/>
        </w:rPr>
        <w:tab/>
        <w:t>Wymagania punktów</w:t>
      </w:r>
      <w:r w:rsidRPr="00594C18">
        <w:rPr>
          <w:rFonts w:cs="TimesNewRomanPS-BoldItalicMT"/>
          <w:bCs/>
          <w:iCs/>
          <w:szCs w:val="20"/>
        </w:rPr>
        <w:t xml:space="preserve"> (4) i (5) powyżej mogą być spełnione dla świateł na linii </w:t>
      </w:r>
      <w:r w:rsidRPr="000169F0">
        <w:rPr>
          <w:rFonts w:cs="TimesNewRomanPS-BoldItalicMT"/>
          <w:bCs/>
          <w:iCs/>
          <w:szCs w:val="20"/>
        </w:rPr>
        <w:t>prostopadłej</w:t>
      </w:r>
      <w:r w:rsidRPr="00594C18">
        <w:rPr>
          <w:rFonts w:cs="TimesNewRomanPS-BoldItalicMT"/>
          <w:bCs/>
          <w:iCs/>
          <w:szCs w:val="20"/>
        </w:rPr>
        <w:t xml:space="preserve"> do </w:t>
      </w:r>
      <w:r w:rsidRPr="00F50ACE">
        <w:rPr>
          <w:rFonts w:cs="TimesNewRomanPS-BoldItalicMT"/>
          <w:bCs/>
          <w:iCs/>
          <w:szCs w:val="20"/>
        </w:rPr>
        <w:t>linii</w:t>
      </w:r>
      <w:r w:rsidR="000169F0" w:rsidRPr="00F50ACE">
        <w:rPr>
          <w:rFonts w:cs="TimesNewRomanPS-BoldItalicMT"/>
          <w:bCs/>
          <w:iCs/>
          <w:szCs w:val="20"/>
        </w:rPr>
        <w:t xml:space="preserve"> wzroku, jeśli jednostki świetlne</w:t>
      </w:r>
      <w:r w:rsidRPr="00F50ACE">
        <w:rPr>
          <w:rFonts w:cs="TimesNewRomanPS-BoldItalicMT"/>
          <w:bCs/>
          <w:iCs/>
          <w:szCs w:val="20"/>
        </w:rPr>
        <w:t xml:space="preserve"> są oddzielone o 1 m na każdy kilometr zasięgu widzenia.</w:t>
      </w:r>
    </w:p>
    <w:p w14:paraId="30053FAF" w14:textId="1A3748EF" w:rsidR="008B7C62" w:rsidRPr="000169F0" w:rsidRDefault="00B0428E" w:rsidP="00B0428E">
      <w:pPr>
        <w:tabs>
          <w:tab w:val="left" w:pos="567"/>
        </w:tabs>
        <w:autoSpaceDE w:val="0"/>
        <w:autoSpaceDN w:val="0"/>
        <w:adjustRightInd w:val="0"/>
        <w:ind w:left="567" w:hanging="567"/>
        <w:rPr>
          <w:rFonts w:cs="TimesNewRomanPS-BoldItalicMT"/>
          <w:bCs/>
          <w:iCs/>
          <w:szCs w:val="20"/>
        </w:rPr>
      </w:pPr>
      <w:r w:rsidRPr="000169F0">
        <w:rPr>
          <w:rFonts w:cs="TimesNewRomanPS-BoldItalicMT"/>
          <w:bCs/>
          <w:iCs/>
          <w:szCs w:val="20"/>
        </w:rPr>
        <w:t xml:space="preserve">(c) </w:t>
      </w:r>
      <w:r w:rsidRPr="000169F0">
        <w:rPr>
          <w:rFonts w:cs="TimesNewRomanPS-BoldItalicMT"/>
          <w:bCs/>
          <w:iCs/>
          <w:szCs w:val="20"/>
        </w:rPr>
        <w:tab/>
      </w:r>
      <w:r w:rsidR="008B7C62" w:rsidRPr="000169F0">
        <w:rPr>
          <w:rFonts w:cs="TimesNewRomanPS-BoldItalicMT"/>
          <w:bCs/>
          <w:iCs/>
          <w:szCs w:val="20"/>
        </w:rPr>
        <w:t>Format sygnału</w:t>
      </w:r>
      <w:r w:rsidRPr="000169F0">
        <w:rPr>
          <w:rFonts w:cs="TimesNewRomanPS-BoldItalicMT"/>
          <w:bCs/>
          <w:iCs/>
          <w:szCs w:val="20"/>
        </w:rPr>
        <w:t>:</w:t>
      </w:r>
    </w:p>
    <w:p w14:paraId="5468D8E4" w14:textId="124CAF54" w:rsidR="008B7C62" w:rsidRPr="000169F0"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(1) </w:t>
      </w:r>
      <w:r w:rsidRPr="000169F0">
        <w:rPr>
          <w:rFonts w:cs="TimesNewRomanPS-BoldItalicMT"/>
          <w:bCs/>
          <w:iCs/>
          <w:szCs w:val="20"/>
        </w:rPr>
        <w:tab/>
      </w:r>
      <w:r w:rsidR="008B7C62" w:rsidRPr="000169F0">
        <w:rPr>
          <w:rFonts w:cs="TimesNewRomanPS-BoldItalicMT"/>
          <w:bCs/>
          <w:iCs/>
          <w:szCs w:val="20"/>
        </w:rPr>
        <w:t xml:space="preserve">Format sygnału wzrokowego systemu naprowadzania powinien </w:t>
      </w:r>
      <w:r w:rsidR="000169F0" w:rsidRPr="000169F0">
        <w:rPr>
          <w:rFonts w:cs="TimesNewRomanPS-BoldItalicMT"/>
          <w:bCs/>
          <w:iCs/>
          <w:szCs w:val="20"/>
        </w:rPr>
        <w:t xml:space="preserve">zawierać, co najmniej </w:t>
      </w:r>
      <w:r w:rsidR="008B7C62" w:rsidRPr="000169F0">
        <w:rPr>
          <w:rFonts w:cs="TimesNewRomanPS-BoldItalicMT"/>
          <w:bCs/>
          <w:iCs/>
          <w:szCs w:val="20"/>
        </w:rPr>
        <w:t>trzy oddzielne sektory sygnałów, emitujących sygnały</w:t>
      </w:r>
      <w:r w:rsidR="000169F0" w:rsidRPr="000169F0">
        <w:rPr>
          <w:rFonts w:cs="TimesNewRomanPS-BoldItalicMT"/>
          <w:bCs/>
          <w:iCs/>
          <w:szCs w:val="20"/>
        </w:rPr>
        <w:t xml:space="preserve"> odpowiednio:</w:t>
      </w:r>
      <w:r w:rsidR="008B7C62" w:rsidRPr="000169F0">
        <w:rPr>
          <w:rFonts w:cs="TimesNewRomanPS-BoldItalicMT"/>
          <w:bCs/>
          <w:iCs/>
          <w:szCs w:val="20"/>
        </w:rPr>
        <w:t xml:space="preserve"> „w prawo od ścieżki”, „na ścieżce” i „w lewo od ścieżki”.</w:t>
      </w:r>
    </w:p>
    <w:p w14:paraId="55558522" w14:textId="5B949C7A" w:rsidR="008B7C62" w:rsidRPr="000169F0"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(2) </w:t>
      </w:r>
      <w:r w:rsidRPr="000169F0">
        <w:rPr>
          <w:rFonts w:cs="TimesNewRomanPS-BoldItalicMT"/>
          <w:bCs/>
          <w:iCs/>
          <w:szCs w:val="20"/>
        </w:rPr>
        <w:tab/>
      </w:r>
      <w:r w:rsidR="008B7C62" w:rsidRPr="000169F0">
        <w:rPr>
          <w:rFonts w:cs="TimesNewRomanPS-BoldItalicMT"/>
          <w:bCs/>
          <w:iCs/>
          <w:szCs w:val="20"/>
        </w:rPr>
        <w:t xml:space="preserve">Rozbieżność sektora „na ścieżce” należącego do </w:t>
      </w:r>
      <w:r w:rsidR="000169F0" w:rsidRPr="000169F0">
        <w:rPr>
          <w:rFonts w:cs="TimesNewRomanPS-BoldItalicMT"/>
          <w:bCs/>
          <w:iCs/>
          <w:szCs w:val="20"/>
        </w:rPr>
        <w:t xml:space="preserve">tego </w:t>
      </w:r>
      <w:r w:rsidR="008B7C62" w:rsidRPr="000169F0">
        <w:rPr>
          <w:rFonts w:cs="TimesNewRomanPS-BoldItalicMT"/>
          <w:bCs/>
          <w:iCs/>
          <w:szCs w:val="20"/>
        </w:rPr>
        <w:t xml:space="preserve">systemu powinna być taka, jak pokazano na Rysunku </w:t>
      </w:r>
      <w:r w:rsidRPr="000169F0">
        <w:rPr>
          <w:rFonts w:cs="TimesNewRomanPS-BoldItalicMT"/>
          <w:bCs/>
          <w:iCs/>
          <w:szCs w:val="20"/>
        </w:rPr>
        <w:t>F-8</w:t>
      </w:r>
      <w:r w:rsidR="008B7C62" w:rsidRPr="000169F0">
        <w:rPr>
          <w:rFonts w:cs="TimesNewRomanPS-BoldItalicMT"/>
          <w:bCs/>
          <w:iCs/>
          <w:szCs w:val="20"/>
        </w:rPr>
        <w:t>.</w:t>
      </w:r>
    </w:p>
    <w:p w14:paraId="4CE14F2E" w14:textId="43DD2C91" w:rsidR="008B7C62" w:rsidRPr="000169F0"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(3) </w:t>
      </w:r>
      <w:r w:rsidRPr="000169F0">
        <w:rPr>
          <w:rFonts w:cs="TimesNewRomanPS-BoldItalicMT"/>
          <w:bCs/>
          <w:iCs/>
          <w:szCs w:val="20"/>
        </w:rPr>
        <w:tab/>
      </w:r>
      <w:r w:rsidR="008B7C62" w:rsidRPr="000169F0">
        <w:rPr>
          <w:rFonts w:cs="TimesNewRomanPS-BoldItalicMT"/>
          <w:bCs/>
          <w:iCs/>
          <w:szCs w:val="20"/>
        </w:rPr>
        <w:t>Format sygnału powinien być taki, aby nie istniała możliwość pomylenia systemu z</w:t>
      </w:r>
      <w:r w:rsidR="000169F0" w:rsidRPr="000169F0">
        <w:rPr>
          <w:rFonts w:cs="TimesNewRomanPS-BoldItalicMT"/>
          <w:bCs/>
          <w:iCs/>
          <w:szCs w:val="20"/>
        </w:rPr>
        <w:t> </w:t>
      </w:r>
      <w:r w:rsidR="008B7C62" w:rsidRPr="000169F0">
        <w:rPr>
          <w:rFonts w:cs="TimesNewRomanPS-BoldItalicMT"/>
          <w:bCs/>
          <w:iCs/>
          <w:szCs w:val="20"/>
        </w:rPr>
        <w:t>jakimkolwiek innym wzrokowym wskaźnikiem ścieżki podejścia lub innymi pomocami wzrokowymi.</w:t>
      </w:r>
    </w:p>
    <w:p w14:paraId="7AA76BC7" w14:textId="3FFA3DC6" w:rsidR="008B7C62" w:rsidRPr="000169F0"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(4) </w:t>
      </w:r>
      <w:r w:rsidRPr="000169F0">
        <w:rPr>
          <w:rFonts w:cs="TimesNewRomanPS-BoldItalicMT"/>
          <w:bCs/>
          <w:iCs/>
          <w:szCs w:val="20"/>
        </w:rPr>
        <w:tab/>
      </w:r>
      <w:r w:rsidR="008B7C62" w:rsidRPr="000169F0">
        <w:rPr>
          <w:rFonts w:cs="TimesNewRomanPS-BoldItalicMT"/>
          <w:bCs/>
          <w:iCs/>
          <w:szCs w:val="20"/>
        </w:rPr>
        <w:t xml:space="preserve">System </w:t>
      </w:r>
      <w:r w:rsidR="000169F0" w:rsidRPr="000169F0">
        <w:rPr>
          <w:rFonts w:cs="TimesNewRomanPS-BoldItalicMT"/>
          <w:bCs/>
          <w:iCs/>
          <w:szCs w:val="20"/>
        </w:rPr>
        <w:t xml:space="preserve">ten </w:t>
      </w:r>
      <w:r w:rsidR="008B7C62" w:rsidRPr="000169F0">
        <w:rPr>
          <w:rFonts w:cs="TimesNewRomanPS-BoldItalicMT"/>
          <w:bCs/>
          <w:iCs/>
          <w:szCs w:val="20"/>
        </w:rPr>
        <w:t xml:space="preserve">nie powinien </w:t>
      </w:r>
      <w:r w:rsidR="000169F0" w:rsidRPr="000169F0">
        <w:rPr>
          <w:rFonts w:cs="TimesNewRomanPS-BoldItalicMT"/>
          <w:bCs/>
          <w:iCs/>
          <w:szCs w:val="20"/>
        </w:rPr>
        <w:t>używać</w:t>
      </w:r>
      <w:r w:rsidR="008B7C62" w:rsidRPr="000169F0">
        <w:rPr>
          <w:rFonts w:cs="TimesNewRomanPS-BoldItalicMT"/>
          <w:bCs/>
          <w:iCs/>
          <w:szCs w:val="20"/>
        </w:rPr>
        <w:t xml:space="preserve"> tego samego sposobu kodowania </w:t>
      </w:r>
      <w:r w:rsidR="000169F0" w:rsidRPr="000169F0">
        <w:rPr>
          <w:rFonts w:cs="TimesNewRomanPS-BoldItalicMT"/>
          <w:bCs/>
          <w:iCs/>
          <w:szCs w:val="20"/>
        </w:rPr>
        <w:t>co</w:t>
      </w:r>
      <w:r w:rsidR="008B7C62" w:rsidRPr="000169F0">
        <w:rPr>
          <w:rFonts w:cs="TimesNewRomanPS-BoldItalicMT"/>
          <w:bCs/>
          <w:iCs/>
          <w:szCs w:val="20"/>
        </w:rPr>
        <w:t xml:space="preserve"> jakikolwiek inny wzrokowy wskaźnik ścieżki podejścia.</w:t>
      </w:r>
    </w:p>
    <w:p w14:paraId="03DEA9DB" w14:textId="2C443F7B" w:rsidR="008B7C62" w:rsidRPr="00F50ACE"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(5) </w:t>
      </w:r>
      <w:r w:rsidR="008B7C62" w:rsidRPr="000169F0">
        <w:rPr>
          <w:rFonts w:cs="TimesNewRomanPS-BoldItalicMT"/>
          <w:bCs/>
          <w:iCs/>
          <w:szCs w:val="20"/>
        </w:rPr>
        <w:tab/>
        <w:t>Format sygnału powinien być taki, aby system był niepowtarzalny i wyrazisty we wszystkich operacyjnych warunkach środowiskowych.</w:t>
      </w:r>
    </w:p>
    <w:p w14:paraId="1026F414" w14:textId="5EE75E33" w:rsidR="008B7C62" w:rsidRPr="00F50ACE" w:rsidRDefault="00B0428E" w:rsidP="00B0428E">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(6) </w:t>
      </w:r>
      <w:r w:rsidRPr="00F50ACE">
        <w:rPr>
          <w:rFonts w:cs="TimesNewRomanPS-BoldItalicMT"/>
          <w:bCs/>
          <w:iCs/>
          <w:szCs w:val="20"/>
        </w:rPr>
        <w:tab/>
      </w:r>
      <w:r w:rsidR="008B7C62" w:rsidRPr="00F50ACE">
        <w:rPr>
          <w:rFonts w:cs="TimesNewRomanPS-BoldItalicMT"/>
          <w:bCs/>
          <w:iCs/>
          <w:szCs w:val="20"/>
        </w:rPr>
        <w:t>System nie może w znaczący sposób zwiększać obciążenia pracą pilota.</w:t>
      </w:r>
    </w:p>
    <w:p w14:paraId="2DD4B341" w14:textId="612488A9" w:rsidR="00B0428E" w:rsidRPr="00F50ACE" w:rsidRDefault="00B0428E" w:rsidP="00B0428E">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 xml:space="preserve">(d) </w:t>
      </w:r>
      <w:r w:rsidRPr="00F50ACE">
        <w:rPr>
          <w:rFonts w:cs="TimesNewRomanPS-BoldItalicMT"/>
          <w:bCs/>
          <w:iCs/>
          <w:szCs w:val="20"/>
        </w:rPr>
        <w:tab/>
        <w:t>Rozkład światła:</w:t>
      </w:r>
    </w:p>
    <w:p w14:paraId="53ED9636" w14:textId="4C8C330D" w:rsidR="00B0428E" w:rsidRPr="00E34FE4" w:rsidRDefault="00B0428E" w:rsidP="00B0428E">
      <w:pPr>
        <w:tabs>
          <w:tab w:val="left" w:pos="1134"/>
        </w:tabs>
        <w:autoSpaceDE w:val="0"/>
        <w:autoSpaceDN w:val="0"/>
        <w:adjustRightInd w:val="0"/>
        <w:ind w:left="1134" w:hanging="567"/>
        <w:rPr>
          <w:rFonts w:cs="TimesNewRomanPS-BoldItalicMT"/>
          <w:bCs/>
          <w:iCs/>
          <w:szCs w:val="20"/>
        </w:rPr>
      </w:pPr>
      <w:r w:rsidRPr="000169F0">
        <w:rPr>
          <w:rFonts w:cs="TimesNewRomanPS-BoldItalicMT"/>
          <w:bCs/>
          <w:iCs/>
          <w:szCs w:val="20"/>
        </w:rPr>
        <w:t xml:space="preserve">(1) </w:t>
      </w:r>
      <w:r w:rsidRPr="000169F0">
        <w:rPr>
          <w:rFonts w:cs="TimesNewRomanPS-BoldItalicMT"/>
          <w:bCs/>
          <w:iCs/>
          <w:szCs w:val="20"/>
        </w:rPr>
        <w:tab/>
        <w:t>Użyteczny za</w:t>
      </w:r>
      <w:r w:rsidR="000169F0" w:rsidRPr="000169F0">
        <w:rPr>
          <w:rFonts w:cs="TimesNewRomanPS-BoldItalicMT"/>
          <w:bCs/>
          <w:iCs/>
          <w:szCs w:val="20"/>
        </w:rPr>
        <w:t>sięg</w:t>
      </w:r>
      <w:r w:rsidRPr="000169F0">
        <w:rPr>
          <w:rFonts w:cs="TimesNewRomanPS-BoldItalicMT"/>
          <w:bCs/>
          <w:iCs/>
          <w:szCs w:val="20"/>
        </w:rPr>
        <w:t xml:space="preserve"> wzrokowego systemu naprowadzania powinien być równy lub lepszy niż </w:t>
      </w:r>
      <w:r w:rsidRPr="00E34FE4">
        <w:rPr>
          <w:rFonts w:cs="TimesNewRomanPS-BoldItalicMT"/>
          <w:bCs/>
          <w:iCs/>
          <w:szCs w:val="20"/>
        </w:rPr>
        <w:t>wzrokow</w:t>
      </w:r>
      <w:r w:rsidR="000169F0" w:rsidRPr="00E34FE4">
        <w:rPr>
          <w:rFonts w:cs="TimesNewRomanPS-BoldItalicMT"/>
          <w:bCs/>
          <w:iCs/>
          <w:szCs w:val="20"/>
        </w:rPr>
        <w:t>ego</w:t>
      </w:r>
      <w:r w:rsidRPr="00E34FE4">
        <w:rPr>
          <w:rFonts w:cs="TimesNewRomanPS-BoldItalicMT"/>
          <w:bCs/>
          <w:iCs/>
          <w:szCs w:val="20"/>
        </w:rPr>
        <w:t xml:space="preserve"> system</w:t>
      </w:r>
      <w:r w:rsidR="000169F0" w:rsidRPr="00E34FE4">
        <w:rPr>
          <w:rFonts w:cs="TimesNewRomanPS-BoldItalicMT"/>
          <w:bCs/>
          <w:iCs/>
          <w:szCs w:val="20"/>
        </w:rPr>
        <w:t>u</w:t>
      </w:r>
      <w:r w:rsidRPr="00E34FE4">
        <w:rPr>
          <w:rFonts w:cs="TimesNewRomanPS-BoldItalicMT"/>
          <w:bCs/>
          <w:iCs/>
          <w:szCs w:val="20"/>
        </w:rPr>
        <w:t xml:space="preserve"> wskaźnika ścieżki podejścia, z którym jest związany.</w:t>
      </w:r>
    </w:p>
    <w:p w14:paraId="687BC057" w14:textId="0A7A7F9C" w:rsidR="000169F0" w:rsidRPr="000169F0" w:rsidRDefault="00B0428E" w:rsidP="000169F0">
      <w:pPr>
        <w:tabs>
          <w:tab w:val="left" w:pos="1134"/>
        </w:tabs>
        <w:autoSpaceDE w:val="0"/>
        <w:autoSpaceDN w:val="0"/>
        <w:adjustRightInd w:val="0"/>
        <w:ind w:left="1134" w:hanging="567"/>
        <w:rPr>
          <w:rFonts w:cs="TimesNewRomanPS-BoldItalicMT"/>
          <w:bCs/>
          <w:iCs/>
          <w:szCs w:val="20"/>
        </w:rPr>
      </w:pPr>
      <w:r w:rsidRPr="00E34FE4">
        <w:rPr>
          <w:rFonts w:cs="TimesNewRomanPS-BoldItalicMT"/>
          <w:bCs/>
          <w:iCs/>
          <w:szCs w:val="20"/>
        </w:rPr>
        <w:t xml:space="preserve">(2) </w:t>
      </w:r>
      <w:r w:rsidRPr="00E34FE4">
        <w:rPr>
          <w:rFonts w:cs="TimesNewRomanPS-BoldItalicMT"/>
          <w:bCs/>
          <w:iCs/>
          <w:szCs w:val="20"/>
        </w:rPr>
        <w:tab/>
      </w:r>
      <w:r w:rsidR="000169F0" w:rsidRPr="000169F0">
        <w:rPr>
          <w:rFonts w:cs="TimesNewRomanPS-BoldItalicMT"/>
          <w:bCs/>
          <w:iCs/>
          <w:szCs w:val="20"/>
        </w:rPr>
        <w:t xml:space="preserve">Należy zapewnić odpowiednią regulację natężenia, aby umożliwić regulację w celu </w:t>
      </w:r>
      <w:r w:rsidR="00E34FE4" w:rsidRPr="00E34FE4">
        <w:rPr>
          <w:rFonts w:cs="TimesNewRomanPS-BoldItalicMT"/>
          <w:bCs/>
          <w:iCs/>
          <w:szCs w:val="20"/>
        </w:rPr>
        <w:t>dostosowania do</w:t>
      </w:r>
      <w:r w:rsidR="000169F0" w:rsidRPr="000169F0">
        <w:rPr>
          <w:rFonts w:cs="TimesNewRomanPS-BoldItalicMT"/>
          <w:bCs/>
          <w:iCs/>
          <w:szCs w:val="20"/>
        </w:rPr>
        <w:t xml:space="preserve"> panujących warunków i unikn</w:t>
      </w:r>
      <w:r w:rsidR="00E34FE4" w:rsidRPr="00E34FE4">
        <w:rPr>
          <w:rFonts w:cs="TimesNewRomanPS-BoldItalicMT"/>
          <w:bCs/>
          <w:iCs/>
          <w:szCs w:val="20"/>
        </w:rPr>
        <w:t>ięcia</w:t>
      </w:r>
      <w:r w:rsidR="000169F0" w:rsidRPr="000169F0">
        <w:rPr>
          <w:rFonts w:cs="TimesNewRomanPS-BoldItalicMT"/>
          <w:bCs/>
          <w:iCs/>
          <w:szCs w:val="20"/>
        </w:rPr>
        <w:t xml:space="preserve"> oślepiania pilota podczas podejścia i lądowania.</w:t>
      </w:r>
    </w:p>
    <w:p w14:paraId="43AC19FB" w14:textId="5382E213" w:rsidR="00B0428E" w:rsidRPr="00E34FE4" w:rsidRDefault="00B0428E" w:rsidP="00B0428E">
      <w:pPr>
        <w:tabs>
          <w:tab w:val="left" w:pos="567"/>
        </w:tabs>
        <w:autoSpaceDE w:val="0"/>
        <w:autoSpaceDN w:val="0"/>
        <w:adjustRightInd w:val="0"/>
        <w:ind w:left="567" w:hanging="567"/>
        <w:rPr>
          <w:rFonts w:cs="TimesNewRomanPS-BoldItalicMT"/>
          <w:bCs/>
          <w:iCs/>
          <w:szCs w:val="20"/>
        </w:rPr>
      </w:pPr>
      <w:r w:rsidRPr="00E34FE4">
        <w:rPr>
          <w:rFonts w:cs="TimesNewRomanPS-BoldItalicMT"/>
          <w:bCs/>
          <w:iCs/>
          <w:szCs w:val="20"/>
        </w:rPr>
        <w:t xml:space="preserve">(e) </w:t>
      </w:r>
      <w:r w:rsidRPr="00E34FE4">
        <w:rPr>
          <w:rFonts w:cs="TimesNewRomanPS-BoldItalicMT"/>
          <w:bCs/>
          <w:iCs/>
          <w:szCs w:val="20"/>
        </w:rPr>
        <w:tab/>
        <w:t>Ścieżka podejścia i ustawianie azymutu</w:t>
      </w:r>
    </w:p>
    <w:p w14:paraId="3C6D7D90" w14:textId="44EAC924" w:rsidR="00B0428E" w:rsidRPr="00E34FE4" w:rsidRDefault="00B0428E" w:rsidP="00B0428E">
      <w:pPr>
        <w:tabs>
          <w:tab w:val="left" w:pos="1134"/>
        </w:tabs>
        <w:autoSpaceDE w:val="0"/>
        <w:autoSpaceDN w:val="0"/>
        <w:adjustRightInd w:val="0"/>
        <w:ind w:left="1134" w:hanging="567"/>
        <w:rPr>
          <w:rFonts w:cs="TimesNewRomanPS-BoldItalicMT"/>
          <w:bCs/>
          <w:iCs/>
          <w:szCs w:val="20"/>
        </w:rPr>
      </w:pPr>
      <w:r w:rsidRPr="00E34FE4">
        <w:rPr>
          <w:rFonts w:cs="TimesNewRomanPS-BoldItalicMT"/>
          <w:bCs/>
          <w:iCs/>
          <w:szCs w:val="20"/>
        </w:rPr>
        <w:t xml:space="preserve">(1) </w:t>
      </w:r>
      <w:r w:rsidRPr="00E34FE4">
        <w:rPr>
          <w:rFonts w:cs="TimesNewRomanPS-BoldItalicMT"/>
          <w:bCs/>
          <w:iCs/>
          <w:szCs w:val="20"/>
        </w:rPr>
        <w:tab/>
        <w:t>Wzrokowy system naprowadzania powinien być zdolny do ustawiania wymaganego azymutu ścieżki podejścia z dokładnością do 5 minut kątowych.</w:t>
      </w:r>
    </w:p>
    <w:p w14:paraId="4F76CCD0" w14:textId="18C404B0" w:rsidR="00B0428E" w:rsidRPr="00E34FE4" w:rsidRDefault="00B0428E" w:rsidP="00B0428E">
      <w:pPr>
        <w:tabs>
          <w:tab w:val="left" w:pos="1134"/>
        </w:tabs>
        <w:autoSpaceDE w:val="0"/>
        <w:autoSpaceDN w:val="0"/>
        <w:adjustRightInd w:val="0"/>
        <w:ind w:left="1134" w:hanging="567"/>
        <w:rPr>
          <w:rFonts w:cs="TimesNewRomanPS-BoldItalicMT"/>
          <w:bCs/>
          <w:iCs/>
          <w:szCs w:val="20"/>
        </w:rPr>
      </w:pPr>
      <w:r w:rsidRPr="00E34FE4">
        <w:rPr>
          <w:rFonts w:cs="TimesNewRomanPS-BoldItalicMT"/>
          <w:bCs/>
          <w:iCs/>
          <w:szCs w:val="20"/>
        </w:rPr>
        <w:t xml:space="preserve">(2) </w:t>
      </w:r>
      <w:r w:rsidRPr="00E34FE4">
        <w:rPr>
          <w:rFonts w:cs="TimesNewRomanPS-BoldItalicMT"/>
          <w:bCs/>
          <w:iCs/>
          <w:szCs w:val="20"/>
        </w:rPr>
        <w:tab/>
        <w:t>Kąt azymutu systemu naprowadzania powinien być taki, aby podczas podchodzenia pilot śmigłowca, gdy znajdzie się na granicy sygnału „na ścież</w:t>
      </w:r>
      <w:r w:rsidR="00E34FE4" w:rsidRPr="00E34FE4">
        <w:rPr>
          <w:rFonts w:cs="TimesNewRomanPS-BoldItalicMT"/>
          <w:bCs/>
          <w:iCs/>
          <w:szCs w:val="20"/>
        </w:rPr>
        <w:t>ce”, omijał wszystkie obiekty w </w:t>
      </w:r>
      <w:r w:rsidRPr="00E34FE4">
        <w:rPr>
          <w:rFonts w:cs="TimesNewRomanPS-BoldItalicMT"/>
          <w:bCs/>
          <w:iCs/>
          <w:szCs w:val="20"/>
        </w:rPr>
        <w:t xml:space="preserve">strefie podejścia z bezpiecznym marginesem. </w:t>
      </w:r>
    </w:p>
    <w:p w14:paraId="1B9C16B0" w14:textId="77AD5B6E" w:rsidR="00B0428E" w:rsidRPr="00E34FE4" w:rsidRDefault="00B0428E" w:rsidP="00B0428E">
      <w:pPr>
        <w:tabs>
          <w:tab w:val="left" w:pos="1134"/>
        </w:tabs>
        <w:autoSpaceDE w:val="0"/>
        <w:autoSpaceDN w:val="0"/>
        <w:adjustRightInd w:val="0"/>
        <w:ind w:left="1134" w:hanging="567"/>
        <w:rPr>
          <w:rFonts w:cs="TimesNewRomanPS-BoldItalicMT"/>
          <w:bCs/>
          <w:iCs/>
          <w:szCs w:val="20"/>
        </w:rPr>
      </w:pPr>
      <w:r w:rsidRPr="00BD1DB3">
        <w:rPr>
          <w:rFonts w:cs="TimesNewRomanPS-BoldItalicMT"/>
          <w:bCs/>
          <w:iCs/>
          <w:szCs w:val="20"/>
        </w:rPr>
        <w:t xml:space="preserve">(3) </w:t>
      </w:r>
      <w:r w:rsidRPr="00BD1DB3">
        <w:rPr>
          <w:rFonts w:cs="TimesNewRomanPS-BoldItalicMT"/>
          <w:bCs/>
          <w:iCs/>
          <w:szCs w:val="20"/>
        </w:rPr>
        <w:tab/>
        <w:t>Charakterystyki powierzchni zabezpieczenia przeszkodowego przedstawione</w:t>
      </w:r>
      <w:r w:rsidRPr="00E34FE4">
        <w:rPr>
          <w:rFonts w:cs="TimesNewRomanPS-BoldItalicMT"/>
          <w:bCs/>
          <w:iCs/>
          <w:szCs w:val="20"/>
        </w:rPr>
        <w:t xml:space="preserve"> </w:t>
      </w:r>
      <w:r w:rsidR="00E34FE4" w:rsidRPr="00E34FE4">
        <w:rPr>
          <w:rFonts w:cs="TimesNewRomanPS-BoldItalicMT"/>
          <w:bCs/>
          <w:iCs/>
          <w:szCs w:val="20"/>
        </w:rPr>
        <w:br/>
      </w:r>
      <w:r w:rsidRPr="00E34FE4">
        <w:rPr>
          <w:rFonts w:cs="TimesNewRomanPS-BoldItalicMT"/>
          <w:bCs/>
          <w:iCs/>
          <w:szCs w:val="20"/>
        </w:rPr>
        <w:t>w</w:t>
      </w:r>
      <w:r w:rsidR="00E34FE4" w:rsidRPr="00E34FE4">
        <w:rPr>
          <w:rFonts w:cs="TimesNewRomanPS-BoldItalicMT"/>
          <w:bCs/>
          <w:iCs/>
          <w:szCs w:val="20"/>
        </w:rPr>
        <w:t xml:space="preserve"> </w:t>
      </w:r>
      <w:hyperlink w:anchor="_CS_HPT-DSN.F.660_" w:history="1">
        <w:r w:rsidR="00E34FE4" w:rsidRPr="00BD1DB3">
          <w:rPr>
            <w:rStyle w:val="Hipercze"/>
          </w:rPr>
          <w:t>CS </w:t>
        </w:r>
        <w:r w:rsidRPr="00BD1DB3">
          <w:rPr>
            <w:rStyle w:val="Hipercze"/>
          </w:rPr>
          <w:t>HPT-DSN.F.660</w:t>
        </w:r>
      </w:hyperlink>
      <w:r w:rsidR="00BD1DB3">
        <w:t xml:space="preserve"> punkt </w:t>
      </w:r>
      <w:r w:rsidRPr="00BD1DB3">
        <w:t>(h)(2),</w:t>
      </w:r>
      <w:r w:rsidRPr="00E34FE4">
        <w:t xml:space="preserve"> </w:t>
      </w:r>
      <w:r w:rsidR="00CC735D" w:rsidRPr="00E34FE4">
        <w:t xml:space="preserve">w </w:t>
      </w:r>
      <w:r w:rsidRPr="00E34FE4">
        <w:t>Tab</w:t>
      </w:r>
      <w:r w:rsidR="00CC735D" w:rsidRPr="00E34FE4">
        <w:t>e</w:t>
      </w:r>
      <w:r w:rsidRPr="00E34FE4">
        <w:t>l</w:t>
      </w:r>
      <w:r w:rsidR="00CC735D" w:rsidRPr="00E34FE4">
        <w:t>i</w:t>
      </w:r>
      <w:r w:rsidRPr="00E34FE4">
        <w:t xml:space="preserve"> F-1 </w:t>
      </w:r>
      <w:r w:rsidR="00CC735D" w:rsidRPr="00E34FE4">
        <w:t xml:space="preserve">i na Rysunku </w:t>
      </w:r>
      <w:r w:rsidRPr="00E34FE4">
        <w:t>F-10</w:t>
      </w:r>
      <w:r w:rsidRPr="00E34FE4">
        <w:rPr>
          <w:rFonts w:cs="TimesNewRomanPS-BoldItalicMT"/>
          <w:bCs/>
          <w:iCs/>
          <w:szCs w:val="20"/>
        </w:rPr>
        <w:t>, powinny mieć takie sam</w:t>
      </w:r>
      <w:r w:rsidR="00CC735D" w:rsidRPr="00E34FE4">
        <w:rPr>
          <w:rFonts w:cs="TimesNewRomanPS-BoldItalicMT"/>
          <w:bCs/>
          <w:iCs/>
          <w:szCs w:val="20"/>
        </w:rPr>
        <w:t>o</w:t>
      </w:r>
      <w:r w:rsidRPr="00E34FE4">
        <w:rPr>
          <w:rFonts w:cs="TimesNewRomanPS-BoldItalicMT"/>
          <w:bCs/>
          <w:iCs/>
          <w:szCs w:val="20"/>
        </w:rPr>
        <w:t xml:space="preserve"> zastosowanie do tego systemu.</w:t>
      </w:r>
    </w:p>
    <w:p w14:paraId="4E1F3095" w14:textId="150B0925" w:rsidR="00B0428E" w:rsidRPr="00E34FE4" w:rsidRDefault="00B0428E" w:rsidP="00B0428E">
      <w:pPr>
        <w:tabs>
          <w:tab w:val="left" w:pos="567"/>
        </w:tabs>
        <w:autoSpaceDE w:val="0"/>
        <w:autoSpaceDN w:val="0"/>
        <w:adjustRightInd w:val="0"/>
        <w:ind w:left="567" w:hanging="567"/>
        <w:rPr>
          <w:rFonts w:cs="TimesNewRomanPS-BoldItalicMT"/>
          <w:bCs/>
          <w:iCs/>
          <w:szCs w:val="20"/>
        </w:rPr>
      </w:pPr>
      <w:r w:rsidRPr="00E34FE4">
        <w:rPr>
          <w:rFonts w:cs="TimesNewRomanPS-BoldItalicMT"/>
          <w:bCs/>
          <w:iCs/>
          <w:szCs w:val="20"/>
        </w:rPr>
        <w:t xml:space="preserve">(f) </w:t>
      </w:r>
      <w:r w:rsidRPr="00E34FE4">
        <w:rPr>
          <w:rFonts w:cs="TimesNewRomanPS-BoldItalicMT"/>
          <w:bCs/>
          <w:iCs/>
          <w:szCs w:val="20"/>
        </w:rPr>
        <w:tab/>
        <w:t>Charakterystyki wzrokowego systemu naprowadzania</w:t>
      </w:r>
    </w:p>
    <w:p w14:paraId="1D97AB62" w14:textId="15758533" w:rsidR="00B0428E" w:rsidRPr="00E34FE4" w:rsidRDefault="00B0428E" w:rsidP="00B0428E">
      <w:pPr>
        <w:tabs>
          <w:tab w:val="left" w:pos="1134"/>
        </w:tabs>
        <w:autoSpaceDE w:val="0"/>
        <w:autoSpaceDN w:val="0"/>
        <w:adjustRightInd w:val="0"/>
        <w:ind w:left="1134" w:hanging="567"/>
        <w:rPr>
          <w:rFonts w:cs="TimesNewRomanPS-BoldItalicMT"/>
          <w:bCs/>
          <w:iCs/>
          <w:szCs w:val="20"/>
        </w:rPr>
      </w:pPr>
      <w:r w:rsidRPr="00E34FE4">
        <w:rPr>
          <w:rFonts w:cs="TimesNewRomanPS-BoldItalicMT"/>
          <w:bCs/>
          <w:iCs/>
          <w:szCs w:val="20"/>
        </w:rPr>
        <w:t xml:space="preserve">(1) </w:t>
      </w:r>
      <w:r w:rsidRPr="00E34FE4">
        <w:rPr>
          <w:rFonts w:cs="TimesNewRomanPS-BoldItalicMT"/>
          <w:bCs/>
          <w:iCs/>
          <w:szCs w:val="20"/>
        </w:rPr>
        <w:tab/>
        <w:t>W przypadku awarii któregoś z elementów systemu, wpływającej na postać sygnału, system powinien być wyłączany automatycznie.</w:t>
      </w:r>
    </w:p>
    <w:p w14:paraId="5E968D9D" w14:textId="29DCF25A" w:rsidR="00B0428E" w:rsidRPr="00F50ACE" w:rsidRDefault="00B0428E" w:rsidP="00B0428E">
      <w:pPr>
        <w:tabs>
          <w:tab w:val="left" w:pos="1134"/>
        </w:tabs>
        <w:autoSpaceDE w:val="0"/>
        <w:autoSpaceDN w:val="0"/>
        <w:adjustRightInd w:val="0"/>
        <w:ind w:left="1134" w:hanging="567"/>
        <w:rPr>
          <w:rFonts w:cs="TimesNewRomanPS-BoldItalicMT"/>
          <w:bCs/>
          <w:iCs/>
          <w:szCs w:val="20"/>
        </w:rPr>
      </w:pPr>
      <w:r w:rsidRPr="00E34FE4">
        <w:rPr>
          <w:rFonts w:cs="TimesNewRomanPS-BoldItalicMT"/>
          <w:bCs/>
          <w:iCs/>
          <w:szCs w:val="20"/>
        </w:rPr>
        <w:t xml:space="preserve">(2) </w:t>
      </w:r>
      <w:r w:rsidRPr="00E34FE4">
        <w:rPr>
          <w:rFonts w:cs="TimesNewRomanPS-BoldItalicMT"/>
          <w:bCs/>
          <w:iCs/>
          <w:szCs w:val="20"/>
        </w:rPr>
        <w:tab/>
        <w:t xml:space="preserve">Jednostki świetlne powinny być tak zaprojektowane, aby osady kondensacyjne, lód, brud itp. na powierzchniach optycznych transmitujących lub odbijających światło w jak najmniejszym stopniu </w:t>
      </w:r>
      <w:r w:rsidRPr="00F50ACE">
        <w:rPr>
          <w:rFonts w:cs="TimesNewRomanPS-BoldItalicMT"/>
          <w:bCs/>
          <w:iCs/>
          <w:szCs w:val="20"/>
        </w:rPr>
        <w:t>oddziaływały na sygnał świetlny i nie powodowały powstania sygnałów błędnych lub fałszywych.</w:t>
      </w:r>
    </w:p>
    <w:p w14:paraId="14EEB43D" w14:textId="77777777" w:rsidR="004F00AB" w:rsidRPr="00900AA5" w:rsidRDefault="004F00AB" w:rsidP="004F00AB">
      <w:pPr>
        <w:spacing w:before="120"/>
        <w:rPr>
          <w:szCs w:val="20"/>
        </w:rPr>
      </w:pPr>
      <w:r w:rsidRPr="00900AA5">
        <w:rPr>
          <w:noProof/>
          <w:lang w:eastAsia="pl-PL"/>
        </w:rPr>
        <mc:AlternateContent>
          <mc:Choice Requires="wpg">
            <w:drawing>
              <wp:anchor distT="0" distB="0" distL="114300" distR="114300" simplePos="0" relativeHeight="251700736" behindDoc="0" locked="0" layoutInCell="1" allowOverlap="1" wp14:anchorId="284D56DE" wp14:editId="3A0A5765">
                <wp:simplePos x="0" y="0"/>
                <wp:positionH relativeFrom="column">
                  <wp:posOffset>648970</wp:posOffset>
                </wp:positionH>
                <wp:positionV relativeFrom="paragraph">
                  <wp:posOffset>431800</wp:posOffset>
                </wp:positionV>
                <wp:extent cx="4328160" cy="1582420"/>
                <wp:effectExtent l="0" t="0" r="0" b="0"/>
                <wp:wrapNone/>
                <wp:docPr id="1551" name="Grupa 1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8160" cy="1582420"/>
                          <a:chOff x="2480" y="6446"/>
                          <a:chExt cx="6816" cy="2492"/>
                        </a:xfrm>
                      </wpg:grpSpPr>
                      <wps:wsp>
                        <wps:cNvPr id="1552" name="Text Box 621"/>
                        <wps:cNvSpPr txBox="1">
                          <a:spLocks noChangeArrowheads="1"/>
                        </wps:cNvSpPr>
                        <wps:spPr bwMode="auto">
                          <a:xfrm>
                            <a:off x="6849" y="7109"/>
                            <a:ext cx="58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BBEBB" w14:textId="77777777" w:rsidR="003832F2" w:rsidRPr="007C23FC" w:rsidRDefault="003832F2" w:rsidP="004F00AB">
                              <w:pPr>
                                <w:jc w:val="center"/>
                                <w:rPr>
                                  <w:rFonts w:ascii="Arial Narrow" w:hAnsi="Arial Narrow"/>
                                </w:rPr>
                              </w:pPr>
                              <w:r>
                                <w:rPr>
                                  <w:rFonts w:ascii="Arial Narrow" w:hAnsi="Arial Narrow"/>
                                </w:rPr>
                                <w:t>FATO</w:t>
                              </w:r>
                            </w:p>
                          </w:txbxContent>
                        </wps:txbx>
                        <wps:bodyPr rot="0" vert="horz" wrap="square" lIns="18000" tIns="18000" rIns="18000" bIns="18000" anchor="ctr" anchorCtr="0" upright="1">
                          <a:spAutoFit/>
                        </wps:bodyPr>
                      </wps:wsp>
                      <wps:wsp>
                        <wps:cNvPr id="1553" name="Text Box 622"/>
                        <wps:cNvSpPr txBox="1">
                          <a:spLocks noChangeArrowheads="1"/>
                        </wps:cNvSpPr>
                        <wps:spPr bwMode="auto">
                          <a:xfrm>
                            <a:off x="2480" y="7189"/>
                            <a:ext cx="581"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925C0" w14:textId="77777777" w:rsidR="003832F2" w:rsidRPr="007C23FC" w:rsidRDefault="003832F2" w:rsidP="004F00AB">
                              <w:pPr>
                                <w:jc w:val="center"/>
                                <w:rPr>
                                  <w:rFonts w:ascii="Arial Narrow" w:hAnsi="Arial Narrow"/>
                                </w:rPr>
                              </w:pPr>
                              <w:r>
                                <w:rPr>
                                  <w:rFonts w:ascii="Arial Narrow" w:hAnsi="Arial Narrow"/>
                                </w:rPr>
                                <w:t>FATO</w:t>
                              </w:r>
                            </w:p>
                          </w:txbxContent>
                        </wps:txbx>
                        <wps:bodyPr rot="0" vert="horz" wrap="square" lIns="18000" tIns="18000" rIns="18000" bIns="18000" anchor="ctr" anchorCtr="0" upright="1">
                          <a:spAutoFit/>
                        </wps:bodyPr>
                      </wps:wsp>
                      <wps:wsp>
                        <wps:cNvPr id="1554" name="Text Box 623"/>
                        <wps:cNvSpPr txBox="1">
                          <a:spLocks noChangeArrowheads="1"/>
                        </wps:cNvSpPr>
                        <wps:spPr bwMode="auto">
                          <a:xfrm>
                            <a:off x="2963" y="8509"/>
                            <a:ext cx="1098"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A5452" w14:textId="77777777" w:rsidR="003832F2" w:rsidRPr="007C23FC" w:rsidRDefault="003832F2" w:rsidP="004F00AB">
                              <w:pPr>
                                <w:jc w:val="center"/>
                                <w:rPr>
                                  <w:rFonts w:ascii="Arial Narrow" w:hAnsi="Arial Narrow"/>
                                </w:rPr>
                              </w:pPr>
                              <w:r>
                                <w:rPr>
                                  <w:rFonts w:ascii="Arial Narrow" w:hAnsi="Arial Narrow"/>
                                </w:rPr>
                                <w:t>Przykład A</w:t>
                              </w:r>
                            </w:p>
                          </w:txbxContent>
                        </wps:txbx>
                        <wps:bodyPr rot="0" vert="horz" wrap="square" lIns="18000" tIns="18000" rIns="18000" bIns="18000" anchor="ctr" anchorCtr="0" upright="1">
                          <a:spAutoFit/>
                        </wps:bodyPr>
                      </wps:wsp>
                      <wps:wsp>
                        <wps:cNvPr id="1555" name="Text Box 624"/>
                        <wps:cNvSpPr txBox="1">
                          <a:spLocks noChangeArrowheads="1"/>
                        </wps:cNvSpPr>
                        <wps:spPr bwMode="auto">
                          <a:xfrm>
                            <a:off x="7429" y="8509"/>
                            <a:ext cx="1098"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100B5" w14:textId="77777777" w:rsidR="003832F2" w:rsidRPr="007C23FC" w:rsidRDefault="003832F2" w:rsidP="004F00AB">
                              <w:pPr>
                                <w:jc w:val="center"/>
                                <w:rPr>
                                  <w:rFonts w:ascii="Arial Narrow" w:hAnsi="Arial Narrow"/>
                                </w:rPr>
                              </w:pPr>
                              <w:r>
                                <w:rPr>
                                  <w:rFonts w:ascii="Arial Narrow" w:hAnsi="Arial Narrow"/>
                                </w:rPr>
                                <w:t>Przykład B</w:t>
                              </w:r>
                            </w:p>
                          </w:txbxContent>
                        </wps:txbx>
                        <wps:bodyPr rot="0" vert="horz" wrap="square" lIns="18000" tIns="18000" rIns="18000" bIns="18000" anchor="ctr" anchorCtr="0" upright="1">
                          <a:spAutoFit/>
                        </wps:bodyPr>
                      </wps:wsp>
                      <wps:wsp>
                        <wps:cNvPr id="1556" name="Text Box 625"/>
                        <wps:cNvSpPr txBox="1">
                          <a:spLocks noChangeArrowheads="1"/>
                        </wps:cNvSpPr>
                        <wps:spPr bwMode="auto">
                          <a:xfrm>
                            <a:off x="4526" y="6971"/>
                            <a:ext cx="409"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3366F"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spAutoFit/>
                        </wps:bodyPr>
                      </wps:wsp>
                      <wps:wsp>
                        <wps:cNvPr id="1557" name="Text Box 626"/>
                        <wps:cNvSpPr txBox="1">
                          <a:spLocks noChangeArrowheads="1"/>
                        </wps:cNvSpPr>
                        <wps:spPr bwMode="auto">
                          <a:xfrm>
                            <a:off x="4190" y="7295"/>
                            <a:ext cx="408"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44A5E"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s:wsp>
                        <wps:cNvPr id="1558" name="Text Box 627"/>
                        <wps:cNvSpPr txBox="1">
                          <a:spLocks noChangeArrowheads="1"/>
                        </wps:cNvSpPr>
                        <wps:spPr bwMode="auto">
                          <a:xfrm>
                            <a:off x="8855" y="6446"/>
                            <a:ext cx="408"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9875D"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s:wsp>
                        <wps:cNvPr id="1559" name="Text Box 628"/>
                        <wps:cNvSpPr txBox="1">
                          <a:spLocks noChangeArrowheads="1"/>
                        </wps:cNvSpPr>
                        <wps:spPr bwMode="auto">
                          <a:xfrm>
                            <a:off x="8888" y="7874"/>
                            <a:ext cx="408"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C6D49"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84D56DE" id="Grupa 1551" o:spid="_x0000_s1285" style="position:absolute;left:0;text-align:left;margin-left:51.1pt;margin-top:34pt;width:340.8pt;height:124.6pt;z-index:251700736;mso-position-horizontal-relative:text;mso-position-vertical-relative:text" coordorigin="2480,6446" coordsize="6816,2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">
                <v:shape id="Text Box 621" o:spid="_x0000_s1286" type="#_x0000_t202" style="position:absolute;left:6849;top:7109;width:581;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" filled="f" stroked="f">
                  <v:textbox style="mso-fit-shape-to-text:t" inset=".5mm,.5mm,.5mm,.5mm">
                    <w:txbxContent>
                      <w:p w14:paraId="38BBBEBB" w14:textId="77777777" w:rsidR="003832F2" w:rsidRPr="007C23FC" w:rsidRDefault="003832F2" w:rsidP="004F00AB">
                        <w:pPr>
                          <w:jc w:val="center"/>
                          <w:rPr>
                            <w:rFonts w:ascii="Arial Narrow" w:hAnsi="Arial Narrow"/>
                          </w:rPr>
                        </w:pPr>
                        <w:r>
                          <w:rPr>
                            <w:rFonts w:ascii="Arial Narrow" w:hAnsi="Arial Narrow"/>
                          </w:rPr>
                          <w:t>FATO</w:t>
                        </w:r>
                      </w:p>
                    </w:txbxContent>
                  </v:textbox>
                </v:shape>
                <v:shape id="Text Box 622" o:spid="_x0000_s1287" type="#_x0000_t202" style="position:absolute;left:2480;top:7189;width:581;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" filled="f" stroked="f">
                  <v:textbox style="mso-fit-shape-to-text:t" inset=".5mm,.5mm,.5mm,.5mm">
                    <w:txbxContent>
                      <w:p w14:paraId="70C925C0" w14:textId="77777777" w:rsidR="003832F2" w:rsidRPr="007C23FC" w:rsidRDefault="003832F2" w:rsidP="004F00AB">
                        <w:pPr>
                          <w:jc w:val="center"/>
                          <w:rPr>
                            <w:rFonts w:ascii="Arial Narrow" w:hAnsi="Arial Narrow"/>
                          </w:rPr>
                        </w:pPr>
                        <w:r>
                          <w:rPr>
                            <w:rFonts w:ascii="Arial Narrow" w:hAnsi="Arial Narrow"/>
                          </w:rPr>
                          <w:t>FATO</w:t>
                        </w:r>
                      </w:p>
                    </w:txbxContent>
                  </v:textbox>
                </v:shape>
                <v:shape id="Text Box 623" o:spid="_x0000_s1288" type="#_x0000_t202" style="position:absolute;left:2963;top:8509;width:1098;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" filled="f" stroked="f">
                  <v:textbox style="mso-fit-shape-to-text:t" inset=".5mm,.5mm,.5mm,.5mm">
                    <w:txbxContent>
                      <w:p w14:paraId="515A5452" w14:textId="77777777" w:rsidR="003832F2" w:rsidRPr="007C23FC" w:rsidRDefault="003832F2" w:rsidP="004F00AB">
                        <w:pPr>
                          <w:jc w:val="center"/>
                          <w:rPr>
                            <w:rFonts w:ascii="Arial Narrow" w:hAnsi="Arial Narrow"/>
                          </w:rPr>
                        </w:pPr>
                        <w:r>
                          <w:rPr>
                            <w:rFonts w:ascii="Arial Narrow" w:hAnsi="Arial Narrow"/>
                          </w:rPr>
                          <w:t>Przykład A</w:t>
                        </w:r>
                      </w:p>
                    </w:txbxContent>
                  </v:textbox>
                </v:shape>
                <v:shape id="Text Box 624" o:spid="_x0000_s1289" type="#_x0000_t202" style="position:absolute;left:7429;top:8509;width:1098;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" filled="f" stroked="f">
                  <v:textbox style="mso-fit-shape-to-text:t" inset=".5mm,.5mm,.5mm,.5mm">
                    <w:txbxContent>
                      <w:p w14:paraId="6CE100B5" w14:textId="77777777" w:rsidR="003832F2" w:rsidRPr="007C23FC" w:rsidRDefault="003832F2" w:rsidP="004F00AB">
                        <w:pPr>
                          <w:jc w:val="center"/>
                          <w:rPr>
                            <w:rFonts w:ascii="Arial Narrow" w:hAnsi="Arial Narrow"/>
                          </w:rPr>
                        </w:pPr>
                        <w:r>
                          <w:rPr>
                            <w:rFonts w:ascii="Arial Narrow" w:hAnsi="Arial Narrow"/>
                          </w:rPr>
                          <w:t>Przykład B</w:t>
                        </w:r>
                      </w:p>
                    </w:txbxContent>
                  </v:textbox>
                </v:shape>
                <v:shape id="Text Box 625" o:spid="_x0000_s1290" type="#_x0000_t202" style="position:absolute;left:4526;top:6971;width:409;height: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" filled="f" stroked="f">
                  <v:textbox style="mso-fit-shape-to-text:t" inset=".5mm,.5mm,.5mm,.5mm">
                    <w:txbxContent>
                      <w:p w14:paraId="0353366F"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626" o:spid="_x0000_s1291" type="#_x0000_t202" style="position:absolute;left:4190;top:7295;width:408;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" filled="f" stroked="f">
                  <v:textbox inset=".5mm,.5mm,.5mm,.5mm">
                    <w:txbxContent>
                      <w:p w14:paraId="22744A5E"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627" o:spid="_x0000_s1292" type="#_x0000_t202" style="position:absolute;left:8855;top:6446;width:408;height: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" filled="f" stroked="f">
                  <v:textbox inset=".5mm,.5mm,.5mm,.5mm">
                    <w:txbxContent>
                      <w:p w14:paraId="0EB9875D"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628" o:spid="_x0000_s1293" type="#_x0000_t202" style="position:absolute;left:8888;top:7874;width:408;height: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" filled="f" stroked="f">
                  <v:textbox inset=".5mm,.5mm,.5mm,.5mm">
                    <w:txbxContent>
                      <w:p w14:paraId="2C7C6D49" w14:textId="77777777" w:rsidR="003832F2" w:rsidRPr="007C23FC" w:rsidRDefault="003832F2" w:rsidP="004F00AB">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group>
            </w:pict>
          </mc:Fallback>
        </mc:AlternateContent>
      </w:r>
      <w:r w:rsidRPr="00900AA5">
        <w:rPr>
          <w:noProof/>
          <w:szCs w:val="20"/>
          <w:lang w:eastAsia="pl-PL"/>
        </w:rPr>
        <w:drawing>
          <wp:inline distT="0" distB="0" distL="0" distR="0" wp14:anchorId="39C781E0" wp14:editId="35CE5374">
            <wp:extent cx="5822315" cy="2152015"/>
            <wp:effectExtent l="0" t="0" r="6985" b="0"/>
            <wp:docPr id="1445" name="Obraz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822315" cy="2152015"/>
                    </a:xfrm>
                    <a:prstGeom prst="rect">
                      <a:avLst/>
                    </a:prstGeom>
                    <a:noFill/>
                  </pic:spPr>
                </pic:pic>
              </a:graphicData>
            </a:graphic>
          </wp:inline>
        </w:drawing>
      </w:r>
    </w:p>
    <w:p w14:paraId="50C3B705" w14:textId="7C56E14A" w:rsidR="00B0428E" w:rsidRPr="00E34FE4" w:rsidRDefault="004F00AB" w:rsidP="004F00AB">
      <w:pPr>
        <w:tabs>
          <w:tab w:val="left" w:pos="1418"/>
        </w:tabs>
        <w:ind w:firstLine="425"/>
        <w:jc w:val="center"/>
        <w:rPr>
          <w:b/>
          <w:sz w:val="20"/>
          <w:szCs w:val="20"/>
        </w:rPr>
      </w:pPr>
      <w:r w:rsidRPr="00E34FE4">
        <w:rPr>
          <w:b/>
          <w:sz w:val="20"/>
          <w:szCs w:val="20"/>
        </w:rPr>
        <w:t>Rysunek F-8   Rozbieżność sektora „na ścieżce”</w:t>
      </w:r>
    </w:p>
    <w:p w14:paraId="4BAB2455" w14:textId="5BE333D0" w:rsidR="003B0C05" w:rsidRDefault="003B0C05">
      <w:pPr>
        <w:spacing w:after="0"/>
        <w:jc w:val="left"/>
        <w:rPr>
          <w:szCs w:val="20"/>
        </w:rPr>
      </w:pPr>
      <w:r>
        <w:rPr>
          <w:szCs w:val="20"/>
        </w:rPr>
        <w:br w:type="page"/>
      </w:r>
    </w:p>
    <w:p w14:paraId="3647A32E" w14:textId="1AD01010" w:rsidR="004F00AB" w:rsidRDefault="003B0C05" w:rsidP="003B0C05">
      <w:pPr>
        <w:tabs>
          <w:tab w:val="left" w:pos="1418"/>
        </w:tabs>
        <w:spacing w:before="240"/>
        <w:rPr>
          <w:szCs w:val="20"/>
        </w:rPr>
      </w:pPr>
      <w:r>
        <w:rPr>
          <w:noProof/>
          <w:szCs w:val="20"/>
          <w:lang w:eastAsia="pl-PL"/>
        </w:rPr>
        <w:drawing>
          <wp:inline distT="0" distB="0" distL="0" distR="0" wp14:anchorId="3B04EE3C" wp14:editId="2851841A">
            <wp:extent cx="5929630" cy="8137649"/>
            <wp:effectExtent l="0" t="0" r="0" b="0"/>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yunek 4.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929630" cy="8137649"/>
                    </a:xfrm>
                    <a:prstGeom prst="rect">
                      <a:avLst/>
                    </a:prstGeom>
                  </pic:spPr>
                </pic:pic>
              </a:graphicData>
            </a:graphic>
          </wp:inline>
        </w:drawing>
      </w:r>
    </w:p>
    <w:p w14:paraId="601310CE" w14:textId="6FCF0CA7" w:rsidR="008B7C62" w:rsidRPr="00CE4A3E" w:rsidRDefault="008B7C62" w:rsidP="003B0C05">
      <w:pPr>
        <w:tabs>
          <w:tab w:val="left" w:pos="567"/>
        </w:tabs>
        <w:autoSpaceDE w:val="0"/>
        <w:autoSpaceDN w:val="0"/>
        <w:adjustRightInd w:val="0"/>
        <w:ind w:left="567" w:hanging="567"/>
        <w:jc w:val="center"/>
        <w:rPr>
          <w:b/>
          <w:sz w:val="20"/>
          <w:szCs w:val="20"/>
        </w:rPr>
      </w:pPr>
      <w:r w:rsidRPr="00CE4A3E">
        <w:rPr>
          <w:b/>
          <w:sz w:val="20"/>
          <w:szCs w:val="20"/>
        </w:rPr>
        <w:t xml:space="preserve">Rysunek </w:t>
      </w:r>
      <w:r w:rsidR="004F00AB" w:rsidRPr="00CE4A3E">
        <w:rPr>
          <w:b/>
          <w:sz w:val="20"/>
          <w:szCs w:val="20"/>
        </w:rPr>
        <w:t>F-9</w:t>
      </w:r>
      <w:r w:rsidRPr="00CE4A3E">
        <w:rPr>
          <w:b/>
          <w:sz w:val="20"/>
          <w:szCs w:val="20"/>
        </w:rPr>
        <w:t xml:space="preserve">   Wykresy izokandeli świateł</w:t>
      </w:r>
    </w:p>
    <w:p w14:paraId="50A9B2BF" w14:textId="3CD95210" w:rsidR="004F00AB" w:rsidRDefault="004F00AB" w:rsidP="008B7C62">
      <w:pPr>
        <w:tabs>
          <w:tab w:val="left" w:pos="567"/>
        </w:tabs>
        <w:autoSpaceDE w:val="0"/>
        <w:autoSpaceDN w:val="0"/>
        <w:adjustRightInd w:val="0"/>
        <w:ind w:left="567" w:hanging="567"/>
        <w:rPr>
          <w:b/>
        </w:rPr>
      </w:pPr>
    </w:p>
    <w:tbl>
      <w:tblPr>
        <w:tblW w:w="0" w:type="auto"/>
        <w:jc w:val="center"/>
        <w:tblLayout w:type="fixed"/>
        <w:tblCellMar>
          <w:top w:w="57" w:type="dxa"/>
          <w:left w:w="85" w:type="dxa"/>
          <w:bottom w:w="57" w:type="dxa"/>
          <w:right w:w="85" w:type="dxa"/>
        </w:tblCellMar>
        <w:tblLook w:val="0000" w:firstRow="0" w:lastRow="0" w:firstColumn="0" w:lastColumn="0" w:noHBand="0" w:noVBand="0"/>
      </w:tblPr>
      <w:tblGrid>
        <w:gridCol w:w="3544"/>
        <w:gridCol w:w="1559"/>
        <w:gridCol w:w="1796"/>
      </w:tblGrid>
      <w:tr w:rsidR="003801E1" w:rsidRPr="003B0C05" w14:paraId="1834714E"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6A7E0F" w14:textId="77777777" w:rsidR="003801E1" w:rsidRPr="003B0C05" w:rsidRDefault="003801E1" w:rsidP="00F7460A">
            <w:pPr>
              <w:pStyle w:val="Style154"/>
              <w:widowControl/>
              <w:ind w:left="485"/>
              <w:rPr>
                <w:rStyle w:val="FontStyle220"/>
                <w:rFonts w:asciiTheme="minorHAnsi" w:hAnsiTheme="minorHAnsi" w:cstheme="minorHAnsi"/>
                <w:lang w:eastAsia="en-US"/>
              </w:rPr>
            </w:pPr>
            <w:r w:rsidRPr="003B0C05">
              <w:rPr>
                <w:rStyle w:val="FontStyle220"/>
                <w:rFonts w:asciiTheme="minorHAnsi" w:hAnsiTheme="minorHAnsi" w:cstheme="minorHAnsi"/>
                <w:lang w:eastAsia="en-US"/>
              </w:rPr>
              <w:t>Powierzchnie i wymiary</w:t>
            </w:r>
          </w:p>
        </w:tc>
        <w:tc>
          <w:tcPr>
            <w:tcW w:w="3355"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472EE80" w14:textId="77777777" w:rsidR="003801E1" w:rsidRPr="003B0C05" w:rsidRDefault="003801E1" w:rsidP="00F7460A">
            <w:pPr>
              <w:pStyle w:val="Style154"/>
              <w:widowControl/>
              <w:ind w:left="341"/>
              <w:rPr>
                <w:rStyle w:val="FontStyle220"/>
                <w:rFonts w:asciiTheme="minorHAnsi" w:hAnsiTheme="minorHAnsi" w:cstheme="minorHAnsi"/>
                <w:lang w:eastAsia="en-US"/>
              </w:rPr>
            </w:pPr>
            <w:r w:rsidRPr="003B0C05">
              <w:rPr>
                <w:rStyle w:val="FontStyle220"/>
                <w:rFonts w:asciiTheme="minorHAnsi" w:hAnsiTheme="minorHAnsi" w:cstheme="minorHAnsi"/>
                <w:lang w:eastAsia="en-US"/>
              </w:rPr>
              <w:t>Strefa FATO</w:t>
            </w:r>
          </w:p>
        </w:tc>
      </w:tr>
      <w:tr w:rsidR="003801E1" w:rsidRPr="003B0C05" w14:paraId="49BE2805"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2EEB77C8"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Długość wewnętrznej krawędzi</w:t>
            </w:r>
          </w:p>
        </w:tc>
        <w:tc>
          <w:tcPr>
            <w:tcW w:w="3355" w:type="dxa"/>
            <w:gridSpan w:val="2"/>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1A5F0136" w14:textId="77777777" w:rsidR="003801E1" w:rsidRPr="003B0C05" w:rsidRDefault="003801E1" w:rsidP="00F7460A">
            <w:pPr>
              <w:pStyle w:val="Style79"/>
              <w:widowControl/>
              <w:ind w:left="-85"/>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Szerokość strefy bezpieczeństwa</w:t>
            </w:r>
          </w:p>
        </w:tc>
      </w:tr>
      <w:tr w:rsidR="003801E1" w:rsidRPr="003B0C05" w14:paraId="7EB273DD"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1F121286"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Odległość od końca strefy FATO</w:t>
            </w:r>
          </w:p>
        </w:tc>
        <w:tc>
          <w:tcPr>
            <w:tcW w:w="3355" w:type="dxa"/>
            <w:gridSpan w:val="2"/>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135D55D4" w14:textId="77777777" w:rsidR="003801E1" w:rsidRPr="003B0C05" w:rsidRDefault="003801E1" w:rsidP="00F7460A">
            <w:pPr>
              <w:pStyle w:val="Style79"/>
              <w:widowControl/>
              <w:ind w:left="-85"/>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min. 3 m</w:t>
            </w:r>
          </w:p>
        </w:tc>
      </w:tr>
      <w:tr w:rsidR="003801E1" w:rsidRPr="003B0C05" w14:paraId="5961722D"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1F13DAED"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Rozbieżność</w:t>
            </w:r>
          </w:p>
        </w:tc>
        <w:tc>
          <w:tcPr>
            <w:tcW w:w="3355" w:type="dxa"/>
            <w:gridSpan w:val="2"/>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57C27077" w14:textId="77777777" w:rsidR="003801E1" w:rsidRPr="003B0C05" w:rsidRDefault="003801E1" w:rsidP="00F7460A">
            <w:pPr>
              <w:pStyle w:val="Style79"/>
              <w:widowControl/>
              <w:ind w:left="-85"/>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10%</w:t>
            </w:r>
          </w:p>
        </w:tc>
      </w:tr>
      <w:tr w:rsidR="003801E1" w:rsidRPr="003B0C05" w14:paraId="24340AA9"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0A66063D"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Całkowita długość</w:t>
            </w:r>
          </w:p>
        </w:tc>
        <w:tc>
          <w:tcPr>
            <w:tcW w:w="3355" w:type="dxa"/>
            <w:gridSpan w:val="2"/>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0709F621" w14:textId="77777777" w:rsidR="003801E1" w:rsidRPr="003B0C05" w:rsidRDefault="003801E1" w:rsidP="00F7460A">
            <w:pPr>
              <w:pStyle w:val="Style79"/>
              <w:widowControl/>
              <w:ind w:left="-85"/>
              <w:jc w:val="center"/>
              <w:rPr>
                <w:rStyle w:val="FontStyle221"/>
                <w:rFonts w:asciiTheme="minorHAnsi" w:hAnsiTheme="minorHAnsi" w:cstheme="minorHAnsi"/>
                <w:lang w:eastAsia="en-US"/>
              </w:rPr>
            </w:pPr>
            <w:r w:rsidRPr="003B0C05">
              <w:rPr>
                <w:rFonts w:asciiTheme="minorHAnsi" w:hAnsiTheme="minorHAnsi" w:cstheme="minorHAnsi"/>
                <w:noProof/>
                <w:sz w:val="20"/>
                <w:szCs w:val="20"/>
              </w:rPr>
              <mc:AlternateContent>
                <mc:Choice Requires="wpg">
                  <w:drawing>
                    <wp:anchor distT="0" distB="0" distL="114300" distR="114300" simplePos="0" relativeHeight="251702784" behindDoc="0" locked="0" layoutInCell="1" allowOverlap="1" wp14:anchorId="46B89996" wp14:editId="32E8E091">
                      <wp:simplePos x="0" y="0"/>
                      <wp:positionH relativeFrom="column">
                        <wp:posOffset>9667240</wp:posOffset>
                      </wp:positionH>
                      <wp:positionV relativeFrom="paragraph">
                        <wp:posOffset>8890</wp:posOffset>
                      </wp:positionV>
                      <wp:extent cx="1813560" cy="1153530"/>
                      <wp:effectExtent l="0" t="0" r="0" b="8890"/>
                      <wp:wrapNone/>
                      <wp:docPr id="605"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3560" cy="1153530"/>
                                <a:chOff x="2480" y="6446"/>
                                <a:chExt cx="6802" cy="4328"/>
                              </a:xfrm>
                            </wpg:grpSpPr>
                            <wps:wsp>
                              <wps:cNvPr id="606" name="Text Box 531"/>
                              <wps:cNvSpPr txBox="1">
                                <a:spLocks noChangeArrowheads="1"/>
                              </wps:cNvSpPr>
                              <wps:spPr bwMode="auto">
                                <a:xfrm>
                                  <a:off x="6849" y="7109"/>
                                  <a:ext cx="580"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7FBAD" w14:textId="77777777" w:rsidR="003832F2" w:rsidRPr="007C23FC" w:rsidRDefault="003832F2" w:rsidP="003801E1">
                                    <w:pPr>
                                      <w:jc w:val="center"/>
                                      <w:rPr>
                                        <w:rFonts w:ascii="Arial Narrow" w:hAnsi="Arial Narrow"/>
                                      </w:rPr>
                                    </w:pPr>
                                    <w:r>
                                      <w:rPr>
                                        <w:rFonts w:ascii="Arial Narrow" w:hAnsi="Arial Narrow"/>
                                      </w:rPr>
                                      <w:t>FATO</w:t>
                                    </w:r>
                                  </w:p>
                                </w:txbxContent>
                              </wps:txbx>
                              <wps:bodyPr rot="0" vert="horz" wrap="square" lIns="18000" tIns="18000" rIns="18000" bIns="18000" anchor="ctr" anchorCtr="0" upright="1">
                                <a:spAutoFit/>
                              </wps:bodyPr>
                            </wps:wsp>
                            <wps:wsp>
                              <wps:cNvPr id="607" name="Text Box 532"/>
                              <wps:cNvSpPr txBox="1">
                                <a:spLocks noChangeArrowheads="1"/>
                              </wps:cNvSpPr>
                              <wps:spPr bwMode="auto">
                                <a:xfrm>
                                  <a:off x="2480" y="7188"/>
                                  <a:ext cx="580" cy="28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F0546" w14:textId="77777777" w:rsidR="003832F2" w:rsidRPr="007C23FC" w:rsidRDefault="003832F2" w:rsidP="003801E1">
                                    <w:pPr>
                                      <w:jc w:val="center"/>
                                      <w:rPr>
                                        <w:rFonts w:ascii="Arial Narrow" w:hAnsi="Arial Narrow"/>
                                      </w:rPr>
                                    </w:pPr>
                                    <w:r>
                                      <w:rPr>
                                        <w:rFonts w:ascii="Arial Narrow" w:hAnsi="Arial Narrow"/>
                                      </w:rPr>
                                      <w:t>FATO</w:t>
                                    </w:r>
                                  </w:p>
                                </w:txbxContent>
                              </wps:txbx>
                              <wps:bodyPr rot="0" vert="horz" wrap="square" lIns="18000" tIns="18000" rIns="18000" bIns="18000" anchor="ctr" anchorCtr="0" upright="1">
                                <a:spAutoFit/>
                              </wps:bodyPr>
                            </wps:wsp>
                            <wps:wsp>
                              <wps:cNvPr id="385" name="Text Box 533"/>
                              <wps:cNvSpPr txBox="1">
                                <a:spLocks noChangeArrowheads="1"/>
                              </wps:cNvSpPr>
                              <wps:spPr bwMode="auto">
                                <a:xfrm>
                                  <a:off x="2963" y="8549"/>
                                  <a:ext cx="1097"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A17B6" w14:textId="77777777" w:rsidR="003832F2" w:rsidRPr="007C23FC" w:rsidRDefault="003832F2" w:rsidP="003801E1">
                                    <w:pPr>
                                      <w:jc w:val="center"/>
                                      <w:rPr>
                                        <w:rFonts w:ascii="Arial Narrow" w:hAnsi="Arial Narrow"/>
                                      </w:rPr>
                                    </w:pPr>
                                    <w:r>
                                      <w:rPr>
                                        <w:rFonts w:ascii="Arial Narrow" w:hAnsi="Arial Narrow"/>
                                      </w:rPr>
                                      <w:t>Przykład A</w:t>
                                    </w:r>
                                  </w:p>
                                </w:txbxContent>
                              </wps:txbx>
                              <wps:bodyPr rot="0" vert="horz" wrap="square" lIns="18000" tIns="18000" rIns="18000" bIns="18000" anchor="ctr" anchorCtr="0" upright="1">
                                <a:spAutoFit/>
                              </wps:bodyPr>
                            </wps:wsp>
                            <wps:wsp>
                              <wps:cNvPr id="386" name="Text Box 534"/>
                              <wps:cNvSpPr txBox="1">
                                <a:spLocks noChangeArrowheads="1"/>
                              </wps:cNvSpPr>
                              <wps:spPr bwMode="auto">
                                <a:xfrm>
                                  <a:off x="7429" y="8548"/>
                                  <a:ext cx="1097" cy="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C6D52" w14:textId="77777777" w:rsidR="003832F2" w:rsidRPr="007C23FC" w:rsidRDefault="003832F2" w:rsidP="003801E1">
                                    <w:pPr>
                                      <w:jc w:val="center"/>
                                      <w:rPr>
                                        <w:rFonts w:ascii="Arial Narrow" w:hAnsi="Arial Narrow"/>
                                      </w:rPr>
                                    </w:pPr>
                                    <w:r>
                                      <w:rPr>
                                        <w:rFonts w:ascii="Arial Narrow" w:hAnsi="Arial Narrow"/>
                                      </w:rPr>
                                      <w:t>Przykład B</w:t>
                                    </w:r>
                                  </w:p>
                                </w:txbxContent>
                              </wps:txbx>
                              <wps:bodyPr rot="0" vert="horz" wrap="square" lIns="18000" tIns="18000" rIns="18000" bIns="18000" anchor="ctr" anchorCtr="0" upright="1">
                                <a:spAutoFit/>
                              </wps:bodyPr>
                            </wps:wsp>
                            <wps:wsp>
                              <wps:cNvPr id="387" name="Text Box 535"/>
                              <wps:cNvSpPr txBox="1">
                                <a:spLocks noChangeArrowheads="1"/>
                              </wps:cNvSpPr>
                              <wps:spPr bwMode="auto">
                                <a:xfrm>
                                  <a:off x="4526" y="6971"/>
                                  <a:ext cx="409"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B237"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spAutoFit/>
                              </wps:bodyPr>
                            </wps:wsp>
                            <wps:wsp>
                              <wps:cNvPr id="388" name="Text Box 536"/>
                              <wps:cNvSpPr txBox="1">
                                <a:spLocks noChangeArrowheads="1"/>
                              </wps:cNvSpPr>
                              <wps:spPr bwMode="auto">
                                <a:xfrm>
                                  <a:off x="4190" y="7239"/>
                                  <a:ext cx="408"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3B023"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s:wsp>
                              <wps:cNvPr id="389" name="Text Box 537"/>
                              <wps:cNvSpPr txBox="1">
                                <a:spLocks noChangeArrowheads="1"/>
                              </wps:cNvSpPr>
                              <wps:spPr bwMode="auto">
                                <a:xfrm>
                                  <a:off x="8855" y="6446"/>
                                  <a:ext cx="408"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9057B"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s:wsp>
                              <wps:cNvPr id="390" name="Text Box 538"/>
                              <wps:cNvSpPr txBox="1">
                                <a:spLocks noChangeArrowheads="1"/>
                              </wps:cNvSpPr>
                              <wps:spPr bwMode="auto">
                                <a:xfrm>
                                  <a:off x="8874" y="7832"/>
                                  <a:ext cx="408"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42690"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wps:txbx>
                              <wps:bodyPr rot="0" vert="horz" wrap="square" lIns="18000" tIns="18000" rIns="18000" bIns="1800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6B89996" id="Group 530" o:spid="_x0000_s1294" style="position:absolute;left:0;text-align:left;margin-left:761.2pt;margin-top:.7pt;width:142.8pt;height:90.85pt;z-index:251702784;mso-position-horizontal-relative:text;mso-position-vertical-relative:text" coordorigin="2480,6446" coordsize="680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">
                      <v:shape id="Text Box 531" o:spid="_x0000_s1295" type="#_x0000_t202" style="position:absolute;left:6849;top:7109;width:580;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" filled="f" stroked="f">
                        <v:textbox style="mso-fit-shape-to-text:t" inset=".5mm,.5mm,.5mm,.5mm">
                          <w:txbxContent>
                            <w:p w14:paraId="69C7FBAD" w14:textId="77777777" w:rsidR="003832F2" w:rsidRPr="007C23FC" w:rsidRDefault="003832F2" w:rsidP="003801E1">
                              <w:pPr>
                                <w:jc w:val="center"/>
                                <w:rPr>
                                  <w:rFonts w:ascii="Arial Narrow" w:hAnsi="Arial Narrow"/>
                                </w:rPr>
                              </w:pPr>
                              <w:r>
                                <w:rPr>
                                  <w:rFonts w:ascii="Arial Narrow" w:hAnsi="Arial Narrow"/>
                                </w:rPr>
                                <w:t>FATO</w:t>
                              </w:r>
                            </w:p>
                          </w:txbxContent>
                        </v:textbox>
                      </v:shape>
                      <v:shape id="Text Box 532" o:spid="_x0000_s1296" type="#_x0000_t202" style="position:absolute;left:2480;top:7188;width:580;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" filled="f" stroked="f">
                        <v:textbox style="mso-fit-shape-to-text:t" inset=".5mm,.5mm,.5mm,.5mm">
                          <w:txbxContent>
                            <w:p w14:paraId="380F0546" w14:textId="77777777" w:rsidR="003832F2" w:rsidRPr="007C23FC" w:rsidRDefault="003832F2" w:rsidP="003801E1">
                              <w:pPr>
                                <w:jc w:val="center"/>
                                <w:rPr>
                                  <w:rFonts w:ascii="Arial Narrow" w:hAnsi="Arial Narrow"/>
                                </w:rPr>
                              </w:pPr>
                              <w:r>
                                <w:rPr>
                                  <w:rFonts w:ascii="Arial Narrow" w:hAnsi="Arial Narrow"/>
                                </w:rPr>
                                <w:t>FATO</w:t>
                              </w:r>
                            </w:p>
                          </w:txbxContent>
                        </v:textbox>
                      </v:shape>
                      <v:shape id="Text Box 533" o:spid="_x0000_s1297" type="#_x0000_t202" style="position:absolute;left:2963;top:8549;width:1097;height:2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" filled="f" stroked="f">
                        <v:textbox style="mso-fit-shape-to-text:t" inset=".5mm,.5mm,.5mm,.5mm">
                          <w:txbxContent>
                            <w:p w14:paraId="334A17B6" w14:textId="77777777" w:rsidR="003832F2" w:rsidRPr="007C23FC" w:rsidRDefault="003832F2" w:rsidP="003801E1">
                              <w:pPr>
                                <w:jc w:val="center"/>
                                <w:rPr>
                                  <w:rFonts w:ascii="Arial Narrow" w:hAnsi="Arial Narrow"/>
                                </w:rPr>
                              </w:pPr>
                              <w:r>
                                <w:rPr>
                                  <w:rFonts w:ascii="Arial Narrow" w:hAnsi="Arial Narrow"/>
                                </w:rPr>
                                <w:t>Przykład A</w:t>
                              </w:r>
                            </w:p>
                          </w:txbxContent>
                        </v:textbox>
                      </v:shape>
                      <v:shape id="Text Box 534" o:spid="_x0000_s1298" type="#_x0000_t202" style="position:absolute;left:7429;top:8548;width:1097;height:2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" filled="f" stroked="f">
                        <v:textbox style="mso-fit-shape-to-text:t" inset=".5mm,.5mm,.5mm,.5mm">
                          <w:txbxContent>
                            <w:p w14:paraId="3C7C6D52" w14:textId="77777777" w:rsidR="003832F2" w:rsidRPr="007C23FC" w:rsidRDefault="003832F2" w:rsidP="003801E1">
                              <w:pPr>
                                <w:jc w:val="center"/>
                                <w:rPr>
                                  <w:rFonts w:ascii="Arial Narrow" w:hAnsi="Arial Narrow"/>
                                </w:rPr>
                              </w:pPr>
                              <w:r>
                                <w:rPr>
                                  <w:rFonts w:ascii="Arial Narrow" w:hAnsi="Arial Narrow"/>
                                </w:rPr>
                                <w:t>Przykład B</w:t>
                              </w:r>
                            </w:p>
                          </w:txbxContent>
                        </v:textbox>
                      </v:shape>
                      <v:shape id="Text Box 535" o:spid="_x0000_s1299" type="#_x0000_t202" style="position:absolute;left:4526;top:6971;width:409;height:1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" filled="f" stroked="f">
                        <v:textbox style="mso-fit-shape-to-text:t" inset=".5mm,.5mm,.5mm,.5mm">
                          <w:txbxContent>
                            <w:p w14:paraId="0C7AB237"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536" o:spid="_x0000_s1300" type="#_x0000_t202" style="position:absolute;left:4190;top:7239;width:408;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" filled="f" stroked="f">
                        <v:textbox inset=".5mm,.5mm,.5mm,.5mm">
                          <w:txbxContent>
                            <w:p w14:paraId="5A13B023"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537" o:spid="_x0000_s1301" type="#_x0000_t202" style="position:absolute;left:8855;top:6446;width:408;height: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" filled="f" stroked="f">
                        <v:textbox inset=".5mm,.5mm,.5mm,.5mm">
                          <w:txbxContent>
                            <w:p w14:paraId="4059057B"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shape id="Text Box 538" o:spid="_x0000_s1302" type="#_x0000_t202" style="position:absolute;left:8874;top:7832;width:408;height: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" filled="f" stroked="f">
                        <v:textbox inset=".5mm,.5mm,.5mm,.5mm">
                          <w:txbxContent>
                            <w:p w14:paraId="32342690" w14:textId="77777777" w:rsidR="003832F2" w:rsidRPr="007C23FC" w:rsidRDefault="003832F2" w:rsidP="003801E1">
                              <w:pPr>
                                <w:jc w:val="center"/>
                                <w:rPr>
                                  <w:rFonts w:ascii="Arial Narrow" w:hAnsi="Arial Narrow"/>
                                </w:rPr>
                              </w:pPr>
                              <w:r>
                                <w:rPr>
                                  <w:rFonts w:ascii="Arial Narrow" w:hAnsi="Arial Narrow"/>
                                </w:rPr>
                                <w:t>1</w:t>
                              </w:r>
                              <w:r>
                                <w:rPr>
                                  <w:rFonts w:ascii="Arial Narrow" w:hAnsi="Arial Narrow"/>
                                  <w:szCs w:val="20"/>
                                </w:rPr>
                                <w:sym w:font="Symbol" w:char="F0B0"/>
                              </w:r>
                            </w:p>
                          </w:txbxContent>
                        </v:textbox>
                      </v:shape>
                    </v:group>
                  </w:pict>
                </mc:Fallback>
              </mc:AlternateContent>
            </w:r>
            <w:r w:rsidRPr="003B0C05">
              <w:rPr>
                <w:rStyle w:val="FontStyle221"/>
                <w:rFonts w:asciiTheme="minorHAnsi" w:hAnsiTheme="minorHAnsi" w:cstheme="minorHAnsi"/>
                <w:lang w:eastAsia="en-US"/>
              </w:rPr>
              <w:t>2 500 m</w:t>
            </w:r>
          </w:p>
        </w:tc>
      </w:tr>
      <w:tr w:rsidR="003801E1" w:rsidRPr="003B0C05" w14:paraId="6AE3A738" w14:textId="77777777" w:rsidTr="00F7460A">
        <w:trPr>
          <w:jc w:val="center"/>
        </w:trPr>
        <w:tc>
          <w:tcPr>
            <w:tcW w:w="3544"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7B89B17C"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Nachylenie</w:t>
            </w:r>
          </w:p>
        </w:tc>
        <w:tc>
          <w:tcPr>
            <w:tcW w:w="1559"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6C6AD5CF"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 xml:space="preserve">PAPI </w:t>
            </w:r>
          </w:p>
        </w:tc>
        <w:tc>
          <w:tcPr>
            <w:tcW w:w="1796" w:type="dxa"/>
            <w:tcBorders>
              <w:top w:val="single" w:sz="6" w:space="0" w:color="auto"/>
              <w:left w:val="single" w:sz="6" w:space="0" w:color="auto"/>
              <w:bottom w:val="single" w:sz="6" w:space="0" w:color="auto"/>
              <w:right w:val="single" w:sz="6" w:space="0" w:color="auto"/>
            </w:tcBorders>
            <w:vAlign w:val="center"/>
          </w:tcPr>
          <w:p w14:paraId="59995877" w14:textId="77777777" w:rsidR="003801E1" w:rsidRPr="003B0C05" w:rsidRDefault="003801E1" w:rsidP="00F7460A">
            <w:pPr>
              <w:pStyle w:val="Style79"/>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A</w:t>
            </w:r>
            <w:r w:rsidRPr="003B0C05">
              <w:rPr>
                <w:rStyle w:val="FontStyle221"/>
                <w:rFonts w:asciiTheme="minorHAnsi" w:hAnsiTheme="minorHAnsi" w:cstheme="minorHAnsi"/>
                <w:vertAlign w:val="superscript"/>
                <w:lang w:eastAsia="en-US"/>
              </w:rPr>
              <w:t>a</w:t>
            </w:r>
            <w:r w:rsidRPr="003B0C05">
              <w:rPr>
                <w:rStyle w:val="FontStyle221"/>
                <w:rFonts w:asciiTheme="minorHAnsi" w:hAnsiTheme="minorHAnsi" w:cstheme="minorHAnsi"/>
                <w:lang w:eastAsia="en-US"/>
              </w:rPr>
              <w:t xml:space="preserve"> </w:t>
            </w:r>
            <w:r w:rsidRPr="003B0C05">
              <w:rPr>
                <w:rStyle w:val="FontStyle221"/>
                <w:rFonts w:asciiTheme="minorHAnsi" w:hAnsiTheme="minorHAnsi" w:cstheme="minorHAnsi"/>
                <w:lang w:eastAsia="en-US"/>
              </w:rPr>
              <w:sym w:font="Symbol" w:char="F02D"/>
            </w:r>
            <w:r w:rsidRPr="003B0C05">
              <w:rPr>
                <w:rStyle w:val="FontStyle221"/>
                <w:rFonts w:asciiTheme="minorHAnsi" w:hAnsiTheme="minorHAnsi" w:cstheme="minorHAnsi"/>
                <w:lang w:eastAsia="en-US"/>
              </w:rPr>
              <w:t xml:space="preserve"> 0.57°</w:t>
            </w:r>
          </w:p>
        </w:tc>
      </w:tr>
      <w:tr w:rsidR="003801E1" w:rsidRPr="003B0C05" w14:paraId="24E9A122" w14:textId="77777777" w:rsidTr="00F7460A">
        <w:trPr>
          <w:jc w:val="center"/>
        </w:trPr>
        <w:tc>
          <w:tcPr>
            <w:tcW w:w="3544" w:type="dxa"/>
            <w:tcBorders>
              <w:left w:val="single" w:sz="6" w:space="0" w:color="auto"/>
              <w:bottom w:val="single" w:sz="6" w:space="0" w:color="auto"/>
              <w:right w:val="single" w:sz="6" w:space="0" w:color="auto"/>
            </w:tcBorders>
            <w:tcMar>
              <w:top w:w="57" w:type="dxa"/>
              <w:bottom w:w="57" w:type="dxa"/>
            </w:tcMar>
            <w:vAlign w:val="center"/>
          </w:tcPr>
          <w:p w14:paraId="3A92EEF4" w14:textId="77777777" w:rsidR="003801E1" w:rsidRPr="003B0C05" w:rsidRDefault="003801E1" w:rsidP="00F7460A">
            <w:pPr>
              <w:pStyle w:val="Style119"/>
              <w:widowControl/>
              <w:jc w:val="center"/>
              <w:rPr>
                <w:rFonts w:asciiTheme="minorHAnsi" w:hAnsiTheme="minorHAnsi" w:cstheme="minorHAnsi"/>
                <w:sz w:val="20"/>
                <w:szCs w:val="20"/>
              </w:rPr>
            </w:pPr>
          </w:p>
        </w:tc>
        <w:tc>
          <w:tcPr>
            <w:tcW w:w="1559"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31E5D7CA" w14:textId="77777777" w:rsidR="003801E1" w:rsidRPr="003B0C05" w:rsidRDefault="003801E1" w:rsidP="00F7460A">
            <w:pPr>
              <w:pStyle w:val="Style79"/>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HAPI</w:t>
            </w:r>
          </w:p>
        </w:tc>
        <w:tc>
          <w:tcPr>
            <w:tcW w:w="1796" w:type="dxa"/>
            <w:tcBorders>
              <w:top w:val="single" w:sz="6" w:space="0" w:color="auto"/>
              <w:left w:val="single" w:sz="6" w:space="0" w:color="auto"/>
              <w:bottom w:val="single" w:sz="6" w:space="0" w:color="auto"/>
              <w:right w:val="single" w:sz="6" w:space="0" w:color="auto"/>
            </w:tcBorders>
            <w:vAlign w:val="center"/>
          </w:tcPr>
          <w:p w14:paraId="59942F5B" w14:textId="77777777" w:rsidR="003801E1" w:rsidRPr="003B0C05" w:rsidRDefault="003801E1" w:rsidP="00F7460A">
            <w:pPr>
              <w:pStyle w:val="Style79"/>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A</w:t>
            </w:r>
            <w:r w:rsidRPr="003B0C05">
              <w:rPr>
                <w:rStyle w:val="FontStyle221"/>
                <w:rFonts w:asciiTheme="minorHAnsi" w:hAnsiTheme="minorHAnsi" w:cstheme="minorHAnsi"/>
                <w:vertAlign w:val="superscript"/>
                <w:lang w:eastAsia="en-US"/>
              </w:rPr>
              <w:t>b</w:t>
            </w:r>
            <w:r w:rsidRPr="003B0C05">
              <w:rPr>
                <w:rStyle w:val="FontStyle221"/>
                <w:rFonts w:asciiTheme="minorHAnsi" w:hAnsiTheme="minorHAnsi" w:cstheme="minorHAnsi"/>
                <w:lang w:eastAsia="en-US"/>
              </w:rPr>
              <w:t xml:space="preserve"> </w:t>
            </w:r>
            <w:r w:rsidRPr="003B0C05">
              <w:rPr>
                <w:rStyle w:val="FontStyle221"/>
                <w:rFonts w:asciiTheme="minorHAnsi" w:hAnsiTheme="minorHAnsi" w:cstheme="minorHAnsi"/>
                <w:lang w:eastAsia="en-US"/>
              </w:rPr>
              <w:sym w:font="Symbol" w:char="F02D"/>
            </w:r>
            <w:r w:rsidRPr="003B0C05">
              <w:rPr>
                <w:rStyle w:val="FontStyle221"/>
                <w:rFonts w:asciiTheme="minorHAnsi" w:hAnsiTheme="minorHAnsi" w:cstheme="minorHAnsi"/>
                <w:lang w:eastAsia="en-US"/>
              </w:rPr>
              <w:t xml:space="preserve"> 0.65°</w:t>
            </w:r>
          </w:p>
        </w:tc>
      </w:tr>
      <w:tr w:rsidR="003801E1" w:rsidRPr="003B0C05" w14:paraId="3029D257" w14:textId="77777777" w:rsidTr="00F7460A">
        <w:trPr>
          <w:jc w:val="center"/>
        </w:trPr>
        <w:tc>
          <w:tcPr>
            <w:tcW w:w="3544" w:type="dxa"/>
            <w:tcBorders>
              <w:left w:val="single" w:sz="6" w:space="0" w:color="auto"/>
              <w:bottom w:val="single" w:sz="6" w:space="0" w:color="auto"/>
              <w:right w:val="single" w:sz="6" w:space="0" w:color="auto"/>
            </w:tcBorders>
            <w:tcMar>
              <w:top w:w="57" w:type="dxa"/>
              <w:bottom w:w="57" w:type="dxa"/>
            </w:tcMar>
            <w:vAlign w:val="center"/>
          </w:tcPr>
          <w:p w14:paraId="31D75E7C" w14:textId="77777777" w:rsidR="003801E1" w:rsidRPr="003B0C05" w:rsidRDefault="003801E1" w:rsidP="00F7460A">
            <w:pPr>
              <w:pStyle w:val="Style119"/>
              <w:widowControl/>
              <w:jc w:val="center"/>
              <w:rPr>
                <w:rFonts w:asciiTheme="minorHAnsi" w:hAnsiTheme="minorHAnsi" w:cstheme="minorHAnsi"/>
                <w:sz w:val="20"/>
                <w:szCs w:val="20"/>
              </w:rPr>
            </w:pPr>
          </w:p>
        </w:tc>
        <w:tc>
          <w:tcPr>
            <w:tcW w:w="1559" w:type="dxa"/>
            <w:tcBorders>
              <w:top w:val="single" w:sz="6" w:space="0" w:color="auto"/>
              <w:left w:val="single" w:sz="6" w:space="0" w:color="auto"/>
              <w:bottom w:val="single" w:sz="6" w:space="0" w:color="auto"/>
              <w:right w:val="single" w:sz="6" w:space="0" w:color="auto"/>
            </w:tcBorders>
            <w:tcMar>
              <w:top w:w="57" w:type="dxa"/>
              <w:bottom w:w="57" w:type="dxa"/>
            </w:tcMar>
            <w:vAlign w:val="center"/>
          </w:tcPr>
          <w:p w14:paraId="2E507950" w14:textId="77777777" w:rsidR="003801E1" w:rsidRPr="003B0C05" w:rsidRDefault="003801E1" w:rsidP="00F7460A">
            <w:pPr>
              <w:pStyle w:val="Style79"/>
              <w:widowControl/>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APAPI</w:t>
            </w:r>
          </w:p>
        </w:tc>
        <w:tc>
          <w:tcPr>
            <w:tcW w:w="1796" w:type="dxa"/>
            <w:tcBorders>
              <w:top w:val="single" w:sz="6" w:space="0" w:color="auto"/>
              <w:left w:val="single" w:sz="6" w:space="0" w:color="auto"/>
              <w:bottom w:val="single" w:sz="6" w:space="0" w:color="auto"/>
              <w:right w:val="single" w:sz="6" w:space="0" w:color="auto"/>
            </w:tcBorders>
            <w:vAlign w:val="center"/>
          </w:tcPr>
          <w:p w14:paraId="604AC9BA" w14:textId="77777777" w:rsidR="003801E1" w:rsidRPr="003B0C05" w:rsidRDefault="003801E1" w:rsidP="00F7460A">
            <w:pPr>
              <w:pStyle w:val="Style79"/>
              <w:widowControl/>
              <w:jc w:val="center"/>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A</w:t>
            </w:r>
            <w:r w:rsidRPr="003B0C05">
              <w:rPr>
                <w:rStyle w:val="FontStyle221"/>
                <w:rFonts w:asciiTheme="minorHAnsi" w:hAnsiTheme="minorHAnsi" w:cstheme="minorHAnsi"/>
                <w:vertAlign w:val="superscript"/>
                <w:lang w:eastAsia="en-US"/>
              </w:rPr>
              <w:t xml:space="preserve">a </w:t>
            </w:r>
            <w:r w:rsidRPr="003B0C05">
              <w:rPr>
                <w:rStyle w:val="FontStyle221"/>
                <w:rFonts w:asciiTheme="minorHAnsi" w:hAnsiTheme="minorHAnsi" w:cstheme="minorHAnsi"/>
                <w:lang w:eastAsia="en-US"/>
              </w:rPr>
              <w:t xml:space="preserve"> </w:t>
            </w:r>
            <w:r w:rsidRPr="003B0C05">
              <w:rPr>
                <w:rStyle w:val="FontStyle221"/>
                <w:rFonts w:asciiTheme="minorHAnsi" w:hAnsiTheme="minorHAnsi" w:cstheme="minorHAnsi"/>
                <w:lang w:eastAsia="en-US"/>
              </w:rPr>
              <w:sym w:font="Symbol" w:char="F02D"/>
            </w:r>
            <w:r w:rsidRPr="003B0C05">
              <w:rPr>
                <w:rStyle w:val="FontStyle221"/>
                <w:rFonts w:asciiTheme="minorHAnsi" w:hAnsiTheme="minorHAnsi" w:cstheme="minorHAnsi"/>
                <w:lang w:eastAsia="en-US"/>
              </w:rPr>
              <w:t xml:space="preserve"> 0.9°</w:t>
            </w:r>
          </w:p>
        </w:tc>
      </w:tr>
      <w:tr w:rsidR="003801E1" w:rsidRPr="003B0C05" w14:paraId="2D965197" w14:textId="77777777" w:rsidTr="00F7460A">
        <w:trPr>
          <w:jc w:val="center"/>
        </w:trPr>
        <w:tc>
          <w:tcPr>
            <w:tcW w:w="6899" w:type="dxa"/>
            <w:gridSpan w:val="3"/>
            <w:tcBorders>
              <w:top w:val="single" w:sz="6" w:space="0" w:color="auto"/>
              <w:left w:val="single" w:sz="6" w:space="0" w:color="auto"/>
              <w:bottom w:val="single" w:sz="6" w:space="0" w:color="auto"/>
              <w:right w:val="single" w:sz="6" w:space="0" w:color="auto"/>
            </w:tcBorders>
            <w:vAlign w:val="center"/>
          </w:tcPr>
          <w:p w14:paraId="4F77316A" w14:textId="6F867722" w:rsidR="003801E1" w:rsidRPr="003B0C05" w:rsidRDefault="003801E1" w:rsidP="00F7460A">
            <w:pPr>
              <w:pStyle w:val="Style134"/>
              <w:widowControl/>
              <w:tabs>
                <w:tab w:val="left" w:pos="0"/>
              </w:tabs>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 xml:space="preserve">a  </w:t>
            </w:r>
            <w:r w:rsidRPr="003B0C05">
              <w:rPr>
                <w:rStyle w:val="FontStyle221"/>
                <w:rFonts w:asciiTheme="minorHAnsi" w:hAnsiTheme="minorHAnsi" w:cstheme="minorHAnsi"/>
                <w:lang w:eastAsia="en-US"/>
              </w:rPr>
              <w:sym w:font="Symbol" w:char="F02D"/>
            </w:r>
            <w:r w:rsidRPr="003B0C05">
              <w:rPr>
                <w:rStyle w:val="FontStyle221"/>
                <w:rFonts w:asciiTheme="minorHAnsi" w:hAnsiTheme="minorHAnsi" w:cstheme="minorHAnsi"/>
                <w:lang w:eastAsia="en-US"/>
              </w:rPr>
              <w:t xml:space="preserve"> Jak określono w </w:t>
            </w:r>
            <w:hyperlink w:anchor="_CS_ADR-DSN.M.645_" w:history="1">
              <w:r w:rsidRPr="00DA54CB">
                <w:rPr>
                  <w:rStyle w:val="Hipercze"/>
                  <w:rFonts w:cs="Calibri"/>
                  <w:sz w:val="20"/>
                  <w:szCs w:val="20"/>
                </w:rPr>
                <w:t>CS</w:t>
              </w:r>
              <w:r w:rsidR="00DA54CB" w:rsidRPr="00DA54CB">
                <w:rPr>
                  <w:rStyle w:val="Hipercze"/>
                  <w:rFonts w:cs="Calibri"/>
                  <w:sz w:val="20"/>
                  <w:szCs w:val="20"/>
                </w:rPr>
                <w:t> </w:t>
              </w:r>
              <w:r w:rsidRPr="00DA54CB">
                <w:rPr>
                  <w:rStyle w:val="Hipercze"/>
                  <w:rFonts w:cs="Calibri"/>
                  <w:sz w:val="20"/>
                  <w:szCs w:val="20"/>
                </w:rPr>
                <w:t>ADR-DSN.M.645</w:t>
              </w:r>
            </w:hyperlink>
            <w:r>
              <w:rPr>
                <w:rFonts w:cs="Calibri"/>
                <w:color w:val="000000"/>
                <w:sz w:val="20"/>
                <w:szCs w:val="20"/>
              </w:rPr>
              <w:t xml:space="preserve">, </w:t>
            </w:r>
            <w:r>
              <w:rPr>
                <w:rStyle w:val="FontStyle221"/>
                <w:rFonts w:asciiTheme="minorHAnsi" w:hAnsiTheme="minorHAnsi" w:cstheme="minorHAnsi"/>
                <w:lang w:eastAsia="en-US"/>
              </w:rPr>
              <w:t>Rysunek M-4</w:t>
            </w:r>
          </w:p>
          <w:p w14:paraId="2AAF993C" w14:textId="77777777" w:rsidR="003801E1" w:rsidRPr="003B0C05" w:rsidRDefault="003801E1" w:rsidP="00F7460A">
            <w:pPr>
              <w:pStyle w:val="Style134"/>
              <w:widowControl/>
              <w:tabs>
                <w:tab w:val="left" w:pos="0"/>
              </w:tabs>
              <w:rPr>
                <w:rStyle w:val="FontStyle221"/>
                <w:rFonts w:asciiTheme="minorHAnsi" w:hAnsiTheme="minorHAnsi" w:cstheme="minorHAnsi"/>
                <w:lang w:eastAsia="en-US"/>
              </w:rPr>
            </w:pPr>
            <w:r w:rsidRPr="003B0C05">
              <w:rPr>
                <w:rStyle w:val="FontStyle221"/>
                <w:rFonts w:asciiTheme="minorHAnsi" w:hAnsiTheme="minorHAnsi" w:cstheme="minorHAnsi"/>
                <w:lang w:eastAsia="en-US"/>
              </w:rPr>
              <w:t xml:space="preserve">b  </w:t>
            </w:r>
            <w:r w:rsidRPr="003B0C05">
              <w:rPr>
                <w:rStyle w:val="FontStyle221"/>
                <w:rFonts w:asciiTheme="minorHAnsi" w:hAnsiTheme="minorHAnsi" w:cstheme="minorHAnsi"/>
                <w:lang w:eastAsia="en-US"/>
              </w:rPr>
              <w:sym w:font="Symbol" w:char="F02D"/>
            </w:r>
            <w:r w:rsidRPr="003B0C05">
              <w:rPr>
                <w:rStyle w:val="FontStyle221"/>
                <w:rFonts w:asciiTheme="minorHAnsi" w:hAnsiTheme="minorHAnsi" w:cstheme="minorHAnsi"/>
                <w:lang w:eastAsia="en-US"/>
              </w:rPr>
              <w:t xml:space="preserve"> Kąt górnej granicy sygnału “poniżej ścieżki”</w:t>
            </w:r>
          </w:p>
        </w:tc>
      </w:tr>
    </w:tbl>
    <w:p w14:paraId="7AC4C992" w14:textId="77777777" w:rsidR="003801E1" w:rsidRDefault="003801E1" w:rsidP="003801E1">
      <w:pPr>
        <w:pStyle w:val="Style5"/>
        <w:widowControl/>
        <w:rPr>
          <w:rStyle w:val="FontStyle220"/>
          <w:lang w:eastAsia="en-US"/>
        </w:rPr>
      </w:pPr>
    </w:p>
    <w:p w14:paraId="307510BB" w14:textId="0CC5B351" w:rsidR="00E34FE4" w:rsidRPr="00CE4A3E" w:rsidRDefault="003801E1" w:rsidP="003801E1">
      <w:pPr>
        <w:pStyle w:val="Style5"/>
        <w:widowControl/>
        <w:rPr>
          <w:rStyle w:val="FontStyle220"/>
          <w:rFonts w:asciiTheme="minorHAnsi" w:hAnsiTheme="minorHAnsi" w:cstheme="minorHAnsi"/>
          <w:lang w:eastAsia="en-US"/>
        </w:rPr>
      </w:pPr>
      <w:r w:rsidRPr="00CE4A3E">
        <w:rPr>
          <w:rStyle w:val="FontStyle220"/>
          <w:rFonts w:asciiTheme="minorHAnsi" w:hAnsiTheme="minorHAnsi" w:cstheme="minorHAnsi"/>
          <w:lang w:eastAsia="en-US"/>
        </w:rPr>
        <w:t>Tabela 5-1.   Wymiary i nachylenia powierzchni zabezpieczenia przeszkodowego</w:t>
      </w:r>
      <w:r w:rsidR="00E34FE4">
        <w:rPr>
          <w:rStyle w:val="FontStyle220"/>
          <w:rFonts w:asciiTheme="minorHAnsi" w:hAnsiTheme="minorHAnsi" w:cstheme="minorHAnsi"/>
          <w:lang w:eastAsia="en-US"/>
        </w:rPr>
        <w:t xml:space="preserve"> dla </w:t>
      </w:r>
      <w:r w:rsidR="00E34FE4" w:rsidRPr="00E34FE4">
        <w:rPr>
          <w:rFonts w:asciiTheme="minorHAnsi" w:hAnsiTheme="minorHAnsi" w:cstheme="minorHAnsi"/>
          <w:b/>
          <w:bCs/>
          <w:iCs/>
          <w:sz w:val="20"/>
          <w:szCs w:val="20"/>
          <w:lang w:eastAsia="en-US"/>
        </w:rPr>
        <w:t xml:space="preserve">wzrokowego </w:t>
      </w:r>
      <w:r w:rsidR="00E34FE4">
        <w:rPr>
          <w:rFonts w:asciiTheme="minorHAnsi" w:hAnsiTheme="minorHAnsi" w:cstheme="minorHAnsi"/>
          <w:b/>
          <w:bCs/>
          <w:iCs/>
          <w:sz w:val="20"/>
          <w:szCs w:val="20"/>
          <w:lang w:eastAsia="en-US"/>
        </w:rPr>
        <w:br/>
      </w:r>
      <w:r w:rsidR="00E34FE4" w:rsidRPr="00E34FE4">
        <w:rPr>
          <w:rFonts w:asciiTheme="minorHAnsi" w:hAnsiTheme="minorHAnsi" w:cstheme="minorHAnsi"/>
          <w:b/>
          <w:bCs/>
          <w:iCs/>
          <w:sz w:val="20"/>
          <w:szCs w:val="20"/>
          <w:lang w:eastAsia="en-US"/>
        </w:rPr>
        <w:t>systemu wskaźnika ścieżki podejścia</w:t>
      </w:r>
      <w:r w:rsidR="00E34FE4">
        <w:rPr>
          <w:rFonts w:asciiTheme="minorHAnsi" w:hAnsiTheme="minorHAnsi" w:cstheme="minorHAnsi"/>
          <w:b/>
          <w:bCs/>
          <w:iCs/>
          <w:sz w:val="20"/>
          <w:szCs w:val="20"/>
          <w:lang w:eastAsia="en-US"/>
        </w:rPr>
        <w:t xml:space="preserve"> na lotnisku dla śmigłowców</w:t>
      </w:r>
    </w:p>
    <w:p w14:paraId="782E1137" w14:textId="6A315CFA" w:rsidR="004F00AB" w:rsidRDefault="004F00AB" w:rsidP="000357D0">
      <w:pPr>
        <w:tabs>
          <w:tab w:val="left" w:pos="567"/>
        </w:tabs>
        <w:autoSpaceDE w:val="0"/>
        <w:autoSpaceDN w:val="0"/>
        <w:adjustRightInd w:val="0"/>
        <w:spacing w:after="0"/>
        <w:ind w:left="567" w:hanging="567"/>
        <w:rPr>
          <w:b/>
        </w:rPr>
      </w:pPr>
    </w:p>
    <w:p w14:paraId="285175FA" w14:textId="77777777" w:rsidR="003B0C05" w:rsidRPr="003B0C05" w:rsidRDefault="003B0C05" w:rsidP="003B0C05">
      <w:pPr>
        <w:rPr>
          <w:szCs w:val="20"/>
        </w:rPr>
      </w:pPr>
    </w:p>
    <w:p w14:paraId="1E31EDE5" w14:textId="5B51BB79" w:rsidR="003B0C05" w:rsidRPr="00900AA5" w:rsidRDefault="003801E1" w:rsidP="003B0C05">
      <w:pPr>
        <w:jc w:val="left"/>
        <w:rPr>
          <w:szCs w:val="20"/>
        </w:rPr>
      </w:pPr>
      <w:r>
        <w:rPr>
          <w:noProof/>
          <w:szCs w:val="20"/>
          <w:lang w:eastAsia="pl-PL"/>
        </w:rPr>
        <w:drawing>
          <wp:inline distT="0" distB="0" distL="0" distR="0" wp14:anchorId="69920731" wp14:editId="575FC419">
            <wp:extent cx="5759450" cy="4608195"/>
            <wp:effectExtent l="0" t="0" r="0" b="1905"/>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Ryunek 5.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759450" cy="4608195"/>
                    </a:xfrm>
                    <a:prstGeom prst="rect">
                      <a:avLst/>
                    </a:prstGeom>
                  </pic:spPr>
                </pic:pic>
              </a:graphicData>
            </a:graphic>
          </wp:inline>
        </w:drawing>
      </w:r>
    </w:p>
    <w:p w14:paraId="100361BB" w14:textId="79008150" w:rsidR="003B0C05" w:rsidRPr="00CE4A3E" w:rsidRDefault="003B0C05" w:rsidP="003B0C05">
      <w:pPr>
        <w:spacing w:before="240"/>
        <w:ind w:left="851" w:hanging="851"/>
        <w:jc w:val="center"/>
        <w:rPr>
          <w:b/>
          <w:szCs w:val="20"/>
        </w:rPr>
      </w:pPr>
      <w:r w:rsidRPr="00CE4A3E">
        <w:rPr>
          <w:b/>
          <w:sz w:val="20"/>
          <w:szCs w:val="20"/>
        </w:rPr>
        <w:t xml:space="preserve">Rysunek </w:t>
      </w:r>
      <w:r w:rsidR="00E34FE4">
        <w:rPr>
          <w:b/>
          <w:sz w:val="20"/>
          <w:szCs w:val="20"/>
        </w:rPr>
        <w:t>F-10</w:t>
      </w:r>
      <w:r w:rsidRPr="00CE4A3E">
        <w:rPr>
          <w:b/>
          <w:sz w:val="20"/>
          <w:szCs w:val="20"/>
        </w:rPr>
        <w:t xml:space="preserve">   Powierzchnia zabezpiec</w:t>
      </w:r>
      <w:r w:rsidR="00E34FE4">
        <w:rPr>
          <w:b/>
          <w:sz w:val="20"/>
          <w:szCs w:val="20"/>
        </w:rPr>
        <w:t>zenia przeszkodowego dla systemów</w:t>
      </w:r>
      <w:r w:rsidRPr="00CE4A3E">
        <w:rPr>
          <w:b/>
          <w:sz w:val="20"/>
          <w:szCs w:val="20"/>
        </w:rPr>
        <w:br/>
        <w:t>wzrokowego wskaźnika ścieżki podejścia</w:t>
      </w:r>
    </w:p>
    <w:p w14:paraId="6067B505" w14:textId="77777777" w:rsidR="003801E1" w:rsidRPr="009E064B" w:rsidRDefault="003801E1" w:rsidP="003801E1">
      <w:pPr>
        <w:pStyle w:val="Nagwek6"/>
      </w:pPr>
      <w:bookmarkStart w:id="1948" w:name="_Toc12533399"/>
      <w:r w:rsidRPr="009E064B">
        <w:t>GM1 HPT-DSN.</w:t>
      </w:r>
      <w:r>
        <w:t>F.650</w:t>
      </w:r>
      <w:r w:rsidRPr="009E064B">
        <w:t xml:space="preserve">     </w:t>
      </w:r>
      <w:r w:rsidRPr="00900AA5">
        <w:t>Wzrokowy system naprowadzania</w:t>
      </w:r>
      <w:bookmarkEnd w:id="1948"/>
      <w:r w:rsidRPr="00900AA5">
        <w:t xml:space="preserve"> </w:t>
      </w:r>
    </w:p>
    <w:p w14:paraId="059871E3" w14:textId="1AE933DC" w:rsidR="003801E1" w:rsidRPr="009E064B" w:rsidRDefault="001F74A1" w:rsidP="003801E1">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486DF2B" w14:textId="0FFFA25B" w:rsidR="004F00AB" w:rsidRPr="004036B8" w:rsidRDefault="004F00AB" w:rsidP="000357D0">
      <w:pPr>
        <w:tabs>
          <w:tab w:val="left" w:pos="0"/>
        </w:tabs>
        <w:autoSpaceDE w:val="0"/>
        <w:autoSpaceDN w:val="0"/>
        <w:adjustRightInd w:val="0"/>
        <w:rPr>
          <w:rFonts w:cs="TimesNewRomanPS-BoldItalicMT"/>
          <w:bCs/>
          <w:iCs/>
          <w:szCs w:val="20"/>
        </w:rPr>
      </w:pPr>
      <w:r w:rsidRPr="004036B8">
        <w:rPr>
          <w:rFonts w:cs="TimesNewRomanPS-BoldItalicMT"/>
          <w:bCs/>
          <w:iCs/>
          <w:szCs w:val="20"/>
        </w:rPr>
        <w:t>Wzrokowy system naprowadzania powinien być zapewniony</w:t>
      </w:r>
      <w:r w:rsidR="000357D0" w:rsidRPr="004036B8">
        <w:rPr>
          <w:rFonts w:cs="TimesNewRomanPS-BoldItalicMT"/>
          <w:bCs/>
          <w:iCs/>
          <w:szCs w:val="20"/>
        </w:rPr>
        <w:t>,</w:t>
      </w:r>
      <w:r w:rsidRPr="004036B8">
        <w:rPr>
          <w:rFonts w:cs="TimesNewRomanPS-BoldItalicMT"/>
          <w:bCs/>
          <w:iCs/>
          <w:szCs w:val="20"/>
        </w:rPr>
        <w:t xml:space="preserve"> </w:t>
      </w:r>
      <w:r w:rsidR="000357D0" w:rsidRPr="004036B8">
        <w:rPr>
          <w:rFonts w:cs="TimesNewRomanPS-BoldItalicMT"/>
          <w:bCs/>
          <w:iCs/>
          <w:szCs w:val="20"/>
        </w:rPr>
        <w:t xml:space="preserve">gdy istnieje jeden lub więcej z następujących </w:t>
      </w:r>
      <w:r w:rsidRPr="004036B8">
        <w:rPr>
          <w:rFonts w:cs="TimesNewRomanPS-BoldItalicMT"/>
          <w:bCs/>
          <w:iCs/>
          <w:szCs w:val="20"/>
        </w:rPr>
        <w:t>warunków:</w:t>
      </w:r>
    </w:p>
    <w:p w14:paraId="252C652A" w14:textId="77777777" w:rsidR="004F00AB" w:rsidRPr="004036B8" w:rsidRDefault="004F00AB" w:rsidP="000357D0">
      <w:pPr>
        <w:tabs>
          <w:tab w:val="left" w:pos="567"/>
        </w:tabs>
        <w:autoSpaceDE w:val="0"/>
        <w:autoSpaceDN w:val="0"/>
        <w:adjustRightInd w:val="0"/>
        <w:ind w:left="567" w:hanging="567"/>
        <w:rPr>
          <w:rFonts w:cs="TimesNewRomanPS-BoldItalicMT"/>
          <w:bCs/>
          <w:iCs/>
          <w:szCs w:val="20"/>
        </w:rPr>
      </w:pPr>
      <w:r w:rsidRPr="004036B8">
        <w:rPr>
          <w:rFonts w:cs="TimesNewRomanPS-BoldItalicMT"/>
          <w:bCs/>
          <w:iCs/>
          <w:szCs w:val="20"/>
        </w:rPr>
        <w:t xml:space="preserve">a) </w:t>
      </w:r>
      <w:r w:rsidRPr="004036B8">
        <w:rPr>
          <w:rFonts w:cs="TimesNewRomanPS-BoldItalicMT"/>
          <w:bCs/>
          <w:iCs/>
          <w:szCs w:val="20"/>
        </w:rPr>
        <w:tab/>
        <w:t>konieczność omijania przeszkód, redukcji hałasu lub gdy procedury ruchu lotniczego wymagają wykonywania lotu z określonego kierunku;</w:t>
      </w:r>
    </w:p>
    <w:p w14:paraId="3331CF5B" w14:textId="6294BB21" w:rsidR="004F00AB" w:rsidRPr="004036B8" w:rsidRDefault="000357D0" w:rsidP="000357D0">
      <w:pPr>
        <w:tabs>
          <w:tab w:val="left" w:pos="567"/>
        </w:tabs>
        <w:autoSpaceDE w:val="0"/>
        <w:autoSpaceDN w:val="0"/>
        <w:adjustRightInd w:val="0"/>
        <w:ind w:left="567" w:hanging="567"/>
        <w:rPr>
          <w:rFonts w:cs="TimesNewRomanPS-BoldItalicMT"/>
          <w:bCs/>
          <w:iCs/>
          <w:szCs w:val="20"/>
        </w:rPr>
      </w:pPr>
      <w:r w:rsidRPr="004036B8">
        <w:rPr>
          <w:rFonts w:cs="TimesNewRomanPS-BoldItalicMT"/>
          <w:bCs/>
          <w:iCs/>
          <w:szCs w:val="20"/>
        </w:rPr>
        <w:t xml:space="preserve">b) </w:t>
      </w:r>
      <w:r w:rsidRPr="004036B8">
        <w:rPr>
          <w:rFonts w:cs="TimesNewRomanPS-BoldItalicMT"/>
          <w:bCs/>
          <w:iCs/>
          <w:szCs w:val="20"/>
        </w:rPr>
        <w:tab/>
      </w:r>
      <w:r w:rsidR="004F00AB" w:rsidRPr="004036B8">
        <w:rPr>
          <w:rFonts w:cs="TimesNewRomanPS-BoldItalicMT"/>
          <w:bCs/>
          <w:iCs/>
          <w:szCs w:val="20"/>
        </w:rPr>
        <w:t>środowiskowe warunki lotniska dla śmigłowców zapewniają mało wzrokowych punktów orientacji na ziemi; oraz</w:t>
      </w:r>
    </w:p>
    <w:p w14:paraId="18EC9A65" w14:textId="7B86FE86" w:rsidR="004F00AB" w:rsidRPr="00F50ACE" w:rsidRDefault="000357D0" w:rsidP="000357D0">
      <w:pPr>
        <w:tabs>
          <w:tab w:val="left" w:pos="567"/>
        </w:tabs>
        <w:autoSpaceDE w:val="0"/>
        <w:autoSpaceDN w:val="0"/>
        <w:adjustRightInd w:val="0"/>
        <w:ind w:left="567" w:hanging="567"/>
        <w:rPr>
          <w:rFonts w:cs="TimesNewRomanPS-BoldItalicMT"/>
          <w:bCs/>
          <w:iCs/>
          <w:szCs w:val="20"/>
        </w:rPr>
      </w:pPr>
      <w:r w:rsidRPr="004036B8">
        <w:rPr>
          <w:rFonts w:cs="TimesNewRomanPS-BoldItalicMT"/>
          <w:bCs/>
          <w:iCs/>
          <w:szCs w:val="20"/>
        </w:rPr>
        <w:t xml:space="preserve">c) </w:t>
      </w:r>
      <w:r w:rsidRPr="004036B8">
        <w:rPr>
          <w:rFonts w:cs="TimesNewRomanPS-BoldItalicMT"/>
          <w:bCs/>
          <w:iCs/>
          <w:szCs w:val="20"/>
        </w:rPr>
        <w:tab/>
      </w:r>
      <w:r w:rsidR="004F00AB" w:rsidRPr="004036B8">
        <w:rPr>
          <w:rFonts w:cs="TimesNewRomanPS-BoldItalicMT"/>
          <w:bCs/>
          <w:iCs/>
          <w:szCs w:val="20"/>
        </w:rPr>
        <w:t xml:space="preserve">brak fizycznego uzasadnienia dla zainstalowania systemu świateł </w:t>
      </w:r>
      <w:r w:rsidR="004F00AB" w:rsidRPr="00F50ACE">
        <w:rPr>
          <w:rFonts w:cs="TimesNewRomanPS-BoldItalicMT"/>
          <w:bCs/>
          <w:iCs/>
          <w:szCs w:val="20"/>
        </w:rPr>
        <w:t>podejścia.</w:t>
      </w:r>
    </w:p>
    <w:p w14:paraId="4AEA2133" w14:textId="6AAF43A3" w:rsidR="00133B99" w:rsidRPr="009E064B" w:rsidRDefault="00046E75" w:rsidP="00133B99">
      <w:pPr>
        <w:pStyle w:val="Nagwek4"/>
        <w:rPr>
          <w:color w:val="auto"/>
        </w:rPr>
      </w:pPr>
      <w:bookmarkStart w:id="1949" w:name="_CS_HPT-DSN.F.660_"/>
      <w:bookmarkStart w:id="1950" w:name="_Toc12533400"/>
      <w:bookmarkEnd w:id="1949"/>
      <w:r w:rsidRPr="00DA54CB">
        <w:rPr>
          <w:color w:val="auto"/>
        </w:rPr>
        <w:t>CS HPT-DSN.F.66</w:t>
      </w:r>
      <w:r w:rsidR="00133B99" w:rsidRPr="00DA54CB">
        <w:rPr>
          <w:color w:val="auto"/>
        </w:rPr>
        <w:t>0</w:t>
      </w:r>
      <w:r w:rsidR="00133B99" w:rsidRPr="00DA54CB">
        <w:rPr>
          <w:b w:val="0"/>
          <w:bCs w:val="0"/>
          <w:color w:val="FFFFFF"/>
          <w:sz w:val="32"/>
          <w:szCs w:val="32"/>
        </w:rPr>
        <w:t xml:space="preserve">     </w:t>
      </w:r>
      <w:r w:rsidRPr="00DA54CB">
        <w:t>Wzrokowy wskaźnik ścieżki podejścia</w:t>
      </w:r>
      <w:bookmarkEnd w:id="1950"/>
      <w:r w:rsidRPr="00900AA5">
        <w:t xml:space="preserve"> </w:t>
      </w:r>
    </w:p>
    <w:p w14:paraId="13087CF1" w14:textId="043D006C"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1B8C6D63" w14:textId="30677585" w:rsidR="00867551" w:rsidRPr="00402E9B" w:rsidRDefault="00133B99" w:rsidP="007C1903">
      <w:pPr>
        <w:tabs>
          <w:tab w:val="left" w:pos="567"/>
        </w:tabs>
        <w:autoSpaceDE w:val="0"/>
        <w:autoSpaceDN w:val="0"/>
        <w:adjustRightInd w:val="0"/>
        <w:ind w:left="567" w:hanging="567"/>
        <w:rPr>
          <w:rFonts w:cs="TimesNewRomanPS-BoldItalicMT"/>
          <w:bCs/>
          <w:iCs/>
          <w:szCs w:val="20"/>
        </w:rPr>
      </w:pPr>
      <w:r w:rsidRPr="00402E9B">
        <w:rPr>
          <w:rFonts w:cs="TimesNewRomanPS-BoldItalicMT"/>
          <w:bCs/>
          <w:iCs/>
          <w:szCs w:val="20"/>
        </w:rPr>
        <w:t>(a)</w:t>
      </w:r>
      <w:r w:rsidRPr="00402E9B">
        <w:rPr>
          <w:rFonts w:cs="TimesNewRomanPS-BoldItalicMT"/>
          <w:bCs/>
          <w:iCs/>
          <w:szCs w:val="20"/>
        </w:rPr>
        <w:tab/>
      </w:r>
      <w:r w:rsidR="007C1903" w:rsidRPr="00402E9B">
        <w:rPr>
          <w:rFonts w:cs="TimesNewRomanPS-BoldItalicMT"/>
          <w:bCs/>
          <w:iCs/>
          <w:szCs w:val="20"/>
        </w:rPr>
        <w:t>Zastosowanie</w:t>
      </w:r>
      <w:r w:rsidR="00867551" w:rsidRPr="00402E9B">
        <w:rPr>
          <w:rFonts w:cs="TimesNewRomanPS-BoldItalicMT"/>
          <w:bCs/>
          <w:iCs/>
          <w:szCs w:val="20"/>
        </w:rPr>
        <w:t>. Jeżeli wzrokowy wskaźnik ścieżki podejścia jest zainstalowany na lotnisku dla śmigłowców to powinien dostarczać informacji o kącie podejścia koniecznym do utrzymania bezpiecznej wysokości nad przeszkodami w czasie podejścia do lądowania na lotnisku dla śmigłowców.</w:t>
      </w:r>
    </w:p>
    <w:p w14:paraId="6F536D75" w14:textId="0B28A26B" w:rsidR="007C1903" w:rsidRPr="00402E9B" w:rsidRDefault="00867551" w:rsidP="00867551">
      <w:pPr>
        <w:tabs>
          <w:tab w:val="left" w:pos="567"/>
        </w:tabs>
        <w:autoSpaceDE w:val="0"/>
        <w:autoSpaceDN w:val="0"/>
        <w:adjustRightInd w:val="0"/>
        <w:ind w:left="567" w:hanging="567"/>
        <w:rPr>
          <w:rFonts w:cs="TimesNewRomanPS-BoldItalicMT"/>
          <w:bCs/>
          <w:iCs/>
          <w:szCs w:val="20"/>
        </w:rPr>
      </w:pPr>
      <w:r w:rsidRPr="00402E9B">
        <w:rPr>
          <w:rFonts w:cs="TimesNewRomanPS-BoldItalicMT"/>
          <w:bCs/>
          <w:iCs/>
          <w:szCs w:val="20"/>
        </w:rPr>
        <w:t xml:space="preserve">(b) </w:t>
      </w:r>
      <w:r w:rsidRPr="00402E9B">
        <w:rPr>
          <w:rFonts w:cs="TimesNewRomanPS-BoldItalicMT"/>
          <w:bCs/>
          <w:iCs/>
          <w:szCs w:val="20"/>
        </w:rPr>
        <w:tab/>
      </w:r>
      <w:r w:rsidR="007C1903" w:rsidRPr="00402E9B">
        <w:rPr>
          <w:rFonts w:cs="TimesNewRomanPS-BoldItalicMT"/>
          <w:bCs/>
          <w:iCs/>
          <w:szCs w:val="20"/>
        </w:rPr>
        <w:t>Standardowy system wzrokowych wskaźników ścieżki podejścia dla operacji śmigłowcowych powinien składać się z następujących elementów:</w:t>
      </w:r>
    </w:p>
    <w:p w14:paraId="6E9B16FD" w14:textId="4F3EAD6C" w:rsidR="007C1903" w:rsidRPr="00DA54CB" w:rsidRDefault="00867551" w:rsidP="00867551">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(1</w:t>
      </w:r>
      <w:r w:rsidR="007C1903" w:rsidRPr="00402E9B">
        <w:rPr>
          <w:rFonts w:cs="TimesNewRomanPS-BoldItalicMT"/>
          <w:bCs/>
          <w:iCs/>
          <w:szCs w:val="20"/>
        </w:rPr>
        <w:t xml:space="preserve">) </w:t>
      </w:r>
      <w:r w:rsidR="007C1903" w:rsidRPr="00402E9B">
        <w:rPr>
          <w:rFonts w:cs="TimesNewRomanPS-BoldItalicMT"/>
          <w:bCs/>
          <w:iCs/>
          <w:szCs w:val="20"/>
        </w:rPr>
        <w:tab/>
        <w:t xml:space="preserve">systemów PAPI i APAPI odpowiadających warunkom technicznym zawartym </w:t>
      </w:r>
      <w:r w:rsidR="00402E9B" w:rsidRPr="00402E9B">
        <w:rPr>
          <w:rFonts w:cs="TimesNewRomanPS-BoldItalicMT"/>
          <w:bCs/>
          <w:iCs/>
          <w:szCs w:val="20"/>
        </w:rPr>
        <w:br/>
      </w:r>
      <w:r w:rsidR="007C1903" w:rsidRPr="00DA54CB">
        <w:rPr>
          <w:rFonts w:cs="TimesNewRomanPS-BoldItalicMT"/>
          <w:bCs/>
          <w:iCs/>
          <w:szCs w:val="20"/>
        </w:rPr>
        <w:t xml:space="preserve">w </w:t>
      </w:r>
      <w:hyperlink w:anchor="_CS_ADR-DSN.M.645_" w:history="1">
        <w:r w:rsidR="00402E9B" w:rsidRPr="00DA54CB">
          <w:rPr>
            <w:rStyle w:val="Hipercze"/>
          </w:rPr>
          <w:t>CS </w:t>
        </w:r>
        <w:r w:rsidRPr="00DA54CB">
          <w:rPr>
            <w:rStyle w:val="Hipercze"/>
          </w:rPr>
          <w:t>ADR-DSN.M.645</w:t>
        </w:r>
      </w:hyperlink>
      <w:r w:rsidRPr="00DA54CB">
        <w:t xml:space="preserve"> i </w:t>
      </w:r>
      <w:hyperlink w:anchor="_CS_ADR-DSN.M.650_" w:history="1">
        <w:r w:rsidRPr="00DA54CB">
          <w:rPr>
            <w:rStyle w:val="Hipercze"/>
          </w:rPr>
          <w:t>CS</w:t>
        </w:r>
        <w:r w:rsidR="00DA54CB" w:rsidRPr="00DA54CB">
          <w:rPr>
            <w:rStyle w:val="Hipercze"/>
          </w:rPr>
          <w:t> </w:t>
        </w:r>
        <w:r w:rsidRPr="00DA54CB">
          <w:rPr>
            <w:rStyle w:val="Hipercze"/>
          </w:rPr>
          <w:t>ADR-DSN.M.650</w:t>
        </w:r>
      </w:hyperlink>
      <w:r w:rsidR="007C1903" w:rsidRPr="00DA54CB">
        <w:rPr>
          <w:rFonts w:cs="TimesNewRomanPS-BoldItalicMT"/>
          <w:bCs/>
          <w:iCs/>
          <w:szCs w:val="20"/>
        </w:rPr>
        <w:t xml:space="preserve"> z wyjątkiem tego, że wielkość kątowa sektora „na ścieżce” powinna być zwiększona w systemach do 45 minut kątowych; lub</w:t>
      </w:r>
    </w:p>
    <w:p w14:paraId="4ECDE0EB" w14:textId="36DB1D41" w:rsidR="007C1903" w:rsidRPr="00402E9B" w:rsidRDefault="00867551" w:rsidP="00867551">
      <w:pPr>
        <w:tabs>
          <w:tab w:val="left" w:pos="1134"/>
        </w:tabs>
        <w:autoSpaceDE w:val="0"/>
        <w:autoSpaceDN w:val="0"/>
        <w:adjustRightInd w:val="0"/>
        <w:ind w:left="1134" w:hanging="567"/>
        <w:rPr>
          <w:rFonts w:cs="TimesNewRomanPS-BoldItalicMT"/>
          <w:bCs/>
          <w:iCs/>
          <w:szCs w:val="20"/>
        </w:rPr>
      </w:pPr>
      <w:r w:rsidRPr="00DA54CB">
        <w:rPr>
          <w:rFonts w:cs="TimesNewRomanPS-BoldItalicMT"/>
          <w:bCs/>
          <w:iCs/>
          <w:szCs w:val="20"/>
        </w:rPr>
        <w:t>(2</w:t>
      </w:r>
      <w:r w:rsidR="007C1903" w:rsidRPr="00DA54CB">
        <w:rPr>
          <w:rFonts w:cs="TimesNewRomanPS-BoldItalicMT"/>
          <w:bCs/>
          <w:iCs/>
          <w:szCs w:val="20"/>
        </w:rPr>
        <w:t xml:space="preserve">) </w:t>
      </w:r>
      <w:r w:rsidR="007C1903" w:rsidRPr="00DA54CB">
        <w:rPr>
          <w:rFonts w:cs="TimesNewRomanPS-BoldItalicMT"/>
          <w:bCs/>
          <w:iCs/>
          <w:szCs w:val="20"/>
        </w:rPr>
        <w:tab/>
        <w:t>systemu wskaźnika ścieżki podejścia śmigłowc</w:t>
      </w:r>
      <w:r w:rsidR="00402E9B" w:rsidRPr="00DA54CB">
        <w:rPr>
          <w:rFonts w:cs="TimesNewRomanPS-BoldItalicMT"/>
          <w:bCs/>
          <w:iCs/>
          <w:szCs w:val="20"/>
        </w:rPr>
        <w:t>a</w:t>
      </w:r>
      <w:r w:rsidR="007C1903" w:rsidRPr="00DA54CB">
        <w:rPr>
          <w:rFonts w:cs="TimesNewRomanPS-BoldItalicMT"/>
          <w:bCs/>
          <w:iCs/>
          <w:szCs w:val="20"/>
        </w:rPr>
        <w:t xml:space="preserve"> (HAPI</w:t>
      </w:r>
      <w:r w:rsidRPr="00DA54CB">
        <w:rPr>
          <w:rStyle w:val="Odwoanieprzypisudolnego"/>
          <w:rFonts w:cs="TimesNewRomanPS-BoldItalicMT"/>
          <w:bCs/>
          <w:iCs/>
          <w:szCs w:val="20"/>
        </w:rPr>
        <w:footnoteReference w:id="57"/>
      </w:r>
      <w:r w:rsidRPr="00DA54CB">
        <w:rPr>
          <w:rFonts w:cs="TimesNewRomanPS-BoldItalicMT"/>
          <w:bCs/>
          <w:iCs/>
          <w:szCs w:val="20"/>
        </w:rPr>
        <w:t>)</w:t>
      </w:r>
      <w:r w:rsidR="007C1903" w:rsidRPr="00DA54CB">
        <w:rPr>
          <w:rFonts w:cs="TimesNewRomanPS-BoldItalicMT"/>
          <w:bCs/>
          <w:iCs/>
          <w:szCs w:val="20"/>
        </w:rPr>
        <w:t xml:space="preserve"> odpowiadającego warunkom</w:t>
      </w:r>
      <w:r w:rsidR="007C1903" w:rsidRPr="00402E9B">
        <w:rPr>
          <w:rFonts w:cs="TimesNewRomanPS-BoldItalicMT"/>
          <w:bCs/>
          <w:iCs/>
          <w:szCs w:val="20"/>
        </w:rPr>
        <w:t xml:space="preserve"> technicznym zawartym w punktach od </w:t>
      </w:r>
      <w:r w:rsidRPr="00402E9B">
        <w:rPr>
          <w:rFonts w:cs="TimesNewRomanPS-BoldItalicMT"/>
          <w:bCs/>
          <w:iCs/>
          <w:szCs w:val="20"/>
        </w:rPr>
        <w:t>(d) do (g) poniżej.</w:t>
      </w:r>
    </w:p>
    <w:p w14:paraId="4B3A7EB2" w14:textId="628F06C1" w:rsidR="007C1903" w:rsidRPr="00402E9B" w:rsidRDefault="00867551" w:rsidP="00867551">
      <w:pPr>
        <w:tabs>
          <w:tab w:val="left" w:pos="567"/>
        </w:tabs>
        <w:autoSpaceDE w:val="0"/>
        <w:autoSpaceDN w:val="0"/>
        <w:adjustRightInd w:val="0"/>
        <w:ind w:left="567" w:hanging="567"/>
        <w:rPr>
          <w:rFonts w:cs="TimesNewRomanPS-BoldItalicMT"/>
          <w:bCs/>
          <w:iCs/>
          <w:szCs w:val="20"/>
        </w:rPr>
      </w:pPr>
      <w:r w:rsidRPr="00402E9B">
        <w:rPr>
          <w:rFonts w:cs="TimesNewRomanPS-BoldItalicMT"/>
          <w:bCs/>
          <w:iCs/>
          <w:szCs w:val="20"/>
        </w:rPr>
        <w:t xml:space="preserve">(c) </w:t>
      </w:r>
      <w:r w:rsidRPr="00402E9B">
        <w:rPr>
          <w:rFonts w:cs="TimesNewRomanPS-BoldItalicMT"/>
          <w:bCs/>
          <w:iCs/>
          <w:szCs w:val="20"/>
        </w:rPr>
        <w:tab/>
      </w:r>
      <w:r w:rsidR="007C1903" w:rsidRPr="00402E9B">
        <w:rPr>
          <w:rFonts w:cs="TimesNewRomanPS-BoldItalicMT"/>
          <w:bCs/>
          <w:iCs/>
          <w:szCs w:val="20"/>
        </w:rPr>
        <w:t>Lokalizacja</w:t>
      </w:r>
    </w:p>
    <w:p w14:paraId="1E1B5F03" w14:textId="21D3F1F2" w:rsidR="007C1903" w:rsidRPr="00F50ACE" w:rsidRDefault="00867551" w:rsidP="00867551">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(1) </w:t>
      </w:r>
      <w:r w:rsidR="007C1903" w:rsidRPr="00402E9B">
        <w:rPr>
          <w:rFonts w:cs="TimesNewRomanPS-BoldItalicMT"/>
          <w:bCs/>
          <w:iCs/>
          <w:szCs w:val="20"/>
        </w:rPr>
        <w:tab/>
        <w:t xml:space="preserve">Wzrokowy wskaźnik ścieżki podejścia powinien być zainstalowany w taki sposób, aby śmigłowiec był naprowadzany do właściwej pozycji w </w:t>
      </w:r>
      <w:r w:rsidR="007C1903" w:rsidRPr="00F50ACE">
        <w:rPr>
          <w:rFonts w:cs="TimesNewRomanPS-BoldItalicMT"/>
          <w:bCs/>
          <w:iCs/>
          <w:szCs w:val="20"/>
        </w:rPr>
        <w:t>strefie FATO i aby uniknąć oślepienia pilota podczas wykonywania podejścia końcowego</w:t>
      </w:r>
      <w:r w:rsidRPr="00F50ACE">
        <w:rPr>
          <w:rFonts w:cs="TimesNewRomanPS-BoldItalicMT"/>
          <w:bCs/>
          <w:iCs/>
          <w:szCs w:val="20"/>
        </w:rPr>
        <w:t xml:space="preserve"> i lądowania.</w:t>
      </w:r>
    </w:p>
    <w:p w14:paraId="702309D5" w14:textId="27F350EA" w:rsidR="00867551" w:rsidRPr="00F50ACE" w:rsidRDefault="00867551" w:rsidP="00867551">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(2) </w:t>
      </w:r>
      <w:r w:rsidRPr="00F50ACE">
        <w:rPr>
          <w:rFonts w:cs="TimesNewRomanPS-BoldItalicMT"/>
          <w:bCs/>
          <w:iCs/>
          <w:szCs w:val="20"/>
        </w:rPr>
        <w:tab/>
        <w:t xml:space="preserve">Jednostki świetlne powinny i być zamontowane </w:t>
      </w:r>
      <w:r w:rsidR="00F7460A" w:rsidRPr="00F50ACE">
        <w:rPr>
          <w:rFonts w:cs="TimesNewRomanPS-BoldItalicMT"/>
          <w:bCs/>
          <w:iCs/>
          <w:szCs w:val="20"/>
        </w:rPr>
        <w:t xml:space="preserve">tak nisko jak to jest </w:t>
      </w:r>
      <w:r w:rsidRPr="00F50ACE">
        <w:rPr>
          <w:rFonts w:cs="TimesNewRomanPS-BoldItalicMT"/>
          <w:bCs/>
          <w:iCs/>
          <w:szCs w:val="20"/>
        </w:rPr>
        <w:t>możliw</w:t>
      </w:r>
      <w:r w:rsidR="00F7460A" w:rsidRPr="00F50ACE">
        <w:rPr>
          <w:rFonts w:cs="TimesNewRomanPS-BoldItalicMT"/>
          <w:bCs/>
          <w:iCs/>
          <w:szCs w:val="20"/>
        </w:rPr>
        <w:t>e.</w:t>
      </w:r>
    </w:p>
    <w:p w14:paraId="096EE435" w14:textId="3CE13CC8" w:rsidR="007C1903" w:rsidRPr="00402E9B" w:rsidRDefault="00F7460A" w:rsidP="00F7460A">
      <w:pPr>
        <w:tabs>
          <w:tab w:val="left" w:pos="567"/>
        </w:tabs>
        <w:autoSpaceDE w:val="0"/>
        <w:autoSpaceDN w:val="0"/>
        <w:adjustRightInd w:val="0"/>
        <w:ind w:left="567" w:hanging="567"/>
        <w:rPr>
          <w:rFonts w:cs="TimesNewRomanPS-BoldItalicMT"/>
          <w:bCs/>
          <w:iCs/>
          <w:szCs w:val="20"/>
        </w:rPr>
      </w:pPr>
      <w:r w:rsidRPr="00402E9B">
        <w:rPr>
          <w:rFonts w:cs="TimesNewRomanPS-BoldItalicMT"/>
          <w:bCs/>
          <w:iCs/>
          <w:szCs w:val="20"/>
        </w:rPr>
        <w:t xml:space="preserve">(d) </w:t>
      </w:r>
      <w:r w:rsidRPr="00402E9B">
        <w:rPr>
          <w:rFonts w:cs="TimesNewRomanPS-BoldItalicMT"/>
          <w:bCs/>
          <w:iCs/>
          <w:szCs w:val="20"/>
        </w:rPr>
        <w:tab/>
        <w:t>Charakterystyka</w:t>
      </w:r>
      <w:r w:rsidR="007C1903" w:rsidRPr="00402E9B">
        <w:rPr>
          <w:rFonts w:cs="TimesNewRomanPS-BoldItalicMT"/>
          <w:bCs/>
          <w:iCs/>
          <w:szCs w:val="20"/>
        </w:rPr>
        <w:t xml:space="preserve"> </w:t>
      </w:r>
      <w:r w:rsidRPr="00402E9B">
        <w:rPr>
          <w:rFonts w:cs="TimesNewRomanPS-BoldItalicMT"/>
          <w:bCs/>
          <w:iCs/>
          <w:szCs w:val="20"/>
        </w:rPr>
        <w:t xml:space="preserve">formatu </w:t>
      </w:r>
      <w:r w:rsidR="007C1903" w:rsidRPr="00402E9B">
        <w:rPr>
          <w:rFonts w:cs="TimesNewRomanPS-BoldItalicMT"/>
          <w:bCs/>
          <w:iCs/>
          <w:szCs w:val="20"/>
        </w:rPr>
        <w:t>sygnału HAPI</w:t>
      </w:r>
    </w:p>
    <w:p w14:paraId="7E357727" w14:textId="3932A836"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(1) </w:t>
      </w:r>
      <w:r w:rsidRPr="00402E9B">
        <w:rPr>
          <w:rFonts w:cs="TimesNewRomanPS-BoldItalicMT"/>
          <w:bCs/>
          <w:iCs/>
          <w:szCs w:val="20"/>
        </w:rPr>
        <w:tab/>
      </w:r>
      <w:r w:rsidR="007C1903" w:rsidRPr="00402E9B">
        <w:rPr>
          <w:rFonts w:cs="TimesNewRomanPS-BoldItalicMT"/>
          <w:bCs/>
          <w:iCs/>
          <w:szCs w:val="20"/>
        </w:rPr>
        <w:t xml:space="preserve">Format sygnału HAPI powinien </w:t>
      </w:r>
      <w:r w:rsidR="00402E9B" w:rsidRPr="00402E9B">
        <w:rPr>
          <w:rFonts w:cs="TimesNewRomanPS-BoldItalicMT"/>
          <w:bCs/>
          <w:iCs/>
          <w:szCs w:val="20"/>
        </w:rPr>
        <w:t>zawierać</w:t>
      </w:r>
      <w:r w:rsidR="007C1903" w:rsidRPr="00402E9B">
        <w:rPr>
          <w:rFonts w:cs="TimesNewRomanPS-BoldItalicMT"/>
          <w:bCs/>
          <w:iCs/>
          <w:szCs w:val="20"/>
        </w:rPr>
        <w:t xml:space="preserve"> cztery oddzielne sektory sygnałów, oznaczających </w:t>
      </w:r>
      <w:r w:rsidR="00402E9B" w:rsidRPr="00402E9B">
        <w:rPr>
          <w:rFonts w:cs="TimesNewRomanPS-BoldItalicMT"/>
          <w:bCs/>
          <w:iCs/>
          <w:szCs w:val="20"/>
        </w:rPr>
        <w:t xml:space="preserve">odpowiednio sygnał: </w:t>
      </w:r>
      <w:r w:rsidR="007C1903" w:rsidRPr="00402E9B">
        <w:rPr>
          <w:rFonts w:cs="TimesNewRomanPS-BoldItalicMT"/>
          <w:bCs/>
          <w:iCs/>
          <w:szCs w:val="20"/>
        </w:rPr>
        <w:t>„nad ścieżką”, „na ścieżce”, „nieznacznie pod” i „pod ścieżką”.</w:t>
      </w:r>
    </w:p>
    <w:p w14:paraId="64291252" w14:textId="097F7A33"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(2) </w:t>
      </w:r>
      <w:r w:rsidR="007C1903" w:rsidRPr="00402E9B">
        <w:rPr>
          <w:rFonts w:cs="TimesNewRomanPS-BoldItalicMT"/>
          <w:bCs/>
          <w:iCs/>
          <w:szCs w:val="20"/>
        </w:rPr>
        <w:tab/>
        <w:t xml:space="preserve">Format sygnału HAPI powinien być taki, jak pokazano na Rysunku </w:t>
      </w:r>
      <w:r w:rsidRPr="00402E9B">
        <w:rPr>
          <w:rFonts w:cs="TimesNewRomanPS-BoldItalicMT"/>
          <w:bCs/>
          <w:iCs/>
          <w:szCs w:val="20"/>
        </w:rPr>
        <w:t>F-11</w:t>
      </w:r>
      <w:r w:rsidR="007C1903" w:rsidRPr="00402E9B">
        <w:rPr>
          <w:rFonts w:cs="TimesNewRomanPS-BoldItalicMT"/>
          <w:bCs/>
          <w:iCs/>
          <w:szCs w:val="20"/>
        </w:rPr>
        <w:t>, ilustracje A i B.</w:t>
      </w:r>
    </w:p>
    <w:p w14:paraId="146BFADE" w14:textId="59978B9D"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(3) </w:t>
      </w:r>
      <w:r w:rsidR="007C1903" w:rsidRPr="00402E9B">
        <w:rPr>
          <w:rFonts w:cs="TimesNewRomanPS-BoldItalicMT"/>
          <w:bCs/>
          <w:iCs/>
          <w:szCs w:val="20"/>
        </w:rPr>
        <w:tab/>
        <w:t>Częstotliwość sygnału błyskowego sektora HAPI powinna wynosić, co najmniej 2 Hz.</w:t>
      </w:r>
    </w:p>
    <w:p w14:paraId="0D83DB83" w14:textId="651167D0"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(4) </w:t>
      </w:r>
      <w:r w:rsidRPr="00402E9B">
        <w:rPr>
          <w:rFonts w:cs="TimesNewRomanPS-BoldItalicMT"/>
          <w:bCs/>
          <w:iCs/>
          <w:szCs w:val="20"/>
        </w:rPr>
        <w:tab/>
      </w:r>
      <w:r w:rsidR="00402E9B" w:rsidRPr="00402E9B">
        <w:rPr>
          <w:rFonts w:cs="TimesNewRomanPS-BoldItalicMT"/>
          <w:bCs/>
          <w:iCs/>
          <w:szCs w:val="20"/>
        </w:rPr>
        <w:t>Stosunek czasów włączenia</w:t>
      </w:r>
      <w:r w:rsidR="007C1903" w:rsidRPr="00402E9B">
        <w:rPr>
          <w:rFonts w:cs="TimesNewRomanPS-BoldItalicMT"/>
          <w:bCs/>
          <w:iCs/>
          <w:szCs w:val="20"/>
        </w:rPr>
        <w:t xml:space="preserve"> i wyłącze</w:t>
      </w:r>
      <w:r w:rsidR="00402E9B" w:rsidRPr="00402E9B">
        <w:rPr>
          <w:rFonts w:cs="TimesNewRomanPS-BoldItalicMT"/>
          <w:bCs/>
          <w:iCs/>
          <w:szCs w:val="20"/>
        </w:rPr>
        <w:t>nia</w:t>
      </w:r>
      <w:r w:rsidR="007C1903" w:rsidRPr="00402E9B">
        <w:rPr>
          <w:rFonts w:cs="TimesNewRomanPS-BoldItalicMT"/>
          <w:bCs/>
          <w:iCs/>
          <w:szCs w:val="20"/>
        </w:rPr>
        <w:t xml:space="preserve"> pulsujących s</w:t>
      </w:r>
      <w:r w:rsidR="00402E9B" w:rsidRPr="00402E9B">
        <w:rPr>
          <w:rFonts w:cs="TimesNewRomanPS-BoldItalicMT"/>
          <w:bCs/>
          <w:iCs/>
          <w:szCs w:val="20"/>
        </w:rPr>
        <w:t>ygnałów HAPI powinien wynosić 1 </w:t>
      </w:r>
      <w:r w:rsidR="007C1903" w:rsidRPr="00402E9B">
        <w:rPr>
          <w:rFonts w:cs="TimesNewRomanPS-BoldItalicMT"/>
          <w:bCs/>
          <w:iCs/>
          <w:szCs w:val="20"/>
        </w:rPr>
        <w:t xml:space="preserve">do 1, a głębia modulacji powinna być równa, co najmniej 80%. </w:t>
      </w:r>
    </w:p>
    <w:p w14:paraId="1688E14C" w14:textId="16D41AEF"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(5) </w:t>
      </w:r>
      <w:r w:rsidRPr="00402E9B">
        <w:rPr>
          <w:rFonts w:cs="TimesNewRomanPS-BoldItalicMT"/>
          <w:bCs/>
          <w:iCs/>
          <w:szCs w:val="20"/>
        </w:rPr>
        <w:tab/>
      </w:r>
      <w:r w:rsidR="007C1903" w:rsidRPr="00402E9B">
        <w:rPr>
          <w:rFonts w:cs="TimesNewRomanPS-BoldItalicMT"/>
          <w:bCs/>
          <w:iCs/>
          <w:szCs w:val="20"/>
        </w:rPr>
        <w:t>Kątowy wymiar sektora HAPI „na ścieżce” powinien wynosić 45 minut kątowych.</w:t>
      </w:r>
    </w:p>
    <w:p w14:paraId="1C37D6A3" w14:textId="239121D5" w:rsidR="007C1903" w:rsidRPr="00402E9B" w:rsidRDefault="00F7460A" w:rsidP="00F7460A">
      <w:pPr>
        <w:tabs>
          <w:tab w:val="left" w:pos="1134"/>
        </w:tabs>
        <w:autoSpaceDE w:val="0"/>
        <w:autoSpaceDN w:val="0"/>
        <w:adjustRightInd w:val="0"/>
        <w:ind w:left="1134" w:hanging="567"/>
        <w:rPr>
          <w:rFonts w:cs="TimesNewRomanPS-BoldItalicMT"/>
          <w:bCs/>
          <w:iCs/>
          <w:szCs w:val="20"/>
        </w:rPr>
      </w:pPr>
      <w:r w:rsidRPr="00402E9B">
        <w:rPr>
          <w:rFonts w:cs="TimesNewRomanPS-BoldItalicMT"/>
          <w:bCs/>
          <w:iCs/>
          <w:szCs w:val="20"/>
        </w:rPr>
        <w:t xml:space="preserve">(6) </w:t>
      </w:r>
      <w:r w:rsidRPr="00402E9B">
        <w:rPr>
          <w:rFonts w:cs="TimesNewRomanPS-BoldItalicMT"/>
          <w:bCs/>
          <w:iCs/>
          <w:szCs w:val="20"/>
        </w:rPr>
        <w:tab/>
      </w:r>
      <w:r w:rsidR="007C1903" w:rsidRPr="00402E9B">
        <w:rPr>
          <w:rFonts w:cs="TimesNewRomanPS-BoldItalicMT"/>
          <w:bCs/>
          <w:iCs/>
          <w:szCs w:val="20"/>
        </w:rPr>
        <w:t>Kątowy wymiar sektora HAPI „nieznacznie pod” powinien wynosić 15 minut kątowych.</w:t>
      </w:r>
    </w:p>
    <w:p w14:paraId="0ACE50CD" w14:textId="77777777" w:rsidR="00F7460A" w:rsidRPr="00900AA5" w:rsidRDefault="00F7460A" w:rsidP="00F7460A">
      <w:pPr>
        <w:rPr>
          <w:szCs w:val="20"/>
        </w:rPr>
      </w:pPr>
      <w:r w:rsidRPr="009D2A1D">
        <w:rPr>
          <w:noProof/>
          <w:lang w:eastAsia="pl-PL"/>
        </w:rPr>
        <w:drawing>
          <wp:inline distT="0" distB="0" distL="0" distR="0" wp14:anchorId="676A7C05" wp14:editId="7B24AC19">
            <wp:extent cx="5759450" cy="2978150"/>
            <wp:effectExtent l="0" t="0" r="0" b="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759450" cy="2978150"/>
                    </a:xfrm>
                    <a:prstGeom prst="rect">
                      <a:avLst/>
                    </a:prstGeom>
                    <a:noFill/>
                    <a:ln>
                      <a:noFill/>
                    </a:ln>
                  </pic:spPr>
                </pic:pic>
              </a:graphicData>
            </a:graphic>
          </wp:inline>
        </w:drawing>
      </w:r>
    </w:p>
    <w:p w14:paraId="27FE720F" w14:textId="77777777" w:rsidR="00F7460A" w:rsidRPr="00CE4A3E" w:rsidRDefault="00F7460A" w:rsidP="00F7460A">
      <w:pPr>
        <w:spacing w:before="240"/>
        <w:jc w:val="center"/>
        <w:rPr>
          <w:b/>
          <w:sz w:val="20"/>
          <w:szCs w:val="20"/>
        </w:rPr>
      </w:pPr>
      <w:r w:rsidRPr="00CE4A3E">
        <w:rPr>
          <w:b/>
          <w:sz w:val="20"/>
          <w:szCs w:val="20"/>
        </w:rPr>
        <w:t>Rysunek 5-15   Format sygnału HAPI</w:t>
      </w:r>
    </w:p>
    <w:p w14:paraId="777A7F61" w14:textId="77777777" w:rsidR="00133B99" w:rsidRDefault="00133B99" w:rsidP="00133B99"/>
    <w:p w14:paraId="6CAA88F1" w14:textId="77C4A0CD" w:rsidR="00F7460A" w:rsidRPr="00687650" w:rsidRDefault="00F7460A" w:rsidP="00F7460A">
      <w:pPr>
        <w:tabs>
          <w:tab w:val="left" w:pos="567"/>
        </w:tabs>
        <w:autoSpaceDE w:val="0"/>
        <w:autoSpaceDN w:val="0"/>
        <w:adjustRightInd w:val="0"/>
        <w:ind w:left="567" w:hanging="567"/>
        <w:rPr>
          <w:rFonts w:cs="TimesNewRomanPS-BoldItalicMT"/>
          <w:bCs/>
          <w:iCs/>
          <w:szCs w:val="20"/>
        </w:rPr>
      </w:pPr>
      <w:r w:rsidRPr="00687650">
        <w:rPr>
          <w:rFonts w:cs="TimesNewRomanPS-BoldItalicMT"/>
          <w:bCs/>
          <w:iCs/>
          <w:szCs w:val="20"/>
        </w:rPr>
        <w:t xml:space="preserve">(e) </w:t>
      </w:r>
      <w:r w:rsidRPr="00687650">
        <w:rPr>
          <w:rFonts w:cs="TimesNewRomanPS-BoldItalicMT"/>
          <w:bCs/>
          <w:iCs/>
          <w:szCs w:val="20"/>
        </w:rPr>
        <w:tab/>
        <w:t>Rozkład światła:</w:t>
      </w:r>
    </w:p>
    <w:p w14:paraId="65546AC7" w14:textId="64AA026B" w:rsidR="00F7460A" w:rsidRPr="00687650" w:rsidRDefault="00F7460A" w:rsidP="00F7460A">
      <w:pPr>
        <w:tabs>
          <w:tab w:val="left" w:pos="1134"/>
        </w:tabs>
        <w:autoSpaceDE w:val="0"/>
        <w:autoSpaceDN w:val="0"/>
        <w:adjustRightInd w:val="0"/>
        <w:ind w:left="1134" w:hanging="567"/>
        <w:rPr>
          <w:rFonts w:cs="TimesNewRomanPS-BoldItalicMT"/>
          <w:bCs/>
          <w:iCs/>
          <w:szCs w:val="20"/>
        </w:rPr>
      </w:pPr>
      <w:r w:rsidRPr="00687650">
        <w:rPr>
          <w:rFonts w:cs="TimesNewRomanPS-BoldItalicMT"/>
          <w:bCs/>
          <w:iCs/>
          <w:szCs w:val="20"/>
        </w:rPr>
        <w:t xml:space="preserve">(1) </w:t>
      </w:r>
      <w:r w:rsidRPr="00687650">
        <w:rPr>
          <w:rFonts w:cs="TimesNewRomanPS-BoldItalicMT"/>
          <w:bCs/>
          <w:iCs/>
          <w:szCs w:val="20"/>
        </w:rPr>
        <w:tab/>
        <w:t>Rozkład intensywności czerwonych i zielonych świateł HAPI powinien być taki, jak pokazano na Rysunku F-9, ilustracja 3.</w:t>
      </w:r>
    </w:p>
    <w:p w14:paraId="48EE05A4" w14:textId="3D10E571" w:rsidR="00F7460A" w:rsidRPr="00687650" w:rsidRDefault="00F7460A" w:rsidP="00F7460A">
      <w:pPr>
        <w:tabs>
          <w:tab w:val="left" w:pos="1134"/>
        </w:tabs>
        <w:autoSpaceDE w:val="0"/>
        <w:autoSpaceDN w:val="0"/>
        <w:adjustRightInd w:val="0"/>
        <w:ind w:left="1134" w:hanging="567"/>
        <w:rPr>
          <w:rFonts w:cs="TimesNewRomanPS-BoldItalicMT"/>
          <w:bCs/>
          <w:iCs/>
          <w:szCs w:val="20"/>
        </w:rPr>
      </w:pPr>
      <w:r w:rsidRPr="00687650">
        <w:rPr>
          <w:rFonts w:cs="TimesNewRomanPS-BoldItalicMT"/>
          <w:bCs/>
          <w:iCs/>
          <w:szCs w:val="20"/>
        </w:rPr>
        <w:t xml:space="preserve">(2) </w:t>
      </w:r>
      <w:r w:rsidRPr="00687650">
        <w:rPr>
          <w:rFonts w:cs="TimesNewRomanPS-BoldItalicMT"/>
          <w:bCs/>
          <w:iCs/>
          <w:szCs w:val="20"/>
        </w:rPr>
        <w:tab/>
        <w:t xml:space="preserve">Zmiana kolorów HAPI w płaszczyźnie pionowej powinna być taka, aby była zauważalna przez obserwatora z odległości nie mniejszej niż 300 m w pionowym wycinku kątowym nie większym niż 3 minuty kątowe. </w:t>
      </w:r>
    </w:p>
    <w:p w14:paraId="6E5B4169" w14:textId="391892F7" w:rsidR="00F7460A" w:rsidRPr="00687650" w:rsidRDefault="00F7460A" w:rsidP="00F7460A">
      <w:pPr>
        <w:tabs>
          <w:tab w:val="left" w:pos="1134"/>
        </w:tabs>
        <w:autoSpaceDE w:val="0"/>
        <w:autoSpaceDN w:val="0"/>
        <w:adjustRightInd w:val="0"/>
        <w:ind w:left="1134" w:hanging="567"/>
        <w:rPr>
          <w:rFonts w:cs="TimesNewRomanPS-BoldItalicMT"/>
          <w:bCs/>
          <w:iCs/>
          <w:szCs w:val="20"/>
        </w:rPr>
      </w:pPr>
      <w:r w:rsidRPr="00687650">
        <w:rPr>
          <w:rFonts w:cs="TimesNewRomanPS-BoldItalicMT"/>
          <w:bCs/>
          <w:iCs/>
          <w:szCs w:val="20"/>
        </w:rPr>
        <w:t xml:space="preserve">(3) </w:t>
      </w:r>
      <w:r w:rsidRPr="00687650">
        <w:rPr>
          <w:rFonts w:cs="TimesNewRomanPS-BoldItalicMT"/>
          <w:bCs/>
          <w:iCs/>
          <w:szCs w:val="20"/>
        </w:rPr>
        <w:tab/>
        <w:t xml:space="preserve">Współczynnik </w:t>
      </w:r>
      <w:r w:rsidR="00F8158A" w:rsidRPr="00687650">
        <w:rPr>
          <w:rFonts w:cs="TimesNewRomanPS-BoldItalicMT"/>
          <w:bCs/>
          <w:iCs/>
          <w:szCs w:val="20"/>
        </w:rPr>
        <w:t>przepuszczalności</w:t>
      </w:r>
      <w:r w:rsidRPr="00687650">
        <w:rPr>
          <w:rFonts w:cs="TimesNewRomanPS-BoldItalicMT"/>
          <w:bCs/>
          <w:iCs/>
          <w:szCs w:val="20"/>
        </w:rPr>
        <w:t xml:space="preserve"> filtra zielonego lub czerwonego nie może być, przy ustawieniu na natężenie maksymalne, mniejszy niż 15%.</w:t>
      </w:r>
    </w:p>
    <w:p w14:paraId="3DE95B5F" w14:textId="30F5FEAD" w:rsidR="00F7460A" w:rsidRPr="00687650" w:rsidRDefault="00F7460A" w:rsidP="00F7460A">
      <w:pPr>
        <w:tabs>
          <w:tab w:val="left" w:pos="1134"/>
        </w:tabs>
        <w:autoSpaceDE w:val="0"/>
        <w:autoSpaceDN w:val="0"/>
        <w:adjustRightInd w:val="0"/>
        <w:ind w:left="1134" w:hanging="567"/>
        <w:rPr>
          <w:rFonts w:cs="TimesNewRomanPS-BoldItalicMT"/>
          <w:bCs/>
          <w:iCs/>
          <w:szCs w:val="20"/>
        </w:rPr>
      </w:pPr>
      <w:r w:rsidRPr="00687650">
        <w:rPr>
          <w:rFonts w:cs="TimesNewRomanPS-BoldItalicMT"/>
          <w:bCs/>
          <w:iCs/>
          <w:szCs w:val="20"/>
        </w:rPr>
        <w:t xml:space="preserve">(4) </w:t>
      </w:r>
      <w:r w:rsidRPr="00687650">
        <w:rPr>
          <w:rFonts w:cs="TimesNewRomanPS-BoldItalicMT"/>
          <w:bCs/>
          <w:iCs/>
          <w:szCs w:val="20"/>
        </w:rPr>
        <w:tab/>
        <w:t xml:space="preserve">Czerwone światło HAPI przy pełnym natężeniu powinno mieć współrzędną Y nieprzekraczającą 0.320, a światło zielone powinno być zawarte w granicach określonych </w:t>
      </w:r>
      <w:r w:rsidRPr="00DA54CB">
        <w:rPr>
          <w:rFonts w:cs="TimesNewRomanPS-BoldItalicMT"/>
          <w:bCs/>
          <w:iCs/>
          <w:szCs w:val="20"/>
        </w:rPr>
        <w:t xml:space="preserve">w </w:t>
      </w:r>
      <w:hyperlink w:anchor="_CS_ADR-DSN.U.930_" w:history="1">
        <w:r w:rsidRPr="00DA54CB">
          <w:rPr>
            <w:rStyle w:val="Hipercze"/>
          </w:rPr>
          <w:t>CS</w:t>
        </w:r>
        <w:r w:rsidR="00DA54CB" w:rsidRPr="00DA54CB">
          <w:rPr>
            <w:rStyle w:val="Hipercze"/>
          </w:rPr>
          <w:t> </w:t>
        </w:r>
        <w:r w:rsidRPr="00DA54CB">
          <w:rPr>
            <w:rStyle w:val="Hipercze"/>
          </w:rPr>
          <w:t>ADR-DSN.U.930</w:t>
        </w:r>
      </w:hyperlink>
      <w:r w:rsidR="00DA54CB">
        <w:t xml:space="preserve"> punkt </w:t>
      </w:r>
      <w:r w:rsidRPr="00DA54CB">
        <w:t>(b).</w:t>
      </w:r>
    </w:p>
    <w:p w14:paraId="3C6319AA" w14:textId="7972502A" w:rsidR="00F7460A" w:rsidRPr="00F50ACE" w:rsidRDefault="00F7460A" w:rsidP="00F7460A">
      <w:pPr>
        <w:tabs>
          <w:tab w:val="left" w:pos="1134"/>
        </w:tabs>
        <w:autoSpaceDE w:val="0"/>
        <w:autoSpaceDN w:val="0"/>
        <w:adjustRightInd w:val="0"/>
        <w:ind w:left="1134" w:hanging="567"/>
        <w:rPr>
          <w:rFonts w:cs="TimesNewRomanPS-BoldItalicMT"/>
          <w:bCs/>
          <w:iCs/>
          <w:szCs w:val="20"/>
        </w:rPr>
      </w:pPr>
      <w:r w:rsidRPr="00687650">
        <w:rPr>
          <w:rFonts w:cs="TimesNewRomanPS-BoldItalicMT"/>
          <w:bCs/>
          <w:iCs/>
          <w:szCs w:val="20"/>
        </w:rPr>
        <w:t xml:space="preserve">(5) </w:t>
      </w:r>
      <w:r w:rsidRPr="00687650">
        <w:rPr>
          <w:rFonts w:cs="TimesNewRomanPS-BoldItalicMT"/>
          <w:bCs/>
          <w:iCs/>
          <w:szCs w:val="20"/>
        </w:rPr>
        <w:tab/>
        <w:t xml:space="preserve">Należy zapewnić stosowny sposób sterowania natężeniem światła tak, aby możliwe było jego ustawianie w celu dostosowania się do panujących warunków i uniknięcia oślepiania pilota podczas podchodzenia i </w:t>
      </w:r>
      <w:r w:rsidRPr="00F50ACE">
        <w:rPr>
          <w:rFonts w:cs="TimesNewRomanPS-BoldItalicMT"/>
          <w:bCs/>
          <w:iCs/>
          <w:szCs w:val="20"/>
        </w:rPr>
        <w:t>lądowania.</w:t>
      </w:r>
    </w:p>
    <w:p w14:paraId="40DC538B" w14:textId="3642F0A7" w:rsidR="00F7460A" w:rsidRPr="006C7B2D" w:rsidRDefault="00F7460A" w:rsidP="00F7460A">
      <w:pPr>
        <w:tabs>
          <w:tab w:val="left" w:pos="567"/>
        </w:tabs>
        <w:autoSpaceDE w:val="0"/>
        <w:autoSpaceDN w:val="0"/>
        <w:adjustRightInd w:val="0"/>
        <w:ind w:left="567" w:hanging="567"/>
        <w:rPr>
          <w:rFonts w:cs="TimesNewRomanPS-BoldItalicMT"/>
          <w:bCs/>
          <w:iCs/>
          <w:szCs w:val="20"/>
        </w:rPr>
      </w:pPr>
      <w:r w:rsidRPr="006C7B2D">
        <w:rPr>
          <w:rFonts w:cs="TimesNewRomanPS-BoldItalicMT"/>
          <w:bCs/>
          <w:iCs/>
          <w:szCs w:val="20"/>
        </w:rPr>
        <w:t xml:space="preserve">(f) </w:t>
      </w:r>
      <w:r w:rsidRPr="006C7B2D">
        <w:rPr>
          <w:rFonts w:cs="TimesNewRomanPS-BoldItalicMT"/>
          <w:bCs/>
          <w:iCs/>
          <w:szCs w:val="20"/>
        </w:rPr>
        <w:tab/>
        <w:t>Ustawianie wysokości i nachylenia ścieżki podejścia</w:t>
      </w:r>
      <w:r w:rsidR="00687650" w:rsidRPr="006C7B2D">
        <w:rPr>
          <w:rFonts w:cs="TimesNewRomanPS-BoldItalicMT"/>
          <w:bCs/>
          <w:iCs/>
          <w:szCs w:val="20"/>
        </w:rPr>
        <w:t>:</w:t>
      </w:r>
    </w:p>
    <w:p w14:paraId="5F7DCB98" w14:textId="68A64414"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(1) </w:t>
      </w:r>
      <w:r w:rsidRPr="006C7B2D">
        <w:rPr>
          <w:rFonts w:cs="TimesNewRomanPS-BoldItalicMT"/>
          <w:bCs/>
          <w:iCs/>
          <w:szCs w:val="20"/>
        </w:rPr>
        <w:tab/>
      </w:r>
      <w:r w:rsidR="00F7460A" w:rsidRPr="006C7B2D">
        <w:rPr>
          <w:rFonts w:cs="TimesNewRomanPS-BoldItalicMT"/>
          <w:bCs/>
          <w:iCs/>
          <w:szCs w:val="20"/>
        </w:rPr>
        <w:t>System HAPI powinien być zdolny do ustawiania wysokości przy dowolnym pożądanym kącie od 1 do 12 stopni nad horyzontem, z dokładnością do +/ 5 minut kątowych.</w:t>
      </w:r>
    </w:p>
    <w:p w14:paraId="77F866B9" w14:textId="468FFC17"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(2) </w:t>
      </w:r>
      <w:r w:rsidR="00F7460A" w:rsidRPr="006C7B2D">
        <w:rPr>
          <w:rFonts w:cs="TimesNewRomanPS-BoldItalicMT"/>
          <w:bCs/>
          <w:iCs/>
          <w:szCs w:val="20"/>
        </w:rPr>
        <w:tab/>
        <w:t xml:space="preserve">Kąt ustawienia wysokości HAPI powinien być taki, aby podczas podejścia pilot śmigłowca obserwujący górną granicę sygnału „pod ścieżką” omijał wszystkie obiekty w strefie podejścia z bezpiecznym marginesem. </w:t>
      </w:r>
    </w:p>
    <w:p w14:paraId="0F89C59D" w14:textId="5C4BE97E" w:rsidR="00F7460A" w:rsidRPr="006C7B2D" w:rsidRDefault="00960509" w:rsidP="00960509">
      <w:pPr>
        <w:tabs>
          <w:tab w:val="left" w:pos="567"/>
        </w:tabs>
        <w:autoSpaceDE w:val="0"/>
        <w:autoSpaceDN w:val="0"/>
        <w:adjustRightInd w:val="0"/>
        <w:ind w:left="567" w:hanging="567"/>
        <w:rPr>
          <w:rFonts w:cs="TimesNewRomanPS-BoldItalicMT"/>
          <w:bCs/>
          <w:iCs/>
          <w:szCs w:val="20"/>
        </w:rPr>
      </w:pPr>
      <w:r w:rsidRPr="006C7B2D">
        <w:rPr>
          <w:rFonts w:cs="TimesNewRomanPS-BoldItalicMT"/>
          <w:bCs/>
          <w:iCs/>
          <w:szCs w:val="20"/>
        </w:rPr>
        <w:t xml:space="preserve">(g) </w:t>
      </w:r>
      <w:r w:rsidRPr="006C7B2D">
        <w:rPr>
          <w:rFonts w:cs="TimesNewRomanPS-BoldItalicMT"/>
          <w:bCs/>
          <w:iCs/>
          <w:szCs w:val="20"/>
        </w:rPr>
        <w:tab/>
      </w:r>
      <w:r w:rsidR="00F7460A" w:rsidRPr="006C7B2D">
        <w:rPr>
          <w:rFonts w:cs="TimesNewRomanPS-BoldItalicMT"/>
          <w:bCs/>
          <w:iCs/>
          <w:szCs w:val="20"/>
        </w:rPr>
        <w:t>Charakterystyk</w:t>
      </w:r>
      <w:r w:rsidR="00687650" w:rsidRPr="006C7B2D">
        <w:rPr>
          <w:rFonts w:cs="TimesNewRomanPS-BoldItalicMT"/>
          <w:bCs/>
          <w:iCs/>
          <w:szCs w:val="20"/>
        </w:rPr>
        <w:t>a</w:t>
      </w:r>
      <w:r w:rsidR="00F7460A" w:rsidRPr="006C7B2D">
        <w:rPr>
          <w:rFonts w:cs="TimesNewRomanPS-BoldItalicMT"/>
          <w:bCs/>
          <w:iCs/>
          <w:szCs w:val="20"/>
        </w:rPr>
        <w:t xml:space="preserve"> jednostki świetlnej</w:t>
      </w:r>
      <w:r w:rsidR="00687650" w:rsidRPr="006C7B2D">
        <w:rPr>
          <w:rFonts w:cs="TimesNewRomanPS-BoldItalicMT"/>
          <w:bCs/>
          <w:iCs/>
          <w:szCs w:val="20"/>
        </w:rPr>
        <w:t>:</w:t>
      </w:r>
    </w:p>
    <w:p w14:paraId="336EDBFF" w14:textId="485D2FA3"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(1) </w:t>
      </w:r>
      <w:r w:rsidR="00F7460A" w:rsidRPr="006C7B2D">
        <w:rPr>
          <w:rFonts w:cs="TimesNewRomanPS-BoldItalicMT"/>
          <w:bCs/>
          <w:iCs/>
          <w:szCs w:val="20"/>
        </w:rPr>
        <w:tab/>
        <w:t>System powinien być zaprojektowany</w:t>
      </w:r>
      <w:r w:rsidR="00687650" w:rsidRPr="006C7B2D">
        <w:rPr>
          <w:rFonts w:cs="TimesNewRomanPS-BoldItalicMT"/>
          <w:bCs/>
          <w:iCs/>
          <w:szCs w:val="20"/>
        </w:rPr>
        <w:t xml:space="preserve"> tak</w:t>
      </w:r>
      <w:r w:rsidR="00F7460A" w:rsidRPr="006C7B2D">
        <w:rPr>
          <w:rFonts w:cs="TimesNewRomanPS-BoldItalicMT"/>
          <w:bCs/>
          <w:iCs/>
          <w:szCs w:val="20"/>
        </w:rPr>
        <w:t>, aby:</w:t>
      </w:r>
    </w:p>
    <w:p w14:paraId="3EFA95CF" w14:textId="2BC0C7A0" w:rsidR="00F7460A" w:rsidRPr="006C7B2D" w:rsidRDefault="00960509" w:rsidP="00960509">
      <w:pPr>
        <w:tabs>
          <w:tab w:val="left" w:pos="1701"/>
        </w:tabs>
        <w:autoSpaceDE w:val="0"/>
        <w:autoSpaceDN w:val="0"/>
        <w:adjustRightInd w:val="0"/>
        <w:ind w:left="1701" w:hanging="567"/>
        <w:rPr>
          <w:rFonts w:cs="TimesNewRomanPS-BoldItalicMT"/>
          <w:bCs/>
          <w:iCs/>
          <w:szCs w:val="20"/>
        </w:rPr>
      </w:pPr>
      <w:r w:rsidRPr="006C7B2D">
        <w:rPr>
          <w:rFonts w:cs="TimesNewRomanPS-BoldItalicMT"/>
          <w:bCs/>
          <w:iCs/>
          <w:szCs w:val="20"/>
        </w:rPr>
        <w:t>(i</w:t>
      </w:r>
      <w:r w:rsidR="00F7460A" w:rsidRPr="006C7B2D">
        <w:rPr>
          <w:rFonts w:cs="TimesNewRomanPS-BoldItalicMT"/>
          <w:bCs/>
          <w:iCs/>
          <w:szCs w:val="20"/>
        </w:rPr>
        <w:t xml:space="preserve">) </w:t>
      </w:r>
      <w:r w:rsidR="00F7460A" w:rsidRPr="006C7B2D">
        <w:rPr>
          <w:rFonts w:cs="TimesNewRomanPS-BoldItalicMT"/>
          <w:bCs/>
          <w:iCs/>
          <w:szCs w:val="20"/>
        </w:rPr>
        <w:tab/>
      </w:r>
      <w:r w:rsidR="00687650" w:rsidRPr="00687650">
        <w:rPr>
          <w:rFonts w:cs="TimesNewRomanPS-BoldItalicMT"/>
          <w:bCs/>
          <w:iCs/>
          <w:szCs w:val="20"/>
        </w:rPr>
        <w:t>w przypadku, gdy pionowa niewspółosiowość jednos</w:t>
      </w:r>
      <w:r w:rsidR="00687650" w:rsidRPr="006C7B2D">
        <w:rPr>
          <w:rFonts w:cs="TimesNewRomanPS-BoldItalicMT"/>
          <w:bCs/>
          <w:iCs/>
          <w:szCs w:val="20"/>
        </w:rPr>
        <w:t>tki przekracza ± 0,5 stopnia (± </w:t>
      </w:r>
      <w:r w:rsidR="00687650" w:rsidRPr="00687650">
        <w:rPr>
          <w:rFonts w:cs="TimesNewRomanPS-BoldItalicMT"/>
          <w:bCs/>
          <w:iCs/>
          <w:szCs w:val="20"/>
        </w:rPr>
        <w:t>30 minut), system powini</w:t>
      </w:r>
      <w:r w:rsidR="00687650" w:rsidRPr="006C7B2D">
        <w:rPr>
          <w:rFonts w:cs="TimesNewRomanPS-BoldItalicMT"/>
          <w:bCs/>
          <w:iCs/>
          <w:szCs w:val="20"/>
        </w:rPr>
        <w:t xml:space="preserve">en wyłączyć się automatycznie; </w:t>
      </w:r>
      <w:r w:rsidR="00F7460A" w:rsidRPr="006C7B2D">
        <w:rPr>
          <w:rFonts w:cs="TimesNewRomanPS-BoldItalicMT"/>
          <w:bCs/>
          <w:iCs/>
          <w:szCs w:val="20"/>
        </w:rPr>
        <w:t>oraz</w:t>
      </w:r>
    </w:p>
    <w:p w14:paraId="75315B8E" w14:textId="3461A084" w:rsidR="006C7B2D" w:rsidRPr="006C7B2D" w:rsidRDefault="00960509" w:rsidP="006C7B2D">
      <w:pPr>
        <w:tabs>
          <w:tab w:val="left" w:pos="1701"/>
        </w:tabs>
        <w:autoSpaceDE w:val="0"/>
        <w:autoSpaceDN w:val="0"/>
        <w:adjustRightInd w:val="0"/>
        <w:ind w:left="1701" w:hanging="567"/>
        <w:rPr>
          <w:rFonts w:cs="TimesNewRomanPS-BoldItalicMT"/>
          <w:bCs/>
          <w:iCs/>
          <w:szCs w:val="20"/>
        </w:rPr>
      </w:pPr>
      <w:r w:rsidRPr="006C7B2D">
        <w:rPr>
          <w:rFonts w:cs="TimesNewRomanPS-BoldItalicMT"/>
          <w:bCs/>
          <w:iCs/>
          <w:szCs w:val="20"/>
        </w:rPr>
        <w:t>(ii</w:t>
      </w:r>
      <w:r w:rsidR="006C7B2D" w:rsidRPr="006C7B2D">
        <w:rPr>
          <w:rFonts w:cs="TimesNewRomanPS-BoldItalicMT"/>
          <w:bCs/>
          <w:iCs/>
          <w:szCs w:val="20"/>
        </w:rPr>
        <w:t xml:space="preserve">) </w:t>
      </w:r>
      <w:r w:rsidR="006C7B2D" w:rsidRPr="006C7B2D">
        <w:rPr>
          <w:rFonts w:cs="TimesNewRomanPS-BoldItalicMT"/>
          <w:bCs/>
          <w:iCs/>
          <w:szCs w:val="20"/>
        </w:rPr>
        <w:tab/>
        <w:t xml:space="preserve">jeśli </w:t>
      </w:r>
      <w:r w:rsidR="00F7460A" w:rsidRPr="006C7B2D">
        <w:rPr>
          <w:rFonts w:cs="TimesNewRomanPS-BoldItalicMT"/>
          <w:bCs/>
          <w:iCs/>
          <w:szCs w:val="20"/>
        </w:rPr>
        <w:t>mechanizm błyskowy</w:t>
      </w:r>
      <w:r w:rsidR="006C7B2D" w:rsidRPr="006C7B2D">
        <w:rPr>
          <w:rFonts w:cs="TimesNewRomanPS-BoldItalicMT"/>
          <w:bCs/>
          <w:iCs/>
          <w:szCs w:val="20"/>
        </w:rPr>
        <w:t xml:space="preserve"> zawiedzie</w:t>
      </w:r>
      <w:r w:rsidR="00F7460A" w:rsidRPr="006C7B2D">
        <w:rPr>
          <w:rFonts w:cs="TimesNewRomanPS-BoldItalicMT"/>
          <w:bCs/>
          <w:iCs/>
          <w:szCs w:val="20"/>
        </w:rPr>
        <w:t xml:space="preserve">, </w:t>
      </w:r>
      <w:r w:rsidR="006C7B2D" w:rsidRPr="006C7B2D">
        <w:rPr>
          <w:rFonts w:cs="TimesNewRomanPS-BoldItalicMT"/>
          <w:bCs/>
          <w:iCs/>
          <w:szCs w:val="20"/>
        </w:rPr>
        <w:t>to żadne światło nie jest emitowane w uszkodzonych sektorach migających.</w:t>
      </w:r>
    </w:p>
    <w:p w14:paraId="1CE379C5" w14:textId="1D2D4414" w:rsidR="00F7460A" w:rsidRPr="00F50ACE"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(2) </w:t>
      </w:r>
      <w:r w:rsidR="00F7460A" w:rsidRPr="006C7B2D">
        <w:rPr>
          <w:rFonts w:cs="TimesNewRomanPS-BoldItalicMT"/>
          <w:bCs/>
          <w:iCs/>
          <w:szCs w:val="20"/>
        </w:rPr>
        <w:tab/>
        <w:t xml:space="preserve">Jednostka świetlna HAPI powinna być zaprojektowana tak, aby osady kondensacyjne, lód, bród itp. na powierzchniach optycznych transmitujących lub odbijających światło, w jak najmniejszym stopniu </w:t>
      </w:r>
      <w:r w:rsidR="006C7B2D" w:rsidRPr="006C7B2D">
        <w:rPr>
          <w:rFonts w:cs="TimesNewRomanPS-BoldItalicMT"/>
          <w:bCs/>
          <w:iCs/>
          <w:szCs w:val="20"/>
        </w:rPr>
        <w:t xml:space="preserve">przeszkadzały w </w:t>
      </w:r>
      <w:r w:rsidR="006C7B2D" w:rsidRPr="00F50ACE">
        <w:rPr>
          <w:rFonts w:cs="TimesNewRomanPS-BoldItalicMT"/>
          <w:bCs/>
          <w:iCs/>
          <w:szCs w:val="20"/>
        </w:rPr>
        <w:t xml:space="preserve">emisji </w:t>
      </w:r>
      <w:r w:rsidR="00F7460A" w:rsidRPr="00F50ACE">
        <w:rPr>
          <w:rFonts w:cs="TimesNewRomanPS-BoldItalicMT"/>
          <w:bCs/>
          <w:iCs/>
          <w:szCs w:val="20"/>
        </w:rPr>
        <w:t>sygnał</w:t>
      </w:r>
      <w:r w:rsidR="006C7B2D" w:rsidRPr="00F50ACE">
        <w:rPr>
          <w:rFonts w:cs="TimesNewRomanPS-BoldItalicMT"/>
          <w:bCs/>
          <w:iCs/>
          <w:szCs w:val="20"/>
        </w:rPr>
        <w:t>ów</w:t>
      </w:r>
      <w:r w:rsidR="00F7460A" w:rsidRPr="00F50ACE">
        <w:rPr>
          <w:rFonts w:cs="TimesNewRomanPS-BoldItalicMT"/>
          <w:bCs/>
          <w:iCs/>
          <w:szCs w:val="20"/>
        </w:rPr>
        <w:t xml:space="preserve"> świetlny</w:t>
      </w:r>
      <w:r w:rsidR="006C7B2D" w:rsidRPr="00F50ACE">
        <w:rPr>
          <w:rFonts w:cs="TimesNewRomanPS-BoldItalicMT"/>
          <w:bCs/>
          <w:iCs/>
          <w:szCs w:val="20"/>
        </w:rPr>
        <w:t>ch</w:t>
      </w:r>
      <w:r w:rsidR="00F7460A" w:rsidRPr="00F50ACE">
        <w:rPr>
          <w:rFonts w:cs="TimesNewRomanPS-BoldItalicMT"/>
          <w:bCs/>
          <w:iCs/>
          <w:szCs w:val="20"/>
        </w:rPr>
        <w:t xml:space="preserve"> i nie powodowały powstania sygnałów błędnych lub fałszywych.</w:t>
      </w:r>
    </w:p>
    <w:p w14:paraId="1BE37A06" w14:textId="58B06946" w:rsidR="00F7460A" w:rsidRPr="006C7B2D" w:rsidRDefault="00960509" w:rsidP="00960509">
      <w:pPr>
        <w:tabs>
          <w:tab w:val="left" w:pos="567"/>
        </w:tabs>
        <w:autoSpaceDE w:val="0"/>
        <w:autoSpaceDN w:val="0"/>
        <w:adjustRightInd w:val="0"/>
        <w:ind w:left="567" w:hanging="567"/>
        <w:rPr>
          <w:rFonts w:cs="TimesNewRomanPS-BoldItalicMT"/>
          <w:bCs/>
          <w:iCs/>
          <w:szCs w:val="20"/>
        </w:rPr>
      </w:pPr>
      <w:r w:rsidRPr="006C7B2D">
        <w:rPr>
          <w:rFonts w:cs="TimesNewRomanPS-BoldItalicMT"/>
          <w:bCs/>
          <w:iCs/>
          <w:szCs w:val="20"/>
        </w:rPr>
        <w:t xml:space="preserve">(h) </w:t>
      </w:r>
      <w:r w:rsidRPr="006C7B2D">
        <w:rPr>
          <w:rFonts w:cs="TimesNewRomanPS-BoldItalicMT"/>
          <w:bCs/>
          <w:iCs/>
          <w:szCs w:val="20"/>
        </w:rPr>
        <w:tab/>
      </w:r>
      <w:r w:rsidR="00F7460A" w:rsidRPr="006C7B2D">
        <w:rPr>
          <w:rFonts w:cs="TimesNewRomanPS-BoldItalicMT"/>
          <w:bCs/>
          <w:iCs/>
          <w:szCs w:val="20"/>
        </w:rPr>
        <w:t>Powierzchnia zabezpieczenia przeszkodowego</w:t>
      </w:r>
      <w:r w:rsidRPr="006C7B2D">
        <w:rPr>
          <w:rFonts w:cs="TimesNewRomanPS-BoldItalicMT"/>
          <w:bCs/>
          <w:iCs/>
          <w:szCs w:val="20"/>
        </w:rPr>
        <w:t xml:space="preserve"> (mająca zastosowanie </w:t>
      </w:r>
      <w:r w:rsidR="00F7460A" w:rsidRPr="006C7B2D">
        <w:rPr>
          <w:rFonts w:cs="TimesNewRomanPS-BoldItalicMT"/>
          <w:bCs/>
          <w:iCs/>
          <w:szCs w:val="20"/>
        </w:rPr>
        <w:t>do PAPI, APAPI i HAPI</w:t>
      </w:r>
      <w:r w:rsidRPr="006C7B2D">
        <w:rPr>
          <w:rFonts w:cs="TimesNewRomanPS-BoldItalicMT"/>
          <w:bCs/>
          <w:iCs/>
          <w:szCs w:val="20"/>
        </w:rPr>
        <w:t>)</w:t>
      </w:r>
      <w:r w:rsidR="00F7460A" w:rsidRPr="006C7B2D">
        <w:rPr>
          <w:rFonts w:cs="TimesNewRomanPS-BoldItalicMT"/>
          <w:bCs/>
          <w:iCs/>
          <w:szCs w:val="20"/>
        </w:rPr>
        <w:t>.</w:t>
      </w:r>
    </w:p>
    <w:p w14:paraId="00CCE73D" w14:textId="6F2B62E3"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(1) </w:t>
      </w:r>
      <w:r w:rsidRPr="006C7B2D">
        <w:rPr>
          <w:rFonts w:cs="TimesNewRomanPS-BoldItalicMT"/>
          <w:bCs/>
          <w:iCs/>
          <w:szCs w:val="20"/>
        </w:rPr>
        <w:tab/>
      </w:r>
      <w:r w:rsidR="00F7460A" w:rsidRPr="006C7B2D">
        <w:rPr>
          <w:rFonts w:cs="TimesNewRomanPS-BoldItalicMT"/>
          <w:bCs/>
          <w:iCs/>
          <w:szCs w:val="20"/>
        </w:rPr>
        <w:t>Powierzchnia zabezpieczenia przeszkodowego powinna być wyznaczona, jeśli na lotnisku dla śmigłowców ma być zapewniony wzrokowy wskaźnika ścieżki podejścia.</w:t>
      </w:r>
    </w:p>
    <w:p w14:paraId="4FCFC555" w14:textId="3DECCB79"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(2) </w:t>
      </w:r>
      <w:r w:rsidRPr="006C7B2D">
        <w:rPr>
          <w:rFonts w:cs="TimesNewRomanPS-BoldItalicMT"/>
          <w:bCs/>
          <w:iCs/>
          <w:szCs w:val="20"/>
        </w:rPr>
        <w:tab/>
      </w:r>
      <w:r w:rsidR="00F7460A" w:rsidRPr="006C7B2D">
        <w:rPr>
          <w:rFonts w:cs="TimesNewRomanPS-BoldItalicMT"/>
          <w:bCs/>
          <w:iCs/>
          <w:szCs w:val="20"/>
        </w:rPr>
        <w:t xml:space="preserve">Charakterystyczne dane powierzchni zabezpieczenia przeszkodowego, tj. jej początek, rozbieżność, długość i nachylenie, powinny odpowiadać wartościom podanym </w:t>
      </w:r>
      <w:r w:rsidR="006C7B2D" w:rsidRPr="006C7B2D">
        <w:rPr>
          <w:rFonts w:cs="TimesNewRomanPS-BoldItalicMT"/>
          <w:bCs/>
          <w:iCs/>
          <w:szCs w:val="20"/>
        </w:rPr>
        <w:t>w </w:t>
      </w:r>
      <w:r w:rsidRPr="006C7B2D">
        <w:rPr>
          <w:rFonts w:cs="TimesNewRomanPS-BoldItalicMT"/>
          <w:bCs/>
          <w:iCs/>
          <w:szCs w:val="20"/>
        </w:rPr>
        <w:t>odpowiedniej kolumnie Tabeli F</w:t>
      </w:r>
      <w:r w:rsidR="00F7460A" w:rsidRPr="006C7B2D">
        <w:rPr>
          <w:rFonts w:cs="TimesNewRomanPS-BoldItalicMT"/>
          <w:bCs/>
          <w:iCs/>
          <w:szCs w:val="20"/>
        </w:rPr>
        <w:t xml:space="preserve">-1 i na Rysunku </w:t>
      </w:r>
      <w:r w:rsidRPr="006C7B2D">
        <w:rPr>
          <w:rFonts w:cs="TimesNewRomanPS-BoldItalicMT"/>
          <w:bCs/>
          <w:iCs/>
          <w:szCs w:val="20"/>
        </w:rPr>
        <w:t>F-10</w:t>
      </w:r>
      <w:r w:rsidR="00F7460A" w:rsidRPr="006C7B2D">
        <w:rPr>
          <w:rFonts w:cs="TimesNewRomanPS-BoldItalicMT"/>
          <w:bCs/>
          <w:iCs/>
          <w:szCs w:val="20"/>
        </w:rPr>
        <w:t>.</w:t>
      </w:r>
    </w:p>
    <w:p w14:paraId="70D2343B" w14:textId="337D9F7D" w:rsidR="00F7460A" w:rsidRPr="006C7B2D"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(3) </w:t>
      </w:r>
      <w:r w:rsidRPr="006C7B2D">
        <w:rPr>
          <w:rFonts w:cs="TimesNewRomanPS-BoldItalicMT"/>
          <w:bCs/>
          <w:iCs/>
          <w:szCs w:val="20"/>
        </w:rPr>
        <w:tab/>
      </w:r>
      <w:r w:rsidR="00F7460A" w:rsidRPr="006C7B2D">
        <w:rPr>
          <w:rFonts w:cs="TimesNewRomanPS-BoldItalicMT"/>
          <w:bCs/>
          <w:iCs/>
          <w:szCs w:val="20"/>
        </w:rPr>
        <w:t>Nie zezwala się na wznoszenie nowych lub powiększanie istniejących obiektów, które wystawałyby ponad powierzchnię zabezpieczenia przeszkodowego, chyba że nowy lub powiększony obiekt znajduje się w cieniu stałego obiektu już istniejącego.</w:t>
      </w:r>
    </w:p>
    <w:p w14:paraId="3E177472" w14:textId="0BEF6E47" w:rsidR="00F7460A" w:rsidRPr="003D15C5" w:rsidRDefault="00960509" w:rsidP="00960509">
      <w:pPr>
        <w:tabs>
          <w:tab w:val="left" w:pos="1134"/>
        </w:tabs>
        <w:autoSpaceDE w:val="0"/>
        <w:autoSpaceDN w:val="0"/>
        <w:adjustRightInd w:val="0"/>
        <w:ind w:left="1134" w:hanging="567"/>
        <w:rPr>
          <w:rFonts w:cs="TimesNewRomanPS-BoldItalicMT"/>
          <w:bCs/>
          <w:iCs/>
          <w:szCs w:val="20"/>
        </w:rPr>
      </w:pPr>
      <w:r w:rsidRPr="006C7B2D">
        <w:rPr>
          <w:rFonts w:cs="TimesNewRomanPS-BoldItalicMT"/>
          <w:bCs/>
          <w:iCs/>
          <w:szCs w:val="20"/>
        </w:rPr>
        <w:t xml:space="preserve">(4) </w:t>
      </w:r>
      <w:r w:rsidRPr="006C7B2D">
        <w:rPr>
          <w:rFonts w:cs="TimesNewRomanPS-BoldItalicMT"/>
          <w:bCs/>
          <w:iCs/>
          <w:szCs w:val="20"/>
        </w:rPr>
        <w:tab/>
      </w:r>
      <w:r w:rsidR="00F7460A" w:rsidRPr="006C7B2D">
        <w:rPr>
          <w:rFonts w:cs="TimesNewRomanPS-BoldItalicMT"/>
          <w:bCs/>
          <w:iCs/>
          <w:szCs w:val="20"/>
        </w:rPr>
        <w:t>Obiekty już istniejące, wystające ponad powierzchnię zabezpieczenia przeszkodowego powinny być usunięte z wyjątkiem przypadku, gdy obiekt znajduje się w cieniu już istniejącego ob</w:t>
      </w:r>
      <w:r w:rsidR="006C7B2D" w:rsidRPr="006C7B2D">
        <w:rPr>
          <w:rFonts w:cs="TimesNewRomanPS-BoldItalicMT"/>
          <w:bCs/>
          <w:iCs/>
          <w:szCs w:val="20"/>
        </w:rPr>
        <w:t>iektu stałego lub przeprowadzona</w:t>
      </w:r>
      <w:r w:rsidR="00F7460A" w:rsidRPr="006C7B2D">
        <w:rPr>
          <w:rFonts w:cs="TimesNewRomanPS-BoldItalicMT"/>
          <w:bCs/>
          <w:iCs/>
          <w:szCs w:val="20"/>
        </w:rPr>
        <w:t xml:space="preserve"> </w:t>
      </w:r>
      <w:r w:rsidR="006C7B2D" w:rsidRPr="006C7B2D">
        <w:rPr>
          <w:rFonts w:cs="TimesNewRomanPS-BoldItalicMT"/>
          <w:bCs/>
          <w:iCs/>
          <w:szCs w:val="20"/>
        </w:rPr>
        <w:t>ocena bezpieczeństwa</w:t>
      </w:r>
      <w:r w:rsidR="00F7460A" w:rsidRPr="006C7B2D">
        <w:rPr>
          <w:rFonts w:cs="TimesNewRomanPS-BoldItalicMT"/>
          <w:bCs/>
          <w:iCs/>
          <w:szCs w:val="20"/>
        </w:rPr>
        <w:t xml:space="preserve"> wykaże, że </w:t>
      </w:r>
      <w:r w:rsidR="00F7460A" w:rsidRPr="003D15C5">
        <w:rPr>
          <w:rFonts w:cs="TimesNewRomanPS-BoldItalicMT"/>
          <w:bCs/>
          <w:iCs/>
          <w:szCs w:val="20"/>
        </w:rPr>
        <w:t>obiekt ten nie wpłynie negatywnie na bezpieczeństwo operacji śmigłowców.</w:t>
      </w:r>
    </w:p>
    <w:p w14:paraId="24DB1D12" w14:textId="3026ADD5" w:rsidR="00F7460A" w:rsidRPr="003D15C5" w:rsidRDefault="00960509" w:rsidP="00960509">
      <w:pPr>
        <w:tabs>
          <w:tab w:val="left" w:pos="1134"/>
        </w:tabs>
        <w:autoSpaceDE w:val="0"/>
        <w:autoSpaceDN w:val="0"/>
        <w:adjustRightInd w:val="0"/>
        <w:ind w:left="1134" w:hanging="567"/>
        <w:rPr>
          <w:rFonts w:cs="TimesNewRomanPS-BoldItalicMT"/>
          <w:bCs/>
          <w:iCs/>
          <w:szCs w:val="20"/>
        </w:rPr>
      </w:pPr>
      <w:r w:rsidRPr="003D15C5">
        <w:rPr>
          <w:rFonts w:cs="TimesNewRomanPS-BoldItalicMT"/>
          <w:bCs/>
          <w:iCs/>
          <w:szCs w:val="20"/>
        </w:rPr>
        <w:t>(</w:t>
      </w:r>
      <w:r w:rsidR="00F7460A" w:rsidRPr="003D15C5">
        <w:rPr>
          <w:rFonts w:cs="TimesNewRomanPS-BoldItalicMT"/>
          <w:bCs/>
          <w:iCs/>
          <w:szCs w:val="20"/>
        </w:rPr>
        <w:t>5</w:t>
      </w:r>
      <w:r w:rsidRPr="003D15C5">
        <w:rPr>
          <w:rFonts w:cs="TimesNewRomanPS-BoldItalicMT"/>
          <w:bCs/>
          <w:iCs/>
          <w:szCs w:val="20"/>
        </w:rPr>
        <w:t xml:space="preserve">) </w:t>
      </w:r>
      <w:r w:rsidR="00F7460A" w:rsidRPr="003D15C5">
        <w:rPr>
          <w:rFonts w:cs="TimesNewRomanPS-BoldItalicMT"/>
          <w:bCs/>
          <w:iCs/>
          <w:szCs w:val="20"/>
        </w:rPr>
        <w:tab/>
        <w:t xml:space="preserve">Jeśli </w:t>
      </w:r>
      <w:r w:rsidR="003D15C5" w:rsidRPr="003D15C5">
        <w:rPr>
          <w:rFonts w:cs="TimesNewRomanPS-BoldItalicMT"/>
          <w:bCs/>
          <w:iCs/>
          <w:szCs w:val="20"/>
        </w:rPr>
        <w:t xml:space="preserve">ocena bezpieczeństwa </w:t>
      </w:r>
      <w:r w:rsidR="00F7460A" w:rsidRPr="003D15C5">
        <w:rPr>
          <w:rFonts w:cs="TimesNewRomanPS-BoldItalicMT"/>
          <w:bCs/>
          <w:iCs/>
          <w:szCs w:val="20"/>
        </w:rPr>
        <w:t xml:space="preserve">wskazuje na to, że istniejący obiekt wystający ponad powierzchnię zabezpieczenia przeszkodowego może wpłynąć negatywnie na bezpieczeństwo operacji śmigłowców, </w:t>
      </w:r>
      <w:r w:rsidR="003D15C5" w:rsidRPr="003D15C5">
        <w:rPr>
          <w:rFonts w:cs="TimesNewRomanPS-BoldItalicMT"/>
          <w:bCs/>
          <w:iCs/>
          <w:szCs w:val="20"/>
        </w:rPr>
        <w:t xml:space="preserve">to należy podjąć jeden lub więcej z następujących </w:t>
      </w:r>
      <w:r w:rsidR="00F7460A" w:rsidRPr="003D15C5">
        <w:rPr>
          <w:rFonts w:cs="TimesNewRomanPS-BoldItalicMT"/>
          <w:bCs/>
          <w:iCs/>
          <w:szCs w:val="20"/>
        </w:rPr>
        <w:t>środk</w:t>
      </w:r>
      <w:r w:rsidR="003D15C5" w:rsidRPr="003D15C5">
        <w:rPr>
          <w:rFonts w:cs="TimesNewRomanPS-BoldItalicMT"/>
          <w:bCs/>
          <w:iCs/>
          <w:szCs w:val="20"/>
        </w:rPr>
        <w:t>ów zaradczych</w:t>
      </w:r>
      <w:r w:rsidR="00F7460A" w:rsidRPr="003D15C5">
        <w:rPr>
          <w:rFonts w:cs="TimesNewRomanPS-BoldItalicMT"/>
          <w:bCs/>
          <w:iCs/>
          <w:szCs w:val="20"/>
        </w:rPr>
        <w:t>:</w:t>
      </w:r>
    </w:p>
    <w:p w14:paraId="04F70559" w14:textId="186C20CA" w:rsidR="00F7460A" w:rsidRPr="003D15C5" w:rsidRDefault="00960509" w:rsidP="00960509">
      <w:pPr>
        <w:tabs>
          <w:tab w:val="left" w:pos="1701"/>
        </w:tabs>
        <w:autoSpaceDE w:val="0"/>
        <w:autoSpaceDN w:val="0"/>
        <w:adjustRightInd w:val="0"/>
        <w:ind w:left="1701" w:hanging="567"/>
        <w:rPr>
          <w:rFonts w:cs="TimesNewRomanPS-BoldItalicMT"/>
          <w:bCs/>
          <w:iCs/>
          <w:szCs w:val="20"/>
        </w:rPr>
      </w:pPr>
      <w:r w:rsidRPr="003D15C5">
        <w:rPr>
          <w:rFonts w:cs="TimesNewRomanPS-BoldItalicMT"/>
          <w:bCs/>
          <w:iCs/>
          <w:szCs w:val="20"/>
        </w:rPr>
        <w:t>(i</w:t>
      </w:r>
      <w:r w:rsidR="00F7460A" w:rsidRPr="003D15C5">
        <w:rPr>
          <w:rFonts w:cs="TimesNewRomanPS-BoldItalicMT"/>
          <w:bCs/>
          <w:iCs/>
          <w:szCs w:val="20"/>
        </w:rPr>
        <w:t>)</w:t>
      </w:r>
      <w:r w:rsidR="00F7460A" w:rsidRPr="003D15C5">
        <w:rPr>
          <w:rFonts w:cs="TimesNewRomanPS-BoldItalicMT"/>
          <w:bCs/>
          <w:iCs/>
          <w:szCs w:val="20"/>
        </w:rPr>
        <w:tab/>
        <w:t>odpowiednie podniesienie ścieżki podejścia systemu;</w:t>
      </w:r>
    </w:p>
    <w:p w14:paraId="1394D797" w14:textId="1336ADD2" w:rsidR="00F7460A" w:rsidRPr="003D15C5" w:rsidRDefault="00960509" w:rsidP="00960509">
      <w:pPr>
        <w:tabs>
          <w:tab w:val="left" w:pos="1701"/>
        </w:tabs>
        <w:autoSpaceDE w:val="0"/>
        <w:autoSpaceDN w:val="0"/>
        <w:adjustRightInd w:val="0"/>
        <w:ind w:left="1701" w:hanging="567"/>
        <w:rPr>
          <w:rFonts w:cs="TimesNewRomanPS-BoldItalicMT"/>
          <w:bCs/>
          <w:iCs/>
          <w:szCs w:val="20"/>
        </w:rPr>
      </w:pPr>
      <w:r w:rsidRPr="003D15C5">
        <w:rPr>
          <w:rFonts w:cs="TimesNewRomanPS-BoldItalicMT"/>
          <w:bCs/>
          <w:iCs/>
          <w:szCs w:val="20"/>
        </w:rPr>
        <w:t>(ii</w:t>
      </w:r>
      <w:r w:rsidR="00F7460A" w:rsidRPr="003D15C5">
        <w:rPr>
          <w:rFonts w:cs="TimesNewRomanPS-BoldItalicMT"/>
          <w:bCs/>
          <w:iCs/>
          <w:szCs w:val="20"/>
        </w:rPr>
        <w:t>)</w:t>
      </w:r>
      <w:r w:rsidR="00F7460A" w:rsidRPr="003D15C5">
        <w:rPr>
          <w:rFonts w:cs="TimesNewRomanPS-BoldItalicMT"/>
          <w:bCs/>
          <w:iCs/>
          <w:szCs w:val="20"/>
        </w:rPr>
        <w:tab/>
        <w:t>zmniejszenie azymutalnego zakresu systemu tak, aby obiekt znalazł się poza granicami wiązki;</w:t>
      </w:r>
    </w:p>
    <w:p w14:paraId="501F6E6E" w14:textId="46C753A6" w:rsidR="00F7460A" w:rsidRPr="003D15C5" w:rsidRDefault="00960509" w:rsidP="00960509">
      <w:pPr>
        <w:tabs>
          <w:tab w:val="left" w:pos="1701"/>
        </w:tabs>
        <w:autoSpaceDE w:val="0"/>
        <w:autoSpaceDN w:val="0"/>
        <w:adjustRightInd w:val="0"/>
        <w:ind w:left="1701" w:hanging="567"/>
        <w:rPr>
          <w:rFonts w:cs="TimesNewRomanPS-BoldItalicMT"/>
          <w:bCs/>
          <w:iCs/>
          <w:szCs w:val="20"/>
        </w:rPr>
      </w:pPr>
      <w:r w:rsidRPr="003D15C5">
        <w:rPr>
          <w:rFonts w:cs="TimesNewRomanPS-BoldItalicMT"/>
          <w:bCs/>
          <w:iCs/>
          <w:szCs w:val="20"/>
        </w:rPr>
        <w:t>(iii</w:t>
      </w:r>
      <w:r w:rsidR="00F7460A" w:rsidRPr="003D15C5">
        <w:rPr>
          <w:rFonts w:cs="TimesNewRomanPS-BoldItalicMT"/>
          <w:bCs/>
          <w:iCs/>
          <w:szCs w:val="20"/>
        </w:rPr>
        <w:t>)</w:t>
      </w:r>
      <w:r w:rsidR="00F7460A" w:rsidRPr="003D15C5">
        <w:rPr>
          <w:rFonts w:cs="TimesNewRomanPS-BoldItalicMT"/>
          <w:bCs/>
          <w:iCs/>
          <w:szCs w:val="20"/>
        </w:rPr>
        <w:tab/>
        <w:t>przemieszczenie osi systemu i związanej z nim powierzchni zabezpieczenia przeszkodowego o nie więcej niż 5 stopni;</w:t>
      </w:r>
    </w:p>
    <w:p w14:paraId="60DC631A" w14:textId="7757F4CB" w:rsidR="00F7460A" w:rsidRPr="003D15C5" w:rsidRDefault="00960509" w:rsidP="00960509">
      <w:pPr>
        <w:tabs>
          <w:tab w:val="left" w:pos="1701"/>
        </w:tabs>
        <w:autoSpaceDE w:val="0"/>
        <w:autoSpaceDN w:val="0"/>
        <w:adjustRightInd w:val="0"/>
        <w:ind w:left="1701" w:hanging="567"/>
        <w:rPr>
          <w:rFonts w:cs="TimesNewRomanPS-BoldItalicMT"/>
          <w:bCs/>
          <w:iCs/>
          <w:szCs w:val="20"/>
        </w:rPr>
      </w:pPr>
      <w:r w:rsidRPr="003D15C5">
        <w:rPr>
          <w:rFonts w:cs="TimesNewRomanPS-BoldItalicMT"/>
          <w:bCs/>
          <w:iCs/>
          <w:szCs w:val="20"/>
        </w:rPr>
        <w:t>(iv</w:t>
      </w:r>
      <w:r w:rsidR="00F7460A" w:rsidRPr="003D15C5">
        <w:rPr>
          <w:rFonts w:cs="TimesNewRomanPS-BoldItalicMT"/>
          <w:bCs/>
          <w:iCs/>
          <w:szCs w:val="20"/>
        </w:rPr>
        <w:t>)</w:t>
      </w:r>
      <w:r w:rsidR="00F7460A" w:rsidRPr="003D15C5">
        <w:rPr>
          <w:rFonts w:cs="TimesNewRomanPS-BoldItalicMT"/>
          <w:bCs/>
          <w:iCs/>
          <w:szCs w:val="20"/>
        </w:rPr>
        <w:tab/>
        <w:t>odpowiednia zmiana położenia strefy FATO; oraz</w:t>
      </w:r>
    </w:p>
    <w:p w14:paraId="01D2C0EE" w14:textId="122B975C" w:rsidR="00F7460A" w:rsidRPr="00F50ACE" w:rsidRDefault="00960509" w:rsidP="00960509">
      <w:pPr>
        <w:tabs>
          <w:tab w:val="left" w:pos="1701"/>
        </w:tabs>
        <w:autoSpaceDE w:val="0"/>
        <w:autoSpaceDN w:val="0"/>
        <w:adjustRightInd w:val="0"/>
        <w:ind w:left="1701" w:hanging="567"/>
        <w:rPr>
          <w:rFonts w:cs="TimesNewRomanPS-BoldItalicMT"/>
          <w:bCs/>
          <w:iCs/>
          <w:szCs w:val="20"/>
        </w:rPr>
      </w:pPr>
      <w:r w:rsidRPr="003D15C5">
        <w:rPr>
          <w:rFonts w:cs="TimesNewRomanPS-BoldItalicMT"/>
          <w:bCs/>
          <w:iCs/>
          <w:szCs w:val="20"/>
        </w:rPr>
        <w:t>(v</w:t>
      </w:r>
      <w:r w:rsidR="00F7460A" w:rsidRPr="003D15C5">
        <w:rPr>
          <w:rFonts w:cs="TimesNewRomanPS-BoldItalicMT"/>
          <w:bCs/>
          <w:iCs/>
          <w:szCs w:val="20"/>
        </w:rPr>
        <w:t>)</w:t>
      </w:r>
      <w:r w:rsidR="00F7460A" w:rsidRPr="003D15C5">
        <w:rPr>
          <w:rFonts w:cs="TimesNewRomanPS-BoldItalicMT"/>
          <w:bCs/>
          <w:iCs/>
          <w:szCs w:val="20"/>
        </w:rPr>
        <w:tab/>
        <w:t xml:space="preserve">zainstalowanie wzrokowego systemu </w:t>
      </w:r>
      <w:r w:rsidR="00F7460A" w:rsidRPr="00F50ACE">
        <w:rPr>
          <w:rFonts w:cs="TimesNewRomanPS-BoldItalicMT"/>
          <w:bCs/>
          <w:iCs/>
          <w:szCs w:val="20"/>
        </w:rPr>
        <w:t>naprowadzania.</w:t>
      </w:r>
    </w:p>
    <w:p w14:paraId="5F198FEF" w14:textId="6E544E5F" w:rsidR="00133B99" w:rsidRPr="009E064B" w:rsidRDefault="00133B99" w:rsidP="00133B99">
      <w:pPr>
        <w:pStyle w:val="Nagwek6"/>
      </w:pPr>
      <w:bookmarkStart w:id="1951" w:name="_Toc12533401"/>
      <w:r w:rsidRPr="009E064B">
        <w:t>GM1 HPT-DSN.</w:t>
      </w:r>
      <w:r w:rsidR="00046E75">
        <w:t>F.66</w:t>
      </w:r>
      <w:r>
        <w:t>0</w:t>
      </w:r>
      <w:r w:rsidRPr="009E064B">
        <w:t xml:space="preserve">     </w:t>
      </w:r>
      <w:r w:rsidR="00046E75" w:rsidRPr="00900AA5">
        <w:t>Wzro</w:t>
      </w:r>
      <w:r w:rsidR="00960509">
        <w:t>kowy wskaźnik ścieżki podejścia</w:t>
      </w:r>
      <w:bookmarkEnd w:id="1951"/>
    </w:p>
    <w:p w14:paraId="72B3A18F" w14:textId="410E8FE6"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CC440DD" w14:textId="2BFCC79B" w:rsidR="00992DEC" w:rsidRPr="00E225ED" w:rsidRDefault="00133B99" w:rsidP="00992DEC">
      <w:pPr>
        <w:tabs>
          <w:tab w:val="left" w:pos="567"/>
        </w:tabs>
        <w:autoSpaceDE w:val="0"/>
        <w:autoSpaceDN w:val="0"/>
        <w:adjustRightInd w:val="0"/>
        <w:ind w:left="567" w:hanging="567"/>
        <w:rPr>
          <w:rFonts w:cs="TimesNewRomanPS-BoldItalicMT"/>
          <w:bCs/>
          <w:iCs/>
          <w:szCs w:val="20"/>
        </w:rPr>
      </w:pPr>
      <w:r w:rsidRPr="00E225ED">
        <w:rPr>
          <w:rFonts w:cs="TimesNewRomanPS-BoldItalicMT"/>
          <w:bCs/>
          <w:iCs/>
          <w:szCs w:val="20"/>
        </w:rPr>
        <w:t xml:space="preserve">(a) </w:t>
      </w:r>
      <w:r w:rsidRPr="00E225ED">
        <w:rPr>
          <w:rFonts w:cs="TimesNewRomanPS-BoldItalicMT"/>
          <w:bCs/>
          <w:iCs/>
          <w:szCs w:val="20"/>
        </w:rPr>
        <w:tab/>
      </w:r>
      <w:r w:rsidR="00992DEC" w:rsidRPr="00E225ED">
        <w:rPr>
          <w:rFonts w:cs="TimesNewRomanPS-BoldItalicMT"/>
          <w:bCs/>
          <w:iCs/>
          <w:szCs w:val="20"/>
        </w:rPr>
        <w:t>Wzrokowy wskaźnik ścieżki podejścia powinien być instalowany na lotniskach dla śmigłowców, gdy istnieje jeden lub więcej z niżej wymienionych warunków:</w:t>
      </w:r>
    </w:p>
    <w:p w14:paraId="4BD9161D" w14:textId="026C553D" w:rsidR="00992DEC" w:rsidRPr="00E225ED" w:rsidRDefault="00992DEC" w:rsidP="00992DEC">
      <w:pPr>
        <w:tabs>
          <w:tab w:val="left" w:pos="1134"/>
        </w:tabs>
        <w:autoSpaceDE w:val="0"/>
        <w:autoSpaceDN w:val="0"/>
        <w:adjustRightInd w:val="0"/>
        <w:ind w:left="1134" w:hanging="567"/>
        <w:rPr>
          <w:rFonts w:cs="TimesNewRomanPS-BoldItalicMT"/>
          <w:bCs/>
          <w:iCs/>
          <w:szCs w:val="20"/>
        </w:rPr>
      </w:pPr>
      <w:r w:rsidRPr="00E225ED">
        <w:rPr>
          <w:rFonts w:cs="TimesNewRomanPS-BoldItalicMT"/>
          <w:bCs/>
          <w:iCs/>
          <w:szCs w:val="20"/>
        </w:rPr>
        <w:t xml:space="preserve">(1) </w:t>
      </w:r>
      <w:r w:rsidRPr="00E225ED">
        <w:rPr>
          <w:rFonts w:cs="TimesNewRomanPS-BoldItalicMT"/>
          <w:bCs/>
          <w:iCs/>
          <w:szCs w:val="20"/>
        </w:rPr>
        <w:tab/>
        <w:t xml:space="preserve">odległość od przeszkód, konieczność redukcji hałasu lub procedury ruchu lotniczego wymagają, aby lot odbywał się po określonej ścieżce </w:t>
      </w:r>
      <w:r w:rsidR="003D15C5" w:rsidRPr="00E225ED">
        <w:rPr>
          <w:rFonts w:cs="TimesNewRomanPS-BoldItalicMT"/>
          <w:bCs/>
          <w:iCs/>
          <w:szCs w:val="20"/>
        </w:rPr>
        <w:t>schodzenia</w:t>
      </w:r>
      <w:r w:rsidRPr="00E225ED">
        <w:rPr>
          <w:rFonts w:cs="TimesNewRomanPS-BoldItalicMT"/>
          <w:bCs/>
          <w:iCs/>
          <w:szCs w:val="20"/>
        </w:rPr>
        <w:t>;</w:t>
      </w:r>
    </w:p>
    <w:p w14:paraId="62324667" w14:textId="3D25C222" w:rsidR="00992DEC" w:rsidRPr="00E225ED" w:rsidRDefault="00992DEC" w:rsidP="00992DEC">
      <w:pPr>
        <w:tabs>
          <w:tab w:val="left" w:pos="1134"/>
        </w:tabs>
        <w:autoSpaceDE w:val="0"/>
        <w:autoSpaceDN w:val="0"/>
        <w:adjustRightInd w:val="0"/>
        <w:ind w:left="1134" w:hanging="567"/>
        <w:rPr>
          <w:rFonts w:cs="TimesNewRomanPS-BoldItalicMT"/>
          <w:bCs/>
          <w:iCs/>
          <w:szCs w:val="20"/>
        </w:rPr>
      </w:pPr>
      <w:r w:rsidRPr="00E225ED">
        <w:rPr>
          <w:rFonts w:cs="TimesNewRomanPS-BoldItalicMT"/>
          <w:bCs/>
          <w:iCs/>
          <w:szCs w:val="20"/>
        </w:rPr>
        <w:t xml:space="preserve">(2) </w:t>
      </w:r>
      <w:r w:rsidRPr="00E225ED">
        <w:rPr>
          <w:rFonts w:cs="TimesNewRomanPS-BoldItalicMT"/>
          <w:bCs/>
          <w:iCs/>
          <w:szCs w:val="20"/>
        </w:rPr>
        <w:tab/>
        <w:t>otoczenie, w którym znajduje się śmigłowiec zapewnia niewiele punktów orientacyjnych na powierzchni ziemi; oraz</w:t>
      </w:r>
    </w:p>
    <w:p w14:paraId="1CAEB426" w14:textId="5C49C444" w:rsidR="00992DEC" w:rsidRPr="00E225ED" w:rsidRDefault="00992DEC" w:rsidP="00992DEC">
      <w:pPr>
        <w:tabs>
          <w:tab w:val="left" w:pos="1134"/>
        </w:tabs>
        <w:autoSpaceDE w:val="0"/>
        <w:autoSpaceDN w:val="0"/>
        <w:adjustRightInd w:val="0"/>
        <w:ind w:left="1134" w:hanging="567"/>
        <w:rPr>
          <w:rFonts w:cs="TimesNewRomanPS-BoldItalicMT"/>
          <w:bCs/>
          <w:iCs/>
          <w:szCs w:val="20"/>
        </w:rPr>
      </w:pPr>
      <w:r w:rsidRPr="00E225ED">
        <w:rPr>
          <w:rFonts w:cs="TimesNewRomanPS-BoldItalicMT"/>
          <w:bCs/>
          <w:iCs/>
          <w:szCs w:val="20"/>
        </w:rPr>
        <w:t xml:space="preserve">(3) </w:t>
      </w:r>
      <w:r w:rsidRPr="00E225ED">
        <w:rPr>
          <w:rFonts w:cs="TimesNewRomanPS-BoldItalicMT"/>
          <w:bCs/>
          <w:iCs/>
          <w:szCs w:val="20"/>
        </w:rPr>
        <w:tab/>
      </w:r>
      <w:r w:rsidR="00E225ED">
        <w:rPr>
          <w:rFonts w:cs="TimesNewRomanPS-BoldItalicMT"/>
          <w:bCs/>
          <w:iCs/>
          <w:szCs w:val="20"/>
        </w:rPr>
        <w:t>charakterystyki</w:t>
      </w:r>
      <w:r w:rsidRPr="00E225ED">
        <w:rPr>
          <w:rFonts w:cs="TimesNewRomanPS-BoldItalicMT"/>
          <w:bCs/>
          <w:iCs/>
          <w:szCs w:val="20"/>
        </w:rPr>
        <w:t xml:space="preserve"> śmigłowca wymagają ustabilizowanego podejścia.</w:t>
      </w:r>
    </w:p>
    <w:p w14:paraId="6DA4CC27" w14:textId="53FDB29B" w:rsidR="007238E3" w:rsidRPr="00E225ED" w:rsidRDefault="007238E3" w:rsidP="007238E3">
      <w:pPr>
        <w:tabs>
          <w:tab w:val="left" w:pos="567"/>
        </w:tabs>
        <w:autoSpaceDE w:val="0"/>
        <w:autoSpaceDN w:val="0"/>
        <w:adjustRightInd w:val="0"/>
        <w:ind w:left="567" w:hanging="567"/>
        <w:rPr>
          <w:rFonts w:cs="TimesNewRomanPS-BoldItalicMT"/>
          <w:bCs/>
          <w:iCs/>
          <w:szCs w:val="20"/>
        </w:rPr>
      </w:pPr>
      <w:r w:rsidRPr="00E225ED">
        <w:rPr>
          <w:rFonts w:cs="TimesNewRomanPS-BoldItalicMT"/>
          <w:bCs/>
          <w:iCs/>
          <w:szCs w:val="20"/>
        </w:rPr>
        <w:t xml:space="preserve">(b) </w:t>
      </w:r>
      <w:r w:rsidRPr="00E225ED">
        <w:rPr>
          <w:rFonts w:cs="TimesNewRomanPS-BoldItalicMT"/>
          <w:bCs/>
          <w:iCs/>
          <w:szCs w:val="20"/>
        </w:rPr>
        <w:tab/>
        <w:t xml:space="preserve">Jeżeli na lotnisku zainstalowano więcej niż jeden wzrokowy wskaźnik ścieżki podejścia (np. PAPI, APAPI), to </w:t>
      </w:r>
      <w:r w:rsidR="00E225ED" w:rsidRPr="00E225ED">
        <w:rPr>
          <w:rFonts w:cs="TimesNewRomanPS-BoldItalicMT"/>
          <w:bCs/>
          <w:iCs/>
          <w:szCs w:val="20"/>
        </w:rPr>
        <w:t xml:space="preserve">wskaźnik </w:t>
      </w:r>
      <w:r w:rsidRPr="00E225ED">
        <w:rPr>
          <w:rFonts w:cs="TimesNewRomanPS-BoldItalicMT"/>
          <w:bCs/>
          <w:iCs/>
          <w:szCs w:val="20"/>
        </w:rPr>
        <w:t>powinien być zaprojektowany i skalibrowany, aby dać jasne i jednoznaczne wskazanie pilotowi śmigłowca wykonującego podejście do lądowania.</w:t>
      </w:r>
    </w:p>
    <w:p w14:paraId="4444BCC1" w14:textId="10146501" w:rsidR="00762D03" w:rsidRPr="00E225ED" w:rsidRDefault="007238E3" w:rsidP="007238E3">
      <w:pPr>
        <w:tabs>
          <w:tab w:val="left" w:pos="567"/>
        </w:tabs>
        <w:autoSpaceDE w:val="0"/>
        <w:autoSpaceDN w:val="0"/>
        <w:adjustRightInd w:val="0"/>
        <w:ind w:left="567" w:hanging="567"/>
        <w:rPr>
          <w:rFonts w:cs="TimesNewRomanPS-BoldItalicMT"/>
          <w:bCs/>
          <w:iCs/>
          <w:szCs w:val="20"/>
        </w:rPr>
      </w:pPr>
      <w:r w:rsidRPr="00E225ED">
        <w:rPr>
          <w:rFonts w:cs="TimesNewRomanPS-BoldItalicMT"/>
          <w:bCs/>
          <w:iCs/>
          <w:szCs w:val="20"/>
        </w:rPr>
        <w:t xml:space="preserve">c) </w:t>
      </w:r>
      <w:r w:rsidRPr="00E225ED">
        <w:rPr>
          <w:rFonts w:cs="TimesNewRomanPS-BoldItalicMT"/>
          <w:bCs/>
          <w:iCs/>
          <w:szCs w:val="20"/>
        </w:rPr>
        <w:tab/>
      </w:r>
      <w:r w:rsidR="00762D03" w:rsidRPr="00E225ED">
        <w:rPr>
          <w:rFonts w:cs="TimesNewRomanPS-BoldItalicMT"/>
          <w:bCs/>
          <w:iCs/>
          <w:szCs w:val="20"/>
        </w:rPr>
        <w:t>W</w:t>
      </w:r>
      <w:r w:rsidRPr="00E225ED">
        <w:rPr>
          <w:rFonts w:cs="TimesNewRomanPS-BoldItalicMT"/>
          <w:bCs/>
          <w:iCs/>
          <w:szCs w:val="20"/>
        </w:rPr>
        <w:t xml:space="preserve">zrokowy wskaźnik ścieżki podejścia </w:t>
      </w:r>
      <w:r w:rsidR="00E225ED" w:rsidRPr="00E225ED">
        <w:rPr>
          <w:rFonts w:cs="TimesNewRomanPS-BoldItalicMT"/>
          <w:bCs/>
          <w:iCs/>
          <w:szCs w:val="20"/>
        </w:rPr>
        <w:t>lotniska dla śmigłowców</w:t>
      </w:r>
      <w:r w:rsidRPr="00E225ED">
        <w:rPr>
          <w:rFonts w:cs="TimesNewRomanPS-BoldItalicMT"/>
          <w:bCs/>
          <w:iCs/>
          <w:szCs w:val="20"/>
        </w:rPr>
        <w:t xml:space="preserve"> powinien </w:t>
      </w:r>
      <w:r w:rsidR="00762D03" w:rsidRPr="00E225ED">
        <w:rPr>
          <w:rFonts w:cs="TimesNewRomanPS-BoldItalicMT"/>
          <w:bCs/>
          <w:iCs/>
          <w:szCs w:val="20"/>
        </w:rPr>
        <w:t>być zlokalizowany w</w:t>
      </w:r>
      <w:r w:rsidR="00505B50">
        <w:rPr>
          <w:rFonts w:cs="TimesNewRomanPS-BoldItalicMT"/>
          <w:bCs/>
          <w:iCs/>
          <w:szCs w:val="20"/>
        </w:rPr>
        <w:t> </w:t>
      </w:r>
      <w:r w:rsidRPr="00E225ED">
        <w:rPr>
          <w:rFonts w:cs="TimesNewRomanPS-BoldItalicMT"/>
          <w:bCs/>
          <w:iCs/>
          <w:szCs w:val="20"/>
        </w:rPr>
        <w:t xml:space="preserve">sąsiedztwie </w:t>
      </w:r>
      <w:r w:rsidR="00E225ED" w:rsidRPr="00E225ED">
        <w:rPr>
          <w:rFonts w:cs="TimesNewRomanPS-BoldItalicMT"/>
          <w:bCs/>
          <w:iCs/>
          <w:szCs w:val="20"/>
        </w:rPr>
        <w:t>ustalonego</w:t>
      </w:r>
      <w:r w:rsidRPr="00E225ED">
        <w:rPr>
          <w:rFonts w:cs="TimesNewRomanPS-BoldItalicMT"/>
          <w:bCs/>
          <w:iCs/>
          <w:szCs w:val="20"/>
        </w:rPr>
        <w:t xml:space="preserve"> punktu celowania i być </w:t>
      </w:r>
      <w:r w:rsidR="00E225ED" w:rsidRPr="00E225ED">
        <w:rPr>
          <w:rFonts w:cs="TimesNewRomanPS-BoldItalicMT"/>
          <w:bCs/>
          <w:iCs/>
          <w:szCs w:val="20"/>
        </w:rPr>
        <w:t>wyrównany</w:t>
      </w:r>
      <w:r w:rsidRPr="00E225ED">
        <w:rPr>
          <w:rFonts w:cs="TimesNewRomanPS-BoldItalicMT"/>
          <w:bCs/>
          <w:iCs/>
          <w:szCs w:val="20"/>
        </w:rPr>
        <w:t xml:space="preserve"> w azymucie z preferowanym kierunkiem podejścia.</w:t>
      </w:r>
    </w:p>
    <w:p w14:paraId="1F4424E5" w14:textId="7977ECCA" w:rsidR="00762D03" w:rsidRPr="00E225ED" w:rsidRDefault="007238E3" w:rsidP="007238E3">
      <w:pPr>
        <w:tabs>
          <w:tab w:val="left" w:pos="567"/>
        </w:tabs>
        <w:autoSpaceDE w:val="0"/>
        <w:autoSpaceDN w:val="0"/>
        <w:adjustRightInd w:val="0"/>
        <w:ind w:left="567" w:hanging="567"/>
        <w:rPr>
          <w:rFonts w:cs="TimesNewRomanPS-BoldItalicMT"/>
          <w:bCs/>
          <w:iCs/>
          <w:szCs w:val="20"/>
        </w:rPr>
      </w:pPr>
      <w:r w:rsidRPr="00E225ED">
        <w:rPr>
          <w:rFonts w:cs="TimesNewRomanPS-BoldItalicMT"/>
          <w:bCs/>
          <w:iCs/>
          <w:szCs w:val="20"/>
        </w:rPr>
        <w:t xml:space="preserve">(d) </w:t>
      </w:r>
      <w:r w:rsidR="00762D03" w:rsidRPr="00E225ED">
        <w:rPr>
          <w:rFonts w:cs="TimesNewRomanPS-BoldItalicMT"/>
          <w:bCs/>
          <w:iCs/>
          <w:szCs w:val="20"/>
        </w:rPr>
        <w:tab/>
      </w:r>
      <w:r w:rsidR="00E225ED" w:rsidRPr="00E225ED">
        <w:rPr>
          <w:rFonts w:cs="TimesNewRomanPS-BoldItalicMT"/>
          <w:bCs/>
          <w:iCs/>
          <w:szCs w:val="20"/>
        </w:rPr>
        <w:t>Konieczna jest ostrożność p</w:t>
      </w:r>
      <w:r w:rsidRPr="00E225ED">
        <w:rPr>
          <w:rFonts w:cs="TimesNewRomanPS-BoldItalicMT"/>
          <w:bCs/>
          <w:iCs/>
          <w:szCs w:val="20"/>
        </w:rPr>
        <w:t xml:space="preserve">rzy projektowaniu </w:t>
      </w:r>
      <w:r w:rsidR="00E225ED" w:rsidRPr="00E225ED">
        <w:rPr>
          <w:rFonts w:cs="TimesNewRomanPS-BoldItalicMT"/>
          <w:bCs/>
          <w:iCs/>
          <w:szCs w:val="20"/>
        </w:rPr>
        <w:t>urządzenia</w:t>
      </w:r>
      <w:r w:rsidRPr="00E225ED">
        <w:rPr>
          <w:rFonts w:cs="TimesNewRomanPS-BoldItalicMT"/>
          <w:bCs/>
          <w:iCs/>
          <w:szCs w:val="20"/>
        </w:rPr>
        <w:t>, aby zminimalizować fałszywe sygnały między sektorami sygnału i na granicach zasięgu azymutu.</w:t>
      </w:r>
    </w:p>
    <w:p w14:paraId="6E21F65D" w14:textId="26C87C62" w:rsidR="007238E3" w:rsidRPr="00505B50" w:rsidRDefault="007238E3" w:rsidP="007238E3">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 xml:space="preserve">(e) </w:t>
      </w:r>
      <w:r w:rsidR="00762D03" w:rsidRPr="00505B50">
        <w:rPr>
          <w:rFonts w:cs="TimesNewRomanPS-BoldItalicMT"/>
          <w:bCs/>
          <w:iCs/>
          <w:szCs w:val="20"/>
        </w:rPr>
        <w:tab/>
      </w:r>
      <w:r w:rsidRPr="00505B50">
        <w:rPr>
          <w:rFonts w:cs="TimesNewRomanPS-BoldItalicMT"/>
          <w:bCs/>
          <w:iCs/>
          <w:szCs w:val="20"/>
        </w:rPr>
        <w:t xml:space="preserve">Większe </w:t>
      </w:r>
      <w:r w:rsidR="00E225ED" w:rsidRPr="00505B50">
        <w:rPr>
          <w:rFonts w:cs="TimesNewRomanPS-BoldItalicMT"/>
          <w:bCs/>
          <w:iCs/>
          <w:szCs w:val="20"/>
        </w:rPr>
        <w:t>zasięg</w:t>
      </w:r>
      <w:r w:rsidRPr="00505B50">
        <w:rPr>
          <w:rFonts w:cs="TimesNewRomanPS-BoldItalicMT"/>
          <w:bCs/>
          <w:iCs/>
          <w:szCs w:val="20"/>
        </w:rPr>
        <w:t xml:space="preserve"> azymutu można uzyskać, instalując system HAPI na </w:t>
      </w:r>
      <w:r w:rsidR="00762D03" w:rsidRPr="00505B50">
        <w:rPr>
          <w:rFonts w:cs="TimesNewRomanPS-BoldItalicMT"/>
          <w:bCs/>
          <w:iCs/>
          <w:szCs w:val="20"/>
        </w:rPr>
        <w:t>płycie obrotowej</w:t>
      </w:r>
      <w:r w:rsidR="00E225ED" w:rsidRPr="00505B50">
        <w:rPr>
          <w:rFonts w:cs="TimesNewRomanPS-BoldItalicMT"/>
          <w:bCs/>
          <w:iCs/>
          <w:szCs w:val="20"/>
        </w:rPr>
        <w:t>.</w:t>
      </w:r>
    </w:p>
    <w:p w14:paraId="274C615C" w14:textId="1BC1A4E7" w:rsidR="00133B99" w:rsidRPr="009E064B" w:rsidRDefault="00673A16" w:rsidP="00133B99">
      <w:pPr>
        <w:pStyle w:val="Nagwek4"/>
        <w:rPr>
          <w:color w:val="auto"/>
        </w:rPr>
      </w:pPr>
      <w:bookmarkStart w:id="1952" w:name="_Toc12533402"/>
      <w:r w:rsidRPr="00DA54CB">
        <w:rPr>
          <w:color w:val="auto"/>
        </w:rPr>
        <w:t>CS HPT-DSN.F.67</w:t>
      </w:r>
      <w:r w:rsidR="00133B99" w:rsidRPr="00DA54CB">
        <w:rPr>
          <w:color w:val="auto"/>
        </w:rPr>
        <w:t>0</w:t>
      </w:r>
      <w:r w:rsidR="00133B99" w:rsidRPr="00DA54CB">
        <w:rPr>
          <w:b w:val="0"/>
          <w:bCs w:val="0"/>
          <w:color w:val="FFFFFF"/>
          <w:sz w:val="32"/>
          <w:szCs w:val="32"/>
        </w:rPr>
        <w:t xml:space="preserve">     </w:t>
      </w:r>
      <w:r w:rsidR="00DA54CB">
        <w:rPr>
          <w:b w:val="0"/>
          <w:bCs w:val="0"/>
          <w:color w:val="FFFFFF"/>
          <w:sz w:val="32"/>
          <w:szCs w:val="32"/>
        </w:rPr>
        <w:t xml:space="preserve">   </w:t>
      </w:r>
      <w:r w:rsidR="00046E75" w:rsidRPr="00DA54CB">
        <w:t>System świateł strefy podejścia końcowego i startu</w:t>
      </w:r>
      <w:r w:rsidR="00046E75">
        <w:t xml:space="preserve"> (</w:t>
      </w:r>
      <w:r w:rsidR="00046E75" w:rsidRPr="00900AA5">
        <w:t>FATO</w:t>
      </w:r>
      <w:r w:rsidR="00046E75">
        <w:t>)</w:t>
      </w:r>
      <w:bookmarkEnd w:id="1952"/>
    </w:p>
    <w:p w14:paraId="383FCDFB" w14:textId="2DC2D485"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9FE2B38" w14:textId="02E0709F" w:rsidR="00762D03" w:rsidRPr="00505B50" w:rsidRDefault="00133B99" w:rsidP="00880588">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(a)</w:t>
      </w:r>
      <w:r w:rsidRPr="00505B50">
        <w:rPr>
          <w:rFonts w:cs="TimesNewRomanPS-BoldItalicMT"/>
          <w:bCs/>
          <w:iCs/>
          <w:szCs w:val="20"/>
        </w:rPr>
        <w:tab/>
      </w:r>
      <w:r w:rsidR="00762D03" w:rsidRPr="00505B50">
        <w:rPr>
          <w:rFonts w:cs="TimesNewRomanPS-BoldItalicMT"/>
          <w:bCs/>
          <w:iCs/>
          <w:szCs w:val="20"/>
        </w:rPr>
        <w:t>Zastosowanie</w:t>
      </w:r>
      <w:r w:rsidR="00880588" w:rsidRPr="00505B50">
        <w:rPr>
          <w:rFonts w:cs="TimesNewRomanPS-BoldItalicMT"/>
          <w:bCs/>
          <w:iCs/>
          <w:szCs w:val="20"/>
        </w:rPr>
        <w:t>: Światła strefy FATO powinny być zapewnione</w:t>
      </w:r>
      <w:r w:rsidR="00505B50" w:rsidRPr="00505B50">
        <w:rPr>
          <w:rFonts w:cs="TimesNewRomanPS-BoldItalicMT"/>
          <w:bCs/>
          <w:iCs/>
          <w:szCs w:val="20"/>
        </w:rPr>
        <w:t>,</w:t>
      </w:r>
      <w:r w:rsidR="00880588" w:rsidRPr="00505B50">
        <w:rPr>
          <w:rFonts w:cs="TimesNewRomanPS-BoldItalicMT"/>
          <w:bCs/>
          <w:iCs/>
          <w:szCs w:val="20"/>
        </w:rPr>
        <w:t xml:space="preserve"> gdy strefa FATO znajduje się na lotnisku dla śmigłowców przeznaczonym do użytkowania w nocy. Światła strefy FATO nie muszą być zapewnione, gdy strefa FATO i TLOF prawie się pokrywają </w:t>
      </w:r>
      <w:r w:rsidR="00505B50" w:rsidRPr="00505B50">
        <w:rPr>
          <w:rFonts w:cs="TimesNewRomanPS-BoldItalicMT"/>
          <w:bCs/>
          <w:iCs/>
          <w:szCs w:val="20"/>
        </w:rPr>
        <w:t xml:space="preserve">i zapewnione są światła TLOF, </w:t>
      </w:r>
      <w:r w:rsidR="00880588" w:rsidRPr="00505B50">
        <w:rPr>
          <w:rFonts w:cs="TimesNewRomanPS-BoldItalicMT"/>
          <w:bCs/>
          <w:iCs/>
          <w:szCs w:val="20"/>
        </w:rPr>
        <w:t>lub gdy zasięg strefy FATO jest oczywisty.</w:t>
      </w:r>
    </w:p>
    <w:p w14:paraId="2514BD9D" w14:textId="6272E702" w:rsidR="00762D03" w:rsidRPr="00505B50" w:rsidRDefault="004B5AFA" w:rsidP="004B5AFA">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 xml:space="preserve">(b) </w:t>
      </w:r>
      <w:r w:rsidRPr="00505B50">
        <w:rPr>
          <w:rFonts w:cs="TimesNewRomanPS-BoldItalicMT"/>
          <w:bCs/>
          <w:iCs/>
          <w:szCs w:val="20"/>
        </w:rPr>
        <w:tab/>
      </w:r>
      <w:r w:rsidR="00762D03" w:rsidRPr="00505B50">
        <w:rPr>
          <w:rFonts w:cs="TimesNewRomanPS-BoldItalicMT"/>
          <w:bCs/>
          <w:iCs/>
          <w:szCs w:val="20"/>
        </w:rPr>
        <w:t>Lokalizacja</w:t>
      </w:r>
      <w:r w:rsidRPr="00505B50">
        <w:rPr>
          <w:rFonts w:cs="TimesNewRomanPS-BoldItalicMT"/>
          <w:bCs/>
          <w:iCs/>
          <w:szCs w:val="20"/>
        </w:rPr>
        <w:t xml:space="preserve">: </w:t>
      </w:r>
      <w:r w:rsidR="00762D03" w:rsidRPr="00505B50">
        <w:rPr>
          <w:rFonts w:cs="TimesNewRomanPS-BoldItalicMT"/>
          <w:bCs/>
          <w:iCs/>
          <w:szCs w:val="20"/>
        </w:rPr>
        <w:t xml:space="preserve">Światła strefy FATO powinny być rozmieszczone wzdłuż krawędzi </w:t>
      </w:r>
      <w:r w:rsidR="00505B50" w:rsidRPr="00505B50">
        <w:rPr>
          <w:rFonts w:cs="TimesNewRomanPS-BoldItalicMT"/>
          <w:bCs/>
          <w:iCs/>
          <w:szCs w:val="20"/>
        </w:rPr>
        <w:t>FATO</w:t>
      </w:r>
      <w:r w:rsidR="00762D03" w:rsidRPr="00505B50">
        <w:rPr>
          <w:rFonts w:cs="TimesNewRomanPS-BoldItalicMT"/>
          <w:bCs/>
          <w:iCs/>
          <w:szCs w:val="20"/>
        </w:rPr>
        <w:t>. Światła te powinny być rozmieszczone w równych odstępach w następujący sposób:</w:t>
      </w:r>
    </w:p>
    <w:p w14:paraId="27BAF951" w14:textId="1FDF5B2F" w:rsidR="00762D03"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(1</w:t>
      </w:r>
      <w:r w:rsidR="00762D03" w:rsidRPr="00505B50">
        <w:rPr>
          <w:rFonts w:cs="TimesNewRomanPS-BoldItalicMT"/>
          <w:bCs/>
          <w:iCs/>
          <w:szCs w:val="20"/>
        </w:rPr>
        <w:t>)</w:t>
      </w:r>
      <w:r w:rsidR="00762D03" w:rsidRPr="00505B50">
        <w:rPr>
          <w:rFonts w:cs="TimesNewRomanPS-BoldItalicMT"/>
          <w:bCs/>
          <w:iCs/>
          <w:szCs w:val="20"/>
        </w:rPr>
        <w:tab/>
        <w:t>dla strefy w kształcie kwadratu lub prostokąta odstępy po</w:t>
      </w:r>
      <w:r w:rsidRPr="00505B50">
        <w:rPr>
          <w:rFonts w:cs="TimesNewRomanPS-BoldItalicMT"/>
          <w:bCs/>
          <w:iCs/>
          <w:szCs w:val="20"/>
        </w:rPr>
        <w:t xml:space="preserve">winny wynosić nie więcej niż 50 m, z </w:t>
      </w:r>
      <w:r w:rsidR="00762D03" w:rsidRPr="00505B50">
        <w:rPr>
          <w:rFonts w:cs="TimesNewRomanPS-BoldItalicMT"/>
          <w:bCs/>
          <w:iCs/>
          <w:szCs w:val="20"/>
        </w:rPr>
        <w:t>minimalną liczbą 4 świateł po każdej stronie, włącznie ze światłem znajdującym się na każdym rogu; oraz</w:t>
      </w:r>
    </w:p>
    <w:p w14:paraId="4AFB64A1" w14:textId="2BEA083D" w:rsidR="00762D03"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(2</w:t>
      </w:r>
      <w:r w:rsidR="00762D03" w:rsidRPr="00505B50">
        <w:rPr>
          <w:rFonts w:cs="TimesNewRomanPS-BoldItalicMT"/>
          <w:bCs/>
          <w:iCs/>
          <w:szCs w:val="20"/>
        </w:rPr>
        <w:t>)</w:t>
      </w:r>
      <w:r w:rsidR="00762D03" w:rsidRPr="00505B50">
        <w:rPr>
          <w:rFonts w:cs="TimesNewRomanPS-BoldItalicMT"/>
          <w:bCs/>
          <w:iCs/>
          <w:szCs w:val="20"/>
        </w:rPr>
        <w:tab/>
        <w:t>dla strefy mającej inny kształt, w tym okrągły, odstępy powinn</w:t>
      </w:r>
      <w:r w:rsidRPr="00505B50">
        <w:rPr>
          <w:rFonts w:cs="TimesNewRomanPS-BoldItalicMT"/>
          <w:bCs/>
          <w:iCs/>
          <w:szCs w:val="20"/>
        </w:rPr>
        <w:t xml:space="preserve">y wynosić nie więcej niż 5 m, a </w:t>
      </w:r>
      <w:r w:rsidR="00762D03" w:rsidRPr="00505B50">
        <w:rPr>
          <w:rFonts w:cs="TimesNewRomanPS-BoldItalicMT"/>
          <w:bCs/>
          <w:iCs/>
          <w:szCs w:val="20"/>
        </w:rPr>
        <w:t xml:space="preserve">minimalna liczba świateł dziesięć. </w:t>
      </w:r>
    </w:p>
    <w:p w14:paraId="295043EA" w14:textId="7EFA0C29" w:rsidR="00762D03" w:rsidRPr="00505B50" w:rsidRDefault="004B5AFA" w:rsidP="004B5AFA">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 xml:space="preserve">(c) </w:t>
      </w:r>
      <w:r w:rsidRPr="00505B50">
        <w:rPr>
          <w:rFonts w:cs="TimesNewRomanPS-BoldItalicMT"/>
          <w:bCs/>
          <w:iCs/>
          <w:szCs w:val="20"/>
        </w:rPr>
        <w:tab/>
      </w:r>
      <w:r w:rsidR="00762D03" w:rsidRPr="00505B50">
        <w:rPr>
          <w:rFonts w:cs="TimesNewRomanPS-BoldItalicMT"/>
          <w:bCs/>
          <w:iCs/>
          <w:szCs w:val="20"/>
        </w:rPr>
        <w:t>Charakterystyka</w:t>
      </w:r>
      <w:r w:rsidRPr="00505B50">
        <w:rPr>
          <w:rFonts w:cs="TimesNewRomanPS-BoldItalicMT"/>
          <w:bCs/>
          <w:iCs/>
          <w:szCs w:val="20"/>
        </w:rPr>
        <w:t>:</w:t>
      </w:r>
    </w:p>
    <w:p w14:paraId="074A302B" w14:textId="1227C12A" w:rsidR="00762D03"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 xml:space="preserve">(1) </w:t>
      </w:r>
      <w:r w:rsidRPr="00505B50">
        <w:rPr>
          <w:rFonts w:cs="TimesNewRomanPS-BoldItalicMT"/>
          <w:bCs/>
          <w:iCs/>
          <w:szCs w:val="20"/>
        </w:rPr>
        <w:tab/>
      </w:r>
      <w:r w:rsidR="00762D03" w:rsidRPr="00505B50">
        <w:rPr>
          <w:rFonts w:cs="TimesNewRomanPS-BoldItalicMT"/>
          <w:bCs/>
          <w:iCs/>
          <w:szCs w:val="20"/>
        </w:rPr>
        <w:t xml:space="preserve">Światła strefy FATO powinny być światłami stałymi </w:t>
      </w:r>
      <w:r w:rsidR="00505B50" w:rsidRPr="00505B50">
        <w:rPr>
          <w:rFonts w:cs="TimesNewRomanPS-BoldItalicMT"/>
          <w:bCs/>
          <w:iCs/>
          <w:szCs w:val="20"/>
        </w:rPr>
        <w:t>dookólnymi</w:t>
      </w:r>
      <w:r w:rsidR="00762D03" w:rsidRPr="00505B50">
        <w:rPr>
          <w:rFonts w:cs="TimesNewRomanPS-BoldItalicMT"/>
          <w:bCs/>
          <w:iCs/>
          <w:szCs w:val="20"/>
        </w:rPr>
        <w:t xml:space="preserve"> świecącymi na biało. Jeśli intensywność tych świateł ma być zmieniana, to światła te powinny świecić w kolorze białym o zmiennym natężeniu.</w:t>
      </w:r>
    </w:p>
    <w:p w14:paraId="44269206" w14:textId="5A775011" w:rsidR="00762D03"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 xml:space="preserve">(2) </w:t>
      </w:r>
      <w:r w:rsidRPr="00505B50">
        <w:rPr>
          <w:rFonts w:cs="TimesNewRomanPS-BoldItalicMT"/>
          <w:bCs/>
          <w:iCs/>
          <w:szCs w:val="20"/>
        </w:rPr>
        <w:tab/>
      </w:r>
      <w:r w:rsidR="00762D03" w:rsidRPr="00505B50">
        <w:rPr>
          <w:rFonts w:cs="TimesNewRomanPS-BoldItalicMT"/>
          <w:bCs/>
          <w:iCs/>
          <w:szCs w:val="20"/>
        </w:rPr>
        <w:t xml:space="preserve">Rozkład świateł strefy FATO powinien być taki jak pokazano na Rysunku </w:t>
      </w:r>
      <w:r w:rsidRPr="00505B50">
        <w:rPr>
          <w:rFonts w:cs="TimesNewRomanPS-BoldItalicMT"/>
          <w:bCs/>
          <w:iCs/>
          <w:szCs w:val="20"/>
        </w:rPr>
        <w:t>F-9</w:t>
      </w:r>
      <w:r w:rsidR="00762D03" w:rsidRPr="00505B50">
        <w:rPr>
          <w:rFonts w:cs="TimesNewRomanPS-BoldItalicMT"/>
          <w:bCs/>
          <w:iCs/>
          <w:szCs w:val="20"/>
        </w:rPr>
        <w:t xml:space="preserve">, Ilustracja </w:t>
      </w:r>
      <w:r w:rsidRPr="00505B50">
        <w:rPr>
          <w:rFonts w:cs="TimesNewRomanPS-BoldItalicMT"/>
          <w:bCs/>
          <w:iCs/>
          <w:szCs w:val="20"/>
        </w:rPr>
        <w:t>4</w:t>
      </w:r>
      <w:r w:rsidR="00762D03" w:rsidRPr="00505B50">
        <w:rPr>
          <w:rFonts w:cs="TimesNewRomanPS-BoldItalicMT"/>
          <w:bCs/>
          <w:iCs/>
          <w:szCs w:val="20"/>
        </w:rPr>
        <w:t xml:space="preserve">. </w:t>
      </w:r>
    </w:p>
    <w:p w14:paraId="439CEAF3" w14:textId="7B53FFD0" w:rsidR="004B5AFA"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 xml:space="preserve">(3) </w:t>
      </w:r>
      <w:r w:rsidRPr="00505B50">
        <w:rPr>
          <w:rFonts w:cs="TimesNewRomanPS-BoldItalicMT"/>
          <w:bCs/>
          <w:iCs/>
          <w:szCs w:val="20"/>
        </w:rPr>
        <w:tab/>
      </w:r>
      <w:r w:rsidR="00762D03" w:rsidRPr="00505B50">
        <w:rPr>
          <w:rFonts w:cs="TimesNewRomanPS-BoldItalicMT"/>
          <w:bCs/>
          <w:iCs/>
          <w:szCs w:val="20"/>
        </w:rPr>
        <w:t xml:space="preserve">Światła </w:t>
      </w:r>
      <w:r w:rsidRPr="00505B50">
        <w:rPr>
          <w:rFonts w:cs="TimesNewRomanPS-BoldItalicMT"/>
          <w:bCs/>
          <w:iCs/>
          <w:szCs w:val="20"/>
        </w:rPr>
        <w:t xml:space="preserve">strefy FATO </w:t>
      </w:r>
      <w:r w:rsidR="00762D03" w:rsidRPr="00505B50">
        <w:rPr>
          <w:rFonts w:cs="TimesNewRomanPS-BoldItalicMT"/>
          <w:bCs/>
          <w:iCs/>
          <w:szCs w:val="20"/>
        </w:rPr>
        <w:t xml:space="preserve">nie powinny </w:t>
      </w:r>
      <w:r w:rsidR="00505B50" w:rsidRPr="00505B50">
        <w:rPr>
          <w:rFonts w:cs="TimesNewRomanPS-BoldItalicMT"/>
          <w:bCs/>
          <w:iCs/>
          <w:szCs w:val="20"/>
        </w:rPr>
        <w:t>przekraczać</w:t>
      </w:r>
      <w:r w:rsidR="00762D03" w:rsidRPr="00505B50">
        <w:rPr>
          <w:rFonts w:cs="TimesNewRomanPS-BoldItalicMT"/>
          <w:bCs/>
          <w:iCs/>
          <w:szCs w:val="20"/>
        </w:rPr>
        <w:t xml:space="preserve"> wysokości 25 cm, </w:t>
      </w:r>
      <w:r w:rsidRPr="00505B50">
        <w:rPr>
          <w:rFonts w:cs="TimesNewRomanPS-BoldItalicMT"/>
          <w:bCs/>
          <w:iCs/>
          <w:szCs w:val="20"/>
        </w:rPr>
        <w:t xml:space="preserve">a w </w:t>
      </w:r>
      <w:r w:rsidR="00762D03" w:rsidRPr="00505B50">
        <w:rPr>
          <w:rFonts w:cs="TimesNewRomanPS-BoldItalicMT"/>
          <w:bCs/>
          <w:iCs/>
          <w:szCs w:val="20"/>
        </w:rPr>
        <w:t>przypadku, gdy światła wystające ponad powierzchnię ziemi mogą zagrażać operacjom śmigłowców, powinny być zagłębione</w:t>
      </w:r>
      <w:r w:rsidRPr="00505B50">
        <w:rPr>
          <w:rFonts w:cs="TimesNewRomanPS-BoldItalicMT"/>
          <w:bCs/>
          <w:iCs/>
          <w:szCs w:val="20"/>
        </w:rPr>
        <w:t>.</w:t>
      </w:r>
    </w:p>
    <w:p w14:paraId="16BCD70F" w14:textId="7EA09421" w:rsidR="00762D03" w:rsidRPr="00505B50" w:rsidRDefault="004B5AFA" w:rsidP="004B5AFA">
      <w:pPr>
        <w:tabs>
          <w:tab w:val="left" w:pos="1134"/>
        </w:tabs>
        <w:autoSpaceDE w:val="0"/>
        <w:autoSpaceDN w:val="0"/>
        <w:adjustRightInd w:val="0"/>
        <w:ind w:left="1134" w:hanging="567"/>
        <w:rPr>
          <w:rFonts w:cs="TimesNewRomanPS-BoldItalicMT"/>
          <w:bCs/>
          <w:iCs/>
          <w:szCs w:val="20"/>
        </w:rPr>
      </w:pPr>
      <w:r w:rsidRPr="00505B50">
        <w:rPr>
          <w:rFonts w:cs="TimesNewRomanPS-BoldItalicMT"/>
          <w:bCs/>
          <w:iCs/>
          <w:szCs w:val="20"/>
        </w:rPr>
        <w:t xml:space="preserve">(4) </w:t>
      </w:r>
      <w:r w:rsidRPr="00505B50">
        <w:rPr>
          <w:rFonts w:cs="TimesNewRomanPS-BoldItalicMT"/>
          <w:bCs/>
          <w:iCs/>
          <w:szCs w:val="20"/>
        </w:rPr>
        <w:tab/>
      </w:r>
      <w:r w:rsidR="00762D03" w:rsidRPr="00505B50">
        <w:rPr>
          <w:rFonts w:cs="TimesNewRomanPS-BoldItalicMT"/>
          <w:bCs/>
          <w:iCs/>
          <w:szCs w:val="20"/>
        </w:rPr>
        <w:t xml:space="preserve">Gdy strefa FATO nie jest przeznaczona do operacji przyziemienia i wznoszenia, </w:t>
      </w:r>
      <w:r w:rsidR="00505B50" w:rsidRPr="00505B50">
        <w:rPr>
          <w:rFonts w:cs="TimesNewRomanPS-BoldItalicMT"/>
          <w:bCs/>
          <w:iCs/>
          <w:szCs w:val="20"/>
        </w:rPr>
        <w:t xml:space="preserve">to światła te </w:t>
      </w:r>
      <w:r w:rsidR="00762D03" w:rsidRPr="00505B50">
        <w:rPr>
          <w:rFonts w:cs="TimesNewRomanPS-BoldItalicMT"/>
          <w:bCs/>
          <w:iCs/>
          <w:szCs w:val="20"/>
        </w:rPr>
        <w:t>nie powinn</w:t>
      </w:r>
      <w:r w:rsidR="00505B50" w:rsidRPr="00505B50">
        <w:rPr>
          <w:rFonts w:cs="TimesNewRomanPS-BoldItalicMT"/>
          <w:bCs/>
          <w:iCs/>
          <w:szCs w:val="20"/>
        </w:rPr>
        <w:t xml:space="preserve">y </w:t>
      </w:r>
      <w:r w:rsidR="00762D03" w:rsidRPr="00505B50">
        <w:rPr>
          <w:rFonts w:cs="TimesNewRomanPS-BoldItalicMT"/>
          <w:bCs/>
          <w:iCs/>
          <w:szCs w:val="20"/>
        </w:rPr>
        <w:t xml:space="preserve">przekraczać </w:t>
      </w:r>
      <w:r w:rsidR="00505B50" w:rsidRPr="00505B50">
        <w:rPr>
          <w:rFonts w:cs="TimesNewRomanPS-BoldItalicMT"/>
          <w:bCs/>
          <w:iCs/>
          <w:szCs w:val="20"/>
        </w:rPr>
        <w:t xml:space="preserve">wysokości </w:t>
      </w:r>
      <w:r w:rsidR="00762D03" w:rsidRPr="00505B50">
        <w:rPr>
          <w:rFonts w:cs="TimesNewRomanPS-BoldItalicMT"/>
          <w:bCs/>
          <w:iCs/>
          <w:szCs w:val="20"/>
        </w:rPr>
        <w:t>25 cm powyżej poziomu ziemi lub śniegu.</w:t>
      </w:r>
    </w:p>
    <w:p w14:paraId="4BB47A28" w14:textId="5B3CC123" w:rsidR="00133B99" w:rsidRPr="009E064B" w:rsidRDefault="00133B99" w:rsidP="00133B99">
      <w:pPr>
        <w:pStyle w:val="Nagwek6"/>
      </w:pPr>
      <w:bookmarkStart w:id="1953" w:name="_Toc12533403"/>
      <w:r w:rsidRPr="009E064B">
        <w:t>GM1 HPT-DSN.</w:t>
      </w:r>
      <w:r w:rsidR="00673A16">
        <w:t>F.67</w:t>
      </w:r>
      <w:r>
        <w:t>0</w:t>
      </w:r>
      <w:r w:rsidRPr="009E064B">
        <w:t xml:space="preserve">     </w:t>
      </w:r>
      <w:r w:rsidR="00046E75" w:rsidRPr="00900AA5">
        <w:t xml:space="preserve">System świateł strefy </w:t>
      </w:r>
      <w:r w:rsidR="00046E75" w:rsidRPr="00046E75">
        <w:t>podejścia końcowego i startu</w:t>
      </w:r>
      <w:r w:rsidR="00046E75">
        <w:t xml:space="preserve"> (</w:t>
      </w:r>
      <w:r w:rsidR="00046E75" w:rsidRPr="00900AA5">
        <w:t>FATO</w:t>
      </w:r>
      <w:r w:rsidR="00046E75">
        <w:t>)</w:t>
      </w:r>
      <w:bookmarkEnd w:id="1953"/>
    </w:p>
    <w:p w14:paraId="65BF3588" w14:textId="3C601C1A"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73759CE9" w14:textId="748695F3" w:rsidR="00133B99" w:rsidRPr="00505B50" w:rsidRDefault="004B5AFA" w:rsidP="00133B99">
      <w:pPr>
        <w:tabs>
          <w:tab w:val="left" w:pos="567"/>
        </w:tabs>
        <w:autoSpaceDE w:val="0"/>
        <w:autoSpaceDN w:val="0"/>
        <w:adjustRightInd w:val="0"/>
        <w:ind w:left="567" w:hanging="567"/>
        <w:rPr>
          <w:rFonts w:eastAsia="Verdana" w:cs="Verdana"/>
          <w:bCs/>
          <w:szCs w:val="20"/>
        </w:rPr>
      </w:pPr>
      <w:r w:rsidRPr="00505B50">
        <w:rPr>
          <w:rFonts w:cs="TimesNewRomanPS-BoldItalicMT"/>
          <w:bCs/>
          <w:iCs/>
          <w:szCs w:val="20"/>
        </w:rPr>
        <w:t>Celowo pozostawiono puste.</w:t>
      </w:r>
    </w:p>
    <w:p w14:paraId="5AC38EA9" w14:textId="1107CDC4" w:rsidR="00133B99" w:rsidRPr="009E064B" w:rsidRDefault="005077FB" w:rsidP="00133B99">
      <w:pPr>
        <w:pStyle w:val="Nagwek4"/>
        <w:rPr>
          <w:color w:val="auto"/>
        </w:rPr>
      </w:pPr>
      <w:bookmarkStart w:id="1954" w:name="_Toc12533404"/>
      <w:r w:rsidRPr="00DA54CB">
        <w:rPr>
          <w:color w:val="auto"/>
        </w:rPr>
        <w:t>CS HPT-DSN.F.68</w:t>
      </w:r>
      <w:r w:rsidR="00133B99" w:rsidRPr="00DA54CB">
        <w:rPr>
          <w:color w:val="auto"/>
        </w:rPr>
        <w:t>0</w:t>
      </w:r>
      <w:r w:rsidR="00133B99" w:rsidRPr="00DA54CB">
        <w:rPr>
          <w:b w:val="0"/>
          <w:bCs w:val="0"/>
          <w:color w:val="FFFFFF"/>
          <w:sz w:val="32"/>
          <w:szCs w:val="32"/>
        </w:rPr>
        <w:t xml:space="preserve">     </w:t>
      </w:r>
      <w:r w:rsidRPr="00DA54CB">
        <w:t>Światła punktu celowania</w:t>
      </w:r>
      <w:bookmarkEnd w:id="1954"/>
      <w:r w:rsidRPr="00900AA5">
        <w:t xml:space="preserve"> </w:t>
      </w:r>
    </w:p>
    <w:p w14:paraId="1B44D4EB" w14:textId="5C46F843"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38787B2" w14:textId="267EBDA2" w:rsidR="004B5AFA" w:rsidRPr="00505B50" w:rsidRDefault="00133B99" w:rsidP="004B5AFA">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(a)</w:t>
      </w:r>
      <w:r w:rsidRPr="00505B50">
        <w:rPr>
          <w:rFonts w:cs="TimesNewRomanPS-BoldItalicMT"/>
          <w:bCs/>
          <w:iCs/>
          <w:szCs w:val="20"/>
        </w:rPr>
        <w:tab/>
      </w:r>
      <w:r w:rsidR="004B5AFA" w:rsidRPr="00505B50">
        <w:rPr>
          <w:rFonts w:cs="TimesNewRomanPS-BoldItalicMT"/>
          <w:bCs/>
          <w:iCs/>
          <w:szCs w:val="20"/>
        </w:rPr>
        <w:t>Zastosowanie:</w:t>
      </w:r>
      <w:r w:rsidR="00514D28" w:rsidRPr="00505B50">
        <w:rPr>
          <w:rFonts w:cs="TimesNewRomanPS-BoldItalicMT"/>
          <w:bCs/>
          <w:iCs/>
          <w:szCs w:val="20"/>
        </w:rPr>
        <w:t xml:space="preserve"> </w:t>
      </w:r>
      <w:r w:rsidR="004B5AFA" w:rsidRPr="00505B50">
        <w:rPr>
          <w:rFonts w:cs="TimesNewRomanPS-BoldItalicMT"/>
          <w:bCs/>
          <w:iCs/>
          <w:szCs w:val="20"/>
        </w:rPr>
        <w:t>Światła punktu celowania powinny być zapewnione, gdy ozna</w:t>
      </w:r>
      <w:r w:rsidR="00514D28" w:rsidRPr="00505B50">
        <w:rPr>
          <w:rFonts w:cs="TimesNewRomanPS-BoldItalicMT"/>
          <w:bCs/>
          <w:iCs/>
          <w:szCs w:val="20"/>
        </w:rPr>
        <w:t>kowanie</w:t>
      </w:r>
      <w:r w:rsidR="004B5AFA" w:rsidRPr="00505B50">
        <w:rPr>
          <w:rFonts w:cs="TimesNewRomanPS-BoldItalicMT"/>
          <w:bCs/>
          <w:iCs/>
          <w:szCs w:val="20"/>
        </w:rPr>
        <w:t xml:space="preserve"> punktu celowania znajduje się na lotnisku dla </w:t>
      </w:r>
      <w:r w:rsidR="00514D28" w:rsidRPr="00505B50">
        <w:rPr>
          <w:rFonts w:cs="TimesNewRomanPS-BoldItalicMT"/>
          <w:bCs/>
          <w:iCs/>
          <w:szCs w:val="20"/>
        </w:rPr>
        <w:t>śmigłowców</w:t>
      </w:r>
      <w:r w:rsidR="004B5AFA" w:rsidRPr="00505B50">
        <w:rPr>
          <w:rFonts w:cs="TimesNewRomanPS-BoldItalicMT"/>
          <w:bCs/>
          <w:iCs/>
          <w:szCs w:val="20"/>
        </w:rPr>
        <w:t xml:space="preserve"> przeznaczonym do użytku w nocy.</w:t>
      </w:r>
    </w:p>
    <w:p w14:paraId="2F008A04" w14:textId="584100DF" w:rsidR="004B5AFA" w:rsidRPr="00505B50" w:rsidRDefault="00514D28" w:rsidP="00514D28">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 xml:space="preserve">(b) </w:t>
      </w:r>
      <w:r w:rsidRPr="00505B50">
        <w:rPr>
          <w:rFonts w:cs="TimesNewRomanPS-BoldItalicMT"/>
          <w:bCs/>
          <w:iCs/>
          <w:szCs w:val="20"/>
        </w:rPr>
        <w:tab/>
      </w:r>
      <w:r w:rsidR="004B5AFA" w:rsidRPr="00505B50">
        <w:rPr>
          <w:rFonts w:cs="TimesNewRomanPS-BoldItalicMT"/>
          <w:bCs/>
          <w:iCs/>
          <w:szCs w:val="20"/>
        </w:rPr>
        <w:t>Lokalizacja</w:t>
      </w:r>
      <w:r w:rsidRPr="00505B50">
        <w:rPr>
          <w:rFonts w:cs="TimesNewRomanPS-BoldItalicMT"/>
          <w:bCs/>
          <w:iCs/>
          <w:szCs w:val="20"/>
        </w:rPr>
        <w:t xml:space="preserve">: </w:t>
      </w:r>
      <w:r w:rsidR="004B5AFA" w:rsidRPr="00505B50">
        <w:rPr>
          <w:rFonts w:cs="TimesNewRomanPS-BoldItalicMT"/>
          <w:bCs/>
          <w:iCs/>
          <w:szCs w:val="20"/>
        </w:rPr>
        <w:t xml:space="preserve">Światła punktu celowania powinny być rozmieszczone razem z oznakowaniem </w:t>
      </w:r>
      <w:r w:rsidRPr="00505B50">
        <w:rPr>
          <w:rFonts w:cs="TimesNewRomanPS-BoldItalicMT"/>
          <w:bCs/>
          <w:iCs/>
          <w:szCs w:val="20"/>
        </w:rPr>
        <w:t>(</w:t>
      </w:r>
      <w:r w:rsidR="004B5AFA" w:rsidRPr="00505B50">
        <w:rPr>
          <w:rFonts w:cs="TimesNewRomanPS-BoldItalicMT"/>
          <w:bCs/>
          <w:iCs/>
          <w:szCs w:val="20"/>
        </w:rPr>
        <w:t>poziomym</w:t>
      </w:r>
      <w:r w:rsidRPr="00505B50">
        <w:rPr>
          <w:rFonts w:cs="TimesNewRomanPS-BoldItalicMT"/>
          <w:bCs/>
          <w:iCs/>
          <w:szCs w:val="20"/>
        </w:rPr>
        <w:t>)</w:t>
      </w:r>
      <w:r w:rsidR="004B5AFA" w:rsidRPr="00505B50">
        <w:rPr>
          <w:rFonts w:cs="TimesNewRomanPS-BoldItalicMT"/>
          <w:bCs/>
          <w:iCs/>
          <w:szCs w:val="20"/>
        </w:rPr>
        <w:t xml:space="preserve"> tego punktu celowania.</w:t>
      </w:r>
    </w:p>
    <w:p w14:paraId="42BB89E7" w14:textId="143BACB3" w:rsidR="004B5AFA" w:rsidRPr="00505B50" w:rsidRDefault="00514D28" w:rsidP="00514D28">
      <w:pPr>
        <w:tabs>
          <w:tab w:val="left" w:pos="567"/>
        </w:tabs>
        <w:autoSpaceDE w:val="0"/>
        <w:autoSpaceDN w:val="0"/>
        <w:adjustRightInd w:val="0"/>
        <w:ind w:left="567" w:hanging="567"/>
        <w:rPr>
          <w:rFonts w:cs="TimesNewRomanPS-BoldItalicMT"/>
          <w:bCs/>
          <w:iCs/>
          <w:szCs w:val="20"/>
        </w:rPr>
      </w:pPr>
      <w:r w:rsidRPr="00505B50">
        <w:rPr>
          <w:rFonts w:cs="TimesNewRomanPS-BoldItalicMT"/>
          <w:bCs/>
          <w:iCs/>
          <w:szCs w:val="20"/>
        </w:rPr>
        <w:t xml:space="preserve">(3) </w:t>
      </w:r>
      <w:r w:rsidRPr="00505B50">
        <w:rPr>
          <w:rFonts w:cs="TimesNewRomanPS-BoldItalicMT"/>
          <w:bCs/>
          <w:iCs/>
          <w:szCs w:val="20"/>
        </w:rPr>
        <w:tab/>
      </w:r>
      <w:r w:rsidR="004B5AFA" w:rsidRPr="00505B50">
        <w:rPr>
          <w:rFonts w:cs="TimesNewRomanPS-BoldItalicMT"/>
          <w:bCs/>
          <w:iCs/>
          <w:szCs w:val="20"/>
        </w:rPr>
        <w:t>Charakterystyka</w:t>
      </w:r>
      <w:r w:rsidRPr="00505B50">
        <w:rPr>
          <w:rFonts w:cs="TimesNewRomanPS-BoldItalicMT"/>
          <w:bCs/>
          <w:iCs/>
          <w:szCs w:val="20"/>
        </w:rPr>
        <w:t>:</w:t>
      </w:r>
    </w:p>
    <w:p w14:paraId="283F1B3D" w14:textId="779953C9" w:rsidR="00514D28" w:rsidRPr="00672F57" w:rsidRDefault="00514D28" w:rsidP="00514D28">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(1) </w:t>
      </w:r>
      <w:r w:rsidRPr="00672F57">
        <w:rPr>
          <w:rFonts w:cs="TimesNewRomanPS-BoldItalicMT"/>
          <w:bCs/>
          <w:iCs/>
          <w:szCs w:val="20"/>
        </w:rPr>
        <w:tab/>
      </w:r>
      <w:r w:rsidR="004B5AFA" w:rsidRPr="00672F57">
        <w:rPr>
          <w:rFonts w:cs="TimesNewRomanPS-BoldItalicMT"/>
          <w:bCs/>
          <w:iCs/>
          <w:szCs w:val="20"/>
        </w:rPr>
        <w:t xml:space="preserve">Światła punktu celowania powinny tworzyć </w:t>
      </w:r>
      <w:r w:rsidR="00672F57" w:rsidRPr="00672F57">
        <w:rPr>
          <w:rFonts w:cs="TimesNewRomanPS-BoldItalicMT"/>
          <w:bCs/>
          <w:iCs/>
          <w:szCs w:val="20"/>
        </w:rPr>
        <w:t>wzór</w:t>
      </w:r>
      <w:r w:rsidR="004B5AFA" w:rsidRPr="00672F57">
        <w:rPr>
          <w:rFonts w:cs="TimesNewRomanPS-BoldItalicMT"/>
          <w:bCs/>
          <w:iCs/>
          <w:szCs w:val="20"/>
        </w:rPr>
        <w:t xml:space="preserve">, co najmniej sześciu </w:t>
      </w:r>
      <w:r w:rsidRPr="00672F57">
        <w:rPr>
          <w:rFonts w:cs="TimesNewRomanPS-BoldItalicMT"/>
          <w:bCs/>
          <w:iCs/>
          <w:szCs w:val="20"/>
        </w:rPr>
        <w:t xml:space="preserve">świateł </w:t>
      </w:r>
      <w:r w:rsidR="00672F57" w:rsidRPr="00672F57">
        <w:rPr>
          <w:rFonts w:cs="TimesNewRomanPS-BoldItalicMT"/>
          <w:bCs/>
          <w:iCs/>
          <w:szCs w:val="20"/>
        </w:rPr>
        <w:t>dookólnych koloru białego</w:t>
      </w:r>
      <w:r w:rsidRPr="00672F57">
        <w:rPr>
          <w:rFonts w:cs="TimesNewRomanPS-BoldItalicMT"/>
          <w:bCs/>
          <w:iCs/>
          <w:szCs w:val="20"/>
        </w:rPr>
        <w:t xml:space="preserve"> (patrz</w:t>
      </w:r>
      <w:r w:rsidR="004B5AFA" w:rsidRPr="00672F57">
        <w:rPr>
          <w:rFonts w:cs="TimesNewRomanPS-BoldItalicMT"/>
          <w:bCs/>
          <w:iCs/>
          <w:szCs w:val="20"/>
        </w:rPr>
        <w:t xml:space="preserve"> Rysun</w:t>
      </w:r>
      <w:r w:rsidRPr="00672F57">
        <w:rPr>
          <w:rFonts w:cs="TimesNewRomanPS-BoldItalicMT"/>
          <w:bCs/>
          <w:iCs/>
          <w:szCs w:val="20"/>
        </w:rPr>
        <w:t>e</w:t>
      </w:r>
      <w:r w:rsidR="004B5AFA" w:rsidRPr="00672F57">
        <w:rPr>
          <w:rFonts w:cs="TimesNewRomanPS-BoldItalicMT"/>
          <w:bCs/>
          <w:iCs/>
          <w:szCs w:val="20"/>
        </w:rPr>
        <w:t>k</w:t>
      </w:r>
      <w:r w:rsidRPr="00672F57">
        <w:rPr>
          <w:rFonts w:cs="TimesNewRomanPS-BoldItalicMT"/>
          <w:bCs/>
          <w:iCs/>
          <w:szCs w:val="20"/>
        </w:rPr>
        <w:t xml:space="preserve"> F-12)</w:t>
      </w:r>
      <w:r w:rsidR="004B5AFA" w:rsidRPr="00672F57">
        <w:rPr>
          <w:rFonts w:cs="TimesNewRomanPS-BoldItalicMT"/>
          <w:bCs/>
          <w:iCs/>
          <w:szCs w:val="20"/>
        </w:rPr>
        <w:t xml:space="preserve">. </w:t>
      </w:r>
    </w:p>
    <w:p w14:paraId="2FA64394" w14:textId="02BA752F" w:rsidR="004B5AFA" w:rsidRPr="00672F57" w:rsidRDefault="00514D28" w:rsidP="00514D28">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(2) </w:t>
      </w:r>
      <w:r w:rsidRPr="00672F57">
        <w:rPr>
          <w:rFonts w:cs="TimesNewRomanPS-BoldItalicMT"/>
          <w:bCs/>
          <w:iCs/>
          <w:szCs w:val="20"/>
        </w:rPr>
        <w:tab/>
      </w:r>
      <w:r w:rsidR="004B5AFA" w:rsidRPr="00672F57">
        <w:rPr>
          <w:rFonts w:cs="TimesNewRomanPS-BoldItalicMT"/>
          <w:bCs/>
          <w:iCs/>
          <w:szCs w:val="20"/>
        </w:rPr>
        <w:t xml:space="preserve">Jeśli istnieje </w:t>
      </w:r>
      <w:r w:rsidRPr="00672F57">
        <w:rPr>
          <w:rFonts w:cs="TimesNewRomanPS-BoldItalicMT"/>
          <w:bCs/>
          <w:iCs/>
          <w:szCs w:val="20"/>
        </w:rPr>
        <w:t>zagrożenie</w:t>
      </w:r>
      <w:r w:rsidR="004B5AFA" w:rsidRPr="00672F57">
        <w:rPr>
          <w:rFonts w:cs="TimesNewRomanPS-BoldItalicMT"/>
          <w:bCs/>
          <w:iCs/>
          <w:szCs w:val="20"/>
        </w:rPr>
        <w:t xml:space="preserve">, że światła wystające ponad powierzchnię mogą zagrażać operacjom śmigłowców, </w:t>
      </w:r>
      <w:r w:rsidRPr="00672F57">
        <w:rPr>
          <w:rFonts w:cs="TimesNewRomanPS-BoldItalicMT"/>
          <w:bCs/>
          <w:iCs/>
          <w:szCs w:val="20"/>
        </w:rPr>
        <w:t xml:space="preserve">to </w:t>
      </w:r>
      <w:r w:rsidR="004B5AFA" w:rsidRPr="00672F57">
        <w:rPr>
          <w:rFonts w:cs="TimesNewRomanPS-BoldItalicMT"/>
          <w:bCs/>
          <w:iCs/>
          <w:szCs w:val="20"/>
        </w:rPr>
        <w:t>powinny być zagłębione.</w:t>
      </w:r>
    </w:p>
    <w:p w14:paraId="187B4462" w14:textId="3D5AA20B" w:rsidR="004B5AFA" w:rsidRPr="00672F57" w:rsidRDefault="00514D28" w:rsidP="00514D28">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(3) </w:t>
      </w:r>
      <w:r w:rsidRPr="00672F57">
        <w:rPr>
          <w:rFonts w:cs="TimesNewRomanPS-BoldItalicMT"/>
          <w:bCs/>
          <w:iCs/>
          <w:szCs w:val="20"/>
        </w:rPr>
        <w:tab/>
      </w:r>
      <w:r w:rsidR="004B5AFA" w:rsidRPr="00672F57">
        <w:rPr>
          <w:rFonts w:cs="TimesNewRomanPS-BoldItalicMT"/>
          <w:bCs/>
          <w:iCs/>
          <w:szCs w:val="20"/>
        </w:rPr>
        <w:t>Rozkład światła emitowanego przez światł</w:t>
      </w:r>
      <w:r w:rsidRPr="00672F57">
        <w:rPr>
          <w:rFonts w:cs="TimesNewRomanPS-BoldItalicMT"/>
          <w:bCs/>
          <w:iCs/>
          <w:szCs w:val="20"/>
        </w:rPr>
        <w:t>a</w:t>
      </w:r>
      <w:r w:rsidR="004B5AFA" w:rsidRPr="00672F57">
        <w:rPr>
          <w:rFonts w:cs="TimesNewRomanPS-BoldItalicMT"/>
          <w:bCs/>
          <w:iCs/>
          <w:szCs w:val="20"/>
        </w:rPr>
        <w:t xml:space="preserve"> punktu celowania powinien być taki, jak pokazano na Rysunku </w:t>
      </w:r>
      <w:r w:rsidRPr="00672F57">
        <w:rPr>
          <w:rFonts w:cs="TimesNewRomanPS-BoldItalicMT"/>
          <w:bCs/>
          <w:iCs/>
          <w:szCs w:val="20"/>
        </w:rPr>
        <w:t>F-9, ilustracja 4</w:t>
      </w:r>
      <w:r w:rsidR="004B5AFA" w:rsidRPr="00672F57">
        <w:rPr>
          <w:rFonts w:cs="TimesNewRomanPS-BoldItalicMT"/>
          <w:bCs/>
          <w:iCs/>
          <w:szCs w:val="20"/>
        </w:rPr>
        <w:t>.</w:t>
      </w:r>
    </w:p>
    <w:p w14:paraId="01A2C12F" w14:textId="77777777" w:rsidR="00133B99" w:rsidRDefault="00133B99" w:rsidP="00514D28">
      <w:pPr>
        <w:spacing w:after="0"/>
      </w:pPr>
    </w:p>
    <w:p w14:paraId="139E6503" w14:textId="77777777" w:rsidR="00514D28" w:rsidRPr="00900AA5" w:rsidRDefault="00514D28" w:rsidP="00514D28">
      <w:pPr>
        <w:pStyle w:val="Style108"/>
        <w:widowControl/>
        <w:jc w:val="center"/>
        <w:rPr>
          <w:rFonts w:ascii="Times New Roman" w:hAnsi="Times New Roman"/>
          <w:sz w:val="20"/>
          <w:szCs w:val="20"/>
        </w:rPr>
      </w:pPr>
      <w:r w:rsidRPr="00900AA5">
        <w:rPr>
          <w:noProof/>
        </w:rPr>
        <mc:AlternateContent>
          <mc:Choice Requires="wpg">
            <w:drawing>
              <wp:anchor distT="0" distB="0" distL="114300" distR="114300" simplePos="0" relativeHeight="251704832" behindDoc="0" locked="0" layoutInCell="1" allowOverlap="1" wp14:anchorId="12AF1ABD" wp14:editId="62A17E47">
                <wp:simplePos x="0" y="0"/>
                <wp:positionH relativeFrom="column">
                  <wp:posOffset>996950</wp:posOffset>
                </wp:positionH>
                <wp:positionV relativeFrom="paragraph">
                  <wp:posOffset>1195070</wp:posOffset>
                </wp:positionV>
                <wp:extent cx="3322955" cy="2158365"/>
                <wp:effectExtent l="0" t="0" r="0" b="0"/>
                <wp:wrapNone/>
                <wp:docPr id="1449" name="Grupa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2955" cy="2158365"/>
                          <a:chOff x="3088" y="10745"/>
                          <a:chExt cx="5233" cy="3399"/>
                        </a:xfrm>
                      </wpg:grpSpPr>
                      <wpg:grpSp>
                        <wpg:cNvPr id="1450" name="Group 514"/>
                        <wpg:cNvGrpSpPr>
                          <a:grpSpLocks/>
                        </wpg:cNvGrpSpPr>
                        <wpg:grpSpPr bwMode="auto">
                          <a:xfrm>
                            <a:off x="3691" y="11030"/>
                            <a:ext cx="4458" cy="2970"/>
                            <a:chOff x="3691" y="11030"/>
                            <a:chExt cx="4458" cy="2970"/>
                          </a:xfrm>
                        </wpg:grpSpPr>
                        <wps:wsp>
                          <wps:cNvPr id="1451" name="AutoShape 515"/>
                          <wps:cNvCnPr>
                            <a:cxnSpLocks noChangeShapeType="1"/>
                          </wps:cNvCnPr>
                          <wps:spPr bwMode="auto">
                            <a:xfrm>
                              <a:off x="3691" y="13486"/>
                              <a:ext cx="0" cy="514"/>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52" name="AutoShape 516"/>
                          <wps:cNvCnPr>
                            <a:cxnSpLocks noChangeShapeType="1"/>
                          </wps:cNvCnPr>
                          <wps:spPr bwMode="auto">
                            <a:xfrm>
                              <a:off x="8149" y="13486"/>
                              <a:ext cx="0" cy="514"/>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53" name="AutoShape 517"/>
                          <wps:cNvCnPr>
                            <a:cxnSpLocks noChangeShapeType="1"/>
                          </wps:cNvCnPr>
                          <wps:spPr bwMode="auto">
                            <a:xfrm>
                              <a:off x="3691" y="13978"/>
                              <a:ext cx="4458" cy="0"/>
                            </a:xfrm>
                            <a:prstGeom prst="straightConnector1">
                              <a:avLst/>
                            </a:prstGeom>
                            <a:noFill/>
                            <a:ln w="63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454" name="AutoShape 518"/>
                          <wps:cNvCnPr>
                            <a:cxnSpLocks noChangeShapeType="1"/>
                          </wps:cNvCnPr>
                          <wps:spPr bwMode="auto">
                            <a:xfrm>
                              <a:off x="3730" y="11030"/>
                              <a:ext cx="1165" cy="423"/>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5" name="AutoShape 519"/>
                          <wps:cNvCnPr>
                            <a:cxnSpLocks noChangeShapeType="1"/>
                          </wps:cNvCnPr>
                          <wps:spPr bwMode="auto">
                            <a:xfrm flipV="1">
                              <a:off x="6731" y="12298"/>
                              <a:ext cx="364" cy="216"/>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6" name="AutoShape 520"/>
                          <wps:cNvCnPr>
                            <a:cxnSpLocks noChangeShapeType="1"/>
                          </wps:cNvCnPr>
                          <wps:spPr bwMode="auto">
                            <a:xfrm flipH="1">
                              <a:off x="7417" y="11862"/>
                              <a:ext cx="459" cy="28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57" name="Group 521"/>
                        <wpg:cNvGrpSpPr>
                          <a:grpSpLocks/>
                        </wpg:cNvGrpSpPr>
                        <wpg:grpSpPr bwMode="auto">
                          <a:xfrm>
                            <a:off x="3088" y="10745"/>
                            <a:ext cx="5233" cy="3399"/>
                            <a:chOff x="3088" y="10745"/>
                            <a:chExt cx="5233" cy="3399"/>
                          </a:xfrm>
                        </wpg:grpSpPr>
                        <wps:wsp>
                          <wps:cNvPr id="1458" name="Text Box 522"/>
                          <wps:cNvSpPr txBox="1">
                            <a:spLocks noChangeArrowheads="1"/>
                          </wps:cNvSpPr>
                          <wps:spPr bwMode="auto">
                            <a:xfrm>
                              <a:off x="7763" y="11659"/>
                              <a:ext cx="558"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87423" w14:textId="77777777" w:rsidR="003832F2" w:rsidRPr="007C23FC" w:rsidRDefault="003832F2" w:rsidP="00514D28">
                                <w:pPr>
                                  <w:jc w:val="center"/>
                                  <w:rPr>
                                    <w:rFonts w:ascii="Arial Narrow" w:hAnsi="Arial Narrow"/>
                                  </w:rPr>
                                </w:pPr>
                                <w:r>
                                  <w:rPr>
                                    <w:rFonts w:ascii="Arial Narrow" w:hAnsi="Arial Narrow"/>
                                  </w:rPr>
                                  <w:t>1 m</w:t>
                                </w:r>
                              </w:p>
                            </w:txbxContent>
                          </wps:txbx>
                          <wps:bodyPr rot="0" vert="horz" wrap="square" lIns="18000" tIns="18000" rIns="18000" bIns="18000" anchor="ctr" anchorCtr="0" upright="1">
                            <a:spAutoFit/>
                          </wps:bodyPr>
                        </wps:wsp>
                        <wps:wsp>
                          <wps:cNvPr id="1459" name="Text Box 523"/>
                          <wps:cNvSpPr txBox="1">
                            <a:spLocks noChangeArrowheads="1"/>
                          </wps:cNvSpPr>
                          <wps:spPr bwMode="auto">
                            <a:xfrm>
                              <a:off x="3088" y="10745"/>
                              <a:ext cx="89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C1BBD" w14:textId="77777777" w:rsidR="003832F2" w:rsidRPr="007C23FC" w:rsidRDefault="003832F2" w:rsidP="00514D28">
                                <w:pPr>
                                  <w:jc w:val="center"/>
                                  <w:rPr>
                                    <w:rFonts w:ascii="Arial Narrow" w:hAnsi="Arial Narrow"/>
                                  </w:rPr>
                                </w:pPr>
                                <w:r>
                                  <w:rPr>
                                    <w:rFonts w:ascii="Arial Narrow" w:hAnsi="Arial Narrow"/>
                                  </w:rPr>
                                  <w:t>Światło</w:t>
                                </w:r>
                              </w:p>
                            </w:txbxContent>
                          </wps:txbx>
                          <wps:bodyPr rot="0" vert="horz" wrap="square" lIns="18000" tIns="18000" rIns="18000" bIns="18000" anchor="ctr" anchorCtr="0" upright="1">
                            <a:spAutoFit/>
                          </wps:bodyPr>
                        </wps:wsp>
                        <wps:wsp>
                          <wps:cNvPr id="1460" name="Text Box 524"/>
                          <wps:cNvSpPr txBox="1">
                            <a:spLocks noChangeArrowheads="1"/>
                          </wps:cNvSpPr>
                          <wps:spPr bwMode="auto">
                            <a:xfrm>
                              <a:off x="5671" y="13715"/>
                              <a:ext cx="558"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DC242" w14:textId="77777777" w:rsidR="003832F2" w:rsidRPr="007C23FC" w:rsidRDefault="003832F2" w:rsidP="00514D28">
                                <w:pPr>
                                  <w:jc w:val="center"/>
                                  <w:rPr>
                                    <w:rFonts w:ascii="Arial Narrow" w:hAnsi="Arial Narrow"/>
                                  </w:rPr>
                                </w:pPr>
                                <w:r>
                                  <w:rPr>
                                    <w:rFonts w:ascii="Arial Narrow" w:hAnsi="Arial Narrow"/>
                                  </w:rPr>
                                  <w:t>9 m</w:t>
                                </w:r>
                              </w:p>
                            </w:txbxContent>
                          </wps:txbx>
                          <wps:bodyPr rot="0" vert="horz" wrap="square" lIns="18000" tIns="18000" rIns="18000" bIns="18000" anchor="ctr" anchorCtr="0" upright="1">
                            <a:sp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AF1ABD" id="Grupa 1449" o:spid="_x0000_s1303" style="position:absolute;left:0;text-align:left;margin-left:78.5pt;margin-top:94.1pt;width:261.65pt;height:169.95pt;z-index:251704832;mso-position-horizontal-relative:text;mso-position-vertical-relative:text" coordorigin="3088,10745" coordsize="5233,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">
                <v:group id="Group 514" o:spid="_x0000_s1304" style="position:absolute;left:3691;top:11030;width:4458;height:2970" coordorigin="3691,11030" coordsize="4458,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pn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wyzcygl7+AgAA//8DAFBLAQItABQABgAIAAAAIQDb4fbL7gAAAIUBAAATAAAAAAAA&#10;AAAAAAAAAAAAAABbQ29udGVudF9UeXBlc10ueG1sUEsBAi0AFAAGAAgAAAAhAFr0LFu/AAAAFQEA&#10;AAsAAAAAAAAAAAAAAAAAHwEAAF9yZWxzLy5yZWxzUEsBAi0AFAAGAAgAAAAhAGem6mfHAAAA3QAA&#10;AA8AAAAAAAAAAAAAAAAABwIAAGRycy9kb3ducmV2LnhtbFBLBQYAAAAAAwADALcAAAD7AgAAAAA=&#10;">
                  <v:shape id="AutoShape 515" o:spid="_x0000_s1305" type="#_x0000_t32" style="position:absolute;left:3691;top:13486;width:0;height: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" strokeweight=".5pt"/>
                  <v:shape id="AutoShape 516" o:spid="_x0000_s1306" type="#_x0000_t32" style="position:absolute;left:8149;top:13486;width:0;height: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" strokeweight=".5pt"/>
                  <v:shape id="AutoShape 517" o:spid="_x0000_s1307" type="#_x0000_t32" style="position:absolute;left:3691;top:13978;width:44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" strokeweight=".5pt">
                    <v:stroke startarrow="block" endarrow="block"/>
                  </v:shape>
                  <v:shape id="AutoShape 518" o:spid="_x0000_s1308" type="#_x0000_t32" style="position:absolute;left:3730;top:11030;width:1165;height:4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" strokeweight=".5pt">
                    <v:stroke endarrow="block"/>
                  </v:shape>
                  <v:shape id="AutoShape 519" o:spid="_x0000_s1309" type="#_x0000_t32" style="position:absolute;left:6731;top:12298;width:364;height:2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" strokeweight=".5pt">
                    <v:stroke endarrow="block"/>
                  </v:shape>
                  <v:shape id="AutoShape 520" o:spid="_x0000_s1310" type="#_x0000_t32" style="position:absolute;left:7417;top:11862;width:459;height:2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" strokeweight=".5pt">
                    <v:stroke endarrow="block"/>
                  </v:shape>
                </v:group>
                <v:group id="Group 521" o:spid="_x0000_s1311" style="position:absolute;left:3088;top:10745;width:5233;height:3399" coordorigin="3088,10745" coordsize="5233,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">
                  <v:shape id="Text Box 522" o:spid="_x0000_s1312" type="#_x0000_t202" style="position:absolute;left:7763;top:11659;width:558;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" filled="f" stroked="f">
                    <v:textbox style="mso-fit-shape-to-text:t" inset=".5mm,.5mm,.5mm,.5mm">
                      <w:txbxContent>
                        <w:p w14:paraId="05587423" w14:textId="77777777" w:rsidR="003832F2" w:rsidRPr="007C23FC" w:rsidRDefault="003832F2" w:rsidP="00514D28">
                          <w:pPr>
                            <w:jc w:val="center"/>
                            <w:rPr>
                              <w:rFonts w:ascii="Arial Narrow" w:hAnsi="Arial Narrow"/>
                            </w:rPr>
                          </w:pPr>
                          <w:r>
                            <w:rPr>
                              <w:rFonts w:ascii="Arial Narrow" w:hAnsi="Arial Narrow"/>
                            </w:rPr>
                            <w:t>1 m</w:t>
                          </w:r>
                        </w:p>
                      </w:txbxContent>
                    </v:textbox>
                  </v:shape>
                  <v:shape id="Text Box 523" o:spid="_x0000_s1313" type="#_x0000_t202" style="position:absolute;left:3088;top:10745;width:890;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" filled="f" stroked="f">
                    <v:textbox style="mso-fit-shape-to-text:t" inset=".5mm,.5mm,.5mm,.5mm">
                      <w:txbxContent>
                        <w:p w14:paraId="2D6C1BBD" w14:textId="77777777" w:rsidR="003832F2" w:rsidRPr="007C23FC" w:rsidRDefault="003832F2" w:rsidP="00514D28">
                          <w:pPr>
                            <w:jc w:val="center"/>
                            <w:rPr>
                              <w:rFonts w:ascii="Arial Narrow" w:hAnsi="Arial Narrow"/>
                            </w:rPr>
                          </w:pPr>
                          <w:r>
                            <w:rPr>
                              <w:rFonts w:ascii="Arial Narrow" w:hAnsi="Arial Narrow"/>
                            </w:rPr>
                            <w:t>Światło</w:t>
                          </w:r>
                        </w:p>
                      </w:txbxContent>
                    </v:textbox>
                  </v:shape>
                  <v:shape id="Text Box 524" o:spid="_x0000_s1314" type="#_x0000_t202" style="position:absolute;left:5671;top:13715;width:558;height: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" filled="f" stroked="f">
                    <v:textbox style="mso-fit-shape-to-text:t" inset=".5mm,.5mm,.5mm,.5mm">
                      <w:txbxContent>
                        <w:p w14:paraId="2FFDC242" w14:textId="77777777" w:rsidR="003832F2" w:rsidRPr="007C23FC" w:rsidRDefault="003832F2" w:rsidP="00514D28">
                          <w:pPr>
                            <w:jc w:val="center"/>
                            <w:rPr>
                              <w:rFonts w:ascii="Arial Narrow" w:hAnsi="Arial Narrow"/>
                            </w:rPr>
                          </w:pPr>
                          <w:r>
                            <w:rPr>
                              <w:rFonts w:ascii="Arial Narrow" w:hAnsi="Arial Narrow"/>
                            </w:rPr>
                            <w:t>9 m</w:t>
                          </w:r>
                        </w:p>
                      </w:txbxContent>
                    </v:textbox>
                  </v:shape>
                </v:group>
              </v:group>
            </w:pict>
          </mc:Fallback>
        </mc:AlternateContent>
      </w:r>
      <w:r w:rsidRPr="00900AA5">
        <w:rPr>
          <w:rFonts w:ascii="Times New Roman" w:hAnsi="Times New Roman"/>
          <w:noProof/>
          <w:sz w:val="20"/>
          <w:szCs w:val="20"/>
        </w:rPr>
        <w:drawing>
          <wp:inline distT="0" distB="0" distL="0" distR="0" wp14:anchorId="68765DC8" wp14:editId="1FF8A264">
            <wp:extent cx="4938395" cy="3914140"/>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938395" cy="3914140"/>
                    </a:xfrm>
                    <a:prstGeom prst="rect">
                      <a:avLst/>
                    </a:prstGeom>
                    <a:noFill/>
                  </pic:spPr>
                </pic:pic>
              </a:graphicData>
            </a:graphic>
          </wp:inline>
        </w:drawing>
      </w:r>
    </w:p>
    <w:p w14:paraId="3E95D372" w14:textId="77777777" w:rsidR="00514D28" w:rsidRPr="00900AA5" w:rsidRDefault="00514D28" w:rsidP="00514D28">
      <w:pPr>
        <w:pStyle w:val="Style108"/>
        <w:widowControl/>
        <w:rPr>
          <w:rFonts w:ascii="Times New Roman" w:hAnsi="Times New Roman"/>
          <w:sz w:val="20"/>
          <w:szCs w:val="20"/>
        </w:rPr>
      </w:pPr>
    </w:p>
    <w:p w14:paraId="5BD9DBA0" w14:textId="15FE180F" w:rsidR="00133B99" w:rsidRPr="00DB4FB6" w:rsidRDefault="00DB4FB6" w:rsidP="00514D28">
      <w:pPr>
        <w:tabs>
          <w:tab w:val="left" w:pos="567"/>
        </w:tabs>
        <w:autoSpaceDE w:val="0"/>
        <w:autoSpaceDN w:val="0"/>
        <w:adjustRightInd w:val="0"/>
        <w:ind w:left="567" w:hanging="567"/>
        <w:jc w:val="center"/>
        <w:rPr>
          <w:rFonts w:cs="TimesNewRomanPS-BoldItalicMT"/>
          <w:b/>
          <w:bCs/>
          <w:iCs/>
          <w:sz w:val="20"/>
          <w:szCs w:val="20"/>
        </w:rPr>
      </w:pPr>
      <w:r w:rsidRPr="00DB4FB6">
        <w:rPr>
          <w:b/>
          <w:sz w:val="20"/>
          <w:szCs w:val="20"/>
        </w:rPr>
        <w:t>Rysunek F-12</w:t>
      </w:r>
      <w:r w:rsidR="00514D28" w:rsidRPr="00DB4FB6">
        <w:rPr>
          <w:b/>
          <w:sz w:val="20"/>
          <w:szCs w:val="20"/>
        </w:rPr>
        <w:t xml:space="preserve">   Oznakowanie </w:t>
      </w:r>
      <w:r w:rsidR="000262FE">
        <w:rPr>
          <w:b/>
          <w:sz w:val="20"/>
          <w:szCs w:val="20"/>
        </w:rPr>
        <w:t xml:space="preserve">i światła </w:t>
      </w:r>
      <w:r w:rsidR="00514D28" w:rsidRPr="00DB4FB6">
        <w:rPr>
          <w:b/>
          <w:sz w:val="20"/>
          <w:szCs w:val="20"/>
        </w:rPr>
        <w:t>punktu celowania</w:t>
      </w:r>
    </w:p>
    <w:p w14:paraId="4FCB61C4" w14:textId="77777777" w:rsidR="00133B99" w:rsidRPr="00F20501" w:rsidRDefault="00133B99" w:rsidP="00133B99">
      <w:pPr>
        <w:tabs>
          <w:tab w:val="left" w:pos="567"/>
        </w:tabs>
        <w:autoSpaceDE w:val="0"/>
        <w:autoSpaceDN w:val="0"/>
        <w:adjustRightInd w:val="0"/>
        <w:ind w:left="567" w:hanging="567"/>
        <w:rPr>
          <w:rFonts w:cstheme="minorHAnsi"/>
          <w:color w:val="FFFFFF" w:themeColor="background1"/>
          <w:szCs w:val="20"/>
        </w:rPr>
      </w:pPr>
    </w:p>
    <w:p w14:paraId="48727CEF" w14:textId="661EA00A" w:rsidR="00133B99" w:rsidRPr="009E064B" w:rsidRDefault="00133B99" w:rsidP="00133B99">
      <w:pPr>
        <w:pStyle w:val="Nagwek6"/>
      </w:pPr>
      <w:bookmarkStart w:id="1955" w:name="_Toc12533405"/>
      <w:r w:rsidRPr="009E064B">
        <w:t>GM1 HPT-DSN.</w:t>
      </w:r>
      <w:r w:rsidR="005077FB">
        <w:t>F.68</w:t>
      </w:r>
      <w:r>
        <w:t>0</w:t>
      </w:r>
      <w:r w:rsidRPr="009E064B">
        <w:t xml:space="preserve">     </w:t>
      </w:r>
      <w:r w:rsidR="005077FB" w:rsidRPr="00900AA5">
        <w:t>Światła punktu celowania</w:t>
      </w:r>
      <w:bookmarkEnd w:id="1955"/>
      <w:r w:rsidR="005077FB" w:rsidRPr="00900AA5">
        <w:t xml:space="preserve"> </w:t>
      </w:r>
    </w:p>
    <w:p w14:paraId="6B2FC9C5" w14:textId="5B843D17" w:rsidR="00133B99" w:rsidRPr="009E064B" w:rsidRDefault="001F74A1" w:rsidP="00133B99">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35C6874" w14:textId="11624E01" w:rsidR="00133B99" w:rsidRPr="00672F57" w:rsidRDefault="00514D28" w:rsidP="00133B99">
      <w:pPr>
        <w:tabs>
          <w:tab w:val="left" w:pos="567"/>
        </w:tabs>
        <w:autoSpaceDE w:val="0"/>
        <w:autoSpaceDN w:val="0"/>
        <w:adjustRightInd w:val="0"/>
        <w:ind w:left="567" w:hanging="567"/>
        <w:rPr>
          <w:rFonts w:eastAsia="Verdana" w:cs="Verdana"/>
          <w:bCs/>
          <w:szCs w:val="20"/>
        </w:rPr>
      </w:pPr>
      <w:r w:rsidRPr="00672F57">
        <w:rPr>
          <w:rFonts w:cs="TimesNewRomanPS-BoldItalicMT"/>
          <w:bCs/>
          <w:iCs/>
          <w:szCs w:val="20"/>
        </w:rPr>
        <w:t>Celowo pozostawiono puste</w:t>
      </w:r>
    </w:p>
    <w:p w14:paraId="16CBF52E" w14:textId="3CAC5202" w:rsidR="005077FB" w:rsidRPr="009E064B" w:rsidRDefault="005077FB" w:rsidP="005077FB">
      <w:pPr>
        <w:pStyle w:val="Nagwek4"/>
        <w:rPr>
          <w:color w:val="auto"/>
        </w:rPr>
      </w:pPr>
      <w:bookmarkStart w:id="1956" w:name="_Toc12533406"/>
      <w:r w:rsidRPr="00DA54CB">
        <w:rPr>
          <w:color w:val="auto"/>
        </w:rPr>
        <w:t>CS HPT-DSN.F.690</w:t>
      </w:r>
      <w:r w:rsidRPr="00DA54CB">
        <w:rPr>
          <w:b w:val="0"/>
          <w:bCs w:val="0"/>
          <w:color w:val="FFFFFF"/>
          <w:sz w:val="32"/>
          <w:szCs w:val="32"/>
        </w:rPr>
        <w:t xml:space="preserve">     </w:t>
      </w:r>
      <w:r w:rsidRPr="00DA54CB">
        <w:t>System świateł strefy przyziemienia i wznoszenia (TLOF)</w:t>
      </w:r>
      <w:bookmarkEnd w:id="1956"/>
    </w:p>
    <w:p w14:paraId="298995AB" w14:textId="2B3CA257" w:rsidR="005077FB" w:rsidRPr="009E064B"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29592CB3" w14:textId="6FA8B218" w:rsidR="00CC37B4" w:rsidRPr="00672F57" w:rsidRDefault="005077FB" w:rsidP="00CC37B4">
      <w:pPr>
        <w:tabs>
          <w:tab w:val="left" w:pos="567"/>
        </w:tabs>
        <w:autoSpaceDE w:val="0"/>
        <w:autoSpaceDN w:val="0"/>
        <w:adjustRightInd w:val="0"/>
        <w:ind w:left="567" w:hanging="567"/>
        <w:rPr>
          <w:rFonts w:cs="TimesNewRomanPS-BoldItalicMT"/>
          <w:bCs/>
          <w:iCs/>
          <w:szCs w:val="20"/>
        </w:rPr>
      </w:pPr>
      <w:r w:rsidRPr="00672F57">
        <w:rPr>
          <w:rFonts w:cs="TimesNewRomanPS-BoldItalicMT"/>
          <w:bCs/>
          <w:iCs/>
          <w:szCs w:val="20"/>
        </w:rPr>
        <w:t>(a)</w:t>
      </w:r>
      <w:r w:rsidRPr="00672F57">
        <w:rPr>
          <w:rFonts w:cs="TimesNewRomanPS-BoldItalicMT"/>
          <w:bCs/>
          <w:iCs/>
          <w:szCs w:val="20"/>
        </w:rPr>
        <w:tab/>
      </w:r>
      <w:r w:rsidR="00CC37B4" w:rsidRPr="00672F57">
        <w:rPr>
          <w:rFonts w:cs="TimesNewRomanPS-BoldItalicMT"/>
          <w:bCs/>
          <w:iCs/>
          <w:szCs w:val="20"/>
        </w:rPr>
        <w:t>Zastosowanie</w:t>
      </w:r>
    </w:p>
    <w:p w14:paraId="5D148A98" w14:textId="3C785CA6" w:rsidR="00CC37B4" w:rsidRPr="00672F57" w:rsidRDefault="00CC37B4" w:rsidP="00CC37B4">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(1) </w:t>
      </w:r>
      <w:r w:rsidRPr="00672F57">
        <w:rPr>
          <w:rFonts w:cs="TimesNewRomanPS-BoldItalicMT"/>
          <w:bCs/>
          <w:iCs/>
          <w:szCs w:val="20"/>
        </w:rPr>
        <w:tab/>
        <w:t>System świateł strefy TLOF powinien być zapewniony na lotniskach dla śmigłowców przeznaczonych do użytkowania w nocy.</w:t>
      </w:r>
    </w:p>
    <w:p w14:paraId="7815D291" w14:textId="6ADDEB59" w:rsidR="00CC37B4" w:rsidRPr="00672F57" w:rsidRDefault="00CC37B4" w:rsidP="00CC37B4">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(2) </w:t>
      </w:r>
      <w:r w:rsidRPr="00672F57">
        <w:rPr>
          <w:rFonts w:cs="TimesNewRomanPS-BoldItalicMT"/>
          <w:bCs/>
          <w:iCs/>
          <w:szCs w:val="20"/>
        </w:rPr>
        <w:tab/>
        <w:t>System świateł strefy TLOF na lotniskach dla śmigłowców, powinien składać się z jednego lub więcej elementów takich jak:</w:t>
      </w:r>
    </w:p>
    <w:p w14:paraId="783BED59" w14:textId="0BD1A34C" w:rsidR="00CC37B4" w:rsidRPr="00672F57" w:rsidRDefault="00CC37B4" w:rsidP="00CC37B4">
      <w:pPr>
        <w:tabs>
          <w:tab w:val="left" w:pos="1701"/>
        </w:tabs>
        <w:autoSpaceDE w:val="0"/>
        <w:autoSpaceDN w:val="0"/>
        <w:adjustRightInd w:val="0"/>
        <w:ind w:left="1701" w:hanging="567"/>
        <w:rPr>
          <w:rFonts w:cs="TimesNewRomanPS-BoldItalicMT"/>
          <w:bCs/>
          <w:iCs/>
          <w:szCs w:val="20"/>
        </w:rPr>
      </w:pPr>
      <w:r w:rsidRPr="00672F57">
        <w:rPr>
          <w:rFonts w:cs="TimesNewRomanPS-BoldItalicMT"/>
          <w:bCs/>
          <w:iCs/>
          <w:szCs w:val="20"/>
        </w:rPr>
        <w:t>(i)</w:t>
      </w:r>
      <w:r w:rsidRPr="00672F57">
        <w:rPr>
          <w:rFonts w:cs="TimesNewRomanPS-BoldItalicMT"/>
          <w:bCs/>
          <w:iCs/>
          <w:szCs w:val="20"/>
        </w:rPr>
        <w:tab/>
        <w:t>światła obwodowe; lub</w:t>
      </w:r>
    </w:p>
    <w:p w14:paraId="2E0D6618" w14:textId="15D9B7E0" w:rsidR="00CC37B4" w:rsidRPr="00672F57" w:rsidRDefault="00CC37B4" w:rsidP="00CC37B4">
      <w:pPr>
        <w:tabs>
          <w:tab w:val="left" w:pos="1701"/>
        </w:tabs>
        <w:autoSpaceDE w:val="0"/>
        <w:autoSpaceDN w:val="0"/>
        <w:adjustRightInd w:val="0"/>
        <w:ind w:left="1701" w:hanging="567"/>
        <w:rPr>
          <w:rFonts w:cs="TimesNewRomanPS-BoldItalicMT"/>
          <w:bCs/>
          <w:iCs/>
          <w:szCs w:val="20"/>
        </w:rPr>
      </w:pPr>
      <w:r w:rsidRPr="00672F57">
        <w:rPr>
          <w:rFonts w:cs="TimesNewRomanPS-BoldItalicMT"/>
          <w:bCs/>
          <w:iCs/>
          <w:szCs w:val="20"/>
        </w:rPr>
        <w:t>(ii)</w:t>
      </w:r>
      <w:r w:rsidRPr="00672F57">
        <w:rPr>
          <w:rFonts w:cs="TimesNewRomanPS-BoldItalicMT"/>
          <w:bCs/>
          <w:iCs/>
          <w:szCs w:val="20"/>
        </w:rPr>
        <w:tab/>
        <w:t>światła szeroko-strumieniowe</w:t>
      </w:r>
      <w:r w:rsidRPr="00672F57">
        <w:rPr>
          <w:rStyle w:val="Odwoanieprzypisudolnego"/>
          <w:rFonts w:cs="TimesNewRomanPS-BoldItalicMT"/>
          <w:bCs/>
          <w:iCs/>
          <w:szCs w:val="20"/>
        </w:rPr>
        <w:footnoteReference w:id="58"/>
      </w:r>
      <w:r w:rsidRPr="00672F57">
        <w:rPr>
          <w:rFonts w:cs="TimesNewRomanPS-BoldItalicMT"/>
          <w:bCs/>
          <w:iCs/>
          <w:szCs w:val="20"/>
        </w:rPr>
        <w:t>; lub</w:t>
      </w:r>
    </w:p>
    <w:p w14:paraId="53127CCF" w14:textId="67416DD7" w:rsidR="00CC37B4" w:rsidRPr="00F50ACE" w:rsidRDefault="00CC37B4" w:rsidP="00CC37B4">
      <w:pPr>
        <w:tabs>
          <w:tab w:val="left" w:pos="1701"/>
        </w:tabs>
        <w:autoSpaceDE w:val="0"/>
        <w:autoSpaceDN w:val="0"/>
        <w:adjustRightInd w:val="0"/>
        <w:ind w:left="1701" w:hanging="567"/>
        <w:rPr>
          <w:rFonts w:cs="TimesNewRomanPS-BoldItalicMT"/>
          <w:bCs/>
          <w:iCs/>
          <w:szCs w:val="20"/>
        </w:rPr>
      </w:pPr>
      <w:r w:rsidRPr="00672F57">
        <w:rPr>
          <w:rFonts w:cs="TimesNewRomanPS-BoldItalicMT"/>
          <w:bCs/>
          <w:iCs/>
          <w:szCs w:val="20"/>
        </w:rPr>
        <w:t>(iii)</w:t>
      </w:r>
      <w:r w:rsidRPr="00672F57">
        <w:rPr>
          <w:rFonts w:cs="TimesNewRomanPS-BoldItalicMT"/>
          <w:bCs/>
          <w:iCs/>
          <w:szCs w:val="20"/>
        </w:rPr>
        <w:tab/>
        <w:t>wskaźniki segmentowego punktu źródła światła (ASPSL</w:t>
      </w:r>
      <w:r w:rsidRPr="00672F57">
        <w:rPr>
          <w:rStyle w:val="Odwoanieprzypisudolnego"/>
          <w:rFonts w:cs="TimesNewRomanPS-BoldItalicMT"/>
          <w:bCs/>
          <w:iCs/>
          <w:szCs w:val="20"/>
        </w:rPr>
        <w:footnoteReference w:id="59"/>
      </w:r>
      <w:r w:rsidRPr="00672F57">
        <w:rPr>
          <w:rFonts w:cs="TimesNewRomanPS-BoldItalicMT"/>
          <w:bCs/>
          <w:iCs/>
          <w:szCs w:val="20"/>
        </w:rPr>
        <w:t xml:space="preserve">) lub </w:t>
      </w:r>
      <w:r w:rsidRPr="00F50ACE">
        <w:rPr>
          <w:rFonts w:cs="TimesNewRomanPS-BoldItalicMT"/>
          <w:bCs/>
          <w:iCs/>
          <w:szCs w:val="20"/>
        </w:rPr>
        <w:t>panelu świetlnego (PL</w:t>
      </w:r>
      <w:r w:rsidRPr="00F50ACE">
        <w:rPr>
          <w:rStyle w:val="Odwoanieprzypisudolnego"/>
          <w:rFonts w:cs="TimesNewRomanPS-BoldItalicMT"/>
          <w:bCs/>
          <w:iCs/>
          <w:szCs w:val="20"/>
        </w:rPr>
        <w:footnoteReference w:id="60"/>
      </w:r>
      <w:r w:rsidRPr="00F50ACE">
        <w:rPr>
          <w:rFonts w:cs="TimesNewRomanPS-BoldItalicMT"/>
          <w:bCs/>
          <w:iCs/>
          <w:szCs w:val="20"/>
        </w:rPr>
        <w:t xml:space="preserve">) w celu identyfikacji TLOF w przypadku, gdy punkty (i) oraz (ii) </w:t>
      </w:r>
      <w:r w:rsidR="00672F57" w:rsidRPr="00F50ACE">
        <w:rPr>
          <w:rFonts w:cs="TimesNewRomanPS-BoldItalicMT"/>
          <w:bCs/>
          <w:iCs/>
          <w:szCs w:val="20"/>
        </w:rPr>
        <w:t xml:space="preserve">powyżej </w:t>
      </w:r>
      <w:r w:rsidRPr="00F50ACE">
        <w:rPr>
          <w:rFonts w:cs="TimesNewRomanPS-BoldItalicMT"/>
          <w:bCs/>
          <w:iCs/>
          <w:szCs w:val="20"/>
        </w:rPr>
        <w:t>nie mają praktycznego zastosowania i gdy światła strefy FATO są dostępne</w:t>
      </w:r>
      <w:r w:rsidR="00F50ACE">
        <w:rPr>
          <w:rFonts w:cs="TimesNewRomanPS-BoldItalicMT"/>
          <w:bCs/>
          <w:iCs/>
          <w:szCs w:val="20"/>
        </w:rPr>
        <w:t>.</w:t>
      </w:r>
    </w:p>
    <w:p w14:paraId="05561E5D" w14:textId="126B7048" w:rsidR="00CC37B4" w:rsidRPr="00F50ACE" w:rsidRDefault="00CC37B4" w:rsidP="00CC37B4">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 xml:space="preserve">(b) </w:t>
      </w:r>
      <w:r w:rsidRPr="00F50ACE">
        <w:rPr>
          <w:rFonts w:cs="TimesNewRomanPS-BoldItalicMT"/>
          <w:bCs/>
          <w:iCs/>
          <w:szCs w:val="20"/>
        </w:rPr>
        <w:tab/>
        <w:t>Lokalizacja:</w:t>
      </w:r>
    </w:p>
    <w:p w14:paraId="5AD4B15A" w14:textId="2AE71C24" w:rsidR="00CC37B4" w:rsidRPr="00672F57" w:rsidRDefault="00CC37B4" w:rsidP="00CC37B4">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(1) </w:t>
      </w:r>
      <w:r w:rsidRPr="00672F57">
        <w:rPr>
          <w:rFonts w:cs="TimesNewRomanPS-BoldItalicMT"/>
          <w:bCs/>
          <w:iCs/>
          <w:szCs w:val="20"/>
        </w:rPr>
        <w:tab/>
        <w:t>Światła obwodowe strefy TLOF powinny być rozmieszczone wzdłuż krawędzi obszaru</w:t>
      </w:r>
      <w:r w:rsidRPr="00672F57">
        <w:rPr>
          <w:szCs w:val="20"/>
        </w:rPr>
        <w:t xml:space="preserve"> </w:t>
      </w:r>
      <w:r w:rsidRPr="00672F57">
        <w:rPr>
          <w:rFonts w:cs="TimesNewRomanPS-BoldItalicMT"/>
          <w:bCs/>
          <w:iCs/>
          <w:szCs w:val="20"/>
        </w:rPr>
        <w:t xml:space="preserve">przeznaczonego do użytkowania jako strefa TLOF lub w odległości </w:t>
      </w:r>
      <w:r w:rsidR="00672F57" w:rsidRPr="00672F57">
        <w:rPr>
          <w:rFonts w:cs="TimesNewRomanPS-BoldItalicMT"/>
          <w:bCs/>
          <w:iCs/>
          <w:szCs w:val="20"/>
        </w:rPr>
        <w:t>do</w:t>
      </w:r>
      <w:r w:rsidRPr="00672F57">
        <w:rPr>
          <w:rFonts w:cs="TimesNewRomanPS-BoldItalicMT"/>
          <w:bCs/>
          <w:iCs/>
          <w:szCs w:val="20"/>
        </w:rPr>
        <w:t xml:space="preserve"> 1,5 m od tej krawędzi. </w:t>
      </w:r>
    </w:p>
    <w:p w14:paraId="53D77DDF" w14:textId="75F468F6" w:rsidR="00CC37B4" w:rsidRPr="00672F57" w:rsidRDefault="00CC37B4" w:rsidP="00CC37B4">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(2) </w:t>
      </w:r>
      <w:r w:rsidRPr="00672F57">
        <w:rPr>
          <w:rFonts w:cs="TimesNewRomanPS-BoldItalicMT"/>
          <w:bCs/>
          <w:iCs/>
          <w:szCs w:val="20"/>
        </w:rPr>
        <w:tab/>
        <w:t>W przypadku, gdy strefa TLOF jest w kształcie koła światła te powinny być:</w:t>
      </w:r>
    </w:p>
    <w:p w14:paraId="0D04B4AC" w14:textId="5F302B95" w:rsidR="00CC37B4" w:rsidRPr="00672F57" w:rsidRDefault="00CC37B4" w:rsidP="00CC37B4">
      <w:pPr>
        <w:tabs>
          <w:tab w:val="left" w:pos="1701"/>
        </w:tabs>
        <w:autoSpaceDE w:val="0"/>
        <w:autoSpaceDN w:val="0"/>
        <w:adjustRightInd w:val="0"/>
        <w:ind w:left="1701" w:hanging="567"/>
        <w:rPr>
          <w:rFonts w:cs="TimesNewRomanPS-BoldItalicMT"/>
          <w:bCs/>
          <w:iCs/>
          <w:szCs w:val="20"/>
        </w:rPr>
      </w:pPr>
      <w:r w:rsidRPr="00672F57">
        <w:rPr>
          <w:rFonts w:cs="TimesNewRomanPS-BoldItalicMT"/>
          <w:bCs/>
          <w:iCs/>
          <w:szCs w:val="20"/>
        </w:rPr>
        <w:t xml:space="preserve">(i) </w:t>
      </w:r>
      <w:r w:rsidRPr="00672F57">
        <w:rPr>
          <w:rFonts w:cs="TimesNewRomanPS-BoldItalicMT"/>
          <w:bCs/>
          <w:iCs/>
          <w:szCs w:val="20"/>
        </w:rPr>
        <w:tab/>
        <w:t>umieszczone na liniach prostych rozlokowanych w sposób informujący pilota o przemieszczeniach wywołanych znoszeniem; oraz</w:t>
      </w:r>
    </w:p>
    <w:p w14:paraId="0893EA1A" w14:textId="26B54DC9" w:rsidR="00CC37B4" w:rsidRPr="00672F57" w:rsidRDefault="00CC37B4" w:rsidP="00CC37B4">
      <w:pPr>
        <w:tabs>
          <w:tab w:val="left" w:pos="1701"/>
        </w:tabs>
        <w:autoSpaceDE w:val="0"/>
        <w:autoSpaceDN w:val="0"/>
        <w:adjustRightInd w:val="0"/>
        <w:ind w:left="1701" w:hanging="567"/>
        <w:rPr>
          <w:rFonts w:cs="TimesNewRomanPS-BoldItalicMT"/>
          <w:bCs/>
          <w:iCs/>
          <w:szCs w:val="20"/>
        </w:rPr>
      </w:pPr>
      <w:r w:rsidRPr="00672F57">
        <w:rPr>
          <w:rFonts w:cs="TimesNewRomanPS-BoldItalicMT"/>
          <w:bCs/>
          <w:iCs/>
          <w:szCs w:val="20"/>
        </w:rPr>
        <w:t xml:space="preserve">(ii) </w:t>
      </w:r>
      <w:r w:rsidRPr="00672F57">
        <w:rPr>
          <w:rFonts w:cs="TimesNewRomanPS-BoldItalicMT"/>
          <w:bCs/>
          <w:iCs/>
          <w:szCs w:val="20"/>
        </w:rPr>
        <w:tab/>
        <w:t>równomiernie rozmieszczone wokół obwodu strefy TLOF w odpowiednich odstępach, z tym, że w sektorze 45 stopni św</w:t>
      </w:r>
      <w:r w:rsidR="00FE1407" w:rsidRPr="00672F57">
        <w:rPr>
          <w:rFonts w:cs="TimesNewRomanPS-BoldItalicMT"/>
          <w:bCs/>
          <w:iCs/>
          <w:szCs w:val="20"/>
        </w:rPr>
        <w:t>iatła powinny być rozstawione w </w:t>
      </w:r>
      <w:r w:rsidRPr="00672F57">
        <w:rPr>
          <w:rFonts w:cs="TimesNewRomanPS-BoldItalicMT"/>
          <w:bCs/>
          <w:iCs/>
          <w:szCs w:val="20"/>
        </w:rPr>
        <w:t xml:space="preserve">odstępach </w:t>
      </w:r>
      <w:r w:rsidR="00672F57" w:rsidRPr="00672F57">
        <w:rPr>
          <w:rFonts w:cs="TimesNewRomanPS-BoldItalicMT"/>
          <w:bCs/>
          <w:iCs/>
          <w:szCs w:val="20"/>
        </w:rPr>
        <w:t>o połowę</w:t>
      </w:r>
      <w:r w:rsidRPr="00672F57">
        <w:rPr>
          <w:rFonts w:cs="TimesNewRomanPS-BoldItalicMT"/>
          <w:bCs/>
          <w:iCs/>
          <w:szCs w:val="20"/>
        </w:rPr>
        <w:t xml:space="preserve"> mniejszych.</w:t>
      </w:r>
    </w:p>
    <w:p w14:paraId="737DA5E3" w14:textId="50A36B92" w:rsidR="00FE1407" w:rsidRPr="00672F57" w:rsidRDefault="00FE1407" w:rsidP="00FE1407">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(3) </w:t>
      </w:r>
      <w:r w:rsidR="00CC37B4" w:rsidRPr="00672F57">
        <w:rPr>
          <w:rFonts w:cs="TimesNewRomanPS-BoldItalicMT"/>
          <w:bCs/>
          <w:iCs/>
          <w:szCs w:val="20"/>
        </w:rPr>
        <w:tab/>
        <w:t xml:space="preserve">Światła obwodowe strefy TLOF powinny być rozmieszczone </w:t>
      </w:r>
      <w:r w:rsidR="00672F57">
        <w:rPr>
          <w:rFonts w:cs="TimesNewRomanPS-BoldItalicMT"/>
          <w:bCs/>
          <w:iCs/>
          <w:szCs w:val="20"/>
        </w:rPr>
        <w:t xml:space="preserve">równomiernie </w:t>
      </w:r>
      <w:r w:rsidR="00CC37B4" w:rsidRPr="00672F57">
        <w:rPr>
          <w:rFonts w:cs="TimesNewRomanPS-BoldItalicMT"/>
          <w:bCs/>
          <w:iCs/>
          <w:szCs w:val="20"/>
        </w:rPr>
        <w:t xml:space="preserve">w odstępach </w:t>
      </w:r>
      <w:r w:rsidRPr="00672F57">
        <w:rPr>
          <w:rFonts w:cs="TimesNewRomanPS-BoldItalicMT"/>
          <w:bCs/>
          <w:iCs/>
          <w:szCs w:val="20"/>
        </w:rPr>
        <w:t>nie większ</w:t>
      </w:r>
      <w:r w:rsidR="00672F57">
        <w:rPr>
          <w:rFonts w:cs="TimesNewRomanPS-BoldItalicMT"/>
          <w:bCs/>
          <w:iCs/>
          <w:szCs w:val="20"/>
        </w:rPr>
        <w:t>ych niż</w:t>
      </w:r>
      <w:r w:rsidRPr="00672F57">
        <w:rPr>
          <w:rFonts w:cs="TimesNewRomanPS-BoldItalicMT"/>
          <w:bCs/>
          <w:iCs/>
          <w:szCs w:val="20"/>
        </w:rPr>
        <w:t xml:space="preserve"> 3 m.</w:t>
      </w:r>
    </w:p>
    <w:p w14:paraId="4944C9F7" w14:textId="20EDF9FC" w:rsidR="00FE1407" w:rsidRPr="00F50ACE" w:rsidRDefault="00FE1407" w:rsidP="00FE1407">
      <w:pPr>
        <w:tabs>
          <w:tab w:val="left" w:pos="1134"/>
        </w:tabs>
        <w:autoSpaceDE w:val="0"/>
        <w:autoSpaceDN w:val="0"/>
        <w:adjustRightInd w:val="0"/>
        <w:ind w:left="1134" w:hanging="567"/>
        <w:rPr>
          <w:rFonts w:cs="TimesNewRomanPS-BoldItalicMT"/>
          <w:bCs/>
          <w:iCs/>
          <w:szCs w:val="20"/>
        </w:rPr>
      </w:pPr>
      <w:r w:rsidRPr="00672F57">
        <w:rPr>
          <w:rFonts w:cs="TimesNewRomanPS-BoldItalicMT"/>
          <w:bCs/>
          <w:iCs/>
          <w:szCs w:val="20"/>
        </w:rPr>
        <w:t xml:space="preserve">(4) </w:t>
      </w:r>
      <w:r w:rsidRPr="00672F57">
        <w:rPr>
          <w:rFonts w:cs="TimesNewRomanPS-BoldItalicMT"/>
          <w:bCs/>
          <w:iCs/>
          <w:szCs w:val="20"/>
        </w:rPr>
        <w:tab/>
        <w:t>W</w:t>
      </w:r>
      <w:r w:rsidR="00CC37B4" w:rsidRPr="00672F57">
        <w:rPr>
          <w:rFonts w:cs="TimesNewRomanPS-BoldItalicMT"/>
          <w:bCs/>
          <w:iCs/>
          <w:szCs w:val="20"/>
        </w:rPr>
        <w:t xml:space="preserve"> przypadku </w:t>
      </w:r>
      <w:r w:rsidRPr="00672F57">
        <w:rPr>
          <w:rFonts w:cs="TimesNewRomanPS-BoldItalicMT"/>
          <w:bCs/>
          <w:iCs/>
          <w:szCs w:val="20"/>
        </w:rPr>
        <w:t xml:space="preserve">gdy światła obwodowe strefy TLOF znajdują się na liniach prostych, powinna być zapewniona minimalna liczba czterech świateł po każdej stronie, w tym jedno światło </w:t>
      </w:r>
      <w:r w:rsidRPr="000B5B6A">
        <w:rPr>
          <w:rFonts w:cs="TimesNewRomanPS-BoldItalicMT"/>
          <w:bCs/>
          <w:iCs/>
          <w:szCs w:val="20"/>
        </w:rPr>
        <w:t>na każdym rogu.</w:t>
      </w:r>
    </w:p>
    <w:p w14:paraId="2D88A317" w14:textId="64161125" w:rsidR="00CC37B4" w:rsidRPr="00F50ACE" w:rsidRDefault="00FE1407" w:rsidP="00FE1407">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(5) </w:t>
      </w:r>
      <w:r w:rsidRPr="00F50ACE">
        <w:rPr>
          <w:rFonts w:cs="TimesNewRomanPS-BoldItalicMT"/>
          <w:bCs/>
          <w:iCs/>
          <w:szCs w:val="20"/>
        </w:rPr>
        <w:tab/>
      </w:r>
      <w:r w:rsidR="00CC37B4" w:rsidRPr="00F50ACE">
        <w:rPr>
          <w:rFonts w:cs="TimesNewRomanPS-BoldItalicMT"/>
          <w:bCs/>
          <w:iCs/>
          <w:szCs w:val="20"/>
        </w:rPr>
        <w:t xml:space="preserve">W przypadku strefy TLOF mającej kształt koła, gdy światła są zainstalowane zgodnie z </w:t>
      </w:r>
      <w:r w:rsidRPr="00F50ACE">
        <w:rPr>
          <w:rFonts w:cs="TimesNewRomanPS-BoldItalicMT"/>
          <w:bCs/>
          <w:iCs/>
          <w:szCs w:val="20"/>
        </w:rPr>
        <w:t>punktem (2)</w:t>
      </w:r>
      <w:r w:rsidR="000B5B6A" w:rsidRPr="00F50ACE">
        <w:rPr>
          <w:rFonts w:cs="TimesNewRomanPS-BoldItalicMT"/>
          <w:bCs/>
          <w:iCs/>
          <w:szCs w:val="20"/>
        </w:rPr>
        <w:t> </w:t>
      </w:r>
      <w:r w:rsidRPr="00F50ACE">
        <w:rPr>
          <w:rFonts w:cs="TimesNewRomanPS-BoldItalicMT"/>
          <w:bCs/>
          <w:iCs/>
          <w:szCs w:val="20"/>
        </w:rPr>
        <w:t>(iii</w:t>
      </w:r>
      <w:r w:rsidR="00CC37B4" w:rsidRPr="00F50ACE">
        <w:rPr>
          <w:rFonts w:cs="TimesNewRomanPS-BoldItalicMT"/>
          <w:bCs/>
          <w:iCs/>
          <w:szCs w:val="20"/>
        </w:rPr>
        <w:t xml:space="preserve">) </w:t>
      </w:r>
      <w:r w:rsidRPr="00F50ACE">
        <w:rPr>
          <w:rFonts w:cs="TimesNewRomanPS-BoldItalicMT"/>
          <w:bCs/>
          <w:iCs/>
          <w:szCs w:val="20"/>
        </w:rPr>
        <w:t xml:space="preserve">powyżej, </w:t>
      </w:r>
      <w:r w:rsidR="00CC37B4" w:rsidRPr="00F50ACE">
        <w:rPr>
          <w:rFonts w:cs="TimesNewRomanPS-BoldItalicMT"/>
          <w:bCs/>
          <w:iCs/>
          <w:szCs w:val="20"/>
        </w:rPr>
        <w:t xml:space="preserve">to powinno ich być, co najmniej czternaście. </w:t>
      </w:r>
    </w:p>
    <w:p w14:paraId="3F5B6023" w14:textId="682D077F" w:rsidR="005606B4" w:rsidRPr="000B5B6A" w:rsidRDefault="005606B4" w:rsidP="005606B4">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(6) </w:t>
      </w:r>
      <w:r w:rsidR="00CC37B4" w:rsidRPr="00F50ACE">
        <w:rPr>
          <w:rFonts w:cs="TimesNewRomanPS-BoldItalicMT"/>
          <w:bCs/>
          <w:iCs/>
          <w:szCs w:val="20"/>
        </w:rPr>
        <w:tab/>
      </w:r>
      <w:r w:rsidRPr="00F50ACE">
        <w:rPr>
          <w:rFonts w:cs="TimesNewRomanPS-BoldItalicMT"/>
          <w:bCs/>
          <w:iCs/>
          <w:szCs w:val="20"/>
        </w:rPr>
        <w:t>J</w:t>
      </w:r>
      <w:r w:rsidR="00CC37B4" w:rsidRPr="00F50ACE">
        <w:rPr>
          <w:rFonts w:cs="TimesNewRomanPS-BoldItalicMT"/>
          <w:bCs/>
          <w:iCs/>
          <w:szCs w:val="20"/>
        </w:rPr>
        <w:t xml:space="preserve">eśli </w:t>
      </w:r>
      <w:r w:rsidRPr="00F50ACE">
        <w:rPr>
          <w:rFonts w:cs="TimesNewRomanPS-BoldItalicMT"/>
          <w:bCs/>
          <w:iCs/>
          <w:szCs w:val="20"/>
        </w:rPr>
        <w:t xml:space="preserve">ASPSL i/lub LP </w:t>
      </w:r>
      <w:r w:rsidR="00CC37B4" w:rsidRPr="00F50ACE">
        <w:rPr>
          <w:rFonts w:cs="TimesNewRomanPS-BoldItalicMT"/>
          <w:bCs/>
          <w:iCs/>
          <w:szCs w:val="20"/>
        </w:rPr>
        <w:t xml:space="preserve">są zapewnione do identyfikacji oznakowania </w:t>
      </w:r>
      <w:r w:rsidR="00147943" w:rsidRPr="00F50ACE">
        <w:rPr>
          <w:rFonts w:cs="TimesNewRomanPS-BoldItalicMT"/>
          <w:bCs/>
          <w:iCs/>
          <w:szCs w:val="20"/>
        </w:rPr>
        <w:t xml:space="preserve">strefy </w:t>
      </w:r>
      <w:r w:rsidR="00CC37B4" w:rsidRPr="00F50ACE">
        <w:rPr>
          <w:rFonts w:cs="TimesNewRomanPS-BoldItalicMT"/>
          <w:bCs/>
          <w:iCs/>
          <w:szCs w:val="20"/>
        </w:rPr>
        <w:t>TLOF</w:t>
      </w:r>
      <w:r w:rsidR="00147943" w:rsidRPr="00F50ACE">
        <w:rPr>
          <w:rFonts w:cs="TimesNewRomanPS-BoldItalicMT"/>
          <w:bCs/>
          <w:iCs/>
          <w:szCs w:val="20"/>
        </w:rPr>
        <w:t xml:space="preserve">, która nie </w:t>
      </w:r>
      <w:r w:rsidR="000B5B6A" w:rsidRPr="00F50ACE">
        <w:rPr>
          <w:rFonts w:cs="TimesNewRomanPS-BoldItalicMT"/>
          <w:bCs/>
          <w:iCs/>
          <w:szCs w:val="20"/>
        </w:rPr>
        <w:t>jest w</w:t>
      </w:r>
      <w:r w:rsidR="00147943" w:rsidRPr="00F50ACE">
        <w:rPr>
          <w:rFonts w:cs="TimesNewRomanPS-BoldItalicMT"/>
          <w:bCs/>
          <w:iCs/>
          <w:szCs w:val="20"/>
        </w:rPr>
        <w:t xml:space="preserve"> kształ</w:t>
      </w:r>
      <w:r w:rsidR="000B5B6A" w:rsidRPr="00F50ACE">
        <w:rPr>
          <w:rFonts w:cs="TimesNewRomanPS-BoldItalicMT"/>
          <w:bCs/>
          <w:iCs/>
          <w:szCs w:val="20"/>
        </w:rPr>
        <w:t>cie</w:t>
      </w:r>
      <w:r w:rsidR="00147943" w:rsidRPr="00F50ACE">
        <w:rPr>
          <w:rFonts w:cs="TimesNewRomanPS-BoldItalicMT"/>
          <w:bCs/>
          <w:iCs/>
          <w:szCs w:val="20"/>
        </w:rPr>
        <w:t xml:space="preserve"> koła</w:t>
      </w:r>
      <w:r w:rsidR="00CC37B4" w:rsidRPr="00F50ACE">
        <w:rPr>
          <w:rFonts w:cs="TimesNewRomanPS-BoldItalicMT"/>
          <w:bCs/>
          <w:iCs/>
          <w:szCs w:val="20"/>
        </w:rPr>
        <w:t xml:space="preserve">, </w:t>
      </w:r>
      <w:r w:rsidR="00147943" w:rsidRPr="00F50ACE">
        <w:rPr>
          <w:rFonts w:cs="TimesNewRomanPS-BoldItalicMT"/>
          <w:bCs/>
          <w:iCs/>
          <w:szCs w:val="20"/>
        </w:rPr>
        <w:t xml:space="preserve">to </w:t>
      </w:r>
      <w:r w:rsidR="00CC37B4" w:rsidRPr="00F50ACE">
        <w:rPr>
          <w:rFonts w:cs="TimesNewRomanPS-BoldItalicMT"/>
          <w:bCs/>
          <w:iCs/>
          <w:szCs w:val="20"/>
        </w:rPr>
        <w:t xml:space="preserve">powinny być </w:t>
      </w:r>
      <w:r w:rsidR="00147943" w:rsidRPr="00F50ACE">
        <w:rPr>
          <w:rFonts w:cs="TimesNewRomanPS-BoldItalicMT"/>
          <w:bCs/>
          <w:iCs/>
          <w:szCs w:val="20"/>
        </w:rPr>
        <w:t>umieszczone</w:t>
      </w:r>
      <w:r w:rsidR="00CC37B4" w:rsidRPr="00F50ACE">
        <w:rPr>
          <w:rFonts w:cs="TimesNewRomanPS-BoldItalicMT"/>
          <w:bCs/>
          <w:iCs/>
          <w:szCs w:val="20"/>
        </w:rPr>
        <w:t xml:space="preserve"> wzdłuż oznakowania określającego </w:t>
      </w:r>
      <w:r w:rsidR="00CC37B4" w:rsidRPr="000B5B6A">
        <w:rPr>
          <w:rFonts w:cs="TimesNewRomanPS-BoldItalicMT"/>
          <w:bCs/>
          <w:iCs/>
          <w:szCs w:val="20"/>
        </w:rPr>
        <w:t xml:space="preserve">krawędź strefy TLOF. </w:t>
      </w:r>
    </w:p>
    <w:p w14:paraId="44F8F87C" w14:textId="1EB8DAC6" w:rsidR="00147943" w:rsidRPr="000B5B6A" w:rsidRDefault="00147943" w:rsidP="00147943">
      <w:pPr>
        <w:tabs>
          <w:tab w:val="left" w:pos="1134"/>
        </w:tabs>
        <w:autoSpaceDE w:val="0"/>
        <w:autoSpaceDN w:val="0"/>
        <w:adjustRightInd w:val="0"/>
        <w:ind w:left="1134" w:hanging="567"/>
        <w:rPr>
          <w:rFonts w:cs="TimesNewRomanPS-BoldItalicMT"/>
          <w:bCs/>
          <w:iCs/>
          <w:szCs w:val="20"/>
        </w:rPr>
      </w:pPr>
      <w:r w:rsidRPr="000B5B6A">
        <w:rPr>
          <w:rFonts w:cs="TimesNewRomanPS-BoldItalicMT"/>
          <w:bCs/>
          <w:iCs/>
          <w:szCs w:val="20"/>
        </w:rPr>
        <w:t xml:space="preserve">(7) </w:t>
      </w:r>
      <w:r w:rsidRPr="000B5B6A">
        <w:rPr>
          <w:rFonts w:cs="TimesNewRomanPS-BoldItalicMT"/>
          <w:bCs/>
          <w:iCs/>
          <w:szCs w:val="20"/>
        </w:rPr>
        <w:tab/>
        <w:t>Jeśli ASPSL i/lub LP są zapewnione do identyfikacji oznakowania strefy TLOF, która ma kształt koła, to powinny być umieszczone na liniach prostych otaczających tą strefę.</w:t>
      </w:r>
    </w:p>
    <w:p w14:paraId="52B91BB5" w14:textId="6128E6B6" w:rsidR="00147943" w:rsidRPr="000B5B6A" w:rsidRDefault="00147943" w:rsidP="00147943">
      <w:pPr>
        <w:tabs>
          <w:tab w:val="left" w:pos="1134"/>
        </w:tabs>
        <w:autoSpaceDE w:val="0"/>
        <w:autoSpaceDN w:val="0"/>
        <w:adjustRightInd w:val="0"/>
        <w:ind w:left="1134" w:hanging="567"/>
        <w:rPr>
          <w:rFonts w:cs="TimesNewRomanPS-BoldItalicMT"/>
          <w:bCs/>
          <w:iCs/>
          <w:szCs w:val="20"/>
        </w:rPr>
      </w:pPr>
      <w:r w:rsidRPr="000B5B6A">
        <w:rPr>
          <w:rFonts w:cs="TimesNewRomanPS-BoldItalicMT"/>
          <w:bCs/>
          <w:iCs/>
          <w:szCs w:val="20"/>
        </w:rPr>
        <w:t xml:space="preserve">(8) </w:t>
      </w:r>
      <w:r w:rsidRPr="000B5B6A">
        <w:rPr>
          <w:rFonts w:cs="TimesNewRomanPS-BoldItalicMT"/>
          <w:bCs/>
          <w:iCs/>
          <w:szCs w:val="20"/>
        </w:rPr>
        <w:tab/>
        <w:t>M</w:t>
      </w:r>
      <w:r w:rsidR="00CC37B4" w:rsidRPr="000B5B6A">
        <w:rPr>
          <w:rFonts w:cs="TimesNewRomanPS-BoldItalicMT"/>
          <w:bCs/>
          <w:iCs/>
          <w:szCs w:val="20"/>
        </w:rPr>
        <w:t xml:space="preserve">inimalna liczba paneli świetlnych LP w strefie TLOF powinna wynosić dziewięć. </w:t>
      </w:r>
    </w:p>
    <w:p w14:paraId="41360568" w14:textId="31881CA5" w:rsidR="00147943" w:rsidRPr="000B5B6A" w:rsidRDefault="00147943" w:rsidP="00147943">
      <w:pPr>
        <w:tabs>
          <w:tab w:val="left" w:pos="1134"/>
        </w:tabs>
        <w:autoSpaceDE w:val="0"/>
        <w:autoSpaceDN w:val="0"/>
        <w:adjustRightInd w:val="0"/>
        <w:ind w:left="1134" w:hanging="567"/>
        <w:rPr>
          <w:rFonts w:cs="TimesNewRomanPS-BoldItalicMT"/>
          <w:bCs/>
          <w:iCs/>
          <w:szCs w:val="20"/>
        </w:rPr>
      </w:pPr>
      <w:r w:rsidRPr="000B5B6A">
        <w:rPr>
          <w:rFonts w:cs="TimesNewRomanPS-BoldItalicMT"/>
          <w:bCs/>
          <w:iCs/>
          <w:szCs w:val="20"/>
        </w:rPr>
        <w:t xml:space="preserve">(9) </w:t>
      </w:r>
      <w:r w:rsidRPr="000B5B6A">
        <w:rPr>
          <w:rFonts w:cs="TimesNewRomanPS-BoldItalicMT"/>
          <w:bCs/>
          <w:iCs/>
          <w:szCs w:val="20"/>
        </w:rPr>
        <w:tab/>
      </w:r>
      <w:r w:rsidR="00CC37B4" w:rsidRPr="000B5B6A">
        <w:rPr>
          <w:rFonts w:cs="TimesNewRomanPS-BoldItalicMT"/>
          <w:bCs/>
          <w:iCs/>
          <w:szCs w:val="20"/>
        </w:rPr>
        <w:t xml:space="preserve">Całkowita długość paneli świetlnych (LPs) w układzie nie powinna być mniejsza niż 50% całkowitej długości układu. </w:t>
      </w:r>
    </w:p>
    <w:p w14:paraId="6C601094" w14:textId="092C15FA" w:rsidR="00147943" w:rsidRPr="000B5B6A" w:rsidRDefault="00147943" w:rsidP="00147943">
      <w:pPr>
        <w:tabs>
          <w:tab w:val="left" w:pos="1134"/>
        </w:tabs>
        <w:autoSpaceDE w:val="0"/>
        <w:autoSpaceDN w:val="0"/>
        <w:adjustRightInd w:val="0"/>
        <w:ind w:left="1134" w:hanging="567"/>
        <w:rPr>
          <w:rFonts w:cs="TimesNewRomanPS-BoldItalicMT"/>
          <w:bCs/>
          <w:iCs/>
          <w:szCs w:val="20"/>
        </w:rPr>
      </w:pPr>
      <w:r w:rsidRPr="000B5B6A">
        <w:rPr>
          <w:rFonts w:cs="TimesNewRomanPS-BoldItalicMT"/>
          <w:bCs/>
          <w:iCs/>
          <w:szCs w:val="20"/>
        </w:rPr>
        <w:t xml:space="preserve">(10) </w:t>
      </w:r>
      <w:r w:rsidRPr="000B5B6A">
        <w:rPr>
          <w:rFonts w:cs="TimesNewRomanPS-BoldItalicMT"/>
          <w:bCs/>
          <w:iCs/>
          <w:szCs w:val="20"/>
        </w:rPr>
        <w:tab/>
      </w:r>
      <w:r w:rsidR="00CC37B4" w:rsidRPr="000B5B6A">
        <w:rPr>
          <w:rFonts w:cs="TimesNewRomanPS-BoldItalicMT"/>
          <w:bCs/>
          <w:iCs/>
          <w:szCs w:val="20"/>
        </w:rPr>
        <w:t>Ilość paneli powinna nieparzyst</w:t>
      </w:r>
      <w:r w:rsidRPr="000B5B6A">
        <w:rPr>
          <w:rFonts w:cs="TimesNewRomanPS-BoldItalicMT"/>
          <w:bCs/>
          <w:iCs/>
          <w:szCs w:val="20"/>
        </w:rPr>
        <w:t>a,</w:t>
      </w:r>
      <w:r w:rsidR="00CC37B4" w:rsidRPr="000B5B6A">
        <w:rPr>
          <w:rFonts w:cs="TimesNewRomanPS-BoldItalicMT"/>
          <w:bCs/>
          <w:iCs/>
          <w:szCs w:val="20"/>
        </w:rPr>
        <w:t xml:space="preserve"> przy czym na każdej</w:t>
      </w:r>
      <w:r w:rsidR="000B5B6A" w:rsidRPr="000B5B6A">
        <w:rPr>
          <w:rFonts w:cs="TimesNewRomanPS-BoldItalicMT"/>
          <w:bCs/>
          <w:iCs/>
          <w:szCs w:val="20"/>
        </w:rPr>
        <w:t xml:space="preserve"> stronie strefy przyziemienia i </w:t>
      </w:r>
      <w:r w:rsidR="00CC37B4" w:rsidRPr="000B5B6A">
        <w:rPr>
          <w:rFonts w:cs="TimesNewRomanPS-BoldItalicMT"/>
          <w:bCs/>
          <w:iCs/>
          <w:szCs w:val="20"/>
        </w:rPr>
        <w:t xml:space="preserve">wznoszenia </w:t>
      </w:r>
      <w:r w:rsidRPr="000B5B6A">
        <w:rPr>
          <w:rFonts w:cs="TimesNewRomanPS-BoldItalicMT"/>
          <w:bCs/>
          <w:iCs/>
          <w:szCs w:val="20"/>
        </w:rPr>
        <w:t xml:space="preserve">(TLOF) </w:t>
      </w:r>
      <w:r w:rsidR="00CC37B4" w:rsidRPr="000B5B6A">
        <w:rPr>
          <w:rFonts w:cs="TimesNewRomanPS-BoldItalicMT"/>
          <w:bCs/>
          <w:iCs/>
          <w:szCs w:val="20"/>
        </w:rPr>
        <w:t xml:space="preserve">powinno ich być minimum trzy, wliczając w to jeden panel w każdym rogu. </w:t>
      </w:r>
    </w:p>
    <w:p w14:paraId="3F180213" w14:textId="60D68A06" w:rsidR="00CC37B4" w:rsidRPr="00F50ACE" w:rsidRDefault="00147943" w:rsidP="00147943">
      <w:pPr>
        <w:tabs>
          <w:tab w:val="left" w:pos="1134"/>
        </w:tabs>
        <w:autoSpaceDE w:val="0"/>
        <w:autoSpaceDN w:val="0"/>
        <w:adjustRightInd w:val="0"/>
        <w:ind w:left="1134" w:hanging="567"/>
        <w:rPr>
          <w:rFonts w:cs="TimesNewRomanPS-BoldItalicMT"/>
          <w:bCs/>
          <w:iCs/>
          <w:szCs w:val="20"/>
        </w:rPr>
      </w:pPr>
      <w:r w:rsidRPr="000B5B6A">
        <w:rPr>
          <w:rFonts w:cs="TimesNewRomanPS-BoldItalicMT"/>
          <w:bCs/>
          <w:iCs/>
          <w:szCs w:val="20"/>
        </w:rPr>
        <w:t xml:space="preserve">(11) </w:t>
      </w:r>
      <w:r w:rsidRPr="000B5B6A">
        <w:rPr>
          <w:rFonts w:cs="TimesNewRomanPS-BoldItalicMT"/>
          <w:bCs/>
          <w:iCs/>
          <w:szCs w:val="20"/>
        </w:rPr>
        <w:tab/>
      </w:r>
      <w:r w:rsidR="00CC37B4" w:rsidRPr="000B5B6A">
        <w:rPr>
          <w:rFonts w:cs="TimesNewRomanPS-BoldItalicMT"/>
          <w:bCs/>
          <w:iCs/>
          <w:szCs w:val="20"/>
        </w:rPr>
        <w:t xml:space="preserve">Panele świetlne (LPs) powinny być rozmieszczone </w:t>
      </w:r>
      <w:r w:rsidR="000B5B6A" w:rsidRPr="000B5B6A">
        <w:rPr>
          <w:rFonts w:cs="TimesNewRomanPS-BoldItalicMT"/>
          <w:bCs/>
          <w:iCs/>
          <w:szCs w:val="20"/>
        </w:rPr>
        <w:t>równomiernie</w:t>
      </w:r>
      <w:r w:rsidR="00CC37B4" w:rsidRPr="000B5B6A">
        <w:rPr>
          <w:rFonts w:cs="TimesNewRomanPS-BoldItalicMT"/>
          <w:bCs/>
          <w:iCs/>
          <w:szCs w:val="20"/>
        </w:rPr>
        <w:t>, z</w:t>
      </w:r>
      <w:r w:rsidRPr="000B5B6A">
        <w:rPr>
          <w:rFonts w:cs="TimesNewRomanPS-BoldItalicMT"/>
          <w:bCs/>
          <w:iCs/>
          <w:szCs w:val="20"/>
        </w:rPr>
        <w:t xml:space="preserve"> </w:t>
      </w:r>
      <w:r w:rsidR="00CC37B4" w:rsidRPr="000B5B6A">
        <w:rPr>
          <w:rFonts w:cs="TimesNewRomanPS-BoldItalicMT"/>
          <w:bCs/>
          <w:iCs/>
          <w:szCs w:val="20"/>
        </w:rPr>
        <w:t xml:space="preserve">zachowaniem odległości między końcami sąsiadujących paneli nie większej niż 5 m po każdej </w:t>
      </w:r>
      <w:r w:rsidR="00CC37B4" w:rsidRPr="00F50ACE">
        <w:rPr>
          <w:rFonts w:cs="TimesNewRomanPS-BoldItalicMT"/>
          <w:bCs/>
          <w:iCs/>
          <w:szCs w:val="20"/>
        </w:rPr>
        <w:t>stronie strefy TLOF.</w:t>
      </w:r>
    </w:p>
    <w:p w14:paraId="7808D3EF" w14:textId="50258F85" w:rsidR="00FE2804" w:rsidRPr="00F50ACE" w:rsidRDefault="00FE2804" w:rsidP="00FE2804">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(12) </w:t>
      </w:r>
      <w:r w:rsidR="00CC37B4" w:rsidRPr="00F50ACE">
        <w:rPr>
          <w:rFonts w:cs="TimesNewRomanPS-BoldItalicMT"/>
          <w:bCs/>
          <w:iCs/>
          <w:szCs w:val="20"/>
        </w:rPr>
        <w:tab/>
        <w:t xml:space="preserve">Światła szeroko-strumieniowe strefy TLOF powinny być zlokalizowane w taki sposób, aby uniknąć oślepiania pilotów wykonujących lot lub personelu pracującego w tej strefie. </w:t>
      </w:r>
    </w:p>
    <w:p w14:paraId="02E20620" w14:textId="5CB8FA6E" w:rsidR="00CC37B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(13) </w:t>
      </w:r>
      <w:r w:rsidRPr="004D1D10">
        <w:rPr>
          <w:rFonts w:cs="TimesNewRomanPS-BoldItalicMT"/>
          <w:bCs/>
          <w:iCs/>
          <w:szCs w:val="20"/>
        </w:rPr>
        <w:tab/>
      </w:r>
      <w:r w:rsidR="00CC37B4" w:rsidRPr="004D1D10">
        <w:rPr>
          <w:rFonts w:cs="TimesNewRomanPS-BoldItalicMT"/>
          <w:bCs/>
          <w:iCs/>
          <w:szCs w:val="20"/>
        </w:rPr>
        <w:t>Lokalizacja i kierunek świecenia świateł szeroko-strumieniowych powinien być taki, aby powstawanie cieni było minimalne.</w:t>
      </w:r>
    </w:p>
    <w:p w14:paraId="25B1AA0B" w14:textId="588DF640" w:rsidR="00CC37B4" w:rsidRPr="004D1D10" w:rsidRDefault="00FE2804" w:rsidP="00FE2804">
      <w:pPr>
        <w:tabs>
          <w:tab w:val="left" w:pos="567"/>
        </w:tabs>
        <w:autoSpaceDE w:val="0"/>
        <w:autoSpaceDN w:val="0"/>
        <w:adjustRightInd w:val="0"/>
        <w:ind w:left="567" w:hanging="567"/>
        <w:rPr>
          <w:rFonts w:cs="TimesNewRomanPS-BoldItalicMT"/>
          <w:bCs/>
          <w:iCs/>
          <w:szCs w:val="20"/>
        </w:rPr>
      </w:pPr>
      <w:r w:rsidRPr="004D1D10">
        <w:rPr>
          <w:rFonts w:cs="TimesNewRomanPS-BoldItalicMT"/>
          <w:bCs/>
          <w:iCs/>
          <w:szCs w:val="20"/>
        </w:rPr>
        <w:t xml:space="preserve">(c) </w:t>
      </w:r>
      <w:r w:rsidRPr="004D1D10">
        <w:rPr>
          <w:rFonts w:cs="TimesNewRomanPS-BoldItalicMT"/>
          <w:bCs/>
          <w:iCs/>
          <w:szCs w:val="20"/>
        </w:rPr>
        <w:tab/>
      </w:r>
      <w:r w:rsidR="00CC37B4" w:rsidRPr="004D1D10">
        <w:rPr>
          <w:rFonts w:cs="TimesNewRomanPS-BoldItalicMT"/>
          <w:bCs/>
          <w:iCs/>
          <w:szCs w:val="20"/>
        </w:rPr>
        <w:t>Charakterystyka</w:t>
      </w:r>
    </w:p>
    <w:p w14:paraId="2BD53027" w14:textId="14CCD21E" w:rsidR="00CC37B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(1) </w:t>
      </w:r>
      <w:r w:rsidRPr="004D1D10">
        <w:rPr>
          <w:rFonts w:cs="TimesNewRomanPS-BoldItalicMT"/>
          <w:bCs/>
          <w:iCs/>
          <w:szCs w:val="20"/>
        </w:rPr>
        <w:tab/>
      </w:r>
      <w:r w:rsidR="00CC37B4" w:rsidRPr="004D1D10">
        <w:rPr>
          <w:rFonts w:cs="TimesNewRomanPS-BoldItalicMT"/>
          <w:bCs/>
          <w:iCs/>
          <w:szCs w:val="20"/>
        </w:rPr>
        <w:t>Światła obwodowe strefy TLOF powinny być światłami stałymi ogólnokierunkowymi świecącymi kolorem zielonym.</w:t>
      </w:r>
    </w:p>
    <w:p w14:paraId="2CA51EF0" w14:textId="7023C54D" w:rsidR="00CC37B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(2) </w:t>
      </w:r>
      <w:r w:rsidRPr="004D1D10">
        <w:rPr>
          <w:rFonts w:cs="TimesNewRomanPS-BoldItalicMT"/>
          <w:bCs/>
          <w:iCs/>
          <w:szCs w:val="20"/>
        </w:rPr>
        <w:tab/>
      </w:r>
      <w:r w:rsidR="00CC37B4" w:rsidRPr="004D1D10">
        <w:rPr>
          <w:rFonts w:cs="TimesNewRomanPS-BoldItalicMT"/>
          <w:bCs/>
          <w:iCs/>
          <w:szCs w:val="20"/>
        </w:rPr>
        <w:t>ASPSL lub LP, gdy stosowane są do określenia obwodu strefy TLOF, powinny emitować światło zielone.</w:t>
      </w:r>
    </w:p>
    <w:p w14:paraId="782A4A8F" w14:textId="2D5C43EC" w:rsidR="00FE280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(3) </w:t>
      </w:r>
      <w:r w:rsidRPr="004D1D10">
        <w:rPr>
          <w:rFonts w:cs="TimesNewRomanPS-BoldItalicMT"/>
          <w:bCs/>
          <w:iCs/>
          <w:szCs w:val="20"/>
        </w:rPr>
        <w:tab/>
      </w:r>
      <w:r w:rsidR="00CC37B4" w:rsidRPr="004D1D10">
        <w:rPr>
          <w:rFonts w:cs="TimesNewRomanPS-BoldItalicMT"/>
          <w:bCs/>
          <w:iCs/>
          <w:szCs w:val="20"/>
        </w:rPr>
        <w:t>Chromatyczność i luminancja kolorów świateł LP</w:t>
      </w:r>
      <w:r w:rsidRPr="004D1D10">
        <w:rPr>
          <w:rFonts w:cs="TimesNewRomanPS-BoldItalicMT"/>
          <w:bCs/>
          <w:iCs/>
          <w:szCs w:val="20"/>
        </w:rPr>
        <w:t>s</w:t>
      </w:r>
      <w:r w:rsidR="00CC37B4" w:rsidRPr="004D1D10">
        <w:rPr>
          <w:rFonts w:cs="TimesNewRomanPS-BoldItalicMT"/>
          <w:bCs/>
          <w:iCs/>
          <w:szCs w:val="20"/>
        </w:rPr>
        <w:t xml:space="preserve"> powinny być zgodne</w:t>
      </w:r>
      <w:r w:rsidRPr="004D1D10">
        <w:rPr>
          <w:rFonts w:cs="TimesNewRomanPS-BoldItalicMT"/>
          <w:bCs/>
          <w:iCs/>
          <w:szCs w:val="20"/>
        </w:rPr>
        <w:t xml:space="preserve"> z wymaganiami </w:t>
      </w:r>
      <w:r w:rsidRPr="004D1D10">
        <w:rPr>
          <w:rFonts w:cs="TimesNewRomanPS-BoldItalicMT"/>
          <w:bCs/>
          <w:iCs/>
          <w:szCs w:val="20"/>
        </w:rPr>
        <w:br/>
      </w:r>
      <w:hyperlink w:anchor="_CS_ADR-DSN.U.935_" w:history="1">
        <w:r w:rsidRPr="00DA54CB">
          <w:rPr>
            <w:rStyle w:val="Hipercze"/>
          </w:rPr>
          <w:t>CS ADR-DSN.U.935</w:t>
        </w:r>
      </w:hyperlink>
      <w:r w:rsidRPr="00DA54CB">
        <w:t>.</w:t>
      </w:r>
    </w:p>
    <w:p w14:paraId="0DCEC4EE" w14:textId="5D586547" w:rsidR="00CC37B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(4) </w:t>
      </w:r>
      <w:r w:rsidRPr="004D1D10">
        <w:rPr>
          <w:rFonts w:cs="TimesNewRomanPS-BoldItalicMT"/>
          <w:bCs/>
          <w:iCs/>
          <w:szCs w:val="20"/>
        </w:rPr>
        <w:tab/>
      </w:r>
      <w:r w:rsidR="00CC37B4" w:rsidRPr="004D1D10">
        <w:rPr>
          <w:rFonts w:cs="TimesNewRomanPS-BoldItalicMT"/>
          <w:bCs/>
          <w:iCs/>
          <w:szCs w:val="20"/>
        </w:rPr>
        <w:t xml:space="preserve">Światło LP powinno mieć minimalną szerokość 6 cm. Obudowa panelu powinna być tego samego koloru, co </w:t>
      </w:r>
      <w:r w:rsidR="004D1D10" w:rsidRPr="004D1D10">
        <w:rPr>
          <w:rFonts w:cs="TimesNewRomanPS-BoldItalicMT"/>
          <w:bCs/>
          <w:iCs/>
          <w:szCs w:val="20"/>
        </w:rPr>
        <w:t>o</w:t>
      </w:r>
      <w:r w:rsidR="00CC37B4" w:rsidRPr="004D1D10">
        <w:rPr>
          <w:rFonts w:cs="TimesNewRomanPS-BoldItalicMT"/>
          <w:bCs/>
          <w:iCs/>
          <w:szCs w:val="20"/>
        </w:rPr>
        <w:t>zna</w:t>
      </w:r>
      <w:r w:rsidR="004D1D10" w:rsidRPr="004D1D10">
        <w:rPr>
          <w:rFonts w:cs="TimesNewRomanPS-BoldItalicMT"/>
          <w:bCs/>
          <w:iCs/>
          <w:szCs w:val="20"/>
        </w:rPr>
        <w:t>czenie, które określa</w:t>
      </w:r>
      <w:r w:rsidR="00CC37B4" w:rsidRPr="004D1D10">
        <w:rPr>
          <w:rFonts w:cs="TimesNewRomanPS-BoldItalicMT"/>
          <w:bCs/>
          <w:iCs/>
          <w:szCs w:val="20"/>
        </w:rPr>
        <w:t xml:space="preserve">. </w:t>
      </w:r>
    </w:p>
    <w:p w14:paraId="50659D53" w14:textId="2BC11FBF" w:rsidR="00CC37B4" w:rsidRPr="004D1D10" w:rsidRDefault="00FE2804" w:rsidP="00FE280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 xml:space="preserve">(5) </w:t>
      </w:r>
      <w:r w:rsidRPr="004D1D10">
        <w:rPr>
          <w:rFonts w:cs="TimesNewRomanPS-BoldItalicMT"/>
          <w:bCs/>
          <w:iCs/>
          <w:szCs w:val="20"/>
        </w:rPr>
        <w:tab/>
        <w:t>Ś</w:t>
      </w:r>
      <w:r w:rsidR="00CC37B4" w:rsidRPr="004D1D10">
        <w:rPr>
          <w:rFonts w:cs="TimesNewRomanPS-BoldItalicMT"/>
          <w:bCs/>
          <w:iCs/>
          <w:szCs w:val="20"/>
        </w:rPr>
        <w:t>wiatła obwodowe nie powinny być wyższe niż 25 cm, a w przypadku, gdyby wystając ponad powierzchnię mogły zagrażać operacjom śmigłowców, powinny być zagłębione.</w:t>
      </w:r>
    </w:p>
    <w:p w14:paraId="7F8147C7" w14:textId="4766245B" w:rsidR="00700A64" w:rsidRPr="00F50ACE" w:rsidRDefault="00700A64" w:rsidP="00700A64">
      <w:pPr>
        <w:tabs>
          <w:tab w:val="left" w:pos="1134"/>
        </w:tabs>
        <w:autoSpaceDE w:val="0"/>
        <w:autoSpaceDN w:val="0"/>
        <w:adjustRightInd w:val="0"/>
        <w:ind w:left="1134" w:hanging="567"/>
        <w:rPr>
          <w:rFonts w:cs="TimesNewRomanPS-BoldItalicMT"/>
          <w:bCs/>
          <w:iCs/>
          <w:szCs w:val="20"/>
        </w:rPr>
      </w:pPr>
      <w:r w:rsidRPr="004D1D10">
        <w:rPr>
          <w:rFonts w:cs="TimesNewRomanPS-BoldItalicMT"/>
          <w:bCs/>
          <w:iCs/>
          <w:szCs w:val="20"/>
        </w:rPr>
        <w:t>(6)</w:t>
      </w:r>
      <w:r w:rsidRPr="004D1D10">
        <w:rPr>
          <w:rFonts w:cs="TimesNewRomanPS-BoldItalicMT"/>
          <w:bCs/>
          <w:iCs/>
          <w:szCs w:val="20"/>
        </w:rPr>
        <w:tab/>
        <w:t>Jeśli ś</w:t>
      </w:r>
      <w:r w:rsidR="00CC37B4" w:rsidRPr="004D1D10">
        <w:rPr>
          <w:rFonts w:cs="TimesNewRomanPS-BoldItalicMT"/>
          <w:bCs/>
          <w:iCs/>
          <w:szCs w:val="20"/>
        </w:rPr>
        <w:t xml:space="preserve">wiatła szeroko-strumieniowe strefy TLOF </w:t>
      </w:r>
      <w:r w:rsidRPr="004D1D10">
        <w:rPr>
          <w:rFonts w:cs="TimesNewRomanPS-BoldItalicMT"/>
          <w:bCs/>
          <w:iCs/>
          <w:szCs w:val="20"/>
        </w:rPr>
        <w:t xml:space="preserve">są zlokalizowane w strefie bezpieczeństwa lotniska dla śmigłowców, </w:t>
      </w:r>
      <w:r w:rsidR="00CC37B4" w:rsidRPr="004D1D10">
        <w:rPr>
          <w:rFonts w:cs="TimesNewRomanPS-BoldItalicMT"/>
          <w:bCs/>
          <w:iCs/>
          <w:szCs w:val="20"/>
        </w:rPr>
        <w:t xml:space="preserve">nie </w:t>
      </w:r>
      <w:r w:rsidR="00CC37B4" w:rsidRPr="00F50ACE">
        <w:rPr>
          <w:rFonts w:cs="TimesNewRomanPS-BoldItalicMT"/>
          <w:bCs/>
          <w:iCs/>
          <w:szCs w:val="20"/>
        </w:rPr>
        <w:t>powinny przekraczać wysokości 25 cm</w:t>
      </w:r>
      <w:r w:rsidRPr="00F50ACE">
        <w:rPr>
          <w:rFonts w:cs="TimesNewRomanPS-BoldItalicMT"/>
          <w:bCs/>
          <w:iCs/>
          <w:szCs w:val="20"/>
        </w:rPr>
        <w:t>.</w:t>
      </w:r>
    </w:p>
    <w:p w14:paraId="7E3131B0" w14:textId="65CF742B" w:rsidR="00CC37B4" w:rsidRPr="00F50ACE" w:rsidRDefault="00700A64" w:rsidP="00700A64">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(7) </w:t>
      </w:r>
      <w:r w:rsidRPr="00F50ACE">
        <w:rPr>
          <w:rFonts w:cs="TimesNewRomanPS-BoldItalicMT"/>
          <w:bCs/>
          <w:iCs/>
          <w:szCs w:val="20"/>
        </w:rPr>
        <w:tab/>
      </w:r>
      <w:r w:rsidR="00CC37B4" w:rsidRPr="00F50ACE">
        <w:rPr>
          <w:rFonts w:cs="TimesNewRomanPS-BoldItalicMT"/>
          <w:bCs/>
          <w:iCs/>
          <w:szCs w:val="20"/>
        </w:rPr>
        <w:t>Światła LP nie mogą wystawać ponad powierzchnię więcej niż 2,5 cm.</w:t>
      </w:r>
    </w:p>
    <w:p w14:paraId="404C341C" w14:textId="6726BE9F" w:rsidR="00CC37B4" w:rsidRPr="00F50ACE" w:rsidRDefault="00700A64" w:rsidP="00700A64">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(8) </w:t>
      </w:r>
      <w:r w:rsidRPr="00F50ACE">
        <w:rPr>
          <w:rFonts w:cs="TimesNewRomanPS-BoldItalicMT"/>
          <w:bCs/>
          <w:iCs/>
          <w:szCs w:val="20"/>
        </w:rPr>
        <w:tab/>
      </w:r>
      <w:r w:rsidR="00CC37B4" w:rsidRPr="00F50ACE">
        <w:rPr>
          <w:rFonts w:cs="TimesNewRomanPS-BoldItalicMT"/>
          <w:bCs/>
          <w:iCs/>
          <w:szCs w:val="20"/>
        </w:rPr>
        <w:t xml:space="preserve">Rozkład światła emitowanego przez światła obwodowe powinien być taki, jak pokazano na Rysunku </w:t>
      </w:r>
      <w:r w:rsidRPr="00F50ACE">
        <w:rPr>
          <w:rFonts w:cs="TimesNewRomanPS-BoldItalicMT"/>
          <w:bCs/>
          <w:iCs/>
          <w:szCs w:val="20"/>
        </w:rPr>
        <w:t>F-9</w:t>
      </w:r>
      <w:r w:rsidR="00CC37B4" w:rsidRPr="00F50ACE">
        <w:rPr>
          <w:rFonts w:cs="TimesNewRomanPS-BoldItalicMT"/>
          <w:bCs/>
          <w:iCs/>
          <w:szCs w:val="20"/>
        </w:rPr>
        <w:t xml:space="preserve">, ilustracja </w:t>
      </w:r>
      <w:r w:rsidRPr="00F50ACE">
        <w:rPr>
          <w:rFonts w:cs="TimesNewRomanPS-BoldItalicMT"/>
          <w:bCs/>
          <w:iCs/>
          <w:szCs w:val="20"/>
        </w:rPr>
        <w:t>5</w:t>
      </w:r>
      <w:r w:rsidR="00CC37B4" w:rsidRPr="00F50ACE">
        <w:rPr>
          <w:rFonts w:cs="TimesNewRomanPS-BoldItalicMT"/>
          <w:bCs/>
          <w:iCs/>
          <w:szCs w:val="20"/>
        </w:rPr>
        <w:t>.</w:t>
      </w:r>
    </w:p>
    <w:p w14:paraId="4677E3B9" w14:textId="4F925363" w:rsidR="00CC37B4" w:rsidRPr="00F50ACE" w:rsidRDefault="00700A64" w:rsidP="00700A64">
      <w:pPr>
        <w:tabs>
          <w:tab w:val="left" w:pos="1134"/>
        </w:tabs>
        <w:autoSpaceDE w:val="0"/>
        <w:autoSpaceDN w:val="0"/>
        <w:adjustRightInd w:val="0"/>
        <w:ind w:left="1134" w:hanging="567"/>
        <w:rPr>
          <w:rFonts w:cs="TimesNewRomanPS-BoldItalicMT"/>
          <w:bCs/>
          <w:iCs/>
          <w:szCs w:val="20"/>
        </w:rPr>
      </w:pPr>
      <w:r w:rsidRPr="00F50ACE">
        <w:rPr>
          <w:rFonts w:cs="TimesNewRomanPS-BoldItalicMT"/>
          <w:bCs/>
          <w:iCs/>
          <w:szCs w:val="20"/>
        </w:rPr>
        <w:t xml:space="preserve">(9) </w:t>
      </w:r>
      <w:r w:rsidRPr="00F50ACE">
        <w:rPr>
          <w:rFonts w:cs="TimesNewRomanPS-BoldItalicMT"/>
          <w:bCs/>
          <w:iCs/>
          <w:szCs w:val="20"/>
        </w:rPr>
        <w:tab/>
      </w:r>
      <w:r w:rsidR="00CC37B4" w:rsidRPr="00F50ACE">
        <w:rPr>
          <w:rFonts w:cs="TimesNewRomanPS-BoldItalicMT"/>
          <w:bCs/>
          <w:iCs/>
          <w:szCs w:val="20"/>
        </w:rPr>
        <w:t xml:space="preserve">Rozkład światła emitowanego przez LP powinien być taki, jak pokazano na Rysunku </w:t>
      </w:r>
      <w:r w:rsidRPr="00F50ACE">
        <w:rPr>
          <w:rFonts w:cs="TimesNewRomanPS-BoldItalicMT"/>
          <w:bCs/>
          <w:iCs/>
          <w:szCs w:val="20"/>
        </w:rPr>
        <w:t>F-9, ilustracja 6</w:t>
      </w:r>
      <w:r w:rsidR="00CC37B4" w:rsidRPr="00F50ACE">
        <w:rPr>
          <w:rFonts w:cs="TimesNewRomanPS-BoldItalicMT"/>
          <w:bCs/>
          <w:iCs/>
          <w:szCs w:val="20"/>
        </w:rPr>
        <w:t>.</w:t>
      </w:r>
    </w:p>
    <w:p w14:paraId="006809FA" w14:textId="0408EBB3" w:rsidR="00CC37B4" w:rsidRPr="003804D9" w:rsidRDefault="00700A64" w:rsidP="00700A64">
      <w:pPr>
        <w:tabs>
          <w:tab w:val="left" w:pos="1134"/>
        </w:tabs>
        <w:autoSpaceDE w:val="0"/>
        <w:autoSpaceDN w:val="0"/>
        <w:adjustRightInd w:val="0"/>
        <w:ind w:left="1134" w:hanging="567"/>
        <w:rPr>
          <w:rFonts w:cs="TimesNewRomanPS-BoldItalicMT"/>
          <w:bCs/>
          <w:iCs/>
          <w:szCs w:val="20"/>
        </w:rPr>
      </w:pPr>
      <w:r w:rsidRPr="003804D9">
        <w:rPr>
          <w:rFonts w:cs="TimesNewRomanPS-BoldItalicMT"/>
          <w:bCs/>
          <w:iCs/>
          <w:szCs w:val="20"/>
        </w:rPr>
        <w:t xml:space="preserve">(10) </w:t>
      </w:r>
      <w:r w:rsidRPr="003804D9">
        <w:rPr>
          <w:rFonts w:cs="TimesNewRomanPS-BoldItalicMT"/>
          <w:bCs/>
          <w:iCs/>
          <w:szCs w:val="20"/>
        </w:rPr>
        <w:tab/>
      </w:r>
      <w:r w:rsidR="00CC37B4" w:rsidRPr="003804D9">
        <w:rPr>
          <w:rFonts w:cs="TimesNewRomanPS-BoldItalicMT"/>
          <w:bCs/>
          <w:iCs/>
          <w:szCs w:val="20"/>
        </w:rPr>
        <w:t>Rozkład widma świateł szeroko-strumieniowych strefy TLOF powinien być taki, aby oznakowanie powierzchni i przeszkód mogło być prawidłowo zidentyfikowane.</w:t>
      </w:r>
    </w:p>
    <w:p w14:paraId="32536029" w14:textId="2D25F415" w:rsidR="00CC37B4" w:rsidRPr="003804D9" w:rsidRDefault="00700A64" w:rsidP="00700A64">
      <w:pPr>
        <w:tabs>
          <w:tab w:val="left" w:pos="1134"/>
        </w:tabs>
        <w:autoSpaceDE w:val="0"/>
        <w:autoSpaceDN w:val="0"/>
        <w:adjustRightInd w:val="0"/>
        <w:ind w:left="1134" w:hanging="567"/>
        <w:rPr>
          <w:rFonts w:cs="TimesNewRomanPS-BoldItalicMT"/>
          <w:bCs/>
          <w:iCs/>
          <w:szCs w:val="20"/>
        </w:rPr>
      </w:pPr>
      <w:r w:rsidRPr="003804D9">
        <w:rPr>
          <w:rFonts w:cs="TimesNewRomanPS-BoldItalicMT"/>
          <w:bCs/>
          <w:iCs/>
          <w:szCs w:val="20"/>
        </w:rPr>
        <w:t xml:space="preserve">(11) </w:t>
      </w:r>
      <w:r w:rsidRPr="003804D9">
        <w:rPr>
          <w:rFonts w:cs="TimesNewRomanPS-BoldItalicMT"/>
          <w:bCs/>
          <w:iCs/>
          <w:szCs w:val="20"/>
        </w:rPr>
        <w:tab/>
      </w:r>
      <w:r w:rsidR="003804D9" w:rsidRPr="003804D9">
        <w:rPr>
          <w:rFonts w:cs="TimesNewRomanPS-BoldItalicMT"/>
          <w:bCs/>
          <w:iCs/>
          <w:szCs w:val="20"/>
        </w:rPr>
        <w:t>Średnie</w:t>
      </w:r>
      <w:r w:rsidR="00CC37B4" w:rsidRPr="003804D9">
        <w:rPr>
          <w:rFonts w:cs="TimesNewRomanPS-BoldItalicMT"/>
          <w:bCs/>
          <w:iCs/>
          <w:szCs w:val="20"/>
        </w:rPr>
        <w:t xml:space="preserve"> natężenie oświetlenia poziomego świateł szeroko-strumieniowych po</w:t>
      </w:r>
      <w:r w:rsidR="003804D9" w:rsidRPr="003804D9">
        <w:rPr>
          <w:rFonts w:cs="TimesNewRomanPS-BoldItalicMT"/>
          <w:bCs/>
          <w:iCs/>
          <w:szCs w:val="20"/>
        </w:rPr>
        <w:t>winno wynosić co najmniej 10 luks</w:t>
      </w:r>
      <w:r w:rsidR="00CC37B4" w:rsidRPr="003804D9">
        <w:rPr>
          <w:rFonts w:cs="TimesNewRomanPS-BoldItalicMT"/>
          <w:bCs/>
          <w:iCs/>
          <w:szCs w:val="20"/>
        </w:rPr>
        <w:t>ów z zachowaniem stopnia równomierności</w:t>
      </w:r>
      <w:r w:rsidR="003804D9" w:rsidRPr="003804D9">
        <w:rPr>
          <w:rFonts w:cs="TimesNewRomanPS-BoldItalicMT"/>
          <w:bCs/>
          <w:iCs/>
          <w:szCs w:val="20"/>
        </w:rPr>
        <w:t xml:space="preserve"> (stosunku średniej do minimum)</w:t>
      </w:r>
      <w:r w:rsidR="00CC37B4" w:rsidRPr="003804D9">
        <w:rPr>
          <w:rFonts w:cs="TimesNewRomanPS-BoldItalicMT"/>
          <w:bCs/>
          <w:iCs/>
          <w:szCs w:val="20"/>
        </w:rPr>
        <w:t xml:space="preserve"> </w:t>
      </w:r>
      <w:r w:rsidR="003804D9" w:rsidRPr="003804D9">
        <w:rPr>
          <w:rFonts w:cs="TimesNewRomanPS-BoldItalicMT"/>
          <w:bCs/>
          <w:iCs/>
          <w:szCs w:val="20"/>
        </w:rPr>
        <w:t>nie większego niż 8 : 1, mierzonego na powierzchni TLOF.</w:t>
      </w:r>
    </w:p>
    <w:p w14:paraId="22E4C152" w14:textId="6382AE02" w:rsidR="003804D9" w:rsidRPr="00A348EB" w:rsidRDefault="00700A64" w:rsidP="00700A64">
      <w:pPr>
        <w:tabs>
          <w:tab w:val="left" w:pos="1134"/>
        </w:tabs>
        <w:autoSpaceDE w:val="0"/>
        <w:autoSpaceDN w:val="0"/>
        <w:adjustRightInd w:val="0"/>
        <w:ind w:left="1134" w:hanging="567"/>
        <w:rPr>
          <w:rFonts w:cs="TimesNewRomanPS-BoldItalicMT"/>
          <w:bCs/>
          <w:iCs/>
          <w:szCs w:val="20"/>
        </w:rPr>
      </w:pPr>
      <w:r w:rsidRPr="00A348EB">
        <w:rPr>
          <w:rFonts w:cs="TimesNewRomanPS-BoldItalicMT"/>
          <w:bCs/>
          <w:iCs/>
          <w:szCs w:val="20"/>
        </w:rPr>
        <w:t xml:space="preserve">(12) </w:t>
      </w:r>
      <w:r w:rsidRPr="00A348EB">
        <w:rPr>
          <w:rFonts w:cs="TimesNewRomanPS-BoldItalicMT"/>
          <w:bCs/>
          <w:iCs/>
          <w:szCs w:val="20"/>
        </w:rPr>
        <w:tab/>
      </w:r>
      <w:r w:rsidR="00CC37B4" w:rsidRPr="00A348EB">
        <w:rPr>
          <w:rFonts w:cs="TimesNewRomanPS-BoldItalicMT"/>
          <w:bCs/>
          <w:iCs/>
          <w:szCs w:val="20"/>
        </w:rPr>
        <w:t xml:space="preserve">Światła stosowane dla identyfikacji oznakowania przyziemienia powinny </w:t>
      </w:r>
      <w:r w:rsidR="003804D9" w:rsidRPr="00A348EB">
        <w:rPr>
          <w:rFonts w:cs="TimesNewRomanPS-BoldItalicMT"/>
          <w:bCs/>
          <w:iCs/>
          <w:szCs w:val="20"/>
        </w:rPr>
        <w:t xml:space="preserve">zawierać </w:t>
      </w:r>
      <w:r w:rsidR="00A348EB" w:rsidRPr="00A348EB">
        <w:rPr>
          <w:rFonts w:cs="TimesNewRomanPS-BoldItalicMT"/>
          <w:bCs/>
          <w:iCs/>
          <w:szCs w:val="20"/>
        </w:rPr>
        <w:t>segmentowy krąg dookólnych pasków ASPSL pokazujących kolor żółty. Segmenty powinny składać się z pasków ASPSL, a całkowita długość pasków ASPSL nie powinna być mniejsza niż 50% obwodu okręgu.</w:t>
      </w:r>
    </w:p>
    <w:p w14:paraId="0D180003" w14:textId="29B9DBC8" w:rsidR="005077FB" w:rsidRPr="00A348EB" w:rsidRDefault="00700A64" w:rsidP="00700A64">
      <w:pPr>
        <w:tabs>
          <w:tab w:val="left" w:pos="1134"/>
        </w:tabs>
        <w:autoSpaceDE w:val="0"/>
        <w:autoSpaceDN w:val="0"/>
        <w:adjustRightInd w:val="0"/>
        <w:ind w:left="1134" w:hanging="567"/>
        <w:rPr>
          <w:rFonts w:cs="TimesNewRomanPS-BoldItalicMT"/>
          <w:bCs/>
          <w:iCs/>
          <w:szCs w:val="20"/>
        </w:rPr>
      </w:pPr>
      <w:r w:rsidRPr="00A348EB">
        <w:rPr>
          <w:rFonts w:cs="TimesNewRomanPS-BoldItalicMT"/>
          <w:bCs/>
          <w:iCs/>
          <w:szCs w:val="20"/>
        </w:rPr>
        <w:t xml:space="preserve">(13) </w:t>
      </w:r>
      <w:r w:rsidR="00A348EB" w:rsidRPr="00A348EB">
        <w:rPr>
          <w:rFonts w:cs="TimesNewRomanPS-BoldItalicMT"/>
          <w:bCs/>
          <w:iCs/>
          <w:szCs w:val="20"/>
        </w:rPr>
        <w:tab/>
        <w:t>Jeśli jest stosowane, to o</w:t>
      </w:r>
      <w:r w:rsidR="00CC37B4" w:rsidRPr="00A348EB">
        <w:rPr>
          <w:rFonts w:cs="TimesNewRomanPS-BoldItalicMT"/>
          <w:bCs/>
          <w:iCs/>
          <w:szCs w:val="20"/>
        </w:rPr>
        <w:t xml:space="preserve">świetlenie oznakowania tożsamości lotniska dla śmigłowców, , powinno być </w:t>
      </w:r>
      <w:r w:rsidR="00A348EB" w:rsidRPr="00A348EB">
        <w:rPr>
          <w:rFonts w:cs="TimesNewRomanPS-BoldItalicMT"/>
          <w:bCs/>
          <w:iCs/>
          <w:szCs w:val="20"/>
        </w:rPr>
        <w:t>dookólne i świecić na</w:t>
      </w:r>
      <w:r w:rsidRPr="00A348EB">
        <w:rPr>
          <w:rFonts w:cs="TimesNewRomanPS-BoldItalicMT"/>
          <w:bCs/>
          <w:iCs/>
          <w:szCs w:val="20"/>
        </w:rPr>
        <w:t xml:space="preserve"> zielono.</w:t>
      </w:r>
    </w:p>
    <w:p w14:paraId="6217BDD6" w14:textId="7F0BAD80" w:rsidR="005077FB" w:rsidRPr="009E064B" w:rsidRDefault="005077FB" w:rsidP="005077FB">
      <w:pPr>
        <w:pStyle w:val="Nagwek6"/>
      </w:pPr>
      <w:bookmarkStart w:id="1957" w:name="_Toc12533407"/>
      <w:r w:rsidRPr="009E064B">
        <w:t>GM1 HPT-DSN.</w:t>
      </w:r>
      <w:r>
        <w:t>F.690</w:t>
      </w:r>
      <w:r w:rsidRPr="009E064B">
        <w:t xml:space="preserve">     </w:t>
      </w:r>
      <w:r w:rsidRPr="00900AA5">
        <w:t>System świateł strefy przyziemienia i wznoszenia (TLOF)</w:t>
      </w:r>
      <w:bookmarkEnd w:id="1957"/>
    </w:p>
    <w:p w14:paraId="43DAB6C0" w14:textId="1E04331C" w:rsidR="005077FB" w:rsidRPr="009E064B"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6599BC69" w14:textId="14EA747B" w:rsidR="00F50ACE" w:rsidRPr="00F50ACE" w:rsidRDefault="00236541" w:rsidP="00700A64">
      <w:pPr>
        <w:tabs>
          <w:tab w:val="left" w:pos="0"/>
        </w:tabs>
        <w:autoSpaceDE w:val="0"/>
        <w:autoSpaceDN w:val="0"/>
        <w:adjustRightInd w:val="0"/>
        <w:rPr>
          <w:rFonts w:cs="TimesNewRomanPS-BoldItalicMT"/>
          <w:bCs/>
          <w:iCs/>
          <w:szCs w:val="20"/>
        </w:rPr>
      </w:pPr>
      <w:r w:rsidRPr="00F50ACE">
        <w:rPr>
          <w:rFonts w:cs="TimesNewRomanPS-BoldItalicMT"/>
          <w:bCs/>
          <w:iCs/>
          <w:szCs w:val="20"/>
        </w:rPr>
        <w:t>ASPSL i/lub LP strefy TLOF służące do identyfik</w:t>
      </w:r>
      <w:r w:rsidR="00A348EB" w:rsidRPr="00F50ACE">
        <w:rPr>
          <w:rFonts w:cs="TimesNewRomanPS-BoldItalicMT"/>
          <w:bCs/>
          <w:iCs/>
          <w:szCs w:val="20"/>
        </w:rPr>
        <w:t>acji oznakowania przyziemienia oraz</w:t>
      </w:r>
      <w:r w:rsidRPr="00F50ACE">
        <w:rPr>
          <w:rFonts w:cs="TimesNewRomanPS-BoldItalicMT"/>
          <w:bCs/>
          <w:iCs/>
          <w:szCs w:val="20"/>
        </w:rPr>
        <w:t xml:space="preserve">/lub światła szeroko-strumieniowe, powinny być zapewnione na lotniskach dla śmigłowców przeznaczonych do użytkowania w nocy, </w:t>
      </w:r>
      <w:r w:rsidR="00F50ACE" w:rsidRPr="00F50ACE">
        <w:rPr>
          <w:rFonts w:cs="TimesNewRomanPS-BoldItalicMT"/>
          <w:bCs/>
          <w:iCs/>
          <w:szCs w:val="20"/>
        </w:rPr>
        <w:t>gdy wymagane są bardziej wyraziste wskazówki dotyczące tekstury powierzchni.</w:t>
      </w:r>
    </w:p>
    <w:p w14:paraId="17F1EE1F" w14:textId="4F2A45F9" w:rsidR="005077FB" w:rsidRPr="00DA54CB" w:rsidRDefault="00993DE7" w:rsidP="005077FB">
      <w:pPr>
        <w:pStyle w:val="Nagwek4"/>
        <w:rPr>
          <w:color w:val="auto"/>
        </w:rPr>
      </w:pPr>
      <w:bookmarkStart w:id="1958" w:name="_Toc12533408"/>
      <w:r w:rsidRPr="00DA54CB">
        <w:rPr>
          <w:color w:val="auto"/>
        </w:rPr>
        <w:t>CS HPT-DSN.F.70</w:t>
      </w:r>
      <w:r w:rsidR="005077FB" w:rsidRPr="00DA54CB">
        <w:rPr>
          <w:color w:val="auto"/>
        </w:rPr>
        <w:t>0</w:t>
      </w:r>
      <w:r w:rsidR="005077FB" w:rsidRPr="00DA54CB">
        <w:rPr>
          <w:b w:val="0"/>
          <w:bCs w:val="0"/>
          <w:color w:val="FFFFFF"/>
          <w:sz w:val="32"/>
          <w:szCs w:val="32"/>
        </w:rPr>
        <w:t xml:space="preserve">     </w:t>
      </w:r>
      <w:r w:rsidR="005077FB" w:rsidRPr="00DA54CB">
        <w:t xml:space="preserve">Światła </w:t>
      </w:r>
      <w:r w:rsidRPr="00DA54CB">
        <w:t>drogi kołowania</w:t>
      </w:r>
      <w:bookmarkEnd w:id="1958"/>
    </w:p>
    <w:p w14:paraId="3748DE8C" w14:textId="2208580B" w:rsidR="005077FB" w:rsidRPr="00DA54CB"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588FBD5C" w14:textId="00E84CB4" w:rsidR="00F50ACE" w:rsidRDefault="00236541" w:rsidP="00F50ACE">
      <w:pPr>
        <w:tabs>
          <w:tab w:val="left" w:pos="0"/>
        </w:tabs>
        <w:autoSpaceDE w:val="0"/>
        <w:autoSpaceDN w:val="0"/>
        <w:adjustRightInd w:val="0"/>
        <w:rPr>
          <w:rFonts w:cs="TimesNewRomanPS-BoldItalicMT"/>
          <w:bCs/>
          <w:iCs/>
          <w:szCs w:val="20"/>
        </w:rPr>
      </w:pPr>
      <w:r w:rsidRPr="00DA54CB">
        <w:t xml:space="preserve">Wymagania </w:t>
      </w:r>
      <w:hyperlink w:anchor="_CS_ADR-DSN.M.710_" w:history="1">
        <w:r w:rsidRPr="00DA54CB">
          <w:rPr>
            <w:rStyle w:val="Hipercze"/>
          </w:rPr>
          <w:t>CS</w:t>
        </w:r>
        <w:r w:rsidR="00DA54CB" w:rsidRPr="00DA54CB">
          <w:rPr>
            <w:rStyle w:val="Hipercze"/>
          </w:rPr>
          <w:t> </w:t>
        </w:r>
        <w:r w:rsidRPr="00DA54CB">
          <w:rPr>
            <w:rStyle w:val="Hipercze"/>
          </w:rPr>
          <w:t>ADR-DSN.M.710</w:t>
        </w:r>
      </w:hyperlink>
      <w:r w:rsidRPr="00DA54CB">
        <w:t xml:space="preserve">, </w:t>
      </w:r>
      <w:hyperlink w:anchor="_CS_ADR-DSN.M.715_" w:history="1">
        <w:r w:rsidRPr="00DF65F3">
          <w:rPr>
            <w:rStyle w:val="Hipercze"/>
          </w:rPr>
          <w:t>CS</w:t>
        </w:r>
        <w:r w:rsidR="00DA54CB" w:rsidRPr="00DF65F3">
          <w:rPr>
            <w:rStyle w:val="Hipercze"/>
          </w:rPr>
          <w:t> </w:t>
        </w:r>
        <w:r w:rsidRPr="00DF65F3">
          <w:rPr>
            <w:rStyle w:val="Hipercze"/>
          </w:rPr>
          <w:t>ADR-DSN.M.715</w:t>
        </w:r>
      </w:hyperlink>
      <w:r w:rsidRPr="00DA54CB">
        <w:t xml:space="preserve"> i </w:t>
      </w:r>
      <w:hyperlink w:anchor="_CS_ADR-DSN.M.720_" w:history="1">
        <w:r w:rsidRPr="00DF65F3">
          <w:rPr>
            <w:rStyle w:val="Hipercze"/>
          </w:rPr>
          <w:t>CS</w:t>
        </w:r>
        <w:r w:rsidR="00DA54CB" w:rsidRPr="00DF65F3">
          <w:rPr>
            <w:rStyle w:val="Hipercze"/>
          </w:rPr>
          <w:t> </w:t>
        </w:r>
        <w:r w:rsidRPr="00DF65F3">
          <w:rPr>
            <w:rStyle w:val="Hipercze"/>
          </w:rPr>
          <w:t>ADR-DSN.M.720</w:t>
        </w:r>
      </w:hyperlink>
      <w:r w:rsidR="00F50ACE" w:rsidRPr="00DA54CB">
        <w:t xml:space="preserve"> mają</w:t>
      </w:r>
      <w:r w:rsidRPr="00DA54CB">
        <w:t xml:space="preserve"> także zastosowanie do</w:t>
      </w:r>
      <w:r w:rsidR="00DA54CB">
        <w:t> </w:t>
      </w:r>
      <w:r w:rsidRPr="00F50ACE">
        <w:rPr>
          <w:rFonts w:cs="TimesNewRomanPS-BoldItalicMT"/>
          <w:bCs/>
          <w:iCs/>
          <w:szCs w:val="20"/>
        </w:rPr>
        <w:t>dróg kołowania przeznaczonych do naziemnego kołowania śmigłowców.</w:t>
      </w:r>
      <w:r w:rsidR="00F50ACE">
        <w:rPr>
          <w:rFonts w:cs="TimesNewRomanPS-BoldItalicMT"/>
          <w:bCs/>
          <w:iCs/>
          <w:szCs w:val="20"/>
        </w:rPr>
        <w:t xml:space="preserve"> </w:t>
      </w:r>
      <w:r w:rsidR="00F50ACE">
        <w:rPr>
          <w:rFonts w:cs="TimesNewRomanPS-BoldItalicMT"/>
          <w:bCs/>
          <w:iCs/>
          <w:szCs w:val="20"/>
        </w:rPr>
        <w:br w:type="page"/>
      </w:r>
    </w:p>
    <w:p w14:paraId="330D1773" w14:textId="49FE0898" w:rsidR="005077FB" w:rsidRPr="009E064B" w:rsidRDefault="005077FB" w:rsidP="005077FB">
      <w:pPr>
        <w:pStyle w:val="Nagwek6"/>
      </w:pPr>
      <w:bookmarkStart w:id="1959" w:name="_Toc12533409"/>
      <w:r w:rsidRPr="009E064B">
        <w:t>GM1 HPT-DSN.</w:t>
      </w:r>
      <w:r w:rsidR="00993DE7">
        <w:t>F.70</w:t>
      </w:r>
      <w:r>
        <w:t>0</w:t>
      </w:r>
      <w:r w:rsidRPr="009E064B">
        <w:t xml:space="preserve">     </w:t>
      </w:r>
      <w:r w:rsidR="00993DE7" w:rsidRPr="00900AA5">
        <w:t>Światła drogi kołowania</w:t>
      </w:r>
      <w:bookmarkEnd w:id="1959"/>
    </w:p>
    <w:p w14:paraId="184972B8" w14:textId="5932E803" w:rsidR="005077FB" w:rsidRPr="009E064B"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4C57EA4B" w14:textId="09471EB0" w:rsidR="00133B99" w:rsidRPr="00F50ACE" w:rsidRDefault="00F96F0A" w:rsidP="00F96F0A">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Celowo pozostawiono puste</w:t>
      </w:r>
    </w:p>
    <w:p w14:paraId="268BDD5D" w14:textId="42C076CD" w:rsidR="005077FB" w:rsidRPr="00DF65F3" w:rsidRDefault="00E32CAD" w:rsidP="005077FB">
      <w:pPr>
        <w:pStyle w:val="Nagwek4"/>
        <w:rPr>
          <w:color w:val="auto"/>
        </w:rPr>
      </w:pPr>
      <w:bookmarkStart w:id="1960" w:name="_Toc12533410"/>
      <w:r w:rsidRPr="00DF65F3">
        <w:rPr>
          <w:color w:val="auto"/>
        </w:rPr>
        <w:t>CS HPT-DSN.F.710</w:t>
      </w:r>
      <w:r w:rsidR="005077FB" w:rsidRPr="00DF65F3">
        <w:rPr>
          <w:b w:val="0"/>
          <w:bCs w:val="0"/>
          <w:color w:val="FFFFFF"/>
          <w:sz w:val="32"/>
          <w:szCs w:val="32"/>
        </w:rPr>
        <w:t xml:space="preserve">     </w:t>
      </w:r>
      <w:r w:rsidR="00993DE7" w:rsidRPr="00DF65F3">
        <w:t>Pomoce wzrokowe do oznaczania przeszkód</w:t>
      </w:r>
      <w:bookmarkEnd w:id="1960"/>
    </w:p>
    <w:p w14:paraId="5EB7FF5E" w14:textId="134FCF43" w:rsidR="005077FB" w:rsidRPr="00DF65F3"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00A1AD92" w14:textId="394F5ED0" w:rsidR="005077FB" w:rsidRPr="00F50ACE" w:rsidRDefault="00CB3184" w:rsidP="00CB3184">
      <w:pPr>
        <w:tabs>
          <w:tab w:val="left" w:pos="0"/>
        </w:tabs>
        <w:autoSpaceDE w:val="0"/>
        <w:autoSpaceDN w:val="0"/>
        <w:adjustRightInd w:val="0"/>
        <w:rPr>
          <w:rFonts w:cstheme="minorHAnsi"/>
          <w:szCs w:val="20"/>
        </w:rPr>
      </w:pPr>
      <w:r w:rsidRPr="00DF65F3">
        <w:rPr>
          <w:rFonts w:cs="TimesNewRomanPS-BoldItalicMT"/>
          <w:bCs/>
          <w:iCs/>
          <w:szCs w:val="20"/>
        </w:rPr>
        <w:t xml:space="preserve">Przeszkody powinny być oznakowane zgodnie z wymaganiami </w:t>
      </w:r>
      <w:hyperlink w:anchor="_CS_ADR-DSN.Q.840_" w:history="1">
        <w:r w:rsidRPr="00DF65F3">
          <w:rPr>
            <w:rStyle w:val="Hipercze"/>
            <w:rFonts w:cs="TimesNewRomanPS-BoldItalicMT"/>
            <w:bCs/>
            <w:iCs/>
            <w:szCs w:val="20"/>
          </w:rPr>
          <w:t>CS ADR-DSN.Q.840</w:t>
        </w:r>
      </w:hyperlink>
      <w:r w:rsidRPr="00DF65F3">
        <w:rPr>
          <w:rFonts w:cs="TimesNewRomanPS-BoldItalicMT"/>
          <w:bCs/>
          <w:iCs/>
          <w:szCs w:val="20"/>
        </w:rPr>
        <w:t xml:space="preserve">, </w:t>
      </w:r>
      <w:hyperlink w:anchor="_CS_ADR-DSN.Q.845_" w:history="1">
        <w:r w:rsidRPr="00DF65F3">
          <w:rPr>
            <w:rStyle w:val="Hipercze"/>
            <w:rFonts w:cs="TimesNewRomanPS-BoldItalicMT"/>
            <w:bCs/>
            <w:iCs/>
            <w:szCs w:val="20"/>
          </w:rPr>
          <w:t>CS ADR-DSN.Q.845</w:t>
        </w:r>
      </w:hyperlink>
      <w:r w:rsidR="00DF65F3">
        <w:rPr>
          <w:rFonts w:cs="TimesNewRomanPS-BoldItalicMT"/>
          <w:bCs/>
          <w:iCs/>
          <w:szCs w:val="20"/>
        </w:rPr>
        <w:t xml:space="preserve"> i  </w:t>
      </w:r>
      <w:hyperlink w:anchor="_CS_ADR-DSN.Q.850_" w:history="1">
        <w:r w:rsidRPr="00DF65F3">
          <w:rPr>
            <w:rStyle w:val="Hipercze"/>
            <w:rFonts w:cs="TimesNewRomanPS-BoldItalicMT"/>
            <w:bCs/>
            <w:iCs/>
            <w:szCs w:val="20"/>
          </w:rPr>
          <w:t>CS</w:t>
        </w:r>
        <w:r w:rsidR="00DF65F3" w:rsidRPr="00DF65F3">
          <w:rPr>
            <w:rStyle w:val="Hipercze"/>
            <w:rFonts w:cs="TimesNewRomanPS-BoldItalicMT"/>
            <w:bCs/>
            <w:iCs/>
            <w:szCs w:val="20"/>
          </w:rPr>
          <w:t> </w:t>
        </w:r>
        <w:r w:rsidRPr="00DF65F3">
          <w:rPr>
            <w:rStyle w:val="Hipercze"/>
            <w:rFonts w:cs="TimesNewRomanPS-BoldItalicMT"/>
            <w:bCs/>
            <w:iCs/>
            <w:szCs w:val="20"/>
          </w:rPr>
          <w:t>ADR-DSN.Q.850</w:t>
        </w:r>
      </w:hyperlink>
      <w:r w:rsidRPr="00DF65F3">
        <w:rPr>
          <w:rFonts w:cs="TimesNewRomanPS-BoldItalicMT"/>
          <w:bCs/>
          <w:iCs/>
          <w:szCs w:val="20"/>
        </w:rPr>
        <w:t>.</w:t>
      </w:r>
    </w:p>
    <w:p w14:paraId="558C680B" w14:textId="64224095" w:rsidR="005077FB" w:rsidRPr="009E064B" w:rsidRDefault="005077FB" w:rsidP="005077FB">
      <w:pPr>
        <w:pStyle w:val="Nagwek6"/>
      </w:pPr>
      <w:bookmarkStart w:id="1961" w:name="_Toc12533411"/>
      <w:r w:rsidRPr="009E064B">
        <w:t>GM1 HPT-DSN.</w:t>
      </w:r>
      <w:r>
        <w:t>F.</w:t>
      </w:r>
      <w:r w:rsidR="00E32CAD">
        <w:t>710</w:t>
      </w:r>
      <w:r w:rsidRPr="009E064B">
        <w:t xml:space="preserve">     </w:t>
      </w:r>
      <w:r w:rsidR="00E32CAD" w:rsidRPr="00993DE7">
        <w:t>Pomoce w</w:t>
      </w:r>
      <w:r w:rsidR="00E32CAD">
        <w:t>zrokowe</w:t>
      </w:r>
      <w:r w:rsidR="00E32CAD" w:rsidRPr="00993DE7">
        <w:t xml:space="preserve"> do oznaczania przeszkód</w:t>
      </w:r>
      <w:bookmarkEnd w:id="1961"/>
      <w:r w:rsidR="00E32CAD" w:rsidRPr="00900AA5">
        <w:t xml:space="preserve"> </w:t>
      </w:r>
    </w:p>
    <w:p w14:paraId="06805C12" w14:textId="09587552" w:rsidR="005077FB" w:rsidRPr="009E064B" w:rsidRDefault="001F74A1" w:rsidP="005077FB">
      <w:pPr>
        <w:pStyle w:val="Tekstpodstawowy"/>
        <w:spacing w:after="80"/>
        <w:ind w:left="23" w:firstLine="0"/>
        <w:jc w:val="right"/>
        <w:rPr>
          <w:rFonts w:asciiTheme="minorHAnsi" w:hAnsiTheme="minorHAnsi" w:cstheme="minorHAnsi"/>
          <w:bCs/>
          <w:i/>
          <w:color w:val="1A171C"/>
          <w:sz w:val="16"/>
          <w:szCs w:val="20"/>
        </w:rPr>
      </w:pPr>
      <w:r>
        <w:rPr>
          <w:rFonts w:asciiTheme="minorHAnsi" w:hAnsiTheme="minorHAnsi" w:cstheme="minorHAnsi"/>
          <w:bCs/>
          <w:i/>
          <w:color w:val="1A171C"/>
          <w:sz w:val="16"/>
          <w:szCs w:val="20"/>
        </w:rPr>
        <w:t>Decyzja ED 2019/012/R</w:t>
      </w:r>
    </w:p>
    <w:p w14:paraId="349C4F14" w14:textId="3033956E" w:rsidR="007F5069" w:rsidRPr="00F50ACE" w:rsidRDefault="005077FB" w:rsidP="00CB3184">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 xml:space="preserve">(a) </w:t>
      </w:r>
      <w:r w:rsidRPr="00F50ACE">
        <w:rPr>
          <w:rFonts w:cs="TimesNewRomanPS-BoldItalicMT"/>
          <w:bCs/>
          <w:iCs/>
          <w:szCs w:val="20"/>
        </w:rPr>
        <w:tab/>
        <w:t>Wymagania</w:t>
      </w:r>
      <w:r w:rsidRPr="00F50ACE">
        <w:rPr>
          <w:rFonts w:eastAsia="Verdana" w:cs="Verdana"/>
          <w:bCs/>
          <w:szCs w:val="20"/>
        </w:rPr>
        <w:t xml:space="preserve"> ogólne</w:t>
      </w:r>
      <w:r w:rsidR="00CB3184" w:rsidRPr="00F50ACE">
        <w:rPr>
          <w:rFonts w:eastAsia="Verdana" w:cs="Verdana"/>
          <w:bCs/>
          <w:szCs w:val="20"/>
        </w:rPr>
        <w:t xml:space="preserve">: </w:t>
      </w:r>
      <w:r w:rsidR="00CB3184" w:rsidRPr="00F50ACE">
        <w:rPr>
          <w:rFonts w:cs="TimesNewRomanPS-BoldItalicMT"/>
          <w:bCs/>
          <w:iCs/>
          <w:szCs w:val="20"/>
        </w:rPr>
        <w:t xml:space="preserve">Jeśli nie można </w:t>
      </w:r>
      <w:r w:rsidR="007F5069" w:rsidRPr="00F50ACE">
        <w:rPr>
          <w:rFonts w:cs="TimesNewRomanPS-BoldItalicMT"/>
          <w:bCs/>
          <w:iCs/>
          <w:szCs w:val="20"/>
        </w:rPr>
        <w:t>zainstalować</w:t>
      </w:r>
      <w:r w:rsidR="00CB3184" w:rsidRPr="00F50ACE">
        <w:rPr>
          <w:rFonts w:cs="TimesNewRomanPS-BoldItalicMT"/>
          <w:bCs/>
          <w:iCs/>
          <w:szCs w:val="20"/>
        </w:rPr>
        <w:t xml:space="preserve"> świateł przeszkodowych na przeszkodach na lotnisku dla śmigłowców przeznaczony</w:t>
      </w:r>
      <w:r w:rsidR="007F5069" w:rsidRPr="00F50ACE">
        <w:rPr>
          <w:rFonts w:cs="TimesNewRomanPS-BoldItalicMT"/>
          <w:bCs/>
          <w:iCs/>
          <w:szCs w:val="20"/>
        </w:rPr>
        <w:t xml:space="preserve">m </w:t>
      </w:r>
      <w:r w:rsidR="00CB3184" w:rsidRPr="00F50ACE">
        <w:rPr>
          <w:rFonts w:cs="TimesNewRomanPS-BoldItalicMT"/>
          <w:bCs/>
          <w:iCs/>
          <w:szCs w:val="20"/>
        </w:rPr>
        <w:t xml:space="preserve">do użytku w nocy, </w:t>
      </w:r>
      <w:r w:rsidR="007F5069" w:rsidRPr="00F50ACE">
        <w:rPr>
          <w:rFonts w:cs="TimesNewRomanPS-BoldItalicMT"/>
          <w:bCs/>
          <w:iCs/>
          <w:szCs w:val="20"/>
        </w:rPr>
        <w:t xml:space="preserve">to </w:t>
      </w:r>
      <w:r w:rsidR="00CB3184" w:rsidRPr="00F50ACE">
        <w:rPr>
          <w:rFonts w:cs="TimesNewRomanPS-BoldItalicMT"/>
          <w:bCs/>
          <w:iCs/>
          <w:szCs w:val="20"/>
        </w:rPr>
        <w:t xml:space="preserve">przeszkody </w:t>
      </w:r>
      <w:r w:rsidR="00F50ACE" w:rsidRPr="00F50ACE">
        <w:rPr>
          <w:rFonts w:cs="TimesNewRomanPS-BoldItalicMT"/>
          <w:bCs/>
          <w:iCs/>
          <w:szCs w:val="20"/>
        </w:rPr>
        <w:t xml:space="preserve">te </w:t>
      </w:r>
      <w:r w:rsidR="00CB3184" w:rsidRPr="00F50ACE">
        <w:rPr>
          <w:rFonts w:cs="TimesNewRomanPS-BoldItalicMT"/>
          <w:bCs/>
          <w:iCs/>
          <w:szCs w:val="20"/>
        </w:rPr>
        <w:t>powinny być oświetlone</w:t>
      </w:r>
      <w:r w:rsidR="007F5069" w:rsidRPr="00F50ACE">
        <w:rPr>
          <w:rFonts w:cs="TimesNewRomanPS-BoldItalicMT"/>
          <w:bCs/>
          <w:iCs/>
          <w:szCs w:val="20"/>
        </w:rPr>
        <w:t xml:space="preserve"> światłem szeroko-strumieniowym</w:t>
      </w:r>
      <w:r w:rsidR="00CB3184" w:rsidRPr="00F50ACE">
        <w:rPr>
          <w:rFonts w:cs="TimesNewRomanPS-BoldItalicMT"/>
          <w:bCs/>
          <w:iCs/>
          <w:szCs w:val="20"/>
        </w:rPr>
        <w:t>.</w:t>
      </w:r>
    </w:p>
    <w:p w14:paraId="6285A855" w14:textId="36BC5A45" w:rsidR="007F5069" w:rsidRPr="00F50ACE" w:rsidRDefault="00CB3184" w:rsidP="00CB3184">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 xml:space="preserve">(b) </w:t>
      </w:r>
      <w:r w:rsidR="007F5069" w:rsidRPr="00F50ACE">
        <w:rPr>
          <w:rFonts w:cs="TimesNewRomanPS-BoldItalicMT"/>
          <w:bCs/>
          <w:iCs/>
          <w:szCs w:val="20"/>
        </w:rPr>
        <w:tab/>
      </w:r>
      <w:r w:rsidRPr="00F50ACE">
        <w:rPr>
          <w:rFonts w:cs="TimesNewRomanPS-BoldItalicMT"/>
          <w:bCs/>
          <w:iCs/>
          <w:szCs w:val="20"/>
        </w:rPr>
        <w:t xml:space="preserve">Lokalizacja: </w:t>
      </w:r>
      <w:r w:rsidR="007F5069" w:rsidRPr="00F50ACE">
        <w:rPr>
          <w:rFonts w:cs="TimesNewRomanPS-BoldItalicMT"/>
          <w:bCs/>
          <w:iCs/>
          <w:szCs w:val="20"/>
        </w:rPr>
        <w:t>Światła szeroko-strumieniowe użyte do oświetlania przeszkód</w:t>
      </w:r>
      <w:r w:rsidRPr="00F50ACE">
        <w:rPr>
          <w:rFonts w:cs="TimesNewRomanPS-BoldItalicMT"/>
          <w:bCs/>
          <w:iCs/>
          <w:szCs w:val="20"/>
        </w:rPr>
        <w:t xml:space="preserve"> powinny być tak rozmieszczone, a</w:t>
      </w:r>
      <w:r w:rsidR="00F50ACE" w:rsidRPr="00F50ACE">
        <w:rPr>
          <w:rFonts w:cs="TimesNewRomanPS-BoldItalicMT"/>
          <w:bCs/>
          <w:iCs/>
          <w:szCs w:val="20"/>
        </w:rPr>
        <w:t>by oświetlały całą przeszkodę i</w:t>
      </w:r>
      <w:r w:rsidRPr="00F50ACE">
        <w:rPr>
          <w:rFonts w:cs="TimesNewRomanPS-BoldItalicMT"/>
          <w:bCs/>
          <w:iCs/>
          <w:szCs w:val="20"/>
        </w:rPr>
        <w:t xml:space="preserve"> w miarę możliwoś</w:t>
      </w:r>
      <w:r w:rsidR="00F50ACE" w:rsidRPr="00F50ACE">
        <w:rPr>
          <w:rFonts w:cs="TimesNewRomanPS-BoldItalicMT"/>
          <w:bCs/>
          <w:iCs/>
          <w:szCs w:val="20"/>
        </w:rPr>
        <w:t>ci</w:t>
      </w:r>
      <w:r w:rsidR="007F5069" w:rsidRPr="00F50ACE">
        <w:rPr>
          <w:rFonts w:cs="TimesNewRomanPS-BoldItalicMT"/>
          <w:bCs/>
          <w:iCs/>
          <w:szCs w:val="20"/>
        </w:rPr>
        <w:t xml:space="preserve"> w taki sposób, aby nie oślepiały</w:t>
      </w:r>
      <w:r w:rsidRPr="00F50ACE">
        <w:rPr>
          <w:rFonts w:cs="TimesNewRomanPS-BoldItalicMT"/>
          <w:bCs/>
          <w:iCs/>
          <w:szCs w:val="20"/>
        </w:rPr>
        <w:t xml:space="preserve"> pilotów </w:t>
      </w:r>
      <w:r w:rsidR="007F5069" w:rsidRPr="00F50ACE">
        <w:rPr>
          <w:rFonts w:cs="TimesNewRomanPS-BoldItalicMT"/>
          <w:bCs/>
          <w:iCs/>
          <w:szCs w:val="20"/>
        </w:rPr>
        <w:t>śmigłowców.</w:t>
      </w:r>
    </w:p>
    <w:p w14:paraId="18A6319E" w14:textId="252DEA3B" w:rsidR="00CB3184" w:rsidRPr="00F50ACE" w:rsidRDefault="00CB3184" w:rsidP="00CB3184">
      <w:pPr>
        <w:tabs>
          <w:tab w:val="left" w:pos="567"/>
        </w:tabs>
        <w:autoSpaceDE w:val="0"/>
        <w:autoSpaceDN w:val="0"/>
        <w:adjustRightInd w:val="0"/>
        <w:ind w:left="567" w:hanging="567"/>
        <w:rPr>
          <w:rFonts w:cs="TimesNewRomanPS-BoldItalicMT"/>
          <w:bCs/>
          <w:iCs/>
          <w:szCs w:val="20"/>
        </w:rPr>
      </w:pPr>
      <w:r w:rsidRPr="00F50ACE">
        <w:rPr>
          <w:rFonts w:cs="TimesNewRomanPS-BoldItalicMT"/>
          <w:bCs/>
          <w:iCs/>
          <w:szCs w:val="20"/>
        </w:rPr>
        <w:t xml:space="preserve">(c) </w:t>
      </w:r>
      <w:r w:rsidR="007F5069" w:rsidRPr="00F50ACE">
        <w:rPr>
          <w:rFonts w:cs="TimesNewRomanPS-BoldItalicMT"/>
          <w:bCs/>
          <w:iCs/>
          <w:szCs w:val="20"/>
        </w:rPr>
        <w:tab/>
      </w:r>
      <w:r w:rsidRPr="00F50ACE">
        <w:rPr>
          <w:rFonts w:cs="TimesNewRomanPS-BoldItalicMT"/>
          <w:bCs/>
          <w:iCs/>
          <w:szCs w:val="20"/>
        </w:rPr>
        <w:t xml:space="preserve">Charakterystyka: </w:t>
      </w:r>
      <w:r w:rsidR="007F5069" w:rsidRPr="00F50ACE">
        <w:rPr>
          <w:rFonts w:cs="TimesNewRomanPS-BoldItalicMT"/>
          <w:bCs/>
          <w:iCs/>
          <w:szCs w:val="20"/>
        </w:rPr>
        <w:t xml:space="preserve">Światła szeroko-strumieniowe użyte do oświetlania przeszkód </w:t>
      </w:r>
      <w:r w:rsidR="00F50ACE" w:rsidRPr="00F50ACE">
        <w:rPr>
          <w:rFonts w:cs="TimesNewRomanPS-BoldItalicMT"/>
          <w:bCs/>
          <w:iCs/>
          <w:szCs w:val="20"/>
        </w:rPr>
        <w:t>powinny</w:t>
      </w:r>
      <w:r w:rsidRPr="00F50ACE">
        <w:rPr>
          <w:rFonts w:cs="TimesNewRomanPS-BoldItalicMT"/>
          <w:bCs/>
          <w:iCs/>
          <w:szCs w:val="20"/>
        </w:rPr>
        <w:t xml:space="preserve"> dawać luminancję co najmniej 10 cd</w:t>
      </w:r>
      <w:r w:rsidR="007F5069" w:rsidRPr="00F50ACE">
        <w:rPr>
          <w:rFonts w:cs="TimesNewRomanPS-BoldItalicMT"/>
          <w:bCs/>
          <w:iCs/>
          <w:szCs w:val="20"/>
        </w:rPr>
        <w:t>/</w:t>
      </w:r>
      <w:r w:rsidRPr="00F50ACE">
        <w:rPr>
          <w:rFonts w:cs="TimesNewRomanPS-BoldItalicMT"/>
          <w:bCs/>
          <w:iCs/>
          <w:szCs w:val="20"/>
        </w:rPr>
        <w:t>m</w:t>
      </w:r>
      <w:r w:rsidRPr="00F50ACE">
        <w:rPr>
          <w:rFonts w:cs="TimesNewRomanPS-BoldItalicMT"/>
          <w:bCs/>
          <w:iCs/>
          <w:szCs w:val="20"/>
          <w:vertAlign w:val="superscript"/>
        </w:rPr>
        <w:t>2</w:t>
      </w:r>
      <w:r w:rsidRPr="00F50ACE">
        <w:rPr>
          <w:rFonts w:cs="TimesNewRomanPS-BoldItalicMT"/>
          <w:bCs/>
          <w:iCs/>
          <w:szCs w:val="20"/>
        </w:rPr>
        <w:t>.</w:t>
      </w:r>
    </w:p>
    <w:p w14:paraId="01886146" w14:textId="77777777" w:rsidR="005077FB" w:rsidRPr="00DF65F3" w:rsidRDefault="005077FB" w:rsidP="005077FB">
      <w:pPr>
        <w:tabs>
          <w:tab w:val="left" w:pos="1134"/>
        </w:tabs>
        <w:autoSpaceDE w:val="0"/>
        <w:autoSpaceDN w:val="0"/>
        <w:adjustRightInd w:val="0"/>
        <w:spacing w:after="0"/>
        <w:rPr>
          <w:rFonts w:cs="TimesNewRomanPS-BoldItalicMT"/>
          <w:bCs/>
          <w:iCs/>
          <w:szCs w:val="20"/>
        </w:rPr>
      </w:pPr>
    </w:p>
    <w:p w14:paraId="28462123" w14:textId="143351A5" w:rsidR="00C643ED" w:rsidRPr="00DF65F3" w:rsidRDefault="00C643ED" w:rsidP="00B06A9A"/>
    <w:p w14:paraId="16E44A39" w14:textId="77777777" w:rsidR="00554EDA" w:rsidRPr="009E064B" w:rsidRDefault="00554EDA" w:rsidP="00B06A9A"/>
    <w:p w14:paraId="0D937FEB" w14:textId="6ABB0B2D" w:rsidR="00AD7102" w:rsidRPr="009E064B" w:rsidRDefault="00AD7102" w:rsidP="00B06A9A">
      <w:pPr>
        <w:widowControl/>
        <w:tabs>
          <w:tab w:val="left" w:pos="567"/>
        </w:tabs>
        <w:spacing w:before="120"/>
        <w:ind w:left="567" w:hanging="567"/>
        <w:jc w:val="center"/>
        <w:rPr>
          <w:rFonts w:asciiTheme="minorHAnsi" w:eastAsia="Calibri" w:hAnsiTheme="minorHAnsi" w:cstheme="minorHAnsi"/>
          <w:szCs w:val="18"/>
        </w:rPr>
      </w:pPr>
      <w:r w:rsidRPr="009E064B">
        <w:rPr>
          <w:rFonts w:asciiTheme="minorHAnsi" w:eastAsia="Calibri" w:hAnsiTheme="minorHAnsi" w:cstheme="minorHAnsi"/>
          <w:szCs w:val="18"/>
        </w:rPr>
        <w:t>— Koniec —</w:t>
      </w:r>
    </w:p>
    <w:p w14:paraId="3EF2B122" w14:textId="66686C0F" w:rsidR="00BF3EC7" w:rsidRPr="009E064B" w:rsidRDefault="00BF3EC7" w:rsidP="00722E52">
      <w:pPr>
        <w:widowControl/>
        <w:tabs>
          <w:tab w:val="left" w:pos="0"/>
        </w:tabs>
        <w:spacing w:before="120" w:after="0"/>
        <w:jc w:val="left"/>
        <w:rPr>
          <w:rFonts w:asciiTheme="minorHAnsi" w:eastAsia="Calibri" w:hAnsiTheme="minorHAnsi" w:cstheme="minorHAnsi"/>
          <w:szCs w:val="18"/>
        </w:rPr>
      </w:pPr>
    </w:p>
    <w:p w14:paraId="596C0060" w14:textId="77777777" w:rsidR="001F73BC" w:rsidRPr="009E064B" w:rsidRDefault="001F73BC" w:rsidP="00722E52">
      <w:pPr>
        <w:widowControl/>
        <w:tabs>
          <w:tab w:val="left" w:pos="0"/>
        </w:tabs>
        <w:spacing w:before="120" w:after="0"/>
        <w:jc w:val="left"/>
        <w:rPr>
          <w:rFonts w:asciiTheme="minorHAnsi" w:eastAsia="Calibri" w:hAnsiTheme="minorHAnsi" w:cstheme="minorHAnsi"/>
          <w:szCs w:val="18"/>
        </w:rPr>
      </w:pPr>
    </w:p>
    <w:p w14:paraId="40870799" w14:textId="31EA2E09" w:rsidR="00B93D57" w:rsidRDefault="00B93D57" w:rsidP="00722E52">
      <w:pPr>
        <w:widowControl/>
        <w:tabs>
          <w:tab w:val="left" w:pos="0"/>
        </w:tabs>
        <w:spacing w:after="0"/>
        <w:jc w:val="left"/>
        <w:rPr>
          <w:rFonts w:asciiTheme="minorHAnsi" w:eastAsia="Calibri" w:hAnsiTheme="minorHAnsi" w:cstheme="minorHAnsi"/>
          <w:szCs w:val="18"/>
        </w:rPr>
      </w:pPr>
    </w:p>
    <w:p w14:paraId="7FF4E775" w14:textId="70CCFDDF" w:rsidR="007F5069" w:rsidRDefault="007F5069" w:rsidP="00722E52">
      <w:pPr>
        <w:widowControl/>
        <w:tabs>
          <w:tab w:val="left" w:pos="0"/>
        </w:tabs>
        <w:spacing w:after="0"/>
        <w:jc w:val="left"/>
        <w:rPr>
          <w:rFonts w:asciiTheme="minorHAnsi" w:eastAsia="Calibri" w:hAnsiTheme="minorHAnsi" w:cstheme="minorHAnsi"/>
          <w:szCs w:val="18"/>
        </w:rPr>
      </w:pPr>
    </w:p>
    <w:p w14:paraId="033458CA" w14:textId="77777777" w:rsidR="007F5069" w:rsidRPr="009E064B" w:rsidRDefault="007F5069" w:rsidP="00722E52">
      <w:pPr>
        <w:widowControl/>
        <w:tabs>
          <w:tab w:val="left" w:pos="0"/>
        </w:tabs>
        <w:spacing w:after="0"/>
        <w:jc w:val="left"/>
        <w:rPr>
          <w:rFonts w:asciiTheme="minorHAnsi" w:eastAsia="Calibri" w:hAnsiTheme="minorHAnsi" w:cstheme="minorHAnsi"/>
          <w:szCs w:val="18"/>
        </w:rPr>
      </w:pPr>
    </w:p>
    <w:p w14:paraId="6EE416CF" w14:textId="77777777" w:rsidR="00722E52" w:rsidRPr="009E064B" w:rsidRDefault="00722E52" w:rsidP="00BF3EC7">
      <w:pPr>
        <w:widowControl/>
        <w:tabs>
          <w:tab w:val="left" w:pos="0"/>
        </w:tabs>
        <w:spacing w:before="120"/>
        <w:jc w:val="left"/>
        <w:rPr>
          <w:rFonts w:asciiTheme="minorHAnsi" w:eastAsia="Calibri" w:hAnsiTheme="minorHAnsi" w:cstheme="minorHAnsi"/>
          <w:szCs w:val="18"/>
        </w:rPr>
      </w:pPr>
    </w:p>
    <w:p w14:paraId="531E8CBF"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14D8AD57"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4E8F4381"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661857A8"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77DCA7EC"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51D6D03D"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59CEA7DB"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6A898989"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474D87D1"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7247C5CF"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6B017C51" w14:textId="77777777" w:rsidR="00341CFF" w:rsidRDefault="00341CFF" w:rsidP="00722E52">
      <w:pPr>
        <w:widowControl/>
        <w:tabs>
          <w:tab w:val="left" w:pos="0"/>
        </w:tabs>
        <w:spacing w:after="0" w:line="288" w:lineRule="auto"/>
        <w:jc w:val="left"/>
        <w:rPr>
          <w:rFonts w:ascii="Times New Roman" w:eastAsia="Calibri" w:hAnsi="Times New Roman" w:cs="Times New Roman"/>
          <w:i/>
          <w:sz w:val="20"/>
          <w:szCs w:val="20"/>
        </w:rPr>
      </w:pPr>
    </w:p>
    <w:p w14:paraId="640925F6" w14:textId="79772633" w:rsidR="00722E52" w:rsidRDefault="00BF3EC7" w:rsidP="00722E52">
      <w:pPr>
        <w:widowControl/>
        <w:tabs>
          <w:tab w:val="left" w:pos="0"/>
        </w:tabs>
        <w:spacing w:after="0" w:line="288" w:lineRule="auto"/>
        <w:jc w:val="left"/>
        <w:rPr>
          <w:rStyle w:val="Hipercze"/>
          <w:rFonts w:ascii="Times New Roman" w:eastAsia="Calibri" w:hAnsi="Times New Roman" w:cs="Times New Roman"/>
          <w:i/>
          <w:sz w:val="20"/>
          <w:szCs w:val="20"/>
        </w:rPr>
      </w:pPr>
      <w:r w:rsidRPr="009E064B">
        <w:rPr>
          <w:rFonts w:ascii="Times New Roman" w:eastAsia="Calibri" w:hAnsi="Times New Roman" w:cs="Times New Roman"/>
          <w:i/>
          <w:sz w:val="20"/>
          <w:szCs w:val="20"/>
        </w:rPr>
        <w:t xml:space="preserve">Uwagi do tłumaczenia </w:t>
      </w:r>
      <w:r w:rsidR="00A4182C" w:rsidRPr="009E064B">
        <w:rPr>
          <w:rFonts w:ascii="Times New Roman" w:eastAsia="Calibri" w:hAnsi="Times New Roman" w:cs="Times New Roman"/>
          <w:i/>
          <w:sz w:val="20"/>
          <w:szCs w:val="20"/>
        </w:rPr>
        <w:t>można zgłaszać</w:t>
      </w:r>
      <w:r w:rsidRPr="009E064B">
        <w:rPr>
          <w:rFonts w:ascii="Times New Roman" w:eastAsia="Calibri" w:hAnsi="Times New Roman" w:cs="Times New Roman"/>
          <w:i/>
          <w:sz w:val="20"/>
          <w:szCs w:val="20"/>
        </w:rPr>
        <w:t xml:space="preserve"> </w:t>
      </w:r>
      <w:r w:rsidR="00DF65F3">
        <w:rPr>
          <w:rFonts w:ascii="Times New Roman" w:eastAsia="Calibri" w:hAnsi="Times New Roman" w:cs="Times New Roman"/>
          <w:i/>
          <w:sz w:val="20"/>
          <w:szCs w:val="20"/>
        </w:rPr>
        <w:t xml:space="preserve">do ULC </w:t>
      </w:r>
      <w:r w:rsidRPr="009E064B">
        <w:rPr>
          <w:rFonts w:ascii="Times New Roman" w:eastAsia="Calibri" w:hAnsi="Times New Roman" w:cs="Times New Roman"/>
          <w:i/>
          <w:sz w:val="20"/>
          <w:szCs w:val="20"/>
        </w:rPr>
        <w:t>na adres:</w:t>
      </w:r>
      <w:r w:rsidR="00722E52" w:rsidRPr="009E064B">
        <w:rPr>
          <w:rFonts w:ascii="Times New Roman" w:eastAsia="Calibri" w:hAnsi="Times New Roman" w:cs="Times New Roman"/>
          <w:i/>
          <w:sz w:val="20"/>
          <w:szCs w:val="20"/>
        </w:rPr>
        <w:t xml:space="preserve"> </w:t>
      </w:r>
      <w:hyperlink r:id="rId350" w:history="1">
        <w:r w:rsidRPr="009E064B">
          <w:rPr>
            <w:rStyle w:val="Hipercze"/>
            <w:rFonts w:ascii="Times New Roman" w:eastAsia="Calibri" w:hAnsi="Times New Roman" w:cs="Times New Roman"/>
            <w:i/>
            <w:sz w:val="20"/>
            <w:szCs w:val="20"/>
          </w:rPr>
          <w:t>rkita@ulc.gov.pl</w:t>
        </w:r>
      </w:hyperlink>
    </w:p>
    <w:p w14:paraId="49407E94" w14:textId="77777777" w:rsidR="00341CFF" w:rsidRPr="009E064B" w:rsidRDefault="00341CFF" w:rsidP="00722E52">
      <w:pPr>
        <w:widowControl/>
        <w:tabs>
          <w:tab w:val="left" w:pos="0"/>
        </w:tabs>
        <w:spacing w:after="0" w:line="288" w:lineRule="auto"/>
        <w:jc w:val="left"/>
        <w:rPr>
          <w:rFonts w:ascii="Times New Roman" w:eastAsia="Calibri" w:hAnsi="Times New Roman" w:cs="Times New Roman"/>
          <w:i/>
          <w:color w:val="0000FF" w:themeColor="hyperlink"/>
          <w:sz w:val="20"/>
          <w:szCs w:val="20"/>
          <w:u w:val="single"/>
        </w:rPr>
      </w:pPr>
    </w:p>
    <w:sectPr w:rsidR="00341CFF" w:rsidRPr="009E064B" w:rsidSect="00E300A0">
      <w:pgSz w:w="11906" w:h="16840" w:code="9"/>
      <w:pgMar w:top="1701" w:right="1418" w:bottom="1418" w:left="1418" w:header="567" w:footer="454"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59B61C" w14:textId="77777777" w:rsidR="00870777" w:rsidRDefault="00870777" w:rsidP="00DC7DA6">
      <w:r>
        <w:separator/>
      </w:r>
    </w:p>
  </w:endnote>
  <w:endnote w:type="continuationSeparator" w:id="0">
    <w:p w14:paraId="2AFDCA03" w14:textId="77777777" w:rsidR="00870777" w:rsidRDefault="00870777" w:rsidP="00DC7D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T95Co00">
    <w:panose1 w:val="00000000000000000000"/>
    <w:charset w:val="EE"/>
    <w:family w:val="auto"/>
    <w:notTrueType/>
    <w:pitch w:val="default"/>
    <w:sig w:usb0="00000005" w:usb1="00000000" w:usb2="00000000" w:usb3="00000000" w:csb0="00000002" w:csb1="00000000"/>
  </w:font>
  <w:font w:name="TT95Do00">
    <w:panose1 w:val="00000000000000000000"/>
    <w:charset w:val="EE"/>
    <w:family w:val="auto"/>
    <w:notTrueType/>
    <w:pitch w:val="default"/>
    <w:sig w:usb0="00000005" w:usb1="00000000" w:usb2="00000000" w:usb3="00000000" w:csb0="00000002" w:csb1="00000000"/>
  </w:font>
  <w:font w:name="Times New Roman,Italic">
    <w:panose1 w:val="00000000000000000000"/>
    <w:charset w:val="80"/>
    <w:family w:val="auto"/>
    <w:notTrueType/>
    <w:pitch w:val="default"/>
    <w:sig w:usb0="00000007" w:usb1="08070000" w:usb2="00000010" w:usb3="00000000" w:csb0="00020003" w:csb1="00000000"/>
  </w:font>
  <w:font w:name="Times New Roman,Bold">
    <w:altName w:val="MS Mincho"/>
    <w:panose1 w:val="00000000000000000000"/>
    <w:charset w:val="80"/>
    <w:family w:val="auto"/>
    <w:notTrueType/>
    <w:pitch w:val="default"/>
    <w:sig w:usb0="00000003" w:usb1="08070000" w:usb2="00000010" w:usb3="00000000" w:csb0="00020001" w:csb1="00000000"/>
  </w:font>
  <w:font w:name="TimesNewRomanPS-BoldMT">
    <w:panose1 w:val="00000000000000000000"/>
    <w:charset w:val="00"/>
    <w:family w:val="roman"/>
    <w:notTrueType/>
    <w:pitch w:val="default"/>
    <w:sig w:usb0="00000007" w:usb1="00000000" w:usb2="00000000" w:usb3="00000000" w:csb0="00000003"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 New Roman,BoldItalic">
    <w:altName w:val="Arial"/>
    <w:panose1 w:val="00000000000000000000"/>
    <w:charset w:val="00"/>
    <w:family w:val="swiss"/>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928380991"/>
      <w:docPartObj>
        <w:docPartGallery w:val="Page Numbers (Bottom of Page)"/>
        <w:docPartUnique/>
      </w:docPartObj>
    </w:sdtPr>
    <w:sdtEndPr/>
    <w:sdtContent>
      <w:sdt>
        <w:sdtPr>
          <w:rPr>
            <w:sz w:val="20"/>
            <w:szCs w:val="20"/>
          </w:rPr>
          <w:id w:val="1728636285"/>
          <w:docPartObj>
            <w:docPartGallery w:val="Page Numbers (Top of Page)"/>
            <w:docPartUnique/>
          </w:docPartObj>
        </w:sdtPr>
        <w:sdtEndPr/>
        <w:sdtContent>
          <w:p w14:paraId="2F3819C6" w14:textId="33FFDA36" w:rsidR="003832F2" w:rsidRPr="00AC537C" w:rsidRDefault="003832F2" w:rsidP="00AC537C">
            <w:pPr>
              <w:pStyle w:val="Stopka"/>
              <w:jc w:val="center"/>
              <w:rPr>
                <w:sz w:val="20"/>
                <w:szCs w:val="20"/>
              </w:rPr>
            </w:pPr>
            <w:r w:rsidRPr="00AC537C">
              <w:rPr>
                <w:sz w:val="20"/>
                <w:szCs w:val="20"/>
              </w:rPr>
              <w:t xml:space="preserve">Strona </w:t>
            </w:r>
            <w:r w:rsidRPr="00AC537C">
              <w:rPr>
                <w:bCs/>
                <w:sz w:val="20"/>
                <w:szCs w:val="20"/>
              </w:rPr>
              <w:fldChar w:fldCharType="begin"/>
            </w:r>
            <w:r w:rsidRPr="00AC537C">
              <w:rPr>
                <w:bCs/>
                <w:sz w:val="20"/>
                <w:szCs w:val="20"/>
              </w:rPr>
              <w:instrText>PAGE</w:instrText>
            </w:r>
            <w:r w:rsidRPr="00AC537C">
              <w:rPr>
                <w:bCs/>
                <w:sz w:val="20"/>
                <w:szCs w:val="20"/>
              </w:rPr>
              <w:fldChar w:fldCharType="separate"/>
            </w:r>
            <w:r>
              <w:rPr>
                <w:bCs/>
                <w:noProof/>
                <w:sz w:val="20"/>
                <w:szCs w:val="20"/>
              </w:rPr>
              <w:t>3</w:t>
            </w:r>
            <w:r w:rsidRPr="00AC537C">
              <w:rPr>
                <w:bCs/>
                <w:sz w:val="20"/>
                <w:szCs w:val="20"/>
              </w:rPr>
              <w:fldChar w:fldCharType="end"/>
            </w:r>
            <w:r w:rsidRPr="00AC537C">
              <w:rPr>
                <w:sz w:val="20"/>
                <w:szCs w:val="20"/>
              </w:rPr>
              <w:t xml:space="preserve"> z </w:t>
            </w:r>
            <w:r w:rsidRPr="00AC537C">
              <w:rPr>
                <w:bCs/>
                <w:sz w:val="20"/>
                <w:szCs w:val="20"/>
              </w:rPr>
              <w:fldChar w:fldCharType="begin"/>
            </w:r>
            <w:r w:rsidRPr="00AC537C">
              <w:rPr>
                <w:bCs/>
                <w:sz w:val="20"/>
                <w:szCs w:val="20"/>
              </w:rPr>
              <w:instrText>NUMPAGES</w:instrText>
            </w:r>
            <w:r w:rsidRPr="00AC537C">
              <w:rPr>
                <w:bCs/>
                <w:sz w:val="20"/>
                <w:szCs w:val="20"/>
              </w:rPr>
              <w:fldChar w:fldCharType="separate"/>
            </w:r>
            <w:r w:rsidR="00F755B7">
              <w:rPr>
                <w:bCs/>
                <w:noProof/>
                <w:sz w:val="20"/>
                <w:szCs w:val="20"/>
              </w:rPr>
              <w:t>675</w:t>
            </w:r>
            <w:r w:rsidRPr="00AC537C">
              <w:rPr>
                <w:bCs/>
                <w:sz w:val="20"/>
                <w:szCs w:val="20"/>
              </w:rPr>
              <w:fldChar w:fldCharType="end"/>
            </w:r>
          </w:p>
        </w:sdtContent>
      </w:sdt>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2011014931"/>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6A90B2E7" w14:textId="77777777" w:rsidTr="0093500B">
          <w:trPr>
            <w:trHeight w:val="117"/>
          </w:trPr>
          <w:tc>
            <w:tcPr>
              <w:tcW w:w="1667" w:type="pct"/>
              <w:tcMar>
                <w:left w:w="0" w:type="dxa"/>
                <w:right w:w="0" w:type="dxa"/>
              </w:tcMar>
              <w:vAlign w:val="center"/>
            </w:tcPr>
            <w:p w14:paraId="317A202E" w14:textId="10FE88C4"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98891438"/>
                <w:docPartObj>
                  <w:docPartGallery w:val="Page Numbers (Bottom of Page)"/>
                  <w:docPartUnique/>
                </w:docPartObj>
              </w:sdtPr>
              <w:sdtEndPr/>
              <w:sdtContent>
                <w:p w14:paraId="353154BC" w14:textId="1A8D9D38" w:rsidR="003832F2" w:rsidRPr="008F0591" w:rsidRDefault="003832F2" w:rsidP="0093500B">
                  <w:pPr>
                    <w:pStyle w:val="Stopka"/>
                    <w:spacing w:before="40" w:after="0"/>
                    <w:jc w:val="center"/>
                  </w:pPr>
                  <w:r>
                    <w:fldChar w:fldCharType="begin"/>
                  </w:r>
                  <w:r>
                    <w:instrText>PAGE   \* MERGEFORMAT</w:instrText>
                  </w:r>
                  <w:r>
                    <w:fldChar w:fldCharType="separate"/>
                  </w:r>
                  <w:r w:rsidR="00F755B7">
                    <w:rPr>
                      <w:noProof/>
                    </w:rPr>
                    <w:t>275</w:t>
                  </w:r>
                  <w:r>
                    <w:fldChar w:fldCharType="end"/>
                  </w:r>
                </w:p>
              </w:sdtContent>
            </w:sdt>
          </w:tc>
          <w:tc>
            <w:tcPr>
              <w:tcW w:w="1666" w:type="pct"/>
              <w:tcMar>
                <w:left w:w="0" w:type="dxa"/>
                <w:right w:w="0" w:type="dxa"/>
              </w:tcMar>
              <w:vAlign w:val="center"/>
            </w:tcPr>
            <w:p w14:paraId="408C89D6" w14:textId="33E12D25" w:rsidR="003832F2" w:rsidRPr="0093500B" w:rsidRDefault="003832F2" w:rsidP="0093500B">
              <w:pPr>
                <w:pStyle w:val="Stopka"/>
                <w:spacing w:after="0"/>
                <w:jc w:val="right"/>
                <w:rPr>
                  <w:i/>
                  <w:sz w:val="18"/>
                  <w:szCs w:val="20"/>
                </w:rPr>
              </w:pPr>
              <w:r>
                <w:rPr>
                  <w:i/>
                  <w:sz w:val="18"/>
                  <w:szCs w:val="20"/>
                </w:rPr>
                <w:t>Maj 2019</w:t>
              </w:r>
            </w:p>
          </w:tc>
        </w:tr>
      </w:tbl>
      <w:p w14:paraId="62C087C5" w14:textId="2E28C8FB" w:rsidR="003832F2" w:rsidRDefault="00870777" w:rsidP="00E300A0">
        <w:pPr>
          <w:spacing w:after="0"/>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7767B770" w14:textId="77777777" w:rsidTr="00085A04">
      <w:trPr>
        <w:trHeight w:val="117"/>
      </w:trPr>
      <w:tc>
        <w:tcPr>
          <w:tcW w:w="1667" w:type="pct"/>
          <w:tcMar>
            <w:left w:w="0" w:type="dxa"/>
            <w:right w:w="0" w:type="dxa"/>
          </w:tcMar>
          <w:vAlign w:val="center"/>
        </w:tcPr>
        <w:p w14:paraId="4CE160E9" w14:textId="77777777" w:rsidR="003832F2" w:rsidRPr="00461299" w:rsidRDefault="003832F2"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458146679"/>
            <w:docPartObj>
              <w:docPartGallery w:val="Page Numbers (Bottom of Page)"/>
              <w:docPartUnique/>
            </w:docPartObj>
          </w:sdtPr>
          <w:sdtEndPr/>
          <w:sdtContent>
            <w:p w14:paraId="7D4F98CB" w14:textId="6C0FECD6" w:rsidR="003832F2" w:rsidRPr="008F0591" w:rsidRDefault="003832F2" w:rsidP="000B0BDC">
              <w:pPr>
                <w:pStyle w:val="Stopka"/>
                <w:spacing w:before="40" w:after="0"/>
                <w:jc w:val="center"/>
              </w:pPr>
              <w:r>
                <w:fldChar w:fldCharType="begin"/>
              </w:r>
              <w:r>
                <w:instrText>PAGE   \* MERGEFORMAT</w:instrText>
              </w:r>
              <w:r>
                <w:fldChar w:fldCharType="separate"/>
              </w:r>
              <w:r w:rsidR="00F755B7">
                <w:rPr>
                  <w:noProof/>
                </w:rPr>
                <w:t>436</w:t>
              </w:r>
              <w:r>
                <w:fldChar w:fldCharType="end"/>
              </w:r>
            </w:p>
          </w:sdtContent>
        </w:sdt>
      </w:tc>
      <w:tc>
        <w:tcPr>
          <w:tcW w:w="1666" w:type="pct"/>
          <w:tcMar>
            <w:left w:w="0" w:type="dxa"/>
            <w:right w:w="0" w:type="dxa"/>
          </w:tcMar>
          <w:vAlign w:val="center"/>
        </w:tcPr>
        <w:p w14:paraId="71A58EE4" w14:textId="46553899" w:rsidR="003832F2" w:rsidRPr="0093500B" w:rsidRDefault="003832F2" w:rsidP="000B0BDC">
          <w:pPr>
            <w:pStyle w:val="Stopka"/>
            <w:spacing w:after="0"/>
            <w:jc w:val="right"/>
            <w:rPr>
              <w:i/>
              <w:sz w:val="18"/>
              <w:szCs w:val="20"/>
            </w:rPr>
          </w:pPr>
          <w:r>
            <w:rPr>
              <w:i/>
              <w:sz w:val="18"/>
              <w:szCs w:val="20"/>
            </w:rPr>
            <w:t>Maj 2019</w:t>
          </w:r>
        </w:p>
      </w:tc>
    </w:tr>
  </w:tbl>
  <w:p w14:paraId="5F8D0FCB" w14:textId="77777777" w:rsidR="003832F2" w:rsidRPr="00605746" w:rsidRDefault="003832F2" w:rsidP="00E140D8">
    <w:pPr>
      <w:pStyle w:val="Stopka"/>
      <w:spacing w:after="0"/>
      <w:rPr>
        <w:szCs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720401972"/>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537C9FFB" w14:textId="77777777" w:rsidTr="00085A04">
          <w:trPr>
            <w:trHeight w:val="117"/>
          </w:trPr>
          <w:tc>
            <w:tcPr>
              <w:tcW w:w="1667" w:type="pct"/>
              <w:tcMar>
                <w:left w:w="0" w:type="dxa"/>
                <w:right w:w="0" w:type="dxa"/>
              </w:tcMar>
              <w:vAlign w:val="center"/>
            </w:tcPr>
            <w:p w14:paraId="1FDCE5CA" w14:textId="427CEE55" w:rsidR="003832F2" w:rsidRPr="00461299" w:rsidRDefault="003832F2"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525980376"/>
                <w:docPartObj>
                  <w:docPartGallery w:val="Page Numbers (Bottom of Page)"/>
                  <w:docPartUnique/>
                </w:docPartObj>
              </w:sdtPr>
              <w:sdtEndPr/>
              <w:sdtContent>
                <w:p w14:paraId="78682D14" w14:textId="4E0915F4" w:rsidR="003832F2" w:rsidRPr="008F0591" w:rsidRDefault="003832F2" w:rsidP="000B0BDC">
                  <w:pPr>
                    <w:pStyle w:val="Stopka"/>
                    <w:spacing w:before="40" w:after="0"/>
                    <w:jc w:val="center"/>
                  </w:pPr>
                  <w:r>
                    <w:fldChar w:fldCharType="begin"/>
                  </w:r>
                  <w:r>
                    <w:instrText>PAGE   \* MERGEFORMAT</w:instrText>
                  </w:r>
                  <w:r>
                    <w:fldChar w:fldCharType="separate"/>
                  </w:r>
                  <w:r w:rsidR="00F755B7">
                    <w:rPr>
                      <w:noProof/>
                    </w:rPr>
                    <w:t>329</w:t>
                  </w:r>
                  <w:r>
                    <w:fldChar w:fldCharType="end"/>
                  </w:r>
                </w:p>
              </w:sdtContent>
            </w:sdt>
          </w:tc>
          <w:tc>
            <w:tcPr>
              <w:tcW w:w="1666" w:type="pct"/>
              <w:tcMar>
                <w:left w:w="0" w:type="dxa"/>
                <w:right w:w="0" w:type="dxa"/>
              </w:tcMar>
              <w:vAlign w:val="center"/>
            </w:tcPr>
            <w:p w14:paraId="4F964908" w14:textId="13A19E52" w:rsidR="003832F2" w:rsidRPr="0093500B" w:rsidRDefault="003832F2" w:rsidP="000B0BDC">
              <w:pPr>
                <w:pStyle w:val="Stopka"/>
                <w:spacing w:after="0"/>
                <w:jc w:val="right"/>
                <w:rPr>
                  <w:i/>
                  <w:sz w:val="18"/>
                  <w:szCs w:val="20"/>
                </w:rPr>
              </w:pPr>
              <w:r>
                <w:rPr>
                  <w:i/>
                  <w:sz w:val="18"/>
                  <w:szCs w:val="20"/>
                </w:rPr>
                <w:t>Maj 2019</w:t>
              </w:r>
            </w:p>
          </w:tc>
        </w:tr>
      </w:tbl>
      <w:p w14:paraId="708EFECC" w14:textId="68BC6966" w:rsidR="003832F2" w:rsidRDefault="00870777" w:rsidP="00E140D8">
        <w:pPr>
          <w:pStyle w:val="Stopka"/>
          <w:spacing w:after="0"/>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492988916"/>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832F2" w:rsidRPr="0093500B" w14:paraId="7A5FE7AA" w14:textId="77777777" w:rsidTr="00085A04">
          <w:trPr>
            <w:trHeight w:val="117"/>
          </w:trPr>
          <w:tc>
            <w:tcPr>
              <w:tcW w:w="1667" w:type="pct"/>
              <w:tcMar>
                <w:left w:w="0" w:type="dxa"/>
                <w:right w:w="0" w:type="dxa"/>
              </w:tcMar>
              <w:vAlign w:val="center"/>
            </w:tcPr>
            <w:p w14:paraId="3DB332C2" w14:textId="6416EBCC" w:rsidR="003832F2" w:rsidRPr="00461299" w:rsidRDefault="003832F2" w:rsidP="000B0BD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479333838"/>
                <w:docPartObj>
                  <w:docPartGallery w:val="Page Numbers (Bottom of Page)"/>
                  <w:docPartUnique/>
                </w:docPartObj>
              </w:sdtPr>
              <w:sdtEndPr/>
              <w:sdtContent>
                <w:p w14:paraId="1EAF071C" w14:textId="762FA46E" w:rsidR="003832F2" w:rsidRPr="008F0591" w:rsidRDefault="003832F2" w:rsidP="000B0BDC">
                  <w:pPr>
                    <w:pStyle w:val="Stopka"/>
                    <w:spacing w:before="40" w:after="0"/>
                    <w:jc w:val="center"/>
                  </w:pPr>
                  <w:r>
                    <w:fldChar w:fldCharType="begin"/>
                  </w:r>
                  <w:r>
                    <w:instrText>PAGE   \* MERGEFORMAT</w:instrText>
                  </w:r>
                  <w:r>
                    <w:fldChar w:fldCharType="separate"/>
                  </w:r>
                  <w:r w:rsidR="00F755B7">
                    <w:rPr>
                      <w:noProof/>
                    </w:rPr>
                    <w:t>427</w:t>
                  </w:r>
                  <w:r>
                    <w:fldChar w:fldCharType="end"/>
                  </w:r>
                </w:p>
              </w:sdtContent>
            </w:sdt>
          </w:tc>
          <w:tc>
            <w:tcPr>
              <w:tcW w:w="1666" w:type="pct"/>
              <w:tcMar>
                <w:left w:w="0" w:type="dxa"/>
                <w:right w:w="0" w:type="dxa"/>
              </w:tcMar>
              <w:vAlign w:val="center"/>
            </w:tcPr>
            <w:p w14:paraId="3BB06D5A" w14:textId="351761C5" w:rsidR="003832F2" w:rsidRPr="0093500B" w:rsidRDefault="003832F2" w:rsidP="000B0BDC">
              <w:pPr>
                <w:pStyle w:val="Stopka"/>
                <w:spacing w:after="0"/>
                <w:jc w:val="right"/>
                <w:rPr>
                  <w:i/>
                  <w:sz w:val="18"/>
                  <w:szCs w:val="20"/>
                </w:rPr>
              </w:pPr>
              <w:r>
                <w:rPr>
                  <w:i/>
                  <w:sz w:val="18"/>
                  <w:szCs w:val="20"/>
                </w:rPr>
                <w:t>Maj 2019</w:t>
              </w:r>
            </w:p>
          </w:tc>
        </w:tr>
      </w:tbl>
      <w:p w14:paraId="39FC2E7E" w14:textId="77777777" w:rsidR="003832F2" w:rsidRDefault="00870777" w:rsidP="00605746">
        <w:pPr>
          <w:pStyle w:val="Stopka"/>
          <w:spacing w:after="0"/>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461374341"/>
      <w:docPartObj>
        <w:docPartGallery w:val="Page Numbers (Bottom of Page)"/>
        <w:docPartUnique/>
      </w:docPartObj>
    </w:sdtPr>
    <w:sdtEndPr>
      <w:rPr>
        <w:i w:val="0"/>
        <w:color w:val="auto"/>
        <w:sz w:val="22"/>
        <w:szCs w:val="22"/>
      </w:rPr>
    </w:sdtEndPr>
    <w:sdtContent>
      <w:tbl>
        <w:tblPr>
          <w:tblStyle w:val="Tabela-Siatka"/>
          <w:tblW w:w="5161"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9"/>
          <w:gridCol w:w="4816"/>
        </w:tblGrid>
        <w:tr w:rsidR="003832F2" w:rsidRPr="0093500B" w14:paraId="56C7F2DA" w14:textId="77777777" w:rsidTr="00085A04">
          <w:trPr>
            <w:trHeight w:val="117"/>
          </w:trPr>
          <w:tc>
            <w:tcPr>
              <w:tcW w:w="1667" w:type="pct"/>
              <w:tcMar>
                <w:left w:w="0" w:type="dxa"/>
                <w:right w:w="0" w:type="dxa"/>
              </w:tcMar>
              <w:vAlign w:val="center"/>
            </w:tcPr>
            <w:p w14:paraId="71FDDB57" w14:textId="3BF50D70"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098166233"/>
                <w:docPartObj>
                  <w:docPartGallery w:val="Page Numbers (Bottom of Page)"/>
                  <w:docPartUnique/>
                </w:docPartObj>
              </w:sdtPr>
              <w:sdtEndPr/>
              <w:sdtContent>
                <w:p w14:paraId="32D49463" w14:textId="56E704B3"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437</w:t>
                  </w:r>
                  <w:r>
                    <w:fldChar w:fldCharType="end"/>
                  </w:r>
                </w:p>
              </w:sdtContent>
            </w:sdt>
          </w:tc>
          <w:tc>
            <w:tcPr>
              <w:tcW w:w="1666" w:type="pct"/>
              <w:tcMar>
                <w:left w:w="0" w:type="dxa"/>
                <w:right w:w="0" w:type="dxa"/>
              </w:tcMar>
              <w:vAlign w:val="center"/>
            </w:tcPr>
            <w:p w14:paraId="204D7681" w14:textId="70546A91" w:rsidR="003832F2" w:rsidRPr="0093500B" w:rsidRDefault="003832F2" w:rsidP="00085A04">
              <w:pPr>
                <w:pStyle w:val="Stopka"/>
                <w:spacing w:after="0"/>
                <w:jc w:val="right"/>
                <w:rPr>
                  <w:i/>
                  <w:sz w:val="18"/>
                  <w:szCs w:val="20"/>
                </w:rPr>
              </w:pPr>
              <w:r>
                <w:rPr>
                  <w:i/>
                  <w:sz w:val="18"/>
                  <w:szCs w:val="20"/>
                </w:rPr>
                <w:t>Maj 2019</w:t>
              </w:r>
            </w:p>
          </w:tc>
        </w:tr>
      </w:tbl>
      <w:p w14:paraId="4EAA8AB7" w14:textId="77777777" w:rsidR="003832F2" w:rsidRDefault="00870777" w:rsidP="009D1A1A">
        <w:pPr>
          <w:pStyle w:val="Stopka"/>
          <w:spacing w:after="0"/>
        </w:pP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27D648A7" w14:textId="77777777" w:rsidTr="00085A04">
      <w:trPr>
        <w:trHeight w:val="117"/>
      </w:trPr>
      <w:tc>
        <w:tcPr>
          <w:tcW w:w="1667" w:type="pct"/>
          <w:tcMar>
            <w:left w:w="0" w:type="dxa"/>
            <w:right w:w="0" w:type="dxa"/>
          </w:tcMar>
          <w:vAlign w:val="center"/>
        </w:tcPr>
        <w:p w14:paraId="7BEB4AD8" w14:textId="77777777"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42890345"/>
            <w:docPartObj>
              <w:docPartGallery w:val="Page Numbers (Bottom of Page)"/>
              <w:docPartUnique/>
            </w:docPartObj>
          </w:sdtPr>
          <w:sdtEndPr/>
          <w:sdtContent>
            <w:p w14:paraId="0CA34997" w14:textId="44CD2E22"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443</w:t>
              </w:r>
              <w:r>
                <w:fldChar w:fldCharType="end"/>
              </w:r>
            </w:p>
          </w:sdtContent>
        </w:sdt>
      </w:tc>
      <w:tc>
        <w:tcPr>
          <w:tcW w:w="1666" w:type="pct"/>
          <w:tcMar>
            <w:left w:w="0" w:type="dxa"/>
            <w:right w:w="0" w:type="dxa"/>
          </w:tcMar>
          <w:vAlign w:val="center"/>
        </w:tcPr>
        <w:p w14:paraId="6F4AE8EA" w14:textId="5FC7FE4D" w:rsidR="003832F2" w:rsidRPr="0093500B" w:rsidRDefault="003832F2" w:rsidP="00085A04">
          <w:pPr>
            <w:pStyle w:val="Stopka"/>
            <w:spacing w:after="0"/>
            <w:jc w:val="right"/>
            <w:rPr>
              <w:i/>
              <w:sz w:val="18"/>
              <w:szCs w:val="20"/>
            </w:rPr>
          </w:pPr>
          <w:r>
            <w:rPr>
              <w:i/>
              <w:sz w:val="18"/>
              <w:szCs w:val="20"/>
            </w:rPr>
            <w:t>Maj 2019</w:t>
          </w:r>
        </w:p>
      </w:tc>
    </w:tr>
  </w:tbl>
  <w:p w14:paraId="6CCF1276" w14:textId="77777777" w:rsidR="003832F2" w:rsidRPr="009D1A1A" w:rsidRDefault="003832F2" w:rsidP="009D1A1A">
    <w:pPr>
      <w:pStyle w:val="Stopka"/>
      <w:spacing w:after="0"/>
      <w:rPr>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899906107"/>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4F348FBB" w14:textId="77777777" w:rsidTr="00085A04">
          <w:trPr>
            <w:trHeight w:val="117"/>
          </w:trPr>
          <w:tc>
            <w:tcPr>
              <w:tcW w:w="1667" w:type="pct"/>
              <w:tcMar>
                <w:left w:w="0" w:type="dxa"/>
                <w:right w:w="0" w:type="dxa"/>
              </w:tcMar>
              <w:vAlign w:val="center"/>
            </w:tcPr>
            <w:p w14:paraId="6C553B99" w14:textId="097B4033"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157893585"/>
                <w:docPartObj>
                  <w:docPartGallery w:val="Page Numbers (Bottom of Page)"/>
                  <w:docPartUnique/>
                </w:docPartObj>
              </w:sdtPr>
              <w:sdtEndPr/>
              <w:sdtContent>
                <w:p w14:paraId="1CDC3E84" w14:textId="2383BEA8"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438</w:t>
                  </w:r>
                  <w:r>
                    <w:fldChar w:fldCharType="end"/>
                  </w:r>
                </w:p>
              </w:sdtContent>
            </w:sdt>
          </w:tc>
          <w:tc>
            <w:tcPr>
              <w:tcW w:w="1666" w:type="pct"/>
              <w:tcMar>
                <w:left w:w="0" w:type="dxa"/>
                <w:right w:w="0" w:type="dxa"/>
              </w:tcMar>
              <w:vAlign w:val="center"/>
            </w:tcPr>
            <w:p w14:paraId="48571104" w14:textId="00A452F8" w:rsidR="003832F2" w:rsidRPr="0093500B" w:rsidRDefault="003832F2" w:rsidP="00085A04">
              <w:pPr>
                <w:pStyle w:val="Stopka"/>
                <w:spacing w:after="0"/>
                <w:jc w:val="right"/>
                <w:rPr>
                  <w:i/>
                  <w:sz w:val="18"/>
                  <w:szCs w:val="20"/>
                </w:rPr>
              </w:pPr>
              <w:r>
                <w:rPr>
                  <w:i/>
                  <w:sz w:val="18"/>
                  <w:szCs w:val="20"/>
                </w:rPr>
                <w:t>Maj 2019</w:t>
              </w:r>
            </w:p>
          </w:tc>
        </w:tr>
      </w:tbl>
      <w:p w14:paraId="4E7B0653" w14:textId="06ABF7EA" w:rsidR="003832F2" w:rsidRDefault="00870777" w:rsidP="0054242C">
        <w:pPr>
          <w:pStyle w:val="Stopka"/>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706758685"/>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669"/>
          <w:gridCol w:w="4666"/>
        </w:tblGrid>
        <w:tr w:rsidR="003832F2" w:rsidRPr="0093500B" w14:paraId="5777B2B8" w14:textId="77777777" w:rsidTr="00085A04">
          <w:trPr>
            <w:trHeight w:val="117"/>
          </w:trPr>
          <w:tc>
            <w:tcPr>
              <w:tcW w:w="1667" w:type="pct"/>
              <w:tcMar>
                <w:left w:w="0" w:type="dxa"/>
                <w:right w:w="0" w:type="dxa"/>
              </w:tcMar>
              <w:vAlign w:val="center"/>
            </w:tcPr>
            <w:p w14:paraId="6A0C64AA" w14:textId="59FC0455"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63929170"/>
                <w:docPartObj>
                  <w:docPartGallery w:val="Page Numbers (Bottom of Page)"/>
                  <w:docPartUnique/>
                </w:docPartObj>
              </w:sdtPr>
              <w:sdtEndPr/>
              <w:sdtContent>
                <w:p w14:paraId="787EB17C" w14:textId="69FC2F58"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444</w:t>
                  </w:r>
                  <w:r>
                    <w:fldChar w:fldCharType="end"/>
                  </w:r>
                </w:p>
              </w:sdtContent>
            </w:sdt>
          </w:tc>
          <w:tc>
            <w:tcPr>
              <w:tcW w:w="1666" w:type="pct"/>
              <w:tcMar>
                <w:left w:w="0" w:type="dxa"/>
                <w:right w:w="0" w:type="dxa"/>
              </w:tcMar>
              <w:vAlign w:val="center"/>
            </w:tcPr>
            <w:p w14:paraId="2F6BD92F" w14:textId="086F3B13" w:rsidR="003832F2" w:rsidRPr="0093500B" w:rsidRDefault="003832F2" w:rsidP="00085A04">
              <w:pPr>
                <w:pStyle w:val="Stopka"/>
                <w:spacing w:after="0"/>
                <w:jc w:val="right"/>
                <w:rPr>
                  <w:i/>
                  <w:sz w:val="18"/>
                  <w:szCs w:val="20"/>
                </w:rPr>
              </w:pPr>
              <w:r>
                <w:rPr>
                  <w:i/>
                  <w:sz w:val="18"/>
                  <w:szCs w:val="20"/>
                </w:rPr>
                <w:t>Maj 2019</w:t>
              </w:r>
            </w:p>
          </w:tc>
        </w:tr>
      </w:tbl>
      <w:p w14:paraId="3AB711C9" w14:textId="2A01E5E2" w:rsidR="003832F2" w:rsidRDefault="00870777" w:rsidP="009D1A1A">
        <w:pPr>
          <w:pStyle w:val="Stopka"/>
          <w:spacing w:after="0"/>
        </w:pP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832F2" w:rsidRPr="0093500B" w14:paraId="1C318CBE" w14:textId="77777777" w:rsidTr="00085A04">
      <w:trPr>
        <w:trHeight w:val="117"/>
      </w:trPr>
      <w:tc>
        <w:tcPr>
          <w:tcW w:w="1667" w:type="pct"/>
          <w:tcMar>
            <w:left w:w="0" w:type="dxa"/>
            <w:right w:w="0" w:type="dxa"/>
          </w:tcMar>
          <w:vAlign w:val="center"/>
        </w:tcPr>
        <w:p w14:paraId="678D029B" w14:textId="77777777"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29286838"/>
            <w:docPartObj>
              <w:docPartGallery w:val="Page Numbers (Bottom of Page)"/>
              <w:docPartUnique/>
            </w:docPartObj>
          </w:sdtPr>
          <w:sdtEndPr/>
          <w:sdtContent>
            <w:p w14:paraId="27A9E6CD" w14:textId="5532EE3E"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465</w:t>
              </w:r>
              <w:r>
                <w:fldChar w:fldCharType="end"/>
              </w:r>
            </w:p>
          </w:sdtContent>
        </w:sdt>
      </w:tc>
      <w:tc>
        <w:tcPr>
          <w:tcW w:w="1666" w:type="pct"/>
          <w:tcMar>
            <w:left w:w="0" w:type="dxa"/>
            <w:right w:w="0" w:type="dxa"/>
          </w:tcMar>
          <w:vAlign w:val="center"/>
        </w:tcPr>
        <w:p w14:paraId="3C080EEE" w14:textId="1370D86E" w:rsidR="003832F2" w:rsidRPr="0093500B" w:rsidRDefault="003832F2" w:rsidP="00085A04">
          <w:pPr>
            <w:pStyle w:val="Stopka"/>
            <w:spacing w:after="0"/>
            <w:jc w:val="right"/>
            <w:rPr>
              <w:i/>
              <w:sz w:val="18"/>
              <w:szCs w:val="20"/>
            </w:rPr>
          </w:pPr>
          <w:r>
            <w:rPr>
              <w:i/>
              <w:sz w:val="18"/>
              <w:szCs w:val="20"/>
            </w:rPr>
            <w:t>Maj 2019</w:t>
          </w:r>
        </w:p>
      </w:tc>
    </w:tr>
  </w:tbl>
  <w:p w14:paraId="19F31214" w14:textId="77777777" w:rsidR="003832F2" w:rsidRPr="009D1A1A" w:rsidRDefault="003832F2" w:rsidP="009D1A1A">
    <w:pPr>
      <w:pStyle w:val="Stopka"/>
      <w:spacing w:after="0"/>
      <w:rPr>
        <w:szCs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482053721"/>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832F2" w:rsidRPr="0093500B" w14:paraId="1BAC82F0" w14:textId="77777777" w:rsidTr="00085A04">
          <w:trPr>
            <w:trHeight w:val="117"/>
          </w:trPr>
          <w:tc>
            <w:tcPr>
              <w:tcW w:w="1667" w:type="pct"/>
              <w:tcMar>
                <w:left w:w="0" w:type="dxa"/>
                <w:right w:w="0" w:type="dxa"/>
              </w:tcMar>
              <w:vAlign w:val="center"/>
            </w:tcPr>
            <w:p w14:paraId="3EDB0E08" w14:textId="5C7A4B32"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26866786"/>
                <w:docPartObj>
                  <w:docPartGallery w:val="Page Numbers (Bottom of Page)"/>
                  <w:docPartUnique/>
                </w:docPartObj>
              </w:sdtPr>
              <w:sdtEndPr/>
              <w:sdtContent>
                <w:p w14:paraId="74B62D02" w14:textId="4C486DB8"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445</w:t>
                  </w:r>
                  <w:r>
                    <w:fldChar w:fldCharType="end"/>
                  </w:r>
                </w:p>
              </w:sdtContent>
            </w:sdt>
          </w:tc>
          <w:tc>
            <w:tcPr>
              <w:tcW w:w="1666" w:type="pct"/>
              <w:tcMar>
                <w:left w:w="0" w:type="dxa"/>
                <w:right w:w="0" w:type="dxa"/>
              </w:tcMar>
              <w:vAlign w:val="center"/>
            </w:tcPr>
            <w:p w14:paraId="0BE99958" w14:textId="67480A42" w:rsidR="003832F2" w:rsidRPr="0093500B" w:rsidRDefault="003832F2" w:rsidP="00085A04">
              <w:pPr>
                <w:pStyle w:val="Stopka"/>
                <w:spacing w:after="0"/>
                <w:jc w:val="right"/>
                <w:rPr>
                  <w:i/>
                  <w:sz w:val="18"/>
                  <w:szCs w:val="20"/>
                </w:rPr>
              </w:pPr>
              <w:r>
                <w:rPr>
                  <w:i/>
                  <w:sz w:val="18"/>
                  <w:szCs w:val="20"/>
                </w:rPr>
                <w:t>Maj 2019</w:t>
              </w:r>
            </w:p>
          </w:tc>
        </w:tr>
      </w:tbl>
      <w:p w14:paraId="17725060" w14:textId="5B6B042C" w:rsidR="003832F2" w:rsidRDefault="00870777" w:rsidP="009D1A1A">
        <w:pPr>
          <w:pStyle w:val="Stopka"/>
          <w:spacing w:after="0"/>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34A70" w14:textId="129ECDD4" w:rsidR="003832F2" w:rsidRPr="004A57A7" w:rsidRDefault="003832F2" w:rsidP="004A57A7">
    <w:pPr>
      <w:pStyle w:val="Stopka"/>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69"/>
      <w:gridCol w:w="4663"/>
    </w:tblGrid>
    <w:tr w:rsidR="003832F2" w:rsidRPr="0093500B" w14:paraId="6D16EAE3" w14:textId="77777777" w:rsidTr="00BA69FA">
      <w:trPr>
        <w:trHeight w:val="117"/>
      </w:trPr>
      <w:tc>
        <w:tcPr>
          <w:tcW w:w="1668" w:type="pct"/>
          <w:tcMar>
            <w:left w:w="0" w:type="dxa"/>
            <w:right w:w="0" w:type="dxa"/>
          </w:tcMar>
          <w:vAlign w:val="center"/>
        </w:tcPr>
        <w:p w14:paraId="02135287" w14:textId="77777777" w:rsidR="003832F2" w:rsidRPr="00461299" w:rsidRDefault="003832F2"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09827759"/>
            <w:docPartObj>
              <w:docPartGallery w:val="Page Numbers (Bottom of Page)"/>
              <w:docPartUnique/>
            </w:docPartObj>
          </w:sdtPr>
          <w:sdtEndPr/>
          <w:sdtContent>
            <w:p w14:paraId="3A51A6FC" w14:textId="7D1AD25D" w:rsidR="003832F2" w:rsidRPr="008F0591" w:rsidRDefault="003832F2" w:rsidP="00BA69FA">
              <w:pPr>
                <w:pStyle w:val="Stopka"/>
                <w:spacing w:before="40" w:after="0"/>
                <w:jc w:val="center"/>
              </w:pPr>
              <w:r>
                <w:fldChar w:fldCharType="begin"/>
              </w:r>
              <w:r>
                <w:instrText>PAGE   \* MERGEFORMAT</w:instrText>
              </w:r>
              <w:r>
                <w:fldChar w:fldCharType="separate"/>
              </w:r>
              <w:r w:rsidR="00F755B7">
                <w:rPr>
                  <w:noProof/>
                </w:rPr>
                <w:t>467</w:t>
              </w:r>
              <w:r>
                <w:fldChar w:fldCharType="end"/>
              </w:r>
            </w:p>
          </w:sdtContent>
        </w:sdt>
      </w:tc>
      <w:tc>
        <w:tcPr>
          <w:tcW w:w="1665" w:type="pct"/>
          <w:tcMar>
            <w:left w:w="0" w:type="dxa"/>
            <w:right w:w="0" w:type="dxa"/>
          </w:tcMar>
          <w:vAlign w:val="center"/>
        </w:tcPr>
        <w:p w14:paraId="697FF640" w14:textId="683B87CA" w:rsidR="003832F2" w:rsidRPr="0093500B" w:rsidRDefault="003832F2" w:rsidP="00BA69FA">
          <w:pPr>
            <w:pStyle w:val="Stopka"/>
            <w:spacing w:after="0"/>
            <w:jc w:val="right"/>
            <w:rPr>
              <w:i/>
              <w:sz w:val="18"/>
              <w:szCs w:val="20"/>
            </w:rPr>
          </w:pPr>
          <w:r>
            <w:rPr>
              <w:i/>
              <w:sz w:val="18"/>
              <w:szCs w:val="20"/>
            </w:rPr>
            <w:t>Maj 2019</w:t>
          </w:r>
        </w:p>
      </w:tc>
    </w:tr>
  </w:tbl>
  <w:p w14:paraId="3E79CC5F" w14:textId="77777777" w:rsidR="003832F2" w:rsidRPr="00AC537C" w:rsidRDefault="003832F2" w:rsidP="009D1A1A">
    <w:pPr>
      <w:pStyle w:val="Stopka"/>
      <w:spacing w:after="0"/>
      <w:rPr>
        <w:sz w:val="20"/>
        <w:szCs w:val="2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712004530"/>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69"/>
          <w:gridCol w:w="4663"/>
        </w:tblGrid>
        <w:tr w:rsidR="003832F2" w:rsidRPr="0093500B" w14:paraId="3AACBBCB" w14:textId="77777777" w:rsidTr="00085A04">
          <w:trPr>
            <w:trHeight w:val="117"/>
          </w:trPr>
          <w:tc>
            <w:tcPr>
              <w:tcW w:w="1668" w:type="pct"/>
              <w:tcMar>
                <w:left w:w="0" w:type="dxa"/>
                <w:right w:w="0" w:type="dxa"/>
              </w:tcMar>
              <w:vAlign w:val="center"/>
            </w:tcPr>
            <w:p w14:paraId="4D1B65EE" w14:textId="000093E6" w:rsidR="003832F2" w:rsidRPr="00461299" w:rsidRDefault="003832F2" w:rsidP="00085A04">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37640538"/>
                <w:docPartObj>
                  <w:docPartGallery w:val="Page Numbers (Bottom of Page)"/>
                  <w:docPartUnique/>
                </w:docPartObj>
              </w:sdtPr>
              <w:sdtEndPr/>
              <w:sdtContent>
                <w:p w14:paraId="2F224410" w14:textId="4CCBEC79" w:rsidR="003832F2" w:rsidRPr="008F0591" w:rsidRDefault="003832F2" w:rsidP="00085A04">
                  <w:pPr>
                    <w:pStyle w:val="Stopka"/>
                    <w:spacing w:before="40" w:after="0"/>
                    <w:jc w:val="center"/>
                  </w:pPr>
                  <w:r>
                    <w:fldChar w:fldCharType="begin"/>
                  </w:r>
                  <w:r>
                    <w:instrText>PAGE   \* MERGEFORMAT</w:instrText>
                  </w:r>
                  <w:r>
                    <w:fldChar w:fldCharType="separate"/>
                  </w:r>
                  <w:r w:rsidR="00F755B7">
                    <w:rPr>
                      <w:noProof/>
                    </w:rPr>
                    <w:t>466</w:t>
                  </w:r>
                  <w:r>
                    <w:fldChar w:fldCharType="end"/>
                  </w:r>
                </w:p>
              </w:sdtContent>
            </w:sdt>
          </w:tc>
          <w:tc>
            <w:tcPr>
              <w:tcW w:w="1665" w:type="pct"/>
              <w:tcMar>
                <w:left w:w="0" w:type="dxa"/>
                <w:right w:w="0" w:type="dxa"/>
              </w:tcMar>
              <w:vAlign w:val="center"/>
            </w:tcPr>
            <w:p w14:paraId="5099E32B" w14:textId="2CBEA852" w:rsidR="003832F2" w:rsidRPr="0093500B" w:rsidRDefault="003832F2" w:rsidP="00085A04">
              <w:pPr>
                <w:pStyle w:val="Stopka"/>
                <w:spacing w:after="0"/>
                <w:jc w:val="right"/>
                <w:rPr>
                  <w:i/>
                  <w:sz w:val="18"/>
                  <w:szCs w:val="20"/>
                </w:rPr>
              </w:pPr>
              <w:r>
                <w:rPr>
                  <w:i/>
                  <w:sz w:val="18"/>
                  <w:szCs w:val="20"/>
                </w:rPr>
                <w:t>Maj 2019</w:t>
              </w:r>
            </w:p>
          </w:tc>
        </w:tr>
      </w:tbl>
      <w:p w14:paraId="727C80C4" w14:textId="77777777" w:rsidR="003832F2" w:rsidRDefault="00870777" w:rsidP="009D1A1A">
        <w:pPr>
          <w:pStyle w:val="Stopka"/>
          <w:spacing w:after="0"/>
        </w:pP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832F2" w:rsidRPr="0093500B" w14:paraId="023BAC75" w14:textId="77777777" w:rsidTr="0055656D">
      <w:trPr>
        <w:trHeight w:val="117"/>
      </w:trPr>
      <w:tc>
        <w:tcPr>
          <w:tcW w:w="1667" w:type="pct"/>
          <w:tcMar>
            <w:left w:w="0" w:type="dxa"/>
            <w:right w:w="0" w:type="dxa"/>
          </w:tcMar>
          <w:vAlign w:val="center"/>
        </w:tcPr>
        <w:p w14:paraId="3A33C7A8" w14:textId="77777777" w:rsidR="003832F2" w:rsidRPr="00461299" w:rsidRDefault="003832F2"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704940771"/>
            <w:docPartObj>
              <w:docPartGallery w:val="Page Numbers (Bottom of Page)"/>
              <w:docPartUnique/>
            </w:docPartObj>
          </w:sdtPr>
          <w:sdtEndPr/>
          <w:sdtContent>
            <w:p w14:paraId="6F7F4282" w14:textId="6A0413BD" w:rsidR="003832F2" w:rsidRPr="008F0591" w:rsidRDefault="003832F2" w:rsidP="00BA69FA">
              <w:pPr>
                <w:pStyle w:val="Stopka"/>
                <w:spacing w:before="40" w:after="0"/>
                <w:jc w:val="center"/>
              </w:pPr>
              <w:r>
                <w:fldChar w:fldCharType="begin"/>
              </w:r>
              <w:r>
                <w:instrText>PAGE   \* MERGEFORMAT</w:instrText>
              </w:r>
              <w:r>
                <w:fldChar w:fldCharType="separate"/>
              </w:r>
              <w:r w:rsidR="00F755B7">
                <w:rPr>
                  <w:noProof/>
                </w:rPr>
                <w:t>547</w:t>
              </w:r>
              <w:r>
                <w:fldChar w:fldCharType="end"/>
              </w:r>
            </w:p>
          </w:sdtContent>
        </w:sdt>
      </w:tc>
      <w:tc>
        <w:tcPr>
          <w:tcW w:w="1666" w:type="pct"/>
          <w:tcMar>
            <w:left w:w="0" w:type="dxa"/>
            <w:right w:w="0" w:type="dxa"/>
          </w:tcMar>
          <w:vAlign w:val="center"/>
        </w:tcPr>
        <w:p w14:paraId="00276433" w14:textId="65C103A5" w:rsidR="003832F2" w:rsidRPr="0093500B" w:rsidRDefault="003832F2" w:rsidP="00BA69FA">
          <w:pPr>
            <w:pStyle w:val="Stopka"/>
            <w:spacing w:after="0"/>
            <w:jc w:val="right"/>
            <w:rPr>
              <w:i/>
              <w:sz w:val="18"/>
              <w:szCs w:val="20"/>
            </w:rPr>
          </w:pPr>
          <w:r>
            <w:rPr>
              <w:i/>
              <w:sz w:val="18"/>
              <w:szCs w:val="20"/>
            </w:rPr>
            <w:t>Maj 2019</w:t>
          </w:r>
        </w:p>
      </w:tc>
    </w:tr>
  </w:tbl>
  <w:p w14:paraId="5F79D50C" w14:textId="77777777" w:rsidR="003832F2" w:rsidRPr="00B11E44" w:rsidRDefault="003832F2" w:rsidP="009D1A1A">
    <w:pPr>
      <w:spacing w:after="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835350933"/>
      <w:docPartObj>
        <w:docPartGallery w:val="Page Numbers (Bottom of Page)"/>
        <w:docPartUnique/>
      </w:docPartObj>
    </w:sdtPr>
    <w:sdtEndPr>
      <w:rPr>
        <w:i w:val="0"/>
        <w:color w:val="auto"/>
        <w:sz w:val="22"/>
        <w:szCs w:val="22"/>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5"/>
          <w:gridCol w:w="3024"/>
          <w:gridCol w:w="3022"/>
        </w:tblGrid>
        <w:tr w:rsidR="003832F2" w:rsidRPr="0093500B" w14:paraId="29C023EC" w14:textId="77777777" w:rsidTr="0055656D">
          <w:trPr>
            <w:trHeight w:val="117"/>
          </w:trPr>
          <w:tc>
            <w:tcPr>
              <w:tcW w:w="1667" w:type="pct"/>
              <w:tcMar>
                <w:left w:w="0" w:type="dxa"/>
                <w:right w:w="0" w:type="dxa"/>
              </w:tcMar>
              <w:vAlign w:val="center"/>
            </w:tcPr>
            <w:p w14:paraId="16B305AF" w14:textId="629A0109" w:rsidR="003832F2" w:rsidRPr="00461299" w:rsidRDefault="003832F2" w:rsidP="00BA69FA">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114440769"/>
                <w:docPartObj>
                  <w:docPartGallery w:val="Page Numbers (Bottom of Page)"/>
                  <w:docPartUnique/>
                </w:docPartObj>
              </w:sdtPr>
              <w:sdtEndPr/>
              <w:sdtContent>
                <w:p w14:paraId="6CEDB74E" w14:textId="4EF758F0" w:rsidR="003832F2" w:rsidRPr="008F0591" w:rsidRDefault="003832F2" w:rsidP="00BA69FA">
                  <w:pPr>
                    <w:pStyle w:val="Stopka"/>
                    <w:spacing w:before="40" w:after="0"/>
                    <w:jc w:val="center"/>
                  </w:pPr>
                  <w:r>
                    <w:fldChar w:fldCharType="begin"/>
                  </w:r>
                  <w:r>
                    <w:instrText>PAGE   \* MERGEFORMAT</w:instrText>
                  </w:r>
                  <w:r>
                    <w:fldChar w:fldCharType="separate"/>
                  </w:r>
                  <w:r w:rsidR="00F755B7">
                    <w:rPr>
                      <w:noProof/>
                    </w:rPr>
                    <w:t>527</w:t>
                  </w:r>
                  <w:r>
                    <w:fldChar w:fldCharType="end"/>
                  </w:r>
                </w:p>
              </w:sdtContent>
            </w:sdt>
          </w:tc>
          <w:tc>
            <w:tcPr>
              <w:tcW w:w="1666" w:type="pct"/>
              <w:tcMar>
                <w:left w:w="0" w:type="dxa"/>
                <w:right w:w="0" w:type="dxa"/>
              </w:tcMar>
              <w:vAlign w:val="center"/>
            </w:tcPr>
            <w:p w14:paraId="769E1608" w14:textId="6F988704" w:rsidR="003832F2" w:rsidRPr="0093500B" w:rsidRDefault="003832F2" w:rsidP="00BA69FA">
              <w:pPr>
                <w:pStyle w:val="Stopka"/>
                <w:spacing w:after="0"/>
                <w:jc w:val="right"/>
                <w:rPr>
                  <w:i/>
                  <w:sz w:val="18"/>
                  <w:szCs w:val="20"/>
                </w:rPr>
              </w:pPr>
              <w:r>
                <w:rPr>
                  <w:i/>
                  <w:sz w:val="18"/>
                  <w:szCs w:val="20"/>
                </w:rPr>
                <w:t>Maj 2019</w:t>
              </w:r>
            </w:p>
          </w:tc>
        </w:tr>
      </w:tbl>
      <w:p w14:paraId="67CB4E0E" w14:textId="77777777" w:rsidR="003832F2" w:rsidRPr="00B11E44" w:rsidRDefault="00870777" w:rsidP="009D1A1A">
        <w:pPr>
          <w:spacing w:after="0"/>
        </w:pP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DC6886" w14:paraId="1CDA63FC" w14:textId="77777777" w:rsidTr="001F73BC">
      <w:trPr>
        <w:trHeight w:val="117"/>
      </w:trPr>
      <w:tc>
        <w:tcPr>
          <w:tcW w:w="1667" w:type="pct"/>
          <w:tcMar>
            <w:left w:w="0" w:type="dxa"/>
            <w:right w:w="0" w:type="dxa"/>
          </w:tcMar>
          <w:vAlign w:val="center"/>
        </w:tcPr>
        <w:p w14:paraId="308D9001" w14:textId="20E12577" w:rsidR="003832F2" w:rsidRPr="00461299" w:rsidRDefault="003832F2" w:rsidP="00714F44">
          <w:pPr>
            <w:pStyle w:val="Stopka"/>
            <w:spacing w:after="0"/>
            <w:jc w:val="left"/>
            <w:rPr>
              <w:i/>
              <w:sz w:val="16"/>
              <w:szCs w:val="20"/>
            </w:rPr>
          </w:pPr>
          <w:r w:rsidRPr="004B5E15">
            <w:rPr>
              <w:i/>
              <w:color w:val="0066CC"/>
              <w:sz w:val="16"/>
              <w:szCs w:val="20"/>
            </w:rPr>
            <w:t>„EASA eRules”</w:t>
          </w:r>
        </w:p>
      </w:tc>
      <w:tc>
        <w:tcPr>
          <w:tcW w:w="1667" w:type="pct"/>
          <w:tcMar>
            <w:left w:w="0" w:type="dxa"/>
            <w:right w:w="0" w:type="dxa"/>
          </w:tcMar>
          <w:vAlign w:val="center"/>
        </w:tcPr>
        <w:p w14:paraId="41DA31DB" w14:textId="5373E404" w:rsidR="003832F2" w:rsidRPr="00DC6886" w:rsidRDefault="003832F2" w:rsidP="00714F44">
          <w:pPr>
            <w:pStyle w:val="Stopka"/>
            <w:spacing w:after="0"/>
            <w:jc w:val="center"/>
            <w:rPr>
              <w:sz w:val="20"/>
              <w:szCs w:val="20"/>
            </w:rPr>
          </w:pPr>
          <w:r w:rsidRPr="00DC6886">
            <w:rPr>
              <w:sz w:val="20"/>
              <w:szCs w:val="20"/>
            </w:rPr>
            <w:t xml:space="preserve">Strona </w:t>
          </w:r>
          <w:r w:rsidRPr="00DC6886">
            <w:rPr>
              <w:bCs/>
              <w:sz w:val="20"/>
              <w:szCs w:val="20"/>
            </w:rPr>
            <w:fldChar w:fldCharType="begin"/>
          </w:r>
          <w:r w:rsidRPr="00DC6886">
            <w:rPr>
              <w:bCs/>
              <w:sz w:val="20"/>
              <w:szCs w:val="20"/>
            </w:rPr>
            <w:instrText>PAGE</w:instrText>
          </w:r>
          <w:r w:rsidRPr="00DC6886">
            <w:rPr>
              <w:bCs/>
              <w:sz w:val="20"/>
              <w:szCs w:val="20"/>
            </w:rPr>
            <w:fldChar w:fldCharType="separate"/>
          </w:r>
          <w:r w:rsidR="00F755B7">
            <w:rPr>
              <w:bCs/>
              <w:noProof/>
              <w:sz w:val="20"/>
              <w:szCs w:val="20"/>
            </w:rPr>
            <w:t>550</w:t>
          </w:r>
          <w:r w:rsidRPr="00DC6886">
            <w:rPr>
              <w:sz w:val="20"/>
              <w:szCs w:val="20"/>
            </w:rPr>
            <w:fldChar w:fldCharType="end"/>
          </w:r>
          <w:r w:rsidRPr="00DC6886">
            <w:rPr>
              <w:sz w:val="20"/>
              <w:szCs w:val="20"/>
            </w:rPr>
            <w:t xml:space="preserve"> z </w:t>
          </w:r>
          <w:r w:rsidRPr="00DC6886">
            <w:rPr>
              <w:bCs/>
              <w:sz w:val="20"/>
              <w:szCs w:val="20"/>
            </w:rPr>
            <w:fldChar w:fldCharType="begin"/>
          </w:r>
          <w:r w:rsidRPr="00DC6886">
            <w:rPr>
              <w:bCs/>
              <w:sz w:val="20"/>
              <w:szCs w:val="20"/>
            </w:rPr>
            <w:instrText>NUMPAGES</w:instrText>
          </w:r>
          <w:r w:rsidRPr="00DC6886">
            <w:rPr>
              <w:bCs/>
              <w:sz w:val="20"/>
              <w:szCs w:val="20"/>
            </w:rPr>
            <w:fldChar w:fldCharType="separate"/>
          </w:r>
          <w:r w:rsidR="00F755B7">
            <w:rPr>
              <w:bCs/>
              <w:noProof/>
              <w:sz w:val="20"/>
              <w:szCs w:val="20"/>
            </w:rPr>
            <w:t>675</w:t>
          </w:r>
          <w:r w:rsidRPr="00DC6886">
            <w:rPr>
              <w:sz w:val="20"/>
              <w:szCs w:val="20"/>
            </w:rPr>
            <w:fldChar w:fldCharType="end"/>
          </w:r>
        </w:p>
      </w:tc>
      <w:tc>
        <w:tcPr>
          <w:tcW w:w="1666" w:type="pct"/>
          <w:tcMar>
            <w:left w:w="0" w:type="dxa"/>
            <w:right w:w="0" w:type="dxa"/>
          </w:tcMar>
          <w:vAlign w:val="center"/>
        </w:tcPr>
        <w:p w14:paraId="6AB780F0" w14:textId="4C529A92" w:rsidR="003832F2" w:rsidRPr="00DC6886" w:rsidRDefault="003832F2" w:rsidP="00714F44">
          <w:pPr>
            <w:pStyle w:val="Stopka"/>
            <w:spacing w:after="0"/>
            <w:jc w:val="right"/>
            <w:rPr>
              <w:i/>
              <w:sz w:val="16"/>
              <w:szCs w:val="20"/>
            </w:rPr>
          </w:pPr>
          <w:r>
            <w:rPr>
              <w:i/>
              <w:sz w:val="18"/>
              <w:szCs w:val="20"/>
            </w:rPr>
            <w:t>Maj 2019</w:t>
          </w:r>
        </w:p>
      </w:tc>
    </w:tr>
  </w:tbl>
  <w:p w14:paraId="013A8A80" w14:textId="77777777" w:rsidR="003832F2" w:rsidRPr="00B11E44" w:rsidRDefault="003832F2" w:rsidP="00AE1280">
    <w:pPr>
      <w:pStyle w:val="Stopka"/>
      <w:rPr>
        <w:sz w:val="16"/>
        <w:szCs w:val="2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66CC"/>
      </w:rPr>
      <w:id w:val="976261234"/>
      <w:docPartObj>
        <w:docPartGallery w:val="Page Numbers (Bottom of Page)"/>
        <w:docPartUnique/>
      </w:docPartObj>
    </w:sdtPr>
    <w:sdtEndPr>
      <w:rPr>
        <w:color w:val="auto"/>
        <w:sz w:val="16"/>
      </w:r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DC6886" w14:paraId="79D26BAD" w14:textId="77777777" w:rsidTr="001F73BC">
          <w:trPr>
            <w:trHeight w:val="117"/>
          </w:trPr>
          <w:tc>
            <w:tcPr>
              <w:tcW w:w="1667" w:type="pct"/>
              <w:tcMar>
                <w:left w:w="0" w:type="dxa"/>
                <w:right w:w="0" w:type="dxa"/>
              </w:tcMar>
              <w:vAlign w:val="center"/>
            </w:tcPr>
            <w:p w14:paraId="661CD564" w14:textId="168AE08C" w:rsidR="003832F2" w:rsidRPr="00461299" w:rsidRDefault="003832F2" w:rsidP="00714F44">
              <w:pPr>
                <w:pStyle w:val="Stopka"/>
                <w:spacing w:after="0"/>
                <w:jc w:val="left"/>
                <w:rPr>
                  <w:i/>
                  <w:sz w:val="16"/>
                  <w:szCs w:val="20"/>
                </w:rPr>
              </w:pPr>
              <w:r w:rsidRPr="004B5E15">
                <w:rPr>
                  <w:i/>
                  <w:color w:val="0066CC"/>
                  <w:sz w:val="16"/>
                  <w:szCs w:val="20"/>
                </w:rPr>
                <w:t>„EASA eRules”</w:t>
              </w:r>
            </w:p>
          </w:tc>
          <w:tc>
            <w:tcPr>
              <w:tcW w:w="1667" w:type="pct"/>
              <w:tcMar>
                <w:left w:w="0" w:type="dxa"/>
                <w:right w:w="0" w:type="dxa"/>
              </w:tcMar>
              <w:vAlign w:val="center"/>
            </w:tcPr>
            <w:p w14:paraId="7B33507D" w14:textId="1633E94E" w:rsidR="003832F2" w:rsidRPr="00DC6886" w:rsidRDefault="003832F2" w:rsidP="00714F44">
              <w:pPr>
                <w:pStyle w:val="Stopka"/>
                <w:spacing w:after="0"/>
                <w:jc w:val="center"/>
                <w:rPr>
                  <w:sz w:val="20"/>
                  <w:szCs w:val="20"/>
                </w:rPr>
              </w:pPr>
              <w:r w:rsidRPr="00DC6886">
                <w:rPr>
                  <w:sz w:val="20"/>
                  <w:szCs w:val="20"/>
                </w:rPr>
                <w:t xml:space="preserve">Strona </w:t>
              </w:r>
              <w:r w:rsidRPr="00DC6886">
                <w:rPr>
                  <w:bCs/>
                  <w:sz w:val="20"/>
                  <w:szCs w:val="20"/>
                </w:rPr>
                <w:fldChar w:fldCharType="begin"/>
              </w:r>
              <w:r w:rsidRPr="00DC6886">
                <w:rPr>
                  <w:bCs/>
                  <w:sz w:val="20"/>
                  <w:szCs w:val="20"/>
                </w:rPr>
                <w:instrText>PAGE</w:instrText>
              </w:r>
              <w:r w:rsidRPr="00DC6886">
                <w:rPr>
                  <w:bCs/>
                  <w:sz w:val="20"/>
                  <w:szCs w:val="20"/>
                </w:rPr>
                <w:fldChar w:fldCharType="separate"/>
              </w:r>
              <w:r w:rsidR="00F755B7">
                <w:rPr>
                  <w:bCs/>
                  <w:noProof/>
                  <w:sz w:val="20"/>
                  <w:szCs w:val="20"/>
                </w:rPr>
                <w:t>548</w:t>
              </w:r>
              <w:r w:rsidRPr="00DC6886">
                <w:rPr>
                  <w:sz w:val="20"/>
                  <w:szCs w:val="20"/>
                </w:rPr>
                <w:fldChar w:fldCharType="end"/>
              </w:r>
              <w:r w:rsidRPr="00DC6886">
                <w:rPr>
                  <w:sz w:val="20"/>
                  <w:szCs w:val="20"/>
                </w:rPr>
                <w:t xml:space="preserve"> z </w:t>
              </w:r>
              <w:r w:rsidRPr="00DC6886">
                <w:rPr>
                  <w:bCs/>
                  <w:sz w:val="20"/>
                  <w:szCs w:val="20"/>
                </w:rPr>
                <w:fldChar w:fldCharType="begin"/>
              </w:r>
              <w:r w:rsidRPr="00DC6886">
                <w:rPr>
                  <w:bCs/>
                  <w:sz w:val="20"/>
                  <w:szCs w:val="20"/>
                </w:rPr>
                <w:instrText>NUMPAGES</w:instrText>
              </w:r>
              <w:r w:rsidRPr="00DC6886">
                <w:rPr>
                  <w:bCs/>
                  <w:sz w:val="20"/>
                  <w:szCs w:val="20"/>
                </w:rPr>
                <w:fldChar w:fldCharType="separate"/>
              </w:r>
              <w:r w:rsidR="00F755B7">
                <w:rPr>
                  <w:bCs/>
                  <w:noProof/>
                  <w:sz w:val="20"/>
                  <w:szCs w:val="20"/>
                </w:rPr>
                <w:t>675</w:t>
              </w:r>
              <w:r w:rsidRPr="00DC6886">
                <w:rPr>
                  <w:sz w:val="20"/>
                  <w:szCs w:val="20"/>
                </w:rPr>
                <w:fldChar w:fldCharType="end"/>
              </w:r>
            </w:p>
          </w:tc>
          <w:tc>
            <w:tcPr>
              <w:tcW w:w="1666" w:type="pct"/>
              <w:tcMar>
                <w:left w:w="0" w:type="dxa"/>
                <w:right w:w="0" w:type="dxa"/>
              </w:tcMar>
              <w:vAlign w:val="center"/>
            </w:tcPr>
            <w:p w14:paraId="7AA3D294" w14:textId="7CC82252" w:rsidR="003832F2" w:rsidRPr="00DC6886" w:rsidRDefault="003832F2" w:rsidP="00714F44">
              <w:pPr>
                <w:pStyle w:val="Stopka"/>
                <w:spacing w:after="0"/>
                <w:jc w:val="right"/>
                <w:rPr>
                  <w:i/>
                  <w:sz w:val="16"/>
                  <w:szCs w:val="20"/>
                </w:rPr>
              </w:pPr>
              <w:r>
                <w:rPr>
                  <w:i/>
                  <w:sz w:val="18"/>
                  <w:szCs w:val="20"/>
                </w:rPr>
                <w:t>Maj 2019</w:t>
              </w:r>
            </w:p>
          </w:tc>
        </w:tr>
      </w:tbl>
      <w:p w14:paraId="1879CC0D" w14:textId="77777777" w:rsidR="003832F2" w:rsidRPr="00B11E44" w:rsidRDefault="00870777" w:rsidP="00B11E44">
        <w:pPr>
          <w:pStyle w:val="Stopka"/>
          <w:spacing w:after="0"/>
          <w:rPr>
            <w:sz w:val="16"/>
          </w:rPr>
        </w:pP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832F2" w:rsidRPr="0093500B" w14:paraId="16BA094C" w14:textId="77777777" w:rsidTr="00AE1280">
      <w:trPr>
        <w:trHeight w:val="117"/>
      </w:trPr>
      <w:tc>
        <w:tcPr>
          <w:tcW w:w="1667" w:type="pct"/>
          <w:tcMar>
            <w:left w:w="0" w:type="dxa"/>
            <w:right w:w="0" w:type="dxa"/>
          </w:tcMar>
          <w:vAlign w:val="center"/>
        </w:tcPr>
        <w:p w14:paraId="10F53B89" w14:textId="77777777" w:rsidR="003832F2" w:rsidRPr="00461299" w:rsidRDefault="003832F2"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082141235"/>
            <w:docPartObj>
              <w:docPartGallery w:val="Page Numbers (Bottom of Page)"/>
              <w:docPartUnique/>
            </w:docPartObj>
          </w:sdtPr>
          <w:sdtEndPr/>
          <w:sdtContent>
            <w:p w14:paraId="2AF9AD05" w14:textId="60B5B4E2" w:rsidR="003832F2" w:rsidRPr="008F0591" w:rsidRDefault="003832F2" w:rsidP="00AE1280">
              <w:pPr>
                <w:pStyle w:val="Stopka"/>
                <w:spacing w:before="40" w:after="0"/>
                <w:jc w:val="center"/>
              </w:pPr>
              <w:r>
                <w:fldChar w:fldCharType="begin"/>
              </w:r>
              <w:r>
                <w:instrText>PAGE   \* MERGEFORMAT</w:instrText>
              </w:r>
              <w:r>
                <w:fldChar w:fldCharType="separate"/>
              </w:r>
              <w:r w:rsidR="00F755B7">
                <w:rPr>
                  <w:noProof/>
                </w:rPr>
                <w:t>675</w:t>
              </w:r>
              <w:r>
                <w:fldChar w:fldCharType="end"/>
              </w:r>
            </w:p>
          </w:sdtContent>
        </w:sdt>
      </w:tc>
      <w:tc>
        <w:tcPr>
          <w:tcW w:w="1666" w:type="pct"/>
          <w:tcMar>
            <w:left w:w="0" w:type="dxa"/>
            <w:right w:w="0" w:type="dxa"/>
          </w:tcMar>
          <w:vAlign w:val="center"/>
        </w:tcPr>
        <w:p w14:paraId="476F5FC6" w14:textId="2931AC67" w:rsidR="003832F2" w:rsidRPr="0093500B" w:rsidRDefault="003832F2" w:rsidP="00AE1280">
          <w:pPr>
            <w:pStyle w:val="Stopka"/>
            <w:spacing w:after="0"/>
            <w:jc w:val="right"/>
            <w:rPr>
              <w:i/>
              <w:sz w:val="18"/>
              <w:szCs w:val="20"/>
            </w:rPr>
          </w:pPr>
          <w:r>
            <w:rPr>
              <w:i/>
              <w:sz w:val="18"/>
              <w:szCs w:val="20"/>
            </w:rPr>
            <w:t>Maj 2019</w:t>
          </w:r>
        </w:p>
      </w:tc>
    </w:tr>
  </w:tbl>
  <w:p w14:paraId="3A5FB00D" w14:textId="77777777" w:rsidR="003832F2" w:rsidRPr="00B11E44" w:rsidRDefault="003832F2" w:rsidP="00AE1280">
    <w:pPr>
      <w:spacing w:after="0"/>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1957985341"/>
      <w:docPartObj>
        <w:docPartGallery w:val="Page Numbers (Bottom of Page)"/>
        <w:docPartUnique/>
      </w:docPartObj>
    </w:sdtPr>
    <w:sdtEndPr>
      <w:rPr>
        <w:i w:val="0"/>
        <w:color w:val="auto"/>
        <w:sz w:val="22"/>
        <w:szCs w:val="22"/>
      </w:rPr>
    </w:sdtEndPr>
    <w:sdtContent>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832F2" w:rsidRPr="0093500B" w14:paraId="25465D0F" w14:textId="77777777" w:rsidTr="00AE1280">
          <w:trPr>
            <w:trHeight w:val="117"/>
          </w:trPr>
          <w:tc>
            <w:tcPr>
              <w:tcW w:w="1667" w:type="pct"/>
              <w:tcMar>
                <w:left w:w="0" w:type="dxa"/>
                <w:right w:w="0" w:type="dxa"/>
              </w:tcMar>
              <w:vAlign w:val="center"/>
            </w:tcPr>
            <w:p w14:paraId="5F5B1982" w14:textId="7791F1DD" w:rsidR="003832F2" w:rsidRPr="00461299" w:rsidRDefault="003832F2"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074088758"/>
                <w:docPartObj>
                  <w:docPartGallery w:val="Page Numbers (Bottom of Page)"/>
                  <w:docPartUnique/>
                </w:docPartObj>
              </w:sdtPr>
              <w:sdtEndPr/>
              <w:sdtContent>
                <w:p w14:paraId="44EE845E" w14:textId="5E1A8130" w:rsidR="003832F2" w:rsidRPr="008F0591" w:rsidRDefault="003832F2" w:rsidP="00AE1280">
                  <w:pPr>
                    <w:pStyle w:val="Stopka"/>
                    <w:spacing w:before="40" w:after="0"/>
                    <w:jc w:val="center"/>
                  </w:pPr>
                  <w:r>
                    <w:fldChar w:fldCharType="begin"/>
                  </w:r>
                  <w:r>
                    <w:instrText>PAGE   \* MERGEFORMAT</w:instrText>
                  </w:r>
                  <w:r>
                    <w:fldChar w:fldCharType="separate"/>
                  </w:r>
                  <w:r w:rsidR="00F755B7">
                    <w:rPr>
                      <w:noProof/>
                    </w:rPr>
                    <w:t>577</w:t>
                  </w:r>
                  <w:r>
                    <w:fldChar w:fldCharType="end"/>
                  </w:r>
                </w:p>
              </w:sdtContent>
            </w:sdt>
          </w:tc>
          <w:tc>
            <w:tcPr>
              <w:tcW w:w="1666" w:type="pct"/>
              <w:tcMar>
                <w:left w:w="0" w:type="dxa"/>
                <w:right w:w="0" w:type="dxa"/>
              </w:tcMar>
              <w:vAlign w:val="center"/>
            </w:tcPr>
            <w:p w14:paraId="0D58DDEC" w14:textId="45D8C08F" w:rsidR="003832F2" w:rsidRPr="0093500B" w:rsidRDefault="003832F2" w:rsidP="00AE1280">
              <w:pPr>
                <w:pStyle w:val="Stopka"/>
                <w:spacing w:after="0"/>
                <w:jc w:val="right"/>
                <w:rPr>
                  <w:i/>
                  <w:sz w:val="18"/>
                  <w:szCs w:val="20"/>
                </w:rPr>
              </w:pPr>
              <w:r>
                <w:rPr>
                  <w:i/>
                  <w:sz w:val="18"/>
                  <w:szCs w:val="20"/>
                </w:rPr>
                <w:t>Maj 2019</w:t>
              </w:r>
            </w:p>
          </w:tc>
        </w:tr>
      </w:tbl>
      <w:p w14:paraId="6149AE48" w14:textId="77777777" w:rsidR="003832F2" w:rsidRPr="00B11E44" w:rsidRDefault="00870777" w:rsidP="00AE1280">
        <w:pPr>
          <w:spacing w:after="0"/>
        </w:pP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431205061"/>
      <w:docPartObj>
        <w:docPartGallery w:val="Page Numbers (Bottom of Page)"/>
        <w:docPartUnique/>
      </w:docPartObj>
    </w:sdtPr>
    <w:sdtEndPr>
      <w:rPr>
        <w:i w:val="0"/>
        <w:color w:val="auto"/>
        <w:szCs w:val="22"/>
      </w:rPr>
    </w:sdtEndPr>
    <w:sdtContent>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832F2" w:rsidRPr="0093500B" w14:paraId="2819858B" w14:textId="77777777" w:rsidTr="00AE1280">
          <w:trPr>
            <w:trHeight w:val="117"/>
          </w:trPr>
          <w:tc>
            <w:tcPr>
              <w:tcW w:w="1667" w:type="pct"/>
              <w:tcMar>
                <w:left w:w="0" w:type="dxa"/>
                <w:right w:w="0" w:type="dxa"/>
              </w:tcMar>
              <w:vAlign w:val="center"/>
            </w:tcPr>
            <w:p w14:paraId="6231206E" w14:textId="77777777" w:rsidR="003832F2" w:rsidRPr="00461299" w:rsidRDefault="003832F2"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48483398"/>
                <w:docPartObj>
                  <w:docPartGallery w:val="Page Numbers (Bottom of Page)"/>
                  <w:docPartUnique/>
                </w:docPartObj>
              </w:sdtPr>
              <w:sdtEndPr/>
              <w:sdtContent>
                <w:p w14:paraId="11B600F8" w14:textId="6979A015" w:rsidR="003832F2" w:rsidRPr="008F0591" w:rsidRDefault="003832F2" w:rsidP="00AE1280">
                  <w:pPr>
                    <w:pStyle w:val="Stopka"/>
                    <w:spacing w:before="40" w:after="0"/>
                    <w:jc w:val="center"/>
                  </w:pPr>
                  <w:r>
                    <w:fldChar w:fldCharType="begin"/>
                  </w:r>
                  <w:r>
                    <w:instrText>PAGE   \* MERGEFORMAT</w:instrText>
                  </w:r>
                  <w:r>
                    <w:fldChar w:fldCharType="separate"/>
                  </w:r>
                  <w:r w:rsidR="00F755B7">
                    <w:rPr>
                      <w:noProof/>
                    </w:rPr>
                    <w:t>618</w:t>
                  </w:r>
                  <w:r>
                    <w:fldChar w:fldCharType="end"/>
                  </w:r>
                </w:p>
              </w:sdtContent>
            </w:sdt>
          </w:tc>
          <w:tc>
            <w:tcPr>
              <w:tcW w:w="1666" w:type="pct"/>
              <w:tcMar>
                <w:left w:w="0" w:type="dxa"/>
                <w:right w:w="0" w:type="dxa"/>
              </w:tcMar>
              <w:vAlign w:val="center"/>
            </w:tcPr>
            <w:p w14:paraId="0E4FD7E1" w14:textId="3F92335B" w:rsidR="003832F2" w:rsidRPr="0093500B" w:rsidRDefault="003832F2" w:rsidP="00AE1280">
              <w:pPr>
                <w:pStyle w:val="Stopka"/>
                <w:spacing w:after="0"/>
                <w:jc w:val="right"/>
                <w:rPr>
                  <w:i/>
                  <w:sz w:val="18"/>
                  <w:szCs w:val="20"/>
                </w:rPr>
              </w:pPr>
              <w:r>
                <w:rPr>
                  <w:i/>
                  <w:sz w:val="18"/>
                  <w:szCs w:val="20"/>
                </w:rPr>
                <w:t>Maj 2019</w:t>
              </w:r>
            </w:p>
          </w:tc>
        </w:tr>
      </w:tbl>
      <w:p w14:paraId="7624DED0" w14:textId="77777777" w:rsidR="003832F2" w:rsidRPr="007A1C17" w:rsidRDefault="00870777" w:rsidP="00AE1280">
        <w:pPr>
          <w:spacing w:after="0"/>
          <w:rPr>
            <w:sz w:val="18"/>
          </w:rPr>
        </w:pP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color w:val="0066CC"/>
        <w:sz w:val="18"/>
        <w:szCs w:val="20"/>
      </w:rPr>
      <w:id w:val="-826979045"/>
      <w:docPartObj>
        <w:docPartGallery w:val="Page Numbers (Bottom of Page)"/>
        <w:docPartUnique/>
      </w:docPartObj>
    </w:sdtPr>
    <w:sdtEndPr>
      <w:rPr>
        <w:i w:val="0"/>
        <w:color w:val="auto"/>
        <w:sz w:val="22"/>
        <w:szCs w:val="22"/>
      </w:rPr>
    </w:sdtEndPr>
    <w:sdtContent>
      <w:tbl>
        <w:tblPr>
          <w:tblStyle w:val="Tabela-Siatka"/>
          <w:tblW w:w="4998"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3"/>
          <w:gridCol w:w="3021"/>
        </w:tblGrid>
        <w:tr w:rsidR="003832F2" w:rsidRPr="0093500B" w14:paraId="233C2EDA" w14:textId="77777777" w:rsidTr="00AE1280">
          <w:trPr>
            <w:trHeight w:val="117"/>
          </w:trPr>
          <w:tc>
            <w:tcPr>
              <w:tcW w:w="1667" w:type="pct"/>
              <w:tcMar>
                <w:left w:w="0" w:type="dxa"/>
                <w:right w:w="0" w:type="dxa"/>
              </w:tcMar>
              <w:vAlign w:val="center"/>
            </w:tcPr>
            <w:p w14:paraId="44C668E5" w14:textId="77777777" w:rsidR="003832F2" w:rsidRPr="00461299" w:rsidRDefault="003832F2" w:rsidP="00AE1280">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240984071"/>
                <w:docPartObj>
                  <w:docPartGallery w:val="Page Numbers (Bottom of Page)"/>
                  <w:docPartUnique/>
                </w:docPartObj>
              </w:sdtPr>
              <w:sdtEndPr/>
              <w:sdtContent>
                <w:p w14:paraId="0AB2FD86" w14:textId="4E5E01F6" w:rsidR="003832F2" w:rsidRPr="008F0591" w:rsidRDefault="003832F2" w:rsidP="00AE1280">
                  <w:pPr>
                    <w:pStyle w:val="Stopka"/>
                    <w:spacing w:before="40" w:after="0"/>
                    <w:jc w:val="center"/>
                  </w:pPr>
                  <w:r>
                    <w:fldChar w:fldCharType="begin"/>
                  </w:r>
                  <w:r>
                    <w:instrText>PAGE   \* MERGEFORMAT</w:instrText>
                  </w:r>
                  <w:r>
                    <w:fldChar w:fldCharType="separate"/>
                  </w:r>
                  <w:r w:rsidR="00F755B7">
                    <w:rPr>
                      <w:noProof/>
                    </w:rPr>
                    <w:t>646</w:t>
                  </w:r>
                  <w:r>
                    <w:fldChar w:fldCharType="end"/>
                  </w:r>
                </w:p>
              </w:sdtContent>
            </w:sdt>
          </w:tc>
          <w:tc>
            <w:tcPr>
              <w:tcW w:w="1666" w:type="pct"/>
              <w:tcMar>
                <w:left w:w="0" w:type="dxa"/>
                <w:right w:w="0" w:type="dxa"/>
              </w:tcMar>
              <w:vAlign w:val="center"/>
            </w:tcPr>
            <w:p w14:paraId="0FB4B97A" w14:textId="497689E0" w:rsidR="003832F2" w:rsidRPr="0093500B" w:rsidRDefault="003832F2" w:rsidP="00AE1280">
              <w:pPr>
                <w:pStyle w:val="Stopka"/>
                <w:spacing w:after="0"/>
                <w:jc w:val="right"/>
                <w:rPr>
                  <w:i/>
                  <w:sz w:val="18"/>
                  <w:szCs w:val="20"/>
                </w:rPr>
              </w:pPr>
              <w:r>
                <w:rPr>
                  <w:i/>
                  <w:sz w:val="18"/>
                  <w:szCs w:val="20"/>
                </w:rPr>
                <w:t>Maj 2019</w:t>
              </w:r>
            </w:p>
          </w:tc>
        </w:tr>
      </w:tbl>
      <w:p w14:paraId="56DE1725" w14:textId="77777777" w:rsidR="003832F2" w:rsidRPr="00B11E44" w:rsidRDefault="00870777" w:rsidP="00AE1280">
        <w:pPr>
          <w:spacing w:after="0"/>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5156225"/>
      <w:docPartObj>
        <w:docPartGallery w:val="Page Numbers (Bottom of Page)"/>
        <w:docPartUnique/>
      </w:docPartObj>
    </w:sdtPr>
    <w:sdtEndPr/>
    <w:sdtContent>
      <w:sdt>
        <w:sdtPr>
          <w:id w:val="-1139334824"/>
          <w:docPartObj>
            <w:docPartGallery w:val="Page Numbers (Top of Page)"/>
            <w:docPartUnique/>
          </w:docPartObj>
        </w:sdtPr>
        <w:sdtEndPr/>
        <w:sdtContent>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642DE240" w14:textId="77777777" w:rsidTr="0093500B">
              <w:trPr>
                <w:trHeight w:val="117"/>
              </w:trPr>
              <w:tc>
                <w:tcPr>
                  <w:tcW w:w="1667" w:type="pct"/>
                  <w:tcMar>
                    <w:left w:w="0" w:type="dxa"/>
                    <w:right w:w="0" w:type="dxa"/>
                  </w:tcMar>
                  <w:vAlign w:val="center"/>
                </w:tcPr>
                <w:p w14:paraId="364FA654" w14:textId="0E36F054"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71746394"/>
                    <w:docPartObj>
                      <w:docPartGallery w:val="Page Numbers (Bottom of Page)"/>
                      <w:docPartUnique/>
                    </w:docPartObj>
                  </w:sdtPr>
                  <w:sdtEndPr/>
                  <w:sdtContent>
                    <w:p w14:paraId="28ACAD46" w14:textId="47DECC64" w:rsidR="003832F2" w:rsidRPr="008F0591" w:rsidRDefault="003832F2" w:rsidP="0093500B">
                      <w:pPr>
                        <w:pStyle w:val="Stopka"/>
                        <w:spacing w:before="40" w:after="0"/>
                        <w:jc w:val="center"/>
                      </w:pPr>
                      <w:r>
                        <w:fldChar w:fldCharType="begin"/>
                      </w:r>
                      <w:r>
                        <w:instrText>PAGE   \* MERGEFORMAT</w:instrText>
                      </w:r>
                      <w:r>
                        <w:fldChar w:fldCharType="separate"/>
                      </w:r>
                      <w:r>
                        <w:rPr>
                          <w:noProof/>
                        </w:rPr>
                        <w:t>8</w:t>
                      </w:r>
                      <w:r>
                        <w:fldChar w:fldCharType="end"/>
                      </w:r>
                    </w:p>
                  </w:sdtContent>
                </w:sdt>
              </w:tc>
              <w:tc>
                <w:tcPr>
                  <w:tcW w:w="1666" w:type="pct"/>
                  <w:tcMar>
                    <w:left w:w="0" w:type="dxa"/>
                    <w:right w:w="0" w:type="dxa"/>
                  </w:tcMar>
                  <w:vAlign w:val="center"/>
                </w:tcPr>
                <w:p w14:paraId="03801839" w14:textId="77777777" w:rsidR="003832F2" w:rsidRPr="0093500B" w:rsidRDefault="003832F2" w:rsidP="0093500B">
                  <w:pPr>
                    <w:pStyle w:val="Stopka"/>
                    <w:spacing w:after="0"/>
                    <w:jc w:val="right"/>
                    <w:rPr>
                      <w:i/>
                      <w:sz w:val="18"/>
                      <w:szCs w:val="20"/>
                    </w:rPr>
                  </w:pPr>
                  <w:r w:rsidRPr="0093500B">
                    <w:rPr>
                      <w:i/>
                      <w:sz w:val="18"/>
                      <w:szCs w:val="20"/>
                    </w:rPr>
                    <w:t>Sierpień 2017</w:t>
                  </w:r>
                </w:p>
              </w:tc>
            </w:tr>
          </w:tbl>
          <w:p w14:paraId="3EA1B14E" w14:textId="40CF8218" w:rsidR="003832F2" w:rsidRPr="00AC537C" w:rsidRDefault="00870777" w:rsidP="00502D0C"/>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2178496"/>
      <w:docPartObj>
        <w:docPartGallery w:val="Page Numbers (Bottom of Page)"/>
        <w:docPartUnique/>
      </w:docPartObj>
    </w:sdtPr>
    <w:sdtEndPr/>
    <w:sdtContent>
      <w:sdt>
        <w:sdtPr>
          <w:id w:val="1061056848"/>
          <w:docPartObj>
            <w:docPartGallery w:val="Page Numbers (Top of Page)"/>
            <w:docPartUnique/>
          </w:docPartObj>
        </w:sdtPr>
        <w:sdtEndPr/>
        <w:sdtContent>
          <w:p w14:paraId="30035205" w14:textId="180C1D84" w:rsidR="003832F2" w:rsidRPr="005764AC" w:rsidRDefault="003832F2" w:rsidP="009329A1">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sidR="00F755B7">
              <w:rPr>
                <w:b/>
                <w:bCs/>
                <w:noProof/>
              </w:rPr>
              <w:t>7</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sidR="00F755B7">
              <w:rPr>
                <w:b/>
                <w:bCs/>
                <w:noProof/>
              </w:rPr>
              <w:t>675</w:t>
            </w:r>
            <w:r>
              <w:rPr>
                <w:b/>
                <w:bCs/>
                <w:sz w:val="24"/>
                <w:szCs w:val="24"/>
              </w:rPr>
              <w:fldChar w:fldCharType="end"/>
            </w:r>
          </w:p>
        </w:sdtContent>
      </w:sdt>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5591BC1D" w14:textId="77777777" w:rsidTr="0093500B">
      <w:trPr>
        <w:trHeight w:val="117"/>
      </w:trPr>
      <w:tc>
        <w:tcPr>
          <w:tcW w:w="1667" w:type="pct"/>
          <w:tcMar>
            <w:left w:w="0" w:type="dxa"/>
            <w:right w:w="0" w:type="dxa"/>
          </w:tcMar>
          <w:vAlign w:val="center"/>
        </w:tcPr>
        <w:p w14:paraId="66161418" w14:textId="77777777"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47237316"/>
            <w:docPartObj>
              <w:docPartGallery w:val="Page Numbers (Bottom of Page)"/>
              <w:docPartUnique/>
            </w:docPartObj>
          </w:sdtPr>
          <w:sdtEndPr/>
          <w:sdtContent>
            <w:p w14:paraId="780DB80E" w14:textId="4ED79473" w:rsidR="003832F2" w:rsidRPr="008F0591" w:rsidRDefault="003832F2" w:rsidP="0093500B">
              <w:pPr>
                <w:pStyle w:val="Stopka"/>
                <w:spacing w:before="40" w:after="0"/>
                <w:jc w:val="center"/>
              </w:pPr>
              <w:r>
                <w:fldChar w:fldCharType="begin"/>
              </w:r>
              <w:r>
                <w:instrText>PAGE   \* MERGEFORMAT</w:instrText>
              </w:r>
              <w:r>
                <w:fldChar w:fldCharType="separate"/>
              </w:r>
              <w:r w:rsidR="00F755B7">
                <w:rPr>
                  <w:noProof/>
                </w:rPr>
                <w:t>9</w:t>
              </w:r>
              <w:r>
                <w:fldChar w:fldCharType="end"/>
              </w:r>
            </w:p>
          </w:sdtContent>
        </w:sdt>
      </w:tc>
      <w:tc>
        <w:tcPr>
          <w:tcW w:w="1666" w:type="pct"/>
          <w:tcMar>
            <w:left w:w="0" w:type="dxa"/>
            <w:right w:w="0" w:type="dxa"/>
          </w:tcMar>
          <w:vAlign w:val="center"/>
        </w:tcPr>
        <w:p w14:paraId="415ADB09" w14:textId="48A99542" w:rsidR="003832F2" w:rsidRPr="0093500B" w:rsidRDefault="003832F2" w:rsidP="0093500B">
          <w:pPr>
            <w:pStyle w:val="Stopka"/>
            <w:spacing w:after="0"/>
            <w:jc w:val="right"/>
            <w:rPr>
              <w:i/>
              <w:sz w:val="18"/>
              <w:szCs w:val="20"/>
            </w:rPr>
          </w:pPr>
          <w:r>
            <w:rPr>
              <w:i/>
              <w:sz w:val="18"/>
              <w:szCs w:val="20"/>
            </w:rPr>
            <w:t>Maj 2019</w:t>
          </w:r>
        </w:p>
      </w:tc>
    </w:tr>
  </w:tbl>
  <w:p w14:paraId="5BFA62A3" w14:textId="77777777" w:rsidR="003832F2" w:rsidRPr="00AC537C" w:rsidRDefault="003832F2" w:rsidP="00E300A0">
    <w:pPr>
      <w:spacing w:after="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5AA7C806" w14:textId="77777777" w:rsidTr="0093500B">
      <w:trPr>
        <w:trHeight w:val="117"/>
      </w:trPr>
      <w:tc>
        <w:tcPr>
          <w:tcW w:w="1667" w:type="pct"/>
          <w:tcMar>
            <w:left w:w="0" w:type="dxa"/>
            <w:right w:w="0" w:type="dxa"/>
          </w:tcMar>
          <w:vAlign w:val="center"/>
        </w:tcPr>
        <w:p w14:paraId="5B1942A6" w14:textId="6A291275"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1372461903"/>
            <w:docPartObj>
              <w:docPartGallery w:val="Page Numbers (Bottom of Page)"/>
              <w:docPartUnique/>
            </w:docPartObj>
          </w:sdtPr>
          <w:sdtEndPr/>
          <w:sdtContent>
            <w:p w14:paraId="731EC96C" w14:textId="3EBB9BE9" w:rsidR="003832F2" w:rsidRPr="008F0591" w:rsidRDefault="003832F2" w:rsidP="0093500B">
              <w:pPr>
                <w:pStyle w:val="Stopka"/>
                <w:spacing w:before="40" w:after="0"/>
                <w:jc w:val="center"/>
              </w:pPr>
              <w:r>
                <w:fldChar w:fldCharType="begin"/>
              </w:r>
              <w:r>
                <w:instrText>PAGE   \* MERGEFORMAT</w:instrText>
              </w:r>
              <w:r>
                <w:fldChar w:fldCharType="separate"/>
              </w:r>
              <w:r w:rsidR="00F755B7">
                <w:rPr>
                  <w:noProof/>
                </w:rPr>
                <w:t>8</w:t>
              </w:r>
              <w:r>
                <w:fldChar w:fldCharType="end"/>
              </w:r>
            </w:p>
          </w:sdtContent>
        </w:sdt>
      </w:tc>
      <w:tc>
        <w:tcPr>
          <w:tcW w:w="1666" w:type="pct"/>
          <w:tcMar>
            <w:left w:w="0" w:type="dxa"/>
            <w:right w:w="0" w:type="dxa"/>
          </w:tcMar>
          <w:vAlign w:val="center"/>
        </w:tcPr>
        <w:p w14:paraId="7F221C62" w14:textId="7FDB6014" w:rsidR="003832F2" w:rsidRPr="0093500B" w:rsidRDefault="003832F2" w:rsidP="00C25146">
          <w:pPr>
            <w:pStyle w:val="Stopka"/>
            <w:spacing w:after="0"/>
            <w:jc w:val="right"/>
            <w:rPr>
              <w:i/>
              <w:sz w:val="18"/>
              <w:szCs w:val="20"/>
            </w:rPr>
          </w:pPr>
          <w:r>
            <w:rPr>
              <w:i/>
              <w:sz w:val="18"/>
              <w:szCs w:val="20"/>
            </w:rPr>
            <w:t>Maj 2019</w:t>
          </w:r>
        </w:p>
      </w:tc>
    </w:tr>
  </w:tbl>
  <w:p w14:paraId="0A8272E9" w14:textId="77777777" w:rsidR="003832F2" w:rsidRPr="008F0591" w:rsidRDefault="003832F2" w:rsidP="00502D0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3EEA7E7C" w14:textId="77777777" w:rsidTr="0093500B">
      <w:trPr>
        <w:trHeight w:val="117"/>
      </w:trPr>
      <w:tc>
        <w:tcPr>
          <w:tcW w:w="1667" w:type="pct"/>
          <w:tcMar>
            <w:left w:w="0" w:type="dxa"/>
            <w:right w:w="0" w:type="dxa"/>
          </w:tcMar>
          <w:vAlign w:val="center"/>
        </w:tcPr>
        <w:p w14:paraId="281C74CB" w14:textId="77777777"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783423684"/>
            <w:docPartObj>
              <w:docPartGallery w:val="Page Numbers (Bottom of Page)"/>
              <w:docPartUnique/>
            </w:docPartObj>
          </w:sdtPr>
          <w:sdtEndPr/>
          <w:sdtContent>
            <w:p w14:paraId="66B95E0B" w14:textId="1ABF25CC" w:rsidR="003832F2" w:rsidRPr="008F0591" w:rsidRDefault="003832F2" w:rsidP="0093500B">
              <w:pPr>
                <w:pStyle w:val="Stopka"/>
                <w:spacing w:before="40" w:after="0"/>
                <w:jc w:val="center"/>
              </w:pPr>
              <w:r>
                <w:fldChar w:fldCharType="begin"/>
              </w:r>
              <w:r>
                <w:instrText>PAGE   \* MERGEFORMAT</w:instrText>
              </w:r>
              <w:r>
                <w:fldChar w:fldCharType="separate"/>
              </w:r>
              <w:r w:rsidR="00F755B7">
                <w:rPr>
                  <w:noProof/>
                </w:rPr>
                <w:t>32</w:t>
              </w:r>
              <w:r>
                <w:fldChar w:fldCharType="end"/>
              </w:r>
            </w:p>
          </w:sdtContent>
        </w:sdt>
      </w:tc>
      <w:tc>
        <w:tcPr>
          <w:tcW w:w="1666" w:type="pct"/>
          <w:tcMar>
            <w:left w:w="0" w:type="dxa"/>
            <w:right w:w="0" w:type="dxa"/>
          </w:tcMar>
          <w:vAlign w:val="center"/>
        </w:tcPr>
        <w:p w14:paraId="7059C514" w14:textId="5608F7BB" w:rsidR="003832F2" w:rsidRPr="0093500B" w:rsidRDefault="003832F2" w:rsidP="0093500B">
          <w:pPr>
            <w:pStyle w:val="Stopka"/>
            <w:spacing w:after="0"/>
            <w:jc w:val="right"/>
            <w:rPr>
              <w:i/>
              <w:sz w:val="18"/>
              <w:szCs w:val="20"/>
            </w:rPr>
          </w:pPr>
          <w:r>
            <w:rPr>
              <w:i/>
              <w:sz w:val="18"/>
              <w:szCs w:val="20"/>
            </w:rPr>
            <w:t>Maj 2019</w:t>
          </w:r>
        </w:p>
      </w:tc>
    </w:tr>
  </w:tbl>
  <w:p w14:paraId="5949D9C6" w14:textId="77777777" w:rsidR="003832F2" w:rsidRPr="00AC537C" w:rsidRDefault="003832F2" w:rsidP="00E300A0">
    <w:pPr>
      <w:spacing w:after="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2274F37B" w14:textId="77777777" w:rsidTr="0093500B">
      <w:trPr>
        <w:trHeight w:val="117"/>
      </w:trPr>
      <w:tc>
        <w:tcPr>
          <w:tcW w:w="1667" w:type="pct"/>
          <w:tcMar>
            <w:left w:w="0" w:type="dxa"/>
            <w:right w:w="0" w:type="dxa"/>
          </w:tcMar>
          <w:vAlign w:val="center"/>
        </w:tcPr>
        <w:p w14:paraId="465DC987" w14:textId="77777777" w:rsidR="003832F2" w:rsidRPr="00461299" w:rsidRDefault="003832F2" w:rsidP="0093500B">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201835860"/>
            <w:docPartObj>
              <w:docPartGallery w:val="Page Numbers (Bottom of Page)"/>
              <w:docPartUnique/>
            </w:docPartObj>
          </w:sdtPr>
          <w:sdtEndPr/>
          <w:sdtContent>
            <w:p w14:paraId="170920A1" w14:textId="2519DC36" w:rsidR="003832F2" w:rsidRPr="008F0591" w:rsidRDefault="003832F2" w:rsidP="0093500B">
              <w:pPr>
                <w:pStyle w:val="Stopka"/>
                <w:spacing w:before="40" w:after="0"/>
                <w:jc w:val="center"/>
              </w:pPr>
              <w:r>
                <w:fldChar w:fldCharType="begin"/>
              </w:r>
              <w:r>
                <w:instrText>PAGE   \* MERGEFORMAT</w:instrText>
              </w:r>
              <w:r>
                <w:fldChar w:fldCharType="separate"/>
              </w:r>
              <w:r w:rsidR="00F755B7">
                <w:rPr>
                  <w:noProof/>
                </w:rPr>
                <w:t>24</w:t>
              </w:r>
              <w:r>
                <w:fldChar w:fldCharType="end"/>
              </w:r>
            </w:p>
          </w:sdtContent>
        </w:sdt>
      </w:tc>
      <w:tc>
        <w:tcPr>
          <w:tcW w:w="1666" w:type="pct"/>
          <w:tcMar>
            <w:left w:w="0" w:type="dxa"/>
            <w:right w:w="0" w:type="dxa"/>
          </w:tcMar>
          <w:vAlign w:val="center"/>
        </w:tcPr>
        <w:p w14:paraId="54357922" w14:textId="35775B86" w:rsidR="003832F2" w:rsidRPr="0093500B" w:rsidRDefault="003832F2" w:rsidP="0093500B">
          <w:pPr>
            <w:pStyle w:val="Stopka"/>
            <w:spacing w:after="0"/>
            <w:jc w:val="right"/>
            <w:rPr>
              <w:i/>
              <w:sz w:val="18"/>
              <w:szCs w:val="20"/>
            </w:rPr>
          </w:pPr>
          <w:r>
            <w:rPr>
              <w:i/>
              <w:sz w:val="18"/>
              <w:szCs w:val="20"/>
            </w:rPr>
            <w:t>Maj 2019</w:t>
          </w:r>
        </w:p>
      </w:tc>
    </w:tr>
  </w:tbl>
  <w:p w14:paraId="02748018" w14:textId="77777777" w:rsidR="003832F2" w:rsidRDefault="003832F2" w:rsidP="00E300A0">
    <w:pPr>
      <w:spacing w:after="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8" w:space="0" w:color="0066C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3832F2" w:rsidRPr="0093500B" w14:paraId="347E2822" w14:textId="77777777" w:rsidTr="00502D0C">
      <w:trPr>
        <w:trHeight w:val="117"/>
      </w:trPr>
      <w:tc>
        <w:tcPr>
          <w:tcW w:w="1667" w:type="pct"/>
          <w:tcMar>
            <w:left w:w="0" w:type="dxa"/>
            <w:right w:w="0" w:type="dxa"/>
          </w:tcMar>
          <w:vAlign w:val="center"/>
        </w:tcPr>
        <w:p w14:paraId="774C54E7" w14:textId="77777777" w:rsidR="003832F2" w:rsidRPr="00461299" w:rsidRDefault="003832F2" w:rsidP="00502D0C">
          <w:pPr>
            <w:pStyle w:val="Stopka"/>
            <w:spacing w:after="0"/>
            <w:jc w:val="left"/>
            <w:rPr>
              <w:i/>
              <w:sz w:val="16"/>
              <w:szCs w:val="20"/>
            </w:rPr>
          </w:pPr>
          <w:r>
            <w:rPr>
              <w:i/>
              <w:color w:val="0066CC"/>
              <w:sz w:val="18"/>
              <w:szCs w:val="20"/>
            </w:rPr>
            <w:t>EASA eRules</w:t>
          </w:r>
        </w:p>
      </w:tc>
      <w:tc>
        <w:tcPr>
          <w:tcW w:w="1667" w:type="pct"/>
          <w:tcMar>
            <w:left w:w="0" w:type="dxa"/>
            <w:right w:w="0" w:type="dxa"/>
          </w:tcMar>
          <w:vAlign w:val="center"/>
        </w:tcPr>
        <w:sdt>
          <w:sdtPr>
            <w:id w:val="-947004018"/>
            <w:docPartObj>
              <w:docPartGallery w:val="Page Numbers (Bottom of Page)"/>
              <w:docPartUnique/>
            </w:docPartObj>
          </w:sdtPr>
          <w:sdtEndPr/>
          <w:sdtContent>
            <w:p w14:paraId="4662080C" w14:textId="1FCBE9E8" w:rsidR="003832F2" w:rsidRPr="008F0591" w:rsidRDefault="003832F2" w:rsidP="00502D0C">
              <w:pPr>
                <w:pStyle w:val="Stopka"/>
                <w:spacing w:before="40" w:after="0"/>
                <w:jc w:val="center"/>
              </w:pPr>
              <w:r>
                <w:fldChar w:fldCharType="begin"/>
              </w:r>
              <w:r>
                <w:instrText>PAGE   \* MERGEFORMAT</w:instrText>
              </w:r>
              <w:r>
                <w:fldChar w:fldCharType="separate"/>
              </w:r>
              <w:r w:rsidR="00F755B7">
                <w:rPr>
                  <w:noProof/>
                </w:rPr>
                <w:t>281</w:t>
              </w:r>
              <w:r>
                <w:fldChar w:fldCharType="end"/>
              </w:r>
            </w:p>
          </w:sdtContent>
        </w:sdt>
      </w:tc>
      <w:tc>
        <w:tcPr>
          <w:tcW w:w="1666" w:type="pct"/>
          <w:tcMar>
            <w:left w:w="0" w:type="dxa"/>
            <w:right w:w="0" w:type="dxa"/>
          </w:tcMar>
          <w:vAlign w:val="center"/>
        </w:tcPr>
        <w:p w14:paraId="39DB7E04" w14:textId="39425C66" w:rsidR="003832F2" w:rsidRPr="0093500B" w:rsidRDefault="003832F2" w:rsidP="00502D0C">
          <w:pPr>
            <w:pStyle w:val="Stopka"/>
            <w:spacing w:after="0"/>
            <w:jc w:val="right"/>
            <w:rPr>
              <w:i/>
              <w:sz w:val="18"/>
              <w:szCs w:val="20"/>
            </w:rPr>
          </w:pPr>
          <w:r>
            <w:rPr>
              <w:i/>
              <w:sz w:val="18"/>
              <w:szCs w:val="20"/>
            </w:rPr>
            <w:t>Maj 2019</w:t>
          </w:r>
        </w:p>
      </w:tc>
    </w:tr>
  </w:tbl>
  <w:p w14:paraId="3B5899FC" w14:textId="77777777" w:rsidR="003832F2" w:rsidRPr="00AC537C" w:rsidRDefault="003832F2" w:rsidP="00B468E0">
    <w:pPr>
      <w:spacing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EF3207" w14:textId="77777777" w:rsidR="00870777" w:rsidRDefault="00870777" w:rsidP="00DC7DA6">
      <w:r>
        <w:separator/>
      </w:r>
    </w:p>
  </w:footnote>
  <w:footnote w:type="continuationSeparator" w:id="0">
    <w:p w14:paraId="2DB78E52" w14:textId="77777777" w:rsidR="00870777" w:rsidRDefault="00870777" w:rsidP="00DC7DA6">
      <w:r>
        <w:continuationSeparator/>
      </w:r>
    </w:p>
  </w:footnote>
  <w:footnote w:id="1">
    <w:p w14:paraId="34228F1A" w14:textId="6195C631" w:rsidR="003832F2" w:rsidRPr="00AC46C4" w:rsidRDefault="003832F2">
      <w:pPr>
        <w:pStyle w:val="Tekstprzypisudolnego"/>
        <w:rPr>
          <w:rFonts w:asciiTheme="minorHAnsi" w:hAnsiTheme="minorHAnsi" w:cstheme="minorHAnsi"/>
        </w:rPr>
      </w:pPr>
      <w:r w:rsidRPr="00AC46C4">
        <w:rPr>
          <w:rStyle w:val="Odwoanieprzypisudolnego"/>
          <w:rFonts w:asciiTheme="minorHAnsi" w:hAnsiTheme="minorHAnsi" w:cstheme="minorHAnsi"/>
        </w:rPr>
        <w:footnoteRef/>
      </w:r>
      <w:r w:rsidRPr="00AC46C4">
        <w:rPr>
          <w:rFonts w:asciiTheme="minorHAnsi" w:hAnsiTheme="minorHAnsi" w:cstheme="minorHAnsi"/>
        </w:rPr>
        <w:t xml:space="preserve">  </w:t>
      </w:r>
      <w:r w:rsidRPr="00AC46C4">
        <w:rPr>
          <w:rFonts w:asciiTheme="minorHAnsi" w:hAnsiTheme="minorHAnsi" w:cstheme="minorHAnsi"/>
          <w:color w:val="222222"/>
        </w:rPr>
        <w:t xml:space="preserve">Data publikacji </w:t>
      </w:r>
      <w:r>
        <w:rPr>
          <w:rFonts w:asciiTheme="minorHAnsi" w:hAnsiTheme="minorHAnsi" w:cstheme="minorHAnsi"/>
          <w:color w:val="222222"/>
        </w:rPr>
        <w:t xml:space="preserve">oznacza </w:t>
      </w:r>
      <w:r w:rsidRPr="00AC46C4">
        <w:rPr>
          <w:rFonts w:asciiTheme="minorHAnsi" w:hAnsiTheme="minorHAnsi" w:cstheme="minorHAnsi"/>
          <w:color w:val="222222"/>
        </w:rPr>
        <w:t>dat</w:t>
      </w:r>
      <w:r>
        <w:rPr>
          <w:rFonts w:asciiTheme="minorHAnsi" w:hAnsiTheme="minorHAnsi" w:cstheme="minorHAnsi"/>
          <w:color w:val="222222"/>
        </w:rPr>
        <w:t>ę</w:t>
      </w:r>
      <w:r w:rsidRPr="00AC46C4">
        <w:rPr>
          <w:rFonts w:asciiTheme="minorHAnsi" w:hAnsiTheme="minorHAnsi" w:cstheme="minorHAnsi"/>
          <w:color w:val="222222"/>
        </w:rPr>
        <w:t xml:space="preserve"> wy</w:t>
      </w:r>
      <w:r>
        <w:rPr>
          <w:rFonts w:asciiTheme="minorHAnsi" w:hAnsiTheme="minorHAnsi" w:cstheme="minorHAnsi"/>
          <w:color w:val="222222"/>
        </w:rPr>
        <w:t>dania</w:t>
      </w:r>
      <w:r w:rsidRPr="00AC46C4">
        <w:rPr>
          <w:rFonts w:asciiTheme="minorHAnsi" w:hAnsiTheme="minorHAnsi" w:cstheme="minorHAnsi"/>
          <w:color w:val="222222"/>
        </w:rPr>
        <w:t xml:space="preserve"> skonsolidowanej wersji dokumentu.</w:t>
      </w:r>
    </w:p>
  </w:footnote>
  <w:footnote w:id="2">
    <w:p w14:paraId="5409C78C" w14:textId="602A6961" w:rsidR="003832F2" w:rsidRDefault="003832F2" w:rsidP="00AC46C4">
      <w:pPr>
        <w:pStyle w:val="Tekstprzypisudolnego"/>
      </w:pPr>
      <w:r w:rsidRPr="00AC46C4">
        <w:rPr>
          <w:rStyle w:val="Odwoanieprzypisudolnego"/>
          <w:rFonts w:asciiTheme="minorHAnsi" w:hAnsiTheme="minorHAnsi" w:cstheme="minorHAnsi"/>
        </w:rPr>
        <w:footnoteRef/>
      </w:r>
      <w:r>
        <w:rPr>
          <w:rFonts w:asciiTheme="minorHAnsi" w:hAnsiTheme="minorHAnsi" w:cstheme="minorHAnsi"/>
        </w:rPr>
        <w:t xml:space="preserve">  </w:t>
      </w:r>
      <w:r w:rsidRPr="00AC46C4">
        <w:rPr>
          <w:rFonts w:asciiTheme="minorHAnsi" w:hAnsiTheme="minorHAnsi" w:cstheme="minorHAnsi"/>
        </w:rPr>
        <w:t xml:space="preserve">Euro-Lex, Ważna uwaga prawna: </w:t>
      </w:r>
      <w:hyperlink r:id="rId1" w:history="1">
        <w:r w:rsidRPr="00AC46C4">
          <w:rPr>
            <w:rStyle w:val="Hipercze"/>
            <w:rFonts w:asciiTheme="minorHAnsi" w:hAnsiTheme="minorHAnsi" w:cstheme="minorHAnsi"/>
          </w:rPr>
          <w:t>http://eur-lex.europa.eu/content/legal-notice/legal-notice.html</w:t>
        </w:r>
      </w:hyperlink>
    </w:p>
  </w:footnote>
  <w:footnote w:id="3">
    <w:p w14:paraId="00F88990" w14:textId="487B6CB1" w:rsidR="003832F2" w:rsidRPr="006212E3" w:rsidRDefault="003832F2" w:rsidP="00A9332D">
      <w:pPr>
        <w:pStyle w:val="Tekstprzypisudolnego"/>
        <w:spacing w:after="60"/>
        <w:ind w:left="142" w:right="139" w:hanging="142"/>
        <w:rPr>
          <w:sz w:val="18"/>
          <w:szCs w:val="18"/>
        </w:rPr>
      </w:pPr>
      <w:r w:rsidRPr="006212E3">
        <w:rPr>
          <w:rStyle w:val="Odwoanieprzypisudolnego"/>
          <w:sz w:val="18"/>
          <w:szCs w:val="18"/>
        </w:rPr>
        <w:footnoteRef/>
      </w:r>
      <w:r w:rsidRPr="006212E3">
        <w:rPr>
          <w:sz w:val="18"/>
          <w:szCs w:val="18"/>
        </w:rPr>
        <w:t xml:space="preserve"> </w:t>
      </w:r>
      <w:r w:rsidRPr="006212E3">
        <w:rPr>
          <w:sz w:val="18"/>
          <w:szCs w:val="18"/>
        </w:rPr>
        <w:tab/>
        <w:t xml:space="preserve">Urząd Lotnictwa Cywilnego, który jest wydawcą polskojęzycznej </w:t>
      </w:r>
      <w:r>
        <w:rPr>
          <w:sz w:val="18"/>
          <w:szCs w:val="18"/>
        </w:rPr>
        <w:t xml:space="preserve">wersji </w:t>
      </w:r>
      <w:r w:rsidRPr="006212E3">
        <w:rPr>
          <w:sz w:val="18"/>
          <w:szCs w:val="18"/>
        </w:rPr>
        <w:t>„</w:t>
      </w:r>
      <w:r w:rsidRPr="006212E3">
        <w:rPr>
          <w:bCs/>
          <w:i/>
          <w:iCs/>
          <w:sz w:val="18"/>
          <w:szCs w:val="18"/>
        </w:rPr>
        <w:t>Easy Access Rules for</w:t>
      </w:r>
      <w:r>
        <w:rPr>
          <w:bCs/>
          <w:i/>
          <w:iCs/>
          <w:sz w:val="18"/>
          <w:szCs w:val="18"/>
        </w:rPr>
        <w:t xml:space="preserve"> Aerodromes (Regulation (EU) No </w:t>
      </w:r>
      <w:r w:rsidRPr="006212E3">
        <w:rPr>
          <w:bCs/>
          <w:i/>
          <w:iCs/>
          <w:sz w:val="18"/>
          <w:szCs w:val="18"/>
        </w:rPr>
        <w:t xml:space="preserve">139/2014)” </w:t>
      </w:r>
      <w:r w:rsidRPr="006212E3">
        <w:rPr>
          <w:bCs/>
          <w:iCs/>
          <w:sz w:val="18"/>
          <w:szCs w:val="18"/>
        </w:rPr>
        <w:t>nie ponosi odpowiedzialności z</w:t>
      </w:r>
      <w:r>
        <w:rPr>
          <w:bCs/>
          <w:iCs/>
          <w:sz w:val="18"/>
          <w:szCs w:val="18"/>
        </w:rPr>
        <w:t xml:space="preserve">a jakiekolwiek szkody wynikłe w </w:t>
      </w:r>
      <w:r w:rsidRPr="006212E3">
        <w:rPr>
          <w:bCs/>
          <w:iCs/>
          <w:sz w:val="18"/>
          <w:szCs w:val="18"/>
        </w:rPr>
        <w:t>związku z użyciem tego dokumentu.</w:t>
      </w:r>
    </w:p>
  </w:footnote>
  <w:footnote w:id="4">
    <w:p w14:paraId="50821906" w14:textId="7BB918D5" w:rsidR="003832F2" w:rsidRPr="00B527C7" w:rsidRDefault="003832F2" w:rsidP="00AC0AF0">
      <w:pPr>
        <w:pStyle w:val="Tekstprzypisudolnego"/>
        <w:rPr>
          <w:sz w:val="18"/>
          <w:szCs w:val="18"/>
          <w:lang w:val="en-GB"/>
        </w:rPr>
      </w:pPr>
      <w:r w:rsidRPr="006212E3">
        <w:rPr>
          <w:rStyle w:val="Odwoanieprzypisudolnego"/>
          <w:sz w:val="18"/>
          <w:szCs w:val="18"/>
        </w:rPr>
        <w:footnoteRef/>
      </w:r>
      <w:r w:rsidRPr="00B527C7">
        <w:rPr>
          <w:sz w:val="18"/>
          <w:szCs w:val="18"/>
          <w:lang w:val="en-GB"/>
        </w:rPr>
        <w:t xml:space="preserve">  </w:t>
      </w:r>
      <w:r w:rsidRPr="00B527C7">
        <w:rPr>
          <w:i/>
          <w:sz w:val="18"/>
          <w:szCs w:val="18"/>
          <w:lang w:val="en-GB"/>
        </w:rPr>
        <w:t>Acceptable means of compliance</w:t>
      </w:r>
    </w:p>
  </w:footnote>
  <w:footnote w:id="5">
    <w:p w14:paraId="53082931" w14:textId="32758CA8" w:rsidR="003832F2" w:rsidRPr="00B527C7" w:rsidRDefault="003832F2" w:rsidP="00AC0AF0">
      <w:pPr>
        <w:pStyle w:val="Tekstprzypisudolnego"/>
        <w:rPr>
          <w:sz w:val="18"/>
          <w:szCs w:val="18"/>
          <w:lang w:val="en-GB"/>
        </w:rPr>
      </w:pPr>
      <w:r w:rsidRPr="006212E3">
        <w:rPr>
          <w:rStyle w:val="Odwoanieprzypisudolnego"/>
          <w:sz w:val="18"/>
          <w:szCs w:val="18"/>
        </w:rPr>
        <w:footnoteRef/>
      </w:r>
      <w:r w:rsidRPr="00B527C7">
        <w:rPr>
          <w:sz w:val="18"/>
          <w:szCs w:val="18"/>
          <w:lang w:val="en-GB"/>
        </w:rPr>
        <w:t xml:space="preserve">  </w:t>
      </w:r>
      <w:r w:rsidRPr="00B527C7">
        <w:rPr>
          <w:i/>
          <w:sz w:val="18"/>
          <w:szCs w:val="18"/>
          <w:lang w:val="en-GB"/>
        </w:rPr>
        <w:t>Guidance material</w:t>
      </w:r>
    </w:p>
  </w:footnote>
  <w:footnote w:id="6">
    <w:p w14:paraId="32F2277A" w14:textId="27934499" w:rsidR="003832F2" w:rsidRPr="006212E3" w:rsidRDefault="003832F2" w:rsidP="00AC0AF0">
      <w:pPr>
        <w:pStyle w:val="Tekstprzypisudolnego"/>
        <w:rPr>
          <w:sz w:val="18"/>
          <w:szCs w:val="18"/>
        </w:rPr>
      </w:pPr>
      <w:r w:rsidRPr="006212E3">
        <w:rPr>
          <w:rStyle w:val="Odwoanieprzypisudolnego"/>
          <w:sz w:val="18"/>
          <w:szCs w:val="18"/>
        </w:rPr>
        <w:footnoteRef/>
      </w:r>
      <w:r w:rsidRPr="006212E3">
        <w:rPr>
          <w:sz w:val="18"/>
          <w:szCs w:val="18"/>
        </w:rPr>
        <w:t xml:space="preserve">  </w:t>
      </w:r>
      <w:r w:rsidRPr="00FB19D9">
        <w:rPr>
          <w:i/>
          <w:sz w:val="18"/>
          <w:szCs w:val="18"/>
        </w:rPr>
        <w:t>ED</w:t>
      </w:r>
      <w:r>
        <w:rPr>
          <w:sz w:val="18"/>
          <w:szCs w:val="18"/>
        </w:rPr>
        <w:t xml:space="preserve"> - </w:t>
      </w:r>
      <w:r w:rsidRPr="003832F2">
        <w:rPr>
          <w:i/>
          <w:sz w:val="18"/>
          <w:szCs w:val="18"/>
        </w:rPr>
        <w:t>Executive Director</w:t>
      </w:r>
    </w:p>
  </w:footnote>
  <w:footnote w:id="7">
    <w:p w14:paraId="7FD1AE15" w14:textId="0103B22F" w:rsidR="003832F2" w:rsidRPr="006212E3" w:rsidRDefault="003832F2" w:rsidP="00DE037F">
      <w:pPr>
        <w:pStyle w:val="Tekstprzypisudolnego"/>
        <w:rPr>
          <w:rFonts w:asciiTheme="minorHAnsi" w:hAnsiTheme="minorHAnsi" w:cstheme="minorHAnsi"/>
          <w:sz w:val="18"/>
          <w:szCs w:val="18"/>
        </w:rPr>
      </w:pPr>
      <w:r w:rsidRPr="009D02CA">
        <w:rPr>
          <w:rStyle w:val="Odwoanieprzypisudolnego"/>
          <w:rFonts w:asciiTheme="minorHAnsi" w:hAnsiTheme="minorHAnsi" w:cstheme="minorHAnsi"/>
          <w:szCs w:val="18"/>
        </w:rPr>
        <w:footnoteRef/>
      </w:r>
      <w:r w:rsidRPr="006212E3">
        <w:rPr>
          <w:rFonts w:asciiTheme="minorHAnsi" w:hAnsiTheme="minorHAnsi" w:cstheme="minorHAnsi"/>
          <w:sz w:val="18"/>
          <w:szCs w:val="18"/>
        </w:rPr>
        <w:t xml:space="preserve">  </w:t>
      </w:r>
      <w:r w:rsidRPr="00577BAA">
        <w:rPr>
          <w:rFonts w:asciiTheme="minorHAnsi" w:hAnsiTheme="minorHAnsi" w:cstheme="minorHAnsi"/>
          <w:i/>
          <w:sz w:val="18"/>
        </w:rPr>
        <w:t xml:space="preserve">Uwagi do tłumaczenia w języku polskim należy przesyłać </w:t>
      </w:r>
      <w:r>
        <w:rPr>
          <w:rFonts w:asciiTheme="minorHAnsi" w:hAnsiTheme="minorHAnsi" w:cstheme="minorHAnsi"/>
          <w:i/>
          <w:sz w:val="18"/>
        </w:rPr>
        <w:t xml:space="preserve">do ULC </w:t>
      </w:r>
      <w:r w:rsidRPr="00577BAA">
        <w:rPr>
          <w:rFonts w:asciiTheme="minorHAnsi" w:hAnsiTheme="minorHAnsi" w:cstheme="minorHAnsi"/>
          <w:i/>
          <w:sz w:val="18"/>
        </w:rPr>
        <w:t xml:space="preserve">na adres: </w:t>
      </w:r>
      <w:hyperlink r:id="rId2" w:history="1">
        <w:r w:rsidRPr="00577BAA">
          <w:rPr>
            <w:rStyle w:val="Hipercze"/>
            <w:rFonts w:asciiTheme="minorHAnsi" w:hAnsiTheme="minorHAnsi" w:cstheme="minorHAnsi"/>
            <w:i/>
            <w:sz w:val="18"/>
          </w:rPr>
          <w:t>rkita@ulc.gov.pl</w:t>
        </w:r>
      </w:hyperlink>
      <w:r w:rsidRPr="00577BAA">
        <w:rPr>
          <w:rFonts w:asciiTheme="minorHAnsi" w:hAnsiTheme="minorHAnsi" w:cstheme="minorHAnsi"/>
          <w:sz w:val="18"/>
        </w:rPr>
        <w:t>.</w:t>
      </w:r>
    </w:p>
  </w:footnote>
  <w:footnote w:id="8">
    <w:p w14:paraId="40B412DA" w14:textId="61F294CA" w:rsidR="003832F2" w:rsidRPr="006A54F2" w:rsidRDefault="003832F2" w:rsidP="00CE4A3E">
      <w:pPr>
        <w:spacing w:after="0"/>
        <w:ind w:left="142" w:hanging="142"/>
        <w:rPr>
          <w:sz w:val="18"/>
        </w:rPr>
      </w:pPr>
      <w:r w:rsidRPr="006A54F2">
        <w:rPr>
          <w:rStyle w:val="Odwoanieprzypisudolnego"/>
          <w:sz w:val="18"/>
        </w:rPr>
        <w:footnoteRef/>
      </w:r>
      <w:r w:rsidRPr="006A54F2">
        <w:rPr>
          <w:sz w:val="18"/>
        </w:rPr>
        <w:t xml:space="preserve"> Data ta jest najwcześniejszą datą zastosowania tego rozporządzenia. Niektóre przepisy rozporządzenia mogą mieć zastosowanie w późniejszym terminie. Poza tym niektóre Państwa</w:t>
      </w:r>
      <w:r>
        <w:rPr>
          <w:sz w:val="18"/>
        </w:rPr>
        <w:t xml:space="preserve"> Członkowskie mogą skorzystać z </w:t>
      </w:r>
      <w:r w:rsidRPr="006A54F2">
        <w:rPr>
          <w:sz w:val="18"/>
        </w:rPr>
        <w:t>odstępstwa od stosowania tych przepisów.</w:t>
      </w:r>
    </w:p>
  </w:footnote>
  <w:footnote w:id="9">
    <w:p w14:paraId="36642852" w14:textId="118CDF21" w:rsidR="003832F2" w:rsidRPr="00CC671B" w:rsidRDefault="003832F2">
      <w:pPr>
        <w:pStyle w:val="Tekstprzypisudolnego"/>
        <w:rPr>
          <w:sz w:val="18"/>
          <w:szCs w:val="18"/>
        </w:rPr>
      </w:pPr>
      <w:r w:rsidRPr="00CC671B">
        <w:rPr>
          <w:rStyle w:val="Odwoanieprzypisudolnego"/>
          <w:sz w:val="18"/>
          <w:szCs w:val="18"/>
        </w:rPr>
        <w:footnoteRef/>
      </w:r>
      <w:r w:rsidRPr="00CC671B">
        <w:rPr>
          <w:sz w:val="18"/>
          <w:szCs w:val="18"/>
        </w:rPr>
        <w:t xml:space="preserve"> </w:t>
      </w:r>
      <w:r w:rsidRPr="00CC671B">
        <w:rPr>
          <w:i/>
          <w:sz w:val="18"/>
          <w:szCs w:val="18"/>
        </w:rPr>
        <w:t>Cover Regulation</w:t>
      </w:r>
    </w:p>
  </w:footnote>
  <w:footnote w:id="10">
    <w:p w14:paraId="4CC4C0FA" w14:textId="07C4D89A" w:rsidR="003832F2" w:rsidRDefault="003832F2">
      <w:pPr>
        <w:pStyle w:val="Tekstprzypisudolnego"/>
      </w:pPr>
      <w:r>
        <w:rPr>
          <w:rStyle w:val="Odwoanieprzypisudolnego"/>
        </w:rPr>
        <w:footnoteRef/>
      </w:r>
      <w:r>
        <w:t xml:space="preserve"> </w:t>
      </w:r>
      <w:r w:rsidRPr="00DA1DC1">
        <w:rPr>
          <w:sz w:val="18"/>
        </w:rPr>
        <w:t xml:space="preserve">Przepis poprawiono na podstawie </w:t>
      </w:r>
      <w:hyperlink r:id="rId3" w:history="1">
        <w:r w:rsidRPr="00DA1DC1">
          <w:rPr>
            <w:rStyle w:val="Hipercze"/>
            <w:sz w:val="18"/>
          </w:rPr>
          <w:t>sprostowania do rozporządzenia Komisji UE nr 139/2014</w:t>
        </w:r>
      </w:hyperlink>
      <w:r w:rsidRPr="00DA1DC1">
        <w:rPr>
          <w:sz w:val="18"/>
        </w:rPr>
        <w:t xml:space="preserve"> (z dn. 26.10.2016).</w:t>
      </w:r>
    </w:p>
  </w:footnote>
  <w:footnote w:id="11">
    <w:p w14:paraId="5AF10C50" w14:textId="524BDAF6" w:rsidR="003832F2" w:rsidRDefault="003832F2">
      <w:pPr>
        <w:pStyle w:val="Tekstprzypisudolnego"/>
      </w:pPr>
      <w:r>
        <w:rPr>
          <w:rStyle w:val="Odwoanieprzypisudolnego"/>
        </w:rPr>
        <w:footnoteRef/>
      </w:r>
      <w:r>
        <w:t xml:space="preserve"> </w:t>
      </w:r>
      <w:r w:rsidRPr="00DA1DC1">
        <w:rPr>
          <w:sz w:val="18"/>
        </w:rPr>
        <w:t xml:space="preserve">Przepis poprawiono na podstawie </w:t>
      </w:r>
      <w:hyperlink r:id="rId4" w:history="1">
        <w:r w:rsidRPr="00DA1DC1">
          <w:rPr>
            <w:rStyle w:val="Hipercze"/>
            <w:sz w:val="18"/>
          </w:rPr>
          <w:t>sprostowania do rozporządzenia Komisji UE nr 139/2014</w:t>
        </w:r>
      </w:hyperlink>
      <w:r w:rsidRPr="00DA1DC1">
        <w:rPr>
          <w:sz w:val="18"/>
        </w:rPr>
        <w:t xml:space="preserve"> (z dn. 26.10.2016).</w:t>
      </w:r>
    </w:p>
  </w:footnote>
  <w:footnote w:id="12">
    <w:p w14:paraId="0D06DA3A" w14:textId="2A4F105D" w:rsidR="003832F2" w:rsidRDefault="003832F2">
      <w:pPr>
        <w:pStyle w:val="Tekstprzypisudolnego"/>
      </w:pPr>
      <w:r>
        <w:rPr>
          <w:rStyle w:val="Odwoanieprzypisudolnego"/>
        </w:rPr>
        <w:footnoteRef/>
      </w:r>
      <w:r>
        <w:t xml:space="preserve"> </w:t>
      </w:r>
      <w:r w:rsidRPr="00D50499">
        <w:t xml:space="preserve">Zmiana wprowadzona </w:t>
      </w:r>
      <w:hyperlink r:id="rId5" w:history="1">
        <w:r w:rsidRPr="00D50499">
          <w:rPr>
            <w:rStyle w:val="Hipercze"/>
            <w:i/>
          </w:rPr>
          <w:t>rozporządzeniem (UE) 2018/401</w:t>
        </w:r>
      </w:hyperlink>
      <w:r w:rsidRPr="00D50499">
        <w:t>”.</w:t>
      </w:r>
    </w:p>
  </w:footnote>
  <w:footnote w:id="13">
    <w:p w14:paraId="3F3E050A" w14:textId="53D9FFB9" w:rsidR="003832F2" w:rsidRDefault="003832F2">
      <w:pPr>
        <w:pStyle w:val="Tekstprzypisudolnego"/>
      </w:pPr>
      <w:r>
        <w:rPr>
          <w:rStyle w:val="Odwoanieprzypisudolnego"/>
        </w:rPr>
        <w:footnoteRef/>
      </w:r>
      <w:r>
        <w:t xml:space="preserve"> </w:t>
      </w:r>
      <w:r w:rsidRPr="00D50499">
        <w:t xml:space="preserve">Zmiana wprowadzona </w:t>
      </w:r>
      <w:hyperlink r:id="rId6" w:history="1">
        <w:r w:rsidRPr="00D50499">
          <w:rPr>
            <w:rStyle w:val="Hipercze"/>
            <w:i/>
          </w:rPr>
          <w:t>rozporządzeniem (UE) 2018/401</w:t>
        </w:r>
      </w:hyperlink>
      <w:r w:rsidRPr="00D50499">
        <w:t>”.</w:t>
      </w:r>
    </w:p>
  </w:footnote>
  <w:footnote w:id="14">
    <w:p w14:paraId="7E0DD9F7" w14:textId="485881DE" w:rsidR="003832F2" w:rsidRDefault="003832F2">
      <w:pPr>
        <w:pStyle w:val="Tekstprzypisudolnego"/>
      </w:pPr>
      <w:r>
        <w:rPr>
          <w:rStyle w:val="Odwoanieprzypisudolnego"/>
        </w:rPr>
        <w:footnoteRef/>
      </w:r>
      <w:r>
        <w:t xml:space="preserve"> </w:t>
      </w:r>
      <w:r w:rsidRPr="00D50499">
        <w:t xml:space="preserve">Zmiana wprowadzona </w:t>
      </w:r>
      <w:hyperlink r:id="rId7" w:history="1">
        <w:r w:rsidRPr="00D50499">
          <w:rPr>
            <w:rStyle w:val="Hipercze"/>
            <w:i/>
          </w:rPr>
          <w:t>rozporządzeniem (UE) 2018/401</w:t>
        </w:r>
      </w:hyperlink>
      <w:r w:rsidRPr="00D50499">
        <w:t>”.</w:t>
      </w:r>
    </w:p>
  </w:footnote>
  <w:footnote w:id="15">
    <w:p w14:paraId="3C6F58C8" w14:textId="6B968933" w:rsidR="003832F2" w:rsidRDefault="003832F2">
      <w:pPr>
        <w:pStyle w:val="Tekstprzypisudolnego"/>
      </w:pPr>
      <w:r>
        <w:rPr>
          <w:rStyle w:val="Odwoanieprzypisudolnego"/>
        </w:rPr>
        <w:footnoteRef/>
      </w:r>
      <w:r>
        <w:t xml:space="preserve"> </w:t>
      </w:r>
      <w:r w:rsidRPr="004B2C78">
        <w:rPr>
          <w:i/>
          <w:sz w:val="18"/>
          <w:szCs w:val="16"/>
        </w:rPr>
        <w:t xml:space="preserve">OJ L 167, 4.7.2003, p. 23. </w:t>
      </w:r>
      <w:r w:rsidRPr="004B2C78">
        <w:rPr>
          <w:i/>
          <w:sz w:val="24"/>
        </w:rPr>
        <w:t xml:space="preserve"> </w:t>
      </w:r>
    </w:p>
  </w:footnote>
  <w:footnote w:id="16">
    <w:p w14:paraId="5736F520" w14:textId="3BF9DAB5" w:rsidR="003832F2" w:rsidRPr="00A669F8" w:rsidRDefault="003832F2">
      <w:pPr>
        <w:pStyle w:val="Tekstprzypisudolnego"/>
        <w:rPr>
          <w:i/>
        </w:rPr>
      </w:pPr>
      <w:r w:rsidRPr="00A669F8">
        <w:rPr>
          <w:rStyle w:val="Odwoanieprzypisudolnego"/>
          <w:i/>
        </w:rPr>
        <w:footnoteRef/>
      </w:r>
      <w:r w:rsidRPr="004B2C78">
        <w:rPr>
          <w:i/>
          <w:sz w:val="18"/>
          <w:szCs w:val="18"/>
        </w:rPr>
        <w:t xml:space="preserve"> Uwaga ULC: Dyrektywa </w:t>
      </w:r>
      <w:r w:rsidRPr="004B2C78">
        <w:rPr>
          <w:rFonts w:asciiTheme="minorHAnsi" w:hAnsiTheme="minorHAnsi" w:cstheme="minorHAnsi"/>
          <w:i/>
          <w:sz w:val="18"/>
          <w:szCs w:val="18"/>
        </w:rPr>
        <w:t>2003/42/WE</w:t>
      </w:r>
      <w:r w:rsidRPr="004B2C78">
        <w:rPr>
          <w:i/>
          <w:sz w:val="18"/>
          <w:szCs w:val="18"/>
        </w:rPr>
        <w:t xml:space="preserve"> została zastąpiona przez </w:t>
      </w:r>
      <w:hyperlink r:id="rId8" w:history="1">
        <w:r w:rsidRPr="004B2C78">
          <w:rPr>
            <w:rStyle w:val="Hipercze"/>
            <w:i/>
            <w:sz w:val="18"/>
            <w:szCs w:val="18"/>
          </w:rPr>
          <w:t>Rozporządzenie (UE) Nr 376/2014</w:t>
        </w:r>
      </w:hyperlink>
      <w:r w:rsidRPr="004B2C78">
        <w:rPr>
          <w:i/>
          <w:sz w:val="18"/>
          <w:szCs w:val="18"/>
        </w:rPr>
        <w:t xml:space="preserve"> .</w:t>
      </w:r>
    </w:p>
  </w:footnote>
  <w:footnote w:id="17">
    <w:p w14:paraId="0D1E4776" w14:textId="77777777" w:rsidR="003832F2" w:rsidRPr="00E547B9" w:rsidRDefault="003832F2" w:rsidP="00A35578">
      <w:pPr>
        <w:pStyle w:val="Tekstprzypisudolnego"/>
        <w:rPr>
          <w:lang w:val="en-GB"/>
        </w:rPr>
      </w:pPr>
      <w:r w:rsidRPr="006F691B">
        <w:rPr>
          <w:rStyle w:val="Odwoanieprzypisudolnego"/>
          <w:sz w:val="22"/>
        </w:rPr>
        <w:footnoteRef/>
      </w:r>
      <w:r w:rsidRPr="006F691B">
        <w:rPr>
          <w:sz w:val="22"/>
          <w:lang w:val="en-GB"/>
        </w:rPr>
        <w:t xml:space="preserve"> </w:t>
      </w:r>
      <w:r w:rsidRPr="006F691B">
        <w:rPr>
          <w:i/>
          <w:sz w:val="18"/>
          <w:lang w:val="en-GB"/>
        </w:rPr>
        <w:t>Rescue and firefighting services</w:t>
      </w:r>
    </w:p>
  </w:footnote>
  <w:footnote w:id="18">
    <w:p w14:paraId="5DA835F5" w14:textId="77777777" w:rsidR="003832F2" w:rsidRPr="00B527C7" w:rsidRDefault="003832F2" w:rsidP="00E32CD3">
      <w:pPr>
        <w:pStyle w:val="Tekstprzypisudolnego"/>
        <w:rPr>
          <w:lang w:val="en-GB"/>
        </w:rPr>
      </w:pPr>
      <w:r>
        <w:rPr>
          <w:rStyle w:val="Odwoanieprzypisudolnego"/>
        </w:rPr>
        <w:footnoteRef/>
      </w:r>
      <w:r w:rsidRPr="00B527C7">
        <w:rPr>
          <w:lang w:val="en-GB"/>
        </w:rPr>
        <w:t xml:space="preserve"> </w:t>
      </w:r>
      <w:r w:rsidRPr="00B527C7">
        <w:rPr>
          <w:i/>
          <w:spacing w:val="-1"/>
          <w:sz w:val="18"/>
          <w:szCs w:val="18"/>
          <w:lang w:val="en-GB"/>
        </w:rPr>
        <w:t>r</w:t>
      </w:r>
      <w:r w:rsidRPr="00B527C7">
        <w:rPr>
          <w:i/>
          <w:spacing w:val="1"/>
          <w:sz w:val="18"/>
          <w:szCs w:val="18"/>
          <w:lang w:val="en-GB"/>
        </w:rPr>
        <w:t>un</w:t>
      </w:r>
      <w:r w:rsidRPr="00B527C7">
        <w:rPr>
          <w:i/>
          <w:sz w:val="18"/>
          <w:szCs w:val="18"/>
          <w:lang w:val="en-GB"/>
        </w:rPr>
        <w:t>way</w:t>
      </w:r>
      <w:r w:rsidRPr="00B527C7">
        <w:rPr>
          <w:i/>
          <w:w w:val="99"/>
          <w:sz w:val="18"/>
          <w:szCs w:val="18"/>
          <w:lang w:val="en-GB"/>
        </w:rPr>
        <w:t xml:space="preserve"> in</w:t>
      </w:r>
      <w:r w:rsidRPr="00B527C7">
        <w:rPr>
          <w:i/>
          <w:spacing w:val="-1"/>
          <w:sz w:val="18"/>
          <w:szCs w:val="18"/>
          <w:lang w:val="en-GB"/>
        </w:rPr>
        <w:t>c</w:t>
      </w:r>
      <w:r w:rsidRPr="00B527C7">
        <w:rPr>
          <w:i/>
          <w:spacing w:val="3"/>
          <w:sz w:val="18"/>
          <w:szCs w:val="18"/>
          <w:lang w:val="en-GB"/>
        </w:rPr>
        <w:t>u</w:t>
      </w:r>
      <w:r w:rsidRPr="00B527C7">
        <w:rPr>
          <w:i/>
          <w:spacing w:val="-1"/>
          <w:sz w:val="18"/>
          <w:szCs w:val="18"/>
          <w:lang w:val="en-GB"/>
        </w:rPr>
        <w:t>r</w:t>
      </w:r>
      <w:r w:rsidRPr="00B527C7">
        <w:rPr>
          <w:i/>
          <w:sz w:val="18"/>
          <w:szCs w:val="18"/>
          <w:lang w:val="en-GB"/>
        </w:rPr>
        <w:t>s</w:t>
      </w:r>
      <w:r w:rsidRPr="00B527C7">
        <w:rPr>
          <w:i/>
          <w:spacing w:val="2"/>
          <w:sz w:val="18"/>
          <w:szCs w:val="18"/>
          <w:lang w:val="en-GB"/>
        </w:rPr>
        <w:t>i</w:t>
      </w:r>
      <w:r w:rsidRPr="00B527C7">
        <w:rPr>
          <w:i/>
          <w:spacing w:val="-1"/>
          <w:sz w:val="18"/>
          <w:szCs w:val="18"/>
          <w:lang w:val="en-GB"/>
        </w:rPr>
        <w:t>o</w:t>
      </w:r>
      <w:r w:rsidRPr="00B527C7">
        <w:rPr>
          <w:i/>
          <w:sz w:val="18"/>
          <w:szCs w:val="18"/>
          <w:lang w:val="en-GB"/>
        </w:rPr>
        <w:t>n</w:t>
      </w:r>
    </w:p>
  </w:footnote>
  <w:footnote w:id="19">
    <w:p w14:paraId="192AEBC5" w14:textId="77777777" w:rsidR="003832F2" w:rsidRPr="000C7DC3" w:rsidRDefault="003832F2" w:rsidP="00E32CD3">
      <w:pPr>
        <w:pStyle w:val="Tekstprzypisudolnego"/>
      </w:pPr>
      <w:r>
        <w:rPr>
          <w:rStyle w:val="Odwoanieprzypisudolnego"/>
        </w:rPr>
        <w:footnoteRef/>
      </w:r>
      <w:r w:rsidRPr="000C7DC3">
        <w:t xml:space="preserve"> </w:t>
      </w:r>
      <w:r w:rsidRPr="00A978D4">
        <w:rPr>
          <w:i/>
          <w:sz w:val="16"/>
          <w:szCs w:val="18"/>
        </w:rPr>
        <w:t>r</w:t>
      </w:r>
      <w:r w:rsidRPr="00F809D7">
        <w:rPr>
          <w:i/>
          <w:sz w:val="18"/>
          <w:szCs w:val="18"/>
        </w:rPr>
        <w:t>unway excursion</w:t>
      </w:r>
    </w:p>
  </w:footnote>
  <w:footnote w:id="20">
    <w:p w14:paraId="3E5EC70E" w14:textId="466C7C47" w:rsidR="003832F2" w:rsidRDefault="003832F2">
      <w:pPr>
        <w:pStyle w:val="Tekstprzypisudolnego"/>
      </w:pPr>
      <w:r>
        <w:rPr>
          <w:rStyle w:val="Odwoanieprzypisudolnego"/>
        </w:rPr>
        <w:footnoteRef/>
      </w:r>
      <w:r>
        <w:t xml:space="preserve"> </w:t>
      </w:r>
      <w:r w:rsidRPr="00DA1DC1">
        <w:rPr>
          <w:sz w:val="18"/>
        </w:rPr>
        <w:t xml:space="preserve">Przepis poprawiono na podstawie </w:t>
      </w:r>
      <w:hyperlink r:id="rId9" w:history="1">
        <w:r w:rsidRPr="00DA1DC1">
          <w:rPr>
            <w:rStyle w:val="Hipercze"/>
            <w:sz w:val="18"/>
          </w:rPr>
          <w:t>sprostowania do rozporządzenia Komisji UE nr 139/2014</w:t>
        </w:r>
      </w:hyperlink>
      <w:r w:rsidRPr="00DA1DC1">
        <w:rPr>
          <w:sz w:val="18"/>
        </w:rPr>
        <w:t xml:space="preserve"> (z dn. 26.10.2016).</w:t>
      </w:r>
    </w:p>
  </w:footnote>
  <w:footnote w:id="21">
    <w:p w14:paraId="1EA3B065" w14:textId="77777777" w:rsidR="003832F2" w:rsidRPr="006F691B" w:rsidRDefault="003832F2" w:rsidP="00E32CD3">
      <w:pPr>
        <w:pStyle w:val="Tekstprzypisudolnego"/>
        <w:rPr>
          <w:sz w:val="18"/>
          <w:szCs w:val="18"/>
        </w:rPr>
      </w:pPr>
      <w:r w:rsidRPr="006F691B">
        <w:rPr>
          <w:rStyle w:val="Odwoanieprzypisudolnego"/>
          <w:sz w:val="18"/>
          <w:szCs w:val="18"/>
        </w:rPr>
        <w:footnoteRef/>
      </w:r>
      <w:r w:rsidRPr="006F691B">
        <w:rPr>
          <w:sz w:val="18"/>
          <w:szCs w:val="18"/>
        </w:rPr>
        <w:t xml:space="preserve"> Usunąć w przypadku państw spoza UE.</w:t>
      </w:r>
    </w:p>
  </w:footnote>
  <w:footnote w:id="22">
    <w:p w14:paraId="08B2E5A4" w14:textId="77777777" w:rsidR="003832F2" w:rsidRDefault="003832F2" w:rsidP="00E32CD3">
      <w:pPr>
        <w:pStyle w:val="Tekstprzypisudolnego"/>
      </w:pPr>
      <w:r w:rsidRPr="006F691B">
        <w:rPr>
          <w:rStyle w:val="Odwoanieprzypisudolnego"/>
          <w:sz w:val="18"/>
          <w:szCs w:val="18"/>
        </w:rPr>
        <w:footnoteRef/>
      </w:r>
      <w:r w:rsidRPr="006F691B">
        <w:rPr>
          <w:sz w:val="18"/>
          <w:szCs w:val="18"/>
        </w:rPr>
        <w:t xml:space="preserve"> Usunąć w przypadku państw spoza UE.</w:t>
      </w:r>
    </w:p>
  </w:footnote>
  <w:footnote w:id="23">
    <w:p w14:paraId="52207AFA" w14:textId="77777777" w:rsidR="003832F2" w:rsidRPr="006F691B" w:rsidRDefault="003832F2"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Usunąć w przypadku państw spoza UE.</w:t>
      </w:r>
    </w:p>
  </w:footnote>
  <w:footnote w:id="24">
    <w:p w14:paraId="431A9DB7" w14:textId="77777777" w:rsidR="003832F2" w:rsidRPr="006F691B" w:rsidRDefault="003832F2"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Usunąć w przypadku państw spoza UE.</w:t>
      </w:r>
    </w:p>
  </w:footnote>
  <w:footnote w:id="25">
    <w:p w14:paraId="6F214799" w14:textId="77777777" w:rsidR="003832F2" w:rsidRPr="006F691B" w:rsidRDefault="003832F2" w:rsidP="00AC5577">
      <w:pPr>
        <w:pStyle w:val="Tekstprzypisudolnego"/>
        <w:tabs>
          <w:tab w:val="left" w:pos="426"/>
        </w:tabs>
        <w:ind w:left="142" w:hanging="142"/>
        <w:jc w:val="left"/>
        <w:rPr>
          <w:sz w:val="18"/>
          <w:szCs w:val="18"/>
        </w:rPr>
      </w:pPr>
      <w:r w:rsidRPr="006F691B">
        <w:rPr>
          <w:rStyle w:val="Odwoanieprzypisudolnego"/>
          <w:sz w:val="18"/>
          <w:szCs w:val="18"/>
        </w:rPr>
        <w:footnoteRef/>
      </w:r>
      <w:r w:rsidRPr="006F691B">
        <w:rPr>
          <w:sz w:val="18"/>
          <w:szCs w:val="18"/>
        </w:rPr>
        <w:t xml:space="preserve"> </w:t>
      </w:r>
      <w:r w:rsidRPr="006F691B">
        <w:rPr>
          <w:sz w:val="18"/>
          <w:szCs w:val="18"/>
        </w:rPr>
        <w:tab/>
        <w:t>Niewłaściwe usunąć. Jeśli zarządzający obsługuje więcej niż jedno lotnisko, to należy wyliczyć wszystkie lotniska.</w:t>
      </w:r>
    </w:p>
  </w:footnote>
  <w:footnote w:id="26">
    <w:p w14:paraId="6AC4BBC7" w14:textId="77777777" w:rsidR="003832F2" w:rsidRPr="006F691B" w:rsidRDefault="003832F2" w:rsidP="00E32CD3">
      <w:pPr>
        <w:pStyle w:val="Tekstprzypisudolnego"/>
        <w:tabs>
          <w:tab w:val="left" w:pos="142"/>
        </w:tabs>
        <w:spacing w:after="60"/>
        <w:ind w:left="142" w:hanging="142"/>
        <w:rPr>
          <w:sz w:val="18"/>
          <w:szCs w:val="18"/>
        </w:rPr>
      </w:pPr>
      <w:r w:rsidRPr="006F691B">
        <w:rPr>
          <w:rStyle w:val="Odwoanieprzypisudolnego"/>
          <w:sz w:val="18"/>
          <w:szCs w:val="18"/>
        </w:rPr>
        <w:footnoteRef/>
      </w:r>
      <w:r w:rsidRPr="006F691B">
        <w:rPr>
          <w:sz w:val="18"/>
          <w:szCs w:val="18"/>
        </w:rPr>
        <w:t xml:space="preserve"> Usunąć w przypadku państw spoza UE.</w:t>
      </w:r>
    </w:p>
  </w:footnote>
  <w:footnote w:id="27">
    <w:p w14:paraId="1864C399" w14:textId="77777777" w:rsidR="003832F2" w:rsidRPr="003900D7" w:rsidRDefault="003832F2" w:rsidP="00E32CD3">
      <w:pPr>
        <w:pStyle w:val="Tekstprzypisudolnego"/>
        <w:tabs>
          <w:tab w:val="left" w:pos="142"/>
        </w:tabs>
        <w:spacing w:after="60"/>
        <w:ind w:left="142" w:hanging="142"/>
      </w:pPr>
      <w:r w:rsidRPr="006F691B">
        <w:rPr>
          <w:rStyle w:val="Odwoanieprzypisudolnego"/>
          <w:sz w:val="18"/>
          <w:szCs w:val="18"/>
        </w:rPr>
        <w:footnoteRef/>
      </w:r>
      <w:r w:rsidRPr="006F691B">
        <w:rPr>
          <w:sz w:val="18"/>
          <w:szCs w:val="18"/>
        </w:rPr>
        <w:t xml:space="preserve"> Niewłaściwe usunąć.</w:t>
      </w:r>
    </w:p>
  </w:footnote>
  <w:footnote w:id="28">
    <w:p w14:paraId="6CB07343" w14:textId="77777777" w:rsidR="003832F2" w:rsidRPr="006F691B" w:rsidRDefault="003832F2" w:rsidP="00490EF1">
      <w:pPr>
        <w:pStyle w:val="Tekstprzypisudolnego"/>
        <w:rPr>
          <w:sz w:val="18"/>
          <w:szCs w:val="18"/>
        </w:rPr>
      </w:pPr>
      <w:r w:rsidRPr="006F691B">
        <w:rPr>
          <w:rStyle w:val="Odwoanieprzypisudolnego"/>
          <w:sz w:val="18"/>
          <w:szCs w:val="18"/>
        </w:rPr>
        <w:footnoteRef/>
      </w:r>
      <w:r w:rsidRPr="006F691B">
        <w:rPr>
          <w:sz w:val="18"/>
          <w:szCs w:val="18"/>
        </w:rPr>
        <w:t xml:space="preserve"> Rozporządzenie Komisji UE 139/2014.</w:t>
      </w:r>
    </w:p>
  </w:footnote>
  <w:footnote w:id="29">
    <w:p w14:paraId="4842B166" w14:textId="77777777" w:rsidR="003832F2" w:rsidRPr="00225EA3" w:rsidRDefault="003832F2" w:rsidP="00092CBF">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pacing w:val="-1"/>
          <w:sz w:val="18"/>
          <w:szCs w:val="18"/>
          <w:lang w:val="en-GB"/>
        </w:rPr>
        <w:t>Hazard and Operability</w:t>
      </w:r>
    </w:p>
  </w:footnote>
  <w:footnote w:id="30">
    <w:p w14:paraId="419C6ACC" w14:textId="77777777" w:rsidR="003832F2" w:rsidRPr="00225EA3" w:rsidRDefault="003832F2" w:rsidP="00092CBF">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z w:val="18"/>
          <w:szCs w:val="18"/>
          <w:lang w:val="en-GB"/>
        </w:rPr>
        <w:t>Fail</w:t>
      </w:r>
      <w:r w:rsidRPr="00225EA3">
        <w:rPr>
          <w:i/>
          <w:spacing w:val="1"/>
          <w:sz w:val="18"/>
          <w:szCs w:val="18"/>
          <w:lang w:val="en-GB"/>
        </w:rPr>
        <w:t>u</w:t>
      </w:r>
      <w:r w:rsidRPr="00225EA3">
        <w:rPr>
          <w:i/>
          <w:spacing w:val="-1"/>
          <w:sz w:val="18"/>
          <w:szCs w:val="18"/>
          <w:lang w:val="en-GB"/>
        </w:rPr>
        <w:t>r</w:t>
      </w:r>
      <w:r w:rsidRPr="00225EA3">
        <w:rPr>
          <w:i/>
          <w:sz w:val="18"/>
          <w:szCs w:val="18"/>
          <w:lang w:val="en-GB"/>
        </w:rPr>
        <w:t>e</w:t>
      </w:r>
      <w:r w:rsidRPr="00225EA3">
        <w:rPr>
          <w:i/>
          <w:spacing w:val="11"/>
          <w:sz w:val="18"/>
          <w:szCs w:val="18"/>
          <w:lang w:val="en-GB"/>
        </w:rPr>
        <w:t xml:space="preserve"> </w:t>
      </w:r>
      <w:r w:rsidRPr="00225EA3">
        <w:rPr>
          <w:i/>
          <w:sz w:val="18"/>
          <w:szCs w:val="18"/>
          <w:lang w:val="en-GB"/>
        </w:rPr>
        <w:t>M</w:t>
      </w:r>
      <w:r w:rsidRPr="00225EA3">
        <w:rPr>
          <w:i/>
          <w:spacing w:val="-1"/>
          <w:sz w:val="18"/>
          <w:szCs w:val="18"/>
          <w:lang w:val="en-GB"/>
        </w:rPr>
        <w:t>o</w:t>
      </w:r>
      <w:r w:rsidRPr="00225EA3">
        <w:rPr>
          <w:i/>
          <w:spacing w:val="3"/>
          <w:sz w:val="18"/>
          <w:szCs w:val="18"/>
          <w:lang w:val="en-GB"/>
        </w:rPr>
        <w:t>d</w:t>
      </w:r>
      <w:r w:rsidRPr="00225EA3">
        <w:rPr>
          <w:i/>
          <w:spacing w:val="-2"/>
          <w:sz w:val="18"/>
          <w:szCs w:val="18"/>
          <w:lang w:val="en-GB"/>
        </w:rPr>
        <w:t>e</w:t>
      </w:r>
      <w:r w:rsidRPr="00225EA3">
        <w:rPr>
          <w:i/>
          <w:sz w:val="18"/>
          <w:szCs w:val="18"/>
          <w:lang w:val="en-GB"/>
        </w:rPr>
        <w:t>s</w:t>
      </w:r>
      <w:r w:rsidRPr="00225EA3">
        <w:rPr>
          <w:i/>
          <w:spacing w:val="11"/>
          <w:sz w:val="18"/>
          <w:szCs w:val="18"/>
          <w:lang w:val="en-GB"/>
        </w:rPr>
        <w:t xml:space="preserve"> </w:t>
      </w:r>
      <w:r w:rsidRPr="00225EA3">
        <w:rPr>
          <w:i/>
          <w:sz w:val="18"/>
          <w:szCs w:val="18"/>
          <w:lang w:val="en-GB"/>
        </w:rPr>
        <w:t>a</w:t>
      </w:r>
      <w:r w:rsidRPr="00225EA3">
        <w:rPr>
          <w:i/>
          <w:spacing w:val="1"/>
          <w:sz w:val="18"/>
          <w:szCs w:val="18"/>
          <w:lang w:val="en-GB"/>
        </w:rPr>
        <w:t>n</w:t>
      </w:r>
      <w:r w:rsidRPr="00225EA3">
        <w:rPr>
          <w:i/>
          <w:sz w:val="18"/>
          <w:szCs w:val="18"/>
          <w:lang w:val="en-GB"/>
        </w:rPr>
        <w:t>d</w:t>
      </w:r>
      <w:r w:rsidRPr="00225EA3">
        <w:rPr>
          <w:i/>
          <w:spacing w:val="12"/>
          <w:sz w:val="18"/>
          <w:szCs w:val="18"/>
          <w:lang w:val="en-GB"/>
        </w:rPr>
        <w:t xml:space="preserve"> </w:t>
      </w:r>
      <w:r w:rsidRPr="00225EA3">
        <w:rPr>
          <w:i/>
          <w:sz w:val="18"/>
          <w:szCs w:val="18"/>
          <w:lang w:val="en-GB"/>
        </w:rPr>
        <w:t>Effects</w:t>
      </w:r>
      <w:r w:rsidRPr="00225EA3">
        <w:rPr>
          <w:i/>
          <w:spacing w:val="11"/>
          <w:sz w:val="18"/>
          <w:szCs w:val="18"/>
          <w:lang w:val="en-GB"/>
        </w:rPr>
        <w:t xml:space="preserve"> </w:t>
      </w:r>
      <w:r w:rsidRPr="00225EA3">
        <w:rPr>
          <w:i/>
          <w:sz w:val="18"/>
          <w:szCs w:val="18"/>
          <w:lang w:val="en-GB"/>
        </w:rPr>
        <w:t>A</w:t>
      </w:r>
      <w:r w:rsidRPr="00225EA3">
        <w:rPr>
          <w:i/>
          <w:spacing w:val="1"/>
          <w:sz w:val="18"/>
          <w:szCs w:val="18"/>
          <w:lang w:val="en-GB"/>
        </w:rPr>
        <w:t>n</w:t>
      </w:r>
      <w:r w:rsidRPr="00225EA3">
        <w:rPr>
          <w:i/>
          <w:sz w:val="18"/>
          <w:szCs w:val="18"/>
          <w:lang w:val="en-GB"/>
        </w:rPr>
        <w:t>a</w:t>
      </w:r>
      <w:r w:rsidRPr="00225EA3">
        <w:rPr>
          <w:i/>
          <w:spacing w:val="3"/>
          <w:sz w:val="18"/>
          <w:szCs w:val="18"/>
          <w:lang w:val="en-GB"/>
        </w:rPr>
        <w:t>l</w:t>
      </w:r>
      <w:r w:rsidRPr="00225EA3">
        <w:rPr>
          <w:i/>
          <w:sz w:val="18"/>
          <w:szCs w:val="18"/>
          <w:lang w:val="en-GB"/>
        </w:rPr>
        <w:t>y</w:t>
      </w:r>
      <w:r w:rsidRPr="00225EA3">
        <w:rPr>
          <w:i/>
          <w:spacing w:val="-5"/>
          <w:sz w:val="18"/>
          <w:szCs w:val="18"/>
          <w:lang w:val="en-GB"/>
        </w:rPr>
        <w:t>s</w:t>
      </w:r>
      <w:r w:rsidRPr="00225EA3">
        <w:rPr>
          <w:i/>
          <w:spacing w:val="2"/>
          <w:sz w:val="18"/>
          <w:szCs w:val="18"/>
          <w:lang w:val="en-GB"/>
        </w:rPr>
        <w:t>i</w:t>
      </w:r>
      <w:r w:rsidRPr="00225EA3">
        <w:rPr>
          <w:i/>
          <w:sz w:val="18"/>
          <w:szCs w:val="18"/>
          <w:lang w:val="en-GB"/>
        </w:rPr>
        <w:t>s</w:t>
      </w:r>
    </w:p>
  </w:footnote>
  <w:footnote w:id="31">
    <w:p w14:paraId="28B9FEA9" w14:textId="77777777" w:rsidR="003832F2" w:rsidRPr="00B527C7" w:rsidRDefault="003832F2" w:rsidP="00092CBF">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S</w:t>
      </w:r>
      <w:r w:rsidRPr="00B527C7">
        <w:rPr>
          <w:i/>
          <w:spacing w:val="1"/>
          <w:sz w:val="18"/>
          <w:szCs w:val="18"/>
          <w:lang w:val="en-GB"/>
        </w:rPr>
        <w:t>t</w:t>
      </w:r>
      <w:r w:rsidRPr="00B527C7">
        <w:rPr>
          <w:i/>
          <w:spacing w:val="-1"/>
          <w:sz w:val="18"/>
          <w:szCs w:val="18"/>
          <w:lang w:val="en-GB"/>
        </w:rPr>
        <w:t>r</w:t>
      </w:r>
      <w:r w:rsidRPr="00B527C7">
        <w:rPr>
          <w:i/>
          <w:spacing w:val="1"/>
          <w:sz w:val="18"/>
          <w:szCs w:val="18"/>
          <w:lang w:val="en-GB"/>
        </w:rPr>
        <w:t>u</w:t>
      </w:r>
      <w:r w:rsidRPr="00B527C7">
        <w:rPr>
          <w:i/>
          <w:sz w:val="18"/>
          <w:szCs w:val="18"/>
          <w:lang w:val="en-GB"/>
        </w:rPr>
        <w:t>ct</w:t>
      </w:r>
      <w:r w:rsidRPr="00B527C7">
        <w:rPr>
          <w:i/>
          <w:spacing w:val="1"/>
          <w:sz w:val="18"/>
          <w:szCs w:val="18"/>
          <w:lang w:val="en-GB"/>
        </w:rPr>
        <w:t>ur</w:t>
      </w:r>
      <w:r w:rsidRPr="00B527C7">
        <w:rPr>
          <w:i/>
          <w:spacing w:val="-2"/>
          <w:sz w:val="18"/>
          <w:szCs w:val="18"/>
          <w:lang w:val="en-GB"/>
        </w:rPr>
        <w:t>e</w:t>
      </w:r>
      <w:r w:rsidRPr="00B527C7">
        <w:rPr>
          <w:i/>
          <w:sz w:val="18"/>
          <w:szCs w:val="18"/>
          <w:lang w:val="en-GB"/>
        </w:rPr>
        <w:t>d</w:t>
      </w:r>
      <w:r w:rsidRPr="00B527C7">
        <w:rPr>
          <w:i/>
          <w:spacing w:val="50"/>
          <w:sz w:val="18"/>
          <w:szCs w:val="18"/>
          <w:lang w:val="en-GB"/>
        </w:rPr>
        <w:t xml:space="preserve"> </w:t>
      </w:r>
      <w:r w:rsidRPr="00B527C7">
        <w:rPr>
          <w:i/>
          <w:sz w:val="18"/>
          <w:szCs w:val="18"/>
          <w:lang w:val="en-GB"/>
        </w:rPr>
        <w:t>Wha</w:t>
      </w:r>
      <w:r w:rsidRPr="00B527C7">
        <w:rPr>
          <w:i/>
          <w:spacing w:val="3"/>
          <w:sz w:val="18"/>
          <w:szCs w:val="18"/>
          <w:lang w:val="en-GB"/>
        </w:rPr>
        <w:t>t</w:t>
      </w:r>
      <w:r w:rsidRPr="00B527C7">
        <w:rPr>
          <w:i/>
          <w:sz w:val="18"/>
          <w:szCs w:val="18"/>
          <w:lang w:val="en-GB"/>
        </w:rPr>
        <w:t>-</w:t>
      </w:r>
      <w:r w:rsidRPr="00B527C7">
        <w:rPr>
          <w:i/>
          <w:spacing w:val="-3"/>
          <w:sz w:val="18"/>
          <w:szCs w:val="18"/>
          <w:lang w:val="en-GB"/>
        </w:rPr>
        <w:t>I</w:t>
      </w:r>
      <w:r w:rsidRPr="00B527C7">
        <w:rPr>
          <w:i/>
          <w:sz w:val="18"/>
          <w:szCs w:val="18"/>
          <w:lang w:val="en-GB"/>
        </w:rPr>
        <w:t>f</w:t>
      </w:r>
      <w:r w:rsidRPr="00B527C7">
        <w:rPr>
          <w:i/>
          <w:spacing w:val="49"/>
          <w:sz w:val="18"/>
          <w:szCs w:val="18"/>
          <w:lang w:val="en-GB"/>
        </w:rPr>
        <w:t xml:space="preserve"> </w:t>
      </w:r>
      <w:r w:rsidRPr="00B527C7">
        <w:rPr>
          <w:i/>
          <w:spacing w:val="2"/>
          <w:sz w:val="18"/>
          <w:szCs w:val="18"/>
          <w:lang w:val="en-GB"/>
        </w:rPr>
        <w:t>T</w:t>
      </w:r>
      <w:r w:rsidRPr="00B527C7">
        <w:rPr>
          <w:i/>
          <w:spacing w:val="-2"/>
          <w:sz w:val="18"/>
          <w:szCs w:val="18"/>
          <w:lang w:val="en-GB"/>
        </w:rPr>
        <w:t>e</w:t>
      </w:r>
      <w:r w:rsidRPr="00B527C7">
        <w:rPr>
          <w:i/>
          <w:sz w:val="18"/>
          <w:szCs w:val="18"/>
          <w:lang w:val="en-GB"/>
        </w:rPr>
        <w:t>ch</w:t>
      </w:r>
      <w:r w:rsidRPr="00B527C7">
        <w:rPr>
          <w:i/>
          <w:spacing w:val="1"/>
          <w:sz w:val="18"/>
          <w:szCs w:val="18"/>
          <w:lang w:val="en-GB"/>
        </w:rPr>
        <w:t>n</w:t>
      </w:r>
      <w:r w:rsidRPr="00B527C7">
        <w:rPr>
          <w:i/>
          <w:spacing w:val="2"/>
          <w:sz w:val="18"/>
          <w:szCs w:val="18"/>
          <w:lang w:val="en-GB"/>
        </w:rPr>
        <w:t>i</w:t>
      </w:r>
      <w:r w:rsidRPr="00B527C7">
        <w:rPr>
          <w:i/>
          <w:sz w:val="18"/>
          <w:szCs w:val="18"/>
          <w:lang w:val="en-GB"/>
        </w:rPr>
        <w:t>q</w:t>
      </w:r>
      <w:r w:rsidRPr="00B527C7">
        <w:rPr>
          <w:i/>
          <w:spacing w:val="1"/>
          <w:sz w:val="18"/>
          <w:szCs w:val="18"/>
          <w:lang w:val="en-GB"/>
        </w:rPr>
        <w:t>u</w:t>
      </w:r>
      <w:r w:rsidRPr="00B527C7">
        <w:rPr>
          <w:i/>
          <w:sz w:val="18"/>
          <w:szCs w:val="18"/>
          <w:lang w:val="en-GB"/>
        </w:rPr>
        <w:t>e</w:t>
      </w:r>
    </w:p>
  </w:footnote>
  <w:footnote w:id="32">
    <w:p w14:paraId="026B581D" w14:textId="77777777" w:rsidR="003832F2" w:rsidRPr="00225EA3" w:rsidRDefault="003832F2" w:rsidP="00AA7C09">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spacing w:val="-2"/>
          <w:sz w:val="18"/>
          <w:szCs w:val="18"/>
          <w:lang w:val="en-GB"/>
        </w:rPr>
        <w:t>c</w:t>
      </w:r>
      <w:r w:rsidRPr="00225EA3">
        <w:rPr>
          <w:spacing w:val="1"/>
          <w:sz w:val="18"/>
          <w:szCs w:val="18"/>
          <w:lang w:val="en-GB"/>
        </w:rPr>
        <w:t>h</w:t>
      </w:r>
      <w:r w:rsidRPr="00225EA3">
        <w:rPr>
          <w:spacing w:val="2"/>
          <w:sz w:val="18"/>
          <w:szCs w:val="18"/>
          <w:lang w:val="en-GB"/>
        </w:rPr>
        <w:t>i</w:t>
      </w:r>
      <w:r w:rsidRPr="00225EA3">
        <w:rPr>
          <w:spacing w:val="-2"/>
          <w:sz w:val="18"/>
          <w:szCs w:val="18"/>
          <w:lang w:val="en-GB"/>
        </w:rPr>
        <w:t>e</w:t>
      </w:r>
      <w:r w:rsidRPr="00225EA3">
        <w:rPr>
          <w:sz w:val="18"/>
          <w:szCs w:val="18"/>
          <w:lang w:val="en-GB"/>
        </w:rPr>
        <w:t>f</w:t>
      </w:r>
      <w:r w:rsidRPr="00225EA3">
        <w:rPr>
          <w:spacing w:val="-10"/>
          <w:sz w:val="18"/>
          <w:szCs w:val="18"/>
          <w:lang w:val="en-GB"/>
        </w:rPr>
        <w:t xml:space="preserve"> </w:t>
      </w:r>
      <w:r w:rsidRPr="00225EA3">
        <w:rPr>
          <w:spacing w:val="1"/>
          <w:sz w:val="18"/>
          <w:szCs w:val="18"/>
          <w:lang w:val="en-GB"/>
        </w:rPr>
        <w:t>e</w:t>
      </w:r>
      <w:r w:rsidRPr="00225EA3">
        <w:rPr>
          <w:sz w:val="18"/>
          <w:szCs w:val="18"/>
          <w:lang w:val="en-GB"/>
        </w:rPr>
        <w:t>xecu</w:t>
      </w:r>
      <w:r w:rsidRPr="00225EA3">
        <w:rPr>
          <w:spacing w:val="1"/>
          <w:sz w:val="18"/>
          <w:szCs w:val="18"/>
          <w:lang w:val="en-GB"/>
        </w:rPr>
        <w:t>t</w:t>
      </w:r>
      <w:r w:rsidRPr="00225EA3">
        <w:rPr>
          <w:spacing w:val="2"/>
          <w:sz w:val="18"/>
          <w:szCs w:val="18"/>
          <w:lang w:val="en-GB"/>
        </w:rPr>
        <w:t>i</w:t>
      </w:r>
      <w:r w:rsidRPr="00225EA3">
        <w:rPr>
          <w:sz w:val="18"/>
          <w:szCs w:val="18"/>
          <w:lang w:val="en-GB"/>
        </w:rPr>
        <w:t>ve</w:t>
      </w:r>
      <w:r w:rsidRPr="00225EA3">
        <w:rPr>
          <w:spacing w:val="-9"/>
          <w:sz w:val="18"/>
          <w:szCs w:val="18"/>
          <w:lang w:val="en-GB"/>
        </w:rPr>
        <w:t xml:space="preserve"> </w:t>
      </w:r>
      <w:r w:rsidRPr="00225EA3">
        <w:rPr>
          <w:spacing w:val="-2"/>
          <w:sz w:val="18"/>
          <w:szCs w:val="18"/>
          <w:lang w:val="en-GB"/>
        </w:rPr>
        <w:t>o</w:t>
      </w:r>
      <w:r w:rsidRPr="00225EA3">
        <w:rPr>
          <w:spacing w:val="1"/>
          <w:sz w:val="18"/>
          <w:szCs w:val="18"/>
          <w:lang w:val="en-GB"/>
        </w:rPr>
        <w:t>f</w:t>
      </w:r>
      <w:r w:rsidRPr="00225EA3">
        <w:rPr>
          <w:sz w:val="18"/>
          <w:szCs w:val="18"/>
          <w:lang w:val="en-GB"/>
        </w:rPr>
        <w:t>f</w:t>
      </w:r>
      <w:r w:rsidRPr="00225EA3">
        <w:rPr>
          <w:spacing w:val="2"/>
          <w:sz w:val="18"/>
          <w:szCs w:val="18"/>
          <w:lang w:val="en-GB"/>
        </w:rPr>
        <w:t>i</w:t>
      </w:r>
      <w:r w:rsidRPr="00225EA3">
        <w:rPr>
          <w:sz w:val="18"/>
          <w:szCs w:val="18"/>
          <w:lang w:val="en-GB"/>
        </w:rPr>
        <w:t>c</w:t>
      </w:r>
      <w:r w:rsidRPr="00225EA3">
        <w:rPr>
          <w:spacing w:val="-2"/>
          <w:sz w:val="18"/>
          <w:szCs w:val="18"/>
          <w:lang w:val="en-GB"/>
        </w:rPr>
        <w:t>e</w:t>
      </w:r>
      <w:r w:rsidRPr="00225EA3">
        <w:rPr>
          <w:sz w:val="18"/>
          <w:szCs w:val="18"/>
          <w:lang w:val="en-GB"/>
        </w:rPr>
        <w:t>r</w:t>
      </w:r>
    </w:p>
  </w:footnote>
  <w:footnote w:id="33">
    <w:p w14:paraId="6B200548" w14:textId="77777777" w:rsidR="003832F2" w:rsidRPr="00B527C7" w:rsidRDefault="003832F2" w:rsidP="00AA7C09">
      <w:pPr>
        <w:pStyle w:val="Tekstprzypisudolnego"/>
        <w:rPr>
          <w:sz w:val="18"/>
          <w:szCs w:val="18"/>
        </w:rPr>
      </w:pPr>
      <w:r w:rsidRPr="00225EA3">
        <w:rPr>
          <w:rStyle w:val="Odwoanieprzypisudolnego"/>
          <w:sz w:val="18"/>
          <w:szCs w:val="18"/>
        </w:rPr>
        <w:footnoteRef/>
      </w:r>
      <w:r w:rsidRPr="00B527C7">
        <w:rPr>
          <w:sz w:val="18"/>
          <w:szCs w:val="18"/>
        </w:rPr>
        <w:t xml:space="preserve"> </w:t>
      </w:r>
      <w:r w:rsidRPr="00B527C7">
        <w:rPr>
          <w:spacing w:val="-2"/>
          <w:sz w:val="18"/>
          <w:szCs w:val="18"/>
        </w:rPr>
        <w:t>c</w:t>
      </w:r>
      <w:r w:rsidRPr="00B527C7">
        <w:rPr>
          <w:spacing w:val="1"/>
          <w:sz w:val="18"/>
          <w:szCs w:val="18"/>
        </w:rPr>
        <w:t>h</w:t>
      </w:r>
      <w:r w:rsidRPr="00B527C7">
        <w:rPr>
          <w:spacing w:val="2"/>
          <w:sz w:val="18"/>
          <w:szCs w:val="18"/>
        </w:rPr>
        <w:t>i</w:t>
      </w:r>
      <w:r w:rsidRPr="00B527C7">
        <w:rPr>
          <w:spacing w:val="-2"/>
          <w:sz w:val="18"/>
          <w:szCs w:val="18"/>
        </w:rPr>
        <w:t>e</w:t>
      </w:r>
      <w:r w:rsidRPr="00B527C7">
        <w:rPr>
          <w:sz w:val="18"/>
          <w:szCs w:val="18"/>
        </w:rPr>
        <w:t>f</w:t>
      </w:r>
      <w:r w:rsidRPr="00B527C7">
        <w:rPr>
          <w:spacing w:val="-10"/>
          <w:sz w:val="18"/>
          <w:szCs w:val="18"/>
        </w:rPr>
        <w:t xml:space="preserve"> </w:t>
      </w:r>
      <w:r w:rsidRPr="00B527C7">
        <w:rPr>
          <w:spacing w:val="-1"/>
          <w:sz w:val="18"/>
          <w:szCs w:val="18"/>
        </w:rPr>
        <w:t>o</w:t>
      </w:r>
      <w:r w:rsidRPr="00B527C7">
        <w:rPr>
          <w:spacing w:val="2"/>
          <w:sz w:val="18"/>
          <w:szCs w:val="18"/>
        </w:rPr>
        <w:t>p</w:t>
      </w:r>
      <w:r w:rsidRPr="00B527C7">
        <w:rPr>
          <w:spacing w:val="1"/>
          <w:sz w:val="18"/>
          <w:szCs w:val="18"/>
        </w:rPr>
        <w:t>e</w:t>
      </w:r>
      <w:r w:rsidRPr="00B527C7">
        <w:rPr>
          <w:spacing w:val="-1"/>
          <w:sz w:val="18"/>
          <w:szCs w:val="18"/>
        </w:rPr>
        <w:t>r</w:t>
      </w:r>
      <w:r w:rsidRPr="00B527C7">
        <w:rPr>
          <w:sz w:val="18"/>
          <w:szCs w:val="18"/>
        </w:rPr>
        <w:t>at</w:t>
      </w:r>
      <w:r w:rsidRPr="00B527C7">
        <w:rPr>
          <w:spacing w:val="2"/>
          <w:sz w:val="18"/>
          <w:szCs w:val="18"/>
        </w:rPr>
        <w:t>i</w:t>
      </w:r>
      <w:r w:rsidRPr="00B527C7">
        <w:rPr>
          <w:spacing w:val="1"/>
          <w:sz w:val="18"/>
          <w:szCs w:val="18"/>
        </w:rPr>
        <w:t>n</w:t>
      </w:r>
      <w:r w:rsidRPr="00B527C7">
        <w:rPr>
          <w:sz w:val="18"/>
          <w:szCs w:val="18"/>
        </w:rPr>
        <w:t>g</w:t>
      </w:r>
      <w:r w:rsidRPr="00B527C7">
        <w:rPr>
          <w:spacing w:val="-8"/>
          <w:sz w:val="18"/>
          <w:szCs w:val="18"/>
        </w:rPr>
        <w:t xml:space="preserve"> </w:t>
      </w:r>
      <w:r w:rsidRPr="00B527C7">
        <w:rPr>
          <w:spacing w:val="-2"/>
          <w:sz w:val="18"/>
          <w:szCs w:val="18"/>
        </w:rPr>
        <w:t>o</w:t>
      </w:r>
      <w:r w:rsidRPr="00B527C7">
        <w:rPr>
          <w:sz w:val="18"/>
          <w:szCs w:val="18"/>
        </w:rPr>
        <w:t>f</w:t>
      </w:r>
      <w:r w:rsidRPr="00B527C7">
        <w:rPr>
          <w:spacing w:val="-1"/>
          <w:sz w:val="18"/>
          <w:szCs w:val="18"/>
        </w:rPr>
        <w:t>f</w:t>
      </w:r>
      <w:r w:rsidRPr="00B527C7">
        <w:rPr>
          <w:spacing w:val="2"/>
          <w:sz w:val="18"/>
          <w:szCs w:val="18"/>
        </w:rPr>
        <w:t>i</w:t>
      </w:r>
      <w:r w:rsidRPr="00B527C7">
        <w:rPr>
          <w:sz w:val="18"/>
          <w:szCs w:val="18"/>
        </w:rPr>
        <w:t>c</w:t>
      </w:r>
      <w:r w:rsidRPr="00B527C7">
        <w:rPr>
          <w:spacing w:val="-2"/>
          <w:sz w:val="18"/>
          <w:szCs w:val="18"/>
        </w:rPr>
        <w:t>e</w:t>
      </w:r>
      <w:r w:rsidRPr="00B527C7">
        <w:rPr>
          <w:sz w:val="18"/>
          <w:szCs w:val="18"/>
        </w:rPr>
        <w:t>r</w:t>
      </w:r>
    </w:p>
  </w:footnote>
  <w:footnote w:id="34">
    <w:p w14:paraId="2933B009" w14:textId="4C575CD5" w:rsidR="003832F2" w:rsidRPr="00DA1DC1" w:rsidRDefault="003832F2" w:rsidP="00DA1DC1">
      <w:pPr>
        <w:pStyle w:val="Tekstprzypisudolnego"/>
        <w:rPr>
          <w:sz w:val="18"/>
        </w:rPr>
      </w:pPr>
      <w:r>
        <w:rPr>
          <w:rStyle w:val="Odwoanieprzypisudolnego"/>
        </w:rPr>
        <w:footnoteRef/>
      </w:r>
      <w:r>
        <w:t xml:space="preserve"> </w:t>
      </w:r>
      <w:r w:rsidRPr="00DA1DC1">
        <w:rPr>
          <w:sz w:val="18"/>
        </w:rPr>
        <w:t xml:space="preserve">Przepis poprawiono na podstawie </w:t>
      </w:r>
      <w:hyperlink r:id="rId10" w:history="1">
        <w:r w:rsidRPr="00DA1DC1">
          <w:rPr>
            <w:rStyle w:val="Hipercze"/>
            <w:sz w:val="18"/>
          </w:rPr>
          <w:t>sprostowania do rozporządzenia Komisji UE nr 139/2014</w:t>
        </w:r>
      </w:hyperlink>
      <w:r w:rsidRPr="00DA1DC1">
        <w:rPr>
          <w:sz w:val="18"/>
        </w:rPr>
        <w:t xml:space="preserve"> (z dn. 26.10.2016).</w:t>
      </w:r>
    </w:p>
  </w:footnote>
  <w:footnote w:id="35">
    <w:p w14:paraId="46779691" w14:textId="01A4070A" w:rsidR="003832F2" w:rsidRPr="00B527C7" w:rsidRDefault="003832F2" w:rsidP="00AA7C09">
      <w:pPr>
        <w:tabs>
          <w:tab w:val="left" w:pos="4536"/>
        </w:tabs>
        <w:spacing w:after="0"/>
        <w:rPr>
          <w:sz w:val="18"/>
          <w:szCs w:val="18"/>
        </w:rPr>
      </w:pPr>
      <w:r w:rsidRPr="00225EA3">
        <w:rPr>
          <w:rStyle w:val="Odwoanieprzypisudolnego"/>
          <w:sz w:val="18"/>
          <w:szCs w:val="18"/>
        </w:rPr>
        <w:footnoteRef/>
      </w:r>
      <w:r w:rsidRPr="00B527C7">
        <w:rPr>
          <w:sz w:val="18"/>
          <w:szCs w:val="18"/>
        </w:rPr>
        <w:t xml:space="preserve"> </w:t>
      </w:r>
      <w:r w:rsidRPr="00B527C7">
        <w:rPr>
          <w:bCs/>
          <w:i/>
          <w:sz w:val="18"/>
          <w:szCs w:val="18"/>
        </w:rPr>
        <w:t>Foreign Object Debris</w:t>
      </w:r>
    </w:p>
  </w:footnote>
  <w:footnote w:id="36">
    <w:p w14:paraId="74D8095F" w14:textId="4C998640" w:rsidR="003832F2" w:rsidRPr="00845986" w:rsidRDefault="003832F2" w:rsidP="00AA7C09">
      <w:pPr>
        <w:pStyle w:val="Tekstprzypisudolnego"/>
        <w:ind w:left="284" w:hanging="284"/>
      </w:pPr>
      <w:r w:rsidRPr="00033143">
        <w:rPr>
          <w:rStyle w:val="Odwoanieprzypisudolnego"/>
          <w:sz w:val="22"/>
        </w:rPr>
        <w:footnoteRef/>
      </w:r>
      <w:r w:rsidRPr="00033143">
        <w:rPr>
          <w:sz w:val="22"/>
        </w:rPr>
        <w:t xml:space="preserve">  </w:t>
      </w:r>
      <w:r w:rsidRPr="00033143">
        <w:rPr>
          <w:sz w:val="18"/>
          <w:szCs w:val="16"/>
        </w:rPr>
        <w:t>„Chroniona powierzchnia przeznaczona do startów i lądowań statków powietrznych” powinna być interpretowana, jako fizyczna powierzchnia drogi startowej od linii centralnej do punktu zatrzymywania odpowiedniego do rodzaju drogi startowej. W przypadku, gdy operacje są prowadzone w czasie operacji w warunkach ograniczonej widzialności, powinien to być punkt zatrzymania zgodny z obowiązującymi procedurami. ”Pow</w:t>
      </w:r>
      <w:r>
        <w:rPr>
          <w:sz w:val="18"/>
          <w:szCs w:val="16"/>
        </w:rPr>
        <w:t>ierzchnia chroniona” zawiera, w </w:t>
      </w:r>
      <w:r w:rsidRPr="00033143">
        <w:rPr>
          <w:sz w:val="18"/>
          <w:szCs w:val="16"/>
        </w:rPr>
        <w:t>każdym przypadku, ścieżkę schodzenia ILS i obszary krytyczne lokalizera oraz wrażliwe obszary ILS podczas procedur ograniczonej widzialności.</w:t>
      </w:r>
    </w:p>
  </w:footnote>
  <w:footnote w:id="37">
    <w:p w14:paraId="1EEC7368" w14:textId="77777777" w:rsidR="003832F2" w:rsidRPr="00B527C7" w:rsidRDefault="003832F2" w:rsidP="00B0686B">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Rescue and firefighting services</w:t>
      </w:r>
    </w:p>
  </w:footnote>
  <w:footnote w:id="38">
    <w:p w14:paraId="701413DA" w14:textId="77777777" w:rsidR="003832F2" w:rsidRPr="00B527C7" w:rsidRDefault="003832F2" w:rsidP="00B0686B">
      <w:pPr>
        <w:pStyle w:val="Tekstprzypisudolnego"/>
        <w:spacing w:after="120"/>
        <w:rPr>
          <w:lang w:val="en-GB"/>
        </w:rPr>
      </w:pPr>
      <w:r w:rsidRPr="008E4E30">
        <w:rPr>
          <w:rStyle w:val="Odwoanieprzypisudolnego"/>
        </w:rPr>
        <w:footnoteRef/>
      </w:r>
      <w:r w:rsidRPr="00B527C7">
        <w:rPr>
          <w:lang w:val="en-GB"/>
        </w:rPr>
        <w:t xml:space="preserve"> </w:t>
      </w:r>
      <w:r w:rsidRPr="00B527C7">
        <w:rPr>
          <w:i/>
          <w:sz w:val="18"/>
          <w:szCs w:val="18"/>
          <w:lang w:val="en-GB"/>
        </w:rPr>
        <w:t>Rescue and firefighting services</w:t>
      </w:r>
    </w:p>
  </w:footnote>
  <w:footnote w:id="39">
    <w:p w14:paraId="72AC62C0" w14:textId="77777777" w:rsidR="003832F2" w:rsidRPr="00B527C7" w:rsidRDefault="003832F2" w:rsidP="00B527C7">
      <w:pPr>
        <w:spacing w:after="0"/>
        <w:jc w:val="left"/>
        <w:outlineLvl w:val="0"/>
        <w:rPr>
          <w:rFonts w:eastAsia="Times New Roman" w:cs="Times New Roman"/>
          <w:bCs/>
          <w:i/>
          <w:kern w:val="36"/>
          <w:sz w:val="18"/>
          <w:szCs w:val="18"/>
          <w:lang w:val="en-GB" w:eastAsia="pl-PL"/>
        </w:rPr>
      </w:pPr>
      <w:r w:rsidRPr="00225EA3">
        <w:rPr>
          <w:rStyle w:val="Odwoanieprzypisudolnego"/>
          <w:sz w:val="18"/>
          <w:szCs w:val="18"/>
        </w:rPr>
        <w:footnoteRef/>
      </w:r>
      <w:r w:rsidRPr="00B527C7">
        <w:rPr>
          <w:sz w:val="18"/>
          <w:szCs w:val="18"/>
          <w:lang w:val="en-GB"/>
        </w:rPr>
        <w:t xml:space="preserve">  </w:t>
      </w:r>
      <w:r w:rsidRPr="00B527C7">
        <w:rPr>
          <w:rFonts w:eastAsia="Times New Roman" w:cs="Times New Roman"/>
          <w:bCs/>
          <w:i/>
          <w:kern w:val="36"/>
          <w:sz w:val="18"/>
          <w:szCs w:val="18"/>
          <w:lang w:val="en-GB" w:eastAsia="pl-PL"/>
        </w:rPr>
        <w:t>Instrument landing system / Microwave landing system</w:t>
      </w:r>
    </w:p>
  </w:footnote>
  <w:footnote w:id="40">
    <w:p w14:paraId="4FFFE65D" w14:textId="26A5BA15" w:rsidR="003832F2" w:rsidRPr="00225EA3" w:rsidRDefault="003832F2" w:rsidP="00C36D76">
      <w:pPr>
        <w:spacing w:after="0"/>
        <w:jc w:val="left"/>
        <w:outlineLvl w:val="0"/>
        <w:rPr>
          <w:rFonts w:eastAsia="Times New Roman" w:cs="Times New Roman"/>
          <w:bCs/>
          <w:i/>
          <w:kern w:val="36"/>
          <w:sz w:val="18"/>
          <w:szCs w:val="18"/>
          <w:lang w:val="en-GB" w:eastAsia="pl-PL"/>
        </w:rPr>
      </w:pPr>
      <w:r w:rsidRPr="00225EA3">
        <w:rPr>
          <w:rStyle w:val="Odwoanieprzypisudolnego"/>
          <w:sz w:val="18"/>
          <w:szCs w:val="18"/>
        </w:rPr>
        <w:footnoteRef/>
      </w:r>
      <w:r w:rsidRPr="00225EA3">
        <w:rPr>
          <w:sz w:val="18"/>
          <w:szCs w:val="18"/>
          <w:lang w:val="en-GB"/>
        </w:rPr>
        <w:t xml:space="preserve"> </w:t>
      </w:r>
      <w:r w:rsidRPr="00225EA3">
        <w:rPr>
          <w:rFonts w:eastAsia="Times New Roman" w:cs="Times New Roman"/>
          <w:bCs/>
          <w:i/>
          <w:kern w:val="36"/>
          <w:sz w:val="18"/>
          <w:szCs w:val="18"/>
          <w:lang w:val="en-GB" w:eastAsia="pl-PL"/>
        </w:rPr>
        <w:t>Air traffic management</w:t>
      </w:r>
    </w:p>
  </w:footnote>
  <w:footnote w:id="41">
    <w:p w14:paraId="27355813" w14:textId="77777777" w:rsidR="003832F2" w:rsidRPr="00225EA3" w:rsidRDefault="003832F2" w:rsidP="001A44D6">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rFonts w:eastAsia="Times New Roman" w:cs="Times New Roman"/>
          <w:bCs/>
          <w:i/>
          <w:kern w:val="36"/>
          <w:sz w:val="18"/>
          <w:szCs w:val="18"/>
          <w:lang w:val="en-GB" w:eastAsia="pl-PL"/>
        </w:rPr>
        <w:t>Manual on simultaneous operations on parallel or near-parallel instrument runways (SOIR).</w:t>
      </w:r>
    </w:p>
  </w:footnote>
  <w:footnote w:id="42">
    <w:p w14:paraId="166DF4D8" w14:textId="2035422F" w:rsidR="003832F2" w:rsidRPr="00225EA3" w:rsidRDefault="003832F2" w:rsidP="001A44D6">
      <w:pPr>
        <w:pStyle w:val="Tekstprzypisudolnego"/>
        <w:rPr>
          <w:sz w:val="18"/>
          <w:lang w:val="en-GB"/>
        </w:rPr>
      </w:pPr>
      <w:r w:rsidRPr="00225EA3">
        <w:rPr>
          <w:rStyle w:val="Odwoanieprzypisudolnego"/>
          <w:sz w:val="18"/>
        </w:rPr>
        <w:footnoteRef/>
      </w:r>
      <w:r w:rsidRPr="00225EA3">
        <w:rPr>
          <w:sz w:val="18"/>
          <w:lang w:val="en-GB"/>
        </w:rPr>
        <w:t xml:space="preserve"> </w:t>
      </w:r>
      <w:r w:rsidRPr="00225EA3">
        <w:rPr>
          <w:i/>
          <w:sz w:val="18"/>
          <w:lang w:val="en-GB"/>
        </w:rPr>
        <w:t>Delethalised</w:t>
      </w:r>
    </w:p>
  </w:footnote>
  <w:footnote w:id="43">
    <w:p w14:paraId="1356D2F2" w14:textId="77777777" w:rsidR="003832F2" w:rsidRPr="00225EA3" w:rsidRDefault="003832F2" w:rsidP="001A44D6">
      <w:pPr>
        <w:pStyle w:val="Tekstprzypisudolnego"/>
        <w:rPr>
          <w:sz w:val="18"/>
          <w:lang w:val="en-GB"/>
        </w:rPr>
      </w:pPr>
      <w:r w:rsidRPr="00225EA3">
        <w:rPr>
          <w:rStyle w:val="Odwoanieprzypisudolnego"/>
          <w:sz w:val="18"/>
        </w:rPr>
        <w:footnoteRef/>
      </w:r>
      <w:r w:rsidRPr="00225EA3">
        <w:rPr>
          <w:sz w:val="18"/>
          <w:lang w:val="en-GB"/>
        </w:rPr>
        <w:t xml:space="preserve">  California Bearing Ratio</w:t>
      </w:r>
    </w:p>
  </w:footnote>
  <w:footnote w:id="44">
    <w:p w14:paraId="486D0AB6" w14:textId="552EC3D7" w:rsidR="003832F2" w:rsidRPr="00A44F9A" w:rsidRDefault="003832F2" w:rsidP="00A44F9A">
      <w:pPr>
        <w:pStyle w:val="Tekstprzypisudolnego"/>
        <w:rPr>
          <w:lang w:val="en-GB"/>
        </w:rPr>
      </w:pPr>
      <w:r>
        <w:rPr>
          <w:rStyle w:val="Odwoanieprzypisudolnego"/>
        </w:rPr>
        <w:footnoteRef/>
      </w:r>
      <w:r w:rsidRPr="00A44F9A">
        <w:rPr>
          <w:lang w:val="en-GB"/>
        </w:rPr>
        <w:t xml:space="preserve">  </w:t>
      </w:r>
      <w:r w:rsidRPr="00A44F9A">
        <w:rPr>
          <w:i/>
          <w:lang w:val="en-GB"/>
        </w:rPr>
        <w:t>Engineering Sciences Data Unit</w:t>
      </w:r>
    </w:p>
  </w:footnote>
  <w:footnote w:id="45">
    <w:p w14:paraId="04E7448A" w14:textId="77777777" w:rsidR="003832F2" w:rsidRPr="00B527C7" w:rsidRDefault="003832F2" w:rsidP="003E0660">
      <w:pPr>
        <w:pStyle w:val="Tekstprzypisudolnego"/>
        <w:rPr>
          <w:sz w:val="18"/>
          <w:szCs w:val="18"/>
          <w:lang w:val="en-GB"/>
        </w:rPr>
      </w:pPr>
      <w:r w:rsidRPr="00225EA3">
        <w:rPr>
          <w:rStyle w:val="Odwoanieprzypisudolnego"/>
          <w:sz w:val="18"/>
          <w:szCs w:val="18"/>
        </w:rPr>
        <w:footnoteRef/>
      </w:r>
      <w:r w:rsidRPr="00B527C7">
        <w:rPr>
          <w:sz w:val="18"/>
          <w:szCs w:val="18"/>
          <w:lang w:val="en-GB"/>
        </w:rPr>
        <w:t xml:space="preserve"> </w:t>
      </w:r>
      <w:r w:rsidRPr="00B527C7">
        <w:rPr>
          <w:i/>
          <w:sz w:val="18"/>
          <w:szCs w:val="18"/>
          <w:lang w:val="en-GB"/>
        </w:rPr>
        <w:t>Performance Based Navigation</w:t>
      </w:r>
    </w:p>
  </w:footnote>
  <w:footnote w:id="46">
    <w:p w14:paraId="3FD717CC" w14:textId="77777777" w:rsidR="003832F2" w:rsidRPr="00225EA3" w:rsidRDefault="003832F2" w:rsidP="003E0660">
      <w:pPr>
        <w:pStyle w:val="Tekstprzypisudolnego"/>
        <w:rPr>
          <w:sz w:val="18"/>
          <w:szCs w:val="18"/>
          <w:lang w:val="en-GB"/>
        </w:rPr>
      </w:pPr>
      <w:r w:rsidRPr="00225EA3">
        <w:rPr>
          <w:rStyle w:val="Odwoanieprzypisudolnego"/>
          <w:sz w:val="18"/>
          <w:szCs w:val="18"/>
        </w:rPr>
        <w:footnoteRef/>
      </w:r>
      <w:r w:rsidRPr="00225EA3">
        <w:rPr>
          <w:sz w:val="18"/>
          <w:szCs w:val="18"/>
          <w:lang w:val="en-GB"/>
        </w:rPr>
        <w:t xml:space="preserve">  </w:t>
      </w:r>
      <w:r w:rsidRPr="00225EA3">
        <w:rPr>
          <w:i/>
          <w:sz w:val="18"/>
          <w:szCs w:val="18"/>
          <w:lang w:val="en-GB"/>
        </w:rPr>
        <w:t>Arresting system</w:t>
      </w:r>
    </w:p>
  </w:footnote>
  <w:footnote w:id="47">
    <w:p w14:paraId="04CDA51A" w14:textId="3E462B12" w:rsidR="003832F2" w:rsidRPr="00B527C7" w:rsidRDefault="003832F2">
      <w:pPr>
        <w:pStyle w:val="Tekstprzypisudolnego"/>
        <w:rPr>
          <w:lang w:val="en-GB"/>
        </w:rPr>
      </w:pPr>
      <w:r>
        <w:rPr>
          <w:rStyle w:val="Odwoanieprzypisudolnego"/>
        </w:rPr>
        <w:footnoteRef/>
      </w:r>
      <w:r w:rsidRPr="00B527C7">
        <w:rPr>
          <w:lang w:val="en-GB"/>
        </w:rPr>
        <w:t xml:space="preserve"> </w:t>
      </w:r>
      <w:r w:rsidRPr="00B715BC">
        <w:rPr>
          <w:bCs/>
          <w:lang w:val="en-GB"/>
        </w:rPr>
        <w:t>Obstacle-free zone</w:t>
      </w:r>
    </w:p>
  </w:footnote>
  <w:footnote w:id="48">
    <w:p w14:paraId="015342D7" w14:textId="77777777" w:rsidR="003832F2" w:rsidRPr="00B527C7" w:rsidRDefault="003832F2"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i/>
          <w:sz w:val="18"/>
          <w:szCs w:val="18"/>
          <w:lang w:val="en-GB"/>
        </w:rPr>
        <w:t>Precision approach path indicator</w:t>
      </w:r>
    </w:p>
  </w:footnote>
  <w:footnote w:id="49">
    <w:p w14:paraId="7237E8A7" w14:textId="77777777" w:rsidR="003832F2" w:rsidRPr="00B527C7" w:rsidRDefault="003832F2"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i/>
          <w:sz w:val="18"/>
          <w:szCs w:val="18"/>
          <w:lang w:val="en-GB"/>
        </w:rPr>
        <w:t>Precision Approach Path Indicator</w:t>
      </w:r>
    </w:p>
  </w:footnote>
  <w:footnote w:id="50">
    <w:p w14:paraId="65E5317F" w14:textId="77777777" w:rsidR="003832F2" w:rsidRPr="00B527C7" w:rsidRDefault="003832F2" w:rsidP="00C36D76">
      <w:pPr>
        <w:pStyle w:val="Tekstprzypisudolnego"/>
        <w:rPr>
          <w:sz w:val="18"/>
          <w:szCs w:val="18"/>
          <w:lang w:val="en-GB"/>
        </w:rPr>
      </w:pPr>
      <w:r w:rsidRPr="008B7E0A">
        <w:rPr>
          <w:rStyle w:val="Odwoanieprzypisudolnego"/>
          <w:sz w:val="18"/>
          <w:szCs w:val="18"/>
        </w:rPr>
        <w:footnoteRef/>
      </w:r>
      <w:r w:rsidRPr="00B527C7">
        <w:rPr>
          <w:sz w:val="18"/>
          <w:szCs w:val="18"/>
          <w:lang w:val="en-GB"/>
        </w:rPr>
        <w:t xml:space="preserve">  </w:t>
      </w:r>
      <w:r w:rsidRPr="00B527C7">
        <w:rPr>
          <w:rFonts w:eastAsia="Times New Roman" w:cs="Tahoma"/>
          <w:i/>
          <w:sz w:val="18"/>
          <w:szCs w:val="18"/>
          <w:lang w:val="en-GB" w:eastAsia="pl-PL"/>
        </w:rPr>
        <w:t>Abbreviated Precision Approach Path Indicator</w:t>
      </w:r>
    </w:p>
  </w:footnote>
  <w:footnote w:id="51">
    <w:p w14:paraId="24A8D0FF" w14:textId="2E137FA4" w:rsidR="003832F2" w:rsidRPr="00082D28" w:rsidRDefault="003832F2" w:rsidP="00C36D76">
      <w:pPr>
        <w:pStyle w:val="Tekstprzypisudolnego"/>
        <w:rPr>
          <w:lang w:val="en-GB"/>
        </w:rPr>
      </w:pPr>
      <w:r>
        <w:rPr>
          <w:rStyle w:val="Odwoanieprzypisudolnego"/>
        </w:rPr>
        <w:footnoteRef/>
      </w:r>
      <w:r w:rsidRPr="00082D28">
        <w:rPr>
          <w:lang w:val="en-GB"/>
        </w:rPr>
        <w:t xml:space="preserve">  </w:t>
      </w:r>
      <w:r w:rsidRPr="00061BB2">
        <w:rPr>
          <w:i/>
          <w:lang w:val="en-GB"/>
        </w:rPr>
        <w:t>surface movement guidance and control system</w:t>
      </w:r>
    </w:p>
  </w:footnote>
  <w:footnote w:id="52">
    <w:p w14:paraId="7B6683C6" w14:textId="77777777" w:rsidR="003832F2" w:rsidRPr="008B7E0A" w:rsidRDefault="003832F2"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Constant current regulator</w:t>
      </w:r>
    </w:p>
  </w:footnote>
  <w:footnote w:id="53">
    <w:p w14:paraId="26DA4B87" w14:textId="77777777" w:rsidR="003832F2" w:rsidRPr="008B7E0A" w:rsidRDefault="003832F2"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Uninterruptible power supply</w:t>
      </w:r>
    </w:p>
  </w:footnote>
  <w:footnote w:id="54">
    <w:p w14:paraId="1F90329E" w14:textId="77777777" w:rsidR="003832F2" w:rsidRPr="008B7E0A" w:rsidRDefault="003832F2" w:rsidP="000B1D95">
      <w:pPr>
        <w:pStyle w:val="Tekstprzypisudolnego"/>
        <w:rPr>
          <w:sz w:val="18"/>
          <w:szCs w:val="18"/>
          <w:lang w:val="en-GB"/>
        </w:rPr>
      </w:pPr>
      <w:r w:rsidRPr="008B7E0A">
        <w:rPr>
          <w:rStyle w:val="Odwoanieprzypisudolnego"/>
          <w:sz w:val="18"/>
          <w:szCs w:val="18"/>
        </w:rPr>
        <w:footnoteRef/>
      </w:r>
      <w:r w:rsidRPr="008B7E0A">
        <w:rPr>
          <w:sz w:val="18"/>
          <w:szCs w:val="18"/>
          <w:lang w:val="en-GB"/>
        </w:rPr>
        <w:t xml:space="preserve">  </w:t>
      </w:r>
      <w:r w:rsidRPr="008B7E0A">
        <w:rPr>
          <w:iCs/>
          <w:sz w:val="18"/>
          <w:szCs w:val="18"/>
          <w:lang w:val="en-GB"/>
        </w:rPr>
        <w:t>Aeronautical ground lights</w:t>
      </w:r>
    </w:p>
  </w:footnote>
  <w:footnote w:id="55">
    <w:p w14:paraId="4FFD9B8A" w14:textId="77777777" w:rsidR="003832F2" w:rsidRPr="00FE5FBD" w:rsidRDefault="003832F2" w:rsidP="002E41F6">
      <w:pPr>
        <w:pStyle w:val="Tekstprzypisudolnego"/>
        <w:rPr>
          <w:lang w:val="en-GB"/>
        </w:rPr>
      </w:pPr>
      <w:r w:rsidRPr="00FE5FBD">
        <w:rPr>
          <w:rStyle w:val="Odwoanieprzypisudolnego"/>
          <w:lang w:val="en-GB"/>
        </w:rPr>
        <w:footnoteRef/>
      </w:r>
      <w:r w:rsidRPr="00FE5FBD">
        <w:rPr>
          <w:lang w:val="en-GB"/>
        </w:rPr>
        <w:t xml:space="preserve"> </w:t>
      </w:r>
      <w:r w:rsidRPr="00FE5FBD">
        <w:rPr>
          <w:bCs/>
          <w:i/>
          <w:sz w:val="18"/>
          <w:lang w:val="en-GB"/>
        </w:rPr>
        <w:t>Autonomous runway incursion warning system</w:t>
      </w:r>
    </w:p>
  </w:footnote>
  <w:footnote w:id="56">
    <w:p w14:paraId="2F1C2B36" w14:textId="616FF984" w:rsidR="003832F2" w:rsidRPr="009329A1" w:rsidRDefault="003832F2" w:rsidP="001B42A7">
      <w:pPr>
        <w:pStyle w:val="Tekstprzypisudolnego"/>
        <w:rPr>
          <w:lang w:val="en-GB"/>
        </w:rPr>
      </w:pPr>
      <w:r>
        <w:rPr>
          <w:rStyle w:val="Odwoanieprzypisudolnego"/>
        </w:rPr>
        <w:footnoteRef/>
      </w:r>
      <w:r w:rsidRPr="009329A1">
        <w:rPr>
          <w:lang w:val="en-GB"/>
        </w:rPr>
        <w:t xml:space="preserve">  </w:t>
      </w:r>
      <w:r w:rsidRPr="009329A1">
        <w:rPr>
          <w:bCs/>
          <w:iCs/>
          <w:lang w:val="en-GB"/>
        </w:rPr>
        <w:t>Helicopter Flight Manual</w:t>
      </w:r>
    </w:p>
  </w:footnote>
  <w:footnote w:id="57">
    <w:p w14:paraId="6209A3D7" w14:textId="7A00E5A0" w:rsidR="003832F2" w:rsidRPr="009329A1" w:rsidRDefault="003832F2">
      <w:pPr>
        <w:pStyle w:val="Tekstprzypisudolnego"/>
        <w:rPr>
          <w:lang w:val="en-GB"/>
        </w:rPr>
      </w:pPr>
      <w:r>
        <w:rPr>
          <w:rStyle w:val="Odwoanieprzypisudolnego"/>
        </w:rPr>
        <w:footnoteRef/>
      </w:r>
      <w:r w:rsidRPr="009329A1">
        <w:rPr>
          <w:lang w:val="en-GB"/>
        </w:rPr>
        <w:t xml:space="preserve">  </w:t>
      </w:r>
      <w:r w:rsidRPr="009329A1">
        <w:rPr>
          <w:bCs/>
          <w:iCs/>
          <w:lang w:val="en-GB"/>
        </w:rPr>
        <w:t>Helicopter Approach Path Indicator</w:t>
      </w:r>
    </w:p>
  </w:footnote>
  <w:footnote w:id="58">
    <w:p w14:paraId="4D6D3461" w14:textId="533EB332" w:rsidR="003832F2" w:rsidRDefault="003832F2">
      <w:pPr>
        <w:pStyle w:val="Tekstprzypisudolnego"/>
      </w:pPr>
      <w:r>
        <w:rPr>
          <w:rStyle w:val="Odwoanieprzypisudolnego"/>
        </w:rPr>
        <w:footnoteRef/>
      </w:r>
      <w:r>
        <w:t xml:space="preserve"> </w:t>
      </w:r>
      <w:r w:rsidRPr="00DC7894">
        <w:rPr>
          <w:i/>
          <w:iCs/>
          <w:sz w:val="18"/>
        </w:rPr>
        <w:t>floodlighting - światła szerokostrumieniowe (reflektory, latarnie, halogeny)</w:t>
      </w:r>
    </w:p>
  </w:footnote>
  <w:footnote w:id="59">
    <w:p w14:paraId="3DDDED29" w14:textId="192F0C57" w:rsidR="003832F2" w:rsidRPr="00CC37B4" w:rsidRDefault="003832F2">
      <w:pPr>
        <w:pStyle w:val="Tekstprzypisudolnego"/>
        <w:rPr>
          <w:lang w:val="en-GB"/>
        </w:rPr>
      </w:pPr>
      <w:r>
        <w:rPr>
          <w:rStyle w:val="Odwoanieprzypisudolnego"/>
        </w:rPr>
        <w:footnoteRef/>
      </w:r>
      <w:r w:rsidRPr="00CC37B4">
        <w:rPr>
          <w:lang w:val="en-GB"/>
        </w:rPr>
        <w:t xml:space="preserve"> </w:t>
      </w:r>
      <w:r w:rsidRPr="00DC7894">
        <w:rPr>
          <w:i/>
          <w:sz w:val="18"/>
          <w:lang w:val="en-GB" w:eastAsia="pl-PL"/>
        </w:rPr>
        <w:t>arrays of segmented point source lighting</w:t>
      </w:r>
    </w:p>
  </w:footnote>
  <w:footnote w:id="60">
    <w:p w14:paraId="0315250B" w14:textId="4185858B" w:rsidR="003832F2" w:rsidRDefault="003832F2">
      <w:pPr>
        <w:pStyle w:val="Tekstprzypisudolnego"/>
      </w:pPr>
      <w:r>
        <w:rPr>
          <w:rStyle w:val="Odwoanieprzypisudolnego"/>
        </w:rPr>
        <w:footnoteRef/>
      </w:r>
      <w:r>
        <w:t xml:space="preserve"> </w:t>
      </w:r>
      <w:r w:rsidRPr="00DC7894">
        <w:rPr>
          <w:i/>
          <w:sz w:val="18"/>
          <w:lang w:eastAsia="pl-PL"/>
        </w:rPr>
        <w:t>luminescent panel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A382B" w14:textId="77777777" w:rsidR="003832F2" w:rsidRDefault="003832F2">
    <w:pPr>
      <w:spacing w:line="200" w:lineRule="exact"/>
      <w:rPr>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832386" w14:paraId="3A49A6AE" w14:textId="77777777" w:rsidTr="009E2E6B">
      <w:trPr>
        <w:jc w:val="center"/>
      </w:trPr>
      <w:tc>
        <w:tcPr>
          <w:tcW w:w="0" w:type="auto"/>
          <w:tcMar>
            <w:bottom w:w="57" w:type="dxa"/>
          </w:tcMar>
          <w:vAlign w:val="bottom"/>
        </w:tcPr>
        <w:p w14:paraId="30448CAB" w14:textId="77777777" w:rsidR="003832F2" w:rsidRPr="00BC23D0" w:rsidRDefault="003832F2" w:rsidP="00903DE8">
          <w:pPr>
            <w:spacing w:after="0"/>
            <w:jc w:val="left"/>
            <w:rPr>
              <w:b/>
              <w:color w:val="0066FF"/>
              <w:sz w:val="18"/>
              <w:szCs w:val="20"/>
            </w:rPr>
          </w:pPr>
          <w:r>
            <w:rPr>
              <w:b/>
              <w:noProof/>
              <w:color w:val="0066FF"/>
              <w:sz w:val="18"/>
              <w:szCs w:val="20"/>
              <w:lang w:eastAsia="pl-PL"/>
            </w:rPr>
            <w:drawing>
              <wp:inline distT="0" distB="0" distL="0" distR="0" wp14:anchorId="368C452B" wp14:editId="3E4641F0">
                <wp:extent cx="1008000" cy="338400"/>
                <wp:effectExtent l="0" t="0" r="1905"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50D55A4E" w14:textId="77777777" w:rsidR="003832F2" w:rsidRPr="00BC23D0" w:rsidRDefault="003832F2" w:rsidP="00903DE8">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23F6488A" w14:textId="23EF5B67" w:rsidR="003832F2" w:rsidRPr="00832386" w:rsidRDefault="003832F2" w:rsidP="00FE23AD">
          <w:pPr>
            <w:spacing w:after="0"/>
            <w:jc w:val="right"/>
            <w:rPr>
              <w:sz w:val="16"/>
              <w:szCs w:val="20"/>
            </w:rPr>
          </w:pPr>
          <w:r>
            <w:rPr>
              <w:sz w:val="16"/>
              <w:szCs w:val="20"/>
            </w:rPr>
            <w:t>Spis treści</w:t>
          </w:r>
        </w:p>
      </w:tc>
    </w:tr>
  </w:tbl>
  <w:p w14:paraId="715A6151" w14:textId="77777777" w:rsidR="003832F2" w:rsidRDefault="003832F2">
    <w:pPr>
      <w:pStyle w:val="Nagwek"/>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24FE18CE" w14:textId="77777777" w:rsidTr="001F73BC">
      <w:tc>
        <w:tcPr>
          <w:tcW w:w="1432" w:type="pct"/>
          <w:tcMar>
            <w:bottom w:w="28" w:type="dxa"/>
          </w:tcMar>
          <w:vAlign w:val="bottom"/>
        </w:tcPr>
        <w:p w14:paraId="3D99BC5D"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01411DA8" wp14:editId="3A1B5880">
                <wp:extent cx="1008000" cy="338400"/>
                <wp:effectExtent l="0" t="0" r="1905" b="508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DDC116E"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0E958B0C" w14:textId="77777777" w:rsidR="003832F2" w:rsidRPr="007A1C17" w:rsidRDefault="003832F2" w:rsidP="00A25C8B">
          <w:pPr>
            <w:spacing w:after="60"/>
            <w:jc w:val="right"/>
            <w:rPr>
              <w:b/>
              <w:sz w:val="16"/>
              <w:szCs w:val="20"/>
            </w:rPr>
          </w:pPr>
          <w:r w:rsidRPr="007A1C17">
            <w:rPr>
              <w:sz w:val="16"/>
              <w:szCs w:val="20"/>
            </w:rPr>
            <w:t>CS-HPT-DSN — Wydanie 1</w:t>
          </w:r>
        </w:p>
        <w:p w14:paraId="1A03F5EC" w14:textId="3436DB19" w:rsidR="003832F2" w:rsidRPr="007A1C17" w:rsidRDefault="003832F2" w:rsidP="00531A22">
          <w:pPr>
            <w:spacing w:after="0"/>
            <w:jc w:val="right"/>
          </w:pPr>
          <w:r w:rsidRPr="00531A22">
            <w:rPr>
              <w:sz w:val="16"/>
              <w:szCs w:val="20"/>
            </w:rPr>
            <w:t xml:space="preserve">Rozdział B — Strefy operacyjne lotniska </w:t>
          </w:r>
          <w:r>
            <w:rPr>
              <w:sz w:val="16"/>
              <w:szCs w:val="20"/>
            </w:rPr>
            <w:br/>
          </w:r>
          <w:r w:rsidRPr="00531A22">
            <w:rPr>
              <w:sz w:val="16"/>
              <w:szCs w:val="20"/>
            </w:rPr>
            <w:t>dla śmigłowców</w:t>
          </w:r>
          <w:r w:rsidRPr="007A1C17">
            <w:rPr>
              <w:sz w:val="16"/>
              <w:szCs w:val="20"/>
            </w:rPr>
            <w:t xml:space="preserve"> </w:t>
          </w:r>
        </w:p>
      </w:tc>
    </w:tr>
  </w:tbl>
  <w:p w14:paraId="430A67E9" w14:textId="77777777" w:rsidR="003832F2" w:rsidRPr="00817C77" w:rsidRDefault="003832F2" w:rsidP="00C36D76">
    <w:pPr>
      <w:pStyle w:val="Nagwek"/>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617E9970" w14:textId="77777777" w:rsidTr="001F73BC">
      <w:tc>
        <w:tcPr>
          <w:tcW w:w="1432" w:type="pct"/>
          <w:tcMar>
            <w:bottom w:w="28" w:type="dxa"/>
          </w:tcMar>
          <w:vAlign w:val="bottom"/>
        </w:tcPr>
        <w:p w14:paraId="22110687"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09E692B2" wp14:editId="6D96680A">
                <wp:extent cx="1008000" cy="338400"/>
                <wp:effectExtent l="0" t="0" r="1905" b="5080"/>
                <wp:docPr id="1474" name="Obraz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2342870"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25FFF76D" w14:textId="77777777" w:rsidR="003832F2" w:rsidRPr="007A1C17" w:rsidRDefault="003832F2" w:rsidP="007A1C17">
          <w:pPr>
            <w:spacing w:after="60"/>
            <w:jc w:val="right"/>
            <w:rPr>
              <w:b/>
              <w:sz w:val="16"/>
              <w:szCs w:val="20"/>
            </w:rPr>
          </w:pPr>
          <w:r w:rsidRPr="007A1C17">
            <w:rPr>
              <w:sz w:val="16"/>
              <w:szCs w:val="20"/>
            </w:rPr>
            <w:t>CS-HPT-DSN — Wydanie 1</w:t>
          </w:r>
        </w:p>
        <w:p w14:paraId="67C3E6EA" w14:textId="7632DDAC" w:rsidR="003832F2" w:rsidRPr="002F2987" w:rsidRDefault="003832F2" w:rsidP="00531A22">
          <w:pPr>
            <w:spacing w:after="0"/>
            <w:jc w:val="right"/>
            <w:rPr>
              <w:sz w:val="16"/>
              <w:szCs w:val="20"/>
            </w:rPr>
          </w:pPr>
          <w:r w:rsidRPr="00531A22">
            <w:rPr>
              <w:sz w:val="16"/>
              <w:szCs w:val="20"/>
            </w:rPr>
            <w:t>Rozdział C — Drogi kołowania i trasy kołowania śmigłowców po ziemi</w:t>
          </w:r>
        </w:p>
      </w:tc>
    </w:tr>
  </w:tbl>
  <w:p w14:paraId="50D1563F" w14:textId="77777777" w:rsidR="003832F2" w:rsidRPr="00A033BB" w:rsidRDefault="003832F2" w:rsidP="006A13A3">
    <w:pPr>
      <w:pStyle w:val="Bezodstpw"/>
      <w:spacing w:after="120"/>
      <w:jc w:val="both"/>
      <w:rPr>
        <w:rFonts w:cstheme="minorHAnsi"/>
        <w:i w:val="0"/>
        <w:szCs w:val="16"/>
      </w:rP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28CCADD9" w14:textId="77777777" w:rsidTr="001F73BC">
      <w:tc>
        <w:tcPr>
          <w:tcW w:w="1432" w:type="pct"/>
          <w:tcMar>
            <w:bottom w:w="28" w:type="dxa"/>
          </w:tcMar>
          <w:vAlign w:val="bottom"/>
        </w:tcPr>
        <w:p w14:paraId="714494CE"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6D9837F0" wp14:editId="03A6F0F8">
                <wp:extent cx="1008000" cy="338400"/>
                <wp:effectExtent l="0" t="0" r="1905" b="5080"/>
                <wp:docPr id="1473" name="Obraz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F0D9F97"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78B06541" w14:textId="77777777" w:rsidR="003832F2" w:rsidRPr="007A1C17" w:rsidRDefault="003832F2" w:rsidP="00A25C8B">
          <w:pPr>
            <w:spacing w:after="60"/>
            <w:jc w:val="right"/>
            <w:rPr>
              <w:b/>
              <w:sz w:val="16"/>
              <w:szCs w:val="20"/>
            </w:rPr>
          </w:pPr>
          <w:r w:rsidRPr="007A1C17">
            <w:rPr>
              <w:sz w:val="16"/>
              <w:szCs w:val="20"/>
            </w:rPr>
            <w:t>CS-HPT-DSN — Wydanie 1</w:t>
          </w:r>
        </w:p>
        <w:p w14:paraId="22296321" w14:textId="658CA4D0" w:rsidR="003832F2" w:rsidRPr="007A1C17" w:rsidRDefault="003832F2" w:rsidP="00531A22">
          <w:pPr>
            <w:spacing w:after="0"/>
            <w:jc w:val="right"/>
          </w:pPr>
          <w:r w:rsidRPr="00531A22">
            <w:rPr>
              <w:sz w:val="16"/>
              <w:szCs w:val="20"/>
            </w:rPr>
            <w:t xml:space="preserve">Rozdział C — Drogi kołowania i trasy kołowania śmigłowców po ziemi </w:t>
          </w:r>
        </w:p>
      </w:tc>
    </w:tr>
  </w:tbl>
  <w:p w14:paraId="4F3634E6" w14:textId="77777777" w:rsidR="003832F2" w:rsidRPr="00817C77" w:rsidRDefault="003832F2" w:rsidP="00C36D76">
    <w:pPr>
      <w:pStyle w:val="Nagwek"/>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25F43FF7" w14:textId="77777777" w:rsidTr="001F73BC">
      <w:tc>
        <w:tcPr>
          <w:tcW w:w="1432" w:type="pct"/>
          <w:tcMar>
            <w:bottom w:w="28" w:type="dxa"/>
          </w:tcMar>
          <w:vAlign w:val="bottom"/>
        </w:tcPr>
        <w:p w14:paraId="14156F62"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02C3D950" wp14:editId="2E747116">
                <wp:extent cx="1008000" cy="338400"/>
                <wp:effectExtent l="0" t="0" r="1905" b="5080"/>
                <wp:docPr id="1476" name="Obraz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55EBE2C"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6EB260F8" w14:textId="77777777" w:rsidR="003832F2" w:rsidRPr="007A1C17" w:rsidRDefault="003832F2" w:rsidP="007A1C17">
          <w:pPr>
            <w:spacing w:after="60"/>
            <w:jc w:val="right"/>
            <w:rPr>
              <w:b/>
              <w:sz w:val="16"/>
              <w:szCs w:val="20"/>
            </w:rPr>
          </w:pPr>
          <w:r w:rsidRPr="007A1C17">
            <w:rPr>
              <w:sz w:val="16"/>
              <w:szCs w:val="20"/>
            </w:rPr>
            <w:t>CS-HPT-DSN — Wydanie 1</w:t>
          </w:r>
        </w:p>
        <w:p w14:paraId="4C3EF2C5" w14:textId="54BD0D8C" w:rsidR="003832F2" w:rsidRPr="002F2987" w:rsidRDefault="003832F2" w:rsidP="00531A22">
          <w:pPr>
            <w:spacing w:after="0"/>
            <w:jc w:val="right"/>
            <w:rPr>
              <w:sz w:val="16"/>
              <w:szCs w:val="20"/>
            </w:rPr>
          </w:pPr>
          <w:r w:rsidRPr="00531A22">
            <w:rPr>
              <w:sz w:val="16"/>
              <w:szCs w:val="20"/>
            </w:rPr>
            <w:t xml:space="preserve">Rozdział D — Stanowiska postojowe </w:t>
          </w:r>
          <w:r>
            <w:rPr>
              <w:sz w:val="16"/>
              <w:szCs w:val="20"/>
            </w:rPr>
            <w:br/>
          </w:r>
          <w:r w:rsidRPr="00531A22">
            <w:rPr>
              <w:sz w:val="16"/>
              <w:szCs w:val="20"/>
            </w:rPr>
            <w:t xml:space="preserve">dla śmigłowców </w:t>
          </w:r>
        </w:p>
      </w:tc>
    </w:tr>
  </w:tbl>
  <w:p w14:paraId="2646BCC0" w14:textId="77777777" w:rsidR="003832F2" w:rsidRPr="00A033BB" w:rsidRDefault="003832F2" w:rsidP="006A13A3">
    <w:pPr>
      <w:pStyle w:val="Bezodstpw"/>
      <w:spacing w:after="120"/>
      <w:jc w:val="both"/>
      <w:rPr>
        <w:rFonts w:cstheme="minorHAnsi"/>
        <w:i w:val="0"/>
        <w:szCs w:val="16"/>
      </w:rP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5913CABF" w14:textId="77777777" w:rsidTr="001F73BC">
      <w:tc>
        <w:tcPr>
          <w:tcW w:w="1432" w:type="pct"/>
          <w:tcMar>
            <w:bottom w:w="28" w:type="dxa"/>
          </w:tcMar>
          <w:vAlign w:val="bottom"/>
        </w:tcPr>
        <w:p w14:paraId="3517913B"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6318B9A1" wp14:editId="46964415">
                <wp:extent cx="1008000" cy="338400"/>
                <wp:effectExtent l="0" t="0" r="1905" b="5080"/>
                <wp:docPr id="1475" name="Obraz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42B4C7A"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6C21C3D0" w14:textId="77777777" w:rsidR="003832F2" w:rsidRPr="007A1C17" w:rsidRDefault="003832F2" w:rsidP="00A25C8B">
          <w:pPr>
            <w:spacing w:after="60"/>
            <w:jc w:val="right"/>
            <w:rPr>
              <w:b/>
              <w:sz w:val="16"/>
              <w:szCs w:val="20"/>
            </w:rPr>
          </w:pPr>
          <w:r w:rsidRPr="007A1C17">
            <w:rPr>
              <w:sz w:val="16"/>
              <w:szCs w:val="20"/>
            </w:rPr>
            <w:t>CS-HPT-DSN — Wydanie 1</w:t>
          </w:r>
        </w:p>
        <w:p w14:paraId="666202D6" w14:textId="31436421" w:rsidR="003832F2" w:rsidRPr="007A1C17" w:rsidRDefault="003832F2" w:rsidP="00531A22">
          <w:pPr>
            <w:spacing w:after="0"/>
            <w:jc w:val="right"/>
          </w:pPr>
          <w:r w:rsidRPr="00531A22">
            <w:rPr>
              <w:sz w:val="16"/>
              <w:szCs w:val="20"/>
            </w:rPr>
            <w:t xml:space="preserve">Rozdział D — Stanowiska postojowe </w:t>
          </w:r>
          <w:r>
            <w:rPr>
              <w:sz w:val="16"/>
              <w:szCs w:val="20"/>
            </w:rPr>
            <w:br/>
          </w:r>
          <w:r w:rsidRPr="00531A22">
            <w:rPr>
              <w:sz w:val="16"/>
              <w:szCs w:val="20"/>
            </w:rPr>
            <w:t xml:space="preserve">dla śmigłowców </w:t>
          </w:r>
        </w:p>
      </w:tc>
    </w:tr>
  </w:tbl>
  <w:p w14:paraId="6755D6A7" w14:textId="77777777" w:rsidR="003832F2" w:rsidRPr="00817C77" w:rsidRDefault="003832F2" w:rsidP="00C36D76">
    <w:pPr>
      <w:pStyle w:val="Nagwek"/>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6357F6E7" w14:textId="77777777" w:rsidTr="001F73BC">
      <w:tc>
        <w:tcPr>
          <w:tcW w:w="1432" w:type="pct"/>
          <w:tcMar>
            <w:bottom w:w="28" w:type="dxa"/>
          </w:tcMar>
          <w:vAlign w:val="bottom"/>
        </w:tcPr>
        <w:p w14:paraId="79A43449"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022AA05E" wp14:editId="3856EA26">
                <wp:extent cx="1008000" cy="338400"/>
                <wp:effectExtent l="0" t="0" r="1905" b="5080"/>
                <wp:docPr id="1528" name="Obraz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B76D7A5"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093BA9FD" w14:textId="77777777" w:rsidR="003832F2" w:rsidRPr="007A1C17" w:rsidRDefault="003832F2" w:rsidP="007A1C17">
          <w:pPr>
            <w:spacing w:after="60"/>
            <w:jc w:val="right"/>
            <w:rPr>
              <w:b/>
              <w:sz w:val="16"/>
              <w:szCs w:val="20"/>
            </w:rPr>
          </w:pPr>
          <w:r w:rsidRPr="007A1C17">
            <w:rPr>
              <w:sz w:val="16"/>
              <w:szCs w:val="20"/>
            </w:rPr>
            <w:t>CS-HPT-DSN — Wydanie 1</w:t>
          </w:r>
        </w:p>
        <w:p w14:paraId="50F5089B" w14:textId="48B0A277" w:rsidR="003832F2" w:rsidRPr="002F2987" w:rsidRDefault="003832F2" w:rsidP="00531A22">
          <w:pPr>
            <w:spacing w:after="0"/>
            <w:jc w:val="right"/>
            <w:rPr>
              <w:sz w:val="16"/>
              <w:szCs w:val="20"/>
            </w:rPr>
          </w:pPr>
          <w:r w:rsidRPr="00531A22">
            <w:rPr>
              <w:sz w:val="16"/>
              <w:szCs w:val="20"/>
            </w:rPr>
            <w:t>Rozdział E — Powierzchnie ograniczające przeszkody i</w:t>
          </w:r>
          <w:r>
            <w:rPr>
              <w:sz w:val="16"/>
              <w:szCs w:val="20"/>
            </w:rPr>
            <w:t xml:space="preserve"> </w:t>
          </w:r>
          <w:r w:rsidRPr="00531A22">
            <w:rPr>
              <w:sz w:val="16"/>
              <w:szCs w:val="20"/>
            </w:rPr>
            <w:t>wymagania</w:t>
          </w:r>
        </w:p>
      </w:tc>
    </w:tr>
  </w:tbl>
  <w:p w14:paraId="40A7D888" w14:textId="77777777" w:rsidR="003832F2" w:rsidRPr="00A033BB" w:rsidRDefault="003832F2" w:rsidP="006A13A3">
    <w:pPr>
      <w:pStyle w:val="Bezodstpw"/>
      <w:spacing w:after="120"/>
      <w:jc w:val="both"/>
      <w:rPr>
        <w:rFonts w:cstheme="minorHAnsi"/>
        <w:i w:val="0"/>
        <w:szCs w:val="16"/>
      </w:rP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0CBCB0CF" w14:textId="77777777" w:rsidTr="001F73BC">
      <w:tc>
        <w:tcPr>
          <w:tcW w:w="1432" w:type="pct"/>
          <w:tcMar>
            <w:bottom w:w="28" w:type="dxa"/>
          </w:tcMar>
          <w:vAlign w:val="bottom"/>
        </w:tcPr>
        <w:p w14:paraId="7D0FC776"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14D66D60" wp14:editId="012EC981">
                <wp:extent cx="1008000" cy="338400"/>
                <wp:effectExtent l="0" t="0" r="1905" b="5080"/>
                <wp:docPr id="1500" name="Obraz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1640207"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54AEC09A" w14:textId="77777777" w:rsidR="003832F2" w:rsidRPr="007A1C17" w:rsidRDefault="003832F2" w:rsidP="00A25C8B">
          <w:pPr>
            <w:spacing w:after="60"/>
            <w:jc w:val="right"/>
            <w:rPr>
              <w:b/>
              <w:sz w:val="16"/>
              <w:szCs w:val="20"/>
            </w:rPr>
          </w:pPr>
          <w:r w:rsidRPr="007A1C17">
            <w:rPr>
              <w:sz w:val="16"/>
              <w:szCs w:val="20"/>
            </w:rPr>
            <w:t>CS-HPT-DSN — Wydanie 1</w:t>
          </w:r>
        </w:p>
        <w:p w14:paraId="4F1FA9AA" w14:textId="7C274262" w:rsidR="003832F2" w:rsidRPr="00531A22" w:rsidRDefault="003832F2" w:rsidP="00531A22">
          <w:pPr>
            <w:spacing w:after="0"/>
            <w:jc w:val="right"/>
            <w:rPr>
              <w:sz w:val="16"/>
              <w:szCs w:val="20"/>
            </w:rPr>
          </w:pPr>
          <w:r w:rsidRPr="00531A22">
            <w:rPr>
              <w:sz w:val="16"/>
              <w:szCs w:val="20"/>
            </w:rPr>
            <w:t>Rozdział E — Powierzchnie ograniczające przeszkody i</w:t>
          </w:r>
          <w:r>
            <w:rPr>
              <w:sz w:val="16"/>
              <w:szCs w:val="20"/>
            </w:rPr>
            <w:t xml:space="preserve"> </w:t>
          </w:r>
          <w:r w:rsidRPr="00531A22">
            <w:rPr>
              <w:sz w:val="16"/>
              <w:szCs w:val="20"/>
            </w:rPr>
            <w:t>wymagania</w:t>
          </w:r>
        </w:p>
      </w:tc>
    </w:tr>
  </w:tbl>
  <w:p w14:paraId="3DD7A4B4" w14:textId="77777777" w:rsidR="003832F2" w:rsidRPr="00817C77" w:rsidRDefault="003832F2" w:rsidP="00C36D76">
    <w:pPr>
      <w:pStyle w:val="Nagwek"/>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5FBEFEB" w14:textId="77777777" w:rsidTr="005E2368">
      <w:tc>
        <w:tcPr>
          <w:tcW w:w="1432" w:type="pct"/>
          <w:tcMar>
            <w:bottom w:w="28" w:type="dxa"/>
          </w:tcMar>
          <w:vAlign w:val="bottom"/>
        </w:tcPr>
        <w:p w14:paraId="74DF9759" w14:textId="102DF82C" w:rsidR="003832F2" w:rsidRPr="002D0627" w:rsidRDefault="003832F2" w:rsidP="00020EA3">
          <w:pPr>
            <w:spacing w:after="0"/>
            <w:jc w:val="left"/>
            <w:rPr>
              <w:sz w:val="18"/>
              <w:szCs w:val="20"/>
            </w:rPr>
          </w:pPr>
          <w:r>
            <w:rPr>
              <w:b/>
              <w:noProof/>
              <w:color w:val="0066FF"/>
              <w:sz w:val="18"/>
              <w:szCs w:val="20"/>
              <w:lang w:eastAsia="pl-PL"/>
            </w:rPr>
            <w:drawing>
              <wp:inline distT="0" distB="0" distL="0" distR="0" wp14:anchorId="4E96597E" wp14:editId="78F428BC">
                <wp:extent cx="1008000" cy="338400"/>
                <wp:effectExtent l="0" t="0" r="1905" b="508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B9345AF" w14:textId="72D4D65F" w:rsidR="003832F2" w:rsidRPr="00AC5577" w:rsidRDefault="003832F2" w:rsidP="008D4D4F">
          <w:pPr>
            <w:spacing w:after="60"/>
            <w:ind w:left="232"/>
            <w:jc w:val="center"/>
            <w:rPr>
              <w:i/>
              <w:color w:val="0066CC"/>
              <w:sz w:val="16"/>
              <w:szCs w:val="20"/>
            </w:rPr>
          </w:pPr>
          <w:r w:rsidRPr="00AC5577">
            <w:rPr>
              <w:i/>
              <w:color w:val="0066CC"/>
              <w:sz w:val="16"/>
              <w:szCs w:val="20"/>
            </w:rPr>
            <w:t>Łatwo Dostępne Przepisy dla Lotnisk</w:t>
          </w:r>
          <w:r>
            <w:rPr>
              <w:i/>
              <w:color w:val="0066CC"/>
              <w:sz w:val="16"/>
              <w:szCs w:val="20"/>
            </w:rPr>
            <w:br/>
          </w:r>
          <w:r w:rsidRPr="00AC5577">
            <w:rPr>
              <w:i/>
              <w:color w:val="0066CC"/>
              <w:sz w:val="16"/>
              <w:szCs w:val="20"/>
            </w:rPr>
            <w:t>(Rozporządzenie (UE) Nr 139/2014)</w:t>
          </w:r>
        </w:p>
      </w:tc>
      <w:tc>
        <w:tcPr>
          <w:tcW w:w="1812" w:type="pct"/>
          <w:vAlign w:val="bottom"/>
        </w:tcPr>
        <w:p w14:paraId="6425407A" w14:textId="2B689725" w:rsidR="003832F2" w:rsidRPr="008D4D4F" w:rsidRDefault="003832F2" w:rsidP="008D4D4F">
          <w:pPr>
            <w:spacing w:after="60"/>
            <w:jc w:val="right"/>
            <w:rPr>
              <w:b/>
              <w:sz w:val="16"/>
              <w:szCs w:val="20"/>
            </w:rPr>
          </w:pPr>
          <w:r w:rsidRPr="008D4D4F">
            <w:rPr>
              <w:b/>
              <w:sz w:val="16"/>
              <w:szCs w:val="20"/>
            </w:rPr>
            <w:t>ROZPORZĄDZENIE KOMISJI</w:t>
          </w:r>
        </w:p>
        <w:p w14:paraId="0427628A" w14:textId="77777777" w:rsidR="003832F2" w:rsidRPr="008D4D4F" w:rsidRDefault="003832F2" w:rsidP="00020EA3">
          <w:pPr>
            <w:spacing w:after="0"/>
            <w:jc w:val="right"/>
            <w:rPr>
              <w:sz w:val="16"/>
              <w:szCs w:val="20"/>
            </w:rPr>
          </w:pPr>
          <w:r w:rsidRPr="008D4D4F">
            <w:rPr>
              <w:sz w:val="16"/>
              <w:szCs w:val="20"/>
            </w:rPr>
            <w:t>(Część główna)</w:t>
          </w:r>
        </w:p>
      </w:tc>
    </w:tr>
  </w:tbl>
  <w:p w14:paraId="4A00C894" w14:textId="77777777" w:rsidR="003832F2" w:rsidRPr="009A5B37" w:rsidRDefault="003832F2" w:rsidP="00B85CAC">
    <w:pPr>
      <w:spacing w:after="240" w:line="200" w:lineRule="exact"/>
      <w:rPr>
        <w:sz w:val="18"/>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9142A7C" w14:textId="77777777" w:rsidTr="005E2368">
      <w:tc>
        <w:tcPr>
          <w:tcW w:w="1432" w:type="pct"/>
          <w:tcMar>
            <w:bottom w:w="28" w:type="dxa"/>
          </w:tcMar>
          <w:vAlign w:val="bottom"/>
        </w:tcPr>
        <w:p w14:paraId="455F24F2" w14:textId="78B6C62D" w:rsidR="003832F2" w:rsidRPr="002D0627" w:rsidRDefault="003832F2" w:rsidP="00020EA3">
          <w:pPr>
            <w:spacing w:after="0"/>
            <w:jc w:val="left"/>
            <w:rPr>
              <w:sz w:val="18"/>
              <w:szCs w:val="20"/>
            </w:rPr>
          </w:pPr>
          <w:r>
            <w:rPr>
              <w:b/>
              <w:noProof/>
              <w:color w:val="0066FF"/>
              <w:sz w:val="18"/>
              <w:szCs w:val="20"/>
              <w:lang w:eastAsia="pl-PL"/>
            </w:rPr>
            <w:drawing>
              <wp:inline distT="0" distB="0" distL="0" distR="0" wp14:anchorId="16DD9241" wp14:editId="4D407C4A">
                <wp:extent cx="1008000" cy="338400"/>
                <wp:effectExtent l="0" t="0" r="1905" b="508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5D61EF5" w14:textId="37A1ED81" w:rsidR="003832F2" w:rsidRPr="002D0627" w:rsidRDefault="003832F2" w:rsidP="008D4D4F">
          <w:pPr>
            <w:spacing w:after="60"/>
            <w:ind w:left="522"/>
            <w:jc w:val="center"/>
            <w:rPr>
              <w:i/>
              <w:sz w:val="16"/>
              <w:szCs w:val="20"/>
            </w:rPr>
          </w:pPr>
          <w:r w:rsidRPr="00D77D54">
            <w:rPr>
              <w:i/>
              <w:color w:val="0066CC"/>
              <w:sz w:val="16"/>
              <w:szCs w:val="20"/>
            </w:rPr>
            <w:t>Łatwo Dostępne Przepisy dla Lotnisk</w:t>
          </w:r>
          <w:r>
            <w:rPr>
              <w:i/>
              <w:color w:val="0066CC"/>
              <w:sz w:val="16"/>
              <w:szCs w:val="20"/>
            </w:rPr>
            <w:br/>
          </w:r>
          <w:r w:rsidRPr="00D77D54">
            <w:rPr>
              <w:i/>
              <w:color w:val="0066CC"/>
              <w:sz w:val="16"/>
              <w:szCs w:val="20"/>
            </w:rPr>
            <w:t>(Rozporządzenie (UE) Nr 139/2014)</w:t>
          </w:r>
        </w:p>
      </w:tc>
      <w:tc>
        <w:tcPr>
          <w:tcW w:w="1812" w:type="pct"/>
          <w:vAlign w:val="bottom"/>
        </w:tcPr>
        <w:p w14:paraId="6660346C" w14:textId="1513598F" w:rsidR="003832F2" w:rsidRPr="008D4D4F" w:rsidRDefault="003832F2" w:rsidP="008D4D4F">
          <w:pPr>
            <w:spacing w:after="60"/>
            <w:jc w:val="right"/>
            <w:rPr>
              <w:b/>
              <w:sz w:val="16"/>
              <w:szCs w:val="20"/>
            </w:rPr>
          </w:pPr>
          <w:r w:rsidRPr="008D4D4F">
            <w:rPr>
              <w:b/>
              <w:sz w:val="16"/>
              <w:szCs w:val="20"/>
            </w:rPr>
            <w:t>ROZPORZĄDZENIE KOMISJI</w:t>
          </w:r>
        </w:p>
        <w:p w14:paraId="3721DC7B" w14:textId="13C7F1F2" w:rsidR="003832F2" w:rsidRPr="002F2987" w:rsidRDefault="003832F2" w:rsidP="00020EA3">
          <w:pPr>
            <w:spacing w:after="0"/>
            <w:jc w:val="right"/>
            <w:rPr>
              <w:sz w:val="16"/>
              <w:szCs w:val="20"/>
            </w:rPr>
          </w:pPr>
          <w:r>
            <w:rPr>
              <w:sz w:val="16"/>
              <w:szCs w:val="20"/>
            </w:rPr>
            <w:t>(Część główna)</w:t>
          </w:r>
        </w:p>
      </w:tc>
    </w:tr>
  </w:tbl>
  <w:p w14:paraId="49D17440" w14:textId="77777777" w:rsidR="003832F2" w:rsidRDefault="003832F2">
    <w:pPr>
      <w:pStyle w:val="Nagwek"/>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07BA01A" w14:textId="77777777" w:rsidTr="005E2368">
      <w:tc>
        <w:tcPr>
          <w:tcW w:w="1432" w:type="pct"/>
          <w:tcMar>
            <w:bottom w:w="28" w:type="dxa"/>
          </w:tcMar>
          <w:vAlign w:val="bottom"/>
        </w:tcPr>
        <w:p w14:paraId="5603C146" w14:textId="0D42B9F3" w:rsidR="003832F2" w:rsidRPr="002D0627" w:rsidRDefault="003832F2" w:rsidP="00776FD2">
          <w:pPr>
            <w:spacing w:after="0"/>
            <w:jc w:val="left"/>
            <w:rPr>
              <w:sz w:val="18"/>
              <w:szCs w:val="20"/>
            </w:rPr>
          </w:pPr>
          <w:r>
            <w:rPr>
              <w:b/>
              <w:noProof/>
              <w:color w:val="0066FF"/>
              <w:sz w:val="18"/>
              <w:szCs w:val="20"/>
              <w:lang w:eastAsia="pl-PL"/>
            </w:rPr>
            <w:drawing>
              <wp:inline distT="0" distB="0" distL="0" distR="0" wp14:anchorId="53E447F6" wp14:editId="77A99A68">
                <wp:extent cx="1008000" cy="338400"/>
                <wp:effectExtent l="0" t="0" r="1905" b="508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9F92990" w14:textId="4C9E91A3" w:rsidR="003832F2" w:rsidRPr="002D0627" w:rsidRDefault="003832F2" w:rsidP="008D4D4F">
          <w:pPr>
            <w:spacing w:after="60"/>
            <w:ind w:left="232"/>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3FB4658" w14:textId="77777777" w:rsidR="003832F2" w:rsidRDefault="003832F2" w:rsidP="008D4D4F">
          <w:pPr>
            <w:spacing w:after="60"/>
            <w:jc w:val="right"/>
            <w:rPr>
              <w:sz w:val="16"/>
              <w:szCs w:val="20"/>
            </w:rPr>
          </w:pPr>
          <w:r w:rsidRPr="008D4D4F">
            <w:rPr>
              <w:b/>
              <w:sz w:val="16"/>
              <w:szCs w:val="20"/>
            </w:rPr>
            <w:t xml:space="preserve">ZAŁĄCZNIK </w:t>
          </w:r>
          <w:r>
            <w:rPr>
              <w:sz w:val="16"/>
              <w:szCs w:val="20"/>
            </w:rPr>
            <w:t>I</w:t>
          </w:r>
        </w:p>
        <w:p w14:paraId="26BC4A50" w14:textId="14211735" w:rsidR="003832F2" w:rsidRPr="002F2987" w:rsidRDefault="003832F2" w:rsidP="008D4D4F">
          <w:pPr>
            <w:spacing w:after="0"/>
            <w:jc w:val="right"/>
            <w:rPr>
              <w:sz w:val="16"/>
              <w:szCs w:val="20"/>
            </w:rPr>
          </w:pPr>
          <w:r w:rsidRPr="0054242C">
            <w:rPr>
              <w:sz w:val="16"/>
              <w:szCs w:val="20"/>
            </w:rPr>
            <w:t>Definicje terminów używanych</w:t>
          </w:r>
          <w:r>
            <w:rPr>
              <w:sz w:val="16"/>
              <w:szCs w:val="20"/>
            </w:rPr>
            <w:br/>
          </w:r>
          <w:r w:rsidRPr="0054242C">
            <w:rPr>
              <w:sz w:val="16"/>
              <w:szCs w:val="20"/>
            </w:rPr>
            <w:t>w Załącznikach II – I</w:t>
          </w:r>
          <w:r>
            <w:rPr>
              <w:sz w:val="16"/>
              <w:szCs w:val="20"/>
            </w:rPr>
            <w:t>V</w:t>
          </w:r>
        </w:p>
      </w:tc>
    </w:tr>
  </w:tbl>
  <w:p w14:paraId="5F7B7B1E" w14:textId="77777777" w:rsidR="003832F2" w:rsidRPr="009A5B37" w:rsidRDefault="003832F2" w:rsidP="00B85CAC">
    <w:pPr>
      <w:spacing w:after="240" w:line="200" w:lineRule="exact"/>
      <w:rPr>
        <w:sz w:val="18"/>
        <w:szCs w:val="2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551E62C" w14:textId="77777777" w:rsidTr="005E2368">
      <w:tc>
        <w:tcPr>
          <w:tcW w:w="1432" w:type="pct"/>
          <w:tcMar>
            <w:bottom w:w="28" w:type="dxa"/>
          </w:tcMar>
          <w:vAlign w:val="bottom"/>
        </w:tcPr>
        <w:p w14:paraId="6CCC71DB" w14:textId="0DD3FA44" w:rsidR="003832F2" w:rsidRPr="002D0627" w:rsidRDefault="003832F2" w:rsidP="00B85CAC">
          <w:pPr>
            <w:spacing w:after="0"/>
            <w:jc w:val="left"/>
            <w:rPr>
              <w:sz w:val="18"/>
              <w:szCs w:val="20"/>
            </w:rPr>
          </w:pPr>
          <w:r>
            <w:rPr>
              <w:b/>
              <w:noProof/>
              <w:color w:val="0066FF"/>
              <w:sz w:val="18"/>
              <w:szCs w:val="20"/>
              <w:lang w:eastAsia="pl-PL"/>
            </w:rPr>
            <w:drawing>
              <wp:inline distT="0" distB="0" distL="0" distR="0" wp14:anchorId="1834B3B6" wp14:editId="38DEF8A7">
                <wp:extent cx="1008000" cy="338400"/>
                <wp:effectExtent l="0" t="0" r="1905" b="508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1931E59" w14:textId="35743852" w:rsidR="003832F2" w:rsidRPr="003E5E85" w:rsidRDefault="003832F2" w:rsidP="00E5061D">
          <w:pPr>
            <w:spacing w:after="60"/>
            <w:ind w:left="232"/>
            <w:jc w:val="center"/>
            <w:rPr>
              <w:i/>
              <w:color w:val="0066CC"/>
              <w:sz w:val="16"/>
              <w:szCs w:val="20"/>
            </w:rPr>
          </w:pPr>
          <w:r w:rsidRPr="003E5E85">
            <w:rPr>
              <w:i/>
              <w:color w:val="0066CC"/>
              <w:sz w:val="16"/>
              <w:szCs w:val="20"/>
            </w:rPr>
            <w:t>Łatwo Dostępne Przepisy dla Lotnisk</w:t>
          </w:r>
          <w:r w:rsidRPr="003E5E85">
            <w:rPr>
              <w:i/>
              <w:color w:val="0066CC"/>
              <w:sz w:val="16"/>
              <w:szCs w:val="20"/>
            </w:rPr>
            <w:br/>
            <w:t>(Rozporządzenie (UE) Nr 139/2014)</w:t>
          </w:r>
        </w:p>
      </w:tc>
      <w:tc>
        <w:tcPr>
          <w:tcW w:w="1812" w:type="pct"/>
          <w:vAlign w:val="bottom"/>
        </w:tcPr>
        <w:p w14:paraId="2CFDAAB6" w14:textId="77777777" w:rsidR="003832F2" w:rsidRDefault="003832F2" w:rsidP="008D4D4F">
          <w:pPr>
            <w:spacing w:after="60"/>
            <w:jc w:val="right"/>
            <w:rPr>
              <w:sz w:val="16"/>
              <w:szCs w:val="20"/>
            </w:rPr>
          </w:pPr>
          <w:r w:rsidRPr="008D4D4F">
            <w:rPr>
              <w:b/>
              <w:sz w:val="16"/>
              <w:szCs w:val="20"/>
            </w:rPr>
            <w:t xml:space="preserve">ZAŁĄCZNIK </w:t>
          </w:r>
          <w:r>
            <w:rPr>
              <w:sz w:val="16"/>
              <w:szCs w:val="20"/>
            </w:rPr>
            <w:t>I</w:t>
          </w:r>
        </w:p>
        <w:p w14:paraId="052847AA" w14:textId="6F1C8ADB" w:rsidR="003832F2" w:rsidRPr="002F2987" w:rsidRDefault="003832F2" w:rsidP="008D4D4F">
          <w:pPr>
            <w:spacing w:after="0"/>
            <w:jc w:val="right"/>
            <w:rPr>
              <w:sz w:val="16"/>
              <w:szCs w:val="20"/>
            </w:rPr>
          </w:pPr>
          <w:r w:rsidRPr="0054242C">
            <w:rPr>
              <w:sz w:val="16"/>
              <w:szCs w:val="20"/>
            </w:rPr>
            <w:t>Definicje terminów używanych</w:t>
          </w:r>
          <w:r>
            <w:rPr>
              <w:sz w:val="16"/>
              <w:szCs w:val="20"/>
            </w:rPr>
            <w:br/>
          </w:r>
          <w:r w:rsidRPr="0054242C">
            <w:rPr>
              <w:sz w:val="16"/>
              <w:szCs w:val="20"/>
            </w:rPr>
            <w:t>w Załącznikach II – IV</w:t>
          </w:r>
        </w:p>
      </w:tc>
    </w:tr>
  </w:tbl>
  <w:p w14:paraId="586F9BE9" w14:textId="77777777" w:rsidR="003832F2" w:rsidRPr="0054242C" w:rsidRDefault="003832F2" w:rsidP="0054242C">
    <w:pPr>
      <w:pStyle w:val="Nagwek"/>
      <w:rPr>
        <w:sz w:val="16"/>
        <w:szCs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44F1130C" w14:textId="77777777" w:rsidTr="005E2368">
      <w:tc>
        <w:tcPr>
          <w:tcW w:w="1432" w:type="pct"/>
          <w:tcMar>
            <w:bottom w:w="28" w:type="dxa"/>
          </w:tcMar>
          <w:vAlign w:val="bottom"/>
        </w:tcPr>
        <w:p w14:paraId="78AF67A6" w14:textId="62799306" w:rsidR="003832F2" w:rsidRPr="002D0627" w:rsidRDefault="003832F2" w:rsidP="00776FD2">
          <w:pPr>
            <w:spacing w:after="0"/>
            <w:jc w:val="left"/>
            <w:rPr>
              <w:sz w:val="18"/>
              <w:szCs w:val="20"/>
            </w:rPr>
          </w:pPr>
          <w:r>
            <w:rPr>
              <w:b/>
              <w:noProof/>
              <w:color w:val="0066FF"/>
              <w:sz w:val="18"/>
              <w:szCs w:val="20"/>
              <w:lang w:eastAsia="pl-PL"/>
            </w:rPr>
            <w:drawing>
              <wp:inline distT="0" distB="0" distL="0" distR="0" wp14:anchorId="6D0A2BF6" wp14:editId="3A4573F4">
                <wp:extent cx="1008000" cy="338400"/>
                <wp:effectExtent l="0" t="0" r="1905" b="508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058B263" w14:textId="0F46BE35" w:rsidR="003832F2" w:rsidRPr="002D0627" w:rsidRDefault="003832F2" w:rsidP="00EA1259">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5C04B1E" w14:textId="77777777" w:rsidR="003832F2" w:rsidRPr="008D4D4F" w:rsidRDefault="003832F2" w:rsidP="000E45A5">
          <w:pPr>
            <w:spacing w:after="60"/>
            <w:jc w:val="right"/>
            <w:rPr>
              <w:b/>
              <w:sz w:val="16"/>
              <w:szCs w:val="20"/>
            </w:rPr>
          </w:pPr>
          <w:r w:rsidRPr="008D4D4F">
            <w:rPr>
              <w:b/>
              <w:sz w:val="16"/>
              <w:szCs w:val="20"/>
            </w:rPr>
            <w:t>ZAŁĄCZNIK II — Część ADR.AR</w:t>
          </w:r>
        </w:p>
        <w:p w14:paraId="4D0E9EDB" w14:textId="77777777" w:rsidR="003832F2" w:rsidRPr="002F2987" w:rsidRDefault="003832F2" w:rsidP="00776FD2">
          <w:pPr>
            <w:spacing w:after="0"/>
            <w:jc w:val="right"/>
            <w:rPr>
              <w:sz w:val="16"/>
              <w:szCs w:val="20"/>
            </w:rPr>
          </w:pPr>
          <w:r>
            <w:rPr>
              <w:sz w:val="16"/>
              <w:szCs w:val="20"/>
            </w:rPr>
            <w:t xml:space="preserve">Podczęść A </w:t>
          </w:r>
          <w:r w:rsidRPr="00A920D9">
            <w:rPr>
              <w:sz w:val="16"/>
              <w:szCs w:val="20"/>
            </w:rPr>
            <w:t>—</w:t>
          </w:r>
          <w:r>
            <w:rPr>
              <w:sz w:val="16"/>
              <w:szCs w:val="20"/>
            </w:rPr>
            <w:t xml:space="preserve">Wymagania ogólne </w:t>
          </w:r>
          <w:r w:rsidRPr="00A920D9">
            <w:rPr>
              <w:sz w:val="16"/>
              <w:szCs w:val="20"/>
            </w:rPr>
            <w:t>(ADR.AR.A</w:t>
          </w:r>
          <w:r>
            <w:rPr>
              <w:sz w:val="16"/>
              <w:szCs w:val="20"/>
            </w:rPr>
            <w:t>)</w:t>
          </w:r>
        </w:p>
      </w:tc>
    </w:tr>
  </w:tbl>
  <w:p w14:paraId="31A13700" w14:textId="2BDB7BD3" w:rsidR="003832F2" w:rsidRPr="0082354E" w:rsidRDefault="003832F2" w:rsidP="000E45A5">
    <w:pPr>
      <w:spacing w:after="0" w:line="200" w:lineRule="exact"/>
      <w:rPr>
        <w:sz w:val="18"/>
        <w:szCs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FC539" w14:textId="0659FD04" w:rsidR="003832F2" w:rsidRDefault="003832F2" w:rsidP="0054242C">
    <w:pPr>
      <w:pStyle w:val="Nagwek"/>
      <w:rPr>
        <w:sz w:val="16"/>
        <w:szCs w:val="20"/>
      </w:rPr>
    </w:pPr>
  </w:p>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0A0C30E5" w14:textId="77777777" w:rsidTr="005E2368">
      <w:tc>
        <w:tcPr>
          <w:tcW w:w="1432" w:type="pct"/>
          <w:tcMar>
            <w:bottom w:w="28" w:type="dxa"/>
          </w:tcMar>
          <w:vAlign w:val="bottom"/>
        </w:tcPr>
        <w:p w14:paraId="6FD93DBF" w14:textId="31BBC949" w:rsidR="003832F2" w:rsidRPr="002D0627" w:rsidRDefault="003832F2" w:rsidP="00A41357">
          <w:pPr>
            <w:spacing w:after="0"/>
            <w:jc w:val="left"/>
            <w:rPr>
              <w:sz w:val="18"/>
              <w:szCs w:val="20"/>
            </w:rPr>
          </w:pPr>
          <w:r>
            <w:rPr>
              <w:b/>
              <w:noProof/>
              <w:color w:val="0066FF"/>
              <w:sz w:val="18"/>
              <w:szCs w:val="20"/>
              <w:lang w:eastAsia="pl-PL"/>
            </w:rPr>
            <w:drawing>
              <wp:inline distT="0" distB="0" distL="0" distR="0" wp14:anchorId="0C25CB04" wp14:editId="20EA1599">
                <wp:extent cx="1008000" cy="338400"/>
                <wp:effectExtent l="0" t="0" r="1905" b="508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C22AA8A" w14:textId="77777777" w:rsidR="003832F2" w:rsidRPr="002D0627" w:rsidRDefault="003832F2" w:rsidP="00EA1259">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8F56E89" w14:textId="77777777" w:rsidR="003832F2" w:rsidRPr="008D4D4F" w:rsidRDefault="003832F2" w:rsidP="00A41357">
          <w:pPr>
            <w:spacing w:after="60"/>
            <w:jc w:val="right"/>
            <w:rPr>
              <w:b/>
              <w:sz w:val="16"/>
              <w:szCs w:val="20"/>
            </w:rPr>
          </w:pPr>
          <w:r w:rsidRPr="008D4D4F">
            <w:rPr>
              <w:b/>
              <w:sz w:val="16"/>
              <w:szCs w:val="20"/>
            </w:rPr>
            <w:t>ZAŁĄCZNIK II — Część ADR.AR</w:t>
          </w:r>
        </w:p>
        <w:p w14:paraId="5A9E6817" w14:textId="77777777" w:rsidR="003832F2" w:rsidRPr="002F2987" w:rsidRDefault="003832F2" w:rsidP="00A41357">
          <w:pPr>
            <w:spacing w:after="0"/>
            <w:jc w:val="right"/>
            <w:rPr>
              <w:sz w:val="16"/>
              <w:szCs w:val="20"/>
            </w:rPr>
          </w:pPr>
          <w:r>
            <w:rPr>
              <w:sz w:val="16"/>
              <w:szCs w:val="20"/>
            </w:rPr>
            <w:t xml:space="preserve">Podczęść A </w:t>
          </w:r>
          <w:r w:rsidRPr="00A920D9">
            <w:rPr>
              <w:sz w:val="16"/>
              <w:szCs w:val="20"/>
            </w:rPr>
            <w:t>—</w:t>
          </w:r>
          <w:r>
            <w:rPr>
              <w:sz w:val="16"/>
              <w:szCs w:val="20"/>
            </w:rPr>
            <w:t xml:space="preserve">Wymagania ogólne </w:t>
          </w:r>
          <w:r w:rsidRPr="00A920D9">
            <w:rPr>
              <w:sz w:val="16"/>
              <w:szCs w:val="20"/>
            </w:rPr>
            <w:t>(ADR.AR.A</w:t>
          </w:r>
          <w:r>
            <w:rPr>
              <w:sz w:val="16"/>
              <w:szCs w:val="20"/>
            </w:rPr>
            <w:t>)</w:t>
          </w:r>
        </w:p>
      </w:tc>
    </w:tr>
  </w:tbl>
  <w:p w14:paraId="454C2346" w14:textId="77777777" w:rsidR="003832F2" w:rsidRPr="0054242C" w:rsidRDefault="003832F2" w:rsidP="0054242C">
    <w:pPr>
      <w:pStyle w:val="Nagwek"/>
      <w:rPr>
        <w:sz w:val="16"/>
        <w:szCs w:val="2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0A749541" w14:textId="77777777" w:rsidTr="005E2368">
      <w:tc>
        <w:tcPr>
          <w:tcW w:w="1432" w:type="pct"/>
          <w:tcMar>
            <w:bottom w:w="28" w:type="dxa"/>
          </w:tcMar>
          <w:vAlign w:val="bottom"/>
        </w:tcPr>
        <w:p w14:paraId="566004C6" w14:textId="1C2E1926"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2F8778A2" wp14:editId="7B2BB0AC">
                <wp:extent cx="1008000" cy="338400"/>
                <wp:effectExtent l="0" t="0" r="1905" b="508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center"/>
        </w:tcPr>
        <w:p w14:paraId="7B5E18F7" w14:textId="7D32B3F7" w:rsidR="003832F2" w:rsidRPr="002D0627" w:rsidRDefault="003832F2" w:rsidP="00E5061D">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63F0BB42" w14:textId="77777777" w:rsidR="003832F2" w:rsidRDefault="003832F2" w:rsidP="000E45A5">
          <w:pPr>
            <w:spacing w:after="60"/>
            <w:jc w:val="right"/>
            <w:rPr>
              <w:sz w:val="16"/>
              <w:szCs w:val="20"/>
            </w:rPr>
          </w:pPr>
          <w:r w:rsidRPr="008D4D4F">
            <w:rPr>
              <w:b/>
              <w:sz w:val="16"/>
              <w:szCs w:val="20"/>
            </w:rPr>
            <w:t>ZAŁĄCZNIK II — Część ADR.AR</w:t>
          </w:r>
        </w:p>
        <w:p w14:paraId="254CB2D0" w14:textId="77777777" w:rsidR="003832F2" w:rsidRPr="002F2987" w:rsidRDefault="003832F2" w:rsidP="000E45A5">
          <w:pPr>
            <w:spacing w:after="0"/>
            <w:jc w:val="right"/>
            <w:rPr>
              <w:sz w:val="16"/>
              <w:szCs w:val="20"/>
            </w:rPr>
          </w:pPr>
          <w:r>
            <w:rPr>
              <w:sz w:val="16"/>
              <w:szCs w:val="20"/>
            </w:rPr>
            <w:t>Podczęść B</w:t>
          </w:r>
          <w:r w:rsidRPr="00752CFB">
            <w:rPr>
              <w:sz w:val="16"/>
              <w:szCs w:val="20"/>
            </w:rPr>
            <w:t xml:space="preserve"> — </w:t>
          </w:r>
          <w:r>
            <w:rPr>
              <w:sz w:val="16"/>
              <w:szCs w:val="20"/>
            </w:rPr>
            <w:t>Zarządzanie (ADR.AR.B)</w:t>
          </w:r>
        </w:p>
      </w:tc>
    </w:tr>
  </w:tbl>
  <w:p w14:paraId="181F801D" w14:textId="77777777" w:rsidR="003832F2" w:rsidRPr="0056474D" w:rsidRDefault="003832F2" w:rsidP="0054242C">
    <w:pPr>
      <w:spacing w:after="240" w:line="200" w:lineRule="exact"/>
      <w:rPr>
        <w:sz w:val="18"/>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1BE6B48" w14:textId="77777777" w:rsidTr="005E2368">
      <w:tc>
        <w:tcPr>
          <w:tcW w:w="1432" w:type="pct"/>
          <w:tcMar>
            <w:bottom w:w="28" w:type="dxa"/>
          </w:tcMar>
          <w:vAlign w:val="bottom"/>
        </w:tcPr>
        <w:p w14:paraId="7EFB7EC2" w14:textId="5CC490CD"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7BF3DD23" wp14:editId="557791A8">
                <wp:extent cx="1008000" cy="338400"/>
                <wp:effectExtent l="0" t="0" r="1905" b="508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center"/>
        </w:tcPr>
        <w:p w14:paraId="1BCAC39D" w14:textId="281C0B7A" w:rsidR="003832F2" w:rsidRPr="002D0627" w:rsidRDefault="003832F2" w:rsidP="00E5061D">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CBF15EE" w14:textId="77777777" w:rsidR="003832F2" w:rsidRDefault="003832F2" w:rsidP="000E45A5">
          <w:pPr>
            <w:spacing w:after="60"/>
            <w:jc w:val="right"/>
            <w:rPr>
              <w:sz w:val="16"/>
              <w:szCs w:val="20"/>
            </w:rPr>
          </w:pPr>
          <w:r w:rsidRPr="008D4D4F">
            <w:rPr>
              <w:b/>
              <w:sz w:val="16"/>
              <w:szCs w:val="20"/>
            </w:rPr>
            <w:t>ZAŁĄCZNIK II — Część ADR.</w:t>
          </w:r>
          <w:r>
            <w:rPr>
              <w:sz w:val="16"/>
              <w:szCs w:val="20"/>
            </w:rPr>
            <w:t>AR</w:t>
          </w:r>
        </w:p>
        <w:p w14:paraId="59B938A1" w14:textId="3EFCC39B" w:rsidR="003832F2" w:rsidRPr="002F2987" w:rsidRDefault="003832F2" w:rsidP="000E45A5">
          <w:pPr>
            <w:spacing w:after="0"/>
            <w:jc w:val="right"/>
            <w:rPr>
              <w:sz w:val="16"/>
              <w:szCs w:val="20"/>
            </w:rPr>
          </w:pPr>
          <w:r>
            <w:rPr>
              <w:sz w:val="16"/>
              <w:szCs w:val="20"/>
            </w:rPr>
            <w:t>Podczęść B</w:t>
          </w:r>
          <w:r w:rsidRPr="00752CFB">
            <w:rPr>
              <w:sz w:val="16"/>
              <w:szCs w:val="20"/>
            </w:rPr>
            <w:t xml:space="preserve"> — </w:t>
          </w:r>
          <w:r>
            <w:rPr>
              <w:sz w:val="16"/>
              <w:szCs w:val="20"/>
            </w:rPr>
            <w:t>Zarządzanie (ADR.AR.B)</w:t>
          </w:r>
        </w:p>
      </w:tc>
    </w:tr>
  </w:tbl>
  <w:p w14:paraId="0EC3D671" w14:textId="77777777" w:rsidR="003832F2" w:rsidRPr="0054242C" w:rsidRDefault="003832F2" w:rsidP="0054242C">
    <w:pPr>
      <w:pStyle w:val="Nagwek"/>
      <w:rPr>
        <w:sz w:val="16"/>
        <w:szCs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B9AD7F8" w14:textId="77777777" w:rsidTr="005E2368">
      <w:tc>
        <w:tcPr>
          <w:tcW w:w="1432" w:type="pct"/>
          <w:tcMar>
            <w:bottom w:w="28" w:type="dxa"/>
          </w:tcMar>
          <w:vAlign w:val="bottom"/>
        </w:tcPr>
        <w:p w14:paraId="0881FFC5" w14:textId="4557EE1B"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595660BE" wp14:editId="61CA382E">
                <wp:extent cx="1008000" cy="338400"/>
                <wp:effectExtent l="0" t="0" r="1905" b="508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8F84399" w14:textId="600FC2AC" w:rsidR="003832F2" w:rsidRPr="002D0627" w:rsidRDefault="003832F2"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746058B" w14:textId="77777777" w:rsidR="003832F2" w:rsidRPr="008D4D4F" w:rsidRDefault="003832F2" w:rsidP="000E45A5">
          <w:pPr>
            <w:spacing w:after="60"/>
            <w:jc w:val="right"/>
            <w:rPr>
              <w:b/>
              <w:sz w:val="16"/>
              <w:szCs w:val="20"/>
            </w:rPr>
          </w:pPr>
          <w:r w:rsidRPr="008D4D4F">
            <w:rPr>
              <w:b/>
              <w:sz w:val="16"/>
              <w:szCs w:val="20"/>
            </w:rPr>
            <w:t>ZAŁĄCZNIK II — Część ADR.AR</w:t>
          </w:r>
        </w:p>
        <w:p w14:paraId="344F91D8" w14:textId="77777777" w:rsidR="003832F2" w:rsidRPr="002F2987" w:rsidRDefault="003832F2" w:rsidP="000E45A5">
          <w:pPr>
            <w:spacing w:after="0"/>
            <w:jc w:val="right"/>
            <w:rPr>
              <w:sz w:val="16"/>
              <w:szCs w:val="20"/>
            </w:rPr>
          </w:pPr>
          <w:r>
            <w:rPr>
              <w:sz w:val="16"/>
              <w:szCs w:val="20"/>
            </w:rPr>
            <w:t>P</w:t>
          </w:r>
          <w:r w:rsidRPr="00752CFB">
            <w:rPr>
              <w:sz w:val="16"/>
              <w:szCs w:val="20"/>
            </w:rPr>
            <w:t>odczęść C — Nadzór, certyfikacja i</w:t>
          </w:r>
          <w:r>
            <w:rPr>
              <w:sz w:val="16"/>
              <w:szCs w:val="20"/>
            </w:rPr>
            <w:t> </w:t>
          </w:r>
          <w:r w:rsidRPr="00752CFB">
            <w:rPr>
              <w:sz w:val="16"/>
              <w:szCs w:val="20"/>
            </w:rPr>
            <w:t>egzekwowanie przepisów (ADR.AR.C)</w:t>
          </w:r>
        </w:p>
      </w:tc>
    </w:tr>
  </w:tbl>
  <w:p w14:paraId="278DE384" w14:textId="77777777" w:rsidR="003832F2" w:rsidRPr="0056474D" w:rsidRDefault="003832F2" w:rsidP="0054242C">
    <w:pPr>
      <w:spacing w:after="240" w:line="200" w:lineRule="exact"/>
      <w:rPr>
        <w:sz w:val="18"/>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832386" w14:paraId="4AB6D177" w14:textId="77777777" w:rsidTr="005E2368">
      <w:trPr>
        <w:jc w:val="center"/>
      </w:trPr>
      <w:tc>
        <w:tcPr>
          <w:tcW w:w="0" w:type="auto"/>
          <w:tcMar>
            <w:bottom w:w="57" w:type="dxa"/>
          </w:tcMar>
          <w:vAlign w:val="bottom"/>
        </w:tcPr>
        <w:p w14:paraId="64D814E3" w14:textId="7E0FE762" w:rsidR="003832F2" w:rsidRPr="00BC23D0" w:rsidRDefault="003832F2" w:rsidP="00A233E9">
          <w:pPr>
            <w:spacing w:after="0"/>
            <w:jc w:val="left"/>
            <w:rPr>
              <w:b/>
              <w:color w:val="0066FF"/>
              <w:sz w:val="18"/>
              <w:szCs w:val="20"/>
            </w:rPr>
          </w:pPr>
          <w:r>
            <w:rPr>
              <w:b/>
              <w:noProof/>
              <w:color w:val="0066FF"/>
              <w:sz w:val="18"/>
              <w:szCs w:val="20"/>
              <w:lang w:eastAsia="pl-PL"/>
            </w:rPr>
            <w:drawing>
              <wp:inline distT="0" distB="0" distL="0" distR="0" wp14:anchorId="432C841A" wp14:editId="1DD4A9B2">
                <wp:extent cx="1008000" cy="338400"/>
                <wp:effectExtent l="0" t="0" r="1905" b="508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1111756A" w14:textId="6950FB57" w:rsidR="003832F2" w:rsidRPr="001A3BAF" w:rsidRDefault="003832F2" w:rsidP="00CA7055">
          <w:pPr>
            <w:spacing w:after="60"/>
            <w:ind w:right="397"/>
            <w:jc w:val="center"/>
            <w:rPr>
              <w:i/>
              <w:color w:val="0066CC"/>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65D22A8A" w14:textId="52557ABD" w:rsidR="003832F2" w:rsidRPr="00832386" w:rsidRDefault="003832F2" w:rsidP="00513AB9">
          <w:pPr>
            <w:spacing w:after="0"/>
            <w:jc w:val="right"/>
            <w:rPr>
              <w:sz w:val="16"/>
              <w:szCs w:val="20"/>
            </w:rPr>
          </w:pPr>
          <w:r w:rsidRPr="00832386">
            <w:rPr>
              <w:sz w:val="16"/>
              <w:szCs w:val="20"/>
            </w:rPr>
            <w:t>Uwagi od wydawcy</w:t>
          </w:r>
        </w:p>
      </w:tc>
    </w:tr>
  </w:tbl>
  <w:p w14:paraId="7C78E52C" w14:textId="77777777" w:rsidR="003832F2" w:rsidRDefault="003832F2" w:rsidP="00970435">
    <w:pPr>
      <w:spacing w:line="200" w:lineRule="exact"/>
      <w:rPr>
        <w:szCs w:val="2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1B9D2465" w14:textId="77777777" w:rsidTr="005E2368">
      <w:tc>
        <w:tcPr>
          <w:tcW w:w="1432" w:type="pct"/>
          <w:tcMar>
            <w:bottom w:w="28" w:type="dxa"/>
          </w:tcMar>
          <w:vAlign w:val="bottom"/>
        </w:tcPr>
        <w:p w14:paraId="3C0543F1" w14:textId="6B20096B"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471636EC" wp14:editId="3A45C8B0">
                <wp:extent cx="1008000" cy="338400"/>
                <wp:effectExtent l="0" t="0" r="1905" b="508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F1FAFE6" w14:textId="0E6B9E87" w:rsidR="003832F2" w:rsidRPr="002D0627" w:rsidRDefault="003832F2"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DABDF73" w14:textId="77777777" w:rsidR="003832F2" w:rsidRPr="008D4D4F" w:rsidRDefault="003832F2" w:rsidP="000E45A5">
          <w:pPr>
            <w:spacing w:after="60"/>
            <w:jc w:val="right"/>
            <w:rPr>
              <w:b/>
              <w:sz w:val="16"/>
              <w:szCs w:val="20"/>
            </w:rPr>
          </w:pPr>
          <w:r w:rsidRPr="008D4D4F">
            <w:rPr>
              <w:b/>
              <w:sz w:val="16"/>
              <w:szCs w:val="20"/>
            </w:rPr>
            <w:t>ZAŁĄCZNIK II — Część ADR.AR</w:t>
          </w:r>
        </w:p>
        <w:p w14:paraId="05A810E7" w14:textId="66D752E5" w:rsidR="003832F2" w:rsidRPr="002F2987" w:rsidRDefault="003832F2" w:rsidP="000E45A5">
          <w:pPr>
            <w:spacing w:after="0"/>
            <w:jc w:val="right"/>
            <w:rPr>
              <w:sz w:val="16"/>
              <w:szCs w:val="20"/>
            </w:rPr>
          </w:pPr>
          <w:r>
            <w:rPr>
              <w:sz w:val="16"/>
              <w:szCs w:val="20"/>
            </w:rPr>
            <w:t>P</w:t>
          </w:r>
          <w:r w:rsidRPr="00752CFB">
            <w:rPr>
              <w:sz w:val="16"/>
              <w:szCs w:val="20"/>
            </w:rPr>
            <w:t>odczęść C — Nadzór, certyfikacja i</w:t>
          </w:r>
          <w:r>
            <w:rPr>
              <w:sz w:val="16"/>
              <w:szCs w:val="20"/>
            </w:rPr>
            <w:t> </w:t>
          </w:r>
          <w:r w:rsidRPr="00752CFB">
            <w:rPr>
              <w:sz w:val="16"/>
              <w:szCs w:val="20"/>
            </w:rPr>
            <w:t>egzekwowanie przepisów (ADR.AR.C)</w:t>
          </w:r>
        </w:p>
      </w:tc>
    </w:tr>
  </w:tbl>
  <w:p w14:paraId="43B28CF6" w14:textId="77777777" w:rsidR="003832F2" w:rsidRPr="0054242C" w:rsidRDefault="003832F2" w:rsidP="0054242C">
    <w:pPr>
      <w:pStyle w:val="Nagwek"/>
      <w:rPr>
        <w:sz w:val="16"/>
        <w:szCs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3FF23B8" w14:textId="77777777" w:rsidTr="005E2368">
      <w:tc>
        <w:tcPr>
          <w:tcW w:w="1432" w:type="pct"/>
          <w:tcMar>
            <w:bottom w:w="28" w:type="dxa"/>
          </w:tcMar>
          <w:vAlign w:val="bottom"/>
        </w:tcPr>
        <w:p w14:paraId="5DD6F663" w14:textId="5FC8E1C3"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3889DD77" wp14:editId="1C020017">
                <wp:extent cx="1008000" cy="338400"/>
                <wp:effectExtent l="0" t="0" r="1905" b="508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00316B0" w14:textId="29A24831" w:rsidR="003832F2" w:rsidRPr="002D0627" w:rsidRDefault="003832F2"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118A08A6" w14:textId="77777777" w:rsidR="003832F2" w:rsidRPr="008D4D4F" w:rsidRDefault="003832F2" w:rsidP="000E45A5">
          <w:pPr>
            <w:spacing w:after="60"/>
            <w:jc w:val="right"/>
            <w:rPr>
              <w:b/>
              <w:sz w:val="16"/>
              <w:szCs w:val="20"/>
            </w:rPr>
          </w:pPr>
          <w:r w:rsidRPr="008D4D4F">
            <w:rPr>
              <w:b/>
              <w:sz w:val="16"/>
              <w:szCs w:val="20"/>
            </w:rPr>
            <w:t>ZAŁĄCZNIK III — Część ADR.OR</w:t>
          </w:r>
        </w:p>
        <w:p w14:paraId="777A904F" w14:textId="77777777" w:rsidR="003832F2" w:rsidRPr="002F2987" w:rsidRDefault="003832F2" w:rsidP="000E45A5">
          <w:pPr>
            <w:spacing w:after="0"/>
            <w:jc w:val="right"/>
            <w:rPr>
              <w:sz w:val="16"/>
              <w:szCs w:val="20"/>
            </w:rPr>
          </w:pPr>
          <w:r>
            <w:rPr>
              <w:sz w:val="16"/>
              <w:szCs w:val="20"/>
            </w:rPr>
            <w:t>Podczęść A</w:t>
          </w:r>
          <w:r w:rsidRPr="00752CFB">
            <w:rPr>
              <w:sz w:val="16"/>
              <w:szCs w:val="20"/>
            </w:rPr>
            <w:t xml:space="preserve"> — </w:t>
          </w:r>
          <w:r>
            <w:rPr>
              <w:sz w:val="16"/>
              <w:szCs w:val="20"/>
            </w:rPr>
            <w:t>Wymagania ogólne (ADR.OR</w:t>
          </w:r>
          <w:r w:rsidRPr="00752CFB">
            <w:rPr>
              <w:sz w:val="16"/>
              <w:szCs w:val="20"/>
            </w:rPr>
            <w:t>.</w:t>
          </w:r>
          <w:r>
            <w:rPr>
              <w:sz w:val="16"/>
              <w:szCs w:val="20"/>
            </w:rPr>
            <w:t>A</w:t>
          </w:r>
          <w:r w:rsidRPr="00752CFB">
            <w:rPr>
              <w:sz w:val="16"/>
              <w:szCs w:val="20"/>
            </w:rPr>
            <w:t>)</w:t>
          </w:r>
        </w:p>
      </w:tc>
    </w:tr>
  </w:tbl>
  <w:p w14:paraId="108A6428" w14:textId="77777777" w:rsidR="003832F2" w:rsidRPr="0056474D" w:rsidRDefault="003832F2" w:rsidP="0054242C">
    <w:pPr>
      <w:spacing w:after="240" w:line="200" w:lineRule="exact"/>
      <w:rPr>
        <w:sz w:val="18"/>
        <w:szCs w:val="2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32FCFDC" w14:textId="77777777" w:rsidTr="005E2368">
      <w:tc>
        <w:tcPr>
          <w:tcW w:w="1432" w:type="pct"/>
          <w:tcMar>
            <w:bottom w:w="28" w:type="dxa"/>
          </w:tcMar>
          <w:vAlign w:val="bottom"/>
        </w:tcPr>
        <w:p w14:paraId="0018A391" w14:textId="23717E5C"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54095362" wp14:editId="04D0A6C7">
                <wp:extent cx="1008000" cy="338400"/>
                <wp:effectExtent l="0" t="0" r="1905" b="508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4D0ECBE" w14:textId="0B002A28" w:rsidR="003832F2" w:rsidRPr="002D0627" w:rsidRDefault="003832F2" w:rsidP="00AC5577">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B29BE61" w14:textId="77777777" w:rsidR="003832F2" w:rsidRPr="008D4D4F" w:rsidRDefault="003832F2" w:rsidP="000E45A5">
          <w:pPr>
            <w:spacing w:after="60"/>
            <w:jc w:val="right"/>
            <w:rPr>
              <w:b/>
              <w:sz w:val="16"/>
              <w:szCs w:val="20"/>
            </w:rPr>
          </w:pPr>
          <w:r w:rsidRPr="008D4D4F">
            <w:rPr>
              <w:b/>
              <w:sz w:val="16"/>
              <w:szCs w:val="20"/>
            </w:rPr>
            <w:t>ZAŁĄCZNIK III — Część ADR.OR</w:t>
          </w:r>
        </w:p>
        <w:p w14:paraId="29483BEE" w14:textId="6C40A79D" w:rsidR="003832F2" w:rsidRPr="002F2987" w:rsidRDefault="003832F2" w:rsidP="000E45A5">
          <w:pPr>
            <w:spacing w:after="0"/>
            <w:jc w:val="right"/>
            <w:rPr>
              <w:sz w:val="16"/>
              <w:szCs w:val="20"/>
            </w:rPr>
          </w:pPr>
          <w:r>
            <w:rPr>
              <w:sz w:val="16"/>
              <w:szCs w:val="20"/>
            </w:rPr>
            <w:t>Podczęść A</w:t>
          </w:r>
          <w:r w:rsidRPr="00752CFB">
            <w:rPr>
              <w:sz w:val="16"/>
              <w:szCs w:val="20"/>
            </w:rPr>
            <w:t xml:space="preserve"> — </w:t>
          </w:r>
          <w:r>
            <w:rPr>
              <w:sz w:val="16"/>
              <w:szCs w:val="20"/>
            </w:rPr>
            <w:t>Wymagania ogólne (ADR.OR</w:t>
          </w:r>
          <w:r w:rsidRPr="00752CFB">
            <w:rPr>
              <w:sz w:val="16"/>
              <w:szCs w:val="20"/>
            </w:rPr>
            <w:t>.</w:t>
          </w:r>
          <w:r>
            <w:rPr>
              <w:sz w:val="16"/>
              <w:szCs w:val="20"/>
            </w:rPr>
            <w:t>A</w:t>
          </w:r>
          <w:r w:rsidRPr="00752CFB">
            <w:rPr>
              <w:sz w:val="16"/>
              <w:szCs w:val="20"/>
            </w:rPr>
            <w:t>)</w:t>
          </w:r>
        </w:p>
      </w:tc>
    </w:tr>
  </w:tbl>
  <w:p w14:paraId="7EF11460" w14:textId="77777777" w:rsidR="003832F2" w:rsidRPr="0054242C" w:rsidRDefault="003832F2" w:rsidP="0054242C">
    <w:pPr>
      <w:pStyle w:val="Nagwek"/>
      <w:rPr>
        <w:sz w:val="16"/>
        <w:szCs w:val="2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18ECB909" w14:textId="77777777" w:rsidTr="005E2368">
      <w:tc>
        <w:tcPr>
          <w:tcW w:w="1432" w:type="pct"/>
          <w:tcMar>
            <w:bottom w:w="28" w:type="dxa"/>
          </w:tcMar>
          <w:vAlign w:val="bottom"/>
        </w:tcPr>
        <w:p w14:paraId="483DAEF2" w14:textId="5E6E4A88"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482E2989" wp14:editId="2DFC365A">
                <wp:extent cx="1008000" cy="338400"/>
                <wp:effectExtent l="0" t="0" r="1905" b="508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ACB3DEE" w14:textId="2873B339" w:rsidR="003832F2" w:rsidRPr="002D0627" w:rsidRDefault="003832F2"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213B89E" w14:textId="77777777" w:rsidR="003832F2" w:rsidRPr="008D4D4F" w:rsidRDefault="003832F2" w:rsidP="000E45A5">
          <w:pPr>
            <w:spacing w:after="60"/>
            <w:jc w:val="right"/>
            <w:rPr>
              <w:b/>
              <w:sz w:val="16"/>
              <w:szCs w:val="20"/>
            </w:rPr>
          </w:pPr>
          <w:r w:rsidRPr="008D4D4F">
            <w:rPr>
              <w:b/>
              <w:sz w:val="16"/>
              <w:szCs w:val="20"/>
            </w:rPr>
            <w:t>ZAŁĄCZNIK III — Część ADR.OR</w:t>
          </w:r>
        </w:p>
        <w:p w14:paraId="099E4C95" w14:textId="77777777" w:rsidR="003832F2" w:rsidRPr="002F2987" w:rsidRDefault="003832F2" w:rsidP="000E45A5">
          <w:pPr>
            <w:spacing w:after="0"/>
            <w:jc w:val="right"/>
            <w:rPr>
              <w:sz w:val="16"/>
              <w:szCs w:val="20"/>
            </w:rPr>
          </w:pPr>
          <w:r w:rsidRPr="003303E9">
            <w:rPr>
              <w:sz w:val="16"/>
              <w:szCs w:val="20"/>
            </w:rPr>
            <w:t>Po</w:t>
          </w:r>
          <w:r>
            <w:rPr>
              <w:sz w:val="16"/>
              <w:szCs w:val="20"/>
            </w:rPr>
            <w:t>dczęść B — Certyfikacja</w:t>
          </w:r>
          <w:r w:rsidRPr="003303E9">
            <w:rPr>
              <w:sz w:val="16"/>
              <w:szCs w:val="20"/>
            </w:rPr>
            <w:t xml:space="preserve"> (ADR.</w:t>
          </w:r>
          <w:r>
            <w:rPr>
              <w:sz w:val="16"/>
              <w:szCs w:val="20"/>
            </w:rPr>
            <w:t>OR</w:t>
          </w:r>
          <w:r w:rsidRPr="003303E9">
            <w:rPr>
              <w:sz w:val="16"/>
              <w:szCs w:val="20"/>
            </w:rPr>
            <w:t>.</w:t>
          </w:r>
          <w:r>
            <w:rPr>
              <w:sz w:val="16"/>
              <w:szCs w:val="20"/>
            </w:rPr>
            <w:t>B</w:t>
          </w:r>
          <w:r w:rsidRPr="00752CFB">
            <w:rPr>
              <w:sz w:val="16"/>
              <w:szCs w:val="20"/>
            </w:rPr>
            <w:t>)</w:t>
          </w:r>
        </w:p>
      </w:tc>
    </w:tr>
  </w:tbl>
  <w:p w14:paraId="0A4FF919" w14:textId="77777777" w:rsidR="003832F2" w:rsidRPr="0056474D" w:rsidRDefault="003832F2" w:rsidP="0054242C">
    <w:pPr>
      <w:spacing w:after="240" w:line="200" w:lineRule="exact"/>
      <w:rPr>
        <w:sz w:val="18"/>
        <w:szCs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F588759" w14:textId="77777777" w:rsidTr="005E2368">
      <w:tc>
        <w:tcPr>
          <w:tcW w:w="1432" w:type="pct"/>
          <w:tcMar>
            <w:bottom w:w="28" w:type="dxa"/>
          </w:tcMar>
          <w:vAlign w:val="bottom"/>
        </w:tcPr>
        <w:p w14:paraId="63D27F5E" w14:textId="5D4D6CF4"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7E59C665" wp14:editId="551D1743">
                <wp:extent cx="1008000" cy="338400"/>
                <wp:effectExtent l="0" t="0" r="1905" b="508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E640FB9" w14:textId="0320ED74" w:rsidR="003832F2" w:rsidRPr="002D0627" w:rsidRDefault="003832F2" w:rsidP="008D4D4F">
          <w:pPr>
            <w:spacing w:after="60"/>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4ADBBF4F" w14:textId="77777777" w:rsidR="003832F2" w:rsidRPr="008D4D4F" w:rsidRDefault="003832F2" w:rsidP="000E45A5">
          <w:pPr>
            <w:spacing w:after="60"/>
            <w:jc w:val="right"/>
            <w:rPr>
              <w:b/>
              <w:sz w:val="16"/>
              <w:szCs w:val="20"/>
            </w:rPr>
          </w:pPr>
          <w:r w:rsidRPr="008D4D4F">
            <w:rPr>
              <w:b/>
              <w:sz w:val="16"/>
              <w:szCs w:val="20"/>
            </w:rPr>
            <w:t>ZAŁĄCZNIK III — Część ADR.OR</w:t>
          </w:r>
        </w:p>
        <w:p w14:paraId="500C34F5" w14:textId="6B470958" w:rsidR="003832F2" w:rsidRPr="002F2987" w:rsidRDefault="003832F2" w:rsidP="000E45A5">
          <w:pPr>
            <w:spacing w:after="0"/>
            <w:jc w:val="right"/>
            <w:rPr>
              <w:sz w:val="16"/>
              <w:szCs w:val="20"/>
            </w:rPr>
          </w:pPr>
          <w:r w:rsidRPr="003303E9">
            <w:rPr>
              <w:sz w:val="16"/>
              <w:szCs w:val="20"/>
            </w:rPr>
            <w:t>Po</w:t>
          </w:r>
          <w:r>
            <w:rPr>
              <w:sz w:val="16"/>
              <w:szCs w:val="20"/>
            </w:rPr>
            <w:t>dczęść B — Certyfikacja</w:t>
          </w:r>
          <w:r w:rsidRPr="003303E9">
            <w:rPr>
              <w:sz w:val="16"/>
              <w:szCs w:val="20"/>
            </w:rPr>
            <w:t xml:space="preserve"> (ADR.</w:t>
          </w:r>
          <w:r>
            <w:rPr>
              <w:sz w:val="16"/>
              <w:szCs w:val="20"/>
            </w:rPr>
            <w:t>OR</w:t>
          </w:r>
          <w:r w:rsidRPr="003303E9">
            <w:rPr>
              <w:sz w:val="16"/>
              <w:szCs w:val="20"/>
            </w:rPr>
            <w:t>.</w:t>
          </w:r>
          <w:r>
            <w:rPr>
              <w:sz w:val="16"/>
              <w:szCs w:val="20"/>
            </w:rPr>
            <w:t>B</w:t>
          </w:r>
          <w:r w:rsidRPr="00752CFB">
            <w:rPr>
              <w:sz w:val="16"/>
              <w:szCs w:val="20"/>
            </w:rPr>
            <w:t>)</w:t>
          </w:r>
        </w:p>
      </w:tc>
    </w:tr>
  </w:tbl>
  <w:p w14:paraId="3231FEEE" w14:textId="77777777" w:rsidR="003832F2" w:rsidRPr="0054242C" w:rsidRDefault="003832F2" w:rsidP="0054242C">
    <w:pPr>
      <w:pStyle w:val="Nagwek"/>
      <w:rPr>
        <w:sz w:val="16"/>
        <w:szCs w:val="2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F5FD675" w14:textId="77777777" w:rsidTr="005E2368">
      <w:tc>
        <w:tcPr>
          <w:tcW w:w="1432" w:type="pct"/>
          <w:tcMar>
            <w:bottom w:w="28" w:type="dxa"/>
          </w:tcMar>
          <w:vAlign w:val="bottom"/>
        </w:tcPr>
        <w:p w14:paraId="6572F1D7" w14:textId="590E28CE"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0F403E48" wp14:editId="2EA202A9">
                <wp:extent cx="1008000" cy="338400"/>
                <wp:effectExtent l="0" t="0" r="1905" b="508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F000789" w14:textId="5582FA58" w:rsidR="003832F2" w:rsidRPr="002D0627" w:rsidRDefault="003832F2" w:rsidP="0054414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F2E1FEF" w14:textId="77777777" w:rsidR="003832F2" w:rsidRPr="008D4D4F" w:rsidRDefault="003832F2" w:rsidP="000E45A5">
          <w:pPr>
            <w:spacing w:after="60"/>
            <w:jc w:val="right"/>
            <w:rPr>
              <w:b/>
              <w:sz w:val="16"/>
              <w:szCs w:val="20"/>
            </w:rPr>
          </w:pPr>
          <w:r w:rsidRPr="008D4D4F">
            <w:rPr>
              <w:b/>
              <w:sz w:val="16"/>
              <w:szCs w:val="20"/>
            </w:rPr>
            <w:t>ZAŁĄCZNIK III — Część ADR.OR</w:t>
          </w:r>
        </w:p>
        <w:p w14:paraId="678BF5C1" w14:textId="77777777" w:rsidR="003832F2" w:rsidRPr="002F2987" w:rsidRDefault="003832F2" w:rsidP="000E45A5">
          <w:pPr>
            <w:spacing w:after="0"/>
            <w:jc w:val="right"/>
            <w:rPr>
              <w:sz w:val="16"/>
              <w:szCs w:val="20"/>
            </w:rPr>
          </w:pPr>
          <w:r w:rsidRPr="003303E9">
            <w:rPr>
              <w:sz w:val="16"/>
              <w:szCs w:val="20"/>
            </w:rPr>
            <w:t>Po</w:t>
          </w:r>
          <w:r>
            <w:rPr>
              <w:sz w:val="16"/>
              <w:szCs w:val="20"/>
            </w:rPr>
            <w:t xml:space="preserve">dczęść C — Dodatkowe obowiązki </w:t>
          </w:r>
          <w:r>
            <w:rPr>
              <w:sz w:val="16"/>
              <w:szCs w:val="20"/>
            </w:rPr>
            <w:br/>
            <w:t xml:space="preserve">operatora lotniska </w:t>
          </w:r>
          <w:r w:rsidRPr="003303E9">
            <w:rPr>
              <w:sz w:val="16"/>
              <w:szCs w:val="20"/>
            </w:rPr>
            <w:t>(ADR.</w:t>
          </w:r>
          <w:r>
            <w:rPr>
              <w:sz w:val="16"/>
              <w:szCs w:val="20"/>
            </w:rPr>
            <w:t>OR</w:t>
          </w:r>
          <w:r w:rsidRPr="003303E9">
            <w:rPr>
              <w:sz w:val="16"/>
              <w:szCs w:val="20"/>
            </w:rPr>
            <w:t>.</w:t>
          </w:r>
          <w:r>
            <w:rPr>
              <w:sz w:val="16"/>
              <w:szCs w:val="20"/>
            </w:rPr>
            <w:t>C</w:t>
          </w:r>
          <w:r w:rsidRPr="00752CFB">
            <w:rPr>
              <w:sz w:val="16"/>
              <w:szCs w:val="20"/>
            </w:rPr>
            <w:t>)</w:t>
          </w:r>
        </w:p>
      </w:tc>
    </w:tr>
  </w:tbl>
  <w:p w14:paraId="419C0E45" w14:textId="77777777" w:rsidR="003832F2" w:rsidRPr="0056474D" w:rsidRDefault="003832F2" w:rsidP="0054242C">
    <w:pPr>
      <w:spacing w:after="240" w:line="200" w:lineRule="exact"/>
      <w:rPr>
        <w:sz w:val="18"/>
        <w:szCs w:val="2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74EAAF0" w14:textId="77777777" w:rsidTr="005E2368">
      <w:tc>
        <w:tcPr>
          <w:tcW w:w="1432" w:type="pct"/>
          <w:tcMar>
            <w:bottom w:w="28" w:type="dxa"/>
          </w:tcMar>
          <w:vAlign w:val="bottom"/>
        </w:tcPr>
        <w:p w14:paraId="5DC29E3B" w14:textId="76C44F96"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642E1591" wp14:editId="56FE410D">
                <wp:extent cx="1008000" cy="338400"/>
                <wp:effectExtent l="0" t="0" r="1905" b="508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C811E42" w14:textId="3B733172" w:rsidR="003832F2" w:rsidRPr="002D0627" w:rsidRDefault="003832F2" w:rsidP="0054414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02137ECA" w14:textId="77777777" w:rsidR="003832F2" w:rsidRPr="008D4D4F" w:rsidRDefault="003832F2" w:rsidP="000E45A5">
          <w:pPr>
            <w:spacing w:after="60"/>
            <w:jc w:val="right"/>
            <w:rPr>
              <w:b/>
              <w:sz w:val="16"/>
              <w:szCs w:val="20"/>
            </w:rPr>
          </w:pPr>
          <w:r w:rsidRPr="008D4D4F">
            <w:rPr>
              <w:b/>
              <w:sz w:val="16"/>
              <w:szCs w:val="20"/>
            </w:rPr>
            <w:t>ZAŁĄCZNIK III — Część ADR.OR</w:t>
          </w:r>
        </w:p>
        <w:p w14:paraId="2C4D94B5" w14:textId="30932FF2" w:rsidR="003832F2" w:rsidRPr="002F2987" w:rsidRDefault="003832F2" w:rsidP="000E45A5">
          <w:pPr>
            <w:spacing w:after="0"/>
            <w:jc w:val="right"/>
            <w:rPr>
              <w:sz w:val="16"/>
              <w:szCs w:val="20"/>
            </w:rPr>
          </w:pPr>
          <w:r w:rsidRPr="003303E9">
            <w:rPr>
              <w:sz w:val="16"/>
              <w:szCs w:val="20"/>
            </w:rPr>
            <w:t>Po</w:t>
          </w:r>
          <w:r>
            <w:rPr>
              <w:sz w:val="16"/>
              <w:szCs w:val="20"/>
            </w:rPr>
            <w:t xml:space="preserve">dczęść C — Dodatkowe obowiązki </w:t>
          </w:r>
          <w:r>
            <w:rPr>
              <w:sz w:val="16"/>
              <w:szCs w:val="20"/>
            </w:rPr>
            <w:br/>
            <w:t xml:space="preserve">operatora lotniska </w:t>
          </w:r>
          <w:r w:rsidRPr="003303E9">
            <w:rPr>
              <w:sz w:val="16"/>
              <w:szCs w:val="20"/>
            </w:rPr>
            <w:t>(ADR.</w:t>
          </w:r>
          <w:r>
            <w:rPr>
              <w:sz w:val="16"/>
              <w:szCs w:val="20"/>
            </w:rPr>
            <w:t>OR</w:t>
          </w:r>
          <w:r w:rsidRPr="003303E9">
            <w:rPr>
              <w:sz w:val="16"/>
              <w:szCs w:val="20"/>
            </w:rPr>
            <w:t>.</w:t>
          </w:r>
          <w:r>
            <w:rPr>
              <w:sz w:val="16"/>
              <w:szCs w:val="20"/>
            </w:rPr>
            <w:t>C</w:t>
          </w:r>
          <w:r w:rsidRPr="00752CFB">
            <w:rPr>
              <w:sz w:val="16"/>
              <w:szCs w:val="20"/>
            </w:rPr>
            <w:t>)</w:t>
          </w:r>
        </w:p>
      </w:tc>
    </w:tr>
  </w:tbl>
  <w:p w14:paraId="24D1867F" w14:textId="77777777" w:rsidR="003832F2" w:rsidRPr="0054242C" w:rsidRDefault="003832F2" w:rsidP="0054242C">
    <w:pPr>
      <w:pStyle w:val="Nagwek"/>
      <w:rPr>
        <w:sz w:val="16"/>
        <w:szCs w:val="20"/>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D7F19C0" w14:textId="77777777" w:rsidTr="005E2368">
      <w:tc>
        <w:tcPr>
          <w:tcW w:w="1432" w:type="pct"/>
          <w:tcMar>
            <w:bottom w:w="28" w:type="dxa"/>
          </w:tcMar>
          <w:vAlign w:val="bottom"/>
        </w:tcPr>
        <w:p w14:paraId="6C556C63" w14:textId="50441924"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5F8550FE" wp14:editId="18811517">
                <wp:extent cx="1008000" cy="338400"/>
                <wp:effectExtent l="0" t="0" r="1905" b="508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42C05BB" w14:textId="77777777" w:rsidR="003832F2" w:rsidRPr="007F760D" w:rsidRDefault="003832F2" w:rsidP="000E45A5">
          <w:pPr>
            <w:spacing w:after="0"/>
            <w:ind w:right="113"/>
            <w:jc w:val="center"/>
            <w:rPr>
              <w:i/>
              <w:color w:val="0066CC"/>
              <w:sz w:val="16"/>
              <w:szCs w:val="20"/>
            </w:rPr>
          </w:pPr>
          <w:r w:rsidRPr="007F760D">
            <w:rPr>
              <w:i/>
              <w:color w:val="0066CC"/>
              <w:sz w:val="16"/>
              <w:szCs w:val="20"/>
            </w:rPr>
            <w:t>Łatwo Dostępne Przepisy dla Lotnisk</w:t>
          </w:r>
        </w:p>
        <w:p w14:paraId="47E4A2D6" w14:textId="77777777" w:rsidR="003832F2" w:rsidRPr="002D0627" w:rsidRDefault="003832F2" w:rsidP="00D121EC">
          <w:pPr>
            <w:spacing w:after="60"/>
            <w:ind w:right="113"/>
            <w:jc w:val="center"/>
            <w:rPr>
              <w:i/>
              <w:sz w:val="16"/>
              <w:szCs w:val="20"/>
            </w:rPr>
          </w:pPr>
          <w:r w:rsidRPr="007F760D">
            <w:rPr>
              <w:i/>
              <w:color w:val="0066CC"/>
              <w:sz w:val="16"/>
              <w:szCs w:val="20"/>
            </w:rPr>
            <w:t>(Rozporządzenie (UE) Nr 139/2014)</w:t>
          </w:r>
        </w:p>
      </w:tc>
      <w:tc>
        <w:tcPr>
          <w:tcW w:w="1812" w:type="pct"/>
          <w:vAlign w:val="bottom"/>
        </w:tcPr>
        <w:p w14:paraId="2947C5A8" w14:textId="77777777" w:rsidR="003832F2" w:rsidRPr="00544146" w:rsidRDefault="003832F2" w:rsidP="000E45A5">
          <w:pPr>
            <w:spacing w:after="60"/>
            <w:jc w:val="right"/>
            <w:rPr>
              <w:b/>
              <w:sz w:val="16"/>
              <w:szCs w:val="20"/>
            </w:rPr>
          </w:pPr>
          <w:r w:rsidRPr="00544146">
            <w:rPr>
              <w:b/>
              <w:sz w:val="16"/>
              <w:szCs w:val="20"/>
            </w:rPr>
            <w:t>ZAŁĄCZNIK III — Część ADR.OR</w:t>
          </w:r>
        </w:p>
        <w:p w14:paraId="417696AC" w14:textId="77777777" w:rsidR="003832F2" w:rsidRPr="00544146" w:rsidRDefault="003832F2" w:rsidP="000E45A5">
          <w:pPr>
            <w:spacing w:after="0"/>
            <w:jc w:val="right"/>
            <w:rPr>
              <w:b/>
              <w:sz w:val="16"/>
              <w:szCs w:val="20"/>
            </w:rPr>
          </w:pPr>
          <w:r w:rsidRPr="00544146">
            <w:rPr>
              <w:sz w:val="16"/>
              <w:szCs w:val="20"/>
            </w:rPr>
            <w:t>Podczęść D — Zarządzanie (ADR.OR.D)</w:t>
          </w:r>
        </w:p>
      </w:tc>
    </w:tr>
  </w:tbl>
  <w:p w14:paraId="660807DD" w14:textId="77777777" w:rsidR="003832F2" w:rsidRPr="0056474D" w:rsidRDefault="003832F2" w:rsidP="0054242C">
    <w:pPr>
      <w:spacing w:after="240" w:line="200" w:lineRule="exact"/>
      <w:rPr>
        <w:sz w:val="18"/>
        <w:szCs w:val="20"/>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1367FE0" w14:textId="77777777" w:rsidTr="005E2368">
      <w:tc>
        <w:tcPr>
          <w:tcW w:w="1432" w:type="pct"/>
          <w:tcMar>
            <w:bottom w:w="28" w:type="dxa"/>
          </w:tcMar>
          <w:vAlign w:val="bottom"/>
        </w:tcPr>
        <w:p w14:paraId="4F58A4F9" w14:textId="46D46BAF" w:rsidR="003832F2" w:rsidRPr="002D0627" w:rsidRDefault="003832F2" w:rsidP="000E45A5">
          <w:pPr>
            <w:spacing w:after="0"/>
            <w:jc w:val="left"/>
            <w:rPr>
              <w:sz w:val="18"/>
              <w:szCs w:val="20"/>
            </w:rPr>
          </w:pPr>
          <w:r>
            <w:rPr>
              <w:b/>
              <w:noProof/>
              <w:color w:val="0066FF"/>
              <w:sz w:val="18"/>
              <w:szCs w:val="20"/>
              <w:lang w:eastAsia="pl-PL"/>
            </w:rPr>
            <w:drawing>
              <wp:inline distT="0" distB="0" distL="0" distR="0" wp14:anchorId="5E33E766" wp14:editId="08411132">
                <wp:extent cx="1008000" cy="338400"/>
                <wp:effectExtent l="0" t="0" r="1905" b="508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859D9DD" w14:textId="497D7FD4" w:rsidR="003832F2" w:rsidRPr="002D0627" w:rsidRDefault="003832F2" w:rsidP="00D121EC">
          <w:pPr>
            <w:spacing w:after="60"/>
            <w:ind w:right="113"/>
            <w:jc w:val="center"/>
            <w:rPr>
              <w:i/>
              <w:sz w:val="16"/>
              <w:szCs w:val="20"/>
            </w:rPr>
          </w:pPr>
          <w:r w:rsidRPr="00D121EC">
            <w:rPr>
              <w:i/>
              <w:color w:val="0066CC"/>
              <w:sz w:val="16"/>
              <w:szCs w:val="20"/>
            </w:rPr>
            <w:t>Łatwo Dostępne Przepisy dla Lotnisk</w:t>
          </w:r>
          <w:r>
            <w:rPr>
              <w:i/>
              <w:color w:val="0066CC"/>
              <w:sz w:val="16"/>
              <w:szCs w:val="20"/>
            </w:rPr>
            <w:br/>
          </w:r>
          <w:r w:rsidRPr="00D121EC">
            <w:rPr>
              <w:i/>
              <w:color w:val="0066CC"/>
              <w:sz w:val="16"/>
              <w:szCs w:val="20"/>
            </w:rPr>
            <w:t>(Rozporządzenie (UE) Nr 139/2014)</w:t>
          </w:r>
        </w:p>
      </w:tc>
      <w:tc>
        <w:tcPr>
          <w:tcW w:w="1812" w:type="pct"/>
          <w:vAlign w:val="bottom"/>
        </w:tcPr>
        <w:p w14:paraId="632507B2" w14:textId="77777777" w:rsidR="003832F2" w:rsidRPr="00544146" w:rsidRDefault="003832F2" w:rsidP="000E45A5">
          <w:pPr>
            <w:spacing w:after="60"/>
            <w:jc w:val="right"/>
            <w:rPr>
              <w:b/>
              <w:sz w:val="16"/>
              <w:szCs w:val="20"/>
            </w:rPr>
          </w:pPr>
          <w:r w:rsidRPr="00544146">
            <w:rPr>
              <w:b/>
              <w:sz w:val="16"/>
              <w:szCs w:val="20"/>
            </w:rPr>
            <w:t>ZAŁĄCZNIK III — Część ADR.OR</w:t>
          </w:r>
        </w:p>
        <w:p w14:paraId="1178C551" w14:textId="40C8280A" w:rsidR="003832F2" w:rsidRPr="002F2987" w:rsidRDefault="003832F2" w:rsidP="000E45A5">
          <w:pPr>
            <w:spacing w:after="0"/>
            <w:jc w:val="right"/>
            <w:rPr>
              <w:sz w:val="16"/>
              <w:szCs w:val="20"/>
            </w:rPr>
          </w:pPr>
          <w:r w:rsidRPr="003303E9">
            <w:rPr>
              <w:sz w:val="16"/>
              <w:szCs w:val="20"/>
            </w:rPr>
            <w:t>Po</w:t>
          </w:r>
          <w:r>
            <w:rPr>
              <w:sz w:val="16"/>
              <w:szCs w:val="20"/>
            </w:rPr>
            <w:t xml:space="preserve">dczęść D — Zarządzanie </w:t>
          </w:r>
          <w:r w:rsidRPr="003303E9">
            <w:rPr>
              <w:sz w:val="16"/>
              <w:szCs w:val="20"/>
            </w:rPr>
            <w:t>(ADR.</w:t>
          </w:r>
          <w:r>
            <w:rPr>
              <w:sz w:val="16"/>
              <w:szCs w:val="20"/>
            </w:rPr>
            <w:t>OR</w:t>
          </w:r>
          <w:r w:rsidRPr="003303E9">
            <w:rPr>
              <w:sz w:val="16"/>
              <w:szCs w:val="20"/>
            </w:rPr>
            <w:t>.</w:t>
          </w:r>
          <w:r>
            <w:rPr>
              <w:sz w:val="16"/>
              <w:szCs w:val="20"/>
            </w:rPr>
            <w:t>D)</w:t>
          </w:r>
        </w:p>
      </w:tc>
    </w:tr>
  </w:tbl>
  <w:p w14:paraId="6EA17FB8" w14:textId="77777777" w:rsidR="003832F2" w:rsidRPr="0054242C" w:rsidRDefault="003832F2" w:rsidP="0054242C">
    <w:pPr>
      <w:pStyle w:val="Nagwek"/>
      <w:rPr>
        <w:sz w:val="16"/>
        <w:szCs w:val="2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1BE7D6AD" w14:textId="77777777" w:rsidTr="00807F5F">
      <w:tc>
        <w:tcPr>
          <w:tcW w:w="1432" w:type="pct"/>
          <w:tcMar>
            <w:bottom w:w="28" w:type="dxa"/>
          </w:tcMar>
          <w:vAlign w:val="bottom"/>
        </w:tcPr>
        <w:p w14:paraId="5ED89CB4" w14:textId="22A9BAEF"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64751805" wp14:editId="7B2776AB">
                <wp:extent cx="1008000" cy="338400"/>
                <wp:effectExtent l="0" t="0" r="1905" b="508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979C7F8" w14:textId="23C200EE" w:rsidR="003832F2" w:rsidRPr="002D0627" w:rsidRDefault="003832F2"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FF93DB3" w14:textId="77777777" w:rsidR="003832F2" w:rsidRPr="00544146" w:rsidRDefault="003832F2" w:rsidP="001C7EB7">
          <w:pPr>
            <w:spacing w:after="60"/>
            <w:jc w:val="right"/>
            <w:rPr>
              <w:b/>
              <w:sz w:val="16"/>
              <w:szCs w:val="20"/>
            </w:rPr>
          </w:pPr>
          <w:r w:rsidRPr="00544146">
            <w:rPr>
              <w:b/>
              <w:sz w:val="16"/>
              <w:szCs w:val="20"/>
            </w:rPr>
            <w:t>ZAŁĄCZNIK III — Część ADR.OR</w:t>
          </w:r>
        </w:p>
        <w:p w14:paraId="57C0D63D" w14:textId="77777777" w:rsidR="003832F2" w:rsidRPr="002F2987" w:rsidRDefault="003832F2" w:rsidP="001C7EB7">
          <w:pPr>
            <w:spacing w:after="0"/>
            <w:jc w:val="right"/>
            <w:rPr>
              <w:sz w:val="16"/>
              <w:szCs w:val="20"/>
            </w:rPr>
          </w:pPr>
          <w:r w:rsidRPr="003303E9">
            <w:rPr>
              <w:sz w:val="16"/>
              <w:szCs w:val="20"/>
            </w:rPr>
            <w:t>Po</w:t>
          </w:r>
          <w:r>
            <w:rPr>
              <w:sz w:val="16"/>
              <w:szCs w:val="20"/>
            </w:rPr>
            <w:t>dczęść E — Instrukcja operacyjna</w:t>
          </w:r>
          <w:r>
            <w:rPr>
              <w:sz w:val="16"/>
              <w:szCs w:val="20"/>
            </w:rPr>
            <w:br/>
            <w:t xml:space="preserve">lotniska </w:t>
          </w:r>
          <w:r w:rsidRPr="003303E9">
            <w:rPr>
              <w:sz w:val="16"/>
              <w:szCs w:val="20"/>
            </w:rPr>
            <w:t>(ADR.</w:t>
          </w:r>
          <w:r>
            <w:rPr>
              <w:sz w:val="16"/>
              <w:szCs w:val="20"/>
            </w:rPr>
            <w:t>OR</w:t>
          </w:r>
          <w:r w:rsidRPr="003303E9">
            <w:rPr>
              <w:sz w:val="16"/>
              <w:szCs w:val="20"/>
            </w:rPr>
            <w:t>.</w:t>
          </w:r>
          <w:r>
            <w:rPr>
              <w:sz w:val="16"/>
              <w:szCs w:val="20"/>
            </w:rPr>
            <w:t>E)</w:t>
          </w:r>
        </w:p>
      </w:tc>
    </w:tr>
  </w:tbl>
  <w:p w14:paraId="570AC9D9" w14:textId="77777777" w:rsidR="003832F2" w:rsidRPr="0056474D" w:rsidRDefault="003832F2" w:rsidP="001C7EB7">
    <w:pPr>
      <w:spacing w:after="0"/>
      <w:rPr>
        <w:sz w:val="18"/>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0" w:type="auto"/>
      <w:jc w:val="center"/>
      <w:tblBorders>
        <w:insideH w:val="none" w:sz="0" w:space="0" w:color="auto"/>
      </w:tblBorders>
      <w:tblCellMar>
        <w:left w:w="0" w:type="dxa"/>
        <w:bottom w:w="28" w:type="dxa"/>
        <w:right w:w="0" w:type="dxa"/>
      </w:tblCellMar>
      <w:tblLook w:val="04A0" w:firstRow="1" w:lastRow="0" w:firstColumn="1" w:lastColumn="0" w:noHBand="0" w:noVBand="1"/>
    </w:tblPr>
    <w:tblGrid>
      <w:gridCol w:w="2405"/>
      <w:gridCol w:w="3969"/>
      <w:gridCol w:w="2686"/>
    </w:tblGrid>
    <w:tr w:rsidR="003832F2" w:rsidRPr="00BC23D0" w14:paraId="7051F66C" w14:textId="77777777" w:rsidTr="00637111">
      <w:trPr>
        <w:jc w:val="center"/>
      </w:trPr>
      <w:tc>
        <w:tcPr>
          <w:tcW w:w="2405" w:type="dxa"/>
          <w:tcBorders>
            <w:top w:val="nil"/>
            <w:left w:val="nil"/>
            <w:bottom w:val="single" w:sz="12" w:space="0" w:color="0066FF"/>
            <w:right w:val="nil"/>
          </w:tcBorders>
          <w:tcMar>
            <w:bottom w:w="28" w:type="dxa"/>
          </w:tcMar>
          <w:vAlign w:val="bottom"/>
        </w:tcPr>
        <w:p w14:paraId="05E69678" w14:textId="77777777" w:rsidR="003832F2" w:rsidRPr="00BC23D0" w:rsidRDefault="003832F2" w:rsidP="00AF3775">
          <w:pPr>
            <w:spacing w:after="0"/>
            <w:jc w:val="left"/>
            <w:rPr>
              <w:b/>
              <w:color w:val="0066FF"/>
              <w:sz w:val="18"/>
              <w:szCs w:val="20"/>
            </w:rPr>
          </w:pPr>
          <w:r w:rsidRPr="00064056">
            <w:rPr>
              <w:b/>
              <w:noProof/>
              <w:color w:val="0066FF"/>
              <w:sz w:val="18"/>
              <w:szCs w:val="20"/>
              <w:lang w:eastAsia="pl-PL"/>
            </w:rPr>
            <w:drawing>
              <wp:inline distT="0" distB="0" distL="0" distR="0" wp14:anchorId="13678DE4" wp14:editId="06BB12AA">
                <wp:extent cx="831600" cy="288000"/>
                <wp:effectExtent l="0" t="0" r="6985" b="0"/>
                <wp:docPr id="6307" name="Obraz 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1600" cy="288000"/>
                        </a:xfrm>
                        <a:prstGeom prst="rect">
                          <a:avLst/>
                        </a:prstGeom>
                        <a:noFill/>
                        <a:ln>
                          <a:noFill/>
                        </a:ln>
                      </pic:spPr>
                    </pic:pic>
                  </a:graphicData>
                </a:graphic>
              </wp:inline>
            </w:drawing>
          </w:r>
        </w:p>
      </w:tc>
      <w:tc>
        <w:tcPr>
          <w:tcW w:w="3969" w:type="dxa"/>
          <w:tcBorders>
            <w:top w:val="nil"/>
            <w:left w:val="nil"/>
            <w:bottom w:val="single" w:sz="12" w:space="0" w:color="0066FF"/>
            <w:right w:val="nil"/>
          </w:tcBorders>
          <w:vAlign w:val="center"/>
        </w:tcPr>
        <w:p w14:paraId="7A2730AA" w14:textId="77777777" w:rsidR="003832F2" w:rsidRPr="0054242C" w:rsidRDefault="003832F2" w:rsidP="00AF3775">
          <w:pPr>
            <w:spacing w:after="0"/>
            <w:jc w:val="center"/>
            <w:rPr>
              <w:i/>
              <w:sz w:val="16"/>
              <w:szCs w:val="20"/>
            </w:rPr>
          </w:pPr>
          <w:r w:rsidRPr="0054242C">
            <w:rPr>
              <w:i/>
              <w:sz w:val="16"/>
              <w:szCs w:val="20"/>
            </w:rPr>
            <w:t>Przepisy UE dla lotnisk w wersji skonsolidowanej</w:t>
          </w:r>
        </w:p>
        <w:p w14:paraId="4C82D701" w14:textId="77777777" w:rsidR="003832F2" w:rsidRPr="00BC23D0" w:rsidRDefault="003832F2" w:rsidP="00AF3775">
          <w:pPr>
            <w:spacing w:after="0"/>
            <w:jc w:val="center"/>
            <w:rPr>
              <w:i/>
              <w:sz w:val="16"/>
              <w:szCs w:val="20"/>
            </w:rPr>
          </w:pPr>
          <w:r w:rsidRPr="0054242C">
            <w:rPr>
              <w:i/>
              <w:sz w:val="16"/>
              <w:szCs w:val="20"/>
            </w:rPr>
            <w:t>(Rozporządzenie (UE) nr 139/2014)</w:t>
          </w:r>
        </w:p>
      </w:tc>
      <w:tc>
        <w:tcPr>
          <w:tcW w:w="2686" w:type="dxa"/>
          <w:tcBorders>
            <w:top w:val="nil"/>
            <w:left w:val="nil"/>
            <w:bottom w:val="single" w:sz="12" w:space="0" w:color="0066FF"/>
            <w:right w:val="nil"/>
          </w:tcBorders>
          <w:vAlign w:val="center"/>
        </w:tcPr>
        <w:p w14:paraId="527F14E8" w14:textId="77777777" w:rsidR="003832F2" w:rsidRPr="008154E6" w:rsidRDefault="003832F2" w:rsidP="00AF3775">
          <w:pPr>
            <w:spacing w:after="0"/>
            <w:jc w:val="right"/>
            <w:rPr>
              <w:sz w:val="16"/>
              <w:szCs w:val="20"/>
            </w:rPr>
          </w:pPr>
          <w:r w:rsidRPr="008154E6">
            <w:rPr>
              <w:sz w:val="16"/>
              <w:szCs w:val="20"/>
            </w:rPr>
            <w:t>Spis treści</w:t>
          </w:r>
        </w:p>
      </w:tc>
    </w:tr>
  </w:tbl>
  <w:p w14:paraId="2A2E89AA" w14:textId="77777777" w:rsidR="003832F2" w:rsidRDefault="003832F2">
    <w:pPr>
      <w:pStyle w:val="Nagwek"/>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0C7ECB1" w14:textId="77777777" w:rsidTr="00807F5F">
      <w:tc>
        <w:tcPr>
          <w:tcW w:w="1432" w:type="pct"/>
          <w:tcMar>
            <w:bottom w:w="28" w:type="dxa"/>
          </w:tcMar>
          <w:vAlign w:val="bottom"/>
        </w:tcPr>
        <w:p w14:paraId="13BD69F2" w14:textId="4662DDCD"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59E3D338" wp14:editId="142AEBB4">
                <wp:extent cx="1008000" cy="338400"/>
                <wp:effectExtent l="0" t="0" r="1905" b="508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C7029A5" w14:textId="56812411" w:rsidR="003832F2" w:rsidRPr="002D0627" w:rsidRDefault="003832F2"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255FB30" w14:textId="77777777" w:rsidR="003832F2" w:rsidRPr="00544146" w:rsidRDefault="003832F2" w:rsidP="001C7EB7">
          <w:pPr>
            <w:spacing w:after="60"/>
            <w:jc w:val="right"/>
            <w:rPr>
              <w:b/>
              <w:sz w:val="16"/>
              <w:szCs w:val="20"/>
            </w:rPr>
          </w:pPr>
          <w:r w:rsidRPr="00544146">
            <w:rPr>
              <w:b/>
              <w:sz w:val="16"/>
              <w:szCs w:val="20"/>
            </w:rPr>
            <w:t>ZAŁĄCZNIK III — Część ADR.OR</w:t>
          </w:r>
        </w:p>
        <w:p w14:paraId="1AA40105" w14:textId="16B7ECAB" w:rsidR="003832F2" w:rsidRPr="002F2987" w:rsidRDefault="003832F2" w:rsidP="001C7EB7">
          <w:pPr>
            <w:spacing w:after="0"/>
            <w:jc w:val="right"/>
            <w:rPr>
              <w:sz w:val="16"/>
              <w:szCs w:val="20"/>
            </w:rPr>
          </w:pPr>
          <w:r w:rsidRPr="003303E9">
            <w:rPr>
              <w:sz w:val="16"/>
              <w:szCs w:val="20"/>
            </w:rPr>
            <w:t>Po</w:t>
          </w:r>
          <w:r>
            <w:rPr>
              <w:sz w:val="16"/>
              <w:szCs w:val="20"/>
            </w:rPr>
            <w:t>dczęść E — Instrukcja operacyjna</w:t>
          </w:r>
          <w:r>
            <w:rPr>
              <w:sz w:val="16"/>
              <w:szCs w:val="20"/>
            </w:rPr>
            <w:br/>
            <w:t xml:space="preserve">lotniska </w:t>
          </w:r>
          <w:r w:rsidRPr="003303E9">
            <w:rPr>
              <w:sz w:val="16"/>
              <w:szCs w:val="20"/>
            </w:rPr>
            <w:t>(ADR.</w:t>
          </w:r>
          <w:r>
            <w:rPr>
              <w:sz w:val="16"/>
              <w:szCs w:val="20"/>
            </w:rPr>
            <w:t>OR</w:t>
          </w:r>
          <w:r w:rsidRPr="003303E9">
            <w:rPr>
              <w:sz w:val="16"/>
              <w:szCs w:val="20"/>
            </w:rPr>
            <w:t>.</w:t>
          </w:r>
          <w:r>
            <w:rPr>
              <w:sz w:val="16"/>
              <w:szCs w:val="20"/>
            </w:rPr>
            <w:t>E)</w:t>
          </w:r>
        </w:p>
      </w:tc>
    </w:tr>
  </w:tbl>
  <w:p w14:paraId="004843D1" w14:textId="77777777" w:rsidR="003832F2" w:rsidRPr="0054242C" w:rsidRDefault="003832F2" w:rsidP="0054242C">
    <w:pPr>
      <w:pStyle w:val="Nagwek"/>
      <w:rPr>
        <w:sz w:val="16"/>
        <w:szCs w:val="20"/>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41B324BE" w14:textId="77777777" w:rsidTr="00C15454">
      <w:tc>
        <w:tcPr>
          <w:tcW w:w="1432" w:type="pct"/>
          <w:tcMar>
            <w:bottom w:w="28" w:type="dxa"/>
          </w:tcMar>
          <w:vAlign w:val="bottom"/>
        </w:tcPr>
        <w:p w14:paraId="391AAB35" w14:textId="3E9857D0"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756D9AA1" wp14:editId="08D20B0D">
                <wp:extent cx="1008000" cy="338400"/>
                <wp:effectExtent l="0" t="0" r="1905" b="508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37F25ED" w14:textId="2FDBDABD" w:rsidR="003832F2" w:rsidRPr="007F760D" w:rsidRDefault="003832F2" w:rsidP="00A41357">
          <w:pPr>
            <w:spacing w:after="60"/>
            <w:ind w:right="113"/>
            <w:jc w:val="center"/>
            <w:rPr>
              <w:i/>
              <w:color w:val="0066CC"/>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FDEC040" w14:textId="77777777" w:rsidR="003832F2" w:rsidRPr="00174189" w:rsidRDefault="003832F2" w:rsidP="001C7EB7">
          <w:pPr>
            <w:spacing w:after="60"/>
            <w:jc w:val="right"/>
            <w:rPr>
              <w:b/>
              <w:sz w:val="16"/>
              <w:szCs w:val="20"/>
            </w:rPr>
          </w:pPr>
          <w:r w:rsidRPr="00174189">
            <w:rPr>
              <w:b/>
              <w:sz w:val="16"/>
              <w:szCs w:val="20"/>
            </w:rPr>
            <w:t>ZAŁĄCZNIK IV — Część ADR.OPS</w:t>
          </w:r>
        </w:p>
        <w:p w14:paraId="7F823834" w14:textId="77777777" w:rsidR="003832F2" w:rsidRPr="002F2987" w:rsidRDefault="003832F2" w:rsidP="001C7EB7">
          <w:pPr>
            <w:spacing w:after="0"/>
            <w:jc w:val="right"/>
            <w:rPr>
              <w:sz w:val="16"/>
              <w:szCs w:val="20"/>
            </w:rPr>
          </w:pPr>
          <w:r w:rsidRPr="003303E9">
            <w:rPr>
              <w:sz w:val="16"/>
              <w:szCs w:val="20"/>
            </w:rPr>
            <w:t>Po</w:t>
          </w:r>
          <w:r>
            <w:rPr>
              <w:sz w:val="16"/>
              <w:szCs w:val="20"/>
            </w:rPr>
            <w:t>dczęść A — Dane dotyczące</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A)</w:t>
          </w:r>
        </w:p>
      </w:tc>
    </w:tr>
  </w:tbl>
  <w:p w14:paraId="11886BCE" w14:textId="77777777" w:rsidR="003832F2" w:rsidRPr="0056474D" w:rsidRDefault="003832F2" w:rsidP="001C7EB7"/>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41964991" w14:textId="77777777" w:rsidTr="00C15454">
      <w:tc>
        <w:tcPr>
          <w:tcW w:w="1432" w:type="pct"/>
          <w:tcMar>
            <w:bottom w:w="28" w:type="dxa"/>
          </w:tcMar>
          <w:vAlign w:val="bottom"/>
        </w:tcPr>
        <w:p w14:paraId="3B71A3DF" w14:textId="5CBB7022"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1DC9AABC" wp14:editId="5CA7B4BA">
                <wp:extent cx="1008000" cy="338400"/>
                <wp:effectExtent l="0" t="0" r="1905" b="508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5820471" w14:textId="20B9602A" w:rsidR="003832F2" w:rsidRPr="002D0627" w:rsidRDefault="003832F2" w:rsidP="00A41357">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2BCDDE6" w14:textId="77777777" w:rsidR="003832F2" w:rsidRPr="004E4203" w:rsidRDefault="003832F2" w:rsidP="001C7EB7">
          <w:pPr>
            <w:spacing w:after="60"/>
            <w:jc w:val="right"/>
            <w:rPr>
              <w:sz w:val="16"/>
              <w:szCs w:val="20"/>
            </w:rPr>
          </w:pPr>
          <w:r w:rsidRPr="00544146">
            <w:rPr>
              <w:b/>
              <w:sz w:val="16"/>
              <w:szCs w:val="20"/>
            </w:rPr>
            <w:t>ZAŁĄCZNIK IV — Część ADR.OPS</w:t>
          </w:r>
        </w:p>
        <w:p w14:paraId="29447056" w14:textId="3299A496" w:rsidR="003832F2" w:rsidRPr="002F2987" w:rsidRDefault="003832F2" w:rsidP="001C7EB7">
          <w:pPr>
            <w:spacing w:after="0"/>
            <w:jc w:val="right"/>
            <w:rPr>
              <w:sz w:val="16"/>
              <w:szCs w:val="20"/>
            </w:rPr>
          </w:pPr>
          <w:r w:rsidRPr="003303E9">
            <w:rPr>
              <w:sz w:val="16"/>
              <w:szCs w:val="20"/>
            </w:rPr>
            <w:t>Po</w:t>
          </w:r>
          <w:r>
            <w:rPr>
              <w:sz w:val="16"/>
              <w:szCs w:val="20"/>
            </w:rPr>
            <w:t>dczęść A — Dane dotyczące</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A)</w:t>
          </w:r>
        </w:p>
      </w:tc>
    </w:tr>
  </w:tbl>
  <w:p w14:paraId="097DBF3B" w14:textId="77777777" w:rsidR="003832F2" w:rsidRPr="0054242C" w:rsidRDefault="003832F2" w:rsidP="0054242C">
    <w:pPr>
      <w:pStyle w:val="Nagwek"/>
      <w:rPr>
        <w:sz w:val="16"/>
        <w:szCs w:val="2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75400080" w14:textId="77777777" w:rsidTr="00C15454">
      <w:tc>
        <w:tcPr>
          <w:tcW w:w="1432" w:type="pct"/>
          <w:tcMar>
            <w:bottom w:w="28" w:type="dxa"/>
          </w:tcMar>
          <w:vAlign w:val="bottom"/>
        </w:tcPr>
        <w:p w14:paraId="3136CDB8" w14:textId="39ECFDE7"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53D561CE" wp14:editId="3C160257">
                <wp:extent cx="1008000" cy="338400"/>
                <wp:effectExtent l="0" t="0" r="1905" b="508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116AC1A" w14:textId="5AB7B27B" w:rsidR="003832F2" w:rsidRPr="002D0627" w:rsidRDefault="003832F2" w:rsidP="0037528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5DD50ABB" w14:textId="77777777" w:rsidR="003832F2" w:rsidRPr="00174189" w:rsidRDefault="003832F2" w:rsidP="001C7EB7">
          <w:pPr>
            <w:spacing w:after="60"/>
            <w:jc w:val="right"/>
            <w:rPr>
              <w:b/>
              <w:sz w:val="16"/>
              <w:szCs w:val="20"/>
            </w:rPr>
          </w:pPr>
          <w:r w:rsidRPr="00174189">
            <w:rPr>
              <w:b/>
              <w:sz w:val="16"/>
              <w:szCs w:val="20"/>
            </w:rPr>
            <w:t>ZAŁĄCZNIK IV — Część ADR.OPS</w:t>
          </w:r>
        </w:p>
        <w:p w14:paraId="510984FF" w14:textId="77777777" w:rsidR="003832F2" w:rsidRPr="002F2987" w:rsidRDefault="003832F2" w:rsidP="001C7EB7">
          <w:pPr>
            <w:spacing w:after="0"/>
            <w:jc w:val="right"/>
            <w:rPr>
              <w:sz w:val="16"/>
              <w:szCs w:val="20"/>
            </w:rPr>
          </w:pPr>
          <w:r w:rsidRPr="003303E9">
            <w:rPr>
              <w:sz w:val="16"/>
              <w:szCs w:val="20"/>
            </w:rPr>
            <w:t>Po</w:t>
          </w:r>
          <w:r>
            <w:rPr>
              <w:sz w:val="16"/>
              <w:szCs w:val="20"/>
            </w:rPr>
            <w:t>dczęść B — Służby operacyjne,</w:t>
          </w:r>
          <w:r>
            <w:rPr>
              <w:sz w:val="16"/>
              <w:szCs w:val="20"/>
            </w:rPr>
            <w:br/>
            <w:t xml:space="preserve">wyposażenie i instalacje </w:t>
          </w:r>
          <w:r w:rsidRPr="003303E9">
            <w:rPr>
              <w:sz w:val="16"/>
              <w:szCs w:val="20"/>
            </w:rPr>
            <w:t>(ADR.</w:t>
          </w:r>
          <w:r>
            <w:rPr>
              <w:sz w:val="16"/>
              <w:szCs w:val="20"/>
            </w:rPr>
            <w:t>OPS</w:t>
          </w:r>
          <w:r w:rsidRPr="003303E9">
            <w:rPr>
              <w:sz w:val="16"/>
              <w:szCs w:val="20"/>
            </w:rPr>
            <w:t>.</w:t>
          </w:r>
          <w:r>
            <w:rPr>
              <w:sz w:val="16"/>
              <w:szCs w:val="20"/>
            </w:rPr>
            <w:t>B)</w:t>
          </w:r>
        </w:p>
      </w:tc>
    </w:tr>
  </w:tbl>
  <w:p w14:paraId="688AF6EB" w14:textId="77777777" w:rsidR="003832F2" w:rsidRPr="0056474D" w:rsidRDefault="003832F2" w:rsidP="001C7EB7">
    <w:pPr>
      <w:spacing w:line="200" w:lineRule="exact"/>
      <w:rPr>
        <w:sz w:val="18"/>
        <w:szCs w:val="20"/>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0B1D154" w14:textId="77777777" w:rsidTr="00C15454">
      <w:tc>
        <w:tcPr>
          <w:tcW w:w="1432" w:type="pct"/>
          <w:tcMar>
            <w:bottom w:w="28" w:type="dxa"/>
          </w:tcMar>
          <w:vAlign w:val="bottom"/>
        </w:tcPr>
        <w:p w14:paraId="7E38B4B1" w14:textId="453DF699"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752A2FC2" wp14:editId="6E77200F">
                <wp:extent cx="1008000" cy="338400"/>
                <wp:effectExtent l="0" t="0" r="1905" b="508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BEB500A" w14:textId="10F2F82E" w:rsidR="003832F2" w:rsidRPr="002D0627" w:rsidRDefault="003832F2" w:rsidP="00375286">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8544E51" w14:textId="77777777" w:rsidR="003832F2" w:rsidRPr="00174189" w:rsidRDefault="003832F2" w:rsidP="001C7EB7">
          <w:pPr>
            <w:spacing w:after="60"/>
            <w:jc w:val="right"/>
            <w:rPr>
              <w:b/>
              <w:sz w:val="16"/>
              <w:szCs w:val="20"/>
            </w:rPr>
          </w:pPr>
          <w:r w:rsidRPr="00174189">
            <w:rPr>
              <w:b/>
              <w:sz w:val="16"/>
              <w:szCs w:val="20"/>
            </w:rPr>
            <w:t>ZAŁĄCZNIK IV — Część ADR.OPS</w:t>
          </w:r>
        </w:p>
        <w:p w14:paraId="64FB8889" w14:textId="033D0559" w:rsidR="003832F2" w:rsidRPr="002F2987" w:rsidRDefault="003832F2" w:rsidP="001C7EB7">
          <w:pPr>
            <w:spacing w:after="0"/>
            <w:jc w:val="right"/>
            <w:rPr>
              <w:sz w:val="16"/>
              <w:szCs w:val="20"/>
            </w:rPr>
          </w:pPr>
          <w:r w:rsidRPr="003303E9">
            <w:rPr>
              <w:sz w:val="16"/>
              <w:szCs w:val="20"/>
            </w:rPr>
            <w:t>Po</w:t>
          </w:r>
          <w:r>
            <w:rPr>
              <w:sz w:val="16"/>
              <w:szCs w:val="20"/>
            </w:rPr>
            <w:t>dczęść B — Służby operacyjne,</w:t>
          </w:r>
          <w:r>
            <w:rPr>
              <w:sz w:val="16"/>
              <w:szCs w:val="20"/>
            </w:rPr>
            <w:br/>
            <w:t xml:space="preserve">wyposażenie i instalacje </w:t>
          </w:r>
          <w:r w:rsidRPr="003303E9">
            <w:rPr>
              <w:sz w:val="16"/>
              <w:szCs w:val="20"/>
            </w:rPr>
            <w:t>(ADR.</w:t>
          </w:r>
          <w:r>
            <w:rPr>
              <w:sz w:val="16"/>
              <w:szCs w:val="20"/>
            </w:rPr>
            <w:t>OPS</w:t>
          </w:r>
          <w:r w:rsidRPr="003303E9">
            <w:rPr>
              <w:sz w:val="16"/>
              <w:szCs w:val="20"/>
            </w:rPr>
            <w:t>.</w:t>
          </w:r>
          <w:r>
            <w:rPr>
              <w:sz w:val="16"/>
              <w:szCs w:val="20"/>
            </w:rPr>
            <w:t>B)</w:t>
          </w:r>
        </w:p>
      </w:tc>
    </w:tr>
  </w:tbl>
  <w:p w14:paraId="5CD046D4" w14:textId="77777777" w:rsidR="003832F2" w:rsidRPr="0054242C" w:rsidRDefault="003832F2" w:rsidP="000C54F7">
    <w:pPr>
      <w:pStyle w:val="Nagwek"/>
      <w:spacing w:after="0"/>
      <w:rPr>
        <w:sz w:val="16"/>
        <w:szCs w:val="20"/>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4C5E60D9" w14:textId="77777777" w:rsidTr="00C15454">
      <w:tc>
        <w:tcPr>
          <w:tcW w:w="1432" w:type="pct"/>
          <w:tcMar>
            <w:bottom w:w="28" w:type="dxa"/>
          </w:tcMar>
          <w:vAlign w:val="bottom"/>
        </w:tcPr>
        <w:p w14:paraId="0C39D13B" w14:textId="6F763BEC"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25E5CCB7" wp14:editId="7BEB453E">
                <wp:extent cx="1008000" cy="338400"/>
                <wp:effectExtent l="0" t="0" r="1905" b="508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CCC3055" w14:textId="3281D411" w:rsidR="003832F2" w:rsidRPr="002D0627" w:rsidRDefault="003832F2" w:rsidP="00A5785D">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20670DEA" w14:textId="77777777" w:rsidR="003832F2" w:rsidRPr="00091B8C" w:rsidRDefault="003832F2" w:rsidP="001C7EB7">
          <w:pPr>
            <w:spacing w:after="60"/>
            <w:jc w:val="right"/>
            <w:rPr>
              <w:b/>
              <w:sz w:val="16"/>
              <w:szCs w:val="20"/>
            </w:rPr>
          </w:pPr>
          <w:r w:rsidRPr="00091B8C">
            <w:rPr>
              <w:b/>
              <w:sz w:val="16"/>
              <w:szCs w:val="20"/>
            </w:rPr>
            <w:t>ZAŁĄCZNIK IV — Część ADR.OPS</w:t>
          </w:r>
        </w:p>
        <w:p w14:paraId="2C8D861A" w14:textId="77777777" w:rsidR="003832F2" w:rsidRPr="002F2987" w:rsidRDefault="003832F2" w:rsidP="001C7EB7">
          <w:pPr>
            <w:spacing w:after="0"/>
            <w:jc w:val="right"/>
            <w:rPr>
              <w:sz w:val="16"/>
              <w:szCs w:val="20"/>
            </w:rPr>
          </w:pPr>
          <w:r w:rsidRPr="003303E9">
            <w:rPr>
              <w:sz w:val="16"/>
              <w:szCs w:val="20"/>
            </w:rPr>
            <w:t>Po</w:t>
          </w:r>
          <w:r>
            <w:rPr>
              <w:sz w:val="16"/>
              <w:szCs w:val="20"/>
            </w:rPr>
            <w:t xml:space="preserve">dczęść C — Obsługa techniczna </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C)</w:t>
          </w:r>
        </w:p>
      </w:tc>
    </w:tr>
  </w:tbl>
  <w:p w14:paraId="2617FB95" w14:textId="77777777" w:rsidR="003832F2" w:rsidRPr="0056474D" w:rsidRDefault="003832F2" w:rsidP="0054242C">
    <w:pPr>
      <w:spacing w:after="240" w:line="200" w:lineRule="exact"/>
      <w:rPr>
        <w:sz w:val="18"/>
        <w:szCs w:val="20"/>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D10C6AC" w14:textId="77777777" w:rsidTr="00C15454">
      <w:tc>
        <w:tcPr>
          <w:tcW w:w="1432" w:type="pct"/>
          <w:tcMar>
            <w:bottom w:w="28" w:type="dxa"/>
          </w:tcMar>
          <w:vAlign w:val="bottom"/>
        </w:tcPr>
        <w:p w14:paraId="6A194C40" w14:textId="1600C50B"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3693EB5F" wp14:editId="63B97413">
                <wp:extent cx="1008000" cy="338400"/>
                <wp:effectExtent l="0" t="0" r="1905" b="508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7D3278E" w14:textId="48896F70" w:rsidR="003832F2" w:rsidRPr="002D0627" w:rsidRDefault="003832F2" w:rsidP="00A5785D">
          <w:pPr>
            <w:spacing w:after="60"/>
            <w:ind w:right="113"/>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34496B12" w14:textId="77777777" w:rsidR="003832F2" w:rsidRPr="00091B8C" w:rsidRDefault="003832F2" w:rsidP="001C7EB7">
          <w:pPr>
            <w:spacing w:after="60"/>
            <w:jc w:val="right"/>
            <w:rPr>
              <w:b/>
              <w:sz w:val="16"/>
              <w:szCs w:val="20"/>
            </w:rPr>
          </w:pPr>
          <w:r w:rsidRPr="00091B8C">
            <w:rPr>
              <w:b/>
              <w:sz w:val="16"/>
              <w:szCs w:val="20"/>
            </w:rPr>
            <w:t>ZAŁĄCZNIK IV — Część ADR.OPS</w:t>
          </w:r>
        </w:p>
        <w:p w14:paraId="1FA376C9" w14:textId="6BD0A3EB" w:rsidR="003832F2" w:rsidRPr="002F2987" w:rsidRDefault="003832F2" w:rsidP="001C7EB7">
          <w:pPr>
            <w:spacing w:after="0"/>
            <w:jc w:val="right"/>
            <w:rPr>
              <w:sz w:val="16"/>
              <w:szCs w:val="20"/>
            </w:rPr>
          </w:pPr>
          <w:r w:rsidRPr="003303E9">
            <w:rPr>
              <w:sz w:val="16"/>
              <w:szCs w:val="20"/>
            </w:rPr>
            <w:t>Po</w:t>
          </w:r>
          <w:r>
            <w:rPr>
              <w:sz w:val="16"/>
              <w:szCs w:val="20"/>
            </w:rPr>
            <w:t xml:space="preserve">dczęść C — Obsługa techniczna </w:t>
          </w:r>
          <w:r>
            <w:rPr>
              <w:sz w:val="16"/>
              <w:szCs w:val="20"/>
            </w:rPr>
            <w:br/>
            <w:t xml:space="preserve">lotniska </w:t>
          </w:r>
          <w:r w:rsidRPr="003303E9">
            <w:rPr>
              <w:sz w:val="16"/>
              <w:szCs w:val="20"/>
            </w:rPr>
            <w:t>(ADR.</w:t>
          </w:r>
          <w:r>
            <w:rPr>
              <w:sz w:val="16"/>
              <w:szCs w:val="20"/>
            </w:rPr>
            <w:t>OPS</w:t>
          </w:r>
          <w:r w:rsidRPr="003303E9">
            <w:rPr>
              <w:sz w:val="16"/>
              <w:szCs w:val="20"/>
            </w:rPr>
            <w:t>.</w:t>
          </w:r>
          <w:r>
            <w:rPr>
              <w:sz w:val="16"/>
              <w:szCs w:val="20"/>
            </w:rPr>
            <w:t>C)</w:t>
          </w:r>
        </w:p>
      </w:tc>
    </w:tr>
  </w:tbl>
  <w:p w14:paraId="7AE51AFE" w14:textId="77777777" w:rsidR="003832F2" w:rsidRPr="0054242C" w:rsidRDefault="003832F2" w:rsidP="0054242C">
    <w:pPr>
      <w:pStyle w:val="Nagwek"/>
      <w:rPr>
        <w:sz w:val="16"/>
        <w:szCs w:val="20"/>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A194100" w14:textId="77777777" w:rsidTr="00C15454">
      <w:tc>
        <w:tcPr>
          <w:tcW w:w="1432" w:type="pct"/>
          <w:tcMar>
            <w:bottom w:w="28" w:type="dxa"/>
          </w:tcMar>
          <w:vAlign w:val="bottom"/>
        </w:tcPr>
        <w:p w14:paraId="27C31CEB" w14:textId="5D96042E" w:rsidR="003832F2" w:rsidRPr="002D0627" w:rsidRDefault="003832F2" w:rsidP="003E0A66">
          <w:pPr>
            <w:spacing w:after="0"/>
            <w:jc w:val="left"/>
            <w:rPr>
              <w:sz w:val="18"/>
              <w:szCs w:val="20"/>
            </w:rPr>
          </w:pPr>
          <w:r>
            <w:rPr>
              <w:b/>
              <w:noProof/>
              <w:color w:val="0066FF"/>
              <w:sz w:val="18"/>
              <w:szCs w:val="20"/>
              <w:lang w:eastAsia="pl-PL"/>
            </w:rPr>
            <w:drawing>
              <wp:inline distT="0" distB="0" distL="0" distR="0" wp14:anchorId="5F2B3F83" wp14:editId="19306686">
                <wp:extent cx="1008000" cy="338400"/>
                <wp:effectExtent l="0" t="0" r="1905" b="508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56138A0" w14:textId="56B12DAF" w:rsidR="003832F2" w:rsidRPr="002D0627" w:rsidRDefault="003832F2" w:rsidP="008D4D4F">
          <w:pPr>
            <w:spacing w:after="60"/>
            <w:ind w:left="238"/>
            <w:jc w:val="center"/>
            <w:rPr>
              <w:i/>
              <w:sz w:val="16"/>
              <w:szCs w:val="20"/>
            </w:rPr>
          </w:pPr>
          <w:r w:rsidRPr="008D4D4F">
            <w:rPr>
              <w:i/>
              <w:color w:val="0066CC"/>
              <w:sz w:val="16"/>
              <w:szCs w:val="20"/>
            </w:rPr>
            <w:t>Łatwo Dostępne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3DC635A2" w14:textId="0EB8C25C" w:rsidR="003832F2" w:rsidRPr="00B468E0" w:rsidRDefault="003832F2" w:rsidP="003E0A66">
          <w:pPr>
            <w:spacing w:after="60"/>
            <w:jc w:val="right"/>
            <w:rPr>
              <w:sz w:val="16"/>
              <w:szCs w:val="20"/>
            </w:rPr>
          </w:pPr>
          <w:r w:rsidRPr="00B468E0">
            <w:rPr>
              <w:sz w:val="16"/>
              <w:szCs w:val="20"/>
            </w:rPr>
            <w:t>CS-ADR-DSN — Wydanie 4</w:t>
          </w:r>
        </w:p>
        <w:p w14:paraId="78045AB8" w14:textId="77777777" w:rsidR="003832F2" w:rsidRPr="002F2987" w:rsidRDefault="003832F2" w:rsidP="003E0A66">
          <w:pPr>
            <w:spacing w:after="0"/>
            <w:jc w:val="right"/>
            <w:rPr>
              <w:sz w:val="16"/>
              <w:szCs w:val="20"/>
            </w:rPr>
          </w:pPr>
          <w:r>
            <w:rPr>
              <w:sz w:val="16"/>
              <w:szCs w:val="20"/>
            </w:rPr>
            <w:t>Preambuła</w:t>
          </w:r>
        </w:p>
      </w:tc>
    </w:tr>
  </w:tbl>
  <w:p w14:paraId="7A2A6AC4" w14:textId="77777777" w:rsidR="003832F2" w:rsidRPr="001B2374" w:rsidRDefault="003832F2" w:rsidP="003E0A66">
    <w:pPr>
      <w:pStyle w:val="Bezodstpw"/>
      <w:spacing w:after="120"/>
      <w:jc w:val="left"/>
      <w:rPr>
        <w:rFonts w:ascii="Verdana" w:hAnsi="Verdana"/>
        <w:i w:val="0"/>
        <w:szCs w:val="16"/>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627225C" w14:textId="77777777" w:rsidTr="00C15454">
      <w:tc>
        <w:tcPr>
          <w:tcW w:w="1432" w:type="pct"/>
          <w:tcMar>
            <w:bottom w:w="28" w:type="dxa"/>
          </w:tcMar>
          <w:vAlign w:val="bottom"/>
        </w:tcPr>
        <w:p w14:paraId="404609F2" w14:textId="1B901AF0"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026627C2" wp14:editId="240FE44B">
                <wp:extent cx="1008000" cy="338400"/>
                <wp:effectExtent l="0" t="0" r="1905" b="508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5B85CE7" w14:textId="6D1C0BE0" w:rsidR="003832F2" w:rsidRPr="002D0627" w:rsidRDefault="003832F2" w:rsidP="008D4D4F">
          <w:pPr>
            <w:spacing w:after="60"/>
            <w:ind w:left="238"/>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63B3072D" w14:textId="5DCD2EBD" w:rsidR="003832F2" w:rsidRPr="00B468E0" w:rsidRDefault="003832F2" w:rsidP="006F51AE">
          <w:pPr>
            <w:spacing w:after="60"/>
            <w:jc w:val="right"/>
            <w:rPr>
              <w:sz w:val="16"/>
              <w:szCs w:val="20"/>
            </w:rPr>
          </w:pPr>
          <w:r w:rsidRPr="00B468E0">
            <w:rPr>
              <w:sz w:val="16"/>
              <w:szCs w:val="20"/>
            </w:rPr>
            <w:t>CS-ADR-DSN — Wydanie 4</w:t>
          </w:r>
        </w:p>
      </w:tc>
    </w:tr>
  </w:tbl>
  <w:p w14:paraId="22D0D8EA" w14:textId="77777777" w:rsidR="003832F2" w:rsidRPr="00817C77" w:rsidRDefault="003832F2" w:rsidP="00C36D76">
    <w:pPr>
      <w:pStyle w:val="Nagwek"/>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08C6236" w14:textId="77777777" w:rsidTr="00C15454">
      <w:tc>
        <w:tcPr>
          <w:tcW w:w="1432" w:type="pct"/>
          <w:tcMar>
            <w:bottom w:w="28" w:type="dxa"/>
          </w:tcMar>
          <w:vAlign w:val="bottom"/>
        </w:tcPr>
        <w:p w14:paraId="56CF8730" w14:textId="77777777" w:rsidR="003832F2" w:rsidRPr="002D0627" w:rsidRDefault="003832F2" w:rsidP="001C7EB7">
          <w:pPr>
            <w:spacing w:after="0"/>
            <w:jc w:val="left"/>
            <w:rPr>
              <w:sz w:val="18"/>
              <w:szCs w:val="20"/>
            </w:rPr>
          </w:pPr>
          <w:r>
            <w:rPr>
              <w:b/>
              <w:noProof/>
              <w:color w:val="0066FF"/>
              <w:sz w:val="18"/>
              <w:szCs w:val="20"/>
              <w:lang w:eastAsia="pl-PL"/>
            </w:rPr>
            <w:drawing>
              <wp:inline distT="0" distB="0" distL="0" distR="0" wp14:anchorId="20ECF854" wp14:editId="3DFF7CF7">
                <wp:extent cx="1008000" cy="338400"/>
                <wp:effectExtent l="0" t="0" r="1905" b="5080"/>
                <wp:docPr id="1444" name="Obraz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28221D0" w14:textId="77777777" w:rsidR="003832F2" w:rsidRPr="002D0627" w:rsidRDefault="003832F2" w:rsidP="008D4D4F">
          <w:pPr>
            <w:spacing w:after="60"/>
            <w:ind w:left="238"/>
            <w:jc w:val="center"/>
            <w:rPr>
              <w:i/>
              <w:sz w:val="16"/>
              <w:szCs w:val="20"/>
            </w:rPr>
          </w:pPr>
          <w:r w:rsidRPr="007F760D">
            <w:rPr>
              <w:i/>
              <w:color w:val="0066CC"/>
              <w:sz w:val="16"/>
              <w:szCs w:val="20"/>
            </w:rPr>
            <w:t>Łatwo Dostępne Przepisy dla Lotnisk</w:t>
          </w:r>
          <w:r>
            <w:rPr>
              <w:i/>
              <w:color w:val="0066CC"/>
              <w:sz w:val="16"/>
              <w:szCs w:val="20"/>
            </w:rPr>
            <w:br/>
          </w:r>
          <w:r w:rsidRPr="007F760D">
            <w:rPr>
              <w:i/>
              <w:color w:val="0066CC"/>
              <w:sz w:val="16"/>
              <w:szCs w:val="20"/>
            </w:rPr>
            <w:t>(Rozporządzenie (UE) Nr 139/2014)</w:t>
          </w:r>
        </w:p>
      </w:tc>
      <w:tc>
        <w:tcPr>
          <w:tcW w:w="1812" w:type="pct"/>
          <w:vAlign w:val="bottom"/>
        </w:tcPr>
        <w:p w14:paraId="05581F8D" w14:textId="77777777" w:rsidR="003832F2" w:rsidRPr="006F51AE" w:rsidRDefault="003832F2" w:rsidP="003E0A66">
          <w:pPr>
            <w:spacing w:after="60"/>
            <w:jc w:val="right"/>
            <w:rPr>
              <w:sz w:val="16"/>
              <w:szCs w:val="20"/>
            </w:rPr>
          </w:pPr>
          <w:r w:rsidRPr="006F51AE">
            <w:rPr>
              <w:sz w:val="16"/>
              <w:szCs w:val="20"/>
            </w:rPr>
            <w:t>CS-ADR-DSN — Wydanie 4</w:t>
          </w:r>
        </w:p>
        <w:p w14:paraId="20BF28C9" w14:textId="77777777" w:rsidR="003832F2" w:rsidRPr="002F2987" w:rsidRDefault="003832F2" w:rsidP="003E0A66">
          <w:pPr>
            <w:spacing w:after="0"/>
            <w:jc w:val="right"/>
            <w:rPr>
              <w:sz w:val="16"/>
              <w:szCs w:val="20"/>
            </w:rPr>
          </w:pPr>
          <w:r>
            <w:rPr>
              <w:sz w:val="16"/>
              <w:szCs w:val="20"/>
            </w:rPr>
            <w:t>Preambuła</w:t>
          </w:r>
        </w:p>
      </w:tc>
    </w:tr>
  </w:tbl>
  <w:p w14:paraId="04A09E7E" w14:textId="77777777" w:rsidR="003832F2" w:rsidRPr="00817C77" w:rsidRDefault="003832F2" w:rsidP="00C36D76">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4766"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10"/>
      <w:gridCol w:w="6936"/>
    </w:tblGrid>
    <w:tr w:rsidR="003832F2" w:rsidRPr="00752CFB" w14:paraId="24550279" w14:textId="77777777" w:rsidTr="005E2368">
      <w:tc>
        <w:tcPr>
          <w:tcW w:w="902" w:type="pct"/>
          <w:tcMar>
            <w:bottom w:w="57" w:type="dxa"/>
          </w:tcMar>
          <w:vAlign w:val="bottom"/>
        </w:tcPr>
        <w:p w14:paraId="2EFD037C" w14:textId="203DD9B5" w:rsidR="003832F2" w:rsidRPr="00BC23D0" w:rsidRDefault="003832F2" w:rsidP="009B7C7B">
          <w:pPr>
            <w:spacing w:after="0"/>
            <w:jc w:val="left"/>
            <w:rPr>
              <w:b/>
              <w:color w:val="0066FF"/>
              <w:sz w:val="18"/>
              <w:szCs w:val="20"/>
            </w:rPr>
          </w:pPr>
          <w:r>
            <w:rPr>
              <w:b/>
              <w:noProof/>
              <w:color w:val="0066FF"/>
              <w:sz w:val="18"/>
              <w:szCs w:val="20"/>
              <w:lang w:eastAsia="pl-PL"/>
            </w:rPr>
            <w:drawing>
              <wp:inline distT="0" distB="0" distL="0" distR="0" wp14:anchorId="7FD5C380" wp14:editId="2A40D9AD">
                <wp:extent cx="1080000" cy="363600"/>
                <wp:effectExtent l="0" t="0" r="635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ASA_Logo 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0000" cy="363600"/>
                        </a:xfrm>
                        <a:prstGeom prst="rect">
                          <a:avLst/>
                        </a:prstGeom>
                      </pic:spPr>
                    </pic:pic>
                  </a:graphicData>
                </a:graphic>
              </wp:inline>
            </w:drawing>
          </w:r>
        </w:p>
      </w:tc>
      <w:tc>
        <w:tcPr>
          <w:tcW w:w="4098" w:type="pct"/>
          <w:tcMar>
            <w:bottom w:w="57" w:type="dxa"/>
          </w:tcMar>
          <w:vAlign w:val="center"/>
        </w:tcPr>
        <w:p w14:paraId="2330DB2D" w14:textId="7CC43837" w:rsidR="003832F2" w:rsidRPr="00CA7055" w:rsidRDefault="003832F2" w:rsidP="00970435">
          <w:pPr>
            <w:pStyle w:val="Nagwek11"/>
            <w:spacing w:after="0"/>
            <w:jc w:val="right"/>
            <w:outlineLvl w:val="9"/>
            <w:rPr>
              <w:rFonts w:ascii="Arial" w:hAnsi="Arial" w:cs="Arial"/>
              <w:sz w:val="26"/>
              <w:szCs w:val="26"/>
            </w:rPr>
          </w:pPr>
          <w:r w:rsidRPr="00CA7055">
            <w:rPr>
              <w:rFonts w:ascii="Arial" w:hAnsi="Arial" w:cs="Arial"/>
              <w:color w:val="0066CC"/>
              <w:sz w:val="28"/>
              <w:szCs w:val="26"/>
            </w:rPr>
            <w:t>Europejska Agencja Bezpieczeństwa Lotniczego</w:t>
          </w:r>
        </w:p>
      </w:tc>
    </w:tr>
  </w:tbl>
  <w:p w14:paraId="6116CB2C" w14:textId="77777777" w:rsidR="003832F2" w:rsidRDefault="003832F2" w:rsidP="00762E5B">
    <w:pPr>
      <w:pStyle w:val="Nagwek11"/>
      <w:spacing w:before="120"/>
      <w:jc w:val="center"/>
      <w:outlineLvl w:val="9"/>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2504892" w14:textId="77777777" w:rsidTr="00C43D00">
      <w:tc>
        <w:tcPr>
          <w:tcW w:w="1432" w:type="pct"/>
          <w:tcMar>
            <w:bottom w:w="28" w:type="dxa"/>
          </w:tcMar>
          <w:vAlign w:val="bottom"/>
        </w:tcPr>
        <w:p w14:paraId="26F9FBFC" w14:textId="0A28A65C" w:rsidR="003832F2" w:rsidRPr="002D0627" w:rsidRDefault="003832F2" w:rsidP="003E0A66">
          <w:pPr>
            <w:spacing w:after="0"/>
            <w:jc w:val="left"/>
            <w:rPr>
              <w:sz w:val="18"/>
              <w:szCs w:val="20"/>
            </w:rPr>
          </w:pPr>
          <w:r>
            <w:rPr>
              <w:b/>
              <w:noProof/>
              <w:color w:val="0066FF"/>
              <w:sz w:val="18"/>
              <w:szCs w:val="20"/>
              <w:lang w:eastAsia="pl-PL"/>
            </w:rPr>
            <w:drawing>
              <wp:inline distT="0" distB="0" distL="0" distR="0" wp14:anchorId="5482D802" wp14:editId="3AA5B498">
                <wp:extent cx="1008000" cy="338400"/>
                <wp:effectExtent l="0" t="0" r="1905" b="508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A3FC7B7" w14:textId="498B4B8C" w:rsidR="003832F2" w:rsidRPr="002D0627" w:rsidRDefault="003832F2" w:rsidP="008D4D4F">
          <w:pPr>
            <w:spacing w:after="60"/>
            <w:ind w:left="238"/>
            <w:jc w:val="center"/>
            <w:rPr>
              <w:i/>
              <w:sz w:val="16"/>
              <w:szCs w:val="20"/>
            </w:rPr>
          </w:pPr>
          <w:r w:rsidRPr="008D4D4F">
            <w:rPr>
              <w:i/>
              <w:color w:val="0066CC"/>
              <w:sz w:val="16"/>
              <w:szCs w:val="20"/>
            </w:rPr>
            <w:t xml:space="preserve">Łatwo </w:t>
          </w:r>
          <w:r w:rsidRPr="00554C94">
            <w:rPr>
              <w:i/>
              <w:color w:val="0066CC"/>
              <w:sz w:val="16"/>
              <w:szCs w:val="20"/>
            </w:rPr>
            <w:t>D</w:t>
          </w:r>
          <w:r w:rsidRPr="008D4D4F">
            <w:rPr>
              <w:i/>
              <w:color w:val="0066CC"/>
              <w:sz w:val="16"/>
              <w:szCs w:val="20"/>
            </w:rPr>
            <w:t>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6DB38090" w14:textId="77777777" w:rsidR="003832F2" w:rsidRPr="000412BF" w:rsidRDefault="003832F2" w:rsidP="000412BF">
          <w:pPr>
            <w:spacing w:after="60"/>
            <w:jc w:val="right"/>
            <w:rPr>
              <w:sz w:val="16"/>
              <w:szCs w:val="20"/>
            </w:rPr>
          </w:pPr>
          <w:r w:rsidRPr="000412BF">
            <w:rPr>
              <w:sz w:val="16"/>
              <w:szCs w:val="20"/>
            </w:rPr>
            <w:t>CS-ADR-DSN — Wydanie 4</w:t>
          </w:r>
        </w:p>
        <w:p w14:paraId="73A028F6" w14:textId="1A5810C5" w:rsidR="003832F2" w:rsidRPr="002F2987" w:rsidRDefault="003832F2" w:rsidP="000412BF">
          <w:pPr>
            <w:spacing w:after="0"/>
            <w:jc w:val="right"/>
            <w:rPr>
              <w:sz w:val="16"/>
              <w:szCs w:val="20"/>
            </w:rPr>
          </w:pPr>
          <w:r>
            <w:rPr>
              <w:sz w:val="16"/>
              <w:szCs w:val="20"/>
            </w:rPr>
            <w:t>Lista skrótów</w:t>
          </w:r>
        </w:p>
      </w:tc>
    </w:tr>
  </w:tbl>
  <w:p w14:paraId="5C8FC2E3" w14:textId="77777777" w:rsidR="003832F2" w:rsidRPr="001B2374" w:rsidRDefault="003832F2" w:rsidP="001B2374">
    <w:pPr>
      <w:pStyle w:val="Bezodstpw"/>
      <w:spacing w:after="40"/>
      <w:jc w:val="left"/>
      <w:rPr>
        <w:rFonts w:ascii="Verdana" w:hAnsi="Verdana"/>
        <w:i w:val="0"/>
        <w:szCs w:val="16"/>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0412BF" w14:paraId="1F5F3BCC" w14:textId="77777777" w:rsidTr="00C43D00">
      <w:tc>
        <w:tcPr>
          <w:tcW w:w="1432" w:type="pct"/>
          <w:tcMar>
            <w:bottom w:w="28" w:type="dxa"/>
          </w:tcMar>
          <w:vAlign w:val="bottom"/>
        </w:tcPr>
        <w:p w14:paraId="597FDA11" w14:textId="51C3FBD2" w:rsidR="003832F2" w:rsidRPr="002D0627" w:rsidRDefault="003832F2" w:rsidP="003E0A66">
          <w:pPr>
            <w:spacing w:after="0"/>
            <w:jc w:val="left"/>
            <w:rPr>
              <w:sz w:val="18"/>
              <w:szCs w:val="20"/>
            </w:rPr>
          </w:pPr>
          <w:r>
            <w:rPr>
              <w:b/>
              <w:noProof/>
              <w:color w:val="0066FF"/>
              <w:sz w:val="18"/>
              <w:szCs w:val="20"/>
              <w:lang w:eastAsia="pl-PL"/>
            </w:rPr>
            <w:drawing>
              <wp:inline distT="0" distB="0" distL="0" distR="0" wp14:anchorId="66A09475" wp14:editId="396C3F4B">
                <wp:extent cx="1008000" cy="338400"/>
                <wp:effectExtent l="0" t="0" r="1905"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B0061E4" w14:textId="3C35A452" w:rsidR="003832F2" w:rsidRPr="002D0627" w:rsidRDefault="003832F2" w:rsidP="008D4D4F">
          <w:pPr>
            <w:spacing w:after="60"/>
            <w:ind w:left="238"/>
            <w:jc w:val="center"/>
            <w:rPr>
              <w:i/>
              <w:sz w:val="16"/>
              <w:szCs w:val="20"/>
            </w:rPr>
          </w:pPr>
          <w:r w:rsidRPr="008D4D4F">
            <w:rPr>
              <w:i/>
              <w:color w:val="0066CC"/>
              <w:sz w:val="16"/>
              <w:szCs w:val="20"/>
            </w:rPr>
            <w:t>Łatwo Dostępne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28B829EB" w14:textId="7EE7AE15" w:rsidR="003832F2" w:rsidRPr="000412BF" w:rsidRDefault="003832F2" w:rsidP="003E0A66">
          <w:pPr>
            <w:spacing w:after="60"/>
            <w:jc w:val="right"/>
            <w:rPr>
              <w:sz w:val="16"/>
              <w:szCs w:val="20"/>
            </w:rPr>
          </w:pPr>
          <w:r w:rsidRPr="000412BF">
            <w:rPr>
              <w:sz w:val="16"/>
              <w:szCs w:val="20"/>
            </w:rPr>
            <w:t>CS-ADR-DSN — Wydanie 4</w:t>
          </w:r>
        </w:p>
        <w:p w14:paraId="3C2CD7CA" w14:textId="3E348059" w:rsidR="003832F2" w:rsidRPr="000412BF" w:rsidRDefault="003832F2" w:rsidP="000412BF">
          <w:pPr>
            <w:spacing w:after="0"/>
            <w:jc w:val="right"/>
            <w:rPr>
              <w:sz w:val="16"/>
              <w:szCs w:val="20"/>
            </w:rPr>
          </w:pPr>
          <w:r>
            <w:rPr>
              <w:sz w:val="16"/>
              <w:szCs w:val="20"/>
            </w:rPr>
            <w:t>Lista skrótów</w:t>
          </w:r>
        </w:p>
      </w:tc>
    </w:tr>
  </w:tbl>
  <w:p w14:paraId="57F386EA" w14:textId="77777777" w:rsidR="003832F2" w:rsidRPr="00817C77" w:rsidRDefault="003832F2" w:rsidP="00C36D76">
    <w:pPr>
      <w:pStyle w:val="Nagwek"/>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6FE6D43" w14:textId="77777777" w:rsidTr="00C43D00">
      <w:tc>
        <w:tcPr>
          <w:tcW w:w="1432" w:type="pct"/>
          <w:tcMar>
            <w:bottom w:w="28" w:type="dxa"/>
          </w:tcMar>
          <w:vAlign w:val="bottom"/>
        </w:tcPr>
        <w:p w14:paraId="48312AD3" w14:textId="77777777" w:rsidR="003832F2" w:rsidRPr="002D0627" w:rsidRDefault="003832F2" w:rsidP="003E0A66">
          <w:pPr>
            <w:spacing w:after="0"/>
            <w:jc w:val="left"/>
            <w:rPr>
              <w:sz w:val="18"/>
              <w:szCs w:val="20"/>
            </w:rPr>
          </w:pPr>
          <w:r>
            <w:rPr>
              <w:b/>
              <w:noProof/>
              <w:color w:val="0066FF"/>
              <w:sz w:val="18"/>
              <w:szCs w:val="20"/>
              <w:lang w:eastAsia="pl-PL"/>
            </w:rPr>
            <w:drawing>
              <wp:inline distT="0" distB="0" distL="0" distR="0" wp14:anchorId="1C1AC62F" wp14:editId="4A31B4CB">
                <wp:extent cx="1008000" cy="338400"/>
                <wp:effectExtent l="0" t="0" r="1905" b="5080"/>
                <wp:docPr id="1448" name="Obraz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144C549" w14:textId="77777777" w:rsidR="003832F2" w:rsidRPr="002D0627" w:rsidRDefault="003832F2" w:rsidP="008D4D4F">
          <w:pPr>
            <w:spacing w:after="60"/>
            <w:ind w:left="238"/>
            <w:jc w:val="center"/>
            <w:rPr>
              <w:i/>
              <w:sz w:val="16"/>
              <w:szCs w:val="20"/>
            </w:rPr>
          </w:pPr>
          <w:r w:rsidRPr="008D4D4F">
            <w:rPr>
              <w:i/>
              <w:color w:val="0066CC"/>
              <w:sz w:val="16"/>
              <w:szCs w:val="20"/>
            </w:rPr>
            <w:t xml:space="preserve">Łatwo </w:t>
          </w:r>
          <w:r w:rsidRPr="00554C94">
            <w:rPr>
              <w:i/>
              <w:color w:val="0066CC"/>
              <w:sz w:val="16"/>
              <w:szCs w:val="20"/>
            </w:rPr>
            <w:t>D</w:t>
          </w:r>
          <w:r w:rsidRPr="008D4D4F">
            <w:rPr>
              <w:i/>
              <w:color w:val="0066CC"/>
              <w:sz w:val="16"/>
              <w:szCs w:val="20"/>
            </w:rPr>
            <w:t>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665132D2" w14:textId="77777777" w:rsidR="003832F2" w:rsidRPr="000412BF" w:rsidRDefault="003832F2" w:rsidP="000412BF">
          <w:pPr>
            <w:spacing w:after="60"/>
            <w:jc w:val="right"/>
            <w:rPr>
              <w:sz w:val="16"/>
              <w:szCs w:val="20"/>
            </w:rPr>
          </w:pPr>
          <w:r w:rsidRPr="000412BF">
            <w:rPr>
              <w:sz w:val="16"/>
              <w:szCs w:val="20"/>
            </w:rPr>
            <w:t>CS-ADR-DSN — Wydanie 4</w:t>
          </w:r>
        </w:p>
        <w:p w14:paraId="5417900F" w14:textId="095E2E60" w:rsidR="003832F2" w:rsidRPr="002F2987" w:rsidRDefault="003832F2" w:rsidP="000412BF">
          <w:pPr>
            <w:spacing w:after="0"/>
            <w:jc w:val="right"/>
            <w:rPr>
              <w:sz w:val="16"/>
              <w:szCs w:val="20"/>
            </w:rPr>
          </w:pPr>
          <w:r w:rsidRPr="000412BF">
            <w:rPr>
              <w:sz w:val="16"/>
              <w:szCs w:val="20"/>
            </w:rPr>
            <w:t>Rozdział A — Wymagania ogólne</w:t>
          </w:r>
          <w:r>
            <w:rPr>
              <w:sz w:val="16"/>
              <w:szCs w:val="20"/>
            </w:rPr>
            <w:t xml:space="preserve"> </w:t>
          </w:r>
        </w:p>
      </w:tc>
    </w:tr>
  </w:tbl>
  <w:p w14:paraId="09B266B4" w14:textId="77777777" w:rsidR="003832F2" w:rsidRPr="001B2374" w:rsidRDefault="003832F2" w:rsidP="001B2374">
    <w:pPr>
      <w:pStyle w:val="Bezodstpw"/>
      <w:spacing w:after="40"/>
      <w:jc w:val="left"/>
      <w:rPr>
        <w:rFonts w:ascii="Verdana" w:hAnsi="Verdana"/>
        <w:i w:val="0"/>
        <w:szCs w:val="16"/>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0412BF" w14:paraId="7DFA1BFC" w14:textId="77777777" w:rsidTr="00C43D00">
      <w:tc>
        <w:tcPr>
          <w:tcW w:w="1432" w:type="pct"/>
          <w:tcMar>
            <w:bottom w:w="28" w:type="dxa"/>
          </w:tcMar>
          <w:vAlign w:val="bottom"/>
        </w:tcPr>
        <w:p w14:paraId="064FE781" w14:textId="77777777" w:rsidR="003832F2" w:rsidRPr="002D0627" w:rsidRDefault="003832F2" w:rsidP="003E0A66">
          <w:pPr>
            <w:spacing w:after="0"/>
            <w:jc w:val="left"/>
            <w:rPr>
              <w:sz w:val="18"/>
              <w:szCs w:val="20"/>
            </w:rPr>
          </w:pPr>
          <w:r>
            <w:rPr>
              <w:b/>
              <w:noProof/>
              <w:color w:val="0066FF"/>
              <w:sz w:val="18"/>
              <w:szCs w:val="20"/>
              <w:lang w:eastAsia="pl-PL"/>
            </w:rPr>
            <w:drawing>
              <wp:inline distT="0" distB="0" distL="0" distR="0" wp14:anchorId="39D4E1C2" wp14:editId="36E591CA">
                <wp:extent cx="1008000" cy="338400"/>
                <wp:effectExtent l="0" t="0" r="1905" b="5080"/>
                <wp:docPr id="1447" name="Obraz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270F044" w14:textId="77777777" w:rsidR="003832F2" w:rsidRPr="002D0627" w:rsidRDefault="003832F2" w:rsidP="008D4D4F">
          <w:pPr>
            <w:spacing w:after="60"/>
            <w:ind w:left="238"/>
            <w:jc w:val="center"/>
            <w:rPr>
              <w:i/>
              <w:sz w:val="16"/>
              <w:szCs w:val="20"/>
            </w:rPr>
          </w:pPr>
          <w:r w:rsidRPr="008D4D4F">
            <w:rPr>
              <w:i/>
              <w:color w:val="0066CC"/>
              <w:sz w:val="16"/>
              <w:szCs w:val="20"/>
            </w:rPr>
            <w:t>Łatwo Dostępne Przepisy dla Lotnisk</w:t>
          </w:r>
          <w:r>
            <w:rPr>
              <w:i/>
              <w:color w:val="0066CC"/>
              <w:sz w:val="16"/>
              <w:szCs w:val="20"/>
            </w:rPr>
            <w:br/>
          </w:r>
          <w:r w:rsidRPr="008D4D4F">
            <w:rPr>
              <w:i/>
              <w:color w:val="0066CC"/>
              <w:sz w:val="16"/>
              <w:szCs w:val="20"/>
            </w:rPr>
            <w:t>(Rozporządzenie (UE) Nr 139/2014)</w:t>
          </w:r>
        </w:p>
      </w:tc>
      <w:tc>
        <w:tcPr>
          <w:tcW w:w="1812" w:type="pct"/>
          <w:vAlign w:val="bottom"/>
        </w:tcPr>
        <w:p w14:paraId="01BE4795" w14:textId="5960E854" w:rsidR="003832F2" w:rsidRPr="000412BF" w:rsidRDefault="003832F2" w:rsidP="003E0A66">
          <w:pPr>
            <w:spacing w:after="60"/>
            <w:jc w:val="right"/>
            <w:rPr>
              <w:sz w:val="16"/>
              <w:szCs w:val="20"/>
            </w:rPr>
          </w:pPr>
          <w:r w:rsidRPr="000412BF">
            <w:rPr>
              <w:sz w:val="16"/>
              <w:szCs w:val="20"/>
            </w:rPr>
            <w:t>CS-ADR-DSN — Wydanie 4</w:t>
          </w:r>
        </w:p>
        <w:p w14:paraId="7BCCE1A9" w14:textId="77777777" w:rsidR="003832F2" w:rsidRPr="000412BF" w:rsidRDefault="003832F2" w:rsidP="003E0A66">
          <w:pPr>
            <w:spacing w:after="0"/>
            <w:jc w:val="right"/>
            <w:rPr>
              <w:sz w:val="16"/>
              <w:szCs w:val="20"/>
            </w:rPr>
          </w:pPr>
          <w:r w:rsidRPr="000412BF">
            <w:rPr>
              <w:sz w:val="16"/>
              <w:szCs w:val="20"/>
            </w:rPr>
            <w:t>Rozdział A — Wymagania ogólne</w:t>
          </w:r>
        </w:p>
      </w:tc>
    </w:tr>
  </w:tbl>
  <w:p w14:paraId="7F109299" w14:textId="77777777" w:rsidR="003832F2" w:rsidRPr="00817C77" w:rsidRDefault="003832F2" w:rsidP="000412BF">
    <w:pPr>
      <w:pStyle w:val="Nagwek"/>
      <w:spacing w:after="0"/>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3D79A07" w14:textId="77777777" w:rsidTr="00C43D00">
      <w:tc>
        <w:tcPr>
          <w:tcW w:w="1432" w:type="pct"/>
          <w:tcMar>
            <w:bottom w:w="28" w:type="dxa"/>
          </w:tcMar>
          <w:vAlign w:val="bottom"/>
        </w:tcPr>
        <w:p w14:paraId="54F7572B" w14:textId="66212334"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20507283" wp14:editId="4945BF4A">
                <wp:extent cx="1008000" cy="338400"/>
                <wp:effectExtent l="0" t="0" r="1905" b="5080"/>
                <wp:docPr id="1376" name="Obraz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9A283AE" w14:textId="146E2BC1" w:rsidR="003832F2" w:rsidRPr="002D0627" w:rsidRDefault="003832F2" w:rsidP="00E5061D">
          <w:pPr>
            <w:spacing w:after="60"/>
            <w:ind w:left="96"/>
            <w:jc w:val="center"/>
            <w:rPr>
              <w:i/>
              <w:sz w:val="16"/>
              <w:szCs w:val="20"/>
            </w:rPr>
          </w:pPr>
          <w:r w:rsidRPr="00E5061D">
            <w:rPr>
              <w:i/>
              <w:color w:val="0066CC"/>
              <w:sz w:val="16"/>
              <w:szCs w:val="20"/>
            </w:rPr>
            <w:t>Łatwo Dostępne Przepisy dla Lotnisk</w:t>
          </w:r>
          <w:r>
            <w:rPr>
              <w:i/>
              <w:color w:val="0066CC"/>
              <w:sz w:val="16"/>
              <w:szCs w:val="20"/>
            </w:rPr>
            <w:br/>
          </w:r>
          <w:r w:rsidRPr="00E5061D">
            <w:rPr>
              <w:i/>
              <w:color w:val="0066CC"/>
              <w:sz w:val="16"/>
              <w:szCs w:val="20"/>
            </w:rPr>
            <w:t>(Rozporządzenie (UE) Nr 139/2014)</w:t>
          </w:r>
        </w:p>
      </w:tc>
      <w:tc>
        <w:tcPr>
          <w:tcW w:w="1812" w:type="pct"/>
          <w:vAlign w:val="bottom"/>
        </w:tcPr>
        <w:p w14:paraId="3AA25C57" w14:textId="525AACF0" w:rsidR="003832F2" w:rsidRPr="000412BF" w:rsidRDefault="003832F2" w:rsidP="005F76B4">
          <w:pPr>
            <w:spacing w:after="60"/>
            <w:jc w:val="right"/>
            <w:rPr>
              <w:sz w:val="16"/>
              <w:szCs w:val="20"/>
            </w:rPr>
          </w:pPr>
          <w:r w:rsidRPr="000412BF">
            <w:rPr>
              <w:sz w:val="16"/>
              <w:szCs w:val="20"/>
            </w:rPr>
            <w:t>CS-ADR-DSN — Wydanie 4</w:t>
          </w:r>
        </w:p>
        <w:p w14:paraId="01BD3CF1" w14:textId="77777777" w:rsidR="003832F2" w:rsidRPr="000412BF" w:rsidRDefault="003832F2" w:rsidP="005F76B4">
          <w:pPr>
            <w:spacing w:after="0"/>
            <w:jc w:val="right"/>
            <w:rPr>
              <w:sz w:val="16"/>
              <w:szCs w:val="20"/>
            </w:rPr>
          </w:pPr>
          <w:r w:rsidRPr="000412BF">
            <w:rPr>
              <w:sz w:val="16"/>
              <w:szCs w:val="20"/>
            </w:rPr>
            <w:t>Rozdział B — Drogi startowe</w:t>
          </w:r>
        </w:p>
      </w:tc>
    </w:tr>
  </w:tbl>
  <w:p w14:paraId="5E40AA58" w14:textId="77777777" w:rsidR="003832F2" w:rsidRPr="006338DB" w:rsidRDefault="003832F2" w:rsidP="00E84442"/>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AB37074" w14:textId="77777777" w:rsidTr="00C43D00">
      <w:tc>
        <w:tcPr>
          <w:tcW w:w="1432" w:type="pct"/>
          <w:tcMar>
            <w:bottom w:w="28" w:type="dxa"/>
          </w:tcMar>
          <w:vAlign w:val="bottom"/>
        </w:tcPr>
        <w:p w14:paraId="36EC4255" w14:textId="4EB429B4"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70B0B53B" wp14:editId="46258647">
                <wp:extent cx="1008000" cy="338400"/>
                <wp:effectExtent l="0" t="0" r="1905" b="5080"/>
                <wp:docPr id="1377" name="Obraz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92B5D71" w14:textId="01F91676" w:rsidR="003832F2" w:rsidRPr="002D0627" w:rsidRDefault="003832F2" w:rsidP="00E5061D">
          <w:pPr>
            <w:spacing w:after="60"/>
            <w:ind w:left="96"/>
            <w:jc w:val="center"/>
            <w:rPr>
              <w:i/>
              <w:sz w:val="16"/>
              <w:szCs w:val="20"/>
            </w:rPr>
          </w:pPr>
          <w:r w:rsidRPr="00E5061D">
            <w:rPr>
              <w:i/>
              <w:color w:val="0066CC"/>
              <w:sz w:val="16"/>
              <w:szCs w:val="20"/>
            </w:rPr>
            <w:t>Łatwo Dostępne Przepisy dla Lotnisk</w:t>
          </w:r>
          <w:r>
            <w:rPr>
              <w:i/>
              <w:color w:val="0066CC"/>
              <w:sz w:val="16"/>
              <w:szCs w:val="20"/>
            </w:rPr>
            <w:br/>
          </w:r>
          <w:r w:rsidRPr="00E5061D">
            <w:rPr>
              <w:i/>
              <w:color w:val="0066CC"/>
              <w:sz w:val="16"/>
              <w:szCs w:val="20"/>
            </w:rPr>
            <w:t>(Rozporządzenie (UE) Nr 139/2014)</w:t>
          </w:r>
        </w:p>
      </w:tc>
      <w:tc>
        <w:tcPr>
          <w:tcW w:w="1812" w:type="pct"/>
          <w:vAlign w:val="bottom"/>
        </w:tcPr>
        <w:p w14:paraId="5FAC7AE3" w14:textId="297D4518" w:rsidR="003832F2" w:rsidRPr="000412BF" w:rsidRDefault="003832F2" w:rsidP="005F76B4">
          <w:pPr>
            <w:spacing w:after="60"/>
            <w:jc w:val="right"/>
            <w:rPr>
              <w:sz w:val="16"/>
              <w:szCs w:val="20"/>
            </w:rPr>
          </w:pPr>
          <w:r w:rsidRPr="000412BF">
            <w:rPr>
              <w:sz w:val="16"/>
              <w:szCs w:val="20"/>
            </w:rPr>
            <w:t>CS-ADR-DSN — Wydanie 4</w:t>
          </w:r>
        </w:p>
        <w:p w14:paraId="76F33133" w14:textId="106DA1A2" w:rsidR="003832F2" w:rsidRPr="002F2987" w:rsidRDefault="003832F2" w:rsidP="005F76B4">
          <w:pPr>
            <w:spacing w:after="0"/>
            <w:jc w:val="right"/>
            <w:rPr>
              <w:sz w:val="16"/>
              <w:szCs w:val="20"/>
            </w:rPr>
          </w:pPr>
          <w:r>
            <w:rPr>
              <w:sz w:val="16"/>
              <w:szCs w:val="20"/>
            </w:rPr>
            <w:t>Rozdział B</w:t>
          </w:r>
          <w:r w:rsidRPr="00E84442">
            <w:rPr>
              <w:sz w:val="16"/>
              <w:szCs w:val="20"/>
            </w:rPr>
            <w:t xml:space="preserve"> — </w:t>
          </w:r>
          <w:r>
            <w:rPr>
              <w:sz w:val="16"/>
              <w:szCs w:val="20"/>
            </w:rPr>
            <w:t>Drogi startow</w:t>
          </w:r>
          <w:r w:rsidRPr="00E84442">
            <w:rPr>
              <w:sz w:val="16"/>
              <w:szCs w:val="20"/>
            </w:rPr>
            <w:t>e</w:t>
          </w:r>
        </w:p>
      </w:tc>
    </w:tr>
  </w:tbl>
  <w:p w14:paraId="6D0FC0BE" w14:textId="77777777" w:rsidR="003832F2" w:rsidRPr="00817C77" w:rsidRDefault="003832F2" w:rsidP="00C36D76">
    <w:pPr>
      <w:pStyle w:val="Nagwek"/>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7E237B6" w14:textId="77777777" w:rsidTr="00C43D00">
      <w:tc>
        <w:tcPr>
          <w:tcW w:w="1432" w:type="pct"/>
          <w:tcMar>
            <w:bottom w:w="28" w:type="dxa"/>
          </w:tcMar>
          <w:vAlign w:val="bottom"/>
        </w:tcPr>
        <w:p w14:paraId="34555CFD" w14:textId="0C33EDEF"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3F3B9F79" wp14:editId="6D61C0E4">
                <wp:extent cx="1008000" cy="338400"/>
                <wp:effectExtent l="0" t="0" r="1905" b="5080"/>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144DB0C" w14:textId="7BFC43E4" w:rsidR="003832F2" w:rsidRPr="002D0627" w:rsidRDefault="003832F2"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r w:rsidRPr="00776FD2">
            <w:rPr>
              <w:i/>
              <w:sz w:val="16"/>
              <w:szCs w:val="20"/>
            </w:rPr>
            <w:t>)</w:t>
          </w:r>
        </w:p>
      </w:tc>
      <w:tc>
        <w:tcPr>
          <w:tcW w:w="1812" w:type="pct"/>
          <w:vAlign w:val="bottom"/>
        </w:tcPr>
        <w:p w14:paraId="099443BD" w14:textId="3B693B50" w:rsidR="003832F2" w:rsidRPr="00F93629" w:rsidRDefault="003832F2" w:rsidP="005F76B4">
          <w:pPr>
            <w:spacing w:after="60"/>
            <w:jc w:val="right"/>
            <w:rPr>
              <w:sz w:val="16"/>
              <w:szCs w:val="20"/>
            </w:rPr>
          </w:pPr>
          <w:r w:rsidRPr="00F93629">
            <w:rPr>
              <w:sz w:val="16"/>
              <w:szCs w:val="20"/>
            </w:rPr>
            <w:t>CS-ADR-DSN — Wydanie 4</w:t>
          </w:r>
        </w:p>
        <w:p w14:paraId="17F75E1D" w14:textId="77777777" w:rsidR="003832F2" w:rsidRPr="002F2987" w:rsidRDefault="003832F2" w:rsidP="005F76B4">
          <w:pPr>
            <w:spacing w:after="0"/>
            <w:jc w:val="right"/>
            <w:rPr>
              <w:sz w:val="16"/>
              <w:szCs w:val="20"/>
            </w:rPr>
          </w:pPr>
          <w:r>
            <w:rPr>
              <w:sz w:val="16"/>
              <w:szCs w:val="20"/>
            </w:rPr>
            <w:t>Rozdział C</w:t>
          </w:r>
          <w:r w:rsidRPr="00E84442">
            <w:rPr>
              <w:sz w:val="16"/>
              <w:szCs w:val="20"/>
            </w:rPr>
            <w:t xml:space="preserve"> — Strefa bezpieczeństwa </w:t>
          </w:r>
          <w:r>
            <w:rPr>
              <w:sz w:val="16"/>
              <w:szCs w:val="20"/>
            </w:rPr>
            <w:br/>
          </w:r>
          <w:r w:rsidRPr="00E84442">
            <w:rPr>
              <w:sz w:val="16"/>
              <w:szCs w:val="20"/>
            </w:rPr>
            <w:t>końca drogi startowe</w:t>
          </w:r>
          <w:r>
            <w:rPr>
              <w:sz w:val="16"/>
              <w:szCs w:val="20"/>
            </w:rPr>
            <w:t>j</w:t>
          </w:r>
        </w:p>
      </w:tc>
    </w:tr>
  </w:tbl>
  <w:p w14:paraId="049336BC" w14:textId="0EDB4BF3" w:rsidR="003832F2" w:rsidRPr="00E84442" w:rsidRDefault="003832F2" w:rsidP="00E84442">
    <w:pPr>
      <w:pStyle w:val="Bezodstpw"/>
      <w:spacing w:after="40"/>
      <w:jc w:val="both"/>
      <w:rPr>
        <w:rFonts w:cstheme="minorHAnsi"/>
        <w:i w:val="0"/>
        <w:szCs w:val="16"/>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6E048110" w14:textId="77777777" w:rsidTr="00C43D00">
      <w:tc>
        <w:tcPr>
          <w:tcW w:w="1432" w:type="pct"/>
          <w:tcMar>
            <w:bottom w:w="28" w:type="dxa"/>
          </w:tcMar>
          <w:vAlign w:val="bottom"/>
        </w:tcPr>
        <w:p w14:paraId="17D9B22B" w14:textId="5EAF0600"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7B861E50" wp14:editId="6345EDFA">
                <wp:extent cx="1008000" cy="338400"/>
                <wp:effectExtent l="0" t="0" r="1905" b="508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7FF4D96" w14:textId="26C988EA" w:rsidR="003832F2" w:rsidRPr="002D0627" w:rsidRDefault="003832F2"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2" w:type="pct"/>
          <w:vAlign w:val="bottom"/>
        </w:tcPr>
        <w:p w14:paraId="68502CCF" w14:textId="7D4D6DAB" w:rsidR="003832F2" w:rsidRPr="00F93629" w:rsidRDefault="003832F2" w:rsidP="005F76B4">
          <w:pPr>
            <w:spacing w:after="60"/>
            <w:jc w:val="right"/>
            <w:rPr>
              <w:sz w:val="16"/>
              <w:szCs w:val="20"/>
            </w:rPr>
          </w:pPr>
          <w:r w:rsidRPr="00F93629">
            <w:rPr>
              <w:sz w:val="16"/>
              <w:szCs w:val="20"/>
            </w:rPr>
            <w:t xml:space="preserve">CS-ADR-DSN — Wydanie 4 </w:t>
          </w:r>
        </w:p>
        <w:p w14:paraId="66D3FFAD" w14:textId="57B9E948" w:rsidR="003832F2" w:rsidRPr="002F2987" w:rsidRDefault="003832F2" w:rsidP="005F76B4">
          <w:pPr>
            <w:spacing w:after="0"/>
            <w:jc w:val="right"/>
            <w:rPr>
              <w:sz w:val="16"/>
              <w:szCs w:val="20"/>
            </w:rPr>
          </w:pPr>
          <w:r>
            <w:rPr>
              <w:sz w:val="16"/>
              <w:szCs w:val="20"/>
            </w:rPr>
            <w:t>Rozdział C</w:t>
          </w:r>
          <w:r w:rsidRPr="00E84442">
            <w:rPr>
              <w:sz w:val="16"/>
              <w:szCs w:val="20"/>
            </w:rPr>
            <w:t xml:space="preserve"> — Strefa bezpieczeństwa </w:t>
          </w:r>
          <w:r>
            <w:rPr>
              <w:sz w:val="16"/>
              <w:szCs w:val="20"/>
            </w:rPr>
            <w:br/>
          </w:r>
          <w:r w:rsidRPr="00E84442">
            <w:rPr>
              <w:sz w:val="16"/>
              <w:szCs w:val="20"/>
            </w:rPr>
            <w:t>końca drogi startowe</w:t>
          </w:r>
          <w:r>
            <w:rPr>
              <w:sz w:val="16"/>
              <w:szCs w:val="20"/>
            </w:rPr>
            <w:t>j</w:t>
          </w:r>
        </w:p>
      </w:tc>
    </w:tr>
  </w:tbl>
  <w:p w14:paraId="45EDEE98" w14:textId="77777777" w:rsidR="003832F2" w:rsidRPr="00817C77" w:rsidRDefault="003832F2" w:rsidP="00C36D76">
    <w:pPr>
      <w:pStyle w:val="Nagwek"/>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82D93EE" w14:textId="77777777" w:rsidTr="00C43D00">
      <w:tc>
        <w:tcPr>
          <w:tcW w:w="1432" w:type="pct"/>
          <w:tcMar>
            <w:bottom w:w="28" w:type="dxa"/>
          </w:tcMar>
          <w:vAlign w:val="bottom"/>
        </w:tcPr>
        <w:p w14:paraId="13A72ECC" w14:textId="77777777"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688C7519" wp14:editId="6F752EC0">
                <wp:extent cx="1008000" cy="338400"/>
                <wp:effectExtent l="0" t="0" r="1905" b="5080"/>
                <wp:docPr id="1446" name="Obraz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FBB00E9" w14:textId="77777777" w:rsidR="003832F2" w:rsidRPr="002D0627" w:rsidRDefault="003832F2"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r w:rsidRPr="00776FD2">
            <w:rPr>
              <w:i/>
              <w:sz w:val="16"/>
              <w:szCs w:val="20"/>
            </w:rPr>
            <w:t>)</w:t>
          </w:r>
        </w:p>
      </w:tc>
      <w:tc>
        <w:tcPr>
          <w:tcW w:w="1812" w:type="pct"/>
          <w:vAlign w:val="bottom"/>
        </w:tcPr>
        <w:p w14:paraId="141E91FC" w14:textId="77777777" w:rsidR="003832F2" w:rsidRPr="00F93629" w:rsidRDefault="003832F2" w:rsidP="005F76B4">
          <w:pPr>
            <w:spacing w:after="60"/>
            <w:jc w:val="right"/>
            <w:rPr>
              <w:sz w:val="16"/>
              <w:szCs w:val="20"/>
            </w:rPr>
          </w:pPr>
          <w:r w:rsidRPr="00F93629">
            <w:rPr>
              <w:sz w:val="16"/>
              <w:szCs w:val="20"/>
            </w:rPr>
            <w:t>CS-ADR-DSN — Wydanie 4</w:t>
          </w:r>
        </w:p>
        <w:p w14:paraId="73D331E2" w14:textId="6D311B04" w:rsidR="003832F2" w:rsidRPr="002F2987" w:rsidRDefault="003832F2" w:rsidP="00D94A49">
          <w:pPr>
            <w:spacing w:after="0"/>
            <w:jc w:val="right"/>
            <w:rPr>
              <w:sz w:val="16"/>
              <w:szCs w:val="20"/>
            </w:rPr>
          </w:pPr>
          <w:r>
            <w:rPr>
              <w:sz w:val="16"/>
              <w:szCs w:val="20"/>
            </w:rPr>
            <w:t>Rozdział D</w:t>
          </w:r>
          <w:r w:rsidRPr="00E84442">
            <w:rPr>
              <w:sz w:val="16"/>
              <w:szCs w:val="20"/>
            </w:rPr>
            <w:t xml:space="preserve"> — </w:t>
          </w:r>
          <w:r>
            <w:rPr>
              <w:sz w:val="16"/>
              <w:szCs w:val="20"/>
            </w:rPr>
            <w:t>Drogi kołowania</w:t>
          </w:r>
        </w:p>
      </w:tc>
    </w:tr>
  </w:tbl>
  <w:p w14:paraId="5790C96E" w14:textId="77777777" w:rsidR="003832F2" w:rsidRPr="00E84442" w:rsidRDefault="003832F2" w:rsidP="00E84442">
    <w:pPr>
      <w:pStyle w:val="Bezodstpw"/>
      <w:spacing w:after="40"/>
      <w:jc w:val="both"/>
      <w:rPr>
        <w:rFonts w:cstheme="minorHAnsi"/>
        <w:i w:val="0"/>
        <w:szCs w:val="16"/>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27BF936B" w14:textId="77777777" w:rsidTr="00E54647">
      <w:tc>
        <w:tcPr>
          <w:tcW w:w="1432" w:type="pct"/>
          <w:tcMar>
            <w:bottom w:w="28" w:type="dxa"/>
          </w:tcMar>
          <w:vAlign w:val="bottom"/>
        </w:tcPr>
        <w:p w14:paraId="668AD732" w14:textId="77777777" w:rsidR="003832F2" w:rsidRPr="002D0627" w:rsidRDefault="003832F2" w:rsidP="005F76B4">
          <w:pPr>
            <w:spacing w:after="0"/>
            <w:jc w:val="left"/>
            <w:rPr>
              <w:sz w:val="18"/>
              <w:szCs w:val="20"/>
            </w:rPr>
          </w:pPr>
          <w:r w:rsidRPr="002D0627">
            <w:rPr>
              <w:noProof/>
              <w:sz w:val="18"/>
              <w:szCs w:val="20"/>
              <w:lang w:eastAsia="pl-PL"/>
            </w:rPr>
            <w:drawing>
              <wp:inline distT="0" distB="0" distL="0" distR="0" wp14:anchorId="0FECFF40" wp14:editId="1208EEED">
                <wp:extent cx="831600" cy="288000"/>
                <wp:effectExtent l="0" t="0" r="6985"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1600" cy="288000"/>
                        </a:xfrm>
                        <a:prstGeom prst="rect">
                          <a:avLst/>
                        </a:prstGeom>
                        <a:noFill/>
                        <a:ln>
                          <a:noFill/>
                        </a:ln>
                      </pic:spPr>
                    </pic:pic>
                  </a:graphicData>
                </a:graphic>
              </wp:inline>
            </w:drawing>
          </w:r>
        </w:p>
      </w:tc>
      <w:tc>
        <w:tcPr>
          <w:tcW w:w="1756" w:type="pct"/>
          <w:vAlign w:val="bottom"/>
        </w:tcPr>
        <w:p w14:paraId="67B10BD2" w14:textId="30240766" w:rsidR="003832F2" w:rsidRPr="002D0627" w:rsidRDefault="003832F2" w:rsidP="00B33CAE">
          <w:pPr>
            <w:spacing w:after="60"/>
            <w:ind w:left="96"/>
            <w:jc w:val="center"/>
            <w:rPr>
              <w:i/>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r w:rsidRPr="00776FD2">
            <w:rPr>
              <w:i/>
              <w:sz w:val="16"/>
              <w:szCs w:val="20"/>
            </w:rPr>
            <w:t>)</w:t>
          </w:r>
        </w:p>
      </w:tc>
      <w:tc>
        <w:tcPr>
          <w:tcW w:w="1812" w:type="pct"/>
          <w:vAlign w:val="bottom"/>
        </w:tcPr>
        <w:p w14:paraId="0E1F6284" w14:textId="7CD76E97" w:rsidR="003832F2" w:rsidRDefault="003832F2" w:rsidP="005F76B4">
          <w:pPr>
            <w:spacing w:after="60"/>
            <w:jc w:val="right"/>
            <w:rPr>
              <w:sz w:val="16"/>
              <w:szCs w:val="20"/>
            </w:rPr>
          </w:pPr>
          <w:r>
            <w:rPr>
              <w:sz w:val="16"/>
              <w:szCs w:val="20"/>
            </w:rPr>
            <w:t>C</w:t>
          </w:r>
          <w:r w:rsidRPr="00540AEF">
            <w:rPr>
              <w:sz w:val="16"/>
              <w:szCs w:val="20"/>
            </w:rPr>
            <w:t xml:space="preserve">S-ADR-DSN — Wydanie </w:t>
          </w:r>
          <w:r>
            <w:rPr>
              <w:sz w:val="16"/>
              <w:szCs w:val="20"/>
            </w:rPr>
            <w:t>4</w:t>
          </w:r>
        </w:p>
        <w:p w14:paraId="651312A8" w14:textId="77777777" w:rsidR="003832F2" w:rsidRPr="002F2987" w:rsidRDefault="003832F2" w:rsidP="005F76B4">
          <w:pPr>
            <w:spacing w:after="0"/>
            <w:jc w:val="right"/>
            <w:rPr>
              <w:sz w:val="16"/>
              <w:szCs w:val="20"/>
            </w:rPr>
          </w:pPr>
          <w:r>
            <w:rPr>
              <w:sz w:val="16"/>
              <w:szCs w:val="20"/>
            </w:rPr>
            <w:t>Rozdział D</w:t>
          </w:r>
          <w:r w:rsidRPr="00E84442">
            <w:rPr>
              <w:sz w:val="16"/>
              <w:szCs w:val="20"/>
            </w:rPr>
            <w:t xml:space="preserve"> — </w:t>
          </w:r>
          <w:r>
            <w:rPr>
              <w:sz w:val="16"/>
              <w:szCs w:val="20"/>
            </w:rPr>
            <w:t>Drogi kołowania</w:t>
          </w:r>
        </w:p>
      </w:tc>
    </w:tr>
  </w:tbl>
  <w:p w14:paraId="7B874848" w14:textId="77777777" w:rsidR="003832F2" w:rsidRPr="00817C77" w:rsidRDefault="003832F2" w:rsidP="00C36D7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752CFB" w14:paraId="318AAC2E" w14:textId="77777777" w:rsidTr="005E2368">
      <w:trPr>
        <w:jc w:val="center"/>
      </w:trPr>
      <w:tc>
        <w:tcPr>
          <w:tcW w:w="0" w:type="auto"/>
          <w:tcMar>
            <w:bottom w:w="57" w:type="dxa"/>
          </w:tcMar>
          <w:vAlign w:val="bottom"/>
        </w:tcPr>
        <w:p w14:paraId="2F741245" w14:textId="16B3C798" w:rsidR="003832F2" w:rsidRPr="00BC23D0" w:rsidRDefault="003832F2" w:rsidP="009B7C7B">
          <w:pPr>
            <w:spacing w:after="0"/>
            <w:jc w:val="left"/>
            <w:rPr>
              <w:b/>
              <w:color w:val="0066FF"/>
              <w:sz w:val="18"/>
              <w:szCs w:val="20"/>
            </w:rPr>
          </w:pPr>
          <w:r>
            <w:rPr>
              <w:b/>
              <w:noProof/>
              <w:color w:val="0066FF"/>
              <w:sz w:val="18"/>
              <w:szCs w:val="20"/>
              <w:lang w:eastAsia="pl-PL"/>
            </w:rPr>
            <w:drawing>
              <wp:inline distT="0" distB="0" distL="0" distR="0" wp14:anchorId="09FCCF97" wp14:editId="24F86EC5">
                <wp:extent cx="1008000" cy="338400"/>
                <wp:effectExtent l="0" t="0" r="1905" b="508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45C360F8" w14:textId="56511270" w:rsidR="003832F2" w:rsidRPr="00BC23D0" w:rsidRDefault="003832F2"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0E280D16" w14:textId="00B46CB8" w:rsidR="003832F2" w:rsidRPr="00832386" w:rsidRDefault="003832F2" w:rsidP="00301536">
          <w:pPr>
            <w:spacing w:after="0"/>
            <w:jc w:val="right"/>
            <w:rPr>
              <w:sz w:val="16"/>
              <w:szCs w:val="20"/>
            </w:rPr>
          </w:pPr>
        </w:p>
      </w:tc>
    </w:tr>
  </w:tbl>
  <w:p w14:paraId="288BE598" w14:textId="04E1A382" w:rsidR="003832F2" w:rsidRDefault="003832F2" w:rsidP="00E21E81">
    <w:pPr>
      <w:tabs>
        <w:tab w:val="left" w:pos="2024"/>
      </w:tabs>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1"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8"/>
    </w:tblGrid>
    <w:tr w:rsidR="003832F2" w:rsidRPr="00D94A49" w14:paraId="209B0209" w14:textId="77777777" w:rsidTr="00C43D00">
      <w:tc>
        <w:tcPr>
          <w:tcW w:w="1432" w:type="pct"/>
          <w:tcMar>
            <w:bottom w:w="28" w:type="dxa"/>
          </w:tcMar>
          <w:vAlign w:val="bottom"/>
        </w:tcPr>
        <w:p w14:paraId="64967163" w14:textId="328E563F"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198F7F70" wp14:editId="3118A948">
                <wp:extent cx="1008000" cy="338400"/>
                <wp:effectExtent l="0" t="0" r="1905" b="5080"/>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F6BC6B5" w14:textId="6744681B" w:rsidR="003832F2" w:rsidRPr="00B33CAE" w:rsidRDefault="003832F2"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14B2F349" w14:textId="217DEAEC" w:rsidR="003832F2" w:rsidRPr="00D94A49" w:rsidRDefault="003832F2" w:rsidP="005F76B4">
          <w:pPr>
            <w:spacing w:after="60"/>
            <w:jc w:val="right"/>
            <w:rPr>
              <w:sz w:val="16"/>
              <w:szCs w:val="20"/>
            </w:rPr>
          </w:pPr>
          <w:r w:rsidRPr="00D94A49">
            <w:rPr>
              <w:sz w:val="16"/>
              <w:szCs w:val="20"/>
            </w:rPr>
            <w:t>CS-ADR-DSN — Wydanie 4</w:t>
          </w:r>
        </w:p>
        <w:p w14:paraId="302BEFCB" w14:textId="77777777" w:rsidR="003832F2" w:rsidRPr="00D94A49" w:rsidRDefault="003832F2" w:rsidP="005F76B4">
          <w:pPr>
            <w:spacing w:after="0"/>
            <w:jc w:val="right"/>
            <w:rPr>
              <w:sz w:val="16"/>
              <w:szCs w:val="20"/>
            </w:rPr>
          </w:pPr>
          <w:r w:rsidRPr="00D94A49">
            <w:rPr>
              <w:sz w:val="16"/>
              <w:szCs w:val="20"/>
            </w:rPr>
            <w:t>Rozdział E — Płyty postojowe</w:t>
          </w:r>
        </w:p>
      </w:tc>
    </w:tr>
  </w:tbl>
  <w:p w14:paraId="40776F9E" w14:textId="31A52F70" w:rsidR="003832F2" w:rsidRPr="000E706F" w:rsidRDefault="003832F2" w:rsidP="000E706F">
    <w:pPr>
      <w:pStyle w:val="Nagwek"/>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1"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8"/>
    </w:tblGrid>
    <w:tr w:rsidR="003832F2" w:rsidRPr="002F2987" w14:paraId="10FDCEED" w14:textId="77777777" w:rsidTr="00C43D00">
      <w:tc>
        <w:tcPr>
          <w:tcW w:w="1432" w:type="pct"/>
          <w:tcMar>
            <w:bottom w:w="28" w:type="dxa"/>
          </w:tcMar>
          <w:vAlign w:val="bottom"/>
        </w:tcPr>
        <w:p w14:paraId="68ED3B35" w14:textId="115073B5"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5673AC96" wp14:editId="2EB0DB6C">
                <wp:extent cx="1008000" cy="338400"/>
                <wp:effectExtent l="0" t="0" r="1905" b="508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5B1C3F3" w14:textId="06CA3C6C" w:rsidR="003832F2" w:rsidRPr="00B33CAE" w:rsidRDefault="003832F2"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5FB70F20" w14:textId="1F03828A" w:rsidR="003832F2" w:rsidRPr="00D94A49" w:rsidRDefault="003832F2" w:rsidP="005F76B4">
          <w:pPr>
            <w:spacing w:after="60"/>
            <w:jc w:val="right"/>
            <w:rPr>
              <w:sz w:val="16"/>
              <w:szCs w:val="20"/>
            </w:rPr>
          </w:pPr>
          <w:r w:rsidRPr="00D94A49">
            <w:rPr>
              <w:sz w:val="16"/>
              <w:szCs w:val="20"/>
            </w:rPr>
            <w:t>CS-ADR-DSN — Wydanie 4</w:t>
          </w:r>
        </w:p>
        <w:p w14:paraId="0CCC3444" w14:textId="2883EB41" w:rsidR="003832F2" w:rsidRPr="002F2987" w:rsidRDefault="003832F2" w:rsidP="005F76B4">
          <w:pPr>
            <w:spacing w:after="0"/>
            <w:jc w:val="right"/>
            <w:rPr>
              <w:sz w:val="16"/>
              <w:szCs w:val="20"/>
            </w:rPr>
          </w:pPr>
          <w:r>
            <w:rPr>
              <w:sz w:val="16"/>
              <w:szCs w:val="20"/>
            </w:rPr>
            <w:t>Rozdział E</w:t>
          </w:r>
          <w:r w:rsidRPr="00E84442">
            <w:rPr>
              <w:sz w:val="16"/>
              <w:szCs w:val="20"/>
            </w:rPr>
            <w:t xml:space="preserve"> — </w:t>
          </w:r>
          <w:r>
            <w:rPr>
              <w:sz w:val="16"/>
              <w:szCs w:val="20"/>
            </w:rPr>
            <w:t>Płyty postojowe</w:t>
          </w:r>
        </w:p>
      </w:tc>
    </w:tr>
  </w:tbl>
  <w:p w14:paraId="002F4704" w14:textId="77777777" w:rsidR="003832F2" w:rsidRPr="00817C77" w:rsidRDefault="003832F2" w:rsidP="00C36D76">
    <w:pPr>
      <w:pStyle w:val="Nagwek"/>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43353" w14:textId="77777777" w:rsidR="003832F2" w:rsidRPr="00415F51" w:rsidRDefault="003832F2" w:rsidP="00C36D76">
    <w:pPr>
      <w:pStyle w:val="Bezodstpw"/>
      <w:spacing w:line="276" w:lineRule="auto"/>
      <w:outlineLvl w:val="0"/>
      <w:rPr>
        <w:i w:val="0"/>
        <w:szCs w:val="16"/>
      </w:rPr>
    </w:pPr>
    <w:r w:rsidRPr="00415F51">
      <w:rPr>
        <w:i w:val="0"/>
        <w:szCs w:val="16"/>
      </w:rPr>
      <w:t>CS-ADR-DSN ― CZĘŚĆ 1</w:t>
    </w:r>
  </w:p>
  <w:p w14:paraId="7E11EEF6" w14:textId="77777777" w:rsidR="003832F2" w:rsidRPr="00415F51" w:rsidRDefault="003832F2" w:rsidP="00C36D76">
    <w:pPr>
      <w:pStyle w:val="Akapitzlist"/>
      <w:spacing w:line="276" w:lineRule="auto"/>
      <w:rPr>
        <w:rFonts w:cs="Verdana"/>
        <w:bCs/>
        <w:color w:val="000000"/>
        <w:szCs w:val="16"/>
      </w:rPr>
    </w:pPr>
    <w:r>
      <w:rPr>
        <w:rStyle w:val="FontStyle91"/>
        <w:i/>
        <w:sz w:val="16"/>
        <w:szCs w:val="16"/>
      </w:rPr>
      <w:t>ROZDZIAŁ F ―</w:t>
    </w:r>
    <w:r w:rsidRPr="000A4F4B">
      <w:rPr>
        <w:rStyle w:val="FontStyle91"/>
        <w:i/>
        <w:sz w:val="16"/>
        <w:szCs w:val="16"/>
      </w:rPr>
      <w:t xml:space="preserve"> </w:t>
    </w:r>
    <w:r w:rsidRPr="000D66F8">
      <w:rPr>
        <w:rStyle w:val="FontStyle91"/>
        <w:i/>
        <w:sz w:val="16"/>
        <w:szCs w:val="16"/>
      </w:rPr>
      <w:t>ODIZOLOWAN</w:t>
    </w:r>
    <w:r>
      <w:rPr>
        <w:rStyle w:val="FontStyle91"/>
        <w:i/>
        <w:sz w:val="16"/>
        <w:szCs w:val="16"/>
      </w:rPr>
      <w:t>E</w:t>
    </w:r>
    <w:r w:rsidRPr="000D66F8">
      <w:rPr>
        <w:rStyle w:val="FontStyle91"/>
        <w:i/>
        <w:sz w:val="16"/>
        <w:szCs w:val="16"/>
      </w:rPr>
      <w:t xml:space="preserve"> STANOWISK</w:t>
    </w:r>
    <w:r>
      <w:rPr>
        <w:rStyle w:val="FontStyle91"/>
        <w:i/>
        <w:sz w:val="16"/>
        <w:szCs w:val="16"/>
      </w:rPr>
      <w:t>O</w:t>
    </w:r>
    <w:r w:rsidRPr="000D66F8">
      <w:rPr>
        <w:rStyle w:val="FontStyle91"/>
        <w:i/>
        <w:sz w:val="16"/>
        <w:szCs w:val="16"/>
      </w:rPr>
      <w:t xml:space="preserve"> POSTOJU STATKU POWIETRZNEGO</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30C01B27" w14:textId="77777777" w:rsidTr="006B783E">
      <w:tc>
        <w:tcPr>
          <w:tcW w:w="1432" w:type="pct"/>
          <w:tcMar>
            <w:bottom w:w="28" w:type="dxa"/>
          </w:tcMar>
          <w:vAlign w:val="bottom"/>
        </w:tcPr>
        <w:p w14:paraId="4AF197A1" w14:textId="7EB473C0"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6BC991AC" wp14:editId="2EE65651">
                <wp:extent cx="1008000" cy="338400"/>
                <wp:effectExtent l="0" t="0" r="1905" b="508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067795A" w14:textId="0F77B218" w:rsidR="003832F2" w:rsidRPr="00B33CAE" w:rsidRDefault="003832F2"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2CA75B7F" w14:textId="79D5BA74" w:rsidR="003832F2" w:rsidRPr="00D94A49" w:rsidRDefault="003832F2" w:rsidP="005F76B4">
          <w:pPr>
            <w:spacing w:after="60"/>
            <w:jc w:val="right"/>
            <w:rPr>
              <w:sz w:val="16"/>
              <w:szCs w:val="20"/>
            </w:rPr>
          </w:pPr>
          <w:r w:rsidRPr="00D94A49">
            <w:rPr>
              <w:sz w:val="16"/>
              <w:szCs w:val="20"/>
            </w:rPr>
            <w:t>CS-ADR-DSN — Wydanie 4</w:t>
          </w:r>
        </w:p>
        <w:p w14:paraId="2B6DDCE6" w14:textId="1407BF68" w:rsidR="003832F2" w:rsidRPr="002F2987" w:rsidRDefault="003832F2" w:rsidP="005F76B4">
          <w:pPr>
            <w:spacing w:after="0"/>
            <w:jc w:val="right"/>
            <w:rPr>
              <w:sz w:val="16"/>
              <w:szCs w:val="20"/>
            </w:rPr>
          </w:pPr>
          <w:r>
            <w:rPr>
              <w:sz w:val="16"/>
              <w:szCs w:val="20"/>
            </w:rPr>
            <w:t>Rozdział F</w:t>
          </w:r>
          <w:r w:rsidRPr="00E84442">
            <w:rPr>
              <w:sz w:val="16"/>
              <w:szCs w:val="20"/>
            </w:rPr>
            <w:t xml:space="preserve"> — </w:t>
          </w:r>
          <w:r w:rsidRPr="000E706F">
            <w:rPr>
              <w:sz w:val="16"/>
              <w:szCs w:val="20"/>
            </w:rPr>
            <w:t xml:space="preserve">Odizolowane stanowisko </w:t>
          </w:r>
          <w:r>
            <w:rPr>
              <w:sz w:val="16"/>
              <w:szCs w:val="20"/>
            </w:rPr>
            <w:br/>
          </w:r>
          <w:r w:rsidRPr="000E706F">
            <w:rPr>
              <w:sz w:val="16"/>
              <w:szCs w:val="20"/>
            </w:rPr>
            <w:t>postoju statku powietrzneg</w:t>
          </w:r>
          <w:r>
            <w:rPr>
              <w:sz w:val="16"/>
              <w:szCs w:val="20"/>
            </w:rPr>
            <w:t>o</w:t>
          </w:r>
        </w:p>
      </w:tc>
    </w:tr>
  </w:tbl>
  <w:p w14:paraId="2AA77E84" w14:textId="77777777" w:rsidR="003832F2" w:rsidRPr="00817C77" w:rsidRDefault="003832F2" w:rsidP="00C36D76">
    <w:pPr>
      <w:pStyle w:val="Nagwek"/>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9E50753" w14:textId="77777777" w:rsidTr="006B783E">
      <w:tc>
        <w:tcPr>
          <w:tcW w:w="1432" w:type="pct"/>
          <w:tcMar>
            <w:bottom w:w="28" w:type="dxa"/>
          </w:tcMar>
          <w:vAlign w:val="bottom"/>
        </w:tcPr>
        <w:p w14:paraId="1A6A1DFC" w14:textId="0C5F0BE2"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35578530" wp14:editId="799D6318">
                <wp:extent cx="1008000" cy="338400"/>
                <wp:effectExtent l="0" t="0" r="1905" b="508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2C68C58" w14:textId="57923576"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0602CFEF" w14:textId="32B4D055" w:rsidR="003832F2" w:rsidRPr="00D94A49" w:rsidRDefault="003832F2" w:rsidP="005F76B4">
          <w:pPr>
            <w:spacing w:after="60"/>
            <w:jc w:val="right"/>
            <w:rPr>
              <w:sz w:val="16"/>
              <w:szCs w:val="20"/>
            </w:rPr>
          </w:pPr>
          <w:r w:rsidRPr="00D94A49">
            <w:rPr>
              <w:sz w:val="16"/>
              <w:szCs w:val="20"/>
            </w:rPr>
            <w:t>CS-ADR-DSN — Wydanie 4</w:t>
          </w:r>
        </w:p>
        <w:p w14:paraId="34EFADA3" w14:textId="77777777" w:rsidR="003832F2" w:rsidRPr="002F2987" w:rsidRDefault="003832F2" w:rsidP="005F76B4">
          <w:pPr>
            <w:spacing w:after="0"/>
            <w:jc w:val="right"/>
            <w:rPr>
              <w:sz w:val="16"/>
              <w:szCs w:val="20"/>
            </w:rPr>
          </w:pPr>
          <w:r>
            <w:rPr>
              <w:sz w:val="16"/>
              <w:szCs w:val="20"/>
            </w:rPr>
            <w:t>Rozdział G</w:t>
          </w:r>
          <w:r w:rsidRPr="00E84442">
            <w:rPr>
              <w:sz w:val="16"/>
              <w:szCs w:val="20"/>
            </w:rPr>
            <w:t xml:space="preserve"> — </w:t>
          </w:r>
          <w:r w:rsidRPr="000E706F">
            <w:rPr>
              <w:sz w:val="16"/>
              <w:szCs w:val="20"/>
            </w:rPr>
            <w:t>Stanowisk</w:t>
          </w:r>
          <w:r>
            <w:rPr>
              <w:sz w:val="16"/>
              <w:szCs w:val="20"/>
            </w:rPr>
            <w:t>o</w:t>
          </w:r>
          <w:r w:rsidRPr="000E706F">
            <w:rPr>
              <w:sz w:val="16"/>
              <w:szCs w:val="20"/>
            </w:rPr>
            <w:t xml:space="preserve"> do odladzania</w:t>
          </w:r>
          <w:r>
            <w:rPr>
              <w:sz w:val="16"/>
              <w:szCs w:val="20"/>
            </w:rPr>
            <w:t> </w:t>
          </w:r>
          <w:r w:rsidRPr="000E706F">
            <w:rPr>
              <w:sz w:val="16"/>
              <w:szCs w:val="20"/>
            </w:rPr>
            <w:t>/</w:t>
          </w:r>
          <w:r>
            <w:rPr>
              <w:sz w:val="16"/>
              <w:szCs w:val="20"/>
            </w:rPr>
            <w:br/>
          </w:r>
          <w:r w:rsidRPr="000E706F">
            <w:rPr>
              <w:sz w:val="16"/>
              <w:szCs w:val="20"/>
            </w:rPr>
            <w:t>przeciwdziałania oblodzeniu</w:t>
          </w:r>
        </w:p>
      </w:tc>
    </w:tr>
  </w:tbl>
  <w:p w14:paraId="5DAEAA60" w14:textId="57F5A85F" w:rsidR="003832F2" w:rsidRPr="00870EA7" w:rsidRDefault="003832F2" w:rsidP="00870EA7">
    <w:pPr>
      <w:pStyle w:val="Bezodstpw"/>
      <w:spacing w:after="40"/>
      <w:jc w:val="both"/>
      <w:rPr>
        <w:rFonts w:ascii="Verdana" w:hAnsi="Verdana"/>
        <w:i w:val="0"/>
        <w:szCs w:val="16"/>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1AA8B5A" w14:textId="77777777" w:rsidTr="006B783E">
      <w:tc>
        <w:tcPr>
          <w:tcW w:w="1432" w:type="pct"/>
          <w:tcMar>
            <w:bottom w:w="28" w:type="dxa"/>
          </w:tcMar>
          <w:vAlign w:val="bottom"/>
        </w:tcPr>
        <w:p w14:paraId="087308EC" w14:textId="2E762F24"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06FB3380" wp14:editId="6DF36A8C">
                <wp:extent cx="1008000" cy="338400"/>
                <wp:effectExtent l="0" t="0" r="1905" b="508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312A7D5" w14:textId="4BBF344E" w:rsidR="003832F2" w:rsidRPr="00B33CAE" w:rsidRDefault="003832F2" w:rsidP="00B33CAE">
          <w:pPr>
            <w:spacing w:after="60"/>
            <w:ind w:left="96"/>
            <w:jc w:val="center"/>
            <w:rPr>
              <w:i/>
              <w:color w:val="0066CC"/>
              <w:sz w:val="16"/>
              <w:szCs w:val="20"/>
            </w:rPr>
          </w:pPr>
          <w:r w:rsidRPr="00B33CAE">
            <w:rPr>
              <w:i/>
              <w:color w:val="0066CC"/>
              <w:sz w:val="16"/>
              <w:szCs w:val="20"/>
            </w:rPr>
            <w:t>Łatwo Dostępne Przepisy dla Lotnisk</w:t>
          </w:r>
          <w:r>
            <w:rPr>
              <w:i/>
              <w:color w:val="0066CC"/>
              <w:sz w:val="16"/>
              <w:szCs w:val="20"/>
            </w:rPr>
            <w:br/>
          </w:r>
          <w:r w:rsidRPr="00B33CAE">
            <w:rPr>
              <w:i/>
              <w:color w:val="0066CC"/>
              <w:sz w:val="16"/>
              <w:szCs w:val="20"/>
            </w:rPr>
            <w:t>(Rozporządzenie (UE) Nr 139/2014)</w:t>
          </w:r>
        </w:p>
      </w:tc>
      <w:tc>
        <w:tcPr>
          <w:tcW w:w="1813" w:type="pct"/>
          <w:vAlign w:val="bottom"/>
        </w:tcPr>
        <w:p w14:paraId="1DBD64E8" w14:textId="632B0AEB" w:rsidR="003832F2" w:rsidRPr="00D94A49" w:rsidRDefault="003832F2" w:rsidP="005F76B4">
          <w:pPr>
            <w:spacing w:after="60"/>
            <w:jc w:val="right"/>
            <w:rPr>
              <w:sz w:val="16"/>
              <w:szCs w:val="20"/>
            </w:rPr>
          </w:pPr>
          <w:r w:rsidRPr="00D94A49">
            <w:rPr>
              <w:sz w:val="16"/>
              <w:szCs w:val="20"/>
            </w:rPr>
            <w:t>CS-ADR-DSN — Wydanie 4</w:t>
          </w:r>
        </w:p>
        <w:p w14:paraId="05D4D98C" w14:textId="0F2FA8F6" w:rsidR="003832F2" w:rsidRPr="002F2987" w:rsidRDefault="003832F2" w:rsidP="005F76B4">
          <w:pPr>
            <w:spacing w:after="0"/>
            <w:jc w:val="right"/>
            <w:rPr>
              <w:sz w:val="16"/>
              <w:szCs w:val="20"/>
            </w:rPr>
          </w:pPr>
          <w:r>
            <w:rPr>
              <w:sz w:val="16"/>
              <w:szCs w:val="20"/>
            </w:rPr>
            <w:t>Rozdział G</w:t>
          </w:r>
          <w:r w:rsidRPr="00E84442">
            <w:rPr>
              <w:sz w:val="16"/>
              <w:szCs w:val="20"/>
            </w:rPr>
            <w:t xml:space="preserve"> — </w:t>
          </w:r>
          <w:r w:rsidRPr="000E706F">
            <w:rPr>
              <w:sz w:val="16"/>
              <w:szCs w:val="20"/>
            </w:rPr>
            <w:t>Stanowisk</w:t>
          </w:r>
          <w:r>
            <w:rPr>
              <w:sz w:val="16"/>
              <w:szCs w:val="20"/>
            </w:rPr>
            <w:t>o</w:t>
          </w:r>
          <w:r w:rsidRPr="000E706F">
            <w:rPr>
              <w:sz w:val="16"/>
              <w:szCs w:val="20"/>
            </w:rPr>
            <w:t xml:space="preserve"> do odladzania</w:t>
          </w:r>
          <w:r>
            <w:rPr>
              <w:sz w:val="16"/>
              <w:szCs w:val="20"/>
            </w:rPr>
            <w:t> </w:t>
          </w:r>
          <w:r w:rsidRPr="000E706F">
            <w:rPr>
              <w:sz w:val="16"/>
              <w:szCs w:val="20"/>
            </w:rPr>
            <w:t>/</w:t>
          </w:r>
          <w:r>
            <w:rPr>
              <w:sz w:val="16"/>
              <w:szCs w:val="20"/>
            </w:rPr>
            <w:br/>
          </w:r>
          <w:r w:rsidRPr="000E706F">
            <w:rPr>
              <w:sz w:val="16"/>
              <w:szCs w:val="20"/>
            </w:rPr>
            <w:t>przeciwdziałania oblodzeniu</w:t>
          </w:r>
        </w:p>
      </w:tc>
    </w:tr>
  </w:tbl>
  <w:p w14:paraId="5827324E" w14:textId="77777777" w:rsidR="003832F2" w:rsidRPr="00817C77" w:rsidRDefault="003832F2" w:rsidP="00C36D76">
    <w:pPr>
      <w:pStyle w:val="Nagwek"/>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16BF3E7D" w14:textId="77777777" w:rsidTr="006B783E">
      <w:tc>
        <w:tcPr>
          <w:tcW w:w="1432" w:type="pct"/>
          <w:tcMar>
            <w:bottom w:w="28" w:type="dxa"/>
          </w:tcMar>
          <w:vAlign w:val="bottom"/>
        </w:tcPr>
        <w:p w14:paraId="2367F453" w14:textId="732AFA97"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52DC56E2" wp14:editId="69FE08D2">
                <wp:extent cx="1008000" cy="338400"/>
                <wp:effectExtent l="0" t="0" r="1905" b="508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AF566B7" w14:textId="61D53C50"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2" w:type="pct"/>
          <w:vAlign w:val="bottom"/>
        </w:tcPr>
        <w:p w14:paraId="43724B41" w14:textId="51199D68" w:rsidR="003832F2" w:rsidRPr="00D94A49" w:rsidRDefault="003832F2" w:rsidP="00521422">
          <w:pPr>
            <w:spacing w:after="60"/>
            <w:jc w:val="right"/>
            <w:rPr>
              <w:sz w:val="16"/>
              <w:szCs w:val="20"/>
            </w:rPr>
          </w:pPr>
          <w:r w:rsidRPr="00D94A49">
            <w:rPr>
              <w:sz w:val="16"/>
              <w:szCs w:val="20"/>
            </w:rPr>
            <w:t>CS-ADR-DSN — Wydanie 4</w:t>
          </w:r>
        </w:p>
        <w:p w14:paraId="12BDCF1D" w14:textId="45745D28" w:rsidR="003832F2" w:rsidRPr="002F2987" w:rsidRDefault="003832F2" w:rsidP="00521422">
          <w:pPr>
            <w:spacing w:after="0"/>
            <w:jc w:val="right"/>
            <w:rPr>
              <w:sz w:val="16"/>
              <w:szCs w:val="20"/>
            </w:rPr>
          </w:pPr>
          <w:r>
            <w:rPr>
              <w:sz w:val="16"/>
              <w:szCs w:val="20"/>
            </w:rPr>
            <w:t>Rozdział H</w:t>
          </w:r>
          <w:r w:rsidRPr="00E84442">
            <w:rPr>
              <w:sz w:val="16"/>
              <w:szCs w:val="20"/>
            </w:rPr>
            <w:t xml:space="preserve"> — </w:t>
          </w:r>
          <w:r w:rsidRPr="00870EA7">
            <w:rPr>
              <w:sz w:val="16"/>
              <w:szCs w:val="20"/>
            </w:rPr>
            <w:t>Powierzchnie</w:t>
          </w:r>
          <w:r>
            <w:rPr>
              <w:sz w:val="16"/>
              <w:szCs w:val="20"/>
            </w:rPr>
            <w:t xml:space="preserve"> </w:t>
          </w:r>
          <w:r w:rsidRPr="00870EA7">
            <w:rPr>
              <w:sz w:val="16"/>
              <w:szCs w:val="20"/>
            </w:rPr>
            <w:t>ograniczające</w:t>
          </w:r>
          <w:r>
            <w:rPr>
              <w:sz w:val="16"/>
              <w:szCs w:val="20"/>
            </w:rPr>
            <w:t xml:space="preserve"> </w:t>
          </w:r>
          <w:r w:rsidRPr="00870EA7">
            <w:rPr>
              <w:sz w:val="16"/>
              <w:szCs w:val="20"/>
            </w:rPr>
            <w:t>przeszkody</w:t>
          </w:r>
        </w:p>
      </w:tc>
    </w:tr>
  </w:tbl>
  <w:p w14:paraId="7CA3855B" w14:textId="77777777" w:rsidR="003832F2" w:rsidRPr="00870EA7" w:rsidRDefault="003832F2" w:rsidP="00870EA7">
    <w:pPr>
      <w:pStyle w:val="Bezodstpw"/>
      <w:spacing w:after="40"/>
      <w:jc w:val="both"/>
      <w:rPr>
        <w:rFonts w:ascii="Verdana" w:hAnsi="Verdana"/>
        <w:i w:val="0"/>
        <w:szCs w:val="16"/>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4868E8B" w14:textId="77777777" w:rsidTr="006B783E">
      <w:tc>
        <w:tcPr>
          <w:tcW w:w="1432" w:type="pct"/>
          <w:tcMar>
            <w:bottom w:w="28" w:type="dxa"/>
          </w:tcMar>
          <w:vAlign w:val="bottom"/>
        </w:tcPr>
        <w:p w14:paraId="33F61F1A" w14:textId="66CEDBAB" w:rsidR="003832F2" w:rsidRPr="002D0627" w:rsidRDefault="003832F2" w:rsidP="005F76B4">
          <w:pPr>
            <w:spacing w:after="0"/>
            <w:jc w:val="left"/>
            <w:rPr>
              <w:sz w:val="18"/>
              <w:szCs w:val="20"/>
            </w:rPr>
          </w:pPr>
          <w:r>
            <w:rPr>
              <w:b/>
              <w:noProof/>
              <w:color w:val="0066FF"/>
              <w:sz w:val="18"/>
              <w:szCs w:val="20"/>
              <w:lang w:eastAsia="pl-PL"/>
            </w:rPr>
            <w:drawing>
              <wp:inline distT="0" distB="0" distL="0" distR="0" wp14:anchorId="28CE18B2" wp14:editId="05963BE2">
                <wp:extent cx="1008000" cy="338400"/>
                <wp:effectExtent l="0" t="0" r="1905" b="508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C529718" w14:textId="0ADD5C9F"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77B33EE" w14:textId="47ECCFF2" w:rsidR="003832F2" w:rsidRPr="00D94A49" w:rsidRDefault="003832F2" w:rsidP="005F76B4">
          <w:pPr>
            <w:spacing w:after="60"/>
            <w:jc w:val="right"/>
            <w:rPr>
              <w:sz w:val="16"/>
              <w:szCs w:val="20"/>
            </w:rPr>
          </w:pPr>
          <w:r w:rsidRPr="00D94A49">
            <w:rPr>
              <w:sz w:val="16"/>
              <w:szCs w:val="20"/>
            </w:rPr>
            <w:t>CS-ADR-DSN — Wydanie 4</w:t>
          </w:r>
        </w:p>
        <w:p w14:paraId="2C8424DA" w14:textId="600CCAB4" w:rsidR="003832F2" w:rsidRPr="002F2987" w:rsidRDefault="003832F2" w:rsidP="00521422">
          <w:pPr>
            <w:spacing w:after="0"/>
            <w:jc w:val="right"/>
            <w:rPr>
              <w:sz w:val="16"/>
              <w:szCs w:val="20"/>
            </w:rPr>
          </w:pPr>
          <w:r>
            <w:rPr>
              <w:sz w:val="16"/>
              <w:szCs w:val="20"/>
            </w:rPr>
            <w:t>Rozdział H</w:t>
          </w:r>
          <w:r w:rsidRPr="00E84442">
            <w:rPr>
              <w:sz w:val="16"/>
              <w:szCs w:val="20"/>
            </w:rPr>
            <w:t xml:space="preserve"> — </w:t>
          </w:r>
          <w:r w:rsidRPr="00870EA7">
            <w:rPr>
              <w:sz w:val="16"/>
              <w:szCs w:val="20"/>
            </w:rPr>
            <w:t>Powierzchnie</w:t>
          </w:r>
          <w:r>
            <w:rPr>
              <w:sz w:val="16"/>
              <w:szCs w:val="20"/>
            </w:rPr>
            <w:t xml:space="preserve"> </w:t>
          </w:r>
          <w:r w:rsidRPr="00870EA7">
            <w:rPr>
              <w:sz w:val="16"/>
              <w:szCs w:val="20"/>
            </w:rPr>
            <w:t>ograniczające</w:t>
          </w:r>
          <w:r>
            <w:rPr>
              <w:sz w:val="16"/>
              <w:szCs w:val="20"/>
            </w:rPr>
            <w:t xml:space="preserve"> </w:t>
          </w:r>
          <w:r w:rsidRPr="00870EA7">
            <w:rPr>
              <w:sz w:val="16"/>
              <w:szCs w:val="20"/>
            </w:rPr>
            <w:t>przeszkody</w:t>
          </w:r>
        </w:p>
      </w:tc>
    </w:tr>
  </w:tbl>
  <w:p w14:paraId="1D6A015E" w14:textId="77777777" w:rsidR="003832F2" w:rsidRPr="00817C77" w:rsidRDefault="003832F2" w:rsidP="00C36D76">
    <w:pPr>
      <w:pStyle w:val="Nagwek"/>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B08A00F" w14:textId="77777777" w:rsidTr="006B783E">
      <w:tc>
        <w:tcPr>
          <w:tcW w:w="1432" w:type="pct"/>
          <w:tcMar>
            <w:bottom w:w="28" w:type="dxa"/>
          </w:tcMar>
          <w:vAlign w:val="bottom"/>
        </w:tcPr>
        <w:p w14:paraId="00DE0642" w14:textId="67E18EA9"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532AE314" wp14:editId="2F564F82">
                <wp:extent cx="1008000" cy="338400"/>
                <wp:effectExtent l="0" t="0" r="1905" b="508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EC5CD17" w14:textId="175A5D87"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6559CB69" w14:textId="0FB7C6A3" w:rsidR="003832F2" w:rsidRPr="00D94A49" w:rsidRDefault="003832F2" w:rsidP="00521422">
          <w:pPr>
            <w:spacing w:after="60"/>
            <w:jc w:val="right"/>
            <w:rPr>
              <w:sz w:val="16"/>
              <w:szCs w:val="20"/>
            </w:rPr>
          </w:pPr>
          <w:r w:rsidRPr="00D94A49">
            <w:rPr>
              <w:sz w:val="16"/>
              <w:szCs w:val="20"/>
            </w:rPr>
            <w:t>CS-ADR-DSN — Wydanie 4</w:t>
          </w:r>
        </w:p>
        <w:p w14:paraId="40DD761A" w14:textId="77777777" w:rsidR="003832F2" w:rsidRPr="002F2987" w:rsidRDefault="003832F2" w:rsidP="00521422">
          <w:pPr>
            <w:spacing w:after="0"/>
            <w:jc w:val="right"/>
            <w:rPr>
              <w:sz w:val="16"/>
              <w:szCs w:val="20"/>
            </w:rPr>
          </w:pPr>
          <w:r>
            <w:rPr>
              <w:sz w:val="16"/>
              <w:szCs w:val="20"/>
            </w:rPr>
            <w:t>Rozdział J</w:t>
          </w:r>
          <w:r w:rsidRPr="00E84442">
            <w:rPr>
              <w:sz w:val="16"/>
              <w:szCs w:val="20"/>
            </w:rPr>
            <w:t xml:space="preserve"> — </w:t>
          </w:r>
          <w:r>
            <w:rPr>
              <w:sz w:val="16"/>
              <w:szCs w:val="20"/>
            </w:rPr>
            <w:t>Wymagania dotyczące</w:t>
          </w:r>
          <w:r>
            <w:rPr>
              <w:sz w:val="16"/>
              <w:szCs w:val="20"/>
            </w:rPr>
            <w:br/>
          </w:r>
          <w:r w:rsidRPr="00870EA7">
            <w:rPr>
              <w:sz w:val="16"/>
              <w:szCs w:val="20"/>
            </w:rPr>
            <w:t>ograniczania przeszkód</w:t>
          </w:r>
        </w:p>
      </w:tc>
    </w:tr>
  </w:tbl>
  <w:p w14:paraId="0E77BBDC" w14:textId="0FC47C09" w:rsidR="003832F2" w:rsidRPr="00870EA7" w:rsidRDefault="003832F2" w:rsidP="00870EA7">
    <w:pPr>
      <w:pStyle w:val="Bezodstpw"/>
      <w:spacing w:after="40"/>
      <w:jc w:val="both"/>
      <w:rPr>
        <w:rFonts w:ascii="Verdana" w:hAnsi="Verdana"/>
        <w:i w:val="0"/>
        <w:szCs w:val="16"/>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33EB673B" w14:textId="77777777" w:rsidTr="006B783E">
      <w:tc>
        <w:tcPr>
          <w:tcW w:w="1432" w:type="pct"/>
          <w:tcMar>
            <w:bottom w:w="28" w:type="dxa"/>
          </w:tcMar>
          <w:vAlign w:val="bottom"/>
        </w:tcPr>
        <w:p w14:paraId="0FA02318" w14:textId="2763EF47"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3FDF31B0" wp14:editId="7081FDEF">
                <wp:extent cx="1008000" cy="338400"/>
                <wp:effectExtent l="0" t="0" r="1905" b="508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A6F5D94" w14:textId="3DD7331D"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1D65EC41" w14:textId="71CE29F1" w:rsidR="003832F2" w:rsidRPr="00D94A49" w:rsidRDefault="003832F2" w:rsidP="00521422">
          <w:pPr>
            <w:spacing w:after="60"/>
            <w:jc w:val="right"/>
            <w:rPr>
              <w:sz w:val="16"/>
              <w:szCs w:val="20"/>
            </w:rPr>
          </w:pPr>
          <w:r w:rsidRPr="00D94A49">
            <w:rPr>
              <w:sz w:val="16"/>
              <w:szCs w:val="20"/>
            </w:rPr>
            <w:t>CS-ADR-DSN — Wydanie 4</w:t>
          </w:r>
        </w:p>
        <w:p w14:paraId="6A254C42" w14:textId="5CD5C65F" w:rsidR="003832F2" w:rsidRPr="002F2987" w:rsidRDefault="003832F2" w:rsidP="00521422">
          <w:pPr>
            <w:spacing w:after="0"/>
            <w:jc w:val="right"/>
            <w:rPr>
              <w:sz w:val="16"/>
              <w:szCs w:val="20"/>
            </w:rPr>
          </w:pPr>
          <w:r>
            <w:rPr>
              <w:sz w:val="16"/>
              <w:szCs w:val="20"/>
            </w:rPr>
            <w:t>Rozdział J</w:t>
          </w:r>
          <w:r w:rsidRPr="00E84442">
            <w:rPr>
              <w:sz w:val="16"/>
              <w:szCs w:val="20"/>
            </w:rPr>
            <w:t xml:space="preserve"> — </w:t>
          </w:r>
          <w:r>
            <w:rPr>
              <w:sz w:val="16"/>
              <w:szCs w:val="20"/>
            </w:rPr>
            <w:t>Wymagania dotyczące</w:t>
          </w:r>
          <w:r>
            <w:rPr>
              <w:sz w:val="16"/>
              <w:szCs w:val="20"/>
            </w:rPr>
            <w:br/>
          </w:r>
          <w:r w:rsidRPr="00870EA7">
            <w:rPr>
              <w:sz w:val="16"/>
              <w:szCs w:val="20"/>
            </w:rPr>
            <w:t>ograniczania przeszkód</w:t>
          </w:r>
        </w:p>
      </w:tc>
    </w:tr>
  </w:tbl>
  <w:p w14:paraId="0967FE3F" w14:textId="77777777" w:rsidR="003832F2" w:rsidRPr="00817C77" w:rsidRDefault="003832F2" w:rsidP="00C36D76">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752CFB" w14:paraId="749FE38C" w14:textId="77777777" w:rsidTr="005E2368">
      <w:trPr>
        <w:jc w:val="center"/>
      </w:trPr>
      <w:tc>
        <w:tcPr>
          <w:tcW w:w="0" w:type="auto"/>
          <w:tcMar>
            <w:bottom w:w="57" w:type="dxa"/>
          </w:tcMar>
          <w:vAlign w:val="bottom"/>
        </w:tcPr>
        <w:p w14:paraId="5A53FF5F" w14:textId="77777777" w:rsidR="003832F2" w:rsidRPr="00BC23D0" w:rsidRDefault="003832F2" w:rsidP="009B7C7B">
          <w:pPr>
            <w:spacing w:after="0"/>
            <w:jc w:val="left"/>
            <w:rPr>
              <w:b/>
              <w:color w:val="0066FF"/>
              <w:sz w:val="18"/>
              <w:szCs w:val="20"/>
            </w:rPr>
          </w:pPr>
          <w:r>
            <w:rPr>
              <w:b/>
              <w:noProof/>
              <w:color w:val="0066FF"/>
              <w:sz w:val="18"/>
              <w:szCs w:val="20"/>
              <w:lang w:eastAsia="pl-PL"/>
            </w:rPr>
            <w:drawing>
              <wp:inline distT="0" distB="0" distL="0" distR="0" wp14:anchorId="79C40D40" wp14:editId="713D4762">
                <wp:extent cx="1008000" cy="338400"/>
                <wp:effectExtent l="0" t="0" r="1905" b="508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6378D153" w14:textId="77777777" w:rsidR="003832F2" w:rsidRPr="00BC23D0" w:rsidRDefault="003832F2"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2D0359FC" w14:textId="77777777" w:rsidR="003832F2" w:rsidRPr="00832386" w:rsidRDefault="003832F2" w:rsidP="00301536">
          <w:pPr>
            <w:spacing w:after="0"/>
            <w:jc w:val="right"/>
            <w:rPr>
              <w:sz w:val="16"/>
              <w:szCs w:val="20"/>
            </w:rPr>
          </w:pPr>
          <w:r>
            <w:rPr>
              <w:sz w:val="16"/>
              <w:szCs w:val="20"/>
            </w:rPr>
            <w:t>Zrzeczenie się odpowiedzialności</w:t>
          </w:r>
        </w:p>
      </w:tc>
    </w:tr>
  </w:tbl>
  <w:p w14:paraId="34E96B3F" w14:textId="77777777" w:rsidR="003832F2" w:rsidRDefault="003832F2" w:rsidP="00E21E81">
    <w:pPr>
      <w:tabs>
        <w:tab w:val="left" w:pos="2024"/>
      </w:tabs>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6DFCC8FF" w14:textId="77777777" w:rsidTr="006B783E">
      <w:tc>
        <w:tcPr>
          <w:tcW w:w="1432" w:type="pct"/>
          <w:tcMar>
            <w:bottom w:w="28" w:type="dxa"/>
          </w:tcMar>
          <w:vAlign w:val="bottom"/>
        </w:tcPr>
        <w:p w14:paraId="233C68DE" w14:textId="41A0B0A9"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4CA62181" wp14:editId="1C60311A">
                <wp:extent cx="1008000" cy="338400"/>
                <wp:effectExtent l="0" t="0" r="1905" b="508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C3435FC" w14:textId="16545843" w:rsidR="003832F2" w:rsidRPr="002D0627" w:rsidRDefault="003832F2" w:rsidP="00D83FD7">
          <w:pPr>
            <w:spacing w:after="60"/>
            <w:ind w:left="96"/>
            <w:jc w:val="center"/>
            <w:rPr>
              <w:i/>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2" w:type="pct"/>
          <w:vAlign w:val="bottom"/>
        </w:tcPr>
        <w:p w14:paraId="6A07C4C2" w14:textId="40C57959" w:rsidR="003832F2" w:rsidRPr="00533171" w:rsidRDefault="003832F2" w:rsidP="00521422">
          <w:pPr>
            <w:spacing w:after="60"/>
            <w:jc w:val="right"/>
            <w:rPr>
              <w:sz w:val="16"/>
              <w:szCs w:val="20"/>
            </w:rPr>
          </w:pPr>
          <w:r w:rsidRPr="00533171">
            <w:rPr>
              <w:sz w:val="16"/>
              <w:szCs w:val="20"/>
            </w:rPr>
            <w:t>CS-ADR-DSN — Wydanie 4</w:t>
          </w:r>
        </w:p>
        <w:p w14:paraId="471439DE" w14:textId="77777777" w:rsidR="003832F2" w:rsidRPr="002F2987" w:rsidRDefault="003832F2" w:rsidP="00521422">
          <w:pPr>
            <w:spacing w:after="0"/>
            <w:jc w:val="right"/>
            <w:rPr>
              <w:sz w:val="16"/>
              <w:szCs w:val="20"/>
            </w:rPr>
          </w:pPr>
          <w:r>
            <w:rPr>
              <w:sz w:val="16"/>
              <w:szCs w:val="20"/>
            </w:rPr>
            <w:t>Rozdział K</w:t>
          </w:r>
          <w:r w:rsidRPr="00E84442">
            <w:rPr>
              <w:sz w:val="16"/>
              <w:szCs w:val="20"/>
            </w:rPr>
            <w:t xml:space="preserve"> — </w:t>
          </w:r>
          <w:r w:rsidRPr="002B0440">
            <w:rPr>
              <w:sz w:val="16"/>
              <w:szCs w:val="20"/>
            </w:rPr>
            <w:t>Pomoce wzrokowe dla nawigacji (wskaźniki i urządzenia sygnalizacyjne)</w:t>
          </w:r>
        </w:p>
      </w:tc>
    </w:tr>
  </w:tbl>
  <w:p w14:paraId="32DD9F4D" w14:textId="330E7AFE" w:rsidR="003832F2" w:rsidRPr="002B0440" w:rsidRDefault="003832F2" w:rsidP="002B0440">
    <w:pPr>
      <w:pStyle w:val="Nagwek"/>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7B5A50CF" w14:textId="77777777" w:rsidTr="006B783E">
      <w:tc>
        <w:tcPr>
          <w:tcW w:w="1432" w:type="pct"/>
          <w:tcMar>
            <w:bottom w:w="28" w:type="dxa"/>
          </w:tcMar>
          <w:vAlign w:val="bottom"/>
        </w:tcPr>
        <w:p w14:paraId="303B51E2" w14:textId="52059553"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3B3E6573" wp14:editId="63C6AD83">
                <wp:extent cx="1008000" cy="338400"/>
                <wp:effectExtent l="0" t="0" r="1905" b="508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287E52B" w14:textId="4A98CEA1"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326F46D0" w14:textId="716CDED3" w:rsidR="003832F2" w:rsidRPr="00533171" w:rsidRDefault="003832F2" w:rsidP="00521422">
          <w:pPr>
            <w:spacing w:after="60"/>
            <w:jc w:val="right"/>
            <w:rPr>
              <w:sz w:val="16"/>
              <w:szCs w:val="20"/>
            </w:rPr>
          </w:pPr>
          <w:r w:rsidRPr="00533171">
            <w:rPr>
              <w:sz w:val="16"/>
              <w:szCs w:val="20"/>
            </w:rPr>
            <w:t>CS-ADR-DSN — Wydanie 4</w:t>
          </w:r>
        </w:p>
        <w:p w14:paraId="71FC6923" w14:textId="6EE8DF44" w:rsidR="003832F2" w:rsidRPr="00533171" w:rsidRDefault="003832F2" w:rsidP="00521422">
          <w:pPr>
            <w:spacing w:after="0"/>
            <w:jc w:val="right"/>
            <w:rPr>
              <w:sz w:val="16"/>
              <w:szCs w:val="20"/>
            </w:rPr>
          </w:pPr>
          <w:r w:rsidRPr="00533171">
            <w:rPr>
              <w:sz w:val="16"/>
              <w:szCs w:val="20"/>
            </w:rPr>
            <w:t>Rozdział K — Pomoce wzrokowe dla nawigacji (wskaźniki i urządzenia sygnalizacyjne)</w:t>
          </w:r>
        </w:p>
      </w:tc>
    </w:tr>
  </w:tbl>
  <w:p w14:paraId="3E250D82" w14:textId="77777777" w:rsidR="003832F2" w:rsidRPr="00817C77" w:rsidRDefault="003832F2" w:rsidP="00C36D76">
    <w:pPr>
      <w:pStyle w:val="Nagwek"/>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7F85E912" w14:textId="77777777" w:rsidTr="001F73BC">
      <w:tc>
        <w:tcPr>
          <w:tcW w:w="1432" w:type="pct"/>
          <w:tcMar>
            <w:bottom w:w="28" w:type="dxa"/>
          </w:tcMar>
          <w:vAlign w:val="bottom"/>
        </w:tcPr>
        <w:p w14:paraId="3C86440A" w14:textId="46CEE240"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09CA9655" wp14:editId="3BF5EFA1">
                <wp:extent cx="1008000" cy="338400"/>
                <wp:effectExtent l="0" t="0" r="1905" b="508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0D1BC25" w14:textId="72AADF6D"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392BD300" w14:textId="6739705C" w:rsidR="003832F2" w:rsidRPr="00533171" w:rsidRDefault="003832F2" w:rsidP="00521422">
          <w:pPr>
            <w:spacing w:after="60"/>
            <w:jc w:val="right"/>
            <w:rPr>
              <w:sz w:val="16"/>
              <w:szCs w:val="20"/>
            </w:rPr>
          </w:pPr>
          <w:r w:rsidRPr="00533171">
            <w:rPr>
              <w:sz w:val="16"/>
              <w:szCs w:val="20"/>
            </w:rPr>
            <w:t>CS-ADR-DSN — Wydanie 4</w:t>
          </w:r>
        </w:p>
        <w:p w14:paraId="614A6EB4" w14:textId="77777777" w:rsidR="003832F2" w:rsidRPr="002F2987" w:rsidRDefault="003832F2" w:rsidP="00521422">
          <w:pPr>
            <w:spacing w:after="0"/>
            <w:jc w:val="right"/>
            <w:rPr>
              <w:sz w:val="16"/>
              <w:szCs w:val="20"/>
            </w:rPr>
          </w:pPr>
          <w:r>
            <w:rPr>
              <w:sz w:val="16"/>
              <w:szCs w:val="20"/>
            </w:rPr>
            <w:t>Rozdział L</w:t>
          </w:r>
          <w:r w:rsidRPr="00E84442">
            <w:rPr>
              <w:sz w:val="16"/>
              <w:szCs w:val="20"/>
            </w:rPr>
            <w:t xml:space="preserve"> — </w:t>
          </w:r>
          <w:r>
            <w:rPr>
              <w:sz w:val="16"/>
              <w:szCs w:val="20"/>
            </w:rPr>
            <w:t xml:space="preserve">Pomoce wzrokowe dla </w:t>
          </w:r>
          <w:r w:rsidRPr="002B0440">
            <w:rPr>
              <w:sz w:val="16"/>
              <w:szCs w:val="20"/>
            </w:rPr>
            <w:t>nawigacji</w:t>
          </w:r>
          <w:r>
            <w:rPr>
              <w:sz w:val="16"/>
              <w:szCs w:val="20"/>
            </w:rPr>
            <w:br/>
          </w:r>
          <w:r w:rsidRPr="002B0440">
            <w:rPr>
              <w:sz w:val="16"/>
              <w:szCs w:val="20"/>
            </w:rPr>
            <w:t>(oznakowanie poziome)</w:t>
          </w:r>
        </w:p>
      </w:tc>
    </w:tr>
  </w:tbl>
  <w:p w14:paraId="6D1E279D" w14:textId="06D740E2" w:rsidR="003832F2" w:rsidRPr="002B0440" w:rsidRDefault="003832F2" w:rsidP="002B0440">
    <w:pPr>
      <w:pStyle w:val="Bezodstpw"/>
      <w:spacing w:after="40"/>
      <w:jc w:val="both"/>
      <w:rPr>
        <w:rFonts w:ascii="Verdana" w:hAnsi="Verdana"/>
        <w:i w:val="0"/>
        <w:szCs w:val="16"/>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C806A32" w14:textId="77777777" w:rsidTr="001F73BC">
      <w:tc>
        <w:tcPr>
          <w:tcW w:w="1432" w:type="pct"/>
          <w:tcMar>
            <w:bottom w:w="28" w:type="dxa"/>
          </w:tcMar>
          <w:vAlign w:val="bottom"/>
        </w:tcPr>
        <w:p w14:paraId="374F5F51" w14:textId="6A638049"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063D62B7" wp14:editId="7C00B30F">
                <wp:extent cx="1008000" cy="338400"/>
                <wp:effectExtent l="0" t="0" r="1905" b="508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FC0474B" w14:textId="695C06D2"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E7BBE6B" w14:textId="474307E3" w:rsidR="003832F2" w:rsidRPr="00533171" w:rsidRDefault="003832F2" w:rsidP="00521422">
          <w:pPr>
            <w:spacing w:after="60"/>
            <w:jc w:val="right"/>
            <w:rPr>
              <w:sz w:val="16"/>
              <w:szCs w:val="20"/>
            </w:rPr>
          </w:pPr>
          <w:r w:rsidRPr="00533171">
            <w:rPr>
              <w:sz w:val="16"/>
              <w:szCs w:val="20"/>
            </w:rPr>
            <w:t>CS-ADR-DSN — Wydanie 4</w:t>
          </w:r>
        </w:p>
        <w:p w14:paraId="4C44F539" w14:textId="4D439CED" w:rsidR="003832F2" w:rsidRPr="002F2987" w:rsidRDefault="003832F2" w:rsidP="00521422">
          <w:pPr>
            <w:spacing w:after="0"/>
            <w:jc w:val="right"/>
            <w:rPr>
              <w:sz w:val="16"/>
              <w:szCs w:val="20"/>
            </w:rPr>
          </w:pPr>
          <w:r>
            <w:rPr>
              <w:sz w:val="16"/>
              <w:szCs w:val="20"/>
            </w:rPr>
            <w:t>Rozdział L</w:t>
          </w:r>
          <w:r w:rsidRPr="00E84442">
            <w:rPr>
              <w:sz w:val="16"/>
              <w:szCs w:val="20"/>
            </w:rPr>
            <w:t xml:space="preserve"> — </w:t>
          </w:r>
          <w:r>
            <w:rPr>
              <w:sz w:val="16"/>
              <w:szCs w:val="20"/>
            </w:rPr>
            <w:t xml:space="preserve">Pomoce wzrokowe dla </w:t>
          </w:r>
          <w:r w:rsidRPr="002B0440">
            <w:rPr>
              <w:sz w:val="16"/>
              <w:szCs w:val="20"/>
            </w:rPr>
            <w:t>nawigacji</w:t>
          </w:r>
          <w:r>
            <w:rPr>
              <w:sz w:val="16"/>
              <w:szCs w:val="20"/>
            </w:rPr>
            <w:br/>
          </w:r>
          <w:r w:rsidRPr="002B0440">
            <w:rPr>
              <w:sz w:val="16"/>
              <w:szCs w:val="20"/>
            </w:rPr>
            <w:t>(oznakowanie poziome)</w:t>
          </w:r>
        </w:p>
      </w:tc>
    </w:tr>
  </w:tbl>
  <w:p w14:paraId="6BC2C125" w14:textId="77777777" w:rsidR="003832F2" w:rsidRPr="00817C77" w:rsidRDefault="003832F2" w:rsidP="00C36D76">
    <w:pPr>
      <w:pStyle w:val="Nagwek"/>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CF2DAB" w14:paraId="68E267C8" w14:textId="77777777" w:rsidTr="001F73BC">
      <w:tc>
        <w:tcPr>
          <w:tcW w:w="1432" w:type="pct"/>
          <w:tcMar>
            <w:bottom w:w="28" w:type="dxa"/>
          </w:tcMar>
          <w:vAlign w:val="bottom"/>
        </w:tcPr>
        <w:p w14:paraId="405C4A25" w14:textId="10F25254" w:rsidR="003832F2" w:rsidRPr="002D0627" w:rsidRDefault="003832F2" w:rsidP="00706D5C">
          <w:pPr>
            <w:spacing w:after="0"/>
            <w:jc w:val="left"/>
            <w:rPr>
              <w:sz w:val="18"/>
              <w:szCs w:val="20"/>
            </w:rPr>
          </w:pPr>
          <w:r>
            <w:rPr>
              <w:b/>
              <w:noProof/>
              <w:color w:val="0066FF"/>
              <w:sz w:val="18"/>
              <w:szCs w:val="20"/>
              <w:lang w:eastAsia="pl-PL"/>
            </w:rPr>
            <w:drawing>
              <wp:inline distT="0" distB="0" distL="0" distR="0" wp14:anchorId="3B4D187D" wp14:editId="17B14130">
                <wp:extent cx="1008000" cy="338400"/>
                <wp:effectExtent l="0" t="0" r="1905" b="508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B979572" w14:textId="5E005EC3" w:rsidR="003832F2" w:rsidRPr="00FF606C" w:rsidRDefault="003832F2" w:rsidP="00FF606C">
          <w:pPr>
            <w:spacing w:after="60"/>
            <w:ind w:left="96"/>
            <w:jc w:val="center"/>
            <w:rPr>
              <w:i/>
              <w:color w:val="0066CC"/>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514CEEC2" w14:textId="5FE4CF58" w:rsidR="003832F2" w:rsidRPr="00CF2DAB" w:rsidRDefault="003832F2" w:rsidP="00706D5C">
          <w:pPr>
            <w:spacing w:after="60"/>
            <w:jc w:val="right"/>
            <w:rPr>
              <w:sz w:val="16"/>
              <w:szCs w:val="20"/>
            </w:rPr>
          </w:pPr>
          <w:r w:rsidRPr="00CF2DAB">
            <w:rPr>
              <w:sz w:val="16"/>
              <w:szCs w:val="20"/>
            </w:rPr>
            <w:t>CS-ADR-DSN — Wydanie 4</w:t>
          </w:r>
        </w:p>
        <w:p w14:paraId="0F707919" w14:textId="77777777" w:rsidR="003832F2" w:rsidRPr="00CF2DAB" w:rsidRDefault="003832F2" w:rsidP="00706D5C">
          <w:pPr>
            <w:spacing w:after="0"/>
            <w:jc w:val="right"/>
            <w:rPr>
              <w:sz w:val="16"/>
              <w:szCs w:val="20"/>
            </w:rPr>
          </w:pPr>
          <w:r w:rsidRPr="00CF2DAB">
            <w:rPr>
              <w:sz w:val="16"/>
              <w:szCs w:val="20"/>
            </w:rPr>
            <w:t>Rozdział M — Pomoce wzrokowe</w:t>
          </w:r>
          <w:r w:rsidRPr="00CF2DAB">
            <w:rPr>
              <w:sz w:val="16"/>
              <w:szCs w:val="20"/>
            </w:rPr>
            <w:br/>
            <w:t>dla nawigacji (światła)</w:t>
          </w:r>
        </w:p>
      </w:tc>
    </w:tr>
  </w:tbl>
  <w:p w14:paraId="30352B53" w14:textId="68822045" w:rsidR="003832F2" w:rsidRPr="004A78E7" w:rsidRDefault="003832F2" w:rsidP="004A78E7">
    <w:pPr>
      <w:pStyle w:val="Bezodstpw"/>
      <w:spacing w:after="40"/>
      <w:jc w:val="both"/>
      <w:rPr>
        <w:rFonts w:ascii="Verdana" w:hAnsi="Verdana"/>
        <w:i w:val="0"/>
        <w:szCs w:val="16"/>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53F569F0" w14:textId="77777777" w:rsidTr="001F73BC">
      <w:tc>
        <w:tcPr>
          <w:tcW w:w="1432" w:type="pct"/>
          <w:tcMar>
            <w:bottom w:w="28" w:type="dxa"/>
          </w:tcMar>
          <w:vAlign w:val="bottom"/>
        </w:tcPr>
        <w:p w14:paraId="003647D2" w14:textId="7C034EA9" w:rsidR="003832F2" w:rsidRPr="002D0627" w:rsidRDefault="003832F2" w:rsidP="00521422">
          <w:pPr>
            <w:spacing w:after="0"/>
            <w:jc w:val="left"/>
            <w:rPr>
              <w:sz w:val="18"/>
              <w:szCs w:val="20"/>
            </w:rPr>
          </w:pPr>
          <w:r>
            <w:rPr>
              <w:b/>
              <w:noProof/>
              <w:color w:val="0066FF"/>
              <w:sz w:val="18"/>
              <w:szCs w:val="20"/>
              <w:lang w:eastAsia="pl-PL"/>
            </w:rPr>
            <w:drawing>
              <wp:inline distT="0" distB="0" distL="0" distR="0" wp14:anchorId="25EDA69A" wp14:editId="291D2981">
                <wp:extent cx="1008000" cy="338400"/>
                <wp:effectExtent l="0" t="0" r="1905" b="508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0CB55EB" w14:textId="2AFC68B4" w:rsidR="003832F2" w:rsidRPr="00D83FD7" w:rsidRDefault="003832F2" w:rsidP="00D83FD7">
          <w:pPr>
            <w:spacing w:after="60"/>
            <w:ind w:left="96"/>
            <w:jc w:val="center"/>
            <w:rPr>
              <w:i/>
              <w:color w:val="0066CC"/>
              <w:sz w:val="16"/>
              <w:szCs w:val="20"/>
            </w:rPr>
          </w:pPr>
          <w:r w:rsidRPr="00D83FD7">
            <w:rPr>
              <w:i/>
              <w:color w:val="0066CC"/>
              <w:sz w:val="16"/>
              <w:szCs w:val="20"/>
            </w:rPr>
            <w:t>Łatwo Dostępne Przepisy dla Lotnisk</w:t>
          </w:r>
          <w:r>
            <w:rPr>
              <w:i/>
              <w:color w:val="0066CC"/>
              <w:sz w:val="16"/>
              <w:szCs w:val="20"/>
            </w:rPr>
            <w:br/>
          </w:r>
          <w:r w:rsidRPr="00D83FD7">
            <w:rPr>
              <w:i/>
              <w:color w:val="0066CC"/>
              <w:sz w:val="16"/>
              <w:szCs w:val="20"/>
            </w:rPr>
            <w:t>(Rozporządzenie (UE) Nr 139/2014)</w:t>
          </w:r>
        </w:p>
      </w:tc>
      <w:tc>
        <w:tcPr>
          <w:tcW w:w="1813" w:type="pct"/>
          <w:vAlign w:val="bottom"/>
        </w:tcPr>
        <w:p w14:paraId="53ABE40C" w14:textId="79D6F575" w:rsidR="003832F2" w:rsidRPr="00CF2DAB" w:rsidRDefault="003832F2" w:rsidP="00521422">
          <w:pPr>
            <w:spacing w:after="60"/>
            <w:jc w:val="right"/>
            <w:rPr>
              <w:sz w:val="16"/>
              <w:szCs w:val="20"/>
            </w:rPr>
          </w:pPr>
          <w:r w:rsidRPr="00CF2DAB">
            <w:rPr>
              <w:sz w:val="16"/>
              <w:szCs w:val="20"/>
            </w:rPr>
            <w:t>CS-ADR-DSN — Wydanie 4</w:t>
          </w:r>
        </w:p>
        <w:p w14:paraId="04588BBC" w14:textId="739E74A0" w:rsidR="003832F2" w:rsidRPr="00CF2DAB" w:rsidRDefault="003832F2" w:rsidP="00706D5C">
          <w:pPr>
            <w:spacing w:after="0"/>
            <w:jc w:val="right"/>
            <w:rPr>
              <w:sz w:val="16"/>
              <w:szCs w:val="20"/>
            </w:rPr>
          </w:pPr>
          <w:r w:rsidRPr="00CF2DAB">
            <w:rPr>
              <w:sz w:val="16"/>
              <w:szCs w:val="20"/>
            </w:rPr>
            <w:t>Rozdział M — Pomoce wzrokowe</w:t>
          </w:r>
          <w:r w:rsidRPr="00CF2DAB">
            <w:rPr>
              <w:sz w:val="16"/>
              <w:szCs w:val="20"/>
            </w:rPr>
            <w:br/>
            <w:t>dla nawigacji (światła)</w:t>
          </w:r>
        </w:p>
      </w:tc>
    </w:tr>
  </w:tbl>
  <w:p w14:paraId="64236507" w14:textId="77777777" w:rsidR="003832F2" w:rsidRPr="00817C77" w:rsidRDefault="003832F2" w:rsidP="00C36D76">
    <w:pPr>
      <w:pStyle w:val="Nagwek"/>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4"/>
      <w:gridCol w:w="4918"/>
      <w:gridCol w:w="5072"/>
    </w:tblGrid>
    <w:tr w:rsidR="003832F2" w:rsidRPr="002F2987" w14:paraId="230926A4" w14:textId="77777777" w:rsidTr="001F73BC">
      <w:tc>
        <w:tcPr>
          <w:tcW w:w="1433" w:type="pct"/>
          <w:tcMar>
            <w:bottom w:w="28" w:type="dxa"/>
          </w:tcMar>
          <w:vAlign w:val="bottom"/>
        </w:tcPr>
        <w:p w14:paraId="04FB4F1C" w14:textId="154065E7" w:rsidR="003832F2" w:rsidRPr="002D0627" w:rsidRDefault="003832F2" w:rsidP="00706D5C">
          <w:pPr>
            <w:spacing w:after="0"/>
            <w:jc w:val="left"/>
            <w:rPr>
              <w:sz w:val="18"/>
              <w:szCs w:val="20"/>
            </w:rPr>
          </w:pPr>
          <w:r>
            <w:rPr>
              <w:b/>
              <w:noProof/>
              <w:color w:val="0066FF"/>
              <w:sz w:val="18"/>
              <w:szCs w:val="20"/>
              <w:lang w:eastAsia="pl-PL"/>
            </w:rPr>
            <w:drawing>
              <wp:inline distT="0" distB="0" distL="0" distR="0" wp14:anchorId="62921AE5" wp14:editId="1A1EA414">
                <wp:extent cx="1008000" cy="338400"/>
                <wp:effectExtent l="0" t="0" r="1905" b="508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7F052B2" w14:textId="6928D190" w:rsidR="003832F2" w:rsidRPr="00FF606C" w:rsidRDefault="003832F2" w:rsidP="00FF606C">
          <w:pPr>
            <w:spacing w:after="60"/>
            <w:ind w:left="96"/>
            <w:jc w:val="center"/>
            <w:rPr>
              <w:i/>
              <w:color w:val="0066CC"/>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1" w:type="pct"/>
          <w:vAlign w:val="bottom"/>
        </w:tcPr>
        <w:p w14:paraId="39A16988" w14:textId="0EC76BDD" w:rsidR="003832F2" w:rsidRPr="00CF2DAB" w:rsidRDefault="003832F2" w:rsidP="00706D5C">
          <w:pPr>
            <w:spacing w:after="60"/>
            <w:jc w:val="right"/>
            <w:rPr>
              <w:sz w:val="16"/>
              <w:szCs w:val="20"/>
            </w:rPr>
          </w:pPr>
          <w:r w:rsidRPr="00CF2DAB">
            <w:rPr>
              <w:sz w:val="16"/>
              <w:szCs w:val="20"/>
            </w:rPr>
            <w:t>CS-ADR-DSN — Wydanie 4</w:t>
          </w:r>
        </w:p>
        <w:p w14:paraId="005A4B58" w14:textId="11C239C3" w:rsidR="003832F2" w:rsidRPr="002F2987" w:rsidRDefault="003832F2" w:rsidP="00706D5C">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t xml:space="preserve"> </w:t>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20DD3745" w14:textId="77777777" w:rsidR="003832F2" w:rsidRPr="004A78E7" w:rsidRDefault="003832F2" w:rsidP="004A78E7">
    <w:pPr>
      <w:pStyle w:val="Nagwek"/>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6683ED5F" w14:textId="77777777" w:rsidTr="001F73BC">
      <w:tc>
        <w:tcPr>
          <w:tcW w:w="1432" w:type="pct"/>
          <w:tcMar>
            <w:bottom w:w="28" w:type="dxa"/>
          </w:tcMar>
          <w:vAlign w:val="bottom"/>
        </w:tcPr>
        <w:p w14:paraId="36ACC241" w14:textId="163C422C" w:rsidR="003832F2" w:rsidRPr="002D0627" w:rsidRDefault="003832F2" w:rsidP="00AA69E2">
          <w:pPr>
            <w:spacing w:after="0"/>
            <w:jc w:val="left"/>
            <w:rPr>
              <w:sz w:val="18"/>
              <w:szCs w:val="20"/>
            </w:rPr>
          </w:pPr>
          <w:r>
            <w:rPr>
              <w:b/>
              <w:noProof/>
              <w:color w:val="0066FF"/>
              <w:sz w:val="18"/>
              <w:szCs w:val="20"/>
              <w:lang w:eastAsia="pl-PL"/>
            </w:rPr>
            <w:drawing>
              <wp:inline distT="0" distB="0" distL="0" distR="0" wp14:anchorId="20C33E0B" wp14:editId="7D2FFE57">
                <wp:extent cx="1008000" cy="338400"/>
                <wp:effectExtent l="0" t="0" r="1905" b="508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41F9ADE" w14:textId="442ACD5E" w:rsidR="003832F2" w:rsidRPr="002D0627" w:rsidRDefault="003832F2" w:rsidP="00FF606C">
          <w:pPr>
            <w:spacing w:after="60"/>
            <w:ind w:right="255"/>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4B84EBEC" w14:textId="59DDBED5" w:rsidR="003832F2" w:rsidRPr="00CF2DAB" w:rsidRDefault="003832F2" w:rsidP="00AA69E2">
          <w:pPr>
            <w:spacing w:after="60"/>
            <w:jc w:val="right"/>
            <w:rPr>
              <w:sz w:val="16"/>
              <w:szCs w:val="20"/>
            </w:rPr>
          </w:pPr>
          <w:r w:rsidRPr="00CF2DAB">
            <w:rPr>
              <w:sz w:val="16"/>
              <w:szCs w:val="20"/>
            </w:rPr>
            <w:t>CS-ADR-DSN — Wydanie 4</w:t>
          </w:r>
        </w:p>
        <w:p w14:paraId="455B9C31" w14:textId="77777777" w:rsidR="003832F2" w:rsidRPr="002F2987" w:rsidRDefault="003832F2"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29554AE4" w14:textId="589871C0" w:rsidR="003832F2" w:rsidRPr="004A78E7" w:rsidRDefault="003832F2" w:rsidP="004A78E7">
    <w:pPr>
      <w:pStyle w:val="Bezodstpw"/>
      <w:spacing w:after="40"/>
      <w:jc w:val="both"/>
      <w:rPr>
        <w:rFonts w:ascii="Verdana" w:hAnsi="Verdana"/>
        <w:i w:val="0"/>
        <w:szCs w:val="16"/>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728AAFB" w14:textId="77777777" w:rsidTr="001F73BC">
      <w:tc>
        <w:tcPr>
          <w:tcW w:w="1432" w:type="pct"/>
          <w:tcMar>
            <w:bottom w:w="28" w:type="dxa"/>
          </w:tcMar>
          <w:vAlign w:val="bottom"/>
        </w:tcPr>
        <w:p w14:paraId="116B3277" w14:textId="53A37DC5" w:rsidR="003832F2" w:rsidRPr="002D0627" w:rsidRDefault="003832F2" w:rsidP="00AA69E2">
          <w:pPr>
            <w:spacing w:after="0"/>
            <w:jc w:val="left"/>
            <w:rPr>
              <w:sz w:val="18"/>
              <w:szCs w:val="20"/>
            </w:rPr>
          </w:pPr>
          <w:r>
            <w:rPr>
              <w:b/>
              <w:noProof/>
              <w:color w:val="0066FF"/>
              <w:sz w:val="18"/>
              <w:szCs w:val="20"/>
              <w:lang w:eastAsia="pl-PL"/>
            </w:rPr>
            <w:drawing>
              <wp:inline distT="0" distB="0" distL="0" distR="0" wp14:anchorId="421CCDA7" wp14:editId="660A4666">
                <wp:extent cx="1008000" cy="338400"/>
                <wp:effectExtent l="0" t="0" r="1905" b="508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F4C7B5B" w14:textId="537F1421" w:rsidR="003832F2" w:rsidRPr="002D0627" w:rsidRDefault="003832F2" w:rsidP="00FF606C">
          <w:pPr>
            <w:spacing w:after="60"/>
            <w:ind w:right="397"/>
            <w:jc w:val="center"/>
            <w:rPr>
              <w:i/>
              <w:sz w:val="16"/>
              <w:szCs w:val="20"/>
            </w:rPr>
          </w:pPr>
          <w:r w:rsidRPr="00FF606C">
            <w:rPr>
              <w:i/>
              <w:color w:val="0066CC"/>
              <w:sz w:val="16"/>
              <w:szCs w:val="20"/>
            </w:rPr>
            <w:t>Łatwo Dostępne Przepisy dla Lotnisk(Rozporządzenie (UE) Nr 139/2014)</w:t>
          </w:r>
        </w:p>
      </w:tc>
      <w:tc>
        <w:tcPr>
          <w:tcW w:w="1813" w:type="pct"/>
          <w:vAlign w:val="bottom"/>
        </w:tcPr>
        <w:p w14:paraId="542512DF" w14:textId="3843ED16" w:rsidR="003832F2" w:rsidRPr="00CF2DAB" w:rsidRDefault="003832F2" w:rsidP="00AA69E2">
          <w:pPr>
            <w:spacing w:after="60"/>
            <w:jc w:val="right"/>
            <w:rPr>
              <w:sz w:val="16"/>
              <w:szCs w:val="20"/>
            </w:rPr>
          </w:pPr>
          <w:r w:rsidRPr="00CF2DAB">
            <w:rPr>
              <w:sz w:val="16"/>
              <w:szCs w:val="20"/>
            </w:rPr>
            <w:t>CS-ADR-DSN — Wydanie 4</w:t>
          </w:r>
        </w:p>
        <w:p w14:paraId="2D51D36C" w14:textId="77777777" w:rsidR="003832F2" w:rsidRPr="002F2987" w:rsidRDefault="003832F2"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4067555A" w14:textId="77777777" w:rsidR="003832F2" w:rsidRPr="004A78E7" w:rsidRDefault="003832F2" w:rsidP="004A78E7">
    <w:pPr>
      <w:pStyle w:val="Nagwek"/>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A295D" w14:textId="77777777" w:rsidR="003832F2" w:rsidRPr="00CB1188" w:rsidRDefault="003832F2" w:rsidP="00C36D76">
    <w:pPr>
      <w:pStyle w:val="Bezodstpw"/>
      <w:spacing w:after="40"/>
      <w:rPr>
        <w:rFonts w:ascii="Verdana" w:hAnsi="Verdana"/>
        <w:szCs w:val="16"/>
      </w:rPr>
    </w:pPr>
    <w:r w:rsidRPr="00CB1188">
      <w:rPr>
        <w:rFonts w:ascii="Verdana" w:hAnsi="Verdana"/>
        <w:szCs w:val="16"/>
      </w:rPr>
      <w:t>CS-ADR-DSN ― CZĘŚĆ 1</w:t>
    </w:r>
  </w:p>
  <w:p w14:paraId="2F8193CD" w14:textId="77777777" w:rsidR="003832F2" w:rsidRPr="00CB1188" w:rsidRDefault="003832F2" w:rsidP="00C36D76">
    <w:pPr>
      <w:pStyle w:val="Bezodstpw"/>
      <w:spacing w:after="40"/>
      <w:rPr>
        <w:rFonts w:ascii="Verdana" w:hAnsi="Verdana"/>
        <w:szCs w:val="16"/>
      </w:rPr>
    </w:pPr>
    <w:r w:rsidRPr="00B97774">
      <w:rPr>
        <w:rFonts w:ascii="Verdana" w:hAnsi="Verdana"/>
        <w:szCs w:val="16"/>
      </w:rPr>
      <w:t>Rozdział M ― Pomoce w</w:t>
    </w:r>
    <w:r>
      <w:rPr>
        <w:rFonts w:ascii="Verdana" w:hAnsi="Verdana"/>
        <w:szCs w:val="16"/>
      </w:rPr>
      <w:t>zrokowe dla nawigacji (światła)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752CFB" w14:paraId="0510D559" w14:textId="77777777" w:rsidTr="005E2368">
      <w:trPr>
        <w:jc w:val="center"/>
      </w:trPr>
      <w:tc>
        <w:tcPr>
          <w:tcW w:w="0" w:type="auto"/>
          <w:tcMar>
            <w:bottom w:w="57" w:type="dxa"/>
          </w:tcMar>
          <w:vAlign w:val="bottom"/>
        </w:tcPr>
        <w:p w14:paraId="4D6A307A" w14:textId="77777777" w:rsidR="003832F2" w:rsidRPr="00BC23D0" w:rsidRDefault="003832F2" w:rsidP="009B7C7B">
          <w:pPr>
            <w:spacing w:after="0"/>
            <w:jc w:val="left"/>
            <w:rPr>
              <w:b/>
              <w:color w:val="0066FF"/>
              <w:sz w:val="18"/>
              <w:szCs w:val="20"/>
            </w:rPr>
          </w:pPr>
          <w:r>
            <w:rPr>
              <w:b/>
              <w:noProof/>
              <w:color w:val="0066FF"/>
              <w:sz w:val="18"/>
              <w:szCs w:val="20"/>
              <w:lang w:eastAsia="pl-PL"/>
            </w:rPr>
            <w:drawing>
              <wp:inline distT="0" distB="0" distL="0" distR="0" wp14:anchorId="25AB5F23" wp14:editId="3A6D8CB8">
                <wp:extent cx="1008000" cy="338400"/>
                <wp:effectExtent l="0" t="0" r="1905" b="508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7DD29C59" w14:textId="77777777" w:rsidR="003832F2" w:rsidRPr="00BC23D0" w:rsidRDefault="003832F2"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13C4EEFB" w14:textId="788273CC" w:rsidR="003832F2" w:rsidRPr="00832386" w:rsidRDefault="003832F2" w:rsidP="00FE23AD">
          <w:pPr>
            <w:spacing w:after="0"/>
            <w:jc w:val="right"/>
            <w:rPr>
              <w:sz w:val="16"/>
              <w:szCs w:val="20"/>
            </w:rPr>
          </w:pPr>
          <w:r>
            <w:rPr>
              <w:sz w:val="16"/>
              <w:szCs w:val="20"/>
            </w:rPr>
            <w:t>Uwagi od wydawcy</w:t>
          </w:r>
        </w:p>
      </w:tc>
    </w:tr>
  </w:tbl>
  <w:p w14:paraId="71D579B7" w14:textId="77777777" w:rsidR="003832F2" w:rsidRDefault="003832F2" w:rsidP="00E21E81">
    <w:pPr>
      <w:tabs>
        <w:tab w:val="left" w:pos="2024"/>
      </w:tabs>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8"/>
      <w:gridCol w:w="5075"/>
    </w:tblGrid>
    <w:tr w:rsidR="003832F2" w:rsidRPr="00CF2DAB" w14:paraId="7F0DD8F0" w14:textId="77777777" w:rsidTr="001F73BC">
      <w:tc>
        <w:tcPr>
          <w:tcW w:w="1432" w:type="pct"/>
          <w:tcMar>
            <w:bottom w:w="28" w:type="dxa"/>
          </w:tcMar>
          <w:vAlign w:val="bottom"/>
        </w:tcPr>
        <w:p w14:paraId="17301A22" w14:textId="2FC8E226" w:rsidR="003832F2" w:rsidRPr="002D0627" w:rsidRDefault="003832F2" w:rsidP="00AA69E2">
          <w:pPr>
            <w:spacing w:after="0"/>
            <w:jc w:val="left"/>
            <w:rPr>
              <w:sz w:val="18"/>
              <w:szCs w:val="20"/>
            </w:rPr>
          </w:pPr>
          <w:r>
            <w:rPr>
              <w:b/>
              <w:noProof/>
              <w:color w:val="0066FF"/>
              <w:sz w:val="18"/>
              <w:szCs w:val="20"/>
              <w:lang w:eastAsia="pl-PL"/>
            </w:rPr>
            <w:drawing>
              <wp:inline distT="0" distB="0" distL="0" distR="0" wp14:anchorId="489889C5" wp14:editId="1EEA2CBA">
                <wp:extent cx="1008000" cy="338400"/>
                <wp:effectExtent l="0" t="0" r="1905" b="508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5EEFAD5" w14:textId="292B5A3B" w:rsidR="003832F2" w:rsidRPr="002D0627" w:rsidRDefault="003832F2" w:rsidP="00FF606C">
          <w:pPr>
            <w:spacing w:after="60"/>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2C197F2B" w14:textId="72DD682F" w:rsidR="003832F2" w:rsidRPr="00CF2DAB" w:rsidRDefault="003832F2" w:rsidP="00AA69E2">
          <w:pPr>
            <w:spacing w:after="60"/>
            <w:jc w:val="right"/>
            <w:rPr>
              <w:sz w:val="16"/>
              <w:szCs w:val="20"/>
            </w:rPr>
          </w:pPr>
          <w:r w:rsidRPr="00CF2DAB">
            <w:rPr>
              <w:sz w:val="16"/>
              <w:szCs w:val="20"/>
            </w:rPr>
            <w:t>CS-ADR-DSN — Wydanie 4</w:t>
          </w:r>
        </w:p>
        <w:p w14:paraId="69305A87" w14:textId="6B798155" w:rsidR="003832F2" w:rsidRPr="00CF2DAB" w:rsidRDefault="003832F2" w:rsidP="00AA69E2">
          <w:pPr>
            <w:spacing w:after="0"/>
            <w:jc w:val="right"/>
            <w:rPr>
              <w:sz w:val="16"/>
              <w:szCs w:val="20"/>
            </w:rPr>
          </w:pPr>
          <w:r w:rsidRPr="00CF2DAB">
            <w:rPr>
              <w:sz w:val="16"/>
              <w:szCs w:val="20"/>
            </w:rPr>
            <w:t>Rozdział M — Pomoce wzrokowe dla nawigacji (światła)</w:t>
          </w:r>
        </w:p>
      </w:tc>
    </w:tr>
  </w:tbl>
  <w:p w14:paraId="654A7C22" w14:textId="408376D1" w:rsidR="003832F2" w:rsidRPr="004A78E7" w:rsidRDefault="003832F2" w:rsidP="004A78E7">
    <w:pPr>
      <w:pStyle w:val="Nagwek"/>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CF2DAB" w14:paraId="3C884035" w14:textId="77777777" w:rsidTr="001F73BC">
      <w:tc>
        <w:tcPr>
          <w:tcW w:w="1432" w:type="pct"/>
          <w:tcMar>
            <w:bottom w:w="28" w:type="dxa"/>
          </w:tcMar>
          <w:vAlign w:val="bottom"/>
        </w:tcPr>
        <w:p w14:paraId="1EEB20F4" w14:textId="03D79B81" w:rsidR="003832F2" w:rsidRPr="002D0627" w:rsidRDefault="003832F2" w:rsidP="00AA69E2">
          <w:pPr>
            <w:spacing w:after="0"/>
            <w:jc w:val="left"/>
            <w:rPr>
              <w:sz w:val="18"/>
              <w:szCs w:val="20"/>
            </w:rPr>
          </w:pPr>
          <w:r>
            <w:rPr>
              <w:b/>
              <w:noProof/>
              <w:color w:val="0066FF"/>
              <w:sz w:val="18"/>
              <w:szCs w:val="20"/>
              <w:lang w:eastAsia="pl-PL"/>
            </w:rPr>
            <w:drawing>
              <wp:inline distT="0" distB="0" distL="0" distR="0" wp14:anchorId="017556F8" wp14:editId="0D9616ED">
                <wp:extent cx="1008000" cy="338400"/>
                <wp:effectExtent l="0" t="0" r="1905" b="508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AA9D4CC" w14:textId="09AA52BA" w:rsidR="003832F2" w:rsidRPr="002D0627" w:rsidRDefault="003832F2" w:rsidP="00FF606C">
          <w:pPr>
            <w:spacing w:after="60"/>
            <w:ind w:right="119"/>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30554517" w14:textId="7683346B" w:rsidR="003832F2" w:rsidRPr="00CF2DAB" w:rsidRDefault="003832F2" w:rsidP="00AA69E2">
          <w:pPr>
            <w:spacing w:after="60"/>
            <w:jc w:val="right"/>
            <w:rPr>
              <w:sz w:val="16"/>
              <w:szCs w:val="20"/>
            </w:rPr>
          </w:pPr>
          <w:r w:rsidRPr="00CF2DAB">
            <w:rPr>
              <w:sz w:val="16"/>
              <w:szCs w:val="20"/>
            </w:rPr>
            <w:t>CS-ADR-DSN — Wydanie 4</w:t>
          </w:r>
        </w:p>
        <w:p w14:paraId="524858EC" w14:textId="77777777" w:rsidR="003832F2" w:rsidRPr="00CF2DAB" w:rsidRDefault="003832F2" w:rsidP="00AA69E2">
          <w:pPr>
            <w:spacing w:after="0"/>
            <w:jc w:val="right"/>
            <w:rPr>
              <w:sz w:val="16"/>
              <w:szCs w:val="20"/>
            </w:rPr>
          </w:pPr>
          <w:r w:rsidRPr="00CF2DAB">
            <w:rPr>
              <w:sz w:val="16"/>
              <w:szCs w:val="20"/>
            </w:rPr>
            <w:t>Rozdział M — Pomoce wzrokowe</w:t>
          </w:r>
          <w:r w:rsidRPr="00CF2DAB">
            <w:rPr>
              <w:sz w:val="16"/>
              <w:szCs w:val="20"/>
            </w:rPr>
            <w:br/>
            <w:t>dla nawigacji (światła)</w:t>
          </w:r>
        </w:p>
      </w:tc>
    </w:tr>
  </w:tbl>
  <w:p w14:paraId="69CFEBA0" w14:textId="7117B67D" w:rsidR="003832F2" w:rsidRPr="004A78E7" w:rsidRDefault="003832F2" w:rsidP="004A78E7">
    <w:pPr>
      <w:pStyle w:val="Bezodstpw"/>
      <w:spacing w:after="40"/>
      <w:jc w:val="both"/>
      <w:rPr>
        <w:rFonts w:ascii="Verdana" w:hAnsi="Verdana"/>
        <w:i w:val="0"/>
        <w:szCs w:val="16"/>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1B69BAC4" w14:textId="77777777" w:rsidTr="001F73BC">
      <w:tc>
        <w:tcPr>
          <w:tcW w:w="1432" w:type="pct"/>
          <w:tcMar>
            <w:bottom w:w="28" w:type="dxa"/>
          </w:tcMar>
          <w:vAlign w:val="bottom"/>
        </w:tcPr>
        <w:p w14:paraId="78D2A786" w14:textId="2BBA3690" w:rsidR="003832F2" w:rsidRPr="002D0627" w:rsidRDefault="003832F2" w:rsidP="00AA69E2">
          <w:pPr>
            <w:spacing w:after="0"/>
            <w:jc w:val="left"/>
            <w:rPr>
              <w:sz w:val="18"/>
              <w:szCs w:val="20"/>
            </w:rPr>
          </w:pPr>
          <w:r>
            <w:rPr>
              <w:b/>
              <w:noProof/>
              <w:color w:val="0066FF"/>
              <w:sz w:val="18"/>
              <w:szCs w:val="20"/>
              <w:lang w:eastAsia="pl-PL"/>
            </w:rPr>
            <w:drawing>
              <wp:inline distT="0" distB="0" distL="0" distR="0" wp14:anchorId="21CC0975" wp14:editId="2B938A7F">
                <wp:extent cx="1008000" cy="338400"/>
                <wp:effectExtent l="0" t="0" r="1905" b="508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5B98CA50" w14:textId="559EC345" w:rsidR="003832F2" w:rsidRPr="002D0627" w:rsidRDefault="003832F2" w:rsidP="00FF606C">
          <w:pPr>
            <w:spacing w:after="60"/>
            <w:ind w:right="119"/>
            <w:jc w:val="center"/>
            <w:rPr>
              <w:i/>
              <w:sz w:val="16"/>
              <w:szCs w:val="20"/>
            </w:rPr>
          </w:pPr>
          <w:r w:rsidRPr="00FF606C">
            <w:rPr>
              <w:i/>
              <w:color w:val="0066CC"/>
              <w:sz w:val="16"/>
              <w:szCs w:val="20"/>
            </w:rPr>
            <w:t>Łatwo Dostępne Przepisy dla Lotnisk</w:t>
          </w:r>
          <w:r>
            <w:rPr>
              <w:i/>
              <w:color w:val="0066CC"/>
              <w:sz w:val="16"/>
              <w:szCs w:val="20"/>
            </w:rPr>
            <w:br/>
          </w:r>
          <w:r w:rsidRPr="00FF606C">
            <w:rPr>
              <w:i/>
              <w:color w:val="0066CC"/>
              <w:sz w:val="16"/>
              <w:szCs w:val="20"/>
            </w:rPr>
            <w:t>(Rozporządzenie (UE) Nr 139/2014)</w:t>
          </w:r>
        </w:p>
      </w:tc>
      <w:tc>
        <w:tcPr>
          <w:tcW w:w="1813" w:type="pct"/>
          <w:vAlign w:val="bottom"/>
        </w:tcPr>
        <w:p w14:paraId="0F963BFA" w14:textId="4B059DEF" w:rsidR="003832F2" w:rsidRPr="00CF2DAB" w:rsidRDefault="003832F2" w:rsidP="00AA69E2">
          <w:pPr>
            <w:spacing w:after="60"/>
            <w:jc w:val="right"/>
            <w:rPr>
              <w:sz w:val="16"/>
              <w:szCs w:val="20"/>
            </w:rPr>
          </w:pPr>
          <w:r w:rsidRPr="00CF2DAB">
            <w:rPr>
              <w:sz w:val="16"/>
              <w:szCs w:val="20"/>
            </w:rPr>
            <w:t>CS-ADR-DSN — Wydanie 4</w:t>
          </w:r>
        </w:p>
        <w:p w14:paraId="1187A24A" w14:textId="77777777" w:rsidR="003832F2" w:rsidRPr="002F2987" w:rsidRDefault="003832F2" w:rsidP="00AA69E2">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3C8B0E0F" w14:textId="77777777" w:rsidR="003832F2" w:rsidRPr="004A78E7" w:rsidRDefault="003832F2" w:rsidP="004A78E7">
    <w:pPr>
      <w:pStyle w:val="Nagwek"/>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5"/>
      <w:gridCol w:w="5078"/>
    </w:tblGrid>
    <w:tr w:rsidR="003832F2" w:rsidRPr="00CF2DAB" w14:paraId="02AAB697" w14:textId="77777777" w:rsidTr="001F73BC">
      <w:tc>
        <w:tcPr>
          <w:tcW w:w="1432" w:type="pct"/>
          <w:tcMar>
            <w:bottom w:w="28" w:type="dxa"/>
          </w:tcMar>
          <w:vAlign w:val="bottom"/>
        </w:tcPr>
        <w:p w14:paraId="4B6BD27B" w14:textId="0FEC1F61" w:rsidR="003832F2" w:rsidRPr="002D0627" w:rsidRDefault="003832F2" w:rsidP="00714F44">
          <w:pPr>
            <w:spacing w:after="0"/>
            <w:jc w:val="left"/>
            <w:rPr>
              <w:sz w:val="18"/>
              <w:szCs w:val="20"/>
            </w:rPr>
          </w:pPr>
          <w:r>
            <w:rPr>
              <w:b/>
              <w:noProof/>
              <w:color w:val="0066FF"/>
              <w:sz w:val="18"/>
              <w:szCs w:val="20"/>
              <w:lang w:eastAsia="pl-PL"/>
            </w:rPr>
            <w:drawing>
              <wp:inline distT="0" distB="0" distL="0" distR="0" wp14:anchorId="707C7D50" wp14:editId="72E0654A">
                <wp:extent cx="1008000" cy="338400"/>
                <wp:effectExtent l="0" t="0" r="1905" b="508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5" w:type="pct"/>
          <w:vAlign w:val="bottom"/>
        </w:tcPr>
        <w:p w14:paraId="1B9D7C4F" w14:textId="4D9569A4" w:rsidR="003832F2" w:rsidRPr="002D0627" w:rsidRDefault="003832F2" w:rsidP="00FF606C">
          <w:pPr>
            <w:spacing w:after="60"/>
            <w:ind w:right="397"/>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03B6A325" w14:textId="4C12605C" w:rsidR="003832F2" w:rsidRPr="00CF2DAB" w:rsidRDefault="003832F2" w:rsidP="00714F44">
          <w:pPr>
            <w:spacing w:after="60"/>
            <w:jc w:val="right"/>
            <w:rPr>
              <w:sz w:val="16"/>
              <w:szCs w:val="20"/>
            </w:rPr>
          </w:pPr>
          <w:r w:rsidRPr="00CF2DAB">
            <w:rPr>
              <w:sz w:val="16"/>
              <w:szCs w:val="20"/>
            </w:rPr>
            <w:t>CS-ADR-DSN — Wydanie 4</w:t>
          </w:r>
        </w:p>
        <w:p w14:paraId="109D6EA7" w14:textId="77777777" w:rsidR="003832F2" w:rsidRPr="00CF2DAB" w:rsidRDefault="003832F2" w:rsidP="00714F44">
          <w:pPr>
            <w:spacing w:after="0"/>
            <w:jc w:val="right"/>
            <w:rPr>
              <w:sz w:val="16"/>
              <w:szCs w:val="20"/>
            </w:rPr>
          </w:pPr>
          <w:r w:rsidRPr="00CF2DAB">
            <w:rPr>
              <w:sz w:val="16"/>
              <w:szCs w:val="20"/>
            </w:rPr>
            <w:t>Rozdział M — Pomoce wzrokowe dla nawigacji (światła)</w:t>
          </w:r>
        </w:p>
      </w:tc>
    </w:tr>
  </w:tbl>
  <w:p w14:paraId="5D77E0B9" w14:textId="79774590" w:rsidR="003832F2" w:rsidRPr="003C3F92" w:rsidRDefault="003832F2" w:rsidP="003C3F92">
    <w:pPr>
      <w:pStyle w:val="Bezodstpw"/>
      <w:spacing w:after="40"/>
      <w:jc w:val="both"/>
      <w:rPr>
        <w:rFonts w:ascii="Verdana" w:hAnsi="Verdana"/>
        <w:i w:val="0"/>
        <w:szCs w:val="16"/>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4011"/>
      <w:gridCol w:w="4915"/>
      <w:gridCol w:w="5078"/>
    </w:tblGrid>
    <w:tr w:rsidR="003832F2" w:rsidRPr="00CF2DAB" w14:paraId="5EA6E1EC" w14:textId="77777777" w:rsidTr="001F73BC">
      <w:tc>
        <w:tcPr>
          <w:tcW w:w="1432" w:type="pct"/>
          <w:tcMar>
            <w:bottom w:w="28" w:type="dxa"/>
          </w:tcMar>
          <w:vAlign w:val="bottom"/>
        </w:tcPr>
        <w:p w14:paraId="45D32C82" w14:textId="41D75279" w:rsidR="003832F2" w:rsidRPr="002D0627" w:rsidRDefault="003832F2" w:rsidP="00714F44">
          <w:pPr>
            <w:spacing w:after="0"/>
            <w:jc w:val="left"/>
            <w:rPr>
              <w:sz w:val="18"/>
              <w:szCs w:val="20"/>
            </w:rPr>
          </w:pPr>
          <w:r>
            <w:rPr>
              <w:b/>
              <w:noProof/>
              <w:color w:val="0066FF"/>
              <w:sz w:val="18"/>
              <w:szCs w:val="20"/>
              <w:lang w:eastAsia="pl-PL"/>
            </w:rPr>
            <w:drawing>
              <wp:inline distT="0" distB="0" distL="0" distR="0" wp14:anchorId="7C83C784" wp14:editId="668A11CE">
                <wp:extent cx="1008000" cy="338400"/>
                <wp:effectExtent l="0" t="0" r="1905" b="508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5" w:type="pct"/>
          <w:vAlign w:val="bottom"/>
        </w:tcPr>
        <w:p w14:paraId="515F4048" w14:textId="77777777" w:rsidR="003832F2" w:rsidRPr="00FF606C" w:rsidRDefault="003832F2" w:rsidP="00714F44">
          <w:pPr>
            <w:spacing w:after="0"/>
            <w:ind w:right="396"/>
            <w:jc w:val="center"/>
            <w:rPr>
              <w:i/>
              <w:color w:val="0066CC"/>
              <w:sz w:val="16"/>
              <w:szCs w:val="20"/>
            </w:rPr>
          </w:pPr>
          <w:r w:rsidRPr="00FF606C">
            <w:rPr>
              <w:i/>
              <w:color w:val="0066CC"/>
              <w:sz w:val="16"/>
              <w:szCs w:val="20"/>
            </w:rPr>
            <w:t>Łatwo Dostępne Przepisy dla Lotnisk</w:t>
          </w:r>
        </w:p>
        <w:p w14:paraId="4E31E7D1" w14:textId="77777777" w:rsidR="003832F2" w:rsidRPr="002D0627" w:rsidRDefault="003832F2" w:rsidP="00714F44">
          <w:pPr>
            <w:spacing w:after="0"/>
            <w:ind w:right="396"/>
            <w:jc w:val="center"/>
            <w:rPr>
              <w:i/>
              <w:sz w:val="16"/>
              <w:szCs w:val="20"/>
            </w:rPr>
          </w:pPr>
          <w:r w:rsidRPr="00FF606C">
            <w:rPr>
              <w:i/>
              <w:color w:val="0066CC"/>
              <w:sz w:val="16"/>
              <w:szCs w:val="20"/>
            </w:rPr>
            <w:t>(Rozporządzenie (UE) Nr 139/2014)</w:t>
          </w:r>
        </w:p>
      </w:tc>
      <w:tc>
        <w:tcPr>
          <w:tcW w:w="1813" w:type="pct"/>
          <w:vAlign w:val="bottom"/>
        </w:tcPr>
        <w:p w14:paraId="6B9718B6" w14:textId="5BCCE5D9" w:rsidR="003832F2" w:rsidRPr="00CF2DAB" w:rsidRDefault="003832F2" w:rsidP="00714F44">
          <w:pPr>
            <w:spacing w:after="60"/>
            <w:jc w:val="right"/>
            <w:rPr>
              <w:sz w:val="16"/>
              <w:szCs w:val="20"/>
            </w:rPr>
          </w:pPr>
          <w:r w:rsidRPr="00CF2DAB">
            <w:rPr>
              <w:sz w:val="16"/>
              <w:szCs w:val="20"/>
            </w:rPr>
            <w:t>CS-ADR-DSN — Wydanie 4</w:t>
          </w:r>
        </w:p>
        <w:p w14:paraId="1E9BEB84" w14:textId="46A1667C" w:rsidR="003832F2" w:rsidRPr="00CF2DAB" w:rsidRDefault="003832F2" w:rsidP="00714F44">
          <w:pPr>
            <w:spacing w:after="0"/>
            <w:jc w:val="right"/>
            <w:rPr>
              <w:sz w:val="16"/>
              <w:szCs w:val="20"/>
            </w:rPr>
          </w:pPr>
          <w:r w:rsidRPr="00CF2DAB">
            <w:rPr>
              <w:sz w:val="16"/>
              <w:szCs w:val="20"/>
            </w:rPr>
            <w:t>Rozdział M — Pomoce wzrokowe dla nawigacji (światła)</w:t>
          </w:r>
        </w:p>
      </w:tc>
    </w:tr>
  </w:tbl>
  <w:p w14:paraId="648DD040" w14:textId="77777777" w:rsidR="003832F2" w:rsidRPr="00145AA8" w:rsidRDefault="003832F2" w:rsidP="00C36D76">
    <w:pPr>
      <w:pStyle w:val="Nagwek"/>
      <w:rPr>
        <w:szCs w:val="16"/>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CF2DAB" w14:paraId="480F5231" w14:textId="77777777" w:rsidTr="001F73BC">
      <w:tc>
        <w:tcPr>
          <w:tcW w:w="1432" w:type="pct"/>
          <w:tcMar>
            <w:bottom w:w="28" w:type="dxa"/>
          </w:tcMar>
          <w:vAlign w:val="bottom"/>
        </w:tcPr>
        <w:p w14:paraId="5BFE0AB7" w14:textId="587D927B" w:rsidR="003832F2" w:rsidRPr="002D0627" w:rsidRDefault="003832F2" w:rsidP="00714F44">
          <w:pPr>
            <w:spacing w:after="0"/>
            <w:jc w:val="left"/>
            <w:rPr>
              <w:sz w:val="18"/>
              <w:szCs w:val="20"/>
            </w:rPr>
          </w:pPr>
          <w:r>
            <w:rPr>
              <w:b/>
              <w:noProof/>
              <w:color w:val="0066FF"/>
              <w:sz w:val="18"/>
              <w:szCs w:val="20"/>
              <w:lang w:eastAsia="pl-PL"/>
            </w:rPr>
            <w:drawing>
              <wp:inline distT="0" distB="0" distL="0" distR="0" wp14:anchorId="64695884" wp14:editId="3875A602">
                <wp:extent cx="1008000" cy="338400"/>
                <wp:effectExtent l="0" t="0" r="1905" b="508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40CDFE6" w14:textId="12C0BCBA" w:rsidR="003832F2" w:rsidRPr="006A5150" w:rsidRDefault="003832F2" w:rsidP="006A5150">
          <w:pPr>
            <w:spacing w:after="60"/>
            <w:ind w:right="119"/>
            <w:jc w:val="center"/>
            <w:rPr>
              <w:i/>
              <w:color w:val="0066CC"/>
              <w:sz w:val="16"/>
              <w:szCs w:val="20"/>
            </w:rPr>
          </w:pPr>
          <w:r w:rsidRPr="006A5150">
            <w:rPr>
              <w:i/>
              <w:color w:val="0066CC"/>
              <w:sz w:val="16"/>
              <w:szCs w:val="20"/>
            </w:rPr>
            <w:t xml:space="preserve">Łatwo </w:t>
          </w:r>
          <w:r w:rsidRPr="00FF606C">
            <w:rPr>
              <w:i/>
              <w:color w:val="0066CC"/>
              <w:sz w:val="16"/>
              <w:szCs w:val="20"/>
            </w:rPr>
            <w:t>Dostępne</w:t>
          </w:r>
          <w:r w:rsidRPr="006A5150">
            <w:rPr>
              <w:i/>
              <w:color w:val="0066CC"/>
              <w:sz w:val="16"/>
              <w:szCs w:val="20"/>
            </w:rPr>
            <w:t xml:space="preserve"> Przepisy dla Lotnisk</w:t>
          </w:r>
          <w:r>
            <w:rPr>
              <w:i/>
              <w:color w:val="0066CC"/>
              <w:sz w:val="16"/>
              <w:szCs w:val="20"/>
            </w:rPr>
            <w:br/>
          </w:r>
          <w:r w:rsidRPr="006A5150">
            <w:rPr>
              <w:i/>
              <w:color w:val="0066CC"/>
              <w:sz w:val="16"/>
              <w:szCs w:val="20"/>
            </w:rPr>
            <w:t>(Rozporządzenie (UE) Nr 139/2014)</w:t>
          </w:r>
        </w:p>
      </w:tc>
      <w:tc>
        <w:tcPr>
          <w:tcW w:w="1813" w:type="pct"/>
          <w:vAlign w:val="bottom"/>
        </w:tcPr>
        <w:p w14:paraId="6CF63F30" w14:textId="7A297E63" w:rsidR="003832F2" w:rsidRPr="00CF2DAB" w:rsidRDefault="003832F2" w:rsidP="00714F44">
          <w:pPr>
            <w:spacing w:after="60"/>
            <w:jc w:val="right"/>
            <w:rPr>
              <w:sz w:val="16"/>
              <w:szCs w:val="20"/>
            </w:rPr>
          </w:pPr>
          <w:r w:rsidRPr="00CF2DAB">
            <w:rPr>
              <w:sz w:val="16"/>
              <w:szCs w:val="20"/>
            </w:rPr>
            <w:t>CS-ADR-DSN — Wydanie 4</w:t>
          </w:r>
        </w:p>
        <w:p w14:paraId="3DE2FCF7" w14:textId="77777777" w:rsidR="003832F2" w:rsidRPr="00CF2DAB" w:rsidRDefault="003832F2" w:rsidP="00714F44">
          <w:pPr>
            <w:spacing w:after="0"/>
            <w:jc w:val="right"/>
            <w:rPr>
              <w:sz w:val="16"/>
              <w:szCs w:val="20"/>
            </w:rPr>
          </w:pPr>
          <w:r w:rsidRPr="00CF2DAB">
            <w:rPr>
              <w:sz w:val="16"/>
              <w:szCs w:val="20"/>
            </w:rPr>
            <w:t>Rozdział M — Pomoce wzrokowe</w:t>
          </w:r>
          <w:r w:rsidRPr="00CF2DAB">
            <w:rPr>
              <w:sz w:val="16"/>
              <w:szCs w:val="20"/>
            </w:rPr>
            <w:br/>
            <w:t>dla nawigacji (światła)</w:t>
          </w:r>
        </w:p>
      </w:tc>
    </w:tr>
  </w:tbl>
  <w:p w14:paraId="2EC75244" w14:textId="35DC3C91" w:rsidR="003832F2" w:rsidRPr="003C3F92" w:rsidRDefault="003832F2" w:rsidP="003C3F92">
    <w:pPr>
      <w:pStyle w:val="Bezodstpw"/>
      <w:spacing w:after="40"/>
      <w:jc w:val="both"/>
      <w:rPr>
        <w:rFonts w:ascii="Verdana" w:hAnsi="Verdana"/>
        <w:i w:val="0"/>
        <w:szCs w:val="16"/>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2B37BA44" w14:textId="77777777" w:rsidTr="001F73BC">
      <w:tc>
        <w:tcPr>
          <w:tcW w:w="1432" w:type="pct"/>
          <w:tcMar>
            <w:bottom w:w="28" w:type="dxa"/>
          </w:tcMar>
          <w:vAlign w:val="bottom"/>
        </w:tcPr>
        <w:p w14:paraId="725C213C" w14:textId="1E3081D1" w:rsidR="003832F2" w:rsidRPr="002D0627" w:rsidRDefault="003832F2" w:rsidP="00714F44">
          <w:pPr>
            <w:spacing w:after="0"/>
            <w:jc w:val="left"/>
            <w:rPr>
              <w:sz w:val="18"/>
              <w:szCs w:val="20"/>
            </w:rPr>
          </w:pPr>
          <w:r>
            <w:rPr>
              <w:b/>
              <w:noProof/>
              <w:color w:val="0066FF"/>
              <w:sz w:val="18"/>
              <w:szCs w:val="20"/>
              <w:lang w:eastAsia="pl-PL"/>
            </w:rPr>
            <w:drawing>
              <wp:inline distT="0" distB="0" distL="0" distR="0" wp14:anchorId="45F0F343" wp14:editId="47B11DFE">
                <wp:extent cx="1008000" cy="338400"/>
                <wp:effectExtent l="0" t="0" r="1905" b="508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24BCDF1" w14:textId="455C1ED3" w:rsidR="003832F2" w:rsidRPr="002D0627" w:rsidRDefault="003832F2" w:rsidP="00FF606C">
          <w:pPr>
            <w:spacing w:after="60"/>
            <w:ind w:right="119"/>
            <w:jc w:val="center"/>
            <w:rPr>
              <w:i/>
              <w:sz w:val="16"/>
              <w:szCs w:val="20"/>
            </w:rPr>
          </w:pPr>
          <w:r w:rsidRPr="00FF606C">
            <w:rPr>
              <w:i/>
              <w:color w:val="0066CC"/>
              <w:sz w:val="16"/>
              <w:szCs w:val="20"/>
            </w:rPr>
            <w:t>Łatwo Dostępne Przepisy dla Lotnisk</w:t>
          </w:r>
          <w:r w:rsidRPr="00FF606C">
            <w:rPr>
              <w:i/>
              <w:color w:val="0066CC"/>
              <w:sz w:val="16"/>
              <w:szCs w:val="20"/>
            </w:rPr>
            <w:br/>
            <w:t>(Rozporządzenie (UE) Nr 139/2014)</w:t>
          </w:r>
        </w:p>
      </w:tc>
      <w:tc>
        <w:tcPr>
          <w:tcW w:w="1813" w:type="pct"/>
          <w:vAlign w:val="bottom"/>
        </w:tcPr>
        <w:p w14:paraId="51284EE5" w14:textId="0472382F" w:rsidR="003832F2" w:rsidRPr="00CF2DAB" w:rsidRDefault="003832F2" w:rsidP="00714F44">
          <w:pPr>
            <w:spacing w:after="60"/>
            <w:jc w:val="right"/>
            <w:rPr>
              <w:sz w:val="16"/>
              <w:szCs w:val="20"/>
            </w:rPr>
          </w:pPr>
          <w:r w:rsidRPr="00CF2DAB">
            <w:rPr>
              <w:sz w:val="16"/>
              <w:szCs w:val="20"/>
            </w:rPr>
            <w:t>CS-ADR-DSN — Wydanie 4</w:t>
          </w:r>
        </w:p>
        <w:p w14:paraId="126797D0" w14:textId="77777777" w:rsidR="003832F2" w:rsidRPr="002F2987" w:rsidRDefault="003832F2" w:rsidP="00714F44">
          <w:pPr>
            <w:spacing w:after="0"/>
            <w:jc w:val="right"/>
            <w:rPr>
              <w:sz w:val="16"/>
              <w:szCs w:val="20"/>
            </w:rPr>
          </w:pPr>
          <w:r>
            <w:rPr>
              <w:sz w:val="16"/>
              <w:szCs w:val="20"/>
            </w:rPr>
            <w:t>Rozdział M</w:t>
          </w:r>
          <w:r w:rsidRPr="00E84442">
            <w:rPr>
              <w:sz w:val="16"/>
              <w:szCs w:val="20"/>
            </w:rPr>
            <w:t xml:space="preserve"> — </w:t>
          </w:r>
          <w:r w:rsidRPr="002B0440">
            <w:rPr>
              <w:sz w:val="16"/>
              <w:szCs w:val="20"/>
            </w:rPr>
            <w:t>Pomoce wzrokowe</w:t>
          </w:r>
          <w:r>
            <w:rPr>
              <w:sz w:val="16"/>
              <w:szCs w:val="20"/>
            </w:rPr>
            <w:br/>
          </w:r>
          <w:r w:rsidRPr="002B0440">
            <w:rPr>
              <w:sz w:val="16"/>
              <w:szCs w:val="20"/>
            </w:rPr>
            <w:t>dla</w:t>
          </w:r>
          <w:r>
            <w:rPr>
              <w:sz w:val="16"/>
              <w:szCs w:val="20"/>
            </w:rPr>
            <w:t xml:space="preserve"> </w:t>
          </w:r>
          <w:r w:rsidRPr="002B0440">
            <w:rPr>
              <w:sz w:val="16"/>
              <w:szCs w:val="20"/>
            </w:rPr>
            <w:t>nawigacji (</w:t>
          </w:r>
          <w:r>
            <w:rPr>
              <w:sz w:val="16"/>
              <w:szCs w:val="20"/>
            </w:rPr>
            <w:t>światła</w:t>
          </w:r>
          <w:r w:rsidRPr="002B0440">
            <w:rPr>
              <w:sz w:val="16"/>
              <w:szCs w:val="20"/>
            </w:rPr>
            <w:t>)</w:t>
          </w:r>
        </w:p>
      </w:tc>
    </w:tr>
  </w:tbl>
  <w:p w14:paraId="76DF6B5A" w14:textId="6AC6D79A" w:rsidR="003832F2" w:rsidRPr="003C3F92" w:rsidRDefault="003832F2" w:rsidP="003C3F92">
    <w:pPr>
      <w:pStyle w:val="Nagwek"/>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1FC20744" w14:textId="77777777" w:rsidTr="001F73BC">
      <w:tc>
        <w:tcPr>
          <w:tcW w:w="1432" w:type="pct"/>
          <w:tcMar>
            <w:bottom w:w="28" w:type="dxa"/>
          </w:tcMar>
          <w:vAlign w:val="bottom"/>
        </w:tcPr>
        <w:p w14:paraId="61324702" w14:textId="7ACCFB81"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24D98B1C" wp14:editId="48BA85C4">
                <wp:extent cx="1008000" cy="338400"/>
                <wp:effectExtent l="0" t="0" r="1905" b="5080"/>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EADC897" w14:textId="7B3C5CE4" w:rsidR="003832F2" w:rsidRPr="006A5150" w:rsidRDefault="003832F2" w:rsidP="006A5150">
          <w:pPr>
            <w:spacing w:after="60"/>
            <w:ind w:right="119"/>
            <w:jc w:val="center"/>
            <w:rPr>
              <w:i/>
              <w:color w:val="0066CC"/>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3" w:type="pct"/>
          <w:vAlign w:val="bottom"/>
        </w:tcPr>
        <w:p w14:paraId="7BF53580" w14:textId="75EA6453" w:rsidR="003832F2" w:rsidRPr="00CF2DAB" w:rsidRDefault="003832F2" w:rsidP="00B11E44">
          <w:pPr>
            <w:spacing w:after="60"/>
            <w:jc w:val="right"/>
            <w:rPr>
              <w:sz w:val="16"/>
              <w:szCs w:val="20"/>
            </w:rPr>
          </w:pPr>
          <w:r w:rsidRPr="00CF2DAB">
            <w:rPr>
              <w:sz w:val="16"/>
              <w:szCs w:val="20"/>
            </w:rPr>
            <w:t>CS-ADR-DSN — Wydanie 4</w:t>
          </w:r>
        </w:p>
        <w:p w14:paraId="091257E1" w14:textId="77777777" w:rsidR="003832F2" w:rsidRPr="002F2987" w:rsidRDefault="003832F2" w:rsidP="00B11E44">
          <w:pPr>
            <w:spacing w:after="0"/>
            <w:jc w:val="right"/>
            <w:rPr>
              <w:sz w:val="16"/>
              <w:szCs w:val="20"/>
            </w:rPr>
          </w:pPr>
          <w:r>
            <w:rPr>
              <w:sz w:val="16"/>
              <w:szCs w:val="20"/>
            </w:rPr>
            <w:t>Rozdział N</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znaki pionowe)</w:t>
          </w:r>
        </w:p>
      </w:tc>
    </w:tr>
  </w:tbl>
  <w:p w14:paraId="159C3D29" w14:textId="2B3B9514" w:rsidR="003832F2" w:rsidRPr="003C3F92" w:rsidRDefault="003832F2" w:rsidP="003C3F92">
    <w:pPr>
      <w:pStyle w:val="Nagwek"/>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8E8FDE5" w14:textId="77777777" w:rsidTr="001F73BC">
      <w:tc>
        <w:tcPr>
          <w:tcW w:w="1432" w:type="pct"/>
          <w:tcMar>
            <w:bottom w:w="28" w:type="dxa"/>
          </w:tcMar>
          <w:vAlign w:val="bottom"/>
        </w:tcPr>
        <w:p w14:paraId="27438E39" w14:textId="531F2432"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6CBC7225" wp14:editId="1473E96F">
                <wp:extent cx="1008000" cy="338400"/>
                <wp:effectExtent l="0" t="0" r="1905" b="5080"/>
                <wp:docPr id="167" name="Obraz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3A589C8" w14:textId="6B7090F7" w:rsidR="003832F2" w:rsidRPr="002D0627" w:rsidRDefault="003832F2" w:rsidP="006A5150">
          <w:pPr>
            <w:spacing w:after="60"/>
            <w:ind w:right="119"/>
            <w:jc w:val="center"/>
            <w:rPr>
              <w:i/>
              <w:sz w:val="16"/>
              <w:szCs w:val="20"/>
            </w:rPr>
          </w:pPr>
          <w:r w:rsidRPr="006A5150">
            <w:rPr>
              <w:i/>
              <w:color w:val="0066CC"/>
              <w:sz w:val="16"/>
              <w:szCs w:val="20"/>
            </w:rPr>
            <w:t>Łatwo Dostępne Przepisy dla Lotnisk</w:t>
          </w:r>
          <w:r>
            <w:rPr>
              <w:i/>
              <w:color w:val="0066CC"/>
              <w:sz w:val="16"/>
              <w:szCs w:val="20"/>
            </w:rPr>
            <w:br/>
          </w:r>
          <w:r w:rsidRPr="006A5150">
            <w:rPr>
              <w:i/>
              <w:color w:val="0066CC"/>
              <w:sz w:val="16"/>
              <w:szCs w:val="20"/>
            </w:rPr>
            <w:t>(Rozporządzenie (UE) Nr 139/2014)</w:t>
          </w:r>
        </w:p>
      </w:tc>
      <w:tc>
        <w:tcPr>
          <w:tcW w:w="1813" w:type="pct"/>
          <w:vAlign w:val="bottom"/>
        </w:tcPr>
        <w:p w14:paraId="40A3A44F" w14:textId="4928EF57" w:rsidR="003832F2" w:rsidRPr="00CF2DAB" w:rsidRDefault="003832F2" w:rsidP="00B11E44">
          <w:pPr>
            <w:spacing w:after="60"/>
            <w:jc w:val="right"/>
            <w:rPr>
              <w:sz w:val="16"/>
              <w:szCs w:val="20"/>
            </w:rPr>
          </w:pPr>
          <w:r w:rsidRPr="00CF2DAB">
            <w:rPr>
              <w:sz w:val="16"/>
              <w:szCs w:val="20"/>
            </w:rPr>
            <w:t>CS-ADR-DSN — Wydanie 4</w:t>
          </w:r>
        </w:p>
        <w:p w14:paraId="60E33EB1" w14:textId="18D2A899" w:rsidR="003832F2" w:rsidRPr="002F2987" w:rsidRDefault="003832F2" w:rsidP="00B11E44">
          <w:pPr>
            <w:spacing w:after="0"/>
            <w:jc w:val="right"/>
            <w:rPr>
              <w:sz w:val="16"/>
              <w:szCs w:val="20"/>
            </w:rPr>
          </w:pPr>
          <w:r>
            <w:rPr>
              <w:sz w:val="16"/>
              <w:szCs w:val="20"/>
            </w:rPr>
            <w:t>Rozdział N</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znaki pionowe)</w:t>
          </w:r>
        </w:p>
      </w:tc>
    </w:tr>
  </w:tbl>
  <w:p w14:paraId="121CDB26" w14:textId="77777777" w:rsidR="003832F2" w:rsidRPr="00817C77" w:rsidRDefault="003832F2" w:rsidP="00C36D76">
    <w:pPr>
      <w:pStyle w:val="Nagwek"/>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022D7EC2" w14:textId="77777777" w:rsidTr="001F73BC">
      <w:tc>
        <w:tcPr>
          <w:tcW w:w="1432" w:type="pct"/>
          <w:tcMar>
            <w:bottom w:w="28" w:type="dxa"/>
          </w:tcMar>
          <w:vAlign w:val="bottom"/>
        </w:tcPr>
        <w:p w14:paraId="79B8A6B6" w14:textId="1A0426C9"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2C50BF11" wp14:editId="30BEC50B">
                <wp:extent cx="1008000" cy="338400"/>
                <wp:effectExtent l="0" t="0" r="1905" b="508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0E36855" w14:textId="2AA9F988" w:rsidR="003832F2" w:rsidRPr="002D0627" w:rsidRDefault="003832F2" w:rsidP="006A5150">
          <w:pPr>
            <w:spacing w:after="60"/>
            <w:ind w:right="119"/>
            <w:jc w:val="center"/>
            <w:rPr>
              <w:i/>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2" w:type="pct"/>
          <w:vAlign w:val="bottom"/>
        </w:tcPr>
        <w:p w14:paraId="1F264A91" w14:textId="71A71C00" w:rsidR="003832F2" w:rsidRPr="00D37A7C" w:rsidRDefault="003832F2" w:rsidP="00B11E44">
          <w:pPr>
            <w:spacing w:after="60"/>
            <w:jc w:val="right"/>
            <w:rPr>
              <w:sz w:val="16"/>
              <w:szCs w:val="20"/>
            </w:rPr>
          </w:pPr>
          <w:r w:rsidRPr="00D37A7C">
            <w:rPr>
              <w:sz w:val="16"/>
              <w:szCs w:val="20"/>
            </w:rPr>
            <w:t>CS-ADR-DSN — Wydanie 4</w:t>
          </w:r>
        </w:p>
        <w:p w14:paraId="1B074D4F" w14:textId="77777777" w:rsidR="003832F2" w:rsidRPr="002F2987" w:rsidRDefault="003832F2" w:rsidP="00B11E44">
          <w:pPr>
            <w:spacing w:after="0"/>
            <w:jc w:val="right"/>
            <w:rPr>
              <w:sz w:val="16"/>
              <w:szCs w:val="20"/>
            </w:rPr>
          </w:pPr>
          <w:r>
            <w:rPr>
              <w:sz w:val="16"/>
              <w:szCs w:val="20"/>
            </w:rPr>
            <w:t>Rozdział P</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oznaczniki)</w:t>
          </w:r>
        </w:p>
      </w:tc>
    </w:tr>
  </w:tbl>
  <w:p w14:paraId="5D7DF803" w14:textId="3EA770FB" w:rsidR="003832F2" w:rsidRPr="003C3F92" w:rsidRDefault="003832F2" w:rsidP="003C3F92">
    <w:pPr>
      <w:pStyle w:val="Bezodstpw"/>
      <w:spacing w:after="40"/>
      <w:jc w:val="both"/>
      <w:rPr>
        <w:rFonts w:ascii="Verdana" w:hAnsi="Verdana"/>
        <w:i w:val="0"/>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5FBD5" w14:textId="50792C70" w:rsidR="003832F2" w:rsidRDefault="003832F2">
    <w:pPr>
      <w:pStyle w:val="Nagwek"/>
    </w:pPr>
  </w:p>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832386" w14:paraId="5F14E056" w14:textId="77777777" w:rsidTr="005E2368">
      <w:trPr>
        <w:jc w:val="center"/>
      </w:trPr>
      <w:tc>
        <w:tcPr>
          <w:tcW w:w="0" w:type="auto"/>
          <w:tcMar>
            <w:bottom w:w="57" w:type="dxa"/>
          </w:tcMar>
          <w:vAlign w:val="bottom"/>
        </w:tcPr>
        <w:p w14:paraId="782D4BFA" w14:textId="76E2CF22" w:rsidR="003832F2" w:rsidRPr="00BC23D0" w:rsidRDefault="003832F2" w:rsidP="009B7C7B">
          <w:pPr>
            <w:spacing w:after="0"/>
            <w:jc w:val="left"/>
            <w:rPr>
              <w:b/>
              <w:color w:val="0066FF"/>
              <w:sz w:val="18"/>
              <w:szCs w:val="20"/>
            </w:rPr>
          </w:pPr>
          <w:r>
            <w:rPr>
              <w:b/>
              <w:noProof/>
              <w:color w:val="0066FF"/>
              <w:sz w:val="18"/>
              <w:szCs w:val="20"/>
              <w:lang w:eastAsia="pl-PL"/>
            </w:rPr>
            <w:drawing>
              <wp:inline distT="0" distB="0" distL="0" distR="0" wp14:anchorId="76314D59" wp14:editId="5C71553A">
                <wp:extent cx="1008000" cy="338400"/>
                <wp:effectExtent l="0" t="0" r="1905"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379A9CEE" w14:textId="467D54D9" w:rsidR="003832F2" w:rsidRPr="00BC23D0" w:rsidRDefault="003832F2" w:rsidP="00CA7055">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41832450" w14:textId="39947588" w:rsidR="003832F2" w:rsidRPr="00832386" w:rsidRDefault="003832F2" w:rsidP="00FE23AD">
          <w:pPr>
            <w:spacing w:after="0"/>
            <w:jc w:val="right"/>
            <w:rPr>
              <w:sz w:val="16"/>
              <w:szCs w:val="20"/>
            </w:rPr>
          </w:pPr>
          <w:r>
            <w:rPr>
              <w:sz w:val="16"/>
              <w:szCs w:val="20"/>
            </w:rPr>
            <w:t>Wykaz z</w:t>
          </w:r>
          <w:r w:rsidRPr="00832386">
            <w:rPr>
              <w:sz w:val="16"/>
              <w:szCs w:val="20"/>
            </w:rPr>
            <w:t>mian</w:t>
          </w:r>
        </w:p>
      </w:tc>
    </w:tr>
  </w:tbl>
  <w:p w14:paraId="53AAA7AB" w14:textId="77777777" w:rsidR="003832F2" w:rsidRDefault="003832F2">
    <w:pPr>
      <w:pStyle w:val="Nagwek"/>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3668F2C4" w14:textId="77777777" w:rsidTr="001F73BC">
      <w:tc>
        <w:tcPr>
          <w:tcW w:w="1432" w:type="pct"/>
          <w:tcMar>
            <w:bottom w:w="28" w:type="dxa"/>
          </w:tcMar>
          <w:vAlign w:val="bottom"/>
        </w:tcPr>
        <w:p w14:paraId="672FCC12" w14:textId="0D0545B0"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1E4F1C8C" wp14:editId="5C06F5C2">
                <wp:extent cx="1008000" cy="338400"/>
                <wp:effectExtent l="0" t="0" r="1905" b="508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FB4C155" w14:textId="77777777" w:rsidR="003832F2" w:rsidRPr="006A5150" w:rsidRDefault="003832F2" w:rsidP="00B11E44">
          <w:pPr>
            <w:spacing w:after="0"/>
            <w:ind w:right="120"/>
            <w:jc w:val="center"/>
            <w:rPr>
              <w:i/>
              <w:color w:val="0066CC"/>
              <w:sz w:val="16"/>
              <w:szCs w:val="20"/>
            </w:rPr>
          </w:pPr>
          <w:r w:rsidRPr="006A5150">
            <w:rPr>
              <w:i/>
              <w:color w:val="0066CC"/>
              <w:sz w:val="16"/>
              <w:szCs w:val="20"/>
            </w:rPr>
            <w:t>Łatwo Dostępne Przepisy dla Lotnisk</w:t>
          </w:r>
        </w:p>
        <w:p w14:paraId="446997D8" w14:textId="77777777" w:rsidR="003832F2" w:rsidRPr="002D0627" w:rsidRDefault="003832F2" w:rsidP="00B11E44">
          <w:pPr>
            <w:spacing w:after="0"/>
            <w:ind w:right="120"/>
            <w:jc w:val="center"/>
            <w:rPr>
              <w:i/>
              <w:sz w:val="16"/>
              <w:szCs w:val="20"/>
            </w:rPr>
          </w:pPr>
          <w:r w:rsidRPr="006A5150">
            <w:rPr>
              <w:i/>
              <w:color w:val="0066CC"/>
              <w:sz w:val="16"/>
              <w:szCs w:val="20"/>
            </w:rPr>
            <w:t>(Rozporządzenie (UE) Nr 139/2014)</w:t>
          </w:r>
        </w:p>
      </w:tc>
      <w:tc>
        <w:tcPr>
          <w:tcW w:w="1813" w:type="pct"/>
          <w:vAlign w:val="bottom"/>
        </w:tcPr>
        <w:p w14:paraId="21F31BA1" w14:textId="69CDFD01" w:rsidR="003832F2" w:rsidRPr="00D37A7C" w:rsidRDefault="003832F2" w:rsidP="00B11E44">
          <w:pPr>
            <w:spacing w:after="60"/>
            <w:jc w:val="right"/>
            <w:rPr>
              <w:sz w:val="16"/>
              <w:szCs w:val="20"/>
            </w:rPr>
          </w:pPr>
          <w:r w:rsidRPr="00D37A7C">
            <w:rPr>
              <w:sz w:val="16"/>
              <w:szCs w:val="20"/>
            </w:rPr>
            <w:t>CS-ADR-DSN — Wydanie 4</w:t>
          </w:r>
        </w:p>
        <w:p w14:paraId="0677A105" w14:textId="54EFB6CC" w:rsidR="003832F2" w:rsidRPr="002F2987" w:rsidRDefault="003832F2" w:rsidP="00B11E44">
          <w:pPr>
            <w:spacing w:after="0"/>
            <w:jc w:val="right"/>
            <w:rPr>
              <w:sz w:val="16"/>
              <w:szCs w:val="20"/>
            </w:rPr>
          </w:pPr>
          <w:r>
            <w:rPr>
              <w:sz w:val="16"/>
              <w:szCs w:val="20"/>
            </w:rPr>
            <w:t>Rozdział P</w:t>
          </w:r>
          <w:r w:rsidRPr="00E84442">
            <w:rPr>
              <w:sz w:val="16"/>
              <w:szCs w:val="20"/>
            </w:rPr>
            <w:t xml:space="preserve"> — </w:t>
          </w:r>
          <w:r w:rsidRPr="002B0440">
            <w:rPr>
              <w:sz w:val="16"/>
              <w:szCs w:val="20"/>
            </w:rPr>
            <w:t xml:space="preserve">Pomoce wzrokowe dla </w:t>
          </w:r>
          <w:r>
            <w:rPr>
              <w:sz w:val="16"/>
              <w:szCs w:val="20"/>
            </w:rPr>
            <w:br/>
          </w:r>
          <w:r w:rsidRPr="002B0440">
            <w:rPr>
              <w:sz w:val="16"/>
              <w:szCs w:val="20"/>
            </w:rPr>
            <w:t>nawigacji (</w:t>
          </w:r>
          <w:r>
            <w:rPr>
              <w:sz w:val="16"/>
              <w:szCs w:val="20"/>
            </w:rPr>
            <w:t>oznaczniki)</w:t>
          </w:r>
        </w:p>
      </w:tc>
    </w:tr>
  </w:tbl>
  <w:p w14:paraId="58836DAD" w14:textId="77777777" w:rsidR="003832F2" w:rsidRPr="00817C77" w:rsidRDefault="003832F2" w:rsidP="00C36D76">
    <w:pPr>
      <w:pStyle w:val="Nagwek"/>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23F5CCEF" w14:textId="77777777" w:rsidTr="001F73BC">
      <w:tc>
        <w:tcPr>
          <w:tcW w:w="1432" w:type="pct"/>
          <w:tcMar>
            <w:bottom w:w="28" w:type="dxa"/>
          </w:tcMar>
          <w:vAlign w:val="bottom"/>
        </w:tcPr>
        <w:p w14:paraId="31DC132B" w14:textId="6E56CA8A"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12A506BF" wp14:editId="6000958B">
                <wp:extent cx="1008000" cy="338400"/>
                <wp:effectExtent l="0" t="0" r="1905" b="508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170F98D7" w14:textId="3260382A" w:rsidR="003832F2" w:rsidRPr="002D0627" w:rsidRDefault="003832F2" w:rsidP="004B5E15">
          <w:pPr>
            <w:spacing w:after="60"/>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4C6734AA" w14:textId="3FB9D76F" w:rsidR="003832F2" w:rsidRPr="00D37A7C" w:rsidRDefault="003832F2" w:rsidP="00B11E44">
          <w:pPr>
            <w:spacing w:after="60"/>
            <w:jc w:val="right"/>
            <w:rPr>
              <w:sz w:val="16"/>
              <w:szCs w:val="20"/>
            </w:rPr>
          </w:pPr>
          <w:r w:rsidRPr="00D37A7C">
            <w:rPr>
              <w:sz w:val="16"/>
              <w:szCs w:val="20"/>
            </w:rPr>
            <w:t>CS-ADR-DSN — Wydanie 4</w:t>
          </w:r>
        </w:p>
        <w:p w14:paraId="2E5C3F51" w14:textId="77777777" w:rsidR="003832F2" w:rsidRPr="002F2987" w:rsidRDefault="003832F2"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12927304" w14:textId="49D7402D" w:rsidR="003832F2" w:rsidRPr="00014639" w:rsidRDefault="003832F2" w:rsidP="00014639">
    <w:pPr>
      <w:pStyle w:val="Bezodstpw"/>
      <w:spacing w:after="40"/>
      <w:jc w:val="both"/>
      <w:rPr>
        <w:rFonts w:cstheme="minorHAnsi"/>
        <w:i w:val="0"/>
        <w:szCs w:val="16"/>
      </w:rPr>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7603474" w14:textId="77777777" w:rsidTr="001F73BC">
      <w:tc>
        <w:tcPr>
          <w:tcW w:w="1432" w:type="pct"/>
          <w:tcMar>
            <w:bottom w:w="28" w:type="dxa"/>
          </w:tcMar>
          <w:vAlign w:val="bottom"/>
        </w:tcPr>
        <w:p w14:paraId="4E708858" w14:textId="6BEAC77A"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28F37567" wp14:editId="1EEBC16B">
                <wp:extent cx="1008000" cy="338400"/>
                <wp:effectExtent l="0" t="0" r="1905" b="508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2893194" w14:textId="7BA086D5" w:rsidR="003832F2" w:rsidRPr="002D0627" w:rsidRDefault="003832F2" w:rsidP="006A5150">
          <w:pPr>
            <w:spacing w:after="60"/>
            <w:ind w:right="119"/>
            <w:jc w:val="center"/>
            <w:rPr>
              <w:i/>
              <w:sz w:val="16"/>
              <w:szCs w:val="20"/>
            </w:rPr>
          </w:pPr>
          <w:r w:rsidRPr="006A5150">
            <w:rPr>
              <w:i/>
              <w:color w:val="0066CC"/>
              <w:sz w:val="16"/>
              <w:szCs w:val="20"/>
            </w:rPr>
            <w:t>Łatwo Dostępne Przepisy dla Lotnisk</w:t>
          </w:r>
          <w:r w:rsidRPr="006A5150">
            <w:rPr>
              <w:i/>
              <w:color w:val="0066CC"/>
              <w:sz w:val="16"/>
              <w:szCs w:val="20"/>
            </w:rPr>
            <w:br/>
            <w:t>(Rozporządzenie (UE) Nr 139/2014)</w:t>
          </w:r>
        </w:p>
      </w:tc>
      <w:tc>
        <w:tcPr>
          <w:tcW w:w="1812" w:type="pct"/>
          <w:vAlign w:val="bottom"/>
        </w:tcPr>
        <w:p w14:paraId="143FE2FE" w14:textId="18A74992" w:rsidR="003832F2" w:rsidRPr="00D37A7C" w:rsidRDefault="003832F2" w:rsidP="00B11E44">
          <w:pPr>
            <w:spacing w:after="60"/>
            <w:jc w:val="right"/>
            <w:rPr>
              <w:sz w:val="16"/>
              <w:szCs w:val="20"/>
            </w:rPr>
          </w:pPr>
          <w:r w:rsidRPr="00D37A7C">
            <w:rPr>
              <w:sz w:val="16"/>
              <w:szCs w:val="20"/>
            </w:rPr>
            <w:t>CS-ADR-DSN — Wydanie 4</w:t>
          </w:r>
        </w:p>
        <w:p w14:paraId="71F3F739" w14:textId="528CF09E" w:rsidR="003832F2" w:rsidRPr="002F2987" w:rsidRDefault="003832F2"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6BAE866C" w14:textId="77777777" w:rsidR="003832F2" w:rsidRPr="00817C77" w:rsidRDefault="003832F2" w:rsidP="00C36D76">
    <w:pPr>
      <w:pStyle w:val="Nagwek"/>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D37A7C" w14:paraId="1D5BD41F" w14:textId="77777777" w:rsidTr="00B93D57">
      <w:tc>
        <w:tcPr>
          <w:tcW w:w="1432" w:type="pct"/>
          <w:tcMar>
            <w:bottom w:w="28" w:type="dxa"/>
          </w:tcMar>
          <w:vAlign w:val="bottom"/>
        </w:tcPr>
        <w:p w14:paraId="47C89DF8" w14:textId="50378806"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7D6A40E4" wp14:editId="70486E8D">
                <wp:extent cx="1008000" cy="338400"/>
                <wp:effectExtent l="0" t="0" r="1905" b="508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2685373" w14:textId="7AA361CA" w:rsidR="003832F2" w:rsidRPr="004B5E15" w:rsidRDefault="003832F2" w:rsidP="00B93D57">
          <w:pPr>
            <w:spacing w:after="60"/>
            <w:ind w:right="119"/>
            <w:jc w:val="center"/>
            <w:rPr>
              <w:i/>
              <w:color w:val="0066CC"/>
              <w:sz w:val="16"/>
              <w:szCs w:val="20"/>
            </w:rPr>
          </w:pPr>
          <w:r w:rsidRPr="004B5E15">
            <w:rPr>
              <w:i/>
              <w:color w:val="0066CC"/>
              <w:sz w:val="16"/>
              <w:szCs w:val="20"/>
            </w:rPr>
            <w:t>Łatwo Dostępne Przepisy dla Lotnisk</w:t>
          </w:r>
          <w:r>
            <w:rPr>
              <w:i/>
              <w:color w:val="0066CC"/>
              <w:sz w:val="16"/>
              <w:szCs w:val="20"/>
            </w:rPr>
            <w:br/>
          </w:r>
          <w:r w:rsidRPr="004B5E15">
            <w:rPr>
              <w:i/>
              <w:color w:val="0066CC"/>
              <w:sz w:val="16"/>
              <w:szCs w:val="20"/>
            </w:rPr>
            <w:t>(Rozporządzenie (UE) Nr 139/2014)</w:t>
          </w:r>
        </w:p>
      </w:tc>
      <w:tc>
        <w:tcPr>
          <w:tcW w:w="1812" w:type="pct"/>
          <w:vAlign w:val="bottom"/>
        </w:tcPr>
        <w:p w14:paraId="7756253C" w14:textId="6951096E" w:rsidR="003832F2" w:rsidRPr="00D37A7C" w:rsidRDefault="003832F2" w:rsidP="00B11E44">
          <w:pPr>
            <w:spacing w:after="60"/>
            <w:jc w:val="right"/>
            <w:rPr>
              <w:sz w:val="16"/>
              <w:szCs w:val="20"/>
            </w:rPr>
          </w:pPr>
          <w:r w:rsidRPr="00D37A7C">
            <w:rPr>
              <w:sz w:val="16"/>
              <w:szCs w:val="20"/>
            </w:rPr>
            <w:t>CS-ADR-DSN — Wydanie 4</w:t>
          </w:r>
        </w:p>
        <w:p w14:paraId="3EDF736C" w14:textId="77777777" w:rsidR="003832F2" w:rsidRPr="00D37A7C" w:rsidRDefault="003832F2" w:rsidP="00B11E44">
          <w:pPr>
            <w:spacing w:after="0"/>
            <w:jc w:val="right"/>
            <w:rPr>
              <w:sz w:val="16"/>
              <w:szCs w:val="20"/>
            </w:rPr>
          </w:pPr>
          <w:r w:rsidRPr="00D37A7C">
            <w:rPr>
              <w:sz w:val="16"/>
              <w:szCs w:val="20"/>
            </w:rPr>
            <w:t xml:space="preserve">Rozdział Q — Pomoce wzrokowe do </w:t>
          </w:r>
          <w:r w:rsidRPr="00D37A7C">
            <w:rPr>
              <w:sz w:val="16"/>
              <w:szCs w:val="20"/>
            </w:rPr>
            <w:br/>
            <w:t>oznakowania przeszkód lotniczych</w:t>
          </w:r>
        </w:p>
      </w:tc>
    </w:tr>
  </w:tbl>
  <w:p w14:paraId="66E57397" w14:textId="77777777" w:rsidR="003832F2" w:rsidRPr="00014639" w:rsidRDefault="003832F2" w:rsidP="00014639">
    <w:pPr>
      <w:pStyle w:val="Bezodstpw"/>
      <w:spacing w:after="40"/>
      <w:jc w:val="both"/>
      <w:rPr>
        <w:rFonts w:cstheme="minorHAnsi"/>
        <w:i w:val="0"/>
        <w:szCs w:val="16"/>
      </w:rPr>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31ECB436" w14:textId="77777777" w:rsidTr="001F73BC">
      <w:tc>
        <w:tcPr>
          <w:tcW w:w="1432" w:type="pct"/>
          <w:tcMar>
            <w:bottom w:w="28" w:type="dxa"/>
          </w:tcMar>
          <w:vAlign w:val="bottom"/>
        </w:tcPr>
        <w:p w14:paraId="1727324D" w14:textId="65F7B5E5"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6B09F625" wp14:editId="7834CF1E">
                <wp:extent cx="1008000" cy="338400"/>
                <wp:effectExtent l="0" t="0" r="1905" b="508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7DB63E7" w14:textId="0D392509" w:rsidR="003832F2" w:rsidRPr="002D0627" w:rsidRDefault="003832F2" w:rsidP="004D153B">
          <w:pPr>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369495B8" w14:textId="190F13CB" w:rsidR="003832F2" w:rsidRPr="00D37A7C" w:rsidRDefault="003832F2" w:rsidP="00B11E44">
          <w:pPr>
            <w:spacing w:after="60"/>
            <w:jc w:val="right"/>
            <w:rPr>
              <w:sz w:val="16"/>
              <w:szCs w:val="20"/>
            </w:rPr>
          </w:pPr>
          <w:r w:rsidRPr="00D37A7C">
            <w:rPr>
              <w:sz w:val="16"/>
              <w:szCs w:val="20"/>
            </w:rPr>
            <w:t>CS-ADR-DSN — Wydanie 4</w:t>
          </w:r>
        </w:p>
        <w:p w14:paraId="7D4096F8" w14:textId="77777777" w:rsidR="003832F2" w:rsidRPr="002F2987" w:rsidRDefault="003832F2"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60CA48DE" w14:textId="77777777" w:rsidR="003832F2" w:rsidRPr="00817C77" w:rsidRDefault="003832F2" w:rsidP="00C36D76">
    <w:pPr>
      <w:pStyle w:val="Nagwek"/>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0BD4FA2D" w14:textId="77777777" w:rsidTr="001F73BC">
      <w:tc>
        <w:tcPr>
          <w:tcW w:w="1432" w:type="pct"/>
          <w:tcMar>
            <w:bottom w:w="28" w:type="dxa"/>
          </w:tcMar>
          <w:vAlign w:val="bottom"/>
        </w:tcPr>
        <w:p w14:paraId="084B2AD9" w14:textId="2499FA0D"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421A9532" wp14:editId="10DA7C27">
                <wp:extent cx="1008000" cy="338400"/>
                <wp:effectExtent l="0" t="0" r="1905" b="5080"/>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76EBF4A" w14:textId="5F001A8A" w:rsidR="003832F2" w:rsidRPr="002D0627" w:rsidRDefault="003832F2" w:rsidP="004B5E15">
          <w:pPr>
            <w:spacing w:after="60"/>
            <w:ind w:right="119"/>
            <w:jc w:val="center"/>
            <w:rPr>
              <w:i/>
              <w:sz w:val="16"/>
              <w:szCs w:val="20"/>
            </w:rPr>
          </w:pPr>
          <w:r w:rsidRPr="004B5E15">
            <w:rPr>
              <w:i/>
              <w:color w:val="0066CC"/>
              <w:sz w:val="16"/>
              <w:szCs w:val="20"/>
            </w:rPr>
            <w:t>Łatwo Dostępne Przepisy dla Lotnisk</w:t>
          </w:r>
          <w:r w:rsidRPr="004B5E15">
            <w:rPr>
              <w:i/>
              <w:color w:val="0066CC"/>
              <w:sz w:val="16"/>
              <w:szCs w:val="20"/>
            </w:rPr>
            <w:br/>
            <w:t>(Rozporządzenie (UE) Nr 139/2014)</w:t>
          </w:r>
        </w:p>
      </w:tc>
      <w:tc>
        <w:tcPr>
          <w:tcW w:w="1812" w:type="pct"/>
          <w:vAlign w:val="bottom"/>
        </w:tcPr>
        <w:p w14:paraId="3EAD300E" w14:textId="6A073FFF" w:rsidR="003832F2" w:rsidRDefault="003832F2" w:rsidP="00B11E44">
          <w:pPr>
            <w:spacing w:after="60"/>
            <w:jc w:val="right"/>
            <w:rPr>
              <w:sz w:val="16"/>
              <w:szCs w:val="20"/>
            </w:rPr>
          </w:pPr>
          <w:r w:rsidRPr="00D37A7C">
            <w:rPr>
              <w:sz w:val="16"/>
              <w:szCs w:val="20"/>
            </w:rPr>
            <w:t xml:space="preserve">CS-ADR-DSN — Wydanie </w:t>
          </w:r>
          <w:r>
            <w:rPr>
              <w:sz w:val="16"/>
              <w:szCs w:val="20"/>
            </w:rPr>
            <w:t>4</w:t>
          </w:r>
        </w:p>
        <w:p w14:paraId="15196F71" w14:textId="77777777" w:rsidR="003832F2" w:rsidRPr="002F2987" w:rsidRDefault="003832F2"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048E45B3" w14:textId="77777777" w:rsidR="003832F2" w:rsidRPr="00014639" w:rsidRDefault="003832F2" w:rsidP="00014639">
    <w:pPr>
      <w:pStyle w:val="Bezodstpw"/>
      <w:spacing w:after="40"/>
      <w:jc w:val="both"/>
      <w:rPr>
        <w:rFonts w:cstheme="minorHAnsi"/>
        <w:i w:val="0"/>
        <w:szCs w:val="16"/>
      </w:rPr>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5"/>
      <w:gridCol w:w="3287"/>
    </w:tblGrid>
    <w:tr w:rsidR="003832F2" w:rsidRPr="002F2987" w14:paraId="4B025019" w14:textId="77777777" w:rsidTr="00B93D57">
      <w:tc>
        <w:tcPr>
          <w:tcW w:w="1432" w:type="pct"/>
          <w:tcMar>
            <w:bottom w:w="28" w:type="dxa"/>
          </w:tcMar>
          <w:vAlign w:val="bottom"/>
        </w:tcPr>
        <w:p w14:paraId="5B59EEFB" w14:textId="5D6E9991" w:rsidR="003832F2" w:rsidRPr="002D0627" w:rsidRDefault="003832F2" w:rsidP="00B11E44">
          <w:pPr>
            <w:spacing w:after="0"/>
            <w:jc w:val="left"/>
            <w:rPr>
              <w:sz w:val="18"/>
              <w:szCs w:val="20"/>
            </w:rPr>
          </w:pPr>
          <w:r>
            <w:rPr>
              <w:b/>
              <w:noProof/>
              <w:color w:val="0066FF"/>
              <w:sz w:val="18"/>
              <w:szCs w:val="20"/>
              <w:lang w:eastAsia="pl-PL"/>
            </w:rPr>
            <w:drawing>
              <wp:inline distT="0" distB="0" distL="0" distR="0" wp14:anchorId="77064217" wp14:editId="46225435">
                <wp:extent cx="1008000" cy="338400"/>
                <wp:effectExtent l="0" t="0" r="1905" b="508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D8C4C41" w14:textId="36DCB175" w:rsidR="003832F2" w:rsidRPr="00B93D57" w:rsidRDefault="003832F2" w:rsidP="00B93D57">
          <w:pPr>
            <w:spacing w:after="60"/>
            <w:ind w:right="119"/>
            <w:jc w:val="center"/>
            <w:rPr>
              <w:i/>
              <w:color w:val="0066CC"/>
              <w:sz w:val="16"/>
              <w:szCs w:val="20"/>
            </w:rPr>
          </w:pPr>
          <w:r w:rsidRPr="00B93D57">
            <w:rPr>
              <w:i/>
              <w:color w:val="0066CC"/>
              <w:sz w:val="16"/>
              <w:szCs w:val="20"/>
            </w:rPr>
            <w:t>Łatwo Dostępne Przepisy dla Lotnisk</w:t>
          </w:r>
          <w:r w:rsidRPr="00B93D57">
            <w:rPr>
              <w:i/>
              <w:color w:val="0066CC"/>
              <w:sz w:val="16"/>
              <w:szCs w:val="20"/>
            </w:rPr>
            <w:br/>
            <w:t>(Rozporządzenie (UE) Nr 139/2014)</w:t>
          </w:r>
        </w:p>
      </w:tc>
      <w:tc>
        <w:tcPr>
          <w:tcW w:w="1812" w:type="pct"/>
          <w:vAlign w:val="bottom"/>
        </w:tcPr>
        <w:p w14:paraId="7A5623A4" w14:textId="25AA99F3" w:rsidR="003832F2" w:rsidRPr="00D37A7C" w:rsidRDefault="003832F2" w:rsidP="00B11E44">
          <w:pPr>
            <w:spacing w:after="60"/>
            <w:jc w:val="right"/>
            <w:rPr>
              <w:sz w:val="16"/>
              <w:szCs w:val="20"/>
            </w:rPr>
          </w:pPr>
          <w:r w:rsidRPr="00D37A7C">
            <w:rPr>
              <w:sz w:val="16"/>
              <w:szCs w:val="20"/>
            </w:rPr>
            <w:t>CS-ADR-DSN — Wydanie 4</w:t>
          </w:r>
        </w:p>
        <w:p w14:paraId="55A23619" w14:textId="77777777" w:rsidR="003832F2" w:rsidRPr="002F2987" w:rsidRDefault="003832F2" w:rsidP="00B11E44">
          <w:pPr>
            <w:spacing w:after="0"/>
            <w:jc w:val="right"/>
            <w:rPr>
              <w:sz w:val="16"/>
              <w:szCs w:val="20"/>
            </w:rPr>
          </w:pPr>
          <w:r>
            <w:rPr>
              <w:sz w:val="16"/>
              <w:szCs w:val="20"/>
            </w:rPr>
            <w:t>Rozdział Q</w:t>
          </w:r>
          <w:r w:rsidRPr="00E84442">
            <w:rPr>
              <w:sz w:val="16"/>
              <w:szCs w:val="20"/>
            </w:rPr>
            <w:t xml:space="preserve"> — </w:t>
          </w:r>
          <w:r w:rsidRPr="002B0440">
            <w:rPr>
              <w:sz w:val="16"/>
              <w:szCs w:val="20"/>
            </w:rPr>
            <w:t>Pomoce wzrokowe d</w:t>
          </w:r>
          <w:r>
            <w:rPr>
              <w:sz w:val="16"/>
              <w:szCs w:val="20"/>
            </w:rPr>
            <w:t xml:space="preserve">o </w:t>
          </w:r>
          <w:r>
            <w:rPr>
              <w:sz w:val="16"/>
              <w:szCs w:val="20"/>
            </w:rPr>
            <w:br/>
            <w:t>oznakowania przeszkód lotniczych</w:t>
          </w:r>
        </w:p>
      </w:tc>
    </w:tr>
  </w:tbl>
  <w:p w14:paraId="32C7A1F4" w14:textId="77777777" w:rsidR="003832F2" w:rsidRPr="00817C77" w:rsidRDefault="003832F2" w:rsidP="00C36D76">
    <w:pPr>
      <w:pStyle w:val="Nagwek"/>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727E13B7" w14:textId="77777777" w:rsidTr="001F73BC">
      <w:tc>
        <w:tcPr>
          <w:tcW w:w="1432" w:type="pct"/>
          <w:tcMar>
            <w:bottom w:w="28" w:type="dxa"/>
          </w:tcMar>
          <w:vAlign w:val="bottom"/>
        </w:tcPr>
        <w:p w14:paraId="70C31B53" w14:textId="4CF965F1"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16C8AEC3" wp14:editId="2BE52B02">
                <wp:extent cx="1008000" cy="338400"/>
                <wp:effectExtent l="0" t="0" r="1905" b="508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3D22F52" w14:textId="21A7C0A3" w:rsidR="003832F2" w:rsidRPr="007676B9" w:rsidRDefault="003832F2" w:rsidP="007676B9">
          <w:pPr>
            <w:tabs>
              <w:tab w:val="left" w:pos="2934"/>
            </w:tabs>
            <w:spacing w:after="60"/>
            <w:ind w:right="254"/>
            <w:jc w:val="center"/>
            <w:rPr>
              <w:i/>
              <w:color w:val="0066CC"/>
              <w:sz w:val="16"/>
              <w:szCs w:val="20"/>
            </w:rPr>
          </w:pPr>
          <w:r w:rsidRPr="007676B9">
            <w:rPr>
              <w:i/>
              <w:color w:val="0066CC"/>
              <w:sz w:val="16"/>
              <w:szCs w:val="20"/>
            </w:rPr>
            <w:t>Łatwo Dostępne Przepisy dla Lotnisk</w:t>
          </w:r>
          <w:r w:rsidRPr="007676B9">
            <w:rPr>
              <w:i/>
              <w:color w:val="0066CC"/>
              <w:sz w:val="16"/>
              <w:szCs w:val="20"/>
            </w:rPr>
            <w:br/>
            <w:t>(Rozporządzenie (UE) Nr 139/2014)</w:t>
          </w:r>
        </w:p>
      </w:tc>
      <w:tc>
        <w:tcPr>
          <w:tcW w:w="1812" w:type="pct"/>
          <w:vAlign w:val="bottom"/>
        </w:tcPr>
        <w:p w14:paraId="616E5D37" w14:textId="14E06754" w:rsidR="003832F2" w:rsidRPr="00D37A7C" w:rsidRDefault="003832F2" w:rsidP="00A25C8B">
          <w:pPr>
            <w:spacing w:after="60"/>
            <w:jc w:val="right"/>
            <w:rPr>
              <w:sz w:val="16"/>
              <w:szCs w:val="20"/>
            </w:rPr>
          </w:pPr>
          <w:r w:rsidRPr="00D37A7C">
            <w:rPr>
              <w:sz w:val="16"/>
              <w:szCs w:val="20"/>
            </w:rPr>
            <w:t>CS-ADR-DSN — Wydanie 4</w:t>
          </w:r>
        </w:p>
        <w:p w14:paraId="61FAEDB5" w14:textId="77777777" w:rsidR="003832F2" w:rsidRPr="002F2987" w:rsidRDefault="003832F2" w:rsidP="00A25C8B">
          <w:pPr>
            <w:spacing w:after="0"/>
            <w:jc w:val="right"/>
            <w:rPr>
              <w:sz w:val="16"/>
              <w:szCs w:val="20"/>
            </w:rPr>
          </w:pPr>
          <w:r>
            <w:rPr>
              <w:sz w:val="16"/>
              <w:szCs w:val="20"/>
            </w:rPr>
            <w:t>Rozdział R</w:t>
          </w:r>
          <w:r w:rsidRPr="00E84442">
            <w:rPr>
              <w:sz w:val="16"/>
              <w:szCs w:val="20"/>
            </w:rPr>
            <w:t xml:space="preserve">— </w:t>
          </w:r>
          <w:r w:rsidRPr="002B0440">
            <w:rPr>
              <w:sz w:val="16"/>
              <w:szCs w:val="20"/>
            </w:rPr>
            <w:t>Pomoce wzrokowe d</w:t>
          </w:r>
          <w:r>
            <w:rPr>
              <w:sz w:val="16"/>
              <w:szCs w:val="20"/>
            </w:rPr>
            <w:t xml:space="preserve">o oznakowania </w:t>
          </w:r>
          <w:r w:rsidRPr="00CB2AAC">
            <w:rPr>
              <w:sz w:val="16"/>
              <w:szCs w:val="20"/>
            </w:rPr>
            <w:t>stref o ograniczonym użytkowaniu</w:t>
          </w:r>
        </w:p>
      </w:tc>
    </w:tr>
  </w:tbl>
  <w:p w14:paraId="1C69F9CB" w14:textId="78C9A3FB" w:rsidR="003832F2" w:rsidRPr="00CB2AAC" w:rsidRDefault="003832F2" w:rsidP="00CB2AAC">
    <w:pPr>
      <w:pStyle w:val="Bezodstpw"/>
      <w:spacing w:after="40"/>
      <w:jc w:val="both"/>
      <w:rPr>
        <w:rFonts w:ascii="Verdana" w:hAnsi="Verdana"/>
        <w:i w:val="0"/>
        <w:szCs w:val="16"/>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2B4098E6" w14:textId="77777777" w:rsidTr="001F73BC">
      <w:tc>
        <w:tcPr>
          <w:tcW w:w="1432" w:type="pct"/>
          <w:tcMar>
            <w:bottom w:w="28" w:type="dxa"/>
          </w:tcMar>
          <w:vAlign w:val="bottom"/>
        </w:tcPr>
        <w:p w14:paraId="1CA46C7F" w14:textId="634A439E"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3311019B" wp14:editId="2E775ECB">
                <wp:extent cx="1008000" cy="338400"/>
                <wp:effectExtent l="0" t="0" r="1905" b="508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0AF4ECB" w14:textId="041624A4" w:rsidR="003832F2" w:rsidRPr="007676B9" w:rsidRDefault="003832F2" w:rsidP="007676B9">
          <w:pPr>
            <w:tabs>
              <w:tab w:val="left" w:pos="2934"/>
            </w:tabs>
            <w:spacing w:after="60"/>
            <w:ind w:right="254"/>
            <w:jc w:val="center"/>
            <w:rPr>
              <w:i/>
              <w:color w:val="0066CC"/>
              <w:sz w:val="16"/>
              <w:szCs w:val="20"/>
            </w:rPr>
          </w:pPr>
          <w:r w:rsidRPr="007676B9">
            <w:rPr>
              <w:i/>
              <w:color w:val="0066CC"/>
              <w:sz w:val="16"/>
              <w:szCs w:val="20"/>
            </w:rPr>
            <w:t>Łatwo Dostępne Przepisy dla Lotnisk</w:t>
          </w:r>
          <w:r>
            <w:rPr>
              <w:i/>
              <w:color w:val="0066CC"/>
              <w:sz w:val="16"/>
              <w:szCs w:val="20"/>
            </w:rPr>
            <w:br/>
          </w:r>
          <w:r w:rsidRPr="007676B9">
            <w:rPr>
              <w:i/>
              <w:color w:val="0066CC"/>
              <w:sz w:val="16"/>
              <w:szCs w:val="20"/>
            </w:rPr>
            <w:t>(Rozporządzenie (UE) Nr 139/2014)</w:t>
          </w:r>
        </w:p>
      </w:tc>
      <w:tc>
        <w:tcPr>
          <w:tcW w:w="1812" w:type="pct"/>
          <w:vAlign w:val="bottom"/>
        </w:tcPr>
        <w:p w14:paraId="006E97FE" w14:textId="4138B254" w:rsidR="003832F2" w:rsidRPr="00D37A7C" w:rsidRDefault="003832F2" w:rsidP="00A25C8B">
          <w:pPr>
            <w:spacing w:after="60"/>
            <w:jc w:val="right"/>
            <w:rPr>
              <w:sz w:val="16"/>
              <w:szCs w:val="20"/>
            </w:rPr>
          </w:pPr>
          <w:r w:rsidRPr="00D37A7C">
            <w:rPr>
              <w:sz w:val="16"/>
              <w:szCs w:val="20"/>
            </w:rPr>
            <w:t>CS-ADR-DSN — Wydanie 4</w:t>
          </w:r>
        </w:p>
        <w:p w14:paraId="2DC9A160" w14:textId="1923F886" w:rsidR="003832F2" w:rsidRPr="002F2987" w:rsidRDefault="003832F2" w:rsidP="00A25C8B">
          <w:pPr>
            <w:spacing w:after="0"/>
            <w:jc w:val="right"/>
            <w:rPr>
              <w:sz w:val="16"/>
              <w:szCs w:val="20"/>
            </w:rPr>
          </w:pPr>
          <w:r>
            <w:rPr>
              <w:sz w:val="16"/>
              <w:szCs w:val="20"/>
            </w:rPr>
            <w:t>Rozdział R</w:t>
          </w:r>
          <w:r w:rsidRPr="00E84442">
            <w:rPr>
              <w:sz w:val="16"/>
              <w:szCs w:val="20"/>
            </w:rPr>
            <w:t xml:space="preserve">— </w:t>
          </w:r>
          <w:r w:rsidRPr="002B0440">
            <w:rPr>
              <w:sz w:val="16"/>
              <w:szCs w:val="20"/>
            </w:rPr>
            <w:t>Pomoce wzrokowe d</w:t>
          </w:r>
          <w:r>
            <w:rPr>
              <w:sz w:val="16"/>
              <w:szCs w:val="20"/>
            </w:rPr>
            <w:t xml:space="preserve">o oznakowania </w:t>
          </w:r>
          <w:r w:rsidRPr="00CB2AAC">
            <w:rPr>
              <w:sz w:val="16"/>
              <w:szCs w:val="20"/>
            </w:rPr>
            <w:t>stref o ograniczonym użytkowaniu</w:t>
          </w:r>
        </w:p>
      </w:tc>
    </w:tr>
  </w:tbl>
  <w:p w14:paraId="35124CFB" w14:textId="77777777" w:rsidR="003832F2" w:rsidRPr="00817C77" w:rsidRDefault="003832F2" w:rsidP="00C36D76">
    <w:pPr>
      <w:pStyle w:val="Nagwek"/>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5C8AABD0" w14:textId="77777777" w:rsidTr="001F73BC">
      <w:tc>
        <w:tcPr>
          <w:tcW w:w="1432" w:type="pct"/>
          <w:tcMar>
            <w:bottom w:w="28" w:type="dxa"/>
          </w:tcMar>
          <w:vAlign w:val="bottom"/>
        </w:tcPr>
        <w:p w14:paraId="38DFD22C" w14:textId="6E6ADE02"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14D3F614" wp14:editId="229420C7">
                <wp:extent cx="1008000" cy="338400"/>
                <wp:effectExtent l="0" t="0" r="1905" b="508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815FBD5" w14:textId="33B7D367" w:rsidR="003832F2" w:rsidRPr="003A4675" w:rsidRDefault="003832F2" w:rsidP="003A4675">
          <w:pPr>
            <w:tabs>
              <w:tab w:val="left" w:pos="0"/>
            </w:tabs>
            <w:spacing w:after="60"/>
            <w:ind w:right="113"/>
            <w:jc w:val="center"/>
            <w:rPr>
              <w:i/>
              <w:color w:val="0066CC"/>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2E6AF7AB" w14:textId="6AB46990" w:rsidR="003832F2" w:rsidRPr="00D37A7C" w:rsidRDefault="003832F2" w:rsidP="00A25C8B">
          <w:pPr>
            <w:spacing w:after="60"/>
            <w:jc w:val="right"/>
            <w:rPr>
              <w:sz w:val="16"/>
              <w:szCs w:val="20"/>
            </w:rPr>
          </w:pPr>
          <w:r w:rsidRPr="00D37A7C">
            <w:rPr>
              <w:sz w:val="16"/>
              <w:szCs w:val="20"/>
            </w:rPr>
            <w:t>CS-ADR-DSN — Wydanie 4</w:t>
          </w:r>
        </w:p>
        <w:p w14:paraId="58AC1411" w14:textId="77777777" w:rsidR="003832F2" w:rsidRPr="002F2987" w:rsidRDefault="003832F2" w:rsidP="00A25C8B">
          <w:pPr>
            <w:spacing w:after="0"/>
            <w:jc w:val="right"/>
            <w:rPr>
              <w:sz w:val="16"/>
              <w:szCs w:val="20"/>
            </w:rPr>
          </w:pPr>
          <w:r>
            <w:rPr>
              <w:sz w:val="16"/>
              <w:szCs w:val="20"/>
            </w:rPr>
            <w:t>Rozdział S</w:t>
          </w:r>
          <w:r w:rsidRPr="00E84442">
            <w:rPr>
              <w:sz w:val="16"/>
              <w:szCs w:val="20"/>
            </w:rPr>
            <w:t xml:space="preserve">— </w:t>
          </w:r>
          <w:r>
            <w:rPr>
              <w:sz w:val="16"/>
              <w:szCs w:val="20"/>
            </w:rPr>
            <w:t>Systemy elektryczne</w:t>
          </w:r>
        </w:p>
      </w:tc>
    </w:tr>
  </w:tbl>
  <w:p w14:paraId="44EE7195" w14:textId="3701BE4A" w:rsidR="003832F2" w:rsidRPr="00CB2AAC" w:rsidRDefault="003832F2" w:rsidP="00CB2AAC">
    <w:pPr>
      <w:pStyle w:val="Bezodstpw"/>
      <w:spacing w:after="40"/>
      <w:jc w:val="both"/>
      <w:rPr>
        <w:rFonts w:cstheme="minorHAnsi"/>
        <w:i w:val="0"/>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jc w:val="center"/>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3000"/>
      <w:gridCol w:w="3349"/>
      <w:gridCol w:w="2721"/>
    </w:tblGrid>
    <w:tr w:rsidR="003832F2" w:rsidRPr="00832386" w14:paraId="384BAFFC" w14:textId="77777777" w:rsidTr="009E2E6B">
      <w:trPr>
        <w:jc w:val="center"/>
      </w:trPr>
      <w:tc>
        <w:tcPr>
          <w:tcW w:w="0" w:type="auto"/>
          <w:tcMar>
            <w:bottom w:w="57" w:type="dxa"/>
          </w:tcMar>
          <w:vAlign w:val="bottom"/>
        </w:tcPr>
        <w:p w14:paraId="1209557B" w14:textId="77777777" w:rsidR="003832F2" w:rsidRPr="00BC23D0" w:rsidRDefault="003832F2" w:rsidP="00903DE8">
          <w:pPr>
            <w:spacing w:after="0"/>
            <w:jc w:val="left"/>
            <w:rPr>
              <w:b/>
              <w:color w:val="0066FF"/>
              <w:sz w:val="18"/>
              <w:szCs w:val="20"/>
            </w:rPr>
          </w:pPr>
          <w:r>
            <w:rPr>
              <w:b/>
              <w:noProof/>
              <w:color w:val="0066FF"/>
              <w:sz w:val="18"/>
              <w:szCs w:val="20"/>
              <w:lang w:eastAsia="pl-PL"/>
            </w:rPr>
            <w:drawing>
              <wp:inline distT="0" distB="0" distL="0" distR="0" wp14:anchorId="4AAB3A47" wp14:editId="25E78691">
                <wp:extent cx="1008000" cy="338400"/>
                <wp:effectExtent l="0" t="0" r="1905" b="508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846" w:type="pct"/>
          <w:tcMar>
            <w:bottom w:w="57" w:type="dxa"/>
          </w:tcMar>
          <w:vAlign w:val="bottom"/>
        </w:tcPr>
        <w:p w14:paraId="0B20FFCB" w14:textId="77777777" w:rsidR="003832F2" w:rsidRPr="00BC23D0" w:rsidRDefault="003832F2" w:rsidP="00903DE8">
          <w:pPr>
            <w:spacing w:after="60"/>
            <w:ind w:right="397"/>
            <w:jc w:val="center"/>
            <w:rPr>
              <w:i/>
              <w:sz w:val="16"/>
              <w:szCs w:val="20"/>
            </w:rPr>
          </w:pPr>
          <w:r w:rsidRPr="00513AB9">
            <w:rPr>
              <w:i/>
              <w:color w:val="0066CC"/>
              <w:sz w:val="16"/>
              <w:szCs w:val="20"/>
            </w:rPr>
            <w:t>Łatwo Dostępne Przepisy dla Lotnisk</w:t>
          </w:r>
          <w:r>
            <w:rPr>
              <w:i/>
              <w:color w:val="0066CC"/>
              <w:sz w:val="16"/>
              <w:szCs w:val="20"/>
            </w:rPr>
            <w:br/>
          </w:r>
          <w:r w:rsidRPr="00513AB9">
            <w:rPr>
              <w:i/>
              <w:color w:val="0066CC"/>
              <w:sz w:val="16"/>
              <w:szCs w:val="20"/>
            </w:rPr>
            <w:t>(Rozporządzenie (UE) Nr 139/2014)</w:t>
          </w:r>
        </w:p>
      </w:tc>
      <w:tc>
        <w:tcPr>
          <w:tcW w:w="1500" w:type="pct"/>
          <w:tcMar>
            <w:bottom w:w="57" w:type="dxa"/>
          </w:tcMar>
          <w:vAlign w:val="bottom"/>
        </w:tcPr>
        <w:p w14:paraId="0C01B364" w14:textId="7E4F6302" w:rsidR="003832F2" w:rsidRPr="00832386" w:rsidRDefault="003832F2" w:rsidP="00FE23AD">
          <w:pPr>
            <w:spacing w:after="0"/>
            <w:jc w:val="right"/>
            <w:rPr>
              <w:sz w:val="16"/>
              <w:szCs w:val="20"/>
            </w:rPr>
          </w:pPr>
          <w:r>
            <w:rPr>
              <w:sz w:val="16"/>
              <w:szCs w:val="20"/>
            </w:rPr>
            <w:t>Spis treści</w:t>
          </w:r>
        </w:p>
      </w:tc>
    </w:tr>
  </w:tbl>
  <w:p w14:paraId="1EA54D0F" w14:textId="77777777" w:rsidR="003832F2" w:rsidRDefault="003832F2" w:rsidP="001A0BFE">
    <w:pPr>
      <w:spacing w:line="200" w:lineRule="exact"/>
      <w:rPr>
        <w:szCs w:val="20"/>
      </w:rPr>
    </w:pP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D37A7C" w14:paraId="5699A3A5" w14:textId="77777777" w:rsidTr="001F73BC">
      <w:tc>
        <w:tcPr>
          <w:tcW w:w="1432" w:type="pct"/>
          <w:tcMar>
            <w:bottom w:w="28" w:type="dxa"/>
          </w:tcMar>
          <w:vAlign w:val="bottom"/>
        </w:tcPr>
        <w:p w14:paraId="32875A59" w14:textId="7467500A"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3A768CB0" wp14:editId="71001BEB">
                <wp:extent cx="1008000" cy="338400"/>
                <wp:effectExtent l="0" t="0" r="1905" b="508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0DA1D0B7" w14:textId="77777777" w:rsidR="003832F2" w:rsidRPr="007676B9" w:rsidRDefault="003832F2" w:rsidP="00A25C8B">
          <w:pPr>
            <w:tabs>
              <w:tab w:val="left" w:pos="0"/>
            </w:tabs>
            <w:spacing w:after="0"/>
            <w:ind w:right="113"/>
            <w:jc w:val="center"/>
            <w:rPr>
              <w:i/>
              <w:color w:val="0066CC"/>
              <w:sz w:val="16"/>
              <w:szCs w:val="20"/>
            </w:rPr>
          </w:pPr>
          <w:r w:rsidRPr="007676B9">
            <w:rPr>
              <w:i/>
              <w:color w:val="0066CC"/>
              <w:sz w:val="16"/>
              <w:szCs w:val="20"/>
            </w:rPr>
            <w:t>Łatwo Dostępne Przepisy dla Lotnisk</w:t>
          </w:r>
        </w:p>
        <w:p w14:paraId="13D0C1CB" w14:textId="77777777" w:rsidR="003832F2" w:rsidRPr="002D0627" w:rsidRDefault="003832F2" w:rsidP="003A4675">
          <w:pPr>
            <w:tabs>
              <w:tab w:val="left" w:pos="0"/>
            </w:tabs>
            <w:spacing w:after="60"/>
            <w:ind w:right="113"/>
            <w:jc w:val="center"/>
            <w:rPr>
              <w:i/>
              <w:sz w:val="16"/>
              <w:szCs w:val="20"/>
            </w:rPr>
          </w:pPr>
          <w:r w:rsidRPr="007676B9">
            <w:rPr>
              <w:i/>
              <w:color w:val="0066CC"/>
              <w:sz w:val="16"/>
              <w:szCs w:val="20"/>
            </w:rPr>
            <w:t>(Rozporządzenie (UE) Nr 139/2014)</w:t>
          </w:r>
        </w:p>
      </w:tc>
      <w:tc>
        <w:tcPr>
          <w:tcW w:w="1812" w:type="pct"/>
          <w:vAlign w:val="bottom"/>
        </w:tcPr>
        <w:p w14:paraId="4AA73CE5" w14:textId="15A4DE56" w:rsidR="003832F2" w:rsidRPr="00D37A7C" w:rsidRDefault="003832F2" w:rsidP="00A25C8B">
          <w:pPr>
            <w:spacing w:after="60"/>
            <w:jc w:val="right"/>
            <w:rPr>
              <w:sz w:val="16"/>
              <w:szCs w:val="20"/>
            </w:rPr>
          </w:pPr>
          <w:r w:rsidRPr="00D37A7C">
            <w:rPr>
              <w:sz w:val="16"/>
              <w:szCs w:val="20"/>
            </w:rPr>
            <w:t>CS-ADR-DSN — Wydanie 4</w:t>
          </w:r>
        </w:p>
        <w:p w14:paraId="0CD80738" w14:textId="0A2A69AC" w:rsidR="003832F2" w:rsidRPr="00D37A7C" w:rsidRDefault="003832F2" w:rsidP="00A25C8B">
          <w:pPr>
            <w:spacing w:after="0"/>
            <w:jc w:val="right"/>
            <w:rPr>
              <w:sz w:val="16"/>
              <w:szCs w:val="20"/>
            </w:rPr>
          </w:pPr>
          <w:r w:rsidRPr="00D37A7C">
            <w:rPr>
              <w:sz w:val="16"/>
              <w:szCs w:val="20"/>
            </w:rPr>
            <w:t>Rozdział S— Systemy elektryczne</w:t>
          </w:r>
        </w:p>
      </w:tc>
    </w:tr>
  </w:tbl>
  <w:p w14:paraId="27B568FB" w14:textId="77777777" w:rsidR="003832F2" w:rsidRPr="00817C77" w:rsidRDefault="003832F2" w:rsidP="00C36D76">
    <w:pPr>
      <w:pStyle w:val="Nagwek"/>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9"/>
    </w:tblGrid>
    <w:tr w:rsidR="003832F2" w:rsidRPr="002F2987" w14:paraId="51EB3249" w14:textId="77777777" w:rsidTr="001F73BC">
      <w:tc>
        <w:tcPr>
          <w:tcW w:w="1432" w:type="pct"/>
          <w:tcMar>
            <w:bottom w:w="28" w:type="dxa"/>
          </w:tcMar>
          <w:vAlign w:val="bottom"/>
        </w:tcPr>
        <w:p w14:paraId="2A66B3C5" w14:textId="1A09B733"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01C5EE6E" wp14:editId="2158AFB4">
                <wp:extent cx="1008000" cy="338400"/>
                <wp:effectExtent l="0" t="0" r="1905" b="508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A3F99A9" w14:textId="5BC1E8F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148BFC55" w14:textId="77777777" w:rsidR="003832F2" w:rsidRPr="00D37A7C" w:rsidRDefault="003832F2" w:rsidP="007A1C17">
          <w:pPr>
            <w:spacing w:after="60"/>
            <w:jc w:val="right"/>
            <w:rPr>
              <w:sz w:val="16"/>
              <w:szCs w:val="20"/>
            </w:rPr>
          </w:pPr>
          <w:r w:rsidRPr="00D37A7C">
            <w:rPr>
              <w:sz w:val="16"/>
              <w:szCs w:val="20"/>
            </w:rPr>
            <w:t>CS-ADR-DSN — Wydanie 4</w:t>
          </w:r>
        </w:p>
        <w:p w14:paraId="2FA7C2DC" w14:textId="595C027F" w:rsidR="003832F2" w:rsidRPr="002F2987" w:rsidRDefault="003832F2" w:rsidP="007A1C17">
          <w:pPr>
            <w:spacing w:after="0"/>
            <w:jc w:val="right"/>
            <w:rPr>
              <w:sz w:val="16"/>
              <w:szCs w:val="20"/>
            </w:rPr>
          </w:pPr>
          <w:r>
            <w:rPr>
              <w:sz w:val="16"/>
              <w:szCs w:val="20"/>
            </w:rPr>
            <w:t xml:space="preserve">Rozdział T </w:t>
          </w:r>
          <w:r w:rsidRPr="00E84442">
            <w:rPr>
              <w:sz w:val="16"/>
              <w:szCs w:val="20"/>
            </w:rPr>
            <w:t xml:space="preserve">— </w:t>
          </w:r>
          <w:r w:rsidRPr="00A033BB">
            <w:rPr>
              <w:sz w:val="16"/>
              <w:szCs w:val="20"/>
            </w:rPr>
            <w:t>Lotniskowe służby operacyjne, wyposażenie i instalacje</w:t>
          </w:r>
        </w:p>
      </w:tc>
    </w:tr>
  </w:tbl>
  <w:p w14:paraId="19855BE6" w14:textId="4D6DA5CD" w:rsidR="003832F2" w:rsidRPr="00A033BB" w:rsidRDefault="003832F2" w:rsidP="006A13A3">
    <w:pPr>
      <w:pStyle w:val="Bezodstpw"/>
      <w:spacing w:after="120"/>
      <w:jc w:val="both"/>
      <w:rPr>
        <w:rFonts w:cstheme="minorHAnsi"/>
        <w:i w:val="0"/>
        <w:szCs w:val="16"/>
      </w:rPr>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8"/>
      <w:gridCol w:w="3186"/>
      <w:gridCol w:w="3287"/>
    </w:tblGrid>
    <w:tr w:rsidR="003832F2" w:rsidRPr="002F2987" w14:paraId="48772B51" w14:textId="77777777" w:rsidTr="001F73BC">
      <w:tc>
        <w:tcPr>
          <w:tcW w:w="1432" w:type="pct"/>
          <w:tcMar>
            <w:bottom w:w="28" w:type="dxa"/>
          </w:tcMar>
          <w:vAlign w:val="bottom"/>
        </w:tcPr>
        <w:p w14:paraId="72C5F5AC" w14:textId="72F285F9"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5D0A900D" wp14:editId="79452074">
                <wp:extent cx="1008000" cy="338400"/>
                <wp:effectExtent l="0" t="0" r="1905" b="5080"/>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44B3A1EE" w14:textId="7D8EAAF3"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3A58056C" w14:textId="5ADF0B9D" w:rsidR="003832F2" w:rsidRPr="00D37A7C" w:rsidRDefault="003832F2" w:rsidP="00A25C8B">
          <w:pPr>
            <w:spacing w:after="60"/>
            <w:jc w:val="right"/>
            <w:rPr>
              <w:sz w:val="16"/>
              <w:szCs w:val="20"/>
            </w:rPr>
          </w:pPr>
          <w:r w:rsidRPr="00D37A7C">
            <w:rPr>
              <w:sz w:val="16"/>
              <w:szCs w:val="20"/>
            </w:rPr>
            <w:t>CS-ADR-DSN — Wydanie 4</w:t>
          </w:r>
        </w:p>
        <w:p w14:paraId="5DD4D188" w14:textId="155EC32C" w:rsidR="003832F2" w:rsidRPr="002F2987" w:rsidRDefault="003832F2" w:rsidP="00A25C8B">
          <w:pPr>
            <w:spacing w:after="0"/>
            <w:jc w:val="right"/>
            <w:rPr>
              <w:sz w:val="16"/>
              <w:szCs w:val="20"/>
            </w:rPr>
          </w:pPr>
          <w:r>
            <w:rPr>
              <w:sz w:val="16"/>
              <w:szCs w:val="20"/>
            </w:rPr>
            <w:t xml:space="preserve">Rozdział T </w:t>
          </w:r>
          <w:r w:rsidRPr="00E84442">
            <w:rPr>
              <w:sz w:val="16"/>
              <w:szCs w:val="20"/>
            </w:rPr>
            <w:t xml:space="preserve">— </w:t>
          </w:r>
          <w:r w:rsidRPr="00A033BB">
            <w:rPr>
              <w:sz w:val="16"/>
              <w:szCs w:val="20"/>
            </w:rPr>
            <w:t>Lotniskowe służby operacyjne, wyposażenie i instalacje</w:t>
          </w:r>
        </w:p>
      </w:tc>
    </w:tr>
  </w:tbl>
  <w:p w14:paraId="5E287A12" w14:textId="77777777" w:rsidR="003832F2" w:rsidRPr="00817C77" w:rsidRDefault="003832F2" w:rsidP="00C36D76">
    <w:pPr>
      <w:pStyle w:val="Nagwek"/>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17B89AEF" w14:textId="77777777" w:rsidTr="001F73BC">
      <w:tc>
        <w:tcPr>
          <w:tcW w:w="1432" w:type="pct"/>
          <w:tcMar>
            <w:bottom w:w="28" w:type="dxa"/>
          </w:tcMar>
          <w:vAlign w:val="bottom"/>
        </w:tcPr>
        <w:p w14:paraId="4715C88F"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02FB2B38" wp14:editId="78B5C713">
                <wp:extent cx="1008000" cy="338400"/>
                <wp:effectExtent l="0" t="0" r="1905" b="5080"/>
                <wp:docPr id="1470" name="Obraz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9BBEA05"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290D9404" w14:textId="77777777" w:rsidR="003832F2" w:rsidRPr="00D37A7C" w:rsidRDefault="003832F2" w:rsidP="006A13A3">
          <w:pPr>
            <w:spacing w:after="60"/>
            <w:jc w:val="right"/>
            <w:rPr>
              <w:sz w:val="16"/>
              <w:szCs w:val="20"/>
            </w:rPr>
          </w:pPr>
          <w:r w:rsidRPr="00D37A7C">
            <w:rPr>
              <w:sz w:val="16"/>
              <w:szCs w:val="20"/>
            </w:rPr>
            <w:t>CS-ADR-DSN — Wydanie 4</w:t>
          </w:r>
        </w:p>
        <w:p w14:paraId="08F41AE6" w14:textId="77777777" w:rsidR="003832F2" w:rsidRPr="002F2987" w:rsidRDefault="003832F2" w:rsidP="006A13A3">
          <w:pPr>
            <w:spacing w:after="0"/>
            <w:jc w:val="right"/>
            <w:rPr>
              <w:sz w:val="16"/>
              <w:szCs w:val="20"/>
            </w:rPr>
          </w:pPr>
          <w:r>
            <w:rPr>
              <w:sz w:val="16"/>
              <w:szCs w:val="20"/>
            </w:rPr>
            <w:t xml:space="preserve">Rozdział U </w:t>
          </w:r>
          <w:r w:rsidRPr="00E84442">
            <w:rPr>
              <w:sz w:val="16"/>
              <w:szCs w:val="20"/>
            </w:rPr>
            <w:t xml:space="preserve">— </w:t>
          </w:r>
          <w:r w:rsidRPr="00A033BB">
            <w:rPr>
              <w:sz w:val="16"/>
              <w:szCs w:val="20"/>
            </w:rPr>
            <w:t>Kolory naziemnyc</w:t>
          </w:r>
          <w:r>
            <w:rPr>
              <w:sz w:val="16"/>
              <w:szCs w:val="20"/>
            </w:rPr>
            <w:t xml:space="preserve">h świateł </w:t>
          </w:r>
          <w:r w:rsidRPr="00A033BB">
            <w:rPr>
              <w:sz w:val="16"/>
              <w:szCs w:val="20"/>
            </w:rPr>
            <w:t xml:space="preserve">lotniczych, oznakowania poziomego, </w:t>
          </w:r>
          <w:r>
            <w:rPr>
              <w:sz w:val="16"/>
              <w:szCs w:val="20"/>
            </w:rPr>
            <w:br/>
          </w:r>
          <w:r w:rsidRPr="00A033BB">
            <w:rPr>
              <w:sz w:val="16"/>
              <w:szCs w:val="20"/>
            </w:rPr>
            <w:t>znaków pionowych i tabli</w:t>
          </w:r>
          <w:r>
            <w:rPr>
              <w:sz w:val="16"/>
              <w:szCs w:val="20"/>
            </w:rPr>
            <w:t>c</w:t>
          </w:r>
        </w:p>
      </w:tc>
    </w:tr>
  </w:tbl>
  <w:p w14:paraId="201C9134" w14:textId="77777777" w:rsidR="003832F2" w:rsidRPr="00A033BB" w:rsidRDefault="003832F2" w:rsidP="006A13A3">
    <w:pPr>
      <w:pStyle w:val="Bezodstpw"/>
      <w:spacing w:after="120"/>
      <w:jc w:val="both"/>
      <w:rPr>
        <w:rFonts w:cstheme="minorHAnsi"/>
        <w:i w:val="0"/>
        <w:szCs w:val="16"/>
      </w:rP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0ADB6A2C" w14:textId="77777777" w:rsidTr="001F73BC">
      <w:tc>
        <w:tcPr>
          <w:tcW w:w="1432" w:type="pct"/>
          <w:tcMar>
            <w:bottom w:w="28" w:type="dxa"/>
          </w:tcMar>
          <w:vAlign w:val="bottom"/>
        </w:tcPr>
        <w:p w14:paraId="3658AFE5" w14:textId="34C176BC"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7CF4CD34" wp14:editId="56714BF6">
                <wp:extent cx="1008000" cy="338400"/>
                <wp:effectExtent l="0" t="0" r="1905" b="508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1476C00" w14:textId="0FD2050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1C071C5C" w14:textId="0C2CC2DF" w:rsidR="003832F2" w:rsidRPr="00D37A7C" w:rsidRDefault="003832F2" w:rsidP="00A25C8B">
          <w:pPr>
            <w:spacing w:after="60"/>
            <w:jc w:val="right"/>
            <w:rPr>
              <w:sz w:val="16"/>
              <w:szCs w:val="20"/>
            </w:rPr>
          </w:pPr>
          <w:r w:rsidRPr="00D37A7C">
            <w:rPr>
              <w:sz w:val="16"/>
              <w:szCs w:val="20"/>
            </w:rPr>
            <w:t>CS-ADR-DSN — Wydanie 4</w:t>
          </w:r>
        </w:p>
        <w:p w14:paraId="57D7BF86" w14:textId="4AB2893E" w:rsidR="003832F2" w:rsidRPr="002F2987" w:rsidRDefault="003832F2" w:rsidP="00A25C8B">
          <w:pPr>
            <w:spacing w:after="0"/>
            <w:jc w:val="right"/>
            <w:rPr>
              <w:sz w:val="16"/>
              <w:szCs w:val="20"/>
            </w:rPr>
          </w:pPr>
          <w:r>
            <w:rPr>
              <w:sz w:val="16"/>
              <w:szCs w:val="20"/>
            </w:rPr>
            <w:t xml:space="preserve">Rozdział U </w:t>
          </w:r>
          <w:r w:rsidRPr="00E84442">
            <w:rPr>
              <w:sz w:val="16"/>
              <w:szCs w:val="20"/>
            </w:rPr>
            <w:t xml:space="preserve">— </w:t>
          </w:r>
          <w:r w:rsidRPr="00A033BB">
            <w:rPr>
              <w:sz w:val="16"/>
              <w:szCs w:val="20"/>
            </w:rPr>
            <w:t>Kolory naziemnyc</w:t>
          </w:r>
          <w:r>
            <w:rPr>
              <w:sz w:val="16"/>
              <w:szCs w:val="20"/>
            </w:rPr>
            <w:t xml:space="preserve">h świateł </w:t>
          </w:r>
          <w:r w:rsidRPr="00A033BB">
            <w:rPr>
              <w:sz w:val="16"/>
              <w:szCs w:val="20"/>
            </w:rPr>
            <w:t xml:space="preserve">lotniczych, oznakowania poziomego, </w:t>
          </w:r>
          <w:r>
            <w:rPr>
              <w:sz w:val="16"/>
              <w:szCs w:val="20"/>
            </w:rPr>
            <w:br/>
          </w:r>
          <w:r w:rsidRPr="00A033BB">
            <w:rPr>
              <w:sz w:val="16"/>
              <w:szCs w:val="20"/>
            </w:rPr>
            <w:t>znaków pionowych i tabli</w:t>
          </w:r>
          <w:r>
            <w:rPr>
              <w:sz w:val="16"/>
              <w:szCs w:val="20"/>
            </w:rPr>
            <w:t>c</w:t>
          </w:r>
        </w:p>
      </w:tc>
    </w:tr>
  </w:tbl>
  <w:p w14:paraId="1F6F9C1A" w14:textId="77777777" w:rsidR="003832F2" w:rsidRPr="00817C77" w:rsidRDefault="003832F2" w:rsidP="00C36D76">
    <w:pPr>
      <w:pStyle w:val="Nagwek"/>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2346CCCE" w14:textId="77777777" w:rsidTr="001F73BC">
      <w:tc>
        <w:tcPr>
          <w:tcW w:w="1432" w:type="pct"/>
          <w:tcMar>
            <w:bottom w:w="28" w:type="dxa"/>
          </w:tcMar>
          <w:vAlign w:val="bottom"/>
        </w:tcPr>
        <w:p w14:paraId="72EDA6F3"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2226270C" wp14:editId="2CB4C79C">
                <wp:extent cx="1008000" cy="338400"/>
                <wp:effectExtent l="0" t="0" r="1905" b="5080"/>
                <wp:docPr id="1378" name="Obraz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22ABDF4"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5CC5EEEA" w14:textId="22238185" w:rsidR="003832F2" w:rsidRPr="007A1C17" w:rsidRDefault="003832F2" w:rsidP="00A25C8B">
          <w:pPr>
            <w:spacing w:after="60"/>
            <w:jc w:val="right"/>
            <w:rPr>
              <w:sz w:val="16"/>
              <w:szCs w:val="20"/>
            </w:rPr>
          </w:pPr>
          <w:r w:rsidRPr="007A1C17">
            <w:rPr>
              <w:sz w:val="16"/>
              <w:szCs w:val="20"/>
            </w:rPr>
            <w:t>CS-HPT-DSN — Wydanie 1</w:t>
          </w:r>
        </w:p>
        <w:p w14:paraId="306B6678" w14:textId="2AE405DA" w:rsidR="003832F2" w:rsidRPr="002F2987" w:rsidRDefault="003832F2" w:rsidP="00A25C8B">
          <w:pPr>
            <w:spacing w:after="0"/>
            <w:jc w:val="right"/>
            <w:rPr>
              <w:sz w:val="16"/>
              <w:szCs w:val="20"/>
            </w:rPr>
          </w:pPr>
        </w:p>
      </w:tc>
    </w:tr>
  </w:tbl>
  <w:p w14:paraId="6E2BD20D" w14:textId="77777777" w:rsidR="003832F2" w:rsidRPr="00817C77" w:rsidRDefault="003832F2" w:rsidP="00C36D76">
    <w:pPr>
      <w:pStyle w:val="Nagwek"/>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32961F61" w14:textId="77777777" w:rsidTr="001F73BC">
      <w:tc>
        <w:tcPr>
          <w:tcW w:w="1432" w:type="pct"/>
          <w:tcMar>
            <w:bottom w:w="28" w:type="dxa"/>
          </w:tcMar>
          <w:vAlign w:val="bottom"/>
        </w:tcPr>
        <w:p w14:paraId="6AFDA9B2"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332B36CB" wp14:editId="1BE1C5B1">
                <wp:extent cx="1008000" cy="338400"/>
                <wp:effectExtent l="0" t="0" r="1905" b="5080"/>
                <wp:docPr id="1391" name="Obraz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20640056"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376DA1A9" w14:textId="7DB957ED" w:rsidR="003832F2" w:rsidRPr="007A1C17" w:rsidRDefault="003832F2" w:rsidP="00A25C8B">
          <w:pPr>
            <w:spacing w:after="60"/>
            <w:jc w:val="right"/>
            <w:rPr>
              <w:b/>
              <w:sz w:val="16"/>
              <w:szCs w:val="20"/>
            </w:rPr>
          </w:pPr>
          <w:r w:rsidRPr="007A1C17">
            <w:rPr>
              <w:sz w:val="16"/>
              <w:szCs w:val="20"/>
            </w:rPr>
            <w:t>CS-HPT-DSN — Wydanie 1</w:t>
          </w:r>
        </w:p>
        <w:p w14:paraId="03DF8FA3" w14:textId="7F795AF1" w:rsidR="003832F2" w:rsidRPr="007A1C17" w:rsidRDefault="003832F2" w:rsidP="007A1C17">
          <w:pPr>
            <w:spacing w:after="0"/>
            <w:jc w:val="right"/>
            <w:rPr>
              <w:sz w:val="16"/>
              <w:szCs w:val="20"/>
            </w:rPr>
          </w:pPr>
          <w:r w:rsidRPr="007A1C17">
            <w:rPr>
              <w:sz w:val="16"/>
              <w:szCs w:val="20"/>
            </w:rPr>
            <w:t>Lista skrótów</w:t>
          </w:r>
        </w:p>
      </w:tc>
    </w:tr>
  </w:tbl>
  <w:p w14:paraId="443EAACC" w14:textId="77777777" w:rsidR="003832F2" w:rsidRPr="00817C77" w:rsidRDefault="003832F2" w:rsidP="00C36D76">
    <w:pPr>
      <w:pStyle w:val="Nagwek"/>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33E8D738" w14:textId="77777777" w:rsidTr="001F73BC">
      <w:tc>
        <w:tcPr>
          <w:tcW w:w="1432" w:type="pct"/>
          <w:tcMar>
            <w:bottom w:w="28" w:type="dxa"/>
          </w:tcMar>
          <w:vAlign w:val="bottom"/>
        </w:tcPr>
        <w:p w14:paraId="65A1414B"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2A5D33D1" wp14:editId="5499A786">
                <wp:extent cx="1008000" cy="338400"/>
                <wp:effectExtent l="0" t="0" r="1905" b="5080"/>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7652BCB3"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51A58140" w14:textId="77777777" w:rsidR="003832F2" w:rsidRPr="007A1C17" w:rsidRDefault="003832F2" w:rsidP="007A1C17">
          <w:pPr>
            <w:spacing w:after="60"/>
            <w:jc w:val="right"/>
            <w:rPr>
              <w:b/>
              <w:sz w:val="16"/>
              <w:szCs w:val="20"/>
            </w:rPr>
          </w:pPr>
          <w:r w:rsidRPr="007A1C17">
            <w:rPr>
              <w:sz w:val="16"/>
              <w:szCs w:val="20"/>
            </w:rPr>
            <w:t>CS-HPT-DSN — Wydanie 1</w:t>
          </w:r>
        </w:p>
        <w:p w14:paraId="1FC3C1A7" w14:textId="555C635E" w:rsidR="003832F2" w:rsidRPr="002F2987" w:rsidRDefault="003832F2" w:rsidP="007A1C17">
          <w:pPr>
            <w:spacing w:after="0"/>
            <w:jc w:val="right"/>
            <w:rPr>
              <w:sz w:val="16"/>
              <w:szCs w:val="20"/>
            </w:rPr>
          </w:pPr>
          <w:r w:rsidRPr="007A1C17">
            <w:rPr>
              <w:sz w:val="16"/>
              <w:szCs w:val="20"/>
            </w:rPr>
            <w:t>Rozdział A — Wymagania ogólne</w:t>
          </w:r>
        </w:p>
      </w:tc>
    </w:tr>
  </w:tbl>
  <w:p w14:paraId="069557FD" w14:textId="77777777" w:rsidR="003832F2" w:rsidRPr="00A033BB" w:rsidRDefault="003832F2" w:rsidP="006A13A3">
    <w:pPr>
      <w:pStyle w:val="Bezodstpw"/>
      <w:spacing w:after="120"/>
      <w:jc w:val="both"/>
      <w:rPr>
        <w:rFonts w:cstheme="minorHAnsi"/>
        <w:i w:val="0"/>
        <w:szCs w:val="16"/>
      </w:rPr>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7A1C17" w14:paraId="31E14477" w14:textId="77777777" w:rsidTr="001F73BC">
      <w:tc>
        <w:tcPr>
          <w:tcW w:w="1432" w:type="pct"/>
          <w:tcMar>
            <w:bottom w:w="28" w:type="dxa"/>
          </w:tcMar>
          <w:vAlign w:val="bottom"/>
        </w:tcPr>
        <w:p w14:paraId="794A79E1" w14:textId="77777777" w:rsidR="003832F2" w:rsidRPr="002D0627" w:rsidRDefault="003832F2" w:rsidP="00A25C8B">
          <w:pPr>
            <w:spacing w:after="0"/>
            <w:jc w:val="left"/>
            <w:rPr>
              <w:sz w:val="18"/>
              <w:szCs w:val="20"/>
            </w:rPr>
          </w:pPr>
          <w:r>
            <w:rPr>
              <w:b/>
              <w:noProof/>
              <w:color w:val="0066FF"/>
              <w:sz w:val="18"/>
              <w:szCs w:val="20"/>
              <w:lang w:eastAsia="pl-PL"/>
            </w:rPr>
            <w:drawing>
              <wp:inline distT="0" distB="0" distL="0" distR="0" wp14:anchorId="388957FB" wp14:editId="0800F747">
                <wp:extent cx="1008000" cy="338400"/>
                <wp:effectExtent l="0" t="0" r="1905" b="5080"/>
                <wp:docPr id="1471" name="Obraz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3932A958"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67977181" w14:textId="77777777" w:rsidR="003832F2" w:rsidRPr="007A1C17" w:rsidRDefault="003832F2" w:rsidP="00A25C8B">
          <w:pPr>
            <w:spacing w:after="60"/>
            <w:jc w:val="right"/>
            <w:rPr>
              <w:b/>
              <w:sz w:val="16"/>
              <w:szCs w:val="20"/>
            </w:rPr>
          </w:pPr>
          <w:r w:rsidRPr="007A1C17">
            <w:rPr>
              <w:sz w:val="16"/>
              <w:szCs w:val="20"/>
            </w:rPr>
            <w:t>CS-HPT-DSN — Wydanie 1</w:t>
          </w:r>
        </w:p>
        <w:p w14:paraId="37EA4837" w14:textId="5670B3EB" w:rsidR="003832F2" w:rsidRPr="007A1C17" w:rsidRDefault="003832F2" w:rsidP="007A1C17">
          <w:pPr>
            <w:spacing w:after="0"/>
            <w:jc w:val="right"/>
          </w:pPr>
          <w:r w:rsidRPr="007A1C17">
            <w:rPr>
              <w:sz w:val="16"/>
              <w:szCs w:val="20"/>
            </w:rPr>
            <w:t>Rozdział A — Wymagania ogólne</w:t>
          </w:r>
        </w:p>
      </w:tc>
    </w:tr>
  </w:tbl>
  <w:p w14:paraId="2A0C64F2" w14:textId="77777777" w:rsidR="003832F2" w:rsidRPr="00817C77" w:rsidRDefault="003832F2" w:rsidP="00C36D76">
    <w:pPr>
      <w:pStyle w:val="Nagwek"/>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2" w:type="pct"/>
      <w:tblBorders>
        <w:top w:val="none" w:sz="0" w:space="0" w:color="auto"/>
        <w:left w:val="none" w:sz="0" w:space="0" w:color="auto"/>
        <w:bottom w:val="single" w:sz="8" w:space="0" w:color="0066CC"/>
        <w:right w:val="none" w:sz="0" w:space="0" w:color="auto"/>
        <w:insideH w:val="none" w:sz="0" w:space="0" w:color="auto"/>
        <w:insideV w:val="none" w:sz="0" w:space="0" w:color="auto"/>
      </w:tblBorders>
      <w:tblCellMar>
        <w:left w:w="0" w:type="dxa"/>
        <w:bottom w:w="28" w:type="dxa"/>
        <w:right w:w="0" w:type="dxa"/>
      </w:tblCellMar>
      <w:tblLook w:val="04A0" w:firstRow="1" w:lastRow="0" w:firstColumn="1" w:lastColumn="0" w:noHBand="0" w:noVBand="1"/>
    </w:tblPr>
    <w:tblGrid>
      <w:gridCol w:w="2599"/>
      <w:gridCol w:w="3187"/>
      <w:gridCol w:w="3288"/>
    </w:tblGrid>
    <w:tr w:rsidR="003832F2" w:rsidRPr="002F2987" w14:paraId="52EBD3A5" w14:textId="77777777" w:rsidTr="001F73BC">
      <w:tc>
        <w:tcPr>
          <w:tcW w:w="1432" w:type="pct"/>
          <w:tcMar>
            <w:bottom w:w="28" w:type="dxa"/>
          </w:tcMar>
          <w:vAlign w:val="bottom"/>
        </w:tcPr>
        <w:p w14:paraId="33736567" w14:textId="77777777" w:rsidR="003832F2" w:rsidRPr="002D0627" w:rsidRDefault="003832F2" w:rsidP="006A13A3">
          <w:pPr>
            <w:spacing w:after="0"/>
            <w:jc w:val="left"/>
            <w:rPr>
              <w:sz w:val="18"/>
              <w:szCs w:val="20"/>
            </w:rPr>
          </w:pPr>
          <w:r>
            <w:rPr>
              <w:b/>
              <w:noProof/>
              <w:color w:val="0066FF"/>
              <w:sz w:val="18"/>
              <w:szCs w:val="20"/>
              <w:lang w:eastAsia="pl-PL"/>
            </w:rPr>
            <w:drawing>
              <wp:inline distT="0" distB="0" distL="0" distR="0" wp14:anchorId="2EFA57AC" wp14:editId="55023FF8">
                <wp:extent cx="1008000" cy="338400"/>
                <wp:effectExtent l="0" t="0" r="1905" b="508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EAS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8000" cy="338400"/>
                        </a:xfrm>
                        <a:prstGeom prst="rect">
                          <a:avLst/>
                        </a:prstGeom>
                      </pic:spPr>
                    </pic:pic>
                  </a:graphicData>
                </a:graphic>
              </wp:inline>
            </w:drawing>
          </w:r>
        </w:p>
      </w:tc>
      <w:tc>
        <w:tcPr>
          <w:tcW w:w="1756" w:type="pct"/>
          <w:vAlign w:val="bottom"/>
        </w:tcPr>
        <w:p w14:paraId="6D0601F9" w14:textId="77777777" w:rsidR="003832F2" w:rsidRPr="002D0627" w:rsidRDefault="003832F2" w:rsidP="003A4675">
          <w:pPr>
            <w:tabs>
              <w:tab w:val="left" w:pos="0"/>
            </w:tabs>
            <w:spacing w:after="60"/>
            <w:ind w:right="397"/>
            <w:jc w:val="center"/>
            <w:rPr>
              <w:i/>
              <w:sz w:val="16"/>
              <w:szCs w:val="20"/>
            </w:rPr>
          </w:pPr>
          <w:r w:rsidRPr="003A4675">
            <w:rPr>
              <w:i/>
              <w:color w:val="0066CC"/>
              <w:sz w:val="16"/>
              <w:szCs w:val="20"/>
            </w:rPr>
            <w:t>Łatwo Dostępne Przepisy dla Lotnisk</w:t>
          </w:r>
          <w:r>
            <w:rPr>
              <w:i/>
              <w:color w:val="0066CC"/>
              <w:sz w:val="16"/>
              <w:szCs w:val="20"/>
            </w:rPr>
            <w:br/>
          </w:r>
          <w:r w:rsidRPr="003A4675">
            <w:rPr>
              <w:i/>
              <w:color w:val="0066CC"/>
              <w:sz w:val="16"/>
              <w:szCs w:val="20"/>
            </w:rPr>
            <w:t>(Rozporządzenie (UE) Nr 139/2014)</w:t>
          </w:r>
        </w:p>
      </w:tc>
      <w:tc>
        <w:tcPr>
          <w:tcW w:w="1812" w:type="pct"/>
          <w:vAlign w:val="bottom"/>
        </w:tcPr>
        <w:p w14:paraId="1A869A55" w14:textId="77777777" w:rsidR="003832F2" w:rsidRPr="007A1C17" w:rsidRDefault="003832F2" w:rsidP="007A1C17">
          <w:pPr>
            <w:spacing w:after="60"/>
            <w:jc w:val="right"/>
            <w:rPr>
              <w:b/>
              <w:sz w:val="16"/>
              <w:szCs w:val="20"/>
            </w:rPr>
          </w:pPr>
          <w:r w:rsidRPr="007A1C17">
            <w:rPr>
              <w:sz w:val="16"/>
              <w:szCs w:val="20"/>
            </w:rPr>
            <w:t>CS-HPT-DSN — Wydanie 1</w:t>
          </w:r>
        </w:p>
        <w:p w14:paraId="38DB5F82" w14:textId="08E86008" w:rsidR="003832F2" w:rsidRPr="002F2987" w:rsidRDefault="003832F2" w:rsidP="00531A22">
          <w:pPr>
            <w:spacing w:after="0"/>
            <w:jc w:val="right"/>
            <w:rPr>
              <w:sz w:val="16"/>
              <w:szCs w:val="20"/>
            </w:rPr>
          </w:pPr>
          <w:r w:rsidRPr="00531A22">
            <w:rPr>
              <w:sz w:val="16"/>
              <w:szCs w:val="20"/>
            </w:rPr>
            <w:t xml:space="preserve">Rozdział B — Strefy operacyjne lotniska </w:t>
          </w:r>
          <w:r>
            <w:rPr>
              <w:sz w:val="16"/>
              <w:szCs w:val="20"/>
            </w:rPr>
            <w:br/>
          </w:r>
          <w:r w:rsidRPr="00531A22">
            <w:rPr>
              <w:sz w:val="16"/>
              <w:szCs w:val="20"/>
            </w:rPr>
            <w:t>dla śmigłowców</w:t>
          </w:r>
        </w:p>
      </w:tc>
    </w:tr>
  </w:tbl>
  <w:p w14:paraId="3C233D7A" w14:textId="77777777" w:rsidR="003832F2" w:rsidRPr="00A033BB" w:rsidRDefault="003832F2" w:rsidP="006A13A3">
    <w:pPr>
      <w:pStyle w:val="Bezodstpw"/>
      <w:spacing w:after="120"/>
      <w:jc w:val="both"/>
      <w:rPr>
        <w:rFonts w:cstheme="minorHAnsi"/>
        <w:i w:val="0"/>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E7126"/>
    <w:multiLevelType w:val="hybridMultilevel"/>
    <w:tmpl w:val="416A129C"/>
    <w:lvl w:ilvl="0" w:tplc="548A90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63F4C24"/>
    <w:multiLevelType w:val="hybridMultilevel"/>
    <w:tmpl w:val="9CE6D34C"/>
    <w:lvl w:ilvl="0" w:tplc="548A90F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nsid w:val="1B9306B8"/>
    <w:multiLevelType w:val="hybridMultilevel"/>
    <w:tmpl w:val="8DBE2FD2"/>
    <w:lvl w:ilvl="0" w:tplc="CAFCD51E">
      <w:start w:val="1"/>
      <w:numFmt w:val="decimal"/>
      <w:lvlText w:val="%1."/>
      <w:lvlJc w:val="left"/>
      <w:pPr>
        <w:ind w:hanging="430"/>
      </w:pPr>
      <w:rPr>
        <w:rFonts w:ascii="Times New Roman" w:eastAsia="Times New Roman" w:hAnsi="Times New Roman" w:hint="default"/>
        <w:color w:val="1A171C"/>
        <w:sz w:val="19"/>
        <w:szCs w:val="19"/>
      </w:rPr>
    </w:lvl>
    <w:lvl w:ilvl="1" w:tplc="EF6CB1C8">
      <w:start w:val="1"/>
      <w:numFmt w:val="decimal"/>
      <w:lvlText w:val="%2)"/>
      <w:lvlJc w:val="left"/>
      <w:pPr>
        <w:ind w:hanging="220"/>
        <w:jc w:val="right"/>
      </w:pPr>
      <w:rPr>
        <w:rFonts w:ascii="Times New Roman" w:eastAsia="Times New Roman" w:hAnsi="Times New Roman" w:hint="default"/>
        <w:color w:val="1A171C"/>
        <w:spacing w:val="-1"/>
        <w:w w:val="100"/>
        <w:sz w:val="20"/>
        <w:szCs w:val="20"/>
      </w:rPr>
    </w:lvl>
    <w:lvl w:ilvl="2" w:tplc="C5329BDC">
      <w:start w:val="1"/>
      <w:numFmt w:val="decimal"/>
      <w:lvlText w:val="%3."/>
      <w:lvlJc w:val="left"/>
      <w:pPr>
        <w:ind w:hanging="209"/>
      </w:pPr>
      <w:rPr>
        <w:rFonts w:ascii="Times New Roman" w:eastAsia="Times New Roman" w:hAnsi="Times New Roman" w:hint="default"/>
        <w:color w:val="1A171C"/>
        <w:w w:val="99"/>
        <w:sz w:val="17"/>
        <w:szCs w:val="17"/>
      </w:rPr>
    </w:lvl>
    <w:lvl w:ilvl="3" w:tplc="D256CDB6">
      <w:start w:val="1"/>
      <w:numFmt w:val="bullet"/>
      <w:lvlText w:val="—"/>
      <w:lvlJc w:val="left"/>
      <w:pPr>
        <w:ind w:hanging="248"/>
      </w:pPr>
      <w:rPr>
        <w:rFonts w:ascii="Times New Roman" w:eastAsia="Times New Roman" w:hAnsi="Times New Roman" w:hint="default"/>
        <w:color w:val="1A171C"/>
        <w:w w:val="94"/>
        <w:sz w:val="17"/>
        <w:szCs w:val="17"/>
      </w:rPr>
    </w:lvl>
    <w:lvl w:ilvl="4" w:tplc="49B29A7E">
      <w:start w:val="1"/>
      <w:numFmt w:val="bullet"/>
      <w:lvlText w:val="•"/>
      <w:lvlJc w:val="left"/>
      <w:rPr>
        <w:rFonts w:hint="default"/>
      </w:rPr>
    </w:lvl>
    <w:lvl w:ilvl="5" w:tplc="460C968E">
      <w:start w:val="1"/>
      <w:numFmt w:val="bullet"/>
      <w:lvlText w:val="•"/>
      <w:lvlJc w:val="left"/>
      <w:rPr>
        <w:rFonts w:hint="default"/>
      </w:rPr>
    </w:lvl>
    <w:lvl w:ilvl="6" w:tplc="66509850">
      <w:start w:val="1"/>
      <w:numFmt w:val="bullet"/>
      <w:lvlText w:val="•"/>
      <w:lvlJc w:val="left"/>
      <w:rPr>
        <w:rFonts w:hint="default"/>
      </w:rPr>
    </w:lvl>
    <w:lvl w:ilvl="7" w:tplc="CC742CCC">
      <w:start w:val="1"/>
      <w:numFmt w:val="bullet"/>
      <w:lvlText w:val="•"/>
      <w:lvlJc w:val="left"/>
      <w:rPr>
        <w:rFonts w:hint="default"/>
      </w:rPr>
    </w:lvl>
    <w:lvl w:ilvl="8" w:tplc="03FAFB20">
      <w:start w:val="1"/>
      <w:numFmt w:val="bullet"/>
      <w:lvlText w:val="•"/>
      <w:lvlJc w:val="left"/>
      <w:rPr>
        <w:rFonts w:hint="default"/>
      </w:rPr>
    </w:lvl>
  </w:abstractNum>
  <w:abstractNum w:abstractNumId="3">
    <w:nsid w:val="1D697C55"/>
    <w:multiLevelType w:val="hybridMultilevel"/>
    <w:tmpl w:val="139CB2A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364F3528"/>
    <w:multiLevelType w:val="hybridMultilevel"/>
    <w:tmpl w:val="F1F6091C"/>
    <w:lvl w:ilvl="0" w:tplc="C810CB68">
      <w:start w:val="1"/>
      <w:numFmt w:val="bullet"/>
      <w:lvlText w:val="−"/>
      <w:lvlJc w:val="left"/>
      <w:pPr>
        <w:ind w:left="360" w:hanging="360"/>
      </w:pPr>
      <w:rPr>
        <w:rFonts w:ascii="Times New Roman" w:hAnsi="Times New Roman" w:cs="Times New Roman"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
    <w:nsid w:val="38456328"/>
    <w:multiLevelType w:val="hybridMultilevel"/>
    <w:tmpl w:val="941447D4"/>
    <w:lvl w:ilvl="0" w:tplc="1130C28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3A3D010F"/>
    <w:multiLevelType w:val="hybridMultilevel"/>
    <w:tmpl w:val="5BBC9B7E"/>
    <w:lvl w:ilvl="0" w:tplc="98FEBD7A">
      <w:start w:val="1"/>
      <w:numFmt w:val="decimal"/>
      <w:lvlText w:val="%1)"/>
      <w:lvlJc w:val="left"/>
      <w:pPr>
        <w:ind w:hanging="348"/>
      </w:pPr>
      <w:rPr>
        <w:rFonts w:ascii="Times New Roman" w:eastAsia="Times New Roman" w:hAnsi="Times New Roman" w:hint="default"/>
        <w:color w:val="1A171C"/>
        <w:w w:val="95"/>
        <w:sz w:val="20"/>
        <w:szCs w:val="20"/>
      </w:rPr>
    </w:lvl>
    <w:lvl w:ilvl="1" w:tplc="F66C1F50">
      <w:start w:val="1"/>
      <w:numFmt w:val="bullet"/>
      <w:lvlText w:val="—"/>
      <w:lvlJc w:val="left"/>
      <w:pPr>
        <w:ind w:hanging="278"/>
      </w:pPr>
      <w:rPr>
        <w:rFonts w:ascii="Times New Roman" w:eastAsia="Times New Roman" w:hAnsi="Times New Roman" w:hint="default"/>
        <w:color w:val="1A171C"/>
        <w:w w:val="95"/>
        <w:sz w:val="19"/>
        <w:szCs w:val="19"/>
      </w:rPr>
    </w:lvl>
    <w:lvl w:ilvl="2" w:tplc="C874A944">
      <w:start w:val="1"/>
      <w:numFmt w:val="bullet"/>
      <w:lvlText w:val="•"/>
      <w:lvlJc w:val="left"/>
      <w:rPr>
        <w:rFonts w:hint="default"/>
      </w:rPr>
    </w:lvl>
    <w:lvl w:ilvl="3" w:tplc="45E619A8">
      <w:start w:val="1"/>
      <w:numFmt w:val="bullet"/>
      <w:lvlText w:val="•"/>
      <w:lvlJc w:val="left"/>
      <w:rPr>
        <w:rFonts w:hint="default"/>
      </w:rPr>
    </w:lvl>
    <w:lvl w:ilvl="4" w:tplc="AEAA61F4">
      <w:start w:val="1"/>
      <w:numFmt w:val="bullet"/>
      <w:lvlText w:val="•"/>
      <w:lvlJc w:val="left"/>
      <w:rPr>
        <w:rFonts w:hint="default"/>
      </w:rPr>
    </w:lvl>
    <w:lvl w:ilvl="5" w:tplc="59F6CF28">
      <w:start w:val="1"/>
      <w:numFmt w:val="bullet"/>
      <w:lvlText w:val="•"/>
      <w:lvlJc w:val="left"/>
      <w:rPr>
        <w:rFonts w:hint="default"/>
      </w:rPr>
    </w:lvl>
    <w:lvl w:ilvl="6" w:tplc="EB76A6EA">
      <w:start w:val="1"/>
      <w:numFmt w:val="bullet"/>
      <w:lvlText w:val="•"/>
      <w:lvlJc w:val="left"/>
      <w:rPr>
        <w:rFonts w:hint="default"/>
      </w:rPr>
    </w:lvl>
    <w:lvl w:ilvl="7" w:tplc="F08CE362">
      <w:start w:val="1"/>
      <w:numFmt w:val="bullet"/>
      <w:lvlText w:val="•"/>
      <w:lvlJc w:val="left"/>
      <w:rPr>
        <w:rFonts w:hint="default"/>
      </w:rPr>
    </w:lvl>
    <w:lvl w:ilvl="8" w:tplc="D9B81D50">
      <w:start w:val="1"/>
      <w:numFmt w:val="bullet"/>
      <w:lvlText w:val="•"/>
      <w:lvlJc w:val="left"/>
      <w:rPr>
        <w:rFonts w:hint="default"/>
      </w:rPr>
    </w:lvl>
  </w:abstractNum>
  <w:abstractNum w:abstractNumId="7">
    <w:nsid w:val="3AAE5254"/>
    <w:multiLevelType w:val="hybridMultilevel"/>
    <w:tmpl w:val="D2BE4D3A"/>
    <w:lvl w:ilvl="0" w:tplc="DA50F2B8">
      <w:start w:val="1"/>
      <w:numFmt w:val="decimal"/>
      <w:lvlText w:val="%1."/>
      <w:lvlJc w:val="left"/>
      <w:pPr>
        <w:tabs>
          <w:tab w:val="num" w:pos="227"/>
        </w:tabs>
        <w:ind w:left="227" w:hanging="227"/>
      </w:pPr>
      <w:rPr>
        <w:rFonts w:cs="Times New Roman" w:hint="default"/>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8">
    <w:nsid w:val="49895318"/>
    <w:multiLevelType w:val="hybridMultilevel"/>
    <w:tmpl w:val="0EC85A2C"/>
    <w:lvl w:ilvl="0" w:tplc="A570435A">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
    <w:nsid w:val="57DB4781"/>
    <w:multiLevelType w:val="hybridMultilevel"/>
    <w:tmpl w:val="C2027340"/>
    <w:lvl w:ilvl="0" w:tplc="FFC249EC">
      <w:start w:val="1"/>
      <w:numFmt w:val="decimal"/>
      <w:lvlText w:val="(%1)"/>
      <w:lvlJc w:val="left"/>
      <w:pPr>
        <w:ind w:left="720" w:hanging="360"/>
      </w:pPr>
      <w:rPr>
        <w:rFonts w:ascii="Verdana" w:eastAsia="Verdana" w:hAnsi="Verdana" w:hint="default"/>
        <w:w w:val="99"/>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658B41F0"/>
    <w:multiLevelType w:val="hybridMultilevel"/>
    <w:tmpl w:val="465A6C32"/>
    <w:lvl w:ilvl="0" w:tplc="CEDAF596">
      <w:start w:val="1"/>
      <w:numFmt w:val="decimal"/>
      <w:lvlText w:val="%1"/>
      <w:lvlJc w:val="left"/>
      <w:pPr>
        <w:ind w:hanging="284"/>
      </w:pPr>
      <w:rPr>
        <w:rFonts w:ascii="Verdana" w:eastAsia="Verdana" w:hAnsi="Verdana" w:hint="default"/>
        <w:b/>
        <w:bCs/>
        <w:w w:val="99"/>
        <w:position w:val="9"/>
        <w:sz w:val="13"/>
        <w:szCs w:val="13"/>
      </w:rPr>
    </w:lvl>
    <w:lvl w:ilvl="1" w:tplc="29006842">
      <w:start w:val="1"/>
      <w:numFmt w:val="bullet"/>
      <w:lvlText w:val="—"/>
      <w:lvlJc w:val="left"/>
      <w:pPr>
        <w:ind w:hanging="360"/>
      </w:pPr>
      <w:rPr>
        <w:rFonts w:asciiTheme="minorHAnsi" w:eastAsia="Verdana" w:hAnsiTheme="minorHAnsi" w:cstheme="minorHAnsi" w:hint="default"/>
        <w:w w:val="99"/>
        <w:sz w:val="20"/>
        <w:szCs w:val="20"/>
      </w:rPr>
    </w:lvl>
    <w:lvl w:ilvl="2" w:tplc="412EF8F4">
      <w:start w:val="1"/>
      <w:numFmt w:val="bullet"/>
      <w:lvlText w:val="•"/>
      <w:lvlJc w:val="left"/>
      <w:rPr>
        <w:rFonts w:hint="default"/>
      </w:rPr>
    </w:lvl>
    <w:lvl w:ilvl="3" w:tplc="48CC46C0">
      <w:start w:val="1"/>
      <w:numFmt w:val="bullet"/>
      <w:lvlText w:val="•"/>
      <w:lvlJc w:val="left"/>
      <w:rPr>
        <w:rFonts w:hint="default"/>
      </w:rPr>
    </w:lvl>
    <w:lvl w:ilvl="4" w:tplc="C26E6724">
      <w:start w:val="1"/>
      <w:numFmt w:val="bullet"/>
      <w:lvlText w:val="•"/>
      <w:lvlJc w:val="left"/>
      <w:rPr>
        <w:rFonts w:hint="default"/>
      </w:rPr>
    </w:lvl>
    <w:lvl w:ilvl="5" w:tplc="32369614">
      <w:start w:val="1"/>
      <w:numFmt w:val="bullet"/>
      <w:lvlText w:val="•"/>
      <w:lvlJc w:val="left"/>
      <w:rPr>
        <w:rFonts w:hint="default"/>
      </w:rPr>
    </w:lvl>
    <w:lvl w:ilvl="6" w:tplc="E1066894">
      <w:start w:val="1"/>
      <w:numFmt w:val="bullet"/>
      <w:lvlText w:val="•"/>
      <w:lvlJc w:val="left"/>
      <w:rPr>
        <w:rFonts w:hint="default"/>
      </w:rPr>
    </w:lvl>
    <w:lvl w:ilvl="7" w:tplc="690ED66C">
      <w:start w:val="1"/>
      <w:numFmt w:val="bullet"/>
      <w:lvlText w:val="•"/>
      <w:lvlJc w:val="left"/>
      <w:rPr>
        <w:rFonts w:hint="default"/>
      </w:rPr>
    </w:lvl>
    <w:lvl w:ilvl="8" w:tplc="7C240CD4">
      <w:start w:val="1"/>
      <w:numFmt w:val="bullet"/>
      <w:lvlText w:val="•"/>
      <w:lvlJc w:val="left"/>
      <w:rPr>
        <w:rFonts w:hint="default"/>
      </w:rPr>
    </w:lvl>
  </w:abstractNum>
  <w:abstractNum w:abstractNumId="11">
    <w:nsid w:val="69385D0E"/>
    <w:multiLevelType w:val="hybridMultilevel"/>
    <w:tmpl w:val="41CC957A"/>
    <w:lvl w:ilvl="0" w:tplc="B766416C">
      <w:start w:val="1"/>
      <w:numFmt w:val="lowerRoman"/>
      <w:lvlText w:val="(%1)"/>
      <w:lvlJc w:val="left"/>
      <w:pPr>
        <w:ind w:left="720" w:hanging="360"/>
      </w:pPr>
      <w:rPr>
        <w:rFonts w:ascii="Verdana" w:eastAsia="Verdana" w:hAnsi="Verdana" w:hint="default"/>
        <w:w w:val="99"/>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718B200E"/>
    <w:multiLevelType w:val="hybridMultilevel"/>
    <w:tmpl w:val="D40C4636"/>
    <w:lvl w:ilvl="0" w:tplc="74CE91D6">
      <w:start w:val="1"/>
      <w:numFmt w:val="bullet"/>
      <w:lvlText w:val=""/>
      <w:lvlJc w:val="left"/>
      <w:pPr>
        <w:ind w:left="502" w:hanging="360"/>
      </w:pPr>
      <w:rPr>
        <w:rFonts w:ascii="Symbol" w:hAnsi="Symbol" w:hint="default"/>
      </w:rPr>
    </w:lvl>
    <w:lvl w:ilvl="1" w:tplc="04150019" w:tentative="1">
      <w:start w:val="1"/>
      <w:numFmt w:val="bullet"/>
      <w:lvlText w:val="o"/>
      <w:lvlJc w:val="left"/>
      <w:pPr>
        <w:ind w:left="1222" w:hanging="360"/>
      </w:pPr>
      <w:rPr>
        <w:rFonts w:ascii="Courier New" w:hAnsi="Courier New" w:cs="Courier New" w:hint="default"/>
      </w:rPr>
    </w:lvl>
    <w:lvl w:ilvl="2" w:tplc="0415001B" w:tentative="1">
      <w:start w:val="1"/>
      <w:numFmt w:val="bullet"/>
      <w:lvlText w:val=""/>
      <w:lvlJc w:val="left"/>
      <w:pPr>
        <w:ind w:left="1942" w:hanging="360"/>
      </w:pPr>
      <w:rPr>
        <w:rFonts w:ascii="Wingdings" w:hAnsi="Wingdings" w:hint="default"/>
      </w:rPr>
    </w:lvl>
    <w:lvl w:ilvl="3" w:tplc="0415000F" w:tentative="1">
      <w:start w:val="1"/>
      <w:numFmt w:val="bullet"/>
      <w:lvlText w:val=""/>
      <w:lvlJc w:val="left"/>
      <w:pPr>
        <w:ind w:left="2662" w:hanging="360"/>
      </w:pPr>
      <w:rPr>
        <w:rFonts w:ascii="Symbol" w:hAnsi="Symbol" w:hint="default"/>
      </w:rPr>
    </w:lvl>
    <w:lvl w:ilvl="4" w:tplc="04150019" w:tentative="1">
      <w:start w:val="1"/>
      <w:numFmt w:val="bullet"/>
      <w:lvlText w:val="o"/>
      <w:lvlJc w:val="left"/>
      <w:pPr>
        <w:ind w:left="3382" w:hanging="360"/>
      </w:pPr>
      <w:rPr>
        <w:rFonts w:ascii="Courier New" w:hAnsi="Courier New" w:cs="Courier New" w:hint="default"/>
      </w:rPr>
    </w:lvl>
    <w:lvl w:ilvl="5" w:tplc="0415001B" w:tentative="1">
      <w:start w:val="1"/>
      <w:numFmt w:val="bullet"/>
      <w:lvlText w:val=""/>
      <w:lvlJc w:val="left"/>
      <w:pPr>
        <w:ind w:left="4102" w:hanging="360"/>
      </w:pPr>
      <w:rPr>
        <w:rFonts w:ascii="Wingdings" w:hAnsi="Wingdings" w:hint="default"/>
      </w:rPr>
    </w:lvl>
    <w:lvl w:ilvl="6" w:tplc="0415000F" w:tentative="1">
      <w:start w:val="1"/>
      <w:numFmt w:val="bullet"/>
      <w:lvlText w:val=""/>
      <w:lvlJc w:val="left"/>
      <w:pPr>
        <w:ind w:left="4822" w:hanging="360"/>
      </w:pPr>
      <w:rPr>
        <w:rFonts w:ascii="Symbol" w:hAnsi="Symbol" w:hint="default"/>
      </w:rPr>
    </w:lvl>
    <w:lvl w:ilvl="7" w:tplc="04150019" w:tentative="1">
      <w:start w:val="1"/>
      <w:numFmt w:val="bullet"/>
      <w:lvlText w:val="o"/>
      <w:lvlJc w:val="left"/>
      <w:pPr>
        <w:ind w:left="5542" w:hanging="360"/>
      </w:pPr>
      <w:rPr>
        <w:rFonts w:ascii="Courier New" w:hAnsi="Courier New" w:cs="Courier New" w:hint="default"/>
      </w:rPr>
    </w:lvl>
    <w:lvl w:ilvl="8" w:tplc="0415001B" w:tentative="1">
      <w:start w:val="1"/>
      <w:numFmt w:val="bullet"/>
      <w:lvlText w:val=""/>
      <w:lvlJc w:val="left"/>
      <w:pPr>
        <w:ind w:left="6262" w:hanging="360"/>
      </w:pPr>
      <w:rPr>
        <w:rFonts w:ascii="Wingdings" w:hAnsi="Wingdings" w:hint="default"/>
      </w:rPr>
    </w:lvl>
  </w:abstractNum>
  <w:abstractNum w:abstractNumId="13">
    <w:nsid w:val="787A28F3"/>
    <w:multiLevelType w:val="hybridMultilevel"/>
    <w:tmpl w:val="424841E2"/>
    <w:lvl w:ilvl="0" w:tplc="548A90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7BEF55C6"/>
    <w:multiLevelType w:val="hybridMultilevel"/>
    <w:tmpl w:val="BA6AF07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6"/>
  </w:num>
  <w:num w:numId="3">
    <w:abstractNumId w:val="4"/>
  </w:num>
  <w:num w:numId="4">
    <w:abstractNumId w:val="10"/>
  </w:num>
  <w:num w:numId="5">
    <w:abstractNumId w:val="0"/>
  </w:num>
  <w:num w:numId="6">
    <w:abstractNumId w:val="13"/>
  </w:num>
  <w:num w:numId="7">
    <w:abstractNumId w:val="8"/>
  </w:num>
  <w:num w:numId="8">
    <w:abstractNumId w:val="12"/>
  </w:num>
  <w:num w:numId="9">
    <w:abstractNumId w:val="1"/>
  </w:num>
  <w:num w:numId="10">
    <w:abstractNumId w:val="9"/>
  </w:num>
  <w:num w:numId="11">
    <w:abstractNumId w:val="11"/>
  </w:num>
  <w:num w:numId="12">
    <w:abstractNumId w:val="5"/>
  </w:num>
  <w:num w:numId="13">
    <w:abstractNumId w:val="7"/>
  </w:num>
  <w:num w:numId="14">
    <w:abstractNumId w:val="14"/>
  </w:num>
  <w:num w:numId="15">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GrammaticalErrors/>
  <w:activeWritingStyle w:appName="MSWord" w:lang="pl-PL" w:vendorID="12" w:dllVersion="512" w:checkStyle="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DA6"/>
    <w:rsid w:val="00000375"/>
    <w:rsid w:val="00001078"/>
    <w:rsid w:val="00001492"/>
    <w:rsid w:val="00003210"/>
    <w:rsid w:val="00004A22"/>
    <w:rsid w:val="00004BA4"/>
    <w:rsid w:val="00006140"/>
    <w:rsid w:val="0000703B"/>
    <w:rsid w:val="00010991"/>
    <w:rsid w:val="00010E03"/>
    <w:rsid w:val="00011A58"/>
    <w:rsid w:val="00013074"/>
    <w:rsid w:val="00013601"/>
    <w:rsid w:val="00013934"/>
    <w:rsid w:val="00014639"/>
    <w:rsid w:val="00015A4F"/>
    <w:rsid w:val="000169F0"/>
    <w:rsid w:val="000176D7"/>
    <w:rsid w:val="000209A8"/>
    <w:rsid w:val="00020EA3"/>
    <w:rsid w:val="0002353B"/>
    <w:rsid w:val="000262FE"/>
    <w:rsid w:val="0002687E"/>
    <w:rsid w:val="000268C0"/>
    <w:rsid w:val="00026ECB"/>
    <w:rsid w:val="00031883"/>
    <w:rsid w:val="000324C8"/>
    <w:rsid w:val="00033143"/>
    <w:rsid w:val="00033E74"/>
    <w:rsid w:val="00034C97"/>
    <w:rsid w:val="000357D0"/>
    <w:rsid w:val="00036E21"/>
    <w:rsid w:val="00040EB6"/>
    <w:rsid w:val="000412BF"/>
    <w:rsid w:val="00042D60"/>
    <w:rsid w:val="00044B3C"/>
    <w:rsid w:val="00046E75"/>
    <w:rsid w:val="00047E95"/>
    <w:rsid w:val="00051A00"/>
    <w:rsid w:val="00056328"/>
    <w:rsid w:val="00057935"/>
    <w:rsid w:val="00057DA1"/>
    <w:rsid w:val="0006132E"/>
    <w:rsid w:val="00061538"/>
    <w:rsid w:val="0006183A"/>
    <w:rsid w:val="00061BB2"/>
    <w:rsid w:val="000622CB"/>
    <w:rsid w:val="00063FE3"/>
    <w:rsid w:val="00064056"/>
    <w:rsid w:val="000663CD"/>
    <w:rsid w:val="00067AF9"/>
    <w:rsid w:val="000719AD"/>
    <w:rsid w:val="00072B59"/>
    <w:rsid w:val="00074422"/>
    <w:rsid w:val="00075ED5"/>
    <w:rsid w:val="00075F3A"/>
    <w:rsid w:val="00077BFA"/>
    <w:rsid w:val="00080197"/>
    <w:rsid w:val="00080849"/>
    <w:rsid w:val="00080DC6"/>
    <w:rsid w:val="000849BC"/>
    <w:rsid w:val="00084CF2"/>
    <w:rsid w:val="00084F6A"/>
    <w:rsid w:val="00085475"/>
    <w:rsid w:val="00085A04"/>
    <w:rsid w:val="00085F7A"/>
    <w:rsid w:val="00086628"/>
    <w:rsid w:val="00087459"/>
    <w:rsid w:val="000875BB"/>
    <w:rsid w:val="00091B8C"/>
    <w:rsid w:val="00091DCE"/>
    <w:rsid w:val="00092CBF"/>
    <w:rsid w:val="00096164"/>
    <w:rsid w:val="0009716F"/>
    <w:rsid w:val="000971D5"/>
    <w:rsid w:val="000A0409"/>
    <w:rsid w:val="000A2A88"/>
    <w:rsid w:val="000A32AB"/>
    <w:rsid w:val="000A3409"/>
    <w:rsid w:val="000A379E"/>
    <w:rsid w:val="000A4947"/>
    <w:rsid w:val="000A4EBA"/>
    <w:rsid w:val="000A5A0E"/>
    <w:rsid w:val="000A5CF2"/>
    <w:rsid w:val="000A6877"/>
    <w:rsid w:val="000B0BDC"/>
    <w:rsid w:val="000B0DE3"/>
    <w:rsid w:val="000B1D95"/>
    <w:rsid w:val="000B37F4"/>
    <w:rsid w:val="000B4068"/>
    <w:rsid w:val="000B43D8"/>
    <w:rsid w:val="000B4E89"/>
    <w:rsid w:val="000B5A4A"/>
    <w:rsid w:val="000B5AB6"/>
    <w:rsid w:val="000B5B6A"/>
    <w:rsid w:val="000B77F0"/>
    <w:rsid w:val="000B7988"/>
    <w:rsid w:val="000C0EEE"/>
    <w:rsid w:val="000C2CC5"/>
    <w:rsid w:val="000C3BFB"/>
    <w:rsid w:val="000C49E5"/>
    <w:rsid w:val="000C54F7"/>
    <w:rsid w:val="000C7D6C"/>
    <w:rsid w:val="000D37BD"/>
    <w:rsid w:val="000D3962"/>
    <w:rsid w:val="000D4914"/>
    <w:rsid w:val="000D6AE7"/>
    <w:rsid w:val="000D78F5"/>
    <w:rsid w:val="000E0B48"/>
    <w:rsid w:val="000E2A3E"/>
    <w:rsid w:val="000E2E64"/>
    <w:rsid w:val="000E3537"/>
    <w:rsid w:val="000E45A5"/>
    <w:rsid w:val="000E5614"/>
    <w:rsid w:val="000E706F"/>
    <w:rsid w:val="000F04AC"/>
    <w:rsid w:val="000F0648"/>
    <w:rsid w:val="000F46FC"/>
    <w:rsid w:val="000F5672"/>
    <w:rsid w:val="000F56FB"/>
    <w:rsid w:val="000F5A03"/>
    <w:rsid w:val="000F7398"/>
    <w:rsid w:val="000F73E4"/>
    <w:rsid w:val="000F7DD4"/>
    <w:rsid w:val="00100A3C"/>
    <w:rsid w:val="00100C15"/>
    <w:rsid w:val="0010363A"/>
    <w:rsid w:val="001044A2"/>
    <w:rsid w:val="001053F7"/>
    <w:rsid w:val="001073F5"/>
    <w:rsid w:val="00107438"/>
    <w:rsid w:val="001119A4"/>
    <w:rsid w:val="00111A70"/>
    <w:rsid w:val="0012779B"/>
    <w:rsid w:val="001309EB"/>
    <w:rsid w:val="00133ACF"/>
    <w:rsid w:val="00133B99"/>
    <w:rsid w:val="00135920"/>
    <w:rsid w:val="001359B5"/>
    <w:rsid w:val="00135DCC"/>
    <w:rsid w:val="00136CA9"/>
    <w:rsid w:val="0013797F"/>
    <w:rsid w:val="00137CBC"/>
    <w:rsid w:val="00141BE9"/>
    <w:rsid w:val="001474BD"/>
    <w:rsid w:val="00147943"/>
    <w:rsid w:val="00147E9B"/>
    <w:rsid w:val="001507D0"/>
    <w:rsid w:val="0015196F"/>
    <w:rsid w:val="00151E7B"/>
    <w:rsid w:val="0015379E"/>
    <w:rsid w:val="00154387"/>
    <w:rsid w:val="00155AFE"/>
    <w:rsid w:val="001563B5"/>
    <w:rsid w:val="001563DD"/>
    <w:rsid w:val="00162468"/>
    <w:rsid w:val="001627F0"/>
    <w:rsid w:val="00162A61"/>
    <w:rsid w:val="0016515D"/>
    <w:rsid w:val="001655F4"/>
    <w:rsid w:val="00166484"/>
    <w:rsid w:val="00166C8E"/>
    <w:rsid w:val="00167E5E"/>
    <w:rsid w:val="00174189"/>
    <w:rsid w:val="001760C9"/>
    <w:rsid w:val="00180C50"/>
    <w:rsid w:val="001837A3"/>
    <w:rsid w:val="0018581F"/>
    <w:rsid w:val="001862F5"/>
    <w:rsid w:val="0018777F"/>
    <w:rsid w:val="001910F1"/>
    <w:rsid w:val="00195630"/>
    <w:rsid w:val="0019788A"/>
    <w:rsid w:val="00197CEB"/>
    <w:rsid w:val="001A0BFE"/>
    <w:rsid w:val="001A1F8F"/>
    <w:rsid w:val="001A207C"/>
    <w:rsid w:val="001A3BAF"/>
    <w:rsid w:val="001A43E2"/>
    <w:rsid w:val="001A44D6"/>
    <w:rsid w:val="001A686D"/>
    <w:rsid w:val="001A6D9A"/>
    <w:rsid w:val="001B1A05"/>
    <w:rsid w:val="001B1F15"/>
    <w:rsid w:val="001B2374"/>
    <w:rsid w:val="001B2B59"/>
    <w:rsid w:val="001B2CFE"/>
    <w:rsid w:val="001B3016"/>
    <w:rsid w:val="001B42A7"/>
    <w:rsid w:val="001B4AB2"/>
    <w:rsid w:val="001B4CB1"/>
    <w:rsid w:val="001B4DE2"/>
    <w:rsid w:val="001B6738"/>
    <w:rsid w:val="001B67F8"/>
    <w:rsid w:val="001B684F"/>
    <w:rsid w:val="001C0060"/>
    <w:rsid w:val="001C00C9"/>
    <w:rsid w:val="001C23A0"/>
    <w:rsid w:val="001C2883"/>
    <w:rsid w:val="001C3A3F"/>
    <w:rsid w:val="001C42F8"/>
    <w:rsid w:val="001C51C1"/>
    <w:rsid w:val="001C6710"/>
    <w:rsid w:val="001C7EB7"/>
    <w:rsid w:val="001D2783"/>
    <w:rsid w:val="001D76A7"/>
    <w:rsid w:val="001E0089"/>
    <w:rsid w:val="001E00A5"/>
    <w:rsid w:val="001E00CA"/>
    <w:rsid w:val="001E27FA"/>
    <w:rsid w:val="001E7BDB"/>
    <w:rsid w:val="001F134F"/>
    <w:rsid w:val="001F2B40"/>
    <w:rsid w:val="001F338D"/>
    <w:rsid w:val="001F517F"/>
    <w:rsid w:val="001F6397"/>
    <w:rsid w:val="001F73BC"/>
    <w:rsid w:val="001F74A1"/>
    <w:rsid w:val="00200399"/>
    <w:rsid w:val="0020041E"/>
    <w:rsid w:val="002008A6"/>
    <w:rsid w:val="00204FF0"/>
    <w:rsid w:val="00205240"/>
    <w:rsid w:val="00206233"/>
    <w:rsid w:val="002078A3"/>
    <w:rsid w:val="00210E8A"/>
    <w:rsid w:val="00210EDA"/>
    <w:rsid w:val="00211BDA"/>
    <w:rsid w:val="00212CCF"/>
    <w:rsid w:val="00212E86"/>
    <w:rsid w:val="00213615"/>
    <w:rsid w:val="0021406A"/>
    <w:rsid w:val="002141B2"/>
    <w:rsid w:val="00217662"/>
    <w:rsid w:val="00220330"/>
    <w:rsid w:val="002212CE"/>
    <w:rsid w:val="00221AC1"/>
    <w:rsid w:val="00222133"/>
    <w:rsid w:val="00223907"/>
    <w:rsid w:val="0022478F"/>
    <w:rsid w:val="002249F2"/>
    <w:rsid w:val="002254BD"/>
    <w:rsid w:val="00225EA3"/>
    <w:rsid w:val="002267BD"/>
    <w:rsid w:val="0022785E"/>
    <w:rsid w:val="00230CA6"/>
    <w:rsid w:val="00231751"/>
    <w:rsid w:val="00232B6F"/>
    <w:rsid w:val="00233B54"/>
    <w:rsid w:val="00235625"/>
    <w:rsid w:val="00236541"/>
    <w:rsid w:val="00240F6C"/>
    <w:rsid w:val="00241348"/>
    <w:rsid w:val="00245D48"/>
    <w:rsid w:val="00247383"/>
    <w:rsid w:val="002473D7"/>
    <w:rsid w:val="00251248"/>
    <w:rsid w:val="0025188C"/>
    <w:rsid w:val="00256930"/>
    <w:rsid w:val="00260238"/>
    <w:rsid w:val="0026094D"/>
    <w:rsid w:val="00261753"/>
    <w:rsid w:val="00261C34"/>
    <w:rsid w:val="00262928"/>
    <w:rsid w:val="00265B44"/>
    <w:rsid w:val="002667FC"/>
    <w:rsid w:val="00266F81"/>
    <w:rsid w:val="002703BA"/>
    <w:rsid w:val="00271125"/>
    <w:rsid w:val="002719E7"/>
    <w:rsid w:val="00272C61"/>
    <w:rsid w:val="002742CE"/>
    <w:rsid w:val="002748F4"/>
    <w:rsid w:val="00275D53"/>
    <w:rsid w:val="00276261"/>
    <w:rsid w:val="00277E62"/>
    <w:rsid w:val="00280803"/>
    <w:rsid w:val="00280FF7"/>
    <w:rsid w:val="002819C5"/>
    <w:rsid w:val="002831CE"/>
    <w:rsid w:val="002839C7"/>
    <w:rsid w:val="00285330"/>
    <w:rsid w:val="00286050"/>
    <w:rsid w:val="002873A4"/>
    <w:rsid w:val="00292BEE"/>
    <w:rsid w:val="0029309D"/>
    <w:rsid w:val="002960BD"/>
    <w:rsid w:val="00296C93"/>
    <w:rsid w:val="002A11C8"/>
    <w:rsid w:val="002A2A54"/>
    <w:rsid w:val="002A324F"/>
    <w:rsid w:val="002A38A1"/>
    <w:rsid w:val="002A5B78"/>
    <w:rsid w:val="002A6401"/>
    <w:rsid w:val="002A7844"/>
    <w:rsid w:val="002B0440"/>
    <w:rsid w:val="002B2B37"/>
    <w:rsid w:val="002B42AA"/>
    <w:rsid w:val="002B4E78"/>
    <w:rsid w:val="002B56CE"/>
    <w:rsid w:val="002B6703"/>
    <w:rsid w:val="002C0858"/>
    <w:rsid w:val="002C2D52"/>
    <w:rsid w:val="002C3C20"/>
    <w:rsid w:val="002C4C40"/>
    <w:rsid w:val="002C4CBB"/>
    <w:rsid w:val="002C5295"/>
    <w:rsid w:val="002D0627"/>
    <w:rsid w:val="002D11DC"/>
    <w:rsid w:val="002D15E2"/>
    <w:rsid w:val="002D17B1"/>
    <w:rsid w:val="002D35C4"/>
    <w:rsid w:val="002D4A2B"/>
    <w:rsid w:val="002E1847"/>
    <w:rsid w:val="002E1C59"/>
    <w:rsid w:val="002E3A51"/>
    <w:rsid w:val="002E41F6"/>
    <w:rsid w:val="002E4F2A"/>
    <w:rsid w:val="002E54DF"/>
    <w:rsid w:val="002E5C48"/>
    <w:rsid w:val="002E6566"/>
    <w:rsid w:val="002E7326"/>
    <w:rsid w:val="002F2564"/>
    <w:rsid w:val="002F2987"/>
    <w:rsid w:val="002F3D17"/>
    <w:rsid w:val="002F5823"/>
    <w:rsid w:val="002F68DE"/>
    <w:rsid w:val="00301536"/>
    <w:rsid w:val="00302834"/>
    <w:rsid w:val="00303B50"/>
    <w:rsid w:val="0031052A"/>
    <w:rsid w:val="0031136E"/>
    <w:rsid w:val="00311BA7"/>
    <w:rsid w:val="003128AE"/>
    <w:rsid w:val="0031311E"/>
    <w:rsid w:val="003154DC"/>
    <w:rsid w:val="00317032"/>
    <w:rsid w:val="00321955"/>
    <w:rsid w:val="00321BB4"/>
    <w:rsid w:val="00321E77"/>
    <w:rsid w:val="00322505"/>
    <w:rsid w:val="0032268E"/>
    <w:rsid w:val="00323539"/>
    <w:rsid w:val="00323613"/>
    <w:rsid w:val="00323E9D"/>
    <w:rsid w:val="00324053"/>
    <w:rsid w:val="0032471F"/>
    <w:rsid w:val="003248F3"/>
    <w:rsid w:val="003256F5"/>
    <w:rsid w:val="00327A2B"/>
    <w:rsid w:val="003303E9"/>
    <w:rsid w:val="00330CAA"/>
    <w:rsid w:val="00334D65"/>
    <w:rsid w:val="003377B6"/>
    <w:rsid w:val="00341CFF"/>
    <w:rsid w:val="00342C07"/>
    <w:rsid w:val="00342F55"/>
    <w:rsid w:val="00344BA7"/>
    <w:rsid w:val="00346CBD"/>
    <w:rsid w:val="003473F0"/>
    <w:rsid w:val="00347B7A"/>
    <w:rsid w:val="00350A48"/>
    <w:rsid w:val="00351749"/>
    <w:rsid w:val="00351FED"/>
    <w:rsid w:val="003523F3"/>
    <w:rsid w:val="0035540A"/>
    <w:rsid w:val="0035571E"/>
    <w:rsid w:val="00356139"/>
    <w:rsid w:val="00356467"/>
    <w:rsid w:val="003567AE"/>
    <w:rsid w:val="00360640"/>
    <w:rsid w:val="003612FD"/>
    <w:rsid w:val="00361A2C"/>
    <w:rsid w:val="00363B46"/>
    <w:rsid w:val="003657A9"/>
    <w:rsid w:val="00367104"/>
    <w:rsid w:val="0036758A"/>
    <w:rsid w:val="00370361"/>
    <w:rsid w:val="00371244"/>
    <w:rsid w:val="0037139F"/>
    <w:rsid w:val="00371A8B"/>
    <w:rsid w:val="00371B5B"/>
    <w:rsid w:val="00372014"/>
    <w:rsid w:val="003744C3"/>
    <w:rsid w:val="00374F58"/>
    <w:rsid w:val="00375286"/>
    <w:rsid w:val="00376F37"/>
    <w:rsid w:val="0037727D"/>
    <w:rsid w:val="003801E1"/>
    <w:rsid w:val="003802E3"/>
    <w:rsid w:val="003804D9"/>
    <w:rsid w:val="00380F97"/>
    <w:rsid w:val="0038138C"/>
    <w:rsid w:val="0038211B"/>
    <w:rsid w:val="003832F2"/>
    <w:rsid w:val="00383FA2"/>
    <w:rsid w:val="00385081"/>
    <w:rsid w:val="00385989"/>
    <w:rsid w:val="003866F6"/>
    <w:rsid w:val="003930F4"/>
    <w:rsid w:val="0039566F"/>
    <w:rsid w:val="00396EC5"/>
    <w:rsid w:val="00397132"/>
    <w:rsid w:val="00397173"/>
    <w:rsid w:val="003A0C53"/>
    <w:rsid w:val="003A3A1F"/>
    <w:rsid w:val="003A4675"/>
    <w:rsid w:val="003A5A64"/>
    <w:rsid w:val="003B0C05"/>
    <w:rsid w:val="003B1047"/>
    <w:rsid w:val="003B13C0"/>
    <w:rsid w:val="003B2BB0"/>
    <w:rsid w:val="003B4A68"/>
    <w:rsid w:val="003B4FF4"/>
    <w:rsid w:val="003B70EB"/>
    <w:rsid w:val="003B7A94"/>
    <w:rsid w:val="003C3F92"/>
    <w:rsid w:val="003C4611"/>
    <w:rsid w:val="003C485D"/>
    <w:rsid w:val="003D0C40"/>
    <w:rsid w:val="003D1437"/>
    <w:rsid w:val="003D15C5"/>
    <w:rsid w:val="003D347F"/>
    <w:rsid w:val="003D3A9F"/>
    <w:rsid w:val="003D42EB"/>
    <w:rsid w:val="003D6CE9"/>
    <w:rsid w:val="003E0660"/>
    <w:rsid w:val="003E0A66"/>
    <w:rsid w:val="003E0F2B"/>
    <w:rsid w:val="003E2890"/>
    <w:rsid w:val="003E4C64"/>
    <w:rsid w:val="003E5E85"/>
    <w:rsid w:val="003E6538"/>
    <w:rsid w:val="003E7E52"/>
    <w:rsid w:val="003F031F"/>
    <w:rsid w:val="003F133C"/>
    <w:rsid w:val="003F18B8"/>
    <w:rsid w:val="003F1EC3"/>
    <w:rsid w:val="003F33E7"/>
    <w:rsid w:val="003F3833"/>
    <w:rsid w:val="003F4B5A"/>
    <w:rsid w:val="003F7443"/>
    <w:rsid w:val="004002F9"/>
    <w:rsid w:val="00400AC1"/>
    <w:rsid w:val="00401656"/>
    <w:rsid w:val="004016A7"/>
    <w:rsid w:val="00402E9B"/>
    <w:rsid w:val="004036B8"/>
    <w:rsid w:val="00404D12"/>
    <w:rsid w:val="00406C7A"/>
    <w:rsid w:val="00407E2A"/>
    <w:rsid w:val="0041376F"/>
    <w:rsid w:val="004141E7"/>
    <w:rsid w:val="004145F0"/>
    <w:rsid w:val="0041671C"/>
    <w:rsid w:val="004201A1"/>
    <w:rsid w:val="00421280"/>
    <w:rsid w:val="00421474"/>
    <w:rsid w:val="0042466F"/>
    <w:rsid w:val="00425F67"/>
    <w:rsid w:val="004271E1"/>
    <w:rsid w:val="00432774"/>
    <w:rsid w:val="0043393E"/>
    <w:rsid w:val="0043409D"/>
    <w:rsid w:val="00435705"/>
    <w:rsid w:val="00437DBE"/>
    <w:rsid w:val="00440193"/>
    <w:rsid w:val="004406A0"/>
    <w:rsid w:val="00441B4E"/>
    <w:rsid w:val="00442AD8"/>
    <w:rsid w:val="0044331D"/>
    <w:rsid w:val="0044392B"/>
    <w:rsid w:val="004440C8"/>
    <w:rsid w:val="00444A6E"/>
    <w:rsid w:val="00450C46"/>
    <w:rsid w:val="00452375"/>
    <w:rsid w:val="00452551"/>
    <w:rsid w:val="00453730"/>
    <w:rsid w:val="00454C4B"/>
    <w:rsid w:val="00454F69"/>
    <w:rsid w:val="004562D8"/>
    <w:rsid w:val="00457B49"/>
    <w:rsid w:val="004611AA"/>
    <w:rsid w:val="00461299"/>
    <w:rsid w:val="00463410"/>
    <w:rsid w:val="00464ABC"/>
    <w:rsid w:val="00466CD1"/>
    <w:rsid w:val="00467C7D"/>
    <w:rsid w:val="00470FEB"/>
    <w:rsid w:val="00471AC9"/>
    <w:rsid w:val="004720DE"/>
    <w:rsid w:val="004755B0"/>
    <w:rsid w:val="00477E48"/>
    <w:rsid w:val="0048190F"/>
    <w:rsid w:val="00483D7A"/>
    <w:rsid w:val="0048476E"/>
    <w:rsid w:val="00486B83"/>
    <w:rsid w:val="00487A98"/>
    <w:rsid w:val="00490EF1"/>
    <w:rsid w:val="0049185C"/>
    <w:rsid w:val="00495354"/>
    <w:rsid w:val="00496C01"/>
    <w:rsid w:val="0049711B"/>
    <w:rsid w:val="00497753"/>
    <w:rsid w:val="004A0BC2"/>
    <w:rsid w:val="004A11CE"/>
    <w:rsid w:val="004A2130"/>
    <w:rsid w:val="004A34BB"/>
    <w:rsid w:val="004A398A"/>
    <w:rsid w:val="004A5263"/>
    <w:rsid w:val="004A57A7"/>
    <w:rsid w:val="004A6EF9"/>
    <w:rsid w:val="004A7841"/>
    <w:rsid w:val="004A78E7"/>
    <w:rsid w:val="004A7F1D"/>
    <w:rsid w:val="004B05A2"/>
    <w:rsid w:val="004B1975"/>
    <w:rsid w:val="004B24FD"/>
    <w:rsid w:val="004B2C78"/>
    <w:rsid w:val="004B33CD"/>
    <w:rsid w:val="004B5157"/>
    <w:rsid w:val="004B5652"/>
    <w:rsid w:val="004B5AFA"/>
    <w:rsid w:val="004B5E15"/>
    <w:rsid w:val="004B6C1E"/>
    <w:rsid w:val="004C1878"/>
    <w:rsid w:val="004C3495"/>
    <w:rsid w:val="004C36BC"/>
    <w:rsid w:val="004C4FF6"/>
    <w:rsid w:val="004C73CC"/>
    <w:rsid w:val="004D097C"/>
    <w:rsid w:val="004D0989"/>
    <w:rsid w:val="004D09C3"/>
    <w:rsid w:val="004D118C"/>
    <w:rsid w:val="004D153B"/>
    <w:rsid w:val="004D1D10"/>
    <w:rsid w:val="004D2E77"/>
    <w:rsid w:val="004D2EFC"/>
    <w:rsid w:val="004D3AB2"/>
    <w:rsid w:val="004D4DBB"/>
    <w:rsid w:val="004D65BC"/>
    <w:rsid w:val="004D6E6A"/>
    <w:rsid w:val="004D6FC2"/>
    <w:rsid w:val="004D72AC"/>
    <w:rsid w:val="004D76BC"/>
    <w:rsid w:val="004E2C6D"/>
    <w:rsid w:val="004E35DA"/>
    <w:rsid w:val="004E40A0"/>
    <w:rsid w:val="004E4203"/>
    <w:rsid w:val="004E4755"/>
    <w:rsid w:val="004E4B48"/>
    <w:rsid w:val="004E50EA"/>
    <w:rsid w:val="004E5BC3"/>
    <w:rsid w:val="004E6439"/>
    <w:rsid w:val="004E7B22"/>
    <w:rsid w:val="004F00AB"/>
    <w:rsid w:val="004F025B"/>
    <w:rsid w:val="004F067A"/>
    <w:rsid w:val="004F0F33"/>
    <w:rsid w:val="004F1DF5"/>
    <w:rsid w:val="004F42F8"/>
    <w:rsid w:val="004F4B76"/>
    <w:rsid w:val="004F5416"/>
    <w:rsid w:val="00500CF2"/>
    <w:rsid w:val="00502D0C"/>
    <w:rsid w:val="00505B50"/>
    <w:rsid w:val="0050660C"/>
    <w:rsid w:val="005077FB"/>
    <w:rsid w:val="00507D55"/>
    <w:rsid w:val="0051028F"/>
    <w:rsid w:val="00510DB1"/>
    <w:rsid w:val="0051107D"/>
    <w:rsid w:val="00512365"/>
    <w:rsid w:val="005123CD"/>
    <w:rsid w:val="00512FDE"/>
    <w:rsid w:val="0051386A"/>
    <w:rsid w:val="00513AB9"/>
    <w:rsid w:val="00513FD7"/>
    <w:rsid w:val="00514C9D"/>
    <w:rsid w:val="00514D28"/>
    <w:rsid w:val="005160F4"/>
    <w:rsid w:val="00516121"/>
    <w:rsid w:val="005163E4"/>
    <w:rsid w:val="005170C7"/>
    <w:rsid w:val="00517B53"/>
    <w:rsid w:val="00521422"/>
    <w:rsid w:val="00522C69"/>
    <w:rsid w:val="00522E07"/>
    <w:rsid w:val="0052331B"/>
    <w:rsid w:val="00524BAC"/>
    <w:rsid w:val="00525F78"/>
    <w:rsid w:val="00526416"/>
    <w:rsid w:val="0052672A"/>
    <w:rsid w:val="005279DB"/>
    <w:rsid w:val="005318E8"/>
    <w:rsid w:val="00531A22"/>
    <w:rsid w:val="00533171"/>
    <w:rsid w:val="00533218"/>
    <w:rsid w:val="005339C0"/>
    <w:rsid w:val="005345FD"/>
    <w:rsid w:val="0053553D"/>
    <w:rsid w:val="0053730E"/>
    <w:rsid w:val="00537D00"/>
    <w:rsid w:val="00540AEF"/>
    <w:rsid w:val="00541394"/>
    <w:rsid w:val="00541B08"/>
    <w:rsid w:val="0054242C"/>
    <w:rsid w:val="00542C09"/>
    <w:rsid w:val="00542EEF"/>
    <w:rsid w:val="00542FCA"/>
    <w:rsid w:val="00544146"/>
    <w:rsid w:val="0054451B"/>
    <w:rsid w:val="005446B5"/>
    <w:rsid w:val="00544DF6"/>
    <w:rsid w:val="005460B6"/>
    <w:rsid w:val="005544B0"/>
    <w:rsid w:val="00554C94"/>
    <w:rsid w:val="00554EDA"/>
    <w:rsid w:val="00556251"/>
    <w:rsid w:val="0055656D"/>
    <w:rsid w:val="00556B7B"/>
    <w:rsid w:val="00557796"/>
    <w:rsid w:val="00557C15"/>
    <w:rsid w:val="005606B4"/>
    <w:rsid w:val="00561819"/>
    <w:rsid w:val="00561DCC"/>
    <w:rsid w:val="0056474D"/>
    <w:rsid w:val="00565B0F"/>
    <w:rsid w:val="005669D1"/>
    <w:rsid w:val="00567DF3"/>
    <w:rsid w:val="005707E4"/>
    <w:rsid w:val="0057212B"/>
    <w:rsid w:val="005739EE"/>
    <w:rsid w:val="005764AC"/>
    <w:rsid w:val="00577BAA"/>
    <w:rsid w:val="00577D30"/>
    <w:rsid w:val="0058045C"/>
    <w:rsid w:val="00583ED0"/>
    <w:rsid w:val="0058485A"/>
    <w:rsid w:val="00585ADD"/>
    <w:rsid w:val="00586090"/>
    <w:rsid w:val="00587D6D"/>
    <w:rsid w:val="00591932"/>
    <w:rsid w:val="00594B82"/>
    <w:rsid w:val="00594C18"/>
    <w:rsid w:val="005A15D7"/>
    <w:rsid w:val="005A2844"/>
    <w:rsid w:val="005A661B"/>
    <w:rsid w:val="005A67CB"/>
    <w:rsid w:val="005A6AAF"/>
    <w:rsid w:val="005A7126"/>
    <w:rsid w:val="005A7A21"/>
    <w:rsid w:val="005B0CBD"/>
    <w:rsid w:val="005B20C7"/>
    <w:rsid w:val="005B2216"/>
    <w:rsid w:val="005B22BC"/>
    <w:rsid w:val="005B3A70"/>
    <w:rsid w:val="005B52B4"/>
    <w:rsid w:val="005B61C5"/>
    <w:rsid w:val="005B714F"/>
    <w:rsid w:val="005B7C19"/>
    <w:rsid w:val="005B7D72"/>
    <w:rsid w:val="005C078A"/>
    <w:rsid w:val="005C09F6"/>
    <w:rsid w:val="005C1850"/>
    <w:rsid w:val="005C2B80"/>
    <w:rsid w:val="005C2D01"/>
    <w:rsid w:val="005C5597"/>
    <w:rsid w:val="005C5C06"/>
    <w:rsid w:val="005C6FAE"/>
    <w:rsid w:val="005C7071"/>
    <w:rsid w:val="005D070C"/>
    <w:rsid w:val="005D1BFF"/>
    <w:rsid w:val="005D55B0"/>
    <w:rsid w:val="005D60FB"/>
    <w:rsid w:val="005D6F84"/>
    <w:rsid w:val="005E0C60"/>
    <w:rsid w:val="005E100C"/>
    <w:rsid w:val="005E2368"/>
    <w:rsid w:val="005E3E07"/>
    <w:rsid w:val="005E610B"/>
    <w:rsid w:val="005E70C8"/>
    <w:rsid w:val="005E7489"/>
    <w:rsid w:val="005F0DA7"/>
    <w:rsid w:val="005F13C9"/>
    <w:rsid w:val="005F1470"/>
    <w:rsid w:val="005F417D"/>
    <w:rsid w:val="005F58CE"/>
    <w:rsid w:val="005F6768"/>
    <w:rsid w:val="005F76B4"/>
    <w:rsid w:val="0060148A"/>
    <w:rsid w:val="00602D96"/>
    <w:rsid w:val="00602E93"/>
    <w:rsid w:val="00605746"/>
    <w:rsid w:val="00610D6E"/>
    <w:rsid w:val="00611E84"/>
    <w:rsid w:val="006136B7"/>
    <w:rsid w:val="00613B6E"/>
    <w:rsid w:val="0061499D"/>
    <w:rsid w:val="00615F62"/>
    <w:rsid w:val="00620B1F"/>
    <w:rsid w:val="006212E3"/>
    <w:rsid w:val="006261AE"/>
    <w:rsid w:val="00626E85"/>
    <w:rsid w:val="006270AE"/>
    <w:rsid w:val="00630A00"/>
    <w:rsid w:val="006355B6"/>
    <w:rsid w:val="0063611A"/>
    <w:rsid w:val="00636DF4"/>
    <w:rsid w:val="00637111"/>
    <w:rsid w:val="00637865"/>
    <w:rsid w:val="00637DAA"/>
    <w:rsid w:val="00640DF1"/>
    <w:rsid w:val="00643918"/>
    <w:rsid w:val="00643A88"/>
    <w:rsid w:val="00645590"/>
    <w:rsid w:val="00645CC7"/>
    <w:rsid w:val="0064785C"/>
    <w:rsid w:val="006527F8"/>
    <w:rsid w:val="00652973"/>
    <w:rsid w:val="00652EE4"/>
    <w:rsid w:val="006537D9"/>
    <w:rsid w:val="00654D6D"/>
    <w:rsid w:val="006553EA"/>
    <w:rsid w:val="006567EE"/>
    <w:rsid w:val="00656D3E"/>
    <w:rsid w:val="00657622"/>
    <w:rsid w:val="006609E2"/>
    <w:rsid w:val="006612FE"/>
    <w:rsid w:val="00665331"/>
    <w:rsid w:val="006670CA"/>
    <w:rsid w:val="00670465"/>
    <w:rsid w:val="00670C31"/>
    <w:rsid w:val="006721F4"/>
    <w:rsid w:val="006727C2"/>
    <w:rsid w:val="00672F57"/>
    <w:rsid w:val="00673989"/>
    <w:rsid w:val="006739C1"/>
    <w:rsid w:val="00673A16"/>
    <w:rsid w:val="00674099"/>
    <w:rsid w:val="006740AC"/>
    <w:rsid w:val="006747FA"/>
    <w:rsid w:val="00675757"/>
    <w:rsid w:val="00681956"/>
    <w:rsid w:val="00682083"/>
    <w:rsid w:val="00685B1A"/>
    <w:rsid w:val="006860C3"/>
    <w:rsid w:val="00686333"/>
    <w:rsid w:val="00687650"/>
    <w:rsid w:val="00691C63"/>
    <w:rsid w:val="00693396"/>
    <w:rsid w:val="006940BC"/>
    <w:rsid w:val="00694AC3"/>
    <w:rsid w:val="006A01C0"/>
    <w:rsid w:val="006A035F"/>
    <w:rsid w:val="006A13A3"/>
    <w:rsid w:val="006A1B0E"/>
    <w:rsid w:val="006A2419"/>
    <w:rsid w:val="006A3306"/>
    <w:rsid w:val="006A5150"/>
    <w:rsid w:val="006A54F2"/>
    <w:rsid w:val="006B25A8"/>
    <w:rsid w:val="006B294A"/>
    <w:rsid w:val="006B3422"/>
    <w:rsid w:val="006B3FDC"/>
    <w:rsid w:val="006B4154"/>
    <w:rsid w:val="006B4564"/>
    <w:rsid w:val="006B49E7"/>
    <w:rsid w:val="006B64A6"/>
    <w:rsid w:val="006B64F7"/>
    <w:rsid w:val="006B6721"/>
    <w:rsid w:val="006B68DB"/>
    <w:rsid w:val="006B783E"/>
    <w:rsid w:val="006C0F5A"/>
    <w:rsid w:val="006C1890"/>
    <w:rsid w:val="006C24CC"/>
    <w:rsid w:val="006C47CD"/>
    <w:rsid w:val="006C5F2A"/>
    <w:rsid w:val="006C7B2D"/>
    <w:rsid w:val="006C7CCF"/>
    <w:rsid w:val="006D0A81"/>
    <w:rsid w:val="006D13EA"/>
    <w:rsid w:val="006D228E"/>
    <w:rsid w:val="006D259B"/>
    <w:rsid w:val="006D4776"/>
    <w:rsid w:val="006D4E31"/>
    <w:rsid w:val="006D60FD"/>
    <w:rsid w:val="006D6289"/>
    <w:rsid w:val="006E2683"/>
    <w:rsid w:val="006E3939"/>
    <w:rsid w:val="006F1286"/>
    <w:rsid w:val="006F2149"/>
    <w:rsid w:val="006F3275"/>
    <w:rsid w:val="006F4EA9"/>
    <w:rsid w:val="006F51AE"/>
    <w:rsid w:val="006F582A"/>
    <w:rsid w:val="006F5AD2"/>
    <w:rsid w:val="006F5BE7"/>
    <w:rsid w:val="006F5C17"/>
    <w:rsid w:val="006F691B"/>
    <w:rsid w:val="006F7489"/>
    <w:rsid w:val="007007DF"/>
    <w:rsid w:val="00700A64"/>
    <w:rsid w:val="00700AF7"/>
    <w:rsid w:val="007032D5"/>
    <w:rsid w:val="00703A26"/>
    <w:rsid w:val="00704493"/>
    <w:rsid w:val="00706D5C"/>
    <w:rsid w:val="00707310"/>
    <w:rsid w:val="007107D3"/>
    <w:rsid w:val="00710BDB"/>
    <w:rsid w:val="00712741"/>
    <w:rsid w:val="00714812"/>
    <w:rsid w:val="007148B7"/>
    <w:rsid w:val="00714F44"/>
    <w:rsid w:val="00715BFB"/>
    <w:rsid w:val="007167A2"/>
    <w:rsid w:val="007229A1"/>
    <w:rsid w:val="00722A65"/>
    <w:rsid w:val="00722E52"/>
    <w:rsid w:val="007238E3"/>
    <w:rsid w:val="007244F9"/>
    <w:rsid w:val="00726C05"/>
    <w:rsid w:val="00726E46"/>
    <w:rsid w:val="00731320"/>
    <w:rsid w:val="00731547"/>
    <w:rsid w:val="00731E78"/>
    <w:rsid w:val="00734CE2"/>
    <w:rsid w:val="007365B2"/>
    <w:rsid w:val="00736E28"/>
    <w:rsid w:val="007374CF"/>
    <w:rsid w:val="00737638"/>
    <w:rsid w:val="0074170C"/>
    <w:rsid w:val="007418C4"/>
    <w:rsid w:val="00743CAD"/>
    <w:rsid w:val="00746366"/>
    <w:rsid w:val="0074652E"/>
    <w:rsid w:val="00750CFF"/>
    <w:rsid w:val="0075187B"/>
    <w:rsid w:val="00752CFB"/>
    <w:rsid w:val="007536B0"/>
    <w:rsid w:val="00754744"/>
    <w:rsid w:val="00756A2C"/>
    <w:rsid w:val="007570CC"/>
    <w:rsid w:val="00760C00"/>
    <w:rsid w:val="007612AB"/>
    <w:rsid w:val="00762863"/>
    <w:rsid w:val="00762D03"/>
    <w:rsid w:val="00762E5B"/>
    <w:rsid w:val="00763101"/>
    <w:rsid w:val="0076433B"/>
    <w:rsid w:val="007655D0"/>
    <w:rsid w:val="007656BF"/>
    <w:rsid w:val="007676B9"/>
    <w:rsid w:val="007753F4"/>
    <w:rsid w:val="007757A9"/>
    <w:rsid w:val="00776FD2"/>
    <w:rsid w:val="0077724D"/>
    <w:rsid w:val="00780C38"/>
    <w:rsid w:val="00780E35"/>
    <w:rsid w:val="00781808"/>
    <w:rsid w:val="00785C1E"/>
    <w:rsid w:val="00786A40"/>
    <w:rsid w:val="00787943"/>
    <w:rsid w:val="0079018A"/>
    <w:rsid w:val="007926AF"/>
    <w:rsid w:val="00792F46"/>
    <w:rsid w:val="00793383"/>
    <w:rsid w:val="00796C7E"/>
    <w:rsid w:val="00797B45"/>
    <w:rsid w:val="007A0AEB"/>
    <w:rsid w:val="007A1B45"/>
    <w:rsid w:val="007A1C17"/>
    <w:rsid w:val="007A243F"/>
    <w:rsid w:val="007A270F"/>
    <w:rsid w:val="007A33F3"/>
    <w:rsid w:val="007A3A38"/>
    <w:rsid w:val="007A5C1D"/>
    <w:rsid w:val="007B10C7"/>
    <w:rsid w:val="007B1601"/>
    <w:rsid w:val="007B2130"/>
    <w:rsid w:val="007B2BB3"/>
    <w:rsid w:val="007B2C91"/>
    <w:rsid w:val="007B49DF"/>
    <w:rsid w:val="007B51FE"/>
    <w:rsid w:val="007B5AE5"/>
    <w:rsid w:val="007B7A00"/>
    <w:rsid w:val="007C002C"/>
    <w:rsid w:val="007C005E"/>
    <w:rsid w:val="007C1903"/>
    <w:rsid w:val="007C1D3E"/>
    <w:rsid w:val="007C1E41"/>
    <w:rsid w:val="007C3424"/>
    <w:rsid w:val="007C368F"/>
    <w:rsid w:val="007C44BE"/>
    <w:rsid w:val="007C6939"/>
    <w:rsid w:val="007D0BA6"/>
    <w:rsid w:val="007D1946"/>
    <w:rsid w:val="007D22AD"/>
    <w:rsid w:val="007D2B91"/>
    <w:rsid w:val="007D3E5B"/>
    <w:rsid w:val="007D6948"/>
    <w:rsid w:val="007E29F7"/>
    <w:rsid w:val="007E4BCA"/>
    <w:rsid w:val="007E6D67"/>
    <w:rsid w:val="007F3417"/>
    <w:rsid w:val="007F5069"/>
    <w:rsid w:val="007F509D"/>
    <w:rsid w:val="007F50C0"/>
    <w:rsid w:val="007F6A80"/>
    <w:rsid w:val="007F760D"/>
    <w:rsid w:val="007F7F4E"/>
    <w:rsid w:val="00800422"/>
    <w:rsid w:val="00800A95"/>
    <w:rsid w:val="00801C23"/>
    <w:rsid w:val="00805A2C"/>
    <w:rsid w:val="00805A71"/>
    <w:rsid w:val="00807884"/>
    <w:rsid w:val="00807F5F"/>
    <w:rsid w:val="00811559"/>
    <w:rsid w:val="00812C52"/>
    <w:rsid w:val="00814960"/>
    <w:rsid w:val="00814A8D"/>
    <w:rsid w:val="008154E6"/>
    <w:rsid w:val="00816B85"/>
    <w:rsid w:val="00816F6D"/>
    <w:rsid w:val="00820B06"/>
    <w:rsid w:val="00822CB1"/>
    <w:rsid w:val="0082354E"/>
    <w:rsid w:val="00826D33"/>
    <w:rsid w:val="00827333"/>
    <w:rsid w:val="00827572"/>
    <w:rsid w:val="0083122D"/>
    <w:rsid w:val="00831791"/>
    <w:rsid w:val="00831839"/>
    <w:rsid w:val="00832086"/>
    <w:rsid w:val="00832386"/>
    <w:rsid w:val="00833EB1"/>
    <w:rsid w:val="00834C69"/>
    <w:rsid w:val="00836BC1"/>
    <w:rsid w:val="008379FD"/>
    <w:rsid w:val="00840808"/>
    <w:rsid w:val="00840C14"/>
    <w:rsid w:val="008413FC"/>
    <w:rsid w:val="00841CC0"/>
    <w:rsid w:val="00842D0E"/>
    <w:rsid w:val="008439A8"/>
    <w:rsid w:val="008441EB"/>
    <w:rsid w:val="00844541"/>
    <w:rsid w:val="00844CEF"/>
    <w:rsid w:val="0084552B"/>
    <w:rsid w:val="00845986"/>
    <w:rsid w:val="00846BCB"/>
    <w:rsid w:val="00847272"/>
    <w:rsid w:val="008474E7"/>
    <w:rsid w:val="00847830"/>
    <w:rsid w:val="00850DB9"/>
    <w:rsid w:val="0085202B"/>
    <w:rsid w:val="008529A2"/>
    <w:rsid w:val="00856770"/>
    <w:rsid w:val="00857815"/>
    <w:rsid w:val="00857FA2"/>
    <w:rsid w:val="0086001F"/>
    <w:rsid w:val="00860781"/>
    <w:rsid w:val="00860C39"/>
    <w:rsid w:val="00860C5E"/>
    <w:rsid w:val="0086111C"/>
    <w:rsid w:val="00862AA9"/>
    <w:rsid w:val="00865208"/>
    <w:rsid w:val="00865881"/>
    <w:rsid w:val="00865979"/>
    <w:rsid w:val="00865BD1"/>
    <w:rsid w:val="008660CC"/>
    <w:rsid w:val="0086738F"/>
    <w:rsid w:val="00867551"/>
    <w:rsid w:val="008678EF"/>
    <w:rsid w:val="00870777"/>
    <w:rsid w:val="00870CA5"/>
    <w:rsid w:val="00870EA7"/>
    <w:rsid w:val="00872370"/>
    <w:rsid w:val="00872E5B"/>
    <w:rsid w:val="00874142"/>
    <w:rsid w:val="00874527"/>
    <w:rsid w:val="008751D0"/>
    <w:rsid w:val="00875DBD"/>
    <w:rsid w:val="00880588"/>
    <w:rsid w:val="00880A09"/>
    <w:rsid w:val="00882372"/>
    <w:rsid w:val="00882DA7"/>
    <w:rsid w:val="00882EE1"/>
    <w:rsid w:val="00884DE1"/>
    <w:rsid w:val="0088776B"/>
    <w:rsid w:val="00890F68"/>
    <w:rsid w:val="00892F33"/>
    <w:rsid w:val="0089409F"/>
    <w:rsid w:val="008960B1"/>
    <w:rsid w:val="008A0F54"/>
    <w:rsid w:val="008A3658"/>
    <w:rsid w:val="008A3783"/>
    <w:rsid w:val="008A3991"/>
    <w:rsid w:val="008A548A"/>
    <w:rsid w:val="008A64E1"/>
    <w:rsid w:val="008A6F43"/>
    <w:rsid w:val="008A71E6"/>
    <w:rsid w:val="008B06B8"/>
    <w:rsid w:val="008B08E3"/>
    <w:rsid w:val="008B26B9"/>
    <w:rsid w:val="008B2904"/>
    <w:rsid w:val="008B529D"/>
    <w:rsid w:val="008B787C"/>
    <w:rsid w:val="008B7C62"/>
    <w:rsid w:val="008B7E0A"/>
    <w:rsid w:val="008C1A13"/>
    <w:rsid w:val="008C30B4"/>
    <w:rsid w:val="008C4478"/>
    <w:rsid w:val="008C462F"/>
    <w:rsid w:val="008C5A08"/>
    <w:rsid w:val="008C654E"/>
    <w:rsid w:val="008C68D1"/>
    <w:rsid w:val="008C6AD0"/>
    <w:rsid w:val="008C7EC3"/>
    <w:rsid w:val="008D2905"/>
    <w:rsid w:val="008D30F4"/>
    <w:rsid w:val="008D34F8"/>
    <w:rsid w:val="008D4D4F"/>
    <w:rsid w:val="008D541B"/>
    <w:rsid w:val="008D6DC3"/>
    <w:rsid w:val="008D7CCA"/>
    <w:rsid w:val="008E0210"/>
    <w:rsid w:val="008E0CFB"/>
    <w:rsid w:val="008E16EC"/>
    <w:rsid w:val="008E4E30"/>
    <w:rsid w:val="008E54C5"/>
    <w:rsid w:val="008E6E91"/>
    <w:rsid w:val="008E7D71"/>
    <w:rsid w:val="008F0591"/>
    <w:rsid w:val="008F0CB0"/>
    <w:rsid w:val="008F4F26"/>
    <w:rsid w:val="008F5C8A"/>
    <w:rsid w:val="009003FB"/>
    <w:rsid w:val="009018B4"/>
    <w:rsid w:val="00903273"/>
    <w:rsid w:val="00903782"/>
    <w:rsid w:val="00903DE8"/>
    <w:rsid w:val="00905ABC"/>
    <w:rsid w:val="00905BFB"/>
    <w:rsid w:val="00906335"/>
    <w:rsid w:val="00910600"/>
    <w:rsid w:val="00910E0B"/>
    <w:rsid w:val="00912686"/>
    <w:rsid w:val="00913A59"/>
    <w:rsid w:val="00917587"/>
    <w:rsid w:val="009175CF"/>
    <w:rsid w:val="00921C55"/>
    <w:rsid w:val="00922A0C"/>
    <w:rsid w:val="00930B8E"/>
    <w:rsid w:val="009316A4"/>
    <w:rsid w:val="00932998"/>
    <w:rsid w:val="009329A1"/>
    <w:rsid w:val="0093500B"/>
    <w:rsid w:val="009352B0"/>
    <w:rsid w:val="0093568D"/>
    <w:rsid w:val="0093575B"/>
    <w:rsid w:val="00935E2E"/>
    <w:rsid w:val="009376BB"/>
    <w:rsid w:val="00940660"/>
    <w:rsid w:val="00941D45"/>
    <w:rsid w:val="009420EE"/>
    <w:rsid w:val="00943F38"/>
    <w:rsid w:val="00944905"/>
    <w:rsid w:val="009449A9"/>
    <w:rsid w:val="00950E48"/>
    <w:rsid w:val="0095175D"/>
    <w:rsid w:val="00951BB6"/>
    <w:rsid w:val="00952B1C"/>
    <w:rsid w:val="00953855"/>
    <w:rsid w:val="0095494E"/>
    <w:rsid w:val="00957AA7"/>
    <w:rsid w:val="00957B72"/>
    <w:rsid w:val="00960509"/>
    <w:rsid w:val="009631C6"/>
    <w:rsid w:val="009642F6"/>
    <w:rsid w:val="00965419"/>
    <w:rsid w:val="009658DB"/>
    <w:rsid w:val="00966877"/>
    <w:rsid w:val="00966950"/>
    <w:rsid w:val="009678CC"/>
    <w:rsid w:val="0097021D"/>
    <w:rsid w:val="00970435"/>
    <w:rsid w:val="00972CC5"/>
    <w:rsid w:val="00973933"/>
    <w:rsid w:val="009766C9"/>
    <w:rsid w:val="00982BA6"/>
    <w:rsid w:val="00983668"/>
    <w:rsid w:val="00985918"/>
    <w:rsid w:val="00985FA8"/>
    <w:rsid w:val="0099245E"/>
    <w:rsid w:val="00992CD3"/>
    <w:rsid w:val="00992DEC"/>
    <w:rsid w:val="00993DE7"/>
    <w:rsid w:val="00994D30"/>
    <w:rsid w:val="00994DFF"/>
    <w:rsid w:val="00995312"/>
    <w:rsid w:val="00995433"/>
    <w:rsid w:val="009964F1"/>
    <w:rsid w:val="009972A0"/>
    <w:rsid w:val="00997443"/>
    <w:rsid w:val="00997B6D"/>
    <w:rsid w:val="009A028A"/>
    <w:rsid w:val="009A03B7"/>
    <w:rsid w:val="009A2512"/>
    <w:rsid w:val="009A38F0"/>
    <w:rsid w:val="009A3E11"/>
    <w:rsid w:val="009A3FFE"/>
    <w:rsid w:val="009A5B37"/>
    <w:rsid w:val="009A68AA"/>
    <w:rsid w:val="009A6949"/>
    <w:rsid w:val="009A7BD8"/>
    <w:rsid w:val="009B0A08"/>
    <w:rsid w:val="009B2533"/>
    <w:rsid w:val="009B2994"/>
    <w:rsid w:val="009B2A41"/>
    <w:rsid w:val="009B3017"/>
    <w:rsid w:val="009B4F42"/>
    <w:rsid w:val="009B5E36"/>
    <w:rsid w:val="009B6B2C"/>
    <w:rsid w:val="009B7B90"/>
    <w:rsid w:val="009B7C7B"/>
    <w:rsid w:val="009C266F"/>
    <w:rsid w:val="009C2CD1"/>
    <w:rsid w:val="009C483D"/>
    <w:rsid w:val="009D02CA"/>
    <w:rsid w:val="009D084D"/>
    <w:rsid w:val="009D0DC1"/>
    <w:rsid w:val="009D188F"/>
    <w:rsid w:val="009D1A1A"/>
    <w:rsid w:val="009D3C9E"/>
    <w:rsid w:val="009D4BAB"/>
    <w:rsid w:val="009D7C2F"/>
    <w:rsid w:val="009E064B"/>
    <w:rsid w:val="009E2E6B"/>
    <w:rsid w:val="009E36A5"/>
    <w:rsid w:val="009E4EFA"/>
    <w:rsid w:val="009E5444"/>
    <w:rsid w:val="009E5D0A"/>
    <w:rsid w:val="009F046E"/>
    <w:rsid w:val="009F0852"/>
    <w:rsid w:val="009F3D23"/>
    <w:rsid w:val="009F4363"/>
    <w:rsid w:val="009F4DDD"/>
    <w:rsid w:val="009F5585"/>
    <w:rsid w:val="009F7293"/>
    <w:rsid w:val="009F77C6"/>
    <w:rsid w:val="00A0045A"/>
    <w:rsid w:val="00A00BA3"/>
    <w:rsid w:val="00A033BB"/>
    <w:rsid w:val="00A03B1B"/>
    <w:rsid w:val="00A045D0"/>
    <w:rsid w:val="00A0625D"/>
    <w:rsid w:val="00A06A94"/>
    <w:rsid w:val="00A06C73"/>
    <w:rsid w:val="00A06D26"/>
    <w:rsid w:val="00A11C83"/>
    <w:rsid w:val="00A133BD"/>
    <w:rsid w:val="00A14902"/>
    <w:rsid w:val="00A16829"/>
    <w:rsid w:val="00A16DEB"/>
    <w:rsid w:val="00A216E4"/>
    <w:rsid w:val="00A233E9"/>
    <w:rsid w:val="00A24B77"/>
    <w:rsid w:val="00A25C8B"/>
    <w:rsid w:val="00A2646C"/>
    <w:rsid w:val="00A27EA1"/>
    <w:rsid w:val="00A30D10"/>
    <w:rsid w:val="00A3195C"/>
    <w:rsid w:val="00A31B3A"/>
    <w:rsid w:val="00A348EB"/>
    <w:rsid w:val="00A35578"/>
    <w:rsid w:val="00A36E14"/>
    <w:rsid w:val="00A37A28"/>
    <w:rsid w:val="00A40A1F"/>
    <w:rsid w:val="00A41357"/>
    <w:rsid w:val="00A4182C"/>
    <w:rsid w:val="00A418EA"/>
    <w:rsid w:val="00A41DD2"/>
    <w:rsid w:val="00A42168"/>
    <w:rsid w:val="00A42403"/>
    <w:rsid w:val="00A42EC4"/>
    <w:rsid w:val="00A44EF4"/>
    <w:rsid w:val="00A44F24"/>
    <w:rsid w:val="00A44F9A"/>
    <w:rsid w:val="00A50238"/>
    <w:rsid w:val="00A514F3"/>
    <w:rsid w:val="00A51C51"/>
    <w:rsid w:val="00A54DDC"/>
    <w:rsid w:val="00A56CBA"/>
    <w:rsid w:val="00A5785D"/>
    <w:rsid w:val="00A57E88"/>
    <w:rsid w:val="00A61273"/>
    <w:rsid w:val="00A62411"/>
    <w:rsid w:val="00A64A6B"/>
    <w:rsid w:val="00A65699"/>
    <w:rsid w:val="00A6648D"/>
    <w:rsid w:val="00A669F8"/>
    <w:rsid w:val="00A675EA"/>
    <w:rsid w:val="00A677F3"/>
    <w:rsid w:val="00A726EE"/>
    <w:rsid w:val="00A73874"/>
    <w:rsid w:val="00A74326"/>
    <w:rsid w:val="00A763EF"/>
    <w:rsid w:val="00A772F9"/>
    <w:rsid w:val="00A77364"/>
    <w:rsid w:val="00A80E78"/>
    <w:rsid w:val="00A81345"/>
    <w:rsid w:val="00A845E7"/>
    <w:rsid w:val="00A84BBF"/>
    <w:rsid w:val="00A8544B"/>
    <w:rsid w:val="00A862D1"/>
    <w:rsid w:val="00A90F72"/>
    <w:rsid w:val="00A920D9"/>
    <w:rsid w:val="00A9332D"/>
    <w:rsid w:val="00A93935"/>
    <w:rsid w:val="00A94044"/>
    <w:rsid w:val="00A94E9F"/>
    <w:rsid w:val="00A95D70"/>
    <w:rsid w:val="00A96E9E"/>
    <w:rsid w:val="00A97367"/>
    <w:rsid w:val="00AA0C3C"/>
    <w:rsid w:val="00AA1530"/>
    <w:rsid w:val="00AA1B59"/>
    <w:rsid w:val="00AA26DB"/>
    <w:rsid w:val="00AA3432"/>
    <w:rsid w:val="00AA3AED"/>
    <w:rsid w:val="00AA4649"/>
    <w:rsid w:val="00AA5466"/>
    <w:rsid w:val="00AA69E2"/>
    <w:rsid w:val="00AA6A34"/>
    <w:rsid w:val="00AA7C09"/>
    <w:rsid w:val="00AB23E4"/>
    <w:rsid w:val="00AB2D76"/>
    <w:rsid w:val="00AB31CF"/>
    <w:rsid w:val="00AB7659"/>
    <w:rsid w:val="00AB7A46"/>
    <w:rsid w:val="00AC0AF0"/>
    <w:rsid w:val="00AC13B1"/>
    <w:rsid w:val="00AC38E9"/>
    <w:rsid w:val="00AC46C4"/>
    <w:rsid w:val="00AC537C"/>
    <w:rsid w:val="00AC5577"/>
    <w:rsid w:val="00AC707F"/>
    <w:rsid w:val="00AC725F"/>
    <w:rsid w:val="00AD0E54"/>
    <w:rsid w:val="00AD3041"/>
    <w:rsid w:val="00AD343E"/>
    <w:rsid w:val="00AD4A4A"/>
    <w:rsid w:val="00AD5080"/>
    <w:rsid w:val="00AD5CCB"/>
    <w:rsid w:val="00AD6223"/>
    <w:rsid w:val="00AD6BF2"/>
    <w:rsid w:val="00AD7102"/>
    <w:rsid w:val="00AD75F5"/>
    <w:rsid w:val="00AE0621"/>
    <w:rsid w:val="00AE0887"/>
    <w:rsid w:val="00AE1280"/>
    <w:rsid w:val="00AE55E7"/>
    <w:rsid w:val="00AE69BA"/>
    <w:rsid w:val="00AE75BF"/>
    <w:rsid w:val="00AE78D6"/>
    <w:rsid w:val="00AF0633"/>
    <w:rsid w:val="00AF3775"/>
    <w:rsid w:val="00AF3F33"/>
    <w:rsid w:val="00AF4E91"/>
    <w:rsid w:val="00AF52F5"/>
    <w:rsid w:val="00AF6AC7"/>
    <w:rsid w:val="00B003A7"/>
    <w:rsid w:val="00B00776"/>
    <w:rsid w:val="00B0428E"/>
    <w:rsid w:val="00B0531C"/>
    <w:rsid w:val="00B05B28"/>
    <w:rsid w:val="00B05BFB"/>
    <w:rsid w:val="00B0686B"/>
    <w:rsid w:val="00B06A9A"/>
    <w:rsid w:val="00B06AC8"/>
    <w:rsid w:val="00B06BE8"/>
    <w:rsid w:val="00B077D9"/>
    <w:rsid w:val="00B07A35"/>
    <w:rsid w:val="00B11E44"/>
    <w:rsid w:val="00B12640"/>
    <w:rsid w:val="00B12729"/>
    <w:rsid w:val="00B129CC"/>
    <w:rsid w:val="00B14C27"/>
    <w:rsid w:val="00B14EE8"/>
    <w:rsid w:val="00B16605"/>
    <w:rsid w:val="00B16A36"/>
    <w:rsid w:val="00B17BFA"/>
    <w:rsid w:val="00B20F08"/>
    <w:rsid w:val="00B210F7"/>
    <w:rsid w:val="00B2141E"/>
    <w:rsid w:val="00B2351A"/>
    <w:rsid w:val="00B26CBB"/>
    <w:rsid w:val="00B26CE2"/>
    <w:rsid w:val="00B27349"/>
    <w:rsid w:val="00B27E67"/>
    <w:rsid w:val="00B32CFA"/>
    <w:rsid w:val="00B33CAE"/>
    <w:rsid w:val="00B3568C"/>
    <w:rsid w:val="00B3689C"/>
    <w:rsid w:val="00B37383"/>
    <w:rsid w:val="00B37CA8"/>
    <w:rsid w:val="00B409F3"/>
    <w:rsid w:val="00B42931"/>
    <w:rsid w:val="00B42A68"/>
    <w:rsid w:val="00B45A86"/>
    <w:rsid w:val="00B45F2C"/>
    <w:rsid w:val="00B4673E"/>
    <w:rsid w:val="00B468E0"/>
    <w:rsid w:val="00B477DA"/>
    <w:rsid w:val="00B506DE"/>
    <w:rsid w:val="00B507B2"/>
    <w:rsid w:val="00B50DBB"/>
    <w:rsid w:val="00B51760"/>
    <w:rsid w:val="00B518E5"/>
    <w:rsid w:val="00B51D27"/>
    <w:rsid w:val="00B527C7"/>
    <w:rsid w:val="00B56A25"/>
    <w:rsid w:val="00B60E8C"/>
    <w:rsid w:val="00B6251C"/>
    <w:rsid w:val="00B62FFE"/>
    <w:rsid w:val="00B638F6"/>
    <w:rsid w:val="00B64220"/>
    <w:rsid w:val="00B64444"/>
    <w:rsid w:val="00B667AA"/>
    <w:rsid w:val="00B66D50"/>
    <w:rsid w:val="00B71205"/>
    <w:rsid w:val="00B715BC"/>
    <w:rsid w:val="00B7240A"/>
    <w:rsid w:val="00B733F3"/>
    <w:rsid w:val="00B74ABF"/>
    <w:rsid w:val="00B74EE7"/>
    <w:rsid w:val="00B74F8F"/>
    <w:rsid w:val="00B75BFE"/>
    <w:rsid w:val="00B7746E"/>
    <w:rsid w:val="00B818A5"/>
    <w:rsid w:val="00B829DF"/>
    <w:rsid w:val="00B85811"/>
    <w:rsid w:val="00B85CAC"/>
    <w:rsid w:val="00B86B4D"/>
    <w:rsid w:val="00B873BD"/>
    <w:rsid w:val="00B90559"/>
    <w:rsid w:val="00B9208B"/>
    <w:rsid w:val="00B93D57"/>
    <w:rsid w:val="00B9664A"/>
    <w:rsid w:val="00B969F8"/>
    <w:rsid w:val="00B973D5"/>
    <w:rsid w:val="00B9757F"/>
    <w:rsid w:val="00BA038C"/>
    <w:rsid w:val="00BA0D33"/>
    <w:rsid w:val="00BA1171"/>
    <w:rsid w:val="00BA1334"/>
    <w:rsid w:val="00BA3061"/>
    <w:rsid w:val="00BA351F"/>
    <w:rsid w:val="00BA548E"/>
    <w:rsid w:val="00BA5A82"/>
    <w:rsid w:val="00BA656B"/>
    <w:rsid w:val="00BA69FA"/>
    <w:rsid w:val="00BB0511"/>
    <w:rsid w:val="00BB1E62"/>
    <w:rsid w:val="00BB280A"/>
    <w:rsid w:val="00BB53EE"/>
    <w:rsid w:val="00BB5A9B"/>
    <w:rsid w:val="00BB5AD4"/>
    <w:rsid w:val="00BC06C0"/>
    <w:rsid w:val="00BC21C5"/>
    <w:rsid w:val="00BC2363"/>
    <w:rsid w:val="00BC23D0"/>
    <w:rsid w:val="00BC27EF"/>
    <w:rsid w:val="00BC27FF"/>
    <w:rsid w:val="00BC2BB6"/>
    <w:rsid w:val="00BC37C6"/>
    <w:rsid w:val="00BC38CB"/>
    <w:rsid w:val="00BC3EB1"/>
    <w:rsid w:val="00BC4263"/>
    <w:rsid w:val="00BC4806"/>
    <w:rsid w:val="00BC4ACC"/>
    <w:rsid w:val="00BC7E14"/>
    <w:rsid w:val="00BD02F1"/>
    <w:rsid w:val="00BD05E0"/>
    <w:rsid w:val="00BD0A1D"/>
    <w:rsid w:val="00BD1DB3"/>
    <w:rsid w:val="00BD5151"/>
    <w:rsid w:val="00BD5FAC"/>
    <w:rsid w:val="00BE304B"/>
    <w:rsid w:val="00BE4872"/>
    <w:rsid w:val="00BE6DA3"/>
    <w:rsid w:val="00BF12AD"/>
    <w:rsid w:val="00BF177B"/>
    <w:rsid w:val="00BF1BA8"/>
    <w:rsid w:val="00BF1DC9"/>
    <w:rsid w:val="00BF1E20"/>
    <w:rsid w:val="00BF2E35"/>
    <w:rsid w:val="00BF3EC7"/>
    <w:rsid w:val="00BF4789"/>
    <w:rsid w:val="00BF608D"/>
    <w:rsid w:val="00BF67E8"/>
    <w:rsid w:val="00BF7060"/>
    <w:rsid w:val="00BF7ED4"/>
    <w:rsid w:val="00C00F71"/>
    <w:rsid w:val="00C04AA8"/>
    <w:rsid w:val="00C05A61"/>
    <w:rsid w:val="00C0606B"/>
    <w:rsid w:val="00C0699D"/>
    <w:rsid w:val="00C07252"/>
    <w:rsid w:val="00C07842"/>
    <w:rsid w:val="00C10B4C"/>
    <w:rsid w:val="00C10C20"/>
    <w:rsid w:val="00C10DF0"/>
    <w:rsid w:val="00C11C1B"/>
    <w:rsid w:val="00C126F7"/>
    <w:rsid w:val="00C129B0"/>
    <w:rsid w:val="00C1302E"/>
    <w:rsid w:val="00C13E1B"/>
    <w:rsid w:val="00C14295"/>
    <w:rsid w:val="00C15454"/>
    <w:rsid w:val="00C155AA"/>
    <w:rsid w:val="00C1609D"/>
    <w:rsid w:val="00C16626"/>
    <w:rsid w:val="00C16F08"/>
    <w:rsid w:val="00C17A0B"/>
    <w:rsid w:val="00C206FA"/>
    <w:rsid w:val="00C20FCB"/>
    <w:rsid w:val="00C2323F"/>
    <w:rsid w:val="00C23AF2"/>
    <w:rsid w:val="00C25146"/>
    <w:rsid w:val="00C25892"/>
    <w:rsid w:val="00C25F90"/>
    <w:rsid w:val="00C31AEA"/>
    <w:rsid w:val="00C32E80"/>
    <w:rsid w:val="00C335E0"/>
    <w:rsid w:val="00C3483C"/>
    <w:rsid w:val="00C35227"/>
    <w:rsid w:val="00C35F79"/>
    <w:rsid w:val="00C36D6C"/>
    <w:rsid w:val="00C36D76"/>
    <w:rsid w:val="00C37AC4"/>
    <w:rsid w:val="00C40ECA"/>
    <w:rsid w:val="00C41539"/>
    <w:rsid w:val="00C41925"/>
    <w:rsid w:val="00C42C6C"/>
    <w:rsid w:val="00C43D00"/>
    <w:rsid w:val="00C44ADD"/>
    <w:rsid w:val="00C45559"/>
    <w:rsid w:val="00C46BE1"/>
    <w:rsid w:val="00C46ECF"/>
    <w:rsid w:val="00C50035"/>
    <w:rsid w:val="00C500C4"/>
    <w:rsid w:val="00C51307"/>
    <w:rsid w:val="00C5392F"/>
    <w:rsid w:val="00C55A7B"/>
    <w:rsid w:val="00C55E4D"/>
    <w:rsid w:val="00C57ED3"/>
    <w:rsid w:val="00C62047"/>
    <w:rsid w:val="00C62A31"/>
    <w:rsid w:val="00C62E0E"/>
    <w:rsid w:val="00C62F25"/>
    <w:rsid w:val="00C63253"/>
    <w:rsid w:val="00C643ED"/>
    <w:rsid w:val="00C66016"/>
    <w:rsid w:val="00C679DD"/>
    <w:rsid w:val="00C7115F"/>
    <w:rsid w:val="00C73B63"/>
    <w:rsid w:val="00C73CC4"/>
    <w:rsid w:val="00C74249"/>
    <w:rsid w:val="00C76FA2"/>
    <w:rsid w:val="00C801A7"/>
    <w:rsid w:val="00C80511"/>
    <w:rsid w:val="00C80B1C"/>
    <w:rsid w:val="00C81356"/>
    <w:rsid w:val="00C81886"/>
    <w:rsid w:val="00C82B0E"/>
    <w:rsid w:val="00C838DA"/>
    <w:rsid w:val="00C83D6F"/>
    <w:rsid w:val="00C853C6"/>
    <w:rsid w:val="00CA0684"/>
    <w:rsid w:val="00CA0AA3"/>
    <w:rsid w:val="00CA0AB2"/>
    <w:rsid w:val="00CA13D7"/>
    <w:rsid w:val="00CA17A3"/>
    <w:rsid w:val="00CA32D8"/>
    <w:rsid w:val="00CA395D"/>
    <w:rsid w:val="00CA46C1"/>
    <w:rsid w:val="00CA624F"/>
    <w:rsid w:val="00CA7055"/>
    <w:rsid w:val="00CB018A"/>
    <w:rsid w:val="00CB18FB"/>
    <w:rsid w:val="00CB2109"/>
    <w:rsid w:val="00CB2AAC"/>
    <w:rsid w:val="00CB3184"/>
    <w:rsid w:val="00CB5D1B"/>
    <w:rsid w:val="00CB684C"/>
    <w:rsid w:val="00CB71D0"/>
    <w:rsid w:val="00CC11C2"/>
    <w:rsid w:val="00CC15D6"/>
    <w:rsid w:val="00CC171C"/>
    <w:rsid w:val="00CC18C2"/>
    <w:rsid w:val="00CC1F47"/>
    <w:rsid w:val="00CC240A"/>
    <w:rsid w:val="00CC2C20"/>
    <w:rsid w:val="00CC2D3E"/>
    <w:rsid w:val="00CC37B4"/>
    <w:rsid w:val="00CC5603"/>
    <w:rsid w:val="00CC6092"/>
    <w:rsid w:val="00CC671B"/>
    <w:rsid w:val="00CC6D25"/>
    <w:rsid w:val="00CC735D"/>
    <w:rsid w:val="00CD0692"/>
    <w:rsid w:val="00CD112F"/>
    <w:rsid w:val="00CD192E"/>
    <w:rsid w:val="00CD1D0A"/>
    <w:rsid w:val="00CD1F34"/>
    <w:rsid w:val="00CD3EDD"/>
    <w:rsid w:val="00CD42BF"/>
    <w:rsid w:val="00CD54E2"/>
    <w:rsid w:val="00CD5ADE"/>
    <w:rsid w:val="00CD6DFB"/>
    <w:rsid w:val="00CE235E"/>
    <w:rsid w:val="00CE3163"/>
    <w:rsid w:val="00CE487B"/>
    <w:rsid w:val="00CE4A3E"/>
    <w:rsid w:val="00CE4EBA"/>
    <w:rsid w:val="00CE4EDD"/>
    <w:rsid w:val="00CE5660"/>
    <w:rsid w:val="00CE6144"/>
    <w:rsid w:val="00CE6C4A"/>
    <w:rsid w:val="00CF090F"/>
    <w:rsid w:val="00CF09EC"/>
    <w:rsid w:val="00CF1412"/>
    <w:rsid w:val="00CF2DAB"/>
    <w:rsid w:val="00CF30A5"/>
    <w:rsid w:val="00CF4019"/>
    <w:rsid w:val="00CF742F"/>
    <w:rsid w:val="00CF77FA"/>
    <w:rsid w:val="00D004FE"/>
    <w:rsid w:val="00D01EBC"/>
    <w:rsid w:val="00D048DB"/>
    <w:rsid w:val="00D059AB"/>
    <w:rsid w:val="00D05B14"/>
    <w:rsid w:val="00D071AD"/>
    <w:rsid w:val="00D10CCE"/>
    <w:rsid w:val="00D11152"/>
    <w:rsid w:val="00D121EC"/>
    <w:rsid w:val="00D12A54"/>
    <w:rsid w:val="00D1567C"/>
    <w:rsid w:val="00D16E80"/>
    <w:rsid w:val="00D17852"/>
    <w:rsid w:val="00D217D3"/>
    <w:rsid w:val="00D2204C"/>
    <w:rsid w:val="00D22426"/>
    <w:rsid w:val="00D23213"/>
    <w:rsid w:val="00D24A22"/>
    <w:rsid w:val="00D24C00"/>
    <w:rsid w:val="00D24C0E"/>
    <w:rsid w:val="00D263A8"/>
    <w:rsid w:val="00D27B3C"/>
    <w:rsid w:val="00D328F6"/>
    <w:rsid w:val="00D333EA"/>
    <w:rsid w:val="00D341CD"/>
    <w:rsid w:val="00D345C4"/>
    <w:rsid w:val="00D34E8A"/>
    <w:rsid w:val="00D37A7C"/>
    <w:rsid w:val="00D41635"/>
    <w:rsid w:val="00D41836"/>
    <w:rsid w:val="00D419D6"/>
    <w:rsid w:val="00D45BC9"/>
    <w:rsid w:val="00D46823"/>
    <w:rsid w:val="00D50499"/>
    <w:rsid w:val="00D51E5C"/>
    <w:rsid w:val="00D520B6"/>
    <w:rsid w:val="00D54D8D"/>
    <w:rsid w:val="00D57044"/>
    <w:rsid w:val="00D6029C"/>
    <w:rsid w:val="00D602CB"/>
    <w:rsid w:val="00D602D4"/>
    <w:rsid w:val="00D61759"/>
    <w:rsid w:val="00D63266"/>
    <w:rsid w:val="00D63D4F"/>
    <w:rsid w:val="00D63F8C"/>
    <w:rsid w:val="00D647C3"/>
    <w:rsid w:val="00D64C0B"/>
    <w:rsid w:val="00D64CC4"/>
    <w:rsid w:val="00D66FD5"/>
    <w:rsid w:val="00D72228"/>
    <w:rsid w:val="00D72D9C"/>
    <w:rsid w:val="00D748D4"/>
    <w:rsid w:val="00D75F94"/>
    <w:rsid w:val="00D7631E"/>
    <w:rsid w:val="00D77074"/>
    <w:rsid w:val="00D77D54"/>
    <w:rsid w:val="00D77EF0"/>
    <w:rsid w:val="00D802C3"/>
    <w:rsid w:val="00D80452"/>
    <w:rsid w:val="00D83154"/>
    <w:rsid w:val="00D83A46"/>
    <w:rsid w:val="00D83FD7"/>
    <w:rsid w:val="00D8618B"/>
    <w:rsid w:val="00D87E95"/>
    <w:rsid w:val="00D914A9"/>
    <w:rsid w:val="00D91DA3"/>
    <w:rsid w:val="00D9252F"/>
    <w:rsid w:val="00D94A49"/>
    <w:rsid w:val="00D95789"/>
    <w:rsid w:val="00D96166"/>
    <w:rsid w:val="00D96B7E"/>
    <w:rsid w:val="00D97DBB"/>
    <w:rsid w:val="00DA0F9D"/>
    <w:rsid w:val="00DA1DC1"/>
    <w:rsid w:val="00DA1E12"/>
    <w:rsid w:val="00DA1F70"/>
    <w:rsid w:val="00DA54CB"/>
    <w:rsid w:val="00DA5D7C"/>
    <w:rsid w:val="00DA7DA1"/>
    <w:rsid w:val="00DB0DD7"/>
    <w:rsid w:val="00DB1926"/>
    <w:rsid w:val="00DB4FB6"/>
    <w:rsid w:val="00DB558B"/>
    <w:rsid w:val="00DB5627"/>
    <w:rsid w:val="00DB5B54"/>
    <w:rsid w:val="00DC0AB1"/>
    <w:rsid w:val="00DC24C0"/>
    <w:rsid w:val="00DC418E"/>
    <w:rsid w:val="00DC6886"/>
    <w:rsid w:val="00DC6B53"/>
    <w:rsid w:val="00DC7DA6"/>
    <w:rsid w:val="00DD355B"/>
    <w:rsid w:val="00DD41A0"/>
    <w:rsid w:val="00DD5973"/>
    <w:rsid w:val="00DD68B6"/>
    <w:rsid w:val="00DD79BF"/>
    <w:rsid w:val="00DE0098"/>
    <w:rsid w:val="00DE037F"/>
    <w:rsid w:val="00DE05DC"/>
    <w:rsid w:val="00DE319F"/>
    <w:rsid w:val="00DE41B8"/>
    <w:rsid w:val="00DE6451"/>
    <w:rsid w:val="00DE64A7"/>
    <w:rsid w:val="00DE7049"/>
    <w:rsid w:val="00DE79DA"/>
    <w:rsid w:val="00DF1133"/>
    <w:rsid w:val="00DF1AC2"/>
    <w:rsid w:val="00DF3108"/>
    <w:rsid w:val="00DF45EB"/>
    <w:rsid w:val="00DF47E9"/>
    <w:rsid w:val="00DF55C4"/>
    <w:rsid w:val="00DF65F3"/>
    <w:rsid w:val="00DF7560"/>
    <w:rsid w:val="00DF7CE8"/>
    <w:rsid w:val="00DF7D1B"/>
    <w:rsid w:val="00E015D5"/>
    <w:rsid w:val="00E02CB0"/>
    <w:rsid w:val="00E042B7"/>
    <w:rsid w:val="00E064B0"/>
    <w:rsid w:val="00E1041E"/>
    <w:rsid w:val="00E10DFC"/>
    <w:rsid w:val="00E133AC"/>
    <w:rsid w:val="00E13C39"/>
    <w:rsid w:val="00E140D8"/>
    <w:rsid w:val="00E14814"/>
    <w:rsid w:val="00E14CB9"/>
    <w:rsid w:val="00E15935"/>
    <w:rsid w:val="00E2149E"/>
    <w:rsid w:val="00E21CD4"/>
    <w:rsid w:val="00E21E81"/>
    <w:rsid w:val="00E225ED"/>
    <w:rsid w:val="00E2328A"/>
    <w:rsid w:val="00E23B63"/>
    <w:rsid w:val="00E23EE2"/>
    <w:rsid w:val="00E24BDB"/>
    <w:rsid w:val="00E25139"/>
    <w:rsid w:val="00E2590C"/>
    <w:rsid w:val="00E26AFC"/>
    <w:rsid w:val="00E300A0"/>
    <w:rsid w:val="00E30571"/>
    <w:rsid w:val="00E31DC0"/>
    <w:rsid w:val="00E32904"/>
    <w:rsid w:val="00E32CAD"/>
    <w:rsid w:val="00E32CD3"/>
    <w:rsid w:val="00E348E5"/>
    <w:rsid w:val="00E34FE4"/>
    <w:rsid w:val="00E428A2"/>
    <w:rsid w:val="00E430CB"/>
    <w:rsid w:val="00E4431B"/>
    <w:rsid w:val="00E44556"/>
    <w:rsid w:val="00E46735"/>
    <w:rsid w:val="00E479F0"/>
    <w:rsid w:val="00E5061D"/>
    <w:rsid w:val="00E5409E"/>
    <w:rsid w:val="00E54647"/>
    <w:rsid w:val="00E54EE7"/>
    <w:rsid w:val="00E55842"/>
    <w:rsid w:val="00E55D9B"/>
    <w:rsid w:val="00E5651B"/>
    <w:rsid w:val="00E579D2"/>
    <w:rsid w:val="00E615AC"/>
    <w:rsid w:val="00E61766"/>
    <w:rsid w:val="00E666E4"/>
    <w:rsid w:val="00E66CCC"/>
    <w:rsid w:val="00E67E95"/>
    <w:rsid w:val="00E70319"/>
    <w:rsid w:val="00E70F4A"/>
    <w:rsid w:val="00E7182D"/>
    <w:rsid w:val="00E71F61"/>
    <w:rsid w:val="00E73170"/>
    <w:rsid w:val="00E748A4"/>
    <w:rsid w:val="00E751D2"/>
    <w:rsid w:val="00E765D5"/>
    <w:rsid w:val="00E80C58"/>
    <w:rsid w:val="00E832A5"/>
    <w:rsid w:val="00E84442"/>
    <w:rsid w:val="00E857F8"/>
    <w:rsid w:val="00E87EA6"/>
    <w:rsid w:val="00E9003C"/>
    <w:rsid w:val="00E90C25"/>
    <w:rsid w:val="00E916B1"/>
    <w:rsid w:val="00E9551D"/>
    <w:rsid w:val="00E97240"/>
    <w:rsid w:val="00EA1259"/>
    <w:rsid w:val="00EA40EA"/>
    <w:rsid w:val="00EA4230"/>
    <w:rsid w:val="00EA5047"/>
    <w:rsid w:val="00EA5163"/>
    <w:rsid w:val="00EA7679"/>
    <w:rsid w:val="00EB079B"/>
    <w:rsid w:val="00EB118D"/>
    <w:rsid w:val="00EB3D01"/>
    <w:rsid w:val="00EB42A2"/>
    <w:rsid w:val="00EB470F"/>
    <w:rsid w:val="00EB48E1"/>
    <w:rsid w:val="00EB4908"/>
    <w:rsid w:val="00EB5F03"/>
    <w:rsid w:val="00EB6843"/>
    <w:rsid w:val="00EB7201"/>
    <w:rsid w:val="00EC1393"/>
    <w:rsid w:val="00EC182D"/>
    <w:rsid w:val="00EC2ADA"/>
    <w:rsid w:val="00EC32F7"/>
    <w:rsid w:val="00EC4136"/>
    <w:rsid w:val="00EC4926"/>
    <w:rsid w:val="00EC7258"/>
    <w:rsid w:val="00EC757C"/>
    <w:rsid w:val="00ED2629"/>
    <w:rsid w:val="00ED4D83"/>
    <w:rsid w:val="00ED51A4"/>
    <w:rsid w:val="00ED6F1C"/>
    <w:rsid w:val="00ED7276"/>
    <w:rsid w:val="00ED7887"/>
    <w:rsid w:val="00ED7B3B"/>
    <w:rsid w:val="00EE27E1"/>
    <w:rsid w:val="00EE2E0D"/>
    <w:rsid w:val="00EE2F23"/>
    <w:rsid w:val="00EE313F"/>
    <w:rsid w:val="00EE59EF"/>
    <w:rsid w:val="00EE7BF2"/>
    <w:rsid w:val="00EE7CB3"/>
    <w:rsid w:val="00EE7F6D"/>
    <w:rsid w:val="00EF0251"/>
    <w:rsid w:val="00EF0F26"/>
    <w:rsid w:val="00EF2ADB"/>
    <w:rsid w:val="00EF2F4E"/>
    <w:rsid w:val="00EF4041"/>
    <w:rsid w:val="00EF483E"/>
    <w:rsid w:val="00EF6429"/>
    <w:rsid w:val="00EF7272"/>
    <w:rsid w:val="00F01E85"/>
    <w:rsid w:val="00F01F01"/>
    <w:rsid w:val="00F03D77"/>
    <w:rsid w:val="00F0411B"/>
    <w:rsid w:val="00F04D4C"/>
    <w:rsid w:val="00F055F5"/>
    <w:rsid w:val="00F12B69"/>
    <w:rsid w:val="00F136EC"/>
    <w:rsid w:val="00F162A2"/>
    <w:rsid w:val="00F17233"/>
    <w:rsid w:val="00F20501"/>
    <w:rsid w:val="00F20A51"/>
    <w:rsid w:val="00F21C0E"/>
    <w:rsid w:val="00F229EB"/>
    <w:rsid w:val="00F22A2F"/>
    <w:rsid w:val="00F22CE0"/>
    <w:rsid w:val="00F22EE2"/>
    <w:rsid w:val="00F2479C"/>
    <w:rsid w:val="00F2513E"/>
    <w:rsid w:val="00F31DE5"/>
    <w:rsid w:val="00F330B9"/>
    <w:rsid w:val="00F34EB0"/>
    <w:rsid w:val="00F35D9B"/>
    <w:rsid w:val="00F3659B"/>
    <w:rsid w:val="00F36771"/>
    <w:rsid w:val="00F36957"/>
    <w:rsid w:val="00F3733B"/>
    <w:rsid w:val="00F407A2"/>
    <w:rsid w:val="00F4254C"/>
    <w:rsid w:val="00F43051"/>
    <w:rsid w:val="00F45B38"/>
    <w:rsid w:val="00F46D4B"/>
    <w:rsid w:val="00F47F20"/>
    <w:rsid w:val="00F507C4"/>
    <w:rsid w:val="00F50953"/>
    <w:rsid w:val="00F50ACE"/>
    <w:rsid w:val="00F52490"/>
    <w:rsid w:val="00F5253C"/>
    <w:rsid w:val="00F52B3A"/>
    <w:rsid w:val="00F57710"/>
    <w:rsid w:val="00F64242"/>
    <w:rsid w:val="00F64584"/>
    <w:rsid w:val="00F657D8"/>
    <w:rsid w:val="00F6634A"/>
    <w:rsid w:val="00F6648B"/>
    <w:rsid w:val="00F710C9"/>
    <w:rsid w:val="00F71589"/>
    <w:rsid w:val="00F722A1"/>
    <w:rsid w:val="00F736B6"/>
    <w:rsid w:val="00F73C24"/>
    <w:rsid w:val="00F7460A"/>
    <w:rsid w:val="00F755B7"/>
    <w:rsid w:val="00F77250"/>
    <w:rsid w:val="00F7725B"/>
    <w:rsid w:val="00F80306"/>
    <w:rsid w:val="00F809D7"/>
    <w:rsid w:val="00F812C2"/>
    <w:rsid w:val="00F8158A"/>
    <w:rsid w:val="00F830E1"/>
    <w:rsid w:val="00F85C28"/>
    <w:rsid w:val="00F93629"/>
    <w:rsid w:val="00F9575F"/>
    <w:rsid w:val="00F95D4B"/>
    <w:rsid w:val="00F96626"/>
    <w:rsid w:val="00F968AC"/>
    <w:rsid w:val="00F96F0A"/>
    <w:rsid w:val="00F9764F"/>
    <w:rsid w:val="00FA0E7C"/>
    <w:rsid w:val="00FA27B8"/>
    <w:rsid w:val="00FA35A0"/>
    <w:rsid w:val="00FA35D5"/>
    <w:rsid w:val="00FA4BDE"/>
    <w:rsid w:val="00FB199F"/>
    <w:rsid w:val="00FB19D9"/>
    <w:rsid w:val="00FB3AF7"/>
    <w:rsid w:val="00FB575E"/>
    <w:rsid w:val="00FB6A36"/>
    <w:rsid w:val="00FB7900"/>
    <w:rsid w:val="00FC069E"/>
    <w:rsid w:val="00FC3455"/>
    <w:rsid w:val="00FC3608"/>
    <w:rsid w:val="00FC5FE3"/>
    <w:rsid w:val="00FC67CA"/>
    <w:rsid w:val="00FC6CDB"/>
    <w:rsid w:val="00FC7B0D"/>
    <w:rsid w:val="00FD01A6"/>
    <w:rsid w:val="00FD14AB"/>
    <w:rsid w:val="00FD1B9F"/>
    <w:rsid w:val="00FD483C"/>
    <w:rsid w:val="00FD484C"/>
    <w:rsid w:val="00FD48AA"/>
    <w:rsid w:val="00FD5796"/>
    <w:rsid w:val="00FD713A"/>
    <w:rsid w:val="00FE0296"/>
    <w:rsid w:val="00FE1407"/>
    <w:rsid w:val="00FE23AD"/>
    <w:rsid w:val="00FE2804"/>
    <w:rsid w:val="00FE2F0C"/>
    <w:rsid w:val="00FE3088"/>
    <w:rsid w:val="00FE3209"/>
    <w:rsid w:val="00FE5FBD"/>
    <w:rsid w:val="00FE60AF"/>
    <w:rsid w:val="00FE636A"/>
    <w:rsid w:val="00FE6534"/>
    <w:rsid w:val="00FE6F4B"/>
    <w:rsid w:val="00FF1694"/>
    <w:rsid w:val="00FF4764"/>
    <w:rsid w:val="00FF5108"/>
    <w:rsid w:val="00FF5BCA"/>
    <w:rsid w:val="00FF606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2DEC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1" w:qFormat="1"/>
    <w:lsdException w:name="heading 3"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sid w:val="00C50035"/>
    <w:pPr>
      <w:spacing w:after="120"/>
      <w:jc w:val="both"/>
    </w:pPr>
    <w:rPr>
      <w:rFonts w:ascii="Calibri" w:hAnsi="Calibri"/>
      <w:lang w:val="pl-PL"/>
    </w:rPr>
  </w:style>
  <w:style w:type="paragraph" w:styleId="Nagwek1">
    <w:name w:val="heading 1"/>
    <w:basedOn w:val="Normalny"/>
    <w:next w:val="Normalny"/>
    <w:link w:val="Nagwek1Znak"/>
    <w:uiPriority w:val="99"/>
    <w:qFormat/>
    <w:rsid w:val="00561819"/>
    <w:pPr>
      <w:keepNext/>
      <w:keepLines/>
      <w:spacing w:before="480" w:after="0" w:line="288" w:lineRule="auto"/>
      <w:jc w:val="center"/>
      <w:outlineLvl w:val="0"/>
    </w:pPr>
    <w:rPr>
      <w:rFonts w:ascii="Verdana" w:eastAsia="Times New Roman" w:hAnsi="Verdana" w:cstheme="minorHAnsi"/>
      <w:b/>
      <w:color w:val="003399"/>
      <w:sz w:val="40"/>
      <w:szCs w:val="48"/>
    </w:rPr>
  </w:style>
  <w:style w:type="paragraph" w:styleId="Nagwek2">
    <w:name w:val="heading 2"/>
    <w:basedOn w:val="Nagwek3"/>
    <w:next w:val="Normalny"/>
    <w:link w:val="Nagwek2Znak"/>
    <w:uiPriority w:val="1"/>
    <w:unhideWhenUsed/>
    <w:qFormat/>
    <w:rsid w:val="00020EA3"/>
    <w:pPr>
      <w:shd w:val="clear" w:color="auto" w:fill="auto"/>
      <w:spacing w:before="360"/>
      <w:ind w:left="0" w:firstLine="0"/>
      <w:jc w:val="center"/>
      <w:outlineLvl w:val="1"/>
    </w:pPr>
    <w:rPr>
      <w:color w:val="0066CC"/>
      <w:sz w:val="40"/>
    </w:rPr>
  </w:style>
  <w:style w:type="paragraph" w:styleId="Nagwek3">
    <w:name w:val="heading 3"/>
    <w:basedOn w:val="Nagwek4"/>
    <w:next w:val="Normalny"/>
    <w:link w:val="Nagwek3Znak"/>
    <w:uiPriority w:val="99"/>
    <w:unhideWhenUsed/>
    <w:qFormat/>
    <w:rsid w:val="00602E93"/>
    <w:pPr>
      <w:shd w:val="clear" w:color="auto" w:fill="0066CC"/>
      <w:tabs>
        <w:tab w:val="clear" w:pos="2694"/>
      </w:tabs>
      <w:ind w:left="1985" w:hanging="1985"/>
      <w:outlineLvl w:val="2"/>
    </w:pPr>
  </w:style>
  <w:style w:type="paragraph" w:styleId="Nagwek4">
    <w:name w:val="heading 4"/>
    <w:basedOn w:val="Nagwek31"/>
    <w:next w:val="Normalny"/>
    <w:link w:val="Nagwek4Znak"/>
    <w:unhideWhenUsed/>
    <w:qFormat/>
    <w:rsid w:val="001E27FA"/>
    <w:pPr>
      <w:shd w:val="clear" w:color="auto" w:fill="000066"/>
      <w:tabs>
        <w:tab w:val="clear" w:pos="1701"/>
        <w:tab w:val="left" w:pos="2694"/>
      </w:tabs>
      <w:spacing w:before="480" w:after="0"/>
      <w:ind w:left="2694" w:hanging="2694"/>
      <w:jc w:val="left"/>
    </w:pPr>
    <w:rPr>
      <w:rFonts w:asciiTheme="minorHAnsi" w:hAnsiTheme="minorHAnsi" w:cstheme="minorHAnsi"/>
      <w:color w:val="FFFFFF" w:themeColor="background1"/>
      <w:sz w:val="28"/>
      <w:szCs w:val="26"/>
    </w:rPr>
  </w:style>
  <w:style w:type="paragraph" w:styleId="Nagwek5">
    <w:name w:val="heading 5"/>
    <w:basedOn w:val="Nagwek6"/>
    <w:next w:val="Normalny"/>
    <w:link w:val="Nagwek5Znak"/>
    <w:unhideWhenUsed/>
    <w:qFormat/>
    <w:rsid w:val="008E0CFB"/>
    <w:pPr>
      <w:shd w:val="clear" w:color="auto" w:fill="FF9933"/>
      <w:spacing w:before="360"/>
      <w:outlineLvl w:val="4"/>
    </w:pPr>
    <w:rPr>
      <w:rFonts w:eastAsia="Times New Roman"/>
    </w:rPr>
  </w:style>
  <w:style w:type="paragraph" w:styleId="Nagwek6">
    <w:name w:val="heading 6"/>
    <w:basedOn w:val="Nagwek4"/>
    <w:next w:val="Normalny"/>
    <w:link w:val="Nagwek6Znak"/>
    <w:uiPriority w:val="9"/>
    <w:unhideWhenUsed/>
    <w:qFormat/>
    <w:rsid w:val="00133B99"/>
    <w:pPr>
      <w:shd w:val="clear" w:color="auto" w:fill="339933"/>
      <w:tabs>
        <w:tab w:val="left" w:pos="2268"/>
      </w:tabs>
      <w:spacing w:before="240"/>
      <w:ind w:left="2268" w:hanging="2268"/>
      <w:outlineLvl w:val="5"/>
    </w:pPr>
    <w:rPr>
      <w:rFonts w:eastAsiaTheme="majorEastAsia"/>
      <w:sz w:val="24"/>
    </w:rPr>
  </w:style>
  <w:style w:type="paragraph" w:styleId="Nagwek7">
    <w:name w:val="heading 7"/>
    <w:basedOn w:val="Normalny"/>
    <w:next w:val="Normalny"/>
    <w:link w:val="Nagwek7Znak"/>
    <w:uiPriority w:val="9"/>
    <w:unhideWhenUsed/>
    <w:qFormat/>
    <w:rsid w:val="00594B82"/>
    <w:pPr>
      <w:widowControl/>
      <w:tabs>
        <w:tab w:val="left" w:pos="567"/>
      </w:tabs>
      <w:ind w:left="567" w:hanging="567"/>
      <w:outlineLvl w:val="6"/>
    </w:pPr>
    <w:rPr>
      <w:rFonts w:asciiTheme="minorHAnsi" w:eastAsia="Calibri" w:hAnsiTheme="minorHAnsi" w:cstheme="minorHAnsi"/>
    </w:rPr>
  </w:style>
  <w:style w:type="paragraph" w:styleId="Nagwek9">
    <w:name w:val="heading 9"/>
    <w:basedOn w:val="Normalny"/>
    <w:next w:val="Normalny"/>
    <w:link w:val="Nagwek9Znak"/>
    <w:qFormat/>
    <w:rsid w:val="00C36D76"/>
    <w:pPr>
      <w:widowControl/>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rsid w:val="00DC7DA6"/>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DC7DA6"/>
    <w:pPr>
      <w:ind w:left="20" w:hanging="219"/>
    </w:pPr>
    <w:rPr>
      <w:rFonts w:eastAsia="Times New Roman"/>
      <w:sz w:val="17"/>
      <w:szCs w:val="17"/>
    </w:rPr>
  </w:style>
  <w:style w:type="paragraph" w:customStyle="1" w:styleId="Nagwek11">
    <w:name w:val="Nagłówek 11"/>
    <w:basedOn w:val="Normalny"/>
    <w:uiPriority w:val="1"/>
    <w:qFormat/>
    <w:rsid w:val="00DC7DA6"/>
    <w:pPr>
      <w:outlineLvl w:val="1"/>
    </w:pPr>
    <w:rPr>
      <w:rFonts w:eastAsia="Times New Roman"/>
      <w:b/>
      <w:bCs/>
      <w:sz w:val="19"/>
      <w:szCs w:val="19"/>
    </w:rPr>
  </w:style>
  <w:style w:type="paragraph" w:customStyle="1" w:styleId="Nagwek21">
    <w:name w:val="Nagłówek 21"/>
    <w:basedOn w:val="Normalny"/>
    <w:uiPriority w:val="1"/>
    <w:qFormat/>
    <w:rsid w:val="00DB0DD7"/>
    <w:pPr>
      <w:ind w:left="20"/>
      <w:jc w:val="center"/>
      <w:outlineLvl w:val="2"/>
    </w:pPr>
    <w:rPr>
      <w:rFonts w:eastAsia="Times New Roman"/>
      <w:b/>
      <w:szCs w:val="19"/>
    </w:rPr>
  </w:style>
  <w:style w:type="paragraph" w:customStyle="1" w:styleId="Nagwek31">
    <w:name w:val="Nagłówek 31"/>
    <w:basedOn w:val="Normalny"/>
    <w:uiPriority w:val="1"/>
    <w:qFormat/>
    <w:rsid w:val="00DB0DD7"/>
    <w:pPr>
      <w:tabs>
        <w:tab w:val="left" w:pos="1701"/>
      </w:tabs>
      <w:ind w:left="1701" w:hanging="1701"/>
      <w:outlineLvl w:val="3"/>
    </w:pPr>
    <w:rPr>
      <w:rFonts w:eastAsia="Times New Roman"/>
      <w:b/>
      <w:bCs/>
      <w:szCs w:val="17"/>
    </w:rPr>
  </w:style>
  <w:style w:type="paragraph" w:styleId="Akapitzlist">
    <w:name w:val="List Paragraph"/>
    <w:basedOn w:val="Normalny"/>
    <w:uiPriority w:val="34"/>
    <w:qFormat/>
    <w:rsid w:val="00DC7DA6"/>
  </w:style>
  <w:style w:type="paragraph" w:customStyle="1" w:styleId="TableParagraph">
    <w:name w:val="Table Paragraph"/>
    <w:basedOn w:val="Normalny"/>
    <w:uiPriority w:val="1"/>
    <w:qFormat/>
    <w:rsid w:val="00DC7DA6"/>
  </w:style>
  <w:style w:type="paragraph" w:styleId="Stopka">
    <w:name w:val="footer"/>
    <w:basedOn w:val="Normalny"/>
    <w:link w:val="StopkaZnak"/>
    <w:uiPriority w:val="99"/>
    <w:unhideWhenUsed/>
    <w:rsid w:val="00DE05DC"/>
    <w:pPr>
      <w:tabs>
        <w:tab w:val="center" w:pos="4536"/>
        <w:tab w:val="right" w:pos="9072"/>
      </w:tabs>
    </w:pPr>
  </w:style>
  <w:style w:type="character" w:customStyle="1" w:styleId="StopkaZnak">
    <w:name w:val="Stopka Znak"/>
    <w:basedOn w:val="Domylnaczcionkaakapitu"/>
    <w:link w:val="Stopka"/>
    <w:uiPriority w:val="99"/>
    <w:rsid w:val="00DE05DC"/>
  </w:style>
  <w:style w:type="paragraph" w:styleId="Nagwek">
    <w:name w:val="header"/>
    <w:basedOn w:val="Normalny"/>
    <w:link w:val="NagwekZnak"/>
    <w:uiPriority w:val="99"/>
    <w:unhideWhenUsed/>
    <w:rsid w:val="00DE05DC"/>
    <w:pPr>
      <w:tabs>
        <w:tab w:val="center" w:pos="4536"/>
        <w:tab w:val="right" w:pos="9072"/>
      </w:tabs>
    </w:pPr>
  </w:style>
  <w:style w:type="character" w:customStyle="1" w:styleId="NagwekZnak">
    <w:name w:val="Nagłówek Znak"/>
    <w:basedOn w:val="Domylnaczcionkaakapitu"/>
    <w:link w:val="Nagwek"/>
    <w:uiPriority w:val="99"/>
    <w:rsid w:val="00DE05DC"/>
  </w:style>
  <w:style w:type="paragraph" w:styleId="Mapadokumentu">
    <w:name w:val="Document Map"/>
    <w:basedOn w:val="Normalny"/>
    <w:link w:val="MapadokumentuZnak"/>
    <w:uiPriority w:val="99"/>
    <w:semiHidden/>
    <w:unhideWhenUsed/>
    <w:rsid w:val="00ED6F1C"/>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ED6F1C"/>
    <w:rPr>
      <w:rFonts w:ascii="Tahoma" w:hAnsi="Tahoma" w:cs="Tahoma"/>
      <w:sz w:val="16"/>
      <w:szCs w:val="16"/>
    </w:rPr>
  </w:style>
  <w:style w:type="character" w:customStyle="1" w:styleId="Nagwek1Znak">
    <w:name w:val="Nagłówek 1 Znak"/>
    <w:basedOn w:val="Domylnaczcionkaakapitu"/>
    <w:link w:val="Nagwek1"/>
    <w:uiPriority w:val="99"/>
    <w:rsid w:val="00561819"/>
    <w:rPr>
      <w:rFonts w:ascii="Verdana" w:eastAsia="Times New Roman" w:hAnsi="Verdana" w:cstheme="minorHAnsi"/>
      <w:b/>
      <w:color w:val="003399"/>
      <w:sz w:val="40"/>
      <w:szCs w:val="48"/>
      <w:lang w:val="pl-PL"/>
    </w:rPr>
  </w:style>
  <w:style w:type="paragraph" w:styleId="Nagwekspisutreci">
    <w:name w:val="TOC Heading"/>
    <w:basedOn w:val="Nagwek1"/>
    <w:next w:val="Normalny"/>
    <w:uiPriority w:val="39"/>
    <w:unhideWhenUsed/>
    <w:qFormat/>
    <w:rsid w:val="00DB0DD7"/>
    <w:pPr>
      <w:widowControl/>
      <w:spacing w:line="276" w:lineRule="auto"/>
      <w:outlineLvl w:val="9"/>
    </w:pPr>
  </w:style>
  <w:style w:type="paragraph" w:styleId="Spistreci2">
    <w:name w:val="toc 2"/>
    <w:basedOn w:val="Normalny"/>
    <w:next w:val="Normalny"/>
    <w:autoRedefine/>
    <w:uiPriority w:val="39"/>
    <w:unhideWhenUsed/>
    <w:qFormat/>
    <w:rsid w:val="00F7725B"/>
    <w:pPr>
      <w:tabs>
        <w:tab w:val="left" w:pos="1418"/>
        <w:tab w:val="right" w:leader="dot" w:pos="9070"/>
      </w:tabs>
      <w:spacing w:before="120" w:after="0"/>
      <w:ind w:left="1418" w:right="567" w:hanging="1276"/>
      <w:jc w:val="left"/>
    </w:pPr>
    <w:rPr>
      <w:rFonts w:cstheme="minorHAnsi"/>
      <w:noProof/>
      <w:sz w:val="20"/>
    </w:rPr>
  </w:style>
  <w:style w:type="paragraph" w:styleId="Spistreci1">
    <w:name w:val="toc 1"/>
    <w:basedOn w:val="Normalny"/>
    <w:next w:val="Normalny"/>
    <w:autoRedefine/>
    <w:uiPriority w:val="39"/>
    <w:unhideWhenUsed/>
    <w:qFormat/>
    <w:rsid w:val="000E2A3E"/>
    <w:pPr>
      <w:tabs>
        <w:tab w:val="right" w:leader="dot" w:pos="9060"/>
      </w:tabs>
      <w:spacing w:before="360" w:after="80"/>
      <w:jc w:val="left"/>
    </w:pPr>
    <w:rPr>
      <w:b/>
      <w:noProof/>
      <w:sz w:val="24"/>
    </w:rPr>
  </w:style>
  <w:style w:type="character" w:styleId="Hipercze">
    <w:name w:val="Hyperlink"/>
    <w:basedOn w:val="Domylnaczcionkaakapitu"/>
    <w:uiPriority w:val="99"/>
    <w:unhideWhenUsed/>
    <w:rsid w:val="00DB0DD7"/>
    <w:rPr>
      <w:color w:val="0000FF" w:themeColor="hyperlink"/>
      <w:u w:val="single"/>
    </w:rPr>
  </w:style>
  <w:style w:type="paragraph" w:styleId="Tekstdymka">
    <w:name w:val="Balloon Text"/>
    <w:basedOn w:val="Normalny"/>
    <w:link w:val="TekstdymkaZnak"/>
    <w:uiPriority w:val="99"/>
    <w:semiHidden/>
    <w:unhideWhenUsed/>
    <w:rsid w:val="00DB0DD7"/>
    <w:rPr>
      <w:rFonts w:ascii="Tahoma" w:hAnsi="Tahoma" w:cs="Tahoma"/>
      <w:sz w:val="16"/>
      <w:szCs w:val="16"/>
    </w:rPr>
  </w:style>
  <w:style w:type="character" w:customStyle="1" w:styleId="TekstdymkaZnak">
    <w:name w:val="Tekst dymka Znak"/>
    <w:basedOn w:val="Domylnaczcionkaakapitu"/>
    <w:link w:val="Tekstdymka"/>
    <w:uiPriority w:val="99"/>
    <w:semiHidden/>
    <w:rsid w:val="00DB0DD7"/>
    <w:rPr>
      <w:rFonts w:ascii="Tahoma" w:hAnsi="Tahoma" w:cs="Tahoma"/>
      <w:sz w:val="16"/>
      <w:szCs w:val="16"/>
    </w:rPr>
  </w:style>
  <w:style w:type="paragraph" w:styleId="Spistreci3">
    <w:name w:val="toc 3"/>
    <w:basedOn w:val="Normalny"/>
    <w:next w:val="Normalny"/>
    <w:autoRedefine/>
    <w:uiPriority w:val="39"/>
    <w:unhideWhenUsed/>
    <w:qFormat/>
    <w:rsid w:val="000663CD"/>
    <w:pPr>
      <w:tabs>
        <w:tab w:val="left" w:pos="1843"/>
        <w:tab w:val="right" w:leader="dot" w:pos="9060"/>
      </w:tabs>
      <w:spacing w:before="40" w:after="0"/>
      <w:ind w:left="1928" w:right="567" w:hanging="1361"/>
      <w:jc w:val="left"/>
    </w:pPr>
    <w:rPr>
      <w:rFonts w:cstheme="minorHAnsi"/>
      <w:noProof/>
      <w:sz w:val="18"/>
    </w:rPr>
  </w:style>
  <w:style w:type="character" w:customStyle="1" w:styleId="Nagwek3Znak">
    <w:name w:val="Nagłówek 3 Znak"/>
    <w:basedOn w:val="Domylnaczcionkaakapitu"/>
    <w:link w:val="Nagwek3"/>
    <w:uiPriority w:val="99"/>
    <w:rsid w:val="00602E93"/>
    <w:rPr>
      <w:rFonts w:eastAsia="Times New Roman" w:cstheme="minorHAnsi"/>
      <w:b/>
      <w:bCs/>
      <w:color w:val="FFFFFF" w:themeColor="background1"/>
      <w:sz w:val="28"/>
      <w:szCs w:val="26"/>
      <w:shd w:val="clear" w:color="auto" w:fill="0066CC"/>
      <w:lang w:val="pl-PL"/>
    </w:rPr>
  </w:style>
  <w:style w:type="character" w:customStyle="1" w:styleId="Nagwek2Znak">
    <w:name w:val="Nagłówek 2 Znak"/>
    <w:basedOn w:val="Domylnaczcionkaakapitu"/>
    <w:link w:val="Nagwek2"/>
    <w:uiPriority w:val="1"/>
    <w:rsid w:val="00020EA3"/>
    <w:rPr>
      <w:rFonts w:eastAsia="Times New Roman" w:cstheme="minorHAnsi"/>
      <w:b/>
      <w:bCs/>
      <w:color w:val="0066CC"/>
      <w:sz w:val="40"/>
      <w:szCs w:val="26"/>
      <w:lang w:val="pl-PL"/>
    </w:rPr>
  </w:style>
  <w:style w:type="paragraph" w:styleId="Spistreci4">
    <w:name w:val="toc 4"/>
    <w:basedOn w:val="Normalny"/>
    <w:next w:val="Normalny"/>
    <w:autoRedefine/>
    <w:uiPriority w:val="39"/>
    <w:unhideWhenUsed/>
    <w:rsid w:val="000663CD"/>
    <w:pPr>
      <w:widowControl/>
      <w:tabs>
        <w:tab w:val="right" w:leader="dot" w:pos="9060"/>
      </w:tabs>
      <w:spacing w:before="40" w:after="0"/>
      <w:ind w:left="2211" w:right="567" w:hanging="1644"/>
      <w:jc w:val="left"/>
    </w:pPr>
    <w:rPr>
      <w:rFonts w:asciiTheme="minorHAnsi" w:eastAsiaTheme="minorEastAsia" w:hAnsiTheme="minorHAnsi"/>
      <w:noProof/>
      <w:sz w:val="18"/>
      <w:lang w:eastAsia="pl-PL"/>
    </w:rPr>
  </w:style>
  <w:style w:type="paragraph" w:styleId="Spistreci5">
    <w:name w:val="toc 5"/>
    <w:basedOn w:val="Normalny"/>
    <w:next w:val="Normalny"/>
    <w:autoRedefine/>
    <w:uiPriority w:val="39"/>
    <w:unhideWhenUsed/>
    <w:rsid w:val="00762863"/>
    <w:pPr>
      <w:widowControl/>
      <w:tabs>
        <w:tab w:val="left" w:pos="2835"/>
        <w:tab w:val="right" w:leader="dot" w:pos="9060"/>
      </w:tabs>
      <w:spacing w:after="0"/>
      <w:ind w:left="2835" w:right="567" w:hanging="1843"/>
      <w:jc w:val="left"/>
    </w:pPr>
    <w:rPr>
      <w:rFonts w:asciiTheme="minorHAnsi" w:eastAsiaTheme="minorEastAsia" w:hAnsiTheme="minorHAnsi"/>
      <w:noProof/>
      <w:sz w:val="16"/>
      <w:lang w:eastAsia="pl-PL"/>
    </w:rPr>
  </w:style>
  <w:style w:type="paragraph" w:styleId="Spistreci6">
    <w:name w:val="toc 6"/>
    <w:basedOn w:val="Normalny"/>
    <w:next w:val="Normalny"/>
    <w:autoRedefine/>
    <w:uiPriority w:val="39"/>
    <w:unhideWhenUsed/>
    <w:rsid w:val="00F7725B"/>
    <w:pPr>
      <w:widowControl/>
      <w:tabs>
        <w:tab w:val="left" w:pos="1276"/>
        <w:tab w:val="right" w:leader="dot" w:pos="9060"/>
      </w:tabs>
      <w:spacing w:after="0"/>
      <w:ind w:left="2835" w:right="425" w:hanging="1559"/>
      <w:jc w:val="left"/>
    </w:pPr>
    <w:rPr>
      <w:rFonts w:asciiTheme="minorHAnsi" w:eastAsiaTheme="minorEastAsia" w:hAnsiTheme="minorHAnsi"/>
      <w:noProof/>
      <w:sz w:val="16"/>
      <w:lang w:eastAsia="pl-PL"/>
    </w:rPr>
  </w:style>
  <w:style w:type="paragraph" w:styleId="Spistreci7">
    <w:name w:val="toc 7"/>
    <w:basedOn w:val="Normalny"/>
    <w:next w:val="Normalny"/>
    <w:autoRedefine/>
    <w:uiPriority w:val="39"/>
    <w:unhideWhenUsed/>
    <w:rsid w:val="00E87EA6"/>
    <w:pPr>
      <w:widowControl/>
      <w:tabs>
        <w:tab w:val="right" w:leader="dot" w:pos="9060"/>
      </w:tabs>
      <w:spacing w:after="100" w:line="276" w:lineRule="auto"/>
      <w:ind w:left="1418"/>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805A2C"/>
    <w:pPr>
      <w:widowControl/>
      <w:spacing w:after="100" w:line="276" w:lineRule="auto"/>
      <w:ind w:left="1540"/>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805A2C"/>
    <w:pPr>
      <w:widowControl/>
      <w:spacing w:after="100" w:line="276" w:lineRule="auto"/>
      <w:ind w:left="1760"/>
    </w:pPr>
    <w:rPr>
      <w:rFonts w:asciiTheme="minorHAnsi" w:eastAsiaTheme="minorEastAsia" w:hAnsiTheme="minorHAnsi"/>
      <w:lang w:eastAsia="pl-PL"/>
    </w:rPr>
  </w:style>
  <w:style w:type="table" w:styleId="Tabela-Siatka">
    <w:name w:val="Table Grid"/>
    <w:basedOn w:val="Standardowy"/>
    <w:uiPriority w:val="59"/>
    <w:rsid w:val="002F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C41925"/>
    <w:rPr>
      <w:sz w:val="16"/>
      <w:szCs w:val="16"/>
    </w:rPr>
  </w:style>
  <w:style w:type="paragraph" w:styleId="Tekstkomentarza">
    <w:name w:val="annotation text"/>
    <w:basedOn w:val="Normalny"/>
    <w:link w:val="TekstkomentarzaZnak"/>
    <w:uiPriority w:val="99"/>
    <w:unhideWhenUsed/>
    <w:rsid w:val="00C41925"/>
    <w:rPr>
      <w:szCs w:val="20"/>
    </w:rPr>
  </w:style>
  <w:style w:type="character" w:customStyle="1" w:styleId="TekstkomentarzaZnak">
    <w:name w:val="Tekst komentarza Znak"/>
    <w:basedOn w:val="Domylnaczcionkaakapitu"/>
    <w:link w:val="Tekstkomentarza"/>
    <w:uiPriority w:val="99"/>
    <w:rsid w:val="00C41925"/>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C41925"/>
    <w:rPr>
      <w:b/>
      <w:bCs/>
    </w:rPr>
  </w:style>
  <w:style w:type="character" w:customStyle="1" w:styleId="TematkomentarzaZnak">
    <w:name w:val="Temat komentarza Znak"/>
    <w:basedOn w:val="TekstkomentarzaZnak"/>
    <w:link w:val="Tematkomentarza"/>
    <w:uiPriority w:val="99"/>
    <w:semiHidden/>
    <w:rsid w:val="00C41925"/>
    <w:rPr>
      <w:rFonts w:ascii="Times New Roman" w:hAnsi="Times New Roman"/>
      <w:b/>
      <w:bCs/>
      <w:sz w:val="20"/>
      <w:szCs w:val="20"/>
    </w:rPr>
  </w:style>
  <w:style w:type="paragraph" w:styleId="Poprawka">
    <w:name w:val="Revision"/>
    <w:hidden/>
    <w:uiPriority w:val="99"/>
    <w:semiHidden/>
    <w:rsid w:val="00C41925"/>
    <w:pPr>
      <w:widowControl/>
    </w:pPr>
    <w:rPr>
      <w:rFonts w:ascii="Times New Roman" w:hAnsi="Times New Roman"/>
      <w:sz w:val="20"/>
    </w:rPr>
  </w:style>
  <w:style w:type="character" w:customStyle="1" w:styleId="Nagwek4Znak">
    <w:name w:val="Nagłówek 4 Znak"/>
    <w:basedOn w:val="Domylnaczcionkaakapitu"/>
    <w:link w:val="Nagwek4"/>
    <w:rsid w:val="001E27FA"/>
    <w:rPr>
      <w:rFonts w:eastAsia="Times New Roman" w:cstheme="minorHAnsi"/>
      <w:b/>
      <w:bCs/>
      <w:color w:val="FFFFFF" w:themeColor="background1"/>
      <w:sz w:val="28"/>
      <w:szCs w:val="26"/>
      <w:shd w:val="clear" w:color="auto" w:fill="000066"/>
      <w:lang w:val="pl-PL"/>
    </w:rPr>
  </w:style>
  <w:style w:type="character" w:customStyle="1" w:styleId="Nagwek5Znak">
    <w:name w:val="Nagłówek 5 Znak"/>
    <w:basedOn w:val="Domylnaczcionkaakapitu"/>
    <w:link w:val="Nagwek5"/>
    <w:rsid w:val="008E0CFB"/>
    <w:rPr>
      <w:rFonts w:eastAsia="Times New Roman" w:cstheme="minorHAnsi"/>
      <w:b/>
      <w:bCs/>
      <w:color w:val="FFFFFF" w:themeColor="background1"/>
      <w:sz w:val="24"/>
      <w:szCs w:val="26"/>
      <w:shd w:val="clear" w:color="auto" w:fill="FF9933"/>
      <w:lang w:val="pl-PL"/>
    </w:rPr>
  </w:style>
  <w:style w:type="character" w:customStyle="1" w:styleId="Nagwek6Znak">
    <w:name w:val="Nagłówek 6 Znak"/>
    <w:basedOn w:val="Domylnaczcionkaakapitu"/>
    <w:link w:val="Nagwek6"/>
    <w:uiPriority w:val="9"/>
    <w:rsid w:val="00133B99"/>
    <w:rPr>
      <w:rFonts w:eastAsiaTheme="majorEastAsia" w:cstheme="minorHAnsi"/>
      <w:b/>
      <w:bCs/>
      <w:color w:val="FFFFFF" w:themeColor="background1"/>
      <w:sz w:val="24"/>
      <w:szCs w:val="26"/>
      <w:shd w:val="clear" w:color="auto" w:fill="339933"/>
      <w:lang w:val="pl-PL"/>
    </w:rPr>
  </w:style>
  <w:style w:type="paragraph" w:styleId="Tekstprzypisudolnego">
    <w:name w:val="footnote text"/>
    <w:basedOn w:val="Normalny"/>
    <w:link w:val="TekstprzypisudolnegoZnak"/>
    <w:uiPriority w:val="99"/>
    <w:unhideWhenUsed/>
    <w:rsid w:val="00A35578"/>
    <w:pPr>
      <w:spacing w:after="0"/>
    </w:pPr>
    <w:rPr>
      <w:sz w:val="20"/>
      <w:szCs w:val="20"/>
    </w:rPr>
  </w:style>
  <w:style w:type="character" w:customStyle="1" w:styleId="TekstprzypisudolnegoZnak">
    <w:name w:val="Tekst przypisu dolnego Znak"/>
    <w:basedOn w:val="Domylnaczcionkaakapitu"/>
    <w:link w:val="Tekstprzypisudolnego"/>
    <w:uiPriority w:val="99"/>
    <w:rsid w:val="00A35578"/>
    <w:rPr>
      <w:rFonts w:ascii="Calibri" w:hAnsi="Calibri"/>
      <w:sz w:val="20"/>
      <w:szCs w:val="20"/>
    </w:rPr>
  </w:style>
  <w:style w:type="character" w:styleId="Odwoanieprzypisudolnego">
    <w:name w:val="footnote reference"/>
    <w:basedOn w:val="Domylnaczcionkaakapitu"/>
    <w:uiPriority w:val="99"/>
    <w:rsid w:val="00A35578"/>
    <w:rPr>
      <w:vertAlign w:val="superscript"/>
    </w:rPr>
  </w:style>
  <w:style w:type="numbering" w:customStyle="1" w:styleId="Bezlisty1">
    <w:name w:val="Bez listy1"/>
    <w:next w:val="Bezlisty"/>
    <w:uiPriority w:val="99"/>
    <w:semiHidden/>
    <w:unhideWhenUsed/>
    <w:rsid w:val="00092CBF"/>
  </w:style>
  <w:style w:type="character" w:customStyle="1" w:styleId="hps">
    <w:name w:val="hps"/>
    <w:basedOn w:val="Domylnaczcionkaakapitu"/>
    <w:rsid w:val="00092CBF"/>
  </w:style>
  <w:style w:type="character" w:customStyle="1" w:styleId="atn">
    <w:name w:val="atn"/>
    <w:basedOn w:val="Domylnaczcionkaakapitu"/>
    <w:uiPriority w:val="99"/>
    <w:rsid w:val="00092CBF"/>
  </w:style>
  <w:style w:type="character" w:customStyle="1" w:styleId="FontStyle91">
    <w:name w:val="Font Style91"/>
    <w:basedOn w:val="Domylnaczcionkaakapitu"/>
    <w:uiPriority w:val="99"/>
    <w:rsid w:val="00092CBF"/>
    <w:rPr>
      <w:rFonts w:ascii="Verdana" w:hAnsi="Verdana" w:cs="Verdana"/>
      <w:b/>
      <w:bCs/>
      <w:color w:val="000000"/>
      <w:sz w:val="18"/>
      <w:szCs w:val="18"/>
    </w:rPr>
  </w:style>
  <w:style w:type="paragraph" w:customStyle="1" w:styleId="Style54">
    <w:name w:val="Style54"/>
    <w:basedOn w:val="Normalny"/>
    <w:uiPriority w:val="99"/>
    <w:rsid w:val="00092CBF"/>
    <w:pPr>
      <w:autoSpaceDE w:val="0"/>
      <w:autoSpaceDN w:val="0"/>
      <w:adjustRightInd w:val="0"/>
      <w:spacing w:before="120" w:after="0" w:line="242" w:lineRule="exact"/>
    </w:pPr>
    <w:rPr>
      <w:rFonts w:ascii="Verdana" w:eastAsia="Times New Roman" w:hAnsi="Verdana" w:cs="Verdana"/>
      <w:sz w:val="24"/>
      <w:szCs w:val="24"/>
      <w:lang w:eastAsia="pl-PL"/>
    </w:rPr>
  </w:style>
  <w:style w:type="character" w:customStyle="1" w:styleId="FontStyle92">
    <w:name w:val="Font Style92"/>
    <w:basedOn w:val="Domylnaczcionkaakapitu"/>
    <w:uiPriority w:val="99"/>
    <w:rsid w:val="00092CBF"/>
    <w:rPr>
      <w:rFonts w:ascii="Verdana" w:hAnsi="Verdana" w:cs="Verdana"/>
      <w:color w:val="000000"/>
      <w:sz w:val="18"/>
      <w:szCs w:val="18"/>
    </w:rPr>
  </w:style>
  <w:style w:type="character" w:customStyle="1" w:styleId="TekstpodstawowyZnak">
    <w:name w:val="Tekst podstawowy Znak"/>
    <w:basedOn w:val="Domylnaczcionkaakapitu"/>
    <w:link w:val="Tekstpodstawowy"/>
    <w:uiPriority w:val="1"/>
    <w:locked/>
    <w:rsid w:val="00092CBF"/>
    <w:rPr>
      <w:rFonts w:ascii="Calibri" w:eastAsia="Times New Roman" w:hAnsi="Calibri"/>
      <w:sz w:val="17"/>
      <w:szCs w:val="17"/>
    </w:rPr>
  </w:style>
  <w:style w:type="paragraph" w:customStyle="1" w:styleId="Style56">
    <w:name w:val="Style56"/>
    <w:basedOn w:val="Normalny"/>
    <w:uiPriority w:val="99"/>
    <w:rsid w:val="00092CBF"/>
    <w:pPr>
      <w:autoSpaceDE w:val="0"/>
      <w:autoSpaceDN w:val="0"/>
      <w:adjustRightInd w:val="0"/>
      <w:spacing w:before="120" w:after="0" w:line="240" w:lineRule="exact"/>
      <w:ind w:hanging="547"/>
    </w:pPr>
    <w:rPr>
      <w:rFonts w:ascii="Verdana" w:eastAsia="Times New Roman" w:hAnsi="Verdana" w:cs="Verdana"/>
      <w:sz w:val="24"/>
      <w:szCs w:val="24"/>
      <w:lang w:eastAsia="pl-PL"/>
    </w:rPr>
  </w:style>
  <w:style w:type="paragraph" w:customStyle="1" w:styleId="Default">
    <w:name w:val="Default"/>
    <w:uiPriority w:val="99"/>
    <w:rsid w:val="00092CBF"/>
    <w:pPr>
      <w:widowControl/>
      <w:autoSpaceDE w:val="0"/>
      <w:autoSpaceDN w:val="0"/>
      <w:adjustRightInd w:val="0"/>
    </w:pPr>
    <w:rPr>
      <w:rFonts w:ascii="Verdana" w:eastAsia="Calibri" w:hAnsi="Verdana" w:cs="Verdana"/>
      <w:color w:val="000000"/>
      <w:sz w:val="24"/>
      <w:szCs w:val="24"/>
      <w:lang w:val="pl-PL"/>
    </w:rPr>
  </w:style>
  <w:style w:type="table" w:customStyle="1" w:styleId="Tabela-Siatka1">
    <w:name w:val="Tabela - Siatka1"/>
    <w:basedOn w:val="Standardowy"/>
    <w:next w:val="Tabela-Siatka"/>
    <w:uiPriority w:val="59"/>
    <w:rsid w:val="00092CBF"/>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basedOn w:val="Domylnaczcionkaakapitu"/>
    <w:uiPriority w:val="99"/>
    <w:rsid w:val="00092CBF"/>
  </w:style>
  <w:style w:type="paragraph" w:customStyle="1" w:styleId="Style7">
    <w:name w:val="Style7"/>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paragraph" w:customStyle="1" w:styleId="Style8">
    <w:name w:val="Style8"/>
    <w:basedOn w:val="Normalny"/>
    <w:uiPriority w:val="99"/>
    <w:rsid w:val="00092CBF"/>
    <w:pPr>
      <w:autoSpaceDE w:val="0"/>
      <w:autoSpaceDN w:val="0"/>
      <w:adjustRightInd w:val="0"/>
      <w:spacing w:before="120" w:after="0" w:line="235" w:lineRule="exact"/>
      <w:ind w:firstLine="91"/>
    </w:pPr>
    <w:rPr>
      <w:rFonts w:ascii="Verdana" w:eastAsia="Times New Roman" w:hAnsi="Verdana" w:cs="Verdana"/>
      <w:sz w:val="24"/>
      <w:szCs w:val="24"/>
      <w:lang w:eastAsia="pl-PL"/>
    </w:rPr>
  </w:style>
  <w:style w:type="character" w:customStyle="1" w:styleId="FontStyle68">
    <w:name w:val="Font Style68"/>
    <w:basedOn w:val="Domylnaczcionkaakapitu"/>
    <w:uiPriority w:val="99"/>
    <w:rsid w:val="00092CBF"/>
    <w:rPr>
      <w:rFonts w:ascii="Verdana" w:hAnsi="Verdana" w:cs="Verdana"/>
      <w:b/>
      <w:bCs/>
      <w:color w:val="000000"/>
      <w:sz w:val="40"/>
      <w:szCs w:val="40"/>
    </w:rPr>
  </w:style>
  <w:style w:type="paragraph" w:customStyle="1" w:styleId="Style1">
    <w:name w:val="Style1"/>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character" w:customStyle="1" w:styleId="FontStyle93">
    <w:name w:val="Font Style93"/>
    <w:basedOn w:val="Domylnaczcionkaakapitu"/>
    <w:uiPriority w:val="99"/>
    <w:rsid w:val="00092CBF"/>
    <w:rPr>
      <w:rFonts w:ascii="Verdana" w:hAnsi="Verdana" w:cs="Verdana"/>
      <w:i/>
      <w:iCs/>
      <w:color w:val="000000"/>
      <w:sz w:val="16"/>
      <w:szCs w:val="16"/>
    </w:rPr>
  </w:style>
  <w:style w:type="paragraph" w:customStyle="1" w:styleId="CM1">
    <w:name w:val="CM1"/>
    <w:basedOn w:val="Default"/>
    <w:next w:val="Default"/>
    <w:uiPriority w:val="99"/>
    <w:rsid w:val="00092CBF"/>
    <w:rPr>
      <w:rFonts w:ascii="EUAlbertina" w:hAnsi="EUAlbertina" w:cs="EUAlbertina"/>
      <w:color w:val="auto"/>
    </w:rPr>
  </w:style>
  <w:style w:type="paragraph" w:customStyle="1" w:styleId="CM3">
    <w:name w:val="CM3"/>
    <w:basedOn w:val="Default"/>
    <w:next w:val="Default"/>
    <w:uiPriority w:val="99"/>
    <w:rsid w:val="00092CBF"/>
    <w:rPr>
      <w:rFonts w:ascii="EUAlbertina" w:hAnsi="EUAlbertina" w:cs="EUAlbertina"/>
      <w:color w:val="auto"/>
    </w:rPr>
  </w:style>
  <w:style w:type="paragraph" w:customStyle="1" w:styleId="CM4">
    <w:name w:val="CM4"/>
    <w:basedOn w:val="Default"/>
    <w:next w:val="Default"/>
    <w:uiPriority w:val="99"/>
    <w:rsid w:val="00092CBF"/>
    <w:rPr>
      <w:rFonts w:ascii="EUAlbertina" w:hAnsi="EUAlbertina" w:cs="EUAlbertina"/>
      <w:color w:val="auto"/>
    </w:rPr>
  </w:style>
  <w:style w:type="paragraph" w:styleId="Bezodstpw">
    <w:name w:val="No Spacing"/>
    <w:uiPriority w:val="1"/>
    <w:qFormat/>
    <w:rsid w:val="00092CBF"/>
    <w:pPr>
      <w:widowControl/>
      <w:spacing w:after="60"/>
      <w:jc w:val="center"/>
    </w:pPr>
    <w:rPr>
      <w:rFonts w:eastAsia="Calibri" w:cs="Calibri"/>
      <w:i/>
      <w:sz w:val="16"/>
      <w:lang w:val="pl-PL"/>
    </w:rPr>
  </w:style>
  <w:style w:type="paragraph" w:styleId="Tytu">
    <w:name w:val="Title"/>
    <w:basedOn w:val="Normalny"/>
    <w:next w:val="Normalny"/>
    <w:link w:val="TytuZnak"/>
    <w:uiPriority w:val="99"/>
    <w:qFormat/>
    <w:rsid w:val="00092CBF"/>
    <w:pPr>
      <w:widowControl/>
      <w:pBdr>
        <w:bottom w:val="single" w:sz="8" w:space="4" w:color="4F81BD"/>
      </w:pBdr>
      <w:spacing w:before="120" w:after="300"/>
    </w:pPr>
    <w:rPr>
      <w:rFonts w:ascii="Cambria" w:eastAsia="Times New Roman" w:hAnsi="Cambria" w:cs="Cambria"/>
      <w:color w:val="17365D"/>
      <w:spacing w:val="5"/>
      <w:kern w:val="28"/>
      <w:sz w:val="52"/>
      <w:szCs w:val="52"/>
    </w:rPr>
  </w:style>
  <w:style w:type="character" w:customStyle="1" w:styleId="TytuZnak">
    <w:name w:val="Tytuł Znak"/>
    <w:basedOn w:val="Domylnaczcionkaakapitu"/>
    <w:link w:val="Tytu"/>
    <w:uiPriority w:val="99"/>
    <w:rsid w:val="00092CBF"/>
    <w:rPr>
      <w:rFonts w:ascii="Cambria" w:eastAsia="Times New Roman" w:hAnsi="Cambria" w:cs="Cambria"/>
      <w:color w:val="17365D"/>
      <w:spacing w:val="5"/>
      <w:kern w:val="28"/>
      <w:sz w:val="52"/>
      <w:szCs w:val="52"/>
      <w:lang w:val="pl-PL"/>
    </w:rPr>
  </w:style>
  <w:style w:type="character" w:customStyle="1" w:styleId="alt-edited1">
    <w:name w:val="alt-edited1"/>
    <w:basedOn w:val="Domylnaczcionkaakapitu"/>
    <w:uiPriority w:val="99"/>
    <w:rsid w:val="00092CBF"/>
    <w:rPr>
      <w:color w:val="auto"/>
    </w:rPr>
  </w:style>
  <w:style w:type="character" w:customStyle="1" w:styleId="shorttext">
    <w:name w:val="short_text"/>
    <w:basedOn w:val="Domylnaczcionkaakapitu"/>
    <w:rsid w:val="00092CBF"/>
  </w:style>
  <w:style w:type="character" w:customStyle="1" w:styleId="jfk-butterbar1">
    <w:name w:val="jfk-butterbar1"/>
    <w:basedOn w:val="Domylnaczcionkaakapitu"/>
    <w:uiPriority w:val="99"/>
    <w:rsid w:val="00092CBF"/>
    <w:rPr>
      <w:sz w:val="14"/>
      <w:szCs w:val="14"/>
      <w:bdr w:val="single" w:sz="2" w:space="0" w:color="auto" w:frame="1"/>
    </w:rPr>
  </w:style>
  <w:style w:type="character" w:customStyle="1" w:styleId="gt-ft-text1">
    <w:name w:val="gt-ft-text1"/>
    <w:basedOn w:val="Domylnaczcionkaakapitu"/>
    <w:uiPriority w:val="99"/>
    <w:rsid w:val="00092CBF"/>
  </w:style>
  <w:style w:type="paragraph" w:styleId="Tekstprzypisukocowego">
    <w:name w:val="endnote text"/>
    <w:basedOn w:val="Normalny"/>
    <w:link w:val="TekstprzypisukocowegoZnak"/>
    <w:uiPriority w:val="99"/>
    <w:semiHidden/>
    <w:rsid w:val="00092CBF"/>
    <w:pPr>
      <w:widowControl/>
      <w:spacing w:before="120" w:after="0"/>
    </w:pPr>
    <w:rPr>
      <w:rFonts w:ascii="Verdana" w:eastAsia="Calibri" w:hAnsi="Verdana" w:cs="Verdana"/>
      <w:sz w:val="20"/>
      <w:szCs w:val="20"/>
    </w:rPr>
  </w:style>
  <w:style w:type="character" w:customStyle="1" w:styleId="TekstprzypisukocowegoZnak">
    <w:name w:val="Tekst przypisu końcowego Znak"/>
    <w:basedOn w:val="Domylnaczcionkaakapitu"/>
    <w:link w:val="Tekstprzypisukocowego"/>
    <w:uiPriority w:val="99"/>
    <w:semiHidden/>
    <w:rsid w:val="00092CBF"/>
    <w:rPr>
      <w:rFonts w:ascii="Verdana" w:eastAsia="Calibri" w:hAnsi="Verdana" w:cs="Verdana"/>
      <w:sz w:val="20"/>
      <w:szCs w:val="20"/>
      <w:lang w:val="pl-PL"/>
    </w:rPr>
  </w:style>
  <w:style w:type="character" w:styleId="Odwoanieprzypisukocowego">
    <w:name w:val="endnote reference"/>
    <w:basedOn w:val="Domylnaczcionkaakapitu"/>
    <w:uiPriority w:val="99"/>
    <w:semiHidden/>
    <w:rsid w:val="00092CBF"/>
    <w:rPr>
      <w:vertAlign w:val="superscript"/>
    </w:rPr>
  </w:style>
  <w:style w:type="paragraph" w:styleId="NormalnyWeb">
    <w:name w:val="Normal (Web)"/>
    <w:basedOn w:val="Normalny"/>
    <w:uiPriority w:val="99"/>
    <w:unhideWhenUsed/>
    <w:rsid w:val="00092CBF"/>
    <w:pPr>
      <w:widowControl/>
      <w:spacing w:before="100" w:beforeAutospacing="1" w:after="100" w:afterAutospacing="1"/>
      <w:jc w:val="left"/>
    </w:pPr>
    <w:rPr>
      <w:rFonts w:ascii="Times New Roman" w:eastAsiaTheme="minorEastAsia" w:hAnsi="Times New Roman" w:cs="Times New Roman"/>
      <w:sz w:val="24"/>
      <w:szCs w:val="24"/>
      <w:lang w:eastAsia="pl-PL"/>
    </w:rPr>
  </w:style>
  <w:style w:type="numbering" w:customStyle="1" w:styleId="Bezlisty2">
    <w:name w:val="Bez listy2"/>
    <w:next w:val="Bezlisty"/>
    <w:uiPriority w:val="99"/>
    <w:semiHidden/>
    <w:unhideWhenUsed/>
    <w:rsid w:val="00B0686B"/>
  </w:style>
  <w:style w:type="table" w:customStyle="1" w:styleId="Tabela-Siatka2">
    <w:name w:val="Tabela - Siatka2"/>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D0DC1"/>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7Znak">
    <w:name w:val="Nagłówek 7 Znak"/>
    <w:basedOn w:val="Domylnaczcionkaakapitu"/>
    <w:link w:val="Nagwek7"/>
    <w:uiPriority w:val="9"/>
    <w:rsid w:val="00594B82"/>
    <w:rPr>
      <w:rFonts w:eastAsia="Calibri" w:cstheme="minorHAnsi"/>
      <w:lang w:val="pl-PL"/>
    </w:rPr>
  </w:style>
  <w:style w:type="character" w:customStyle="1" w:styleId="Nagwek9Znak">
    <w:name w:val="Nagłówek 9 Znak"/>
    <w:basedOn w:val="Domylnaczcionkaakapitu"/>
    <w:link w:val="Nagwek9"/>
    <w:rsid w:val="00C36D76"/>
    <w:rPr>
      <w:rFonts w:ascii="Cambria" w:hAnsi="Cambria"/>
      <w:lang w:val="pl-PL"/>
    </w:rPr>
  </w:style>
  <w:style w:type="paragraph" w:customStyle="1" w:styleId="Kita2">
    <w:name w:val="_Kita 2"/>
    <w:basedOn w:val="Nagwek1"/>
    <w:next w:val="Normalny"/>
    <w:rsid w:val="00C36D76"/>
    <w:pPr>
      <w:keepLines w:val="0"/>
      <w:widowControl/>
      <w:overflowPunct w:val="0"/>
      <w:spacing w:before="0" w:line="276" w:lineRule="auto"/>
    </w:pPr>
    <w:rPr>
      <w:rFonts w:eastAsia="Arial Unicode MS" w:cs="Tahoma"/>
      <w:bCs/>
      <w:color w:val="auto"/>
      <w:szCs w:val="22"/>
    </w:rPr>
  </w:style>
  <w:style w:type="paragraph" w:customStyle="1" w:styleId="Kita1">
    <w:name w:val="_Kita 1"/>
    <w:basedOn w:val="Nagwek1"/>
    <w:rsid w:val="00C36D76"/>
    <w:pPr>
      <w:keepLines w:val="0"/>
      <w:widowControl/>
      <w:overflowPunct w:val="0"/>
      <w:spacing w:before="0" w:line="276" w:lineRule="auto"/>
    </w:pPr>
    <w:rPr>
      <w:rFonts w:eastAsia="Arial Unicode MS" w:cs="Tahoma"/>
      <w:bCs/>
      <w:color w:val="auto"/>
      <w:szCs w:val="22"/>
    </w:rPr>
  </w:style>
  <w:style w:type="paragraph" w:customStyle="1" w:styleId="Nagwek2rk">
    <w:name w:val="Nagłówek 2_rk"/>
    <w:basedOn w:val="Nagwek2"/>
    <w:next w:val="Nagwek3"/>
    <w:link w:val="Nagwek2rkZnak"/>
    <w:qFormat/>
    <w:rsid w:val="00C36D76"/>
    <w:pPr>
      <w:widowControl/>
    </w:pPr>
    <w:rPr>
      <w:rFonts w:eastAsiaTheme="majorEastAsia" w:cstheme="majorBidi"/>
      <w:b w:val="0"/>
      <w:i/>
      <w:sz w:val="44"/>
    </w:rPr>
  </w:style>
  <w:style w:type="character" w:customStyle="1" w:styleId="Nagwek2rkZnak">
    <w:name w:val="Nagłówek 2_rk Znak"/>
    <w:basedOn w:val="Nagwek1Znak"/>
    <w:link w:val="Nagwek2rk"/>
    <w:rsid w:val="00C36D76"/>
    <w:rPr>
      <w:rFonts w:ascii="Verdana" w:eastAsiaTheme="majorEastAsia" w:hAnsi="Verdana" w:cstheme="majorBidi"/>
      <w:b w:val="0"/>
      <w:color w:val="000066"/>
      <w:sz w:val="44"/>
      <w:szCs w:val="20"/>
      <w:lang w:val="pl-PL"/>
    </w:rPr>
  </w:style>
  <w:style w:type="paragraph" w:customStyle="1" w:styleId="Point0">
    <w:name w:val="Point 0"/>
    <w:basedOn w:val="Normalny"/>
    <w:rsid w:val="00C36D76"/>
    <w:pPr>
      <w:widowControl/>
      <w:ind w:left="850" w:hanging="850"/>
    </w:pPr>
    <w:rPr>
      <w:rFonts w:ascii="Times New Roman" w:eastAsia="Times New Roman" w:hAnsi="Times New Roman" w:cs="Times New Roman"/>
      <w:sz w:val="24"/>
      <w:szCs w:val="24"/>
    </w:rPr>
  </w:style>
  <w:style w:type="character" w:styleId="UyteHipercze">
    <w:name w:val="FollowedHyperlink"/>
    <w:basedOn w:val="Domylnaczcionkaakapitu"/>
    <w:uiPriority w:val="99"/>
    <w:semiHidden/>
    <w:unhideWhenUsed/>
    <w:rsid w:val="00C36D76"/>
    <w:rPr>
      <w:color w:val="800080" w:themeColor="followedHyperlink"/>
      <w:u w:val="single"/>
    </w:rPr>
  </w:style>
  <w:style w:type="paragraph" w:styleId="Podtytu">
    <w:name w:val="Subtitle"/>
    <w:basedOn w:val="Normalny"/>
    <w:next w:val="Normalny"/>
    <w:link w:val="PodtytuZnak"/>
    <w:autoRedefine/>
    <w:qFormat/>
    <w:rsid w:val="00C36D76"/>
    <w:pPr>
      <w:widowControl/>
      <w:spacing w:line="276" w:lineRule="auto"/>
      <w:ind w:left="11"/>
      <w:jc w:val="left"/>
    </w:pPr>
    <w:rPr>
      <w:rFonts w:asciiTheme="minorHAnsi" w:hAnsiTheme="minorHAnsi"/>
      <w:b/>
      <w:bCs/>
      <w:i/>
    </w:rPr>
  </w:style>
  <w:style w:type="character" w:customStyle="1" w:styleId="PodtytuZnak">
    <w:name w:val="Podtytuł Znak"/>
    <w:basedOn w:val="Domylnaczcionkaakapitu"/>
    <w:link w:val="Podtytu"/>
    <w:rsid w:val="00C36D76"/>
    <w:rPr>
      <w:b/>
      <w:bCs/>
      <w:i/>
      <w:lang w:val="pl-PL"/>
    </w:rPr>
  </w:style>
  <w:style w:type="character" w:styleId="Pogrubienie">
    <w:name w:val="Strong"/>
    <w:basedOn w:val="Domylnaczcionkaakapitu"/>
    <w:qFormat/>
    <w:rsid w:val="00C36D76"/>
    <w:rPr>
      <w:rFonts w:ascii="Times New Roman" w:hAnsi="Times New Roman"/>
      <w:bCs/>
      <w:sz w:val="20"/>
    </w:rPr>
  </w:style>
  <w:style w:type="table" w:customStyle="1" w:styleId="Tabela-Siatka21">
    <w:name w:val="Tabela - Siatka21"/>
    <w:basedOn w:val="Standardowy"/>
    <w:next w:val="Tabela-Siatka"/>
    <w:uiPriority w:val="59"/>
    <w:rsid w:val="00C838DA"/>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9">
    <w:name w:val="Font Style219"/>
    <w:basedOn w:val="Domylnaczcionkaakapitu"/>
    <w:uiPriority w:val="99"/>
    <w:rsid w:val="00C10C20"/>
    <w:rPr>
      <w:rFonts w:ascii="Times New Roman" w:hAnsi="Times New Roman" w:cs="Times New Roman"/>
      <w:i/>
      <w:iCs/>
      <w:sz w:val="20"/>
      <w:szCs w:val="20"/>
    </w:rPr>
  </w:style>
  <w:style w:type="character" w:customStyle="1" w:styleId="FontStyle221">
    <w:name w:val="Font Style221"/>
    <w:basedOn w:val="Domylnaczcionkaakapitu"/>
    <w:uiPriority w:val="99"/>
    <w:rsid w:val="00C10C20"/>
    <w:rPr>
      <w:rFonts w:ascii="Times New Roman" w:hAnsi="Times New Roman" w:cs="Times New Roman"/>
      <w:sz w:val="20"/>
      <w:szCs w:val="20"/>
    </w:rPr>
  </w:style>
  <w:style w:type="character" w:customStyle="1" w:styleId="FontStyle200">
    <w:name w:val="Font Style200"/>
    <w:basedOn w:val="Domylnaczcionkaakapitu"/>
    <w:uiPriority w:val="99"/>
    <w:rsid w:val="00C10C20"/>
    <w:rPr>
      <w:rFonts w:ascii="Times New Roman" w:hAnsi="Times New Roman" w:cs="Times New Roman"/>
      <w:b/>
      <w:bCs/>
      <w:i/>
      <w:iCs/>
      <w:sz w:val="20"/>
      <w:szCs w:val="20"/>
    </w:rPr>
  </w:style>
  <w:style w:type="paragraph" w:customStyle="1" w:styleId="Bezodstpw1">
    <w:name w:val="Bez odstępów1"/>
    <w:uiPriority w:val="99"/>
    <w:rsid w:val="00C10C20"/>
    <w:pPr>
      <w:widowControl/>
      <w:spacing w:after="200" w:line="276" w:lineRule="auto"/>
    </w:pPr>
    <w:rPr>
      <w:rFonts w:ascii="Calibri" w:eastAsia="Times New Roman" w:hAnsi="Calibri" w:cs="Times New Roman"/>
      <w:lang w:val="pl-PL" w:eastAsia="pl-PL"/>
    </w:rPr>
  </w:style>
  <w:style w:type="paragraph" w:customStyle="1" w:styleId="Style33">
    <w:name w:val="Style33"/>
    <w:basedOn w:val="Normalny"/>
    <w:uiPriority w:val="99"/>
    <w:rsid w:val="00C10C20"/>
    <w:pPr>
      <w:autoSpaceDE w:val="0"/>
      <w:autoSpaceDN w:val="0"/>
      <w:adjustRightInd w:val="0"/>
      <w:spacing w:after="0" w:line="276" w:lineRule="auto"/>
    </w:pPr>
    <w:rPr>
      <w:rFonts w:ascii="Arial" w:eastAsia="Times New Roman" w:hAnsi="Arial" w:cs="Times New Roman"/>
      <w:sz w:val="24"/>
      <w:szCs w:val="24"/>
      <w:lang w:eastAsia="pl-PL"/>
    </w:rPr>
  </w:style>
  <w:style w:type="character" w:customStyle="1" w:styleId="tlid-translation">
    <w:name w:val="tlid-translation"/>
    <w:basedOn w:val="Domylnaczcionkaakapitu"/>
    <w:rsid w:val="007F7F4E"/>
  </w:style>
  <w:style w:type="paragraph" w:customStyle="1" w:styleId="Style101">
    <w:name w:val="Style101"/>
    <w:basedOn w:val="Normalny"/>
    <w:uiPriority w:val="99"/>
    <w:rsid w:val="00860C39"/>
    <w:pPr>
      <w:autoSpaceDE w:val="0"/>
      <w:autoSpaceDN w:val="0"/>
      <w:adjustRightInd w:val="0"/>
      <w:spacing w:after="0" w:line="254" w:lineRule="exact"/>
      <w:ind w:firstLine="710"/>
    </w:pPr>
    <w:rPr>
      <w:rFonts w:ascii="Arial" w:eastAsia="Times New Roman" w:hAnsi="Arial" w:cs="Times New Roman"/>
      <w:sz w:val="24"/>
      <w:szCs w:val="24"/>
      <w:lang w:eastAsia="pl-PL"/>
    </w:rPr>
  </w:style>
  <w:style w:type="paragraph" w:customStyle="1" w:styleId="Akapitzlist2">
    <w:name w:val="Akapit z listą2"/>
    <w:basedOn w:val="Normalny"/>
    <w:uiPriority w:val="99"/>
    <w:rsid w:val="00D2204C"/>
    <w:pPr>
      <w:autoSpaceDE w:val="0"/>
      <w:autoSpaceDN w:val="0"/>
      <w:adjustRightInd w:val="0"/>
      <w:spacing w:line="276" w:lineRule="auto"/>
      <w:ind w:left="720"/>
      <w:contextualSpacing/>
      <w:jc w:val="left"/>
    </w:pPr>
    <w:rPr>
      <w:rFonts w:ascii="Times New Roman" w:eastAsia="Times New Roman" w:hAnsi="Times New Roman" w:cs="Times New Roman"/>
      <w:sz w:val="24"/>
      <w:szCs w:val="20"/>
      <w:lang w:eastAsia="pl-PL"/>
    </w:rPr>
  </w:style>
  <w:style w:type="character" w:customStyle="1" w:styleId="FontStyle220">
    <w:name w:val="Font Style220"/>
    <w:basedOn w:val="Domylnaczcionkaakapitu"/>
    <w:uiPriority w:val="99"/>
    <w:rsid w:val="007E6D67"/>
    <w:rPr>
      <w:rFonts w:ascii="Times New Roman" w:hAnsi="Times New Roman" w:cs="Times New Roman"/>
      <w:b/>
      <w:bCs/>
      <w:sz w:val="20"/>
      <w:szCs w:val="20"/>
    </w:rPr>
  </w:style>
  <w:style w:type="paragraph" w:customStyle="1" w:styleId="Akapitzlist1">
    <w:name w:val="Akapit z listą1"/>
    <w:basedOn w:val="Normalny"/>
    <w:uiPriority w:val="99"/>
    <w:rsid w:val="005A6AAF"/>
    <w:pPr>
      <w:widowControl/>
      <w:spacing w:after="0" w:line="276" w:lineRule="auto"/>
      <w:ind w:left="720"/>
    </w:pPr>
    <w:rPr>
      <w:rFonts w:ascii="Times New Roman" w:eastAsia="Times New Roman" w:hAnsi="Times New Roman" w:cs="Times New Roman"/>
      <w:sz w:val="20"/>
      <w:lang w:val="en-US"/>
    </w:rPr>
  </w:style>
  <w:style w:type="paragraph" w:customStyle="1" w:styleId="Style157">
    <w:name w:val="Style157"/>
    <w:basedOn w:val="Normalny"/>
    <w:uiPriority w:val="99"/>
    <w:rsid w:val="005B20C7"/>
    <w:pPr>
      <w:autoSpaceDE w:val="0"/>
      <w:autoSpaceDN w:val="0"/>
      <w:adjustRightInd w:val="0"/>
      <w:spacing w:after="0" w:line="240" w:lineRule="exact"/>
      <w:ind w:hanging="336"/>
    </w:pPr>
    <w:rPr>
      <w:rFonts w:ascii="Arial" w:eastAsia="Times New Roman" w:hAnsi="Arial" w:cs="Times New Roman"/>
      <w:sz w:val="24"/>
      <w:szCs w:val="24"/>
      <w:lang w:eastAsia="pl-PL"/>
    </w:rPr>
  </w:style>
  <w:style w:type="paragraph" w:customStyle="1" w:styleId="Style126">
    <w:name w:val="Style126"/>
    <w:basedOn w:val="Normalny"/>
    <w:uiPriority w:val="99"/>
    <w:rsid w:val="00BF1BA8"/>
    <w:pPr>
      <w:autoSpaceDE w:val="0"/>
      <w:autoSpaceDN w:val="0"/>
      <w:adjustRightInd w:val="0"/>
      <w:spacing w:after="0" w:line="252" w:lineRule="exact"/>
      <w:ind w:firstLine="754"/>
    </w:pPr>
    <w:rPr>
      <w:rFonts w:ascii="Arial" w:eastAsia="Times New Roman" w:hAnsi="Arial" w:cs="Times New Roman"/>
      <w:sz w:val="24"/>
      <w:szCs w:val="24"/>
      <w:lang w:eastAsia="pl-PL"/>
    </w:rPr>
  </w:style>
  <w:style w:type="character" w:customStyle="1" w:styleId="FontStyle179">
    <w:name w:val="Font Style179"/>
    <w:basedOn w:val="Domylnaczcionkaakapitu"/>
    <w:uiPriority w:val="99"/>
    <w:rsid w:val="00BF1BA8"/>
    <w:rPr>
      <w:rFonts w:ascii="Arial" w:hAnsi="Arial" w:cs="Arial"/>
      <w:sz w:val="14"/>
      <w:szCs w:val="14"/>
    </w:rPr>
  </w:style>
  <w:style w:type="paragraph" w:customStyle="1" w:styleId="Style10">
    <w:name w:val="Style10"/>
    <w:basedOn w:val="Normalny"/>
    <w:uiPriority w:val="99"/>
    <w:rsid w:val="00F52B3A"/>
    <w:pPr>
      <w:autoSpaceDE w:val="0"/>
      <w:autoSpaceDN w:val="0"/>
      <w:adjustRightInd w:val="0"/>
      <w:spacing w:after="0" w:line="252" w:lineRule="exact"/>
    </w:pPr>
    <w:rPr>
      <w:rFonts w:ascii="Arial" w:eastAsia="Times New Roman" w:hAnsi="Arial" w:cs="Times New Roman"/>
      <w:sz w:val="24"/>
      <w:szCs w:val="24"/>
      <w:lang w:eastAsia="pl-PL"/>
    </w:rPr>
  </w:style>
  <w:style w:type="paragraph" w:customStyle="1" w:styleId="Style30">
    <w:name w:val="Style30"/>
    <w:basedOn w:val="Normalny"/>
    <w:uiPriority w:val="99"/>
    <w:rsid w:val="00F52B3A"/>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03">
    <w:name w:val="Style103"/>
    <w:basedOn w:val="Normalny"/>
    <w:uiPriority w:val="99"/>
    <w:rsid w:val="006355B6"/>
    <w:pPr>
      <w:autoSpaceDE w:val="0"/>
      <w:autoSpaceDN w:val="0"/>
      <w:adjustRightInd w:val="0"/>
      <w:spacing w:after="0" w:line="252" w:lineRule="exact"/>
    </w:pPr>
    <w:rPr>
      <w:rFonts w:ascii="Arial" w:eastAsia="Times New Roman" w:hAnsi="Arial" w:cs="Times New Roman"/>
      <w:sz w:val="24"/>
      <w:szCs w:val="24"/>
      <w:lang w:eastAsia="pl-PL"/>
    </w:rPr>
  </w:style>
  <w:style w:type="paragraph" w:customStyle="1" w:styleId="Style108">
    <w:name w:val="Style108"/>
    <w:basedOn w:val="Normalny"/>
    <w:uiPriority w:val="99"/>
    <w:rsid w:val="00B4673E"/>
    <w:pPr>
      <w:autoSpaceDE w:val="0"/>
      <w:autoSpaceDN w:val="0"/>
      <w:adjustRightInd w:val="0"/>
      <w:spacing w:after="0" w:line="276" w:lineRule="auto"/>
      <w:jc w:val="left"/>
    </w:pPr>
    <w:rPr>
      <w:rFonts w:ascii="Arial" w:eastAsia="Times New Roman" w:hAnsi="Arial" w:cs="Times New Roman"/>
      <w:sz w:val="24"/>
      <w:szCs w:val="24"/>
      <w:lang w:eastAsia="pl-PL"/>
    </w:rPr>
  </w:style>
  <w:style w:type="character" w:customStyle="1" w:styleId="FontStyle203">
    <w:name w:val="Font Style203"/>
    <w:basedOn w:val="Domylnaczcionkaakapitu"/>
    <w:uiPriority w:val="99"/>
    <w:rsid w:val="004A34BB"/>
    <w:rPr>
      <w:rFonts w:ascii="Times New Roman" w:hAnsi="Times New Roman" w:cs="Times New Roman"/>
      <w:i/>
      <w:iCs/>
      <w:sz w:val="20"/>
      <w:szCs w:val="20"/>
    </w:rPr>
  </w:style>
  <w:style w:type="paragraph" w:customStyle="1" w:styleId="Style68">
    <w:name w:val="Style68"/>
    <w:basedOn w:val="Normalny"/>
    <w:uiPriority w:val="99"/>
    <w:rsid w:val="00D748D4"/>
    <w:pPr>
      <w:autoSpaceDE w:val="0"/>
      <w:autoSpaceDN w:val="0"/>
      <w:adjustRightInd w:val="0"/>
      <w:spacing w:after="0" w:line="230" w:lineRule="exact"/>
      <w:ind w:firstLine="706"/>
      <w:jc w:val="left"/>
    </w:pPr>
    <w:rPr>
      <w:rFonts w:ascii="Arial" w:eastAsia="Times New Roman" w:hAnsi="Arial" w:cs="Times New Roman"/>
      <w:sz w:val="24"/>
      <w:szCs w:val="24"/>
      <w:lang w:eastAsia="pl-PL"/>
    </w:rPr>
  </w:style>
  <w:style w:type="character" w:customStyle="1" w:styleId="FontStyle189">
    <w:name w:val="Font Style189"/>
    <w:basedOn w:val="Domylnaczcionkaakapitu"/>
    <w:uiPriority w:val="99"/>
    <w:rsid w:val="00086628"/>
    <w:rPr>
      <w:rFonts w:ascii="Times New Roman" w:hAnsi="Times New Roman" w:cs="Times New Roman"/>
      <w:i/>
      <w:iCs/>
      <w:sz w:val="24"/>
      <w:szCs w:val="24"/>
    </w:rPr>
  </w:style>
  <w:style w:type="paragraph" w:customStyle="1" w:styleId="Style81">
    <w:name w:val="Style81"/>
    <w:basedOn w:val="Normalny"/>
    <w:uiPriority w:val="99"/>
    <w:rsid w:val="00F01F01"/>
    <w:pPr>
      <w:autoSpaceDE w:val="0"/>
      <w:autoSpaceDN w:val="0"/>
      <w:adjustRightInd w:val="0"/>
      <w:spacing w:after="0" w:line="253" w:lineRule="exact"/>
      <w:ind w:firstLine="466"/>
    </w:pPr>
    <w:rPr>
      <w:rFonts w:ascii="Arial" w:eastAsia="Times New Roman" w:hAnsi="Arial" w:cs="Times New Roman"/>
      <w:sz w:val="24"/>
      <w:szCs w:val="24"/>
      <w:lang w:eastAsia="pl-PL"/>
    </w:rPr>
  </w:style>
  <w:style w:type="paragraph" w:customStyle="1" w:styleId="Style111">
    <w:name w:val="Style111"/>
    <w:basedOn w:val="Normalny"/>
    <w:uiPriority w:val="99"/>
    <w:rsid w:val="00F01F01"/>
    <w:pPr>
      <w:autoSpaceDE w:val="0"/>
      <w:autoSpaceDN w:val="0"/>
      <w:adjustRightInd w:val="0"/>
      <w:spacing w:after="0" w:line="254" w:lineRule="exact"/>
      <w:ind w:firstLine="490"/>
    </w:pPr>
    <w:rPr>
      <w:rFonts w:ascii="Arial" w:eastAsia="Times New Roman" w:hAnsi="Arial" w:cs="Times New Roman"/>
      <w:sz w:val="24"/>
      <w:szCs w:val="24"/>
      <w:lang w:eastAsia="pl-PL"/>
    </w:rPr>
  </w:style>
  <w:style w:type="paragraph" w:customStyle="1" w:styleId="Style124">
    <w:name w:val="Style124"/>
    <w:basedOn w:val="Normalny"/>
    <w:uiPriority w:val="99"/>
    <w:rsid w:val="008B7C62"/>
    <w:pPr>
      <w:autoSpaceDE w:val="0"/>
      <w:autoSpaceDN w:val="0"/>
      <w:adjustRightInd w:val="0"/>
      <w:spacing w:after="0" w:line="252" w:lineRule="exact"/>
      <w:ind w:firstLine="490"/>
    </w:pPr>
    <w:rPr>
      <w:rFonts w:ascii="Arial" w:eastAsia="Times New Roman" w:hAnsi="Arial" w:cs="Times New Roman"/>
      <w:sz w:val="24"/>
      <w:szCs w:val="24"/>
      <w:lang w:eastAsia="pl-PL"/>
    </w:rPr>
  </w:style>
  <w:style w:type="paragraph" w:customStyle="1" w:styleId="Style5">
    <w:name w:val="Style5"/>
    <w:basedOn w:val="Normalny"/>
    <w:uiPriority w:val="99"/>
    <w:rsid w:val="00B0428E"/>
    <w:pPr>
      <w:autoSpaceDE w:val="0"/>
      <w:autoSpaceDN w:val="0"/>
      <w:adjustRightInd w:val="0"/>
      <w:spacing w:after="0" w:line="276" w:lineRule="auto"/>
      <w:jc w:val="center"/>
    </w:pPr>
    <w:rPr>
      <w:rFonts w:ascii="Arial" w:eastAsia="Times New Roman" w:hAnsi="Arial" w:cs="Times New Roman"/>
      <w:sz w:val="24"/>
      <w:szCs w:val="24"/>
      <w:lang w:eastAsia="pl-PL"/>
    </w:rPr>
  </w:style>
  <w:style w:type="paragraph" w:customStyle="1" w:styleId="Style119">
    <w:name w:val="Style119"/>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79">
    <w:name w:val="Style79"/>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34">
    <w:name w:val="Style134"/>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54">
    <w:name w:val="Style154"/>
    <w:basedOn w:val="Normalny"/>
    <w:uiPriority w:val="99"/>
    <w:rsid w:val="00B0428E"/>
    <w:pPr>
      <w:autoSpaceDE w:val="0"/>
      <w:autoSpaceDN w:val="0"/>
      <w:adjustRightInd w:val="0"/>
      <w:spacing w:after="0" w:line="276" w:lineRule="auto"/>
      <w:jc w:val="center"/>
    </w:pPr>
    <w:rPr>
      <w:rFonts w:ascii="Arial" w:eastAsia="Times New Roman" w:hAnsi="Arial" w:cs="Times New Roman"/>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1" w:unhideWhenUsed="0" w:qFormat="1"/>
    <w:lsdException w:name="heading 1" w:semiHidden="0" w:unhideWhenUsed="0" w:qFormat="1"/>
    <w:lsdException w:name="heading 2" w:uiPriority="1" w:qFormat="1"/>
    <w:lsdException w:name="heading 3"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1" w:qFormat="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sid w:val="00C50035"/>
    <w:pPr>
      <w:spacing w:after="120"/>
      <w:jc w:val="both"/>
    </w:pPr>
    <w:rPr>
      <w:rFonts w:ascii="Calibri" w:hAnsi="Calibri"/>
      <w:lang w:val="pl-PL"/>
    </w:rPr>
  </w:style>
  <w:style w:type="paragraph" w:styleId="Nagwek1">
    <w:name w:val="heading 1"/>
    <w:basedOn w:val="Normalny"/>
    <w:next w:val="Normalny"/>
    <w:link w:val="Nagwek1Znak"/>
    <w:uiPriority w:val="99"/>
    <w:qFormat/>
    <w:rsid w:val="00561819"/>
    <w:pPr>
      <w:keepNext/>
      <w:keepLines/>
      <w:spacing w:before="480" w:after="0" w:line="288" w:lineRule="auto"/>
      <w:jc w:val="center"/>
      <w:outlineLvl w:val="0"/>
    </w:pPr>
    <w:rPr>
      <w:rFonts w:ascii="Verdana" w:eastAsia="Times New Roman" w:hAnsi="Verdana" w:cstheme="minorHAnsi"/>
      <w:b/>
      <w:color w:val="003399"/>
      <w:sz w:val="40"/>
      <w:szCs w:val="48"/>
    </w:rPr>
  </w:style>
  <w:style w:type="paragraph" w:styleId="Nagwek2">
    <w:name w:val="heading 2"/>
    <w:basedOn w:val="Nagwek3"/>
    <w:next w:val="Normalny"/>
    <w:link w:val="Nagwek2Znak"/>
    <w:uiPriority w:val="1"/>
    <w:unhideWhenUsed/>
    <w:qFormat/>
    <w:rsid w:val="00020EA3"/>
    <w:pPr>
      <w:shd w:val="clear" w:color="auto" w:fill="auto"/>
      <w:spacing w:before="360"/>
      <w:ind w:left="0" w:firstLine="0"/>
      <w:jc w:val="center"/>
      <w:outlineLvl w:val="1"/>
    </w:pPr>
    <w:rPr>
      <w:color w:val="0066CC"/>
      <w:sz w:val="40"/>
    </w:rPr>
  </w:style>
  <w:style w:type="paragraph" w:styleId="Nagwek3">
    <w:name w:val="heading 3"/>
    <w:basedOn w:val="Nagwek4"/>
    <w:next w:val="Normalny"/>
    <w:link w:val="Nagwek3Znak"/>
    <w:uiPriority w:val="99"/>
    <w:unhideWhenUsed/>
    <w:qFormat/>
    <w:rsid w:val="00602E93"/>
    <w:pPr>
      <w:shd w:val="clear" w:color="auto" w:fill="0066CC"/>
      <w:tabs>
        <w:tab w:val="clear" w:pos="2694"/>
      </w:tabs>
      <w:ind w:left="1985" w:hanging="1985"/>
      <w:outlineLvl w:val="2"/>
    </w:pPr>
  </w:style>
  <w:style w:type="paragraph" w:styleId="Nagwek4">
    <w:name w:val="heading 4"/>
    <w:basedOn w:val="Nagwek31"/>
    <w:next w:val="Normalny"/>
    <w:link w:val="Nagwek4Znak"/>
    <w:unhideWhenUsed/>
    <w:qFormat/>
    <w:rsid w:val="001E27FA"/>
    <w:pPr>
      <w:shd w:val="clear" w:color="auto" w:fill="000066"/>
      <w:tabs>
        <w:tab w:val="clear" w:pos="1701"/>
        <w:tab w:val="left" w:pos="2694"/>
      </w:tabs>
      <w:spacing w:before="480" w:after="0"/>
      <w:ind w:left="2694" w:hanging="2694"/>
      <w:jc w:val="left"/>
    </w:pPr>
    <w:rPr>
      <w:rFonts w:asciiTheme="minorHAnsi" w:hAnsiTheme="minorHAnsi" w:cstheme="minorHAnsi"/>
      <w:color w:val="FFFFFF" w:themeColor="background1"/>
      <w:sz w:val="28"/>
      <w:szCs w:val="26"/>
    </w:rPr>
  </w:style>
  <w:style w:type="paragraph" w:styleId="Nagwek5">
    <w:name w:val="heading 5"/>
    <w:basedOn w:val="Nagwek6"/>
    <w:next w:val="Normalny"/>
    <w:link w:val="Nagwek5Znak"/>
    <w:unhideWhenUsed/>
    <w:qFormat/>
    <w:rsid w:val="008E0CFB"/>
    <w:pPr>
      <w:shd w:val="clear" w:color="auto" w:fill="FF9933"/>
      <w:spacing w:before="360"/>
      <w:outlineLvl w:val="4"/>
    </w:pPr>
    <w:rPr>
      <w:rFonts w:eastAsia="Times New Roman"/>
    </w:rPr>
  </w:style>
  <w:style w:type="paragraph" w:styleId="Nagwek6">
    <w:name w:val="heading 6"/>
    <w:basedOn w:val="Nagwek4"/>
    <w:next w:val="Normalny"/>
    <w:link w:val="Nagwek6Znak"/>
    <w:uiPriority w:val="9"/>
    <w:unhideWhenUsed/>
    <w:qFormat/>
    <w:rsid w:val="00133B99"/>
    <w:pPr>
      <w:shd w:val="clear" w:color="auto" w:fill="339933"/>
      <w:tabs>
        <w:tab w:val="left" w:pos="2268"/>
      </w:tabs>
      <w:spacing w:before="240"/>
      <w:ind w:left="2268" w:hanging="2268"/>
      <w:outlineLvl w:val="5"/>
    </w:pPr>
    <w:rPr>
      <w:rFonts w:eastAsiaTheme="majorEastAsia"/>
      <w:sz w:val="24"/>
    </w:rPr>
  </w:style>
  <w:style w:type="paragraph" w:styleId="Nagwek7">
    <w:name w:val="heading 7"/>
    <w:basedOn w:val="Normalny"/>
    <w:next w:val="Normalny"/>
    <w:link w:val="Nagwek7Znak"/>
    <w:uiPriority w:val="9"/>
    <w:unhideWhenUsed/>
    <w:qFormat/>
    <w:rsid w:val="00594B82"/>
    <w:pPr>
      <w:widowControl/>
      <w:tabs>
        <w:tab w:val="left" w:pos="567"/>
      </w:tabs>
      <w:ind w:left="567" w:hanging="567"/>
      <w:outlineLvl w:val="6"/>
    </w:pPr>
    <w:rPr>
      <w:rFonts w:asciiTheme="minorHAnsi" w:eastAsia="Calibri" w:hAnsiTheme="minorHAnsi" w:cstheme="minorHAnsi"/>
    </w:rPr>
  </w:style>
  <w:style w:type="paragraph" w:styleId="Nagwek9">
    <w:name w:val="heading 9"/>
    <w:basedOn w:val="Normalny"/>
    <w:next w:val="Normalny"/>
    <w:link w:val="Nagwek9Znak"/>
    <w:qFormat/>
    <w:rsid w:val="00C36D76"/>
    <w:pPr>
      <w:widowControl/>
      <w:spacing w:before="240" w:after="60"/>
      <w:outlineLvl w:val="8"/>
    </w:pPr>
    <w:rPr>
      <w:rFonts w:ascii="Cambria" w:hAnsi="Cambri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rsid w:val="00DC7DA6"/>
    <w:tblPr>
      <w:tblInd w:w="0" w:type="dxa"/>
      <w:tblCellMar>
        <w:top w:w="0" w:type="dxa"/>
        <w:left w:w="0" w:type="dxa"/>
        <w:bottom w:w="0" w:type="dxa"/>
        <w:right w:w="0" w:type="dxa"/>
      </w:tblCellMar>
    </w:tblPr>
  </w:style>
  <w:style w:type="paragraph" w:styleId="Tekstpodstawowy">
    <w:name w:val="Body Text"/>
    <w:basedOn w:val="Normalny"/>
    <w:link w:val="TekstpodstawowyZnak"/>
    <w:uiPriority w:val="1"/>
    <w:qFormat/>
    <w:rsid w:val="00DC7DA6"/>
    <w:pPr>
      <w:ind w:left="20" w:hanging="219"/>
    </w:pPr>
    <w:rPr>
      <w:rFonts w:eastAsia="Times New Roman"/>
      <w:sz w:val="17"/>
      <w:szCs w:val="17"/>
    </w:rPr>
  </w:style>
  <w:style w:type="paragraph" w:customStyle="1" w:styleId="Nagwek11">
    <w:name w:val="Nagłówek 11"/>
    <w:basedOn w:val="Normalny"/>
    <w:uiPriority w:val="1"/>
    <w:qFormat/>
    <w:rsid w:val="00DC7DA6"/>
    <w:pPr>
      <w:outlineLvl w:val="1"/>
    </w:pPr>
    <w:rPr>
      <w:rFonts w:eastAsia="Times New Roman"/>
      <w:b/>
      <w:bCs/>
      <w:sz w:val="19"/>
      <w:szCs w:val="19"/>
    </w:rPr>
  </w:style>
  <w:style w:type="paragraph" w:customStyle="1" w:styleId="Nagwek21">
    <w:name w:val="Nagłówek 21"/>
    <w:basedOn w:val="Normalny"/>
    <w:uiPriority w:val="1"/>
    <w:qFormat/>
    <w:rsid w:val="00DB0DD7"/>
    <w:pPr>
      <w:ind w:left="20"/>
      <w:jc w:val="center"/>
      <w:outlineLvl w:val="2"/>
    </w:pPr>
    <w:rPr>
      <w:rFonts w:eastAsia="Times New Roman"/>
      <w:b/>
      <w:szCs w:val="19"/>
    </w:rPr>
  </w:style>
  <w:style w:type="paragraph" w:customStyle="1" w:styleId="Nagwek31">
    <w:name w:val="Nagłówek 31"/>
    <w:basedOn w:val="Normalny"/>
    <w:uiPriority w:val="1"/>
    <w:qFormat/>
    <w:rsid w:val="00DB0DD7"/>
    <w:pPr>
      <w:tabs>
        <w:tab w:val="left" w:pos="1701"/>
      </w:tabs>
      <w:ind w:left="1701" w:hanging="1701"/>
      <w:outlineLvl w:val="3"/>
    </w:pPr>
    <w:rPr>
      <w:rFonts w:eastAsia="Times New Roman"/>
      <w:b/>
      <w:bCs/>
      <w:szCs w:val="17"/>
    </w:rPr>
  </w:style>
  <w:style w:type="paragraph" w:styleId="Akapitzlist">
    <w:name w:val="List Paragraph"/>
    <w:basedOn w:val="Normalny"/>
    <w:uiPriority w:val="34"/>
    <w:qFormat/>
    <w:rsid w:val="00DC7DA6"/>
  </w:style>
  <w:style w:type="paragraph" w:customStyle="1" w:styleId="TableParagraph">
    <w:name w:val="Table Paragraph"/>
    <w:basedOn w:val="Normalny"/>
    <w:uiPriority w:val="1"/>
    <w:qFormat/>
    <w:rsid w:val="00DC7DA6"/>
  </w:style>
  <w:style w:type="paragraph" w:styleId="Stopka">
    <w:name w:val="footer"/>
    <w:basedOn w:val="Normalny"/>
    <w:link w:val="StopkaZnak"/>
    <w:uiPriority w:val="99"/>
    <w:unhideWhenUsed/>
    <w:rsid w:val="00DE05DC"/>
    <w:pPr>
      <w:tabs>
        <w:tab w:val="center" w:pos="4536"/>
        <w:tab w:val="right" w:pos="9072"/>
      </w:tabs>
    </w:pPr>
  </w:style>
  <w:style w:type="character" w:customStyle="1" w:styleId="StopkaZnak">
    <w:name w:val="Stopka Znak"/>
    <w:basedOn w:val="Domylnaczcionkaakapitu"/>
    <w:link w:val="Stopka"/>
    <w:uiPriority w:val="99"/>
    <w:rsid w:val="00DE05DC"/>
  </w:style>
  <w:style w:type="paragraph" w:styleId="Nagwek">
    <w:name w:val="header"/>
    <w:basedOn w:val="Normalny"/>
    <w:link w:val="NagwekZnak"/>
    <w:uiPriority w:val="99"/>
    <w:unhideWhenUsed/>
    <w:rsid w:val="00DE05DC"/>
    <w:pPr>
      <w:tabs>
        <w:tab w:val="center" w:pos="4536"/>
        <w:tab w:val="right" w:pos="9072"/>
      </w:tabs>
    </w:pPr>
  </w:style>
  <w:style w:type="character" w:customStyle="1" w:styleId="NagwekZnak">
    <w:name w:val="Nagłówek Znak"/>
    <w:basedOn w:val="Domylnaczcionkaakapitu"/>
    <w:link w:val="Nagwek"/>
    <w:uiPriority w:val="99"/>
    <w:rsid w:val="00DE05DC"/>
  </w:style>
  <w:style w:type="paragraph" w:styleId="Mapadokumentu">
    <w:name w:val="Document Map"/>
    <w:basedOn w:val="Normalny"/>
    <w:link w:val="MapadokumentuZnak"/>
    <w:uiPriority w:val="99"/>
    <w:semiHidden/>
    <w:unhideWhenUsed/>
    <w:rsid w:val="00ED6F1C"/>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ED6F1C"/>
    <w:rPr>
      <w:rFonts w:ascii="Tahoma" w:hAnsi="Tahoma" w:cs="Tahoma"/>
      <w:sz w:val="16"/>
      <w:szCs w:val="16"/>
    </w:rPr>
  </w:style>
  <w:style w:type="character" w:customStyle="1" w:styleId="Nagwek1Znak">
    <w:name w:val="Nagłówek 1 Znak"/>
    <w:basedOn w:val="Domylnaczcionkaakapitu"/>
    <w:link w:val="Nagwek1"/>
    <w:uiPriority w:val="99"/>
    <w:rsid w:val="00561819"/>
    <w:rPr>
      <w:rFonts w:ascii="Verdana" w:eastAsia="Times New Roman" w:hAnsi="Verdana" w:cstheme="minorHAnsi"/>
      <w:b/>
      <w:color w:val="003399"/>
      <w:sz w:val="40"/>
      <w:szCs w:val="48"/>
      <w:lang w:val="pl-PL"/>
    </w:rPr>
  </w:style>
  <w:style w:type="paragraph" w:styleId="Nagwekspisutreci">
    <w:name w:val="TOC Heading"/>
    <w:basedOn w:val="Nagwek1"/>
    <w:next w:val="Normalny"/>
    <w:uiPriority w:val="39"/>
    <w:unhideWhenUsed/>
    <w:qFormat/>
    <w:rsid w:val="00DB0DD7"/>
    <w:pPr>
      <w:widowControl/>
      <w:spacing w:line="276" w:lineRule="auto"/>
      <w:outlineLvl w:val="9"/>
    </w:pPr>
  </w:style>
  <w:style w:type="paragraph" w:styleId="Spistreci2">
    <w:name w:val="toc 2"/>
    <w:basedOn w:val="Normalny"/>
    <w:next w:val="Normalny"/>
    <w:autoRedefine/>
    <w:uiPriority w:val="39"/>
    <w:unhideWhenUsed/>
    <w:qFormat/>
    <w:rsid w:val="00F7725B"/>
    <w:pPr>
      <w:tabs>
        <w:tab w:val="left" w:pos="1418"/>
        <w:tab w:val="right" w:leader="dot" w:pos="9070"/>
      </w:tabs>
      <w:spacing w:before="120" w:after="0"/>
      <w:ind w:left="1418" w:right="567" w:hanging="1276"/>
      <w:jc w:val="left"/>
    </w:pPr>
    <w:rPr>
      <w:rFonts w:cstheme="minorHAnsi"/>
      <w:noProof/>
      <w:sz w:val="20"/>
    </w:rPr>
  </w:style>
  <w:style w:type="paragraph" w:styleId="Spistreci1">
    <w:name w:val="toc 1"/>
    <w:basedOn w:val="Normalny"/>
    <w:next w:val="Normalny"/>
    <w:autoRedefine/>
    <w:uiPriority w:val="39"/>
    <w:unhideWhenUsed/>
    <w:qFormat/>
    <w:rsid w:val="000E2A3E"/>
    <w:pPr>
      <w:tabs>
        <w:tab w:val="right" w:leader="dot" w:pos="9060"/>
      </w:tabs>
      <w:spacing w:before="360" w:after="80"/>
      <w:jc w:val="left"/>
    </w:pPr>
    <w:rPr>
      <w:b/>
      <w:noProof/>
      <w:sz w:val="24"/>
    </w:rPr>
  </w:style>
  <w:style w:type="character" w:styleId="Hipercze">
    <w:name w:val="Hyperlink"/>
    <w:basedOn w:val="Domylnaczcionkaakapitu"/>
    <w:uiPriority w:val="99"/>
    <w:unhideWhenUsed/>
    <w:rsid w:val="00DB0DD7"/>
    <w:rPr>
      <w:color w:val="0000FF" w:themeColor="hyperlink"/>
      <w:u w:val="single"/>
    </w:rPr>
  </w:style>
  <w:style w:type="paragraph" w:styleId="Tekstdymka">
    <w:name w:val="Balloon Text"/>
    <w:basedOn w:val="Normalny"/>
    <w:link w:val="TekstdymkaZnak"/>
    <w:uiPriority w:val="99"/>
    <w:semiHidden/>
    <w:unhideWhenUsed/>
    <w:rsid w:val="00DB0DD7"/>
    <w:rPr>
      <w:rFonts w:ascii="Tahoma" w:hAnsi="Tahoma" w:cs="Tahoma"/>
      <w:sz w:val="16"/>
      <w:szCs w:val="16"/>
    </w:rPr>
  </w:style>
  <w:style w:type="character" w:customStyle="1" w:styleId="TekstdymkaZnak">
    <w:name w:val="Tekst dymka Znak"/>
    <w:basedOn w:val="Domylnaczcionkaakapitu"/>
    <w:link w:val="Tekstdymka"/>
    <w:uiPriority w:val="99"/>
    <w:semiHidden/>
    <w:rsid w:val="00DB0DD7"/>
    <w:rPr>
      <w:rFonts w:ascii="Tahoma" w:hAnsi="Tahoma" w:cs="Tahoma"/>
      <w:sz w:val="16"/>
      <w:szCs w:val="16"/>
    </w:rPr>
  </w:style>
  <w:style w:type="paragraph" w:styleId="Spistreci3">
    <w:name w:val="toc 3"/>
    <w:basedOn w:val="Normalny"/>
    <w:next w:val="Normalny"/>
    <w:autoRedefine/>
    <w:uiPriority w:val="39"/>
    <w:unhideWhenUsed/>
    <w:qFormat/>
    <w:rsid w:val="000663CD"/>
    <w:pPr>
      <w:tabs>
        <w:tab w:val="left" w:pos="1843"/>
        <w:tab w:val="right" w:leader="dot" w:pos="9060"/>
      </w:tabs>
      <w:spacing w:before="40" w:after="0"/>
      <w:ind w:left="1928" w:right="567" w:hanging="1361"/>
      <w:jc w:val="left"/>
    </w:pPr>
    <w:rPr>
      <w:rFonts w:cstheme="minorHAnsi"/>
      <w:noProof/>
      <w:sz w:val="18"/>
    </w:rPr>
  </w:style>
  <w:style w:type="character" w:customStyle="1" w:styleId="Nagwek3Znak">
    <w:name w:val="Nagłówek 3 Znak"/>
    <w:basedOn w:val="Domylnaczcionkaakapitu"/>
    <w:link w:val="Nagwek3"/>
    <w:uiPriority w:val="99"/>
    <w:rsid w:val="00602E93"/>
    <w:rPr>
      <w:rFonts w:eastAsia="Times New Roman" w:cstheme="minorHAnsi"/>
      <w:b/>
      <w:bCs/>
      <w:color w:val="FFFFFF" w:themeColor="background1"/>
      <w:sz w:val="28"/>
      <w:szCs w:val="26"/>
      <w:shd w:val="clear" w:color="auto" w:fill="0066CC"/>
      <w:lang w:val="pl-PL"/>
    </w:rPr>
  </w:style>
  <w:style w:type="character" w:customStyle="1" w:styleId="Nagwek2Znak">
    <w:name w:val="Nagłówek 2 Znak"/>
    <w:basedOn w:val="Domylnaczcionkaakapitu"/>
    <w:link w:val="Nagwek2"/>
    <w:uiPriority w:val="1"/>
    <w:rsid w:val="00020EA3"/>
    <w:rPr>
      <w:rFonts w:eastAsia="Times New Roman" w:cstheme="minorHAnsi"/>
      <w:b/>
      <w:bCs/>
      <w:color w:val="0066CC"/>
      <w:sz w:val="40"/>
      <w:szCs w:val="26"/>
      <w:lang w:val="pl-PL"/>
    </w:rPr>
  </w:style>
  <w:style w:type="paragraph" w:styleId="Spistreci4">
    <w:name w:val="toc 4"/>
    <w:basedOn w:val="Normalny"/>
    <w:next w:val="Normalny"/>
    <w:autoRedefine/>
    <w:uiPriority w:val="39"/>
    <w:unhideWhenUsed/>
    <w:rsid w:val="000663CD"/>
    <w:pPr>
      <w:widowControl/>
      <w:tabs>
        <w:tab w:val="right" w:leader="dot" w:pos="9060"/>
      </w:tabs>
      <w:spacing w:before="40" w:after="0"/>
      <w:ind w:left="2211" w:right="567" w:hanging="1644"/>
      <w:jc w:val="left"/>
    </w:pPr>
    <w:rPr>
      <w:rFonts w:asciiTheme="minorHAnsi" w:eastAsiaTheme="minorEastAsia" w:hAnsiTheme="minorHAnsi"/>
      <w:noProof/>
      <w:sz w:val="18"/>
      <w:lang w:eastAsia="pl-PL"/>
    </w:rPr>
  </w:style>
  <w:style w:type="paragraph" w:styleId="Spistreci5">
    <w:name w:val="toc 5"/>
    <w:basedOn w:val="Normalny"/>
    <w:next w:val="Normalny"/>
    <w:autoRedefine/>
    <w:uiPriority w:val="39"/>
    <w:unhideWhenUsed/>
    <w:rsid w:val="00762863"/>
    <w:pPr>
      <w:widowControl/>
      <w:tabs>
        <w:tab w:val="left" w:pos="2835"/>
        <w:tab w:val="right" w:leader="dot" w:pos="9060"/>
      </w:tabs>
      <w:spacing w:after="0"/>
      <w:ind w:left="2835" w:right="567" w:hanging="1843"/>
      <w:jc w:val="left"/>
    </w:pPr>
    <w:rPr>
      <w:rFonts w:asciiTheme="minorHAnsi" w:eastAsiaTheme="minorEastAsia" w:hAnsiTheme="minorHAnsi"/>
      <w:noProof/>
      <w:sz w:val="16"/>
      <w:lang w:eastAsia="pl-PL"/>
    </w:rPr>
  </w:style>
  <w:style w:type="paragraph" w:styleId="Spistreci6">
    <w:name w:val="toc 6"/>
    <w:basedOn w:val="Normalny"/>
    <w:next w:val="Normalny"/>
    <w:autoRedefine/>
    <w:uiPriority w:val="39"/>
    <w:unhideWhenUsed/>
    <w:rsid w:val="00F7725B"/>
    <w:pPr>
      <w:widowControl/>
      <w:tabs>
        <w:tab w:val="left" w:pos="1276"/>
        <w:tab w:val="right" w:leader="dot" w:pos="9060"/>
      </w:tabs>
      <w:spacing w:after="0"/>
      <w:ind w:left="2835" w:right="425" w:hanging="1559"/>
      <w:jc w:val="left"/>
    </w:pPr>
    <w:rPr>
      <w:rFonts w:asciiTheme="minorHAnsi" w:eastAsiaTheme="minorEastAsia" w:hAnsiTheme="minorHAnsi"/>
      <w:noProof/>
      <w:sz w:val="16"/>
      <w:lang w:eastAsia="pl-PL"/>
    </w:rPr>
  </w:style>
  <w:style w:type="paragraph" w:styleId="Spistreci7">
    <w:name w:val="toc 7"/>
    <w:basedOn w:val="Normalny"/>
    <w:next w:val="Normalny"/>
    <w:autoRedefine/>
    <w:uiPriority w:val="39"/>
    <w:unhideWhenUsed/>
    <w:rsid w:val="00E87EA6"/>
    <w:pPr>
      <w:widowControl/>
      <w:tabs>
        <w:tab w:val="right" w:leader="dot" w:pos="9060"/>
      </w:tabs>
      <w:spacing w:after="100" w:line="276" w:lineRule="auto"/>
      <w:ind w:left="1418"/>
    </w:pPr>
    <w:rPr>
      <w:rFonts w:asciiTheme="minorHAnsi" w:eastAsiaTheme="minorEastAsia" w:hAnsiTheme="minorHAnsi"/>
      <w:lang w:eastAsia="pl-PL"/>
    </w:rPr>
  </w:style>
  <w:style w:type="paragraph" w:styleId="Spistreci8">
    <w:name w:val="toc 8"/>
    <w:basedOn w:val="Normalny"/>
    <w:next w:val="Normalny"/>
    <w:autoRedefine/>
    <w:uiPriority w:val="39"/>
    <w:unhideWhenUsed/>
    <w:rsid w:val="00805A2C"/>
    <w:pPr>
      <w:widowControl/>
      <w:spacing w:after="100" w:line="276" w:lineRule="auto"/>
      <w:ind w:left="1540"/>
    </w:pPr>
    <w:rPr>
      <w:rFonts w:asciiTheme="minorHAnsi" w:eastAsiaTheme="minorEastAsia" w:hAnsiTheme="minorHAnsi"/>
      <w:lang w:eastAsia="pl-PL"/>
    </w:rPr>
  </w:style>
  <w:style w:type="paragraph" w:styleId="Spistreci9">
    <w:name w:val="toc 9"/>
    <w:basedOn w:val="Normalny"/>
    <w:next w:val="Normalny"/>
    <w:autoRedefine/>
    <w:uiPriority w:val="39"/>
    <w:unhideWhenUsed/>
    <w:rsid w:val="00805A2C"/>
    <w:pPr>
      <w:widowControl/>
      <w:spacing w:after="100" w:line="276" w:lineRule="auto"/>
      <w:ind w:left="1760"/>
    </w:pPr>
    <w:rPr>
      <w:rFonts w:asciiTheme="minorHAnsi" w:eastAsiaTheme="minorEastAsia" w:hAnsiTheme="minorHAnsi"/>
      <w:lang w:eastAsia="pl-PL"/>
    </w:rPr>
  </w:style>
  <w:style w:type="table" w:styleId="Tabela-Siatka">
    <w:name w:val="Table Grid"/>
    <w:basedOn w:val="Standardowy"/>
    <w:uiPriority w:val="59"/>
    <w:rsid w:val="002F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C41925"/>
    <w:rPr>
      <w:sz w:val="16"/>
      <w:szCs w:val="16"/>
    </w:rPr>
  </w:style>
  <w:style w:type="paragraph" w:styleId="Tekstkomentarza">
    <w:name w:val="annotation text"/>
    <w:basedOn w:val="Normalny"/>
    <w:link w:val="TekstkomentarzaZnak"/>
    <w:uiPriority w:val="99"/>
    <w:unhideWhenUsed/>
    <w:rsid w:val="00C41925"/>
    <w:rPr>
      <w:szCs w:val="20"/>
    </w:rPr>
  </w:style>
  <w:style w:type="character" w:customStyle="1" w:styleId="TekstkomentarzaZnak">
    <w:name w:val="Tekst komentarza Znak"/>
    <w:basedOn w:val="Domylnaczcionkaakapitu"/>
    <w:link w:val="Tekstkomentarza"/>
    <w:uiPriority w:val="99"/>
    <w:rsid w:val="00C41925"/>
    <w:rPr>
      <w:rFonts w:ascii="Times New Roman" w:hAnsi="Times New Roman"/>
      <w:sz w:val="20"/>
      <w:szCs w:val="20"/>
    </w:rPr>
  </w:style>
  <w:style w:type="paragraph" w:styleId="Tematkomentarza">
    <w:name w:val="annotation subject"/>
    <w:basedOn w:val="Tekstkomentarza"/>
    <w:next w:val="Tekstkomentarza"/>
    <w:link w:val="TematkomentarzaZnak"/>
    <w:uiPriority w:val="99"/>
    <w:semiHidden/>
    <w:unhideWhenUsed/>
    <w:rsid w:val="00C41925"/>
    <w:rPr>
      <w:b/>
      <w:bCs/>
    </w:rPr>
  </w:style>
  <w:style w:type="character" w:customStyle="1" w:styleId="TematkomentarzaZnak">
    <w:name w:val="Temat komentarza Znak"/>
    <w:basedOn w:val="TekstkomentarzaZnak"/>
    <w:link w:val="Tematkomentarza"/>
    <w:uiPriority w:val="99"/>
    <w:semiHidden/>
    <w:rsid w:val="00C41925"/>
    <w:rPr>
      <w:rFonts w:ascii="Times New Roman" w:hAnsi="Times New Roman"/>
      <w:b/>
      <w:bCs/>
      <w:sz w:val="20"/>
      <w:szCs w:val="20"/>
    </w:rPr>
  </w:style>
  <w:style w:type="paragraph" w:styleId="Poprawka">
    <w:name w:val="Revision"/>
    <w:hidden/>
    <w:uiPriority w:val="99"/>
    <w:semiHidden/>
    <w:rsid w:val="00C41925"/>
    <w:pPr>
      <w:widowControl/>
    </w:pPr>
    <w:rPr>
      <w:rFonts w:ascii="Times New Roman" w:hAnsi="Times New Roman"/>
      <w:sz w:val="20"/>
    </w:rPr>
  </w:style>
  <w:style w:type="character" w:customStyle="1" w:styleId="Nagwek4Znak">
    <w:name w:val="Nagłówek 4 Znak"/>
    <w:basedOn w:val="Domylnaczcionkaakapitu"/>
    <w:link w:val="Nagwek4"/>
    <w:rsid w:val="001E27FA"/>
    <w:rPr>
      <w:rFonts w:eastAsia="Times New Roman" w:cstheme="minorHAnsi"/>
      <w:b/>
      <w:bCs/>
      <w:color w:val="FFFFFF" w:themeColor="background1"/>
      <w:sz w:val="28"/>
      <w:szCs w:val="26"/>
      <w:shd w:val="clear" w:color="auto" w:fill="000066"/>
      <w:lang w:val="pl-PL"/>
    </w:rPr>
  </w:style>
  <w:style w:type="character" w:customStyle="1" w:styleId="Nagwek5Znak">
    <w:name w:val="Nagłówek 5 Znak"/>
    <w:basedOn w:val="Domylnaczcionkaakapitu"/>
    <w:link w:val="Nagwek5"/>
    <w:rsid w:val="008E0CFB"/>
    <w:rPr>
      <w:rFonts w:eastAsia="Times New Roman" w:cstheme="minorHAnsi"/>
      <w:b/>
      <w:bCs/>
      <w:color w:val="FFFFFF" w:themeColor="background1"/>
      <w:sz w:val="24"/>
      <w:szCs w:val="26"/>
      <w:shd w:val="clear" w:color="auto" w:fill="FF9933"/>
      <w:lang w:val="pl-PL"/>
    </w:rPr>
  </w:style>
  <w:style w:type="character" w:customStyle="1" w:styleId="Nagwek6Znak">
    <w:name w:val="Nagłówek 6 Znak"/>
    <w:basedOn w:val="Domylnaczcionkaakapitu"/>
    <w:link w:val="Nagwek6"/>
    <w:uiPriority w:val="9"/>
    <w:rsid w:val="00133B99"/>
    <w:rPr>
      <w:rFonts w:eastAsiaTheme="majorEastAsia" w:cstheme="minorHAnsi"/>
      <w:b/>
      <w:bCs/>
      <w:color w:val="FFFFFF" w:themeColor="background1"/>
      <w:sz w:val="24"/>
      <w:szCs w:val="26"/>
      <w:shd w:val="clear" w:color="auto" w:fill="339933"/>
      <w:lang w:val="pl-PL"/>
    </w:rPr>
  </w:style>
  <w:style w:type="paragraph" w:styleId="Tekstprzypisudolnego">
    <w:name w:val="footnote text"/>
    <w:basedOn w:val="Normalny"/>
    <w:link w:val="TekstprzypisudolnegoZnak"/>
    <w:uiPriority w:val="99"/>
    <w:unhideWhenUsed/>
    <w:rsid w:val="00A35578"/>
    <w:pPr>
      <w:spacing w:after="0"/>
    </w:pPr>
    <w:rPr>
      <w:sz w:val="20"/>
      <w:szCs w:val="20"/>
    </w:rPr>
  </w:style>
  <w:style w:type="character" w:customStyle="1" w:styleId="TekstprzypisudolnegoZnak">
    <w:name w:val="Tekst przypisu dolnego Znak"/>
    <w:basedOn w:val="Domylnaczcionkaakapitu"/>
    <w:link w:val="Tekstprzypisudolnego"/>
    <w:uiPriority w:val="99"/>
    <w:rsid w:val="00A35578"/>
    <w:rPr>
      <w:rFonts w:ascii="Calibri" w:hAnsi="Calibri"/>
      <w:sz w:val="20"/>
      <w:szCs w:val="20"/>
    </w:rPr>
  </w:style>
  <w:style w:type="character" w:styleId="Odwoanieprzypisudolnego">
    <w:name w:val="footnote reference"/>
    <w:basedOn w:val="Domylnaczcionkaakapitu"/>
    <w:uiPriority w:val="99"/>
    <w:rsid w:val="00A35578"/>
    <w:rPr>
      <w:vertAlign w:val="superscript"/>
    </w:rPr>
  </w:style>
  <w:style w:type="numbering" w:customStyle="1" w:styleId="Bezlisty1">
    <w:name w:val="Bez listy1"/>
    <w:next w:val="Bezlisty"/>
    <w:uiPriority w:val="99"/>
    <w:semiHidden/>
    <w:unhideWhenUsed/>
    <w:rsid w:val="00092CBF"/>
  </w:style>
  <w:style w:type="character" w:customStyle="1" w:styleId="hps">
    <w:name w:val="hps"/>
    <w:basedOn w:val="Domylnaczcionkaakapitu"/>
    <w:rsid w:val="00092CBF"/>
  </w:style>
  <w:style w:type="character" w:customStyle="1" w:styleId="atn">
    <w:name w:val="atn"/>
    <w:basedOn w:val="Domylnaczcionkaakapitu"/>
    <w:uiPriority w:val="99"/>
    <w:rsid w:val="00092CBF"/>
  </w:style>
  <w:style w:type="character" w:customStyle="1" w:styleId="FontStyle91">
    <w:name w:val="Font Style91"/>
    <w:basedOn w:val="Domylnaczcionkaakapitu"/>
    <w:uiPriority w:val="99"/>
    <w:rsid w:val="00092CBF"/>
    <w:rPr>
      <w:rFonts w:ascii="Verdana" w:hAnsi="Verdana" w:cs="Verdana"/>
      <w:b/>
      <w:bCs/>
      <w:color w:val="000000"/>
      <w:sz w:val="18"/>
      <w:szCs w:val="18"/>
    </w:rPr>
  </w:style>
  <w:style w:type="paragraph" w:customStyle="1" w:styleId="Style54">
    <w:name w:val="Style54"/>
    <w:basedOn w:val="Normalny"/>
    <w:uiPriority w:val="99"/>
    <w:rsid w:val="00092CBF"/>
    <w:pPr>
      <w:autoSpaceDE w:val="0"/>
      <w:autoSpaceDN w:val="0"/>
      <w:adjustRightInd w:val="0"/>
      <w:spacing w:before="120" w:after="0" w:line="242" w:lineRule="exact"/>
    </w:pPr>
    <w:rPr>
      <w:rFonts w:ascii="Verdana" w:eastAsia="Times New Roman" w:hAnsi="Verdana" w:cs="Verdana"/>
      <w:sz w:val="24"/>
      <w:szCs w:val="24"/>
      <w:lang w:eastAsia="pl-PL"/>
    </w:rPr>
  </w:style>
  <w:style w:type="character" w:customStyle="1" w:styleId="FontStyle92">
    <w:name w:val="Font Style92"/>
    <w:basedOn w:val="Domylnaczcionkaakapitu"/>
    <w:uiPriority w:val="99"/>
    <w:rsid w:val="00092CBF"/>
    <w:rPr>
      <w:rFonts w:ascii="Verdana" w:hAnsi="Verdana" w:cs="Verdana"/>
      <w:color w:val="000000"/>
      <w:sz w:val="18"/>
      <w:szCs w:val="18"/>
    </w:rPr>
  </w:style>
  <w:style w:type="character" w:customStyle="1" w:styleId="TekstpodstawowyZnak">
    <w:name w:val="Tekst podstawowy Znak"/>
    <w:basedOn w:val="Domylnaczcionkaakapitu"/>
    <w:link w:val="Tekstpodstawowy"/>
    <w:uiPriority w:val="1"/>
    <w:locked/>
    <w:rsid w:val="00092CBF"/>
    <w:rPr>
      <w:rFonts w:ascii="Calibri" w:eastAsia="Times New Roman" w:hAnsi="Calibri"/>
      <w:sz w:val="17"/>
      <w:szCs w:val="17"/>
    </w:rPr>
  </w:style>
  <w:style w:type="paragraph" w:customStyle="1" w:styleId="Style56">
    <w:name w:val="Style56"/>
    <w:basedOn w:val="Normalny"/>
    <w:uiPriority w:val="99"/>
    <w:rsid w:val="00092CBF"/>
    <w:pPr>
      <w:autoSpaceDE w:val="0"/>
      <w:autoSpaceDN w:val="0"/>
      <w:adjustRightInd w:val="0"/>
      <w:spacing w:before="120" w:after="0" w:line="240" w:lineRule="exact"/>
      <w:ind w:hanging="547"/>
    </w:pPr>
    <w:rPr>
      <w:rFonts w:ascii="Verdana" w:eastAsia="Times New Roman" w:hAnsi="Verdana" w:cs="Verdana"/>
      <w:sz w:val="24"/>
      <w:szCs w:val="24"/>
      <w:lang w:eastAsia="pl-PL"/>
    </w:rPr>
  </w:style>
  <w:style w:type="paragraph" w:customStyle="1" w:styleId="Default">
    <w:name w:val="Default"/>
    <w:uiPriority w:val="99"/>
    <w:rsid w:val="00092CBF"/>
    <w:pPr>
      <w:widowControl/>
      <w:autoSpaceDE w:val="0"/>
      <w:autoSpaceDN w:val="0"/>
      <w:adjustRightInd w:val="0"/>
    </w:pPr>
    <w:rPr>
      <w:rFonts w:ascii="Verdana" w:eastAsia="Calibri" w:hAnsi="Verdana" w:cs="Verdana"/>
      <w:color w:val="000000"/>
      <w:sz w:val="24"/>
      <w:szCs w:val="24"/>
      <w:lang w:val="pl-PL"/>
    </w:rPr>
  </w:style>
  <w:style w:type="table" w:customStyle="1" w:styleId="Tabela-Siatka1">
    <w:name w:val="Tabela - Siatka1"/>
    <w:basedOn w:val="Standardowy"/>
    <w:next w:val="Tabela-Siatka"/>
    <w:uiPriority w:val="59"/>
    <w:rsid w:val="00092CBF"/>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basedOn w:val="Domylnaczcionkaakapitu"/>
    <w:uiPriority w:val="99"/>
    <w:rsid w:val="00092CBF"/>
  </w:style>
  <w:style w:type="paragraph" w:customStyle="1" w:styleId="Style7">
    <w:name w:val="Style7"/>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paragraph" w:customStyle="1" w:styleId="Style8">
    <w:name w:val="Style8"/>
    <w:basedOn w:val="Normalny"/>
    <w:uiPriority w:val="99"/>
    <w:rsid w:val="00092CBF"/>
    <w:pPr>
      <w:autoSpaceDE w:val="0"/>
      <w:autoSpaceDN w:val="0"/>
      <w:adjustRightInd w:val="0"/>
      <w:spacing w:before="120" w:after="0" w:line="235" w:lineRule="exact"/>
      <w:ind w:firstLine="91"/>
    </w:pPr>
    <w:rPr>
      <w:rFonts w:ascii="Verdana" w:eastAsia="Times New Roman" w:hAnsi="Verdana" w:cs="Verdana"/>
      <w:sz w:val="24"/>
      <w:szCs w:val="24"/>
      <w:lang w:eastAsia="pl-PL"/>
    </w:rPr>
  </w:style>
  <w:style w:type="character" w:customStyle="1" w:styleId="FontStyle68">
    <w:name w:val="Font Style68"/>
    <w:basedOn w:val="Domylnaczcionkaakapitu"/>
    <w:uiPriority w:val="99"/>
    <w:rsid w:val="00092CBF"/>
    <w:rPr>
      <w:rFonts w:ascii="Verdana" w:hAnsi="Verdana" w:cs="Verdana"/>
      <w:b/>
      <w:bCs/>
      <w:color w:val="000000"/>
      <w:sz w:val="40"/>
      <w:szCs w:val="40"/>
    </w:rPr>
  </w:style>
  <w:style w:type="paragraph" w:customStyle="1" w:styleId="Style1">
    <w:name w:val="Style1"/>
    <w:basedOn w:val="Normalny"/>
    <w:uiPriority w:val="99"/>
    <w:rsid w:val="00092CBF"/>
    <w:pPr>
      <w:autoSpaceDE w:val="0"/>
      <w:autoSpaceDN w:val="0"/>
      <w:adjustRightInd w:val="0"/>
      <w:spacing w:before="120" w:after="0"/>
    </w:pPr>
    <w:rPr>
      <w:rFonts w:ascii="Verdana" w:eastAsia="Times New Roman" w:hAnsi="Verdana" w:cs="Verdana"/>
      <w:sz w:val="24"/>
      <w:szCs w:val="24"/>
      <w:lang w:eastAsia="pl-PL"/>
    </w:rPr>
  </w:style>
  <w:style w:type="character" w:customStyle="1" w:styleId="FontStyle93">
    <w:name w:val="Font Style93"/>
    <w:basedOn w:val="Domylnaczcionkaakapitu"/>
    <w:uiPriority w:val="99"/>
    <w:rsid w:val="00092CBF"/>
    <w:rPr>
      <w:rFonts w:ascii="Verdana" w:hAnsi="Verdana" w:cs="Verdana"/>
      <w:i/>
      <w:iCs/>
      <w:color w:val="000000"/>
      <w:sz w:val="16"/>
      <w:szCs w:val="16"/>
    </w:rPr>
  </w:style>
  <w:style w:type="paragraph" w:customStyle="1" w:styleId="CM1">
    <w:name w:val="CM1"/>
    <w:basedOn w:val="Default"/>
    <w:next w:val="Default"/>
    <w:uiPriority w:val="99"/>
    <w:rsid w:val="00092CBF"/>
    <w:rPr>
      <w:rFonts w:ascii="EUAlbertina" w:hAnsi="EUAlbertina" w:cs="EUAlbertina"/>
      <w:color w:val="auto"/>
    </w:rPr>
  </w:style>
  <w:style w:type="paragraph" w:customStyle="1" w:styleId="CM3">
    <w:name w:val="CM3"/>
    <w:basedOn w:val="Default"/>
    <w:next w:val="Default"/>
    <w:uiPriority w:val="99"/>
    <w:rsid w:val="00092CBF"/>
    <w:rPr>
      <w:rFonts w:ascii="EUAlbertina" w:hAnsi="EUAlbertina" w:cs="EUAlbertina"/>
      <w:color w:val="auto"/>
    </w:rPr>
  </w:style>
  <w:style w:type="paragraph" w:customStyle="1" w:styleId="CM4">
    <w:name w:val="CM4"/>
    <w:basedOn w:val="Default"/>
    <w:next w:val="Default"/>
    <w:uiPriority w:val="99"/>
    <w:rsid w:val="00092CBF"/>
    <w:rPr>
      <w:rFonts w:ascii="EUAlbertina" w:hAnsi="EUAlbertina" w:cs="EUAlbertina"/>
      <w:color w:val="auto"/>
    </w:rPr>
  </w:style>
  <w:style w:type="paragraph" w:styleId="Bezodstpw">
    <w:name w:val="No Spacing"/>
    <w:uiPriority w:val="1"/>
    <w:qFormat/>
    <w:rsid w:val="00092CBF"/>
    <w:pPr>
      <w:widowControl/>
      <w:spacing w:after="60"/>
      <w:jc w:val="center"/>
    </w:pPr>
    <w:rPr>
      <w:rFonts w:eastAsia="Calibri" w:cs="Calibri"/>
      <w:i/>
      <w:sz w:val="16"/>
      <w:lang w:val="pl-PL"/>
    </w:rPr>
  </w:style>
  <w:style w:type="paragraph" w:styleId="Tytu">
    <w:name w:val="Title"/>
    <w:basedOn w:val="Normalny"/>
    <w:next w:val="Normalny"/>
    <w:link w:val="TytuZnak"/>
    <w:uiPriority w:val="99"/>
    <w:qFormat/>
    <w:rsid w:val="00092CBF"/>
    <w:pPr>
      <w:widowControl/>
      <w:pBdr>
        <w:bottom w:val="single" w:sz="8" w:space="4" w:color="4F81BD"/>
      </w:pBdr>
      <w:spacing w:before="120" w:after="300"/>
    </w:pPr>
    <w:rPr>
      <w:rFonts w:ascii="Cambria" w:eastAsia="Times New Roman" w:hAnsi="Cambria" w:cs="Cambria"/>
      <w:color w:val="17365D"/>
      <w:spacing w:val="5"/>
      <w:kern w:val="28"/>
      <w:sz w:val="52"/>
      <w:szCs w:val="52"/>
    </w:rPr>
  </w:style>
  <w:style w:type="character" w:customStyle="1" w:styleId="TytuZnak">
    <w:name w:val="Tytuł Znak"/>
    <w:basedOn w:val="Domylnaczcionkaakapitu"/>
    <w:link w:val="Tytu"/>
    <w:uiPriority w:val="99"/>
    <w:rsid w:val="00092CBF"/>
    <w:rPr>
      <w:rFonts w:ascii="Cambria" w:eastAsia="Times New Roman" w:hAnsi="Cambria" w:cs="Cambria"/>
      <w:color w:val="17365D"/>
      <w:spacing w:val="5"/>
      <w:kern w:val="28"/>
      <w:sz w:val="52"/>
      <w:szCs w:val="52"/>
      <w:lang w:val="pl-PL"/>
    </w:rPr>
  </w:style>
  <w:style w:type="character" w:customStyle="1" w:styleId="alt-edited1">
    <w:name w:val="alt-edited1"/>
    <w:basedOn w:val="Domylnaczcionkaakapitu"/>
    <w:uiPriority w:val="99"/>
    <w:rsid w:val="00092CBF"/>
    <w:rPr>
      <w:color w:val="auto"/>
    </w:rPr>
  </w:style>
  <w:style w:type="character" w:customStyle="1" w:styleId="shorttext">
    <w:name w:val="short_text"/>
    <w:basedOn w:val="Domylnaczcionkaakapitu"/>
    <w:rsid w:val="00092CBF"/>
  </w:style>
  <w:style w:type="character" w:customStyle="1" w:styleId="jfk-butterbar1">
    <w:name w:val="jfk-butterbar1"/>
    <w:basedOn w:val="Domylnaczcionkaakapitu"/>
    <w:uiPriority w:val="99"/>
    <w:rsid w:val="00092CBF"/>
    <w:rPr>
      <w:sz w:val="14"/>
      <w:szCs w:val="14"/>
      <w:bdr w:val="single" w:sz="2" w:space="0" w:color="auto" w:frame="1"/>
    </w:rPr>
  </w:style>
  <w:style w:type="character" w:customStyle="1" w:styleId="gt-ft-text1">
    <w:name w:val="gt-ft-text1"/>
    <w:basedOn w:val="Domylnaczcionkaakapitu"/>
    <w:uiPriority w:val="99"/>
    <w:rsid w:val="00092CBF"/>
  </w:style>
  <w:style w:type="paragraph" w:styleId="Tekstprzypisukocowego">
    <w:name w:val="endnote text"/>
    <w:basedOn w:val="Normalny"/>
    <w:link w:val="TekstprzypisukocowegoZnak"/>
    <w:uiPriority w:val="99"/>
    <w:semiHidden/>
    <w:rsid w:val="00092CBF"/>
    <w:pPr>
      <w:widowControl/>
      <w:spacing w:before="120" w:after="0"/>
    </w:pPr>
    <w:rPr>
      <w:rFonts w:ascii="Verdana" w:eastAsia="Calibri" w:hAnsi="Verdana" w:cs="Verdana"/>
      <w:sz w:val="20"/>
      <w:szCs w:val="20"/>
    </w:rPr>
  </w:style>
  <w:style w:type="character" w:customStyle="1" w:styleId="TekstprzypisukocowegoZnak">
    <w:name w:val="Tekst przypisu końcowego Znak"/>
    <w:basedOn w:val="Domylnaczcionkaakapitu"/>
    <w:link w:val="Tekstprzypisukocowego"/>
    <w:uiPriority w:val="99"/>
    <w:semiHidden/>
    <w:rsid w:val="00092CBF"/>
    <w:rPr>
      <w:rFonts w:ascii="Verdana" w:eastAsia="Calibri" w:hAnsi="Verdana" w:cs="Verdana"/>
      <w:sz w:val="20"/>
      <w:szCs w:val="20"/>
      <w:lang w:val="pl-PL"/>
    </w:rPr>
  </w:style>
  <w:style w:type="character" w:styleId="Odwoanieprzypisukocowego">
    <w:name w:val="endnote reference"/>
    <w:basedOn w:val="Domylnaczcionkaakapitu"/>
    <w:uiPriority w:val="99"/>
    <w:semiHidden/>
    <w:rsid w:val="00092CBF"/>
    <w:rPr>
      <w:vertAlign w:val="superscript"/>
    </w:rPr>
  </w:style>
  <w:style w:type="paragraph" w:styleId="NormalnyWeb">
    <w:name w:val="Normal (Web)"/>
    <w:basedOn w:val="Normalny"/>
    <w:uiPriority w:val="99"/>
    <w:unhideWhenUsed/>
    <w:rsid w:val="00092CBF"/>
    <w:pPr>
      <w:widowControl/>
      <w:spacing w:before="100" w:beforeAutospacing="1" w:after="100" w:afterAutospacing="1"/>
      <w:jc w:val="left"/>
    </w:pPr>
    <w:rPr>
      <w:rFonts w:ascii="Times New Roman" w:eastAsiaTheme="minorEastAsia" w:hAnsi="Times New Roman" w:cs="Times New Roman"/>
      <w:sz w:val="24"/>
      <w:szCs w:val="24"/>
      <w:lang w:eastAsia="pl-PL"/>
    </w:rPr>
  </w:style>
  <w:style w:type="numbering" w:customStyle="1" w:styleId="Bezlisty2">
    <w:name w:val="Bez listy2"/>
    <w:next w:val="Bezlisty"/>
    <w:uiPriority w:val="99"/>
    <w:semiHidden/>
    <w:unhideWhenUsed/>
    <w:rsid w:val="00B0686B"/>
  </w:style>
  <w:style w:type="table" w:customStyle="1" w:styleId="Tabela-Siatka2">
    <w:name w:val="Tabela - Siatka2"/>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0686B"/>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D0DC1"/>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7Znak">
    <w:name w:val="Nagłówek 7 Znak"/>
    <w:basedOn w:val="Domylnaczcionkaakapitu"/>
    <w:link w:val="Nagwek7"/>
    <w:uiPriority w:val="9"/>
    <w:rsid w:val="00594B82"/>
    <w:rPr>
      <w:rFonts w:eastAsia="Calibri" w:cstheme="minorHAnsi"/>
      <w:lang w:val="pl-PL"/>
    </w:rPr>
  </w:style>
  <w:style w:type="character" w:customStyle="1" w:styleId="Nagwek9Znak">
    <w:name w:val="Nagłówek 9 Znak"/>
    <w:basedOn w:val="Domylnaczcionkaakapitu"/>
    <w:link w:val="Nagwek9"/>
    <w:rsid w:val="00C36D76"/>
    <w:rPr>
      <w:rFonts w:ascii="Cambria" w:hAnsi="Cambria"/>
      <w:lang w:val="pl-PL"/>
    </w:rPr>
  </w:style>
  <w:style w:type="paragraph" w:customStyle="1" w:styleId="Kita2">
    <w:name w:val="_Kita 2"/>
    <w:basedOn w:val="Nagwek1"/>
    <w:next w:val="Normalny"/>
    <w:rsid w:val="00C36D76"/>
    <w:pPr>
      <w:keepLines w:val="0"/>
      <w:widowControl/>
      <w:overflowPunct w:val="0"/>
      <w:spacing w:before="0" w:line="276" w:lineRule="auto"/>
    </w:pPr>
    <w:rPr>
      <w:rFonts w:eastAsia="Arial Unicode MS" w:cs="Tahoma"/>
      <w:bCs/>
      <w:color w:val="auto"/>
      <w:szCs w:val="22"/>
    </w:rPr>
  </w:style>
  <w:style w:type="paragraph" w:customStyle="1" w:styleId="Kita1">
    <w:name w:val="_Kita 1"/>
    <w:basedOn w:val="Nagwek1"/>
    <w:rsid w:val="00C36D76"/>
    <w:pPr>
      <w:keepLines w:val="0"/>
      <w:widowControl/>
      <w:overflowPunct w:val="0"/>
      <w:spacing w:before="0" w:line="276" w:lineRule="auto"/>
    </w:pPr>
    <w:rPr>
      <w:rFonts w:eastAsia="Arial Unicode MS" w:cs="Tahoma"/>
      <w:bCs/>
      <w:color w:val="auto"/>
      <w:szCs w:val="22"/>
    </w:rPr>
  </w:style>
  <w:style w:type="paragraph" w:customStyle="1" w:styleId="Nagwek2rk">
    <w:name w:val="Nagłówek 2_rk"/>
    <w:basedOn w:val="Nagwek2"/>
    <w:next w:val="Nagwek3"/>
    <w:link w:val="Nagwek2rkZnak"/>
    <w:qFormat/>
    <w:rsid w:val="00C36D76"/>
    <w:pPr>
      <w:widowControl/>
    </w:pPr>
    <w:rPr>
      <w:rFonts w:eastAsiaTheme="majorEastAsia" w:cstheme="majorBidi"/>
      <w:b w:val="0"/>
      <w:i/>
      <w:sz w:val="44"/>
    </w:rPr>
  </w:style>
  <w:style w:type="character" w:customStyle="1" w:styleId="Nagwek2rkZnak">
    <w:name w:val="Nagłówek 2_rk Znak"/>
    <w:basedOn w:val="Nagwek1Znak"/>
    <w:link w:val="Nagwek2rk"/>
    <w:rsid w:val="00C36D76"/>
    <w:rPr>
      <w:rFonts w:ascii="Verdana" w:eastAsiaTheme="majorEastAsia" w:hAnsi="Verdana" w:cstheme="majorBidi"/>
      <w:b w:val="0"/>
      <w:color w:val="000066"/>
      <w:sz w:val="44"/>
      <w:szCs w:val="20"/>
      <w:lang w:val="pl-PL"/>
    </w:rPr>
  </w:style>
  <w:style w:type="paragraph" w:customStyle="1" w:styleId="Point0">
    <w:name w:val="Point 0"/>
    <w:basedOn w:val="Normalny"/>
    <w:rsid w:val="00C36D76"/>
    <w:pPr>
      <w:widowControl/>
      <w:ind w:left="850" w:hanging="850"/>
    </w:pPr>
    <w:rPr>
      <w:rFonts w:ascii="Times New Roman" w:eastAsia="Times New Roman" w:hAnsi="Times New Roman" w:cs="Times New Roman"/>
      <w:sz w:val="24"/>
      <w:szCs w:val="24"/>
    </w:rPr>
  </w:style>
  <w:style w:type="character" w:styleId="UyteHipercze">
    <w:name w:val="FollowedHyperlink"/>
    <w:basedOn w:val="Domylnaczcionkaakapitu"/>
    <w:uiPriority w:val="99"/>
    <w:semiHidden/>
    <w:unhideWhenUsed/>
    <w:rsid w:val="00C36D76"/>
    <w:rPr>
      <w:color w:val="800080" w:themeColor="followedHyperlink"/>
      <w:u w:val="single"/>
    </w:rPr>
  </w:style>
  <w:style w:type="paragraph" w:styleId="Podtytu">
    <w:name w:val="Subtitle"/>
    <w:basedOn w:val="Normalny"/>
    <w:next w:val="Normalny"/>
    <w:link w:val="PodtytuZnak"/>
    <w:autoRedefine/>
    <w:qFormat/>
    <w:rsid w:val="00C36D76"/>
    <w:pPr>
      <w:widowControl/>
      <w:spacing w:line="276" w:lineRule="auto"/>
      <w:ind w:left="11"/>
      <w:jc w:val="left"/>
    </w:pPr>
    <w:rPr>
      <w:rFonts w:asciiTheme="minorHAnsi" w:hAnsiTheme="minorHAnsi"/>
      <w:b/>
      <w:bCs/>
      <w:i/>
    </w:rPr>
  </w:style>
  <w:style w:type="character" w:customStyle="1" w:styleId="PodtytuZnak">
    <w:name w:val="Podtytuł Znak"/>
    <w:basedOn w:val="Domylnaczcionkaakapitu"/>
    <w:link w:val="Podtytu"/>
    <w:rsid w:val="00C36D76"/>
    <w:rPr>
      <w:b/>
      <w:bCs/>
      <w:i/>
      <w:lang w:val="pl-PL"/>
    </w:rPr>
  </w:style>
  <w:style w:type="character" w:styleId="Pogrubienie">
    <w:name w:val="Strong"/>
    <w:basedOn w:val="Domylnaczcionkaakapitu"/>
    <w:qFormat/>
    <w:rsid w:val="00C36D76"/>
    <w:rPr>
      <w:rFonts w:ascii="Times New Roman" w:hAnsi="Times New Roman"/>
      <w:bCs/>
      <w:sz w:val="20"/>
    </w:rPr>
  </w:style>
  <w:style w:type="table" w:customStyle="1" w:styleId="Tabela-Siatka21">
    <w:name w:val="Tabela - Siatka21"/>
    <w:basedOn w:val="Standardowy"/>
    <w:next w:val="Tabela-Siatka"/>
    <w:uiPriority w:val="59"/>
    <w:rsid w:val="00C838DA"/>
    <w:pPr>
      <w:widowControl/>
    </w:pPr>
    <w:rPr>
      <w:rFonts w:ascii="Calibri" w:eastAsia="Calibri" w:hAnsi="Calibri" w:cs="Calibri"/>
      <w:sz w:val="20"/>
      <w:szCs w:val="20"/>
      <w:lang w:val="pl-PL"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9">
    <w:name w:val="Font Style219"/>
    <w:basedOn w:val="Domylnaczcionkaakapitu"/>
    <w:uiPriority w:val="99"/>
    <w:rsid w:val="00C10C20"/>
    <w:rPr>
      <w:rFonts w:ascii="Times New Roman" w:hAnsi="Times New Roman" w:cs="Times New Roman"/>
      <w:i/>
      <w:iCs/>
      <w:sz w:val="20"/>
      <w:szCs w:val="20"/>
    </w:rPr>
  </w:style>
  <w:style w:type="character" w:customStyle="1" w:styleId="FontStyle221">
    <w:name w:val="Font Style221"/>
    <w:basedOn w:val="Domylnaczcionkaakapitu"/>
    <w:uiPriority w:val="99"/>
    <w:rsid w:val="00C10C20"/>
    <w:rPr>
      <w:rFonts w:ascii="Times New Roman" w:hAnsi="Times New Roman" w:cs="Times New Roman"/>
      <w:sz w:val="20"/>
      <w:szCs w:val="20"/>
    </w:rPr>
  </w:style>
  <w:style w:type="character" w:customStyle="1" w:styleId="FontStyle200">
    <w:name w:val="Font Style200"/>
    <w:basedOn w:val="Domylnaczcionkaakapitu"/>
    <w:uiPriority w:val="99"/>
    <w:rsid w:val="00C10C20"/>
    <w:rPr>
      <w:rFonts w:ascii="Times New Roman" w:hAnsi="Times New Roman" w:cs="Times New Roman"/>
      <w:b/>
      <w:bCs/>
      <w:i/>
      <w:iCs/>
      <w:sz w:val="20"/>
      <w:szCs w:val="20"/>
    </w:rPr>
  </w:style>
  <w:style w:type="paragraph" w:customStyle="1" w:styleId="Bezodstpw1">
    <w:name w:val="Bez odstępów1"/>
    <w:uiPriority w:val="99"/>
    <w:rsid w:val="00C10C20"/>
    <w:pPr>
      <w:widowControl/>
      <w:spacing w:after="200" w:line="276" w:lineRule="auto"/>
    </w:pPr>
    <w:rPr>
      <w:rFonts w:ascii="Calibri" w:eastAsia="Times New Roman" w:hAnsi="Calibri" w:cs="Times New Roman"/>
      <w:lang w:val="pl-PL" w:eastAsia="pl-PL"/>
    </w:rPr>
  </w:style>
  <w:style w:type="paragraph" w:customStyle="1" w:styleId="Style33">
    <w:name w:val="Style33"/>
    <w:basedOn w:val="Normalny"/>
    <w:uiPriority w:val="99"/>
    <w:rsid w:val="00C10C20"/>
    <w:pPr>
      <w:autoSpaceDE w:val="0"/>
      <w:autoSpaceDN w:val="0"/>
      <w:adjustRightInd w:val="0"/>
      <w:spacing w:after="0" w:line="276" w:lineRule="auto"/>
    </w:pPr>
    <w:rPr>
      <w:rFonts w:ascii="Arial" w:eastAsia="Times New Roman" w:hAnsi="Arial" w:cs="Times New Roman"/>
      <w:sz w:val="24"/>
      <w:szCs w:val="24"/>
      <w:lang w:eastAsia="pl-PL"/>
    </w:rPr>
  </w:style>
  <w:style w:type="character" w:customStyle="1" w:styleId="tlid-translation">
    <w:name w:val="tlid-translation"/>
    <w:basedOn w:val="Domylnaczcionkaakapitu"/>
    <w:rsid w:val="007F7F4E"/>
  </w:style>
  <w:style w:type="paragraph" w:customStyle="1" w:styleId="Style101">
    <w:name w:val="Style101"/>
    <w:basedOn w:val="Normalny"/>
    <w:uiPriority w:val="99"/>
    <w:rsid w:val="00860C39"/>
    <w:pPr>
      <w:autoSpaceDE w:val="0"/>
      <w:autoSpaceDN w:val="0"/>
      <w:adjustRightInd w:val="0"/>
      <w:spacing w:after="0" w:line="254" w:lineRule="exact"/>
      <w:ind w:firstLine="710"/>
    </w:pPr>
    <w:rPr>
      <w:rFonts w:ascii="Arial" w:eastAsia="Times New Roman" w:hAnsi="Arial" w:cs="Times New Roman"/>
      <w:sz w:val="24"/>
      <w:szCs w:val="24"/>
      <w:lang w:eastAsia="pl-PL"/>
    </w:rPr>
  </w:style>
  <w:style w:type="paragraph" w:customStyle="1" w:styleId="Akapitzlist2">
    <w:name w:val="Akapit z listą2"/>
    <w:basedOn w:val="Normalny"/>
    <w:uiPriority w:val="99"/>
    <w:rsid w:val="00D2204C"/>
    <w:pPr>
      <w:autoSpaceDE w:val="0"/>
      <w:autoSpaceDN w:val="0"/>
      <w:adjustRightInd w:val="0"/>
      <w:spacing w:line="276" w:lineRule="auto"/>
      <w:ind w:left="720"/>
      <w:contextualSpacing/>
      <w:jc w:val="left"/>
    </w:pPr>
    <w:rPr>
      <w:rFonts w:ascii="Times New Roman" w:eastAsia="Times New Roman" w:hAnsi="Times New Roman" w:cs="Times New Roman"/>
      <w:sz w:val="24"/>
      <w:szCs w:val="20"/>
      <w:lang w:eastAsia="pl-PL"/>
    </w:rPr>
  </w:style>
  <w:style w:type="character" w:customStyle="1" w:styleId="FontStyle220">
    <w:name w:val="Font Style220"/>
    <w:basedOn w:val="Domylnaczcionkaakapitu"/>
    <w:uiPriority w:val="99"/>
    <w:rsid w:val="007E6D67"/>
    <w:rPr>
      <w:rFonts w:ascii="Times New Roman" w:hAnsi="Times New Roman" w:cs="Times New Roman"/>
      <w:b/>
      <w:bCs/>
      <w:sz w:val="20"/>
      <w:szCs w:val="20"/>
    </w:rPr>
  </w:style>
  <w:style w:type="paragraph" w:customStyle="1" w:styleId="Akapitzlist1">
    <w:name w:val="Akapit z listą1"/>
    <w:basedOn w:val="Normalny"/>
    <w:uiPriority w:val="99"/>
    <w:rsid w:val="005A6AAF"/>
    <w:pPr>
      <w:widowControl/>
      <w:spacing w:after="0" w:line="276" w:lineRule="auto"/>
      <w:ind w:left="720"/>
    </w:pPr>
    <w:rPr>
      <w:rFonts w:ascii="Times New Roman" w:eastAsia="Times New Roman" w:hAnsi="Times New Roman" w:cs="Times New Roman"/>
      <w:sz w:val="20"/>
      <w:lang w:val="en-US"/>
    </w:rPr>
  </w:style>
  <w:style w:type="paragraph" w:customStyle="1" w:styleId="Style157">
    <w:name w:val="Style157"/>
    <w:basedOn w:val="Normalny"/>
    <w:uiPriority w:val="99"/>
    <w:rsid w:val="005B20C7"/>
    <w:pPr>
      <w:autoSpaceDE w:val="0"/>
      <w:autoSpaceDN w:val="0"/>
      <w:adjustRightInd w:val="0"/>
      <w:spacing w:after="0" w:line="240" w:lineRule="exact"/>
      <w:ind w:hanging="336"/>
    </w:pPr>
    <w:rPr>
      <w:rFonts w:ascii="Arial" w:eastAsia="Times New Roman" w:hAnsi="Arial" w:cs="Times New Roman"/>
      <w:sz w:val="24"/>
      <w:szCs w:val="24"/>
      <w:lang w:eastAsia="pl-PL"/>
    </w:rPr>
  </w:style>
  <w:style w:type="paragraph" w:customStyle="1" w:styleId="Style126">
    <w:name w:val="Style126"/>
    <w:basedOn w:val="Normalny"/>
    <w:uiPriority w:val="99"/>
    <w:rsid w:val="00BF1BA8"/>
    <w:pPr>
      <w:autoSpaceDE w:val="0"/>
      <w:autoSpaceDN w:val="0"/>
      <w:adjustRightInd w:val="0"/>
      <w:spacing w:after="0" w:line="252" w:lineRule="exact"/>
      <w:ind w:firstLine="754"/>
    </w:pPr>
    <w:rPr>
      <w:rFonts w:ascii="Arial" w:eastAsia="Times New Roman" w:hAnsi="Arial" w:cs="Times New Roman"/>
      <w:sz w:val="24"/>
      <w:szCs w:val="24"/>
      <w:lang w:eastAsia="pl-PL"/>
    </w:rPr>
  </w:style>
  <w:style w:type="character" w:customStyle="1" w:styleId="FontStyle179">
    <w:name w:val="Font Style179"/>
    <w:basedOn w:val="Domylnaczcionkaakapitu"/>
    <w:uiPriority w:val="99"/>
    <w:rsid w:val="00BF1BA8"/>
    <w:rPr>
      <w:rFonts w:ascii="Arial" w:hAnsi="Arial" w:cs="Arial"/>
      <w:sz w:val="14"/>
      <w:szCs w:val="14"/>
    </w:rPr>
  </w:style>
  <w:style w:type="paragraph" w:customStyle="1" w:styleId="Style10">
    <w:name w:val="Style10"/>
    <w:basedOn w:val="Normalny"/>
    <w:uiPriority w:val="99"/>
    <w:rsid w:val="00F52B3A"/>
    <w:pPr>
      <w:autoSpaceDE w:val="0"/>
      <w:autoSpaceDN w:val="0"/>
      <w:adjustRightInd w:val="0"/>
      <w:spacing w:after="0" w:line="252" w:lineRule="exact"/>
    </w:pPr>
    <w:rPr>
      <w:rFonts w:ascii="Arial" w:eastAsia="Times New Roman" w:hAnsi="Arial" w:cs="Times New Roman"/>
      <w:sz w:val="24"/>
      <w:szCs w:val="24"/>
      <w:lang w:eastAsia="pl-PL"/>
    </w:rPr>
  </w:style>
  <w:style w:type="paragraph" w:customStyle="1" w:styleId="Style30">
    <w:name w:val="Style30"/>
    <w:basedOn w:val="Normalny"/>
    <w:uiPriority w:val="99"/>
    <w:rsid w:val="00F52B3A"/>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03">
    <w:name w:val="Style103"/>
    <w:basedOn w:val="Normalny"/>
    <w:uiPriority w:val="99"/>
    <w:rsid w:val="006355B6"/>
    <w:pPr>
      <w:autoSpaceDE w:val="0"/>
      <w:autoSpaceDN w:val="0"/>
      <w:adjustRightInd w:val="0"/>
      <w:spacing w:after="0" w:line="252" w:lineRule="exact"/>
    </w:pPr>
    <w:rPr>
      <w:rFonts w:ascii="Arial" w:eastAsia="Times New Roman" w:hAnsi="Arial" w:cs="Times New Roman"/>
      <w:sz w:val="24"/>
      <w:szCs w:val="24"/>
      <w:lang w:eastAsia="pl-PL"/>
    </w:rPr>
  </w:style>
  <w:style w:type="paragraph" w:customStyle="1" w:styleId="Style108">
    <w:name w:val="Style108"/>
    <w:basedOn w:val="Normalny"/>
    <w:uiPriority w:val="99"/>
    <w:rsid w:val="00B4673E"/>
    <w:pPr>
      <w:autoSpaceDE w:val="0"/>
      <w:autoSpaceDN w:val="0"/>
      <w:adjustRightInd w:val="0"/>
      <w:spacing w:after="0" w:line="276" w:lineRule="auto"/>
      <w:jc w:val="left"/>
    </w:pPr>
    <w:rPr>
      <w:rFonts w:ascii="Arial" w:eastAsia="Times New Roman" w:hAnsi="Arial" w:cs="Times New Roman"/>
      <w:sz w:val="24"/>
      <w:szCs w:val="24"/>
      <w:lang w:eastAsia="pl-PL"/>
    </w:rPr>
  </w:style>
  <w:style w:type="character" w:customStyle="1" w:styleId="FontStyle203">
    <w:name w:val="Font Style203"/>
    <w:basedOn w:val="Domylnaczcionkaakapitu"/>
    <w:uiPriority w:val="99"/>
    <w:rsid w:val="004A34BB"/>
    <w:rPr>
      <w:rFonts w:ascii="Times New Roman" w:hAnsi="Times New Roman" w:cs="Times New Roman"/>
      <w:i/>
      <w:iCs/>
      <w:sz w:val="20"/>
      <w:szCs w:val="20"/>
    </w:rPr>
  </w:style>
  <w:style w:type="paragraph" w:customStyle="1" w:styleId="Style68">
    <w:name w:val="Style68"/>
    <w:basedOn w:val="Normalny"/>
    <w:uiPriority w:val="99"/>
    <w:rsid w:val="00D748D4"/>
    <w:pPr>
      <w:autoSpaceDE w:val="0"/>
      <w:autoSpaceDN w:val="0"/>
      <w:adjustRightInd w:val="0"/>
      <w:spacing w:after="0" w:line="230" w:lineRule="exact"/>
      <w:ind w:firstLine="706"/>
      <w:jc w:val="left"/>
    </w:pPr>
    <w:rPr>
      <w:rFonts w:ascii="Arial" w:eastAsia="Times New Roman" w:hAnsi="Arial" w:cs="Times New Roman"/>
      <w:sz w:val="24"/>
      <w:szCs w:val="24"/>
      <w:lang w:eastAsia="pl-PL"/>
    </w:rPr>
  </w:style>
  <w:style w:type="character" w:customStyle="1" w:styleId="FontStyle189">
    <w:name w:val="Font Style189"/>
    <w:basedOn w:val="Domylnaczcionkaakapitu"/>
    <w:uiPriority w:val="99"/>
    <w:rsid w:val="00086628"/>
    <w:rPr>
      <w:rFonts w:ascii="Times New Roman" w:hAnsi="Times New Roman" w:cs="Times New Roman"/>
      <w:i/>
      <w:iCs/>
      <w:sz w:val="24"/>
      <w:szCs w:val="24"/>
    </w:rPr>
  </w:style>
  <w:style w:type="paragraph" w:customStyle="1" w:styleId="Style81">
    <w:name w:val="Style81"/>
    <w:basedOn w:val="Normalny"/>
    <w:uiPriority w:val="99"/>
    <w:rsid w:val="00F01F01"/>
    <w:pPr>
      <w:autoSpaceDE w:val="0"/>
      <w:autoSpaceDN w:val="0"/>
      <w:adjustRightInd w:val="0"/>
      <w:spacing w:after="0" w:line="253" w:lineRule="exact"/>
      <w:ind w:firstLine="466"/>
    </w:pPr>
    <w:rPr>
      <w:rFonts w:ascii="Arial" w:eastAsia="Times New Roman" w:hAnsi="Arial" w:cs="Times New Roman"/>
      <w:sz w:val="24"/>
      <w:szCs w:val="24"/>
      <w:lang w:eastAsia="pl-PL"/>
    </w:rPr>
  </w:style>
  <w:style w:type="paragraph" w:customStyle="1" w:styleId="Style111">
    <w:name w:val="Style111"/>
    <w:basedOn w:val="Normalny"/>
    <w:uiPriority w:val="99"/>
    <w:rsid w:val="00F01F01"/>
    <w:pPr>
      <w:autoSpaceDE w:val="0"/>
      <w:autoSpaceDN w:val="0"/>
      <w:adjustRightInd w:val="0"/>
      <w:spacing w:after="0" w:line="254" w:lineRule="exact"/>
      <w:ind w:firstLine="490"/>
    </w:pPr>
    <w:rPr>
      <w:rFonts w:ascii="Arial" w:eastAsia="Times New Roman" w:hAnsi="Arial" w:cs="Times New Roman"/>
      <w:sz w:val="24"/>
      <w:szCs w:val="24"/>
      <w:lang w:eastAsia="pl-PL"/>
    </w:rPr>
  </w:style>
  <w:style w:type="paragraph" w:customStyle="1" w:styleId="Style124">
    <w:name w:val="Style124"/>
    <w:basedOn w:val="Normalny"/>
    <w:uiPriority w:val="99"/>
    <w:rsid w:val="008B7C62"/>
    <w:pPr>
      <w:autoSpaceDE w:val="0"/>
      <w:autoSpaceDN w:val="0"/>
      <w:adjustRightInd w:val="0"/>
      <w:spacing w:after="0" w:line="252" w:lineRule="exact"/>
      <w:ind w:firstLine="490"/>
    </w:pPr>
    <w:rPr>
      <w:rFonts w:ascii="Arial" w:eastAsia="Times New Roman" w:hAnsi="Arial" w:cs="Times New Roman"/>
      <w:sz w:val="24"/>
      <w:szCs w:val="24"/>
      <w:lang w:eastAsia="pl-PL"/>
    </w:rPr>
  </w:style>
  <w:style w:type="paragraph" w:customStyle="1" w:styleId="Style5">
    <w:name w:val="Style5"/>
    <w:basedOn w:val="Normalny"/>
    <w:uiPriority w:val="99"/>
    <w:rsid w:val="00B0428E"/>
    <w:pPr>
      <w:autoSpaceDE w:val="0"/>
      <w:autoSpaceDN w:val="0"/>
      <w:adjustRightInd w:val="0"/>
      <w:spacing w:after="0" w:line="276" w:lineRule="auto"/>
      <w:jc w:val="center"/>
    </w:pPr>
    <w:rPr>
      <w:rFonts w:ascii="Arial" w:eastAsia="Times New Roman" w:hAnsi="Arial" w:cs="Times New Roman"/>
      <w:sz w:val="24"/>
      <w:szCs w:val="24"/>
      <w:lang w:eastAsia="pl-PL"/>
    </w:rPr>
  </w:style>
  <w:style w:type="paragraph" w:customStyle="1" w:styleId="Style119">
    <w:name w:val="Style119"/>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79">
    <w:name w:val="Style79"/>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34">
    <w:name w:val="Style134"/>
    <w:basedOn w:val="Normalny"/>
    <w:uiPriority w:val="99"/>
    <w:rsid w:val="00B0428E"/>
    <w:pPr>
      <w:autoSpaceDE w:val="0"/>
      <w:autoSpaceDN w:val="0"/>
      <w:adjustRightInd w:val="0"/>
      <w:spacing w:after="0" w:line="276" w:lineRule="auto"/>
      <w:jc w:val="left"/>
    </w:pPr>
    <w:rPr>
      <w:rFonts w:ascii="Arial" w:eastAsia="Times New Roman" w:hAnsi="Arial" w:cs="Times New Roman"/>
      <w:sz w:val="24"/>
      <w:szCs w:val="24"/>
      <w:lang w:eastAsia="pl-PL"/>
    </w:rPr>
  </w:style>
  <w:style w:type="paragraph" w:customStyle="1" w:styleId="Style154">
    <w:name w:val="Style154"/>
    <w:basedOn w:val="Normalny"/>
    <w:uiPriority w:val="99"/>
    <w:rsid w:val="00B0428E"/>
    <w:pPr>
      <w:autoSpaceDE w:val="0"/>
      <w:autoSpaceDN w:val="0"/>
      <w:adjustRightInd w:val="0"/>
      <w:spacing w:after="0" w:line="276" w:lineRule="auto"/>
      <w:jc w:val="center"/>
    </w:pPr>
    <w:rPr>
      <w:rFonts w:ascii="Arial" w:eastAsia="Times New Roman" w:hAnsi="Arial"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312300">
      <w:bodyDiv w:val="1"/>
      <w:marLeft w:val="0"/>
      <w:marRight w:val="0"/>
      <w:marTop w:val="0"/>
      <w:marBottom w:val="0"/>
      <w:divBdr>
        <w:top w:val="none" w:sz="0" w:space="0" w:color="auto"/>
        <w:left w:val="none" w:sz="0" w:space="0" w:color="auto"/>
        <w:bottom w:val="none" w:sz="0" w:space="0" w:color="auto"/>
        <w:right w:val="none" w:sz="0" w:space="0" w:color="auto"/>
      </w:divBdr>
      <w:divsChild>
        <w:div w:id="347101193">
          <w:marLeft w:val="0"/>
          <w:marRight w:val="0"/>
          <w:marTop w:val="0"/>
          <w:marBottom w:val="0"/>
          <w:divBdr>
            <w:top w:val="none" w:sz="0" w:space="0" w:color="auto"/>
            <w:left w:val="none" w:sz="0" w:space="0" w:color="auto"/>
            <w:bottom w:val="none" w:sz="0" w:space="0" w:color="auto"/>
            <w:right w:val="none" w:sz="0" w:space="0" w:color="auto"/>
          </w:divBdr>
          <w:divsChild>
            <w:div w:id="991832648">
              <w:marLeft w:val="0"/>
              <w:marRight w:val="0"/>
              <w:marTop w:val="0"/>
              <w:marBottom w:val="0"/>
              <w:divBdr>
                <w:top w:val="none" w:sz="0" w:space="0" w:color="auto"/>
                <w:left w:val="none" w:sz="0" w:space="0" w:color="auto"/>
                <w:bottom w:val="none" w:sz="0" w:space="0" w:color="auto"/>
                <w:right w:val="none" w:sz="0" w:space="0" w:color="auto"/>
              </w:divBdr>
              <w:divsChild>
                <w:div w:id="1801217483">
                  <w:marLeft w:val="0"/>
                  <w:marRight w:val="0"/>
                  <w:marTop w:val="0"/>
                  <w:marBottom w:val="0"/>
                  <w:divBdr>
                    <w:top w:val="none" w:sz="0" w:space="0" w:color="auto"/>
                    <w:left w:val="none" w:sz="0" w:space="0" w:color="auto"/>
                    <w:bottom w:val="none" w:sz="0" w:space="0" w:color="auto"/>
                    <w:right w:val="none" w:sz="0" w:space="0" w:color="auto"/>
                  </w:divBdr>
                  <w:divsChild>
                    <w:div w:id="1230339717">
                      <w:marLeft w:val="0"/>
                      <w:marRight w:val="0"/>
                      <w:marTop w:val="0"/>
                      <w:marBottom w:val="0"/>
                      <w:divBdr>
                        <w:top w:val="none" w:sz="0" w:space="0" w:color="auto"/>
                        <w:left w:val="none" w:sz="0" w:space="0" w:color="auto"/>
                        <w:bottom w:val="none" w:sz="0" w:space="0" w:color="auto"/>
                        <w:right w:val="none" w:sz="0" w:space="0" w:color="auto"/>
                      </w:divBdr>
                      <w:divsChild>
                        <w:div w:id="1602569119">
                          <w:marLeft w:val="0"/>
                          <w:marRight w:val="0"/>
                          <w:marTop w:val="0"/>
                          <w:marBottom w:val="0"/>
                          <w:divBdr>
                            <w:top w:val="none" w:sz="0" w:space="0" w:color="auto"/>
                            <w:left w:val="none" w:sz="0" w:space="0" w:color="auto"/>
                            <w:bottom w:val="none" w:sz="0" w:space="0" w:color="auto"/>
                            <w:right w:val="none" w:sz="0" w:space="0" w:color="auto"/>
                          </w:divBdr>
                          <w:divsChild>
                            <w:div w:id="1350569197">
                              <w:marLeft w:val="0"/>
                              <w:marRight w:val="0"/>
                              <w:marTop w:val="0"/>
                              <w:marBottom w:val="0"/>
                              <w:divBdr>
                                <w:top w:val="none" w:sz="0" w:space="0" w:color="auto"/>
                                <w:left w:val="none" w:sz="0" w:space="0" w:color="auto"/>
                                <w:bottom w:val="none" w:sz="0" w:space="0" w:color="auto"/>
                                <w:right w:val="none" w:sz="0" w:space="0" w:color="auto"/>
                              </w:divBdr>
                              <w:divsChild>
                                <w:div w:id="178591594">
                                  <w:marLeft w:val="0"/>
                                  <w:marRight w:val="0"/>
                                  <w:marTop w:val="0"/>
                                  <w:marBottom w:val="0"/>
                                  <w:divBdr>
                                    <w:top w:val="none" w:sz="0" w:space="0" w:color="auto"/>
                                    <w:left w:val="none" w:sz="0" w:space="0" w:color="auto"/>
                                    <w:bottom w:val="none" w:sz="0" w:space="0" w:color="auto"/>
                                    <w:right w:val="none" w:sz="0" w:space="0" w:color="auto"/>
                                  </w:divBdr>
                                  <w:divsChild>
                                    <w:div w:id="2024550347">
                                      <w:marLeft w:val="0"/>
                                      <w:marRight w:val="0"/>
                                      <w:marTop w:val="0"/>
                                      <w:marBottom w:val="0"/>
                                      <w:divBdr>
                                        <w:top w:val="none" w:sz="0" w:space="0" w:color="auto"/>
                                        <w:left w:val="none" w:sz="0" w:space="0" w:color="auto"/>
                                        <w:bottom w:val="none" w:sz="0" w:space="0" w:color="auto"/>
                                        <w:right w:val="none" w:sz="0" w:space="0" w:color="auto"/>
                                      </w:divBdr>
                                      <w:divsChild>
                                        <w:div w:id="780298604">
                                          <w:marLeft w:val="0"/>
                                          <w:marRight w:val="0"/>
                                          <w:marTop w:val="0"/>
                                          <w:marBottom w:val="495"/>
                                          <w:divBdr>
                                            <w:top w:val="none" w:sz="0" w:space="0" w:color="auto"/>
                                            <w:left w:val="none" w:sz="0" w:space="0" w:color="auto"/>
                                            <w:bottom w:val="none" w:sz="0" w:space="0" w:color="auto"/>
                                            <w:right w:val="none" w:sz="0" w:space="0" w:color="auto"/>
                                          </w:divBdr>
                                          <w:divsChild>
                                            <w:div w:id="187866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689823">
      <w:bodyDiv w:val="1"/>
      <w:marLeft w:val="0"/>
      <w:marRight w:val="0"/>
      <w:marTop w:val="0"/>
      <w:marBottom w:val="0"/>
      <w:divBdr>
        <w:top w:val="none" w:sz="0" w:space="0" w:color="auto"/>
        <w:left w:val="none" w:sz="0" w:space="0" w:color="auto"/>
        <w:bottom w:val="none" w:sz="0" w:space="0" w:color="auto"/>
        <w:right w:val="none" w:sz="0" w:space="0" w:color="auto"/>
      </w:divBdr>
      <w:divsChild>
        <w:div w:id="262805269">
          <w:marLeft w:val="0"/>
          <w:marRight w:val="0"/>
          <w:marTop w:val="0"/>
          <w:marBottom w:val="0"/>
          <w:divBdr>
            <w:top w:val="none" w:sz="0" w:space="0" w:color="auto"/>
            <w:left w:val="none" w:sz="0" w:space="0" w:color="auto"/>
            <w:bottom w:val="none" w:sz="0" w:space="0" w:color="auto"/>
            <w:right w:val="none" w:sz="0" w:space="0" w:color="auto"/>
          </w:divBdr>
          <w:divsChild>
            <w:div w:id="1955668861">
              <w:marLeft w:val="0"/>
              <w:marRight w:val="0"/>
              <w:marTop w:val="0"/>
              <w:marBottom w:val="0"/>
              <w:divBdr>
                <w:top w:val="none" w:sz="0" w:space="0" w:color="auto"/>
                <w:left w:val="none" w:sz="0" w:space="0" w:color="auto"/>
                <w:bottom w:val="none" w:sz="0" w:space="0" w:color="auto"/>
                <w:right w:val="none" w:sz="0" w:space="0" w:color="auto"/>
              </w:divBdr>
              <w:divsChild>
                <w:div w:id="1344631939">
                  <w:marLeft w:val="0"/>
                  <w:marRight w:val="0"/>
                  <w:marTop w:val="0"/>
                  <w:marBottom w:val="0"/>
                  <w:divBdr>
                    <w:top w:val="none" w:sz="0" w:space="0" w:color="auto"/>
                    <w:left w:val="none" w:sz="0" w:space="0" w:color="auto"/>
                    <w:bottom w:val="none" w:sz="0" w:space="0" w:color="auto"/>
                    <w:right w:val="none" w:sz="0" w:space="0" w:color="auto"/>
                  </w:divBdr>
                  <w:divsChild>
                    <w:div w:id="1305936988">
                      <w:marLeft w:val="0"/>
                      <w:marRight w:val="0"/>
                      <w:marTop w:val="0"/>
                      <w:marBottom w:val="0"/>
                      <w:divBdr>
                        <w:top w:val="none" w:sz="0" w:space="0" w:color="auto"/>
                        <w:left w:val="none" w:sz="0" w:space="0" w:color="auto"/>
                        <w:bottom w:val="none" w:sz="0" w:space="0" w:color="auto"/>
                        <w:right w:val="none" w:sz="0" w:space="0" w:color="auto"/>
                      </w:divBdr>
                      <w:divsChild>
                        <w:div w:id="639918836">
                          <w:marLeft w:val="0"/>
                          <w:marRight w:val="0"/>
                          <w:marTop w:val="0"/>
                          <w:marBottom w:val="0"/>
                          <w:divBdr>
                            <w:top w:val="none" w:sz="0" w:space="0" w:color="auto"/>
                            <w:left w:val="none" w:sz="0" w:space="0" w:color="auto"/>
                            <w:bottom w:val="none" w:sz="0" w:space="0" w:color="auto"/>
                            <w:right w:val="none" w:sz="0" w:space="0" w:color="auto"/>
                          </w:divBdr>
                          <w:divsChild>
                            <w:div w:id="1682973566">
                              <w:marLeft w:val="0"/>
                              <w:marRight w:val="0"/>
                              <w:marTop w:val="0"/>
                              <w:marBottom w:val="0"/>
                              <w:divBdr>
                                <w:top w:val="none" w:sz="0" w:space="0" w:color="auto"/>
                                <w:left w:val="none" w:sz="0" w:space="0" w:color="auto"/>
                                <w:bottom w:val="none" w:sz="0" w:space="0" w:color="auto"/>
                                <w:right w:val="none" w:sz="0" w:space="0" w:color="auto"/>
                              </w:divBdr>
                              <w:divsChild>
                                <w:div w:id="554239025">
                                  <w:marLeft w:val="0"/>
                                  <w:marRight w:val="0"/>
                                  <w:marTop w:val="0"/>
                                  <w:marBottom w:val="0"/>
                                  <w:divBdr>
                                    <w:top w:val="none" w:sz="0" w:space="0" w:color="auto"/>
                                    <w:left w:val="none" w:sz="0" w:space="0" w:color="auto"/>
                                    <w:bottom w:val="none" w:sz="0" w:space="0" w:color="auto"/>
                                    <w:right w:val="none" w:sz="0" w:space="0" w:color="auto"/>
                                  </w:divBdr>
                                  <w:divsChild>
                                    <w:div w:id="16808973">
                                      <w:marLeft w:val="0"/>
                                      <w:marRight w:val="0"/>
                                      <w:marTop w:val="0"/>
                                      <w:marBottom w:val="0"/>
                                      <w:divBdr>
                                        <w:top w:val="none" w:sz="0" w:space="0" w:color="auto"/>
                                        <w:left w:val="none" w:sz="0" w:space="0" w:color="auto"/>
                                        <w:bottom w:val="none" w:sz="0" w:space="0" w:color="auto"/>
                                        <w:right w:val="none" w:sz="0" w:space="0" w:color="auto"/>
                                      </w:divBdr>
                                      <w:divsChild>
                                        <w:div w:id="2134976131">
                                          <w:marLeft w:val="0"/>
                                          <w:marRight w:val="0"/>
                                          <w:marTop w:val="0"/>
                                          <w:marBottom w:val="495"/>
                                          <w:divBdr>
                                            <w:top w:val="none" w:sz="0" w:space="0" w:color="auto"/>
                                            <w:left w:val="none" w:sz="0" w:space="0" w:color="auto"/>
                                            <w:bottom w:val="none" w:sz="0" w:space="0" w:color="auto"/>
                                            <w:right w:val="none" w:sz="0" w:space="0" w:color="auto"/>
                                          </w:divBdr>
                                          <w:divsChild>
                                            <w:div w:id="116315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769359">
      <w:bodyDiv w:val="1"/>
      <w:marLeft w:val="0"/>
      <w:marRight w:val="0"/>
      <w:marTop w:val="0"/>
      <w:marBottom w:val="0"/>
      <w:divBdr>
        <w:top w:val="none" w:sz="0" w:space="0" w:color="auto"/>
        <w:left w:val="none" w:sz="0" w:space="0" w:color="auto"/>
        <w:bottom w:val="none" w:sz="0" w:space="0" w:color="auto"/>
        <w:right w:val="none" w:sz="0" w:space="0" w:color="auto"/>
      </w:divBdr>
      <w:divsChild>
        <w:div w:id="1364598206">
          <w:marLeft w:val="0"/>
          <w:marRight w:val="0"/>
          <w:marTop w:val="0"/>
          <w:marBottom w:val="0"/>
          <w:divBdr>
            <w:top w:val="none" w:sz="0" w:space="0" w:color="auto"/>
            <w:left w:val="none" w:sz="0" w:space="0" w:color="auto"/>
            <w:bottom w:val="none" w:sz="0" w:space="0" w:color="auto"/>
            <w:right w:val="none" w:sz="0" w:space="0" w:color="auto"/>
          </w:divBdr>
          <w:divsChild>
            <w:div w:id="334846818">
              <w:marLeft w:val="0"/>
              <w:marRight w:val="0"/>
              <w:marTop w:val="0"/>
              <w:marBottom w:val="0"/>
              <w:divBdr>
                <w:top w:val="none" w:sz="0" w:space="0" w:color="auto"/>
                <w:left w:val="none" w:sz="0" w:space="0" w:color="auto"/>
                <w:bottom w:val="none" w:sz="0" w:space="0" w:color="auto"/>
                <w:right w:val="none" w:sz="0" w:space="0" w:color="auto"/>
              </w:divBdr>
              <w:divsChild>
                <w:div w:id="1683707353">
                  <w:marLeft w:val="0"/>
                  <w:marRight w:val="0"/>
                  <w:marTop w:val="0"/>
                  <w:marBottom w:val="0"/>
                  <w:divBdr>
                    <w:top w:val="none" w:sz="0" w:space="0" w:color="auto"/>
                    <w:left w:val="none" w:sz="0" w:space="0" w:color="auto"/>
                    <w:bottom w:val="none" w:sz="0" w:space="0" w:color="auto"/>
                    <w:right w:val="none" w:sz="0" w:space="0" w:color="auto"/>
                  </w:divBdr>
                  <w:divsChild>
                    <w:div w:id="1950812513">
                      <w:marLeft w:val="0"/>
                      <w:marRight w:val="0"/>
                      <w:marTop w:val="0"/>
                      <w:marBottom w:val="0"/>
                      <w:divBdr>
                        <w:top w:val="none" w:sz="0" w:space="0" w:color="auto"/>
                        <w:left w:val="none" w:sz="0" w:space="0" w:color="auto"/>
                        <w:bottom w:val="none" w:sz="0" w:space="0" w:color="auto"/>
                        <w:right w:val="none" w:sz="0" w:space="0" w:color="auto"/>
                      </w:divBdr>
                      <w:divsChild>
                        <w:div w:id="935405320">
                          <w:marLeft w:val="0"/>
                          <w:marRight w:val="0"/>
                          <w:marTop w:val="0"/>
                          <w:marBottom w:val="0"/>
                          <w:divBdr>
                            <w:top w:val="none" w:sz="0" w:space="0" w:color="auto"/>
                            <w:left w:val="none" w:sz="0" w:space="0" w:color="auto"/>
                            <w:bottom w:val="none" w:sz="0" w:space="0" w:color="auto"/>
                            <w:right w:val="none" w:sz="0" w:space="0" w:color="auto"/>
                          </w:divBdr>
                          <w:divsChild>
                            <w:div w:id="1284576506">
                              <w:marLeft w:val="0"/>
                              <w:marRight w:val="0"/>
                              <w:marTop w:val="0"/>
                              <w:marBottom w:val="0"/>
                              <w:divBdr>
                                <w:top w:val="none" w:sz="0" w:space="0" w:color="auto"/>
                                <w:left w:val="none" w:sz="0" w:space="0" w:color="auto"/>
                                <w:bottom w:val="none" w:sz="0" w:space="0" w:color="auto"/>
                                <w:right w:val="none" w:sz="0" w:space="0" w:color="auto"/>
                              </w:divBdr>
                              <w:divsChild>
                                <w:div w:id="430325289">
                                  <w:marLeft w:val="0"/>
                                  <w:marRight w:val="0"/>
                                  <w:marTop w:val="0"/>
                                  <w:marBottom w:val="0"/>
                                  <w:divBdr>
                                    <w:top w:val="none" w:sz="0" w:space="0" w:color="auto"/>
                                    <w:left w:val="none" w:sz="0" w:space="0" w:color="auto"/>
                                    <w:bottom w:val="none" w:sz="0" w:space="0" w:color="auto"/>
                                    <w:right w:val="none" w:sz="0" w:space="0" w:color="auto"/>
                                  </w:divBdr>
                                  <w:divsChild>
                                    <w:div w:id="160121915">
                                      <w:marLeft w:val="0"/>
                                      <w:marRight w:val="0"/>
                                      <w:marTop w:val="0"/>
                                      <w:marBottom w:val="0"/>
                                      <w:divBdr>
                                        <w:top w:val="none" w:sz="0" w:space="0" w:color="auto"/>
                                        <w:left w:val="none" w:sz="0" w:space="0" w:color="auto"/>
                                        <w:bottom w:val="none" w:sz="0" w:space="0" w:color="auto"/>
                                        <w:right w:val="none" w:sz="0" w:space="0" w:color="auto"/>
                                      </w:divBdr>
                                      <w:divsChild>
                                        <w:div w:id="759061804">
                                          <w:marLeft w:val="0"/>
                                          <w:marRight w:val="0"/>
                                          <w:marTop w:val="0"/>
                                          <w:marBottom w:val="495"/>
                                          <w:divBdr>
                                            <w:top w:val="none" w:sz="0" w:space="0" w:color="auto"/>
                                            <w:left w:val="none" w:sz="0" w:space="0" w:color="auto"/>
                                            <w:bottom w:val="none" w:sz="0" w:space="0" w:color="auto"/>
                                            <w:right w:val="none" w:sz="0" w:space="0" w:color="auto"/>
                                          </w:divBdr>
                                          <w:divsChild>
                                            <w:div w:id="144330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266871">
      <w:bodyDiv w:val="1"/>
      <w:marLeft w:val="0"/>
      <w:marRight w:val="0"/>
      <w:marTop w:val="0"/>
      <w:marBottom w:val="0"/>
      <w:divBdr>
        <w:top w:val="none" w:sz="0" w:space="0" w:color="auto"/>
        <w:left w:val="none" w:sz="0" w:space="0" w:color="auto"/>
        <w:bottom w:val="none" w:sz="0" w:space="0" w:color="auto"/>
        <w:right w:val="none" w:sz="0" w:space="0" w:color="auto"/>
      </w:divBdr>
      <w:divsChild>
        <w:div w:id="49118260">
          <w:marLeft w:val="0"/>
          <w:marRight w:val="0"/>
          <w:marTop w:val="0"/>
          <w:marBottom w:val="0"/>
          <w:divBdr>
            <w:top w:val="none" w:sz="0" w:space="0" w:color="auto"/>
            <w:left w:val="none" w:sz="0" w:space="0" w:color="auto"/>
            <w:bottom w:val="none" w:sz="0" w:space="0" w:color="auto"/>
            <w:right w:val="none" w:sz="0" w:space="0" w:color="auto"/>
          </w:divBdr>
          <w:divsChild>
            <w:div w:id="2033876117">
              <w:marLeft w:val="0"/>
              <w:marRight w:val="0"/>
              <w:marTop w:val="0"/>
              <w:marBottom w:val="0"/>
              <w:divBdr>
                <w:top w:val="none" w:sz="0" w:space="0" w:color="auto"/>
                <w:left w:val="none" w:sz="0" w:space="0" w:color="auto"/>
                <w:bottom w:val="none" w:sz="0" w:space="0" w:color="auto"/>
                <w:right w:val="none" w:sz="0" w:space="0" w:color="auto"/>
              </w:divBdr>
              <w:divsChild>
                <w:div w:id="343436025">
                  <w:marLeft w:val="0"/>
                  <w:marRight w:val="0"/>
                  <w:marTop w:val="0"/>
                  <w:marBottom w:val="0"/>
                  <w:divBdr>
                    <w:top w:val="none" w:sz="0" w:space="0" w:color="auto"/>
                    <w:left w:val="none" w:sz="0" w:space="0" w:color="auto"/>
                    <w:bottom w:val="none" w:sz="0" w:space="0" w:color="auto"/>
                    <w:right w:val="none" w:sz="0" w:space="0" w:color="auto"/>
                  </w:divBdr>
                  <w:divsChild>
                    <w:div w:id="1809664543">
                      <w:marLeft w:val="0"/>
                      <w:marRight w:val="0"/>
                      <w:marTop w:val="0"/>
                      <w:marBottom w:val="0"/>
                      <w:divBdr>
                        <w:top w:val="none" w:sz="0" w:space="0" w:color="auto"/>
                        <w:left w:val="none" w:sz="0" w:space="0" w:color="auto"/>
                        <w:bottom w:val="none" w:sz="0" w:space="0" w:color="auto"/>
                        <w:right w:val="none" w:sz="0" w:space="0" w:color="auto"/>
                      </w:divBdr>
                      <w:divsChild>
                        <w:div w:id="247036125">
                          <w:marLeft w:val="0"/>
                          <w:marRight w:val="0"/>
                          <w:marTop w:val="0"/>
                          <w:marBottom w:val="0"/>
                          <w:divBdr>
                            <w:top w:val="none" w:sz="0" w:space="0" w:color="auto"/>
                            <w:left w:val="none" w:sz="0" w:space="0" w:color="auto"/>
                            <w:bottom w:val="none" w:sz="0" w:space="0" w:color="auto"/>
                            <w:right w:val="none" w:sz="0" w:space="0" w:color="auto"/>
                          </w:divBdr>
                          <w:divsChild>
                            <w:div w:id="186339174">
                              <w:marLeft w:val="0"/>
                              <w:marRight w:val="0"/>
                              <w:marTop w:val="0"/>
                              <w:marBottom w:val="0"/>
                              <w:divBdr>
                                <w:top w:val="none" w:sz="0" w:space="0" w:color="auto"/>
                                <w:left w:val="none" w:sz="0" w:space="0" w:color="auto"/>
                                <w:bottom w:val="none" w:sz="0" w:space="0" w:color="auto"/>
                                <w:right w:val="none" w:sz="0" w:space="0" w:color="auto"/>
                              </w:divBdr>
                              <w:divsChild>
                                <w:div w:id="1160075180">
                                  <w:marLeft w:val="0"/>
                                  <w:marRight w:val="0"/>
                                  <w:marTop w:val="0"/>
                                  <w:marBottom w:val="0"/>
                                  <w:divBdr>
                                    <w:top w:val="none" w:sz="0" w:space="0" w:color="auto"/>
                                    <w:left w:val="none" w:sz="0" w:space="0" w:color="auto"/>
                                    <w:bottom w:val="none" w:sz="0" w:space="0" w:color="auto"/>
                                    <w:right w:val="none" w:sz="0" w:space="0" w:color="auto"/>
                                  </w:divBdr>
                                  <w:divsChild>
                                    <w:div w:id="2054185963">
                                      <w:marLeft w:val="0"/>
                                      <w:marRight w:val="0"/>
                                      <w:marTop w:val="0"/>
                                      <w:marBottom w:val="0"/>
                                      <w:divBdr>
                                        <w:top w:val="none" w:sz="0" w:space="0" w:color="auto"/>
                                        <w:left w:val="none" w:sz="0" w:space="0" w:color="auto"/>
                                        <w:bottom w:val="none" w:sz="0" w:space="0" w:color="auto"/>
                                        <w:right w:val="none" w:sz="0" w:space="0" w:color="auto"/>
                                      </w:divBdr>
                                      <w:divsChild>
                                        <w:div w:id="752237972">
                                          <w:marLeft w:val="0"/>
                                          <w:marRight w:val="0"/>
                                          <w:marTop w:val="0"/>
                                          <w:marBottom w:val="495"/>
                                          <w:divBdr>
                                            <w:top w:val="none" w:sz="0" w:space="0" w:color="auto"/>
                                            <w:left w:val="none" w:sz="0" w:space="0" w:color="auto"/>
                                            <w:bottom w:val="none" w:sz="0" w:space="0" w:color="auto"/>
                                            <w:right w:val="none" w:sz="0" w:space="0" w:color="auto"/>
                                          </w:divBdr>
                                          <w:divsChild>
                                            <w:div w:id="81202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237021">
      <w:bodyDiv w:val="1"/>
      <w:marLeft w:val="0"/>
      <w:marRight w:val="0"/>
      <w:marTop w:val="0"/>
      <w:marBottom w:val="0"/>
      <w:divBdr>
        <w:top w:val="none" w:sz="0" w:space="0" w:color="auto"/>
        <w:left w:val="none" w:sz="0" w:space="0" w:color="auto"/>
        <w:bottom w:val="none" w:sz="0" w:space="0" w:color="auto"/>
        <w:right w:val="none" w:sz="0" w:space="0" w:color="auto"/>
      </w:divBdr>
      <w:divsChild>
        <w:div w:id="689649348">
          <w:marLeft w:val="0"/>
          <w:marRight w:val="0"/>
          <w:marTop w:val="0"/>
          <w:marBottom w:val="0"/>
          <w:divBdr>
            <w:top w:val="none" w:sz="0" w:space="0" w:color="auto"/>
            <w:left w:val="none" w:sz="0" w:space="0" w:color="auto"/>
            <w:bottom w:val="none" w:sz="0" w:space="0" w:color="auto"/>
            <w:right w:val="none" w:sz="0" w:space="0" w:color="auto"/>
          </w:divBdr>
          <w:divsChild>
            <w:div w:id="937636755">
              <w:marLeft w:val="0"/>
              <w:marRight w:val="0"/>
              <w:marTop w:val="0"/>
              <w:marBottom w:val="0"/>
              <w:divBdr>
                <w:top w:val="none" w:sz="0" w:space="0" w:color="auto"/>
                <w:left w:val="none" w:sz="0" w:space="0" w:color="auto"/>
                <w:bottom w:val="none" w:sz="0" w:space="0" w:color="auto"/>
                <w:right w:val="none" w:sz="0" w:space="0" w:color="auto"/>
              </w:divBdr>
              <w:divsChild>
                <w:div w:id="550270645">
                  <w:marLeft w:val="0"/>
                  <w:marRight w:val="0"/>
                  <w:marTop w:val="0"/>
                  <w:marBottom w:val="0"/>
                  <w:divBdr>
                    <w:top w:val="none" w:sz="0" w:space="0" w:color="auto"/>
                    <w:left w:val="none" w:sz="0" w:space="0" w:color="auto"/>
                    <w:bottom w:val="none" w:sz="0" w:space="0" w:color="auto"/>
                    <w:right w:val="none" w:sz="0" w:space="0" w:color="auto"/>
                  </w:divBdr>
                  <w:divsChild>
                    <w:div w:id="166218344">
                      <w:marLeft w:val="0"/>
                      <w:marRight w:val="0"/>
                      <w:marTop w:val="0"/>
                      <w:marBottom w:val="0"/>
                      <w:divBdr>
                        <w:top w:val="none" w:sz="0" w:space="0" w:color="auto"/>
                        <w:left w:val="none" w:sz="0" w:space="0" w:color="auto"/>
                        <w:bottom w:val="none" w:sz="0" w:space="0" w:color="auto"/>
                        <w:right w:val="none" w:sz="0" w:space="0" w:color="auto"/>
                      </w:divBdr>
                      <w:divsChild>
                        <w:div w:id="2093620289">
                          <w:marLeft w:val="0"/>
                          <w:marRight w:val="0"/>
                          <w:marTop w:val="0"/>
                          <w:marBottom w:val="0"/>
                          <w:divBdr>
                            <w:top w:val="none" w:sz="0" w:space="0" w:color="auto"/>
                            <w:left w:val="none" w:sz="0" w:space="0" w:color="auto"/>
                            <w:bottom w:val="none" w:sz="0" w:space="0" w:color="auto"/>
                            <w:right w:val="none" w:sz="0" w:space="0" w:color="auto"/>
                          </w:divBdr>
                          <w:divsChild>
                            <w:div w:id="1589998253">
                              <w:marLeft w:val="0"/>
                              <w:marRight w:val="0"/>
                              <w:marTop w:val="0"/>
                              <w:marBottom w:val="0"/>
                              <w:divBdr>
                                <w:top w:val="none" w:sz="0" w:space="0" w:color="auto"/>
                                <w:left w:val="none" w:sz="0" w:space="0" w:color="auto"/>
                                <w:bottom w:val="none" w:sz="0" w:space="0" w:color="auto"/>
                                <w:right w:val="none" w:sz="0" w:space="0" w:color="auto"/>
                              </w:divBdr>
                              <w:divsChild>
                                <w:div w:id="801924025">
                                  <w:marLeft w:val="0"/>
                                  <w:marRight w:val="0"/>
                                  <w:marTop w:val="0"/>
                                  <w:marBottom w:val="0"/>
                                  <w:divBdr>
                                    <w:top w:val="none" w:sz="0" w:space="0" w:color="auto"/>
                                    <w:left w:val="none" w:sz="0" w:space="0" w:color="auto"/>
                                    <w:bottom w:val="none" w:sz="0" w:space="0" w:color="auto"/>
                                    <w:right w:val="none" w:sz="0" w:space="0" w:color="auto"/>
                                  </w:divBdr>
                                  <w:divsChild>
                                    <w:div w:id="778911950">
                                      <w:marLeft w:val="0"/>
                                      <w:marRight w:val="0"/>
                                      <w:marTop w:val="0"/>
                                      <w:marBottom w:val="0"/>
                                      <w:divBdr>
                                        <w:top w:val="none" w:sz="0" w:space="0" w:color="auto"/>
                                        <w:left w:val="none" w:sz="0" w:space="0" w:color="auto"/>
                                        <w:bottom w:val="none" w:sz="0" w:space="0" w:color="auto"/>
                                        <w:right w:val="none" w:sz="0" w:space="0" w:color="auto"/>
                                      </w:divBdr>
                                      <w:divsChild>
                                        <w:div w:id="49616228">
                                          <w:marLeft w:val="0"/>
                                          <w:marRight w:val="0"/>
                                          <w:marTop w:val="0"/>
                                          <w:marBottom w:val="495"/>
                                          <w:divBdr>
                                            <w:top w:val="none" w:sz="0" w:space="0" w:color="auto"/>
                                            <w:left w:val="none" w:sz="0" w:space="0" w:color="auto"/>
                                            <w:bottom w:val="none" w:sz="0" w:space="0" w:color="auto"/>
                                            <w:right w:val="none" w:sz="0" w:space="0" w:color="auto"/>
                                          </w:divBdr>
                                          <w:divsChild>
                                            <w:div w:id="46347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285624">
      <w:bodyDiv w:val="1"/>
      <w:marLeft w:val="0"/>
      <w:marRight w:val="0"/>
      <w:marTop w:val="0"/>
      <w:marBottom w:val="0"/>
      <w:divBdr>
        <w:top w:val="none" w:sz="0" w:space="0" w:color="auto"/>
        <w:left w:val="none" w:sz="0" w:space="0" w:color="auto"/>
        <w:bottom w:val="none" w:sz="0" w:space="0" w:color="auto"/>
        <w:right w:val="none" w:sz="0" w:space="0" w:color="auto"/>
      </w:divBdr>
      <w:divsChild>
        <w:div w:id="1371568427">
          <w:marLeft w:val="0"/>
          <w:marRight w:val="0"/>
          <w:marTop w:val="0"/>
          <w:marBottom w:val="0"/>
          <w:divBdr>
            <w:top w:val="none" w:sz="0" w:space="0" w:color="auto"/>
            <w:left w:val="none" w:sz="0" w:space="0" w:color="auto"/>
            <w:bottom w:val="none" w:sz="0" w:space="0" w:color="auto"/>
            <w:right w:val="none" w:sz="0" w:space="0" w:color="auto"/>
          </w:divBdr>
          <w:divsChild>
            <w:div w:id="1069158857">
              <w:marLeft w:val="0"/>
              <w:marRight w:val="0"/>
              <w:marTop w:val="0"/>
              <w:marBottom w:val="0"/>
              <w:divBdr>
                <w:top w:val="none" w:sz="0" w:space="0" w:color="auto"/>
                <w:left w:val="none" w:sz="0" w:space="0" w:color="auto"/>
                <w:bottom w:val="none" w:sz="0" w:space="0" w:color="auto"/>
                <w:right w:val="none" w:sz="0" w:space="0" w:color="auto"/>
              </w:divBdr>
              <w:divsChild>
                <w:div w:id="1483691663">
                  <w:marLeft w:val="0"/>
                  <w:marRight w:val="0"/>
                  <w:marTop w:val="0"/>
                  <w:marBottom w:val="0"/>
                  <w:divBdr>
                    <w:top w:val="none" w:sz="0" w:space="0" w:color="auto"/>
                    <w:left w:val="none" w:sz="0" w:space="0" w:color="auto"/>
                    <w:bottom w:val="none" w:sz="0" w:space="0" w:color="auto"/>
                    <w:right w:val="none" w:sz="0" w:space="0" w:color="auto"/>
                  </w:divBdr>
                  <w:divsChild>
                    <w:div w:id="723720172">
                      <w:marLeft w:val="0"/>
                      <w:marRight w:val="0"/>
                      <w:marTop w:val="0"/>
                      <w:marBottom w:val="0"/>
                      <w:divBdr>
                        <w:top w:val="none" w:sz="0" w:space="0" w:color="auto"/>
                        <w:left w:val="none" w:sz="0" w:space="0" w:color="auto"/>
                        <w:bottom w:val="none" w:sz="0" w:space="0" w:color="auto"/>
                        <w:right w:val="none" w:sz="0" w:space="0" w:color="auto"/>
                      </w:divBdr>
                      <w:divsChild>
                        <w:div w:id="1137070997">
                          <w:marLeft w:val="0"/>
                          <w:marRight w:val="0"/>
                          <w:marTop w:val="0"/>
                          <w:marBottom w:val="0"/>
                          <w:divBdr>
                            <w:top w:val="none" w:sz="0" w:space="0" w:color="auto"/>
                            <w:left w:val="none" w:sz="0" w:space="0" w:color="auto"/>
                            <w:bottom w:val="none" w:sz="0" w:space="0" w:color="auto"/>
                            <w:right w:val="none" w:sz="0" w:space="0" w:color="auto"/>
                          </w:divBdr>
                          <w:divsChild>
                            <w:div w:id="623121685">
                              <w:marLeft w:val="0"/>
                              <w:marRight w:val="0"/>
                              <w:marTop w:val="0"/>
                              <w:marBottom w:val="0"/>
                              <w:divBdr>
                                <w:top w:val="none" w:sz="0" w:space="0" w:color="auto"/>
                                <w:left w:val="none" w:sz="0" w:space="0" w:color="auto"/>
                                <w:bottom w:val="none" w:sz="0" w:space="0" w:color="auto"/>
                                <w:right w:val="none" w:sz="0" w:space="0" w:color="auto"/>
                              </w:divBdr>
                              <w:divsChild>
                                <w:div w:id="492993802">
                                  <w:marLeft w:val="0"/>
                                  <w:marRight w:val="0"/>
                                  <w:marTop w:val="0"/>
                                  <w:marBottom w:val="0"/>
                                  <w:divBdr>
                                    <w:top w:val="none" w:sz="0" w:space="0" w:color="auto"/>
                                    <w:left w:val="none" w:sz="0" w:space="0" w:color="auto"/>
                                    <w:bottom w:val="none" w:sz="0" w:space="0" w:color="auto"/>
                                    <w:right w:val="none" w:sz="0" w:space="0" w:color="auto"/>
                                  </w:divBdr>
                                  <w:divsChild>
                                    <w:div w:id="82725340">
                                      <w:marLeft w:val="0"/>
                                      <w:marRight w:val="0"/>
                                      <w:marTop w:val="0"/>
                                      <w:marBottom w:val="0"/>
                                      <w:divBdr>
                                        <w:top w:val="none" w:sz="0" w:space="0" w:color="auto"/>
                                        <w:left w:val="none" w:sz="0" w:space="0" w:color="auto"/>
                                        <w:bottom w:val="none" w:sz="0" w:space="0" w:color="auto"/>
                                        <w:right w:val="none" w:sz="0" w:space="0" w:color="auto"/>
                                      </w:divBdr>
                                      <w:divsChild>
                                        <w:div w:id="1460564880">
                                          <w:marLeft w:val="0"/>
                                          <w:marRight w:val="0"/>
                                          <w:marTop w:val="0"/>
                                          <w:marBottom w:val="495"/>
                                          <w:divBdr>
                                            <w:top w:val="none" w:sz="0" w:space="0" w:color="auto"/>
                                            <w:left w:val="none" w:sz="0" w:space="0" w:color="auto"/>
                                            <w:bottom w:val="none" w:sz="0" w:space="0" w:color="auto"/>
                                            <w:right w:val="none" w:sz="0" w:space="0" w:color="auto"/>
                                          </w:divBdr>
                                          <w:divsChild>
                                            <w:div w:id="117958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6382529">
      <w:bodyDiv w:val="1"/>
      <w:marLeft w:val="0"/>
      <w:marRight w:val="0"/>
      <w:marTop w:val="0"/>
      <w:marBottom w:val="0"/>
      <w:divBdr>
        <w:top w:val="none" w:sz="0" w:space="0" w:color="auto"/>
        <w:left w:val="none" w:sz="0" w:space="0" w:color="auto"/>
        <w:bottom w:val="none" w:sz="0" w:space="0" w:color="auto"/>
        <w:right w:val="none" w:sz="0" w:space="0" w:color="auto"/>
      </w:divBdr>
      <w:divsChild>
        <w:div w:id="140925288">
          <w:marLeft w:val="0"/>
          <w:marRight w:val="0"/>
          <w:marTop w:val="0"/>
          <w:marBottom w:val="0"/>
          <w:divBdr>
            <w:top w:val="none" w:sz="0" w:space="0" w:color="auto"/>
            <w:left w:val="none" w:sz="0" w:space="0" w:color="auto"/>
            <w:bottom w:val="none" w:sz="0" w:space="0" w:color="auto"/>
            <w:right w:val="none" w:sz="0" w:space="0" w:color="auto"/>
          </w:divBdr>
          <w:divsChild>
            <w:div w:id="1940094158">
              <w:marLeft w:val="0"/>
              <w:marRight w:val="0"/>
              <w:marTop w:val="0"/>
              <w:marBottom w:val="0"/>
              <w:divBdr>
                <w:top w:val="none" w:sz="0" w:space="0" w:color="auto"/>
                <w:left w:val="none" w:sz="0" w:space="0" w:color="auto"/>
                <w:bottom w:val="none" w:sz="0" w:space="0" w:color="auto"/>
                <w:right w:val="none" w:sz="0" w:space="0" w:color="auto"/>
              </w:divBdr>
              <w:divsChild>
                <w:div w:id="7370009">
                  <w:marLeft w:val="0"/>
                  <w:marRight w:val="0"/>
                  <w:marTop w:val="0"/>
                  <w:marBottom w:val="0"/>
                  <w:divBdr>
                    <w:top w:val="none" w:sz="0" w:space="0" w:color="auto"/>
                    <w:left w:val="none" w:sz="0" w:space="0" w:color="auto"/>
                    <w:bottom w:val="none" w:sz="0" w:space="0" w:color="auto"/>
                    <w:right w:val="none" w:sz="0" w:space="0" w:color="auto"/>
                  </w:divBdr>
                  <w:divsChild>
                    <w:div w:id="847135265">
                      <w:marLeft w:val="0"/>
                      <w:marRight w:val="0"/>
                      <w:marTop w:val="0"/>
                      <w:marBottom w:val="0"/>
                      <w:divBdr>
                        <w:top w:val="none" w:sz="0" w:space="0" w:color="auto"/>
                        <w:left w:val="none" w:sz="0" w:space="0" w:color="auto"/>
                        <w:bottom w:val="none" w:sz="0" w:space="0" w:color="auto"/>
                        <w:right w:val="none" w:sz="0" w:space="0" w:color="auto"/>
                      </w:divBdr>
                      <w:divsChild>
                        <w:div w:id="1046642001">
                          <w:marLeft w:val="0"/>
                          <w:marRight w:val="0"/>
                          <w:marTop w:val="0"/>
                          <w:marBottom w:val="0"/>
                          <w:divBdr>
                            <w:top w:val="none" w:sz="0" w:space="0" w:color="auto"/>
                            <w:left w:val="none" w:sz="0" w:space="0" w:color="auto"/>
                            <w:bottom w:val="none" w:sz="0" w:space="0" w:color="auto"/>
                            <w:right w:val="none" w:sz="0" w:space="0" w:color="auto"/>
                          </w:divBdr>
                          <w:divsChild>
                            <w:div w:id="1896311066">
                              <w:marLeft w:val="0"/>
                              <w:marRight w:val="0"/>
                              <w:marTop w:val="0"/>
                              <w:marBottom w:val="0"/>
                              <w:divBdr>
                                <w:top w:val="none" w:sz="0" w:space="0" w:color="auto"/>
                                <w:left w:val="none" w:sz="0" w:space="0" w:color="auto"/>
                                <w:bottom w:val="none" w:sz="0" w:space="0" w:color="auto"/>
                                <w:right w:val="none" w:sz="0" w:space="0" w:color="auto"/>
                              </w:divBdr>
                              <w:divsChild>
                                <w:div w:id="2073263956">
                                  <w:marLeft w:val="0"/>
                                  <w:marRight w:val="0"/>
                                  <w:marTop w:val="0"/>
                                  <w:marBottom w:val="0"/>
                                  <w:divBdr>
                                    <w:top w:val="none" w:sz="0" w:space="0" w:color="auto"/>
                                    <w:left w:val="none" w:sz="0" w:space="0" w:color="auto"/>
                                    <w:bottom w:val="none" w:sz="0" w:space="0" w:color="auto"/>
                                    <w:right w:val="none" w:sz="0" w:space="0" w:color="auto"/>
                                  </w:divBdr>
                                  <w:divsChild>
                                    <w:div w:id="243149630">
                                      <w:marLeft w:val="0"/>
                                      <w:marRight w:val="0"/>
                                      <w:marTop w:val="0"/>
                                      <w:marBottom w:val="0"/>
                                      <w:divBdr>
                                        <w:top w:val="none" w:sz="0" w:space="0" w:color="auto"/>
                                        <w:left w:val="none" w:sz="0" w:space="0" w:color="auto"/>
                                        <w:bottom w:val="none" w:sz="0" w:space="0" w:color="auto"/>
                                        <w:right w:val="none" w:sz="0" w:space="0" w:color="auto"/>
                                      </w:divBdr>
                                      <w:divsChild>
                                        <w:div w:id="1075857123">
                                          <w:marLeft w:val="0"/>
                                          <w:marRight w:val="0"/>
                                          <w:marTop w:val="0"/>
                                          <w:marBottom w:val="495"/>
                                          <w:divBdr>
                                            <w:top w:val="none" w:sz="0" w:space="0" w:color="auto"/>
                                            <w:left w:val="none" w:sz="0" w:space="0" w:color="auto"/>
                                            <w:bottom w:val="none" w:sz="0" w:space="0" w:color="auto"/>
                                            <w:right w:val="none" w:sz="0" w:space="0" w:color="auto"/>
                                          </w:divBdr>
                                          <w:divsChild>
                                            <w:div w:id="204953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4970392">
      <w:bodyDiv w:val="1"/>
      <w:marLeft w:val="0"/>
      <w:marRight w:val="0"/>
      <w:marTop w:val="0"/>
      <w:marBottom w:val="0"/>
      <w:divBdr>
        <w:top w:val="none" w:sz="0" w:space="0" w:color="auto"/>
        <w:left w:val="none" w:sz="0" w:space="0" w:color="auto"/>
        <w:bottom w:val="none" w:sz="0" w:space="0" w:color="auto"/>
        <w:right w:val="none" w:sz="0" w:space="0" w:color="auto"/>
      </w:divBdr>
      <w:divsChild>
        <w:div w:id="1038318014">
          <w:marLeft w:val="0"/>
          <w:marRight w:val="0"/>
          <w:marTop w:val="0"/>
          <w:marBottom w:val="0"/>
          <w:divBdr>
            <w:top w:val="none" w:sz="0" w:space="0" w:color="auto"/>
            <w:left w:val="none" w:sz="0" w:space="0" w:color="auto"/>
            <w:bottom w:val="none" w:sz="0" w:space="0" w:color="auto"/>
            <w:right w:val="none" w:sz="0" w:space="0" w:color="auto"/>
          </w:divBdr>
          <w:divsChild>
            <w:div w:id="1120996698">
              <w:marLeft w:val="0"/>
              <w:marRight w:val="0"/>
              <w:marTop w:val="0"/>
              <w:marBottom w:val="0"/>
              <w:divBdr>
                <w:top w:val="none" w:sz="0" w:space="0" w:color="auto"/>
                <w:left w:val="none" w:sz="0" w:space="0" w:color="auto"/>
                <w:bottom w:val="none" w:sz="0" w:space="0" w:color="auto"/>
                <w:right w:val="none" w:sz="0" w:space="0" w:color="auto"/>
              </w:divBdr>
              <w:divsChild>
                <w:div w:id="175392541">
                  <w:marLeft w:val="0"/>
                  <w:marRight w:val="0"/>
                  <w:marTop w:val="0"/>
                  <w:marBottom w:val="0"/>
                  <w:divBdr>
                    <w:top w:val="none" w:sz="0" w:space="0" w:color="auto"/>
                    <w:left w:val="none" w:sz="0" w:space="0" w:color="auto"/>
                    <w:bottom w:val="none" w:sz="0" w:space="0" w:color="auto"/>
                    <w:right w:val="none" w:sz="0" w:space="0" w:color="auto"/>
                  </w:divBdr>
                  <w:divsChild>
                    <w:div w:id="383991092">
                      <w:marLeft w:val="0"/>
                      <w:marRight w:val="0"/>
                      <w:marTop w:val="0"/>
                      <w:marBottom w:val="0"/>
                      <w:divBdr>
                        <w:top w:val="none" w:sz="0" w:space="0" w:color="auto"/>
                        <w:left w:val="none" w:sz="0" w:space="0" w:color="auto"/>
                        <w:bottom w:val="none" w:sz="0" w:space="0" w:color="auto"/>
                        <w:right w:val="none" w:sz="0" w:space="0" w:color="auto"/>
                      </w:divBdr>
                      <w:divsChild>
                        <w:div w:id="736900891">
                          <w:marLeft w:val="0"/>
                          <w:marRight w:val="0"/>
                          <w:marTop w:val="0"/>
                          <w:marBottom w:val="0"/>
                          <w:divBdr>
                            <w:top w:val="none" w:sz="0" w:space="0" w:color="auto"/>
                            <w:left w:val="none" w:sz="0" w:space="0" w:color="auto"/>
                            <w:bottom w:val="none" w:sz="0" w:space="0" w:color="auto"/>
                            <w:right w:val="none" w:sz="0" w:space="0" w:color="auto"/>
                          </w:divBdr>
                          <w:divsChild>
                            <w:div w:id="607155553">
                              <w:marLeft w:val="0"/>
                              <w:marRight w:val="0"/>
                              <w:marTop w:val="0"/>
                              <w:marBottom w:val="0"/>
                              <w:divBdr>
                                <w:top w:val="none" w:sz="0" w:space="0" w:color="auto"/>
                                <w:left w:val="none" w:sz="0" w:space="0" w:color="auto"/>
                                <w:bottom w:val="none" w:sz="0" w:space="0" w:color="auto"/>
                                <w:right w:val="none" w:sz="0" w:space="0" w:color="auto"/>
                              </w:divBdr>
                              <w:divsChild>
                                <w:div w:id="373434261">
                                  <w:marLeft w:val="0"/>
                                  <w:marRight w:val="0"/>
                                  <w:marTop w:val="0"/>
                                  <w:marBottom w:val="0"/>
                                  <w:divBdr>
                                    <w:top w:val="none" w:sz="0" w:space="0" w:color="auto"/>
                                    <w:left w:val="none" w:sz="0" w:space="0" w:color="auto"/>
                                    <w:bottom w:val="none" w:sz="0" w:space="0" w:color="auto"/>
                                    <w:right w:val="none" w:sz="0" w:space="0" w:color="auto"/>
                                  </w:divBdr>
                                  <w:divsChild>
                                    <w:div w:id="1850679419">
                                      <w:marLeft w:val="0"/>
                                      <w:marRight w:val="0"/>
                                      <w:marTop w:val="0"/>
                                      <w:marBottom w:val="0"/>
                                      <w:divBdr>
                                        <w:top w:val="none" w:sz="0" w:space="0" w:color="auto"/>
                                        <w:left w:val="none" w:sz="0" w:space="0" w:color="auto"/>
                                        <w:bottom w:val="none" w:sz="0" w:space="0" w:color="auto"/>
                                        <w:right w:val="none" w:sz="0" w:space="0" w:color="auto"/>
                                      </w:divBdr>
                                      <w:divsChild>
                                        <w:div w:id="1786150467">
                                          <w:marLeft w:val="0"/>
                                          <w:marRight w:val="0"/>
                                          <w:marTop w:val="0"/>
                                          <w:marBottom w:val="495"/>
                                          <w:divBdr>
                                            <w:top w:val="none" w:sz="0" w:space="0" w:color="auto"/>
                                            <w:left w:val="none" w:sz="0" w:space="0" w:color="auto"/>
                                            <w:bottom w:val="none" w:sz="0" w:space="0" w:color="auto"/>
                                            <w:right w:val="none" w:sz="0" w:space="0" w:color="auto"/>
                                          </w:divBdr>
                                          <w:divsChild>
                                            <w:div w:id="109643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1671438">
      <w:bodyDiv w:val="1"/>
      <w:marLeft w:val="0"/>
      <w:marRight w:val="0"/>
      <w:marTop w:val="0"/>
      <w:marBottom w:val="0"/>
      <w:divBdr>
        <w:top w:val="none" w:sz="0" w:space="0" w:color="auto"/>
        <w:left w:val="none" w:sz="0" w:space="0" w:color="auto"/>
        <w:bottom w:val="none" w:sz="0" w:space="0" w:color="auto"/>
        <w:right w:val="none" w:sz="0" w:space="0" w:color="auto"/>
      </w:divBdr>
      <w:divsChild>
        <w:div w:id="547231612">
          <w:marLeft w:val="0"/>
          <w:marRight w:val="0"/>
          <w:marTop w:val="0"/>
          <w:marBottom w:val="0"/>
          <w:divBdr>
            <w:top w:val="none" w:sz="0" w:space="0" w:color="auto"/>
            <w:left w:val="none" w:sz="0" w:space="0" w:color="auto"/>
            <w:bottom w:val="none" w:sz="0" w:space="0" w:color="auto"/>
            <w:right w:val="none" w:sz="0" w:space="0" w:color="auto"/>
          </w:divBdr>
          <w:divsChild>
            <w:div w:id="933902931">
              <w:marLeft w:val="0"/>
              <w:marRight w:val="0"/>
              <w:marTop w:val="0"/>
              <w:marBottom w:val="0"/>
              <w:divBdr>
                <w:top w:val="none" w:sz="0" w:space="0" w:color="auto"/>
                <w:left w:val="none" w:sz="0" w:space="0" w:color="auto"/>
                <w:bottom w:val="none" w:sz="0" w:space="0" w:color="auto"/>
                <w:right w:val="none" w:sz="0" w:space="0" w:color="auto"/>
              </w:divBdr>
              <w:divsChild>
                <w:div w:id="674527745">
                  <w:marLeft w:val="0"/>
                  <w:marRight w:val="0"/>
                  <w:marTop w:val="0"/>
                  <w:marBottom w:val="0"/>
                  <w:divBdr>
                    <w:top w:val="none" w:sz="0" w:space="0" w:color="auto"/>
                    <w:left w:val="none" w:sz="0" w:space="0" w:color="auto"/>
                    <w:bottom w:val="none" w:sz="0" w:space="0" w:color="auto"/>
                    <w:right w:val="none" w:sz="0" w:space="0" w:color="auto"/>
                  </w:divBdr>
                  <w:divsChild>
                    <w:div w:id="1190754100">
                      <w:marLeft w:val="0"/>
                      <w:marRight w:val="0"/>
                      <w:marTop w:val="0"/>
                      <w:marBottom w:val="0"/>
                      <w:divBdr>
                        <w:top w:val="none" w:sz="0" w:space="0" w:color="auto"/>
                        <w:left w:val="none" w:sz="0" w:space="0" w:color="auto"/>
                        <w:bottom w:val="none" w:sz="0" w:space="0" w:color="auto"/>
                        <w:right w:val="none" w:sz="0" w:space="0" w:color="auto"/>
                      </w:divBdr>
                      <w:divsChild>
                        <w:div w:id="1067647178">
                          <w:marLeft w:val="0"/>
                          <w:marRight w:val="0"/>
                          <w:marTop w:val="0"/>
                          <w:marBottom w:val="0"/>
                          <w:divBdr>
                            <w:top w:val="none" w:sz="0" w:space="0" w:color="auto"/>
                            <w:left w:val="none" w:sz="0" w:space="0" w:color="auto"/>
                            <w:bottom w:val="none" w:sz="0" w:space="0" w:color="auto"/>
                            <w:right w:val="none" w:sz="0" w:space="0" w:color="auto"/>
                          </w:divBdr>
                          <w:divsChild>
                            <w:div w:id="729885684">
                              <w:marLeft w:val="0"/>
                              <w:marRight w:val="0"/>
                              <w:marTop w:val="0"/>
                              <w:marBottom w:val="0"/>
                              <w:divBdr>
                                <w:top w:val="none" w:sz="0" w:space="0" w:color="auto"/>
                                <w:left w:val="none" w:sz="0" w:space="0" w:color="auto"/>
                                <w:bottom w:val="none" w:sz="0" w:space="0" w:color="auto"/>
                                <w:right w:val="none" w:sz="0" w:space="0" w:color="auto"/>
                              </w:divBdr>
                              <w:divsChild>
                                <w:div w:id="1583296927">
                                  <w:marLeft w:val="0"/>
                                  <w:marRight w:val="0"/>
                                  <w:marTop w:val="0"/>
                                  <w:marBottom w:val="0"/>
                                  <w:divBdr>
                                    <w:top w:val="none" w:sz="0" w:space="0" w:color="auto"/>
                                    <w:left w:val="none" w:sz="0" w:space="0" w:color="auto"/>
                                    <w:bottom w:val="none" w:sz="0" w:space="0" w:color="auto"/>
                                    <w:right w:val="none" w:sz="0" w:space="0" w:color="auto"/>
                                  </w:divBdr>
                                  <w:divsChild>
                                    <w:div w:id="213273935">
                                      <w:marLeft w:val="0"/>
                                      <w:marRight w:val="0"/>
                                      <w:marTop w:val="0"/>
                                      <w:marBottom w:val="0"/>
                                      <w:divBdr>
                                        <w:top w:val="none" w:sz="0" w:space="0" w:color="auto"/>
                                        <w:left w:val="none" w:sz="0" w:space="0" w:color="auto"/>
                                        <w:bottom w:val="none" w:sz="0" w:space="0" w:color="auto"/>
                                        <w:right w:val="none" w:sz="0" w:space="0" w:color="auto"/>
                                      </w:divBdr>
                                      <w:divsChild>
                                        <w:div w:id="1125659345">
                                          <w:marLeft w:val="0"/>
                                          <w:marRight w:val="0"/>
                                          <w:marTop w:val="0"/>
                                          <w:marBottom w:val="495"/>
                                          <w:divBdr>
                                            <w:top w:val="none" w:sz="0" w:space="0" w:color="auto"/>
                                            <w:left w:val="none" w:sz="0" w:space="0" w:color="auto"/>
                                            <w:bottom w:val="none" w:sz="0" w:space="0" w:color="auto"/>
                                            <w:right w:val="none" w:sz="0" w:space="0" w:color="auto"/>
                                          </w:divBdr>
                                          <w:divsChild>
                                            <w:div w:id="179019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3443095">
      <w:bodyDiv w:val="1"/>
      <w:marLeft w:val="0"/>
      <w:marRight w:val="0"/>
      <w:marTop w:val="0"/>
      <w:marBottom w:val="0"/>
      <w:divBdr>
        <w:top w:val="none" w:sz="0" w:space="0" w:color="auto"/>
        <w:left w:val="none" w:sz="0" w:space="0" w:color="auto"/>
        <w:bottom w:val="none" w:sz="0" w:space="0" w:color="auto"/>
        <w:right w:val="none" w:sz="0" w:space="0" w:color="auto"/>
      </w:divBdr>
      <w:divsChild>
        <w:div w:id="1333146431">
          <w:marLeft w:val="0"/>
          <w:marRight w:val="0"/>
          <w:marTop w:val="0"/>
          <w:marBottom w:val="0"/>
          <w:divBdr>
            <w:top w:val="none" w:sz="0" w:space="0" w:color="auto"/>
            <w:left w:val="none" w:sz="0" w:space="0" w:color="auto"/>
            <w:bottom w:val="none" w:sz="0" w:space="0" w:color="auto"/>
            <w:right w:val="none" w:sz="0" w:space="0" w:color="auto"/>
          </w:divBdr>
          <w:divsChild>
            <w:div w:id="1737047150">
              <w:marLeft w:val="0"/>
              <w:marRight w:val="0"/>
              <w:marTop w:val="0"/>
              <w:marBottom w:val="0"/>
              <w:divBdr>
                <w:top w:val="none" w:sz="0" w:space="0" w:color="auto"/>
                <w:left w:val="none" w:sz="0" w:space="0" w:color="auto"/>
                <w:bottom w:val="none" w:sz="0" w:space="0" w:color="auto"/>
                <w:right w:val="none" w:sz="0" w:space="0" w:color="auto"/>
              </w:divBdr>
              <w:divsChild>
                <w:div w:id="1324967742">
                  <w:marLeft w:val="0"/>
                  <w:marRight w:val="0"/>
                  <w:marTop w:val="0"/>
                  <w:marBottom w:val="0"/>
                  <w:divBdr>
                    <w:top w:val="none" w:sz="0" w:space="0" w:color="auto"/>
                    <w:left w:val="none" w:sz="0" w:space="0" w:color="auto"/>
                    <w:bottom w:val="none" w:sz="0" w:space="0" w:color="auto"/>
                    <w:right w:val="none" w:sz="0" w:space="0" w:color="auto"/>
                  </w:divBdr>
                  <w:divsChild>
                    <w:div w:id="420108927">
                      <w:marLeft w:val="0"/>
                      <w:marRight w:val="0"/>
                      <w:marTop w:val="0"/>
                      <w:marBottom w:val="0"/>
                      <w:divBdr>
                        <w:top w:val="none" w:sz="0" w:space="0" w:color="auto"/>
                        <w:left w:val="none" w:sz="0" w:space="0" w:color="auto"/>
                        <w:bottom w:val="none" w:sz="0" w:space="0" w:color="auto"/>
                        <w:right w:val="none" w:sz="0" w:space="0" w:color="auto"/>
                      </w:divBdr>
                      <w:divsChild>
                        <w:div w:id="1650019774">
                          <w:marLeft w:val="0"/>
                          <w:marRight w:val="0"/>
                          <w:marTop w:val="0"/>
                          <w:marBottom w:val="0"/>
                          <w:divBdr>
                            <w:top w:val="none" w:sz="0" w:space="0" w:color="auto"/>
                            <w:left w:val="none" w:sz="0" w:space="0" w:color="auto"/>
                            <w:bottom w:val="none" w:sz="0" w:space="0" w:color="auto"/>
                            <w:right w:val="none" w:sz="0" w:space="0" w:color="auto"/>
                          </w:divBdr>
                          <w:divsChild>
                            <w:div w:id="1850175909">
                              <w:marLeft w:val="0"/>
                              <w:marRight w:val="0"/>
                              <w:marTop w:val="0"/>
                              <w:marBottom w:val="0"/>
                              <w:divBdr>
                                <w:top w:val="none" w:sz="0" w:space="0" w:color="auto"/>
                                <w:left w:val="none" w:sz="0" w:space="0" w:color="auto"/>
                                <w:bottom w:val="none" w:sz="0" w:space="0" w:color="auto"/>
                                <w:right w:val="none" w:sz="0" w:space="0" w:color="auto"/>
                              </w:divBdr>
                              <w:divsChild>
                                <w:div w:id="118769465">
                                  <w:marLeft w:val="0"/>
                                  <w:marRight w:val="0"/>
                                  <w:marTop w:val="0"/>
                                  <w:marBottom w:val="0"/>
                                  <w:divBdr>
                                    <w:top w:val="none" w:sz="0" w:space="0" w:color="auto"/>
                                    <w:left w:val="none" w:sz="0" w:space="0" w:color="auto"/>
                                    <w:bottom w:val="none" w:sz="0" w:space="0" w:color="auto"/>
                                    <w:right w:val="none" w:sz="0" w:space="0" w:color="auto"/>
                                  </w:divBdr>
                                  <w:divsChild>
                                    <w:div w:id="1329285792">
                                      <w:marLeft w:val="0"/>
                                      <w:marRight w:val="0"/>
                                      <w:marTop w:val="0"/>
                                      <w:marBottom w:val="0"/>
                                      <w:divBdr>
                                        <w:top w:val="none" w:sz="0" w:space="0" w:color="auto"/>
                                        <w:left w:val="none" w:sz="0" w:space="0" w:color="auto"/>
                                        <w:bottom w:val="none" w:sz="0" w:space="0" w:color="auto"/>
                                        <w:right w:val="none" w:sz="0" w:space="0" w:color="auto"/>
                                      </w:divBdr>
                                      <w:divsChild>
                                        <w:div w:id="2133360487">
                                          <w:marLeft w:val="0"/>
                                          <w:marRight w:val="0"/>
                                          <w:marTop w:val="0"/>
                                          <w:marBottom w:val="495"/>
                                          <w:divBdr>
                                            <w:top w:val="none" w:sz="0" w:space="0" w:color="auto"/>
                                            <w:left w:val="none" w:sz="0" w:space="0" w:color="auto"/>
                                            <w:bottom w:val="none" w:sz="0" w:space="0" w:color="auto"/>
                                            <w:right w:val="none" w:sz="0" w:space="0" w:color="auto"/>
                                          </w:divBdr>
                                          <w:divsChild>
                                            <w:div w:id="43393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2424892">
      <w:bodyDiv w:val="1"/>
      <w:marLeft w:val="0"/>
      <w:marRight w:val="0"/>
      <w:marTop w:val="0"/>
      <w:marBottom w:val="0"/>
      <w:divBdr>
        <w:top w:val="none" w:sz="0" w:space="0" w:color="auto"/>
        <w:left w:val="none" w:sz="0" w:space="0" w:color="auto"/>
        <w:bottom w:val="none" w:sz="0" w:space="0" w:color="auto"/>
        <w:right w:val="none" w:sz="0" w:space="0" w:color="auto"/>
      </w:divBdr>
      <w:divsChild>
        <w:div w:id="853953518">
          <w:marLeft w:val="0"/>
          <w:marRight w:val="0"/>
          <w:marTop w:val="0"/>
          <w:marBottom w:val="0"/>
          <w:divBdr>
            <w:top w:val="none" w:sz="0" w:space="0" w:color="auto"/>
            <w:left w:val="none" w:sz="0" w:space="0" w:color="auto"/>
            <w:bottom w:val="none" w:sz="0" w:space="0" w:color="auto"/>
            <w:right w:val="none" w:sz="0" w:space="0" w:color="auto"/>
          </w:divBdr>
          <w:divsChild>
            <w:div w:id="806973109">
              <w:marLeft w:val="0"/>
              <w:marRight w:val="0"/>
              <w:marTop w:val="0"/>
              <w:marBottom w:val="0"/>
              <w:divBdr>
                <w:top w:val="none" w:sz="0" w:space="0" w:color="auto"/>
                <w:left w:val="none" w:sz="0" w:space="0" w:color="auto"/>
                <w:bottom w:val="none" w:sz="0" w:space="0" w:color="auto"/>
                <w:right w:val="none" w:sz="0" w:space="0" w:color="auto"/>
              </w:divBdr>
              <w:divsChild>
                <w:div w:id="147525811">
                  <w:marLeft w:val="0"/>
                  <w:marRight w:val="0"/>
                  <w:marTop w:val="0"/>
                  <w:marBottom w:val="0"/>
                  <w:divBdr>
                    <w:top w:val="none" w:sz="0" w:space="0" w:color="auto"/>
                    <w:left w:val="none" w:sz="0" w:space="0" w:color="auto"/>
                    <w:bottom w:val="none" w:sz="0" w:space="0" w:color="auto"/>
                    <w:right w:val="none" w:sz="0" w:space="0" w:color="auto"/>
                  </w:divBdr>
                  <w:divsChild>
                    <w:div w:id="1969579822">
                      <w:marLeft w:val="0"/>
                      <w:marRight w:val="0"/>
                      <w:marTop w:val="0"/>
                      <w:marBottom w:val="0"/>
                      <w:divBdr>
                        <w:top w:val="none" w:sz="0" w:space="0" w:color="auto"/>
                        <w:left w:val="none" w:sz="0" w:space="0" w:color="auto"/>
                        <w:bottom w:val="none" w:sz="0" w:space="0" w:color="auto"/>
                        <w:right w:val="none" w:sz="0" w:space="0" w:color="auto"/>
                      </w:divBdr>
                      <w:divsChild>
                        <w:div w:id="1917015389">
                          <w:marLeft w:val="0"/>
                          <w:marRight w:val="0"/>
                          <w:marTop w:val="0"/>
                          <w:marBottom w:val="0"/>
                          <w:divBdr>
                            <w:top w:val="none" w:sz="0" w:space="0" w:color="auto"/>
                            <w:left w:val="none" w:sz="0" w:space="0" w:color="auto"/>
                            <w:bottom w:val="none" w:sz="0" w:space="0" w:color="auto"/>
                            <w:right w:val="none" w:sz="0" w:space="0" w:color="auto"/>
                          </w:divBdr>
                          <w:divsChild>
                            <w:div w:id="176045794">
                              <w:marLeft w:val="0"/>
                              <w:marRight w:val="0"/>
                              <w:marTop w:val="0"/>
                              <w:marBottom w:val="0"/>
                              <w:divBdr>
                                <w:top w:val="none" w:sz="0" w:space="0" w:color="auto"/>
                                <w:left w:val="none" w:sz="0" w:space="0" w:color="auto"/>
                                <w:bottom w:val="none" w:sz="0" w:space="0" w:color="auto"/>
                                <w:right w:val="none" w:sz="0" w:space="0" w:color="auto"/>
                              </w:divBdr>
                              <w:divsChild>
                                <w:div w:id="1925408305">
                                  <w:marLeft w:val="0"/>
                                  <w:marRight w:val="0"/>
                                  <w:marTop w:val="0"/>
                                  <w:marBottom w:val="0"/>
                                  <w:divBdr>
                                    <w:top w:val="none" w:sz="0" w:space="0" w:color="auto"/>
                                    <w:left w:val="none" w:sz="0" w:space="0" w:color="auto"/>
                                    <w:bottom w:val="none" w:sz="0" w:space="0" w:color="auto"/>
                                    <w:right w:val="none" w:sz="0" w:space="0" w:color="auto"/>
                                  </w:divBdr>
                                  <w:divsChild>
                                    <w:div w:id="35281726">
                                      <w:marLeft w:val="0"/>
                                      <w:marRight w:val="0"/>
                                      <w:marTop w:val="0"/>
                                      <w:marBottom w:val="0"/>
                                      <w:divBdr>
                                        <w:top w:val="none" w:sz="0" w:space="0" w:color="auto"/>
                                        <w:left w:val="none" w:sz="0" w:space="0" w:color="auto"/>
                                        <w:bottom w:val="none" w:sz="0" w:space="0" w:color="auto"/>
                                        <w:right w:val="none" w:sz="0" w:space="0" w:color="auto"/>
                                      </w:divBdr>
                                      <w:divsChild>
                                        <w:div w:id="1049644077">
                                          <w:marLeft w:val="0"/>
                                          <w:marRight w:val="0"/>
                                          <w:marTop w:val="0"/>
                                          <w:marBottom w:val="495"/>
                                          <w:divBdr>
                                            <w:top w:val="none" w:sz="0" w:space="0" w:color="auto"/>
                                            <w:left w:val="none" w:sz="0" w:space="0" w:color="auto"/>
                                            <w:bottom w:val="none" w:sz="0" w:space="0" w:color="auto"/>
                                            <w:right w:val="none" w:sz="0" w:space="0" w:color="auto"/>
                                          </w:divBdr>
                                          <w:divsChild>
                                            <w:div w:id="193901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771146">
      <w:bodyDiv w:val="1"/>
      <w:marLeft w:val="0"/>
      <w:marRight w:val="0"/>
      <w:marTop w:val="0"/>
      <w:marBottom w:val="0"/>
      <w:divBdr>
        <w:top w:val="none" w:sz="0" w:space="0" w:color="auto"/>
        <w:left w:val="none" w:sz="0" w:space="0" w:color="auto"/>
        <w:bottom w:val="none" w:sz="0" w:space="0" w:color="auto"/>
        <w:right w:val="none" w:sz="0" w:space="0" w:color="auto"/>
      </w:divBdr>
      <w:divsChild>
        <w:div w:id="1982072876">
          <w:marLeft w:val="0"/>
          <w:marRight w:val="0"/>
          <w:marTop w:val="0"/>
          <w:marBottom w:val="0"/>
          <w:divBdr>
            <w:top w:val="none" w:sz="0" w:space="0" w:color="auto"/>
            <w:left w:val="none" w:sz="0" w:space="0" w:color="auto"/>
            <w:bottom w:val="none" w:sz="0" w:space="0" w:color="auto"/>
            <w:right w:val="none" w:sz="0" w:space="0" w:color="auto"/>
          </w:divBdr>
          <w:divsChild>
            <w:div w:id="1364743187">
              <w:marLeft w:val="0"/>
              <w:marRight w:val="0"/>
              <w:marTop w:val="0"/>
              <w:marBottom w:val="0"/>
              <w:divBdr>
                <w:top w:val="none" w:sz="0" w:space="0" w:color="auto"/>
                <w:left w:val="none" w:sz="0" w:space="0" w:color="auto"/>
                <w:bottom w:val="none" w:sz="0" w:space="0" w:color="auto"/>
                <w:right w:val="none" w:sz="0" w:space="0" w:color="auto"/>
              </w:divBdr>
              <w:divsChild>
                <w:div w:id="1414400289">
                  <w:marLeft w:val="0"/>
                  <w:marRight w:val="0"/>
                  <w:marTop w:val="0"/>
                  <w:marBottom w:val="0"/>
                  <w:divBdr>
                    <w:top w:val="none" w:sz="0" w:space="0" w:color="auto"/>
                    <w:left w:val="none" w:sz="0" w:space="0" w:color="auto"/>
                    <w:bottom w:val="none" w:sz="0" w:space="0" w:color="auto"/>
                    <w:right w:val="none" w:sz="0" w:space="0" w:color="auto"/>
                  </w:divBdr>
                  <w:divsChild>
                    <w:div w:id="739788510">
                      <w:marLeft w:val="0"/>
                      <w:marRight w:val="0"/>
                      <w:marTop w:val="0"/>
                      <w:marBottom w:val="0"/>
                      <w:divBdr>
                        <w:top w:val="none" w:sz="0" w:space="0" w:color="auto"/>
                        <w:left w:val="none" w:sz="0" w:space="0" w:color="auto"/>
                        <w:bottom w:val="none" w:sz="0" w:space="0" w:color="auto"/>
                        <w:right w:val="none" w:sz="0" w:space="0" w:color="auto"/>
                      </w:divBdr>
                      <w:divsChild>
                        <w:div w:id="1655643726">
                          <w:marLeft w:val="0"/>
                          <w:marRight w:val="0"/>
                          <w:marTop w:val="0"/>
                          <w:marBottom w:val="0"/>
                          <w:divBdr>
                            <w:top w:val="none" w:sz="0" w:space="0" w:color="auto"/>
                            <w:left w:val="none" w:sz="0" w:space="0" w:color="auto"/>
                            <w:bottom w:val="none" w:sz="0" w:space="0" w:color="auto"/>
                            <w:right w:val="none" w:sz="0" w:space="0" w:color="auto"/>
                          </w:divBdr>
                          <w:divsChild>
                            <w:div w:id="1612543764">
                              <w:marLeft w:val="0"/>
                              <w:marRight w:val="0"/>
                              <w:marTop w:val="0"/>
                              <w:marBottom w:val="0"/>
                              <w:divBdr>
                                <w:top w:val="none" w:sz="0" w:space="0" w:color="auto"/>
                                <w:left w:val="none" w:sz="0" w:space="0" w:color="auto"/>
                                <w:bottom w:val="none" w:sz="0" w:space="0" w:color="auto"/>
                                <w:right w:val="none" w:sz="0" w:space="0" w:color="auto"/>
                              </w:divBdr>
                              <w:divsChild>
                                <w:div w:id="544103466">
                                  <w:marLeft w:val="0"/>
                                  <w:marRight w:val="0"/>
                                  <w:marTop w:val="0"/>
                                  <w:marBottom w:val="0"/>
                                  <w:divBdr>
                                    <w:top w:val="none" w:sz="0" w:space="0" w:color="auto"/>
                                    <w:left w:val="none" w:sz="0" w:space="0" w:color="auto"/>
                                    <w:bottom w:val="none" w:sz="0" w:space="0" w:color="auto"/>
                                    <w:right w:val="none" w:sz="0" w:space="0" w:color="auto"/>
                                  </w:divBdr>
                                  <w:divsChild>
                                    <w:div w:id="1360469255">
                                      <w:marLeft w:val="0"/>
                                      <w:marRight w:val="0"/>
                                      <w:marTop w:val="0"/>
                                      <w:marBottom w:val="0"/>
                                      <w:divBdr>
                                        <w:top w:val="none" w:sz="0" w:space="0" w:color="auto"/>
                                        <w:left w:val="none" w:sz="0" w:space="0" w:color="auto"/>
                                        <w:bottom w:val="none" w:sz="0" w:space="0" w:color="auto"/>
                                        <w:right w:val="none" w:sz="0" w:space="0" w:color="auto"/>
                                      </w:divBdr>
                                      <w:divsChild>
                                        <w:div w:id="2065836584">
                                          <w:marLeft w:val="0"/>
                                          <w:marRight w:val="0"/>
                                          <w:marTop w:val="0"/>
                                          <w:marBottom w:val="495"/>
                                          <w:divBdr>
                                            <w:top w:val="none" w:sz="0" w:space="0" w:color="auto"/>
                                            <w:left w:val="none" w:sz="0" w:space="0" w:color="auto"/>
                                            <w:bottom w:val="none" w:sz="0" w:space="0" w:color="auto"/>
                                            <w:right w:val="none" w:sz="0" w:space="0" w:color="auto"/>
                                          </w:divBdr>
                                          <w:divsChild>
                                            <w:div w:id="208884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7881932">
      <w:bodyDiv w:val="1"/>
      <w:marLeft w:val="0"/>
      <w:marRight w:val="0"/>
      <w:marTop w:val="0"/>
      <w:marBottom w:val="0"/>
      <w:divBdr>
        <w:top w:val="none" w:sz="0" w:space="0" w:color="auto"/>
        <w:left w:val="none" w:sz="0" w:space="0" w:color="auto"/>
        <w:bottom w:val="none" w:sz="0" w:space="0" w:color="auto"/>
        <w:right w:val="none" w:sz="0" w:space="0" w:color="auto"/>
      </w:divBdr>
      <w:divsChild>
        <w:div w:id="1144733240">
          <w:marLeft w:val="0"/>
          <w:marRight w:val="0"/>
          <w:marTop w:val="0"/>
          <w:marBottom w:val="0"/>
          <w:divBdr>
            <w:top w:val="none" w:sz="0" w:space="0" w:color="auto"/>
            <w:left w:val="none" w:sz="0" w:space="0" w:color="auto"/>
            <w:bottom w:val="none" w:sz="0" w:space="0" w:color="auto"/>
            <w:right w:val="none" w:sz="0" w:space="0" w:color="auto"/>
          </w:divBdr>
          <w:divsChild>
            <w:div w:id="1636136323">
              <w:marLeft w:val="0"/>
              <w:marRight w:val="0"/>
              <w:marTop w:val="0"/>
              <w:marBottom w:val="0"/>
              <w:divBdr>
                <w:top w:val="none" w:sz="0" w:space="0" w:color="auto"/>
                <w:left w:val="none" w:sz="0" w:space="0" w:color="auto"/>
                <w:bottom w:val="none" w:sz="0" w:space="0" w:color="auto"/>
                <w:right w:val="none" w:sz="0" w:space="0" w:color="auto"/>
              </w:divBdr>
              <w:divsChild>
                <w:div w:id="129827482">
                  <w:marLeft w:val="0"/>
                  <w:marRight w:val="0"/>
                  <w:marTop w:val="0"/>
                  <w:marBottom w:val="0"/>
                  <w:divBdr>
                    <w:top w:val="none" w:sz="0" w:space="0" w:color="auto"/>
                    <w:left w:val="none" w:sz="0" w:space="0" w:color="auto"/>
                    <w:bottom w:val="none" w:sz="0" w:space="0" w:color="auto"/>
                    <w:right w:val="none" w:sz="0" w:space="0" w:color="auto"/>
                  </w:divBdr>
                  <w:divsChild>
                    <w:div w:id="1777217072">
                      <w:marLeft w:val="0"/>
                      <w:marRight w:val="0"/>
                      <w:marTop w:val="0"/>
                      <w:marBottom w:val="0"/>
                      <w:divBdr>
                        <w:top w:val="none" w:sz="0" w:space="0" w:color="auto"/>
                        <w:left w:val="none" w:sz="0" w:space="0" w:color="auto"/>
                        <w:bottom w:val="none" w:sz="0" w:space="0" w:color="auto"/>
                        <w:right w:val="none" w:sz="0" w:space="0" w:color="auto"/>
                      </w:divBdr>
                      <w:divsChild>
                        <w:div w:id="1504662863">
                          <w:marLeft w:val="0"/>
                          <w:marRight w:val="0"/>
                          <w:marTop w:val="0"/>
                          <w:marBottom w:val="0"/>
                          <w:divBdr>
                            <w:top w:val="none" w:sz="0" w:space="0" w:color="auto"/>
                            <w:left w:val="none" w:sz="0" w:space="0" w:color="auto"/>
                            <w:bottom w:val="none" w:sz="0" w:space="0" w:color="auto"/>
                            <w:right w:val="none" w:sz="0" w:space="0" w:color="auto"/>
                          </w:divBdr>
                          <w:divsChild>
                            <w:div w:id="208303818">
                              <w:marLeft w:val="0"/>
                              <w:marRight w:val="0"/>
                              <w:marTop w:val="0"/>
                              <w:marBottom w:val="0"/>
                              <w:divBdr>
                                <w:top w:val="none" w:sz="0" w:space="0" w:color="auto"/>
                                <w:left w:val="none" w:sz="0" w:space="0" w:color="auto"/>
                                <w:bottom w:val="none" w:sz="0" w:space="0" w:color="auto"/>
                                <w:right w:val="none" w:sz="0" w:space="0" w:color="auto"/>
                              </w:divBdr>
                              <w:divsChild>
                                <w:div w:id="1316447056">
                                  <w:marLeft w:val="0"/>
                                  <w:marRight w:val="0"/>
                                  <w:marTop w:val="0"/>
                                  <w:marBottom w:val="0"/>
                                  <w:divBdr>
                                    <w:top w:val="none" w:sz="0" w:space="0" w:color="auto"/>
                                    <w:left w:val="none" w:sz="0" w:space="0" w:color="auto"/>
                                    <w:bottom w:val="none" w:sz="0" w:space="0" w:color="auto"/>
                                    <w:right w:val="none" w:sz="0" w:space="0" w:color="auto"/>
                                  </w:divBdr>
                                  <w:divsChild>
                                    <w:div w:id="348529785">
                                      <w:marLeft w:val="0"/>
                                      <w:marRight w:val="0"/>
                                      <w:marTop w:val="0"/>
                                      <w:marBottom w:val="0"/>
                                      <w:divBdr>
                                        <w:top w:val="none" w:sz="0" w:space="0" w:color="auto"/>
                                        <w:left w:val="none" w:sz="0" w:space="0" w:color="auto"/>
                                        <w:bottom w:val="none" w:sz="0" w:space="0" w:color="auto"/>
                                        <w:right w:val="none" w:sz="0" w:space="0" w:color="auto"/>
                                      </w:divBdr>
                                      <w:divsChild>
                                        <w:div w:id="1463770976">
                                          <w:marLeft w:val="0"/>
                                          <w:marRight w:val="0"/>
                                          <w:marTop w:val="0"/>
                                          <w:marBottom w:val="495"/>
                                          <w:divBdr>
                                            <w:top w:val="none" w:sz="0" w:space="0" w:color="auto"/>
                                            <w:left w:val="none" w:sz="0" w:space="0" w:color="auto"/>
                                            <w:bottom w:val="none" w:sz="0" w:space="0" w:color="auto"/>
                                            <w:right w:val="none" w:sz="0" w:space="0" w:color="auto"/>
                                          </w:divBdr>
                                          <w:divsChild>
                                            <w:div w:id="214658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2753376">
      <w:bodyDiv w:val="1"/>
      <w:marLeft w:val="0"/>
      <w:marRight w:val="0"/>
      <w:marTop w:val="0"/>
      <w:marBottom w:val="0"/>
      <w:divBdr>
        <w:top w:val="none" w:sz="0" w:space="0" w:color="auto"/>
        <w:left w:val="none" w:sz="0" w:space="0" w:color="auto"/>
        <w:bottom w:val="none" w:sz="0" w:space="0" w:color="auto"/>
        <w:right w:val="none" w:sz="0" w:space="0" w:color="auto"/>
      </w:divBdr>
      <w:divsChild>
        <w:div w:id="191653432">
          <w:marLeft w:val="0"/>
          <w:marRight w:val="0"/>
          <w:marTop w:val="0"/>
          <w:marBottom w:val="0"/>
          <w:divBdr>
            <w:top w:val="none" w:sz="0" w:space="0" w:color="auto"/>
            <w:left w:val="none" w:sz="0" w:space="0" w:color="auto"/>
            <w:bottom w:val="none" w:sz="0" w:space="0" w:color="auto"/>
            <w:right w:val="none" w:sz="0" w:space="0" w:color="auto"/>
          </w:divBdr>
          <w:divsChild>
            <w:div w:id="1908806714">
              <w:marLeft w:val="0"/>
              <w:marRight w:val="0"/>
              <w:marTop w:val="0"/>
              <w:marBottom w:val="0"/>
              <w:divBdr>
                <w:top w:val="none" w:sz="0" w:space="0" w:color="auto"/>
                <w:left w:val="none" w:sz="0" w:space="0" w:color="auto"/>
                <w:bottom w:val="none" w:sz="0" w:space="0" w:color="auto"/>
                <w:right w:val="none" w:sz="0" w:space="0" w:color="auto"/>
              </w:divBdr>
              <w:divsChild>
                <w:div w:id="232741357">
                  <w:marLeft w:val="0"/>
                  <w:marRight w:val="0"/>
                  <w:marTop w:val="0"/>
                  <w:marBottom w:val="0"/>
                  <w:divBdr>
                    <w:top w:val="none" w:sz="0" w:space="0" w:color="auto"/>
                    <w:left w:val="none" w:sz="0" w:space="0" w:color="auto"/>
                    <w:bottom w:val="none" w:sz="0" w:space="0" w:color="auto"/>
                    <w:right w:val="none" w:sz="0" w:space="0" w:color="auto"/>
                  </w:divBdr>
                  <w:divsChild>
                    <w:div w:id="2142646846">
                      <w:marLeft w:val="0"/>
                      <w:marRight w:val="0"/>
                      <w:marTop w:val="0"/>
                      <w:marBottom w:val="0"/>
                      <w:divBdr>
                        <w:top w:val="none" w:sz="0" w:space="0" w:color="auto"/>
                        <w:left w:val="none" w:sz="0" w:space="0" w:color="auto"/>
                        <w:bottom w:val="none" w:sz="0" w:space="0" w:color="auto"/>
                        <w:right w:val="none" w:sz="0" w:space="0" w:color="auto"/>
                      </w:divBdr>
                      <w:divsChild>
                        <w:div w:id="2141723356">
                          <w:marLeft w:val="0"/>
                          <w:marRight w:val="0"/>
                          <w:marTop w:val="0"/>
                          <w:marBottom w:val="0"/>
                          <w:divBdr>
                            <w:top w:val="none" w:sz="0" w:space="0" w:color="auto"/>
                            <w:left w:val="none" w:sz="0" w:space="0" w:color="auto"/>
                            <w:bottom w:val="none" w:sz="0" w:space="0" w:color="auto"/>
                            <w:right w:val="none" w:sz="0" w:space="0" w:color="auto"/>
                          </w:divBdr>
                          <w:divsChild>
                            <w:div w:id="1733308876">
                              <w:marLeft w:val="0"/>
                              <w:marRight w:val="0"/>
                              <w:marTop w:val="0"/>
                              <w:marBottom w:val="0"/>
                              <w:divBdr>
                                <w:top w:val="none" w:sz="0" w:space="0" w:color="auto"/>
                                <w:left w:val="none" w:sz="0" w:space="0" w:color="auto"/>
                                <w:bottom w:val="none" w:sz="0" w:space="0" w:color="auto"/>
                                <w:right w:val="none" w:sz="0" w:space="0" w:color="auto"/>
                              </w:divBdr>
                              <w:divsChild>
                                <w:div w:id="395711078">
                                  <w:marLeft w:val="0"/>
                                  <w:marRight w:val="0"/>
                                  <w:marTop w:val="0"/>
                                  <w:marBottom w:val="0"/>
                                  <w:divBdr>
                                    <w:top w:val="none" w:sz="0" w:space="0" w:color="auto"/>
                                    <w:left w:val="none" w:sz="0" w:space="0" w:color="auto"/>
                                    <w:bottom w:val="none" w:sz="0" w:space="0" w:color="auto"/>
                                    <w:right w:val="none" w:sz="0" w:space="0" w:color="auto"/>
                                  </w:divBdr>
                                  <w:divsChild>
                                    <w:div w:id="1727604055">
                                      <w:marLeft w:val="0"/>
                                      <w:marRight w:val="0"/>
                                      <w:marTop w:val="0"/>
                                      <w:marBottom w:val="0"/>
                                      <w:divBdr>
                                        <w:top w:val="none" w:sz="0" w:space="0" w:color="auto"/>
                                        <w:left w:val="none" w:sz="0" w:space="0" w:color="auto"/>
                                        <w:bottom w:val="none" w:sz="0" w:space="0" w:color="auto"/>
                                        <w:right w:val="none" w:sz="0" w:space="0" w:color="auto"/>
                                      </w:divBdr>
                                      <w:divsChild>
                                        <w:div w:id="18051830">
                                          <w:marLeft w:val="0"/>
                                          <w:marRight w:val="0"/>
                                          <w:marTop w:val="0"/>
                                          <w:marBottom w:val="495"/>
                                          <w:divBdr>
                                            <w:top w:val="none" w:sz="0" w:space="0" w:color="auto"/>
                                            <w:left w:val="none" w:sz="0" w:space="0" w:color="auto"/>
                                            <w:bottom w:val="none" w:sz="0" w:space="0" w:color="auto"/>
                                            <w:right w:val="none" w:sz="0" w:space="0" w:color="auto"/>
                                          </w:divBdr>
                                          <w:divsChild>
                                            <w:div w:id="55266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7004287">
      <w:bodyDiv w:val="1"/>
      <w:marLeft w:val="0"/>
      <w:marRight w:val="0"/>
      <w:marTop w:val="0"/>
      <w:marBottom w:val="0"/>
      <w:divBdr>
        <w:top w:val="none" w:sz="0" w:space="0" w:color="auto"/>
        <w:left w:val="none" w:sz="0" w:space="0" w:color="auto"/>
        <w:bottom w:val="none" w:sz="0" w:space="0" w:color="auto"/>
        <w:right w:val="none" w:sz="0" w:space="0" w:color="auto"/>
      </w:divBdr>
      <w:divsChild>
        <w:div w:id="1677614317">
          <w:marLeft w:val="0"/>
          <w:marRight w:val="0"/>
          <w:marTop w:val="0"/>
          <w:marBottom w:val="0"/>
          <w:divBdr>
            <w:top w:val="none" w:sz="0" w:space="0" w:color="auto"/>
            <w:left w:val="none" w:sz="0" w:space="0" w:color="auto"/>
            <w:bottom w:val="none" w:sz="0" w:space="0" w:color="auto"/>
            <w:right w:val="none" w:sz="0" w:space="0" w:color="auto"/>
          </w:divBdr>
          <w:divsChild>
            <w:div w:id="1502353752">
              <w:marLeft w:val="0"/>
              <w:marRight w:val="0"/>
              <w:marTop w:val="0"/>
              <w:marBottom w:val="0"/>
              <w:divBdr>
                <w:top w:val="none" w:sz="0" w:space="0" w:color="auto"/>
                <w:left w:val="none" w:sz="0" w:space="0" w:color="auto"/>
                <w:bottom w:val="none" w:sz="0" w:space="0" w:color="auto"/>
                <w:right w:val="none" w:sz="0" w:space="0" w:color="auto"/>
              </w:divBdr>
              <w:divsChild>
                <w:div w:id="945774995">
                  <w:marLeft w:val="0"/>
                  <w:marRight w:val="0"/>
                  <w:marTop w:val="0"/>
                  <w:marBottom w:val="0"/>
                  <w:divBdr>
                    <w:top w:val="none" w:sz="0" w:space="0" w:color="auto"/>
                    <w:left w:val="none" w:sz="0" w:space="0" w:color="auto"/>
                    <w:bottom w:val="none" w:sz="0" w:space="0" w:color="auto"/>
                    <w:right w:val="none" w:sz="0" w:space="0" w:color="auto"/>
                  </w:divBdr>
                  <w:divsChild>
                    <w:div w:id="942764715">
                      <w:marLeft w:val="0"/>
                      <w:marRight w:val="0"/>
                      <w:marTop w:val="0"/>
                      <w:marBottom w:val="0"/>
                      <w:divBdr>
                        <w:top w:val="none" w:sz="0" w:space="0" w:color="auto"/>
                        <w:left w:val="none" w:sz="0" w:space="0" w:color="auto"/>
                        <w:bottom w:val="none" w:sz="0" w:space="0" w:color="auto"/>
                        <w:right w:val="none" w:sz="0" w:space="0" w:color="auto"/>
                      </w:divBdr>
                      <w:divsChild>
                        <w:div w:id="242299966">
                          <w:marLeft w:val="0"/>
                          <w:marRight w:val="0"/>
                          <w:marTop w:val="0"/>
                          <w:marBottom w:val="0"/>
                          <w:divBdr>
                            <w:top w:val="none" w:sz="0" w:space="0" w:color="auto"/>
                            <w:left w:val="none" w:sz="0" w:space="0" w:color="auto"/>
                            <w:bottom w:val="none" w:sz="0" w:space="0" w:color="auto"/>
                            <w:right w:val="none" w:sz="0" w:space="0" w:color="auto"/>
                          </w:divBdr>
                          <w:divsChild>
                            <w:div w:id="817503308">
                              <w:marLeft w:val="0"/>
                              <w:marRight w:val="0"/>
                              <w:marTop w:val="0"/>
                              <w:marBottom w:val="0"/>
                              <w:divBdr>
                                <w:top w:val="none" w:sz="0" w:space="0" w:color="auto"/>
                                <w:left w:val="none" w:sz="0" w:space="0" w:color="auto"/>
                                <w:bottom w:val="none" w:sz="0" w:space="0" w:color="auto"/>
                                <w:right w:val="none" w:sz="0" w:space="0" w:color="auto"/>
                              </w:divBdr>
                              <w:divsChild>
                                <w:div w:id="1890651849">
                                  <w:marLeft w:val="0"/>
                                  <w:marRight w:val="0"/>
                                  <w:marTop w:val="0"/>
                                  <w:marBottom w:val="0"/>
                                  <w:divBdr>
                                    <w:top w:val="none" w:sz="0" w:space="0" w:color="auto"/>
                                    <w:left w:val="none" w:sz="0" w:space="0" w:color="auto"/>
                                    <w:bottom w:val="none" w:sz="0" w:space="0" w:color="auto"/>
                                    <w:right w:val="none" w:sz="0" w:space="0" w:color="auto"/>
                                  </w:divBdr>
                                  <w:divsChild>
                                    <w:div w:id="1353605046">
                                      <w:marLeft w:val="0"/>
                                      <w:marRight w:val="0"/>
                                      <w:marTop w:val="0"/>
                                      <w:marBottom w:val="0"/>
                                      <w:divBdr>
                                        <w:top w:val="none" w:sz="0" w:space="0" w:color="auto"/>
                                        <w:left w:val="none" w:sz="0" w:space="0" w:color="auto"/>
                                        <w:bottom w:val="none" w:sz="0" w:space="0" w:color="auto"/>
                                        <w:right w:val="none" w:sz="0" w:space="0" w:color="auto"/>
                                      </w:divBdr>
                                      <w:divsChild>
                                        <w:div w:id="899055604">
                                          <w:marLeft w:val="0"/>
                                          <w:marRight w:val="0"/>
                                          <w:marTop w:val="0"/>
                                          <w:marBottom w:val="495"/>
                                          <w:divBdr>
                                            <w:top w:val="none" w:sz="0" w:space="0" w:color="auto"/>
                                            <w:left w:val="none" w:sz="0" w:space="0" w:color="auto"/>
                                            <w:bottom w:val="none" w:sz="0" w:space="0" w:color="auto"/>
                                            <w:right w:val="none" w:sz="0" w:space="0" w:color="auto"/>
                                          </w:divBdr>
                                          <w:divsChild>
                                            <w:div w:id="160164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6205743">
      <w:bodyDiv w:val="1"/>
      <w:marLeft w:val="0"/>
      <w:marRight w:val="0"/>
      <w:marTop w:val="0"/>
      <w:marBottom w:val="0"/>
      <w:divBdr>
        <w:top w:val="none" w:sz="0" w:space="0" w:color="auto"/>
        <w:left w:val="none" w:sz="0" w:space="0" w:color="auto"/>
        <w:bottom w:val="none" w:sz="0" w:space="0" w:color="auto"/>
        <w:right w:val="none" w:sz="0" w:space="0" w:color="auto"/>
      </w:divBdr>
      <w:divsChild>
        <w:div w:id="1227376048">
          <w:marLeft w:val="0"/>
          <w:marRight w:val="0"/>
          <w:marTop w:val="0"/>
          <w:marBottom w:val="0"/>
          <w:divBdr>
            <w:top w:val="none" w:sz="0" w:space="0" w:color="auto"/>
            <w:left w:val="none" w:sz="0" w:space="0" w:color="auto"/>
            <w:bottom w:val="none" w:sz="0" w:space="0" w:color="auto"/>
            <w:right w:val="none" w:sz="0" w:space="0" w:color="auto"/>
          </w:divBdr>
          <w:divsChild>
            <w:div w:id="325671711">
              <w:marLeft w:val="0"/>
              <w:marRight w:val="0"/>
              <w:marTop w:val="0"/>
              <w:marBottom w:val="0"/>
              <w:divBdr>
                <w:top w:val="none" w:sz="0" w:space="0" w:color="auto"/>
                <w:left w:val="none" w:sz="0" w:space="0" w:color="auto"/>
                <w:bottom w:val="none" w:sz="0" w:space="0" w:color="auto"/>
                <w:right w:val="none" w:sz="0" w:space="0" w:color="auto"/>
              </w:divBdr>
              <w:divsChild>
                <w:div w:id="171649634">
                  <w:marLeft w:val="0"/>
                  <w:marRight w:val="0"/>
                  <w:marTop w:val="0"/>
                  <w:marBottom w:val="0"/>
                  <w:divBdr>
                    <w:top w:val="none" w:sz="0" w:space="0" w:color="auto"/>
                    <w:left w:val="none" w:sz="0" w:space="0" w:color="auto"/>
                    <w:bottom w:val="none" w:sz="0" w:space="0" w:color="auto"/>
                    <w:right w:val="none" w:sz="0" w:space="0" w:color="auto"/>
                  </w:divBdr>
                  <w:divsChild>
                    <w:div w:id="1800024721">
                      <w:marLeft w:val="0"/>
                      <w:marRight w:val="0"/>
                      <w:marTop w:val="0"/>
                      <w:marBottom w:val="0"/>
                      <w:divBdr>
                        <w:top w:val="none" w:sz="0" w:space="0" w:color="auto"/>
                        <w:left w:val="none" w:sz="0" w:space="0" w:color="auto"/>
                        <w:bottom w:val="none" w:sz="0" w:space="0" w:color="auto"/>
                        <w:right w:val="none" w:sz="0" w:space="0" w:color="auto"/>
                      </w:divBdr>
                      <w:divsChild>
                        <w:div w:id="1503665450">
                          <w:marLeft w:val="0"/>
                          <w:marRight w:val="0"/>
                          <w:marTop w:val="0"/>
                          <w:marBottom w:val="0"/>
                          <w:divBdr>
                            <w:top w:val="none" w:sz="0" w:space="0" w:color="auto"/>
                            <w:left w:val="none" w:sz="0" w:space="0" w:color="auto"/>
                            <w:bottom w:val="none" w:sz="0" w:space="0" w:color="auto"/>
                            <w:right w:val="none" w:sz="0" w:space="0" w:color="auto"/>
                          </w:divBdr>
                          <w:divsChild>
                            <w:div w:id="1507790127">
                              <w:marLeft w:val="0"/>
                              <w:marRight w:val="0"/>
                              <w:marTop w:val="0"/>
                              <w:marBottom w:val="0"/>
                              <w:divBdr>
                                <w:top w:val="none" w:sz="0" w:space="0" w:color="auto"/>
                                <w:left w:val="none" w:sz="0" w:space="0" w:color="auto"/>
                                <w:bottom w:val="none" w:sz="0" w:space="0" w:color="auto"/>
                                <w:right w:val="none" w:sz="0" w:space="0" w:color="auto"/>
                              </w:divBdr>
                              <w:divsChild>
                                <w:div w:id="2114323272">
                                  <w:marLeft w:val="0"/>
                                  <w:marRight w:val="0"/>
                                  <w:marTop w:val="0"/>
                                  <w:marBottom w:val="0"/>
                                  <w:divBdr>
                                    <w:top w:val="none" w:sz="0" w:space="0" w:color="auto"/>
                                    <w:left w:val="none" w:sz="0" w:space="0" w:color="auto"/>
                                    <w:bottom w:val="none" w:sz="0" w:space="0" w:color="auto"/>
                                    <w:right w:val="none" w:sz="0" w:space="0" w:color="auto"/>
                                  </w:divBdr>
                                  <w:divsChild>
                                    <w:div w:id="1749500599">
                                      <w:marLeft w:val="0"/>
                                      <w:marRight w:val="0"/>
                                      <w:marTop w:val="0"/>
                                      <w:marBottom w:val="0"/>
                                      <w:divBdr>
                                        <w:top w:val="none" w:sz="0" w:space="0" w:color="auto"/>
                                        <w:left w:val="none" w:sz="0" w:space="0" w:color="auto"/>
                                        <w:bottom w:val="none" w:sz="0" w:space="0" w:color="auto"/>
                                        <w:right w:val="none" w:sz="0" w:space="0" w:color="auto"/>
                                      </w:divBdr>
                                      <w:divsChild>
                                        <w:div w:id="537814840">
                                          <w:marLeft w:val="0"/>
                                          <w:marRight w:val="0"/>
                                          <w:marTop w:val="0"/>
                                          <w:marBottom w:val="495"/>
                                          <w:divBdr>
                                            <w:top w:val="none" w:sz="0" w:space="0" w:color="auto"/>
                                            <w:left w:val="none" w:sz="0" w:space="0" w:color="auto"/>
                                            <w:bottom w:val="none" w:sz="0" w:space="0" w:color="auto"/>
                                            <w:right w:val="none" w:sz="0" w:space="0" w:color="auto"/>
                                          </w:divBdr>
                                          <w:divsChild>
                                            <w:div w:id="127028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6339236">
      <w:bodyDiv w:val="1"/>
      <w:marLeft w:val="0"/>
      <w:marRight w:val="0"/>
      <w:marTop w:val="0"/>
      <w:marBottom w:val="0"/>
      <w:divBdr>
        <w:top w:val="none" w:sz="0" w:space="0" w:color="auto"/>
        <w:left w:val="none" w:sz="0" w:space="0" w:color="auto"/>
        <w:bottom w:val="none" w:sz="0" w:space="0" w:color="auto"/>
        <w:right w:val="none" w:sz="0" w:space="0" w:color="auto"/>
      </w:divBdr>
      <w:divsChild>
        <w:div w:id="1816875391">
          <w:marLeft w:val="0"/>
          <w:marRight w:val="0"/>
          <w:marTop w:val="0"/>
          <w:marBottom w:val="0"/>
          <w:divBdr>
            <w:top w:val="none" w:sz="0" w:space="0" w:color="auto"/>
            <w:left w:val="none" w:sz="0" w:space="0" w:color="auto"/>
            <w:bottom w:val="none" w:sz="0" w:space="0" w:color="auto"/>
            <w:right w:val="none" w:sz="0" w:space="0" w:color="auto"/>
          </w:divBdr>
          <w:divsChild>
            <w:div w:id="1648315497">
              <w:marLeft w:val="0"/>
              <w:marRight w:val="0"/>
              <w:marTop w:val="0"/>
              <w:marBottom w:val="0"/>
              <w:divBdr>
                <w:top w:val="none" w:sz="0" w:space="0" w:color="auto"/>
                <w:left w:val="none" w:sz="0" w:space="0" w:color="auto"/>
                <w:bottom w:val="none" w:sz="0" w:space="0" w:color="auto"/>
                <w:right w:val="none" w:sz="0" w:space="0" w:color="auto"/>
              </w:divBdr>
              <w:divsChild>
                <w:div w:id="1879078519">
                  <w:marLeft w:val="0"/>
                  <w:marRight w:val="0"/>
                  <w:marTop w:val="0"/>
                  <w:marBottom w:val="0"/>
                  <w:divBdr>
                    <w:top w:val="none" w:sz="0" w:space="0" w:color="auto"/>
                    <w:left w:val="none" w:sz="0" w:space="0" w:color="auto"/>
                    <w:bottom w:val="none" w:sz="0" w:space="0" w:color="auto"/>
                    <w:right w:val="none" w:sz="0" w:space="0" w:color="auto"/>
                  </w:divBdr>
                  <w:divsChild>
                    <w:div w:id="1369068733">
                      <w:marLeft w:val="0"/>
                      <w:marRight w:val="0"/>
                      <w:marTop w:val="0"/>
                      <w:marBottom w:val="0"/>
                      <w:divBdr>
                        <w:top w:val="none" w:sz="0" w:space="0" w:color="auto"/>
                        <w:left w:val="none" w:sz="0" w:space="0" w:color="auto"/>
                        <w:bottom w:val="none" w:sz="0" w:space="0" w:color="auto"/>
                        <w:right w:val="none" w:sz="0" w:space="0" w:color="auto"/>
                      </w:divBdr>
                      <w:divsChild>
                        <w:div w:id="1316954540">
                          <w:marLeft w:val="0"/>
                          <w:marRight w:val="0"/>
                          <w:marTop w:val="0"/>
                          <w:marBottom w:val="0"/>
                          <w:divBdr>
                            <w:top w:val="none" w:sz="0" w:space="0" w:color="auto"/>
                            <w:left w:val="none" w:sz="0" w:space="0" w:color="auto"/>
                            <w:bottom w:val="none" w:sz="0" w:space="0" w:color="auto"/>
                            <w:right w:val="none" w:sz="0" w:space="0" w:color="auto"/>
                          </w:divBdr>
                          <w:divsChild>
                            <w:div w:id="624653115">
                              <w:marLeft w:val="0"/>
                              <w:marRight w:val="0"/>
                              <w:marTop w:val="0"/>
                              <w:marBottom w:val="0"/>
                              <w:divBdr>
                                <w:top w:val="none" w:sz="0" w:space="0" w:color="auto"/>
                                <w:left w:val="none" w:sz="0" w:space="0" w:color="auto"/>
                                <w:bottom w:val="none" w:sz="0" w:space="0" w:color="auto"/>
                                <w:right w:val="none" w:sz="0" w:space="0" w:color="auto"/>
                              </w:divBdr>
                              <w:divsChild>
                                <w:div w:id="2125735546">
                                  <w:marLeft w:val="0"/>
                                  <w:marRight w:val="0"/>
                                  <w:marTop w:val="0"/>
                                  <w:marBottom w:val="0"/>
                                  <w:divBdr>
                                    <w:top w:val="none" w:sz="0" w:space="0" w:color="auto"/>
                                    <w:left w:val="none" w:sz="0" w:space="0" w:color="auto"/>
                                    <w:bottom w:val="none" w:sz="0" w:space="0" w:color="auto"/>
                                    <w:right w:val="none" w:sz="0" w:space="0" w:color="auto"/>
                                  </w:divBdr>
                                  <w:divsChild>
                                    <w:div w:id="1935242762">
                                      <w:marLeft w:val="0"/>
                                      <w:marRight w:val="0"/>
                                      <w:marTop w:val="0"/>
                                      <w:marBottom w:val="0"/>
                                      <w:divBdr>
                                        <w:top w:val="none" w:sz="0" w:space="0" w:color="auto"/>
                                        <w:left w:val="none" w:sz="0" w:space="0" w:color="auto"/>
                                        <w:bottom w:val="none" w:sz="0" w:space="0" w:color="auto"/>
                                        <w:right w:val="none" w:sz="0" w:space="0" w:color="auto"/>
                                      </w:divBdr>
                                      <w:divsChild>
                                        <w:div w:id="1150362489">
                                          <w:marLeft w:val="0"/>
                                          <w:marRight w:val="0"/>
                                          <w:marTop w:val="0"/>
                                          <w:marBottom w:val="495"/>
                                          <w:divBdr>
                                            <w:top w:val="none" w:sz="0" w:space="0" w:color="auto"/>
                                            <w:left w:val="none" w:sz="0" w:space="0" w:color="auto"/>
                                            <w:bottom w:val="none" w:sz="0" w:space="0" w:color="auto"/>
                                            <w:right w:val="none" w:sz="0" w:space="0" w:color="auto"/>
                                          </w:divBdr>
                                          <w:divsChild>
                                            <w:div w:id="142622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9543450">
      <w:bodyDiv w:val="1"/>
      <w:marLeft w:val="0"/>
      <w:marRight w:val="0"/>
      <w:marTop w:val="0"/>
      <w:marBottom w:val="0"/>
      <w:divBdr>
        <w:top w:val="none" w:sz="0" w:space="0" w:color="auto"/>
        <w:left w:val="none" w:sz="0" w:space="0" w:color="auto"/>
        <w:bottom w:val="none" w:sz="0" w:space="0" w:color="auto"/>
        <w:right w:val="none" w:sz="0" w:space="0" w:color="auto"/>
      </w:divBdr>
      <w:divsChild>
        <w:div w:id="734085389">
          <w:marLeft w:val="0"/>
          <w:marRight w:val="0"/>
          <w:marTop w:val="0"/>
          <w:marBottom w:val="0"/>
          <w:divBdr>
            <w:top w:val="none" w:sz="0" w:space="0" w:color="auto"/>
            <w:left w:val="none" w:sz="0" w:space="0" w:color="auto"/>
            <w:bottom w:val="none" w:sz="0" w:space="0" w:color="auto"/>
            <w:right w:val="none" w:sz="0" w:space="0" w:color="auto"/>
          </w:divBdr>
          <w:divsChild>
            <w:div w:id="1475836267">
              <w:marLeft w:val="0"/>
              <w:marRight w:val="0"/>
              <w:marTop w:val="0"/>
              <w:marBottom w:val="0"/>
              <w:divBdr>
                <w:top w:val="none" w:sz="0" w:space="0" w:color="auto"/>
                <w:left w:val="none" w:sz="0" w:space="0" w:color="auto"/>
                <w:bottom w:val="none" w:sz="0" w:space="0" w:color="auto"/>
                <w:right w:val="none" w:sz="0" w:space="0" w:color="auto"/>
              </w:divBdr>
              <w:divsChild>
                <w:div w:id="2081753107">
                  <w:marLeft w:val="0"/>
                  <w:marRight w:val="0"/>
                  <w:marTop w:val="0"/>
                  <w:marBottom w:val="0"/>
                  <w:divBdr>
                    <w:top w:val="none" w:sz="0" w:space="0" w:color="auto"/>
                    <w:left w:val="none" w:sz="0" w:space="0" w:color="auto"/>
                    <w:bottom w:val="none" w:sz="0" w:space="0" w:color="auto"/>
                    <w:right w:val="none" w:sz="0" w:space="0" w:color="auto"/>
                  </w:divBdr>
                  <w:divsChild>
                    <w:div w:id="2067676364">
                      <w:marLeft w:val="0"/>
                      <w:marRight w:val="0"/>
                      <w:marTop w:val="0"/>
                      <w:marBottom w:val="0"/>
                      <w:divBdr>
                        <w:top w:val="none" w:sz="0" w:space="0" w:color="auto"/>
                        <w:left w:val="none" w:sz="0" w:space="0" w:color="auto"/>
                        <w:bottom w:val="none" w:sz="0" w:space="0" w:color="auto"/>
                        <w:right w:val="none" w:sz="0" w:space="0" w:color="auto"/>
                      </w:divBdr>
                      <w:divsChild>
                        <w:div w:id="49153274">
                          <w:marLeft w:val="0"/>
                          <w:marRight w:val="0"/>
                          <w:marTop w:val="0"/>
                          <w:marBottom w:val="0"/>
                          <w:divBdr>
                            <w:top w:val="none" w:sz="0" w:space="0" w:color="auto"/>
                            <w:left w:val="none" w:sz="0" w:space="0" w:color="auto"/>
                            <w:bottom w:val="none" w:sz="0" w:space="0" w:color="auto"/>
                            <w:right w:val="none" w:sz="0" w:space="0" w:color="auto"/>
                          </w:divBdr>
                          <w:divsChild>
                            <w:div w:id="1203442362">
                              <w:marLeft w:val="0"/>
                              <w:marRight w:val="0"/>
                              <w:marTop w:val="0"/>
                              <w:marBottom w:val="0"/>
                              <w:divBdr>
                                <w:top w:val="none" w:sz="0" w:space="0" w:color="auto"/>
                                <w:left w:val="none" w:sz="0" w:space="0" w:color="auto"/>
                                <w:bottom w:val="none" w:sz="0" w:space="0" w:color="auto"/>
                                <w:right w:val="none" w:sz="0" w:space="0" w:color="auto"/>
                              </w:divBdr>
                              <w:divsChild>
                                <w:div w:id="1534731018">
                                  <w:marLeft w:val="0"/>
                                  <w:marRight w:val="0"/>
                                  <w:marTop w:val="0"/>
                                  <w:marBottom w:val="0"/>
                                  <w:divBdr>
                                    <w:top w:val="none" w:sz="0" w:space="0" w:color="auto"/>
                                    <w:left w:val="none" w:sz="0" w:space="0" w:color="auto"/>
                                    <w:bottom w:val="none" w:sz="0" w:space="0" w:color="auto"/>
                                    <w:right w:val="none" w:sz="0" w:space="0" w:color="auto"/>
                                  </w:divBdr>
                                  <w:divsChild>
                                    <w:div w:id="1984189295">
                                      <w:marLeft w:val="0"/>
                                      <w:marRight w:val="0"/>
                                      <w:marTop w:val="0"/>
                                      <w:marBottom w:val="0"/>
                                      <w:divBdr>
                                        <w:top w:val="none" w:sz="0" w:space="0" w:color="auto"/>
                                        <w:left w:val="none" w:sz="0" w:space="0" w:color="auto"/>
                                        <w:bottom w:val="none" w:sz="0" w:space="0" w:color="auto"/>
                                        <w:right w:val="none" w:sz="0" w:space="0" w:color="auto"/>
                                      </w:divBdr>
                                      <w:divsChild>
                                        <w:div w:id="1987007093">
                                          <w:marLeft w:val="0"/>
                                          <w:marRight w:val="0"/>
                                          <w:marTop w:val="0"/>
                                          <w:marBottom w:val="495"/>
                                          <w:divBdr>
                                            <w:top w:val="none" w:sz="0" w:space="0" w:color="auto"/>
                                            <w:left w:val="none" w:sz="0" w:space="0" w:color="auto"/>
                                            <w:bottom w:val="none" w:sz="0" w:space="0" w:color="auto"/>
                                            <w:right w:val="none" w:sz="0" w:space="0" w:color="auto"/>
                                          </w:divBdr>
                                          <w:divsChild>
                                            <w:div w:id="190718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2140370">
      <w:bodyDiv w:val="1"/>
      <w:marLeft w:val="0"/>
      <w:marRight w:val="0"/>
      <w:marTop w:val="0"/>
      <w:marBottom w:val="0"/>
      <w:divBdr>
        <w:top w:val="none" w:sz="0" w:space="0" w:color="auto"/>
        <w:left w:val="none" w:sz="0" w:space="0" w:color="auto"/>
        <w:bottom w:val="none" w:sz="0" w:space="0" w:color="auto"/>
        <w:right w:val="none" w:sz="0" w:space="0" w:color="auto"/>
      </w:divBdr>
      <w:divsChild>
        <w:div w:id="403572717">
          <w:marLeft w:val="0"/>
          <w:marRight w:val="0"/>
          <w:marTop w:val="0"/>
          <w:marBottom w:val="0"/>
          <w:divBdr>
            <w:top w:val="none" w:sz="0" w:space="0" w:color="auto"/>
            <w:left w:val="none" w:sz="0" w:space="0" w:color="auto"/>
            <w:bottom w:val="none" w:sz="0" w:space="0" w:color="auto"/>
            <w:right w:val="none" w:sz="0" w:space="0" w:color="auto"/>
          </w:divBdr>
          <w:divsChild>
            <w:div w:id="1740786864">
              <w:marLeft w:val="0"/>
              <w:marRight w:val="0"/>
              <w:marTop w:val="0"/>
              <w:marBottom w:val="0"/>
              <w:divBdr>
                <w:top w:val="none" w:sz="0" w:space="0" w:color="auto"/>
                <w:left w:val="none" w:sz="0" w:space="0" w:color="auto"/>
                <w:bottom w:val="none" w:sz="0" w:space="0" w:color="auto"/>
                <w:right w:val="none" w:sz="0" w:space="0" w:color="auto"/>
              </w:divBdr>
              <w:divsChild>
                <w:div w:id="316151829">
                  <w:marLeft w:val="0"/>
                  <w:marRight w:val="0"/>
                  <w:marTop w:val="0"/>
                  <w:marBottom w:val="0"/>
                  <w:divBdr>
                    <w:top w:val="none" w:sz="0" w:space="0" w:color="auto"/>
                    <w:left w:val="none" w:sz="0" w:space="0" w:color="auto"/>
                    <w:bottom w:val="none" w:sz="0" w:space="0" w:color="auto"/>
                    <w:right w:val="none" w:sz="0" w:space="0" w:color="auto"/>
                  </w:divBdr>
                  <w:divsChild>
                    <w:div w:id="1046103979">
                      <w:marLeft w:val="0"/>
                      <w:marRight w:val="0"/>
                      <w:marTop w:val="0"/>
                      <w:marBottom w:val="0"/>
                      <w:divBdr>
                        <w:top w:val="none" w:sz="0" w:space="0" w:color="auto"/>
                        <w:left w:val="none" w:sz="0" w:space="0" w:color="auto"/>
                        <w:bottom w:val="none" w:sz="0" w:space="0" w:color="auto"/>
                        <w:right w:val="none" w:sz="0" w:space="0" w:color="auto"/>
                      </w:divBdr>
                      <w:divsChild>
                        <w:div w:id="1504590523">
                          <w:marLeft w:val="0"/>
                          <w:marRight w:val="0"/>
                          <w:marTop w:val="0"/>
                          <w:marBottom w:val="0"/>
                          <w:divBdr>
                            <w:top w:val="none" w:sz="0" w:space="0" w:color="auto"/>
                            <w:left w:val="none" w:sz="0" w:space="0" w:color="auto"/>
                            <w:bottom w:val="none" w:sz="0" w:space="0" w:color="auto"/>
                            <w:right w:val="none" w:sz="0" w:space="0" w:color="auto"/>
                          </w:divBdr>
                          <w:divsChild>
                            <w:div w:id="1987664885">
                              <w:marLeft w:val="0"/>
                              <w:marRight w:val="0"/>
                              <w:marTop w:val="0"/>
                              <w:marBottom w:val="0"/>
                              <w:divBdr>
                                <w:top w:val="none" w:sz="0" w:space="0" w:color="auto"/>
                                <w:left w:val="none" w:sz="0" w:space="0" w:color="auto"/>
                                <w:bottom w:val="none" w:sz="0" w:space="0" w:color="auto"/>
                                <w:right w:val="none" w:sz="0" w:space="0" w:color="auto"/>
                              </w:divBdr>
                              <w:divsChild>
                                <w:div w:id="1892230740">
                                  <w:marLeft w:val="0"/>
                                  <w:marRight w:val="0"/>
                                  <w:marTop w:val="0"/>
                                  <w:marBottom w:val="0"/>
                                  <w:divBdr>
                                    <w:top w:val="none" w:sz="0" w:space="0" w:color="auto"/>
                                    <w:left w:val="none" w:sz="0" w:space="0" w:color="auto"/>
                                    <w:bottom w:val="none" w:sz="0" w:space="0" w:color="auto"/>
                                    <w:right w:val="none" w:sz="0" w:space="0" w:color="auto"/>
                                  </w:divBdr>
                                  <w:divsChild>
                                    <w:div w:id="1720394097">
                                      <w:marLeft w:val="0"/>
                                      <w:marRight w:val="0"/>
                                      <w:marTop w:val="0"/>
                                      <w:marBottom w:val="0"/>
                                      <w:divBdr>
                                        <w:top w:val="none" w:sz="0" w:space="0" w:color="auto"/>
                                        <w:left w:val="none" w:sz="0" w:space="0" w:color="auto"/>
                                        <w:bottom w:val="none" w:sz="0" w:space="0" w:color="auto"/>
                                        <w:right w:val="none" w:sz="0" w:space="0" w:color="auto"/>
                                      </w:divBdr>
                                      <w:divsChild>
                                        <w:div w:id="1885362972">
                                          <w:marLeft w:val="0"/>
                                          <w:marRight w:val="0"/>
                                          <w:marTop w:val="0"/>
                                          <w:marBottom w:val="495"/>
                                          <w:divBdr>
                                            <w:top w:val="none" w:sz="0" w:space="0" w:color="auto"/>
                                            <w:left w:val="none" w:sz="0" w:space="0" w:color="auto"/>
                                            <w:bottom w:val="none" w:sz="0" w:space="0" w:color="auto"/>
                                            <w:right w:val="none" w:sz="0" w:space="0" w:color="auto"/>
                                          </w:divBdr>
                                          <w:divsChild>
                                            <w:div w:id="132188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4733871">
      <w:bodyDiv w:val="1"/>
      <w:marLeft w:val="0"/>
      <w:marRight w:val="0"/>
      <w:marTop w:val="0"/>
      <w:marBottom w:val="0"/>
      <w:divBdr>
        <w:top w:val="none" w:sz="0" w:space="0" w:color="auto"/>
        <w:left w:val="none" w:sz="0" w:space="0" w:color="auto"/>
        <w:bottom w:val="none" w:sz="0" w:space="0" w:color="auto"/>
        <w:right w:val="none" w:sz="0" w:space="0" w:color="auto"/>
      </w:divBdr>
      <w:divsChild>
        <w:div w:id="1920669371">
          <w:marLeft w:val="0"/>
          <w:marRight w:val="0"/>
          <w:marTop w:val="0"/>
          <w:marBottom w:val="0"/>
          <w:divBdr>
            <w:top w:val="none" w:sz="0" w:space="0" w:color="auto"/>
            <w:left w:val="none" w:sz="0" w:space="0" w:color="auto"/>
            <w:bottom w:val="none" w:sz="0" w:space="0" w:color="auto"/>
            <w:right w:val="none" w:sz="0" w:space="0" w:color="auto"/>
          </w:divBdr>
          <w:divsChild>
            <w:div w:id="1392848111">
              <w:marLeft w:val="0"/>
              <w:marRight w:val="0"/>
              <w:marTop w:val="0"/>
              <w:marBottom w:val="0"/>
              <w:divBdr>
                <w:top w:val="none" w:sz="0" w:space="0" w:color="auto"/>
                <w:left w:val="none" w:sz="0" w:space="0" w:color="auto"/>
                <w:bottom w:val="none" w:sz="0" w:space="0" w:color="auto"/>
                <w:right w:val="none" w:sz="0" w:space="0" w:color="auto"/>
              </w:divBdr>
              <w:divsChild>
                <w:div w:id="637614633">
                  <w:marLeft w:val="0"/>
                  <w:marRight w:val="0"/>
                  <w:marTop w:val="0"/>
                  <w:marBottom w:val="0"/>
                  <w:divBdr>
                    <w:top w:val="none" w:sz="0" w:space="0" w:color="auto"/>
                    <w:left w:val="none" w:sz="0" w:space="0" w:color="auto"/>
                    <w:bottom w:val="none" w:sz="0" w:space="0" w:color="auto"/>
                    <w:right w:val="none" w:sz="0" w:space="0" w:color="auto"/>
                  </w:divBdr>
                  <w:divsChild>
                    <w:div w:id="2106262716">
                      <w:marLeft w:val="0"/>
                      <w:marRight w:val="0"/>
                      <w:marTop w:val="0"/>
                      <w:marBottom w:val="0"/>
                      <w:divBdr>
                        <w:top w:val="none" w:sz="0" w:space="0" w:color="auto"/>
                        <w:left w:val="none" w:sz="0" w:space="0" w:color="auto"/>
                        <w:bottom w:val="none" w:sz="0" w:space="0" w:color="auto"/>
                        <w:right w:val="none" w:sz="0" w:space="0" w:color="auto"/>
                      </w:divBdr>
                      <w:divsChild>
                        <w:div w:id="604919207">
                          <w:marLeft w:val="0"/>
                          <w:marRight w:val="0"/>
                          <w:marTop w:val="0"/>
                          <w:marBottom w:val="0"/>
                          <w:divBdr>
                            <w:top w:val="none" w:sz="0" w:space="0" w:color="auto"/>
                            <w:left w:val="none" w:sz="0" w:space="0" w:color="auto"/>
                            <w:bottom w:val="none" w:sz="0" w:space="0" w:color="auto"/>
                            <w:right w:val="none" w:sz="0" w:space="0" w:color="auto"/>
                          </w:divBdr>
                          <w:divsChild>
                            <w:div w:id="137698500">
                              <w:marLeft w:val="0"/>
                              <w:marRight w:val="0"/>
                              <w:marTop w:val="0"/>
                              <w:marBottom w:val="0"/>
                              <w:divBdr>
                                <w:top w:val="none" w:sz="0" w:space="0" w:color="auto"/>
                                <w:left w:val="none" w:sz="0" w:space="0" w:color="auto"/>
                                <w:bottom w:val="none" w:sz="0" w:space="0" w:color="auto"/>
                                <w:right w:val="none" w:sz="0" w:space="0" w:color="auto"/>
                              </w:divBdr>
                              <w:divsChild>
                                <w:div w:id="1550607777">
                                  <w:marLeft w:val="0"/>
                                  <w:marRight w:val="0"/>
                                  <w:marTop w:val="0"/>
                                  <w:marBottom w:val="0"/>
                                  <w:divBdr>
                                    <w:top w:val="none" w:sz="0" w:space="0" w:color="auto"/>
                                    <w:left w:val="none" w:sz="0" w:space="0" w:color="auto"/>
                                    <w:bottom w:val="none" w:sz="0" w:space="0" w:color="auto"/>
                                    <w:right w:val="none" w:sz="0" w:space="0" w:color="auto"/>
                                  </w:divBdr>
                                  <w:divsChild>
                                    <w:div w:id="1032533895">
                                      <w:marLeft w:val="0"/>
                                      <w:marRight w:val="0"/>
                                      <w:marTop w:val="0"/>
                                      <w:marBottom w:val="0"/>
                                      <w:divBdr>
                                        <w:top w:val="none" w:sz="0" w:space="0" w:color="auto"/>
                                        <w:left w:val="none" w:sz="0" w:space="0" w:color="auto"/>
                                        <w:bottom w:val="none" w:sz="0" w:space="0" w:color="auto"/>
                                        <w:right w:val="none" w:sz="0" w:space="0" w:color="auto"/>
                                      </w:divBdr>
                                      <w:divsChild>
                                        <w:div w:id="832140755">
                                          <w:marLeft w:val="0"/>
                                          <w:marRight w:val="0"/>
                                          <w:marTop w:val="0"/>
                                          <w:marBottom w:val="495"/>
                                          <w:divBdr>
                                            <w:top w:val="none" w:sz="0" w:space="0" w:color="auto"/>
                                            <w:left w:val="none" w:sz="0" w:space="0" w:color="auto"/>
                                            <w:bottom w:val="none" w:sz="0" w:space="0" w:color="auto"/>
                                            <w:right w:val="none" w:sz="0" w:space="0" w:color="auto"/>
                                          </w:divBdr>
                                          <w:divsChild>
                                            <w:div w:id="114165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8423693">
      <w:bodyDiv w:val="1"/>
      <w:marLeft w:val="0"/>
      <w:marRight w:val="0"/>
      <w:marTop w:val="0"/>
      <w:marBottom w:val="0"/>
      <w:divBdr>
        <w:top w:val="none" w:sz="0" w:space="0" w:color="auto"/>
        <w:left w:val="none" w:sz="0" w:space="0" w:color="auto"/>
        <w:bottom w:val="none" w:sz="0" w:space="0" w:color="auto"/>
        <w:right w:val="none" w:sz="0" w:space="0" w:color="auto"/>
      </w:divBdr>
      <w:divsChild>
        <w:div w:id="1993218734">
          <w:marLeft w:val="0"/>
          <w:marRight w:val="0"/>
          <w:marTop w:val="0"/>
          <w:marBottom w:val="0"/>
          <w:divBdr>
            <w:top w:val="none" w:sz="0" w:space="0" w:color="auto"/>
            <w:left w:val="none" w:sz="0" w:space="0" w:color="auto"/>
            <w:bottom w:val="none" w:sz="0" w:space="0" w:color="auto"/>
            <w:right w:val="none" w:sz="0" w:space="0" w:color="auto"/>
          </w:divBdr>
          <w:divsChild>
            <w:div w:id="384261199">
              <w:marLeft w:val="0"/>
              <w:marRight w:val="0"/>
              <w:marTop w:val="0"/>
              <w:marBottom w:val="0"/>
              <w:divBdr>
                <w:top w:val="none" w:sz="0" w:space="0" w:color="auto"/>
                <w:left w:val="none" w:sz="0" w:space="0" w:color="auto"/>
                <w:bottom w:val="none" w:sz="0" w:space="0" w:color="auto"/>
                <w:right w:val="none" w:sz="0" w:space="0" w:color="auto"/>
              </w:divBdr>
              <w:divsChild>
                <w:div w:id="681902347">
                  <w:marLeft w:val="0"/>
                  <w:marRight w:val="0"/>
                  <w:marTop w:val="0"/>
                  <w:marBottom w:val="0"/>
                  <w:divBdr>
                    <w:top w:val="none" w:sz="0" w:space="0" w:color="auto"/>
                    <w:left w:val="none" w:sz="0" w:space="0" w:color="auto"/>
                    <w:bottom w:val="none" w:sz="0" w:space="0" w:color="auto"/>
                    <w:right w:val="none" w:sz="0" w:space="0" w:color="auto"/>
                  </w:divBdr>
                  <w:divsChild>
                    <w:div w:id="898637914">
                      <w:marLeft w:val="0"/>
                      <w:marRight w:val="0"/>
                      <w:marTop w:val="0"/>
                      <w:marBottom w:val="0"/>
                      <w:divBdr>
                        <w:top w:val="none" w:sz="0" w:space="0" w:color="auto"/>
                        <w:left w:val="none" w:sz="0" w:space="0" w:color="auto"/>
                        <w:bottom w:val="none" w:sz="0" w:space="0" w:color="auto"/>
                        <w:right w:val="none" w:sz="0" w:space="0" w:color="auto"/>
                      </w:divBdr>
                      <w:divsChild>
                        <w:div w:id="1683120069">
                          <w:marLeft w:val="0"/>
                          <w:marRight w:val="0"/>
                          <w:marTop w:val="0"/>
                          <w:marBottom w:val="0"/>
                          <w:divBdr>
                            <w:top w:val="none" w:sz="0" w:space="0" w:color="auto"/>
                            <w:left w:val="none" w:sz="0" w:space="0" w:color="auto"/>
                            <w:bottom w:val="none" w:sz="0" w:space="0" w:color="auto"/>
                            <w:right w:val="none" w:sz="0" w:space="0" w:color="auto"/>
                          </w:divBdr>
                          <w:divsChild>
                            <w:div w:id="162857766">
                              <w:marLeft w:val="0"/>
                              <w:marRight w:val="0"/>
                              <w:marTop w:val="0"/>
                              <w:marBottom w:val="0"/>
                              <w:divBdr>
                                <w:top w:val="none" w:sz="0" w:space="0" w:color="auto"/>
                                <w:left w:val="none" w:sz="0" w:space="0" w:color="auto"/>
                                <w:bottom w:val="none" w:sz="0" w:space="0" w:color="auto"/>
                                <w:right w:val="none" w:sz="0" w:space="0" w:color="auto"/>
                              </w:divBdr>
                              <w:divsChild>
                                <w:div w:id="359284097">
                                  <w:marLeft w:val="0"/>
                                  <w:marRight w:val="0"/>
                                  <w:marTop w:val="0"/>
                                  <w:marBottom w:val="0"/>
                                  <w:divBdr>
                                    <w:top w:val="none" w:sz="0" w:space="0" w:color="auto"/>
                                    <w:left w:val="none" w:sz="0" w:space="0" w:color="auto"/>
                                    <w:bottom w:val="none" w:sz="0" w:space="0" w:color="auto"/>
                                    <w:right w:val="none" w:sz="0" w:space="0" w:color="auto"/>
                                  </w:divBdr>
                                  <w:divsChild>
                                    <w:div w:id="689648961">
                                      <w:marLeft w:val="60"/>
                                      <w:marRight w:val="0"/>
                                      <w:marTop w:val="0"/>
                                      <w:marBottom w:val="0"/>
                                      <w:divBdr>
                                        <w:top w:val="none" w:sz="0" w:space="0" w:color="auto"/>
                                        <w:left w:val="none" w:sz="0" w:space="0" w:color="auto"/>
                                        <w:bottom w:val="none" w:sz="0" w:space="0" w:color="auto"/>
                                        <w:right w:val="none" w:sz="0" w:space="0" w:color="auto"/>
                                      </w:divBdr>
                                      <w:divsChild>
                                        <w:div w:id="716704059">
                                          <w:marLeft w:val="0"/>
                                          <w:marRight w:val="0"/>
                                          <w:marTop w:val="0"/>
                                          <w:marBottom w:val="0"/>
                                          <w:divBdr>
                                            <w:top w:val="none" w:sz="0" w:space="0" w:color="auto"/>
                                            <w:left w:val="none" w:sz="0" w:space="0" w:color="auto"/>
                                            <w:bottom w:val="none" w:sz="0" w:space="0" w:color="auto"/>
                                            <w:right w:val="none" w:sz="0" w:space="0" w:color="auto"/>
                                          </w:divBdr>
                                          <w:divsChild>
                                            <w:div w:id="188417352">
                                              <w:marLeft w:val="0"/>
                                              <w:marRight w:val="0"/>
                                              <w:marTop w:val="0"/>
                                              <w:marBottom w:val="120"/>
                                              <w:divBdr>
                                                <w:top w:val="single" w:sz="6" w:space="0" w:color="F5F5F5"/>
                                                <w:left w:val="single" w:sz="6" w:space="0" w:color="F5F5F5"/>
                                                <w:bottom w:val="single" w:sz="6" w:space="0" w:color="F5F5F5"/>
                                                <w:right w:val="single" w:sz="6" w:space="0" w:color="F5F5F5"/>
                                              </w:divBdr>
                                              <w:divsChild>
                                                <w:div w:id="941760398">
                                                  <w:marLeft w:val="0"/>
                                                  <w:marRight w:val="0"/>
                                                  <w:marTop w:val="0"/>
                                                  <w:marBottom w:val="0"/>
                                                  <w:divBdr>
                                                    <w:top w:val="none" w:sz="0" w:space="0" w:color="auto"/>
                                                    <w:left w:val="none" w:sz="0" w:space="0" w:color="auto"/>
                                                    <w:bottom w:val="none" w:sz="0" w:space="0" w:color="auto"/>
                                                    <w:right w:val="none" w:sz="0" w:space="0" w:color="auto"/>
                                                  </w:divBdr>
                                                  <w:divsChild>
                                                    <w:div w:id="20589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34220222">
      <w:bodyDiv w:val="1"/>
      <w:marLeft w:val="0"/>
      <w:marRight w:val="0"/>
      <w:marTop w:val="0"/>
      <w:marBottom w:val="0"/>
      <w:divBdr>
        <w:top w:val="none" w:sz="0" w:space="0" w:color="auto"/>
        <w:left w:val="none" w:sz="0" w:space="0" w:color="auto"/>
        <w:bottom w:val="none" w:sz="0" w:space="0" w:color="auto"/>
        <w:right w:val="none" w:sz="0" w:space="0" w:color="auto"/>
      </w:divBdr>
      <w:divsChild>
        <w:div w:id="832837308">
          <w:marLeft w:val="0"/>
          <w:marRight w:val="0"/>
          <w:marTop w:val="0"/>
          <w:marBottom w:val="0"/>
          <w:divBdr>
            <w:top w:val="none" w:sz="0" w:space="0" w:color="auto"/>
            <w:left w:val="none" w:sz="0" w:space="0" w:color="auto"/>
            <w:bottom w:val="none" w:sz="0" w:space="0" w:color="auto"/>
            <w:right w:val="none" w:sz="0" w:space="0" w:color="auto"/>
          </w:divBdr>
          <w:divsChild>
            <w:div w:id="123155107">
              <w:marLeft w:val="0"/>
              <w:marRight w:val="0"/>
              <w:marTop w:val="0"/>
              <w:marBottom w:val="0"/>
              <w:divBdr>
                <w:top w:val="none" w:sz="0" w:space="0" w:color="auto"/>
                <w:left w:val="none" w:sz="0" w:space="0" w:color="auto"/>
                <w:bottom w:val="none" w:sz="0" w:space="0" w:color="auto"/>
                <w:right w:val="none" w:sz="0" w:space="0" w:color="auto"/>
              </w:divBdr>
              <w:divsChild>
                <w:div w:id="1708529619">
                  <w:marLeft w:val="0"/>
                  <w:marRight w:val="0"/>
                  <w:marTop w:val="0"/>
                  <w:marBottom w:val="0"/>
                  <w:divBdr>
                    <w:top w:val="none" w:sz="0" w:space="0" w:color="auto"/>
                    <w:left w:val="none" w:sz="0" w:space="0" w:color="auto"/>
                    <w:bottom w:val="none" w:sz="0" w:space="0" w:color="auto"/>
                    <w:right w:val="none" w:sz="0" w:space="0" w:color="auto"/>
                  </w:divBdr>
                  <w:divsChild>
                    <w:div w:id="231351985">
                      <w:marLeft w:val="0"/>
                      <w:marRight w:val="0"/>
                      <w:marTop w:val="0"/>
                      <w:marBottom w:val="0"/>
                      <w:divBdr>
                        <w:top w:val="none" w:sz="0" w:space="0" w:color="auto"/>
                        <w:left w:val="none" w:sz="0" w:space="0" w:color="auto"/>
                        <w:bottom w:val="none" w:sz="0" w:space="0" w:color="auto"/>
                        <w:right w:val="none" w:sz="0" w:space="0" w:color="auto"/>
                      </w:divBdr>
                      <w:divsChild>
                        <w:div w:id="1102068954">
                          <w:marLeft w:val="0"/>
                          <w:marRight w:val="0"/>
                          <w:marTop w:val="0"/>
                          <w:marBottom w:val="0"/>
                          <w:divBdr>
                            <w:top w:val="none" w:sz="0" w:space="0" w:color="auto"/>
                            <w:left w:val="none" w:sz="0" w:space="0" w:color="auto"/>
                            <w:bottom w:val="none" w:sz="0" w:space="0" w:color="auto"/>
                            <w:right w:val="none" w:sz="0" w:space="0" w:color="auto"/>
                          </w:divBdr>
                          <w:divsChild>
                            <w:div w:id="830754346">
                              <w:marLeft w:val="0"/>
                              <w:marRight w:val="0"/>
                              <w:marTop w:val="0"/>
                              <w:marBottom w:val="0"/>
                              <w:divBdr>
                                <w:top w:val="none" w:sz="0" w:space="0" w:color="auto"/>
                                <w:left w:val="none" w:sz="0" w:space="0" w:color="auto"/>
                                <w:bottom w:val="none" w:sz="0" w:space="0" w:color="auto"/>
                                <w:right w:val="none" w:sz="0" w:space="0" w:color="auto"/>
                              </w:divBdr>
                              <w:divsChild>
                                <w:div w:id="1512842674">
                                  <w:marLeft w:val="0"/>
                                  <w:marRight w:val="0"/>
                                  <w:marTop w:val="0"/>
                                  <w:marBottom w:val="0"/>
                                  <w:divBdr>
                                    <w:top w:val="none" w:sz="0" w:space="0" w:color="auto"/>
                                    <w:left w:val="none" w:sz="0" w:space="0" w:color="auto"/>
                                    <w:bottom w:val="none" w:sz="0" w:space="0" w:color="auto"/>
                                    <w:right w:val="none" w:sz="0" w:space="0" w:color="auto"/>
                                  </w:divBdr>
                                  <w:divsChild>
                                    <w:div w:id="1395197344">
                                      <w:marLeft w:val="0"/>
                                      <w:marRight w:val="0"/>
                                      <w:marTop w:val="0"/>
                                      <w:marBottom w:val="0"/>
                                      <w:divBdr>
                                        <w:top w:val="none" w:sz="0" w:space="0" w:color="auto"/>
                                        <w:left w:val="none" w:sz="0" w:space="0" w:color="auto"/>
                                        <w:bottom w:val="none" w:sz="0" w:space="0" w:color="auto"/>
                                        <w:right w:val="none" w:sz="0" w:space="0" w:color="auto"/>
                                      </w:divBdr>
                                      <w:divsChild>
                                        <w:div w:id="1746996951">
                                          <w:marLeft w:val="0"/>
                                          <w:marRight w:val="0"/>
                                          <w:marTop w:val="0"/>
                                          <w:marBottom w:val="495"/>
                                          <w:divBdr>
                                            <w:top w:val="none" w:sz="0" w:space="0" w:color="auto"/>
                                            <w:left w:val="none" w:sz="0" w:space="0" w:color="auto"/>
                                            <w:bottom w:val="none" w:sz="0" w:space="0" w:color="auto"/>
                                            <w:right w:val="none" w:sz="0" w:space="0" w:color="auto"/>
                                          </w:divBdr>
                                          <w:divsChild>
                                            <w:div w:id="118609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8728628">
      <w:bodyDiv w:val="1"/>
      <w:marLeft w:val="0"/>
      <w:marRight w:val="0"/>
      <w:marTop w:val="0"/>
      <w:marBottom w:val="0"/>
      <w:divBdr>
        <w:top w:val="none" w:sz="0" w:space="0" w:color="auto"/>
        <w:left w:val="none" w:sz="0" w:space="0" w:color="auto"/>
        <w:bottom w:val="none" w:sz="0" w:space="0" w:color="auto"/>
        <w:right w:val="none" w:sz="0" w:space="0" w:color="auto"/>
      </w:divBdr>
      <w:divsChild>
        <w:div w:id="489711134">
          <w:marLeft w:val="0"/>
          <w:marRight w:val="0"/>
          <w:marTop w:val="0"/>
          <w:marBottom w:val="0"/>
          <w:divBdr>
            <w:top w:val="none" w:sz="0" w:space="0" w:color="auto"/>
            <w:left w:val="none" w:sz="0" w:space="0" w:color="auto"/>
            <w:bottom w:val="none" w:sz="0" w:space="0" w:color="auto"/>
            <w:right w:val="none" w:sz="0" w:space="0" w:color="auto"/>
          </w:divBdr>
          <w:divsChild>
            <w:div w:id="143817370">
              <w:marLeft w:val="0"/>
              <w:marRight w:val="0"/>
              <w:marTop w:val="0"/>
              <w:marBottom w:val="0"/>
              <w:divBdr>
                <w:top w:val="none" w:sz="0" w:space="0" w:color="auto"/>
                <w:left w:val="none" w:sz="0" w:space="0" w:color="auto"/>
                <w:bottom w:val="none" w:sz="0" w:space="0" w:color="auto"/>
                <w:right w:val="none" w:sz="0" w:space="0" w:color="auto"/>
              </w:divBdr>
              <w:divsChild>
                <w:div w:id="1007516000">
                  <w:marLeft w:val="0"/>
                  <w:marRight w:val="0"/>
                  <w:marTop w:val="0"/>
                  <w:marBottom w:val="0"/>
                  <w:divBdr>
                    <w:top w:val="none" w:sz="0" w:space="0" w:color="auto"/>
                    <w:left w:val="none" w:sz="0" w:space="0" w:color="auto"/>
                    <w:bottom w:val="none" w:sz="0" w:space="0" w:color="auto"/>
                    <w:right w:val="none" w:sz="0" w:space="0" w:color="auto"/>
                  </w:divBdr>
                  <w:divsChild>
                    <w:div w:id="1069226768">
                      <w:marLeft w:val="0"/>
                      <w:marRight w:val="0"/>
                      <w:marTop w:val="0"/>
                      <w:marBottom w:val="0"/>
                      <w:divBdr>
                        <w:top w:val="none" w:sz="0" w:space="0" w:color="auto"/>
                        <w:left w:val="none" w:sz="0" w:space="0" w:color="auto"/>
                        <w:bottom w:val="none" w:sz="0" w:space="0" w:color="auto"/>
                        <w:right w:val="none" w:sz="0" w:space="0" w:color="auto"/>
                      </w:divBdr>
                      <w:divsChild>
                        <w:div w:id="1216506892">
                          <w:marLeft w:val="0"/>
                          <w:marRight w:val="0"/>
                          <w:marTop w:val="0"/>
                          <w:marBottom w:val="0"/>
                          <w:divBdr>
                            <w:top w:val="none" w:sz="0" w:space="0" w:color="auto"/>
                            <w:left w:val="none" w:sz="0" w:space="0" w:color="auto"/>
                            <w:bottom w:val="none" w:sz="0" w:space="0" w:color="auto"/>
                            <w:right w:val="none" w:sz="0" w:space="0" w:color="auto"/>
                          </w:divBdr>
                          <w:divsChild>
                            <w:div w:id="557859997">
                              <w:marLeft w:val="0"/>
                              <w:marRight w:val="0"/>
                              <w:marTop w:val="0"/>
                              <w:marBottom w:val="0"/>
                              <w:divBdr>
                                <w:top w:val="none" w:sz="0" w:space="0" w:color="auto"/>
                                <w:left w:val="none" w:sz="0" w:space="0" w:color="auto"/>
                                <w:bottom w:val="none" w:sz="0" w:space="0" w:color="auto"/>
                                <w:right w:val="none" w:sz="0" w:space="0" w:color="auto"/>
                              </w:divBdr>
                              <w:divsChild>
                                <w:div w:id="332878101">
                                  <w:marLeft w:val="0"/>
                                  <w:marRight w:val="0"/>
                                  <w:marTop w:val="0"/>
                                  <w:marBottom w:val="0"/>
                                  <w:divBdr>
                                    <w:top w:val="none" w:sz="0" w:space="0" w:color="auto"/>
                                    <w:left w:val="none" w:sz="0" w:space="0" w:color="auto"/>
                                    <w:bottom w:val="none" w:sz="0" w:space="0" w:color="auto"/>
                                    <w:right w:val="none" w:sz="0" w:space="0" w:color="auto"/>
                                  </w:divBdr>
                                  <w:divsChild>
                                    <w:div w:id="545337928">
                                      <w:marLeft w:val="0"/>
                                      <w:marRight w:val="0"/>
                                      <w:marTop w:val="0"/>
                                      <w:marBottom w:val="0"/>
                                      <w:divBdr>
                                        <w:top w:val="none" w:sz="0" w:space="0" w:color="auto"/>
                                        <w:left w:val="none" w:sz="0" w:space="0" w:color="auto"/>
                                        <w:bottom w:val="none" w:sz="0" w:space="0" w:color="auto"/>
                                        <w:right w:val="none" w:sz="0" w:space="0" w:color="auto"/>
                                      </w:divBdr>
                                      <w:divsChild>
                                        <w:div w:id="826938173">
                                          <w:marLeft w:val="0"/>
                                          <w:marRight w:val="0"/>
                                          <w:marTop w:val="0"/>
                                          <w:marBottom w:val="495"/>
                                          <w:divBdr>
                                            <w:top w:val="none" w:sz="0" w:space="0" w:color="auto"/>
                                            <w:left w:val="none" w:sz="0" w:space="0" w:color="auto"/>
                                            <w:bottom w:val="none" w:sz="0" w:space="0" w:color="auto"/>
                                            <w:right w:val="none" w:sz="0" w:space="0" w:color="auto"/>
                                          </w:divBdr>
                                          <w:divsChild>
                                            <w:div w:id="47737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5171740">
      <w:bodyDiv w:val="1"/>
      <w:marLeft w:val="0"/>
      <w:marRight w:val="0"/>
      <w:marTop w:val="0"/>
      <w:marBottom w:val="0"/>
      <w:divBdr>
        <w:top w:val="none" w:sz="0" w:space="0" w:color="auto"/>
        <w:left w:val="none" w:sz="0" w:space="0" w:color="auto"/>
        <w:bottom w:val="none" w:sz="0" w:space="0" w:color="auto"/>
        <w:right w:val="none" w:sz="0" w:space="0" w:color="auto"/>
      </w:divBdr>
      <w:divsChild>
        <w:div w:id="116996691">
          <w:marLeft w:val="0"/>
          <w:marRight w:val="0"/>
          <w:marTop w:val="0"/>
          <w:marBottom w:val="0"/>
          <w:divBdr>
            <w:top w:val="none" w:sz="0" w:space="0" w:color="auto"/>
            <w:left w:val="none" w:sz="0" w:space="0" w:color="auto"/>
            <w:bottom w:val="none" w:sz="0" w:space="0" w:color="auto"/>
            <w:right w:val="none" w:sz="0" w:space="0" w:color="auto"/>
          </w:divBdr>
          <w:divsChild>
            <w:div w:id="229468464">
              <w:marLeft w:val="0"/>
              <w:marRight w:val="0"/>
              <w:marTop w:val="0"/>
              <w:marBottom w:val="0"/>
              <w:divBdr>
                <w:top w:val="none" w:sz="0" w:space="0" w:color="auto"/>
                <w:left w:val="none" w:sz="0" w:space="0" w:color="auto"/>
                <w:bottom w:val="none" w:sz="0" w:space="0" w:color="auto"/>
                <w:right w:val="none" w:sz="0" w:space="0" w:color="auto"/>
              </w:divBdr>
              <w:divsChild>
                <w:div w:id="1812481803">
                  <w:marLeft w:val="0"/>
                  <w:marRight w:val="0"/>
                  <w:marTop w:val="0"/>
                  <w:marBottom w:val="0"/>
                  <w:divBdr>
                    <w:top w:val="none" w:sz="0" w:space="0" w:color="auto"/>
                    <w:left w:val="none" w:sz="0" w:space="0" w:color="auto"/>
                    <w:bottom w:val="none" w:sz="0" w:space="0" w:color="auto"/>
                    <w:right w:val="none" w:sz="0" w:space="0" w:color="auto"/>
                  </w:divBdr>
                  <w:divsChild>
                    <w:div w:id="1709649219">
                      <w:marLeft w:val="0"/>
                      <w:marRight w:val="0"/>
                      <w:marTop w:val="0"/>
                      <w:marBottom w:val="0"/>
                      <w:divBdr>
                        <w:top w:val="none" w:sz="0" w:space="0" w:color="auto"/>
                        <w:left w:val="none" w:sz="0" w:space="0" w:color="auto"/>
                        <w:bottom w:val="none" w:sz="0" w:space="0" w:color="auto"/>
                        <w:right w:val="none" w:sz="0" w:space="0" w:color="auto"/>
                      </w:divBdr>
                      <w:divsChild>
                        <w:div w:id="374820008">
                          <w:marLeft w:val="0"/>
                          <w:marRight w:val="0"/>
                          <w:marTop w:val="0"/>
                          <w:marBottom w:val="0"/>
                          <w:divBdr>
                            <w:top w:val="none" w:sz="0" w:space="0" w:color="auto"/>
                            <w:left w:val="none" w:sz="0" w:space="0" w:color="auto"/>
                            <w:bottom w:val="none" w:sz="0" w:space="0" w:color="auto"/>
                            <w:right w:val="none" w:sz="0" w:space="0" w:color="auto"/>
                          </w:divBdr>
                          <w:divsChild>
                            <w:div w:id="1848977308">
                              <w:marLeft w:val="0"/>
                              <w:marRight w:val="0"/>
                              <w:marTop w:val="0"/>
                              <w:marBottom w:val="0"/>
                              <w:divBdr>
                                <w:top w:val="none" w:sz="0" w:space="0" w:color="auto"/>
                                <w:left w:val="none" w:sz="0" w:space="0" w:color="auto"/>
                                <w:bottom w:val="none" w:sz="0" w:space="0" w:color="auto"/>
                                <w:right w:val="none" w:sz="0" w:space="0" w:color="auto"/>
                              </w:divBdr>
                              <w:divsChild>
                                <w:div w:id="1133789772">
                                  <w:marLeft w:val="0"/>
                                  <w:marRight w:val="0"/>
                                  <w:marTop w:val="0"/>
                                  <w:marBottom w:val="0"/>
                                  <w:divBdr>
                                    <w:top w:val="none" w:sz="0" w:space="0" w:color="auto"/>
                                    <w:left w:val="none" w:sz="0" w:space="0" w:color="auto"/>
                                    <w:bottom w:val="none" w:sz="0" w:space="0" w:color="auto"/>
                                    <w:right w:val="none" w:sz="0" w:space="0" w:color="auto"/>
                                  </w:divBdr>
                                  <w:divsChild>
                                    <w:div w:id="828061208">
                                      <w:marLeft w:val="0"/>
                                      <w:marRight w:val="0"/>
                                      <w:marTop w:val="0"/>
                                      <w:marBottom w:val="0"/>
                                      <w:divBdr>
                                        <w:top w:val="none" w:sz="0" w:space="0" w:color="auto"/>
                                        <w:left w:val="none" w:sz="0" w:space="0" w:color="auto"/>
                                        <w:bottom w:val="none" w:sz="0" w:space="0" w:color="auto"/>
                                        <w:right w:val="none" w:sz="0" w:space="0" w:color="auto"/>
                                      </w:divBdr>
                                      <w:divsChild>
                                        <w:div w:id="880090342">
                                          <w:marLeft w:val="0"/>
                                          <w:marRight w:val="0"/>
                                          <w:marTop w:val="0"/>
                                          <w:marBottom w:val="495"/>
                                          <w:divBdr>
                                            <w:top w:val="none" w:sz="0" w:space="0" w:color="auto"/>
                                            <w:left w:val="none" w:sz="0" w:space="0" w:color="auto"/>
                                            <w:bottom w:val="none" w:sz="0" w:space="0" w:color="auto"/>
                                            <w:right w:val="none" w:sz="0" w:space="0" w:color="auto"/>
                                          </w:divBdr>
                                          <w:divsChild>
                                            <w:div w:id="114670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8984544">
      <w:bodyDiv w:val="1"/>
      <w:marLeft w:val="0"/>
      <w:marRight w:val="0"/>
      <w:marTop w:val="0"/>
      <w:marBottom w:val="0"/>
      <w:divBdr>
        <w:top w:val="none" w:sz="0" w:space="0" w:color="auto"/>
        <w:left w:val="none" w:sz="0" w:space="0" w:color="auto"/>
        <w:bottom w:val="none" w:sz="0" w:space="0" w:color="auto"/>
        <w:right w:val="none" w:sz="0" w:space="0" w:color="auto"/>
      </w:divBdr>
      <w:divsChild>
        <w:div w:id="1925072528">
          <w:marLeft w:val="0"/>
          <w:marRight w:val="0"/>
          <w:marTop w:val="0"/>
          <w:marBottom w:val="0"/>
          <w:divBdr>
            <w:top w:val="none" w:sz="0" w:space="0" w:color="auto"/>
            <w:left w:val="none" w:sz="0" w:space="0" w:color="auto"/>
            <w:bottom w:val="none" w:sz="0" w:space="0" w:color="auto"/>
            <w:right w:val="none" w:sz="0" w:space="0" w:color="auto"/>
          </w:divBdr>
          <w:divsChild>
            <w:div w:id="630749118">
              <w:marLeft w:val="0"/>
              <w:marRight w:val="0"/>
              <w:marTop w:val="0"/>
              <w:marBottom w:val="0"/>
              <w:divBdr>
                <w:top w:val="none" w:sz="0" w:space="0" w:color="auto"/>
                <w:left w:val="none" w:sz="0" w:space="0" w:color="auto"/>
                <w:bottom w:val="none" w:sz="0" w:space="0" w:color="auto"/>
                <w:right w:val="none" w:sz="0" w:space="0" w:color="auto"/>
              </w:divBdr>
              <w:divsChild>
                <w:div w:id="674571184">
                  <w:marLeft w:val="0"/>
                  <w:marRight w:val="0"/>
                  <w:marTop w:val="0"/>
                  <w:marBottom w:val="0"/>
                  <w:divBdr>
                    <w:top w:val="none" w:sz="0" w:space="0" w:color="auto"/>
                    <w:left w:val="none" w:sz="0" w:space="0" w:color="auto"/>
                    <w:bottom w:val="none" w:sz="0" w:space="0" w:color="auto"/>
                    <w:right w:val="none" w:sz="0" w:space="0" w:color="auto"/>
                  </w:divBdr>
                  <w:divsChild>
                    <w:div w:id="1773356161">
                      <w:marLeft w:val="0"/>
                      <w:marRight w:val="0"/>
                      <w:marTop w:val="0"/>
                      <w:marBottom w:val="0"/>
                      <w:divBdr>
                        <w:top w:val="none" w:sz="0" w:space="0" w:color="auto"/>
                        <w:left w:val="none" w:sz="0" w:space="0" w:color="auto"/>
                        <w:bottom w:val="none" w:sz="0" w:space="0" w:color="auto"/>
                        <w:right w:val="none" w:sz="0" w:space="0" w:color="auto"/>
                      </w:divBdr>
                      <w:divsChild>
                        <w:div w:id="172452928">
                          <w:marLeft w:val="0"/>
                          <w:marRight w:val="0"/>
                          <w:marTop w:val="0"/>
                          <w:marBottom w:val="0"/>
                          <w:divBdr>
                            <w:top w:val="none" w:sz="0" w:space="0" w:color="auto"/>
                            <w:left w:val="none" w:sz="0" w:space="0" w:color="auto"/>
                            <w:bottom w:val="none" w:sz="0" w:space="0" w:color="auto"/>
                            <w:right w:val="none" w:sz="0" w:space="0" w:color="auto"/>
                          </w:divBdr>
                          <w:divsChild>
                            <w:div w:id="1214464618">
                              <w:marLeft w:val="0"/>
                              <w:marRight w:val="0"/>
                              <w:marTop w:val="0"/>
                              <w:marBottom w:val="0"/>
                              <w:divBdr>
                                <w:top w:val="none" w:sz="0" w:space="0" w:color="auto"/>
                                <w:left w:val="none" w:sz="0" w:space="0" w:color="auto"/>
                                <w:bottom w:val="none" w:sz="0" w:space="0" w:color="auto"/>
                                <w:right w:val="none" w:sz="0" w:space="0" w:color="auto"/>
                              </w:divBdr>
                              <w:divsChild>
                                <w:div w:id="801923581">
                                  <w:marLeft w:val="0"/>
                                  <w:marRight w:val="0"/>
                                  <w:marTop w:val="0"/>
                                  <w:marBottom w:val="0"/>
                                  <w:divBdr>
                                    <w:top w:val="none" w:sz="0" w:space="0" w:color="auto"/>
                                    <w:left w:val="none" w:sz="0" w:space="0" w:color="auto"/>
                                    <w:bottom w:val="none" w:sz="0" w:space="0" w:color="auto"/>
                                    <w:right w:val="none" w:sz="0" w:space="0" w:color="auto"/>
                                  </w:divBdr>
                                  <w:divsChild>
                                    <w:div w:id="1305544866">
                                      <w:marLeft w:val="60"/>
                                      <w:marRight w:val="0"/>
                                      <w:marTop w:val="0"/>
                                      <w:marBottom w:val="0"/>
                                      <w:divBdr>
                                        <w:top w:val="none" w:sz="0" w:space="0" w:color="auto"/>
                                        <w:left w:val="none" w:sz="0" w:space="0" w:color="auto"/>
                                        <w:bottom w:val="none" w:sz="0" w:space="0" w:color="auto"/>
                                        <w:right w:val="none" w:sz="0" w:space="0" w:color="auto"/>
                                      </w:divBdr>
                                      <w:divsChild>
                                        <w:div w:id="1255091932">
                                          <w:marLeft w:val="0"/>
                                          <w:marRight w:val="0"/>
                                          <w:marTop w:val="0"/>
                                          <w:marBottom w:val="0"/>
                                          <w:divBdr>
                                            <w:top w:val="none" w:sz="0" w:space="0" w:color="auto"/>
                                            <w:left w:val="none" w:sz="0" w:space="0" w:color="auto"/>
                                            <w:bottom w:val="none" w:sz="0" w:space="0" w:color="auto"/>
                                            <w:right w:val="none" w:sz="0" w:space="0" w:color="auto"/>
                                          </w:divBdr>
                                          <w:divsChild>
                                            <w:div w:id="554513887">
                                              <w:marLeft w:val="0"/>
                                              <w:marRight w:val="0"/>
                                              <w:marTop w:val="0"/>
                                              <w:marBottom w:val="120"/>
                                              <w:divBdr>
                                                <w:top w:val="single" w:sz="6" w:space="0" w:color="F5F5F5"/>
                                                <w:left w:val="single" w:sz="6" w:space="0" w:color="F5F5F5"/>
                                                <w:bottom w:val="single" w:sz="6" w:space="0" w:color="F5F5F5"/>
                                                <w:right w:val="single" w:sz="6" w:space="0" w:color="F5F5F5"/>
                                              </w:divBdr>
                                              <w:divsChild>
                                                <w:div w:id="794644416">
                                                  <w:marLeft w:val="0"/>
                                                  <w:marRight w:val="0"/>
                                                  <w:marTop w:val="0"/>
                                                  <w:marBottom w:val="0"/>
                                                  <w:divBdr>
                                                    <w:top w:val="none" w:sz="0" w:space="0" w:color="auto"/>
                                                    <w:left w:val="none" w:sz="0" w:space="0" w:color="auto"/>
                                                    <w:bottom w:val="none" w:sz="0" w:space="0" w:color="auto"/>
                                                    <w:right w:val="none" w:sz="0" w:space="0" w:color="auto"/>
                                                  </w:divBdr>
                                                  <w:divsChild>
                                                    <w:div w:id="144461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16655105">
      <w:bodyDiv w:val="1"/>
      <w:marLeft w:val="0"/>
      <w:marRight w:val="0"/>
      <w:marTop w:val="0"/>
      <w:marBottom w:val="0"/>
      <w:divBdr>
        <w:top w:val="none" w:sz="0" w:space="0" w:color="auto"/>
        <w:left w:val="none" w:sz="0" w:space="0" w:color="auto"/>
        <w:bottom w:val="none" w:sz="0" w:space="0" w:color="auto"/>
        <w:right w:val="none" w:sz="0" w:space="0" w:color="auto"/>
      </w:divBdr>
      <w:divsChild>
        <w:div w:id="175465160">
          <w:marLeft w:val="0"/>
          <w:marRight w:val="0"/>
          <w:marTop w:val="0"/>
          <w:marBottom w:val="0"/>
          <w:divBdr>
            <w:top w:val="none" w:sz="0" w:space="0" w:color="auto"/>
            <w:left w:val="none" w:sz="0" w:space="0" w:color="auto"/>
            <w:bottom w:val="none" w:sz="0" w:space="0" w:color="auto"/>
            <w:right w:val="none" w:sz="0" w:space="0" w:color="auto"/>
          </w:divBdr>
          <w:divsChild>
            <w:div w:id="69087185">
              <w:marLeft w:val="0"/>
              <w:marRight w:val="0"/>
              <w:marTop w:val="0"/>
              <w:marBottom w:val="0"/>
              <w:divBdr>
                <w:top w:val="none" w:sz="0" w:space="0" w:color="auto"/>
                <w:left w:val="none" w:sz="0" w:space="0" w:color="auto"/>
                <w:bottom w:val="none" w:sz="0" w:space="0" w:color="auto"/>
                <w:right w:val="none" w:sz="0" w:space="0" w:color="auto"/>
              </w:divBdr>
              <w:divsChild>
                <w:div w:id="458693314">
                  <w:marLeft w:val="0"/>
                  <w:marRight w:val="0"/>
                  <w:marTop w:val="0"/>
                  <w:marBottom w:val="0"/>
                  <w:divBdr>
                    <w:top w:val="none" w:sz="0" w:space="0" w:color="auto"/>
                    <w:left w:val="none" w:sz="0" w:space="0" w:color="auto"/>
                    <w:bottom w:val="none" w:sz="0" w:space="0" w:color="auto"/>
                    <w:right w:val="none" w:sz="0" w:space="0" w:color="auto"/>
                  </w:divBdr>
                  <w:divsChild>
                    <w:div w:id="676418603">
                      <w:marLeft w:val="0"/>
                      <w:marRight w:val="0"/>
                      <w:marTop w:val="0"/>
                      <w:marBottom w:val="0"/>
                      <w:divBdr>
                        <w:top w:val="none" w:sz="0" w:space="0" w:color="auto"/>
                        <w:left w:val="none" w:sz="0" w:space="0" w:color="auto"/>
                        <w:bottom w:val="none" w:sz="0" w:space="0" w:color="auto"/>
                        <w:right w:val="none" w:sz="0" w:space="0" w:color="auto"/>
                      </w:divBdr>
                      <w:divsChild>
                        <w:div w:id="290215379">
                          <w:marLeft w:val="0"/>
                          <w:marRight w:val="0"/>
                          <w:marTop w:val="0"/>
                          <w:marBottom w:val="0"/>
                          <w:divBdr>
                            <w:top w:val="none" w:sz="0" w:space="0" w:color="auto"/>
                            <w:left w:val="none" w:sz="0" w:space="0" w:color="auto"/>
                            <w:bottom w:val="none" w:sz="0" w:space="0" w:color="auto"/>
                            <w:right w:val="none" w:sz="0" w:space="0" w:color="auto"/>
                          </w:divBdr>
                          <w:divsChild>
                            <w:div w:id="1714888600">
                              <w:marLeft w:val="0"/>
                              <w:marRight w:val="0"/>
                              <w:marTop w:val="0"/>
                              <w:marBottom w:val="0"/>
                              <w:divBdr>
                                <w:top w:val="none" w:sz="0" w:space="0" w:color="auto"/>
                                <w:left w:val="none" w:sz="0" w:space="0" w:color="auto"/>
                                <w:bottom w:val="none" w:sz="0" w:space="0" w:color="auto"/>
                                <w:right w:val="none" w:sz="0" w:space="0" w:color="auto"/>
                              </w:divBdr>
                              <w:divsChild>
                                <w:div w:id="1377463710">
                                  <w:marLeft w:val="0"/>
                                  <w:marRight w:val="0"/>
                                  <w:marTop w:val="0"/>
                                  <w:marBottom w:val="0"/>
                                  <w:divBdr>
                                    <w:top w:val="none" w:sz="0" w:space="0" w:color="auto"/>
                                    <w:left w:val="none" w:sz="0" w:space="0" w:color="auto"/>
                                    <w:bottom w:val="none" w:sz="0" w:space="0" w:color="auto"/>
                                    <w:right w:val="none" w:sz="0" w:space="0" w:color="auto"/>
                                  </w:divBdr>
                                  <w:divsChild>
                                    <w:div w:id="511846785">
                                      <w:marLeft w:val="0"/>
                                      <w:marRight w:val="0"/>
                                      <w:marTop w:val="0"/>
                                      <w:marBottom w:val="0"/>
                                      <w:divBdr>
                                        <w:top w:val="none" w:sz="0" w:space="0" w:color="auto"/>
                                        <w:left w:val="none" w:sz="0" w:space="0" w:color="auto"/>
                                        <w:bottom w:val="none" w:sz="0" w:space="0" w:color="auto"/>
                                        <w:right w:val="none" w:sz="0" w:space="0" w:color="auto"/>
                                      </w:divBdr>
                                      <w:divsChild>
                                        <w:div w:id="676925198">
                                          <w:marLeft w:val="0"/>
                                          <w:marRight w:val="0"/>
                                          <w:marTop w:val="0"/>
                                          <w:marBottom w:val="495"/>
                                          <w:divBdr>
                                            <w:top w:val="none" w:sz="0" w:space="0" w:color="auto"/>
                                            <w:left w:val="none" w:sz="0" w:space="0" w:color="auto"/>
                                            <w:bottom w:val="none" w:sz="0" w:space="0" w:color="auto"/>
                                            <w:right w:val="none" w:sz="0" w:space="0" w:color="auto"/>
                                          </w:divBdr>
                                          <w:divsChild>
                                            <w:div w:id="5499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7523662">
      <w:bodyDiv w:val="1"/>
      <w:marLeft w:val="0"/>
      <w:marRight w:val="0"/>
      <w:marTop w:val="0"/>
      <w:marBottom w:val="0"/>
      <w:divBdr>
        <w:top w:val="none" w:sz="0" w:space="0" w:color="auto"/>
        <w:left w:val="none" w:sz="0" w:space="0" w:color="auto"/>
        <w:bottom w:val="none" w:sz="0" w:space="0" w:color="auto"/>
        <w:right w:val="none" w:sz="0" w:space="0" w:color="auto"/>
      </w:divBdr>
      <w:divsChild>
        <w:div w:id="576482216">
          <w:marLeft w:val="0"/>
          <w:marRight w:val="0"/>
          <w:marTop w:val="0"/>
          <w:marBottom w:val="0"/>
          <w:divBdr>
            <w:top w:val="none" w:sz="0" w:space="0" w:color="auto"/>
            <w:left w:val="none" w:sz="0" w:space="0" w:color="auto"/>
            <w:bottom w:val="none" w:sz="0" w:space="0" w:color="auto"/>
            <w:right w:val="none" w:sz="0" w:space="0" w:color="auto"/>
          </w:divBdr>
        </w:div>
        <w:div w:id="991907820">
          <w:marLeft w:val="0"/>
          <w:marRight w:val="0"/>
          <w:marTop w:val="0"/>
          <w:marBottom w:val="0"/>
          <w:divBdr>
            <w:top w:val="none" w:sz="0" w:space="0" w:color="auto"/>
            <w:left w:val="none" w:sz="0" w:space="0" w:color="auto"/>
            <w:bottom w:val="none" w:sz="0" w:space="0" w:color="auto"/>
            <w:right w:val="none" w:sz="0" w:space="0" w:color="auto"/>
          </w:divBdr>
        </w:div>
        <w:div w:id="1158692603">
          <w:marLeft w:val="0"/>
          <w:marRight w:val="0"/>
          <w:marTop w:val="0"/>
          <w:marBottom w:val="0"/>
          <w:divBdr>
            <w:top w:val="none" w:sz="0" w:space="0" w:color="auto"/>
            <w:left w:val="none" w:sz="0" w:space="0" w:color="auto"/>
            <w:bottom w:val="none" w:sz="0" w:space="0" w:color="auto"/>
            <w:right w:val="none" w:sz="0" w:space="0" w:color="auto"/>
          </w:divBdr>
        </w:div>
      </w:divsChild>
    </w:div>
    <w:div w:id="902060686">
      <w:bodyDiv w:val="1"/>
      <w:marLeft w:val="0"/>
      <w:marRight w:val="0"/>
      <w:marTop w:val="0"/>
      <w:marBottom w:val="0"/>
      <w:divBdr>
        <w:top w:val="none" w:sz="0" w:space="0" w:color="auto"/>
        <w:left w:val="none" w:sz="0" w:space="0" w:color="auto"/>
        <w:bottom w:val="none" w:sz="0" w:space="0" w:color="auto"/>
        <w:right w:val="none" w:sz="0" w:space="0" w:color="auto"/>
      </w:divBdr>
      <w:divsChild>
        <w:div w:id="895316578">
          <w:marLeft w:val="0"/>
          <w:marRight w:val="0"/>
          <w:marTop w:val="0"/>
          <w:marBottom w:val="0"/>
          <w:divBdr>
            <w:top w:val="none" w:sz="0" w:space="0" w:color="auto"/>
            <w:left w:val="none" w:sz="0" w:space="0" w:color="auto"/>
            <w:bottom w:val="none" w:sz="0" w:space="0" w:color="auto"/>
            <w:right w:val="none" w:sz="0" w:space="0" w:color="auto"/>
          </w:divBdr>
          <w:divsChild>
            <w:div w:id="106775171">
              <w:marLeft w:val="0"/>
              <w:marRight w:val="0"/>
              <w:marTop w:val="0"/>
              <w:marBottom w:val="0"/>
              <w:divBdr>
                <w:top w:val="none" w:sz="0" w:space="0" w:color="auto"/>
                <w:left w:val="none" w:sz="0" w:space="0" w:color="auto"/>
                <w:bottom w:val="none" w:sz="0" w:space="0" w:color="auto"/>
                <w:right w:val="none" w:sz="0" w:space="0" w:color="auto"/>
              </w:divBdr>
              <w:divsChild>
                <w:div w:id="253710969">
                  <w:marLeft w:val="0"/>
                  <w:marRight w:val="0"/>
                  <w:marTop w:val="0"/>
                  <w:marBottom w:val="0"/>
                  <w:divBdr>
                    <w:top w:val="none" w:sz="0" w:space="0" w:color="auto"/>
                    <w:left w:val="none" w:sz="0" w:space="0" w:color="auto"/>
                    <w:bottom w:val="none" w:sz="0" w:space="0" w:color="auto"/>
                    <w:right w:val="none" w:sz="0" w:space="0" w:color="auto"/>
                  </w:divBdr>
                  <w:divsChild>
                    <w:div w:id="1730155839">
                      <w:marLeft w:val="0"/>
                      <w:marRight w:val="0"/>
                      <w:marTop w:val="0"/>
                      <w:marBottom w:val="0"/>
                      <w:divBdr>
                        <w:top w:val="none" w:sz="0" w:space="0" w:color="auto"/>
                        <w:left w:val="none" w:sz="0" w:space="0" w:color="auto"/>
                        <w:bottom w:val="none" w:sz="0" w:space="0" w:color="auto"/>
                        <w:right w:val="none" w:sz="0" w:space="0" w:color="auto"/>
                      </w:divBdr>
                      <w:divsChild>
                        <w:div w:id="917784136">
                          <w:marLeft w:val="0"/>
                          <w:marRight w:val="0"/>
                          <w:marTop w:val="0"/>
                          <w:marBottom w:val="0"/>
                          <w:divBdr>
                            <w:top w:val="none" w:sz="0" w:space="0" w:color="auto"/>
                            <w:left w:val="none" w:sz="0" w:space="0" w:color="auto"/>
                            <w:bottom w:val="none" w:sz="0" w:space="0" w:color="auto"/>
                            <w:right w:val="none" w:sz="0" w:space="0" w:color="auto"/>
                          </w:divBdr>
                          <w:divsChild>
                            <w:div w:id="1194343146">
                              <w:marLeft w:val="0"/>
                              <w:marRight w:val="0"/>
                              <w:marTop w:val="0"/>
                              <w:marBottom w:val="0"/>
                              <w:divBdr>
                                <w:top w:val="none" w:sz="0" w:space="0" w:color="auto"/>
                                <w:left w:val="none" w:sz="0" w:space="0" w:color="auto"/>
                                <w:bottom w:val="none" w:sz="0" w:space="0" w:color="auto"/>
                                <w:right w:val="none" w:sz="0" w:space="0" w:color="auto"/>
                              </w:divBdr>
                              <w:divsChild>
                                <w:div w:id="1889224240">
                                  <w:marLeft w:val="0"/>
                                  <w:marRight w:val="0"/>
                                  <w:marTop w:val="0"/>
                                  <w:marBottom w:val="0"/>
                                  <w:divBdr>
                                    <w:top w:val="none" w:sz="0" w:space="0" w:color="auto"/>
                                    <w:left w:val="none" w:sz="0" w:space="0" w:color="auto"/>
                                    <w:bottom w:val="none" w:sz="0" w:space="0" w:color="auto"/>
                                    <w:right w:val="none" w:sz="0" w:space="0" w:color="auto"/>
                                  </w:divBdr>
                                  <w:divsChild>
                                    <w:div w:id="1440251726">
                                      <w:marLeft w:val="0"/>
                                      <w:marRight w:val="0"/>
                                      <w:marTop w:val="0"/>
                                      <w:marBottom w:val="0"/>
                                      <w:divBdr>
                                        <w:top w:val="none" w:sz="0" w:space="0" w:color="auto"/>
                                        <w:left w:val="none" w:sz="0" w:space="0" w:color="auto"/>
                                        <w:bottom w:val="none" w:sz="0" w:space="0" w:color="auto"/>
                                        <w:right w:val="none" w:sz="0" w:space="0" w:color="auto"/>
                                      </w:divBdr>
                                      <w:divsChild>
                                        <w:div w:id="1459182570">
                                          <w:marLeft w:val="0"/>
                                          <w:marRight w:val="0"/>
                                          <w:marTop w:val="0"/>
                                          <w:marBottom w:val="495"/>
                                          <w:divBdr>
                                            <w:top w:val="none" w:sz="0" w:space="0" w:color="auto"/>
                                            <w:left w:val="none" w:sz="0" w:space="0" w:color="auto"/>
                                            <w:bottom w:val="none" w:sz="0" w:space="0" w:color="auto"/>
                                            <w:right w:val="none" w:sz="0" w:space="0" w:color="auto"/>
                                          </w:divBdr>
                                          <w:divsChild>
                                            <w:div w:id="100663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2304458">
      <w:bodyDiv w:val="1"/>
      <w:marLeft w:val="0"/>
      <w:marRight w:val="0"/>
      <w:marTop w:val="0"/>
      <w:marBottom w:val="0"/>
      <w:divBdr>
        <w:top w:val="none" w:sz="0" w:space="0" w:color="auto"/>
        <w:left w:val="none" w:sz="0" w:space="0" w:color="auto"/>
        <w:bottom w:val="none" w:sz="0" w:space="0" w:color="auto"/>
        <w:right w:val="none" w:sz="0" w:space="0" w:color="auto"/>
      </w:divBdr>
      <w:divsChild>
        <w:div w:id="859971958">
          <w:marLeft w:val="0"/>
          <w:marRight w:val="0"/>
          <w:marTop w:val="0"/>
          <w:marBottom w:val="0"/>
          <w:divBdr>
            <w:top w:val="none" w:sz="0" w:space="0" w:color="auto"/>
            <w:left w:val="none" w:sz="0" w:space="0" w:color="auto"/>
            <w:bottom w:val="none" w:sz="0" w:space="0" w:color="auto"/>
            <w:right w:val="none" w:sz="0" w:space="0" w:color="auto"/>
          </w:divBdr>
          <w:divsChild>
            <w:div w:id="83964813">
              <w:marLeft w:val="0"/>
              <w:marRight w:val="0"/>
              <w:marTop w:val="0"/>
              <w:marBottom w:val="0"/>
              <w:divBdr>
                <w:top w:val="none" w:sz="0" w:space="0" w:color="auto"/>
                <w:left w:val="none" w:sz="0" w:space="0" w:color="auto"/>
                <w:bottom w:val="none" w:sz="0" w:space="0" w:color="auto"/>
                <w:right w:val="none" w:sz="0" w:space="0" w:color="auto"/>
              </w:divBdr>
              <w:divsChild>
                <w:div w:id="765540109">
                  <w:marLeft w:val="0"/>
                  <w:marRight w:val="0"/>
                  <w:marTop w:val="0"/>
                  <w:marBottom w:val="0"/>
                  <w:divBdr>
                    <w:top w:val="none" w:sz="0" w:space="0" w:color="auto"/>
                    <w:left w:val="none" w:sz="0" w:space="0" w:color="auto"/>
                    <w:bottom w:val="none" w:sz="0" w:space="0" w:color="auto"/>
                    <w:right w:val="none" w:sz="0" w:space="0" w:color="auto"/>
                  </w:divBdr>
                  <w:divsChild>
                    <w:div w:id="1638756835">
                      <w:marLeft w:val="0"/>
                      <w:marRight w:val="0"/>
                      <w:marTop w:val="0"/>
                      <w:marBottom w:val="0"/>
                      <w:divBdr>
                        <w:top w:val="none" w:sz="0" w:space="0" w:color="auto"/>
                        <w:left w:val="none" w:sz="0" w:space="0" w:color="auto"/>
                        <w:bottom w:val="none" w:sz="0" w:space="0" w:color="auto"/>
                        <w:right w:val="none" w:sz="0" w:space="0" w:color="auto"/>
                      </w:divBdr>
                      <w:divsChild>
                        <w:div w:id="347222452">
                          <w:marLeft w:val="0"/>
                          <w:marRight w:val="0"/>
                          <w:marTop w:val="0"/>
                          <w:marBottom w:val="0"/>
                          <w:divBdr>
                            <w:top w:val="none" w:sz="0" w:space="0" w:color="auto"/>
                            <w:left w:val="none" w:sz="0" w:space="0" w:color="auto"/>
                            <w:bottom w:val="none" w:sz="0" w:space="0" w:color="auto"/>
                            <w:right w:val="none" w:sz="0" w:space="0" w:color="auto"/>
                          </w:divBdr>
                          <w:divsChild>
                            <w:div w:id="132137659">
                              <w:marLeft w:val="0"/>
                              <w:marRight w:val="0"/>
                              <w:marTop w:val="0"/>
                              <w:marBottom w:val="0"/>
                              <w:divBdr>
                                <w:top w:val="none" w:sz="0" w:space="0" w:color="auto"/>
                                <w:left w:val="none" w:sz="0" w:space="0" w:color="auto"/>
                                <w:bottom w:val="none" w:sz="0" w:space="0" w:color="auto"/>
                                <w:right w:val="none" w:sz="0" w:space="0" w:color="auto"/>
                              </w:divBdr>
                              <w:divsChild>
                                <w:div w:id="1990137521">
                                  <w:marLeft w:val="0"/>
                                  <w:marRight w:val="0"/>
                                  <w:marTop w:val="0"/>
                                  <w:marBottom w:val="0"/>
                                  <w:divBdr>
                                    <w:top w:val="none" w:sz="0" w:space="0" w:color="auto"/>
                                    <w:left w:val="none" w:sz="0" w:space="0" w:color="auto"/>
                                    <w:bottom w:val="none" w:sz="0" w:space="0" w:color="auto"/>
                                    <w:right w:val="none" w:sz="0" w:space="0" w:color="auto"/>
                                  </w:divBdr>
                                  <w:divsChild>
                                    <w:div w:id="1611204968">
                                      <w:marLeft w:val="0"/>
                                      <w:marRight w:val="0"/>
                                      <w:marTop w:val="0"/>
                                      <w:marBottom w:val="0"/>
                                      <w:divBdr>
                                        <w:top w:val="none" w:sz="0" w:space="0" w:color="auto"/>
                                        <w:left w:val="none" w:sz="0" w:space="0" w:color="auto"/>
                                        <w:bottom w:val="none" w:sz="0" w:space="0" w:color="auto"/>
                                        <w:right w:val="none" w:sz="0" w:space="0" w:color="auto"/>
                                      </w:divBdr>
                                      <w:divsChild>
                                        <w:div w:id="775633389">
                                          <w:marLeft w:val="0"/>
                                          <w:marRight w:val="0"/>
                                          <w:marTop w:val="0"/>
                                          <w:marBottom w:val="495"/>
                                          <w:divBdr>
                                            <w:top w:val="none" w:sz="0" w:space="0" w:color="auto"/>
                                            <w:left w:val="none" w:sz="0" w:space="0" w:color="auto"/>
                                            <w:bottom w:val="none" w:sz="0" w:space="0" w:color="auto"/>
                                            <w:right w:val="none" w:sz="0" w:space="0" w:color="auto"/>
                                          </w:divBdr>
                                          <w:divsChild>
                                            <w:div w:id="154181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8005650">
      <w:bodyDiv w:val="1"/>
      <w:marLeft w:val="0"/>
      <w:marRight w:val="0"/>
      <w:marTop w:val="0"/>
      <w:marBottom w:val="0"/>
      <w:divBdr>
        <w:top w:val="none" w:sz="0" w:space="0" w:color="auto"/>
        <w:left w:val="none" w:sz="0" w:space="0" w:color="auto"/>
        <w:bottom w:val="none" w:sz="0" w:space="0" w:color="auto"/>
        <w:right w:val="none" w:sz="0" w:space="0" w:color="auto"/>
      </w:divBdr>
      <w:divsChild>
        <w:div w:id="1011029979">
          <w:marLeft w:val="0"/>
          <w:marRight w:val="0"/>
          <w:marTop w:val="0"/>
          <w:marBottom w:val="0"/>
          <w:divBdr>
            <w:top w:val="none" w:sz="0" w:space="0" w:color="auto"/>
            <w:left w:val="none" w:sz="0" w:space="0" w:color="auto"/>
            <w:bottom w:val="none" w:sz="0" w:space="0" w:color="auto"/>
            <w:right w:val="none" w:sz="0" w:space="0" w:color="auto"/>
          </w:divBdr>
          <w:divsChild>
            <w:div w:id="422801894">
              <w:marLeft w:val="0"/>
              <w:marRight w:val="0"/>
              <w:marTop w:val="0"/>
              <w:marBottom w:val="0"/>
              <w:divBdr>
                <w:top w:val="none" w:sz="0" w:space="0" w:color="auto"/>
                <w:left w:val="none" w:sz="0" w:space="0" w:color="auto"/>
                <w:bottom w:val="none" w:sz="0" w:space="0" w:color="auto"/>
                <w:right w:val="none" w:sz="0" w:space="0" w:color="auto"/>
              </w:divBdr>
              <w:divsChild>
                <w:div w:id="1276016158">
                  <w:marLeft w:val="0"/>
                  <w:marRight w:val="0"/>
                  <w:marTop w:val="0"/>
                  <w:marBottom w:val="0"/>
                  <w:divBdr>
                    <w:top w:val="none" w:sz="0" w:space="0" w:color="auto"/>
                    <w:left w:val="none" w:sz="0" w:space="0" w:color="auto"/>
                    <w:bottom w:val="none" w:sz="0" w:space="0" w:color="auto"/>
                    <w:right w:val="none" w:sz="0" w:space="0" w:color="auto"/>
                  </w:divBdr>
                  <w:divsChild>
                    <w:div w:id="544566522">
                      <w:marLeft w:val="0"/>
                      <w:marRight w:val="0"/>
                      <w:marTop w:val="0"/>
                      <w:marBottom w:val="0"/>
                      <w:divBdr>
                        <w:top w:val="none" w:sz="0" w:space="0" w:color="auto"/>
                        <w:left w:val="none" w:sz="0" w:space="0" w:color="auto"/>
                        <w:bottom w:val="none" w:sz="0" w:space="0" w:color="auto"/>
                        <w:right w:val="none" w:sz="0" w:space="0" w:color="auto"/>
                      </w:divBdr>
                      <w:divsChild>
                        <w:div w:id="755520802">
                          <w:marLeft w:val="0"/>
                          <w:marRight w:val="0"/>
                          <w:marTop w:val="0"/>
                          <w:marBottom w:val="0"/>
                          <w:divBdr>
                            <w:top w:val="none" w:sz="0" w:space="0" w:color="auto"/>
                            <w:left w:val="none" w:sz="0" w:space="0" w:color="auto"/>
                            <w:bottom w:val="none" w:sz="0" w:space="0" w:color="auto"/>
                            <w:right w:val="none" w:sz="0" w:space="0" w:color="auto"/>
                          </w:divBdr>
                          <w:divsChild>
                            <w:div w:id="1270047131">
                              <w:marLeft w:val="0"/>
                              <w:marRight w:val="0"/>
                              <w:marTop w:val="0"/>
                              <w:marBottom w:val="0"/>
                              <w:divBdr>
                                <w:top w:val="none" w:sz="0" w:space="0" w:color="auto"/>
                                <w:left w:val="none" w:sz="0" w:space="0" w:color="auto"/>
                                <w:bottom w:val="none" w:sz="0" w:space="0" w:color="auto"/>
                                <w:right w:val="none" w:sz="0" w:space="0" w:color="auto"/>
                              </w:divBdr>
                              <w:divsChild>
                                <w:div w:id="1721514984">
                                  <w:marLeft w:val="0"/>
                                  <w:marRight w:val="0"/>
                                  <w:marTop w:val="0"/>
                                  <w:marBottom w:val="0"/>
                                  <w:divBdr>
                                    <w:top w:val="none" w:sz="0" w:space="0" w:color="auto"/>
                                    <w:left w:val="none" w:sz="0" w:space="0" w:color="auto"/>
                                    <w:bottom w:val="none" w:sz="0" w:space="0" w:color="auto"/>
                                    <w:right w:val="none" w:sz="0" w:space="0" w:color="auto"/>
                                  </w:divBdr>
                                  <w:divsChild>
                                    <w:div w:id="1411151789">
                                      <w:marLeft w:val="0"/>
                                      <w:marRight w:val="0"/>
                                      <w:marTop w:val="0"/>
                                      <w:marBottom w:val="0"/>
                                      <w:divBdr>
                                        <w:top w:val="none" w:sz="0" w:space="0" w:color="auto"/>
                                        <w:left w:val="none" w:sz="0" w:space="0" w:color="auto"/>
                                        <w:bottom w:val="none" w:sz="0" w:space="0" w:color="auto"/>
                                        <w:right w:val="none" w:sz="0" w:space="0" w:color="auto"/>
                                      </w:divBdr>
                                      <w:divsChild>
                                        <w:div w:id="1234969121">
                                          <w:marLeft w:val="0"/>
                                          <w:marRight w:val="0"/>
                                          <w:marTop w:val="0"/>
                                          <w:marBottom w:val="495"/>
                                          <w:divBdr>
                                            <w:top w:val="none" w:sz="0" w:space="0" w:color="auto"/>
                                            <w:left w:val="none" w:sz="0" w:space="0" w:color="auto"/>
                                            <w:bottom w:val="none" w:sz="0" w:space="0" w:color="auto"/>
                                            <w:right w:val="none" w:sz="0" w:space="0" w:color="auto"/>
                                          </w:divBdr>
                                          <w:divsChild>
                                            <w:div w:id="10146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3683476">
      <w:bodyDiv w:val="1"/>
      <w:marLeft w:val="0"/>
      <w:marRight w:val="0"/>
      <w:marTop w:val="0"/>
      <w:marBottom w:val="0"/>
      <w:divBdr>
        <w:top w:val="none" w:sz="0" w:space="0" w:color="auto"/>
        <w:left w:val="none" w:sz="0" w:space="0" w:color="auto"/>
        <w:bottom w:val="none" w:sz="0" w:space="0" w:color="auto"/>
        <w:right w:val="none" w:sz="0" w:space="0" w:color="auto"/>
      </w:divBdr>
      <w:divsChild>
        <w:div w:id="691340276">
          <w:marLeft w:val="0"/>
          <w:marRight w:val="0"/>
          <w:marTop w:val="0"/>
          <w:marBottom w:val="0"/>
          <w:divBdr>
            <w:top w:val="none" w:sz="0" w:space="0" w:color="auto"/>
            <w:left w:val="none" w:sz="0" w:space="0" w:color="auto"/>
            <w:bottom w:val="none" w:sz="0" w:space="0" w:color="auto"/>
            <w:right w:val="none" w:sz="0" w:space="0" w:color="auto"/>
          </w:divBdr>
          <w:divsChild>
            <w:div w:id="453982179">
              <w:marLeft w:val="0"/>
              <w:marRight w:val="0"/>
              <w:marTop w:val="0"/>
              <w:marBottom w:val="0"/>
              <w:divBdr>
                <w:top w:val="none" w:sz="0" w:space="0" w:color="auto"/>
                <w:left w:val="none" w:sz="0" w:space="0" w:color="auto"/>
                <w:bottom w:val="none" w:sz="0" w:space="0" w:color="auto"/>
                <w:right w:val="none" w:sz="0" w:space="0" w:color="auto"/>
              </w:divBdr>
              <w:divsChild>
                <w:div w:id="1778138350">
                  <w:marLeft w:val="0"/>
                  <w:marRight w:val="0"/>
                  <w:marTop w:val="0"/>
                  <w:marBottom w:val="0"/>
                  <w:divBdr>
                    <w:top w:val="none" w:sz="0" w:space="0" w:color="auto"/>
                    <w:left w:val="none" w:sz="0" w:space="0" w:color="auto"/>
                    <w:bottom w:val="none" w:sz="0" w:space="0" w:color="auto"/>
                    <w:right w:val="none" w:sz="0" w:space="0" w:color="auto"/>
                  </w:divBdr>
                  <w:divsChild>
                    <w:div w:id="2010253058">
                      <w:marLeft w:val="0"/>
                      <w:marRight w:val="0"/>
                      <w:marTop w:val="0"/>
                      <w:marBottom w:val="0"/>
                      <w:divBdr>
                        <w:top w:val="none" w:sz="0" w:space="0" w:color="auto"/>
                        <w:left w:val="none" w:sz="0" w:space="0" w:color="auto"/>
                        <w:bottom w:val="none" w:sz="0" w:space="0" w:color="auto"/>
                        <w:right w:val="none" w:sz="0" w:space="0" w:color="auto"/>
                      </w:divBdr>
                      <w:divsChild>
                        <w:div w:id="1289123421">
                          <w:marLeft w:val="0"/>
                          <w:marRight w:val="0"/>
                          <w:marTop w:val="0"/>
                          <w:marBottom w:val="0"/>
                          <w:divBdr>
                            <w:top w:val="none" w:sz="0" w:space="0" w:color="auto"/>
                            <w:left w:val="none" w:sz="0" w:space="0" w:color="auto"/>
                            <w:bottom w:val="none" w:sz="0" w:space="0" w:color="auto"/>
                            <w:right w:val="none" w:sz="0" w:space="0" w:color="auto"/>
                          </w:divBdr>
                          <w:divsChild>
                            <w:div w:id="782698802">
                              <w:marLeft w:val="0"/>
                              <w:marRight w:val="0"/>
                              <w:marTop w:val="0"/>
                              <w:marBottom w:val="0"/>
                              <w:divBdr>
                                <w:top w:val="none" w:sz="0" w:space="0" w:color="auto"/>
                                <w:left w:val="none" w:sz="0" w:space="0" w:color="auto"/>
                                <w:bottom w:val="none" w:sz="0" w:space="0" w:color="auto"/>
                                <w:right w:val="none" w:sz="0" w:space="0" w:color="auto"/>
                              </w:divBdr>
                              <w:divsChild>
                                <w:div w:id="1138033542">
                                  <w:marLeft w:val="0"/>
                                  <w:marRight w:val="0"/>
                                  <w:marTop w:val="0"/>
                                  <w:marBottom w:val="0"/>
                                  <w:divBdr>
                                    <w:top w:val="none" w:sz="0" w:space="0" w:color="auto"/>
                                    <w:left w:val="none" w:sz="0" w:space="0" w:color="auto"/>
                                    <w:bottom w:val="none" w:sz="0" w:space="0" w:color="auto"/>
                                    <w:right w:val="none" w:sz="0" w:space="0" w:color="auto"/>
                                  </w:divBdr>
                                  <w:divsChild>
                                    <w:div w:id="1395738050">
                                      <w:marLeft w:val="0"/>
                                      <w:marRight w:val="0"/>
                                      <w:marTop w:val="0"/>
                                      <w:marBottom w:val="0"/>
                                      <w:divBdr>
                                        <w:top w:val="none" w:sz="0" w:space="0" w:color="auto"/>
                                        <w:left w:val="none" w:sz="0" w:space="0" w:color="auto"/>
                                        <w:bottom w:val="none" w:sz="0" w:space="0" w:color="auto"/>
                                        <w:right w:val="none" w:sz="0" w:space="0" w:color="auto"/>
                                      </w:divBdr>
                                      <w:divsChild>
                                        <w:div w:id="74711115">
                                          <w:marLeft w:val="0"/>
                                          <w:marRight w:val="0"/>
                                          <w:marTop w:val="0"/>
                                          <w:marBottom w:val="495"/>
                                          <w:divBdr>
                                            <w:top w:val="none" w:sz="0" w:space="0" w:color="auto"/>
                                            <w:left w:val="none" w:sz="0" w:space="0" w:color="auto"/>
                                            <w:bottom w:val="none" w:sz="0" w:space="0" w:color="auto"/>
                                            <w:right w:val="none" w:sz="0" w:space="0" w:color="auto"/>
                                          </w:divBdr>
                                          <w:divsChild>
                                            <w:div w:id="90584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3674270">
      <w:bodyDiv w:val="1"/>
      <w:marLeft w:val="0"/>
      <w:marRight w:val="0"/>
      <w:marTop w:val="0"/>
      <w:marBottom w:val="0"/>
      <w:divBdr>
        <w:top w:val="none" w:sz="0" w:space="0" w:color="auto"/>
        <w:left w:val="none" w:sz="0" w:space="0" w:color="auto"/>
        <w:bottom w:val="none" w:sz="0" w:space="0" w:color="auto"/>
        <w:right w:val="none" w:sz="0" w:space="0" w:color="auto"/>
      </w:divBdr>
      <w:divsChild>
        <w:div w:id="1018893682">
          <w:marLeft w:val="0"/>
          <w:marRight w:val="0"/>
          <w:marTop w:val="0"/>
          <w:marBottom w:val="0"/>
          <w:divBdr>
            <w:top w:val="none" w:sz="0" w:space="0" w:color="auto"/>
            <w:left w:val="none" w:sz="0" w:space="0" w:color="auto"/>
            <w:bottom w:val="none" w:sz="0" w:space="0" w:color="auto"/>
            <w:right w:val="none" w:sz="0" w:space="0" w:color="auto"/>
          </w:divBdr>
          <w:divsChild>
            <w:div w:id="1998340449">
              <w:marLeft w:val="0"/>
              <w:marRight w:val="0"/>
              <w:marTop w:val="0"/>
              <w:marBottom w:val="0"/>
              <w:divBdr>
                <w:top w:val="none" w:sz="0" w:space="0" w:color="auto"/>
                <w:left w:val="none" w:sz="0" w:space="0" w:color="auto"/>
                <w:bottom w:val="none" w:sz="0" w:space="0" w:color="auto"/>
                <w:right w:val="none" w:sz="0" w:space="0" w:color="auto"/>
              </w:divBdr>
              <w:divsChild>
                <w:div w:id="556821698">
                  <w:marLeft w:val="0"/>
                  <w:marRight w:val="0"/>
                  <w:marTop w:val="0"/>
                  <w:marBottom w:val="0"/>
                  <w:divBdr>
                    <w:top w:val="none" w:sz="0" w:space="0" w:color="auto"/>
                    <w:left w:val="none" w:sz="0" w:space="0" w:color="auto"/>
                    <w:bottom w:val="none" w:sz="0" w:space="0" w:color="auto"/>
                    <w:right w:val="none" w:sz="0" w:space="0" w:color="auto"/>
                  </w:divBdr>
                  <w:divsChild>
                    <w:div w:id="1495102349">
                      <w:marLeft w:val="0"/>
                      <w:marRight w:val="0"/>
                      <w:marTop w:val="0"/>
                      <w:marBottom w:val="0"/>
                      <w:divBdr>
                        <w:top w:val="none" w:sz="0" w:space="0" w:color="auto"/>
                        <w:left w:val="none" w:sz="0" w:space="0" w:color="auto"/>
                        <w:bottom w:val="none" w:sz="0" w:space="0" w:color="auto"/>
                        <w:right w:val="none" w:sz="0" w:space="0" w:color="auto"/>
                      </w:divBdr>
                      <w:divsChild>
                        <w:div w:id="326709080">
                          <w:marLeft w:val="0"/>
                          <w:marRight w:val="0"/>
                          <w:marTop w:val="0"/>
                          <w:marBottom w:val="0"/>
                          <w:divBdr>
                            <w:top w:val="none" w:sz="0" w:space="0" w:color="auto"/>
                            <w:left w:val="none" w:sz="0" w:space="0" w:color="auto"/>
                            <w:bottom w:val="none" w:sz="0" w:space="0" w:color="auto"/>
                            <w:right w:val="none" w:sz="0" w:space="0" w:color="auto"/>
                          </w:divBdr>
                          <w:divsChild>
                            <w:div w:id="1822431054">
                              <w:marLeft w:val="0"/>
                              <w:marRight w:val="0"/>
                              <w:marTop w:val="0"/>
                              <w:marBottom w:val="0"/>
                              <w:divBdr>
                                <w:top w:val="none" w:sz="0" w:space="0" w:color="auto"/>
                                <w:left w:val="none" w:sz="0" w:space="0" w:color="auto"/>
                                <w:bottom w:val="none" w:sz="0" w:space="0" w:color="auto"/>
                                <w:right w:val="none" w:sz="0" w:space="0" w:color="auto"/>
                              </w:divBdr>
                              <w:divsChild>
                                <w:div w:id="1539852653">
                                  <w:marLeft w:val="0"/>
                                  <w:marRight w:val="0"/>
                                  <w:marTop w:val="0"/>
                                  <w:marBottom w:val="0"/>
                                  <w:divBdr>
                                    <w:top w:val="none" w:sz="0" w:space="0" w:color="auto"/>
                                    <w:left w:val="none" w:sz="0" w:space="0" w:color="auto"/>
                                    <w:bottom w:val="none" w:sz="0" w:space="0" w:color="auto"/>
                                    <w:right w:val="none" w:sz="0" w:space="0" w:color="auto"/>
                                  </w:divBdr>
                                  <w:divsChild>
                                    <w:div w:id="806822680">
                                      <w:marLeft w:val="0"/>
                                      <w:marRight w:val="0"/>
                                      <w:marTop w:val="0"/>
                                      <w:marBottom w:val="0"/>
                                      <w:divBdr>
                                        <w:top w:val="none" w:sz="0" w:space="0" w:color="auto"/>
                                        <w:left w:val="none" w:sz="0" w:space="0" w:color="auto"/>
                                        <w:bottom w:val="none" w:sz="0" w:space="0" w:color="auto"/>
                                        <w:right w:val="none" w:sz="0" w:space="0" w:color="auto"/>
                                      </w:divBdr>
                                      <w:divsChild>
                                        <w:div w:id="909924986">
                                          <w:marLeft w:val="0"/>
                                          <w:marRight w:val="0"/>
                                          <w:marTop w:val="0"/>
                                          <w:marBottom w:val="495"/>
                                          <w:divBdr>
                                            <w:top w:val="none" w:sz="0" w:space="0" w:color="auto"/>
                                            <w:left w:val="none" w:sz="0" w:space="0" w:color="auto"/>
                                            <w:bottom w:val="none" w:sz="0" w:space="0" w:color="auto"/>
                                            <w:right w:val="none" w:sz="0" w:space="0" w:color="auto"/>
                                          </w:divBdr>
                                          <w:divsChild>
                                            <w:div w:id="23143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0951299">
      <w:bodyDiv w:val="1"/>
      <w:marLeft w:val="0"/>
      <w:marRight w:val="0"/>
      <w:marTop w:val="0"/>
      <w:marBottom w:val="0"/>
      <w:divBdr>
        <w:top w:val="none" w:sz="0" w:space="0" w:color="auto"/>
        <w:left w:val="none" w:sz="0" w:space="0" w:color="auto"/>
        <w:bottom w:val="none" w:sz="0" w:space="0" w:color="auto"/>
        <w:right w:val="none" w:sz="0" w:space="0" w:color="auto"/>
      </w:divBdr>
      <w:divsChild>
        <w:div w:id="921723562">
          <w:marLeft w:val="0"/>
          <w:marRight w:val="0"/>
          <w:marTop w:val="0"/>
          <w:marBottom w:val="0"/>
          <w:divBdr>
            <w:top w:val="none" w:sz="0" w:space="0" w:color="auto"/>
            <w:left w:val="none" w:sz="0" w:space="0" w:color="auto"/>
            <w:bottom w:val="none" w:sz="0" w:space="0" w:color="auto"/>
            <w:right w:val="none" w:sz="0" w:space="0" w:color="auto"/>
          </w:divBdr>
          <w:divsChild>
            <w:div w:id="1007557679">
              <w:marLeft w:val="0"/>
              <w:marRight w:val="0"/>
              <w:marTop w:val="0"/>
              <w:marBottom w:val="0"/>
              <w:divBdr>
                <w:top w:val="none" w:sz="0" w:space="0" w:color="auto"/>
                <w:left w:val="none" w:sz="0" w:space="0" w:color="auto"/>
                <w:bottom w:val="none" w:sz="0" w:space="0" w:color="auto"/>
                <w:right w:val="none" w:sz="0" w:space="0" w:color="auto"/>
              </w:divBdr>
              <w:divsChild>
                <w:div w:id="2112898708">
                  <w:marLeft w:val="0"/>
                  <w:marRight w:val="0"/>
                  <w:marTop w:val="0"/>
                  <w:marBottom w:val="0"/>
                  <w:divBdr>
                    <w:top w:val="none" w:sz="0" w:space="0" w:color="auto"/>
                    <w:left w:val="none" w:sz="0" w:space="0" w:color="auto"/>
                    <w:bottom w:val="none" w:sz="0" w:space="0" w:color="auto"/>
                    <w:right w:val="none" w:sz="0" w:space="0" w:color="auto"/>
                  </w:divBdr>
                  <w:divsChild>
                    <w:div w:id="53623635">
                      <w:marLeft w:val="0"/>
                      <w:marRight w:val="0"/>
                      <w:marTop w:val="0"/>
                      <w:marBottom w:val="0"/>
                      <w:divBdr>
                        <w:top w:val="none" w:sz="0" w:space="0" w:color="auto"/>
                        <w:left w:val="none" w:sz="0" w:space="0" w:color="auto"/>
                        <w:bottom w:val="none" w:sz="0" w:space="0" w:color="auto"/>
                        <w:right w:val="none" w:sz="0" w:space="0" w:color="auto"/>
                      </w:divBdr>
                      <w:divsChild>
                        <w:div w:id="465506802">
                          <w:marLeft w:val="0"/>
                          <w:marRight w:val="0"/>
                          <w:marTop w:val="0"/>
                          <w:marBottom w:val="0"/>
                          <w:divBdr>
                            <w:top w:val="none" w:sz="0" w:space="0" w:color="auto"/>
                            <w:left w:val="none" w:sz="0" w:space="0" w:color="auto"/>
                            <w:bottom w:val="none" w:sz="0" w:space="0" w:color="auto"/>
                            <w:right w:val="none" w:sz="0" w:space="0" w:color="auto"/>
                          </w:divBdr>
                          <w:divsChild>
                            <w:div w:id="134613887">
                              <w:marLeft w:val="0"/>
                              <w:marRight w:val="0"/>
                              <w:marTop w:val="0"/>
                              <w:marBottom w:val="0"/>
                              <w:divBdr>
                                <w:top w:val="none" w:sz="0" w:space="0" w:color="auto"/>
                                <w:left w:val="none" w:sz="0" w:space="0" w:color="auto"/>
                                <w:bottom w:val="none" w:sz="0" w:space="0" w:color="auto"/>
                                <w:right w:val="none" w:sz="0" w:space="0" w:color="auto"/>
                              </w:divBdr>
                              <w:divsChild>
                                <w:div w:id="1526213992">
                                  <w:marLeft w:val="0"/>
                                  <w:marRight w:val="0"/>
                                  <w:marTop w:val="0"/>
                                  <w:marBottom w:val="0"/>
                                  <w:divBdr>
                                    <w:top w:val="none" w:sz="0" w:space="0" w:color="auto"/>
                                    <w:left w:val="none" w:sz="0" w:space="0" w:color="auto"/>
                                    <w:bottom w:val="none" w:sz="0" w:space="0" w:color="auto"/>
                                    <w:right w:val="none" w:sz="0" w:space="0" w:color="auto"/>
                                  </w:divBdr>
                                  <w:divsChild>
                                    <w:div w:id="1389526641">
                                      <w:marLeft w:val="0"/>
                                      <w:marRight w:val="0"/>
                                      <w:marTop w:val="0"/>
                                      <w:marBottom w:val="0"/>
                                      <w:divBdr>
                                        <w:top w:val="none" w:sz="0" w:space="0" w:color="auto"/>
                                        <w:left w:val="none" w:sz="0" w:space="0" w:color="auto"/>
                                        <w:bottom w:val="none" w:sz="0" w:space="0" w:color="auto"/>
                                        <w:right w:val="none" w:sz="0" w:space="0" w:color="auto"/>
                                      </w:divBdr>
                                      <w:divsChild>
                                        <w:div w:id="1187794585">
                                          <w:marLeft w:val="0"/>
                                          <w:marRight w:val="0"/>
                                          <w:marTop w:val="0"/>
                                          <w:marBottom w:val="495"/>
                                          <w:divBdr>
                                            <w:top w:val="none" w:sz="0" w:space="0" w:color="auto"/>
                                            <w:left w:val="none" w:sz="0" w:space="0" w:color="auto"/>
                                            <w:bottom w:val="none" w:sz="0" w:space="0" w:color="auto"/>
                                            <w:right w:val="none" w:sz="0" w:space="0" w:color="auto"/>
                                          </w:divBdr>
                                          <w:divsChild>
                                            <w:div w:id="213582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1966149">
      <w:bodyDiv w:val="1"/>
      <w:marLeft w:val="0"/>
      <w:marRight w:val="0"/>
      <w:marTop w:val="0"/>
      <w:marBottom w:val="0"/>
      <w:divBdr>
        <w:top w:val="none" w:sz="0" w:space="0" w:color="auto"/>
        <w:left w:val="none" w:sz="0" w:space="0" w:color="auto"/>
        <w:bottom w:val="none" w:sz="0" w:space="0" w:color="auto"/>
        <w:right w:val="none" w:sz="0" w:space="0" w:color="auto"/>
      </w:divBdr>
      <w:divsChild>
        <w:div w:id="1239167064">
          <w:marLeft w:val="0"/>
          <w:marRight w:val="0"/>
          <w:marTop w:val="0"/>
          <w:marBottom w:val="0"/>
          <w:divBdr>
            <w:top w:val="none" w:sz="0" w:space="0" w:color="auto"/>
            <w:left w:val="none" w:sz="0" w:space="0" w:color="auto"/>
            <w:bottom w:val="none" w:sz="0" w:space="0" w:color="auto"/>
            <w:right w:val="none" w:sz="0" w:space="0" w:color="auto"/>
          </w:divBdr>
          <w:divsChild>
            <w:div w:id="552036391">
              <w:marLeft w:val="0"/>
              <w:marRight w:val="0"/>
              <w:marTop w:val="0"/>
              <w:marBottom w:val="0"/>
              <w:divBdr>
                <w:top w:val="none" w:sz="0" w:space="0" w:color="auto"/>
                <w:left w:val="none" w:sz="0" w:space="0" w:color="auto"/>
                <w:bottom w:val="none" w:sz="0" w:space="0" w:color="auto"/>
                <w:right w:val="none" w:sz="0" w:space="0" w:color="auto"/>
              </w:divBdr>
              <w:divsChild>
                <w:div w:id="2053266182">
                  <w:marLeft w:val="0"/>
                  <w:marRight w:val="0"/>
                  <w:marTop w:val="0"/>
                  <w:marBottom w:val="0"/>
                  <w:divBdr>
                    <w:top w:val="none" w:sz="0" w:space="0" w:color="auto"/>
                    <w:left w:val="none" w:sz="0" w:space="0" w:color="auto"/>
                    <w:bottom w:val="none" w:sz="0" w:space="0" w:color="auto"/>
                    <w:right w:val="none" w:sz="0" w:space="0" w:color="auto"/>
                  </w:divBdr>
                  <w:divsChild>
                    <w:div w:id="1485732208">
                      <w:marLeft w:val="0"/>
                      <w:marRight w:val="0"/>
                      <w:marTop w:val="0"/>
                      <w:marBottom w:val="0"/>
                      <w:divBdr>
                        <w:top w:val="none" w:sz="0" w:space="0" w:color="auto"/>
                        <w:left w:val="none" w:sz="0" w:space="0" w:color="auto"/>
                        <w:bottom w:val="none" w:sz="0" w:space="0" w:color="auto"/>
                        <w:right w:val="none" w:sz="0" w:space="0" w:color="auto"/>
                      </w:divBdr>
                      <w:divsChild>
                        <w:div w:id="1100488655">
                          <w:marLeft w:val="0"/>
                          <w:marRight w:val="0"/>
                          <w:marTop w:val="0"/>
                          <w:marBottom w:val="0"/>
                          <w:divBdr>
                            <w:top w:val="none" w:sz="0" w:space="0" w:color="auto"/>
                            <w:left w:val="none" w:sz="0" w:space="0" w:color="auto"/>
                            <w:bottom w:val="none" w:sz="0" w:space="0" w:color="auto"/>
                            <w:right w:val="none" w:sz="0" w:space="0" w:color="auto"/>
                          </w:divBdr>
                          <w:divsChild>
                            <w:div w:id="1000162397">
                              <w:marLeft w:val="0"/>
                              <w:marRight w:val="0"/>
                              <w:marTop w:val="0"/>
                              <w:marBottom w:val="0"/>
                              <w:divBdr>
                                <w:top w:val="none" w:sz="0" w:space="0" w:color="auto"/>
                                <w:left w:val="none" w:sz="0" w:space="0" w:color="auto"/>
                                <w:bottom w:val="none" w:sz="0" w:space="0" w:color="auto"/>
                                <w:right w:val="none" w:sz="0" w:space="0" w:color="auto"/>
                              </w:divBdr>
                              <w:divsChild>
                                <w:div w:id="1270044092">
                                  <w:marLeft w:val="0"/>
                                  <w:marRight w:val="0"/>
                                  <w:marTop w:val="0"/>
                                  <w:marBottom w:val="0"/>
                                  <w:divBdr>
                                    <w:top w:val="none" w:sz="0" w:space="0" w:color="auto"/>
                                    <w:left w:val="none" w:sz="0" w:space="0" w:color="auto"/>
                                    <w:bottom w:val="none" w:sz="0" w:space="0" w:color="auto"/>
                                    <w:right w:val="none" w:sz="0" w:space="0" w:color="auto"/>
                                  </w:divBdr>
                                  <w:divsChild>
                                    <w:div w:id="1651204605">
                                      <w:marLeft w:val="0"/>
                                      <w:marRight w:val="0"/>
                                      <w:marTop w:val="0"/>
                                      <w:marBottom w:val="0"/>
                                      <w:divBdr>
                                        <w:top w:val="none" w:sz="0" w:space="0" w:color="auto"/>
                                        <w:left w:val="none" w:sz="0" w:space="0" w:color="auto"/>
                                        <w:bottom w:val="none" w:sz="0" w:space="0" w:color="auto"/>
                                        <w:right w:val="none" w:sz="0" w:space="0" w:color="auto"/>
                                      </w:divBdr>
                                      <w:divsChild>
                                        <w:div w:id="1129976879">
                                          <w:marLeft w:val="0"/>
                                          <w:marRight w:val="0"/>
                                          <w:marTop w:val="0"/>
                                          <w:marBottom w:val="495"/>
                                          <w:divBdr>
                                            <w:top w:val="none" w:sz="0" w:space="0" w:color="auto"/>
                                            <w:left w:val="none" w:sz="0" w:space="0" w:color="auto"/>
                                            <w:bottom w:val="none" w:sz="0" w:space="0" w:color="auto"/>
                                            <w:right w:val="none" w:sz="0" w:space="0" w:color="auto"/>
                                          </w:divBdr>
                                          <w:divsChild>
                                            <w:div w:id="196365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6319999">
      <w:bodyDiv w:val="1"/>
      <w:marLeft w:val="0"/>
      <w:marRight w:val="0"/>
      <w:marTop w:val="0"/>
      <w:marBottom w:val="0"/>
      <w:divBdr>
        <w:top w:val="none" w:sz="0" w:space="0" w:color="auto"/>
        <w:left w:val="none" w:sz="0" w:space="0" w:color="auto"/>
        <w:bottom w:val="none" w:sz="0" w:space="0" w:color="auto"/>
        <w:right w:val="none" w:sz="0" w:space="0" w:color="auto"/>
      </w:divBdr>
      <w:divsChild>
        <w:div w:id="229967077">
          <w:marLeft w:val="0"/>
          <w:marRight w:val="0"/>
          <w:marTop w:val="0"/>
          <w:marBottom w:val="0"/>
          <w:divBdr>
            <w:top w:val="none" w:sz="0" w:space="0" w:color="auto"/>
            <w:left w:val="none" w:sz="0" w:space="0" w:color="auto"/>
            <w:bottom w:val="none" w:sz="0" w:space="0" w:color="auto"/>
            <w:right w:val="none" w:sz="0" w:space="0" w:color="auto"/>
          </w:divBdr>
          <w:divsChild>
            <w:div w:id="277876867">
              <w:marLeft w:val="0"/>
              <w:marRight w:val="0"/>
              <w:marTop w:val="0"/>
              <w:marBottom w:val="0"/>
              <w:divBdr>
                <w:top w:val="none" w:sz="0" w:space="0" w:color="auto"/>
                <w:left w:val="none" w:sz="0" w:space="0" w:color="auto"/>
                <w:bottom w:val="none" w:sz="0" w:space="0" w:color="auto"/>
                <w:right w:val="none" w:sz="0" w:space="0" w:color="auto"/>
              </w:divBdr>
              <w:divsChild>
                <w:div w:id="592863286">
                  <w:marLeft w:val="0"/>
                  <w:marRight w:val="0"/>
                  <w:marTop w:val="0"/>
                  <w:marBottom w:val="0"/>
                  <w:divBdr>
                    <w:top w:val="none" w:sz="0" w:space="0" w:color="auto"/>
                    <w:left w:val="none" w:sz="0" w:space="0" w:color="auto"/>
                    <w:bottom w:val="none" w:sz="0" w:space="0" w:color="auto"/>
                    <w:right w:val="none" w:sz="0" w:space="0" w:color="auto"/>
                  </w:divBdr>
                  <w:divsChild>
                    <w:div w:id="264313772">
                      <w:marLeft w:val="0"/>
                      <w:marRight w:val="0"/>
                      <w:marTop w:val="0"/>
                      <w:marBottom w:val="0"/>
                      <w:divBdr>
                        <w:top w:val="none" w:sz="0" w:space="0" w:color="auto"/>
                        <w:left w:val="none" w:sz="0" w:space="0" w:color="auto"/>
                        <w:bottom w:val="none" w:sz="0" w:space="0" w:color="auto"/>
                        <w:right w:val="none" w:sz="0" w:space="0" w:color="auto"/>
                      </w:divBdr>
                      <w:divsChild>
                        <w:div w:id="534081507">
                          <w:marLeft w:val="0"/>
                          <w:marRight w:val="0"/>
                          <w:marTop w:val="0"/>
                          <w:marBottom w:val="0"/>
                          <w:divBdr>
                            <w:top w:val="none" w:sz="0" w:space="0" w:color="auto"/>
                            <w:left w:val="none" w:sz="0" w:space="0" w:color="auto"/>
                            <w:bottom w:val="none" w:sz="0" w:space="0" w:color="auto"/>
                            <w:right w:val="none" w:sz="0" w:space="0" w:color="auto"/>
                          </w:divBdr>
                          <w:divsChild>
                            <w:div w:id="813066358">
                              <w:marLeft w:val="0"/>
                              <w:marRight w:val="0"/>
                              <w:marTop w:val="0"/>
                              <w:marBottom w:val="0"/>
                              <w:divBdr>
                                <w:top w:val="none" w:sz="0" w:space="0" w:color="auto"/>
                                <w:left w:val="none" w:sz="0" w:space="0" w:color="auto"/>
                                <w:bottom w:val="none" w:sz="0" w:space="0" w:color="auto"/>
                                <w:right w:val="none" w:sz="0" w:space="0" w:color="auto"/>
                              </w:divBdr>
                              <w:divsChild>
                                <w:div w:id="1058213263">
                                  <w:marLeft w:val="0"/>
                                  <w:marRight w:val="0"/>
                                  <w:marTop w:val="0"/>
                                  <w:marBottom w:val="0"/>
                                  <w:divBdr>
                                    <w:top w:val="none" w:sz="0" w:space="0" w:color="auto"/>
                                    <w:left w:val="none" w:sz="0" w:space="0" w:color="auto"/>
                                    <w:bottom w:val="none" w:sz="0" w:space="0" w:color="auto"/>
                                    <w:right w:val="none" w:sz="0" w:space="0" w:color="auto"/>
                                  </w:divBdr>
                                  <w:divsChild>
                                    <w:div w:id="647786665">
                                      <w:marLeft w:val="0"/>
                                      <w:marRight w:val="0"/>
                                      <w:marTop w:val="0"/>
                                      <w:marBottom w:val="0"/>
                                      <w:divBdr>
                                        <w:top w:val="none" w:sz="0" w:space="0" w:color="auto"/>
                                        <w:left w:val="none" w:sz="0" w:space="0" w:color="auto"/>
                                        <w:bottom w:val="none" w:sz="0" w:space="0" w:color="auto"/>
                                        <w:right w:val="none" w:sz="0" w:space="0" w:color="auto"/>
                                      </w:divBdr>
                                      <w:divsChild>
                                        <w:div w:id="10840960">
                                          <w:marLeft w:val="0"/>
                                          <w:marRight w:val="0"/>
                                          <w:marTop w:val="0"/>
                                          <w:marBottom w:val="495"/>
                                          <w:divBdr>
                                            <w:top w:val="none" w:sz="0" w:space="0" w:color="auto"/>
                                            <w:left w:val="none" w:sz="0" w:space="0" w:color="auto"/>
                                            <w:bottom w:val="none" w:sz="0" w:space="0" w:color="auto"/>
                                            <w:right w:val="none" w:sz="0" w:space="0" w:color="auto"/>
                                          </w:divBdr>
                                          <w:divsChild>
                                            <w:div w:id="155827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2543571">
      <w:bodyDiv w:val="1"/>
      <w:marLeft w:val="0"/>
      <w:marRight w:val="0"/>
      <w:marTop w:val="0"/>
      <w:marBottom w:val="0"/>
      <w:divBdr>
        <w:top w:val="none" w:sz="0" w:space="0" w:color="auto"/>
        <w:left w:val="none" w:sz="0" w:space="0" w:color="auto"/>
        <w:bottom w:val="none" w:sz="0" w:space="0" w:color="auto"/>
        <w:right w:val="none" w:sz="0" w:space="0" w:color="auto"/>
      </w:divBdr>
      <w:divsChild>
        <w:div w:id="1584879494">
          <w:marLeft w:val="0"/>
          <w:marRight w:val="0"/>
          <w:marTop w:val="0"/>
          <w:marBottom w:val="0"/>
          <w:divBdr>
            <w:top w:val="none" w:sz="0" w:space="0" w:color="auto"/>
            <w:left w:val="none" w:sz="0" w:space="0" w:color="auto"/>
            <w:bottom w:val="none" w:sz="0" w:space="0" w:color="auto"/>
            <w:right w:val="none" w:sz="0" w:space="0" w:color="auto"/>
          </w:divBdr>
          <w:divsChild>
            <w:div w:id="1262495699">
              <w:marLeft w:val="0"/>
              <w:marRight w:val="0"/>
              <w:marTop w:val="0"/>
              <w:marBottom w:val="0"/>
              <w:divBdr>
                <w:top w:val="none" w:sz="0" w:space="0" w:color="auto"/>
                <w:left w:val="none" w:sz="0" w:space="0" w:color="auto"/>
                <w:bottom w:val="none" w:sz="0" w:space="0" w:color="auto"/>
                <w:right w:val="none" w:sz="0" w:space="0" w:color="auto"/>
              </w:divBdr>
              <w:divsChild>
                <w:div w:id="246689590">
                  <w:marLeft w:val="-225"/>
                  <w:marRight w:val="-225"/>
                  <w:marTop w:val="0"/>
                  <w:marBottom w:val="0"/>
                  <w:divBdr>
                    <w:top w:val="none" w:sz="0" w:space="0" w:color="auto"/>
                    <w:left w:val="none" w:sz="0" w:space="0" w:color="auto"/>
                    <w:bottom w:val="none" w:sz="0" w:space="0" w:color="auto"/>
                    <w:right w:val="none" w:sz="0" w:space="0" w:color="auto"/>
                  </w:divBdr>
                  <w:divsChild>
                    <w:div w:id="405879085">
                      <w:marLeft w:val="0"/>
                      <w:marRight w:val="0"/>
                      <w:marTop w:val="0"/>
                      <w:marBottom w:val="0"/>
                      <w:divBdr>
                        <w:top w:val="none" w:sz="0" w:space="0" w:color="auto"/>
                        <w:left w:val="none" w:sz="0" w:space="0" w:color="auto"/>
                        <w:bottom w:val="none" w:sz="0" w:space="0" w:color="auto"/>
                        <w:right w:val="none" w:sz="0" w:space="0" w:color="auto"/>
                      </w:divBdr>
                      <w:divsChild>
                        <w:div w:id="1653213575">
                          <w:marLeft w:val="0"/>
                          <w:marRight w:val="0"/>
                          <w:marTop w:val="0"/>
                          <w:marBottom w:val="0"/>
                          <w:divBdr>
                            <w:top w:val="none" w:sz="0" w:space="0" w:color="auto"/>
                            <w:left w:val="none" w:sz="0" w:space="0" w:color="auto"/>
                            <w:bottom w:val="none" w:sz="0" w:space="0" w:color="auto"/>
                            <w:right w:val="none" w:sz="0" w:space="0" w:color="auto"/>
                          </w:divBdr>
                          <w:divsChild>
                            <w:div w:id="160926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533871">
      <w:bodyDiv w:val="1"/>
      <w:marLeft w:val="0"/>
      <w:marRight w:val="0"/>
      <w:marTop w:val="0"/>
      <w:marBottom w:val="0"/>
      <w:divBdr>
        <w:top w:val="none" w:sz="0" w:space="0" w:color="auto"/>
        <w:left w:val="none" w:sz="0" w:space="0" w:color="auto"/>
        <w:bottom w:val="none" w:sz="0" w:space="0" w:color="auto"/>
        <w:right w:val="none" w:sz="0" w:space="0" w:color="auto"/>
      </w:divBdr>
      <w:divsChild>
        <w:div w:id="412094270">
          <w:marLeft w:val="0"/>
          <w:marRight w:val="0"/>
          <w:marTop w:val="0"/>
          <w:marBottom w:val="0"/>
          <w:divBdr>
            <w:top w:val="none" w:sz="0" w:space="0" w:color="auto"/>
            <w:left w:val="none" w:sz="0" w:space="0" w:color="auto"/>
            <w:bottom w:val="none" w:sz="0" w:space="0" w:color="auto"/>
            <w:right w:val="none" w:sz="0" w:space="0" w:color="auto"/>
          </w:divBdr>
          <w:divsChild>
            <w:div w:id="1965188174">
              <w:marLeft w:val="0"/>
              <w:marRight w:val="0"/>
              <w:marTop w:val="0"/>
              <w:marBottom w:val="0"/>
              <w:divBdr>
                <w:top w:val="none" w:sz="0" w:space="0" w:color="auto"/>
                <w:left w:val="none" w:sz="0" w:space="0" w:color="auto"/>
                <w:bottom w:val="none" w:sz="0" w:space="0" w:color="auto"/>
                <w:right w:val="none" w:sz="0" w:space="0" w:color="auto"/>
              </w:divBdr>
              <w:divsChild>
                <w:div w:id="71658179">
                  <w:marLeft w:val="0"/>
                  <w:marRight w:val="0"/>
                  <w:marTop w:val="0"/>
                  <w:marBottom w:val="0"/>
                  <w:divBdr>
                    <w:top w:val="none" w:sz="0" w:space="0" w:color="auto"/>
                    <w:left w:val="none" w:sz="0" w:space="0" w:color="auto"/>
                    <w:bottom w:val="none" w:sz="0" w:space="0" w:color="auto"/>
                    <w:right w:val="none" w:sz="0" w:space="0" w:color="auto"/>
                  </w:divBdr>
                  <w:divsChild>
                    <w:div w:id="704067154">
                      <w:marLeft w:val="0"/>
                      <w:marRight w:val="0"/>
                      <w:marTop w:val="0"/>
                      <w:marBottom w:val="0"/>
                      <w:divBdr>
                        <w:top w:val="none" w:sz="0" w:space="0" w:color="auto"/>
                        <w:left w:val="none" w:sz="0" w:space="0" w:color="auto"/>
                        <w:bottom w:val="none" w:sz="0" w:space="0" w:color="auto"/>
                        <w:right w:val="none" w:sz="0" w:space="0" w:color="auto"/>
                      </w:divBdr>
                      <w:divsChild>
                        <w:div w:id="1434595226">
                          <w:marLeft w:val="0"/>
                          <w:marRight w:val="0"/>
                          <w:marTop w:val="0"/>
                          <w:marBottom w:val="0"/>
                          <w:divBdr>
                            <w:top w:val="none" w:sz="0" w:space="0" w:color="auto"/>
                            <w:left w:val="none" w:sz="0" w:space="0" w:color="auto"/>
                            <w:bottom w:val="none" w:sz="0" w:space="0" w:color="auto"/>
                            <w:right w:val="none" w:sz="0" w:space="0" w:color="auto"/>
                          </w:divBdr>
                          <w:divsChild>
                            <w:div w:id="232589245">
                              <w:marLeft w:val="0"/>
                              <w:marRight w:val="0"/>
                              <w:marTop w:val="0"/>
                              <w:marBottom w:val="0"/>
                              <w:divBdr>
                                <w:top w:val="none" w:sz="0" w:space="0" w:color="auto"/>
                                <w:left w:val="none" w:sz="0" w:space="0" w:color="auto"/>
                                <w:bottom w:val="none" w:sz="0" w:space="0" w:color="auto"/>
                                <w:right w:val="none" w:sz="0" w:space="0" w:color="auto"/>
                              </w:divBdr>
                              <w:divsChild>
                                <w:div w:id="399715094">
                                  <w:marLeft w:val="0"/>
                                  <w:marRight w:val="0"/>
                                  <w:marTop w:val="0"/>
                                  <w:marBottom w:val="0"/>
                                  <w:divBdr>
                                    <w:top w:val="none" w:sz="0" w:space="0" w:color="auto"/>
                                    <w:left w:val="none" w:sz="0" w:space="0" w:color="auto"/>
                                    <w:bottom w:val="none" w:sz="0" w:space="0" w:color="auto"/>
                                    <w:right w:val="none" w:sz="0" w:space="0" w:color="auto"/>
                                  </w:divBdr>
                                  <w:divsChild>
                                    <w:div w:id="657922200">
                                      <w:marLeft w:val="0"/>
                                      <w:marRight w:val="0"/>
                                      <w:marTop w:val="0"/>
                                      <w:marBottom w:val="0"/>
                                      <w:divBdr>
                                        <w:top w:val="none" w:sz="0" w:space="0" w:color="auto"/>
                                        <w:left w:val="none" w:sz="0" w:space="0" w:color="auto"/>
                                        <w:bottom w:val="none" w:sz="0" w:space="0" w:color="auto"/>
                                        <w:right w:val="none" w:sz="0" w:space="0" w:color="auto"/>
                                      </w:divBdr>
                                      <w:divsChild>
                                        <w:div w:id="1082415044">
                                          <w:marLeft w:val="0"/>
                                          <w:marRight w:val="0"/>
                                          <w:marTop w:val="0"/>
                                          <w:marBottom w:val="495"/>
                                          <w:divBdr>
                                            <w:top w:val="none" w:sz="0" w:space="0" w:color="auto"/>
                                            <w:left w:val="none" w:sz="0" w:space="0" w:color="auto"/>
                                            <w:bottom w:val="none" w:sz="0" w:space="0" w:color="auto"/>
                                            <w:right w:val="none" w:sz="0" w:space="0" w:color="auto"/>
                                          </w:divBdr>
                                          <w:divsChild>
                                            <w:div w:id="56907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87657297">
      <w:bodyDiv w:val="1"/>
      <w:marLeft w:val="0"/>
      <w:marRight w:val="0"/>
      <w:marTop w:val="0"/>
      <w:marBottom w:val="0"/>
      <w:divBdr>
        <w:top w:val="none" w:sz="0" w:space="0" w:color="auto"/>
        <w:left w:val="none" w:sz="0" w:space="0" w:color="auto"/>
        <w:bottom w:val="none" w:sz="0" w:space="0" w:color="auto"/>
        <w:right w:val="none" w:sz="0" w:space="0" w:color="auto"/>
      </w:divBdr>
      <w:divsChild>
        <w:div w:id="177744721">
          <w:marLeft w:val="0"/>
          <w:marRight w:val="0"/>
          <w:marTop w:val="0"/>
          <w:marBottom w:val="0"/>
          <w:divBdr>
            <w:top w:val="none" w:sz="0" w:space="0" w:color="auto"/>
            <w:left w:val="none" w:sz="0" w:space="0" w:color="auto"/>
            <w:bottom w:val="none" w:sz="0" w:space="0" w:color="auto"/>
            <w:right w:val="none" w:sz="0" w:space="0" w:color="auto"/>
          </w:divBdr>
          <w:divsChild>
            <w:div w:id="1528063677">
              <w:marLeft w:val="0"/>
              <w:marRight w:val="0"/>
              <w:marTop w:val="0"/>
              <w:marBottom w:val="0"/>
              <w:divBdr>
                <w:top w:val="none" w:sz="0" w:space="0" w:color="auto"/>
                <w:left w:val="none" w:sz="0" w:space="0" w:color="auto"/>
                <w:bottom w:val="none" w:sz="0" w:space="0" w:color="auto"/>
                <w:right w:val="none" w:sz="0" w:space="0" w:color="auto"/>
              </w:divBdr>
              <w:divsChild>
                <w:div w:id="1901280172">
                  <w:marLeft w:val="0"/>
                  <w:marRight w:val="0"/>
                  <w:marTop w:val="0"/>
                  <w:marBottom w:val="0"/>
                  <w:divBdr>
                    <w:top w:val="none" w:sz="0" w:space="0" w:color="auto"/>
                    <w:left w:val="none" w:sz="0" w:space="0" w:color="auto"/>
                    <w:bottom w:val="none" w:sz="0" w:space="0" w:color="auto"/>
                    <w:right w:val="none" w:sz="0" w:space="0" w:color="auto"/>
                  </w:divBdr>
                  <w:divsChild>
                    <w:div w:id="83458813">
                      <w:marLeft w:val="0"/>
                      <w:marRight w:val="0"/>
                      <w:marTop w:val="0"/>
                      <w:marBottom w:val="0"/>
                      <w:divBdr>
                        <w:top w:val="none" w:sz="0" w:space="0" w:color="auto"/>
                        <w:left w:val="none" w:sz="0" w:space="0" w:color="auto"/>
                        <w:bottom w:val="none" w:sz="0" w:space="0" w:color="auto"/>
                        <w:right w:val="none" w:sz="0" w:space="0" w:color="auto"/>
                      </w:divBdr>
                      <w:divsChild>
                        <w:div w:id="1096680955">
                          <w:marLeft w:val="0"/>
                          <w:marRight w:val="0"/>
                          <w:marTop w:val="0"/>
                          <w:marBottom w:val="0"/>
                          <w:divBdr>
                            <w:top w:val="none" w:sz="0" w:space="0" w:color="auto"/>
                            <w:left w:val="none" w:sz="0" w:space="0" w:color="auto"/>
                            <w:bottom w:val="none" w:sz="0" w:space="0" w:color="auto"/>
                            <w:right w:val="none" w:sz="0" w:space="0" w:color="auto"/>
                          </w:divBdr>
                          <w:divsChild>
                            <w:div w:id="20597583">
                              <w:marLeft w:val="0"/>
                              <w:marRight w:val="0"/>
                              <w:marTop w:val="0"/>
                              <w:marBottom w:val="0"/>
                              <w:divBdr>
                                <w:top w:val="none" w:sz="0" w:space="0" w:color="auto"/>
                                <w:left w:val="none" w:sz="0" w:space="0" w:color="auto"/>
                                <w:bottom w:val="none" w:sz="0" w:space="0" w:color="auto"/>
                                <w:right w:val="none" w:sz="0" w:space="0" w:color="auto"/>
                              </w:divBdr>
                              <w:divsChild>
                                <w:div w:id="633564504">
                                  <w:marLeft w:val="0"/>
                                  <w:marRight w:val="0"/>
                                  <w:marTop w:val="0"/>
                                  <w:marBottom w:val="0"/>
                                  <w:divBdr>
                                    <w:top w:val="none" w:sz="0" w:space="0" w:color="auto"/>
                                    <w:left w:val="none" w:sz="0" w:space="0" w:color="auto"/>
                                    <w:bottom w:val="none" w:sz="0" w:space="0" w:color="auto"/>
                                    <w:right w:val="none" w:sz="0" w:space="0" w:color="auto"/>
                                  </w:divBdr>
                                  <w:divsChild>
                                    <w:div w:id="990405453">
                                      <w:marLeft w:val="0"/>
                                      <w:marRight w:val="0"/>
                                      <w:marTop w:val="0"/>
                                      <w:marBottom w:val="0"/>
                                      <w:divBdr>
                                        <w:top w:val="none" w:sz="0" w:space="0" w:color="auto"/>
                                        <w:left w:val="none" w:sz="0" w:space="0" w:color="auto"/>
                                        <w:bottom w:val="none" w:sz="0" w:space="0" w:color="auto"/>
                                        <w:right w:val="none" w:sz="0" w:space="0" w:color="auto"/>
                                      </w:divBdr>
                                      <w:divsChild>
                                        <w:div w:id="968702975">
                                          <w:marLeft w:val="0"/>
                                          <w:marRight w:val="0"/>
                                          <w:marTop w:val="0"/>
                                          <w:marBottom w:val="495"/>
                                          <w:divBdr>
                                            <w:top w:val="none" w:sz="0" w:space="0" w:color="auto"/>
                                            <w:left w:val="none" w:sz="0" w:space="0" w:color="auto"/>
                                            <w:bottom w:val="none" w:sz="0" w:space="0" w:color="auto"/>
                                            <w:right w:val="none" w:sz="0" w:space="0" w:color="auto"/>
                                          </w:divBdr>
                                          <w:divsChild>
                                            <w:div w:id="131491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024757">
      <w:bodyDiv w:val="1"/>
      <w:marLeft w:val="0"/>
      <w:marRight w:val="0"/>
      <w:marTop w:val="0"/>
      <w:marBottom w:val="0"/>
      <w:divBdr>
        <w:top w:val="none" w:sz="0" w:space="0" w:color="auto"/>
        <w:left w:val="none" w:sz="0" w:space="0" w:color="auto"/>
        <w:bottom w:val="none" w:sz="0" w:space="0" w:color="auto"/>
        <w:right w:val="none" w:sz="0" w:space="0" w:color="auto"/>
      </w:divBdr>
      <w:divsChild>
        <w:div w:id="1289314146">
          <w:marLeft w:val="0"/>
          <w:marRight w:val="0"/>
          <w:marTop w:val="0"/>
          <w:marBottom w:val="0"/>
          <w:divBdr>
            <w:top w:val="none" w:sz="0" w:space="0" w:color="auto"/>
            <w:left w:val="none" w:sz="0" w:space="0" w:color="auto"/>
            <w:bottom w:val="none" w:sz="0" w:space="0" w:color="auto"/>
            <w:right w:val="none" w:sz="0" w:space="0" w:color="auto"/>
          </w:divBdr>
          <w:divsChild>
            <w:div w:id="347684977">
              <w:marLeft w:val="0"/>
              <w:marRight w:val="0"/>
              <w:marTop w:val="0"/>
              <w:marBottom w:val="0"/>
              <w:divBdr>
                <w:top w:val="none" w:sz="0" w:space="0" w:color="auto"/>
                <w:left w:val="none" w:sz="0" w:space="0" w:color="auto"/>
                <w:bottom w:val="none" w:sz="0" w:space="0" w:color="auto"/>
                <w:right w:val="none" w:sz="0" w:space="0" w:color="auto"/>
              </w:divBdr>
              <w:divsChild>
                <w:div w:id="886575069">
                  <w:marLeft w:val="0"/>
                  <w:marRight w:val="0"/>
                  <w:marTop w:val="0"/>
                  <w:marBottom w:val="0"/>
                  <w:divBdr>
                    <w:top w:val="none" w:sz="0" w:space="0" w:color="auto"/>
                    <w:left w:val="none" w:sz="0" w:space="0" w:color="auto"/>
                    <w:bottom w:val="none" w:sz="0" w:space="0" w:color="auto"/>
                    <w:right w:val="none" w:sz="0" w:space="0" w:color="auto"/>
                  </w:divBdr>
                  <w:divsChild>
                    <w:div w:id="583076112">
                      <w:marLeft w:val="0"/>
                      <w:marRight w:val="0"/>
                      <w:marTop w:val="0"/>
                      <w:marBottom w:val="0"/>
                      <w:divBdr>
                        <w:top w:val="none" w:sz="0" w:space="0" w:color="auto"/>
                        <w:left w:val="none" w:sz="0" w:space="0" w:color="auto"/>
                        <w:bottom w:val="none" w:sz="0" w:space="0" w:color="auto"/>
                        <w:right w:val="none" w:sz="0" w:space="0" w:color="auto"/>
                      </w:divBdr>
                      <w:divsChild>
                        <w:div w:id="1267350363">
                          <w:marLeft w:val="0"/>
                          <w:marRight w:val="0"/>
                          <w:marTop w:val="0"/>
                          <w:marBottom w:val="0"/>
                          <w:divBdr>
                            <w:top w:val="none" w:sz="0" w:space="0" w:color="auto"/>
                            <w:left w:val="none" w:sz="0" w:space="0" w:color="auto"/>
                            <w:bottom w:val="none" w:sz="0" w:space="0" w:color="auto"/>
                            <w:right w:val="none" w:sz="0" w:space="0" w:color="auto"/>
                          </w:divBdr>
                          <w:divsChild>
                            <w:div w:id="660351992">
                              <w:marLeft w:val="0"/>
                              <w:marRight w:val="0"/>
                              <w:marTop w:val="0"/>
                              <w:marBottom w:val="0"/>
                              <w:divBdr>
                                <w:top w:val="none" w:sz="0" w:space="0" w:color="auto"/>
                                <w:left w:val="none" w:sz="0" w:space="0" w:color="auto"/>
                                <w:bottom w:val="none" w:sz="0" w:space="0" w:color="auto"/>
                                <w:right w:val="none" w:sz="0" w:space="0" w:color="auto"/>
                              </w:divBdr>
                              <w:divsChild>
                                <w:div w:id="1593204790">
                                  <w:marLeft w:val="0"/>
                                  <w:marRight w:val="0"/>
                                  <w:marTop w:val="0"/>
                                  <w:marBottom w:val="0"/>
                                  <w:divBdr>
                                    <w:top w:val="none" w:sz="0" w:space="0" w:color="auto"/>
                                    <w:left w:val="none" w:sz="0" w:space="0" w:color="auto"/>
                                    <w:bottom w:val="none" w:sz="0" w:space="0" w:color="auto"/>
                                    <w:right w:val="none" w:sz="0" w:space="0" w:color="auto"/>
                                  </w:divBdr>
                                  <w:divsChild>
                                    <w:div w:id="1162313312">
                                      <w:marLeft w:val="0"/>
                                      <w:marRight w:val="0"/>
                                      <w:marTop w:val="0"/>
                                      <w:marBottom w:val="0"/>
                                      <w:divBdr>
                                        <w:top w:val="none" w:sz="0" w:space="0" w:color="auto"/>
                                        <w:left w:val="none" w:sz="0" w:space="0" w:color="auto"/>
                                        <w:bottom w:val="none" w:sz="0" w:space="0" w:color="auto"/>
                                        <w:right w:val="none" w:sz="0" w:space="0" w:color="auto"/>
                                      </w:divBdr>
                                      <w:divsChild>
                                        <w:div w:id="511183824">
                                          <w:marLeft w:val="0"/>
                                          <w:marRight w:val="0"/>
                                          <w:marTop w:val="0"/>
                                          <w:marBottom w:val="495"/>
                                          <w:divBdr>
                                            <w:top w:val="none" w:sz="0" w:space="0" w:color="auto"/>
                                            <w:left w:val="none" w:sz="0" w:space="0" w:color="auto"/>
                                            <w:bottom w:val="none" w:sz="0" w:space="0" w:color="auto"/>
                                            <w:right w:val="none" w:sz="0" w:space="0" w:color="auto"/>
                                          </w:divBdr>
                                          <w:divsChild>
                                            <w:div w:id="199244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568599">
      <w:bodyDiv w:val="1"/>
      <w:marLeft w:val="0"/>
      <w:marRight w:val="0"/>
      <w:marTop w:val="0"/>
      <w:marBottom w:val="0"/>
      <w:divBdr>
        <w:top w:val="none" w:sz="0" w:space="0" w:color="auto"/>
        <w:left w:val="none" w:sz="0" w:space="0" w:color="auto"/>
        <w:bottom w:val="none" w:sz="0" w:space="0" w:color="auto"/>
        <w:right w:val="none" w:sz="0" w:space="0" w:color="auto"/>
      </w:divBdr>
      <w:divsChild>
        <w:div w:id="1320648515">
          <w:marLeft w:val="0"/>
          <w:marRight w:val="0"/>
          <w:marTop w:val="0"/>
          <w:marBottom w:val="0"/>
          <w:divBdr>
            <w:top w:val="none" w:sz="0" w:space="0" w:color="auto"/>
            <w:left w:val="none" w:sz="0" w:space="0" w:color="auto"/>
            <w:bottom w:val="none" w:sz="0" w:space="0" w:color="auto"/>
            <w:right w:val="none" w:sz="0" w:space="0" w:color="auto"/>
          </w:divBdr>
          <w:divsChild>
            <w:div w:id="764770094">
              <w:marLeft w:val="0"/>
              <w:marRight w:val="0"/>
              <w:marTop w:val="0"/>
              <w:marBottom w:val="0"/>
              <w:divBdr>
                <w:top w:val="none" w:sz="0" w:space="0" w:color="auto"/>
                <w:left w:val="none" w:sz="0" w:space="0" w:color="auto"/>
                <w:bottom w:val="none" w:sz="0" w:space="0" w:color="auto"/>
                <w:right w:val="none" w:sz="0" w:space="0" w:color="auto"/>
              </w:divBdr>
              <w:divsChild>
                <w:div w:id="1116144164">
                  <w:marLeft w:val="0"/>
                  <w:marRight w:val="0"/>
                  <w:marTop w:val="0"/>
                  <w:marBottom w:val="0"/>
                  <w:divBdr>
                    <w:top w:val="none" w:sz="0" w:space="0" w:color="auto"/>
                    <w:left w:val="none" w:sz="0" w:space="0" w:color="auto"/>
                    <w:bottom w:val="none" w:sz="0" w:space="0" w:color="auto"/>
                    <w:right w:val="none" w:sz="0" w:space="0" w:color="auto"/>
                  </w:divBdr>
                  <w:divsChild>
                    <w:div w:id="490753274">
                      <w:marLeft w:val="0"/>
                      <w:marRight w:val="0"/>
                      <w:marTop w:val="0"/>
                      <w:marBottom w:val="0"/>
                      <w:divBdr>
                        <w:top w:val="none" w:sz="0" w:space="0" w:color="auto"/>
                        <w:left w:val="none" w:sz="0" w:space="0" w:color="auto"/>
                        <w:bottom w:val="none" w:sz="0" w:space="0" w:color="auto"/>
                        <w:right w:val="none" w:sz="0" w:space="0" w:color="auto"/>
                      </w:divBdr>
                      <w:divsChild>
                        <w:div w:id="524558042">
                          <w:marLeft w:val="0"/>
                          <w:marRight w:val="0"/>
                          <w:marTop w:val="0"/>
                          <w:marBottom w:val="0"/>
                          <w:divBdr>
                            <w:top w:val="none" w:sz="0" w:space="0" w:color="auto"/>
                            <w:left w:val="none" w:sz="0" w:space="0" w:color="auto"/>
                            <w:bottom w:val="none" w:sz="0" w:space="0" w:color="auto"/>
                            <w:right w:val="none" w:sz="0" w:space="0" w:color="auto"/>
                          </w:divBdr>
                          <w:divsChild>
                            <w:div w:id="1047342904">
                              <w:marLeft w:val="0"/>
                              <w:marRight w:val="0"/>
                              <w:marTop w:val="0"/>
                              <w:marBottom w:val="0"/>
                              <w:divBdr>
                                <w:top w:val="none" w:sz="0" w:space="0" w:color="auto"/>
                                <w:left w:val="none" w:sz="0" w:space="0" w:color="auto"/>
                                <w:bottom w:val="none" w:sz="0" w:space="0" w:color="auto"/>
                                <w:right w:val="none" w:sz="0" w:space="0" w:color="auto"/>
                              </w:divBdr>
                              <w:divsChild>
                                <w:div w:id="521213518">
                                  <w:marLeft w:val="0"/>
                                  <w:marRight w:val="0"/>
                                  <w:marTop w:val="0"/>
                                  <w:marBottom w:val="0"/>
                                  <w:divBdr>
                                    <w:top w:val="none" w:sz="0" w:space="0" w:color="auto"/>
                                    <w:left w:val="none" w:sz="0" w:space="0" w:color="auto"/>
                                    <w:bottom w:val="none" w:sz="0" w:space="0" w:color="auto"/>
                                    <w:right w:val="none" w:sz="0" w:space="0" w:color="auto"/>
                                  </w:divBdr>
                                  <w:divsChild>
                                    <w:div w:id="157381904">
                                      <w:marLeft w:val="0"/>
                                      <w:marRight w:val="0"/>
                                      <w:marTop w:val="0"/>
                                      <w:marBottom w:val="0"/>
                                      <w:divBdr>
                                        <w:top w:val="none" w:sz="0" w:space="0" w:color="auto"/>
                                        <w:left w:val="none" w:sz="0" w:space="0" w:color="auto"/>
                                        <w:bottom w:val="none" w:sz="0" w:space="0" w:color="auto"/>
                                        <w:right w:val="none" w:sz="0" w:space="0" w:color="auto"/>
                                      </w:divBdr>
                                      <w:divsChild>
                                        <w:div w:id="1248464660">
                                          <w:marLeft w:val="0"/>
                                          <w:marRight w:val="0"/>
                                          <w:marTop w:val="0"/>
                                          <w:marBottom w:val="495"/>
                                          <w:divBdr>
                                            <w:top w:val="none" w:sz="0" w:space="0" w:color="auto"/>
                                            <w:left w:val="none" w:sz="0" w:space="0" w:color="auto"/>
                                            <w:bottom w:val="none" w:sz="0" w:space="0" w:color="auto"/>
                                            <w:right w:val="none" w:sz="0" w:space="0" w:color="auto"/>
                                          </w:divBdr>
                                          <w:divsChild>
                                            <w:div w:id="14470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6344265">
      <w:bodyDiv w:val="1"/>
      <w:marLeft w:val="0"/>
      <w:marRight w:val="0"/>
      <w:marTop w:val="0"/>
      <w:marBottom w:val="0"/>
      <w:divBdr>
        <w:top w:val="none" w:sz="0" w:space="0" w:color="auto"/>
        <w:left w:val="none" w:sz="0" w:space="0" w:color="auto"/>
        <w:bottom w:val="none" w:sz="0" w:space="0" w:color="auto"/>
        <w:right w:val="none" w:sz="0" w:space="0" w:color="auto"/>
      </w:divBdr>
      <w:divsChild>
        <w:div w:id="678892911">
          <w:marLeft w:val="0"/>
          <w:marRight w:val="0"/>
          <w:marTop w:val="0"/>
          <w:marBottom w:val="0"/>
          <w:divBdr>
            <w:top w:val="none" w:sz="0" w:space="0" w:color="auto"/>
            <w:left w:val="none" w:sz="0" w:space="0" w:color="auto"/>
            <w:bottom w:val="none" w:sz="0" w:space="0" w:color="auto"/>
            <w:right w:val="none" w:sz="0" w:space="0" w:color="auto"/>
          </w:divBdr>
          <w:divsChild>
            <w:div w:id="883565074">
              <w:marLeft w:val="0"/>
              <w:marRight w:val="0"/>
              <w:marTop w:val="0"/>
              <w:marBottom w:val="0"/>
              <w:divBdr>
                <w:top w:val="none" w:sz="0" w:space="0" w:color="auto"/>
                <w:left w:val="none" w:sz="0" w:space="0" w:color="auto"/>
                <w:bottom w:val="none" w:sz="0" w:space="0" w:color="auto"/>
                <w:right w:val="none" w:sz="0" w:space="0" w:color="auto"/>
              </w:divBdr>
              <w:divsChild>
                <w:div w:id="1844317016">
                  <w:marLeft w:val="0"/>
                  <w:marRight w:val="0"/>
                  <w:marTop w:val="0"/>
                  <w:marBottom w:val="0"/>
                  <w:divBdr>
                    <w:top w:val="none" w:sz="0" w:space="0" w:color="auto"/>
                    <w:left w:val="none" w:sz="0" w:space="0" w:color="auto"/>
                    <w:bottom w:val="none" w:sz="0" w:space="0" w:color="auto"/>
                    <w:right w:val="none" w:sz="0" w:space="0" w:color="auto"/>
                  </w:divBdr>
                  <w:divsChild>
                    <w:div w:id="1337995280">
                      <w:marLeft w:val="0"/>
                      <w:marRight w:val="0"/>
                      <w:marTop w:val="0"/>
                      <w:marBottom w:val="0"/>
                      <w:divBdr>
                        <w:top w:val="none" w:sz="0" w:space="0" w:color="auto"/>
                        <w:left w:val="none" w:sz="0" w:space="0" w:color="auto"/>
                        <w:bottom w:val="none" w:sz="0" w:space="0" w:color="auto"/>
                        <w:right w:val="none" w:sz="0" w:space="0" w:color="auto"/>
                      </w:divBdr>
                      <w:divsChild>
                        <w:div w:id="1048148245">
                          <w:marLeft w:val="0"/>
                          <w:marRight w:val="0"/>
                          <w:marTop w:val="0"/>
                          <w:marBottom w:val="0"/>
                          <w:divBdr>
                            <w:top w:val="none" w:sz="0" w:space="0" w:color="auto"/>
                            <w:left w:val="none" w:sz="0" w:space="0" w:color="auto"/>
                            <w:bottom w:val="none" w:sz="0" w:space="0" w:color="auto"/>
                            <w:right w:val="none" w:sz="0" w:space="0" w:color="auto"/>
                          </w:divBdr>
                          <w:divsChild>
                            <w:div w:id="370040270">
                              <w:marLeft w:val="0"/>
                              <w:marRight w:val="0"/>
                              <w:marTop w:val="0"/>
                              <w:marBottom w:val="0"/>
                              <w:divBdr>
                                <w:top w:val="none" w:sz="0" w:space="0" w:color="auto"/>
                                <w:left w:val="none" w:sz="0" w:space="0" w:color="auto"/>
                                <w:bottom w:val="none" w:sz="0" w:space="0" w:color="auto"/>
                                <w:right w:val="none" w:sz="0" w:space="0" w:color="auto"/>
                              </w:divBdr>
                              <w:divsChild>
                                <w:div w:id="594746941">
                                  <w:marLeft w:val="0"/>
                                  <w:marRight w:val="0"/>
                                  <w:marTop w:val="0"/>
                                  <w:marBottom w:val="0"/>
                                  <w:divBdr>
                                    <w:top w:val="none" w:sz="0" w:space="0" w:color="auto"/>
                                    <w:left w:val="none" w:sz="0" w:space="0" w:color="auto"/>
                                    <w:bottom w:val="none" w:sz="0" w:space="0" w:color="auto"/>
                                    <w:right w:val="none" w:sz="0" w:space="0" w:color="auto"/>
                                  </w:divBdr>
                                  <w:divsChild>
                                    <w:div w:id="1782534898">
                                      <w:marLeft w:val="60"/>
                                      <w:marRight w:val="0"/>
                                      <w:marTop w:val="0"/>
                                      <w:marBottom w:val="0"/>
                                      <w:divBdr>
                                        <w:top w:val="none" w:sz="0" w:space="0" w:color="auto"/>
                                        <w:left w:val="none" w:sz="0" w:space="0" w:color="auto"/>
                                        <w:bottom w:val="none" w:sz="0" w:space="0" w:color="auto"/>
                                        <w:right w:val="none" w:sz="0" w:space="0" w:color="auto"/>
                                      </w:divBdr>
                                      <w:divsChild>
                                        <w:div w:id="2020113543">
                                          <w:marLeft w:val="0"/>
                                          <w:marRight w:val="0"/>
                                          <w:marTop w:val="0"/>
                                          <w:marBottom w:val="0"/>
                                          <w:divBdr>
                                            <w:top w:val="none" w:sz="0" w:space="0" w:color="auto"/>
                                            <w:left w:val="none" w:sz="0" w:space="0" w:color="auto"/>
                                            <w:bottom w:val="none" w:sz="0" w:space="0" w:color="auto"/>
                                            <w:right w:val="none" w:sz="0" w:space="0" w:color="auto"/>
                                          </w:divBdr>
                                          <w:divsChild>
                                            <w:div w:id="317153814">
                                              <w:marLeft w:val="0"/>
                                              <w:marRight w:val="0"/>
                                              <w:marTop w:val="0"/>
                                              <w:marBottom w:val="120"/>
                                              <w:divBdr>
                                                <w:top w:val="single" w:sz="6" w:space="0" w:color="F5F5F5"/>
                                                <w:left w:val="single" w:sz="6" w:space="0" w:color="F5F5F5"/>
                                                <w:bottom w:val="single" w:sz="6" w:space="0" w:color="F5F5F5"/>
                                                <w:right w:val="single" w:sz="6" w:space="0" w:color="F5F5F5"/>
                                              </w:divBdr>
                                              <w:divsChild>
                                                <w:div w:id="1425954776">
                                                  <w:marLeft w:val="0"/>
                                                  <w:marRight w:val="0"/>
                                                  <w:marTop w:val="0"/>
                                                  <w:marBottom w:val="0"/>
                                                  <w:divBdr>
                                                    <w:top w:val="none" w:sz="0" w:space="0" w:color="auto"/>
                                                    <w:left w:val="none" w:sz="0" w:space="0" w:color="auto"/>
                                                    <w:bottom w:val="none" w:sz="0" w:space="0" w:color="auto"/>
                                                    <w:right w:val="none" w:sz="0" w:space="0" w:color="auto"/>
                                                  </w:divBdr>
                                                  <w:divsChild>
                                                    <w:div w:id="149684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52825280">
      <w:bodyDiv w:val="1"/>
      <w:marLeft w:val="0"/>
      <w:marRight w:val="0"/>
      <w:marTop w:val="0"/>
      <w:marBottom w:val="0"/>
      <w:divBdr>
        <w:top w:val="none" w:sz="0" w:space="0" w:color="auto"/>
        <w:left w:val="none" w:sz="0" w:space="0" w:color="auto"/>
        <w:bottom w:val="none" w:sz="0" w:space="0" w:color="auto"/>
        <w:right w:val="none" w:sz="0" w:space="0" w:color="auto"/>
      </w:divBdr>
      <w:divsChild>
        <w:div w:id="1214002482">
          <w:marLeft w:val="0"/>
          <w:marRight w:val="0"/>
          <w:marTop w:val="0"/>
          <w:marBottom w:val="0"/>
          <w:divBdr>
            <w:top w:val="none" w:sz="0" w:space="0" w:color="auto"/>
            <w:left w:val="none" w:sz="0" w:space="0" w:color="auto"/>
            <w:bottom w:val="none" w:sz="0" w:space="0" w:color="auto"/>
            <w:right w:val="none" w:sz="0" w:space="0" w:color="auto"/>
          </w:divBdr>
          <w:divsChild>
            <w:div w:id="1552496272">
              <w:marLeft w:val="0"/>
              <w:marRight w:val="0"/>
              <w:marTop w:val="0"/>
              <w:marBottom w:val="0"/>
              <w:divBdr>
                <w:top w:val="none" w:sz="0" w:space="0" w:color="auto"/>
                <w:left w:val="none" w:sz="0" w:space="0" w:color="auto"/>
                <w:bottom w:val="none" w:sz="0" w:space="0" w:color="auto"/>
                <w:right w:val="none" w:sz="0" w:space="0" w:color="auto"/>
              </w:divBdr>
              <w:divsChild>
                <w:div w:id="296037131">
                  <w:marLeft w:val="0"/>
                  <w:marRight w:val="0"/>
                  <w:marTop w:val="0"/>
                  <w:marBottom w:val="0"/>
                  <w:divBdr>
                    <w:top w:val="none" w:sz="0" w:space="0" w:color="auto"/>
                    <w:left w:val="none" w:sz="0" w:space="0" w:color="auto"/>
                    <w:bottom w:val="none" w:sz="0" w:space="0" w:color="auto"/>
                    <w:right w:val="none" w:sz="0" w:space="0" w:color="auto"/>
                  </w:divBdr>
                  <w:divsChild>
                    <w:div w:id="1700814601">
                      <w:marLeft w:val="0"/>
                      <w:marRight w:val="0"/>
                      <w:marTop w:val="0"/>
                      <w:marBottom w:val="0"/>
                      <w:divBdr>
                        <w:top w:val="none" w:sz="0" w:space="0" w:color="auto"/>
                        <w:left w:val="none" w:sz="0" w:space="0" w:color="auto"/>
                        <w:bottom w:val="none" w:sz="0" w:space="0" w:color="auto"/>
                        <w:right w:val="none" w:sz="0" w:space="0" w:color="auto"/>
                      </w:divBdr>
                      <w:divsChild>
                        <w:div w:id="380206135">
                          <w:marLeft w:val="0"/>
                          <w:marRight w:val="0"/>
                          <w:marTop w:val="0"/>
                          <w:marBottom w:val="0"/>
                          <w:divBdr>
                            <w:top w:val="none" w:sz="0" w:space="0" w:color="auto"/>
                            <w:left w:val="none" w:sz="0" w:space="0" w:color="auto"/>
                            <w:bottom w:val="none" w:sz="0" w:space="0" w:color="auto"/>
                            <w:right w:val="none" w:sz="0" w:space="0" w:color="auto"/>
                          </w:divBdr>
                          <w:divsChild>
                            <w:div w:id="1189946548">
                              <w:marLeft w:val="0"/>
                              <w:marRight w:val="0"/>
                              <w:marTop w:val="0"/>
                              <w:marBottom w:val="0"/>
                              <w:divBdr>
                                <w:top w:val="none" w:sz="0" w:space="0" w:color="auto"/>
                                <w:left w:val="none" w:sz="0" w:space="0" w:color="auto"/>
                                <w:bottom w:val="none" w:sz="0" w:space="0" w:color="auto"/>
                                <w:right w:val="none" w:sz="0" w:space="0" w:color="auto"/>
                              </w:divBdr>
                              <w:divsChild>
                                <w:div w:id="189686292">
                                  <w:marLeft w:val="0"/>
                                  <w:marRight w:val="0"/>
                                  <w:marTop w:val="0"/>
                                  <w:marBottom w:val="0"/>
                                  <w:divBdr>
                                    <w:top w:val="none" w:sz="0" w:space="0" w:color="auto"/>
                                    <w:left w:val="none" w:sz="0" w:space="0" w:color="auto"/>
                                    <w:bottom w:val="none" w:sz="0" w:space="0" w:color="auto"/>
                                    <w:right w:val="none" w:sz="0" w:space="0" w:color="auto"/>
                                  </w:divBdr>
                                  <w:divsChild>
                                    <w:div w:id="990868949">
                                      <w:marLeft w:val="0"/>
                                      <w:marRight w:val="0"/>
                                      <w:marTop w:val="0"/>
                                      <w:marBottom w:val="0"/>
                                      <w:divBdr>
                                        <w:top w:val="none" w:sz="0" w:space="0" w:color="auto"/>
                                        <w:left w:val="none" w:sz="0" w:space="0" w:color="auto"/>
                                        <w:bottom w:val="none" w:sz="0" w:space="0" w:color="auto"/>
                                        <w:right w:val="none" w:sz="0" w:space="0" w:color="auto"/>
                                      </w:divBdr>
                                      <w:divsChild>
                                        <w:div w:id="127825242">
                                          <w:marLeft w:val="0"/>
                                          <w:marRight w:val="0"/>
                                          <w:marTop w:val="0"/>
                                          <w:marBottom w:val="495"/>
                                          <w:divBdr>
                                            <w:top w:val="none" w:sz="0" w:space="0" w:color="auto"/>
                                            <w:left w:val="none" w:sz="0" w:space="0" w:color="auto"/>
                                            <w:bottom w:val="none" w:sz="0" w:space="0" w:color="auto"/>
                                            <w:right w:val="none" w:sz="0" w:space="0" w:color="auto"/>
                                          </w:divBdr>
                                          <w:divsChild>
                                            <w:div w:id="109447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818283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90">
          <w:marLeft w:val="0"/>
          <w:marRight w:val="0"/>
          <w:marTop w:val="0"/>
          <w:marBottom w:val="0"/>
          <w:divBdr>
            <w:top w:val="none" w:sz="0" w:space="0" w:color="auto"/>
            <w:left w:val="none" w:sz="0" w:space="0" w:color="auto"/>
            <w:bottom w:val="none" w:sz="0" w:space="0" w:color="auto"/>
            <w:right w:val="none" w:sz="0" w:space="0" w:color="auto"/>
          </w:divBdr>
          <w:divsChild>
            <w:div w:id="623998142">
              <w:marLeft w:val="0"/>
              <w:marRight w:val="0"/>
              <w:marTop w:val="0"/>
              <w:marBottom w:val="0"/>
              <w:divBdr>
                <w:top w:val="none" w:sz="0" w:space="0" w:color="auto"/>
                <w:left w:val="none" w:sz="0" w:space="0" w:color="auto"/>
                <w:bottom w:val="none" w:sz="0" w:space="0" w:color="auto"/>
                <w:right w:val="none" w:sz="0" w:space="0" w:color="auto"/>
              </w:divBdr>
              <w:divsChild>
                <w:div w:id="1471096742">
                  <w:marLeft w:val="0"/>
                  <w:marRight w:val="0"/>
                  <w:marTop w:val="0"/>
                  <w:marBottom w:val="0"/>
                  <w:divBdr>
                    <w:top w:val="none" w:sz="0" w:space="0" w:color="auto"/>
                    <w:left w:val="none" w:sz="0" w:space="0" w:color="auto"/>
                    <w:bottom w:val="none" w:sz="0" w:space="0" w:color="auto"/>
                    <w:right w:val="none" w:sz="0" w:space="0" w:color="auto"/>
                  </w:divBdr>
                  <w:divsChild>
                    <w:div w:id="2031906162">
                      <w:marLeft w:val="0"/>
                      <w:marRight w:val="0"/>
                      <w:marTop w:val="0"/>
                      <w:marBottom w:val="0"/>
                      <w:divBdr>
                        <w:top w:val="none" w:sz="0" w:space="0" w:color="auto"/>
                        <w:left w:val="none" w:sz="0" w:space="0" w:color="auto"/>
                        <w:bottom w:val="none" w:sz="0" w:space="0" w:color="auto"/>
                        <w:right w:val="none" w:sz="0" w:space="0" w:color="auto"/>
                      </w:divBdr>
                      <w:divsChild>
                        <w:div w:id="1637761522">
                          <w:marLeft w:val="0"/>
                          <w:marRight w:val="0"/>
                          <w:marTop w:val="0"/>
                          <w:marBottom w:val="0"/>
                          <w:divBdr>
                            <w:top w:val="none" w:sz="0" w:space="0" w:color="auto"/>
                            <w:left w:val="none" w:sz="0" w:space="0" w:color="auto"/>
                            <w:bottom w:val="none" w:sz="0" w:space="0" w:color="auto"/>
                            <w:right w:val="none" w:sz="0" w:space="0" w:color="auto"/>
                          </w:divBdr>
                          <w:divsChild>
                            <w:div w:id="1176572431">
                              <w:marLeft w:val="0"/>
                              <w:marRight w:val="0"/>
                              <w:marTop w:val="0"/>
                              <w:marBottom w:val="0"/>
                              <w:divBdr>
                                <w:top w:val="none" w:sz="0" w:space="0" w:color="auto"/>
                                <w:left w:val="none" w:sz="0" w:space="0" w:color="auto"/>
                                <w:bottom w:val="none" w:sz="0" w:space="0" w:color="auto"/>
                                <w:right w:val="none" w:sz="0" w:space="0" w:color="auto"/>
                              </w:divBdr>
                              <w:divsChild>
                                <w:div w:id="261307768">
                                  <w:marLeft w:val="0"/>
                                  <w:marRight w:val="0"/>
                                  <w:marTop w:val="0"/>
                                  <w:marBottom w:val="0"/>
                                  <w:divBdr>
                                    <w:top w:val="none" w:sz="0" w:space="0" w:color="auto"/>
                                    <w:left w:val="none" w:sz="0" w:space="0" w:color="auto"/>
                                    <w:bottom w:val="none" w:sz="0" w:space="0" w:color="auto"/>
                                    <w:right w:val="none" w:sz="0" w:space="0" w:color="auto"/>
                                  </w:divBdr>
                                  <w:divsChild>
                                    <w:div w:id="2024941247">
                                      <w:marLeft w:val="0"/>
                                      <w:marRight w:val="0"/>
                                      <w:marTop w:val="0"/>
                                      <w:marBottom w:val="0"/>
                                      <w:divBdr>
                                        <w:top w:val="none" w:sz="0" w:space="0" w:color="auto"/>
                                        <w:left w:val="none" w:sz="0" w:space="0" w:color="auto"/>
                                        <w:bottom w:val="none" w:sz="0" w:space="0" w:color="auto"/>
                                        <w:right w:val="none" w:sz="0" w:space="0" w:color="auto"/>
                                      </w:divBdr>
                                      <w:divsChild>
                                        <w:div w:id="1510825003">
                                          <w:marLeft w:val="0"/>
                                          <w:marRight w:val="0"/>
                                          <w:marTop w:val="0"/>
                                          <w:marBottom w:val="495"/>
                                          <w:divBdr>
                                            <w:top w:val="none" w:sz="0" w:space="0" w:color="auto"/>
                                            <w:left w:val="none" w:sz="0" w:space="0" w:color="auto"/>
                                            <w:bottom w:val="none" w:sz="0" w:space="0" w:color="auto"/>
                                            <w:right w:val="none" w:sz="0" w:space="0" w:color="auto"/>
                                          </w:divBdr>
                                          <w:divsChild>
                                            <w:div w:id="35358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6209854">
      <w:bodyDiv w:val="1"/>
      <w:marLeft w:val="0"/>
      <w:marRight w:val="0"/>
      <w:marTop w:val="0"/>
      <w:marBottom w:val="0"/>
      <w:divBdr>
        <w:top w:val="none" w:sz="0" w:space="0" w:color="auto"/>
        <w:left w:val="none" w:sz="0" w:space="0" w:color="auto"/>
        <w:bottom w:val="none" w:sz="0" w:space="0" w:color="auto"/>
        <w:right w:val="none" w:sz="0" w:space="0" w:color="auto"/>
      </w:divBdr>
      <w:divsChild>
        <w:div w:id="1813407817">
          <w:marLeft w:val="0"/>
          <w:marRight w:val="0"/>
          <w:marTop w:val="0"/>
          <w:marBottom w:val="0"/>
          <w:divBdr>
            <w:top w:val="none" w:sz="0" w:space="0" w:color="auto"/>
            <w:left w:val="none" w:sz="0" w:space="0" w:color="auto"/>
            <w:bottom w:val="none" w:sz="0" w:space="0" w:color="auto"/>
            <w:right w:val="none" w:sz="0" w:space="0" w:color="auto"/>
          </w:divBdr>
          <w:divsChild>
            <w:div w:id="1348172408">
              <w:marLeft w:val="0"/>
              <w:marRight w:val="0"/>
              <w:marTop w:val="0"/>
              <w:marBottom w:val="0"/>
              <w:divBdr>
                <w:top w:val="none" w:sz="0" w:space="0" w:color="auto"/>
                <w:left w:val="none" w:sz="0" w:space="0" w:color="auto"/>
                <w:bottom w:val="none" w:sz="0" w:space="0" w:color="auto"/>
                <w:right w:val="none" w:sz="0" w:space="0" w:color="auto"/>
              </w:divBdr>
              <w:divsChild>
                <w:div w:id="378171455">
                  <w:marLeft w:val="0"/>
                  <w:marRight w:val="0"/>
                  <w:marTop w:val="0"/>
                  <w:marBottom w:val="0"/>
                  <w:divBdr>
                    <w:top w:val="none" w:sz="0" w:space="0" w:color="auto"/>
                    <w:left w:val="none" w:sz="0" w:space="0" w:color="auto"/>
                    <w:bottom w:val="none" w:sz="0" w:space="0" w:color="auto"/>
                    <w:right w:val="none" w:sz="0" w:space="0" w:color="auto"/>
                  </w:divBdr>
                  <w:divsChild>
                    <w:div w:id="1481532060">
                      <w:marLeft w:val="0"/>
                      <w:marRight w:val="0"/>
                      <w:marTop w:val="0"/>
                      <w:marBottom w:val="0"/>
                      <w:divBdr>
                        <w:top w:val="none" w:sz="0" w:space="0" w:color="auto"/>
                        <w:left w:val="none" w:sz="0" w:space="0" w:color="auto"/>
                        <w:bottom w:val="none" w:sz="0" w:space="0" w:color="auto"/>
                        <w:right w:val="none" w:sz="0" w:space="0" w:color="auto"/>
                      </w:divBdr>
                      <w:divsChild>
                        <w:div w:id="792946584">
                          <w:marLeft w:val="0"/>
                          <w:marRight w:val="0"/>
                          <w:marTop w:val="0"/>
                          <w:marBottom w:val="0"/>
                          <w:divBdr>
                            <w:top w:val="none" w:sz="0" w:space="0" w:color="auto"/>
                            <w:left w:val="none" w:sz="0" w:space="0" w:color="auto"/>
                            <w:bottom w:val="none" w:sz="0" w:space="0" w:color="auto"/>
                            <w:right w:val="none" w:sz="0" w:space="0" w:color="auto"/>
                          </w:divBdr>
                          <w:divsChild>
                            <w:div w:id="1995527058">
                              <w:marLeft w:val="0"/>
                              <w:marRight w:val="0"/>
                              <w:marTop w:val="0"/>
                              <w:marBottom w:val="0"/>
                              <w:divBdr>
                                <w:top w:val="none" w:sz="0" w:space="0" w:color="auto"/>
                                <w:left w:val="none" w:sz="0" w:space="0" w:color="auto"/>
                                <w:bottom w:val="none" w:sz="0" w:space="0" w:color="auto"/>
                                <w:right w:val="none" w:sz="0" w:space="0" w:color="auto"/>
                              </w:divBdr>
                              <w:divsChild>
                                <w:div w:id="994408766">
                                  <w:marLeft w:val="0"/>
                                  <w:marRight w:val="0"/>
                                  <w:marTop w:val="0"/>
                                  <w:marBottom w:val="0"/>
                                  <w:divBdr>
                                    <w:top w:val="none" w:sz="0" w:space="0" w:color="auto"/>
                                    <w:left w:val="none" w:sz="0" w:space="0" w:color="auto"/>
                                    <w:bottom w:val="none" w:sz="0" w:space="0" w:color="auto"/>
                                    <w:right w:val="none" w:sz="0" w:space="0" w:color="auto"/>
                                  </w:divBdr>
                                  <w:divsChild>
                                    <w:div w:id="2029284895">
                                      <w:marLeft w:val="0"/>
                                      <w:marRight w:val="0"/>
                                      <w:marTop w:val="0"/>
                                      <w:marBottom w:val="0"/>
                                      <w:divBdr>
                                        <w:top w:val="none" w:sz="0" w:space="0" w:color="auto"/>
                                        <w:left w:val="none" w:sz="0" w:space="0" w:color="auto"/>
                                        <w:bottom w:val="none" w:sz="0" w:space="0" w:color="auto"/>
                                        <w:right w:val="none" w:sz="0" w:space="0" w:color="auto"/>
                                      </w:divBdr>
                                      <w:divsChild>
                                        <w:div w:id="340090399">
                                          <w:marLeft w:val="0"/>
                                          <w:marRight w:val="0"/>
                                          <w:marTop w:val="0"/>
                                          <w:marBottom w:val="495"/>
                                          <w:divBdr>
                                            <w:top w:val="none" w:sz="0" w:space="0" w:color="auto"/>
                                            <w:left w:val="none" w:sz="0" w:space="0" w:color="auto"/>
                                            <w:bottom w:val="none" w:sz="0" w:space="0" w:color="auto"/>
                                            <w:right w:val="none" w:sz="0" w:space="0" w:color="auto"/>
                                          </w:divBdr>
                                          <w:divsChild>
                                            <w:div w:id="38857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302441">
      <w:bodyDiv w:val="1"/>
      <w:marLeft w:val="0"/>
      <w:marRight w:val="0"/>
      <w:marTop w:val="0"/>
      <w:marBottom w:val="0"/>
      <w:divBdr>
        <w:top w:val="none" w:sz="0" w:space="0" w:color="auto"/>
        <w:left w:val="none" w:sz="0" w:space="0" w:color="auto"/>
        <w:bottom w:val="none" w:sz="0" w:space="0" w:color="auto"/>
        <w:right w:val="none" w:sz="0" w:space="0" w:color="auto"/>
      </w:divBdr>
      <w:divsChild>
        <w:div w:id="2097821475">
          <w:marLeft w:val="0"/>
          <w:marRight w:val="0"/>
          <w:marTop w:val="0"/>
          <w:marBottom w:val="0"/>
          <w:divBdr>
            <w:top w:val="none" w:sz="0" w:space="0" w:color="auto"/>
            <w:left w:val="none" w:sz="0" w:space="0" w:color="auto"/>
            <w:bottom w:val="none" w:sz="0" w:space="0" w:color="auto"/>
            <w:right w:val="none" w:sz="0" w:space="0" w:color="auto"/>
          </w:divBdr>
          <w:divsChild>
            <w:div w:id="1167594944">
              <w:marLeft w:val="0"/>
              <w:marRight w:val="0"/>
              <w:marTop w:val="0"/>
              <w:marBottom w:val="0"/>
              <w:divBdr>
                <w:top w:val="none" w:sz="0" w:space="0" w:color="auto"/>
                <w:left w:val="none" w:sz="0" w:space="0" w:color="auto"/>
                <w:bottom w:val="none" w:sz="0" w:space="0" w:color="auto"/>
                <w:right w:val="none" w:sz="0" w:space="0" w:color="auto"/>
              </w:divBdr>
              <w:divsChild>
                <w:div w:id="577321980">
                  <w:marLeft w:val="0"/>
                  <w:marRight w:val="0"/>
                  <w:marTop w:val="0"/>
                  <w:marBottom w:val="0"/>
                  <w:divBdr>
                    <w:top w:val="none" w:sz="0" w:space="0" w:color="auto"/>
                    <w:left w:val="none" w:sz="0" w:space="0" w:color="auto"/>
                    <w:bottom w:val="none" w:sz="0" w:space="0" w:color="auto"/>
                    <w:right w:val="none" w:sz="0" w:space="0" w:color="auto"/>
                  </w:divBdr>
                  <w:divsChild>
                    <w:div w:id="1035546805">
                      <w:marLeft w:val="0"/>
                      <w:marRight w:val="0"/>
                      <w:marTop w:val="0"/>
                      <w:marBottom w:val="0"/>
                      <w:divBdr>
                        <w:top w:val="none" w:sz="0" w:space="0" w:color="auto"/>
                        <w:left w:val="none" w:sz="0" w:space="0" w:color="auto"/>
                        <w:bottom w:val="none" w:sz="0" w:space="0" w:color="auto"/>
                        <w:right w:val="none" w:sz="0" w:space="0" w:color="auto"/>
                      </w:divBdr>
                      <w:divsChild>
                        <w:div w:id="1286816717">
                          <w:marLeft w:val="0"/>
                          <w:marRight w:val="0"/>
                          <w:marTop w:val="0"/>
                          <w:marBottom w:val="0"/>
                          <w:divBdr>
                            <w:top w:val="none" w:sz="0" w:space="0" w:color="auto"/>
                            <w:left w:val="none" w:sz="0" w:space="0" w:color="auto"/>
                            <w:bottom w:val="none" w:sz="0" w:space="0" w:color="auto"/>
                            <w:right w:val="none" w:sz="0" w:space="0" w:color="auto"/>
                          </w:divBdr>
                          <w:divsChild>
                            <w:div w:id="96147223">
                              <w:marLeft w:val="0"/>
                              <w:marRight w:val="0"/>
                              <w:marTop w:val="0"/>
                              <w:marBottom w:val="0"/>
                              <w:divBdr>
                                <w:top w:val="none" w:sz="0" w:space="0" w:color="auto"/>
                                <w:left w:val="none" w:sz="0" w:space="0" w:color="auto"/>
                                <w:bottom w:val="none" w:sz="0" w:space="0" w:color="auto"/>
                                <w:right w:val="none" w:sz="0" w:space="0" w:color="auto"/>
                              </w:divBdr>
                              <w:divsChild>
                                <w:div w:id="154805774">
                                  <w:marLeft w:val="0"/>
                                  <w:marRight w:val="0"/>
                                  <w:marTop w:val="0"/>
                                  <w:marBottom w:val="0"/>
                                  <w:divBdr>
                                    <w:top w:val="none" w:sz="0" w:space="0" w:color="auto"/>
                                    <w:left w:val="none" w:sz="0" w:space="0" w:color="auto"/>
                                    <w:bottom w:val="none" w:sz="0" w:space="0" w:color="auto"/>
                                    <w:right w:val="none" w:sz="0" w:space="0" w:color="auto"/>
                                  </w:divBdr>
                                  <w:divsChild>
                                    <w:div w:id="1036393748">
                                      <w:marLeft w:val="0"/>
                                      <w:marRight w:val="0"/>
                                      <w:marTop w:val="0"/>
                                      <w:marBottom w:val="0"/>
                                      <w:divBdr>
                                        <w:top w:val="none" w:sz="0" w:space="0" w:color="auto"/>
                                        <w:left w:val="none" w:sz="0" w:space="0" w:color="auto"/>
                                        <w:bottom w:val="none" w:sz="0" w:space="0" w:color="auto"/>
                                        <w:right w:val="none" w:sz="0" w:space="0" w:color="auto"/>
                                      </w:divBdr>
                                      <w:divsChild>
                                        <w:div w:id="1909458102">
                                          <w:marLeft w:val="0"/>
                                          <w:marRight w:val="0"/>
                                          <w:marTop w:val="0"/>
                                          <w:marBottom w:val="495"/>
                                          <w:divBdr>
                                            <w:top w:val="none" w:sz="0" w:space="0" w:color="auto"/>
                                            <w:left w:val="none" w:sz="0" w:space="0" w:color="auto"/>
                                            <w:bottom w:val="none" w:sz="0" w:space="0" w:color="auto"/>
                                            <w:right w:val="none" w:sz="0" w:space="0" w:color="auto"/>
                                          </w:divBdr>
                                          <w:divsChild>
                                            <w:div w:id="53608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6427593">
      <w:bodyDiv w:val="1"/>
      <w:marLeft w:val="0"/>
      <w:marRight w:val="0"/>
      <w:marTop w:val="0"/>
      <w:marBottom w:val="0"/>
      <w:divBdr>
        <w:top w:val="none" w:sz="0" w:space="0" w:color="auto"/>
        <w:left w:val="none" w:sz="0" w:space="0" w:color="auto"/>
        <w:bottom w:val="none" w:sz="0" w:space="0" w:color="auto"/>
        <w:right w:val="none" w:sz="0" w:space="0" w:color="auto"/>
      </w:divBdr>
      <w:divsChild>
        <w:div w:id="10379186">
          <w:marLeft w:val="0"/>
          <w:marRight w:val="0"/>
          <w:marTop w:val="0"/>
          <w:marBottom w:val="0"/>
          <w:divBdr>
            <w:top w:val="none" w:sz="0" w:space="0" w:color="auto"/>
            <w:left w:val="none" w:sz="0" w:space="0" w:color="auto"/>
            <w:bottom w:val="none" w:sz="0" w:space="0" w:color="auto"/>
            <w:right w:val="none" w:sz="0" w:space="0" w:color="auto"/>
          </w:divBdr>
          <w:divsChild>
            <w:div w:id="1128738045">
              <w:marLeft w:val="0"/>
              <w:marRight w:val="0"/>
              <w:marTop w:val="0"/>
              <w:marBottom w:val="0"/>
              <w:divBdr>
                <w:top w:val="none" w:sz="0" w:space="0" w:color="auto"/>
                <w:left w:val="none" w:sz="0" w:space="0" w:color="auto"/>
                <w:bottom w:val="none" w:sz="0" w:space="0" w:color="auto"/>
                <w:right w:val="none" w:sz="0" w:space="0" w:color="auto"/>
              </w:divBdr>
              <w:divsChild>
                <w:div w:id="583298264">
                  <w:marLeft w:val="0"/>
                  <w:marRight w:val="0"/>
                  <w:marTop w:val="0"/>
                  <w:marBottom w:val="0"/>
                  <w:divBdr>
                    <w:top w:val="none" w:sz="0" w:space="0" w:color="auto"/>
                    <w:left w:val="none" w:sz="0" w:space="0" w:color="auto"/>
                    <w:bottom w:val="none" w:sz="0" w:space="0" w:color="auto"/>
                    <w:right w:val="none" w:sz="0" w:space="0" w:color="auto"/>
                  </w:divBdr>
                  <w:divsChild>
                    <w:div w:id="1164127212">
                      <w:marLeft w:val="0"/>
                      <w:marRight w:val="0"/>
                      <w:marTop w:val="0"/>
                      <w:marBottom w:val="0"/>
                      <w:divBdr>
                        <w:top w:val="none" w:sz="0" w:space="0" w:color="auto"/>
                        <w:left w:val="none" w:sz="0" w:space="0" w:color="auto"/>
                        <w:bottom w:val="none" w:sz="0" w:space="0" w:color="auto"/>
                        <w:right w:val="none" w:sz="0" w:space="0" w:color="auto"/>
                      </w:divBdr>
                      <w:divsChild>
                        <w:div w:id="600987819">
                          <w:marLeft w:val="0"/>
                          <w:marRight w:val="0"/>
                          <w:marTop w:val="0"/>
                          <w:marBottom w:val="0"/>
                          <w:divBdr>
                            <w:top w:val="none" w:sz="0" w:space="0" w:color="auto"/>
                            <w:left w:val="none" w:sz="0" w:space="0" w:color="auto"/>
                            <w:bottom w:val="none" w:sz="0" w:space="0" w:color="auto"/>
                            <w:right w:val="none" w:sz="0" w:space="0" w:color="auto"/>
                          </w:divBdr>
                          <w:divsChild>
                            <w:div w:id="1253054653">
                              <w:marLeft w:val="0"/>
                              <w:marRight w:val="0"/>
                              <w:marTop w:val="0"/>
                              <w:marBottom w:val="0"/>
                              <w:divBdr>
                                <w:top w:val="none" w:sz="0" w:space="0" w:color="auto"/>
                                <w:left w:val="none" w:sz="0" w:space="0" w:color="auto"/>
                                <w:bottom w:val="none" w:sz="0" w:space="0" w:color="auto"/>
                                <w:right w:val="none" w:sz="0" w:space="0" w:color="auto"/>
                              </w:divBdr>
                              <w:divsChild>
                                <w:div w:id="1728719096">
                                  <w:marLeft w:val="0"/>
                                  <w:marRight w:val="0"/>
                                  <w:marTop w:val="0"/>
                                  <w:marBottom w:val="0"/>
                                  <w:divBdr>
                                    <w:top w:val="none" w:sz="0" w:space="0" w:color="auto"/>
                                    <w:left w:val="none" w:sz="0" w:space="0" w:color="auto"/>
                                    <w:bottom w:val="none" w:sz="0" w:space="0" w:color="auto"/>
                                    <w:right w:val="none" w:sz="0" w:space="0" w:color="auto"/>
                                  </w:divBdr>
                                  <w:divsChild>
                                    <w:div w:id="1419714902">
                                      <w:marLeft w:val="0"/>
                                      <w:marRight w:val="0"/>
                                      <w:marTop w:val="0"/>
                                      <w:marBottom w:val="0"/>
                                      <w:divBdr>
                                        <w:top w:val="none" w:sz="0" w:space="0" w:color="auto"/>
                                        <w:left w:val="none" w:sz="0" w:space="0" w:color="auto"/>
                                        <w:bottom w:val="none" w:sz="0" w:space="0" w:color="auto"/>
                                        <w:right w:val="none" w:sz="0" w:space="0" w:color="auto"/>
                                      </w:divBdr>
                                      <w:divsChild>
                                        <w:div w:id="663121750">
                                          <w:marLeft w:val="0"/>
                                          <w:marRight w:val="0"/>
                                          <w:marTop w:val="0"/>
                                          <w:marBottom w:val="495"/>
                                          <w:divBdr>
                                            <w:top w:val="none" w:sz="0" w:space="0" w:color="auto"/>
                                            <w:left w:val="none" w:sz="0" w:space="0" w:color="auto"/>
                                            <w:bottom w:val="none" w:sz="0" w:space="0" w:color="auto"/>
                                            <w:right w:val="none" w:sz="0" w:space="0" w:color="auto"/>
                                          </w:divBdr>
                                          <w:divsChild>
                                            <w:div w:id="82066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7470801">
      <w:bodyDiv w:val="1"/>
      <w:marLeft w:val="0"/>
      <w:marRight w:val="0"/>
      <w:marTop w:val="0"/>
      <w:marBottom w:val="0"/>
      <w:divBdr>
        <w:top w:val="none" w:sz="0" w:space="0" w:color="auto"/>
        <w:left w:val="none" w:sz="0" w:space="0" w:color="auto"/>
        <w:bottom w:val="none" w:sz="0" w:space="0" w:color="auto"/>
        <w:right w:val="none" w:sz="0" w:space="0" w:color="auto"/>
      </w:divBdr>
      <w:divsChild>
        <w:div w:id="866211468">
          <w:marLeft w:val="0"/>
          <w:marRight w:val="0"/>
          <w:marTop w:val="0"/>
          <w:marBottom w:val="0"/>
          <w:divBdr>
            <w:top w:val="none" w:sz="0" w:space="0" w:color="auto"/>
            <w:left w:val="none" w:sz="0" w:space="0" w:color="auto"/>
            <w:bottom w:val="none" w:sz="0" w:space="0" w:color="auto"/>
            <w:right w:val="none" w:sz="0" w:space="0" w:color="auto"/>
          </w:divBdr>
          <w:divsChild>
            <w:div w:id="1876118124">
              <w:marLeft w:val="0"/>
              <w:marRight w:val="0"/>
              <w:marTop w:val="0"/>
              <w:marBottom w:val="0"/>
              <w:divBdr>
                <w:top w:val="none" w:sz="0" w:space="0" w:color="auto"/>
                <w:left w:val="none" w:sz="0" w:space="0" w:color="auto"/>
                <w:bottom w:val="none" w:sz="0" w:space="0" w:color="auto"/>
                <w:right w:val="none" w:sz="0" w:space="0" w:color="auto"/>
              </w:divBdr>
              <w:divsChild>
                <w:div w:id="840434297">
                  <w:marLeft w:val="0"/>
                  <w:marRight w:val="0"/>
                  <w:marTop w:val="0"/>
                  <w:marBottom w:val="0"/>
                  <w:divBdr>
                    <w:top w:val="none" w:sz="0" w:space="0" w:color="auto"/>
                    <w:left w:val="none" w:sz="0" w:space="0" w:color="auto"/>
                    <w:bottom w:val="none" w:sz="0" w:space="0" w:color="auto"/>
                    <w:right w:val="none" w:sz="0" w:space="0" w:color="auto"/>
                  </w:divBdr>
                  <w:divsChild>
                    <w:div w:id="47998954">
                      <w:marLeft w:val="0"/>
                      <w:marRight w:val="0"/>
                      <w:marTop w:val="0"/>
                      <w:marBottom w:val="0"/>
                      <w:divBdr>
                        <w:top w:val="none" w:sz="0" w:space="0" w:color="auto"/>
                        <w:left w:val="none" w:sz="0" w:space="0" w:color="auto"/>
                        <w:bottom w:val="none" w:sz="0" w:space="0" w:color="auto"/>
                        <w:right w:val="none" w:sz="0" w:space="0" w:color="auto"/>
                      </w:divBdr>
                      <w:divsChild>
                        <w:div w:id="1021005429">
                          <w:marLeft w:val="0"/>
                          <w:marRight w:val="0"/>
                          <w:marTop w:val="0"/>
                          <w:marBottom w:val="0"/>
                          <w:divBdr>
                            <w:top w:val="none" w:sz="0" w:space="0" w:color="auto"/>
                            <w:left w:val="none" w:sz="0" w:space="0" w:color="auto"/>
                            <w:bottom w:val="none" w:sz="0" w:space="0" w:color="auto"/>
                            <w:right w:val="none" w:sz="0" w:space="0" w:color="auto"/>
                          </w:divBdr>
                          <w:divsChild>
                            <w:div w:id="603653912">
                              <w:marLeft w:val="0"/>
                              <w:marRight w:val="0"/>
                              <w:marTop w:val="0"/>
                              <w:marBottom w:val="0"/>
                              <w:divBdr>
                                <w:top w:val="none" w:sz="0" w:space="0" w:color="auto"/>
                                <w:left w:val="none" w:sz="0" w:space="0" w:color="auto"/>
                                <w:bottom w:val="none" w:sz="0" w:space="0" w:color="auto"/>
                                <w:right w:val="none" w:sz="0" w:space="0" w:color="auto"/>
                              </w:divBdr>
                              <w:divsChild>
                                <w:div w:id="1178732172">
                                  <w:marLeft w:val="0"/>
                                  <w:marRight w:val="0"/>
                                  <w:marTop w:val="0"/>
                                  <w:marBottom w:val="0"/>
                                  <w:divBdr>
                                    <w:top w:val="none" w:sz="0" w:space="0" w:color="auto"/>
                                    <w:left w:val="none" w:sz="0" w:space="0" w:color="auto"/>
                                    <w:bottom w:val="none" w:sz="0" w:space="0" w:color="auto"/>
                                    <w:right w:val="none" w:sz="0" w:space="0" w:color="auto"/>
                                  </w:divBdr>
                                  <w:divsChild>
                                    <w:div w:id="764305797">
                                      <w:marLeft w:val="0"/>
                                      <w:marRight w:val="0"/>
                                      <w:marTop w:val="0"/>
                                      <w:marBottom w:val="0"/>
                                      <w:divBdr>
                                        <w:top w:val="none" w:sz="0" w:space="0" w:color="auto"/>
                                        <w:left w:val="none" w:sz="0" w:space="0" w:color="auto"/>
                                        <w:bottom w:val="none" w:sz="0" w:space="0" w:color="auto"/>
                                        <w:right w:val="none" w:sz="0" w:space="0" w:color="auto"/>
                                      </w:divBdr>
                                      <w:divsChild>
                                        <w:div w:id="1118184952">
                                          <w:marLeft w:val="0"/>
                                          <w:marRight w:val="0"/>
                                          <w:marTop w:val="0"/>
                                          <w:marBottom w:val="495"/>
                                          <w:divBdr>
                                            <w:top w:val="none" w:sz="0" w:space="0" w:color="auto"/>
                                            <w:left w:val="none" w:sz="0" w:space="0" w:color="auto"/>
                                            <w:bottom w:val="none" w:sz="0" w:space="0" w:color="auto"/>
                                            <w:right w:val="none" w:sz="0" w:space="0" w:color="auto"/>
                                          </w:divBdr>
                                          <w:divsChild>
                                            <w:div w:id="78296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1274785">
      <w:bodyDiv w:val="1"/>
      <w:marLeft w:val="0"/>
      <w:marRight w:val="0"/>
      <w:marTop w:val="0"/>
      <w:marBottom w:val="0"/>
      <w:divBdr>
        <w:top w:val="none" w:sz="0" w:space="0" w:color="auto"/>
        <w:left w:val="none" w:sz="0" w:space="0" w:color="auto"/>
        <w:bottom w:val="none" w:sz="0" w:space="0" w:color="auto"/>
        <w:right w:val="none" w:sz="0" w:space="0" w:color="auto"/>
      </w:divBdr>
      <w:divsChild>
        <w:div w:id="101078228">
          <w:marLeft w:val="0"/>
          <w:marRight w:val="0"/>
          <w:marTop w:val="0"/>
          <w:marBottom w:val="0"/>
          <w:divBdr>
            <w:top w:val="none" w:sz="0" w:space="0" w:color="auto"/>
            <w:left w:val="none" w:sz="0" w:space="0" w:color="auto"/>
            <w:bottom w:val="none" w:sz="0" w:space="0" w:color="auto"/>
            <w:right w:val="none" w:sz="0" w:space="0" w:color="auto"/>
          </w:divBdr>
          <w:divsChild>
            <w:div w:id="631711683">
              <w:marLeft w:val="0"/>
              <w:marRight w:val="0"/>
              <w:marTop w:val="0"/>
              <w:marBottom w:val="0"/>
              <w:divBdr>
                <w:top w:val="none" w:sz="0" w:space="0" w:color="auto"/>
                <w:left w:val="none" w:sz="0" w:space="0" w:color="auto"/>
                <w:bottom w:val="none" w:sz="0" w:space="0" w:color="auto"/>
                <w:right w:val="none" w:sz="0" w:space="0" w:color="auto"/>
              </w:divBdr>
              <w:divsChild>
                <w:div w:id="1922177804">
                  <w:marLeft w:val="0"/>
                  <w:marRight w:val="0"/>
                  <w:marTop w:val="0"/>
                  <w:marBottom w:val="0"/>
                  <w:divBdr>
                    <w:top w:val="none" w:sz="0" w:space="0" w:color="auto"/>
                    <w:left w:val="none" w:sz="0" w:space="0" w:color="auto"/>
                    <w:bottom w:val="none" w:sz="0" w:space="0" w:color="auto"/>
                    <w:right w:val="none" w:sz="0" w:space="0" w:color="auto"/>
                  </w:divBdr>
                  <w:divsChild>
                    <w:div w:id="744061953">
                      <w:marLeft w:val="0"/>
                      <w:marRight w:val="0"/>
                      <w:marTop w:val="0"/>
                      <w:marBottom w:val="0"/>
                      <w:divBdr>
                        <w:top w:val="none" w:sz="0" w:space="0" w:color="auto"/>
                        <w:left w:val="none" w:sz="0" w:space="0" w:color="auto"/>
                        <w:bottom w:val="none" w:sz="0" w:space="0" w:color="auto"/>
                        <w:right w:val="none" w:sz="0" w:space="0" w:color="auto"/>
                      </w:divBdr>
                      <w:divsChild>
                        <w:div w:id="912589468">
                          <w:marLeft w:val="0"/>
                          <w:marRight w:val="0"/>
                          <w:marTop w:val="0"/>
                          <w:marBottom w:val="0"/>
                          <w:divBdr>
                            <w:top w:val="none" w:sz="0" w:space="0" w:color="auto"/>
                            <w:left w:val="none" w:sz="0" w:space="0" w:color="auto"/>
                            <w:bottom w:val="none" w:sz="0" w:space="0" w:color="auto"/>
                            <w:right w:val="none" w:sz="0" w:space="0" w:color="auto"/>
                          </w:divBdr>
                          <w:divsChild>
                            <w:div w:id="338586279">
                              <w:marLeft w:val="0"/>
                              <w:marRight w:val="0"/>
                              <w:marTop w:val="0"/>
                              <w:marBottom w:val="0"/>
                              <w:divBdr>
                                <w:top w:val="none" w:sz="0" w:space="0" w:color="auto"/>
                                <w:left w:val="none" w:sz="0" w:space="0" w:color="auto"/>
                                <w:bottom w:val="none" w:sz="0" w:space="0" w:color="auto"/>
                                <w:right w:val="none" w:sz="0" w:space="0" w:color="auto"/>
                              </w:divBdr>
                              <w:divsChild>
                                <w:div w:id="865413847">
                                  <w:marLeft w:val="0"/>
                                  <w:marRight w:val="0"/>
                                  <w:marTop w:val="0"/>
                                  <w:marBottom w:val="0"/>
                                  <w:divBdr>
                                    <w:top w:val="none" w:sz="0" w:space="0" w:color="auto"/>
                                    <w:left w:val="none" w:sz="0" w:space="0" w:color="auto"/>
                                    <w:bottom w:val="none" w:sz="0" w:space="0" w:color="auto"/>
                                    <w:right w:val="none" w:sz="0" w:space="0" w:color="auto"/>
                                  </w:divBdr>
                                  <w:divsChild>
                                    <w:div w:id="546256714">
                                      <w:marLeft w:val="0"/>
                                      <w:marRight w:val="0"/>
                                      <w:marTop w:val="0"/>
                                      <w:marBottom w:val="0"/>
                                      <w:divBdr>
                                        <w:top w:val="none" w:sz="0" w:space="0" w:color="auto"/>
                                        <w:left w:val="none" w:sz="0" w:space="0" w:color="auto"/>
                                        <w:bottom w:val="none" w:sz="0" w:space="0" w:color="auto"/>
                                        <w:right w:val="none" w:sz="0" w:space="0" w:color="auto"/>
                                      </w:divBdr>
                                      <w:divsChild>
                                        <w:div w:id="1696082014">
                                          <w:marLeft w:val="0"/>
                                          <w:marRight w:val="0"/>
                                          <w:marTop w:val="0"/>
                                          <w:marBottom w:val="495"/>
                                          <w:divBdr>
                                            <w:top w:val="none" w:sz="0" w:space="0" w:color="auto"/>
                                            <w:left w:val="none" w:sz="0" w:space="0" w:color="auto"/>
                                            <w:bottom w:val="none" w:sz="0" w:space="0" w:color="auto"/>
                                            <w:right w:val="none" w:sz="0" w:space="0" w:color="auto"/>
                                          </w:divBdr>
                                          <w:divsChild>
                                            <w:div w:id="10835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2464853">
      <w:bodyDiv w:val="1"/>
      <w:marLeft w:val="0"/>
      <w:marRight w:val="0"/>
      <w:marTop w:val="0"/>
      <w:marBottom w:val="0"/>
      <w:divBdr>
        <w:top w:val="none" w:sz="0" w:space="0" w:color="auto"/>
        <w:left w:val="none" w:sz="0" w:space="0" w:color="auto"/>
        <w:bottom w:val="none" w:sz="0" w:space="0" w:color="auto"/>
        <w:right w:val="none" w:sz="0" w:space="0" w:color="auto"/>
      </w:divBdr>
      <w:divsChild>
        <w:div w:id="178158193">
          <w:marLeft w:val="0"/>
          <w:marRight w:val="0"/>
          <w:marTop w:val="0"/>
          <w:marBottom w:val="0"/>
          <w:divBdr>
            <w:top w:val="none" w:sz="0" w:space="0" w:color="auto"/>
            <w:left w:val="none" w:sz="0" w:space="0" w:color="auto"/>
            <w:bottom w:val="none" w:sz="0" w:space="0" w:color="auto"/>
            <w:right w:val="none" w:sz="0" w:space="0" w:color="auto"/>
          </w:divBdr>
          <w:divsChild>
            <w:div w:id="896864070">
              <w:marLeft w:val="0"/>
              <w:marRight w:val="0"/>
              <w:marTop w:val="0"/>
              <w:marBottom w:val="0"/>
              <w:divBdr>
                <w:top w:val="none" w:sz="0" w:space="0" w:color="auto"/>
                <w:left w:val="none" w:sz="0" w:space="0" w:color="auto"/>
                <w:bottom w:val="none" w:sz="0" w:space="0" w:color="auto"/>
                <w:right w:val="none" w:sz="0" w:space="0" w:color="auto"/>
              </w:divBdr>
              <w:divsChild>
                <w:div w:id="1450932741">
                  <w:marLeft w:val="0"/>
                  <w:marRight w:val="0"/>
                  <w:marTop w:val="0"/>
                  <w:marBottom w:val="0"/>
                  <w:divBdr>
                    <w:top w:val="none" w:sz="0" w:space="0" w:color="auto"/>
                    <w:left w:val="none" w:sz="0" w:space="0" w:color="auto"/>
                    <w:bottom w:val="none" w:sz="0" w:space="0" w:color="auto"/>
                    <w:right w:val="none" w:sz="0" w:space="0" w:color="auto"/>
                  </w:divBdr>
                  <w:divsChild>
                    <w:div w:id="1935434668">
                      <w:marLeft w:val="0"/>
                      <w:marRight w:val="0"/>
                      <w:marTop w:val="0"/>
                      <w:marBottom w:val="0"/>
                      <w:divBdr>
                        <w:top w:val="none" w:sz="0" w:space="0" w:color="auto"/>
                        <w:left w:val="none" w:sz="0" w:space="0" w:color="auto"/>
                        <w:bottom w:val="none" w:sz="0" w:space="0" w:color="auto"/>
                        <w:right w:val="none" w:sz="0" w:space="0" w:color="auto"/>
                      </w:divBdr>
                      <w:divsChild>
                        <w:div w:id="915868162">
                          <w:marLeft w:val="0"/>
                          <w:marRight w:val="0"/>
                          <w:marTop w:val="0"/>
                          <w:marBottom w:val="0"/>
                          <w:divBdr>
                            <w:top w:val="none" w:sz="0" w:space="0" w:color="auto"/>
                            <w:left w:val="none" w:sz="0" w:space="0" w:color="auto"/>
                            <w:bottom w:val="none" w:sz="0" w:space="0" w:color="auto"/>
                            <w:right w:val="none" w:sz="0" w:space="0" w:color="auto"/>
                          </w:divBdr>
                          <w:divsChild>
                            <w:div w:id="1018854233">
                              <w:marLeft w:val="0"/>
                              <w:marRight w:val="0"/>
                              <w:marTop w:val="0"/>
                              <w:marBottom w:val="0"/>
                              <w:divBdr>
                                <w:top w:val="none" w:sz="0" w:space="0" w:color="auto"/>
                                <w:left w:val="none" w:sz="0" w:space="0" w:color="auto"/>
                                <w:bottom w:val="none" w:sz="0" w:space="0" w:color="auto"/>
                                <w:right w:val="none" w:sz="0" w:space="0" w:color="auto"/>
                              </w:divBdr>
                              <w:divsChild>
                                <w:div w:id="1854152638">
                                  <w:marLeft w:val="0"/>
                                  <w:marRight w:val="0"/>
                                  <w:marTop w:val="0"/>
                                  <w:marBottom w:val="0"/>
                                  <w:divBdr>
                                    <w:top w:val="none" w:sz="0" w:space="0" w:color="auto"/>
                                    <w:left w:val="none" w:sz="0" w:space="0" w:color="auto"/>
                                    <w:bottom w:val="none" w:sz="0" w:space="0" w:color="auto"/>
                                    <w:right w:val="none" w:sz="0" w:space="0" w:color="auto"/>
                                  </w:divBdr>
                                  <w:divsChild>
                                    <w:div w:id="1389449551">
                                      <w:marLeft w:val="0"/>
                                      <w:marRight w:val="0"/>
                                      <w:marTop w:val="0"/>
                                      <w:marBottom w:val="0"/>
                                      <w:divBdr>
                                        <w:top w:val="none" w:sz="0" w:space="0" w:color="auto"/>
                                        <w:left w:val="none" w:sz="0" w:space="0" w:color="auto"/>
                                        <w:bottom w:val="none" w:sz="0" w:space="0" w:color="auto"/>
                                        <w:right w:val="none" w:sz="0" w:space="0" w:color="auto"/>
                                      </w:divBdr>
                                      <w:divsChild>
                                        <w:div w:id="1642609784">
                                          <w:marLeft w:val="0"/>
                                          <w:marRight w:val="0"/>
                                          <w:marTop w:val="0"/>
                                          <w:marBottom w:val="495"/>
                                          <w:divBdr>
                                            <w:top w:val="none" w:sz="0" w:space="0" w:color="auto"/>
                                            <w:left w:val="none" w:sz="0" w:space="0" w:color="auto"/>
                                            <w:bottom w:val="none" w:sz="0" w:space="0" w:color="auto"/>
                                            <w:right w:val="none" w:sz="0" w:space="0" w:color="auto"/>
                                          </w:divBdr>
                                          <w:divsChild>
                                            <w:div w:id="192499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82702652">
      <w:bodyDiv w:val="1"/>
      <w:marLeft w:val="0"/>
      <w:marRight w:val="0"/>
      <w:marTop w:val="0"/>
      <w:marBottom w:val="0"/>
      <w:divBdr>
        <w:top w:val="none" w:sz="0" w:space="0" w:color="auto"/>
        <w:left w:val="none" w:sz="0" w:space="0" w:color="auto"/>
        <w:bottom w:val="none" w:sz="0" w:space="0" w:color="auto"/>
        <w:right w:val="none" w:sz="0" w:space="0" w:color="auto"/>
      </w:divBdr>
      <w:divsChild>
        <w:div w:id="2122065118">
          <w:marLeft w:val="0"/>
          <w:marRight w:val="0"/>
          <w:marTop w:val="0"/>
          <w:marBottom w:val="0"/>
          <w:divBdr>
            <w:top w:val="none" w:sz="0" w:space="0" w:color="auto"/>
            <w:left w:val="none" w:sz="0" w:space="0" w:color="auto"/>
            <w:bottom w:val="none" w:sz="0" w:space="0" w:color="auto"/>
            <w:right w:val="none" w:sz="0" w:space="0" w:color="auto"/>
          </w:divBdr>
          <w:divsChild>
            <w:div w:id="900017432">
              <w:marLeft w:val="0"/>
              <w:marRight w:val="0"/>
              <w:marTop w:val="0"/>
              <w:marBottom w:val="0"/>
              <w:divBdr>
                <w:top w:val="none" w:sz="0" w:space="0" w:color="auto"/>
                <w:left w:val="none" w:sz="0" w:space="0" w:color="auto"/>
                <w:bottom w:val="none" w:sz="0" w:space="0" w:color="auto"/>
                <w:right w:val="none" w:sz="0" w:space="0" w:color="auto"/>
              </w:divBdr>
              <w:divsChild>
                <w:div w:id="527185451">
                  <w:marLeft w:val="0"/>
                  <w:marRight w:val="0"/>
                  <w:marTop w:val="0"/>
                  <w:marBottom w:val="0"/>
                  <w:divBdr>
                    <w:top w:val="none" w:sz="0" w:space="0" w:color="auto"/>
                    <w:left w:val="none" w:sz="0" w:space="0" w:color="auto"/>
                    <w:bottom w:val="none" w:sz="0" w:space="0" w:color="auto"/>
                    <w:right w:val="none" w:sz="0" w:space="0" w:color="auto"/>
                  </w:divBdr>
                  <w:divsChild>
                    <w:div w:id="1311669341">
                      <w:marLeft w:val="0"/>
                      <w:marRight w:val="0"/>
                      <w:marTop w:val="0"/>
                      <w:marBottom w:val="0"/>
                      <w:divBdr>
                        <w:top w:val="none" w:sz="0" w:space="0" w:color="auto"/>
                        <w:left w:val="none" w:sz="0" w:space="0" w:color="auto"/>
                        <w:bottom w:val="none" w:sz="0" w:space="0" w:color="auto"/>
                        <w:right w:val="none" w:sz="0" w:space="0" w:color="auto"/>
                      </w:divBdr>
                      <w:divsChild>
                        <w:div w:id="1223298838">
                          <w:marLeft w:val="0"/>
                          <w:marRight w:val="0"/>
                          <w:marTop w:val="0"/>
                          <w:marBottom w:val="0"/>
                          <w:divBdr>
                            <w:top w:val="none" w:sz="0" w:space="0" w:color="auto"/>
                            <w:left w:val="none" w:sz="0" w:space="0" w:color="auto"/>
                            <w:bottom w:val="none" w:sz="0" w:space="0" w:color="auto"/>
                            <w:right w:val="none" w:sz="0" w:space="0" w:color="auto"/>
                          </w:divBdr>
                          <w:divsChild>
                            <w:div w:id="554899496">
                              <w:marLeft w:val="0"/>
                              <w:marRight w:val="0"/>
                              <w:marTop w:val="0"/>
                              <w:marBottom w:val="0"/>
                              <w:divBdr>
                                <w:top w:val="none" w:sz="0" w:space="0" w:color="auto"/>
                                <w:left w:val="none" w:sz="0" w:space="0" w:color="auto"/>
                                <w:bottom w:val="none" w:sz="0" w:space="0" w:color="auto"/>
                                <w:right w:val="none" w:sz="0" w:space="0" w:color="auto"/>
                              </w:divBdr>
                              <w:divsChild>
                                <w:div w:id="2093627163">
                                  <w:marLeft w:val="0"/>
                                  <w:marRight w:val="0"/>
                                  <w:marTop w:val="0"/>
                                  <w:marBottom w:val="0"/>
                                  <w:divBdr>
                                    <w:top w:val="none" w:sz="0" w:space="0" w:color="auto"/>
                                    <w:left w:val="none" w:sz="0" w:space="0" w:color="auto"/>
                                    <w:bottom w:val="none" w:sz="0" w:space="0" w:color="auto"/>
                                    <w:right w:val="none" w:sz="0" w:space="0" w:color="auto"/>
                                  </w:divBdr>
                                  <w:divsChild>
                                    <w:div w:id="971443467">
                                      <w:marLeft w:val="0"/>
                                      <w:marRight w:val="0"/>
                                      <w:marTop w:val="0"/>
                                      <w:marBottom w:val="0"/>
                                      <w:divBdr>
                                        <w:top w:val="none" w:sz="0" w:space="0" w:color="auto"/>
                                        <w:left w:val="none" w:sz="0" w:space="0" w:color="auto"/>
                                        <w:bottom w:val="none" w:sz="0" w:space="0" w:color="auto"/>
                                        <w:right w:val="none" w:sz="0" w:space="0" w:color="auto"/>
                                      </w:divBdr>
                                      <w:divsChild>
                                        <w:div w:id="1596135590">
                                          <w:marLeft w:val="0"/>
                                          <w:marRight w:val="0"/>
                                          <w:marTop w:val="0"/>
                                          <w:marBottom w:val="495"/>
                                          <w:divBdr>
                                            <w:top w:val="none" w:sz="0" w:space="0" w:color="auto"/>
                                            <w:left w:val="none" w:sz="0" w:space="0" w:color="auto"/>
                                            <w:bottom w:val="none" w:sz="0" w:space="0" w:color="auto"/>
                                            <w:right w:val="none" w:sz="0" w:space="0" w:color="auto"/>
                                          </w:divBdr>
                                          <w:divsChild>
                                            <w:div w:id="25791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6413438">
      <w:bodyDiv w:val="1"/>
      <w:marLeft w:val="0"/>
      <w:marRight w:val="0"/>
      <w:marTop w:val="0"/>
      <w:marBottom w:val="0"/>
      <w:divBdr>
        <w:top w:val="none" w:sz="0" w:space="0" w:color="auto"/>
        <w:left w:val="none" w:sz="0" w:space="0" w:color="auto"/>
        <w:bottom w:val="none" w:sz="0" w:space="0" w:color="auto"/>
        <w:right w:val="none" w:sz="0" w:space="0" w:color="auto"/>
      </w:divBdr>
      <w:divsChild>
        <w:div w:id="2041470011">
          <w:marLeft w:val="0"/>
          <w:marRight w:val="0"/>
          <w:marTop w:val="0"/>
          <w:marBottom w:val="0"/>
          <w:divBdr>
            <w:top w:val="none" w:sz="0" w:space="0" w:color="auto"/>
            <w:left w:val="none" w:sz="0" w:space="0" w:color="auto"/>
            <w:bottom w:val="none" w:sz="0" w:space="0" w:color="auto"/>
            <w:right w:val="none" w:sz="0" w:space="0" w:color="auto"/>
          </w:divBdr>
          <w:divsChild>
            <w:div w:id="84418692">
              <w:marLeft w:val="0"/>
              <w:marRight w:val="0"/>
              <w:marTop w:val="0"/>
              <w:marBottom w:val="0"/>
              <w:divBdr>
                <w:top w:val="none" w:sz="0" w:space="0" w:color="auto"/>
                <w:left w:val="none" w:sz="0" w:space="0" w:color="auto"/>
                <w:bottom w:val="none" w:sz="0" w:space="0" w:color="auto"/>
                <w:right w:val="none" w:sz="0" w:space="0" w:color="auto"/>
              </w:divBdr>
              <w:divsChild>
                <w:div w:id="217983012">
                  <w:marLeft w:val="0"/>
                  <w:marRight w:val="0"/>
                  <w:marTop w:val="0"/>
                  <w:marBottom w:val="0"/>
                  <w:divBdr>
                    <w:top w:val="none" w:sz="0" w:space="0" w:color="auto"/>
                    <w:left w:val="none" w:sz="0" w:space="0" w:color="auto"/>
                    <w:bottom w:val="none" w:sz="0" w:space="0" w:color="auto"/>
                    <w:right w:val="none" w:sz="0" w:space="0" w:color="auto"/>
                  </w:divBdr>
                  <w:divsChild>
                    <w:div w:id="321662229">
                      <w:marLeft w:val="0"/>
                      <w:marRight w:val="0"/>
                      <w:marTop w:val="0"/>
                      <w:marBottom w:val="0"/>
                      <w:divBdr>
                        <w:top w:val="none" w:sz="0" w:space="0" w:color="auto"/>
                        <w:left w:val="none" w:sz="0" w:space="0" w:color="auto"/>
                        <w:bottom w:val="none" w:sz="0" w:space="0" w:color="auto"/>
                        <w:right w:val="none" w:sz="0" w:space="0" w:color="auto"/>
                      </w:divBdr>
                      <w:divsChild>
                        <w:div w:id="821889692">
                          <w:marLeft w:val="0"/>
                          <w:marRight w:val="0"/>
                          <w:marTop w:val="0"/>
                          <w:marBottom w:val="0"/>
                          <w:divBdr>
                            <w:top w:val="none" w:sz="0" w:space="0" w:color="auto"/>
                            <w:left w:val="none" w:sz="0" w:space="0" w:color="auto"/>
                            <w:bottom w:val="none" w:sz="0" w:space="0" w:color="auto"/>
                            <w:right w:val="none" w:sz="0" w:space="0" w:color="auto"/>
                          </w:divBdr>
                          <w:divsChild>
                            <w:div w:id="399594403">
                              <w:marLeft w:val="0"/>
                              <w:marRight w:val="0"/>
                              <w:marTop w:val="0"/>
                              <w:marBottom w:val="0"/>
                              <w:divBdr>
                                <w:top w:val="none" w:sz="0" w:space="0" w:color="auto"/>
                                <w:left w:val="none" w:sz="0" w:space="0" w:color="auto"/>
                                <w:bottom w:val="none" w:sz="0" w:space="0" w:color="auto"/>
                                <w:right w:val="none" w:sz="0" w:space="0" w:color="auto"/>
                              </w:divBdr>
                              <w:divsChild>
                                <w:div w:id="1258826625">
                                  <w:marLeft w:val="0"/>
                                  <w:marRight w:val="0"/>
                                  <w:marTop w:val="0"/>
                                  <w:marBottom w:val="0"/>
                                  <w:divBdr>
                                    <w:top w:val="none" w:sz="0" w:space="0" w:color="auto"/>
                                    <w:left w:val="none" w:sz="0" w:space="0" w:color="auto"/>
                                    <w:bottom w:val="none" w:sz="0" w:space="0" w:color="auto"/>
                                    <w:right w:val="none" w:sz="0" w:space="0" w:color="auto"/>
                                  </w:divBdr>
                                  <w:divsChild>
                                    <w:div w:id="447891123">
                                      <w:marLeft w:val="0"/>
                                      <w:marRight w:val="0"/>
                                      <w:marTop w:val="0"/>
                                      <w:marBottom w:val="0"/>
                                      <w:divBdr>
                                        <w:top w:val="none" w:sz="0" w:space="0" w:color="auto"/>
                                        <w:left w:val="none" w:sz="0" w:space="0" w:color="auto"/>
                                        <w:bottom w:val="none" w:sz="0" w:space="0" w:color="auto"/>
                                        <w:right w:val="none" w:sz="0" w:space="0" w:color="auto"/>
                                      </w:divBdr>
                                      <w:divsChild>
                                        <w:div w:id="1855076203">
                                          <w:marLeft w:val="0"/>
                                          <w:marRight w:val="0"/>
                                          <w:marTop w:val="0"/>
                                          <w:marBottom w:val="495"/>
                                          <w:divBdr>
                                            <w:top w:val="none" w:sz="0" w:space="0" w:color="auto"/>
                                            <w:left w:val="none" w:sz="0" w:space="0" w:color="auto"/>
                                            <w:bottom w:val="none" w:sz="0" w:space="0" w:color="auto"/>
                                            <w:right w:val="none" w:sz="0" w:space="0" w:color="auto"/>
                                          </w:divBdr>
                                          <w:divsChild>
                                            <w:div w:id="109047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7818827">
      <w:bodyDiv w:val="1"/>
      <w:marLeft w:val="0"/>
      <w:marRight w:val="0"/>
      <w:marTop w:val="0"/>
      <w:marBottom w:val="0"/>
      <w:divBdr>
        <w:top w:val="none" w:sz="0" w:space="0" w:color="auto"/>
        <w:left w:val="none" w:sz="0" w:space="0" w:color="auto"/>
        <w:bottom w:val="none" w:sz="0" w:space="0" w:color="auto"/>
        <w:right w:val="none" w:sz="0" w:space="0" w:color="auto"/>
      </w:divBdr>
      <w:divsChild>
        <w:div w:id="1049691879">
          <w:marLeft w:val="0"/>
          <w:marRight w:val="0"/>
          <w:marTop w:val="0"/>
          <w:marBottom w:val="0"/>
          <w:divBdr>
            <w:top w:val="none" w:sz="0" w:space="0" w:color="auto"/>
            <w:left w:val="none" w:sz="0" w:space="0" w:color="auto"/>
            <w:bottom w:val="none" w:sz="0" w:space="0" w:color="auto"/>
            <w:right w:val="none" w:sz="0" w:space="0" w:color="auto"/>
          </w:divBdr>
          <w:divsChild>
            <w:div w:id="1144929983">
              <w:marLeft w:val="0"/>
              <w:marRight w:val="0"/>
              <w:marTop w:val="0"/>
              <w:marBottom w:val="0"/>
              <w:divBdr>
                <w:top w:val="none" w:sz="0" w:space="0" w:color="auto"/>
                <w:left w:val="none" w:sz="0" w:space="0" w:color="auto"/>
                <w:bottom w:val="none" w:sz="0" w:space="0" w:color="auto"/>
                <w:right w:val="none" w:sz="0" w:space="0" w:color="auto"/>
              </w:divBdr>
              <w:divsChild>
                <w:div w:id="1332490785">
                  <w:marLeft w:val="0"/>
                  <w:marRight w:val="0"/>
                  <w:marTop w:val="0"/>
                  <w:marBottom w:val="0"/>
                  <w:divBdr>
                    <w:top w:val="none" w:sz="0" w:space="0" w:color="auto"/>
                    <w:left w:val="none" w:sz="0" w:space="0" w:color="auto"/>
                    <w:bottom w:val="none" w:sz="0" w:space="0" w:color="auto"/>
                    <w:right w:val="none" w:sz="0" w:space="0" w:color="auto"/>
                  </w:divBdr>
                  <w:divsChild>
                    <w:div w:id="2064909111">
                      <w:marLeft w:val="0"/>
                      <w:marRight w:val="0"/>
                      <w:marTop w:val="0"/>
                      <w:marBottom w:val="0"/>
                      <w:divBdr>
                        <w:top w:val="none" w:sz="0" w:space="0" w:color="auto"/>
                        <w:left w:val="none" w:sz="0" w:space="0" w:color="auto"/>
                        <w:bottom w:val="none" w:sz="0" w:space="0" w:color="auto"/>
                        <w:right w:val="none" w:sz="0" w:space="0" w:color="auto"/>
                      </w:divBdr>
                      <w:divsChild>
                        <w:div w:id="537161412">
                          <w:marLeft w:val="0"/>
                          <w:marRight w:val="0"/>
                          <w:marTop w:val="0"/>
                          <w:marBottom w:val="0"/>
                          <w:divBdr>
                            <w:top w:val="none" w:sz="0" w:space="0" w:color="auto"/>
                            <w:left w:val="none" w:sz="0" w:space="0" w:color="auto"/>
                            <w:bottom w:val="none" w:sz="0" w:space="0" w:color="auto"/>
                            <w:right w:val="none" w:sz="0" w:space="0" w:color="auto"/>
                          </w:divBdr>
                          <w:divsChild>
                            <w:div w:id="72894630">
                              <w:marLeft w:val="0"/>
                              <w:marRight w:val="0"/>
                              <w:marTop w:val="0"/>
                              <w:marBottom w:val="0"/>
                              <w:divBdr>
                                <w:top w:val="none" w:sz="0" w:space="0" w:color="auto"/>
                                <w:left w:val="none" w:sz="0" w:space="0" w:color="auto"/>
                                <w:bottom w:val="none" w:sz="0" w:space="0" w:color="auto"/>
                                <w:right w:val="none" w:sz="0" w:space="0" w:color="auto"/>
                              </w:divBdr>
                              <w:divsChild>
                                <w:div w:id="1457026109">
                                  <w:marLeft w:val="0"/>
                                  <w:marRight w:val="0"/>
                                  <w:marTop w:val="0"/>
                                  <w:marBottom w:val="0"/>
                                  <w:divBdr>
                                    <w:top w:val="none" w:sz="0" w:space="0" w:color="auto"/>
                                    <w:left w:val="none" w:sz="0" w:space="0" w:color="auto"/>
                                    <w:bottom w:val="none" w:sz="0" w:space="0" w:color="auto"/>
                                    <w:right w:val="none" w:sz="0" w:space="0" w:color="auto"/>
                                  </w:divBdr>
                                  <w:divsChild>
                                    <w:div w:id="684555578">
                                      <w:marLeft w:val="0"/>
                                      <w:marRight w:val="0"/>
                                      <w:marTop w:val="0"/>
                                      <w:marBottom w:val="0"/>
                                      <w:divBdr>
                                        <w:top w:val="none" w:sz="0" w:space="0" w:color="auto"/>
                                        <w:left w:val="none" w:sz="0" w:space="0" w:color="auto"/>
                                        <w:bottom w:val="none" w:sz="0" w:space="0" w:color="auto"/>
                                        <w:right w:val="none" w:sz="0" w:space="0" w:color="auto"/>
                                      </w:divBdr>
                                      <w:divsChild>
                                        <w:div w:id="676269538">
                                          <w:marLeft w:val="0"/>
                                          <w:marRight w:val="0"/>
                                          <w:marTop w:val="0"/>
                                          <w:marBottom w:val="495"/>
                                          <w:divBdr>
                                            <w:top w:val="none" w:sz="0" w:space="0" w:color="auto"/>
                                            <w:left w:val="none" w:sz="0" w:space="0" w:color="auto"/>
                                            <w:bottom w:val="none" w:sz="0" w:space="0" w:color="auto"/>
                                            <w:right w:val="none" w:sz="0" w:space="0" w:color="auto"/>
                                          </w:divBdr>
                                          <w:divsChild>
                                            <w:div w:id="93127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9326561">
      <w:bodyDiv w:val="1"/>
      <w:marLeft w:val="0"/>
      <w:marRight w:val="0"/>
      <w:marTop w:val="0"/>
      <w:marBottom w:val="0"/>
      <w:divBdr>
        <w:top w:val="none" w:sz="0" w:space="0" w:color="auto"/>
        <w:left w:val="none" w:sz="0" w:space="0" w:color="auto"/>
        <w:bottom w:val="none" w:sz="0" w:space="0" w:color="auto"/>
        <w:right w:val="none" w:sz="0" w:space="0" w:color="auto"/>
      </w:divBdr>
      <w:divsChild>
        <w:div w:id="2033844413">
          <w:marLeft w:val="0"/>
          <w:marRight w:val="0"/>
          <w:marTop w:val="0"/>
          <w:marBottom w:val="0"/>
          <w:divBdr>
            <w:top w:val="none" w:sz="0" w:space="0" w:color="auto"/>
            <w:left w:val="none" w:sz="0" w:space="0" w:color="auto"/>
            <w:bottom w:val="none" w:sz="0" w:space="0" w:color="auto"/>
            <w:right w:val="none" w:sz="0" w:space="0" w:color="auto"/>
          </w:divBdr>
          <w:divsChild>
            <w:div w:id="1214848222">
              <w:marLeft w:val="0"/>
              <w:marRight w:val="0"/>
              <w:marTop w:val="0"/>
              <w:marBottom w:val="0"/>
              <w:divBdr>
                <w:top w:val="none" w:sz="0" w:space="0" w:color="auto"/>
                <w:left w:val="none" w:sz="0" w:space="0" w:color="auto"/>
                <w:bottom w:val="none" w:sz="0" w:space="0" w:color="auto"/>
                <w:right w:val="none" w:sz="0" w:space="0" w:color="auto"/>
              </w:divBdr>
              <w:divsChild>
                <w:div w:id="1722484241">
                  <w:marLeft w:val="0"/>
                  <w:marRight w:val="0"/>
                  <w:marTop w:val="0"/>
                  <w:marBottom w:val="0"/>
                  <w:divBdr>
                    <w:top w:val="none" w:sz="0" w:space="0" w:color="auto"/>
                    <w:left w:val="none" w:sz="0" w:space="0" w:color="auto"/>
                    <w:bottom w:val="none" w:sz="0" w:space="0" w:color="auto"/>
                    <w:right w:val="none" w:sz="0" w:space="0" w:color="auto"/>
                  </w:divBdr>
                  <w:divsChild>
                    <w:div w:id="1996838834">
                      <w:marLeft w:val="0"/>
                      <w:marRight w:val="0"/>
                      <w:marTop w:val="0"/>
                      <w:marBottom w:val="0"/>
                      <w:divBdr>
                        <w:top w:val="none" w:sz="0" w:space="0" w:color="auto"/>
                        <w:left w:val="none" w:sz="0" w:space="0" w:color="auto"/>
                        <w:bottom w:val="none" w:sz="0" w:space="0" w:color="auto"/>
                        <w:right w:val="none" w:sz="0" w:space="0" w:color="auto"/>
                      </w:divBdr>
                      <w:divsChild>
                        <w:div w:id="183178618">
                          <w:marLeft w:val="0"/>
                          <w:marRight w:val="0"/>
                          <w:marTop w:val="0"/>
                          <w:marBottom w:val="0"/>
                          <w:divBdr>
                            <w:top w:val="none" w:sz="0" w:space="0" w:color="auto"/>
                            <w:left w:val="none" w:sz="0" w:space="0" w:color="auto"/>
                            <w:bottom w:val="none" w:sz="0" w:space="0" w:color="auto"/>
                            <w:right w:val="none" w:sz="0" w:space="0" w:color="auto"/>
                          </w:divBdr>
                          <w:divsChild>
                            <w:div w:id="1748646186">
                              <w:marLeft w:val="0"/>
                              <w:marRight w:val="0"/>
                              <w:marTop w:val="0"/>
                              <w:marBottom w:val="0"/>
                              <w:divBdr>
                                <w:top w:val="none" w:sz="0" w:space="0" w:color="auto"/>
                                <w:left w:val="none" w:sz="0" w:space="0" w:color="auto"/>
                                <w:bottom w:val="none" w:sz="0" w:space="0" w:color="auto"/>
                                <w:right w:val="none" w:sz="0" w:space="0" w:color="auto"/>
                              </w:divBdr>
                              <w:divsChild>
                                <w:div w:id="1921787819">
                                  <w:marLeft w:val="0"/>
                                  <w:marRight w:val="0"/>
                                  <w:marTop w:val="0"/>
                                  <w:marBottom w:val="0"/>
                                  <w:divBdr>
                                    <w:top w:val="none" w:sz="0" w:space="0" w:color="auto"/>
                                    <w:left w:val="none" w:sz="0" w:space="0" w:color="auto"/>
                                    <w:bottom w:val="none" w:sz="0" w:space="0" w:color="auto"/>
                                    <w:right w:val="none" w:sz="0" w:space="0" w:color="auto"/>
                                  </w:divBdr>
                                  <w:divsChild>
                                    <w:div w:id="2028363238">
                                      <w:marLeft w:val="0"/>
                                      <w:marRight w:val="0"/>
                                      <w:marTop w:val="0"/>
                                      <w:marBottom w:val="0"/>
                                      <w:divBdr>
                                        <w:top w:val="none" w:sz="0" w:space="0" w:color="auto"/>
                                        <w:left w:val="none" w:sz="0" w:space="0" w:color="auto"/>
                                        <w:bottom w:val="none" w:sz="0" w:space="0" w:color="auto"/>
                                        <w:right w:val="none" w:sz="0" w:space="0" w:color="auto"/>
                                      </w:divBdr>
                                      <w:divsChild>
                                        <w:div w:id="1288511260">
                                          <w:marLeft w:val="0"/>
                                          <w:marRight w:val="0"/>
                                          <w:marTop w:val="0"/>
                                          <w:marBottom w:val="495"/>
                                          <w:divBdr>
                                            <w:top w:val="none" w:sz="0" w:space="0" w:color="auto"/>
                                            <w:left w:val="none" w:sz="0" w:space="0" w:color="auto"/>
                                            <w:bottom w:val="none" w:sz="0" w:space="0" w:color="auto"/>
                                            <w:right w:val="none" w:sz="0" w:space="0" w:color="auto"/>
                                          </w:divBdr>
                                          <w:divsChild>
                                            <w:div w:id="176136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0514745">
      <w:bodyDiv w:val="1"/>
      <w:marLeft w:val="0"/>
      <w:marRight w:val="0"/>
      <w:marTop w:val="0"/>
      <w:marBottom w:val="0"/>
      <w:divBdr>
        <w:top w:val="none" w:sz="0" w:space="0" w:color="auto"/>
        <w:left w:val="none" w:sz="0" w:space="0" w:color="auto"/>
        <w:bottom w:val="none" w:sz="0" w:space="0" w:color="auto"/>
        <w:right w:val="none" w:sz="0" w:space="0" w:color="auto"/>
      </w:divBdr>
      <w:divsChild>
        <w:div w:id="1189028779">
          <w:marLeft w:val="0"/>
          <w:marRight w:val="0"/>
          <w:marTop w:val="0"/>
          <w:marBottom w:val="0"/>
          <w:divBdr>
            <w:top w:val="none" w:sz="0" w:space="0" w:color="auto"/>
            <w:left w:val="none" w:sz="0" w:space="0" w:color="auto"/>
            <w:bottom w:val="none" w:sz="0" w:space="0" w:color="auto"/>
            <w:right w:val="none" w:sz="0" w:space="0" w:color="auto"/>
          </w:divBdr>
          <w:divsChild>
            <w:div w:id="385877828">
              <w:marLeft w:val="0"/>
              <w:marRight w:val="0"/>
              <w:marTop w:val="0"/>
              <w:marBottom w:val="0"/>
              <w:divBdr>
                <w:top w:val="none" w:sz="0" w:space="0" w:color="auto"/>
                <w:left w:val="none" w:sz="0" w:space="0" w:color="auto"/>
                <w:bottom w:val="none" w:sz="0" w:space="0" w:color="auto"/>
                <w:right w:val="none" w:sz="0" w:space="0" w:color="auto"/>
              </w:divBdr>
              <w:divsChild>
                <w:div w:id="1930429671">
                  <w:marLeft w:val="0"/>
                  <w:marRight w:val="0"/>
                  <w:marTop w:val="0"/>
                  <w:marBottom w:val="0"/>
                  <w:divBdr>
                    <w:top w:val="none" w:sz="0" w:space="0" w:color="auto"/>
                    <w:left w:val="none" w:sz="0" w:space="0" w:color="auto"/>
                    <w:bottom w:val="none" w:sz="0" w:space="0" w:color="auto"/>
                    <w:right w:val="none" w:sz="0" w:space="0" w:color="auto"/>
                  </w:divBdr>
                  <w:divsChild>
                    <w:div w:id="1739522962">
                      <w:marLeft w:val="0"/>
                      <w:marRight w:val="0"/>
                      <w:marTop w:val="0"/>
                      <w:marBottom w:val="0"/>
                      <w:divBdr>
                        <w:top w:val="none" w:sz="0" w:space="0" w:color="auto"/>
                        <w:left w:val="none" w:sz="0" w:space="0" w:color="auto"/>
                        <w:bottom w:val="none" w:sz="0" w:space="0" w:color="auto"/>
                        <w:right w:val="none" w:sz="0" w:space="0" w:color="auto"/>
                      </w:divBdr>
                      <w:divsChild>
                        <w:div w:id="924387578">
                          <w:marLeft w:val="0"/>
                          <w:marRight w:val="0"/>
                          <w:marTop w:val="0"/>
                          <w:marBottom w:val="0"/>
                          <w:divBdr>
                            <w:top w:val="none" w:sz="0" w:space="0" w:color="auto"/>
                            <w:left w:val="none" w:sz="0" w:space="0" w:color="auto"/>
                            <w:bottom w:val="none" w:sz="0" w:space="0" w:color="auto"/>
                            <w:right w:val="none" w:sz="0" w:space="0" w:color="auto"/>
                          </w:divBdr>
                          <w:divsChild>
                            <w:div w:id="1083530158">
                              <w:marLeft w:val="0"/>
                              <w:marRight w:val="0"/>
                              <w:marTop w:val="0"/>
                              <w:marBottom w:val="0"/>
                              <w:divBdr>
                                <w:top w:val="none" w:sz="0" w:space="0" w:color="auto"/>
                                <w:left w:val="none" w:sz="0" w:space="0" w:color="auto"/>
                                <w:bottom w:val="none" w:sz="0" w:space="0" w:color="auto"/>
                                <w:right w:val="none" w:sz="0" w:space="0" w:color="auto"/>
                              </w:divBdr>
                              <w:divsChild>
                                <w:div w:id="211308995">
                                  <w:marLeft w:val="0"/>
                                  <w:marRight w:val="0"/>
                                  <w:marTop w:val="0"/>
                                  <w:marBottom w:val="0"/>
                                  <w:divBdr>
                                    <w:top w:val="none" w:sz="0" w:space="0" w:color="auto"/>
                                    <w:left w:val="none" w:sz="0" w:space="0" w:color="auto"/>
                                    <w:bottom w:val="none" w:sz="0" w:space="0" w:color="auto"/>
                                    <w:right w:val="none" w:sz="0" w:space="0" w:color="auto"/>
                                  </w:divBdr>
                                  <w:divsChild>
                                    <w:div w:id="1116675114">
                                      <w:marLeft w:val="0"/>
                                      <w:marRight w:val="0"/>
                                      <w:marTop w:val="0"/>
                                      <w:marBottom w:val="0"/>
                                      <w:divBdr>
                                        <w:top w:val="none" w:sz="0" w:space="0" w:color="auto"/>
                                        <w:left w:val="none" w:sz="0" w:space="0" w:color="auto"/>
                                        <w:bottom w:val="none" w:sz="0" w:space="0" w:color="auto"/>
                                        <w:right w:val="none" w:sz="0" w:space="0" w:color="auto"/>
                                      </w:divBdr>
                                      <w:divsChild>
                                        <w:div w:id="734082407">
                                          <w:marLeft w:val="0"/>
                                          <w:marRight w:val="0"/>
                                          <w:marTop w:val="0"/>
                                          <w:marBottom w:val="495"/>
                                          <w:divBdr>
                                            <w:top w:val="none" w:sz="0" w:space="0" w:color="auto"/>
                                            <w:left w:val="none" w:sz="0" w:space="0" w:color="auto"/>
                                            <w:bottom w:val="none" w:sz="0" w:space="0" w:color="auto"/>
                                            <w:right w:val="none" w:sz="0" w:space="0" w:color="auto"/>
                                          </w:divBdr>
                                          <w:divsChild>
                                            <w:div w:id="147456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358911">
      <w:bodyDiv w:val="1"/>
      <w:marLeft w:val="0"/>
      <w:marRight w:val="0"/>
      <w:marTop w:val="0"/>
      <w:marBottom w:val="0"/>
      <w:divBdr>
        <w:top w:val="none" w:sz="0" w:space="0" w:color="auto"/>
        <w:left w:val="none" w:sz="0" w:space="0" w:color="auto"/>
        <w:bottom w:val="none" w:sz="0" w:space="0" w:color="auto"/>
        <w:right w:val="none" w:sz="0" w:space="0" w:color="auto"/>
      </w:divBdr>
      <w:divsChild>
        <w:div w:id="1524703571">
          <w:marLeft w:val="0"/>
          <w:marRight w:val="0"/>
          <w:marTop w:val="0"/>
          <w:marBottom w:val="0"/>
          <w:divBdr>
            <w:top w:val="none" w:sz="0" w:space="0" w:color="auto"/>
            <w:left w:val="none" w:sz="0" w:space="0" w:color="auto"/>
            <w:bottom w:val="none" w:sz="0" w:space="0" w:color="auto"/>
            <w:right w:val="none" w:sz="0" w:space="0" w:color="auto"/>
          </w:divBdr>
          <w:divsChild>
            <w:div w:id="1154640369">
              <w:marLeft w:val="0"/>
              <w:marRight w:val="0"/>
              <w:marTop w:val="0"/>
              <w:marBottom w:val="0"/>
              <w:divBdr>
                <w:top w:val="none" w:sz="0" w:space="0" w:color="auto"/>
                <w:left w:val="none" w:sz="0" w:space="0" w:color="auto"/>
                <w:bottom w:val="none" w:sz="0" w:space="0" w:color="auto"/>
                <w:right w:val="none" w:sz="0" w:space="0" w:color="auto"/>
              </w:divBdr>
              <w:divsChild>
                <w:div w:id="1730496122">
                  <w:marLeft w:val="0"/>
                  <w:marRight w:val="0"/>
                  <w:marTop w:val="0"/>
                  <w:marBottom w:val="0"/>
                  <w:divBdr>
                    <w:top w:val="none" w:sz="0" w:space="0" w:color="auto"/>
                    <w:left w:val="none" w:sz="0" w:space="0" w:color="auto"/>
                    <w:bottom w:val="none" w:sz="0" w:space="0" w:color="auto"/>
                    <w:right w:val="none" w:sz="0" w:space="0" w:color="auto"/>
                  </w:divBdr>
                  <w:divsChild>
                    <w:div w:id="1002122115">
                      <w:marLeft w:val="0"/>
                      <w:marRight w:val="0"/>
                      <w:marTop w:val="0"/>
                      <w:marBottom w:val="0"/>
                      <w:divBdr>
                        <w:top w:val="none" w:sz="0" w:space="0" w:color="auto"/>
                        <w:left w:val="none" w:sz="0" w:space="0" w:color="auto"/>
                        <w:bottom w:val="none" w:sz="0" w:space="0" w:color="auto"/>
                        <w:right w:val="none" w:sz="0" w:space="0" w:color="auto"/>
                      </w:divBdr>
                      <w:divsChild>
                        <w:div w:id="1613316062">
                          <w:marLeft w:val="0"/>
                          <w:marRight w:val="0"/>
                          <w:marTop w:val="0"/>
                          <w:marBottom w:val="0"/>
                          <w:divBdr>
                            <w:top w:val="none" w:sz="0" w:space="0" w:color="auto"/>
                            <w:left w:val="none" w:sz="0" w:space="0" w:color="auto"/>
                            <w:bottom w:val="none" w:sz="0" w:space="0" w:color="auto"/>
                            <w:right w:val="none" w:sz="0" w:space="0" w:color="auto"/>
                          </w:divBdr>
                          <w:divsChild>
                            <w:div w:id="1798334187">
                              <w:marLeft w:val="0"/>
                              <w:marRight w:val="0"/>
                              <w:marTop w:val="0"/>
                              <w:marBottom w:val="0"/>
                              <w:divBdr>
                                <w:top w:val="none" w:sz="0" w:space="0" w:color="auto"/>
                                <w:left w:val="none" w:sz="0" w:space="0" w:color="auto"/>
                                <w:bottom w:val="none" w:sz="0" w:space="0" w:color="auto"/>
                                <w:right w:val="none" w:sz="0" w:space="0" w:color="auto"/>
                              </w:divBdr>
                              <w:divsChild>
                                <w:div w:id="1330216077">
                                  <w:marLeft w:val="0"/>
                                  <w:marRight w:val="0"/>
                                  <w:marTop w:val="0"/>
                                  <w:marBottom w:val="0"/>
                                  <w:divBdr>
                                    <w:top w:val="none" w:sz="0" w:space="0" w:color="auto"/>
                                    <w:left w:val="none" w:sz="0" w:space="0" w:color="auto"/>
                                    <w:bottom w:val="none" w:sz="0" w:space="0" w:color="auto"/>
                                    <w:right w:val="none" w:sz="0" w:space="0" w:color="auto"/>
                                  </w:divBdr>
                                  <w:divsChild>
                                    <w:div w:id="1319118342">
                                      <w:marLeft w:val="0"/>
                                      <w:marRight w:val="0"/>
                                      <w:marTop w:val="0"/>
                                      <w:marBottom w:val="0"/>
                                      <w:divBdr>
                                        <w:top w:val="none" w:sz="0" w:space="0" w:color="auto"/>
                                        <w:left w:val="none" w:sz="0" w:space="0" w:color="auto"/>
                                        <w:bottom w:val="none" w:sz="0" w:space="0" w:color="auto"/>
                                        <w:right w:val="none" w:sz="0" w:space="0" w:color="auto"/>
                                      </w:divBdr>
                                      <w:divsChild>
                                        <w:div w:id="1804809405">
                                          <w:marLeft w:val="0"/>
                                          <w:marRight w:val="0"/>
                                          <w:marTop w:val="0"/>
                                          <w:marBottom w:val="495"/>
                                          <w:divBdr>
                                            <w:top w:val="none" w:sz="0" w:space="0" w:color="auto"/>
                                            <w:left w:val="none" w:sz="0" w:space="0" w:color="auto"/>
                                            <w:bottom w:val="none" w:sz="0" w:space="0" w:color="auto"/>
                                            <w:right w:val="none" w:sz="0" w:space="0" w:color="auto"/>
                                          </w:divBdr>
                                          <w:divsChild>
                                            <w:div w:id="77104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8660503">
      <w:bodyDiv w:val="1"/>
      <w:marLeft w:val="0"/>
      <w:marRight w:val="0"/>
      <w:marTop w:val="0"/>
      <w:marBottom w:val="0"/>
      <w:divBdr>
        <w:top w:val="none" w:sz="0" w:space="0" w:color="auto"/>
        <w:left w:val="none" w:sz="0" w:space="0" w:color="auto"/>
        <w:bottom w:val="none" w:sz="0" w:space="0" w:color="auto"/>
        <w:right w:val="none" w:sz="0" w:space="0" w:color="auto"/>
      </w:divBdr>
      <w:divsChild>
        <w:div w:id="877353776">
          <w:marLeft w:val="0"/>
          <w:marRight w:val="0"/>
          <w:marTop w:val="0"/>
          <w:marBottom w:val="0"/>
          <w:divBdr>
            <w:top w:val="none" w:sz="0" w:space="0" w:color="auto"/>
            <w:left w:val="none" w:sz="0" w:space="0" w:color="auto"/>
            <w:bottom w:val="none" w:sz="0" w:space="0" w:color="auto"/>
            <w:right w:val="none" w:sz="0" w:space="0" w:color="auto"/>
          </w:divBdr>
          <w:divsChild>
            <w:div w:id="552273144">
              <w:marLeft w:val="0"/>
              <w:marRight w:val="0"/>
              <w:marTop w:val="0"/>
              <w:marBottom w:val="0"/>
              <w:divBdr>
                <w:top w:val="none" w:sz="0" w:space="0" w:color="auto"/>
                <w:left w:val="none" w:sz="0" w:space="0" w:color="auto"/>
                <w:bottom w:val="none" w:sz="0" w:space="0" w:color="auto"/>
                <w:right w:val="none" w:sz="0" w:space="0" w:color="auto"/>
              </w:divBdr>
              <w:divsChild>
                <w:div w:id="2120444799">
                  <w:marLeft w:val="0"/>
                  <w:marRight w:val="0"/>
                  <w:marTop w:val="0"/>
                  <w:marBottom w:val="0"/>
                  <w:divBdr>
                    <w:top w:val="none" w:sz="0" w:space="0" w:color="auto"/>
                    <w:left w:val="none" w:sz="0" w:space="0" w:color="auto"/>
                    <w:bottom w:val="none" w:sz="0" w:space="0" w:color="auto"/>
                    <w:right w:val="none" w:sz="0" w:space="0" w:color="auto"/>
                  </w:divBdr>
                  <w:divsChild>
                    <w:div w:id="1607691311">
                      <w:marLeft w:val="0"/>
                      <w:marRight w:val="0"/>
                      <w:marTop w:val="0"/>
                      <w:marBottom w:val="0"/>
                      <w:divBdr>
                        <w:top w:val="none" w:sz="0" w:space="0" w:color="auto"/>
                        <w:left w:val="none" w:sz="0" w:space="0" w:color="auto"/>
                        <w:bottom w:val="none" w:sz="0" w:space="0" w:color="auto"/>
                        <w:right w:val="none" w:sz="0" w:space="0" w:color="auto"/>
                      </w:divBdr>
                      <w:divsChild>
                        <w:div w:id="942418446">
                          <w:marLeft w:val="0"/>
                          <w:marRight w:val="0"/>
                          <w:marTop w:val="0"/>
                          <w:marBottom w:val="0"/>
                          <w:divBdr>
                            <w:top w:val="none" w:sz="0" w:space="0" w:color="auto"/>
                            <w:left w:val="none" w:sz="0" w:space="0" w:color="auto"/>
                            <w:bottom w:val="none" w:sz="0" w:space="0" w:color="auto"/>
                            <w:right w:val="none" w:sz="0" w:space="0" w:color="auto"/>
                          </w:divBdr>
                          <w:divsChild>
                            <w:div w:id="486557586">
                              <w:marLeft w:val="0"/>
                              <w:marRight w:val="0"/>
                              <w:marTop w:val="0"/>
                              <w:marBottom w:val="0"/>
                              <w:divBdr>
                                <w:top w:val="none" w:sz="0" w:space="0" w:color="auto"/>
                                <w:left w:val="none" w:sz="0" w:space="0" w:color="auto"/>
                                <w:bottom w:val="none" w:sz="0" w:space="0" w:color="auto"/>
                                <w:right w:val="none" w:sz="0" w:space="0" w:color="auto"/>
                              </w:divBdr>
                              <w:divsChild>
                                <w:div w:id="612903152">
                                  <w:marLeft w:val="0"/>
                                  <w:marRight w:val="0"/>
                                  <w:marTop w:val="0"/>
                                  <w:marBottom w:val="0"/>
                                  <w:divBdr>
                                    <w:top w:val="none" w:sz="0" w:space="0" w:color="auto"/>
                                    <w:left w:val="none" w:sz="0" w:space="0" w:color="auto"/>
                                    <w:bottom w:val="none" w:sz="0" w:space="0" w:color="auto"/>
                                    <w:right w:val="none" w:sz="0" w:space="0" w:color="auto"/>
                                  </w:divBdr>
                                  <w:divsChild>
                                    <w:div w:id="475998992">
                                      <w:marLeft w:val="0"/>
                                      <w:marRight w:val="0"/>
                                      <w:marTop w:val="0"/>
                                      <w:marBottom w:val="0"/>
                                      <w:divBdr>
                                        <w:top w:val="none" w:sz="0" w:space="0" w:color="auto"/>
                                        <w:left w:val="none" w:sz="0" w:space="0" w:color="auto"/>
                                        <w:bottom w:val="none" w:sz="0" w:space="0" w:color="auto"/>
                                        <w:right w:val="none" w:sz="0" w:space="0" w:color="auto"/>
                                      </w:divBdr>
                                      <w:divsChild>
                                        <w:div w:id="1294021993">
                                          <w:marLeft w:val="0"/>
                                          <w:marRight w:val="0"/>
                                          <w:marTop w:val="0"/>
                                          <w:marBottom w:val="495"/>
                                          <w:divBdr>
                                            <w:top w:val="none" w:sz="0" w:space="0" w:color="auto"/>
                                            <w:left w:val="none" w:sz="0" w:space="0" w:color="auto"/>
                                            <w:bottom w:val="none" w:sz="0" w:space="0" w:color="auto"/>
                                            <w:right w:val="none" w:sz="0" w:space="0" w:color="auto"/>
                                          </w:divBdr>
                                          <w:divsChild>
                                            <w:div w:id="9988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4053549">
      <w:bodyDiv w:val="1"/>
      <w:marLeft w:val="0"/>
      <w:marRight w:val="0"/>
      <w:marTop w:val="0"/>
      <w:marBottom w:val="0"/>
      <w:divBdr>
        <w:top w:val="none" w:sz="0" w:space="0" w:color="auto"/>
        <w:left w:val="none" w:sz="0" w:space="0" w:color="auto"/>
        <w:bottom w:val="none" w:sz="0" w:space="0" w:color="auto"/>
        <w:right w:val="none" w:sz="0" w:space="0" w:color="auto"/>
      </w:divBdr>
      <w:divsChild>
        <w:div w:id="1607300521">
          <w:marLeft w:val="0"/>
          <w:marRight w:val="0"/>
          <w:marTop w:val="0"/>
          <w:marBottom w:val="0"/>
          <w:divBdr>
            <w:top w:val="none" w:sz="0" w:space="0" w:color="auto"/>
            <w:left w:val="none" w:sz="0" w:space="0" w:color="auto"/>
            <w:bottom w:val="none" w:sz="0" w:space="0" w:color="auto"/>
            <w:right w:val="none" w:sz="0" w:space="0" w:color="auto"/>
          </w:divBdr>
          <w:divsChild>
            <w:div w:id="1797984039">
              <w:marLeft w:val="0"/>
              <w:marRight w:val="0"/>
              <w:marTop w:val="0"/>
              <w:marBottom w:val="0"/>
              <w:divBdr>
                <w:top w:val="none" w:sz="0" w:space="0" w:color="auto"/>
                <w:left w:val="none" w:sz="0" w:space="0" w:color="auto"/>
                <w:bottom w:val="none" w:sz="0" w:space="0" w:color="auto"/>
                <w:right w:val="none" w:sz="0" w:space="0" w:color="auto"/>
              </w:divBdr>
              <w:divsChild>
                <w:div w:id="1658458780">
                  <w:marLeft w:val="0"/>
                  <w:marRight w:val="0"/>
                  <w:marTop w:val="0"/>
                  <w:marBottom w:val="0"/>
                  <w:divBdr>
                    <w:top w:val="none" w:sz="0" w:space="0" w:color="auto"/>
                    <w:left w:val="none" w:sz="0" w:space="0" w:color="auto"/>
                    <w:bottom w:val="none" w:sz="0" w:space="0" w:color="auto"/>
                    <w:right w:val="none" w:sz="0" w:space="0" w:color="auto"/>
                  </w:divBdr>
                  <w:divsChild>
                    <w:div w:id="1057050061">
                      <w:marLeft w:val="0"/>
                      <w:marRight w:val="0"/>
                      <w:marTop w:val="0"/>
                      <w:marBottom w:val="0"/>
                      <w:divBdr>
                        <w:top w:val="none" w:sz="0" w:space="0" w:color="auto"/>
                        <w:left w:val="none" w:sz="0" w:space="0" w:color="auto"/>
                        <w:bottom w:val="none" w:sz="0" w:space="0" w:color="auto"/>
                        <w:right w:val="none" w:sz="0" w:space="0" w:color="auto"/>
                      </w:divBdr>
                      <w:divsChild>
                        <w:div w:id="330570412">
                          <w:marLeft w:val="0"/>
                          <w:marRight w:val="0"/>
                          <w:marTop w:val="0"/>
                          <w:marBottom w:val="0"/>
                          <w:divBdr>
                            <w:top w:val="none" w:sz="0" w:space="0" w:color="auto"/>
                            <w:left w:val="none" w:sz="0" w:space="0" w:color="auto"/>
                            <w:bottom w:val="none" w:sz="0" w:space="0" w:color="auto"/>
                            <w:right w:val="none" w:sz="0" w:space="0" w:color="auto"/>
                          </w:divBdr>
                          <w:divsChild>
                            <w:div w:id="678117948">
                              <w:marLeft w:val="0"/>
                              <w:marRight w:val="0"/>
                              <w:marTop w:val="0"/>
                              <w:marBottom w:val="0"/>
                              <w:divBdr>
                                <w:top w:val="none" w:sz="0" w:space="0" w:color="auto"/>
                                <w:left w:val="none" w:sz="0" w:space="0" w:color="auto"/>
                                <w:bottom w:val="none" w:sz="0" w:space="0" w:color="auto"/>
                                <w:right w:val="none" w:sz="0" w:space="0" w:color="auto"/>
                              </w:divBdr>
                              <w:divsChild>
                                <w:div w:id="442768370">
                                  <w:marLeft w:val="0"/>
                                  <w:marRight w:val="0"/>
                                  <w:marTop w:val="0"/>
                                  <w:marBottom w:val="0"/>
                                  <w:divBdr>
                                    <w:top w:val="none" w:sz="0" w:space="0" w:color="auto"/>
                                    <w:left w:val="none" w:sz="0" w:space="0" w:color="auto"/>
                                    <w:bottom w:val="none" w:sz="0" w:space="0" w:color="auto"/>
                                    <w:right w:val="none" w:sz="0" w:space="0" w:color="auto"/>
                                  </w:divBdr>
                                  <w:divsChild>
                                    <w:div w:id="1059405839">
                                      <w:marLeft w:val="0"/>
                                      <w:marRight w:val="0"/>
                                      <w:marTop w:val="0"/>
                                      <w:marBottom w:val="0"/>
                                      <w:divBdr>
                                        <w:top w:val="none" w:sz="0" w:space="0" w:color="auto"/>
                                        <w:left w:val="none" w:sz="0" w:space="0" w:color="auto"/>
                                        <w:bottom w:val="none" w:sz="0" w:space="0" w:color="auto"/>
                                        <w:right w:val="none" w:sz="0" w:space="0" w:color="auto"/>
                                      </w:divBdr>
                                      <w:divsChild>
                                        <w:div w:id="1561133308">
                                          <w:marLeft w:val="0"/>
                                          <w:marRight w:val="0"/>
                                          <w:marTop w:val="0"/>
                                          <w:marBottom w:val="495"/>
                                          <w:divBdr>
                                            <w:top w:val="none" w:sz="0" w:space="0" w:color="auto"/>
                                            <w:left w:val="none" w:sz="0" w:space="0" w:color="auto"/>
                                            <w:bottom w:val="none" w:sz="0" w:space="0" w:color="auto"/>
                                            <w:right w:val="none" w:sz="0" w:space="0" w:color="auto"/>
                                          </w:divBdr>
                                          <w:divsChild>
                                            <w:div w:id="106457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7352386">
      <w:bodyDiv w:val="1"/>
      <w:marLeft w:val="0"/>
      <w:marRight w:val="0"/>
      <w:marTop w:val="0"/>
      <w:marBottom w:val="0"/>
      <w:divBdr>
        <w:top w:val="none" w:sz="0" w:space="0" w:color="auto"/>
        <w:left w:val="none" w:sz="0" w:space="0" w:color="auto"/>
        <w:bottom w:val="none" w:sz="0" w:space="0" w:color="auto"/>
        <w:right w:val="none" w:sz="0" w:space="0" w:color="auto"/>
      </w:divBdr>
      <w:divsChild>
        <w:div w:id="1616794716">
          <w:marLeft w:val="0"/>
          <w:marRight w:val="0"/>
          <w:marTop w:val="0"/>
          <w:marBottom w:val="0"/>
          <w:divBdr>
            <w:top w:val="none" w:sz="0" w:space="0" w:color="auto"/>
            <w:left w:val="none" w:sz="0" w:space="0" w:color="auto"/>
            <w:bottom w:val="none" w:sz="0" w:space="0" w:color="auto"/>
            <w:right w:val="none" w:sz="0" w:space="0" w:color="auto"/>
          </w:divBdr>
          <w:divsChild>
            <w:div w:id="757139359">
              <w:marLeft w:val="0"/>
              <w:marRight w:val="0"/>
              <w:marTop w:val="0"/>
              <w:marBottom w:val="0"/>
              <w:divBdr>
                <w:top w:val="none" w:sz="0" w:space="0" w:color="auto"/>
                <w:left w:val="none" w:sz="0" w:space="0" w:color="auto"/>
                <w:bottom w:val="none" w:sz="0" w:space="0" w:color="auto"/>
                <w:right w:val="none" w:sz="0" w:space="0" w:color="auto"/>
              </w:divBdr>
              <w:divsChild>
                <w:div w:id="1058283190">
                  <w:marLeft w:val="0"/>
                  <w:marRight w:val="0"/>
                  <w:marTop w:val="0"/>
                  <w:marBottom w:val="0"/>
                  <w:divBdr>
                    <w:top w:val="none" w:sz="0" w:space="0" w:color="auto"/>
                    <w:left w:val="none" w:sz="0" w:space="0" w:color="auto"/>
                    <w:bottom w:val="none" w:sz="0" w:space="0" w:color="auto"/>
                    <w:right w:val="none" w:sz="0" w:space="0" w:color="auto"/>
                  </w:divBdr>
                  <w:divsChild>
                    <w:div w:id="1537040519">
                      <w:marLeft w:val="0"/>
                      <w:marRight w:val="0"/>
                      <w:marTop w:val="0"/>
                      <w:marBottom w:val="0"/>
                      <w:divBdr>
                        <w:top w:val="none" w:sz="0" w:space="0" w:color="auto"/>
                        <w:left w:val="none" w:sz="0" w:space="0" w:color="auto"/>
                        <w:bottom w:val="none" w:sz="0" w:space="0" w:color="auto"/>
                        <w:right w:val="none" w:sz="0" w:space="0" w:color="auto"/>
                      </w:divBdr>
                      <w:divsChild>
                        <w:div w:id="1059597457">
                          <w:marLeft w:val="0"/>
                          <w:marRight w:val="0"/>
                          <w:marTop w:val="0"/>
                          <w:marBottom w:val="0"/>
                          <w:divBdr>
                            <w:top w:val="none" w:sz="0" w:space="0" w:color="auto"/>
                            <w:left w:val="none" w:sz="0" w:space="0" w:color="auto"/>
                            <w:bottom w:val="none" w:sz="0" w:space="0" w:color="auto"/>
                            <w:right w:val="none" w:sz="0" w:space="0" w:color="auto"/>
                          </w:divBdr>
                          <w:divsChild>
                            <w:div w:id="32309970">
                              <w:marLeft w:val="0"/>
                              <w:marRight w:val="0"/>
                              <w:marTop w:val="0"/>
                              <w:marBottom w:val="0"/>
                              <w:divBdr>
                                <w:top w:val="none" w:sz="0" w:space="0" w:color="auto"/>
                                <w:left w:val="none" w:sz="0" w:space="0" w:color="auto"/>
                                <w:bottom w:val="none" w:sz="0" w:space="0" w:color="auto"/>
                                <w:right w:val="none" w:sz="0" w:space="0" w:color="auto"/>
                              </w:divBdr>
                              <w:divsChild>
                                <w:div w:id="342322644">
                                  <w:marLeft w:val="0"/>
                                  <w:marRight w:val="0"/>
                                  <w:marTop w:val="0"/>
                                  <w:marBottom w:val="0"/>
                                  <w:divBdr>
                                    <w:top w:val="none" w:sz="0" w:space="0" w:color="auto"/>
                                    <w:left w:val="none" w:sz="0" w:space="0" w:color="auto"/>
                                    <w:bottom w:val="none" w:sz="0" w:space="0" w:color="auto"/>
                                    <w:right w:val="none" w:sz="0" w:space="0" w:color="auto"/>
                                  </w:divBdr>
                                  <w:divsChild>
                                    <w:div w:id="937056279">
                                      <w:marLeft w:val="0"/>
                                      <w:marRight w:val="0"/>
                                      <w:marTop w:val="0"/>
                                      <w:marBottom w:val="0"/>
                                      <w:divBdr>
                                        <w:top w:val="none" w:sz="0" w:space="0" w:color="auto"/>
                                        <w:left w:val="none" w:sz="0" w:space="0" w:color="auto"/>
                                        <w:bottom w:val="none" w:sz="0" w:space="0" w:color="auto"/>
                                        <w:right w:val="none" w:sz="0" w:space="0" w:color="auto"/>
                                      </w:divBdr>
                                      <w:divsChild>
                                        <w:div w:id="845510546">
                                          <w:marLeft w:val="0"/>
                                          <w:marRight w:val="0"/>
                                          <w:marTop w:val="0"/>
                                          <w:marBottom w:val="495"/>
                                          <w:divBdr>
                                            <w:top w:val="none" w:sz="0" w:space="0" w:color="auto"/>
                                            <w:left w:val="none" w:sz="0" w:space="0" w:color="auto"/>
                                            <w:bottom w:val="none" w:sz="0" w:space="0" w:color="auto"/>
                                            <w:right w:val="none" w:sz="0" w:space="0" w:color="auto"/>
                                          </w:divBdr>
                                          <w:divsChild>
                                            <w:div w:id="30798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608009">
      <w:bodyDiv w:val="1"/>
      <w:marLeft w:val="0"/>
      <w:marRight w:val="0"/>
      <w:marTop w:val="0"/>
      <w:marBottom w:val="0"/>
      <w:divBdr>
        <w:top w:val="none" w:sz="0" w:space="0" w:color="auto"/>
        <w:left w:val="none" w:sz="0" w:space="0" w:color="auto"/>
        <w:bottom w:val="none" w:sz="0" w:space="0" w:color="auto"/>
        <w:right w:val="none" w:sz="0" w:space="0" w:color="auto"/>
      </w:divBdr>
      <w:divsChild>
        <w:div w:id="476579743">
          <w:marLeft w:val="0"/>
          <w:marRight w:val="0"/>
          <w:marTop w:val="0"/>
          <w:marBottom w:val="0"/>
          <w:divBdr>
            <w:top w:val="none" w:sz="0" w:space="0" w:color="auto"/>
            <w:left w:val="none" w:sz="0" w:space="0" w:color="auto"/>
            <w:bottom w:val="none" w:sz="0" w:space="0" w:color="auto"/>
            <w:right w:val="none" w:sz="0" w:space="0" w:color="auto"/>
          </w:divBdr>
          <w:divsChild>
            <w:div w:id="796334940">
              <w:marLeft w:val="0"/>
              <w:marRight w:val="0"/>
              <w:marTop w:val="0"/>
              <w:marBottom w:val="0"/>
              <w:divBdr>
                <w:top w:val="none" w:sz="0" w:space="0" w:color="auto"/>
                <w:left w:val="none" w:sz="0" w:space="0" w:color="auto"/>
                <w:bottom w:val="none" w:sz="0" w:space="0" w:color="auto"/>
                <w:right w:val="none" w:sz="0" w:space="0" w:color="auto"/>
              </w:divBdr>
              <w:divsChild>
                <w:div w:id="1528635302">
                  <w:marLeft w:val="0"/>
                  <w:marRight w:val="0"/>
                  <w:marTop w:val="0"/>
                  <w:marBottom w:val="0"/>
                  <w:divBdr>
                    <w:top w:val="none" w:sz="0" w:space="0" w:color="auto"/>
                    <w:left w:val="none" w:sz="0" w:space="0" w:color="auto"/>
                    <w:bottom w:val="none" w:sz="0" w:space="0" w:color="auto"/>
                    <w:right w:val="none" w:sz="0" w:space="0" w:color="auto"/>
                  </w:divBdr>
                  <w:divsChild>
                    <w:div w:id="504974964">
                      <w:marLeft w:val="0"/>
                      <w:marRight w:val="0"/>
                      <w:marTop w:val="0"/>
                      <w:marBottom w:val="0"/>
                      <w:divBdr>
                        <w:top w:val="none" w:sz="0" w:space="0" w:color="auto"/>
                        <w:left w:val="none" w:sz="0" w:space="0" w:color="auto"/>
                        <w:bottom w:val="none" w:sz="0" w:space="0" w:color="auto"/>
                        <w:right w:val="none" w:sz="0" w:space="0" w:color="auto"/>
                      </w:divBdr>
                      <w:divsChild>
                        <w:div w:id="879976956">
                          <w:marLeft w:val="0"/>
                          <w:marRight w:val="0"/>
                          <w:marTop w:val="0"/>
                          <w:marBottom w:val="0"/>
                          <w:divBdr>
                            <w:top w:val="none" w:sz="0" w:space="0" w:color="auto"/>
                            <w:left w:val="none" w:sz="0" w:space="0" w:color="auto"/>
                            <w:bottom w:val="none" w:sz="0" w:space="0" w:color="auto"/>
                            <w:right w:val="none" w:sz="0" w:space="0" w:color="auto"/>
                          </w:divBdr>
                          <w:divsChild>
                            <w:div w:id="189536476">
                              <w:marLeft w:val="0"/>
                              <w:marRight w:val="0"/>
                              <w:marTop w:val="0"/>
                              <w:marBottom w:val="0"/>
                              <w:divBdr>
                                <w:top w:val="none" w:sz="0" w:space="0" w:color="auto"/>
                                <w:left w:val="none" w:sz="0" w:space="0" w:color="auto"/>
                                <w:bottom w:val="none" w:sz="0" w:space="0" w:color="auto"/>
                                <w:right w:val="none" w:sz="0" w:space="0" w:color="auto"/>
                              </w:divBdr>
                              <w:divsChild>
                                <w:div w:id="1066343446">
                                  <w:marLeft w:val="0"/>
                                  <w:marRight w:val="0"/>
                                  <w:marTop w:val="0"/>
                                  <w:marBottom w:val="0"/>
                                  <w:divBdr>
                                    <w:top w:val="none" w:sz="0" w:space="0" w:color="auto"/>
                                    <w:left w:val="none" w:sz="0" w:space="0" w:color="auto"/>
                                    <w:bottom w:val="none" w:sz="0" w:space="0" w:color="auto"/>
                                    <w:right w:val="none" w:sz="0" w:space="0" w:color="auto"/>
                                  </w:divBdr>
                                  <w:divsChild>
                                    <w:div w:id="735054563">
                                      <w:marLeft w:val="0"/>
                                      <w:marRight w:val="0"/>
                                      <w:marTop w:val="0"/>
                                      <w:marBottom w:val="0"/>
                                      <w:divBdr>
                                        <w:top w:val="none" w:sz="0" w:space="0" w:color="auto"/>
                                        <w:left w:val="none" w:sz="0" w:space="0" w:color="auto"/>
                                        <w:bottom w:val="none" w:sz="0" w:space="0" w:color="auto"/>
                                        <w:right w:val="none" w:sz="0" w:space="0" w:color="auto"/>
                                      </w:divBdr>
                                      <w:divsChild>
                                        <w:div w:id="469399541">
                                          <w:marLeft w:val="0"/>
                                          <w:marRight w:val="0"/>
                                          <w:marTop w:val="0"/>
                                          <w:marBottom w:val="495"/>
                                          <w:divBdr>
                                            <w:top w:val="none" w:sz="0" w:space="0" w:color="auto"/>
                                            <w:left w:val="none" w:sz="0" w:space="0" w:color="auto"/>
                                            <w:bottom w:val="none" w:sz="0" w:space="0" w:color="auto"/>
                                            <w:right w:val="none" w:sz="0" w:space="0" w:color="auto"/>
                                          </w:divBdr>
                                          <w:divsChild>
                                            <w:div w:id="1172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0500403">
      <w:bodyDiv w:val="1"/>
      <w:marLeft w:val="0"/>
      <w:marRight w:val="0"/>
      <w:marTop w:val="0"/>
      <w:marBottom w:val="0"/>
      <w:divBdr>
        <w:top w:val="none" w:sz="0" w:space="0" w:color="auto"/>
        <w:left w:val="none" w:sz="0" w:space="0" w:color="auto"/>
        <w:bottom w:val="none" w:sz="0" w:space="0" w:color="auto"/>
        <w:right w:val="none" w:sz="0" w:space="0" w:color="auto"/>
      </w:divBdr>
      <w:divsChild>
        <w:div w:id="845897187">
          <w:marLeft w:val="0"/>
          <w:marRight w:val="0"/>
          <w:marTop w:val="0"/>
          <w:marBottom w:val="0"/>
          <w:divBdr>
            <w:top w:val="none" w:sz="0" w:space="0" w:color="auto"/>
            <w:left w:val="none" w:sz="0" w:space="0" w:color="auto"/>
            <w:bottom w:val="none" w:sz="0" w:space="0" w:color="auto"/>
            <w:right w:val="none" w:sz="0" w:space="0" w:color="auto"/>
          </w:divBdr>
          <w:divsChild>
            <w:div w:id="654575825">
              <w:marLeft w:val="0"/>
              <w:marRight w:val="0"/>
              <w:marTop w:val="0"/>
              <w:marBottom w:val="0"/>
              <w:divBdr>
                <w:top w:val="none" w:sz="0" w:space="0" w:color="auto"/>
                <w:left w:val="none" w:sz="0" w:space="0" w:color="auto"/>
                <w:bottom w:val="none" w:sz="0" w:space="0" w:color="auto"/>
                <w:right w:val="none" w:sz="0" w:space="0" w:color="auto"/>
              </w:divBdr>
              <w:divsChild>
                <w:div w:id="1656101173">
                  <w:marLeft w:val="0"/>
                  <w:marRight w:val="0"/>
                  <w:marTop w:val="0"/>
                  <w:marBottom w:val="0"/>
                  <w:divBdr>
                    <w:top w:val="none" w:sz="0" w:space="0" w:color="auto"/>
                    <w:left w:val="none" w:sz="0" w:space="0" w:color="auto"/>
                    <w:bottom w:val="none" w:sz="0" w:space="0" w:color="auto"/>
                    <w:right w:val="none" w:sz="0" w:space="0" w:color="auto"/>
                  </w:divBdr>
                  <w:divsChild>
                    <w:div w:id="2136943138">
                      <w:marLeft w:val="0"/>
                      <w:marRight w:val="0"/>
                      <w:marTop w:val="0"/>
                      <w:marBottom w:val="0"/>
                      <w:divBdr>
                        <w:top w:val="none" w:sz="0" w:space="0" w:color="auto"/>
                        <w:left w:val="none" w:sz="0" w:space="0" w:color="auto"/>
                        <w:bottom w:val="none" w:sz="0" w:space="0" w:color="auto"/>
                        <w:right w:val="none" w:sz="0" w:space="0" w:color="auto"/>
                      </w:divBdr>
                      <w:divsChild>
                        <w:div w:id="902837295">
                          <w:marLeft w:val="0"/>
                          <w:marRight w:val="0"/>
                          <w:marTop w:val="0"/>
                          <w:marBottom w:val="0"/>
                          <w:divBdr>
                            <w:top w:val="none" w:sz="0" w:space="0" w:color="auto"/>
                            <w:left w:val="none" w:sz="0" w:space="0" w:color="auto"/>
                            <w:bottom w:val="none" w:sz="0" w:space="0" w:color="auto"/>
                            <w:right w:val="none" w:sz="0" w:space="0" w:color="auto"/>
                          </w:divBdr>
                          <w:divsChild>
                            <w:div w:id="1442721987">
                              <w:marLeft w:val="0"/>
                              <w:marRight w:val="0"/>
                              <w:marTop w:val="0"/>
                              <w:marBottom w:val="0"/>
                              <w:divBdr>
                                <w:top w:val="none" w:sz="0" w:space="0" w:color="auto"/>
                                <w:left w:val="none" w:sz="0" w:space="0" w:color="auto"/>
                                <w:bottom w:val="none" w:sz="0" w:space="0" w:color="auto"/>
                                <w:right w:val="none" w:sz="0" w:space="0" w:color="auto"/>
                              </w:divBdr>
                              <w:divsChild>
                                <w:div w:id="1324315992">
                                  <w:marLeft w:val="0"/>
                                  <w:marRight w:val="0"/>
                                  <w:marTop w:val="0"/>
                                  <w:marBottom w:val="0"/>
                                  <w:divBdr>
                                    <w:top w:val="none" w:sz="0" w:space="0" w:color="auto"/>
                                    <w:left w:val="none" w:sz="0" w:space="0" w:color="auto"/>
                                    <w:bottom w:val="none" w:sz="0" w:space="0" w:color="auto"/>
                                    <w:right w:val="none" w:sz="0" w:space="0" w:color="auto"/>
                                  </w:divBdr>
                                  <w:divsChild>
                                    <w:div w:id="245305924">
                                      <w:marLeft w:val="0"/>
                                      <w:marRight w:val="0"/>
                                      <w:marTop w:val="0"/>
                                      <w:marBottom w:val="0"/>
                                      <w:divBdr>
                                        <w:top w:val="none" w:sz="0" w:space="0" w:color="auto"/>
                                        <w:left w:val="none" w:sz="0" w:space="0" w:color="auto"/>
                                        <w:bottom w:val="none" w:sz="0" w:space="0" w:color="auto"/>
                                        <w:right w:val="none" w:sz="0" w:space="0" w:color="auto"/>
                                      </w:divBdr>
                                      <w:divsChild>
                                        <w:div w:id="798645899">
                                          <w:marLeft w:val="0"/>
                                          <w:marRight w:val="0"/>
                                          <w:marTop w:val="0"/>
                                          <w:marBottom w:val="495"/>
                                          <w:divBdr>
                                            <w:top w:val="none" w:sz="0" w:space="0" w:color="auto"/>
                                            <w:left w:val="none" w:sz="0" w:space="0" w:color="auto"/>
                                            <w:bottom w:val="none" w:sz="0" w:space="0" w:color="auto"/>
                                            <w:right w:val="none" w:sz="0" w:space="0" w:color="auto"/>
                                          </w:divBdr>
                                          <w:divsChild>
                                            <w:div w:id="148874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9065509">
      <w:bodyDiv w:val="1"/>
      <w:marLeft w:val="0"/>
      <w:marRight w:val="0"/>
      <w:marTop w:val="0"/>
      <w:marBottom w:val="0"/>
      <w:divBdr>
        <w:top w:val="none" w:sz="0" w:space="0" w:color="auto"/>
        <w:left w:val="none" w:sz="0" w:space="0" w:color="auto"/>
        <w:bottom w:val="none" w:sz="0" w:space="0" w:color="auto"/>
        <w:right w:val="none" w:sz="0" w:space="0" w:color="auto"/>
      </w:divBdr>
      <w:divsChild>
        <w:div w:id="854415469">
          <w:marLeft w:val="0"/>
          <w:marRight w:val="0"/>
          <w:marTop w:val="0"/>
          <w:marBottom w:val="0"/>
          <w:divBdr>
            <w:top w:val="none" w:sz="0" w:space="0" w:color="auto"/>
            <w:left w:val="none" w:sz="0" w:space="0" w:color="auto"/>
            <w:bottom w:val="none" w:sz="0" w:space="0" w:color="auto"/>
            <w:right w:val="none" w:sz="0" w:space="0" w:color="auto"/>
          </w:divBdr>
          <w:divsChild>
            <w:div w:id="1979600979">
              <w:marLeft w:val="0"/>
              <w:marRight w:val="0"/>
              <w:marTop w:val="0"/>
              <w:marBottom w:val="0"/>
              <w:divBdr>
                <w:top w:val="none" w:sz="0" w:space="0" w:color="auto"/>
                <w:left w:val="none" w:sz="0" w:space="0" w:color="auto"/>
                <w:bottom w:val="none" w:sz="0" w:space="0" w:color="auto"/>
                <w:right w:val="none" w:sz="0" w:space="0" w:color="auto"/>
              </w:divBdr>
              <w:divsChild>
                <w:div w:id="1995647005">
                  <w:marLeft w:val="0"/>
                  <w:marRight w:val="0"/>
                  <w:marTop w:val="0"/>
                  <w:marBottom w:val="0"/>
                  <w:divBdr>
                    <w:top w:val="none" w:sz="0" w:space="0" w:color="auto"/>
                    <w:left w:val="none" w:sz="0" w:space="0" w:color="auto"/>
                    <w:bottom w:val="none" w:sz="0" w:space="0" w:color="auto"/>
                    <w:right w:val="none" w:sz="0" w:space="0" w:color="auto"/>
                  </w:divBdr>
                  <w:divsChild>
                    <w:div w:id="1873880593">
                      <w:marLeft w:val="0"/>
                      <w:marRight w:val="0"/>
                      <w:marTop w:val="0"/>
                      <w:marBottom w:val="0"/>
                      <w:divBdr>
                        <w:top w:val="none" w:sz="0" w:space="0" w:color="auto"/>
                        <w:left w:val="none" w:sz="0" w:space="0" w:color="auto"/>
                        <w:bottom w:val="none" w:sz="0" w:space="0" w:color="auto"/>
                        <w:right w:val="none" w:sz="0" w:space="0" w:color="auto"/>
                      </w:divBdr>
                      <w:divsChild>
                        <w:div w:id="371155357">
                          <w:marLeft w:val="0"/>
                          <w:marRight w:val="0"/>
                          <w:marTop w:val="0"/>
                          <w:marBottom w:val="0"/>
                          <w:divBdr>
                            <w:top w:val="none" w:sz="0" w:space="0" w:color="auto"/>
                            <w:left w:val="none" w:sz="0" w:space="0" w:color="auto"/>
                            <w:bottom w:val="none" w:sz="0" w:space="0" w:color="auto"/>
                            <w:right w:val="none" w:sz="0" w:space="0" w:color="auto"/>
                          </w:divBdr>
                          <w:divsChild>
                            <w:div w:id="675426958">
                              <w:marLeft w:val="0"/>
                              <w:marRight w:val="0"/>
                              <w:marTop w:val="0"/>
                              <w:marBottom w:val="0"/>
                              <w:divBdr>
                                <w:top w:val="none" w:sz="0" w:space="0" w:color="auto"/>
                                <w:left w:val="none" w:sz="0" w:space="0" w:color="auto"/>
                                <w:bottom w:val="none" w:sz="0" w:space="0" w:color="auto"/>
                                <w:right w:val="none" w:sz="0" w:space="0" w:color="auto"/>
                              </w:divBdr>
                              <w:divsChild>
                                <w:div w:id="2093383316">
                                  <w:marLeft w:val="0"/>
                                  <w:marRight w:val="0"/>
                                  <w:marTop w:val="0"/>
                                  <w:marBottom w:val="0"/>
                                  <w:divBdr>
                                    <w:top w:val="none" w:sz="0" w:space="0" w:color="auto"/>
                                    <w:left w:val="none" w:sz="0" w:space="0" w:color="auto"/>
                                    <w:bottom w:val="none" w:sz="0" w:space="0" w:color="auto"/>
                                    <w:right w:val="none" w:sz="0" w:space="0" w:color="auto"/>
                                  </w:divBdr>
                                  <w:divsChild>
                                    <w:div w:id="786437228">
                                      <w:marLeft w:val="0"/>
                                      <w:marRight w:val="0"/>
                                      <w:marTop w:val="0"/>
                                      <w:marBottom w:val="0"/>
                                      <w:divBdr>
                                        <w:top w:val="none" w:sz="0" w:space="0" w:color="auto"/>
                                        <w:left w:val="none" w:sz="0" w:space="0" w:color="auto"/>
                                        <w:bottom w:val="none" w:sz="0" w:space="0" w:color="auto"/>
                                        <w:right w:val="none" w:sz="0" w:space="0" w:color="auto"/>
                                      </w:divBdr>
                                      <w:divsChild>
                                        <w:div w:id="1259220980">
                                          <w:marLeft w:val="0"/>
                                          <w:marRight w:val="0"/>
                                          <w:marTop w:val="0"/>
                                          <w:marBottom w:val="495"/>
                                          <w:divBdr>
                                            <w:top w:val="none" w:sz="0" w:space="0" w:color="auto"/>
                                            <w:left w:val="none" w:sz="0" w:space="0" w:color="auto"/>
                                            <w:bottom w:val="none" w:sz="0" w:space="0" w:color="auto"/>
                                            <w:right w:val="none" w:sz="0" w:space="0" w:color="auto"/>
                                          </w:divBdr>
                                          <w:divsChild>
                                            <w:div w:id="39513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6469003">
      <w:bodyDiv w:val="1"/>
      <w:marLeft w:val="0"/>
      <w:marRight w:val="0"/>
      <w:marTop w:val="0"/>
      <w:marBottom w:val="0"/>
      <w:divBdr>
        <w:top w:val="none" w:sz="0" w:space="0" w:color="auto"/>
        <w:left w:val="none" w:sz="0" w:space="0" w:color="auto"/>
        <w:bottom w:val="none" w:sz="0" w:space="0" w:color="auto"/>
        <w:right w:val="none" w:sz="0" w:space="0" w:color="auto"/>
      </w:divBdr>
      <w:divsChild>
        <w:div w:id="2052487543">
          <w:marLeft w:val="0"/>
          <w:marRight w:val="0"/>
          <w:marTop w:val="0"/>
          <w:marBottom w:val="0"/>
          <w:divBdr>
            <w:top w:val="none" w:sz="0" w:space="0" w:color="auto"/>
            <w:left w:val="none" w:sz="0" w:space="0" w:color="auto"/>
            <w:bottom w:val="none" w:sz="0" w:space="0" w:color="auto"/>
            <w:right w:val="none" w:sz="0" w:space="0" w:color="auto"/>
          </w:divBdr>
          <w:divsChild>
            <w:div w:id="1416785077">
              <w:marLeft w:val="0"/>
              <w:marRight w:val="0"/>
              <w:marTop w:val="0"/>
              <w:marBottom w:val="0"/>
              <w:divBdr>
                <w:top w:val="none" w:sz="0" w:space="0" w:color="auto"/>
                <w:left w:val="none" w:sz="0" w:space="0" w:color="auto"/>
                <w:bottom w:val="none" w:sz="0" w:space="0" w:color="auto"/>
                <w:right w:val="none" w:sz="0" w:space="0" w:color="auto"/>
              </w:divBdr>
              <w:divsChild>
                <w:div w:id="980422863">
                  <w:marLeft w:val="0"/>
                  <w:marRight w:val="0"/>
                  <w:marTop w:val="0"/>
                  <w:marBottom w:val="0"/>
                  <w:divBdr>
                    <w:top w:val="none" w:sz="0" w:space="0" w:color="auto"/>
                    <w:left w:val="none" w:sz="0" w:space="0" w:color="auto"/>
                    <w:bottom w:val="none" w:sz="0" w:space="0" w:color="auto"/>
                    <w:right w:val="none" w:sz="0" w:space="0" w:color="auto"/>
                  </w:divBdr>
                  <w:divsChild>
                    <w:div w:id="195777213">
                      <w:marLeft w:val="0"/>
                      <w:marRight w:val="0"/>
                      <w:marTop w:val="0"/>
                      <w:marBottom w:val="0"/>
                      <w:divBdr>
                        <w:top w:val="none" w:sz="0" w:space="0" w:color="auto"/>
                        <w:left w:val="none" w:sz="0" w:space="0" w:color="auto"/>
                        <w:bottom w:val="none" w:sz="0" w:space="0" w:color="auto"/>
                        <w:right w:val="none" w:sz="0" w:space="0" w:color="auto"/>
                      </w:divBdr>
                      <w:divsChild>
                        <w:div w:id="200243255">
                          <w:marLeft w:val="0"/>
                          <w:marRight w:val="0"/>
                          <w:marTop w:val="0"/>
                          <w:marBottom w:val="0"/>
                          <w:divBdr>
                            <w:top w:val="none" w:sz="0" w:space="0" w:color="auto"/>
                            <w:left w:val="none" w:sz="0" w:space="0" w:color="auto"/>
                            <w:bottom w:val="none" w:sz="0" w:space="0" w:color="auto"/>
                            <w:right w:val="none" w:sz="0" w:space="0" w:color="auto"/>
                          </w:divBdr>
                          <w:divsChild>
                            <w:div w:id="512190838">
                              <w:marLeft w:val="0"/>
                              <w:marRight w:val="0"/>
                              <w:marTop w:val="0"/>
                              <w:marBottom w:val="0"/>
                              <w:divBdr>
                                <w:top w:val="none" w:sz="0" w:space="0" w:color="auto"/>
                                <w:left w:val="none" w:sz="0" w:space="0" w:color="auto"/>
                                <w:bottom w:val="none" w:sz="0" w:space="0" w:color="auto"/>
                                <w:right w:val="none" w:sz="0" w:space="0" w:color="auto"/>
                              </w:divBdr>
                              <w:divsChild>
                                <w:div w:id="736822330">
                                  <w:marLeft w:val="0"/>
                                  <w:marRight w:val="0"/>
                                  <w:marTop w:val="0"/>
                                  <w:marBottom w:val="0"/>
                                  <w:divBdr>
                                    <w:top w:val="none" w:sz="0" w:space="0" w:color="auto"/>
                                    <w:left w:val="none" w:sz="0" w:space="0" w:color="auto"/>
                                    <w:bottom w:val="none" w:sz="0" w:space="0" w:color="auto"/>
                                    <w:right w:val="none" w:sz="0" w:space="0" w:color="auto"/>
                                  </w:divBdr>
                                  <w:divsChild>
                                    <w:div w:id="1404062169">
                                      <w:marLeft w:val="0"/>
                                      <w:marRight w:val="0"/>
                                      <w:marTop w:val="0"/>
                                      <w:marBottom w:val="0"/>
                                      <w:divBdr>
                                        <w:top w:val="none" w:sz="0" w:space="0" w:color="auto"/>
                                        <w:left w:val="none" w:sz="0" w:space="0" w:color="auto"/>
                                        <w:bottom w:val="none" w:sz="0" w:space="0" w:color="auto"/>
                                        <w:right w:val="none" w:sz="0" w:space="0" w:color="auto"/>
                                      </w:divBdr>
                                      <w:divsChild>
                                        <w:div w:id="2018539864">
                                          <w:marLeft w:val="0"/>
                                          <w:marRight w:val="0"/>
                                          <w:marTop w:val="0"/>
                                          <w:marBottom w:val="495"/>
                                          <w:divBdr>
                                            <w:top w:val="none" w:sz="0" w:space="0" w:color="auto"/>
                                            <w:left w:val="none" w:sz="0" w:space="0" w:color="auto"/>
                                            <w:bottom w:val="none" w:sz="0" w:space="0" w:color="auto"/>
                                            <w:right w:val="none" w:sz="0" w:space="0" w:color="auto"/>
                                          </w:divBdr>
                                          <w:divsChild>
                                            <w:div w:id="21921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9641557">
      <w:bodyDiv w:val="1"/>
      <w:marLeft w:val="0"/>
      <w:marRight w:val="0"/>
      <w:marTop w:val="0"/>
      <w:marBottom w:val="0"/>
      <w:divBdr>
        <w:top w:val="none" w:sz="0" w:space="0" w:color="auto"/>
        <w:left w:val="none" w:sz="0" w:space="0" w:color="auto"/>
        <w:bottom w:val="none" w:sz="0" w:space="0" w:color="auto"/>
        <w:right w:val="none" w:sz="0" w:space="0" w:color="auto"/>
      </w:divBdr>
      <w:divsChild>
        <w:div w:id="99690135">
          <w:marLeft w:val="0"/>
          <w:marRight w:val="0"/>
          <w:marTop w:val="0"/>
          <w:marBottom w:val="0"/>
          <w:divBdr>
            <w:top w:val="none" w:sz="0" w:space="0" w:color="auto"/>
            <w:left w:val="none" w:sz="0" w:space="0" w:color="auto"/>
            <w:bottom w:val="none" w:sz="0" w:space="0" w:color="auto"/>
            <w:right w:val="none" w:sz="0" w:space="0" w:color="auto"/>
          </w:divBdr>
          <w:divsChild>
            <w:div w:id="2017809317">
              <w:marLeft w:val="0"/>
              <w:marRight w:val="0"/>
              <w:marTop w:val="0"/>
              <w:marBottom w:val="0"/>
              <w:divBdr>
                <w:top w:val="none" w:sz="0" w:space="0" w:color="auto"/>
                <w:left w:val="none" w:sz="0" w:space="0" w:color="auto"/>
                <w:bottom w:val="none" w:sz="0" w:space="0" w:color="auto"/>
                <w:right w:val="none" w:sz="0" w:space="0" w:color="auto"/>
              </w:divBdr>
              <w:divsChild>
                <w:div w:id="599874166">
                  <w:marLeft w:val="0"/>
                  <w:marRight w:val="0"/>
                  <w:marTop w:val="0"/>
                  <w:marBottom w:val="0"/>
                  <w:divBdr>
                    <w:top w:val="none" w:sz="0" w:space="0" w:color="auto"/>
                    <w:left w:val="none" w:sz="0" w:space="0" w:color="auto"/>
                    <w:bottom w:val="none" w:sz="0" w:space="0" w:color="auto"/>
                    <w:right w:val="none" w:sz="0" w:space="0" w:color="auto"/>
                  </w:divBdr>
                  <w:divsChild>
                    <w:div w:id="1275672681">
                      <w:marLeft w:val="0"/>
                      <w:marRight w:val="0"/>
                      <w:marTop w:val="0"/>
                      <w:marBottom w:val="0"/>
                      <w:divBdr>
                        <w:top w:val="none" w:sz="0" w:space="0" w:color="auto"/>
                        <w:left w:val="none" w:sz="0" w:space="0" w:color="auto"/>
                        <w:bottom w:val="none" w:sz="0" w:space="0" w:color="auto"/>
                        <w:right w:val="none" w:sz="0" w:space="0" w:color="auto"/>
                      </w:divBdr>
                      <w:divsChild>
                        <w:div w:id="1324698725">
                          <w:marLeft w:val="0"/>
                          <w:marRight w:val="0"/>
                          <w:marTop w:val="0"/>
                          <w:marBottom w:val="0"/>
                          <w:divBdr>
                            <w:top w:val="none" w:sz="0" w:space="0" w:color="auto"/>
                            <w:left w:val="none" w:sz="0" w:space="0" w:color="auto"/>
                            <w:bottom w:val="none" w:sz="0" w:space="0" w:color="auto"/>
                            <w:right w:val="none" w:sz="0" w:space="0" w:color="auto"/>
                          </w:divBdr>
                          <w:divsChild>
                            <w:div w:id="492258484">
                              <w:marLeft w:val="0"/>
                              <w:marRight w:val="0"/>
                              <w:marTop w:val="0"/>
                              <w:marBottom w:val="0"/>
                              <w:divBdr>
                                <w:top w:val="none" w:sz="0" w:space="0" w:color="auto"/>
                                <w:left w:val="none" w:sz="0" w:space="0" w:color="auto"/>
                                <w:bottom w:val="none" w:sz="0" w:space="0" w:color="auto"/>
                                <w:right w:val="none" w:sz="0" w:space="0" w:color="auto"/>
                              </w:divBdr>
                              <w:divsChild>
                                <w:div w:id="43528500">
                                  <w:marLeft w:val="0"/>
                                  <w:marRight w:val="0"/>
                                  <w:marTop w:val="0"/>
                                  <w:marBottom w:val="0"/>
                                  <w:divBdr>
                                    <w:top w:val="none" w:sz="0" w:space="0" w:color="auto"/>
                                    <w:left w:val="none" w:sz="0" w:space="0" w:color="auto"/>
                                    <w:bottom w:val="none" w:sz="0" w:space="0" w:color="auto"/>
                                    <w:right w:val="none" w:sz="0" w:space="0" w:color="auto"/>
                                  </w:divBdr>
                                  <w:divsChild>
                                    <w:div w:id="2056269414">
                                      <w:marLeft w:val="0"/>
                                      <w:marRight w:val="0"/>
                                      <w:marTop w:val="0"/>
                                      <w:marBottom w:val="0"/>
                                      <w:divBdr>
                                        <w:top w:val="none" w:sz="0" w:space="0" w:color="auto"/>
                                        <w:left w:val="none" w:sz="0" w:space="0" w:color="auto"/>
                                        <w:bottom w:val="none" w:sz="0" w:space="0" w:color="auto"/>
                                        <w:right w:val="none" w:sz="0" w:space="0" w:color="auto"/>
                                      </w:divBdr>
                                      <w:divsChild>
                                        <w:div w:id="2073579939">
                                          <w:marLeft w:val="0"/>
                                          <w:marRight w:val="0"/>
                                          <w:marTop w:val="0"/>
                                          <w:marBottom w:val="495"/>
                                          <w:divBdr>
                                            <w:top w:val="none" w:sz="0" w:space="0" w:color="auto"/>
                                            <w:left w:val="none" w:sz="0" w:space="0" w:color="auto"/>
                                            <w:bottom w:val="none" w:sz="0" w:space="0" w:color="auto"/>
                                            <w:right w:val="none" w:sz="0" w:space="0" w:color="auto"/>
                                          </w:divBdr>
                                          <w:divsChild>
                                            <w:div w:id="174112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8521483">
      <w:bodyDiv w:val="1"/>
      <w:marLeft w:val="0"/>
      <w:marRight w:val="0"/>
      <w:marTop w:val="0"/>
      <w:marBottom w:val="0"/>
      <w:divBdr>
        <w:top w:val="none" w:sz="0" w:space="0" w:color="auto"/>
        <w:left w:val="none" w:sz="0" w:space="0" w:color="auto"/>
        <w:bottom w:val="none" w:sz="0" w:space="0" w:color="auto"/>
        <w:right w:val="none" w:sz="0" w:space="0" w:color="auto"/>
      </w:divBdr>
      <w:divsChild>
        <w:div w:id="1645158666">
          <w:marLeft w:val="0"/>
          <w:marRight w:val="0"/>
          <w:marTop w:val="0"/>
          <w:marBottom w:val="0"/>
          <w:divBdr>
            <w:top w:val="none" w:sz="0" w:space="0" w:color="auto"/>
            <w:left w:val="none" w:sz="0" w:space="0" w:color="auto"/>
            <w:bottom w:val="none" w:sz="0" w:space="0" w:color="auto"/>
            <w:right w:val="none" w:sz="0" w:space="0" w:color="auto"/>
          </w:divBdr>
          <w:divsChild>
            <w:div w:id="475221397">
              <w:marLeft w:val="0"/>
              <w:marRight w:val="0"/>
              <w:marTop w:val="0"/>
              <w:marBottom w:val="0"/>
              <w:divBdr>
                <w:top w:val="none" w:sz="0" w:space="0" w:color="auto"/>
                <w:left w:val="none" w:sz="0" w:space="0" w:color="auto"/>
                <w:bottom w:val="none" w:sz="0" w:space="0" w:color="auto"/>
                <w:right w:val="none" w:sz="0" w:space="0" w:color="auto"/>
              </w:divBdr>
              <w:divsChild>
                <w:div w:id="72553974">
                  <w:marLeft w:val="0"/>
                  <w:marRight w:val="0"/>
                  <w:marTop w:val="0"/>
                  <w:marBottom w:val="0"/>
                  <w:divBdr>
                    <w:top w:val="none" w:sz="0" w:space="0" w:color="auto"/>
                    <w:left w:val="none" w:sz="0" w:space="0" w:color="auto"/>
                    <w:bottom w:val="none" w:sz="0" w:space="0" w:color="auto"/>
                    <w:right w:val="none" w:sz="0" w:space="0" w:color="auto"/>
                  </w:divBdr>
                  <w:divsChild>
                    <w:div w:id="1248491592">
                      <w:marLeft w:val="0"/>
                      <w:marRight w:val="0"/>
                      <w:marTop w:val="0"/>
                      <w:marBottom w:val="0"/>
                      <w:divBdr>
                        <w:top w:val="none" w:sz="0" w:space="0" w:color="auto"/>
                        <w:left w:val="none" w:sz="0" w:space="0" w:color="auto"/>
                        <w:bottom w:val="none" w:sz="0" w:space="0" w:color="auto"/>
                        <w:right w:val="none" w:sz="0" w:space="0" w:color="auto"/>
                      </w:divBdr>
                      <w:divsChild>
                        <w:div w:id="1732534634">
                          <w:marLeft w:val="0"/>
                          <w:marRight w:val="0"/>
                          <w:marTop w:val="0"/>
                          <w:marBottom w:val="0"/>
                          <w:divBdr>
                            <w:top w:val="none" w:sz="0" w:space="0" w:color="auto"/>
                            <w:left w:val="none" w:sz="0" w:space="0" w:color="auto"/>
                            <w:bottom w:val="none" w:sz="0" w:space="0" w:color="auto"/>
                            <w:right w:val="none" w:sz="0" w:space="0" w:color="auto"/>
                          </w:divBdr>
                          <w:divsChild>
                            <w:div w:id="925696763">
                              <w:marLeft w:val="0"/>
                              <w:marRight w:val="0"/>
                              <w:marTop w:val="0"/>
                              <w:marBottom w:val="0"/>
                              <w:divBdr>
                                <w:top w:val="none" w:sz="0" w:space="0" w:color="auto"/>
                                <w:left w:val="none" w:sz="0" w:space="0" w:color="auto"/>
                                <w:bottom w:val="none" w:sz="0" w:space="0" w:color="auto"/>
                                <w:right w:val="none" w:sz="0" w:space="0" w:color="auto"/>
                              </w:divBdr>
                              <w:divsChild>
                                <w:div w:id="1607495419">
                                  <w:marLeft w:val="0"/>
                                  <w:marRight w:val="0"/>
                                  <w:marTop w:val="0"/>
                                  <w:marBottom w:val="0"/>
                                  <w:divBdr>
                                    <w:top w:val="none" w:sz="0" w:space="0" w:color="auto"/>
                                    <w:left w:val="none" w:sz="0" w:space="0" w:color="auto"/>
                                    <w:bottom w:val="none" w:sz="0" w:space="0" w:color="auto"/>
                                    <w:right w:val="none" w:sz="0" w:space="0" w:color="auto"/>
                                  </w:divBdr>
                                  <w:divsChild>
                                    <w:div w:id="689988390">
                                      <w:marLeft w:val="0"/>
                                      <w:marRight w:val="0"/>
                                      <w:marTop w:val="0"/>
                                      <w:marBottom w:val="0"/>
                                      <w:divBdr>
                                        <w:top w:val="none" w:sz="0" w:space="0" w:color="auto"/>
                                        <w:left w:val="none" w:sz="0" w:space="0" w:color="auto"/>
                                        <w:bottom w:val="none" w:sz="0" w:space="0" w:color="auto"/>
                                        <w:right w:val="none" w:sz="0" w:space="0" w:color="auto"/>
                                      </w:divBdr>
                                      <w:divsChild>
                                        <w:div w:id="606348165">
                                          <w:marLeft w:val="0"/>
                                          <w:marRight w:val="0"/>
                                          <w:marTop w:val="0"/>
                                          <w:marBottom w:val="495"/>
                                          <w:divBdr>
                                            <w:top w:val="none" w:sz="0" w:space="0" w:color="auto"/>
                                            <w:left w:val="none" w:sz="0" w:space="0" w:color="auto"/>
                                            <w:bottom w:val="none" w:sz="0" w:space="0" w:color="auto"/>
                                            <w:right w:val="none" w:sz="0" w:space="0" w:color="auto"/>
                                          </w:divBdr>
                                          <w:divsChild>
                                            <w:div w:id="112755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4536964">
      <w:bodyDiv w:val="1"/>
      <w:marLeft w:val="0"/>
      <w:marRight w:val="0"/>
      <w:marTop w:val="0"/>
      <w:marBottom w:val="0"/>
      <w:divBdr>
        <w:top w:val="none" w:sz="0" w:space="0" w:color="auto"/>
        <w:left w:val="none" w:sz="0" w:space="0" w:color="auto"/>
        <w:bottom w:val="none" w:sz="0" w:space="0" w:color="auto"/>
        <w:right w:val="none" w:sz="0" w:space="0" w:color="auto"/>
      </w:divBdr>
      <w:divsChild>
        <w:div w:id="837115537">
          <w:marLeft w:val="0"/>
          <w:marRight w:val="0"/>
          <w:marTop w:val="0"/>
          <w:marBottom w:val="0"/>
          <w:divBdr>
            <w:top w:val="none" w:sz="0" w:space="0" w:color="auto"/>
            <w:left w:val="none" w:sz="0" w:space="0" w:color="auto"/>
            <w:bottom w:val="none" w:sz="0" w:space="0" w:color="auto"/>
            <w:right w:val="none" w:sz="0" w:space="0" w:color="auto"/>
          </w:divBdr>
          <w:divsChild>
            <w:div w:id="48388357">
              <w:marLeft w:val="0"/>
              <w:marRight w:val="0"/>
              <w:marTop w:val="0"/>
              <w:marBottom w:val="0"/>
              <w:divBdr>
                <w:top w:val="none" w:sz="0" w:space="0" w:color="auto"/>
                <w:left w:val="none" w:sz="0" w:space="0" w:color="auto"/>
                <w:bottom w:val="none" w:sz="0" w:space="0" w:color="auto"/>
                <w:right w:val="none" w:sz="0" w:space="0" w:color="auto"/>
              </w:divBdr>
              <w:divsChild>
                <w:div w:id="785926029">
                  <w:marLeft w:val="0"/>
                  <w:marRight w:val="0"/>
                  <w:marTop w:val="0"/>
                  <w:marBottom w:val="0"/>
                  <w:divBdr>
                    <w:top w:val="none" w:sz="0" w:space="0" w:color="auto"/>
                    <w:left w:val="none" w:sz="0" w:space="0" w:color="auto"/>
                    <w:bottom w:val="none" w:sz="0" w:space="0" w:color="auto"/>
                    <w:right w:val="none" w:sz="0" w:space="0" w:color="auto"/>
                  </w:divBdr>
                  <w:divsChild>
                    <w:div w:id="1655798987">
                      <w:marLeft w:val="0"/>
                      <w:marRight w:val="0"/>
                      <w:marTop w:val="0"/>
                      <w:marBottom w:val="0"/>
                      <w:divBdr>
                        <w:top w:val="none" w:sz="0" w:space="0" w:color="auto"/>
                        <w:left w:val="none" w:sz="0" w:space="0" w:color="auto"/>
                        <w:bottom w:val="none" w:sz="0" w:space="0" w:color="auto"/>
                        <w:right w:val="none" w:sz="0" w:space="0" w:color="auto"/>
                      </w:divBdr>
                      <w:divsChild>
                        <w:div w:id="1112940358">
                          <w:marLeft w:val="0"/>
                          <w:marRight w:val="0"/>
                          <w:marTop w:val="0"/>
                          <w:marBottom w:val="0"/>
                          <w:divBdr>
                            <w:top w:val="none" w:sz="0" w:space="0" w:color="auto"/>
                            <w:left w:val="none" w:sz="0" w:space="0" w:color="auto"/>
                            <w:bottom w:val="none" w:sz="0" w:space="0" w:color="auto"/>
                            <w:right w:val="none" w:sz="0" w:space="0" w:color="auto"/>
                          </w:divBdr>
                          <w:divsChild>
                            <w:div w:id="1795755301">
                              <w:marLeft w:val="0"/>
                              <w:marRight w:val="0"/>
                              <w:marTop w:val="0"/>
                              <w:marBottom w:val="0"/>
                              <w:divBdr>
                                <w:top w:val="none" w:sz="0" w:space="0" w:color="auto"/>
                                <w:left w:val="none" w:sz="0" w:space="0" w:color="auto"/>
                                <w:bottom w:val="none" w:sz="0" w:space="0" w:color="auto"/>
                                <w:right w:val="none" w:sz="0" w:space="0" w:color="auto"/>
                              </w:divBdr>
                              <w:divsChild>
                                <w:div w:id="47804683">
                                  <w:marLeft w:val="0"/>
                                  <w:marRight w:val="0"/>
                                  <w:marTop w:val="0"/>
                                  <w:marBottom w:val="0"/>
                                  <w:divBdr>
                                    <w:top w:val="none" w:sz="0" w:space="0" w:color="auto"/>
                                    <w:left w:val="none" w:sz="0" w:space="0" w:color="auto"/>
                                    <w:bottom w:val="none" w:sz="0" w:space="0" w:color="auto"/>
                                    <w:right w:val="none" w:sz="0" w:space="0" w:color="auto"/>
                                  </w:divBdr>
                                  <w:divsChild>
                                    <w:div w:id="693001626">
                                      <w:marLeft w:val="0"/>
                                      <w:marRight w:val="0"/>
                                      <w:marTop w:val="0"/>
                                      <w:marBottom w:val="0"/>
                                      <w:divBdr>
                                        <w:top w:val="none" w:sz="0" w:space="0" w:color="auto"/>
                                        <w:left w:val="none" w:sz="0" w:space="0" w:color="auto"/>
                                        <w:bottom w:val="none" w:sz="0" w:space="0" w:color="auto"/>
                                        <w:right w:val="none" w:sz="0" w:space="0" w:color="auto"/>
                                      </w:divBdr>
                                      <w:divsChild>
                                        <w:div w:id="44569112">
                                          <w:marLeft w:val="0"/>
                                          <w:marRight w:val="0"/>
                                          <w:marTop w:val="0"/>
                                          <w:marBottom w:val="495"/>
                                          <w:divBdr>
                                            <w:top w:val="none" w:sz="0" w:space="0" w:color="auto"/>
                                            <w:left w:val="none" w:sz="0" w:space="0" w:color="auto"/>
                                            <w:bottom w:val="none" w:sz="0" w:space="0" w:color="auto"/>
                                            <w:right w:val="none" w:sz="0" w:space="0" w:color="auto"/>
                                          </w:divBdr>
                                          <w:divsChild>
                                            <w:div w:id="49244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7.xml"/><Relationship Id="rId299" Type="http://schemas.openxmlformats.org/officeDocument/2006/relationships/header" Target="header94.xml"/><Relationship Id="rId303" Type="http://schemas.openxmlformats.org/officeDocument/2006/relationships/footer" Target="footer29.xml"/><Relationship Id="rId21" Type="http://schemas.openxmlformats.org/officeDocument/2006/relationships/hyperlink" Target="https://www.easa.europa.eu/document-library/certification-specifications/cs-adr-dsn-issue-4" TargetMode="External"/><Relationship Id="rId42" Type="http://schemas.openxmlformats.org/officeDocument/2006/relationships/header" Target="header12.xml"/><Relationship Id="rId63" Type="http://schemas.openxmlformats.org/officeDocument/2006/relationships/image" Target="media/image5.emf"/><Relationship Id="rId84" Type="http://schemas.openxmlformats.org/officeDocument/2006/relationships/image" Target="media/image23.png"/><Relationship Id="rId138" Type="http://schemas.openxmlformats.org/officeDocument/2006/relationships/header" Target="header59.xml"/><Relationship Id="rId159" Type="http://schemas.openxmlformats.org/officeDocument/2006/relationships/image" Target="media/image59.emf"/><Relationship Id="rId324" Type="http://schemas.openxmlformats.org/officeDocument/2006/relationships/image" Target="media/image160.png"/><Relationship Id="rId345" Type="http://schemas.openxmlformats.org/officeDocument/2006/relationships/image" Target="media/image165.png"/><Relationship Id="rId170" Type="http://schemas.openxmlformats.org/officeDocument/2006/relationships/footer" Target="footer15.xml"/><Relationship Id="rId191" Type="http://schemas.openxmlformats.org/officeDocument/2006/relationships/footer" Target="footer21.xml"/><Relationship Id="rId205" Type="http://schemas.openxmlformats.org/officeDocument/2006/relationships/image" Target="media/image80.png"/><Relationship Id="rId226" Type="http://schemas.openxmlformats.org/officeDocument/2006/relationships/image" Target="media/image93.emf"/><Relationship Id="rId247" Type="http://schemas.openxmlformats.org/officeDocument/2006/relationships/image" Target="media/image104.png"/><Relationship Id="rId107" Type="http://schemas.openxmlformats.org/officeDocument/2006/relationships/footer" Target="footer12.xml"/><Relationship Id="rId268" Type="http://schemas.openxmlformats.org/officeDocument/2006/relationships/oleObject" Target="embeddings/oleObject4.bin"/><Relationship Id="rId289" Type="http://schemas.openxmlformats.org/officeDocument/2006/relationships/image" Target="media/image130.jpeg"/><Relationship Id="rId11" Type="http://schemas.openxmlformats.org/officeDocument/2006/relationships/header" Target="header2.xml"/><Relationship Id="rId32" Type="http://schemas.openxmlformats.org/officeDocument/2006/relationships/hyperlink" Target="https://www.easa.europa.eu/document-library/certification-specifications/cs-adr-dsn-issue-4" TargetMode="External"/><Relationship Id="rId53" Type="http://schemas.openxmlformats.org/officeDocument/2006/relationships/header" Target="header19.xml"/><Relationship Id="rId74" Type="http://schemas.openxmlformats.org/officeDocument/2006/relationships/image" Target="media/image12.emf"/><Relationship Id="rId128" Type="http://schemas.openxmlformats.org/officeDocument/2006/relationships/header" Target="header54.xml"/><Relationship Id="rId149" Type="http://schemas.openxmlformats.org/officeDocument/2006/relationships/image" Target="media/image50.png"/><Relationship Id="rId314" Type="http://schemas.openxmlformats.org/officeDocument/2006/relationships/image" Target="media/image142.emf"/><Relationship Id="rId335" Type="http://schemas.openxmlformats.org/officeDocument/2006/relationships/image" Target="media/image154.png"/><Relationship Id="rId5" Type="http://schemas.openxmlformats.org/officeDocument/2006/relationships/settings" Target="settings.xml"/><Relationship Id="rId95" Type="http://schemas.openxmlformats.org/officeDocument/2006/relationships/header" Target="header32.xml"/><Relationship Id="rId160" Type="http://schemas.openxmlformats.org/officeDocument/2006/relationships/header" Target="header62.xml"/><Relationship Id="rId181" Type="http://schemas.openxmlformats.org/officeDocument/2006/relationships/image" Target="media/image68.emf"/><Relationship Id="rId216" Type="http://schemas.openxmlformats.org/officeDocument/2006/relationships/image" Target="media/image96.png"/><Relationship Id="rId237" Type="http://schemas.openxmlformats.org/officeDocument/2006/relationships/header" Target="header82.xml"/><Relationship Id="rId258" Type="http://schemas.openxmlformats.org/officeDocument/2006/relationships/image" Target="media/image109.jpeg"/><Relationship Id="rId279" Type="http://schemas.openxmlformats.org/officeDocument/2006/relationships/image" Target="media/image121.jpeg"/><Relationship Id="rId22" Type="http://schemas.openxmlformats.org/officeDocument/2006/relationships/hyperlink" Target="mailto:erules@easa.europa.eu" TargetMode="External"/><Relationship Id="rId43" Type="http://schemas.openxmlformats.org/officeDocument/2006/relationships/footer" Target="footer8.xml"/><Relationship Id="rId64" Type="http://schemas.openxmlformats.org/officeDocument/2006/relationships/image" Target="media/image6.emf"/><Relationship Id="rId118" Type="http://schemas.openxmlformats.org/officeDocument/2006/relationships/image" Target="media/image35.emf"/><Relationship Id="rId139" Type="http://schemas.openxmlformats.org/officeDocument/2006/relationships/image" Target="media/image43.jpeg"/><Relationship Id="rId290" Type="http://schemas.openxmlformats.org/officeDocument/2006/relationships/image" Target="media/image131.jpeg"/><Relationship Id="rId304" Type="http://schemas.openxmlformats.org/officeDocument/2006/relationships/header" Target="header97.xml"/><Relationship Id="rId325" Type="http://schemas.openxmlformats.org/officeDocument/2006/relationships/image" Target="media/image149.png"/><Relationship Id="rId346" Type="http://schemas.openxmlformats.org/officeDocument/2006/relationships/image" Target="media/image166.png"/><Relationship Id="rId85" Type="http://schemas.openxmlformats.org/officeDocument/2006/relationships/image" Target="media/image22.png"/><Relationship Id="rId150" Type="http://schemas.openxmlformats.org/officeDocument/2006/relationships/image" Target="media/image51.emf"/><Relationship Id="rId171" Type="http://schemas.openxmlformats.org/officeDocument/2006/relationships/header" Target="header68.xml"/><Relationship Id="rId192" Type="http://schemas.openxmlformats.org/officeDocument/2006/relationships/image" Target="media/image71.emf"/><Relationship Id="rId206" Type="http://schemas.openxmlformats.org/officeDocument/2006/relationships/image" Target="media/image81.png"/><Relationship Id="rId227" Type="http://schemas.openxmlformats.org/officeDocument/2006/relationships/image" Target="media/image94.emf"/><Relationship Id="rId248" Type="http://schemas.openxmlformats.org/officeDocument/2006/relationships/image" Target="media/image105.emf"/><Relationship Id="rId269" Type="http://schemas.openxmlformats.org/officeDocument/2006/relationships/image" Target="media/image116.jpeg"/><Relationship Id="rId12" Type="http://schemas.openxmlformats.org/officeDocument/2006/relationships/footer" Target="footer1.xml"/><Relationship Id="rId33" Type="http://schemas.openxmlformats.org/officeDocument/2006/relationships/hyperlink" Target="https://www.easa.europa.eu/sites/default/files/dfu/ED%20Decision%202019-012-R.pdf" TargetMode="External"/><Relationship Id="rId108" Type="http://schemas.openxmlformats.org/officeDocument/2006/relationships/header" Target="header42.xml"/><Relationship Id="rId129" Type="http://schemas.openxmlformats.org/officeDocument/2006/relationships/header" Target="header55.xml"/><Relationship Id="rId280" Type="http://schemas.openxmlformats.org/officeDocument/2006/relationships/oleObject" Target="embeddings/oleObject10.bin"/><Relationship Id="rId315" Type="http://schemas.openxmlformats.org/officeDocument/2006/relationships/image" Target="media/image143.emf"/><Relationship Id="rId336" Type="http://schemas.openxmlformats.org/officeDocument/2006/relationships/image" Target="media/image170.png"/><Relationship Id="rId54" Type="http://schemas.openxmlformats.org/officeDocument/2006/relationships/header" Target="header20.xml"/><Relationship Id="rId75" Type="http://schemas.openxmlformats.org/officeDocument/2006/relationships/image" Target="media/image13.png"/><Relationship Id="rId96" Type="http://schemas.openxmlformats.org/officeDocument/2006/relationships/header" Target="header33.xml"/><Relationship Id="rId140" Type="http://schemas.openxmlformats.org/officeDocument/2006/relationships/header" Target="header60.xml"/><Relationship Id="rId161" Type="http://schemas.openxmlformats.org/officeDocument/2006/relationships/header" Target="header63.xml"/><Relationship Id="rId182" Type="http://schemas.openxmlformats.org/officeDocument/2006/relationships/header" Target="header71.xml"/><Relationship Id="rId217" Type="http://schemas.openxmlformats.org/officeDocument/2006/relationships/image" Target="media/image90.png"/><Relationship Id="rId6" Type="http://schemas.openxmlformats.org/officeDocument/2006/relationships/webSettings" Target="webSettings.xml"/><Relationship Id="rId238" Type="http://schemas.openxmlformats.org/officeDocument/2006/relationships/header" Target="header83.xml"/><Relationship Id="rId259" Type="http://schemas.openxmlformats.org/officeDocument/2006/relationships/image" Target="media/image110.emf"/><Relationship Id="rId23" Type="http://schemas.openxmlformats.org/officeDocument/2006/relationships/header" Target="header7.xml"/><Relationship Id="rId119" Type="http://schemas.openxmlformats.org/officeDocument/2006/relationships/image" Target="media/image36.emf"/><Relationship Id="rId270" Type="http://schemas.openxmlformats.org/officeDocument/2006/relationships/oleObject" Target="embeddings/oleObject5.bin"/><Relationship Id="rId291" Type="http://schemas.openxmlformats.org/officeDocument/2006/relationships/image" Target="media/image132.jpeg"/><Relationship Id="rId305" Type="http://schemas.openxmlformats.org/officeDocument/2006/relationships/header" Target="header98.xml"/><Relationship Id="rId326" Type="http://schemas.openxmlformats.org/officeDocument/2006/relationships/image" Target="media/image162.png"/><Relationship Id="rId347" Type="http://schemas.openxmlformats.org/officeDocument/2006/relationships/image" Target="media/image167.png"/><Relationship Id="rId44" Type="http://schemas.openxmlformats.org/officeDocument/2006/relationships/header" Target="header13.xml"/><Relationship Id="rId65" Type="http://schemas.openxmlformats.org/officeDocument/2006/relationships/header" Target="header27.xml"/><Relationship Id="rId86" Type="http://schemas.openxmlformats.org/officeDocument/2006/relationships/image" Target="media/image25.png"/><Relationship Id="rId130" Type="http://schemas.openxmlformats.org/officeDocument/2006/relationships/image" Target="media/image38.emf"/><Relationship Id="rId151" Type="http://schemas.openxmlformats.org/officeDocument/2006/relationships/image" Target="media/image52.emf"/><Relationship Id="rId172" Type="http://schemas.openxmlformats.org/officeDocument/2006/relationships/footer" Target="footer16.xml"/><Relationship Id="rId193" Type="http://schemas.openxmlformats.org/officeDocument/2006/relationships/image" Target="media/image72.png"/><Relationship Id="rId207" Type="http://schemas.openxmlformats.org/officeDocument/2006/relationships/image" Target="media/image82.png"/><Relationship Id="rId228" Type="http://schemas.openxmlformats.org/officeDocument/2006/relationships/image" Target="media/image95.jpeg"/><Relationship Id="rId249" Type="http://schemas.openxmlformats.org/officeDocument/2006/relationships/header" Target="header87.xml"/><Relationship Id="rId13" Type="http://schemas.openxmlformats.org/officeDocument/2006/relationships/header" Target="header3.xml"/><Relationship Id="rId109" Type="http://schemas.openxmlformats.org/officeDocument/2006/relationships/header" Target="header43.xml"/><Relationship Id="rId260" Type="http://schemas.openxmlformats.org/officeDocument/2006/relationships/image" Target="media/image111.jpeg"/><Relationship Id="rId281" Type="http://schemas.openxmlformats.org/officeDocument/2006/relationships/image" Target="media/image122.jpeg"/><Relationship Id="rId316" Type="http://schemas.openxmlformats.org/officeDocument/2006/relationships/header" Target="header103.xml"/><Relationship Id="rId337" Type="http://schemas.openxmlformats.org/officeDocument/2006/relationships/image" Target="media/image156.png"/><Relationship Id="rId34" Type="http://schemas.openxmlformats.org/officeDocument/2006/relationships/header" Target="header8.xml"/><Relationship Id="rId55" Type="http://schemas.openxmlformats.org/officeDocument/2006/relationships/header" Target="header21.xml"/><Relationship Id="rId76" Type="http://schemas.openxmlformats.org/officeDocument/2006/relationships/image" Target="media/image14.emf"/><Relationship Id="rId97" Type="http://schemas.openxmlformats.org/officeDocument/2006/relationships/header" Target="header34.xml"/><Relationship Id="rId120" Type="http://schemas.openxmlformats.org/officeDocument/2006/relationships/header" Target="header48.xml"/><Relationship Id="rId141" Type="http://schemas.openxmlformats.org/officeDocument/2006/relationships/header" Target="header61.xml"/><Relationship Id="rId7" Type="http://schemas.openxmlformats.org/officeDocument/2006/relationships/footnotes" Target="footnotes.xml"/><Relationship Id="rId162" Type="http://schemas.openxmlformats.org/officeDocument/2006/relationships/header" Target="header64.xml"/><Relationship Id="rId183" Type="http://schemas.openxmlformats.org/officeDocument/2006/relationships/footer" Target="footer18.xml"/><Relationship Id="rId218" Type="http://schemas.openxmlformats.org/officeDocument/2006/relationships/image" Target="media/image98.png"/><Relationship Id="rId239" Type="http://schemas.openxmlformats.org/officeDocument/2006/relationships/footer" Target="footer24.xml"/><Relationship Id="rId250" Type="http://schemas.openxmlformats.org/officeDocument/2006/relationships/header" Target="header88.xml"/><Relationship Id="rId271" Type="http://schemas.openxmlformats.org/officeDocument/2006/relationships/image" Target="media/image117.jpeg"/><Relationship Id="rId292" Type="http://schemas.openxmlformats.org/officeDocument/2006/relationships/image" Target="media/image133.emf"/><Relationship Id="rId306" Type="http://schemas.openxmlformats.org/officeDocument/2006/relationships/image" Target="media/image138.png"/><Relationship Id="rId24" Type="http://schemas.openxmlformats.org/officeDocument/2006/relationships/hyperlink" Target="http://eur-lex.europa.eu/LexUriServ/LexUriServ.do?uri=OJ:L:2014:044:0001:0034:EN:PDF" TargetMode="External"/><Relationship Id="rId45" Type="http://schemas.openxmlformats.org/officeDocument/2006/relationships/footer" Target="footer9.xml"/><Relationship Id="rId66" Type="http://schemas.openxmlformats.org/officeDocument/2006/relationships/header" Target="header28.xml"/><Relationship Id="rId87" Type="http://schemas.openxmlformats.org/officeDocument/2006/relationships/image" Target="media/image23.emf"/><Relationship Id="rId110" Type="http://schemas.openxmlformats.org/officeDocument/2006/relationships/image" Target="media/image31.jpeg"/><Relationship Id="rId131" Type="http://schemas.openxmlformats.org/officeDocument/2006/relationships/image" Target="media/image39.emf"/><Relationship Id="rId327" Type="http://schemas.openxmlformats.org/officeDocument/2006/relationships/image" Target="media/image150.png"/><Relationship Id="rId348" Type="http://schemas.openxmlformats.org/officeDocument/2006/relationships/image" Target="media/image168.emf"/><Relationship Id="rId152" Type="http://schemas.openxmlformats.org/officeDocument/2006/relationships/image" Target="media/image53.emf"/><Relationship Id="rId173" Type="http://schemas.openxmlformats.org/officeDocument/2006/relationships/image" Target="media/image63.emf"/><Relationship Id="rId194" Type="http://schemas.openxmlformats.org/officeDocument/2006/relationships/image" Target="media/image73.emf"/><Relationship Id="rId208" Type="http://schemas.openxmlformats.org/officeDocument/2006/relationships/image" Target="media/image83.emf"/><Relationship Id="rId229" Type="http://schemas.openxmlformats.org/officeDocument/2006/relationships/image" Target="media/image96.jpeg"/><Relationship Id="rId240" Type="http://schemas.openxmlformats.org/officeDocument/2006/relationships/header" Target="header84.xml"/><Relationship Id="rId261" Type="http://schemas.openxmlformats.org/officeDocument/2006/relationships/image" Target="media/image112.wmf"/><Relationship Id="rId14" Type="http://schemas.openxmlformats.org/officeDocument/2006/relationships/header" Target="header4.xml"/><Relationship Id="rId35" Type="http://schemas.openxmlformats.org/officeDocument/2006/relationships/header" Target="header9.xml"/><Relationship Id="rId56" Type="http://schemas.openxmlformats.org/officeDocument/2006/relationships/header" Target="header22.xml"/><Relationship Id="rId77" Type="http://schemas.openxmlformats.org/officeDocument/2006/relationships/image" Target="media/image15.emf"/><Relationship Id="rId100" Type="http://schemas.openxmlformats.org/officeDocument/2006/relationships/header" Target="header36.xml"/><Relationship Id="rId282" Type="http://schemas.openxmlformats.org/officeDocument/2006/relationships/image" Target="media/image123.jpeg"/><Relationship Id="rId317" Type="http://schemas.openxmlformats.org/officeDocument/2006/relationships/header" Target="header104.xml"/><Relationship Id="rId338" Type="http://schemas.openxmlformats.org/officeDocument/2006/relationships/image" Target="media/image158.png"/><Relationship Id="rId8" Type="http://schemas.openxmlformats.org/officeDocument/2006/relationships/endnotes" Target="endnotes.xml"/><Relationship Id="rId98" Type="http://schemas.openxmlformats.org/officeDocument/2006/relationships/image" Target="media/image30.emf"/><Relationship Id="rId121" Type="http://schemas.openxmlformats.org/officeDocument/2006/relationships/header" Target="header49.xml"/><Relationship Id="rId142" Type="http://schemas.openxmlformats.org/officeDocument/2006/relationships/image" Target="media/image44.emf"/><Relationship Id="rId163" Type="http://schemas.openxmlformats.org/officeDocument/2006/relationships/header" Target="header65.xml"/><Relationship Id="rId184" Type="http://schemas.openxmlformats.org/officeDocument/2006/relationships/header" Target="header72.xml"/><Relationship Id="rId219" Type="http://schemas.openxmlformats.org/officeDocument/2006/relationships/image" Target="media/image91.emf"/><Relationship Id="rId230" Type="http://schemas.openxmlformats.org/officeDocument/2006/relationships/image" Target="media/image97.jpeg"/><Relationship Id="rId251" Type="http://schemas.openxmlformats.org/officeDocument/2006/relationships/header" Target="header89.xml"/><Relationship Id="rId25" Type="http://schemas.openxmlformats.org/officeDocument/2006/relationships/hyperlink" Target="https://eur-lex.europa.eu/legal-content/EN/TXT/?uri=CELEX:32018R0401" TargetMode="External"/><Relationship Id="rId46" Type="http://schemas.openxmlformats.org/officeDocument/2006/relationships/header" Target="header14.xml"/><Relationship Id="rId67" Type="http://schemas.openxmlformats.org/officeDocument/2006/relationships/header" Target="header29.xml"/><Relationship Id="rId272" Type="http://schemas.openxmlformats.org/officeDocument/2006/relationships/oleObject" Target="embeddings/oleObject6.bin"/><Relationship Id="rId293" Type="http://schemas.openxmlformats.org/officeDocument/2006/relationships/image" Target="media/image134.jpeg"/><Relationship Id="rId307" Type="http://schemas.openxmlformats.org/officeDocument/2006/relationships/header" Target="header99.xml"/><Relationship Id="rId328" Type="http://schemas.openxmlformats.org/officeDocument/2006/relationships/image" Target="media/image164.png"/><Relationship Id="rId349" Type="http://schemas.openxmlformats.org/officeDocument/2006/relationships/image" Target="media/image169.png"/><Relationship Id="rId20" Type="http://schemas.openxmlformats.org/officeDocument/2006/relationships/header" Target="header6.xml"/><Relationship Id="rId41" Type="http://schemas.openxmlformats.org/officeDocument/2006/relationships/footer" Target="footer7.xml"/><Relationship Id="rId62" Type="http://schemas.openxmlformats.org/officeDocument/2006/relationships/image" Target="media/image5.png"/><Relationship Id="rId83" Type="http://schemas.openxmlformats.org/officeDocument/2006/relationships/image" Target="media/image21.png"/><Relationship Id="rId88" Type="http://schemas.openxmlformats.org/officeDocument/2006/relationships/image" Target="media/image24.emf"/><Relationship Id="rId111" Type="http://schemas.openxmlformats.org/officeDocument/2006/relationships/image" Target="media/image32.jpeg"/><Relationship Id="rId132" Type="http://schemas.openxmlformats.org/officeDocument/2006/relationships/image" Target="media/image40.emf"/><Relationship Id="rId153" Type="http://schemas.openxmlformats.org/officeDocument/2006/relationships/image" Target="media/image54.emf"/><Relationship Id="rId174" Type="http://schemas.openxmlformats.org/officeDocument/2006/relationships/header" Target="header69.xml"/><Relationship Id="rId179" Type="http://schemas.openxmlformats.org/officeDocument/2006/relationships/image" Target="media/image66.emf"/><Relationship Id="rId195" Type="http://schemas.openxmlformats.org/officeDocument/2006/relationships/image" Target="media/image74.emf"/><Relationship Id="rId209" Type="http://schemas.openxmlformats.org/officeDocument/2006/relationships/image" Target="media/image84.emf"/><Relationship Id="rId190" Type="http://schemas.openxmlformats.org/officeDocument/2006/relationships/header" Target="header74.xml"/><Relationship Id="rId204" Type="http://schemas.openxmlformats.org/officeDocument/2006/relationships/image" Target="media/image79.png"/><Relationship Id="rId220" Type="http://schemas.openxmlformats.org/officeDocument/2006/relationships/header" Target="header77.xml"/><Relationship Id="rId225" Type="http://schemas.openxmlformats.org/officeDocument/2006/relationships/header" Target="header80.xml"/><Relationship Id="rId241" Type="http://schemas.openxmlformats.org/officeDocument/2006/relationships/footer" Target="footer25.xml"/><Relationship Id="rId246" Type="http://schemas.openxmlformats.org/officeDocument/2006/relationships/image" Target="media/image103.emf"/><Relationship Id="rId267" Type="http://schemas.openxmlformats.org/officeDocument/2006/relationships/image" Target="media/image115.jpeg"/><Relationship Id="rId288" Type="http://schemas.openxmlformats.org/officeDocument/2006/relationships/image" Target="media/image129.jpeg"/><Relationship Id="rId15" Type="http://schemas.openxmlformats.org/officeDocument/2006/relationships/footer" Target="footer2.xml"/><Relationship Id="rId36" Type="http://schemas.openxmlformats.org/officeDocument/2006/relationships/footer" Target="footer5.xml"/><Relationship Id="rId57" Type="http://schemas.openxmlformats.org/officeDocument/2006/relationships/header" Target="header23.xml"/><Relationship Id="rId106" Type="http://schemas.openxmlformats.org/officeDocument/2006/relationships/header" Target="header41.xml"/><Relationship Id="rId127" Type="http://schemas.openxmlformats.org/officeDocument/2006/relationships/image" Target="media/image37.emf"/><Relationship Id="rId262" Type="http://schemas.openxmlformats.org/officeDocument/2006/relationships/oleObject" Target="embeddings/oleObject1.bin"/><Relationship Id="rId283" Type="http://schemas.openxmlformats.org/officeDocument/2006/relationships/image" Target="media/image124.jpeg"/><Relationship Id="rId313" Type="http://schemas.openxmlformats.org/officeDocument/2006/relationships/image" Target="media/image141.emf"/><Relationship Id="rId318" Type="http://schemas.openxmlformats.org/officeDocument/2006/relationships/image" Target="media/image144.png"/><Relationship Id="rId339" Type="http://schemas.openxmlformats.org/officeDocument/2006/relationships/image" Target="media/image173.png"/><Relationship Id="rId10" Type="http://schemas.openxmlformats.org/officeDocument/2006/relationships/header" Target="header1.xml"/><Relationship Id="rId31" Type="http://schemas.openxmlformats.org/officeDocument/2006/relationships/hyperlink" Target="https://www.easa.europa.eu/document-library/acceptable-means-of-compliance-and-guidance-materials/amcgm-aerodromes-%E2%80%94-amendment" TargetMode="External"/><Relationship Id="rId52" Type="http://schemas.openxmlformats.org/officeDocument/2006/relationships/hyperlink" Target="http://eur-lex.europa.eu/legal-content/EN/TXT/?uri=CELEX:02008R0216-20130129" TargetMode="External"/><Relationship Id="rId73" Type="http://schemas.openxmlformats.org/officeDocument/2006/relationships/image" Target="media/image11.emf"/><Relationship Id="rId78" Type="http://schemas.openxmlformats.org/officeDocument/2006/relationships/image" Target="media/image16.emf"/><Relationship Id="rId94" Type="http://schemas.openxmlformats.org/officeDocument/2006/relationships/header" Target="header31.xml"/><Relationship Id="rId99" Type="http://schemas.openxmlformats.org/officeDocument/2006/relationships/header" Target="header35.xml"/><Relationship Id="rId101" Type="http://schemas.openxmlformats.org/officeDocument/2006/relationships/header" Target="header37.xml"/><Relationship Id="rId122" Type="http://schemas.openxmlformats.org/officeDocument/2006/relationships/footer" Target="footer13.xml"/><Relationship Id="rId143" Type="http://schemas.openxmlformats.org/officeDocument/2006/relationships/image" Target="media/image45.png"/><Relationship Id="rId148" Type="http://schemas.openxmlformats.org/officeDocument/2006/relationships/image" Target="media/image49.emf"/><Relationship Id="rId164" Type="http://schemas.openxmlformats.org/officeDocument/2006/relationships/image" Target="media/image60.png"/><Relationship Id="rId169" Type="http://schemas.openxmlformats.org/officeDocument/2006/relationships/header" Target="header67.xml"/><Relationship Id="rId185" Type="http://schemas.openxmlformats.org/officeDocument/2006/relationships/footer" Target="footer19.xml"/><Relationship Id="rId334" Type="http://schemas.openxmlformats.org/officeDocument/2006/relationships/image" Target="media/image168.png"/><Relationship Id="rId350" Type="http://schemas.openxmlformats.org/officeDocument/2006/relationships/hyperlink" Target="mailto:rkita@ulc.gov.pl"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67.emf"/><Relationship Id="rId210" Type="http://schemas.openxmlformats.org/officeDocument/2006/relationships/image" Target="media/image85.png"/><Relationship Id="rId215" Type="http://schemas.openxmlformats.org/officeDocument/2006/relationships/image" Target="media/image89.png"/><Relationship Id="rId236" Type="http://schemas.openxmlformats.org/officeDocument/2006/relationships/header" Target="header81.xml"/><Relationship Id="rId257" Type="http://schemas.openxmlformats.org/officeDocument/2006/relationships/image" Target="media/image108.emf"/><Relationship Id="rId278" Type="http://schemas.openxmlformats.org/officeDocument/2006/relationships/oleObject" Target="embeddings/oleObject9.bin"/><Relationship Id="rId26" Type="http://schemas.openxmlformats.org/officeDocument/2006/relationships/hyperlink" Target="https://www.easa.europa.eu/document-library/agency-decisions/ed-decision-2014012r" TargetMode="External"/><Relationship Id="rId231" Type="http://schemas.openxmlformats.org/officeDocument/2006/relationships/image" Target="media/image98.jpeg"/><Relationship Id="rId252" Type="http://schemas.openxmlformats.org/officeDocument/2006/relationships/header" Target="header90.xml"/><Relationship Id="rId273" Type="http://schemas.openxmlformats.org/officeDocument/2006/relationships/image" Target="media/image118.jpeg"/><Relationship Id="rId294" Type="http://schemas.openxmlformats.org/officeDocument/2006/relationships/image" Target="media/image135.jpeg"/><Relationship Id="rId308" Type="http://schemas.openxmlformats.org/officeDocument/2006/relationships/header" Target="header100.xml"/><Relationship Id="rId329" Type="http://schemas.openxmlformats.org/officeDocument/2006/relationships/image" Target="media/image151.emf"/><Relationship Id="rId47" Type="http://schemas.openxmlformats.org/officeDocument/2006/relationships/footer" Target="footer10.xml"/><Relationship Id="rId68" Type="http://schemas.openxmlformats.org/officeDocument/2006/relationships/header" Target="header30.xml"/><Relationship Id="rId89" Type="http://schemas.openxmlformats.org/officeDocument/2006/relationships/image" Target="media/image25.emf"/><Relationship Id="rId112" Type="http://schemas.openxmlformats.org/officeDocument/2006/relationships/image" Target="media/image33.jpeg"/><Relationship Id="rId133" Type="http://schemas.openxmlformats.org/officeDocument/2006/relationships/image" Target="media/image41.emf"/><Relationship Id="rId154" Type="http://schemas.openxmlformats.org/officeDocument/2006/relationships/image" Target="media/image55.jpg"/><Relationship Id="rId175" Type="http://schemas.openxmlformats.org/officeDocument/2006/relationships/header" Target="header70.xml"/><Relationship Id="rId340" Type="http://schemas.openxmlformats.org/officeDocument/2006/relationships/image" Target="media/image159.png"/><Relationship Id="rId196" Type="http://schemas.openxmlformats.org/officeDocument/2006/relationships/image" Target="media/image75.emf"/><Relationship Id="rId200" Type="http://schemas.openxmlformats.org/officeDocument/2006/relationships/header" Target="header76.xml"/><Relationship Id="rId16" Type="http://schemas.openxmlformats.org/officeDocument/2006/relationships/hyperlink" Target="http://eur-lex.europa.eu/" TargetMode="External"/><Relationship Id="rId221" Type="http://schemas.openxmlformats.org/officeDocument/2006/relationships/header" Target="header78.xml"/><Relationship Id="rId242" Type="http://schemas.openxmlformats.org/officeDocument/2006/relationships/header" Target="header85.xml"/><Relationship Id="rId263" Type="http://schemas.openxmlformats.org/officeDocument/2006/relationships/image" Target="media/image113.jpeg"/><Relationship Id="rId284" Type="http://schemas.openxmlformats.org/officeDocument/2006/relationships/image" Target="media/image125.jpeg"/><Relationship Id="rId319" Type="http://schemas.openxmlformats.org/officeDocument/2006/relationships/image" Target="media/image155.png"/><Relationship Id="rId37" Type="http://schemas.openxmlformats.org/officeDocument/2006/relationships/header" Target="header10.xml"/><Relationship Id="rId58" Type="http://schemas.openxmlformats.org/officeDocument/2006/relationships/header" Target="header24.xml"/><Relationship Id="rId79" Type="http://schemas.openxmlformats.org/officeDocument/2006/relationships/image" Target="media/image17.emf"/><Relationship Id="rId102" Type="http://schemas.openxmlformats.org/officeDocument/2006/relationships/header" Target="header38.xml"/><Relationship Id="rId123" Type="http://schemas.openxmlformats.org/officeDocument/2006/relationships/header" Target="header50.xml"/><Relationship Id="rId144" Type="http://schemas.openxmlformats.org/officeDocument/2006/relationships/image" Target="media/image49.png"/><Relationship Id="rId330" Type="http://schemas.openxmlformats.org/officeDocument/2006/relationships/header" Target="header105.xml"/><Relationship Id="rId90" Type="http://schemas.openxmlformats.org/officeDocument/2006/relationships/image" Target="media/image26.emf"/><Relationship Id="rId165" Type="http://schemas.openxmlformats.org/officeDocument/2006/relationships/header" Target="header66.xml"/><Relationship Id="rId186" Type="http://schemas.openxmlformats.org/officeDocument/2006/relationships/image" Target="media/image69.emf"/><Relationship Id="rId351" Type="http://schemas.openxmlformats.org/officeDocument/2006/relationships/fontTable" Target="fontTable.xml"/><Relationship Id="rId211" Type="http://schemas.openxmlformats.org/officeDocument/2006/relationships/image" Target="media/image86.emf"/><Relationship Id="rId232" Type="http://schemas.openxmlformats.org/officeDocument/2006/relationships/image" Target="media/image99.png"/><Relationship Id="rId253" Type="http://schemas.openxmlformats.org/officeDocument/2006/relationships/header" Target="header91.xml"/><Relationship Id="rId274" Type="http://schemas.openxmlformats.org/officeDocument/2006/relationships/oleObject" Target="embeddings/oleObject7.bin"/><Relationship Id="rId295" Type="http://schemas.openxmlformats.org/officeDocument/2006/relationships/image" Target="media/image136.emf"/><Relationship Id="rId309" Type="http://schemas.openxmlformats.org/officeDocument/2006/relationships/image" Target="media/image139.emf"/><Relationship Id="rId27" Type="http://schemas.openxmlformats.org/officeDocument/2006/relationships/hyperlink" Target="https://www.easa.europa.eu/document-library/acceptable-means-of-compliance-and-guidance-materials/amcgm-aerodromes-amendment-1" TargetMode="External"/><Relationship Id="rId48" Type="http://schemas.openxmlformats.org/officeDocument/2006/relationships/header" Target="header15.xml"/><Relationship Id="rId69" Type="http://schemas.openxmlformats.org/officeDocument/2006/relationships/image" Target="media/image7.emf"/><Relationship Id="rId113" Type="http://schemas.openxmlformats.org/officeDocument/2006/relationships/header" Target="header44.xml"/><Relationship Id="rId134" Type="http://schemas.openxmlformats.org/officeDocument/2006/relationships/image" Target="media/image42.emf"/><Relationship Id="rId320" Type="http://schemas.openxmlformats.org/officeDocument/2006/relationships/image" Target="media/image145.png"/><Relationship Id="rId80" Type="http://schemas.openxmlformats.org/officeDocument/2006/relationships/image" Target="media/image18.emf"/><Relationship Id="rId155" Type="http://schemas.openxmlformats.org/officeDocument/2006/relationships/image" Target="media/image60.jpeg"/><Relationship Id="rId176" Type="http://schemas.openxmlformats.org/officeDocument/2006/relationships/footer" Target="footer17.xml"/><Relationship Id="rId197" Type="http://schemas.openxmlformats.org/officeDocument/2006/relationships/image" Target="media/image76.emf"/><Relationship Id="rId341" Type="http://schemas.openxmlformats.org/officeDocument/2006/relationships/image" Target="media/image161.png"/><Relationship Id="rId201" Type="http://schemas.openxmlformats.org/officeDocument/2006/relationships/footer" Target="footer23.xml"/><Relationship Id="rId222" Type="http://schemas.openxmlformats.org/officeDocument/2006/relationships/image" Target="media/image92.png"/><Relationship Id="rId243" Type="http://schemas.openxmlformats.org/officeDocument/2006/relationships/footer" Target="footer26.xml"/><Relationship Id="rId264" Type="http://schemas.openxmlformats.org/officeDocument/2006/relationships/oleObject" Target="embeddings/oleObject2.bin"/><Relationship Id="rId285" Type="http://schemas.openxmlformats.org/officeDocument/2006/relationships/image" Target="media/image126.jpeg"/><Relationship Id="rId17" Type="http://schemas.openxmlformats.org/officeDocument/2006/relationships/footer" Target="footer3.xml"/><Relationship Id="rId38" Type="http://schemas.openxmlformats.org/officeDocument/2006/relationships/footer" Target="footer6.xml"/><Relationship Id="rId59" Type="http://schemas.openxmlformats.org/officeDocument/2006/relationships/header" Target="header25.xml"/><Relationship Id="rId103" Type="http://schemas.openxmlformats.org/officeDocument/2006/relationships/header" Target="header39.xml"/><Relationship Id="rId124" Type="http://schemas.openxmlformats.org/officeDocument/2006/relationships/header" Target="header51.xml"/><Relationship Id="rId310" Type="http://schemas.openxmlformats.org/officeDocument/2006/relationships/image" Target="media/image140.emf"/><Relationship Id="rId70" Type="http://schemas.openxmlformats.org/officeDocument/2006/relationships/image" Target="media/image8.emf"/><Relationship Id="rId91" Type="http://schemas.openxmlformats.org/officeDocument/2006/relationships/image" Target="media/image27.png"/><Relationship Id="rId145" Type="http://schemas.openxmlformats.org/officeDocument/2006/relationships/image" Target="media/image46.emf"/><Relationship Id="rId166" Type="http://schemas.openxmlformats.org/officeDocument/2006/relationships/footer" Target="footer14.xml"/><Relationship Id="rId187" Type="http://schemas.openxmlformats.org/officeDocument/2006/relationships/image" Target="media/image70.emf"/><Relationship Id="rId331" Type="http://schemas.openxmlformats.org/officeDocument/2006/relationships/header" Target="header106.xml"/><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image" Target="media/image100.jpeg"/><Relationship Id="rId254" Type="http://schemas.openxmlformats.org/officeDocument/2006/relationships/header" Target="header92.xml"/><Relationship Id="rId28" Type="http://schemas.openxmlformats.org/officeDocument/2006/relationships/hyperlink" Target="https://www.easa.europa.eu/document-library/acceptable-means-of-compliance-and-guidance-materials/amcgm-aerodromes-%E2%80%94-amendment" TargetMode="External"/><Relationship Id="rId49" Type="http://schemas.openxmlformats.org/officeDocument/2006/relationships/header" Target="header16.xml"/><Relationship Id="rId114" Type="http://schemas.openxmlformats.org/officeDocument/2006/relationships/header" Target="header45.xml"/><Relationship Id="rId275" Type="http://schemas.openxmlformats.org/officeDocument/2006/relationships/image" Target="media/image119.jpeg"/><Relationship Id="rId296" Type="http://schemas.openxmlformats.org/officeDocument/2006/relationships/image" Target="media/image137.png"/><Relationship Id="rId300" Type="http://schemas.openxmlformats.org/officeDocument/2006/relationships/header" Target="header95.xml"/><Relationship Id="rId60" Type="http://schemas.openxmlformats.org/officeDocument/2006/relationships/header" Target="header26.xml"/><Relationship Id="rId81" Type="http://schemas.openxmlformats.org/officeDocument/2006/relationships/image" Target="media/image19.emf"/><Relationship Id="rId135" Type="http://schemas.openxmlformats.org/officeDocument/2006/relationships/header" Target="header56.xml"/><Relationship Id="rId156" Type="http://schemas.openxmlformats.org/officeDocument/2006/relationships/image" Target="media/image56.emf"/><Relationship Id="rId177" Type="http://schemas.openxmlformats.org/officeDocument/2006/relationships/image" Target="media/image64.emf"/><Relationship Id="rId198" Type="http://schemas.openxmlformats.org/officeDocument/2006/relationships/header" Target="header75.xml"/><Relationship Id="rId321" Type="http://schemas.openxmlformats.org/officeDocument/2006/relationships/image" Target="media/image157.png"/><Relationship Id="rId342" Type="http://schemas.openxmlformats.org/officeDocument/2006/relationships/image" Target="media/image176.png"/><Relationship Id="rId202" Type="http://schemas.openxmlformats.org/officeDocument/2006/relationships/image" Target="media/image77.emf"/><Relationship Id="rId223" Type="http://schemas.openxmlformats.org/officeDocument/2006/relationships/image" Target="media/image101.png"/><Relationship Id="rId244" Type="http://schemas.openxmlformats.org/officeDocument/2006/relationships/header" Target="header86.xml"/><Relationship Id="rId18" Type="http://schemas.openxmlformats.org/officeDocument/2006/relationships/header" Target="header5.xml"/><Relationship Id="rId39" Type="http://schemas.openxmlformats.org/officeDocument/2006/relationships/hyperlink" Target="http://eur-lex.europa.eu/legal-content/EN/TXT/?uri=CELEX:02008R0216-20130129" TargetMode="External"/><Relationship Id="rId265" Type="http://schemas.openxmlformats.org/officeDocument/2006/relationships/image" Target="media/image114.jpeg"/><Relationship Id="rId286" Type="http://schemas.openxmlformats.org/officeDocument/2006/relationships/image" Target="media/image127.jpeg"/><Relationship Id="rId50" Type="http://schemas.openxmlformats.org/officeDocument/2006/relationships/header" Target="header17.xml"/><Relationship Id="rId104" Type="http://schemas.openxmlformats.org/officeDocument/2006/relationships/header" Target="header40.xml"/><Relationship Id="rId125" Type="http://schemas.openxmlformats.org/officeDocument/2006/relationships/header" Target="header52.xml"/><Relationship Id="rId146" Type="http://schemas.openxmlformats.org/officeDocument/2006/relationships/image" Target="media/image47.emf"/><Relationship Id="rId167" Type="http://schemas.openxmlformats.org/officeDocument/2006/relationships/image" Target="media/image61.png"/><Relationship Id="rId188" Type="http://schemas.openxmlformats.org/officeDocument/2006/relationships/header" Target="header73.xml"/><Relationship Id="rId311" Type="http://schemas.openxmlformats.org/officeDocument/2006/relationships/header" Target="header101.xml"/><Relationship Id="rId332" Type="http://schemas.openxmlformats.org/officeDocument/2006/relationships/image" Target="media/image152.png"/><Relationship Id="rId71" Type="http://schemas.openxmlformats.org/officeDocument/2006/relationships/image" Target="media/image9.emf"/><Relationship Id="rId92" Type="http://schemas.openxmlformats.org/officeDocument/2006/relationships/image" Target="media/image28.png"/><Relationship Id="rId213" Type="http://schemas.openxmlformats.org/officeDocument/2006/relationships/image" Target="media/image93.png"/><Relationship Id="rId234" Type="http://schemas.openxmlformats.org/officeDocument/2006/relationships/image" Target="media/image101.jpeg"/><Relationship Id="rId2" Type="http://schemas.openxmlformats.org/officeDocument/2006/relationships/numbering" Target="numbering.xml"/><Relationship Id="rId29" Type="http://schemas.openxmlformats.org/officeDocument/2006/relationships/hyperlink" Target="https://www.easa.europa.eu/document-library/certification-specifications/cs-adr-dsn-initial-issue" TargetMode="External"/><Relationship Id="rId255" Type="http://schemas.openxmlformats.org/officeDocument/2006/relationships/image" Target="media/image106.emf"/><Relationship Id="rId276" Type="http://schemas.openxmlformats.org/officeDocument/2006/relationships/oleObject" Target="embeddings/oleObject8.bin"/><Relationship Id="rId297" Type="http://schemas.openxmlformats.org/officeDocument/2006/relationships/image" Target="media/image147.png"/><Relationship Id="rId40" Type="http://schemas.openxmlformats.org/officeDocument/2006/relationships/header" Target="header11.xml"/><Relationship Id="rId115" Type="http://schemas.openxmlformats.org/officeDocument/2006/relationships/image" Target="media/image34.emf"/><Relationship Id="rId136" Type="http://schemas.openxmlformats.org/officeDocument/2006/relationships/header" Target="header57.xml"/><Relationship Id="rId157" Type="http://schemas.openxmlformats.org/officeDocument/2006/relationships/image" Target="media/image57.emf"/><Relationship Id="rId178" Type="http://schemas.openxmlformats.org/officeDocument/2006/relationships/image" Target="media/image65.emf"/><Relationship Id="rId301" Type="http://schemas.openxmlformats.org/officeDocument/2006/relationships/footer" Target="footer28.xml"/><Relationship Id="rId322" Type="http://schemas.openxmlformats.org/officeDocument/2006/relationships/image" Target="media/image146.png"/><Relationship Id="rId343" Type="http://schemas.openxmlformats.org/officeDocument/2006/relationships/image" Target="media/image162.emf"/><Relationship Id="rId61" Type="http://schemas.openxmlformats.org/officeDocument/2006/relationships/image" Target="media/image4.png"/><Relationship Id="rId82" Type="http://schemas.openxmlformats.org/officeDocument/2006/relationships/image" Target="media/image20.emf"/><Relationship Id="rId199" Type="http://schemas.openxmlformats.org/officeDocument/2006/relationships/footer" Target="footer22.xml"/><Relationship Id="rId203" Type="http://schemas.openxmlformats.org/officeDocument/2006/relationships/image" Target="media/image78.png"/><Relationship Id="rId19" Type="http://schemas.openxmlformats.org/officeDocument/2006/relationships/footer" Target="footer4.xml"/><Relationship Id="rId224" Type="http://schemas.openxmlformats.org/officeDocument/2006/relationships/header" Target="header79.xml"/><Relationship Id="rId245" Type="http://schemas.openxmlformats.org/officeDocument/2006/relationships/footer" Target="footer27.xml"/><Relationship Id="rId266" Type="http://schemas.openxmlformats.org/officeDocument/2006/relationships/oleObject" Target="embeddings/oleObject3.bin"/><Relationship Id="rId287" Type="http://schemas.openxmlformats.org/officeDocument/2006/relationships/image" Target="media/image128.jpeg"/><Relationship Id="rId30" Type="http://schemas.openxmlformats.org/officeDocument/2006/relationships/hyperlink" Target="https://www.easa.europa.eu/document-library/acceptable-means-of-compliance-and-guidance-materials/amcgm-aerodromes-amendment-1" TargetMode="External"/><Relationship Id="rId105" Type="http://schemas.openxmlformats.org/officeDocument/2006/relationships/footer" Target="footer11.xml"/><Relationship Id="rId126" Type="http://schemas.openxmlformats.org/officeDocument/2006/relationships/header" Target="header53.xml"/><Relationship Id="rId147" Type="http://schemas.openxmlformats.org/officeDocument/2006/relationships/image" Target="media/image48.png"/><Relationship Id="rId168" Type="http://schemas.openxmlformats.org/officeDocument/2006/relationships/image" Target="media/image62.emf"/><Relationship Id="rId312" Type="http://schemas.openxmlformats.org/officeDocument/2006/relationships/header" Target="header102.xml"/><Relationship Id="rId333" Type="http://schemas.openxmlformats.org/officeDocument/2006/relationships/image" Target="media/image153.png"/><Relationship Id="rId51" Type="http://schemas.openxmlformats.org/officeDocument/2006/relationships/header" Target="header18.xml"/><Relationship Id="rId72" Type="http://schemas.openxmlformats.org/officeDocument/2006/relationships/image" Target="media/image10.emf"/><Relationship Id="rId93" Type="http://schemas.openxmlformats.org/officeDocument/2006/relationships/image" Target="media/image29.png"/><Relationship Id="rId189" Type="http://schemas.openxmlformats.org/officeDocument/2006/relationships/footer" Target="footer20.xml"/><Relationship Id="rId3" Type="http://schemas.openxmlformats.org/officeDocument/2006/relationships/styles" Target="styles.xml"/><Relationship Id="rId214" Type="http://schemas.openxmlformats.org/officeDocument/2006/relationships/image" Target="media/image88.emf"/><Relationship Id="rId235" Type="http://schemas.openxmlformats.org/officeDocument/2006/relationships/image" Target="media/image102.jpeg"/><Relationship Id="rId256" Type="http://schemas.openxmlformats.org/officeDocument/2006/relationships/image" Target="media/image107.emf"/><Relationship Id="rId277" Type="http://schemas.openxmlformats.org/officeDocument/2006/relationships/image" Target="media/image120.jpeg"/><Relationship Id="rId298" Type="http://schemas.openxmlformats.org/officeDocument/2006/relationships/header" Target="header93.xml"/><Relationship Id="rId116" Type="http://schemas.openxmlformats.org/officeDocument/2006/relationships/header" Target="header46.xml"/><Relationship Id="rId137" Type="http://schemas.openxmlformats.org/officeDocument/2006/relationships/header" Target="header58.xml"/><Relationship Id="rId158" Type="http://schemas.openxmlformats.org/officeDocument/2006/relationships/image" Target="media/image58.emf"/><Relationship Id="rId302" Type="http://schemas.openxmlformats.org/officeDocument/2006/relationships/header" Target="header96.xml"/><Relationship Id="rId323" Type="http://schemas.openxmlformats.org/officeDocument/2006/relationships/image" Target="media/image148.png"/><Relationship Id="rId344" Type="http://schemas.openxmlformats.org/officeDocument/2006/relationships/image" Target="media/image163.png"/></Relationships>
</file>

<file path=word/_rels/footnotes.xml.rels><?xml version="1.0" encoding="UTF-8" standalone="yes"?>
<Relationships xmlns="http://schemas.openxmlformats.org/package/2006/relationships"><Relationship Id="rId8" Type="http://schemas.openxmlformats.org/officeDocument/2006/relationships/hyperlink" Target="http://eur-lex.europa.eu/legal-content/PL/TXT/?uri=CELEX%3A32014R0376" TargetMode="External"/><Relationship Id="rId3" Type="http://schemas.openxmlformats.org/officeDocument/2006/relationships/hyperlink" Target="http://eur-lex.europa.eu/legal-content/PL/TXT/?qid=1508138108231&amp;uri=CELEX:32014R0139R(04)" TargetMode="External"/><Relationship Id="rId7" Type="http://schemas.openxmlformats.org/officeDocument/2006/relationships/hyperlink" Target="https://eur-lex.europa.eu/legal-content/PL/TXT/?uri=uriserv:OJ.L_.2018.072.01.0017.01.POL&amp;toc=OJ:L:2018:072:TOC" TargetMode="External"/><Relationship Id="rId2" Type="http://schemas.openxmlformats.org/officeDocument/2006/relationships/hyperlink" Target="mailto:rkita@ulc.gov.pl" TargetMode="External"/><Relationship Id="rId1" Type="http://schemas.openxmlformats.org/officeDocument/2006/relationships/hyperlink" Target="http://eur-lex.europa.eu/content/legal-notice/legal-notice.html" TargetMode="External"/><Relationship Id="rId6" Type="http://schemas.openxmlformats.org/officeDocument/2006/relationships/hyperlink" Target="https://eur-lex.europa.eu/legal-content/PL/TXT/?uri=uriserv:OJ.L_.2018.072.01.0017.01.POL&amp;toc=OJ:L:2018:072:TOC" TargetMode="External"/><Relationship Id="rId5" Type="http://schemas.openxmlformats.org/officeDocument/2006/relationships/hyperlink" Target="https://eur-lex.europa.eu/legal-content/PL/TXT/?uri=uriserv:OJ.L_.2018.072.01.0017.01.POL&amp;toc=OJ:L:2018:072:TOC" TargetMode="External"/><Relationship Id="rId10" Type="http://schemas.openxmlformats.org/officeDocument/2006/relationships/hyperlink" Target="http://eur-lex.europa.eu/legal-content/PL/TXT/?qid=1508138108231&amp;uri=CELEX:32014R0139R(04)" TargetMode="External"/><Relationship Id="rId4" Type="http://schemas.openxmlformats.org/officeDocument/2006/relationships/hyperlink" Target="http://eur-lex.europa.eu/legal-content/PL/TXT/?qid=1508138108231&amp;uri=CELEX:32014R0139R(04)" TargetMode="External"/><Relationship Id="rId9" Type="http://schemas.openxmlformats.org/officeDocument/2006/relationships/hyperlink" Target="http://eur-lex.europa.eu/legal-content/PL/TXT/?qid=1508138108231&amp;uri=CELEX:32014R0139R(04)"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2.png"/></Relationships>
</file>

<file path=word/_rels/header103.xml.rels><?xml version="1.0" encoding="UTF-8" standalone="yes"?>
<Relationships xmlns="http://schemas.openxmlformats.org/package/2006/relationships"><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0.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_rels/header92.xml.rels><?xml version="1.0" encoding="UTF-8" standalone="yes"?>
<Relationships xmlns="http://schemas.openxmlformats.org/package/2006/relationships"><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2.png"/></Relationships>
</file>

<file path=word/_rels/header95.xml.rels><?xml version="1.0" encoding="UTF-8" standalone="yes"?>
<Relationships xmlns="http://schemas.openxmlformats.org/package/2006/relationships"><Relationship Id="rId1" Type="http://schemas.openxmlformats.org/officeDocument/2006/relationships/image" Target="media/image2.png"/></Relationships>
</file>

<file path=word/_rels/header96.xml.rels><?xml version="1.0" encoding="UTF-8" standalone="yes"?>
<Relationships xmlns="http://schemas.openxmlformats.org/package/2006/relationships"><Relationship Id="rId1" Type="http://schemas.openxmlformats.org/officeDocument/2006/relationships/image" Target="media/image2.png"/></Relationships>
</file>

<file path=word/_rels/header97.xml.rels><?xml version="1.0" encoding="UTF-8" standalone="yes"?>
<Relationships xmlns="http://schemas.openxmlformats.org/package/2006/relationships"><Relationship Id="rId1" Type="http://schemas.openxmlformats.org/officeDocument/2006/relationships/image" Target="media/image2.png"/></Relationships>
</file>

<file path=word/_rels/header98.xml.rels><?xml version="1.0" encoding="UTF-8" standalone="yes"?>
<Relationships xmlns="http://schemas.openxmlformats.org/package/2006/relationships"><Relationship Id="rId1" Type="http://schemas.openxmlformats.org/officeDocument/2006/relationships/image" Target="media/image2.png"/></Relationships>
</file>

<file path=word/_rels/header9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8FCD3-A213-4216-A85F-8233872C9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208076</Words>
  <Characters>1248458</Characters>
  <Application>Microsoft Office Word</Application>
  <DocSecurity>0</DocSecurity>
  <Lines>10403</Lines>
  <Paragraphs>2907</Paragraphs>
  <ScaleCrop>false</ScaleCrop>
  <HeadingPairs>
    <vt:vector size="2" baseType="variant">
      <vt:variant>
        <vt:lpstr>Tytuł</vt:lpstr>
      </vt:variant>
      <vt:variant>
        <vt:i4>1</vt:i4>
      </vt:variant>
    </vt:vector>
  </HeadingPairs>
  <TitlesOfParts>
    <vt:vector size="1" baseType="lpstr">
      <vt:lpstr>Rozporządzenie Komisji (UE) nr 139/2014 z dnia 12 lutego 2014 r. ustanawiające wymagania oraz procedury administracyjne dotyczące lotnisk zgodnie z rozporządzeniem Parlamentu Europejskiego i Rady (WE) nr 216/2008Tekst mający znaczenie dla EOG</vt:lpstr>
    </vt:vector>
  </TitlesOfParts>
  <Company/>
  <LinksUpToDate>false</LinksUpToDate>
  <CharactersWithSpaces>1453627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Rozporządzenie Komisji (UE) nr 139/2014 z dnia 12 lutego 2014 r. ustanawiające wymagania oraz procedury administracyjne dotyczące lotnisk zgodnie z rozporządzeniem Parlamentu Europejskiego i Rady (WE) nr 216/2008Tekst mający znaczenie dla EOG</dc:title>
  <dc:creator>Publications Office</dc:creator>
  <cp:lastModifiedBy>Babiak Agnieszka</cp:lastModifiedBy>
  <cp:revision>2</cp:revision>
  <cp:lastPrinted>2019-06-28T07:52:00Z</cp:lastPrinted>
  <dcterms:created xsi:type="dcterms:W3CDTF">2019-07-03T09:17:00Z</dcterms:created>
  <dcterms:modified xsi:type="dcterms:W3CDTF">2019-07-03T09:17:00Z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2014-02-13T00:00:00Z</vt:filetime>
  </property>
  <property fmtid="{D5CDD505-2E9C-101B-9397-08002B2CF9AE}" pid="3" name="LastSaved">
    <vt:filetime>2014-02-18T00:00:00Z</vt:filetime>
  </property>
</Properties>
</file>